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650C4" w14:textId="77777777" w:rsidR="0056780B" w:rsidRDefault="0056780B" w:rsidP="0056780B">
      <w:pPr>
        <w:spacing w:line="480" w:lineRule="auto"/>
        <w:rPr>
          <w:rFonts w:ascii="Arial" w:hAnsi="Arial" w:cs="Arial"/>
          <w:b/>
          <w:sz w:val="24"/>
          <w:szCs w:val="24"/>
        </w:rPr>
      </w:pPr>
      <w:r>
        <w:rPr>
          <w:rFonts w:ascii="Arial" w:hAnsi="Arial" w:cs="Arial"/>
          <w:b/>
          <w:sz w:val="24"/>
          <w:szCs w:val="24"/>
        </w:rPr>
        <w:pict w14:anchorId="5FDE0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39B42A3E" w14:textId="5D25B825" w:rsidR="0056780B" w:rsidRDefault="0056780B" w:rsidP="0056780B">
      <w:pPr>
        <w:spacing w:line="480" w:lineRule="auto"/>
        <w:rPr>
          <w:rFonts w:ascii="Arial" w:hAnsi="Arial" w:cs="Arial"/>
          <w:b/>
          <w:sz w:val="24"/>
          <w:szCs w:val="24"/>
        </w:rPr>
      </w:pPr>
      <w:r w:rsidRPr="00CC1B93">
        <w:rPr>
          <w:rFonts w:ascii="Arial" w:hAnsi="Arial" w:cs="Arial"/>
          <w:noProof/>
          <w:sz w:val="24"/>
          <w:szCs w:val="24"/>
          <w:lang w:val="en-US"/>
        </w:rPr>
        <w:drawing>
          <wp:anchor distT="0" distB="0" distL="114300" distR="114300" simplePos="0" relativeHeight="251660288" behindDoc="0" locked="0" layoutInCell="1" allowOverlap="1" wp14:anchorId="38BB6ACC" wp14:editId="29D43B9F">
            <wp:simplePos x="0" y="0"/>
            <wp:positionH relativeFrom="margin">
              <wp:align>center</wp:align>
            </wp:positionH>
            <wp:positionV relativeFrom="paragraph">
              <wp:posOffset>188595</wp:posOffset>
            </wp:positionV>
            <wp:extent cx="1320800" cy="1333500"/>
            <wp:effectExtent l="0" t="0" r="0" b="0"/>
            <wp:wrapNone/>
            <wp:docPr id="6"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E86EA" w14:textId="77777777" w:rsidR="0056780B" w:rsidRPr="00CC1B93" w:rsidRDefault="0056780B" w:rsidP="00A1723C">
      <w:pPr>
        <w:spacing w:line="480" w:lineRule="auto"/>
        <w:jc w:val="center"/>
        <w:rPr>
          <w:rFonts w:ascii="Arial" w:hAnsi="Arial" w:cs="Arial"/>
          <w:b/>
          <w:sz w:val="24"/>
          <w:szCs w:val="24"/>
        </w:rPr>
      </w:pPr>
    </w:p>
    <w:p w14:paraId="0D64D651" w14:textId="77777777" w:rsidR="00A1723C" w:rsidRPr="00CC1B93" w:rsidRDefault="00A1723C" w:rsidP="00A1723C">
      <w:pPr>
        <w:spacing w:line="480" w:lineRule="auto"/>
        <w:jc w:val="center"/>
        <w:rPr>
          <w:rFonts w:ascii="Arial" w:hAnsi="Arial" w:cs="Arial"/>
          <w:b/>
          <w:sz w:val="24"/>
          <w:szCs w:val="24"/>
        </w:rPr>
      </w:pPr>
    </w:p>
    <w:p w14:paraId="707EAC94" w14:textId="77777777" w:rsidR="00A1723C" w:rsidRDefault="00A1723C" w:rsidP="00D06C50">
      <w:pPr>
        <w:spacing w:line="240" w:lineRule="auto"/>
        <w:rPr>
          <w:rFonts w:ascii="Arial" w:hAnsi="Arial" w:cs="Arial"/>
          <w:b/>
          <w:sz w:val="24"/>
          <w:szCs w:val="24"/>
        </w:rPr>
      </w:pPr>
    </w:p>
    <w:p w14:paraId="1F375992" w14:textId="4CBCE841" w:rsidR="00D06C50" w:rsidRPr="00CC1B93" w:rsidRDefault="00D06C50" w:rsidP="00D06C50">
      <w:pPr>
        <w:spacing w:line="240" w:lineRule="auto"/>
        <w:ind w:left="1440" w:firstLine="720"/>
        <w:rPr>
          <w:rFonts w:ascii="Arial" w:hAnsi="Arial" w:cs="Arial"/>
          <w:b/>
          <w:sz w:val="24"/>
          <w:szCs w:val="24"/>
        </w:rPr>
      </w:pPr>
      <w:r>
        <w:rPr>
          <w:rFonts w:ascii="Arial" w:hAnsi="Arial" w:cs="Arial"/>
          <w:b/>
          <w:sz w:val="24"/>
          <w:szCs w:val="24"/>
        </w:rPr>
        <w:t xml:space="preserve">IN THE HIGH COURT OF SOUTH AFRICA </w:t>
      </w:r>
    </w:p>
    <w:p w14:paraId="46AF8AB9" w14:textId="77777777" w:rsidR="00A1723C" w:rsidRDefault="00A1723C" w:rsidP="00D06C50">
      <w:pPr>
        <w:spacing w:line="240" w:lineRule="auto"/>
        <w:jc w:val="center"/>
        <w:rPr>
          <w:rFonts w:ascii="Arial" w:hAnsi="Arial" w:cs="Arial"/>
          <w:b/>
          <w:sz w:val="24"/>
          <w:szCs w:val="24"/>
        </w:rPr>
      </w:pPr>
      <w:r w:rsidRPr="00CC1B93">
        <w:rPr>
          <w:rFonts w:ascii="Arial" w:hAnsi="Arial" w:cs="Arial"/>
          <w:b/>
          <w:sz w:val="24"/>
          <w:szCs w:val="24"/>
        </w:rPr>
        <w:t>GAUTENG DIVISION, PRETORIA</w:t>
      </w:r>
    </w:p>
    <w:p w14:paraId="663556E8" w14:textId="77777777" w:rsidR="00D06C50" w:rsidRPr="00CC1B93" w:rsidRDefault="00D06C50" w:rsidP="00D06C50">
      <w:pPr>
        <w:spacing w:line="240" w:lineRule="auto"/>
        <w:jc w:val="center"/>
        <w:rPr>
          <w:rFonts w:ascii="Arial" w:hAnsi="Arial" w:cs="Arial"/>
          <w:b/>
          <w:sz w:val="24"/>
          <w:szCs w:val="24"/>
        </w:rPr>
      </w:pPr>
    </w:p>
    <w:p w14:paraId="5769B6D8" w14:textId="30C1ABFA" w:rsidR="00A1723C" w:rsidRPr="00CC1B93" w:rsidRDefault="00B02C54" w:rsidP="00B02C54">
      <w:pPr>
        <w:tabs>
          <w:tab w:val="right" w:pos="8199"/>
        </w:tabs>
        <w:spacing w:line="360" w:lineRule="auto"/>
        <w:jc w:val="center"/>
        <w:rPr>
          <w:rFonts w:ascii="Arial" w:hAnsi="Arial" w:cs="Arial"/>
          <w:b/>
          <w:sz w:val="24"/>
          <w:szCs w:val="24"/>
        </w:rPr>
      </w:pPr>
      <w:r>
        <w:rPr>
          <w:rFonts w:ascii="Arial" w:hAnsi="Arial" w:cs="Arial"/>
          <w:sz w:val="24"/>
          <w:szCs w:val="24"/>
        </w:rPr>
        <w:tab/>
      </w:r>
      <w:r w:rsidR="00A1723C" w:rsidRPr="00CC1B93">
        <w:rPr>
          <w:rFonts w:ascii="Arial" w:hAnsi="Arial" w:cs="Arial"/>
          <w:b/>
          <w:sz w:val="24"/>
          <w:szCs w:val="24"/>
        </w:rPr>
        <w:t>C</w:t>
      </w:r>
      <w:r w:rsidR="005C2BC5">
        <w:rPr>
          <w:rFonts w:ascii="Arial" w:hAnsi="Arial" w:cs="Arial"/>
          <w:b/>
          <w:sz w:val="24"/>
          <w:szCs w:val="24"/>
        </w:rPr>
        <w:t>ASE NO:</w:t>
      </w:r>
      <w:r w:rsidR="00A1723C" w:rsidRPr="00CC1B93">
        <w:rPr>
          <w:rFonts w:ascii="Arial" w:hAnsi="Arial" w:cs="Arial"/>
          <w:b/>
          <w:sz w:val="24"/>
          <w:szCs w:val="24"/>
        </w:rPr>
        <w:t xml:space="preserve"> 0</w:t>
      </w:r>
      <w:r w:rsidR="00366A02" w:rsidRPr="00CC1B93">
        <w:rPr>
          <w:rFonts w:ascii="Arial" w:hAnsi="Arial" w:cs="Arial"/>
          <w:b/>
          <w:sz w:val="24"/>
          <w:szCs w:val="24"/>
        </w:rPr>
        <w:t>32118</w:t>
      </w:r>
      <w:r w:rsidR="00A1723C" w:rsidRPr="00CC1B93">
        <w:rPr>
          <w:rFonts w:ascii="Arial" w:hAnsi="Arial" w:cs="Arial"/>
          <w:b/>
          <w:sz w:val="24"/>
          <w:szCs w:val="24"/>
        </w:rPr>
        <w:t>/2022</w:t>
      </w:r>
    </w:p>
    <w:p w14:paraId="290B7CAC" w14:textId="604E9945" w:rsidR="00A1723C" w:rsidRPr="00CC1B93" w:rsidRDefault="00A1723C" w:rsidP="00B30E1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sz w:val="24"/>
          <w:szCs w:val="24"/>
        </w:rPr>
      </w:pPr>
      <w:r w:rsidRPr="00CC1B93">
        <w:rPr>
          <w:rFonts w:ascii="Arial" w:hAnsi="Arial" w:cs="Arial"/>
          <w:b/>
          <w:sz w:val="24"/>
          <w:szCs w:val="24"/>
        </w:rPr>
        <w:tab/>
      </w:r>
      <w:r w:rsidRPr="00CC1B93">
        <w:rPr>
          <w:rFonts w:ascii="Arial" w:hAnsi="Arial" w:cs="Arial"/>
          <w:b/>
          <w:sz w:val="24"/>
          <w:szCs w:val="24"/>
        </w:rPr>
        <w:tab/>
      </w:r>
      <w:r w:rsidRPr="00CC1B93">
        <w:rPr>
          <w:rFonts w:ascii="Arial" w:hAnsi="Arial" w:cs="Arial"/>
          <w:b/>
          <w:sz w:val="24"/>
          <w:szCs w:val="24"/>
        </w:rPr>
        <w:tab/>
      </w:r>
      <w:r w:rsidRPr="00CC1B93">
        <w:rPr>
          <w:rFonts w:ascii="Arial" w:hAnsi="Arial" w:cs="Arial"/>
          <w:b/>
          <w:sz w:val="24"/>
          <w:szCs w:val="24"/>
        </w:rPr>
        <w:tab/>
      </w:r>
      <w:r w:rsidRPr="00CC1B93">
        <w:rPr>
          <w:rFonts w:ascii="Arial" w:hAnsi="Arial" w:cs="Arial"/>
          <w:b/>
          <w:sz w:val="24"/>
          <w:szCs w:val="24"/>
        </w:rPr>
        <w:tab/>
      </w:r>
      <w:r w:rsidRPr="00CC1B93">
        <w:rPr>
          <w:rFonts w:ascii="Arial" w:hAnsi="Arial" w:cs="Arial"/>
          <w:b/>
          <w:sz w:val="24"/>
          <w:szCs w:val="24"/>
        </w:rPr>
        <w:tab/>
        <w:t xml:space="preserve"> </w:t>
      </w:r>
    </w:p>
    <w:p w14:paraId="38BAA9B4" w14:textId="77777777" w:rsidR="00A1723C" w:rsidRPr="00CC1B93" w:rsidRDefault="00A1723C" w:rsidP="00B30E15">
      <w:pPr>
        <w:spacing w:line="360" w:lineRule="auto"/>
        <w:rPr>
          <w:rFonts w:ascii="Arial" w:hAnsi="Arial" w:cs="Arial"/>
          <w:b/>
          <w:sz w:val="24"/>
          <w:szCs w:val="24"/>
        </w:rPr>
      </w:pPr>
      <w:r w:rsidRPr="00CC1B9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6B514D1" wp14:editId="4BEC8A84">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53DB3435" w14:textId="77777777" w:rsidR="00A1723C" w:rsidRPr="00913F95" w:rsidRDefault="00A1723C" w:rsidP="00A1723C">
                            <w:pPr>
                              <w:jc w:val="center"/>
                              <w:rPr>
                                <w:rFonts w:ascii="Century Gothic" w:hAnsi="Century Gothic"/>
                                <w:b/>
                                <w:sz w:val="20"/>
                                <w:szCs w:val="20"/>
                              </w:rPr>
                            </w:pPr>
                          </w:p>
                          <w:p w14:paraId="1B6EA9DA" w14:textId="77777777" w:rsidR="00A1723C" w:rsidRPr="007C20F4" w:rsidRDefault="00A1723C" w:rsidP="00A1723C">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7F76C671" w14:textId="2B61FE85" w:rsidR="00A1723C" w:rsidRPr="007C20F4" w:rsidRDefault="00A1723C" w:rsidP="00A1723C">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NO</w:t>
                            </w:r>
                          </w:p>
                          <w:p w14:paraId="0AA7CA60" w14:textId="4AF8A775" w:rsidR="00A1723C" w:rsidRPr="007C20F4" w:rsidRDefault="00A1723C" w:rsidP="00A1723C">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NO</w:t>
                            </w:r>
                          </w:p>
                          <w:p w14:paraId="620B78F3" w14:textId="77777777" w:rsidR="00A1723C" w:rsidRPr="007C20F4" w:rsidRDefault="00A1723C" w:rsidP="00A1723C">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6D2BE555" w14:textId="77777777" w:rsidR="00A1723C" w:rsidRPr="007C20F4" w:rsidRDefault="00A1723C" w:rsidP="00A1723C">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4809CCAA" w14:textId="77777777" w:rsidR="00A1723C" w:rsidRPr="007C20F4" w:rsidRDefault="00A1723C" w:rsidP="00A1723C">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3AFD670E" w14:textId="77777777" w:rsidR="00A1723C" w:rsidRPr="00D3790A" w:rsidRDefault="00A1723C" w:rsidP="00A1723C">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B514D1"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8Fw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">
                <v:textbox>
                  <w:txbxContent>
                    <w:p w14:paraId="53DB3435" w14:textId="77777777" w:rsidR="00A1723C" w:rsidRPr="00913F95" w:rsidRDefault="00A1723C" w:rsidP="00A1723C">
                      <w:pPr>
                        <w:jc w:val="center"/>
                        <w:rPr>
                          <w:rFonts w:ascii="Century Gothic" w:hAnsi="Century Gothic"/>
                          <w:b/>
                          <w:sz w:val="20"/>
                          <w:szCs w:val="20"/>
                        </w:rPr>
                      </w:pPr>
                    </w:p>
                    <w:p w14:paraId="1B6EA9DA" w14:textId="77777777" w:rsidR="00A1723C" w:rsidRPr="007C20F4" w:rsidRDefault="00A1723C" w:rsidP="00A1723C">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7F76C671" w14:textId="2B61FE85" w:rsidR="00A1723C" w:rsidRPr="007C20F4" w:rsidRDefault="00A1723C" w:rsidP="00A1723C">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NO</w:t>
                      </w:r>
                    </w:p>
                    <w:p w14:paraId="0AA7CA60" w14:textId="4AF8A775" w:rsidR="00A1723C" w:rsidRPr="007C20F4" w:rsidRDefault="00A1723C" w:rsidP="00A1723C">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NO</w:t>
                      </w:r>
                    </w:p>
                    <w:p w14:paraId="620B78F3" w14:textId="77777777" w:rsidR="00A1723C" w:rsidRPr="007C20F4" w:rsidRDefault="00A1723C" w:rsidP="00A1723C">
                      <w:pPr>
                        <w:widowControl w:val="0"/>
                        <w:numPr>
                          <w:ilvl w:val="0"/>
                          <w:numId w:val="1"/>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6D2BE555" w14:textId="77777777" w:rsidR="00A1723C" w:rsidRPr="007C20F4" w:rsidRDefault="00A1723C" w:rsidP="00A1723C">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4809CCAA" w14:textId="77777777" w:rsidR="00A1723C" w:rsidRPr="007C20F4" w:rsidRDefault="00A1723C" w:rsidP="00A1723C">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3AFD670E" w14:textId="77777777" w:rsidR="00A1723C" w:rsidRPr="00D3790A" w:rsidRDefault="00A1723C" w:rsidP="00A1723C">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6C0D2259" w14:textId="77777777" w:rsidR="00A1723C" w:rsidRPr="00CC1B93" w:rsidRDefault="00A1723C" w:rsidP="00B30E15">
      <w:pPr>
        <w:spacing w:line="360" w:lineRule="auto"/>
        <w:jc w:val="center"/>
        <w:rPr>
          <w:rFonts w:ascii="Arial" w:hAnsi="Arial" w:cs="Arial"/>
          <w:b/>
          <w:sz w:val="24"/>
          <w:szCs w:val="24"/>
        </w:rPr>
      </w:pPr>
    </w:p>
    <w:p w14:paraId="4EEBA6DE" w14:textId="77777777" w:rsidR="00A1723C" w:rsidRPr="00CC1B93" w:rsidRDefault="00A1723C" w:rsidP="00B30E15">
      <w:pPr>
        <w:tabs>
          <w:tab w:val="right" w:pos="8199"/>
        </w:tabs>
        <w:spacing w:line="360" w:lineRule="auto"/>
        <w:rPr>
          <w:rFonts w:ascii="Arial" w:hAnsi="Arial" w:cs="Arial"/>
          <w:sz w:val="24"/>
          <w:szCs w:val="24"/>
        </w:rPr>
      </w:pPr>
      <w:r w:rsidRPr="00CC1B93">
        <w:rPr>
          <w:rFonts w:ascii="Arial" w:hAnsi="Arial" w:cs="Arial"/>
          <w:b/>
          <w:sz w:val="24"/>
          <w:szCs w:val="24"/>
        </w:rPr>
        <w:tab/>
      </w:r>
      <w:r w:rsidRPr="00CC1B93">
        <w:rPr>
          <w:rFonts w:ascii="Arial" w:hAnsi="Arial" w:cs="Arial"/>
          <w:b/>
          <w:sz w:val="24"/>
          <w:szCs w:val="24"/>
        </w:rPr>
        <w:tab/>
      </w:r>
      <w:r w:rsidRPr="00CC1B93">
        <w:rPr>
          <w:rFonts w:ascii="Arial" w:hAnsi="Arial" w:cs="Arial"/>
          <w:b/>
          <w:sz w:val="24"/>
          <w:szCs w:val="24"/>
        </w:rPr>
        <w:tab/>
      </w:r>
    </w:p>
    <w:p w14:paraId="416D7A46" w14:textId="77777777" w:rsidR="00A1723C" w:rsidRPr="00CC1B93" w:rsidRDefault="00A1723C" w:rsidP="00B30E1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r w:rsidRPr="00CC1B93">
        <w:rPr>
          <w:rFonts w:ascii="Arial" w:hAnsi="Arial" w:cs="Arial"/>
          <w:sz w:val="24"/>
          <w:szCs w:val="24"/>
        </w:rPr>
        <w:t>In the matter between:</w:t>
      </w:r>
    </w:p>
    <w:p w14:paraId="1FF8B14A" w14:textId="329DDEE1" w:rsidR="00A1723C" w:rsidRPr="00CC1B93" w:rsidRDefault="00D06C50" w:rsidP="00D06C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rPr>
      </w:pPr>
      <w:r>
        <w:rPr>
          <w:rFonts w:ascii="Arial" w:hAnsi="Arial" w:cs="Arial"/>
          <w:sz w:val="24"/>
          <w:szCs w:val="24"/>
        </w:rPr>
        <w:t>In matter between:</w:t>
      </w:r>
    </w:p>
    <w:p w14:paraId="46CC5085" w14:textId="1E10EE61" w:rsidR="009755DB" w:rsidRDefault="009C4CA9" w:rsidP="00D06C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sz w:val="24"/>
          <w:szCs w:val="24"/>
        </w:rPr>
      </w:pPr>
      <w:r w:rsidRPr="00CC1B93">
        <w:rPr>
          <w:rFonts w:ascii="Arial" w:hAnsi="Arial" w:cs="Arial"/>
          <w:b/>
          <w:sz w:val="24"/>
          <w:szCs w:val="24"/>
        </w:rPr>
        <w:t>NEDBANK LIMITED</w:t>
      </w:r>
      <w:r w:rsidR="009755DB">
        <w:rPr>
          <w:rFonts w:ascii="Arial" w:hAnsi="Arial" w:cs="Arial"/>
          <w:b/>
          <w:sz w:val="24"/>
          <w:szCs w:val="24"/>
        </w:rPr>
        <w:tab/>
      </w:r>
      <w:r w:rsidR="009755DB">
        <w:rPr>
          <w:rFonts w:ascii="Arial" w:hAnsi="Arial" w:cs="Arial"/>
          <w:b/>
          <w:sz w:val="24"/>
          <w:szCs w:val="24"/>
        </w:rPr>
        <w:tab/>
      </w:r>
      <w:r w:rsidR="009755DB">
        <w:rPr>
          <w:rFonts w:ascii="Arial" w:hAnsi="Arial" w:cs="Arial"/>
          <w:b/>
          <w:sz w:val="24"/>
          <w:szCs w:val="24"/>
        </w:rPr>
        <w:tab/>
      </w:r>
      <w:r w:rsidR="009755DB">
        <w:rPr>
          <w:rFonts w:ascii="Arial" w:hAnsi="Arial" w:cs="Arial"/>
          <w:b/>
          <w:sz w:val="24"/>
          <w:szCs w:val="24"/>
        </w:rPr>
        <w:tab/>
      </w:r>
      <w:r w:rsidR="009755DB">
        <w:rPr>
          <w:rFonts w:ascii="Arial" w:hAnsi="Arial" w:cs="Arial"/>
          <w:b/>
          <w:sz w:val="24"/>
          <w:szCs w:val="24"/>
        </w:rPr>
        <w:tab/>
      </w:r>
      <w:r w:rsidR="00D06C50">
        <w:rPr>
          <w:rFonts w:ascii="Arial" w:hAnsi="Arial" w:cs="Arial"/>
          <w:b/>
          <w:sz w:val="24"/>
          <w:szCs w:val="24"/>
        </w:rPr>
        <w:t xml:space="preserve">           </w:t>
      </w:r>
      <w:r w:rsidRPr="00CC1B93">
        <w:rPr>
          <w:rFonts w:ascii="Arial" w:hAnsi="Arial" w:cs="Arial"/>
          <w:b/>
          <w:bCs/>
          <w:sz w:val="24"/>
          <w:szCs w:val="24"/>
        </w:rPr>
        <w:t>PLAINTIFF/ APPLICANT</w:t>
      </w:r>
    </w:p>
    <w:p w14:paraId="03F38E8A" w14:textId="64DE7F73" w:rsidR="009C4CA9" w:rsidRDefault="002070FC" w:rsidP="00D06C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bCs/>
          <w:sz w:val="24"/>
          <w:szCs w:val="24"/>
        </w:rPr>
      </w:pPr>
      <w:r w:rsidRPr="009755DB">
        <w:rPr>
          <w:rFonts w:ascii="Arial" w:hAnsi="Arial" w:cs="Arial"/>
          <w:b/>
          <w:bCs/>
          <w:sz w:val="24"/>
          <w:szCs w:val="24"/>
        </w:rPr>
        <w:t>(Reg. No. 1951/000009/06)</w:t>
      </w:r>
    </w:p>
    <w:p w14:paraId="3021B320" w14:textId="77777777" w:rsidR="00D06C50" w:rsidRPr="009755DB" w:rsidRDefault="00D06C50" w:rsidP="00D06C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bCs/>
          <w:sz w:val="24"/>
          <w:szCs w:val="24"/>
        </w:rPr>
      </w:pPr>
    </w:p>
    <w:p w14:paraId="6C6B69BC" w14:textId="768E4034" w:rsidR="009755DB" w:rsidRPr="009755DB" w:rsidRDefault="009755DB" w:rsidP="00D06C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b/>
          <w:bCs/>
          <w:sz w:val="24"/>
          <w:szCs w:val="24"/>
        </w:rPr>
      </w:pPr>
      <w:r w:rsidRPr="009755DB">
        <w:rPr>
          <w:rFonts w:ascii="Arial" w:hAnsi="Arial" w:cs="Arial"/>
          <w:b/>
          <w:bCs/>
          <w:sz w:val="24"/>
          <w:szCs w:val="24"/>
        </w:rPr>
        <w:t>a</w:t>
      </w:r>
      <w:r w:rsidR="00A1723C" w:rsidRPr="009755DB">
        <w:rPr>
          <w:rFonts w:ascii="Arial" w:hAnsi="Arial" w:cs="Arial"/>
          <w:b/>
          <w:bCs/>
          <w:sz w:val="24"/>
          <w:szCs w:val="24"/>
        </w:rPr>
        <w:t>nd</w:t>
      </w:r>
    </w:p>
    <w:p w14:paraId="3B027D07" w14:textId="7786D8DE" w:rsidR="00D06C50" w:rsidRDefault="002070FC" w:rsidP="00D06C50">
      <w:pPr>
        <w:widowControl w:val="0"/>
        <w:tabs>
          <w:tab w:val="left" w:pos="-1099"/>
          <w:tab w:val="left" w:pos="-720"/>
          <w:tab w:val="left" w:pos="0"/>
          <w:tab w:val="left" w:pos="1450"/>
          <w:tab w:val="left" w:pos="2528"/>
          <w:tab w:val="left" w:pos="2880"/>
          <w:tab w:val="left" w:pos="3600"/>
          <w:tab w:val="left" w:pos="4320"/>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right="-46"/>
        <w:jc w:val="both"/>
        <w:rPr>
          <w:rFonts w:ascii="Arial" w:hAnsi="Arial" w:cs="Arial"/>
          <w:b/>
          <w:bCs/>
          <w:sz w:val="24"/>
          <w:szCs w:val="24"/>
        </w:rPr>
      </w:pPr>
      <w:r w:rsidRPr="00CC1B93">
        <w:rPr>
          <w:rFonts w:ascii="Arial" w:hAnsi="Arial" w:cs="Arial"/>
          <w:b/>
          <w:sz w:val="24"/>
          <w:szCs w:val="24"/>
        </w:rPr>
        <w:t>ALFRED MAFODI SITHOLE</w:t>
      </w:r>
      <w:r w:rsidR="009755DB">
        <w:rPr>
          <w:rFonts w:ascii="Arial" w:hAnsi="Arial" w:cs="Arial"/>
          <w:sz w:val="24"/>
          <w:szCs w:val="24"/>
        </w:rPr>
        <w:tab/>
      </w:r>
      <w:r w:rsidR="009755DB">
        <w:rPr>
          <w:rFonts w:ascii="Arial" w:hAnsi="Arial" w:cs="Arial"/>
          <w:sz w:val="24"/>
          <w:szCs w:val="24"/>
        </w:rPr>
        <w:tab/>
      </w:r>
      <w:proofErr w:type="gramStart"/>
      <w:r w:rsidR="009755DB">
        <w:rPr>
          <w:rFonts w:ascii="Arial" w:hAnsi="Arial" w:cs="Arial"/>
          <w:sz w:val="24"/>
          <w:szCs w:val="24"/>
        </w:rPr>
        <w:tab/>
      </w:r>
      <w:r w:rsidR="00D06C50">
        <w:rPr>
          <w:rFonts w:ascii="Arial" w:hAnsi="Arial" w:cs="Arial"/>
          <w:sz w:val="24"/>
          <w:szCs w:val="24"/>
        </w:rPr>
        <w:t xml:space="preserve">  </w:t>
      </w:r>
      <w:r w:rsidR="00D06C50">
        <w:rPr>
          <w:rFonts w:ascii="Arial" w:hAnsi="Arial" w:cs="Arial"/>
          <w:sz w:val="24"/>
          <w:szCs w:val="24"/>
        </w:rPr>
        <w:tab/>
      </w:r>
      <w:proofErr w:type="gramEnd"/>
      <w:r w:rsidR="00D06C50">
        <w:rPr>
          <w:rFonts w:ascii="Arial" w:hAnsi="Arial" w:cs="Arial"/>
          <w:sz w:val="24"/>
          <w:szCs w:val="24"/>
        </w:rPr>
        <w:t xml:space="preserve">      </w:t>
      </w:r>
      <w:r w:rsidRPr="00CC1B93">
        <w:rPr>
          <w:rFonts w:ascii="Arial" w:hAnsi="Arial" w:cs="Arial"/>
          <w:b/>
          <w:bCs/>
          <w:sz w:val="24"/>
          <w:szCs w:val="24"/>
        </w:rPr>
        <w:t>DEFENDANT</w:t>
      </w:r>
      <w:r w:rsidR="00520495" w:rsidRPr="00CC1B93">
        <w:rPr>
          <w:rFonts w:ascii="Arial" w:hAnsi="Arial" w:cs="Arial"/>
          <w:b/>
          <w:bCs/>
          <w:sz w:val="24"/>
          <w:szCs w:val="24"/>
        </w:rPr>
        <w:t>/RESPONDENT</w:t>
      </w:r>
    </w:p>
    <w:p w14:paraId="5D71FA78" w14:textId="23A52D7A" w:rsidR="009755DB" w:rsidRPr="00CC1B93" w:rsidRDefault="00A1723C" w:rsidP="00D06C5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right="-46"/>
        <w:jc w:val="both"/>
        <w:rPr>
          <w:rFonts w:ascii="Arial" w:hAnsi="Arial" w:cs="Arial"/>
          <w:b/>
          <w:bCs/>
          <w:sz w:val="24"/>
          <w:szCs w:val="24"/>
        </w:rPr>
      </w:pPr>
      <w:r w:rsidRPr="00CC1B93">
        <w:rPr>
          <w:rFonts w:ascii="Arial" w:hAnsi="Arial" w:cs="Arial"/>
          <w:b/>
          <w:bCs/>
          <w:sz w:val="24"/>
          <w:szCs w:val="24"/>
        </w:rPr>
        <w:t xml:space="preserve"> </w:t>
      </w:r>
      <w:r w:rsidR="00520495" w:rsidRPr="00CC1B93">
        <w:rPr>
          <w:rFonts w:ascii="Arial" w:hAnsi="Arial" w:cs="Arial"/>
          <w:b/>
          <w:bCs/>
          <w:sz w:val="24"/>
          <w:szCs w:val="24"/>
        </w:rPr>
        <w:t>(</w:t>
      </w:r>
      <w:r w:rsidR="004D2174" w:rsidRPr="00CC1B93">
        <w:rPr>
          <w:rFonts w:ascii="Arial" w:hAnsi="Arial" w:cs="Arial"/>
          <w:b/>
          <w:bCs/>
          <w:sz w:val="24"/>
          <w:szCs w:val="24"/>
        </w:rPr>
        <w:t>I</w:t>
      </w:r>
      <w:r w:rsidR="00520495" w:rsidRPr="00CC1B93">
        <w:rPr>
          <w:rFonts w:ascii="Arial" w:hAnsi="Arial" w:cs="Arial"/>
          <w:b/>
          <w:bCs/>
          <w:sz w:val="24"/>
          <w:szCs w:val="24"/>
        </w:rPr>
        <w:t xml:space="preserve">d. No.: </w:t>
      </w:r>
      <w:r w:rsidR="00BB01CF">
        <w:rPr>
          <w:rFonts w:ascii="Arial" w:hAnsi="Arial" w:cs="Arial"/>
          <w:b/>
          <w:bCs/>
          <w:sz w:val="24"/>
          <w:szCs w:val="24"/>
        </w:rPr>
        <w:t>[…]</w:t>
      </w:r>
      <w:r w:rsidR="00520495" w:rsidRPr="00CC1B93">
        <w:rPr>
          <w:rFonts w:ascii="Arial" w:hAnsi="Arial" w:cs="Arial"/>
          <w:b/>
          <w:bCs/>
          <w:sz w:val="24"/>
          <w:szCs w:val="24"/>
        </w:rPr>
        <w:t>)</w:t>
      </w:r>
    </w:p>
    <w:p w14:paraId="3328F083" w14:textId="77777777" w:rsidR="00A1723C" w:rsidRPr="00CC1B93" w:rsidRDefault="00A1723C" w:rsidP="00D06C50">
      <w:pPr>
        <w:pBdr>
          <w:top w:val="single" w:sz="12" w:space="1" w:color="auto"/>
          <w:bottom w:val="single" w:sz="12" w:space="1" w:color="auto"/>
        </w:pBdr>
        <w:tabs>
          <w:tab w:val="left" w:pos="4917"/>
        </w:tabs>
        <w:spacing w:before="120" w:after="120" w:line="240" w:lineRule="auto"/>
        <w:contextualSpacing/>
        <w:rPr>
          <w:rFonts w:ascii="Arial" w:hAnsi="Arial" w:cs="Arial"/>
          <w:b/>
          <w:bCs/>
          <w:sz w:val="24"/>
          <w:szCs w:val="24"/>
        </w:rPr>
      </w:pPr>
    </w:p>
    <w:p w14:paraId="449FA1D7" w14:textId="77777777" w:rsidR="00A1723C" w:rsidRDefault="00A1723C" w:rsidP="00D06C50">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r w:rsidRPr="00CC1B93">
        <w:rPr>
          <w:rFonts w:ascii="Arial" w:hAnsi="Arial" w:cs="Arial"/>
          <w:b/>
          <w:bCs/>
          <w:sz w:val="24"/>
          <w:szCs w:val="24"/>
        </w:rPr>
        <w:t>JUDGMENT</w:t>
      </w:r>
    </w:p>
    <w:p w14:paraId="2543E8C5" w14:textId="77777777" w:rsidR="00D06C50" w:rsidRPr="00CC1B93" w:rsidRDefault="00D06C50" w:rsidP="00D06C50">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p>
    <w:p w14:paraId="4946621A" w14:textId="168EEA8B" w:rsidR="006374A6" w:rsidRDefault="005A2F83" w:rsidP="009755D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r>
        <w:rPr>
          <w:rFonts w:ascii="Arial" w:hAnsi="Arial" w:cs="Arial"/>
          <w:sz w:val="24"/>
          <w:szCs w:val="24"/>
        </w:rPr>
        <w:t>MOTHA, J</w:t>
      </w:r>
      <w:r w:rsidR="000379FF">
        <w:rPr>
          <w:rFonts w:ascii="Arial" w:hAnsi="Arial" w:cs="Arial"/>
          <w:sz w:val="24"/>
          <w:szCs w:val="24"/>
        </w:rPr>
        <w:t>:</w:t>
      </w:r>
    </w:p>
    <w:p w14:paraId="4E787A97" w14:textId="77777777" w:rsidR="009755DB" w:rsidRPr="00CC1B93" w:rsidRDefault="009755DB" w:rsidP="009755D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p>
    <w:p w14:paraId="4DDC70D7" w14:textId="77777777" w:rsidR="009755DB" w:rsidRDefault="004727AE" w:rsidP="009755D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i/>
          <w:iCs/>
          <w:sz w:val="24"/>
          <w:szCs w:val="24"/>
          <w:lang w:val="en-GB"/>
        </w:rPr>
      </w:pPr>
      <w:r w:rsidRPr="00CC1B93">
        <w:rPr>
          <w:rFonts w:ascii="Arial" w:hAnsi="Arial" w:cs="Arial"/>
          <w:i/>
          <w:iCs/>
          <w:sz w:val="24"/>
          <w:szCs w:val="24"/>
          <w:lang w:val="en-GB"/>
        </w:rPr>
        <w:t>Introduction</w:t>
      </w:r>
    </w:p>
    <w:p w14:paraId="5F9CFCD8" w14:textId="3CCCB86E" w:rsidR="000F2E5A" w:rsidRPr="009755DB" w:rsidRDefault="000379FF" w:rsidP="009755DB">
      <w:pPr>
        <w:widowControl w:val="0"/>
        <w:tabs>
          <w:tab w:val="left" w:pos="-1099"/>
          <w:tab w:val="left" w:pos="-720"/>
          <w:tab w:val="left" w:pos="0"/>
          <w:tab w:val="left" w:pos="567"/>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sz w:val="24"/>
          <w:szCs w:val="24"/>
        </w:rPr>
      </w:pPr>
      <w:r>
        <w:rPr>
          <w:rFonts w:ascii="Arial" w:hAnsi="Arial" w:cs="Arial"/>
          <w:sz w:val="24"/>
          <w:szCs w:val="24"/>
          <w:lang w:val="en-GB"/>
        </w:rPr>
        <w:lastRenderedPageBreak/>
        <w:t>[1]</w:t>
      </w:r>
      <w:r w:rsidR="009755DB">
        <w:rPr>
          <w:rFonts w:ascii="Arial" w:hAnsi="Arial" w:cs="Arial"/>
          <w:sz w:val="24"/>
          <w:szCs w:val="24"/>
          <w:lang w:val="en-GB"/>
        </w:rPr>
        <w:tab/>
      </w:r>
      <w:r w:rsidR="00473D87" w:rsidRPr="009755DB">
        <w:rPr>
          <w:rFonts w:ascii="Arial" w:hAnsi="Arial" w:cs="Arial"/>
          <w:sz w:val="24"/>
          <w:szCs w:val="24"/>
        </w:rPr>
        <w:t>Having entered into</w:t>
      </w:r>
      <w:r w:rsidR="00B825D5" w:rsidRPr="009755DB">
        <w:rPr>
          <w:rFonts w:ascii="Arial" w:hAnsi="Arial" w:cs="Arial"/>
          <w:sz w:val="24"/>
          <w:szCs w:val="24"/>
        </w:rPr>
        <w:t xml:space="preserve"> a written variable instalment sale agreement</w:t>
      </w:r>
      <w:r w:rsidR="00F55DDF">
        <w:rPr>
          <w:rFonts w:ascii="Arial" w:hAnsi="Arial" w:cs="Arial"/>
          <w:sz w:val="24"/>
          <w:szCs w:val="24"/>
        </w:rPr>
        <w:t xml:space="preserve"> with the defendant,</w:t>
      </w:r>
      <w:r w:rsidR="007642E6" w:rsidRPr="009755DB">
        <w:rPr>
          <w:rFonts w:ascii="Arial" w:hAnsi="Arial" w:cs="Arial"/>
          <w:sz w:val="24"/>
          <w:szCs w:val="24"/>
        </w:rPr>
        <w:t xml:space="preserve"> within the meaning of the National Credit Act 34 of 2005</w:t>
      </w:r>
      <w:r w:rsidR="004671A4" w:rsidRPr="009755DB">
        <w:rPr>
          <w:rFonts w:ascii="Arial" w:hAnsi="Arial" w:cs="Arial"/>
          <w:sz w:val="24"/>
          <w:szCs w:val="24"/>
        </w:rPr>
        <w:t xml:space="preserve"> (NCA)</w:t>
      </w:r>
      <w:r w:rsidR="00794091">
        <w:rPr>
          <w:rFonts w:ascii="Arial" w:hAnsi="Arial" w:cs="Arial"/>
          <w:sz w:val="24"/>
          <w:szCs w:val="24"/>
        </w:rPr>
        <w:t xml:space="preserve">, </w:t>
      </w:r>
      <w:r w:rsidR="00C5662F">
        <w:rPr>
          <w:rFonts w:ascii="Arial" w:hAnsi="Arial" w:cs="Arial"/>
          <w:sz w:val="24"/>
          <w:szCs w:val="24"/>
        </w:rPr>
        <w:t>o</w:t>
      </w:r>
      <w:r w:rsidR="002B1B7D" w:rsidRPr="009755DB">
        <w:rPr>
          <w:rFonts w:ascii="Arial" w:hAnsi="Arial" w:cs="Arial"/>
          <w:sz w:val="24"/>
          <w:szCs w:val="24"/>
        </w:rPr>
        <w:t>n 25 July 2019</w:t>
      </w:r>
      <w:r w:rsidR="004671A4" w:rsidRPr="009755DB">
        <w:rPr>
          <w:rFonts w:ascii="Arial" w:hAnsi="Arial" w:cs="Arial"/>
          <w:sz w:val="24"/>
          <w:szCs w:val="24"/>
        </w:rPr>
        <w:t>,</w:t>
      </w:r>
      <w:r w:rsidR="00473D87" w:rsidRPr="009755DB">
        <w:rPr>
          <w:rFonts w:ascii="Arial" w:hAnsi="Arial" w:cs="Arial"/>
          <w:sz w:val="24"/>
          <w:szCs w:val="24"/>
        </w:rPr>
        <w:t xml:space="preserve"> </w:t>
      </w:r>
      <w:r w:rsidR="007642E6" w:rsidRPr="009755DB">
        <w:rPr>
          <w:rFonts w:ascii="Arial" w:hAnsi="Arial" w:cs="Arial"/>
          <w:sz w:val="24"/>
          <w:szCs w:val="24"/>
        </w:rPr>
        <w:t>the plaintiff</w:t>
      </w:r>
      <w:r w:rsidR="004671A4" w:rsidRPr="009755DB">
        <w:rPr>
          <w:rFonts w:ascii="Arial" w:hAnsi="Arial" w:cs="Arial"/>
          <w:sz w:val="24"/>
          <w:szCs w:val="24"/>
        </w:rPr>
        <w:t xml:space="preserve"> proceeded in terms of s</w:t>
      </w:r>
      <w:r w:rsidR="008D403B">
        <w:rPr>
          <w:rFonts w:ascii="Arial" w:hAnsi="Arial" w:cs="Arial"/>
          <w:sz w:val="24"/>
          <w:szCs w:val="24"/>
        </w:rPr>
        <w:t>ection</w:t>
      </w:r>
      <w:r w:rsidR="004671A4" w:rsidRPr="009755DB">
        <w:rPr>
          <w:rFonts w:ascii="Arial" w:hAnsi="Arial" w:cs="Arial"/>
          <w:sz w:val="24"/>
          <w:szCs w:val="24"/>
        </w:rPr>
        <w:t>127</w:t>
      </w:r>
      <w:r w:rsidR="002B1B7D" w:rsidRPr="009755DB">
        <w:rPr>
          <w:rFonts w:ascii="Arial" w:hAnsi="Arial" w:cs="Arial"/>
          <w:sz w:val="24"/>
          <w:szCs w:val="24"/>
        </w:rPr>
        <w:t xml:space="preserve"> of </w:t>
      </w:r>
      <w:r w:rsidR="009755DB" w:rsidRPr="009755DB">
        <w:rPr>
          <w:rFonts w:ascii="Arial" w:hAnsi="Arial" w:cs="Arial"/>
          <w:sz w:val="24"/>
          <w:szCs w:val="24"/>
        </w:rPr>
        <w:t>the</w:t>
      </w:r>
      <w:r w:rsidR="009755DB">
        <w:rPr>
          <w:rFonts w:ascii="Arial" w:hAnsi="Arial" w:cs="Arial"/>
          <w:sz w:val="24"/>
          <w:szCs w:val="24"/>
        </w:rPr>
        <w:t xml:space="preserve"> </w:t>
      </w:r>
      <w:r w:rsidR="002B1B7D" w:rsidRPr="009755DB">
        <w:rPr>
          <w:rFonts w:ascii="Arial" w:hAnsi="Arial" w:cs="Arial"/>
          <w:sz w:val="24"/>
          <w:szCs w:val="24"/>
        </w:rPr>
        <w:t>NCA</w:t>
      </w:r>
      <w:r w:rsidR="00145A00" w:rsidRPr="009755DB">
        <w:rPr>
          <w:rFonts w:ascii="Arial" w:hAnsi="Arial" w:cs="Arial"/>
          <w:sz w:val="24"/>
          <w:szCs w:val="24"/>
        </w:rPr>
        <w:t>, when the defendant retu</w:t>
      </w:r>
      <w:r w:rsidR="002B1B7D" w:rsidRPr="009755DB">
        <w:rPr>
          <w:rFonts w:ascii="Arial" w:hAnsi="Arial" w:cs="Arial"/>
          <w:sz w:val="24"/>
          <w:szCs w:val="24"/>
        </w:rPr>
        <w:t>r</w:t>
      </w:r>
      <w:r w:rsidR="00145A00" w:rsidRPr="009755DB">
        <w:rPr>
          <w:rFonts w:ascii="Arial" w:hAnsi="Arial" w:cs="Arial"/>
          <w:sz w:val="24"/>
          <w:szCs w:val="24"/>
        </w:rPr>
        <w:t xml:space="preserve">ned the motor vehicle </w:t>
      </w:r>
      <w:r w:rsidR="00FE2329" w:rsidRPr="009755DB">
        <w:rPr>
          <w:rFonts w:ascii="Arial" w:hAnsi="Arial" w:cs="Arial"/>
          <w:sz w:val="24"/>
          <w:szCs w:val="24"/>
        </w:rPr>
        <w:t xml:space="preserve">on 21 </w:t>
      </w:r>
      <w:r w:rsidR="00B92EEF" w:rsidRPr="009755DB">
        <w:rPr>
          <w:rFonts w:ascii="Arial" w:hAnsi="Arial" w:cs="Arial"/>
          <w:sz w:val="24"/>
          <w:szCs w:val="24"/>
        </w:rPr>
        <w:t xml:space="preserve">January 2020. The defendant </w:t>
      </w:r>
      <w:r w:rsidR="004727AE" w:rsidRPr="009755DB">
        <w:rPr>
          <w:rFonts w:ascii="Arial" w:hAnsi="Arial" w:cs="Arial"/>
          <w:sz w:val="24"/>
          <w:szCs w:val="24"/>
        </w:rPr>
        <w:t>submitted</w:t>
      </w:r>
      <w:r w:rsidR="00FF3F60" w:rsidRPr="009755DB">
        <w:rPr>
          <w:rFonts w:ascii="Arial" w:hAnsi="Arial" w:cs="Arial"/>
          <w:sz w:val="24"/>
          <w:szCs w:val="24"/>
        </w:rPr>
        <w:t xml:space="preserve"> that </w:t>
      </w:r>
      <w:r w:rsidR="004727AE" w:rsidRPr="009755DB">
        <w:rPr>
          <w:rFonts w:ascii="Arial" w:hAnsi="Arial" w:cs="Arial"/>
          <w:sz w:val="24"/>
          <w:szCs w:val="24"/>
        </w:rPr>
        <w:t xml:space="preserve">the </w:t>
      </w:r>
      <w:r w:rsidR="00FF3F60" w:rsidRPr="009755DB">
        <w:rPr>
          <w:rFonts w:ascii="Arial" w:hAnsi="Arial" w:cs="Arial"/>
          <w:sz w:val="24"/>
          <w:szCs w:val="24"/>
        </w:rPr>
        <w:t xml:space="preserve">Consumer Protection Act </w:t>
      </w:r>
      <w:r w:rsidR="004727AE" w:rsidRPr="009755DB">
        <w:rPr>
          <w:rFonts w:ascii="Arial" w:hAnsi="Arial" w:cs="Arial"/>
          <w:sz w:val="24"/>
          <w:szCs w:val="24"/>
        </w:rPr>
        <w:t>of</w:t>
      </w:r>
      <w:r w:rsidR="005A2F83">
        <w:rPr>
          <w:rFonts w:ascii="Arial" w:hAnsi="Arial" w:cs="Arial"/>
          <w:sz w:val="24"/>
          <w:szCs w:val="24"/>
        </w:rPr>
        <w:t xml:space="preserve"> 68 </w:t>
      </w:r>
      <w:r w:rsidR="00FF3F60" w:rsidRPr="009755DB">
        <w:rPr>
          <w:rFonts w:ascii="Arial" w:hAnsi="Arial" w:cs="Arial"/>
          <w:sz w:val="24"/>
          <w:szCs w:val="24"/>
        </w:rPr>
        <w:t>2008</w:t>
      </w:r>
      <w:r w:rsidR="00ED6C46" w:rsidRPr="009755DB">
        <w:rPr>
          <w:rFonts w:ascii="Arial" w:hAnsi="Arial" w:cs="Arial"/>
          <w:sz w:val="24"/>
          <w:szCs w:val="24"/>
        </w:rPr>
        <w:t xml:space="preserve"> (CPA)</w:t>
      </w:r>
      <w:r w:rsidR="00FF3F60" w:rsidRPr="009755DB">
        <w:rPr>
          <w:rFonts w:ascii="Arial" w:hAnsi="Arial" w:cs="Arial"/>
          <w:sz w:val="24"/>
          <w:szCs w:val="24"/>
        </w:rPr>
        <w:t xml:space="preserve"> </w:t>
      </w:r>
      <w:r w:rsidR="004727AE" w:rsidRPr="009755DB">
        <w:rPr>
          <w:rFonts w:ascii="Arial" w:hAnsi="Arial" w:cs="Arial"/>
          <w:sz w:val="24"/>
          <w:szCs w:val="24"/>
        </w:rPr>
        <w:t>finds application in this matter.</w:t>
      </w:r>
      <w:r w:rsidR="00FF3F60" w:rsidRPr="009755DB">
        <w:rPr>
          <w:rFonts w:ascii="Arial" w:hAnsi="Arial" w:cs="Arial"/>
          <w:sz w:val="24"/>
          <w:szCs w:val="24"/>
        </w:rPr>
        <w:t xml:space="preserve"> </w:t>
      </w:r>
      <w:r w:rsidR="009D2FF0" w:rsidRPr="009755DB">
        <w:rPr>
          <w:rFonts w:ascii="Arial" w:hAnsi="Arial" w:cs="Arial"/>
          <w:sz w:val="24"/>
          <w:szCs w:val="24"/>
        </w:rPr>
        <w:t xml:space="preserve">Disputing this assertion, </w:t>
      </w:r>
      <w:r w:rsidR="00EC3FEF" w:rsidRPr="009755DB">
        <w:rPr>
          <w:rFonts w:ascii="Arial" w:hAnsi="Arial" w:cs="Arial"/>
          <w:sz w:val="24"/>
          <w:szCs w:val="24"/>
        </w:rPr>
        <w:t>the plaintiff seeks an order in terms of Rule 32 of the Uniform Rules of Court.</w:t>
      </w:r>
      <w:r w:rsidR="00FF3F60" w:rsidRPr="009755DB">
        <w:rPr>
          <w:rFonts w:ascii="Arial" w:hAnsi="Arial" w:cs="Arial"/>
          <w:sz w:val="24"/>
          <w:szCs w:val="24"/>
        </w:rPr>
        <w:t xml:space="preserve"> </w:t>
      </w:r>
    </w:p>
    <w:p w14:paraId="30BE92DC" w14:textId="77777777" w:rsidR="000F2E5A" w:rsidRPr="00CC1B93" w:rsidRDefault="000F2E5A" w:rsidP="009755DB">
      <w:pPr>
        <w:spacing w:after="0" w:line="360" w:lineRule="auto"/>
        <w:jc w:val="both"/>
        <w:rPr>
          <w:rFonts w:ascii="Arial" w:hAnsi="Arial" w:cs="Arial"/>
          <w:sz w:val="24"/>
          <w:szCs w:val="24"/>
        </w:rPr>
      </w:pPr>
    </w:p>
    <w:p w14:paraId="756F027F" w14:textId="0FFF47C2" w:rsidR="001E55FC" w:rsidRPr="00CC1B93" w:rsidRDefault="000F2E5A" w:rsidP="009755DB">
      <w:pPr>
        <w:spacing w:after="0" w:line="360" w:lineRule="auto"/>
        <w:jc w:val="both"/>
        <w:rPr>
          <w:rFonts w:ascii="Arial" w:hAnsi="Arial" w:cs="Arial"/>
          <w:i/>
          <w:iCs/>
          <w:sz w:val="24"/>
          <w:szCs w:val="24"/>
        </w:rPr>
      </w:pPr>
      <w:r w:rsidRPr="00CC1B93">
        <w:rPr>
          <w:rFonts w:ascii="Arial" w:hAnsi="Arial" w:cs="Arial"/>
          <w:i/>
          <w:iCs/>
          <w:sz w:val="24"/>
          <w:szCs w:val="24"/>
        </w:rPr>
        <w:t xml:space="preserve">The parties </w:t>
      </w:r>
      <w:r w:rsidR="00FA5D50" w:rsidRPr="00CC1B93">
        <w:rPr>
          <w:rFonts w:ascii="Arial" w:hAnsi="Arial" w:cs="Arial"/>
          <w:i/>
          <w:iCs/>
          <w:sz w:val="24"/>
          <w:szCs w:val="24"/>
        </w:rPr>
        <w:t xml:space="preserve"> </w:t>
      </w:r>
    </w:p>
    <w:p w14:paraId="36B67C2B" w14:textId="6394303F" w:rsidR="00102C54" w:rsidRPr="009755DB" w:rsidRDefault="000379FF" w:rsidP="009755DB">
      <w:pPr>
        <w:spacing w:after="0" w:line="360" w:lineRule="auto"/>
        <w:jc w:val="both"/>
        <w:rPr>
          <w:rFonts w:ascii="Arial" w:hAnsi="Arial" w:cs="Arial"/>
          <w:sz w:val="24"/>
          <w:szCs w:val="24"/>
          <w:lang w:val="en-US"/>
        </w:rPr>
      </w:pPr>
      <w:r>
        <w:rPr>
          <w:rFonts w:ascii="Arial" w:hAnsi="Arial" w:cs="Arial"/>
          <w:sz w:val="24"/>
          <w:szCs w:val="24"/>
        </w:rPr>
        <w:t>[2]</w:t>
      </w:r>
      <w:r>
        <w:rPr>
          <w:rFonts w:ascii="Arial" w:hAnsi="Arial" w:cs="Arial"/>
          <w:sz w:val="24"/>
          <w:szCs w:val="24"/>
        </w:rPr>
        <w:tab/>
      </w:r>
      <w:r w:rsidR="00102C54" w:rsidRPr="009755DB">
        <w:rPr>
          <w:rFonts w:ascii="Arial" w:hAnsi="Arial" w:cs="Arial"/>
          <w:sz w:val="24"/>
          <w:szCs w:val="24"/>
        </w:rPr>
        <w:t xml:space="preserve">The plaintiff is </w:t>
      </w:r>
      <w:r w:rsidR="009771DF" w:rsidRPr="009755DB">
        <w:rPr>
          <w:rFonts w:ascii="Arial" w:hAnsi="Arial" w:cs="Arial"/>
          <w:sz w:val="24"/>
          <w:szCs w:val="24"/>
          <w:lang w:val="en-US"/>
        </w:rPr>
        <w:t>N</w:t>
      </w:r>
      <w:r w:rsidR="00102C54" w:rsidRPr="009755DB">
        <w:rPr>
          <w:rFonts w:ascii="Arial" w:hAnsi="Arial" w:cs="Arial"/>
          <w:sz w:val="24"/>
          <w:szCs w:val="24"/>
          <w:lang w:val="en-US"/>
        </w:rPr>
        <w:t>e</w:t>
      </w:r>
      <w:r w:rsidR="009771DF" w:rsidRPr="009755DB">
        <w:rPr>
          <w:rFonts w:ascii="Arial" w:hAnsi="Arial" w:cs="Arial"/>
          <w:sz w:val="24"/>
          <w:szCs w:val="24"/>
          <w:lang w:val="en-US"/>
        </w:rPr>
        <w:t>d</w:t>
      </w:r>
      <w:r w:rsidR="00102C54" w:rsidRPr="009755DB">
        <w:rPr>
          <w:rFonts w:ascii="Arial" w:hAnsi="Arial" w:cs="Arial"/>
          <w:sz w:val="24"/>
          <w:szCs w:val="24"/>
          <w:lang w:val="en-US"/>
        </w:rPr>
        <w:t xml:space="preserve">bank </w:t>
      </w:r>
      <w:r w:rsidR="009771DF" w:rsidRPr="009755DB">
        <w:rPr>
          <w:rFonts w:ascii="Arial" w:hAnsi="Arial" w:cs="Arial"/>
          <w:sz w:val="24"/>
          <w:szCs w:val="24"/>
          <w:lang w:val="en-US"/>
        </w:rPr>
        <w:t>L</w:t>
      </w:r>
      <w:r w:rsidR="00102C54" w:rsidRPr="009755DB">
        <w:rPr>
          <w:rFonts w:ascii="Arial" w:hAnsi="Arial" w:cs="Arial"/>
          <w:sz w:val="24"/>
          <w:szCs w:val="24"/>
          <w:lang w:val="en-US"/>
        </w:rPr>
        <w:t>imited a public company with limited liability duly registered and incorporated in accordance with the company laws of the Republic of South Africa</w:t>
      </w:r>
      <w:r w:rsidR="008646AA" w:rsidRPr="009755DB">
        <w:rPr>
          <w:rFonts w:ascii="Arial" w:hAnsi="Arial" w:cs="Arial"/>
          <w:sz w:val="24"/>
          <w:szCs w:val="24"/>
          <w:lang w:val="en-US"/>
        </w:rPr>
        <w:t>,</w:t>
      </w:r>
      <w:r w:rsidR="00102C54" w:rsidRPr="009755DB">
        <w:rPr>
          <w:rFonts w:ascii="Arial" w:hAnsi="Arial" w:cs="Arial"/>
          <w:sz w:val="24"/>
          <w:szCs w:val="24"/>
          <w:lang w:val="en-US"/>
        </w:rPr>
        <w:t xml:space="preserve"> with the registration number: 1951/000009/06</w:t>
      </w:r>
      <w:r w:rsidR="00611ACB" w:rsidRPr="009755DB">
        <w:rPr>
          <w:rFonts w:ascii="Arial" w:hAnsi="Arial" w:cs="Arial"/>
          <w:sz w:val="24"/>
          <w:szCs w:val="24"/>
          <w:lang w:val="en-US"/>
        </w:rPr>
        <w:t>.</w:t>
      </w:r>
    </w:p>
    <w:p w14:paraId="5532AA53" w14:textId="77777777" w:rsidR="00FF661F" w:rsidRPr="00CC1B93" w:rsidRDefault="00FF661F" w:rsidP="009755DB">
      <w:pPr>
        <w:spacing w:after="0"/>
        <w:jc w:val="both"/>
        <w:rPr>
          <w:rFonts w:ascii="Arial" w:hAnsi="Arial" w:cs="Arial"/>
          <w:sz w:val="24"/>
          <w:szCs w:val="24"/>
          <w:lang w:val="en-US"/>
        </w:rPr>
      </w:pPr>
    </w:p>
    <w:p w14:paraId="564A95D3" w14:textId="06E8EF32" w:rsidR="00B86253" w:rsidRDefault="000379FF" w:rsidP="00570D76">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102C54" w:rsidRPr="009755DB">
        <w:rPr>
          <w:rFonts w:ascii="Arial" w:hAnsi="Arial" w:cs="Arial"/>
          <w:sz w:val="24"/>
          <w:szCs w:val="24"/>
          <w:lang w:val="en-US"/>
        </w:rPr>
        <w:t xml:space="preserve">The defendant </w:t>
      </w:r>
      <w:r w:rsidR="009771DF" w:rsidRPr="009755DB">
        <w:rPr>
          <w:rFonts w:ascii="Arial" w:hAnsi="Arial" w:cs="Arial"/>
          <w:sz w:val="24"/>
          <w:szCs w:val="24"/>
          <w:lang w:val="en-US"/>
        </w:rPr>
        <w:t>is Alfred Mafodi Sithole</w:t>
      </w:r>
      <w:r w:rsidR="00FF661F" w:rsidRPr="009755DB">
        <w:rPr>
          <w:rFonts w:ascii="Arial" w:hAnsi="Arial" w:cs="Arial"/>
          <w:sz w:val="24"/>
          <w:szCs w:val="24"/>
          <w:lang w:val="en-US"/>
        </w:rPr>
        <w:t xml:space="preserve"> </w:t>
      </w:r>
      <w:r w:rsidR="006552E2" w:rsidRPr="009755DB">
        <w:rPr>
          <w:rFonts w:ascii="Arial" w:hAnsi="Arial" w:cs="Arial"/>
          <w:sz w:val="24"/>
          <w:szCs w:val="24"/>
          <w:lang w:val="en-US"/>
        </w:rPr>
        <w:t xml:space="preserve">an adult male with Identity No </w:t>
      </w:r>
      <w:r w:rsidR="00BB01CF">
        <w:rPr>
          <w:rFonts w:ascii="Arial" w:hAnsi="Arial" w:cs="Arial"/>
          <w:sz w:val="24"/>
          <w:szCs w:val="24"/>
          <w:lang w:val="en-US"/>
        </w:rPr>
        <w:t>[…]</w:t>
      </w:r>
      <w:r w:rsidR="007B4D01" w:rsidRPr="009755DB">
        <w:rPr>
          <w:rFonts w:ascii="Arial" w:hAnsi="Arial" w:cs="Arial"/>
          <w:sz w:val="24"/>
          <w:szCs w:val="24"/>
          <w:lang w:val="en-US"/>
        </w:rPr>
        <w:t>.</w:t>
      </w:r>
    </w:p>
    <w:p w14:paraId="71E10D7D" w14:textId="77777777" w:rsidR="00C0228F" w:rsidRPr="00CC1B93" w:rsidRDefault="00C0228F" w:rsidP="00570D76">
      <w:pPr>
        <w:spacing w:after="0" w:line="360" w:lineRule="auto"/>
        <w:jc w:val="both"/>
        <w:rPr>
          <w:rFonts w:ascii="Arial" w:hAnsi="Arial" w:cs="Arial"/>
          <w:sz w:val="24"/>
          <w:szCs w:val="24"/>
          <w:lang w:val="en-US"/>
        </w:rPr>
      </w:pPr>
    </w:p>
    <w:p w14:paraId="445D76D0" w14:textId="4686D402" w:rsidR="007B4D01" w:rsidRPr="00CC1B93" w:rsidRDefault="007B4D01" w:rsidP="00570D76">
      <w:pPr>
        <w:spacing w:after="0" w:line="360" w:lineRule="auto"/>
        <w:jc w:val="both"/>
        <w:rPr>
          <w:rFonts w:ascii="Arial" w:hAnsi="Arial" w:cs="Arial"/>
          <w:i/>
          <w:iCs/>
          <w:sz w:val="24"/>
          <w:szCs w:val="24"/>
          <w:lang w:val="en-US"/>
        </w:rPr>
      </w:pPr>
      <w:r w:rsidRPr="00CC1B93">
        <w:rPr>
          <w:rFonts w:ascii="Arial" w:hAnsi="Arial" w:cs="Arial"/>
          <w:i/>
          <w:iCs/>
          <w:sz w:val="24"/>
          <w:szCs w:val="24"/>
          <w:lang w:val="en-US"/>
        </w:rPr>
        <w:t xml:space="preserve">Facts </w:t>
      </w:r>
    </w:p>
    <w:p w14:paraId="78F6E0B6" w14:textId="244C5172" w:rsidR="00C0228F" w:rsidRPr="00312C14" w:rsidRDefault="000379FF" w:rsidP="00312C14">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312C14" w:rsidRPr="00312C14">
        <w:rPr>
          <w:rFonts w:ascii="Arial" w:hAnsi="Arial" w:cs="Arial"/>
          <w:sz w:val="24"/>
          <w:szCs w:val="24"/>
          <w:lang w:val="en-US"/>
        </w:rPr>
        <w:t>T</w:t>
      </w:r>
      <w:r w:rsidR="00C0228F" w:rsidRPr="00312C14">
        <w:rPr>
          <w:rFonts w:ascii="Arial" w:hAnsi="Arial" w:cs="Arial"/>
          <w:sz w:val="24"/>
          <w:szCs w:val="24"/>
          <w:lang w:val="en-US"/>
        </w:rPr>
        <w:t xml:space="preserve">he </w:t>
      </w:r>
      <w:r w:rsidR="00C0228F" w:rsidRPr="007E63B4">
        <w:rPr>
          <w:rFonts w:ascii="Arial" w:hAnsi="Arial" w:cs="Arial"/>
          <w:i/>
          <w:iCs/>
          <w:sz w:val="24"/>
          <w:szCs w:val="24"/>
          <w:lang w:val="en-US"/>
        </w:rPr>
        <w:t>essentialia</w:t>
      </w:r>
      <w:r w:rsidR="00C0228F" w:rsidRPr="00312C14">
        <w:rPr>
          <w:rFonts w:ascii="Arial" w:hAnsi="Arial" w:cs="Arial"/>
          <w:sz w:val="24"/>
          <w:szCs w:val="24"/>
          <w:lang w:val="en-US"/>
        </w:rPr>
        <w:t xml:space="preserve"> of the agreement are, </w:t>
      </w:r>
      <w:r w:rsidR="00C0228F" w:rsidRPr="00312C14">
        <w:rPr>
          <w:rFonts w:ascii="Arial" w:hAnsi="Arial" w:cs="Arial"/>
          <w:i/>
          <w:iCs/>
          <w:sz w:val="24"/>
          <w:szCs w:val="24"/>
          <w:lang w:val="en-US"/>
        </w:rPr>
        <w:t>inter alia</w:t>
      </w:r>
      <w:r w:rsidR="00C0228F" w:rsidRPr="00312C14">
        <w:rPr>
          <w:rFonts w:ascii="Arial" w:hAnsi="Arial" w:cs="Arial"/>
          <w:sz w:val="24"/>
          <w:szCs w:val="24"/>
          <w:lang w:val="en-US"/>
        </w:rPr>
        <w:t>, the following:</w:t>
      </w:r>
    </w:p>
    <w:p w14:paraId="45876EB6" w14:textId="185129BC" w:rsidR="00C0228F" w:rsidRPr="00C0228F" w:rsidRDefault="00312C14" w:rsidP="00C0228F">
      <w:pPr>
        <w:spacing w:after="0" w:line="360" w:lineRule="auto"/>
        <w:ind w:left="851"/>
        <w:jc w:val="both"/>
        <w:rPr>
          <w:rFonts w:ascii="Arial" w:hAnsi="Arial" w:cs="Arial"/>
          <w:lang w:val="en-US"/>
        </w:rPr>
      </w:pPr>
      <w:r>
        <w:rPr>
          <w:rFonts w:ascii="Arial" w:hAnsi="Arial" w:cs="Arial"/>
          <w:lang w:val="en-US"/>
        </w:rPr>
        <w:t>“</w:t>
      </w:r>
      <w:r w:rsidR="00C0228F" w:rsidRPr="00C0228F">
        <w:rPr>
          <w:rFonts w:ascii="Arial" w:hAnsi="Arial" w:cs="Arial"/>
          <w:lang w:val="en-US"/>
        </w:rPr>
        <w:t>The plaintiff sold to the defendant the following goods:</w:t>
      </w:r>
    </w:p>
    <w:p w14:paraId="077FA170" w14:textId="0D71FE2A" w:rsidR="00041563" w:rsidRPr="00C0228F" w:rsidRDefault="00041563" w:rsidP="00C0228F">
      <w:pPr>
        <w:ind w:left="851"/>
        <w:jc w:val="both"/>
        <w:rPr>
          <w:rFonts w:ascii="Arial" w:hAnsi="Arial" w:cs="Arial"/>
          <w:b/>
          <w:bCs/>
          <w:lang w:val="en-US"/>
        </w:rPr>
      </w:pPr>
      <w:r w:rsidRPr="00C0228F">
        <w:rPr>
          <w:rFonts w:ascii="Arial" w:hAnsi="Arial" w:cs="Arial"/>
          <w:b/>
          <w:bCs/>
          <w:lang w:val="en-US"/>
        </w:rPr>
        <w:t>2018 Renault Clio IV</w:t>
      </w:r>
      <w:r w:rsidR="007E5EF6" w:rsidRPr="00C0228F">
        <w:rPr>
          <w:rFonts w:ascii="Arial" w:hAnsi="Arial" w:cs="Arial"/>
          <w:b/>
          <w:bCs/>
          <w:lang w:val="en-US"/>
        </w:rPr>
        <w:t xml:space="preserve"> 900T Authentique 5DR</w:t>
      </w:r>
    </w:p>
    <w:p w14:paraId="73330D90" w14:textId="77777777" w:rsidR="007E5EF6" w:rsidRPr="00C0228F" w:rsidRDefault="007E5EF6" w:rsidP="00C0228F">
      <w:pPr>
        <w:ind w:left="851"/>
        <w:jc w:val="both"/>
        <w:rPr>
          <w:rFonts w:ascii="Arial" w:hAnsi="Arial" w:cs="Arial"/>
          <w:b/>
          <w:bCs/>
          <w:lang w:val="en-US"/>
        </w:rPr>
      </w:pPr>
      <w:r w:rsidRPr="00C0228F">
        <w:rPr>
          <w:rFonts w:ascii="Arial" w:hAnsi="Arial" w:cs="Arial"/>
          <w:b/>
          <w:bCs/>
          <w:lang w:val="en-US"/>
        </w:rPr>
        <w:t>Registration number: unknown</w:t>
      </w:r>
    </w:p>
    <w:p w14:paraId="49B9F17F" w14:textId="2058B615" w:rsidR="007E5EF6" w:rsidRPr="00C0228F" w:rsidRDefault="007E5EF6" w:rsidP="00C0228F">
      <w:pPr>
        <w:ind w:left="851"/>
        <w:jc w:val="both"/>
        <w:rPr>
          <w:rFonts w:ascii="Arial" w:hAnsi="Arial" w:cs="Arial"/>
          <w:lang w:val="en-US"/>
        </w:rPr>
      </w:pPr>
      <w:r w:rsidRPr="00C0228F">
        <w:rPr>
          <w:rFonts w:ascii="Arial" w:hAnsi="Arial" w:cs="Arial"/>
          <w:b/>
          <w:bCs/>
          <w:lang w:val="en-US"/>
        </w:rPr>
        <w:t xml:space="preserve">Engine number: </w:t>
      </w:r>
      <w:r w:rsidR="00BB01CF">
        <w:rPr>
          <w:rFonts w:ascii="Arial" w:hAnsi="Arial" w:cs="Arial"/>
          <w:b/>
          <w:bCs/>
          <w:lang w:val="en-US"/>
        </w:rPr>
        <w:t>[…]</w:t>
      </w:r>
      <w:r w:rsidR="00CB2744">
        <w:rPr>
          <w:rFonts w:ascii="Arial" w:hAnsi="Arial" w:cs="Arial"/>
          <w:b/>
          <w:bCs/>
          <w:lang w:val="en-US"/>
        </w:rPr>
        <w:t xml:space="preserve"> </w:t>
      </w:r>
      <w:r w:rsidRPr="00C0228F">
        <w:rPr>
          <w:rFonts w:ascii="Arial" w:hAnsi="Arial" w:cs="Arial"/>
          <w:b/>
          <w:bCs/>
          <w:lang w:val="en-US"/>
        </w:rPr>
        <w:t xml:space="preserve">Chassis number: </w:t>
      </w:r>
      <w:r w:rsidR="00BB01CF">
        <w:rPr>
          <w:rFonts w:ascii="Arial" w:hAnsi="Arial" w:cs="Arial"/>
          <w:b/>
          <w:bCs/>
          <w:lang w:val="en-US"/>
        </w:rPr>
        <w:t>[…</w:t>
      </w:r>
      <w:bookmarkStart w:id="0" w:name="_GoBack"/>
      <w:bookmarkEnd w:id="0"/>
      <w:r w:rsidR="00BB01CF">
        <w:rPr>
          <w:rFonts w:ascii="Arial" w:hAnsi="Arial" w:cs="Arial"/>
          <w:b/>
          <w:bCs/>
          <w:lang w:val="en-US"/>
        </w:rPr>
        <w:t>]</w:t>
      </w:r>
      <w:r w:rsidRPr="00C0228F">
        <w:rPr>
          <w:rFonts w:ascii="Arial" w:hAnsi="Arial" w:cs="Arial"/>
          <w:lang w:val="en-US"/>
        </w:rPr>
        <w:t>(</w:t>
      </w:r>
      <w:r w:rsidR="001E31E8" w:rsidRPr="00C0228F">
        <w:rPr>
          <w:rFonts w:ascii="Arial" w:hAnsi="Arial" w:cs="Arial"/>
          <w:lang w:val="en-US"/>
        </w:rPr>
        <w:t>“</w:t>
      </w:r>
      <w:r w:rsidRPr="00C0228F">
        <w:rPr>
          <w:rFonts w:ascii="Arial" w:hAnsi="Arial" w:cs="Arial"/>
          <w:lang w:val="en-US"/>
        </w:rPr>
        <w:t>the vehicle</w:t>
      </w:r>
      <w:r w:rsidR="001E31E8" w:rsidRPr="00C0228F">
        <w:rPr>
          <w:rFonts w:ascii="Arial" w:hAnsi="Arial" w:cs="Arial"/>
          <w:lang w:val="en-US"/>
        </w:rPr>
        <w:t>”</w:t>
      </w:r>
      <w:r w:rsidRPr="00C0228F">
        <w:rPr>
          <w:rFonts w:ascii="Arial" w:hAnsi="Arial" w:cs="Arial"/>
          <w:lang w:val="en-US"/>
        </w:rPr>
        <w:t>)</w:t>
      </w:r>
    </w:p>
    <w:p w14:paraId="4340740D" w14:textId="0ECE0482" w:rsidR="00714C43" w:rsidRPr="00C0228F" w:rsidRDefault="007E5EF6" w:rsidP="00414795">
      <w:pPr>
        <w:spacing w:after="0" w:line="360" w:lineRule="auto"/>
        <w:ind w:left="851"/>
        <w:jc w:val="both"/>
        <w:rPr>
          <w:rFonts w:ascii="Arial" w:hAnsi="Arial" w:cs="Arial"/>
          <w:lang w:val="en-US"/>
        </w:rPr>
      </w:pPr>
      <w:r w:rsidRPr="00C0228F">
        <w:rPr>
          <w:rFonts w:ascii="Arial" w:hAnsi="Arial" w:cs="Arial"/>
          <w:lang w:val="en-US"/>
        </w:rPr>
        <w:t>The goods were sold for an amount of</w:t>
      </w:r>
      <w:r w:rsidR="001E31E8" w:rsidRPr="00C0228F">
        <w:rPr>
          <w:rFonts w:ascii="Arial" w:hAnsi="Arial" w:cs="Arial"/>
          <w:lang w:val="en-US"/>
        </w:rPr>
        <w:t xml:space="preserve"> R</w:t>
      </w:r>
      <w:r w:rsidRPr="00C0228F">
        <w:rPr>
          <w:rFonts w:ascii="Arial" w:hAnsi="Arial" w:cs="Arial"/>
          <w:lang w:val="en-US"/>
        </w:rPr>
        <w:t>298 429.63 which amount was made</w:t>
      </w:r>
      <w:r w:rsidR="007B117A" w:rsidRPr="00C0228F">
        <w:rPr>
          <w:rFonts w:ascii="Arial" w:hAnsi="Arial" w:cs="Arial"/>
          <w:lang w:val="en-US"/>
        </w:rPr>
        <w:t xml:space="preserve"> </w:t>
      </w:r>
      <w:r w:rsidRPr="00C0228F">
        <w:rPr>
          <w:rFonts w:ascii="Arial" w:hAnsi="Arial" w:cs="Arial"/>
          <w:lang w:val="en-US"/>
        </w:rPr>
        <w:t>up of</w:t>
      </w:r>
      <w:r w:rsidR="007B117A" w:rsidRPr="00C0228F">
        <w:rPr>
          <w:rFonts w:ascii="Arial" w:hAnsi="Arial" w:cs="Arial"/>
          <w:lang w:val="en-US"/>
        </w:rPr>
        <w:t xml:space="preserve">, </w:t>
      </w:r>
      <w:r w:rsidR="007B117A" w:rsidRPr="00C0228F">
        <w:rPr>
          <w:rFonts w:ascii="Arial" w:hAnsi="Arial" w:cs="Arial"/>
          <w:i/>
          <w:iCs/>
          <w:lang w:val="en-US"/>
        </w:rPr>
        <w:t>inter alia</w:t>
      </w:r>
      <w:r w:rsidR="007B117A" w:rsidRPr="00C0228F">
        <w:rPr>
          <w:rFonts w:ascii="Arial" w:hAnsi="Arial" w:cs="Arial"/>
          <w:lang w:val="en-US"/>
        </w:rPr>
        <w:t>,</w:t>
      </w:r>
      <w:r w:rsidRPr="00C0228F">
        <w:rPr>
          <w:rFonts w:ascii="Arial" w:hAnsi="Arial" w:cs="Arial"/>
          <w:lang w:val="en-US"/>
        </w:rPr>
        <w:t xml:space="preserve"> a principal d</w:t>
      </w:r>
      <w:r w:rsidR="007B117A" w:rsidRPr="00C0228F">
        <w:rPr>
          <w:rFonts w:ascii="Arial" w:hAnsi="Arial" w:cs="Arial"/>
          <w:lang w:val="en-US"/>
        </w:rPr>
        <w:t xml:space="preserve">ebt </w:t>
      </w:r>
      <w:r w:rsidRPr="00C0228F">
        <w:rPr>
          <w:rFonts w:ascii="Arial" w:hAnsi="Arial" w:cs="Arial"/>
          <w:lang w:val="en-US"/>
        </w:rPr>
        <w:t xml:space="preserve">of </w:t>
      </w:r>
      <w:r w:rsidR="007B117A" w:rsidRPr="00C0228F">
        <w:rPr>
          <w:rFonts w:ascii="Arial" w:hAnsi="Arial" w:cs="Arial"/>
          <w:lang w:val="en-US"/>
        </w:rPr>
        <w:t>R</w:t>
      </w:r>
      <w:r w:rsidRPr="00C0228F">
        <w:rPr>
          <w:rFonts w:ascii="Arial" w:hAnsi="Arial" w:cs="Arial"/>
          <w:lang w:val="en-US"/>
        </w:rPr>
        <w:t>186</w:t>
      </w:r>
      <w:r w:rsidR="007B117A" w:rsidRPr="00C0228F">
        <w:rPr>
          <w:rFonts w:ascii="Arial" w:hAnsi="Arial" w:cs="Arial"/>
          <w:lang w:val="en-US"/>
        </w:rPr>
        <w:t xml:space="preserve"> </w:t>
      </w:r>
      <w:r w:rsidRPr="00C0228F">
        <w:rPr>
          <w:rFonts w:ascii="Arial" w:hAnsi="Arial" w:cs="Arial"/>
          <w:lang w:val="en-US"/>
        </w:rPr>
        <w:t>122.50 (</w:t>
      </w:r>
      <w:r w:rsidR="007B117A" w:rsidRPr="00C0228F">
        <w:rPr>
          <w:rFonts w:ascii="Arial" w:hAnsi="Arial" w:cs="Arial"/>
          <w:lang w:val="en-US"/>
        </w:rPr>
        <w:t>“</w:t>
      </w:r>
      <w:r w:rsidRPr="00C0228F">
        <w:rPr>
          <w:rFonts w:ascii="Arial" w:hAnsi="Arial" w:cs="Arial"/>
          <w:lang w:val="en-US"/>
        </w:rPr>
        <w:t xml:space="preserve">principal </w:t>
      </w:r>
      <w:r w:rsidR="007B117A" w:rsidRPr="00C0228F">
        <w:rPr>
          <w:rFonts w:ascii="Arial" w:hAnsi="Arial" w:cs="Arial"/>
          <w:lang w:val="en-US"/>
        </w:rPr>
        <w:t>debt”</w:t>
      </w:r>
      <w:r w:rsidRPr="00C0228F">
        <w:rPr>
          <w:rFonts w:ascii="Arial" w:hAnsi="Arial" w:cs="Arial"/>
          <w:lang w:val="en-US"/>
        </w:rPr>
        <w:t>) plus finance charges of R112 307.03.</w:t>
      </w:r>
      <w:r w:rsidR="003C399F" w:rsidRPr="00C0228F">
        <w:rPr>
          <w:rFonts w:ascii="Arial" w:hAnsi="Arial" w:cs="Arial"/>
          <w:lang w:val="en-US"/>
        </w:rPr>
        <w:t>”</w:t>
      </w:r>
      <w:r w:rsidR="003C399F" w:rsidRPr="00C0228F">
        <w:rPr>
          <w:rStyle w:val="FootnoteReference"/>
          <w:rFonts w:ascii="Arial" w:hAnsi="Arial" w:cs="Arial"/>
          <w:lang w:val="en-US"/>
        </w:rPr>
        <w:footnoteReference w:id="1"/>
      </w:r>
    </w:p>
    <w:p w14:paraId="585F0598" w14:textId="77777777" w:rsidR="00817A79" w:rsidRPr="00CC1B93" w:rsidRDefault="00817A79" w:rsidP="00414795">
      <w:pPr>
        <w:spacing w:after="0"/>
        <w:ind w:left="1440"/>
        <w:jc w:val="both"/>
        <w:rPr>
          <w:rFonts w:ascii="Arial" w:hAnsi="Arial" w:cs="Arial"/>
          <w:sz w:val="24"/>
          <w:szCs w:val="24"/>
          <w:lang w:val="en-US"/>
        </w:rPr>
      </w:pPr>
    </w:p>
    <w:p w14:paraId="238479B1" w14:textId="0261088D" w:rsidR="00A13360" w:rsidRDefault="00E109FF" w:rsidP="00184257">
      <w:pPr>
        <w:spacing w:after="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714C43" w:rsidRPr="009755DB">
        <w:rPr>
          <w:rFonts w:ascii="Arial" w:hAnsi="Arial" w:cs="Arial"/>
          <w:sz w:val="24"/>
          <w:szCs w:val="24"/>
          <w:lang w:val="en-US"/>
        </w:rPr>
        <w:t>The said amount</w:t>
      </w:r>
      <w:r w:rsidR="007B117A" w:rsidRPr="009755DB">
        <w:rPr>
          <w:rFonts w:ascii="Arial" w:hAnsi="Arial" w:cs="Arial"/>
          <w:sz w:val="24"/>
          <w:szCs w:val="24"/>
          <w:lang w:val="en-US"/>
        </w:rPr>
        <w:t xml:space="preserve"> </w:t>
      </w:r>
      <w:r w:rsidR="00714C43" w:rsidRPr="009755DB">
        <w:rPr>
          <w:rFonts w:ascii="Arial" w:hAnsi="Arial" w:cs="Arial"/>
          <w:sz w:val="24"/>
          <w:szCs w:val="24"/>
          <w:lang w:val="en-US"/>
        </w:rPr>
        <w:t xml:space="preserve">was going to be repaid in installments </w:t>
      </w:r>
      <w:r w:rsidR="00312C14">
        <w:rPr>
          <w:rFonts w:ascii="Arial" w:hAnsi="Arial" w:cs="Arial"/>
          <w:sz w:val="24"/>
          <w:szCs w:val="24"/>
          <w:lang w:val="en-US"/>
        </w:rPr>
        <w:t>calculated in the following fashion:</w:t>
      </w:r>
    </w:p>
    <w:p w14:paraId="20DB6B54" w14:textId="5DEA1212" w:rsidR="00FF661F" w:rsidRPr="009755DB" w:rsidRDefault="00A13360" w:rsidP="00414795">
      <w:pPr>
        <w:spacing w:after="0" w:line="360" w:lineRule="auto"/>
        <w:ind w:left="851"/>
        <w:jc w:val="both"/>
        <w:rPr>
          <w:rFonts w:ascii="Arial" w:hAnsi="Arial" w:cs="Arial"/>
          <w:lang w:val="en-US"/>
        </w:rPr>
      </w:pPr>
      <w:r w:rsidRPr="009755DB">
        <w:rPr>
          <w:rFonts w:ascii="Arial" w:hAnsi="Arial" w:cs="Arial"/>
          <w:lang w:val="en-US"/>
        </w:rPr>
        <w:t>“</w:t>
      </w:r>
      <w:r w:rsidR="00FF3348">
        <w:rPr>
          <w:rFonts w:ascii="Arial" w:hAnsi="Arial" w:cs="Arial"/>
          <w:lang w:val="en-US"/>
        </w:rPr>
        <w:t>[O]</w:t>
      </w:r>
      <w:r w:rsidR="00A10296" w:rsidRPr="009755DB">
        <w:rPr>
          <w:rFonts w:ascii="Arial" w:hAnsi="Arial" w:cs="Arial"/>
          <w:lang w:val="en-US"/>
        </w:rPr>
        <w:t>ne</w:t>
      </w:r>
      <w:r w:rsidR="00344A75" w:rsidRPr="009755DB">
        <w:rPr>
          <w:rFonts w:ascii="Arial" w:hAnsi="Arial" w:cs="Arial"/>
          <w:lang w:val="en-US"/>
        </w:rPr>
        <w:t xml:space="preserve"> </w:t>
      </w:r>
      <w:r w:rsidR="00594CA6" w:rsidRPr="009755DB">
        <w:rPr>
          <w:rFonts w:ascii="Arial" w:hAnsi="Arial" w:cs="Arial"/>
          <w:lang w:val="en-US"/>
        </w:rPr>
        <w:t>payment</w:t>
      </w:r>
      <w:r w:rsidR="00344A75" w:rsidRPr="009755DB">
        <w:rPr>
          <w:rFonts w:ascii="Arial" w:hAnsi="Arial" w:cs="Arial"/>
          <w:lang w:val="en-US"/>
        </w:rPr>
        <w:t xml:space="preserve"> of</w:t>
      </w:r>
      <w:r w:rsidR="00714C43" w:rsidRPr="009755DB">
        <w:rPr>
          <w:rFonts w:ascii="Arial" w:hAnsi="Arial" w:cs="Arial"/>
          <w:lang w:val="en-US"/>
        </w:rPr>
        <w:t xml:space="preserve"> R3</w:t>
      </w:r>
      <w:r w:rsidR="003A7505" w:rsidRPr="009755DB">
        <w:rPr>
          <w:rFonts w:ascii="Arial" w:hAnsi="Arial" w:cs="Arial"/>
          <w:lang w:val="en-US"/>
        </w:rPr>
        <w:t xml:space="preserve"> </w:t>
      </w:r>
      <w:r w:rsidR="00714C43" w:rsidRPr="009755DB">
        <w:rPr>
          <w:rFonts w:ascii="Arial" w:hAnsi="Arial" w:cs="Arial"/>
          <w:lang w:val="en-US"/>
        </w:rPr>
        <w:t>525.</w:t>
      </w:r>
      <w:r w:rsidR="003A7505" w:rsidRPr="009755DB">
        <w:rPr>
          <w:rFonts w:ascii="Arial" w:hAnsi="Arial" w:cs="Arial"/>
          <w:lang w:val="en-US"/>
        </w:rPr>
        <w:t>1</w:t>
      </w:r>
      <w:r w:rsidR="00714C43" w:rsidRPr="009755DB">
        <w:rPr>
          <w:rFonts w:ascii="Arial" w:hAnsi="Arial" w:cs="Arial"/>
          <w:lang w:val="en-US"/>
        </w:rPr>
        <w:t xml:space="preserve">3 on </w:t>
      </w:r>
      <w:r w:rsidR="003A7505" w:rsidRPr="009755DB">
        <w:rPr>
          <w:rFonts w:ascii="Arial" w:hAnsi="Arial" w:cs="Arial"/>
          <w:lang w:val="en-US"/>
        </w:rPr>
        <w:t>1</w:t>
      </w:r>
      <w:r w:rsidR="00714C43" w:rsidRPr="009755DB">
        <w:rPr>
          <w:rFonts w:ascii="Arial" w:hAnsi="Arial" w:cs="Arial"/>
          <w:lang w:val="en-US"/>
        </w:rPr>
        <w:t xml:space="preserve"> September 2019</w:t>
      </w:r>
      <w:r w:rsidR="003A7505" w:rsidRPr="009755DB">
        <w:rPr>
          <w:rFonts w:ascii="Arial" w:hAnsi="Arial" w:cs="Arial"/>
          <w:lang w:val="en-US"/>
        </w:rPr>
        <w:t xml:space="preserve">, </w:t>
      </w:r>
      <w:r w:rsidR="00714C43" w:rsidRPr="009755DB">
        <w:rPr>
          <w:rFonts w:ascii="Arial" w:hAnsi="Arial" w:cs="Arial"/>
          <w:lang w:val="en-US"/>
        </w:rPr>
        <w:t xml:space="preserve">and 70 payments of </w:t>
      </w:r>
      <w:r w:rsidR="003A7505" w:rsidRPr="009755DB">
        <w:rPr>
          <w:rFonts w:ascii="Arial" w:hAnsi="Arial" w:cs="Arial"/>
          <w:lang w:val="en-US"/>
        </w:rPr>
        <w:t>R</w:t>
      </w:r>
      <w:r w:rsidR="00714C43" w:rsidRPr="009755DB">
        <w:rPr>
          <w:rFonts w:ascii="Arial" w:hAnsi="Arial" w:cs="Arial"/>
          <w:lang w:val="en-US"/>
        </w:rPr>
        <w:t>3</w:t>
      </w:r>
      <w:r w:rsidR="003A7505" w:rsidRPr="009755DB">
        <w:rPr>
          <w:rFonts w:ascii="Arial" w:hAnsi="Arial" w:cs="Arial"/>
          <w:lang w:val="en-US"/>
        </w:rPr>
        <w:t xml:space="preserve"> </w:t>
      </w:r>
      <w:r w:rsidR="00714C43" w:rsidRPr="009755DB">
        <w:rPr>
          <w:rFonts w:ascii="Arial" w:hAnsi="Arial" w:cs="Arial"/>
          <w:lang w:val="en-US"/>
        </w:rPr>
        <w:t xml:space="preserve">440.55 each at monthly intervals beginning on </w:t>
      </w:r>
      <w:r w:rsidR="003A7505" w:rsidRPr="009755DB">
        <w:rPr>
          <w:rFonts w:ascii="Arial" w:hAnsi="Arial" w:cs="Arial"/>
          <w:lang w:val="en-US"/>
        </w:rPr>
        <w:t xml:space="preserve">1 </w:t>
      </w:r>
      <w:r w:rsidR="00714C43" w:rsidRPr="009755DB">
        <w:rPr>
          <w:rFonts w:ascii="Arial" w:hAnsi="Arial" w:cs="Arial"/>
          <w:lang w:val="en-US"/>
        </w:rPr>
        <w:t xml:space="preserve">October 2019, and thereafter </w:t>
      </w:r>
      <w:r w:rsidR="003A7505" w:rsidRPr="009755DB">
        <w:rPr>
          <w:rFonts w:ascii="Arial" w:hAnsi="Arial" w:cs="Arial"/>
          <w:lang w:val="en-US"/>
        </w:rPr>
        <w:t>1</w:t>
      </w:r>
      <w:r w:rsidR="00714C43" w:rsidRPr="009755DB">
        <w:rPr>
          <w:rFonts w:ascii="Arial" w:hAnsi="Arial" w:cs="Arial"/>
          <w:lang w:val="en-US"/>
        </w:rPr>
        <w:t xml:space="preserve"> balloon payment of R54 066.00 on </w:t>
      </w:r>
      <w:r w:rsidR="003A7505" w:rsidRPr="009755DB">
        <w:rPr>
          <w:rFonts w:ascii="Arial" w:hAnsi="Arial" w:cs="Arial"/>
          <w:lang w:val="en-US"/>
        </w:rPr>
        <w:t>1</w:t>
      </w:r>
      <w:r w:rsidR="00714C43" w:rsidRPr="009755DB">
        <w:rPr>
          <w:rFonts w:ascii="Arial" w:hAnsi="Arial" w:cs="Arial"/>
          <w:lang w:val="en-US"/>
        </w:rPr>
        <w:t xml:space="preserve"> August 2025.</w:t>
      </w:r>
      <w:r w:rsidR="00C9447A" w:rsidRPr="009755DB">
        <w:rPr>
          <w:rFonts w:ascii="Arial" w:hAnsi="Arial" w:cs="Arial"/>
          <w:lang w:val="en-US"/>
        </w:rPr>
        <w:t>”</w:t>
      </w:r>
      <w:r w:rsidR="00C9447A" w:rsidRPr="009755DB">
        <w:rPr>
          <w:rStyle w:val="FootnoteReference"/>
          <w:rFonts w:ascii="Arial" w:hAnsi="Arial" w:cs="Arial"/>
          <w:lang w:val="en-US"/>
        </w:rPr>
        <w:footnoteReference w:id="2"/>
      </w:r>
    </w:p>
    <w:p w14:paraId="146AC7F2" w14:textId="36421990" w:rsidR="001C4DD2" w:rsidRDefault="008A5321" w:rsidP="00414795">
      <w:pPr>
        <w:spacing w:after="0"/>
        <w:jc w:val="both"/>
        <w:rPr>
          <w:rFonts w:ascii="Arial" w:hAnsi="Arial" w:cs="Arial"/>
          <w:i/>
          <w:iCs/>
          <w:sz w:val="24"/>
          <w:szCs w:val="24"/>
          <w:lang w:val="en-US"/>
        </w:rPr>
      </w:pPr>
      <w:r w:rsidRPr="00CC1B93">
        <w:rPr>
          <w:rFonts w:ascii="Arial" w:hAnsi="Arial" w:cs="Arial"/>
          <w:i/>
          <w:iCs/>
          <w:sz w:val="24"/>
          <w:szCs w:val="24"/>
          <w:lang w:val="en-US"/>
        </w:rPr>
        <w:t xml:space="preserve"> </w:t>
      </w:r>
    </w:p>
    <w:p w14:paraId="2CE95A11" w14:textId="77777777" w:rsidR="00D52A72" w:rsidRDefault="00D52A72" w:rsidP="00414795">
      <w:pPr>
        <w:spacing w:after="0"/>
        <w:jc w:val="both"/>
        <w:rPr>
          <w:rFonts w:ascii="Arial" w:hAnsi="Arial" w:cs="Arial"/>
          <w:i/>
          <w:iCs/>
          <w:sz w:val="24"/>
          <w:szCs w:val="24"/>
          <w:lang w:val="en-US"/>
        </w:rPr>
      </w:pPr>
    </w:p>
    <w:p w14:paraId="69846259" w14:textId="77777777" w:rsidR="00D52A72" w:rsidRDefault="00D52A72" w:rsidP="00414795">
      <w:pPr>
        <w:spacing w:after="0"/>
        <w:jc w:val="both"/>
        <w:rPr>
          <w:rFonts w:ascii="Arial" w:hAnsi="Arial" w:cs="Arial"/>
          <w:i/>
          <w:iCs/>
          <w:sz w:val="24"/>
          <w:szCs w:val="24"/>
          <w:lang w:val="en-US"/>
        </w:rPr>
      </w:pPr>
    </w:p>
    <w:p w14:paraId="0BFBB4E6" w14:textId="77777777" w:rsidR="00D52A72" w:rsidRPr="00CC1B93" w:rsidRDefault="00D52A72" w:rsidP="00414795">
      <w:pPr>
        <w:spacing w:after="0"/>
        <w:jc w:val="both"/>
        <w:rPr>
          <w:rFonts w:ascii="Arial" w:hAnsi="Arial" w:cs="Arial"/>
          <w:sz w:val="24"/>
          <w:szCs w:val="24"/>
          <w:lang w:val="en-US"/>
        </w:rPr>
      </w:pPr>
    </w:p>
    <w:p w14:paraId="1408BB3F" w14:textId="0592061B" w:rsidR="00237954" w:rsidRDefault="00E109FF" w:rsidP="00414795">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r>
      <w:r w:rsidR="008A5321" w:rsidRPr="00CC1B93">
        <w:rPr>
          <w:rFonts w:ascii="Arial" w:hAnsi="Arial" w:cs="Arial"/>
          <w:sz w:val="24"/>
          <w:szCs w:val="24"/>
          <w:lang w:val="en-US"/>
        </w:rPr>
        <w:t>The defendant stated that</w:t>
      </w:r>
      <w:r w:rsidR="00D841A1">
        <w:rPr>
          <w:rFonts w:ascii="Arial" w:hAnsi="Arial" w:cs="Arial"/>
          <w:sz w:val="24"/>
          <w:szCs w:val="24"/>
          <w:lang w:val="en-US"/>
        </w:rPr>
        <w:t>:</w:t>
      </w:r>
    </w:p>
    <w:p w14:paraId="1F3297AB" w14:textId="3ACBF4BE" w:rsidR="00567012" w:rsidRPr="009755DB" w:rsidRDefault="00D841A1" w:rsidP="00D841A1">
      <w:pPr>
        <w:pStyle w:val="ListParagraph"/>
        <w:spacing w:line="360" w:lineRule="auto"/>
        <w:ind w:left="851"/>
        <w:jc w:val="both"/>
        <w:rPr>
          <w:rFonts w:ascii="Arial" w:hAnsi="Arial" w:cs="Arial"/>
          <w:lang w:val="en-US"/>
        </w:rPr>
      </w:pPr>
      <w:r w:rsidRPr="00D841A1">
        <w:rPr>
          <w:rFonts w:ascii="Arial" w:hAnsi="Arial" w:cs="Arial"/>
          <w:lang w:val="en-US"/>
        </w:rPr>
        <w:t>“During the first week the defendant purchased the motor vehicle from the plaintiff he accidentally hit a rock, he went to investigate the damage caused by the accident. Apart from the damage caused he noticed that there were small particles which fell from the motor vehicle and saw that the particles were body filler indicating that the motor vehicle was once involved in an accident</w:t>
      </w:r>
      <w:r>
        <w:rPr>
          <w:rFonts w:ascii="Arial" w:hAnsi="Arial" w:cs="Arial"/>
          <w:lang w:val="en-US"/>
        </w:rPr>
        <w:t xml:space="preserve"> </w:t>
      </w:r>
      <w:r w:rsidRPr="00D841A1">
        <w:rPr>
          <w:rFonts w:ascii="Arial" w:hAnsi="Arial" w:cs="Arial"/>
          <w:lang w:val="en-US"/>
        </w:rPr>
        <w:t>and was repaired.</w:t>
      </w:r>
    </w:p>
    <w:p w14:paraId="3C11DF09" w14:textId="7536C5D5" w:rsidR="00D41248" w:rsidRPr="009755DB" w:rsidRDefault="00EE1E00" w:rsidP="008D3D04">
      <w:pPr>
        <w:spacing w:after="0" w:line="360" w:lineRule="auto"/>
        <w:ind w:left="851"/>
        <w:jc w:val="both"/>
        <w:rPr>
          <w:rFonts w:ascii="Arial" w:hAnsi="Arial" w:cs="Arial"/>
          <w:lang w:val="en-US"/>
        </w:rPr>
      </w:pPr>
      <w:r w:rsidRPr="009755DB">
        <w:rPr>
          <w:rFonts w:ascii="Arial" w:hAnsi="Arial" w:cs="Arial"/>
          <w:lang w:val="en-US"/>
        </w:rPr>
        <w:t xml:space="preserve">The motor vehicle was taken to the plaintiff and the defendant informed </w:t>
      </w:r>
      <w:r w:rsidR="004C5934" w:rsidRPr="009755DB">
        <w:rPr>
          <w:rFonts w:ascii="Arial" w:hAnsi="Arial" w:cs="Arial"/>
          <w:lang w:val="en-US"/>
        </w:rPr>
        <w:t xml:space="preserve">the plaintiff </w:t>
      </w:r>
      <w:r w:rsidRPr="009755DB">
        <w:rPr>
          <w:rFonts w:ascii="Arial" w:hAnsi="Arial" w:cs="Arial"/>
          <w:lang w:val="en-US"/>
        </w:rPr>
        <w:t>about the body filler</w:t>
      </w:r>
      <w:r w:rsidR="009C14C6" w:rsidRPr="009755DB">
        <w:rPr>
          <w:rFonts w:ascii="Arial" w:hAnsi="Arial" w:cs="Arial"/>
          <w:lang w:val="en-US"/>
        </w:rPr>
        <w:t xml:space="preserve"> </w:t>
      </w:r>
      <w:r w:rsidR="004C5934" w:rsidRPr="009755DB">
        <w:rPr>
          <w:rFonts w:ascii="Arial" w:hAnsi="Arial" w:cs="Arial"/>
          <w:lang w:val="en-US"/>
        </w:rPr>
        <w:t xml:space="preserve">in </w:t>
      </w:r>
      <w:r w:rsidRPr="009755DB">
        <w:rPr>
          <w:rFonts w:ascii="Arial" w:hAnsi="Arial" w:cs="Arial"/>
          <w:lang w:val="en-US"/>
        </w:rPr>
        <w:t>which they said they knew nothing about</w:t>
      </w:r>
      <w:r w:rsidR="004C5934" w:rsidRPr="009755DB">
        <w:rPr>
          <w:rFonts w:ascii="Arial" w:hAnsi="Arial" w:cs="Arial"/>
          <w:lang w:val="en-US"/>
        </w:rPr>
        <w:t>,</w:t>
      </w:r>
      <w:r w:rsidR="00567012" w:rsidRPr="009755DB">
        <w:rPr>
          <w:rFonts w:ascii="Arial" w:hAnsi="Arial" w:cs="Arial"/>
          <w:lang w:val="en-US"/>
        </w:rPr>
        <w:t xml:space="preserve"> </w:t>
      </w:r>
      <w:r w:rsidRPr="009755DB">
        <w:rPr>
          <w:rFonts w:ascii="Arial" w:hAnsi="Arial" w:cs="Arial"/>
          <w:lang w:val="en-US"/>
        </w:rPr>
        <w:t xml:space="preserve">and </w:t>
      </w:r>
      <w:r w:rsidR="00567012" w:rsidRPr="009755DB">
        <w:rPr>
          <w:rFonts w:ascii="Arial" w:hAnsi="Arial" w:cs="Arial"/>
          <w:lang w:val="en-US"/>
        </w:rPr>
        <w:t xml:space="preserve">that they </w:t>
      </w:r>
      <w:r w:rsidRPr="009755DB">
        <w:rPr>
          <w:rFonts w:ascii="Arial" w:hAnsi="Arial" w:cs="Arial"/>
          <w:lang w:val="en-US"/>
        </w:rPr>
        <w:t>do not sell motor vehicle</w:t>
      </w:r>
      <w:r w:rsidR="005E4091" w:rsidRPr="009755DB">
        <w:rPr>
          <w:rFonts w:ascii="Arial" w:hAnsi="Arial" w:cs="Arial"/>
          <w:lang w:val="en-US"/>
        </w:rPr>
        <w:t>s</w:t>
      </w:r>
      <w:r w:rsidRPr="009755DB">
        <w:rPr>
          <w:rFonts w:ascii="Arial" w:hAnsi="Arial" w:cs="Arial"/>
          <w:lang w:val="en-US"/>
        </w:rPr>
        <w:t xml:space="preserve"> that had been previously involved in</w:t>
      </w:r>
      <w:r w:rsidR="00D841A1">
        <w:rPr>
          <w:rFonts w:ascii="Arial" w:hAnsi="Arial" w:cs="Arial"/>
          <w:lang w:val="en-US"/>
        </w:rPr>
        <w:t xml:space="preserve"> an</w:t>
      </w:r>
      <w:r w:rsidRPr="009755DB">
        <w:rPr>
          <w:rFonts w:ascii="Arial" w:hAnsi="Arial" w:cs="Arial"/>
          <w:lang w:val="en-US"/>
        </w:rPr>
        <w:t xml:space="preserve"> accident.”</w:t>
      </w:r>
      <w:r w:rsidR="00D41248" w:rsidRPr="009755DB">
        <w:rPr>
          <w:rStyle w:val="FootnoteReference"/>
          <w:rFonts w:ascii="Arial" w:hAnsi="Arial" w:cs="Arial"/>
          <w:lang w:val="en-US"/>
        </w:rPr>
        <w:footnoteReference w:id="3"/>
      </w:r>
      <w:r w:rsidRPr="009755DB">
        <w:rPr>
          <w:rFonts w:ascii="Arial" w:hAnsi="Arial" w:cs="Arial"/>
          <w:lang w:val="en-US"/>
        </w:rPr>
        <w:t xml:space="preserve"> </w:t>
      </w:r>
    </w:p>
    <w:p w14:paraId="14A62E9E" w14:textId="77777777" w:rsidR="00D41248" w:rsidRPr="00CC1B93" w:rsidRDefault="00D41248" w:rsidP="008D3D04">
      <w:pPr>
        <w:pStyle w:val="ListParagraph"/>
        <w:spacing w:after="0" w:line="360" w:lineRule="auto"/>
        <w:rPr>
          <w:rFonts w:ascii="Arial" w:hAnsi="Arial" w:cs="Arial"/>
          <w:sz w:val="24"/>
          <w:szCs w:val="24"/>
          <w:lang w:val="en-US"/>
        </w:rPr>
      </w:pPr>
    </w:p>
    <w:p w14:paraId="6F6FE810" w14:textId="4B4B8A44" w:rsidR="004C5934" w:rsidRDefault="00D841A1" w:rsidP="008D3D04">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A71D4A" w:rsidRPr="009755DB">
        <w:rPr>
          <w:rFonts w:ascii="Arial" w:hAnsi="Arial" w:cs="Arial"/>
          <w:sz w:val="24"/>
          <w:szCs w:val="24"/>
          <w:lang w:val="en-US"/>
        </w:rPr>
        <w:t xml:space="preserve">The defendant took the motor vehicle to Diamond </w:t>
      </w:r>
      <w:r w:rsidR="004C5934" w:rsidRPr="004C5934">
        <w:rPr>
          <w:rFonts w:ascii="Arial" w:hAnsi="Arial" w:cs="Arial"/>
          <w:sz w:val="24"/>
          <w:szCs w:val="24"/>
          <w:lang w:val="en-US"/>
        </w:rPr>
        <w:t>Panel beaters</w:t>
      </w:r>
      <w:r w:rsidR="00465BB5">
        <w:rPr>
          <w:rFonts w:ascii="Arial" w:hAnsi="Arial" w:cs="Arial"/>
          <w:sz w:val="24"/>
          <w:szCs w:val="24"/>
          <w:lang w:val="en-US"/>
        </w:rPr>
        <w:t>:</w:t>
      </w:r>
      <w:r w:rsidR="001D3A65" w:rsidRPr="009755DB">
        <w:rPr>
          <w:rFonts w:ascii="Arial" w:hAnsi="Arial" w:cs="Arial"/>
          <w:sz w:val="24"/>
          <w:szCs w:val="24"/>
          <w:lang w:val="en-US"/>
        </w:rPr>
        <w:t xml:space="preserve"> </w:t>
      </w:r>
    </w:p>
    <w:p w14:paraId="5DEBCEC5" w14:textId="3A264A23" w:rsidR="00E873EF" w:rsidRPr="009755DB" w:rsidRDefault="001D3A65" w:rsidP="008D3D04">
      <w:pPr>
        <w:spacing w:after="0" w:line="360" w:lineRule="auto"/>
        <w:ind w:left="851"/>
        <w:jc w:val="both"/>
        <w:rPr>
          <w:rFonts w:ascii="Arial" w:hAnsi="Arial" w:cs="Arial"/>
          <w:sz w:val="24"/>
          <w:szCs w:val="24"/>
          <w:lang w:val="en-US"/>
        </w:rPr>
      </w:pPr>
      <w:r w:rsidRPr="009755DB">
        <w:rPr>
          <w:rFonts w:ascii="Arial" w:hAnsi="Arial" w:cs="Arial"/>
          <w:lang w:val="en-US"/>
        </w:rPr>
        <w:t>“They</w:t>
      </w:r>
      <w:r w:rsidR="00A71D4A" w:rsidRPr="009755DB">
        <w:rPr>
          <w:rFonts w:ascii="Arial" w:hAnsi="Arial" w:cs="Arial"/>
          <w:lang w:val="en-US"/>
        </w:rPr>
        <w:t xml:space="preserve"> </w:t>
      </w:r>
      <w:r w:rsidRPr="009755DB">
        <w:rPr>
          <w:rFonts w:ascii="Arial" w:hAnsi="Arial" w:cs="Arial"/>
          <w:lang w:val="en-US"/>
        </w:rPr>
        <w:t>confirmed that the LHS RHS</w:t>
      </w:r>
      <w:r w:rsidR="00FE487D" w:rsidRPr="009755DB">
        <w:rPr>
          <w:rFonts w:ascii="Arial" w:hAnsi="Arial" w:cs="Arial"/>
          <w:lang w:val="en-US"/>
        </w:rPr>
        <w:t xml:space="preserve"> </w:t>
      </w:r>
      <w:r w:rsidRPr="009755DB">
        <w:rPr>
          <w:rFonts w:ascii="Arial" w:hAnsi="Arial" w:cs="Arial"/>
          <w:lang w:val="en-US"/>
        </w:rPr>
        <w:t>Locker had body filler and that it seemed that motor vehicle was repaired prior to me purchasing it from the applicant</w:t>
      </w:r>
      <w:r w:rsidRPr="009755DB">
        <w:rPr>
          <w:rFonts w:ascii="Arial" w:hAnsi="Arial" w:cs="Arial"/>
          <w:sz w:val="24"/>
          <w:szCs w:val="24"/>
          <w:lang w:val="en-US"/>
        </w:rPr>
        <w:t>”</w:t>
      </w:r>
      <w:r w:rsidR="00E873EF" w:rsidRPr="00CC1B93">
        <w:rPr>
          <w:rStyle w:val="FootnoteReference"/>
          <w:rFonts w:ascii="Arial" w:hAnsi="Arial" w:cs="Arial"/>
          <w:sz w:val="24"/>
          <w:szCs w:val="24"/>
          <w:lang w:val="en-US"/>
        </w:rPr>
        <w:footnoteReference w:id="4"/>
      </w:r>
    </w:p>
    <w:p w14:paraId="3A685241" w14:textId="77777777" w:rsidR="00E873EF" w:rsidRPr="00CC1B93" w:rsidRDefault="00E873EF" w:rsidP="008D3D04">
      <w:pPr>
        <w:pStyle w:val="ListParagraph"/>
        <w:spacing w:after="0"/>
        <w:rPr>
          <w:rFonts w:ascii="Arial" w:hAnsi="Arial" w:cs="Arial"/>
          <w:sz w:val="24"/>
          <w:szCs w:val="24"/>
          <w:lang w:val="en-US"/>
        </w:rPr>
      </w:pPr>
    </w:p>
    <w:p w14:paraId="277E7941" w14:textId="73EDCFBE" w:rsidR="005C5966" w:rsidRDefault="00E109FF" w:rsidP="008D3D04">
      <w:pPr>
        <w:spacing w:after="0" w:line="360" w:lineRule="auto"/>
        <w:jc w:val="both"/>
        <w:rPr>
          <w:rFonts w:ascii="Arial" w:hAnsi="Arial" w:cs="Arial"/>
          <w:sz w:val="24"/>
          <w:szCs w:val="24"/>
          <w:lang w:val="en-US"/>
        </w:rPr>
      </w:pPr>
      <w:r>
        <w:rPr>
          <w:rFonts w:ascii="Arial" w:hAnsi="Arial" w:cs="Arial"/>
          <w:sz w:val="24"/>
          <w:szCs w:val="24"/>
          <w:lang w:val="en-US"/>
        </w:rPr>
        <w:t>[</w:t>
      </w:r>
      <w:r w:rsidR="00237954">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D365FA" w:rsidRPr="009755DB">
        <w:rPr>
          <w:rFonts w:ascii="Arial" w:hAnsi="Arial" w:cs="Arial"/>
          <w:sz w:val="24"/>
          <w:szCs w:val="24"/>
          <w:lang w:val="en-US"/>
        </w:rPr>
        <w:t>As a result of this</w:t>
      </w:r>
      <w:r w:rsidR="006A7889" w:rsidRPr="009755DB">
        <w:rPr>
          <w:rFonts w:ascii="Arial" w:hAnsi="Arial" w:cs="Arial"/>
          <w:sz w:val="24"/>
          <w:szCs w:val="24"/>
          <w:lang w:val="en-US"/>
        </w:rPr>
        <w:t xml:space="preserve">, </w:t>
      </w:r>
      <w:r w:rsidR="00FE60CD" w:rsidRPr="009755DB">
        <w:rPr>
          <w:rFonts w:ascii="Arial" w:hAnsi="Arial" w:cs="Arial"/>
          <w:sz w:val="24"/>
          <w:szCs w:val="24"/>
          <w:lang w:val="en-US"/>
        </w:rPr>
        <w:t xml:space="preserve">the </w:t>
      </w:r>
      <w:r w:rsidR="006A7889" w:rsidRPr="009755DB">
        <w:rPr>
          <w:rFonts w:ascii="Arial" w:hAnsi="Arial" w:cs="Arial"/>
          <w:sz w:val="24"/>
          <w:szCs w:val="24"/>
          <w:lang w:val="en-US"/>
        </w:rPr>
        <w:t xml:space="preserve">defendant submitted that the </w:t>
      </w:r>
      <w:r w:rsidR="00FE60CD" w:rsidRPr="009755DB">
        <w:rPr>
          <w:rFonts w:ascii="Arial" w:hAnsi="Arial" w:cs="Arial"/>
          <w:sz w:val="24"/>
          <w:szCs w:val="24"/>
          <w:lang w:val="en-US"/>
        </w:rPr>
        <w:t>plaintiff misrepresented</w:t>
      </w:r>
      <w:r w:rsidR="006A7889" w:rsidRPr="009755DB">
        <w:rPr>
          <w:rFonts w:ascii="Arial" w:hAnsi="Arial" w:cs="Arial"/>
          <w:sz w:val="24"/>
          <w:szCs w:val="24"/>
          <w:lang w:val="en-US"/>
        </w:rPr>
        <w:t xml:space="preserve"> the condition of the motor vehicle when he purchased it. </w:t>
      </w:r>
      <w:r w:rsidR="00FE60CD" w:rsidRPr="009755DB">
        <w:rPr>
          <w:rFonts w:ascii="Arial" w:hAnsi="Arial" w:cs="Arial"/>
          <w:sz w:val="24"/>
          <w:szCs w:val="24"/>
          <w:lang w:val="en-US"/>
        </w:rPr>
        <w:t>I</w:t>
      </w:r>
      <w:r w:rsidR="00E873EF" w:rsidRPr="009755DB">
        <w:rPr>
          <w:rFonts w:ascii="Arial" w:hAnsi="Arial" w:cs="Arial"/>
          <w:sz w:val="24"/>
          <w:szCs w:val="24"/>
          <w:lang w:val="en-US"/>
        </w:rPr>
        <w:t>n line with section 56 of the CPA</w:t>
      </w:r>
      <w:r w:rsidR="00FE487D" w:rsidRPr="009755DB">
        <w:rPr>
          <w:rFonts w:ascii="Arial" w:hAnsi="Arial" w:cs="Arial"/>
          <w:sz w:val="24"/>
          <w:szCs w:val="24"/>
          <w:lang w:val="en-US"/>
        </w:rPr>
        <w:t>,</w:t>
      </w:r>
      <w:r w:rsidR="00FE60CD" w:rsidRPr="009755DB">
        <w:rPr>
          <w:rFonts w:ascii="Arial" w:hAnsi="Arial" w:cs="Arial"/>
          <w:sz w:val="24"/>
          <w:szCs w:val="24"/>
          <w:lang w:val="en-US"/>
        </w:rPr>
        <w:t xml:space="preserve"> he</w:t>
      </w:r>
      <w:r w:rsidR="00E873EF" w:rsidRPr="009755DB">
        <w:rPr>
          <w:rFonts w:ascii="Arial" w:hAnsi="Arial" w:cs="Arial"/>
          <w:sz w:val="24"/>
          <w:szCs w:val="24"/>
          <w:lang w:val="en-US"/>
        </w:rPr>
        <w:t xml:space="preserve"> handed over the motor vehicle</w:t>
      </w:r>
      <w:r w:rsidR="00204463" w:rsidRPr="009755DB">
        <w:rPr>
          <w:rFonts w:ascii="Arial" w:hAnsi="Arial" w:cs="Arial"/>
          <w:sz w:val="24"/>
          <w:szCs w:val="24"/>
          <w:lang w:val="en-US"/>
        </w:rPr>
        <w:t xml:space="preserve"> o</w:t>
      </w:r>
      <w:r w:rsidR="00714C43" w:rsidRPr="009755DB">
        <w:rPr>
          <w:rFonts w:ascii="Arial" w:hAnsi="Arial" w:cs="Arial"/>
          <w:sz w:val="24"/>
          <w:szCs w:val="24"/>
          <w:lang w:val="en-US"/>
        </w:rPr>
        <w:t>n</w:t>
      </w:r>
      <w:r w:rsidR="001C4DD2" w:rsidRPr="009755DB">
        <w:rPr>
          <w:rFonts w:ascii="Arial" w:hAnsi="Arial" w:cs="Arial"/>
          <w:sz w:val="24"/>
          <w:szCs w:val="24"/>
          <w:lang w:val="en-US"/>
        </w:rPr>
        <w:t xml:space="preserve"> or</w:t>
      </w:r>
      <w:r w:rsidR="00714C43" w:rsidRPr="009755DB">
        <w:rPr>
          <w:rFonts w:ascii="Arial" w:hAnsi="Arial" w:cs="Arial"/>
          <w:sz w:val="24"/>
          <w:szCs w:val="24"/>
          <w:lang w:val="en-US"/>
        </w:rPr>
        <w:t xml:space="preserve"> about 21 January 2020</w:t>
      </w:r>
      <w:r w:rsidR="00204463" w:rsidRPr="009755DB">
        <w:rPr>
          <w:rFonts w:ascii="Arial" w:hAnsi="Arial" w:cs="Arial"/>
          <w:sz w:val="24"/>
          <w:szCs w:val="24"/>
          <w:lang w:val="en-US"/>
        </w:rPr>
        <w:t xml:space="preserve">. The plaintiff submitted that </w:t>
      </w:r>
      <w:r w:rsidR="00714C43" w:rsidRPr="009755DB">
        <w:rPr>
          <w:rFonts w:ascii="Arial" w:hAnsi="Arial" w:cs="Arial"/>
          <w:sz w:val="24"/>
          <w:szCs w:val="24"/>
          <w:lang w:val="en-US"/>
        </w:rPr>
        <w:t xml:space="preserve">the defendant repudiated the credit agreement by stating he </w:t>
      </w:r>
      <w:r w:rsidR="00204463" w:rsidRPr="009755DB">
        <w:rPr>
          <w:rFonts w:ascii="Arial" w:hAnsi="Arial" w:cs="Arial"/>
          <w:sz w:val="24"/>
          <w:szCs w:val="24"/>
          <w:lang w:val="en-US"/>
        </w:rPr>
        <w:t xml:space="preserve">could not </w:t>
      </w:r>
      <w:r w:rsidR="00714C43" w:rsidRPr="009755DB">
        <w:rPr>
          <w:rFonts w:ascii="Arial" w:hAnsi="Arial" w:cs="Arial"/>
          <w:sz w:val="24"/>
          <w:szCs w:val="24"/>
          <w:lang w:val="en-US"/>
        </w:rPr>
        <w:t>make any further payments and delivered the v</w:t>
      </w:r>
      <w:r w:rsidR="00FE487D" w:rsidRPr="009755DB">
        <w:rPr>
          <w:rFonts w:ascii="Arial" w:hAnsi="Arial" w:cs="Arial"/>
          <w:sz w:val="24"/>
          <w:szCs w:val="24"/>
          <w:lang w:val="en-US"/>
        </w:rPr>
        <w:t xml:space="preserve">ehicle </w:t>
      </w:r>
      <w:r w:rsidR="00714C43" w:rsidRPr="009755DB">
        <w:rPr>
          <w:rFonts w:ascii="Arial" w:hAnsi="Arial" w:cs="Arial"/>
          <w:sz w:val="24"/>
          <w:szCs w:val="24"/>
          <w:lang w:val="en-US"/>
        </w:rPr>
        <w:t>to the plaintiff</w:t>
      </w:r>
      <w:r w:rsidR="00204463" w:rsidRPr="009755DB">
        <w:rPr>
          <w:rFonts w:ascii="Arial" w:hAnsi="Arial" w:cs="Arial"/>
          <w:sz w:val="24"/>
          <w:szCs w:val="24"/>
          <w:lang w:val="en-US"/>
        </w:rPr>
        <w:t>.</w:t>
      </w:r>
      <w:r w:rsidR="00714C43" w:rsidRPr="009755DB">
        <w:rPr>
          <w:rFonts w:ascii="Arial" w:hAnsi="Arial" w:cs="Arial"/>
          <w:sz w:val="24"/>
          <w:szCs w:val="24"/>
          <w:lang w:val="en-US"/>
        </w:rPr>
        <w:t xml:space="preserve"> </w:t>
      </w:r>
    </w:p>
    <w:p w14:paraId="552A0125" w14:textId="77777777" w:rsidR="00AD0FAC" w:rsidRPr="009755DB" w:rsidRDefault="00AD0FAC" w:rsidP="008D3D04">
      <w:pPr>
        <w:spacing w:after="0" w:line="360" w:lineRule="auto"/>
        <w:jc w:val="both"/>
        <w:rPr>
          <w:rFonts w:ascii="Arial" w:hAnsi="Arial" w:cs="Arial"/>
          <w:sz w:val="24"/>
          <w:szCs w:val="24"/>
          <w:lang w:val="en-US"/>
        </w:rPr>
      </w:pPr>
    </w:p>
    <w:p w14:paraId="6EDF25B8" w14:textId="14E9CF95" w:rsidR="00611ACB" w:rsidRPr="00CC1B93" w:rsidRDefault="005C5966" w:rsidP="005C5966">
      <w:pPr>
        <w:jc w:val="both"/>
        <w:rPr>
          <w:rFonts w:ascii="Arial" w:hAnsi="Arial" w:cs="Arial"/>
          <w:i/>
          <w:iCs/>
          <w:sz w:val="24"/>
          <w:szCs w:val="24"/>
          <w:lang w:val="en-US"/>
        </w:rPr>
      </w:pPr>
      <w:r w:rsidRPr="00CC1B93">
        <w:rPr>
          <w:rFonts w:ascii="Arial" w:hAnsi="Arial" w:cs="Arial"/>
          <w:i/>
          <w:iCs/>
          <w:sz w:val="24"/>
          <w:szCs w:val="24"/>
          <w:lang w:val="en-US"/>
        </w:rPr>
        <w:t>Issues</w:t>
      </w:r>
    </w:p>
    <w:p w14:paraId="06A02FF6" w14:textId="216BDF0A" w:rsidR="00A64118" w:rsidRDefault="00E109FF" w:rsidP="0024287F">
      <w:pPr>
        <w:spacing w:after="0" w:line="360" w:lineRule="auto"/>
        <w:jc w:val="both"/>
        <w:rPr>
          <w:rFonts w:ascii="Arial" w:hAnsi="Arial" w:cs="Arial"/>
          <w:sz w:val="24"/>
          <w:szCs w:val="24"/>
          <w:lang w:val="en-US"/>
        </w:rPr>
      </w:pPr>
      <w:r>
        <w:rPr>
          <w:rFonts w:ascii="Arial" w:hAnsi="Arial" w:cs="Arial"/>
          <w:sz w:val="24"/>
          <w:szCs w:val="24"/>
          <w:lang w:val="en-US"/>
        </w:rPr>
        <w:t>[</w:t>
      </w:r>
      <w:r w:rsidR="00237954">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5C5966" w:rsidRPr="009755DB">
        <w:rPr>
          <w:rFonts w:ascii="Arial" w:hAnsi="Arial" w:cs="Arial"/>
          <w:sz w:val="24"/>
          <w:szCs w:val="24"/>
          <w:lang w:val="en-US"/>
        </w:rPr>
        <w:t xml:space="preserve"> The question that faces this court is </w:t>
      </w:r>
      <w:r w:rsidR="00B43B8C" w:rsidRPr="009755DB">
        <w:rPr>
          <w:rFonts w:ascii="Arial" w:hAnsi="Arial" w:cs="Arial"/>
          <w:sz w:val="24"/>
          <w:szCs w:val="24"/>
          <w:lang w:val="en-US"/>
        </w:rPr>
        <w:t>whether the plaintiff can deal with the motor vehicle in terms of s</w:t>
      </w:r>
      <w:r w:rsidR="00C7101C">
        <w:rPr>
          <w:rFonts w:ascii="Arial" w:hAnsi="Arial" w:cs="Arial"/>
          <w:sz w:val="24"/>
          <w:szCs w:val="24"/>
          <w:lang w:val="en-US"/>
        </w:rPr>
        <w:t>ection</w:t>
      </w:r>
      <w:r w:rsidR="00B43B8C" w:rsidRPr="009755DB">
        <w:rPr>
          <w:rFonts w:ascii="Arial" w:hAnsi="Arial" w:cs="Arial"/>
          <w:sz w:val="24"/>
          <w:szCs w:val="24"/>
          <w:lang w:val="en-US"/>
        </w:rPr>
        <w:t>127</w:t>
      </w:r>
      <w:r w:rsidR="007054C7">
        <w:rPr>
          <w:rFonts w:ascii="Arial" w:hAnsi="Arial" w:cs="Arial"/>
          <w:sz w:val="24"/>
          <w:szCs w:val="24"/>
          <w:lang w:val="en-US"/>
        </w:rPr>
        <w:t xml:space="preserve"> of the NCA,</w:t>
      </w:r>
      <w:r w:rsidR="0024287F">
        <w:rPr>
          <w:rFonts w:ascii="Arial" w:hAnsi="Arial" w:cs="Arial"/>
          <w:sz w:val="24"/>
          <w:szCs w:val="24"/>
          <w:lang w:val="en-US"/>
        </w:rPr>
        <w:t xml:space="preserve"> </w:t>
      </w:r>
      <w:r w:rsidR="007054C7">
        <w:rPr>
          <w:rFonts w:ascii="Arial" w:hAnsi="Arial" w:cs="Arial"/>
          <w:sz w:val="24"/>
          <w:szCs w:val="24"/>
          <w:lang w:val="en-US"/>
        </w:rPr>
        <w:t xml:space="preserve">and </w:t>
      </w:r>
      <w:r w:rsidR="00D6218A" w:rsidRPr="009755DB">
        <w:rPr>
          <w:rFonts w:ascii="Arial" w:hAnsi="Arial" w:cs="Arial"/>
          <w:sz w:val="24"/>
          <w:szCs w:val="24"/>
          <w:lang w:val="en-US"/>
        </w:rPr>
        <w:t>whether the defendant can find protection under the CPA</w:t>
      </w:r>
      <w:r w:rsidR="007054C7">
        <w:rPr>
          <w:rFonts w:ascii="Arial" w:hAnsi="Arial" w:cs="Arial"/>
          <w:sz w:val="24"/>
          <w:szCs w:val="24"/>
          <w:lang w:val="en-US"/>
        </w:rPr>
        <w:t>.</w:t>
      </w:r>
      <w:r w:rsidR="00D6218A" w:rsidRPr="009755DB">
        <w:rPr>
          <w:rFonts w:ascii="Arial" w:hAnsi="Arial" w:cs="Arial"/>
          <w:sz w:val="24"/>
          <w:szCs w:val="24"/>
          <w:lang w:val="en-US"/>
        </w:rPr>
        <w:t xml:space="preserve"> </w:t>
      </w:r>
      <w:r w:rsidR="0054195B">
        <w:rPr>
          <w:rFonts w:ascii="Arial" w:hAnsi="Arial" w:cs="Arial"/>
          <w:sz w:val="24"/>
          <w:szCs w:val="24"/>
          <w:lang w:val="en-US"/>
        </w:rPr>
        <w:t>But i</w:t>
      </w:r>
      <w:r w:rsidR="005E69C4">
        <w:rPr>
          <w:rFonts w:ascii="Arial" w:hAnsi="Arial" w:cs="Arial"/>
          <w:sz w:val="24"/>
          <w:szCs w:val="24"/>
          <w:lang w:val="en-US"/>
        </w:rPr>
        <w:t>mportantly</w:t>
      </w:r>
      <w:r w:rsidR="00400F01">
        <w:rPr>
          <w:rFonts w:ascii="Arial" w:hAnsi="Arial" w:cs="Arial"/>
          <w:sz w:val="24"/>
          <w:szCs w:val="24"/>
          <w:lang w:val="en-US"/>
        </w:rPr>
        <w:t>,</w:t>
      </w:r>
      <w:r w:rsidR="00D6218A" w:rsidRPr="009755DB">
        <w:rPr>
          <w:rFonts w:ascii="Arial" w:hAnsi="Arial" w:cs="Arial"/>
          <w:sz w:val="24"/>
          <w:szCs w:val="24"/>
          <w:lang w:val="en-US"/>
        </w:rPr>
        <w:t xml:space="preserve"> the question aske</w:t>
      </w:r>
      <w:r w:rsidR="000A6EA8" w:rsidRPr="009755DB">
        <w:rPr>
          <w:rFonts w:ascii="Arial" w:hAnsi="Arial" w:cs="Arial"/>
          <w:sz w:val="24"/>
          <w:szCs w:val="24"/>
          <w:lang w:val="en-US"/>
        </w:rPr>
        <w:t>d</w:t>
      </w:r>
      <w:r w:rsidR="00D6218A" w:rsidRPr="009755DB">
        <w:rPr>
          <w:rFonts w:ascii="Arial" w:hAnsi="Arial" w:cs="Arial"/>
          <w:sz w:val="24"/>
          <w:szCs w:val="24"/>
          <w:lang w:val="en-US"/>
        </w:rPr>
        <w:t xml:space="preserve"> of this court is whether the defendant has raised triable issue</w:t>
      </w:r>
      <w:r w:rsidR="00204463" w:rsidRPr="009755DB">
        <w:rPr>
          <w:rFonts w:ascii="Arial" w:hAnsi="Arial" w:cs="Arial"/>
          <w:sz w:val="24"/>
          <w:szCs w:val="24"/>
          <w:lang w:val="en-US"/>
        </w:rPr>
        <w:t>s</w:t>
      </w:r>
      <w:r w:rsidR="00D6218A" w:rsidRPr="009755DB">
        <w:rPr>
          <w:rFonts w:ascii="Arial" w:hAnsi="Arial" w:cs="Arial"/>
          <w:sz w:val="24"/>
          <w:szCs w:val="24"/>
          <w:lang w:val="en-US"/>
        </w:rPr>
        <w:t xml:space="preserve"> to starve off the attack in terms of Rule 32</w:t>
      </w:r>
      <w:r w:rsidR="00886CC4" w:rsidRPr="009755DB">
        <w:rPr>
          <w:rFonts w:ascii="Arial" w:hAnsi="Arial" w:cs="Arial"/>
          <w:sz w:val="24"/>
          <w:szCs w:val="24"/>
          <w:lang w:val="en-US"/>
        </w:rPr>
        <w:t xml:space="preserve"> of the Uniform Rules of Cour</w:t>
      </w:r>
      <w:r w:rsidR="00485EF5">
        <w:rPr>
          <w:rFonts w:ascii="Arial" w:hAnsi="Arial" w:cs="Arial"/>
          <w:sz w:val="24"/>
          <w:szCs w:val="24"/>
          <w:lang w:val="en-US"/>
        </w:rPr>
        <w:t>t</w:t>
      </w:r>
      <w:r w:rsidR="0024287F">
        <w:rPr>
          <w:rFonts w:ascii="Arial" w:hAnsi="Arial" w:cs="Arial"/>
          <w:sz w:val="24"/>
          <w:szCs w:val="24"/>
          <w:lang w:val="en-US"/>
        </w:rPr>
        <w:t>.</w:t>
      </w:r>
    </w:p>
    <w:p w14:paraId="1DE00D67" w14:textId="77777777" w:rsidR="00CC32E8" w:rsidRPr="00CC1B93" w:rsidRDefault="00CC32E8" w:rsidP="0024287F">
      <w:pPr>
        <w:spacing w:after="0" w:line="360" w:lineRule="auto"/>
        <w:jc w:val="both"/>
        <w:rPr>
          <w:rFonts w:ascii="Arial" w:hAnsi="Arial" w:cs="Arial"/>
          <w:sz w:val="24"/>
          <w:szCs w:val="24"/>
          <w:lang w:val="en-US"/>
        </w:rPr>
      </w:pPr>
    </w:p>
    <w:p w14:paraId="4AD6B558" w14:textId="77777777" w:rsidR="00F74B7E" w:rsidRPr="00CC1B93" w:rsidRDefault="00A64118" w:rsidP="0024287F">
      <w:pPr>
        <w:spacing w:after="0"/>
        <w:jc w:val="both"/>
        <w:rPr>
          <w:rFonts w:ascii="Arial" w:hAnsi="Arial" w:cs="Arial"/>
          <w:i/>
          <w:iCs/>
          <w:sz w:val="24"/>
          <w:szCs w:val="24"/>
          <w:lang w:val="en-US"/>
        </w:rPr>
      </w:pPr>
      <w:r w:rsidRPr="00CC1B93">
        <w:rPr>
          <w:rFonts w:ascii="Arial" w:hAnsi="Arial" w:cs="Arial"/>
          <w:i/>
          <w:iCs/>
          <w:sz w:val="24"/>
          <w:szCs w:val="24"/>
          <w:lang w:val="en-US"/>
        </w:rPr>
        <w:t xml:space="preserve">The law </w:t>
      </w:r>
    </w:p>
    <w:p w14:paraId="615B19AA" w14:textId="0A16AACB" w:rsidR="00CD0DC1" w:rsidRPr="009755DB" w:rsidRDefault="00E109FF" w:rsidP="0024287F">
      <w:pPr>
        <w:spacing w:after="0"/>
        <w:jc w:val="both"/>
        <w:rPr>
          <w:rFonts w:ascii="Arial" w:hAnsi="Arial" w:cs="Arial"/>
          <w:sz w:val="24"/>
          <w:szCs w:val="24"/>
          <w:lang w:val="en-US"/>
        </w:rPr>
      </w:pPr>
      <w:r>
        <w:rPr>
          <w:rFonts w:ascii="Arial" w:hAnsi="Arial" w:cs="Arial"/>
          <w:sz w:val="24"/>
          <w:szCs w:val="24"/>
          <w:lang w:val="en-US"/>
        </w:rPr>
        <w:t>[1</w:t>
      </w:r>
      <w:r w:rsidR="00237954">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CD0DC1" w:rsidRPr="009755DB">
        <w:rPr>
          <w:rFonts w:ascii="Arial" w:hAnsi="Arial" w:cs="Arial"/>
          <w:sz w:val="24"/>
          <w:szCs w:val="24"/>
          <w:lang w:val="en-US"/>
        </w:rPr>
        <w:t xml:space="preserve"> R</w:t>
      </w:r>
      <w:r w:rsidR="00253D2D" w:rsidRPr="009755DB">
        <w:rPr>
          <w:rFonts w:ascii="Arial" w:hAnsi="Arial" w:cs="Arial"/>
          <w:sz w:val="24"/>
          <w:szCs w:val="24"/>
          <w:lang w:val="en-US"/>
        </w:rPr>
        <w:t xml:space="preserve">ule 32 of the </w:t>
      </w:r>
      <w:r w:rsidR="00886CC4" w:rsidRPr="009755DB">
        <w:rPr>
          <w:rFonts w:ascii="Arial" w:hAnsi="Arial" w:cs="Arial"/>
          <w:sz w:val="24"/>
          <w:szCs w:val="24"/>
          <w:lang w:val="en-US"/>
        </w:rPr>
        <w:t>U</w:t>
      </w:r>
      <w:r w:rsidR="00253D2D" w:rsidRPr="009755DB">
        <w:rPr>
          <w:rFonts w:ascii="Arial" w:hAnsi="Arial" w:cs="Arial"/>
          <w:sz w:val="24"/>
          <w:szCs w:val="24"/>
          <w:lang w:val="en-US"/>
        </w:rPr>
        <w:t xml:space="preserve">niform </w:t>
      </w:r>
      <w:r w:rsidR="00886CC4" w:rsidRPr="009755DB">
        <w:rPr>
          <w:rFonts w:ascii="Arial" w:hAnsi="Arial" w:cs="Arial"/>
          <w:sz w:val="24"/>
          <w:szCs w:val="24"/>
          <w:lang w:val="en-US"/>
        </w:rPr>
        <w:t>R</w:t>
      </w:r>
      <w:r w:rsidR="00253D2D" w:rsidRPr="009755DB">
        <w:rPr>
          <w:rFonts w:ascii="Arial" w:hAnsi="Arial" w:cs="Arial"/>
          <w:sz w:val="24"/>
          <w:szCs w:val="24"/>
          <w:lang w:val="en-US"/>
        </w:rPr>
        <w:t xml:space="preserve">ules </w:t>
      </w:r>
      <w:r w:rsidR="00CD0DC1" w:rsidRPr="009755DB">
        <w:rPr>
          <w:rFonts w:ascii="Arial" w:hAnsi="Arial" w:cs="Arial"/>
          <w:sz w:val="24"/>
          <w:szCs w:val="24"/>
          <w:lang w:val="en-US"/>
        </w:rPr>
        <w:t xml:space="preserve">of </w:t>
      </w:r>
      <w:r w:rsidR="004B1FC8" w:rsidRPr="009755DB">
        <w:rPr>
          <w:rFonts w:ascii="Arial" w:hAnsi="Arial" w:cs="Arial"/>
          <w:sz w:val="24"/>
          <w:szCs w:val="24"/>
          <w:lang w:val="en-US"/>
        </w:rPr>
        <w:t>C</w:t>
      </w:r>
      <w:r w:rsidR="00CD0DC1" w:rsidRPr="009755DB">
        <w:rPr>
          <w:rFonts w:ascii="Arial" w:hAnsi="Arial" w:cs="Arial"/>
          <w:sz w:val="24"/>
          <w:szCs w:val="24"/>
          <w:lang w:val="en-US"/>
        </w:rPr>
        <w:t>ourt reads</w:t>
      </w:r>
      <w:r w:rsidR="003F318B" w:rsidRPr="009755DB">
        <w:rPr>
          <w:rFonts w:ascii="Arial" w:hAnsi="Arial" w:cs="Arial"/>
          <w:sz w:val="24"/>
          <w:szCs w:val="24"/>
          <w:lang w:val="en-US"/>
        </w:rPr>
        <w:t>:</w:t>
      </w:r>
      <w:r w:rsidR="00CD0DC1" w:rsidRPr="009755DB">
        <w:rPr>
          <w:rFonts w:ascii="Arial" w:hAnsi="Arial" w:cs="Arial"/>
          <w:sz w:val="24"/>
          <w:szCs w:val="24"/>
          <w:lang w:val="en-US"/>
        </w:rPr>
        <w:t xml:space="preserve"> </w:t>
      </w:r>
    </w:p>
    <w:p w14:paraId="3B077F8C" w14:textId="7B713AD8" w:rsidR="00E07F2F" w:rsidRPr="009755DB" w:rsidRDefault="0024287F" w:rsidP="0024287F">
      <w:pPr>
        <w:ind w:left="851"/>
        <w:jc w:val="both"/>
        <w:rPr>
          <w:rFonts w:ascii="Arial" w:hAnsi="Arial" w:cs="Arial"/>
          <w:lang w:val="en-US"/>
        </w:rPr>
      </w:pPr>
      <w:r w:rsidRPr="009755DB">
        <w:rPr>
          <w:rFonts w:ascii="Arial" w:hAnsi="Arial" w:cs="Arial"/>
          <w:lang w:val="en-US"/>
        </w:rPr>
        <w:t>“32</w:t>
      </w:r>
      <w:r w:rsidR="00BA2F0B" w:rsidRPr="009755DB">
        <w:rPr>
          <w:rFonts w:ascii="Arial" w:hAnsi="Arial" w:cs="Arial"/>
          <w:lang w:val="en-US"/>
        </w:rPr>
        <w:t>.</w:t>
      </w:r>
      <w:r w:rsidR="009A66C6">
        <w:rPr>
          <w:rFonts w:ascii="Arial" w:hAnsi="Arial" w:cs="Arial"/>
          <w:lang w:val="en-US"/>
        </w:rPr>
        <w:tab/>
      </w:r>
      <w:r w:rsidR="00E07F2F" w:rsidRPr="009755DB">
        <w:rPr>
          <w:rFonts w:ascii="Arial" w:hAnsi="Arial" w:cs="Arial"/>
          <w:lang w:val="en-US"/>
        </w:rPr>
        <w:t>Summary judgment</w:t>
      </w:r>
      <w:r w:rsidR="00BA2F0B" w:rsidRPr="009755DB">
        <w:rPr>
          <w:rFonts w:ascii="Arial" w:hAnsi="Arial" w:cs="Arial"/>
          <w:lang w:val="en-US"/>
        </w:rPr>
        <w:t xml:space="preserve">— </w:t>
      </w:r>
    </w:p>
    <w:p w14:paraId="1F2A98B8" w14:textId="41C8BD78" w:rsidR="00E07F2F" w:rsidRPr="009755DB" w:rsidRDefault="00E07F2F" w:rsidP="009A66C6">
      <w:pPr>
        <w:ind w:left="1701" w:hanging="283"/>
        <w:jc w:val="both"/>
        <w:rPr>
          <w:rFonts w:ascii="Arial" w:hAnsi="Arial" w:cs="Arial"/>
          <w:lang w:val="en-US"/>
        </w:rPr>
      </w:pPr>
      <w:r w:rsidRPr="009755DB">
        <w:rPr>
          <w:rFonts w:ascii="Arial" w:hAnsi="Arial" w:cs="Arial"/>
          <w:lang w:val="en-US"/>
        </w:rPr>
        <w:t>(1)</w:t>
      </w:r>
      <w:r w:rsidR="009A66C6">
        <w:rPr>
          <w:rFonts w:ascii="Arial" w:hAnsi="Arial" w:cs="Arial"/>
          <w:lang w:val="en-US"/>
        </w:rPr>
        <w:tab/>
      </w:r>
      <w:r w:rsidR="009A66C6">
        <w:rPr>
          <w:rFonts w:ascii="Arial" w:hAnsi="Arial" w:cs="Arial"/>
          <w:lang w:val="en-US"/>
        </w:rPr>
        <w:tab/>
      </w:r>
      <w:r w:rsidR="00BA2F0B" w:rsidRPr="009755DB">
        <w:rPr>
          <w:rFonts w:ascii="Arial" w:hAnsi="Arial" w:cs="Arial"/>
          <w:lang w:val="en-US"/>
        </w:rPr>
        <w:t xml:space="preserve">Where </w:t>
      </w:r>
      <w:r w:rsidR="0024287F">
        <w:rPr>
          <w:rFonts w:ascii="Arial" w:hAnsi="Arial" w:cs="Arial"/>
          <w:lang w:val="en-US"/>
        </w:rPr>
        <w:t>t</w:t>
      </w:r>
      <w:r w:rsidR="0024287F" w:rsidRPr="009755DB">
        <w:rPr>
          <w:rFonts w:ascii="Arial" w:hAnsi="Arial" w:cs="Arial"/>
          <w:lang w:val="en-US"/>
        </w:rPr>
        <w:t>he plaintiff</w:t>
      </w:r>
      <w:r w:rsidRPr="009755DB">
        <w:rPr>
          <w:rFonts w:ascii="Arial" w:hAnsi="Arial" w:cs="Arial"/>
          <w:lang w:val="en-US"/>
        </w:rPr>
        <w:t xml:space="preserve"> may, after the defendant has delivered</w:t>
      </w:r>
      <w:r w:rsidR="00BA2F0B" w:rsidRPr="009755DB">
        <w:rPr>
          <w:rFonts w:ascii="Arial" w:hAnsi="Arial" w:cs="Arial"/>
          <w:lang w:val="en-US"/>
        </w:rPr>
        <w:t xml:space="preserve"> </w:t>
      </w:r>
      <w:r w:rsidR="0024287F">
        <w:rPr>
          <w:rFonts w:ascii="Arial" w:hAnsi="Arial" w:cs="Arial"/>
          <w:lang w:val="en-US"/>
        </w:rPr>
        <w:t>n</w:t>
      </w:r>
      <w:r w:rsidR="00BA2F0B" w:rsidRPr="009755DB">
        <w:rPr>
          <w:rFonts w:ascii="Arial" w:hAnsi="Arial" w:cs="Arial"/>
          <w:lang w:val="en-US"/>
        </w:rPr>
        <w:t>otice of intention to defend</w:t>
      </w:r>
      <w:r w:rsidRPr="009755DB">
        <w:rPr>
          <w:rFonts w:ascii="Arial" w:hAnsi="Arial" w:cs="Arial"/>
          <w:lang w:val="en-US"/>
        </w:rPr>
        <w:t xml:space="preserve"> a plea, </w:t>
      </w:r>
      <w:r w:rsidR="00BA2F0B" w:rsidRPr="009755DB">
        <w:rPr>
          <w:rFonts w:ascii="Arial" w:hAnsi="Arial" w:cs="Arial"/>
          <w:lang w:val="en-US"/>
        </w:rPr>
        <w:t xml:space="preserve">the plaintiff may </w:t>
      </w:r>
      <w:r w:rsidRPr="009755DB">
        <w:rPr>
          <w:rFonts w:ascii="Arial" w:hAnsi="Arial" w:cs="Arial"/>
          <w:lang w:val="en-US"/>
        </w:rPr>
        <w:t>apply to court for summary judgment on each of such claims in the summons as is only</w:t>
      </w:r>
      <w:r w:rsidR="00746E23">
        <w:rPr>
          <w:rStyle w:val="FootnoteReference"/>
          <w:rFonts w:ascii="Arial" w:hAnsi="Arial" w:cs="Arial"/>
          <w:lang w:val="en-US"/>
        </w:rPr>
        <w:footnoteReference w:id="5"/>
      </w:r>
      <w:r w:rsidRPr="009755DB">
        <w:rPr>
          <w:rFonts w:ascii="Arial" w:hAnsi="Arial" w:cs="Arial"/>
          <w:lang w:val="en-US"/>
        </w:rPr>
        <w:t xml:space="preserve">— </w:t>
      </w:r>
    </w:p>
    <w:p w14:paraId="44487A2D" w14:textId="16221CC0" w:rsidR="0024287F" w:rsidRDefault="00BA2F0B" w:rsidP="009755DB">
      <w:pPr>
        <w:ind w:left="1701"/>
        <w:jc w:val="both"/>
        <w:rPr>
          <w:rFonts w:ascii="Arial" w:hAnsi="Arial" w:cs="Arial"/>
          <w:lang w:val="en-US"/>
        </w:rPr>
      </w:pPr>
      <w:r>
        <w:rPr>
          <w:rFonts w:ascii="Arial" w:hAnsi="Arial" w:cs="Arial"/>
          <w:lang w:val="en-US"/>
        </w:rPr>
        <w:lastRenderedPageBreak/>
        <w:t xml:space="preserve">     </w:t>
      </w:r>
      <w:r w:rsidR="0054007A">
        <w:rPr>
          <w:rFonts w:ascii="Arial" w:hAnsi="Arial" w:cs="Arial"/>
          <w:lang w:val="en-US"/>
        </w:rPr>
        <w:tab/>
      </w:r>
      <w:r w:rsidR="00E07F2F" w:rsidRPr="009755DB">
        <w:rPr>
          <w:rFonts w:ascii="Arial" w:hAnsi="Arial" w:cs="Arial"/>
          <w:lang w:val="en-US"/>
        </w:rPr>
        <w:t>(a)</w:t>
      </w:r>
      <w:r w:rsidR="0054007A">
        <w:rPr>
          <w:rFonts w:ascii="Arial" w:hAnsi="Arial" w:cs="Arial"/>
          <w:lang w:val="en-US"/>
        </w:rPr>
        <w:tab/>
      </w:r>
      <w:r w:rsidR="00E07F2F" w:rsidRPr="009755DB">
        <w:rPr>
          <w:rFonts w:ascii="Arial" w:hAnsi="Arial" w:cs="Arial"/>
          <w:lang w:val="en-US"/>
        </w:rPr>
        <w:t>on a liquid document;</w:t>
      </w:r>
    </w:p>
    <w:p w14:paraId="7408D6AA" w14:textId="14039A15" w:rsidR="00E07F2F" w:rsidRPr="009755DB" w:rsidRDefault="00BA2F0B" w:rsidP="009755DB">
      <w:pPr>
        <w:ind w:left="1701"/>
        <w:jc w:val="both"/>
        <w:rPr>
          <w:rFonts w:ascii="Arial" w:hAnsi="Arial" w:cs="Arial"/>
          <w:lang w:val="en-US"/>
        </w:rPr>
      </w:pPr>
      <w:r>
        <w:rPr>
          <w:rFonts w:ascii="Arial" w:hAnsi="Arial" w:cs="Arial"/>
          <w:lang w:val="en-US"/>
        </w:rPr>
        <w:t xml:space="preserve">     </w:t>
      </w:r>
      <w:r w:rsidR="0054007A">
        <w:rPr>
          <w:rFonts w:ascii="Arial" w:hAnsi="Arial" w:cs="Arial"/>
          <w:lang w:val="en-US"/>
        </w:rPr>
        <w:tab/>
      </w:r>
      <w:r w:rsidR="00E07F2F" w:rsidRPr="009755DB">
        <w:rPr>
          <w:rFonts w:ascii="Arial" w:hAnsi="Arial" w:cs="Arial"/>
          <w:lang w:val="en-US"/>
        </w:rPr>
        <w:t>(b)</w:t>
      </w:r>
      <w:r w:rsidR="0054007A">
        <w:rPr>
          <w:rFonts w:ascii="Arial" w:hAnsi="Arial" w:cs="Arial"/>
          <w:lang w:val="en-US"/>
        </w:rPr>
        <w:tab/>
      </w:r>
      <w:r w:rsidR="00E07F2F" w:rsidRPr="009755DB">
        <w:rPr>
          <w:rFonts w:ascii="Arial" w:hAnsi="Arial" w:cs="Arial"/>
          <w:lang w:val="en-US"/>
        </w:rPr>
        <w:t xml:space="preserve">for a liquidated amount in money;  </w:t>
      </w:r>
    </w:p>
    <w:p w14:paraId="78073602" w14:textId="11016BCD" w:rsidR="00E07F2F" w:rsidRPr="009755DB" w:rsidRDefault="00BA2F0B" w:rsidP="009755DB">
      <w:pPr>
        <w:ind w:left="1701"/>
        <w:jc w:val="both"/>
        <w:rPr>
          <w:rFonts w:ascii="Arial" w:hAnsi="Arial" w:cs="Arial"/>
          <w:lang w:val="en-US"/>
        </w:rPr>
      </w:pPr>
      <w:r>
        <w:rPr>
          <w:rFonts w:ascii="Arial" w:hAnsi="Arial" w:cs="Arial"/>
          <w:lang w:val="en-US"/>
        </w:rPr>
        <w:t xml:space="preserve">    </w:t>
      </w:r>
      <w:r w:rsidR="0024287F">
        <w:rPr>
          <w:rFonts w:ascii="Arial" w:hAnsi="Arial" w:cs="Arial"/>
          <w:lang w:val="en-US"/>
        </w:rPr>
        <w:t xml:space="preserve"> </w:t>
      </w:r>
      <w:r w:rsidR="0054007A">
        <w:rPr>
          <w:rFonts w:ascii="Arial" w:hAnsi="Arial" w:cs="Arial"/>
          <w:lang w:val="en-US"/>
        </w:rPr>
        <w:tab/>
      </w:r>
      <w:r w:rsidR="00E07F2F" w:rsidRPr="009755DB">
        <w:rPr>
          <w:rFonts w:ascii="Arial" w:hAnsi="Arial" w:cs="Arial"/>
          <w:lang w:val="en-US"/>
        </w:rPr>
        <w:t>(c)</w:t>
      </w:r>
      <w:r w:rsidR="0054007A">
        <w:rPr>
          <w:rFonts w:ascii="Arial" w:hAnsi="Arial" w:cs="Arial"/>
          <w:lang w:val="en-US"/>
        </w:rPr>
        <w:tab/>
      </w:r>
      <w:r w:rsidR="00E07F2F" w:rsidRPr="009755DB">
        <w:rPr>
          <w:rFonts w:ascii="Arial" w:hAnsi="Arial" w:cs="Arial"/>
          <w:lang w:val="en-US"/>
        </w:rPr>
        <w:t xml:space="preserve">for delivery of specified movable property; or  </w:t>
      </w:r>
    </w:p>
    <w:p w14:paraId="181411FA" w14:textId="27B5B549" w:rsidR="004B1FC8" w:rsidRPr="009755DB" w:rsidRDefault="00BA2F0B" w:rsidP="009755DB">
      <w:pPr>
        <w:spacing w:after="0"/>
        <w:ind w:left="1701"/>
        <w:jc w:val="both"/>
        <w:rPr>
          <w:rFonts w:ascii="Arial" w:hAnsi="Arial" w:cs="Arial"/>
          <w:lang w:val="en-US"/>
        </w:rPr>
      </w:pPr>
      <w:r>
        <w:rPr>
          <w:rFonts w:ascii="Arial" w:hAnsi="Arial" w:cs="Arial"/>
          <w:lang w:val="en-US"/>
        </w:rPr>
        <w:t xml:space="preserve">    </w:t>
      </w:r>
      <w:r w:rsidR="0024287F">
        <w:rPr>
          <w:rFonts w:ascii="Arial" w:hAnsi="Arial" w:cs="Arial"/>
          <w:lang w:val="en-US"/>
        </w:rPr>
        <w:t xml:space="preserve"> </w:t>
      </w:r>
      <w:r w:rsidR="0054007A">
        <w:rPr>
          <w:rFonts w:ascii="Arial" w:hAnsi="Arial" w:cs="Arial"/>
          <w:lang w:val="en-US"/>
        </w:rPr>
        <w:tab/>
      </w:r>
      <w:r w:rsidR="00E07F2F" w:rsidRPr="009755DB">
        <w:rPr>
          <w:rFonts w:ascii="Arial" w:hAnsi="Arial" w:cs="Arial"/>
          <w:lang w:val="en-US"/>
        </w:rPr>
        <w:t>(d)</w:t>
      </w:r>
      <w:r w:rsidR="0054007A">
        <w:rPr>
          <w:rFonts w:ascii="Arial" w:hAnsi="Arial" w:cs="Arial"/>
          <w:lang w:val="en-US"/>
        </w:rPr>
        <w:tab/>
      </w:r>
      <w:r w:rsidR="00E07F2F" w:rsidRPr="009755DB">
        <w:rPr>
          <w:rFonts w:ascii="Arial" w:hAnsi="Arial" w:cs="Arial"/>
          <w:lang w:val="en-US"/>
        </w:rPr>
        <w:t>for ejectment,</w:t>
      </w:r>
    </w:p>
    <w:p w14:paraId="18A404FE" w14:textId="0B5F4236" w:rsidR="00CD0DC1" w:rsidRPr="009755DB" w:rsidRDefault="00CD0DC1" w:rsidP="009755DB">
      <w:pPr>
        <w:spacing w:after="0"/>
        <w:jc w:val="both"/>
        <w:rPr>
          <w:rFonts w:ascii="Arial" w:hAnsi="Arial" w:cs="Arial"/>
          <w:lang w:val="en-US"/>
        </w:rPr>
      </w:pPr>
    </w:p>
    <w:p w14:paraId="2A087737" w14:textId="1627B440" w:rsidR="003F318B" w:rsidRPr="009755DB" w:rsidRDefault="00CD0DC1" w:rsidP="009755DB">
      <w:pPr>
        <w:spacing w:after="0"/>
        <w:ind w:left="851"/>
        <w:jc w:val="both"/>
        <w:rPr>
          <w:rFonts w:ascii="Arial" w:hAnsi="Arial" w:cs="Arial"/>
          <w:lang w:val="en-US"/>
        </w:rPr>
      </w:pPr>
      <w:r w:rsidRPr="009755DB">
        <w:rPr>
          <w:rFonts w:ascii="Arial" w:hAnsi="Arial" w:cs="Arial"/>
          <w:lang w:val="en-US"/>
        </w:rPr>
        <w:t>together with any claim for interest and costs.</w:t>
      </w:r>
      <w:r w:rsidR="000B4389" w:rsidRPr="009755DB">
        <w:rPr>
          <w:rFonts w:ascii="Arial" w:hAnsi="Arial" w:cs="Arial"/>
          <w:lang w:val="en-US"/>
        </w:rPr>
        <w:t>”</w:t>
      </w:r>
    </w:p>
    <w:p w14:paraId="18F19FCE" w14:textId="42C8A1FE" w:rsidR="000B4389" w:rsidRPr="00CC1B93" w:rsidRDefault="000B4389" w:rsidP="004B1FC8">
      <w:pPr>
        <w:rPr>
          <w:rFonts w:ascii="Arial" w:hAnsi="Arial" w:cs="Arial"/>
          <w:sz w:val="24"/>
          <w:szCs w:val="24"/>
          <w:lang w:val="en-US"/>
        </w:rPr>
      </w:pPr>
    </w:p>
    <w:p w14:paraId="798379FF" w14:textId="7E88DD0B" w:rsidR="00266926" w:rsidRPr="009755DB" w:rsidRDefault="00E109FF" w:rsidP="0024287F">
      <w:pPr>
        <w:spacing w:after="0" w:line="360" w:lineRule="auto"/>
        <w:jc w:val="both"/>
        <w:rPr>
          <w:rFonts w:ascii="Arial" w:hAnsi="Arial" w:cs="Arial"/>
          <w:sz w:val="24"/>
          <w:szCs w:val="24"/>
          <w:lang w:val="en-US"/>
        </w:rPr>
      </w:pPr>
      <w:r>
        <w:rPr>
          <w:rFonts w:ascii="Arial" w:hAnsi="Arial" w:cs="Arial"/>
          <w:sz w:val="24"/>
          <w:szCs w:val="24"/>
          <w:lang w:val="en-US"/>
        </w:rPr>
        <w:t>[1</w:t>
      </w:r>
      <w:r w:rsidR="0020687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E47F5D" w:rsidRPr="009755DB">
        <w:rPr>
          <w:rFonts w:ascii="Arial" w:hAnsi="Arial" w:cs="Arial"/>
          <w:sz w:val="24"/>
          <w:szCs w:val="24"/>
          <w:lang w:val="en-US"/>
        </w:rPr>
        <w:t xml:space="preserve"> </w:t>
      </w:r>
      <w:r w:rsidR="000B4389" w:rsidRPr="009755DB">
        <w:rPr>
          <w:rFonts w:ascii="Arial" w:hAnsi="Arial" w:cs="Arial"/>
          <w:sz w:val="24"/>
          <w:szCs w:val="24"/>
          <w:lang w:val="en-US"/>
        </w:rPr>
        <w:t xml:space="preserve">To </w:t>
      </w:r>
      <w:r w:rsidR="004B1FC8" w:rsidRPr="009755DB">
        <w:rPr>
          <w:rFonts w:ascii="Arial" w:hAnsi="Arial" w:cs="Arial"/>
          <w:sz w:val="24"/>
          <w:szCs w:val="24"/>
          <w:lang w:val="en-US"/>
        </w:rPr>
        <w:t xml:space="preserve">be </w:t>
      </w:r>
      <w:r w:rsidR="000B4389" w:rsidRPr="009755DB">
        <w:rPr>
          <w:rFonts w:ascii="Arial" w:hAnsi="Arial" w:cs="Arial"/>
          <w:sz w:val="24"/>
          <w:szCs w:val="24"/>
          <w:lang w:val="en-US"/>
        </w:rPr>
        <w:t>success</w:t>
      </w:r>
      <w:r w:rsidR="004B1FC8" w:rsidRPr="009755DB">
        <w:rPr>
          <w:rFonts w:ascii="Arial" w:hAnsi="Arial" w:cs="Arial"/>
          <w:sz w:val="24"/>
          <w:szCs w:val="24"/>
          <w:lang w:val="en-US"/>
        </w:rPr>
        <w:t xml:space="preserve">ful </w:t>
      </w:r>
      <w:r w:rsidR="000B4389" w:rsidRPr="009755DB">
        <w:rPr>
          <w:rFonts w:ascii="Arial" w:hAnsi="Arial" w:cs="Arial"/>
          <w:sz w:val="24"/>
          <w:szCs w:val="24"/>
          <w:lang w:val="en-US"/>
        </w:rPr>
        <w:t>against an application for summary judgement, the defendant</w:t>
      </w:r>
      <w:r w:rsidR="006E6CD3" w:rsidRPr="009755DB">
        <w:rPr>
          <w:rFonts w:ascii="Arial" w:hAnsi="Arial" w:cs="Arial"/>
          <w:sz w:val="24"/>
          <w:szCs w:val="24"/>
          <w:lang w:val="en-US"/>
        </w:rPr>
        <w:t xml:space="preserve"> must </w:t>
      </w:r>
      <w:r w:rsidR="00935926" w:rsidRPr="009755DB">
        <w:rPr>
          <w:rFonts w:ascii="Arial" w:hAnsi="Arial" w:cs="Arial"/>
          <w:sz w:val="24"/>
          <w:szCs w:val="24"/>
          <w:lang w:val="en-US"/>
        </w:rPr>
        <w:t>set out in his or her affidavit</w:t>
      </w:r>
      <w:r w:rsidR="00FB6662">
        <w:rPr>
          <w:rFonts w:ascii="Arial" w:hAnsi="Arial" w:cs="Arial"/>
          <w:sz w:val="24"/>
          <w:szCs w:val="24"/>
          <w:lang w:val="en-US"/>
        </w:rPr>
        <w:t xml:space="preserve"> </w:t>
      </w:r>
      <w:r w:rsidR="00935926" w:rsidRPr="009755DB">
        <w:rPr>
          <w:rFonts w:ascii="Arial" w:hAnsi="Arial" w:cs="Arial"/>
          <w:sz w:val="24"/>
          <w:szCs w:val="24"/>
          <w:lang w:val="en-US"/>
        </w:rPr>
        <w:t>facts</w:t>
      </w:r>
      <w:r w:rsidR="00FB6662">
        <w:rPr>
          <w:rFonts w:ascii="Arial" w:hAnsi="Arial" w:cs="Arial"/>
          <w:sz w:val="24"/>
          <w:szCs w:val="24"/>
          <w:lang w:val="en-US"/>
        </w:rPr>
        <w:t xml:space="preserve">, </w:t>
      </w:r>
      <w:r w:rsidR="000A6EA8" w:rsidRPr="009755DB">
        <w:rPr>
          <w:rFonts w:ascii="Arial" w:hAnsi="Arial" w:cs="Arial"/>
          <w:sz w:val="24"/>
          <w:szCs w:val="24"/>
          <w:lang w:val="en-US"/>
        </w:rPr>
        <w:t>which</w:t>
      </w:r>
      <w:r w:rsidR="005822FB">
        <w:rPr>
          <w:rFonts w:ascii="Arial" w:hAnsi="Arial" w:cs="Arial"/>
          <w:sz w:val="24"/>
          <w:szCs w:val="24"/>
          <w:lang w:val="en-US"/>
        </w:rPr>
        <w:t>,</w:t>
      </w:r>
      <w:r w:rsidR="000A6EA8" w:rsidRPr="009755DB">
        <w:rPr>
          <w:rFonts w:ascii="Arial" w:hAnsi="Arial" w:cs="Arial"/>
          <w:sz w:val="24"/>
          <w:szCs w:val="24"/>
          <w:lang w:val="en-US"/>
        </w:rPr>
        <w:t xml:space="preserve"> if</w:t>
      </w:r>
      <w:r w:rsidR="00935926" w:rsidRPr="009755DB">
        <w:rPr>
          <w:rFonts w:ascii="Arial" w:hAnsi="Arial" w:cs="Arial"/>
          <w:sz w:val="24"/>
          <w:szCs w:val="24"/>
          <w:lang w:val="en-US"/>
        </w:rPr>
        <w:t xml:space="preserve"> </w:t>
      </w:r>
      <w:r w:rsidR="007054C7" w:rsidRPr="007054C7">
        <w:rPr>
          <w:rFonts w:ascii="Arial" w:hAnsi="Arial" w:cs="Arial"/>
          <w:sz w:val="24"/>
          <w:szCs w:val="24"/>
          <w:lang w:val="en-US"/>
        </w:rPr>
        <w:t>proven at</w:t>
      </w:r>
      <w:r w:rsidR="00935926" w:rsidRPr="009755DB">
        <w:rPr>
          <w:rFonts w:ascii="Arial" w:hAnsi="Arial" w:cs="Arial"/>
          <w:sz w:val="24"/>
          <w:szCs w:val="24"/>
          <w:lang w:val="en-US"/>
        </w:rPr>
        <w:t xml:space="preserve"> tria</w:t>
      </w:r>
      <w:r w:rsidR="005822FB">
        <w:rPr>
          <w:rFonts w:ascii="Arial" w:hAnsi="Arial" w:cs="Arial"/>
          <w:sz w:val="24"/>
          <w:szCs w:val="24"/>
          <w:lang w:val="en-US"/>
        </w:rPr>
        <w:t>l,</w:t>
      </w:r>
      <w:r w:rsidR="00935926" w:rsidRPr="009755DB">
        <w:rPr>
          <w:rFonts w:ascii="Arial" w:hAnsi="Arial" w:cs="Arial"/>
          <w:sz w:val="24"/>
          <w:szCs w:val="24"/>
          <w:lang w:val="en-US"/>
        </w:rPr>
        <w:t xml:space="preserve"> will constitute </w:t>
      </w:r>
      <w:r w:rsidR="00EF51F0" w:rsidRPr="009755DB">
        <w:rPr>
          <w:rFonts w:ascii="Arial" w:hAnsi="Arial" w:cs="Arial"/>
          <w:sz w:val="24"/>
          <w:szCs w:val="24"/>
          <w:lang w:val="en-US"/>
        </w:rPr>
        <w:t>an answer to the plaintiff’s case.</w:t>
      </w:r>
      <w:r w:rsidR="00EF51F0" w:rsidRPr="00CC1B93">
        <w:rPr>
          <w:rStyle w:val="FootnoteReference"/>
          <w:rFonts w:ascii="Arial" w:hAnsi="Arial" w:cs="Arial"/>
          <w:sz w:val="24"/>
          <w:szCs w:val="24"/>
          <w:lang w:val="en-US"/>
        </w:rPr>
        <w:footnoteReference w:id="6"/>
      </w:r>
      <w:r w:rsidR="004605C9" w:rsidRPr="009755DB">
        <w:rPr>
          <w:rFonts w:ascii="Arial" w:hAnsi="Arial" w:cs="Arial"/>
          <w:sz w:val="24"/>
          <w:szCs w:val="24"/>
          <w:lang w:val="en-US"/>
        </w:rPr>
        <w:t xml:space="preserve"> </w:t>
      </w:r>
      <w:r w:rsidR="007A633E" w:rsidRPr="009755DB">
        <w:rPr>
          <w:rFonts w:ascii="Arial" w:hAnsi="Arial" w:cs="Arial"/>
          <w:sz w:val="24"/>
          <w:szCs w:val="24"/>
          <w:lang w:val="en-US"/>
        </w:rPr>
        <w:t>On this subject</w:t>
      </w:r>
      <w:r w:rsidR="002302D2" w:rsidRPr="009755DB">
        <w:rPr>
          <w:rFonts w:ascii="Arial" w:hAnsi="Arial" w:cs="Arial"/>
          <w:sz w:val="24"/>
          <w:szCs w:val="24"/>
          <w:lang w:val="en-US"/>
        </w:rPr>
        <w:t xml:space="preserve">, </w:t>
      </w:r>
      <w:r w:rsidR="000A6EA8" w:rsidRPr="009755DB">
        <w:rPr>
          <w:rFonts w:ascii="Arial" w:hAnsi="Arial" w:cs="Arial"/>
          <w:sz w:val="24"/>
          <w:szCs w:val="24"/>
          <w:lang w:val="en-US"/>
        </w:rPr>
        <w:t>the court in</w:t>
      </w:r>
      <w:r w:rsidR="000B4389" w:rsidRPr="009755DB">
        <w:rPr>
          <w:rFonts w:ascii="Arial" w:hAnsi="Arial" w:cs="Arial"/>
          <w:sz w:val="24"/>
          <w:szCs w:val="24"/>
          <w:lang w:val="en-US"/>
        </w:rPr>
        <w:t xml:space="preserve"> </w:t>
      </w:r>
      <w:r w:rsidR="000B4389" w:rsidRPr="009755DB">
        <w:rPr>
          <w:rFonts w:ascii="Arial" w:hAnsi="Arial" w:cs="Arial"/>
          <w:i/>
          <w:iCs/>
          <w:sz w:val="24"/>
          <w:szCs w:val="24"/>
          <w:lang w:val="en-US"/>
        </w:rPr>
        <w:t>Maharaj v Barclays N</w:t>
      </w:r>
      <w:r w:rsidR="00266926" w:rsidRPr="009755DB">
        <w:rPr>
          <w:rFonts w:ascii="Arial" w:hAnsi="Arial" w:cs="Arial"/>
          <w:i/>
          <w:iCs/>
          <w:sz w:val="24"/>
          <w:szCs w:val="24"/>
          <w:lang w:val="en-US"/>
        </w:rPr>
        <w:t>ational</w:t>
      </w:r>
      <w:r w:rsidR="000B4389" w:rsidRPr="009755DB">
        <w:rPr>
          <w:rFonts w:ascii="Arial" w:hAnsi="Arial" w:cs="Arial"/>
          <w:i/>
          <w:iCs/>
          <w:sz w:val="24"/>
          <w:szCs w:val="24"/>
          <w:lang w:val="en-US"/>
        </w:rPr>
        <w:t xml:space="preserve"> B</w:t>
      </w:r>
      <w:r w:rsidR="00266926" w:rsidRPr="009755DB">
        <w:rPr>
          <w:rFonts w:ascii="Arial" w:hAnsi="Arial" w:cs="Arial"/>
          <w:i/>
          <w:iCs/>
          <w:sz w:val="24"/>
          <w:szCs w:val="24"/>
          <w:lang w:val="en-US"/>
        </w:rPr>
        <w:t>ank</w:t>
      </w:r>
      <w:r w:rsidR="000B4389" w:rsidRPr="009755DB">
        <w:rPr>
          <w:rFonts w:ascii="Arial" w:hAnsi="Arial" w:cs="Arial"/>
          <w:i/>
          <w:iCs/>
          <w:sz w:val="24"/>
          <w:szCs w:val="24"/>
          <w:lang w:val="en-US"/>
        </w:rPr>
        <w:t xml:space="preserve"> L</w:t>
      </w:r>
      <w:r w:rsidR="00266926" w:rsidRPr="009755DB">
        <w:rPr>
          <w:rFonts w:ascii="Arial" w:hAnsi="Arial" w:cs="Arial"/>
          <w:i/>
          <w:iCs/>
          <w:sz w:val="24"/>
          <w:szCs w:val="24"/>
          <w:lang w:val="en-US"/>
        </w:rPr>
        <w:t>td</w:t>
      </w:r>
      <w:r w:rsidR="00D235C4" w:rsidRPr="00CC1B93">
        <w:rPr>
          <w:rStyle w:val="FootnoteReference"/>
          <w:rFonts w:ascii="Arial" w:hAnsi="Arial" w:cs="Arial"/>
          <w:i/>
          <w:iCs/>
          <w:sz w:val="24"/>
          <w:szCs w:val="24"/>
          <w:lang w:val="en-US"/>
        </w:rPr>
        <w:footnoteReference w:id="7"/>
      </w:r>
      <w:r w:rsidR="007A633E" w:rsidRPr="009755DB">
        <w:rPr>
          <w:rFonts w:ascii="Arial" w:hAnsi="Arial" w:cs="Arial"/>
          <w:sz w:val="24"/>
          <w:szCs w:val="24"/>
          <w:lang w:val="en-US"/>
        </w:rPr>
        <w:t xml:space="preserve"> held</w:t>
      </w:r>
      <w:r w:rsidR="00266926" w:rsidRPr="009755DB">
        <w:rPr>
          <w:rFonts w:ascii="Arial" w:hAnsi="Arial" w:cs="Arial"/>
          <w:sz w:val="24"/>
          <w:szCs w:val="24"/>
          <w:lang w:val="en-US"/>
        </w:rPr>
        <w:t>:</w:t>
      </w:r>
    </w:p>
    <w:p w14:paraId="0A70D8E2" w14:textId="3AE777AA" w:rsidR="00253D2D" w:rsidRPr="009755DB" w:rsidRDefault="00266926" w:rsidP="009755DB">
      <w:pPr>
        <w:spacing w:after="0" w:line="360" w:lineRule="auto"/>
        <w:ind w:left="851"/>
        <w:jc w:val="both"/>
        <w:rPr>
          <w:rFonts w:ascii="Arial" w:hAnsi="Arial" w:cs="Arial"/>
          <w:lang w:val="en-US"/>
        </w:rPr>
      </w:pPr>
      <w:r w:rsidRPr="009755DB">
        <w:rPr>
          <w:rFonts w:ascii="Arial" w:hAnsi="Arial" w:cs="Arial"/>
          <w:lang w:val="en-US"/>
        </w:rPr>
        <w:t>“</w:t>
      </w:r>
      <w:r w:rsidR="0000780D" w:rsidRPr="009755DB">
        <w:rPr>
          <w:rFonts w:ascii="Arial" w:hAnsi="Arial" w:cs="Arial"/>
          <w:lang w:val="en-US"/>
        </w:rPr>
        <w:t>Accordingly</w:t>
      </w:r>
      <w:r w:rsidRPr="009755DB">
        <w:rPr>
          <w:rFonts w:ascii="Arial" w:hAnsi="Arial" w:cs="Arial"/>
          <w:lang w:val="en-US"/>
        </w:rPr>
        <w:t xml:space="preserve">, one of the ways in which a defendant may successfully oppose a claim for summary judgment is by satisfying the </w:t>
      </w:r>
      <w:r w:rsidR="0000780D" w:rsidRPr="009755DB">
        <w:rPr>
          <w:rFonts w:ascii="Arial" w:hAnsi="Arial" w:cs="Arial"/>
          <w:lang w:val="en-US"/>
        </w:rPr>
        <w:t>C</w:t>
      </w:r>
      <w:r w:rsidRPr="009755DB">
        <w:rPr>
          <w:rFonts w:ascii="Arial" w:hAnsi="Arial" w:cs="Arial"/>
          <w:lang w:val="en-US"/>
        </w:rPr>
        <w:t>o</w:t>
      </w:r>
      <w:r w:rsidR="0000780D" w:rsidRPr="009755DB">
        <w:rPr>
          <w:rFonts w:ascii="Arial" w:hAnsi="Arial" w:cs="Arial"/>
          <w:lang w:val="en-US"/>
        </w:rPr>
        <w:t xml:space="preserve">urt </w:t>
      </w:r>
      <w:r w:rsidRPr="009755DB">
        <w:rPr>
          <w:rFonts w:ascii="Arial" w:hAnsi="Arial" w:cs="Arial"/>
          <w:lang w:val="en-US"/>
        </w:rPr>
        <w:t xml:space="preserve">by affidavit that he has a </w:t>
      </w:r>
      <w:r w:rsidRPr="009755DB">
        <w:rPr>
          <w:rFonts w:ascii="Arial" w:hAnsi="Arial" w:cs="Arial"/>
          <w:i/>
          <w:iCs/>
          <w:lang w:val="en-US"/>
        </w:rPr>
        <w:t>bona fide</w:t>
      </w:r>
      <w:r w:rsidRPr="009755DB">
        <w:rPr>
          <w:rFonts w:ascii="Arial" w:hAnsi="Arial" w:cs="Arial"/>
          <w:lang w:val="en-US"/>
        </w:rPr>
        <w:t xml:space="preserve"> defense to the claim. Where the defense is based upon facts, in the sense that material facts alleged by the plaintiff </w:t>
      </w:r>
      <w:r w:rsidR="00D93659" w:rsidRPr="009755DB">
        <w:rPr>
          <w:rFonts w:ascii="Arial" w:hAnsi="Arial" w:cs="Arial"/>
          <w:lang w:val="en-US"/>
        </w:rPr>
        <w:t>in</w:t>
      </w:r>
      <w:r w:rsidRPr="009755DB">
        <w:rPr>
          <w:rFonts w:ascii="Arial" w:hAnsi="Arial" w:cs="Arial"/>
          <w:lang w:val="en-US"/>
        </w:rPr>
        <w:t xml:space="preserve"> his summons</w:t>
      </w:r>
      <w:r w:rsidR="0000780D" w:rsidRPr="009755DB">
        <w:rPr>
          <w:rFonts w:ascii="Arial" w:hAnsi="Arial" w:cs="Arial"/>
          <w:lang w:val="en-US"/>
        </w:rPr>
        <w:t>,</w:t>
      </w:r>
      <w:r w:rsidRPr="009755DB">
        <w:rPr>
          <w:rFonts w:ascii="Arial" w:hAnsi="Arial" w:cs="Arial"/>
          <w:lang w:val="en-US"/>
        </w:rPr>
        <w:t xml:space="preserve"> or combined summons, a</w:t>
      </w:r>
      <w:r w:rsidR="00D93659" w:rsidRPr="009755DB">
        <w:rPr>
          <w:rFonts w:ascii="Arial" w:hAnsi="Arial" w:cs="Arial"/>
          <w:lang w:val="en-US"/>
        </w:rPr>
        <w:t>re</w:t>
      </w:r>
      <w:r w:rsidRPr="009755DB">
        <w:rPr>
          <w:rFonts w:ascii="Arial" w:hAnsi="Arial" w:cs="Arial"/>
          <w:lang w:val="en-US"/>
        </w:rPr>
        <w:t xml:space="preserve"> disputed or new facts are alleged constituting a defence, the </w:t>
      </w:r>
      <w:r w:rsidR="00D93659" w:rsidRPr="009755DB">
        <w:rPr>
          <w:rFonts w:ascii="Arial" w:hAnsi="Arial" w:cs="Arial"/>
          <w:lang w:val="en-US"/>
        </w:rPr>
        <w:t>C</w:t>
      </w:r>
      <w:r w:rsidRPr="009755DB">
        <w:rPr>
          <w:rFonts w:ascii="Arial" w:hAnsi="Arial" w:cs="Arial"/>
          <w:lang w:val="en-US"/>
        </w:rPr>
        <w:t xml:space="preserve">ourt does not attempt to decide these issues or to determine whether or not there is a balance of probabilities in favour of the one party or the other. All that the court </w:t>
      </w:r>
      <w:r w:rsidR="00AF78BA" w:rsidRPr="009755DB">
        <w:rPr>
          <w:rFonts w:ascii="Arial" w:hAnsi="Arial" w:cs="Arial"/>
          <w:lang w:val="en-US"/>
        </w:rPr>
        <w:t>e</w:t>
      </w:r>
      <w:r w:rsidRPr="009755DB">
        <w:rPr>
          <w:rFonts w:ascii="Arial" w:hAnsi="Arial" w:cs="Arial"/>
          <w:lang w:val="en-US"/>
        </w:rPr>
        <w:t>nquires into is: (a) whether the defendant has “fully” disclose</w:t>
      </w:r>
      <w:r w:rsidR="00AF78BA" w:rsidRPr="009755DB">
        <w:rPr>
          <w:rFonts w:ascii="Arial" w:hAnsi="Arial" w:cs="Arial"/>
          <w:lang w:val="en-US"/>
        </w:rPr>
        <w:t>d</w:t>
      </w:r>
      <w:r w:rsidRPr="009755DB">
        <w:rPr>
          <w:rFonts w:ascii="Arial" w:hAnsi="Arial" w:cs="Arial"/>
          <w:lang w:val="en-US"/>
        </w:rPr>
        <w:t xml:space="preserve"> the nature and grounds of his defence and the material f</w:t>
      </w:r>
      <w:r w:rsidR="000A6EA8" w:rsidRPr="009755DB">
        <w:rPr>
          <w:rFonts w:ascii="Arial" w:hAnsi="Arial" w:cs="Arial"/>
          <w:lang w:val="en-US"/>
        </w:rPr>
        <w:t xml:space="preserve">acts </w:t>
      </w:r>
      <w:r w:rsidRPr="009755DB">
        <w:rPr>
          <w:rFonts w:ascii="Arial" w:hAnsi="Arial" w:cs="Arial"/>
          <w:lang w:val="en-US"/>
        </w:rPr>
        <w:t>upon which it is founded, and (b) whether on the fact</w:t>
      </w:r>
      <w:r w:rsidR="00E84B16" w:rsidRPr="009755DB">
        <w:rPr>
          <w:rFonts w:ascii="Arial" w:hAnsi="Arial" w:cs="Arial"/>
          <w:lang w:val="en-US"/>
        </w:rPr>
        <w:t>s</w:t>
      </w:r>
      <w:r w:rsidRPr="009755DB">
        <w:rPr>
          <w:rFonts w:ascii="Arial" w:hAnsi="Arial" w:cs="Arial"/>
          <w:lang w:val="en-US"/>
        </w:rPr>
        <w:t xml:space="preserve"> so </w:t>
      </w:r>
      <w:r w:rsidR="00E84B16" w:rsidRPr="009755DB">
        <w:rPr>
          <w:rFonts w:ascii="Arial" w:hAnsi="Arial" w:cs="Arial"/>
          <w:lang w:val="en-US"/>
        </w:rPr>
        <w:t>d</w:t>
      </w:r>
      <w:r w:rsidRPr="009755DB">
        <w:rPr>
          <w:rFonts w:ascii="Arial" w:hAnsi="Arial" w:cs="Arial"/>
          <w:lang w:val="en-US"/>
        </w:rPr>
        <w:t>isclose</w:t>
      </w:r>
      <w:r w:rsidR="00E84B16" w:rsidRPr="009755DB">
        <w:rPr>
          <w:rFonts w:ascii="Arial" w:hAnsi="Arial" w:cs="Arial"/>
          <w:lang w:val="en-US"/>
        </w:rPr>
        <w:t>d</w:t>
      </w:r>
      <w:r w:rsidRPr="009755DB">
        <w:rPr>
          <w:rFonts w:ascii="Arial" w:hAnsi="Arial" w:cs="Arial"/>
          <w:lang w:val="en-US"/>
        </w:rPr>
        <w:t xml:space="preserve"> the defendant appears to have, as to either the whole or part of the claim, a defence which is </w:t>
      </w:r>
      <w:r w:rsidRPr="009755DB">
        <w:rPr>
          <w:rFonts w:ascii="Arial" w:hAnsi="Arial" w:cs="Arial"/>
          <w:i/>
          <w:iCs/>
          <w:lang w:val="en-US"/>
        </w:rPr>
        <w:t>bona fide</w:t>
      </w:r>
      <w:r w:rsidRPr="009755DB">
        <w:rPr>
          <w:rFonts w:ascii="Arial" w:hAnsi="Arial" w:cs="Arial"/>
          <w:lang w:val="en-US"/>
        </w:rPr>
        <w:t xml:space="preserve"> and good in law. If satisfied on these matters the court must refuse summary judgment, either wholly or in part, as the case may be.</w:t>
      </w:r>
      <w:r w:rsidR="0000780D" w:rsidRPr="009755DB">
        <w:rPr>
          <w:rFonts w:ascii="Arial" w:hAnsi="Arial" w:cs="Arial"/>
          <w:lang w:val="en-US"/>
        </w:rPr>
        <w:t>”</w:t>
      </w:r>
      <w:r w:rsidR="00D235C4" w:rsidRPr="009755DB">
        <w:rPr>
          <w:rStyle w:val="FootnoteReference"/>
          <w:rFonts w:ascii="Arial" w:hAnsi="Arial" w:cs="Arial"/>
          <w:lang w:val="en-US"/>
        </w:rPr>
        <w:footnoteReference w:id="8"/>
      </w:r>
      <w:r w:rsidR="000B4389" w:rsidRPr="009755DB">
        <w:rPr>
          <w:rFonts w:ascii="Arial" w:hAnsi="Arial" w:cs="Arial"/>
          <w:lang w:val="en-US"/>
        </w:rPr>
        <w:t xml:space="preserve"> </w:t>
      </w:r>
      <w:r w:rsidR="00253D2D" w:rsidRPr="009755DB">
        <w:rPr>
          <w:rFonts w:ascii="Arial" w:hAnsi="Arial" w:cs="Arial"/>
          <w:lang w:val="en-US"/>
        </w:rPr>
        <w:t xml:space="preserve"> </w:t>
      </w:r>
    </w:p>
    <w:p w14:paraId="79FB9F22" w14:textId="77777777" w:rsidR="002302D2" w:rsidRPr="00CC1B93" w:rsidRDefault="002302D2" w:rsidP="003F318B">
      <w:pPr>
        <w:ind w:left="1440"/>
        <w:jc w:val="both"/>
        <w:rPr>
          <w:rFonts w:ascii="Arial" w:hAnsi="Arial" w:cs="Arial"/>
          <w:sz w:val="24"/>
          <w:szCs w:val="24"/>
          <w:lang w:val="en-US"/>
        </w:rPr>
      </w:pPr>
    </w:p>
    <w:p w14:paraId="7FAF8D61" w14:textId="5AFB545D" w:rsidR="00331A20" w:rsidRPr="009755DB" w:rsidRDefault="00E109FF" w:rsidP="009755DB">
      <w:pPr>
        <w:jc w:val="both"/>
        <w:rPr>
          <w:rFonts w:ascii="Arial" w:hAnsi="Arial" w:cs="Arial"/>
          <w:lang w:val="en-US"/>
        </w:rPr>
      </w:pPr>
      <w:r>
        <w:rPr>
          <w:rFonts w:ascii="Arial" w:hAnsi="Arial" w:cs="Arial"/>
          <w:sz w:val="24"/>
          <w:szCs w:val="24"/>
          <w:lang w:val="en-US"/>
        </w:rPr>
        <w:t>[1</w:t>
      </w:r>
      <w:r w:rsidR="00D526CF">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E47F5D" w:rsidRPr="009755DB">
        <w:rPr>
          <w:rFonts w:ascii="Arial" w:hAnsi="Arial" w:cs="Arial"/>
          <w:lang w:val="en-US"/>
        </w:rPr>
        <w:t xml:space="preserve"> </w:t>
      </w:r>
      <w:r w:rsidR="00331A20" w:rsidRPr="009755DB">
        <w:rPr>
          <w:rFonts w:ascii="Arial" w:hAnsi="Arial" w:cs="Arial"/>
          <w:sz w:val="24"/>
          <w:szCs w:val="24"/>
          <w:lang w:val="en-US"/>
        </w:rPr>
        <w:t>Section 127 of the NCA provides</w:t>
      </w:r>
      <w:r w:rsidR="007F3E2B" w:rsidRPr="009755DB">
        <w:rPr>
          <w:rFonts w:ascii="Arial" w:hAnsi="Arial" w:cs="Arial"/>
          <w:sz w:val="24"/>
          <w:szCs w:val="24"/>
          <w:lang w:val="en-US"/>
        </w:rPr>
        <w:t>:</w:t>
      </w:r>
    </w:p>
    <w:p w14:paraId="6F959105" w14:textId="6C176151" w:rsidR="00331A20" w:rsidRPr="009755DB" w:rsidRDefault="002302D2" w:rsidP="00FB169F">
      <w:pPr>
        <w:ind w:left="851"/>
        <w:jc w:val="both"/>
        <w:rPr>
          <w:rFonts w:ascii="Arial" w:hAnsi="Arial" w:cs="Arial"/>
          <w:lang w:val="en-US"/>
        </w:rPr>
      </w:pPr>
      <w:r w:rsidRPr="009755DB">
        <w:rPr>
          <w:rFonts w:ascii="Arial" w:hAnsi="Arial" w:cs="Arial"/>
          <w:lang w:val="en-US"/>
        </w:rPr>
        <w:t>“</w:t>
      </w:r>
      <w:r w:rsidR="00B87DC6" w:rsidRPr="009755DB">
        <w:rPr>
          <w:rFonts w:ascii="Arial" w:hAnsi="Arial" w:cs="Arial"/>
          <w:lang w:val="en-US"/>
        </w:rPr>
        <w:t>127.</w:t>
      </w:r>
      <w:r w:rsidR="00331A20" w:rsidRPr="009755DB">
        <w:rPr>
          <w:rFonts w:ascii="Arial" w:hAnsi="Arial" w:cs="Arial"/>
          <w:lang w:val="en-US"/>
        </w:rPr>
        <w:t>Surrender of goods</w:t>
      </w:r>
      <w:r w:rsidR="00915120" w:rsidRPr="009755DB">
        <w:rPr>
          <w:rFonts w:ascii="Arial" w:hAnsi="Arial" w:cs="Arial"/>
          <w:color w:val="000000"/>
          <w:shd w:val="clear" w:color="auto" w:fill="FFFFFF"/>
        </w:rPr>
        <w:t>—</w:t>
      </w:r>
    </w:p>
    <w:p w14:paraId="12BDDE08" w14:textId="634EF7CE" w:rsidR="00331A20" w:rsidRPr="009755DB" w:rsidRDefault="00B45DCE" w:rsidP="00FB169F">
      <w:pPr>
        <w:ind w:left="1418"/>
        <w:jc w:val="both"/>
        <w:rPr>
          <w:rFonts w:ascii="Arial" w:hAnsi="Arial" w:cs="Arial"/>
          <w:lang w:val="en-US"/>
        </w:rPr>
      </w:pPr>
      <w:r w:rsidRPr="009755DB">
        <w:rPr>
          <w:rFonts w:ascii="Arial" w:hAnsi="Arial" w:cs="Arial"/>
          <w:lang w:val="en-US"/>
        </w:rPr>
        <w:t>(1)</w:t>
      </w:r>
      <w:r w:rsidR="00331A20" w:rsidRPr="009755DB">
        <w:rPr>
          <w:rFonts w:ascii="Arial" w:hAnsi="Arial" w:cs="Arial"/>
          <w:lang w:val="en-US"/>
        </w:rPr>
        <w:t xml:space="preserve"> </w:t>
      </w:r>
      <w:r w:rsidR="00FB169F">
        <w:rPr>
          <w:rFonts w:ascii="Arial" w:hAnsi="Arial" w:cs="Arial"/>
          <w:lang w:val="en-US"/>
        </w:rPr>
        <w:tab/>
      </w:r>
      <w:r w:rsidR="007F3E2B" w:rsidRPr="009755DB">
        <w:rPr>
          <w:rFonts w:ascii="Arial" w:hAnsi="Arial" w:cs="Arial"/>
          <w:lang w:val="en-US"/>
        </w:rPr>
        <w:t>A</w:t>
      </w:r>
      <w:r w:rsidR="00331A20" w:rsidRPr="009755DB">
        <w:rPr>
          <w:rFonts w:ascii="Arial" w:hAnsi="Arial" w:cs="Arial"/>
          <w:lang w:val="en-US"/>
        </w:rPr>
        <w:t xml:space="preserve"> consumer under an installment agreement, secured loan or lease</w:t>
      </w:r>
      <w:r w:rsidR="00915120" w:rsidRPr="009755DB">
        <w:rPr>
          <w:rFonts w:ascii="Arial" w:hAnsi="Arial" w:cs="Arial"/>
          <w:color w:val="000000"/>
          <w:shd w:val="clear" w:color="auto" w:fill="FFFFFF"/>
        </w:rPr>
        <w:t>—</w:t>
      </w:r>
    </w:p>
    <w:p w14:paraId="4C8D245E" w14:textId="14D5BAB8" w:rsidR="00331A20" w:rsidRPr="009755DB" w:rsidRDefault="00B45DCE" w:rsidP="003533C2">
      <w:pPr>
        <w:ind w:left="2880" w:hanging="895"/>
        <w:jc w:val="both"/>
        <w:rPr>
          <w:rFonts w:ascii="Arial" w:hAnsi="Arial" w:cs="Arial"/>
          <w:lang w:val="en-US"/>
        </w:rPr>
      </w:pPr>
      <w:r w:rsidRPr="009755DB">
        <w:rPr>
          <w:rFonts w:ascii="Arial" w:hAnsi="Arial" w:cs="Arial"/>
          <w:lang w:val="en-US"/>
        </w:rPr>
        <w:t>(a</w:t>
      </w:r>
      <w:r w:rsidR="00331A20" w:rsidRPr="009755DB">
        <w:rPr>
          <w:rFonts w:ascii="Arial" w:hAnsi="Arial" w:cs="Arial"/>
          <w:lang w:val="en-US"/>
        </w:rPr>
        <w:t>)</w:t>
      </w:r>
      <w:r w:rsidR="003533C2">
        <w:rPr>
          <w:rFonts w:ascii="Arial" w:hAnsi="Arial" w:cs="Arial"/>
          <w:lang w:val="en-US"/>
        </w:rPr>
        <w:tab/>
      </w:r>
      <w:r w:rsidR="00331A20" w:rsidRPr="009755DB">
        <w:rPr>
          <w:rFonts w:ascii="Arial" w:hAnsi="Arial" w:cs="Arial"/>
          <w:lang w:val="en-US"/>
        </w:rPr>
        <w:t xml:space="preserve">may give written notice to the credit provider to terminate the agreement; </w:t>
      </w:r>
      <w:r w:rsidR="00915120" w:rsidRPr="009755DB">
        <w:rPr>
          <w:rFonts w:ascii="Arial" w:hAnsi="Arial" w:cs="Arial"/>
          <w:lang w:val="en-US"/>
        </w:rPr>
        <w:t>a</w:t>
      </w:r>
      <w:r w:rsidR="00331A20" w:rsidRPr="009755DB">
        <w:rPr>
          <w:rFonts w:ascii="Arial" w:hAnsi="Arial" w:cs="Arial"/>
          <w:lang w:val="en-US"/>
        </w:rPr>
        <w:t>nd</w:t>
      </w:r>
    </w:p>
    <w:p w14:paraId="5B79E258" w14:textId="5ECF7881" w:rsidR="00242749" w:rsidRPr="009755DB" w:rsidRDefault="00331A20" w:rsidP="009755DB">
      <w:pPr>
        <w:ind w:left="1440" w:firstLine="545"/>
        <w:jc w:val="both"/>
        <w:rPr>
          <w:rFonts w:ascii="Arial" w:hAnsi="Arial" w:cs="Arial"/>
          <w:lang w:val="en-US"/>
        </w:rPr>
      </w:pPr>
      <w:r w:rsidRPr="009755DB">
        <w:rPr>
          <w:rFonts w:ascii="Arial" w:hAnsi="Arial" w:cs="Arial"/>
          <w:lang w:val="en-US"/>
        </w:rPr>
        <w:t>(b)</w:t>
      </w:r>
      <w:r w:rsidR="003533C2">
        <w:rPr>
          <w:rFonts w:ascii="Arial" w:hAnsi="Arial" w:cs="Arial"/>
          <w:lang w:val="en-US"/>
        </w:rPr>
        <w:tab/>
      </w:r>
      <w:r w:rsidRPr="009755DB">
        <w:rPr>
          <w:rFonts w:ascii="Arial" w:hAnsi="Arial" w:cs="Arial"/>
          <w:lang w:val="en-US"/>
        </w:rPr>
        <w:t>if</w:t>
      </w:r>
      <w:r w:rsidR="00B45DCE" w:rsidRPr="009755DB">
        <w:rPr>
          <w:rFonts w:ascii="Arial" w:hAnsi="Arial" w:cs="Arial"/>
          <w:lang w:val="en-US"/>
        </w:rPr>
        <w:t>-</w:t>
      </w:r>
    </w:p>
    <w:p w14:paraId="2427D1BE" w14:textId="0AB1C614" w:rsidR="00B45DCE" w:rsidRPr="009755DB" w:rsidRDefault="00B45DCE" w:rsidP="003533C2">
      <w:pPr>
        <w:ind w:left="2996" w:hanging="444"/>
        <w:jc w:val="both"/>
        <w:rPr>
          <w:rFonts w:ascii="Arial" w:hAnsi="Arial" w:cs="Arial"/>
          <w:lang w:val="en-US"/>
        </w:rPr>
      </w:pPr>
      <w:r w:rsidRPr="009755DB">
        <w:rPr>
          <w:rFonts w:ascii="Arial" w:hAnsi="Arial" w:cs="Arial"/>
          <w:lang w:val="en-US"/>
        </w:rPr>
        <w:t>(i)</w:t>
      </w:r>
      <w:r w:rsidR="003533C2">
        <w:rPr>
          <w:rFonts w:ascii="Arial" w:hAnsi="Arial" w:cs="Arial"/>
          <w:lang w:val="en-US"/>
        </w:rPr>
        <w:tab/>
      </w:r>
      <w:r w:rsidRPr="009755DB">
        <w:rPr>
          <w:rFonts w:ascii="Arial" w:hAnsi="Arial" w:cs="Arial"/>
          <w:lang w:val="en-US"/>
        </w:rPr>
        <w:t>the goods are in the credit provider</w:t>
      </w:r>
      <w:r w:rsidR="007F3E2B" w:rsidRPr="009755DB">
        <w:rPr>
          <w:rFonts w:ascii="Arial" w:hAnsi="Arial" w:cs="Arial"/>
          <w:lang w:val="en-US"/>
        </w:rPr>
        <w:t>’</w:t>
      </w:r>
      <w:r w:rsidRPr="009755DB">
        <w:rPr>
          <w:rFonts w:ascii="Arial" w:hAnsi="Arial" w:cs="Arial"/>
          <w:lang w:val="en-US"/>
        </w:rPr>
        <w:t xml:space="preserve">s possession, require the </w:t>
      </w:r>
      <w:r w:rsidR="003533C2">
        <w:rPr>
          <w:rFonts w:ascii="Arial" w:hAnsi="Arial" w:cs="Arial"/>
          <w:lang w:val="en-US"/>
        </w:rPr>
        <w:t xml:space="preserve">  </w:t>
      </w:r>
      <w:r w:rsidRPr="009755DB">
        <w:rPr>
          <w:rFonts w:ascii="Arial" w:hAnsi="Arial" w:cs="Arial"/>
          <w:lang w:val="en-US"/>
        </w:rPr>
        <w:t xml:space="preserve">credit provider to sell the goods; </w:t>
      </w:r>
      <w:r w:rsidR="007F3E2B" w:rsidRPr="009755DB">
        <w:rPr>
          <w:rFonts w:ascii="Arial" w:hAnsi="Arial" w:cs="Arial"/>
          <w:lang w:val="en-US"/>
        </w:rPr>
        <w:t>o</w:t>
      </w:r>
      <w:r w:rsidRPr="009755DB">
        <w:rPr>
          <w:rFonts w:ascii="Arial" w:hAnsi="Arial" w:cs="Arial"/>
          <w:lang w:val="en-US"/>
        </w:rPr>
        <w:t>r</w:t>
      </w:r>
    </w:p>
    <w:p w14:paraId="673CF5A4" w14:textId="4991B56E" w:rsidR="00B45DCE" w:rsidRPr="009755DB" w:rsidRDefault="00B45DCE" w:rsidP="003533C2">
      <w:pPr>
        <w:ind w:left="2996" w:hanging="444"/>
        <w:jc w:val="both"/>
        <w:rPr>
          <w:rFonts w:ascii="Arial" w:hAnsi="Arial" w:cs="Arial"/>
          <w:lang w:val="en-US"/>
        </w:rPr>
      </w:pPr>
      <w:r w:rsidRPr="009755DB">
        <w:rPr>
          <w:rFonts w:ascii="Arial" w:hAnsi="Arial" w:cs="Arial"/>
          <w:lang w:val="en-US"/>
        </w:rPr>
        <w:t>(ii)</w:t>
      </w:r>
      <w:r w:rsidR="003533C2">
        <w:rPr>
          <w:rFonts w:ascii="Arial" w:hAnsi="Arial" w:cs="Arial"/>
          <w:lang w:val="en-US"/>
        </w:rPr>
        <w:tab/>
      </w:r>
      <w:r w:rsidRPr="009755DB">
        <w:rPr>
          <w:rFonts w:ascii="Arial" w:hAnsi="Arial" w:cs="Arial"/>
          <w:lang w:val="en-US"/>
        </w:rPr>
        <w:t>otherwise, return the goods that are the subject of that agreement to the credit provider</w:t>
      </w:r>
      <w:r w:rsidR="007F3E2B" w:rsidRPr="009755DB">
        <w:rPr>
          <w:rFonts w:ascii="Arial" w:hAnsi="Arial" w:cs="Arial"/>
          <w:lang w:val="en-US"/>
        </w:rPr>
        <w:t>’</w:t>
      </w:r>
      <w:r w:rsidRPr="009755DB">
        <w:rPr>
          <w:rFonts w:ascii="Arial" w:hAnsi="Arial" w:cs="Arial"/>
          <w:lang w:val="en-US"/>
        </w:rPr>
        <w:t xml:space="preserve">s place of business during </w:t>
      </w:r>
      <w:r w:rsidRPr="009755DB">
        <w:rPr>
          <w:rFonts w:ascii="Arial" w:hAnsi="Arial" w:cs="Arial"/>
          <w:lang w:val="en-US"/>
        </w:rPr>
        <w:lastRenderedPageBreak/>
        <w:t>ordinary business hours within five business days after the date of the notice or within such other period or at such other time or place as maybe agreed with the credit provider.</w:t>
      </w:r>
    </w:p>
    <w:p w14:paraId="22FB2F90" w14:textId="742F2208" w:rsidR="00F74B7E" w:rsidRPr="009755DB" w:rsidRDefault="00915120" w:rsidP="00FB169F">
      <w:pPr>
        <w:ind w:left="1418"/>
        <w:jc w:val="both"/>
        <w:rPr>
          <w:rFonts w:ascii="Arial" w:hAnsi="Arial" w:cs="Arial"/>
          <w:lang w:val="en-US"/>
        </w:rPr>
      </w:pPr>
      <w:r w:rsidRPr="009755DB">
        <w:rPr>
          <w:rFonts w:ascii="Arial" w:hAnsi="Arial" w:cs="Arial"/>
          <w:lang w:val="en-US"/>
        </w:rPr>
        <w:t>(2</w:t>
      </w:r>
      <w:r w:rsidR="00B45DCE" w:rsidRPr="009755DB">
        <w:rPr>
          <w:rFonts w:ascii="Arial" w:hAnsi="Arial" w:cs="Arial"/>
          <w:lang w:val="en-US"/>
        </w:rPr>
        <w:t>)</w:t>
      </w:r>
      <w:r w:rsidR="003533C2">
        <w:rPr>
          <w:rFonts w:ascii="Arial" w:hAnsi="Arial" w:cs="Arial"/>
          <w:lang w:val="en-US"/>
        </w:rPr>
        <w:tab/>
      </w:r>
      <w:r w:rsidR="00B45DCE" w:rsidRPr="009755DB">
        <w:rPr>
          <w:rFonts w:ascii="Arial" w:hAnsi="Arial" w:cs="Arial"/>
          <w:lang w:val="en-US"/>
        </w:rPr>
        <w:t>within 10 business days after the later of</w:t>
      </w:r>
      <w:r w:rsidR="008426E0" w:rsidRPr="009755DB">
        <w:rPr>
          <w:rFonts w:ascii="Arial" w:hAnsi="Arial" w:cs="Arial"/>
          <w:lang w:val="en-US"/>
        </w:rPr>
        <w:t>-</w:t>
      </w:r>
    </w:p>
    <w:p w14:paraId="3D26C190" w14:textId="6E153AD9" w:rsidR="008426E0" w:rsidRPr="009755DB" w:rsidRDefault="00915120" w:rsidP="00FB169F">
      <w:pPr>
        <w:ind w:left="1985"/>
        <w:jc w:val="both"/>
        <w:rPr>
          <w:rFonts w:ascii="Arial" w:hAnsi="Arial" w:cs="Arial"/>
          <w:lang w:val="en-US"/>
        </w:rPr>
      </w:pPr>
      <w:r w:rsidRPr="009755DB">
        <w:rPr>
          <w:rFonts w:ascii="Arial" w:hAnsi="Arial" w:cs="Arial"/>
          <w:lang w:val="en-US"/>
        </w:rPr>
        <w:t>(a)</w:t>
      </w:r>
      <w:r w:rsidR="003533C2">
        <w:rPr>
          <w:rFonts w:ascii="Arial" w:hAnsi="Arial" w:cs="Arial"/>
          <w:lang w:val="en-US"/>
        </w:rPr>
        <w:tab/>
      </w:r>
      <w:r w:rsidRPr="009755DB">
        <w:rPr>
          <w:rFonts w:ascii="Arial" w:hAnsi="Arial" w:cs="Arial"/>
          <w:lang w:val="en-US"/>
        </w:rPr>
        <w:t>r</w:t>
      </w:r>
      <w:r w:rsidR="008426E0" w:rsidRPr="009755DB">
        <w:rPr>
          <w:rFonts w:ascii="Arial" w:hAnsi="Arial" w:cs="Arial"/>
          <w:lang w:val="en-US"/>
        </w:rPr>
        <w:t>eceiving a notice in terms of subsection (1) (b) (i): or</w:t>
      </w:r>
    </w:p>
    <w:p w14:paraId="055AFA6F" w14:textId="19AA4A6F" w:rsidR="008426E0" w:rsidRPr="00FB169F" w:rsidRDefault="00915120" w:rsidP="003533C2">
      <w:pPr>
        <w:ind w:left="2880" w:hanging="895"/>
        <w:jc w:val="both"/>
        <w:rPr>
          <w:rFonts w:ascii="Arial" w:hAnsi="Arial" w:cs="Arial"/>
          <w:sz w:val="24"/>
          <w:szCs w:val="24"/>
          <w:lang w:val="en-US"/>
        </w:rPr>
      </w:pPr>
      <w:r w:rsidRPr="009755DB">
        <w:rPr>
          <w:rFonts w:ascii="Arial" w:hAnsi="Arial" w:cs="Arial"/>
          <w:lang w:val="en-US"/>
        </w:rPr>
        <w:t>(b)</w:t>
      </w:r>
      <w:r w:rsidR="003533C2">
        <w:rPr>
          <w:rFonts w:ascii="Arial" w:hAnsi="Arial" w:cs="Arial"/>
          <w:lang w:val="en-US"/>
        </w:rPr>
        <w:tab/>
      </w:r>
      <w:r w:rsidRPr="009755DB">
        <w:rPr>
          <w:rFonts w:ascii="Arial" w:hAnsi="Arial" w:cs="Arial"/>
          <w:lang w:val="en-US"/>
        </w:rPr>
        <w:t>r</w:t>
      </w:r>
      <w:r w:rsidR="008426E0" w:rsidRPr="009755DB">
        <w:rPr>
          <w:rFonts w:ascii="Arial" w:hAnsi="Arial" w:cs="Arial"/>
          <w:lang w:val="en-US"/>
        </w:rPr>
        <w:t>eceiving goods tendered in terms of subsection (1)(b) (ii)</w:t>
      </w:r>
      <w:r w:rsidRPr="009755DB">
        <w:rPr>
          <w:rFonts w:ascii="Arial" w:hAnsi="Arial" w:cs="Arial"/>
          <w:lang w:val="en-US"/>
        </w:rPr>
        <w:t xml:space="preserve"> a </w:t>
      </w:r>
      <w:r w:rsidR="00FB169F" w:rsidRPr="009755DB">
        <w:rPr>
          <w:rFonts w:ascii="Arial" w:hAnsi="Arial" w:cs="Arial"/>
          <w:lang w:val="en-US"/>
        </w:rPr>
        <w:t>credit provider</w:t>
      </w:r>
      <w:r w:rsidRPr="009755DB">
        <w:rPr>
          <w:rFonts w:ascii="Arial" w:hAnsi="Arial" w:cs="Arial"/>
          <w:lang w:val="en-US"/>
        </w:rPr>
        <w:t xml:space="preserve"> must give the customer rating notice</w:t>
      </w:r>
      <w:r>
        <w:rPr>
          <w:rFonts w:ascii="Arial" w:hAnsi="Arial" w:cs="Arial"/>
          <w:sz w:val="24"/>
          <w:szCs w:val="24"/>
          <w:lang w:val="en-US"/>
        </w:rPr>
        <w:t xml:space="preserve"> setting out </w:t>
      </w:r>
      <w:r w:rsidRPr="00AE6108">
        <w:rPr>
          <w:rFonts w:ascii="Arial" w:hAnsi="Arial" w:cs="Arial"/>
          <w:lang w:val="en-US"/>
        </w:rPr>
        <w:t>the estimated value of the goods and any other prescribed information,</w:t>
      </w:r>
    </w:p>
    <w:p w14:paraId="7E4F6532" w14:textId="515A73CE" w:rsidR="008426E0" w:rsidRPr="00CC1B93" w:rsidRDefault="008426E0" w:rsidP="008426E0">
      <w:pPr>
        <w:pStyle w:val="ListParagraph"/>
        <w:ind w:left="560"/>
        <w:jc w:val="both"/>
        <w:rPr>
          <w:rFonts w:ascii="Arial" w:hAnsi="Arial" w:cs="Arial"/>
          <w:sz w:val="24"/>
          <w:szCs w:val="24"/>
          <w:lang w:val="en-US"/>
        </w:rPr>
      </w:pPr>
    </w:p>
    <w:p w14:paraId="75278BE7" w14:textId="3AEBBF0D" w:rsidR="00F74B7E" w:rsidRPr="009755DB" w:rsidRDefault="008426E0" w:rsidP="00564D72">
      <w:pPr>
        <w:pStyle w:val="ListParagraph"/>
        <w:spacing w:after="0" w:line="360" w:lineRule="auto"/>
        <w:ind w:left="1418"/>
        <w:jc w:val="both"/>
        <w:rPr>
          <w:rFonts w:ascii="Arial" w:hAnsi="Arial" w:cs="Arial"/>
          <w:lang w:val="en-US"/>
        </w:rPr>
      </w:pPr>
      <w:r w:rsidRPr="00CC1B93">
        <w:rPr>
          <w:rFonts w:ascii="Arial" w:hAnsi="Arial" w:cs="Arial"/>
          <w:sz w:val="24"/>
          <w:szCs w:val="24"/>
          <w:lang w:val="en-US"/>
        </w:rPr>
        <w:t>(3)</w:t>
      </w:r>
      <w:r w:rsidR="003533C2">
        <w:rPr>
          <w:rFonts w:ascii="Arial" w:hAnsi="Arial" w:cs="Arial"/>
          <w:sz w:val="24"/>
          <w:szCs w:val="24"/>
          <w:lang w:val="en-US"/>
        </w:rPr>
        <w:tab/>
      </w:r>
      <w:r w:rsidRPr="009755DB">
        <w:rPr>
          <w:rFonts w:ascii="Arial" w:hAnsi="Arial" w:cs="Arial"/>
          <w:lang w:val="en-US"/>
        </w:rPr>
        <w:t>within 10 business days after receiving a notice under subsection (2), the</w:t>
      </w:r>
      <w:r w:rsidR="000B62BC">
        <w:rPr>
          <w:rFonts w:ascii="Arial" w:hAnsi="Arial" w:cs="Arial"/>
          <w:lang w:val="en-US"/>
        </w:rPr>
        <w:t xml:space="preserve"> </w:t>
      </w:r>
      <w:r w:rsidRPr="009755DB">
        <w:rPr>
          <w:rFonts w:ascii="Arial" w:hAnsi="Arial" w:cs="Arial"/>
          <w:lang w:val="en-US"/>
        </w:rPr>
        <w:t>consumer may unconditionally withdraw the notice to terminate the agreement in terms of subsection (1) (a), and resume possession of any goods that are in the creditors credit provider</w:t>
      </w:r>
      <w:r w:rsidR="00D44360" w:rsidRPr="009755DB">
        <w:rPr>
          <w:rFonts w:ascii="Arial" w:hAnsi="Arial" w:cs="Arial"/>
          <w:lang w:val="en-US"/>
        </w:rPr>
        <w:t>’</w:t>
      </w:r>
      <w:r w:rsidRPr="009755DB">
        <w:rPr>
          <w:rFonts w:ascii="Arial" w:hAnsi="Arial" w:cs="Arial"/>
          <w:lang w:val="en-US"/>
        </w:rPr>
        <w:t>s possession, unless the consumer is in default under the credit agreement.</w:t>
      </w:r>
      <w:r w:rsidR="00922788" w:rsidRPr="009755DB">
        <w:rPr>
          <w:rFonts w:ascii="Arial" w:hAnsi="Arial" w:cs="Arial"/>
          <w:lang w:val="en-US"/>
        </w:rPr>
        <w:t>”</w:t>
      </w:r>
    </w:p>
    <w:p w14:paraId="6DC253EC" w14:textId="77777777" w:rsidR="00F74B7E" w:rsidRPr="00CC1B93" w:rsidRDefault="00F74B7E" w:rsidP="00946F54">
      <w:pPr>
        <w:spacing w:after="0"/>
        <w:jc w:val="both"/>
        <w:rPr>
          <w:rFonts w:ascii="Arial" w:hAnsi="Arial" w:cs="Arial"/>
          <w:i/>
          <w:iCs/>
          <w:sz w:val="24"/>
          <w:szCs w:val="24"/>
          <w:lang w:val="en-US"/>
        </w:rPr>
      </w:pPr>
    </w:p>
    <w:p w14:paraId="0AF061E4" w14:textId="02494AE7" w:rsidR="00A13EA5" w:rsidRDefault="00E109FF" w:rsidP="00946F54">
      <w:pPr>
        <w:spacing w:after="0" w:line="360" w:lineRule="auto"/>
        <w:jc w:val="both"/>
        <w:rPr>
          <w:rFonts w:ascii="Arial" w:hAnsi="Arial" w:cs="Arial"/>
          <w:sz w:val="24"/>
          <w:szCs w:val="24"/>
          <w:lang w:val="en-US"/>
        </w:rPr>
      </w:pPr>
      <w:r>
        <w:rPr>
          <w:rFonts w:ascii="Arial" w:hAnsi="Arial" w:cs="Arial"/>
          <w:sz w:val="24"/>
          <w:szCs w:val="24"/>
          <w:lang w:val="en-US"/>
        </w:rPr>
        <w:t>[1</w:t>
      </w:r>
      <w:r w:rsidR="00C11D4B">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B379F4" w:rsidRPr="009755DB">
        <w:rPr>
          <w:rFonts w:ascii="Arial" w:hAnsi="Arial" w:cs="Arial"/>
          <w:sz w:val="24"/>
          <w:szCs w:val="24"/>
          <w:lang w:val="en-US"/>
        </w:rPr>
        <w:t>When it comes to the</w:t>
      </w:r>
      <w:r w:rsidR="00D02492">
        <w:rPr>
          <w:rFonts w:ascii="Arial" w:hAnsi="Arial" w:cs="Arial"/>
          <w:sz w:val="24"/>
          <w:szCs w:val="24"/>
          <w:lang w:val="en-US"/>
        </w:rPr>
        <w:t xml:space="preserve"> </w:t>
      </w:r>
      <w:r w:rsidR="00B379F4" w:rsidRPr="009755DB">
        <w:rPr>
          <w:rFonts w:ascii="Arial" w:hAnsi="Arial" w:cs="Arial"/>
          <w:sz w:val="24"/>
          <w:szCs w:val="24"/>
          <w:lang w:val="en-US"/>
        </w:rPr>
        <w:t>CPA</w:t>
      </w:r>
      <w:r w:rsidR="00FB169F">
        <w:rPr>
          <w:rFonts w:ascii="Arial" w:hAnsi="Arial" w:cs="Arial"/>
          <w:sz w:val="24"/>
          <w:szCs w:val="24"/>
          <w:lang w:val="en-US"/>
        </w:rPr>
        <w:t xml:space="preserve">, </w:t>
      </w:r>
      <w:r w:rsidR="00B379F4" w:rsidRPr="009755DB">
        <w:rPr>
          <w:rFonts w:ascii="Arial" w:hAnsi="Arial" w:cs="Arial"/>
          <w:sz w:val="24"/>
          <w:szCs w:val="24"/>
          <w:lang w:val="en-US"/>
        </w:rPr>
        <w:t>the legal position is as clear as mud.</w:t>
      </w:r>
      <w:r w:rsidR="004D3550" w:rsidRPr="009755DB">
        <w:rPr>
          <w:rFonts w:ascii="Arial" w:hAnsi="Arial" w:cs="Arial"/>
          <w:sz w:val="24"/>
          <w:szCs w:val="24"/>
          <w:lang w:val="en-US"/>
        </w:rPr>
        <w:t xml:space="preserve"> Section 5(2)(d)</w:t>
      </w:r>
      <w:r w:rsidR="0064622F">
        <w:rPr>
          <w:rFonts w:ascii="Arial" w:hAnsi="Arial" w:cs="Arial"/>
          <w:sz w:val="24"/>
          <w:szCs w:val="24"/>
          <w:lang w:val="en-US"/>
        </w:rPr>
        <w:t xml:space="preserve"> of the CPA </w:t>
      </w:r>
      <w:r w:rsidR="004D3550" w:rsidRPr="009755DB">
        <w:rPr>
          <w:rFonts w:ascii="Arial" w:hAnsi="Arial" w:cs="Arial"/>
          <w:sz w:val="24"/>
          <w:szCs w:val="24"/>
          <w:lang w:val="en-US"/>
        </w:rPr>
        <w:t>reads</w:t>
      </w:r>
      <w:r w:rsidR="0064622F">
        <w:rPr>
          <w:rFonts w:ascii="Arial" w:hAnsi="Arial" w:cs="Arial"/>
          <w:sz w:val="24"/>
          <w:szCs w:val="24"/>
          <w:lang w:val="en-US"/>
        </w:rPr>
        <w:t xml:space="preserve"> as follows:</w:t>
      </w:r>
      <w:r w:rsidR="004D3550" w:rsidRPr="009755DB">
        <w:rPr>
          <w:rFonts w:ascii="Arial" w:hAnsi="Arial" w:cs="Arial"/>
          <w:sz w:val="24"/>
          <w:szCs w:val="24"/>
          <w:lang w:val="en-US"/>
        </w:rPr>
        <w:t xml:space="preserve"> </w:t>
      </w:r>
    </w:p>
    <w:p w14:paraId="448410A5" w14:textId="7CBC3900" w:rsidR="00C00993" w:rsidRPr="00FB169F" w:rsidRDefault="00F20D26" w:rsidP="00946F54">
      <w:pPr>
        <w:spacing w:after="0" w:line="360" w:lineRule="auto"/>
        <w:ind w:left="851"/>
        <w:jc w:val="both"/>
        <w:rPr>
          <w:rFonts w:ascii="Arial" w:hAnsi="Arial" w:cs="Arial"/>
          <w:lang w:val="en-US"/>
        </w:rPr>
      </w:pPr>
      <w:r>
        <w:rPr>
          <w:rFonts w:ascii="Arial" w:hAnsi="Arial" w:cs="Arial"/>
          <w:sz w:val="24"/>
          <w:szCs w:val="24"/>
          <w:lang w:val="en-US"/>
        </w:rPr>
        <w:t>“(</w:t>
      </w:r>
      <w:r w:rsidRPr="00FB169F">
        <w:rPr>
          <w:rFonts w:ascii="Arial" w:hAnsi="Arial" w:cs="Arial"/>
          <w:lang w:val="en-US"/>
        </w:rPr>
        <w:t>2)</w:t>
      </w:r>
      <w:r w:rsidR="00D12CB2">
        <w:rPr>
          <w:rFonts w:ascii="Arial" w:hAnsi="Arial" w:cs="Arial"/>
          <w:lang w:val="en-US"/>
        </w:rPr>
        <w:tab/>
      </w:r>
      <w:r w:rsidR="00A13EA5" w:rsidRPr="00FB169F">
        <w:rPr>
          <w:rFonts w:ascii="Arial" w:hAnsi="Arial" w:cs="Arial"/>
          <w:lang w:val="en-US"/>
        </w:rPr>
        <w:t>T</w:t>
      </w:r>
      <w:r w:rsidR="005B289D" w:rsidRPr="00FB169F">
        <w:rPr>
          <w:rFonts w:ascii="Arial" w:hAnsi="Arial" w:cs="Arial"/>
          <w:lang w:val="en-US"/>
        </w:rPr>
        <w:t xml:space="preserve">his Act does not </w:t>
      </w:r>
      <w:r w:rsidR="00FB169F" w:rsidRPr="00FB169F">
        <w:rPr>
          <w:rFonts w:ascii="Arial" w:hAnsi="Arial" w:cs="Arial"/>
          <w:lang w:val="en-US"/>
        </w:rPr>
        <w:t xml:space="preserve">apply </w:t>
      </w:r>
      <w:r w:rsidR="005B289D" w:rsidRPr="00FB169F">
        <w:rPr>
          <w:rFonts w:ascii="Arial" w:hAnsi="Arial" w:cs="Arial"/>
          <w:lang w:val="en-US"/>
        </w:rPr>
        <w:t>to any transaction—</w:t>
      </w:r>
    </w:p>
    <w:p w14:paraId="651A2370" w14:textId="4A971308" w:rsidR="006030CE" w:rsidRPr="00FB169F" w:rsidRDefault="00F20D26" w:rsidP="00D12CB2">
      <w:pPr>
        <w:spacing w:after="0" w:line="360" w:lineRule="auto"/>
        <w:ind w:left="2160" w:hanging="720"/>
        <w:jc w:val="both"/>
        <w:rPr>
          <w:rFonts w:ascii="Arial" w:hAnsi="Arial" w:cs="Arial"/>
          <w:lang w:val="en-US"/>
        </w:rPr>
      </w:pPr>
      <w:r w:rsidRPr="00FB169F">
        <w:rPr>
          <w:rFonts w:ascii="Arial" w:hAnsi="Arial" w:cs="Arial"/>
          <w:lang w:val="en-US"/>
        </w:rPr>
        <w:t>(d)</w:t>
      </w:r>
      <w:r w:rsidR="00D12CB2">
        <w:rPr>
          <w:rFonts w:ascii="Arial" w:hAnsi="Arial" w:cs="Arial"/>
          <w:lang w:val="en-US"/>
        </w:rPr>
        <w:tab/>
      </w:r>
      <w:r w:rsidR="005B289D" w:rsidRPr="00FB169F">
        <w:rPr>
          <w:rFonts w:ascii="Arial" w:hAnsi="Arial" w:cs="Arial"/>
          <w:lang w:val="en-US"/>
        </w:rPr>
        <w:t>t</w:t>
      </w:r>
      <w:r w:rsidR="004D3550" w:rsidRPr="00FB169F">
        <w:rPr>
          <w:rFonts w:ascii="Arial" w:hAnsi="Arial" w:cs="Arial"/>
          <w:lang w:val="en-US"/>
        </w:rPr>
        <w:t>hat constitutes</w:t>
      </w:r>
      <w:r w:rsidR="005B289D" w:rsidRPr="00FB169F">
        <w:rPr>
          <w:rFonts w:ascii="Arial" w:hAnsi="Arial" w:cs="Arial"/>
          <w:lang w:val="en-US"/>
        </w:rPr>
        <w:t xml:space="preserve"> </w:t>
      </w:r>
      <w:r w:rsidR="004D3550" w:rsidRPr="00FB169F">
        <w:rPr>
          <w:rFonts w:ascii="Arial" w:hAnsi="Arial" w:cs="Arial"/>
          <w:lang w:val="en-US"/>
        </w:rPr>
        <w:t>a</w:t>
      </w:r>
      <w:r w:rsidR="005B289D" w:rsidRPr="00FB169F">
        <w:rPr>
          <w:rFonts w:ascii="Arial" w:hAnsi="Arial" w:cs="Arial"/>
          <w:lang w:val="en-US"/>
        </w:rPr>
        <w:t xml:space="preserve"> </w:t>
      </w:r>
      <w:r w:rsidR="004D3550" w:rsidRPr="00FB169F">
        <w:rPr>
          <w:rFonts w:ascii="Arial" w:hAnsi="Arial" w:cs="Arial"/>
          <w:lang w:val="en-US"/>
        </w:rPr>
        <w:t>credit agreement under the</w:t>
      </w:r>
      <w:r w:rsidR="005B289D" w:rsidRPr="00FB169F">
        <w:rPr>
          <w:rFonts w:ascii="Arial" w:hAnsi="Arial" w:cs="Arial"/>
          <w:lang w:val="en-US"/>
        </w:rPr>
        <w:t xml:space="preserve"> </w:t>
      </w:r>
      <w:r w:rsidR="004D3550" w:rsidRPr="00FB169F">
        <w:rPr>
          <w:rFonts w:ascii="Arial" w:hAnsi="Arial" w:cs="Arial"/>
          <w:lang w:val="en-US"/>
        </w:rPr>
        <w:t>National</w:t>
      </w:r>
      <w:r w:rsidR="005B289D" w:rsidRPr="00FB169F">
        <w:rPr>
          <w:rFonts w:ascii="Arial" w:hAnsi="Arial" w:cs="Arial"/>
          <w:lang w:val="en-US"/>
        </w:rPr>
        <w:t xml:space="preserve"> </w:t>
      </w:r>
      <w:r w:rsidR="004D3550" w:rsidRPr="00FB169F">
        <w:rPr>
          <w:rFonts w:ascii="Arial" w:hAnsi="Arial" w:cs="Arial"/>
          <w:lang w:val="en-US"/>
        </w:rPr>
        <w:t>Credit</w:t>
      </w:r>
      <w:r w:rsidR="005B289D" w:rsidRPr="00FB169F">
        <w:rPr>
          <w:rFonts w:ascii="Arial" w:hAnsi="Arial" w:cs="Arial"/>
          <w:lang w:val="en-US"/>
        </w:rPr>
        <w:t xml:space="preserve"> </w:t>
      </w:r>
      <w:r w:rsidR="004D3550" w:rsidRPr="00FB169F">
        <w:rPr>
          <w:rFonts w:ascii="Arial" w:hAnsi="Arial" w:cs="Arial"/>
          <w:lang w:val="en-US"/>
        </w:rPr>
        <w:t>Act, but the goods</w:t>
      </w:r>
      <w:r w:rsidR="005B289D" w:rsidRPr="00FB169F">
        <w:rPr>
          <w:rFonts w:ascii="Arial" w:hAnsi="Arial" w:cs="Arial"/>
          <w:lang w:val="en-US"/>
        </w:rPr>
        <w:t xml:space="preserve"> </w:t>
      </w:r>
      <w:r w:rsidR="004D3550" w:rsidRPr="00FB169F">
        <w:rPr>
          <w:rFonts w:ascii="Arial" w:hAnsi="Arial" w:cs="Arial"/>
          <w:lang w:val="en-US"/>
        </w:rPr>
        <w:t>or</w:t>
      </w:r>
      <w:r w:rsidR="005B289D" w:rsidRPr="00FB169F">
        <w:rPr>
          <w:rFonts w:ascii="Arial" w:hAnsi="Arial" w:cs="Arial"/>
          <w:lang w:val="en-US"/>
        </w:rPr>
        <w:t xml:space="preserve"> </w:t>
      </w:r>
      <w:r w:rsidR="004D3550" w:rsidRPr="00FB169F">
        <w:rPr>
          <w:rFonts w:ascii="Arial" w:hAnsi="Arial" w:cs="Arial"/>
          <w:lang w:val="en-US"/>
        </w:rPr>
        <w:t>services</w:t>
      </w:r>
      <w:r w:rsidR="005B289D" w:rsidRPr="00FB169F">
        <w:rPr>
          <w:rFonts w:ascii="Arial" w:hAnsi="Arial" w:cs="Arial"/>
          <w:lang w:val="en-US"/>
        </w:rPr>
        <w:t xml:space="preserve"> </w:t>
      </w:r>
      <w:r w:rsidR="004D3550" w:rsidRPr="00FB169F">
        <w:rPr>
          <w:rFonts w:ascii="Arial" w:hAnsi="Arial" w:cs="Arial"/>
          <w:lang w:val="en-US"/>
        </w:rPr>
        <w:t>that</w:t>
      </w:r>
      <w:r w:rsidR="005B289D" w:rsidRPr="00FB169F">
        <w:rPr>
          <w:rFonts w:ascii="Arial" w:hAnsi="Arial" w:cs="Arial"/>
          <w:lang w:val="en-US"/>
        </w:rPr>
        <w:t xml:space="preserve"> </w:t>
      </w:r>
      <w:r w:rsidR="004D3550" w:rsidRPr="00FB169F">
        <w:rPr>
          <w:rFonts w:ascii="Arial" w:hAnsi="Arial" w:cs="Arial"/>
          <w:lang w:val="en-US"/>
        </w:rPr>
        <w:t>are</w:t>
      </w:r>
      <w:r w:rsidR="005B289D" w:rsidRPr="00FB169F">
        <w:rPr>
          <w:rFonts w:ascii="Arial" w:hAnsi="Arial" w:cs="Arial"/>
          <w:lang w:val="en-US"/>
        </w:rPr>
        <w:t xml:space="preserve"> </w:t>
      </w:r>
      <w:r w:rsidR="004D3550" w:rsidRPr="00FB169F">
        <w:rPr>
          <w:rFonts w:ascii="Arial" w:hAnsi="Arial" w:cs="Arial"/>
          <w:lang w:val="en-US"/>
        </w:rPr>
        <w:t>the</w:t>
      </w:r>
      <w:r w:rsidR="005B289D" w:rsidRPr="00FB169F">
        <w:rPr>
          <w:rFonts w:ascii="Arial" w:hAnsi="Arial" w:cs="Arial"/>
          <w:lang w:val="en-US"/>
        </w:rPr>
        <w:t xml:space="preserve"> </w:t>
      </w:r>
      <w:r w:rsidR="004D3550" w:rsidRPr="00FB169F">
        <w:rPr>
          <w:rFonts w:ascii="Arial" w:hAnsi="Arial" w:cs="Arial"/>
          <w:lang w:val="en-US"/>
        </w:rPr>
        <w:t>subject</w:t>
      </w:r>
      <w:r w:rsidR="005B289D" w:rsidRPr="00FB169F">
        <w:rPr>
          <w:rFonts w:ascii="Arial" w:hAnsi="Arial" w:cs="Arial"/>
          <w:lang w:val="en-US"/>
        </w:rPr>
        <w:t xml:space="preserve"> </w:t>
      </w:r>
      <w:r w:rsidR="004D3550" w:rsidRPr="00FB169F">
        <w:rPr>
          <w:rFonts w:ascii="Arial" w:hAnsi="Arial" w:cs="Arial"/>
          <w:lang w:val="en-US"/>
        </w:rPr>
        <w:t>of</w:t>
      </w:r>
      <w:r w:rsidR="005B289D" w:rsidRPr="00FB169F">
        <w:rPr>
          <w:rFonts w:ascii="Arial" w:hAnsi="Arial" w:cs="Arial"/>
          <w:lang w:val="en-US"/>
        </w:rPr>
        <w:t xml:space="preserve"> </w:t>
      </w:r>
      <w:r w:rsidR="004D3550" w:rsidRPr="00FB169F">
        <w:rPr>
          <w:rFonts w:ascii="Arial" w:hAnsi="Arial" w:cs="Arial"/>
          <w:lang w:val="en-US"/>
        </w:rPr>
        <w:t>the</w:t>
      </w:r>
      <w:r w:rsidR="005B289D" w:rsidRPr="00FB169F">
        <w:rPr>
          <w:rFonts w:ascii="Arial" w:hAnsi="Arial" w:cs="Arial"/>
          <w:lang w:val="en-US"/>
        </w:rPr>
        <w:t xml:space="preserve"> </w:t>
      </w:r>
      <w:r w:rsidR="004D3550" w:rsidRPr="00FB169F">
        <w:rPr>
          <w:rFonts w:ascii="Arial" w:hAnsi="Arial" w:cs="Arial"/>
          <w:lang w:val="en-US"/>
        </w:rPr>
        <w:t>credit</w:t>
      </w:r>
      <w:r w:rsidR="005B289D" w:rsidRPr="00FB169F">
        <w:rPr>
          <w:rFonts w:ascii="Arial" w:hAnsi="Arial" w:cs="Arial"/>
          <w:lang w:val="en-US"/>
        </w:rPr>
        <w:t xml:space="preserve"> </w:t>
      </w:r>
      <w:r w:rsidR="004D3550" w:rsidRPr="00FB169F">
        <w:rPr>
          <w:rFonts w:ascii="Arial" w:hAnsi="Arial" w:cs="Arial"/>
          <w:lang w:val="en-US"/>
        </w:rPr>
        <w:t>agreement</w:t>
      </w:r>
      <w:r w:rsidR="005B289D" w:rsidRPr="00FB169F">
        <w:rPr>
          <w:rFonts w:ascii="Arial" w:hAnsi="Arial" w:cs="Arial"/>
          <w:lang w:val="en-US"/>
        </w:rPr>
        <w:t xml:space="preserve"> </w:t>
      </w:r>
      <w:r w:rsidR="004D3550" w:rsidRPr="00FB169F">
        <w:rPr>
          <w:rFonts w:ascii="Arial" w:hAnsi="Arial" w:cs="Arial"/>
          <w:lang w:val="en-US"/>
        </w:rPr>
        <w:t>are</w:t>
      </w:r>
      <w:r w:rsidR="005B289D" w:rsidRPr="00FB169F">
        <w:rPr>
          <w:rFonts w:ascii="Arial" w:hAnsi="Arial" w:cs="Arial"/>
          <w:lang w:val="en-US"/>
        </w:rPr>
        <w:t xml:space="preserve"> </w:t>
      </w:r>
      <w:r w:rsidR="004D3550" w:rsidRPr="00FB169F">
        <w:rPr>
          <w:rFonts w:ascii="Arial" w:hAnsi="Arial" w:cs="Arial"/>
          <w:lang w:val="en-US"/>
        </w:rPr>
        <w:t>not</w:t>
      </w:r>
      <w:r w:rsidR="005B289D" w:rsidRPr="00FB169F">
        <w:rPr>
          <w:rFonts w:ascii="Arial" w:hAnsi="Arial" w:cs="Arial"/>
          <w:lang w:val="en-US"/>
        </w:rPr>
        <w:t xml:space="preserve"> </w:t>
      </w:r>
      <w:r w:rsidR="004D3550" w:rsidRPr="00FB169F">
        <w:rPr>
          <w:rFonts w:ascii="Arial" w:hAnsi="Arial" w:cs="Arial"/>
          <w:lang w:val="en-US"/>
        </w:rPr>
        <w:t>excluded from</w:t>
      </w:r>
      <w:r w:rsidR="005B289D" w:rsidRPr="00FB169F">
        <w:rPr>
          <w:rFonts w:ascii="Arial" w:hAnsi="Arial" w:cs="Arial"/>
          <w:lang w:val="en-US"/>
        </w:rPr>
        <w:t xml:space="preserve"> </w:t>
      </w:r>
      <w:r w:rsidR="004D3550" w:rsidRPr="00FB169F">
        <w:rPr>
          <w:rFonts w:ascii="Arial" w:hAnsi="Arial" w:cs="Arial"/>
          <w:lang w:val="en-US"/>
        </w:rPr>
        <w:t>the</w:t>
      </w:r>
      <w:r w:rsidR="005B289D" w:rsidRPr="00FB169F">
        <w:rPr>
          <w:rFonts w:ascii="Arial" w:hAnsi="Arial" w:cs="Arial"/>
          <w:lang w:val="en-US"/>
        </w:rPr>
        <w:t xml:space="preserve"> </w:t>
      </w:r>
      <w:r w:rsidR="004D3550" w:rsidRPr="00FB169F">
        <w:rPr>
          <w:rFonts w:ascii="Arial" w:hAnsi="Arial" w:cs="Arial"/>
          <w:lang w:val="en-US"/>
        </w:rPr>
        <w:t>ambit</w:t>
      </w:r>
      <w:r w:rsidR="005B289D" w:rsidRPr="00FB169F">
        <w:rPr>
          <w:rFonts w:ascii="Arial" w:hAnsi="Arial" w:cs="Arial"/>
          <w:lang w:val="en-US"/>
        </w:rPr>
        <w:t xml:space="preserve"> </w:t>
      </w:r>
      <w:r w:rsidR="004D3550" w:rsidRPr="00FB169F">
        <w:rPr>
          <w:rFonts w:ascii="Arial" w:hAnsi="Arial" w:cs="Arial"/>
          <w:lang w:val="en-US"/>
        </w:rPr>
        <w:t>of</w:t>
      </w:r>
      <w:r w:rsidR="005B289D" w:rsidRPr="00FB169F">
        <w:rPr>
          <w:rFonts w:ascii="Arial" w:hAnsi="Arial" w:cs="Arial"/>
          <w:lang w:val="en-US"/>
        </w:rPr>
        <w:t xml:space="preserve"> </w:t>
      </w:r>
      <w:r w:rsidR="004D3550" w:rsidRPr="00FB169F">
        <w:rPr>
          <w:rFonts w:ascii="Arial" w:hAnsi="Arial" w:cs="Arial"/>
          <w:lang w:val="en-US"/>
        </w:rPr>
        <w:t>this</w:t>
      </w:r>
      <w:r w:rsidR="005B289D" w:rsidRPr="00FB169F">
        <w:rPr>
          <w:rFonts w:ascii="Arial" w:hAnsi="Arial" w:cs="Arial"/>
          <w:lang w:val="en-US"/>
        </w:rPr>
        <w:t xml:space="preserve"> </w:t>
      </w:r>
      <w:r w:rsidR="004D3550" w:rsidRPr="00FB169F">
        <w:rPr>
          <w:rFonts w:ascii="Arial" w:hAnsi="Arial" w:cs="Arial"/>
          <w:lang w:val="en-US"/>
        </w:rPr>
        <w:t>Act</w:t>
      </w:r>
      <w:r w:rsidRPr="00FB169F">
        <w:rPr>
          <w:rFonts w:ascii="Arial" w:hAnsi="Arial" w:cs="Arial"/>
          <w:lang w:val="en-US"/>
        </w:rPr>
        <w:t>”</w:t>
      </w:r>
      <w:r w:rsidR="006A22DD" w:rsidRPr="00FB169F">
        <w:rPr>
          <w:rFonts w:ascii="Arial" w:hAnsi="Arial" w:cs="Arial"/>
          <w:lang w:val="en-US"/>
        </w:rPr>
        <w:t>.</w:t>
      </w:r>
    </w:p>
    <w:p w14:paraId="2AF060CB" w14:textId="77777777" w:rsidR="006030CE" w:rsidRPr="00CC1B93" w:rsidRDefault="006030CE" w:rsidP="00946F54">
      <w:pPr>
        <w:spacing w:after="0"/>
        <w:jc w:val="both"/>
        <w:rPr>
          <w:rFonts w:ascii="Arial" w:hAnsi="Arial" w:cs="Arial"/>
          <w:sz w:val="24"/>
          <w:szCs w:val="24"/>
          <w:lang w:val="en-US"/>
        </w:rPr>
      </w:pPr>
    </w:p>
    <w:p w14:paraId="6FB19044" w14:textId="19EA3570" w:rsidR="00AB3B3F" w:rsidRPr="009755DB" w:rsidRDefault="00E109FF" w:rsidP="00946F54">
      <w:pPr>
        <w:spacing w:after="0"/>
        <w:jc w:val="both"/>
        <w:rPr>
          <w:rFonts w:ascii="Arial" w:hAnsi="Arial" w:cs="Arial"/>
          <w:sz w:val="24"/>
          <w:szCs w:val="24"/>
          <w:lang w:val="en-US"/>
        </w:rPr>
      </w:pPr>
      <w:r>
        <w:rPr>
          <w:rFonts w:ascii="Arial" w:hAnsi="Arial" w:cs="Arial"/>
          <w:sz w:val="24"/>
          <w:szCs w:val="24"/>
          <w:lang w:val="en-US"/>
        </w:rPr>
        <w:t>[1</w:t>
      </w:r>
      <w:r w:rsidR="00C11D4B">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127E0A" w:rsidRPr="009755DB">
        <w:rPr>
          <w:rFonts w:ascii="Arial" w:hAnsi="Arial" w:cs="Arial"/>
          <w:sz w:val="24"/>
          <w:szCs w:val="24"/>
          <w:lang w:val="en-US"/>
        </w:rPr>
        <w:t>Section 5</w:t>
      </w:r>
      <w:r w:rsidR="00D23100" w:rsidRPr="009755DB">
        <w:rPr>
          <w:rFonts w:ascii="Arial" w:hAnsi="Arial" w:cs="Arial"/>
          <w:sz w:val="24"/>
          <w:szCs w:val="24"/>
          <w:lang w:val="en-US"/>
        </w:rPr>
        <w:t>6</w:t>
      </w:r>
      <w:r w:rsidR="00127E0A" w:rsidRPr="009755DB">
        <w:rPr>
          <w:rFonts w:ascii="Arial" w:hAnsi="Arial" w:cs="Arial"/>
          <w:sz w:val="24"/>
          <w:szCs w:val="24"/>
          <w:lang w:val="en-US"/>
        </w:rPr>
        <w:t>(2)</w:t>
      </w:r>
      <w:r w:rsidR="006030CE" w:rsidRPr="009755DB">
        <w:rPr>
          <w:rFonts w:ascii="Arial" w:hAnsi="Arial" w:cs="Arial"/>
          <w:sz w:val="24"/>
          <w:szCs w:val="24"/>
          <w:lang w:val="en-US"/>
        </w:rPr>
        <w:t xml:space="preserve"> of the CPA</w:t>
      </w:r>
      <w:r w:rsidR="00127E0A" w:rsidRPr="009755DB">
        <w:rPr>
          <w:rFonts w:ascii="Arial" w:hAnsi="Arial" w:cs="Arial"/>
          <w:sz w:val="24"/>
          <w:szCs w:val="24"/>
          <w:lang w:val="en-US"/>
        </w:rPr>
        <w:t xml:space="preserve"> reads:</w:t>
      </w:r>
    </w:p>
    <w:p w14:paraId="4DC48022" w14:textId="11123D0F" w:rsidR="00D12CB2" w:rsidRPr="009755DB" w:rsidRDefault="004B6036" w:rsidP="00043438">
      <w:pPr>
        <w:spacing w:after="0" w:line="360" w:lineRule="auto"/>
        <w:ind w:left="851"/>
        <w:jc w:val="both"/>
        <w:rPr>
          <w:rFonts w:ascii="Arial" w:hAnsi="Arial" w:cs="Arial"/>
          <w:lang w:val="en-US"/>
        </w:rPr>
      </w:pPr>
      <w:r w:rsidRPr="009755DB">
        <w:rPr>
          <w:rFonts w:ascii="Arial" w:hAnsi="Arial" w:cs="Arial"/>
          <w:lang w:val="en-US"/>
        </w:rPr>
        <w:t>“</w:t>
      </w:r>
      <w:r w:rsidR="000A6EA8" w:rsidRPr="009755DB">
        <w:rPr>
          <w:rFonts w:ascii="Arial" w:hAnsi="Arial" w:cs="Arial"/>
          <w:lang w:val="en-US"/>
        </w:rPr>
        <w:t>(2)</w:t>
      </w:r>
      <w:r w:rsidR="00EC306B">
        <w:rPr>
          <w:rFonts w:ascii="Arial" w:hAnsi="Arial" w:cs="Arial"/>
          <w:lang w:val="en-US"/>
        </w:rPr>
        <w:tab/>
      </w:r>
      <w:r w:rsidR="000C0FBB" w:rsidRPr="009755DB">
        <w:rPr>
          <w:rFonts w:ascii="Arial" w:hAnsi="Arial" w:cs="Arial"/>
          <w:lang w:val="en-US"/>
        </w:rPr>
        <w:t>Within six months after the delivery of any</w:t>
      </w:r>
      <w:r w:rsidR="009B5BA8" w:rsidRPr="009755DB">
        <w:rPr>
          <w:rFonts w:ascii="Arial" w:hAnsi="Arial" w:cs="Arial"/>
          <w:lang w:val="en-US"/>
        </w:rPr>
        <w:t xml:space="preserve"> </w:t>
      </w:r>
      <w:r w:rsidR="000C0FBB" w:rsidRPr="009755DB">
        <w:rPr>
          <w:rFonts w:ascii="Arial" w:hAnsi="Arial" w:cs="Arial"/>
          <w:lang w:val="en-US"/>
        </w:rPr>
        <w:t>goods</w:t>
      </w:r>
      <w:r w:rsidR="009B5BA8" w:rsidRPr="009755DB">
        <w:rPr>
          <w:rFonts w:ascii="Arial" w:hAnsi="Arial" w:cs="Arial"/>
          <w:lang w:val="en-US"/>
        </w:rPr>
        <w:t xml:space="preserve"> </w:t>
      </w:r>
      <w:r w:rsidR="000C0FBB" w:rsidRPr="009755DB">
        <w:rPr>
          <w:rFonts w:ascii="Arial" w:hAnsi="Arial" w:cs="Arial"/>
          <w:lang w:val="en-US"/>
        </w:rPr>
        <w:t>to</w:t>
      </w:r>
      <w:r w:rsidR="009B5BA8" w:rsidRPr="009755DB">
        <w:rPr>
          <w:rFonts w:ascii="Arial" w:hAnsi="Arial" w:cs="Arial"/>
          <w:lang w:val="en-US"/>
        </w:rPr>
        <w:t xml:space="preserve"> </w:t>
      </w:r>
      <w:r w:rsidR="000C0FBB" w:rsidRPr="009755DB">
        <w:rPr>
          <w:rFonts w:ascii="Arial" w:hAnsi="Arial" w:cs="Arial"/>
          <w:lang w:val="en-US"/>
        </w:rPr>
        <w:t>a</w:t>
      </w:r>
      <w:r w:rsidR="009B5BA8" w:rsidRPr="009755DB">
        <w:rPr>
          <w:rFonts w:ascii="Arial" w:hAnsi="Arial" w:cs="Arial"/>
          <w:lang w:val="en-US"/>
        </w:rPr>
        <w:t xml:space="preserve"> </w:t>
      </w:r>
      <w:r w:rsidR="000C0FBB" w:rsidRPr="009755DB">
        <w:rPr>
          <w:rFonts w:ascii="Arial" w:hAnsi="Arial" w:cs="Arial"/>
          <w:lang w:val="en-US"/>
        </w:rPr>
        <w:t>consumer, the</w:t>
      </w:r>
      <w:r w:rsidR="009B5BA8" w:rsidRPr="009755DB">
        <w:rPr>
          <w:rFonts w:ascii="Arial" w:hAnsi="Arial" w:cs="Arial"/>
          <w:lang w:val="en-US"/>
        </w:rPr>
        <w:t xml:space="preserve"> </w:t>
      </w:r>
      <w:r w:rsidR="000C0FBB" w:rsidRPr="009755DB">
        <w:rPr>
          <w:rFonts w:ascii="Arial" w:hAnsi="Arial" w:cs="Arial"/>
          <w:lang w:val="en-US"/>
        </w:rPr>
        <w:t>consumer may</w:t>
      </w:r>
      <w:r w:rsidR="009B5BA8" w:rsidRPr="009755DB">
        <w:rPr>
          <w:rFonts w:ascii="Arial" w:hAnsi="Arial" w:cs="Arial"/>
          <w:lang w:val="en-US"/>
        </w:rPr>
        <w:t xml:space="preserve"> </w:t>
      </w:r>
      <w:r w:rsidR="000C0FBB" w:rsidRPr="009755DB">
        <w:rPr>
          <w:rFonts w:ascii="Arial" w:hAnsi="Arial" w:cs="Arial"/>
          <w:lang w:val="en-US"/>
        </w:rPr>
        <w:t>return</w:t>
      </w:r>
      <w:r w:rsidR="009B5BA8" w:rsidRPr="009755DB">
        <w:rPr>
          <w:rFonts w:ascii="Arial" w:hAnsi="Arial" w:cs="Arial"/>
          <w:lang w:val="en-US"/>
        </w:rPr>
        <w:t xml:space="preserve"> </w:t>
      </w:r>
      <w:r w:rsidR="000C0FBB" w:rsidRPr="009755DB">
        <w:rPr>
          <w:rFonts w:ascii="Arial" w:hAnsi="Arial" w:cs="Arial"/>
          <w:lang w:val="en-US"/>
        </w:rPr>
        <w:t>the</w:t>
      </w:r>
      <w:r w:rsidR="009B5BA8" w:rsidRPr="009755DB">
        <w:rPr>
          <w:rFonts w:ascii="Arial" w:hAnsi="Arial" w:cs="Arial"/>
          <w:lang w:val="en-US"/>
        </w:rPr>
        <w:t xml:space="preserve"> </w:t>
      </w:r>
      <w:r w:rsidR="000C0FBB" w:rsidRPr="009755DB">
        <w:rPr>
          <w:rFonts w:ascii="Arial" w:hAnsi="Arial" w:cs="Arial"/>
          <w:lang w:val="en-US"/>
        </w:rPr>
        <w:t>goods to</w:t>
      </w:r>
      <w:r w:rsidR="009B5BA8" w:rsidRPr="009755DB">
        <w:rPr>
          <w:rFonts w:ascii="Arial" w:hAnsi="Arial" w:cs="Arial"/>
          <w:lang w:val="en-US"/>
        </w:rPr>
        <w:t xml:space="preserve"> </w:t>
      </w:r>
      <w:r w:rsidR="000C0FBB" w:rsidRPr="009755DB">
        <w:rPr>
          <w:rFonts w:ascii="Arial" w:hAnsi="Arial" w:cs="Arial"/>
          <w:lang w:val="en-US"/>
        </w:rPr>
        <w:t>the</w:t>
      </w:r>
      <w:r w:rsidR="009B5BA8" w:rsidRPr="009755DB">
        <w:rPr>
          <w:rFonts w:ascii="Arial" w:hAnsi="Arial" w:cs="Arial"/>
          <w:lang w:val="en-US"/>
        </w:rPr>
        <w:t xml:space="preserve"> </w:t>
      </w:r>
      <w:r w:rsidR="000C0FBB" w:rsidRPr="009755DB">
        <w:rPr>
          <w:rFonts w:ascii="Arial" w:hAnsi="Arial" w:cs="Arial"/>
          <w:lang w:val="en-US"/>
        </w:rPr>
        <w:t>supplier,</w:t>
      </w:r>
      <w:r w:rsidR="009B5BA8" w:rsidRPr="009755DB">
        <w:rPr>
          <w:rFonts w:ascii="Arial" w:hAnsi="Arial" w:cs="Arial"/>
          <w:lang w:val="en-US"/>
        </w:rPr>
        <w:t xml:space="preserve"> </w:t>
      </w:r>
      <w:r w:rsidR="000C0FBB" w:rsidRPr="009755DB">
        <w:rPr>
          <w:rFonts w:ascii="Arial" w:hAnsi="Arial" w:cs="Arial"/>
          <w:lang w:val="en-US"/>
        </w:rPr>
        <w:t>without</w:t>
      </w:r>
      <w:r w:rsidR="009B5BA8" w:rsidRPr="009755DB">
        <w:rPr>
          <w:rFonts w:ascii="Arial" w:hAnsi="Arial" w:cs="Arial"/>
          <w:lang w:val="en-US"/>
        </w:rPr>
        <w:t xml:space="preserve"> </w:t>
      </w:r>
      <w:r w:rsidR="000C0FBB" w:rsidRPr="009755DB">
        <w:rPr>
          <w:rFonts w:ascii="Arial" w:hAnsi="Arial" w:cs="Arial"/>
          <w:lang w:val="en-US"/>
        </w:rPr>
        <w:t>penalty</w:t>
      </w:r>
      <w:r w:rsidR="009B5BA8" w:rsidRPr="009755DB">
        <w:rPr>
          <w:rFonts w:ascii="Arial" w:hAnsi="Arial" w:cs="Arial"/>
          <w:lang w:val="en-US"/>
        </w:rPr>
        <w:t xml:space="preserve"> </w:t>
      </w:r>
      <w:r w:rsidR="000C0FBB" w:rsidRPr="009755DB">
        <w:rPr>
          <w:rFonts w:ascii="Arial" w:hAnsi="Arial" w:cs="Arial"/>
          <w:lang w:val="en-US"/>
        </w:rPr>
        <w:t>and</w:t>
      </w:r>
      <w:r w:rsidR="009B5BA8" w:rsidRPr="009755DB">
        <w:rPr>
          <w:rFonts w:ascii="Arial" w:hAnsi="Arial" w:cs="Arial"/>
          <w:lang w:val="en-US"/>
        </w:rPr>
        <w:t xml:space="preserve"> </w:t>
      </w:r>
      <w:r w:rsidR="000C0FBB" w:rsidRPr="009755DB">
        <w:rPr>
          <w:rFonts w:ascii="Arial" w:hAnsi="Arial" w:cs="Arial"/>
          <w:lang w:val="en-US"/>
        </w:rPr>
        <w:t>at the</w:t>
      </w:r>
      <w:r w:rsidR="009B5BA8" w:rsidRPr="009755DB">
        <w:rPr>
          <w:rFonts w:ascii="Arial" w:hAnsi="Arial" w:cs="Arial"/>
          <w:lang w:val="en-US"/>
        </w:rPr>
        <w:t xml:space="preserve"> </w:t>
      </w:r>
      <w:r w:rsidR="000C0FBB" w:rsidRPr="009755DB">
        <w:rPr>
          <w:rFonts w:ascii="Arial" w:hAnsi="Arial" w:cs="Arial"/>
          <w:lang w:val="en-US"/>
        </w:rPr>
        <w:t>supplier’s risk</w:t>
      </w:r>
      <w:r w:rsidR="009B5BA8" w:rsidRPr="009755DB">
        <w:rPr>
          <w:rFonts w:ascii="Arial" w:hAnsi="Arial" w:cs="Arial"/>
          <w:lang w:val="en-US"/>
        </w:rPr>
        <w:t xml:space="preserve"> </w:t>
      </w:r>
      <w:r w:rsidR="000C0FBB" w:rsidRPr="009755DB">
        <w:rPr>
          <w:rFonts w:ascii="Arial" w:hAnsi="Arial" w:cs="Arial"/>
          <w:lang w:val="en-US"/>
        </w:rPr>
        <w:t>and expense, if the</w:t>
      </w:r>
      <w:r w:rsidR="009B5BA8" w:rsidRPr="009755DB">
        <w:rPr>
          <w:rFonts w:ascii="Arial" w:hAnsi="Arial" w:cs="Arial"/>
          <w:lang w:val="en-US"/>
        </w:rPr>
        <w:t xml:space="preserve"> </w:t>
      </w:r>
      <w:r w:rsidR="000C0FBB" w:rsidRPr="009755DB">
        <w:rPr>
          <w:rFonts w:ascii="Arial" w:hAnsi="Arial" w:cs="Arial"/>
          <w:lang w:val="en-US"/>
        </w:rPr>
        <w:t>goods fail to</w:t>
      </w:r>
      <w:r w:rsidR="009B5BA8" w:rsidRPr="009755DB">
        <w:rPr>
          <w:rFonts w:ascii="Arial" w:hAnsi="Arial" w:cs="Arial"/>
          <w:lang w:val="en-US"/>
        </w:rPr>
        <w:t xml:space="preserve"> </w:t>
      </w:r>
      <w:r w:rsidR="000C0FBB" w:rsidRPr="009755DB">
        <w:rPr>
          <w:rFonts w:ascii="Arial" w:hAnsi="Arial" w:cs="Arial"/>
          <w:lang w:val="en-US"/>
        </w:rPr>
        <w:t>satisfy</w:t>
      </w:r>
      <w:r w:rsidR="009B5BA8" w:rsidRPr="009755DB">
        <w:rPr>
          <w:rFonts w:ascii="Arial" w:hAnsi="Arial" w:cs="Arial"/>
          <w:lang w:val="en-US"/>
        </w:rPr>
        <w:t xml:space="preserve"> </w:t>
      </w:r>
      <w:r w:rsidR="000C0FBB" w:rsidRPr="009755DB">
        <w:rPr>
          <w:rFonts w:ascii="Arial" w:hAnsi="Arial" w:cs="Arial"/>
          <w:lang w:val="en-US"/>
        </w:rPr>
        <w:t>the</w:t>
      </w:r>
      <w:r w:rsidR="009B5BA8" w:rsidRPr="009755DB">
        <w:rPr>
          <w:rFonts w:ascii="Arial" w:hAnsi="Arial" w:cs="Arial"/>
          <w:lang w:val="en-US"/>
        </w:rPr>
        <w:t xml:space="preserve"> </w:t>
      </w:r>
      <w:r w:rsidR="000C0FBB" w:rsidRPr="009755DB">
        <w:rPr>
          <w:rFonts w:ascii="Arial" w:hAnsi="Arial" w:cs="Arial"/>
          <w:lang w:val="en-US"/>
        </w:rPr>
        <w:t>requirements</w:t>
      </w:r>
      <w:r w:rsidR="009B5BA8" w:rsidRPr="009755DB">
        <w:rPr>
          <w:rFonts w:ascii="Arial" w:hAnsi="Arial" w:cs="Arial"/>
          <w:lang w:val="en-US"/>
        </w:rPr>
        <w:t xml:space="preserve"> </w:t>
      </w:r>
      <w:r w:rsidR="000C0FBB" w:rsidRPr="009755DB">
        <w:rPr>
          <w:rFonts w:ascii="Arial" w:hAnsi="Arial" w:cs="Arial"/>
          <w:lang w:val="en-US"/>
        </w:rPr>
        <w:t>and</w:t>
      </w:r>
      <w:r w:rsidR="009B5BA8" w:rsidRPr="009755DB">
        <w:rPr>
          <w:rFonts w:ascii="Arial" w:hAnsi="Arial" w:cs="Arial"/>
          <w:lang w:val="en-US"/>
        </w:rPr>
        <w:t xml:space="preserve"> </w:t>
      </w:r>
      <w:r w:rsidR="000C0FBB" w:rsidRPr="009755DB">
        <w:rPr>
          <w:rFonts w:ascii="Arial" w:hAnsi="Arial" w:cs="Arial"/>
          <w:lang w:val="en-US"/>
        </w:rPr>
        <w:t>standards</w:t>
      </w:r>
      <w:r w:rsidR="009B5BA8" w:rsidRPr="009755DB">
        <w:rPr>
          <w:rFonts w:ascii="Arial" w:hAnsi="Arial" w:cs="Arial"/>
          <w:lang w:val="en-US"/>
        </w:rPr>
        <w:t xml:space="preserve"> </w:t>
      </w:r>
      <w:r w:rsidR="000C0FBB" w:rsidRPr="009755DB">
        <w:rPr>
          <w:rFonts w:ascii="Arial" w:hAnsi="Arial" w:cs="Arial"/>
          <w:lang w:val="en-US"/>
        </w:rPr>
        <w:t>contemplated</w:t>
      </w:r>
      <w:r w:rsidR="009B5BA8" w:rsidRPr="009755DB">
        <w:rPr>
          <w:rFonts w:ascii="Arial" w:hAnsi="Arial" w:cs="Arial"/>
          <w:lang w:val="en-US"/>
        </w:rPr>
        <w:t xml:space="preserve"> </w:t>
      </w:r>
      <w:r w:rsidR="000C0FBB" w:rsidRPr="009755DB">
        <w:rPr>
          <w:rFonts w:ascii="Arial" w:hAnsi="Arial" w:cs="Arial"/>
          <w:lang w:val="en-US"/>
        </w:rPr>
        <w:t>in section</w:t>
      </w:r>
      <w:r w:rsidR="0089392C" w:rsidRPr="009755DB">
        <w:rPr>
          <w:rFonts w:ascii="Arial" w:hAnsi="Arial" w:cs="Arial"/>
          <w:lang w:val="en-US"/>
        </w:rPr>
        <w:t xml:space="preserve"> </w:t>
      </w:r>
      <w:r w:rsidR="000C0FBB" w:rsidRPr="009755DB">
        <w:rPr>
          <w:rFonts w:ascii="Arial" w:hAnsi="Arial" w:cs="Arial"/>
          <w:lang w:val="en-US"/>
        </w:rPr>
        <w:t>55,</w:t>
      </w:r>
      <w:r w:rsidR="0089392C" w:rsidRPr="009755DB">
        <w:rPr>
          <w:rFonts w:ascii="Arial" w:hAnsi="Arial" w:cs="Arial"/>
          <w:lang w:val="en-US"/>
        </w:rPr>
        <w:t xml:space="preserve"> </w:t>
      </w:r>
      <w:r w:rsidR="000C0FBB" w:rsidRPr="009755DB">
        <w:rPr>
          <w:rFonts w:ascii="Arial" w:hAnsi="Arial" w:cs="Arial"/>
          <w:lang w:val="en-US"/>
        </w:rPr>
        <w:t>and</w:t>
      </w:r>
      <w:r w:rsidR="0089392C" w:rsidRPr="009755DB">
        <w:rPr>
          <w:rFonts w:ascii="Arial" w:hAnsi="Arial" w:cs="Arial"/>
          <w:lang w:val="en-US"/>
        </w:rPr>
        <w:t xml:space="preserve"> </w:t>
      </w:r>
      <w:r w:rsidR="000C0FBB" w:rsidRPr="009755DB">
        <w:rPr>
          <w:rFonts w:ascii="Arial" w:hAnsi="Arial" w:cs="Arial"/>
          <w:lang w:val="en-US"/>
        </w:rPr>
        <w:t>the</w:t>
      </w:r>
      <w:r w:rsidR="0089392C" w:rsidRPr="009755DB">
        <w:rPr>
          <w:rFonts w:ascii="Arial" w:hAnsi="Arial" w:cs="Arial"/>
          <w:lang w:val="en-US"/>
        </w:rPr>
        <w:t xml:space="preserve"> </w:t>
      </w:r>
      <w:r w:rsidR="000C0FBB" w:rsidRPr="009755DB">
        <w:rPr>
          <w:rFonts w:ascii="Arial" w:hAnsi="Arial" w:cs="Arial"/>
          <w:lang w:val="en-US"/>
        </w:rPr>
        <w:t>supplier</w:t>
      </w:r>
      <w:r w:rsidR="0089392C" w:rsidRPr="009755DB">
        <w:rPr>
          <w:rFonts w:ascii="Arial" w:hAnsi="Arial" w:cs="Arial"/>
          <w:lang w:val="en-US"/>
        </w:rPr>
        <w:t xml:space="preserve"> </w:t>
      </w:r>
      <w:r w:rsidR="000C0FBB" w:rsidRPr="009755DB">
        <w:rPr>
          <w:rFonts w:ascii="Arial" w:hAnsi="Arial" w:cs="Arial"/>
          <w:lang w:val="en-US"/>
        </w:rPr>
        <w:t>must,</w:t>
      </w:r>
      <w:r w:rsidR="0089392C" w:rsidRPr="009755DB">
        <w:rPr>
          <w:rFonts w:ascii="Arial" w:hAnsi="Arial" w:cs="Arial"/>
          <w:lang w:val="en-US"/>
        </w:rPr>
        <w:t xml:space="preserve"> </w:t>
      </w:r>
      <w:r w:rsidR="000C0FBB" w:rsidRPr="009755DB">
        <w:rPr>
          <w:rFonts w:ascii="Arial" w:hAnsi="Arial" w:cs="Arial"/>
          <w:lang w:val="en-US"/>
        </w:rPr>
        <w:t>at the</w:t>
      </w:r>
      <w:r w:rsidR="0089392C" w:rsidRPr="009755DB">
        <w:rPr>
          <w:rFonts w:ascii="Arial" w:hAnsi="Arial" w:cs="Arial"/>
          <w:lang w:val="en-US"/>
        </w:rPr>
        <w:t xml:space="preserve"> </w:t>
      </w:r>
      <w:r w:rsidR="000C0FBB" w:rsidRPr="009755DB">
        <w:rPr>
          <w:rFonts w:ascii="Arial" w:hAnsi="Arial" w:cs="Arial"/>
          <w:lang w:val="en-US"/>
        </w:rPr>
        <w:t>direction</w:t>
      </w:r>
      <w:r w:rsidR="0089392C" w:rsidRPr="009755DB">
        <w:rPr>
          <w:rFonts w:ascii="Arial" w:hAnsi="Arial" w:cs="Arial"/>
          <w:lang w:val="en-US"/>
        </w:rPr>
        <w:t xml:space="preserve"> </w:t>
      </w:r>
      <w:r w:rsidR="000C0FBB" w:rsidRPr="009755DB">
        <w:rPr>
          <w:rFonts w:ascii="Arial" w:hAnsi="Arial" w:cs="Arial"/>
          <w:lang w:val="en-US"/>
        </w:rPr>
        <w:t>of</w:t>
      </w:r>
      <w:r w:rsidR="0089392C" w:rsidRPr="009755DB">
        <w:rPr>
          <w:rFonts w:ascii="Arial" w:hAnsi="Arial" w:cs="Arial"/>
          <w:lang w:val="en-US"/>
        </w:rPr>
        <w:t xml:space="preserve"> </w:t>
      </w:r>
      <w:r w:rsidR="000C0FBB" w:rsidRPr="009755DB">
        <w:rPr>
          <w:rFonts w:ascii="Arial" w:hAnsi="Arial" w:cs="Arial"/>
          <w:lang w:val="en-US"/>
        </w:rPr>
        <w:t>the</w:t>
      </w:r>
      <w:r w:rsidR="0089392C" w:rsidRPr="009755DB">
        <w:rPr>
          <w:rFonts w:ascii="Arial" w:hAnsi="Arial" w:cs="Arial"/>
          <w:lang w:val="en-US"/>
        </w:rPr>
        <w:t xml:space="preserve"> </w:t>
      </w:r>
      <w:r w:rsidR="005A2F83" w:rsidRPr="009755DB">
        <w:rPr>
          <w:rFonts w:ascii="Arial" w:hAnsi="Arial" w:cs="Arial"/>
          <w:lang w:val="en-US"/>
        </w:rPr>
        <w:t>consumer</w:t>
      </w:r>
      <w:r w:rsidR="005A2F83">
        <w:rPr>
          <w:rFonts w:ascii="Arial" w:hAnsi="Arial" w:cs="Arial"/>
          <w:lang w:val="en-US"/>
        </w:rPr>
        <w:t>,</w:t>
      </w:r>
      <w:r w:rsidR="005A2F83" w:rsidRPr="009755DB">
        <w:rPr>
          <w:rFonts w:ascii="Arial" w:hAnsi="Arial" w:cs="Arial"/>
          <w:lang w:val="en-US"/>
        </w:rPr>
        <w:t xml:space="preserve"> -</w:t>
      </w:r>
      <w:r w:rsidR="0089392C" w:rsidRPr="009755DB">
        <w:rPr>
          <w:rFonts w:ascii="Arial" w:hAnsi="Arial" w:cs="Arial"/>
          <w:lang w:val="en-US"/>
        </w:rPr>
        <w:t xml:space="preserve"> </w:t>
      </w:r>
      <w:r w:rsidR="000C0FBB" w:rsidRPr="009755DB">
        <w:rPr>
          <w:rFonts w:ascii="Arial" w:hAnsi="Arial" w:cs="Arial"/>
          <w:lang w:val="en-US"/>
        </w:rPr>
        <w:t xml:space="preserve">either— </w:t>
      </w:r>
    </w:p>
    <w:p w14:paraId="05A8FD30" w14:textId="08CF8666" w:rsidR="0089392C" w:rsidRPr="009755DB" w:rsidRDefault="000C0FBB" w:rsidP="009755DB">
      <w:pPr>
        <w:spacing w:line="360" w:lineRule="auto"/>
        <w:ind w:left="1418"/>
        <w:jc w:val="both"/>
        <w:rPr>
          <w:rFonts w:ascii="Arial" w:hAnsi="Arial" w:cs="Arial"/>
          <w:lang w:val="en-US"/>
        </w:rPr>
      </w:pPr>
      <w:r w:rsidRPr="009755DB">
        <w:rPr>
          <w:rFonts w:ascii="Arial" w:hAnsi="Arial" w:cs="Arial"/>
          <w:lang w:val="en-US"/>
        </w:rPr>
        <w:t>(a)</w:t>
      </w:r>
      <w:r w:rsidR="00EC306B">
        <w:rPr>
          <w:rFonts w:ascii="Arial" w:hAnsi="Arial" w:cs="Arial"/>
          <w:lang w:val="en-US"/>
        </w:rPr>
        <w:tab/>
      </w:r>
      <w:r w:rsidRPr="009755DB">
        <w:rPr>
          <w:rFonts w:ascii="Arial" w:hAnsi="Arial" w:cs="Arial"/>
          <w:lang w:val="en-US"/>
        </w:rPr>
        <w:t>repair</w:t>
      </w:r>
      <w:r w:rsidR="0089392C" w:rsidRPr="009755DB">
        <w:rPr>
          <w:rFonts w:ascii="Arial" w:hAnsi="Arial" w:cs="Arial"/>
          <w:lang w:val="en-US"/>
        </w:rPr>
        <w:t xml:space="preserve"> </w:t>
      </w:r>
      <w:r w:rsidRPr="009755DB">
        <w:rPr>
          <w:rFonts w:ascii="Arial" w:hAnsi="Arial" w:cs="Arial"/>
          <w:lang w:val="en-US"/>
        </w:rPr>
        <w:t>or</w:t>
      </w:r>
      <w:r w:rsidR="0089392C" w:rsidRPr="009755DB">
        <w:rPr>
          <w:rFonts w:ascii="Arial" w:hAnsi="Arial" w:cs="Arial"/>
          <w:lang w:val="en-US"/>
        </w:rPr>
        <w:t xml:space="preserve"> </w:t>
      </w:r>
      <w:r w:rsidRPr="009755DB">
        <w:rPr>
          <w:rFonts w:ascii="Arial" w:hAnsi="Arial" w:cs="Arial"/>
          <w:lang w:val="en-US"/>
        </w:rPr>
        <w:t>replace</w:t>
      </w:r>
      <w:r w:rsidR="0089392C" w:rsidRPr="009755DB">
        <w:rPr>
          <w:rFonts w:ascii="Arial" w:hAnsi="Arial" w:cs="Arial"/>
          <w:lang w:val="en-US"/>
        </w:rPr>
        <w:t xml:space="preserve"> </w:t>
      </w:r>
      <w:r w:rsidRPr="009755DB">
        <w:rPr>
          <w:rFonts w:ascii="Arial" w:hAnsi="Arial" w:cs="Arial"/>
          <w:lang w:val="en-US"/>
        </w:rPr>
        <w:t>the</w:t>
      </w:r>
      <w:r w:rsidR="0089392C" w:rsidRPr="009755DB">
        <w:rPr>
          <w:rFonts w:ascii="Arial" w:hAnsi="Arial" w:cs="Arial"/>
          <w:lang w:val="en-US"/>
        </w:rPr>
        <w:t xml:space="preserve"> </w:t>
      </w:r>
      <w:r w:rsidRPr="009755DB">
        <w:rPr>
          <w:rFonts w:ascii="Arial" w:hAnsi="Arial" w:cs="Arial"/>
          <w:lang w:val="en-US"/>
        </w:rPr>
        <w:t>failed,</w:t>
      </w:r>
      <w:r w:rsidR="0089392C" w:rsidRPr="009755DB">
        <w:rPr>
          <w:rFonts w:ascii="Arial" w:hAnsi="Arial" w:cs="Arial"/>
          <w:lang w:val="en-US"/>
        </w:rPr>
        <w:t xml:space="preserve"> </w:t>
      </w:r>
      <w:r w:rsidRPr="009755DB">
        <w:rPr>
          <w:rFonts w:ascii="Arial" w:hAnsi="Arial" w:cs="Arial"/>
          <w:lang w:val="en-US"/>
        </w:rPr>
        <w:t>unsafe</w:t>
      </w:r>
      <w:r w:rsidR="0089392C" w:rsidRPr="009755DB">
        <w:rPr>
          <w:rFonts w:ascii="Arial" w:hAnsi="Arial" w:cs="Arial"/>
          <w:lang w:val="en-US"/>
        </w:rPr>
        <w:t xml:space="preserve"> </w:t>
      </w:r>
      <w:r w:rsidRPr="009755DB">
        <w:rPr>
          <w:rFonts w:ascii="Arial" w:hAnsi="Arial" w:cs="Arial"/>
          <w:lang w:val="en-US"/>
        </w:rPr>
        <w:t>or</w:t>
      </w:r>
      <w:r w:rsidR="0089392C" w:rsidRPr="009755DB">
        <w:rPr>
          <w:rFonts w:ascii="Arial" w:hAnsi="Arial" w:cs="Arial"/>
          <w:lang w:val="en-US"/>
        </w:rPr>
        <w:t xml:space="preserve"> </w:t>
      </w:r>
      <w:r w:rsidRPr="009755DB">
        <w:rPr>
          <w:rFonts w:ascii="Arial" w:hAnsi="Arial" w:cs="Arial"/>
          <w:lang w:val="en-US"/>
        </w:rPr>
        <w:t>defective</w:t>
      </w:r>
      <w:r w:rsidR="0089392C" w:rsidRPr="009755DB">
        <w:rPr>
          <w:rFonts w:ascii="Arial" w:hAnsi="Arial" w:cs="Arial"/>
          <w:lang w:val="en-US"/>
        </w:rPr>
        <w:t xml:space="preserve"> </w:t>
      </w:r>
      <w:r w:rsidRPr="009755DB">
        <w:rPr>
          <w:rFonts w:ascii="Arial" w:hAnsi="Arial" w:cs="Arial"/>
          <w:lang w:val="en-US"/>
        </w:rPr>
        <w:t>goods;</w:t>
      </w:r>
      <w:r w:rsidR="0089392C" w:rsidRPr="009755DB">
        <w:rPr>
          <w:rFonts w:ascii="Arial" w:hAnsi="Arial" w:cs="Arial"/>
          <w:lang w:val="en-US"/>
        </w:rPr>
        <w:t xml:space="preserve"> </w:t>
      </w:r>
      <w:r w:rsidRPr="009755DB">
        <w:rPr>
          <w:rFonts w:ascii="Arial" w:hAnsi="Arial" w:cs="Arial"/>
          <w:lang w:val="en-US"/>
        </w:rPr>
        <w:t xml:space="preserve">or </w:t>
      </w:r>
    </w:p>
    <w:p w14:paraId="3BD8740C" w14:textId="056F5BEB" w:rsidR="00E97F55" w:rsidRPr="00075615" w:rsidRDefault="000C0FBB" w:rsidP="00075615">
      <w:pPr>
        <w:spacing w:line="360" w:lineRule="auto"/>
        <w:ind w:left="1418"/>
        <w:jc w:val="both"/>
        <w:rPr>
          <w:rFonts w:ascii="Arial" w:hAnsi="Arial" w:cs="Arial"/>
          <w:lang w:val="en-US"/>
        </w:rPr>
      </w:pPr>
      <w:r w:rsidRPr="009755DB">
        <w:rPr>
          <w:rFonts w:ascii="Arial" w:hAnsi="Arial" w:cs="Arial"/>
          <w:lang w:val="en-US"/>
        </w:rPr>
        <w:t>(b)</w:t>
      </w:r>
      <w:r w:rsidR="00EC306B">
        <w:rPr>
          <w:rFonts w:ascii="Arial" w:hAnsi="Arial" w:cs="Arial"/>
          <w:lang w:val="en-US"/>
        </w:rPr>
        <w:tab/>
      </w:r>
      <w:r w:rsidRPr="009755DB">
        <w:rPr>
          <w:rFonts w:ascii="Arial" w:hAnsi="Arial" w:cs="Arial"/>
          <w:lang w:val="en-US"/>
        </w:rPr>
        <w:t>refund</w:t>
      </w:r>
      <w:r w:rsidR="0089392C" w:rsidRPr="009755DB">
        <w:rPr>
          <w:rFonts w:ascii="Arial" w:hAnsi="Arial" w:cs="Arial"/>
          <w:lang w:val="en-US"/>
        </w:rPr>
        <w:t xml:space="preserve"> </w:t>
      </w:r>
      <w:r w:rsidRPr="009755DB">
        <w:rPr>
          <w:rFonts w:ascii="Arial" w:hAnsi="Arial" w:cs="Arial"/>
          <w:lang w:val="en-US"/>
        </w:rPr>
        <w:t>to</w:t>
      </w:r>
      <w:r w:rsidR="0089392C" w:rsidRPr="009755DB">
        <w:rPr>
          <w:rFonts w:ascii="Arial" w:hAnsi="Arial" w:cs="Arial"/>
          <w:lang w:val="en-US"/>
        </w:rPr>
        <w:t xml:space="preserve"> </w:t>
      </w:r>
      <w:r w:rsidRPr="009755DB">
        <w:rPr>
          <w:rFonts w:ascii="Arial" w:hAnsi="Arial" w:cs="Arial"/>
          <w:lang w:val="en-US"/>
        </w:rPr>
        <w:t>the</w:t>
      </w:r>
      <w:r w:rsidR="0089392C" w:rsidRPr="009755DB">
        <w:rPr>
          <w:rFonts w:ascii="Arial" w:hAnsi="Arial" w:cs="Arial"/>
          <w:lang w:val="en-US"/>
        </w:rPr>
        <w:t xml:space="preserve"> </w:t>
      </w:r>
      <w:r w:rsidRPr="009755DB">
        <w:rPr>
          <w:rFonts w:ascii="Arial" w:hAnsi="Arial" w:cs="Arial"/>
          <w:lang w:val="en-US"/>
        </w:rPr>
        <w:t>consumer</w:t>
      </w:r>
      <w:r w:rsidR="0089392C" w:rsidRPr="009755DB">
        <w:rPr>
          <w:rFonts w:ascii="Arial" w:hAnsi="Arial" w:cs="Arial"/>
          <w:lang w:val="en-US"/>
        </w:rPr>
        <w:t xml:space="preserve"> </w:t>
      </w:r>
      <w:r w:rsidRPr="009755DB">
        <w:rPr>
          <w:rFonts w:ascii="Arial" w:hAnsi="Arial" w:cs="Arial"/>
          <w:lang w:val="en-US"/>
        </w:rPr>
        <w:t>the</w:t>
      </w:r>
      <w:r w:rsidR="0089392C" w:rsidRPr="009755DB">
        <w:rPr>
          <w:rFonts w:ascii="Arial" w:hAnsi="Arial" w:cs="Arial"/>
          <w:lang w:val="en-US"/>
        </w:rPr>
        <w:t xml:space="preserve"> </w:t>
      </w:r>
      <w:r w:rsidRPr="009755DB">
        <w:rPr>
          <w:rFonts w:ascii="Arial" w:hAnsi="Arial" w:cs="Arial"/>
          <w:lang w:val="en-US"/>
        </w:rPr>
        <w:t>price</w:t>
      </w:r>
      <w:r w:rsidR="0089392C" w:rsidRPr="009755DB">
        <w:rPr>
          <w:rFonts w:ascii="Arial" w:hAnsi="Arial" w:cs="Arial"/>
          <w:lang w:val="en-US"/>
        </w:rPr>
        <w:t xml:space="preserve"> </w:t>
      </w:r>
      <w:r w:rsidRPr="009755DB">
        <w:rPr>
          <w:rFonts w:ascii="Arial" w:hAnsi="Arial" w:cs="Arial"/>
          <w:lang w:val="en-US"/>
        </w:rPr>
        <w:t>paid</w:t>
      </w:r>
      <w:r w:rsidR="0089392C" w:rsidRPr="009755DB">
        <w:rPr>
          <w:rFonts w:ascii="Arial" w:hAnsi="Arial" w:cs="Arial"/>
          <w:lang w:val="en-US"/>
        </w:rPr>
        <w:t xml:space="preserve"> </w:t>
      </w:r>
      <w:r w:rsidRPr="009755DB">
        <w:rPr>
          <w:rFonts w:ascii="Arial" w:hAnsi="Arial" w:cs="Arial"/>
          <w:lang w:val="en-US"/>
        </w:rPr>
        <w:t>by</w:t>
      </w:r>
      <w:r w:rsidR="0089392C" w:rsidRPr="009755DB">
        <w:rPr>
          <w:rFonts w:ascii="Arial" w:hAnsi="Arial" w:cs="Arial"/>
          <w:lang w:val="en-US"/>
        </w:rPr>
        <w:t xml:space="preserve"> </w:t>
      </w:r>
      <w:r w:rsidRPr="009755DB">
        <w:rPr>
          <w:rFonts w:ascii="Arial" w:hAnsi="Arial" w:cs="Arial"/>
          <w:lang w:val="en-US"/>
        </w:rPr>
        <w:t>the</w:t>
      </w:r>
      <w:r w:rsidR="0089392C" w:rsidRPr="009755DB">
        <w:rPr>
          <w:rFonts w:ascii="Arial" w:hAnsi="Arial" w:cs="Arial"/>
          <w:lang w:val="en-US"/>
        </w:rPr>
        <w:t xml:space="preserve"> </w:t>
      </w:r>
      <w:r w:rsidRPr="009755DB">
        <w:rPr>
          <w:rFonts w:ascii="Arial" w:hAnsi="Arial" w:cs="Arial"/>
          <w:lang w:val="en-US"/>
        </w:rPr>
        <w:t>consumer,</w:t>
      </w:r>
      <w:r w:rsidR="0089392C" w:rsidRPr="009755DB">
        <w:rPr>
          <w:rFonts w:ascii="Arial" w:hAnsi="Arial" w:cs="Arial"/>
          <w:lang w:val="en-US"/>
        </w:rPr>
        <w:t xml:space="preserve"> for the </w:t>
      </w:r>
      <w:r w:rsidRPr="009755DB">
        <w:rPr>
          <w:rFonts w:ascii="Arial" w:hAnsi="Arial" w:cs="Arial"/>
          <w:lang w:val="en-US"/>
        </w:rPr>
        <w:t>goods</w:t>
      </w:r>
      <w:r w:rsidR="00E47F5D" w:rsidRPr="009755DB">
        <w:rPr>
          <w:rFonts w:ascii="Arial" w:hAnsi="Arial" w:cs="Arial"/>
          <w:lang w:val="en-US"/>
        </w:rPr>
        <w:t>”</w:t>
      </w:r>
    </w:p>
    <w:p w14:paraId="0A01B7F8" w14:textId="77777777" w:rsidR="00043438" w:rsidRDefault="00043438" w:rsidP="00A64118">
      <w:pPr>
        <w:jc w:val="both"/>
        <w:rPr>
          <w:rFonts w:ascii="Arial" w:hAnsi="Arial" w:cs="Arial"/>
          <w:i/>
          <w:iCs/>
          <w:sz w:val="24"/>
          <w:szCs w:val="24"/>
          <w:lang w:val="en-US"/>
        </w:rPr>
      </w:pPr>
    </w:p>
    <w:p w14:paraId="72A1D832" w14:textId="03BD2359" w:rsidR="00E97F55" w:rsidRPr="00CC1B93" w:rsidRDefault="00555A69" w:rsidP="00A64118">
      <w:pPr>
        <w:jc w:val="both"/>
        <w:rPr>
          <w:rFonts w:ascii="Arial" w:hAnsi="Arial" w:cs="Arial"/>
          <w:i/>
          <w:iCs/>
          <w:sz w:val="24"/>
          <w:szCs w:val="24"/>
          <w:lang w:val="en-US"/>
        </w:rPr>
      </w:pPr>
      <w:r w:rsidRPr="00CC1B93">
        <w:rPr>
          <w:rFonts w:ascii="Arial" w:hAnsi="Arial" w:cs="Arial"/>
          <w:i/>
          <w:iCs/>
          <w:sz w:val="24"/>
          <w:szCs w:val="24"/>
          <w:lang w:val="en-US"/>
        </w:rPr>
        <w:t>Discussion</w:t>
      </w:r>
    </w:p>
    <w:p w14:paraId="551C26EC" w14:textId="231BBB96" w:rsidR="006C03B0" w:rsidRDefault="00E109FF" w:rsidP="005A2F83">
      <w:pPr>
        <w:spacing w:after="0" w:line="360" w:lineRule="auto"/>
        <w:jc w:val="both"/>
        <w:rPr>
          <w:rFonts w:ascii="Arial" w:hAnsi="Arial" w:cs="Arial"/>
          <w:sz w:val="24"/>
          <w:szCs w:val="24"/>
          <w:lang w:val="en-US"/>
        </w:rPr>
      </w:pPr>
      <w:r>
        <w:rPr>
          <w:rFonts w:ascii="Arial" w:hAnsi="Arial" w:cs="Arial"/>
          <w:sz w:val="24"/>
          <w:szCs w:val="24"/>
          <w:lang w:val="en-US"/>
        </w:rPr>
        <w:t>[1</w:t>
      </w:r>
      <w:r w:rsidR="00C11D4B">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C85E23" w:rsidRPr="009755DB">
        <w:rPr>
          <w:rFonts w:ascii="Arial" w:hAnsi="Arial" w:cs="Arial"/>
          <w:sz w:val="24"/>
          <w:szCs w:val="24"/>
          <w:lang w:val="en-US"/>
        </w:rPr>
        <w:t>For an in</w:t>
      </w:r>
      <w:r w:rsidR="00F225F3" w:rsidRPr="009755DB">
        <w:rPr>
          <w:rFonts w:ascii="Arial" w:hAnsi="Arial" w:cs="Arial"/>
          <w:sz w:val="24"/>
          <w:szCs w:val="24"/>
          <w:lang w:val="en-US"/>
        </w:rPr>
        <w:t>-</w:t>
      </w:r>
      <w:r w:rsidR="00C85E23" w:rsidRPr="009755DB">
        <w:rPr>
          <w:rFonts w:ascii="Arial" w:hAnsi="Arial" w:cs="Arial"/>
          <w:sz w:val="24"/>
          <w:szCs w:val="24"/>
          <w:lang w:val="en-US"/>
        </w:rPr>
        <w:t>de</w:t>
      </w:r>
      <w:r w:rsidR="00F225F3" w:rsidRPr="009755DB">
        <w:rPr>
          <w:rFonts w:ascii="Arial" w:hAnsi="Arial" w:cs="Arial"/>
          <w:sz w:val="24"/>
          <w:szCs w:val="24"/>
          <w:lang w:val="en-US"/>
        </w:rPr>
        <w:t>pth</w:t>
      </w:r>
      <w:r w:rsidR="00C85E23" w:rsidRPr="009755DB">
        <w:rPr>
          <w:rFonts w:ascii="Arial" w:hAnsi="Arial" w:cs="Arial"/>
          <w:sz w:val="24"/>
          <w:szCs w:val="24"/>
          <w:lang w:val="en-US"/>
        </w:rPr>
        <w:t xml:space="preserve"> analysis of the issues, this court will quote </w:t>
      </w:r>
      <w:r w:rsidR="00340F22" w:rsidRPr="009755DB">
        <w:rPr>
          <w:rFonts w:ascii="Arial" w:hAnsi="Arial" w:cs="Arial"/>
          <w:sz w:val="24"/>
          <w:szCs w:val="24"/>
          <w:lang w:val="en-US"/>
        </w:rPr>
        <w:t xml:space="preserve">extensively and liberally from the </w:t>
      </w:r>
      <w:r w:rsidR="006C03B0" w:rsidRPr="009755DB">
        <w:rPr>
          <w:rFonts w:ascii="Arial" w:hAnsi="Arial" w:cs="Arial"/>
          <w:sz w:val="24"/>
          <w:szCs w:val="24"/>
          <w:lang w:val="en-US"/>
        </w:rPr>
        <w:t>sources counsel relied on.</w:t>
      </w:r>
    </w:p>
    <w:p w14:paraId="65A64FA1" w14:textId="77777777" w:rsidR="005A2F83" w:rsidRDefault="005A2F83" w:rsidP="005A2F83">
      <w:pPr>
        <w:spacing w:after="0" w:line="360" w:lineRule="auto"/>
        <w:jc w:val="both"/>
        <w:rPr>
          <w:rFonts w:ascii="Arial" w:hAnsi="Arial" w:cs="Arial"/>
          <w:sz w:val="24"/>
          <w:szCs w:val="24"/>
          <w:lang w:val="en-US"/>
        </w:rPr>
      </w:pPr>
    </w:p>
    <w:p w14:paraId="051AA7C9" w14:textId="77777777" w:rsidR="00D52A72" w:rsidRDefault="00D52A72" w:rsidP="005A2F83">
      <w:pPr>
        <w:spacing w:after="0" w:line="360" w:lineRule="auto"/>
        <w:jc w:val="both"/>
        <w:rPr>
          <w:rFonts w:ascii="Arial" w:hAnsi="Arial" w:cs="Arial"/>
          <w:sz w:val="24"/>
          <w:szCs w:val="24"/>
          <w:lang w:val="en-US"/>
        </w:rPr>
      </w:pPr>
    </w:p>
    <w:p w14:paraId="1A941F86" w14:textId="77777777" w:rsidR="00D52A72" w:rsidRPr="009755DB" w:rsidRDefault="00D52A72" w:rsidP="005A2F83">
      <w:pPr>
        <w:spacing w:after="0" w:line="360" w:lineRule="auto"/>
        <w:jc w:val="both"/>
        <w:rPr>
          <w:rFonts w:ascii="Arial" w:hAnsi="Arial" w:cs="Arial"/>
          <w:sz w:val="24"/>
          <w:szCs w:val="24"/>
          <w:lang w:val="en-US"/>
        </w:rPr>
      </w:pPr>
    </w:p>
    <w:p w14:paraId="284A6EBC" w14:textId="3FE1BFD6" w:rsidR="006C03B0" w:rsidRPr="009755DB" w:rsidRDefault="006C03B0" w:rsidP="005A2F83">
      <w:pPr>
        <w:spacing w:after="0" w:line="360" w:lineRule="auto"/>
        <w:ind w:firstLine="720"/>
        <w:jc w:val="both"/>
        <w:rPr>
          <w:rFonts w:ascii="Arial" w:hAnsi="Arial" w:cs="Arial"/>
          <w:i/>
          <w:iCs/>
          <w:sz w:val="24"/>
          <w:szCs w:val="24"/>
          <w:lang w:val="en-US"/>
        </w:rPr>
      </w:pPr>
      <w:r w:rsidRPr="00CC1B93">
        <w:rPr>
          <w:rFonts w:ascii="Arial" w:hAnsi="Arial" w:cs="Arial"/>
          <w:sz w:val="24"/>
          <w:szCs w:val="24"/>
          <w:lang w:val="en-US"/>
        </w:rPr>
        <w:t xml:space="preserve"> </w:t>
      </w:r>
      <w:r w:rsidR="006E7755" w:rsidRPr="009755DB">
        <w:rPr>
          <w:rFonts w:ascii="Arial" w:hAnsi="Arial" w:cs="Arial"/>
          <w:i/>
          <w:iCs/>
          <w:sz w:val="24"/>
          <w:szCs w:val="24"/>
          <w:lang w:val="en-US"/>
        </w:rPr>
        <w:t xml:space="preserve">Counsel for the plaintiff ’s submissions </w:t>
      </w:r>
    </w:p>
    <w:p w14:paraId="7D80B457" w14:textId="6972AD95" w:rsidR="00C00993" w:rsidRPr="00415938" w:rsidRDefault="00E109FF" w:rsidP="009755DB">
      <w:pPr>
        <w:spacing w:after="0" w:line="360" w:lineRule="auto"/>
        <w:jc w:val="both"/>
        <w:rPr>
          <w:rFonts w:ascii="Arial" w:hAnsi="Arial" w:cs="Arial"/>
          <w:sz w:val="24"/>
          <w:szCs w:val="24"/>
          <w:lang w:val="en-US"/>
        </w:rPr>
      </w:pPr>
      <w:r>
        <w:rPr>
          <w:rFonts w:ascii="Arial" w:hAnsi="Arial" w:cs="Arial"/>
          <w:sz w:val="24"/>
          <w:szCs w:val="24"/>
          <w:lang w:val="en-US"/>
        </w:rPr>
        <w:t>[1</w:t>
      </w:r>
      <w:r w:rsidR="00C11D4B">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650253" w:rsidRPr="009755DB">
        <w:rPr>
          <w:rFonts w:ascii="Arial" w:hAnsi="Arial" w:cs="Arial"/>
          <w:sz w:val="24"/>
          <w:szCs w:val="24"/>
          <w:lang w:val="en-US"/>
        </w:rPr>
        <w:t>Counsel for the plaintiff relied on the matter of</w:t>
      </w:r>
      <w:r w:rsidR="00B631F2" w:rsidRPr="009755DB">
        <w:rPr>
          <w:rFonts w:ascii="Arial" w:hAnsi="Arial" w:cs="Arial"/>
          <w:sz w:val="24"/>
          <w:szCs w:val="24"/>
          <w:lang w:val="en-US"/>
        </w:rPr>
        <w:t xml:space="preserve"> the</w:t>
      </w:r>
      <w:r w:rsidR="00650253" w:rsidRPr="009755DB">
        <w:rPr>
          <w:rFonts w:ascii="Arial" w:hAnsi="Arial" w:cs="Arial"/>
          <w:sz w:val="24"/>
          <w:szCs w:val="24"/>
          <w:lang w:val="en-US"/>
        </w:rPr>
        <w:t xml:space="preserve"> </w:t>
      </w:r>
      <w:r w:rsidR="00650253" w:rsidRPr="009755DB">
        <w:rPr>
          <w:rFonts w:ascii="Arial" w:hAnsi="Arial" w:cs="Arial"/>
          <w:i/>
          <w:iCs/>
          <w:sz w:val="24"/>
          <w:szCs w:val="24"/>
          <w:lang w:val="en-US"/>
        </w:rPr>
        <w:t>MFC (A Division of Nedbank Ltd</w:t>
      </w:r>
      <w:r w:rsidR="006E7755">
        <w:rPr>
          <w:rFonts w:ascii="Arial" w:hAnsi="Arial" w:cs="Arial"/>
          <w:i/>
          <w:iCs/>
          <w:sz w:val="24"/>
          <w:szCs w:val="24"/>
          <w:lang w:val="en-US"/>
        </w:rPr>
        <w:t>)</w:t>
      </w:r>
      <w:r w:rsidR="00650253" w:rsidRPr="009755DB">
        <w:rPr>
          <w:rFonts w:ascii="Arial" w:hAnsi="Arial" w:cs="Arial"/>
          <w:i/>
          <w:iCs/>
          <w:sz w:val="24"/>
          <w:szCs w:val="24"/>
          <w:lang w:val="en-US"/>
        </w:rPr>
        <w:t xml:space="preserve"> v JAJ B</w:t>
      </w:r>
      <w:r w:rsidR="008C6A97" w:rsidRPr="009755DB">
        <w:rPr>
          <w:rFonts w:ascii="Arial" w:hAnsi="Arial" w:cs="Arial"/>
          <w:i/>
          <w:iCs/>
          <w:sz w:val="24"/>
          <w:szCs w:val="24"/>
          <w:lang w:val="en-US"/>
        </w:rPr>
        <w:t>otha</w:t>
      </w:r>
      <w:r w:rsidR="00B631F2" w:rsidRPr="009755DB">
        <w:rPr>
          <w:rFonts w:ascii="Arial" w:hAnsi="Arial" w:cs="Arial"/>
          <w:i/>
          <w:iCs/>
          <w:sz w:val="24"/>
          <w:szCs w:val="24"/>
          <w:lang w:val="en-US"/>
        </w:rPr>
        <w:t>,</w:t>
      </w:r>
      <w:r w:rsidR="00621EA8">
        <w:rPr>
          <w:rStyle w:val="FootnoteReference"/>
          <w:rFonts w:ascii="Arial" w:hAnsi="Arial" w:cs="Arial"/>
          <w:i/>
          <w:iCs/>
          <w:sz w:val="24"/>
          <w:szCs w:val="24"/>
          <w:lang w:val="en-US"/>
        </w:rPr>
        <w:footnoteReference w:id="9"/>
      </w:r>
      <w:r w:rsidR="008C6A97" w:rsidRPr="009755DB">
        <w:rPr>
          <w:rFonts w:ascii="Arial" w:hAnsi="Arial" w:cs="Arial"/>
          <w:sz w:val="24"/>
          <w:szCs w:val="24"/>
          <w:lang w:val="en-US"/>
        </w:rPr>
        <w:t xml:space="preserve"> in which the court was faced with a similar </w:t>
      </w:r>
      <w:r w:rsidR="0087351F" w:rsidRPr="009755DB">
        <w:rPr>
          <w:rFonts w:ascii="Arial" w:hAnsi="Arial" w:cs="Arial"/>
          <w:sz w:val="24"/>
          <w:szCs w:val="24"/>
          <w:lang w:val="en-US"/>
        </w:rPr>
        <w:t>challenge</w:t>
      </w:r>
      <w:r w:rsidR="008C6A97" w:rsidRPr="00B92539">
        <w:rPr>
          <w:rFonts w:ascii="Arial" w:hAnsi="Arial" w:cs="Arial"/>
          <w:sz w:val="24"/>
          <w:szCs w:val="24"/>
          <w:lang w:val="en-US"/>
        </w:rPr>
        <w:t>.</w:t>
      </w:r>
      <w:r w:rsidR="00B92539" w:rsidRPr="00B92539">
        <w:rPr>
          <w:rFonts w:ascii="Arial" w:hAnsi="Arial" w:cs="Arial"/>
          <w:sz w:val="24"/>
          <w:szCs w:val="24"/>
          <w:lang w:val="en-US"/>
        </w:rPr>
        <w:t xml:space="preserve"> As in this case,</w:t>
      </w:r>
      <w:r w:rsidR="00315A26" w:rsidRPr="009755DB">
        <w:rPr>
          <w:rFonts w:ascii="Arial" w:hAnsi="Arial" w:cs="Arial"/>
          <w:sz w:val="24"/>
          <w:szCs w:val="24"/>
          <w:lang w:val="en-US"/>
        </w:rPr>
        <w:t xml:space="preserve"> the applicant</w:t>
      </w:r>
      <w:r w:rsidR="0087351F" w:rsidRPr="009755DB">
        <w:rPr>
          <w:rFonts w:ascii="Arial" w:hAnsi="Arial" w:cs="Arial"/>
          <w:sz w:val="24"/>
          <w:szCs w:val="24"/>
          <w:lang w:val="en-US"/>
        </w:rPr>
        <w:t xml:space="preserve"> in </w:t>
      </w:r>
      <w:r w:rsidR="0087351F" w:rsidRPr="009755DB">
        <w:rPr>
          <w:rFonts w:ascii="Arial" w:hAnsi="Arial" w:cs="Arial"/>
          <w:i/>
          <w:iCs/>
          <w:sz w:val="24"/>
          <w:szCs w:val="24"/>
          <w:lang w:val="en-US"/>
        </w:rPr>
        <w:t>Botha</w:t>
      </w:r>
      <w:r w:rsidR="00B92539">
        <w:rPr>
          <w:rFonts w:ascii="Arial" w:hAnsi="Arial" w:cs="Arial"/>
          <w:i/>
          <w:iCs/>
          <w:sz w:val="24"/>
          <w:szCs w:val="24"/>
          <w:lang w:val="en-US"/>
        </w:rPr>
        <w:t>’s</w:t>
      </w:r>
      <w:r w:rsidR="005A2F83">
        <w:rPr>
          <w:rFonts w:ascii="Arial" w:hAnsi="Arial" w:cs="Arial"/>
          <w:i/>
          <w:iCs/>
          <w:sz w:val="24"/>
          <w:szCs w:val="24"/>
          <w:lang w:val="en-US"/>
        </w:rPr>
        <w:t xml:space="preserve"> </w:t>
      </w:r>
      <w:r w:rsidR="0087351F" w:rsidRPr="009755DB">
        <w:rPr>
          <w:rFonts w:ascii="Arial" w:hAnsi="Arial" w:cs="Arial"/>
          <w:sz w:val="24"/>
          <w:szCs w:val="24"/>
          <w:lang w:val="en-US"/>
        </w:rPr>
        <w:t>case</w:t>
      </w:r>
      <w:r w:rsidR="00C00993" w:rsidRPr="00415938">
        <w:rPr>
          <w:rFonts w:ascii="Arial" w:hAnsi="Arial" w:cs="Arial"/>
          <w:sz w:val="24"/>
          <w:szCs w:val="24"/>
          <w:lang w:val="en-US"/>
        </w:rPr>
        <w:t>:</w:t>
      </w:r>
    </w:p>
    <w:p w14:paraId="15F051CE" w14:textId="599B73F3" w:rsidR="00E47F5D" w:rsidRDefault="00ED6C46" w:rsidP="005A2F83">
      <w:pPr>
        <w:spacing w:after="0" w:line="360" w:lineRule="auto"/>
        <w:ind w:left="851"/>
        <w:jc w:val="both"/>
        <w:rPr>
          <w:rFonts w:ascii="Arial" w:hAnsi="Arial" w:cs="Arial"/>
          <w:lang w:val="en-US"/>
        </w:rPr>
      </w:pPr>
      <w:r w:rsidRPr="009755DB">
        <w:rPr>
          <w:rFonts w:ascii="Arial" w:hAnsi="Arial" w:cs="Arial"/>
          <w:lang w:val="en-US"/>
        </w:rPr>
        <w:t>“</w:t>
      </w:r>
      <w:r w:rsidR="00943580" w:rsidRPr="009755DB">
        <w:rPr>
          <w:rFonts w:ascii="Arial" w:hAnsi="Arial" w:cs="Arial"/>
          <w:lang w:val="en-US"/>
        </w:rPr>
        <w:t>[H]</w:t>
      </w:r>
      <w:r w:rsidRPr="009755DB">
        <w:rPr>
          <w:rFonts w:ascii="Arial" w:hAnsi="Arial" w:cs="Arial"/>
          <w:lang w:val="en-US"/>
        </w:rPr>
        <w:t>ad</w:t>
      </w:r>
      <w:r w:rsidR="00315A26" w:rsidRPr="009755DB">
        <w:rPr>
          <w:rFonts w:ascii="Arial" w:hAnsi="Arial" w:cs="Arial"/>
          <w:lang w:val="en-US"/>
        </w:rPr>
        <w:t xml:space="preserve"> purchased the vehicle in question from a car dealership at the instance of the respondent for the purpose of being able to sell it on to the respondent in terms of the installment sale agreement.</w:t>
      </w:r>
      <w:r w:rsidR="00A94EFB" w:rsidRPr="009755DB">
        <w:rPr>
          <w:rFonts w:ascii="Arial" w:hAnsi="Arial" w:cs="Arial"/>
          <w:lang w:val="en-US"/>
        </w:rPr>
        <w:t xml:space="preserve"> </w:t>
      </w:r>
      <w:r w:rsidR="00694670" w:rsidRPr="009755DB">
        <w:rPr>
          <w:rFonts w:ascii="Arial" w:hAnsi="Arial" w:cs="Arial"/>
          <w:lang w:val="en-US"/>
        </w:rPr>
        <w:t xml:space="preserve">The instalment sale agreement is a credit agreement within the meaning of the NCA. </w:t>
      </w:r>
      <w:r w:rsidR="00941826" w:rsidRPr="009755DB">
        <w:rPr>
          <w:rFonts w:ascii="Arial" w:hAnsi="Arial" w:cs="Arial"/>
          <w:lang w:val="en-US"/>
        </w:rPr>
        <w:t>The applicant’s real role in the sale of the v</w:t>
      </w:r>
      <w:r w:rsidR="00945A63" w:rsidRPr="009755DB">
        <w:rPr>
          <w:rFonts w:ascii="Arial" w:hAnsi="Arial" w:cs="Arial"/>
          <w:lang w:val="en-US"/>
        </w:rPr>
        <w:t xml:space="preserve">ehicle </w:t>
      </w:r>
      <w:r w:rsidR="00941826" w:rsidRPr="009755DB">
        <w:rPr>
          <w:rFonts w:ascii="Arial" w:hAnsi="Arial" w:cs="Arial"/>
          <w:lang w:val="en-US"/>
        </w:rPr>
        <w:t>was thus one of credit provider, and not one of supplier of the goods in question. It is therefore unsurprising that the agreement between the applicant and the respondent expressly excluded any warranty by the applicant as to the condition of the v</w:t>
      </w:r>
      <w:r w:rsidR="00945A63" w:rsidRPr="009755DB">
        <w:rPr>
          <w:rFonts w:ascii="Arial" w:hAnsi="Arial" w:cs="Arial"/>
          <w:lang w:val="en-US"/>
        </w:rPr>
        <w:t xml:space="preserve">ehicle </w:t>
      </w:r>
      <w:r w:rsidR="00941826" w:rsidRPr="009755DB">
        <w:rPr>
          <w:rFonts w:ascii="Arial" w:hAnsi="Arial" w:cs="Arial"/>
          <w:lang w:val="en-US"/>
        </w:rPr>
        <w:t xml:space="preserve">selected by the respondent. </w:t>
      </w:r>
      <w:r w:rsidR="00A94EFB" w:rsidRPr="009755DB">
        <w:rPr>
          <w:rFonts w:ascii="Arial" w:hAnsi="Arial" w:cs="Arial"/>
          <w:lang w:val="en-US"/>
        </w:rPr>
        <w:t>The respondent had nevertheless returned the vehicle to the applicant on or about 30 August 2012 because he had become dissatisfied with it on account of its allegedly defective condition</w:t>
      </w:r>
      <w:r w:rsidR="00943580">
        <w:rPr>
          <w:rFonts w:ascii="Arial" w:hAnsi="Arial" w:cs="Arial"/>
          <w:lang w:val="en-US"/>
        </w:rPr>
        <w:t>…</w:t>
      </w:r>
    </w:p>
    <w:p w14:paraId="757EC17E" w14:textId="77777777" w:rsidR="005A2F83" w:rsidRPr="009755DB" w:rsidRDefault="005A2F83" w:rsidP="005A2F83">
      <w:pPr>
        <w:spacing w:after="0" w:line="360" w:lineRule="auto"/>
        <w:ind w:left="851"/>
        <w:jc w:val="both"/>
        <w:rPr>
          <w:rFonts w:ascii="Arial" w:hAnsi="Arial" w:cs="Arial"/>
          <w:lang w:val="en-US"/>
        </w:rPr>
      </w:pPr>
    </w:p>
    <w:p w14:paraId="580D29DB" w14:textId="4F4E35AF" w:rsidR="00152B22" w:rsidRPr="009755DB" w:rsidRDefault="00A94EFB" w:rsidP="005A2F83">
      <w:pPr>
        <w:spacing w:after="0" w:line="360" w:lineRule="auto"/>
        <w:ind w:left="851"/>
        <w:jc w:val="both"/>
        <w:rPr>
          <w:rFonts w:ascii="Arial" w:hAnsi="Arial" w:cs="Arial"/>
          <w:lang w:val="en-US"/>
        </w:rPr>
      </w:pPr>
      <w:r w:rsidRPr="009755DB">
        <w:rPr>
          <w:rFonts w:ascii="Arial" w:hAnsi="Arial" w:cs="Arial"/>
          <w:lang w:val="en-US"/>
        </w:rPr>
        <w:t>The applicant wishes to deal with the return of the vehicle in terms of s127 of the NCAA</w:t>
      </w:r>
      <w:r w:rsidR="00AB27C0" w:rsidRPr="009755DB">
        <w:rPr>
          <w:rFonts w:ascii="Arial" w:hAnsi="Arial" w:cs="Arial"/>
          <w:lang w:val="en-US"/>
        </w:rPr>
        <w:t>…</w:t>
      </w:r>
      <w:r w:rsidRPr="009755DB">
        <w:rPr>
          <w:rFonts w:ascii="Arial" w:hAnsi="Arial" w:cs="Arial"/>
          <w:lang w:val="en-US"/>
        </w:rPr>
        <w:t xml:space="preserve">The effect of the court </w:t>
      </w:r>
      <w:r w:rsidR="00AB27C0" w:rsidRPr="009755DB">
        <w:rPr>
          <w:rFonts w:ascii="Arial" w:hAnsi="Arial" w:cs="Arial"/>
          <w:lang w:val="en-US"/>
        </w:rPr>
        <w:t>acceding</w:t>
      </w:r>
      <w:r w:rsidRPr="009755DB">
        <w:rPr>
          <w:rFonts w:ascii="Arial" w:hAnsi="Arial" w:cs="Arial"/>
          <w:lang w:val="en-US"/>
        </w:rPr>
        <w:t xml:space="preserve"> to this would</w:t>
      </w:r>
      <w:r w:rsidR="00AB27C0" w:rsidRPr="009755DB">
        <w:rPr>
          <w:rFonts w:ascii="Arial" w:hAnsi="Arial" w:cs="Arial"/>
          <w:lang w:val="en-US"/>
        </w:rPr>
        <w:t xml:space="preserve"> be </w:t>
      </w:r>
      <w:r w:rsidRPr="009755DB">
        <w:rPr>
          <w:rFonts w:ascii="Arial" w:hAnsi="Arial" w:cs="Arial"/>
          <w:lang w:val="en-US"/>
        </w:rPr>
        <w:t xml:space="preserve">that the vehicle would be </w:t>
      </w:r>
      <w:r w:rsidR="005A2F83" w:rsidRPr="009755DB">
        <w:rPr>
          <w:rFonts w:ascii="Arial" w:hAnsi="Arial" w:cs="Arial"/>
          <w:lang w:val="en-US"/>
        </w:rPr>
        <w:t>sold,</w:t>
      </w:r>
      <w:r w:rsidRPr="009755DB">
        <w:rPr>
          <w:rFonts w:ascii="Arial" w:hAnsi="Arial" w:cs="Arial"/>
          <w:lang w:val="en-US"/>
        </w:rPr>
        <w:t xml:space="preserve"> and the proceeds credited in reduction of the amount owed by the respondent</w:t>
      </w:r>
      <w:r w:rsidR="0074525F" w:rsidRPr="009755DB">
        <w:rPr>
          <w:rFonts w:ascii="Arial" w:hAnsi="Arial" w:cs="Arial"/>
          <w:lang w:val="en-US"/>
        </w:rPr>
        <w:t xml:space="preserve"> to the applicant in terms of the aforementioned instalment sale agreement.</w:t>
      </w:r>
      <w:r w:rsidRPr="009755DB">
        <w:rPr>
          <w:rFonts w:ascii="Arial" w:hAnsi="Arial" w:cs="Arial"/>
          <w:lang w:val="en-US"/>
        </w:rPr>
        <w:t xml:space="preserve"> The respondent on the other hand appears to consider that consenting to such a cause and not opposing the current application would compromise what he considers to be his rights in terms of </w:t>
      </w:r>
      <w:r w:rsidR="0074525F" w:rsidRPr="009755DB">
        <w:rPr>
          <w:rFonts w:ascii="Arial" w:hAnsi="Arial" w:cs="Arial"/>
          <w:lang w:val="en-US"/>
        </w:rPr>
        <w:t>Part</w:t>
      </w:r>
      <w:r w:rsidRPr="009755DB">
        <w:rPr>
          <w:rFonts w:ascii="Arial" w:hAnsi="Arial" w:cs="Arial"/>
          <w:lang w:val="en-US"/>
        </w:rPr>
        <w:t xml:space="preserve"> H of chap</w:t>
      </w:r>
      <w:r w:rsidR="0066494D">
        <w:rPr>
          <w:rFonts w:ascii="Arial" w:hAnsi="Arial" w:cs="Arial"/>
          <w:lang w:val="en-US"/>
        </w:rPr>
        <w:t>.</w:t>
      </w:r>
      <w:r w:rsidRPr="009755DB">
        <w:rPr>
          <w:rFonts w:ascii="Arial" w:hAnsi="Arial" w:cs="Arial"/>
          <w:lang w:val="en-US"/>
        </w:rPr>
        <w:t xml:space="preserve"> 2 of the Consumer Protection Act</w:t>
      </w:r>
      <w:r w:rsidR="00E6302E" w:rsidRPr="009755DB">
        <w:rPr>
          <w:rFonts w:ascii="Arial" w:hAnsi="Arial" w:cs="Arial"/>
          <w:lang w:val="en-US"/>
        </w:rPr>
        <w:t xml:space="preserve"> 68 of 2008</w:t>
      </w:r>
      <w:r w:rsidR="0066494D">
        <w:rPr>
          <w:rFonts w:ascii="Arial" w:hAnsi="Arial" w:cs="Arial"/>
          <w:lang w:val="en-US"/>
        </w:rPr>
        <w:t>(‘the CPA’)</w:t>
      </w:r>
      <w:r w:rsidRPr="009755DB">
        <w:rPr>
          <w:rFonts w:ascii="Arial" w:hAnsi="Arial" w:cs="Arial"/>
          <w:lang w:val="en-US"/>
        </w:rPr>
        <w:t xml:space="preserve">. He maintains that he returned the vehicle to the applicant in exercise of his rights in terms of s </w:t>
      </w:r>
      <w:r w:rsidR="00B631F2" w:rsidRPr="009755DB">
        <w:rPr>
          <w:rFonts w:ascii="Arial" w:hAnsi="Arial" w:cs="Arial"/>
          <w:lang w:val="en-US"/>
        </w:rPr>
        <w:t>56(2)</w:t>
      </w:r>
      <w:r w:rsidRPr="009755DB">
        <w:rPr>
          <w:rFonts w:ascii="Arial" w:hAnsi="Arial" w:cs="Arial"/>
          <w:lang w:val="en-US"/>
        </w:rPr>
        <w:t xml:space="preserve"> of the CPA</w:t>
      </w:r>
      <w:r w:rsidR="00F80438">
        <w:rPr>
          <w:rFonts w:ascii="Arial" w:hAnsi="Arial" w:cs="Arial"/>
          <w:lang w:val="en-US"/>
        </w:rPr>
        <w:t>…</w:t>
      </w:r>
      <w:r w:rsidR="00E6302E" w:rsidRPr="009755DB">
        <w:rPr>
          <w:rFonts w:ascii="Arial" w:hAnsi="Arial" w:cs="Arial"/>
          <w:lang w:val="en-US"/>
        </w:rPr>
        <w:t>”</w:t>
      </w:r>
      <w:r w:rsidR="00E6302E" w:rsidRPr="009755DB">
        <w:rPr>
          <w:rStyle w:val="FootnoteReference"/>
          <w:rFonts w:ascii="Arial" w:hAnsi="Arial" w:cs="Arial"/>
          <w:lang w:val="en-US"/>
        </w:rPr>
        <w:footnoteReference w:id="10"/>
      </w:r>
    </w:p>
    <w:p w14:paraId="0E4F8AB3" w14:textId="77777777" w:rsidR="00936D92" w:rsidRPr="009755DB" w:rsidRDefault="00936D92" w:rsidP="009755DB">
      <w:pPr>
        <w:pStyle w:val="ListParagraph"/>
        <w:spacing w:line="360" w:lineRule="auto"/>
        <w:rPr>
          <w:rFonts w:ascii="Arial" w:hAnsi="Arial" w:cs="Arial"/>
          <w:lang w:val="en-US"/>
        </w:rPr>
      </w:pPr>
    </w:p>
    <w:p w14:paraId="01BFF829" w14:textId="3995B2D9" w:rsidR="00223DB2" w:rsidRDefault="00E109FF" w:rsidP="005A2F83">
      <w:pPr>
        <w:spacing w:after="0" w:line="360" w:lineRule="auto"/>
        <w:jc w:val="both"/>
        <w:rPr>
          <w:rFonts w:ascii="Arial" w:hAnsi="Arial" w:cs="Arial"/>
          <w:sz w:val="24"/>
          <w:szCs w:val="24"/>
          <w:lang w:val="en-US"/>
        </w:rPr>
      </w:pPr>
      <w:r>
        <w:rPr>
          <w:rFonts w:ascii="Arial" w:hAnsi="Arial" w:cs="Arial"/>
          <w:sz w:val="24"/>
          <w:szCs w:val="24"/>
          <w:lang w:val="en-US"/>
        </w:rPr>
        <w:t>[1</w:t>
      </w:r>
      <w:r w:rsidR="00C11D4B">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152B22" w:rsidRPr="009755DB">
        <w:rPr>
          <w:rFonts w:ascii="Arial" w:hAnsi="Arial" w:cs="Arial"/>
          <w:sz w:val="24"/>
          <w:szCs w:val="24"/>
          <w:lang w:val="en-US"/>
        </w:rPr>
        <w:t xml:space="preserve">The court in </w:t>
      </w:r>
      <w:r w:rsidR="00152B22" w:rsidRPr="009755DB">
        <w:rPr>
          <w:rFonts w:ascii="Arial" w:hAnsi="Arial" w:cs="Arial"/>
          <w:i/>
          <w:iCs/>
          <w:sz w:val="24"/>
          <w:szCs w:val="24"/>
          <w:lang w:val="en-US"/>
        </w:rPr>
        <w:t>Botha</w:t>
      </w:r>
      <w:r w:rsidR="00152B22" w:rsidRPr="009755DB">
        <w:rPr>
          <w:rFonts w:ascii="Arial" w:hAnsi="Arial" w:cs="Arial"/>
          <w:sz w:val="24"/>
          <w:szCs w:val="24"/>
          <w:lang w:val="en-US"/>
        </w:rPr>
        <w:t xml:space="preserve"> chose a middle</w:t>
      </w:r>
      <w:r w:rsidR="00F42998" w:rsidRPr="009755DB">
        <w:rPr>
          <w:rFonts w:ascii="Arial" w:hAnsi="Arial" w:cs="Arial"/>
          <w:sz w:val="24"/>
          <w:szCs w:val="24"/>
          <w:lang w:val="en-US"/>
        </w:rPr>
        <w:t>-</w:t>
      </w:r>
      <w:r w:rsidR="00152B22" w:rsidRPr="009755DB">
        <w:rPr>
          <w:rFonts w:ascii="Arial" w:hAnsi="Arial" w:cs="Arial"/>
          <w:sz w:val="24"/>
          <w:szCs w:val="24"/>
          <w:lang w:val="en-US"/>
        </w:rPr>
        <w:t>of</w:t>
      </w:r>
      <w:r w:rsidR="00F42998" w:rsidRPr="009755DB">
        <w:rPr>
          <w:rFonts w:ascii="Arial" w:hAnsi="Arial" w:cs="Arial"/>
          <w:sz w:val="24"/>
          <w:szCs w:val="24"/>
          <w:lang w:val="en-US"/>
        </w:rPr>
        <w:t>-</w:t>
      </w:r>
      <w:r w:rsidR="00152B22" w:rsidRPr="009755DB">
        <w:rPr>
          <w:rFonts w:ascii="Arial" w:hAnsi="Arial" w:cs="Arial"/>
          <w:sz w:val="24"/>
          <w:szCs w:val="24"/>
          <w:lang w:val="en-US"/>
        </w:rPr>
        <w:t>the</w:t>
      </w:r>
      <w:r w:rsidR="00F42998" w:rsidRPr="009755DB">
        <w:rPr>
          <w:rFonts w:ascii="Arial" w:hAnsi="Arial" w:cs="Arial"/>
          <w:sz w:val="24"/>
          <w:szCs w:val="24"/>
          <w:lang w:val="en-US"/>
        </w:rPr>
        <w:t>-</w:t>
      </w:r>
      <w:r w:rsidR="00152B22" w:rsidRPr="009755DB">
        <w:rPr>
          <w:rFonts w:ascii="Arial" w:hAnsi="Arial" w:cs="Arial"/>
          <w:sz w:val="24"/>
          <w:szCs w:val="24"/>
          <w:lang w:val="en-US"/>
        </w:rPr>
        <w:t>road approach</w:t>
      </w:r>
      <w:r w:rsidR="005F658C" w:rsidRPr="009755DB">
        <w:rPr>
          <w:rFonts w:ascii="Arial" w:hAnsi="Arial" w:cs="Arial"/>
          <w:sz w:val="24"/>
          <w:szCs w:val="24"/>
          <w:lang w:val="en-US"/>
        </w:rPr>
        <w:t>. On the one hand</w:t>
      </w:r>
      <w:r w:rsidR="00A53FED" w:rsidRPr="009755DB">
        <w:rPr>
          <w:rFonts w:ascii="Arial" w:hAnsi="Arial" w:cs="Arial"/>
          <w:sz w:val="24"/>
          <w:szCs w:val="24"/>
          <w:lang w:val="en-US"/>
        </w:rPr>
        <w:t>,</w:t>
      </w:r>
      <w:r w:rsidR="005F658C" w:rsidRPr="009755DB">
        <w:rPr>
          <w:rFonts w:ascii="Arial" w:hAnsi="Arial" w:cs="Arial"/>
          <w:sz w:val="24"/>
          <w:szCs w:val="24"/>
          <w:lang w:val="en-US"/>
        </w:rPr>
        <w:t xml:space="preserve"> the </w:t>
      </w:r>
      <w:r w:rsidR="00B631F2" w:rsidRPr="009755DB">
        <w:rPr>
          <w:rFonts w:ascii="Arial" w:hAnsi="Arial" w:cs="Arial"/>
          <w:sz w:val="24"/>
          <w:szCs w:val="24"/>
          <w:lang w:val="en-US"/>
        </w:rPr>
        <w:t>court held</w:t>
      </w:r>
      <w:r w:rsidR="005F658C" w:rsidRPr="009755DB">
        <w:rPr>
          <w:rFonts w:ascii="Arial" w:hAnsi="Arial" w:cs="Arial"/>
          <w:sz w:val="24"/>
          <w:szCs w:val="24"/>
          <w:lang w:val="en-US"/>
        </w:rPr>
        <w:t xml:space="preserve"> that the NCA was excluded by s</w:t>
      </w:r>
      <w:r w:rsidR="00C7101C">
        <w:rPr>
          <w:rFonts w:ascii="Arial" w:hAnsi="Arial" w:cs="Arial"/>
          <w:sz w:val="24"/>
          <w:szCs w:val="24"/>
          <w:lang w:val="en-US"/>
        </w:rPr>
        <w:t>ection</w:t>
      </w:r>
      <w:r w:rsidR="005F658C" w:rsidRPr="009755DB">
        <w:rPr>
          <w:rFonts w:ascii="Arial" w:hAnsi="Arial" w:cs="Arial"/>
          <w:sz w:val="24"/>
          <w:szCs w:val="24"/>
          <w:lang w:val="en-US"/>
        </w:rPr>
        <w:t xml:space="preserve"> 5(2)(d) of the CPA and </w:t>
      </w:r>
      <w:r w:rsidR="00B631F2" w:rsidRPr="009755DB">
        <w:rPr>
          <w:rFonts w:ascii="Arial" w:hAnsi="Arial" w:cs="Arial"/>
          <w:sz w:val="24"/>
          <w:szCs w:val="24"/>
          <w:lang w:val="en-US"/>
        </w:rPr>
        <w:t>rejected the</w:t>
      </w:r>
      <w:r w:rsidR="00F42998" w:rsidRPr="009755DB">
        <w:rPr>
          <w:rFonts w:ascii="Arial" w:hAnsi="Arial" w:cs="Arial"/>
          <w:sz w:val="24"/>
          <w:szCs w:val="24"/>
          <w:lang w:val="en-US"/>
        </w:rPr>
        <w:t xml:space="preserve"> respondent’s submission that he was covered by s</w:t>
      </w:r>
      <w:r w:rsidR="00C7101C">
        <w:rPr>
          <w:rFonts w:ascii="Arial" w:hAnsi="Arial" w:cs="Arial"/>
          <w:sz w:val="24"/>
          <w:szCs w:val="24"/>
          <w:lang w:val="en-US"/>
        </w:rPr>
        <w:t>ection</w:t>
      </w:r>
      <w:r w:rsidR="00F42998" w:rsidRPr="009755DB">
        <w:rPr>
          <w:rFonts w:ascii="Arial" w:hAnsi="Arial" w:cs="Arial"/>
          <w:sz w:val="24"/>
          <w:szCs w:val="24"/>
          <w:lang w:val="en-US"/>
        </w:rPr>
        <w:t xml:space="preserve"> 56(2) of the CPA</w:t>
      </w:r>
      <w:r w:rsidR="00A53FED" w:rsidRPr="00CC1B93">
        <w:rPr>
          <w:rStyle w:val="FootnoteReference"/>
          <w:rFonts w:ascii="Arial" w:hAnsi="Arial" w:cs="Arial"/>
          <w:sz w:val="24"/>
          <w:szCs w:val="24"/>
          <w:lang w:val="en-US"/>
        </w:rPr>
        <w:footnoteReference w:id="11"/>
      </w:r>
      <w:r w:rsidR="00F42998" w:rsidRPr="009755DB">
        <w:rPr>
          <w:rFonts w:ascii="Arial" w:hAnsi="Arial" w:cs="Arial"/>
          <w:sz w:val="24"/>
          <w:szCs w:val="24"/>
          <w:lang w:val="en-US"/>
        </w:rPr>
        <w:t>.</w:t>
      </w:r>
      <w:r w:rsidR="005F658C" w:rsidRPr="009755DB">
        <w:rPr>
          <w:rFonts w:ascii="Arial" w:hAnsi="Arial" w:cs="Arial"/>
          <w:sz w:val="24"/>
          <w:szCs w:val="24"/>
          <w:lang w:val="en-US"/>
        </w:rPr>
        <w:t xml:space="preserve"> On the other hand</w:t>
      </w:r>
      <w:r w:rsidR="00D3386C" w:rsidRPr="009755DB">
        <w:rPr>
          <w:rFonts w:ascii="Arial" w:hAnsi="Arial" w:cs="Arial"/>
          <w:sz w:val="24"/>
          <w:szCs w:val="24"/>
          <w:lang w:val="en-US"/>
        </w:rPr>
        <w:t>,</w:t>
      </w:r>
      <w:r w:rsidR="005F658C" w:rsidRPr="009755DB">
        <w:rPr>
          <w:rFonts w:ascii="Arial" w:hAnsi="Arial" w:cs="Arial"/>
          <w:sz w:val="24"/>
          <w:szCs w:val="24"/>
          <w:lang w:val="en-US"/>
        </w:rPr>
        <w:t xml:space="preserve"> </w:t>
      </w:r>
      <w:r w:rsidR="0051632B" w:rsidRPr="009755DB">
        <w:rPr>
          <w:rFonts w:ascii="Arial" w:hAnsi="Arial" w:cs="Arial"/>
          <w:sz w:val="24"/>
          <w:szCs w:val="24"/>
          <w:lang w:val="en-US"/>
        </w:rPr>
        <w:t>the court held that the applicant had not complied with the provisions of s</w:t>
      </w:r>
      <w:r w:rsidR="00AD2648">
        <w:rPr>
          <w:rFonts w:ascii="Arial" w:hAnsi="Arial" w:cs="Arial"/>
          <w:sz w:val="24"/>
          <w:szCs w:val="24"/>
          <w:lang w:val="en-US"/>
        </w:rPr>
        <w:t>ection</w:t>
      </w:r>
      <w:r w:rsidR="0051632B" w:rsidRPr="009755DB">
        <w:rPr>
          <w:rFonts w:ascii="Arial" w:hAnsi="Arial" w:cs="Arial"/>
          <w:sz w:val="24"/>
          <w:szCs w:val="24"/>
          <w:lang w:val="en-US"/>
        </w:rPr>
        <w:t xml:space="preserve"> 129(1) and a</w:t>
      </w:r>
      <w:r w:rsidR="00C67738" w:rsidRPr="009755DB">
        <w:rPr>
          <w:rFonts w:ascii="Arial" w:hAnsi="Arial" w:cs="Arial"/>
          <w:sz w:val="24"/>
          <w:szCs w:val="24"/>
          <w:lang w:val="en-US"/>
        </w:rPr>
        <w:t xml:space="preserve">djourned the matter </w:t>
      </w:r>
      <w:r w:rsidR="00C67738" w:rsidRPr="009755DB">
        <w:rPr>
          <w:rFonts w:ascii="Arial" w:hAnsi="Arial" w:cs="Arial"/>
          <w:i/>
          <w:iCs/>
          <w:sz w:val="24"/>
          <w:szCs w:val="24"/>
          <w:lang w:val="en-US"/>
        </w:rPr>
        <w:t>sine die</w:t>
      </w:r>
      <w:r w:rsidR="00C67738" w:rsidRPr="009755DB">
        <w:rPr>
          <w:rFonts w:ascii="Arial" w:hAnsi="Arial" w:cs="Arial"/>
          <w:sz w:val="24"/>
          <w:szCs w:val="24"/>
          <w:lang w:val="en-US"/>
        </w:rPr>
        <w:t xml:space="preserve"> pending the compliance with</w:t>
      </w:r>
      <w:r w:rsidR="00C7101C">
        <w:rPr>
          <w:rFonts w:ascii="Arial" w:hAnsi="Arial" w:cs="Arial"/>
          <w:sz w:val="24"/>
          <w:szCs w:val="24"/>
          <w:lang w:val="en-US"/>
        </w:rPr>
        <w:t xml:space="preserve"> section</w:t>
      </w:r>
      <w:r w:rsidR="00C67738" w:rsidRPr="009755DB">
        <w:rPr>
          <w:rFonts w:ascii="Arial" w:hAnsi="Arial" w:cs="Arial"/>
          <w:sz w:val="24"/>
          <w:szCs w:val="24"/>
          <w:lang w:val="en-US"/>
        </w:rPr>
        <w:t xml:space="preserve"> 129(1) of the NCA.</w:t>
      </w:r>
      <w:r w:rsidR="00621EA8">
        <w:rPr>
          <w:rStyle w:val="FootnoteReference"/>
          <w:rFonts w:ascii="Arial" w:hAnsi="Arial" w:cs="Arial"/>
          <w:sz w:val="24"/>
          <w:szCs w:val="24"/>
          <w:lang w:val="en-US"/>
        </w:rPr>
        <w:footnoteReference w:id="12"/>
      </w:r>
    </w:p>
    <w:p w14:paraId="3F172A7E" w14:textId="77777777" w:rsidR="005A2F83" w:rsidRPr="00CC1B93" w:rsidRDefault="005A2F83" w:rsidP="005A2F83">
      <w:pPr>
        <w:spacing w:after="0" w:line="360" w:lineRule="auto"/>
        <w:jc w:val="both"/>
        <w:rPr>
          <w:rFonts w:ascii="Arial" w:hAnsi="Arial" w:cs="Arial"/>
          <w:sz w:val="24"/>
          <w:szCs w:val="24"/>
          <w:lang w:val="en-US"/>
        </w:rPr>
      </w:pPr>
    </w:p>
    <w:p w14:paraId="1A040C05" w14:textId="04C96457" w:rsidR="006E7755" w:rsidRDefault="00E109FF" w:rsidP="005A2F83">
      <w:pPr>
        <w:spacing w:after="0" w:line="360" w:lineRule="auto"/>
        <w:jc w:val="both"/>
        <w:rPr>
          <w:rFonts w:ascii="Arial" w:hAnsi="Arial" w:cs="Arial"/>
          <w:sz w:val="24"/>
          <w:szCs w:val="24"/>
          <w:lang w:val="en-US"/>
        </w:rPr>
      </w:pPr>
      <w:r>
        <w:rPr>
          <w:rFonts w:ascii="Arial" w:hAnsi="Arial" w:cs="Arial"/>
          <w:sz w:val="24"/>
          <w:szCs w:val="24"/>
          <w:lang w:val="en-US"/>
        </w:rPr>
        <w:t>[</w:t>
      </w:r>
      <w:r w:rsidR="00C11D4B">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r>
      <w:r w:rsidR="006B417E">
        <w:rPr>
          <w:rFonts w:ascii="Arial" w:hAnsi="Arial" w:cs="Arial"/>
          <w:sz w:val="24"/>
          <w:szCs w:val="24"/>
          <w:lang w:val="en-US"/>
        </w:rPr>
        <w:t xml:space="preserve">In </w:t>
      </w:r>
      <w:r w:rsidR="006B417E" w:rsidRPr="006B417E">
        <w:rPr>
          <w:rFonts w:ascii="Arial" w:hAnsi="Arial" w:cs="Arial"/>
          <w:i/>
          <w:iCs/>
          <w:sz w:val="24"/>
          <w:szCs w:val="24"/>
          <w:lang w:val="en-US"/>
        </w:rPr>
        <w:t>casu</w:t>
      </w:r>
      <w:r w:rsidR="006B417E">
        <w:rPr>
          <w:rFonts w:ascii="Arial" w:hAnsi="Arial" w:cs="Arial"/>
          <w:sz w:val="24"/>
          <w:szCs w:val="24"/>
          <w:lang w:val="en-US"/>
        </w:rPr>
        <w:t xml:space="preserve">, </w:t>
      </w:r>
      <w:r w:rsidR="00C67738" w:rsidRPr="009755DB">
        <w:rPr>
          <w:rFonts w:ascii="Arial" w:hAnsi="Arial" w:cs="Arial"/>
          <w:sz w:val="24"/>
          <w:szCs w:val="24"/>
          <w:lang w:val="en-US"/>
        </w:rPr>
        <w:t>Counsel, accordingly</w:t>
      </w:r>
      <w:r w:rsidR="006B417E">
        <w:rPr>
          <w:rFonts w:ascii="Arial" w:hAnsi="Arial" w:cs="Arial"/>
          <w:sz w:val="24"/>
          <w:szCs w:val="24"/>
          <w:lang w:val="en-US"/>
        </w:rPr>
        <w:t xml:space="preserve">, </w:t>
      </w:r>
      <w:r w:rsidR="00C67738" w:rsidRPr="009755DB">
        <w:rPr>
          <w:rFonts w:ascii="Arial" w:hAnsi="Arial" w:cs="Arial"/>
          <w:sz w:val="24"/>
          <w:szCs w:val="24"/>
          <w:lang w:val="en-US"/>
        </w:rPr>
        <w:t xml:space="preserve">submitted that the </w:t>
      </w:r>
      <w:r w:rsidR="00601AA6" w:rsidRPr="009755DB">
        <w:rPr>
          <w:rFonts w:ascii="Arial" w:hAnsi="Arial" w:cs="Arial"/>
          <w:sz w:val="24"/>
          <w:szCs w:val="24"/>
          <w:lang w:val="en-US"/>
        </w:rPr>
        <w:t>defendant did not enjoy the protection under s</w:t>
      </w:r>
      <w:r w:rsidR="00C7101C">
        <w:rPr>
          <w:rFonts w:ascii="Arial" w:hAnsi="Arial" w:cs="Arial"/>
          <w:sz w:val="24"/>
          <w:szCs w:val="24"/>
          <w:lang w:val="en-US"/>
        </w:rPr>
        <w:t>ection</w:t>
      </w:r>
      <w:r w:rsidR="00601AA6" w:rsidRPr="009755DB">
        <w:rPr>
          <w:rFonts w:ascii="Arial" w:hAnsi="Arial" w:cs="Arial"/>
          <w:sz w:val="24"/>
          <w:szCs w:val="24"/>
          <w:lang w:val="en-US"/>
        </w:rPr>
        <w:t xml:space="preserve"> 56(2)(d) of the CPA. </w:t>
      </w:r>
    </w:p>
    <w:p w14:paraId="188A4C1F" w14:textId="77777777" w:rsidR="006E7755" w:rsidRDefault="006E7755">
      <w:pPr>
        <w:spacing w:after="0" w:line="360" w:lineRule="auto"/>
        <w:jc w:val="both"/>
        <w:rPr>
          <w:rFonts w:ascii="Arial" w:hAnsi="Arial" w:cs="Arial"/>
          <w:sz w:val="24"/>
          <w:szCs w:val="24"/>
          <w:lang w:val="en-US"/>
        </w:rPr>
      </w:pPr>
    </w:p>
    <w:p w14:paraId="1930938C" w14:textId="4B5818D9" w:rsidR="00936D92" w:rsidRPr="005A2F83" w:rsidRDefault="006E7755" w:rsidP="005A2F83">
      <w:pPr>
        <w:spacing w:after="0" w:line="360" w:lineRule="auto"/>
        <w:ind w:firstLine="720"/>
        <w:jc w:val="both"/>
        <w:rPr>
          <w:rFonts w:ascii="Arial" w:hAnsi="Arial" w:cs="Arial"/>
          <w:i/>
          <w:iCs/>
          <w:sz w:val="24"/>
          <w:szCs w:val="24"/>
          <w:lang w:val="en-US"/>
        </w:rPr>
      </w:pPr>
      <w:r w:rsidRPr="009755DB">
        <w:rPr>
          <w:rFonts w:ascii="Arial" w:hAnsi="Arial" w:cs="Arial"/>
          <w:i/>
          <w:iCs/>
          <w:sz w:val="24"/>
          <w:szCs w:val="24"/>
          <w:lang w:val="en-US"/>
        </w:rPr>
        <w:t>Counsel for the defendant’s submissions.</w:t>
      </w:r>
    </w:p>
    <w:p w14:paraId="5B243A23" w14:textId="4A8B35B0" w:rsidR="00D10275" w:rsidRDefault="00E109FF" w:rsidP="00621EA8">
      <w:pPr>
        <w:spacing w:after="0" w:line="360" w:lineRule="auto"/>
        <w:jc w:val="both"/>
        <w:rPr>
          <w:rFonts w:ascii="Arial" w:hAnsi="Arial" w:cs="Arial"/>
          <w:sz w:val="24"/>
          <w:szCs w:val="24"/>
          <w:lang w:val="en-US"/>
        </w:rPr>
      </w:pPr>
      <w:r>
        <w:rPr>
          <w:rFonts w:ascii="Arial" w:hAnsi="Arial" w:cs="Arial"/>
          <w:sz w:val="24"/>
          <w:szCs w:val="24"/>
          <w:lang w:val="en-US"/>
        </w:rPr>
        <w:t>[</w:t>
      </w:r>
      <w:r w:rsidR="00C11D4B">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r>
      <w:r w:rsidR="00601AA6" w:rsidRPr="009755DB">
        <w:rPr>
          <w:rFonts w:ascii="Arial" w:hAnsi="Arial" w:cs="Arial"/>
          <w:sz w:val="24"/>
          <w:szCs w:val="24"/>
          <w:lang w:val="en-US"/>
        </w:rPr>
        <w:t>The defendant</w:t>
      </w:r>
      <w:r w:rsidR="006E7755">
        <w:rPr>
          <w:rFonts w:ascii="Arial" w:hAnsi="Arial" w:cs="Arial"/>
          <w:sz w:val="24"/>
          <w:szCs w:val="24"/>
          <w:lang w:val="en-US"/>
        </w:rPr>
        <w:t xml:space="preserve">’s counsel </w:t>
      </w:r>
      <w:r w:rsidR="00867351" w:rsidRPr="009755DB">
        <w:rPr>
          <w:rFonts w:ascii="Arial" w:hAnsi="Arial" w:cs="Arial"/>
          <w:sz w:val="24"/>
          <w:szCs w:val="24"/>
          <w:lang w:val="en-US"/>
        </w:rPr>
        <w:t xml:space="preserve">submitted that </w:t>
      </w:r>
      <w:r w:rsidR="00867351" w:rsidRPr="009755DB">
        <w:rPr>
          <w:rFonts w:ascii="Arial" w:hAnsi="Arial" w:cs="Arial"/>
          <w:i/>
          <w:iCs/>
          <w:sz w:val="24"/>
          <w:szCs w:val="24"/>
          <w:lang w:val="en-US"/>
        </w:rPr>
        <w:t>Botha</w:t>
      </w:r>
      <w:r w:rsidR="00595EC2" w:rsidRPr="009755DB">
        <w:rPr>
          <w:rFonts w:ascii="Arial" w:hAnsi="Arial" w:cs="Arial"/>
          <w:sz w:val="24"/>
          <w:szCs w:val="24"/>
          <w:lang w:val="en-US"/>
        </w:rPr>
        <w:t>’s</w:t>
      </w:r>
      <w:r w:rsidR="00867351" w:rsidRPr="009755DB">
        <w:rPr>
          <w:rFonts w:ascii="Arial" w:hAnsi="Arial" w:cs="Arial"/>
          <w:sz w:val="24"/>
          <w:szCs w:val="24"/>
          <w:lang w:val="en-US"/>
        </w:rPr>
        <w:t xml:space="preserve"> case elicited major disquiet amongst the ranks of academia. She referred the court to a</w:t>
      </w:r>
      <w:r w:rsidR="002E249B" w:rsidRPr="009755DB">
        <w:rPr>
          <w:rFonts w:ascii="Arial" w:hAnsi="Arial" w:cs="Arial"/>
          <w:sz w:val="24"/>
          <w:szCs w:val="24"/>
          <w:lang w:val="en-US"/>
        </w:rPr>
        <w:t xml:space="preserve"> joint</w:t>
      </w:r>
      <w:r w:rsidR="00867351" w:rsidRPr="009755DB">
        <w:rPr>
          <w:rFonts w:ascii="Arial" w:hAnsi="Arial" w:cs="Arial"/>
          <w:sz w:val="24"/>
          <w:szCs w:val="24"/>
          <w:lang w:val="en-US"/>
        </w:rPr>
        <w:t xml:space="preserve"> academic </w:t>
      </w:r>
      <w:r w:rsidR="002E249B" w:rsidRPr="009755DB">
        <w:rPr>
          <w:rFonts w:ascii="Arial" w:hAnsi="Arial" w:cs="Arial"/>
          <w:sz w:val="24"/>
          <w:szCs w:val="24"/>
          <w:lang w:val="en-US"/>
        </w:rPr>
        <w:t>paper penned by</w:t>
      </w:r>
      <w:r w:rsidR="004A3846" w:rsidRPr="009755DB">
        <w:rPr>
          <w:rFonts w:ascii="Arial" w:hAnsi="Arial" w:cs="Arial"/>
          <w:sz w:val="24"/>
          <w:szCs w:val="24"/>
          <w:lang w:val="en-US"/>
        </w:rPr>
        <w:t xml:space="preserve"> </w:t>
      </w:r>
      <w:r w:rsidR="002E249B" w:rsidRPr="009755DB">
        <w:rPr>
          <w:rFonts w:ascii="Arial" w:hAnsi="Arial" w:cs="Arial"/>
          <w:sz w:val="24"/>
          <w:szCs w:val="24"/>
          <w:lang w:val="en-US"/>
        </w:rPr>
        <w:t xml:space="preserve">Professor </w:t>
      </w:r>
      <w:r w:rsidR="004A3846" w:rsidRPr="009755DB">
        <w:rPr>
          <w:rFonts w:ascii="Arial" w:hAnsi="Arial" w:cs="Arial"/>
          <w:sz w:val="24"/>
          <w:szCs w:val="24"/>
          <w:lang w:val="en-US"/>
        </w:rPr>
        <w:t>J</w:t>
      </w:r>
      <w:r w:rsidR="002E249B" w:rsidRPr="009755DB">
        <w:rPr>
          <w:rFonts w:ascii="Arial" w:hAnsi="Arial" w:cs="Arial"/>
          <w:sz w:val="24"/>
          <w:szCs w:val="24"/>
          <w:lang w:val="en-US"/>
        </w:rPr>
        <w:t xml:space="preserve">annie Otto of </w:t>
      </w:r>
      <w:r w:rsidR="00FB7F92" w:rsidRPr="009755DB">
        <w:rPr>
          <w:rFonts w:ascii="Arial" w:hAnsi="Arial" w:cs="Arial"/>
          <w:sz w:val="24"/>
          <w:szCs w:val="24"/>
          <w:lang w:val="en-US"/>
        </w:rPr>
        <w:t xml:space="preserve">the </w:t>
      </w:r>
      <w:r w:rsidR="002E249B" w:rsidRPr="009755DB">
        <w:rPr>
          <w:rFonts w:ascii="Arial" w:hAnsi="Arial" w:cs="Arial"/>
          <w:sz w:val="24"/>
          <w:szCs w:val="24"/>
          <w:lang w:val="en-US"/>
        </w:rPr>
        <w:t xml:space="preserve">University of </w:t>
      </w:r>
      <w:r w:rsidR="000F563B" w:rsidRPr="009755DB">
        <w:rPr>
          <w:rFonts w:ascii="Arial" w:hAnsi="Arial" w:cs="Arial"/>
          <w:sz w:val="24"/>
          <w:szCs w:val="24"/>
          <w:lang w:val="en-US"/>
        </w:rPr>
        <w:t xml:space="preserve">Johannesburg, Professor Corlia M Van Hieerden of </w:t>
      </w:r>
      <w:r w:rsidR="00FB7F92" w:rsidRPr="009755DB">
        <w:rPr>
          <w:rFonts w:ascii="Arial" w:hAnsi="Arial" w:cs="Arial"/>
          <w:sz w:val="24"/>
          <w:szCs w:val="24"/>
          <w:lang w:val="en-US"/>
        </w:rPr>
        <w:t xml:space="preserve">the </w:t>
      </w:r>
      <w:r w:rsidR="000F563B" w:rsidRPr="009755DB">
        <w:rPr>
          <w:rFonts w:ascii="Arial" w:hAnsi="Arial" w:cs="Arial"/>
          <w:sz w:val="24"/>
          <w:szCs w:val="24"/>
          <w:lang w:val="en-US"/>
        </w:rPr>
        <w:t>University of Pretoria and</w:t>
      </w:r>
      <w:r w:rsidR="00FB7F92" w:rsidRPr="009755DB">
        <w:rPr>
          <w:rFonts w:ascii="Arial" w:hAnsi="Arial" w:cs="Arial"/>
          <w:sz w:val="24"/>
          <w:szCs w:val="24"/>
          <w:lang w:val="en-US"/>
        </w:rPr>
        <w:t xml:space="preserve"> Jacolien Barnard a</w:t>
      </w:r>
      <w:r w:rsidR="000F563B" w:rsidRPr="009755DB">
        <w:rPr>
          <w:rFonts w:ascii="Arial" w:hAnsi="Arial" w:cs="Arial"/>
          <w:sz w:val="24"/>
          <w:szCs w:val="24"/>
          <w:lang w:val="en-US"/>
        </w:rPr>
        <w:t xml:space="preserve"> Senior lecturer </w:t>
      </w:r>
      <w:r w:rsidR="00FB7F92" w:rsidRPr="009755DB">
        <w:rPr>
          <w:rFonts w:ascii="Arial" w:hAnsi="Arial" w:cs="Arial"/>
          <w:sz w:val="24"/>
          <w:szCs w:val="24"/>
          <w:lang w:val="en-US"/>
        </w:rPr>
        <w:t xml:space="preserve">at the University of Pretoria. </w:t>
      </w:r>
      <w:r w:rsidR="00AD62F4" w:rsidRPr="009755DB">
        <w:rPr>
          <w:rFonts w:ascii="Arial" w:hAnsi="Arial" w:cs="Arial"/>
          <w:sz w:val="24"/>
          <w:szCs w:val="24"/>
          <w:lang w:val="en-US"/>
        </w:rPr>
        <w:t xml:space="preserve">Zeroing in on the all too familiar </w:t>
      </w:r>
      <w:r w:rsidR="000E21D9" w:rsidRPr="009755DB">
        <w:rPr>
          <w:rFonts w:ascii="Arial" w:hAnsi="Arial" w:cs="Arial"/>
          <w:sz w:val="24"/>
          <w:szCs w:val="24"/>
          <w:lang w:val="en-US"/>
        </w:rPr>
        <w:t xml:space="preserve">situation of an instalment sale </w:t>
      </w:r>
      <w:r w:rsidR="000A6EA8" w:rsidRPr="009755DB">
        <w:rPr>
          <w:rFonts w:ascii="Arial" w:hAnsi="Arial" w:cs="Arial"/>
          <w:sz w:val="24"/>
          <w:szCs w:val="24"/>
          <w:lang w:val="en-US"/>
        </w:rPr>
        <w:t>agreement,</w:t>
      </w:r>
      <w:r w:rsidR="000E21D9" w:rsidRPr="009755DB">
        <w:rPr>
          <w:rFonts w:ascii="Arial" w:hAnsi="Arial" w:cs="Arial"/>
          <w:sz w:val="24"/>
          <w:szCs w:val="24"/>
          <w:lang w:val="en-US"/>
        </w:rPr>
        <w:t xml:space="preserve"> they wr</w:t>
      </w:r>
      <w:r w:rsidR="00415938">
        <w:rPr>
          <w:rFonts w:ascii="Arial" w:hAnsi="Arial" w:cs="Arial"/>
          <w:sz w:val="24"/>
          <w:szCs w:val="24"/>
          <w:lang w:val="en-US"/>
        </w:rPr>
        <w:t>o</w:t>
      </w:r>
      <w:r w:rsidR="000E21D9" w:rsidRPr="009755DB">
        <w:rPr>
          <w:rFonts w:ascii="Arial" w:hAnsi="Arial" w:cs="Arial"/>
          <w:sz w:val="24"/>
          <w:szCs w:val="24"/>
          <w:lang w:val="en-US"/>
        </w:rPr>
        <w:t>te</w:t>
      </w:r>
      <w:r w:rsidR="00D10275">
        <w:rPr>
          <w:rFonts w:ascii="Arial" w:hAnsi="Arial" w:cs="Arial"/>
          <w:sz w:val="24"/>
          <w:szCs w:val="24"/>
          <w:lang w:val="en-US"/>
        </w:rPr>
        <w:t>:</w:t>
      </w:r>
      <w:r w:rsidR="0082606B">
        <w:rPr>
          <w:rStyle w:val="FootnoteReference"/>
          <w:rFonts w:ascii="Arial" w:hAnsi="Arial" w:cs="Arial"/>
          <w:sz w:val="24"/>
          <w:szCs w:val="24"/>
          <w:lang w:val="en-US"/>
        </w:rPr>
        <w:footnoteReference w:id="13"/>
      </w:r>
    </w:p>
    <w:p w14:paraId="433E6807" w14:textId="7DA21159" w:rsidR="00936D92" w:rsidRPr="009755DB" w:rsidRDefault="000E21D9" w:rsidP="005A2F83">
      <w:pPr>
        <w:spacing w:after="0" w:line="360" w:lineRule="auto"/>
        <w:ind w:left="851"/>
        <w:jc w:val="both"/>
        <w:rPr>
          <w:rFonts w:ascii="Arial" w:hAnsi="Arial" w:cs="Arial"/>
          <w:lang w:val="en-US"/>
        </w:rPr>
      </w:pPr>
      <w:r w:rsidRPr="009755DB">
        <w:rPr>
          <w:rFonts w:ascii="Arial" w:hAnsi="Arial" w:cs="Arial"/>
          <w:lang w:val="en-US"/>
        </w:rPr>
        <w:t>“</w:t>
      </w:r>
      <w:r w:rsidR="00D10275" w:rsidRPr="009755DB">
        <w:rPr>
          <w:rFonts w:ascii="Arial" w:hAnsi="Arial" w:cs="Arial"/>
          <w:lang w:val="en-US"/>
        </w:rPr>
        <w:t>[T]</w:t>
      </w:r>
      <w:r w:rsidRPr="009755DB">
        <w:rPr>
          <w:rFonts w:ascii="Arial" w:hAnsi="Arial" w:cs="Arial"/>
          <w:lang w:val="en-US"/>
        </w:rPr>
        <w:t xml:space="preserve">he consumer buys a motor vehicle from a </w:t>
      </w:r>
      <w:r w:rsidR="006B417E">
        <w:rPr>
          <w:rFonts w:ascii="Arial" w:hAnsi="Arial" w:cs="Arial"/>
          <w:lang w:val="en-US"/>
        </w:rPr>
        <w:t>m</w:t>
      </w:r>
      <w:r w:rsidRPr="009755DB">
        <w:rPr>
          <w:rFonts w:ascii="Arial" w:hAnsi="Arial" w:cs="Arial"/>
          <w:lang w:val="en-US"/>
        </w:rPr>
        <w:t>oto</w:t>
      </w:r>
      <w:r w:rsidR="00A53FED" w:rsidRPr="009755DB">
        <w:rPr>
          <w:rFonts w:ascii="Arial" w:hAnsi="Arial" w:cs="Arial"/>
          <w:lang w:val="en-US"/>
        </w:rPr>
        <w:t>r</w:t>
      </w:r>
      <w:r w:rsidRPr="009755DB">
        <w:rPr>
          <w:rFonts w:ascii="Arial" w:hAnsi="Arial" w:cs="Arial"/>
          <w:lang w:val="en-US"/>
        </w:rPr>
        <w:t xml:space="preserve"> dealership. He cannot </w:t>
      </w:r>
      <w:r w:rsidR="00D10275" w:rsidRPr="009755DB">
        <w:rPr>
          <w:rFonts w:ascii="Arial" w:hAnsi="Arial" w:cs="Arial"/>
          <w:lang w:val="en-US"/>
        </w:rPr>
        <w:t>pay</w:t>
      </w:r>
      <w:r w:rsidRPr="009755DB">
        <w:rPr>
          <w:rFonts w:ascii="Arial" w:hAnsi="Arial" w:cs="Arial"/>
          <w:lang w:val="en-US"/>
        </w:rPr>
        <w:t xml:space="preserve"> the full amount of the purchase price immediately. The </w:t>
      </w:r>
      <w:r w:rsidR="006B417E">
        <w:rPr>
          <w:rFonts w:ascii="Arial" w:hAnsi="Arial" w:cs="Arial"/>
          <w:lang w:val="en-US"/>
        </w:rPr>
        <w:t>m</w:t>
      </w:r>
      <w:r w:rsidRPr="009755DB">
        <w:rPr>
          <w:rFonts w:ascii="Arial" w:hAnsi="Arial" w:cs="Arial"/>
          <w:lang w:val="en-US"/>
        </w:rPr>
        <w:t>oto</w:t>
      </w:r>
      <w:r w:rsidR="00A53FED" w:rsidRPr="009755DB">
        <w:rPr>
          <w:rFonts w:ascii="Arial" w:hAnsi="Arial" w:cs="Arial"/>
          <w:lang w:val="en-US"/>
        </w:rPr>
        <w:t>r</w:t>
      </w:r>
      <w:r w:rsidRPr="009755DB">
        <w:rPr>
          <w:rFonts w:ascii="Arial" w:hAnsi="Arial" w:cs="Arial"/>
          <w:lang w:val="en-US"/>
        </w:rPr>
        <w:t xml:space="preserve"> dealership assists him to apply for finance at a financial institution (for example, a bank). that the motor vehicle is financed and an installment agreement (previously called an installment sale agreement) is concluded between the consumer and the bank. Within six months after the delivery of the vehicle, the consumer starts to experience problems with it and it becomes too clear that the </w:t>
      </w:r>
      <w:r w:rsidR="00C12DD7">
        <w:rPr>
          <w:rFonts w:ascii="Arial" w:hAnsi="Arial" w:cs="Arial"/>
          <w:lang w:val="en-US"/>
        </w:rPr>
        <w:t>vehicle</w:t>
      </w:r>
      <w:r w:rsidRPr="009755DB">
        <w:rPr>
          <w:rFonts w:ascii="Arial" w:hAnsi="Arial" w:cs="Arial"/>
          <w:lang w:val="en-US"/>
        </w:rPr>
        <w:t xml:space="preserve"> is of</w:t>
      </w:r>
      <w:r w:rsidR="0071191B">
        <w:rPr>
          <w:rFonts w:ascii="Arial" w:hAnsi="Arial" w:cs="Arial"/>
          <w:lang w:val="en-US"/>
        </w:rPr>
        <w:t xml:space="preserve"> an</w:t>
      </w:r>
      <w:r w:rsidRPr="009755DB">
        <w:rPr>
          <w:rFonts w:ascii="Arial" w:hAnsi="Arial" w:cs="Arial"/>
          <w:lang w:val="en-US"/>
        </w:rPr>
        <w:t xml:space="preserve"> unsatisfactory quality, cannot be used for the purposes for which it was bought, and is defective.</w:t>
      </w:r>
    </w:p>
    <w:p w14:paraId="4C29BF9D" w14:textId="77777777" w:rsidR="00936D92" w:rsidRPr="009755DB" w:rsidRDefault="00936D92" w:rsidP="009755DB">
      <w:pPr>
        <w:pStyle w:val="ListParagraph"/>
        <w:spacing w:line="360" w:lineRule="auto"/>
        <w:rPr>
          <w:rFonts w:ascii="Arial" w:hAnsi="Arial" w:cs="Arial"/>
          <w:lang w:val="en-US"/>
        </w:rPr>
      </w:pPr>
    </w:p>
    <w:p w14:paraId="5E876378" w14:textId="25DE5903" w:rsidR="00D10275" w:rsidRDefault="000E21D9" w:rsidP="00D76B9E">
      <w:pPr>
        <w:spacing w:after="0" w:line="360" w:lineRule="auto"/>
        <w:ind w:left="851"/>
        <w:jc w:val="both"/>
        <w:rPr>
          <w:rFonts w:ascii="Arial" w:hAnsi="Arial" w:cs="Arial"/>
          <w:lang w:val="en-US"/>
        </w:rPr>
      </w:pPr>
      <w:r w:rsidRPr="009755DB">
        <w:rPr>
          <w:rFonts w:ascii="Arial" w:hAnsi="Arial" w:cs="Arial"/>
          <w:lang w:val="en-US"/>
        </w:rPr>
        <w:t xml:space="preserve"> If the customer attempts to hold the motor dealership responsible, the dealership argues that it no longer owns the vehicle and that the bank should be approached. </w:t>
      </w:r>
      <w:r w:rsidR="005A2F83" w:rsidRPr="009755DB">
        <w:rPr>
          <w:rFonts w:ascii="Arial" w:hAnsi="Arial" w:cs="Arial"/>
          <w:lang w:val="en-US"/>
        </w:rPr>
        <w:t>Indeed,</w:t>
      </w:r>
      <w:r w:rsidRPr="009755DB">
        <w:rPr>
          <w:rFonts w:ascii="Arial" w:hAnsi="Arial" w:cs="Arial"/>
          <w:lang w:val="en-US"/>
        </w:rPr>
        <w:t xml:space="preserve"> the dealership argues that the bank was the seller of the vehicle</w:t>
      </w:r>
      <w:r w:rsidR="005E4B55">
        <w:rPr>
          <w:rFonts w:ascii="Arial" w:hAnsi="Arial" w:cs="Arial"/>
          <w:lang w:val="en-US"/>
        </w:rPr>
        <w:t>-</w:t>
      </w:r>
      <w:r w:rsidRPr="009755DB">
        <w:rPr>
          <w:rFonts w:ascii="Arial" w:hAnsi="Arial" w:cs="Arial"/>
          <w:lang w:val="en-US"/>
        </w:rPr>
        <w:t xml:space="preserve"> which it often is</w:t>
      </w:r>
      <w:r w:rsidR="005E4B55">
        <w:rPr>
          <w:rFonts w:ascii="Arial" w:hAnsi="Arial" w:cs="Arial"/>
          <w:lang w:val="en-US"/>
        </w:rPr>
        <w:t>.</w:t>
      </w:r>
      <w:r w:rsidRPr="009755DB">
        <w:rPr>
          <w:rFonts w:ascii="Arial" w:hAnsi="Arial" w:cs="Arial"/>
          <w:lang w:val="en-US"/>
        </w:rPr>
        <w:t xml:space="preserve"> </w:t>
      </w:r>
      <w:r w:rsidR="005E4B55">
        <w:rPr>
          <w:rFonts w:ascii="Arial" w:hAnsi="Arial" w:cs="Arial"/>
          <w:lang w:val="en-US"/>
        </w:rPr>
        <w:t>S</w:t>
      </w:r>
      <w:r w:rsidRPr="009755DB">
        <w:rPr>
          <w:rFonts w:ascii="Arial" w:hAnsi="Arial" w:cs="Arial"/>
          <w:lang w:val="en-US"/>
        </w:rPr>
        <w:t xml:space="preserve">hould the consumer attempt to hold the bank responsible, the bank refers to the installment agreement in which any warranty as to the condition of the </w:t>
      </w:r>
      <w:r w:rsidR="005E4B55">
        <w:rPr>
          <w:rFonts w:ascii="Arial" w:hAnsi="Arial" w:cs="Arial"/>
          <w:lang w:val="en-US"/>
        </w:rPr>
        <w:t>vehicle</w:t>
      </w:r>
      <w:r w:rsidRPr="009755DB">
        <w:rPr>
          <w:rFonts w:ascii="Arial" w:hAnsi="Arial" w:cs="Arial"/>
          <w:lang w:val="en-US"/>
        </w:rPr>
        <w:t xml:space="preserve"> is expressly excluded, and the bank also argues that it only financed the deal.</w:t>
      </w:r>
      <w:r w:rsidR="006B417E">
        <w:rPr>
          <w:rFonts w:ascii="Arial" w:hAnsi="Arial" w:cs="Arial"/>
          <w:lang w:val="en-US"/>
        </w:rPr>
        <w:t xml:space="preserve"> </w:t>
      </w:r>
      <w:r w:rsidRPr="009755DB">
        <w:rPr>
          <w:rFonts w:ascii="Arial" w:hAnsi="Arial" w:cs="Arial"/>
          <w:lang w:val="en-US"/>
        </w:rPr>
        <w:t>After all</w:t>
      </w:r>
      <w:r w:rsidR="006B417E">
        <w:rPr>
          <w:rFonts w:ascii="Arial" w:hAnsi="Arial" w:cs="Arial"/>
          <w:lang w:val="en-US"/>
        </w:rPr>
        <w:t>,</w:t>
      </w:r>
      <w:r w:rsidRPr="009755DB">
        <w:rPr>
          <w:rFonts w:ascii="Arial" w:hAnsi="Arial" w:cs="Arial"/>
          <w:lang w:val="en-US"/>
        </w:rPr>
        <w:t xml:space="preserve"> the bank is not a seller of vehicles in the first place. To make matters worse, it seems that uncertainty over the application of two very important pieces of consumer protection legislation [</w:t>
      </w:r>
      <w:r w:rsidR="006B417E">
        <w:rPr>
          <w:rFonts w:ascii="Arial" w:hAnsi="Arial" w:cs="Arial"/>
          <w:lang w:val="en-US"/>
        </w:rPr>
        <w:t>National Credit Act 34 of 2005 and the Consumer Protection Act 68 of 2008</w:t>
      </w:r>
      <w:r w:rsidRPr="009755DB">
        <w:rPr>
          <w:rFonts w:ascii="Arial" w:hAnsi="Arial" w:cs="Arial"/>
          <w:lang w:val="en-US"/>
        </w:rPr>
        <w:t>] may leave the consumer without adequate protection</w:t>
      </w:r>
      <w:r w:rsidR="005E4B55">
        <w:rPr>
          <w:rFonts w:ascii="Arial" w:hAnsi="Arial" w:cs="Arial"/>
          <w:lang w:val="en-US"/>
        </w:rPr>
        <w:t>…</w:t>
      </w:r>
      <w:r w:rsidRPr="009755DB">
        <w:rPr>
          <w:rFonts w:ascii="Arial" w:hAnsi="Arial" w:cs="Arial"/>
          <w:lang w:val="en-US"/>
        </w:rPr>
        <w:t>”</w:t>
      </w:r>
      <w:r w:rsidR="00BC363B">
        <w:rPr>
          <w:rStyle w:val="FootnoteReference"/>
          <w:rFonts w:ascii="Arial" w:hAnsi="Arial" w:cs="Arial"/>
          <w:lang w:val="en-US"/>
        </w:rPr>
        <w:footnoteReference w:id="14"/>
      </w:r>
      <w:r w:rsidR="00D10275" w:rsidRPr="009755DB">
        <w:rPr>
          <w:rFonts w:ascii="Arial" w:hAnsi="Arial" w:cs="Arial"/>
          <w:lang w:val="en-US"/>
        </w:rPr>
        <w:t xml:space="preserve"> </w:t>
      </w:r>
    </w:p>
    <w:p w14:paraId="6042EBC2" w14:textId="77777777" w:rsidR="00DC7E31" w:rsidRPr="009755DB" w:rsidRDefault="00DC7E31" w:rsidP="009755DB">
      <w:pPr>
        <w:spacing w:after="0" w:line="360" w:lineRule="auto"/>
        <w:ind w:left="720" w:firstLine="48"/>
        <w:jc w:val="both"/>
        <w:rPr>
          <w:rFonts w:ascii="Arial" w:hAnsi="Arial" w:cs="Arial"/>
          <w:lang w:val="en-US"/>
        </w:rPr>
      </w:pPr>
    </w:p>
    <w:p w14:paraId="6D3B4DB7" w14:textId="144BD9A7" w:rsidR="000D3EC7" w:rsidRPr="009755DB" w:rsidRDefault="00D10275" w:rsidP="009755DB">
      <w:pPr>
        <w:spacing w:after="0" w:line="360" w:lineRule="auto"/>
        <w:jc w:val="both"/>
        <w:rPr>
          <w:rFonts w:ascii="Arial" w:hAnsi="Arial" w:cs="Arial"/>
          <w:sz w:val="24"/>
          <w:szCs w:val="24"/>
          <w:lang w:val="en-US"/>
        </w:rPr>
      </w:pPr>
      <w:r>
        <w:rPr>
          <w:rFonts w:ascii="Arial" w:hAnsi="Arial" w:cs="Arial"/>
          <w:sz w:val="24"/>
          <w:szCs w:val="24"/>
          <w:lang w:val="en-US"/>
        </w:rPr>
        <w:lastRenderedPageBreak/>
        <w:t>[2</w:t>
      </w:r>
      <w:r w:rsidR="00C11D4B">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960505" w:rsidRPr="009755DB">
        <w:rPr>
          <w:rFonts w:ascii="Arial" w:hAnsi="Arial" w:cs="Arial"/>
          <w:sz w:val="24"/>
          <w:szCs w:val="24"/>
          <w:lang w:val="en-US"/>
        </w:rPr>
        <w:t xml:space="preserve">Interestingly, they placed the </w:t>
      </w:r>
      <w:r w:rsidR="00960505" w:rsidRPr="009755DB">
        <w:rPr>
          <w:rFonts w:ascii="Arial" w:hAnsi="Arial" w:cs="Arial"/>
          <w:i/>
          <w:iCs/>
          <w:sz w:val="24"/>
          <w:szCs w:val="24"/>
          <w:lang w:val="en-US"/>
        </w:rPr>
        <w:t>Botha</w:t>
      </w:r>
      <w:r w:rsidR="00960505" w:rsidRPr="009755DB">
        <w:rPr>
          <w:rFonts w:ascii="Arial" w:hAnsi="Arial" w:cs="Arial"/>
          <w:sz w:val="24"/>
          <w:szCs w:val="24"/>
          <w:lang w:val="en-US"/>
        </w:rPr>
        <w:t xml:space="preserve"> matter under a microscope and shredded it</w:t>
      </w:r>
      <w:r w:rsidR="00607DC4" w:rsidRPr="009755DB">
        <w:rPr>
          <w:rFonts w:ascii="Arial" w:hAnsi="Arial" w:cs="Arial"/>
          <w:sz w:val="24"/>
          <w:szCs w:val="24"/>
          <w:lang w:val="en-US"/>
        </w:rPr>
        <w:t>, for instance they pointed out that the bank cannot be a consumer</w:t>
      </w:r>
      <w:r w:rsidR="000D3EC7" w:rsidRPr="009755DB">
        <w:rPr>
          <w:rFonts w:ascii="Arial" w:hAnsi="Arial" w:cs="Arial"/>
          <w:sz w:val="24"/>
          <w:szCs w:val="24"/>
          <w:lang w:val="en-US"/>
        </w:rPr>
        <w:t>.</w:t>
      </w:r>
      <w:r w:rsidR="00607DC4" w:rsidRPr="009755DB">
        <w:rPr>
          <w:rFonts w:ascii="Arial" w:hAnsi="Arial" w:cs="Arial"/>
          <w:sz w:val="24"/>
          <w:szCs w:val="24"/>
          <w:lang w:val="en-US"/>
        </w:rPr>
        <w:t xml:space="preserve"> </w:t>
      </w:r>
      <w:r w:rsidR="000D3EC7" w:rsidRPr="009755DB">
        <w:rPr>
          <w:rFonts w:ascii="Arial" w:hAnsi="Arial" w:cs="Arial"/>
          <w:sz w:val="24"/>
          <w:szCs w:val="24"/>
          <w:lang w:val="en-US"/>
        </w:rPr>
        <w:t>A</w:t>
      </w:r>
      <w:r w:rsidR="0022313C" w:rsidRPr="009755DB">
        <w:rPr>
          <w:rFonts w:ascii="Arial" w:hAnsi="Arial" w:cs="Arial"/>
          <w:sz w:val="24"/>
          <w:szCs w:val="24"/>
          <w:lang w:val="en-US"/>
        </w:rPr>
        <w:t xml:space="preserve"> bank is a juristic person whose asset value or annual turnover equals or exceed</w:t>
      </w:r>
      <w:r w:rsidR="00BA6017" w:rsidRPr="009755DB">
        <w:rPr>
          <w:rFonts w:ascii="Arial" w:hAnsi="Arial" w:cs="Arial"/>
          <w:sz w:val="24"/>
          <w:szCs w:val="24"/>
          <w:lang w:val="en-US"/>
        </w:rPr>
        <w:t xml:space="preserve">s the threshold value determined by the </w:t>
      </w:r>
      <w:r w:rsidR="00D5224D">
        <w:rPr>
          <w:rFonts w:ascii="Arial" w:hAnsi="Arial" w:cs="Arial"/>
          <w:sz w:val="24"/>
          <w:szCs w:val="24"/>
          <w:lang w:val="en-US"/>
        </w:rPr>
        <w:t>M</w:t>
      </w:r>
      <w:r w:rsidR="00BA6017" w:rsidRPr="009755DB">
        <w:rPr>
          <w:rFonts w:ascii="Arial" w:hAnsi="Arial" w:cs="Arial"/>
          <w:sz w:val="24"/>
          <w:szCs w:val="24"/>
          <w:lang w:val="en-US"/>
        </w:rPr>
        <w:t>inister</w:t>
      </w:r>
      <w:r w:rsidR="000D3EC7" w:rsidRPr="009755DB">
        <w:rPr>
          <w:rFonts w:ascii="Arial" w:hAnsi="Arial" w:cs="Arial"/>
          <w:sz w:val="24"/>
          <w:szCs w:val="24"/>
          <w:lang w:val="en-US"/>
        </w:rPr>
        <w:t xml:space="preserve"> </w:t>
      </w:r>
      <w:r w:rsidR="00BA6017" w:rsidRPr="009755DB">
        <w:rPr>
          <w:rFonts w:ascii="Arial" w:hAnsi="Arial" w:cs="Arial"/>
          <w:sz w:val="24"/>
          <w:szCs w:val="24"/>
          <w:lang w:val="en-US"/>
        </w:rPr>
        <w:t>(R2 million).</w:t>
      </w:r>
      <w:r w:rsidR="00DB0055">
        <w:rPr>
          <w:rStyle w:val="FootnoteReference"/>
          <w:rFonts w:ascii="Arial" w:hAnsi="Arial" w:cs="Arial"/>
          <w:sz w:val="24"/>
          <w:szCs w:val="24"/>
          <w:lang w:val="en-US"/>
        </w:rPr>
        <w:footnoteReference w:id="15"/>
      </w:r>
      <w:r w:rsidR="000D3EC7" w:rsidRPr="009755DB">
        <w:rPr>
          <w:rFonts w:ascii="Arial" w:hAnsi="Arial" w:cs="Arial"/>
          <w:sz w:val="24"/>
          <w:szCs w:val="24"/>
          <w:lang w:val="en-US"/>
        </w:rPr>
        <w:t xml:space="preserve"> </w:t>
      </w:r>
    </w:p>
    <w:p w14:paraId="455C22E6" w14:textId="77777777" w:rsidR="00EB7C64" w:rsidRPr="00CC1B93" w:rsidRDefault="00EB7C64" w:rsidP="009755DB">
      <w:pPr>
        <w:spacing w:after="0" w:line="360" w:lineRule="auto"/>
        <w:jc w:val="both"/>
        <w:rPr>
          <w:rFonts w:ascii="Arial" w:hAnsi="Arial" w:cs="Arial"/>
          <w:sz w:val="24"/>
          <w:szCs w:val="24"/>
          <w:lang w:val="en-US"/>
        </w:rPr>
      </w:pPr>
    </w:p>
    <w:p w14:paraId="418E4EF9" w14:textId="43EE3426" w:rsidR="00494859" w:rsidRDefault="00E109FF" w:rsidP="009755DB">
      <w:pPr>
        <w:spacing w:after="0" w:line="360" w:lineRule="auto"/>
        <w:jc w:val="both"/>
        <w:rPr>
          <w:rFonts w:ascii="Arial" w:hAnsi="Arial" w:cs="Arial"/>
          <w:sz w:val="24"/>
          <w:szCs w:val="24"/>
          <w:lang w:val="en-US"/>
        </w:rPr>
      </w:pPr>
      <w:r>
        <w:rPr>
          <w:rFonts w:ascii="Arial" w:hAnsi="Arial" w:cs="Arial"/>
          <w:sz w:val="24"/>
          <w:szCs w:val="24"/>
          <w:lang w:val="en-US"/>
        </w:rPr>
        <w:t>[2</w:t>
      </w:r>
      <w:r w:rsidR="00C11D4B">
        <w:rPr>
          <w:rFonts w:ascii="Arial" w:hAnsi="Arial" w:cs="Arial"/>
          <w:sz w:val="24"/>
          <w:szCs w:val="24"/>
          <w:lang w:val="en-US"/>
        </w:rPr>
        <w:t>1</w:t>
      </w:r>
      <w:r>
        <w:rPr>
          <w:rFonts w:ascii="Arial" w:hAnsi="Arial" w:cs="Arial"/>
          <w:sz w:val="24"/>
          <w:szCs w:val="24"/>
          <w:lang w:val="en-US"/>
        </w:rPr>
        <w:t>]</w:t>
      </w:r>
      <w:r w:rsidR="00C11D4B">
        <w:rPr>
          <w:rFonts w:ascii="Arial" w:hAnsi="Arial" w:cs="Arial"/>
          <w:sz w:val="24"/>
          <w:szCs w:val="24"/>
          <w:lang w:val="en-US"/>
        </w:rPr>
        <w:tab/>
      </w:r>
      <w:r w:rsidR="005E008C">
        <w:rPr>
          <w:rFonts w:ascii="Arial" w:hAnsi="Arial" w:cs="Arial"/>
          <w:sz w:val="24"/>
          <w:szCs w:val="24"/>
          <w:lang w:val="en-US"/>
        </w:rPr>
        <w:t xml:space="preserve">Fascinating as </w:t>
      </w:r>
      <w:r w:rsidR="00D5043C" w:rsidRPr="009755DB">
        <w:rPr>
          <w:rFonts w:ascii="Arial" w:hAnsi="Arial" w:cs="Arial"/>
          <w:sz w:val="24"/>
          <w:szCs w:val="24"/>
          <w:lang w:val="en-US"/>
        </w:rPr>
        <w:t>this debate may be</w:t>
      </w:r>
      <w:r w:rsidR="00DC7E31">
        <w:rPr>
          <w:rFonts w:ascii="Arial" w:hAnsi="Arial" w:cs="Arial"/>
          <w:sz w:val="24"/>
          <w:szCs w:val="24"/>
          <w:lang w:val="en-US"/>
        </w:rPr>
        <w:t>,</w:t>
      </w:r>
      <w:r w:rsidR="00D5043C" w:rsidRPr="009755DB">
        <w:rPr>
          <w:rFonts w:ascii="Arial" w:hAnsi="Arial" w:cs="Arial"/>
          <w:sz w:val="24"/>
          <w:szCs w:val="24"/>
          <w:lang w:val="en-US"/>
        </w:rPr>
        <w:t xml:space="preserve"> t</w:t>
      </w:r>
      <w:r w:rsidR="000D3EC7" w:rsidRPr="009755DB">
        <w:rPr>
          <w:rFonts w:ascii="Arial" w:hAnsi="Arial" w:cs="Arial"/>
          <w:sz w:val="24"/>
          <w:szCs w:val="24"/>
          <w:lang w:val="en-US"/>
        </w:rPr>
        <w:t>his court</w:t>
      </w:r>
      <w:r w:rsidR="00D5043C" w:rsidRPr="009755DB">
        <w:rPr>
          <w:rFonts w:ascii="Arial" w:hAnsi="Arial" w:cs="Arial"/>
          <w:sz w:val="24"/>
          <w:szCs w:val="24"/>
          <w:lang w:val="en-US"/>
        </w:rPr>
        <w:t xml:space="preserve">’s role is a limited one. The essence of the </w:t>
      </w:r>
      <w:r w:rsidR="005A2F83" w:rsidRPr="009755DB">
        <w:rPr>
          <w:rFonts w:ascii="Arial" w:hAnsi="Arial" w:cs="Arial"/>
          <w:sz w:val="24"/>
          <w:szCs w:val="24"/>
          <w:lang w:val="en-US"/>
        </w:rPr>
        <w:t>questio</w:t>
      </w:r>
      <w:r w:rsidR="005A2F83">
        <w:rPr>
          <w:rFonts w:ascii="Arial" w:hAnsi="Arial" w:cs="Arial"/>
          <w:sz w:val="24"/>
          <w:szCs w:val="24"/>
          <w:lang w:val="en-US"/>
        </w:rPr>
        <w:t>n</w:t>
      </w:r>
      <w:r w:rsidR="005A2F83" w:rsidRPr="009755DB">
        <w:rPr>
          <w:rFonts w:ascii="Arial" w:hAnsi="Arial" w:cs="Arial"/>
          <w:sz w:val="24"/>
          <w:szCs w:val="24"/>
          <w:lang w:val="en-US"/>
        </w:rPr>
        <w:t xml:space="preserve"> confronting</w:t>
      </w:r>
      <w:r w:rsidR="00D5043C" w:rsidRPr="009755DB">
        <w:rPr>
          <w:rFonts w:ascii="Arial" w:hAnsi="Arial" w:cs="Arial"/>
          <w:sz w:val="24"/>
          <w:szCs w:val="24"/>
          <w:lang w:val="en-US"/>
        </w:rPr>
        <w:t xml:space="preserve"> this court</w:t>
      </w:r>
      <w:r w:rsidR="007634CF">
        <w:rPr>
          <w:rFonts w:ascii="Arial" w:hAnsi="Arial" w:cs="Arial"/>
          <w:sz w:val="24"/>
          <w:szCs w:val="24"/>
          <w:lang w:val="en-US"/>
        </w:rPr>
        <w:t xml:space="preserve"> frontally </w:t>
      </w:r>
      <w:r w:rsidR="00D5043C" w:rsidRPr="009755DB">
        <w:rPr>
          <w:rFonts w:ascii="Arial" w:hAnsi="Arial" w:cs="Arial"/>
          <w:sz w:val="24"/>
          <w:szCs w:val="24"/>
          <w:lang w:val="en-US"/>
        </w:rPr>
        <w:t>is whether the defendant has raised triable issue</w:t>
      </w:r>
      <w:r w:rsidR="00F3115A" w:rsidRPr="009755DB">
        <w:rPr>
          <w:rFonts w:ascii="Arial" w:hAnsi="Arial" w:cs="Arial"/>
          <w:sz w:val="24"/>
          <w:szCs w:val="24"/>
          <w:lang w:val="en-US"/>
        </w:rPr>
        <w:t>s</w:t>
      </w:r>
      <w:r w:rsidR="00D5043C" w:rsidRPr="009755DB">
        <w:rPr>
          <w:rFonts w:ascii="Arial" w:hAnsi="Arial" w:cs="Arial"/>
          <w:sz w:val="24"/>
          <w:szCs w:val="24"/>
          <w:lang w:val="en-US"/>
        </w:rPr>
        <w:t>.</w:t>
      </w:r>
      <w:r w:rsidR="008D2D6A" w:rsidRPr="009755DB">
        <w:rPr>
          <w:rFonts w:ascii="Arial" w:hAnsi="Arial" w:cs="Arial"/>
          <w:sz w:val="24"/>
          <w:szCs w:val="24"/>
          <w:lang w:val="en-US"/>
        </w:rPr>
        <w:t xml:space="preserve"> I</w:t>
      </w:r>
      <w:r w:rsidR="003A40D2" w:rsidRPr="009755DB">
        <w:rPr>
          <w:rFonts w:ascii="Arial" w:hAnsi="Arial" w:cs="Arial"/>
          <w:sz w:val="24"/>
          <w:szCs w:val="24"/>
          <w:lang w:val="en-US"/>
        </w:rPr>
        <w:t xml:space="preserve"> am persuaded that it cannot be simply said without more that</w:t>
      </w:r>
      <w:r w:rsidR="00DC7E31">
        <w:rPr>
          <w:rFonts w:ascii="Arial" w:hAnsi="Arial" w:cs="Arial"/>
          <w:sz w:val="24"/>
          <w:szCs w:val="24"/>
          <w:lang w:val="en-US"/>
        </w:rPr>
        <w:t xml:space="preserve"> the</w:t>
      </w:r>
      <w:r w:rsidR="003A40D2" w:rsidRPr="009755DB">
        <w:rPr>
          <w:rFonts w:ascii="Arial" w:hAnsi="Arial" w:cs="Arial"/>
          <w:sz w:val="24"/>
          <w:szCs w:val="24"/>
          <w:lang w:val="en-US"/>
        </w:rPr>
        <w:t xml:space="preserve"> </w:t>
      </w:r>
      <w:r w:rsidR="00694874" w:rsidRPr="009755DB">
        <w:rPr>
          <w:rFonts w:ascii="Arial" w:hAnsi="Arial" w:cs="Arial"/>
          <w:sz w:val="24"/>
          <w:szCs w:val="24"/>
          <w:lang w:val="en-US"/>
        </w:rPr>
        <w:t>bank’s</w:t>
      </w:r>
      <w:r w:rsidR="003A40D2" w:rsidRPr="009755DB">
        <w:rPr>
          <w:rFonts w:ascii="Arial" w:hAnsi="Arial" w:cs="Arial"/>
          <w:sz w:val="24"/>
          <w:szCs w:val="24"/>
          <w:lang w:val="en-US"/>
        </w:rPr>
        <w:t xml:space="preserve"> real role was </w:t>
      </w:r>
      <w:r w:rsidR="007868B1" w:rsidRPr="009755DB">
        <w:rPr>
          <w:rFonts w:ascii="Arial" w:hAnsi="Arial" w:cs="Arial"/>
          <w:sz w:val="24"/>
          <w:szCs w:val="24"/>
          <w:lang w:val="en-US"/>
        </w:rPr>
        <w:t>that of a credit provider and not one of suppl</w:t>
      </w:r>
      <w:r w:rsidR="002D3CF3">
        <w:rPr>
          <w:rFonts w:ascii="Arial" w:hAnsi="Arial" w:cs="Arial"/>
          <w:sz w:val="24"/>
          <w:szCs w:val="24"/>
          <w:lang w:val="en-US"/>
        </w:rPr>
        <w:t>i</w:t>
      </w:r>
      <w:r w:rsidR="007868B1" w:rsidRPr="009755DB">
        <w:rPr>
          <w:rFonts w:ascii="Arial" w:hAnsi="Arial" w:cs="Arial"/>
          <w:sz w:val="24"/>
          <w:szCs w:val="24"/>
          <w:lang w:val="en-US"/>
        </w:rPr>
        <w:t xml:space="preserve">er </w:t>
      </w:r>
      <w:r w:rsidR="00624D31" w:rsidRPr="009755DB">
        <w:rPr>
          <w:rFonts w:ascii="Arial" w:hAnsi="Arial" w:cs="Arial"/>
          <w:sz w:val="24"/>
          <w:szCs w:val="24"/>
          <w:lang w:val="en-US"/>
        </w:rPr>
        <w:t>of goods in question. I could not agree more</w:t>
      </w:r>
      <w:r w:rsidR="00C40F03">
        <w:rPr>
          <w:rFonts w:ascii="Arial" w:hAnsi="Arial" w:cs="Arial"/>
          <w:sz w:val="24"/>
          <w:szCs w:val="24"/>
          <w:lang w:val="en-US"/>
        </w:rPr>
        <w:t xml:space="preserve"> with the afore-mentioned writers </w:t>
      </w:r>
      <w:r w:rsidR="00624D31" w:rsidRPr="009755DB">
        <w:rPr>
          <w:rFonts w:ascii="Arial" w:hAnsi="Arial" w:cs="Arial"/>
          <w:sz w:val="24"/>
          <w:szCs w:val="24"/>
          <w:lang w:val="en-US"/>
        </w:rPr>
        <w:t>that</w:t>
      </w:r>
      <w:r w:rsidR="003F3A48">
        <w:rPr>
          <w:rFonts w:ascii="Arial" w:hAnsi="Arial" w:cs="Arial"/>
          <w:sz w:val="24"/>
          <w:szCs w:val="24"/>
          <w:lang w:val="en-US"/>
        </w:rPr>
        <w:t xml:space="preserve">, in this </w:t>
      </w:r>
      <w:r w:rsidR="00876397">
        <w:rPr>
          <w:rFonts w:ascii="Arial" w:hAnsi="Arial" w:cs="Arial"/>
          <w:sz w:val="24"/>
          <w:szCs w:val="24"/>
          <w:lang w:val="en-US"/>
        </w:rPr>
        <w:t xml:space="preserve">instance, </w:t>
      </w:r>
      <w:r w:rsidR="00876397" w:rsidRPr="009755DB">
        <w:rPr>
          <w:rFonts w:ascii="Arial" w:hAnsi="Arial" w:cs="Arial"/>
          <w:sz w:val="24"/>
          <w:szCs w:val="24"/>
          <w:lang w:val="en-US"/>
        </w:rPr>
        <w:t>a</w:t>
      </w:r>
      <w:r w:rsidR="00624D31" w:rsidRPr="009755DB">
        <w:rPr>
          <w:rFonts w:ascii="Arial" w:hAnsi="Arial" w:cs="Arial"/>
          <w:sz w:val="24"/>
          <w:szCs w:val="24"/>
          <w:lang w:val="en-US"/>
        </w:rPr>
        <w:t xml:space="preserve"> bank wears two hats,</w:t>
      </w:r>
      <w:r w:rsidR="006B22C7" w:rsidRPr="009755DB">
        <w:rPr>
          <w:rFonts w:ascii="Arial" w:hAnsi="Arial" w:cs="Arial"/>
          <w:sz w:val="24"/>
          <w:szCs w:val="24"/>
          <w:lang w:val="en-US"/>
        </w:rPr>
        <w:t xml:space="preserve"> </w:t>
      </w:r>
      <w:r w:rsidR="00624D31" w:rsidRPr="009755DB">
        <w:rPr>
          <w:rFonts w:ascii="Arial" w:hAnsi="Arial" w:cs="Arial"/>
          <w:sz w:val="24"/>
          <w:szCs w:val="24"/>
          <w:lang w:val="en-US"/>
        </w:rPr>
        <w:t>namely</w:t>
      </w:r>
      <w:r w:rsidR="006B22C7" w:rsidRPr="009755DB">
        <w:rPr>
          <w:rFonts w:ascii="Arial" w:hAnsi="Arial" w:cs="Arial"/>
          <w:sz w:val="24"/>
          <w:szCs w:val="24"/>
          <w:lang w:val="en-US"/>
        </w:rPr>
        <w:t xml:space="preserve">: </w:t>
      </w:r>
      <w:r w:rsidR="00694874" w:rsidRPr="009755DB">
        <w:rPr>
          <w:rFonts w:ascii="Arial" w:hAnsi="Arial" w:cs="Arial"/>
          <w:sz w:val="24"/>
          <w:szCs w:val="24"/>
          <w:lang w:val="en-US"/>
        </w:rPr>
        <w:t>“th</w:t>
      </w:r>
      <w:r w:rsidR="006B22C7" w:rsidRPr="009755DB">
        <w:rPr>
          <w:rFonts w:ascii="Arial" w:hAnsi="Arial" w:cs="Arial"/>
          <w:sz w:val="24"/>
          <w:szCs w:val="24"/>
          <w:lang w:val="en-US"/>
        </w:rPr>
        <w:t>a</w:t>
      </w:r>
      <w:r w:rsidR="00FD2483" w:rsidRPr="009755DB">
        <w:rPr>
          <w:rFonts w:ascii="Arial" w:hAnsi="Arial" w:cs="Arial"/>
          <w:sz w:val="24"/>
          <w:szCs w:val="24"/>
          <w:lang w:val="en-US"/>
        </w:rPr>
        <w:t>t of a</w:t>
      </w:r>
      <w:r w:rsidR="006B22C7" w:rsidRPr="009755DB">
        <w:rPr>
          <w:rFonts w:ascii="Arial" w:hAnsi="Arial" w:cs="Arial"/>
          <w:sz w:val="24"/>
          <w:szCs w:val="24"/>
          <w:lang w:val="en-US"/>
        </w:rPr>
        <w:t xml:space="preserve"> seller</w:t>
      </w:r>
      <w:r w:rsidR="00FD2483" w:rsidRPr="009755DB">
        <w:rPr>
          <w:rFonts w:ascii="Arial" w:hAnsi="Arial" w:cs="Arial"/>
          <w:sz w:val="24"/>
          <w:szCs w:val="24"/>
          <w:lang w:val="en-US"/>
        </w:rPr>
        <w:t xml:space="preserve"> and that of a f</w:t>
      </w:r>
      <w:r w:rsidR="0042732B">
        <w:rPr>
          <w:rFonts w:ascii="Arial" w:hAnsi="Arial" w:cs="Arial"/>
          <w:sz w:val="24"/>
          <w:szCs w:val="24"/>
          <w:lang w:val="en-US"/>
        </w:rPr>
        <w:t>inancier</w:t>
      </w:r>
      <w:r w:rsidR="00FD2483" w:rsidRPr="009755DB">
        <w:rPr>
          <w:rFonts w:ascii="Arial" w:hAnsi="Arial" w:cs="Arial"/>
          <w:sz w:val="24"/>
          <w:szCs w:val="24"/>
          <w:lang w:val="en-US"/>
        </w:rPr>
        <w:t xml:space="preserve"> or </w:t>
      </w:r>
      <w:r w:rsidR="006B22C7" w:rsidRPr="009755DB">
        <w:rPr>
          <w:rFonts w:ascii="Arial" w:hAnsi="Arial" w:cs="Arial"/>
          <w:sz w:val="24"/>
          <w:szCs w:val="24"/>
          <w:lang w:val="en-US"/>
        </w:rPr>
        <w:t xml:space="preserve">credit </w:t>
      </w:r>
      <w:r w:rsidR="00494859" w:rsidRPr="009755DB">
        <w:rPr>
          <w:rFonts w:ascii="Arial" w:hAnsi="Arial" w:cs="Arial"/>
          <w:sz w:val="24"/>
          <w:szCs w:val="24"/>
          <w:lang w:val="en-US"/>
        </w:rPr>
        <w:t>provider</w:t>
      </w:r>
      <w:r w:rsidR="00FD2483" w:rsidRPr="009755DB">
        <w:rPr>
          <w:rFonts w:ascii="Arial" w:hAnsi="Arial" w:cs="Arial"/>
          <w:sz w:val="24"/>
          <w:szCs w:val="24"/>
          <w:lang w:val="en-US"/>
        </w:rPr>
        <w:t>.”</w:t>
      </w:r>
      <w:r w:rsidR="00FD2483" w:rsidRPr="00CC1B93">
        <w:rPr>
          <w:rStyle w:val="FootnoteReference"/>
          <w:rFonts w:ascii="Arial" w:hAnsi="Arial" w:cs="Arial"/>
          <w:sz w:val="24"/>
          <w:szCs w:val="24"/>
          <w:lang w:val="en-US"/>
        </w:rPr>
        <w:footnoteReference w:id="16"/>
      </w:r>
      <w:r w:rsidR="006B22C7" w:rsidRPr="009755DB">
        <w:rPr>
          <w:rFonts w:ascii="Arial" w:hAnsi="Arial" w:cs="Arial"/>
          <w:sz w:val="24"/>
          <w:szCs w:val="24"/>
          <w:lang w:val="en-US"/>
        </w:rPr>
        <w:t>.</w:t>
      </w:r>
    </w:p>
    <w:p w14:paraId="6CD8328B" w14:textId="77777777" w:rsidR="005A2F83" w:rsidRPr="009755DB" w:rsidRDefault="005A2F83" w:rsidP="009755DB">
      <w:pPr>
        <w:spacing w:after="0" w:line="360" w:lineRule="auto"/>
        <w:jc w:val="both"/>
        <w:rPr>
          <w:rFonts w:ascii="Arial" w:hAnsi="Arial" w:cs="Arial"/>
          <w:sz w:val="24"/>
          <w:szCs w:val="24"/>
          <w:lang w:val="en-US"/>
        </w:rPr>
      </w:pPr>
    </w:p>
    <w:p w14:paraId="3CF9E426" w14:textId="3A6B1415" w:rsidR="00F15F08" w:rsidRPr="00CC1B93" w:rsidRDefault="00E109FF" w:rsidP="00FF3348">
      <w:pPr>
        <w:pStyle w:val="ListParagraph"/>
        <w:spacing w:after="0" w:line="360" w:lineRule="auto"/>
        <w:ind w:left="0"/>
        <w:jc w:val="both"/>
        <w:rPr>
          <w:rFonts w:ascii="Arial" w:hAnsi="Arial" w:cs="Arial"/>
          <w:sz w:val="24"/>
          <w:szCs w:val="24"/>
          <w:lang w:val="en-US"/>
        </w:rPr>
      </w:pPr>
      <w:r>
        <w:rPr>
          <w:rFonts w:ascii="Arial" w:hAnsi="Arial" w:cs="Arial"/>
          <w:sz w:val="24"/>
          <w:szCs w:val="24"/>
          <w:lang w:val="en-US"/>
        </w:rPr>
        <w:t>[2</w:t>
      </w:r>
      <w:r w:rsidR="00C11D4B">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995F9A" w:rsidRPr="00CC1B93">
        <w:rPr>
          <w:rFonts w:ascii="Arial" w:hAnsi="Arial" w:cs="Arial"/>
          <w:sz w:val="24"/>
          <w:szCs w:val="24"/>
          <w:lang w:val="en-US"/>
        </w:rPr>
        <w:t xml:space="preserve">In </w:t>
      </w:r>
      <w:r w:rsidR="00995F9A" w:rsidRPr="00CC1B93">
        <w:rPr>
          <w:rFonts w:ascii="Arial" w:hAnsi="Arial" w:cs="Arial"/>
          <w:i/>
          <w:iCs/>
          <w:sz w:val="24"/>
          <w:szCs w:val="24"/>
          <w:lang w:val="en-US"/>
        </w:rPr>
        <w:t>casu</w:t>
      </w:r>
      <w:r w:rsidR="00995F9A" w:rsidRPr="00CC1B93">
        <w:rPr>
          <w:rFonts w:ascii="Arial" w:hAnsi="Arial" w:cs="Arial"/>
          <w:sz w:val="24"/>
          <w:szCs w:val="24"/>
          <w:lang w:val="en-US"/>
        </w:rPr>
        <w:t>, t</w:t>
      </w:r>
      <w:r w:rsidR="00CF14D1" w:rsidRPr="00CC1B93">
        <w:rPr>
          <w:rFonts w:ascii="Arial" w:hAnsi="Arial" w:cs="Arial"/>
          <w:sz w:val="24"/>
          <w:szCs w:val="24"/>
          <w:lang w:val="en-US"/>
        </w:rPr>
        <w:t>he plaintiff cannot shrug off its responsibility by pointing out to the car dealer.</w:t>
      </w:r>
      <w:r w:rsidR="006B22C7" w:rsidRPr="00CC1B93">
        <w:rPr>
          <w:rFonts w:ascii="Arial" w:hAnsi="Arial" w:cs="Arial"/>
          <w:sz w:val="24"/>
          <w:szCs w:val="24"/>
          <w:lang w:val="en-US"/>
        </w:rPr>
        <w:t xml:space="preserve"> </w:t>
      </w:r>
      <w:r w:rsidR="00995F9A" w:rsidRPr="00CC1B93">
        <w:rPr>
          <w:rFonts w:ascii="Arial" w:hAnsi="Arial" w:cs="Arial"/>
          <w:sz w:val="24"/>
          <w:szCs w:val="24"/>
          <w:lang w:val="en-US"/>
        </w:rPr>
        <w:t>The defendant is entitled to approach the plaintiff for redress</w:t>
      </w:r>
      <w:r w:rsidR="005323C1" w:rsidRPr="00CC1B93">
        <w:rPr>
          <w:rFonts w:ascii="Arial" w:hAnsi="Arial" w:cs="Arial"/>
          <w:sz w:val="24"/>
          <w:szCs w:val="24"/>
          <w:lang w:val="en-US"/>
        </w:rPr>
        <w:t xml:space="preserve">. Hence, </w:t>
      </w:r>
      <w:r w:rsidR="00D5224D">
        <w:rPr>
          <w:rFonts w:ascii="Arial" w:hAnsi="Arial" w:cs="Arial"/>
          <w:sz w:val="24"/>
          <w:szCs w:val="24"/>
          <w:lang w:val="en-US"/>
        </w:rPr>
        <w:t xml:space="preserve">I am satisfied </w:t>
      </w:r>
      <w:r w:rsidR="005323C1" w:rsidRPr="00CC1B93">
        <w:rPr>
          <w:rFonts w:ascii="Arial" w:hAnsi="Arial" w:cs="Arial"/>
          <w:sz w:val="24"/>
          <w:szCs w:val="24"/>
          <w:lang w:val="en-US"/>
        </w:rPr>
        <w:t>that the defendant ha</w:t>
      </w:r>
      <w:r w:rsidR="0042732B">
        <w:rPr>
          <w:rFonts w:ascii="Arial" w:hAnsi="Arial" w:cs="Arial"/>
          <w:sz w:val="24"/>
          <w:szCs w:val="24"/>
          <w:lang w:val="en-US"/>
        </w:rPr>
        <w:t xml:space="preserve">s </w:t>
      </w:r>
      <w:r w:rsidR="005323C1" w:rsidRPr="00CC1B93">
        <w:rPr>
          <w:rFonts w:ascii="Arial" w:hAnsi="Arial" w:cs="Arial"/>
          <w:sz w:val="24"/>
          <w:szCs w:val="24"/>
          <w:lang w:val="en-US"/>
        </w:rPr>
        <w:t>raise</w:t>
      </w:r>
      <w:r w:rsidR="002D3CF3">
        <w:rPr>
          <w:rFonts w:ascii="Arial" w:hAnsi="Arial" w:cs="Arial"/>
          <w:sz w:val="24"/>
          <w:szCs w:val="24"/>
          <w:lang w:val="en-US"/>
        </w:rPr>
        <w:t>d</w:t>
      </w:r>
      <w:r w:rsidR="00BE1CBA">
        <w:rPr>
          <w:rFonts w:ascii="Arial" w:hAnsi="Arial" w:cs="Arial"/>
          <w:sz w:val="24"/>
          <w:szCs w:val="24"/>
          <w:lang w:val="en-US"/>
        </w:rPr>
        <w:t xml:space="preserve"> </w:t>
      </w:r>
      <w:r w:rsidR="00BE1CBA" w:rsidRPr="009755DB">
        <w:rPr>
          <w:rFonts w:ascii="Arial" w:hAnsi="Arial" w:cs="Arial"/>
          <w:i/>
          <w:iCs/>
          <w:sz w:val="24"/>
          <w:szCs w:val="24"/>
          <w:lang w:val="en-US"/>
        </w:rPr>
        <w:t>bona fide</w:t>
      </w:r>
      <w:r w:rsidR="00BE1CBA">
        <w:rPr>
          <w:rFonts w:ascii="Arial" w:hAnsi="Arial" w:cs="Arial"/>
          <w:i/>
          <w:iCs/>
          <w:sz w:val="24"/>
          <w:szCs w:val="24"/>
          <w:lang w:val="en-US"/>
        </w:rPr>
        <w:t xml:space="preserve"> </w:t>
      </w:r>
      <w:r w:rsidR="00BE1CBA" w:rsidRPr="009755DB">
        <w:rPr>
          <w:rFonts w:ascii="Arial" w:hAnsi="Arial" w:cs="Arial"/>
          <w:sz w:val="24"/>
          <w:szCs w:val="24"/>
          <w:lang w:val="en-US"/>
        </w:rPr>
        <w:t>defence</w:t>
      </w:r>
      <w:r w:rsidR="00BE1CBA">
        <w:rPr>
          <w:rFonts w:ascii="Arial" w:hAnsi="Arial" w:cs="Arial"/>
          <w:sz w:val="24"/>
          <w:szCs w:val="24"/>
          <w:lang w:val="en-US"/>
        </w:rPr>
        <w:t xml:space="preserve"> to the </w:t>
      </w:r>
      <w:r w:rsidR="00FF3348">
        <w:rPr>
          <w:rFonts w:ascii="Arial" w:hAnsi="Arial" w:cs="Arial"/>
          <w:sz w:val="24"/>
          <w:szCs w:val="24"/>
          <w:lang w:val="en-US"/>
        </w:rPr>
        <w:t>claim</w:t>
      </w:r>
      <w:r w:rsidR="00FF3348">
        <w:rPr>
          <w:rFonts w:ascii="Arial" w:hAnsi="Arial" w:cs="Arial"/>
          <w:i/>
          <w:iCs/>
          <w:sz w:val="24"/>
          <w:szCs w:val="24"/>
          <w:lang w:val="en-US"/>
        </w:rPr>
        <w:t>.</w:t>
      </w:r>
      <w:r w:rsidR="00FF3348" w:rsidRPr="00CC1B93">
        <w:rPr>
          <w:rFonts w:ascii="Arial" w:hAnsi="Arial" w:cs="Arial"/>
          <w:sz w:val="24"/>
          <w:szCs w:val="24"/>
          <w:lang w:val="en-US"/>
        </w:rPr>
        <w:t xml:space="preserve"> It</w:t>
      </w:r>
      <w:r w:rsidR="006B22C7" w:rsidRPr="00CC1B93">
        <w:rPr>
          <w:rFonts w:ascii="Arial" w:hAnsi="Arial" w:cs="Arial"/>
          <w:sz w:val="24"/>
          <w:szCs w:val="24"/>
          <w:lang w:val="en-US"/>
        </w:rPr>
        <w:t xml:space="preserve"> is </w:t>
      </w:r>
      <w:r w:rsidR="00494859" w:rsidRPr="00CC1B93">
        <w:rPr>
          <w:rFonts w:ascii="Arial" w:hAnsi="Arial" w:cs="Arial"/>
          <w:sz w:val="24"/>
          <w:szCs w:val="24"/>
          <w:lang w:val="en-US"/>
        </w:rPr>
        <w:t xml:space="preserve">when the consumer takes out a </w:t>
      </w:r>
      <w:r w:rsidR="00EF288E">
        <w:rPr>
          <w:rFonts w:ascii="Arial" w:hAnsi="Arial" w:cs="Arial"/>
          <w:sz w:val="24"/>
          <w:szCs w:val="24"/>
          <w:lang w:val="en-US"/>
        </w:rPr>
        <w:t xml:space="preserve">personal </w:t>
      </w:r>
      <w:r w:rsidR="00494859" w:rsidRPr="00CC1B93">
        <w:rPr>
          <w:rFonts w:ascii="Arial" w:hAnsi="Arial" w:cs="Arial"/>
          <w:sz w:val="24"/>
          <w:szCs w:val="24"/>
          <w:lang w:val="en-US"/>
        </w:rPr>
        <w:t>loan to purchase a car that the bank is solely a credit provider</w:t>
      </w:r>
      <w:r w:rsidR="008840C3">
        <w:rPr>
          <w:rFonts w:ascii="Arial" w:hAnsi="Arial" w:cs="Arial"/>
          <w:sz w:val="24"/>
          <w:szCs w:val="24"/>
          <w:lang w:val="en-US"/>
        </w:rPr>
        <w:t>.</w:t>
      </w:r>
      <w:r w:rsidR="001B3D65">
        <w:rPr>
          <w:rFonts w:ascii="Arial" w:hAnsi="Arial" w:cs="Arial"/>
          <w:sz w:val="24"/>
          <w:szCs w:val="24"/>
          <w:lang w:val="en-US"/>
        </w:rPr>
        <w:t xml:space="preserve"> The</w:t>
      </w:r>
      <w:r w:rsidR="008840C3">
        <w:rPr>
          <w:rFonts w:ascii="Arial" w:hAnsi="Arial" w:cs="Arial"/>
          <w:sz w:val="24"/>
          <w:szCs w:val="24"/>
          <w:lang w:val="en-US"/>
        </w:rPr>
        <w:t xml:space="preserve"> </w:t>
      </w:r>
      <w:r w:rsidR="001B3D65">
        <w:rPr>
          <w:rFonts w:ascii="Arial" w:hAnsi="Arial" w:cs="Arial"/>
          <w:sz w:val="24"/>
          <w:szCs w:val="24"/>
          <w:lang w:val="en-US"/>
        </w:rPr>
        <w:t xml:space="preserve">CPA </w:t>
      </w:r>
      <w:r w:rsidR="00BE1CBA">
        <w:rPr>
          <w:rFonts w:ascii="Arial" w:hAnsi="Arial" w:cs="Arial"/>
          <w:sz w:val="24"/>
          <w:szCs w:val="24"/>
          <w:lang w:val="en-US"/>
        </w:rPr>
        <w:t xml:space="preserve">’s section 5(2)(d) applies </w:t>
      </w:r>
      <w:r w:rsidR="00BE1CBA" w:rsidRPr="001B3D65">
        <w:rPr>
          <w:rFonts w:ascii="Arial" w:hAnsi="Arial" w:cs="Arial"/>
          <w:i/>
          <w:iCs/>
          <w:sz w:val="24"/>
          <w:szCs w:val="24"/>
          <w:lang w:val="en-US"/>
        </w:rPr>
        <w:t>ex lege</w:t>
      </w:r>
      <w:r w:rsidR="00BE1CBA">
        <w:rPr>
          <w:rFonts w:ascii="Arial" w:hAnsi="Arial" w:cs="Arial"/>
          <w:sz w:val="24"/>
          <w:szCs w:val="24"/>
          <w:lang w:val="en-US"/>
        </w:rPr>
        <w:t xml:space="preserve"> </w:t>
      </w:r>
      <w:r w:rsidR="00FF3348">
        <w:rPr>
          <w:rFonts w:ascii="Arial" w:hAnsi="Arial" w:cs="Arial"/>
          <w:sz w:val="24"/>
          <w:szCs w:val="24"/>
          <w:lang w:val="en-US"/>
        </w:rPr>
        <w:t xml:space="preserve">to </w:t>
      </w:r>
      <w:r w:rsidR="00BE1CBA">
        <w:rPr>
          <w:rFonts w:ascii="Arial" w:hAnsi="Arial" w:cs="Arial"/>
          <w:sz w:val="24"/>
          <w:szCs w:val="24"/>
          <w:lang w:val="en-US"/>
        </w:rPr>
        <w:t>goods sold and financed in contracts involving instalment agreements governed by the NCA.</w:t>
      </w:r>
    </w:p>
    <w:p w14:paraId="4E23BC4F" w14:textId="77777777" w:rsidR="00E63C5E" w:rsidRPr="00FF3348" w:rsidRDefault="00E63C5E" w:rsidP="00FF3348">
      <w:pPr>
        <w:spacing w:after="0" w:line="360" w:lineRule="auto"/>
        <w:rPr>
          <w:rFonts w:ascii="Arial" w:hAnsi="Arial" w:cs="Arial"/>
          <w:sz w:val="24"/>
          <w:szCs w:val="24"/>
          <w:lang w:val="en-US"/>
        </w:rPr>
      </w:pPr>
    </w:p>
    <w:p w14:paraId="14AD889B" w14:textId="395428CB" w:rsidR="00936D92" w:rsidRPr="00FF3348" w:rsidRDefault="00936D92" w:rsidP="00FF3348">
      <w:pPr>
        <w:spacing w:after="0"/>
        <w:jc w:val="both"/>
        <w:rPr>
          <w:rFonts w:ascii="Arial" w:hAnsi="Arial" w:cs="Arial"/>
          <w:i/>
          <w:iCs/>
          <w:sz w:val="24"/>
          <w:szCs w:val="24"/>
          <w:lang w:val="en-US"/>
        </w:rPr>
      </w:pPr>
      <w:r w:rsidRPr="00FF3348">
        <w:rPr>
          <w:rFonts w:ascii="Arial" w:hAnsi="Arial" w:cs="Arial"/>
          <w:i/>
          <w:iCs/>
          <w:sz w:val="24"/>
          <w:szCs w:val="24"/>
          <w:lang w:val="en-US"/>
        </w:rPr>
        <w:t>Costs</w:t>
      </w:r>
    </w:p>
    <w:p w14:paraId="31BB9F7A" w14:textId="6B9D6804" w:rsidR="00710655" w:rsidRPr="009755DB" w:rsidRDefault="00E109FF" w:rsidP="003852C9">
      <w:pPr>
        <w:spacing w:after="0" w:line="360" w:lineRule="auto"/>
        <w:jc w:val="both"/>
        <w:rPr>
          <w:rFonts w:ascii="Arial" w:hAnsi="Arial" w:cs="Arial"/>
          <w:sz w:val="24"/>
          <w:szCs w:val="24"/>
          <w:lang w:val="en-US"/>
        </w:rPr>
      </w:pPr>
      <w:r>
        <w:rPr>
          <w:rFonts w:ascii="Arial" w:hAnsi="Arial" w:cs="Arial"/>
          <w:sz w:val="24"/>
          <w:szCs w:val="24"/>
          <w:lang w:val="en-US"/>
        </w:rPr>
        <w:t>[2</w:t>
      </w:r>
      <w:r w:rsidR="00C11D4B">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F15F08" w:rsidRPr="009755DB">
        <w:rPr>
          <w:rFonts w:ascii="Arial" w:hAnsi="Arial" w:cs="Arial"/>
          <w:sz w:val="24"/>
          <w:szCs w:val="24"/>
          <w:lang w:val="en-US"/>
        </w:rPr>
        <w:t>The</w:t>
      </w:r>
      <w:r w:rsidR="00C617E0" w:rsidRPr="009755DB">
        <w:rPr>
          <w:rFonts w:ascii="Arial" w:hAnsi="Arial" w:cs="Arial"/>
          <w:sz w:val="24"/>
          <w:szCs w:val="24"/>
          <w:lang w:val="en-US"/>
        </w:rPr>
        <w:t xml:space="preserve"> matter was </w:t>
      </w:r>
      <w:r w:rsidR="0082606B" w:rsidRPr="0082606B">
        <w:rPr>
          <w:rFonts w:ascii="Arial" w:hAnsi="Arial" w:cs="Arial"/>
          <w:sz w:val="24"/>
          <w:szCs w:val="24"/>
          <w:lang w:val="en-US"/>
        </w:rPr>
        <w:t>set down</w:t>
      </w:r>
      <w:r w:rsidR="00C617E0" w:rsidRPr="009755DB">
        <w:rPr>
          <w:rFonts w:ascii="Arial" w:hAnsi="Arial" w:cs="Arial"/>
          <w:sz w:val="24"/>
          <w:szCs w:val="24"/>
          <w:lang w:val="en-US"/>
        </w:rPr>
        <w:t xml:space="preserve"> </w:t>
      </w:r>
      <w:r w:rsidR="00480134" w:rsidRPr="009755DB">
        <w:rPr>
          <w:rFonts w:ascii="Arial" w:hAnsi="Arial" w:cs="Arial"/>
          <w:sz w:val="24"/>
          <w:szCs w:val="24"/>
          <w:lang w:val="en-US"/>
        </w:rPr>
        <w:t xml:space="preserve">to be heard </w:t>
      </w:r>
      <w:r w:rsidR="00C617E0" w:rsidRPr="009755DB">
        <w:rPr>
          <w:rFonts w:ascii="Arial" w:hAnsi="Arial" w:cs="Arial"/>
          <w:sz w:val="24"/>
          <w:szCs w:val="24"/>
          <w:lang w:val="en-US"/>
        </w:rPr>
        <w:t xml:space="preserve">on </w:t>
      </w:r>
      <w:r w:rsidR="00F15F08" w:rsidRPr="009755DB">
        <w:rPr>
          <w:rFonts w:ascii="Arial" w:hAnsi="Arial" w:cs="Arial"/>
          <w:sz w:val="24"/>
          <w:szCs w:val="24"/>
          <w:lang w:val="en-US"/>
        </w:rPr>
        <w:t>13 November 2023</w:t>
      </w:r>
      <w:r w:rsidR="00C617E0" w:rsidRPr="009755DB">
        <w:rPr>
          <w:rFonts w:ascii="Arial" w:hAnsi="Arial" w:cs="Arial"/>
          <w:sz w:val="24"/>
          <w:szCs w:val="24"/>
          <w:lang w:val="en-US"/>
        </w:rPr>
        <w:t xml:space="preserve">. It did not proceed due to the applicant’s </w:t>
      </w:r>
      <w:r w:rsidR="00BB7AC2" w:rsidRPr="009755DB">
        <w:rPr>
          <w:rFonts w:ascii="Arial" w:hAnsi="Arial" w:cs="Arial"/>
          <w:sz w:val="24"/>
          <w:szCs w:val="24"/>
          <w:lang w:val="en-US"/>
        </w:rPr>
        <w:t xml:space="preserve">doing, to put it politely. Hence, </w:t>
      </w:r>
      <w:r w:rsidR="003C30B7">
        <w:rPr>
          <w:rFonts w:ascii="Arial" w:hAnsi="Arial" w:cs="Arial"/>
          <w:sz w:val="24"/>
          <w:szCs w:val="24"/>
          <w:lang w:val="en-US"/>
        </w:rPr>
        <w:t>C</w:t>
      </w:r>
      <w:r w:rsidR="00BB7AC2" w:rsidRPr="009755DB">
        <w:rPr>
          <w:rFonts w:ascii="Arial" w:hAnsi="Arial" w:cs="Arial"/>
          <w:sz w:val="24"/>
          <w:szCs w:val="24"/>
          <w:lang w:val="en-US"/>
        </w:rPr>
        <w:t>ounsel’s protestation</w:t>
      </w:r>
      <w:r w:rsidR="005E31A5" w:rsidRPr="009755DB">
        <w:rPr>
          <w:rFonts w:ascii="Arial" w:hAnsi="Arial" w:cs="Arial"/>
          <w:sz w:val="24"/>
          <w:szCs w:val="24"/>
          <w:lang w:val="en-US"/>
        </w:rPr>
        <w:t xml:space="preserve"> </w:t>
      </w:r>
      <w:r w:rsidR="004370F4" w:rsidRPr="009755DB">
        <w:rPr>
          <w:rFonts w:ascii="Arial" w:hAnsi="Arial" w:cs="Arial"/>
          <w:sz w:val="24"/>
          <w:szCs w:val="24"/>
          <w:lang w:val="en-US"/>
        </w:rPr>
        <w:t xml:space="preserve">against his opponent’s submission that </w:t>
      </w:r>
      <w:r w:rsidR="00BB7AC2" w:rsidRPr="009755DB">
        <w:rPr>
          <w:rFonts w:ascii="Arial" w:hAnsi="Arial" w:cs="Arial"/>
          <w:sz w:val="24"/>
          <w:szCs w:val="24"/>
          <w:lang w:val="en-US"/>
        </w:rPr>
        <w:t>the costs</w:t>
      </w:r>
      <w:r w:rsidR="004370F4" w:rsidRPr="009755DB">
        <w:rPr>
          <w:rFonts w:ascii="Arial" w:hAnsi="Arial" w:cs="Arial"/>
          <w:sz w:val="24"/>
          <w:szCs w:val="24"/>
          <w:lang w:val="en-US"/>
        </w:rPr>
        <w:t xml:space="preserve"> for that day should</w:t>
      </w:r>
      <w:r w:rsidR="00BB7AC2" w:rsidRPr="009755DB">
        <w:rPr>
          <w:rFonts w:ascii="Arial" w:hAnsi="Arial" w:cs="Arial"/>
          <w:sz w:val="24"/>
          <w:szCs w:val="24"/>
          <w:lang w:val="en-US"/>
        </w:rPr>
        <w:t xml:space="preserve"> be born</w:t>
      </w:r>
      <w:r w:rsidR="00147F2B" w:rsidRPr="009755DB">
        <w:rPr>
          <w:rFonts w:ascii="Arial" w:hAnsi="Arial" w:cs="Arial"/>
          <w:sz w:val="24"/>
          <w:szCs w:val="24"/>
          <w:lang w:val="en-US"/>
        </w:rPr>
        <w:t>e</w:t>
      </w:r>
      <w:r w:rsidR="00BB7AC2" w:rsidRPr="009755DB">
        <w:rPr>
          <w:rFonts w:ascii="Arial" w:hAnsi="Arial" w:cs="Arial"/>
          <w:sz w:val="24"/>
          <w:szCs w:val="24"/>
          <w:lang w:val="en-US"/>
        </w:rPr>
        <w:t xml:space="preserve"> by the applicant was muted. Accordingly, the </w:t>
      </w:r>
      <w:r w:rsidR="002A1E5E" w:rsidRPr="009755DB">
        <w:rPr>
          <w:rFonts w:ascii="Arial" w:hAnsi="Arial" w:cs="Arial"/>
          <w:sz w:val="24"/>
          <w:szCs w:val="24"/>
          <w:lang w:val="en-US"/>
        </w:rPr>
        <w:t xml:space="preserve">applicant will be saddled with wasted </w:t>
      </w:r>
      <w:r w:rsidR="00BB7AC2" w:rsidRPr="009755DB">
        <w:rPr>
          <w:rFonts w:ascii="Arial" w:hAnsi="Arial" w:cs="Arial"/>
          <w:sz w:val="24"/>
          <w:szCs w:val="24"/>
          <w:lang w:val="en-US"/>
        </w:rPr>
        <w:t>cost</w:t>
      </w:r>
      <w:r w:rsidR="002A1E5E" w:rsidRPr="009755DB">
        <w:rPr>
          <w:rFonts w:ascii="Arial" w:hAnsi="Arial" w:cs="Arial"/>
          <w:sz w:val="24"/>
          <w:szCs w:val="24"/>
          <w:lang w:val="en-US"/>
        </w:rPr>
        <w:t>s for that day</w:t>
      </w:r>
      <w:r w:rsidR="00147F2B" w:rsidRPr="009755DB">
        <w:rPr>
          <w:rFonts w:ascii="Arial" w:hAnsi="Arial" w:cs="Arial"/>
          <w:sz w:val="24"/>
          <w:szCs w:val="24"/>
          <w:lang w:val="en-US"/>
        </w:rPr>
        <w:t xml:space="preserve">. The costs of the hearing will be </w:t>
      </w:r>
      <w:r w:rsidR="00710655" w:rsidRPr="009755DB">
        <w:rPr>
          <w:rFonts w:ascii="Arial" w:hAnsi="Arial" w:cs="Arial"/>
          <w:sz w:val="24"/>
          <w:szCs w:val="24"/>
          <w:lang w:val="en-US"/>
        </w:rPr>
        <w:t>costs in the cause.</w:t>
      </w:r>
      <w:r w:rsidR="00BF637B">
        <w:rPr>
          <w:rFonts w:ascii="Arial" w:hAnsi="Arial" w:cs="Arial"/>
          <w:sz w:val="24"/>
          <w:szCs w:val="24"/>
          <w:lang w:val="en-US"/>
        </w:rPr>
        <w:t xml:space="preserve"> </w:t>
      </w:r>
    </w:p>
    <w:p w14:paraId="41D1593A" w14:textId="77777777" w:rsidR="00710655" w:rsidRPr="00CC1B93" w:rsidRDefault="00710655" w:rsidP="003852C9">
      <w:pPr>
        <w:spacing w:after="0" w:line="360" w:lineRule="auto"/>
        <w:jc w:val="both"/>
        <w:rPr>
          <w:rFonts w:ascii="Arial" w:hAnsi="Arial" w:cs="Arial"/>
          <w:sz w:val="24"/>
          <w:szCs w:val="24"/>
          <w:lang w:val="en-US"/>
        </w:rPr>
      </w:pPr>
    </w:p>
    <w:p w14:paraId="0AD0B506" w14:textId="50CA5354" w:rsidR="00710655" w:rsidRDefault="00E109FF" w:rsidP="003852C9">
      <w:pPr>
        <w:spacing w:after="0"/>
        <w:jc w:val="both"/>
        <w:rPr>
          <w:rFonts w:ascii="Arial" w:hAnsi="Arial" w:cs="Arial"/>
          <w:sz w:val="24"/>
          <w:szCs w:val="24"/>
          <w:lang w:val="en-US"/>
        </w:rPr>
      </w:pPr>
      <w:r>
        <w:rPr>
          <w:rFonts w:ascii="Arial" w:hAnsi="Arial" w:cs="Arial"/>
          <w:sz w:val="24"/>
          <w:szCs w:val="24"/>
          <w:lang w:val="en-US"/>
        </w:rPr>
        <w:t>[2</w:t>
      </w:r>
      <w:r w:rsidR="00C11D4B">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710655" w:rsidRPr="00CC1B93">
        <w:rPr>
          <w:rFonts w:ascii="Arial" w:hAnsi="Arial" w:cs="Arial"/>
          <w:sz w:val="24"/>
          <w:szCs w:val="24"/>
          <w:lang w:val="en-US"/>
        </w:rPr>
        <w:t>In the result I make the following order</w:t>
      </w:r>
      <w:r>
        <w:rPr>
          <w:rFonts w:ascii="Arial" w:hAnsi="Arial" w:cs="Arial"/>
          <w:sz w:val="24"/>
          <w:szCs w:val="24"/>
          <w:lang w:val="en-US"/>
        </w:rPr>
        <w:t>:</w:t>
      </w:r>
    </w:p>
    <w:p w14:paraId="51749EF9" w14:textId="77777777" w:rsidR="00E109FF" w:rsidRPr="00CC1B93" w:rsidRDefault="00E109FF" w:rsidP="00A64118">
      <w:pPr>
        <w:jc w:val="both"/>
        <w:rPr>
          <w:rFonts w:ascii="Arial" w:hAnsi="Arial" w:cs="Arial"/>
          <w:sz w:val="24"/>
          <w:szCs w:val="24"/>
          <w:lang w:val="en-US"/>
        </w:rPr>
      </w:pPr>
    </w:p>
    <w:p w14:paraId="5C5CE6AB" w14:textId="77777777" w:rsidR="00710655" w:rsidRPr="009755DB" w:rsidRDefault="00710655" w:rsidP="00A64118">
      <w:pPr>
        <w:jc w:val="both"/>
        <w:rPr>
          <w:rFonts w:ascii="Arial" w:hAnsi="Arial" w:cs="Arial"/>
          <w:b/>
          <w:bCs/>
          <w:sz w:val="24"/>
          <w:szCs w:val="24"/>
          <w:lang w:val="en-US"/>
        </w:rPr>
      </w:pPr>
      <w:r w:rsidRPr="009755DB">
        <w:rPr>
          <w:rFonts w:ascii="Arial" w:hAnsi="Arial" w:cs="Arial"/>
          <w:b/>
          <w:bCs/>
          <w:sz w:val="24"/>
          <w:szCs w:val="24"/>
          <w:lang w:val="en-US"/>
        </w:rPr>
        <w:t>ORDER</w:t>
      </w:r>
    </w:p>
    <w:p w14:paraId="4247B2AA" w14:textId="77777777" w:rsidR="000A6EA8" w:rsidRPr="00CC1B93" w:rsidRDefault="006838C0" w:rsidP="00A64118">
      <w:pPr>
        <w:jc w:val="both"/>
        <w:rPr>
          <w:rFonts w:ascii="Arial" w:hAnsi="Arial" w:cs="Arial"/>
          <w:sz w:val="24"/>
          <w:szCs w:val="24"/>
          <w:lang w:val="en-US"/>
        </w:rPr>
      </w:pPr>
      <w:r w:rsidRPr="00CC1B93">
        <w:rPr>
          <w:rFonts w:ascii="Arial" w:hAnsi="Arial" w:cs="Arial"/>
          <w:sz w:val="24"/>
          <w:szCs w:val="24"/>
          <w:lang w:val="en-US"/>
        </w:rPr>
        <w:t>1.</w:t>
      </w:r>
      <w:r w:rsidR="00710655" w:rsidRPr="00CC1B93">
        <w:rPr>
          <w:rFonts w:ascii="Arial" w:hAnsi="Arial" w:cs="Arial"/>
          <w:sz w:val="24"/>
          <w:szCs w:val="24"/>
          <w:lang w:val="en-US"/>
        </w:rPr>
        <w:t>The application for summary judgment is dismissed</w:t>
      </w:r>
      <w:r w:rsidR="000A6EA8" w:rsidRPr="00CC1B93">
        <w:rPr>
          <w:rFonts w:ascii="Arial" w:hAnsi="Arial" w:cs="Arial"/>
          <w:sz w:val="24"/>
          <w:szCs w:val="24"/>
          <w:lang w:val="en-US"/>
        </w:rPr>
        <w:t>.</w:t>
      </w:r>
    </w:p>
    <w:p w14:paraId="3E1A5C36" w14:textId="1C92A158" w:rsidR="006838C0" w:rsidRPr="00CC1B93" w:rsidRDefault="000A6EA8" w:rsidP="00A64118">
      <w:pPr>
        <w:jc w:val="both"/>
        <w:rPr>
          <w:rFonts w:ascii="Arial" w:hAnsi="Arial" w:cs="Arial"/>
          <w:sz w:val="24"/>
          <w:szCs w:val="24"/>
          <w:lang w:val="en-US"/>
        </w:rPr>
      </w:pPr>
      <w:r w:rsidRPr="00CC1B93">
        <w:rPr>
          <w:rFonts w:ascii="Arial" w:hAnsi="Arial" w:cs="Arial"/>
          <w:sz w:val="24"/>
          <w:szCs w:val="24"/>
          <w:lang w:val="en-US"/>
        </w:rPr>
        <w:t xml:space="preserve">2. The costs of the summary judgment application are </w:t>
      </w:r>
      <w:r w:rsidR="001C197C" w:rsidRPr="00CC1B93">
        <w:rPr>
          <w:rFonts w:ascii="Arial" w:hAnsi="Arial" w:cs="Arial"/>
          <w:sz w:val="24"/>
          <w:szCs w:val="24"/>
          <w:lang w:val="en-US"/>
        </w:rPr>
        <w:t>costs in the cause.</w:t>
      </w:r>
    </w:p>
    <w:p w14:paraId="6E7F7919" w14:textId="2079E065" w:rsidR="006838C0" w:rsidRPr="00CC1B93" w:rsidRDefault="00480134" w:rsidP="00A64118">
      <w:pPr>
        <w:jc w:val="both"/>
        <w:rPr>
          <w:rFonts w:ascii="Arial" w:hAnsi="Arial" w:cs="Arial"/>
          <w:sz w:val="24"/>
          <w:szCs w:val="24"/>
          <w:lang w:val="en-US"/>
        </w:rPr>
      </w:pPr>
      <w:r w:rsidRPr="00CC1B93">
        <w:rPr>
          <w:rFonts w:ascii="Arial" w:hAnsi="Arial" w:cs="Arial"/>
          <w:sz w:val="24"/>
          <w:szCs w:val="24"/>
          <w:lang w:val="en-US"/>
        </w:rPr>
        <w:lastRenderedPageBreak/>
        <w:t>3</w:t>
      </w:r>
      <w:r w:rsidR="006838C0" w:rsidRPr="00CC1B93">
        <w:rPr>
          <w:rFonts w:ascii="Arial" w:hAnsi="Arial" w:cs="Arial"/>
          <w:sz w:val="24"/>
          <w:szCs w:val="24"/>
          <w:lang w:val="en-US"/>
        </w:rPr>
        <w:t xml:space="preserve">. The </w:t>
      </w:r>
      <w:r w:rsidR="00710655" w:rsidRPr="00CC1B93">
        <w:rPr>
          <w:rFonts w:ascii="Arial" w:hAnsi="Arial" w:cs="Arial"/>
          <w:sz w:val="24"/>
          <w:szCs w:val="24"/>
          <w:lang w:val="en-US"/>
        </w:rPr>
        <w:t>defendant is granted leave to defend</w:t>
      </w:r>
      <w:r w:rsidR="006838C0" w:rsidRPr="00CC1B93">
        <w:rPr>
          <w:rFonts w:ascii="Arial" w:hAnsi="Arial" w:cs="Arial"/>
          <w:sz w:val="24"/>
          <w:szCs w:val="24"/>
          <w:lang w:val="en-US"/>
        </w:rPr>
        <w:t>.</w:t>
      </w:r>
    </w:p>
    <w:p w14:paraId="2A848BA7" w14:textId="37DEE72A" w:rsidR="00F900D3" w:rsidRPr="00CC1B93" w:rsidRDefault="00480134" w:rsidP="00A64118">
      <w:pPr>
        <w:jc w:val="both"/>
        <w:rPr>
          <w:rFonts w:ascii="Arial" w:hAnsi="Arial" w:cs="Arial"/>
          <w:sz w:val="24"/>
          <w:szCs w:val="24"/>
          <w:lang w:val="en-US"/>
        </w:rPr>
      </w:pPr>
      <w:r w:rsidRPr="00CC1B93">
        <w:rPr>
          <w:rFonts w:ascii="Arial" w:hAnsi="Arial" w:cs="Arial"/>
          <w:sz w:val="24"/>
          <w:szCs w:val="24"/>
          <w:lang w:val="en-US"/>
        </w:rPr>
        <w:t>4</w:t>
      </w:r>
      <w:r w:rsidR="00F900D3" w:rsidRPr="00CC1B93">
        <w:rPr>
          <w:rFonts w:ascii="Arial" w:hAnsi="Arial" w:cs="Arial"/>
          <w:sz w:val="24"/>
          <w:szCs w:val="24"/>
          <w:lang w:val="en-US"/>
        </w:rPr>
        <w:t xml:space="preserve">. The </w:t>
      </w:r>
      <w:r w:rsidR="00A02FA8" w:rsidRPr="00CC1B93">
        <w:rPr>
          <w:rFonts w:ascii="Arial" w:hAnsi="Arial" w:cs="Arial"/>
          <w:sz w:val="24"/>
          <w:szCs w:val="24"/>
          <w:lang w:val="en-US"/>
        </w:rPr>
        <w:t>applicant has</w:t>
      </w:r>
      <w:r w:rsidR="00F900D3" w:rsidRPr="00CC1B93">
        <w:rPr>
          <w:rFonts w:ascii="Arial" w:hAnsi="Arial" w:cs="Arial"/>
          <w:sz w:val="24"/>
          <w:szCs w:val="24"/>
          <w:lang w:val="en-US"/>
        </w:rPr>
        <w:t xml:space="preserve"> to pay</w:t>
      </w:r>
      <w:r w:rsidR="00E30FC0" w:rsidRPr="00CC1B93">
        <w:rPr>
          <w:rFonts w:ascii="Arial" w:hAnsi="Arial" w:cs="Arial"/>
          <w:sz w:val="24"/>
          <w:szCs w:val="24"/>
          <w:lang w:val="en-US"/>
        </w:rPr>
        <w:t xml:space="preserve"> </w:t>
      </w:r>
      <w:r w:rsidR="000A6EA8" w:rsidRPr="00CC1B93">
        <w:rPr>
          <w:rFonts w:ascii="Arial" w:hAnsi="Arial" w:cs="Arial"/>
          <w:sz w:val="24"/>
          <w:szCs w:val="24"/>
          <w:lang w:val="en-US"/>
        </w:rPr>
        <w:t xml:space="preserve">the wasted costs of </w:t>
      </w:r>
      <w:r w:rsidR="00F900D3" w:rsidRPr="00CC1B93">
        <w:rPr>
          <w:rFonts w:ascii="Arial" w:hAnsi="Arial" w:cs="Arial"/>
          <w:sz w:val="24"/>
          <w:szCs w:val="24"/>
          <w:lang w:val="en-US"/>
        </w:rPr>
        <w:t>13 November 2023</w:t>
      </w:r>
      <w:r w:rsidR="001C197C" w:rsidRPr="00CC1B93">
        <w:rPr>
          <w:rFonts w:ascii="Arial" w:hAnsi="Arial" w:cs="Arial"/>
          <w:sz w:val="24"/>
          <w:szCs w:val="24"/>
          <w:lang w:val="en-US"/>
        </w:rPr>
        <w:t>.</w:t>
      </w:r>
      <w:r w:rsidR="00F900D3" w:rsidRPr="00CC1B93">
        <w:rPr>
          <w:rFonts w:ascii="Arial" w:hAnsi="Arial" w:cs="Arial"/>
          <w:sz w:val="24"/>
          <w:szCs w:val="24"/>
          <w:lang w:val="en-US"/>
        </w:rPr>
        <w:t xml:space="preserve"> </w:t>
      </w:r>
    </w:p>
    <w:p w14:paraId="34F5FA10" w14:textId="77777777" w:rsidR="006838C0" w:rsidRPr="00CC1B93" w:rsidRDefault="006838C0" w:rsidP="00A64118">
      <w:pPr>
        <w:jc w:val="both"/>
        <w:rPr>
          <w:rFonts w:ascii="Arial" w:hAnsi="Arial" w:cs="Arial"/>
          <w:sz w:val="24"/>
          <w:szCs w:val="24"/>
          <w:lang w:val="en-US"/>
        </w:rPr>
      </w:pPr>
    </w:p>
    <w:p w14:paraId="743EA212" w14:textId="77777777" w:rsidR="00CC1B93" w:rsidRPr="00CC1B93" w:rsidRDefault="00CC1B93" w:rsidP="00CC1B93">
      <w:pPr>
        <w:snapToGrid w:val="0"/>
        <w:spacing w:before="240" w:after="240" w:line="480" w:lineRule="auto"/>
        <w:ind w:left="1440" w:hanging="720"/>
        <w:jc w:val="right"/>
        <w:rPr>
          <w:rFonts w:ascii="Arial" w:hAnsi="Arial" w:cs="Arial"/>
          <w:sz w:val="24"/>
          <w:szCs w:val="24"/>
        </w:rPr>
      </w:pPr>
      <w:r w:rsidRPr="00CC1B93">
        <w:rPr>
          <w:rFonts w:ascii="Arial" w:hAnsi="Arial" w:cs="Arial"/>
          <w:sz w:val="24"/>
          <w:szCs w:val="24"/>
        </w:rPr>
        <w:t>_______________________</w:t>
      </w:r>
    </w:p>
    <w:p w14:paraId="21DC93C9" w14:textId="77777777" w:rsidR="00CC1B93" w:rsidRPr="00CC1B93" w:rsidRDefault="00CC1B93" w:rsidP="00CC1B93">
      <w:pPr>
        <w:spacing w:line="480" w:lineRule="auto"/>
        <w:jc w:val="right"/>
        <w:rPr>
          <w:rFonts w:ascii="Arial" w:hAnsi="Arial" w:cs="Arial"/>
          <w:b/>
          <w:sz w:val="24"/>
          <w:szCs w:val="24"/>
        </w:rPr>
      </w:pPr>
      <w:r w:rsidRPr="00CC1B93">
        <w:rPr>
          <w:rFonts w:ascii="Arial" w:hAnsi="Arial" w:cs="Arial"/>
          <w:b/>
          <w:sz w:val="24"/>
          <w:szCs w:val="24"/>
        </w:rPr>
        <w:t>M. P. MOTHA</w:t>
      </w:r>
    </w:p>
    <w:p w14:paraId="261E5A9E" w14:textId="77777777" w:rsidR="00CC1B93" w:rsidRPr="00CC1B93" w:rsidRDefault="00CC1B93" w:rsidP="00CC1B93">
      <w:pPr>
        <w:snapToGrid w:val="0"/>
        <w:spacing w:before="240" w:after="240" w:line="480" w:lineRule="auto"/>
        <w:ind w:left="1440" w:hanging="720"/>
        <w:jc w:val="right"/>
        <w:rPr>
          <w:rFonts w:ascii="Arial" w:hAnsi="Arial" w:cs="Arial"/>
          <w:b/>
          <w:sz w:val="24"/>
          <w:szCs w:val="24"/>
        </w:rPr>
      </w:pPr>
      <w:r w:rsidRPr="00CC1B93">
        <w:rPr>
          <w:rFonts w:ascii="Arial" w:hAnsi="Arial" w:cs="Arial"/>
          <w:b/>
          <w:sz w:val="24"/>
          <w:szCs w:val="24"/>
        </w:rPr>
        <w:t>JUDGE OF THE HIGH COURT, PRETORIA</w:t>
      </w:r>
    </w:p>
    <w:p w14:paraId="758715A5" w14:textId="77777777" w:rsidR="00CC1B93" w:rsidRPr="00CC1B93" w:rsidRDefault="00CC1B93" w:rsidP="00CC1B93">
      <w:pPr>
        <w:snapToGrid w:val="0"/>
        <w:spacing w:before="240" w:after="240" w:line="480" w:lineRule="auto"/>
        <w:ind w:left="1440" w:hanging="720"/>
        <w:rPr>
          <w:rFonts w:ascii="Arial" w:hAnsi="Arial" w:cs="Arial"/>
          <w:b/>
          <w:sz w:val="24"/>
          <w:szCs w:val="24"/>
        </w:rPr>
      </w:pPr>
      <w:r w:rsidRPr="00CC1B93">
        <w:rPr>
          <w:rFonts w:ascii="Arial" w:hAnsi="Arial" w:cs="Arial"/>
          <w:b/>
          <w:sz w:val="24"/>
          <w:szCs w:val="24"/>
        </w:rPr>
        <w:tab/>
      </w:r>
      <w:r w:rsidRPr="00CC1B93">
        <w:rPr>
          <w:rFonts w:ascii="Arial" w:hAnsi="Arial" w:cs="Arial"/>
          <w:b/>
          <w:sz w:val="24"/>
          <w:szCs w:val="24"/>
        </w:rPr>
        <w:tab/>
      </w:r>
    </w:p>
    <w:p w14:paraId="5A564843" w14:textId="4BE72781" w:rsidR="00CC1B93" w:rsidRPr="00CC1B93" w:rsidRDefault="00CC1B93" w:rsidP="009755DB">
      <w:pPr>
        <w:snapToGrid w:val="0"/>
        <w:spacing w:before="240" w:after="240" w:line="480" w:lineRule="auto"/>
        <w:rPr>
          <w:rFonts w:ascii="Arial" w:hAnsi="Arial" w:cs="Arial"/>
          <w:bCs/>
          <w:sz w:val="24"/>
          <w:szCs w:val="24"/>
        </w:rPr>
      </w:pPr>
      <w:r w:rsidRPr="00CC1B93">
        <w:rPr>
          <w:rFonts w:ascii="Arial" w:hAnsi="Arial" w:cs="Arial"/>
          <w:bCs/>
          <w:sz w:val="24"/>
          <w:szCs w:val="24"/>
        </w:rPr>
        <w:t>Date of hearing: 13 November 202</w:t>
      </w:r>
      <w:r w:rsidR="00184257">
        <w:rPr>
          <w:rFonts w:ascii="Arial" w:hAnsi="Arial" w:cs="Arial"/>
          <w:bCs/>
          <w:sz w:val="24"/>
          <w:szCs w:val="24"/>
        </w:rPr>
        <w:t>3</w:t>
      </w:r>
    </w:p>
    <w:p w14:paraId="3B1F0CC7" w14:textId="40FE704E" w:rsidR="00CC1B93" w:rsidRDefault="00CC1B93" w:rsidP="009755DB">
      <w:pPr>
        <w:snapToGrid w:val="0"/>
        <w:spacing w:before="240" w:after="240" w:line="480" w:lineRule="auto"/>
        <w:rPr>
          <w:rFonts w:ascii="Arial" w:hAnsi="Arial" w:cs="Arial"/>
          <w:bCs/>
          <w:sz w:val="24"/>
          <w:szCs w:val="24"/>
        </w:rPr>
      </w:pPr>
      <w:r w:rsidRPr="00CC1B93">
        <w:rPr>
          <w:rFonts w:ascii="Arial" w:hAnsi="Arial" w:cs="Arial"/>
          <w:bCs/>
          <w:sz w:val="24"/>
          <w:szCs w:val="24"/>
        </w:rPr>
        <w:t>Date of judgement:</w:t>
      </w:r>
      <w:r w:rsidR="00184257">
        <w:rPr>
          <w:rFonts w:ascii="Arial" w:hAnsi="Arial" w:cs="Arial"/>
          <w:bCs/>
          <w:sz w:val="24"/>
          <w:szCs w:val="24"/>
        </w:rPr>
        <w:t xml:space="preserve"> 02 </w:t>
      </w:r>
      <w:r w:rsidRPr="00CC1B93">
        <w:rPr>
          <w:rFonts w:ascii="Arial" w:hAnsi="Arial" w:cs="Arial"/>
          <w:bCs/>
          <w:sz w:val="24"/>
          <w:szCs w:val="24"/>
        </w:rPr>
        <w:t>February 2024</w:t>
      </w:r>
    </w:p>
    <w:p w14:paraId="1BB3E39D" w14:textId="77777777" w:rsidR="001E64FF" w:rsidRPr="00CC1B93" w:rsidRDefault="001E64FF" w:rsidP="009755DB">
      <w:pPr>
        <w:snapToGrid w:val="0"/>
        <w:spacing w:before="240" w:after="240" w:line="480" w:lineRule="auto"/>
        <w:rPr>
          <w:rFonts w:ascii="Arial" w:hAnsi="Arial" w:cs="Arial"/>
          <w:bCs/>
          <w:sz w:val="24"/>
          <w:szCs w:val="24"/>
        </w:rPr>
      </w:pPr>
    </w:p>
    <w:p w14:paraId="78A1C5E7" w14:textId="77777777" w:rsidR="00820CAA" w:rsidRDefault="00CC1B93" w:rsidP="0040685A">
      <w:pPr>
        <w:snapToGrid w:val="0"/>
        <w:spacing w:before="240" w:after="0" w:line="360" w:lineRule="auto"/>
        <w:rPr>
          <w:rFonts w:ascii="Arial" w:hAnsi="Arial" w:cs="Arial"/>
          <w:b/>
          <w:sz w:val="24"/>
          <w:szCs w:val="24"/>
        </w:rPr>
      </w:pPr>
      <w:r w:rsidRPr="00CC1B93">
        <w:rPr>
          <w:rFonts w:ascii="Arial" w:hAnsi="Arial" w:cs="Arial"/>
          <w:b/>
          <w:sz w:val="24"/>
          <w:szCs w:val="24"/>
        </w:rPr>
        <w:t>APPEARANCES</w:t>
      </w:r>
      <w:r w:rsidR="0040685A">
        <w:rPr>
          <w:rFonts w:ascii="Arial" w:hAnsi="Arial" w:cs="Arial"/>
          <w:b/>
          <w:sz w:val="24"/>
          <w:szCs w:val="24"/>
        </w:rPr>
        <w:t xml:space="preserve"> </w:t>
      </w:r>
    </w:p>
    <w:p w14:paraId="64EFFC23" w14:textId="15084091" w:rsidR="0040685A" w:rsidRPr="009755DB" w:rsidRDefault="0040685A" w:rsidP="0040685A">
      <w:pPr>
        <w:snapToGrid w:val="0"/>
        <w:spacing w:before="240" w:after="0" w:line="360" w:lineRule="auto"/>
        <w:rPr>
          <w:rFonts w:ascii="Arial" w:hAnsi="Arial" w:cs="Arial"/>
          <w:bCs/>
          <w:sz w:val="24"/>
          <w:szCs w:val="24"/>
        </w:rPr>
      </w:pPr>
      <w:r w:rsidRPr="009755DB">
        <w:rPr>
          <w:rFonts w:ascii="Arial" w:hAnsi="Arial" w:cs="Arial"/>
          <w:bCs/>
          <w:sz w:val="24"/>
          <w:szCs w:val="24"/>
        </w:rPr>
        <w:t xml:space="preserve">For the plaintiff/applicant </w:t>
      </w:r>
      <w:r w:rsidRPr="009755DB">
        <w:rPr>
          <w:rFonts w:ascii="Arial" w:hAnsi="Arial" w:cs="Arial"/>
          <w:bCs/>
          <w:sz w:val="24"/>
          <w:szCs w:val="24"/>
        </w:rPr>
        <w:tab/>
      </w:r>
      <w:r w:rsidRPr="009755DB">
        <w:rPr>
          <w:rFonts w:ascii="Arial" w:hAnsi="Arial" w:cs="Arial"/>
          <w:bCs/>
          <w:sz w:val="24"/>
          <w:szCs w:val="24"/>
        </w:rPr>
        <w:tab/>
      </w:r>
      <w:r w:rsidRPr="009755DB">
        <w:rPr>
          <w:rFonts w:ascii="Arial" w:hAnsi="Arial" w:cs="Arial"/>
          <w:bCs/>
          <w:sz w:val="24"/>
          <w:szCs w:val="24"/>
        </w:rPr>
        <w:tab/>
        <w:t xml:space="preserve">E. Mann instructed by </w:t>
      </w:r>
    </w:p>
    <w:p w14:paraId="0B98EA20" w14:textId="24A466B2" w:rsidR="00CC1B93" w:rsidRDefault="0040685A" w:rsidP="00820CAA">
      <w:pPr>
        <w:snapToGrid w:val="0"/>
        <w:spacing w:before="240" w:after="0" w:line="360" w:lineRule="auto"/>
        <w:rPr>
          <w:rFonts w:ascii="Arial" w:hAnsi="Arial" w:cs="Arial"/>
          <w:bCs/>
          <w:sz w:val="24"/>
          <w:szCs w:val="24"/>
        </w:rPr>
      </w:pPr>
      <w:r w:rsidRPr="009755DB">
        <w:rPr>
          <w:rFonts w:ascii="Arial" w:hAnsi="Arial" w:cs="Arial"/>
          <w:bCs/>
          <w:sz w:val="24"/>
          <w:szCs w:val="24"/>
        </w:rPr>
        <w:tab/>
      </w:r>
      <w:r w:rsidRPr="009755DB">
        <w:rPr>
          <w:rFonts w:ascii="Arial" w:hAnsi="Arial" w:cs="Arial"/>
          <w:bCs/>
          <w:sz w:val="24"/>
          <w:szCs w:val="24"/>
        </w:rPr>
        <w:tab/>
      </w:r>
      <w:r w:rsidRPr="009755DB">
        <w:rPr>
          <w:rFonts w:ascii="Arial" w:hAnsi="Arial" w:cs="Arial"/>
          <w:bCs/>
          <w:sz w:val="24"/>
          <w:szCs w:val="24"/>
        </w:rPr>
        <w:tab/>
      </w:r>
      <w:r w:rsidRPr="009755DB">
        <w:rPr>
          <w:rFonts w:ascii="Arial" w:hAnsi="Arial" w:cs="Arial"/>
          <w:bCs/>
          <w:sz w:val="24"/>
          <w:szCs w:val="24"/>
        </w:rPr>
        <w:tab/>
      </w:r>
      <w:r w:rsidRPr="009755DB">
        <w:rPr>
          <w:rFonts w:ascii="Arial" w:hAnsi="Arial" w:cs="Arial"/>
          <w:bCs/>
          <w:sz w:val="24"/>
          <w:szCs w:val="24"/>
        </w:rPr>
        <w:tab/>
      </w:r>
      <w:r w:rsidRPr="009755DB">
        <w:rPr>
          <w:rFonts w:ascii="Arial" w:hAnsi="Arial" w:cs="Arial"/>
          <w:bCs/>
          <w:sz w:val="24"/>
          <w:szCs w:val="24"/>
        </w:rPr>
        <w:tab/>
        <w:t>Vezi &amp; De Beer INC</w:t>
      </w:r>
    </w:p>
    <w:p w14:paraId="146E8E4A" w14:textId="77777777" w:rsidR="00820CAA" w:rsidRPr="00820CAA" w:rsidRDefault="00820CAA" w:rsidP="00820CAA">
      <w:pPr>
        <w:snapToGrid w:val="0"/>
        <w:spacing w:before="240" w:after="0" w:line="360" w:lineRule="auto"/>
        <w:rPr>
          <w:rFonts w:ascii="Arial" w:hAnsi="Arial" w:cs="Arial"/>
          <w:bCs/>
          <w:sz w:val="24"/>
          <w:szCs w:val="24"/>
        </w:rPr>
      </w:pPr>
    </w:p>
    <w:p w14:paraId="045A7D35" w14:textId="0E0CE415" w:rsidR="00CC1B93" w:rsidRDefault="0040685A" w:rsidP="00CC1B93">
      <w:pPr>
        <w:spacing w:line="480" w:lineRule="auto"/>
        <w:rPr>
          <w:rFonts w:ascii="Arial" w:hAnsi="Arial" w:cs="Arial"/>
          <w:sz w:val="24"/>
          <w:szCs w:val="24"/>
        </w:rPr>
      </w:pPr>
      <w:r>
        <w:rPr>
          <w:rFonts w:ascii="Arial" w:hAnsi="Arial" w:cs="Arial"/>
          <w:sz w:val="24"/>
          <w:szCs w:val="24"/>
        </w:rPr>
        <w:t xml:space="preserve">For the defendant/ respondent </w:t>
      </w:r>
      <w:r>
        <w:rPr>
          <w:rFonts w:ascii="Arial" w:hAnsi="Arial" w:cs="Arial"/>
          <w:sz w:val="24"/>
          <w:szCs w:val="24"/>
        </w:rPr>
        <w:tab/>
      </w:r>
      <w:r>
        <w:rPr>
          <w:rFonts w:ascii="Arial" w:hAnsi="Arial" w:cs="Arial"/>
          <w:sz w:val="24"/>
          <w:szCs w:val="24"/>
        </w:rPr>
        <w:tab/>
        <w:t xml:space="preserve">L.Z Msiza Instructed by </w:t>
      </w:r>
    </w:p>
    <w:p w14:paraId="3673E6C4" w14:textId="25C37804" w:rsidR="0040685A" w:rsidRPr="00CC1B93" w:rsidRDefault="0040685A" w:rsidP="00CC1B93">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Sithole </w:t>
      </w:r>
      <w:r w:rsidR="00820CAA">
        <w:rPr>
          <w:rFonts w:ascii="Arial" w:hAnsi="Arial" w:cs="Arial"/>
          <w:sz w:val="24"/>
          <w:szCs w:val="24"/>
        </w:rPr>
        <w:t>Attorneys.</w:t>
      </w:r>
    </w:p>
    <w:sectPr w:rsidR="0040685A" w:rsidRPr="00CC1B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B86C" w14:textId="77777777" w:rsidR="00E62824" w:rsidRDefault="00E62824" w:rsidP="003C399F">
      <w:pPr>
        <w:spacing w:after="0" w:line="240" w:lineRule="auto"/>
      </w:pPr>
      <w:r>
        <w:separator/>
      </w:r>
    </w:p>
  </w:endnote>
  <w:endnote w:type="continuationSeparator" w:id="0">
    <w:p w14:paraId="25257118" w14:textId="77777777" w:rsidR="00E62824" w:rsidRDefault="00E62824" w:rsidP="003C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89178"/>
      <w:docPartObj>
        <w:docPartGallery w:val="Page Numbers (Bottom of Page)"/>
        <w:docPartUnique/>
      </w:docPartObj>
    </w:sdtPr>
    <w:sdtEndPr>
      <w:rPr>
        <w:noProof/>
      </w:rPr>
    </w:sdtEndPr>
    <w:sdtContent>
      <w:p w14:paraId="78FBB6EC" w14:textId="1C4E791D" w:rsidR="002B1B7D" w:rsidRDefault="002B1B7D">
        <w:pPr>
          <w:pStyle w:val="Footer"/>
          <w:jc w:val="center"/>
        </w:pPr>
        <w:r>
          <w:fldChar w:fldCharType="begin"/>
        </w:r>
        <w:r>
          <w:instrText xml:space="preserve"> PAGE   \* MERGEFORMAT </w:instrText>
        </w:r>
        <w:r>
          <w:fldChar w:fldCharType="separate"/>
        </w:r>
        <w:r w:rsidR="00BB01CF">
          <w:rPr>
            <w:noProof/>
          </w:rPr>
          <w:t>9</w:t>
        </w:r>
        <w:r>
          <w:rPr>
            <w:noProof/>
          </w:rPr>
          <w:fldChar w:fldCharType="end"/>
        </w:r>
      </w:p>
    </w:sdtContent>
  </w:sdt>
  <w:p w14:paraId="7D2248B4" w14:textId="77777777" w:rsidR="002B1B7D" w:rsidRDefault="002B1B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1A7F" w14:textId="77777777" w:rsidR="00E62824" w:rsidRDefault="00E62824" w:rsidP="003C399F">
      <w:pPr>
        <w:spacing w:after="0" w:line="240" w:lineRule="auto"/>
      </w:pPr>
      <w:r>
        <w:separator/>
      </w:r>
    </w:p>
  </w:footnote>
  <w:footnote w:type="continuationSeparator" w:id="0">
    <w:p w14:paraId="4225FF96" w14:textId="77777777" w:rsidR="00E62824" w:rsidRDefault="00E62824" w:rsidP="003C399F">
      <w:pPr>
        <w:spacing w:after="0" w:line="240" w:lineRule="auto"/>
      </w:pPr>
      <w:r>
        <w:continuationSeparator/>
      </w:r>
    </w:p>
  </w:footnote>
  <w:footnote w:id="1">
    <w:p w14:paraId="108FA507" w14:textId="0B2C64E1" w:rsidR="003C399F" w:rsidRPr="009755DB" w:rsidRDefault="003C399F">
      <w:pPr>
        <w:pStyle w:val="FootnoteText"/>
        <w:rPr>
          <w:rFonts w:ascii="Arial" w:hAnsi="Arial" w:cs="Arial"/>
          <w:sz w:val="18"/>
          <w:szCs w:val="18"/>
        </w:rPr>
      </w:pPr>
      <w:r w:rsidRPr="009755DB">
        <w:rPr>
          <w:rStyle w:val="FootnoteReference"/>
          <w:rFonts w:ascii="Arial" w:hAnsi="Arial" w:cs="Arial"/>
          <w:sz w:val="18"/>
          <w:szCs w:val="18"/>
        </w:rPr>
        <w:footnoteRef/>
      </w:r>
      <w:r w:rsidRPr="009755DB">
        <w:rPr>
          <w:rFonts w:ascii="Arial" w:hAnsi="Arial" w:cs="Arial"/>
          <w:sz w:val="18"/>
          <w:szCs w:val="18"/>
        </w:rPr>
        <w:t xml:space="preserve"> P</w:t>
      </w:r>
      <w:r w:rsidR="000B6A88" w:rsidRPr="009755DB">
        <w:rPr>
          <w:rFonts w:ascii="Arial" w:hAnsi="Arial" w:cs="Arial"/>
          <w:sz w:val="18"/>
          <w:szCs w:val="18"/>
        </w:rPr>
        <w:t>articulars of claim paras 4 to 5</w:t>
      </w:r>
      <w:r w:rsidR="00A13360" w:rsidRPr="009755DB">
        <w:rPr>
          <w:rFonts w:ascii="Arial" w:hAnsi="Arial" w:cs="Arial"/>
          <w:sz w:val="18"/>
          <w:szCs w:val="18"/>
        </w:rPr>
        <w:t>.</w:t>
      </w:r>
    </w:p>
  </w:footnote>
  <w:footnote w:id="2">
    <w:p w14:paraId="0F3A6F45" w14:textId="2200A112" w:rsidR="00C9447A" w:rsidRPr="009755DB" w:rsidRDefault="00C9447A">
      <w:pPr>
        <w:pStyle w:val="FootnoteText"/>
        <w:rPr>
          <w:rFonts w:ascii="Arial" w:hAnsi="Arial" w:cs="Arial"/>
          <w:sz w:val="18"/>
          <w:szCs w:val="18"/>
        </w:rPr>
      </w:pPr>
      <w:r w:rsidRPr="009755DB">
        <w:rPr>
          <w:rStyle w:val="FootnoteReference"/>
          <w:rFonts w:ascii="Arial" w:hAnsi="Arial" w:cs="Arial"/>
          <w:sz w:val="18"/>
          <w:szCs w:val="18"/>
        </w:rPr>
        <w:footnoteRef/>
      </w:r>
      <w:r w:rsidR="00400F01">
        <w:rPr>
          <w:rFonts w:ascii="Arial" w:hAnsi="Arial" w:cs="Arial"/>
          <w:sz w:val="18"/>
          <w:szCs w:val="18"/>
        </w:rPr>
        <w:t>Id</w:t>
      </w:r>
      <w:r w:rsidRPr="009755DB">
        <w:rPr>
          <w:rFonts w:ascii="Arial" w:hAnsi="Arial" w:cs="Arial"/>
          <w:sz w:val="18"/>
          <w:szCs w:val="18"/>
        </w:rPr>
        <w:t xml:space="preserve"> para 6</w:t>
      </w:r>
    </w:p>
  </w:footnote>
  <w:footnote w:id="3">
    <w:p w14:paraId="686AFD3E" w14:textId="5C2B0E78" w:rsidR="00D41248" w:rsidRPr="009755DB" w:rsidRDefault="00D41248">
      <w:pPr>
        <w:pStyle w:val="FootnoteText"/>
        <w:rPr>
          <w:rFonts w:ascii="Arial" w:hAnsi="Arial" w:cs="Arial"/>
          <w:sz w:val="18"/>
          <w:szCs w:val="18"/>
        </w:rPr>
      </w:pPr>
      <w:r w:rsidRPr="009755DB">
        <w:rPr>
          <w:rStyle w:val="FootnoteReference"/>
          <w:rFonts w:ascii="Arial" w:hAnsi="Arial" w:cs="Arial"/>
          <w:sz w:val="18"/>
          <w:szCs w:val="18"/>
        </w:rPr>
        <w:footnoteRef/>
      </w:r>
      <w:r w:rsidRPr="009755DB">
        <w:rPr>
          <w:rFonts w:ascii="Arial" w:hAnsi="Arial" w:cs="Arial"/>
          <w:sz w:val="18"/>
          <w:szCs w:val="18"/>
        </w:rPr>
        <w:t xml:space="preserve"> Defendant’s plea sub-paras 6.2 and 6.3</w:t>
      </w:r>
      <w:r w:rsidR="00400F01">
        <w:rPr>
          <w:rFonts w:ascii="Arial" w:hAnsi="Arial" w:cs="Arial"/>
          <w:sz w:val="18"/>
          <w:szCs w:val="18"/>
        </w:rPr>
        <w:t>.</w:t>
      </w:r>
    </w:p>
  </w:footnote>
  <w:footnote w:id="4">
    <w:p w14:paraId="1D384BD0" w14:textId="0D2FE185" w:rsidR="00E873EF" w:rsidRDefault="00E873EF">
      <w:pPr>
        <w:pStyle w:val="FootnoteText"/>
      </w:pPr>
      <w:r w:rsidRPr="009755DB">
        <w:rPr>
          <w:rStyle w:val="FootnoteReference"/>
          <w:rFonts w:ascii="Arial" w:hAnsi="Arial" w:cs="Arial"/>
          <w:sz w:val="18"/>
          <w:szCs w:val="18"/>
        </w:rPr>
        <w:footnoteRef/>
      </w:r>
      <w:r w:rsidRPr="009755DB">
        <w:rPr>
          <w:rFonts w:ascii="Arial" w:hAnsi="Arial" w:cs="Arial"/>
          <w:sz w:val="18"/>
          <w:szCs w:val="18"/>
        </w:rPr>
        <w:t xml:space="preserve"> Affidavit resisting summary judgment para16</w:t>
      </w:r>
      <w:r w:rsidR="00400F01">
        <w:rPr>
          <w:rFonts w:ascii="Arial" w:hAnsi="Arial" w:cs="Arial"/>
          <w:sz w:val="18"/>
          <w:szCs w:val="18"/>
        </w:rPr>
        <w:t>.</w:t>
      </w:r>
    </w:p>
  </w:footnote>
  <w:footnote w:id="5">
    <w:p w14:paraId="13AD8827" w14:textId="426A8644" w:rsidR="00746E23" w:rsidRPr="009755DB" w:rsidRDefault="00746E23">
      <w:pPr>
        <w:pStyle w:val="FootnoteText"/>
        <w:rPr>
          <w:rFonts w:ascii="Arial" w:hAnsi="Arial" w:cs="Arial"/>
          <w:sz w:val="18"/>
          <w:szCs w:val="18"/>
        </w:rPr>
      </w:pPr>
      <w:r w:rsidRPr="009755DB">
        <w:rPr>
          <w:rStyle w:val="FootnoteReference"/>
          <w:rFonts w:ascii="Arial" w:hAnsi="Arial" w:cs="Arial"/>
          <w:sz w:val="18"/>
          <w:szCs w:val="18"/>
        </w:rPr>
        <w:footnoteRef/>
      </w:r>
      <w:r w:rsidRPr="009755DB">
        <w:rPr>
          <w:rFonts w:ascii="Arial" w:hAnsi="Arial" w:cs="Arial"/>
          <w:sz w:val="18"/>
          <w:szCs w:val="18"/>
        </w:rPr>
        <w:t xml:space="preserve"> </w:t>
      </w:r>
      <w:r w:rsidRPr="009755DB">
        <w:rPr>
          <w:rFonts w:ascii="Arial" w:hAnsi="Arial" w:cs="Arial"/>
          <w:color w:val="000000"/>
          <w:sz w:val="18"/>
          <w:szCs w:val="18"/>
          <w:shd w:val="clear" w:color="auto" w:fill="FFFFFF"/>
        </w:rPr>
        <w:t>GNR.842 of 31 May 2019.</w:t>
      </w:r>
    </w:p>
  </w:footnote>
  <w:footnote w:id="6">
    <w:p w14:paraId="104EC9A0" w14:textId="5CE689CD" w:rsidR="00EF51F0" w:rsidRPr="009755DB" w:rsidRDefault="00EF51F0">
      <w:pPr>
        <w:pStyle w:val="FootnoteText"/>
        <w:rPr>
          <w:rFonts w:ascii="Arial" w:hAnsi="Arial" w:cs="Arial"/>
          <w:sz w:val="18"/>
          <w:szCs w:val="18"/>
        </w:rPr>
      </w:pPr>
      <w:r w:rsidRPr="009755DB">
        <w:rPr>
          <w:rStyle w:val="FootnoteReference"/>
          <w:rFonts w:ascii="Arial" w:hAnsi="Arial" w:cs="Arial"/>
          <w:sz w:val="18"/>
          <w:szCs w:val="18"/>
        </w:rPr>
        <w:footnoteRef/>
      </w:r>
      <w:r w:rsidRPr="009755DB">
        <w:rPr>
          <w:rFonts w:ascii="Arial" w:hAnsi="Arial" w:cs="Arial"/>
          <w:sz w:val="18"/>
          <w:szCs w:val="18"/>
        </w:rPr>
        <w:t xml:space="preserve"> </w:t>
      </w:r>
      <w:proofErr w:type="spellStart"/>
      <w:r w:rsidRPr="009755DB">
        <w:rPr>
          <w:rFonts w:ascii="Arial" w:hAnsi="Arial" w:cs="Arial"/>
          <w:i/>
          <w:iCs/>
          <w:sz w:val="18"/>
          <w:szCs w:val="18"/>
        </w:rPr>
        <w:t>Joob</w:t>
      </w:r>
      <w:proofErr w:type="spellEnd"/>
      <w:r w:rsidRPr="009755DB">
        <w:rPr>
          <w:rFonts w:ascii="Arial" w:hAnsi="Arial" w:cs="Arial"/>
          <w:i/>
          <w:iCs/>
          <w:sz w:val="18"/>
          <w:szCs w:val="18"/>
        </w:rPr>
        <w:t xml:space="preserve"> </w:t>
      </w:r>
      <w:proofErr w:type="spellStart"/>
      <w:r w:rsidR="00A441B7" w:rsidRPr="009755DB">
        <w:rPr>
          <w:rFonts w:ascii="Arial" w:hAnsi="Arial" w:cs="Arial"/>
          <w:i/>
          <w:iCs/>
          <w:sz w:val="18"/>
          <w:szCs w:val="18"/>
        </w:rPr>
        <w:t>Joob</w:t>
      </w:r>
      <w:proofErr w:type="spellEnd"/>
      <w:r w:rsidR="00A441B7" w:rsidRPr="009755DB">
        <w:rPr>
          <w:rFonts w:ascii="Arial" w:hAnsi="Arial" w:cs="Arial"/>
          <w:sz w:val="18"/>
          <w:szCs w:val="18"/>
        </w:rPr>
        <w:t xml:space="preserve"> </w:t>
      </w:r>
      <w:r w:rsidR="00A441B7" w:rsidRPr="009755DB">
        <w:rPr>
          <w:rFonts w:ascii="Arial" w:hAnsi="Arial" w:cs="Arial"/>
          <w:i/>
          <w:iCs/>
          <w:sz w:val="18"/>
          <w:szCs w:val="18"/>
        </w:rPr>
        <w:t>I</w:t>
      </w:r>
      <w:r w:rsidRPr="009755DB">
        <w:rPr>
          <w:rFonts w:ascii="Arial" w:hAnsi="Arial" w:cs="Arial"/>
          <w:i/>
          <w:iCs/>
          <w:sz w:val="18"/>
          <w:szCs w:val="18"/>
        </w:rPr>
        <w:t>nvestment</w:t>
      </w:r>
      <w:r w:rsidR="00A441B7" w:rsidRPr="009755DB">
        <w:rPr>
          <w:rFonts w:ascii="Arial" w:hAnsi="Arial" w:cs="Arial"/>
          <w:i/>
          <w:iCs/>
          <w:sz w:val="18"/>
          <w:szCs w:val="18"/>
        </w:rPr>
        <w:t xml:space="preserve">s v </w:t>
      </w:r>
      <w:r w:rsidR="007A633E" w:rsidRPr="009755DB">
        <w:rPr>
          <w:rFonts w:ascii="Arial" w:hAnsi="Arial" w:cs="Arial"/>
          <w:i/>
          <w:iCs/>
          <w:sz w:val="18"/>
          <w:szCs w:val="18"/>
        </w:rPr>
        <w:t>S</w:t>
      </w:r>
      <w:r w:rsidR="00A441B7" w:rsidRPr="009755DB">
        <w:rPr>
          <w:rFonts w:ascii="Arial" w:hAnsi="Arial" w:cs="Arial"/>
          <w:i/>
          <w:iCs/>
          <w:sz w:val="18"/>
          <w:szCs w:val="18"/>
        </w:rPr>
        <w:t>toc</w:t>
      </w:r>
      <w:r w:rsidR="007A633E" w:rsidRPr="009755DB">
        <w:rPr>
          <w:rFonts w:ascii="Arial" w:hAnsi="Arial" w:cs="Arial"/>
          <w:i/>
          <w:iCs/>
          <w:sz w:val="18"/>
          <w:szCs w:val="18"/>
        </w:rPr>
        <w:t>ks Mavundla Zek</w:t>
      </w:r>
      <w:r w:rsidR="007A633E" w:rsidRPr="009755DB">
        <w:rPr>
          <w:rFonts w:ascii="Arial" w:hAnsi="Arial" w:cs="Arial"/>
          <w:sz w:val="18"/>
          <w:szCs w:val="18"/>
        </w:rPr>
        <w:t xml:space="preserve"> 2009(5) SA 1</w:t>
      </w:r>
      <w:r w:rsidR="00F25B0C">
        <w:rPr>
          <w:rFonts w:ascii="Arial" w:hAnsi="Arial" w:cs="Arial"/>
          <w:sz w:val="18"/>
          <w:szCs w:val="18"/>
        </w:rPr>
        <w:t xml:space="preserve"> a</w:t>
      </w:r>
      <w:r w:rsidR="0095641E">
        <w:rPr>
          <w:rFonts w:ascii="Arial" w:hAnsi="Arial" w:cs="Arial"/>
          <w:sz w:val="18"/>
          <w:szCs w:val="18"/>
        </w:rPr>
        <w:t>t para 32 page 12.</w:t>
      </w:r>
    </w:p>
  </w:footnote>
  <w:footnote w:id="7">
    <w:p w14:paraId="685AC396" w14:textId="0BCD86A1" w:rsidR="00D235C4" w:rsidRPr="009755DB" w:rsidRDefault="00D235C4">
      <w:pPr>
        <w:pStyle w:val="FootnoteText"/>
        <w:rPr>
          <w:rFonts w:ascii="Arial" w:hAnsi="Arial" w:cs="Arial"/>
          <w:sz w:val="18"/>
          <w:szCs w:val="18"/>
        </w:rPr>
      </w:pPr>
      <w:r w:rsidRPr="009755DB">
        <w:rPr>
          <w:rStyle w:val="FootnoteReference"/>
          <w:rFonts w:ascii="Arial" w:hAnsi="Arial" w:cs="Arial"/>
          <w:sz w:val="18"/>
          <w:szCs w:val="18"/>
        </w:rPr>
        <w:footnoteRef/>
      </w:r>
      <w:r w:rsidRPr="009755DB">
        <w:rPr>
          <w:rFonts w:ascii="Arial" w:hAnsi="Arial" w:cs="Arial"/>
          <w:sz w:val="18"/>
          <w:szCs w:val="18"/>
        </w:rPr>
        <w:t xml:space="preserve"> </w:t>
      </w:r>
      <w:r w:rsidR="00B87DC6" w:rsidRPr="009755DB">
        <w:rPr>
          <w:rFonts w:ascii="Arial" w:hAnsi="Arial" w:cs="Arial"/>
          <w:color w:val="000000"/>
          <w:sz w:val="18"/>
          <w:szCs w:val="18"/>
        </w:rPr>
        <w:t>1976 (1) SA 418 (A)</w:t>
      </w:r>
      <w:r w:rsidR="00B87DC6">
        <w:rPr>
          <w:rFonts w:ascii="Arial" w:hAnsi="Arial" w:cs="Arial"/>
          <w:color w:val="000000"/>
          <w:sz w:val="18"/>
          <w:szCs w:val="18"/>
        </w:rPr>
        <w:t>.</w:t>
      </w:r>
    </w:p>
  </w:footnote>
  <w:footnote w:id="8">
    <w:p w14:paraId="0D331FA9" w14:textId="67DAA1CA" w:rsidR="00D235C4" w:rsidRDefault="00D235C4">
      <w:pPr>
        <w:pStyle w:val="FootnoteText"/>
      </w:pPr>
      <w:r w:rsidRPr="009755DB">
        <w:rPr>
          <w:rStyle w:val="FootnoteReference"/>
          <w:rFonts w:ascii="Arial" w:hAnsi="Arial" w:cs="Arial"/>
          <w:sz w:val="18"/>
          <w:szCs w:val="18"/>
        </w:rPr>
        <w:footnoteRef/>
      </w:r>
      <w:r w:rsidRPr="009755DB">
        <w:rPr>
          <w:rFonts w:ascii="Arial" w:hAnsi="Arial" w:cs="Arial"/>
          <w:sz w:val="18"/>
          <w:szCs w:val="18"/>
        </w:rPr>
        <w:t xml:space="preserve"> </w:t>
      </w:r>
      <w:r w:rsidR="00B87DC6">
        <w:rPr>
          <w:rFonts w:ascii="Arial" w:hAnsi="Arial" w:cs="Arial"/>
          <w:sz w:val="18"/>
          <w:szCs w:val="18"/>
        </w:rPr>
        <w:t xml:space="preserve">Id </w:t>
      </w:r>
      <w:r w:rsidRPr="009755DB">
        <w:rPr>
          <w:rFonts w:ascii="Arial" w:hAnsi="Arial" w:cs="Arial"/>
          <w:sz w:val="18"/>
          <w:szCs w:val="18"/>
        </w:rPr>
        <w:t>p 426 A and B</w:t>
      </w:r>
      <w:r w:rsidR="00B87DC6">
        <w:rPr>
          <w:rFonts w:ascii="Arial" w:hAnsi="Arial" w:cs="Arial"/>
          <w:sz w:val="18"/>
          <w:szCs w:val="18"/>
        </w:rPr>
        <w:t>.</w:t>
      </w:r>
    </w:p>
  </w:footnote>
  <w:footnote w:id="9">
    <w:p w14:paraId="53BD0FFC" w14:textId="06AC6735" w:rsidR="00621EA8" w:rsidRPr="009755DB" w:rsidRDefault="00621EA8" w:rsidP="009755DB">
      <w:pPr>
        <w:pStyle w:val="NoSpacing"/>
        <w:rPr>
          <w:rFonts w:ascii="Arial" w:hAnsi="Arial" w:cs="Arial"/>
          <w:sz w:val="18"/>
          <w:szCs w:val="18"/>
        </w:rPr>
      </w:pPr>
      <w:r w:rsidRPr="009755DB">
        <w:rPr>
          <w:rStyle w:val="FootnoteReference"/>
          <w:rFonts w:ascii="Arial" w:hAnsi="Arial" w:cs="Arial"/>
          <w:sz w:val="18"/>
          <w:szCs w:val="18"/>
        </w:rPr>
        <w:footnoteRef/>
      </w:r>
      <w:r w:rsidRPr="009755DB">
        <w:rPr>
          <w:rFonts w:ascii="Arial" w:hAnsi="Arial" w:cs="Arial"/>
          <w:sz w:val="18"/>
          <w:szCs w:val="18"/>
        </w:rPr>
        <w:t xml:space="preserve"> [2013] ZAWCHC 107</w:t>
      </w:r>
      <w:r w:rsidRPr="00621EA8">
        <w:rPr>
          <w:rFonts w:ascii="Arial" w:hAnsi="Arial" w:cs="Arial"/>
          <w:sz w:val="18"/>
          <w:szCs w:val="18"/>
        </w:rPr>
        <w:t>.</w:t>
      </w:r>
    </w:p>
  </w:footnote>
  <w:footnote w:id="10">
    <w:p w14:paraId="39F06712" w14:textId="497DB9D1" w:rsidR="00E6302E" w:rsidRPr="009755DB" w:rsidRDefault="00E6302E" w:rsidP="009755DB">
      <w:pPr>
        <w:pStyle w:val="NoSpacing"/>
        <w:rPr>
          <w:rFonts w:ascii="Arial" w:hAnsi="Arial" w:cs="Arial"/>
          <w:sz w:val="18"/>
          <w:szCs w:val="18"/>
        </w:rPr>
      </w:pPr>
      <w:r w:rsidRPr="009755DB">
        <w:rPr>
          <w:rStyle w:val="FootnoteReference"/>
          <w:rFonts w:ascii="Arial" w:hAnsi="Arial" w:cs="Arial"/>
          <w:sz w:val="18"/>
          <w:szCs w:val="18"/>
        </w:rPr>
        <w:footnoteRef/>
      </w:r>
      <w:r w:rsidR="00621EA8" w:rsidRPr="00621EA8">
        <w:rPr>
          <w:rFonts w:ascii="Arial" w:hAnsi="Arial" w:cs="Arial"/>
          <w:sz w:val="18"/>
          <w:szCs w:val="18"/>
        </w:rPr>
        <w:t>Id</w:t>
      </w:r>
      <w:r w:rsidRPr="009755DB">
        <w:rPr>
          <w:rFonts w:ascii="Arial" w:hAnsi="Arial" w:cs="Arial"/>
          <w:sz w:val="18"/>
          <w:szCs w:val="18"/>
        </w:rPr>
        <w:t xml:space="preserve"> paras </w:t>
      </w:r>
      <w:r w:rsidR="001E4E76" w:rsidRPr="009755DB">
        <w:rPr>
          <w:rFonts w:ascii="Arial" w:hAnsi="Arial" w:cs="Arial"/>
          <w:sz w:val="18"/>
          <w:szCs w:val="18"/>
        </w:rPr>
        <w:t xml:space="preserve">2 to </w:t>
      </w:r>
      <w:r w:rsidRPr="009755DB">
        <w:rPr>
          <w:rFonts w:ascii="Arial" w:hAnsi="Arial" w:cs="Arial"/>
          <w:sz w:val="18"/>
          <w:szCs w:val="18"/>
        </w:rPr>
        <w:t>3</w:t>
      </w:r>
      <w:r w:rsidR="001E4E76" w:rsidRPr="009755DB">
        <w:rPr>
          <w:rFonts w:ascii="Arial" w:hAnsi="Arial" w:cs="Arial"/>
          <w:sz w:val="18"/>
          <w:szCs w:val="18"/>
        </w:rPr>
        <w:t>.</w:t>
      </w:r>
    </w:p>
  </w:footnote>
  <w:footnote w:id="11">
    <w:p w14:paraId="56CC277B" w14:textId="774E754B" w:rsidR="00A53FED" w:rsidRPr="009755DB" w:rsidRDefault="00A53FED" w:rsidP="009755DB">
      <w:pPr>
        <w:pStyle w:val="NoSpacing"/>
        <w:rPr>
          <w:rFonts w:ascii="Arial" w:hAnsi="Arial" w:cs="Arial"/>
          <w:sz w:val="18"/>
          <w:szCs w:val="18"/>
        </w:rPr>
      </w:pPr>
      <w:r w:rsidRPr="009755DB">
        <w:rPr>
          <w:rStyle w:val="FootnoteReference"/>
          <w:rFonts w:ascii="Arial" w:hAnsi="Arial" w:cs="Arial"/>
          <w:sz w:val="18"/>
          <w:szCs w:val="18"/>
        </w:rPr>
        <w:footnoteRef/>
      </w:r>
      <w:r w:rsidR="00621EA8" w:rsidRPr="00621EA8">
        <w:rPr>
          <w:rFonts w:ascii="Arial" w:hAnsi="Arial" w:cs="Arial"/>
          <w:sz w:val="18"/>
          <w:szCs w:val="18"/>
        </w:rPr>
        <w:t>Id</w:t>
      </w:r>
      <w:r w:rsidRPr="009755DB">
        <w:rPr>
          <w:rFonts w:ascii="Arial" w:hAnsi="Arial" w:cs="Arial"/>
          <w:sz w:val="18"/>
          <w:szCs w:val="18"/>
        </w:rPr>
        <w:t xml:space="preserve"> para 13</w:t>
      </w:r>
    </w:p>
  </w:footnote>
  <w:footnote w:id="12">
    <w:p w14:paraId="28AA8943" w14:textId="60DF0728" w:rsidR="00621EA8" w:rsidRDefault="00621EA8">
      <w:pPr>
        <w:pStyle w:val="FootnoteText"/>
      </w:pPr>
      <w:r w:rsidRPr="009755DB">
        <w:rPr>
          <w:rStyle w:val="FootnoteReference"/>
          <w:rFonts w:ascii="Arial" w:hAnsi="Arial" w:cs="Arial"/>
          <w:sz w:val="18"/>
          <w:szCs w:val="18"/>
        </w:rPr>
        <w:footnoteRef/>
      </w:r>
      <w:r w:rsidRPr="009755DB">
        <w:rPr>
          <w:rFonts w:ascii="Arial" w:hAnsi="Arial" w:cs="Arial"/>
          <w:sz w:val="18"/>
          <w:szCs w:val="18"/>
        </w:rPr>
        <w:t xml:space="preserve"> Id para 19,2.</w:t>
      </w:r>
      <w:r>
        <w:t xml:space="preserve"> </w:t>
      </w:r>
    </w:p>
  </w:footnote>
  <w:footnote w:id="13">
    <w:p w14:paraId="2DCB17C1" w14:textId="5370B888" w:rsidR="0082606B" w:rsidRPr="009755DB" w:rsidRDefault="0082606B">
      <w:pPr>
        <w:pStyle w:val="FootnoteText"/>
        <w:rPr>
          <w:rFonts w:ascii="Arial" w:hAnsi="Arial" w:cs="Arial"/>
          <w:sz w:val="18"/>
          <w:szCs w:val="18"/>
        </w:rPr>
      </w:pPr>
      <w:r w:rsidRPr="009755DB">
        <w:rPr>
          <w:rStyle w:val="FootnoteReference"/>
          <w:rFonts w:ascii="Arial" w:hAnsi="Arial" w:cs="Arial"/>
          <w:sz w:val="18"/>
          <w:szCs w:val="18"/>
        </w:rPr>
        <w:footnoteRef/>
      </w:r>
      <w:r w:rsidRPr="009755DB">
        <w:rPr>
          <w:rFonts w:ascii="Arial" w:hAnsi="Arial" w:cs="Arial"/>
          <w:sz w:val="18"/>
          <w:szCs w:val="18"/>
        </w:rPr>
        <w:t xml:space="preserve"> </w:t>
      </w:r>
      <w:r w:rsidR="005A2F83" w:rsidRPr="009755DB">
        <w:rPr>
          <w:rFonts w:ascii="Arial" w:hAnsi="Arial" w:cs="Arial"/>
          <w:sz w:val="18"/>
          <w:szCs w:val="18"/>
        </w:rPr>
        <w:t>Barnard,</w:t>
      </w:r>
      <w:r w:rsidRPr="009755DB">
        <w:rPr>
          <w:rFonts w:ascii="Arial" w:hAnsi="Arial" w:cs="Arial"/>
          <w:sz w:val="18"/>
          <w:szCs w:val="18"/>
        </w:rPr>
        <w:t xml:space="preserve"> Otto </w:t>
      </w:r>
      <w:r w:rsidR="006B417E" w:rsidRPr="009755DB">
        <w:rPr>
          <w:rFonts w:ascii="Arial" w:hAnsi="Arial" w:cs="Arial"/>
          <w:sz w:val="18"/>
          <w:szCs w:val="18"/>
        </w:rPr>
        <w:t>and van</w:t>
      </w:r>
      <w:r w:rsidRPr="009755DB">
        <w:rPr>
          <w:rFonts w:ascii="Arial" w:hAnsi="Arial" w:cs="Arial"/>
          <w:sz w:val="18"/>
          <w:szCs w:val="18"/>
        </w:rPr>
        <w:t xml:space="preserve"> Heerden “</w:t>
      </w:r>
      <w:r w:rsidRPr="00BC363B">
        <w:rPr>
          <w:rFonts w:ascii="Arial" w:hAnsi="Arial" w:cs="Arial"/>
          <w:sz w:val="18"/>
          <w:szCs w:val="18"/>
        </w:rPr>
        <w:t xml:space="preserve">Redress </w:t>
      </w:r>
      <w:r w:rsidRPr="00BC363B">
        <w:rPr>
          <w:rFonts w:ascii="Arial" w:hAnsi="Arial" w:cs="Arial"/>
          <w:sz w:val="18"/>
          <w:szCs w:val="18"/>
          <w:lang w:val="en-US"/>
        </w:rPr>
        <w:t>in terms of the national Credit Act and the Consumer Protection Act for defective goods sold and finance in terms of an installment agreement” (2014)</w:t>
      </w:r>
      <w:r w:rsidR="004E43B9">
        <w:rPr>
          <w:rFonts w:ascii="Arial" w:hAnsi="Arial" w:cs="Arial"/>
          <w:sz w:val="18"/>
          <w:szCs w:val="18"/>
          <w:lang w:val="en-US"/>
        </w:rPr>
        <w:t xml:space="preserve"> 24 SAMLJ</w:t>
      </w:r>
      <w:r w:rsidR="00BC363B" w:rsidRPr="00BC363B">
        <w:rPr>
          <w:rFonts w:ascii="Arial" w:hAnsi="Arial" w:cs="Arial"/>
          <w:sz w:val="18"/>
          <w:szCs w:val="18"/>
          <w:lang w:val="en-US"/>
        </w:rPr>
        <w:t xml:space="preserve"> 247-248.</w:t>
      </w:r>
    </w:p>
  </w:footnote>
  <w:footnote w:id="14">
    <w:p w14:paraId="64C0A60D" w14:textId="5723DAEF" w:rsidR="00BC363B" w:rsidRDefault="00BC363B">
      <w:pPr>
        <w:pStyle w:val="FootnoteText"/>
      </w:pPr>
      <w:r w:rsidRPr="009755DB">
        <w:rPr>
          <w:rStyle w:val="FootnoteReference"/>
          <w:rFonts w:ascii="Arial" w:hAnsi="Arial" w:cs="Arial"/>
          <w:sz w:val="18"/>
          <w:szCs w:val="18"/>
        </w:rPr>
        <w:footnoteRef/>
      </w:r>
      <w:r w:rsidRPr="009755DB">
        <w:rPr>
          <w:rFonts w:ascii="Arial" w:hAnsi="Arial" w:cs="Arial"/>
          <w:sz w:val="18"/>
          <w:szCs w:val="18"/>
        </w:rPr>
        <w:t xml:space="preserve"> Id page 247 -248</w:t>
      </w:r>
      <w:r>
        <w:t xml:space="preserve">. </w:t>
      </w:r>
    </w:p>
  </w:footnote>
  <w:footnote w:id="15">
    <w:p w14:paraId="3CE98CE5" w14:textId="071DBEAD" w:rsidR="00DB0055" w:rsidRDefault="00DB0055">
      <w:pPr>
        <w:pStyle w:val="FootnoteText"/>
      </w:pPr>
      <w:r>
        <w:rPr>
          <w:rStyle w:val="FootnoteReference"/>
        </w:rPr>
        <w:footnoteRef/>
      </w:r>
      <w:r>
        <w:t xml:space="preserve"> Id page 272.</w:t>
      </w:r>
    </w:p>
  </w:footnote>
  <w:footnote w:id="16">
    <w:p w14:paraId="0EA61591" w14:textId="769A65D2" w:rsidR="00FD2483" w:rsidRDefault="00FD2483">
      <w:pPr>
        <w:pStyle w:val="FootnoteText"/>
      </w:pPr>
      <w:r>
        <w:rPr>
          <w:rStyle w:val="FootnoteReference"/>
        </w:rPr>
        <w:footnoteRef/>
      </w:r>
      <w:r>
        <w:t xml:space="preserve"> </w:t>
      </w:r>
      <w:r w:rsidR="00B90C31" w:rsidRPr="009755DB">
        <w:rPr>
          <w:rFonts w:ascii="Arial" w:hAnsi="Arial" w:cs="Arial"/>
          <w:sz w:val="18"/>
          <w:szCs w:val="18"/>
        </w:rPr>
        <w:t>Id page 256.</w:t>
      </w:r>
      <w:r w:rsidR="002B36DF" w:rsidRPr="009755DB">
        <w:rPr>
          <w:rFonts w:ascii="Arial" w:hAnsi="Arial" w:cs="Arial"/>
          <w:sz w:val="18"/>
          <w:szCs w:val="18"/>
          <w:lang w:val="en-US"/>
        </w:rPr>
        <w:t>-256.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54E"/>
    <w:multiLevelType w:val="hybridMultilevel"/>
    <w:tmpl w:val="D74C2B4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926059A"/>
    <w:multiLevelType w:val="hybridMultilevel"/>
    <w:tmpl w:val="32F2B51E"/>
    <w:lvl w:ilvl="0" w:tplc="0C069E6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0A4E64"/>
    <w:multiLevelType w:val="hybridMultilevel"/>
    <w:tmpl w:val="23060BBE"/>
    <w:lvl w:ilvl="0" w:tplc="1C09000F">
      <w:start w:val="1"/>
      <w:numFmt w:val="decimal"/>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61281212"/>
    <w:multiLevelType w:val="hybridMultilevel"/>
    <w:tmpl w:val="ECC4D1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A6"/>
    <w:rsid w:val="0000780D"/>
    <w:rsid w:val="000353B4"/>
    <w:rsid w:val="00036B50"/>
    <w:rsid w:val="000379FF"/>
    <w:rsid w:val="00041563"/>
    <w:rsid w:val="00043438"/>
    <w:rsid w:val="00046AE7"/>
    <w:rsid w:val="00055DEF"/>
    <w:rsid w:val="00075615"/>
    <w:rsid w:val="000A6EA8"/>
    <w:rsid w:val="000B4389"/>
    <w:rsid w:val="000B62BC"/>
    <w:rsid w:val="000B6A88"/>
    <w:rsid w:val="000C0FBB"/>
    <w:rsid w:val="000C4429"/>
    <w:rsid w:val="000D3EC7"/>
    <w:rsid w:val="000E21D9"/>
    <w:rsid w:val="000F2E5A"/>
    <w:rsid w:val="000F563B"/>
    <w:rsid w:val="00101B8F"/>
    <w:rsid w:val="00102C54"/>
    <w:rsid w:val="00127E0A"/>
    <w:rsid w:val="00145A00"/>
    <w:rsid w:val="00147F2B"/>
    <w:rsid w:val="00152B22"/>
    <w:rsid w:val="0015697A"/>
    <w:rsid w:val="00161704"/>
    <w:rsid w:val="00184257"/>
    <w:rsid w:val="001B3D65"/>
    <w:rsid w:val="001C197C"/>
    <w:rsid w:val="001C4DD2"/>
    <w:rsid w:val="001D3A65"/>
    <w:rsid w:val="001D4C5F"/>
    <w:rsid w:val="001E010B"/>
    <w:rsid w:val="001E31E8"/>
    <w:rsid w:val="001E33EA"/>
    <w:rsid w:val="001E4E76"/>
    <w:rsid w:val="001E55FC"/>
    <w:rsid w:val="001E64FF"/>
    <w:rsid w:val="001F4CFB"/>
    <w:rsid w:val="00204463"/>
    <w:rsid w:val="0020521F"/>
    <w:rsid w:val="00206870"/>
    <w:rsid w:val="002070FC"/>
    <w:rsid w:val="0022313C"/>
    <w:rsid w:val="00223C3B"/>
    <w:rsid w:val="00223DB2"/>
    <w:rsid w:val="002302D2"/>
    <w:rsid w:val="00237954"/>
    <w:rsid w:val="002412E3"/>
    <w:rsid w:val="00242749"/>
    <w:rsid w:val="0024287F"/>
    <w:rsid w:val="002520A5"/>
    <w:rsid w:val="00253D2D"/>
    <w:rsid w:val="00266926"/>
    <w:rsid w:val="002A1E5E"/>
    <w:rsid w:val="002B1B7D"/>
    <w:rsid w:val="002B36DF"/>
    <w:rsid w:val="002B6614"/>
    <w:rsid w:val="002C0E05"/>
    <w:rsid w:val="002C775C"/>
    <w:rsid w:val="002D3CF3"/>
    <w:rsid w:val="002E249B"/>
    <w:rsid w:val="00302776"/>
    <w:rsid w:val="00312C14"/>
    <w:rsid w:val="00315A26"/>
    <w:rsid w:val="0032575C"/>
    <w:rsid w:val="00327C01"/>
    <w:rsid w:val="00331A20"/>
    <w:rsid w:val="00340F22"/>
    <w:rsid w:val="00344A75"/>
    <w:rsid w:val="003533C2"/>
    <w:rsid w:val="00366A02"/>
    <w:rsid w:val="003852C9"/>
    <w:rsid w:val="003A40D2"/>
    <w:rsid w:val="003A7505"/>
    <w:rsid w:val="003C30B7"/>
    <w:rsid w:val="003C399F"/>
    <w:rsid w:val="003C79C5"/>
    <w:rsid w:val="003F318B"/>
    <w:rsid w:val="003F3A48"/>
    <w:rsid w:val="00400F01"/>
    <w:rsid w:val="0040685A"/>
    <w:rsid w:val="00407EC2"/>
    <w:rsid w:val="00414795"/>
    <w:rsid w:val="00415938"/>
    <w:rsid w:val="00416F85"/>
    <w:rsid w:val="0042732B"/>
    <w:rsid w:val="004370F4"/>
    <w:rsid w:val="004605C9"/>
    <w:rsid w:val="004621EC"/>
    <w:rsid w:val="00465BB5"/>
    <w:rsid w:val="00465C66"/>
    <w:rsid w:val="004671A4"/>
    <w:rsid w:val="004727AE"/>
    <w:rsid w:val="00473D87"/>
    <w:rsid w:val="00480134"/>
    <w:rsid w:val="00483317"/>
    <w:rsid w:val="00485EF5"/>
    <w:rsid w:val="00494859"/>
    <w:rsid w:val="004A0F8C"/>
    <w:rsid w:val="004A3846"/>
    <w:rsid w:val="004B1FC8"/>
    <w:rsid w:val="004B3824"/>
    <w:rsid w:val="004B6036"/>
    <w:rsid w:val="004C5934"/>
    <w:rsid w:val="004D2174"/>
    <w:rsid w:val="004D3550"/>
    <w:rsid w:val="004E2C4E"/>
    <w:rsid w:val="004E43B9"/>
    <w:rsid w:val="004E743B"/>
    <w:rsid w:val="0051632B"/>
    <w:rsid w:val="00520495"/>
    <w:rsid w:val="00525CAD"/>
    <w:rsid w:val="005323C1"/>
    <w:rsid w:val="0054007A"/>
    <w:rsid w:val="0054195B"/>
    <w:rsid w:val="00555A69"/>
    <w:rsid w:val="00564D72"/>
    <w:rsid w:val="00567012"/>
    <w:rsid w:val="0056780B"/>
    <w:rsid w:val="00570D76"/>
    <w:rsid w:val="00574A0F"/>
    <w:rsid w:val="0057646E"/>
    <w:rsid w:val="005822FB"/>
    <w:rsid w:val="00594CA6"/>
    <w:rsid w:val="00595EC2"/>
    <w:rsid w:val="005A2CFB"/>
    <w:rsid w:val="005A2F83"/>
    <w:rsid w:val="005A7F63"/>
    <w:rsid w:val="005B289D"/>
    <w:rsid w:val="005C2BC5"/>
    <w:rsid w:val="005C5966"/>
    <w:rsid w:val="005E008C"/>
    <w:rsid w:val="005E31A5"/>
    <w:rsid w:val="005E4091"/>
    <w:rsid w:val="005E4B55"/>
    <w:rsid w:val="005E69C4"/>
    <w:rsid w:val="005F658C"/>
    <w:rsid w:val="00601AA6"/>
    <w:rsid w:val="006030CE"/>
    <w:rsid w:val="00607DC4"/>
    <w:rsid w:val="0061192E"/>
    <w:rsid w:val="00611ACB"/>
    <w:rsid w:val="00621EA8"/>
    <w:rsid w:val="00624D31"/>
    <w:rsid w:val="006374A6"/>
    <w:rsid w:val="0064622F"/>
    <w:rsid w:val="00646C99"/>
    <w:rsid w:val="00650253"/>
    <w:rsid w:val="00654205"/>
    <w:rsid w:val="006552E2"/>
    <w:rsid w:val="0066494D"/>
    <w:rsid w:val="006838C0"/>
    <w:rsid w:val="0068576F"/>
    <w:rsid w:val="00694670"/>
    <w:rsid w:val="00694874"/>
    <w:rsid w:val="006A22DD"/>
    <w:rsid w:val="006A7889"/>
    <w:rsid w:val="006B22C7"/>
    <w:rsid w:val="006B417E"/>
    <w:rsid w:val="006B53D5"/>
    <w:rsid w:val="006B5F03"/>
    <w:rsid w:val="006C03B0"/>
    <w:rsid w:val="006D5179"/>
    <w:rsid w:val="006D7B91"/>
    <w:rsid w:val="006E6CD3"/>
    <w:rsid w:val="006E7755"/>
    <w:rsid w:val="006F3DDF"/>
    <w:rsid w:val="007054C7"/>
    <w:rsid w:val="00710655"/>
    <w:rsid w:val="0071191B"/>
    <w:rsid w:val="007127AD"/>
    <w:rsid w:val="00714C43"/>
    <w:rsid w:val="00742290"/>
    <w:rsid w:val="0074525F"/>
    <w:rsid w:val="00746E23"/>
    <w:rsid w:val="00747ED4"/>
    <w:rsid w:val="007634CF"/>
    <w:rsid w:val="007642E6"/>
    <w:rsid w:val="007868B1"/>
    <w:rsid w:val="00794091"/>
    <w:rsid w:val="007A633E"/>
    <w:rsid w:val="007B117A"/>
    <w:rsid w:val="007B4D01"/>
    <w:rsid w:val="007E5EF6"/>
    <w:rsid w:val="007E63B4"/>
    <w:rsid w:val="007F3E2B"/>
    <w:rsid w:val="00801838"/>
    <w:rsid w:val="00817A79"/>
    <w:rsid w:val="00820CAA"/>
    <w:rsid w:val="0082606B"/>
    <w:rsid w:val="008426E0"/>
    <w:rsid w:val="008646AA"/>
    <w:rsid w:val="00867351"/>
    <w:rsid w:val="0087351F"/>
    <w:rsid w:val="00876397"/>
    <w:rsid w:val="008840C3"/>
    <w:rsid w:val="00886CC4"/>
    <w:rsid w:val="0089392C"/>
    <w:rsid w:val="00893EE4"/>
    <w:rsid w:val="00897FE0"/>
    <w:rsid w:val="008A5321"/>
    <w:rsid w:val="008C6A97"/>
    <w:rsid w:val="008D2D6A"/>
    <w:rsid w:val="008D3D04"/>
    <w:rsid w:val="008D403B"/>
    <w:rsid w:val="00905C91"/>
    <w:rsid w:val="00912749"/>
    <w:rsid w:val="0091451D"/>
    <w:rsid w:val="00915120"/>
    <w:rsid w:val="00922788"/>
    <w:rsid w:val="00935926"/>
    <w:rsid w:val="00936D92"/>
    <w:rsid w:val="00941826"/>
    <w:rsid w:val="00943580"/>
    <w:rsid w:val="00945A63"/>
    <w:rsid w:val="00946F54"/>
    <w:rsid w:val="00954D16"/>
    <w:rsid w:val="0095641E"/>
    <w:rsid w:val="00960505"/>
    <w:rsid w:val="00960DAA"/>
    <w:rsid w:val="009755DB"/>
    <w:rsid w:val="009771DF"/>
    <w:rsid w:val="00995F9A"/>
    <w:rsid w:val="009A66C6"/>
    <w:rsid w:val="009B3218"/>
    <w:rsid w:val="009B5BA8"/>
    <w:rsid w:val="009C14C6"/>
    <w:rsid w:val="009C4CA9"/>
    <w:rsid w:val="009D2FF0"/>
    <w:rsid w:val="00A02FA8"/>
    <w:rsid w:val="00A10296"/>
    <w:rsid w:val="00A13360"/>
    <w:rsid w:val="00A13EA5"/>
    <w:rsid w:val="00A1723C"/>
    <w:rsid w:val="00A253D0"/>
    <w:rsid w:val="00A3176B"/>
    <w:rsid w:val="00A441B7"/>
    <w:rsid w:val="00A53FED"/>
    <w:rsid w:val="00A64118"/>
    <w:rsid w:val="00A71D4A"/>
    <w:rsid w:val="00A728D7"/>
    <w:rsid w:val="00A800F9"/>
    <w:rsid w:val="00A84106"/>
    <w:rsid w:val="00A94EFB"/>
    <w:rsid w:val="00AB08B1"/>
    <w:rsid w:val="00AB27C0"/>
    <w:rsid w:val="00AB3B3F"/>
    <w:rsid w:val="00AB554B"/>
    <w:rsid w:val="00AD0FAC"/>
    <w:rsid w:val="00AD10E8"/>
    <w:rsid w:val="00AD2648"/>
    <w:rsid w:val="00AD5355"/>
    <w:rsid w:val="00AD62F4"/>
    <w:rsid w:val="00AE6108"/>
    <w:rsid w:val="00AF78BA"/>
    <w:rsid w:val="00B02C54"/>
    <w:rsid w:val="00B125DB"/>
    <w:rsid w:val="00B30E15"/>
    <w:rsid w:val="00B33BC4"/>
    <w:rsid w:val="00B379F4"/>
    <w:rsid w:val="00B43B8C"/>
    <w:rsid w:val="00B45DCE"/>
    <w:rsid w:val="00B62457"/>
    <w:rsid w:val="00B631F2"/>
    <w:rsid w:val="00B825D5"/>
    <w:rsid w:val="00B86253"/>
    <w:rsid w:val="00B87DC6"/>
    <w:rsid w:val="00B90C31"/>
    <w:rsid w:val="00B92539"/>
    <w:rsid w:val="00B92EEF"/>
    <w:rsid w:val="00BA2F0B"/>
    <w:rsid w:val="00BA6017"/>
    <w:rsid w:val="00BB01CF"/>
    <w:rsid w:val="00BB7AC2"/>
    <w:rsid w:val="00BC363B"/>
    <w:rsid w:val="00BE1CBA"/>
    <w:rsid w:val="00BF637B"/>
    <w:rsid w:val="00C0075F"/>
    <w:rsid w:val="00C00993"/>
    <w:rsid w:val="00C0228F"/>
    <w:rsid w:val="00C11D4B"/>
    <w:rsid w:val="00C12DD7"/>
    <w:rsid w:val="00C40F03"/>
    <w:rsid w:val="00C5662F"/>
    <w:rsid w:val="00C617E0"/>
    <w:rsid w:val="00C67738"/>
    <w:rsid w:val="00C7101C"/>
    <w:rsid w:val="00C85E23"/>
    <w:rsid w:val="00C9447A"/>
    <w:rsid w:val="00CB2744"/>
    <w:rsid w:val="00CB784B"/>
    <w:rsid w:val="00CC1B93"/>
    <w:rsid w:val="00CC32E8"/>
    <w:rsid w:val="00CD0DC1"/>
    <w:rsid w:val="00CD3F2E"/>
    <w:rsid w:val="00CE75A4"/>
    <w:rsid w:val="00CF14D1"/>
    <w:rsid w:val="00CF7E23"/>
    <w:rsid w:val="00D00703"/>
    <w:rsid w:val="00D02492"/>
    <w:rsid w:val="00D03B97"/>
    <w:rsid w:val="00D056F6"/>
    <w:rsid w:val="00D06C50"/>
    <w:rsid w:val="00D10275"/>
    <w:rsid w:val="00D12CB2"/>
    <w:rsid w:val="00D23100"/>
    <w:rsid w:val="00D235C4"/>
    <w:rsid w:val="00D2609C"/>
    <w:rsid w:val="00D31D12"/>
    <w:rsid w:val="00D3386C"/>
    <w:rsid w:val="00D365FA"/>
    <w:rsid w:val="00D41248"/>
    <w:rsid w:val="00D413BF"/>
    <w:rsid w:val="00D44360"/>
    <w:rsid w:val="00D5043C"/>
    <w:rsid w:val="00D51E8F"/>
    <w:rsid w:val="00D5224D"/>
    <w:rsid w:val="00D526CF"/>
    <w:rsid w:val="00D52A72"/>
    <w:rsid w:val="00D6218A"/>
    <w:rsid w:val="00D7338C"/>
    <w:rsid w:val="00D74B01"/>
    <w:rsid w:val="00D76B9E"/>
    <w:rsid w:val="00D841A1"/>
    <w:rsid w:val="00D93659"/>
    <w:rsid w:val="00DA2064"/>
    <w:rsid w:val="00DB0055"/>
    <w:rsid w:val="00DB1902"/>
    <w:rsid w:val="00DC0637"/>
    <w:rsid w:val="00DC3873"/>
    <w:rsid w:val="00DC7E31"/>
    <w:rsid w:val="00DF41D7"/>
    <w:rsid w:val="00E07F2F"/>
    <w:rsid w:val="00E109FF"/>
    <w:rsid w:val="00E30FC0"/>
    <w:rsid w:val="00E3299E"/>
    <w:rsid w:val="00E47F5D"/>
    <w:rsid w:val="00E56B97"/>
    <w:rsid w:val="00E62824"/>
    <w:rsid w:val="00E6302E"/>
    <w:rsid w:val="00E63C5E"/>
    <w:rsid w:val="00E84B16"/>
    <w:rsid w:val="00E873EF"/>
    <w:rsid w:val="00E97F55"/>
    <w:rsid w:val="00EB7C64"/>
    <w:rsid w:val="00EC306B"/>
    <w:rsid w:val="00EC3FEF"/>
    <w:rsid w:val="00ED6C46"/>
    <w:rsid w:val="00EE1E00"/>
    <w:rsid w:val="00EE4D49"/>
    <w:rsid w:val="00EF288E"/>
    <w:rsid w:val="00EF51F0"/>
    <w:rsid w:val="00F15F08"/>
    <w:rsid w:val="00F20D26"/>
    <w:rsid w:val="00F22255"/>
    <w:rsid w:val="00F225F3"/>
    <w:rsid w:val="00F25B0C"/>
    <w:rsid w:val="00F3115A"/>
    <w:rsid w:val="00F42998"/>
    <w:rsid w:val="00F55DDF"/>
    <w:rsid w:val="00F74B7E"/>
    <w:rsid w:val="00F80438"/>
    <w:rsid w:val="00F900D3"/>
    <w:rsid w:val="00FA5D50"/>
    <w:rsid w:val="00FB169F"/>
    <w:rsid w:val="00FB6662"/>
    <w:rsid w:val="00FB7F92"/>
    <w:rsid w:val="00FD2483"/>
    <w:rsid w:val="00FE2329"/>
    <w:rsid w:val="00FE2961"/>
    <w:rsid w:val="00FE487D"/>
    <w:rsid w:val="00FE53F3"/>
    <w:rsid w:val="00FE60CD"/>
    <w:rsid w:val="00FF3348"/>
    <w:rsid w:val="00FF3F60"/>
    <w:rsid w:val="00FF54A8"/>
    <w:rsid w:val="00FF6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6103"/>
  <w15:chartTrackingRefBased/>
  <w15:docId w15:val="{670DA166-31A4-48C4-A770-B6E189B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3C"/>
  </w:style>
  <w:style w:type="paragraph" w:styleId="Heading1">
    <w:name w:val="heading 1"/>
    <w:basedOn w:val="Normal"/>
    <w:next w:val="Normal"/>
    <w:link w:val="Heading1Char"/>
    <w:uiPriority w:val="9"/>
    <w:qFormat/>
    <w:rsid w:val="006374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374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74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74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74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74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74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74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74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4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374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74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74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74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74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74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74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74A6"/>
    <w:rPr>
      <w:rFonts w:eastAsiaTheme="majorEastAsia" w:cstheme="majorBidi"/>
      <w:color w:val="272727" w:themeColor="text1" w:themeTint="D8"/>
    </w:rPr>
  </w:style>
  <w:style w:type="paragraph" w:styleId="Title">
    <w:name w:val="Title"/>
    <w:basedOn w:val="Normal"/>
    <w:next w:val="Normal"/>
    <w:link w:val="TitleChar"/>
    <w:uiPriority w:val="10"/>
    <w:qFormat/>
    <w:rsid w:val="006374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4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74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74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74A6"/>
    <w:pPr>
      <w:spacing w:before="160"/>
      <w:jc w:val="center"/>
    </w:pPr>
    <w:rPr>
      <w:i/>
      <w:iCs/>
      <w:color w:val="404040" w:themeColor="text1" w:themeTint="BF"/>
    </w:rPr>
  </w:style>
  <w:style w:type="character" w:customStyle="1" w:styleId="QuoteChar">
    <w:name w:val="Quote Char"/>
    <w:basedOn w:val="DefaultParagraphFont"/>
    <w:link w:val="Quote"/>
    <w:uiPriority w:val="29"/>
    <w:rsid w:val="006374A6"/>
    <w:rPr>
      <w:i/>
      <w:iCs/>
      <w:color w:val="404040" w:themeColor="text1" w:themeTint="BF"/>
    </w:rPr>
  </w:style>
  <w:style w:type="paragraph" w:styleId="ListParagraph">
    <w:name w:val="List Paragraph"/>
    <w:basedOn w:val="Normal"/>
    <w:uiPriority w:val="34"/>
    <w:qFormat/>
    <w:rsid w:val="006374A6"/>
    <w:pPr>
      <w:ind w:left="720"/>
      <w:contextualSpacing/>
    </w:pPr>
  </w:style>
  <w:style w:type="character" w:styleId="IntenseEmphasis">
    <w:name w:val="Intense Emphasis"/>
    <w:basedOn w:val="DefaultParagraphFont"/>
    <w:uiPriority w:val="21"/>
    <w:qFormat/>
    <w:rsid w:val="006374A6"/>
    <w:rPr>
      <w:i/>
      <w:iCs/>
      <w:color w:val="0F4761" w:themeColor="accent1" w:themeShade="BF"/>
    </w:rPr>
  </w:style>
  <w:style w:type="paragraph" w:styleId="IntenseQuote">
    <w:name w:val="Intense Quote"/>
    <w:basedOn w:val="Normal"/>
    <w:next w:val="Normal"/>
    <w:link w:val="IntenseQuoteChar"/>
    <w:uiPriority w:val="30"/>
    <w:qFormat/>
    <w:rsid w:val="006374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74A6"/>
    <w:rPr>
      <w:i/>
      <w:iCs/>
      <w:color w:val="0F4761" w:themeColor="accent1" w:themeShade="BF"/>
    </w:rPr>
  </w:style>
  <w:style w:type="character" w:styleId="IntenseReference">
    <w:name w:val="Intense Reference"/>
    <w:basedOn w:val="DefaultParagraphFont"/>
    <w:uiPriority w:val="32"/>
    <w:qFormat/>
    <w:rsid w:val="006374A6"/>
    <w:rPr>
      <w:b/>
      <w:bCs/>
      <w:smallCaps/>
      <w:color w:val="0F4761" w:themeColor="accent1" w:themeShade="BF"/>
      <w:spacing w:val="5"/>
    </w:rPr>
  </w:style>
  <w:style w:type="paragraph" w:styleId="FootnoteText">
    <w:name w:val="footnote text"/>
    <w:basedOn w:val="Normal"/>
    <w:link w:val="FootnoteTextChar"/>
    <w:uiPriority w:val="99"/>
    <w:semiHidden/>
    <w:unhideWhenUsed/>
    <w:rsid w:val="003C3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99F"/>
    <w:rPr>
      <w:sz w:val="20"/>
      <w:szCs w:val="20"/>
    </w:rPr>
  </w:style>
  <w:style w:type="character" w:styleId="FootnoteReference">
    <w:name w:val="footnote reference"/>
    <w:basedOn w:val="DefaultParagraphFont"/>
    <w:uiPriority w:val="99"/>
    <w:semiHidden/>
    <w:unhideWhenUsed/>
    <w:rsid w:val="003C399F"/>
    <w:rPr>
      <w:vertAlign w:val="superscript"/>
    </w:rPr>
  </w:style>
  <w:style w:type="paragraph" w:styleId="Header">
    <w:name w:val="header"/>
    <w:basedOn w:val="Normal"/>
    <w:link w:val="HeaderChar"/>
    <w:uiPriority w:val="99"/>
    <w:unhideWhenUsed/>
    <w:rsid w:val="002B1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B7D"/>
  </w:style>
  <w:style w:type="paragraph" w:styleId="Footer">
    <w:name w:val="footer"/>
    <w:basedOn w:val="Normal"/>
    <w:link w:val="FooterChar"/>
    <w:uiPriority w:val="99"/>
    <w:unhideWhenUsed/>
    <w:rsid w:val="002B1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B7D"/>
  </w:style>
  <w:style w:type="paragraph" w:styleId="Revision">
    <w:name w:val="Revision"/>
    <w:hidden/>
    <w:uiPriority w:val="99"/>
    <w:semiHidden/>
    <w:rsid w:val="000379FF"/>
    <w:pPr>
      <w:spacing w:after="0" w:line="240" w:lineRule="auto"/>
    </w:pPr>
  </w:style>
  <w:style w:type="character" w:styleId="CommentReference">
    <w:name w:val="annotation reference"/>
    <w:basedOn w:val="DefaultParagraphFont"/>
    <w:uiPriority w:val="99"/>
    <w:semiHidden/>
    <w:unhideWhenUsed/>
    <w:rsid w:val="00CB784B"/>
    <w:rPr>
      <w:sz w:val="16"/>
      <w:szCs w:val="16"/>
    </w:rPr>
  </w:style>
  <w:style w:type="paragraph" w:styleId="CommentText">
    <w:name w:val="annotation text"/>
    <w:basedOn w:val="Normal"/>
    <w:link w:val="CommentTextChar"/>
    <w:uiPriority w:val="99"/>
    <w:unhideWhenUsed/>
    <w:rsid w:val="00CB784B"/>
    <w:pPr>
      <w:spacing w:line="240" w:lineRule="auto"/>
    </w:pPr>
    <w:rPr>
      <w:sz w:val="20"/>
      <w:szCs w:val="20"/>
    </w:rPr>
  </w:style>
  <w:style w:type="character" w:customStyle="1" w:styleId="CommentTextChar">
    <w:name w:val="Comment Text Char"/>
    <w:basedOn w:val="DefaultParagraphFont"/>
    <w:link w:val="CommentText"/>
    <w:uiPriority w:val="99"/>
    <w:rsid w:val="00CB784B"/>
    <w:rPr>
      <w:sz w:val="20"/>
      <w:szCs w:val="20"/>
    </w:rPr>
  </w:style>
  <w:style w:type="paragraph" w:styleId="CommentSubject">
    <w:name w:val="annotation subject"/>
    <w:basedOn w:val="CommentText"/>
    <w:next w:val="CommentText"/>
    <w:link w:val="CommentSubjectChar"/>
    <w:uiPriority w:val="99"/>
    <w:semiHidden/>
    <w:unhideWhenUsed/>
    <w:rsid w:val="00CB784B"/>
    <w:rPr>
      <w:b/>
      <w:bCs/>
    </w:rPr>
  </w:style>
  <w:style w:type="character" w:customStyle="1" w:styleId="CommentSubjectChar">
    <w:name w:val="Comment Subject Char"/>
    <w:basedOn w:val="CommentTextChar"/>
    <w:link w:val="CommentSubject"/>
    <w:uiPriority w:val="99"/>
    <w:semiHidden/>
    <w:rsid w:val="00CB784B"/>
    <w:rPr>
      <w:b/>
      <w:bCs/>
      <w:sz w:val="20"/>
      <w:szCs w:val="20"/>
    </w:rPr>
  </w:style>
  <w:style w:type="paragraph" w:styleId="NoSpacing">
    <w:name w:val="No Spacing"/>
    <w:uiPriority w:val="1"/>
    <w:qFormat/>
    <w:rsid w:val="00621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jpg@01D0409E.9324623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2E58-73F4-472D-B525-AE2F4A81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Sathish</cp:lastModifiedBy>
  <cp:revision>6</cp:revision>
  <cp:lastPrinted>2024-02-02T12:39:00Z</cp:lastPrinted>
  <dcterms:created xsi:type="dcterms:W3CDTF">2024-02-02T13:08:00Z</dcterms:created>
  <dcterms:modified xsi:type="dcterms:W3CDTF">2024-02-07T05:52:00Z</dcterms:modified>
</cp:coreProperties>
</file>