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B9E5F" w14:textId="77777777" w:rsidR="0042199E" w:rsidRPr="00933C28" w:rsidRDefault="0042199E" w:rsidP="00933C28">
      <w:pPr>
        <w:spacing w:line="480" w:lineRule="auto"/>
        <w:jc w:val="center"/>
        <w:rPr>
          <w:rFonts w:ascii="Arial" w:hAnsi="Arial" w:cs="Arial"/>
          <w:b/>
          <w:sz w:val="24"/>
          <w:szCs w:val="24"/>
        </w:rPr>
      </w:pPr>
      <w:r w:rsidRPr="00933C28">
        <w:rPr>
          <w:rFonts w:ascii="Arial" w:hAnsi="Arial" w:cs="Arial"/>
          <w:noProof/>
          <w:sz w:val="24"/>
          <w:szCs w:val="24"/>
          <w:lang w:eastAsia="en-ZA"/>
        </w:rPr>
        <w:drawing>
          <wp:anchor distT="0" distB="0" distL="114300" distR="114300" simplePos="0" relativeHeight="251660288" behindDoc="0" locked="0" layoutInCell="1" allowOverlap="1" wp14:anchorId="7BA01203" wp14:editId="46DFF234">
            <wp:simplePos x="0" y="0"/>
            <wp:positionH relativeFrom="margin">
              <wp:posOffset>2044700</wp:posOffset>
            </wp:positionH>
            <wp:positionV relativeFrom="paragraph">
              <wp:posOffset>264160</wp:posOffset>
            </wp:positionV>
            <wp:extent cx="1320800" cy="1333500"/>
            <wp:effectExtent l="0" t="0" r="0" b="0"/>
            <wp:wrapNone/>
            <wp:docPr id="6" name="Picture 6" descr="Description: Description: cid:image002.jpg@01D019DE.127D2590"/>
            <wp:cNvGraphicFramePr/>
            <a:graphic xmlns:a="http://schemas.openxmlformats.org/drawingml/2006/main">
              <a:graphicData uri="http://schemas.openxmlformats.org/drawingml/2006/picture">
                <pic:pic xmlns:pic="http://schemas.openxmlformats.org/drawingml/2006/picture">
                  <pic:nvPicPr>
                    <pic:cNvPr id="6" name="Picture 6" descr="Description: Description: cid:image002.jpg@01D019DE.127D259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2080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3C28">
        <w:rPr>
          <w:rFonts w:ascii="Arial" w:hAnsi="Arial" w:cs="Arial"/>
          <w:b/>
          <w:sz w:val="24"/>
          <w:szCs w:val="24"/>
        </w:rPr>
        <w:t>IN THE HIGH COURT OF SOUTH AFRICA</w:t>
      </w:r>
    </w:p>
    <w:p w14:paraId="5EB796F3" w14:textId="77777777" w:rsidR="0042199E" w:rsidRPr="00933C28" w:rsidRDefault="0042199E" w:rsidP="0042199E">
      <w:pPr>
        <w:spacing w:line="480" w:lineRule="auto"/>
        <w:jc w:val="center"/>
        <w:rPr>
          <w:rFonts w:ascii="Arial" w:hAnsi="Arial" w:cs="Arial"/>
          <w:b/>
          <w:sz w:val="24"/>
          <w:szCs w:val="24"/>
        </w:rPr>
      </w:pPr>
    </w:p>
    <w:p w14:paraId="4426CC75" w14:textId="77777777" w:rsidR="0042199E" w:rsidRPr="00933C28" w:rsidRDefault="0042199E" w:rsidP="0042199E">
      <w:pPr>
        <w:spacing w:line="480" w:lineRule="auto"/>
        <w:jc w:val="center"/>
        <w:rPr>
          <w:rFonts w:ascii="Arial" w:hAnsi="Arial" w:cs="Arial"/>
          <w:b/>
          <w:sz w:val="24"/>
          <w:szCs w:val="24"/>
        </w:rPr>
      </w:pPr>
    </w:p>
    <w:p w14:paraId="1F7E78BA" w14:textId="77777777" w:rsidR="0042199E" w:rsidRPr="00933C28" w:rsidRDefault="0042199E" w:rsidP="0042199E">
      <w:pPr>
        <w:spacing w:line="480" w:lineRule="auto"/>
        <w:rPr>
          <w:rFonts w:ascii="Arial" w:hAnsi="Arial" w:cs="Arial"/>
          <w:b/>
          <w:sz w:val="24"/>
          <w:szCs w:val="24"/>
        </w:rPr>
      </w:pPr>
    </w:p>
    <w:p w14:paraId="51EA3157" w14:textId="77777777" w:rsidR="0042199E" w:rsidRPr="00933C28" w:rsidRDefault="0042199E" w:rsidP="0042199E">
      <w:pPr>
        <w:spacing w:line="480" w:lineRule="auto"/>
        <w:jc w:val="center"/>
        <w:rPr>
          <w:rFonts w:ascii="Arial" w:hAnsi="Arial" w:cs="Arial"/>
          <w:b/>
          <w:sz w:val="24"/>
          <w:szCs w:val="24"/>
        </w:rPr>
      </w:pPr>
      <w:r w:rsidRPr="00933C28">
        <w:rPr>
          <w:rFonts w:ascii="Arial" w:hAnsi="Arial" w:cs="Arial"/>
          <w:b/>
          <w:sz w:val="24"/>
          <w:szCs w:val="24"/>
        </w:rPr>
        <w:t>GAUTENG DIVISION, PRETORIA</w:t>
      </w:r>
    </w:p>
    <w:p w14:paraId="014FC3DF" w14:textId="41CA44CF" w:rsidR="0042199E" w:rsidRPr="00933C28" w:rsidRDefault="0042199E" w:rsidP="00933C28">
      <w:pPr>
        <w:tabs>
          <w:tab w:val="right" w:pos="8199"/>
        </w:tabs>
        <w:spacing w:line="480" w:lineRule="auto"/>
        <w:jc w:val="right"/>
        <w:rPr>
          <w:rFonts w:ascii="Arial" w:hAnsi="Arial" w:cs="Arial"/>
          <w:b/>
          <w:sz w:val="24"/>
          <w:szCs w:val="24"/>
        </w:rPr>
      </w:pPr>
      <w:r w:rsidRPr="00933C28">
        <w:rPr>
          <w:rFonts w:ascii="Arial" w:hAnsi="Arial" w:cs="Arial"/>
          <w:sz w:val="24"/>
          <w:szCs w:val="24"/>
        </w:rPr>
        <w:tab/>
      </w:r>
      <w:r w:rsidRPr="00933C28">
        <w:rPr>
          <w:rFonts w:ascii="Arial" w:hAnsi="Arial" w:cs="Arial"/>
          <w:b/>
          <w:sz w:val="24"/>
          <w:szCs w:val="24"/>
        </w:rPr>
        <w:t>Case number:  054695/2022</w:t>
      </w:r>
    </w:p>
    <w:p w14:paraId="6C19F27D" w14:textId="77777777" w:rsidR="0042199E" w:rsidRPr="00933C28" w:rsidRDefault="0042199E" w:rsidP="0042199E">
      <w:pPr>
        <w:spacing w:line="480" w:lineRule="auto"/>
        <w:rPr>
          <w:rFonts w:ascii="Arial" w:hAnsi="Arial" w:cs="Arial"/>
          <w:b/>
          <w:sz w:val="24"/>
          <w:szCs w:val="24"/>
        </w:rPr>
      </w:pPr>
      <w:r w:rsidRPr="00933C28">
        <w:rPr>
          <w:rFonts w:ascii="Arial" w:hAnsi="Arial" w:cs="Arial"/>
          <w:b/>
          <w:noProof/>
          <w:sz w:val="24"/>
          <w:szCs w:val="24"/>
          <w:lang w:eastAsia="en-ZA"/>
        </w:rPr>
        <mc:AlternateContent>
          <mc:Choice Requires="wps">
            <w:drawing>
              <wp:anchor distT="0" distB="0" distL="114300" distR="114300" simplePos="0" relativeHeight="251659264" behindDoc="0" locked="0" layoutInCell="1" allowOverlap="1" wp14:anchorId="185B8B23" wp14:editId="0AF573D1">
                <wp:simplePos x="0" y="0"/>
                <wp:positionH relativeFrom="column">
                  <wp:posOffset>-161925</wp:posOffset>
                </wp:positionH>
                <wp:positionV relativeFrom="paragraph">
                  <wp:posOffset>35560</wp:posOffset>
                </wp:positionV>
                <wp:extent cx="2933700" cy="1569720"/>
                <wp:effectExtent l="0" t="0" r="19050" b="114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569720"/>
                        </a:xfrm>
                        <a:prstGeom prst="rect">
                          <a:avLst/>
                        </a:prstGeom>
                        <a:solidFill>
                          <a:srgbClr val="FFFFFF"/>
                        </a:solidFill>
                        <a:ln w="9525">
                          <a:solidFill>
                            <a:srgbClr val="000000"/>
                          </a:solidFill>
                          <a:miter lim="800000"/>
                          <a:headEnd/>
                          <a:tailEnd/>
                        </a:ln>
                      </wps:spPr>
                      <wps:txbx>
                        <w:txbxContent>
                          <w:p w14:paraId="3AF9BA77" w14:textId="77777777" w:rsidR="0042199E" w:rsidRPr="00913F95" w:rsidRDefault="0042199E" w:rsidP="0042199E">
                            <w:pPr>
                              <w:jc w:val="center"/>
                              <w:rPr>
                                <w:rFonts w:ascii="Century Gothic" w:hAnsi="Century Gothic"/>
                                <w:b/>
                                <w:sz w:val="20"/>
                                <w:szCs w:val="20"/>
                              </w:rPr>
                            </w:pPr>
                          </w:p>
                          <w:p w14:paraId="19734D36" w14:textId="77777777" w:rsidR="0042199E" w:rsidRPr="007C20F4" w:rsidRDefault="0042199E" w:rsidP="0042199E">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DELETE WHICHEVER IS NOT APPLICABLE</w:t>
                            </w:r>
                          </w:p>
                          <w:p w14:paraId="7765CC42" w14:textId="59CFA5FD" w:rsidR="0042199E" w:rsidRPr="007C20F4" w:rsidRDefault="0042199E" w:rsidP="0042199E">
                            <w:pPr>
                              <w:widowControl w:val="0"/>
                              <w:numPr>
                                <w:ilvl w:val="0"/>
                                <w:numId w:val="2"/>
                              </w:numPr>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REPORTABLE: NO</w:t>
                            </w:r>
                          </w:p>
                          <w:p w14:paraId="1759F04C" w14:textId="01B29AC6" w:rsidR="0042199E" w:rsidRPr="007C20F4" w:rsidRDefault="0042199E" w:rsidP="0042199E">
                            <w:pPr>
                              <w:widowControl w:val="0"/>
                              <w:numPr>
                                <w:ilvl w:val="0"/>
                                <w:numId w:val="2"/>
                              </w:numPr>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OF INTEREST TO OTHERS JUDGES: NO</w:t>
                            </w:r>
                          </w:p>
                          <w:p w14:paraId="706451DF" w14:textId="77777777" w:rsidR="0042199E" w:rsidRPr="007C20F4" w:rsidRDefault="0042199E" w:rsidP="0042199E">
                            <w:pPr>
                              <w:widowControl w:val="0"/>
                              <w:numPr>
                                <w:ilvl w:val="0"/>
                                <w:numId w:val="2"/>
                              </w:numPr>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REVISED</w:t>
                            </w:r>
                          </w:p>
                          <w:p w14:paraId="53A5D60A" w14:textId="77777777" w:rsidR="0042199E" w:rsidRPr="007C20F4" w:rsidRDefault="0042199E" w:rsidP="0042199E">
                            <w:pPr>
                              <w:tabs>
                                <w:tab w:val="center" w:pos="4320"/>
                                <w:tab w:val="right" w:pos="8640"/>
                              </w:tabs>
                              <w:spacing w:after="200" w:line="276" w:lineRule="auto"/>
                              <w:ind w:left="720"/>
                              <w:contextualSpacing/>
                              <w:rPr>
                                <w:rFonts w:ascii="Calibri" w:eastAsia="Calibri" w:hAnsi="Calibri" w:cs="Times New Roman"/>
                                <w:sz w:val="20"/>
                                <w:szCs w:val="20"/>
                                <w:lang w:val="af-ZA"/>
                              </w:rPr>
                            </w:pPr>
                          </w:p>
                          <w:p w14:paraId="1C112B8E" w14:textId="77777777" w:rsidR="0042199E" w:rsidRPr="007C20F4" w:rsidRDefault="0042199E" w:rsidP="0042199E">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    ..............................................</w:t>
                            </w:r>
                          </w:p>
                          <w:p w14:paraId="59C0ABF8" w14:textId="77777777" w:rsidR="0042199E" w:rsidRPr="00D3790A" w:rsidRDefault="0042199E" w:rsidP="0042199E">
                            <w:pPr>
                              <w:rPr>
                                <w:rFonts w:ascii="Century Gothic" w:hAnsi="Century Gothic"/>
                                <w:sz w:val="18"/>
                                <w:szCs w:val="18"/>
                              </w:rPr>
                            </w:pPr>
                            <w:r w:rsidRPr="007C20F4">
                              <w:rPr>
                                <w:rFonts w:ascii="Calibri" w:hAnsi="Calibri" w:cs="Times New Roman"/>
                                <w:sz w:val="20"/>
                                <w:szCs w:val="20"/>
                              </w:rPr>
                              <w:t xml:space="preserve">         DATE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B8B23" id="_x0000_t202" coordsize="21600,21600" o:spt="202" path="m,l,21600r21600,l21600,xe">
                <v:stroke joinstyle="miter"/>
                <v:path gradientshapeok="t" o:connecttype="rect"/>
              </v:shapetype>
              <v:shape id="Text Box 5" o:spid="_x0000_s1026" type="#_x0000_t202" style="position:absolute;margin-left:-12.75pt;margin-top:2.8pt;width:231pt;height:1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">
                <v:textbox>
                  <w:txbxContent>
                    <w:p w14:paraId="3AF9BA77" w14:textId="77777777" w:rsidR="0042199E" w:rsidRPr="00913F95" w:rsidRDefault="0042199E" w:rsidP="0042199E">
                      <w:pPr>
                        <w:jc w:val="center"/>
                        <w:rPr>
                          <w:rFonts w:ascii="Century Gothic" w:hAnsi="Century Gothic"/>
                          <w:b/>
                          <w:sz w:val="20"/>
                          <w:szCs w:val="20"/>
                        </w:rPr>
                      </w:pPr>
                    </w:p>
                    <w:p w14:paraId="19734D36" w14:textId="77777777" w:rsidR="0042199E" w:rsidRPr="007C20F4" w:rsidRDefault="0042199E" w:rsidP="0042199E">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DELETE WHICHEVER IS NOT APPLICABLE</w:t>
                      </w:r>
                    </w:p>
                    <w:p w14:paraId="7765CC42" w14:textId="59CFA5FD" w:rsidR="0042199E" w:rsidRPr="007C20F4" w:rsidRDefault="0042199E" w:rsidP="0042199E">
                      <w:pPr>
                        <w:widowControl w:val="0"/>
                        <w:numPr>
                          <w:ilvl w:val="0"/>
                          <w:numId w:val="2"/>
                        </w:numPr>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REPORTABLE: NO</w:t>
                      </w:r>
                    </w:p>
                    <w:p w14:paraId="1759F04C" w14:textId="01B29AC6" w:rsidR="0042199E" w:rsidRPr="007C20F4" w:rsidRDefault="0042199E" w:rsidP="0042199E">
                      <w:pPr>
                        <w:widowControl w:val="0"/>
                        <w:numPr>
                          <w:ilvl w:val="0"/>
                          <w:numId w:val="2"/>
                        </w:numPr>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OF INTEREST TO OTHERS JUDGES: NO</w:t>
                      </w:r>
                    </w:p>
                    <w:p w14:paraId="706451DF" w14:textId="77777777" w:rsidR="0042199E" w:rsidRPr="007C20F4" w:rsidRDefault="0042199E" w:rsidP="0042199E">
                      <w:pPr>
                        <w:widowControl w:val="0"/>
                        <w:numPr>
                          <w:ilvl w:val="0"/>
                          <w:numId w:val="2"/>
                        </w:numPr>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REVISED</w:t>
                      </w:r>
                    </w:p>
                    <w:p w14:paraId="53A5D60A" w14:textId="77777777" w:rsidR="0042199E" w:rsidRPr="007C20F4" w:rsidRDefault="0042199E" w:rsidP="0042199E">
                      <w:pPr>
                        <w:tabs>
                          <w:tab w:val="center" w:pos="4320"/>
                          <w:tab w:val="right" w:pos="8640"/>
                        </w:tabs>
                        <w:spacing w:after="200" w:line="276" w:lineRule="auto"/>
                        <w:ind w:left="720"/>
                        <w:contextualSpacing/>
                        <w:rPr>
                          <w:rFonts w:ascii="Calibri" w:eastAsia="Calibri" w:hAnsi="Calibri" w:cs="Times New Roman"/>
                          <w:sz w:val="20"/>
                          <w:szCs w:val="20"/>
                          <w:lang w:val="af-ZA"/>
                        </w:rPr>
                      </w:pPr>
                    </w:p>
                    <w:p w14:paraId="1C112B8E" w14:textId="77777777" w:rsidR="0042199E" w:rsidRPr="007C20F4" w:rsidRDefault="0042199E" w:rsidP="0042199E">
                      <w:pPr>
                        <w:widowControl w:val="0"/>
                        <w:tabs>
                          <w:tab w:val="center" w:pos="4320"/>
                          <w:tab w:val="right" w:pos="8640"/>
                        </w:tabs>
                        <w:autoSpaceDE w:val="0"/>
                        <w:autoSpaceDN w:val="0"/>
                        <w:adjustRightInd w:val="0"/>
                        <w:rPr>
                          <w:rFonts w:ascii="Calibri" w:hAnsi="Calibri" w:cs="Times New Roman"/>
                          <w:sz w:val="20"/>
                          <w:szCs w:val="20"/>
                        </w:rPr>
                      </w:pPr>
                      <w:r w:rsidRPr="007C20F4">
                        <w:rPr>
                          <w:rFonts w:ascii="Calibri" w:hAnsi="Calibri" w:cs="Times New Roman"/>
                          <w:sz w:val="20"/>
                          <w:szCs w:val="20"/>
                        </w:rPr>
                        <w:t>.............................    ..............................................</w:t>
                      </w:r>
                    </w:p>
                    <w:p w14:paraId="59C0ABF8" w14:textId="77777777" w:rsidR="0042199E" w:rsidRPr="00D3790A" w:rsidRDefault="0042199E" w:rsidP="0042199E">
                      <w:pPr>
                        <w:rPr>
                          <w:rFonts w:ascii="Century Gothic" w:hAnsi="Century Gothic"/>
                          <w:sz w:val="18"/>
                          <w:szCs w:val="18"/>
                        </w:rPr>
                      </w:pPr>
                      <w:r w:rsidRPr="007C20F4">
                        <w:rPr>
                          <w:rFonts w:ascii="Calibri" w:hAnsi="Calibri" w:cs="Times New Roman"/>
                          <w:sz w:val="20"/>
                          <w:szCs w:val="20"/>
                        </w:rPr>
                        <w:t xml:space="preserve">         DATE                           SIGNATURE</w:t>
                      </w:r>
                    </w:p>
                  </w:txbxContent>
                </v:textbox>
              </v:shape>
            </w:pict>
          </mc:Fallback>
        </mc:AlternateContent>
      </w:r>
    </w:p>
    <w:p w14:paraId="3A789342" w14:textId="77777777" w:rsidR="0042199E" w:rsidRPr="00933C28" w:rsidRDefault="0042199E" w:rsidP="0042199E">
      <w:pPr>
        <w:spacing w:line="480" w:lineRule="auto"/>
        <w:jc w:val="center"/>
        <w:rPr>
          <w:rFonts w:ascii="Arial" w:hAnsi="Arial" w:cs="Arial"/>
          <w:b/>
          <w:sz w:val="24"/>
          <w:szCs w:val="24"/>
        </w:rPr>
      </w:pPr>
    </w:p>
    <w:p w14:paraId="3EB614EE" w14:textId="77777777" w:rsidR="0042199E" w:rsidRPr="00933C28" w:rsidRDefault="0042199E" w:rsidP="0042199E">
      <w:pPr>
        <w:tabs>
          <w:tab w:val="right" w:pos="8199"/>
        </w:tabs>
        <w:spacing w:line="480" w:lineRule="auto"/>
        <w:rPr>
          <w:rFonts w:ascii="Arial" w:hAnsi="Arial" w:cs="Arial"/>
          <w:sz w:val="24"/>
          <w:szCs w:val="24"/>
        </w:rPr>
      </w:pPr>
      <w:r w:rsidRPr="00933C28">
        <w:rPr>
          <w:rFonts w:ascii="Arial" w:hAnsi="Arial" w:cs="Arial"/>
          <w:b/>
          <w:sz w:val="24"/>
          <w:szCs w:val="24"/>
        </w:rPr>
        <w:tab/>
      </w:r>
      <w:r w:rsidRPr="00933C28">
        <w:rPr>
          <w:rFonts w:ascii="Arial" w:hAnsi="Arial" w:cs="Arial"/>
          <w:b/>
          <w:sz w:val="24"/>
          <w:szCs w:val="24"/>
        </w:rPr>
        <w:tab/>
      </w:r>
      <w:r w:rsidRPr="00933C28">
        <w:rPr>
          <w:rFonts w:ascii="Arial" w:hAnsi="Arial" w:cs="Arial"/>
          <w:b/>
          <w:sz w:val="24"/>
          <w:szCs w:val="24"/>
        </w:rPr>
        <w:tab/>
      </w:r>
    </w:p>
    <w:p w14:paraId="6A4DD303" w14:textId="77777777" w:rsidR="0042199E" w:rsidRPr="00933C28" w:rsidRDefault="0042199E" w:rsidP="0042199E">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both"/>
        <w:rPr>
          <w:rFonts w:ascii="Arial" w:hAnsi="Arial" w:cs="Arial"/>
          <w:sz w:val="24"/>
          <w:szCs w:val="24"/>
        </w:rPr>
      </w:pPr>
      <w:r w:rsidRPr="00933C28">
        <w:rPr>
          <w:rFonts w:ascii="Arial" w:hAnsi="Arial" w:cs="Arial"/>
          <w:sz w:val="24"/>
          <w:szCs w:val="24"/>
        </w:rPr>
        <w:t>In the matter between:</w:t>
      </w:r>
    </w:p>
    <w:p w14:paraId="458FD0B2" w14:textId="3A679325" w:rsidR="0042199E" w:rsidRPr="00933C28" w:rsidRDefault="0042199E" w:rsidP="0042199E">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both"/>
        <w:rPr>
          <w:rFonts w:ascii="Arial" w:hAnsi="Arial" w:cs="Arial"/>
          <w:b/>
          <w:sz w:val="24"/>
          <w:szCs w:val="24"/>
        </w:rPr>
      </w:pPr>
      <w:r w:rsidRPr="00933C28">
        <w:rPr>
          <w:rFonts w:ascii="Arial" w:hAnsi="Arial" w:cs="Arial"/>
          <w:b/>
          <w:sz w:val="24"/>
          <w:szCs w:val="24"/>
        </w:rPr>
        <w:t>THE NATIONAL DIRECTOR OF PU</w:t>
      </w:r>
      <w:r w:rsidR="00BB6BF5" w:rsidRPr="00933C28">
        <w:rPr>
          <w:rFonts w:ascii="Arial" w:hAnsi="Arial" w:cs="Arial"/>
          <w:b/>
          <w:sz w:val="24"/>
          <w:szCs w:val="24"/>
        </w:rPr>
        <w:t xml:space="preserve">BLIC </w:t>
      </w:r>
      <w:r w:rsidR="000F615B" w:rsidRPr="00933C28">
        <w:rPr>
          <w:rFonts w:ascii="Arial" w:hAnsi="Arial" w:cs="Arial"/>
          <w:b/>
          <w:sz w:val="24"/>
          <w:szCs w:val="24"/>
        </w:rPr>
        <w:t>PROSECUT</w:t>
      </w:r>
      <w:r w:rsidR="008E56A5">
        <w:rPr>
          <w:rFonts w:ascii="Arial" w:hAnsi="Arial" w:cs="Arial"/>
          <w:b/>
          <w:sz w:val="24"/>
          <w:szCs w:val="24"/>
        </w:rPr>
        <w:t>IONS</w:t>
      </w:r>
      <w:r w:rsidR="000F615B" w:rsidRPr="00933C28">
        <w:rPr>
          <w:rFonts w:ascii="Arial" w:hAnsi="Arial" w:cs="Arial"/>
          <w:b/>
          <w:sz w:val="24"/>
          <w:szCs w:val="24"/>
        </w:rPr>
        <w:t xml:space="preserve"> </w:t>
      </w:r>
      <w:r w:rsidR="000F615B" w:rsidRPr="00933C28">
        <w:rPr>
          <w:rFonts w:ascii="Arial" w:hAnsi="Arial" w:cs="Arial"/>
          <w:b/>
          <w:bCs/>
          <w:sz w:val="24"/>
          <w:szCs w:val="24"/>
        </w:rPr>
        <w:t xml:space="preserve">                 APPLICANT</w:t>
      </w:r>
    </w:p>
    <w:p w14:paraId="51641E54" w14:textId="03C2FB68" w:rsidR="0042199E" w:rsidRPr="00933C28" w:rsidRDefault="000F615B" w:rsidP="0042199E">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both"/>
        <w:rPr>
          <w:rFonts w:ascii="Arial" w:hAnsi="Arial" w:cs="Arial"/>
          <w:sz w:val="24"/>
          <w:szCs w:val="24"/>
        </w:rPr>
      </w:pPr>
      <w:r>
        <w:rPr>
          <w:rFonts w:ascii="Arial" w:hAnsi="Arial" w:cs="Arial"/>
          <w:sz w:val="24"/>
          <w:szCs w:val="24"/>
        </w:rPr>
        <w:t>and</w:t>
      </w:r>
    </w:p>
    <w:p w14:paraId="5BCA9A60" w14:textId="6A33799A" w:rsidR="00933C28" w:rsidRPr="00933C28" w:rsidRDefault="000F615B" w:rsidP="0042199E">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both"/>
        <w:rPr>
          <w:rFonts w:ascii="Arial" w:hAnsi="Arial" w:cs="Arial"/>
          <w:b/>
          <w:sz w:val="24"/>
          <w:szCs w:val="24"/>
        </w:rPr>
      </w:pPr>
      <w:r w:rsidRPr="00933C28">
        <w:rPr>
          <w:rFonts w:ascii="Arial" w:hAnsi="Arial" w:cs="Arial"/>
          <w:b/>
          <w:sz w:val="24"/>
          <w:szCs w:val="24"/>
        </w:rPr>
        <w:t xml:space="preserve">999 MUSIC CC                 </w:t>
      </w:r>
      <w:r w:rsidRPr="00933C28">
        <w:rPr>
          <w:rFonts w:ascii="Arial" w:hAnsi="Arial" w:cs="Arial"/>
          <w:sz w:val="24"/>
          <w:szCs w:val="24"/>
        </w:rPr>
        <w:t xml:space="preserve">                                                                    </w:t>
      </w:r>
      <w:r w:rsidRPr="00933C28">
        <w:rPr>
          <w:rFonts w:ascii="Arial" w:hAnsi="Arial" w:cs="Arial"/>
          <w:b/>
          <w:sz w:val="24"/>
          <w:szCs w:val="24"/>
        </w:rPr>
        <w:t>RESPONDENT</w:t>
      </w:r>
    </w:p>
    <w:p w14:paraId="2721DA12" w14:textId="77777777" w:rsidR="00DF71DE" w:rsidRPr="00933C28" w:rsidRDefault="00DF71DE" w:rsidP="000F615B">
      <w:pPr>
        <w:pBdr>
          <w:top w:val="single" w:sz="12" w:space="1" w:color="auto"/>
          <w:bottom w:val="single" w:sz="12" w:space="1" w:color="auto"/>
        </w:pBdr>
        <w:tabs>
          <w:tab w:val="left" w:pos="4917"/>
        </w:tabs>
        <w:spacing w:before="120" w:after="120" w:line="240" w:lineRule="auto"/>
        <w:contextualSpacing/>
        <w:rPr>
          <w:rFonts w:ascii="Arial" w:hAnsi="Arial" w:cs="Arial"/>
          <w:b/>
          <w:bCs/>
          <w:sz w:val="24"/>
          <w:szCs w:val="24"/>
        </w:rPr>
      </w:pPr>
    </w:p>
    <w:p w14:paraId="195D7FF3" w14:textId="3EC207BD" w:rsidR="00DF71DE" w:rsidRDefault="00DF71DE" w:rsidP="000F615B">
      <w:pPr>
        <w:pBdr>
          <w:top w:val="single" w:sz="12" w:space="1" w:color="auto"/>
          <w:bottom w:val="single" w:sz="12" w:space="1" w:color="auto"/>
        </w:pBdr>
        <w:tabs>
          <w:tab w:val="left" w:pos="4917"/>
        </w:tabs>
        <w:spacing w:before="120" w:after="120" w:line="240" w:lineRule="auto"/>
        <w:jc w:val="center"/>
        <w:rPr>
          <w:rFonts w:ascii="Arial" w:hAnsi="Arial" w:cs="Arial"/>
          <w:b/>
          <w:bCs/>
          <w:sz w:val="24"/>
          <w:szCs w:val="24"/>
        </w:rPr>
      </w:pPr>
      <w:r w:rsidRPr="00933C28">
        <w:rPr>
          <w:rFonts w:ascii="Arial" w:hAnsi="Arial" w:cs="Arial"/>
          <w:b/>
          <w:bCs/>
          <w:sz w:val="24"/>
          <w:szCs w:val="24"/>
        </w:rPr>
        <w:t>JUDGMENT</w:t>
      </w:r>
    </w:p>
    <w:p w14:paraId="22399989" w14:textId="77777777" w:rsidR="000F615B" w:rsidRPr="00933C28" w:rsidRDefault="000F615B" w:rsidP="000F615B">
      <w:pPr>
        <w:pBdr>
          <w:top w:val="single" w:sz="12" w:space="1" w:color="auto"/>
          <w:bottom w:val="single" w:sz="12" w:space="1" w:color="auto"/>
        </w:pBdr>
        <w:tabs>
          <w:tab w:val="left" w:pos="4917"/>
        </w:tabs>
        <w:spacing w:before="120" w:after="120" w:line="240" w:lineRule="auto"/>
        <w:jc w:val="center"/>
        <w:rPr>
          <w:rFonts w:ascii="Arial" w:hAnsi="Arial" w:cs="Arial"/>
          <w:b/>
          <w:bCs/>
          <w:sz w:val="24"/>
          <w:szCs w:val="24"/>
        </w:rPr>
      </w:pPr>
    </w:p>
    <w:p w14:paraId="7C62F6B9" w14:textId="71356400" w:rsidR="0042199E" w:rsidRDefault="00DF71DE" w:rsidP="000F615B">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sz w:val="24"/>
          <w:szCs w:val="24"/>
          <w:lang w:val="en-GB"/>
        </w:rPr>
      </w:pPr>
      <w:r w:rsidRPr="00933C28">
        <w:rPr>
          <w:rFonts w:ascii="Arial" w:hAnsi="Arial" w:cs="Arial"/>
          <w:b/>
          <w:sz w:val="24"/>
          <w:szCs w:val="24"/>
          <w:lang w:val="en-GB"/>
        </w:rPr>
        <w:t>MOTHA, J</w:t>
      </w:r>
      <w:r w:rsidRPr="00933C28">
        <w:rPr>
          <w:rFonts w:ascii="Arial" w:hAnsi="Arial" w:cs="Arial"/>
          <w:sz w:val="24"/>
          <w:szCs w:val="24"/>
          <w:lang w:val="en-GB"/>
        </w:rPr>
        <w:t xml:space="preserve">: </w:t>
      </w:r>
    </w:p>
    <w:p w14:paraId="406C011C" w14:textId="77777777" w:rsidR="000F615B" w:rsidRPr="00933C28" w:rsidRDefault="000F615B" w:rsidP="000F615B">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both"/>
        <w:rPr>
          <w:rFonts w:ascii="Arial" w:hAnsi="Arial" w:cs="Arial"/>
          <w:sz w:val="24"/>
          <w:szCs w:val="24"/>
          <w:lang w:val="en-GB"/>
        </w:rPr>
      </w:pPr>
    </w:p>
    <w:p w14:paraId="3D1E106B" w14:textId="32871292" w:rsidR="00DC359D" w:rsidRPr="00492013" w:rsidRDefault="009E71EF" w:rsidP="00492013">
      <w:pPr>
        <w:pStyle w:val="NoSpacing"/>
        <w:spacing w:line="360" w:lineRule="auto"/>
        <w:jc w:val="both"/>
        <w:rPr>
          <w:rFonts w:ascii="Arial" w:hAnsi="Arial" w:cs="Arial"/>
          <w:i/>
          <w:iCs/>
          <w:sz w:val="24"/>
          <w:szCs w:val="24"/>
        </w:rPr>
      </w:pPr>
      <w:r w:rsidRPr="00492013">
        <w:rPr>
          <w:rFonts w:ascii="Arial" w:hAnsi="Arial" w:cs="Arial"/>
          <w:i/>
          <w:iCs/>
          <w:sz w:val="24"/>
          <w:szCs w:val="24"/>
        </w:rPr>
        <w:t xml:space="preserve">Introduction </w:t>
      </w:r>
    </w:p>
    <w:p w14:paraId="7E93A465" w14:textId="3914A903" w:rsidR="001E55FC" w:rsidRPr="00492013" w:rsidRDefault="000F615B" w:rsidP="00492013">
      <w:pPr>
        <w:pStyle w:val="NoSpacing"/>
        <w:spacing w:line="360" w:lineRule="auto"/>
        <w:jc w:val="both"/>
        <w:rPr>
          <w:rFonts w:ascii="Arial" w:hAnsi="Arial" w:cs="Arial"/>
          <w:sz w:val="24"/>
          <w:szCs w:val="24"/>
        </w:rPr>
      </w:pPr>
      <w:r w:rsidRPr="00492013">
        <w:rPr>
          <w:rFonts w:ascii="Arial" w:hAnsi="Arial" w:cs="Arial"/>
          <w:sz w:val="24"/>
          <w:szCs w:val="24"/>
          <w:lang w:val="en-US"/>
        </w:rPr>
        <w:t>[1]</w:t>
      </w:r>
      <w:r w:rsidRPr="00492013">
        <w:rPr>
          <w:rFonts w:ascii="Arial" w:hAnsi="Arial" w:cs="Arial"/>
          <w:sz w:val="24"/>
          <w:szCs w:val="24"/>
          <w:lang w:val="en-US"/>
        </w:rPr>
        <w:tab/>
      </w:r>
      <w:r w:rsidR="0082256A" w:rsidRPr="00492013">
        <w:rPr>
          <w:rFonts w:ascii="Arial" w:hAnsi="Arial" w:cs="Arial"/>
          <w:sz w:val="24"/>
          <w:szCs w:val="24"/>
          <w:lang w:val="en-US"/>
        </w:rPr>
        <w:t xml:space="preserve">Confronting this court is an application in terms of </w:t>
      </w:r>
      <w:r w:rsidR="002D5E8D" w:rsidRPr="00492013">
        <w:rPr>
          <w:rFonts w:ascii="Arial" w:hAnsi="Arial" w:cs="Arial"/>
          <w:sz w:val="24"/>
          <w:szCs w:val="24"/>
          <w:lang w:val="en-US"/>
        </w:rPr>
        <w:t xml:space="preserve">Rule </w:t>
      </w:r>
      <w:r w:rsidR="0082256A" w:rsidRPr="00492013">
        <w:rPr>
          <w:rFonts w:ascii="Arial" w:hAnsi="Arial" w:cs="Arial"/>
          <w:sz w:val="24"/>
          <w:szCs w:val="24"/>
          <w:lang w:val="en-US"/>
        </w:rPr>
        <w:t xml:space="preserve">6(12) (c) of the </w:t>
      </w:r>
      <w:r w:rsidR="002D5E8D" w:rsidRPr="00492013">
        <w:rPr>
          <w:rFonts w:ascii="Arial" w:hAnsi="Arial" w:cs="Arial"/>
          <w:sz w:val="24"/>
          <w:szCs w:val="24"/>
          <w:lang w:val="en-US"/>
        </w:rPr>
        <w:t>U</w:t>
      </w:r>
      <w:r w:rsidR="0082256A" w:rsidRPr="00492013">
        <w:rPr>
          <w:rFonts w:ascii="Arial" w:hAnsi="Arial" w:cs="Arial"/>
          <w:sz w:val="24"/>
          <w:szCs w:val="24"/>
          <w:lang w:val="en-US"/>
        </w:rPr>
        <w:t xml:space="preserve">niform </w:t>
      </w:r>
      <w:r w:rsidR="002D5E8D" w:rsidRPr="00492013">
        <w:rPr>
          <w:rFonts w:ascii="Arial" w:hAnsi="Arial" w:cs="Arial"/>
          <w:sz w:val="24"/>
          <w:szCs w:val="24"/>
          <w:lang w:val="en-US"/>
        </w:rPr>
        <w:t>R</w:t>
      </w:r>
      <w:r w:rsidR="0082256A" w:rsidRPr="00492013">
        <w:rPr>
          <w:rFonts w:ascii="Arial" w:hAnsi="Arial" w:cs="Arial"/>
          <w:sz w:val="24"/>
          <w:szCs w:val="24"/>
          <w:lang w:val="en-US"/>
        </w:rPr>
        <w:t xml:space="preserve">ules of </w:t>
      </w:r>
      <w:r w:rsidR="002D5E8D" w:rsidRPr="00492013">
        <w:rPr>
          <w:rFonts w:ascii="Arial" w:hAnsi="Arial" w:cs="Arial"/>
          <w:sz w:val="24"/>
          <w:szCs w:val="24"/>
          <w:lang w:val="en-US"/>
        </w:rPr>
        <w:t>C</w:t>
      </w:r>
      <w:r w:rsidR="0082256A" w:rsidRPr="00492013">
        <w:rPr>
          <w:rFonts w:ascii="Arial" w:hAnsi="Arial" w:cs="Arial"/>
          <w:sz w:val="24"/>
          <w:szCs w:val="24"/>
          <w:lang w:val="en-US"/>
        </w:rPr>
        <w:t xml:space="preserve">ourt. Consequent upon the granting of </w:t>
      </w:r>
      <w:r w:rsidR="002D5E8D" w:rsidRPr="00492013">
        <w:rPr>
          <w:rFonts w:ascii="Arial" w:hAnsi="Arial" w:cs="Arial"/>
          <w:sz w:val="24"/>
          <w:szCs w:val="24"/>
          <w:lang w:val="en-US"/>
        </w:rPr>
        <w:t>a</w:t>
      </w:r>
      <w:r w:rsidR="00872FD8" w:rsidRPr="00492013">
        <w:rPr>
          <w:rFonts w:ascii="Arial" w:hAnsi="Arial" w:cs="Arial"/>
          <w:sz w:val="24"/>
          <w:szCs w:val="24"/>
          <w:lang w:val="en-US"/>
        </w:rPr>
        <w:t xml:space="preserve">n </w:t>
      </w:r>
      <w:r w:rsidR="00492013">
        <w:rPr>
          <w:rFonts w:ascii="Arial" w:hAnsi="Arial" w:cs="Arial"/>
          <w:sz w:val="24"/>
          <w:szCs w:val="24"/>
          <w:lang w:val="en-US"/>
        </w:rPr>
        <w:t xml:space="preserve">order </w:t>
      </w:r>
      <w:r w:rsidR="008A5B68">
        <w:rPr>
          <w:rFonts w:ascii="Arial" w:hAnsi="Arial" w:cs="Arial"/>
          <w:sz w:val="24"/>
          <w:szCs w:val="24"/>
          <w:lang w:val="en-US"/>
        </w:rPr>
        <w:t>in an</w:t>
      </w:r>
      <w:r w:rsidR="00492013">
        <w:rPr>
          <w:rFonts w:ascii="Arial" w:hAnsi="Arial" w:cs="Arial"/>
          <w:sz w:val="24"/>
          <w:szCs w:val="24"/>
          <w:lang w:val="en-US"/>
        </w:rPr>
        <w:t xml:space="preserve"> </w:t>
      </w:r>
      <w:r w:rsidR="00872FD8" w:rsidRPr="00492013">
        <w:rPr>
          <w:rFonts w:ascii="Arial" w:hAnsi="Arial" w:cs="Arial"/>
          <w:i/>
          <w:iCs/>
          <w:sz w:val="24"/>
          <w:szCs w:val="24"/>
          <w:lang w:val="en-US"/>
        </w:rPr>
        <w:t>ex parte</w:t>
      </w:r>
      <w:r w:rsidR="00872FD8" w:rsidRPr="00492013">
        <w:rPr>
          <w:rFonts w:ascii="Arial" w:hAnsi="Arial" w:cs="Arial"/>
          <w:sz w:val="24"/>
          <w:szCs w:val="24"/>
          <w:lang w:val="en-US"/>
        </w:rPr>
        <w:t xml:space="preserve"> application</w:t>
      </w:r>
      <w:r w:rsidR="00576D38" w:rsidRPr="00492013">
        <w:rPr>
          <w:rFonts w:ascii="Arial" w:hAnsi="Arial" w:cs="Arial"/>
          <w:sz w:val="24"/>
          <w:szCs w:val="24"/>
          <w:lang w:val="en-US"/>
        </w:rPr>
        <w:t xml:space="preserve"> on </w:t>
      </w:r>
      <w:r w:rsidR="002D5E8D" w:rsidRPr="00492013">
        <w:rPr>
          <w:rFonts w:ascii="Arial" w:hAnsi="Arial" w:cs="Arial"/>
          <w:sz w:val="24"/>
          <w:szCs w:val="24"/>
          <w:lang w:val="en-US"/>
        </w:rPr>
        <w:t>2</w:t>
      </w:r>
      <w:r w:rsidR="00F1324E" w:rsidRPr="00492013">
        <w:rPr>
          <w:rFonts w:ascii="Arial" w:hAnsi="Arial" w:cs="Arial"/>
          <w:sz w:val="24"/>
          <w:szCs w:val="24"/>
          <w:lang w:val="en-US"/>
        </w:rPr>
        <w:t xml:space="preserve">1 December </w:t>
      </w:r>
      <w:r w:rsidR="002D5E8D" w:rsidRPr="00492013">
        <w:rPr>
          <w:rFonts w:ascii="Arial" w:hAnsi="Arial" w:cs="Arial"/>
          <w:sz w:val="24"/>
          <w:szCs w:val="24"/>
          <w:lang w:val="en-US"/>
        </w:rPr>
        <w:t>202</w:t>
      </w:r>
      <w:r w:rsidR="00F1324E" w:rsidRPr="00492013">
        <w:rPr>
          <w:rFonts w:ascii="Arial" w:hAnsi="Arial" w:cs="Arial"/>
          <w:sz w:val="24"/>
          <w:szCs w:val="24"/>
          <w:lang w:val="en-US"/>
        </w:rPr>
        <w:t>2</w:t>
      </w:r>
      <w:r w:rsidR="002D5E8D" w:rsidRPr="00492013">
        <w:rPr>
          <w:rFonts w:ascii="Arial" w:hAnsi="Arial" w:cs="Arial"/>
          <w:sz w:val="24"/>
          <w:szCs w:val="24"/>
          <w:lang w:val="en-US"/>
        </w:rPr>
        <w:t xml:space="preserve">, the </w:t>
      </w:r>
      <w:r w:rsidR="006254A2" w:rsidRPr="00492013">
        <w:rPr>
          <w:rFonts w:ascii="Arial" w:hAnsi="Arial" w:cs="Arial"/>
          <w:sz w:val="24"/>
          <w:szCs w:val="24"/>
          <w:lang w:val="en-US"/>
        </w:rPr>
        <w:t>respondent’s</w:t>
      </w:r>
      <w:r w:rsidR="002D5E8D" w:rsidRPr="00492013">
        <w:rPr>
          <w:rFonts w:ascii="Arial" w:hAnsi="Arial" w:cs="Arial"/>
          <w:sz w:val="24"/>
          <w:szCs w:val="24"/>
          <w:lang w:val="en-US"/>
        </w:rPr>
        <w:t xml:space="preserve"> immovable property</w:t>
      </w:r>
      <w:r w:rsidR="001B1FE8" w:rsidRPr="00492013">
        <w:rPr>
          <w:rFonts w:ascii="Arial" w:hAnsi="Arial" w:cs="Arial"/>
          <w:sz w:val="24"/>
          <w:szCs w:val="24"/>
          <w:lang w:val="en-US"/>
        </w:rPr>
        <w:t>-</w:t>
      </w:r>
      <w:r w:rsidR="002D5E8D" w:rsidRPr="00492013">
        <w:rPr>
          <w:rFonts w:ascii="Arial" w:hAnsi="Arial" w:cs="Arial"/>
          <w:sz w:val="24"/>
          <w:szCs w:val="24"/>
          <w:lang w:val="en-US"/>
        </w:rPr>
        <w:t xml:space="preserve"> described as 85 </w:t>
      </w:r>
      <w:r w:rsidR="006254A2" w:rsidRPr="00492013">
        <w:rPr>
          <w:rFonts w:ascii="Arial" w:hAnsi="Arial" w:cs="Arial"/>
          <w:sz w:val="24"/>
          <w:szCs w:val="24"/>
          <w:lang w:val="en-US"/>
        </w:rPr>
        <w:t>C</w:t>
      </w:r>
      <w:r w:rsidR="002D5E8D" w:rsidRPr="00492013">
        <w:rPr>
          <w:rFonts w:ascii="Arial" w:hAnsi="Arial" w:cs="Arial"/>
          <w:sz w:val="24"/>
          <w:szCs w:val="24"/>
          <w:lang w:val="en-US"/>
        </w:rPr>
        <w:t>arls</w:t>
      </w:r>
      <w:r w:rsidR="005B48B9" w:rsidRPr="00492013">
        <w:rPr>
          <w:rFonts w:ascii="Arial" w:hAnsi="Arial" w:cs="Arial"/>
          <w:sz w:val="24"/>
          <w:szCs w:val="24"/>
          <w:lang w:val="en-US"/>
        </w:rPr>
        <w:t>wald A</w:t>
      </w:r>
      <w:r w:rsidR="002D5E8D" w:rsidRPr="00492013">
        <w:rPr>
          <w:rFonts w:ascii="Arial" w:hAnsi="Arial" w:cs="Arial"/>
          <w:sz w:val="24"/>
          <w:szCs w:val="24"/>
          <w:lang w:val="en-US"/>
        </w:rPr>
        <w:t xml:space="preserve">gricultural </w:t>
      </w:r>
      <w:r w:rsidR="005B48B9" w:rsidRPr="00492013">
        <w:rPr>
          <w:rFonts w:ascii="Arial" w:hAnsi="Arial" w:cs="Arial"/>
          <w:sz w:val="24"/>
          <w:szCs w:val="24"/>
          <w:lang w:val="en-US"/>
        </w:rPr>
        <w:t>H</w:t>
      </w:r>
      <w:r w:rsidR="002D5E8D" w:rsidRPr="00492013">
        <w:rPr>
          <w:rFonts w:ascii="Arial" w:hAnsi="Arial" w:cs="Arial"/>
          <w:sz w:val="24"/>
          <w:szCs w:val="24"/>
          <w:lang w:val="en-US"/>
        </w:rPr>
        <w:t xml:space="preserve">olding, </w:t>
      </w:r>
      <w:r w:rsidR="005B48B9" w:rsidRPr="00492013">
        <w:rPr>
          <w:rFonts w:ascii="Arial" w:hAnsi="Arial" w:cs="Arial"/>
          <w:sz w:val="24"/>
          <w:szCs w:val="24"/>
          <w:lang w:val="en-US"/>
        </w:rPr>
        <w:t>R</w:t>
      </w:r>
      <w:r w:rsidR="002D5E8D" w:rsidRPr="00492013">
        <w:rPr>
          <w:rFonts w:ascii="Arial" w:hAnsi="Arial" w:cs="Arial"/>
          <w:sz w:val="24"/>
          <w:szCs w:val="24"/>
          <w:lang w:val="en-US"/>
        </w:rPr>
        <w:t xml:space="preserve">egistration </w:t>
      </w:r>
      <w:r w:rsidR="005B48B9" w:rsidRPr="00492013">
        <w:rPr>
          <w:rFonts w:ascii="Arial" w:hAnsi="Arial" w:cs="Arial"/>
          <w:sz w:val="24"/>
          <w:szCs w:val="24"/>
          <w:lang w:val="en-US"/>
        </w:rPr>
        <w:t>D</w:t>
      </w:r>
      <w:r w:rsidR="002D5E8D" w:rsidRPr="00492013">
        <w:rPr>
          <w:rFonts w:ascii="Arial" w:hAnsi="Arial" w:cs="Arial"/>
          <w:sz w:val="24"/>
          <w:szCs w:val="24"/>
          <w:lang w:val="en-US"/>
        </w:rPr>
        <w:t>ivision Jr. Pretoria</w:t>
      </w:r>
      <w:r w:rsidR="001B1FE8" w:rsidRPr="00492013">
        <w:rPr>
          <w:rFonts w:ascii="Arial" w:hAnsi="Arial" w:cs="Arial"/>
          <w:sz w:val="24"/>
          <w:szCs w:val="24"/>
          <w:lang w:val="en-US"/>
        </w:rPr>
        <w:t>-</w:t>
      </w:r>
      <w:r w:rsidR="006254A2" w:rsidRPr="00492013">
        <w:rPr>
          <w:rFonts w:ascii="Arial" w:hAnsi="Arial" w:cs="Arial"/>
          <w:sz w:val="24"/>
          <w:szCs w:val="24"/>
          <w:lang w:val="en-US"/>
        </w:rPr>
        <w:t xml:space="preserve"> was placed under the </w:t>
      </w:r>
      <w:r w:rsidR="006254A2" w:rsidRPr="00492013">
        <w:rPr>
          <w:rFonts w:ascii="Arial" w:hAnsi="Arial" w:cs="Arial"/>
          <w:sz w:val="24"/>
          <w:szCs w:val="24"/>
          <w:lang w:val="en-US"/>
        </w:rPr>
        <w:lastRenderedPageBreak/>
        <w:t>preservation order</w:t>
      </w:r>
      <w:r w:rsidR="006A03A3" w:rsidRPr="00492013">
        <w:rPr>
          <w:rFonts w:ascii="Arial" w:hAnsi="Arial" w:cs="Arial"/>
          <w:sz w:val="24"/>
          <w:szCs w:val="24"/>
          <w:lang w:val="en-US"/>
        </w:rPr>
        <w:t xml:space="preserve"> in terms of Section 3</w:t>
      </w:r>
      <w:r w:rsidR="0074362D" w:rsidRPr="00492013">
        <w:rPr>
          <w:rFonts w:ascii="Arial" w:hAnsi="Arial" w:cs="Arial"/>
          <w:sz w:val="24"/>
          <w:szCs w:val="24"/>
          <w:lang w:val="en-US"/>
        </w:rPr>
        <w:t>8</w:t>
      </w:r>
      <w:r w:rsidR="006A03A3" w:rsidRPr="00492013">
        <w:rPr>
          <w:rFonts w:ascii="Arial" w:hAnsi="Arial" w:cs="Arial"/>
          <w:sz w:val="24"/>
          <w:szCs w:val="24"/>
          <w:lang w:val="en-US"/>
        </w:rPr>
        <w:t xml:space="preserve"> of P</w:t>
      </w:r>
      <w:r w:rsidR="00762FC0" w:rsidRPr="00492013">
        <w:rPr>
          <w:rFonts w:ascii="Arial" w:hAnsi="Arial" w:cs="Arial"/>
          <w:sz w:val="24"/>
          <w:szCs w:val="24"/>
          <w:lang w:val="en-US"/>
        </w:rPr>
        <w:t xml:space="preserve">revention of </w:t>
      </w:r>
      <w:r w:rsidR="006A03A3" w:rsidRPr="00492013">
        <w:rPr>
          <w:rFonts w:ascii="Arial" w:hAnsi="Arial" w:cs="Arial"/>
          <w:sz w:val="24"/>
          <w:szCs w:val="24"/>
          <w:lang w:val="en-US"/>
        </w:rPr>
        <w:t>O</w:t>
      </w:r>
      <w:r w:rsidR="00762FC0" w:rsidRPr="00492013">
        <w:rPr>
          <w:rFonts w:ascii="Arial" w:hAnsi="Arial" w:cs="Arial"/>
          <w:sz w:val="24"/>
          <w:szCs w:val="24"/>
          <w:lang w:val="en-US"/>
        </w:rPr>
        <w:t xml:space="preserve">rganised </w:t>
      </w:r>
      <w:r w:rsidR="006A03A3" w:rsidRPr="00492013">
        <w:rPr>
          <w:rFonts w:ascii="Arial" w:hAnsi="Arial" w:cs="Arial"/>
          <w:sz w:val="24"/>
          <w:szCs w:val="24"/>
          <w:lang w:val="en-US"/>
        </w:rPr>
        <w:t>C</w:t>
      </w:r>
      <w:r w:rsidR="00762FC0" w:rsidRPr="00492013">
        <w:rPr>
          <w:rFonts w:ascii="Arial" w:hAnsi="Arial" w:cs="Arial"/>
          <w:sz w:val="24"/>
          <w:szCs w:val="24"/>
          <w:lang w:val="en-US"/>
        </w:rPr>
        <w:t xml:space="preserve">rime </w:t>
      </w:r>
      <w:r w:rsidR="006A03A3" w:rsidRPr="00492013">
        <w:rPr>
          <w:rFonts w:ascii="Arial" w:hAnsi="Arial" w:cs="Arial"/>
          <w:sz w:val="24"/>
          <w:szCs w:val="24"/>
          <w:lang w:val="en-US"/>
        </w:rPr>
        <w:t>A</w:t>
      </w:r>
      <w:r w:rsidR="00762FC0" w:rsidRPr="00492013">
        <w:rPr>
          <w:rFonts w:ascii="Arial" w:hAnsi="Arial" w:cs="Arial"/>
          <w:sz w:val="24"/>
          <w:szCs w:val="24"/>
          <w:lang w:val="en-US"/>
        </w:rPr>
        <w:t>ct 121 of 1998</w:t>
      </w:r>
      <w:r w:rsidR="00DC359D" w:rsidRPr="00492013">
        <w:rPr>
          <w:rFonts w:ascii="Arial" w:hAnsi="Arial" w:cs="Arial"/>
          <w:sz w:val="24"/>
          <w:szCs w:val="24"/>
          <w:lang w:val="en-US"/>
        </w:rPr>
        <w:t xml:space="preserve"> (POCA).</w:t>
      </w:r>
      <w:r w:rsidR="006E7207" w:rsidRPr="00492013">
        <w:rPr>
          <w:rFonts w:ascii="Arial" w:hAnsi="Arial" w:cs="Arial"/>
          <w:sz w:val="24"/>
          <w:szCs w:val="24"/>
          <w:lang w:val="en-US"/>
        </w:rPr>
        <w:t xml:space="preserve"> The preservation order affected five properties. Hence, it bears</w:t>
      </w:r>
      <w:r w:rsidR="00BA6C3F" w:rsidRPr="00492013">
        <w:rPr>
          <w:rFonts w:ascii="Arial" w:hAnsi="Arial" w:cs="Arial"/>
          <w:sz w:val="24"/>
          <w:szCs w:val="24"/>
          <w:lang w:val="en-US"/>
        </w:rPr>
        <w:t xml:space="preserve"> mention</w:t>
      </w:r>
      <w:r w:rsidR="00504719" w:rsidRPr="00492013">
        <w:rPr>
          <w:rFonts w:ascii="Arial" w:hAnsi="Arial" w:cs="Arial"/>
          <w:sz w:val="24"/>
          <w:szCs w:val="24"/>
          <w:lang w:val="en-US"/>
        </w:rPr>
        <w:t>ing</w:t>
      </w:r>
      <w:r w:rsidR="006E7207" w:rsidRPr="00492013">
        <w:rPr>
          <w:rFonts w:ascii="Arial" w:hAnsi="Arial" w:cs="Arial"/>
          <w:sz w:val="24"/>
          <w:szCs w:val="24"/>
          <w:lang w:val="en-US"/>
        </w:rPr>
        <w:t xml:space="preserve"> that this matter </w:t>
      </w:r>
      <w:r w:rsidR="00504719" w:rsidRPr="00492013">
        <w:rPr>
          <w:rFonts w:ascii="Arial" w:hAnsi="Arial" w:cs="Arial"/>
          <w:sz w:val="24"/>
          <w:szCs w:val="24"/>
          <w:lang w:val="en-US"/>
        </w:rPr>
        <w:t>deals</w:t>
      </w:r>
      <w:r w:rsidR="006E7207" w:rsidRPr="00492013">
        <w:rPr>
          <w:rFonts w:ascii="Arial" w:hAnsi="Arial" w:cs="Arial"/>
          <w:sz w:val="24"/>
          <w:szCs w:val="24"/>
          <w:lang w:val="en-US"/>
        </w:rPr>
        <w:t xml:space="preserve"> </w:t>
      </w:r>
      <w:r w:rsidR="00273501" w:rsidRPr="00492013">
        <w:rPr>
          <w:rFonts w:ascii="Arial" w:hAnsi="Arial" w:cs="Arial"/>
          <w:sz w:val="24"/>
          <w:szCs w:val="24"/>
          <w:lang w:val="en-US"/>
        </w:rPr>
        <w:t xml:space="preserve">solely </w:t>
      </w:r>
      <w:r w:rsidR="00504719" w:rsidRPr="00492013">
        <w:rPr>
          <w:rFonts w:ascii="Arial" w:hAnsi="Arial" w:cs="Arial"/>
          <w:sz w:val="24"/>
          <w:szCs w:val="24"/>
          <w:lang w:val="en-US"/>
        </w:rPr>
        <w:t xml:space="preserve">with </w:t>
      </w:r>
      <w:r w:rsidR="001B1FE8" w:rsidRPr="00492013">
        <w:rPr>
          <w:rFonts w:ascii="Arial" w:hAnsi="Arial" w:cs="Arial"/>
          <w:sz w:val="24"/>
          <w:szCs w:val="24"/>
          <w:lang w:val="en-US"/>
        </w:rPr>
        <w:t xml:space="preserve">the property situated at </w:t>
      </w:r>
      <w:r w:rsidR="00273501" w:rsidRPr="00492013">
        <w:rPr>
          <w:rFonts w:ascii="Arial" w:hAnsi="Arial" w:cs="Arial"/>
          <w:sz w:val="24"/>
          <w:szCs w:val="24"/>
          <w:lang w:val="en-US"/>
        </w:rPr>
        <w:t>no 85 Carslwald Agricultural Holding.</w:t>
      </w:r>
    </w:p>
    <w:p w14:paraId="3DC70791" w14:textId="6D69514D" w:rsidR="00861C5F" w:rsidRPr="00933C28" w:rsidRDefault="00861C5F" w:rsidP="00492013">
      <w:pPr>
        <w:pStyle w:val="ListParagraph"/>
        <w:spacing w:line="360" w:lineRule="auto"/>
        <w:ind w:left="0"/>
        <w:jc w:val="both"/>
        <w:rPr>
          <w:rFonts w:ascii="Arial" w:hAnsi="Arial" w:cs="Arial"/>
          <w:sz w:val="24"/>
          <w:szCs w:val="24"/>
        </w:rPr>
      </w:pPr>
    </w:p>
    <w:p w14:paraId="03A9F9E5" w14:textId="2E961504" w:rsidR="00511339" w:rsidRPr="00933C28" w:rsidRDefault="00511339" w:rsidP="00492013">
      <w:pPr>
        <w:pStyle w:val="ListParagraph"/>
        <w:spacing w:after="0" w:line="360" w:lineRule="auto"/>
        <w:ind w:left="0"/>
        <w:jc w:val="both"/>
        <w:rPr>
          <w:rFonts w:ascii="Arial" w:hAnsi="Arial" w:cs="Arial"/>
          <w:i/>
          <w:iCs/>
          <w:sz w:val="24"/>
          <w:szCs w:val="24"/>
        </w:rPr>
      </w:pPr>
      <w:r w:rsidRPr="00933C28">
        <w:rPr>
          <w:rFonts w:ascii="Arial" w:hAnsi="Arial" w:cs="Arial"/>
          <w:i/>
          <w:iCs/>
          <w:sz w:val="24"/>
          <w:szCs w:val="24"/>
        </w:rPr>
        <w:t>The parties</w:t>
      </w:r>
    </w:p>
    <w:p w14:paraId="286CFA36" w14:textId="5F4261AA" w:rsidR="00872FD8" w:rsidRPr="000F615B" w:rsidRDefault="000F615B" w:rsidP="00492013">
      <w:pPr>
        <w:spacing w:after="0" w:line="360" w:lineRule="auto"/>
        <w:jc w:val="both"/>
        <w:rPr>
          <w:rFonts w:ascii="Arial" w:hAnsi="Arial" w:cs="Arial"/>
          <w:i/>
          <w:iCs/>
          <w:sz w:val="24"/>
          <w:szCs w:val="24"/>
        </w:rPr>
      </w:pPr>
      <w:r>
        <w:rPr>
          <w:rFonts w:ascii="Arial" w:hAnsi="Arial" w:cs="Arial"/>
          <w:sz w:val="24"/>
          <w:szCs w:val="24"/>
        </w:rPr>
        <w:t>[</w:t>
      </w:r>
      <w:r w:rsidR="00FC6820">
        <w:rPr>
          <w:rFonts w:ascii="Arial" w:hAnsi="Arial" w:cs="Arial"/>
          <w:sz w:val="24"/>
          <w:szCs w:val="24"/>
        </w:rPr>
        <w:t>2</w:t>
      </w:r>
      <w:r>
        <w:rPr>
          <w:rFonts w:ascii="Arial" w:hAnsi="Arial" w:cs="Arial"/>
          <w:sz w:val="24"/>
          <w:szCs w:val="24"/>
        </w:rPr>
        <w:t>]</w:t>
      </w:r>
      <w:r>
        <w:rPr>
          <w:rFonts w:ascii="Arial" w:hAnsi="Arial" w:cs="Arial"/>
          <w:sz w:val="24"/>
          <w:szCs w:val="24"/>
        </w:rPr>
        <w:tab/>
      </w:r>
      <w:r w:rsidR="00511339" w:rsidRPr="000F615B">
        <w:rPr>
          <w:rFonts w:ascii="Arial" w:hAnsi="Arial" w:cs="Arial"/>
          <w:sz w:val="24"/>
          <w:szCs w:val="24"/>
        </w:rPr>
        <w:t xml:space="preserve">The applicant is the National Director of Public </w:t>
      </w:r>
      <w:r w:rsidR="005F3758" w:rsidRPr="000F615B">
        <w:rPr>
          <w:rFonts w:ascii="Arial" w:hAnsi="Arial" w:cs="Arial"/>
          <w:sz w:val="24"/>
          <w:szCs w:val="24"/>
        </w:rPr>
        <w:t>Prosecutions (NDPP)</w:t>
      </w:r>
      <w:r w:rsidR="00504719" w:rsidRPr="000F615B">
        <w:rPr>
          <w:rFonts w:ascii="Arial" w:hAnsi="Arial" w:cs="Arial"/>
          <w:sz w:val="24"/>
          <w:szCs w:val="24"/>
        </w:rPr>
        <w:t>,</w:t>
      </w:r>
      <w:r w:rsidR="00FC3B80" w:rsidRPr="000F615B">
        <w:rPr>
          <w:rFonts w:ascii="Arial" w:hAnsi="Arial" w:cs="Arial"/>
          <w:sz w:val="24"/>
          <w:szCs w:val="24"/>
        </w:rPr>
        <w:t xml:space="preserve"> appointed in terms of section 10 of the </w:t>
      </w:r>
      <w:r w:rsidR="005F3758" w:rsidRPr="000F615B">
        <w:rPr>
          <w:rFonts w:ascii="Arial" w:hAnsi="Arial" w:cs="Arial"/>
          <w:sz w:val="24"/>
          <w:szCs w:val="24"/>
        </w:rPr>
        <w:t>National Prosecuting Authority Act 32 of 1998</w:t>
      </w:r>
      <w:r w:rsidR="00FC3B80" w:rsidRPr="000F615B">
        <w:rPr>
          <w:rFonts w:ascii="Arial" w:hAnsi="Arial" w:cs="Arial"/>
          <w:sz w:val="24"/>
          <w:szCs w:val="24"/>
        </w:rPr>
        <w:t>(NP</w:t>
      </w:r>
      <w:r w:rsidR="005F3758" w:rsidRPr="000F615B">
        <w:rPr>
          <w:rFonts w:ascii="Arial" w:hAnsi="Arial" w:cs="Arial"/>
          <w:sz w:val="24"/>
          <w:szCs w:val="24"/>
        </w:rPr>
        <w:t>A Act</w:t>
      </w:r>
      <w:r w:rsidR="00FC3B80" w:rsidRPr="000F615B">
        <w:rPr>
          <w:rFonts w:ascii="Arial" w:hAnsi="Arial" w:cs="Arial"/>
          <w:sz w:val="24"/>
          <w:szCs w:val="24"/>
        </w:rPr>
        <w:t>)</w:t>
      </w:r>
      <w:r w:rsidR="005F7F98" w:rsidRPr="000F615B">
        <w:rPr>
          <w:rFonts w:ascii="Arial" w:hAnsi="Arial" w:cs="Arial"/>
          <w:sz w:val="24"/>
          <w:szCs w:val="24"/>
        </w:rPr>
        <w:t xml:space="preserve"> read with section 179 (1)(a) of the Constitution of the Republic of Sout Africa, 1996.</w:t>
      </w:r>
    </w:p>
    <w:p w14:paraId="42F15AE8" w14:textId="77777777" w:rsidR="00217519" w:rsidRPr="00933C28" w:rsidRDefault="00217519" w:rsidP="00492013">
      <w:pPr>
        <w:spacing w:after="0" w:line="360" w:lineRule="auto"/>
        <w:jc w:val="both"/>
        <w:rPr>
          <w:rFonts w:ascii="Arial" w:hAnsi="Arial" w:cs="Arial"/>
          <w:i/>
          <w:iCs/>
          <w:sz w:val="24"/>
          <w:szCs w:val="24"/>
        </w:rPr>
      </w:pPr>
    </w:p>
    <w:p w14:paraId="68D844CD" w14:textId="5833602E" w:rsidR="005F7F98" w:rsidRPr="000F615B" w:rsidRDefault="000F615B" w:rsidP="00492013">
      <w:pPr>
        <w:spacing w:after="0" w:line="360" w:lineRule="auto"/>
        <w:jc w:val="both"/>
        <w:rPr>
          <w:rFonts w:ascii="Arial" w:hAnsi="Arial" w:cs="Arial"/>
          <w:i/>
          <w:iCs/>
          <w:sz w:val="24"/>
          <w:szCs w:val="24"/>
        </w:rPr>
      </w:pPr>
      <w:r>
        <w:rPr>
          <w:rFonts w:ascii="Arial" w:hAnsi="Arial" w:cs="Arial"/>
          <w:sz w:val="24"/>
          <w:szCs w:val="24"/>
        </w:rPr>
        <w:t>[</w:t>
      </w:r>
      <w:r w:rsidR="00FC6820">
        <w:rPr>
          <w:rFonts w:ascii="Arial" w:hAnsi="Arial" w:cs="Arial"/>
          <w:sz w:val="24"/>
          <w:szCs w:val="24"/>
        </w:rPr>
        <w:t>3</w:t>
      </w:r>
      <w:r>
        <w:rPr>
          <w:rFonts w:ascii="Arial" w:hAnsi="Arial" w:cs="Arial"/>
          <w:sz w:val="24"/>
          <w:szCs w:val="24"/>
        </w:rPr>
        <w:t>]</w:t>
      </w:r>
      <w:r>
        <w:rPr>
          <w:rFonts w:ascii="Arial" w:hAnsi="Arial" w:cs="Arial"/>
          <w:sz w:val="24"/>
          <w:szCs w:val="24"/>
        </w:rPr>
        <w:tab/>
      </w:r>
      <w:r w:rsidR="00AF23F9" w:rsidRPr="000F615B">
        <w:rPr>
          <w:rFonts w:ascii="Arial" w:hAnsi="Arial" w:cs="Arial"/>
          <w:sz w:val="24"/>
          <w:szCs w:val="24"/>
        </w:rPr>
        <w:t>The respondent is 999 Music CC</w:t>
      </w:r>
      <w:r w:rsidR="001B1FE8" w:rsidRPr="000F615B">
        <w:rPr>
          <w:rFonts w:ascii="Arial" w:hAnsi="Arial" w:cs="Arial"/>
          <w:sz w:val="24"/>
          <w:szCs w:val="24"/>
        </w:rPr>
        <w:t>,</w:t>
      </w:r>
      <w:r w:rsidR="00AF23F9" w:rsidRPr="000F615B">
        <w:rPr>
          <w:rFonts w:ascii="Arial" w:hAnsi="Arial" w:cs="Arial"/>
          <w:sz w:val="24"/>
          <w:szCs w:val="24"/>
        </w:rPr>
        <w:t xml:space="preserve"> a close corporation duly incorporated in terms of the Close Corporation Act, 1984.</w:t>
      </w:r>
    </w:p>
    <w:p w14:paraId="4B0C9CF3" w14:textId="77777777" w:rsidR="00217519" w:rsidRPr="00933C28" w:rsidRDefault="00217519" w:rsidP="00217519">
      <w:pPr>
        <w:pStyle w:val="ListParagraph"/>
        <w:rPr>
          <w:rFonts w:ascii="Arial" w:hAnsi="Arial" w:cs="Arial"/>
          <w:i/>
          <w:iCs/>
          <w:sz w:val="24"/>
          <w:szCs w:val="24"/>
        </w:rPr>
      </w:pPr>
    </w:p>
    <w:p w14:paraId="4FA826EA" w14:textId="00E9AFA3" w:rsidR="00217519" w:rsidRPr="00933C28" w:rsidRDefault="00217519" w:rsidP="00217519">
      <w:pPr>
        <w:jc w:val="both"/>
        <w:rPr>
          <w:rFonts w:ascii="Arial" w:hAnsi="Arial" w:cs="Arial"/>
          <w:i/>
          <w:iCs/>
          <w:sz w:val="24"/>
          <w:szCs w:val="24"/>
        </w:rPr>
      </w:pPr>
      <w:r w:rsidRPr="00933C28">
        <w:rPr>
          <w:rFonts w:ascii="Arial" w:hAnsi="Arial" w:cs="Arial"/>
          <w:i/>
          <w:iCs/>
          <w:sz w:val="24"/>
          <w:szCs w:val="24"/>
        </w:rPr>
        <w:t>The facts</w:t>
      </w:r>
    </w:p>
    <w:p w14:paraId="04D514AA" w14:textId="2D11A066" w:rsidR="000F615B" w:rsidRDefault="000F615B" w:rsidP="000F615B">
      <w:pPr>
        <w:spacing w:line="360" w:lineRule="auto"/>
        <w:jc w:val="both"/>
        <w:rPr>
          <w:rFonts w:ascii="Arial" w:hAnsi="Arial" w:cs="Arial"/>
          <w:sz w:val="24"/>
          <w:szCs w:val="24"/>
        </w:rPr>
      </w:pPr>
      <w:r>
        <w:rPr>
          <w:rFonts w:ascii="Arial" w:hAnsi="Arial" w:cs="Arial"/>
          <w:sz w:val="24"/>
          <w:szCs w:val="24"/>
        </w:rPr>
        <w:t>[</w:t>
      </w:r>
      <w:r w:rsidR="00FC6820">
        <w:rPr>
          <w:rFonts w:ascii="Arial" w:hAnsi="Arial" w:cs="Arial"/>
          <w:sz w:val="24"/>
          <w:szCs w:val="24"/>
        </w:rPr>
        <w:t>4</w:t>
      </w:r>
      <w:r>
        <w:rPr>
          <w:rFonts w:ascii="Arial" w:hAnsi="Arial" w:cs="Arial"/>
          <w:sz w:val="24"/>
          <w:szCs w:val="24"/>
        </w:rPr>
        <w:t>]</w:t>
      </w:r>
      <w:r>
        <w:rPr>
          <w:rFonts w:ascii="Arial" w:hAnsi="Arial" w:cs="Arial"/>
          <w:sz w:val="24"/>
          <w:szCs w:val="24"/>
        </w:rPr>
        <w:tab/>
      </w:r>
      <w:r w:rsidR="002E72B4" w:rsidRPr="000F615B">
        <w:rPr>
          <w:rFonts w:ascii="Arial" w:hAnsi="Arial" w:cs="Arial"/>
          <w:sz w:val="24"/>
          <w:szCs w:val="24"/>
        </w:rPr>
        <w:t xml:space="preserve">The main dramatis personae are </w:t>
      </w:r>
      <w:r w:rsidR="00DF6F6B" w:rsidRPr="000F615B">
        <w:rPr>
          <w:rFonts w:ascii="Arial" w:hAnsi="Arial" w:cs="Arial"/>
          <w:sz w:val="24"/>
          <w:szCs w:val="24"/>
        </w:rPr>
        <w:t xml:space="preserve">the National </w:t>
      </w:r>
      <w:r w:rsidR="004730A4" w:rsidRPr="000F615B">
        <w:rPr>
          <w:rFonts w:ascii="Arial" w:hAnsi="Arial" w:cs="Arial"/>
          <w:sz w:val="24"/>
          <w:szCs w:val="24"/>
        </w:rPr>
        <w:t>Lotteries Commission</w:t>
      </w:r>
      <w:r w:rsidR="00C61863" w:rsidRPr="000F615B">
        <w:rPr>
          <w:rFonts w:ascii="Arial" w:hAnsi="Arial" w:cs="Arial"/>
          <w:sz w:val="24"/>
          <w:szCs w:val="24"/>
        </w:rPr>
        <w:t xml:space="preserve"> (NLC)</w:t>
      </w:r>
      <w:r w:rsidR="004730A4" w:rsidRPr="000F615B">
        <w:rPr>
          <w:rFonts w:ascii="Arial" w:hAnsi="Arial" w:cs="Arial"/>
          <w:sz w:val="24"/>
          <w:szCs w:val="24"/>
        </w:rPr>
        <w:t xml:space="preserve"> and South African Arts and D</w:t>
      </w:r>
      <w:r w:rsidR="005B6940" w:rsidRPr="000F615B">
        <w:rPr>
          <w:rFonts w:ascii="Arial" w:hAnsi="Arial" w:cs="Arial"/>
          <w:sz w:val="24"/>
          <w:szCs w:val="24"/>
        </w:rPr>
        <w:t>evelopment Association (SAADA)</w:t>
      </w:r>
      <w:r w:rsidR="00C61863" w:rsidRPr="000F615B">
        <w:rPr>
          <w:rFonts w:ascii="Arial" w:hAnsi="Arial" w:cs="Arial"/>
          <w:sz w:val="24"/>
          <w:szCs w:val="24"/>
        </w:rPr>
        <w:t>, a N</w:t>
      </w:r>
      <w:r w:rsidR="001B1FE8" w:rsidRPr="000F615B">
        <w:rPr>
          <w:rFonts w:ascii="Arial" w:hAnsi="Arial" w:cs="Arial"/>
          <w:sz w:val="24"/>
          <w:szCs w:val="24"/>
        </w:rPr>
        <w:t>on-</w:t>
      </w:r>
      <w:r w:rsidR="00C61863" w:rsidRPr="000F615B">
        <w:rPr>
          <w:rFonts w:ascii="Arial" w:hAnsi="Arial" w:cs="Arial"/>
          <w:sz w:val="24"/>
          <w:szCs w:val="24"/>
        </w:rPr>
        <w:t>P</w:t>
      </w:r>
      <w:r w:rsidR="001B1FE8" w:rsidRPr="000F615B">
        <w:rPr>
          <w:rFonts w:ascii="Arial" w:hAnsi="Arial" w:cs="Arial"/>
          <w:sz w:val="24"/>
          <w:szCs w:val="24"/>
        </w:rPr>
        <w:t xml:space="preserve">rofit </w:t>
      </w:r>
      <w:r w:rsidR="00C61863" w:rsidRPr="000F615B">
        <w:rPr>
          <w:rFonts w:ascii="Arial" w:hAnsi="Arial" w:cs="Arial"/>
          <w:sz w:val="24"/>
          <w:szCs w:val="24"/>
        </w:rPr>
        <w:t>O</w:t>
      </w:r>
      <w:r w:rsidR="001B1FE8" w:rsidRPr="000F615B">
        <w:rPr>
          <w:rFonts w:ascii="Arial" w:hAnsi="Arial" w:cs="Arial"/>
          <w:sz w:val="24"/>
          <w:szCs w:val="24"/>
        </w:rPr>
        <w:t>rganisation (NPO)</w:t>
      </w:r>
      <w:r w:rsidR="005B6940" w:rsidRPr="000F615B">
        <w:rPr>
          <w:rFonts w:ascii="Arial" w:hAnsi="Arial" w:cs="Arial"/>
          <w:sz w:val="24"/>
          <w:szCs w:val="24"/>
        </w:rPr>
        <w:t>.</w:t>
      </w:r>
      <w:r w:rsidR="00CB0AC5" w:rsidRPr="000F615B">
        <w:rPr>
          <w:rFonts w:ascii="Arial" w:hAnsi="Arial" w:cs="Arial"/>
          <w:sz w:val="24"/>
          <w:szCs w:val="24"/>
        </w:rPr>
        <w:t xml:space="preserve"> </w:t>
      </w:r>
      <w:r w:rsidR="00F31B41" w:rsidRPr="000F615B">
        <w:rPr>
          <w:rFonts w:ascii="Arial" w:hAnsi="Arial" w:cs="Arial"/>
          <w:sz w:val="24"/>
          <w:szCs w:val="24"/>
        </w:rPr>
        <w:t>SAADA</w:t>
      </w:r>
      <w:r w:rsidR="00061F82" w:rsidRPr="000F615B">
        <w:rPr>
          <w:rFonts w:ascii="Arial" w:hAnsi="Arial" w:cs="Arial"/>
          <w:sz w:val="24"/>
          <w:szCs w:val="24"/>
        </w:rPr>
        <w:t xml:space="preserve"> </w:t>
      </w:r>
      <w:r w:rsidR="004F76E0" w:rsidRPr="000F615B">
        <w:rPr>
          <w:rFonts w:ascii="Arial" w:hAnsi="Arial" w:cs="Arial"/>
          <w:sz w:val="24"/>
          <w:szCs w:val="24"/>
        </w:rPr>
        <w:t xml:space="preserve">was formed, </w:t>
      </w:r>
      <w:r w:rsidR="004F76E0" w:rsidRPr="000F615B">
        <w:rPr>
          <w:rFonts w:ascii="Arial" w:hAnsi="Arial" w:cs="Arial"/>
          <w:i/>
          <w:iCs/>
          <w:sz w:val="24"/>
          <w:szCs w:val="24"/>
        </w:rPr>
        <w:t xml:space="preserve">inter alia, </w:t>
      </w:r>
      <w:r w:rsidR="004F76E0" w:rsidRPr="000F615B">
        <w:rPr>
          <w:rFonts w:ascii="Arial" w:hAnsi="Arial" w:cs="Arial"/>
          <w:sz w:val="24"/>
          <w:szCs w:val="24"/>
        </w:rPr>
        <w:t>to</w:t>
      </w:r>
      <w:r>
        <w:rPr>
          <w:rFonts w:ascii="Arial" w:hAnsi="Arial" w:cs="Arial"/>
          <w:sz w:val="24"/>
          <w:szCs w:val="24"/>
        </w:rPr>
        <w:t>:</w:t>
      </w:r>
    </w:p>
    <w:p w14:paraId="2000FA59" w14:textId="5AA94987" w:rsidR="002E72B4" w:rsidRPr="000F615B" w:rsidRDefault="00C61863" w:rsidP="000F615B">
      <w:pPr>
        <w:spacing w:line="360" w:lineRule="auto"/>
        <w:ind w:left="720"/>
        <w:jc w:val="both"/>
        <w:rPr>
          <w:rFonts w:ascii="Arial" w:hAnsi="Arial" w:cs="Arial"/>
          <w:i/>
          <w:iCs/>
          <w:sz w:val="24"/>
          <w:szCs w:val="24"/>
        </w:rPr>
      </w:pPr>
      <w:r w:rsidRPr="000F615B">
        <w:rPr>
          <w:rFonts w:ascii="Arial" w:hAnsi="Arial" w:cs="Arial"/>
          <w:sz w:val="24"/>
          <w:szCs w:val="24"/>
        </w:rPr>
        <w:t>“</w:t>
      </w:r>
      <w:r w:rsidR="00492013">
        <w:rPr>
          <w:rFonts w:ascii="Arial" w:hAnsi="Arial" w:cs="Arial"/>
        </w:rPr>
        <w:t>[I]</w:t>
      </w:r>
      <w:r w:rsidR="00492013" w:rsidRPr="000F615B">
        <w:rPr>
          <w:rFonts w:ascii="Arial" w:hAnsi="Arial" w:cs="Arial"/>
        </w:rPr>
        <w:t>mpart</w:t>
      </w:r>
      <w:r w:rsidR="00061F82" w:rsidRPr="000F615B">
        <w:rPr>
          <w:rFonts w:ascii="Arial" w:hAnsi="Arial" w:cs="Arial"/>
        </w:rPr>
        <w:t xml:space="preserve"> skills in music business, video and film production, dance and the </w:t>
      </w:r>
      <w:r w:rsidR="00875850" w:rsidRPr="000F615B">
        <w:rPr>
          <w:rFonts w:ascii="Arial" w:hAnsi="Arial" w:cs="Arial"/>
        </w:rPr>
        <w:t>overall business</w:t>
      </w:r>
      <w:r w:rsidR="00061F82" w:rsidRPr="000F615B">
        <w:rPr>
          <w:rFonts w:ascii="Arial" w:hAnsi="Arial" w:cs="Arial"/>
        </w:rPr>
        <w:t xml:space="preserve"> of radio to ensure </w:t>
      </w:r>
      <w:r w:rsidR="00450983" w:rsidRPr="000F615B">
        <w:rPr>
          <w:rFonts w:ascii="Arial" w:hAnsi="Arial" w:cs="Arial"/>
        </w:rPr>
        <w:t>that young artists are better equipped to manage the professional, social and financial aspects of these industries</w:t>
      </w:r>
      <w:r w:rsidR="00450983" w:rsidRPr="000F615B">
        <w:rPr>
          <w:rFonts w:ascii="Arial" w:hAnsi="Arial" w:cs="Arial"/>
          <w:sz w:val="24"/>
          <w:szCs w:val="24"/>
        </w:rPr>
        <w:t>.”</w:t>
      </w:r>
      <w:r w:rsidR="00450983" w:rsidRPr="00933C28">
        <w:rPr>
          <w:rStyle w:val="FootnoteReference"/>
          <w:rFonts w:ascii="Arial" w:hAnsi="Arial" w:cs="Arial"/>
          <w:sz w:val="24"/>
          <w:szCs w:val="24"/>
        </w:rPr>
        <w:footnoteReference w:id="1"/>
      </w:r>
    </w:p>
    <w:p w14:paraId="0FD26084" w14:textId="77777777" w:rsidR="00CB0AC5" w:rsidRPr="00933C28" w:rsidRDefault="00CB0AC5" w:rsidP="00CB0AC5">
      <w:pPr>
        <w:jc w:val="both"/>
        <w:rPr>
          <w:rFonts w:ascii="Arial" w:hAnsi="Arial" w:cs="Arial"/>
          <w:i/>
          <w:iCs/>
          <w:sz w:val="24"/>
          <w:szCs w:val="24"/>
        </w:rPr>
      </w:pPr>
    </w:p>
    <w:p w14:paraId="3C0E2605" w14:textId="62EC5097" w:rsidR="00875850" w:rsidRDefault="00875850" w:rsidP="00875850">
      <w:pPr>
        <w:jc w:val="both"/>
        <w:rPr>
          <w:rFonts w:ascii="Arial" w:hAnsi="Arial" w:cs="Arial"/>
          <w:sz w:val="24"/>
          <w:szCs w:val="24"/>
          <w:lang w:val="en-US"/>
        </w:rPr>
      </w:pPr>
      <w:r>
        <w:rPr>
          <w:rFonts w:ascii="Arial" w:hAnsi="Arial" w:cs="Arial"/>
          <w:sz w:val="24"/>
          <w:szCs w:val="24"/>
          <w:lang w:val="en-US"/>
        </w:rPr>
        <w:t>[</w:t>
      </w:r>
      <w:r w:rsidR="00FC6820">
        <w:rPr>
          <w:rFonts w:ascii="Arial" w:hAnsi="Arial" w:cs="Arial"/>
          <w:sz w:val="24"/>
          <w:szCs w:val="24"/>
          <w:lang w:val="en-US"/>
        </w:rPr>
        <w:t>5</w:t>
      </w:r>
      <w:r>
        <w:rPr>
          <w:rFonts w:ascii="Arial" w:hAnsi="Arial" w:cs="Arial"/>
          <w:sz w:val="24"/>
          <w:szCs w:val="24"/>
          <w:lang w:val="en-US"/>
        </w:rPr>
        <w:t>]</w:t>
      </w:r>
      <w:r>
        <w:rPr>
          <w:rFonts w:ascii="Arial" w:hAnsi="Arial" w:cs="Arial"/>
          <w:sz w:val="24"/>
          <w:szCs w:val="24"/>
          <w:lang w:val="en-US"/>
        </w:rPr>
        <w:tab/>
      </w:r>
      <w:r w:rsidR="00AB247A" w:rsidRPr="00875850">
        <w:rPr>
          <w:rFonts w:ascii="Arial" w:hAnsi="Arial" w:cs="Arial"/>
          <w:sz w:val="24"/>
          <w:szCs w:val="24"/>
          <w:lang w:val="en-US"/>
        </w:rPr>
        <w:t>On 15 April 2013</w:t>
      </w:r>
      <w:r>
        <w:rPr>
          <w:rFonts w:ascii="Arial" w:hAnsi="Arial" w:cs="Arial"/>
          <w:sz w:val="24"/>
          <w:szCs w:val="24"/>
          <w:lang w:val="en-US"/>
        </w:rPr>
        <w:t>:</w:t>
      </w:r>
    </w:p>
    <w:p w14:paraId="3D93107B" w14:textId="69267BAB" w:rsidR="00C6147E" w:rsidRPr="00F956FA" w:rsidRDefault="00A31B28" w:rsidP="00875850">
      <w:pPr>
        <w:spacing w:line="360" w:lineRule="auto"/>
        <w:ind w:left="720" w:hanging="11"/>
        <w:jc w:val="both"/>
        <w:rPr>
          <w:rFonts w:ascii="Arial" w:hAnsi="Arial" w:cs="Arial"/>
          <w:i/>
          <w:iCs/>
          <w:color w:val="000000" w:themeColor="text1"/>
        </w:rPr>
      </w:pPr>
      <w:r w:rsidRPr="00F956FA">
        <w:rPr>
          <w:rFonts w:ascii="Arial" w:hAnsi="Arial" w:cs="Arial"/>
          <w:color w:val="000000" w:themeColor="text1"/>
          <w:lang w:val="en-US"/>
        </w:rPr>
        <w:t>“</w:t>
      </w:r>
      <w:r w:rsidR="00492013" w:rsidRPr="00F956FA">
        <w:rPr>
          <w:rFonts w:ascii="Arial" w:hAnsi="Arial" w:cs="Arial"/>
          <w:color w:val="000000" w:themeColor="text1"/>
          <w:lang w:val="en-US"/>
        </w:rPr>
        <w:t>[T]</w:t>
      </w:r>
      <w:r w:rsidR="00AB247A" w:rsidRPr="00F956FA">
        <w:rPr>
          <w:rFonts w:ascii="Arial" w:hAnsi="Arial" w:cs="Arial"/>
          <w:color w:val="000000" w:themeColor="text1"/>
          <w:lang w:val="en-US"/>
        </w:rPr>
        <w:t xml:space="preserve">wo years after it commenced its business, SAADA applied for grant funding from the NLC in terms of section 30 of the </w:t>
      </w:r>
      <w:r w:rsidR="00C252E7" w:rsidRPr="00F956FA">
        <w:rPr>
          <w:rFonts w:ascii="Arial" w:hAnsi="Arial" w:cs="Arial"/>
          <w:color w:val="000000" w:themeColor="text1"/>
          <w:lang w:val="en-US"/>
        </w:rPr>
        <w:t>L</w:t>
      </w:r>
      <w:r w:rsidR="00AB247A" w:rsidRPr="00F956FA">
        <w:rPr>
          <w:rFonts w:ascii="Arial" w:hAnsi="Arial" w:cs="Arial"/>
          <w:color w:val="000000" w:themeColor="text1"/>
          <w:lang w:val="en-US"/>
        </w:rPr>
        <w:t xml:space="preserve">otteries </w:t>
      </w:r>
      <w:r w:rsidR="00C252E7" w:rsidRPr="00F956FA">
        <w:rPr>
          <w:rFonts w:ascii="Arial" w:hAnsi="Arial" w:cs="Arial"/>
          <w:color w:val="000000" w:themeColor="text1"/>
          <w:lang w:val="en-US"/>
        </w:rPr>
        <w:t>A</w:t>
      </w:r>
      <w:r w:rsidR="00AB247A" w:rsidRPr="00F956FA">
        <w:rPr>
          <w:rFonts w:ascii="Arial" w:hAnsi="Arial" w:cs="Arial"/>
          <w:color w:val="000000" w:themeColor="text1"/>
          <w:lang w:val="en-US"/>
        </w:rPr>
        <w:t xml:space="preserve">ct 57 of 1997 which authorizes grants for arts, culture and heritage, in the sum of </w:t>
      </w:r>
      <w:r w:rsidR="00C6147E" w:rsidRPr="00F956FA">
        <w:rPr>
          <w:rFonts w:ascii="Arial" w:hAnsi="Arial" w:cs="Arial"/>
          <w:color w:val="000000" w:themeColor="text1"/>
          <w:lang w:val="en-US"/>
        </w:rPr>
        <w:t>R</w:t>
      </w:r>
      <w:r w:rsidR="00AB247A" w:rsidRPr="00F956FA">
        <w:rPr>
          <w:rFonts w:ascii="Arial" w:hAnsi="Arial" w:cs="Arial"/>
          <w:color w:val="000000" w:themeColor="text1"/>
          <w:lang w:val="en-US"/>
        </w:rPr>
        <w:t>18</w:t>
      </w:r>
      <w:r w:rsidR="00C6147E" w:rsidRPr="00F956FA">
        <w:rPr>
          <w:rFonts w:ascii="Arial" w:hAnsi="Arial" w:cs="Arial"/>
          <w:color w:val="000000" w:themeColor="text1"/>
          <w:lang w:val="en-US"/>
        </w:rPr>
        <w:t> </w:t>
      </w:r>
      <w:r w:rsidR="00AB247A" w:rsidRPr="00F956FA">
        <w:rPr>
          <w:rFonts w:ascii="Arial" w:hAnsi="Arial" w:cs="Arial"/>
          <w:color w:val="000000" w:themeColor="text1"/>
          <w:lang w:val="en-US"/>
        </w:rPr>
        <w:t>6</w:t>
      </w:r>
      <w:r w:rsidR="00C6147E" w:rsidRPr="00F956FA">
        <w:rPr>
          <w:rFonts w:ascii="Arial" w:hAnsi="Arial" w:cs="Arial"/>
          <w:color w:val="000000" w:themeColor="text1"/>
          <w:lang w:val="en-US"/>
        </w:rPr>
        <w:t>2</w:t>
      </w:r>
      <w:r w:rsidR="00AB247A" w:rsidRPr="00F956FA">
        <w:rPr>
          <w:rFonts w:ascii="Arial" w:hAnsi="Arial" w:cs="Arial"/>
          <w:color w:val="000000" w:themeColor="text1"/>
          <w:lang w:val="en-US"/>
        </w:rPr>
        <w:t>3</w:t>
      </w:r>
      <w:r w:rsidR="00C6147E" w:rsidRPr="00F956FA">
        <w:rPr>
          <w:rFonts w:ascii="Arial" w:hAnsi="Arial" w:cs="Arial"/>
          <w:color w:val="000000" w:themeColor="text1"/>
          <w:lang w:val="en-US"/>
        </w:rPr>
        <w:t> </w:t>
      </w:r>
      <w:r w:rsidR="00AB247A" w:rsidRPr="00F956FA">
        <w:rPr>
          <w:rFonts w:ascii="Arial" w:hAnsi="Arial" w:cs="Arial"/>
          <w:color w:val="000000" w:themeColor="text1"/>
          <w:lang w:val="en-US"/>
        </w:rPr>
        <w:t>101</w:t>
      </w:r>
      <w:r w:rsidR="00C6147E" w:rsidRPr="00F956FA">
        <w:rPr>
          <w:rFonts w:ascii="Arial" w:hAnsi="Arial" w:cs="Arial"/>
          <w:color w:val="000000" w:themeColor="text1"/>
          <w:lang w:val="en-US"/>
        </w:rPr>
        <w:t>.</w:t>
      </w:r>
      <w:r w:rsidR="00AB247A" w:rsidRPr="00F956FA">
        <w:rPr>
          <w:rFonts w:ascii="Arial" w:hAnsi="Arial" w:cs="Arial"/>
          <w:color w:val="000000" w:themeColor="text1"/>
          <w:lang w:val="en-US"/>
        </w:rPr>
        <w:t xml:space="preserve">23 for a period of </w:t>
      </w:r>
      <w:r w:rsidR="00C6147E" w:rsidRPr="00F956FA">
        <w:rPr>
          <w:rFonts w:ascii="Arial" w:hAnsi="Arial" w:cs="Arial"/>
          <w:color w:val="000000" w:themeColor="text1"/>
          <w:lang w:val="en-US"/>
        </w:rPr>
        <w:t>1</w:t>
      </w:r>
      <w:r w:rsidR="00AB247A" w:rsidRPr="00F956FA">
        <w:rPr>
          <w:rFonts w:ascii="Arial" w:hAnsi="Arial" w:cs="Arial"/>
          <w:color w:val="000000" w:themeColor="text1"/>
          <w:lang w:val="en-US"/>
        </w:rPr>
        <w:t>year, for purposes of capacitating the youth, especially unemployed youth in the poor and rural areas of the country…</w:t>
      </w:r>
    </w:p>
    <w:p w14:paraId="730B9A27" w14:textId="77777777" w:rsidR="00C6147E" w:rsidRPr="00875850" w:rsidRDefault="00C6147E" w:rsidP="00875850">
      <w:pPr>
        <w:pStyle w:val="ListParagraph"/>
        <w:spacing w:line="360" w:lineRule="auto"/>
        <w:ind w:left="0"/>
        <w:jc w:val="both"/>
        <w:rPr>
          <w:rFonts w:ascii="Arial" w:hAnsi="Arial" w:cs="Arial"/>
          <w:lang w:val="en-US"/>
        </w:rPr>
      </w:pPr>
    </w:p>
    <w:p w14:paraId="5E9FB82D" w14:textId="69351CA7" w:rsidR="003700BF" w:rsidRPr="008E56A5" w:rsidRDefault="00AB247A" w:rsidP="008E56A5">
      <w:pPr>
        <w:pStyle w:val="ListParagraph"/>
        <w:spacing w:line="360" w:lineRule="auto"/>
        <w:jc w:val="both"/>
        <w:rPr>
          <w:rFonts w:ascii="Arial" w:hAnsi="Arial" w:cs="Arial"/>
          <w:lang w:val="en-US"/>
        </w:rPr>
      </w:pPr>
      <w:r w:rsidRPr="00875850">
        <w:rPr>
          <w:rFonts w:ascii="Arial" w:hAnsi="Arial" w:cs="Arial"/>
        </w:rPr>
        <w:t>On</w:t>
      </w:r>
      <w:r w:rsidRPr="00875850">
        <w:rPr>
          <w:rFonts w:ascii="Arial" w:hAnsi="Arial" w:cs="Arial"/>
          <w:lang w:val="en-US"/>
        </w:rPr>
        <w:t xml:space="preserve"> 7 June 2014, more than a year after the grant funding application was submitted, half of the amount applied for was approved, in the sum of </w:t>
      </w:r>
      <w:r w:rsidR="00E22CE0" w:rsidRPr="00875850">
        <w:rPr>
          <w:rFonts w:ascii="Arial" w:hAnsi="Arial" w:cs="Arial"/>
          <w:lang w:val="en-US"/>
        </w:rPr>
        <w:t>R</w:t>
      </w:r>
      <w:r w:rsidRPr="00875850">
        <w:rPr>
          <w:rFonts w:ascii="Arial" w:hAnsi="Arial" w:cs="Arial"/>
          <w:lang w:val="en-US"/>
        </w:rPr>
        <w:t>9</w:t>
      </w:r>
      <w:r w:rsidR="00E22CE0" w:rsidRPr="00875850">
        <w:rPr>
          <w:rFonts w:ascii="Arial" w:hAnsi="Arial" w:cs="Arial"/>
          <w:lang w:val="en-US"/>
        </w:rPr>
        <w:t> </w:t>
      </w:r>
      <w:r w:rsidRPr="00875850">
        <w:rPr>
          <w:rFonts w:ascii="Arial" w:hAnsi="Arial" w:cs="Arial"/>
          <w:lang w:val="en-US"/>
        </w:rPr>
        <w:t>300</w:t>
      </w:r>
      <w:r w:rsidR="00E22CE0" w:rsidRPr="00875850">
        <w:rPr>
          <w:rFonts w:ascii="Arial" w:hAnsi="Arial" w:cs="Arial"/>
          <w:lang w:val="en-US"/>
        </w:rPr>
        <w:t xml:space="preserve"> </w:t>
      </w:r>
      <w:r w:rsidRPr="00875850">
        <w:rPr>
          <w:rFonts w:ascii="Arial" w:hAnsi="Arial" w:cs="Arial"/>
          <w:lang w:val="en-US"/>
        </w:rPr>
        <w:t>000.00. This amount was further to be paid to SA</w:t>
      </w:r>
      <w:r w:rsidR="00E22CE0" w:rsidRPr="00875850">
        <w:rPr>
          <w:rFonts w:ascii="Arial" w:hAnsi="Arial" w:cs="Arial"/>
          <w:lang w:val="en-US"/>
        </w:rPr>
        <w:t>A</w:t>
      </w:r>
      <w:r w:rsidRPr="00875850">
        <w:rPr>
          <w:rFonts w:ascii="Arial" w:hAnsi="Arial" w:cs="Arial"/>
          <w:lang w:val="en-US"/>
        </w:rPr>
        <w:t xml:space="preserve">DA in two tranches of </w:t>
      </w:r>
      <w:r w:rsidR="00E22CE0" w:rsidRPr="00875850">
        <w:rPr>
          <w:rFonts w:ascii="Arial" w:hAnsi="Arial" w:cs="Arial"/>
          <w:lang w:val="en-US"/>
        </w:rPr>
        <w:t>R4</w:t>
      </w:r>
      <w:r w:rsidR="005A1DBC" w:rsidRPr="00875850">
        <w:rPr>
          <w:rFonts w:ascii="Arial" w:hAnsi="Arial" w:cs="Arial"/>
          <w:lang w:val="en-US"/>
        </w:rPr>
        <w:t xml:space="preserve"> </w:t>
      </w:r>
      <w:r w:rsidRPr="00875850">
        <w:rPr>
          <w:rFonts w:ascii="Arial" w:hAnsi="Arial" w:cs="Arial"/>
          <w:lang w:val="en-US"/>
        </w:rPr>
        <w:t>650</w:t>
      </w:r>
      <w:r w:rsidR="005A1DBC" w:rsidRPr="00875850">
        <w:rPr>
          <w:rFonts w:ascii="Arial" w:hAnsi="Arial" w:cs="Arial"/>
          <w:lang w:val="en-US"/>
        </w:rPr>
        <w:t> </w:t>
      </w:r>
      <w:r w:rsidRPr="00875850">
        <w:rPr>
          <w:rFonts w:ascii="Arial" w:hAnsi="Arial" w:cs="Arial"/>
          <w:lang w:val="en-US"/>
        </w:rPr>
        <w:t>000</w:t>
      </w:r>
      <w:r w:rsidR="005A1DBC" w:rsidRPr="00875850">
        <w:rPr>
          <w:rFonts w:ascii="Arial" w:hAnsi="Arial" w:cs="Arial"/>
          <w:lang w:val="en-US"/>
        </w:rPr>
        <w:t>.00</w:t>
      </w:r>
      <w:r w:rsidRPr="00875850">
        <w:rPr>
          <w:rFonts w:ascii="Arial" w:hAnsi="Arial" w:cs="Arial"/>
          <w:lang w:val="en-US"/>
        </w:rPr>
        <w:t xml:space="preserve"> each</w:t>
      </w:r>
      <w:r w:rsidR="002E43AD" w:rsidRPr="00875850">
        <w:rPr>
          <w:rFonts w:ascii="Arial" w:hAnsi="Arial" w:cs="Arial"/>
        </w:rPr>
        <w:t>.</w:t>
      </w:r>
      <w:r w:rsidRPr="00875850">
        <w:rPr>
          <w:rFonts w:ascii="Arial" w:hAnsi="Arial" w:cs="Arial"/>
          <w:lang w:val="en-US"/>
        </w:rPr>
        <w:t>”</w:t>
      </w:r>
      <w:r w:rsidR="00E22CE0" w:rsidRPr="00875850">
        <w:rPr>
          <w:rStyle w:val="FootnoteReference"/>
          <w:rFonts w:ascii="Arial" w:hAnsi="Arial" w:cs="Arial"/>
          <w:lang w:val="en-US"/>
        </w:rPr>
        <w:footnoteReference w:id="2"/>
      </w:r>
    </w:p>
    <w:p w14:paraId="1FE11285" w14:textId="134220F8" w:rsidR="00D5037E" w:rsidRPr="00933C28" w:rsidRDefault="00875850" w:rsidP="00875850">
      <w:pPr>
        <w:pStyle w:val="ListParagraph"/>
        <w:spacing w:line="360" w:lineRule="auto"/>
        <w:ind w:left="0"/>
        <w:jc w:val="both"/>
        <w:rPr>
          <w:rFonts w:ascii="Arial" w:hAnsi="Arial" w:cs="Arial"/>
          <w:sz w:val="24"/>
          <w:szCs w:val="24"/>
        </w:rPr>
      </w:pPr>
      <w:r>
        <w:rPr>
          <w:rFonts w:ascii="Arial" w:hAnsi="Arial" w:cs="Arial"/>
          <w:sz w:val="24"/>
          <w:szCs w:val="24"/>
          <w:lang w:val="en-US"/>
        </w:rPr>
        <w:lastRenderedPageBreak/>
        <w:t>[</w:t>
      </w:r>
      <w:r w:rsidR="00FC6820">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r>
      <w:r w:rsidR="009C48C1" w:rsidRPr="00933C28">
        <w:rPr>
          <w:rFonts w:ascii="Arial" w:hAnsi="Arial" w:cs="Arial"/>
          <w:sz w:val="24"/>
          <w:szCs w:val="24"/>
          <w:lang w:val="en-US"/>
        </w:rPr>
        <w:t>SAADA (the “recipient”), represented by its President Arthur Mafokate, entered into a</w:t>
      </w:r>
      <w:r w:rsidR="000B25A5" w:rsidRPr="00933C28">
        <w:rPr>
          <w:rFonts w:ascii="Arial" w:hAnsi="Arial" w:cs="Arial"/>
          <w:sz w:val="24"/>
          <w:szCs w:val="24"/>
          <w:lang w:val="en-US"/>
        </w:rPr>
        <w:t xml:space="preserve"> grant funding agreement </w:t>
      </w:r>
      <w:r w:rsidR="009C48C1" w:rsidRPr="00933C28">
        <w:rPr>
          <w:rFonts w:ascii="Arial" w:hAnsi="Arial" w:cs="Arial"/>
          <w:sz w:val="24"/>
          <w:szCs w:val="24"/>
          <w:lang w:val="en-US"/>
        </w:rPr>
        <w:t>with</w:t>
      </w:r>
      <w:r w:rsidR="00D0742B" w:rsidRPr="00933C28">
        <w:rPr>
          <w:rFonts w:ascii="Arial" w:hAnsi="Arial" w:cs="Arial"/>
          <w:sz w:val="24"/>
          <w:szCs w:val="24"/>
          <w:lang w:val="en-US"/>
        </w:rPr>
        <w:t xml:space="preserve"> the National Lotteries Board (the “board”).</w:t>
      </w:r>
      <w:r w:rsidR="000B25A5" w:rsidRPr="00933C28">
        <w:rPr>
          <w:rFonts w:ascii="Arial" w:hAnsi="Arial" w:cs="Arial"/>
          <w:sz w:val="24"/>
          <w:szCs w:val="24"/>
          <w:lang w:val="en-US"/>
        </w:rPr>
        <w:t xml:space="preserve"> </w:t>
      </w:r>
      <w:r w:rsidR="000C22A7" w:rsidRPr="00933C28">
        <w:rPr>
          <w:rFonts w:ascii="Arial" w:hAnsi="Arial" w:cs="Arial"/>
          <w:sz w:val="24"/>
          <w:szCs w:val="24"/>
          <w:lang w:val="en-US"/>
        </w:rPr>
        <w:t xml:space="preserve">For a better understanding of the </w:t>
      </w:r>
      <w:r w:rsidR="00710E50" w:rsidRPr="00933C28">
        <w:rPr>
          <w:rFonts w:ascii="Arial" w:hAnsi="Arial" w:cs="Arial"/>
          <w:sz w:val="24"/>
          <w:szCs w:val="24"/>
        </w:rPr>
        <w:t xml:space="preserve">grant </w:t>
      </w:r>
      <w:r w:rsidR="00D0742B" w:rsidRPr="00933C28">
        <w:rPr>
          <w:rFonts w:ascii="Arial" w:hAnsi="Arial" w:cs="Arial"/>
          <w:sz w:val="24"/>
          <w:szCs w:val="24"/>
        </w:rPr>
        <w:t>funding</w:t>
      </w:r>
      <w:r w:rsidR="00B737C3" w:rsidRPr="00933C28">
        <w:rPr>
          <w:rFonts w:ascii="Arial" w:hAnsi="Arial" w:cs="Arial"/>
          <w:sz w:val="24"/>
          <w:szCs w:val="24"/>
        </w:rPr>
        <w:t xml:space="preserve"> agreement,</w:t>
      </w:r>
      <w:r w:rsidR="00A619CC" w:rsidRPr="00933C28">
        <w:rPr>
          <w:rFonts w:ascii="Arial" w:hAnsi="Arial" w:cs="Arial"/>
          <w:sz w:val="24"/>
          <w:szCs w:val="24"/>
          <w:lang w:val="en-US"/>
        </w:rPr>
        <w:t xml:space="preserve"> </w:t>
      </w:r>
      <w:r w:rsidR="000C22A7" w:rsidRPr="00933C28">
        <w:rPr>
          <w:rFonts w:ascii="Arial" w:hAnsi="Arial" w:cs="Arial"/>
          <w:sz w:val="24"/>
          <w:szCs w:val="24"/>
          <w:lang w:val="en-US"/>
        </w:rPr>
        <w:t xml:space="preserve">a </w:t>
      </w:r>
      <w:r w:rsidR="00E42039" w:rsidRPr="00933C28">
        <w:rPr>
          <w:rFonts w:ascii="Arial" w:hAnsi="Arial" w:cs="Arial"/>
          <w:sz w:val="24"/>
          <w:szCs w:val="24"/>
          <w:lang w:val="en-US"/>
        </w:rPr>
        <w:t>reference to</w:t>
      </w:r>
      <w:r w:rsidR="00BE3E10" w:rsidRPr="00933C28">
        <w:rPr>
          <w:rFonts w:ascii="Arial" w:hAnsi="Arial" w:cs="Arial"/>
          <w:sz w:val="24"/>
          <w:szCs w:val="24"/>
          <w:lang w:val="en-US"/>
        </w:rPr>
        <w:t xml:space="preserve"> some of the essential paragraphs </w:t>
      </w:r>
      <w:r w:rsidR="00FE71BD" w:rsidRPr="00933C28">
        <w:rPr>
          <w:rFonts w:ascii="Arial" w:hAnsi="Arial" w:cs="Arial"/>
          <w:sz w:val="24"/>
          <w:szCs w:val="24"/>
          <w:lang w:val="en-US"/>
        </w:rPr>
        <w:t xml:space="preserve">in the agreement </w:t>
      </w:r>
      <w:r w:rsidR="00BE3E10" w:rsidRPr="00933C28">
        <w:rPr>
          <w:rFonts w:ascii="Arial" w:hAnsi="Arial" w:cs="Arial"/>
          <w:sz w:val="24"/>
          <w:szCs w:val="24"/>
          <w:lang w:val="en-US"/>
        </w:rPr>
        <w:t xml:space="preserve">must be made, starting </w:t>
      </w:r>
      <w:r w:rsidR="00DB225F" w:rsidRPr="00933C28">
        <w:rPr>
          <w:rFonts w:ascii="Arial" w:hAnsi="Arial" w:cs="Arial"/>
          <w:sz w:val="24"/>
          <w:szCs w:val="24"/>
          <w:lang w:val="en-US"/>
        </w:rPr>
        <w:t xml:space="preserve">with </w:t>
      </w:r>
      <w:r w:rsidR="00BE3E10" w:rsidRPr="00933C28">
        <w:rPr>
          <w:rFonts w:ascii="Arial" w:hAnsi="Arial" w:cs="Arial"/>
          <w:sz w:val="24"/>
          <w:szCs w:val="24"/>
          <w:lang w:val="en-US"/>
        </w:rPr>
        <w:t xml:space="preserve">paragraph 4 </w:t>
      </w:r>
      <w:r w:rsidR="00DB225F" w:rsidRPr="00933C28">
        <w:rPr>
          <w:rFonts w:ascii="Arial" w:hAnsi="Arial" w:cs="Arial"/>
          <w:sz w:val="24"/>
          <w:szCs w:val="24"/>
          <w:lang w:val="en-US"/>
        </w:rPr>
        <w:t>until paragraph</w:t>
      </w:r>
      <w:r w:rsidR="0084468B" w:rsidRPr="00933C28">
        <w:rPr>
          <w:rFonts w:ascii="Arial" w:hAnsi="Arial" w:cs="Arial"/>
          <w:sz w:val="24"/>
          <w:szCs w:val="24"/>
          <w:lang w:val="en-US"/>
        </w:rPr>
        <w:t xml:space="preserve"> 9</w:t>
      </w:r>
      <w:r w:rsidR="00DB225F" w:rsidRPr="00933C28">
        <w:rPr>
          <w:rFonts w:ascii="Arial" w:hAnsi="Arial" w:cs="Arial"/>
          <w:sz w:val="24"/>
          <w:szCs w:val="24"/>
          <w:lang w:val="en-US"/>
        </w:rPr>
        <w:t>.</w:t>
      </w:r>
      <w:r w:rsidR="00D5037E" w:rsidRPr="00933C28">
        <w:rPr>
          <w:rFonts w:ascii="Arial" w:hAnsi="Arial" w:cs="Arial"/>
          <w:sz w:val="24"/>
          <w:szCs w:val="24"/>
        </w:rPr>
        <w:t xml:space="preserve"> </w:t>
      </w:r>
    </w:p>
    <w:p w14:paraId="2D64F2A0" w14:textId="03CBFB83" w:rsidR="00710E50" w:rsidRPr="00875850" w:rsidRDefault="00710E50" w:rsidP="00875850">
      <w:pPr>
        <w:spacing w:line="360" w:lineRule="auto"/>
        <w:ind w:firstLine="720"/>
        <w:jc w:val="both"/>
        <w:rPr>
          <w:rFonts w:ascii="Arial" w:hAnsi="Arial" w:cs="Arial"/>
        </w:rPr>
      </w:pPr>
      <w:r w:rsidRPr="00875850">
        <w:rPr>
          <w:rFonts w:ascii="Arial" w:hAnsi="Arial" w:cs="Arial"/>
          <w:lang w:val="en-US"/>
        </w:rPr>
        <w:t xml:space="preserve"> “</w:t>
      </w:r>
      <w:r w:rsidR="008B50BE" w:rsidRPr="00875850">
        <w:rPr>
          <w:rFonts w:ascii="Arial" w:hAnsi="Arial" w:cs="Arial"/>
          <w:lang w:val="en-US"/>
        </w:rPr>
        <w:t xml:space="preserve">4.     </w:t>
      </w:r>
      <w:r w:rsidR="008B50BE" w:rsidRPr="00875850">
        <w:rPr>
          <w:rFonts w:ascii="Arial" w:hAnsi="Arial" w:cs="Arial"/>
          <w:u w:val="single"/>
          <w:lang w:val="en-US"/>
        </w:rPr>
        <w:t>F</w:t>
      </w:r>
      <w:r w:rsidRPr="00875850">
        <w:rPr>
          <w:rFonts w:ascii="Arial" w:hAnsi="Arial" w:cs="Arial"/>
          <w:u w:val="single"/>
          <w:lang w:val="en-US"/>
        </w:rPr>
        <w:t xml:space="preserve">inancial </w:t>
      </w:r>
      <w:r w:rsidR="008B50BE" w:rsidRPr="00875850">
        <w:rPr>
          <w:rFonts w:ascii="Arial" w:hAnsi="Arial" w:cs="Arial"/>
          <w:u w:val="single"/>
          <w:lang w:val="en-US"/>
        </w:rPr>
        <w:t>A</w:t>
      </w:r>
      <w:r w:rsidRPr="00875850">
        <w:rPr>
          <w:rFonts w:ascii="Arial" w:hAnsi="Arial" w:cs="Arial"/>
          <w:u w:val="single"/>
          <w:lang w:val="en-US"/>
        </w:rPr>
        <w:t>dministration</w:t>
      </w:r>
    </w:p>
    <w:p w14:paraId="14BC9D26" w14:textId="48DE726E" w:rsidR="00710E50" w:rsidRPr="00875850" w:rsidRDefault="00710E50" w:rsidP="00875850">
      <w:pPr>
        <w:spacing w:line="360" w:lineRule="auto"/>
        <w:ind w:left="720"/>
        <w:jc w:val="both"/>
        <w:rPr>
          <w:rFonts w:ascii="Arial" w:hAnsi="Arial" w:cs="Arial"/>
          <w:lang w:val="en-US"/>
        </w:rPr>
      </w:pPr>
      <w:r w:rsidRPr="00875850">
        <w:rPr>
          <w:rFonts w:ascii="Arial" w:hAnsi="Arial" w:cs="Arial"/>
          <w:lang w:val="en-US"/>
        </w:rPr>
        <w:t xml:space="preserve">4.1 </w:t>
      </w:r>
      <w:r w:rsidR="008B50BE" w:rsidRPr="00875850">
        <w:rPr>
          <w:rFonts w:ascii="Arial" w:hAnsi="Arial" w:cs="Arial"/>
          <w:lang w:val="en-US"/>
        </w:rPr>
        <w:t>T</w:t>
      </w:r>
      <w:r w:rsidRPr="00875850">
        <w:rPr>
          <w:rFonts w:ascii="Arial" w:hAnsi="Arial" w:cs="Arial"/>
          <w:lang w:val="en-US"/>
        </w:rPr>
        <w:t xml:space="preserve">he </w:t>
      </w:r>
      <w:r w:rsidR="008B50BE" w:rsidRPr="00875850">
        <w:rPr>
          <w:rFonts w:ascii="Arial" w:hAnsi="Arial" w:cs="Arial"/>
          <w:lang w:val="en-US"/>
        </w:rPr>
        <w:t>R</w:t>
      </w:r>
      <w:r w:rsidRPr="00875850">
        <w:rPr>
          <w:rFonts w:ascii="Arial" w:hAnsi="Arial" w:cs="Arial"/>
          <w:lang w:val="en-US"/>
        </w:rPr>
        <w:t xml:space="preserve">ecipient undertakes to </w:t>
      </w:r>
      <w:r w:rsidR="00994823" w:rsidRPr="00875850">
        <w:rPr>
          <w:rFonts w:ascii="Arial" w:hAnsi="Arial" w:cs="Arial"/>
          <w:lang w:val="en-US"/>
        </w:rPr>
        <w:t>administrate</w:t>
      </w:r>
      <w:r w:rsidRPr="00875850">
        <w:rPr>
          <w:rFonts w:ascii="Arial" w:hAnsi="Arial" w:cs="Arial"/>
          <w:lang w:val="en-US"/>
        </w:rPr>
        <w:t xml:space="preserve"> the grand in accordance with general acceptable accounting practices.</w:t>
      </w:r>
    </w:p>
    <w:p w14:paraId="22E5770D" w14:textId="6E0203D1" w:rsidR="00710E50" w:rsidRPr="00875850" w:rsidRDefault="00710E50" w:rsidP="00875850">
      <w:pPr>
        <w:spacing w:line="360" w:lineRule="auto"/>
        <w:ind w:left="720"/>
        <w:jc w:val="both"/>
        <w:rPr>
          <w:rFonts w:ascii="Arial" w:hAnsi="Arial" w:cs="Arial"/>
          <w:lang w:val="en-US"/>
        </w:rPr>
      </w:pPr>
      <w:r w:rsidRPr="00875850">
        <w:rPr>
          <w:rFonts w:ascii="Arial" w:hAnsi="Arial" w:cs="Arial"/>
          <w:lang w:val="en-US"/>
        </w:rPr>
        <w:t xml:space="preserve">4.2 </w:t>
      </w:r>
      <w:r w:rsidR="008B50BE" w:rsidRPr="00875850">
        <w:rPr>
          <w:rFonts w:ascii="Arial" w:hAnsi="Arial" w:cs="Arial"/>
          <w:lang w:val="en-US"/>
        </w:rPr>
        <w:t>W</w:t>
      </w:r>
      <w:r w:rsidRPr="00875850">
        <w:rPr>
          <w:rFonts w:ascii="Arial" w:hAnsi="Arial" w:cs="Arial"/>
          <w:lang w:val="en-US"/>
        </w:rPr>
        <w:t xml:space="preserve">ithout detracting from clause 4.1 above, the </w:t>
      </w:r>
      <w:r w:rsidR="008B50BE" w:rsidRPr="00875850">
        <w:rPr>
          <w:rFonts w:ascii="Arial" w:hAnsi="Arial" w:cs="Arial"/>
          <w:lang w:val="en-US"/>
        </w:rPr>
        <w:t>R</w:t>
      </w:r>
      <w:r w:rsidRPr="00875850">
        <w:rPr>
          <w:rFonts w:ascii="Arial" w:hAnsi="Arial" w:cs="Arial"/>
          <w:lang w:val="en-US"/>
        </w:rPr>
        <w:t>ecipient shall in respect of the grant keep:</w:t>
      </w:r>
    </w:p>
    <w:p w14:paraId="5814E2B2" w14:textId="30696E64" w:rsidR="00710E50" w:rsidRPr="00875850" w:rsidRDefault="00710E50" w:rsidP="00875850">
      <w:pPr>
        <w:spacing w:line="360" w:lineRule="auto"/>
        <w:ind w:left="720"/>
        <w:jc w:val="both"/>
        <w:rPr>
          <w:rFonts w:ascii="Arial" w:hAnsi="Arial" w:cs="Arial"/>
          <w:lang w:val="en-US"/>
        </w:rPr>
      </w:pPr>
      <w:r w:rsidRPr="00875850">
        <w:rPr>
          <w:rFonts w:ascii="Arial" w:hAnsi="Arial" w:cs="Arial"/>
          <w:lang w:val="en-US"/>
        </w:rPr>
        <w:t>4.2.1 detailed records of all payments received from the board and expenditures incurred which have been set off against all the projects; and</w:t>
      </w:r>
    </w:p>
    <w:p w14:paraId="2184BDA7" w14:textId="38C5EC9F" w:rsidR="00710E50" w:rsidRPr="00875850" w:rsidRDefault="00710E50" w:rsidP="00875850">
      <w:pPr>
        <w:spacing w:line="360" w:lineRule="auto"/>
        <w:ind w:firstLine="720"/>
        <w:jc w:val="both"/>
        <w:rPr>
          <w:rFonts w:ascii="Arial" w:hAnsi="Arial" w:cs="Arial"/>
          <w:lang w:val="en-US"/>
        </w:rPr>
      </w:pPr>
      <w:r w:rsidRPr="00875850">
        <w:rPr>
          <w:rFonts w:ascii="Arial" w:hAnsi="Arial" w:cs="Arial"/>
          <w:lang w:val="en-US"/>
        </w:rPr>
        <w:t>4.2.2 balance sheet detailing the specific assets purchased from the grant received.</w:t>
      </w:r>
    </w:p>
    <w:p w14:paraId="239C3C91" w14:textId="3FB13E29" w:rsidR="007943EC" w:rsidRPr="00875850" w:rsidRDefault="00710E50" w:rsidP="00875850">
      <w:pPr>
        <w:spacing w:line="360" w:lineRule="auto"/>
        <w:ind w:left="720"/>
        <w:jc w:val="both"/>
        <w:rPr>
          <w:rFonts w:ascii="Arial" w:hAnsi="Arial" w:cs="Arial"/>
          <w:lang w:val="en-US"/>
        </w:rPr>
      </w:pPr>
      <w:r w:rsidRPr="00875850">
        <w:rPr>
          <w:rFonts w:ascii="Arial" w:hAnsi="Arial" w:cs="Arial"/>
          <w:lang w:val="en-US"/>
        </w:rPr>
        <w:t xml:space="preserve">4.5 </w:t>
      </w:r>
      <w:r w:rsidR="0086182D" w:rsidRPr="00875850">
        <w:rPr>
          <w:rFonts w:ascii="Arial" w:hAnsi="Arial" w:cs="Arial"/>
          <w:lang w:val="en-US"/>
        </w:rPr>
        <w:t>T</w:t>
      </w:r>
      <w:r w:rsidRPr="00875850">
        <w:rPr>
          <w:rFonts w:ascii="Arial" w:hAnsi="Arial" w:cs="Arial"/>
          <w:lang w:val="en-US"/>
        </w:rPr>
        <w:t xml:space="preserve">he </w:t>
      </w:r>
      <w:r w:rsidR="0086182D" w:rsidRPr="00875850">
        <w:rPr>
          <w:rFonts w:ascii="Arial" w:hAnsi="Arial" w:cs="Arial"/>
          <w:lang w:val="en-US"/>
        </w:rPr>
        <w:t>R</w:t>
      </w:r>
      <w:r w:rsidRPr="00875850">
        <w:rPr>
          <w:rFonts w:ascii="Arial" w:hAnsi="Arial" w:cs="Arial"/>
          <w:lang w:val="en-US"/>
        </w:rPr>
        <w:t>ecipient must account for all revenue received, be it from ticket sales, broadcasting rights and advertising or received in any other way linked to the projects funded by the board.</w:t>
      </w:r>
    </w:p>
    <w:p w14:paraId="286C12F9" w14:textId="77777777" w:rsidR="007943EC" w:rsidRPr="00875850" w:rsidRDefault="007943EC" w:rsidP="00875850">
      <w:pPr>
        <w:spacing w:line="360" w:lineRule="auto"/>
        <w:jc w:val="both"/>
        <w:rPr>
          <w:rFonts w:ascii="Arial" w:hAnsi="Arial" w:cs="Arial"/>
          <w:lang w:val="en-US"/>
        </w:rPr>
      </w:pPr>
    </w:p>
    <w:p w14:paraId="2574DDB2" w14:textId="4444FE9B" w:rsidR="00E40361" w:rsidRPr="00875850" w:rsidRDefault="00E40361" w:rsidP="00875850">
      <w:pPr>
        <w:spacing w:line="360" w:lineRule="auto"/>
        <w:ind w:firstLine="720"/>
        <w:jc w:val="both"/>
        <w:rPr>
          <w:rFonts w:ascii="Arial" w:hAnsi="Arial" w:cs="Arial"/>
          <w:lang w:val="en-US"/>
        </w:rPr>
      </w:pPr>
      <w:r w:rsidRPr="00875850">
        <w:rPr>
          <w:rFonts w:ascii="Arial" w:hAnsi="Arial" w:cs="Arial"/>
          <w:lang w:val="en-US"/>
        </w:rPr>
        <w:t>5.</w:t>
      </w:r>
      <w:r w:rsidR="00BE5E66" w:rsidRPr="00875850">
        <w:rPr>
          <w:rFonts w:ascii="Arial" w:hAnsi="Arial" w:cs="Arial"/>
          <w:lang w:val="en-US"/>
        </w:rPr>
        <w:t xml:space="preserve"> </w:t>
      </w:r>
      <w:r w:rsidR="00BE5E66" w:rsidRPr="00875850">
        <w:rPr>
          <w:rFonts w:ascii="Arial" w:hAnsi="Arial" w:cs="Arial"/>
          <w:u w:val="single"/>
          <w:lang w:val="en-US"/>
        </w:rPr>
        <w:t>Progress reports</w:t>
      </w:r>
    </w:p>
    <w:p w14:paraId="69B91F59" w14:textId="6A589CA9" w:rsidR="00710E50" w:rsidRPr="00875850" w:rsidRDefault="00710E50" w:rsidP="00875850">
      <w:pPr>
        <w:spacing w:line="360" w:lineRule="auto"/>
        <w:ind w:left="720"/>
        <w:jc w:val="both"/>
        <w:rPr>
          <w:rFonts w:ascii="Arial" w:hAnsi="Arial" w:cs="Arial"/>
          <w:lang w:val="en-US"/>
        </w:rPr>
      </w:pPr>
      <w:r w:rsidRPr="00875850">
        <w:rPr>
          <w:rFonts w:ascii="Arial" w:hAnsi="Arial" w:cs="Arial"/>
          <w:lang w:val="en-US"/>
        </w:rPr>
        <w:t xml:space="preserve">5.2 </w:t>
      </w:r>
      <w:r w:rsidR="0086182D" w:rsidRPr="00875850">
        <w:rPr>
          <w:rFonts w:ascii="Arial" w:hAnsi="Arial" w:cs="Arial"/>
          <w:lang w:val="en-US"/>
        </w:rPr>
        <w:t>T</w:t>
      </w:r>
      <w:r w:rsidRPr="00875850">
        <w:rPr>
          <w:rFonts w:ascii="Arial" w:hAnsi="Arial" w:cs="Arial"/>
          <w:lang w:val="en-US"/>
        </w:rPr>
        <w:t xml:space="preserve">he </w:t>
      </w:r>
      <w:r w:rsidR="0086182D" w:rsidRPr="00875850">
        <w:rPr>
          <w:rFonts w:ascii="Arial" w:hAnsi="Arial" w:cs="Arial"/>
          <w:lang w:val="en-US"/>
        </w:rPr>
        <w:t>R</w:t>
      </w:r>
      <w:r w:rsidRPr="00875850">
        <w:rPr>
          <w:rFonts w:ascii="Arial" w:hAnsi="Arial" w:cs="Arial"/>
          <w:lang w:val="en-US"/>
        </w:rPr>
        <w:t>ecipient must ensure that the progress reports reflect each projects activities as stated in the application.</w:t>
      </w:r>
    </w:p>
    <w:p w14:paraId="7DF47976" w14:textId="517E6952" w:rsidR="00710E50" w:rsidRPr="00875850" w:rsidRDefault="00710E50" w:rsidP="00875850">
      <w:pPr>
        <w:spacing w:line="360" w:lineRule="auto"/>
        <w:ind w:left="720"/>
        <w:jc w:val="both"/>
        <w:rPr>
          <w:rFonts w:ascii="Arial" w:hAnsi="Arial" w:cs="Arial"/>
          <w:lang w:val="en-US"/>
        </w:rPr>
      </w:pPr>
      <w:r w:rsidRPr="00875850">
        <w:rPr>
          <w:rFonts w:ascii="Arial" w:hAnsi="Arial" w:cs="Arial"/>
          <w:lang w:val="en-US"/>
        </w:rPr>
        <w:t xml:space="preserve">5.3 </w:t>
      </w:r>
      <w:r w:rsidR="00087F98" w:rsidRPr="00875850">
        <w:rPr>
          <w:rFonts w:ascii="Arial" w:hAnsi="Arial" w:cs="Arial"/>
          <w:lang w:val="en-US"/>
        </w:rPr>
        <w:t>T</w:t>
      </w:r>
      <w:r w:rsidRPr="00875850">
        <w:rPr>
          <w:rFonts w:ascii="Arial" w:hAnsi="Arial" w:cs="Arial"/>
          <w:lang w:val="en-US"/>
        </w:rPr>
        <w:t xml:space="preserve">he </w:t>
      </w:r>
      <w:r w:rsidR="00087F98" w:rsidRPr="00875850">
        <w:rPr>
          <w:rFonts w:ascii="Arial" w:hAnsi="Arial" w:cs="Arial"/>
          <w:lang w:val="en-US"/>
        </w:rPr>
        <w:t>R</w:t>
      </w:r>
      <w:r w:rsidRPr="00875850">
        <w:rPr>
          <w:rFonts w:ascii="Arial" w:hAnsi="Arial" w:cs="Arial"/>
          <w:lang w:val="en-US"/>
        </w:rPr>
        <w:t>ecipient undertakes to submit to the board's interim financial and narrative reports on the utilization of the grant.</w:t>
      </w:r>
    </w:p>
    <w:p w14:paraId="7DA7252F" w14:textId="77777777" w:rsidR="003700BF" w:rsidRPr="00875850" w:rsidRDefault="003700BF" w:rsidP="00875850">
      <w:pPr>
        <w:spacing w:line="360" w:lineRule="auto"/>
        <w:jc w:val="both"/>
        <w:rPr>
          <w:rFonts w:ascii="Arial" w:hAnsi="Arial" w:cs="Arial"/>
          <w:lang w:val="en-US"/>
        </w:rPr>
      </w:pPr>
    </w:p>
    <w:p w14:paraId="56776C10" w14:textId="25E09838" w:rsidR="00087F98" w:rsidRPr="00875850" w:rsidRDefault="00087F98" w:rsidP="00875850">
      <w:pPr>
        <w:spacing w:line="360" w:lineRule="auto"/>
        <w:ind w:firstLine="720"/>
        <w:jc w:val="both"/>
        <w:rPr>
          <w:rFonts w:ascii="Arial" w:hAnsi="Arial" w:cs="Arial"/>
          <w:u w:val="single"/>
          <w:lang w:val="en-US"/>
        </w:rPr>
      </w:pPr>
      <w:r w:rsidRPr="00875850">
        <w:rPr>
          <w:rFonts w:ascii="Arial" w:hAnsi="Arial" w:cs="Arial"/>
          <w:lang w:val="en-US"/>
        </w:rPr>
        <w:t>8.</w:t>
      </w:r>
      <w:r w:rsidRPr="00875850">
        <w:rPr>
          <w:rFonts w:ascii="Arial" w:hAnsi="Arial" w:cs="Arial"/>
          <w:u w:val="single"/>
          <w:lang w:val="en-US"/>
        </w:rPr>
        <w:t xml:space="preserve"> Procurement</w:t>
      </w:r>
    </w:p>
    <w:p w14:paraId="0C02381B" w14:textId="32C28399" w:rsidR="00087F98" w:rsidRPr="00875850" w:rsidRDefault="00087F98" w:rsidP="00875850">
      <w:pPr>
        <w:spacing w:line="360" w:lineRule="auto"/>
        <w:ind w:firstLine="720"/>
        <w:jc w:val="both"/>
        <w:rPr>
          <w:rFonts w:ascii="Arial" w:hAnsi="Arial" w:cs="Arial"/>
          <w:lang w:val="en-US"/>
        </w:rPr>
      </w:pPr>
      <w:r w:rsidRPr="00875850">
        <w:rPr>
          <w:rFonts w:ascii="Arial" w:hAnsi="Arial" w:cs="Arial"/>
          <w:lang w:val="en-US"/>
        </w:rPr>
        <w:t xml:space="preserve">The Recipient must in all procurement </w:t>
      </w:r>
      <w:r w:rsidR="00E40361" w:rsidRPr="00875850">
        <w:rPr>
          <w:rFonts w:ascii="Arial" w:hAnsi="Arial" w:cs="Arial"/>
          <w:lang w:val="en-US"/>
        </w:rPr>
        <w:t xml:space="preserve">activities in terms of this </w:t>
      </w:r>
      <w:r w:rsidR="00154C57" w:rsidRPr="00875850">
        <w:rPr>
          <w:rFonts w:ascii="Arial" w:hAnsi="Arial" w:cs="Arial"/>
          <w:lang w:val="en-US"/>
        </w:rPr>
        <w:t>Agreement: …</w:t>
      </w:r>
    </w:p>
    <w:p w14:paraId="26E4A5CB" w14:textId="79DD1B1F" w:rsidR="00710E50" w:rsidRPr="00875850" w:rsidRDefault="00710E50" w:rsidP="00875850">
      <w:pPr>
        <w:spacing w:line="360" w:lineRule="auto"/>
        <w:ind w:left="720"/>
        <w:jc w:val="both"/>
        <w:rPr>
          <w:rFonts w:ascii="Arial" w:hAnsi="Arial" w:cs="Arial"/>
          <w:lang w:val="en-US"/>
        </w:rPr>
      </w:pPr>
      <w:r w:rsidRPr="00875850">
        <w:rPr>
          <w:rFonts w:ascii="Arial" w:hAnsi="Arial" w:cs="Arial"/>
          <w:lang w:val="en-US"/>
        </w:rPr>
        <w:t>(</w:t>
      </w:r>
      <w:r w:rsidR="00E40361" w:rsidRPr="00875850">
        <w:rPr>
          <w:rFonts w:ascii="Arial" w:hAnsi="Arial" w:cs="Arial"/>
          <w:lang w:val="en-US"/>
        </w:rPr>
        <w:t>d)</w:t>
      </w:r>
      <w:r w:rsidRPr="00875850">
        <w:rPr>
          <w:rFonts w:ascii="Arial" w:hAnsi="Arial" w:cs="Arial"/>
          <w:lang w:val="en-US"/>
        </w:rPr>
        <w:t xml:space="preserve"> ensure that conflicts of interest or the potential thereof is dealt with appropriately; (</w:t>
      </w:r>
      <w:r w:rsidR="00E40361" w:rsidRPr="00875850">
        <w:rPr>
          <w:rFonts w:ascii="Arial" w:hAnsi="Arial" w:cs="Arial"/>
          <w:lang w:val="en-US"/>
        </w:rPr>
        <w:t>e)</w:t>
      </w:r>
      <w:r w:rsidRPr="00875850">
        <w:rPr>
          <w:rFonts w:ascii="Arial" w:hAnsi="Arial" w:cs="Arial"/>
          <w:lang w:val="en-US"/>
        </w:rPr>
        <w:t xml:space="preserve"> ensure that procurement procedure are open and transparent in that bias and favoritism are eliminated.</w:t>
      </w:r>
    </w:p>
    <w:p w14:paraId="11780508" w14:textId="77777777" w:rsidR="003700BF" w:rsidRPr="00875850" w:rsidRDefault="003700BF" w:rsidP="00875850">
      <w:pPr>
        <w:spacing w:line="360" w:lineRule="auto"/>
        <w:jc w:val="both"/>
        <w:rPr>
          <w:rFonts w:ascii="Arial" w:hAnsi="Arial" w:cs="Arial"/>
          <w:lang w:val="en-US"/>
        </w:rPr>
      </w:pPr>
    </w:p>
    <w:p w14:paraId="1BDD159A" w14:textId="7C55F363" w:rsidR="00E40361" w:rsidRPr="00875850" w:rsidRDefault="00E40361" w:rsidP="00875850">
      <w:pPr>
        <w:spacing w:line="360" w:lineRule="auto"/>
        <w:ind w:firstLine="720"/>
        <w:jc w:val="both"/>
        <w:rPr>
          <w:rFonts w:ascii="Arial" w:hAnsi="Arial" w:cs="Arial"/>
          <w:u w:val="single"/>
          <w:lang w:val="en-US"/>
        </w:rPr>
      </w:pPr>
      <w:r w:rsidRPr="00875850">
        <w:rPr>
          <w:rFonts w:ascii="Arial" w:hAnsi="Arial" w:cs="Arial"/>
          <w:lang w:val="en-US"/>
        </w:rPr>
        <w:lastRenderedPageBreak/>
        <w:t>9.</w:t>
      </w:r>
      <w:r w:rsidR="00524345" w:rsidRPr="00875850">
        <w:rPr>
          <w:rFonts w:ascii="Arial" w:hAnsi="Arial" w:cs="Arial"/>
          <w:lang w:val="en-US"/>
        </w:rPr>
        <w:t xml:space="preserve"> </w:t>
      </w:r>
      <w:r w:rsidR="00524345" w:rsidRPr="00875850">
        <w:rPr>
          <w:rFonts w:ascii="Arial" w:hAnsi="Arial" w:cs="Arial"/>
          <w:u w:val="single"/>
          <w:lang w:val="en-US"/>
        </w:rPr>
        <w:t xml:space="preserve">General obligations of the </w:t>
      </w:r>
      <w:r w:rsidR="00BE5E66" w:rsidRPr="00875850">
        <w:rPr>
          <w:rFonts w:ascii="Arial" w:hAnsi="Arial" w:cs="Arial"/>
          <w:u w:val="single"/>
          <w:lang w:val="en-US"/>
        </w:rPr>
        <w:t>Recipient</w:t>
      </w:r>
    </w:p>
    <w:p w14:paraId="364F59FB" w14:textId="11B81F1A" w:rsidR="0007287F" w:rsidRPr="00875850" w:rsidRDefault="0007287F" w:rsidP="00875850">
      <w:pPr>
        <w:spacing w:line="360" w:lineRule="auto"/>
        <w:ind w:firstLine="720"/>
        <w:jc w:val="both"/>
        <w:rPr>
          <w:rFonts w:ascii="Arial" w:hAnsi="Arial" w:cs="Arial"/>
          <w:lang w:val="en-US"/>
        </w:rPr>
      </w:pPr>
      <w:r w:rsidRPr="00875850">
        <w:rPr>
          <w:rFonts w:ascii="Arial" w:hAnsi="Arial" w:cs="Arial"/>
          <w:lang w:val="en-US"/>
        </w:rPr>
        <w:t xml:space="preserve">9.1 The Recipient </w:t>
      </w:r>
      <w:r w:rsidR="00154C57" w:rsidRPr="00875850">
        <w:rPr>
          <w:rFonts w:ascii="Arial" w:hAnsi="Arial" w:cs="Arial"/>
          <w:lang w:val="en-US"/>
        </w:rPr>
        <w:t>must: …</w:t>
      </w:r>
    </w:p>
    <w:p w14:paraId="2CB93563" w14:textId="1D3BC85B" w:rsidR="00710E50" w:rsidRPr="00875850" w:rsidRDefault="00710E50" w:rsidP="00875850">
      <w:pPr>
        <w:spacing w:line="360" w:lineRule="auto"/>
        <w:ind w:firstLine="720"/>
        <w:jc w:val="both"/>
        <w:rPr>
          <w:rFonts w:ascii="Arial" w:hAnsi="Arial" w:cs="Arial"/>
          <w:lang w:val="en-US"/>
        </w:rPr>
      </w:pPr>
      <w:r w:rsidRPr="00875850">
        <w:rPr>
          <w:rFonts w:ascii="Arial" w:hAnsi="Arial" w:cs="Arial"/>
          <w:lang w:val="en-US"/>
        </w:rPr>
        <w:t>(</w:t>
      </w:r>
      <w:r w:rsidR="00E40361" w:rsidRPr="00875850">
        <w:rPr>
          <w:rFonts w:ascii="Arial" w:hAnsi="Arial" w:cs="Arial"/>
          <w:lang w:val="en-US"/>
        </w:rPr>
        <w:t>e)</w:t>
      </w:r>
      <w:r w:rsidRPr="00875850">
        <w:rPr>
          <w:rFonts w:ascii="Arial" w:hAnsi="Arial" w:cs="Arial"/>
          <w:lang w:val="en-US"/>
        </w:rPr>
        <w:t xml:space="preserve"> pay back or seek advice from the board of any interest accrued from the account;</w:t>
      </w:r>
    </w:p>
    <w:p w14:paraId="5841EC3B" w14:textId="0656513F" w:rsidR="00710E50" w:rsidRPr="00875850" w:rsidRDefault="0007287F" w:rsidP="00875850">
      <w:pPr>
        <w:spacing w:line="360" w:lineRule="auto"/>
        <w:ind w:left="720"/>
        <w:jc w:val="both"/>
        <w:rPr>
          <w:rFonts w:ascii="Arial" w:hAnsi="Arial" w:cs="Arial"/>
          <w:lang w:val="en-US"/>
        </w:rPr>
      </w:pPr>
      <w:r w:rsidRPr="00875850">
        <w:rPr>
          <w:rFonts w:ascii="Arial" w:hAnsi="Arial" w:cs="Arial"/>
          <w:lang w:val="en-US"/>
        </w:rPr>
        <w:t>(f</w:t>
      </w:r>
      <w:r w:rsidR="00710E50" w:rsidRPr="00875850">
        <w:rPr>
          <w:rFonts w:ascii="Arial" w:hAnsi="Arial" w:cs="Arial"/>
          <w:lang w:val="en-US"/>
        </w:rPr>
        <w:t>) pay back to the board within six (</w:t>
      </w:r>
      <w:r w:rsidRPr="00875850">
        <w:rPr>
          <w:rFonts w:ascii="Arial" w:hAnsi="Arial" w:cs="Arial"/>
          <w:lang w:val="en-US"/>
        </w:rPr>
        <w:t>6) months</w:t>
      </w:r>
      <w:r w:rsidR="00710E50" w:rsidRPr="00875850">
        <w:rPr>
          <w:rFonts w:ascii="Arial" w:hAnsi="Arial" w:cs="Arial"/>
          <w:lang w:val="en-US"/>
        </w:rPr>
        <w:t xml:space="preserve"> of the </w:t>
      </w:r>
      <w:r w:rsidR="00A6163A" w:rsidRPr="00875850">
        <w:rPr>
          <w:rFonts w:ascii="Arial" w:hAnsi="Arial" w:cs="Arial"/>
          <w:lang w:val="en-US"/>
        </w:rPr>
        <w:t>Recipient’s</w:t>
      </w:r>
      <w:r w:rsidR="00710E50" w:rsidRPr="00875850">
        <w:rPr>
          <w:rFonts w:ascii="Arial" w:hAnsi="Arial" w:cs="Arial"/>
          <w:lang w:val="en-US"/>
        </w:rPr>
        <w:t xml:space="preserve"> financial year any portion of the grant no longer required; and</w:t>
      </w:r>
      <w:r w:rsidR="00A6163A" w:rsidRPr="00875850">
        <w:rPr>
          <w:rFonts w:ascii="Arial" w:hAnsi="Arial" w:cs="Arial"/>
          <w:lang w:val="en-US"/>
        </w:rPr>
        <w:t>…</w:t>
      </w:r>
    </w:p>
    <w:p w14:paraId="369B3722" w14:textId="1080E9B4" w:rsidR="00A6163A" w:rsidRPr="00875850" w:rsidRDefault="00710E50" w:rsidP="00875850">
      <w:pPr>
        <w:spacing w:line="360" w:lineRule="auto"/>
        <w:ind w:firstLine="720"/>
        <w:jc w:val="both"/>
        <w:rPr>
          <w:rFonts w:ascii="Arial" w:hAnsi="Arial" w:cs="Arial"/>
          <w:lang w:val="en-US"/>
        </w:rPr>
      </w:pPr>
      <w:r w:rsidRPr="00875850">
        <w:rPr>
          <w:rFonts w:ascii="Arial" w:hAnsi="Arial" w:cs="Arial"/>
          <w:lang w:val="en-US"/>
        </w:rPr>
        <w:t>9.2</w:t>
      </w:r>
      <w:r w:rsidR="00A6163A" w:rsidRPr="00875850">
        <w:rPr>
          <w:rFonts w:ascii="Arial" w:hAnsi="Arial" w:cs="Arial"/>
          <w:lang w:val="en-US"/>
        </w:rPr>
        <w:t xml:space="preserve"> The Recipient shall </w:t>
      </w:r>
      <w:r w:rsidR="00154C57" w:rsidRPr="00875850">
        <w:rPr>
          <w:rFonts w:ascii="Arial" w:hAnsi="Arial" w:cs="Arial"/>
          <w:lang w:val="en-US"/>
        </w:rPr>
        <w:t>not: …</w:t>
      </w:r>
    </w:p>
    <w:p w14:paraId="74108865" w14:textId="0DAA7574" w:rsidR="00710E50" w:rsidRPr="00875850" w:rsidRDefault="00710E50" w:rsidP="00875850">
      <w:pPr>
        <w:spacing w:line="360" w:lineRule="auto"/>
        <w:ind w:left="720"/>
        <w:jc w:val="both"/>
        <w:rPr>
          <w:rFonts w:ascii="Arial" w:hAnsi="Arial" w:cs="Arial"/>
          <w:lang w:val="en-US"/>
        </w:rPr>
      </w:pPr>
      <w:r w:rsidRPr="00875850">
        <w:rPr>
          <w:rFonts w:ascii="Arial" w:hAnsi="Arial" w:cs="Arial"/>
          <w:lang w:val="en-US"/>
        </w:rPr>
        <w:t xml:space="preserve">(f) allow any other organization to carry out its obligations in terms of the project and/or allow any part of the grant be paid to such an </w:t>
      </w:r>
      <w:r w:rsidR="00524345" w:rsidRPr="00875850">
        <w:rPr>
          <w:rFonts w:ascii="Arial" w:hAnsi="Arial" w:cs="Arial"/>
          <w:lang w:val="en-US"/>
        </w:rPr>
        <w:t>organization.</w:t>
      </w:r>
      <w:r w:rsidRPr="00875850">
        <w:rPr>
          <w:rFonts w:ascii="Arial" w:hAnsi="Arial" w:cs="Arial"/>
          <w:lang w:val="en-US"/>
        </w:rPr>
        <w:t>”</w:t>
      </w:r>
      <w:r w:rsidR="00536B1B" w:rsidRPr="00875850">
        <w:rPr>
          <w:rStyle w:val="FootnoteReference"/>
          <w:rFonts w:ascii="Arial" w:hAnsi="Arial" w:cs="Arial"/>
          <w:lang w:val="en-US"/>
        </w:rPr>
        <w:footnoteReference w:id="3"/>
      </w:r>
    </w:p>
    <w:p w14:paraId="2FEE9CF4" w14:textId="77777777" w:rsidR="001124AC" w:rsidRPr="00875850" w:rsidRDefault="001124AC" w:rsidP="00875850">
      <w:pPr>
        <w:spacing w:line="360" w:lineRule="auto"/>
        <w:jc w:val="both"/>
        <w:rPr>
          <w:rFonts w:ascii="Arial" w:hAnsi="Arial" w:cs="Arial"/>
          <w:lang w:val="en-US"/>
        </w:rPr>
      </w:pPr>
    </w:p>
    <w:p w14:paraId="7FDAAF4B" w14:textId="359E846F" w:rsidR="001124AC" w:rsidRPr="00875850" w:rsidRDefault="00875850" w:rsidP="00875850">
      <w:pPr>
        <w:spacing w:line="360" w:lineRule="auto"/>
        <w:jc w:val="both"/>
        <w:rPr>
          <w:rFonts w:ascii="Arial" w:hAnsi="Arial" w:cs="Arial"/>
          <w:sz w:val="24"/>
          <w:szCs w:val="24"/>
          <w:lang w:val="en-US"/>
        </w:rPr>
      </w:pPr>
      <w:r w:rsidRPr="002238C0">
        <w:rPr>
          <w:rFonts w:ascii="Arial" w:hAnsi="Arial" w:cs="Arial"/>
          <w:sz w:val="24"/>
          <w:szCs w:val="24"/>
          <w:lang w:val="en-US"/>
        </w:rPr>
        <w:t>[</w:t>
      </w:r>
      <w:r w:rsidR="00FC6820">
        <w:rPr>
          <w:rFonts w:ascii="Arial" w:hAnsi="Arial" w:cs="Arial"/>
          <w:sz w:val="24"/>
          <w:szCs w:val="24"/>
          <w:lang w:val="en-US"/>
        </w:rPr>
        <w:t>7</w:t>
      </w:r>
      <w:r w:rsidRPr="002238C0">
        <w:rPr>
          <w:rFonts w:ascii="Arial" w:hAnsi="Arial" w:cs="Arial"/>
          <w:sz w:val="24"/>
          <w:szCs w:val="24"/>
          <w:lang w:val="en-US"/>
        </w:rPr>
        <w:t>]</w:t>
      </w:r>
      <w:r>
        <w:rPr>
          <w:rFonts w:ascii="Arial" w:hAnsi="Arial" w:cs="Arial"/>
          <w:lang w:val="en-US"/>
        </w:rPr>
        <w:tab/>
      </w:r>
      <w:r w:rsidR="00BA1DB4" w:rsidRPr="00875850">
        <w:rPr>
          <w:rFonts w:ascii="Arial" w:hAnsi="Arial" w:cs="Arial"/>
          <w:sz w:val="24"/>
          <w:szCs w:val="24"/>
          <w:lang w:val="en-US"/>
        </w:rPr>
        <w:t>On 28 October 2014, t</w:t>
      </w:r>
      <w:r w:rsidR="001124AC" w:rsidRPr="00875850">
        <w:rPr>
          <w:rFonts w:ascii="Arial" w:hAnsi="Arial" w:cs="Arial"/>
          <w:sz w:val="24"/>
          <w:szCs w:val="24"/>
          <w:lang w:val="en-US"/>
        </w:rPr>
        <w:t>he first tranche</w:t>
      </w:r>
      <w:r w:rsidR="008715B3" w:rsidRPr="00875850">
        <w:rPr>
          <w:rFonts w:ascii="Arial" w:hAnsi="Arial" w:cs="Arial"/>
          <w:sz w:val="24"/>
          <w:szCs w:val="24"/>
          <w:lang w:val="en-US"/>
        </w:rPr>
        <w:t xml:space="preserve"> of R4 650 000.00</w:t>
      </w:r>
      <w:r w:rsidR="001124AC" w:rsidRPr="00875850">
        <w:rPr>
          <w:rFonts w:ascii="Arial" w:hAnsi="Arial" w:cs="Arial"/>
          <w:sz w:val="24"/>
          <w:szCs w:val="24"/>
          <w:lang w:val="en-US"/>
        </w:rPr>
        <w:t xml:space="preserve"> was paid </w:t>
      </w:r>
      <w:r w:rsidR="00553D8B" w:rsidRPr="00875850">
        <w:rPr>
          <w:rFonts w:ascii="Arial" w:hAnsi="Arial" w:cs="Arial"/>
          <w:sz w:val="24"/>
          <w:szCs w:val="24"/>
          <w:lang w:val="en-US"/>
        </w:rPr>
        <w:t>to SAADA</w:t>
      </w:r>
      <w:r w:rsidR="008715B3" w:rsidRPr="00875850">
        <w:rPr>
          <w:rFonts w:ascii="Arial" w:hAnsi="Arial" w:cs="Arial"/>
          <w:sz w:val="24"/>
          <w:szCs w:val="24"/>
          <w:lang w:val="en-US"/>
        </w:rPr>
        <w:t xml:space="preserve"> and the project </w:t>
      </w:r>
      <w:r w:rsidR="00AB2E8C" w:rsidRPr="00875850">
        <w:rPr>
          <w:rFonts w:ascii="Arial" w:hAnsi="Arial" w:cs="Arial"/>
          <w:sz w:val="24"/>
          <w:szCs w:val="24"/>
          <w:lang w:val="en-US"/>
        </w:rPr>
        <w:t>commenced</w:t>
      </w:r>
      <w:r w:rsidR="008715B3" w:rsidRPr="00875850">
        <w:rPr>
          <w:rFonts w:ascii="Arial" w:hAnsi="Arial" w:cs="Arial"/>
          <w:sz w:val="24"/>
          <w:szCs w:val="24"/>
          <w:lang w:val="en-US"/>
        </w:rPr>
        <w:t xml:space="preserve">. </w:t>
      </w:r>
      <w:r w:rsidR="00BA1DB4" w:rsidRPr="00875850">
        <w:rPr>
          <w:rFonts w:ascii="Arial" w:hAnsi="Arial" w:cs="Arial"/>
          <w:sz w:val="24"/>
          <w:szCs w:val="24"/>
          <w:lang w:val="en-US"/>
        </w:rPr>
        <w:t>A year later</w:t>
      </w:r>
      <w:r w:rsidR="001F6FCB" w:rsidRPr="00875850">
        <w:rPr>
          <w:rFonts w:ascii="Arial" w:hAnsi="Arial" w:cs="Arial"/>
          <w:sz w:val="24"/>
          <w:szCs w:val="24"/>
          <w:lang w:val="en-US"/>
        </w:rPr>
        <w:t>,</w:t>
      </w:r>
      <w:r w:rsidR="00BA1DB4" w:rsidRPr="00875850">
        <w:rPr>
          <w:rFonts w:ascii="Arial" w:hAnsi="Arial" w:cs="Arial"/>
          <w:sz w:val="24"/>
          <w:szCs w:val="24"/>
          <w:lang w:val="en-US"/>
        </w:rPr>
        <w:t xml:space="preserve"> o</w:t>
      </w:r>
      <w:r w:rsidR="00553D8B" w:rsidRPr="00875850">
        <w:rPr>
          <w:rFonts w:ascii="Arial" w:hAnsi="Arial" w:cs="Arial"/>
          <w:sz w:val="24"/>
          <w:szCs w:val="24"/>
          <w:lang w:val="en-US"/>
        </w:rPr>
        <w:t xml:space="preserve">n 13 November 2015, </w:t>
      </w:r>
      <w:r w:rsidR="00AB2E8C" w:rsidRPr="00875850">
        <w:rPr>
          <w:rFonts w:ascii="Arial" w:hAnsi="Arial" w:cs="Arial"/>
          <w:sz w:val="24"/>
          <w:szCs w:val="24"/>
          <w:lang w:val="en-US"/>
        </w:rPr>
        <w:t>SAADA received the second</w:t>
      </w:r>
      <w:r w:rsidR="008715B3" w:rsidRPr="00875850">
        <w:rPr>
          <w:rFonts w:ascii="Arial" w:hAnsi="Arial" w:cs="Arial"/>
          <w:sz w:val="24"/>
          <w:szCs w:val="24"/>
          <w:lang w:val="en-US"/>
        </w:rPr>
        <w:t xml:space="preserve"> tranche in the sum of R4 650 000.00</w:t>
      </w:r>
      <w:r w:rsidR="008E1F78" w:rsidRPr="00875850">
        <w:rPr>
          <w:rFonts w:ascii="Arial" w:hAnsi="Arial" w:cs="Arial"/>
          <w:sz w:val="24"/>
          <w:szCs w:val="24"/>
          <w:lang w:val="en-US"/>
        </w:rPr>
        <w:t>. On 29 April 2016</w:t>
      </w:r>
      <w:r w:rsidR="00AB2E8C" w:rsidRPr="00875850">
        <w:rPr>
          <w:rFonts w:ascii="Arial" w:hAnsi="Arial" w:cs="Arial"/>
          <w:sz w:val="24"/>
          <w:szCs w:val="24"/>
          <w:lang w:val="en-US"/>
        </w:rPr>
        <w:t>,</w:t>
      </w:r>
      <w:r w:rsidR="008E1F78" w:rsidRPr="00875850">
        <w:rPr>
          <w:rFonts w:ascii="Arial" w:hAnsi="Arial" w:cs="Arial"/>
          <w:sz w:val="24"/>
          <w:szCs w:val="24"/>
          <w:lang w:val="en-US"/>
        </w:rPr>
        <w:t xml:space="preserve"> SAADA produced the final report</w:t>
      </w:r>
      <w:r w:rsidR="003A0146" w:rsidRPr="00875850">
        <w:rPr>
          <w:rFonts w:ascii="Arial" w:hAnsi="Arial" w:cs="Arial"/>
          <w:sz w:val="24"/>
          <w:szCs w:val="24"/>
          <w:lang w:val="en-US"/>
        </w:rPr>
        <w:t>.</w:t>
      </w:r>
    </w:p>
    <w:p w14:paraId="1A074C9A" w14:textId="77777777" w:rsidR="003D2346" w:rsidRPr="00933C28" w:rsidRDefault="003D2346" w:rsidP="003D2346">
      <w:pPr>
        <w:pStyle w:val="ListParagraph"/>
        <w:ind w:left="0"/>
        <w:jc w:val="both"/>
        <w:rPr>
          <w:rFonts w:ascii="Arial" w:hAnsi="Arial" w:cs="Arial"/>
          <w:sz w:val="24"/>
          <w:szCs w:val="24"/>
        </w:rPr>
      </w:pPr>
    </w:p>
    <w:p w14:paraId="519628B4" w14:textId="66B35E12" w:rsidR="003D2346" w:rsidRPr="00933C28" w:rsidRDefault="00930D92" w:rsidP="00875850">
      <w:pPr>
        <w:pStyle w:val="ListParagraph"/>
        <w:ind w:left="0" w:firstLine="720"/>
        <w:jc w:val="both"/>
        <w:rPr>
          <w:rFonts w:ascii="Arial" w:hAnsi="Arial" w:cs="Arial"/>
          <w:i/>
          <w:iCs/>
          <w:sz w:val="24"/>
          <w:szCs w:val="24"/>
        </w:rPr>
      </w:pPr>
      <w:r w:rsidRPr="00933C28">
        <w:rPr>
          <w:rFonts w:ascii="Arial" w:hAnsi="Arial" w:cs="Arial"/>
          <w:i/>
          <w:iCs/>
          <w:sz w:val="24"/>
          <w:szCs w:val="24"/>
        </w:rPr>
        <w:t>Presidential Proclamation</w:t>
      </w:r>
    </w:p>
    <w:p w14:paraId="144392A6" w14:textId="7020E3B0" w:rsidR="002238C0" w:rsidRDefault="00875850" w:rsidP="002238C0">
      <w:pPr>
        <w:spacing w:after="0" w:line="360" w:lineRule="auto"/>
        <w:jc w:val="both"/>
        <w:rPr>
          <w:rFonts w:ascii="Arial" w:hAnsi="Arial" w:cs="Arial"/>
          <w:sz w:val="24"/>
          <w:szCs w:val="24"/>
          <w:lang w:val="en-US"/>
        </w:rPr>
      </w:pPr>
      <w:r>
        <w:rPr>
          <w:rFonts w:ascii="Arial" w:hAnsi="Arial" w:cs="Arial"/>
          <w:sz w:val="24"/>
          <w:szCs w:val="24"/>
        </w:rPr>
        <w:t>[</w:t>
      </w:r>
      <w:r w:rsidR="00FC6820">
        <w:rPr>
          <w:rFonts w:ascii="Arial" w:hAnsi="Arial" w:cs="Arial"/>
          <w:sz w:val="24"/>
          <w:szCs w:val="24"/>
        </w:rPr>
        <w:t>8</w:t>
      </w:r>
      <w:r>
        <w:rPr>
          <w:rFonts w:ascii="Arial" w:hAnsi="Arial" w:cs="Arial"/>
          <w:sz w:val="24"/>
          <w:szCs w:val="24"/>
        </w:rPr>
        <w:t>]</w:t>
      </w:r>
      <w:r>
        <w:rPr>
          <w:rFonts w:ascii="Arial" w:hAnsi="Arial" w:cs="Arial"/>
          <w:sz w:val="24"/>
          <w:szCs w:val="24"/>
        </w:rPr>
        <w:tab/>
      </w:r>
      <w:r w:rsidR="00F4437C" w:rsidRPr="00875850">
        <w:rPr>
          <w:rFonts w:ascii="Arial" w:hAnsi="Arial" w:cs="Arial"/>
          <w:sz w:val="24"/>
          <w:szCs w:val="24"/>
        </w:rPr>
        <w:t xml:space="preserve">Following </w:t>
      </w:r>
      <w:r w:rsidR="00861C5F" w:rsidRPr="00875850">
        <w:rPr>
          <w:rFonts w:ascii="Arial" w:hAnsi="Arial" w:cs="Arial"/>
          <w:sz w:val="24"/>
          <w:szCs w:val="24"/>
        </w:rPr>
        <w:t>allegations</w:t>
      </w:r>
      <w:r w:rsidR="00861C5F" w:rsidRPr="00875850">
        <w:rPr>
          <w:rFonts w:ascii="Arial" w:hAnsi="Arial" w:cs="Arial"/>
          <w:sz w:val="24"/>
          <w:szCs w:val="24"/>
          <w:lang w:val="en-US"/>
        </w:rPr>
        <w:t xml:space="preserve"> of serious maladministration and corruption at the </w:t>
      </w:r>
      <w:r w:rsidR="00837E65" w:rsidRPr="00875850">
        <w:rPr>
          <w:rFonts w:ascii="Arial" w:hAnsi="Arial" w:cs="Arial"/>
          <w:sz w:val="24"/>
          <w:szCs w:val="24"/>
          <w:lang w:val="en-US"/>
        </w:rPr>
        <w:t>N</w:t>
      </w:r>
      <w:r w:rsidR="00861C5F" w:rsidRPr="00875850">
        <w:rPr>
          <w:rFonts w:ascii="Arial" w:hAnsi="Arial" w:cs="Arial"/>
          <w:sz w:val="24"/>
          <w:szCs w:val="24"/>
          <w:lang w:val="en-US"/>
        </w:rPr>
        <w:t xml:space="preserve">ational </w:t>
      </w:r>
      <w:r w:rsidR="00837E65" w:rsidRPr="00875850">
        <w:rPr>
          <w:rFonts w:ascii="Arial" w:hAnsi="Arial" w:cs="Arial"/>
          <w:sz w:val="24"/>
          <w:szCs w:val="24"/>
          <w:lang w:val="en-US"/>
        </w:rPr>
        <w:t>L</w:t>
      </w:r>
      <w:r w:rsidR="00861C5F" w:rsidRPr="00875850">
        <w:rPr>
          <w:rFonts w:ascii="Arial" w:hAnsi="Arial" w:cs="Arial"/>
          <w:sz w:val="24"/>
          <w:szCs w:val="24"/>
          <w:lang w:val="en-US"/>
        </w:rPr>
        <w:t xml:space="preserve">otteries Commission (NLC), the </w:t>
      </w:r>
      <w:r w:rsidR="00837E65" w:rsidRPr="00875850">
        <w:rPr>
          <w:rFonts w:ascii="Arial" w:hAnsi="Arial" w:cs="Arial"/>
          <w:sz w:val="24"/>
          <w:szCs w:val="24"/>
          <w:lang w:val="en-US"/>
        </w:rPr>
        <w:t>P</w:t>
      </w:r>
      <w:r w:rsidR="00861C5F" w:rsidRPr="00875850">
        <w:rPr>
          <w:rFonts w:ascii="Arial" w:hAnsi="Arial" w:cs="Arial"/>
          <w:sz w:val="24"/>
          <w:szCs w:val="24"/>
          <w:lang w:val="en-US"/>
        </w:rPr>
        <w:t>resident</w:t>
      </w:r>
      <w:r w:rsidR="00F4437C" w:rsidRPr="00875850">
        <w:rPr>
          <w:rFonts w:ascii="Arial" w:hAnsi="Arial" w:cs="Arial"/>
          <w:sz w:val="24"/>
          <w:szCs w:val="24"/>
          <w:lang w:val="en-US"/>
        </w:rPr>
        <w:t xml:space="preserve"> of the Republic</w:t>
      </w:r>
      <w:r w:rsidR="002238C0">
        <w:rPr>
          <w:rFonts w:ascii="Arial" w:hAnsi="Arial" w:cs="Arial"/>
          <w:sz w:val="24"/>
          <w:szCs w:val="24"/>
          <w:lang w:val="en-US"/>
        </w:rPr>
        <w:t>:</w:t>
      </w:r>
    </w:p>
    <w:p w14:paraId="50E6D1B3" w14:textId="0E68C1B5" w:rsidR="004E6878" w:rsidRPr="002238C0" w:rsidRDefault="002238C0" w:rsidP="002238C0">
      <w:pPr>
        <w:spacing w:after="0" w:line="360" w:lineRule="auto"/>
        <w:ind w:left="720" w:hanging="11"/>
        <w:jc w:val="both"/>
        <w:rPr>
          <w:rFonts w:ascii="Arial" w:hAnsi="Arial" w:cs="Arial"/>
        </w:rPr>
      </w:pPr>
      <w:r>
        <w:rPr>
          <w:rFonts w:ascii="Arial" w:hAnsi="Arial" w:cs="Arial"/>
          <w:sz w:val="24"/>
          <w:szCs w:val="24"/>
          <w:lang w:val="en-US"/>
        </w:rPr>
        <w:t>“</w:t>
      </w:r>
      <w:r w:rsidR="008F494C">
        <w:rPr>
          <w:rFonts w:ascii="Arial" w:hAnsi="Arial" w:cs="Arial"/>
          <w:lang w:val="en-US"/>
        </w:rPr>
        <w:t>[I]</w:t>
      </w:r>
      <w:r w:rsidR="00861C5F" w:rsidRPr="002238C0">
        <w:rPr>
          <w:rFonts w:ascii="Arial" w:hAnsi="Arial" w:cs="Arial"/>
          <w:lang w:val="en-US"/>
        </w:rPr>
        <w:t xml:space="preserve">ssued </w:t>
      </w:r>
      <w:r w:rsidR="00837E65" w:rsidRPr="002238C0">
        <w:rPr>
          <w:rFonts w:ascii="Arial" w:hAnsi="Arial" w:cs="Arial"/>
          <w:lang w:val="en-US"/>
        </w:rPr>
        <w:t>a</w:t>
      </w:r>
      <w:r w:rsidR="00861C5F" w:rsidRPr="002238C0">
        <w:rPr>
          <w:rFonts w:ascii="Arial" w:hAnsi="Arial" w:cs="Arial"/>
          <w:lang w:val="en-US"/>
        </w:rPr>
        <w:t xml:space="preserve"> proclamation to direct the </w:t>
      </w:r>
      <w:r w:rsidR="00837E65" w:rsidRPr="002238C0">
        <w:rPr>
          <w:rFonts w:ascii="Arial" w:hAnsi="Arial" w:cs="Arial"/>
          <w:lang w:val="en-US"/>
        </w:rPr>
        <w:t>S</w:t>
      </w:r>
      <w:r w:rsidR="00861C5F" w:rsidRPr="002238C0">
        <w:rPr>
          <w:rFonts w:ascii="Arial" w:hAnsi="Arial" w:cs="Arial"/>
          <w:lang w:val="en-US"/>
        </w:rPr>
        <w:t xml:space="preserve">pecial </w:t>
      </w:r>
      <w:r w:rsidR="00837E65" w:rsidRPr="002238C0">
        <w:rPr>
          <w:rFonts w:ascii="Arial" w:hAnsi="Arial" w:cs="Arial"/>
          <w:lang w:val="en-US"/>
        </w:rPr>
        <w:t>I</w:t>
      </w:r>
      <w:r w:rsidR="00861C5F" w:rsidRPr="002238C0">
        <w:rPr>
          <w:rFonts w:ascii="Arial" w:hAnsi="Arial" w:cs="Arial"/>
          <w:lang w:val="en-US"/>
        </w:rPr>
        <w:t xml:space="preserve">nvestigation </w:t>
      </w:r>
      <w:r w:rsidR="00837E65" w:rsidRPr="002238C0">
        <w:rPr>
          <w:rFonts w:ascii="Arial" w:hAnsi="Arial" w:cs="Arial"/>
          <w:lang w:val="en-US"/>
        </w:rPr>
        <w:t>U</w:t>
      </w:r>
      <w:r w:rsidR="00861C5F" w:rsidRPr="002238C0">
        <w:rPr>
          <w:rFonts w:ascii="Arial" w:hAnsi="Arial" w:cs="Arial"/>
          <w:lang w:val="en-US"/>
        </w:rPr>
        <w:t>nit (SI</w:t>
      </w:r>
      <w:r w:rsidR="00837E65" w:rsidRPr="002238C0">
        <w:rPr>
          <w:rFonts w:ascii="Arial" w:hAnsi="Arial" w:cs="Arial"/>
          <w:lang w:val="en-US"/>
        </w:rPr>
        <w:t>U</w:t>
      </w:r>
      <w:r w:rsidR="00861C5F" w:rsidRPr="002238C0">
        <w:rPr>
          <w:rFonts w:ascii="Arial" w:hAnsi="Arial" w:cs="Arial"/>
          <w:lang w:val="en-US"/>
        </w:rPr>
        <w:t>) to investigate certain specified matters listed in the proclamation from the period 2014.</w:t>
      </w:r>
      <w:r w:rsidRPr="002238C0">
        <w:rPr>
          <w:rFonts w:ascii="Arial" w:hAnsi="Arial" w:cs="Arial"/>
          <w:lang w:val="en-US"/>
        </w:rPr>
        <w:t xml:space="preserve"> </w:t>
      </w:r>
      <w:r w:rsidR="004E6878" w:rsidRPr="002238C0">
        <w:rPr>
          <w:rFonts w:ascii="Arial" w:hAnsi="Arial" w:cs="Arial"/>
          <w:lang w:val="en-US"/>
        </w:rPr>
        <w:t>During the period sanctioned by the proclamation, widespread corruption</w:t>
      </w:r>
      <w:r w:rsidR="00837E65" w:rsidRPr="002238C0">
        <w:rPr>
          <w:rFonts w:ascii="Arial" w:hAnsi="Arial" w:cs="Arial"/>
          <w:lang w:val="en-US"/>
        </w:rPr>
        <w:t>,</w:t>
      </w:r>
      <w:r w:rsidR="004E6878" w:rsidRPr="002238C0">
        <w:rPr>
          <w:rFonts w:ascii="Arial" w:hAnsi="Arial" w:cs="Arial"/>
          <w:lang w:val="en-US"/>
        </w:rPr>
        <w:t xml:space="preserve"> fraud</w:t>
      </w:r>
      <w:r w:rsidR="00837E65" w:rsidRPr="002238C0">
        <w:rPr>
          <w:rFonts w:ascii="Arial" w:hAnsi="Arial" w:cs="Arial"/>
          <w:lang w:val="en-US"/>
        </w:rPr>
        <w:t>,</w:t>
      </w:r>
      <w:r w:rsidR="004E6878" w:rsidRPr="002238C0">
        <w:rPr>
          <w:rFonts w:ascii="Arial" w:hAnsi="Arial" w:cs="Arial"/>
          <w:lang w:val="en-US"/>
        </w:rPr>
        <w:t xml:space="preserve"> theft and contravention</w:t>
      </w:r>
      <w:r w:rsidR="00837E65" w:rsidRPr="002238C0">
        <w:rPr>
          <w:rFonts w:ascii="Arial" w:hAnsi="Arial" w:cs="Arial"/>
          <w:lang w:val="en-US"/>
        </w:rPr>
        <w:t>s</w:t>
      </w:r>
      <w:r w:rsidR="004E6878" w:rsidRPr="002238C0">
        <w:rPr>
          <w:rFonts w:ascii="Arial" w:hAnsi="Arial" w:cs="Arial"/>
          <w:lang w:val="en-US"/>
        </w:rPr>
        <w:t xml:space="preserve"> of the </w:t>
      </w:r>
      <w:r w:rsidR="00837E65" w:rsidRPr="002238C0">
        <w:rPr>
          <w:rFonts w:ascii="Arial" w:hAnsi="Arial" w:cs="Arial"/>
          <w:lang w:val="en-US"/>
        </w:rPr>
        <w:t>L</w:t>
      </w:r>
      <w:r w:rsidR="004E6878" w:rsidRPr="002238C0">
        <w:rPr>
          <w:rFonts w:ascii="Arial" w:hAnsi="Arial" w:cs="Arial"/>
          <w:lang w:val="en-US"/>
        </w:rPr>
        <w:t xml:space="preserve">otteries </w:t>
      </w:r>
      <w:r w:rsidR="007355E5" w:rsidRPr="002238C0">
        <w:rPr>
          <w:rFonts w:ascii="Arial" w:hAnsi="Arial" w:cs="Arial"/>
          <w:lang w:val="en-US"/>
        </w:rPr>
        <w:t>A</w:t>
      </w:r>
      <w:r w:rsidR="004E6878" w:rsidRPr="002238C0">
        <w:rPr>
          <w:rFonts w:ascii="Arial" w:hAnsi="Arial" w:cs="Arial"/>
          <w:lang w:val="en-US"/>
        </w:rPr>
        <w:t>ct were discovered by the SIU among</w:t>
      </w:r>
      <w:r w:rsidR="007355E5" w:rsidRPr="002238C0">
        <w:rPr>
          <w:rFonts w:ascii="Arial" w:hAnsi="Arial" w:cs="Arial"/>
          <w:lang w:val="en-US"/>
        </w:rPr>
        <w:t>st</w:t>
      </w:r>
      <w:r w:rsidR="004E6878" w:rsidRPr="002238C0">
        <w:rPr>
          <w:rFonts w:ascii="Arial" w:hAnsi="Arial" w:cs="Arial"/>
          <w:lang w:val="en-US"/>
        </w:rPr>
        <w:t xml:space="preserve"> officials of the NLC and certain </w:t>
      </w:r>
      <w:r w:rsidR="007355E5" w:rsidRPr="002238C0">
        <w:rPr>
          <w:rFonts w:ascii="Arial" w:hAnsi="Arial" w:cs="Arial"/>
          <w:lang w:val="en-US"/>
        </w:rPr>
        <w:t>N</w:t>
      </w:r>
      <w:r w:rsidR="004E6878" w:rsidRPr="002238C0">
        <w:rPr>
          <w:rFonts w:ascii="Arial" w:hAnsi="Arial" w:cs="Arial"/>
          <w:lang w:val="en-US"/>
        </w:rPr>
        <w:t>on</w:t>
      </w:r>
      <w:r w:rsidR="007355E5" w:rsidRPr="002238C0">
        <w:rPr>
          <w:rFonts w:ascii="Arial" w:hAnsi="Arial" w:cs="Arial"/>
          <w:lang w:val="en-US"/>
        </w:rPr>
        <w:t>-P</w:t>
      </w:r>
      <w:r w:rsidR="004E6878" w:rsidRPr="002238C0">
        <w:rPr>
          <w:rFonts w:ascii="Arial" w:hAnsi="Arial" w:cs="Arial"/>
          <w:lang w:val="en-US"/>
        </w:rPr>
        <w:t xml:space="preserve">rofit </w:t>
      </w:r>
      <w:r w:rsidR="007355E5" w:rsidRPr="002238C0">
        <w:rPr>
          <w:rFonts w:ascii="Arial" w:hAnsi="Arial" w:cs="Arial"/>
          <w:lang w:val="en-US"/>
        </w:rPr>
        <w:t>O</w:t>
      </w:r>
      <w:r w:rsidR="004E6878" w:rsidRPr="002238C0">
        <w:rPr>
          <w:rFonts w:ascii="Arial" w:hAnsi="Arial" w:cs="Arial"/>
          <w:lang w:val="en-US"/>
        </w:rPr>
        <w:t>rganizations (</w:t>
      </w:r>
      <w:r w:rsidR="007355E5" w:rsidRPr="002238C0">
        <w:rPr>
          <w:rFonts w:ascii="Arial" w:hAnsi="Arial" w:cs="Arial"/>
          <w:lang w:val="en-US"/>
        </w:rPr>
        <w:t>N</w:t>
      </w:r>
      <w:r w:rsidR="004E6878" w:rsidRPr="002238C0">
        <w:rPr>
          <w:rFonts w:ascii="Arial" w:hAnsi="Arial" w:cs="Arial"/>
          <w:lang w:val="en-US"/>
        </w:rPr>
        <w:t>PO</w:t>
      </w:r>
      <w:r w:rsidR="007355E5" w:rsidRPr="002238C0">
        <w:rPr>
          <w:rFonts w:ascii="Arial" w:hAnsi="Arial" w:cs="Arial"/>
          <w:lang w:val="en-US"/>
        </w:rPr>
        <w:t>’s</w:t>
      </w:r>
      <w:r w:rsidR="004E6878" w:rsidRPr="002238C0">
        <w:rPr>
          <w:rFonts w:ascii="Arial" w:hAnsi="Arial" w:cs="Arial"/>
          <w:lang w:val="en-US"/>
        </w:rPr>
        <w:t>) who applied for NLC grants and who worked in concert with each other.</w:t>
      </w:r>
    </w:p>
    <w:p w14:paraId="277DCA7E" w14:textId="77777777" w:rsidR="003D2346" w:rsidRPr="002238C0" w:rsidRDefault="003D2346" w:rsidP="002238C0">
      <w:pPr>
        <w:pStyle w:val="ListParagraph"/>
        <w:spacing w:line="360" w:lineRule="auto"/>
        <w:rPr>
          <w:rFonts w:ascii="Arial" w:hAnsi="Arial" w:cs="Arial"/>
        </w:rPr>
      </w:pPr>
    </w:p>
    <w:p w14:paraId="018DAD46" w14:textId="518029AF" w:rsidR="00D84FB4" w:rsidRPr="002238C0" w:rsidRDefault="004E6878" w:rsidP="002238C0">
      <w:pPr>
        <w:pStyle w:val="ListParagraph"/>
        <w:spacing w:line="360" w:lineRule="auto"/>
        <w:ind w:left="709"/>
        <w:jc w:val="both"/>
        <w:rPr>
          <w:rFonts w:ascii="Arial" w:hAnsi="Arial" w:cs="Arial"/>
        </w:rPr>
      </w:pPr>
      <w:r w:rsidRPr="002238C0">
        <w:rPr>
          <w:rFonts w:ascii="Arial" w:hAnsi="Arial" w:cs="Arial"/>
          <w:lang w:val="en-US"/>
        </w:rPr>
        <w:t>The grants were paid out by the NLC but not used for its intended purposes. Instead, it was used to buy properties for the benefits of officials of the NLC and members of the NPO's and</w:t>
      </w:r>
      <w:r w:rsidR="00D84FB4" w:rsidRPr="002238C0">
        <w:rPr>
          <w:rFonts w:ascii="Arial" w:hAnsi="Arial" w:cs="Arial"/>
          <w:lang w:val="en-US"/>
        </w:rPr>
        <w:t>/</w:t>
      </w:r>
      <w:r w:rsidRPr="002238C0">
        <w:rPr>
          <w:rFonts w:ascii="Arial" w:hAnsi="Arial" w:cs="Arial"/>
          <w:lang w:val="en-US"/>
        </w:rPr>
        <w:t xml:space="preserve">or their family members </w:t>
      </w:r>
      <w:r w:rsidR="00D84FB4" w:rsidRPr="002238C0">
        <w:rPr>
          <w:rFonts w:ascii="Arial" w:hAnsi="Arial" w:cs="Arial"/>
          <w:lang w:val="en-US"/>
        </w:rPr>
        <w:t>and/</w:t>
      </w:r>
      <w:r w:rsidRPr="002238C0">
        <w:rPr>
          <w:rFonts w:ascii="Arial" w:hAnsi="Arial" w:cs="Arial"/>
          <w:lang w:val="en-US"/>
        </w:rPr>
        <w:t>or f</w:t>
      </w:r>
      <w:r w:rsidR="00D84FB4" w:rsidRPr="002238C0">
        <w:rPr>
          <w:rFonts w:ascii="Arial" w:hAnsi="Arial" w:cs="Arial"/>
          <w:lang w:val="en-US"/>
        </w:rPr>
        <w:t>riends</w:t>
      </w:r>
      <w:r w:rsidR="00A55EA3" w:rsidRPr="002238C0">
        <w:rPr>
          <w:rFonts w:ascii="Arial" w:hAnsi="Arial" w:cs="Arial"/>
          <w:lang w:val="en-US"/>
        </w:rPr>
        <w:t>.</w:t>
      </w:r>
    </w:p>
    <w:p w14:paraId="66765C25" w14:textId="77777777" w:rsidR="003D2346" w:rsidRPr="002238C0" w:rsidRDefault="003D2346" w:rsidP="002238C0">
      <w:pPr>
        <w:pStyle w:val="ListParagraph"/>
        <w:spacing w:line="360" w:lineRule="auto"/>
        <w:rPr>
          <w:rFonts w:ascii="Arial" w:hAnsi="Arial" w:cs="Arial"/>
        </w:rPr>
      </w:pPr>
    </w:p>
    <w:p w14:paraId="1701F7BB" w14:textId="35543DA0" w:rsidR="00E60068" w:rsidRPr="002238C0" w:rsidRDefault="00D84FB4" w:rsidP="002238C0">
      <w:pPr>
        <w:pStyle w:val="ListParagraph"/>
        <w:spacing w:line="360" w:lineRule="auto"/>
        <w:ind w:left="709"/>
        <w:jc w:val="both"/>
        <w:rPr>
          <w:rFonts w:ascii="Arial" w:hAnsi="Arial" w:cs="Arial"/>
        </w:rPr>
      </w:pPr>
      <w:r w:rsidRPr="002238C0">
        <w:rPr>
          <w:rFonts w:ascii="Arial" w:hAnsi="Arial" w:cs="Arial"/>
          <w:lang w:val="en-US"/>
        </w:rPr>
        <w:t>The SIU’s preliminary investigation</w:t>
      </w:r>
      <w:r w:rsidR="00E60068" w:rsidRPr="002238C0">
        <w:rPr>
          <w:rFonts w:ascii="Arial" w:hAnsi="Arial" w:cs="Arial"/>
          <w:lang w:val="en-US"/>
        </w:rPr>
        <w:t>s revealed that the NLC has lost almost R344 million through their officials and different NPO’s.</w:t>
      </w:r>
    </w:p>
    <w:p w14:paraId="6172F4DE" w14:textId="77777777" w:rsidR="003D2346" w:rsidRPr="002238C0" w:rsidRDefault="003D2346" w:rsidP="002238C0">
      <w:pPr>
        <w:pStyle w:val="ListParagraph"/>
        <w:spacing w:line="360" w:lineRule="auto"/>
        <w:rPr>
          <w:rFonts w:ascii="Arial" w:hAnsi="Arial" w:cs="Arial"/>
        </w:rPr>
      </w:pPr>
    </w:p>
    <w:p w14:paraId="5A37EDC4" w14:textId="49E1AEC8" w:rsidR="00A55EA3" w:rsidRPr="002238C0" w:rsidRDefault="00A55EA3" w:rsidP="002238C0">
      <w:pPr>
        <w:pStyle w:val="ListParagraph"/>
        <w:spacing w:line="360" w:lineRule="auto"/>
        <w:ind w:left="709"/>
        <w:jc w:val="both"/>
        <w:rPr>
          <w:rFonts w:ascii="Arial" w:hAnsi="Arial" w:cs="Arial"/>
        </w:rPr>
      </w:pPr>
      <w:r w:rsidRPr="002238C0">
        <w:rPr>
          <w:rFonts w:ascii="Arial" w:hAnsi="Arial" w:cs="Arial"/>
          <w:lang w:val="en-US"/>
        </w:rPr>
        <w:lastRenderedPageBreak/>
        <w:t xml:space="preserve">The investigation uncovered a vast and intricate network of entities, including trusts, and </w:t>
      </w:r>
      <w:r w:rsidR="00E60068" w:rsidRPr="002238C0">
        <w:rPr>
          <w:rFonts w:ascii="Arial" w:hAnsi="Arial" w:cs="Arial"/>
          <w:lang w:val="en-US"/>
        </w:rPr>
        <w:t>N</w:t>
      </w:r>
      <w:r w:rsidRPr="002238C0">
        <w:rPr>
          <w:rFonts w:ascii="Arial" w:hAnsi="Arial" w:cs="Arial"/>
          <w:lang w:val="en-US"/>
        </w:rPr>
        <w:t xml:space="preserve">PO's and businesses, which were used as conduits to channel the allocated grants in an attempt to hide the </w:t>
      </w:r>
      <w:r w:rsidR="00104FF8" w:rsidRPr="002238C0">
        <w:rPr>
          <w:rFonts w:ascii="Arial" w:hAnsi="Arial" w:cs="Arial"/>
          <w:lang w:val="en-US"/>
        </w:rPr>
        <w:t xml:space="preserve">provenance </w:t>
      </w:r>
      <w:r w:rsidRPr="002238C0">
        <w:rPr>
          <w:rFonts w:ascii="Arial" w:hAnsi="Arial" w:cs="Arial"/>
          <w:lang w:val="en-US"/>
        </w:rPr>
        <w:t>of the funds. In almost all instances and to obscure ownership, the properties were registered in the names of the entities and not in the name of private individuals</w:t>
      </w:r>
      <w:r w:rsidR="00F47575" w:rsidRPr="002238C0">
        <w:rPr>
          <w:rFonts w:ascii="Arial" w:hAnsi="Arial" w:cs="Arial"/>
          <w:lang w:val="en-US"/>
        </w:rPr>
        <w:t>…”</w:t>
      </w:r>
      <w:r w:rsidR="00F47575" w:rsidRPr="002238C0">
        <w:rPr>
          <w:rStyle w:val="FootnoteReference"/>
          <w:rFonts w:ascii="Arial" w:hAnsi="Arial" w:cs="Arial"/>
          <w:lang w:val="en-US"/>
        </w:rPr>
        <w:footnoteReference w:id="4"/>
      </w:r>
    </w:p>
    <w:p w14:paraId="33298664" w14:textId="77777777" w:rsidR="003D2346" w:rsidRPr="00933C28" w:rsidRDefault="003D2346" w:rsidP="003D2346">
      <w:pPr>
        <w:pStyle w:val="ListParagraph"/>
        <w:rPr>
          <w:rFonts w:ascii="Arial" w:hAnsi="Arial" w:cs="Arial"/>
          <w:sz w:val="24"/>
          <w:szCs w:val="24"/>
        </w:rPr>
      </w:pPr>
    </w:p>
    <w:p w14:paraId="3A143E1F" w14:textId="60BA95EA" w:rsidR="008F494C" w:rsidRDefault="002238C0" w:rsidP="002238C0">
      <w:pPr>
        <w:pStyle w:val="ListParagraph"/>
        <w:ind w:left="0"/>
        <w:jc w:val="both"/>
        <w:rPr>
          <w:rFonts w:ascii="Arial" w:hAnsi="Arial" w:cs="Arial"/>
          <w:sz w:val="24"/>
          <w:szCs w:val="24"/>
          <w:lang w:val="en-US"/>
        </w:rPr>
      </w:pPr>
      <w:r>
        <w:rPr>
          <w:rFonts w:ascii="Arial" w:hAnsi="Arial" w:cs="Arial"/>
          <w:sz w:val="24"/>
          <w:szCs w:val="24"/>
          <w:lang w:val="en-US"/>
        </w:rPr>
        <w:t>[</w:t>
      </w:r>
      <w:r w:rsidR="00FC6820">
        <w:rPr>
          <w:rFonts w:ascii="Arial" w:hAnsi="Arial" w:cs="Arial"/>
          <w:sz w:val="24"/>
          <w:szCs w:val="24"/>
          <w:lang w:val="en-US"/>
        </w:rPr>
        <w:t>9</w:t>
      </w:r>
      <w:r>
        <w:rPr>
          <w:rFonts w:ascii="Arial" w:hAnsi="Arial" w:cs="Arial"/>
          <w:sz w:val="24"/>
          <w:szCs w:val="24"/>
          <w:lang w:val="en-US"/>
        </w:rPr>
        <w:t>]</w:t>
      </w:r>
      <w:r>
        <w:rPr>
          <w:rFonts w:ascii="Arial" w:hAnsi="Arial" w:cs="Arial"/>
          <w:sz w:val="24"/>
          <w:szCs w:val="24"/>
          <w:lang w:val="en-US"/>
        </w:rPr>
        <w:tab/>
      </w:r>
      <w:r w:rsidR="00A55EA3" w:rsidRPr="00933C28">
        <w:rPr>
          <w:rFonts w:ascii="Arial" w:hAnsi="Arial" w:cs="Arial"/>
          <w:sz w:val="24"/>
          <w:szCs w:val="24"/>
          <w:lang w:val="en-US"/>
        </w:rPr>
        <w:t>Pertinently</w:t>
      </w:r>
      <w:r w:rsidR="00104FF8" w:rsidRPr="00933C28">
        <w:rPr>
          <w:rFonts w:ascii="Arial" w:hAnsi="Arial" w:cs="Arial"/>
          <w:sz w:val="24"/>
          <w:szCs w:val="24"/>
          <w:lang w:val="en-US"/>
        </w:rPr>
        <w:t xml:space="preserve"> to </w:t>
      </w:r>
      <w:r w:rsidR="001F6FCB" w:rsidRPr="00933C28">
        <w:rPr>
          <w:rFonts w:ascii="Arial" w:hAnsi="Arial" w:cs="Arial"/>
          <w:sz w:val="24"/>
          <w:szCs w:val="24"/>
          <w:lang w:val="en-US"/>
        </w:rPr>
        <w:t>the matter at hand</w:t>
      </w:r>
      <w:r w:rsidR="008F494C">
        <w:rPr>
          <w:rFonts w:ascii="Arial" w:hAnsi="Arial" w:cs="Arial"/>
          <w:sz w:val="24"/>
          <w:szCs w:val="24"/>
          <w:lang w:val="en-US"/>
        </w:rPr>
        <w:t>:</w:t>
      </w:r>
    </w:p>
    <w:p w14:paraId="33E61A6D" w14:textId="531812E1" w:rsidR="00861C5F" w:rsidRPr="00933C28" w:rsidRDefault="00B828C9" w:rsidP="0024739E">
      <w:pPr>
        <w:pStyle w:val="ListParagraph"/>
        <w:spacing w:line="360" w:lineRule="auto"/>
        <w:ind w:hanging="11"/>
        <w:jc w:val="both"/>
        <w:rPr>
          <w:rFonts w:ascii="Arial" w:hAnsi="Arial" w:cs="Arial"/>
          <w:sz w:val="24"/>
          <w:szCs w:val="24"/>
        </w:rPr>
      </w:pPr>
      <w:r w:rsidRPr="00933C28">
        <w:rPr>
          <w:rFonts w:ascii="Arial" w:hAnsi="Arial" w:cs="Arial"/>
          <w:sz w:val="24"/>
          <w:szCs w:val="24"/>
          <w:lang w:val="en-US"/>
        </w:rPr>
        <w:t>“</w:t>
      </w:r>
      <w:r w:rsidR="008F494C">
        <w:rPr>
          <w:rFonts w:ascii="Arial" w:hAnsi="Arial" w:cs="Arial"/>
          <w:lang w:val="en-US"/>
        </w:rPr>
        <w:t>[A]</w:t>
      </w:r>
      <w:r w:rsidR="00104FF8" w:rsidRPr="008F494C">
        <w:rPr>
          <w:rFonts w:ascii="Arial" w:hAnsi="Arial" w:cs="Arial"/>
          <w:lang w:val="en-US"/>
        </w:rPr>
        <w:t xml:space="preserve">round </w:t>
      </w:r>
      <w:r w:rsidR="00A55EA3" w:rsidRPr="008F494C">
        <w:rPr>
          <w:rFonts w:ascii="Arial" w:hAnsi="Arial" w:cs="Arial"/>
          <w:lang w:val="en-US"/>
        </w:rPr>
        <w:t>January 2016</w:t>
      </w:r>
      <w:r w:rsidR="009440F5" w:rsidRPr="008F494C">
        <w:rPr>
          <w:rFonts w:ascii="Arial" w:hAnsi="Arial" w:cs="Arial"/>
          <w:lang w:val="en-US"/>
        </w:rPr>
        <w:t xml:space="preserve">, </w:t>
      </w:r>
      <w:r w:rsidR="00A55EA3" w:rsidRPr="008F494C">
        <w:rPr>
          <w:rFonts w:ascii="Arial" w:hAnsi="Arial" w:cs="Arial"/>
          <w:lang w:val="en-US"/>
        </w:rPr>
        <w:t xml:space="preserve">999 </w:t>
      </w:r>
      <w:r w:rsidR="009440F5" w:rsidRPr="008F494C">
        <w:rPr>
          <w:rFonts w:ascii="Arial" w:hAnsi="Arial" w:cs="Arial"/>
          <w:lang w:val="en-US"/>
        </w:rPr>
        <w:t>M</w:t>
      </w:r>
      <w:r w:rsidR="00A55EA3" w:rsidRPr="008F494C">
        <w:rPr>
          <w:rFonts w:ascii="Arial" w:hAnsi="Arial" w:cs="Arial"/>
          <w:lang w:val="en-US"/>
        </w:rPr>
        <w:t xml:space="preserve">usic CC, represented by Arthur Mafokate, </w:t>
      </w:r>
      <w:r w:rsidR="009440F5" w:rsidRPr="008F494C">
        <w:rPr>
          <w:rFonts w:ascii="Arial" w:hAnsi="Arial" w:cs="Arial"/>
          <w:lang w:val="en-US"/>
        </w:rPr>
        <w:t xml:space="preserve">purchased a </w:t>
      </w:r>
      <w:r w:rsidR="00A55EA3" w:rsidRPr="008F494C">
        <w:rPr>
          <w:rFonts w:ascii="Arial" w:hAnsi="Arial" w:cs="Arial"/>
          <w:lang w:val="en-US"/>
        </w:rPr>
        <w:t>property described as 85 Ca</w:t>
      </w:r>
      <w:r w:rsidR="009440F5" w:rsidRPr="008F494C">
        <w:rPr>
          <w:rFonts w:ascii="Arial" w:hAnsi="Arial" w:cs="Arial"/>
          <w:lang w:val="en-US"/>
        </w:rPr>
        <w:t>rs</w:t>
      </w:r>
      <w:r w:rsidR="00A55EA3" w:rsidRPr="008F494C">
        <w:rPr>
          <w:rFonts w:ascii="Arial" w:hAnsi="Arial" w:cs="Arial"/>
          <w:lang w:val="en-US"/>
        </w:rPr>
        <w:t>lw</w:t>
      </w:r>
      <w:r w:rsidR="009440F5" w:rsidRPr="008F494C">
        <w:rPr>
          <w:rFonts w:ascii="Arial" w:hAnsi="Arial" w:cs="Arial"/>
          <w:lang w:val="en-US"/>
        </w:rPr>
        <w:t>arld</w:t>
      </w:r>
      <w:r w:rsidR="00A55EA3" w:rsidRPr="008F494C">
        <w:rPr>
          <w:rFonts w:ascii="Arial" w:hAnsi="Arial" w:cs="Arial"/>
          <w:lang w:val="en-US"/>
        </w:rPr>
        <w:t xml:space="preserve"> road </w:t>
      </w:r>
      <w:r w:rsidR="00AC3F74" w:rsidRPr="008F494C">
        <w:rPr>
          <w:rFonts w:ascii="Arial" w:hAnsi="Arial" w:cs="Arial"/>
          <w:lang w:val="en-US"/>
        </w:rPr>
        <w:t xml:space="preserve">Midrand </w:t>
      </w:r>
      <w:r w:rsidR="00A55EA3" w:rsidRPr="008F494C">
        <w:rPr>
          <w:rFonts w:ascii="Arial" w:hAnsi="Arial" w:cs="Arial"/>
          <w:lang w:val="en-US"/>
        </w:rPr>
        <w:t xml:space="preserve">for </w:t>
      </w:r>
      <w:r w:rsidR="00AC3F74" w:rsidRPr="008F494C">
        <w:rPr>
          <w:rFonts w:ascii="Arial" w:hAnsi="Arial" w:cs="Arial"/>
          <w:lang w:val="en-US"/>
        </w:rPr>
        <w:t>R</w:t>
      </w:r>
      <w:r w:rsidR="00A55EA3" w:rsidRPr="008F494C">
        <w:rPr>
          <w:rFonts w:ascii="Arial" w:hAnsi="Arial" w:cs="Arial"/>
          <w:lang w:val="en-US"/>
        </w:rPr>
        <w:t xml:space="preserve">7.5 million. The funds used to purchase the property can be traced back to </w:t>
      </w:r>
      <w:r w:rsidR="001B3816" w:rsidRPr="008F494C">
        <w:rPr>
          <w:rFonts w:ascii="Arial" w:hAnsi="Arial" w:cs="Arial"/>
          <w:lang w:val="en-US"/>
        </w:rPr>
        <w:t>the R</w:t>
      </w:r>
      <w:r w:rsidR="00A55EA3" w:rsidRPr="008F494C">
        <w:rPr>
          <w:rFonts w:ascii="Arial" w:hAnsi="Arial" w:cs="Arial"/>
          <w:lang w:val="en-US"/>
        </w:rPr>
        <w:t xml:space="preserve">9.3 million grant paid out by the </w:t>
      </w:r>
      <w:r w:rsidR="00AC3F74" w:rsidRPr="008F494C">
        <w:rPr>
          <w:rFonts w:ascii="Arial" w:hAnsi="Arial" w:cs="Arial"/>
          <w:lang w:val="en-US"/>
        </w:rPr>
        <w:t xml:space="preserve">NLC </w:t>
      </w:r>
      <w:r w:rsidR="00A55EA3" w:rsidRPr="008F494C">
        <w:rPr>
          <w:rFonts w:ascii="Arial" w:hAnsi="Arial" w:cs="Arial"/>
          <w:lang w:val="en-US"/>
        </w:rPr>
        <w:t xml:space="preserve">to South African </w:t>
      </w:r>
      <w:r w:rsidR="00AC3F74" w:rsidRPr="008F494C">
        <w:rPr>
          <w:rFonts w:ascii="Arial" w:hAnsi="Arial" w:cs="Arial"/>
          <w:lang w:val="en-US"/>
        </w:rPr>
        <w:t>A</w:t>
      </w:r>
      <w:r w:rsidR="00A55EA3" w:rsidRPr="008F494C">
        <w:rPr>
          <w:rFonts w:ascii="Arial" w:hAnsi="Arial" w:cs="Arial"/>
          <w:lang w:val="en-US"/>
        </w:rPr>
        <w:t xml:space="preserve">rt and </w:t>
      </w:r>
      <w:r w:rsidR="00AC3F74" w:rsidRPr="008F494C">
        <w:rPr>
          <w:rFonts w:ascii="Arial" w:hAnsi="Arial" w:cs="Arial"/>
          <w:lang w:val="en-US"/>
        </w:rPr>
        <w:t>D</w:t>
      </w:r>
      <w:r w:rsidR="00A55EA3" w:rsidRPr="008F494C">
        <w:rPr>
          <w:rFonts w:ascii="Arial" w:hAnsi="Arial" w:cs="Arial"/>
          <w:lang w:val="en-US"/>
        </w:rPr>
        <w:t xml:space="preserve">evelopment </w:t>
      </w:r>
      <w:r w:rsidR="00AC3F74" w:rsidRPr="008F494C">
        <w:rPr>
          <w:rFonts w:ascii="Arial" w:hAnsi="Arial" w:cs="Arial"/>
          <w:lang w:val="en-US"/>
        </w:rPr>
        <w:t>A</w:t>
      </w:r>
      <w:r w:rsidR="00A55EA3" w:rsidRPr="008F494C">
        <w:rPr>
          <w:rFonts w:ascii="Arial" w:hAnsi="Arial" w:cs="Arial"/>
          <w:lang w:val="en-US"/>
        </w:rPr>
        <w:t xml:space="preserve">ssociation NPO, represented by </w:t>
      </w:r>
      <w:r w:rsidR="00AC3F74" w:rsidRPr="008F494C">
        <w:rPr>
          <w:rFonts w:ascii="Arial" w:hAnsi="Arial" w:cs="Arial"/>
          <w:lang w:val="en-US"/>
        </w:rPr>
        <w:t>Arthur Mafokate</w:t>
      </w:r>
      <w:r w:rsidR="00CC79FE" w:rsidRPr="008F494C">
        <w:rPr>
          <w:rFonts w:ascii="Arial" w:hAnsi="Arial" w:cs="Arial"/>
          <w:lang w:val="en-US"/>
        </w:rPr>
        <w:t>,</w:t>
      </w:r>
      <w:r w:rsidR="00A55EA3" w:rsidRPr="008F494C">
        <w:rPr>
          <w:rFonts w:ascii="Arial" w:hAnsi="Arial" w:cs="Arial"/>
          <w:lang w:val="en-US"/>
        </w:rPr>
        <w:t xml:space="preserve"> for the purpose of assisting unemployed youth in the poor </w:t>
      </w:r>
      <w:r w:rsidR="009E1165" w:rsidRPr="008F494C">
        <w:rPr>
          <w:rFonts w:ascii="Arial" w:hAnsi="Arial" w:cs="Arial"/>
          <w:lang w:val="en-US"/>
        </w:rPr>
        <w:t>a</w:t>
      </w:r>
      <w:r w:rsidR="00A55EA3" w:rsidRPr="008F494C">
        <w:rPr>
          <w:rFonts w:ascii="Arial" w:hAnsi="Arial" w:cs="Arial"/>
          <w:lang w:val="en-US"/>
        </w:rPr>
        <w:t>nd rural areas of the country</w:t>
      </w:r>
      <w:r w:rsidR="00A55EA3" w:rsidRPr="00933C28">
        <w:rPr>
          <w:rFonts w:ascii="Arial" w:hAnsi="Arial" w:cs="Arial"/>
          <w:sz w:val="24"/>
          <w:szCs w:val="24"/>
          <w:lang w:val="en-US"/>
        </w:rPr>
        <w:t>.</w:t>
      </w:r>
      <w:r w:rsidRPr="00933C28">
        <w:rPr>
          <w:rFonts w:ascii="Arial" w:hAnsi="Arial" w:cs="Arial"/>
          <w:sz w:val="24"/>
          <w:szCs w:val="24"/>
          <w:lang w:val="en-US"/>
        </w:rPr>
        <w:t>”</w:t>
      </w:r>
      <w:r w:rsidRPr="00933C28">
        <w:rPr>
          <w:rStyle w:val="FootnoteReference"/>
          <w:rFonts w:ascii="Arial" w:hAnsi="Arial" w:cs="Arial"/>
          <w:sz w:val="24"/>
          <w:szCs w:val="24"/>
          <w:lang w:val="en-US"/>
        </w:rPr>
        <w:footnoteReference w:id="5"/>
      </w:r>
    </w:p>
    <w:p w14:paraId="472F6B29" w14:textId="77777777" w:rsidR="002637E8" w:rsidRPr="00933C28" w:rsidRDefault="002637E8" w:rsidP="002637E8">
      <w:pPr>
        <w:pStyle w:val="ListParagraph"/>
        <w:rPr>
          <w:rFonts w:ascii="Arial" w:hAnsi="Arial" w:cs="Arial"/>
          <w:sz w:val="24"/>
          <w:szCs w:val="24"/>
        </w:rPr>
      </w:pPr>
    </w:p>
    <w:p w14:paraId="0B7E407C" w14:textId="4EACC950" w:rsidR="002637E8" w:rsidRPr="00933C28" w:rsidRDefault="00D55E01" w:rsidP="004E2D6A">
      <w:pPr>
        <w:jc w:val="both"/>
        <w:rPr>
          <w:rFonts w:ascii="Arial" w:hAnsi="Arial" w:cs="Arial"/>
          <w:i/>
          <w:iCs/>
          <w:sz w:val="24"/>
          <w:szCs w:val="24"/>
          <w:lang w:val="en-US"/>
        </w:rPr>
      </w:pPr>
      <w:r w:rsidRPr="00933C28">
        <w:rPr>
          <w:rFonts w:ascii="Arial" w:hAnsi="Arial" w:cs="Arial"/>
          <w:i/>
          <w:iCs/>
          <w:sz w:val="24"/>
          <w:szCs w:val="24"/>
          <w:lang w:val="en-US"/>
        </w:rPr>
        <w:t>The issues</w:t>
      </w:r>
    </w:p>
    <w:p w14:paraId="54726B41" w14:textId="762D515D" w:rsidR="008F494C" w:rsidRDefault="008F494C" w:rsidP="008F494C">
      <w:pPr>
        <w:spacing w:line="360" w:lineRule="auto"/>
        <w:jc w:val="both"/>
        <w:rPr>
          <w:rFonts w:ascii="Arial" w:hAnsi="Arial" w:cs="Arial"/>
          <w:sz w:val="24"/>
          <w:szCs w:val="24"/>
          <w:lang w:val="en-US"/>
        </w:rPr>
      </w:pPr>
      <w:r>
        <w:rPr>
          <w:rFonts w:ascii="Arial" w:hAnsi="Arial" w:cs="Arial"/>
          <w:sz w:val="24"/>
          <w:szCs w:val="24"/>
          <w:lang w:val="en-US"/>
        </w:rPr>
        <w:t>[1</w:t>
      </w:r>
      <w:r w:rsidR="00FC6820">
        <w:rPr>
          <w:rFonts w:ascii="Arial" w:hAnsi="Arial" w:cs="Arial"/>
          <w:sz w:val="24"/>
          <w:szCs w:val="24"/>
          <w:lang w:val="en-US"/>
        </w:rPr>
        <w:t>0</w:t>
      </w:r>
      <w:r>
        <w:rPr>
          <w:rFonts w:ascii="Arial" w:hAnsi="Arial" w:cs="Arial"/>
          <w:sz w:val="24"/>
          <w:szCs w:val="24"/>
          <w:lang w:val="en-US"/>
        </w:rPr>
        <w:t>]</w:t>
      </w:r>
      <w:r>
        <w:rPr>
          <w:rFonts w:ascii="Arial" w:hAnsi="Arial" w:cs="Arial"/>
          <w:sz w:val="24"/>
          <w:szCs w:val="24"/>
          <w:lang w:val="en-US"/>
        </w:rPr>
        <w:tab/>
      </w:r>
      <w:r w:rsidR="00AC2DE0" w:rsidRPr="008F494C">
        <w:rPr>
          <w:rFonts w:ascii="Arial" w:hAnsi="Arial" w:cs="Arial"/>
          <w:sz w:val="24"/>
          <w:szCs w:val="24"/>
          <w:lang w:val="en-US"/>
        </w:rPr>
        <w:t xml:space="preserve">The applicant submitted </w:t>
      </w:r>
      <w:r w:rsidR="00130A24" w:rsidRPr="008F494C">
        <w:rPr>
          <w:rFonts w:ascii="Arial" w:hAnsi="Arial" w:cs="Arial"/>
          <w:sz w:val="24"/>
          <w:szCs w:val="24"/>
          <w:lang w:val="en-US"/>
        </w:rPr>
        <w:t>that</w:t>
      </w:r>
      <w:r w:rsidR="00707813" w:rsidRPr="008F494C">
        <w:rPr>
          <w:rFonts w:ascii="Arial" w:hAnsi="Arial" w:cs="Arial"/>
          <w:sz w:val="24"/>
          <w:szCs w:val="24"/>
          <w:lang w:val="en-US"/>
        </w:rPr>
        <w:t>:</w:t>
      </w:r>
    </w:p>
    <w:p w14:paraId="38EBC947" w14:textId="18D954AE" w:rsidR="002639C9" w:rsidRPr="008F494C" w:rsidRDefault="00707813" w:rsidP="008F494C">
      <w:pPr>
        <w:spacing w:line="360" w:lineRule="auto"/>
        <w:ind w:left="720" w:firstLine="72"/>
        <w:jc w:val="both"/>
        <w:rPr>
          <w:rFonts w:ascii="Arial" w:hAnsi="Arial" w:cs="Arial"/>
          <w:lang w:val="en-US"/>
        </w:rPr>
      </w:pPr>
      <w:r w:rsidRPr="008F494C">
        <w:rPr>
          <w:rFonts w:ascii="Arial" w:hAnsi="Arial" w:cs="Arial"/>
          <w:lang w:val="en-US"/>
        </w:rPr>
        <w:t>“</w:t>
      </w:r>
      <w:r w:rsidR="008F494C">
        <w:rPr>
          <w:rFonts w:ascii="Arial" w:hAnsi="Arial" w:cs="Arial"/>
          <w:lang w:val="en-US"/>
        </w:rPr>
        <w:t>[T]</w:t>
      </w:r>
      <w:r w:rsidR="00130A24" w:rsidRPr="008F494C">
        <w:rPr>
          <w:rFonts w:ascii="Arial" w:hAnsi="Arial" w:cs="Arial"/>
          <w:lang w:val="en-US"/>
        </w:rPr>
        <w:t xml:space="preserve">he </w:t>
      </w:r>
      <w:r w:rsidR="008F494C" w:rsidRPr="008F494C">
        <w:rPr>
          <w:rFonts w:ascii="Arial" w:hAnsi="Arial" w:cs="Arial"/>
          <w:lang w:val="en-US"/>
        </w:rPr>
        <w:t>grants</w:t>
      </w:r>
      <w:r w:rsidR="00130A24" w:rsidRPr="008F494C">
        <w:rPr>
          <w:rFonts w:ascii="Arial" w:hAnsi="Arial" w:cs="Arial"/>
          <w:lang w:val="en-US"/>
        </w:rPr>
        <w:t xml:space="preserve"> allocated to SA</w:t>
      </w:r>
      <w:r w:rsidRPr="008F494C">
        <w:rPr>
          <w:rFonts w:ascii="Arial" w:hAnsi="Arial" w:cs="Arial"/>
          <w:lang w:val="en-US"/>
        </w:rPr>
        <w:t>A</w:t>
      </w:r>
      <w:r w:rsidR="00130A24" w:rsidRPr="008F494C">
        <w:rPr>
          <w:rFonts w:ascii="Arial" w:hAnsi="Arial" w:cs="Arial"/>
          <w:lang w:val="en-US"/>
        </w:rPr>
        <w:t>DA</w:t>
      </w:r>
      <w:r w:rsidRPr="008F494C">
        <w:rPr>
          <w:rFonts w:ascii="Arial" w:hAnsi="Arial" w:cs="Arial"/>
          <w:lang w:val="en-US"/>
        </w:rPr>
        <w:t>,</w:t>
      </w:r>
      <w:r w:rsidR="00130A24" w:rsidRPr="008F494C">
        <w:rPr>
          <w:rFonts w:ascii="Arial" w:hAnsi="Arial" w:cs="Arial"/>
          <w:lang w:val="en-US"/>
        </w:rPr>
        <w:t xml:space="preserve"> was not used for its intended purpose but instead used to purchase a property for the benefit of </w:t>
      </w:r>
      <w:r w:rsidRPr="008F494C">
        <w:rPr>
          <w:rFonts w:ascii="Arial" w:hAnsi="Arial" w:cs="Arial"/>
          <w:lang w:val="en-US"/>
        </w:rPr>
        <w:t>Mafokate</w:t>
      </w:r>
      <w:r w:rsidR="008E5C13" w:rsidRPr="008F494C">
        <w:rPr>
          <w:rFonts w:ascii="Arial" w:hAnsi="Arial" w:cs="Arial"/>
          <w:lang w:val="en-US"/>
        </w:rPr>
        <w:t>.</w:t>
      </w:r>
      <w:r w:rsidRPr="008F494C">
        <w:rPr>
          <w:rFonts w:ascii="Arial" w:hAnsi="Arial" w:cs="Arial"/>
          <w:lang w:val="en-US"/>
        </w:rPr>
        <w:t>”</w:t>
      </w:r>
      <w:r w:rsidRPr="008F494C">
        <w:rPr>
          <w:rStyle w:val="FootnoteReference"/>
          <w:rFonts w:ascii="Arial" w:hAnsi="Arial" w:cs="Arial"/>
          <w:lang w:val="en-US"/>
        </w:rPr>
        <w:footnoteReference w:id="6"/>
      </w:r>
    </w:p>
    <w:p w14:paraId="4C3677AE" w14:textId="77777777" w:rsidR="002639C9" w:rsidRPr="00933C28" w:rsidRDefault="002639C9" w:rsidP="002639C9">
      <w:pPr>
        <w:jc w:val="both"/>
        <w:rPr>
          <w:rFonts w:ascii="Arial" w:hAnsi="Arial" w:cs="Arial"/>
          <w:sz w:val="24"/>
          <w:szCs w:val="24"/>
          <w:lang w:val="en-US"/>
        </w:rPr>
      </w:pPr>
    </w:p>
    <w:p w14:paraId="07AC657C" w14:textId="1E47C525" w:rsidR="00B21A89" w:rsidRPr="00933C28" w:rsidRDefault="008F494C" w:rsidP="008F494C">
      <w:pPr>
        <w:pStyle w:val="ListParagraph"/>
        <w:spacing w:line="360" w:lineRule="auto"/>
        <w:ind w:left="0"/>
        <w:jc w:val="both"/>
        <w:rPr>
          <w:rFonts w:ascii="Arial" w:hAnsi="Arial" w:cs="Arial"/>
          <w:sz w:val="24"/>
          <w:szCs w:val="24"/>
          <w:lang w:val="en-US"/>
        </w:rPr>
      </w:pPr>
      <w:r>
        <w:rPr>
          <w:rFonts w:ascii="Arial" w:hAnsi="Arial" w:cs="Arial"/>
          <w:sz w:val="24"/>
          <w:szCs w:val="24"/>
          <w:lang w:val="en-US"/>
        </w:rPr>
        <w:t>[1</w:t>
      </w:r>
      <w:r w:rsidR="00FC6820">
        <w:rPr>
          <w:rFonts w:ascii="Arial" w:hAnsi="Arial" w:cs="Arial"/>
          <w:sz w:val="24"/>
          <w:szCs w:val="24"/>
          <w:lang w:val="en-US"/>
        </w:rPr>
        <w:t>1</w:t>
      </w:r>
      <w:r>
        <w:rPr>
          <w:rFonts w:ascii="Arial" w:hAnsi="Arial" w:cs="Arial"/>
          <w:sz w:val="24"/>
          <w:szCs w:val="24"/>
          <w:lang w:val="en-US"/>
        </w:rPr>
        <w:t>]</w:t>
      </w:r>
      <w:r>
        <w:rPr>
          <w:rFonts w:ascii="Arial" w:hAnsi="Arial" w:cs="Arial"/>
          <w:sz w:val="24"/>
          <w:szCs w:val="24"/>
          <w:lang w:val="en-US"/>
        </w:rPr>
        <w:tab/>
      </w:r>
      <w:r w:rsidR="008E5C13" w:rsidRPr="00933C28">
        <w:rPr>
          <w:rFonts w:ascii="Arial" w:hAnsi="Arial" w:cs="Arial"/>
          <w:sz w:val="24"/>
          <w:szCs w:val="24"/>
          <w:lang w:val="en-US"/>
        </w:rPr>
        <w:t xml:space="preserve"> </w:t>
      </w:r>
      <w:r w:rsidR="003B67FD" w:rsidRPr="00933C28">
        <w:rPr>
          <w:rFonts w:ascii="Arial" w:hAnsi="Arial" w:cs="Arial"/>
          <w:sz w:val="24"/>
          <w:szCs w:val="24"/>
          <w:lang w:val="en-US"/>
        </w:rPr>
        <w:t>P</w:t>
      </w:r>
      <w:r w:rsidR="00DB45A9" w:rsidRPr="00933C28">
        <w:rPr>
          <w:rFonts w:ascii="Arial" w:hAnsi="Arial" w:cs="Arial"/>
          <w:sz w:val="24"/>
          <w:szCs w:val="24"/>
          <w:lang w:val="en-US"/>
        </w:rPr>
        <w:t>rior to receiving the</w:t>
      </w:r>
      <w:r w:rsidR="003B67FD" w:rsidRPr="00933C28">
        <w:rPr>
          <w:rFonts w:ascii="Arial" w:hAnsi="Arial" w:cs="Arial"/>
          <w:sz w:val="24"/>
          <w:szCs w:val="24"/>
          <w:lang w:val="en-US"/>
        </w:rPr>
        <w:t xml:space="preserve"> first tranche </w:t>
      </w:r>
      <w:r w:rsidR="00BB5315" w:rsidRPr="00933C28">
        <w:rPr>
          <w:rFonts w:ascii="Arial" w:hAnsi="Arial" w:cs="Arial"/>
          <w:sz w:val="24"/>
          <w:szCs w:val="24"/>
          <w:lang w:val="en-US"/>
        </w:rPr>
        <w:t>of R</w:t>
      </w:r>
      <w:r w:rsidR="00DB45A9" w:rsidRPr="00933C28">
        <w:rPr>
          <w:rFonts w:ascii="Arial" w:hAnsi="Arial" w:cs="Arial"/>
          <w:sz w:val="24"/>
          <w:szCs w:val="24"/>
          <w:lang w:val="en-US"/>
        </w:rPr>
        <w:t>4 650 </w:t>
      </w:r>
      <w:r w:rsidR="00BB5315" w:rsidRPr="00933C28">
        <w:rPr>
          <w:rFonts w:ascii="Arial" w:hAnsi="Arial" w:cs="Arial"/>
          <w:sz w:val="24"/>
          <w:szCs w:val="24"/>
          <w:lang w:val="en-US"/>
        </w:rPr>
        <w:t>000.00,</w:t>
      </w:r>
      <w:r w:rsidR="001D1C57" w:rsidRPr="00933C28">
        <w:rPr>
          <w:rFonts w:ascii="Arial" w:hAnsi="Arial" w:cs="Arial"/>
          <w:sz w:val="24"/>
          <w:szCs w:val="24"/>
          <w:lang w:val="en-US"/>
        </w:rPr>
        <w:t xml:space="preserve"> </w:t>
      </w:r>
      <w:r w:rsidR="00FD38BE" w:rsidRPr="00933C28">
        <w:rPr>
          <w:rFonts w:ascii="Arial" w:hAnsi="Arial" w:cs="Arial"/>
          <w:sz w:val="24"/>
          <w:szCs w:val="24"/>
          <w:lang w:val="en-US"/>
        </w:rPr>
        <w:t>on 28</w:t>
      </w:r>
      <w:r w:rsidR="001D1C57" w:rsidRPr="00933C28">
        <w:rPr>
          <w:rFonts w:ascii="Arial" w:hAnsi="Arial" w:cs="Arial"/>
          <w:sz w:val="24"/>
          <w:szCs w:val="24"/>
          <w:lang w:val="en-US"/>
        </w:rPr>
        <w:t xml:space="preserve"> October 2014, SAADA had the balance of R16955.18</w:t>
      </w:r>
      <w:r w:rsidR="00126EAA" w:rsidRPr="00933C28">
        <w:rPr>
          <w:rFonts w:ascii="Arial" w:hAnsi="Arial" w:cs="Arial"/>
          <w:sz w:val="24"/>
          <w:szCs w:val="24"/>
          <w:lang w:val="en-US"/>
        </w:rPr>
        <w:t>,</w:t>
      </w:r>
      <w:r w:rsidR="00BB5315" w:rsidRPr="00933C28">
        <w:rPr>
          <w:rFonts w:ascii="Arial" w:hAnsi="Arial" w:cs="Arial"/>
          <w:sz w:val="24"/>
          <w:szCs w:val="24"/>
          <w:lang w:val="en-US"/>
        </w:rPr>
        <w:t xml:space="preserve"> this is common cause.</w:t>
      </w:r>
      <w:r w:rsidR="00967007" w:rsidRPr="00933C28">
        <w:rPr>
          <w:rFonts w:ascii="Arial" w:hAnsi="Arial" w:cs="Arial"/>
          <w:sz w:val="24"/>
          <w:szCs w:val="24"/>
          <w:lang w:val="en-US"/>
        </w:rPr>
        <w:t xml:space="preserve"> </w:t>
      </w:r>
      <w:r w:rsidR="001B3816" w:rsidRPr="00933C28">
        <w:rPr>
          <w:rFonts w:ascii="Arial" w:hAnsi="Arial" w:cs="Arial"/>
          <w:sz w:val="24"/>
          <w:szCs w:val="24"/>
          <w:lang w:val="en-US"/>
        </w:rPr>
        <w:t>The applicant’s</w:t>
      </w:r>
      <w:r w:rsidR="00967007" w:rsidRPr="00933C28">
        <w:rPr>
          <w:rFonts w:ascii="Arial" w:hAnsi="Arial" w:cs="Arial"/>
          <w:sz w:val="24"/>
          <w:szCs w:val="24"/>
          <w:lang w:val="en-US"/>
        </w:rPr>
        <w:t xml:space="preserve"> submission is that</w:t>
      </w:r>
      <w:r w:rsidR="006F5319" w:rsidRPr="00933C28">
        <w:rPr>
          <w:rFonts w:ascii="Arial" w:hAnsi="Arial" w:cs="Arial"/>
          <w:sz w:val="24"/>
          <w:szCs w:val="24"/>
          <w:lang w:val="en-US"/>
        </w:rPr>
        <w:t xml:space="preserve"> </w:t>
      </w:r>
      <w:r w:rsidR="00967007" w:rsidRPr="00933C28">
        <w:rPr>
          <w:rFonts w:ascii="Arial" w:hAnsi="Arial" w:cs="Arial"/>
          <w:sz w:val="24"/>
          <w:szCs w:val="24"/>
          <w:lang w:val="en-US"/>
        </w:rPr>
        <w:t>o</w:t>
      </w:r>
      <w:r w:rsidR="000F2B88" w:rsidRPr="00933C28">
        <w:rPr>
          <w:rFonts w:ascii="Arial" w:hAnsi="Arial" w:cs="Arial"/>
          <w:sz w:val="24"/>
          <w:szCs w:val="24"/>
          <w:lang w:val="en-US"/>
        </w:rPr>
        <w:t>n 13 November 2015, w</w:t>
      </w:r>
      <w:r w:rsidR="008112FC" w:rsidRPr="00933C28">
        <w:rPr>
          <w:rFonts w:ascii="Arial" w:hAnsi="Arial" w:cs="Arial"/>
          <w:sz w:val="24"/>
          <w:szCs w:val="24"/>
          <w:lang w:val="en-US"/>
        </w:rPr>
        <w:t>hen SAADA</w:t>
      </w:r>
      <w:r w:rsidR="00B20643" w:rsidRPr="00933C28">
        <w:rPr>
          <w:rFonts w:ascii="Arial" w:hAnsi="Arial" w:cs="Arial"/>
          <w:sz w:val="24"/>
          <w:szCs w:val="24"/>
          <w:lang w:val="en-US"/>
        </w:rPr>
        <w:t xml:space="preserve"> recei</w:t>
      </w:r>
      <w:r w:rsidR="008112FC" w:rsidRPr="00933C28">
        <w:rPr>
          <w:rFonts w:ascii="Arial" w:hAnsi="Arial" w:cs="Arial"/>
          <w:sz w:val="24"/>
          <w:szCs w:val="24"/>
          <w:lang w:val="en-US"/>
        </w:rPr>
        <w:t>ved</w:t>
      </w:r>
      <w:r w:rsidR="00B20643" w:rsidRPr="00933C28">
        <w:rPr>
          <w:rFonts w:ascii="Arial" w:hAnsi="Arial" w:cs="Arial"/>
          <w:sz w:val="24"/>
          <w:szCs w:val="24"/>
          <w:lang w:val="en-US"/>
        </w:rPr>
        <w:t xml:space="preserve"> the second tranche of R4</w:t>
      </w:r>
      <w:r w:rsidR="00933C28">
        <w:rPr>
          <w:rFonts w:ascii="Arial" w:hAnsi="Arial" w:cs="Arial"/>
          <w:sz w:val="24"/>
          <w:szCs w:val="24"/>
          <w:lang w:val="en-US"/>
        </w:rPr>
        <w:t xml:space="preserve"> </w:t>
      </w:r>
      <w:r w:rsidR="00B20643" w:rsidRPr="00933C28">
        <w:rPr>
          <w:rFonts w:ascii="Arial" w:hAnsi="Arial" w:cs="Arial"/>
          <w:sz w:val="24"/>
          <w:szCs w:val="24"/>
          <w:lang w:val="en-US"/>
        </w:rPr>
        <w:t>650</w:t>
      </w:r>
      <w:r w:rsidR="00933C28">
        <w:rPr>
          <w:rFonts w:ascii="Arial" w:hAnsi="Arial" w:cs="Arial"/>
          <w:sz w:val="24"/>
          <w:szCs w:val="24"/>
          <w:lang w:val="en-US"/>
        </w:rPr>
        <w:t xml:space="preserve"> </w:t>
      </w:r>
      <w:r w:rsidR="00B20643" w:rsidRPr="00933C28">
        <w:rPr>
          <w:rFonts w:ascii="Arial" w:hAnsi="Arial" w:cs="Arial"/>
          <w:sz w:val="24"/>
          <w:szCs w:val="24"/>
          <w:lang w:val="en-US"/>
        </w:rPr>
        <w:t>000.00</w:t>
      </w:r>
      <w:r w:rsidR="006F5319" w:rsidRPr="00933C28">
        <w:rPr>
          <w:rFonts w:ascii="Arial" w:hAnsi="Arial" w:cs="Arial"/>
          <w:sz w:val="24"/>
          <w:szCs w:val="24"/>
          <w:lang w:val="en-US"/>
        </w:rPr>
        <w:t>,</w:t>
      </w:r>
      <w:r w:rsidR="000F2B88" w:rsidRPr="00933C28">
        <w:rPr>
          <w:rFonts w:ascii="Arial" w:hAnsi="Arial" w:cs="Arial"/>
          <w:sz w:val="24"/>
          <w:szCs w:val="24"/>
          <w:lang w:val="en-US"/>
        </w:rPr>
        <w:t xml:space="preserve"> </w:t>
      </w:r>
      <w:r w:rsidR="00D75944" w:rsidRPr="00933C28">
        <w:rPr>
          <w:rFonts w:ascii="Arial" w:hAnsi="Arial" w:cs="Arial"/>
          <w:sz w:val="24"/>
          <w:szCs w:val="24"/>
          <w:lang w:val="en-US"/>
        </w:rPr>
        <w:t xml:space="preserve">its bank </w:t>
      </w:r>
      <w:r w:rsidR="000F2B88" w:rsidRPr="00933C28">
        <w:rPr>
          <w:rFonts w:ascii="Arial" w:hAnsi="Arial" w:cs="Arial"/>
          <w:sz w:val="24"/>
          <w:szCs w:val="24"/>
          <w:lang w:val="en-US"/>
        </w:rPr>
        <w:t xml:space="preserve">balance </w:t>
      </w:r>
      <w:r w:rsidR="00D75944" w:rsidRPr="00933C28">
        <w:rPr>
          <w:rFonts w:ascii="Arial" w:hAnsi="Arial" w:cs="Arial"/>
          <w:sz w:val="24"/>
          <w:szCs w:val="24"/>
          <w:lang w:val="en-US"/>
        </w:rPr>
        <w:t>was</w:t>
      </w:r>
      <w:r w:rsidR="000F2B88" w:rsidRPr="00933C28">
        <w:rPr>
          <w:rFonts w:ascii="Arial" w:hAnsi="Arial" w:cs="Arial"/>
          <w:sz w:val="24"/>
          <w:szCs w:val="24"/>
          <w:lang w:val="en-US"/>
        </w:rPr>
        <w:t xml:space="preserve"> </w:t>
      </w:r>
      <w:r w:rsidR="000C63AB" w:rsidRPr="00933C28">
        <w:rPr>
          <w:rFonts w:ascii="Arial" w:hAnsi="Arial" w:cs="Arial"/>
          <w:sz w:val="24"/>
          <w:szCs w:val="24"/>
          <w:lang w:val="en-US"/>
        </w:rPr>
        <w:t>R57 683.32</w:t>
      </w:r>
      <w:r w:rsidR="006B477D" w:rsidRPr="00933C28">
        <w:rPr>
          <w:rFonts w:ascii="Arial" w:hAnsi="Arial" w:cs="Arial"/>
          <w:sz w:val="24"/>
          <w:szCs w:val="24"/>
          <w:lang w:val="en-US"/>
        </w:rPr>
        <w:t xml:space="preserve">. </w:t>
      </w:r>
      <w:r w:rsidR="00387CBB" w:rsidRPr="00933C28">
        <w:rPr>
          <w:rFonts w:ascii="Arial" w:hAnsi="Arial" w:cs="Arial"/>
          <w:sz w:val="24"/>
          <w:szCs w:val="24"/>
          <w:lang w:val="en-US"/>
        </w:rPr>
        <w:t>After the receipt of the second tranche,</w:t>
      </w:r>
      <w:r w:rsidR="006B477D" w:rsidRPr="00933C28">
        <w:rPr>
          <w:rFonts w:ascii="Arial" w:hAnsi="Arial" w:cs="Arial"/>
          <w:sz w:val="24"/>
          <w:szCs w:val="24"/>
          <w:lang w:val="en-US"/>
        </w:rPr>
        <w:t xml:space="preserve"> </w:t>
      </w:r>
      <w:r w:rsidR="00FD38BE" w:rsidRPr="00933C28">
        <w:rPr>
          <w:rFonts w:ascii="Arial" w:hAnsi="Arial" w:cs="Arial"/>
          <w:sz w:val="24"/>
          <w:szCs w:val="24"/>
          <w:lang w:val="en-US"/>
        </w:rPr>
        <w:t>SAADA made</w:t>
      </w:r>
      <w:r w:rsidR="00E32F4E" w:rsidRPr="00933C28">
        <w:rPr>
          <w:rFonts w:ascii="Arial" w:hAnsi="Arial" w:cs="Arial"/>
          <w:sz w:val="24"/>
          <w:szCs w:val="24"/>
          <w:lang w:val="en-US"/>
        </w:rPr>
        <w:t xml:space="preserve"> </w:t>
      </w:r>
      <w:r w:rsidR="005B1915" w:rsidRPr="00933C28">
        <w:rPr>
          <w:rFonts w:ascii="Arial" w:hAnsi="Arial" w:cs="Arial"/>
          <w:sz w:val="24"/>
          <w:szCs w:val="24"/>
          <w:lang w:val="en-US"/>
        </w:rPr>
        <w:t>5</w:t>
      </w:r>
      <w:r w:rsidR="00E32F4E" w:rsidRPr="00933C28">
        <w:rPr>
          <w:rFonts w:ascii="Arial" w:hAnsi="Arial" w:cs="Arial"/>
          <w:sz w:val="24"/>
          <w:szCs w:val="24"/>
          <w:lang w:val="en-US"/>
        </w:rPr>
        <w:t xml:space="preserve"> transfers </w:t>
      </w:r>
      <w:r w:rsidR="005B1915" w:rsidRPr="00933C28">
        <w:rPr>
          <w:rFonts w:ascii="Arial" w:hAnsi="Arial" w:cs="Arial"/>
          <w:sz w:val="24"/>
          <w:szCs w:val="24"/>
          <w:lang w:val="en-US"/>
        </w:rPr>
        <w:t>totaling</w:t>
      </w:r>
      <w:r w:rsidR="00E32F4E" w:rsidRPr="00933C28">
        <w:rPr>
          <w:rFonts w:ascii="Arial" w:hAnsi="Arial" w:cs="Arial"/>
          <w:sz w:val="24"/>
          <w:szCs w:val="24"/>
          <w:lang w:val="en-US"/>
        </w:rPr>
        <w:t xml:space="preserve"> </w:t>
      </w:r>
      <w:r w:rsidR="000C63AB" w:rsidRPr="00933C28">
        <w:rPr>
          <w:rFonts w:ascii="Arial" w:hAnsi="Arial" w:cs="Arial"/>
          <w:sz w:val="24"/>
          <w:szCs w:val="24"/>
          <w:lang w:val="en-US"/>
        </w:rPr>
        <w:t>R</w:t>
      </w:r>
      <w:r w:rsidR="00E32F4E" w:rsidRPr="00933C28">
        <w:rPr>
          <w:rFonts w:ascii="Arial" w:hAnsi="Arial" w:cs="Arial"/>
          <w:sz w:val="24"/>
          <w:szCs w:val="24"/>
          <w:lang w:val="en-US"/>
        </w:rPr>
        <w:t>4 517</w:t>
      </w:r>
      <w:r w:rsidR="000C63AB" w:rsidRPr="00933C28">
        <w:rPr>
          <w:rFonts w:ascii="Arial" w:hAnsi="Arial" w:cs="Arial"/>
          <w:sz w:val="24"/>
          <w:szCs w:val="24"/>
          <w:lang w:val="en-US"/>
        </w:rPr>
        <w:t> </w:t>
      </w:r>
      <w:r w:rsidR="00FD38BE" w:rsidRPr="00933C28">
        <w:rPr>
          <w:rFonts w:ascii="Arial" w:hAnsi="Arial" w:cs="Arial"/>
          <w:sz w:val="24"/>
          <w:szCs w:val="24"/>
          <w:lang w:val="en-US"/>
        </w:rPr>
        <w:t>421,</w:t>
      </w:r>
      <w:r w:rsidR="00F167F1" w:rsidRPr="00933C28">
        <w:rPr>
          <w:rFonts w:ascii="Arial" w:hAnsi="Arial" w:cs="Arial"/>
          <w:sz w:val="24"/>
          <w:szCs w:val="24"/>
          <w:lang w:val="en-US"/>
        </w:rPr>
        <w:t>00</w:t>
      </w:r>
      <w:r w:rsidR="00FD38BE" w:rsidRPr="00933C28">
        <w:rPr>
          <w:rFonts w:ascii="Arial" w:hAnsi="Arial" w:cs="Arial"/>
          <w:sz w:val="24"/>
          <w:szCs w:val="24"/>
          <w:lang w:val="en-US"/>
        </w:rPr>
        <w:t xml:space="preserve"> to</w:t>
      </w:r>
      <w:r w:rsidR="00E32F4E" w:rsidRPr="00933C28">
        <w:rPr>
          <w:rFonts w:ascii="Arial" w:hAnsi="Arial" w:cs="Arial"/>
          <w:sz w:val="24"/>
          <w:szCs w:val="24"/>
          <w:lang w:val="en-US"/>
        </w:rPr>
        <w:t xml:space="preserve"> </w:t>
      </w:r>
      <w:r w:rsidR="000C63AB" w:rsidRPr="00933C28">
        <w:rPr>
          <w:rFonts w:ascii="Arial" w:hAnsi="Arial" w:cs="Arial"/>
          <w:sz w:val="24"/>
          <w:szCs w:val="24"/>
          <w:lang w:val="en-US"/>
        </w:rPr>
        <w:t>R</w:t>
      </w:r>
      <w:r w:rsidR="00E32F4E" w:rsidRPr="00933C28">
        <w:rPr>
          <w:rFonts w:ascii="Arial" w:hAnsi="Arial" w:cs="Arial"/>
          <w:sz w:val="24"/>
          <w:szCs w:val="24"/>
          <w:lang w:val="en-US"/>
        </w:rPr>
        <w:t xml:space="preserve">oadshow </w:t>
      </w:r>
      <w:r w:rsidR="000C63AB" w:rsidRPr="00933C28">
        <w:rPr>
          <w:rFonts w:ascii="Arial" w:hAnsi="Arial" w:cs="Arial"/>
          <w:sz w:val="24"/>
          <w:szCs w:val="24"/>
          <w:lang w:val="en-US"/>
        </w:rPr>
        <w:t>M</w:t>
      </w:r>
      <w:r w:rsidR="00E32F4E" w:rsidRPr="00933C28">
        <w:rPr>
          <w:rFonts w:ascii="Arial" w:hAnsi="Arial" w:cs="Arial"/>
          <w:sz w:val="24"/>
          <w:szCs w:val="24"/>
          <w:lang w:val="en-US"/>
        </w:rPr>
        <w:t>arketing CC (</w:t>
      </w:r>
      <w:r w:rsidR="00FD38BE" w:rsidRPr="00933C28">
        <w:rPr>
          <w:rFonts w:ascii="Arial" w:hAnsi="Arial" w:cs="Arial"/>
          <w:sz w:val="24"/>
          <w:szCs w:val="24"/>
          <w:lang w:val="en-US"/>
        </w:rPr>
        <w:t>R</w:t>
      </w:r>
      <w:r w:rsidR="00E32F4E" w:rsidRPr="00933C28">
        <w:rPr>
          <w:rFonts w:ascii="Arial" w:hAnsi="Arial" w:cs="Arial"/>
          <w:sz w:val="24"/>
          <w:szCs w:val="24"/>
          <w:lang w:val="en-US"/>
        </w:rPr>
        <w:t xml:space="preserve">oadshow </w:t>
      </w:r>
      <w:r w:rsidR="00FD38BE" w:rsidRPr="00933C28">
        <w:rPr>
          <w:rFonts w:ascii="Arial" w:hAnsi="Arial" w:cs="Arial"/>
          <w:sz w:val="24"/>
          <w:szCs w:val="24"/>
          <w:lang w:val="en-US"/>
        </w:rPr>
        <w:t>M</w:t>
      </w:r>
      <w:r w:rsidR="00E32F4E" w:rsidRPr="00933C28">
        <w:rPr>
          <w:rFonts w:ascii="Arial" w:hAnsi="Arial" w:cs="Arial"/>
          <w:sz w:val="24"/>
          <w:szCs w:val="24"/>
          <w:lang w:val="en-US"/>
        </w:rPr>
        <w:t xml:space="preserve">arketing). The sole member of </w:t>
      </w:r>
      <w:r w:rsidR="00FD38BE" w:rsidRPr="00933C28">
        <w:rPr>
          <w:rFonts w:ascii="Arial" w:hAnsi="Arial" w:cs="Arial"/>
          <w:sz w:val="24"/>
          <w:szCs w:val="24"/>
          <w:lang w:val="en-US"/>
        </w:rPr>
        <w:t>R</w:t>
      </w:r>
      <w:r w:rsidR="00E32F4E" w:rsidRPr="00933C28">
        <w:rPr>
          <w:rFonts w:ascii="Arial" w:hAnsi="Arial" w:cs="Arial"/>
          <w:sz w:val="24"/>
          <w:szCs w:val="24"/>
          <w:lang w:val="en-US"/>
        </w:rPr>
        <w:t xml:space="preserve">oadshow </w:t>
      </w:r>
      <w:r w:rsidR="00FD38BE" w:rsidRPr="00933C28">
        <w:rPr>
          <w:rFonts w:ascii="Arial" w:hAnsi="Arial" w:cs="Arial"/>
          <w:sz w:val="24"/>
          <w:szCs w:val="24"/>
          <w:lang w:val="en-US"/>
        </w:rPr>
        <w:t>M</w:t>
      </w:r>
      <w:r w:rsidR="00E32F4E" w:rsidRPr="00933C28">
        <w:rPr>
          <w:rFonts w:ascii="Arial" w:hAnsi="Arial" w:cs="Arial"/>
          <w:sz w:val="24"/>
          <w:szCs w:val="24"/>
          <w:lang w:val="en-US"/>
        </w:rPr>
        <w:t xml:space="preserve">arketing </w:t>
      </w:r>
      <w:r w:rsidR="005B1915" w:rsidRPr="00933C28">
        <w:rPr>
          <w:rFonts w:ascii="Arial" w:hAnsi="Arial" w:cs="Arial"/>
          <w:sz w:val="24"/>
          <w:szCs w:val="24"/>
          <w:lang w:val="en-US"/>
        </w:rPr>
        <w:t>is</w:t>
      </w:r>
      <w:r w:rsidR="00A624D7" w:rsidRPr="00933C28">
        <w:rPr>
          <w:rFonts w:ascii="Arial" w:hAnsi="Arial" w:cs="Arial"/>
          <w:sz w:val="24"/>
          <w:szCs w:val="24"/>
          <w:lang w:val="en-US"/>
        </w:rPr>
        <w:t xml:space="preserve"> Mr. </w:t>
      </w:r>
      <w:r w:rsidR="00FD38BE" w:rsidRPr="00933C28">
        <w:rPr>
          <w:rFonts w:ascii="Arial" w:hAnsi="Arial" w:cs="Arial"/>
          <w:sz w:val="24"/>
          <w:szCs w:val="24"/>
          <w:lang w:val="en-US"/>
        </w:rPr>
        <w:t>Mafokate</w:t>
      </w:r>
      <w:r w:rsidR="002D47AB" w:rsidRPr="00933C28">
        <w:rPr>
          <w:rFonts w:ascii="Arial" w:hAnsi="Arial" w:cs="Arial"/>
          <w:sz w:val="24"/>
          <w:szCs w:val="24"/>
          <w:lang w:val="en-US"/>
        </w:rPr>
        <w:t>,</w:t>
      </w:r>
      <w:r w:rsidR="00FD38BE" w:rsidRPr="00933C28">
        <w:rPr>
          <w:rFonts w:ascii="Arial" w:hAnsi="Arial" w:cs="Arial"/>
          <w:sz w:val="24"/>
          <w:szCs w:val="24"/>
          <w:lang w:val="en-US"/>
        </w:rPr>
        <w:t xml:space="preserve"> </w:t>
      </w:r>
      <w:r w:rsidR="005B1915" w:rsidRPr="00933C28">
        <w:rPr>
          <w:rFonts w:ascii="Arial" w:hAnsi="Arial" w:cs="Arial"/>
          <w:sz w:val="24"/>
          <w:szCs w:val="24"/>
          <w:lang w:val="en-US"/>
        </w:rPr>
        <w:t xml:space="preserve">who is </w:t>
      </w:r>
      <w:r w:rsidR="001B1FE8">
        <w:rPr>
          <w:rFonts w:ascii="Arial" w:hAnsi="Arial" w:cs="Arial"/>
          <w:sz w:val="24"/>
          <w:szCs w:val="24"/>
          <w:lang w:val="en-US"/>
        </w:rPr>
        <w:t>also</w:t>
      </w:r>
      <w:r w:rsidR="00223B6B" w:rsidRPr="00933C28">
        <w:rPr>
          <w:rFonts w:ascii="Arial" w:hAnsi="Arial" w:cs="Arial"/>
          <w:sz w:val="24"/>
          <w:szCs w:val="24"/>
          <w:lang w:val="en-US"/>
        </w:rPr>
        <w:t xml:space="preserve"> </w:t>
      </w:r>
      <w:r w:rsidR="00050A5A" w:rsidRPr="00933C28">
        <w:rPr>
          <w:rFonts w:ascii="Arial" w:hAnsi="Arial" w:cs="Arial"/>
          <w:sz w:val="24"/>
          <w:szCs w:val="24"/>
          <w:lang w:val="en-US"/>
        </w:rPr>
        <w:t>the</w:t>
      </w:r>
      <w:r w:rsidR="00E32F4E" w:rsidRPr="00933C28">
        <w:rPr>
          <w:rFonts w:ascii="Arial" w:hAnsi="Arial" w:cs="Arial"/>
          <w:sz w:val="24"/>
          <w:szCs w:val="24"/>
          <w:lang w:val="en-US"/>
        </w:rPr>
        <w:t xml:space="preserve"> director of S</w:t>
      </w:r>
      <w:r w:rsidR="00FD38BE" w:rsidRPr="00933C28">
        <w:rPr>
          <w:rFonts w:ascii="Arial" w:hAnsi="Arial" w:cs="Arial"/>
          <w:sz w:val="24"/>
          <w:szCs w:val="24"/>
          <w:lang w:val="en-US"/>
        </w:rPr>
        <w:t>A</w:t>
      </w:r>
      <w:r w:rsidR="00E32F4E" w:rsidRPr="00933C28">
        <w:rPr>
          <w:rFonts w:ascii="Arial" w:hAnsi="Arial" w:cs="Arial"/>
          <w:sz w:val="24"/>
          <w:szCs w:val="24"/>
          <w:lang w:val="en-US"/>
        </w:rPr>
        <w:t>ADA</w:t>
      </w:r>
      <w:r w:rsidR="005308AC" w:rsidRPr="00933C28">
        <w:rPr>
          <w:rFonts w:ascii="Arial" w:hAnsi="Arial" w:cs="Arial"/>
          <w:sz w:val="24"/>
          <w:szCs w:val="24"/>
          <w:lang w:val="en-US"/>
        </w:rPr>
        <w:t xml:space="preserve">. </w:t>
      </w:r>
      <w:r w:rsidR="00543284" w:rsidRPr="00933C28">
        <w:rPr>
          <w:rFonts w:ascii="Arial" w:hAnsi="Arial" w:cs="Arial"/>
          <w:sz w:val="24"/>
          <w:szCs w:val="24"/>
          <w:lang w:val="en-US"/>
        </w:rPr>
        <w:t>It is noteworthy that p</w:t>
      </w:r>
      <w:r w:rsidR="002639C9" w:rsidRPr="00933C28">
        <w:rPr>
          <w:rFonts w:ascii="Arial" w:hAnsi="Arial" w:cs="Arial"/>
          <w:sz w:val="24"/>
          <w:szCs w:val="24"/>
          <w:lang w:val="en-US"/>
        </w:rPr>
        <w:t xml:space="preserve">rior to receiving the first transfer, the balance </w:t>
      </w:r>
      <w:r w:rsidR="000D7AD3" w:rsidRPr="00933C28">
        <w:rPr>
          <w:rFonts w:ascii="Arial" w:hAnsi="Arial" w:cs="Arial"/>
          <w:sz w:val="24"/>
          <w:szCs w:val="24"/>
          <w:lang w:val="en-US"/>
        </w:rPr>
        <w:t xml:space="preserve">in the account of Roadshow Marketing was </w:t>
      </w:r>
      <w:r w:rsidR="005308AC" w:rsidRPr="00933C28">
        <w:rPr>
          <w:rFonts w:ascii="Arial" w:hAnsi="Arial" w:cs="Arial"/>
          <w:sz w:val="24"/>
          <w:szCs w:val="24"/>
          <w:lang w:val="en-US"/>
        </w:rPr>
        <w:t>R226</w:t>
      </w:r>
      <w:r w:rsidR="00933C28">
        <w:rPr>
          <w:rFonts w:ascii="Arial" w:hAnsi="Arial" w:cs="Arial"/>
          <w:sz w:val="24"/>
          <w:szCs w:val="24"/>
          <w:lang w:val="en-US"/>
        </w:rPr>
        <w:t xml:space="preserve"> </w:t>
      </w:r>
      <w:r w:rsidR="005308AC" w:rsidRPr="00933C28">
        <w:rPr>
          <w:rFonts w:ascii="Arial" w:hAnsi="Arial" w:cs="Arial"/>
          <w:sz w:val="24"/>
          <w:szCs w:val="24"/>
          <w:lang w:val="en-US"/>
        </w:rPr>
        <w:t>522.29.</w:t>
      </w:r>
    </w:p>
    <w:p w14:paraId="5785B28F" w14:textId="77777777" w:rsidR="000D7AD3" w:rsidRPr="00933C28" w:rsidRDefault="000D7AD3" w:rsidP="000D7AD3">
      <w:pPr>
        <w:pStyle w:val="ListParagraph"/>
        <w:rPr>
          <w:rFonts w:ascii="Arial" w:hAnsi="Arial" w:cs="Arial"/>
          <w:sz w:val="24"/>
          <w:szCs w:val="24"/>
          <w:lang w:val="en-US"/>
        </w:rPr>
      </w:pPr>
    </w:p>
    <w:p w14:paraId="3EB2B7D3" w14:textId="679DB033" w:rsidR="008F494C" w:rsidRPr="008F494C" w:rsidRDefault="008F494C" w:rsidP="008F494C">
      <w:pPr>
        <w:pStyle w:val="ListParagraph"/>
        <w:spacing w:line="360" w:lineRule="auto"/>
        <w:ind w:left="0"/>
        <w:jc w:val="both"/>
        <w:rPr>
          <w:rFonts w:ascii="Arial" w:hAnsi="Arial" w:cs="Arial"/>
          <w:sz w:val="24"/>
          <w:szCs w:val="24"/>
          <w:lang w:val="en-US"/>
        </w:rPr>
      </w:pPr>
      <w:r>
        <w:rPr>
          <w:rFonts w:ascii="Arial" w:hAnsi="Arial" w:cs="Arial"/>
          <w:sz w:val="24"/>
          <w:szCs w:val="24"/>
          <w:lang w:val="en-US"/>
        </w:rPr>
        <w:t>[1</w:t>
      </w:r>
      <w:r w:rsidR="00FC6820">
        <w:rPr>
          <w:rFonts w:ascii="Arial" w:hAnsi="Arial" w:cs="Arial"/>
          <w:sz w:val="24"/>
          <w:szCs w:val="24"/>
          <w:lang w:val="en-US"/>
        </w:rPr>
        <w:t>2</w:t>
      </w:r>
      <w:r>
        <w:rPr>
          <w:rFonts w:ascii="Arial" w:hAnsi="Arial" w:cs="Arial"/>
          <w:sz w:val="24"/>
          <w:szCs w:val="24"/>
          <w:lang w:val="en-US"/>
        </w:rPr>
        <w:t>]</w:t>
      </w:r>
      <w:r>
        <w:rPr>
          <w:rFonts w:ascii="Arial" w:hAnsi="Arial" w:cs="Arial"/>
          <w:sz w:val="24"/>
          <w:szCs w:val="24"/>
          <w:lang w:val="en-US"/>
        </w:rPr>
        <w:tab/>
      </w:r>
      <w:r w:rsidR="00B21A89" w:rsidRPr="008F494C">
        <w:rPr>
          <w:rFonts w:ascii="Arial" w:hAnsi="Arial" w:cs="Arial"/>
          <w:sz w:val="24"/>
          <w:szCs w:val="24"/>
          <w:lang w:val="en-US"/>
        </w:rPr>
        <w:t>After receiving the transfer from SAADA</w:t>
      </w:r>
      <w:r w:rsidRPr="008F494C">
        <w:rPr>
          <w:rFonts w:ascii="Arial" w:hAnsi="Arial" w:cs="Arial"/>
          <w:sz w:val="24"/>
          <w:szCs w:val="24"/>
          <w:lang w:val="en-US"/>
        </w:rPr>
        <w:t>:</w:t>
      </w:r>
    </w:p>
    <w:p w14:paraId="606A2E1D" w14:textId="4C8DFFB9" w:rsidR="00F918A5" w:rsidRPr="008F494C" w:rsidRDefault="00543284" w:rsidP="008F494C">
      <w:pPr>
        <w:pStyle w:val="ListParagraph"/>
        <w:spacing w:line="360" w:lineRule="auto"/>
        <w:jc w:val="both"/>
        <w:rPr>
          <w:rFonts w:ascii="Arial" w:hAnsi="Arial" w:cs="Arial"/>
          <w:lang w:val="en-US"/>
        </w:rPr>
      </w:pPr>
      <w:r w:rsidRPr="008F494C">
        <w:rPr>
          <w:rFonts w:ascii="Arial" w:hAnsi="Arial" w:cs="Arial"/>
          <w:lang w:val="en-US"/>
        </w:rPr>
        <w:t>“</w:t>
      </w:r>
      <w:r w:rsidR="0037684D" w:rsidRPr="008F494C">
        <w:rPr>
          <w:rFonts w:ascii="Arial" w:hAnsi="Arial" w:cs="Arial"/>
          <w:lang w:val="en-US"/>
        </w:rPr>
        <w:t>R</w:t>
      </w:r>
      <w:r w:rsidR="00B21A89" w:rsidRPr="008F494C">
        <w:rPr>
          <w:rFonts w:ascii="Arial" w:hAnsi="Arial" w:cs="Arial"/>
          <w:lang w:val="en-US"/>
        </w:rPr>
        <w:t xml:space="preserve">oadshow </w:t>
      </w:r>
      <w:r w:rsidR="0037684D" w:rsidRPr="008F494C">
        <w:rPr>
          <w:rFonts w:ascii="Arial" w:hAnsi="Arial" w:cs="Arial"/>
          <w:lang w:val="en-US"/>
        </w:rPr>
        <w:t>M</w:t>
      </w:r>
      <w:r w:rsidR="00B21A89" w:rsidRPr="008F494C">
        <w:rPr>
          <w:rFonts w:ascii="Arial" w:hAnsi="Arial" w:cs="Arial"/>
          <w:lang w:val="en-US"/>
        </w:rPr>
        <w:t xml:space="preserve">arketing made </w:t>
      </w:r>
      <w:r w:rsidR="00223B6B" w:rsidRPr="008F494C">
        <w:rPr>
          <w:rFonts w:ascii="Arial" w:hAnsi="Arial" w:cs="Arial"/>
          <w:lang w:val="en-US"/>
        </w:rPr>
        <w:t>4</w:t>
      </w:r>
      <w:r w:rsidR="00B21A89" w:rsidRPr="008F494C">
        <w:rPr>
          <w:rFonts w:ascii="Arial" w:hAnsi="Arial" w:cs="Arial"/>
          <w:lang w:val="en-US"/>
        </w:rPr>
        <w:t xml:space="preserve"> transfers totaling </w:t>
      </w:r>
      <w:r w:rsidR="00AB5164" w:rsidRPr="008F494C">
        <w:rPr>
          <w:rFonts w:ascii="Arial" w:hAnsi="Arial" w:cs="Arial"/>
          <w:lang w:val="en-US"/>
        </w:rPr>
        <w:t>R</w:t>
      </w:r>
      <w:r w:rsidR="00B21A89" w:rsidRPr="008F494C">
        <w:rPr>
          <w:rFonts w:ascii="Arial" w:hAnsi="Arial" w:cs="Arial"/>
          <w:lang w:val="en-US"/>
        </w:rPr>
        <w:t xml:space="preserve">4.4 million to a </w:t>
      </w:r>
      <w:r w:rsidR="00AB5164" w:rsidRPr="008F494C">
        <w:rPr>
          <w:rFonts w:ascii="Arial" w:hAnsi="Arial" w:cs="Arial"/>
          <w:lang w:val="en-US"/>
        </w:rPr>
        <w:t>N</w:t>
      </w:r>
      <w:r w:rsidR="00B21A89" w:rsidRPr="008F494C">
        <w:rPr>
          <w:rFonts w:ascii="Arial" w:hAnsi="Arial" w:cs="Arial"/>
          <w:lang w:val="en-US"/>
        </w:rPr>
        <w:t>e</w:t>
      </w:r>
      <w:r w:rsidR="00AB5164" w:rsidRPr="008F494C">
        <w:rPr>
          <w:rFonts w:ascii="Arial" w:hAnsi="Arial" w:cs="Arial"/>
          <w:lang w:val="en-US"/>
        </w:rPr>
        <w:t>d</w:t>
      </w:r>
      <w:r w:rsidR="00B21A89" w:rsidRPr="008F494C">
        <w:rPr>
          <w:rFonts w:ascii="Arial" w:hAnsi="Arial" w:cs="Arial"/>
          <w:lang w:val="en-US"/>
        </w:rPr>
        <w:t xml:space="preserve">bank </w:t>
      </w:r>
      <w:r w:rsidR="00AB5164" w:rsidRPr="008F494C">
        <w:rPr>
          <w:rFonts w:ascii="Arial" w:hAnsi="Arial" w:cs="Arial"/>
          <w:lang w:val="en-US"/>
        </w:rPr>
        <w:t>Home Lo</w:t>
      </w:r>
      <w:r w:rsidR="00B21A89" w:rsidRPr="008F494C">
        <w:rPr>
          <w:rFonts w:ascii="Arial" w:hAnsi="Arial" w:cs="Arial"/>
          <w:lang w:val="en-US"/>
        </w:rPr>
        <w:t xml:space="preserve">an account </w:t>
      </w:r>
      <w:r w:rsidR="00AB5164" w:rsidRPr="008F494C">
        <w:rPr>
          <w:rFonts w:ascii="Arial" w:hAnsi="Arial" w:cs="Arial"/>
          <w:lang w:val="en-US"/>
        </w:rPr>
        <w:t>No</w:t>
      </w:r>
      <w:r w:rsidR="00B21A89" w:rsidRPr="008F494C">
        <w:rPr>
          <w:rFonts w:ascii="Arial" w:hAnsi="Arial" w:cs="Arial"/>
          <w:lang w:val="en-US"/>
        </w:rPr>
        <w:t xml:space="preserve"> 80026</w:t>
      </w:r>
      <w:r w:rsidR="00223B6B" w:rsidRPr="008F494C">
        <w:rPr>
          <w:rFonts w:ascii="Arial" w:hAnsi="Arial" w:cs="Arial"/>
          <w:lang w:val="en-US"/>
        </w:rPr>
        <w:t>2</w:t>
      </w:r>
      <w:r w:rsidR="00B21A89" w:rsidRPr="008F494C">
        <w:rPr>
          <w:rFonts w:ascii="Arial" w:hAnsi="Arial" w:cs="Arial"/>
          <w:lang w:val="en-US"/>
        </w:rPr>
        <w:t>3787101</w:t>
      </w:r>
      <w:r w:rsidR="00AB5164" w:rsidRPr="008F494C">
        <w:rPr>
          <w:rFonts w:ascii="Arial" w:hAnsi="Arial" w:cs="Arial"/>
          <w:lang w:val="en-US"/>
        </w:rPr>
        <w:t>.</w:t>
      </w:r>
    </w:p>
    <w:p w14:paraId="396DA8C7" w14:textId="2C037B46" w:rsidR="00F95275" w:rsidRPr="008F494C" w:rsidRDefault="00F918A5" w:rsidP="008F494C">
      <w:pPr>
        <w:pStyle w:val="ListParagraph"/>
        <w:spacing w:line="360" w:lineRule="auto"/>
        <w:jc w:val="both"/>
        <w:rPr>
          <w:rFonts w:ascii="Arial" w:hAnsi="Arial" w:cs="Arial"/>
          <w:lang w:val="en-US"/>
        </w:rPr>
      </w:pPr>
      <w:r w:rsidRPr="008F494C">
        <w:rPr>
          <w:rFonts w:ascii="Arial" w:hAnsi="Arial" w:cs="Arial"/>
          <w:lang w:val="en-US"/>
        </w:rPr>
        <w:lastRenderedPageBreak/>
        <w:t xml:space="preserve">On 21 January 2016, R4.3 million was transferred from the Nedbank Home Loan </w:t>
      </w:r>
      <w:r w:rsidR="0073566B" w:rsidRPr="008F494C">
        <w:rPr>
          <w:rFonts w:ascii="Arial" w:hAnsi="Arial" w:cs="Arial"/>
          <w:lang w:val="en-US"/>
        </w:rPr>
        <w:t>account to</w:t>
      </w:r>
      <w:r w:rsidRPr="008F494C">
        <w:rPr>
          <w:rFonts w:ascii="Arial" w:hAnsi="Arial" w:cs="Arial"/>
          <w:lang w:val="en-US"/>
        </w:rPr>
        <w:t xml:space="preserve"> 999 Music CC’s (999 Music) bank account. The sole member of 999 Music </w:t>
      </w:r>
      <w:r w:rsidR="00DC1CE0" w:rsidRPr="008F494C">
        <w:rPr>
          <w:rFonts w:ascii="Arial" w:hAnsi="Arial" w:cs="Arial"/>
          <w:lang w:val="en-US"/>
        </w:rPr>
        <w:t>is</w:t>
      </w:r>
      <w:r w:rsidR="0037684D" w:rsidRPr="008F494C">
        <w:rPr>
          <w:rFonts w:ascii="Arial" w:hAnsi="Arial" w:cs="Arial"/>
          <w:lang w:val="en-US"/>
        </w:rPr>
        <w:t xml:space="preserve"> </w:t>
      </w:r>
      <w:r w:rsidR="00847132" w:rsidRPr="008F494C">
        <w:rPr>
          <w:rFonts w:ascii="Arial" w:hAnsi="Arial" w:cs="Arial"/>
          <w:lang w:val="en-US"/>
        </w:rPr>
        <w:t>Mafokate</w:t>
      </w:r>
      <w:r w:rsidRPr="008F494C">
        <w:rPr>
          <w:rFonts w:ascii="Arial" w:hAnsi="Arial" w:cs="Arial"/>
          <w:lang w:val="en-US"/>
        </w:rPr>
        <w:t>, the same person as referred to above.</w:t>
      </w:r>
      <w:r w:rsidR="005E3789" w:rsidRPr="008F494C">
        <w:rPr>
          <w:rFonts w:ascii="Arial" w:hAnsi="Arial" w:cs="Arial"/>
          <w:lang w:val="en-US"/>
        </w:rPr>
        <w:t xml:space="preserve"> Prior to receiving the </w:t>
      </w:r>
      <w:r w:rsidR="0073566B" w:rsidRPr="008F494C">
        <w:rPr>
          <w:rFonts w:ascii="Arial" w:hAnsi="Arial" w:cs="Arial"/>
          <w:lang w:val="en-US"/>
        </w:rPr>
        <w:t>transfer, the</w:t>
      </w:r>
      <w:r w:rsidR="00F95275" w:rsidRPr="008F494C">
        <w:rPr>
          <w:rFonts w:ascii="Arial" w:hAnsi="Arial" w:cs="Arial"/>
          <w:lang w:val="en-US"/>
        </w:rPr>
        <w:t xml:space="preserve"> </w:t>
      </w:r>
      <w:r w:rsidR="001D1AEA" w:rsidRPr="008F494C">
        <w:rPr>
          <w:rFonts w:ascii="Arial" w:hAnsi="Arial" w:cs="Arial"/>
          <w:lang w:val="en-US"/>
        </w:rPr>
        <w:t>positive</w:t>
      </w:r>
      <w:r w:rsidR="00F95275" w:rsidRPr="008F494C">
        <w:rPr>
          <w:rFonts w:ascii="Arial" w:hAnsi="Arial" w:cs="Arial"/>
          <w:lang w:val="en-US"/>
        </w:rPr>
        <w:t xml:space="preserve"> balance of 999 Music was R879 573.46.</w:t>
      </w:r>
    </w:p>
    <w:p w14:paraId="11A255D7" w14:textId="77777777" w:rsidR="000D7AD3" w:rsidRPr="008F494C" w:rsidRDefault="000D7AD3" w:rsidP="008F494C">
      <w:pPr>
        <w:pStyle w:val="ListParagraph"/>
        <w:spacing w:line="360" w:lineRule="auto"/>
        <w:rPr>
          <w:rFonts w:ascii="Arial" w:hAnsi="Arial" w:cs="Arial"/>
          <w:lang w:val="en-US"/>
        </w:rPr>
      </w:pPr>
    </w:p>
    <w:p w14:paraId="52416CF2" w14:textId="60D29356" w:rsidR="009916A9" w:rsidRPr="008F494C" w:rsidRDefault="00F918A5" w:rsidP="008F494C">
      <w:pPr>
        <w:pStyle w:val="ListParagraph"/>
        <w:spacing w:line="360" w:lineRule="auto"/>
        <w:jc w:val="both"/>
        <w:rPr>
          <w:rFonts w:ascii="Arial" w:hAnsi="Arial" w:cs="Arial"/>
          <w:lang w:val="en-US"/>
        </w:rPr>
      </w:pPr>
      <w:r w:rsidRPr="008F494C">
        <w:rPr>
          <w:rFonts w:ascii="Arial" w:hAnsi="Arial" w:cs="Arial"/>
          <w:lang w:val="en-US"/>
        </w:rPr>
        <w:t xml:space="preserve">On 22 January 2016, 999 </w:t>
      </w:r>
      <w:r w:rsidR="00F33F08" w:rsidRPr="008F494C">
        <w:rPr>
          <w:rFonts w:ascii="Arial" w:hAnsi="Arial" w:cs="Arial"/>
          <w:lang w:val="en-US"/>
        </w:rPr>
        <w:t>M</w:t>
      </w:r>
      <w:r w:rsidRPr="008F494C">
        <w:rPr>
          <w:rFonts w:ascii="Arial" w:hAnsi="Arial" w:cs="Arial"/>
          <w:lang w:val="en-US"/>
        </w:rPr>
        <w:t xml:space="preserve">usic transferred </w:t>
      </w:r>
      <w:r w:rsidR="00F33F08" w:rsidRPr="008F494C">
        <w:rPr>
          <w:rFonts w:ascii="Arial" w:hAnsi="Arial" w:cs="Arial"/>
          <w:lang w:val="en-US"/>
        </w:rPr>
        <w:t>R</w:t>
      </w:r>
      <w:r w:rsidRPr="008F494C">
        <w:rPr>
          <w:rFonts w:ascii="Arial" w:hAnsi="Arial" w:cs="Arial"/>
          <w:lang w:val="en-US"/>
        </w:rPr>
        <w:t>6</w:t>
      </w:r>
      <w:r w:rsidR="00F33F08" w:rsidRPr="008F494C">
        <w:rPr>
          <w:rFonts w:ascii="Arial" w:hAnsi="Arial" w:cs="Arial"/>
          <w:lang w:val="en-US"/>
        </w:rPr>
        <w:t> </w:t>
      </w:r>
      <w:r w:rsidRPr="008F494C">
        <w:rPr>
          <w:rFonts w:ascii="Arial" w:hAnsi="Arial" w:cs="Arial"/>
          <w:lang w:val="en-US"/>
        </w:rPr>
        <w:t>750</w:t>
      </w:r>
      <w:r w:rsidR="00F33F08" w:rsidRPr="008F494C">
        <w:rPr>
          <w:rFonts w:ascii="Arial" w:hAnsi="Arial" w:cs="Arial"/>
          <w:lang w:val="en-US"/>
        </w:rPr>
        <w:t> 0</w:t>
      </w:r>
      <w:r w:rsidRPr="008F494C">
        <w:rPr>
          <w:rFonts w:ascii="Arial" w:hAnsi="Arial" w:cs="Arial"/>
          <w:lang w:val="en-US"/>
        </w:rPr>
        <w:t>00</w:t>
      </w:r>
      <w:r w:rsidR="00F33F08" w:rsidRPr="008F494C">
        <w:rPr>
          <w:rFonts w:ascii="Arial" w:hAnsi="Arial" w:cs="Arial"/>
          <w:lang w:val="en-US"/>
        </w:rPr>
        <w:t xml:space="preserve"> </w:t>
      </w:r>
      <w:r w:rsidRPr="008F494C">
        <w:rPr>
          <w:rFonts w:ascii="Arial" w:hAnsi="Arial" w:cs="Arial"/>
          <w:lang w:val="en-US"/>
        </w:rPr>
        <w:t>to</w:t>
      </w:r>
      <w:r w:rsidR="00F33F08" w:rsidRPr="008F494C">
        <w:rPr>
          <w:rFonts w:ascii="Arial" w:hAnsi="Arial" w:cs="Arial"/>
          <w:lang w:val="en-US"/>
        </w:rPr>
        <w:t xml:space="preserve"> a firm of attorneys, Cilliers &amp; Reynders</w:t>
      </w:r>
      <w:r w:rsidR="008E3825" w:rsidRPr="008F494C">
        <w:rPr>
          <w:rFonts w:ascii="Arial" w:hAnsi="Arial" w:cs="Arial"/>
          <w:lang w:val="en-US"/>
        </w:rPr>
        <w:t xml:space="preserve"> Inc</w:t>
      </w:r>
      <w:r w:rsidRPr="008F494C">
        <w:rPr>
          <w:rFonts w:ascii="Arial" w:hAnsi="Arial" w:cs="Arial"/>
          <w:lang w:val="en-US"/>
        </w:rPr>
        <w:t xml:space="preserve"> for the purchase of the property described as 85 Car</w:t>
      </w:r>
      <w:r w:rsidR="008E3825" w:rsidRPr="008F494C">
        <w:rPr>
          <w:rFonts w:ascii="Arial" w:hAnsi="Arial" w:cs="Arial"/>
          <w:lang w:val="en-US"/>
        </w:rPr>
        <w:t>s</w:t>
      </w:r>
      <w:r w:rsidRPr="008F494C">
        <w:rPr>
          <w:rFonts w:ascii="Arial" w:hAnsi="Arial" w:cs="Arial"/>
          <w:lang w:val="en-US"/>
        </w:rPr>
        <w:t>l</w:t>
      </w:r>
      <w:r w:rsidR="008E3825" w:rsidRPr="008F494C">
        <w:rPr>
          <w:rFonts w:ascii="Arial" w:hAnsi="Arial" w:cs="Arial"/>
          <w:lang w:val="en-US"/>
        </w:rPr>
        <w:t xml:space="preserve">warld road, Midrand </w:t>
      </w:r>
      <w:r w:rsidRPr="008F494C">
        <w:rPr>
          <w:rFonts w:ascii="Arial" w:hAnsi="Arial" w:cs="Arial"/>
          <w:lang w:val="en-US"/>
        </w:rPr>
        <w:t xml:space="preserve">for </w:t>
      </w:r>
      <w:r w:rsidR="008E3825" w:rsidRPr="008F494C">
        <w:rPr>
          <w:rFonts w:ascii="Arial" w:hAnsi="Arial" w:cs="Arial"/>
          <w:lang w:val="en-US"/>
        </w:rPr>
        <w:t>R</w:t>
      </w:r>
      <w:r w:rsidRPr="008F494C">
        <w:rPr>
          <w:rFonts w:ascii="Arial" w:hAnsi="Arial" w:cs="Arial"/>
          <w:lang w:val="en-US"/>
        </w:rPr>
        <w:t>7.5 million and on 14 March 2016</w:t>
      </w:r>
      <w:r w:rsidR="008E3825" w:rsidRPr="008F494C">
        <w:rPr>
          <w:rFonts w:ascii="Arial" w:hAnsi="Arial" w:cs="Arial"/>
          <w:lang w:val="en-US"/>
        </w:rPr>
        <w:t>,</w:t>
      </w:r>
      <w:r w:rsidRPr="008F494C">
        <w:rPr>
          <w:rFonts w:ascii="Arial" w:hAnsi="Arial" w:cs="Arial"/>
          <w:lang w:val="en-US"/>
        </w:rPr>
        <w:t xml:space="preserve"> </w:t>
      </w:r>
      <w:r w:rsidR="008E3825" w:rsidRPr="008F494C">
        <w:rPr>
          <w:rFonts w:ascii="Arial" w:hAnsi="Arial" w:cs="Arial"/>
          <w:lang w:val="en-US"/>
        </w:rPr>
        <w:t>R</w:t>
      </w:r>
      <w:r w:rsidRPr="008F494C">
        <w:rPr>
          <w:rFonts w:ascii="Arial" w:hAnsi="Arial" w:cs="Arial"/>
          <w:lang w:val="en-US"/>
        </w:rPr>
        <w:t xml:space="preserve">oadshow </w:t>
      </w:r>
      <w:r w:rsidR="008E3825" w:rsidRPr="008F494C">
        <w:rPr>
          <w:rFonts w:ascii="Arial" w:hAnsi="Arial" w:cs="Arial"/>
          <w:lang w:val="en-US"/>
        </w:rPr>
        <w:t>M</w:t>
      </w:r>
      <w:r w:rsidRPr="008F494C">
        <w:rPr>
          <w:rFonts w:ascii="Arial" w:hAnsi="Arial" w:cs="Arial"/>
          <w:lang w:val="en-US"/>
        </w:rPr>
        <w:t>arketing transfer</w:t>
      </w:r>
      <w:r w:rsidR="009916A9" w:rsidRPr="008F494C">
        <w:rPr>
          <w:rFonts w:ascii="Arial" w:hAnsi="Arial" w:cs="Arial"/>
          <w:lang w:val="en-US"/>
        </w:rPr>
        <w:t>red</w:t>
      </w:r>
      <w:r w:rsidRPr="008F494C">
        <w:rPr>
          <w:rFonts w:ascii="Arial" w:hAnsi="Arial" w:cs="Arial"/>
          <w:lang w:val="en-US"/>
        </w:rPr>
        <w:t xml:space="preserve"> a further </w:t>
      </w:r>
      <w:r w:rsidR="0073566B" w:rsidRPr="008F494C">
        <w:rPr>
          <w:rFonts w:ascii="Arial" w:hAnsi="Arial" w:cs="Arial"/>
          <w:lang w:val="en-US"/>
        </w:rPr>
        <w:t>R</w:t>
      </w:r>
      <w:r w:rsidRPr="008F494C">
        <w:rPr>
          <w:rFonts w:ascii="Arial" w:hAnsi="Arial" w:cs="Arial"/>
          <w:lang w:val="en-US"/>
        </w:rPr>
        <w:t>361</w:t>
      </w:r>
      <w:r w:rsidR="0073566B" w:rsidRPr="008F494C">
        <w:rPr>
          <w:rFonts w:ascii="Arial" w:hAnsi="Arial" w:cs="Arial"/>
          <w:lang w:val="en-US"/>
        </w:rPr>
        <w:t> 0</w:t>
      </w:r>
      <w:r w:rsidRPr="008F494C">
        <w:rPr>
          <w:rFonts w:ascii="Arial" w:hAnsi="Arial" w:cs="Arial"/>
          <w:lang w:val="en-US"/>
        </w:rPr>
        <w:t>8</w:t>
      </w:r>
      <w:r w:rsidR="0073566B" w:rsidRPr="008F494C">
        <w:rPr>
          <w:rFonts w:ascii="Arial" w:hAnsi="Arial" w:cs="Arial"/>
          <w:lang w:val="en-US"/>
        </w:rPr>
        <w:t>0.</w:t>
      </w:r>
      <w:r w:rsidRPr="008F494C">
        <w:rPr>
          <w:rFonts w:ascii="Arial" w:hAnsi="Arial" w:cs="Arial"/>
          <w:lang w:val="en-US"/>
        </w:rPr>
        <w:t xml:space="preserve">04 to </w:t>
      </w:r>
      <w:r w:rsidR="0073566B" w:rsidRPr="008F494C">
        <w:rPr>
          <w:rFonts w:ascii="Arial" w:hAnsi="Arial" w:cs="Arial"/>
          <w:lang w:val="en-US"/>
        </w:rPr>
        <w:t>Celliers &amp; Reynders</w:t>
      </w:r>
      <w:r w:rsidR="00550814" w:rsidRPr="008F494C">
        <w:rPr>
          <w:rFonts w:ascii="Arial" w:hAnsi="Arial" w:cs="Arial"/>
          <w:lang w:val="en-US"/>
        </w:rPr>
        <w:t>…</w:t>
      </w:r>
    </w:p>
    <w:p w14:paraId="32FD6525" w14:textId="77777777" w:rsidR="009916A9" w:rsidRPr="008F494C" w:rsidRDefault="009916A9" w:rsidP="008F494C">
      <w:pPr>
        <w:pStyle w:val="ListParagraph"/>
        <w:spacing w:line="360" w:lineRule="auto"/>
        <w:rPr>
          <w:rFonts w:ascii="Arial" w:hAnsi="Arial" w:cs="Arial"/>
          <w:lang w:val="en-US"/>
        </w:rPr>
      </w:pPr>
    </w:p>
    <w:p w14:paraId="1CA0E4A9" w14:textId="7AA2CA8D" w:rsidR="00130A24" w:rsidRPr="008F494C" w:rsidRDefault="00F90A31" w:rsidP="008F494C">
      <w:pPr>
        <w:pStyle w:val="ListParagraph"/>
        <w:spacing w:line="360" w:lineRule="auto"/>
        <w:jc w:val="both"/>
        <w:rPr>
          <w:rFonts w:ascii="Arial" w:hAnsi="Arial" w:cs="Arial"/>
          <w:lang w:val="en-US"/>
        </w:rPr>
      </w:pPr>
      <w:r w:rsidRPr="008F494C">
        <w:rPr>
          <w:rFonts w:ascii="Arial" w:hAnsi="Arial" w:cs="Arial"/>
          <w:lang w:val="en-US"/>
        </w:rPr>
        <w:t xml:space="preserve">The </w:t>
      </w:r>
      <w:r w:rsidR="00F918A5" w:rsidRPr="008F494C">
        <w:rPr>
          <w:rFonts w:ascii="Arial" w:hAnsi="Arial" w:cs="Arial"/>
          <w:lang w:val="en-US"/>
        </w:rPr>
        <w:t xml:space="preserve">property was subsequently registered in the name of 999 </w:t>
      </w:r>
      <w:r w:rsidRPr="008F494C">
        <w:rPr>
          <w:rFonts w:ascii="Arial" w:hAnsi="Arial" w:cs="Arial"/>
          <w:lang w:val="en-US"/>
        </w:rPr>
        <w:t>M</w:t>
      </w:r>
      <w:r w:rsidR="00F918A5" w:rsidRPr="008F494C">
        <w:rPr>
          <w:rFonts w:ascii="Arial" w:hAnsi="Arial" w:cs="Arial"/>
          <w:lang w:val="en-US"/>
        </w:rPr>
        <w:t xml:space="preserve">usic which is </w:t>
      </w:r>
      <w:r w:rsidRPr="008F494C">
        <w:rPr>
          <w:rFonts w:ascii="Arial" w:hAnsi="Arial" w:cs="Arial"/>
          <w:lang w:val="en-US"/>
        </w:rPr>
        <w:t xml:space="preserve">still the registered </w:t>
      </w:r>
      <w:r w:rsidR="00F918A5" w:rsidRPr="008F494C">
        <w:rPr>
          <w:rFonts w:ascii="Arial" w:hAnsi="Arial" w:cs="Arial"/>
          <w:lang w:val="en-US"/>
        </w:rPr>
        <w:t>owne</w:t>
      </w:r>
      <w:r w:rsidRPr="008F494C">
        <w:rPr>
          <w:rFonts w:ascii="Arial" w:hAnsi="Arial" w:cs="Arial"/>
          <w:lang w:val="en-US"/>
        </w:rPr>
        <w:t>r.</w:t>
      </w:r>
      <w:r w:rsidR="00AB5164" w:rsidRPr="008F494C">
        <w:rPr>
          <w:rFonts w:ascii="Arial" w:hAnsi="Arial" w:cs="Arial"/>
          <w:lang w:val="en-US"/>
        </w:rPr>
        <w:t>”</w:t>
      </w:r>
      <w:r w:rsidR="00AB5164" w:rsidRPr="008F494C">
        <w:rPr>
          <w:rStyle w:val="FootnoteReference"/>
          <w:rFonts w:ascii="Arial" w:hAnsi="Arial" w:cs="Arial"/>
          <w:lang w:val="en-US"/>
        </w:rPr>
        <w:footnoteReference w:id="7"/>
      </w:r>
    </w:p>
    <w:p w14:paraId="5F10B562" w14:textId="77777777" w:rsidR="009916A9" w:rsidRPr="00933C28" w:rsidRDefault="009916A9" w:rsidP="009916A9">
      <w:pPr>
        <w:pStyle w:val="ListParagraph"/>
        <w:ind w:left="0"/>
        <w:jc w:val="both"/>
        <w:rPr>
          <w:rFonts w:ascii="Arial" w:hAnsi="Arial" w:cs="Arial"/>
          <w:sz w:val="24"/>
          <w:szCs w:val="24"/>
          <w:lang w:val="en-US"/>
        </w:rPr>
      </w:pPr>
    </w:p>
    <w:p w14:paraId="4E79A24B" w14:textId="77777777" w:rsidR="00B94353" w:rsidRPr="00933C28" w:rsidRDefault="00B94353" w:rsidP="00B94353">
      <w:pPr>
        <w:pStyle w:val="ListParagraph"/>
        <w:rPr>
          <w:rFonts w:ascii="Arial" w:hAnsi="Arial" w:cs="Arial"/>
          <w:sz w:val="24"/>
          <w:szCs w:val="24"/>
          <w:lang w:val="en-US"/>
        </w:rPr>
      </w:pPr>
    </w:p>
    <w:p w14:paraId="06A1AB14" w14:textId="154A17EE" w:rsidR="00D1661C" w:rsidRPr="00933C28" w:rsidRDefault="008F494C" w:rsidP="008F494C">
      <w:pPr>
        <w:pStyle w:val="ListParagraph"/>
        <w:ind w:left="0"/>
        <w:jc w:val="both"/>
        <w:rPr>
          <w:rFonts w:ascii="Arial" w:hAnsi="Arial" w:cs="Arial"/>
          <w:sz w:val="24"/>
          <w:szCs w:val="24"/>
          <w:lang w:val="en-US"/>
        </w:rPr>
      </w:pPr>
      <w:r>
        <w:rPr>
          <w:rFonts w:ascii="Arial" w:hAnsi="Arial" w:cs="Arial"/>
          <w:sz w:val="24"/>
          <w:szCs w:val="24"/>
          <w:lang w:val="en-US"/>
        </w:rPr>
        <w:t>[1</w:t>
      </w:r>
      <w:r w:rsidR="00FC6820">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r>
      <w:r w:rsidR="00D55E01" w:rsidRPr="00933C28">
        <w:rPr>
          <w:rFonts w:ascii="Arial" w:hAnsi="Arial" w:cs="Arial"/>
          <w:sz w:val="24"/>
          <w:szCs w:val="24"/>
          <w:lang w:val="en-US"/>
        </w:rPr>
        <w:t>T</w:t>
      </w:r>
      <w:r w:rsidR="00141413" w:rsidRPr="00933C28">
        <w:rPr>
          <w:rFonts w:ascii="Arial" w:hAnsi="Arial" w:cs="Arial"/>
          <w:sz w:val="24"/>
          <w:szCs w:val="24"/>
          <w:lang w:val="en-US"/>
        </w:rPr>
        <w:t xml:space="preserve">he </w:t>
      </w:r>
      <w:r w:rsidR="004C4963" w:rsidRPr="00933C28">
        <w:rPr>
          <w:rFonts w:ascii="Arial" w:hAnsi="Arial" w:cs="Arial"/>
          <w:sz w:val="24"/>
          <w:szCs w:val="24"/>
          <w:lang w:val="en-US"/>
        </w:rPr>
        <w:t>respondent submitted that</w:t>
      </w:r>
      <w:r w:rsidR="00276BBA" w:rsidRPr="00933C28">
        <w:rPr>
          <w:rFonts w:ascii="Arial" w:hAnsi="Arial" w:cs="Arial"/>
          <w:sz w:val="24"/>
          <w:szCs w:val="24"/>
          <w:lang w:val="en-US"/>
        </w:rPr>
        <w:t>:</w:t>
      </w:r>
    </w:p>
    <w:p w14:paraId="032CD604" w14:textId="77777777" w:rsidR="00D1661C" w:rsidRPr="00933C28" w:rsidRDefault="00D1661C" w:rsidP="00D1661C">
      <w:pPr>
        <w:pStyle w:val="ListParagraph"/>
        <w:rPr>
          <w:rFonts w:ascii="Arial" w:hAnsi="Arial" w:cs="Arial"/>
          <w:sz w:val="24"/>
          <w:szCs w:val="24"/>
          <w:lang w:val="en-US"/>
        </w:rPr>
      </w:pPr>
    </w:p>
    <w:p w14:paraId="66B53C32" w14:textId="0E8821B9" w:rsidR="00A21E88" w:rsidRDefault="00A03900" w:rsidP="00532630">
      <w:pPr>
        <w:pStyle w:val="ListParagraph"/>
        <w:spacing w:line="360" w:lineRule="auto"/>
        <w:ind w:hanging="11"/>
        <w:jc w:val="both"/>
        <w:rPr>
          <w:rFonts w:ascii="Arial" w:hAnsi="Arial" w:cs="Arial"/>
          <w:lang w:val="en-US"/>
        </w:rPr>
      </w:pPr>
      <w:r w:rsidRPr="008F494C">
        <w:rPr>
          <w:rFonts w:ascii="Arial" w:hAnsi="Arial" w:cs="Arial"/>
          <w:lang w:val="en-US"/>
        </w:rPr>
        <w:t>“SAADA completed a series of activities during the relevant time period, and I</w:t>
      </w:r>
      <w:r w:rsidR="008A5A45" w:rsidRPr="008F494C">
        <w:rPr>
          <w:rFonts w:ascii="Arial" w:hAnsi="Arial" w:cs="Arial"/>
          <w:lang w:val="en-US"/>
        </w:rPr>
        <w:t xml:space="preserve"> aver</w:t>
      </w:r>
      <w:r w:rsidRPr="008F494C">
        <w:rPr>
          <w:rFonts w:ascii="Arial" w:hAnsi="Arial" w:cs="Arial"/>
          <w:lang w:val="en-US"/>
        </w:rPr>
        <w:t xml:space="preserve"> that the grant funding, and more, was utilized for these activities. That is, expenses in relation to the activities were incurred during the course of the project and not necessarily on receipt of the tr</w:t>
      </w:r>
      <w:r w:rsidR="00437466" w:rsidRPr="008F494C">
        <w:rPr>
          <w:rFonts w:ascii="Arial" w:hAnsi="Arial" w:cs="Arial"/>
          <w:lang w:val="en-US"/>
        </w:rPr>
        <w:t>a</w:t>
      </w:r>
      <w:r w:rsidRPr="008F494C">
        <w:rPr>
          <w:rFonts w:ascii="Arial" w:hAnsi="Arial" w:cs="Arial"/>
          <w:lang w:val="en-US"/>
        </w:rPr>
        <w:t>nches paid to SA</w:t>
      </w:r>
      <w:r w:rsidR="00437466" w:rsidRPr="008F494C">
        <w:rPr>
          <w:rFonts w:ascii="Arial" w:hAnsi="Arial" w:cs="Arial"/>
          <w:lang w:val="en-US"/>
        </w:rPr>
        <w:t>A</w:t>
      </w:r>
      <w:r w:rsidRPr="008F494C">
        <w:rPr>
          <w:rFonts w:ascii="Arial" w:hAnsi="Arial" w:cs="Arial"/>
          <w:lang w:val="en-US"/>
        </w:rPr>
        <w:t>DA by the NLC.</w:t>
      </w:r>
      <w:r w:rsidR="00276BBA" w:rsidRPr="008F494C">
        <w:rPr>
          <w:rFonts w:ascii="Arial" w:hAnsi="Arial" w:cs="Arial"/>
          <w:lang w:val="en-US"/>
        </w:rPr>
        <w:t xml:space="preserve"> SAADA had to rely on service providers who could fund the project pending the receipt of the grant funding. Only </w:t>
      </w:r>
      <w:r w:rsidR="00437466" w:rsidRPr="008F494C">
        <w:rPr>
          <w:rFonts w:ascii="Arial" w:hAnsi="Arial" w:cs="Arial"/>
          <w:lang w:val="en-US"/>
        </w:rPr>
        <w:t>R</w:t>
      </w:r>
      <w:r w:rsidR="00276BBA" w:rsidRPr="008F494C">
        <w:rPr>
          <w:rFonts w:ascii="Arial" w:hAnsi="Arial" w:cs="Arial"/>
          <w:lang w:val="en-US"/>
        </w:rPr>
        <w:t xml:space="preserve">oadshow </w:t>
      </w:r>
      <w:r w:rsidR="00437466" w:rsidRPr="008F494C">
        <w:rPr>
          <w:rFonts w:ascii="Arial" w:hAnsi="Arial" w:cs="Arial"/>
          <w:lang w:val="en-US"/>
        </w:rPr>
        <w:t>M</w:t>
      </w:r>
      <w:r w:rsidR="00276BBA" w:rsidRPr="008F494C">
        <w:rPr>
          <w:rFonts w:ascii="Arial" w:hAnsi="Arial" w:cs="Arial"/>
          <w:lang w:val="en-US"/>
        </w:rPr>
        <w:t xml:space="preserve">arketing was such a service provider and it </w:t>
      </w:r>
      <w:r w:rsidR="008A5A45" w:rsidRPr="008F494C">
        <w:rPr>
          <w:rFonts w:ascii="Arial" w:hAnsi="Arial" w:cs="Arial"/>
          <w:lang w:val="en-US"/>
        </w:rPr>
        <w:t>duly</w:t>
      </w:r>
      <w:r w:rsidR="00276BBA" w:rsidRPr="008F494C">
        <w:rPr>
          <w:rFonts w:ascii="Arial" w:hAnsi="Arial" w:cs="Arial"/>
          <w:lang w:val="en-US"/>
        </w:rPr>
        <w:t xml:space="preserve"> invoiced S</w:t>
      </w:r>
      <w:r w:rsidR="00437466" w:rsidRPr="008F494C">
        <w:rPr>
          <w:rFonts w:ascii="Arial" w:hAnsi="Arial" w:cs="Arial"/>
          <w:lang w:val="en-US"/>
        </w:rPr>
        <w:t>A</w:t>
      </w:r>
      <w:r w:rsidR="00276BBA" w:rsidRPr="008F494C">
        <w:rPr>
          <w:rFonts w:ascii="Arial" w:hAnsi="Arial" w:cs="Arial"/>
          <w:lang w:val="en-US"/>
        </w:rPr>
        <w:t>ADA for the services provided. SA</w:t>
      </w:r>
      <w:r w:rsidR="00353121" w:rsidRPr="008F494C">
        <w:rPr>
          <w:rFonts w:ascii="Arial" w:hAnsi="Arial" w:cs="Arial"/>
          <w:lang w:val="en-US"/>
        </w:rPr>
        <w:t>A</w:t>
      </w:r>
      <w:r w:rsidR="00276BBA" w:rsidRPr="008F494C">
        <w:rPr>
          <w:rFonts w:ascii="Arial" w:hAnsi="Arial" w:cs="Arial"/>
          <w:lang w:val="en-US"/>
        </w:rPr>
        <w:t>DA finance the activities associated with the project and was reimbursed and the expenditure on receipt of the grant funding.”</w:t>
      </w:r>
      <w:r w:rsidR="00276BBA" w:rsidRPr="008F494C">
        <w:rPr>
          <w:rStyle w:val="FootnoteReference"/>
          <w:rFonts w:ascii="Arial" w:hAnsi="Arial" w:cs="Arial"/>
          <w:lang w:val="en-US"/>
        </w:rPr>
        <w:footnoteReference w:id="8"/>
      </w:r>
    </w:p>
    <w:p w14:paraId="2624B2EA" w14:textId="77777777" w:rsidR="008F494C" w:rsidRPr="008F494C" w:rsidRDefault="008F494C" w:rsidP="008F494C">
      <w:pPr>
        <w:pStyle w:val="ListParagraph"/>
        <w:spacing w:line="360" w:lineRule="auto"/>
        <w:ind w:firstLine="60"/>
        <w:jc w:val="both"/>
        <w:rPr>
          <w:rFonts w:ascii="Arial" w:hAnsi="Arial" w:cs="Arial"/>
          <w:lang w:val="en-US"/>
        </w:rPr>
      </w:pPr>
    </w:p>
    <w:p w14:paraId="50A94FB6" w14:textId="3FAB9ED9" w:rsidR="008F494C" w:rsidRDefault="008F494C" w:rsidP="008F494C">
      <w:pPr>
        <w:pStyle w:val="ListParagraph"/>
        <w:spacing w:line="360" w:lineRule="auto"/>
        <w:ind w:left="0"/>
        <w:jc w:val="both"/>
        <w:rPr>
          <w:rFonts w:ascii="Arial" w:hAnsi="Arial" w:cs="Arial"/>
          <w:lang w:val="en-US"/>
        </w:rPr>
      </w:pPr>
      <w:r w:rsidRPr="00FC6820">
        <w:rPr>
          <w:rFonts w:ascii="Arial" w:hAnsi="Arial" w:cs="Arial"/>
          <w:sz w:val="24"/>
          <w:szCs w:val="24"/>
          <w:lang w:val="en-US"/>
        </w:rPr>
        <w:t>[1</w:t>
      </w:r>
      <w:r w:rsidR="00FC6820" w:rsidRPr="00FC6820">
        <w:rPr>
          <w:rFonts w:ascii="Arial" w:hAnsi="Arial" w:cs="Arial"/>
          <w:sz w:val="24"/>
          <w:szCs w:val="24"/>
          <w:lang w:val="en-US"/>
        </w:rPr>
        <w:t>4</w:t>
      </w:r>
      <w:r w:rsidRPr="00FC6820">
        <w:rPr>
          <w:rFonts w:ascii="Arial" w:hAnsi="Arial" w:cs="Arial"/>
          <w:sz w:val="24"/>
          <w:szCs w:val="24"/>
          <w:lang w:val="en-US"/>
        </w:rPr>
        <w:t>]</w:t>
      </w:r>
      <w:r>
        <w:rPr>
          <w:rFonts w:ascii="Arial" w:hAnsi="Arial" w:cs="Arial"/>
          <w:lang w:val="en-US"/>
        </w:rPr>
        <w:tab/>
      </w:r>
      <w:r w:rsidR="00A21E88" w:rsidRPr="008F494C">
        <w:rPr>
          <w:rFonts w:ascii="Arial" w:hAnsi="Arial" w:cs="Arial"/>
          <w:sz w:val="24"/>
          <w:szCs w:val="24"/>
          <w:lang w:val="en-US"/>
        </w:rPr>
        <w:t xml:space="preserve">To amplify </w:t>
      </w:r>
      <w:r w:rsidR="00437466" w:rsidRPr="008F494C">
        <w:rPr>
          <w:rFonts w:ascii="Arial" w:hAnsi="Arial" w:cs="Arial"/>
          <w:sz w:val="24"/>
          <w:szCs w:val="24"/>
          <w:lang w:val="en-US"/>
        </w:rPr>
        <w:t>its</w:t>
      </w:r>
      <w:r w:rsidR="00A21E88" w:rsidRPr="008F494C">
        <w:rPr>
          <w:rFonts w:ascii="Arial" w:hAnsi="Arial" w:cs="Arial"/>
          <w:sz w:val="24"/>
          <w:szCs w:val="24"/>
          <w:lang w:val="en-US"/>
        </w:rPr>
        <w:t xml:space="preserve"> case, the respondent referred to bank statements</w:t>
      </w:r>
      <w:r w:rsidR="00D72C9C" w:rsidRPr="008F494C">
        <w:rPr>
          <w:rFonts w:ascii="Arial" w:hAnsi="Arial" w:cs="Arial"/>
          <w:sz w:val="24"/>
          <w:szCs w:val="24"/>
          <w:lang w:val="en-US"/>
        </w:rPr>
        <w:t xml:space="preserve"> </w:t>
      </w:r>
      <w:r w:rsidR="007B2FF2" w:rsidRPr="008F494C">
        <w:rPr>
          <w:rFonts w:ascii="Arial" w:hAnsi="Arial" w:cs="Arial"/>
          <w:sz w:val="24"/>
          <w:szCs w:val="24"/>
          <w:lang w:val="en-US"/>
        </w:rPr>
        <w:t xml:space="preserve">and </w:t>
      </w:r>
      <w:r w:rsidR="00A21E88" w:rsidRPr="008F494C">
        <w:rPr>
          <w:rFonts w:ascii="Arial" w:hAnsi="Arial" w:cs="Arial"/>
          <w:sz w:val="24"/>
          <w:szCs w:val="24"/>
          <w:lang w:val="en-US"/>
        </w:rPr>
        <w:t xml:space="preserve">invoices from </w:t>
      </w:r>
      <w:r w:rsidR="003045E9" w:rsidRPr="008F494C">
        <w:rPr>
          <w:rFonts w:ascii="Arial" w:hAnsi="Arial" w:cs="Arial"/>
          <w:sz w:val="24"/>
          <w:szCs w:val="24"/>
          <w:lang w:val="en-US"/>
        </w:rPr>
        <w:t>Roadshow Marketing</w:t>
      </w:r>
      <w:r w:rsidR="00A21E88" w:rsidRPr="008F494C">
        <w:rPr>
          <w:rFonts w:ascii="Arial" w:hAnsi="Arial" w:cs="Arial"/>
          <w:sz w:val="24"/>
          <w:szCs w:val="24"/>
          <w:lang w:val="en-US"/>
        </w:rPr>
        <w:t xml:space="preserve">, </w:t>
      </w:r>
      <w:r w:rsidR="007B2FF2" w:rsidRPr="008F494C">
        <w:rPr>
          <w:rFonts w:ascii="Arial" w:hAnsi="Arial" w:cs="Arial"/>
          <w:sz w:val="24"/>
          <w:szCs w:val="24"/>
          <w:lang w:val="en-US"/>
        </w:rPr>
        <w:t xml:space="preserve">invoice </w:t>
      </w:r>
      <w:r w:rsidR="00A21E88" w:rsidRPr="008F494C">
        <w:rPr>
          <w:rFonts w:ascii="Arial" w:hAnsi="Arial" w:cs="Arial"/>
          <w:sz w:val="24"/>
          <w:szCs w:val="24"/>
          <w:lang w:val="en-US"/>
        </w:rPr>
        <w:t xml:space="preserve">SM4 </w:t>
      </w:r>
      <w:r w:rsidR="0071668D" w:rsidRPr="008F494C">
        <w:rPr>
          <w:rFonts w:ascii="Arial" w:hAnsi="Arial" w:cs="Arial"/>
          <w:sz w:val="24"/>
          <w:szCs w:val="24"/>
          <w:lang w:val="en-US"/>
        </w:rPr>
        <w:t xml:space="preserve">for R3 440 121.00 </w:t>
      </w:r>
      <w:r w:rsidR="00A21E88" w:rsidRPr="008F494C">
        <w:rPr>
          <w:rFonts w:ascii="Arial" w:hAnsi="Arial" w:cs="Arial"/>
          <w:sz w:val="24"/>
          <w:szCs w:val="24"/>
          <w:lang w:val="en-US"/>
        </w:rPr>
        <w:t>and SM5</w:t>
      </w:r>
      <w:r w:rsidR="0071668D" w:rsidRPr="008F494C">
        <w:rPr>
          <w:rFonts w:ascii="Arial" w:hAnsi="Arial" w:cs="Arial"/>
          <w:sz w:val="24"/>
          <w:szCs w:val="24"/>
          <w:lang w:val="en-US"/>
        </w:rPr>
        <w:t xml:space="preserve"> for R1 077 300</w:t>
      </w:r>
      <w:r w:rsidR="00A21E88" w:rsidRPr="008F494C">
        <w:rPr>
          <w:rFonts w:ascii="Arial" w:hAnsi="Arial" w:cs="Arial"/>
          <w:sz w:val="24"/>
          <w:szCs w:val="24"/>
          <w:lang w:val="en-US"/>
        </w:rPr>
        <w:t>.</w:t>
      </w:r>
      <w:r w:rsidR="0071668D" w:rsidRPr="008F494C">
        <w:rPr>
          <w:rFonts w:ascii="Arial" w:hAnsi="Arial" w:cs="Arial"/>
          <w:sz w:val="24"/>
          <w:szCs w:val="24"/>
          <w:lang w:val="en-US"/>
        </w:rPr>
        <w:t>00</w:t>
      </w:r>
      <w:r w:rsidR="00D72C9C" w:rsidRPr="008F494C">
        <w:rPr>
          <w:rFonts w:ascii="Arial" w:hAnsi="Arial" w:cs="Arial"/>
          <w:sz w:val="24"/>
          <w:szCs w:val="24"/>
          <w:lang w:val="en-US"/>
        </w:rPr>
        <w:t>,</w:t>
      </w:r>
      <w:r w:rsidR="0071668D" w:rsidRPr="008F494C">
        <w:rPr>
          <w:rFonts w:ascii="Arial" w:hAnsi="Arial" w:cs="Arial"/>
          <w:sz w:val="24"/>
          <w:szCs w:val="24"/>
          <w:lang w:val="en-US"/>
        </w:rPr>
        <w:t xml:space="preserve"> </w:t>
      </w:r>
      <w:r w:rsidR="00D72C9C" w:rsidRPr="008F494C">
        <w:rPr>
          <w:rFonts w:ascii="Arial" w:hAnsi="Arial" w:cs="Arial"/>
          <w:sz w:val="24"/>
          <w:szCs w:val="24"/>
          <w:lang w:val="en-US"/>
        </w:rPr>
        <w:t>which reflect</w:t>
      </w:r>
      <w:r w:rsidR="003045E9" w:rsidRPr="008F494C">
        <w:rPr>
          <w:rFonts w:ascii="Arial" w:hAnsi="Arial" w:cs="Arial"/>
          <w:sz w:val="24"/>
          <w:szCs w:val="24"/>
          <w:lang w:val="en-US"/>
        </w:rPr>
        <w:t>ed</w:t>
      </w:r>
      <w:r w:rsidR="00D72C9C" w:rsidRPr="008F494C">
        <w:rPr>
          <w:rFonts w:ascii="Arial" w:hAnsi="Arial" w:cs="Arial"/>
          <w:sz w:val="24"/>
          <w:szCs w:val="24"/>
          <w:lang w:val="en-US"/>
        </w:rPr>
        <w:t xml:space="preserve"> the work done by Road</w:t>
      </w:r>
      <w:r w:rsidR="00EE315C" w:rsidRPr="008F494C">
        <w:rPr>
          <w:rFonts w:ascii="Arial" w:hAnsi="Arial" w:cs="Arial"/>
          <w:sz w:val="24"/>
          <w:szCs w:val="24"/>
          <w:lang w:val="en-US"/>
        </w:rPr>
        <w:t>show Marketing.</w:t>
      </w:r>
      <w:r w:rsidR="00D72C9C" w:rsidRPr="008F494C">
        <w:rPr>
          <w:rFonts w:ascii="Arial" w:hAnsi="Arial" w:cs="Arial"/>
          <w:sz w:val="24"/>
          <w:szCs w:val="24"/>
          <w:lang w:val="en-US"/>
        </w:rPr>
        <w:t xml:space="preserve"> </w:t>
      </w:r>
      <w:r w:rsidR="00DA5F2E" w:rsidRPr="008F494C">
        <w:rPr>
          <w:rFonts w:ascii="Arial" w:hAnsi="Arial" w:cs="Arial"/>
          <w:sz w:val="24"/>
          <w:szCs w:val="24"/>
          <w:lang w:val="en-US"/>
        </w:rPr>
        <w:t>Furthermore, the respondent stated that</w:t>
      </w:r>
      <w:r w:rsidR="00DA5F2E" w:rsidRPr="008F494C">
        <w:rPr>
          <w:rFonts w:ascii="Arial" w:hAnsi="Arial" w:cs="Arial"/>
          <w:lang w:val="en-US"/>
        </w:rPr>
        <w:t xml:space="preserve">: </w:t>
      </w:r>
    </w:p>
    <w:p w14:paraId="54BE8DE7" w14:textId="742206F1" w:rsidR="003C0E99" w:rsidRPr="008F494C" w:rsidRDefault="00DA5F2E" w:rsidP="008F494C">
      <w:pPr>
        <w:pStyle w:val="ListParagraph"/>
        <w:spacing w:line="360" w:lineRule="auto"/>
        <w:jc w:val="both"/>
        <w:rPr>
          <w:rFonts w:ascii="Arial" w:hAnsi="Arial" w:cs="Arial"/>
          <w:lang w:val="en-US"/>
        </w:rPr>
      </w:pPr>
      <w:r w:rsidRPr="008F494C">
        <w:rPr>
          <w:rFonts w:ascii="Arial" w:hAnsi="Arial" w:cs="Arial"/>
          <w:lang w:val="en-US"/>
        </w:rPr>
        <w:t>“</w:t>
      </w:r>
      <w:r w:rsidR="008F494C">
        <w:rPr>
          <w:rFonts w:ascii="Arial" w:hAnsi="Arial" w:cs="Arial"/>
          <w:lang w:val="en-US"/>
        </w:rPr>
        <w:t>[T]</w:t>
      </w:r>
      <w:r w:rsidRPr="008F494C">
        <w:rPr>
          <w:rFonts w:ascii="Arial" w:hAnsi="Arial" w:cs="Arial"/>
          <w:lang w:val="en-US"/>
        </w:rPr>
        <w:t xml:space="preserve">here is irrefutable evidence of nationwide workshops and talent search competition that led to a number of artists being discovered, </w:t>
      </w:r>
      <w:r w:rsidR="00DB6679" w:rsidRPr="008F494C">
        <w:rPr>
          <w:rFonts w:ascii="Arial" w:hAnsi="Arial" w:cs="Arial"/>
          <w:lang w:val="en-US"/>
        </w:rPr>
        <w:t xml:space="preserve">who </w:t>
      </w:r>
      <w:r w:rsidRPr="008F494C">
        <w:rPr>
          <w:rFonts w:ascii="Arial" w:hAnsi="Arial" w:cs="Arial"/>
          <w:lang w:val="en-US"/>
        </w:rPr>
        <w:t>were able to record albums, which the applicant conveniently ignored. Mention must also be made of the female artist, C</w:t>
      </w:r>
      <w:r w:rsidR="00DB6679" w:rsidRPr="008F494C">
        <w:rPr>
          <w:rFonts w:ascii="Arial" w:hAnsi="Arial" w:cs="Arial"/>
          <w:lang w:val="en-US"/>
        </w:rPr>
        <w:t>ici</w:t>
      </w:r>
      <w:r w:rsidRPr="008F494C">
        <w:rPr>
          <w:rFonts w:ascii="Arial" w:hAnsi="Arial" w:cs="Arial"/>
          <w:lang w:val="en-US"/>
        </w:rPr>
        <w:t xml:space="preserve">, who was the ultimate winner of the contest and went on to obtain a recording deal </w:t>
      </w:r>
      <w:r w:rsidRPr="008F494C">
        <w:rPr>
          <w:rFonts w:ascii="Arial" w:hAnsi="Arial" w:cs="Arial"/>
          <w:lang w:val="en-US"/>
        </w:rPr>
        <w:lastRenderedPageBreak/>
        <w:t>with the respondent. This demonstrates that the grant</w:t>
      </w:r>
      <w:r w:rsidRPr="00933C28">
        <w:rPr>
          <w:rFonts w:ascii="Arial" w:hAnsi="Arial" w:cs="Arial"/>
          <w:sz w:val="24"/>
          <w:szCs w:val="24"/>
          <w:lang w:val="en-US"/>
        </w:rPr>
        <w:t xml:space="preserve"> </w:t>
      </w:r>
      <w:r w:rsidRPr="008F494C">
        <w:rPr>
          <w:rFonts w:ascii="Arial" w:hAnsi="Arial" w:cs="Arial"/>
          <w:lang w:val="en-US"/>
        </w:rPr>
        <w:t xml:space="preserve">funding from the NLC was indeed used for its intended </w:t>
      </w:r>
      <w:r w:rsidR="008F494C" w:rsidRPr="008F494C">
        <w:rPr>
          <w:rFonts w:ascii="Arial" w:hAnsi="Arial" w:cs="Arial"/>
          <w:lang w:val="en-US"/>
        </w:rPr>
        <w:t>purpose,</w:t>
      </w:r>
      <w:r w:rsidRPr="008F494C">
        <w:rPr>
          <w:rFonts w:ascii="Arial" w:hAnsi="Arial" w:cs="Arial"/>
          <w:lang w:val="en-US"/>
        </w:rPr>
        <w:t xml:space="preserve"> and it actually produced tangible results</w:t>
      </w:r>
      <w:r w:rsidRPr="00933C28">
        <w:rPr>
          <w:rFonts w:ascii="Arial" w:hAnsi="Arial" w:cs="Arial"/>
          <w:sz w:val="24"/>
          <w:szCs w:val="24"/>
          <w:lang w:val="en-US"/>
        </w:rPr>
        <w:t>.”</w:t>
      </w:r>
      <w:r w:rsidRPr="00933C28">
        <w:rPr>
          <w:rStyle w:val="FootnoteReference"/>
          <w:rFonts w:ascii="Arial" w:hAnsi="Arial" w:cs="Arial"/>
          <w:sz w:val="24"/>
          <w:szCs w:val="24"/>
          <w:lang w:val="en-US"/>
        </w:rPr>
        <w:footnoteReference w:id="9"/>
      </w:r>
    </w:p>
    <w:p w14:paraId="7306E5CA" w14:textId="77777777" w:rsidR="003C0E99" w:rsidRPr="00933C28" w:rsidRDefault="003C0E99" w:rsidP="004E2D6A">
      <w:pPr>
        <w:jc w:val="both"/>
        <w:rPr>
          <w:rFonts w:ascii="Arial" w:hAnsi="Arial" w:cs="Arial"/>
          <w:sz w:val="24"/>
          <w:szCs w:val="24"/>
          <w:lang w:val="en-US"/>
        </w:rPr>
      </w:pPr>
    </w:p>
    <w:p w14:paraId="6D2144D3" w14:textId="65409B76" w:rsidR="00D55E01" w:rsidRPr="000E0B6C" w:rsidRDefault="00301109" w:rsidP="004E2D6A">
      <w:pPr>
        <w:jc w:val="both"/>
        <w:rPr>
          <w:rFonts w:ascii="Arial" w:hAnsi="Arial" w:cs="Arial"/>
          <w:i/>
          <w:iCs/>
          <w:sz w:val="24"/>
          <w:szCs w:val="24"/>
        </w:rPr>
      </w:pPr>
      <w:r w:rsidRPr="00933C28">
        <w:rPr>
          <w:rFonts w:ascii="Arial" w:hAnsi="Arial" w:cs="Arial"/>
          <w:i/>
          <w:iCs/>
          <w:sz w:val="24"/>
          <w:szCs w:val="24"/>
        </w:rPr>
        <w:t>The law</w:t>
      </w:r>
    </w:p>
    <w:p w14:paraId="25CC221F" w14:textId="4E22E16B" w:rsidR="006726BB" w:rsidRPr="000E0B6C" w:rsidRDefault="000E0B6C" w:rsidP="000E0B6C">
      <w:pPr>
        <w:pStyle w:val="ListParagraph"/>
        <w:spacing w:line="360" w:lineRule="auto"/>
        <w:ind w:left="0"/>
        <w:jc w:val="both"/>
        <w:rPr>
          <w:rFonts w:ascii="Arial" w:hAnsi="Arial" w:cs="Arial"/>
          <w:sz w:val="24"/>
          <w:szCs w:val="24"/>
        </w:rPr>
      </w:pPr>
      <w:r>
        <w:rPr>
          <w:rFonts w:ascii="Arial" w:hAnsi="Arial" w:cs="Arial"/>
          <w:sz w:val="24"/>
          <w:szCs w:val="24"/>
        </w:rPr>
        <w:t>[1</w:t>
      </w:r>
      <w:r w:rsidR="00FC6820">
        <w:rPr>
          <w:rFonts w:ascii="Arial" w:hAnsi="Arial" w:cs="Arial"/>
          <w:sz w:val="24"/>
          <w:szCs w:val="24"/>
        </w:rPr>
        <w:t>5</w:t>
      </w:r>
      <w:r>
        <w:rPr>
          <w:rFonts w:ascii="Arial" w:hAnsi="Arial" w:cs="Arial"/>
          <w:sz w:val="24"/>
          <w:szCs w:val="24"/>
        </w:rPr>
        <w:t>]</w:t>
      </w:r>
      <w:r>
        <w:rPr>
          <w:rFonts w:ascii="Arial" w:hAnsi="Arial" w:cs="Arial"/>
          <w:sz w:val="24"/>
          <w:szCs w:val="24"/>
        </w:rPr>
        <w:tab/>
      </w:r>
      <w:r w:rsidR="006726BB" w:rsidRPr="000E0B6C">
        <w:rPr>
          <w:rFonts w:ascii="Arial" w:hAnsi="Arial" w:cs="Arial"/>
          <w:sz w:val="24"/>
          <w:szCs w:val="24"/>
        </w:rPr>
        <w:t xml:space="preserve"> Section 38 of the Prevention of Organised Crime Act 121 of 1998 reads: </w:t>
      </w:r>
    </w:p>
    <w:p w14:paraId="48B516FB" w14:textId="22C10DD6" w:rsidR="006726BB" w:rsidRPr="000E0B6C" w:rsidRDefault="006726BB" w:rsidP="009C177B">
      <w:pPr>
        <w:spacing w:line="360" w:lineRule="auto"/>
        <w:ind w:left="851"/>
        <w:jc w:val="both"/>
        <w:rPr>
          <w:rFonts w:ascii="Arial" w:hAnsi="Arial" w:cs="Arial"/>
        </w:rPr>
      </w:pPr>
      <w:r w:rsidRPr="000E0B6C">
        <w:rPr>
          <w:rFonts w:ascii="Arial" w:hAnsi="Arial" w:cs="Arial"/>
        </w:rPr>
        <w:t>“</w:t>
      </w:r>
      <w:r w:rsidR="000E0B6C" w:rsidRPr="000E0B6C">
        <w:rPr>
          <w:rFonts w:ascii="Arial" w:hAnsi="Arial" w:cs="Arial"/>
        </w:rPr>
        <w:t xml:space="preserve">(38) </w:t>
      </w:r>
      <w:r w:rsidRPr="000E0B6C">
        <w:rPr>
          <w:rFonts w:ascii="Arial" w:hAnsi="Arial" w:cs="Arial"/>
        </w:rPr>
        <w:t>Preservation of property orders</w:t>
      </w:r>
    </w:p>
    <w:p w14:paraId="663F7578" w14:textId="3B4E29E2" w:rsidR="006726BB" w:rsidRPr="000E0B6C" w:rsidRDefault="006726BB" w:rsidP="000E0B6C">
      <w:pPr>
        <w:spacing w:line="360" w:lineRule="auto"/>
        <w:ind w:left="1440"/>
        <w:jc w:val="both"/>
        <w:rPr>
          <w:rFonts w:ascii="Arial" w:hAnsi="Arial" w:cs="Arial"/>
        </w:rPr>
      </w:pPr>
      <w:r w:rsidRPr="000E0B6C">
        <w:rPr>
          <w:rFonts w:ascii="Arial" w:hAnsi="Arial" w:cs="Arial"/>
        </w:rPr>
        <w:t xml:space="preserve">(1) The National Director may by way of an </w:t>
      </w:r>
      <w:r w:rsidRPr="000E0B6C">
        <w:rPr>
          <w:rFonts w:ascii="Arial" w:hAnsi="Arial" w:cs="Arial"/>
          <w:i/>
          <w:iCs/>
        </w:rPr>
        <w:t>ex parte</w:t>
      </w:r>
      <w:r w:rsidRPr="000E0B6C">
        <w:rPr>
          <w:rFonts w:ascii="Arial" w:hAnsi="Arial" w:cs="Arial"/>
        </w:rPr>
        <w:t xml:space="preserve"> application apply to a High Court for an order prohibiting any person, subject to such conditions and exceptions as may be specified in the order, from dealing in any manner with any property.</w:t>
      </w:r>
    </w:p>
    <w:p w14:paraId="2B8A7814" w14:textId="46E2509E" w:rsidR="006726BB" w:rsidRPr="000E0B6C" w:rsidRDefault="006726BB" w:rsidP="000E0B6C">
      <w:pPr>
        <w:spacing w:line="360" w:lineRule="auto"/>
        <w:ind w:left="1440"/>
        <w:jc w:val="both"/>
        <w:rPr>
          <w:rFonts w:ascii="Arial" w:hAnsi="Arial" w:cs="Arial"/>
        </w:rPr>
      </w:pPr>
      <w:r w:rsidRPr="000E0B6C">
        <w:rPr>
          <w:rFonts w:ascii="Arial" w:hAnsi="Arial" w:cs="Arial"/>
        </w:rPr>
        <w:t xml:space="preserve">(2) The High Court shall make an order referred to in subsection (1) if there are reasonable grounds to believe that the property concerned— </w:t>
      </w:r>
    </w:p>
    <w:p w14:paraId="7A2D57ED" w14:textId="77777777" w:rsidR="006726BB" w:rsidRPr="000E0B6C" w:rsidRDefault="006726BB" w:rsidP="000E0B6C">
      <w:pPr>
        <w:spacing w:line="360" w:lineRule="auto"/>
        <w:ind w:left="2160"/>
        <w:jc w:val="both"/>
        <w:rPr>
          <w:rFonts w:ascii="Arial" w:hAnsi="Arial" w:cs="Arial"/>
        </w:rPr>
      </w:pPr>
      <w:r w:rsidRPr="000E0B6C">
        <w:rPr>
          <w:rFonts w:ascii="Arial" w:hAnsi="Arial" w:cs="Arial"/>
        </w:rPr>
        <w:t>(a) is an instrumentality of an offence referred to in Schedule 1; or</w:t>
      </w:r>
    </w:p>
    <w:p w14:paraId="389315EF" w14:textId="2B7AEDEF" w:rsidR="006726BB" w:rsidRPr="000E0B6C" w:rsidRDefault="006726BB" w:rsidP="000E0B6C">
      <w:pPr>
        <w:spacing w:line="360" w:lineRule="auto"/>
        <w:ind w:left="1440" w:firstLine="720"/>
        <w:jc w:val="both"/>
        <w:rPr>
          <w:rFonts w:ascii="Arial" w:hAnsi="Arial" w:cs="Arial"/>
        </w:rPr>
      </w:pPr>
      <w:r w:rsidRPr="000E0B6C">
        <w:rPr>
          <w:rFonts w:ascii="Arial" w:hAnsi="Arial" w:cs="Arial"/>
        </w:rPr>
        <w:t xml:space="preserve"> (b) </w:t>
      </w:r>
      <w:r w:rsidR="000E0B6C" w:rsidRPr="000E0B6C">
        <w:rPr>
          <w:rFonts w:ascii="Arial" w:hAnsi="Arial" w:cs="Arial"/>
        </w:rPr>
        <w:t>are</w:t>
      </w:r>
      <w:r w:rsidRPr="000E0B6C">
        <w:rPr>
          <w:rFonts w:ascii="Arial" w:hAnsi="Arial" w:cs="Arial"/>
        </w:rPr>
        <w:t xml:space="preserve"> the proceeds of unlawful activities. </w:t>
      </w:r>
    </w:p>
    <w:p w14:paraId="3B69412D" w14:textId="4C62CB42" w:rsidR="001B50D1" w:rsidRPr="00092FE6" w:rsidRDefault="001B50D1" w:rsidP="001B50D1">
      <w:pPr>
        <w:spacing w:line="360" w:lineRule="auto"/>
        <w:ind w:left="1440"/>
        <w:jc w:val="both"/>
        <w:rPr>
          <w:rFonts w:ascii="Arial" w:hAnsi="Arial" w:cs="Arial"/>
        </w:rPr>
      </w:pPr>
      <w:r>
        <w:rPr>
          <w:rFonts w:ascii="Arial" w:hAnsi="Arial" w:cs="Arial"/>
        </w:rPr>
        <w:t>(3)</w:t>
      </w:r>
      <w:r w:rsidRPr="00092FE6">
        <w:rPr>
          <w:rFonts w:ascii="Arial" w:hAnsi="Arial" w:cs="Arial"/>
        </w:rPr>
        <w:t xml:space="preserve"> A High Court making a preservation of property order [may when it makes the order or at any time thereafter,] shall at the same time </w:t>
      </w:r>
      <w:r w:rsidR="00F930C1">
        <w:rPr>
          <w:rFonts w:ascii="Arial" w:hAnsi="Arial" w:cs="Arial"/>
        </w:rPr>
        <w:t xml:space="preserve">make </w:t>
      </w:r>
      <w:r w:rsidRPr="00092FE6">
        <w:rPr>
          <w:rFonts w:ascii="Arial" w:hAnsi="Arial" w:cs="Arial"/>
        </w:rPr>
        <w:t>an order authorising the seizure of the property concerned by a police official. and any other ancillary orders that the court considers appropriate for the proper, fair and effective execution of the order [</w:t>
      </w:r>
      <w:r w:rsidR="00F930C1">
        <w:rPr>
          <w:rFonts w:ascii="Arial" w:hAnsi="Arial" w:cs="Arial"/>
        </w:rPr>
        <w:t>,</w:t>
      </w:r>
      <w:r w:rsidRPr="00092FE6">
        <w:rPr>
          <w:rFonts w:ascii="Arial" w:hAnsi="Arial" w:cs="Arial"/>
        </w:rPr>
        <w:t xml:space="preserve"> including an order authorising the seizure of the property concerned by a police official]</w:t>
      </w:r>
      <w:r>
        <w:rPr>
          <w:rFonts w:ascii="Arial" w:hAnsi="Arial" w:cs="Arial"/>
        </w:rPr>
        <w:t>.”</w:t>
      </w:r>
      <w:r>
        <w:rPr>
          <w:rStyle w:val="FootnoteReference"/>
          <w:rFonts w:ascii="Arial" w:hAnsi="Arial" w:cs="Arial"/>
        </w:rPr>
        <w:footnoteReference w:id="10"/>
      </w:r>
    </w:p>
    <w:p w14:paraId="446CEE31" w14:textId="7EF0F508" w:rsidR="00092FE6" w:rsidRDefault="001B50D1" w:rsidP="001B50D1">
      <w:pPr>
        <w:spacing w:after="0" w:line="360" w:lineRule="auto"/>
        <w:ind w:left="1440"/>
        <w:jc w:val="both"/>
        <w:rPr>
          <w:rFonts w:ascii="Arial" w:hAnsi="Arial" w:cs="Arial"/>
        </w:rPr>
      </w:pPr>
      <w:r>
        <w:rPr>
          <w:rFonts w:ascii="Arial" w:hAnsi="Arial" w:cs="Arial"/>
        </w:rPr>
        <w:t>(</w:t>
      </w:r>
      <w:r w:rsidR="006726BB" w:rsidRPr="000E0B6C">
        <w:rPr>
          <w:rFonts w:ascii="Arial" w:hAnsi="Arial" w:cs="Arial"/>
        </w:rPr>
        <w:t>4) Property seized under subsection (3) shall be dealt with in accordance with the directions of the High Court which made the relevant preservation of property order</w:t>
      </w:r>
      <w:r>
        <w:rPr>
          <w:rFonts w:ascii="Arial" w:hAnsi="Arial" w:cs="Arial"/>
        </w:rPr>
        <w:t>.”</w:t>
      </w:r>
    </w:p>
    <w:p w14:paraId="64CEB413" w14:textId="77777777" w:rsidR="001B50D1" w:rsidRPr="001B50D1" w:rsidRDefault="001B50D1" w:rsidP="001B50D1">
      <w:pPr>
        <w:spacing w:after="0" w:line="360" w:lineRule="auto"/>
        <w:jc w:val="both"/>
        <w:rPr>
          <w:rFonts w:ascii="Arial" w:hAnsi="Arial" w:cs="Arial"/>
          <w:sz w:val="24"/>
          <w:szCs w:val="24"/>
        </w:rPr>
      </w:pPr>
    </w:p>
    <w:p w14:paraId="097A8A27" w14:textId="3710B686" w:rsidR="00B372D0" w:rsidRPr="00933C28" w:rsidRDefault="000E0B6C" w:rsidP="001B50D1">
      <w:pPr>
        <w:pStyle w:val="ListParagraph"/>
        <w:spacing w:after="0" w:line="360" w:lineRule="auto"/>
        <w:ind w:left="0"/>
        <w:jc w:val="both"/>
        <w:rPr>
          <w:rFonts w:ascii="Arial" w:hAnsi="Arial" w:cs="Arial"/>
          <w:sz w:val="24"/>
          <w:szCs w:val="24"/>
          <w:lang w:val="en-US"/>
        </w:rPr>
      </w:pPr>
      <w:r>
        <w:rPr>
          <w:rFonts w:ascii="Arial" w:hAnsi="Arial" w:cs="Arial"/>
          <w:sz w:val="24"/>
          <w:szCs w:val="24"/>
        </w:rPr>
        <w:t>[1</w:t>
      </w:r>
      <w:r w:rsidR="00FC6820">
        <w:rPr>
          <w:rFonts w:ascii="Arial" w:hAnsi="Arial" w:cs="Arial"/>
          <w:sz w:val="24"/>
          <w:szCs w:val="24"/>
        </w:rPr>
        <w:t>6</w:t>
      </w:r>
      <w:r>
        <w:rPr>
          <w:rFonts w:ascii="Arial" w:hAnsi="Arial" w:cs="Arial"/>
          <w:sz w:val="24"/>
          <w:szCs w:val="24"/>
        </w:rPr>
        <w:t>]</w:t>
      </w:r>
      <w:r>
        <w:rPr>
          <w:rFonts w:ascii="Arial" w:hAnsi="Arial" w:cs="Arial"/>
          <w:sz w:val="24"/>
          <w:szCs w:val="24"/>
        </w:rPr>
        <w:tab/>
      </w:r>
      <w:r w:rsidR="00810368" w:rsidRPr="00933C28">
        <w:rPr>
          <w:rFonts w:ascii="Arial" w:hAnsi="Arial" w:cs="Arial"/>
          <w:sz w:val="24"/>
          <w:szCs w:val="24"/>
        </w:rPr>
        <w:t xml:space="preserve">At the risk of stating the </w:t>
      </w:r>
      <w:r w:rsidR="00E50F0F" w:rsidRPr="00933C28">
        <w:rPr>
          <w:rFonts w:ascii="Arial" w:hAnsi="Arial" w:cs="Arial"/>
          <w:sz w:val="24"/>
          <w:szCs w:val="24"/>
        </w:rPr>
        <w:t>obvious</w:t>
      </w:r>
      <w:r w:rsidR="00810368" w:rsidRPr="00933C28">
        <w:rPr>
          <w:rFonts w:ascii="Arial" w:hAnsi="Arial" w:cs="Arial"/>
          <w:sz w:val="24"/>
          <w:szCs w:val="24"/>
        </w:rPr>
        <w:t>,</w:t>
      </w:r>
      <w:r w:rsidR="00E50F0F" w:rsidRPr="00933C28">
        <w:rPr>
          <w:rFonts w:ascii="Arial" w:hAnsi="Arial" w:cs="Arial"/>
          <w:sz w:val="24"/>
          <w:szCs w:val="24"/>
        </w:rPr>
        <w:t xml:space="preserve"> a preservation order is </w:t>
      </w:r>
      <w:r w:rsidR="00810368" w:rsidRPr="00933C28">
        <w:rPr>
          <w:rFonts w:ascii="Arial" w:hAnsi="Arial" w:cs="Arial"/>
          <w:sz w:val="24"/>
          <w:szCs w:val="24"/>
        </w:rPr>
        <w:t xml:space="preserve">meant </w:t>
      </w:r>
      <w:r w:rsidR="00E50F0F" w:rsidRPr="00933C28">
        <w:rPr>
          <w:rFonts w:ascii="Arial" w:hAnsi="Arial" w:cs="Arial"/>
          <w:sz w:val="24"/>
          <w:szCs w:val="24"/>
        </w:rPr>
        <w:t>to preserve the</w:t>
      </w:r>
      <w:r w:rsidR="00D5552F" w:rsidRPr="00933C28">
        <w:rPr>
          <w:rFonts w:ascii="Arial" w:hAnsi="Arial" w:cs="Arial"/>
          <w:sz w:val="24"/>
          <w:szCs w:val="24"/>
        </w:rPr>
        <w:t xml:space="preserve"> property</w:t>
      </w:r>
      <w:r w:rsidR="00E50F0F" w:rsidRPr="00933C28">
        <w:rPr>
          <w:rFonts w:ascii="Arial" w:hAnsi="Arial" w:cs="Arial"/>
          <w:sz w:val="24"/>
          <w:szCs w:val="24"/>
        </w:rPr>
        <w:t xml:space="preserve"> </w:t>
      </w:r>
      <w:r w:rsidR="00810368" w:rsidRPr="00933C28">
        <w:rPr>
          <w:rFonts w:ascii="Arial" w:hAnsi="Arial" w:cs="Arial"/>
          <w:sz w:val="24"/>
          <w:szCs w:val="24"/>
        </w:rPr>
        <w:t>in question</w:t>
      </w:r>
      <w:r w:rsidR="00E50F0F" w:rsidRPr="00933C28">
        <w:rPr>
          <w:rFonts w:ascii="Arial" w:hAnsi="Arial" w:cs="Arial"/>
          <w:sz w:val="24"/>
          <w:szCs w:val="24"/>
        </w:rPr>
        <w:t xml:space="preserve"> until a court</w:t>
      </w:r>
      <w:r w:rsidR="003C1DB2" w:rsidRPr="00933C28">
        <w:rPr>
          <w:rFonts w:ascii="Arial" w:hAnsi="Arial" w:cs="Arial"/>
          <w:sz w:val="24"/>
          <w:szCs w:val="24"/>
        </w:rPr>
        <w:t xml:space="preserve"> decides </w:t>
      </w:r>
      <w:r w:rsidR="00D02B62" w:rsidRPr="00933C28">
        <w:rPr>
          <w:rFonts w:ascii="Arial" w:hAnsi="Arial" w:cs="Arial"/>
          <w:sz w:val="24"/>
          <w:szCs w:val="24"/>
        </w:rPr>
        <w:t>whether</w:t>
      </w:r>
      <w:r w:rsidR="003C1DB2" w:rsidRPr="00933C28">
        <w:rPr>
          <w:rFonts w:ascii="Arial" w:hAnsi="Arial" w:cs="Arial"/>
          <w:sz w:val="24"/>
          <w:szCs w:val="24"/>
        </w:rPr>
        <w:t xml:space="preserve"> it should be </w:t>
      </w:r>
      <w:r w:rsidR="005B0259" w:rsidRPr="00933C28">
        <w:rPr>
          <w:rFonts w:ascii="Arial" w:hAnsi="Arial" w:cs="Arial"/>
          <w:sz w:val="24"/>
          <w:szCs w:val="24"/>
        </w:rPr>
        <w:t>forfeit</w:t>
      </w:r>
      <w:r w:rsidR="003C1DB2" w:rsidRPr="00933C28">
        <w:rPr>
          <w:rFonts w:ascii="Arial" w:hAnsi="Arial" w:cs="Arial"/>
          <w:sz w:val="24"/>
          <w:szCs w:val="24"/>
        </w:rPr>
        <w:t>ed t</w:t>
      </w:r>
      <w:r w:rsidR="005B0259" w:rsidRPr="00933C28">
        <w:rPr>
          <w:rFonts w:ascii="Arial" w:hAnsi="Arial" w:cs="Arial"/>
          <w:sz w:val="24"/>
          <w:szCs w:val="24"/>
        </w:rPr>
        <w:t>o the state or not.</w:t>
      </w:r>
      <w:r w:rsidR="00922D20" w:rsidRPr="00933C28">
        <w:rPr>
          <w:rFonts w:ascii="Arial" w:hAnsi="Arial" w:cs="Arial"/>
          <w:sz w:val="24"/>
          <w:szCs w:val="24"/>
        </w:rPr>
        <w:t xml:space="preserve"> </w:t>
      </w:r>
      <w:r w:rsidR="008B228B" w:rsidRPr="00933C28">
        <w:rPr>
          <w:rFonts w:ascii="Arial" w:hAnsi="Arial" w:cs="Arial"/>
          <w:sz w:val="24"/>
          <w:szCs w:val="24"/>
        </w:rPr>
        <w:t>Of necessity</w:t>
      </w:r>
      <w:r w:rsidR="003F2DDD">
        <w:rPr>
          <w:rFonts w:ascii="Arial" w:hAnsi="Arial" w:cs="Arial"/>
          <w:sz w:val="24"/>
          <w:szCs w:val="24"/>
        </w:rPr>
        <w:t>,</w:t>
      </w:r>
      <w:r w:rsidR="008B228B" w:rsidRPr="00933C28">
        <w:rPr>
          <w:rFonts w:ascii="Arial" w:hAnsi="Arial" w:cs="Arial"/>
          <w:sz w:val="24"/>
          <w:szCs w:val="24"/>
        </w:rPr>
        <w:t xml:space="preserve"> this involves a two-stage process, namely</w:t>
      </w:r>
      <w:r w:rsidR="003F2DDD">
        <w:rPr>
          <w:rFonts w:ascii="Arial" w:hAnsi="Arial" w:cs="Arial"/>
          <w:sz w:val="24"/>
          <w:szCs w:val="24"/>
        </w:rPr>
        <w:t>:</w:t>
      </w:r>
      <w:r w:rsidR="008B228B" w:rsidRPr="00933C28">
        <w:rPr>
          <w:rFonts w:ascii="Arial" w:hAnsi="Arial" w:cs="Arial"/>
          <w:sz w:val="24"/>
          <w:szCs w:val="24"/>
        </w:rPr>
        <w:t xml:space="preserve"> the first stage wh</w:t>
      </w:r>
      <w:r w:rsidR="00904941" w:rsidRPr="00933C28">
        <w:rPr>
          <w:rFonts w:ascii="Arial" w:hAnsi="Arial" w:cs="Arial"/>
          <w:sz w:val="24"/>
          <w:szCs w:val="24"/>
        </w:rPr>
        <w:t xml:space="preserve">ich involves an </w:t>
      </w:r>
      <w:r w:rsidR="008B228B" w:rsidRPr="00933C28">
        <w:rPr>
          <w:rFonts w:ascii="Arial" w:hAnsi="Arial" w:cs="Arial"/>
          <w:i/>
          <w:iCs/>
          <w:sz w:val="24"/>
          <w:szCs w:val="24"/>
        </w:rPr>
        <w:t>ex parte</w:t>
      </w:r>
      <w:r w:rsidR="008B228B" w:rsidRPr="00933C28">
        <w:rPr>
          <w:rFonts w:ascii="Arial" w:hAnsi="Arial" w:cs="Arial"/>
          <w:sz w:val="24"/>
          <w:szCs w:val="24"/>
        </w:rPr>
        <w:t xml:space="preserve"> </w:t>
      </w:r>
      <w:r w:rsidR="00904941" w:rsidRPr="00933C28">
        <w:rPr>
          <w:rFonts w:ascii="Arial" w:hAnsi="Arial" w:cs="Arial"/>
          <w:sz w:val="24"/>
          <w:szCs w:val="24"/>
        </w:rPr>
        <w:t xml:space="preserve">application, notably </w:t>
      </w:r>
      <w:r w:rsidR="008B228B" w:rsidRPr="00933C28">
        <w:rPr>
          <w:rFonts w:ascii="Arial" w:hAnsi="Arial" w:cs="Arial"/>
          <w:sz w:val="24"/>
          <w:szCs w:val="24"/>
        </w:rPr>
        <w:t xml:space="preserve">with </w:t>
      </w:r>
      <w:r w:rsidR="003F2DDD">
        <w:rPr>
          <w:rFonts w:ascii="Arial" w:hAnsi="Arial" w:cs="Arial"/>
          <w:sz w:val="24"/>
          <w:szCs w:val="24"/>
        </w:rPr>
        <w:t xml:space="preserve">a </w:t>
      </w:r>
      <w:r w:rsidR="008B228B" w:rsidRPr="00933C28">
        <w:rPr>
          <w:rFonts w:ascii="Arial" w:hAnsi="Arial" w:cs="Arial"/>
          <w:sz w:val="24"/>
          <w:szCs w:val="24"/>
        </w:rPr>
        <w:t>less than exacting standard of proof</w:t>
      </w:r>
      <w:r w:rsidR="00D015A9" w:rsidRPr="00933C28">
        <w:rPr>
          <w:rFonts w:ascii="Arial" w:hAnsi="Arial" w:cs="Arial"/>
          <w:sz w:val="24"/>
          <w:szCs w:val="24"/>
        </w:rPr>
        <w:t>,</w:t>
      </w:r>
      <w:r w:rsidR="00193012" w:rsidRPr="00933C28">
        <w:rPr>
          <w:rFonts w:ascii="Arial" w:hAnsi="Arial" w:cs="Arial"/>
          <w:sz w:val="24"/>
          <w:szCs w:val="24"/>
        </w:rPr>
        <w:t xml:space="preserve"> requiring </w:t>
      </w:r>
      <w:r w:rsidR="008B228B" w:rsidRPr="00933C28">
        <w:rPr>
          <w:rFonts w:ascii="Arial" w:hAnsi="Arial" w:cs="Arial"/>
          <w:sz w:val="24"/>
          <w:szCs w:val="24"/>
        </w:rPr>
        <w:t>simply reason</w:t>
      </w:r>
      <w:r w:rsidR="005F5183" w:rsidRPr="00933C28">
        <w:rPr>
          <w:rFonts w:ascii="Arial" w:hAnsi="Arial" w:cs="Arial"/>
          <w:sz w:val="24"/>
          <w:szCs w:val="24"/>
        </w:rPr>
        <w:t xml:space="preserve">able grounds </w:t>
      </w:r>
      <w:r w:rsidR="00F75654" w:rsidRPr="00933C28">
        <w:rPr>
          <w:rFonts w:ascii="Arial" w:hAnsi="Arial" w:cs="Arial"/>
          <w:sz w:val="24"/>
          <w:szCs w:val="24"/>
        </w:rPr>
        <w:t xml:space="preserve">to believe that </w:t>
      </w:r>
      <w:r w:rsidR="005F5183" w:rsidRPr="00933C28">
        <w:rPr>
          <w:rFonts w:ascii="Arial" w:hAnsi="Arial" w:cs="Arial"/>
          <w:sz w:val="24"/>
          <w:szCs w:val="24"/>
        </w:rPr>
        <w:t>that the property</w:t>
      </w:r>
      <w:r w:rsidR="00F75654" w:rsidRPr="00933C28">
        <w:rPr>
          <w:rFonts w:ascii="Arial" w:hAnsi="Arial" w:cs="Arial"/>
          <w:sz w:val="24"/>
          <w:szCs w:val="24"/>
        </w:rPr>
        <w:t xml:space="preserve"> </w:t>
      </w:r>
      <w:r w:rsidR="00C22BAA" w:rsidRPr="00933C28">
        <w:rPr>
          <w:rFonts w:ascii="Arial" w:hAnsi="Arial" w:cs="Arial"/>
          <w:sz w:val="24"/>
          <w:szCs w:val="24"/>
        </w:rPr>
        <w:t>concerned is</w:t>
      </w:r>
      <w:r w:rsidR="005F5183" w:rsidRPr="00933C28">
        <w:rPr>
          <w:rFonts w:ascii="Arial" w:hAnsi="Arial" w:cs="Arial"/>
          <w:sz w:val="24"/>
          <w:szCs w:val="24"/>
        </w:rPr>
        <w:t xml:space="preserve"> the proceeds of</w:t>
      </w:r>
      <w:r w:rsidR="00A10639" w:rsidRPr="00933C28">
        <w:rPr>
          <w:rFonts w:ascii="Arial" w:hAnsi="Arial" w:cs="Arial"/>
          <w:sz w:val="24"/>
          <w:szCs w:val="24"/>
        </w:rPr>
        <w:t xml:space="preserve"> an</w:t>
      </w:r>
      <w:r w:rsidR="005F5183" w:rsidRPr="00933C28">
        <w:rPr>
          <w:rFonts w:ascii="Arial" w:hAnsi="Arial" w:cs="Arial"/>
          <w:sz w:val="24"/>
          <w:szCs w:val="24"/>
        </w:rPr>
        <w:t xml:space="preserve"> unlawful activity</w:t>
      </w:r>
      <w:r w:rsidR="00193012" w:rsidRPr="00933C28">
        <w:rPr>
          <w:rFonts w:ascii="Arial" w:hAnsi="Arial" w:cs="Arial"/>
          <w:sz w:val="24"/>
          <w:szCs w:val="24"/>
        </w:rPr>
        <w:t>. Thereafter,</w:t>
      </w:r>
      <w:r w:rsidR="008B228B" w:rsidRPr="00933C28">
        <w:rPr>
          <w:rFonts w:ascii="Arial" w:hAnsi="Arial" w:cs="Arial"/>
          <w:sz w:val="24"/>
          <w:szCs w:val="24"/>
        </w:rPr>
        <w:t xml:space="preserve"> the second stage </w:t>
      </w:r>
      <w:r w:rsidR="002506DB" w:rsidRPr="00933C28">
        <w:rPr>
          <w:rFonts w:ascii="Arial" w:hAnsi="Arial" w:cs="Arial"/>
          <w:sz w:val="24"/>
          <w:szCs w:val="24"/>
        </w:rPr>
        <w:t xml:space="preserve">is embarked upon, </w:t>
      </w:r>
      <w:r w:rsidR="008B228B" w:rsidRPr="00933C28">
        <w:rPr>
          <w:rFonts w:ascii="Arial" w:hAnsi="Arial" w:cs="Arial"/>
          <w:sz w:val="24"/>
          <w:szCs w:val="24"/>
        </w:rPr>
        <w:lastRenderedPageBreak/>
        <w:t>requir</w:t>
      </w:r>
      <w:r w:rsidR="002506DB" w:rsidRPr="00933C28">
        <w:rPr>
          <w:rFonts w:ascii="Arial" w:hAnsi="Arial" w:cs="Arial"/>
          <w:sz w:val="24"/>
          <w:szCs w:val="24"/>
        </w:rPr>
        <w:t>ing</w:t>
      </w:r>
      <w:r w:rsidR="008B228B" w:rsidRPr="00933C28">
        <w:rPr>
          <w:rFonts w:ascii="Arial" w:hAnsi="Arial" w:cs="Arial"/>
          <w:sz w:val="24"/>
          <w:szCs w:val="24"/>
        </w:rPr>
        <w:t xml:space="preserve"> the stand</w:t>
      </w:r>
      <w:r w:rsidR="007B2FF2">
        <w:rPr>
          <w:rFonts w:ascii="Arial" w:hAnsi="Arial" w:cs="Arial"/>
          <w:sz w:val="24"/>
          <w:szCs w:val="24"/>
        </w:rPr>
        <w:t xml:space="preserve">ard </w:t>
      </w:r>
      <w:r w:rsidR="008B228B" w:rsidRPr="00933C28">
        <w:rPr>
          <w:rFonts w:ascii="Arial" w:hAnsi="Arial" w:cs="Arial"/>
          <w:sz w:val="24"/>
          <w:szCs w:val="24"/>
        </w:rPr>
        <w:t>of proof on the balance of probabilities</w:t>
      </w:r>
      <w:r w:rsidR="00D015A9" w:rsidRPr="00933C28">
        <w:rPr>
          <w:rFonts w:ascii="Arial" w:hAnsi="Arial" w:cs="Arial"/>
          <w:sz w:val="24"/>
          <w:szCs w:val="24"/>
        </w:rPr>
        <w:t>,</w:t>
      </w:r>
      <w:r w:rsidR="00F8027E" w:rsidRPr="00933C28">
        <w:rPr>
          <w:rFonts w:ascii="Arial" w:hAnsi="Arial" w:cs="Arial"/>
          <w:sz w:val="24"/>
          <w:szCs w:val="24"/>
        </w:rPr>
        <w:t xml:space="preserve"> </w:t>
      </w:r>
      <w:r w:rsidR="00D015A9" w:rsidRPr="00933C28">
        <w:rPr>
          <w:rFonts w:ascii="Arial" w:hAnsi="Arial" w:cs="Arial"/>
          <w:sz w:val="24"/>
          <w:szCs w:val="24"/>
        </w:rPr>
        <w:t>see section 50(1)</w:t>
      </w:r>
      <w:r w:rsidR="00340273" w:rsidRPr="00933C28">
        <w:rPr>
          <w:rFonts w:ascii="Arial" w:hAnsi="Arial" w:cs="Arial"/>
          <w:sz w:val="24"/>
          <w:szCs w:val="24"/>
        </w:rPr>
        <w:t xml:space="preserve"> of POCA</w:t>
      </w:r>
      <w:r w:rsidR="008B228B" w:rsidRPr="00933C28">
        <w:rPr>
          <w:rFonts w:ascii="Arial" w:hAnsi="Arial" w:cs="Arial"/>
          <w:sz w:val="24"/>
          <w:szCs w:val="24"/>
        </w:rPr>
        <w:t xml:space="preserve">. </w:t>
      </w:r>
      <w:r w:rsidR="00A23E7F" w:rsidRPr="00933C28">
        <w:rPr>
          <w:rFonts w:ascii="Arial" w:hAnsi="Arial" w:cs="Arial"/>
          <w:sz w:val="24"/>
          <w:szCs w:val="24"/>
        </w:rPr>
        <w:t>Explaining this aspect of POCA</w:t>
      </w:r>
      <w:r w:rsidR="007B2FF2">
        <w:rPr>
          <w:rFonts w:ascii="Arial" w:hAnsi="Arial" w:cs="Arial"/>
          <w:sz w:val="24"/>
          <w:szCs w:val="24"/>
        </w:rPr>
        <w:t xml:space="preserve">, </w:t>
      </w:r>
      <w:r w:rsidR="00A23E7F" w:rsidRPr="00933C28">
        <w:rPr>
          <w:rFonts w:ascii="Arial" w:hAnsi="Arial" w:cs="Arial"/>
          <w:sz w:val="24"/>
          <w:szCs w:val="24"/>
        </w:rPr>
        <w:t xml:space="preserve">the court in </w:t>
      </w:r>
      <w:r w:rsidR="00A23E7F" w:rsidRPr="00933C28">
        <w:rPr>
          <w:rFonts w:ascii="Arial" w:hAnsi="Arial" w:cs="Arial"/>
          <w:i/>
          <w:iCs/>
          <w:sz w:val="24"/>
          <w:szCs w:val="24"/>
        </w:rPr>
        <w:t>Knoop NO and Others v National Director of Public Prosecutions</w:t>
      </w:r>
      <w:r w:rsidR="00B372D0" w:rsidRPr="00933C28">
        <w:rPr>
          <w:rStyle w:val="FootnoteReference"/>
          <w:rFonts w:ascii="Arial" w:hAnsi="Arial" w:cs="Arial"/>
          <w:i/>
          <w:iCs/>
          <w:sz w:val="24"/>
          <w:szCs w:val="24"/>
        </w:rPr>
        <w:footnoteReference w:id="11"/>
      </w:r>
      <w:r w:rsidR="00A23E7F" w:rsidRPr="00933C28">
        <w:rPr>
          <w:rFonts w:ascii="Arial" w:hAnsi="Arial" w:cs="Arial"/>
          <w:i/>
          <w:iCs/>
          <w:sz w:val="24"/>
          <w:szCs w:val="24"/>
        </w:rPr>
        <w:t xml:space="preserve"> </w:t>
      </w:r>
      <w:r w:rsidR="00A23E7F" w:rsidRPr="00933C28">
        <w:rPr>
          <w:rFonts w:ascii="Arial" w:hAnsi="Arial" w:cs="Arial"/>
          <w:sz w:val="24"/>
          <w:szCs w:val="24"/>
        </w:rPr>
        <w:t>hel</w:t>
      </w:r>
      <w:r w:rsidR="00B372D0" w:rsidRPr="00933C28">
        <w:rPr>
          <w:rFonts w:ascii="Arial" w:hAnsi="Arial" w:cs="Arial"/>
          <w:sz w:val="24"/>
          <w:szCs w:val="24"/>
        </w:rPr>
        <w:t>d:</w:t>
      </w:r>
    </w:p>
    <w:p w14:paraId="237EE994" w14:textId="71CECDB5" w:rsidR="00A23E7F" w:rsidRPr="003F2DDD" w:rsidRDefault="00B372D0" w:rsidP="003F2DDD">
      <w:pPr>
        <w:spacing w:line="360" w:lineRule="auto"/>
        <w:ind w:left="720"/>
        <w:rPr>
          <w:rFonts w:ascii="Arial" w:hAnsi="Arial" w:cs="Arial"/>
          <w:lang w:val="en-US"/>
        </w:rPr>
      </w:pPr>
      <w:r w:rsidRPr="003F2DDD">
        <w:rPr>
          <w:rFonts w:ascii="Arial" w:hAnsi="Arial" w:cs="Arial"/>
          <w:lang w:val="en-US"/>
        </w:rPr>
        <w:t>“</w:t>
      </w:r>
      <w:r w:rsidR="00CA3C69" w:rsidRPr="003F2DDD">
        <w:rPr>
          <w:rFonts w:ascii="Arial" w:hAnsi="Arial" w:cs="Arial"/>
          <w:lang w:val="en-US"/>
        </w:rPr>
        <w:t>…POCA expressly</w:t>
      </w:r>
      <w:r w:rsidRPr="003F2DDD">
        <w:rPr>
          <w:rFonts w:ascii="Arial" w:hAnsi="Arial" w:cs="Arial"/>
          <w:lang w:val="en-US"/>
        </w:rPr>
        <w:t xml:space="preserve"> envisages a two-stage, rule</w:t>
      </w:r>
      <w:r w:rsidRPr="003F2DDD">
        <w:rPr>
          <w:rFonts w:ascii="Arial" w:hAnsi="Arial" w:cs="Arial"/>
          <w:i/>
          <w:iCs/>
          <w:lang w:val="en-US"/>
        </w:rPr>
        <w:t xml:space="preserve"> nisi</w:t>
      </w:r>
      <w:r w:rsidRPr="003F2DDD">
        <w:rPr>
          <w:rFonts w:ascii="Arial" w:hAnsi="Arial" w:cs="Arial"/>
          <w:lang w:val="en-US"/>
        </w:rPr>
        <w:t xml:space="preserve"> procedure for the grant of a restraint order, with a provisional</w:t>
      </w:r>
      <w:r w:rsidRPr="003F2DDD">
        <w:rPr>
          <w:rFonts w:ascii="Arial" w:hAnsi="Arial" w:cs="Arial"/>
          <w:i/>
          <w:iCs/>
          <w:lang w:val="en-US"/>
        </w:rPr>
        <w:t>, ex</w:t>
      </w:r>
      <w:r w:rsidR="00CA3C69" w:rsidRPr="003F2DDD">
        <w:rPr>
          <w:rFonts w:ascii="Arial" w:hAnsi="Arial" w:cs="Arial"/>
          <w:i/>
          <w:iCs/>
          <w:lang w:val="en-US"/>
        </w:rPr>
        <w:t xml:space="preserve"> </w:t>
      </w:r>
      <w:r w:rsidRPr="003F2DDD">
        <w:rPr>
          <w:rFonts w:ascii="Arial" w:hAnsi="Arial" w:cs="Arial"/>
          <w:i/>
          <w:iCs/>
          <w:lang w:val="en-US"/>
        </w:rPr>
        <w:t>p</w:t>
      </w:r>
      <w:r w:rsidR="00CA3C69" w:rsidRPr="003F2DDD">
        <w:rPr>
          <w:rFonts w:ascii="Arial" w:hAnsi="Arial" w:cs="Arial"/>
          <w:i/>
          <w:iCs/>
          <w:lang w:val="en-US"/>
        </w:rPr>
        <w:t>arte</w:t>
      </w:r>
      <w:r w:rsidRPr="003F2DDD">
        <w:rPr>
          <w:rFonts w:ascii="Arial" w:hAnsi="Arial" w:cs="Arial"/>
          <w:lang w:val="en-US"/>
        </w:rPr>
        <w:t xml:space="preserve"> order, preceding the final grant or discharge of the provisional order on </w:t>
      </w:r>
      <w:r w:rsidR="00CA3C69" w:rsidRPr="003F2DDD">
        <w:rPr>
          <w:rFonts w:ascii="Arial" w:hAnsi="Arial" w:cs="Arial"/>
          <w:lang w:val="en-US"/>
        </w:rPr>
        <w:t>a</w:t>
      </w:r>
      <w:r w:rsidRPr="003F2DDD">
        <w:rPr>
          <w:rFonts w:ascii="Arial" w:hAnsi="Arial" w:cs="Arial"/>
          <w:lang w:val="en-US"/>
        </w:rPr>
        <w:t xml:space="preserve"> designated return day.”</w:t>
      </w:r>
      <w:r w:rsidRPr="003F2DDD">
        <w:rPr>
          <w:rStyle w:val="FootnoteReference"/>
          <w:rFonts w:ascii="Arial" w:hAnsi="Arial" w:cs="Arial"/>
          <w:lang w:val="en-US"/>
        </w:rPr>
        <w:footnoteReference w:id="12"/>
      </w:r>
    </w:p>
    <w:p w14:paraId="28CCAACD" w14:textId="77777777" w:rsidR="000E0B6C" w:rsidRDefault="000E0B6C" w:rsidP="000E0B6C">
      <w:pPr>
        <w:pStyle w:val="ListParagraph"/>
        <w:ind w:left="0"/>
        <w:jc w:val="both"/>
        <w:rPr>
          <w:rFonts w:ascii="Arial" w:hAnsi="Arial" w:cs="Arial"/>
          <w:sz w:val="24"/>
          <w:szCs w:val="24"/>
          <w:lang w:val="en-US"/>
        </w:rPr>
      </w:pPr>
    </w:p>
    <w:p w14:paraId="0728C775" w14:textId="32B4E0D9" w:rsidR="006B4C90" w:rsidRPr="00933C28" w:rsidRDefault="000E0B6C" w:rsidP="000E0B6C">
      <w:pPr>
        <w:pStyle w:val="ListParagraph"/>
        <w:spacing w:line="360" w:lineRule="auto"/>
        <w:ind w:left="0"/>
        <w:jc w:val="both"/>
        <w:rPr>
          <w:rFonts w:ascii="Arial" w:hAnsi="Arial" w:cs="Arial"/>
          <w:sz w:val="24"/>
          <w:szCs w:val="24"/>
          <w:lang w:val="en-US"/>
        </w:rPr>
      </w:pPr>
      <w:r>
        <w:rPr>
          <w:rFonts w:ascii="Arial" w:hAnsi="Arial" w:cs="Arial"/>
          <w:sz w:val="24"/>
          <w:szCs w:val="24"/>
          <w:lang w:val="en-US"/>
        </w:rPr>
        <w:t>[1</w:t>
      </w:r>
      <w:r w:rsidR="00FC6820">
        <w:rPr>
          <w:rFonts w:ascii="Arial" w:hAnsi="Arial" w:cs="Arial"/>
          <w:sz w:val="24"/>
          <w:szCs w:val="24"/>
          <w:lang w:val="en-US"/>
        </w:rPr>
        <w:t>7</w:t>
      </w:r>
      <w:r>
        <w:rPr>
          <w:rFonts w:ascii="Arial" w:hAnsi="Arial" w:cs="Arial"/>
          <w:sz w:val="24"/>
          <w:szCs w:val="24"/>
          <w:lang w:val="en-US"/>
        </w:rPr>
        <w:t>]</w:t>
      </w:r>
      <w:r>
        <w:rPr>
          <w:rFonts w:ascii="Arial" w:hAnsi="Arial" w:cs="Arial"/>
          <w:sz w:val="24"/>
          <w:szCs w:val="24"/>
          <w:lang w:val="en-US"/>
        </w:rPr>
        <w:tab/>
      </w:r>
      <w:r w:rsidR="00CF5605" w:rsidRPr="00933C28">
        <w:rPr>
          <w:rFonts w:ascii="Arial" w:hAnsi="Arial" w:cs="Arial"/>
          <w:sz w:val="24"/>
          <w:szCs w:val="24"/>
          <w:lang w:val="en-US"/>
        </w:rPr>
        <w:t>Dealing with section 38 of POCA, the court i</w:t>
      </w:r>
      <w:r w:rsidR="006B4C90" w:rsidRPr="00933C28">
        <w:rPr>
          <w:rFonts w:ascii="Arial" w:hAnsi="Arial" w:cs="Arial"/>
          <w:sz w:val="24"/>
          <w:szCs w:val="24"/>
          <w:lang w:val="en-US"/>
        </w:rPr>
        <w:t>n the</w:t>
      </w:r>
      <w:r w:rsidR="00311231" w:rsidRPr="00933C28">
        <w:rPr>
          <w:rFonts w:ascii="Arial" w:hAnsi="Arial" w:cs="Arial"/>
          <w:sz w:val="24"/>
          <w:szCs w:val="24"/>
          <w:lang w:val="en-US"/>
        </w:rPr>
        <w:t xml:space="preserve"> matter of</w:t>
      </w:r>
      <w:r w:rsidR="006B4C90" w:rsidRPr="00933C28">
        <w:rPr>
          <w:rFonts w:ascii="Arial" w:hAnsi="Arial" w:cs="Arial"/>
          <w:sz w:val="24"/>
          <w:szCs w:val="24"/>
          <w:lang w:val="en-US"/>
        </w:rPr>
        <w:t xml:space="preserve"> </w:t>
      </w:r>
      <w:r w:rsidR="00311231" w:rsidRPr="00933C28">
        <w:rPr>
          <w:rFonts w:ascii="Arial" w:hAnsi="Arial" w:cs="Arial"/>
          <w:i/>
          <w:iCs/>
          <w:sz w:val="24"/>
          <w:szCs w:val="24"/>
          <w:lang w:val="en-US"/>
        </w:rPr>
        <w:t>N</w:t>
      </w:r>
      <w:r w:rsidR="006B4C90" w:rsidRPr="00933C28">
        <w:rPr>
          <w:rFonts w:ascii="Arial" w:hAnsi="Arial" w:cs="Arial"/>
          <w:i/>
          <w:iCs/>
          <w:sz w:val="24"/>
          <w:szCs w:val="24"/>
          <w:lang w:val="en-US"/>
        </w:rPr>
        <w:t xml:space="preserve">ational </w:t>
      </w:r>
      <w:r w:rsidR="00311231" w:rsidRPr="00933C28">
        <w:rPr>
          <w:rFonts w:ascii="Arial" w:hAnsi="Arial" w:cs="Arial"/>
          <w:i/>
          <w:iCs/>
          <w:sz w:val="24"/>
          <w:szCs w:val="24"/>
          <w:lang w:val="en-US"/>
        </w:rPr>
        <w:t>D</w:t>
      </w:r>
      <w:r w:rsidR="006B4C90" w:rsidRPr="00933C28">
        <w:rPr>
          <w:rFonts w:ascii="Arial" w:hAnsi="Arial" w:cs="Arial"/>
          <w:i/>
          <w:iCs/>
          <w:sz w:val="24"/>
          <w:szCs w:val="24"/>
          <w:lang w:val="en-US"/>
        </w:rPr>
        <w:t xml:space="preserve">irector of </w:t>
      </w:r>
      <w:r w:rsidR="00311231" w:rsidRPr="00933C28">
        <w:rPr>
          <w:rFonts w:ascii="Arial" w:hAnsi="Arial" w:cs="Arial"/>
          <w:i/>
          <w:iCs/>
          <w:sz w:val="24"/>
          <w:szCs w:val="24"/>
          <w:lang w:val="en-US"/>
        </w:rPr>
        <w:t>P</w:t>
      </w:r>
      <w:r w:rsidR="006B4C90" w:rsidRPr="00933C28">
        <w:rPr>
          <w:rFonts w:ascii="Arial" w:hAnsi="Arial" w:cs="Arial"/>
          <w:i/>
          <w:iCs/>
          <w:sz w:val="24"/>
          <w:szCs w:val="24"/>
          <w:lang w:val="en-US"/>
        </w:rPr>
        <w:t xml:space="preserve">ublic </w:t>
      </w:r>
      <w:r w:rsidR="000C2F4D" w:rsidRPr="00933C28">
        <w:rPr>
          <w:rFonts w:ascii="Arial" w:hAnsi="Arial" w:cs="Arial"/>
          <w:i/>
          <w:iCs/>
          <w:sz w:val="24"/>
          <w:szCs w:val="24"/>
          <w:lang w:val="en-US"/>
        </w:rPr>
        <w:t>P</w:t>
      </w:r>
      <w:r w:rsidR="006B4C90" w:rsidRPr="00933C28">
        <w:rPr>
          <w:rFonts w:ascii="Arial" w:hAnsi="Arial" w:cs="Arial"/>
          <w:i/>
          <w:iCs/>
          <w:sz w:val="24"/>
          <w:szCs w:val="24"/>
          <w:lang w:val="en-US"/>
        </w:rPr>
        <w:t xml:space="preserve">rosecutions </w:t>
      </w:r>
      <w:r w:rsidRPr="00933C28">
        <w:rPr>
          <w:rFonts w:ascii="Arial" w:hAnsi="Arial" w:cs="Arial"/>
          <w:i/>
          <w:iCs/>
          <w:sz w:val="24"/>
          <w:szCs w:val="24"/>
          <w:lang w:val="en-US"/>
        </w:rPr>
        <w:t>and</w:t>
      </w:r>
      <w:r w:rsidR="000C2F4D" w:rsidRPr="00933C28">
        <w:rPr>
          <w:rFonts w:ascii="Arial" w:hAnsi="Arial" w:cs="Arial"/>
          <w:i/>
          <w:iCs/>
          <w:sz w:val="24"/>
          <w:szCs w:val="24"/>
          <w:lang w:val="en-US"/>
        </w:rPr>
        <w:t xml:space="preserve"> Another </w:t>
      </w:r>
      <w:r w:rsidR="006B4C90" w:rsidRPr="00933C28">
        <w:rPr>
          <w:rFonts w:ascii="Arial" w:hAnsi="Arial" w:cs="Arial"/>
          <w:i/>
          <w:iCs/>
          <w:sz w:val="24"/>
          <w:szCs w:val="24"/>
          <w:lang w:val="en-US"/>
        </w:rPr>
        <w:t>v</w:t>
      </w:r>
      <w:r w:rsidR="000C2F4D" w:rsidRPr="00933C28">
        <w:rPr>
          <w:rFonts w:ascii="Arial" w:hAnsi="Arial" w:cs="Arial"/>
          <w:i/>
          <w:iCs/>
          <w:sz w:val="24"/>
          <w:szCs w:val="24"/>
          <w:lang w:val="en-US"/>
        </w:rPr>
        <w:t xml:space="preserve"> </w:t>
      </w:r>
      <w:r w:rsidR="006B4C90" w:rsidRPr="00933C28">
        <w:rPr>
          <w:rFonts w:ascii="Arial" w:hAnsi="Arial" w:cs="Arial"/>
          <w:i/>
          <w:iCs/>
          <w:sz w:val="24"/>
          <w:szCs w:val="24"/>
          <w:lang w:val="en-US"/>
        </w:rPr>
        <w:t>M</w:t>
      </w:r>
      <w:r w:rsidR="000C2F4D" w:rsidRPr="00933C28">
        <w:rPr>
          <w:rFonts w:ascii="Arial" w:hAnsi="Arial" w:cs="Arial"/>
          <w:i/>
          <w:iCs/>
          <w:sz w:val="24"/>
          <w:szCs w:val="24"/>
          <w:lang w:val="en-US"/>
        </w:rPr>
        <w:t>o</w:t>
      </w:r>
      <w:r w:rsidR="006B4C90" w:rsidRPr="00933C28">
        <w:rPr>
          <w:rFonts w:ascii="Arial" w:hAnsi="Arial" w:cs="Arial"/>
          <w:i/>
          <w:iCs/>
          <w:sz w:val="24"/>
          <w:szCs w:val="24"/>
          <w:lang w:val="en-US"/>
        </w:rPr>
        <w:t>ham</w:t>
      </w:r>
      <w:r w:rsidR="000C2F4D" w:rsidRPr="00933C28">
        <w:rPr>
          <w:rFonts w:ascii="Arial" w:hAnsi="Arial" w:cs="Arial"/>
          <w:i/>
          <w:iCs/>
          <w:sz w:val="24"/>
          <w:szCs w:val="24"/>
          <w:lang w:val="en-US"/>
        </w:rPr>
        <w:t>e</w:t>
      </w:r>
      <w:r w:rsidR="006B4C90" w:rsidRPr="00933C28">
        <w:rPr>
          <w:rFonts w:ascii="Arial" w:hAnsi="Arial" w:cs="Arial"/>
          <w:i/>
          <w:iCs/>
          <w:sz w:val="24"/>
          <w:szCs w:val="24"/>
          <w:lang w:val="en-US"/>
        </w:rPr>
        <w:t>d NO</w:t>
      </w:r>
      <w:r w:rsidR="000C2F4D" w:rsidRPr="00933C28">
        <w:rPr>
          <w:rFonts w:ascii="Arial" w:hAnsi="Arial" w:cs="Arial"/>
          <w:i/>
          <w:iCs/>
          <w:sz w:val="24"/>
          <w:szCs w:val="24"/>
          <w:lang w:val="en-US"/>
        </w:rPr>
        <w:t xml:space="preserve"> And Others</w:t>
      </w:r>
      <w:r w:rsidR="000C2F4D" w:rsidRPr="00933C28">
        <w:rPr>
          <w:rStyle w:val="FootnoteReference"/>
          <w:rFonts w:ascii="Arial" w:hAnsi="Arial" w:cs="Arial"/>
          <w:i/>
          <w:iCs/>
          <w:sz w:val="24"/>
          <w:szCs w:val="24"/>
          <w:lang w:val="en-US"/>
        </w:rPr>
        <w:footnoteReference w:id="13"/>
      </w:r>
      <w:r w:rsidR="00F91DC3" w:rsidRPr="00933C28">
        <w:rPr>
          <w:rFonts w:ascii="Arial" w:hAnsi="Arial" w:cs="Arial"/>
          <w:sz w:val="24"/>
          <w:szCs w:val="24"/>
          <w:lang w:val="en-US"/>
        </w:rPr>
        <w:t xml:space="preserve"> held:</w:t>
      </w:r>
    </w:p>
    <w:p w14:paraId="0E459A4A" w14:textId="1840870E" w:rsidR="006B4C90" w:rsidRPr="00933C28" w:rsidRDefault="006B4C90" w:rsidP="000E0B6C">
      <w:pPr>
        <w:spacing w:line="360" w:lineRule="auto"/>
        <w:ind w:left="720"/>
        <w:jc w:val="both"/>
        <w:rPr>
          <w:rFonts w:ascii="Arial" w:hAnsi="Arial" w:cs="Arial"/>
          <w:sz w:val="24"/>
          <w:szCs w:val="24"/>
        </w:rPr>
      </w:pPr>
      <w:r w:rsidRPr="000E0B6C">
        <w:rPr>
          <w:rFonts w:ascii="Arial" w:hAnsi="Arial" w:cs="Arial"/>
          <w:lang w:val="en-US"/>
        </w:rPr>
        <w:t xml:space="preserve">“Section 38 forms part of a complex, two stage procedure whereby property which is the instrumentality of a criminal </w:t>
      </w:r>
      <w:r w:rsidR="000E0B6C" w:rsidRPr="000E0B6C">
        <w:rPr>
          <w:rFonts w:ascii="Arial" w:hAnsi="Arial" w:cs="Arial"/>
          <w:lang w:val="en-US"/>
        </w:rPr>
        <w:t>offence,</w:t>
      </w:r>
      <w:r w:rsidRPr="000E0B6C">
        <w:rPr>
          <w:rFonts w:ascii="Arial" w:hAnsi="Arial" w:cs="Arial"/>
          <w:lang w:val="en-US"/>
        </w:rPr>
        <w:t xml:space="preserve"> or the proceeds of unlawful activities is forfeited. That procedure is set out in great detail in ss 37 to 62 of the ACT, which form chapter six of the act chapter 6 provides for forfeiture in circumstances where it is established, on a balance of probabilities, that property has been used to commit an offence, or constitutes the proceeds of unlawful activities, even when no criminal proceedings in respect of the relevant crime have been instituted. In this respect chapter 6 needs to be understood in contradiction to chapter five of the act chapter 6 therefore forecast not on wrongdoers, but on property that has been used to commit an offence or which constitutes the proceeds of crime. The guilt or wrongful doing of the owner or possessor of property is, therefore, not primarily relevant to the proceedings</w:t>
      </w:r>
      <w:r w:rsidRPr="00933C28">
        <w:rPr>
          <w:rFonts w:ascii="Arial" w:hAnsi="Arial" w:cs="Arial"/>
          <w:sz w:val="24"/>
          <w:szCs w:val="24"/>
          <w:lang w:val="en-US"/>
        </w:rPr>
        <w:t>.”</w:t>
      </w:r>
      <w:r w:rsidR="00754100" w:rsidRPr="00933C28">
        <w:rPr>
          <w:rStyle w:val="FootnoteReference"/>
          <w:rFonts w:ascii="Arial" w:hAnsi="Arial" w:cs="Arial"/>
          <w:sz w:val="24"/>
          <w:szCs w:val="24"/>
          <w:lang w:val="en-US"/>
        </w:rPr>
        <w:footnoteReference w:id="14"/>
      </w:r>
    </w:p>
    <w:p w14:paraId="1675A8E0" w14:textId="2DB21869" w:rsidR="00C54974" w:rsidRPr="00933C28" w:rsidRDefault="000E0B6C" w:rsidP="000E0B6C">
      <w:pPr>
        <w:pStyle w:val="ListParagraph"/>
        <w:spacing w:line="360" w:lineRule="auto"/>
        <w:ind w:left="0"/>
        <w:jc w:val="both"/>
        <w:rPr>
          <w:rFonts w:ascii="Arial" w:hAnsi="Arial" w:cs="Arial"/>
          <w:sz w:val="24"/>
          <w:szCs w:val="24"/>
        </w:rPr>
      </w:pPr>
      <w:r>
        <w:rPr>
          <w:rFonts w:ascii="Arial" w:hAnsi="Arial" w:cs="Arial"/>
          <w:sz w:val="24"/>
          <w:szCs w:val="24"/>
        </w:rPr>
        <w:t>[</w:t>
      </w:r>
      <w:r w:rsidR="001B50D1">
        <w:rPr>
          <w:rFonts w:ascii="Arial" w:hAnsi="Arial" w:cs="Arial"/>
          <w:sz w:val="24"/>
          <w:szCs w:val="24"/>
        </w:rPr>
        <w:t>1</w:t>
      </w:r>
      <w:r w:rsidR="00FC6820">
        <w:rPr>
          <w:rFonts w:ascii="Arial" w:hAnsi="Arial" w:cs="Arial"/>
          <w:sz w:val="24"/>
          <w:szCs w:val="24"/>
        </w:rPr>
        <w:t>8</w:t>
      </w:r>
      <w:r>
        <w:rPr>
          <w:rFonts w:ascii="Arial" w:hAnsi="Arial" w:cs="Arial"/>
          <w:sz w:val="24"/>
          <w:szCs w:val="24"/>
        </w:rPr>
        <w:t>]</w:t>
      </w:r>
      <w:r>
        <w:rPr>
          <w:rFonts w:ascii="Arial" w:hAnsi="Arial" w:cs="Arial"/>
          <w:sz w:val="24"/>
          <w:szCs w:val="24"/>
        </w:rPr>
        <w:tab/>
      </w:r>
      <w:r w:rsidR="008B228B" w:rsidRPr="00933C28">
        <w:rPr>
          <w:rFonts w:ascii="Arial" w:hAnsi="Arial" w:cs="Arial"/>
          <w:sz w:val="24"/>
          <w:szCs w:val="24"/>
        </w:rPr>
        <w:t xml:space="preserve">Counsel for the respondent correctly accepted that the applicant </w:t>
      </w:r>
      <w:r w:rsidR="00CE2642" w:rsidRPr="00933C28">
        <w:rPr>
          <w:rFonts w:ascii="Arial" w:hAnsi="Arial" w:cs="Arial"/>
          <w:sz w:val="24"/>
          <w:szCs w:val="24"/>
        </w:rPr>
        <w:t xml:space="preserve">was </w:t>
      </w:r>
      <w:r w:rsidR="008B228B" w:rsidRPr="00933C28">
        <w:rPr>
          <w:rFonts w:ascii="Arial" w:hAnsi="Arial" w:cs="Arial"/>
          <w:sz w:val="24"/>
          <w:szCs w:val="24"/>
        </w:rPr>
        <w:t xml:space="preserve">entitled to approach the court </w:t>
      </w:r>
      <w:r w:rsidR="008B228B" w:rsidRPr="00933C28">
        <w:rPr>
          <w:rFonts w:ascii="Arial" w:hAnsi="Arial" w:cs="Arial"/>
          <w:i/>
          <w:iCs/>
          <w:sz w:val="24"/>
          <w:szCs w:val="24"/>
        </w:rPr>
        <w:t xml:space="preserve">ex parte </w:t>
      </w:r>
      <w:r w:rsidR="008B228B" w:rsidRPr="00933C28">
        <w:rPr>
          <w:rFonts w:ascii="Arial" w:hAnsi="Arial" w:cs="Arial"/>
          <w:sz w:val="24"/>
          <w:szCs w:val="24"/>
        </w:rPr>
        <w:t xml:space="preserve">for a preservation order. Accordingly, this </w:t>
      </w:r>
      <w:r w:rsidR="007C56E6" w:rsidRPr="00933C28">
        <w:rPr>
          <w:rFonts w:ascii="Arial" w:hAnsi="Arial" w:cs="Arial"/>
          <w:sz w:val="24"/>
          <w:szCs w:val="24"/>
        </w:rPr>
        <w:t>point</w:t>
      </w:r>
      <w:r w:rsidR="000A6F6F" w:rsidRPr="00933C28">
        <w:rPr>
          <w:rFonts w:ascii="Arial" w:hAnsi="Arial" w:cs="Arial"/>
          <w:sz w:val="24"/>
          <w:szCs w:val="24"/>
        </w:rPr>
        <w:t xml:space="preserve">, </w:t>
      </w:r>
      <w:r w:rsidR="007C56E6" w:rsidRPr="00933C28">
        <w:rPr>
          <w:rFonts w:ascii="Arial" w:hAnsi="Arial" w:cs="Arial"/>
          <w:sz w:val="24"/>
          <w:szCs w:val="24"/>
        </w:rPr>
        <w:t xml:space="preserve">about which the parties </w:t>
      </w:r>
      <w:r w:rsidR="007B2FF2">
        <w:rPr>
          <w:rFonts w:ascii="Arial" w:hAnsi="Arial" w:cs="Arial"/>
          <w:sz w:val="24"/>
          <w:szCs w:val="24"/>
        </w:rPr>
        <w:t xml:space="preserve">had earlier </w:t>
      </w:r>
      <w:r w:rsidR="007C56E6" w:rsidRPr="00933C28">
        <w:rPr>
          <w:rFonts w:ascii="Arial" w:hAnsi="Arial" w:cs="Arial"/>
          <w:sz w:val="24"/>
          <w:szCs w:val="24"/>
        </w:rPr>
        <w:t xml:space="preserve">crossed swords, </w:t>
      </w:r>
      <w:r w:rsidR="008B228B" w:rsidRPr="00933C28">
        <w:rPr>
          <w:rFonts w:ascii="Arial" w:hAnsi="Arial" w:cs="Arial"/>
          <w:sz w:val="24"/>
          <w:szCs w:val="24"/>
        </w:rPr>
        <w:t>became a non-issue.</w:t>
      </w:r>
      <w:r w:rsidR="003C283C" w:rsidRPr="00933C28">
        <w:rPr>
          <w:rFonts w:ascii="Arial" w:hAnsi="Arial" w:cs="Arial"/>
          <w:sz w:val="24"/>
          <w:szCs w:val="24"/>
        </w:rPr>
        <w:t xml:space="preserve"> </w:t>
      </w:r>
    </w:p>
    <w:p w14:paraId="21CE4F4D" w14:textId="77777777" w:rsidR="000E0B6C" w:rsidRDefault="000E0B6C" w:rsidP="000E0B6C">
      <w:pPr>
        <w:pStyle w:val="ListParagraph"/>
        <w:ind w:left="0"/>
        <w:jc w:val="both"/>
        <w:rPr>
          <w:rFonts w:ascii="Arial" w:hAnsi="Arial" w:cs="Arial"/>
          <w:sz w:val="24"/>
          <w:szCs w:val="24"/>
        </w:rPr>
      </w:pPr>
    </w:p>
    <w:p w14:paraId="594F561C" w14:textId="4037DCF3" w:rsidR="00301109" w:rsidRPr="00933C28" w:rsidRDefault="000E0B6C" w:rsidP="000E0B6C">
      <w:pPr>
        <w:pStyle w:val="ListParagraph"/>
        <w:spacing w:line="360" w:lineRule="auto"/>
        <w:ind w:left="0"/>
        <w:jc w:val="both"/>
        <w:rPr>
          <w:rFonts w:ascii="Arial" w:hAnsi="Arial" w:cs="Arial"/>
          <w:sz w:val="24"/>
          <w:szCs w:val="24"/>
        </w:rPr>
      </w:pPr>
      <w:r>
        <w:rPr>
          <w:rFonts w:ascii="Arial" w:hAnsi="Arial" w:cs="Arial"/>
          <w:sz w:val="24"/>
          <w:szCs w:val="24"/>
        </w:rPr>
        <w:t>[</w:t>
      </w:r>
      <w:r w:rsidR="00FC6820">
        <w:rPr>
          <w:rFonts w:ascii="Arial" w:hAnsi="Arial" w:cs="Arial"/>
          <w:sz w:val="24"/>
          <w:szCs w:val="24"/>
        </w:rPr>
        <w:t>19</w:t>
      </w:r>
      <w:r>
        <w:rPr>
          <w:rFonts w:ascii="Arial" w:hAnsi="Arial" w:cs="Arial"/>
          <w:sz w:val="24"/>
          <w:szCs w:val="24"/>
        </w:rPr>
        <w:t>]</w:t>
      </w:r>
      <w:r>
        <w:rPr>
          <w:rFonts w:ascii="Arial" w:hAnsi="Arial" w:cs="Arial"/>
          <w:sz w:val="24"/>
          <w:szCs w:val="24"/>
        </w:rPr>
        <w:tab/>
      </w:r>
      <w:r w:rsidR="001517F2" w:rsidRPr="00933C28">
        <w:rPr>
          <w:rFonts w:ascii="Arial" w:hAnsi="Arial" w:cs="Arial"/>
          <w:sz w:val="24"/>
          <w:szCs w:val="24"/>
        </w:rPr>
        <w:t>The Respondent approached this court for</w:t>
      </w:r>
      <w:r w:rsidR="00B379C0" w:rsidRPr="00933C28">
        <w:rPr>
          <w:rFonts w:ascii="Arial" w:hAnsi="Arial" w:cs="Arial"/>
          <w:sz w:val="24"/>
          <w:szCs w:val="24"/>
        </w:rPr>
        <w:t xml:space="preserve"> </w:t>
      </w:r>
      <w:r w:rsidR="001517F2" w:rsidRPr="00933C28">
        <w:rPr>
          <w:rFonts w:ascii="Arial" w:hAnsi="Arial" w:cs="Arial"/>
          <w:sz w:val="24"/>
          <w:szCs w:val="24"/>
        </w:rPr>
        <w:t>reconsideration</w:t>
      </w:r>
      <w:r w:rsidR="00B379C0" w:rsidRPr="00933C28">
        <w:rPr>
          <w:rFonts w:ascii="Arial" w:hAnsi="Arial" w:cs="Arial"/>
          <w:sz w:val="24"/>
          <w:szCs w:val="24"/>
        </w:rPr>
        <w:t>,</w:t>
      </w:r>
      <w:r w:rsidR="001517F2" w:rsidRPr="00933C28">
        <w:rPr>
          <w:rFonts w:ascii="Arial" w:hAnsi="Arial" w:cs="Arial"/>
          <w:sz w:val="24"/>
          <w:szCs w:val="24"/>
        </w:rPr>
        <w:t xml:space="preserve"> alternatively rescission</w:t>
      </w:r>
      <w:r w:rsidR="005E2C00" w:rsidRPr="00933C28">
        <w:rPr>
          <w:rFonts w:ascii="Arial" w:hAnsi="Arial" w:cs="Arial"/>
          <w:sz w:val="24"/>
          <w:szCs w:val="24"/>
        </w:rPr>
        <w:t xml:space="preserve"> or to set aside the order in terms of </w:t>
      </w:r>
      <w:r w:rsidR="00487503" w:rsidRPr="00487503">
        <w:rPr>
          <w:rFonts w:ascii="Arial" w:hAnsi="Arial" w:cs="Arial"/>
          <w:sz w:val="24"/>
          <w:szCs w:val="24"/>
        </w:rPr>
        <w:t>section 47(3) of POCA.</w:t>
      </w:r>
      <w:r w:rsidR="00320760" w:rsidRPr="00487503">
        <w:rPr>
          <w:rFonts w:ascii="Arial" w:hAnsi="Arial" w:cs="Arial"/>
          <w:sz w:val="24"/>
          <w:szCs w:val="24"/>
        </w:rPr>
        <w:t xml:space="preserve"> </w:t>
      </w:r>
      <w:r w:rsidR="00487503">
        <w:rPr>
          <w:rFonts w:ascii="Arial" w:hAnsi="Arial" w:cs="Arial"/>
          <w:sz w:val="24"/>
          <w:szCs w:val="24"/>
        </w:rPr>
        <w:t xml:space="preserve">Rule </w:t>
      </w:r>
      <w:r w:rsidR="00301109" w:rsidRPr="00933C28">
        <w:rPr>
          <w:rFonts w:ascii="Arial" w:hAnsi="Arial" w:cs="Arial"/>
          <w:sz w:val="24"/>
          <w:szCs w:val="24"/>
        </w:rPr>
        <w:t>6(12)(c)</w:t>
      </w:r>
      <w:r w:rsidR="003A51B8" w:rsidRPr="00933C28">
        <w:rPr>
          <w:rFonts w:ascii="Arial" w:hAnsi="Arial" w:cs="Arial"/>
          <w:sz w:val="24"/>
          <w:szCs w:val="24"/>
          <w:lang w:val="en-US"/>
        </w:rPr>
        <w:t xml:space="preserve"> </w:t>
      </w:r>
      <w:r w:rsidR="00487503">
        <w:rPr>
          <w:rFonts w:ascii="Arial" w:hAnsi="Arial" w:cs="Arial"/>
          <w:sz w:val="24"/>
          <w:szCs w:val="24"/>
          <w:lang w:val="en-US"/>
        </w:rPr>
        <w:t xml:space="preserve">of </w:t>
      </w:r>
      <w:r w:rsidR="003A51B8" w:rsidRPr="00933C28">
        <w:rPr>
          <w:rFonts w:ascii="Arial" w:hAnsi="Arial" w:cs="Arial"/>
          <w:sz w:val="24"/>
          <w:szCs w:val="24"/>
          <w:lang w:val="en-US"/>
        </w:rPr>
        <w:t xml:space="preserve">the Uniform Court Rules </w:t>
      </w:r>
      <w:r w:rsidR="00301109" w:rsidRPr="00933C28">
        <w:rPr>
          <w:rFonts w:ascii="Arial" w:hAnsi="Arial" w:cs="Arial"/>
          <w:sz w:val="24"/>
          <w:szCs w:val="24"/>
        </w:rPr>
        <w:t>reads as follows:</w:t>
      </w:r>
    </w:p>
    <w:p w14:paraId="2647D606" w14:textId="200C41C7" w:rsidR="00301109" w:rsidRPr="000E0B6C" w:rsidRDefault="00301109" w:rsidP="000E0B6C">
      <w:pPr>
        <w:spacing w:line="360" w:lineRule="auto"/>
        <w:ind w:left="851"/>
        <w:jc w:val="both"/>
        <w:rPr>
          <w:rFonts w:ascii="Arial" w:hAnsi="Arial" w:cs="Arial"/>
        </w:rPr>
      </w:pPr>
      <w:r w:rsidRPr="000E0B6C">
        <w:rPr>
          <w:rFonts w:ascii="Arial" w:hAnsi="Arial" w:cs="Arial"/>
        </w:rPr>
        <w:t>“</w:t>
      </w:r>
      <w:r w:rsidR="000E0CD4" w:rsidRPr="000E0B6C">
        <w:rPr>
          <w:rFonts w:ascii="Arial" w:hAnsi="Arial" w:cs="Arial"/>
          <w:lang w:val="en-US"/>
        </w:rPr>
        <w:t xml:space="preserve">A </w:t>
      </w:r>
      <w:r w:rsidR="003A51B8" w:rsidRPr="000E0B6C">
        <w:rPr>
          <w:rFonts w:ascii="Arial" w:hAnsi="Arial" w:cs="Arial"/>
          <w:lang w:val="en-US"/>
        </w:rPr>
        <w:t xml:space="preserve">person against whom an order was granted in </w:t>
      </w:r>
      <w:r w:rsidR="000E0CD4" w:rsidRPr="000E0B6C">
        <w:rPr>
          <w:rFonts w:ascii="Arial" w:hAnsi="Arial" w:cs="Arial"/>
          <w:lang w:val="en-US"/>
        </w:rPr>
        <w:t xml:space="preserve">his </w:t>
      </w:r>
      <w:r w:rsidR="003A51B8" w:rsidRPr="000E0B6C">
        <w:rPr>
          <w:rFonts w:ascii="Arial" w:hAnsi="Arial" w:cs="Arial"/>
          <w:lang w:val="en-US"/>
        </w:rPr>
        <w:t xml:space="preserve">absence in an </w:t>
      </w:r>
      <w:r w:rsidR="006F4D21" w:rsidRPr="000E0B6C">
        <w:rPr>
          <w:rFonts w:ascii="Arial" w:hAnsi="Arial" w:cs="Arial"/>
          <w:lang w:val="en-US"/>
        </w:rPr>
        <w:t xml:space="preserve">urgent </w:t>
      </w:r>
      <w:r w:rsidR="003A51B8" w:rsidRPr="000E0B6C">
        <w:rPr>
          <w:rFonts w:ascii="Arial" w:hAnsi="Arial" w:cs="Arial"/>
          <w:lang w:val="en-US"/>
        </w:rPr>
        <w:t>application ma</w:t>
      </w:r>
      <w:r w:rsidR="006F4D21" w:rsidRPr="000E0B6C">
        <w:rPr>
          <w:rFonts w:ascii="Arial" w:hAnsi="Arial" w:cs="Arial"/>
          <w:lang w:val="en-US"/>
        </w:rPr>
        <w:t>y</w:t>
      </w:r>
      <w:r w:rsidR="003A51B8" w:rsidRPr="000E0B6C">
        <w:rPr>
          <w:rFonts w:ascii="Arial" w:hAnsi="Arial" w:cs="Arial"/>
          <w:lang w:val="en-US"/>
        </w:rPr>
        <w:t xml:space="preserve"> by notice s</w:t>
      </w:r>
      <w:r w:rsidR="006F4D21" w:rsidRPr="000E0B6C">
        <w:rPr>
          <w:rFonts w:ascii="Arial" w:hAnsi="Arial" w:cs="Arial"/>
          <w:lang w:val="en-US"/>
        </w:rPr>
        <w:t>et</w:t>
      </w:r>
      <w:r w:rsidR="003A51B8" w:rsidRPr="000E0B6C">
        <w:rPr>
          <w:rFonts w:ascii="Arial" w:hAnsi="Arial" w:cs="Arial"/>
          <w:lang w:val="en-US"/>
        </w:rPr>
        <w:t xml:space="preserve"> down the matter for reconsideration of the order.”</w:t>
      </w:r>
    </w:p>
    <w:p w14:paraId="7234F903" w14:textId="77777777" w:rsidR="002A5F4E" w:rsidRPr="00933C28" w:rsidRDefault="002A5F4E" w:rsidP="004E2D6A">
      <w:pPr>
        <w:jc w:val="both"/>
        <w:rPr>
          <w:rFonts w:ascii="Arial" w:hAnsi="Arial" w:cs="Arial"/>
          <w:sz w:val="24"/>
          <w:szCs w:val="24"/>
        </w:rPr>
      </w:pPr>
    </w:p>
    <w:p w14:paraId="37AA7510" w14:textId="4997C771" w:rsidR="00842C74" w:rsidRPr="00933C28" w:rsidRDefault="000E0B6C" w:rsidP="000E0B6C">
      <w:pPr>
        <w:pStyle w:val="ListParagraph"/>
        <w:spacing w:line="360" w:lineRule="auto"/>
        <w:ind w:left="0"/>
        <w:jc w:val="both"/>
        <w:rPr>
          <w:rFonts w:ascii="Arial" w:hAnsi="Arial" w:cs="Arial"/>
          <w:sz w:val="24"/>
          <w:szCs w:val="24"/>
        </w:rPr>
      </w:pPr>
      <w:r>
        <w:rPr>
          <w:rFonts w:ascii="Arial" w:hAnsi="Arial" w:cs="Arial"/>
          <w:sz w:val="24"/>
          <w:szCs w:val="24"/>
        </w:rPr>
        <w:t>[2</w:t>
      </w:r>
      <w:r w:rsidR="00FC6820">
        <w:rPr>
          <w:rFonts w:ascii="Arial" w:hAnsi="Arial" w:cs="Arial"/>
          <w:sz w:val="24"/>
          <w:szCs w:val="24"/>
        </w:rPr>
        <w:t>0</w:t>
      </w:r>
      <w:r>
        <w:rPr>
          <w:rFonts w:ascii="Arial" w:hAnsi="Arial" w:cs="Arial"/>
          <w:sz w:val="24"/>
          <w:szCs w:val="24"/>
        </w:rPr>
        <w:t>]</w:t>
      </w:r>
      <w:r>
        <w:rPr>
          <w:rFonts w:ascii="Arial" w:hAnsi="Arial" w:cs="Arial"/>
          <w:sz w:val="24"/>
          <w:szCs w:val="24"/>
        </w:rPr>
        <w:tab/>
      </w:r>
      <w:r w:rsidR="002A5F4E" w:rsidRPr="00933C28">
        <w:rPr>
          <w:rFonts w:ascii="Arial" w:hAnsi="Arial" w:cs="Arial"/>
          <w:sz w:val="24"/>
          <w:szCs w:val="24"/>
        </w:rPr>
        <w:t>Therefore, a reconsideration fits snuggly between the two stages.</w:t>
      </w:r>
      <w:r w:rsidR="00C22BAA" w:rsidRPr="00933C28">
        <w:rPr>
          <w:rFonts w:ascii="Arial" w:hAnsi="Arial" w:cs="Arial"/>
          <w:sz w:val="24"/>
          <w:szCs w:val="24"/>
        </w:rPr>
        <w:t xml:space="preserve"> </w:t>
      </w:r>
      <w:r w:rsidR="00315FDE" w:rsidRPr="00933C28">
        <w:rPr>
          <w:rFonts w:ascii="Arial" w:hAnsi="Arial" w:cs="Arial"/>
          <w:sz w:val="24"/>
          <w:szCs w:val="24"/>
        </w:rPr>
        <w:t>Not only does t</w:t>
      </w:r>
      <w:r w:rsidR="00C22BAA" w:rsidRPr="00933C28">
        <w:rPr>
          <w:rFonts w:ascii="Arial" w:hAnsi="Arial" w:cs="Arial"/>
          <w:sz w:val="24"/>
          <w:szCs w:val="24"/>
        </w:rPr>
        <w:t>he court ha</w:t>
      </w:r>
      <w:r w:rsidR="00315FDE" w:rsidRPr="00933C28">
        <w:rPr>
          <w:rFonts w:ascii="Arial" w:hAnsi="Arial" w:cs="Arial"/>
          <w:sz w:val="24"/>
          <w:szCs w:val="24"/>
        </w:rPr>
        <w:t>ve</w:t>
      </w:r>
      <w:r w:rsidR="00F930C1">
        <w:rPr>
          <w:rFonts w:ascii="Arial" w:hAnsi="Arial" w:cs="Arial"/>
          <w:sz w:val="24"/>
          <w:szCs w:val="24"/>
        </w:rPr>
        <w:t xml:space="preserve"> a</w:t>
      </w:r>
      <w:r w:rsidR="00C22BAA" w:rsidRPr="00933C28">
        <w:rPr>
          <w:rFonts w:ascii="Arial" w:hAnsi="Arial" w:cs="Arial"/>
          <w:sz w:val="24"/>
          <w:szCs w:val="24"/>
        </w:rPr>
        <w:t xml:space="preserve"> wide discretion </w:t>
      </w:r>
      <w:r w:rsidR="00315FDE" w:rsidRPr="00933C28">
        <w:rPr>
          <w:rFonts w:ascii="Arial" w:hAnsi="Arial" w:cs="Arial"/>
          <w:sz w:val="24"/>
          <w:szCs w:val="24"/>
        </w:rPr>
        <w:t xml:space="preserve">under 6(12)(c), but also may take into </w:t>
      </w:r>
      <w:r w:rsidR="008318CF" w:rsidRPr="00933C28">
        <w:rPr>
          <w:rFonts w:ascii="Arial" w:hAnsi="Arial" w:cs="Arial"/>
          <w:sz w:val="24"/>
          <w:szCs w:val="24"/>
        </w:rPr>
        <w:t xml:space="preserve">account several factors to reconsider an order obtained </w:t>
      </w:r>
      <w:r w:rsidR="008318CF" w:rsidRPr="00933C28">
        <w:rPr>
          <w:rFonts w:ascii="Arial" w:hAnsi="Arial" w:cs="Arial"/>
          <w:i/>
          <w:iCs/>
          <w:sz w:val="24"/>
          <w:szCs w:val="24"/>
        </w:rPr>
        <w:t>ex parte</w:t>
      </w:r>
      <w:r w:rsidR="008318CF" w:rsidRPr="00933C28">
        <w:rPr>
          <w:rFonts w:ascii="Arial" w:hAnsi="Arial" w:cs="Arial"/>
          <w:sz w:val="24"/>
          <w:szCs w:val="24"/>
        </w:rPr>
        <w:t>.</w:t>
      </w:r>
      <w:r w:rsidR="008318CF" w:rsidRPr="00933C28">
        <w:rPr>
          <w:rStyle w:val="FootnoteReference"/>
          <w:rFonts w:ascii="Arial" w:hAnsi="Arial" w:cs="Arial"/>
          <w:sz w:val="24"/>
          <w:szCs w:val="24"/>
        </w:rPr>
        <w:footnoteReference w:id="15"/>
      </w:r>
      <w:r w:rsidR="00C11F33" w:rsidRPr="00933C28">
        <w:rPr>
          <w:rFonts w:ascii="Arial" w:hAnsi="Arial" w:cs="Arial"/>
          <w:sz w:val="24"/>
          <w:szCs w:val="24"/>
        </w:rPr>
        <w:t xml:space="preserve"> In essence</w:t>
      </w:r>
      <w:r w:rsidR="00320760">
        <w:rPr>
          <w:rFonts w:ascii="Arial" w:hAnsi="Arial" w:cs="Arial"/>
          <w:sz w:val="24"/>
          <w:szCs w:val="24"/>
        </w:rPr>
        <w:t>,</w:t>
      </w:r>
      <w:r w:rsidR="00C11F33" w:rsidRPr="00933C28">
        <w:rPr>
          <w:rFonts w:ascii="Arial" w:hAnsi="Arial" w:cs="Arial"/>
          <w:sz w:val="24"/>
          <w:szCs w:val="24"/>
        </w:rPr>
        <w:t xml:space="preserve"> this rule addresses the failure to </w:t>
      </w:r>
      <w:r w:rsidR="00167B98" w:rsidRPr="00933C28">
        <w:rPr>
          <w:rFonts w:ascii="Arial" w:hAnsi="Arial" w:cs="Arial"/>
          <w:sz w:val="24"/>
          <w:szCs w:val="24"/>
        </w:rPr>
        <w:t xml:space="preserve">observe one of the critical elements of natural justice, namely </w:t>
      </w:r>
      <w:r w:rsidR="00167B98" w:rsidRPr="00933C28">
        <w:rPr>
          <w:rFonts w:ascii="Arial" w:hAnsi="Arial" w:cs="Arial"/>
          <w:i/>
          <w:iCs/>
          <w:sz w:val="24"/>
          <w:szCs w:val="24"/>
        </w:rPr>
        <w:t>audi alterem partem</w:t>
      </w:r>
      <w:r w:rsidR="00167B98" w:rsidRPr="00933C28">
        <w:rPr>
          <w:rFonts w:ascii="Arial" w:hAnsi="Arial" w:cs="Arial"/>
          <w:sz w:val="24"/>
          <w:szCs w:val="24"/>
        </w:rPr>
        <w:t xml:space="preserve">. </w:t>
      </w:r>
      <w:r w:rsidR="00842C74" w:rsidRPr="00933C28">
        <w:rPr>
          <w:rFonts w:ascii="Arial" w:hAnsi="Arial" w:cs="Arial"/>
          <w:sz w:val="24"/>
          <w:szCs w:val="24"/>
        </w:rPr>
        <w:t xml:space="preserve">The court in </w:t>
      </w:r>
      <w:r w:rsidR="00842C74" w:rsidRPr="00933C28">
        <w:rPr>
          <w:rFonts w:ascii="Arial" w:hAnsi="Arial" w:cs="Arial"/>
          <w:i/>
          <w:iCs/>
          <w:sz w:val="24"/>
          <w:szCs w:val="24"/>
        </w:rPr>
        <w:t xml:space="preserve">Industrial Development Corporation of SA v </w:t>
      </w:r>
      <w:r w:rsidR="00A03D18" w:rsidRPr="00933C28">
        <w:rPr>
          <w:rFonts w:ascii="Arial" w:hAnsi="Arial" w:cs="Arial"/>
          <w:i/>
          <w:iCs/>
          <w:sz w:val="24"/>
          <w:szCs w:val="24"/>
        </w:rPr>
        <w:t>Sooliman</w:t>
      </w:r>
      <w:r w:rsidR="00A03D18" w:rsidRPr="00933C28">
        <w:rPr>
          <w:rStyle w:val="FootnoteReference"/>
          <w:rFonts w:ascii="Arial" w:hAnsi="Arial" w:cs="Arial"/>
          <w:i/>
          <w:iCs/>
          <w:sz w:val="24"/>
          <w:szCs w:val="24"/>
        </w:rPr>
        <w:footnoteReference w:id="16"/>
      </w:r>
      <w:r w:rsidR="00A03D18" w:rsidRPr="00933C28">
        <w:rPr>
          <w:rFonts w:ascii="Arial" w:hAnsi="Arial" w:cs="Arial"/>
          <w:sz w:val="24"/>
          <w:szCs w:val="24"/>
        </w:rPr>
        <w:t xml:space="preserve"> elucidates</w:t>
      </w:r>
      <w:r w:rsidR="00842C74" w:rsidRPr="00933C28">
        <w:rPr>
          <w:rFonts w:ascii="Arial" w:hAnsi="Arial" w:cs="Arial"/>
          <w:sz w:val="24"/>
          <w:szCs w:val="24"/>
        </w:rPr>
        <w:t xml:space="preserve"> it </w:t>
      </w:r>
      <w:r w:rsidR="00F930C1">
        <w:rPr>
          <w:rFonts w:ascii="Arial" w:hAnsi="Arial" w:cs="Arial"/>
          <w:sz w:val="24"/>
          <w:szCs w:val="24"/>
        </w:rPr>
        <w:t>in the following manner</w:t>
      </w:r>
      <w:r w:rsidR="00842C74" w:rsidRPr="00933C28">
        <w:rPr>
          <w:rFonts w:ascii="Arial" w:hAnsi="Arial" w:cs="Arial"/>
          <w:sz w:val="24"/>
          <w:szCs w:val="24"/>
        </w:rPr>
        <w:t>:</w:t>
      </w:r>
    </w:p>
    <w:p w14:paraId="7C507EE6" w14:textId="28A19027" w:rsidR="00842C74" w:rsidRPr="000E0B6C" w:rsidRDefault="00842C74" w:rsidP="000E0B6C">
      <w:pPr>
        <w:pStyle w:val="ListParagraph"/>
        <w:spacing w:line="360" w:lineRule="auto"/>
        <w:jc w:val="both"/>
        <w:rPr>
          <w:rFonts w:ascii="Arial" w:hAnsi="Arial" w:cs="Arial"/>
          <w:lang w:val="en-US"/>
        </w:rPr>
      </w:pPr>
      <w:r w:rsidRPr="000E0B6C">
        <w:rPr>
          <w:rFonts w:ascii="Arial" w:hAnsi="Arial" w:cs="Arial"/>
        </w:rPr>
        <w:t>“</w:t>
      </w:r>
      <w:r w:rsidR="00A03D18" w:rsidRPr="000E0B6C">
        <w:rPr>
          <w:rFonts w:ascii="Arial" w:hAnsi="Arial" w:cs="Arial"/>
          <w:lang w:val="en-US"/>
        </w:rPr>
        <w:t>The</w:t>
      </w:r>
      <w:r w:rsidR="00794DED" w:rsidRPr="000E0B6C">
        <w:rPr>
          <w:rFonts w:ascii="Arial" w:hAnsi="Arial" w:cs="Arial"/>
          <w:lang w:val="en-US"/>
        </w:rPr>
        <w:t xml:space="preserve"> critical phase in the rule is </w:t>
      </w:r>
      <w:r w:rsidR="00E14D98" w:rsidRPr="000E0B6C">
        <w:rPr>
          <w:rFonts w:ascii="Arial" w:hAnsi="Arial" w:cs="Arial"/>
          <w:lang w:val="en-US"/>
        </w:rPr>
        <w:t>‘</w:t>
      </w:r>
      <w:r w:rsidR="00794DED" w:rsidRPr="000E0B6C">
        <w:rPr>
          <w:rFonts w:ascii="Arial" w:hAnsi="Arial" w:cs="Arial"/>
          <w:lang w:val="en-US"/>
        </w:rPr>
        <w:t>reconsideration of the order</w:t>
      </w:r>
      <w:r w:rsidR="00E14D98" w:rsidRPr="000E0B6C">
        <w:rPr>
          <w:rFonts w:ascii="Arial" w:hAnsi="Arial" w:cs="Arial"/>
          <w:lang w:val="en-US"/>
        </w:rPr>
        <w:t>’</w:t>
      </w:r>
      <w:r w:rsidR="00794DED" w:rsidRPr="000E0B6C">
        <w:rPr>
          <w:rFonts w:ascii="Arial" w:hAnsi="Arial" w:cs="Arial"/>
          <w:lang w:val="en-US"/>
        </w:rPr>
        <w:t>. The rationale is to address the potential or actual prejudice because of an absence of</w:t>
      </w:r>
      <w:r w:rsidR="00E14D98" w:rsidRPr="000E0B6C">
        <w:rPr>
          <w:rFonts w:ascii="Arial" w:hAnsi="Arial" w:cs="Arial"/>
          <w:lang w:val="en-US"/>
        </w:rPr>
        <w:t xml:space="preserve"> </w:t>
      </w:r>
      <w:r w:rsidR="00E14D98" w:rsidRPr="000E0B6C">
        <w:rPr>
          <w:rFonts w:ascii="Arial" w:hAnsi="Arial" w:cs="Arial"/>
          <w:i/>
          <w:iCs/>
          <w:lang w:val="en-US"/>
        </w:rPr>
        <w:t>audi alterem partem</w:t>
      </w:r>
      <w:r w:rsidR="00794DED" w:rsidRPr="000E0B6C">
        <w:rPr>
          <w:rFonts w:ascii="Arial" w:hAnsi="Arial" w:cs="Arial"/>
          <w:lang w:val="en-US"/>
        </w:rPr>
        <w:t xml:space="preserve"> when the </w:t>
      </w:r>
      <w:r w:rsidR="00794DED" w:rsidRPr="000E0B6C">
        <w:rPr>
          <w:rFonts w:ascii="Arial" w:hAnsi="Arial" w:cs="Arial"/>
          <w:i/>
          <w:iCs/>
          <w:lang w:val="en-US"/>
        </w:rPr>
        <w:t>ex parte</w:t>
      </w:r>
      <w:r w:rsidR="00794DED" w:rsidRPr="000E0B6C">
        <w:rPr>
          <w:rFonts w:ascii="Arial" w:hAnsi="Arial" w:cs="Arial"/>
          <w:lang w:val="en-US"/>
        </w:rPr>
        <w:t xml:space="preserve"> order was granted. The rule is not a </w:t>
      </w:r>
      <w:r w:rsidR="00E14D98" w:rsidRPr="000E0B6C">
        <w:rPr>
          <w:rFonts w:ascii="Arial" w:hAnsi="Arial" w:cs="Arial"/>
          <w:lang w:val="en-US"/>
        </w:rPr>
        <w:t>‘</w:t>
      </w:r>
      <w:r w:rsidR="00794DED" w:rsidRPr="000E0B6C">
        <w:rPr>
          <w:rFonts w:ascii="Arial" w:hAnsi="Arial" w:cs="Arial"/>
          <w:lang w:val="en-US"/>
        </w:rPr>
        <w:t>review</w:t>
      </w:r>
      <w:r w:rsidR="00E14D98" w:rsidRPr="000E0B6C">
        <w:rPr>
          <w:rFonts w:ascii="Arial" w:hAnsi="Arial" w:cs="Arial"/>
          <w:lang w:val="en-US"/>
        </w:rPr>
        <w:t>’</w:t>
      </w:r>
      <w:r w:rsidR="00794DED" w:rsidRPr="000E0B6C">
        <w:rPr>
          <w:rFonts w:ascii="Arial" w:hAnsi="Arial" w:cs="Arial"/>
          <w:lang w:val="en-US"/>
        </w:rPr>
        <w:t xml:space="preserve"> of the granting of the order. A </w:t>
      </w:r>
      <w:r w:rsidR="00AD0021" w:rsidRPr="000E0B6C">
        <w:rPr>
          <w:rFonts w:ascii="Arial" w:hAnsi="Arial" w:cs="Arial"/>
          <w:lang w:val="en-US"/>
        </w:rPr>
        <w:t>‘</w:t>
      </w:r>
      <w:r w:rsidR="00794DED" w:rsidRPr="000E0B6C">
        <w:rPr>
          <w:rFonts w:ascii="Arial" w:hAnsi="Arial" w:cs="Arial"/>
          <w:lang w:val="en-US"/>
        </w:rPr>
        <w:t>reconsideration</w:t>
      </w:r>
      <w:r w:rsidR="00AD0021" w:rsidRPr="000E0B6C">
        <w:rPr>
          <w:rFonts w:ascii="Arial" w:hAnsi="Arial" w:cs="Arial"/>
          <w:lang w:val="en-US"/>
        </w:rPr>
        <w:t>’</w:t>
      </w:r>
      <w:r w:rsidR="00794DED" w:rsidRPr="000E0B6C">
        <w:rPr>
          <w:rFonts w:ascii="Arial" w:hAnsi="Arial" w:cs="Arial"/>
          <w:lang w:val="en-US"/>
        </w:rPr>
        <w:t xml:space="preserve"> is</w:t>
      </w:r>
      <w:r w:rsidR="00AD0021" w:rsidRPr="000E0B6C">
        <w:rPr>
          <w:rFonts w:ascii="Arial" w:hAnsi="Arial" w:cs="Arial"/>
          <w:lang w:val="en-US"/>
        </w:rPr>
        <w:t>,</w:t>
      </w:r>
      <w:r w:rsidR="00794DED" w:rsidRPr="000E0B6C">
        <w:rPr>
          <w:rFonts w:ascii="Arial" w:hAnsi="Arial" w:cs="Arial"/>
          <w:lang w:val="en-US"/>
        </w:rPr>
        <w:t xml:space="preserve"> as has been often said, of wide import. It is rooted in doing justice in a particular respect, </w:t>
      </w:r>
      <w:r w:rsidR="007E3027" w:rsidRPr="000E0B6C">
        <w:rPr>
          <w:rFonts w:ascii="Arial" w:hAnsi="Arial" w:cs="Arial"/>
          <w:lang w:val="en-US"/>
        </w:rPr>
        <w:t>i.e.</w:t>
      </w:r>
      <w:r w:rsidR="00794DED" w:rsidRPr="000E0B6C">
        <w:rPr>
          <w:rFonts w:ascii="Arial" w:hAnsi="Arial" w:cs="Arial"/>
          <w:lang w:val="en-US"/>
        </w:rPr>
        <w:t xml:space="preserve"> to allow the full ventilation of the controversy. In my view it would be pretends at justice to craft a mechanical approach which disallowed a full ventilation</w:t>
      </w:r>
      <w:r w:rsidR="00AD0021" w:rsidRPr="000E0B6C">
        <w:rPr>
          <w:rFonts w:ascii="Arial" w:hAnsi="Arial" w:cs="Arial"/>
          <w:lang w:val="en-US"/>
        </w:rPr>
        <w:t>,</w:t>
      </w:r>
      <w:r w:rsidR="00794DED" w:rsidRPr="000E0B6C">
        <w:rPr>
          <w:rFonts w:ascii="Arial" w:hAnsi="Arial" w:cs="Arial"/>
          <w:lang w:val="en-US"/>
        </w:rPr>
        <w:t xml:space="preserve"> which would be the outcome if a relevant reply, if any</w:t>
      </w:r>
      <w:r w:rsidR="00AD0021" w:rsidRPr="000E0B6C">
        <w:rPr>
          <w:rFonts w:ascii="Arial" w:hAnsi="Arial" w:cs="Arial"/>
          <w:lang w:val="en-US"/>
        </w:rPr>
        <w:t>,</w:t>
      </w:r>
      <w:r w:rsidR="00794DED" w:rsidRPr="000E0B6C">
        <w:rPr>
          <w:rFonts w:ascii="Arial" w:hAnsi="Arial" w:cs="Arial"/>
          <w:lang w:val="en-US"/>
        </w:rPr>
        <w:t xml:space="preserve"> were to be prevented. The object of the rule should be, ex post facto, to afford an opportunity for a hearing afresh</w:t>
      </w:r>
      <w:r w:rsidR="00315685" w:rsidRPr="000E0B6C">
        <w:rPr>
          <w:rFonts w:ascii="Arial" w:hAnsi="Arial" w:cs="Arial"/>
          <w:lang w:val="en-US"/>
        </w:rPr>
        <w:t xml:space="preserve"> - </w:t>
      </w:r>
      <w:r w:rsidR="00794DED" w:rsidRPr="000E0B6C">
        <w:rPr>
          <w:rFonts w:ascii="Arial" w:hAnsi="Arial" w:cs="Arial"/>
          <w:lang w:val="en-US"/>
        </w:rPr>
        <w:t>as if there had been no earlier non</w:t>
      </w:r>
      <w:r w:rsidR="00315685" w:rsidRPr="000E0B6C">
        <w:rPr>
          <w:rFonts w:ascii="Arial" w:hAnsi="Arial" w:cs="Arial"/>
          <w:lang w:val="en-US"/>
        </w:rPr>
        <w:t>-</w:t>
      </w:r>
      <w:r w:rsidR="00794DED" w:rsidRPr="000E0B6C">
        <w:rPr>
          <w:rFonts w:ascii="Arial" w:hAnsi="Arial" w:cs="Arial"/>
          <w:lang w:val="en-US"/>
        </w:rPr>
        <w:t xml:space="preserve">observation of the </w:t>
      </w:r>
      <w:r w:rsidR="00315685" w:rsidRPr="000E0B6C">
        <w:rPr>
          <w:rFonts w:ascii="Arial" w:hAnsi="Arial" w:cs="Arial"/>
          <w:i/>
          <w:iCs/>
          <w:lang w:val="en-US"/>
        </w:rPr>
        <w:t>au</w:t>
      </w:r>
      <w:r w:rsidR="00794DED" w:rsidRPr="000E0B6C">
        <w:rPr>
          <w:rFonts w:ascii="Arial" w:hAnsi="Arial" w:cs="Arial"/>
          <w:i/>
          <w:iCs/>
          <w:lang w:val="en-US"/>
        </w:rPr>
        <w:t>di alter</w:t>
      </w:r>
      <w:r w:rsidR="00315685" w:rsidRPr="000E0B6C">
        <w:rPr>
          <w:rFonts w:ascii="Arial" w:hAnsi="Arial" w:cs="Arial"/>
          <w:i/>
          <w:iCs/>
          <w:lang w:val="en-US"/>
        </w:rPr>
        <w:t>e</w:t>
      </w:r>
      <w:r w:rsidR="00794DED" w:rsidRPr="000E0B6C">
        <w:rPr>
          <w:rFonts w:ascii="Arial" w:hAnsi="Arial" w:cs="Arial"/>
          <w:i/>
          <w:iCs/>
          <w:lang w:val="en-US"/>
        </w:rPr>
        <w:t xml:space="preserve">m </w:t>
      </w:r>
      <w:r w:rsidR="00315685" w:rsidRPr="000E0B6C">
        <w:rPr>
          <w:rFonts w:ascii="Arial" w:hAnsi="Arial" w:cs="Arial"/>
          <w:i/>
          <w:iCs/>
          <w:lang w:val="en-US"/>
        </w:rPr>
        <w:t>partem</w:t>
      </w:r>
      <w:r w:rsidR="00315685" w:rsidRPr="000E0B6C">
        <w:rPr>
          <w:rFonts w:ascii="Arial" w:hAnsi="Arial" w:cs="Arial"/>
          <w:lang w:val="en-US"/>
        </w:rPr>
        <w:t xml:space="preserve"> </w:t>
      </w:r>
      <w:r w:rsidR="00794DED" w:rsidRPr="000E0B6C">
        <w:rPr>
          <w:rFonts w:ascii="Arial" w:hAnsi="Arial" w:cs="Arial"/>
          <w:lang w:val="en-US"/>
        </w:rPr>
        <w:t>doctrine</w:t>
      </w:r>
      <w:r w:rsidR="00A03D18" w:rsidRPr="000E0B6C">
        <w:rPr>
          <w:rFonts w:ascii="Arial" w:hAnsi="Arial" w:cs="Arial"/>
          <w:lang w:val="en-US"/>
        </w:rPr>
        <w:t>….”</w:t>
      </w:r>
      <w:r w:rsidR="00A03D18" w:rsidRPr="000E0B6C">
        <w:rPr>
          <w:rStyle w:val="FootnoteReference"/>
          <w:rFonts w:ascii="Arial" w:hAnsi="Arial" w:cs="Arial"/>
          <w:lang w:val="en-US"/>
        </w:rPr>
        <w:footnoteReference w:id="17"/>
      </w:r>
    </w:p>
    <w:p w14:paraId="559B593C" w14:textId="7E30BF30" w:rsidR="008B77E4" w:rsidRPr="00933C28" w:rsidRDefault="008B77E4" w:rsidP="004E6484">
      <w:pPr>
        <w:pStyle w:val="ListParagraph"/>
        <w:ind w:left="0"/>
        <w:jc w:val="both"/>
        <w:rPr>
          <w:rFonts w:ascii="Arial" w:hAnsi="Arial" w:cs="Arial"/>
          <w:sz w:val="24"/>
          <w:szCs w:val="24"/>
        </w:rPr>
      </w:pPr>
    </w:p>
    <w:p w14:paraId="1330A612" w14:textId="4F646A27" w:rsidR="002757FC" w:rsidRPr="00933C28" w:rsidRDefault="007E3027" w:rsidP="007E3027">
      <w:pPr>
        <w:pStyle w:val="ListParagraph"/>
        <w:spacing w:line="360" w:lineRule="auto"/>
        <w:ind w:left="0"/>
        <w:jc w:val="both"/>
        <w:rPr>
          <w:rFonts w:ascii="Arial" w:hAnsi="Arial" w:cs="Arial"/>
          <w:sz w:val="24"/>
          <w:szCs w:val="24"/>
        </w:rPr>
      </w:pPr>
      <w:r>
        <w:rPr>
          <w:rFonts w:ascii="Arial" w:hAnsi="Arial" w:cs="Arial"/>
          <w:sz w:val="24"/>
          <w:szCs w:val="24"/>
        </w:rPr>
        <w:t>[2</w:t>
      </w:r>
      <w:r w:rsidR="00FC6820">
        <w:rPr>
          <w:rFonts w:ascii="Arial" w:hAnsi="Arial" w:cs="Arial"/>
          <w:sz w:val="24"/>
          <w:szCs w:val="24"/>
        </w:rPr>
        <w:t>1</w:t>
      </w:r>
      <w:r>
        <w:rPr>
          <w:rFonts w:ascii="Arial" w:hAnsi="Arial" w:cs="Arial"/>
          <w:sz w:val="24"/>
          <w:szCs w:val="24"/>
        </w:rPr>
        <w:t>]</w:t>
      </w:r>
      <w:r>
        <w:rPr>
          <w:rFonts w:ascii="Arial" w:hAnsi="Arial" w:cs="Arial"/>
          <w:sz w:val="24"/>
          <w:szCs w:val="24"/>
        </w:rPr>
        <w:tab/>
      </w:r>
      <w:r w:rsidR="002757FC" w:rsidRPr="00933C28">
        <w:rPr>
          <w:rFonts w:ascii="Arial" w:hAnsi="Arial" w:cs="Arial"/>
          <w:sz w:val="24"/>
          <w:szCs w:val="24"/>
        </w:rPr>
        <w:t xml:space="preserve"> </w:t>
      </w:r>
      <w:r w:rsidR="00464373" w:rsidRPr="00933C28">
        <w:rPr>
          <w:rFonts w:ascii="Arial" w:hAnsi="Arial" w:cs="Arial"/>
          <w:color w:val="000000"/>
          <w:sz w:val="24"/>
          <w:szCs w:val="24"/>
        </w:rPr>
        <w:t>In th</w:t>
      </w:r>
      <w:r w:rsidR="00033702" w:rsidRPr="00933C28">
        <w:rPr>
          <w:rFonts w:ascii="Arial" w:hAnsi="Arial" w:cs="Arial"/>
          <w:color w:val="000000"/>
          <w:sz w:val="24"/>
          <w:szCs w:val="24"/>
        </w:rPr>
        <w:t>e</w:t>
      </w:r>
      <w:r w:rsidR="002757FC" w:rsidRPr="00933C28">
        <w:rPr>
          <w:rFonts w:ascii="Arial" w:hAnsi="Arial" w:cs="Arial"/>
          <w:color w:val="000000"/>
          <w:sz w:val="24"/>
          <w:szCs w:val="24"/>
        </w:rPr>
        <w:t xml:space="preserve"> matter</w:t>
      </w:r>
      <w:r w:rsidR="00464373" w:rsidRPr="00933C28">
        <w:rPr>
          <w:rFonts w:ascii="Arial" w:hAnsi="Arial" w:cs="Arial"/>
          <w:color w:val="000000"/>
          <w:sz w:val="24"/>
          <w:szCs w:val="24"/>
        </w:rPr>
        <w:t xml:space="preserve"> of</w:t>
      </w:r>
      <w:r w:rsidR="002757FC" w:rsidRPr="00933C28">
        <w:rPr>
          <w:rFonts w:ascii="Arial" w:hAnsi="Arial" w:cs="Arial"/>
          <w:b/>
          <w:bCs/>
          <w:i/>
          <w:iCs/>
          <w:color w:val="000000"/>
          <w:sz w:val="24"/>
          <w:szCs w:val="24"/>
        </w:rPr>
        <w:t xml:space="preserve"> </w:t>
      </w:r>
      <w:r w:rsidR="002757FC" w:rsidRPr="007B2FF2">
        <w:rPr>
          <w:rFonts w:ascii="Arial" w:hAnsi="Arial" w:cs="Arial"/>
          <w:i/>
          <w:iCs/>
          <w:color w:val="000000"/>
          <w:sz w:val="24"/>
          <w:szCs w:val="24"/>
        </w:rPr>
        <w:t xml:space="preserve">ISDN </w:t>
      </w:r>
      <w:r w:rsidR="00320760">
        <w:rPr>
          <w:rFonts w:ascii="Arial" w:hAnsi="Arial" w:cs="Arial"/>
          <w:i/>
          <w:iCs/>
          <w:color w:val="000000"/>
          <w:sz w:val="24"/>
          <w:szCs w:val="24"/>
        </w:rPr>
        <w:t>S</w:t>
      </w:r>
      <w:r w:rsidR="00320760" w:rsidRPr="007B2FF2">
        <w:rPr>
          <w:rFonts w:ascii="Arial" w:hAnsi="Arial" w:cs="Arial"/>
          <w:i/>
          <w:iCs/>
          <w:color w:val="000000"/>
          <w:sz w:val="24"/>
          <w:szCs w:val="24"/>
        </w:rPr>
        <w:t>olutions (</w:t>
      </w:r>
      <w:r w:rsidR="00320760">
        <w:rPr>
          <w:rFonts w:ascii="Arial" w:hAnsi="Arial" w:cs="Arial"/>
          <w:i/>
          <w:iCs/>
          <w:color w:val="000000"/>
          <w:sz w:val="24"/>
          <w:szCs w:val="24"/>
        </w:rPr>
        <w:t>P</w:t>
      </w:r>
      <w:r w:rsidR="00320760" w:rsidRPr="007B2FF2">
        <w:rPr>
          <w:rFonts w:ascii="Arial" w:hAnsi="Arial" w:cs="Arial"/>
          <w:i/>
          <w:iCs/>
          <w:color w:val="000000"/>
          <w:sz w:val="24"/>
          <w:szCs w:val="24"/>
        </w:rPr>
        <w:t xml:space="preserve">ty) ltd </w:t>
      </w:r>
      <w:r w:rsidR="002757FC" w:rsidRPr="007B2FF2">
        <w:rPr>
          <w:rFonts w:ascii="Arial" w:hAnsi="Arial" w:cs="Arial"/>
          <w:i/>
          <w:iCs/>
          <w:color w:val="000000"/>
          <w:sz w:val="24"/>
          <w:szCs w:val="24"/>
        </w:rPr>
        <w:t xml:space="preserve">v CSDN </w:t>
      </w:r>
      <w:r w:rsidR="00320760">
        <w:rPr>
          <w:rFonts w:ascii="Arial" w:hAnsi="Arial" w:cs="Arial"/>
          <w:i/>
          <w:iCs/>
          <w:color w:val="000000"/>
          <w:sz w:val="24"/>
          <w:szCs w:val="24"/>
        </w:rPr>
        <w:t>S</w:t>
      </w:r>
      <w:r w:rsidR="00320760" w:rsidRPr="007B2FF2">
        <w:rPr>
          <w:rFonts w:ascii="Arial" w:hAnsi="Arial" w:cs="Arial"/>
          <w:i/>
          <w:iCs/>
          <w:color w:val="000000"/>
          <w:sz w:val="24"/>
          <w:szCs w:val="24"/>
        </w:rPr>
        <w:t xml:space="preserve">olutions </w:t>
      </w:r>
      <w:r w:rsidR="002757FC" w:rsidRPr="007B2FF2">
        <w:rPr>
          <w:rFonts w:ascii="Arial" w:hAnsi="Arial" w:cs="Arial"/>
          <w:i/>
          <w:iCs/>
          <w:color w:val="000000"/>
          <w:sz w:val="24"/>
          <w:szCs w:val="24"/>
        </w:rPr>
        <w:t xml:space="preserve">CC </w:t>
      </w:r>
      <w:r w:rsidR="00320760" w:rsidRPr="007B2FF2">
        <w:rPr>
          <w:rFonts w:ascii="Arial" w:hAnsi="Arial" w:cs="Arial"/>
          <w:i/>
          <w:iCs/>
          <w:color w:val="000000"/>
          <w:sz w:val="24"/>
          <w:szCs w:val="24"/>
        </w:rPr>
        <w:t>and others</w:t>
      </w:r>
      <w:r w:rsidR="00033702" w:rsidRPr="007B2FF2">
        <w:rPr>
          <w:rStyle w:val="FootnoteReference"/>
          <w:rFonts w:ascii="Arial" w:hAnsi="Arial" w:cs="Arial"/>
          <w:color w:val="000000"/>
          <w:sz w:val="24"/>
          <w:szCs w:val="24"/>
        </w:rPr>
        <w:footnoteReference w:id="18"/>
      </w:r>
      <w:r w:rsidR="00033702" w:rsidRPr="007B2FF2">
        <w:rPr>
          <w:rFonts w:ascii="Arial" w:hAnsi="Arial" w:cs="Arial"/>
          <w:color w:val="000000"/>
          <w:sz w:val="24"/>
          <w:szCs w:val="24"/>
        </w:rPr>
        <w:t xml:space="preserve">, </w:t>
      </w:r>
      <w:r w:rsidR="00033702" w:rsidRPr="00933C28">
        <w:rPr>
          <w:rFonts w:ascii="Arial" w:hAnsi="Arial" w:cs="Arial"/>
          <w:color w:val="000000"/>
          <w:sz w:val="24"/>
          <w:szCs w:val="24"/>
        </w:rPr>
        <w:t>the court</w:t>
      </w:r>
      <w:r w:rsidR="00341EEA" w:rsidRPr="00933C28">
        <w:rPr>
          <w:rFonts w:ascii="Arial" w:hAnsi="Arial" w:cs="Arial"/>
          <w:color w:val="000000"/>
          <w:sz w:val="24"/>
          <w:szCs w:val="24"/>
        </w:rPr>
        <w:t>,</w:t>
      </w:r>
      <w:r w:rsidR="00033702" w:rsidRPr="00933C28">
        <w:rPr>
          <w:rFonts w:ascii="Arial" w:hAnsi="Arial" w:cs="Arial"/>
          <w:color w:val="000000"/>
          <w:sz w:val="24"/>
          <w:szCs w:val="24"/>
        </w:rPr>
        <w:t xml:space="preserve"> </w:t>
      </w:r>
      <w:r w:rsidR="00341EEA" w:rsidRPr="00933C28">
        <w:rPr>
          <w:rFonts w:ascii="Arial" w:hAnsi="Arial" w:cs="Arial"/>
          <w:color w:val="000000"/>
          <w:sz w:val="24"/>
          <w:szCs w:val="24"/>
        </w:rPr>
        <w:t xml:space="preserve">referring to the rule, </w:t>
      </w:r>
      <w:r w:rsidR="00033702" w:rsidRPr="00933C28">
        <w:rPr>
          <w:rFonts w:ascii="Arial" w:hAnsi="Arial" w:cs="Arial"/>
          <w:color w:val="000000"/>
          <w:sz w:val="24"/>
          <w:szCs w:val="24"/>
        </w:rPr>
        <w:t xml:space="preserve">said </w:t>
      </w:r>
      <w:r w:rsidR="00636CAA" w:rsidRPr="00933C28">
        <w:rPr>
          <w:rFonts w:ascii="Arial" w:hAnsi="Arial" w:cs="Arial"/>
          <w:color w:val="000000"/>
          <w:sz w:val="24"/>
          <w:szCs w:val="24"/>
        </w:rPr>
        <w:t>the following</w:t>
      </w:r>
      <w:r w:rsidR="00033702" w:rsidRPr="00933C28">
        <w:rPr>
          <w:rFonts w:ascii="Arial" w:hAnsi="Arial" w:cs="Arial"/>
          <w:b/>
          <w:bCs/>
          <w:color w:val="000000"/>
          <w:sz w:val="24"/>
          <w:szCs w:val="24"/>
        </w:rPr>
        <w:t>:</w:t>
      </w:r>
    </w:p>
    <w:p w14:paraId="6A103753" w14:textId="5AB40FB1" w:rsidR="002757FC" w:rsidRPr="007E3027" w:rsidRDefault="00BF1BB8" w:rsidP="00BF1BB8">
      <w:pPr>
        <w:spacing w:line="360" w:lineRule="auto"/>
        <w:ind w:left="720"/>
        <w:jc w:val="both"/>
        <w:rPr>
          <w:rFonts w:ascii="Arial" w:eastAsia="Times New Roman" w:hAnsi="Arial" w:cs="Arial"/>
          <w:color w:val="000000"/>
          <w:kern w:val="0"/>
          <w:lang w:eastAsia="en-ZA"/>
          <w14:ligatures w14:val="none"/>
        </w:rPr>
      </w:pPr>
      <w:r>
        <w:rPr>
          <w:rFonts w:ascii="Arial" w:hAnsi="Arial" w:cs="Arial"/>
          <w:sz w:val="24"/>
          <w:szCs w:val="24"/>
        </w:rPr>
        <w:t>“</w:t>
      </w:r>
      <w:r w:rsidR="002757FC" w:rsidRPr="007E3027">
        <w:rPr>
          <w:rFonts w:ascii="Arial" w:hAnsi="Arial" w:cs="Arial"/>
        </w:rPr>
        <w:t>T</w:t>
      </w:r>
      <w:r w:rsidR="002757FC" w:rsidRPr="007E3027">
        <w:rPr>
          <w:rFonts w:ascii="Arial" w:eastAsia="Times New Roman" w:hAnsi="Arial" w:cs="Arial"/>
          <w:color w:val="000000"/>
          <w:kern w:val="0"/>
          <w:lang w:eastAsia="en-ZA"/>
          <w14:ligatures w14:val="none"/>
        </w:rPr>
        <w:t>he Rule has been widely formulated. It permits an aggrieved person against whom an order was granted in an urgent application to have that order reconsidered, provided only that it was granted in his absence. The underlying pivot to which the exercise of the power is coupled is the absence of the aggrieved party at the time of the grant of the order.</w:t>
      </w:r>
    </w:p>
    <w:p w14:paraId="4FA5F529" w14:textId="5CD8AAD4" w:rsidR="00B36D67" w:rsidRPr="007E3027" w:rsidRDefault="002757FC" w:rsidP="00BF1BB8">
      <w:pPr>
        <w:tabs>
          <w:tab w:val="left" w:pos="709"/>
        </w:tabs>
        <w:spacing w:line="360" w:lineRule="auto"/>
        <w:ind w:left="709"/>
        <w:jc w:val="both"/>
        <w:rPr>
          <w:rFonts w:ascii="Arial" w:eastAsia="Times New Roman" w:hAnsi="Arial" w:cs="Arial"/>
          <w:color w:val="000000"/>
          <w:kern w:val="0"/>
          <w:lang w:eastAsia="en-ZA"/>
          <w14:ligatures w14:val="none"/>
        </w:rPr>
      </w:pPr>
      <w:r w:rsidRPr="007E3027">
        <w:rPr>
          <w:rFonts w:ascii="Arial" w:eastAsia="Times New Roman" w:hAnsi="Arial" w:cs="Arial"/>
          <w:color w:val="000000"/>
          <w:kern w:val="0"/>
          <w:lang w:eastAsia="en-ZA"/>
          <w14:ligatures w14:val="none"/>
        </w:rPr>
        <w:t>Given this, the dominant purpose of the Rule seems relatively plain. It affords to an aggrieved party a mechanism designed to redress imbalances in, and injustices and oppression flowing from, an order granted as a matter of urgency in his absence. In circumstances of urgency where an affected party is not present, factors which might conceivably impact on the content and form of an order may not be known to either the applicant for urgent relief or the Judge required to determine</w:t>
      </w:r>
      <w:r w:rsidR="000C4024" w:rsidRPr="007E3027">
        <w:rPr>
          <w:rFonts w:ascii="Arial" w:eastAsia="Times New Roman" w:hAnsi="Arial" w:cs="Arial"/>
          <w:color w:val="000000"/>
          <w:kern w:val="0"/>
          <w:lang w:eastAsia="en-ZA"/>
          <w14:ligatures w14:val="none"/>
        </w:rPr>
        <w:t xml:space="preserve"> it.</w:t>
      </w:r>
      <w:r w:rsidR="007E3027" w:rsidRPr="007E3027">
        <w:rPr>
          <w:rFonts w:ascii="Arial" w:eastAsia="Times New Roman" w:hAnsi="Arial" w:cs="Arial"/>
          <w:color w:val="000000"/>
          <w:kern w:val="0"/>
          <w:lang w:eastAsia="en-ZA"/>
          <w14:ligatures w14:val="none"/>
        </w:rPr>
        <w:t xml:space="preserve"> </w:t>
      </w:r>
      <w:r w:rsidR="00B36D67" w:rsidRPr="007E3027">
        <w:rPr>
          <w:rFonts w:ascii="Arial" w:eastAsia="Times New Roman" w:hAnsi="Arial" w:cs="Arial"/>
          <w:color w:val="000000"/>
          <w:kern w:val="0"/>
          <w:lang w:eastAsia="en-ZA"/>
          <w14:ligatures w14:val="none"/>
        </w:rPr>
        <w:t xml:space="preserve">order in question may </w:t>
      </w:r>
      <w:r w:rsidR="00B36D67" w:rsidRPr="007E3027">
        <w:rPr>
          <w:rFonts w:ascii="Arial" w:eastAsia="Times New Roman" w:hAnsi="Arial" w:cs="Arial"/>
          <w:color w:val="000000"/>
          <w:kern w:val="0"/>
          <w:lang w:eastAsia="en-ZA"/>
          <w14:ligatures w14:val="none"/>
        </w:rPr>
        <w:lastRenderedPageBreak/>
        <w:t>be either interim or final</w:t>
      </w:r>
      <w:r w:rsidR="00B36D67" w:rsidRPr="00933C28">
        <w:rPr>
          <w:rFonts w:ascii="Arial" w:eastAsia="Times New Roman" w:hAnsi="Arial" w:cs="Arial"/>
          <w:color w:val="000000"/>
          <w:kern w:val="0"/>
          <w:sz w:val="24"/>
          <w:szCs w:val="24"/>
          <w:lang w:eastAsia="en-ZA"/>
          <w14:ligatures w14:val="none"/>
        </w:rPr>
        <w:t xml:space="preserve"> </w:t>
      </w:r>
      <w:r w:rsidR="00B36D67" w:rsidRPr="007E3027">
        <w:rPr>
          <w:rFonts w:ascii="Arial" w:eastAsia="Times New Roman" w:hAnsi="Arial" w:cs="Arial"/>
          <w:color w:val="000000"/>
          <w:kern w:val="0"/>
          <w:lang w:eastAsia="en-ZA"/>
          <w14:ligatures w14:val="none"/>
        </w:rPr>
        <w:t>in its operation. Reconsideration may involve a deletion of the order, either in whole or in part, or the engraftment of additions thereto.</w:t>
      </w:r>
    </w:p>
    <w:p w14:paraId="2CBB0415" w14:textId="2C2A0CA7" w:rsidR="00B36D67" w:rsidRPr="007E3027" w:rsidRDefault="00B36D67" w:rsidP="007E3027">
      <w:pPr>
        <w:spacing w:after="0" w:line="360" w:lineRule="auto"/>
        <w:ind w:left="720"/>
        <w:jc w:val="both"/>
        <w:rPr>
          <w:rFonts w:ascii="Arial" w:eastAsia="Times New Roman" w:hAnsi="Arial" w:cs="Arial"/>
          <w:color w:val="000000"/>
          <w:kern w:val="0"/>
          <w:lang w:eastAsia="en-ZA"/>
          <w14:ligatures w14:val="none"/>
        </w:rPr>
      </w:pPr>
      <w:r w:rsidRPr="007E3027">
        <w:rPr>
          <w:rFonts w:ascii="Arial" w:eastAsia="Times New Roman" w:hAnsi="Arial" w:cs="Arial"/>
          <w:color w:val="000000"/>
          <w:kern w:val="0"/>
          <w:lang w:eastAsia="en-ZA"/>
          <w14:ligatures w14:val="none"/>
        </w:rPr>
        <w:t>The framers of the Rule have not sought to delineate the factors which might legitimately be taken into reckoning in determining whether any particular order falls to be reconsidered. What is plain is that a wide discretion is intended. Factors relating to the reasons for the absence, the nature of the order granted and the period during which it has remained operative will invariably fall to be considered in determining whether a discretion should be exercised in favour of the aggrieved part</w:t>
      </w:r>
      <w:r w:rsidR="00F06407" w:rsidRPr="007E3027">
        <w:rPr>
          <w:rFonts w:ascii="Arial" w:eastAsia="Times New Roman" w:hAnsi="Arial" w:cs="Arial"/>
          <w:color w:val="000000"/>
          <w:kern w:val="0"/>
          <w:lang w:eastAsia="en-ZA"/>
          <w14:ligatures w14:val="none"/>
        </w:rPr>
        <w:t>y</w:t>
      </w:r>
      <w:r w:rsidRPr="007E3027">
        <w:rPr>
          <w:rFonts w:ascii="Arial" w:eastAsia="Times New Roman" w:hAnsi="Arial" w:cs="Arial"/>
          <w:color w:val="000000"/>
          <w:kern w:val="0"/>
          <w:lang w:eastAsia="en-ZA"/>
          <w14:ligatures w14:val="none"/>
        </w:rPr>
        <w:t>.</w:t>
      </w:r>
      <w:r w:rsidR="00535030" w:rsidRPr="007E3027">
        <w:rPr>
          <w:rFonts w:ascii="Arial" w:eastAsia="Times New Roman" w:hAnsi="Arial" w:cs="Arial"/>
          <w:color w:val="000000"/>
          <w:kern w:val="0"/>
          <w:lang w:eastAsia="en-ZA"/>
          <w14:ligatures w14:val="none"/>
        </w:rPr>
        <w:t>”</w:t>
      </w:r>
      <w:r w:rsidR="00535030" w:rsidRPr="007E3027">
        <w:rPr>
          <w:rStyle w:val="FootnoteReference"/>
          <w:rFonts w:ascii="Arial" w:eastAsia="Times New Roman" w:hAnsi="Arial" w:cs="Arial"/>
          <w:color w:val="000000"/>
          <w:kern w:val="0"/>
          <w:lang w:eastAsia="en-ZA"/>
          <w14:ligatures w14:val="none"/>
        </w:rPr>
        <w:footnoteReference w:id="19"/>
      </w:r>
    </w:p>
    <w:p w14:paraId="4B3FD6CC" w14:textId="77777777" w:rsidR="004E6484" w:rsidRPr="00933C28" w:rsidRDefault="004E6484" w:rsidP="008B77E4">
      <w:pPr>
        <w:spacing w:after="0" w:line="240" w:lineRule="auto"/>
        <w:ind w:left="720"/>
        <w:jc w:val="both"/>
        <w:rPr>
          <w:rFonts w:ascii="Arial" w:eastAsia="Times New Roman" w:hAnsi="Arial" w:cs="Arial"/>
          <w:color w:val="000000"/>
          <w:kern w:val="0"/>
          <w:sz w:val="24"/>
          <w:szCs w:val="24"/>
          <w:lang w:eastAsia="en-ZA"/>
          <w14:ligatures w14:val="none"/>
        </w:rPr>
      </w:pPr>
    </w:p>
    <w:p w14:paraId="4CDC169A" w14:textId="44A23645" w:rsidR="004E6484" w:rsidRPr="00933C28" w:rsidRDefault="007E3027" w:rsidP="007E3027">
      <w:pPr>
        <w:pStyle w:val="ListParagraph"/>
        <w:spacing w:after="0" w:line="240" w:lineRule="auto"/>
        <w:ind w:left="0"/>
        <w:jc w:val="both"/>
        <w:rPr>
          <w:rFonts w:ascii="Arial" w:eastAsia="Times New Roman" w:hAnsi="Arial" w:cs="Arial"/>
          <w:color w:val="000000"/>
          <w:kern w:val="0"/>
          <w:sz w:val="24"/>
          <w:szCs w:val="24"/>
          <w:lang w:eastAsia="en-ZA"/>
          <w14:ligatures w14:val="none"/>
        </w:rPr>
      </w:pPr>
      <w:r>
        <w:rPr>
          <w:rFonts w:ascii="Arial" w:eastAsia="Times New Roman" w:hAnsi="Arial" w:cs="Arial"/>
          <w:color w:val="000000"/>
          <w:kern w:val="0"/>
          <w:sz w:val="24"/>
          <w:szCs w:val="24"/>
          <w:lang w:eastAsia="en-ZA"/>
          <w14:ligatures w14:val="none"/>
        </w:rPr>
        <w:t>[2</w:t>
      </w:r>
      <w:r w:rsidR="00FC6820">
        <w:rPr>
          <w:rFonts w:ascii="Arial" w:eastAsia="Times New Roman" w:hAnsi="Arial" w:cs="Arial"/>
          <w:color w:val="000000"/>
          <w:kern w:val="0"/>
          <w:sz w:val="24"/>
          <w:szCs w:val="24"/>
          <w:lang w:eastAsia="en-ZA"/>
          <w14:ligatures w14:val="none"/>
        </w:rPr>
        <w:t>2</w:t>
      </w:r>
      <w:r>
        <w:rPr>
          <w:rFonts w:ascii="Arial" w:eastAsia="Times New Roman" w:hAnsi="Arial" w:cs="Arial"/>
          <w:color w:val="000000"/>
          <w:kern w:val="0"/>
          <w:sz w:val="24"/>
          <w:szCs w:val="24"/>
          <w:lang w:eastAsia="en-ZA"/>
          <w14:ligatures w14:val="none"/>
        </w:rPr>
        <w:t>]</w:t>
      </w:r>
      <w:r>
        <w:rPr>
          <w:rFonts w:ascii="Arial" w:eastAsia="Times New Roman" w:hAnsi="Arial" w:cs="Arial"/>
          <w:color w:val="000000"/>
          <w:kern w:val="0"/>
          <w:sz w:val="24"/>
          <w:szCs w:val="24"/>
          <w:lang w:eastAsia="en-ZA"/>
          <w14:ligatures w14:val="none"/>
        </w:rPr>
        <w:tab/>
      </w:r>
      <w:r w:rsidR="004E6484" w:rsidRPr="00933C28">
        <w:rPr>
          <w:rFonts w:ascii="Arial" w:eastAsia="Times New Roman" w:hAnsi="Arial" w:cs="Arial"/>
          <w:color w:val="000000"/>
          <w:kern w:val="0"/>
          <w:sz w:val="24"/>
          <w:szCs w:val="24"/>
          <w:lang w:eastAsia="en-ZA"/>
          <w14:ligatures w14:val="none"/>
        </w:rPr>
        <w:t xml:space="preserve">Having outlined the </w:t>
      </w:r>
      <w:r w:rsidR="003531A9" w:rsidRPr="00933C28">
        <w:rPr>
          <w:rFonts w:ascii="Arial" w:eastAsia="Times New Roman" w:hAnsi="Arial" w:cs="Arial"/>
          <w:color w:val="000000"/>
          <w:kern w:val="0"/>
          <w:sz w:val="24"/>
          <w:szCs w:val="24"/>
          <w:lang w:eastAsia="en-ZA"/>
          <w14:ligatures w14:val="none"/>
        </w:rPr>
        <w:t>rule and its purpose, I proc</w:t>
      </w:r>
      <w:r w:rsidR="0091409E" w:rsidRPr="00933C28">
        <w:rPr>
          <w:rFonts w:ascii="Arial" w:eastAsia="Times New Roman" w:hAnsi="Arial" w:cs="Arial"/>
          <w:color w:val="000000"/>
          <w:kern w:val="0"/>
          <w:sz w:val="24"/>
          <w:szCs w:val="24"/>
          <w:lang w:eastAsia="en-ZA"/>
          <w14:ligatures w14:val="none"/>
        </w:rPr>
        <w:t>e</w:t>
      </w:r>
      <w:r w:rsidR="003531A9" w:rsidRPr="00933C28">
        <w:rPr>
          <w:rFonts w:ascii="Arial" w:eastAsia="Times New Roman" w:hAnsi="Arial" w:cs="Arial"/>
          <w:color w:val="000000"/>
          <w:kern w:val="0"/>
          <w:sz w:val="24"/>
          <w:szCs w:val="24"/>
          <w:lang w:eastAsia="en-ZA"/>
          <w14:ligatures w14:val="none"/>
        </w:rPr>
        <w:t>ed to examine the submissions</w:t>
      </w:r>
      <w:r w:rsidR="0091409E" w:rsidRPr="00933C28">
        <w:rPr>
          <w:rFonts w:ascii="Arial" w:eastAsia="Times New Roman" w:hAnsi="Arial" w:cs="Arial"/>
          <w:color w:val="000000"/>
          <w:kern w:val="0"/>
          <w:sz w:val="24"/>
          <w:szCs w:val="24"/>
          <w:lang w:eastAsia="en-ZA"/>
          <w14:ligatures w14:val="none"/>
        </w:rPr>
        <w:t>.</w:t>
      </w:r>
      <w:r w:rsidR="003531A9" w:rsidRPr="00933C28">
        <w:rPr>
          <w:rFonts w:ascii="Arial" w:eastAsia="Times New Roman" w:hAnsi="Arial" w:cs="Arial"/>
          <w:color w:val="000000"/>
          <w:kern w:val="0"/>
          <w:sz w:val="24"/>
          <w:szCs w:val="24"/>
          <w:lang w:eastAsia="en-ZA"/>
          <w14:ligatures w14:val="none"/>
        </w:rPr>
        <w:t xml:space="preserve"> </w:t>
      </w:r>
    </w:p>
    <w:p w14:paraId="7D98CA0F" w14:textId="0145DFA2" w:rsidR="002A5F4E" w:rsidRPr="00933C28" w:rsidRDefault="002A5F4E" w:rsidP="004E2D6A">
      <w:pPr>
        <w:jc w:val="both"/>
        <w:rPr>
          <w:rFonts w:ascii="Arial" w:hAnsi="Arial" w:cs="Arial"/>
          <w:sz w:val="24"/>
          <w:szCs w:val="24"/>
        </w:rPr>
      </w:pPr>
    </w:p>
    <w:p w14:paraId="7B99B721" w14:textId="7CD9553F" w:rsidR="00B42868" w:rsidRPr="00933C28" w:rsidRDefault="002B3FD7" w:rsidP="007E3027">
      <w:pPr>
        <w:ind w:firstLine="720"/>
        <w:jc w:val="both"/>
        <w:rPr>
          <w:rFonts w:ascii="Arial" w:hAnsi="Arial" w:cs="Arial"/>
          <w:i/>
          <w:iCs/>
          <w:sz w:val="24"/>
          <w:szCs w:val="24"/>
        </w:rPr>
      </w:pPr>
      <w:r w:rsidRPr="00933C28">
        <w:rPr>
          <w:rFonts w:ascii="Arial" w:hAnsi="Arial" w:cs="Arial"/>
          <w:i/>
          <w:iCs/>
          <w:sz w:val="24"/>
          <w:szCs w:val="24"/>
        </w:rPr>
        <w:t>Counsel for the r</w:t>
      </w:r>
      <w:r w:rsidR="00770E8C" w:rsidRPr="00933C28">
        <w:rPr>
          <w:rFonts w:ascii="Arial" w:hAnsi="Arial" w:cs="Arial"/>
          <w:i/>
          <w:iCs/>
          <w:sz w:val="24"/>
          <w:szCs w:val="24"/>
        </w:rPr>
        <w:t xml:space="preserve">espondent’s </w:t>
      </w:r>
      <w:r w:rsidR="00B42868" w:rsidRPr="00933C28">
        <w:rPr>
          <w:rFonts w:ascii="Arial" w:hAnsi="Arial" w:cs="Arial"/>
          <w:i/>
          <w:iCs/>
          <w:sz w:val="24"/>
          <w:szCs w:val="24"/>
        </w:rPr>
        <w:t>submissions</w:t>
      </w:r>
      <w:r w:rsidR="00770E8C" w:rsidRPr="00933C28">
        <w:rPr>
          <w:rFonts w:ascii="Arial" w:hAnsi="Arial" w:cs="Arial"/>
          <w:i/>
          <w:iCs/>
          <w:sz w:val="24"/>
          <w:szCs w:val="24"/>
        </w:rPr>
        <w:t xml:space="preserve"> and discussion</w:t>
      </w:r>
    </w:p>
    <w:p w14:paraId="498619B4" w14:textId="151E02BE" w:rsidR="008D3C68" w:rsidRPr="00933C28" w:rsidRDefault="007E3027" w:rsidP="007E3027">
      <w:pPr>
        <w:pStyle w:val="ListParagraph"/>
        <w:spacing w:line="360" w:lineRule="auto"/>
        <w:ind w:left="0"/>
        <w:jc w:val="both"/>
        <w:rPr>
          <w:rFonts w:ascii="Arial" w:hAnsi="Arial" w:cs="Arial"/>
          <w:sz w:val="24"/>
          <w:szCs w:val="24"/>
        </w:rPr>
      </w:pPr>
      <w:r>
        <w:rPr>
          <w:rFonts w:ascii="Arial" w:hAnsi="Arial" w:cs="Arial"/>
          <w:sz w:val="24"/>
          <w:szCs w:val="24"/>
        </w:rPr>
        <w:t>[2</w:t>
      </w:r>
      <w:r w:rsidR="00FC6820">
        <w:rPr>
          <w:rFonts w:ascii="Arial" w:hAnsi="Arial" w:cs="Arial"/>
          <w:sz w:val="24"/>
          <w:szCs w:val="24"/>
        </w:rPr>
        <w:t>3</w:t>
      </w:r>
      <w:r>
        <w:rPr>
          <w:rFonts w:ascii="Arial" w:hAnsi="Arial" w:cs="Arial"/>
          <w:sz w:val="24"/>
          <w:szCs w:val="24"/>
        </w:rPr>
        <w:t>]</w:t>
      </w:r>
      <w:r>
        <w:rPr>
          <w:rFonts w:ascii="Arial" w:hAnsi="Arial" w:cs="Arial"/>
          <w:sz w:val="24"/>
          <w:szCs w:val="24"/>
        </w:rPr>
        <w:tab/>
      </w:r>
      <w:r w:rsidR="00A962AB" w:rsidRPr="00933C28">
        <w:rPr>
          <w:rFonts w:ascii="Arial" w:hAnsi="Arial" w:cs="Arial"/>
          <w:sz w:val="24"/>
          <w:szCs w:val="24"/>
        </w:rPr>
        <w:t>Stripped to its essentials,</w:t>
      </w:r>
      <w:r w:rsidR="00354C18" w:rsidRPr="00933C28">
        <w:rPr>
          <w:rFonts w:ascii="Arial" w:hAnsi="Arial" w:cs="Arial"/>
          <w:sz w:val="24"/>
          <w:szCs w:val="24"/>
        </w:rPr>
        <w:t xml:space="preserve"> </w:t>
      </w:r>
      <w:r w:rsidR="00BF5716" w:rsidRPr="00933C28">
        <w:rPr>
          <w:rFonts w:ascii="Arial" w:hAnsi="Arial" w:cs="Arial"/>
          <w:sz w:val="24"/>
          <w:szCs w:val="24"/>
        </w:rPr>
        <w:t>c</w:t>
      </w:r>
      <w:r w:rsidR="00B42868" w:rsidRPr="00933C28">
        <w:rPr>
          <w:rFonts w:ascii="Arial" w:hAnsi="Arial" w:cs="Arial"/>
          <w:sz w:val="24"/>
          <w:szCs w:val="24"/>
        </w:rPr>
        <w:t>ounsel</w:t>
      </w:r>
      <w:r w:rsidR="00A962AB" w:rsidRPr="00933C28">
        <w:rPr>
          <w:rFonts w:ascii="Arial" w:hAnsi="Arial" w:cs="Arial"/>
          <w:sz w:val="24"/>
          <w:szCs w:val="24"/>
        </w:rPr>
        <w:t xml:space="preserve">’s </w:t>
      </w:r>
      <w:r w:rsidR="00C018AA" w:rsidRPr="00933C28">
        <w:rPr>
          <w:rFonts w:ascii="Arial" w:hAnsi="Arial" w:cs="Arial"/>
          <w:sz w:val="24"/>
          <w:szCs w:val="24"/>
        </w:rPr>
        <w:t xml:space="preserve">main </w:t>
      </w:r>
      <w:r w:rsidR="00A962AB" w:rsidRPr="00933C28">
        <w:rPr>
          <w:rFonts w:ascii="Arial" w:hAnsi="Arial" w:cs="Arial"/>
          <w:sz w:val="24"/>
          <w:szCs w:val="24"/>
        </w:rPr>
        <w:t xml:space="preserve">submission </w:t>
      </w:r>
      <w:r w:rsidR="00247DDA" w:rsidRPr="00933C28">
        <w:rPr>
          <w:rFonts w:ascii="Arial" w:hAnsi="Arial" w:cs="Arial"/>
          <w:sz w:val="24"/>
          <w:szCs w:val="24"/>
        </w:rPr>
        <w:t xml:space="preserve">was that to preserve an asset it should be a proceed of </w:t>
      </w:r>
      <w:r w:rsidR="00F15423" w:rsidRPr="00933C28">
        <w:rPr>
          <w:rFonts w:ascii="Arial" w:hAnsi="Arial" w:cs="Arial"/>
          <w:sz w:val="24"/>
          <w:szCs w:val="24"/>
        </w:rPr>
        <w:t xml:space="preserve">a </w:t>
      </w:r>
      <w:r w:rsidR="00247DDA" w:rsidRPr="00933C28">
        <w:rPr>
          <w:rFonts w:ascii="Arial" w:hAnsi="Arial" w:cs="Arial"/>
          <w:sz w:val="24"/>
          <w:szCs w:val="24"/>
        </w:rPr>
        <w:t xml:space="preserve">crime or </w:t>
      </w:r>
      <w:r w:rsidR="00432214">
        <w:rPr>
          <w:rFonts w:ascii="Arial" w:hAnsi="Arial" w:cs="Arial"/>
          <w:sz w:val="24"/>
          <w:szCs w:val="24"/>
        </w:rPr>
        <w:t xml:space="preserve">an </w:t>
      </w:r>
      <w:r w:rsidR="00247DDA" w:rsidRPr="00933C28">
        <w:rPr>
          <w:rFonts w:ascii="Arial" w:hAnsi="Arial" w:cs="Arial"/>
          <w:sz w:val="24"/>
          <w:szCs w:val="24"/>
        </w:rPr>
        <w:t>unlawful activit</w:t>
      </w:r>
      <w:r w:rsidR="00432214">
        <w:rPr>
          <w:rFonts w:ascii="Arial" w:hAnsi="Arial" w:cs="Arial"/>
          <w:sz w:val="24"/>
          <w:szCs w:val="24"/>
        </w:rPr>
        <w:t>y</w:t>
      </w:r>
      <w:r w:rsidR="001F463B" w:rsidRPr="00933C28">
        <w:rPr>
          <w:rFonts w:ascii="Arial" w:hAnsi="Arial" w:cs="Arial"/>
          <w:sz w:val="24"/>
          <w:szCs w:val="24"/>
        </w:rPr>
        <w:t>; since applicant</w:t>
      </w:r>
      <w:r w:rsidR="003D15D2" w:rsidRPr="00933C28">
        <w:rPr>
          <w:rFonts w:ascii="Arial" w:hAnsi="Arial" w:cs="Arial"/>
          <w:sz w:val="24"/>
          <w:szCs w:val="24"/>
        </w:rPr>
        <w:t xml:space="preserve">’s </w:t>
      </w:r>
      <w:r w:rsidR="00247DDA" w:rsidRPr="00933C28">
        <w:rPr>
          <w:rFonts w:ascii="Arial" w:hAnsi="Arial" w:cs="Arial"/>
          <w:sz w:val="24"/>
          <w:szCs w:val="24"/>
        </w:rPr>
        <w:t>pape</w:t>
      </w:r>
      <w:r w:rsidR="003D15D2" w:rsidRPr="00933C28">
        <w:rPr>
          <w:rFonts w:ascii="Arial" w:hAnsi="Arial" w:cs="Arial"/>
          <w:sz w:val="24"/>
          <w:szCs w:val="24"/>
        </w:rPr>
        <w:t>rs</w:t>
      </w:r>
      <w:r w:rsidR="00247DDA" w:rsidRPr="00933C28">
        <w:rPr>
          <w:rFonts w:ascii="Arial" w:hAnsi="Arial" w:cs="Arial"/>
          <w:sz w:val="24"/>
          <w:szCs w:val="24"/>
        </w:rPr>
        <w:t xml:space="preserve"> do not </w:t>
      </w:r>
      <w:r w:rsidR="00727718" w:rsidRPr="00933C28">
        <w:rPr>
          <w:rFonts w:ascii="Arial" w:hAnsi="Arial" w:cs="Arial"/>
          <w:sz w:val="24"/>
          <w:szCs w:val="24"/>
        </w:rPr>
        <w:t>describe a crime or an unlawful activity</w:t>
      </w:r>
      <w:r w:rsidR="002B3FD7" w:rsidRPr="00933C28">
        <w:rPr>
          <w:rFonts w:ascii="Arial" w:hAnsi="Arial" w:cs="Arial"/>
          <w:sz w:val="24"/>
          <w:szCs w:val="24"/>
        </w:rPr>
        <w:t>,</w:t>
      </w:r>
      <w:r w:rsidR="003D15D2" w:rsidRPr="00933C28">
        <w:rPr>
          <w:rFonts w:ascii="Arial" w:hAnsi="Arial" w:cs="Arial"/>
          <w:sz w:val="24"/>
          <w:szCs w:val="24"/>
        </w:rPr>
        <w:t xml:space="preserve"> it</w:t>
      </w:r>
      <w:r w:rsidR="008D3C68" w:rsidRPr="00933C28">
        <w:rPr>
          <w:rFonts w:ascii="Arial" w:hAnsi="Arial" w:cs="Arial"/>
          <w:sz w:val="24"/>
          <w:szCs w:val="24"/>
        </w:rPr>
        <w:t xml:space="preserve"> </w:t>
      </w:r>
      <w:r w:rsidR="003D15D2" w:rsidRPr="00933C28">
        <w:rPr>
          <w:rFonts w:ascii="Arial" w:hAnsi="Arial" w:cs="Arial"/>
          <w:sz w:val="24"/>
          <w:szCs w:val="24"/>
        </w:rPr>
        <w:t>was</w:t>
      </w:r>
      <w:r w:rsidR="00727718" w:rsidRPr="00933C28">
        <w:rPr>
          <w:rFonts w:ascii="Arial" w:hAnsi="Arial" w:cs="Arial"/>
          <w:sz w:val="24"/>
          <w:szCs w:val="24"/>
        </w:rPr>
        <w:t xml:space="preserve"> the end of the matter.</w:t>
      </w:r>
      <w:r w:rsidR="006754E4" w:rsidRPr="00933C28">
        <w:rPr>
          <w:rFonts w:ascii="Arial" w:hAnsi="Arial" w:cs="Arial"/>
          <w:sz w:val="24"/>
          <w:szCs w:val="24"/>
        </w:rPr>
        <w:t xml:space="preserve"> His rhetorical question was why would the second tranche be the proceeds of a crime or unlawful activit</w:t>
      </w:r>
      <w:r w:rsidR="008D3C68" w:rsidRPr="00933C28">
        <w:rPr>
          <w:rFonts w:ascii="Arial" w:hAnsi="Arial" w:cs="Arial"/>
          <w:sz w:val="24"/>
          <w:szCs w:val="24"/>
        </w:rPr>
        <w:t>ies</w:t>
      </w:r>
      <w:r w:rsidR="006754E4" w:rsidRPr="00933C28">
        <w:rPr>
          <w:rFonts w:ascii="Arial" w:hAnsi="Arial" w:cs="Arial"/>
          <w:sz w:val="24"/>
          <w:szCs w:val="24"/>
        </w:rPr>
        <w:t>?</w:t>
      </w:r>
      <w:r w:rsidR="00DB5199" w:rsidRPr="00933C28">
        <w:rPr>
          <w:rFonts w:ascii="Arial" w:hAnsi="Arial" w:cs="Arial"/>
          <w:sz w:val="24"/>
          <w:szCs w:val="24"/>
        </w:rPr>
        <w:t xml:space="preserve"> The job was done for R9 300 000.00</w:t>
      </w:r>
      <w:r w:rsidR="00896357" w:rsidRPr="00933C28">
        <w:rPr>
          <w:rFonts w:ascii="Arial" w:hAnsi="Arial" w:cs="Arial"/>
          <w:sz w:val="24"/>
          <w:szCs w:val="24"/>
        </w:rPr>
        <w:t>,</w:t>
      </w:r>
      <w:r w:rsidR="00DB5199" w:rsidRPr="00933C28">
        <w:rPr>
          <w:rFonts w:ascii="Arial" w:hAnsi="Arial" w:cs="Arial"/>
          <w:sz w:val="24"/>
          <w:szCs w:val="24"/>
        </w:rPr>
        <w:t xml:space="preserve"> the complaint is you used part of the money to purchase a lodge</w:t>
      </w:r>
      <w:r w:rsidR="0093496B" w:rsidRPr="00933C28">
        <w:rPr>
          <w:rFonts w:ascii="Arial" w:hAnsi="Arial" w:cs="Arial"/>
          <w:sz w:val="24"/>
          <w:szCs w:val="24"/>
        </w:rPr>
        <w:t>.</w:t>
      </w:r>
      <w:r w:rsidR="00DB5199" w:rsidRPr="00933C28">
        <w:rPr>
          <w:rFonts w:ascii="Arial" w:hAnsi="Arial" w:cs="Arial"/>
          <w:sz w:val="24"/>
          <w:szCs w:val="24"/>
        </w:rPr>
        <w:t xml:space="preserve"> </w:t>
      </w:r>
      <w:r w:rsidR="004178C2">
        <w:rPr>
          <w:rFonts w:ascii="Arial" w:hAnsi="Arial" w:cs="Arial"/>
          <w:sz w:val="24"/>
          <w:szCs w:val="24"/>
        </w:rPr>
        <w:t>W</w:t>
      </w:r>
      <w:r w:rsidR="00DB5199" w:rsidRPr="00933C28">
        <w:rPr>
          <w:rFonts w:ascii="Arial" w:hAnsi="Arial" w:cs="Arial"/>
          <w:sz w:val="24"/>
          <w:szCs w:val="24"/>
        </w:rPr>
        <w:t>hat is wrong with that</w:t>
      </w:r>
      <w:r w:rsidR="004178C2" w:rsidRPr="00933C28">
        <w:rPr>
          <w:rFonts w:ascii="Arial" w:hAnsi="Arial" w:cs="Arial"/>
          <w:sz w:val="24"/>
          <w:szCs w:val="24"/>
        </w:rPr>
        <w:t>?</w:t>
      </w:r>
      <w:r w:rsidR="004178C2">
        <w:rPr>
          <w:rFonts w:ascii="Arial" w:hAnsi="Arial" w:cs="Arial"/>
          <w:sz w:val="24"/>
          <w:szCs w:val="24"/>
        </w:rPr>
        <w:t xml:space="preserve"> He asked.</w:t>
      </w:r>
      <w:r w:rsidR="006754E4" w:rsidRPr="00933C28">
        <w:rPr>
          <w:rFonts w:ascii="Arial" w:hAnsi="Arial" w:cs="Arial"/>
          <w:sz w:val="24"/>
          <w:szCs w:val="24"/>
        </w:rPr>
        <w:t xml:space="preserve"> </w:t>
      </w:r>
    </w:p>
    <w:p w14:paraId="36FB78EA" w14:textId="77777777" w:rsidR="003332CD" w:rsidRPr="00933C28" w:rsidRDefault="003332CD" w:rsidP="007E3027">
      <w:pPr>
        <w:spacing w:line="360" w:lineRule="auto"/>
        <w:jc w:val="both"/>
        <w:rPr>
          <w:rFonts w:ascii="Arial" w:hAnsi="Arial" w:cs="Arial"/>
          <w:sz w:val="24"/>
          <w:szCs w:val="24"/>
        </w:rPr>
      </w:pPr>
    </w:p>
    <w:p w14:paraId="5040A32C" w14:textId="24D84D65" w:rsidR="00320B4D" w:rsidRPr="007E3027" w:rsidRDefault="007E3027" w:rsidP="007E3027">
      <w:pPr>
        <w:spacing w:line="360" w:lineRule="auto"/>
        <w:jc w:val="both"/>
        <w:rPr>
          <w:rFonts w:ascii="Arial" w:hAnsi="Arial" w:cs="Arial"/>
          <w:sz w:val="24"/>
          <w:szCs w:val="24"/>
        </w:rPr>
      </w:pPr>
      <w:r>
        <w:rPr>
          <w:rFonts w:ascii="Arial" w:hAnsi="Arial" w:cs="Arial"/>
          <w:sz w:val="24"/>
          <w:szCs w:val="24"/>
        </w:rPr>
        <w:t>[2</w:t>
      </w:r>
      <w:r w:rsidR="00FC6820">
        <w:rPr>
          <w:rFonts w:ascii="Arial" w:hAnsi="Arial" w:cs="Arial"/>
          <w:sz w:val="24"/>
          <w:szCs w:val="24"/>
        </w:rPr>
        <w:t>4</w:t>
      </w:r>
      <w:r>
        <w:rPr>
          <w:rFonts w:ascii="Arial" w:hAnsi="Arial" w:cs="Arial"/>
          <w:sz w:val="24"/>
          <w:szCs w:val="24"/>
        </w:rPr>
        <w:t>]</w:t>
      </w:r>
      <w:r>
        <w:rPr>
          <w:rFonts w:ascii="Arial" w:hAnsi="Arial" w:cs="Arial"/>
          <w:sz w:val="24"/>
          <w:szCs w:val="24"/>
        </w:rPr>
        <w:tab/>
      </w:r>
      <w:r w:rsidR="008D3C68" w:rsidRPr="007E3027">
        <w:rPr>
          <w:rFonts w:ascii="Arial" w:hAnsi="Arial" w:cs="Arial"/>
          <w:sz w:val="24"/>
          <w:szCs w:val="24"/>
        </w:rPr>
        <w:t xml:space="preserve">This court is of the opinion that </w:t>
      </w:r>
      <w:r w:rsidR="00896357" w:rsidRPr="007E3027">
        <w:rPr>
          <w:rFonts w:ascii="Arial" w:hAnsi="Arial" w:cs="Arial"/>
          <w:sz w:val="24"/>
          <w:szCs w:val="24"/>
        </w:rPr>
        <w:t>there is a</w:t>
      </w:r>
      <w:r w:rsidR="008D3C68" w:rsidRPr="007E3027">
        <w:rPr>
          <w:rFonts w:ascii="Arial" w:hAnsi="Arial" w:cs="Arial"/>
          <w:sz w:val="24"/>
          <w:szCs w:val="24"/>
        </w:rPr>
        <w:t xml:space="preserve"> lot wrong w</w:t>
      </w:r>
      <w:r w:rsidR="00896357" w:rsidRPr="007E3027">
        <w:rPr>
          <w:rFonts w:ascii="Arial" w:hAnsi="Arial" w:cs="Arial"/>
          <w:sz w:val="24"/>
          <w:szCs w:val="24"/>
        </w:rPr>
        <w:t>ith</w:t>
      </w:r>
      <w:r w:rsidR="008D3C68" w:rsidRPr="007E3027">
        <w:rPr>
          <w:rFonts w:ascii="Arial" w:hAnsi="Arial" w:cs="Arial"/>
          <w:sz w:val="24"/>
          <w:szCs w:val="24"/>
        </w:rPr>
        <w:t xml:space="preserve"> that</w:t>
      </w:r>
      <w:r w:rsidR="008577FB" w:rsidRPr="007E3027">
        <w:rPr>
          <w:rFonts w:ascii="Arial" w:hAnsi="Arial" w:cs="Arial"/>
          <w:sz w:val="24"/>
          <w:szCs w:val="24"/>
        </w:rPr>
        <w:t>. For starters, the money was deposited to an NPO (SAADA) which was prohibited</w:t>
      </w:r>
      <w:r w:rsidR="002977E2" w:rsidRPr="007E3027">
        <w:rPr>
          <w:rFonts w:ascii="Arial" w:hAnsi="Arial" w:cs="Arial"/>
          <w:sz w:val="24"/>
          <w:szCs w:val="24"/>
        </w:rPr>
        <w:t>,</w:t>
      </w:r>
      <w:r w:rsidR="008577FB" w:rsidRPr="007E3027">
        <w:rPr>
          <w:rFonts w:ascii="Arial" w:hAnsi="Arial" w:cs="Arial"/>
          <w:sz w:val="24"/>
          <w:szCs w:val="24"/>
        </w:rPr>
        <w:t xml:space="preserve"> </w:t>
      </w:r>
      <w:r w:rsidR="002977E2" w:rsidRPr="007E3027">
        <w:rPr>
          <w:rFonts w:ascii="Arial" w:hAnsi="Arial" w:cs="Arial"/>
          <w:sz w:val="24"/>
          <w:szCs w:val="24"/>
        </w:rPr>
        <w:t xml:space="preserve">in terms of </w:t>
      </w:r>
      <w:r>
        <w:rPr>
          <w:rFonts w:ascii="Arial" w:hAnsi="Arial" w:cs="Arial"/>
          <w:sz w:val="24"/>
          <w:szCs w:val="24"/>
        </w:rPr>
        <w:t xml:space="preserve">the general obligations in </w:t>
      </w:r>
      <w:r w:rsidR="002977E2" w:rsidRPr="007E3027">
        <w:rPr>
          <w:rFonts w:ascii="Arial" w:hAnsi="Arial" w:cs="Arial"/>
          <w:sz w:val="24"/>
          <w:szCs w:val="24"/>
        </w:rPr>
        <w:t>paragraph 9.2</w:t>
      </w:r>
      <w:r w:rsidR="007B2FF2" w:rsidRPr="007E3027">
        <w:rPr>
          <w:rFonts w:ascii="Arial" w:hAnsi="Arial" w:cs="Arial"/>
          <w:sz w:val="24"/>
          <w:szCs w:val="24"/>
        </w:rPr>
        <w:t xml:space="preserve"> </w:t>
      </w:r>
      <w:r w:rsidR="002977E2" w:rsidRPr="007E3027">
        <w:rPr>
          <w:rFonts w:ascii="Arial" w:hAnsi="Arial" w:cs="Arial"/>
          <w:sz w:val="24"/>
          <w:szCs w:val="24"/>
        </w:rPr>
        <w:t xml:space="preserve">(f), </w:t>
      </w:r>
      <w:r w:rsidR="007B2FF2" w:rsidRPr="007E3027">
        <w:rPr>
          <w:rFonts w:ascii="Arial" w:hAnsi="Arial" w:cs="Arial"/>
          <w:sz w:val="24"/>
          <w:szCs w:val="24"/>
        </w:rPr>
        <w:t xml:space="preserve">mentioned </w:t>
      </w:r>
      <w:r w:rsidR="007B2FF2" w:rsidRPr="007E3027">
        <w:rPr>
          <w:rFonts w:ascii="Arial" w:hAnsi="Arial" w:cs="Arial"/>
          <w:i/>
          <w:iCs/>
          <w:sz w:val="24"/>
          <w:szCs w:val="24"/>
        </w:rPr>
        <w:t xml:space="preserve">supra, </w:t>
      </w:r>
      <w:r w:rsidR="008577FB" w:rsidRPr="007E3027">
        <w:rPr>
          <w:rFonts w:ascii="Arial" w:hAnsi="Arial" w:cs="Arial"/>
          <w:sz w:val="24"/>
          <w:szCs w:val="24"/>
        </w:rPr>
        <w:t>from allowin</w:t>
      </w:r>
      <w:r w:rsidR="002977E2" w:rsidRPr="007E3027">
        <w:rPr>
          <w:rFonts w:ascii="Arial" w:hAnsi="Arial" w:cs="Arial"/>
          <w:sz w:val="24"/>
          <w:szCs w:val="24"/>
        </w:rPr>
        <w:t xml:space="preserve">g any other </w:t>
      </w:r>
      <w:r w:rsidR="003529BC" w:rsidRPr="007E3027">
        <w:rPr>
          <w:rFonts w:ascii="Arial" w:hAnsi="Arial" w:cs="Arial"/>
          <w:sz w:val="24"/>
          <w:szCs w:val="24"/>
        </w:rPr>
        <w:t xml:space="preserve">organisation to carry out its obligations in terms of the project and or allow any part of the grant be paid to such an organisation. </w:t>
      </w:r>
      <w:r w:rsidR="008C2456" w:rsidRPr="007E3027">
        <w:rPr>
          <w:rFonts w:ascii="Arial" w:hAnsi="Arial" w:cs="Arial"/>
          <w:sz w:val="24"/>
          <w:szCs w:val="24"/>
        </w:rPr>
        <w:t>In</w:t>
      </w:r>
      <w:r w:rsidR="008C2456" w:rsidRPr="007E3027">
        <w:rPr>
          <w:rFonts w:ascii="Arial" w:hAnsi="Arial" w:cs="Arial"/>
          <w:i/>
          <w:iCs/>
          <w:sz w:val="24"/>
          <w:szCs w:val="24"/>
        </w:rPr>
        <w:t xml:space="preserve"> casu</w:t>
      </w:r>
      <w:r w:rsidR="008C2456" w:rsidRPr="007E3027">
        <w:rPr>
          <w:rFonts w:ascii="Arial" w:hAnsi="Arial" w:cs="Arial"/>
          <w:sz w:val="24"/>
          <w:szCs w:val="24"/>
        </w:rPr>
        <w:t>, SAADA did the opposite by allowing Roadshow Marketing to carry out its obligation.</w:t>
      </w:r>
      <w:r w:rsidR="00C56553" w:rsidRPr="007E3027">
        <w:rPr>
          <w:rFonts w:ascii="Arial" w:hAnsi="Arial" w:cs="Arial"/>
          <w:sz w:val="24"/>
          <w:szCs w:val="24"/>
        </w:rPr>
        <w:t xml:space="preserve"> “[</w:t>
      </w:r>
      <w:r w:rsidR="00525226" w:rsidRPr="007E3027">
        <w:rPr>
          <w:rFonts w:ascii="Arial" w:hAnsi="Arial" w:cs="Arial"/>
          <w:sz w:val="24"/>
          <w:szCs w:val="24"/>
        </w:rPr>
        <w:t>T</w:t>
      </w:r>
      <w:r w:rsidR="00C56553" w:rsidRPr="007E3027">
        <w:rPr>
          <w:rFonts w:ascii="Arial" w:hAnsi="Arial" w:cs="Arial"/>
          <w:sz w:val="24"/>
          <w:szCs w:val="24"/>
        </w:rPr>
        <w:t>he project had been delivered at the expense of Roadshow Marketing].”</w:t>
      </w:r>
      <w:r w:rsidR="00C56553" w:rsidRPr="00933C28">
        <w:rPr>
          <w:rStyle w:val="FootnoteReference"/>
          <w:rFonts w:ascii="Arial" w:hAnsi="Arial" w:cs="Arial"/>
          <w:sz w:val="24"/>
          <w:szCs w:val="24"/>
        </w:rPr>
        <w:footnoteReference w:id="20"/>
      </w:r>
      <w:r w:rsidR="003C1420" w:rsidRPr="007E3027">
        <w:rPr>
          <w:rFonts w:ascii="Arial" w:hAnsi="Arial" w:cs="Arial"/>
          <w:sz w:val="24"/>
          <w:szCs w:val="24"/>
        </w:rPr>
        <w:t xml:space="preserve"> </w:t>
      </w:r>
      <w:r w:rsidR="008C2456" w:rsidRPr="007E3027">
        <w:rPr>
          <w:rFonts w:ascii="Arial" w:hAnsi="Arial" w:cs="Arial"/>
          <w:sz w:val="24"/>
          <w:szCs w:val="24"/>
        </w:rPr>
        <w:t xml:space="preserve"> Secondly,</w:t>
      </w:r>
      <w:r w:rsidR="00B074FE" w:rsidRPr="007E3027">
        <w:rPr>
          <w:rFonts w:ascii="Arial" w:hAnsi="Arial" w:cs="Arial"/>
          <w:sz w:val="24"/>
          <w:szCs w:val="24"/>
        </w:rPr>
        <w:t xml:space="preserve"> M</w:t>
      </w:r>
      <w:r w:rsidR="00F83495" w:rsidRPr="007E3027">
        <w:rPr>
          <w:rFonts w:ascii="Arial" w:hAnsi="Arial" w:cs="Arial"/>
          <w:sz w:val="24"/>
          <w:szCs w:val="24"/>
        </w:rPr>
        <w:t>r</w:t>
      </w:r>
      <w:r w:rsidR="00A624D7" w:rsidRPr="007E3027">
        <w:rPr>
          <w:rFonts w:ascii="Arial" w:hAnsi="Arial" w:cs="Arial"/>
          <w:sz w:val="24"/>
          <w:szCs w:val="24"/>
        </w:rPr>
        <w:t>.</w:t>
      </w:r>
      <w:r w:rsidR="00F83495" w:rsidRPr="007E3027">
        <w:rPr>
          <w:rFonts w:ascii="Arial" w:hAnsi="Arial" w:cs="Arial"/>
          <w:sz w:val="24"/>
          <w:szCs w:val="24"/>
        </w:rPr>
        <w:t xml:space="preserve"> Mafokate, </w:t>
      </w:r>
      <w:r w:rsidR="00B074FE" w:rsidRPr="007E3027">
        <w:rPr>
          <w:rFonts w:ascii="Arial" w:hAnsi="Arial" w:cs="Arial"/>
          <w:sz w:val="24"/>
          <w:szCs w:val="24"/>
        </w:rPr>
        <w:t xml:space="preserve">the self-same person who signed the grant agreement </w:t>
      </w:r>
      <w:r w:rsidR="00F83495" w:rsidRPr="007E3027">
        <w:rPr>
          <w:rFonts w:ascii="Arial" w:hAnsi="Arial" w:cs="Arial"/>
          <w:sz w:val="24"/>
          <w:szCs w:val="24"/>
        </w:rPr>
        <w:t>devise</w:t>
      </w:r>
      <w:r w:rsidR="006F7F2C" w:rsidRPr="007E3027">
        <w:rPr>
          <w:rFonts w:ascii="Arial" w:hAnsi="Arial" w:cs="Arial"/>
          <w:sz w:val="24"/>
          <w:szCs w:val="24"/>
        </w:rPr>
        <w:t>d</w:t>
      </w:r>
      <w:r w:rsidR="00F83495" w:rsidRPr="007E3027">
        <w:rPr>
          <w:rFonts w:ascii="Arial" w:hAnsi="Arial" w:cs="Arial"/>
          <w:sz w:val="24"/>
          <w:szCs w:val="24"/>
        </w:rPr>
        <w:t xml:space="preserve"> a scheme to avoid compliance with</w:t>
      </w:r>
      <w:r w:rsidR="006F7F2C" w:rsidRPr="007E3027">
        <w:rPr>
          <w:rFonts w:ascii="Arial" w:hAnsi="Arial" w:cs="Arial"/>
          <w:sz w:val="24"/>
          <w:szCs w:val="24"/>
        </w:rPr>
        <w:t xml:space="preserve"> this paragraph </w:t>
      </w:r>
      <w:r w:rsidR="00F83495" w:rsidRPr="007E3027">
        <w:rPr>
          <w:rFonts w:ascii="Arial" w:hAnsi="Arial" w:cs="Arial"/>
          <w:sz w:val="24"/>
          <w:szCs w:val="24"/>
        </w:rPr>
        <w:t>for his benefit</w:t>
      </w:r>
      <w:r w:rsidR="006F7F2C" w:rsidRPr="007E3027">
        <w:rPr>
          <w:rFonts w:ascii="Arial" w:hAnsi="Arial" w:cs="Arial"/>
          <w:sz w:val="24"/>
          <w:szCs w:val="24"/>
        </w:rPr>
        <w:t>.</w:t>
      </w:r>
      <w:r w:rsidR="008C2456" w:rsidRPr="007E3027">
        <w:rPr>
          <w:rFonts w:ascii="Arial" w:hAnsi="Arial" w:cs="Arial"/>
          <w:sz w:val="24"/>
          <w:szCs w:val="24"/>
        </w:rPr>
        <w:t xml:space="preserve"> </w:t>
      </w:r>
    </w:p>
    <w:p w14:paraId="39A63600" w14:textId="77777777" w:rsidR="003332CD" w:rsidRPr="00933C28" w:rsidRDefault="003332CD" w:rsidP="007E3027">
      <w:pPr>
        <w:pStyle w:val="ListParagraph"/>
        <w:spacing w:line="360" w:lineRule="auto"/>
        <w:rPr>
          <w:rFonts w:ascii="Arial" w:hAnsi="Arial" w:cs="Arial"/>
          <w:sz w:val="24"/>
          <w:szCs w:val="24"/>
        </w:rPr>
      </w:pPr>
    </w:p>
    <w:p w14:paraId="644972A7" w14:textId="2C69FF34" w:rsidR="006B7B8F" w:rsidRPr="00933C28" w:rsidRDefault="007E3027" w:rsidP="00722566">
      <w:pPr>
        <w:pStyle w:val="ListParagraph"/>
        <w:spacing w:line="360" w:lineRule="auto"/>
        <w:ind w:left="0"/>
        <w:jc w:val="both"/>
        <w:rPr>
          <w:rFonts w:ascii="Arial" w:hAnsi="Arial" w:cs="Arial"/>
          <w:sz w:val="24"/>
          <w:szCs w:val="24"/>
        </w:rPr>
      </w:pPr>
      <w:r>
        <w:rPr>
          <w:rFonts w:ascii="Arial" w:hAnsi="Arial" w:cs="Arial"/>
          <w:sz w:val="24"/>
          <w:szCs w:val="24"/>
        </w:rPr>
        <w:t>[2</w:t>
      </w:r>
      <w:r w:rsidR="00FC6820">
        <w:rPr>
          <w:rFonts w:ascii="Arial" w:hAnsi="Arial" w:cs="Arial"/>
          <w:sz w:val="24"/>
          <w:szCs w:val="24"/>
        </w:rPr>
        <w:t>5</w:t>
      </w:r>
      <w:r>
        <w:rPr>
          <w:rFonts w:ascii="Arial" w:hAnsi="Arial" w:cs="Arial"/>
          <w:sz w:val="24"/>
          <w:szCs w:val="24"/>
        </w:rPr>
        <w:t>]</w:t>
      </w:r>
      <w:r>
        <w:rPr>
          <w:rFonts w:ascii="Arial" w:hAnsi="Arial" w:cs="Arial"/>
          <w:sz w:val="24"/>
          <w:szCs w:val="24"/>
        </w:rPr>
        <w:tab/>
      </w:r>
      <w:r w:rsidR="00320B4D" w:rsidRPr="00933C28">
        <w:rPr>
          <w:rFonts w:ascii="Arial" w:hAnsi="Arial" w:cs="Arial"/>
          <w:sz w:val="24"/>
          <w:szCs w:val="24"/>
        </w:rPr>
        <w:t>Counsel</w:t>
      </w:r>
      <w:r w:rsidR="00BA63BD" w:rsidRPr="00933C28">
        <w:rPr>
          <w:rFonts w:ascii="Arial" w:hAnsi="Arial" w:cs="Arial"/>
          <w:sz w:val="24"/>
          <w:szCs w:val="24"/>
        </w:rPr>
        <w:t xml:space="preserve"> submitted that only R4</w:t>
      </w:r>
      <w:r w:rsidR="00C821CF" w:rsidRPr="00933C28">
        <w:rPr>
          <w:rFonts w:ascii="Arial" w:hAnsi="Arial" w:cs="Arial"/>
          <w:sz w:val="24"/>
          <w:szCs w:val="24"/>
        </w:rPr>
        <w:t> 517 421.0</w:t>
      </w:r>
      <w:r w:rsidR="00BA63BD" w:rsidRPr="00933C28">
        <w:rPr>
          <w:rFonts w:ascii="Arial" w:hAnsi="Arial" w:cs="Arial"/>
          <w:sz w:val="24"/>
          <w:szCs w:val="24"/>
        </w:rPr>
        <w:t>0 from SAADA was used for the purchase of the house</w:t>
      </w:r>
      <w:r w:rsidR="00320B4D" w:rsidRPr="00933C28">
        <w:rPr>
          <w:rFonts w:ascii="Arial" w:hAnsi="Arial" w:cs="Arial"/>
          <w:sz w:val="24"/>
          <w:szCs w:val="24"/>
        </w:rPr>
        <w:t xml:space="preserve"> and t</w:t>
      </w:r>
      <w:r w:rsidR="00BA63BD" w:rsidRPr="00933C28">
        <w:rPr>
          <w:rFonts w:ascii="Arial" w:hAnsi="Arial" w:cs="Arial"/>
          <w:sz w:val="24"/>
          <w:szCs w:val="24"/>
        </w:rPr>
        <w:t>he other money d</w:t>
      </w:r>
      <w:r w:rsidR="00320B4D" w:rsidRPr="00933C28">
        <w:rPr>
          <w:rFonts w:ascii="Arial" w:hAnsi="Arial" w:cs="Arial"/>
          <w:sz w:val="24"/>
          <w:szCs w:val="24"/>
        </w:rPr>
        <w:t>id</w:t>
      </w:r>
      <w:r w:rsidR="00BA63BD" w:rsidRPr="00933C28">
        <w:rPr>
          <w:rFonts w:ascii="Arial" w:hAnsi="Arial" w:cs="Arial"/>
          <w:sz w:val="24"/>
          <w:szCs w:val="24"/>
        </w:rPr>
        <w:t xml:space="preserve"> not come from the NLC</w:t>
      </w:r>
      <w:r w:rsidR="0034072A" w:rsidRPr="00933C28">
        <w:rPr>
          <w:rFonts w:ascii="Arial" w:hAnsi="Arial" w:cs="Arial"/>
          <w:sz w:val="24"/>
          <w:szCs w:val="24"/>
        </w:rPr>
        <w:t xml:space="preserve">. </w:t>
      </w:r>
      <w:r w:rsidR="0097478B" w:rsidRPr="00933C28">
        <w:rPr>
          <w:rFonts w:ascii="Arial" w:hAnsi="Arial" w:cs="Arial"/>
          <w:sz w:val="24"/>
          <w:szCs w:val="24"/>
        </w:rPr>
        <w:t>C</w:t>
      </w:r>
      <w:r w:rsidR="007F7877" w:rsidRPr="00933C28">
        <w:rPr>
          <w:rFonts w:ascii="Arial" w:hAnsi="Arial" w:cs="Arial"/>
          <w:sz w:val="24"/>
          <w:szCs w:val="24"/>
        </w:rPr>
        <w:t>l</w:t>
      </w:r>
      <w:r w:rsidR="0097478B" w:rsidRPr="00933C28">
        <w:rPr>
          <w:rFonts w:ascii="Arial" w:hAnsi="Arial" w:cs="Arial"/>
          <w:sz w:val="24"/>
          <w:szCs w:val="24"/>
        </w:rPr>
        <w:t>early,</w:t>
      </w:r>
      <w:r w:rsidR="006B7B8F" w:rsidRPr="00933C28">
        <w:rPr>
          <w:rFonts w:ascii="Arial" w:hAnsi="Arial" w:cs="Arial"/>
          <w:sz w:val="24"/>
          <w:szCs w:val="24"/>
        </w:rPr>
        <w:t xml:space="preserve"> Mr</w:t>
      </w:r>
      <w:r w:rsidR="00A624D7" w:rsidRPr="00933C28">
        <w:rPr>
          <w:rFonts w:ascii="Arial" w:hAnsi="Arial" w:cs="Arial"/>
          <w:sz w:val="24"/>
          <w:szCs w:val="24"/>
        </w:rPr>
        <w:t>.</w:t>
      </w:r>
      <w:r w:rsidR="0097478B" w:rsidRPr="00933C28">
        <w:rPr>
          <w:rFonts w:ascii="Arial" w:hAnsi="Arial" w:cs="Arial"/>
          <w:sz w:val="24"/>
          <w:szCs w:val="24"/>
        </w:rPr>
        <w:t xml:space="preserve"> </w:t>
      </w:r>
      <w:r w:rsidR="0097478B" w:rsidRPr="00933C28">
        <w:rPr>
          <w:rFonts w:ascii="Arial" w:hAnsi="Arial" w:cs="Arial"/>
          <w:sz w:val="24"/>
          <w:szCs w:val="24"/>
        </w:rPr>
        <w:lastRenderedPageBreak/>
        <w:t>Mafokate is the central pillar and is infused in all of those costs</w:t>
      </w:r>
      <w:r w:rsidR="00F82C50" w:rsidRPr="00933C28">
        <w:rPr>
          <w:rFonts w:ascii="Arial" w:hAnsi="Arial" w:cs="Arial"/>
          <w:sz w:val="24"/>
          <w:szCs w:val="24"/>
        </w:rPr>
        <w:t>,</w:t>
      </w:r>
      <w:r w:rsidR="00320B4D" w:rsidRPr="00933C28">
        <w:rPr>
          <w:rFonts w:ascii="Arial" w:hAnsi="Arial" w:cs="Arial"/>
          <w:sz w:val="24"/>
          <w:szCs w:val="24"/>
        </w:rPr>
        <w:t xml:space="preserve"> he </w:t>
      </w:r>
      <w:r w:rsidR="00F82C50" w:rsidRPr="00933C28">
        <w:rPr>
          <w:rFonts w:ascii="Arial" w:hAnsi="Arial" w:cs="Arial"/>
          <w:sz w:val="24"/>
          <w:szCs w:val="24"/>
        </w:rPr>
        <w:t>continued</w:t>
      </w:r>
      <w:r w:rsidR="00E27EBC" w:rsidRPr="00933C28">
        <w:rPr>
          <w:rFonts w:ascii="Arial" w:hAnsi="Arial" w:cs="Arial"/>
          <w:sz w:val="24"/>
          <w:szCs w:val="24"/>
        </w:rPr>
        <w:t xml:space="preserve">. He </w:t>
      </w:r>
      <w:r w:rsidR="007F7877" w:rsidRPr="00933C28">
        <w:rPr>
          <w:rFonts w:ascii="Arial" w:hAnsi="Arial" w:cs="Arial"/>
          <w:sz w:val="24"/>
          <w:szCs w:val="24"/>
        </w:rPr>
        <w:t xml:space="preserve">is the mover and shaker </w:t>
      </w:r>
      <w:r w:rsidR="00E27EBC" w:rsidRPr="00933C28">
        <w:rPr>
          <w:rFonts w:ascii="Arial" w:hAnsi="Arial" w:cs="Arial"/>
          <w:sz w:val="24"/>
          <w:szCs w:val="24"/>
        </w:rPr>
        <w:t>that makes things happen, but there is no individual cost allocated to him</w:t>
      </w:r>
      <w:r w:rsidR="00F82C50" w:rsidRPr="00933C28">
        <w:rPr>
          <w:rFonts w:ascii="Arial" w:hAnsi="Arial" w:cs="Arial"/>
          <w:sz w:val="24"/>
          <w:szCs w:val="24"/>
        </w:rPr>
        <w:t>, counsel submitted</w:t>
      </w:r>
      <w:r w:rsidR="00E27EBC" w:rsidRPr="00933C28">
        <w:rPr>
          <w:rFonts w:ascii="Arial" w:hAnsi="Arial" w:cs="Arial"/>
          <w:sz w:val="24"/>
          <w:szCs w:val="24"/>
        </w:rPr>
        <w:t xml:space="preserve">. There is broad </w:t>
      </w:r>
      <w:r w:rsidR="001C6777" w:rsidRPr="00933C28">
        <w:rPr>
          <w:rFonts w:ascii="Arial" w:hAnsi="Arial" w:cs="Arial"/>
          <w:sz w:val="24"/>
          <w:szCs w:val="24"/>
        </w:rPr>
        <w:t xml:space="preserve">cost estimate for every leg, </w:t>
      </w:r>
      <w:r w:rsidR="00E27EBC" w:rsidRPr="00933C28">
        <w:rPr>
          <w:rFonts w:ascii="Arial" w:hAnsi="Arial" w:cs="Arial"/>
          <w:sz w:val="24"/>
          <w:szCs w:val="24"/>
        </w:rPr>
        <w:t>infused in that is the very effort of an individual</w:t>
      </w:r>
      <w:r w:rsidR="002035ED" w:rsidRPr="00933C28">
        <w:rPr>
          <w:rFonts w:ascii="Arial" w:hAnsi="Arial" w:cs="Arial"/>
          <w:sz w:val="24"/>
          <w:szCs w:val="24"/>
        </w:rPr>
        <w:t>, he stated</w:t>
      </w:r>
      <w:r w:rsidR="001C6777" w:rsidRPr="00933C28">
        <w:rPr>
          <w:rFonts w:ascii="Arial" w:hAnsi="Arial" w:cs="Arial"/>
          <w:sz w:val="24"/>
          <w:szCs w:val="24"/>
        </w:rPr>
        <w:t>.</w:t>
      </w:r>
    </w:p>
    <w:p w14:paraId="0B361168" w14:textId="77777777" w:rsidR="009D4406" w:rsidRPr="00933C28" w:rsidRDefault="009D4406" w:rsidP="00722566">
      <w:pPr>
        <w:pStyle w:val="ListParagraph"/>
        <w:spacing w:line="360" w:lineRule="auto"/>
        <w:rPr>
          <w:rFonts w:ascii="Arial" w:hAnsi="Arial" w:cs="Arial"/>
          <w:sz w:val="24"/>
          <w:szCs w:val="24"/>
        </w:rPr>
      </w:pPr>
    </w:p>
    <w:p w14:paraId="74693BE5" w14:textId="5F0A55D1" w:rsidR="004A71A4" w:rsidRPr="00933C28" w:rsidRDefault="007E3027" w:rsidP="00722566">
      <w:pPr>
        <w:pStyle w:val="ListParagraph"/>
        <w:spacing w:line="360" w:lineRule="auto"/>
        <w:ind w:left="0"/>
        <w:jc w:val="both"/>
        <w:rPr>
          <w:rFonts w:ascii="Arial" w:hAnsi="Arial" w:cs="Arial"/>
          <w:sz w:val="24"/>
          <w:szCs w:val="24"/>
        </w:rPr>
      </w:pPr>
      <w:r>
        <w:rPr>
          <w:rFonts w:ascii="Arial" w:hAnsi="Arial" w:cs="Arial"/>
          <w:sz w:val="24"/>
          <w:szCs w:val="24"/>
        </w:rPr>
        <w:t>[2</w:t>
      </w:r>
      <w:r w:rsidR="00FC6820">
        <w:rPr>
          <w:rFonts w:ascii="Arial" w:hAnsi="Arial" w:cs="Arial"/>
          <w:sz w:val="24"/>
          <w:szCs w:val="24"/>
        </w:rPr>
        <w:t>6</w:t>
      </w:r>
      <w:r>
        <w:rPr>
          <w:rFonts w:ascii="Arial" w:hAnsi="Arial" w:cs="Arial"/>
          <w:sz w:val="24"/>
          <w:szCs w:val="24"/>
        </w:rPr>
        <w:t>]</w:t>
      </w:r>
      <w:r>
        <w:rPr>
          <w:rFonts w:ascii="Arial" w:hAnsi="Arial" w:cs="Arial"/>
          <w:sz w:val="24"/>
          <w:szCs w:val="24"/>
        </w:rPr>
        <w:tab/>
      </w:r>
      <w:r w:rsidR="006B7B8F" w:rsidRPr="00933C28">
        <w:rPr>
          <w:rFonts w:ascii="Arial" w:hAnsi="Arial" w:cs="Arial"/>
          <w:sz w:val="24"/>
          <w:szCs w:val="24"/>
        </w:rPr>
        <w:t xml:space="preserve">This court </w:t>
      </w:r>
      <w:r w:rsidR="00A624D7" w:rsidRPr="00933C28">
        <w:rPr>
          <w:rFonts w:ascii="Arial" w:hAnsi="Arial" w:cs="Arial"/>
          <w:sz w:val="24"/>
          <w:szCs w:val="24"/>
        </w:rPr>
        <w:t>agrees</w:t>
      </w:r>
      <w:r w:rsidR="006B7B8F" w:rsidRPr="00933C28">
        <w:rPr>
          <w:rFonts w:ascii="Arial" w:hAnsi="Arial" w:cs="Arial"/>
          <w:sz w:val="24"/>
          <w:szCs w:val="24"/>
        </w:rPr>
        <w:t xml:space="preserve"> </w:t>
      </w:r>
      <w:r w:rsidR="001270E3" w:rsidRPr="00933C28">
        <w:rPr>
          <w:rFonts w:ascii="Arial" w:hAnsi="Arial" w:cs="Arial"/>
          <w:sz w:val="24"/>
          <w:szCs w:val="24"/>
        </w:rPr>
        <w:t xml:space="preserve">with counsel </w:t>
      </w:r>
      <w:r w:rsidR="006B7B8F" w:rsidRPr="00933C28">
        <w:rPr>
          <w:rFonts w:ascii="Arial" w:hAnsi="Arial" w:cs="Arial"/>
          <w:sz w:val="24"/>
          <w:szCs w:val="24"/>
        </w:rPr>
        <w:t>that Mr</w:t>
      </w:r>
      <w:r w:rsidR="00A624D7" w:rsidRPr="00933C28">
        <w:rPr>
          <w:rFonts w:ascii="Arial" w:hAnsi="Arial" w:cs="Arial"/>
          <w:sz w:val="24"/>
          <w:szCs w:val="24"/>
        </w:rPr>
        <w:t>.</w:t>
      </w:r>
      <w:r w:rsidR="006B7B8F" w:rsidRPr="00933C28">
        <w:rPr>
          <w:rFonts w:ascii="Arial" w:hAnsi="Arial" w:cs="Arial"/>
          <w:sz w:val="24"/>
          <w:szCs w:val="24"/>
        </w:rPr>
        <w:t xml:space="preserve"> Mafokat</w:t>
      </w:r>
      <w:r w:rsidR="003D4CA8" w:rsidRPr="00933C28">
        <w:rPr>
          <w:rFonts w:ascii="Arial" w:hAnsi="Arial" w:cs="Arial"/>
          <w:sz w:val="24"/>
          <w:szCs w:val="24"/>
        </w:rPr>
        <w:t>e had</w:t>
      </w:r>
      <w:r w:rsidR="006B7B8F" w:rsidRPr="00933C28">
        <w:rPr>
          <w:rFonts w:ascii="Arial" w:hAnsi="Arial" w:cs="Arial"/>
          <w:sz w:val="24"/>
          <w:szCs w:val="24"/>
        </w:rPr>
        <w:t xml:space="preserve"> </w:t>
      </w:r>
      <w:r w:rsidR="003D4CA8" w:rsidRPr="00933C28">
        <w:rPr>
          <w:rFonts w:ascii="Arial" w:hAnsi="Arial" w:cs="Arial"/>
          <w:sz w:val="24"/>
          <w:szCs w:val="24"/>
        </w:rPr>
        <w:t xml:space="preserve">his </w:t>
      </w:r>
      <w:r w:rsidR="006B7B8F" w:rsidRPr="00933C28">
        <w:rPr>
          <w:rFonts w:ascii="Arial" w:hAnsi="Arial" w:cs="Arial"/>
          <w:sz w:val="24"/>
          <w:szCs w:val="24"/>
        </w:rPr>
        <w:t xml:space="preserve">finger in </w:t>
      </w:r>
      <w:r w:rsidR="003D4CA8" w:rsidRPr="00933C28">
        <w:rPr>
          <w:rFonts w:ascii="Arial" w:hAnsi="Arial" w:cs="Arial"/>
          <w:sz w:val="24"/>
          <w:szCs w:val="24"/>
        </w:rPr>
        <w:t xml:space="preserve">every </w:t>
      </w:r>
      <w:r w:rsidR="006B7B8F" w:rsidRPr="00933C28">
        <w:rPr>
          <w:rFonts w:ascii="Arial" w:hAnsi="Arial" w:cs="Arial"/>
          <w:sz w:val="24"/>
          <w:szCs w:val="24"/>
        </w:rPr>
        <w:t>pie</w:t>
      </w:r>
      <w:r w:rsidR="003D4CA8" w:rsidRPr="00933C28">
        <w:rPr>
          <w:rFonts w:ascii="Arial" w:hAnsi="Arial" w:cs="Arial"/>
          <w:sz w:val="24"/>
          <w:szCs w:val="24"/>
        </w:rPr>
        <w:t xml:space="preserve">. </w:t>
      </w:r>
      <w:r w:rsidR="00835F64" w:rsidRPr="00933C28">
        <w:rPr>
          <w:rFonts w:ascii="Arial" w:hAnsi="Arial" w:cs="Arial"/>
          <w:sz w:val="24"/>
          <w:szCs w:val="24"/>
        </w:rPr>
        <w:t>From being the President of SAADA</w:t>
      </w:r>
      <w:r w:rsidR="004178C2">
        <w:rPr>
          <w:rFonts w:ascii="Arial" w:hAnsi="Arial" w:cs="Arial"/>
          <w:sz w:val="24"/>
          <w:szCs w:val="24"/>
        </w:rPr>
        <w:t>,</w:t>
      </w:r>
      <w:r w:rsidR="004879EA" w:rsidRPr="00933C28">
        <w:rPr>
          <w:rFonts w:ascii="Arial" w:hAnsi="Arial" w:cs="Arial"/>
          <w:sz w:val="24"/>
          <w:szCs w:val="24"/>
        </w:rPr>
        <w:t xml:space="preserve"> </w:t>
      </w:r>
      <w:r w:rsidR="00835F64" w:rsidRPr="00933C28">
        <w:rPr>
          <w:rFonts w:ascii="Arial" w:hAnsi="Arial" w:cs="Arial"/>
          <w:sz w:val="24"/>
          <w:szCs w:val="24"/>
        </w:rPr>
        <w:t xml:space="preserve">to </w:t>
      </w:r>
      <w:r w:rsidR="004879EA" w:rsidRPr="00933C28">
        <w:rPr>
          <w:rFonts w:ascii="Arial" w:hAnsi="Arial" w:cs="Arial"/>
          <w:sz w:val="24"/>
          <w:szCs w:val="24"/>
        </w:rPr>
        <w:t xml:space="preserve">the </w:t>
      </w:r>
      <w:r w:rsidR="00835F64" w:rsidRPr="00933C28">
        <w:rPr>
          <w:rFonts w:ascii="Arial" w:hAnsi="Arial" w:cs="Arial"/>
          <w:sz w:val="24"/>
          <w:szCs w:val="24"/>
        </w:rPr>
        <w:t>sole</w:t>
      </w:r>
      <w:r w:rsidR="004879EA" w:rsidRPr="00933C28">
        <w:rPr>
          <w:rFonts w:ascii="Arial" w:hAnsi="Arial" w:cs="Arial"/>
          <w:sz w:val="24"/>
          <w:szCs w:val="24"/>
        </w:rPr>
        <w:t xml:space="preserve"> member of Roadshow Market and owner of 999 Music.</w:t>
      </w:r>
      <w:r w:rsidR="00835F64" w:rsidRPr="00933C28">
        <w:rPr>
          <w:rFonts w:ascii="Arial" w:hAnsi="Arial" w:cs="Arial"/>
          <w:sz w:val="24"/>
          <w:szCs w:val="24"/>
        </w:rPr>
        <w:t xml:space="preserve"> </w:t>
      </w:r>
      <w:r w:rsidR="003D4CA8" w:rsidRPr="00933C28">
        <w:rPr>
          <w:rFonts w:ascii="Arial" w:hAnsi="Arial" w:cs="Arial"/>
          <w:sz w:val="24"/>
          <w:szCs w:val="24"/>
        </w:rPr>
        <w:t xml:space="preserve">However, </w:t>
      </w:r>
      <w:r w:rsidR="001270E3" w:rsidRPr="00933C28">
        <w:rPr>
          <w:rFonts w:ascii="Arial" w:hAnsi="Arial" w:cs="Arial"/>
          <w:sz w:val="24"/>
          <w:szCs w:val="24"/>
        </w:rPr>
        <w:t xml:space="preserve">we </w:t>
      </w:r>
      <w:r w:rsidR="003D4CA8" w:rsidRPr="00933C28">
        <w:rPr>
          <w:rFonts w:ascii="Arial" w:hAnsi="Arial" w:cs="Arial"/>
          <w:sz w:val="24"/>
          <w:szCs w:val="24"/>
        </w:rPr>
        <w:t xml:space="preserve">part company </w:t>
      </w:r>
      <w:r w:rsidR="001270E3" w:rsidRPr="00933C28">
        <w:rPr>
          <w:rFonts w:ascii="Arial" w:hAnsi="Arial" w:cs="Arial"/>
          <w:sz w:val="24"/>
          <w:szCs w:val="24"/>
        </w:rPr>
        <w:t>on the issue on cost</w:t>
      </w:r>
      <w:r w:rsidR="00470100" w:rsidRPr="00933C28">
        <w:rPr>
          <w:rFonts w:ascii="Arial" w:hAnsi="Arial" w:cs="Arial"/>
          <w:sz w:val="24"/>
          <w:szCs w:val="24"/>
        </w:rPr>
        <w:t>s</w:t>
      </w:r>
      <w:r w:rsidR="001270E3" w:rsidRPr="00933C28">
        <w:rPr>
          <w:rFonts w:ascii="Arial" w:hAnsi="Arial" w:cs="Arial"/>
          <w:sz w:val="24"/>
          <w:szCs w:val="24"/>
        </w:rPr>
        <w:t xml:space="preserve"> allocated to him. This whole project was </w:t>
      </w:r>
      <w:r w:rsidR="008C5B99" w:rsidRPr="00933C28">
        <w:rPr>
          <w:rFonts w:ascii="Arial" w:hAnsi="Arial" w:cs="Arial"/>
          <w:sz w:val="24"/>
          <w:szCs w:val="24"/>
        </w:rPr>
        <w:t xml:space="preserve">undertaken without any </w:t>
      </w:r>
      <w:r w:rsidR="007B2FF2">
        <w:rPr>
          <w:rFonts w:ascii="Arial" w:hAnsi="Arial" w:cs="Arial"/>
          <w:sz w:val="24"/>
          <w:szCs w:val="24"/>
        </w:rPr>
        <w:t>profit or benefit</w:t>
      </w:r>
      <w:r w:rsidR="008C5B99" w:rsidRPr="00933C28">
        <w:rPr>
          <w:rFonts w:ascii="Arial" w:hAnsi="Arial" w:cs="Arial"/>
          <w:sz w:val="24"/>
          <w:szCs w:val="24"/>
        </w:rPr>
        <w:t xml:space="preserve"> in mind</w:t>
      </w:r>
      <w:r w:rsidR="00EE5C0D" w:rsidRPr="00933C28">
        <w:rPr>
          <w:rFonts w:ascii="Arial" w:hAnsi="Arial" w:cs="Arial"/>
          <w:sz w:val="24"/>
          <w:szCs w:val="24"/>
        </w:rPr>
        <w:t>,</w:t>
      </w:r>
      <w:r w:rsidR="008C5B99" w:rsidRPr="00933C28">
        <w:rPr>
          <w:rFonts w:ascii="Arial" w:hAnsi="Arial" w:cs="Arial"/>
          <w:sz w:val="24"/>
          <w:szCs w:val="24"/>
        </w:rPr>
        <w:t xml:space="preserve"> hence</w:t>
      </w:r>
      <w:r w:rsidR="00EE5C0D" w:rsidRPr="00933C28">
        <w:rPr>
          <w:rFonts w:ascii="Arial" w:hAnsi="Arial" w:cs="Arial"/>
          <w:sz w:val="24"/>
          <w:szCs w:val="24"/>
        </w:rPr>
        <w:t>,</w:t>
      </w:r>
      <w:r w:rsidR="008C5B99" w:rsidRPr="00933C28">
        <w:rPr>
          <w:rFonts w:ascii="Arial" w:hAnsi="Arial" w:cs="Arial"/>
          <w:sz w:val="24"/>
          <w:szCs w:val="24"/>
        </w:rPr>
        <w:t xml:space="preserve"> </w:t>
      </w:r>
      <w:r w:rsidR="00184B20">
        <w:rPr>
          <w:rFonts w:ascii="Arial" w:hAnsi="Arial" w:cs="Arial"/>
          <w:sz w:val="24"/>
          <w:szCs w:val="24"/>
        </w:rPr>
        <w:t>sub</w:t>
      </w:r>
      <w:r w:rsidR="008C5B99" w:rsidRPr="00933C28">
        <w:rPr>
          <w:rFonts w:ascii="Arial" w:hAnsi="Arial" w:cs="Arial"/>
          <w:sz w:val="24"/>
          <w:szCs w:val="24"/>
        </w:rPr>
        <w:t>paragrap</w:t>
      </w:r>
      <w:r w:rsidR="00EE5C0D" w:rsidRPr="00933C28">
        <w:rPr>
          <w:rFonts w:ascii="Arial" w:hAnsi="Arial" w:cs="Arial"/>
          <w:sz w:val="24"/>
          <w:szCs w:val="24"/>
        </w:rPr>
        <w:t>hs 1.1(v)</w:t>
      </w:r>
      <w:r w:rsidR="00184B20">
        <w:rPr>
          <w:rFonts w:ascii="Arial" w:hAnsi="Arial" w:cs="Arial"/>
          <w:sz w:val="24"/>
          <w:szCs w:val="24"/>
        </w:rPr>
        <w:t xml:space="preserve"> and (vi)</w:t>
      </w:r>
      <w:r w:rsidR="00EE5C0D" w:rsidRPr="00933C28">
        <w:rPr>
          <w:rFonts w:ascii="Arial" w:hAnsi="Arial" w:cs="Arial"/>
          <w:sz w:val="24"/>
          <w:szCs w:val="24"/>
        </w:rPr>
        <w:t xml:space="preserve">. </w:t>
      </w:r>
      <w:r w:rsidR="00470100" w:rsidRPr="00933C28">
        <w:rPr>
          <w:rFonts w:ascii="Arial" w:hAnsi="Arial" w:cs="Arial"/>
          <w:sz w:val="24"/>
          <w:szCs w:val="24"/>
        </w:rPr>
        <w:t>P</w:t>
      </w:r>
      <w:r w:rsidR="00EE5C0D" w:rsidRPr="00933C28">
        <w:rPr>
          <w:rFonts w:ascii="Arial" w:hAnsi="Arial" w:cs="Arial"/>
          <w:sz w:val="24"/>
          <w:szCs w:val="24"/>
        </w:rPr>
        <w:t>erhaps it is worth mention</w:t>
      </w:r>
      <w:r w:rsidR="005F4BAD" w:rsidRPr="00933C28">
        <w:rPr>
          <w:rFonts w:ascii="Arial" w:hAnsi="Arial" w:cs="Arial"/>
          <w:sz w:val="24"/>
          <w:szCs w:val="24"/>
        </w:rPr>
        <w:t>ing</w:t>
      </w:r>
      <w:r w:rsidR="00470100" w:rsidRPr="00933C28">
        <w:rPr>
          <w:rFonts w:ascii="Arial" w:hAnsi="Arial" w:cs="Arial"/>
          <w:sz w:val="24"/>
          <w:szCs w:val="24"/>
        </w:rPr>
        <w:t xml:space="preserve"> </w:t>
      </w:r>
      <w:r w:rsidR="00CF2E2D">
        <w:rPr>
          <w:rFonts w:ascii="Arial" w:hAnsi="Arial" w:cs="Arial"/>
          <w:sz w:val="24"/>
          <w:szCs w:val="24"/>
        </w:rPr>
        <w:t>them.</w:t>
      </w:r>
      <w:r w:rsidR="00E111CE" w:rsidRPr="00933C28">
        <w:rPr>
          <w:rFonts w:ascii="Arial" w:hAnsi="Arial" w:cs="Arial"/>
          <w:sz w:val="24"/>
          <w:szCs w:val="24"/>
        </w:rPr>
        <w:t xml:space="preserve"> </w:t>
      </w:r>
      <w:r w:rsidR="005F4BAD" w:rsidRPr="00933C28">
        <w:rPr>
          <w:rFonts w:ascii="Arial" w:hAnsi="Arial" w:cs="Arial"/>
          <w:sz w:val="24"/>
          <w:szCs w:val="24"/>
        </w:rPr>
        <w:t xml:space="preserve">The grant funding agreement </w:t>
      </w:r>
      <w:r w:rsidR="00E111CE" w:rsidRPr="00933C28">
        <w:rPr>
          <w:rFonts w:ascii="Arial" w:hAnsi="Arial" w:cs="Arial"/>
          <w:sz w:val="24"/>
          <w:szCs w:val="24"/>
        </w:rPr>
        <w:t xml:space="preserve">recorded that </w:t>
      </w:r>
      <w:r w:rsidR="004A71A4" w:rsidRPr="00933C28">
        <w:rPr>
          <w:rFonts w:ascii="Arial" w:hAnsi="Arial" w:cs="Arial"/>
          <w:sz w:val="24"/>
          <w:szCs w:val="24"/>
          <w:lang w:val="en-US"/>
        </w:rPr>
        <w:t>the grant is allocated to the recipient</w:t>
      </w:r>
      <w:r w:rsidR="00E111CE" w:rsidRPr="00933C28">
        <w:rPr>
          <w:rFonts w:ascii="Arial" w:hAnsi="Arial" w:cs="Arial"/>
          <w:sz w:val="24"/>
          <w:szCs w:val="24"/>
          <w:lang w:val="en-US"/>
        </w:rPr>
        <w:t xml:space="preserve"> (SAADA)</w:t>
      </w:r>
      <w:r w:rsidR="004A71A4" w:rsidRPr="00933C28">
        <w:rPr>
          <w:rFonts w:ascii="Arial" w:hAnsi="Arial" w:cs="Arial"/>
          <w:sz w:val="24"/>
          <w:szCs w:val="24"/>
          <w:lang w:val="en-US"/>
        </w:rPr>
        <w:t xml:space="preserve"> subject to the recipient at all times complying with:</w:t>
      </w:r>
    </w:p>
    <w:p w14:paraId="293966BB" w14:textId="0BC961DE" w:rsidR="004A71A4" w:rsidRPr="00722566" w:rsidRDefault="00396944" w:rsidP="00722566">
      <w:pPr>
        <w:spacing w:line="360" w:lineRule="auto"/>
        <w:ind w:left="851"/>
        <w:jc w:val="both"/>
        <w:rPr>
          <w:rFonts w:ascii="Arial" w:hAnsi="Arial" w:cs="Arial"/>
          <w:lang w:val="en-US"/>
        </w:rPr>
      </w:pPr>
      <w:r w:rsidRPr="00722566">
        <w:rPr>
          <w:rFonts w:ascii="Arial" w:hAnsi="Arial" w:cs="Arial"/>
          <w:lang w:val="en-US"/>
        </w:rPr>
        <w:t>“(</w:t>
      </w:r>
      <w:r w:rsidR="00E111CE" w:rsidRPr="00722566">
        <w:rPr>
          <w:rFonts w:ascii="Arial" w:hAnsi="Arial" w:cs="Arial"/>
        </w:rPr>
        <w:t>v)</w:t>
      </w:r>
      <w:r w:rsidR="00E111CE" w:rsidRPr="00722566">
        <w:rPr>
          <w:rFonts w:ascii="Arial" w:hAnsi="Arial" w:cs="Arial"/>
          <w:lang w:val="en-US"/>
        </w:rPr>
        <w:t xml:space="preserve"> </w:t>
      </w:r>
      <w:r w:rsidR="003F2636" w:rsidRPr="00722566">
        <w:rPr>
          <w:rFonts w:ascii="Arial" w:hAnsi="Arial" w:cs="Arial"/>
          <w:lang w:val="en-US"/>
        </w:rPr>
        <w:t xml:space="preserve">That </w:t>
      </w:r>
      <w:r w:rsidR="004A71A4" w:rsidRPr="00722566">
        <w:rPr>
          <w:rFonts w:ascii="Arial" w:hAnsi="Arial" w:cs="Arial"/>
          <w:lang w:val="en-US"/>
        </w:rPr>
        <w:t xml:space="preserve">the </w:t>
      </w:r>
      <w:r w:rsidR="00470100" w:rsidRPr="00722566">
        <w:rPr>
          <w:rFonts w:ascii="Arial" w:hAnsi="Arial" w:cs="Arial"/>
          <w:lang w:val="en-US"/>
        </w:rPr>
        <w:t>R</w:t>
      </w:r>
      <w:r w:rsidR="004A71A4" w:rsidRPr="00722566">
        <w:rPr>
          <w:rFonts w:ascii="Arial" w:hAnsi="Arial" w:cs="Arial"/>
          <w:lang w:val="en-US"/>
        </w:rPr>
        <w:t xml:space="preserve">ecipient may not pay any </w:t>
      </w:r>
      <w:r w:rsidR="00470100" w:rsidRPr="00722566">
        <w:rPr>
          <w:rFonts w:ascii="Arial" w:hAnsi="Arial" w:cs="Arial"/>
          <w:lang w:val="en-US"/>
        </w:rPr>
        <w:t>c</w:t>
      </w:r>
      <w:r w:rsidR="004A71A4" w:rsidRPr="00722566">
        <w:rPr>
          <w:rFonts w:ascii="Arial" w:hAnsi="Arial" w:cs="Arial"/>
          <w:lang w:val="en-US"/>
        </w:rPr>
        <w:t>ommission and/o</w:t>
      </w:r>
      <w:r w:rsidR="003F2636" w:rsidRPr="00722566">
        <w:rPr>
          <w:rFonts w:ascii="Arial" w:hAnsi="Arial" w:cs="Arial"/>
          <w:lang w:val="en-US"/>
        </w:rPr>
        <w:t>r</w:t>
      </w:r>
      <w:r w:rsidR="004A71A4" w:rsidRPr="00722566">
        <w:rPr>
          <w:rFonts w:ascii="Arial" w:hAnsi="Arial" w:cs="Arial"/>
          <w:lang w:val="en-US"/>
        </w:rPr>
        <w:t xml:space="preserve"> management fee </w:t>
      </w:r>
      <w:r w:rsidR="00470100" w:rsidRPr="00722566">
        <w:rPr>
          <w:rFonts w:ascii="Arial" w:hAnsi="Arial" w:cs="Arial"/>
          <w:lang w:val="en-US"/>
        </w:rPr>
        <w:t>a</w:t>
      </w:r>
      <w:r w:rsidR="004A71A4" w:rsidRPr="00722566">
        <w:rPr>
          <w:rFonts w:ascii="Arial" w:hAnsi="Arial" w:cs="Arial"/>
          <w:lang w:val="en-US"/>
        </w:rPr>
        <w:t xml:space="preserve">nd/or administration fee and/or professional fee in respect of the grant, unless specifically provided for in this agreement; </w:t>
      </w:r>
      <w:r w:rsidR="00470100" w:rsidRPr="00722566">
        <w:rPr>
          <w:rFonts w:ascii="Arial" w:hAnsi="Arial" w:cs="Arial"/>
          <w:lang w:val="en-US"/>
        </w:rPr>
        <w:t>a</w:t>
      </w:r>
      <w:r w:rsidR="004A71A4" w:rsidRPr="00722566">
        <w:rPr>
          <w:rFonts w:ascii="Arial" w:hAnsi="Arial" w:cs="Arial"/>
          <w:lang w:val="en-US"/>
        </w:rPr>
        <w:t>nd</w:t>
      </w:r>
    </w:p>
    <w:p w14:paraId="7FFB7FC7" w14:textId="77777777" w:rsidR="00563E5B" w:rsidRPr="00722566" w:rsidRDefault="004A71A4" w:rsidP="00722566">
      <w:pPr>
        <w:spacing w:line="360" w:lineRule="auto"/>
        <w:ind w:left="851"/>
        <w:jc w:val="both"/>
        <w:rPr>
          <w:rFonts w:ascii="Arial" w:hAnsi="Arial" w:cs="Arial"/>
        </w:rPr>
      </w:pPr>
      <w:r w:rsidRPr="00722566">
        <w:rPr>
          <w:rFonts w:ascii="Arial" w:hAnsi="Arial" w:cs="Arial"/>
          <w:lang w:val="en-US"/>
        </w:rPr>
        <w:t>(</w:t>
      </w:r>
      <w:r w:rsidR="00470100" w:rsidRPr="00722566">
        <w:rPr>
          <w:rFonts w:ascii="Arial" w:hAnsi="Arial" w:cs="Arial"/>
          <w:lang w:val="en-US"/>
        </w:rPr>
        <w:t>vi</w:t>
      </w:r>
      <w:r w:rsidRPr="00722566">
        <w:rPr>
          <w:rFonts w:ascii="Arial" w:hAnsi="Arial" w:cs="Arial"/>
          <w:lang w:val="en-US"/>
        </w:rPr>
        <w:t xml:space="preserve">) </w:t>
      </w:r>
      <w:r w:rsidR="00396944" w:rsidRPr="00722566">
        <w:rPr>
          <w:rFonts w:ascii="Arial" w:hAnsi="Arial" w:cs="Arial"/>
          <w:lang w:val="en-US"/>
        </w:rPr>
        <w:t xml:space="preserve"> T</w:t>
      </w:r>
      <w:r w:rsidRPr="00722566">
        <w:rPr>
          <w:rFonts w:ascii="Arial" w:hAnsi="Arial" w:cs="Arial"/>
          <w:lang w:val="en-US"/>
        </w:rPr>
        <w:t xml:space="preserve">hat the </w:t>
      </w:r>
      <w:r w:rsidR="00396944" w:rsidRPr="00722566">
        <w:rPr>
          <w:rFonts w:ascii="Arial" w:hAnsi="Arial" w:cs="Arial"/>
          <w:lang w:val="en-US"/>
        </w:rPr>
        <w:t>R</w:t>
      </w:r>
      <w:r w:rsidRPr="00722566">
        <w:rPr>
          <w:rFonts w:ascii="Arial" w:hAnsi="Arial" w:cs="Arial"/>
          <w:lang w:val="en-US"/>
        </w:rPr>
        <w:t xml:space="preserve">ecipient may not give any other direct </w:t>
      </w:r>
      <w:r w:rsidR="00396944" w:rsidRPr="00722566">
        <w:rPr>
          <w:rFonts w:ascii="Arial" w:hAnsi="Arial" w:cs="Arial"/>
          <w:lang w:val="en-US"/>
        </w:rPr>
        <w:t>a</w:t>
      </w:r>
      <w:r w:rsidRPr="00722566">
        <w:rPr>
          <w:rFonts w:ascii="Arial" w:hAnsi="Arial" w:cs="Arial"/>
          <w:lang w:val="en-US"/>
        </w:rPr>
        <w:t xml:space="preserve">nd/or indirect benefit for securing the grant or after the grant has been awarded to any person (juristic or natural) whatsoever, be it a member of the </w:t>
      </w:r>
      <w:r w:rsidR="00396944" w:rsidRPr="00722566">
        <w:rPr>
          <w:rFonts w:ascii="Arial" w:hAnsi="Arial" w:cs="Arial"/>
          <w:lang w:val="en-US"/>
        </w:rPr>
        <w:t>B</w:t>
      </w:r>
      <w:r w:rsidRPr="00722566">
        <w:rPr>
          <w:rFonts w:ascii="Arial" w:hAnsi="Arial" w:cs="Arial"/>
          <w:lang w:val="en-US"/>
        </w:rPr>
        <w:t xml:space="preserve">oard, a member of any </w:t>
      </w:r>
      <w:r w:rsidR="00396944" w:rsidRPr="00722566">
        <w:rPr>
          <w:rFonts w:ascii="Arial" w:hAnsi="Arial" w:cs="Arial"/>
          <w:lang w:val="en-US"/>
        </w:rPr>
        <w:t>D</w:t>
      </w:r>
      <w:r w:rsidRPr="00722566">
        <w:rPr>
          <w:rFonts w:ascii="Arial" w:hAnsi="Arial" w:cs="Arial"/>
          <w:lang w:val="en-US"/>
        </w:rPr>
        <w:t xml:space="preserve">istribution </w:t>
      </w:r>
      <w:r w:rsidR="00396944" w:rsidRPr="00722566">
        <w:rPr>
          <w:rFonts w:ascii="Arial" w:hAnsi="Arial" w:cs="Arial"/>
          <w:lang w:val="en-US"/>
        </w:rPr>
        <w:t>A</w:t>
      </w:r>
      <w:r w:rsidRPr="00722566">
        <w:rPr>
          <w:rFonts w:ascii="Arial" w:hAnsi="Arial" w:cs="Arial"/>
          <w:lang w:val="en-US"/>
        </w:rPr>
        <w:t xml:space="preserve">gency appointed in terms of the </w:t>
      </w:r>
      <w:r w:rsidR="00396944" w:rsidRPr="00722566">
        <w:rPr>
          <w:rFonts w:ascii="Arial" w:hAnsi="Arial" w:cs="Arial"/>
          <w:lang w:val="en-US"/>
        </w:rPr>
        <w:t>A</w:t>
      </w:r>
      <w:r w:rsidRPr="00722566">
        <w:rPr>
          <w:rFonts w:ascii="Arial" w:hAnsi="Arial" w:cs="Arial"/>
          <w:lang w:val="en-US"/>
        </w:rPr>
        <w:t xml:space="preserve">ct, any staff member of the </w:t>
      </w:r>
      <w:r w:rsidR="00563E5B" w:rsidRPr="00722566">
        <w:rPr>
          <w:rFonts w:ascii="Arial" w:hAnsi="Arial" w:cs="Arial"/>
          <w:lang w:val="en-US"/>
        </w:rPr>
        <w:t>B</w:t>
      </w:r>
      <w:r w:rsidRPr="00722566">
        <w:rPr>
          <w:rFonts w:ascii="Arial" w:hAnsi="Arial" w:cs="Arial"/>
          <w:lang w:val="en-US"/>
        </w:rPr>
        <w:t>oard or any intermediary, or to any person nominated by such an intermediary.</w:t>
      </w:r>
      <w:r w:rsidR="00E111CE" w:rsidRPr="00722566">
        <w:rPr>
          <w:rFonts w:ascii="Arial" w:hAnsi="Arial" w:cs="Arial"/>
          <w:lang w:val="en-US"/>
        </w:rPr>
        <w:t>”</w:t>
      </w:r>
      <w:r w:rsidR="00EE5C0D" w:rsidRPr="00722566">
        <w:rPr>
          <w:rFonts w:ascii="Arial" w:hAnsi="Arial" w:cs="Arial"/>
        </w:rPr>
        <w:t xml:space="preserve"> </w:t>
      </w:r>
    </w:p>
    <w:p w14:paraId="3D75ED82" w14:textId="77777777" w:rsidR="00563E5B" w:rsidRPr="00933C28" w:rsidRDefault="00563E5B" w:rsidP="00722566">
      <w:pPr>
        <w:spacing w:line="360" w:lineRule="auto"/>
        <w:jc w:val="both"/>
        <w:rPr>
          <w:rFonts w:ascii="Arial" w:hAnsi="Arial" w:cs="Arial"/>
          <w:sz w:val="24"/>
          <w:szCs w:val="24"/>
        </w:rPr>
      </w:pPr>
    </w:p>
    <w:p w14:paraId="6F8E29DA" w14:textId="368369B3" w:rsidR="00D022E8" w:rsidRPr="00933C28" w:rsidRDefault="007E3027" w:rsidP="00722566">
      <w:pPr>
        <w:pStyle w:val="ListParagraph"/>
        <w:spacing w:line="360" w:lineRule="auto"/>
        <w:ind w:left="0"/>
        <w:jc w:val="both"/>
        <w:rPr>
          <w:rFonts w:ascii="Arial" w:hAnsi="Arial" w:cs="Arial"/>
          <w:sz w:val="24"/>
          <w:szCs w:val="24"/>
        </w:rPr>
      </w:pPr>
      <w:r>
        <w:rPr>
          <w:rFonts w:ascii="Arial" w:hAnsi="Arial" w:cs="Arial"/>
          <w:sz w:val="24"/>
          <w:szCs w:val="24"/>
        </w:rPr>
        <w:t>[2</w:t>
      </w:r>
      <w:r w:rsidR="00FC6820">
        <w:rPr>
          <w:rFonts w:ascii="Arial" w:hAnsi="Arial" w:cs="Arial"/>
          <w:sz w:val="24"/>
          <w:szCs w:val="24"/>
        </w:rPr>
        <w:t>7</w:t>
      </w:r>
      <w:r>
        <w:rPr>
          <w:rFonts w:ascii="Arial" w:hAnsi="Arial" w:cs="Arial"/>
          <w:sz w:val="24"/>
          <w:szCs w:val="24"/>
        </w:rPr>
        <w:t>]</w:t>
      </w:r>
      <w:r>
        <w:rPr>
          <w:rFonts w:ascii="Arial" w:hAnsi="Arial" w:cs="Arial"/>
          <w:sz w:val="24"/>
          <w:szCs w:val="24"/>
        </w:rPr>
        <w:tab/>
      </w:r>
      <w:r w:rsidR="00563E5B" w:rsidRPr="00933C28">
        <w:rPr>
          <w:rFonts w:ascii="Arial" w:hAnsi="Arial" w:cs="Arial"/>
          <w:sz w:val="24"/>
          <w:szCs w:val="24"/>
        </w:rPr>
        <w:t>With that in mi</w:t>
      </w:r>
      <w:r w:rsidR="000B2424" w:rsidRPr="00933C28">
        <w:rPr>
          <w:rFonts w:ascii="Arial" w:hAnsi="Arial" w:cs="Arial"/>
          <w:sz w:val="24"/>
          <w:szCs w:val="24"/>
        </w:rPr>
        <w:t>n</w:t>
      </w:r>
      <w:r w:rsidR="00563E5B" w:rsidRPr="00933C28">
        <w:rPr>
          <w:rFonts w:ascii="Arial" w:hAnsi="Arial" w:cs="Arial"/>
          <w:sz w:val="24"/>
          <w:szCs w:val="24"/>
        </w:rPr>
        <w:t>d</w:t>
      </w:r>
      <w:r w:rsidR="000B2424" w:rsidRPr="00933C28">
        <w:rPr>
          <w:rFonts w:ascii="Arial" w:hAnsi="Arial" w:cs="Arial"/>
          <w:sz w:val="24"/>
          <w:szCs w:val="24"/>
        </w:rPr>
        <w:t xml:space="preserve">, </w:t>
      </w:r>
      <w:r w:rsidR="00563E5B" w:rsidRPr="00933C28">
        <w:rPr>
          <w:rFonts w:ascii="Arial" w:hAnsi="Arial" w:cs="Arial"/>
          <w:sz w:val="24"/>
          <w:szCs w:val="24"/>
        </w:rPr>
        <w:t xml:space="preserve">I struggled to follow counsel’s submission that </w:t>
      </w:r>
      <w:r w:rsidR="00C02885" w:rsidRPr="00933C28">
        <w:rPr>
          <w:rFonts w:ascii="Arial" w:hAnsi="Arial" w:cs="Arial"/>
          <w:sz w:val="24"/>
          <w:szCs w:val="24"/>
        </w:rPr>
        <w:t xml:space="preserve">if </w:t>
      </w:r>
      <w:r w:rsidR="00563E5B" w:rsidRPr="00933C28">
        <w:rPr>
          <w:rFonts w:ascii="Arial" w:hAnsi="Arial" w:cs="Arial"/>
          <w:sz w:val="24"/>
          <w:szCs w:val="24"/>
        </w:rPr>
        <w:t>Mr</w:t>
      </w:r>
      <w:r w:rsidR="00A624D7" w:rsidRPr="00933C28">
        <w:rPr>
          <w:rFonts w:ascii="Arial" w:hAnsi="Arial" w:cs="Arial"/>
          <w:sz w:val="24"/>
          <w:szCs w:val="24"/>
        </w:rPr>
        <w:t>.</w:t>
      </w:r>
      <w:r w:rsidR="00563E5B" w:rsidRPr="00933C28">
        <w:rPr>
          <w:rFonts w:ascii="Arial" w:hAnsi="Arial" w:cs="Arial"/>
          <w:sz w:val="24"/>
          <w:szCs w:val="24"/>
        </w:rPr>
        <w:t xml:space="preserve"> </w:t>
      </w:r>
      <w:r w:rsidR="001D62A0" w:rsidRPr="00933C28">
        <w:rPr>
          <w:rFonts w:ascii="Arial" w:hAnsi="Arial" w:cs="Arial"/>
          <w:sz w:val="24"/>
          <w:szCs w:val="24"/>
        </w:rPr>
        <w:t>M</w:t>
      </w:r>
      <w:r w:rsidR="00A624D7" w:rsidRPr="00933C28">
        <w:rPr>
          <w:rFonts w:ascii="Arial" w:hAnsi="Arial" w:cs="Arial"/>
          <w:sz w:val="24"/>
          <w:szCs w:val="24"/>
        </w:rPr>
        <w:t>a</w:t>
      </w:r>
      <w:r w:rsidR="001D62A0" w:rsidRPr="00933C28">
        <w:rPr>
          <w:rFonts w:ascii="Arial" w:hAnsi="Arial" w:cs="Arial"/>
          <w:sz w:val="24"/>
          <w:szCs w:val="24"/>
        </w:rPr>
        <w:t>fokate achieved</w:t>
      </w:r>
      <w:r w:rsidR="00C02885" w:rsidRPr="00933C28">
        <w:rPr>
          <w:rFonts w:ascii="Arial" w:hAnsi="Arial" w:cs="Arial"/>
          <w:sz w:val="24"/>
          <w:szCs w:val="24"/>
        </w:rPr>
        <w:t xml:space="preserve"> the job for R9 300 000. 00 he </w:t>
      </w:r>
      <w:r w:rsidR="001D62A0" w:rsidRPr="00933C28">
        <w:rPr>
          <w:rFonts w:ascii="Arial" w:hAnsi="Arial" w:cs="Arial"/>
          <w:sz w:val="24"/>
          <w:szCs w:val="24"/>
        </w:rPr>
        <w:t>was</w:t>
      </w:r>
      <w:r w:rsidR="00C02885" w:rsidRPr="00933C28">
        <w:rPr>
          <w:rFonts w:ascii="Arial" w:hAnsi="Arial" w:cs="Arial"/>
          <w:sz w:val="24"/>
          <w:szCs w:val="24"/>
        </w:rPr>
        <w:t xml:space="preserve"> entitled to </w:t>
      </w:r>
      <w:r w:rsidR="007B2FF2">
        <w:rPr>
          <w:rFonts w:ascii="Arial" w:hAnsi="Arial" w:cs="Arial"/>
          <w:sz w:val="24"/>
          <w:szCs w:val="24"/>
        </w:rPr>
        <w:t xml:space="preserve">a </w:t>
      </w:r>
      <w:r w:rsidR="00C02885" w:rsidRPr="00933C28">
        <w:rPr>
          <w:rFonts w:ascii="Arial" w:hAnsi="Arial" w:cs="Arial"/>
          <w:sz w:val="24"/>
          <w:szCs w:val="24"/>
        </w:rPr>
        <w:t>payment</w:t>
      </w:r>
      <w:r w:rsidR="00F923F4" w:rsidRPr="00933C28">
        <w:rPr>
          <w:rFonts w:ascii="Arial" w:hAnsi="Arial" w:cs="Arial"/>
          <w:sz w:val="24"/>
          <w:szCs w:val="24"/>
        </w:rPr>
        <w:t>, if there is</w:t>
      </w:r>
      <w:r w:rsidR="00E92747" w:rsidRPr="00933C28">
        <w:rPr>
          <w:rFonts w:ascii="Arial" w:hAnsi="Arial" w:cs="Arial"/>
          <w:sz w:val="24"/>
          <w:szCs w:val="24"/>
        </w:rPr>
        <w:t xml:space="preserve"> a</w:t>
      </w:r>
      <w:r w:rsidR="00B7149D" w:rsidRPr="00933C28">
        <w:rPr>
          <w:rFonts w:ascii="Arial" w:hAnsi="Arial" w:cs="Arial"/>
          <w:sz w:val="24"/>
          <w:szCs w:val="24"/>
        </w:rPr>
        <w:t xml:space="preserve"> cost</w:t>
      </w:r>
      <w:r w:rsidR="00F923F4" w:rsidRPr="00933C28">
        <w:rPr>
          <w:rFonts w:ascii="Arial" w:hAnsi="Arial" w:cs="Arial"/>
          <w:sz w:val="24"/>
          <w:szCs w:val="24"/>
        </w:rPr>
        <w:t xml:space="preserve"> </w:t>
      </w:r>
      <w:r w:rsidR="00E92747" w:rsidRPr="00933C28">
        <w:rPr>
          <w:rFonts w:ascii="Arial" w:hAnsi="Arial" w:cs="Arial"/>
          <w:sz w:val="24"/>
          <w:szCs w:val="24"/>
        </w:rPr>
        <w:t>overrun,</w:t>
      </w:r>
      <w:r w:rsidR="00F923F4" w:rsidRPr="00933C28">
        <w:rPr>
          <w:rFonts w:ascii="Arial" w:hAnsi="Arial" w:cs="Arial"/>
          <w:sz w:val="24"/>
          <w:szCs w:val="24"/>
        </w:rPr>
        <w:t xml:space="preserve"> he </w:t>
      </w:r>
      <w:r w:rsidR="001D62A0" w:rsidRPr="00933C28">
        <w:rPr>
          <w:rFonts w:ascii="Arial" w:hAnsi="Arial" w:cs="Arial"/>
          <w:sz w:val="24"/>
          <w:szCs w:val="24"/>
        </w:rPr>
        <w:t>was</w:t>
      </w:r>
      <w:r w:rsidR="00F923F4" w:rsidRPr="00933C28">
        <w:rPr>
          <w:rFonts w:ascii="Arial" w:hAnsi="Arial" w:cs="Arial"/>
          <w:sz w:val="24"/>
          <w:szCs w:val="24"/>
        </w:rPr>
        <w:t xml:space="preserve"> not </w:t>
      </w:r>
      <w:r w:rsidR="004B57CB" w:rsidRPr="00933C28">
        <w:rPr>
          <w:rFonts w:ascii="Arial" w:hAnsi="Arial" w:cs="Arial"/>
          <w:sz w:val="24"/>
          <w:szCs w:val="24"/>
        </w:rPr>
        <w:t>entitled</w:t>
      </w:r>
      <w:r w:rsidR="00F923F4" w:rsidRPr="00933C28">
        <w:rPr>
          <w:rFonts w:ascii="Arial" w:hAnsi="Arial" w:cs="Arial"/>
          <w:sz w:val="24"/>
          <w:szCs w:val="24"/>
        </w:rPr>
        <w:t xml:space="preserve"> to </w:t>
      </w:r>
      <w:r w:rsidR="007B2FF2">
        <w:rPr>
          <w:rFonts w:ascii="Arial" w:hAnsi="Arial" w:cs="Arial"/>
          <w:sz w:val="24"/>
          <w:szCs w:val="24"/>
        </w:rPr>
        <w:t xml:space="preserve">any </w:t>
      </w:r>
      <w:r w:rsidR="00F923F4" w:rsidRPr="00933C28">
        <w:rPr>
          <w:rFonts w:ascii="Arial" w:hAnsi="Arial" w:cs="Arial"/>
          <w:sz w:val="24"/>
          <w:szCs w:val="24"/>
        </w:rPr>
        <w:t xml:space="preserve">payment and </w:t>
      </w:r>
      <w:r w:rsidR="001D62A0" w:rsidRPr="00933C28">
        <w:rPr>
          <w:rFonts w:ascii="Arial" w:hAnsi="Arial" w:cs="Arial"/>
          <w:sz w:val="24"/>
          <w:szCs w:val="24"/>
        </w:rPr>
        <w:t xml:space="preserve">finally if </w:t>
      </w:r>
      <w:r w:rsidR="00F923F4" w:rsidRPr="00933C28">
        <w:rPr>
          <w:rFonts w:ascii="Arial" w:hAnsi="Arial" w:cs="Arial"/>
          <w:sz w:val="24"/>
          <w:szCs w:val="24"/>
        </w:rPr>
        <w:t xml:space="preserve">there </w:t>
      </w:r>
      <w:r w:rsidR="001D62A0" w:rsidRPr="00933C28">
        <w:rPr>
          <w:rFonts w:ascii="Arial" w:hAnsi="Arial" w:cs="Arial"/>
          <w:sz w:val="24"/>
          <w:szCs w:val="24"/>
        </w:rPr>
        <w:t>was</w:t>
      </w:r>
      <w:r w:rsidR="00F923F4" w:rsidRPr="00933C28">
        <w:rPr>
          <w:rFonts w:ascii="Arial" w:hAnsi="Arial" w:cs="Arial"/>
          <w:sz w:val="24"/>
          <w:szCs w:val="24"/>
        </w:rPr>
        <w:t xml:space="preserve"> a</w:t>
      </w:r>
      <w:r w:rsidR="00B7149D" w:rsidRPr="00933C28">
        <w:rPr>
          <w:rFonts w:ascii="Arial" w:hAnsi="Arial" w:cs="Arial"/>
          <w:sz w:val="24"/>
          <w:szCs w:val="24"/>
        </w:rPr>
        <w:t xml:space="preserve"> cost</w:t>
      </w:r>
      <w:r w:rsidR="00F923F4" w:rsidRPr="00933C28">
        <w:rPr>
          <w:rFonts w:ascii="Arial" w:hAnsi="Arial" w:cs="Arial"/>
          <w:sz w:val="24"/>
          <w:szCs w:val="24"/>
        </w:rPr>
        <w:t xml:space="preserve"> </w:t>
      </w:r>
      <w:r w:rsidR="001D62A0" w:rsidRPr="00933C28">
        <w:rPr>
          <w:rFonts w:ascii="Arial" w:hAnsi="Arial" w:cs="Arial"/>
          <w:sz w:val="24"/>
          <w:szCs w:val="24"/>
        </w:rPr>
        <w:t>underrun,</w:t>
      </w:r>
      <w:r w:rsidR="00F923F4" w:rsidRPr="00933C28">
        <w:rPr>
          <w:rFonts w:ascii="Arial" w:hAnsi="Arial" w:cs="Arial"/>
          <w:sz w:val="24"/>
          <w:szCs w:val="24"/>
        </w:rPr>
        <w:t xml:space="preserve"> he </w:t>
      </w:r>
      <w:r w:rsidR="001D62A0" w:rsidRPr="00933C28">
        <w:rPr>
          <w:rFonts w:ascii="Arial" w:hAnsi="Arial" w:cs="Arial"/>
          <w:sz w:val="24"/>
          <w:szCs w:val="24"/>
        </w:rPr>
        <w:t>had to</w:t>
      </w:r>
      <w:r w:rsidR="00F923F4" w:rsidRPr="00933C28">
        <w:rPr>
          <w:rFonts w:ascii="Arial" w:hAnsi="Arial" w:cs="Arial"/>
          <w:sz w:val="24"/>
          <w:szCs w:val="24"/>
        </w:rPr>
        <w:t xml:space="preserve"> pay </w:t>
      </w:r>
      <w:r w:rsidR="001D62A0" w:rsidRPr="00933C28">
        <w:rPr>
          <w:rFonts w:ascii="Arial" w:hAnsi="Arial" w:cs="Arial"/>
          <w:sz w:val="24"/>
          <w:szCs w:val="24"/>
        </w:rPr>
        <w:t xml:space="preserve">it </w:t>
      </w:r>
      <w:r w:rsidR="00F923F4" w:rsidRPr="00933C28">
        <w:rPr>
          <w:rFonts w:ascii="Arial" w:hAnsi="Arial" w:cs="Arial"/>
          <w:sz w:val="24"/>
          <w:szCs w:val="24"/>
        </w:rPr>
        <w:t>back to NLC.</w:t>
      </w:r>
      <w:r w:rsidR="00E27EBC" w:rsidRPr="00933C28">
        <w:rPr>
          <w:rFonts w:ascii="Arial" w:hAnsi="Arial" w:cs="Arial"/>
          <w:sz w:val="24"/>
          <w:szCs w:val="24"/>
        </w:rPr>
        <w:t xml:space="preserve"> </w:t>
      </w:r>
      <w:r w:rsidR="00C25D55" w:rsidRPr="00933C28">
        <w:rPr>
          <w:rFonts w:ascii="Arial" w:hAnsi="Arial" w:cs="Arial"/>
          <w:sz w:val="24"/>
          <w:szCs w:val="24"/>
        </w:rPr>
        <w:t xml:space="preserve">Counsel’s </w:t>
      </w:r>
      <w:r w:rsidR="00216C2A" w:rsidRPr="00933C28">
        <w:rPr>
          <w:rFonts w:ascii="Arial" w:hAnsi="Arial" w:cs="Arial"/>
          <w:sz w:val="24"/>
          <w:szCs w:val="24"/>
        </w:rPr>
        <w:t>submission was that t</w:t>
      </w:r>
      <w:r w:rsidR="00E92747" w:rsidRPr="00933C28">
        <w:rPr>
          <w:rFonts w:ascii="Arial" w:hAnsi="Arial" w:cs="Arial"/>
          <w:sz w:val="24"/>
          <w:szCs w:val="24"/>
        </w:rPr>
        <w:t>here is no indication that the full amount was not employed</w:t>
      </w:r>
      <w:r w:rsidR="00C25D55" w:rsidRPr="00933C28">
        <w:rPr>
          <w:rFonts w:ascii="Arial" w:hAnsi="Arial" w:cs="Arial"/>
          <w:sz w:val="24"/>
          <w:szCs w:val="24"/>
        </w:rPr>
        <w:t xml:space="preserve">, and, </w:t>
      </w:r>
      <w:r w:rsidR="00216C2A" w:rsidRPr="00933C28">
        <w:rPr>
          <w:rFonts w:ascii="Arial" w:hAnsi="Arial" w:cs="Arial"/>
          <w:sz w:val="24"/>
          <w:szCs w:val="24"/>
        </w:rPr>
        <w:t>in fact, h</w:t>
      </w:r>
      <w:r w:rsidR="00E92747" w:rsidRPr="00933C28">
        <w:rPr>
          <w:rFonts w:ascii="Arial" w:hAnsi="Arial" w:cs="Arial"/>
          <w:sz w:val="24"/>
          <w:szCs w:val="24"/>
        </w:rPr>
        <w:t xml:space="preserve">e spent </w:t>
      </w:r>
      <w:r w:rsidR="004B57CB" w:rsidRPr="00933C28">
        <w:rPr>
          <w:rFonts w:ascii="Arial" w:hAnsi="Arial" w:cs="Arial"/>
          <w:sz w:val="24"/>
          <w:szCs w:val="24"/>
        </w:rPr>
        <w:t>more than R9 300 000.00.</w:t>
      </w:r>
      <w:r w:rsidR="00216C2A" w:rsidRPr="00933C28">
        <w:rPr>
          <w:rFonts w:ascii="Arial" w:hAnsi="Arial" w:cs="Arial"/>
          <w:sz w:val="24"/>
          <w:szCs w:val="24"/>
        </w:rPr>
        <w:t xml:space="preserve"> </w:t>
      </w:r>
      <w:r w:rsidR="009F0C95" w:rsidRPr="00933C28">
        <w:rPr>
          <w:rFonts w:ascii="Arial" w:hAnsi="Arial" w:cs="Arial"/>
          <w:sz w:val="24"/>
          <w:szCs w:val="24"/>
        </w:rPr>
        <w:t>Since h</w:t>
      </w:r>
      <w:r w:rsidR="001F3007" w:rsidRPr="00933C28">
        <w:rPr>
          <w:rFonts w:ascii="Arial" w:hAnsi="Arial" w:cs="Arial"/>
          <w:sz w:val="24"/>
          <w:szCs w:val="24"/>
        </w:rPr>
        <w:t>e had already paid out money to Roadshow Marketing to achieve the whole project</w:t>
      </w:r>
      <w:r w:rsidR="000B2424" w:rsidRPr="00933C28">
        <w:rPr>
          <w:rFonts w:ascii="Arial" w:hAnsi="Arial" w:cs="Arial"/>
          <w:sz w:val="24"/>
          <w:szCs w:val="24"/>
        </w:rPr>
        <w:t xml:space="preserve">, when the second payment came </w:t>
      </w:r>
      <w:r w:rsidR="00903ACD" w:rsidRPr="00933C28">
        <w:rPr>
          <w:rFonts w:ascii="Arial" w:hAnsi="Arial" w:cs="Arial"/>
          <w:sz w:val="24"/>
          <w:szCs w:val="24"/>
        </w:rPr>
        <w:t>in,</w:t>
      </w:r>
      <w:r w:rsidR="000B2424" w:rsidRPr="00933C28">
        <w:rPr>
          <w:rFonts w:ascii="Arial" w:hAnsi="Arial" w:cs="Arial"/>
          <w:sz w:val="24"/>
          <w:szCs w:val="24"/>
        </w:rPr>
        <w:t xml:space="preserve"> he could square off the books</w:t>
      </w:r>
      <w:r w:rsidR="00D022E8" w:rsidRPr="00933C28">
        <w:rPr>
          <w:rFonts w:ascii="Arial" w:hAnsi="Arial" w:cs="Arial"/>
          <w:sz w:val="24"/>
          <w:szCs w:val="24"/>
        </w:rPr>
        <w:t>, he submitted</w:t>
      </w:r>
      <w:r w:rsidR="00903ACD" w:rsidRPr="00933C28">
        <w:rPr>
          <w:rFonts w:ascii="Arial" w:hAnsi="Arial" w:cs="Arial"/>
          <w:sz w:val="24"/>
          <w:szCs w:val="24"/>
        </w:rPr>
        <w:t>.</w:t>
      </w:r>
      <w:r w:rsidR="001F3007" w:rsidRPr="00933C28">
        <w:rPr>
          <w:rFonts w:ascii="Arial" w:hAnsi="Arial" w:cs="Arial"/>
          <w:sz w:val="24"/>
          <w:szCs w:val="24"/>
        </w:rPr>
        <w:t xml:space="preserve"> </w:t>
      </w:r>
      <w:r w:rsidR="00903ACD" w:rsidRPr="00933C28">
        <w:rPr>
          <w:rFonts w:ascii="Arial" w:hAnsi="Arial" w:cs="Arial"/>
          <w:sz w:val="24"/>
          <w:szCs w:val="24"/>
        </w:rPr>
        <w:t>T</w:t>
      </w:r>
      <w:r w:rsidR="001F3007" w:rsidRPr="00933C28">
        <w:rPr>
          <w:rFonts w:ascii="Arial" w:hAnsi="Arial" w:cs="Arial"/>
          <w:sz w:val="24"/>
          <w:szCs w:val="24"/>
        </w:rPr>
        <w:t>herefore</w:t>
      </w:r>
      <w:r w:rsidR="00903ACD" w:rsidRPr="00933C28">
        <w:rPr>
          <w:rFonts w:ascii="Arial" w:hAnsi="Arial" w:cs="Arial"/>
          <w:sz w:val="24"/>
          <w:szCs w:val="24"/>
        </w:rPr>
        <w:t>,</w:t>
      </w:r>
      <w:r w:rsidR="001F3007" w:rsidRPr="00933C28">
        <w:rPr>
          <w:rFonts w:ascii="Arial" w:hAnsi="Arial" w:cs="Arial"/>
          <w:sz w:val="24"/>
          <w:szCs w:val="24"/>
        </w:rPr>
        <w:t xml:space="preserve"> when the second tranche </w:t>
      </w:r>
      <w:r w:rsidR="00D956F5" w:rsidRPr="00933C28">
        <w:rPr>
          <w:rFonts w:ascii="Arial" w:hAnsi="Arial" w:cs="Arial"/>
          <w:sz w:val="24"/>
          <w:szCs w:val="24"/>
        </w:rPr>
        <w:t>came,</w:t>
      </w:r>
      <w:r w:rsidR="001F3007" w:rsidRPr="00933C28">
        <w:rPr>
          <w:rFonts w:ascii="Arial" w:hAnsi="Arial" w:cs="Arial"/>
          <w:sz w:val="24"/>
          <w:szCs w:val="24"/>
        </w:rPr>
        <w:t xml:space="preserve"> he was entitled to the money.</w:t>
      </w:r>
      <w:r w:rsidR="00D022E8" w:rsidRPr="00933C28">
        <w:rPr>
          <w:rFonts w:ascii="Arial" w:hAnsi="Arial" w:cs="Arial"/>
          <w:sz w:val="24"/>
          <w:szCs w:val="24"/>
        </w:rPr>
        <w:br/>
      </w:r>
    </w:p>
    <w:p w14:paraId="3C3D3A65" w14:textId="037ED296" w:rsidR="00CF2E2D" w:rsidRDefault="007E3027" w:rsidP="00CF2E2D">
      <w:pPr>
        <w:pStyle w:val="ListParagraph"/>
        <w:spacing w:after="0" w:line="360" w:lineRule="auto"/>
        <w:ind w:left="0"/>
        <w:jc w:val="both"/>
        <w:rPr>
          <w:rFonts w:ascii="Arial" w:hAnsi="Arial" w:cs="Arial"/>
          <w:sz w:val="24"/>
          <w:szCs w:val="24"/>
        </w:rPr>
      </w:pPr>
      <w:r w:rsidRPr="00184B20">
        <w:rPr>
          <w:rFonts w:ascii="Arial" w:hAnsi="Arial" w:cs="Arial"/>
          <w:sz w:val="24"/>
          <w:szCs w:val="24"/>
        </w:rPr>
        <w:t>[</w:t>
      </w:r>
      <w:r w:rsidR="001B50D1">
        <w:rPr>
          <w:rFonts w:ascii="Arial" w:hAnsi="Arial" w:cs="Arial"/>
          <w:sz w:val="24"/>
          <w:szCs w:val="24"/>
        </w:rPr>
        <w:t>2</w:t>
      </w:r>
      <w:r w:rsidR="00FC6820">
        <w:rPr>
          <w:rFonts w:ascii="Arial" w:hAnsi="Arial" w:cs="Arial"/>
          <w:sz w:val="24"/>
          <w:szCs w:val="24"/>
        </w:rPr>
        <w:t>8</w:t>
      </w:r>
      <w:r w:rsidRPr="00184B20">
        <w:rPr>
          <w:rFonts w:ascii="Arial" w:hAnsi="Arial" w:cs="Arial"/>
          <w:sz w:val="24"/>
          <w:szCs w:val="24"/>
        </w:rPr>
        <w:t>]</w:t>
      </w:r>
      <w:r>
        <w:rPr>
          <w:rFonts w:ascii="Arial" w:hAnsi="Arial" w:cs="Arial"/>
          <w:sz w:val="24"/>
          <w:szCs w:val="24"/>
        </w:rPr>
        <w:tab/>
      </w:r>
      <w:r w:rsidR="00903ACD" w:rsidRPr="00933C28">
        <w:rPr>
          <w:rFonts w:ascii="Arial" w:hAnsi="Arial" w:cs="Arial"/>
          <w:sz w:val="24"/>
          <w:szCs w:val="24"/>
        </w:rPr>
        <w:t xml:space="preserve"> </w:t>
      </w:r>
      <w:r w:rsidR="009C4539" w:rsidRPr="00933C28">
        <w:rPr>
          <w:rFonts w:ascii="Arial" w:hAnsi="Arial" w:cs="Arial"/>
          <w:sz w:val="24"/>
          <w:szCs w:val="24"/>
        </w:rPr>
        <w:t xml:space="preserve">Besides, </w:t>
      </w:r>
      <w:r w:rsidR="00354C67" w:rsidRPr="00933C28">
        <w:rPr>
          <w:rFonts w:ascii="Arial" w:hAnsi="Arial" w:cs="Arial"/>
          <w:sz w:val="24"/>
          <w:szCs w:val="24"/>
        </w:rPr>
        <w:t>SAADA falling</w:t>
      </w:r>
      <w:r w:rsidR="009C4539" w:rsidRPr="00933C28">
        <w:rPr>
          <w:rFonts w:ascii="Arial" w:hAnsi="Arial" w:cs="Arial"/>
          <w:sz w:val="24"/>
          <w:szCs w:val="24"/>
        </w:rPr>
        <w:t xml:space="preserve"> foul of paragraph 1.1 mentioned </w:t>
      </w:r>
      <w:r w:rsidR="009C4539" w:rsidRPr="00933C28">
        <w:rPr>
          <w:rFonts w:ascii="Arial" w:hAnsi="Arial" w:cs="Arial"/>
          <w:i/>
          <w:iCs/>
          <w:sz w:val="24"/>
          <w:szCs w:val="24"/>
        </w:rPr>
        <w:t>supra,</w:t>
      </w:r>
      <w:r w:rsidR="009C4539" w:rsidRPr="00933C28">
        <w:rPr>
          <w:rFonts w:ascii="Arial" w:hAnsi="Arial" w:cs="Arial"/>
          <w:sz w:val="24"/>
          <w:szCs w:val="24"/>
        </w:rPr>
        <w:t xml:space="preserve"> t</w:t>
      </w:r>
      <w:r w:rsidR="00903ACD" w:rsidRPr="00933C28">
        <w:rPr>
          <w:rFonts w:ascii="Arial" w:hAnsi="Arial" w:cs="Arial"/>
          <w:sz w:val="24"/>
          <w:szCs w:val="24"/>
        </w:rPr>
        <w:t>his begs the question</w:t>
      </w:r>
      <w:r w:rsidR="001C1613" w:rsidRPr="00933C28">
        <w:rPr>
          <w:rFonts w:ascii="Arial" w:hAnsi="Arial" w:cs="Arial"/>
          <w:sz w:val="24"/>
          <w:szCs w:val="24"/>
        </w:rPr>
        <w:t xml:space="preserve"> of</w:t>
      </w:r>
      <w:r w:rsidR="00903ACD" w:rsidRPr="00933C28">
        <w:rPr>
          <w:rFonts w:ascii="Arial" w:hAnsi="Arial" w:cs="Arial"/>
          <w:sz w:val="24"/>
          <w:szCs w:val="24"/>
        </w:rPr>
        <w:t xml:space="preserve"> where </w:t>
      </w:r>
      <w:r w:rsidR="007B69A3" w:rsidRPr="00933C28">
        <w:rPr>
          <w:rFonts w:ascii="Arial" w:hAnsi="Arial" w:cs="Arial"/>
          <w:sz w:val="24"/>
          <w:szCs w:val="24"/>
        </w:rPr>
        <w:t>Mr</w:t>
      </w:r>
      <w:r w:rsidR="00A624D7" w:rsidRPr="00933C28">
        <w:rPr>
          <w:rFonts w:ascii="Arial" w:hAnsi="Arial" w:cs="Arial"/>
          <w:sz w:val="24"/>
          <w:szCs w:val="24"/>
        </w:rPr>
        <w:t>.</w:t>
      </w:r>
      <w:r w:rsidR="007B69A3" w:rsidRPr="00933C28">
        <w:rPr>
          <w:rFonts w:ascii="Arial" w:hAnsi="Arial" w:cs="Arial"/>
          <w:sz w:val="24"/>
          <w:szCs w:val="24"/>
        </w:rPr>
        <w:t xml:space="preserve"> Mafokate got</w:t>
      </w:r>
      <w:r w:rsidR="00903ACD" w:rsidRPr="00933C28">
        <w:rPr>
          <w:rFonts w:ascii="Arial" w:hAnsi="Arial" w:cs="Arial"/>
          <w:sz w:val="24"/>
          <w:szCs w:val="24"/>
        </w:rPr>
        <w:t xml:space="preserve"> the R</w:t>
      </w:r>
      <w:r w:rsidR="00392A3A" w:rsidRPr="00933C28">
        <w:rPr>
          <w:rFonts w:ascii="Arial" w:hAnsi="Arial" w:cs="Arial"/>
          <w:sz w:val="24"/>
          <w:szCs w:val="24"/>
        </w:rPr>
        <w:t xml:space="preserve"> 3</w:t>
      </w:r>
      <w:r w:rsidR="00354C67" w:rsidRPr="00933C28">
        <w:rPr>
          <w:rFonts w:ascii="Arial" w:hAnsi="Arial" w:cs="Arial"/>
          <w:sz w:val="24"/>
          <w:szCs w:val="24"/>
        </w:rPr>
        <w:t>, </w:t>
      </w:r>
      <w:r w:rsidR="00392A3A" w:rsidRPr="00933C28">
        <w:rPr>
          <w:rFonts w:ascii="Arial" w:hAnsi="Arial" w:cs="Arial"/>
          <w:sz w:val="24"/>
          <w:szCs w:val="24"/>
        </w:rPr>
        <w:t>440</w:t>
      </w:r>
      <w:r w:rsidR="00354C67" w:rsidRPr="00933C28">
        <w:rPr>
          <w:rFonts w:ascii="Arial" w:hAnsi="Arial" w:cs="Arial"/>
          <w:sz w:val="24"/>
          <w:szCs w:val="24"/>
        </w:rPr>
        <w:t xml:space="preserve">, </w:t>
      </w:r>
      <w:r w:rsidR="00392A3A" w:rsidRPr="00933C28">
        <w:rPr>
          <w:rFonts w:ascii="Arial" w:hAnsi="Arial" w:cs="Arial"/>
          <w:sz w:val="24"/>
          <w:szCs w:val="24"/>
        </w:rPr>
        <w:t>12</w:t>
      </w:r>
      <w:r w:rsidR="00354C67" w:rsidRPr="00933C28">
        <w:rPr>
          <w:rFonts w:ascii="Arial" w:hAnsi="Arial" w:cs="Arial"/>
          <w:sz w:val="24"/>
          <w:szCs w:val="24"/>
        </w:rPr>
        <w:t>1.</w:t>
      </w:r>
      <w:r w:rsidR="00392A3A" w:rsidRPr="00933C28">
        <w:rPr>
          <w:rFonts w:ascii="Arial" w:hAnsi="Arial" w:cs="Arial"/>
          <w:sz w:val="24"/>
          <w:szCs w:val="24"/>
        </w:rPr>
        <w:t>00</w:t>
      </w:r>
      <w:r w:rsidR="00903ACD" w:rsidRPr="00933C28">
        <w:rPr>
          <w:rFonts w:ascii="Arial" w:hAnsi="Arial" w:cs="Arial"/>
          <w:sz w:val="24"/>
          <w:szCs w:val="24"/>
        </w:rPr>
        <w:t xml:space="preserve"> </w:t>
      </w:r>
      <w:r w:rsidR="00354C67" w:rsidRPr="00933C28">
        <w:rPr>
          <w:rFonts w:ascii="Arial" w:hAnsi="Arial" w:cs="Arial"/>
          <w:sz w:val="24"/>
          <w:szCs w:val="24"/>
        </w:rPr>
        <w:t xml:space="preserve">and R1,077,300.00 </w:t>
      </w:r>
      <w:r w:rsidR="00903ACD" w:rsidRPr="00933C28">
        <w:rPr>
          <w:rFonts w:ascii="Arial" w:hAnsi="Arial" w:cs="Arial"/>
          <w:sz w:val="24"/>
          <w:szCs w:val="24"/>
        </w:rPr>
        <w:t>to run the project</w:t>
      </w:r>
      <w:r w:rsidR="001C1613" w:rsidRPr="00933C28">
        <w:rPr>
          <w:rFonts w:ascii="Arial" w:hAnsi="Arial" w:cs="Arial"/>
          <w:sz w:val="24"/>
          <w:szCs w:val="24"/>
        </w:rPr>
        <w:t>,</w:t>
      </w:r>
      <w:r w:rsidR="00903ACD" w:rsidRPr="00933C28">
        <w:rPr>
          <w:rFonts w:ascii="Arial" w:hAnsi="Arial" w:cs="Arial"/>
          <w:sz w:val="24"/>
          <w:szCs w:val="24"/>
        </w:rPr>
        <w:t xml:space="preserve"> whilst waiting for the second tranche.</w:t>
      </w:r>
      <w:r w:rsidR="00D16691" w:rsidRPr="00933C28">
        <w:rPr>
          <w:rFonts w:ascii="Arial" w:hAnsi="Arial" w:cs="Arial"/>
          <w:sz w:val="24"/>
          <w:szCs w:val="24"/>
        </w:rPr>
        <w:t xml:space="preserve"> </w:t>
      </w:r>
      <w:r w:rsidR="001C1613" w:rsidRPr="00933C28">
        <w:rPr>
          <w:rFonts w:ascii="Arial" w:hAnsi="Arial" w:cs="Arial"/>
          <w:sz w:val="24"/>
          <w:szCs w:val="24"/>
        </w:rPr>
        <w:t>Especially, since</w:t>
      </w:r>
      <w:r w:rsidR="004A594B" w:rsidRPr="00933C28">
        <w:rPr>
          <w:rFonts w:ascii="Arial" w:hAnsi="Arial" w:cs="Arial"/>
          <w:sz w:val="24"/>
          <w:szCs w:val="24"/>
        </w:rPr>
        <w:t xml:space="preserve"> </w:t>
      </w:r>
      <w:r w:rsidR="007B2FF2">
        <w:rPr>
          <w:rFonts w:ascii="Arial" w:hAnsi="Arial" w:cs="Arial"/>
          <w:sz w:val="24"/>
          <w:szCs w:val="24"/>
        </w:rPr>
        <w:t>i</w:t>
      </w:r>
      <w:r w:rsidR="008A28D5" w:rsidRPr="00933C28">
        <w:rPr>
          <w:rFonts w:ascii="Arial" w:hAnsi="Arial" w:cs="Arial"/>
          <w:sz w:val="24"/>
          <w:szCs w:val="24"/>
        </w:rPr>
        <w:t xml:space="preserve">t is common cause </w:t>
      </w:r>
      <w:r w:rsidR="008A28D5" w:rsidRPr="00933C28">
        <w:rPr>
          <w:rFonts w:ascii="Arial" w:hAnsi="Arial" w:cs="Arial"/>
          <w:sz w:val="24"/>
          <w:szCs w:val="24"/>
        </w:rPr>
        <w:lastRenderedPageBreak/>
        <w:t xml:space="preserve">that before the project commenced SAADA had </w:t>
      </w:r>
      <w:r w:rsidR="00CB0B10">
        <w:rPr>
          <w:rFonts w:ascii="Arial" w:hAnsi="Arial" w:cs="Arial"/>
          <w:sz w:val="24"/>
          <w:szCs w:val="24"/>
        </w:rPr>
        <w:t>a measly</w:t>
      </w:r>
      <w:r w:rsidR="008A28D5" w:rsidRPr="00933C28">
        <w:rPr>
          <w:rFonts w:ascii="Arial" w:hAnsi="Arial" w:cs="Arial"/>
          <w:sz w:val="24"/>
          <w:szCs w:val="24"/>
        </w:rPr>
        <w:t xml:space="preserve"> R1</w:t>
      </w:r>
      <w:r w:rsidR="00DA608D" w:rsidRPr="00933C28">
        <w:rPr>
          <w:rFonts w:ascii="Arial" w:hAnsi="Arial" w:cs="Arial"/>
          <w:sz w:val="24"/>
          <w:szCs w:val="24"/>
        </w:rPr>
        <w:t>6</w:t>
      </w:r>
      <w:r w:rsidR="002470E0" w:rsidRPr="00933C28">
        <w:rPr>
          <w:rFonts w:ascii="Arial" w:hAnsi="Arial" w:cs="Arial"/>
          <w:sz w:val="24"/>
          <w:szCs w:val="24"/>
        </w:rPr>
        <w:t>955</w:t>
      </w:r>
      <w:r w:rsidR="00D16691" w:rsidRPr="00933C28">
        <w:rPr>
          <w:rFonts w:ascii="Arial" w:hAnsi="Arial" w:cs="Arial"/>
          <w:sz w:val="24"/>
          <w:szCs w:val="24"/>
        </w:rPr>
        <w:t>.</w:t>
      </w:r>
      <w:r w:rsidR="002470E0" w:rsidRPr="00933C28">
        <w:rPr>
          <w:rFonts w:ascii="Arial" w:hAnsi="Arial" w:cs="Arial"/>
          <w:sz w:val="24"/>
          <w:szCs w:val="24"/>
        </w:rPr>
        <w:t>18</w:t>
      </w:r>
      <w:r w:rsidR="008A28D5" w:rsidRPr="00933C28">
        <w:rPr>
          <w:rFonts w:ascii="Arial" w:hAnsi="Arial" w:cs="Arial"/>
          <w:sz w:val="24"/>
          <w:szCs w:val="24"/>
        </w:rPr>
        <w:t xml:space="preserve"> at most and Roadshow Marketing had R2</w:t>
      </w:r>
      <w:r w:rsidR="00AE0B6B" w:rsidRPr="00933C28">
        <w:rPr>
          <w:rFonts w:ascii="Arial" w:hAnsi="Arial" w:cs="Arial"/>
          <w:sz w:val="24"/>
          <w:szCs w:val="24"/>
        </w:rPr>
        <w:t>26 52</w:t>
      </w:r>
      <w:r w:rsidR="00DA608D" w:rsidRPr="00933C28">
        <w:rPr>
          <w:rFonts w:ascii="Arial" w:hAnsi="Arial" w:cs="Arial"/>
          <w:sz w:val="24"/>
          <w:szCs w:val="24"/>
        </w:rPr>
        <w:t>2</w:t>
      </w:r>
      <w:r w:rsidR="00AE0B6B" w:rsidRPr="00933C28">
        <w:rPr>
          <w:rFonts w:ascii="Arial" w:hAnsi="Arial" w:cs="Arial"/>
          <w:sz w:val="24"/>
          <w:szCs w:val="24"/>
        </w:rPr>
        <w:t>.29</w:t>
      </w:r>
      <w:r w:rsidR="00D16691" w:rsidRPr="00933C28">
        <w:rPr>
          <w:rFonts w:ascii="Arial" w:hAnsi="Arial" w:cs="Arial"/>
          <w:sz w:val="24"/>
          <w:szCs w:val="24"/>
        </w:rPr>
        <w:t>.</w:t>
      </w:r>
      <w:r w:rsidR="004753C9" w:rsidRPr="00933C28">
        <w:rPr>
          <w:rFonts w:ascii="Arial" w:hAnsi="Arial" w:cs="Arial"/>
          <w:sz w:val="24"/>
          <w:szCs w:val="24"/>
        </w:rPr>
        <w:t xml:space="preserve"> This court is of the view that </w:t>
      </w:r>
      <w:r w:rsidR="00024AF3" w:rsidRPr="00933C28">
        <w:rPr>
          <w:rFonts w:ascii="Arial" w:hAnsi="Arial" w:cs="Arial"/>
          <w:sz w:val="24"/>
          <w:szCs w:val="24"/>
        </w:rPr>
        <w:t xml:space="preserve">some of the money from </w:t>
      </w:r>
      <w:r w:rsidR="004753C9" w:rsidRPr="00933C28">
        <w:rPr>
          <w:rFonts w:ascii="Arial" w:hAnsi="Arial" w:cs="Arial"/>
          <w:sz w:val="24"/>
          <w:szCs w:val="24"/>
        </w:rPr>
        <w:t>the first tranche took care of the</w:t>
      </w:r>
      <w:r w:rsidR="00024AF3" w:rsidRPr="00933C28">
        <w:rPr>
          <w:rFonts w:ascii="Arial" w:hAnsi="Arial" w:cs="Arial"/>
          <w:sz w:val="24"/>
          <w:szCs w:val="24"/>
        </w:rPr>
        <w:t xml:space="preserve"> whole</w:t>
      </w:r>
      <w:r w:rsidR="004753C9" w:rsidRPr="00933C28">
        <w:rPr>
          <w:rFonts w:ascii="Arial" w:hAnsi="Arial" w:cs="Arial"/>
          <w:sz w:val="24"/>
          <w:szCs w:val="24"/>
        </w:rPr>
        <w:t xml:space="preserve"> project.</w:t>
      </w:r>
      <w:r w:rsidR="00024AF3" w:rsidRPr="00933C28">
        <w:rPr>
          <w:rFonts w:ascii="Arial" w:hAnsi="Arial" w:cs="Arial"/>
          <w:sz w:val="24"/>
          <w:szCs w:val="24"/>
        </w:rPr>
        <w:t xml:space="preserve"> The project was launched </w:t>
      </w:r>
      <w:r w:rsidR="0023765D" w:rsidRPr="00933C28">
        <w:rPr>
          <w:rFonts w:ascii="Arial" w:hAnsi="Arial" w:cs="Arial"/>
          <w:sz w:val="24"/>
          <w:szCs w:val="24"/>
        </w:rPr>
        <w:t>on 12 March 2015, at Museum Afrika Newtown, Johannesburg</w:t>
      </w:r>
      <w:r w:rsidR="00B91209" w:rsidRPr="00933C28">
        <w:rPr>
          <w:rStyle w:val="FootnoteReference"/>
          <w:rFonts w:ascii="Arial" w:hAnsi="Arial" w:cs="Arial"/>
          <w:sz w:val="24"/>
          <w:szCs w:val="24"/>
        </w:rPr>
        <w:footnoteReference w:id="21"/>
      </w:r>
      <w:r w:rsidR="00ED55A8" w:rsidRPr="00933C28">
        <w:rPr>
          <w:rFonts w:ascii="Arial" w:hAnsi="Arial" w:cs="Arial"/>
          <w:sz w:val="24"/>
          <w:szCs w:val="24"/>
        </w:rPr>
        <w:t xml:space="preserve">, </w:t>
      </w:r>
      <w:r w:rsidR="00B91209" w:rsidRPr="00933C28">
        <w:rPr>
          <w:rFonts w:ascii="Arial" w:hAnsi="Arial" w:cs="Arial"/>
          <w:sz w:val="24"/>
          <w:szCs w:val="24"/>
        </w:rPr>
        <w:t>some five months after the first tranche of R4 65 million rands</w:t>
      </w:r>
      <w:r w:rsidR="00F47C38" w:rsidRPr="00933C28">
        <w:rPr>
          <w:rFonts w:ascii="Arial" w:hAnsi="Arial" w:cs="Arial"/>
          <w:sz w:val="24"/>
          <w:szCs w:val="24"/>
        </w:rPr>
        <w:t xml:space="preserve"> had been received by SAADA.</w:t>
      </w:r>
      <w:r w:rsidR="00024AF3" w:rsidRPr="00933C28">
        <w:rPr>
          <w:rFonts w:ascii="Arial" w:hAnsi="Arial" w:cs="Arial"/>
          <w:sz w:val="24"/>
          <w:szCs w:val="24"/>
        </w:rPr>
        <w:t xml:space="preserve"> </w:t>
      </w:r>
      <w:r w:rsidR="007B69A3" w:rsidRPr="00933C28">
        <w:rPr>
          <w:rFonts w:ascii="Arial" w:hAnsi="Arial" w:cs="Arial"/>
          <w:sz w:val="24"/>
          <w:szCs w:val="24"/>
        </w:rPr>
        <w:t>A</w:t>
      </w:r>
      <w:r w:rsidR="00DC2C10" w:rsidRPr="00933C28">
        <w:rPr>
          <w:rFonts w:ascii="Arial" w:hAnsi="Arial" w:cs="Arial"/>
          <w:sz w:val="24"/>
          <w:szCs w:val="24"/>
        </w:rPr>
        <w:t>s already mentioned</w:t>
      </w:r>
      <w:r w:rsidR="00C80D06" w:rsidRPr="00933C28">
        <w:rPr>
          <w:rFonts w:ascii="Arial" w:hAnsi="Arial" w:cs="Arial"/>
          <w:sz w:val="24"/>
          <w:szCs w:val="24"/>
        </w:rPr>
        <w:t xml:space="preserve"> </w:t>
      </w:r>
      <w:r w:rsidR="00DC2C10" w:rsidRPr="00933C28">
        <w:rPr>
          <w:rFonts w:ascii="Arial" w:hAnsi="Arial" w:cs="Arial"/>
          <w:sz w:val="24"/>
          <w:szCs w:val="24"/>
        </w:rPr>
        <w:t>a</w:t>
      </w:r>
      <w:r w:rsidR="007B69A3" w:rsidRPr="00933C28">
        <w:rPr>
          <w:rFonts w:ascii="Arial" w:hAnsi="Arial" w:cs="Arial"/>
          <w:sz w:val="24"/>
          <w:szCs w:val="24"/>
        </w:rPr>
        <w:t xml:space="preserve">t paragraph </w:t>
      </w:r>
      <w:r w:rsidR="00BE60AB" w:rsidRPr="00933C28">
        <w:rPr>
          <w:rFonts w:ascii="Arial" w:hAnsi="Arial" w:cs="Arial"/>
          <w:sz w:val="24"/>
          <w:szCs w:val="24"/>
        </w:rPr>
        <w:t>21</w:t>
      </w:r>
      <w:r w:rsidR="007B69A3" w:rsidRPr="00933C28">
        <w:rPr>
          <w:rFonts w:ascii="Arial" w:hAnsi="Arial" w:cs="Arial"/>
          <w:sz w:val="24"/>
          <w:szCs w:val="24"/>
        </w:rPr>
        <w:t xml:space="preserve"> of </w:t>
      </w:r>
      <w:r w:rsidR="00C80D06" w:rsidRPr="00933C28">
        <w:rPr>
          <w:rFonts w:ascii="Arial" w:hAnsi="Arial" w:cs="Arial"/>
          <w:sz w:val="24"/>
          <w:szCs w:val="24"/>
        </w:rPr>
        <w:t xml:space="preserve">the respondent’s </w:t>
      </w:r>
      <w:r w:rsidR="00295895" w:rsidRPr="00933C28">
        <w:rPr>
          <w:rFonts w:ascii="Arial" w:hAnsi="Arial" w:cs="Arial"/>
          <w:sz w:val="24"/>
          <w:szCs w:val="24"/>
        </w:rPr>
        <w:t>affidavit</w:t>
      </w:r>
      <w:r w:rsidR="00CF2E2D">
        <w:rPr>
          <w:rFonts w:ascii="Arial" w:hAnsi="Arial" w:cs="Arial"/>
          <w:sz w:val="24"/>
          <w:szCs w:val="24"/>
        </w:rPr>
        <w:t>:</w:t>
      </w:r>
      <w:r w:rsidR="00DC2C10" w:rsidRPr="00933C28">
        <w:rPr>
          <w:rFonts w:ascii="Arial" w:hAnsi="Arial" w:cs="Arial"/>
          <w:sz w:val="24"/>
          <w:szCs w:val="24"/>
        </w:rPr>
        <w:t xml:space="preserve"> </w:t>
      </w:r>
    </w:p>
    <w:p w14:paraId="33687874" w14:textId="3227CF01" w:rsidR="00CF2E2D" w:rsidRDefault="00C80D06" w:rsidP="00CF2E2D">
      <w:pPr>
        <w:pStyle w:val="ListParagraph"/>
        <w:spacing w:after="0" w:line="360" w:lineRule="auto"/>
        <w:jc w:val="both"/>
        <w:rPr>
          <w:rFonts w:ascii="Arial" w:hAnsi="Arial" w:cs="Arial"/>
          <w:sz w:val="24"/>
          <w:szCs w:val="24"/>
        </w:rPr>
      </w:pPr>
      <w:r w:rsidRPr="00CF2E2D">
        <w:rPr>
          <w:rFonts w:ascii="Arial" w:hAnsi="Arial" w:cs="Arial"/>
        </w:rPr>
        <w:t>“</w:t>
      </w:r>
      <w:r w:rsidR="00DC2C10" w:rsidRPr="00CF2E2D">
        <w:rPr>
          <w:rFonts w:ascii="Arial" w:hAnsi="Arial" w:cs="Arial"/>
          <w:lang w:val="en-US"/>
        </w:rPr>
        <w:t>SAADA had to rely on service providers who could fund the project pending the receipt of the grant funding. Only Roadshow Marketing was such a service provider and it duly invoiced SAADA for the services provided</w:t>
      </w:r>
      <w:r w:rsidR="00DC2C10" w:rsidRPr="00933C28">
        <w:rPr>
          <w:rFonts w:ascii="Arial" w:hAnsi="Arial" w:cs="Arial"/>
          <w:sz w:val="24"/>
          <w:szCs w:val="24"/>
          <w:lang w:val="en-US"/>
        </w:rPr>
        <w:t>.</w:t>
      </w:r>
      <w:r w:rsidR="00E43746" w:rsidRPr="00933C28">
        <w:rPr>
          <w:rFonts w:ascii="Arial" w:hAnsi="Arial" w:cs="Arial"/>
          <w:sz w:val="24"/>
          <w:szCs w:val="24"/>
          <w:lang w:val="en-US"/>
        </w:rPr>
        <w:t>”</w:t>
      </w:r>
      <w:r w:rsidR="00BE60AB" w:rsidRPr="00933C28">
        <w:rPr>
          <w:rFonts w:ascii="Arial" w:hAnsi="Arial" w:cs="Arial"/>
          <w:sz w:val="24"/>
          <w:szCs w:val="24"/>
        </w:rPr>
        <w:t xml:space="preserve"> </w:t>
      </w:r>
    </w:p>
    <w:p w14:paraId="76D33E42" w14:textId="77777777" w:rsidR="00CF2E2D" w:rsidRDefault="00CF2E2D" w:rsidP="00722566">
      <w:pPr>
        <w:pStyle w:val="ListParagraph"/>
        <w:spacing w:after="0" w:line="360" w:lineRule="auto"/>
        <w:ind w:left="0"/>
        <w:jc w:val="both"/>
        <w:rPr>
          <w:rFonts w:ascii="Arial" w:hAnsi="Arial" w:cs="Arial"/>
          <w:sz w:val="24"/>
          <w:szCs w:val="24"/>
        </w:rPr>
      </w:pPr>
    </w:p>
    <w:p w14:paraId="658AAD15" w14:textId="20D3CD1D" w:rsidR="00A217F3" w:rsidRPr="00933C28" w:rsidRDefault="00CF2E2D" w:rsidP="00722566">
      <w:pPr>
        <w:pStyle w:val="ListParagraph"/>
        <w:spacing w:after="0" w:line="360" w:lineRule="auto"/>
        <w:ind w:left="0"/>
        <w:jc w:val="both"/>
        <w:rPr>
          <w:rFonts w:ascii="Arial" w:hAnsi="Arial" w:cs="Arial"/>
          <w:sz w:val="24"/>
          <w:szCs w:val="24"/>
        </w:rPr>
      </w:pPr>
      <w:r>
        <w:rPr>
          <w:rFonts w:ascii="Arial" w:hAnsi="Arial" w:cs="Arial"/>
          <w:sz w:val="24"/>
          <w:szCs w:val="24"/>
        </w:rPr>
        <w:t>[</w:t>
      </w:r>
      <w:r w:rsidR="00F577AF">
        <w:rPr>
          <w:rFonts w:ascii="Arial" w:hAnsi="Arial" w:cs="Arial"/>
          <w:sz w:val="24"/>
          <w:szCs w:val="24"/>
        </w:rPr>
        <w:t>29</w:t>
      </w:r>
      <w:r>
        <w:rPr>
          <w:rFonts w:ascii="Arial" w:hAnsi="Arial" w:cs="Arial"/>
          <w:sz w:val="24"/>
          <w:szCs w:val="24"/>
        </w:rPr>
        <w:t>]</w:t>
      </w:r>
      <w:r>
        <w:rPr>
          <w:rFonts w:ascii="Arial" w:hAnsi="Arial" w:cs="Arial"/>
          <w:sz w:val="24"/>
          <w:szCs w:val="24"/>
        </w:rPr>
        <w:tab/>
      </w:r>
      <w:r w:rsidR="00327A03" w:rsidRPr="00933C28">
        <w:rPr>
          <w:rFonts w:ascii="Arial" w:hAnsi="Arial" w:cs="Arial"/>
          <w:sz w:val="24"/>
          <w:szCs w:val="24"/>
        </w:rPr>
        <w:t xml:space="preserve">The whole case of the respondent hangs on this paragraph. The impression is created that there were </w:t>
      </w:r>
      <w:r w:rsidR="00BA1663" w:rsidRPr="00933C28">
        <w:rPr>
          <w:rFonts w:ascii="Arial" w:hAnsi="Arial" w:cs="Arial"/>
          <w:sz w:val="24"/>
          <w:szCs w:val="24"/>
        </w:rPr>
        <w:t>several</w:t>
      </w:r>
      <w:r w:rsidR="00327A03" w:rsidRPr="00933C28">
        <w:rPr>
          <w:rFonts w:ascii="Arial" w:hAnsi="Arial" w:cs="Arial"/>
          <w:sz w:val="24"/>
          <w:szCs w:val="24"/>
        </w:rPr>
        <w:t xml:space="preserve"> service providers funding </w:t>
      </w:r>
      <w:r w:rsidR="004621B4" w:rsidRPr="00933C28">
        <w:rPr>
          <w:rFonts w:ascii="Arial" w:hAnsi="Arial" w:cs="Arial"/>
          <w:sz w:val="24"/>
          <w:szCs w:val="24"/>
        </w:rPr>
        <w:t>the project obo SAADA.</w:t>
      </w:r>
      <w:r w:rsidR="00D322C2" w:rsidRPr="00933C28">
        <w:rPr>
          <w:rFonts w:ascii="Arial" w:hAnsi="Arial" w:cs="Arial"/>
          <w:sz w:val="24"/>
          <w:szCs w:val="24"/>
        </w:rPr>
        <w:t xml:space="preserve"> A categorical violation of the grant funding agreement, if ever</w:t>
      </w:r>
      <w:r w:rsidR="00B3775E" w:rsidRPr="00933C28">
        <w:rPr>
          <w:rFonts w:ascii="Arial" w:hAnsi="Arial" w:cs="Arial"/>
          <w:sz w:val="24"/>
          <w:szCs w:val="24"/>
        </w:rPr>
        <w:t xml:space="preserve"> </w:t>
      </w:r>
      <w:r w:rsidR="00D322C2" w:rsidRPr="00933C28">
        <w:rPr>
          <w:rFonts w:ascii="Arial" w:hAnsi="Arial" w:cs="Arial"/>
          <w:sz w:val="24"/>
          <w:szCs w:val="24"/>
        </w:rPr>
        <w:t>further proof</w:t>
      </w:r>
      <w:r w:rsidR="00B3775E" w:rsidRPr="00933C28">
        <w:rPr>
          <w:rFonts w:ascii="Arial" w:hAnsi="Arial" w:cs="Arial"/>
          <w:sz w:val="24"/>
          <w:szCs w:val="24"/>
        </w:rPr>
        <w:t xml:space="preserve"> was needed</w:t>
      </w:r>
      <w:r w:rsidR="00D322C2" w:rsidRPr="00933C28">
        <w:rPr>
          <w:rFonts w:ascii="Arial" w:hAnsi="Arial" w:cs="Arial"/>
          <w:sz w:val="24"/>
          <w:szCs w:val="24"/>
        </w:rPr>
        <w:t>.</w:t>
      </w:r>
      <w:r w:rsidR="00FF5E4F" w:rsidRPr="00933C28">
        <w:rPr>
          <w:rFonts w:ascii="Arial" w:hAnsi="Arial" w:cs="Arial"/>
          <w:sz w:val="24"/>
          <w:szCs w:val="24"/>
        </w:rPr>
        <w:t xml:space="preserve"> In a slight of hand</w:t>
      </w:r>
      <w:r w:rsidR="00B3775E" w:rsidRPr="00933C28">
        <w:rPr>
          <w:rFonts w:ascii="Arial" w:hAnsi="Arial" w:cs="Arial"/>
          <w:sz w:val="24"/>
          <w:szCs w:val="24"/>
        </w:rPr>
        <w:t>,</w:t>
      </w:r>
      <w:r w:rsidR="00FF5E4F" w:rsidRPr="00933C28">
        <w:rPr>
          <w:rFonts w:ascii="Arial" w:hAnsi="Arial" w:cs="Arial"/>
          <w:sz w:val="24"/>
          <w:szCs w:val="24"/>
        </w:rPr>
        <w:t xml:space="preserve"> only </w:t>
      </w:r>
      <w:r w:rsidR="005B6687" w:rsidRPr="00933C28">
        <w:rPr>
          <w:rFonts w:ascii="Arial" w:hAnsi="Arial" w:cs="Arial"/>
          <w:sz w:val="24"/>
          <w:szCs w:val="24"/>
        </w:rPr>
        <w:t>a Mr</w:t>
      </w:r>
      <w:r w:rsidR="00A624D7" w:rsidRPr="00933C28">
        <w:rPr>
          <w:rFonts w:ascii="Arial" w:hAnsi="Arial" w:cs="Arial"/>
          <w:sz w:val="24"/>
          <w:szCs w:val="24"/>
        </w:rPr>
        <w:t>.</w:t>
      </w:r>
      <w:r w:rsidR="005B6687" w:rsidRPr="00933C28">
        <w:rPr>
          <w:rFonts w:ascii="Arial" w:hAnsi="Arial" w:cs="Arial"/>
          <w:sz w:val="24"/>
          <w:szCs w:val="24"/>
        </w:rPr>
        <w:t xml:space="preserve"> Mafokate owned </w:t>
      </w:r>
      <w:r w:rsidR="00FF5E4F" w:rsidRPr="00933C28">
        <w:rPr>
          <w:rFonts w:ascii="Arial" w:hAnsi="Arial" w:cs="Arial"/>
          <w:sz w:val="24"/>
          <w:szCs w:val="24"/>
        </w:rPr>
        <w:t>Roadshow Marketing funded the project.</w:t>
      </w:r>
      <w:r w:rsidR="00B3775E" w:rsidRPr="00933C28">
        <w:rPr>
          <w:rFonts w:ascii="Arial" w:hAnsi="Arial" w:cs="Arial"/>
          <w:sz w:val="24"/>
          <w:szCs w:val="24"/>
        </w:rPr>
        <w:t xml:space="preserve"> </w:t>
      </w:r>
      <w:r w:rsidR="005B6687" w:rsidRPr="00933C28">
        <w:rPr>
          <w:rFonts w:ascii="Arial" w:hAnsi="Arial" w:cs="Arial"/>
          <w:sz w:val="24"/>
          <w:szCs w:val="24"/>
        </w:rPr>
        <w:t xml:space="preserve">The court is not told about what happened to the other service providers and who </w:t>
      </w:r>
      <w:r w:rsidR="00373410" w:rsidRPr="00933C28">
        <w:rPr>
          <w:rFonts w:ascii="Arial" w:hAnsi="Arial" w:cs="Arial"/>
          <w:sz w:val="24"/>
          <w:szCs w:val="24"/>
        </w:rPr>
        <w:t xml:space="preserve">these </w:t>
      </w:r>
      <w:r w:rsidR="005B6687" w:rsidRPr="00933C28">
        <w:rPr>
          <w:rFonts w:ascii="Arial" w:hAnsi="Arial" w:cs="Arial"/>
          <w:sz w:val="24"/>
          <w:szCs w:val="24"/>
        </w:rPr>
        <w:t>are</w:t>
      </w:r>
      <w:r w:rsidR="00B27625" w:rsidRPr="00933C28">
        <w:rPr>
          <w:rFonts w:ascii="Arial" w:hAnsi="Arial" w:cs="Arial"/>
          <w:sz w:val="24"/>
          <w:szCs w:val="24"/>
        </w:rPr>
        <w:t>.</w:t>
      </w:r>
      <w:r w:rsidR="0078740C" w:rsidRPr="00933C28">
        <w:rPr>
          <w:rFonts w:ascii="Arial" w:hAnsi="Arial" w:cs="Arial"/>
          <w:sz w:val="24"/>
          <w:szCs w:val="24"/>
        </w:rPr>
        <w:t xml:space="preserve"> </w:t>
      </w:r>
      <w:r w:rsidR="00F004A6" w:rsidRPr="00933C28">
        <w:rPr>
          <w:rFonts w:ascii="Arial" w:hAnsi="Arial" w:cs="Arial"/>
          <w:sz w:val="24"/>
          <w:szCs w:val="24"/>
        </w:rPr>
        <w:t>It is</w:t>
      </w:r>
      <w:r w:rsidR="0078740C" w:rsidRPr="00933C28">
        <w:rPr>
          <w:rFonts w:ascii="Arial" w:hAnsi="Arial" w:cs="Arial"/>
          <w:sz w:val="24"/>
          <w:szCs w:val="24"/>
        </w:rPr>
        <w:t xml:space="preserve"> further stated that: “No other service provider would have agreed to do this work at risk.”</w:t>
      </w:r>
      <w:r w:rsidR="00F004A6" w:rsidRPr="00933C28">
        <w:rPr>
          <w:rStyle w:val="FootnoteReference"/>
          <w:rFonts w:ascii="Arial" w:hAnsi="Arial" w:cs="Arial"/>
          <w:sz w:val="24"/>
          <w:szCs w:val="24"/>
        </w:rPr>
        <w:footnoteReference w:id="22"/>
      </w:r>
      <w:r w:rsidR="00373410" w:rsidRPr="00933C28">
        <w:rPr>
          <w:rFonts w:ascii="Arial" w:hAnsi="Arial" w:cs="Arial"/>
          <w:sz w:val="24"/>
          <w:szCs w:val="24"/>
        </w:rPr>
        <w:t>As foreshadowed</w:t>
      </w:r>
      <w:r w:rsidR="00373410" w:rsidRPr="00933C28">
        <w:rPr>
          <w:rFonts w:ascii="Arial" w:hAnsi="Arial" w:cs="Arial"/>
          <w:i/>
          <w:iCs/>
          <w:sz w:val="24"/>
          <w:szCs w:val="24"/>
        </w:rPr>
        <w:t xml:space="preserve"> supra</w:t>
      </w:r>
      <w:r w:rsidR="00373410" w:rsidRPr="00933C28">
        <w:rPr>
          <w:rFonts w:ascii="Arial" w:hAnsi="Arial" w:cs="Arial"/>
          <w:sz w:val="24"/>
          <w:szCs w:val="24"/>
        </w:rPr>
        <w:t xml:space="preserve"> under</w:t>
      </w:r>
      <w:r w:rsidR="007F2F3D" w:rsidRPr="00933C28">
        <w:rPr>
          <w:rFonts w:ascii="Arial" w:hAnsi="Arial" w:cs="Arial"/>
          <w:sz w:val="24"/>
          <w:szCs w:val="24"/>
        </w:rPr>
        <w:t xml:space="preserve"> P</w:t>
      </w:r>
      <w:r w:rsidR="00B27625" w:rsidRPr="00933C28">
        <w:rPr>
          <w:rFonts w:ascii="Arial" w:hAnsi="Arial" w:cs="Arial"/>
          <w:sz w:val="24"/>
          <w:szCs w:val="24"/>
        </w:rPr>
        <w:t>rocurement</w:t>
      </w:r>
      <w:r w:rsidR="007F2F3D" w:rsidRPr="00933C28">
        <w:rPr>
          <w:rFonts w:ascii="Arial" w:hAnsi="Arial" w:cs="Arial"/>
          <w:sz w:val="24"/>
          <w:szCs w:val="24"/>
        </w:rPr>
        <w:t xml:space="preserve"> 8</w:t>
      </w:r>
      <w:r w:rsidR="00557F66" w:rsidRPr="00933C28">
        <w:rPr>
          <w:rFonts w:ascii="Arial" w:hAnsi="Arial" w:cs="Arial"/>
          <w:sz w:val="24"/>
          <w:szCs w:val="24"/>
        </w:rPr>
        <w:t>,</w:t>
      </w:r>
      <w:r w:rsidR="007F2F3D" w:rsidRPr="00933C28">
        <w:rPr>
          <w:rFonts w:ascii="Arial" w:hAnsi="Arial" w:cs="Arial"/>
          <w:sz w:val="24"/>
          <w:szCs w:val="24"/>
        </w:rPr>
        <w:t xml:space="preserve"> SAADA</w:t>
      </w:r>
      <w:r w:rsidR="00557F66" w:rsidRPr="00933C28">
        <w:rPr>
          <w:rFonts w:ascii="Arial" w:hAnsi="Arial" w:cs="Arial"/>
          <w:sz w:val="24"/>
          <w:szCs w:val="24"/>
        </w:rPr>
        <w:t xml:space="preserve"> </w:t>
      </w:r>
      <w:r w:rsidR="007F2F3D" w:rsidRPr="00933C28">
        <w:rPr>
          <w:rFonts w:ascii="Arial" w:hAnsi="Arial" w:cs="Arial"/>
          <w:sz w:val="24"/>
          <w:szCs w:val="24"/>
        </w:rPr>
        <w:t xml:space="preserve">is </w:t>
      </w:r>
      <w:r w:rsidR="00557F66" w:rsidRPr="00933C28">
        <w:rPr>
          <w:rFonts w:ascii="Arial" w:hAnsi="Arial" w:cs="Arial"/>
          <w:sz w:val="24"/>
          <w:szCs w:val="24"/>
        </w:rPr>
        <w:t>warn</w:t>
      </w:r>
      <w:r w:rsidR="007F2F3D" w:rsidRPr="00933C28">
        <w:rPr>
          <w:rFonts w:ascii="Arial" w:hAnsi="Arial" w:cs="Arial"/>
          <w:sz w:val="24"/>
          <w:szCs w:val="24"/>
        </w:rPr>
        <w:t>ed</w:t>
      </w:r>
      <w:r w:rsidR="00557F66" w:rsidRPr="00933C28">
        <w:rPr>
          <w:rFonts w:ascii="Arial" w:hAnsi="Arial" w:cs="Arial"/>
          <w:sz w:val="24"/>
          <w:szCs w:val="24"/>
        </w:rPr>
        <w:t xml:space="preserve"> against fraud</w:t>
      </w:r>
      <w:r w:rsidR="00A217F3" w:rsidRPr="00933C28">
        <w:rPr>
          <w:rFonts w:ascii="Arial" w:hAnsi="Arial" w:cs="Arial"/>
          <w:sz w:val="24"/>
          <w:szCs w:val="24"/>
        </w:rPr>
        <w:t>,</w:t>
      </w:r>
      <w:r w:rsidR="00557F66" w:rsidRPr="00933C28">
        <w:rPr>
          <w:rFonts w:ascii="Arial" w:hAnsi="Arial" w:cs="Arial"/>
          <w:sz w:val="24"/>
          <w:szCs w:val="24"/>
        </w:rPr>
        <w:t xml:space="preserve"> corruption</w:t>
      </w:r>
      <w:r w:rsidR="00A217F3" w:rsidRPr="00933C28">
        <w:rPr>
          <w:rFonts w:ascii="Arial" w:hAnsi="Arial" w:cs="Arial"/>
          <w:sz w:val="24"/>
          <w:szCs w:val="24"/>
        </w:rPr>
        <w:t xml:space="preserve"> and conflict of interest</w:t>
      </w:r>
      <w:r w:rsidR="00557F66" w:rsidRPr="00933C28">
        <w:rPr>
          <w:rFonts w:ascii="Arial" w:hAnsi="Arial" w:cs="Arial"/>
          <w:sz w:val="24"/>
          <w:szCs w:val="24"/>
        </w:rPr>
        <w:t xml:space="preserve">, in particular </w:t>
      </w:r>
      <w:r w:rsidR="00412310" w:rsidRPr="00933C28">
        <w:rPr>
          <w:rFonts w:ascii="Arial" w:hAnsi="Arial" w:cs="Arial"/>
          <w:sz w:val="24"/>
          <w:szCs w:val="24"/>
        </w:rPr>
        <w:t xml:space="preserve">under </w:t>
      </w:r>
      <w:r w:rsidR="00B27625" w:rsidRPr="00933C28">
        <w:rPr>
          <w:rFonts w:ascii="Arial" w:hAnsi="Arial" w:cs="Arial"/>
          <w:sz w:val="24"/>
          <w:szCs w:val="24"/>
        </w:rPr>
        <w:t>(c)</w:t>
      </w:r>
      <w:r w:rsidR="00557F66" w:rsidRPr="00933C28">
        <w:rPr>
          <w:rFonts w:ascii="Arial" w:hAnsi="Arial" w:cs="Arial"/>
          <w:sz w:val="24"/>
          <w:szCs w:val="24"/>
        </w:rPr>
        <w:t xml:space="preserve">, </w:t>
      </w:r>
      <w:r w:rsidR="00B27625" w:rsidRPr="00933C28">
        <w:rPr>
          <w:rFonts w:ascii="Arial" w:hAnsi="Arial" w:cs="Arial"/>
          <w:sz w:val="24"/>
          <w:szCs w:val="24"/>
        </w:rPr>
        <w:t>(d)</w:t>
      </w:r>
      <w:r w:rsidR="00557F66" w:rsidRPr="00933C28">
        <w:rPr>
          <w:rFonts w:ascii="Arial" w:hAnsi="Arial" w:cs="Arial"/>
          <w:sz w:val="24"/>
          <w:szCs w:val="24"/>
        </w:rPr>
        <w:t xml:space="preserve"> and (e)</w:t>
      </w:r>
      <w:r w:rsidR="00A217F3" w:rsidRPr="00933C28">
        <w:rPr>
          <w:rFonts w:ascii="Arial" w:hAnsi="Arial" w:cs="Arial"/>
          <w:sz w:val="24"/>
          <w:szCs w:val="24"/>
        </w:rPr>
        <w:t>.</w:t>
      </w:r>
      <w:r w:rsidR="00F32830" w:rsidRPr="00933C28">
        <w:rPr>
          <w:rFonts w:ascii="Arial" w:hAnsi="Arial" w:cs="Arial"/>
          <w:sz w:val="24"/>
          <w:szCs w:val="24"/>
        </w:rPr>
        <w:t xml:space="preserve"> Unfortunately, it was not heeded</w:t>
      </w:r>
      <w:r w:rsidR="004D390E" w:rsidRPr="00933C28">
        <w:rPr>
          <w:rFonts w:ascii="Arial" w:hAnsi="Arial" w:cs="Arial"/>
          <w:sz w:val="24"/>
          <w:szCs w:val="24"/>
        </w:rPr>
        <w:t>.</w:t>
      </w:r>
      <w:r w:rsidR="00B27625" w:rsidRPr="00933C28">
        <w:rPr>
          <w:rFonts w:ascii="Arial" w:hAnsi="Arial" w:cs="Arial"/>
          <w:sz w:val="24"/>
          <w:szCs w:val="24"/>
        </w:rPr>
        <w:t xml:space="preserve"> </w:t>
      </w:r>
    </w:p>
    <w:p w14:paraId="1363BF53" w14:textId="77777777" w:rsidR="009D4406" w:rsidRPr="00933C28" w:rsidRDefault="009D4406" w:rsidP="00722566">
      <w:pPr>
        <w:pStyle w:val="ListParagraph"/>
        <w:spacing w:line="360" w:lineRule="auto"/>
        <w:rPr>
          <w:rFonts w:ascii="Arial" w:hAnsi="Arial" w:cs="Arial"/>
          <w:sz w:val="24"/>
          <w:szCs w:val="24"/>
        </w:rPr>
      </w:pPr>
    </w:p>
    <w:p w14:paraId="3803BB88" w14:textId="13BF06D2" w:rsidR="00313904" w:rsidRDefault="007E3027" w:rsidP="00722566">
      <w:pPr>
        <w:pStyle w:val="ListParagraph"/>
        <w:spacing w:line="360" w:lineRule="auto"/>
        <w:ind w:left="0"/>
        <w:jc w:val="both"/>
        <w:rPr>
          <w:rFonts w:ascii="Arial" w:hAnsi="Arial" w:cs="Arial"/>
          <w:sz w:val="24"/>
          <w:szCs w:val="24"/>
        </w:rPr>
      </w:pPr>
      <w:r>
        <w:rPr>
          <w:rFonts w:ascii="Arial" w:hAnsi="Arial" w:cs="Arial"/>
          <w:sz w:val="24"/>
          <w:szCs w:val="24"/>
        </w:rPr>
        <w:t>[3</w:t>
      </w:r>
      <w:r w:rsidR="00F577AF">
        <w:rPr>
          <w:rFonts w:ascii="Arial" w:hAnsi="Arial" w:cs="Arial"/>
          <w:sz w:val="24"/>
          <w:szCs w:val="24"/>
        </w:rPr>
        <w:t>0</w:t>
      </w:r>
      <w:r>
        <w:rPr>
          <w:rFonts w:ascii="Arial" w:hAnsi="Arial" w:cs="Arial"/>
          <w:sz w:val="24"/>
          <w:szCs w:val="24"/>
        </w:rPr>
        <w:t>]</w:t>
      </w:r>
      <w:r>
        <w:rPr>
          <w:rFonts w:ascii="Arial" w:hAnsi="Arial" w:cs="Arial"/>
          <w:sz w:val="24"/>
          <w:szCs w:val="24"/>
        </w:rPr>
        <w:tab/>
      </w:r>
      <w:r w:rsidR="00A217F3" w:rsidRPr="00933C28">
        <w:rPr>
          <w:rFonts w:ascii="Arial" w:hAnsi="Arial" w:cs="Arial"/>
          <w:sz w:val="24"/>
          <w:szCs w:val="24"/>
        </w:rPr>
        <w:t>Interestingly, counsel did not want to deal with the first tranche of R4 650 000.00</w:t>
      </w:r>
      <w:r w:rsidR="00926EC4" w:rsidRPr="00933C28">
        <w:rPr>
          <w:rFonts w:ascii="Arial" w:hAnsi="Arial" w:cs="Arial"/>
          <w:sz w:val="24"/>
          <w:szCs w:val="24"/>
        </w:rPr>
        <w:t>, submitting that the case before them is about the second tranche. As a result</w:t>
      </w:r>
      <w:r w:rsidR="00DC7BC4" w:rsidRPr="00933C28">
        <w:rPr>
          <w:rFonts w:ascii="Arial" w:hAnsi="Arial" w:cs="Arial"/>
          <w:sz w:val="24"/>
          <w:szCs w:val="24"/>
        </w:rPr>
        <w:t xml:space="preserve">, </w:t>
      </w:r>
      <w:r w:rsidR="00926EC4" w:rsidRPr="00933C28">
        <w:rPr>
          <w:rFonts w:ascii="Arial" w:hAnsi="Arial" w:cs="Arial"/>
          <w:sz w:val="24"/>
          <w:szCs w:val="24"/>
        </w:rPr>
        <w:t xml:space="preserve">this court is none the wiser about what happened to the </w:t>
      </w:r>
      <w:r w:rsidR="00412310" w:rsidRPr="00933C28">
        <w:rPr>
          <w:rFonts w:ascii="Arial" w:hAnsi="Arial" w:cs="Arial"/>
          <w:sz w:val="24"/>
          <w:szCs w:val="24"/>
        </w:rPr>
        <w:t xml:space="preserve">first </w:t>
      </w:r>
      <w:r w:rsidR="00926EC4" w:rsidRPr="00933C28">
        <w:rPr>
          <w:rFonts w:ascii="Arial" w:hAnsi="Arial" w:cs="Arial"/>
          <w:sz w:val="24"/>
          <w:szCs w:val="24"/>
        </w:rPr>
        <w:t>R4.6</w:t>
      </w:r>
      <w:r w:rsidR="00412310" w:rsidRPr="00933C28">
        <w:rPr>
          <w:rFonts w:ascii="Arial" w:hAnsi="Arial" w:cs="Arial"/>
          <w:sz w:val="24"/>
          <w:szCs w:val="24"/>
        </w:rPr>
        <w:t>5</w:t>
      </w:r>
      <w:r w:rsidR="00926EC4" w:rsidRPr="00933C28">
        <w:rPr>
          <w:rFonts w:ascii="Arial" w:hAnsi="Arial" w:cs="Arial"/>
          <w:sz w:val="24"/>
          <w:szCs w:val="24"/>
        </w:rPr>
        <w:t xml:space="preserve"> million.</w:t>
      </w:r>
      <w:r w:rsidR="00981E28" w:rsidRPr="00933C28">
        <w:rPr>
          <w:rFonts w:ascii="Arial" w:hAnsi="Arial" w:cs="Arial"/>
          <w:sz w:val="24"/>
          <w:szCs w:val="24"/>
        </w:rPr>
        <w:t xml:space="preserve"> The purpose of </w:t>
      </w:r>
      <w:r w:rsidR="007D18DF" w:rsidRPr="00933C28">
        <w:rPr>
          <w:rFonts w:ascii="Arial" w:hAnsi="Arial" w:cs="Arial"/>
          <w:sz w:val="24"/>
          <w:szCs w:val="24"/>
        </w:rPr>
        <w:t xml:space="preserve">a </w:t>
      </w:r>
      <w:r w:rsidR="00981E28" w:rsidRPr="00933C28">
        <w:rPr>
          <w:rFonts w:ascii="Arial" w:hAnsi="Arial" w:cs="Arial"/>
          <w:sz w:val="24"/>
          <w:szCs w:val="24"/>
        </w:rPr>
        <w:t>reconsideration is to give the respondent an</w:t>
      </w:r>
      <w:r w:rsidR="00276FA9" w:rsidRPr="00933C28">
        <w:rPr>
          <w:rFonts w:ascii="Arial" w:hAnsi="Arial" w:cs="Arial"/>
          <w:i/>
          <w:iCs/>
          <w:sz w:val="24"/>
          <w:szCs w:val="24"/>
        </w:rPr>
        <w:t xml:space="preserve"> audi alteram partem</w:t>
      </w:r>
      <w:r w:rsidR="006B6798" w:rsidRPr="00933C28">
        <w:rPr>
          <w:rFonts w:ascii="Arial" w:hAnsi="Arial" w:cs="Arial"/>
          <w:i/>
          <w:iCs/>
          <w:sz w:val="24"/>
          <w:szCs w:val="24"/>
        </w:rPr>
        <w:t>,</w:t>
      </w:r>
      <w:r w:rsidR="00276FA9" w:rsidRPr="00933C28">
        <w:rPr>
          <w:rFonts w:ascii="Arial" w:hAnsi="Arial" w:cs="Arial"/>
          <w:sz w:val="24"/>
          <w:szCs w:val="24"/>
        </w:rPr>
        <w:t xml:space="preserve"> which is now encapsulated under section 34 of the Constitution</w:t>
      </w:r>
      <w:r w:rsidR="006B6798" w:rsidRPr="00933C28">
        <w:rPr>
          <w:rFonts w:ascii="Arial" w:hAnsi="Arial" w:cs="Arial"/>
          <w:sz w:val="24"/>
          <w:szCs w:val="24"/>
        </w:rPr>
        <w:t>,</w:t>
      </w:r>
      <w:r w:rsidR="00981E28" w:rsidRPr="00933C28">
        <w:rPr>
          <w:rFonts w:ascii="Arial" w:hAnsi="Arial" w:cs="Arial"/>
          <w:sz w:val="24"/>
          <w:szCs w:val="24"/>
        </w:rPr>
        <w:t xml:space="preserve"> to air its side of the story</w:t>
      </w:r>
      <w:r w:rsidR="007D18DF" w:rsidRPr="00933C28">
        <w:rPr>
          <w:rFonts w:ascii="Arial" w:hAnsi="Arial" w:cs="Arial"/>
          <w:sz w:val="24"/>
          <w:szCs w:val="24"/>
        </w:rPr>
        <w:t xml:space="preserve"> fully</w:t>
      </w:r>
      <w:r w:rsidR="00981E28" w:rsidRPr="00933C28">
        <w:rPr>
          <w:rFonts w:ascii="Arial" w:hAnsi="Arial" w:cs="Arial"/>
          <w:sz w:val="24"/>
          <w:szCs w:val="24"/>
        </w:rPr>
        <w:t>.</w:t>
      </w:r>
      <w:r w:rsidR="007D18DF" w:rsidRPr="00933C28">
        <w:rPr>
          <w:rFonts w:ascii="Arial" w:hAnsi="Arial" w:cs="Arial"/>
          <w:sz w:val="24"/>
          <w:szCs w:val="24"/>
        </w:rPr>
        <w:t xml:space="preserve"> </w:t>
      </w:r>
      <w:r w:rsidR="00EF7A3C">
        <w:rPr>
          <w:rFonts w:ascii="Arial" w:hAnsi="Arial" w:cs="Arial"/>
          <w:sz w:val="24"/>
          <w:szCs w:val="24"/>
        </w:rPr>
        <w:t xml:space="preserve">In </w:t>
      </w:r>
      <w:r w:rsidR="00EF7A3C" w:rsidRPr="00313904">
        <w:rPr>
          <w:rFonts w:ascii="Arial" w:hAnsi="Arial" w:cs="Arial"/>
          <w:i/>
          <w:iCs/>
          <w:sz w:val="24"/>
          <w:szCs w:val="24"/>
        </w:rPr>
        <w:t>De Beers NO v North</w:t>
      </w:r>
      <w:r w:rsidR="00313904" w:rsidRPr="00313904">
        <w:rPr>
          <w:rFonts w:ascii="Arial" w:hAnsi="Arial" w:cs="Arial"/>
          <w:i/>
          <w:iCs/>
          <w:sz w:val="24"/>
          <w:szCs w:val="24"/>
        </w:rPr>
        <w:t>-</w:t>
      </w:r>
      <w:r w:rsidR="00EF7A3C" w:rsidRPr="00313904">
        <w:rPr>
          <w:rFonts w:ascii="Arial" w:hAnsi="Arial" w:cs="Arial"/>
          <w:i/>
          <w:iCs/>
          <w:sz w:val="24"/>
          <w:szCs w:val="24"/>
        </w:rPr>
        <w:t xml:space="preserve">Central Local Council and </w:t>
      </w:r>
      <w:r w:rsidR="00313904" w:rsidRPr="00313904">
        <w:rPr>
          <w:rFonts w:ascii="Arial" w:hAnsi="Arial" w:cs="Arial"/>
          <w:i/>
          <w:iCs/>
          <w:sz w:val="24"/>
          <w:szCs w:val="24"/>
        </w:rPr>
        <w:t>South-Central</w:t>
      </w:r>
      <w:r w:rsidR="00EF7A3C" w:rsidRPr="00313904">
        <w:rPr>
          <w:rFonts w:ascii="Arial" w:hAnsi="Arial" w:cs="Arial"/>
          <w:i/>
          <w:iCs/>
          <w:sz w:val="24"/>
          <w:szCs w:val="24"/>
        </w:rPr>
        <w:t xml:space="preserve"> Local Council and Others</w:t>
      </w:r>
      <w:r w:rsidR="00EF7A3C">
        <w:rPr>
          <w:rFonts w:ascii="Arial" w:hAnsi="Arial" w:cs="Arial"/>
          <w:sz w:val="24"/>
          <w:szCs w:val="24"/>
        </w:rPr>
        <w:t>,</w:t>
      </w:r>
      <w:r w:rsidR="00313904">
        <w:rPr>
          <w:rStyle w:val="FootnoteReference"/>
          <w:rFonts w:ascii="Arial" w:hAnsi="Arial" w:cs="Arial"/>
          <w:sz w:val="24"/>
          <w:szCs w:val="24"/>
        </w:rPr>
        <w:footnoteReference w:id="23"/>
      </w:r>
      <w:r w:rsidR="00EF7A3C">
        <w:rPr>
          <w:rFonts w:ascii="Arial" w:hAnsi="Arial" w:cs="Arial"/>
          <w:sz w:val="24"/>
          <w:szCs w:val="24"/>
        </w:rPr>
        <w:t xml:space="preserve"> it was stated that</w:t>
      </w:r>
      <w:r w:rsidR="00313904">
        <w:rPr>
          <w:rFonts w:ascii="Arial" w:hAnsi="Arial" w:cs="Arial"/>
          <w:sz w:val="24"/>
          <w:szCs w:val="24"/>
        </w:rPr>
        <w:t>:</w:t>
      </w:r>
    </w:p>
    <w:p w14:paraId="54E775F0" w14:textId="0C744AA6" w:rsidR="00313904" w:rsidRPr="00313904" w:rsidRDefault="00313904" w:rsidP="00313904">
      <w:pPr>
        <w:pStyle w:val="ListParagraph"/>
        <w:spacing w:line="360" w:lineRule="auto"/>
        <w:jc w:val="both"/>
        <w:rPr>
          <w:rFonts w:ascii="Arial" w:hAnsi="Arial" w:cs="Arial"/>
          <w:color w:val="242121"/>
          <w:shd w:val="clear" w:color="auto" w:fill="FFFFFF"/>
        </w:rPr>
      </w:pPr>
      <w:r w:rsidRPr="00313904">
        <w:rPr>
          <w:rFonts w:ascii="Arial" w:hAnsi="Arial" w:cs="Arial"/>
        </w:rPr>
        <w:t>“</w:t>
      </w:r>
      <w:r w:rsidR="00EF7A3C" w:rsidRPr="00313904">
        <w:rPr>
          <w:rFonts w:ascii="Arial" w:hAnsi="Arial" w:cs="Arial"/>
          <w:color w:val="242121"/>
          <w:shd w:val="clear" w:color="auto" w:fill="FFFFFF"/>
        </w:rPr>
        <w:t>It is a crucial aspect of the rule of law that court orders should not be made without affording the other side a reasonable opportunity to state their case.</w:t>
      </w:r>
      <w:r w:rsidRPr="00313904">
        <w:rPr>
          <w:rFonts w:ascii="Arial" w:hAnsi="Arial" w:cs="Arial"/>
          <w:color w:val="242121"/>
          <w:shd w:val="clear" w:color="auto" w:fill="FFFFFF"/>
        </w:rPr>
        <w:t>”</w:t>
      </w:r>
      <w:r>
        <w:rPr>
          <w:rStyle w:val="FootnoteReference"/>
          <w:rFonts w:ascii="Arial" w:hAnsi="Arial" w:cs="Arial"/>
          <w:color w:val="242121"/>
          <w:shd w:val="clear" w:color="auto" w:fill="FFFFFF"/>
        </w:rPr>
        <w:footnoteReference w:id="24"/>
      </w:r>
    </w:p>
    <w:p w14:paraId="10F167F6" w14:textId="77777777" w:rsidR="00313904" w:rsidRDefault="00313904" w:rsidP="00722566">
      <w:pPr>
        <w:pStyle w:val="ListParagraph"/>
        <w:spacing w:line="360" w:lineRule="auto"/>
        <w:ind w:left="0"/>
        <w:jc w:val="both"/>
        <w:rPr>
          <w:rFonts w:ascii="Verdana" w:hAnsi="Verdana"/>
          <w:color w:val="242121"/>
          <w:sz w:val="26"/>
          <w:szCs w:val="26"/>
          <w:shd w:val="clear" w:color="auto" w:fill="FFFFFF"/>
        </w:rPr>
      </w:pPr>
    </w:p>
    <w:p w14:paraId="524F6188" w14:textId="0AFBC623" w:rsidR="00F43AE4" w:rsidRPr="00933C28" w:rsidRDefault="00BB5B16" w:rsidP="00722566">
      <w:pPr>
        <w:pStyle w:val="ListParagraph"/>
        <w:spacing w:line="360" w:lineRule="auto"/>
        <w:ind w:left="0"/>
        <w:jc w:val="both"/>
        <w:rPr>
          <w:rFonts w:ascii="Arial" w:hAnsi="Arial" w:cs="Arial"/>
          <w:sz w:val="24"/>
          <w:szCs w:val="24"/>
        </w:rPr>
      </w:pPr>
      <w:r w:rsidRPr="00BB5B16">
        <w:rPr>
          <w:rFonts w:ascii="Arial" w:hAnsi="Arial" w:cs="Arial"/>
          <w:color w:val="242121"/>
          <w:sz w:val="24"/>
          <w:szCs w:val="24"/>
          <w:shd w:val="clear" w:color="auto" w:fill="FFFFFF"/>
        </w:rPr>
        <w:lastRenderedPageBreak/>
        <w:t>[3</w:t>
      </w:r>
      <w:r w:rsidR="00F577AF">
        <w:rPr>
          <w:rFonts w:ascii="Arial" w:hAnsi="Arial" w:cs="Arial"/>
          <w:color w:val="242121"/>
          <w:sz w:val="24"/>
          <w:szCs w:val="24"/>
          <w:shd w:val="clear" w:color="auto" w:fill="FFFFFF"/>
        </w:rPr>
        <w:t>1</w:t>
      </w:r>
      <w:r w:rsidRPr="00BB5B16">
        <w:rPr>
          <w:rFonts w:ascii="Arial" w:hAnsi="Arial" w:cs="Arial"/>
          <w:color w:val="242121"/>
          <w:sz w:val="24"/>
          <w:szCs w:val="24"/>
          <w:shd w:val="clear" w:color="auto" w:fill="FFFFFF"/>
        </w:rPr>
        <w:t>]</w:t>
      </w:r>
      <w:r>
        <w:rPr>
          <w:rFonts w:ascii="Verdana" w:hAnsi="Verdana"/>
          <w:color w:val="242121"/>
          <w:sz w:val="26"/>
          <w:szCs w:val="26"/>
          <w:shd w:val="clear" w:color="auto" w:fill="FFFFFF"/>
        </w:rPr>
        <w:tab/>
      </w:r>
      <w:r w:rsidR="007D18DF" w:rsidRPr="00933C28">
        <w:rPr>
          <w:rFonts w:ascii="Arial" w:hAnsi="Arial" w:cs="Arial"/>
          <w:sz w:val="24"/>
          <w:szCs w:val="24"/>
        </w:rPr>
        <w:t>The respondent</w:t>
      </w:r>
      <w:r w:rsidR="00A77C2F" w:rsidRPr="00933C28">
        <w:rPr>
          <w:rFonts w:ascii="Arial" w:hAnsi="Arial" w:cs="Arial"/>
          <w:sz w:val="24"/>
          <w:szCs w:val="24"/>
        </w:rPr>
        <w:t>’s version</w:t>
      </w:r>
      <w:r w:rsidR="007D18DF" w:rsidRPr="00933C28">
        <w:rPr>
          <w:rFonts w:ascii="Arial" w:hAnsi="Arial" w:cs="Arial"/>
          <w:sz w:val="24"/>
          <w:szCs w:val="24"/>
        </w:rPr>
        <w:t xml:space="preserve"> </w:t>
      </w:r>
      <w:r w:rsidR="00A77C2F" w:rsidRPr="00933C28">
        <w:rPr>
          <w:rFonts w:ascii="Arial" w:hAnsi="Arial" w:cs="Arial"/>
          <w:sz w:val="24"/>
          <w:szCs w:val="24"/>
        </w:rPr>
        <w:t>leaves this court with more questions than answer</w:t>
      </w:r>
      <w:r w:rsidR="004D390E" w:rsidRPr="00933C28">
        <w:rPr>
          <w:rFonts w:ascii="Arial" w:hAnsi="Arial" w:cs="Arial"/>
          <w:sz w:val="24"/>
          <w:szCs w:val="24"/>
        </w:rPr>
        <w:t>s</w:t>
      </w:r>
      <w:r w:rsidR="00A77C2F" w:rsidRPr="00933C28">
        <w:rPr>
          <w:rFonts w:ascii="Arial" w:hAnsi="Arial" w:cs="Arial"/>
          <w:sz w:val="24"/>
          <w:szCs w:val="24"/>
        </w:rPr>
        <w:t>. Indeed</w:t>
      </w:r>
      <w:r w:rsidR="00981E28" w:rsidRPr="00933C28">
        <w:rPr>
          <w:rFonts w:ascii="Arial" w:hAnsi="Arial" w:cs="Arial"/>
          <w:sz w:val="24"/>
          <w:szCs w:val="24"/>
        </w:rPr>
        <w:t xml:space="preserve">, this court is left with reasonable </w:t>
      </w:r>
      <w:r w:rsidR="000F3343" w:rsidRPr="00933C28">
        <w:rPr>
          <w:rFonts w:ascii="Arial" w:hAnsi="Arial" w:cs="Arial"/>
          <w:sz w:val="24"/>
          <w:szCs w:val="24"/>
        </w:rPr>
        <w:t>grounds to believe that the property was the proceeds of unlawful activities.</w:t>
      </w:r>
      <w:r w:rsidR="00875BF5" w:rsidRPr="00933C28">
        <w:rPr>
          <w:rFonts w:ascii="Arial" w:hAnsi="Arial" w:cs="Arial"/>
          <w:sz w:val="24"/>
          <w:szCs w:val="24"/>
        </w:rPr>
        <w:t xml:space="preserve">  </w:t>
      </w:r>
      <w:r w:rsidR="00A77C2F" w:rsidRPr="00933C28">
        <w:rPr>
          <w:rFonts w:ascii="Arial" w:hAnsi="Arial" w:cs="Arial"/>
          <w:sz w:val="24"/>
          <w:szCs w:val="24"/>
        </w:rPr>
        <w:t>It also did not help that c</w:t>
      </w:r>
      <w:r w:rsidR="008D54FE" w:rsidRPr="00933C28">
        <w:rPr>
          <w:rFonts w:ascii="Arial" w:hAnsi="Arial" w:cs="Arial"/>
          <w:sz w:val="24"/>
          <w:szCs w:val="24"/>
        </w:rPr>
        <w:t>ounsel submitted that it</w:t>
      </w:r>
      <w:r w:rsidR="00CA1B9A" w:rsidRPr="00933C28">
        <w:rPr>
          <w:rFonts w:ascii="Arial" w:hAnsi="Arial" w:cs="Arial"/>
          <w:sz w:val="24"/>
          <w:szCs w:val="24"/>
        </w:rPr>
        <w:t xml:space="preserve"> is</w:t>
      </w:r>
      <w:r w:rsidR="008D54FE" w:rsidRPr="00933C28">
        <w:rPr>
          <w:rFonts w:ascii="Arial" w:hAnsi="Arial" w:cs="Arial"/>
          <w:sz w:val="24"/>
          <w:szCs w:val="24"/>
        </w:rPr>
        <w:t xml:space="preserve"> 8 years </w:t>
      </w:r>
      <w:r w:rsidR="00412310" w:rsidRPr="00933C28">
        <w:rPr>
          <w:rFonts w:ascii="Arial" w:hAnsi="Arial" w:cs="Arial"/>
          <w:sz w:val="24"/>
          <w:szCs w:val="24"/>
        </w:rPr>
        <w:t>later,</w:t>
      </w:r>
      <w:r w:rsidR="008D54FE" w:rsidRPr="00933C28">
        <w:rPr>
          <w:rFonts w:ascii="Arial" w:hAnsi="Arial" w:cs="Arial"/>
          <w:sz w:val="24"/>
          <w:szCs w:val="24"/>
        </w:rPr>
        <w:t xml:space="preserve"> and </w:t>
      </w:r>
      <w:r w:rsidR="001244AB" w:rsidRPr="00933C28">
        <w:rPr>
          <w:rFonts w:ascii="Arial" w:hAnsi="Arial" w:cs="Arial"/>
          <w:sz w:val="24"/>
          <w:szCs w:val="24"/>
        </w:rPr>
        <w:t>t</w:t>
      </w:r>
      <w:r w:rsidR="008D54FE" w:rsidRPr="00933C28">
        <w:rPr>
          <w:rFonts w:ascii="Arial" w:hAnsi="Arial" w:cs="Arial"/>
          <w:sz w:val="24"/>
          <w:szCs w:val="24"/>
        </w:rPr>
        <w:t xml:space="preserve">he </w:t>
      </w:r>
      <w:r w:rsidR="001244AB" w:rsidRPr="00933C28">
        <w:rPr>
          <w:rFonts w:ascii="Arial" w:hAnsi="Arial" w:cs="Arial"/>
          <w:sz w:val="24"/>
          <w:szCs w:val="24"/>
        </w:rPr>
        <w:t xml:space="preserve">respondent </w:t>
      </w:r>
      <w:r w:rsidR="008D54FE" w:rsidRPr="00933C28">
        <w:rPr>
          <w:rFonts w:ascii="Arial" w:hAnsi="Arial" w:cs="Arial"/>
          <w:sz w:val="24"/>
          <w:szCs w:val="24"/>
        </w:rPr>
        <w:t>got together what</w:t>
      </w:r>
      <w:r w:rsidR="001244AB" w:rsidRPr="00933C28">
        <w:rPr>
          <w:rFonts w:ascii="Arial" w:hAnsi="Arial" w:cs="Arial"/>
          <w:sz w:val="24"/>
          <w:szCs w:val="24"/>
        </w:rPr>
        <w:t xml:space="preserve"> it</w:t>
      </w:r>
      <w:r w:rsidR="008D54FE" w:rsidRPr="00933C28">
        <w:rPr>
          <w:rFonts w:ascii="Arial" w:hAnsi="Arial" w:cs="Arial"/>
          <w:sz w:val="24"/>
          <w:szCs w:val="24"/>
        </w:rPr>
        <w:t xml:space="preserve"> could.</w:t>
      </w:r>
      <w:r w:rsidR="00ED342A" w:rsidRPr="00933C28">
        <w:rPr>
          <w:rFonts w:ascii="Arial" w:hAnsi="Arial" w:cs="Arial"/>
          <w:sz w:val="24"/>
          <w:szCs w:val="24"/>
        </w:rPr>
        <w:t xml:space="preserve"> </w:t>
      </w:r>
    </w:p>
    <w:p w14:paraId="4A5D7626" w14:textId="77777777" w:rsidR="00F43AE4" w:rsidRPr="00933C28" w:rsidRDefault="00F43AE4" w:rsidP="00722566">
      <w:pPr>
        <w:pStyle w:val="ListParagraph"/>
        <w:spacing w:line="360" w:lineRule="auto"/>
        <w:rPr>
          <w:rFonts w:ascii="Arial" w:hAnsi="Arial" w:cs="Arial"/>
          <w:sz w:val="24"/>
          <w:szCs w:val="24"/>
        </w:rPr>
      </w:pPr>
    </w:p>
    <w:p w14:paraId="5AAB35F8" w14:textId="568C7C06" w:rsidR="00FD30A9" w:rsidRPr="00933C28" w:rsidRDefault="007E3027" w:rsidP="00BC5FBE">
      <w:pPr>
        <w:pStyle w:val="ListParagraph"/>
        <w:spacing w:after="0" w:line="360" w:lineRule="auto"/>
        <w:ind w:left="0"/>
        <w:jc w:val="both"/>
        <w:rPr>
          <w:rFonts w:ascii="Arial" w:hAnsi="Arial" w:cs="Arial"/>
          <w:sz w:val="24"/>
          <w:szCs w:val="24"/>
        </w:rPr>
      </w:pPr>
      <w:r>
        <w:rPr>
          <w:rFonts w:ascii="Arial" w:hAnsi="Arial" w:cs="Arial"/>
          <w:sz w:val="24"/>
          <w:szCs w:val="24"/>
        </w:rPr>
        <w:t>[3</w:t>
      </w:r>
      <w:r w:rsidR="00F577AF">
        <w:rPr>
          <w:rFonts w:ascii="Arial" w:hAnsi="Arial" w:cs="Arial"/>
          <w:sz w:val="24"/>
          <w:szCs w:val="24"/>
        </w:rPr>
        <w:t>2</w:t>
      </w:r>
      <w:r>
        <w:rPr>
          <w:rFonts w:ascii="Arial" w:hAnsi="Arial" w:cs="Arial"/>
          <w:sz w:val="24"/>
          <w:szCs w:val="24"/>
        </w:rPr>
        <w:t>]</w:t>
      </w:r>
      <w:r>
        <w:rPr>
          <w:rFonts w:ascii="Arial" w:hAnsi="Arial" w:cs="Arial"/>
          <w:sz w:val="24"/>
          <w:szCs w:val="24"/>
        </w:rPr>
        <w:tab/>
      </w:r>
      <w:r w:rsidR="00F43AE4" w:rsidRPr="00933C28">
        <w:rPr>
          <w:rFonts w:ascii="Arial" w:hAnsi="Arial" w:cs="Arial"/>
          <w:sz w:val="24"/>
          <w:szCs w:val="24"/>
        </w:rPr>
        <w:t>This court is not persuaded that Mr</w:t>
      </w:r>
      <w:r w:rsidR="00A624D7" w:rsidRPr="00933C28">
        <w:rPr>
          <w:rFonts w:ascii="Arial" w:hAnsi="Arial" w:cs="Arial"/>
          <w:sz w:val="24"/>
          <w:szCs w:val="24"/>
        </w:rPr>
        <w:t>.</w:t>
      </w:r>
      <w:r w:rsidR="00F43AE4" w:rsidRPr="00933C28">
        <w:rPr>
          <w:rFonts w:ascii="Arial" w:hAnsi="Arial" w:cs="Arial"/>
          <w:sz w:val="24"/>
          <w:szCs w:val="24"/>
        </w:rPr>
        <w:t xml:space="preserve"> </w:t>
      </w:r>
      <w:r w:rsidR="00673BF5" w:rsidRPr="00933C28">
        <w:rPr>
          <w:rFonts w:ascii="Arial" w:hAnsi="Arial" w:cs="Arial"/>
          <w:sz w:val="24"/>
          <w:szCs w:val="24"/>
        </w:rPr>
        <w:t>M</w:t>
      </w:r>
      <w:r w:rsidR="00A53876" w:rsidRPr="00933C28">
        <w:rPr>
          <w:rFonts w:ascii="Arial" w:hAnsi="Arial" w:cs="Arial"/>
          <w:sz w:val="24"/>
          <w:szCs w:val="24"/>
        </w:rPr>
        <w:t xml:space="preserve">afokate’s Roadshow Marketing carried the project as alleged. The two invoices relied upon are </w:t>
      </w:r>
      <w:r w:rsidR="00CB0B10">
        <w:rPr>
          <w:rFonts w:ascii="Arial" w:hAnsi="Arial" w:cs="Arial"/>
          <w:sz w:val="24"/>
          <w:szCs w:val="24"/>
        </w:rPr>
        <w:t xml:space="preserve">both </w:t>
      </w:r>
      <w:r w:rsidR="00A53876" w:rsidRPr="00933C28">
        <w:rPr>
          <w:rFonts w:ascii="Arial" w:hAnsi="Arial" w:cs="Arial"/>
          <w:sz w:val="24"/>
          <w:szCs w:val="24"/>
        </w:rPr>
        <w:t xml:space="preserve">dated 21 August 2015. Aside from that each </w:t>
      </w:r>
      <w:r w:rsidR="00940FC3" w:rsidRPr="00933C28">
        <w:rPr>
          <w:rFonts w:ascii="Arial" w:hAnsi="Arial" w:cs="Arial"/>
          <w:sz w:val="24"/>
          <w:szCs w:val="24"/>
        </w:rPr>
        <w:t xml:space="preserve">listed </w:t>
      </w:r>
      <w:r w:rsidR="00A53876" w:rsidRPr="00933C28">
        <w:rPr>
          <w:rFonts w:ascii="Arial" w:hAnsi="Arial" w:cs="Arial"/>
          <w:sz w:val="24"/>
          <w:szCs w:val="24"/>
        </w:rPr>
        <w:t xml:space="preserve">item </w:t>
      </w:r>
      <w:r w:rsidR="00B8333B" w:rsidRPr="00933C28">
        <w:rPr>
          <w:rFonts w:ascii="Arial" w:hAnsi="Arial" w:cs="Arial"/>
          <w:sz w:val="24"/>
          <w:szCs w:val="24"/>
        </w:rPr>
        <w:t xml:space="preserve">does </w:t>
      </w:r>
      <w:r w:rsidR="00A53876" w:rsidRPr="00933C28">
        <w:rPr>
          <w:rFonts w:ascii="Arial" w:hAnsi="Arial" w:cs="Arial"/>
          <w:sz w:val="24"/>
          <w:szCs w:val="24"/>
        </w:rPr>
        <w:t>no</w:t>
      </w:r>
      <w:r w:rsidR="00940FC3" w:rsidRPr="00933C28">
        <w:rPr>
          <w:rFonts w:ascii="Arial" w:hAnsi="Arial" w:cs="Arial"/>
          <w:sz w:val="24"/>
          <w:szCs w:val="24"/>
        </w:rPr>
        <w:t>t</w:t>
      </w:r>
      <w:r w:rsidR="00A53876" w:rsidRPr="00933C28">
        <w:rPr>
          <w:rFonts w:ascii="Arial" w:hAnsi="Arial" w:cs="Arial"/>
          <w:sz w:val="24"/>
          <w:szCs w:val="24"/>
        </w:rPr>
        <w:t xml:space="preserve"> </w:t>
      </w:r>
      <w:r w:rsidR="00143B76" w:rsidRPr="00933C28">
        <w:rPr>
          <w:rFonts w:ascii="Arial" w:hAnsi="Arial" w:cs="Arial"/>
          <w:sz w:val="24"/>
          <w:szCs w:val="24"/>
        </w:rPr>
        <w:t>b</w:t>
      </w:r>
      <w:r w:rsidR="00673BF5" w:rsidRPr="00933C28">
        <w:rPr>
          <w:rFonts w:ascii="Arial" w:hAnsi="Arial" w:cs="Arial"/>
          <w:sz w:val="24"/>
          <w:szCs w:val="24"/>
        </w:rPr>
        <w:t>ea</w:t>
      </w:r>
      <w:r w:rsidR="00143B76" w:rsidRPr="00933C28">
        <w:rPr>
          <w:rFonts w:ascii="Arial" w:hAnsi="Arial" w:cs="Arial"/>
          <w:sz w:val="24"/>
          <w:szCs w:val="24"/>
        </w:rPr>
        <w:t>r</w:t>
      </w:r>
      <w:r w:rsidR="00940FC3" w:rsidRPr="00933C28">
        <w:rPr>
          <w:rFonts w:ascii="Arial" w:hAnsi="Arial" w:cs="Arial"/>
          <w:sz w:val="24"/>
          <w:szCs w:val="24"/>
        </w:rPr>
        <w:t xml:space="preserve"> </w:t>
      </w:r>
      <w:r w:rsidR="00143B76" w:rsidRPr="00933C28">
        <w:rPr>
          <w:rFonts w:ascii="Arial" w:hAnsi="Arial" w:cs="Arial"/>
          <w:sz w:val="24"/>
          <w:szCs w:val="24"/>
        </w:rPr>
        <w:t xml:space="preserve">a </w:t>
      </w:r>
      <w:r w:rsidR="00A53876" w:rsidRPr="00933C28">
        <w:rPr>
          <w:rFonts w:ascii="Arial" w:hAnsi="Arial" w:cs="Arial"/>
          <w:sz w:val="24"/>
          <w:szCs w:val="24"/>
        </w:rPr>
        <w:t xml:space="preserve">date of </w:t>
      </w:r>
      <w:r w:rsidR="00940FC3" w:rsidRPr="00933C28">
        <w:rPr>
          <w:rFonts w:ascii="Arial" w:hAnsi="Arial" w:cs="Arial"/>
          <w:sz w:val="24"/>
          <w:szCs w:val="24"/>
        </w:rPr>
        <w:t xml:space="preserve">its </w:t>
      </w:r>
      <w:r w:rsidR="00A53876" w:rsidRPr="00933C28">
        <w:rPr>
          <w:rFonts w:ascii="Arial" w:hAnsi="Arial" w:cs="Arial"/>
          <w:sz w:val="24"/>
          <w:szCs w:val="24"/>
        </w:rPr>
        <w:t xml:space="preserve">occurrence, </w:t>
      </w:r>
      <w:r w:rsidR="00940FC3" w:rsidRPr="00933C28">
        <w:rPr>
          <w:rFonts w:ascii="Arial" w:hAnsi="Arial" w:cs="Arial"/>
          <w:sz w:val="24"/>
          <w:szCs w:val="24"/>
        </w:rPr>
        <w:t xml:space="preserve">what is perplexing is that SAADA </w:t>
      </w:r>
      <w:r w:rsidR="002E0D31" w:rsidRPr="00933C28">
        <w:rPr>
          <w:rFonts w:ascii="Arial" w:hAnsi="Arial" w:cs="Arial"/>
          <w:sz w:val="24"/>
          <w:szCs w:val="24"/>
        </w:rPr>
        <w:t>had been paid R4 65</w:t>
      </w:r>
      <w:r w:rsidR="00ED342A" w:rsidRPr="00933C28">
        <w:rPr>
          <w:rFonts w:ascii="Arial" w:hAnsi="Arial" w:cs="Arial"/>
          <w:sz w:val="24"/>
          <w:szCs w:val="24"/>
        </w:rPr>
        <w:t xml:space="preserve"> </w:t>
      </w:r>
      <w:r w:rsidR="002E0D31" w:rsidRPr="00933C28">
        <w:rPr>
          <w:rFonts w:ascii="Arial" w:hAnsi="Arial" w:cs="Arial"/>
          <w:sz w:val="24"/>
          <w:szCs w:val="24"/>
        </w:rPr>
        <w:t xml:space="preserve">million before the launch of the project. Why would it seek help </w:t>
      </w:r>
      <w:r w:rsidR="00B8333B" w:rsidRPr="00933C28">
        <w:rPr>
          <w:rFonts w:ascii="Arial" w:hAnsi="Arial" w:cs="Arial"/>
          <w:sz w:val="24"/>
          <w:szCs w:val="24"/>
        </w:rPr>
        <w:t xml:space="preserve">to </w:t>
      </w:r>
      <w:r w:rsidR="002E0D31" w:rsidRPr="00933C28">
        <w:rPr>
          <w:rFonts w:ascii="Arial" w:hAnsi="Arial" w:cs="Arial"/>
          <w:sz w:val="24"/>
          <w:szCs w:val="24"/>
        </w:rPr>
        <w:t>the tune of R4 5</w:t>
      </w:r>
      <w:r w:rsidR="00143B76" w:rsidRPr="00933C28">
        <w:rPr>
          <w:rFonts w:ascii="Arial" w:hAnsi="Arial" w:cs="Arial"/>
          <w:sz w:val="24"/>
          <w:szCs w:val="24"/>
        </w:rPr>
        <w:t xml:space="preserve"> million?</w:t>
      </w:r>
    </w:p>
    <w:p w14:paraId="256B9BC0" w14:textId="77777777" w:rsidR="00BF5764" w:rsidRPr="00933C28" w:rsidRDefault="00BF5764" w:rsidP="00BC5FBE">
      <w:pPr>
        <w:spacing w:after="0" w:line="360" w:lineRule="auto"/>
        <w:jc w:val="both"/>
        <w:rPr>
          <w:rFonts w:ascii="Arial" w:hAnsi="Arial" w:cs="Arial"/>
          <w:sz w:val="24"/>
          <w:szCs w:val="24"/>
        </w:rPr>
      </w:pPr>
    </w:p>
    <w:p w14:paraId="30ADD548" w14:textId="38016C65" w:rsidR="00FD30A9" w:rsidRPr="00933C28" w:rsidRDefault="001244AB" w:rsidP="00BC5FBE">
      <w:pPr>
        <w:spacing w:after="0" w:line="360" w:lineRule="auto"/>
        <w:ind w:firstLine="720"/>
        <w:rPr>
          <w:rFonts w:ascii="Arial" w:hAnsi="Arial" w:cs="Arial"/>
          <w:i/>
          <w:iCs/>
          <w:sz w:val="24"/>
          <w:szCs w:val="24"/>
        </w:rPr>
      </w:pPr>
      <w:r w:rsidRPr="00933C28">
        <w:rPr>
          <w:rFonts w:ascii="Arial" w:hAnsi="Arial" w:cs="Arial"/>
          <w:i/>
          <w:iCs/>
          <w:sz w:val="24"/>
          <w:szCs w:val="24"/>
        </w:rPr>
        <w:t>Counsel for the applicant</w:t>
      </w:r>
      <w:r w:rsidR="00653AFC" w:rsidRPr="00933C28">
        <w:rPr>
          <w:rFonts w:ascii="Arial" w:hAnsi="Arial" w:cs="Arial"/>
          <w:i/>
          <w:iCs/>
          <w:sz w:val="24"/>
          <w:szCs w:val="24"/>
        </w:rPr>
        <w:t>’s submission and discussion</w:t>
      </w:r>
    </w:p>
    <w:p w14:paraId="344A841C" w14:textId="285D3963" w:rsidR="00FD30A9" w:rsidRPr="00933C28" w:rsidRDefault="007E3027" w:rsidP="00722566">
      <w:pPr>
        <w:pStyle w:val="ListParagraph"/>
        <w:spacing w:line="360" w:lineRule="auto"/>
        <w:ind w:left="0"/>
        <w:jc w:val="both"/>
        <w:rPr>
          <w:rFonts w:ascii="Arial" w:hAnsi="Arial" w:cs="Arial"/>
          <w:sz w:val="24"/>
          <w:szCs w:val="24"/>
        </w:rPr>
      </w:pPr>
      <w:r>
        <w:rPr>
          <w:rFonts w:ascii="Arial" w:hAnsi="Arial" w:cs="Arial"/>
          <w:sz w:val="24"/>
          <w:szCs w:val="24"/>
        </w:rPr>
        <w:t>[3</w:t>
      </w:r>
      <w:r w:rsidR="00F577AF">
        <w:rPr>
          <w:rFonts w:ascii="Arial" w:hAnsi="Arial" w:cs="Arial"/>
          <w:sz w:val="24"/>
          <w:szCs w:val="24"/>
        </w:rPr>
        <w:t>3</w:t>
      </w:r>
      <w:r>
        <w:rPr>
          <w:rFonts w:ascii="Arial" w:hAnsi="Arial" w:cs="Arial"/>
          <w:sz w:val="24"/>
          <w:szCs w:val="24"/>
        </w:rPr>
        <w:t>]</w:t>
      </w:r>
      <w:r>
        <w:rPr>
          <w:rFonts w:ascii="Arial" w:hAnsi="Arial" w:cs="Arial"/>
          <w:sz w:val="24"/>
          <w:szCs w:val="24"/>
        </w:rPr>
        <w:tab/>
      </w:r>
      <w:r w:rsidR="00A00201" w:rsidRPr="00933C28">
        <w:rPr>
          <w:rFonts w:ascii="Arial" w:hAnsi="Arial" w:cs="Arial"/>
          <w:sz w:val="24"/>
          <w:szCs w:val="24"/>
        </w:rPr>
        <w:t xml:space="preserve"> </w:t>
      </w:r>
      <w:r w:rsidR="00411177" w:rsidRPr="00933C28">
        <w:rPr>
          <w:rFonts w:ascii="Arial" w:hAnsi="Arial" w:cs="Arial"/>
          <w:sz w:val="24"/>
          <w:szCs w:val="24"/>
        </w:rPr>
        <w:t>The gist of c</w:t>
      </w:r>
      <w:r w:rsidR="00A00201" w:rsidRPr="00933C28">
        <w:rPr>
          <w:rFonts w:ascii="Arial" w:hAnsi="Arial" w:cs="Arial"/>
          <w:sz w:val="24"/>
          <w:szCs w:val="24"/>
        </w:rPr>
        <w:t>ounsel</w:t>
      </w:r>
      <w:r w:rsidR="00411177" w:rsidRPr="00933C28">
        <w:rPr>
          <w:rFonts w:ascii="Arial" w:hAnsi="Arial" w:cs="Arial"/>
          <w:sz w:val="24"/>
          <w:szCs w:val="24"/>
        </w:rPr>
        <w:t xml:space="preserve">’s submission was that </w:t>
      </w:r>
      <w:r w:rsidR="00A857F9" w:rsidRPr="00933C28">
        <w:rPr>
          <w:rFonts w:ascii="Arial" w:hAnsi="Arial" w:cs="Arial"/>
          <w:sz w:val="24"/>
          <w:szCs w:val="24"/>
        </w:rPr>
        <w:t xml:space="preserve">SAADA, an NPO, </w:t>
      </w:r>
      <w:r w:rsidR="00D61AD0" w:rsidRPr="00933C28">
        <w:rPr>
          <w:rFonts w:ascii="Arial" w:hAnsi="Arial" w:cs="Arial"/>
          <w:sz w:val="24"/>
          <w:szCs w:val="24"/>
        </w:rPr>
        <w:t>transferred</w:t>
      </w:r>
      <w:r w:rsidR="00A857F9" w:rsidRPr="00933C28">
        <w:rPr>
          <w:rFonts w:ascii="Arial" w:hAnsi="Arial" w:cs="Arial"/>
          <w:sz w:val="24"/>
          <w:szCs w:val="24"/>
        </w:rPr>
        <w:t xml:space="preserve"> </w:t>
      </w:r>
      <w:r w:rsidR="00D61AD0" w:rsidRPr="00933C28">
        <w:rPr>
          <w:rFonts w:ascii="Arial" w:hAnsi="Arial" w:cs="Arial"/>
          <w:sz w:val="24"/>
          <w:szCs w:val="24"/>
        </w:rPr>
        <w:t xml:space="preserve">over </w:t>
      </w:r>
      <w:r w:rsidR="001C0A9A" w:rsidRPr="00933C28">
        <w:rPr>
          <w:rFonts w:ascii="Arial" w:hAnsi="Arial" w:cs="Arial"/>
          <w:sz w:val="24"/>
          <w:szCs w:val="24"/>
        </w:rPr>
        <w:t xml:space="preserve">R7.1 </w:t>
      </w:r>
      <w:r w:rsidR="00A857F9" w:rsidRPr="00933C28">
        <w:rPr>
          <w:rFonts w:ascii="Arial" w:hAnsi="Arial" w:cs="Arial"/>
          <w:sz w:val="24"/>
          <w:szCs w:val="24"/>
        </w:rPr>
        <w:t xml:space="preserve">million which </w:t>
      </w:r>
      <w:r w:rsidR="00D61AD0" w:rsidRPr="00933C28">
        <w:rPr>
          <w:rFonts w:ascii="Arial" w:hAnsi="Arial" w:cs="Arial"/>
          <w:sz w:val="24"/>
          <w:szCs w:val="24"/>
        </w:rPr>
        <w:t xml:space="preserve">ended up </w:t>
      </w:r>
      <w:r w:rsidR="00A857F9" w:rsidRPr="00933C28">
        <w:rPr>
          <w:rFonts w:ascii="Arial" w:hAnsi="Arial" w:cs="Arial"/>
          <w:sz w:val="24"/>
          <w:szCs w:val="24"/>
        </w:rPr>
        <w:t>purchas</w:t>
      </w:r>
      <w:r w:rsidR="00D61AD0" w:rsidRPr="00933C28">
        <w:rPr>
          <w:rFonts w:ascii="Arial" w:hAnsi="Arial" w:cs="Arial"/>
          <w:sz w:val="24"/>
          <w:szCs w:val="24"/>
        </w:rPr>
        <w:t>ing</w:t>
      </w:r>
      <w:r w:rsidR="00A857F9" w:rsidRPr="00933C28">
        <w:rPr>
          <w:rFonts w:ascii="Arial" w:hAnsi="Arial" w:cs="Arial"/>
          <w:sz w:val="24"/>
          <w:szCs w:val="24"/>
        </w:rPr>
        <w:t xml:space="preserve"> a house for Mr</w:t>
      </w:r>
      <w:r w:rsidR="00A624D7" w:rsidRPr="00933C28">
        <w:rPr>
          <w:rFonts w:ascii="Arial" w:hAnsi="Arial" w:cs="Arial"/>
          <w:sz w:val="24"/>
          <w:szCs w:val="24"/>
        </w:rPr>
        <w:t>.</w:t>
      </w:r>
      <w:r w:rsidR="00A857F9" w:rsidRPr="00933C28">
        <w:rPr>
          <w:rFonts w:ascii="Arial" w:hAnsi="Arial" w:cs="Arial"/>
          <w:sz w:val="24"/>
          <w:szCs w:val="24"/>
        </w:rPr>
        <w:t xml:space="preserve"> Mafokate</w:t>
      </w:r>
      <w:r w:rsidR="001C0A9A" w:rsidRPr="00933C28">
        <w:rPr>
          <w:rFonts w:ascii="Arial" w:hAnsi="Arial" w:cs="Arial"/>
          <w:sz w:val="24"/>
          <w:szCs w:val="24"/>
        </w:rPr>
        <w:t>, which was</w:t>
      </w:r>
      <w:r w:rsidR="00A857F9" w:rsidRPr="00933C28">
        <w:rPr>
          <w:rFonts w:ascii="Arial" w:hAnsi="Arial" w:cs="Arial"/>
          <w:sz w:val="24"/>
          <w:szCs w:val="24"/>
        </w:rPr>
        <w:t xml:space="preserve"> </w:t>
      </w:r>
      <w:r w:rsidR="001C0A9A" w:rsidRPr="00933C28">
        <w:rPr>
          <w:rFonts w:ascii="Arial" w:hAnsi="Arial" w:cs="Arial"/>
          <w:sz w:val="24"/>
          <w:szCs w:val="24"/>
        </w:rPr>
        <w:t>against the grant agreement</w:t>
      </w:r>
      <w:r w:rsidR="00BF5764" w:rsidRPr="00933C28">
        <w:rPr>
          <w:rFonts w:ascii="Arial" w:hAnsi="Arial" w:cs="Arial"/>
          <w:sz w:val="24"/>
          <w:szCs w:val="24"/>
        </w:rPr>
        <w:t>; and t</w:t>
      </w:r>
      <w:r w:rsidR="001C0A9A" w:rsidRPr="00933C28">
        <w:rPr>
          <w:rFonts w:ascii="Arial" w:hAnsi="Arial" w:cs="Arial"/>
          <w:sz w:val="24"/>
          <w:szCs w:val="24"/>
        </w:rPr>
        <w:t xml:space="preserve">here was just over R1.8 million left and enough to cover all the </w:t>
      </w:r>
      <w:r w:rsidR="00D61AD0" w:rsidRPr="00933C28">
        <w:rPr>
          <w:rFonts w:ascii="Arial" w:hAnsi="Arial" w:cs="Arial"/>
          <w:sz w:val="24"/>
          <w:szCs w:val="24"/>
        </w:rPr>
        <w:t xml:space="preserve">costs of the </w:t>
      </w:r>
      <w:r w:rsidR="00652F7E" w:rsidRPr="00933C28">
        <w:rPr>
          <w:rFonts w:ascii="Arial" w:hAnsi="Arial" w:cs="Arial"/>
          <w:sz w:val="24"/>
          <w:szCs w:val="24"/>
        </w:rPr>
        <w:t>project</w:t>
      </w:r>
      <w:r w:rsidR="00D61AD0" w:rsidRPr="00933C28">
        <w:rPr>
          <w:rFonts w:ascii="Arial" w:hAnsi="Arial" w:cs="Arial"/>
          <w:sz w:val="24"/>
          <w:szCs w:val="24"/>
        </w:rPr>
        <w:t>.</w:t>
      </w:r>
      <w:r w:rsidR="009737D0" w:rsidRPr="00933C28">
        <w:rPr>
          <w:rFonts w:ascii="Arial" w:hAnsi="Arial" w:cs="Arial"/>
          <w:sz w:val="24"/>
          <w:szCs w:val="24"/>
        </w:rPr>
        <w:t xml:space="preserve"> </w:t>
      </w:r>
      <w:r w:rsidR="006D3ACC" w:rsidRPr="00933C28">
        <w:rPr>
          <w:rFonts w:ascii="Arial" w:hAnsi="Arial" w:cs="Arial"/>
          <w:sz w:val="24"/>
          <w:szCs w:val="24"/>
        </w:rPr>
        <w:t xml:space="preserve">He </w:t>
      </w:r>
      <w:r w:rsidR="009737D0" w:rsidRPr="00933C28">
        <w:rPr>
          <w:rFonts w:ascii="Arial" w:hAnsi="Arial" w:cs="Arial"/>
          <w:sz w:val="24"/>
          <w:szCs w:val="24"/>
        </w:rPr>
        <w:t xml:space="preserve">submitted </w:t>
      </w:r>
      <w:r w:rsidR="008E7ECC" w:rsidRPr="00933C28">
        <w:rPr>
          <w:rFonts w:ascii="Arial" w:hAnsi="Arial" w:cs="Arial"/>
          <w:sz w:val="24"/>
          <w:szCs w:val="24"/>
        </w:rPr>
        <w:t xml:space="preserve">that </w:t>
      </w:r>
      <w:r w:rsidR="00A00201" w:rsidRPr="00933C28">
        <w:rPr>
          <w:rFonts w:ascii="Arial" w:hAnsi="Arial" w:cs="Arial"/>
          <w:sz w:val="24"/>
          <w:szCs w:val="24"/>
        </w:rPr>
        <w:t>t</w:t>
      </w:r>
      <w:r w:rsidR="006B5CA9" w:rsidRPr="00933C28">
        <w:rPr>
          <w:rFonts w:ascii="Arial" w:hAnsi="Arial" w:cs="Arial"/>
          <w:sz w:val="24"/>
          <w:szCs w:val="24"/>
        </w:rPr>
        <w:t xml:space="preserve">he </w:t>
      </w:r>
      <w:r w:rsidR="00653AFC" w:rsidRPr="00933C28">
        <w:rPr>
          <w:rFonts w:ascii="Arial" w:hAnsi="Arial" w:cs="Arial"/>
          <w:sz w:val="24"/>
          <w:szCs w:val="24"/>
        </w:rPr>
        <w:t>respondent</w:t>
      </w:r>
      <w:r w:rsidR="006B5CA9" w:rsidRPr="00933C28">
        <w:rPr>
          <w:rFonts w:ascii="Arial" w:hAnsi="Arial" w:cs="Arial"/>
          <w:sz w:val="24"/>
          <w:szCs w:val="24"/>
        </w:rPr>
        <w:t xml:space="preserve"> </w:t>
      </w:r>
      <w:r w:rsidR="001C5754" w:rsidRPr="00933C28">
        <w:rPr>
          <w:rFonts w:ascii="Arial" w:hAnsi="Arial" w:cs="Arial"/>
          <w:sz w:val="24"/>
          <w:szCs w:val="24"/>
        </w:rPr>
        <w:t>ma</w:t>
      </w:r>
      <w:r w:rsidR="00653AFC" w:rsidRPr="00933C28">
        <w:rPr>
          <w:rFonts w:ascii="Arial" w:hAnsi="Arial" w:cs="Arial"/>
          <w:sz w:val="24"/>
          <w:szCs w:val="24"/>
        </w:rPr>
        <w:t xml:space="preserve">de </w:t>
      </w:r>
      <w:r w:rsidR="006B5CA9" w:rsidRPr="00933C28">
        <w:rPr>
          <w:rFonts w:ascii="Arial" w:hAnsi="Arial" w:cs="Arial"/>
          <w:sz w:val="24"/>
          <w:szCs w:val="24"/>
        </w:rPr>
        <w:t>a meal about the failure to bring evidence</w:t>
      </w:r>
      <w:r w:rsidR="006D3ACC" w:rsidRPr="00933C28">
        <w:rPr>
          <w:rFonts w:ascii="Arial" w:hAnsi="Arial" w:cs="Arial"/>
          <w:sz w:val="24"/>
          <w:szCs w:val="24"/>
        </w:rPr>
        <w:t xml:space="preserve"> of corruption</w:t>
      </w:r>
      <w:r w:rsidR="006B5CA9" w:rsidRPr="00933C28">
        <w:rPr>
          <w:rFonts w:ascii="Arial" w:hAnsi="Arial" w:cs="Arial"/>
          <w:sz w:val="24"/>
          <w:szCs w:val="24"/>
        </w:rPr>
        <w:t xml:space="preserve">. </w:t>
      </w:r>
      <w:r w:rsidR="006D3ACC" w:rsidRPr="00933C28">
        <w:rPr>
          <w:rFonts w:ascii="Arial" w:hAnsi="Arial" w:cs="Arial"/>
          <w:sz w:val="24"/>
          <w:szCs w:val="24"/>
        </w:rPr>
        <w:t xml:space="preserve">He argued </w:t>
      </w:r>
      <w:r w:rsidR="00B9583B" w:rsidRPr="00933C28">
        <w:rPr>
          <w:rFonts w:ascii="Arial" w:hAnsi="Arial" w:cs="Arial"/>
          <w:sz w:val="24"/>
          <w:szCs w:val="24"/>
        </w:rPr>
        <w:t xml:space="preserve">that </w:t>
      </w:r>
      <w:r w:rsidR="006D3ACC" w:rsidRPr="00933C28">
        <w:rPr>
          <w:rFonts w:ascii="Arial" w:hAnsi="Arial" w:cs="Arial"/>
          <w:sz w:val="24"/>
          <w:szCs w:val="24"/>
        </w:rPr>
        <w:t xml:space="preserve">at this stage </w:t>
      </w:r>
      <w:r w:rsidR="00B9583B" w:rsidRPr="00933C28">
        <w:rPr>
          <w:rFonts w:ascii="Arial" w:hAnsi="Arial" w:cs="Arial"/>
          <w:sz w:val="24"/>
          <w:szCs w:val="24"/>
        </w:rPr>
        <w:t xml:space="preserve">they relied on </w:t>
      </w:r>
      <w:r w:rsidR="0089278C" w:rsidRPr="00933C28">
        <w:rPr>
          <w:rFonts w:ascii="Arial" w:hAnsi="Arial" w:cs="Arial"/>
          <w:sz w:val="24"/>
          <w:szCs w:val="24"/>
        </w:rPr>
        <w:t>Section</w:t>
      </w:r>
      <w:r w:rsidR="00914C1C" w:rsidRPr="00933C28">
        <w:rPr>
          <w:rFonts w:ascii="Arial" w:hAnsi="Arial" w:cs="Arial"/>
          <w:sz w:val="24"/>
          <w:szCs w:val="24"/>
        </w:rPr>
        <w:t xml:space="preserve"> 38</w:t>
      </w:r>
      <w:r w:rsidR="009D4DCF" w:rsidRPr="00933C28">
        <w:rPr>
          <w:rFonts w:ascii="Arial" w:hAnsi="Arial" w:cs="Arial"/>
          <w:sz w:val="24"/>
          <w:szCs w:val="24"/>
        </w:rPr>
        <w:t xml:space="preserve"> of POCA</w:t>
      </w:r>
      <w:r w:rsidR="00B9583B" w:rsidRPr="00933C28">
        <w:rPr>
          <w:rFonts w:ascii="Arial" w:hAnsi="Arial" w:cs="Arial"/>
          <w:sz w:val="24"/>
          <w:szCs w:val="24"/>
        </w:rPr>
        <w:t xml:space="preserve">, which </w:t>
      </w:r>
      <w:r w:rsidR="00CB0B10">
        <w:rPr>
          <w:rFonts w:ascii="Arial" w:hAnsi="Arial" w:cs="Arial"/>
          <w:sz w:val="24"/>
          <w:szCs w:val="24"/>
        </w:rPr>
        <w:t>requires them to show</w:t>
      </w:r>
      <w:r w:rsidR="006B5CA9" w:rsidRPr="00933C28">
        <w:rPr>
          <w:rFonts w:ascii="Arial" w:hAnsi="Arial" w:cs="Arial"/>
          <w:sz w:val="24"/>
          <w:szCs w:val="24"/>
        </w:rPr>
        <w:t xml:space="preserve"> </w:t>
      </w:r>
      <w:r w:rsidR="00571489" w:rsidRPr="00933C28">
        <w:rPr>
          <w:rFonts w:ascii="Arial" w:hAnsi="Arial" w:cs="Arial"/>
          <w:sz w:val="24"/>
          <w:szCs w:val="24"/>
        </w:rPr>
        <w:t xml:space="preserve">only </w:t>
      </w:r>
      <w:r w:rsidR="006B5CA9" w:rsidRPr="00933C28">
        <w:rPr>
          <w:rFonts w:ascii="Arial" w:hAnsi="Arial" w:cs="Arial"/>
          <w:sz w:val="24"/>
          <w:szCs w:val="24"/>
        </w:rPr>
        <w:t xml:space="preserve">good cause </w:t>
      </w:r>
      <w:r w:rsidR="00B9583B" w:rsidRPr="00933C28">
        <w:rPr>
          <w:rFonts w:ascii="Arial" w:hAnsi="Arial" w:cs="Arial"/>
          <w:sz w:val="24"/>
          <w:szCs w:val="24"/>
        </w:rPr>
        <w:t>to be</w:t>
      </w:r>
      <w:r w:rsidR="000A4A47" w:rsidRPr="00933C28">
        <w:rPr>
          <w:rFonts w:ascii="Arial" w:hAnsi="Arial" w:cs="Arial"/>
          <w:sz w:val="24"/>
          <w:szCs w:val="24"/>
        </w:rPr>
        <w:t xml:space="preserve">lieve that the property concerned </w:t>
      </w:r>
      <w:r w:rsidR="00CB0B10">
        <w:rPr>
          <w:rFonts w:ascii="Arial" w:hAnsi="Arial" w:cs="Arial"/>
          <w:sz w:val="24"/>
          <w:szCs w:val="24"/>
        </w:rPr>
        <w:t>was</w:t>
      </w:r>
      <w:r w:rsidR="000A4A47" w:rsidRPr="00933C28">
        <w:rPr>
          <w:rFonts w:ascii="Arial" w:hAnsi="Arial" w:cs="Arial"/>
          <w:sz w:val="24"/>
          <w:szCs w:val="24"/>
        </w:rPr>
        <w:t xml:space="preserve"> the proceeds of unlawful activities. </w:t>
      </w:r>
      <w:r w:rsidR="00B9583B" w:rsidRPr="00933C28">
        <w:rPr>
          <w:rFonts w:ascii="Arial" w:hAnsi="Arial" w:cs="Arial"/>
          <w:sz w:val="24"/>
          <w:szCs w:val="24"/>
        </w:rPr>
        <w:t>He further submitted that they</w:t>
      </w:r>
      <w:r w:rsidR="006B5CA9" w:rsidRPr="00933C28">
        <w:rPr>
          <w:rFonts w:ascii="Arial" w:hAnsi="Arial" w:cs="Arial"/>
          <w:sz w:val="24"/>
          <w:szCs w:val="24"/>
        </w:rPr>
        <w:t xml:space="preserve"> </w:t>
      </w:r>
      <w:r w:rsidR="001C5754" w:rsidRPr="00933C28">
        <w:rPr>
          <w:rFonts w:ascii="Arial" w:hAnsi="Arial" w:cs="Arial"/>
          <w:sz w:val="24"/>
          <w:szCs w:val="24"/>
        </w:rPr>
        <w:t>looked at the flow of funds</w:t>
      </w:r>
      <w:r w:rsidR="00EB7527" w:rsidRPr="00933C28">
        <w:rPr>
          <w:rFonts w:ascii="Arial" w:hAnsi="Arial" w:cs="Arial"/>
          <w:sz w:val="24"/>
          <w:szCs w:val="24"/>
        </w:rPr>
        <w:t xml:space="preserve"> </w:t>
      </w:r>
      <w:r w:rsidR="009D4DCF" w:rsidRPr="00933C28">
        <w:rPr>
          <w:rFonts w:ascii="Arial" w:hAnsi="Arial" w:cs="Arial"/>
          <w:sz w:val="24"/>
          <w:szCs w:val="24"/>
        </w:rPr>
        <w:t>which were</w:t>
      </w:r>
      <w:r w:rsidR="00EB7527" w:rsidRPr="00933C28">
        <w:rPr>
          <w:rFonts w:ascii="Arial" w:hAnsi="Arial" w:cs="Arial"/>
          <w:sz w:val="24"/>
          <w:szCs w:val="24"/>
        </w:rPr>
        <w:t xml:space="preserve"> paid to</w:t>
      </w:r>
      <w:r w:rsidR="00CB0B10">
        <w:rPr>
          <w:rFonts w:ascii="Arial" w:hAnsi="Arial" w:cs="Arial"/>
          <w:sz w:val="24"/>
          <w:szCs w:val="24"/>
        </w:rPr>
        <w:t xml:space="preserve"> </w:t>
      </w:r>
      <w:r w:rsidR="00EB7527" w:rsidRPr="00933C28">
        <w:rPr>
          <w:rFonts w:ascii="Arial" w:hAnsi="Arial" w:cs="Arial"/>
          <w:sz w:val="24"/>
          <w:szCs w:val="24"/>
        </w:rPr>
        <w:t>SAADA</w:t>
      </w:r>
      <w:r w:rsidR="001C5754" w:rsidRPr="00933C28">
        <w:rPr>
          <w:rFonts w:ascii="Arial" w:hAnsi="Arial" w:cs="Arial"/>
          <w:sz w:val="24"/>
          <w:szCs w:val="24"/>
        </w:rPr>
        <w:t>.</w:t>
      </w:r>
      <w:r w:rsidR="00CB0B10">
        <w:rPr>
          <w:rFonts w:ascii="Arial" w:hAnsi="Arial" w:cs="Arial"/>
          <w:sz w:val="24"/>
          <w:szCs w:val="24"/>
        </w:rPr>
        <w:t xml:space="preserve"> </w:t>
      </w:r>
      <w:r w:rsidR="00BC5FBE">
        <w:rPr>
          <w:rFonts w:ascii="Arial" w:hAnsi="Arial" w:cs="Arial"/>
          <w:sz w:val="24"/>
          <w:szCs w:val="24"/>
        </w:rPr>
        <w:t>A</w:t>
      </w:r>
      <w:r w:rsidR="00CB0B10">
        <w:rPr>
          <w:rFonts w:ascii="Arial" w:hAnsi="Arial" w:cs="Arial"/>
          <w:sz w:val="24"/>
          <w:szCs w:val="24"/>
        </w:rPr>
        <w:t>rgu</w:t>
      </w:r>
      <w:r w:rsidR="00BC5FBE">
        <w:rPr>
          <w:rFonts w:ascii="Arial" w:hAnsi="Arial" w:cs="Arial"/>
          <w:sz w:val="24"/>
          <w:szCs w:val="24"/>
        </w:rPr>
        <w:t>ing</w:t>
      </w:r>
      <w:r w:rsidR="00CB0B10">
        <w:rPr>
          <w:rFonts w:ascii="Arial" w:hAnsi="Arial" w:cs="Arial"/>
          <w:sz w:val="24"/>
          <w:szCs w:val="24"/>
        </w:rPr>
        <w:t xml:space="preserve"> that SAADA</w:t>
      </w:r>
      <w:r w:rsidR="00EB7527" w:rsidRPr="00933C28">
        <w:rPr>
          <w:rFonts w:ascii="Arial" w:hAnsi="Arial" w:cs="Arial"/>
          <w:sz w:val="24"/>
          <w:szCs w:val="24"/>
        </w:rPr>
        <w:t xml:space="preserve"> was not supposed to make a profit, </w:t>
      </w:r>
      <w:r w:rsidR="00C50100">
        <w:rPr>
          <w:rFonts w:ascii="Arial" w:hAnsi="Arial" w:cs="Arial"/>
          <w:sz w:val="24"/>
          <w:szCs w:val="24"/>
        </w:rPr>
        <w:t xml:space="preserve">he </w:t>
      </w:r>
      <w:r w:rsidR="00940C1B">
        <w:rPr>
          <w:rFonts w:ascii="Arial" w:hAnsi="Arial" w:cs="Arial"/>
          <w:sz w:val="24"/>
          <w:szCs w:val="24"/>
        </w:rPr>
        <w:t>maintained that</w:t>
      </w:r>
      <w:r w:rsidR="00C50100">
        <w:rPr>
          <w:rFonts w:ascii="Arial" w:hAnsi="Arial" w:cs="Arial"/>
          <w:sz w:val="24"/>
          <w:szCs w:val="24"/>
        </w:rPr>
        <w:t xml:space="preserve">, </w:t>
      </w:r>
      <w:r w:rsidR="00CB0B10">
        <w:rPr>
          <w:rFonts w:ascii="Arial" w:hAnsi="Arial" w:cs="Arial"/>
          <w:sz w:val="24"/>
          <w:szCs w:val="24"/>
        </w:rPr>
        <w:t>if anything</w:t>
      </w:r>
      <w:r w:rsidR="00C50100">
        <w:rPr>
          <w:rFonts w:ascii="Arial" w:hAnsi="Arial" w:cs="Arial"/>
          <w:sz w:val="24"/>
          <w:szCs w:val="24"/>
        </w:rPr>
        <w:t>,</w:t>
      </w:r>
      <w:r w:rsidR="00CB0B10">
        <w:rPr>
          <w:rFonts w:ascii="Arial" w:hAnsi="Arial" w:cs="Arial"/>
          <w:sz w:val="24"/>
          <w:szCs w:val="24"/>
        </w:rPr>
        <w:t xml:space="preserve"> </w:t>
      </w:r>
      <w:r w:rsidR="00EB7527" w:rsidRPr="00933C28">
        <w:rPr>
          <w:rFonts w:ascii="Arial" w:hAnsi="Arial" w:cs="Arial"/>
          <w:sz w:val="24"/>
          <w:szCs w:val="24"/>
        </w:rPr>
        <w:t>it did the project o</w:t>
      </w:r>
      <w:r w:rsidR="00571489" w:rsidRPr="00933C28">
        <w:rPr>
          <w:rFonts w:ascii="Arial" w:hAnsi="Arial" w:cs="Arial"/>
          <w:sz w:val="24"/>
          <w:szCs w:val="24"/>
        </w:rPr>
        <w:t>ut of</w:t>
      </w:r>
      <w:r w:rsidR="00EB7527" w:rsidRPr="00933C28">
        <w:rPr>
          <w:rFonts w:ascii="Arial" w:hAnsi="Arial" w:cs="Arial"/>
          <w:sz w:val="24"/>
          <w:szCs w:val="24"/>
        </w:rPr>
        <w:t xml:space="preserve"> the goodness of its heart.</w:t>
      </w:r>
      <w:r w:rsidR="00411177" w:rsidRPr="00933C28">
        <w:rPr>
          <w:rFonts w:ascii="Arial" w:hAnsi="Arial" w:cs="Arial"/>
          <w:sz w:val="24"/>
          <w:szCs w:val="24"/>
        </w:rPr>
        <w:t xml:space="preserve"> </w:t>
      </w:r>
      <w:r w:rsidR="00571489" w:rsidRPr="00933C28">
        <w:rPr>
          <w:rFonts w:ascii="Arial" w:hAnsi="Arial" w:cs="Arial"/>
          <w:sz w:val="24"/>
          <w:szCs w:val="24"/>
        </w:rPr>
        <w:t>He contested the authenticity of invoices</w:t>
      </w:r>
      <w:r w:rsidR="00341392" w:rsidRPr="00933C28">
        <w:rPr>
          <w:rFonts w:ascii="Arial" w:hAnsi="Arial" w:cs="Arial"/>
          <w:sz w:val="24"/>
          <w:szCs w:val="24"/>
        </w:rPr>
        <w:t xml:space="preserve"> SM4 and SM5</w:t>
      </w:r>
      <w:r w:rsidR="009B63A5" w:rsidRPr="00933C28">
        <w:rPr>
          <w:rFonts w:ascii="Arial" w:hAnsi="Arial" w:cs="Arial"/>
          <w:sz w:val="24"/>
          <w:szCs w:val="24"/>
        </w:rPr>
        <w:t xml:space="preserve">, not the least </w:t>
      </w:r>
      <w:r w:rsidR="00DF0DC5" w:rsidRPr="00933C28">
        <w:rPr>
          <w:rFonts w:ascii="Arial" w:hAnsi="Arial" w:cs="Arial"/>
          <w:sz w:val="24"/>
          <w:szCs w:val="24"/>
        </w:rPr>
        <w:t xml:space="preserve">because </w:t>
      </w:r>
      <w:r w:rsidR="009B63A5" w:rsidRPr="00933C28">
        <w:rPr>
          <w:rFonts w:ascii="Arial" w:hAnsi="Arial" w:cs="Arial"/>
          <w:sz w:val="24"/>
          <w:szCs w:val="24"/>
        </w:rPr>
        <w:t xml:space="preserve">they </w:t>
      </w:r>
      <w:r w:rsidR="00CB0B10">
        <w:rPr>
          <w:rFonts w:ascii="Arial" w:hAnsi="Arial" w:cs="Arial"/>
          <w:sz w:val="24"/>
          <w:szCs w:val="24"/>
        </w:rPr>
        <w:t>were issued on</w:t>
      </w:r>
      <w:r w:rsidR="009B63A5" w:rsidRPr="00933C28">
        <w:rPr>
          <w:rFonts w:ascii="Arial" w:hAnsi="Arial" w:cs="Arial"/>
          <w:sz w:val="24"/>
          <w:szCs w:val="24"/>
        </w:rPr>
        <w:t xml:space="preserve"> the same date</w:t>
      </w:r>
      <w:r w:rsidR="00CB0B10">
        <w:rPr>
          <w:rFonts w:ascii="Arial" w:hAnsi="Arial" w:cs="Arial"/>
          <w:sz w:val="24"/>
          <w:szCs w:val="24"/>
        </w:rPr>
        <w:t>,</w:t>
      </w:r>
      <w:r w:rsidR="009B63A5" w:rsidRPr="00933C28">
        <w:rPr>
          <w:rFonts w:ascii="Arial" w:hAnsi="Arial" w:cs="Arial"/>
          <w:sz w:val="24"/>
          <w:szCs w:val="24"/>
        </w:rPr>
        <w:t xml:space="preserve"> </w:t>
      </w:r>
      <w:r w:rsidR="00DF0DC5" w:rsidRPr="00933C28">
        <w:rPr>
          <w:rFonts w:ascii="Arial" w:hAnsi="Arial" w:cs="Arial"/>
          <w:sz w:val="24"/>
          <w:szCs w:val="24"/>
        </w:rPr>
        <w:t>21</w:t>
      </w:r>
      <w:r w:rsidR="00CB0B10">
        <w:rPr>
          <w:rFonts w:ascii="Arial" w:hAnsi="Arial" w:cs="Arial"/>
          <w:sz w:val="24"/>
          <w:szCs w:val="24"/>
        </w:rPr>
        <w:t xml:space="preserve"> August </w:t>
      </w:r>
      <w:r w:rsidR="00DF0DC5" w:rsidRPr="00933C28">
        <w:rPr>
          <w:rFonts w:ascii="Arial" w:hAnsi="Arial" w:cs="Arial"/>
          <w:sz w:val="24"/>
          <w:szCs w:val="24"/>
        </w:rPr>
        <w:t>2015.</w:t>
      </w:r>
    </w:p>
    <w:p w14:paraId="29BAFE5D" w14:textId="77777777" w:rsidR="00FD30A9" w:rsidRPr="00933C28" w:rsidRDefault="00FD30A9" w:rsidP="00722566">
      <w:pPr>
        <w:pStyle w:val="ListParagraph"/>
        <w:spacing w:line="360" w:lineRule="auto"/>
        <w:rPr>
          <w:rFonts w:ascii="Arial" w:hAnsi="Arial" w:cs="Arial"/>
          <w:sz w:val="24"/>
          <w:szCs w:val="24"/>
        </w:rPr>
      </w:pPr>
    </w:p>
    <w:p w14:paraId="0B7AB65B" w14:textId="1ABD4D0C" w:rsidR="000806FE" w:rsidRPr="00933C28" w:rsidRDefault="007E3027" w:rsidP="00722566">
      <w:pPr>
        <w:pStyle w:val="ListParagraph"/>
        <w:spacing w:line="360" w:lineRule="auto"/>
        <w:ind w:left="0"/>
        <w:jc w:val="both"/>
        <w:rPr>
          <w:rFonts w:ascii="Arial" w:hAnsi="Arial" w:cs="Arial"/>
          <w:sz w:val="24"/>
          <w:szCs w:val="24"/>
        </w:rPr>
      </w:pPr>
      <w:r>
        <w:rPr>
          <w:rFonts w:ascii="Arial" w:hAnsi="Arial" w:cs="Arial"/>
          <w:sz w:val="24"/>
          <w:szCs w:val="24"/>
        </w:rPr>
        <w:t>[3</w:t>
      </w:r>
      <w:r w:rsidR="00F577AF">
        <w:rPr>
          <w:rFonts w:ascii="Arial" w:hAnsi="Arial" w:cs="Arial"/>
          <w:sz w:val="24"/>
          <w:szCs w:val="24"/>
        </w:rPr>
        <w:t>4</w:t>
      </w:r>
      <w:r>
        <w:rPr>
          <w:rFonts w:ascii="Arial" w:hAnsi="Arial" w:cs="Arial"/>
          <w:sz w:val="24"/>
          <w:szCs w:val="24"/>
        </w:rPr>
        <w:t>]</w:t>
      </w:r>
      <w:r>
        <w:rPr>
          <w:rFonts w:ascii="Arial" w:hAnsi="Arial" w:cs="Arial"/>
          <w:sz w:val="24"/>
          <w:szCs w:val="24"/>
        </w:rPr>
        <w:tab/>
      </w:r>
      <w:r w:rsidR="00341392" w:rsidRPr="00933C28">
        <w:rPr>
          <w:rFonts w:ascii="Arial" w:hAnsi="Arial" w:cs="Arial"/>
          <w:sz w:val="24"/>
          <w:szCs w:val="24"/>
        </w:rPr>
        <w:t xml:space="preserve"> </w:t>
      </w:r>
      <w:r w:rsidR="003F23DC" w:rsidRPr="00933C28">
        <w:rPr>
          <w:rFonts w:ascii="Arial" w:hAnsi="Arial" w:cs="Arial"/>
          <w:sz w:val="24"/>
          <w:szCs w:val="24"/>
        </w:rPr>
        <w:t>Having examined the final report</w:t>
      </w:r>
      <w:r w:rsidR="00A86F4F" w:rsidRPr="00933C28">
        <w:rPr>
          <w:rFonts w:ascii="Arial" w:hAnsi="Arial" w:cs="Arial"/>
          <w:sz w:val="24"/>
          <w:szCs w:val="24"/>
        </w:rPr>
        <w:t>, which includes</w:t>
      </w:r>
      <w:r w:rsidR="002A5DF3" w:rsidRPr="00933C28">
        <w:rPr>
          <w:rFonts w:ascii="Arial" w:hAnsi="Arial" w:cs="Arial"/>
          <w:sz w:val="24"/>
          <w:szCs w:val="24"/>
        </w:rPr>
        <w:t xml:space="preserve"> </w:t>
      </w:r>
      <w:r w:rsidR="002A5DF3" w:rsidRPr="00933C28">
        <w:rPr>
          <w:rFonts w:ascii="Arial" w:hAnsi="Arial" w:cs="Arial"/>
          <w:i/>
          <w:iCs/>
          <w:sz w:val="24"/>
          <w:szCs w:val="24"/>
        </w:rPr>
        <w:t>inter alia</w:t>
      </w:r>
      <w:r w:rsidR="002A5DF3" w:rsidRPr="00933C28">
        <w:rPr>
          <w:rFonts w:ascii="Arial" w:hAnsi="Arial" w:cs="Arial"/>
          <w:sz w:val="24"/>
          <w:szCs w:val="24"/>
        </w:rPr>
        <w:t xml:space="preserve"> </w:t>
      </w:r>
      <w:r w:rsidR="00BA3F44" w:rsidRPr="00933C28">
        <w:rPr>
          <w:rFonts w:ascii="Arial" w:hAnsi="Arial" w:cs="Arial"/>
          <w:sz w:val="24"/>
          <w:szCs w:val="24"/>
        </w:rPr>
        <w:t xml:space="preserve">payments to </w:t>
      </w:r>
      <w:r w:rsidR="00A86F4F" w:rsidRPr="00933C28">
        <w:rPr>
          <w:rFonts w:ascii="Arial" w:hAnsi="Arial" w:cs="Arial"/>
          <w:sz w:val="24"/>
          <w:szCs w:val="24"/>
        </w:rPr>
        <w:t>facilitators</w:t>
      </w:r>
      <w:r w:rsidR="00BA3F44" w:rsidRPr="00933C28">
        <w:rPr>
          <w:rFonts w:ascii="Arial" w:hAnsi="Arial" w:cs="Arial"/>
          <w:sz w:val="24"/>
          <w:szCs w:val="24"/>
        </w:rPr>
        <w:t>,</w:t>
      </w:r>
      <w:r w:rsidR="008B5DB8" w:rsidRPr="00933C28">
        <w:rPr>
          <w:rFonts w:ascii="Arial" w:hAnsi="Arial" w:cs="Arial"/>
          <w:sz w:val="24"/>
          <w:szCs w:val="24"/>
        </w:rPr>
        <w:t xml:space="preserve"> travelling to Li</w:t>
      </w:r>
      <w:r w:rsidR="00CB0B10">
        <w:rPr>
          <w:rFonts w:ascii="Arial" w:hAnsi="Arial" w:cs="Arial"/>
          <w:sz w:val="24"/>
          <w:szCs w:val="24"/>
        </w:rPr>
        <w:t>mpopo</w:t>
      </w:r>
      <w:r w:rsidR="008B5DB8" w:rsidRPr="00933C28">
        <w:rPr>
          <w:rFonts w:ascii="Arial" w:hAnsi="Arial" w:cs="Arial"/>
          <w:sz w:val="24"/>
          <w:szCs w:val="24"/>
        </w:rPr>
        <w:t>, Eastern Cape,</w:t>
      </w:r>
      <w:r w:rsidR="009F7248" w:rsidRPr="00933C28">
        <w:rPr>
          <w:rFonts w:ascii="Arial" w:hAnsi="Arial" w:cs="Arial"/>
          <w:sz w:val="24"/>
          <w:szCs w:val="24"/>
        </w:rPr>
        <w:t xml:space="preserve"> Mpu</w:t>
      </w:r>
      <w:r w:rsidR="00246BD6" w:rsidRPr="00933C28">
        <w:rPr>
          <w:rFonts w:ascii="Arial" w:hAnsi="Arial" w:cs="Arial"/>
          <w:sz w:val="24"/>
          <w:szCs w:val="24"/>
        </w:rPr>
        <w:t>ma</w:t>
      </w:r>
      <w:r w:rsidR="009F7248" w:rsidRPr="00933C28">
        <w:rPr>
          <w:rFonts w:ascii="Arial" w:hAnsi="Arial" w:cs="Arial"/>
          <w:sz w:val="24"/>
          <w:szCs w:val="24"/>
        </w:rPr>
        <w:t>langa, Western Cape, Free State, Kwa</w:t>
      </w:r>
      <w:r w:rsidR="00CB0B10">
        <w:rPr>
          <w:rFonts w:ascii="Arial" w:hAnsi="Arial" w:cs="Arial"/>
          <w:sz w:val="24"/>
          <w:szCs w:val="24"/>
        </w:rPr>
        <w:t>Z</w:t>
      </w:r>
      <w:r w:rsidR="009F7248" w:rsidRPr="00933C28">
        <w:rPr>
          <w:rFonts w:ascii="Arial" w:hAnsi="Arial" w:cs="Arial"/>
          <w:sz w:val="24"/>
          <w:szCs w:val="24"/>
        </w:rPr>
        <w:t>ulu</w:t>
      </w:r>
      <w:r w:rsidR="00E5647E">
        <w:rPr>
          <w:rFonts w:ascii="Arial" w:hAnsi="Arial" w:cs="Arial"/>
          <w:sz w:val="24"/>
          <w:szCs w:val="24"/>
        </w:rPr>
        <w:t>-</w:t>
      </w:r>
      <w:r w:rsidR="009F7248" w:rsidRPr="00933C28">
        <w:rPr>
          <w:rFonts w:ascii="Arial" w:hAnsi="Arial" w:cs="Arial"/>
          <w:sz w:val="24"/>
          <w:szCs w:val="24"/>
        </w:rPr>
        <w:t>Natal</w:t>
      </w:r>
      <w:r w:rsidR="001D1550" w:rsidRPr="00933C28">
        <w:rPr>
          <w:rFonts w:ascii="Arial" w:hAnsi="Arial" w:cs="Arial"/>
          <w:sz w:val="24"/>
          <w:szCs w:val="24"/>
        </w:rPr>
        <w:t xml:space="preserve">, </w:t>
      </w:r>
      <w:r w:rsidR="00CB0B10" w:rsidRPr="00933C28">
        <w:rPr>
          <w:rFonts w:ascii="Arial" w:hAnsi="Arial" w:cs="Arial"/>
          <w:sz w:val="24"/>
          <w:szCs w:val="24"/>
        </w:rPr>
        <w:t>Northwest</w:t>
      </w:r>
      <w:r w:rsidR="001D1550" w:rsidRPr="00933C28">
        <w:rPr>
          <w:rFonts w:ascii="Arial" w:hAnsi="Arial" w:cs="Arial"/>
          <w:sz w:val="24"/>
          <w:szCs w:val="24"/>
        </w:rPr>
        <w:t xml:space="preserve"> and Gauteng purchased</w:t>
      </w:r>
      <w:r w:rsidR="009F7248" w:rsidRPr="00933C28">
        <w:rPr>
          <w:rFonts w:ascii="Arial" w:hAnsi="Arial" w:cs="Arial"/>
          <w:sz w:val="24"/>
          <w:szCs w:val="24"/>
        </w:rPr>
        <w:t xml:space="preserve"> </w:t>
      </w:r>
      <w:r w:rsidR="002A5DF3" w:rsidRPr="00933C28">
        <w:rPr>
          <w:rFonts w:ascii="Arial" w:hAnsi="Arial" w:cs="Arial"/>
          <w:sz w:val="24"/>
          <w:szCs w:val="24"/>
        </w:rPr>
        <w:t>of</w:t>
      </w:r>
      <w:r w:rsidR="00BA3F44" w:rsidRPr="00933C28">
        <w:rPr>
          <w:rFonts w:ascii="Arial" w:hAnsi="Arial" w:cs="Arial"/>
          <w:sz w:val="24"/>
          <w:szCs w:val="24"/>
        </w:rPr>
        <w:t xml:space="preserve"> t-shirts,</w:t>
      </w:r>
      <w:r w:rsidR="003F23DC" w:rsidRPr="00933C28">
        <w:rPr>
          <w:rFonts w:ascii="Arial" w:hAnsi="Arial" w:cs="Arial"/>
          <w:sz w:val="24"/>
          <w:szCs w:val="24"/>
        </w:rPr>
        <w:t xml:space="preserve"> and the bank statements, he submitted</w:t>
      </w:r>
      <w:r w:rsidR="00C217F5" w:rsidRPr="00933C28">
        <w:rPr>
          <w:rFonts w:ascii="Arial" w:hAnsi="Arial" w:cs="Arial"/>
          <w:sz w:val="24"/>
          <w:szCs w:val="24"/>
        </w:rPr>
        <w:t xml:space="preserve"> </w:t>
      </w:r>
      <w:r w:rsidR="003F23DC" w:rsidRPr="00933C28">
        <w:rPr>
          <w:rFonts w:ascii="Arial" w:hAnsi="Arial" w:cs="Arial"/>
          <w:sz w:val="24"/>
          <w:szCs w:val="24"/>
        </w:rPr>
        <w:t>that</w:t>
      </w:r>
      <w:r w:rsidR="00446E5C" w:rsidRPr="00933C28">
        <w:rPr>
          <w:rFonts w:ascii="Arial" w:hAnsi="Arial" w:cs="Arial"/>
          <w:sz w:val="24"/>
          <w:szCs w:val="24"/>
        </w:rPr>
        <w:t>, according to their own calculations,</w:t>
      </w:r>
      <w:r w:rsidR="003F23DC" w:rsidRPr="00933C28">
        <w:rPr>
          <w:rFonts w:ascii="Arial" w:hAnsi="Arial" w:cs="Arial"/>
          <w:sz w:val="24"/>
          <w:szCs w:val="24"/>
        </w:rPr>
        <w:t xml:space="preserve"> Mr</w:t>
      </w:r>
      <w:r w:rsidR="00A624D7" w:rsidRPr="00933C28">
        <w:rPr>
          <w:rFonts w:ascii="Arial" w:hAnsi="Arial" w:cs="Arial"/>
          <w:sz w:val="24"/>
          <w:szCs w:val="24"/>
        </w:rPr>
        <w:t>.</w:t>
      </w:r>
      <w:r w:rsidR="003F23DC" w:rsidRPr="00933C28">
        <w:rPr>
          <w:rFonts w:ascii="Arial" w:hAnsi="Arial" w:cs="Arial"/>
          <w:sz w:val="24"/>
          <w:szCs w:val="24"/>
        </w:rPr>
        <w:t xml:space="preserve"> Mafokate could not have spent more than </w:t>
      </w:r>
      <w:r w:rsidR="00446E5C" w:rsidRPr="00933C28">
        <w:rPr>
          <w:rFonts w:ascii="Arial" w:hAnsi="Arial" w:cs="Arial"/>
          <w:sz w:val="24"/>
          <w:szCs w:val="24"/>
        </w:rPr>
        <w:t>R1.8</w:t>
      </w:r>
      <w:r w:rsidR="003F23DC" w:rsidRPr="00933C28">
        <w:rPr>
          <w:rFonts w:ascii="Arial" w:hAnsi="Arial" w:cs="Arial"/>
          <w:sz w:val="24"/>
          <w:szCs w:val="24"/>
        </w:rPr>
        <w:t xml:space="preserve"> million for the entire project. </w:t>
      </w:r>
      <w:r w:rsidR="00A007DB" w:rsidRPr="00933C28">
        <w:rPr>
          <w:rFonts w:ascii="Arial" w:hAnsi="Arial" w:cs="Arial"/>
          <w:sz w:val="24"/>
          <w:szCs w:val="24"/>
        </w:rPr>
        <w:t>Therefore</w:t>
      </w:r>
      <w:r w:rsidR="00446E5C" w:rsidRPr="00933C28">
        <w:rPr>
          <w:rFonts w:ascii="Arial" w:hAnsi="Arial" w:cs="Arial"/>
          <w:sz w:val="24"/>
          <w:szCs w:val="24"/>
        </w:rPr>
        <w:t>,</w:t>
      </w:r>
      <w:r w:rsidR="00A007DB" w:rsidRPr="00933C28">
        <w:rPr>
          <w:rFonts w:ascii="Arial" w:hAnsi="Arial" w:cs="Arial"/>
          <w:sz w:val="24"/>
          <w:szCs w:val="24"/>
        </w:rPr>
        <w:t xml:space="preserve"> </w:t>
      </w:r>
      <w:r w:rsidR="00446E5C" w:rsidRPr="00933C28">
        <w:rPr>
          <w:rFonts w:ascii="Arial" w:hAnsi="Arial" w:cs="Arial"/>
          <w:sz w:val="24"/>
          <w:szCs w:val="24"/>
        </w:rPr>
        <w:t>h</w:t>
      </w:r>
      <w:r w:rsidR="00A007DB" w:rsidRPr="00933C28">
        <w:rPr>
          <w:rFonts w:ascii="Arial" w:hAnsi="Arial" w:cs="Arial"/>
          <w:sz w:val="24"/>
          <w:szCs w:val="24"/>
        </w:rPr>
        <w:t>e</w:t>
      </w:r>
      <w:r w:rsidR="00D775D1" w:rsidRPr="00933C28">
        <w:rPr>
          <w:rFonts w:ascii="Arial" w:hAnsi="Arial" w:cs="Arial"/>
          <w:sz w:val="24"/>
          <w:szCs w:val="24"/>
        </w:rPr>
        <w:t xml:space="preserve"> was </w:t>
      </w:r>
      <w:r w:rsidR="00A007DB" w:rsidRPr="00933C28">
        <w:rPr>
          <w:rFonts w:ascii="Arial" w:hAnsi="Arial" w:cs="Arial"/>
          <w:sz w:val="24"/>
          <w:szCs w:val="24"/>
        </w:rPr>
        <w:t>supposed to</w:t>
      </w:r>
      <w:r w:rsidR="00D775D1" w:rsidRPr="00933C28">
        <w:rPr>
          <w:rFonts w:ascii="Arial" w:hAnsi="Arial" w:cs="Arial"/>
          <w:sz w:val="24"/>
          <w:szCs w:val="24"/>
        </w:rPr>
        <w:t xml:space="preserve"> pay back over R7.1 million, he submitted. Rhetorically, he enquired, if MS4 and MS5 are </w:t>
      </w:r>
      <w:r w:rsidR="00A007DB" w:rsidRPr="00933C28">
        <w:rPr>
          <w:rFonts w:ascii="Arial" w:hAnsi="Arial" w:cs="Arial"/>
          <w:sz w:val="24"/>
          <w:szCs w:val="24"/>
        </w:rPr>
        <w:t>legitimate</w:t>
      </w:r>
      <w:r w:rsidR="008641DF" w:rsidRPr="00933C28">
        <w:rPr>
          <w:rFonts w:ascii="Arial" w:hAnsi="Arial" w:cs="Arial"/>
          <w:sz w:val="24"/>
          <w:szCs w:val="24"/>
        </w:rPr>
        <w:t>,</w:t>
      </w:r>
      <w:r w:rsidR="00A007DB" w:rsidRPr="00933C28">
        <w:rPr>
          <w:rFonts w:ascii="Arial" w:hAnsi="Arial" w:cs="Arial"/>
          <w:sz w:val="24"/>
          <w:szCs w:val="24"/>
        </w:rPr>
        <w:t xml:space="preserve"> – combined </w:t>
      </w:r>
      <w:r w:rsidR="00CB0B10">
        <w:rPr>
          <w:rFonts w:ascii="Arial" w:hAnsi="Arial" w:cs="Arial"/>
          <w:sz w:val="24"/>
          <w:szCs w:val="24"/>
        </w:rPr>
        <w:t xml:space="preserve">they </w:t>
      </w:r>
      <w:r w:rsidR="00A007DB" w:rsidRPr="00933C28">
        <w:rPr>
          <w:rFonts w:ascii="Arial" w:hAnsi="Arial" w:cs="Arial"/>
          <w:sz w:val="24"/>
          <w:szCs w:val="24"/>
        </w:rPr>
        <w:t>come to R4</w:t>
      </w:r>
      <w:r w:rsidR="0060661B" w:rsidRPr="00933C28">
        <w:rPr>
          <w:rFonts w:ascii="Arial" w:hAnsi="Arial" w:cs="Arial"/>
          <w:sz w:val="24"/>
          <w:szCs w:val="24"/>
        </w:rPr>
        <w:t xml:space="preserve"> </w:t>
      </w:r>
      <w:r w:rsidR="00A007DB" w:rsidRPr="00933C28">
        <w:rPr>
          <w:rFonts w:ascii="Arial" w:hAnsi="Arial" w:cs="Arial"/>
          <w:sz w:val="24"/>
          <w:szCs w:val="24"/>
        </w:rPr>
        <w:t>5</w:t>
      </w:r>
      <w:r w:rsidR="0060661B" w:rsidRPr="00933C28">
        <w:rPr>
          <w:rFonts w:ascii="Arial" w:hAnsi="Arial" w:cs="Arial"/>
          <w:sz w:val="24"/>
          <w:szCs w:val="24"/>
        </w:rPr>
        <w:t>17 421. 00</w:t>
      </w:r>
      <w:r w:rsidR="00894576" w:rsidRPr="00933C28">
        <w:rPr>
          <w:rFonts w:ascii="Arial" w:hAnsi="Arial" w:cs="Arial"/>
          <w:sz w:val="24"/>
          <w:szCs w:val="24"/>
        </w:rPr>
        <w:t xml:space="preserve"> </w:t>
      </w:r>
      <w:r w:rsidR="004E5567">
        <w:rPr>
          <w:rFonts w:ascii="Arial" w:hAnsi="Arial" w:cs="Arial"/>
          <w:sz w:val="24"/>
          <w:szCs w:val="24"/>
        </w:rPr>
        <w:t>-</w:t>
      </w:r>
      <w:r w:rsidR="00CB0B10">
        <w:rPr>
          <w:rFonts w:ascii="Arial" w:hAnsi="Arial" w:cs="Arial"/>
          <w:sz w:val="24"/>
          <w:szCs w:val="24"/>
        </w:rPr>
        <w:t xml:space="preserve"> </w:t>
      </w:r>
      <w:r w:rsidR="00D775D1" w:rsidRPr="00933C28">
        <w:rPr>
          <w:rFonts w:ascii="Arial" w:hAnsi="Arial" w:cs="Arial"/>
          <w:sz w:val="24"/>
          <w:szCs w:val="24"/>
        </w:rPr>
        <w:t xml:space="preserve">where </w:t>
      </w:r>
      <w:r w:rsidR="0003631A">
        <w:rPr>
          <w:rFonts w:ascii="Arial" w:hAnsi="Arial" w:cs="Arial"/>
          <w:sz w:val="24"/>
          <w:szCs w:val="24"/>
        </w:rPr>
        <w:t xml:space="preserve">did </w:t>
      </w:r>
      <w:r w:rsidR="00D775D1" w:rsidRPr="00933C28">
        <w:rPr>
          <w:rFonts w:ascii="Arial" w:hAnsi="Arial" w:cs="Arial"/>
          <w:sz w:val="24"/>
          <w:szCs w:val="24"/>
        </w:rPr>
        <w:t xml:space="preserve">the </w:t>
      </w:r>
      <w:r w:rsidR="00A007DB" w:rsidRPr="00933C28">
        <w:rPr>
          <w:rFonts w:ascii="Arial" w:hAnsi="Arial" w:cs="Arial"/>
          <w:sz w:val="24"/>
          <w:szCs w:val="24"/>
        </w:rPr>
        <w:t>R7.5 million t</w:t>
      </w:r>
      <w:r w:rsidR="0007675E" w:rsidRPr="00933C28">
        <w:rPr>
          <w:rFonts w:ascii="Arial" w:hAnsi="Arial" w:cs="Arial"/>
          <w:sz w:val="24"/>
          <w:szCs w:val="24"/>
        </w:rPr>
        <w:t>o</w:t>
      </w:r>
      <w:r w:rsidR="00A007DB" w:rsidRPr="00933C28">
        <w:rPr>
          <w:rFonts w:ascii="Arial" w:hAnsi="Arial" w:cs="Arial"/>
          <w:sz w:val="24"/>
          <w:szCs w:val="24"/>
        </w:rPr>
        <w:t xml:space="preserve"> purchase the house</w:t>
      </w:r>
      <w:r w:rsidR="004E5567">
        <w:rPr>
          <w:rFonts w:ascii="Arial" w:hAnsi="Arial" w:cs="Arial"/>
          <w:sz w:val="24"/>
          <w:szCs w:val="24"/>
        </w:rPr>
        <w:t xml:space="preserve"> </w:t>
      </w:r>
      <w:r w:rsidR="004E5567" w:rsidRPr="00933C28">
        <w:rPr>
          <w:rFonts w:ascii="Arial" w:hAnsi="Arial" w:cs="Arial"/>
          <w:sz w:val="24"/>
          <w:szCs w:val="24"/>
        </w:rPr>
        <w:t>c</w:t>
      </w:r>
      <w:r w:rsidR="0003631A">
        <w:rPr>
          <w:rFonts w:ascii="Arial" w:hAnsi="Arial" w:cs="Arial"/>
          <w:sz w:val="24"/>
          <w:szCs w:val="24"/>
        </w:rPr>
        <w:t>o</w:t>
      </w:r>
      <w:r w:rsidR="004E5567" w:rsidRPr="00933C28">
        <w:rPr>
          <w:rFonts w:ascii="Arial" w:hAnsi="Arial" w:cs="Arial"/>
          <w:sz w:val="24"/>
          <w:szCs w:val="24"/>
        </w:rPr>
        <w:t>me from</w:t>
      </w:r>
      <w:r w:rsidR="000B3EA0">
        <w:rPr>
          <w:rFonts w:ascii="Arial" w:hAnsi="Arial" w:cs="Arial"/>
          <w:sz w:val="24"/>
          <w:szCs w:val="24"/>
        </w:rPr>
        <w:t>?</w:t>
      </w:r>
    </w:p>
    <w:p w14:paraId="7DB2865D" w14:textId="77777777" w:rsidR="000806FE" w:rsidRPr="00933C28" w:rsidRDefault="000806FE" w:rsidP="00722566">
      <w:pPr>
        <w:pStyle w:val="ListParagraph"/>
        <w:spacing w:line="360" w:lineRule="auto"/>
        <w:rPr>
          <w:rFonts w:ascii="Arial" w:hAnsi="Arial" w:cs="Arial"/>
          <w:sz w:val="24"/>
          <w:szCs w:val="24"/>
        </w:rPr>
      </w:pPr>
    </w:p>
    <w:p w14:paraId="3AB78EC3" w14:textId="4A38763E" w:rsidR="00FD30A9" w:rsidRPr="00933C28" w:rsidRDefault="007E3027" w:rsidP="00722566">
      <w:pPr>
        <w:pStyle w:val="ListParagraph"/>
        <w:spacing w:line="360" w:lineRule="auto"/>
        <w:ind w:left="0"/>
        <w:jc w:val="both"/>
        <w:rPr>
          <w:rFonts w:ascii="Arial" w:hAnsi="Arial" w:cs="Arial"/>
          <w:sz w:val="24"/>
          <w:szCs w:val="24"/>
        </w:rPr>
      </w:pPr>
      <w:r>
        <w:rPr>
          <w:rFonts w:ascii="Arial" w:hAnsi="Arial" w:cs="Arial"/>
          <w:sz w:val="24"/>
          <w:szCs w:val="24"/>
        </w:rPr>
        <w:lastRenderedPageBreak/>
        <w:t>[3</w:t>
      </w:r>
      <w:r w:rsidR="00F577AF">
        <w:rPr>
          <w:rFonts w:ascii="Arial" w:hAnsi="Arial" w:cs="Arial"/>
          <w:sz w:val="24"/>
          <w:szCs w:val="24"/>
        </w:rPr>
        <w:t>5</w:t>
      </w:r>
      <w:r>
        <w:rPr>
          <w:rFonts w:ascii="Arial" w:hAnsi="Arial" w:cs="Arial"/>
          <w:sz w:val="24"/>
          <w:szCs w:val="24"/>
        </w:rPr>
        <w:t>]</w:t>
      </w:r>
      <w:r>
        <w:rPr>
          <w:rFonts w:ascii="Arial" w:hAnsi="Arial" w:cs="Arial"/>
          <w:sz w:val="24"/>
          <w:szCs w:val="24"/>
        </w:rPr>
        <w:tab/>
      </w:r>
      <w:r w:rsidR="00246BD6" w:rsidRPr="00933C28">
        <w:rPr>
          <w:rFonts w:ascii="Arial" w:hAnsi="Arial" w:cs="Arial"/>
          <w:sz w:val="24"/>
          <w:szCs w:val="24"/>
        </w:rPr>
        <w:t xml:space="preserve">Trouble by </w:t>
      </w:r>
      <w:r w:rsidR="00123F39" w:rsidRPr="00933C28">
        <w:rPr>
          <w:rFonts w:ascii="Arial" w:hAnsi="Arial" w:cs="Arial"/>
          <w:sz w:val="24"/>
          <w:szCs w:val="24"/>
        </w:rPr>
        <w:t>the</w:t>
      </w:r>
      <w:r w:rsidR="00E24CA3" w:rsidRPr="00933C28">
        <w:rPr>
          <w:rFonts w:ascii="Arial" w:hAnsi="Arial" w:cs="Arial"/>
          <w:sz w:val="24"/>
          <w:szCs w:val="24"/>
        </w:rPr>
        <w:t xml:space="preserve"> same</w:t>
      </w:r>
      <w:r w:rsidR="00123F39" w:rsidRPr="00933C28">
        <w:rPr>
          <w:rFonts w:ascii="Arial" w:hAnsi="Arial" w:cs="Arial"/>
          <w:sz w:val="24"/>
          <w:szCs w:val="24"/>
        </w:rPr>
        <w:t xml:space="preserve"> question</w:t>
      </w:r>
      <w:r w:rsidR="00F35186" w:rsidRPr="00933C28">
        <w:rPr>
          <w:rFonts w:ascii="Arial" w:hAnsi="Arial" w:cs="Arial"/>
          <w:sz w:val="24"/>
          <w:szCs w:val="24"/>
        </w:rPr>
        <w:t>,</w:t>
      </w:r>
      <w:r w:rsidR="00123F39" w:rsidRPr="00933C28">
        <w:rPr>
          <w:rFonts w:ascii="Arial" w:hAnsi="Arial" w:cs="Arial"/>
          <w:sz w:val="24"/>
          <w:szCs w:val="24"/>
        </w:rPr>
        <w:t xml:space="preserve"> </w:t>
      </w:r>
      <w:r w:rsidR="00F35186" w:rsidRPr="00933C28">
        <w:rPr>
          <w:rFonts w:ascii="Arial" w:hAnsi="Arial" w:cs="Arial"/>
          <w:sz w:val="24"/>
          <w:szCs w:val="24"/>
        </w:rPr>
        <w:t>t</w:t>
      </w:r>
      <w:r w:rsidR="0007675E" w:rsidRPr="00933C28">
        <w:rPr>
          <w:rFonts w:ascii="Arial" w:hAnsi="Arial" w:cs="Arial"/>
          <w:sz w:val="24"/>
          <w:szCs w:val="24"/>
        </w:rPr>
        <w:t xml:space="preserve">his court </w:t>
      </w:r>
      <w:r w:rsidR="00F35186" w:rsidRPr="00933C28">
        <w:rPr>
          <w:rFonts w:ascii="Arial" w:hAnsi="Arial" w:cs="Arial"/>
          <w:sz w:val="24"/>
          <w:szCs w:val="24"/>
        </w:rPr>
        <w:t>enquired from t</w:t>
      </w:r>
      <w:r w:rsidR="00123F39" w:rsidRPr="00933C28">
        <w:rPr>
          <w:rFonts w:ascii="Arial" w:hAnsi="Arial" w:cs="Arial"/>
          <w:sz w:val="24"/>
          <w:szCs w:val="24"/>
        </w:rPr>
        <w:t>he respondent</w:t>
      </w:r>
      <w:r w:rsidR="00F35186" w:rsidRPr="00933C28">
        <w:rPr>
          <w:rFonts w:ascii="Arial" w:hAnsi="Arial" w:cs="Arial"/>
          <w:sz w:val="24"/>
          <w:szCs w:val="24"/>
        </w:rPr>
        <w:t xml:space="preserve">. It was submitted that it was money from </w:t>
      </w:r>
      <w:r w:rsidR="00E24CA3" w:rsidRPr="00933C28">
        <w:rPr>
          <w:rFonts w:ascii="Arial" w:hAnsi="Arial" w:cs="Arial"/>
          <w:sz w:val="24"/>
          <w:szCs w:val="24"/>
        </w:rPr>
        <w:t>savings</w:t>
      </w:r>
      <w:r w:rsidR="00C217F5" w:rsidRPr="00933C28">
        <w:rPr>
          <w:rFonts w:ascii="Arial" w:hAnsi="Arial" w:cs="Arial"/>
          <w:sz w:val="24"/>
          <w:szCs w:val="24"/>
        </w:rPr>
        <w:t xml:space="preserve"> and NLC.</w:t>
      </w:r>
      <w:r w:rsidR="008641DF" w:rsidRPr="00933C28">
        <w:rPr>
          <w:rFonts w:ascii="Arial" w:hAnsi="Arial" w:cs="Arial"/>
          <w:sz w:val="24"/>
          <w:szCs w:val="24"/>
        </w:rPr>
        <w:t xml:space="preserve"> </w:t>
      </w:r>
      <w:r w:rsidR="00AF6AA1" w:rsidRPr="00933C28">
        <w:rPr>
          <w:rFonts w:ascii="Arial" w:hAnsi="Arial" w:cs="Arial"/>
          <w:sz w:val="24"/>
          <w:szCs w:val="24"/>
        </w:rPr>
        <w:t>If one has regard to that SAADA only had R16800.00 in its bank account, before the first tranche,</w:t>
      </w:r>
      <w:r w:rsidR="00A86F4F" w:rsidRPr="00933C28">
        <w:rPr>
          <w:rFonts w:ascii="Arial" w:hAnsi="Arial" w:cs="Arial"/>
          <w:sz w:val="24"/>
          <w:szCs w:val="24"/>
        </w:rPr>
        <w:t xml:space="preserve"> this answer is unsatisfactory.</w:t>
      </w:r>
      <w:r w:rsidR="00AF6AA1" w:rsidRPr="00933C28">
        <w:rPr>
          <w:rFonts w:ascii="Arial" w:hAnsi="Arial" w:cs="Arial"/>
          <w:sz w:val="24"/>
          <w:szCs w:val="24"/>
        </w:rPr>
        <w:t xml:space="preserve"> </w:t>
      </w:r>
      <w:r w:rsidR="00E24CA3" w:rsidRPr="00933C28">
        <w:rPr>
          <w:rFonts w:ascii="Arial" w:hAnsi="Arial" w:cs="Arial"/>
          <w:sz w:val="24"/>
          <w:szCs w:val="24"/>
        </w:rPr>
        <w:t xml:space="preserve">This court is still in the dark as to </w:t>
      </w:r>
      <w:r w:rsidR="00C328D9" w:rsidRPr="00933C28">
        <w:rPr>
          <w:rFonts w:ascii="Arial" w:hAnsi="Arial" w:cs="Arial"/>
          <w:sz w:val="24"/>
          <w:szCs w:val="24"/>
        </w:rPr>
        <w:t xml:space="preserve">where the money </w:t>
      </w:r>
      <w:r w:rsidR="00E02C1E" w:rsidRPr="00933C28">
        <w:rPr>
          <w:rFonts w:ascii="Arial" w:hAnsi="Arial" w:cs="Arial"/>
          <w:sz w:val="24"/>
          <w:szCs w:val="24"/>
        </w:rPr>
        <w:t xml:space="preserve">used in the purchase of the property </w:t>
      </w:r>
      <w:r w:rsidR="00C328D9" w:rsidRPr="00933C28">
        <w:rPr>
          <w:rFonts w:ascii="Arial" w:hAnsi="Arial" w:cs="Arial"/>
          <w:sz w:val="24"/>
          <w:szCs w:val="24"/>
        </w:rPr>
        <w:t>c</w:t>
      </w:r>
      <w:r w:rsidR="00E02C1E" w:rsidRPr="00933C28">
        <w:rPr>
          <w:rFonts w:ascii="Arial" w:hAnsi="Arial" w:cs="Arial"/>
          <w:sz w:val="24"/>
          <w:szCs w:val="24"/>
        </w:rPr>
        <w:t>a</w:t>
      </w:r>
      <w:r w:rsidR="00C328D9" w:rsidRPr="00933C28">
        <w:rPr>
          <w:rFonts w:ascii="Arial" w:hAnsi="Arial" w:cs="Arial"/>
          <w:sz w:val="24"/>
          <w:szCs w:val="24"/>
        </w:rPr>
        <w:t>me from</w:t>
      </w:r>
      <w:r w:rsidR="00E02C1E" w:rsidRPr="00933C28">
        <w:rPr>
          <w:rFonts w:ascii="Arial" w:hAnsi="Arial" w:cs="Arial"/>
          <w:sz w:val="24"/>
          <w:szCs w:val="24"/>
        </w:rPr>
        <w:t>, apart from NLC</w:t>
      </w:r>
      <w:r w:rsidR="00C328D9" w:rsidRPr="00933C28">
        <w:rPr>
          <w:rFonts w:ascii="Arial" w:hAnsi="Arial" w:cs="Arial"/>
          <w:sz w:val="24"/>
          <w:szCs w:val="24"/>
        </w:rPr>
        <w:t xml:space="preserve">. </w:t>
      </w:r>
      <w:r w:rsidR="00A73A7C" w:rsidRPr="00933C28">
        <w:rPr>
          <w:rFonts w:ascii="Arial" w:hAnsi="Arial" w:cs="Arial"/>
          <w:sz w:val="24"/>
          <w:szCs w:val="24"/>
        </w:rPr>
        <w:t xml:space="preserve"> </w:t>
      </w:r>
    </w:p>
    <w:p w14:paraId="47A4C3F5" w14:textId="408E993C" w:rsidR="00FD30A9" w:rsidRPr="00933C28" w:rsidRDefault="00A73A7C" w:rsidP="00722566">
      <w:pPr>
        <w:pStyle w:val="ListParagraph"/>
        <w:spacing w:line="360" w:lineRule="auto"/>
        <w:ind w:left="0"/>
        <w:jc w:val="both"/>
        <w:rPr>
          <w:rFonts w:ascii="Arial" w:hAnsi="Arial" w:cs="Arial"/>
          <w:sz w:val="24"/>
          <w:szCs w:val="24"/>
        </w:rPr>
      </w:pPr>
      <w:r w:rsidRPr="00933C28">
        <w:rPr>
          <w:rFonts w:ascii="Arial" w:hAnsi="Arial" w:cs="Arial"/>
          <w:sz w:val="24"/>
          <w:szCs w:val="24"/>
        </w:rPr>
        <w:t xml:space="preserve"> </w:t>
      </w:r>
    </w:p>
    <w:p w14:paraId="01D89C4F" w14:textId="0CDAEF28" w:rsidR="00FD30A9" w:rsidRPr="00933C28" w:rsidRDefault="009A4ED9" w:rsidP="00184B20">
      <w:pPr>
        <w:pStyle w:val="ListParagraph"/>
        <w:spacing w:after="0" w:line="360" w:lineRule="auto"/>
        <w:ind w:left="0"/>
        <w:jc w:val="both"/>
        <w:rPr>
          <w:rFonts w:ascii="Arial" w:hAnsi="Arial" w:cs="Arial"/>
          <w:i/>
          <w:iCs/>
          <w:sz w:val="24"/>
          <w:szCs w:val="24"/>
        </w:rPr>
      </w:pPr>
      <w:r w:rsidRPr="00933C28">
        <w:rPr>
          <w:rFonts w:ascii="Arial" w:hAnsi="Arial" w:cs="Arial"/>
          <w:i/>
          <w:iCs/>
          <w:sz w:val="24"/>
          <w:szCs w:val="24"/>
        </w:rPr>
        <w:t xml:space="preserve">Conclusion </w:t>
      </w:r>
    </w:p>
    <w:p w14:paraId="43F83FC0" w14:textId="02C45474" w:rsidR="009A4ED9" w:rsidRDefault="007E3027" w:rsidP="00184B20">
      <w:pPr>
        <w:spacing w:after="0" w:line="360" w:lineRule="auto"/>
        <w:jc w:val="both"/>
        <w:rPr>
          <w:rFonts w:ascii="Arial" w:hAnsi="Arial" w:cs="Arial"/>
          <w:sz w:val="24"/>
          <w:szCs w:val="24"/>
        </w:rPr>
      </w:pPr>
      <w:r>
        <w:rPr>
          <w:rFonts w:ascii="Arial" w:hAnsi="Arial" w:cs="Arial"/>
          <w:sz w:val="24"/>
          <w:szCs w:val="24"/>
        </w:rPr>
        <w:t>[3</w:t>
      </w:r>
      <w:r w:rsidR="00F577AF">
        <w:rPr>
          <w:rFonts w:ascii="Arial" w:hAnsi="Arial" w:cs="Arial"/>
          <w:sz w:val="24"/>
          <w:szCs w:val="24"/>
        </w:rPr>
        <w:t>6</w:t>
      </w:r>
      <w:r>
        <w:rPr>
          <w:rFonts w:ascii="Arial" w:hAnsi="Arial" w:cs="Arial"/>
          <w:sz w:val="24"/>
          <w:szCs w:val="24"/>
        </w:rPr>
        <w:t>]</w:t>
      </w:r>
      <w:r>
        <w:rPr>
          <w:rFonts w:ascii="Arial" w:hAnsi="Arial" w:cs="Arial"/>
          <w:sz w:val="24"/>
          <w:szCs w:val="24"/>
        </w:rPr>
        <w:tab/>
      </w:r>
      <w:r w:rsidR="00A624D7" w:rsidRPr="007E3027">
        <w:rPr>
          <w:rFonts w:ascii="Arial" w:hAnsi="Arial" w:cs="Arial"/>
          <w:sz w:val="24"/>
          <w:szCs w:val="24"/>
        </w:rPr>
        <w:t>W</w:t>
      </w:r>
      <w:r w:rsidR="00AF26FF" w:rsidRPr="007E3027">
        <w:rPr>
          <w:rFonts w:ascii="Arial" w:hAnsi="Arial" w:cs="Arial"/>
          <w:sz w:val="24"/>
          <w:szCs w:val="24"/>
        </w:rPr>
        <w:t>hen all is said and done, the</w:t>
      </w:r>
      <w:r w:rsidR="00533E93" w:rsidRPr="007E3027">
        <w:rPr>
          <w:rFonts w:ascii="Arial" w:hAnsi="Arial" w:cs="Arial"/>
          <w:sz w:val="24"/>
          <w:szCs w:val="24"/>
        </w:rPr>
        <w:t xml:space="preserve"> vexed question </w:t>
      </w:r>
      <w:r w:rsidR="008E56A5">
        <w:rPr>
          <w:rFonts w:ascii="Arial" w:hAnsi="Arial" w:cs="Arial"/>
          <w:sz w:val="24"/>
          <w:szCs w:val="24"/>
        </w:rPr>
        <w:t xml:space="preserve">facing this court </w:t>
      </w:r>
      <w:r w:rsidR="00533E93" w:rsidRPr="007E3027">
        <w:rPr>
          <w:rFonts w:ascii="Arial" w:hAnsi="Arial" w:cs="Arial"/>
          <w:sz w:val="24"/>
          <w:szCs w:val="24"/>
        </w:rPr>
        <w:t>is if I w</w:t>
      </w:r>
      <w:r w:rsidR="008E56A5">
        <w:rPr>
          <w:rFonts w:ascii="Arial" w:hAnsi="Arial" w:cs="Arial"/>
          <w:sz w:val="24"/>
          <w:szCs w:val="24"/>
        </w:rPr>
        <w:t>ere</w:t>
      </w:r>
      <w:r w:rsidR="00533E93" w:rsidRPr="007E3027">
        <w:rPr>
          <w:rFonts w:ascii="Arial" w:hAnsi="Arial" w:cs="Arial"/>
          <w:sz w:val="24"/>
          <w:szCs w:val="24"/>
        </w:rPr>
        <w:t xml:space="preserve"> confronted with the facts submitted by </w:t>
      </w:r>
      <w:r w:rsidR="008E56A5">
        <w:rPr>
          <w:rFonts w:ascii="Arial" w:hAnsi="Arial" w:cs="Arial"/>
          <w:sz w:val="24"/>
          <w:szCs w:val="24"/>
        </w:rPr>
        <w:t xml:space="preserve">both </w:t>
      </w:r>
      <w:r w:rsidR="00533E93" w:rsidRPr="007E3027">
        <w:rPr>
          <w:rFonts w:ascii="Arial" w:hAnsi="Arial" w:cs="Arial"/>
          <w:sz w:val="24"/>
          <w:szCs w:val="24"/>
        </w:rPr>
        <w:t xml:space="preserve">the respondent and applicant would I have given the preservation order, as the court did </w:t>
      </w:r>
      <w:r w:rsidR="00AB3CF8" w:rsidRPr="007E3027">
        <w:rPr>
          <w:rFonts w:ascii="Arial" w:hAnsi="Arial" w:cs="Arial"/>
          <w:sz w:val="24"/>
          <w:szCs w:val="24"/>
        </w:rPr>
        <w:t>in</w:t>
      </w:r>
      <w:r w:rsidR="00533E93" w:rsidRPr="007E3027">
        <w:rPr>
          <w:rFonts w:ascii="Arial" w:hAnsi="Arial" w:cs="Arial"/>
          <w:sz w:val="24"/>
          <w:szCs w:val="24"/>
        </w:rPr>
        <w:t xml:space="preserve"> the </w:t>
      </w:r>
      <w:r w:rsidR="00533E93" w:rsidRPr="007E3027">
        <w:rPr>
          <w:rFonts w:ascii="Arial" w:hAnsi="Arial" w:cs="Arial"/>
          <w:i/>
          <w:iCs/>
          <w:sz w:val="24"/>
          <w:szCs w:val="24"/>
        </w:rPr>
        <w:t xml:space="preserve">ex parte </w:t>
      </w:r>
      <w:r w:rsidR="00533E93" w:rsidRPr="007E3027">
        <w:rPr>
          <w:rFonts w:ascii="Arial" w:hAnsi="Arial" w:cs="Arial"/>
          <w:sz w:val="24"/>
          <w:szCs w:val="24"/>
        </w:rPr>
        <w:t>application</w:t>
      </w:r>
      <w:r w:rsidR="00AF26FF" w:rsidRPr="007E3027">
        <w:rPr>
          <w:rFonts w:ascii="Arial" w:hAnsi="Arial" w:cs="Arial"/>
          <w:sz w:val="24"/>
          <w:szCs w:val="24"/>
        </w:rPr>
        <w:t>?</w:t>
      </w:r>
      <w:r w:rsidR="00533E93" w:rsidRPr="007E3027">
        <w:rPr>
          <w:rFonts w:ascii="Arial" w:hAnsi="Arial" w:cs="Arial"/>
          <w:sz w:val="24"/>
          <w:szCs w:val="24"/>
        </w:rPr>
        <w:t xml:space="preserve"> </w:t>
      </w:r>
      <w:r w:rsidR="00AF26FF" w:rsidRPr="007E3027">
        <w:rPr>
          <w:rFonts w:ascii="Arial" w:hAnsi="Arial" w:cs="Arial"/>
          <w:sz w:val="24"/>
          <w:szCs w:val="24"/>
        </w:rPr>
        <w:t>Mindful of the standard of proof required to g</w:t>
      </w:r>
      <w:r w:rsidR="008E56A5">
        <w:rPr>
          <w:rFonts w:ascii="Arial" w:hAnsi="Arial" w:cs="Arial"/>
          <w:sz w:val="24"/>
          <w:szCs w:val="24"/>
        </w:rPr>
        <w:t>rant</w:t>
      </w:r>
      <w:r w:rsidR="00AF26FF" w:rsidRPr="007E3027">
        <w:rPr>
          <w:rFonts w:ascii="Arial" w:hAnsi="Arial" w:cs="Arial"/>
          <w:sz w:val="24"/>
          <w:szCs w:val="24"/>
        </w:rPr>
        <w:t xml:space="preserve"> this order, </w:t>
      </w:r>
      <w:r w:rsidR="00AB3CF8" w:rsidRPr="007E3027">
        <w:rPr>
          <w:rFonts w:ascii="Arial" w:hAnsi="Arial" w:cs="Arial"/>
          <w:sz w:val="24"/>
          <w:szCs w:val="24"/>
        </w:rPr>
        <w:t>m</w:t>
      </w:r>
      <w:r w:rsidR="00533E93" w:rsidRPr="007E3027">
        <w:rPr>
          <w:rFonts w:ascii="Arial" w:hAnsi="Arial" w:cs="Arial"/>
          <w:sz w:val="24"/>
          <w:szCs w:val="24"/>
        </w:rPr>
        <w:t xml:space="preserve">y </w:t>
      </w:r>
      <w:r w:rsidR="00AF26FF" w:rsidRPr="007E3027">
        <w:rPr>
          <w:rFonts w:ascii="Arial" w:hAnsi="Arial" w:cs="Arial"/>
          <w:sz w:val="24"/>
          <w:szCs w:val="24"/>
        </w:rPr>
        <w:t>answer is yes.</w:t>
      </w:r>
      <w:r w:rsidR="00AB3CF8" w:rsidRPr="007E3027">
        <w:rPr>
          <w:rFonts w:ascii="Arial" w:hAnsi="Arial" w:cs="Arial"/>
          <w:sz w:val="24"/>
          <w:szCs w:val="24"/>
        </w:rPr>
        <w:t xml:space="preserve"> The respondent has not dealt with the money flow nor given </w:t>
      </w:r>
      <w:r w:rsidR="00517AB7" w:rsidRPr="007E3027">
        <w:rPr>
          <w:rFonts w:ascii="Arial" w:hAnsi="Arial" w:cs="Arial"/>
          <w:sz w:val="24"/>
          <w:szCs w:val="24"/>
        </w:rPr>
        <w:t>a simple explanation</w:t>
      </w:r>
      <w:r w:rsidR="00E2720C">
        <w:rPr>
          <w:rFonts w:ascii="Arial" w:hAnsi="Arial" w:cs="Arial"/>
          <w:sz w:val="24"/>
          <w:szCs w:val="24"/>
        </w:rPr>
        <w:t xml:space="preserve"> </w:t>
      </w:r>
      <w:r w:rsidR="008E56A5">
        <w:rPr>
          <w:rFonts w:ascii="Arial" w:hAnsi="Arial" w:cs="Arial"/>
          <w:sz w:val="24"/>
          <w:szCs w:val="24"/>
        </w:rPr>
        <w:t xml:space="preserve">about </w:t>
      </w:r>
      <w:r w:rsidR="00E2720C">
        <w:rPr>
          <w:rFonts w:ascii="Arial" w:hAnsi="Arial" w:cs="Arial"/>
          <w:sz w:val="24"/>
          <w:szCs w:val="24"/>
        </w:rPr>
        <w:t>from</w:t>
      </w:r>
      <w:r w:rsidR="00517AB7" w:rsidRPr="007E3027">
        <w:rPr>
          <w:rFonts w:ascii="Arial" w:hAnsi="Arial" w:cs="Arial"/>
          <w:sz w:val="24"/>
          <w:szCs w:val="24"/>
        </w:rPr>
        <w:t xml:space="preserve"> </w:t>
      </w:r>
      <w:r w:rsidR="00E2720C">
        <w:rPr>
          <w:rFonts w:ascii="Arial" w:hAnsi="Arial" w:cs="Arial"/>
          <w:sz w:val="24"/>
          <w:szCs w:val="24"/>
        </w:rPr>
        <w:t>where</w:t>
      </w:r>
      <w:r w:rsidR="00517AB7" w:rsidRPr="007E3027">
        <w:rPr>
          <w:rFonts w:ascii="Arial" w:hAnsi="Arial" w:cs="Arial"/>
          <w:sz w:val="24"/>
          <w:szCs w:val="24"/>
        </w:rPr>
        <w:t xml:space="preserve"> it procured the money to purchase the property in question. It may well be that when the standard of proof is raised the applicants </w:t>
      </w:r>
      <w:r w:rsidR="00A624D7" w:rsidRPr="007E3027">
        <w:rPr>
          <w:rFonts w:ascii="Arial" w:hAnsi="Arial" w:cs="Arial"/>
          <w:sz w:val="24"/>
          <w:szCs w:val="24"/>
        </w:rPr>
        <w:t>w</w:t>
      </w:r>
      <w:r w:rsidR="00F930C1">
        <w:rPr>
          <w:rFonts w:ascii="Arial" w:hAnsi="Arial" w:cs="Arial"/>
          <w:sz w:val="24"/>
          <w:szCs w:val="24"/>
        </w:rPr>
        <w:t xml:space="preserve">ould </w:t>
      </w:r>
      <w:r w:rsidR="00517AB7" w:rsidRPr="007E3027">
        <w:rPr>
          <w:rFonts w:ascii="Arial" w:hAnsi="Arial" w:cs="Arial"/>
          <w:sz w:val="24"/>
          <w:szCs w:val="24"/>
        </w:rPr>
        <w:t xml:space="preserve">fail to prove their case. </w:t>
      </w:r>
      <w:r w:rsidR="00A624D7" w:rsidRPr="007E3027">
        <w:rPr>
          <w:rFonts w:ascii="Arial" w:hAnsi="Arial" w:cs="Arial"/>
          <w:sz w:val="24"/>
          <w:szCs w:val="24"/>
        </w:rPr>
        <w:t>H</w:t>
      </w:r>
      <w:r w:rsidR="00517AB7" w:rsidRPr="007E3027">
        <w:rPr>
          <w:rFonts w:ascii="Arial" w:hAnsi="Arial" w:cs="Arial"/>
          <w:sz w:val="24"/>
          <w:szCs w:val="24"/>
        </w:rPr>
        <w:t>owever, at this stage</w:t>
      </w:r>
      <w:r w:rsidR="00CC59C1" w:rsidRPr="007E3027">
        <w:rPr>
          <w:rFonts w:ascii="Arial" w:hAnsi="Arial" w:cs="Arial"/>
          <w:sz w:val="24"/>
          <w:szCs w:val="24"/>
        </w:rPr>
        <w:t xml:space="preserve">, </w:t>
      </w:r>
      <w:r w:rsidR="008E7ECC" w:rsidRPr="007E3027">
        <w:rPr>
          <w:rFonts w:ascii="Arial" w:hAnsi="Arial" w:cs="Arial"/>
          <w:sz w:val="24"/>
          <w:szCs w:val="24"/>
        </w:rPr>
        <w:t>I</w:t>
      </w:r>
      <w:r w:rsidR="00E2720C">
        <w:rPr>
          <w:rFonts w:ascii="Arial" w:hAnsi="Arial" w:cs="Arial"/>
          <w:sz w:val="24"/>
          <w:szCs w:val="24"/>
        </w:rPr>
        <w:t xml:space="preserve"> am</w:t>
      </w:r>
      <w:r w:rsidR="008E7ECC" w:rsidRPr="007E3027">
        <w:rPr>
          <w:rFonts w:ascii="Arial" w:hAnsi="Arial" w:cs="Arial"/>
          <w:sz w:val="24"/>
          <w:szCs w:val="24"/>
        </w:rPr>
        <w:t xml:space="preserve"> not persuaded that </w:t>
      </w:r>
      <w:r w:rsidR="00CC59C1" w:rsidRPr="007E3027">
        <w:rPr>
          <w:rFonts w:ascii="Arial" w:hAnsi="Arial" w:cs="Arial"/>
          <w:sz w:val="24"/>
          <w:szCs w:val="24"/>
        </w:rPr>
        <w:t xml:space="preserve">the preservation order </w:t>
      </w:r>
      <w:r w:rsidR="008E7ECC" w:rsidRPr="007E3027">
        <w:rPr>
          <w:rFonts w:ascii="Arial" w:hAnsi="Arial" w:cs="Arial"/>
          <w:sz w:val="24"/>
          <w:szCs w:val="24"/>
        </w:rPr>
        <w:t>should be interfered wit</w:t>
      </w:r>
      <w:r w:rsidR="00C528D5" w:rsidRPr="007E3027">
        <w:rPr>
          <w:rFonts w:ascii="Arial" w:hAnsi="Arial" w:cs="Arial"/>
          <w:sz w:val="24"/>
          <w:szCs w:val="24"/>
        </w:rPr>
        <w:t xml:space="preserve">h. </w:t>
      </w:r>
    </w:p>
    <w:p w14:paraId="1B7E134E" w14:textId="77777777" w:rsidR="00184B20" w:rsidRPr="007E3027" w:rsidRDefault="00184B20" w:rsidP="00184B20">
      <w:pPr>
        <w:spacing w:after="0" w:line="360" w:lineRule="auto"/>
        <w:jc w:val="both"/>
        <w:rPr>
          <w:rFonts w:ascii="Arial" w:hAnsi="Arial" w:cs="Arial"/>
          <w:sz w:val="24"/>
          <w:szCs w:val="24"/>
        </w:rPr>
      </w:pPr>
    </w:p>
    <w:p w14:paraId="36DCB851" w14:textId="77777777" w:rsidR="00184B20" w:rsidRDefault="009A4ED9" w:rsidP="00184B20">
      <w:pPr>
        <w:spacing w:line="360" w:lineRule="auto"/>
        <w:jc w:val="both"/>
        <w:rPr>
          <w:rFonts w:ascii="Arial" w:hAnsi="Arial" w:cs="Arial"/>
          <w:i/>
          <w:iCs/>
          <w:sz w:val="24"/>
          <w:szCs w:val="24"/>
        </w:rPr>
      </w:pPr>
      <w:r w:rsidRPr="00933C28">
        <w:rPr>
          <w:rFonts w:ascii="Arial" w:hAnsi="Arial" w:cs="Arial"/>
          <w:i/>
          <w:iCs/>
          <w:sz w:val="24"/>
          <w:szCs w:val="24"/>
        </w:rPr>
        <w:t xml:space="preserve">Costs </w:t>
      </w:r>
    </w:p>
    <w:p w14:paraId="64998289" w14:textId="0BC2CF88" w:rsidR="005B64E6" w:rsidRPr="00184B20" w:rsidRDefault="00184B20" w:rsidP="00184B20">
      <w:pPr>
        <w:spacing w:line="360" w:lineRule="auto"/>
        <w:jc w:val="both"/>
        <w:rPr>
          <w:rFonts w:ascii="Arial" w:hAnsi="Arial" w:cs="Arial"/>
          <w:i/>
          <w:iCs/>
          <w:sz w:val="24"/>
          <w:szCs w:val="24"/>
        </w:rPr>
      </w:pPr>
      <w:r>
        <w:rPr>
          <w:rFonts w:ascii="Arial" w:hAnsi="Arial" w:cs="Arial"/>
          <w:sz w:val="24"/>
          <w:szCs w:val="24"/>
        </w:rPr>
        <w:t>[3</w:t>
      </w:r>
      <w:r w:rsidR="00F577AF">
        <w:rPr>
          <w:rFonts w:ascii="Arial" w:hAnsi="Arial" w:cs="Arial"/>
          <w:sz w:val="24"/>
          <w:szCs w:val="24"/>
        </w:rPr>
        <w:t>7</w:t>
      </w:r>
      <w:r>
        <w:rPr>
          <w:rFonts w:ascii="Arial" w:hAnsi="Arial" w:cs="Arial"/>
          <w:sz w:val="24"/>
          <w:szCs w:val="24"/>
        </w:rPr>
        <w:t>]</w:t>
      </w:r>
      <w:r>
        <w:rPr>
          <w:rFonts w:ascii="Arial" w:hAnsi="Arial" w:cs="Arial"/>
          <w:sz w:val="24"/>
          <w:szCs w:val="24"/>
        </w:rPr>
        <w:tab/>
      </w:r>
      <w:r w:rsidR="009A4ED9" w:rsidRPr="00933C28">
        <w:rPr>
          <w:rFonts w:ascii="Arial" w:hAnsi="Arial" w:cs="Arial"/>
          <w:sz w:val="24"/>
          <w:szCs w:val="24"/>
        </w:rPr>
        <w:t xml:space="preserve">It is trite that costs follow the result. </w:t>
      </w:r>
      <w:r w:rsidR="00363EE4" w:rsidRPr="00933C28">
        <w:rPr>
          <w:rFonts w:ascii="Arial" w:hAnsi="Arial" w:cs="Arial"/>
          <w:sz w:val="24"/>
          <w:szCs w:val="24"/>
        </w:rPr>
        <w:t xml:space="preserve">I can find no reason to </w:t>
      </w:r>
      <w:r w:rsidR="00A8069D" w:rsidRPr="00933C28">
        <w:rPr>
          <w:rFonts w:ascii="Arial" w:hAnsi="Arial" w:cs="Arial"/>
          <w:sz w:val="24"/>
          <w:szCs w:val="24"/>
        </w:rPr>
        <w:t>depart from this well-tr</w:t>
      </w:r>
      <w:r w:rsidR="00D74FDA">
        <w:rPr>
          <w:rFonts w:ascii="Arial" w:hAnsi="Arial" w:cs="Arial"/>
          <w:sz w:val="24"/>
          <w:szCs w:val="24"/>
        </w:rPr>
        <w:t>odden</w:t>
      </w:r>
      <w:r w:rsidR="00A8069D" w:rsidRPr="00933C28">
        <w:rPr>
          <w:rFonts w:ascii="Arial" w:hAnsi="Arial" w:cs="Arial"/>
          <w:sz w:val="24"/>
          <w:szCs w:val="24"/>
        </w:rPr>
        <w:t xml:space="preserve"> </w:t>
      </w:r>
      <w:r w:rsidR="00FA583F">
        <w:rPr>
          <w:rFonts w:ascii="Arial" w:hAnsi="Arial" w:cs="Arial"/>
          <w:sz w:val="24"/>
          <w:szCs w:val="24"/>
        </w:rPr>
        <w:t>path</w:t>
      </w:r>
      <w:r w:rsidR="00A8069D" w:rsidRPr="00933C28">
        <w:rPr>
          <w:rFonts w:ascii="Arial" w:hAnsi="Arial" w:cs="Arial"/>
          <w:sz w:val="24"/>
          <w:szCs w:val="24"/>
        </w:rPr>
        <w:t xml:space="preserve">. </w:t>
      </w:r>
    </w:p>
    <w:p w14:paraId="54DD6807" w14:textId="77777777" w:rsidR="00933C28" w:rsidRPr="00933C28" w:rsidRDefault="00933C28" w:rsidP="00722566">
      <w:pPr>
        <w:pStyle w:val="ListParagraph"/>
        <w:spacing w:line="360" w:lineRule="auto"/>
        <w:ind w:left="0"/>
        <w:jc w:val="both"/>
        <w:rPr>
          <w:rFonts w:ascii="Arial" w:hAnsi="Arial" w:cs="Arial"/>
          <w:sz w:val="24"/>
          <w:szCs w:val="24"/>
        </w:rPr>
      </w:pPr>
    </w:p>
    <w:p w14:paraId="57A8E286" w14:textId="08D2DFBB" w:rsidR="00802247" w:rsidRPr="00184B20" w:rsidRDefault="00802247" w:rsidP="00722566">
      <w:pPr>
        <w:spacing w:line="360" w:lineRule="auto"/>
        <w:jc w:val="both"/>
        <w:rPr>
          <w:rFonts w:ascii="Arial" w:hAnsi="Arial" w:cs="Arial"/>
          <w:b/>
          <w:bCs/>
          <w:sz w:val="24"/>
          <w:szCs w:val="24"/>
        </w:rPr>
      </w:pPr>
      <w:r w:rsidRPr="00184B20">
        <w:rPr>
          <w:rFonts w:ascii="Arial" w:hAnsi="Arial" w:cs="Arial"/>
          <w:b/>
          <w:bCs/>
          <w:sz w:val="24"/>
          <w:szCs w:val="24"/>
        </w:rPr>
        <w:t>ORDER</w:t>
      </w:r>
    </w:p>
    <w:p w14:paraId="40D7635E" w14:textId="77777777" w:rsidR="00B23613" w:rsidRDefault="00802247" w:rsidP="00B23613">
      <w:pPr>
        <w:pStyle w:val="ListParagraph"/>
        <w:numPr>
          <w:ilvl w:val="0"/>
          <w:numId w:val="7"/>
        </w:numPr>
        <w:spacing w:line="360" w:lineRule="auto"/>
        <w:jc w:val="both"/>
        <w:rPr>
          <w:rFonts w:ascii="Arial" w:hAnsi="Arial" w:cs="Arial"/>
          <w:sz w:val="24"/>
          <w:szCs w:val="24"/>
        </w:rPr>
      </w:pPr>
      <w:r w:rsidRPr="00B23613">
        <w:rPr>
          <w:rFonts w:ascii="Arial" w:hAnsi="Arial" w:cs="Arial"/>
          <w:sz w:val="24"/>
          <w:szCs w:val="24"/>
        </w:rPr>
        <w:t>The application</w:t>
      </w:r>
      <w:r w:rsidR="002B23F7" w:rsidRPr="00B23613">
        <w:rPr>
          <w:rFonts w:ascii="Arial" w:hAnsi="Arial" w:cs="Arial"/>
          <w:sz w:val="24"/>
          <w:szCs w:val="24"/>
        </w:rPr>
        <w:t xml:space="preserve"> to reconsider, set aside and rescind </w:t>
      </w:r>
      <w:r w:rsidR="00B23613" w:rsidRPr="00B23613">
        <w:rPr>
          <w:rFonts w:ascii="Arial" w:hAnsi="Arial" w:cs="Arial"/>
          <w:sz w:val="24"/>
          <w:szCs w:val="24"/>
        </w:rPr>
        <w:t xml:space="preserve">the </w:t>
      </w:r>
      <w:r w:rsidR="00B23613" w:rsidRPr="007A6397">
        <w:rPr>
          <w:rFonts w:ascii="Arial" w:hAnsi="Arial" w:cs="Arial"/>
          <w:i/>
          <w:iCs/>
          <w:sz w:val="24"/>
          <w:szCs w:val="24"/>
        </w:rPr>
        <w:t>ex parte</w:t>
      </w:r>
      <w:r w:rsidR="00B23613" w:rsidRPr="00B23613">
        <w:rPr>
          <w:rFonts w:ascii="Arial" w:hAnsi="Arial" w:cs="Arial"/>
          <w:sz w:val="24"/>
          <w:szCs w:val="24"/>
        </w:rPr>
        <w:t xml:space="preserve"> preservation order handed down on 21 December 2022 under case number: 2022-054695 by the Honourable Justice Ledwaba</w:t>
      </w:r>
      <w:r w:rsidR="00363EE4" w:rsidRPr="00B23613">
        <w:rPr>
          <w:rFonts w:ascii="Arial" w:hAnsi="Arial" w:cs="Arial"/>
          <w:sz w:val="24"/>
          <w:szCs w:val="24"/>
        </w:rPr>
        <w:t xml:space="preserve"> is</w:t>
      </w:r>
      <w:r w:rsidRPr="00B23613">
        <w:rPr>
          <w:rFonts w:ascii="Arial" w:hAnsi="Arial" w:cs="Arial"/>
          <w:sz w:val="24"/>
          <w:szCs w:val="24"/>
        </w:rPr>
        <w:t xml:space="preserve"> dismissed</w:t>
      </w:r>
      <w:r w:rsidR="00B23613" w:rsidRPr="00B23613">
        <w:rPr>
          <w:rFonts w:ascii="Arial" w:hAnsi="Arial" w:cs="Arial"/>
          <w:sz w:val="24"/>
          <w:szCs w:val="24"/>
        </w:rPr>
        <w:t>.</w:t>
      </w:r>
    </w:p>
    <w:p w14:paraId="7AF7FBE7" w14:textId="4E44CF74" w:rsidR="00C7663C" w:rsidRDefault="00363EE4" w:rsidP="00B23613">
      <w:pPr>
        <w:pStyle w:val="ListParagraph"/>
        <w:spacing w:line="360" w:lineRule="auto"/>
        <w:jc w:val="both"/>
        <w:rPr>
          <w:rFonts w:ascii="Arial" w:hAnsi="Arial" w:cs="Arial"/>
          <w:sz w:val="24"/>
          <w:szCs w:val="24"/>
        </w:rPr>
      </w:pPr>
      <w:r w:rsidRPr="00B23613">
        <w:rPr>
          <w:rFonts w:ascii="Arial" w:hAnsi="Arial" w:cs="Arial"/>
          <w:sz w:val="24"/>
          <w:szCs w:val="24"/>
        </w:rPr>
        <w:t xml:space="preserve"> </w:t>
      </w:r>
    </w:p>
    <w:p w14:paraId="4EEC1ED5" w14:textId="480A4D50" w:rsidR="00B23613" w:rsidRPr="00B23613" w:rsidRDefault="00B23613" w:rsidP="00B23613">
      <w:pPr>
        <w:pStyle w:val="ListParagraph"/>
        <w:numPr>
          <w:ilvl w:val="0"/>
          <w:numId w:val="7"/>
        </w:numPr>
        <w:spacing w:line="360" w:lineRule="auto"/>
        <w:jc w:val="both"/>
        <w:rPr>
          <w:rFonts w:ascii="Arial" w:hAnsi="Arial" w:cs="Arial"/>
          <w:sz w:val="24"/>
          <w:szCs w:val="24"/>
        </w:rPr>
      </w:pPr>
      <w:r>
        <w:rPr>
          <w:rFonts w:ascii="Arial" w:hAnsi="Arial" w:cs="Arial"/>
          <w:sz w:val="24"/>
          <w:szCs w:val="24"/>
        </w:rPr>
        <w:t>The respondent is ordered to pay the party and party costs of these proceedings.</w:t>
      </w:r>
    </w:p>
    <w:p w14:paraId="04717FB5" w14:textId="46C2134A" w:rsidR="004A54FC" w:rsidRPr="00A57D0C" w:rsidRDefault="004A54FC" w:rsidP="004A54FC">
      <w:pPr>
        <w:snapToGrid w:val="0"/>
        <w:spacing w:before="240" w:after="240" w:line="360" w:lineRule="auto"/>
        <w:ind w:left="5040"/>
        <w:jc w:val="both"/>
        <w:rPr>
          <w:rFonts w:ascii="Arial" w:hAnsi="Arial" w:cs="Arial"/>
          <w:sz w:val="24"/>
          <w:szCs w:val="24"/>
        </w:rPr>
      </w:pPr>
      <w:r>
        <w:rPr>
          <w:rFonts w:ascii="Arial" w:hAnsi="Arial" w:cs="Arial"/>
          <w:sz w:val="24"/>
          <w:szCs w:val="24"/>
        </w:rPr>
        <w:tab/>
      </w:r>
      <w:r w:rsidRPr="00A57D0C">
        <w:rPr>
          <w:rFonts w:ascii="Arial" w:hAnsi="Arial" w:cs="Arial"/>
          <w:sz w:val="24"/>
          <w:szCs w:val="24"/>
        </w:rPr>
        <w:t>_______________________</w:t>
      </w:r>
    </w:p>
    <w:p w14:paraId="531FBB45" w14:textId="35F1F43D" w:rsidR="004A54FC" w:rsidRPr="004A54FC" w:rsidRDefault="004A54FC" w:rsidP="004A54FC">
      <w:pPr>
        <w:spacing w:after="0" w:line="360" w:lineRule="auto"/>
        <w:ind w:left="6480" w:firstLine="720"/>
        <w:jc w:val="both"/>
        <w:rPr>
          <w:rFonts w:ascii="Arial" w:hAnsi="Arial" w:cs="Arial"/>
          <w:b/>
          <w:sz w:val="24"/>
          <w:szCs w:val="24"/>
        </w:rPr>
      </w:pPr>
      <w:r>
        <w:rPr>
          <w:rFonts w:ascii="Arial" w:hAnsi="Arial" w:cs="Arial"/>
          <w:b/>
          <w:sz w:val="24"/>
          <w:szCs w:val="24"/>
        </w:rPr>
        <w:t xml:space="preserve">     </w:t>
      </w:r>
      <w:r w:rsidRPr="00A57D0C">
        <w:rPr>
          <w:rFonts w:ascii="Arial" w:hAnsi="Arial" w:cs="Arial"/>
          <w:b/>
          <w:sz w:val="24"/>
          <w:szCs w:val="24"/>
        </w:rPr>
        <w:t>M. P. MOTHA</w:t>
      </w:r>
    </w:p>
    <w:p w14:paraId="4ED9B98A" w14:textId="41827184" w:rsidR="004A54FC" w:rsidRDefault="004A54FC" w:rsidP="004A54FC">
      <w:pPr>
        <w:snapToGrid w:val="0"/>
        <w:spacing w:before="240" w:after="0" w:line="360" w:lineRule="auto"/>
        <w:ind w:left="3600" w:firstLine="720"/>
        <w:jc w:val="both"/>
        <w:rPr>
          <w:rFonts w:ascii="Arial" w:hAnsi="Arial" w:cs="Arial"/>
          <w:b/>
          <w:sz w:val="24"/>
          <w:szCs w:val="24"/>
        </w:rPr>
      </w:pPr>
      <w:r>
        <w:rPr>
          <w:rFonts w:ascii="Arial" w:hAnsi="Arial" w:cs="Arial"/>
          <w:b/>
          <w:sz w:val="24"/>
          <w:szCs w:val="24"/>
        </w:rPr>
        <w:t>JUDGE OF THE HIGH COURT, PRETORIA</w:t>
      </w:r>
    </w:p>
    <w:p w14:paraId="11AFBFAD" w14:textId="4449BF20" w:rsidR="004A54FC" w:rsidRDefault="004A54FC" w:rsidP="004A54FC">
      <w:pPr>
        <w:snapToGrid w:val="0"/>
        <w:spacing w:before="240" w:after="240" w:line="480" w:lineRule="auto"/>
        <w:jc w:val="both"/>
        <w:rPr>
          <w:rFonts w:ascii="Arial" w:hAnsi="Arial" w:cs="Arial"/>
          <w:bCs/>
          <w:sz w:val="24"/>
          <w:szCs w:val="24"/>
        </w:rPr>
      </w:pPr>
      <w:r>
        <w:rPr>
          <w:rFonts w:ascii="Arial" w:hAnsi="Arial" w:cs="Arial"/>
          <w:bCs/>
          <w:sz w:val="24"/>
          <w:szCs w:val="24"/>
        </w:rPr>
        <w:lastRenderedPageBreak/>
        <w:t xml:space="preserve">Date of hearing: </w:t>
      </w:r>
      <w:r>
        <w:rPr>
          <w:rFonts w:ascii="Arial" w:hAnsi="Arial" w:cs="Arial"/>
          <w:bCs/>
          <w:sz w:val="24"/>
          <w:szCs w:val="24"/>
        </w:rPr>
        <w:tab/>
        <w:t>14 November 2023</w:t>
      </w:r>
    </w:p>
    <w:p w14:paraId="56298C9C" w14:textId="1009519C" w:rsidR="004A54FC" w:rsidRPr="004A54FC" w:rsidRDefault="004A54FC" w:rsidP="004A54FC">
      <w:pPr>
        <w:snapToGrid w:val="0"/>
        <w:spacing w:before="240" w:after="240" w:line="480" w:lineRule="auto"/>
        <w:jc w:val="both"/>
        <w:rPr>
          <w:rFonts w:ascii="Arial" w:hAnsi="Arial" w:cs="Arial"/>
          <w:bCs/>
          <w:sz w:val="24"/>
          <w:szCs w:val="24"/>
        </w:rPr>
      </w:pPr>
      <w:r>
        <w:rPr>
          <w:rFonts w:ascii="Arial" w:hAnsi="Arial" w:cs="Arial"/>
          <w:bCs/>
          <w:sz w:val="24"/>
          <w:szCs w:val="24"/>
        </w:rPr>
        <w:t>Date of judgement:</w:t>
      </w:r>
      <w:r>
        <w:rPr>
          <w:rFonts w:ascii="Arial" w:hAnsi="Arial" w:cs="Arial"/>
          <w:bCs/>
          <w:sz w:val="24"/>
          <w:szCs w:val="24"/>
        </w:rPr>
        <w:tab/>
      </w:r>
      <w:r w:rsidR="00674304">
        <w:rPr>
          <w:rFonts w:ascii="Arial" w:hAnsi="Arial" w:cs="Arial"/>
          <w:bCs/>
          <w:sz w:val="24"/>
          <w:szCs w:val="24"/>
        </w:rPr>
        <w:t>30</w:t>
      </w:r>
      <w:r w:rsidR="00BB5B16">
        <w:rPr>
          <w:rFonts w:ascii="Arial" w:hAnsi="Arial" w:cs="Arial"/>
          <w:bCs/>
          <w:sz w:val="24"/>
          <w:szCs w:val="24"/>
        </w:rPr>
        <w:t xml:space="preserve"> </w:t>
      </w:r>
      <w:r>
        <w:rPr>
          <w:rFonts w:ascii="Arial" w:hAnsi="Arial" w:cs="Arial"/>
          <w:bCs/>
          <w:sz w:val="24"/>
          <w:szCs w:val="24"/>
        </w:rPr>
        <w:t>January 2024</w:t>
      </w:r>
    </w:p>
    <w:p w14:paraId="130426C6" w14:textId="77777777" w:rsidR="004A54FC" w:rsidRDefault="004A54FC" w:rsidP="004A54FC">
      <w:pPr>
        <w:snapToGrid w:val="0"/>
        <w:spacing w:before="240" w:after="240" w:line="480" w:lineRule="auto"/>
        <w:jc w:val="both"/>
        <w:rPr>
          <w:rFonts w:ascii="Arial" w:hAnsi="Arial" w:cs="Arial"/>
          <w:b/>
          <w:sz w:val="24"/>
          <w:szCs w:val="24"/>
        </w:rPr>
      </w:pPr>
      <w:r>
        <w:rPr>
          <w:rFonts w:ascii="Arial" w:hAnsi="Arial" w:cs="Arial"/>
          <w:b/>
          <w:sz w:val="24"/>
          <w:szCs w:val="24"/>
        </w:rPr>
        <w:t>APPEARANCES:</w:t>
      </w:r>
    </w:p>
    <w:p w14:paraId="21503533" w14:textId="77777777" w:rsidR="004A54FC" w:rsidRDefault="004A54FC" w:rsidP="004A54FC">
      <w:pPr>
        <w:spacing w:line="480" w:lineRule="auto"/>
        <w:ind w:left="5040" w:hanging="5040"/>
        <w:jc w:val="both"/>
        <w:rPr>
          <w:rFonts w:ascii="Arial" w:hAnsi="Arial" w:cs="Arial"/>
          <w:sz w:val="24"/>
          <w:szCs w:val="24"/>
        </w:rPr>
      </w:pPr>
      <w:r>
        <w:rPr>
          <w:rFonts w:ascii="Arial" w:hAnsi="Arial" w:cs="Arial"/>
          <w:sz w:val="24"/>
          <w:szCs w:val="24"/>
        </w:rPr>
        <w:t xml:space="preserve">For the Applicant </w:t>
      </w:r>
      <w:r>
        <w:rPr>
          <w:rFonts w:ascii="Arial" w:hAnsi="Arial" w:cs="Arial"/>
          <w:sz w:val="24"/>
          <w:szCs w:val="24"/>
        </w:rPr>
        <w:tab/>
        <w:t>J. Wilson instructed by the State Attorney State Attorney.</w:t>
      </w:r>
    </w:p>
    <w:p w14:paraId="1D15B301" w14:textId="77777777" w:rsidR="004A54FC" w:rsidRDefault="004A54FC" w:rsidP="004A54FC">
      <w:pPr>
        <w:spacing w:line="480" w:lineRule="auto"/>
        <w:ind w:left="5040" w:hanging="5040"/>
        <w:jc w:val="both"/>
        <w:rPr>
          <w:rFonts w:ascii="Arial" w:hAnsi="Arial" w:cs="Arial"/>
          <w:sz w:val="24"/>
          <w:szCs w:val="24"/>
        </w:rPr>
      </w:pPr>
    </w:p>
    <w:p w14:paraId="0698B7EC" w14:textId="17A97993" w:rsidR="00246D06" w:rsidRDefault="004A54FC" w:rsidP="004A54FC">
      <w:pPr>
        <w:spacing w:line="480" w:lineRule="auto"/>
        <w:ind w:left="4962" w:hanging="4962"/>
        <w:jc w:val="both"/>
        <w:rPr>
          <w:rFonts w:ascii="Arial" w:hAnsi="Arial" w:cs="Arial"/>
          <w:sz w:val="24"/>
          <w:szCs w:val="24"/>
        </w:rPr>
      </w:pPr>
      <w:r>
        <w:rPr>
          <w:rFonts w:ascii="Arial" w:hAnsi="Arial" w:cs="Arial"/>
          <w:sz w:val="24"/>
          <w:szCs w:val="24"/>
        </w:rPr>
        <w:t xml:space="preserve">For the respondent </w:t>
      </w:r>
      <w:r>
        <w:rPr>
          <w:rFonts w:ascii="Arial" w:hAnsi="Arial" w:cs="Arial"/>
          <w:sz w:val="24"/>
          <w:szCs w:val="24"/>
        </w:rPr>
        <w:tab/>
      </w:r>
      <w:r>
        <w:rPr>
          <w:rFonts w:ascii="Arial" w:hAnsi="Arial" w:cs="Arial"/>
          <w:sz w:val="24"/>
          <w:szCs w:val="24"/>
        </w:rPr>
        <w:tab/>
        <w:t xml:space="preserve">Mr. G. AMM Instructed by </w:t>
      </w:r>
      <w:r>
        <w:rPr>
          <w:rFonts w:ascii="Arial" w:hAnsi="Arial" w:cs="Arial"/>
          <w:sz w:val="24"/>
          <w:szCs w:val="24"/>
        </w:rPr>
        <w:tab/>
        <w:t>M.R. Hellens SC</w:t>
      </w:r>
    </w:p>
    <w:sectPr w:rsidR="00246D0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3B516" w14:textId="77777777" w:rsidR="00D253FF" w:rsidRDefault="00D253FF" w:rsidP="00450983">
      <w:pPr>
        <w:spacing w:after="0" w:line="240" w:lineRule="auto"/>
      </w:pPr>
      <w:r>
        <w:separator/>
      </w:r>
    </w:p>
  </w:endnote>
  <w:endnote w:type="continuationSeparator" w:id="0">
    <w:p w14:paraId="771B3B87" w14:textId="77777777" w:rsidR="00D253FF" w:rsidRDefault="00D253FF" w:rsidP="00450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20000287" w:usb1="00000003" w:usb2="00000000" w:usb3="00000000" w:csb0="0000019F" w:csb1="00000000"/>
  </w:font>
  <w:font w:name="Aptos Display">
    <w:altName w:val="Arial"/>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582821"/>
      <w:docPartObj>
        <w:docPartGallery w:val="Page Numbers (Bottom of Page)"/>
        <w:docPartUnique/>
      </w:docPartObj>
    </w:sdtPr>
    <w:sdtEndPr>
      <w:rPr>
        <w:noProof/>
      </w:rPr>
    </w:sdtEndPr>
    <w:sdtContent>
      <w:p w14:paraId="3235C346" w14:textId="328FB337" w:rsidR="002564FD" w:rsidRDefault="002564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53E74E" w14:textId="77777777" w:rsidR="00BB386A" w:rsidRDefault="00BB3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B65D1" w14:textId="77777777" w:rsidR="00D253FF" w:rsidRDefault="00D253FF" w:rsidP="00450983">
      <w:pPr>
        <w:spacing w:after="0" w:line="240" w:lineRule="auto"/>
      </w:pPr>
      <w:r>
        <w:separator/>
      </w:r>
    </w:p>
  </w:footnote>
  <w:footnote w:type="continuationSeparator" w:id="0">
    <w:p w14:paraId="4278BF89" w14:textId="77777777" w:rsidR="00D253FF" w:rsidRDefault="00D253FF" w:rsidP="00450983">
      <w:pPr>
        <w:spacing w:after="0" w:line="240" w:lineRule="auto"/>
      </w:pPr>
      <w:r>
        <w:continuationSeparator/>
      </w:r>
    </w:p>
  </w:footnote>
  <w:footnote w:id="1">
    <w:p w14:paraId="3E21F3B1" w14:textId="67BB543E" w:rsidR="00450983" w:rsidRPr="00875850" w:rsidRDefault="00450983">
      <w:pPr>
        <w:pStyle w:val="FootnoteText"/>
        <w:rPr>
          <w:rFonts w:ascii="Arial" w:hAnsi="Arial" w:cs="Arial"/>
          <w:sz w:val="18"/>
          <w:szCs w:val="18"/>
        </w:rPr>
      </w:pPr>
      <w:r w:rsidRPr="00875850">
        <w:rPr>
          <w:rStyle w:val="FootnoteReference"/>
          <w:rFonts w:ascii="Arial" w:hAnsi="Arial" w:cs="Arial"/>
          <w:sz w:val="18"/>
          <w:szCs w:val="18"/>
        </w:rPr>
        <w:footnoteRef/>
      </w:r>
      <w:r w:rsidRPr="00875850">
        <w:rPr>
          <w:rFonts w:ascii="Arial" w:hAnsi="Arial" w:cs="Arial"/>
          <w:sz w:val="18"/>
          <w:szCs w:val="18"/>
        </w:rPr>
        <w:t xml:space="preserve"> </w:t>
      </w:r>
      <w:r w:rsidR="009C257D" w:rsidRPr="00875850">
        <w:rPr>
          <w:rFonts w:ascii="Arial" w:hAnsi="Arial" w:cs="Arial"/>
          <w:sz w:val="18"/>
          <w:szCs w:val="18"/>
        </w:rPr>
        <w:t>Founding affidavit of 999 Music para 11(003-7 caselines)</w:t>
      </w:r>
      <w:r w:rsidR="00875850">
        <w:rPr>
          <w:rFonts w:ascii="Arial" w:hAnsi="Arial" w:cs="Arial"/>
          <w:sz w:val="18"/>
          <w:szCs w:val="18"/>
        </w:rPr>
        <w:t>.</w:t>
      </w:r>
    </w:p>
  </w:footnote>
  <w:footnote w:id="2">
    <w:p w14:paraId="47437D8D" w14:textId="25577C36" w:rsidR="00E22CE0" w:rsidRDefault="00E22CE0">
      <w:pPr>
        <w:pStyle w:val="FootnoteText"/>
      </w:pPr>
      <w:r w:rsidRPr="00875850">
        <w:rPr>
          <w:rStyle w:val="FootnoteReference"/>
          <w:rFonts w:ascii="Arial" w:hAnsi="Arial" w:cs="Arial"/>
          <w:sz w:val="18"/>
          <w:szCs w:val="18"/>
        </w:rPr>
        <w:footnoteRef/>
      </w:r>
      <w:r w:rsidRPr="00875850">
        <w:rPr>
          <w:rFonts w:ascii="Arial" w:hAnsi="Arial" w:cs="Arial"/>
          <w:sz w:val="18"/>
          <w:szCs w:val="18"/>
        </w:rPr>
        <w:t xml:space="preserve"> I</w:t>
      </w:r>
      <w:r w:rsidR="00B14310">
        <w:rPr>
          <w:rFonts w:ascii="Arial" w:hAnsi="Arial" w:cs="Arial"/>
          <w:sz w:val="18"/>
          <w:szCs w:val="18"/>
        </w:rPr>
        <w:t>d</w:t>
      </w:r>
      <w:r w:rsidRPr="00875850">
        <w:rPr>
          <w:rFonts w:ascii="Arial" w:hAnsi="Arial" w:cs="Arial"/>
          <w:sz w:val="18"/>
          <w:szCs w:val="18"/>
        </w:rPr>
        <w:t xml:space="preserve"> paras 12 and 13</w:t>
      </w:r>
      <w:r w:rsidR="00875850">
        <w:rPr>
          <w:rFonts w:ascii="Arial" w:hAnsi="Arial" w:cs="Arial"/>
          <w:sz w:val="18"/>
          <w:szCs w:val="18"/>
        </w:rPr>
        <w:t>.</w:t>
      </w:r>
    </w:p>
  </w:footnote>
  <w:footnote w:id="3">
    <w:p w14:paraId="5F688C59" w14:textId="2D9FD83B" w:rsidR="00536B1B" w:rsidRPr="002238C0" w:rsidRDefault="00536B1B">
      <w:pPr>
        <w:pStyle w:val="FootnoteText"/>
        <w:rPr>
          <w:rFonts w:ascii="Arial" w:hAnsi="Arial" w:cs="Arial"/>
          <w:sz w:val="18"/>
          <w:szCs w:val="18"/>
          <w:lang w:val="en-GB"/>
        </w:rPr>
      </w:pPr>
      <w:r w:rsidRPr="002238C0">
        <w:rPr>
          <w:rStyle w:val="FootnoteReference"/>
          <w:rFonts w:ascii="Arial" w:hAnsi="Arial" w:cs="Arial"/>
          <w:sz w:val="18"/>
          <w:szCs w:val="18"/>
        </w:rPr>
        <w:footnoteRef/>
      </w:r>
      <w:r w:rsidRPr="002238C0">
        <w:rPr>
          <w:rFonts w:ascii="Arial" w:hAnsi="Arial" w:cs="Arial"/>
          <w:sz w:val="18"/>
          <w:szCs w:val="18"/>
        </w:rPr>
        <w:t xml:space="preserve"> </w:t>
      </w:r>
      <w:r w:rsidRPr="002238C0">
        <w:rPr>
          <w:rFonts w:ascii="Arial" w:hAnsi="Arial" w:cs="Arial"/>
          <w:sz w:val="18"/>
          <w:szCs w:val="18"/>
          <w:lang w:val="en-GB"/>
        </w:rPr>
        <w:t xml:space="preserve">Grant agreement </w:t>
      </w:r>
      <w:r w:rsidR="006406C7" w:rsidRPr="002238C0">
        <w:rPr>
          <w:rFonts w:ascii="Arial" w:hAnsi="Arial" w:cs="Arial"/>
          <w:sz w:val="18"/>
          <w:szCs w:val="18"/>
          <w:lang w:val="en-GB"/>
        </w:rPr>
        <w:t>para 4 to 9</w:t>
      </w:r>
      <w:r w:rsidR="002238C0" w:rsidRPr="002238C0">
        <w:rPr>
          <w:rFonts w:ascii="Arial" w:hAnsi="Arial" w:cs="Arial"/>
          <w:sz w:val="18"/>
          <w:szCs w:val="18"/>
          <w:lang w:val="en-GB"/>
        </w:rPr>
        <w:t>.</w:t>
      </w:r>
    </w:p>
  </w:footnote>
  <w:footnote w:id="4">
    <w:p w14:paraId="0FC20441" w14:textId="173A860B" w:rsidR="00F47575" w:rsidRPr="008F494C" w:rsidRDefault="00F47575">
      <w:pPr>
        <w:pStyle w:val="FootnoteText"/>
        <w:rPr>
          <w:rFonts w:ascii="Arial" w:hAnsi="Arial" w:cs="Arial"/>
          <w:sz w:val="18"/>
          <w:szCs w:val="18"/>
        </w:rPr>
      </w:pPr>
      <w:r w:rsidRPr="008F494C">
        <w:rPr>
          <w:rStyle w:val="FootnoteReference"/>
          <w:rFonts w:ascii="Arial" w:hAnsi="Arial" w:cs="Arial"/>
          <w:sz w:val="18"/>
          <w:szCs w:val="18"/>
        </w:rPr>
        <w:footnoteRef/>
      </w:r>
      <w:r w:rsidRPr="008F494C">
        <w:rPr>
          <w:rFonts w:ascii="Arial" w:hAnsi="Arial" w:cs="Arial"/>
          <w:sz w:val="18"/>
          <w:szCs w:val="18"/>
        </w:rPr>
        <w:t xml:space="preserve"> Practice note </w:t>
      </w:r>
      <w:r w:rsidR="008750DC" w:rsidRPr="008F494C">
        <w:rPr>
          <w:rFonts w:ascii="Arial" w:hAnsi="Arial" w:cs="Arial"/>
          <w:sz w:val="18"/>
          <w:szCs w:val="18"/>
        </w:rPr>
        <w:t>dated 29 Nov 2022 par</w:t>
      </w:r>
      <w:r w:rsidRPr="008F494C">
        <w:rPr>
          <w:rFonts w:ascii="Arial" w:hAnsi="Arial" w:cs="Arial"/>
          <w:sz w:val="18"/>
          <w:szCs w:val="18"/>
        </w:rPr>
        <w:t>a</w:t>
      </w:r>
      <w:r w:rsidR="00B828C9" w:rsidRPr="008F494C">
        <w:rPr>
          <w:rFonts w:ascii="Arial" w:hAnsi="Arial" w:cs="Arial"/>
          <w:sz w:val="18"/>
          <w:szCs w:val="18"/>
        </w:rPr>
        <w:t xml:space="preserve">s </w:t>
      </w:r>
      <w:r w:rsidRPr="008F494C">
        <w:rPr>
          <w:rFonts w:ascii="Arial" w:hAnsi="Arial" w:cs="Arial"/>
          <w:sz w:val="18"/>
          <w:szCs w:val="18"/>
        </w:rPr>
        <w:t xml:space="preserve">7.1 to </w:t>
      </w:r>
      <w:r w:rsidR="008750DC" w:rsidRPr="008F494C">
        <w:rPr>
          <w:rFonts w:ascii="Arial" w:hAnsi="Arial" w:cs="Arial"/>
          <w:sz w:val="18"/>
          <w:szCs w:val="18"/>
        </w:rPr>
        <w:t>7</w:t>
      </w:r>
      <w:r w:rsidR="008F494C">
        <w:rPr>
          <w:rFonts w:ascii="Arial" w:hAnsi="Arial" w:cs="Arial"/>
          <w:sz w:val="18"/>
          <w:szCs w:val="18"/>
        </w:rPr>
        <w:t>.6.</w:t>
      </w:r>
    </w:p>
  </w:footnote>
  <w:footnote w:id="5">
    <w:p w14:paraId="279BBD2C" w14:textId="6377D0A9" w:rsidR="00B828C9" w:rsidRPr="008F494C" w:rsidRDefault="00B828C9">
      <w:pPr>
        <w:pStyle w:val="FootnoteText"/>
        <w:rPr>
          <w:rFonts w:ascii="Arial" w:hAnsi="Arial" w:cs="Arial"/>
          <w:sz w:val="18"/>
          <w:szCs w:val="18"/>
        </w:rPr>
      </w:pPr>
      <w:r w:rsidRPr="008F494C">
        <w:rPr>
          <w:rStyle w:val="FootnoteReference"/>
          <w:rFonts w:ascii="Arial" w:hAnsi="Arial" w:cs="Arial"/>
          <w:sz w:val="18"/>
          <w:szCs w:val="18"/>
        </w:rPr>
        <w:footnoteRef/>
      </w:r>
      <w:r w:rsidRPr="008F494C">
        <w:rPr>
          <w:rFonts w:ascii="Arial" w:hAnsi="Arial" w:cs="Arial"/>
          <w:sz w:val="18"/>
          <w:szCs w:val="18"/>
        </w:rPr>
        <w:t xml:space="preserve"> I</w:t>
      </w:r>
      <w:r w:rsidR="00AC67AB">
        <w:rPr>
          <w:rFonts w:ascii="Arial" w:hAnsi="Arial" w:cs="Arial"/>
          <w:sz w:val="18"/>
          <w:szCs w:val="18"/>
        </w:rPr>
        <w:t>d</w:t>
      </w:r>
      <w:r w:rsidRPr="008F494C">
        <w:rPr>
          <w:rFonts w:ascii="Arial" w:hAnsi="Arial" w:cs="Arial"/>
          <w:sz w:val="18"/>
          <w:szCs w:val="18"/>
        </w:rPr>
        <w:t xml:space="preserve"> 7.7</w:t>
      </w:r>
      <w:r w:rsidR="008F494C">
        <w:rPr>
          <w:rFonts w:ascii="Arial" w:hAnsi="Arial" w:cs="Arial"/>
          <w:sz w:val="18"/>
          <w:szCs w:val="18"/>
        </w:rPr>
        <w:t>.</w:t>
      </w:r>
    </w:p>
  </w:footnote>
  <w:footnote w:id="6">
    <w:p w14:paraId="588F5AD0" w14:textId="7EEAA1EA" w:rsidR="00707813" w:rsidRDefault="00707813">
      <w:pPr>
        <w:pStyle w:val="FootnoteText"/>
      </w:pPr>
      <w:r w:rsidRPr="008F494C">
        <w:rPr>
          <w:rStyle w:val="FootnoteReference"/>
          <w:rFonts w:ascii="Arial" w:hAnsi="Arial" w:cs="Arial"/>
          <w:sz w:val="18"/>
          <w:szCs w:val="18"/>
        </w:rPr>
        <w:footnoteRef/>
      </w:r>
      <w:r w:rsidRPr="008F494C">
        <w:rPr>
          <w:rFonts w:ascii="Arial" w:hAnsi="Arial" w:cs="Arial"/>
          <w:sz w:val="18"/>
          <w:szCs w:val="18"/>
        </w:rPr>
        <w:t xml:space="preserve"> Founding affidavit para 35 (001-48)</w:t>
      </w:r>
      <w:r w:rsidR="008F494C">
        <w:rPr>
          <w:rFonts w:ascii="Arial" w:hAnsi="Arial" w:cs="Arial"/>
          <w:sz w:val="18"/>
          <w:szCs w:val="18"/>
        </w:rPr>
        <w:t>.</w:t>
      </w:r>
    </w:p>
  </w:footnote>
  <w:footnote w:id="7">
    <w:p w14:paraId="1EC6D376" w14:textId="0620A217" w:rsidR="00AB5164" w:rsidRPr="000E0B6C" w:rsidRDefault="00AB5164" w:rsidP="00AB5164">
      <w:pPr>
        <w:pStyle w:val="FootnoteText"/>
        <w:rPr>
          <w:rFonts w:ascii="Arial" w:hAnsi="Arial" w:cs="Arial"/>
          <w:sz w:val="18"/>
          <w:szCs w:val="18"/>
        </w:rPr>
      </w:pPr>
      <w:r>
        <w:rPr>
          <w:rStyle w:val="FootnoteReference"/>
        </w:rPr>
        <w:footnoteRef/>
      </w:r>
      <w:r>
        <w:t xml:space="preserve"> </w:t>
      </w:r>
      <w:r w:rsidRPr="000E0B6C">
        <w:rPr>
          <w:rFonts w:ascii="Arial" w:hAnsi="Arial" w:cs="Arial"/>
          <w:sz w:val="18"/>
          <w:szCs w:val="18"/>
        </w:rPr>
        <w:t>I</w:t>
      </w:r>
      <w:r w:rsidR="00AC67AB">
        <w:rPr>
          <w:rFonts w:ascii="Arial" w:hAnsi="Arial" w:cs="Arial"/>
          <w:sz w:val="18"/>
          <w:szCs w:val="18"/>
        </w:rPr>
        <w:t>d</w:t>
      </w:r>
      <w:r w:rsidRPr="000E0B6C">
        <w:rPr>
          <w:rFonts w:ascii="Arial" w:hAnsi="Arial" w:cs="Arial"/>
          <w:sz w:val="18"/>
          <w:szCs w:val="18"/>
        </w:rPr>
        <w:t xml:space="preserve"> paras 30</w:t>
      </w:r>
      <w:r w:rsidR="005E4101" w:rsidRPr="000E0B6C">
        <w:rPr>
          <w:rFonts w:ascii="Arial" w:hAnsi="Arial" w:cs="Arial"/>
          <w:sz w:val="18"/>
          <w:szCs w:val="18"/>
        </w:rPr>
        <w:t xml:space="preserve"> to</w:t>
      </w:r>
      <w:r w:rsidRPr="000E0B6C">
        <w:rPr>
          <w:rFonts w:ascii="Arial" w:hAnsi="Arial" w:cs="Arial"/>
          <w:sz w:val="18"/>
          <w:szCs w:val="18"/>
        </w:rPr>
        <w:t xml:space="preserve"> 3</w:t>
      </w:r>
      <w:r w:rsidR="005E4101" w:rsidRPr="000E0B6C">
        <w:rPr>
          <w:rFonts w:ascii="Arial" w:hAnsi="Arial" w:cs="Arial"/>
          <w:sz w:val="18"/>
          <w:szCs w:val="18"/>
        </w:rPr>
        <w:t>5</w:t>
      </w:r>
      <w:r w:rsidR="000E0B6C">
        <w:rPr>
          <w:rFonts w:ascii="Arial" w:hAnsi="Arial" w:cs="Arial"/>
          <w:sz w:val="18"/>
          <w:szCs w:val="18"/>
        </w:rPr>
        <w:t>.</w:t>
      </w:r>
    </w:p>
  </w:footnote>
  <w:footnote w:id="8">
    <w:p w14:paraId="4BB5113A" w14:textId="5247D7DF" w:rsidR="00276BBA" w:rsidRDefault="00276BBA">
      <w:pPr>
        <w:pStyle w:val="FootnoteText"/>
      </w:pPr>
      <w:r w:rsidRPr="000E0B6C">
        <w:rPr>
          <w:rStyle w:val="FootnoteReference"/>
          <w:rFonts w:ascii="Arial" w:hAnsi="Arial" w:cs="Arial"/>
          <w:sz w:val="18"/>
          <w:szCs w:val="18"/>
        </w:rPr>
        <w:footnoteRef/>
      </w:r>
      <w:r w:rsidRPr="000E0B6C">
        <w:rPr>
          <w:rFonts w:ascii="Arial" w:hAnsi="Arial" w:cs="Arial"/>
          <w:sz w:val="18"/>
          <w:szCs w:val="18"/>
        </w:rPr>
        <w:t xml:space="preserve"> </w:t>
      </w:r>
      <w:r w:rsidR="008A5A45" w:rsidRPr="000E0B6C">
        <w:rPr>
          <w:rFonts w:ascii="Arial" w:hAnsi="Arial" w:cs="Arial"/>
          <w:sz w:val="18"/>
          <w:szCs w:val="18"/>
        </w:rPr>
        <w:t xml:space="preserve"> Founding affidavit by Mafokate </w:t>
      </w:r>
      <w:r w:rsidR="00532630" w:rsidRPr="000E0B6C">
        <w:rPr>
          <w:rFonts w:ascii="Arial" w:hAnsi="Arial" w:cs="Arial"/>
          <w:sz w:val="18"/>
          <w:szCs w:val="18"/>
        </w:rPr>
        <w:t>at para</w:t>
      </w:r>
      <w:r w:rsidRPr="000E0B6C">
        <w:rPr>
          <w:rFonts w:ascii="Arial" w:hAnsi="Arial" w:cs="Arial"/>
          <w:sz w:val="18"/>
          <w:szCs w:val="18"/>
          <w:lang w:val="en-US"/>
        </w:rPr>
        <w:t xml:space="preserve"> 21</w:t>
      </w:r>
      <w:r w:rsidR="000E0B6C">
        <w:rPr>
          <w:rFonts w:ascii="Arial" w:hAnsi="Arial" w:cs="Arial"/>
          <w:sz w:val="18"/>
          <w:szCs w:val="18"/>
          <w:lang w:val="en-US"/>
        </w:rPr>
        <w:t>.</w:t>
      </w:r>
    </w:p>
  </w:footnote>
  <w:footnote w:id="9">
    <w:p w14:paraId="4BF44DB0" w14:textId="55B35358" w:rsidR="00DA5F2E" w:rsidRPr="00DA5F2E" w:rsidRDefault="00DA5F2E" w:rsidP="000E0B6C">
      <w:pPr>
        <w:pStyle w:val="FootnoteText"/>
        <w:tabs>
          <w:tab w:val="center" w:pos="4513"/>
        </w:tabs>
        <w:rPr>
          <w:lang w:val="en-GB"/>
        </w:rPr>
      </w:pPr>
      <w:r>
        <w:rPr>
          <w:rStyle w:val="FootnoteReference"/>
        </w:rPr>
        <w:footnoteRef/>
      </w:r>
      <w:r>
        <w:t xml:space="preserve"> </w:t>
      </w:r>
      <w:r w:rsidRPr="000E0B6C">
        <w:rPr>
          <w:rFonts w:ascii="Arial" w:hAnsi="Arial" w:cs="Arial"/>
          <w:sz w:val="18"/>
          <w:szCs w:val="18"/>
          <w:lang w:val="en-GB"/>
        </w:rPr>
        <w:t xml:space="preserve">Respondent’s heads of argument para </w:t>
      </w:r>
      <w:r w:rsidR="00CF2306" w:rsidRPr="000E0B6C">
        <w:rPr>
          <w:rFonts w:ascii="Arial" w:hAnsi="Arial" w:cs="Arial"/>
          <w:sz w:val="18"/>
          <w:szCs w:val="18"/>
          <w:lang w:val="en-GB"/>
        </w:rPr>
        <w:t>5 (013-5)</w:t>
      </w:r>
      <w:r w:rsidR="000E0B6C">
        <w:rPr>
          <w:rFonts w:ascii="Arial" w:hAnsi="Arial" w:cs="Arial"/>
          <w:sz w:val="18"/>
          <w:szCs w:val="18"/>
          <w:lang w:val="en-GB"/>
        </w:rPr>
        <w:t>.</w:t>
      </w:r>
    </w:p>
  </w:footnote>
  <w:footnote w:id="10">
    <w:p w14:paraId="696EA782" w14:textId="77777777" w:rsidR="001B50D1" w:rsidRPr="003F2DDD" w:rsidRDefault="001B50D1" w:rsidP="001B50D1">
      <w:pPr>
        <w:pStyle w:val="FootnoteText"/>
        <w:rPr>
          <w:rFonts w:ascii="Arial" w:hAnsi="Arial" w:cs="Arial"/>
          <w:sz w:val="18"/>
          <w:szCs w:val="18"/>
        </w:rPr>
      </w:pPr>
      <w:r w:rsidRPr="003F2DDD">
        <w:rPr>
          <w:rStyle w:val="FootnoteReference"/>
          <w:rFonts w:ascii="Arial" w:hAnsi="Arial" w:cs="Arial"/>
          <w:sz w:val="18"/>
          <w:szCs w:val="18"/>
        </w:rPr>
        <w:footnoteRef/>
      </w:r>
      <w:r w:rsidRPr="003F2DDD">
        <w:rPr>
          <w:rFonts w:ascii="Arial" w:hAnsi="Arial" w:cs="Arial"/>
          <w:sz w:val="18"/>
          <w:szCs w:val="18"/>
        </w:rPr>
        <w:t xml:space="preserve"> Government Gazette no 20447 7 September 1999. </w:t>
      </w:r>
    </w:p>
  </w:footnote>
  <w:footnote w:id="11">
    <w:p w14:paraId="29C0C056" w14:textId="79B4E06B" w:rsidR="00B372D0" w:rsidRPr="003F2DDD" w:rsidRDefault="00B372D0">
      <w:pPr>
        <w:pStyle w:val="FootnoteText"/>
        <w:rPr>
          <w:rFonts w:ascii="Arial" w:hAnsi="Arial" w:cs="Arial"/>
          <w:sz w:val="18"/>
          <w:szCs w:val="18"/>
          <w:lang w:val="en-US"/>
        </w:rPr>
      </w:pPr>
      <w:r w:rsidRPr="003F2DDD">
        <w:rPr>
          <w:rStyle w:val="FootnoteReference"/>
          <w:rFonts w:ascii="Arial" w:hAnsi="Arial" w:cs="Arial"/>
          <w:sz w:val="18"/>
          <w:szCs w:val="18"/>
        </w:rPr>
        <w:footnoteRef/>
      </w:r>
      <w:r w:rsidRPr="003F2DDD">
        <w:rPr>
          <w:rFonts w:ascii="Arial" w:hAnsi="Arial" w:cs="Arial"/>
          <w:sz w:val="18"/>
          <w:szCs w:val="18"/>
        </w:rPr>
        <w:t xml:space="preserve"> </w:t>
      </w:r>
      <w:r w:rsidRPr="003F2DDD">
        <w:rPr>
          <w:rFonts w:ascii="Arial" w:hAnsi="Arial" w:cs="Arial"/>
          <w:sz w:val="18"/>
          <w:szCs w:val="18"/>
          <w:lang w:val="en-US"/>
        </w:rPr>
        <w:t>2023 ZASCA 141</w:t>
      </w:r>
      <w:r w:rsidR="003F2DDD" w:rsidRPr="003F2DDD">
        <w:rPr>
          <w:rFonts w:ascii="Arial" w:hAnsi="Arial" w:cs="Arial"/>
          <w:sz w:val="18"/>
          <w:szCs w:val="18"/>
          <w:lang w:val="en-US"/>
        </w:rPr>
        <w:t>.</w:t>
      </w:r>
    </w:p>
  </w:footnote>
  <w:footnote w:id="12">
    <w:p w14:paraId="00C7CF67" w14:textId="2D337153" w:rsidR="00B372D0" w:rsidRPr="003F2DDD" w:rsidRDefault="00B372D0">
      <w:pPr>
        <w:pStyle w:val="FootnoteText"/>
        <w:rPr>
          <w:rFonts w:ascii="Arial" w:hAnsi="Arial" w:cs="Arial"/>
          <w:sz w:val="18"/>
          <w:szCs w:val="18"/>
        </w:rPr>
      </w:pPr>
      <w:r w:rsidRPr="003F2DDD">
        <w:rPr>
          <w:rStyle w:val="FootnoteReference"/>
          <w:rFonts w:ascii="Arial" w:hAnsi="Arial" w:cs="Arial"/>
          <w:sz w:val="18"/>
          <w:szCs w:val="18"/>
        </w:rPr>
        <w:footnoteRef/>
      </w:r>
      <w:r w:rsidRPr="003F2DDD">
        <w:rPr>
          <w:rFonts w:ascii="Arial" w:hAnsi="Arial" w:cs="Arial"/>
          <w:sz w:val="18"/>
          <w:szCs w:val="18"/>
        </w:rPr>
        <w:t xml:space="preserve"> I</w:t>
      </w:r>
      <w:r w:rsidR="00B97FB5" w:rsidRPr="003F2DDD">
        <w:rPr>
          <w:rFonts w:ascii="Arial" w:hAnsi="Arial" w:cs="Arial"/>
          <w:sz w:val="18"/>
          <w:szCs w:val="18"/>
        </w:rPr>
        <w:t xml:space="preserve">d </w:t>
      </w:r>
      <w:r w:rsidRPr="003F2DDD">
        <w:rPr>
          <w:rFonts w:ascii="Arial" w:hAnsi="Arial" w:cs="Arial"/>
          <w:sz w:val="18"/>
          <w:szCs w:val="18"/>
        </w:rPr>
        <w:t>para 29</w:t>
      </w:r>
    </w:p>
  </w:footnote>
  <w:footnote w:id="13">
    <w:p w14:paraId="4AC094B3" w14:textId="4290D591" w:rsidR="000C2F4D" w:rsidRPr="003F2DDD" w:rsidRDefault="000C2F4D">
      <w:pPr>
        <w:pStyle w:val="FootnoteText"/>
        <w:rPr>
          <w:rFonts w:ascii="Arial" w:hAnsi="Arial" w:cs="Arial"/>
          <w:sz w:val="18"/>
          <w:szCs w:val="18"/>
        </w:rPr>
      </w:pPr>
      <w:r w:rsidRPr="003F2DDD">
        <w:rPr>
          <w:rStyle w:val="FootnoteReference"/>
          <w:rFonts w:ascii="Arial" w:hAnsi="Arial" w:cs="Arial"/>
          <w:sz w:val="18"/>
          <w:szCs w:val="18"/>
        </w:rPr>
        <w:footnoteRef/>
      </w:r>
      <w:r w:rsidRPr="003F2DDD">
        <w:rPr>
          <w:rFonts w:ascii="Arial" w:hAnsi="Arial" w:cs="Arial"/>
          <w:sz w:val="18"/>
          <w:szCs w:val="18"/>
        </w:rPr>
        <w:t xml:space="preserve"> </w:t>
      </w:r>
      <w:r w:rsidR="00754100" w:rsidRPr="003F2DDD">
        <w:rPr>
          <w:rFonts w:ascii="Arial" w:hAnsi="Arial" w:cs="Arial"/>
          <w:sz w:val="18"/>
          <w:szCs w:val="18"/>
          <w:lang w:val="en-US"/>
        </w:rPr>
        <w:t xml:space="preserve">2002 </w:t>
      </w:r>
      <w:r w:rsidR="003F2DDD" w:rsidRPr="003F2DDD">
        <w:rPr>
          <w:rFonts w:ascii="Arial" w:hAnsi="Arial" w:cs="Arial"/>
          <w:sz w:val="18"/>
          <w:szCs w:val="18"/>
          <w:lang w:val="en-US"/>
        </w:rPr>
        <w:t>(4</w:t>
      </w:r>
      <w:r w:rsidR="00754100" w:rsidRPr="003F2DDD">
        <w:rPr>
          <w:rFonts w:ascii="Arial" w:hAnsi="Arial" w:cs="Arial"/>
          <w:sz w:val="18"/>
          <w:szCs w:val="18"/>
          <w:lang w:val="en-US"/>
        </w:rPr>
        <w:t>) SA 843 cc</w:t>
      </w:r>
      <w:r w:rsidR="003F2DDD">
        <w:rPr>
          <w:rFonts w:ascii="Arial" w:hAnsi="Arial" w:cs="Arial"/>
          <w:sz w:val="18"/>
          <w:szCs w:val="18"/>
          <w:lang w:val="en-US"/>
        </w:rPr>
        <w:t>.</w:t>
      </w:r>
    </w:p>
  </w:footnote>
  <w:footnote w:id="14">
    <w:p w14:paraId="731553EA" w14:textId="056DB83C" w:rsidR="00754100" w:rsidRDefault="00754100">
      <w:pPr>
        <w:pStyle w:val="FootnoteText"/>
      </w:pPr>
      <w:r>
        <w:rPr>
          <w:rStyle w:val="FootnoteReference"/>
        </w:rPr>
        <w:footnoteRef/>
      </w:r>
      <w:r>
        <w:t xml:space="preserve"> </w:t>
      </w:r>
      <w:r w:rsidR="003F2DDD">
        <w:t>Id</w:t>
      </w:r>
      <w:r w:rsidR="004423F9">
        <w:t xml:space="preserve"> </w:t>
      </w:r>
      <w:r w:rsidR="004423F9" w:rsidRPr="00754100">
        <w:rPr>
          <w:lang w:val="en-US"/>
        </w:rPr>
        <w:t>para</w:t>
      </w:r>
      <w:r w:rsidRPr="00754100">
        <w:rPr>
          <w:lang w:val="en-US"/>
        </w:rPr>
        <w:t xml:space="preserve"> </w:t>
      </w:r>
      <w:r w:rsidR="00320760" w:rsidRPr="00754100">
        <w:rPr>
          <w:lang w:val="en-US"/>
        </w:rPr>
        <w:t>17 page</w:t>
      </w:r>
      <w:r w:rsidRPr="00754100">
        <w:rPr>
          <w:lang w:val="en-US"/>
        </w:rPr>
        <w:t xml:space="preserve"> 851</w:t>
      </w:r>
      <w:r>
        <w:rPr>
          <w:lang w:val="en-US"/>
        </w:rPr>
        <w:t>.</w:t>
      </w:r>
      <w:r w:rsidRPr="00754100">
        <w:rPr>
          <w:lang w:val="en-US"/>
        </w:rPr>
        <w:t xml:space="preserve"> </w:t>
      </w:r>
    </w:p>
  </w:footnote>
  <w:footnote w:id="15">
    <w:p w14:paraId="0E05FF98" w14:textId="07D14779" w:rsidR="008318CF" w:rsidRPr="007E3027" w:rsidRDefault="008318CF">
      <w:pPr>
        <w:pStyle w:val="FootnoteText"/>
        <w:rPr>
          <w:rFonts w:ascii="Arial" w:hAnsi="Arial" w:cs="Arial"/>
          <w:sz w:val="18"/>
          <w:szCs w:val="18"/>
        </w:rPr>
      </w:pPr>
      <w:r>
        <w:rPr>
          <w:rStyle w:val="FootnoteReference"/>
        </w:rPr>
        <w:footnoteRef/>
      </w:r>
      <w:r>
        <w:t xml:space="preserve"> </w:t>
      </w:r>
      <w:r w:rsidRPr="007E3027">
        <w:rPr>
          <w:rFonts w:ascii="Arial" w:hAnsi="Arial" w:cs="Arial"/>
          <w:sz w:val="18"/>
          <w:szCs w:val="18"/>
          <w:lang w:val="en-GB"/>
        </w:rPr>
        <w:t>Erasmus, Superior Court Practice vol2 at D1-89</w:t>
      </w:r>
      <w:r w:rsidR="00A13CA8" w:rsidRPr="007E3027">
        <w:rPr>
          <w:rFonts w:ascii="Arial" w:hAnsi="Arial" w:cs="Arial"/>
          <w:sz w:val="18"/>
          <w:szCs w:val="18"/>
          <w:lang w:val="en-GB"/>
        </w:rPr>
        <w:t xml:space="preserve"> </w:t>
      </w:r>
      <w:r w:rsidR="00D5552F" w:rsidRPr="007E3027">
        <w:rPr>
          <w:rFonts w:ascii="Arial" w:hAnsi="Arial" w:cs="Arial"/>
          <w:sz w:val="18"/>
          <w:szCs w:val="18"/>
        </w:rPr>
        <w:t>s</w:t>
      </w:r>
      <w:r w:rsidR="007E3027">
        <w:rPr>
          <w:rFonts w:ascii="Arial" w:hAnsi="Arial" w:cs="Arial"/>
          <w:sz w:val="18"/>
          <w:szCs w:val="18"/>
        </w:rPr>
        <w:t>.</w:t>
      </w:r>
    </w:p>
  </w:footnote>
  <w:footnote w:id="16">
    <w:p w14:paraId="2DCB02E0" w14:textId="6142C825" w:rsidR="00A03D18" w:rsidRPr="007E3027" w:rsidRDefault="00A03D18">
      <w:pPr>
        <w:pStyle w:val="FootnoteText"/>
        <w:rPr>
          <w:rFonts w:ascii="Arial" w:hAnsi="Arial" w:cs="Arial"/>
          <w:sz w:val="18"/>
          <w:szCs w:val="18"/>
        </w:rPr>
      </w:pPr>
      <w:r w:rsidRPr="007E3027">
        <w:rPr>
          <w:rStyle w:val="FootnoteReference"/>
          <w:rFonts w:ascii="Arial" w:hAnsi="Arial" w:cs="Arial"/>
          <w:sz w:val="18"/>
          <w:szCs w:val="18"/>
        </w:rPr>
        <w:footnoteRef/>
      </w:r>
      <w:r w:rsidRPr="007E3027">
        <w:rPr>
          <w:rFonts w:ascii="Arial" w:hAnsi="Arial" w:cs="Arial"/>
          <w:sz w:val="18"/>
          <w:szCs w:val="18"/>
        </w:rPr>
        <w:t xml:space="preserve"> 2013(</w:t>
      </w:r>
      <w:r w:rsidR="00320760" w:rsidRPr="007E3027">
        <w:rPr>
          <w:rFonts w:ascii="Arial" w:hAnsi="Arial" w:cs="Arial"/>
          <w:sz w:val="18"/>
          <w:szCs w:val="18"/>
        </w:rPr>
        <w:t>5) SA</w:t>
      </w:r>
      <w:r w:rsidRPr="007E3027">
        <w:rPr>
          <w:rFonts w:ascii="Arial" w:hAnsi="Arial" w:cs="Arial"/>
          <w:sz w:val="18"/>
          <w:szCs w:val="18"/>
        </w:rPr>
        <w:t>603</w:t>
      </w:r>
      <w:r w:rsidR="007E3027">
        <w:rPr>
          <w:rFonts w:ascii="Arial" w:hAnsi="Arial" w:cs="Arial"/>
          <w:sz w:val="18"/>
          <w:szCs w:val="18"/>
        </w:rPr>
        <w:t>.</w:t>
      </w:r>
    </w:p>
  </w:footnote>
  <w:footnote w:id="17">
    <w:p w14:paraId="660C99C8" w14:textId="58E6FD3B" w:rsidR="00A03D18" w:rsidRPr="007E3027" w:rsidRDefault="00A03D18">
      <w:pPr>
        <w:pStyle w:val="FootnoteText"/>
        <w:rPr>
          <w:rFonts w:ascii="Arial" w:hAnsi="Arial" w:cs="Arial"/>
          <w:sz w:val="18"/>
          <w:szCs w:val="18"/>
        </w:rPr>
      </w:pPr>
      <w:r w:rsidRPr="007E3027">
        <w:rPr>
          <w:rStyle w:val="FootnoteReference"/>
          <w:rFonts w:ascii="Arial" w:hAnsi="Arial" w:cs="Arial"/>
          <w:sz w:val="18"/>
          <w:szCs w:val="18"/>
        </w:rPr>
        <w:footnoteRef/>
      </w:r>
      <w:r w:rsidRPr="007E3027">
        <w:rPr>
          <w:rFonts w:ascii="Arial" w:hAnsi="Arial" w:cs="Arial"/>
          <w:sz w:val="18"/>
          <w:szCs w:val="18"/>
        </w:rPr>
        <w:t xml:space="preserve"> I</w:t>
      </w:r>
      <w:r w:rsidR="00320760">
        <w:rPr>
          <w:rFonts w:ascii="Arial" w:hAnsi="Arial" w:cs="Arial"/>
          <w:sz w:val="18"/>
          <w:szCs w:val="18"/>
        </w:rPr>
        <w:t>d</w:t>
      </w:r>
      <w:r w:rsidRPr="007E3027">
        <w:rPr>
          <w:rFonts w:ascii="Arial" w:hAnsi="Arial" w:cs="Arial"/>
          <w:sz w:val="18"/>
          <w:szCs w:val="18"/>
        </w:rPr>
        <w:t xml:space="preserve"> para10</w:t>
      </w:r>
      <w:r w:rsidR="007E3027">
        <w:rPr>
          <w:rFonts w:ascii="Arial" w:hAnsi="Arial" w:cs="Arial"/>
          <w:sz w:val="18"/>
          <w:szCs w:val="18"/>
        </w:rPr>
        <w:t>.</w:t>
      </w:r>
    </w:p>
  </w:footnote>
  <w:footnote w:id="18">
    <w:p w14:paraId="38253AB4" w14:textId="14B4F5E3" w:rsidR="00033702" w:rsidRPr="00BF1BB8" w:rsidRDefault="00033702">
      <w:pPr>
        <w:pStyle w:val="FootnoteText"/>
        <w:rPr>
          <w:rFonts w:ascii="Arial" w:hAnsi="Arial" w:cs="Arial"/>
          <w:sz w:val="18"/>
          <w:szCs w:val="18"/>
        </w:rPr>
      </w:pPr>
      <w:r w:rsidRPr="007E3027">
        <w:rPr>
          <w:rStyle w:val="FootnoteReference"/>
          <w:rFonts w:ascii="Arial" w:hAnsi="Arial" w:cs="Arial"/>
          <w:sz w:val="18"/>
          <w:szCs w:val="18"/>
        </w:rPr>
        <w:footnoteRef/>
      </w:r>
      <w:r w:rsidRPr="007E3027">
        <w:rPr>
          <w:rFonts w:ascii="Arial" w:hAnsi="Arial" w:cs="Arial"/>
          <w:sz w:val="18"/>
          <w:szCs w:val="18"/>
        </w:rPr>
        <w:t xml:space="preserve"> </w:t>
      </w:r>
      <w:r w:rsidRPr="00BF1BB8">
        <w:rPr>
          <w:rFonts w:ascii="Arial" w:hAnsi="Arial" w:cs="Arial"/>
          <w:sz w:val="18"/>
          <w:szCs w:val="18"/>
        </w:rPr>
        <w:t>1996 (4) SA 484 (W)</w:t>
      </w:r>
      <w:r w:rsidR="007E3027" w:rsidRPr="00BF1BB8">
        <w:rPr>
          <w:rFonts w:ascii="Arial" w:hAnsi="Arial" w:cs="Arial"/>
          <w:sz w:val="18"/>
          <w:szCs w:val="18"/>
        </w:rPr>
        <w:t>.</w:t>
      </w:r>
    </w:p>
  </w:footnote>
  <w:footnote w:id="19">
    <w:p w14:paraId="6B56F633" w14:textId="47720F46" w:rsidR="00535030" w:rsidRPr="00722566" w:rsidRDefault="00535030">
      <w:pPr>
        <w:pStyle w:val="FootnoteText"/>
        <w:rPr>
          <w:rFonts w:ascii="Arial" w:hAnsi="Arial" w:cs="Arial"/>
          <w:sz w:val="18"/>
          <w:szCs w:val="18"/>
        </w:rPr>
      </w:pPr>
      <w:r w:rsidRPr="00BF1BB8">
        <w:rPr>
          <w:rStyle w:val="FootnoteReference"/>
          <w:rFonts w:ascii="Arial" w:hAnsi="Arial" w:cs="Arial"/>
          <w:sz w:val="18"/>
          <w:szCs w:val="18"/>
        </w:rPr>
        <w:footnoteRef/>
      </w:r>
      <w:r w:rsidRPr="00BF1BB8">
        <w:rPr>
          <w:rFonts w:ascii="Arial" w:hAnsi="Arial" w:cs="Arial"/>
          <w:sz w:val="18"/>
          <w:szCs w:val="18"/>
        </w:rPr>
        <w:t xml:space="preserve"> </w:t>
      </w:r>
      <w:r w:rsidR="00BF1BB8">
        <w:rPr>
          <w:rFonts w:ascii="Arial" w:hAnsi="Arial" w:cs="Arial"/>
          <w:sz w:val="18"/>
          <w:szCs w:val="18"/>
        </w:rPr>
        <w:t>Id</w:t>
      </w:r>
      <w:r w:rsidRPr="00BF1BB8">
        <w:rPr>
          <w:rFonts w:ascii="Arial" w:hAnsi="Arial" w:cs="Arial"/>
          <w:sz w:val="18"/>
          <w:szCs w:val="18"/>
        </w:rPr>
        <w:t xml:space="preserve"> para 4</w:t>
      </w:r>
      <w:r w:rsidR="00AF64F8">
        <w:rPr>
          <w:rFonts w:ascii="Arial" w:hAnsi="Arial" w:cs="Arial"/>
          <w:sz w:val="18"/>
          <w:szCs w:val="18"/>
        </w:rPr>
        <w:t>H at page 486</w:t>
      </w:r>
      <w:r w:rsidRPr="00BF1BB8">
        <w:rPr>
          <w:rFonts w:ascii="Arial" w:hAnsi="Arial" w:cs="Arial"/>
          <w:sz w:val="18"/>
          <w:szCs w:val="18"/>
        </w:rPr>
        <w:t>.</w:t>
      </w:r>
    </w:p>
  </w:footnote>
  <w:footnote w:id="20">
    <w:p w14:paraId="3E2D0264" w14:textId="2D5AF75A" w:rsidR="00C56553" w:rsidRDefault="00C56553">
      <w:pPr>
        <w:pStyle w:val="FootnoteText"/>
      </w:pPr>
      <w:r w:rsidRPr="00722566">
        <w:rPr>
          <w:rStyle w:val="FootnoteReference"/>
          <w:rFonts w:ascii="Arial" w:hAnsi="Arial" w:cs="Arial"/>
          <w:sz w:val="18"/>
          <w:szCs w:val="18"/>
        </w:rPr>
        <w:footnoteRef/>
      </w:r>
      <w:r w:rsidRPr="00722566">
        <w:rPr>
          <w:rFonts w:ascii="Arial" w:hAnsi="Arial" w:cs="Arial"/>
          <w:sz w:val="18"/>
          <w:szCs w:val="18"/>
        </w:rPr>
        <w:t xml:space="preserve"> </w:t>
      </w:r>
      <w:r w:rsidR="00525226" w:rsidRPr="00722566">
        <w:rPr>
          <w:rFonts w:ascii="Arial" w:hAnsi="Arial" w:cs="Arial"/>
          <w:sz w:val="18"/>
          <w:szCs w:val="18"/>
        </w:rPr>
        <w:t>Respondent’s Founding affidavit para 28</w:t>
      </w:r>
      <w:r w:rsidR="00525226">
        <w:t xml:space="preserve"> </w:t>
      </w:r>
    </w:p>
  </w:footnote>
  <w:footnote w:id="21">
    <w:p w14:paraId="46E821B7" w14:textId="53CB53A6" w:rsidR="00B91209" w:rsidRPr="00184B20" w:rsidRDefault="00B91209">
      <w:pPr>
        <w:pStyle w:val="FootnoteText"/>
        <w:rPr>
          <w:rFonts w:ascii="Arial" w:hAnsi="Arial" w:cs="Arial"/>
          <w:sz w:val="18"/>
          <w:szCs w:val="18"/>
        </w:rPr>
      </w:pPr>
      <w:r w:rsidRPr="00184B20">
        <w:rPr>
          <w:rStyle w:val="FootnoteReference"/>
          <w:rFonts w:ascii="Arial" w:hAnsi="Arial" w:cs="Arial"/>
          <w:sz w:val="18"/>
          <w:szCs w:val="18"/>
        </w:rPr>
        <w:footnoteRef/>
      </w:r>
      <w:r w:rsidRPr="00184B20">
        <w:rPr>
          <w:rFonts w:ascii="Arial" w:hAnsi="Arial" w:cs="Arial"/>
          <w:sz w:val="18"/>
          <w:szCs w:val="18"/>
        </w:rPr>
        <w:t xml:space="preserve"> Respondent founding affidavit para 30.1</w:t>
      </w:r>
    </w:p>
  </w:footnote>
  <w:footnote w:id="22">
    <w:p w14:paraId="6F3B71DD" w14:textId="4010C50D" w:rsidR="00F004A6" w:rsidRDefault="00F004A6">
      <w:pPr>
        <w:pStyle w:val="FootnoteText"/>
      </w:pPr>
      <w:r w:rsidRPr="00184B20">
        <w:rPr>
          <w:rStyle w:val="FootnoteReference"/>
          <w:rFonts w:ascii="Arial" w:hAnsi="Arial" w:cs="Arial"/>
          <w:sz w:val="18"/>
          <w:szCs w:val="18"/>
        </w:rPr>
        <w:footnoteRef/>
      </w:r>
      <w:r w:rsidRPr="00184B20">
        <w:rPr>
          <w:rFonts w:ascii="Arial" w:hAnsi="Arial" w:cs="Arial"/>
          <w:sz w:val="18"/>
          <w:szCs w:val="18"/>
        </w:rPr>
        <w:t xml:space="preserve"> </w:t>
      </w:r>
      <w:r w:rsidR="00184B20" w:rsidRPr="00184B20">
        <w:rPr>
          <w:rFonts w:ascii="Arial" w:hAnsi="Arial" w:cs="Arial"/>
          <w:sz w:val="18"/>
          <w:szCs w:val="18"/>
        </w:rPr>
        <w:t xml:space="preserve">Id </w:t>
      </w:r>
      <w:r w:rsidRPr="00184B20">
        <w:rPr>
          <w:rFonts w:ascii="Arial" w:hAnsi="Arial" w:cs="Arial"/>
          <w:sz w:val="18"/>
          <w:szCs w:val="18"/>
        </w:rPr>
        <w:t>para 52</w:t>
      </w:r>
      <w:r w:rsidR="00E03436">
        <w:rPr>
          <w:rFonts w:ascii="Arial" w:hAnsi="Arial" w:cs="Arial"/>
          <w:sz w:val="18"/>
          <w:szCs w:val="18"/>
        </w:rPr>
        <w:t>.</w:t>
      </w:r>
    </w:p>
  </w:footnote>
  <w:footnote w:id="23">
    <w:p w14:paraId="06CE19DD" w14:textId="0CA1EABF" w:rsidR="00313904" w:rsidRPr="00313904" w:rsidRDefault="00313904" w:rsidP="00313904">
      <w:pPr>
        <w:pStyle w:val="NoSpacing"/>
        <w:rPr>
          <w:rFonts w:ascii="Arial" w:hAnsi="Arial" w:cs="Arial"/>
          <w:sz w:val="18"/>
          <w:szCs w:val="18"/>
        </w:rPr>
      </w:pPr>
      <w:r w:rsidRPr="00313904">
        <w:rPr>
          <w:rStyle w:val="FootnoteReference"/>
          <w:rFonts w:ascii="Arial" w:hAnsi="Arial" w:cs="Arial"/>
          <w:sz w:val="18"/>
          <w:szCs w:val="18"/>
        </w:rPr>
        <w:footnoteRef/>
      </w:r>
      <w:r w:rsidRPr="00313904">
        <w:t xml:space="preserve"> </w:t>
      </w:r>
      <w:r w:rsidRPr="00313904">
        <w:rPr>
          <w:rFonts w:ascii="Arial" w:hAnsi="Arial" w:cs="Arial"/>
          <w:sz w:val="18"/>
          <w:szCs w:val="18"/>
        </w:rPr>
        <w:t>ZACC 9; 2002 (1) SA 429 (CC).</w:t>
      </w:r>
    </w:p>
  </w:footnote>
  <w:footnote w:id="24">
    <w:p w14:paraId="646068BE" w14:textId="00B3C552" w:rsidR="00313904" w:rsidRDefault="00313904" w:rsidP="00313904">
      <w:pPr>
        <w:pStyle w:val="NoSpacing"/>
      </w:pPr>
      <w:r w:rsidRPr="00313904">
        <w:rPr>
          <w:rStyle w:val="FootnoteReference"/>
          <w:rFonts w:ascii="Arial" w:hAnsi="Arial" w:cs="Arial"/>
          <w:sz w:val="18"/>
          <w:szCs w:val="18"/>
        </w:rPr>
        <w:footnoteRef/>
      </w:r>
      <w:r w:rsidRPr="00313904">
        <w:rPr>
          <w:rFonts w:ascii="Arial" w:hAnsi="Arial" w:cs="Arial"/>
          <w:sz w:val="18"/>
          <w:szCs w:val="18"/>
        </w:rPr>
        <w:t xml:space="preserve"> Id para 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167B"/>
    <w:multiLevelType w:val="hybridMultilevel"/>
    <w:tmpl w:val="5DFCE64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4F77C67"/>
    <w:multiLevelType w:val="hybridMultilevel"/>
    <w:tmpl w:val="B09E1E18"/>
    <w:lvl w:ilvl="0" w:tplc="1C090011">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259C04D0"/>
    <w:multiLevelType w:val="hybridMultilevel"/>
    <w:tmpl w:val="B56EC5F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9322042"/>
    <w:multiLevelType w:val="hybridMultilevel"/>
    <w:tmpl w:val="551A577E"/>
    <w:lvl w:ilvl="0" w:tplc="E59E80A8">
      <w:start w:val="1"/>
      <w:numFmt w:val="decimal"/>
      <w:lvlText w:val="(%1)"/>
      <w:lvlJc w:val="left"/>
      <w:pPr>
        <w:ind w:left="720" w:hanging="360"/>
      </w:pPr>
      <w:rPr>
        <w:rFonts w:ascii="Calibri" w:eastAsia="Calibri" w:hAnsi="Calibri"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9380F44"/>
    <w:multiLevelType w:val="hybridMultilevel"/>
    <w:tmpl w:val="D2DA9FDA"/>
    <w:lvl w:ilvl="0" w:tplc="1C090011">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7172D7E"/>
    <w:multiLevelType w:val="hybridMultilevel"/>
    <w:tmpl w:val="0A0016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75675E5"/>
    <w:multiLevelType w:val="hybridMultilevel"/>
    <w:tmpl w:val="5AC0FAF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16cid:durableId="873886366">
    <w:abstractNumId w:val="6"/>
  </w:num>
  <w:num w:numId="2" w16cid:durableId="624510485">
    <w:abstractNumId w:val="3"/>
  </w:num>
  <w:num w:numId="3" w16cid:durableId="2077631553">
    <w:abstractNumId w:val="0"/>
  </w:num>
  <w:num w:numId="4" w16cid:durableId="785780313">
    <w:abstractNumId w:val="4"/>
  </w:num>
  <w:num w:numId="5" w16cid:durableId="802114254">
    <w:abstractNumId w:val="1"/>
  </w:num>
  <w:num w:numId="6" w16cid:durableId="1596286783">
    <w:abstractNumId w:val="2"/>
  </w:num>
  <w:num w:numId="7" w16cid:durableId="17308770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56A"/>
    <w:rsid w:val="00003CCB"/>
    <w:rsid w:val="000100DA"/>
    <w:rsid w:val="00016BC2"/>
    <w:rsid w:val="00022059"/>
    <w:rsid w:val="00024AF3"/>
    <w:rsid w:val="00033702"/>
    <w:rsid w:val="0003516A"/>
    <w:rsid w:val="0003631A"/>
    <w:rsid w:val="00050A5A"/>
    <w:rsid w:val="00061F82"/>
    <w:rsid w:val="0007287F"/>
    <w:rsid w:val="0007675E"/>
    <w:rsid w:val="000806FE"/>
    <w:rsid w:val="00087F98"/>
    <w:rsid w:val="00091405"/>
    <w:rsid w:val="00092FE6"/>
    <w:rsid w:val="000A4A47"/>
    <w:rsid w:val="000A6F6F"/>
    <w:rsid w:val="000B2424"/>
    <w:rsid w:val="000B25A5"/>
    <w:rsid w:val="000B2F5C"/>
    <w:rsid w:val="000B3EA0"/>
    <w:rsid w:val="000C22A7"/>
    <w:rsid w:val="000C2F4D"/>
    <w:rsid w:val="000C3172"/>
    <w:rsid w:val="000C4024"/>
    <w:rsid w:val="000C63AB"/>
    <w:rsid w:val="000D4634"/>
    <w:rsid w:val="000D7AD3"/>
    <w:rsid w:val="000E0B6C"/>
    <w:rsid w:val="000E0CD4"/>
    <w:rsid w:val="000F1E49"/>
    <w:rsid w:val="000F2B88"/>
    <w:rsid w:val="000F3343"/>
    <w:rsid w:val="000F615B"/>
    <w:rsid w:val="00104FF8"/>
    <w:rsid w:val="001124AC"/>
    <w:rsid w:val="00123F39"/>
    <w:rsid w:val="001244AB"/>
    <w:rsid w:val="00126EAA"/>
    <w:rsid w:val="001270E3"/>
    <w:rsid w:val="00130A24"/>
    <w:rsid w:val="00140EF4"/>
    <w:rsid w:val="00141413"/>
    <w:rsid w:val="00143B76"/>
    <w:rsid w:val="001517F2"/>
    <w:rsid w:val="00154C57"/>
    <w:rsid w:val="001572DC"/>
    <w:rsid w:val="00167B98"/>
    <w:rsid w:val="00184B20"/>
    <w:rsid w:val="00193012"/>
    <w:rsid w:val="0019795E"/>
    <w:rsid w:val="001A2EA4"/>
    <w:rsid w:val="001B1FE8"/>
    <w:rsid w:val="001B3816"/>
    <w:rsid w:val="001B50D1"/>
    <w:rsid w:val="001B6DF1"/>
    <w:rsid w:val="001C0A9A"/>
    <w:rsid w:val="001C1613"/>
    <w:rsid w:val="001C425F"/>
    <w:rsid w:val="001C5754"/>
    <w:rsid w:val="001C5775"/>
    <w:rsid w:val="001C6777"/>
    <w:rsid w:val="001D1550"/>
    <w:rsid w:val="001D1AEA"/>
    <w:rsid w:val="001D1C57"/>
    <w:rsid w:val="001D62A0"/>
    <w:rsid w:val="001E55FC"/>
    <w:rsid w:val="001F10C7"/>
    <w:rsid w:val="001F3007"/>
    <w:rsid w:val="001F463B"/>
    <w:rsid w:val="001F6FCB"/>
    <w:rsid w:val="002035ED"/>
    <w:rsid w:val="00216C2A"/>
    <w:rsid w:val="00216CDA"/>
    <w:rsid w:val="00217519"/>
    <w:rsid w:val="002238C0"/>
    <w:rsid w:val="00223B6B"/>
    <w:rsid w:val="00224554"/>
    <w:rsid w:val="002267DC"/>
    <w:rsid w:val="0023765D"/>
    <w:rsid w:val="00246BD6"/>
    <w:rsid w:val="00246D06"/>
    <w:rsid w:val="002470E0"/>
    <w:rsid w:val="0024739E"/>
    <w:rsid w:val="00247DDA"/>
    <w:rsid w:val="002506DB"/>
    <w:rsid w:val="00252323"/>
    <w:rsid w:val="002564FD"/>
    <w:rsid w:val="002637E8"/>
    <w:rsid w:val="002639C9"/>
    <w:rsid w:val="00273501"/>
    <w:rsid w:val="002757FC"/>
    <w:rsid w:val="00276B63"/>
    <w:rsid w:val="00276BBA"/>
    <w:rsid w:val="00276FA9"/>
    <w:rsid w:val="00295895"/>
    <w:rsid w:val="002977E2"/>
    <w:rsid w:val="002A5DF3"/>
    <w:rsid w:val="002A5F4E"/>
    <w:rsid w:val="002B23F7"/>
    <w:rsid w:val="002B3FD7"/>
    <w:rsid w:val="002D127C"/>
    <w:rsid w:val="002D1A9B"/>
    <w:rsid w:val="002D47AB"/>
    <w:rsid w:val="002D5E8D"/>
    <w:rsid w:val="002E0D31"/>
    <w:rsid w:val="002E215B"/>
    <w:rsid w:val="002E43AD"/>
    <w:rsid w:val="002E72B4"/>
    <w:rsid w:val="002F6F76"/>
    <w:rsid w:val="00301109"/>
    <w:rsid w:val="003045E9"/>
    <w:rsid w:val="00311231"/>
    <w:rsid w:val="00313904"/>
    <w:rsid w:val="00315685"/>
    <w:rsid w:val="00315FDE"/>
    <w:rsid w:val="00320760"/>
    <w:rsid w:val="00320B4D"/>
    <w:rsid w:val="00327A03"/>
    <w:rsid w:val="003332CD"/>
    <w:rsid w:val="00340273"/>
    <w:rsid w:val="0034072A"/>
    <w:rsid w:val="00341392"/>
    <w:rsid w:val="00341B62"/>
    <w:rsid w:val="00341EEA"/>
    <w:rsid w:val="00344D6C"/>
    <w:rsid w:val="003529BC"/>
    <w:rsid w:val="00353121"/>
    <w:rsid w:val="003531A9"/>
    <w:rsid w:val="00354C18"/>
    <w:rsid w:val="00354C67"/>
    <w:rsid w:val="00357985"/>
    <w:rsid w:val="00363EE4"/>
    <w:rsid w:val="0036720B"/>
    <w:rsid w:val="003700BF"/>
    <w:rsid w:val="00373410"/>
    <w:rsid w:val="0037684D"/>
    <w:rsid w:val="00387CBB"/>
    <w:rsid w:val="00392A3A"/>
    <w:rsid w:val="00396944"/>
    <w:rsid w:val="003A0146"/>
    <w:rsid w:val="003A51B8"/>
    <w:rsid w:val="003B67FD"/>
    <w:rsid w:val="003C0E99"/>
    <w:rsid w:val="003C1420"/>
    <w:rsid w:val="003C1DB2"/>
    <w:rsid w:val="003C283C"/>
    <w:rsid w:val="003D15D2"/>
    <w:rsid w:val="003D2346"/>
    <w:rsid w:val="003D4CA8"/>
    <w:rsid w:val="003D6A1B"/>
    <w:rsid w:val="003E3401"/>
    <w:rsid w:val="003F23DC"/>
    <w:rsid w:val="003F2636"/>
    <w:rsid w:val="003F2DDD"/>
    <w:rsid w:val="00405B65"/>
    <w:rsid w:val="00411177"/>
    <w:rsid w:val="00412310"/>
    <w:rsid w:val="004178C2"/>
    <w:rsid w:val="0042199E"/>
    <w:rsid w:val="00432214"/>
    <w:rsid w:val="00437466"/>
    <w:rsid w:val="004423F9"/>
    <w:rsid w:val="00446E5C"/>
    <w:rsid w:val="00450983"/>
    <w:rsid w:val="004621B4"/>
    <w:rsid w:val="00464373"/>
    <w:rsid w:val="00470100"/>
    <w:rsid w:val="004707DA"/>
    <w:rsid w:val="004730A4"/>
    <w:rsid w:val="004753C9"/>
    <w:rsid w:val="00475FE4"/>
    <w:rsid w:val="00487503"/>
    <w:rsid w:val="004879EA"/>
    <w:rsid w:val="00492013"/>
    <w:rsid w:val="004A54FC"/>
    <w:rsid w:val="004A594B"/>
    <w:rsid w:val="004A71A4"/>
    <w:rsid w:val="004B2817"/>
    <w:rsid w:val="004B57CB"/>
    <w:rsid w:val="004C0399"/>
    <w:rsid w:val="004C34AE"/>
    <w:rsid w:val="004C4963"/>
    <w:rsid w:val="004D390E"/>
    <w:rsid w:val="004E2D6A"/>
    <w:rsid w:val="004E5567"/>
    <w:rsid w:val="004E6484"/>
    <w:rsid w:val="004E6878"/>
    <w:rsid w:val="004F76E0"/>
    <w:rsid w:val="0050099F"/>
    <w:rsid w:val="00504719"/>
    <w:rsid w:val="00510E03"/>
    <w:rsid w:val="00511339"/>
    <w:rsid w:val="00517AB7"/>
    <w:rsid w:val="00524345"/>
    <w:rsid w:val="00525226"/>
    <w:rsid w:val="005308AC"/>
    <w:rsid w:val="00532630"/>
    <w:rsid w:val="00533E93"/>
    <w:rsid w:val="00535030"/>
    <w:rsid w:val="00536B1B"/>
    <w:rsid w:val="00543284"/>
    <w:rsid w:val="00547B23"/>
    <w:rsid w:val="00550814"/>
    <w:rsid w:val="00553D8B"/>
    <w:rsid w:val="00557F66"/>
    <w:rsid w:val="00563E5B"/>
    <w:rsid w:val="00571489"/>
    <w:rsid w:val="00573462"/>
    <w:rsid w:val="00576D38"/>
    <w:rsid w:val="005A1DBC"/>
    <w:rsid w:val="005B0259"/>
    <w:rsid w:val="005B1915"/>
    <w:rsid w:val="005B48B9"/>
    <w:rsid w:val="005B64E6"/>
    <w:rsid w:val="005B6687"/>
    <w:rsid w:val="005B6940"/>
    <w:rsid w:val="005C1EE2"/>
    <w:rsid w:val="005C7B64"/>
    <w:rsid w:val="005E2C00"/>
    <w:rsid w:val="005E3789"/>
    <w:rsid w:val="005E4101"/>
    <w:rsid w:val="005F3758"/>
    <w:rsid w:val="005F4BAD"/>
    <w:rsid w:val="005F5183"/>
    <w:rsid w:val="005F7F98"/>
    <w:rsid w:val="0060661B"/>
    <w:rsid w:val="006254A2"/>
    <w:rsid w:val="00636CAA"/>
    <w:rsid w:val="006406C7"/>
    <w:rsid w:val="00646C99"/>
    <w:rsid w:val="00652475"/>
    <w:rsid w:val="00652F7E"/>
    <w:rsid w:val="00653AFC"/>
    <w:rsid w:val="00671008"/>
    <w:rsid w:val="006726BB"/>
    <w:rsid w:val="00673BF5"/>
    <w:rsid w:val="00674304"/>
    <w:rsid w:val="0067437D"/>
    <w:rsid w:val="006754E4"/>
    <w:rsid w:val="006A03A3"/>
    <w:rsid w:val="006B1569"/>
    <w:rsid w:val="006B477D"/>
    <w:rsid w:val="006B4C90"/>
    <w:rsid w:val="006B5CA9"/>
    <w:rsid w:val="006B6798"/>
    <w:rsid w:val="006B7B8F"/>
    <w:rsid w:val="006C14CC"/>
    <w:rsid w:val="006C6913"/>
    <w:rsid w:val="006C71B0"/>
    <w:rsid w:val="006D178C"/>
    <w:rsid w:val="006D3ACC"/>
    <w:rsid w:val="006E7207"/>
    <w:rsid w:val="006F0C6E"/>
    <w:rsid w:val="006F4D21"/>
    <w:rsid w:val="006F5319"/>
    <w:rsid w:val="006F7F2C"/>
    <w:rsid w:val="00707813"/>
    <w:rsid w:val="00710E50"/>
    <w:rsid w:val="0071668D"/>
    <w:rsid w:val="00722566"/>
    <w:rsid w:val="00727718"/>
    <w:rsid w:val="00730D9E"/>
    <w:rsid w:val="007355E5"/>
    <w:rsid w:val="0073566B"/>
    <w:rsid w:val="0074362D"/>
    <w:rsid w:val="00746D88"/>
    <w:rsid w:val="00754100"/>
    <w:rsid w:val="00762FC0"/>
    <w:rsid w:val="00767F9F"/>
    <w:rsid w:val="00770E8C"/>
    <w:rsid w:val="007722C2"/>
    <w:rsid w:val="0078740C"/>
    <w:rsid w:val="00790A5F"/>
    <w:rsid w:val="0079169C"/>
    <w:rsid w:val="007943EC"/>
    <w:rsid w:val="00794DED"/>
    <w:rsid w:val="007A4069"/>
    <w:rsid w:val="007A6397"/>
    <w:rsid w:val="007A744A"/>
    <w:rsid w:val="007B2FF2"/>
    <w:rsid w:val="007B69A3"/>
    <w:rsid w:val="007C56E6"/>
    <w:rsid w:val="007D18DF"/>
    <w:rsid w:val="007E3027"/>
    <w:rsid w:val="007E36BB"/>
    <w:rsid w:val="007F2F3D"/>
    <w:rsid w:val="007F5642"/>
    <w:rsid w:val="007F7877"/>
    <w:rsid w:val="00802247"/>
    <w:rsid w:val="00810046"/>
    <w:rsid w:val="00810368"/>
    <w:rsid w:val="008112FC"/>
    <w:rsid w:val="0081607E"/>
    <w:rsid w:val="0082256A"/>
    <w:rsid w:val="008318CF"/>
    <w:rsid w:val="00835F64"/>
    <w:rsid w:val="00837E65"/>
    <w:rsid w:val="00842C74"/>
    <w:rsid w:val="0084468B"/>
    <w:rsid w:val="00847132"/>
    <w:rsid w:val="00854B5D"/>
    <w:rsid w:val="00854F46"/>
    <w:rsid w:val="008577FB"/>
    <w:rsid w:val="0086182D"/>
    <w:rsid w:val="00861C5F"/>
    <w:rsid w:val="008641DF"/>
    <w:rsid w:val="00865276"/>
    <w:rsid w:val="008715B3"/>
    <w:rsid w:val="00872FD8"/>
    <w:rsid w:val="008750DC"/>
    <w:rsid w:val="00875850"/>
    <w:rsid w:val="00875BF5"/>
    <w:rsid w:val="0089278C"/>
    <w:rsid w:val="00894576"/>
    <w:rsid w:val="00896357"/>
    <w:rsid w:val="008A28D5"/>
    <w:rsid w:val="008A3C72"/>
    <w:rsid w:val="008A5A45"/>
    <w:rsid w:val="008A5B68"/>
    <w:rsid w:val="008B228B"/>
    <w:rsid w:val="008B41BC"/>
    <w:rsid w:val="008B50BE"/>
    <w:rsid w:val="008B5DB8"/>
    <w:rsid w:val="008B77E4"/>
    <w:rsid w:val="008C0533"/>
    <w:rsid w:val="008C2456"/>
    <w:rsid w:val="008C5B99"/>
    <w:rsid w:val="008C72E6"/>
    <w:rsid w:val="008D3C68"/>
    <w:rsid w:val="008D54FE"/>
    <w:rsid w:val="008E1F78"/>
    <w:rsid w:val="008E3825"/>
    <w:rsid w:val="008E56A5"/>
    <w:rsid w:val="008E5C13"/>
    <w:rsid w:val="008E7ECC"/>
    <w:rsid w:val="008F494C"/>
    <w:rsid w:val="008F5D9A"/>
    <w:rsid w:val="00903ACD"/>
    <w:rsid w:val="00904941"/>
    <w:rsid w:val="0091409E"/>
    <w:rsid w:val="00914C1C"/>
    <w:rsid w:val="00922D20"/>
    <w:rsid w:val="00926EC4"/>
    <w:rsid w:val="00930D92"/>
    <w:rsid w:val="00933C28"/>
    <w:rsid w:val="0093496B"/>
    <w:rsid w:val="00940C1B"/>
    <w:rsid w:val="00940FC3"/>
    <w:rsid w:val="009420B8"/>
    <w:rsid w:val="00942BE4"/>
    <w:rsid w:val="009434D9"/>
    <w:rsid w:val="009440F5"/>
    <w:rsid w:val="00965962"/>
    <w:rsid w:val="00967007"/>
    <w:rsid w:val="009737D0"/>
    <w:rsid w:val="0097478B"/>
    <w:rsid w:val="00981E28"/>
    <w:rsid w:val="009916A9"/>
    <w:rsid w:val="00994823"/>
    <w:rsid w:val="009A4ED9"/>
    <w:rsid w:val="009B1047"/>
    <w:rsid w:val="009B63A5"/>
    <w:rsid w:val="009C177B"/>
    <w:rsid w:val="009C257D"/>
    <w:rsid w:val="009C4539"/>
    <w:rsid w:val="009C48C1"/>
    <w:rsid w:val="009D4406"/>
    <w:rsid w:val="009D4DCF"/>
    <w:rsid w:val="009E1165"/>
    <w:rsid w:val="009E71EF"/>
    <w:rsid w:val="009F0C95"/>
    <w:rsid w:val="009F7248"/>
    <w:rsid w:val="00A00201"/>
    <w:rsid w:val="00A007DB"/>
    <w:rsid w:val="00A02C18"/>
    <w:rsid w:val="00A03900"/>
    <w:rsid w:val="00A03D18"/>
    <w:rsid w:val="00A0418D"/>
    <w:rsid w:val="00A10639"/>
    <w:rsid w:val="00A13CA8"/>
    <w:rsid w:val="00A13D1A"/>
    <w:rsid w:val="00A217F3"/>
    <w:rsid w:val="00A21E88"/>
    <w:rsid w:val="00A23E7F"/>
    <w:rsid w:val="00A31B28"/>
    <w:rsid w:val="00A342A8"/>
    <w:rsid w:val="00A53876"/>
    <w:rsid w:val="00A551C3"/>
    <w:rsid w:val="00A55EA3"/>
    <w:rsid w:val="00A6163A"/>
    <w:rsid w:val="00A619CC"/>
    <w:rsid w:val="00A624D7"/>
    <w:rsid w:val="00A72784"/>
    <w:rsid w:val="00A73A7C"/>
    <w:rsid w:val="00A77C2F"/>
    <w:rsid w:val="00A8069D"/>
    <w:rsid w:val="00A857F9"/>
    <w:rsid w:val="00A86F4F"/>
    <w:rsid w:val="00A95C94"/>
    <w:rsid w:val="00A962AB"/>
    <w:rsid w:val="00AA221B"/>
    <w:rsid w:val="00AB247A"/>
    <w:rsid w:val="00AB2E8C"/>
    <w:rsid w:val="00AB3CF8"/>
    <w:rsid w:val="00AB5164"/>
    <w:rsid w:val="00AC2DE0"/>
    <w:rsid w:val="00AC3F74"/>
    <w:rsid w:val="00AC67AB"/>
    <w:rsid w:val="00AD0021"/>
    <w:rsid w:val="00AD0166"/>
    <w:rsid w:val="00AD35C1"/>
    <w:rsid w:val="00AE0B6B"/>
    <w:rsid w:val="00AE3475"/>
    <w:rsid w:val="00AF23F9"/>
    <w:rsid w:val="00AF26FF"/>
    <w:rsid w:val="00AF64F8"/>
    <w:rsid w:val="00AF6AA1"/>
    <w:rsid w:val="00B074FE"/>
    <w:rsid w:val="00B14310"/>
    <w:rsid w:val="00B20643"/>
    <w:rsid w:val="00B21A89"/>
    <w:rsid w:val="00B23613"/>
    <w:rsid w:val="00B27625"/>
    <w:rsid w:val="00B36D67"/>
    <w:rsid w:val="00B372D0"/>
    <w:rsid w:val="00B3775E"/>
    <w:rsid w:val="00B379C0"/>
    <w:rsid w:val="00B42868"/>
    <w:rsid w:val="00B5008A"/>
    <w:rsid w:val="00B513E1"/>
    <w:rsid w:val="00B60C76"/>
    <w:rsid w:val="00B64C05"/>
    <w:rsid w:val="00B7149D"/>
    <w:rsid w:val="00B737C3"/>
    <w:rsid w:val="00B828C9"/>
    <w:rsid w:val="00B8333B"/>
    <w:rsid w:val="00B91209"/>
    <w:rsid w:val="00B94353"/>
    <w:rsid w:val="00B9583B"/>
    <w:rsid w:val="00B97FB5"/>
    <w:rsid w:val="00BA1663"/>
    <w:rsid w:val="00BA1DB4"/>
    <w:rsid w:val="00BA3F44"/>
    <w:rsid w:val="00BA63BD"/>
    <w:rsid w:val="00BA6C3F"/>
    <w:rsid w:val="00BB386A"/>
    <w:rsid w:val="00BB5315"/>
    <w:rsid w:val="00BB5B16"/>
    <w:rsid w:val="00BB6BF5"/>
    <w:rsid w:val="00BC5FBE"/>
    <w:rsid w:val="00BE2879"/>
    <w:rsid w:val="00BE3E10"/>
    <w:rsid w:val="00BE5E66"/>
    <w:rsid w:val="00BE60AB"/>
    <w:rsid w:val="00BF1BB8"/>
    <w:rsid w:val="00BF5716"/>
    <w:rsid w:val="00BF5764"/>
    <w:rsid w:val="00C018AA"/>
    <w:rsid w:val="00C02885"/>
    <w:rsid w:val="00C070BA"/>
    <w:rsid w:val="00C119DC"/>
    <w:rsid w:val="00C11F33"/>
    <w:rsid w:val="00C217F5"/>
    <w:rsid w:val="00C22BAA"/>
    <w:rsid w:val="00C252E7"/>
    <w:rsid w:val="00C25D55"/>
    <w:rsid w:val="00C328D9"/>
    <w:rsid w:val="00C50100"/>
    <w:rsid w:val="00C509D0"/>
    <w:rsid w:val="00C528D5"/>
    <w:rsid w:val="00C54974"/>
    <w:rsid w:val="00C56553"/>
    <w:rsid w:val="00C6147E"/>
    <w:rsid w:val="00C61863"/>
    <w:rsid w:val="00C647E5"/>
    <w:rsid w:val="00C717CC"/>
    <w:rsid w:val="00C73CC9"/>
    <w:rsid w:val="00C7663C"/>
    <w:rsid w:val="00C80D06"/>
    <w:rsid w:val="00C821CF"/>
    <w:rsid w:val="00C86B59"/>
    <w:rsid w:val="00CA0DF9"/>
    <w:rsid w:val="00CA1B9A"/>
    <w:rsid w:val="00CA3C69"/>
    <w:rsid w:val="00CB0AC5"/>
    <w:rsid w:val="00CB0B10"/>
    <w:rsid w:val="00CC59C1"/>
    <w:rsid w:val="00CC79FE"/>
    <w:rsid w:val="00CD0180"/>
    <w:rsid w:val="00CE091B"/>
    <w:rsid w:val="00CE2642"/>
    <w:rsid w:val="00CF1FB6"/>
    <w:rsid w:val="00CF2306"/>
    <w:rsid w:val="00CF2E2D"/>
    <w:rsid w:val="00CF5605"/>
    <w:rsid w:val="00D015A9"/>
    <w:rsid w:val="00D022E8"/>
    <w:rsid w:val="00D02B62"/>
    <w:rsid w:val="00D0742B"/>
    <w:rsid w:val="00D1661C"/>
    <w:rsid w:val="00D16691"/>
    <w:rsid w:val="00D253FF"/>
    <w:rsid w:val="00D26C84"/>
    <w:rsid w:val="00D322C2"/>
    <w:rsid w:val="00D413BF"/>
    <w:rsid w:val="00D47D48"/>
    <w:rsid w:val="00D5037E"/>
    <w:rsid w:val="00D5552F"/>
    <w:rsid w:val="00D55E01"/>
    <w:rsid w:val="00D5762A"/>
    <w:rsid w:val="00D61AD0"/>
    <w:rsid w:val="00D65C6A"/>
    <w:rsid w:val="00D72C9C"/>
    <w:rsid w:val="00D74FDA"/>
    <w:rsid w:val="00D75944"/>
    <w:rsid w:val="00D775D1"/>
    <w:rsid w:val="00D84FB4"/>
    <w:rsid w:val="00D8703F"/>
    <w:rsid w:val="00D94E1E"/>
    <w:rsid w:val="00D956F5"/>
    <w:rsid w:val="00DA5F2E"/>
    <w:rsid w:val="00DA608D"/>
    <w:rsid w:val="00DB225F"/>
    <w:rsid w:val="00DB45A9"/>
    <w:rsid w:val="00DB5199"/>
    <w:rsid w:val="00DB6679"/>
    <w:rsid w:val="00DC1CE0"/>
    <w:rsid w:val="00DC2C10"/>
    <w:rsid w:val="00DC359D"/>
    <w:rsid w:val="00DC7BC4"/>
    <w:rsid w:val="00DE0EDB"/>
    <w:rsid w:val="00DF0DC5"/>
    <w:rsid w:val="00DF6F6B"/>
    <w:rsid w:val="00DF71DE"/>
    <w:rsid w:val="00E02C1E"/>
    <w:rsid w:val="00E03436"/>
    <w:rsid w:val="00E111CE"/>
    <w:rsid w:val="00E14D98"/>
    <w:rsid w:val="00E22CE0"/>
    <w:rsid w:val="00E24CA3"/>
    <w:rsid w:val="00E2720C"/>
    <w:rsid w:val="00E27EBC"/>
    <w:rsid w:val="00E32F4E"/>
    <w:rsid w:val="00E40361"/>
    <w:rsid w:val="00E42039"/>
    <w:rsid w:val="00E43746"/>
    <w:rsid w:val="00E50F0F"/>
    <w:rsid w:val="00E5647E"/>
    <w:rsid w:val="00E57CE9"/>
    <w:rsid w:val="00E60068"/>
    <w:rsid w:val="00E806E9"/>
    <w:rsid w:val="00E817F2"/>
    <w:rsid w:val="00E85064"/>
    <w:rsid w:val="00E92747"/>
    <w:rsid w:val="00EB7527"/>
    <w:rsid w:val="00ED342A"/>
    <w:rsid w:val="00ED55A8"/>
    <w:rsid w:val="00EE315C"/>
    <w:rsid w:val="00EE5C0D"/>
    <w:rsid w:val="00EF7A3C"/>
    <w:rsid w:val="00F004A6"/>
    <w:rsid w:val="00F00FE2"/>
    <w:rsid w:val="00F06407"/>
    <w:rsid w:val="00F1324E"/>
    <w:rsid w:val="00F15423"/>
    <w:rsid w:val="00F167F1"/>
    <w:rsid w:val="00F31B41"/>
    <w:rsid w:val="00F32830"/>
    <w:rsid w:val="00F33F08"/>
    <w:rsid w:val="00F35186"/>
    <w:rsid w:val="00F43AE4"/>
    <w:rsid w:val="00F4437C"/>
    <w:rsid w:val="00F47575"/>
    <w:rsid w:val="00F47C38"/>
    <w:rsid w:val="00F549D7"/>
    <w:rsid w:val="00F54DDD"/>
    <w:rsid w:val="00F577AF"/>
    <w:rsid w:val="00F65085"/>
    <w:rsid w:val="00F75654"/>
    <w:rsid w:val="00F8027E"/>
    <w:rsid w:val="00F82C50"/>
    <w:rsid w:val="00F83495"/>
    <w:rsid w:val="00F90A31"/>
    <w:rsid w:val="00F918A5"/>
    <w:rsid w:val="00F91DC3"/>
    <w:rsid w:val="00F923F4"/>
    <w:rsid w:val="00F930C1"/>
    <w:rsid w:val="00F95275"/>
    <w:rsid w:val="00F956FA"/>
    <w:rsid w:val="00FA240D"/>
    <w:rsid w:val="00FA583F"/>
    <w:rsid w:val="00FB4D8D"/>
    <w:rsid w:val="00FC3B80"/>
    <w:rsid w:val="00FC6820"/>
    <w:rsid w:val="00FD30A9"/>
    <w:rsid w:val="00FD38BE"/>
    <w:rsid w:val="00FE71BD"/>
    <w:rsid w:val="00FF5E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82890"/>
  <w15:chartTrackingRefBased/>
  <w15:docId w15:val="{DCA25E63-A19F-4020-AA26-2EF02060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56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2256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2256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2256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2256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2256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2256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2256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2256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56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2256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2256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2256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2256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2256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2256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2256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2256A"/>
    <w:rPr>
      <w:rFonts w:eastAsiaTheme="majorEastAsia" w:cstheme="majorBidi"/>
      <w:color w:val="272727" w:themeColor="text1" w:themeTint="D8"/>
    </w:rPr>
  </w:style>
  <w:style w:type="paragraph" w:styleId="Title">
    <w:name w:val="Title"/>
    <w:basedOn w:val="Normal"/>
    <w:next w:val="Normal"/>
    <w:link w:val="TitleChar"/>
    <w:uiPriority w:val="10"/>
    <w:qFormat/>
    <w:rsid w:val="0082256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256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2256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2256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2256A"/>
    <w:pPr>
      <w:spacing w:before="160"/>
      <w:jc w:val="center"/>
    </w:pPr>
    <w:rPr>
      <w:i/>
      <w:iCs/>
      <w:color w:val="404040" w:themeColor="text1" w:themeTint="BF"/>
    </w:rPr>
  </w:style>
  <w:style w:type="character" w:customStyle="1" w:styleId="QuoteChar">
    <w:name w:val="Quote Char"/>
    <w:basedOn w:val="DefaultParagraphFont"/>
    <w:link w:val="Quote"/>
    <w:uiPriority w:val="29"/>
    <w:rsid w:val="0082256A"/>
    <w:rPr>
      <w:i/>
      <w:iCs/>
      <w:color w:val="404040" w:themeColor="text1" w:themeTint="BF"/>
    </w:rPr>
  </w:style>
  <w:style w:type="paragraph" w:styleId="ListParagraph">
    <w:name w:val="List Paragraph"/>
    <w:basedOn w:val="Normal"/>
    <w:uiPriority w:val="34"/>
    <w:qFormat/>
    <w:rsid w:val="0082256A"/>
    <w:pPr>
      <w:ind w:left="720"/>
      <w:contextualSpacing/>
    </w:pPr>
  </w:style>
  <w:style w:type="character" w:styleId="IntenseEmphasis">
    <w:name w:val="Intense Emphasis"/>
    <w:basedOn w:val="DefaultParagraphFont"/>
    <w:uiPriority w:val="21"/>
    <w:qFormat/>
    <w:rsid w:val="0082256A"/>
    <w:rPr>
      <w:i/>
      <w:iCs/>
      <w:color w:val="0F4761" w:themeColor="accent1" w:themeShade="BF"/>
    </w:rPr>
  </w:style>
  <w:style w:type="paragraph" w:styleId="IntenseQuote">
    <w:name w:val="Intense Quote"/>
    <w:basedOn w:val="Normal"/>
    <w:next w:val="Normal"/>
    <w:link w:val="IntenseQuoteChar"/>
    <w:uiPriority w:val="30"/>
    <w:qFormat/>
    <w:rsid w:val="0082256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2256A"/>
    <w:rPr>
      <w:i/>
      <w:iCs/>
      <w:color w:val="0F4761" w:themeColor="accent1" w:themeShade="BF"/>
    </w:rPr>
  </w:style>
  <w:style w:type="character" w:styleId="IntenseReference">
    <w:name w:val="Intense Reference"/>
    <w:basedOn w:val="DefaultParagraphFont"/>
    <w:uiPriority w:val="32"/>
    <w:qFormat/>
    <w:rsid w:val="0082256A"/>
    <w:rPr>
      <w:b/>
      <w:bCs/>
      <w:smallCaps/>
      <w:color w:val="0F4761" w:themeColor="accent1" w:themeShade="BF"/>
      <w:spacing w:val="5"/>
    </w:rPr>
  </w:style>
  <w:style w:type="paragraph" w:styleId="FootnoteText">
    <w:name w:val="footnote text"/>
    <w:basedOn w:val="Normal"/>
    <w:link w:val="FootnoteTextChar"/>
    <w:uiPriority w:val="99"/>
    <w:semiHidden/>
    <w:unhideWhenUsed/>
    <w:rsid w:val="004509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0983"/>
    <w:rPr>
      <w:sz w:val="20"/>
      <w:szCs w:val="20"/>
    </w:rPr>
  </w:style>
  <w:style w:type="character" w:styleId="FootnoteReference">
    <w:name w:val="footnote reference"/>
    <w:basedOn w:val="DefaultParagraphFont"/>
    <w:uiPriority w:val="99"/>
    <w:semiHidden/>
    <w:unhideWhenUsed/>
    <w:rsid w:val="00450983"/>
    <w:rPr>
      <w:vertAlign w:val="superscript"/>
    </w:rPr>
  </w:style>
  <w:style w:type="paragraph" w:styleId="Header">
    <w:name w:val="header"/>
    <w:basedOn w:val="Normal"/>
    <w:link w:val="HeaderChar"/>
    <w:uiPriority w:val="99"/>
    <w:unhideWhenUsed/>
    <w:rsid w:val="00BB3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86A"/>
  </w:style>
  <w:style w:type="paragraph" w:styleId="Footer">
    <w:name w:val="footer"/>
    <w:basedOn w:val="Normal"/>
    <w:link w:val="FooterChar"/>
    <w:uiPriority w:val="99"/>
    <w:unhideWhenUsed/>
    <w:rsid w:val="00BB38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86A"/>
  </w:style>
  <w:style w:type="character" w:customStyle="1" w:styleId="mc">
    <w:name w:val="mc"/>
    <w:basedOn w:val="DefaultParagraphFont"/>
    <w:rsid w:val="002757FC"/>
  </w:style>
  <w:style w:type="character" w:styleId="CommentReference">
    <w:name w:val="annotation reference"/>
    <w:basedOn w:val="DefaultParagraphFont"/>
    <w:uiPriority w:val="99"/>
    <w:semiHidden/>
    <w:unhideWhenUsed/>
    <w:rsid w:val="00C73CC9"/>
    <w:rPr>
      <w:sz w:val="16"/>
      <w:szCs w:val="16"/>
    </w:rPr>
  </w:style>
  <w:style w:type="paragraph" w:styleId="CommentText">
    <w:name w:val="annotation text"/>
    <w:basedOn w:val="Normal"/>
    <w:link w:val="CommentTextChar"/>
    <w:uiPriority w:val="99"/>
    <w:unhideWhenUsed/>
    <w:rsid w:val="00C73CC9"/>
    <w:pPr>
      <w:spacing w:line="240" w:lineRule="auto"/>
    </w:pPr>
    <w:rPr>
      <w:sz w:val="20"/>
      <w:szCs w:val="20"/>
    </w:rPr>
  </w:style>
  <w:style w:type="character" w:customStyle="1" w:styleId="CommentTextChar">
    <w:name w:val="Comment Text Char"/>
    <w:basedOn w:val="DefaultParagraphFont"/>
    <w:link w:val="CommentText"/>
    <w:uiPriority w:val="99"/>
    <w:rsid w:val="00C73CC9"/>
    <w:rPr>
      <w:sz w:val="20"/>
      <w:szCs w:val="20"/>
    </w:rPr>
  </w:style>
  <w:style w:type="paragraph" w:styleId="CommentSubject">
    <w:name w:val="annotation subject"/>
    <w:basedOn w:val="CommentText"/>
    <w:next w:val="CommentText"/>
    <w:link w:val="CommentSubjectChar"/>
    <w:uiPriority w:val="99"/>
    <w:semiHidden/>
    <w:unhideWhenUsed/>
    <w:rsid w:val="00C73CC9"/>
    <w:rPr>
      <w:b/>
      <w:bCs/>
    </w:rPr>
  </w:style>
  <w:style w:type="character" w:customStyle="1" w:styleId="CommentSubjectChar">
    <w:name w:val="Comment Subject Char"/>
    <w:basedOn w:val="CommentTextChar"/>
    <w:link w:val="CommentSubject"/>
    <w:uiPriority w:val="99"/>
    <w:semiHidden/>
    <w:rsid w:val="00C73CC9"/>
    <w:rPr>
      <w:b/>
      <w:bCs/>
      <w:sz w:val="20"/>
      <w:szCs w:val="20"/>
    </w:rPr>
  </w:style>
  <w:style w:type="paragraph" w:styleId="NoSpacing">
    <w:name w:val="No Spacing"/>
    <w:uiPriority w:val="1"/>
    <w:qFormat/>
    <w:rsid w:val="004920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8117">
      <w:bodyDiv w:val="1"/>
      <w:marLeft w:val="0"/>
      <w:marRight w:val="0"/>
      <w:marTop w:val="0"/>
      <w:marBottom w:val="0"/>
      <w:divBdr>
        <w:top w:val="none" w:sz="0" w:space="0" w:color="auto"/>
        <w:left w:val="none" w:sz="0" w:space="0" w:color="auto"/>
        <w:bottom w:val="none" w:sz="0" w:space="0" w:color="auto"/>
        <w:right w:val="none" w:sz="0" w:space="0" w:color="auto"/>
      </w:divBdr>
    </w:div>
    <w:div w:id="450982284">
      <w:bodyDiv w:val="1"/>
      <w:marLeft w:val="0"/>
      <w:marRight w:val="0"/>
      <w:marTop w:val="0"/>
      <w:marBottom w:val="0"/>
      <w:divBdr>
        <w:top w:val="none" w:sz="0" w:space="0" w:color="auto"/>
        <w:left w:val="none" w:sz="0" w:space="0" w:color="auto"/>
        <w:bottom w:val="none" w:sz="0" w:space="0" w:color="auto"/>
        <w:right w:val="none" w:sz="0" w:space="0" w:color="auto"/>
      </w:divBdr>
      <w:divsChild>
        <w:div w:id="363794791">
          <w:marLeft w:val="0"/>
          <w:marRight w:val="0"/>
          <w:marTop w:val="120"/>
          <w:marBottom w:val="0"/>
          <w:divBdr>
            <w:top w:val="none" w:sz="0" w:space="0" w:color="auto"/>
            <w:left w:val="none" w:sz="0" w:space="0" w:color="auto"/>
            <w:bottom w:val="none" w:sz="0" w:space="0" w:color="auto"/>
            <w:right w:val="none" w:sz="0" w:space="0" w:color="auto"/>
          </w:divBdr>
        </w:div>
        <w:div w:id="679967279">
          <w:marLeft w:val="0"/>
          <w:marRight w:val="0"/>
          <w:marTop w:val="120"/>
          <w:marBottom w:val="0"/>
          <w:divBdr>
            <w:top w:val="none" w:sz="0" w:space="0" w:color="auto"/>
            <w:left w:val="none" w:sz="0" w:space="0" w:color="auto"/>
            <w:bottom w:val="none" w:sz="0" w:space="0" w:color="auto"/>
            <w:right w:val="none" w:sz="0" w:space="0" w:color="auto"/>
          </w:divBdr>
        </w:div>
      </w:divsChild>
    </w:div>
    <w:div w:id="553858123">
      <w:bodyDiv w:val="1"/>
      <w:marLeft w:val="0"/>
      <w:marRight w:val="0"/>
      <w:marTop w:val="0"/>
      <w:marBottom w:val="0"/>
      <w:divBdr>
        <w:top w:val="none" w:sz="0" w:space="0" w:color="auto"/>
        <w:left w:val="none" w:sz="0" w:space="0" w:color="auto"/>
        <w:bottom w:val="none" w:sz="0" w:space="0" w:color="auto"/>
        <w:right w:val="none" w:sz="0" w:space="0" w:color="auto"/>
      </w:divBdr>
      <w:divsChild>
        <w:div w:id="1243758274">
          <w:marLeft w:val="0"/>
          <w:marRight w:val="0"/>
          <w:marTop w:val="120"/>
          <w:marBottom w:val="0"/>
          <w:divBdr>
            <w:top w:val="none" w:sz="0" w:space="0" w:color="auto"/>
            <w:left w:val="none" w:sz="0" w:space="0" w:color="auto"/>
            <w:bottom w:val="none" w:sz="0" w:space="0" w:color="auto"/>
            <w:right w:val="none" w:sz="0" w:space="0" w:color="auto"/>
          </w:divBdr>
        </w:div>
        <w:div w:id="997609882">
          <w:marLeft w:val="0"/>
          <w:marRight w:val="0"/>
          <w:marTop w:val="120"/>
          <w:marBottom w:val="0"/>
          <w:divBdr>
            <w:top w:val="none" w:sz="0" w:space="0" w:color="auto"/>
            <w:left w:val="none" w:sz="0" w:space="0" w:color="auto"/>
            <w:bottom w:val="none" w:sz="0" w:space="0" w:color="auto"/>
            <w:right w:val="none" w:sz="0" w:space="0" w:color="auto"/>
          </w:divBdr>
        </w:div>
      </w:divsChild>
    </w:div>
    <w:div w:id="1198618404">
      <w:bodyDiv w:val="1"/>
      <w:marLeft w:val="0"/>
      <w:marRight w:val="0"/>
      <w:marTop w:val="0"/>
      <w:marBottom w:val="0"/>
      <w:divBdr>
        <w:top w:val="none" w:sz="0" w:space="0" w:color="auto"/>
        <w:left w:val="none" w:sz="0" w:space="0" w:color="auto"/>
        <w:bottom w:val="none" w:sz="0" w:space="0" w:color="auto"/>
        <w:right w:val="none" w:sz="0" w:space="0" w:color="auto"/>
      </w:divBdr>
    </w:div>
    <w:div w:id="1461924100">
      <w:bodyDiv w:val="1"/>
      <w:marLeft w:val="0"/>
      <w:marRight w:val="0"/>
      <w:marTop w:val="0"/>
      <w:marBottom w:val="0"/>
      <w:divBdr>
        <w:top w:val="none" w:sz="0" w:space="0" w:color="auto"/>
        <w:left w:val="none" w:sz="0" w:space="0" w:color="auto"/>
        <w:bottom w:val="none" w:sz="0" w:space="0" w:color="auto"/>
        <w:right w:val="none" w:sz="0" w:space="0" w:color="auto"/>
      </w:divBdr>
      <w:divsChild>
        <w:div w:id="592589925">
          <w:marLeft w:val="0"/>
          <w:marRight w:val="0"/>
          <w:marTop w:val="120"/>
          <w:marBottom w:val="0"/>
          <w:divBdr>
            <w:top w:val="none" w:sz="0" w:space="0" w:color="auto"/>
            <w:left w:val="none" w:sz="0" w:space="0" w:color="auto"/>
            <w:bottom w:val="none" w:sz="0" w:space="0" w:color="auto"/>
            <w:right w:val="none" w:sz="0" w:space="0" w:color="auto"/>
          </w:divBdr>
        </w:div>
        <w:div w:id="605424236">
          <w:marLeft w:val="0"/>
          <w:marRight w:val="0"/>
          <w:marTop w:val="120"/>
          <w:marBottom w:val="0"/>
          <w:divBdr>
            <w:top w:val="none" w:sz="0" w:space="0" w:color="auto"/>
            <w:left w:val="none" w:sz="0" w:space="0" w:color="auto"/>
            <w:bottom w:val="none" w:sz="0" w:space="0" w:color="auto"/>
            <w:right w:val="none" w:sz="0" w:space="0" w:color="auto"/>
          </w:divBdr>
        </w:div>
      </w:divsChild>
    </w:div>
    <w:div w:id="1935481135">
      <w:bodyDiv w:val="1"/>
      <w:marLeft w:val="0"/>
      <w:marRight w:val="0"/>
      <w:marTop w:val="0"/>
      <w:marBottom w:val="0"/>
      <w:divBdr>
        <w:top w:val="none" w:sz="0" w:space="0" w:color="auto"/>
        <w:left w:val="none" w:sz="0" w:space="0" w:color="auto"/>
        <w:bottom w:val="none" w:sz="0" w:space="0" w:color="auto"/>
        <w:right w:val="none" w:sz="0" w:space="0" w:color="auto"/>
      </w:divBdr>
      <w:divsChild>
        <w:div w:id="1833718311">
          <w:marLeft w:val="0"/>
          <w:marRight w:val="0"/>
          <w:marTop w:val="120"/>
          <w:marBottom w:val="0"/>
          <w:divBdr>
            <w:top w:val="none" w:sz="0" w:space="0" w:color="auto"/>
            <w:left w:val="none" w:sz="0" w:space="0" w:color="auto"/>
            <w:bottom w:val="none" w:sz="0" w:space="0" w:color="auto"/>
            <w:right w:val="none" w:sz="0" w:space="0" w:color="auto"/>
          </w:divBdr>
        </w:div>
        <w:div w:id="137726996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jpg@01D0409E.93246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F99AA-AAE3-486D-A67B-3822343F0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3967</Words>
  <Characters>22615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Mandlenkosi Motha</dc:creator>
  <cp:keywords/>
  <dc:description/>
  <cp:lastModifiedBy>Nyameka Mhlaba</cp:lastModifiedBy>
  <cp:revision>5</cp:revision>
  <cp:lastPrinted>2024-01-29T14:43:00Z</cp:lastPrinted>
  <dcterms:created xsi:type="dcterms:W3CDTF">2024-01-29T14:45:00Z</dcterms:created>
  <dcterms:modified xsi:type="dcterms:W3CDTF">2024-01-30T07:04:00Z</dcterms:modified>
</cp:coreProperties>
</file>