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60" w:lineRule="auto" w:before="71"/>
        <w:ind w:left="3647" w:right="2418" w:hanging="1220"/>
      </w:pPr>
      <w:r>
        <w:rPr/>
        <w:t>IN THE NATIONAL CONSUMER TRIBUNAL HELD IN CENTURION</w:t>
      </w:r>
    </w:p>
    <w:p>
      <w:pPr>
        <w:pStyle w:val="BodyText"/>
        <w:spacing w:before="11"/>
        <w:rPr>
          <w:b/>
          <w:sz w:val="35"/>
        </w:rPr>
      </w:pPr>
    </w:p>
    <w:p>
      <w:pPr>
        <w:spacing w:before="0"/>
        <w:ind w:left="4562" w:right="0" w:firstLine="0"/>
        <w:jc w:val="left"/>
        <w:rPr>
          <w:b/>
          <w:sz w:val="24"/>
        </w:rPr>
      </w:pPr>
      <w:r>
        <w:rPr>
          <w:sz w:val="24"/>
        </w:rPr>
        <w:t>Case number: </w:t>
      </w:r>
      <w:r>
        <w:rPr>
          <w:b/>
          <w:sz w:val="24"/>
        </w:rPr>
        <w:t>NCT/226905/2022/141(1)(b)</w:t>
      </w:r>
    </w:p>
    <w:p>
      <w:pPr>
        <w:pStyle w:val="BodyText"/>
        <w:rPr>
          <w:b/>
          <w:sz w:val="28"/>
        </w:rPr>
      </w:pPr>
    </w:p>
    <w:p>
      <w:pPr>
        <w:pStyle w:val="BodyText"/>
        <w:spacing w:before="8"/>
        <w:rPr>
          <w:b/>
          <w:sz w:val="36"/>
        </w:rPr>
      </w:pPr>
    </w:p>
    <w:p>
      <w:pPr>
        <w:pStyle w:val="BodyText"/>
        <w:spacing w:before="1"/>
        <w:ind w:left="112"/>
      </w:pPr>
      <w:r>
        <w:rPr/>
        <w:t>In the matter between:</w:t>
      </w:r>
    </w:p>
    <w:p>
      <w:pPr>
        <w:pStyle w:val="BodyText"/>
        <w:rPr>
          <w:sz w:val="28"/>
        </w:rPr>
      </w:pPr>
    </w:p>
    <w:p>
      <w:pPr>
        <w:pStyle w:val="Heading2"/>
        <w:tabs>
          <w:tab w:pos="7312" w:val="left" w:leader="none"/>
        </w:tabs>
        <w:spacing w:before="241"/>
      </w:pPr>
      <w:r>
        <w:rPr/>
        <w:t>CORNELIS HENDRICK</w:t>
      </w:r>
      <w:r>
        <w:rPr>
          <w:spacing w:val="-6"/>
        </w:rPr>
        <w:t> </w:t>
      </w:r>
      <w:r>
        <w:rPr/>
        <w:t>VAN</w:t>
      </w:r>
      <w:r>
        <w:rPr>
          <w:spacing w:val="-2"/>
        </w:rPr>
        <w:t> </w:t>
      </w:r>
      <w:r>
        <w:rPr/>
        <w:t>STADEN</w:t>
        <w:tab/>
        <w:t>APPLICANT</w:t>
      </w:r>
    </w:p>
    <w:p>
      <w:pPr>
        <w:pStyle w:val="BodyText"/>
        <w:rPr>
          <w:b/>
          <w:sz w:val="28"/>
        </w:rPr>
      </w:pPr>
    </w:p>
    <w:p>
      <w:pPr>
        <w:pStyle w:val="BodyText"/>
        <w:spacing w:before="241"/>
        <w:ind w:left="112"/>
      </w:pPr>
      <w:r>
        <w:rPr/>
        <w:t>And</w:t>
      </w:r>
    </w:p>
    <w:p>
      <w:pPr>
        <w:pStyle w:val="BodyText"/>
        <w:rPr>
          <w:sz w:val="28"/>
        </w:rPr>
      </w:pPr>
    </w:p>
    <w:p>
      <w:pPr>
        <w:pStyle w:val="Heading2"/>
        <w:tabs>
          <w:tab w:pos="7346" w:val="left" w:leader="none"/>
        </w:tabs>
        <w:spacing w:before="241"/>
      </w:pPr>
      <w:r>
        <w:rPr/>
        <w:t>EXPERIAN</w:t>
      </w:r>
      <w:r>
        <w:rPr>
          <w:spacing w:val="-2"/>
        </w:rPr>
        <w:t> </w:t>
      </w:r>
      <w:r>
        <w:rPr/>
        <w:t>(PTY)</w:t>
      </w:r>
      <w:r>
        <w:rPr>
          <w:spacing w:val="-3"/>
        </w:rPr>
        <w:t> </w:t>
      </w:r>
      <w:r>
        <w:rPr/>
        <w:t>LTD</w:t>
        <w:tab/>
        <w:t>1</w:t>
      </w:r>
      <w:r>
        <w:rPr>
          <w:position w:val="8"/>
          <w:sz w:val="16"/>
        </w:rPr>
        <w:t>ST</w:t>
      </w:r>
      <w:r>
        <w:rPr>
          <w:spacing w:val="22"/>
          <w:position w:val="8"/>
          <w:sz w:val="16"/>
        </w:rPr>
        <w:t> </w:t>
      </w:r>
      <w:r>
        <w:rPr/>
        <w:t>RESPONDENT</w:t>
      </w:r>
    </w:p>
    <w:p>
      <w:pPr>
        <w:tabs>
          <w:tab w:pos="7312" w:val="left" w:leader="none"/>
        </w:tabs>
        <w:spacing w:before="145"/>
        <w:ind w:left="112" w:right="0" w:firstLine="0"/>
        <w:jc w:val="left"/>
        <w:rPr>
          <w:b/>
          <w:sz w:val="24"/>
        </w:rPr>
      </w:pPr>
      <w:r>
        <w:rPr>
          <w:b/>
          <w:sz w:val="24"/>
        </w:rPr>
        <w:t>FIRST NATIONAL BANK</w:t>
      </w:r>
      <w:r>
        <w:rPr>
          <w:b/>
          <w:spacing w:val="-9"/>
          <w:sz w:val="24"/>
        </w:rPr>
        <w:t> </w:t>
      </w:r>
      <w:r>
        <w:rPr>
          <w:b/>
          <w:sz w:val="24"/>
        </w:rPr>
        <w:t>(PTY)</w:t>
      </w:r>
      <w:r>
        <w:rPr>
          <w:b/>
          <w:spacing w:val="-2"/>
          <w:sz w:val="24"/>
        </w:rPr>
        <w:t> </w:t>
      </w:r>
      <w:r>
        <w:rPr>
          <w:b/>
          <w:sz w:val="24"/>
        </w:rPr>
        <w:t>LTD</w:t>
        <w:tab/>
        <w:t>2</w:t>
      </w:r>
      <w:r>
        <w:rPr>
          <w:b/>
          <w:position w:val="8"/>
          <w:sz w:val="16"/>
        </w:rPr>
        <w:t>ND</w:t>
      </w:r>
      <w:r>
        <w:rPr>
          <w:b/>
          <w:spacing w:val="-3"/>
          <w:position w:val="8"/>
          <w:sz w:val="16"/>
        </w:rPr>
        <w:t> </w:t>
      </w:r>
      <w:r>
        <w:rPr>
          <w:b/>
          <w:sz w:val="24"/>
        </w:rPr>
        <w:t>RESPONDENT</w:t>
      </w:r>
    </w:p>
    <w:p>
      <w:pPr>
        <w:pStyle w:val="BodyText"/>
        <w:rPr>
          <w:b/>
          <w:sz w:val="28"/>
        </w:rPr>
      </w:pPr>
    </w:p>
    <w:p>
      <w:pPr>
        <w:pStyle w:val="BodyText"/>
        <w:rPr>
          <w:b/>
          <w:sz w:val="28"/>
        </w:rPr>
      </w:pPr>
    </w:p>
    <w:p>
      <w:pPr>
        <w:pStyle w:val="BodyText"/>
        <w:spacing w:before="1"/>
        <w:rPr>
          <w:b/>
          <w:sz w:val="27"/>
        </w:rPr>
      </w:pPr>
    </w:p>
    <w:p>
      <w:pPr>
        <w:spacing w:before="0"/>
        <w:ind w:left="112" w:right="0" w:firstLine="0"/>
        <w:jc w:val="left"/>
        <w:rPr>
          <w:i/>
          <w:sz w:val="25"/>
        </w:rPr>
      </w:pPr>
      <w:r>
        <w:rPr>
          <w:i/>
          <w:sz w:val="25"/>
          <w:u w:val="single"/>
        </w:rPr>
        <w:t>Coram:</w:t>
      </w:r>
    </w:p>
    <w:p>
      <w:pPr>
        <w:pStyle w:val="BodyText"/>
        <w:tabs>
          <w:tab w:pos="2992" w:val="left" w:leader="none"/>
        </w:tabs>
        <w:spacing w:before="143"/>
        <w:ind w:left="112"/>
      </w:pPr>
      <w:r>
        <w:rPr/>
        <w:t>Mr</w:t>
      </w:r>
      <w:r>
        <w:rPr>
          <w:spacing w:val="-2"/>
        </w:rPr>
        <w:t> </w:t>
      </w:r>
      <w:r>
        <w:rPr/>
        <w:t>CJ</w:t>
      </w:r>
      <w:r>
        <w:rPr>
          <w:spacing w:val="-2"/>
        </w:rPr>
        <w:t> </w:t>
      </w:r>
      <w:r>
        <w:rPr/>
        <w:t>Ntsoane</w:t>
        <w:tab/>
        <w:t>- Presiding Tribunal</w:t>
      </w:r>
      <w:r>
        <w:rPr>
          <w:spacing w:val="-5"/>
        </w:rPr>
        <w:t> </w:t>
      </w:r>
      <w:r>
        <w:rPr/>
        <w:t>Member</w:t>
      </w:r>
    </w:p>
    <w:p>
      <w:pPr>
        <w:pStyle w:val="BodyText"/>
        <w:tabs>
          <w:tab w:pos="2992" w:val="left" w:leader="none"/>
        </w:tabs>
        <w:spacing w:before="145"/>
        <w:ind w:left="112"/>
      </w:pPr>
      <w:r>
        <w:rPr/>
        <w:t>Mr</w:t>
      </w:r>
      <w:r>
        <w:rPr>
          <w:spacing w:val="-2"/>
        </w:rPr>
        <w:t> </w:t>
      </w:r>
      <w:r>
        <w:rPr/>
        <w:t>A</w:t>
      </w:r>
      <w:r>
        <w:rPr>
          <w:spacing w:val="-2"/>
        </w:rPr>
        <w:t> </w:t>
      </w:r>
      <w:r>
        <w:rPr/>
        <w:t>Potwana</w:t>
        <w:tab/>
        <w:t>- Tribunal</w:t>
      </w:r>
      <w:r>
        <w:rPr>
          <w:spacing w:val="-7"/>
        </w:rPr>
        <w:t> </w:t>
      </w:r>
      <w:r>
        <w:rPr/>
        <w:t>Member</w:t>
      </w:r>
    </w:p>
    <w:p>
      <w:pPr>
        <w:pStyle w:val="BodyText"/>
        <w:tabs>
          <w:tab w:pos="3021" w:val="left" w:leader="none"/>
        </w:tabs>
        <w:spacing w:before="145"/>
        <w:ind w:left="112"/>
      </w:pPr>
      <w:r>
        <w:rPr/>
        <w:t>Ms</w:t>
      </w:r>
      <w:r>
        <w:rPr>
          <w:spacing w:val="-1"/>
        </w:rPr>
        <w:t> </w:t>
      </w:r>
      <w:r>
        <w:rPr/>
        <w:t>N</w:t>
      </w:r>
      <w:r>
        <w:rPr>
          <w:spacing w:val="-1"/>
        </w:rPr>
        <w:t> </w:t>
      </w:r>
      <w:r>
        <w:rPr/>
        <w:t>Maseti</w:t>
        <w:tab/>
        <w:t>- Tribunal</w:t>
      </w:r>
      <w:r>
        <w:rPr>
          <w:spacing w:val="-4"/>
        </w:rPr>
        <w:t> </w:t>
      </w:r>
      <w:r>
        <w:rPr/>
        <w:t>Member</w:t>
      </w:r>
    </w:p>
    <w:p>
      <w:pPr>
        <w:pStyle w:val="BodyText"/>
        <w:rPr>
          <w:sz w:val="28"/>
        </w:rPr>
      </w:pPr>
    </w:p>
    <w:p>
      <w:pPr>
        <w:pStyle w:val="BodyText"/>
        <w:tabs>
          <w:tab w:pos="2992" w:val="left" w:leader="none"/>
        </w:tabs>
        <w:spacing w:line="360" w:lineRule="auto" w:before="243"/>
        <w:ind w:left="112" w:right="4688"/>
      </w:pPr>
      <w:r>
        <w:rPr/>
        <w:t>Date</w:t>
      </w:r>
      <w:r>
        <w:rPr>
          <w:spacing w:val="-2"/>
        </w:rPr>
        <w:t> </w:t>
      </w:r>
      <w:r>
        <w:rPr/>
        <w:t>of</w:t>
      </w:r>
      <w:r>
        <w:rPr>
          <w:spacing w:val="-2"/>
        </w:rPr>
        <w:t> </w:t>
      </w:r>
      <w:r>
        <w:rPr/>
        <w:t>Hearing</w:t>
        <w:tab/>
        <w:t>- 16 November 2022 Date</w:t>
      </w:r>
      <w:r>
        <w:rPr>
          <w:spacing w:val="-2"/>
        </w:rPr>
        <w:t> </w:t>
      </w:r>
      <w:r>
        <w:rPr/>
        <w:t>of</w:t>
      </w:r>
      <w:r>
        <w:rPr>
          <w:spacing w:val="-2"/>
        </w:rPr>
        <w:t> </w:t>
      </w:r>
      <w:r>
        <w:rPr/>
        <w:t>Judgment</w:t>
        <w:tab/>
        <w:t>- 05 December</w:t>
      </w:r>
      <w:r>
        <w:rPr>
          <w:spacing w:val="-6"/>
        </w:rPr>
        <w:t> </w:t>
      </w:r>
      <w:r>
        <w:rPr/>
        <w:t>2022</w:t>
      </w:r>
    </w:p>
    <w:p>
      <w:pPr>
        <w:pStyle w:val="BodyText"/>
        <w:rPr>
          <w:sz w:val="20"/>
        </w:rPr>
      </w:pPr>
    </w:p>
    <w:p>
      <w:pPr>
        <w:pStyle w:val="BodyText"/>
        <w:rPr>
          <w:sz w:val="20"/>
        </w:rPr>
      </w:pPr>
    </w:p>
    <w:p>
      <w:pPr>
        <w:pStyle w:val="BodyText"/>
        <w:rPr>
          <w:sz w:val="14"/>
        </w:rPr>
      </w:pPr>
      <w:r>
        <w:rPr/>
        <w:pict>
          <v:shape style="position:absolute;margin-left:56.639999pt;margin-top:11.020273pt;width:481.6pt;height:.1pt;mso-position-horizontal-relative:page;mso-position-vertical-relative:paragraph;z-index:-251658240;mso-wrap-distance-left:0;mso-wrap-distance-right:0" coordorigin="1133,220" coordsize="9632,0" path="m1133,220l10764,220e" filled="false" stroked="true" strokeweight="1.176pt" strokecolor="#000000">
            <v:path arrowok="t"/>
            <v:stroke dashstyle="solid"/>
            <w10:wrap type="topAndBottom"/>
          </v:shape>
        </w:pict>
      </w:r>
    </w:p>
    <w:p>
      <w:pPr>
        <w:pStyle w:val="BodyText"/>
        <w:spacing w:before="10"/>
        <w:rPr>
          <w:sz w:val="25"/>
        </w:rPr>
      </w:pPr>
    </w:p>
    <w:p>
      <w:pPr>
        <w:pStyle w:val="Heading2"/>
        <w:spacing w:before="101"/>
        <w:ind w:left="3322" w:right="3324"/>
        <w:jc w:val="center"/>
      </w:pPr>
      <w:r>
        <w:rPr/>
        <w:t>JUDGMENT AND REASONS</w:t>
      </w:r>
    </w:p>
    <w:p>
      <w:pPr>
        <w:pStyle w:val="BodyText"/>
        <w:rPr>
          <w:b/>
          <w:sz w:val="20"/>
        </w:rPr>
      </w:pPr>
    </w:p>
    <w:p>
      <w:pPr>
        <w:pStyle w:val="BodyText"/>
        <w:spacing w:before="1"/>
        <w:rPr>
          <w:b/>
          <w:sz w:val="22"/>
        </w:rPr>
      </w:pPr>
      <w:r>
        <w:rPr/>
        <w:pict>
          <v:shape style="position:absolute;margin-left:56.639999pt;margin-top:15.91741pt;width:481.6pt;height:.1pt;mso-position-horizontal-relative:page;mso-position-vertical-relative:paragraph;z-index:-251657216;mso-wrap-distance-left:0;mso-wrap-distance-right:0" coordorigin="1133,318" coordsize="9632,0" path="m1133,318l10764,318e" filled="false" stroked="true" strokeweight="1.176pt" strokecolor="#000000">
            <v:path arrowok="t"/>
            <v:stroke dashstyle="solid"/>
            <w10:wrap type="topAndBottom"/>
          </v:shape>
        </w:pict>
      </w:r>
    </w:p>
    <w:p>
      <w:pPr>
        <w:pStyle w:val="BodyText"/>
        <w:spacing w:before="11"/>
        <w:rPr>
          <w:b/>
          <w:sz w:val="21"/>
        </w:rPr>
      </w:pPr>
    </w:p>
    <w:p>
      <w:pPr>
        <w:spacing w:before="100"/>
        <w:ind w:left="112" w:right="0" w:firstLine="0"/>
        <w:jc w:val="left"/>
        <w:rPr>
          <w:b/>
          <w:sz w:val="24"/>
        </w:rPr>
      </w:pPr>
      <w:r>
        <w:rPr>
          <w:b/>
          <w:sz w:val="24"/>
        </w:rPr>
        <w:t>APPLICANT</w:t>
      </w:r>
    </w:p>
    <w:p>
      <w:pPr>
        <w:pStyle w:val="BodyText"/>
        <w:spacing w:before="10"/>
        <w:rPr>
          <w:b/>
          <w:sz w:val="31"/>
        </w:rPr>
      </w:pPr>
    </w:p>
    <w:p>
      <w:pPr>
        <w:pStyle w:val="ListParagraph"/>
        <w:numPr>
          <w:ilvl w:val="0"/>
          <w:numId w:val="1"/>
        </w:numPr>
        <w:tabs>
          <w:tab w:pos="680" w:val="left" w:leader="none"/>
        </w:tabs>
        <w:spacing w:line="360" w:lineRule="auto" w:before="0" w:after="0"/>
        <w:ind w:left="674" w:right="112" w:hanging="562"/>
        <w:jc w:val="both"/>
        <w:rPr>
          <w:sz w:val="24"/>
        </w:rPr>
      </w:pPr>
      <w:r>
        <w:rPr>
          <w:sz w:val="24"/>
        </w:rPr>
        <w:t>The Applicant in this matter is Cornelis Hendrick Van Staden, an adult male  consumer (“the Applicant”), who referred a complaint to the National Credit Regulator (“the NCR”) and received a notice of non-referral from the</w:t>
      </w:r>
      <w:r>
        <w:rPr>
          <w:spacing w:val="-21"/>
          <w:sz w:val="24"/>
        </w:rPr>
        <w:t> </w:t>
      </w:r>
      <w:r>
        <w:rPr>
          <w:sz w:val="24"/>
        </w:rPr>
        <w:t>NCR.</w:t>
      </w:r>
    </w:p>
    <w:p>
      <w:pPr>
        <w:spacing w:after="0" w:line="360" w:lineRule="auto"/>
        <w:jc w:val="both"/>
        <w:rPr>
          <w:sz w:val="24"/>
        </w:rPr>
        <w:sectPr>
          <w:type w:val="continuous"/>
          <w:pgSz w:w="11910" w:h="16840"/>
          <w:pgMar w:top="1180" w:bottom="280" w:left="1020" w:right="1020"/>
        </w:sectPr>
      </w:pPr>
    </w:p>
    <w:p>
      <w:pPr>
        <w:pStyle w:val="Heading2"/>
        <w:spacing w:before="90"/>
      </w:pPr>
      <w:r>
        <w:rPr/>
        <w:t>RESPONDENTS</w:t>
      </w:r>
    </w:p>
    <w:p>
      <w:pPr>
        <w:pStyle w:val="BodyText"/>
        <w:spacing w:before="10"/>
        <w:rPr>
          <w:b/>
          <w:sz w:val="31"/>
        </w:rPr>
      </w:pPr>
    </w:p>
    <w:p>
      <w:pPr>
        <w:pStyle w:val="ListParagraph"/>
        <w:numPr>
          <w:ilvl w:val="0"/>
          <w:numId w:val="1"/>
        </w:numPr>
        <w:tabs>
          <w:tab w:pos="680" w:val="left" w:leader="none"/>
        </w:tabs>
        <w:spacing w:line="360" w:lineRule="auto" w:before="0" w:after="0"/>
        <w:ind w:left="679" w:right="112" w:hanging="567"/>
        <w:jc w:val="both"/>
        <w:rPr>
          <w:sz w:val="24"/>
        </w:rPr>
      </w:pPr>
      <w:r>
        <w:rPr>
          <w:sz w:val="24"/>
        </w:rPr>
        <w:t>The First Respondent is Experian (Pty) Ltd, a credit bureau registered in terms of the company  laws  of  the   Republic   of   South  Africa,  conducting  its   business  at 35 Ballyclare Drive, Sandton, Johannesburg, Gauteng</w:t>
      </w:r>
      <w:r>
        <w:rPr>
          <w:spacing w:val="-12"/>
          <w:sz w:val="24"/>
        </w:rPr>
        <w:t> </w:t>
      </w:r>
      <w:r>
        <w:rPr>
          <w:sz w:val="24"/>
        </w:rPr>
        <w:t>(“Experian”).</w:t>
      </w:r>
    </w:p>
    <w:p>
      <w:pPr>
        <w:pStyle w:val="ListParagraph"/>
        <w:numPr>
          <w:ilvl w:val="0"/>
          <w:numId w:val="1"/>
        </w:numPr>
        <w:tabs>
          <w:tab w:pos="680" w:val="left" w:leader="none"/>
        </w:tabs>
        <w:spacing w:line="360" w:lineRule="auto" w:before="240" w:after="0"/>
        <w:ind w:left="679" w:right="114" w:hanging="567"/>
        <w:jc w:val="both"/>
        <w:rPr>
          <w:sz w:val="24"/>
        </w:rPr>
      </w:pPr>
      <w:r>
        <w:rPr>
          <w:sz w:val="24"/>
        </w:rPr>
        <w:t>The Second Respondent is First National Bank (Pty) Ltd, a credit provider registered with the NCR</w:t>
      </w:r>
      <w:r>
        <w:rPr>
          <w:spacing w:val="-2"/>
          <w:sz w:val="24"/>
        </w:rPr>
        <w:t> </w:t>
      </w:r>
      <w:r>
        <w:rPr>
          <w:sz w:val="24"/>
        </w:rPr>
        <w:t>(“FNB”).</w:t>
      </w:r>
    </w:p>
    <w:p>
      <w:pPr>
        <w:pStyle w:val="Heading2"/>
      </w:pPr>
      <w:r>
        <w:rPr/>
        <w:t>HEARING OF THE MATTER</w:t>
      </w:r>
    </w:p>
    <w:p>
      <w:pPr>
        <w:pStyle w:val="BodyText"/>
        <w:spacing w:before="10"/>
        <w:rPr>
          <w:b/>
          <w:sz w:val="31"/>
        </w:rPr>
      </w:pPr>
    </w:p>
    <w:p>
      <w:pPr>
        <w:pStyle w:val="ListParagraph"/>
        <w:numPr>
          <w:ilvl w:val="0"/>
          <w:numId w:val="1"/>
        </w:numPr>
        <w:tabs>
          <w:tab w:pos="735" w:val="left" w:leader="none"/>
        </w:tabs>
        <w:spacing w:line="360" w:lineRule="auto" w:before="0" w:after="0"/>
        <w:ind w:left="679" w:right="110" w:hanging="567"/>
        <w:jc w:val="both"/>
        <w:rPr>
          <w:sz w:val="24"/>
        </w:rPr>
      </w:pPr>
      <w:r>
        <w:rPr/>
        <w:tab/>
      </w:r>
      <w:r>
        <w:rPr>
          <w:sz w:val="24"/>
        </w:rPr>
        <w:t>The matter was set down for hearing on 16 November 2022 in chambers. No attendance was required. All parties served and filed their necessary affidavits together with</w:t>
      </w:r>
      <w:r>
        <w:rPr>
          <w:spacing w:val="-2"/>
          <w:sz w:val="24"/>
        </w:rPr>
        <w:t> </w:t>
      </w:r>
      <w:r>
        <w:rPr>
          <w:sz w:val="24"/>
        </w:rPr>
        <w:t>annexures.</w:t>
      </w:r>
    </w:p>
    <w:p>
      <w:pPr>
        <w:pStyle w:val="Heading2"/>
      </w:pPr>
      <w:r>
        <w:rPr/>
        <w:t>APPLICATION TYPE</w:t>
      </w:r>
    </w:p>
    <w:p>
      <w:pPr>
        <w:pStyle w:val="BodyText"/>
        <w:spacing w:before="10"/>
        <w:rPr>
          <w:b/>
          <w:sz w:val="31"/>
        </w:rPr>
      </w:pPr>
    </w:p>
    <w:p>
      <w:pPr>
        <w:pStyle w:val="ListParagraph"/>
        <w:numPr>
          <w:ilvl w:val="0"/>
          <w:numId w:val="1"/>
        </w:numPr>
        <w:tabs>
          <w:tab w:pos="680" w:val="left" w:leader="none"/>
        </w:tabs>
        <w:spacing w:line="360" w:lineRule="auto" w:before="0" w:after="0"/>
        <w:ind w:left="679" w:right="108" w:hanging="567"/>
        <w:jc w:val="both"/>
        <w:rPr>
          <w:sz w:val="24"/>
        </w:rPr>
      </w:pPr>
      <w:r>
        <w:rPr>
          <w:sz w:val="24"/>
        </w:rPr>
        <w:t>This application was referred to the Tribunal in terms of Section 141 (1) (b) of the National Credit Act, 2005 (“the NCA”). Section 141 (1) (b) provides that if the NCR issues a notice of non-referral in response to a complaint other than a complaint concerning section 61 or an offence in terms of the NCA, the complainant concerned may refer the matter directly to the Tribunal, with leave of the</w:t>
      </w:r>
      <w:r>
        <w:rPr>
          <w:spacing w:val="-16"/>
          <w:sz w:val="24"/>
        </w:rPr>
        <w:t> </w:t>
      </w:r>
      <w:r>
        <w:rPr>
          <w:sz w:val="24"/>
        </w:rPr>
        <w:t>Tribunal.</w:t>
      </w:r>
    </w:p>
    <w:p>
      <w:pPr>
        <w:pStyle w:val="ListParagraph"/>
        <w:numPr>
          <w:ilvl w:val="0"/>
          <w:numId w:val="1"/>
        </w:numPr>
        <w:tabs>
          <w:tab w:pos="680" w:val="left" w:leader="none"/>
        </w:tabs>
        <w:spacing w:line="362" w:lineRule="auto" w:before="240" w:after="0"/>
        <w:ind w:left="679" w:right="109" w:hanging="567"/>
        <w:jc w:val="both"/>
        <w:rPr>
          <w:sz w:val="24"/>
        </w:rPr>
      </w:pPr>
      <w:r>
        <w:rPr>
          <w:sz w:val="24"/>
        </w:rPr>
        <w:t>Before the Tribunal can hear the matter, it must first consider whether leave should be</w:t>
      </w:r>
      <w:r>
        <w:rPr>
          <w:spacing w:val="-1"/>
          <w:sz w:val="24"/>
        </w:rPr>
        <w:t> </w:t>
      </w:r>
      <w:r>
        <w:rPr>
          <w:sz w:val="24"/>
        </w:rPr>
        <w:t>granted.</w:t>
      </w:r>
    </w:p>
    <w:p>
      <w:pPr>
        <w:pStyle w:val="Heading2"/>
        <w:spacing w:before="236"/>
      </w:pPr>
      <w:r>
        <w:rPr/>
        <w:t>BACKGROUND</w:t>
      </w:r>
    </w:p>
    <w:p>
      <w:pPr>
        <w:pStyle w:val="BodyText"/>
        <w:spacing w:before="10"/>
        <w:rPr>
          <w:b/>
          <w:sz w:val="31"/>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The Applicant alleges that his name has been incorrectly and inaccurately listed on an FNB home loan account by Experian since 2006 and Experian refuses to remove his listing even if credible evidence was requested on several occasions as required by the</w:t>
      </w:r>
      <w:r>
        <w:rPr>
          <w:spacing w:val="-2"/>
          <w:sz w:val="24"/>
        </w:rPr>
        <w:t> </w:t>
      </w:r>
      <w:r>
        <w:rPr>
          <w:sz w:val="24"/>
        </w:rPr>
        <w:t>NCA.</w:t>
      </w:r>
    </w:p>
    <w:p>
      <w:pPr>
        <w:pStyle w:val="ListParagraph"/>
        <w:numPr>
          <w:ilvl w:val="0"/>
          <w:numId w:val="1"/>
        </w:numPr>
        <w:tabs>
          <w:tab w:pos="680" w:val="left" w:leader="none"/>
        </w:tabs>
        <w:spacing w:line="360" w:lineRule="auto" w:before="240" w:after="0"/>
        <w:ind w:left="679" w:right="115" w:hanging="567"/>
        <w:jc w:val="both"/>
        <w:rPr>
          <w:sz w:val="24"/>
        </w:rPr>
      </w:pPr>
      <w:r>
        <w:rPr>
          <w:sz w:val="24"/>
        </w:rPr>
        <w:t>The Applicant submits that the funds were transferred into his bank account, but he does not bank with</w:t>
      </w:r>
      <w:r>
        <w:rPr>
          <w:spacing w:val="-5"/>
          <w:sz w:val="24"/>
        </w:rPr>
        <w:t> </w:t>
      </w:r>
      <w:r>
        <w:rPr>
          <w:sz w:val="24"/>
        </w:rPr>
        <w:t>FNB.</w:t>
      </w:r>
    </w:p>
    <w:p>
      <w:pPr>
        <w:pStyle w:val="ListParagraph"/>
        <w:numPr>
          <w:ilvl w:val="0"/>
          <w:numId w:val="1"/>
        </w:numPr>
        <w:tabs>
          <w:tab w:pos="679" w:val="left" w:leader="none"/>
          <w:tab w:pos="680" w:val="left" w:leader="none"/>
        </w:tabs>
        <w:spacing w:line="240" w:lineRule="auto" w:before="240" w:after="0"/>
        <w:ind w:left="679" w:right="0" w:hanging="568"/>
        <w:jc w:val="left"/>
        <w:rPr>
          <w:sz w:val="24"/>
        </w:rPr>
      </w:pPr>
      <w:r>
        <w:rPr>
          <w:sz w:val="24"/>
        </w:rPr>
        <w:t>According to him, he has never applied for a loan or a joint loan with</w:t>
      </w:r>
      <w:r>
        <w:rPr>
          <w:spacing w:val="-20"/>
          <w:sz w:val="24"/>
        </w:rPr>
        <w:t> </w:t>
      </w:r>
      <w:r>
        <w:rPr>
          <w:sz w:val="24"/>
        </w:rPr>
        <w:t>FNB.</w:t>
      </w:r>
    </w:p>
    <w:p>
      <w:pPr>
        <w:pStyle w:val="BodyText"/>
        <w:spacing w:before="10"/>
        <w:rPr>
          <w:sz w:val="31"/>
        </w:rPr>
      </w:pPr>
    </w:p>
    <w:p>
      <w:pPr>
        <w:pStyle w:val="ListParagraph"/>
        <w:numPr>
          <w:ilvl w:val="0"/>
          <w:numId w:val="1"/>
        </w:numPr>
        <w:tabs>
          <w:tab w:pos="680" w:val="left" w:leader="none"/>
        </w:tabs>
        <w:spacing w:line="360" w:lineRule="auto" w:before="0" w:after="0"/>
        <w:ind w:left="679" w:right="114" w:hanging="567"/>
        <w:jc w:val="both"/>
        <w:rPr>
          <w:sz w:val="24"/>
        </w:rPr>
      </w:pPr>
      <w:r>
        <w:rPr>
          <w:sz w:val="24"/>
        </w:rPr>
        <w:t>As a result of the listing, when the Applicant applies for a loan, it gets rejected due  to the arrears of the home loan flagged by</w:t>
      </w:r>
      <w:r>
        <w:rPr>
          <w:spacing w:val="-8"/>
          <w:sz w:val="24"/>
        </w:rPr>
        <w:t> </w:t>
      </w:r>
      <w:r>
        <w:rPr>
          <w:sz w:val="24"/>
        </w:rPr>
        <w:t>Experian.</w:t>
      </w:r>
    </w:p>
    <w:p>
      <w:pPr>
        <w:spacing w:after="0" w:line="360" w:lineRule="auto"/>
        <w:jc w:val="both"/>
        <w:rPr>
          <w:sz w:val="24"/>
        </w:rPr>
        <w:sectPr>
          <w:headerReference w:type="default" r:id="rId5"/>
          <w:footerReference w:type="default" r:id="rId6"/>
          <w:pgSz w:w="11910" w:h="16840"/>
          <w:pgMar w:header="282" w:footer="406" w:top="1020" w:bottom="600" w:left="1020" w:right="1020"/>
          <w:pgNumType w:start="2"/>
        </w:sectPr>
      </w:pPr>
    </w:p>
    <w:p>
      <w:pPr>
        <w:pStyle w:val="ListParagraph"/>
        <w:numPr>
          <w:ilvl w:val="0"/>
          <w:numId w:val="1"/>
        </w:numPr>
        <w:tabs>
          <w:tab w:pos="680" w:val="left" w:leader="none"/>
        </w:tabs>
        <w:spacing w:line="360" w:lineRule="auto" w:before="90" w:after="0"/>
        <w:ind w:left="679" w:right="112" w:hanging="567"/>
        <w:jc w:val="both"/>
        <w:rPr>
          <w:sz w:val="24"/>
        </w:rPr>
      </w:pPr>
      <w:r>
        <w:rPr>
          <w:sz w:val="24"/>
        </w:rPr>
        <w:t>The Applicant has approached FNB on many occasions in vain to resolve the matter but FNB continues to violate his rights as enriched in the</w:t>
      </w:r>
      <w:r>
        <w:rPr>
          <w:spacing w:val="-12"/>
          <w:sz w:val="24"/>
        </w:rPr>
        <w:t> </w:t>
      </w:r>
      <w:r>
        <w:rPr>
          <w:sz w:val="24"/>
        </w:rPr>
        <w:t>NCA.</w:t>
      </w:r>
    </w:p>
    <w:p>
      <w:pPr>
        <w:pStyle w:val="ListParagraph"/>
        <w:numPr>
          <w:ilvl w:val="0"/>
          <w:numId w:val="1"/>
        </w:numPr>
        <w:tabs>
          <w:tab w:pos="680" w:val="left" w:leader="none"/>
        </w:tabs>
        <w:spacing w:line="360" w:lineRule="auto" w:before="239" w:after="0"/>
        <w:ind w:left="679" w:right="112" w:hanging="567"/>
        <w:jc w:val="both"/>
        <w:rPr>
          <w:sz w:val="24"/>
        </w:rPr>
      </w:pPr>
      <w:r>
        <w:rPr>
          <w:sz w:val="24"/>
        </w:rPr>
        <w:t>Therefore, the Applicant requests Experian to remove the listing of his name. Both Experian and FNB dispute the</w:t>
      </w:r>
      <w:r>
        <w:rPr>
          <w:spacing w:val="-7"/>
          <w:sz w:val="24"/>
        </w:rPr>
        <w:t> </w:t>
      </w:r>
      <w:r>
        <w:rPr>
          <w:sz w:val="24"/>
        </w:rPr>
        <w:t>above.</w:t>
      </w:r>
    </w:p>
    <w:p>
      <w:pPr>
        <w:pStyle w:val="Heading2"/>
      </w:pPr>
      <w:r>
        <w:rPr/>
        <w:t>APPLICATION FOR LEAVE</w:t>
      </w:r>
    </w:p>
    <w:p>
      <w:pPr>
        <w:pStyle w:val="BodyText"/>
        <w:spacing w:before="11"/>
        <w:rPr>
          <w:b/>
          <w:sz w:val="31"/>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Section 141 (1) of the NCA provides that the Applicant may only refer the matter directly to the Tribunal with leave of the</w:t>
      </w:r>
      <w:r>
        <w:rPr>
          <w:spacing w:val="-5"/>
          <w:sz w:val="24"/>
        </w:rPr>
        <w:t> </w:t>
      </w:r>
      <w:r>
        <w:rPr>
          <w:sz w:val="24"/>
        </w:rPr>
        <w:t>Tribunal.</w:t>
      </w:r>
    </w:p>
    <w:p>
      <w:pPr>
        <w:pStyle w:val="ListParagraph"/>
        <w:numPr>
          <w:ilvl w:val="0"/>
          <w:numId w:val="1"/>
        </w:numPr>
        <w:tabs>
          <w:tab w:pos="680" w:val="left" w:leader="none"/>
        </w:tabs>
        <w:spacing w:line="355" w:lineRule="auto" w:before="239" w:after="0"/>
        <w:ind w:left="679" w:right="110" w:hanging="567"/>
        <w:jc w:val="both"/>
        <w:rPr>
          <w:sz w:val="24"/>
        </w:rPr>
      </w:pPr>
      <w:r>
        <w:rPr>
          <w:sz w:val="24"/>
        </w:rPr>
        <w:t>Previously, the Tribunal held a formal hearing on leave to refer with all the parties present.</w:t>
      </w:r>
      <w:r>
        <w:rPr>
          <w:spacing w:val="-13"/>
          <w:sz w:val="24"/>
        </w:rPr>
        <w:t> </w:t>
      </w:r>
      <w:r>
        <w:rPr>
          <w:sz w:val="24"/>
        </w:rPr>
        <w:t>In</w:t>
      </w:r>
      <w:r>
        <w:rPr>
          <w:spacing w:val="-11"/>
          <w:sz w:val="24"/>
        </w:rPr>
        <w:t> </w:t>
      </w:r>
      <w:r>
        <w:rPr>
          <w:sz w:val="24"/>
        </w:rPr>
        <w:t>the</w:t>
      </w:r>
      <w:r>
        <w:rPr>
          <w:spacing w:val="-11"/>
          <w:sz w:val="24"/>
        </w:rPr>
        <w:t> </w:t>
      </w:r>
      <w:r>
        <w:rPr>
          <w:sz w:val="24"/>
        </w:rPr>
        <w:t>matter</w:t>
      </w:r>
      <w:r>
        <w:rPr>
          <w:spacing w:val="-11"/>
          <w:sz w:val="24"/>
        </w:rPr>
        <w:t> </w:t>
      </w:r>
      <w:r>
        <w:rPr>
          <w:sz w:val="24"/>
        </w:rPr>
        <w:t>of</w:t>
      </w:r>
      <w:r>
        <w:rPr>
          <w:spacing w:val="-11"/>
          <w:sz w:val="24"/>
        </w:rPr>
        <w:t> </w:t>
      </w:r>
      <w:r>
        <w:rPr>
          <w:i/>
          <w:sz w:val="25"/>
        </w:rPr>
        <w:t>Lewis</w:t>
      </w:r>
      <w:r>
        <w:rPr>
          <w:i/>
          <w:spacing w:val="-14"/>
          <w:sz w:val="25"/>
        </w:rPr>
        <w:t> </w:t>
      </w:r>
      <w:r>
        <w:rPr>
          <w:i/>
          <w:sz w:val="25"/>
        </w:rPr>
        <w:t>Stores</w:t>
      </w:r>
      <w:r>
        <w:rPr>
          <w:i/>
          <w:spacing w:val="-14"/>
          <w:sz w:val="25"/>
        </w:rPr>
        <w:t> </w:t>
      </w:r>
      <w:r>
        <w:rPr>
          <w:i/>
          <w:sz w:val="25"/>
        </w:rPr>
        <w:t>(Pty</w:t>
      </w:r>
      <w:r>
        <w:rPr>
          <w:i/>
          <w:spacing w:val="-13"/>
          <w:sz w:val="25"/>
        </w:rPr>
        <w:t> </w:t>
      </w:r>
      <w:r>
        <w:rPr>
          <w:i/>
          <w:sz w:val="25"/>
        </w:rPr>
        <w:t>Ltd</w:t>
      </w:r>
      <w:r>
        <w:rPr>
          <w:i/>
          <w:spacing w:val="-15"/>
          <w:sz w:val="25"/>
        </w:rPr>
        <w:t> </w:t>
      </w:r>
      <w:r>
        <w:rPr>
          <w:i/>
          <w:sz w:val="25"/>
        </w:rPr>
        <w:t>v</w:t>
      </w:r>
      <w:r>
        <w:rPr>
          <w:i/>
          <w:spacing w:val="-15"/>
          <w:sz w:val="25"/>
        </w:rPr>
        <w:t> </w:t>
      </w:r>
      <w:r>
        <w:rPr>
          <w:i/>
          <w:sz w:val="25"/>
        </w:rPr>
        <w:t>Summit</w:t>
      </w:r>
      <w:r>
        <w:rPr>
          <w:i/>
          <w:spacing w:val="-14"/>
          <w:sz w:val="25"/>
        </w:rPr>
        <w:t> </w:t>
      </w:r>
      <w:r>
        <w:rPr>
          <w:i/>
          <w:sz w:val="25"/>
        </w:rPr>
        <w:t>Financial</w:t>
      </w:r>
      <w:r>
        <w:rPr>
          <w:i/>
          <w:spacing w:val="-17"/>
          <w:sz w:val="25"/>
        </w:rPr>
        <w:t> </w:t>
      </w:r>
      <w:r>
        <w:rPr>
          <w:i/>
          <w:sz w:val="25"/>
        </w:rPr>
        <w:t>Partners</w:t>
      </w:r>
      <w:r>
        <w:rPr>
          <w:i/>
          <w:spacing w:val="-15"/>
          <w:sz w:val="25"/>
        </w:rPr>
        <w:t> </w:t>
      </w:r>
      <w:r>
        <w:rPr>
          <w:i/>
          <w:sz w:val="25"/>
        </w:rPr>
        <w:t>(Pty)</w:t>
      </w:r>
      <w:r>
        <w:rPr>
          <w:i/>
          <w:spacing w:val="-16"/>
          <w:sz w:val="25"/>
        </w:rPr>
        <w:t> </w:t>
      </w:r>
      <w:r>
        <w:rPr>
          <w:i/>
          <w:sz w:val="25"/>
        </w:rPr>
        <w:t>Ltd and others</w:t>
      </w:r>
      <w:r>
        <w:rPr>
          <w:sz w:val="24"/>
        </w:rPr>
        <w:t>,</w:t>
      </w:r>
      <w:hyperlink w:history="true" w:anchor="_bookmark0">
        <w:r>
          <w:rPr>
            <w:position w:val="8"/>
            <w:sz w:val="16"/>
          </w:rPr>
          <w:t>1</w:t>
        </w:r>
      </w:hyperlink>
      <w:r>
        <w:rPr>
          <w:position w:val="8"/>
          <w:sz w:val="16"/>
        </w:rPr>
        <w:t> </w:t>
      </w:r>
      <w:r>
        <w:rPr>
          <w:sz w:val="24"/>
        </w:rPr>
        <w:t>the court provided helpful guidance to the Tribunal in decisions regarding leave to refer. It held that a formal hearing on leave to refer was unnecessary, there was no test to be applied, and the decision to consider leave could not be appealed. The court</w:t>
      </w:r>
      <w:r>
        <w:rPr>
          <w:spacing w:val="-7"/>
          <w:sz w:val="24"/>
        </w:rPr>
        <w:t> </w:t>
      </w:r>
      <w:r>
        <w:rPr>
          <w:sz w:val="24"/>
        </w:rPr>
        <w:t>held:</w:t>
      </w:r>
    </w:p>
    <w:p>
      <w:pPr>
        <w:pStyle w:val="Heading1"/>
        <w:spacing w:line="345" w:lineRule="auto" w:before="229"/>
        <w:ind w:left="679" w:right="111" w:firstLine="74"/>
      </w:pPr>
      <w:r>
        <w:rPr>
          <w:i w:val="0"/>
          <w:sz w:val="24"/>
        </w:rPr>
        <w:t>“</w:t>
      </w:r>
      <w:r>
        <w:rPr/>
        <w:t>[15]</w:t>
      </w:r>
      <w:r>
        <w:rPr>
          <w:spacing w:val="-23"/>
        </w:rPr>
        <w:t> </w:t>
      </w:r>
      <w:r>
        <w:rPr/>
        <w:t>As</w:t>
      </w:r>
      <w:r>
        <w:rPr>
          <w:spacing w:val="-20"/>
        </w:rPr>
        <w:t> </w:t>
      </w:r>
      <w:r>
        <w:rPr/>
        <w:t>the</w:t>
      </w:r>
      <w:r>
        <w:rPr>
          <w:spacing w:val="-21"/>
        </w:rPr>
        <w:t> </w:t>
      </w:r>
      <w:r>
        <w:rPr/>
        <w:t>NCA</w:t>
      </w:r>
      <w:r>
        <w:rPr>
          <w:spacing w:val="-22"/>
        </w:rPr>
        <w:t> </w:t>
      </w:r>
      <w:r>
        <w:rPr/>
        <w:t>provides</w:t>
      </w:r>
      <w:r>
        <w:rPr>
          <w:spacing w:val="-20"/>
        </w:rPr>
        <w:t> </w:t>
      </w:r>
      <w:r>
        <w:rPr/>
        <w:t>for</w:t>
      </w:r>
      <w:r>
        <w:rPr>
          <w:spacing w:val="-23"/>
        </w:rPr>
        <w:t> </w:t>
      </w:r>
      <w:r>
        <w:rPr/>
        <w:t>an</w:t>
      </w:r>
      <w:r>
        <w:rPr>
          <w:spacing w:val="-21"/>
        </w:rPr>
        <w:t> </w:t>
      </w:r>
      <w:r>
        <w:rPr/>
        <w:t>expeditious</w:t>
      </w:r>
      <w:r>
        <w:rPr>
          <w:spacing w:val="-21"/>
        </w:rPr>
        <w:t> </w:t>
      </w:r>
      <w:r>
        <w:rPr/>
        <w:t>informal</w:t>
      </w:r>
      <w:r>
        <w:rPr>
          <w:spacing w:val="-23"/>
        </w:rPr>
        <w:t> </w:t>
      </w:r>
      <w:r>
        <w:rPr/>
        <w:t>and</w:t>
      </w:r>
      <w:r>
        <w:rPr>
          <w:spacing w:val="-22"/>
        </w:rPr>
        <w:t> </w:t>
      </w:r>
      <w:r>
        <w:rPr/>
        <w:t>cost-effective</w:t>
      </w:r>
      <w:r>
        <w:rPr>
          <w:spacing w:val="-20"/>
        </w:rPr>
        <w:t> </w:t>
      </w:r>
      <w:r>
        <w:rPr/>
        <w:t>complaints procedure. Section 141 (1) (b) confers on the Tribunal a wide, largely unfettered discretion to permit a direct</w:t>
      </w:r>
      <w:r>
        <w:rPr>
          <w:spacing w:val="-31"/>
        </w:rPr>
        <w:t> </w:t>
      </w:r>
      <w:r>
        <w:rPr/>
        <w:t>referral.</w:t>
      </w:r>
    </w:p>
    <w:p>
      <w:pPr>
        <w:spacing w:line="345" w:lineRule="auto" w:before="239"/>
        <w:ind w:left="678" w:right="110" w:firstLine="0"/>
        <w:jc w:val="both"/>
        <w:rPr>
          <w:i/>
          <w:sz w:val="25"/>
        </w:rPr>
      </w:pPr>
      <w:r>
        <w:rPr>
          <w:i/>
          <w:sz w:val="25"/>
        </w:rPr>
        <w:t>The NCA does not require a formal application to be made, and it is not necessary for</w:t>
      </w:r>
      <w:r>
        <w:rPr>
          <w:i/>
          <w:spacing w:val="-9"/>
          <w:sz w:val="25"/>
        </w:rPr>
        <w:t> </w:t>
      </w:r>
      <w:r>
        <w:rPr>
          <w:i/>
          <w:sz w:val="25"/>
        </w:rPr>
        <w:t>purposes</w:t>
      </w:r>
      <w:r>
        <w:rPr>
          <w:i/>
          <w:spacing w:val="-8"/>
          <w:sz w:val="25"/>
        </w:rPr>
        <w:t> </w:t>
      </w:r>
      <w:r>
        <w:rPr>
          <w:i/>
          <w:sz w:val="25"/>
        </w:rPr>
        <w:t>of</w:t>
      </w:r>
      <w:r>
        <w:rPr>
          <w:i/>
          <w:spacing w:val="-9"/>
          <w:sz w:val="25"/>
        </w:rPr>
        <w:t> </w:t>
      </w:r>
      <w:r>
        <w:rPr>
          <w:i/>
          <w:sz w:val="25"/>
        </w:rPr>
        <w:t>the</w:t>
      </w:r>
      <w:r>
        <w:rPr>
          <w:i/>
          <w:spacing w:val="-8"/>
          <w:sz w:val="25"/>
        </w:rPr>
        <w:t> </w:t>
      </w:r>
      <w:r>
        <w:rPr>
          <w:i/>
          <w:sz w:val="25"/>
        </w:rPr>
        <w:t>present</w:t>
      </w:r>
      <w:r>
        <w:rPr>
          <w:i/>
          <w:spacing w:val="-10"/>
          <w:sz w:val="25"/>
        </w:rPr>
        <w:t> </w:t>
      </w:r>
      <w:r>
        <w:rPr>
          <w:i/>
          <w:sz w:val="25"/>
        </w:rPr>
        <w:t>appeal,</w:t>
      </w:r>
      <w:r>
        <w:rPr>
          <w:i/>
          <w:spacing w:val="-9"/>
          <w:sz w:val="25"/>
        </w:rPr>
        <w:t> </w:t>
      </w:r>
      <w:r>
        <w:rPr>
          <w:i/>
          <w:sz w:val="25"/>
        </w:rPr>
        <w:t>nor</w:t>
      </w:r>
      <w:r>
        <w:rPr>
          <w:i/>
          <w:spacing w:val="-9"/>
          <w:sz w:val="25"/>
        </w:rPr>
        <w:t> </w:t>
      </w:r>
      <w:r>
        <w:rPr>
          <w:i/>
          <w:sz w:val="25"/>
        </w:rPr>
        <w:t>is</w:t>
      </w:r>
      <w:r>
        <w:rPr>
          <w:i/>
          <w:spacing w:val="-8"/>
          <w:sz w:val="25"/>
        </w:rPr>
        <w:t> </w:t>
      </w:r>
      <w:r>
        <w:rPr>
          <w:i/>
          <w:sz w:val="25"/>
        </w:rPr>
        <w:t>it</w:t>
      </w:r>
      <w:r>
        <w:rPr>
          <w:i/>
          <w:spacing w:val="-10"/>
          <w:sz w:val="25"/>
        </w:rPr>
        <w:t> </w:t>
      </w:r>
      <w:r>
        <w:rPr>
          <w:i/>
          <w:sz w:val="25"/>
        </w:rPr>
        <w:t>desirable</w:t>
      </w:r>
      <w:r>
        <w:rPr>
          <w:i/>
          <w:spacing w:val="-8"/>
          <w:sz w:val="25"/>
        </w:rPr>
        <w:t> </w:t>
      </w:r>
      <w:r>
        <w:rPr>
          <w:i/>
          <w:sz w:val="25"/>
        </w:rPr>
        <w:t>to</w:t>
      </w:r>
      <w:r>
        <w:rPr>
          <w:i/>
          <w:spacing w:val="-9"/>
          <w:sz w:val="25"/>
        </w:rPr>
        <w:t> </w:t>
      </w:r>
      <w:r>
        <w:rPr>
          <w:i/>
          <w:sz w:val="25"/>
        </w:rPr>
        <w:t>circumscribe</w:t>
      </w:r>
      <w:r>
        <w:rPr>
          <w:i/>
          <w:spacing w:val="-8"/>
          <w:sz w:val="25"/>
        </w:rPr>
        <w:t> </w:t>
      </w:r>
      <w:r>
        <w:rPr>
          <w:i/>
          <w:sz w:val="25"/>
        </w:rPr>
        <w:t>the</w:t>
      </w:r>
      <w:r>
        <w:rPr>
          <w:i/>
          <w:spacing w:val="-8"/>
          <w:sz w:val="25"/>
        </w:rPr>
        <w:t> </w:t>
      </w:r>
      <w:r>
        <w:rPr>
          <w:i/>
          <w:sz w:val="25"/>
        </w:rPr>
        <w:t>factors</w:t>
      </w:r>
      <w:r>
        <w:rPr>
          <w:i/>
          <w:spacing w:val="-8"/>
          <w:sz w:val="25"/>
        </w:rPr>
        <w:t> </w:t>
      </w:r>
      <w:r>
        <w:rPr>
          <w:i/>
          <w:sz w:val="25"/>
        </w:rPr>
        <w:t>to which the Tribunal should have regard. There is no test to be applied in deciding whether</w:t>
      </w:r>
      <w:r>
        <w:rPr>
          <w:i/>
          <w:spacing w:val="-12"/>
          <w:sz w:val="25"/>
        </w:rPr>
        <w:t> </w:t>
      </w:r>
      <w:r>
        <w:rPr>
          <w:i/>
          <w:sz w:val="25"/>
        </w:rPr>
        <w:t>to</w:t>
      </w:r>
      <w:r>
        <w:rPr>
          <w:i/>
          <w:spacing w:val="-11"/>
          <w:sz w:val="25"/>
        </w:rPr>
        <w:t> </w:t>
      </w:r>
      <w:r>
        <w:rPr>
          <w:i/>
          <w:sz w:val="25"/>
        </w:rPr>
        <w:t>grant</w:t>
      </w:r>
      <w:r>
        <w:rPr>
          <w:i/>
          <w:spacing w:val="-12"/>
          <w:sz w:val="25"/>
        </w:rPr>
        <w:t> </w:t>
      </w:r>
      <w:r>
        <w:rPr>
          <w:i/>
          <w:sz w:val="25"/>
        </w:rPr>
        <w:t>a</w:t>
      </w:r>
      <w:r>
        <w:rPr>
          <w:i/>
          <w:spacing w:val="-10"/>
          <w:sz w:val="25"/>
        </w:rPr>
        <w:t> </w:t>
      </w:r>
      <w:r>
        <w:rPr>
          <w:i/>
          <w:sz w:val="25"/>
        </w:rPr>
        <w:t>direct</w:t>
      </w:r>
      <w:r>
        <w:rPr>
          <w:i/>
          <w:spacing w:val="-12"/>
          <w:sz w:val="25"/>
        </w:rPr>
        <w:t> </w:t>
      </w:r>
      <w:r>
        <w:rPr>
          <w:i/>
          <w:sz w:val="25"/>
        </w:rPr>
        <w:t>referral</w:t>
      </w:r>
      <w:r>
        <w:rPr>
          <w:i/>
          <w:spacing w:val="-10"/>
          <w:sz w:val="25"/>
        </w:rPr>
        <w:t> </w:t>
      </w:r>
      <w:r>
        <w:rPr>
          <w:i/>
          <w:sz w:val="25"/>
        </w:rPr>
        <w:t>to</w:t>
      </w:r>
      <w:r>
        <w:rPr>
          <w:i/>
          <w:spacing w:val="-12"/>
          <w:sz w:val="25"/>
        </w:rPr>
        <w:t> </w:t>
      </w:r>
      <w:r>
        <w:rPr>
          <w:i/>
          <w:sz w:val="25"/>
        </w:rPr>
        <w:t>it</w:t>
      </w:r>
      <w:r>
        <w:rPr>
          <w:i/>
          <w:spacing w:val="-12"/>
          <w:sz w:val="25"/>
        </w:rPr>
        <w:t> </w:t>
      </w:r>
      <w:r>
        <w:rPr>
          <w:i/>
          <w:sz w:val="25"/>
        </w:rPr>
        <w:t>in</w:t>
      </w:r>
      <w:r>
        <w:rPr>
          <w:i/>
          <w:spacing w:val="-10"/>
          <w:sz w:val="25"/>
        </w:rPr>
        <w:t> </w:t>
      </w:r>
      <w:r>
        <w:rPr>
          <w:i/>
          <w:sz w:val="25"/>
        </w:rPr>
        <w:t>respect</w:t>
      </w:r>
      <w:r>
        <w:rPr>
          <w:i/>
          <w:spacing w:val="-12"/>
          <w:sz w:val="25"/>
        </w:rPr>
        <w:t> </w:t>
      </w:r>
      <w:r>
        <w:rPr>
          <w:i/>
          <w:sz w:val="25"/>
        </w:rPr>
        <w:t>of</w:t>
      </w:r>
      <w:r>
        <w:rPr>
          <w:i/>
          <w:spacing w:val="-11"/>
          <w:sz w:val="25"/>
        </w:rPr>
        <w:t> </w:t>
      </w:r>
      <w:r>
        <w:rPr>
          <w:i/>
          <w:sz w:val="25"/>
        </w:rPr>
        <w:t>a</w:t>
      </w:r>
      <w:r>
        <w:rPr>
          <w:i/>
          <w:spacing w:val="-10"/>
          <w:sz w:val="25"/>
        </w:rPr>
        <w:t> </w:t>
      </w:r>
      <w:r>
        <w:rPr>
          <w:i/>
          <w:sz w:val="25"/>
        </w:rPr>
        <w:t>complaint.</w:t>
      </w:r>
      <w:r>
        <w:rPr>
          <w:i/>
          <w:spacing w:val="-11"/>
          <w:sz w:val="25"/>
        </w:rPr>
        <w:t> </w:t>
      </w:r>
      <w:r>
        <w:rPr>
          <w:i/>
          <w:sz w:val="25"/>
        </w:rPr>
        <w:t>The</w:t>
      </w:r>
      <w:r>
        <w:rPr>
          <w:i/>
          <w:spacing w:val="-11"/>
          <w:sz w:val="25"/>
        </w:rPr>
        <w:t> </w:t>
      </w:r>
      <w:r>
        <w:rPr>
          <w:i/>
          <w:sz w:val="25"/>
        </w:rPr>
        <w:t>purpose</w:t>
      </w:r>
      <w:r>
        <w:rPr>
          <w:i/>
          <w:spacing w:val="-10"/>
          <w:sz w:val="25"/>
        </w:rPr>
        <w:t> </w:t>
      </w:r>
      <w:r>
        <w:rPr>
          <w:i/>
          <w:sz w:val="25"/>
        </w:rPr>
        <w:t>of</w:t>
      </w:r>
      <w:r>
        <w:rPr>
          <w:i/>
          <w:spacing w:val="-10"/>
          <w:sz w:val="25"/>
        </w:rPr>
        <w:t> </w:t>
      </w:r>
      <w:r>
        <w:rPr>
          <w:i/>
          <w:sz w:val="25"/>
        </w:rPr>
        <w:t>the provision</w:t>
      </w:r>
      <w:r>
        <w:rPr>
          <w:i/>
          <w:spacing w:val="-22"/>
          <w:sz w:val="25"/>
        </w:rPr>
        <w:t> </w:t>
      </w:r>
      <w:r>
        <w:rPr>
          <w:i/>
          <w:sz w:val="25"/>
        </w:rPr>
        <w:t>is</w:t>
      </w:r>
      <w:r>
        <w:rPr>
          <w:i/>
          <w:spacing w:val="-21"/>
          <w:sz w:val="25"/>
        </w:rPr>
        <w:t> </w:t>
      </w:r>
      <w:r>
        <w:rPr>
          <w:i/>
          <w:sz w:val="25"/>
        </w:rPr>
        <w:t>simply</w:t>
      </w:r>
      <w:r>
        <w:rPr>
          <w:i/>
          <w:spacing w:val="-21"/>
          <w:sz w:val="25"/>
        </w:rPr>
        <w:t> </w:t>
      </w:r>
      <w:r>
        <w:rPr>
          <w:i/>
          <w:sz w:val="25"/>
        </w:rPr>
        <w:t>for</w:t>
      </w:r>
      <w:r>
        <w:rPr>
          <w:i/>
          <w:spacing w:val="-23"/>
          <w:sz w:val="25"/>
        </w:rPr>
        <w:t> </w:t>
      </w:r>
      <w:r>
        <w:rPr>
          <w:i/>
          <w:sz w:val="25"/>
        </w:rPr>
        <w:t>the</w:t>
      </w:r>
      <w:r>
        <w:rPr>
          <w:i/>
          <w:spacing w:val="-21"/>
          <w:sz w:val="25"/>
        </w:rPr>
        <w:t> </w:t>
      </w:r>
      <w:r>
        <w:rPr>
          <w:i/>
          <w:sz w:val="25"/>
        </w:rPr>
        <w:t>Tribunal</w:t>
      </w:r>
      <w:r>
        <w:rPr>
          <w:i/>
          <w:spacing w:val="-21"/>
          <w:sz w:val="25"/>
        </w:rPr>
        <w:t> </w:t>
      </w:r>
      <w:r>
        <w:rPr>
          <w:i/>
          <w:sz w:val="25"/>
        </w:rPr>
        <w:t>to</w:t>
      </w:r>
      <w:r>
        <w:rPr>
          <w:i/>
          <w:spacing w:val="-22"/>
          <w:sz w:val="25"/>
        </w:rPr>
        <w:t> </w:t>
      </w:r>
      <w:r>
        <w:rPr>
          <w:i/>
          <w:sz w:val="25"/>
        </w:rPr>
        <w:t>consider</w:t>
      </w:r>
      <w:r>
        <w:rPr>
          <w:i/>
          <w:spacing w:val="-21"/>
          <w:sz w:val="25"/>
        </w:rPr>
        <w:t> </w:t>
      </w:r>
      <w:r>
        <w:rPr>
          <w:i/>
          <w:sz w:val="25"/>
        </w:rPr>
        <w:t>the</w:t>
      </w:r>
      <w:r>
        <w:rPr>
          <w:i/>
          <w:spacing w:val="-21"/>
          <w:sz w:val="25"/>
        </w:rPr>
        <w:t> </w:t>
      </w:r>
      <w:r>
        <w:rPr>
          <w:i/>
          <w:sz w:val="25"/>
        </w:rPr>
        <w:t>complaint</w:t>
      </w:r>
      <w:r>
        <w:rPr>
          <w:i/>
          <w:spacing w:val="-22"/>
          <w:sz w:val="25"/>
        </w:rPr>
        <w:t> </w:t>
      </w:r>
      <w:r>
        <w:rPr>
          <w:i/>
          <w:sz w:val="25"/>
        </w:rPr>
        <w:t>afresh,</w:t>
      </w:r>
      <w:r>
        <w:rPr>
          <w:i/>
          <w:spacing w:val="-22"/>
          <w:sz w:val="25"/>
        </w:rPr>
        <w:t> </w:t>
      </w:r>
      <w:r>
        <w:rPr>
          <w:i/>
          <w:sz w:val="25"/>
        </w:rPr>
        <w:t>with</w:t>
      </w:r>
      <w:r>
        <w:rPr>
          <w:i/>
          <w:spacing w:val="-21"/>
          <w:sz w:val="25"/>
        </w:rPr>
        <w:t> </w:t>
      </w:r>
      <w:r>
        <w:rPr>
          <w:i/>
          <w:sz w:val="25"/>
        </w:rPr>
        <w:t>the</w:t>
      </w:r>
      <w:r>
        <w:rPr>
          <w:i/>
          <w:spacing w:val="-21"/>
          <w:sz w:val="25"/>
        </w:rPr>
        <w:t> </w:t>
      </w:r>
      <w:r>
        <w:rPr>
          <w:i/>
          <w:sz w:val="25"/>
        </w:rPr>
        <w:t>benefit of</w:t>
      </w:r>
      <w:r>
        <w:rPr>
          <w:i/>
          <w:spacing w:val="-21"/>
          <w:sz w:val="25"/>
        </w:rPr>
        <w:t> </w:t>
      </w:r>
      <w:r>
        <w:rPr>
          <w:i/>
          <w:sz w:val="25"/>
        </w:rPr>
        <w:t>any</w:t>
      </w:r>
      <w:r>
        <w:rPr>
          <w:i/>
          <w:spacing w:val="-20"/>
          <w:sz w:val="25"/>
        </w:rPr>
        <w:t> </w:t>
      </w:r>
      <w:r>
        <w:rPr>
          <w:i/>
          <w:sz w:val="25"/>
        </w:rPr>
        <w:t>findings</w:t>
      </w:r>
      <w:r>
        <w:rPr>
          <w:i/>
          <w:spacing w:val="-20"/>
          <w:sz w:val="25"/>
        </w:rPr>
        <w:t> </w:t>
      </w:r>
      <w:r>
        <w:rPr>
          <w:i/>
          <w:sz w:val="25"/>
        </w:rPr>
        <w:t>by</w:t>
      </w:r>
      <w:r>
        <w:rPr>
          <w:i/>
          <w:spacing w:val="-20"/>
          <w:sz w:val="25"/>
        </w:rPr>
        <w:t> </w:t>
      </w:r>
      <w:r>
        <w:rPr>
          <w:i/>
          <w:sz w:val="25"/>
        </w:rPr>
        <w:t>the</w:t>
      </w:r>
      <w:r>
        <w:rPr>
          <w:i/>
          <w:spacing w:val="-20"/>
          <w:sz w:val="25"/>
        </w:rPr>
        <w:t> </w:t>
      </w:r>
      <w:r>
        <w:rPr>
          <w:i/>
          <w:sz w:val="25"/>
        </w:rPr>
        <w:t>Regulator,</w:t>
      </w:r>
      <w:r>
        <w:rPr>
          <w:i/>
          <w:spacing w:val="-21"/>
          <w:sz w:val="25"/>
        </w:rPr>
        <w:t> </w:t>
      </w:r>
      <w:r>
        <w:rPr>
          <w:i/>
          <w:sz w:val="25"/>
        </w:rPr>
        <w:t>and</w:t>
      </w:r>
      <w:r>
        <w:rPr>
          <w:i/>
          <w:spacing w:val="-21"/>
          <w:sz w:val="25"/>
        </w:rPr>
        <w:t> </w:t>
      </w:r>
      <w:r>
        <w:rPr>
          <w:i/>
          <w:sz w:val="25"/>
        </w:rPr>
        <w:t>to</w:t>
      </w:r>
      <w:r>
        <w:rPr>
          <w:i/>
          <w:spacing w:val="-21"/>
          <w:sz w:val="25"/>
        </w:rPr>
        <w:t> </w:t>
      </w:r>
      <w:r>
        <w:rPr>
          <w:i/>
          <w:sz w:val="25"/>
        </w:rPr>
        <w:t>decide</w:t>
      </w:r>
      <w:r>
        <w:rPr>
          <w:i/>
          <w:spacing w:val="-21"/>
          <w:sz w:val="25"/>
        </w:rPr>
        <w:t> </w:t>
      </w:r>
      <w:r>
        <w:rPr>
          <w:i/>
          <w:sz w:val="25"/>
        </w:rPr>
        <w:t>whether</w:t>
      </w:r>
      <w:r>
        <w:rPr>
          <w:i/>
          <w:spacing w:val="-21"/>
          <w:sz w:val="25"/>
        </w:rPr>
        <w:t> </w:t>
      </w:r>
      <w:r>
        <w:rPr>
          <w:i/>
          <w:sz w:val="25"/>
        </w:rPr>
        <w:t>it</w:t>
      </w:r>
      <w:r>
        <w:rPr>
          <w:i/>
          <w:spacing w:val="-21"/>
          <w:sz w:val="25"/>
        </w:rPr>
        <w:t> </w:t>
      </w:r>
      <w:r>
        <w:rPr>
          <w:i/>
          <w:sz w:val="25"/>
        </w:rPr>
        <w:t>deserves</w:t>
      </w:r>
      <w:r>
        <w:rPr>
          <w:i/>
          <w:spacing w:val="-22"/>
          <w:sz w:val="25"/>
        </w:rPr>
        <w:t> </w:t>
      </w:r>
      <w:r>
        <w:rPr>
          <w:i/>
          <w:sz w:val="25"/>
        </w:rPr>
        <w:t>its</w:t>
      </w:r>
      <w:r>
        <w:rPr>
          <w:i/>
          <w:spacing w:val="-20"/>
          <w:sz w:val="25"/>
        </w:rPr>
        <w:t> </w:t>
      </w:r>
      <w:r>
        <w:rPr>
          <w:i/>
          <w:sz w:val="25"/>
        </w:rPr>
        <w:t>attention.</w:t>
      </w:r>
    </w:p>
    <w:p>
      <w:pPr>
        <w:spacing w:line="345" w:lineRule="auto" w:before="242"/>
        <w:ind w:left="678" w:right="109" w:firstLine="0"/>
        <w:jc w:val="both"/>
        <w:rPr>
          <w:i/>
          <w:sz w:val="25"/>
        </w:rPr>
      </w:pPr>
      <w:r>
        <w:rPr>
          <w:i/>
          <w:sz w:val="25"/>
        </w:rPr>
        <w:t>Circumstances</w:t>
      </w:r>
      <w:r>
        <w:rPr>
          <w:i/>
          <w:spacing w:val="-19"/>
          <w:sz w:val="25"/>
        </w:rPr>
        <w:t> </w:t>
      </w:r>
      <w:r>
        <w:rPr>
          <w:i/>
          <w:sz w:val="25"/>
        </w:rPr>
        <w:t>that</w:t>
      </w:r>
      <w:r>
        <w:rPr>
          <w:i/>
          <w:spacing w:val="-20"/>
          <w:sz w:val="25"/>
        </w:rPr>
        <w:t> </w:t>
      </w:r>
      <w:r>
        <w:rPr>
          <w:i/>
          <w:sz w:val="25"/>
        </w:rPr>
        <w:t>may</w:t>
      </w:r>
      <w:r>
        <w:rPr>
          <w:i/>
          <w:spacing w:val="-19"/>
          <w:sz w:val="25"/>
        </w:rPr>
        <w:t> </w:t>
      </w:r>
      <w:r>
        <w:rPr>
          <w:i/>
          <w:sz w:val="25"/>
        </w:rPr>
        <w:t>influence</w:t>
      </w:r>
      <w:r>
        <w:rPr>
          <w:i/>
          <w:spacing w:val="-19"/>
          <w:sz w:val="25"/>
        </w:rPr>
        <w:t> </w:t>
      </w:r>
      <w:r>
        <w:rPr>
          <w:i/>
          <w:sz w:val="25"/>
        </w:rPr>
        <w:t>its</w:t>
      </w:r>
      <w:r>
        <w:rPr>
          <w:i/>
          <w:spacing w:val="-19"/>
          <w:sz w:val="25"/>
        </w:rPr>
        <w:t> </w:t>
      </w:r>
      <w:r>
        <w:rPr>
          <w:i/>
          <w:sz w:val="25"/>
        </w:rPr>
        <w:t>decision</w:t>
      </w:r>
      <w:r>
        <w:rPr>
          <w:i/>
          <w:spacing w:val="-20"/>
          <w:sz w:val="25"/>
        </w:rPr>
        <w:t> </w:t>
      </w:r>
      <w:r>
        <w:rPr>
          <w:i/>
          <w:sz w:val="25"/>
        </w:rPr>
        <w:t>may</w:t>
      </w:r>
      <w:r>
        <w:rPr>
          <w:i/>
          <w:spacing w:val="-19"/>
          <w:sz w:val="25"/>
        </w:rPr>
        <w:t> </w:t>
      </w:r>
      <w:r>
        <w:rPr>
          <w:i/>
          <w:sz w:val="25"/>
        </w:rPr>
        <w:t>include</w:t>
      </w:r>
      <w:r>
        <w:rPr>
          <w:i/>
          <w:spacing w:val="-19"/>
          <w:sz w:val="25"/>
        </w:rPr>
        <w:t> </w:t>
      </w:r>
      <w:r>
        <w:rPr>
          <w:i/>
          <w:sz w:val="25"/>
        </w:rPr>
        <w:t>the</w:t>
      </w:r>
      <w:r>
        <w:rPr>
          <w:i/>
          <w:spacing w:val="-19"/>
          <w:sz w:val="25"/>
        </w:rPr>
        <w:t> </w:t>
      </w:r>
      <w:r>
        <w:rPr>
          <w:i/>
          <w:sz w:val="25"/>
        </w:rPr>
        <w:t>prospects</w:t>
      </w:r>
      <w:r>
        <w:rPr>
          <w:i/>
          <w:spacing w:val="-19"/>
          <w:sz w:val="25"/>
        </w:rPr>
        <w:t> </w:t>
      </w:r>
      <w:r>
        <w:rPr>
          <w:i/>
          <w:sz w:val="25"/>
        </w:rPr>
        <w:t>of</w:t>
      </w:r>
      <w:r>
        <w:rPr>
          <w:i/>
          <w:spacing w:val="-19"/>
          <w:sz w:val="25"/>
        </w:rPr>
        <w:t> </w:t>
      </w:r>
      <w:r>
        <w:rPr>
          <w:i/>
          <w:sz w:val="25"/>
        </w:rPr>
        <w:t>success, the</w:t>
      </w:r>
      <w:r>
        <w:rPr>
          <w:i/>
          <w:spacing w:val="-19"/>
          <w:sz w:val="25"/>
        </w:rPr>
        <w:t> </w:t>
      </w:r>
      <w:r>
        <w:rPr>
          <w:i/>
          <w:sz w:val="25"/>
        </w:rPr>
        <w:t>importance</w:t>
      </w:r>
      <w:r>
        <w:rPr>
          <w:i/>
          <w:spacing w:val="-19"/>
          <w:sz w:val="25"/>
        </w:rPr>
        <w:t> </w:t>
      </w:r>
      <w:r>
        <w:rPr>
          <w:i/>
          <w:sz w:val="25"/>
        </w:rPr>
        <w:t>of</w:t>
      </w:r>
      <w:r>
        <w:rPr>
          <w:i/>
          <w:spacing w:val="-19"/>
          <w:sz w:val="25"/>
        </w:rPr>
        <w:t> </w:t>
      </w:r>
      <w:r>
        <w:rPr>
          <w:i/>
          <w:sz w:val="25"/>
        </w:rPr>
        <w:t>the</w:t>
      </w:r>
      <w:r>
        <w:rPr>
          <w:i/>
          <w:spacing w:val="-17"/>
          <w:sz w:val="25"/>
        </w:rPr>
        <w:t> </w:t>
      </w:r>
      <w:r>
        <w:rPr>
          <w:i/>
          <w:sz w:val="25"/>
        </w:rPr>
        <w:t>matter,</w:t>
      </w:r>
      <w:r>
        <w:rPr>
          <w:i/>
          <w:spacing w:val="-19"/>
          <w:sz w:val="25"/>
        </w:rPr>
        <w:t> </w:t>
      </w:r>
      <w:r>
        <w:rPr>
          <w:i/>
          <w:sz w:val="25"/>
        </w:rPr>
        <w:t>the</w:t>
      </w:r>
      <w:r>
        <w:rPr>
          <w:i/>
          <w:spacing w:val="-18"/>
          <w:sz w:val="25"/>
        </w:rPr>
        <w:t> </w:t>
      </w:r>
      <w:r>
        <w:rPr>
          <w:i/>
          <w:sz w:val="25"/>
        </w:rPr>
        <w:t>allocation</w:t>
      </w:r>
      <w:r>
        <w:rPr>
          <w:i/>
          <w:spacing w:val="-18"/>
          <w:sz w:val="25"/>
        </w:rPr>
        <w:t> </w:t>
      </w:r>
      <w:r>
        <w:rPr>
          <w:i/>
          <w:sz w:val="25"/>
        </w:rPr>
        <w:t>of</w:t>
      </w:r>
      <w:r>
        <w:rPr>
          <w:i/>
          <w:spacing w:val="-19"/>
          <w:sz w:val="25"/>
        </w:rPr>
        <w:t> </w:t>
      </w:r>
      <w:r>
        <w:rPr>
          <w:i/>
          <w:sz w:val="25"/>
        </w:rPr>
        <w:t>resources,</w:t>
      </w:r>
      <w:r>
        <w:rPr>
          <w:i/>
          <w:spacing w:val="-19"/>
          <w:sz w:val="25"/>
        </w:rPr>
        <w:t> </w:t>
      </w:r>
      <w:r>
        <w:rPr>
          <w:i/>
          <w:sz w:val="25"/>
        </w:rPr>
        <w:t>the</w:t>
      </w:r>
      <w:r>
        <w:rPr>
          <w:i/>
          <w:spacing w:val="-19"/>
          <w:sz w:val="25"/>
        </w:rPr>
        <w:t> </w:t>
      </w:r>
      <w:r>
        <w:rPr>
          <w:i/>
          <w:sz w:val="25"/>
        </w:rPr>
        <w:t>complainant’s</w:t>
      </w:r>
      <w:r>
        <w:rPr>
          <w:i/>
          <w:spacing w:val="-19"/>
          <w:sz w:val="25"/>
        </w:rPr>
        <w:t> </w:t>
      </w:r>
      <w:r>
        <w:rPr>
          <w:i/>
          <w:sz w:val="25"/>
        </w:rPr>
        <w:t>interest in</w:t>
      </w:r>
      <w:r>
        <w:rPr>
          <w:i/>
          <w:spacing w:val="-20"/>
          <w:sz w:val="25"/>
        </w:rPr>
        <w:t> </w:t>
      </w:r>
      <w:r>
        <w:rPr>
          <w:i/>
          <w:sz w:val="25"/>
        </w:rPr>
        <w:t>the</w:t>
      </w:r>
      <w:r>
        <w:rPr>
          <w:i/>
          <w:spacing w:val="-19"/>
          <w:sz w:val="25"/>
        </w:rPr>
        <w:t> </w:t>
      </w:r>
      <w:r>
        <w:rPr>
          <w:i/>
          <w:sz w:val="25"/>
        </w:rPr>
        <w:t>relief</w:t>
      </w:r>
      <w:r>
        <w:rPr>
          <w:i/>
          <w:spacing w:val="-20"/>
          <w:sz w:val="25"/>
        </w:rPr>
        <w:t> </w:t>
      </w:r>
      <w:r>
        <w:rPr>
          <w:i/>
          <w:sz w:val="25"/>
        </w:rPr>
        <w:t>sought,</w:t>
      </w:r>
      <w:r>
        <w:rPr>
          <w:i/>
          <w:spacing w:val="-20"/>
          <w:sz w:val="25"/>
        </w:rPr>
        <w:t> </w:t>
      </w:r>
      <w:r>
        <w:rPr>
          <w:i/>
          <w:sz w:val="25"/>
        </w:rPr>
        <w:t>and</w:t>
      </w:r>
      <w:r>
        <w:rPr>
          <w:i/>
          <w:spacing w:val="-21"/>
          <w:sz w:val="25"/>
        </w:rPr>
        <w:t> </w:t>
      </w:r>
      <w:r>
        <w:rPr>
          <w:i/>
          <w:sz w:val="25"/>
        </w:rPr>
        <w:t>the</w:t>
      </w:r>
      <w:r>
        <w:rPr>
          <w:i/>
          <w:spacing w:val="-19"/>
          <w:sz w:val="25"/>
        </w:rPr>
        <w:t> </w:t>
      </w:r>
      <w:r>
        <w:rPr>
          <w:i/>
          <w:sz w:val="25"/>
        </w:rPr>
        <w:t>fact</w:t>
      </w:r>
      <w:r>
        <w:rPr>
          <w:i/>
          <w:spacing w:val="-19"/>
          <w:sz w:val="25"/>
        </w:rPr>
        <w:t> </w:t>
      </w:r>
      <w:r>
        <w:rPr>
          <w:i/>
          <w:sz w:val="25"/>
        </w:rPr>
        <w:t>that</w:t>
      </w:r>
      <w:r>
        <w:rPr>
          <w:i/>
          <w:spacing w:val="-21"/>
          <w:sz w:val="25"/>
        </w:rPr>
        <w:t> </w:t>
      </w:r>
      <w:r>
        <w:rPr>
          <w:i/>
          <w:sz w:val="25"/>
        </w:rPr>
        <w:t>the</w:t>
      </w:r>
      <w:r>
        <w:rPr>
          <w:i/>
          <w:spacing w:val="-19"/>
          <w:sz w:val="25"/>
        </w:rPr>
        <w:t> </w:t>
      </w:r>
      <w:r>
        <w:rPr>
          <w:i/>
          <w:sz w:val="25"/>
        </w:rPr>
        <w:t>Regulator</w:t>
      </w:r>
      <w:r>
        <w:rPr>
          <w:i/>
          <w:spacing w:val="-19"/>
          <w:sz w:val="25"/>
        </w:rPr>
        <w:t> </w:t>
      </w:r>
      <w:r>
        <w:rPr>
          <w:i/>
          <w:sz w:val="25"/>
        </w:rPr>
        <w:t>did</w:t>
      </w:r>
      <w:r>
        <w:rPr>
          <w:i/>
          <w:spacing w:val="-21"/>
          <w:sz w:val="25"/>
        </w:rPr>
        <w:t> </w:t>
      </w:r>
      <w:r>
        <w:rPr>
          <w:i/>
          <w:sz w:val="25"/>
        </w:rPr>
        <w:t>not</w:t>
      </w:r>
      <w:r>
        <w:rPr>
          <w:i/>
          <w:spacing w:val="-21"/>
          <w:sz w:val="25"/>
        </w:rPr>
        <w:t> </w:t>
      </w:r>
      <w:r>
        <w:rPr>
          <w:i/>
          <w:sz w:val="25"/>
        </w:rPr>
        <w:t>consider</w:t>
      </w:r>
      <w:r>
        <w:rPr>
          <w:i/>
          <w:spacing w:val="-18"/>
          <w:sz w:val="25"/>
        </w:rPr>
        <w:t> </w:t>
      </w:r>
      <w:r>
        <w:rPr>
          <w:i/>
          <w:sz w:val="25"/>
        </w:rPr>
        <w:t>that</w:t>
      </w:r>
      <w:r>
        <w:rPr>
          <w:i/>
          <w:spacing w:val="-21"/>
          <w:sz w:val="25"/>
        </w:rPr>
        <w:t> </w:t>
      </w:r>
      <w:r>
        <w:rPr>
          <w:i/>
          <w:sz w:val="25"/>
        </w:rPr>
        <w:t>it</w:t>
      </w:r>
      <w:r>
        <w:rPr>
          <w:i/>
          <w:spacing w:val="-19"/>
          <w:sz w:val="25"/>
        </w:rPr>
        <w:t> </w:t>
      </w:r>
      <w:r>
        <w:rPr>
          <w:i/>
          <w:sz w:val="25"/>
        </w:rPr>
        <w:t>merited</w:t>
      </w:r>
      <w:r>
        <w:rPr>
          <w:i/>
          <w:spacing w:val="-20"/>
          <w:sz w:val="25"/>
        </w:rPr>
        <w:t> </w:t>
      </w:r>
      <w:r>
        <w:rPr>
          <w:i/>
          <w:sz w:val="25"/>
        </w:rPr>
        <w:t>a hearing</w:t>
      </w:r>
      <w:r>
        <w:rPr>
          <w:i/>
          <w:spacing w:val="-14"/>
          <w:sz w:val="25"/>
        </w:rPr>
        <w:t> </w:t>
      </w:r>
      <w:r>
        <w:rPr>
          <w:i/>
          <w:sz w:val="25"/>
        </w:rPr>
        <w:t>before</w:t>
      </w:r>
      <w:r>
        <w:rPr>
          <w:i/>
          <w:spacing w:val="-12"/>
          <w:sz w:val="25"/>
        </w:rPr>
        <w:t> </w:t>
      </w:r>
      <w:r>
        <w:rPr>
          <w:i/>
          <w:sz w:val="25"/>
        </w:rPr>
        <w:t>the</w:t>
      </w:r>
      <w:r>
        <w:rPr>
          <w:i/>
          <w:spacing w:val="-12"/>
          <w:sz w:val="25"/>
        </w:rPr>
        <w:t> </w:t>
      </w:r>
      <w:r>
        <w:rPr>
          <w:i/>
          <w:sz w:val="25"/>
        </w:rPr>
        <w:t>Tribunal.</w:t>
      </w:r>
      <w:r>
        <w:rPr>
          <w:i/>
          <w:spacing w:val="-14"/>
          <w:sz w:val="25"/>
        </w:rPr>
        <w:t> </w:t>
      </w:r>
      <w:r>
        <w:rPr>
          <w:i/>
          <w:sz w:val="25"/>
        </w:rPr>
        <w:t>The</w:t>
      </w:r>
      <w:r>
        <w:rPr>
          <w:i/>
          <w:spacing w:val="-12"/>
          <w:sz w:val="25"/>
        </w:rPr>
        <w:t> </w:t>
      </w:r>
      <w:r>
        <w:rPr>
          <w:i/>
          <w:sz w:val="25"/>
        </w:rPr>
        <w:t>list</w:t>
      </w:r>
      <w:r>
        <w:rPr>
          <w:i/>
          <w:spacing w:val="-13"/>
          <w:sz w:val="25"/>
        </w:rPr>
        <w:t> </w:t>
      </w:r>
      <w:r>
        <w:rPr>
          <w:i/>
          <w:sz w:val="25"/>
        </w:rPr>
        <w:t>is</w:t>
      </w:r>
      <w:r>
        <w:rPr>
          <w:i/>
          <w:spacing w:val="-12"/>
          <w:sz w:val="25"/>
        </w:rPr>
        <w:t> </w:t>
      </w:r>
      <w:r>
        <w:rPr>
          <w:i/>
          <w:sz w:val="25"/>
        </w:rPr>
        <w:t>not</w:t>
      </w:r>
      <w:r>
        <w:rPr>
          <w:i/>
          <w:spacing w:val="-14"/>
          <w:sz w:val="25"/>
        </w:rPr>
        <w:t> </w:t>
      </w:r>
      <w:r>
        <w:rPr>
          <w:i/>
          <w:sz w:val="25"/>
        </w:rPr>
        <w:t>intended</w:t>
      </w:r>
      <w:r>
        <w:rPr>
          <w:i/>
          <w:spacing w:val="-14"/>
          <w:sz w:val="25"/>
        </w:rPr>
        <w:t> </w:t>
      </w:r>
      <w:r>
        <w:rPr>
          <w:i/>
          <w:sz w:val="25"/>
        </w:rPr>
        <w:t>to</w:t>
      </w:r>
      <w:r>
        <w:rPr>
          <w:i/>
          <w:spacing w:val="-13"/>
          <w:sz w:val="25"/>
        </w:rPr>
        <w:t> </w:t>
      </w:r>
      <w:r>
        <w:rPr>
          <w:i/>
          <w:sz w:val="25"/>
        </w:rPr>
        <w:t>be</w:t>
      </w:r>
      <w:r>
        <w:rPr>
          <w:i/>
          <w:spacing w:val="-12"/>
          <w:sz w:val="25"/>
        </w:rPr>
        <w:t> </w:t>
      </w:r>
      <w:r>
        <w:rPr>
          <w:i/>
          <w:sz w:val="25"/>
        </w:rPr>
        <w:t>exhaustive.”</w:t>
      </w:r>
    </w:p>
    <w:p>
      <w:pPr>
        <w:pStyle w:val="ListParagraph"/>
        <w:numPr>
          <w:ilvl w:val="0"/>
          <w:numId w:val="1"/>
        </w:numPr>
        <w:tabs>
          <w:tab w:pos="680" w:val="left" w:leader="none"/>
        </w:tabs>
        <w:spacing w:line="360" w:lineRule="auto" w:before="249" w:after="0"/>
        <w:ind w:left="679" w:right="111" w:hanging="567"/>
        <w:jc w:val="both"/>
        <w:rPr>
          <w:sz w:val="24"/>
        </w:rPr>
      </w:pPr>
      <w:r>
        <w:rPr>
          <w:sz w:val="24"/>
        </w:rPr>
        <w:t>The Tribunal will consider the matter as submitted by the Applicant and both Respondents.</w:t>
      </w:r>
      <w:r>
        <w:rPr>
          <w:spacing w:val="37"/>
          <w:sz w:val="24"/>
        </w:rPr>
        <w:t> </w:t>
      </w:r>
      <w:r>
        <w:rPr>
          <w:sz w:val="24"/>
        </w:rPr>
        <w:t>It</w:t>
      </w:r>
      <w:r>
        <w:rPr>
          <w:spacing w:val="37"/>
          <w:sz w:val="24"/>
        </w:rPr>
        <w:t> </w:t>
      </w:r>
      <w:r>
        <w:rPr>
          <w:sz w:val="24"/>
        </w:rPr>
        <w:t>must</w:t>
      </w:r>
      <w:r>
        <w:rPr>
          <w:spacing w:val="37"/>
          <w:sz w:val="24"/>
        </w:rPr>
        <w:t> </w:t>
      </w:r>
      <w:r>
        <w:rPr>
          <w:sz w:val="24"/>
        </w:rPr>
        <w:t>be</w:t>
      </w:r>
      <w:r>
        <w:rPr>
          <w:spacing w:val="40"/>
          <w:sz w:val="24"/>
        </w:rPr>
        <w:t> </w:t>
      </w:r>
      <w:r>
        <w:rPr>
          <w:sz w:val="24"/>
        </w:rPr>
        <w:t>noted</w:t>
      </w:r>
      <w:r>
        <w:rPr>
          <w:spacing w:val="37"/>
          <w:sz w:val="24"/>
        </w:rPr>
        <w:t> </w:t>
      </w:r>
      <w:r>
        <w:rPr>
          <w:sz w:val="24"/>
        </w:rPr>
        <w:t>that</w:t>
      </w:r>
      <w:r>
        <w:rPr>
          <w:spacing w:val="37"/>
          <w:sz w:val="24"/>
        </w:rPr>
        <w:t> </w:t>
      </w:r>
      <w:r>
        <w:rPr>
          <w:sz w:val="24"/>
        </w:rPr>
        <w:t>when</w:t>
      </w:r>
      <w:r>
        <w:rPr>
          <w:spacing w:val="37"/>
          <w:sz w:val="24"/>
        </w:rPr>
        <w:t> </w:t>
      </w:r>
      <w:r>
        <w:rPr>
          <w:sz w:val="24"/>
        </w:rPr>
        <w:t>the</w:t>
      </w:r>
      <w:r>
        <w:rPr>
          <w:spacing w:val="38"/>
          <w:sz w:val="24"/>
        </w:rPr>
        <w:t> </w:t>
      </w:r>
      <w:r>
        <w:rPr>
          <w:sz w:val="24"/>
        </w:rPr>
        <w:t>case</w:t>
      </w:r>
      <w:r>
        <w:rPr>
          <w:spacing w:val="36"/>
          <w:sz w:val="24"/>
        </w:rPr>
        <w:t> </w:t>
      </w:r>
      <w:r>
        <w:rPr>
          <w:sz w:val="24"/>
        </w:rPr>
        <w:t>was</w:t>
      </w:r>
      <w:r>
        <w:rPr>
          <w:spacing w:val="37"/>
          <w:sz w:val="24"/>
        </w:rPr>
        <w:t> </w:t>
      </w:r>
      <w:r>
        <w:rPr>
          <w:sz w:val="24"/>
        </w:rPr>
        <w:t>referred</w:t>
      </w:r>
      <w:r>
        <w:rPr>
          <w:spacing w:val="37"/>
          <w:sz w:val="24"/>
        </w:rPr>
        <w:t> </w:t>
      </w:r>
      <w:r>
        <w:rPr>
          <w:sz w:val="24"/>
        </w:rPr>
        <w:t>to</w:t>
      </w:r>
      <w:r>
        <w:rPr>
          <w:spacing w:val="37"/>
          <w:sz w:val="24"/>
        </w:rPr>
        <w:t> </w:t>
      </w:r>
      <w:r>
        <w:rPr>
          <w:sz w:val="24"/>
        </w:rPr>
        <w:t>the</w:t>
      </w:r>
      <w:r>
        <w:rPr>
          <w:spacing w:val="39"/>
          <w:sz w:val="24"/>
        </w:rPr>
        <w:t> </w:t>
      </w:r>
      <w:r>
        <w:rPr>
          <w:sz w:val="24"/>
        </w:rPr>
        <w:t>NCR,</w:t>
      </w:r>
      <w:r>
        <w:rPr>
          <w:spacing w:val="37"/>
          <w:sz w:val="24"/>
        </w:rPr>
        <w:t> </w:t>
      </w:r>
      <w:r>
        <w:rPr>
          <w:sz w:val="24"/>
        </w:rPr>
        <w:t>the</w:t>
      </w:r>
    </w:p>
    <w:p>
      <w:pPr>
        <w:pStyle w:val="BodyText"/>
        <w:rPr>
          <w:sz w:val="20"/>
        </w:rPr>
      </w:pPr>
    </w:p>
    <w:p>
      <w:pPr>
        <w:pStyle w:val="BodyText"/>
        <w:spacing w:before="5"/>
        <w:rPr>
          <w:sz w:val="25"/>
        </w:rPr>
      </w:pPr>
      <w:r>
        <w:rPr/>
        <w:pict>
          <v:shape style="position:absolute;margin-left:56.639999pt;margin-top:17.716719pt;width:144pt;height:.1pt;mso-position-horizontal-relative:page;mso-position-vertical-relative:paragraph;z-index:-251656192;mso-wrap-distance-left:0;mso-wrap-distance-right:0" coordorigin="1133,354" coordsize="2880,0" path="m1133,354l4013,354e" filled="false" stroked="true" strokeweight=".72pt" strokecolor="#000000">
            <v:path arrowok="t"/>
            <v:stroke dashstyle="solid"/>
            <w10:wrap type="topAndBottom"/>
          </v:shape>
        </w:pict>
      </w:r>
    </w:p>
    <w:p>
      <w:pPr>
        <w:spacing w:before="70"/>
        <w:ind w:left="112" w:right="0" w:firstLine="0"/>
        <w:jc w:val="left"/>
        <w:rPr>
          <w:sz w:val="20"/>
        </w:rPr>
      </w:pPr>
      <w:bookmarkStart w:name="_bookmark0" w:id="1"/>
      <w:bookmarkEnd w:id="1"/>
      <w:r>
        <w:rPr/>
      </w:r>
      <w:r>
        <w:rPr>
          <w:rFonts w:ascii="Calibri"/>
          <w:position w:val="7"/>
          <w:sz w:val="13"/>
        </w:rPr>
        <w:t>1 </w:t>
      </w:r>
      <w:r>
        <w:rPr>
          <w:sz w:val="20"/>
        </w:rPr>
        <w:t>Case no 314/2020) [2021] ZASCA 91 (25 June 2021) SAFLII.</w:t>
      </w:r>
    </w:p>
    <w:p>
      <w:pPr>
        <w:spacing w:after="0"/>
        <w:jc w:val="left"/>
        <w:rPr>
          <w:sz w:val="20"/>
        </w:rPr>
        <w:sectPr>
          <w:pgSz w:w="11910" w:h="16840"/>
          <w:pgMar w:header="282" w:footer="406" w:top="1020" w:bottom="600" w:left="1020" w:right="1020"/>
        </w:sectPr>
      </w:pPr>
    </w:p>
    <w:p>
      <w:pPr>
        <w:pStyle w:val="BodyText"/>
        <w:spacing w:line="360" w:lineRule="auto" w:before="90"/>
        <w:ind w:left="679"/>
      </w:pPr>
      <w:r>
        <w:rPr/>
        <w:t>Applicant alleged that he does not bank with FNB, that it is not a joint account, and that he has never paid a single instalment on his loan account.</w:t>
      </w:r>
    </w:p>
    <w:p>
      <w:pPr>
        <w:pStyle w:val="ListParagraph"/>
        <w:numPr>
          <w:ilvl w:val="0"/>
          <w:numId w:val="1"/>
        </w:numPr>
        <w:tabs>
          <w:tab w:pos="680" w:val="left" w:leader="none"/>
        </w:tabs>
        <w:spacing w:line="360" w:lineRule="auto" w:before="239" w:after="0"/>
        <w:ind w:left="679" w:right="109" w:hanging="567"/>
        <w:jc w:val="both"/>
        <w:rPr>
          <w:sz w:val="24"/>
        </w:rPr>
      </w:pPr>
      <w:r>
        <w:rPr>
          <w:sz w:val="24"/>
        </w:rPr>
        <w:t>The Applicant, in his answering affidavit, acknowledges that he is aware of the FNB home loan account number 3-000-008-670-417, that it is legitimate and up to date, and no payments were missed. He confirms that he is in very good standing with the credit provider, FNB. However, he stated that the said account has nothing to do with or is unrelated to his FNB home loan account number 4000014541753 under dispute.</w:t>
      </w:r>
    </w:p>
    <w:p>
      <w:pPr>
        <w:pStyle w:val="ListParagraph"/>
        <w:numPr>
          <w:ilvl w:val="0"/>
          <w:numId w:val="1"/>
        </w:numPr>
        <w:tabs>
          <w:tab w:pos="680" w:val="left" w:leader="none"/>
        </w:tabs>
        <w:spacing w:line="360" w:lineRule="auto" w:before="240" w:after="0"/>
        <w:ind w:left="679" w:right="109" w:hanging="567"/>
        <w:jc w:val="both"/>
        <w:rPr>
          <w:sz w:val="24"/>
        </w:rPr>
      </w:pPr>
      <w:r>
        <w:rPr>
          <w:sz w:val="24"/>
        </w:rPr>
        <w:t>Section 166 of the NCA provides that a complaint may not be referred or made to  the Tribunal more than three years after the act or omission occurred. The act that is the cause of the complaint arose in 2007 when the Applicant was reported to Experian. The three-year period ran from 2007 to</w:t>
      </w:r>
      <w:r>
        <w:rPr>
          <w:spacing w:val="-11"/>
          <w:sz w:val="24"/>
        </w:rPr>
        <w:t> </w:t>
      </w:r>
      <w:r>
        <w:rPr>
          <w:sz w:val="24"/>
        </w:rPr>
        <w:t>2010.</w:t>
      </w:r>
    </w:p>
    <w:p>
      <w:pPr>
        <w:pStyle w:val="ListParagraph"/>
        <w:numPr>
          <w:ilvl w:val="0"/>
          <w:numId w:val="1"/>
        </w:numPr>
        <w:tabs>
          <w:tab w:pos="680" w:val="left" w:leader="none"/>
        </w:tabs>
        <w:spacing w:line="360" w:lineRule="auto" w:before="239" w:after="0"/>
        <w:ind w:left="679" w:right="113" w:hanging="567"/>
        <w:jc w:val="both"/>
        <w:rPr>
          <w:sz w:val="24"/>
        </w:rPr>
      </w:pPr>
      <w:r>
        <w:rPr>
          <w:sz w:val="24"/>
        </w:rPr>
        <w:t>The application filed his complaint with the Tribunal on 5 May 2022, more than twelve years after the due date. The NCA does not provide an extension of the time based on when the consumer discovered the act or</w:t>
      </w:r>
      <w:r>
        <w:rPr>
          <w:spacing w:val="-13"/>
          <w:sz w:val="24"/>
        </w:rPr>
        <w:t> </w:t>
      </w:r>
      <w:r>
        <w:rPr>
          <w:sz w:val="24"/>
        </w:rPr>
        <w:t>omission.</w:t>
      </w:r>
    </w:p>
    <w:p>
      <w:pPr>
        <w:pStyle w:val="ListParagraph"/>
        <w:numPr>
          <w:ilvl w:val="0"/>
          <w:numId w:val="1"/>
        </w:numPr>
        <w:tabs>
          <w:tab w:pos="680" w:val="left" w:leader="none"/>
        </w:tabs>
        <w:spacing w:line="360" w:lineRule="auto" w:before="240" w:after="0"/>
        <w:ind w:left="679" w:right="114" w:hanging="567"/>
        <w:jc w:val="both"/>
        <w:rPr>
          <w:sz w:val="16"/>
        </w:rPr>
      </w:pPr>
      <w:r>
        <w:rPr>
          <w:sz w:val="24"/>
        </w:rPr>
        <w:t>The office’s High Court confirmed that the Tribunal has no power or discretion to interrupt or extend the time</w:t>
      </w:r>
      <w:r>
        <w:rPr>
          <w:spacing w:val="-4"/>
          <w:sz w:val="24"/>
        </w:rPr>
        <w:t> </w:t>
      </w:r>
      <w:r>
        <w:rPr>
          <w:sz w:val="24"/>
        </w:rPr>
        <w:t>bar.</w:t>
      </w:r>
      <w:hyperlink w:history="true" w:anchor="_bookmark1">
        <w:r>
          <w:rPr>
            <w:position w:val="8"/>
            <w:sz w:val="16"/>
          </w:rPr>
          <w:t>2</w:t>
        </w:r>
      </w:hyperlink>
    </w:p>
    <w:p>
      <w:pPr>
        <w:pStyle w:val="Heading2"/>
        <w:spacing w:before="242"/>
      </w:pPr>
      <w:r>
        <w:rPr/>
        <w:t>CONCLUSION</w:t>
      </w:r>
    </w:p>
    <w:p>
      <w:pPr>
        <w:pStyle w:val="BodyText"/>
        <w:spacing w:before="10"/>
        <w:rPr>
          <w:b/>
          <w:sz w:val="31"/>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The Applicant is, therefore, time-barred from referring the matter to the</w:t>
      </w:r>
      <w:r>
        <w:rPr>
          <w:spacing w:val="-25"/>
          <w:sz w:val="24"/>
        </w:rPr>
        <w:t> </w:t>
      </w:r>
      <w:r>
        <w:rPr>
          <w:sz w:val="24"/>
        </w:rPr>
        <w:t>Tribunal.</w:t>
      </w:r>
    </w:p>
    <w:p>
      <w:pPr>
        <w:pStyle w:val="BodyText"/>
        <w:spacing w:before="11"/>
        <w:rPr>
          <w:sz w:val="31"/>
        </w:rPr>
      </w:pPr>
    </w:p>
    <w:p>
      <w:pPr>
        <w:pStyle w:val="Heading2"/>
        <w:spacing w:before="0"/>
      </w:pPr>
      <w:r>
        <w:rPr/>
        <w:t>ORDER</w:t>
      </w:r>
    </w:p>
    <w:p>
      <w:pPr>
        <w:pStyle w:val="BodyText"/>
        <w:spacing w:before="10"/>
        <w:rPr>
          <w:b/>
          <w:sz w:val="31"/>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Accordingly, the Tribunal makes the following</w:t>
      </w:r>
      <w:r>
        <w:rPr>
          <w:spacing w:val="-7"/>
          <w:sz w:val="24"/>
        </w:rPr>
        <w:t> </w:t>
      </w:r>
      <w:r>
        <w:rPr>
          <w:sz w:val="24"/>
        </w:rPr>
        <w:t>order:</w:t>
      </w:r>
    </w:p>
    <w:p>
      <w:pPr>
        <w:pStyle w:val="BodyText"/>
        <w:spacing w:before="11"/>
        <w:rPr>
          <w:sz w:val="31"/>
        </w:rPr>
      </w:pPr>
    </w:p>
    <w:p>
      <w:pPr>
        <w:pStyle w:val="ListParagraph"/>
        <w:numPr>
          <w:ilvl w:val="1"/>
          <w:numId w:val="1"/>
        </w:numPr>
        <w:tabs>
          <w:tab w:pos="832" w:val="left" w:leader="none"/>
          <w:tab w:pos="833" w:val="left" w:leader="none"/>
        </w:tabs>
        <w:spacing w:line="240" w:lineRule="auto" w:before="0" w:after="0"/>
        <w:ind w:left="832" w:right="0" w:hanging="721"/>
        <w:jc w:val="left"/>
        <w:rPr>
          <w:sz w:val="24"/>
        </w:rPr>
      </w:pPr>
      <w:r>
        <w:rPr>
          <w:sz w:val="24"/>
        </w:rPr>
        <w:t>The Application for leave to refer the matter directly to the Tribunal is refused;</w:t>
      </w:r>
      <w:r>
        <w:rPr>
          <w:spacing w:val="-28"/>
          <w:sz w:val="24"/>
        </w:rPr>
        <w:t> </w:t>
      </w:r>
      <w:r>
        <w:rPr>
          <w:sz w:val="24"/>
        </w:rPr>
        <w:t>and</w:t>
      </w:r>
    </w:p>
    <w:p>
      <w:pPr>
        <w:pStyle w:val="BodyText"/>
        <w:spacing w:before="10"/>
        <w:rPr>
          <w:sz w:val="31"/>
        </w:rPr>
      </w:pPr>
    </w:p>
    <w:p>
      <w:pPr>
        <w:pStyle w:val="ListParagraph"/>
        <w:numPr>
          <w:ilvl w:val="1"/>
          <w:numId w:val="1"/>
        </w:numPr>
        <w:tabs>
          <w:tab w:pos="832" w:val="left" w:leader="none"/>
          <w:tab w:pos="833" w:val="left" w:leader="none"/>
        </w:tabs>
        <w:spacing w:line="240" w:lineRule="auto" w:before="1" w:after="0"/>
        <w:ind w:left="832" w:right="0" w:hanging="721"/>
        <w:jc w:val="left"/>
        <w:rPr>
          <w:sz w:val="24"/>
        </w:rPr>
      </w:pPr>
      <w:r>
        <w:rPr>
          <w:sz w:val="24"/>
        </w:rPr>
        <w:t>There is no costs</w:t>
      </w:r>
      <w:r>
        <w:rPr>
          <w:spacing w:val="-3"/>
          <w:sz w:val="24"/>
        </w:rPr>
        <w:t> </w:t>
      </w:r>
      <w:r>
        <w:rPr>
          <w:sz w:val="24"/>
        </w:rPr>
        <w:t>order.</w:t>
      </w:r>
    </w:p>
    <w:p>
      <w:pPr>
        <w:pStyle w:val="BodyText"/>
        <w:rPr>
          <w:sz w:val="28"/>
        </w:rPr>
      </w:pPr>
    </w:p>
    <w:p>
      <w:pPr>
        <w:pStyle w:val="BodyText"/>
        <w:rPr>
          <w:sz w:val="28"/>
        </w:rPr>
      </w:pPr>
    </w:p>
    <w:p>
      <w:pPr>
        <w:pStyle w:val="BodyText"/>
        <w:spacing w:before="8"/>
        <w:rPr>
          <w:sz w:val="31"/>
        </w:rPr>
      </w:pPr>
    </w:p>
    <w:p>
      <w:pPr>
        <w:pStyle w:val="BodyText"/>
        <w:spacing w:before="1"/>
        <w:ind w:left="112"/>
      </w:pPr>
      <w:r>
        <w:rPr/>
        <w:t>DATED AT CENTURION ON 22 DECEMBER 2022</w:t>
      </w:r>
    </w:p>
    <w:p>
      <w:pPr>
        <w:pStyle w:val="BodyText"/>
        <w:rPr>
          <w:sz w:val="20"/>
        </w:rPr>
      </w:pPr>
    </w:p>
    <w:p>
      <w:pPr>
        <w:pStyle w:val="BodyText"/>
        <w:rPr>
          <w:sz w:val="20"/>
        </w:rPr>
      </w:pPr>
    </w:p>
    <w:p>
      <w:pPr>
        <w:pStyle w:val="BodyText"/>
        <w:spacing w:before="9"/>
        <w:rPr>
          <w:sz w:val="26"/>
        </w:rPr>
      </w:pPr>
      <w:r>
        <w:rPr/>
        <w:pict>
          <v:shape style="position:absolute;margin-left:56.639999pt;margin-top:18.492266pt;width:144pt;height:.1pt;mso-position-horizontal-relative:page;mso-position-vertical-relative:paragraph;z-index:-251655168;mso-wrap-distance-left:0;mso-wrap-distance-right:0" coordorigin="1133,370" coordsize="2880,0" path="m1133,370l4013,370e" filled="false" stroked="true" strokeweight=".72pt" strokecolor="#000000">
            <v:path arrowok="t"/>
            <v:stroke dashstyle="solid"/>
            <w10:wrap type="topAndBottom"/>
          </v:shape>
        </w:pict>
      </w:r>
    </w:p>
    <w:p>
      <w:pPr>
        <w:spacing w:line="237" w:lineRule="auto" w:before="64"/>
        <w:ind w:left="112" w:right="0" w:hanging="1"/>
        <w:jc w:val="left"/>
        <w:rPr>
          <w:sz w:val="20"/>
        </w:rPr>
      </w:pPr>
      <w:bookmarkStart w:name="_bookmark1" w:id="2"/>
      <w:bookmarkEnd w:id="2"/>
      <w:r>
        <w:rPr/>
      </w:r>
      <w:r>
        <w:rPr>
          <w:position w:val="7"/>
          <w:sz w:val="13"/>
        </w:rPr>
        <w:t>2</w:t>
      </w:r>
      <w:r>
        <w:rPr>
          <w:spacing w:val="13"/>
          <w:position w:val="7"/>
          <w:sz w:val="13"/>
        </w:rPr>
        <w:t> </w:t>
      </w:r>
      <w:r>
        <w:rPr>
          <w:i/>
          <w:sz w:val="21"/>
        </w:rPr>
        <w:t>FirstRand</w:t>
      </w:r>
      <w:r>
        <w:rPr>
          <w:i/>
          <w:spacing w:val="-11"/>
          <w:sz w:val="21"/>
        </w:rPr>
        <w:t> </w:t>
      </w:r>
      <w:r>
        <w:rPr>
          <w:i/>
          <w:sz w:val="21"/>
        </w:rPr>
        <w:t>Bank</w:t>
      </w:r>
      <w:r>
        <w:rPr>
          <w:i/>
          <w:spacing w:val="-14"/>
          <w:sz w:val="21"/>
        </w:rPr>
        <w:t> </w:t>
      </w:r>
      <w:r>
        <w:rPr>
          <w:i/>
          <w:sz w:val="21"/>
        </w:rPr>
        <w:t>Ltd</w:t>
      </w:r>
      <w:r>
        <w:rPr>
          <w:i/>
          <w:spacing w:val="-10"/>
          <w:sz w:val="21"/>
        </w:rPr>
        <w:t> </w:t>
      </w:r>
      <w:r>
        <w:rPr>
          <w:i/>
          <w:sz w:val="21"/>
        </w:rPr>
        <w:t>v</w:t>
      </w:r>
      <w:r>
        <w:rPr>
          <w:i/>
          <w:spacing w:val="-13"/>
          <w:sz w:val="21"/>
        </w:rPr>
        <w:t> </w:t>
      </w:r>
      <w:r>
        <w:rPr>
          <w:i/>
          <w:sz w:val="21"/>
        </w:rPr>
        <w:t>A</w:t>
      </w:r>
      <w:r>
        <w:rPr>
          <w:i/>
          <w:spacing w:val="-12"/>
          <w:sz w:val="21"/>
        </w:rPr>
        <w:t> </w:t>
      </w:r>
      <w:r>
        <w:rPr>
          <w:i/>
          <w:sz w:val="21"/>
        </w:rPr>
        <w:t>Ludick</w:t>
      </w:r>
      <w:r>
        <w:rPr>
          <w:i/>
          <w:spacing w:val="-13"/>
          <w:sz w:val="21"/>
        </w:rPr>
        <w:t> </w:t>
      </w:r>
      <w:r>
        <w:rPr>
          <w:sz w:val="20"/>
        </w:rPr>
        <w:t>A277/2019</w:t>
      </w:r>
      <w:r>
        <w:rPr>
          <w:spacing w:val="-8"/>
          <w:sz w:val="20"/>
        </w:rPr>
        <w:t> </w:t>
      </w:r>
      <w:r>
        <w:rPr>
          <w:sz w:val="20"/>
        </w:rPr>
        <w:t>High</w:t>
      </w:r>
      <w:r>
        <w:rPr>
          <w:spacing w:val="-9"/>
          <w:sz w:val="20"/>
        </w:rPr>
        <w:t> </w:t>
      </w:r>
      <w:r>
        <w:rPr>
          <w:sz w:val="20"/>
        </w:rPr>
        <w:t>Court</w:t>
      </w:r>
      <w:r>
        <w:rPr>
          <w:spacing w:val="-7"/>
          <w:sz w:val="20"/>
        </w:rPr>
        <w:t> </w:t>
      </w:r>
      <w:r>
        <w:rPr>
          <w:sz w:val="20"/>
        </w:rPr>
        <w:t>of</w:t>
      </w:r>
      <w:r>
        <w:rPr>
          <w:spacing w:val="-10"/>
          <w:sz w:val="20"/>
        </w:rPr>
        <w:t> </w:t>
      </w:r>
      <w:r>
        <w:rPr>
          <w:sz w:val="20"/>
        </w:rPr>
        <w:t>South</w:t>
      </w:r>
      <w:r>
        <w:rPr>
          <w:spacing w:val="-10"/>
          <w:sz w:val="20"/>
        </w:rPr>
        <w:t> </w:t>
      </w:r>
      <w:r>
        <w:rPr>
          <w:sz w:val="20"/>
        </w:rPr>
        <w:t>Africa,</w:t>
      </w:r>
      <w:r>
        <w:rPr>
          <w:spacing w:val="-7"/>
          <w:sz w:val="20"/>
        </w:rPr>
        <w:t> </w:t>
      </w:r>
      <w:r>
        <w:rPr>
          <w:sz w:val="20"/>
        </w:rPr>
        <w:t>Gauteng,</w:t>
      </w:r>
      <w:r>
        <w:rPr>
          <w:spacing w:val="-9"/>
          <w:sz w:val="20"/>
        </w:rPr>
        <w:t> </w:t>
      </w:r>
      <w:r>
        <w:rPr>
          <w:sz w:val="20"/>
        </w:rPr>
        <w:t>Pretoria</w:t>
      </w:r>
      <w:r>
        <w:rPr>
          <w:spacing w:val="-9"/>
          <w:sz w:val="20"/>
        </w:rPr>
        <w:t> </w:t>
      </w:r>
      <w:r>
        <w:rPr>
          <w:sz w:val="20"/>
        </w:rPr>
        <w:t>Division,</w:t>
      </w:r>
      <w:r>
        <w:rPr>
          <w:spacing w:val="-7"/>
          <w:sz w:val="20"/>
        </w:rPr>
        <w:t> </w:t>
      </w:r>
      <w:r>
        <w:rPr>
          <w:sz w:val="20"/>
        </w:rPr>
        <w:t>18</w:t>
      </w:r>
      <w:r>
        <w:rPr>
          <w:spacing w:val="-9"/>
          <w:sz w:val="20"/>
        </w:rPr>
        <w:t> </w:t>
      </w:r>
      <w:r>
        <w:rPr>
          <w:sz w:val="20"/>
        </w:rPr>
        <w:t>June 2020</w:t>
      </w:r>
      <w:r>
        <w:rPr>
          <w:spacing w:val="-2"/>
          <w:sz w:val="20"/>
        </w:rPr>
        <w:t> </w:t>
      </w:r>
      <w:r>
        <w:rPr>
          <w:sz w:val="20"/>
        </w:rPr>
        <w:t>(unreported).</w:t>
      </w:r>
    </w:p>
    <w:p>
      <w:pPr>
        <w:spacing w:after="0" w:line="237" w:lineRule="auto"/>
        <w:jc w:val="left"/>
        <w:rPr>
          <w:sz w:val="20"/>
        </w:rPr>
        <w:sectPr>
          <w:pgSz w:w="11910" w:h="16840"/>
          <w:pgMar w:header="282" w:footer="406" w:top="1020" w:bottom="600" w:left="1020" w:right="1020"/>
        </w:sectPr>
      </w:pPr>
    </w:p>
    <w:p>
      <w:pPr>
        <w:pStyle w:val="BodyText"/>
        <w:rPr>
          <w:sz w:val="20"/>
        </w:rPr>
      </w:pPr>
    </w:p>
    <w:p>
      <w:pPr>
        <w:pStyle w:val="BodyText"/>
        <w:spacing w:before="1"/>
        <w:rPr>
          <w:sz w:val="15"/>
        </w:rPr>
      </w:pPr>
    </w:p>
    <w:p>
      <w:pPr>
        <w:pStyle w:val="Heading2"/>
        <w:spacing w:before="101"/>
      </w:pPr>
      <w:r>
        <w:rPr/>
        <w:t>CJ NTSOANE</w:t>
      </w:r>
    </w:p>
    <w:p>
      <w:pPr>
        <w:spacing w:before="144"/>
        <w:ind w:left="112" w:right="0" w:firstLine="0"/>
        <w:jc w:val="left"/>
        <w:rPr>
          <w:b/>
          <w:sz w:val="24"/>
        </w:rPr>
      </w:pPr>
      <w:r>
        <w:rPr>
          <w:b/>
          <w:sz w:val="24"/>
        </w:rPr>
        <w:t>Presiding Member</w:t>
      </w:r>
    </w:p>
    <w:p>
      <w:pPr>
        <w:pStyle w:val="BodyText"/>
        <w:rPr>
          <w:b/>
          <w:sz w:val="28"/>
        </w:rPr>
      </w:pPr>
    </w:p>
    <w:p>
      <w:pPr>
        <w:pStyle w:val="BodyText"/>
        <w:spacing w:before="241"/>
        <w:ind w:left="112"/>
      </w:pPr>
      <w:r>
        <w:rPr/>
        <w:t>Members Mr A Potwana and Ms N Maseti concurring.</w:t>
      </w:r>
    </w:p>
    <w:p>
      <w:pPr>
        <w:pStyle w:val="BodyText"/>
        <w:rPr>
          <w:sz w:val="20"/>
        </w:rPr>
      </w:pPr>
    </w:p>
    <w:p>
      <w:pPr>
        <w:pStyle w:val="BodyText"/>
        <w:spacing w:before="11"/>
        <w:rPr>
          <w:sz w:val="14"/>
        </w:rPr>
      </w:pPr>
      <w:r>
        <w:rPr/>
        <w:drawing>
          <wp:anchor distT="0" distB="0" distL="0" distR="0" allowOverlap="1" layoutInCell="1" locked="0" behindDoc="0" simplePos="0" relativeHeight="4">
            <wp:simplePos x="0" y="0"/>
            <wp:positionH relativeFrom="page">
              <wp:posOffset>795668</wp:posOffset>
            </wp:positionH>
            <wp:positionV relativeFrom="paragraph">
              <wp:posOffset>139138</wp:posOffset>
            </wp:positionV>
            <wp:extent cx="3371408" cy="17430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71408" cy="1743075"/>
                    </a:xfrm>
                    <a:prstGeom prst="rect">
                      <a:avLst/>
                    </a:prstGeom>
                  </pic:spPr>
                </pic:pic>
              </a:graphicData>
            </a:graphic>
          </wp:anchor>
        </w:drawing>
      </w:r>
    </w:p>
    <w:sectPr>
      <w:pgSz w:w="11910" w:h="16840"/>
      <w:pgMar w:header="282" w:footer="406" w:top="1020" w:bottom="6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77.640015pt;margin-top:806.580078pt;width:39.75pt;height:12.35pt;mso-position-horizontal-relative:page;mso-position-vertical-relative:page;z-index:-251819008"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4</w:t>
                </w:r>
                <w:r>
                  <w:rPr/>
                  <w:fldChar w:fldCharType="end"/>
                </w:r>
                <w:r>
                  <w:rPr>
                    <w:rFonts w:ascii="Arial Narrow"/>
                    <w:b/>
                    <w:sz w:val="18"/>
                  </w:rPr>
                  <w:t> </w:t>
                </w:r>
                <w:r>
                  <w:rPr>
                    <w:rFonts w:ascii="Arial Narrow"/>
                    <w:sz w:val="18"/>
                  </w:rPr>
                  <w:t>of </w:t>
                </w:r>
                <w:r>
                  <w:rPr>
                    <w:rFonts w:ascii="Arial Narrow"/>
                    <w:b/>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6.880356pt;margin-top:13.078186pt;width:342.85pt;height:20.5pt;mso-position-horizontal-relative:page;mso-position-vertical-relative:page;z-index:-251820032" type="#_x0000_t202" filled="false" stroked="false">
          <v:textbox inset="0,0,0,0">
            <w:txbxContent>
              <w:p>
                <w:pPr>
                  <w:spacing w:before="20"/>
                  <w:ind w:left="20" w:right="3" w:firstLine="6237"/>
                  <w:jc w:val="left"/>
                  <w:rPr>
                    <w:rFonts w:ascii="Arial Narrow"/>
                    <w:sz w:val="16"/>
                  </w:rPr>
                </w:pPr>
                <w:r>
                  <w:rPr>
                    <w:rFonts w:ascii="Arial Narrow"/>
                    <w:sz w:val="16"/>
                  </w:rPr>
                  <w:t>Judgment Cornelis Hendrick van Staden vs Experian (PTY) LTD &amp; First National Bank (PTY) LTD NCT/226905/2022/141 (1) (b)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74" w:hanging="567"/>
        <w:jc w:val="left"/>
      </w:pPr>
      <w:rPr>
        <w:rFonts w:hint="default" w:ascii="Tahoma" w:hAnsi="Tahoma" w:eastAsia="Tahoma" w:cs="Tahoma"/>
        <w:spacing w:val="-14"/>
        <w:w w:val="100"/>
        <w:sz w:val="24"/>
        <w:szCs w:val="24"/>
        <w:lang w:val="en-za" w:eastAsia="en-za" w:bidi="en-za"/>
      </w:rPr>
    </w:lvl>
    <w:lvl w:ilvl="1">
      <w:start w:val="1"/>
      <w:numFmt w:val="decimal"/>
      <w:lvlText w:val="%1.%2"/>
      <w:lvlJc w:val="left"/>
      <w:pPr>
        <w:ind w:left="832" w:hanging="720"/>
        <w:jc w:val="left"/>
      </w:pPr>
      <w:rPr>
        <w:rFonts w:hint="default" w:ascii="Tahoma" w:hAnsi="Tahoma" w:eastAsia="Tahoma" w:cs="Tahoma"/>
        <w:spacing w:val="-2"/>
        <w:w w:val="100"/>
        <w:sz w:val="24"/>
        <w:szCs w:val="24"/>
        <w:lang w:val="en-za" w:eastAsia="en-za" w:bidi="en-za"/>
      </w:rPr>
    </w:lvl>
    <w:lvl w:ilvl="2">
      <w:start w:val="0"/>
      <w:numFmt w:val="bullet"/>
      <w:lvlText w:val="•"/>
      <w:lvlJc w:val="left"/>
      <w:pPr>
        <w:ind w:left="1842" w:hanging="720"/>
      </w:pPr>
      <w:rPr>
        <w:rFonts w:hint="default"/>
        <w:lang w:val="en-za" w:eastAsia="en-za" w:bidi="en-za"/>
      </w:rPr>
    </w:lvl>
    <w:lvl w:ilvl="3">
      <w:start w:val="0"/>
      <w:numFmt w:val="bullet"/>
      <w:lvlText w:val="•"/>
      <w:lvlJc w:val="left"/>
      <w:pPr>
        <w:ind w:left="2845" w:hanging="720"/>
      </w:pPr>
      <w:rPr>
        <w:rFonts w:hint="default"/>
        <w:lang w:val="en-za" w:eastAsia="en-za" w:bidi="en-za"/>
      </w:rPr>
    </w:lvl>
    <w:lvl w:ilvl="4">
      <w:start w:val="0"/>
      <w:numFmt w:val="bullet"/>
      <w:lvlText w:val="•"/>
      <w:lvlJc w:val="left"/>
      <w:pPr>
        <w:ind w:left="3848" w:hanging="720"/>
      </w:pPr>
      <w:rPr>
        <w:rFonts w:hint="default"/>
        <w:lang w:val="en-za" w:eastAsia="en-za" w:bidi="en-za"/>
      </w:rPr>
    </w:lvl>
    <w:lvl w:ilvl="5">
      <w:start w:val="0"/>
      <w:numFmt w:val="bullet"/>
      <w:lvlText w:val="•"/>
      <w:lvlJc w:val="left"/>
      <w:pPr>
        <w:ind w:left="4851" w:hanging="720"/>
      </w:pPr>
      <w:rPr>
        <w:rFonts w:hint="default"/>
        <w:lang w:val="en-za" w:eastAsia="en-za" w:bidi="en-za"/>
      </w:rPr>
    </w:lvl>
    <w:lvl w:ilvl="6">
      <w:start w:val="0"/>
      <w:numFmt w:val="bullet"/>
      <w:lvlText w:val="•"/>
      <w:lvlJc w:val="left"/>
      <w:pPr>
        <w:ind w:left="5854" w:hanging="720"/>
      </w:pPr>
      <w:rPr>
        <w:rFonts w:hint="default"/>
        <w:lang w:val="en-za" w:eastAsia="en-za" w:bidi="en-za"/>
      </w:rPr>
    </w:lvl>
    <w:lvl w:ilvl="7">
      <w:start w:val="0"/>
      <w:numFmt w:val="bullet"/>
      <w:lvlText w:val="•"/>
      <w:lvlJc w:val="left"/>
      <w:pPr>
        <w:ind w:left="6857" w:hanging="720"/>
      </w:pPr>
      <w:rPr>
        <w:rFonts w:hint="default"/>
        <w:lang w:val="en-za" w:eastAsia="en-za" w:bidi="en-za"/>
      </w:rPr>
    </w:lvl>
    <w:lvl w:ilvl="8">
      <w:start w:val="0"/>
      <w:numFmt w:val="bullet"/>
      <w:lvlText w:val="•"/>
      <w:lvlJc w:val="left"/>
      <w:pPr>
        <w:ind w:left="7860" w:hanging="720"/>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za" w:eastAsia="en-za" w:bidi="en-za"/>
    </w:rPr>
  </w:style>
  <w:style w:styleId="BodyText" w:type="paragraph">
    <w:name w:val="Body Text"/>
    <w:basedOn w:val="Normal"/>
    <w:uiPriority w:val="1"/>
    <w:qFormat/>
    <w:pPr/>
    <w:rPr>
      <w:rFonts w:ascii="Tahoma" w:hAnsi="Tahoma" w:eastAsia="Tahoma" w:cs="Tahoma"/>
      <w:sz w:val="24"/>
      <w:szCs w:val="24"/>
      <w:lang w:val="en-za" w:eastAsia="en-za" w:bidi="en-za"/>
    </w:rPr>
  </w:style>
  <w:style w:styleId="Heading1" w:type="paragraph">
    <w:name w:val="Heading 1"/>
    <w:basedOn w:val="Normal"/>
    <w:uiPriority w:val="1"/>
    <w:qFormat/>
    <w:pPr>
      <w:ind w:left="678"/>
      <w:jc w:val="both"/>
      <w:outlineLvl w:val="1"/>
    </w:pPr>
    <w:rPr>
      <w:rFonts w:ascii="Tahoma" w:hAnsi="Tahoma" w:eastAsia="Tahoma" w:cs="Tahoma"/>
      <w:i/>
      <w:sz w:val="25"/>
      <w:szCs w:val="25"/>
      <w:lang w:val="en-za" w:eastAsia="en-za" w:bidi="en-za"/>
    </w:rPr>
  </w:style>
  <w:style w:styleId="Heading2" w:type="paragraph">
    <w:name w:val="Heading 2"/>
    <w:basedOn w:val="Normal"/>
    <w:uiPriority w:val="1"/>
    <w:qFormat/>
    <w:pPr>
      <w:spacing w:before="240"/>
      <w:ind w:left="112"/>
      <w:outlineLvl w:val="2"/>
    </w:pPr>
    <w:rPr>
      <w:rFonts w:ascii="Tahoma" w:hAnsi="Tahoma" w:eastAsia="Tahoma" w:cs="Tahoma"/>
      <w:b/>
      <w:bCs/>
      <w:sz w:val="24"/>
      <w:szCs w:val="24"/>
      <w:lang w:val="en-za" w:eastAsia="en-za" w:bidi="en-za"/>
    </w:rPr>
  </w:style>
  <w:style w:styleId="ListParagraph" w:type="paragraph">
    <w:name w:val="List Paragraph"/>
    <w:basedOn w:val="Normal"/>
    <w:uiPriority w:val="1"/>
    <w:qFormat/>
    <w:pPr>
      <w:ind w:left="679" w:hanging="567"/>
      <w:jc w:val="both"/>
    </w:pPr>
    <w:rPr>
      <w:rFonts w:ascii="Tahoma" w:hAnsi="Tahoma" w:eastAsia="Tahoma" w:cs="Tahoma"/>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Burger</dc:creator>
  <dcterms:created xsi:type="dcterms:W3CDTF">2023-04-13T07:19:45Z</dcterms:created>
  <dcterms:modified xsi:type="dcterms:W3CDTF">2023-04-13T07:19:45Z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17 for Word</vt:lpwstr>
  </property>
  <property fmtid="{D5CDD505-2E9C-101B-9397-08002B2CF9AE}" pid="4" name="LastSaved">
    <vt:filetime>2023-04-13T00:00:00Z</vt:filetime>
  </property>
</Properties>
</file>