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482" w:lineRule="auto" w:before="82"/>
        <w:ind w:left="3607" w:right="2626" w:hanging="982"/>
      </w:pPr>
      <w:r>
        <w:rPr/>
        <w:t>IN THE NATIONAL CONSUMER TRIBUNAL HELD IN CENTURION</w:t>
      </w:r>
    </w:p>
    <w:p>
      <w:pPr>
        <w:pStyle w:val="BodyText"/>
        <w:rPr>
          <w:b/>
          <w:sz w:val="28"/>
        </w:rPr>
      </w:pPr>
    </w:p>
    <w:p>
      <w:pPr>
        <w:spacing w:before="238"/>
        <w:ind w:left="5463" w:right="0" w:firstLine="0"/>
        <w:jc w:val="left"/>
        <w:rPr>
          <w:b/>
          <w:sz w:val="24"/>
        </w:rPr>
      </w:pPr>
      <w:r>
        <w:rPr>
          <w:sz w:val="24"/>
        </w:rPr>
        <w:t>Case number: </w:t>
      </w:r>
      <w:r>
        <w:rPr>
          <w:b/>
          <w:sz w:val="24"/>
        </w:rPr>
        <w:t>NCT/178924/2021/75(1)(b)</w:t>
      </w:r>
    </w:p>
    <w:p>
      <w:pPr>
        <w:pStyle w:val="BodyText"/>
        <w:spacing w:before="9"/>
        <w:rPr>
          <w:b/>
          <w:sz w:val="15"/>
        </w:rPr>
      </w:pPr>
    </w:p>
    <w:p>
      <w:pPr>
        <w:pStyle w:val="BodyText"/>
        <w:spacing w:before="100"/>
        <w:ind w:left="100"/>
      </w:pPr>
      <w:r>
        <w:rPr/>
        <w:t>In the matter between:</w:t>
      </w:r>
    </w:p>
    <w:p>
      <w:pPr>
        <w:pStyle w:val="BodyText"/>
        <w:spacing w:before="2"/>
        <w:rPr>
          <w:sz w:val="36"/>
        </w:rPr>
      </w:pPr>
    </w:p>
    <w:p>
      <w:pPr>
        <w:pStyle w:val="Heading1"/>
        <w:tabs>
          <w:tab w:pos="7952" w:val="left" w:leader="none"/>
        </w:tabs>
        <w:spacing w:before="1"/>
      </w:pPr>
      <w:r>
        <w:rPr/>
        <w:t>ARVIN</w:t>
      </w:r>
      <w:r>
        <w:rPr>
          <w:spacing w:val="-3"/>
        </w:rPr>
        <w:t> </w:t>
      </w:r>
      <w:r>
        <w:rPr/>
        <w:t>SAHADEO</w:t>
        <w:tab/>
        <w:t>APPLICANT</w:t>
      </w:r>
    </w:p>
    <w:p>
      <w:pPr>
        <w:pStyle w:val="BodyText"/>
        <w:spacing w:before="5"/>
        <w:rPr>
          <w:b/>
          <w:sz w:val="36"/>
        </w:rPr>
      </w:pPr>
    </w:p>
    <w:p>
      <w:pPr>
        <w:pStyle w:val="BodyText"/>
        <w:ind w:left="100"/>
      </w:pPr>
      <w:r>
        <w:rPr/>
        <w:t>And</w:t>
      </w:r>
    </w:p>
    <w:p>
      <w:pPr>
        <w:pStyle w:val="BodyText"/>
        <w:spacing w:before="5"/>
        <w:rPr>
          <w:sz w:val="36"/>
        </w:rPr>
      </w:pPr>
    </w:p>
    <w:p>
      <w:pPr>
        <w:pStyle w:val="Heading1"/>
        <w:tabs>
          <w:tab w:pos="7740" w:val="left" w:leader="none"/>
        </w:tabs>
        <w:spacing w:line="482" w:lineRule="auto" w:before="1"/>
        <w:ind w:right="136"/>
      </w:pPr>
      <w:r>
        <w:rPr/>
        <w:t>HYUNDAI AUTOMOTIVE SOUTH AFRICA (PTY)</w:t>
      </w:r>
      <w:r>
        <w:rPr>
          <w:spacing w:val="-9"/>
        </w:rPr>
        <w:t> </w:t>
      </w:r>
      <w:r>
        <w:rPr/>
        <w:t>LTD T/A</w:t>
        <w:tab/>
      </w:r>
      <w:r>
        <w:rPr>
          <w:spacing w:val="-3"/>
        </w:rPr>
        <w:t>RESPONDENT </w:t>
      </w:r>
      <w:r>
        <w:rPr/>
        <w:t>HYUNDAI</w:t>
      </w:r>
      <w:r>
        <w:rPr>
          <w:spacing w:val="-1"/>
        </w:rPr>
        <w:t> </w:t>
      </w:r>
      <w:r>
        <w:rPr/>
        <w:t>ETHEKWINI</w:t>
      </w:r>
    </w:p>
    <w:p>
      <w:pPr>
        <w:pStyle w:val="BodyText"/>
        <w:spacing w:before="4"/>
        <w:ind w:left="100"/>
      </w:pPr>
      <w:r>
        <w:rPr>
          <w:u w:val="single"/>
        </w:rPr>
        <w:t>Coram</w:t>
      </w:r>
    </w:p>
    <w:p>
      <w:pPr>
        <w:pStyle w:val="BodyText"/>
        <w:spacing w:before="8"/>
        <w:rPr>
          <w:sz w:val="27"/>
        </w:rPr>
      </w:pPr>
    </w:p>
    <w:p>
      <w:pPr>
        <w:pStyle w:val="BodyText"/>
        <w:tabs>
          <w:tab w:pos="1722" w:val="left" w:leader="none"/>
          <w:tab w:pos="2049" w:val="left" w:leader="none"/>
        </w:tabs>
        <w:spacing w:line="360" w:lineRule="auto" w:before="100"/>
        <w:ind w:left="100" w:right="4931"/>
      </w:pPr>
      <w:r>
        <w:rPr/>
        <w:t>Ms. P</w:t>
      </w:r>
      <w:r>
        <w:rPr>
          <w:spacing w:val="-2"/>
        </w:rPr>
        <w:t> </w:t>
      </w:r>
      <w:r>
        <w:rPr/>
        <w:t>A</w:t>
      </w:r>
      <w:r>
        <w:rPr>
          <w:spacing w:val="-1"/>
        </w:rPr>
        <w:t> </w:t>
      </w:r>
      <w:r>
        <w:rPr/>
        <w:t>Beck</w:t>
        <w:tab/>
        <w:t>- Presiding Tribunal Member Ms. D</w:t>
      </w:r>
      <w:r>
        <w:rPr>
          <w:spacing w:val="-2"/>
        </w:rPr>
        <w:t> </w:t>
      </w:r>
      <w:r>
        <w:rPr/>
        <w:t>Terblanche  -</w:t>
        <w:tab/>
        <w:t>Tribunal</w:t>
      </w:r>
      <w:r>
        <w:rPr>
          <w:spacing w:val="-1"/>
        </w:rPr>
        <w:t> </w:t>
      </w:r>
      <w:r>
        <w:rPr/>
        <w:t>Member</w:t>
      </w:r>
    </w:p>
    <w:p>
      <w:pPr>
        <w:pStyle w:val="BodyText"/>
        <w:tabs>
          <w:tab w:pos="1777" w:val="left" w:leader="none"/>
        </w:tabs>
        <w:spacing w:line="275" w:lineRule="exact"/>
        <w:ind w:left="100"/>
      </w:pPr>
      <w:r>
        <w:rPr/>
        <w:t>Mr.</w:t>
      </w:r>
      <w:r>
        <w:rPr>
          <w:spacing w:val="-1"/>
        </w:rPr>
        <w:t> </w:t>
      </w:r>
      <w:r>
        <w:rPr/>
        <w:t>F</w:t>
      </w:r>
      <w:r>
        <w:rPr>
          <w:spacing w:val="-1"/>
        </w:rPr>
        <w:t> </w:t>
      </w:r>
      <w:r>
        <w:rPr/>
        <w:t>Sibanda</w:t>
        <w:tab/>
        <w:t>-   Tribunal</w:t>
      </w:r>
      <w:r>
        <w:rPr>
          <w:spacing w:val="-9"/>
        </w:rPr>
        <w:t> </w:t>
      </w:r>
      <w:r>
        <w:rPr/>
        <w:t>Member</w:t>
      </w:r>
    </w:p>
    <w:p>
      <w:pPr>
        <w:pStyle w:val="BodyText"/>
        <w:rPr>
          <w:sz w:val="28"/>
        </w:rPr>
      </w:pPr>
    </w:p>
    <w:p>
      <w:pPr>
        <w:pStyle w:val="BodyText"/>
        <w:tabs>
          <w:tab w:pos="1761" w:val="left" w:leader="none"/>
        </w:tabs>
        <w:spacing w:line="360" w:lineRule="auto" w:before="229"/>
        <w:ind w:left="100" w:right="5782"/>
      </w:pPr>
      <w:r>
        <w:rPr/>
        <w:t>Date</w:t>
      </w:r>
      <w:r>
        <w:rPr>
          <w:spacing w:val="-1"/>
        </w:rPr>
        <w:t> </w:t>
      </w:r>
      <w:r>
        <w:rPr/>
        <w:t>of</w:t>
      </w:r>
      <w:r>
        <w:rPr>
          <w:spacing w:val="-1"/>
        </w:rPr>
        <w:t> </w:t>
      </w:r>
      <w:r>
        <w:rPr/>
        <w:t>Hearing</w:t>
        <w:tab/>
        <w:t>- 24 October 2022 Date of Judgment  -   28 October</w:t>
      </w:r>
      <w:r>
        <w:rPr>
          <w:spacing w:val="-12"/>
        </w:rPr>
        <w:t> </w:t>
      </w:r>
      <w:r>
        <w:rPr/>
        <w:t>2022</w:t>
      </w:r>
    </w:p>
    <w:p>
      <w:pPr>
        <w:pStyle w:val="BodyText"/>
        <w:rPr>
          <w:sz w:val="20"/>
        </w:rPr>
      </w:pPr>
    </w:p>
    <w:p>
      <w:pPr>
        <w:pStyle w:val="BodyText"/>
        <w:spacing w:before="2"/>
        <w:rPr>
          <w:sz w:val="22"/>
        </w:rPr>
      </w:pPr>
      <w:r>
        <w:rPr/>
        <w:pict>
          <v:shape style="position:absolute;margin-left:72.024002pt;margin-top:15.014099pt;width:448.2pt;height:.1pt;mso-position-horizontal-relative:page;mso-position-vertical-relative:paragraph;z-index:-251658240;mso-wrap-distance-left:0;mso-wrap-distance-right:0" coordorigin="1440,300" coordsize="8964,0" path="m1440,300l10404,300e" filled="false" stroked="true" strokeweight=".6pt" strokecolor="#000000">
            <v:path arrowok="t"/>
            <v:stroke dashstyle="solid"/>
            <w10:wrap type="topAndBottom"/>
          </v:shape>
        </w:pict>
      </w:r>
    </w:p>
    <w:p>
      <w:pPr>
        <w:pStyle w:val="BodyText"/>
        <w:rPr>
          <w:sz w:val="27"/>
        </w:rPr>
      </w:pPr>
    </w:p>
    <w:p>
      <w:pPr>
        <w:pStyle w:val="Heading1"/>
        <w:spacing w:before="100"/>
        <w:ind w:left="2981"/>
      </w:pPr>
      <w:r>
        <w:rPr/>
        <w:t>JUDGMENT AND REASONS</w:t>
      </w:r>
    </w:p>
    <w:p>
      <w:pPr>
        <w:pStyle w:val="BodyText"/>
        <w:rPr>
          <w:b/>
          <w:sz w:val="20"/>
        </w:rPr>
      </w:pPr>
    </w:p>
    <w:p>
      <w:pPr>
        <w:pStyle w:val="BodyText"/>
        <w:rPr>
          <w:b/>
          <w:sz w:val="20"/>
        </w:rPr>
      </w:pPr>
    </w:p>
    <w:p>
      <w:pPr>
        <w:pStyle w:val="BodyText"/>
        <w:spacing w:before="2"/>
        <w:rPr>
          <w:b/>
          <w:sz w:val="14"/>
        </w:rPr>
      </w:pPr>
      <w:r>
        <w:rPr/>
        <w:pict>
          <v:shape style="position:absolute;margin-left:72.024002pt;margin-top:10.400528pt;width:448.2pt;height:.1pt;mso-position-horizontal-relative:page;mso-position-vertical-relative:paragraph;z-index:-251657216;mso-wrap-distance-left:0;mso-wrap-distance-right:0" coordorigin="1440,208" coordsize="8964,0" path="m1440,208l10404,208e" filled="false" stroked="true" strokeweight=".6pt" strokecolor="#000000">
            <v:path arrowok="t"/>
            <v:stroke dashstyle="solid"/>
            <w10:wrap type="topAndBottom"/>
          </v:shape>
        </w:pict>
      </w:r>
    </w:p>
    <w:p>
      <w:pPr>
        <w:pStyle w:val="BodyText"/>
        <w:spacing w:before="9"/>
        <w:rPr>
          <w:b/>
          <w:sz w:val="26"/>
        </w:rPr>
      </w:pPr>
    </w:p>
    <w:p>
      <w:pPr>
        <w:spacing w:before="100"/>
        <w:ind w:left="100" w:right="0" w:firstLine="0"/>
        <w:jc w:val="left"/>
        <w:rPr>
          <w:b/>
          <w:sz w:val="24"/>
        </w:rPr>
      </w:pPr>
      <w:r>
        <w:rPr>
          <w:b/>
          <w:sz w:val="24"/>
        </w:rPr>
        <w:t>THE APPLICANT</w:t>
      </w:r>
    </w:p>
    <w:p>
      <w:pPr>
        <w:pStyle w:val="BodyText"/>
        <w:rPr>
          <w:b/>
          <w:sz w:val="28"/>
        </w:rPr>
      </w:pPr>
    </w:p>
    <w:p>
      <w:pPr>
        <w:pStyle w:val="ListParagraph"/>
        <w:numPr>
          <w:ilvl w:val="0"/>
          <w:numId w:val="1"/>
        </w:numPr>
        <w:tabs>
          <w:tab w:pos="667" w:val="left" w:leader="none"/>
        </w:tabs>
        <w:spacing w:line="360" w:lineRule="auto" w:before="232" w:after="0"/>
        <w:ind w:left="666" w:right="113" w:hanging="567"/>
        <w:jc w:val="both"/>
        <w:rPr>
          <w:sz w:val="24"/>
        </w:rPr>
      </w:pPr>
      <w:r>
        <w:rPr>
          <w:sz w:val="24"/>
        </w:rPr>
        <w:t>The Applicant in this matter is Arvin Sahadeo, a major male (“Mr Sahadeo” or “the applicant”) who resides in Durban, Kwazulu Natal. At the hearing, the applicant was represented by Advocate Jaipal, instructed by attorneys Nolan Naiker &amp;</w:t>
      </w:r>
      <w:r>
        <w:rPr>
          <w:spacing w:val="-2"/>
          <w:sz w:val="24"/>
        </w:rPr>
        <w:t> </w:t>
      </w:r>
      <w:r>
        <w:rPr>
          <w:sz w:val="24"/>
        </w:rPr>
        <w:t>Co.</w:t>
      </w:r>
    </w:p>
    <w:p>
      <w:pPr>
        <w:spacing w:after="0" w:line="360" w:lineRule="auto"/>
        <w:jc w:val="both"/>
        <w:rPr>
          <w:sz w:val="24"/>
        </w:rPr>
        <w:sectPr>
          <w:type w:val="continuous"/>
          <w:pgSz w:w="11910" w:h="16840"/>
          <w:pgMar w:top="1340" w:bottom="280" w:left="1340" w:right="1320"/>
        </w:sectPr>
      </w:pPr>
    </w:p>
    <w:p>
      <w:pPr>
        <w:pStyle w:val="BodyText"/>
        <w:spacing w:before="5"/>
        <w:rPr>
          <w:sz w:val="11"/>
        </w:rPr>
      </w:pPr>
    </w:p>
    <w:p>
      <w:pPr>
        <w:pStyle w:val="ListParagraph"/>
        <w:numPr>
          <w:ilvl w:val="0"/>
          <w:numId w:val="1"/>
        </w:numPr>
        <w:tabs>
          <w:tab w:pos="667" w:val="left" w:leader="none"/>
        </w:tabs>
        <w:spacing w:line="360" w:lineRule="auto" w:before="100" w:after="0"/>
        <w:ind w:left="666" w:right="115" w:hanging="567"/>
        <w:jc w:val="both"/>
        <w:rPr>
          <w:sz w:val="16"/>
        </w:rPr>
      </w:pPr>
      <w:r>
        <w:rPr>
          <w:sz w:val="24"/>
        </w:rPr>
        <w:t>The applicant is a consumer in terms of the definition accorded to a ‘consumer’ under the Consumer Protection Act, 2008 (“the</w:t>
      </w:r>
      <w:r>
        <w:rPr>
          <w:spacing w:val="2"/>
          <w:sz w:val="24"/>
        </w:rPr>
        <w:t> </w:t>
      </w:r>
      <w:r>
        <w:rPr>
          <w:sz w:val="24"/>
        </w:rPr>
        <w:t>CPA”).</w:t>
      </w:r>
      <w:r>
        <w:rPr>
          <w:position w:val="6"/>
          <w:sz w:val="16"/>
        </w:rPr>
        <w:t>1</w:t>
      </w:r>
    </w:p>
    <w:p>
      <w:pPr>
        <w:pStyle w:val="BodyText"/>
        <w:spacing w:before="11"/>
        <w:rPr>
          <w:sz w:val="35"/>
        </w:rPr>
      </w:pPr>
    </w:p>
    <w:p>
      <w:pPr>
        <w:pStyle w:val="Heading1"/>
      </w:pPr>
      <w:r>
        <w:rPr/>
        <w:t>THE RESPONDENT</w:t>
      </w:r>
    </w:p>
    <w:p>
      <w:pPr>
        <w:pStyle w:val="BodyText"/>
        <w:rPr>
          <w:b/>
          <w:sz w:val="28"/>
        </w:rPr>
      </w:pPr>
    </w:p>
    <w:p>
      <w:pPr>
        <w:pStyle w:val="ListParagraph"/>
        <w:numPr>
          <w:ilvl w:val="0"/>
          <w:numId w:val="1"/>
        </w:numPr>
        <w:tabs>
          <w:tab w:pos="667" w:val="left" w:leader="none"/>
        </w:tabs>
        <w:spacing w:line="360" w:lineRule="auto" w:before="229" w:after="0"/>
        <w:ind w:left="666" w:right="114" w:hanging="567"/>
        <w:jc w:val="both"/>
        <w:rPr>
          <w:sz w:val="24"/>
        </w:rPr>
      </w:pPr>
      <w:r>
        <w:rPr>
          <w:sz w:val="24"/>
        </w:rPr>
        <w:t>The Respondent is Hyundai Automotive South Africa (Pty) Ltd, trading as Hyundai Ethekwini (“the respondent”), duly incorporated under the company laws of the Republic </w:t>
      </w:r>
      <w:r>
        <w:rPr>
          <w:spacing w:val="4"/>
          <w:sz w:val="24"/>
        </w:rPr>
        <w:t>of </w:t>
      </w:r>
      <w:r>
        <w:rPr>
          <w:sz w:val="24"/>
        </w:rPr>
        <w:t>South Africa, whose principal business address is situated at 189 Anton Lembede Street, Durban KwaZulu- Natal. The respondent is a dealer and supplier of motor vehicles to members of the</w:t>
      </w:r>
      <w:r>
        <w:rPr>
          <w:spacing w:val="-36"/>
          <w:sz w:val="24"/>
        </w:rPr>
        <w:t> </w:t>
      </w:r>
      <w:r>
        <w:rPr>
          <w:sz w:val="24"/>
        </w:rPr>
        <w:t>public.</w:t>
      </w:r>
    </w:p>
    <w:p>
      <w:pPr>
        <w:pStyle w:val="BodyText"/>
        <w:spacing w:before="1"/>
        <w:rPr>
          <w:sz w:val="36"/>
        </w:rPr>
      </w:pPr>
    </w:p>
    <w:p>
      <w:pPr>
        <w:pStyle w:val="ListParagraph"/>
        <w:numPr>
          <w:ilvl w:val="0"/>
          <w:numId w:val="1"/>
        </w:numPr>
        <w:tabs>
          <w:tab w:pos="667" w:val="left" w:leader="none"/>
        </w:tabs>
        <w:spacing w:line="360" w:lineRule="auto" w:before="0" w:after="0"/>
        <w:ind w:left="666" w:right="114" w:hanging="567"/>
        <w:jc w:val="both"/>
        <w:rPr>
          <w:sz w:val="24"/>
        </w:rPr>
      </w:pPr>
      <w:r>
        <w:rPr>
          <w:sz w:val="24"/>
        </w:rPr>
        <w:t>The respondent was represented by Adv. Shaun McTurk, instructed by attorneys Remon Gerber Incorporated.</w:t>
      </w:r>
    </w:p>
    <w:p>
      <w:pPr>
        <w:pStyle w:val="BodyText"/>
        <w:spacing w:before="11"/>
        <w:rPr>
          <w:sz w:val="35"/>
        </w:rPr>
      </w:pPr>
    </w:p>
    <w:p>
      <w:pPr>
        <w:pStyle w:val="Heading1"/>
      </w:pPr>
      <w:r>
        <w:rPr/>
        <w:t>APPLICATION TYPE AND RELIEF</w:t>
      </w:r>
      <w:r>
        <w:rPr>
          <w:spacing w:val="-8"/>
        </w:rPr>
        <w:t> </w:t>
      </w:r>
      <w:r>
        <w:rPr/>
        <w:t>SOUGHT</w:t>
      </w:r>
    </w:p>
    <w:p>
      <w:pPr>
        <w:pStyle w:val="BodyText"/>
        <w:rPr>
          <w:b/>
          <w:sz w:val="28"/>
        </w:rPr>
      </w:pPr>
    </w:p>
    <w:p>
      <w:pPr>
        <w:pStyle w:val="ListParagraph"/>
        <w:numPr>
          <w:ilvl w:val="0"/>
          <w:numId w:val="1"/>
        </w:numPr>
        <w:tabs>
          <w:tab w:pos="667" w:val="left" w:leader="none"/>
        </w:tabs>
        <w:spacing w:line="360" w:lineRule="auto" w:before="231" w:after="0"/>
        <w:ind w:left="666" w:right="115" w:hanging="567"/>
        <w:jc w:val="both"/>
        <w:rPr>
          <w:sz w:val="24"/>
        </w:rPr>
      </w:pPr>
      <w:r>
        <w:rPr>
          <w:sz w:val="24"/>
        </w:rPr>
        <w:t>The applicant makes this application in terms of section 75(1)(b) of the CPA. That section provides that if the National Consumer Commission (“the NCC”) issues a notice of non-referral in response to a complaint, the complainant may refer the matter directly to the Tribunal, with the leave of the</w:t>
      </w:r>
      <w:r>
        <w:rPr>
          <w:spacing w:val="-3"/>
          <w:sz w:val="24"/>
        </w:rPr>
        <w:t> </w:t>
      </w:r>
      <w:r>
        <w:rPr>
          <w:sz w:val="24"/>
        </w:rPr>
        <w:t>Tribunal.</w:t>
      </w:r>
    </w:p>
    <w:p>
      <w:pPr>
        <w:pStyle w:val="BodyText"/>
        <w:spacing w:before="11"/>
        <w:rPr>
          <w:sz w:val="35"/>
        </w:rPr>
      </w:pPr>
    </w:p>
    <w:p>
      <w:pPr>
        <w:pStyle w:val="ListParagraph"/>
        <w:numPr>
          <w:ilvl w:val="0"/>
          <w:numId w:val="1"/>
        </w:numPr>
        <w:tabs>
          <w:tab w:pos="667" w:val="left" w:leader="none"/>
        </w:tabs>
        <w:spacing w:line="360" w:lineRule="auto" w:before="0" w:after="0"/>
        <w:ind w:left="666" w:right="115" w:hanging="567"/>
        <w:jc w:val="both"/>
        <w:rPr>
          <w:sz w:val="24"/>
        </w:rPr>
      </w:pPr>
      <w:r>
        <w:rPr>
          <w:sz w:val="24"/>
        </w:rPr>
        <w:t>The application for leave to refer the matter directly to the Tribunal was heard by a single member of the Tribunal in accordance with section 75(5)(b) of the CPA</w:t>
      </w:r>
      <w:r>
        <w:rPr>
          <w:position w:val="6"/>
          <w:sz w:val="16"/>
        </w:rPr>
        <w:t>2</w:t>
      </w:r>
      <w:r>
        <w:rPr>
          <w:sz w:val="24"/>
        </w:rPr>
        <w:t>, and on 15 December 2021, leave was duly granted to the</w:t>
      </w:r>
      <w:r>
        <w:rPr>
          <w:spacing w:val="-10"/>
          <w:sz w:val="24"/>
        </w:rPr>
        <w:t> </w:t>
      </w:r>
      <w:r>
        <w:rPr>
          <w:sz w:val="24"/>
        </w:rPr>
        <w:t>applicant.</w:t>
      </w:r>
    </w:p>
    <w:p>
      <w:pPr>
        <w:pStyle w:val="BodyText"/>
        <w:spacing w:before="1"/>
        <w:rPr>
          <w:sz w:val="36"/>
        </w:rPr>
      </w:pPr>
    </w:p>
    <w:p>
      <w:pPr>
        <w:pStyle w:val="ListParagraph"/>
        <w:numPr>
          <w:ilvl w:val="0"/>
          <w:numId w:val="1"/>
        </w:numPr>
        <w:tabs>
          <w:tab w:pos="667" w:val="left" w:leader="none"/>
        </w:tabs>
        <w:spacing w:line="360" w:lineRule="auto" w:before="0" w:after="0"/>
        <w:ind w:left="666" w:right="116" w:hanging="567"/>
        <w:jc w:val="both"/>
        <w:rPr>
          <w:i/>
          <w:sz w:val="24"/>
        </w:rPr>
      </w:pPr>
      <w:r>
        <w:rPr>
          <w:sz w:val="24"/>
        </w:rPr>
        <w:t>On 16 May 2022, the Tribunal heard the argument on the </w:t>
      </w:r>
      <w:r>
        <w:rPr>
          <w:i/>
          <w:sz w:val="24"/>
        </w:rPr>
        <w:t>points in imine </w:t>
      </w:r>
      <w:r>
        <w:rPr>
          <w:sz w:val="24"/>
        </w:rPr>
        <w:t>raised by the respondent. In a judgment dated 24 May 2022, the Tribunal dismissed the respondent’s </w:t>
      </w:r>
      <w:r>
        <w:rPr>
          <w:i/>
          <w:sz w:val="24"/>
        </w:rPr>
        <w:t>points in </w:t>
      </w:r>
      <w:r>
        <w:rPr>
          <w:i/>
          <w:sz w:val="24"/>
        </w:rPr>
        <w:t>limine.</w:t>
      </w:r>
    </w:p>
    <w:p>
      <w:pPr>
        <w:pStyle w:val="BodyText"/>
        <w:spacing w:before="11"/>
        <w:rPr>
          <w:i/>
          <w:sz w:val="35"/>
        </w:rPr>
      </w:pPr>
    </w:p>
    <w:p>
      <w:pPr>
        <w:pStyle w:val="ListParagraph"/>
        <w:numPr>
          <w:ilvl w:val="0"/>
          <w:numId w:val="1"/>
        </w:numPr>
        <w:tabs>
          <w:tab w:pos="666" w:val="left" w:leader="none"/>
          <w:tab w:pos="667" w:val="left" w:leader="none"/>
        </w:tabs>
        <w:spacing w:line="240" w:lineRule="auto" w:before="0" w:after="0"/>
        <w:ind w:left="666" w:right="0" w:hanging="567"/>
        <w:jc w:val="left"/>
        <w:rPr>
          <w:sz w:val="24"/>
        </w:rPr>
      </w:pPr>
      <w:r>
        <w:rPr>
          <w:sz w:val="24"/>
        </w:rPr>
        <w:t>This judgment concerns the merits of the</w:t>
      </w:r>
      <w:r>
        <w:rPr>
          <w:spacing w:val="-5"/>
          <w:sz w:val="24"/>
        </w:rPr>
        <w:t> </w:t>
      </w:r>
      <w:r>
        <w:rPr>
          <w:sz w:val="24"/>
        </w:rPr>
        <w:t>matter.</w:t>
      </w:r>
    </w:p>
    <w:p>
      <w:pPr>
        <w:pStyle w:val="BodyText"/>
        <w:rPr>
          <w:sz w:val="20"/>
        </w:rPr>
      </w:pPr>
    </w:p>
    <w:p>
      <w:pPr>
        <w:pStyle w:val="BodyText"/>
        <w:spacing w:before="8"/>
        <w:rPr>
          <w:sz w:val="22"/>
        </w:rPr>
      </w:pPr>
      <w:r>
        <w:rPr/>
        <w:pict>
          <v:shape style="position:absolute;margin-left:72.024002pt;margin-top:15.41141pt;width:144.050pt;height:.1pt;mso-position-horizontal-relative:page;mso-position-vertical-relative:paragraph;z-index:-251656192;mso-wrap-distance-left:0;mso-wrap-distance-right:0" coordorigin="1440,308" coordsize="2881,0" path="m1440,308l4321,308e" filled="false" stroked="true" strokeweight=".72003pt" strokecolor="#000000">
            <v:path arrowok="t"/>
            <v:stroke dashstyle="solid"/>
            <w10:wrap type="topAndBottom"/>
          </v:shape>
        </w:pict>
      </w:r>
    </w:p>
    <w:p>
      <w:pPr>
        <w:spacing w:before="68"/>
        <w:ind w:left="100" w:right="0" w:firstLine="0"/>
        <w:jc w:val="left"/>
        <w:rPr>
          <w:sz w:val="20"/>
        </w:rPr>
      </w:pPr>
      <w:r>
        <w:rPr>
          <w:position w:val="5"/>
          <w:sz w:val="13"/>
        </w:rPr>
        <w:t>1 </w:t>
      </w:r>
      <w:r>
        <w:rPr>
          <w:sz w:val="20"/>
        </w:rPr>
        <w:t>‘consumer’ in respect of any particular goods or services means-</w:t>
      </w:r>
    </w:p>
    <w:p>
      <w:pPr>
        <w:pStyle w:val="ListParagraph"/>
        <w:numPr>
          <w:ilvl w:val="0"/>
          <w:numId w:val="2"/>
        </w:numPr>
        <w:tabs>
          <w:tab w:pos="394" w:val="left" w:leader="none"/>
        </w:tabs>
        <w:spacing w:line="240" w:lineRule="auto" w:before="1" w:after="0"/>
        <w:ind w:left="393" w:right="0" w:hanging="294"/>
        <w:jc w:val="left"/>
        <w:rPr>
          <w:sz w:val="20"/>
        </w:rPr>
      </w:pPr>
      <w:r>
        <w:rPr>
          <w:sz w:val="20"/>
        </w:rPr>
        <w:t>a</w:t>
      </w:r>
      <w:r>
        <w:rPr>
          <w:spacing w:val="-3"/>
          <w:sz w:val="20"/>
        </w:rPr>
        <w:t> </w:t>
      </w:r>
      <w:r>
        <w:rPr>
          <w:sz w:val="20"/>
        </w:rPr>
        <w:t>person</w:t>
      </w:r>
      <w:r>
        <w:rPr>
          <w:spacing w:val="-2"/>
          <w:sz w:val="20"/>
        </w:rPr>
        <w:t> </w:t>
      </w:r>
      <w:r>
        <w:rPr>
          <w:sz w:val="20"/>
        </w:rPr>
        <w:t>to</w:t>
      </w:r>
      <w:r>
        <w:rPr>
          <w:spacing w:val="-2"/>
          <w:sz w:val="20"/>
        </w:rPr>
        <w:t> </w:t>
      </w:r>
      <w:r>
        <w:rPr>
          <w:sz w:val="20"/>
        </w:rPr>
        <w:t>whom</w:t>
      </w:r>
      <w:r>
        <w:rPr>
          <w:spacing w:val="-1"/>
          <w:sz w:val="20"/>
        </w:rPr>
        <w:t> </w:t>
      </w:r>
      <w:r>
        <w:rPr>
          <w:sz w:val="20"/>
        </w:rPr>
        <w:t>those</w:t>
      </w:r>
      <w:r>
        <w:rPr>
          <w:spacing w:val="-3"/>
          <w:sz w:val="20"/>
        </w:rPr>
        <w:t> </w:t>
      </w:r>
      <w:r>
        <w:rPr>
          <w:sz w:val="20"/>
        </w:rPr>
        <w:t>particular</w:t>
      </w:r>
      <w:r>
        <w:rPr>
          <w:spacing w:val="-3"/>
          <w:sz w:val="20"/>
        </w:rPr>
        <w:t> </w:t>
      </w:r>
      <w:r>
        <w:rPr>
          <w:sz w:val="20"/>
        </w:rPr>
        <w:t>goods</w:t>
      </w:r>
      <w:r>
        <w:rPr>
          <w:spacing w:val="-3"/>
          <w:sz w:val="20"/>
        </w:rPr>
        <w:t> </w:t>
      </w:r>
      <w:r>
        <w:rPr>
          <w:sz w:val="20"/>
        </w:rPr>
        <w:t>or</w:t>
      </w:r>
      <w:r>
        <w:rPr>
          <w:spacing w:val="-2"/>
          <w:sz w:val="20"/>
        </w:rPr>
        <w:t> </w:t>
      </w:r>
      <w:r>
        <w:rPr>
          <w:sz w:val="20"/>
        </w:rPr>
        <w:t>services</w:t>
      </w:r>
      <w:r>
        <w:rPr>
          <w:spacing w:val="-3"/>
          <w:sz w:val="20"/>
        </w:rPr>
        <w:t> </w:t>
      </w:r>
      <w:r>
        <w:rPr>
          <w:sz w:val="20"/>
        </w:rPr>
        <w:t>are</w:t>
      </w:r>
      <w:r>
        <w:rPr>
          <w:spacing w:val="-3"/>
          <w:sz w:val="20"/>
        </w:rPr>
        <w:t> </w:t>
      </w:r>
      <w:r>
        <w:rPr>
          <w:sz w:val="20"/>
        </w:rPr>
        <w:t>marketed</w:t>
      </w:r>
      <w:r>
        <w:rPr>
          <w:spacing w:val="-2"/>
          <w:sz w:val="20"/>
        </w:rPr>
        <w:t> </w:t>
      </w:r>
      <w:r>
        <w:rPr>
          <w:sz w:val="20"/>
        </w:rPr>
        <w:t>in</w:t>
      </w:r>
      <w:r>
        <w:rPr>
          <w:spacing w:val="-2"/>
          <w:sz w:val="20"/>
        </w:rPr>
        <w:t> </w:t>
      </w:r>
      <w:r>
        <w:rPr>
          <w:sz w:val="20"/>
        </w:rPr>
        <w:t>the</w:t>
      </w:r>
      <w:r>
        <w:rPr>
          <w:spacing w:val="-2"/>
          <w:sz w:val="20"/>
        </w:rPr>
        <w:t> </w:t>
      </w:r>
      <w:r>
        <w:rPr>
          <w:sz w:val="20"/>
        </w:rPr>
        <w:t>ordinary</w:t>
      </w:r>
      <w:r>
        <w:rPr>
          <w:spacing w:val="-3"/>
          <w:sz w:val="20"/>
        </w:rPr>
        <w:t> </w:t>
      </w:r>
      <w:r>
        <w:rPr>
          <w:sz w:val="20"/>
        </w:rPr>
        <w:t>course</w:t>
      </w:r>
      <w:r>
        <w:rPr>
          <w:spacing w:val="-3"/>
          <w:sz w:val="20"/>
        </w:rPr>
        <w:t> </w:t>
      </w:r>
      <w:r>
        <w:rPr>
          <w:sz w:val="20"/>
        </w:rPr>
        <w:t>of</w:t>
      </w:r>
      <w:r>
        <w:rPr>
          <w:spacing w:val="-3"/>
          <w:sz w:val="20"/>
        </w:rPr>
        <w:t> </w:t>
      </w:r>
      <w:r>
        <w:rPr>
          <w:sz w:val="20"/>
        </w:rPr>
        <w:t>the</w:t>
      </w:r>
      <w:r>
        <w:rPr>
          <w:spacing w:val="-4"/>
          <w:sz w:val="20"/>
        </w:rPr>
        <w:t> </w:t>
      </w:r>
      <w:r>
        <w:rPr>
          <w:sz w:val="20"/>
        </w:rPr>
        <w:t>supplier’s</w:t>
      </w:r>
      <w:r>
        <w:rPr>
          <w:spacing w:val="-3"/>
          <w:sz w:val="20"/>
        </w:rPr>
        <w:t> </w:t>
      </w:r>
      <w:r>
        <w:rPr>
          <w:sz w:val="20"/>
        </w:rPr>
        <w:t>business;</w:t>
      </w:r>
    </w:p>
    <w:p>
      <w:pPr>
        <w:pStyle w:val="ListParagraph"/>
        <w:numPr>
          <w:ilvl w:val="0"/>
          <w:numId w:val="2"/>
        </w:numPr>
        <w:tabs>
          <w:tab w:pos="394" w:val="left" w:leader="none"/>
        </w:tabs>
        <w:spacing w:line="229" w:lineRule="exact" w:before="1" w:after="0"/>
        <w:ind w:left="393" w:right="0" w:hanging="294"/>
        <w:jc w:val="left"/>
        <w:rPr>
          <w:sz w:val="20"/>
        </w:rPr>
      </w:pPr>
      <w:r>
        <w:rPr>
          <w:sz w:val="20"/>
        </w:rPr>
        <w:t>a</w:t>
      </w:r>
      <w:r>
        <w:rPr>
          <w:spacing w:val="-4"/>
          <w:sz w:val="20"/>
        </w:rPr>
        <w:t> </w:t>
      </w:r>
      <w:r>
        <w:rPr>
          <w:sz w:val="20"/>
        </w:rPr>
        <w:t>person</w:t>
      </w:r>
      <w:r>
        <w:rPr>
          <w:spacing w:val="-3"/>
          <w:sz w:val="20"/>
        </w:rPr>
        <w:t> </w:t>
      </w:r>
      <w:r>
        <w:rPr>
          <w:sz w:val="20"/>
        </w:rPr>
        <w:t>who</w:t>
      </w:r>
      <w:r>
        <w:rPr>
          <w:spacing w:val="-3"/>
          <w:sz w:val="20"/>
        </w:rPr>
        <w:t> </w:t>
      </w:r>
      <w:r>
        <w:rPr>
          <w:sz w:val="20"/>
        </w:rPr>
        <w:t>has</w:t>
      </w:r>
      <w:r>
        <w:rPr>
          <w:spacing w:val="-3"/>
          <w:sz w:val="20"/>
        </w:rPr>
        <w:t> </w:t>
      </w:r>
      <w:r>
        <w:rPr>
          <w:sz w:val="20"/>
        </w:rPr>
        <w:t>entered</w:t>
      </w:r>
      <w:r>
        <w:rPr>
          <w:spacing w:val="-3"/>
          <w:sz w:val="20"/>
        </w:rPr>
        <w:t> </w:t>
      </w:r>
      <w:r>
        <w:rPr>
          <w:sz w:val="20"/>
        </w:rPr>
        <w:t>into</w:t>
      </w:r>
      <w:r>
        <w:rPr>
          <w:spacing w:val="-3"/>
          <w:sz w:val="20"/>
        </w:rPr>
        <w:t> </w:t>
      </w:r>
      <w:r>
        <w:rPr>
          <w:sz w:val="20"/>
        </w:rPr>
        <w:t>a</w:t>
      </w:r>
      <w:r>
        <w:rPr>
          <w:spacing w:val="-2"/>
          <w:sz w:val="20"/>
        </w:rPr>
        <w:t> </w:t>
      </w:r>
      <w:r>
        <w:rPr>
          <w:sz w:val="20"/>
        </w:rPr>
        <w:t>transaction</w:t>
      </w:r>
      <w:r>
        <w:rPr>
          <w:spacing w:val="-3"/>
          <w:sz w:val="20"/>
        </w:rPr>
        <w:t> </w:t>
      </w:r>
      <w:r>
        <w:rPr>
          <w:sz w:val="20"/>
        </w:rPr>
        <w:t>with</w:t>
      </w:r>
      <w:r>
        <w:rPr>
          <w:spacing w:val="-4"/>
          <w:sz w:val="20"/>
        </w:rPr>
        <w:t> </w:t>
      </w:r>
      <w:r>
        <w:rPr>
          <w:sz w:val="20"/>
        </w:rPr>
        <w:t>a</w:t>
      </w:r>
      <w:r>
        <w:rPr>
          <w:spacing w:val="-2"/>
          <w:sz w:val="20"/>
        </w:rPr>
        <w:t> </w:t>
      </w:r>
      <w:r>
        <w:rPr>
          <w:sz w:val="20"/>
        </w:rPr>
        <w:t>supplier</w:t>
      </w:r>
      <w:r>
        <w:rPr>
          <w:spacing w:val="-3"/>
          <w:sz w:val="20"/>
        </w:rPr>
        <w:t> </w:t>
      </w:r>
      <w:r>
        <w:rPr>
          <w:sz w:val="20"/>
        </w:rPr>
        <w:t>in</w:t>
      </w:r>
      <w:r>
        <w:rPr>
          <w:spacing w:val="-4"/>
          <w:sz w:val="20"/>
        </w:rPr>
        <w:t> </w:t>
      </w:r>
      <w:r>
        <w:rPr>
          <w:sz w:val="20"/>
        </w:rPr>
        <w:t>the</w:t>
      </w:r>
      <w:r>
        <w:rPr>
          <w:spacing w:val="-3"/>
          <w:sz w:val="20"/>
        </w:rPr>
        <w:t> </w:t>
      </w:r>
      <w:r>
        <w:rPr>
          <w:sz w:val="20"/>
        </w:rPr>
        <w:t>ordinary</w:t>
      </w:r>
      <w:r>
        <w:rPr>
          <w:spacing w:val="-3"/>
          <w:sz w:val="20"/>
        </w:rPr>
        <w:t> </w:t>
      </w:r>
      <w:r>
        <w:rPr>
          <w:sz w:val="20"/>
        </w:rPr>
        <w:t>course</w:t>
      </w:r>
      <w:r>
        <w:rPr>
          <w:spacing w:val="-4"/>
          <w:sz w:val="20"/>
        </w:rPr>
        <w:t> </w:t>
      </w:r>
      <w:r>
        <w:rPr>
          <w:sz w:val="20"/>
        </w:rPr>
        <w:t>of</w:t>
      </w:r>
      <w:r>
        <w:rPr>
          <w:spacing w:val="-4"/>
          <w:sz w:val="20"/>
        </w:rPr>
        <w:t> </w:t>
      </w:r>
      <w:r>
        <w:rPr>
          <w:sz w:val="20"/>
        </w:rPr>
        <w:t>the</w:t>
      </w:r>
      <w:r>
        <w:rPr>
          <w:spacing w:val="-3"/>
          <w:sz w:val="20"/>
        </w:rPr>
        <w:t> </w:t>
      </w:r>
      <w:r>
        <w:rPr>
          <w:sz w:val="20"/>
        </w:rPr>
        <w:t>supplier’s</w:t>
      </w:r>
      <w:r>
        <w:rPr>
          <w:spacing w:val="-4"/>
          <w:sz w:val="20"/>
        </w:rPr>
        <w:t> </w:t>
      </w:r>
      <w:r>
        <w:rPr>
          <w:sz w:val="20"/>
        </w:rPr>
        <w:t>business,</w:t>
      </w:r>
      <w:r>
        <w:rPr>
          <w:spacing w:val="-4"/>
          <w:sz w:val="20"/>
        </w:rPr>
        <w:t> </w:t>
      </w:r>
      <w:r>
        <w:rPr>
          <w:sz w:val="20"/>
        </w:rPr>
        <w:t>unless</w:t>
      </w:r>
      <w:r>
        <w:rPr>
          <w:spacing w:val="-3"/>
          <w:sz w:val="20"/>
        </w:rPr>
        <w:t> </w:t>
      </w:r>
      <w:r>
        <w:rPr>
          <w:sz w:val="20"/>
        </w:rPr>
        <w:t>the</w:t>
      </w:r>
    </w:p>
    <w:p>
      <w:pPr>
        <w:spacing w:line="229" w:lineRule="exact" w:before="0"/>
        <w:ind w:left="374" w:right="0" w:firstLine="0"/>
        <w:jc w:val="left"/>
        <w:rPr>
          <w:sz w:val="20"/>
        </w:rPr>
      </w:pPr>
      <w:r>
        <w:rPr>
          <w:sz w:val="20"/>
        </w:rPr>
        <w:t>transaction is exempt from the application of this Act by section 5(2) or in terms of section 5(3).</w:t>
      </w:r>
    </w:p>
    <w:p>
      <w:pPr>
        <w:spacing w:before="1"/>
        <w:ind w:left="100" w:right="0" w:firstLine="0"/>
        <w:jc w:val="left"/>
        <w:rPr>
          <w:sz w:val="20"/>
        </w:rPr>
      </w:pPr>
      <w:r>
        <w:rPr>
          <w:position w:val="5"/>
          <w:sz w:val="13"/>
        </w:rPr>
        <w:t>2 </w:t>
      </w:r>
      <w:r>
        <w:rPr>
          <w:sz w:val="20"/>
        </w:rPr>
        <w:t>As contemplated in subsection(1)(b).</w:t>
      </w:r>
    </w:p>
    <w:p>
      <w:pPr>
        <w:spacing w:after="0"/>
        <w:jc w:val="left"/>
        <w:rPr>
          <w:sz w:val="20"/>
        </w:rPr>
        <w:sectPr>
          <w:headerReference w:type="default" r:id="rId5"/>
          <w:footerReference w:type="default" r:id="rId6"/>
          <w:pgSz w:w="11910" w:h="16840"/>
          <w:pgMar w:header="914" w:footer="1057" w:top="1520" w:bottom="1240" w:left="1340" w:right="1320"/>
          <w:pgNumType w:start="2"/>
        </w:sectPr>
      </w:pPr>
    </w:p>
    <w:p>
      <w:pPr>
        <w:pStyle w:val="BodyText"/>
        <w:spacing w:before="5"/>
        <w:rPr>
          <w:sz w:val="11"/>
        </w:rPr>
      </w:pPr>
    </w:p>
    <w:p>
      <w:pPr>
        <w:pStyle w:val="ListParagraph"/>
        <w:numPr>
          <w:ilvl w:val="0"/>
          <w:numId w:val="1"/>
        </w:numPr>
        <w:tabs>
          <w:tab w:pos="666" w:val="left" w:leader="none"/>
          <w:tab w:pos="667" w:val="left" w:leader="none"/>
        </w:tabs>
        <w:spacing w:line="240" w:lineRule="auto" w:before="100" w:after="0"/>
        <w:ind w:left="666" w:right="0" w:hanging="567"/>
        <w:jc w:val="left"/>
        <w:rPr>
          <w:sz w:val="24"/>
        </w:rPr>
      </w:pPr>
      <w:r>
        <w:rPr>
          <w:sz w:val="24"/>
        </w:rPr>
        <w:t>The applicant initially sought an order for the following</w:t>
      </w:r>
      <w:r>
        <w:rPr>
          <w:spacing w:val="-8"/>
          <w:sz w:val="24"/>
        </w:rPr>
        <w:t> </w:t>
      </w:r>
      <w:r>
        <w:rPr>
          <w:sz w:val="24"/>
        </w:rPr>
        <w:t>relief:</w:t>
      </w:r>
    </w:p>
    <w:p>
      <w:pPr>
        <w:pStyle w:val="ListParagraph"/>
        <w:numPr>
          <w:ilvl w:val="1"/>
          <w:numId w:val="1"/>
        </w:numPr>
        <w:tabs>
          <w:tab w:pos="1233" w:val="left" w:leader="none"/>
          <w:tab w:pos="1234" w:val="left" w:leader="none"/>
        </w:tabs>
        <w:spacing w:line="240" w:lineRule="auto" w:before="138" w:after="0"/>
        <w:ind w:left="1233" w:right="0" w:hanging="568"/>
        <w:jc w:val="left"/>
        <w:rPr>
          <w:sz w:val="24"/>
        </w:rPr>
      </w:pPr>
      <w:r>
        <w:rPr>
          <w:sz w:val="24"/>
        </w:rPr>
        <w:t>that the “deal” is cancelled;</w:t>
      </w:r>
      <w:r>
        <w:rPr>
          <w:spacing w:val="-7"/>
          <w:sz w:val="24"/>
        </w:rPr>
        <w:t> </w:t>
      </w:r>
      <w:r>
        <w:rPr>
          <w:sz w:val="24"/>
        </w:rPr>
        <w:t>and</w:t>
      </w:r>
    </w:p>
    <w:p>
      <w:pPr>
        <w:pStyle w:val="ListParagraph"/>
        <w:numPr>
          <w:ilvl w:val="1"/>
          <w:numId w:val="1"/>
        </w:numPr>
        <w:tabs>
          <w:tab w:pos="1204" w:val="left" w:leader="none"/>
          <w:tab w:pos="1205" w:val="left" w:leader="none"/>
        </w:tabs>
        <w:spacing w:line="240" w:lineRule="auto" w:before="137" w:after="0"/>
        <w:ind w:left="1204" w:right="0" w:hanging="539"/>
        <w:jc w:val="left"/>
        <w:rPr>
          <w:sz w:val="24"/>
        </w:rPr>
      </w:pPr>
      <w:r>
        <w:rPr>
          <w:sz w:val="24"/>
        </w:rPr>
        <w:t>compensation as the applicant should not “be paying full price” for a defective</w:t>
      </w:r>
      <w:r>
        <w:rPr>
          <w:spacing w:val="-23"/>
          <w:sz w:val="24"/>
        </w:rPr>
        <w:t> </w:t>
      </w:r>
      <w:r>
        <w:rPr>
          <w:sz w:val="24"/>
        </w:rPr>
        <w:t>vehicle.</w:t>
      </w:r>
    </w:p>
    <w:p>
      <w:pPr>
        <w:pStyle w:val="BodyText"/>
        <w:rPr>
          <w:sz w:val="28"/>
        </w:rPr>
      </w:pPr>
    </w:p>
    <w:p>
      <w:pPr>
        <w:pStyle w:val="BodyText"/>
        <w:rPr>
          <w:sz w:val="28"/>
        </w:rPr>
      </w:pPr>
    </w:p>
    <w:p>
      <w:pPr>
        <w:pStyle w:val="ListParagraph"/>
        <w:numPr>
          <w:ilvl w:val="0"/>
          <w:numId w:val="1"/>
        </w:numPr>
        <w:tabs>
          <w:tab w:pos="667" w:val="left" w:leader="none"/>
        </w:tabs>
        <w:spacing w:line="360" w:lineRule="auto" w:before="189" w:after="0"/>
        <w:ind w:left="666" w:right="117" w:hanging="567"/>
        <w:jc w:val="both"/>
        <w:rPr>
          <w:sz w:val="24"/>
        </w:rPr>
      </w:pPr>
      <w:r>
        <w:rPr>
          <w:sz w:val="24"/>
        </w:rPr>
        <w:t>At the hearing, the applicant narrowed the relief to an order that the Chairperson of the Tribunal issues a notice in terms of section 115(2)(b) of the CPA for the applicant to institute a claim in a civil court to recover the damages he alleges he suffered arising out of the purchase of the vehicle.</w:t>
      </w:r>
    </w:p>
    <w:p>
      <w:pPr>
        <w:pStyle w:val="BodyText"/>
        <w:spacing w:before="1"/>
        <w:rPr>
          <w:sz w:val="36"/>
        </w:rPr>
      </w:pPr>
    </w:p>
    <w:p>
      <w:pPr>
        <w:pStyle w:val="ListParagraph"/>
        <w:numPr>
          <w:ilvl w:val="0"/>
          <w:numId w:val="1"/>
        </w:numPr>
        <w:tabs>
          <w:tab w:pos="667" w:val="left" w:leader="none"/>
        </w:tabs>
        <w:spacing w:line="360" w:lineRule="auto" w:before="0" w:after="0"/>
        <w:ind w:left="666" w:right="115" w:hanging="567"/>
        <w:jc w:val="both"/>
        <w:rPr>
          <w:sz w:val="24"/>
        </w:rPr>
      </w:pPr>
      <w:r>
        <w:rPr>
          <w:sz w:val="24"/>
        </w:rPr>
        <w:t>The Tribunal clarified to the applicant that to grant the order sought, the Tribunal must decide whether the respondent engaged in prohibited conduct, by selling the applicant a defective vehicle as defined in the CPA in contravention of section 56 read with section 55 of the</w:t>
      </w:r>
      <w:r>
        <w:rPr>
          <w:spacing w:val="-26"/>
          <w:sz w:val="24"/>
        </w:rPr>
        <w:t> </w:t>
      </w:r>
      <w:r>
        <w:rPr>
          <w:sz w:val="24"/>
        </w:rPr>
        <w:t>CPA.</w:t>
      </w:r>
    </w:p>
    <w:p>
      <w:pPr>
        <w:pStyle w:val="BodyText"/>
        <w:spacing w:before="10"/>
        <w:rPr>
          <w:sz w:val="35"/>
        </w:rPr>
      </w:pPr>
    </w:p>
    <w:p>
      <w:pPr>
        <w:pStyle w:val="Heading1"/>
      </w:pPr>
      <w:r>
        <w:rPr/>
        <w:t>TERMINOLOGY</w:t>
      </w:r>
    </w:p>
    <w:p>
      <w:pPr>
        <w:pStyle w:val="BodyText"/>
        <w:rPr>
          <w:b/>
          <w:sz w:val="28"/>
        </w:rPr>
      </w:pPr>
    </w:p>
    <w:p>
      <w:pPr>
        <w:pStyle w:val="ListParagraph"/>
        <w:numPr>
          <w:ilvl w:val="0"/>
          <w:numId w:val="1"/>
        </w:numPr>
        <w:tabs>
          <w:tab w:pos="666" w:val="left" w:leader="none"/>
          <w:tab w:pos="667" w:val="left" w:leader="none"/>
        </w:tabs>
        <w:spacing w:line="240" w:lineRule="auto" w:before="229" w:after="0"/>
        <w:ind w:left="666" w:right="0" w:hanging="567"/>
        <w:jc w:val="left"/>
        <w:rPr>
          <w:sz w:val="24"/>
        </w:rPr>
      </w:pPr>
      <w:r>
        <w:rPr>
          <w:sz w:val="24"/>
        </w:rPr>
        <w:t>A section in this judgment refers to a section in the</w:t>
      </w:r>
      <w:r>
        <w:rPr>
          <w:spacing w:val="-10"/>
          <w:sz w:val="24"/>
        </w:rPr>
        <w:t> </w:t>
      </w:r>
      <w:r>
        <w:rPr>
          <w:sz w:val="24"/>
        </w:rPr>
        <w:t>CPA.</w:t>
      </w:r>
    </w:p>
    <w:p>
      <w:pPr>
        <w:pStyle w:val="BodyText"/>
        <w:rPr>
          <w:sz w:val="28"/>
        </w:rPr>
      </w:pPr>
    </w:p>
    <w:p>
      <w:pPr>
        <w:pStyle w:val="Heading1"/>
        <w:spacing w:before="232"/>
      </w:pPr>
      <w:r>
        <w:rPr/>
        <w:t>THE COMMON CAUSE AND UNDISPUTED FACTS</w:t>
      </w:r>
    </w:p>
    <w:p>
      <w:pPr>
        <w:pStyle w:val="BodyText"/>
        <w:rPr>
          <w:b/>
          <w:sz w:val="28"/>
        </w:rPr>
      </w:pPr>
    </w:p>
    <w:p>
      <w:pPr>
        <w:pStyle w:val="ListParagraph"/>
        <w:numPr>
          <w:ilvl w:val="0"/>
          <w:numId w:val="1"/>
        </w:numPr>
        <w:tabs>
          <w:tab w:pos="667" w:val="left" w:leader="none"/>
        </w:tabs>
        <w:spacing w:line="360" w:lineRule="auto" w:before="229" w:after="0"/>
        <w:ind w:left="666" w:right="113" w:hanging="567"/>
        <w:jc w:val="both"/>
        <w:rPr>
          <w:sz w:val="24"/>
        </w:rPr>
      </w:pPr>
      <w:r>
        <w:rPr>
          <w:sz w:val="24"/>
        </w:rPr>
        <w:t>At the hearing of the matter, the parties confirmed that the material facts determining this application were common cause and therefore not disputed by the parties. At issue was the respective parties’ interpretation and application of the law to the common cause facts. The Tribunal sets these facts out</w:t>
      </w:r>
      <w:r>
        <w:rPr>
          <w:spacing w:val="-6"/>
          <w:sz w:val="24"/>
        </w:rPr>
        <w:t> </w:t>
      </w:r>
      <w:r>
        <w:rPr>
          <w:sz w:val="24"/>
        </w:rPr>
        <w:t>below.</w:t>
      </w:r>
    </w:p>
    <w:p>
      <w:pPr>
        <w:pStyle w:val="BodyText"/>
        <w:spacing w:before="10"/>
        <w:rPr>
          <w:sz w:val="35"/>
        </w:rPr>
      </w:pPr>
    </w:p>
    <w:p>
      <w:pPr>
        <w:pStyle w:val="ListParagraph"/>
        <w:numPr>
          <w:ilvl w:val="0"/>
          <w:numId w:val="1"/>
        </w:numPr>
        <w:tabs>
          <w:tab w:pos="667" w:val="left" w:leader="none"/>
        </w:tabs>
        <w:spacing w:line="360" w:lineRule="auto" w:before="0" w:after="0"/>
        <w:ind w:left="666" w:right="115" w:hanging="567"/>
        <w:jc w:val="both"/>
        <w:rPr>
          <w:sz w:val="24"/>
        </w:rPr>
      </w:pPr>
      <w:r>
        <w:rPr>
          <w:sz w:val="24"/>
        </w:rPr>
        <w:t>On 14 June 2018, the applicant purchased a silver motor vehicle, a Hyundai Creta 1.6l, a sport utility vehicle, (“the SUV”) from the respondent for R329 000.00 plus extras and a value-added product totalling R359 794.41 inclusive of VAT. The transaction was financed by the Motor Finance</w:t>
      </w:r>
      <w:r>
        <w:rPr>
          <w:spacing w:val="-1"/>
          <w:sz w:val="24"/>
        </w:rPr>
        <w:t> </w:t>
      </w:r>
      <w:r>
        <w:rPr>
          <w:sz w:val="24"/>
        </w:rPr>
        <w:t>Corporation.</w:t>
      </w:r>
    </w:p>
    <w:p>
      <w:pPr>
        <w:pStyle w:val="BodyText"/>
        <w:spacing w:before="1"/>
        <w:rPr>
          <w:sz w:val="36"/>
        </w:rPr>
      </w:pPr>
    </w:p>
    <w:p>
      <w:pPr>
        <w:pStyle w:val="ListParagraph"/>
        <w:numPr>
          <w:ilvl w:val="0"/>
          <w:numId w:val="1"/>
        </w:numPr>
        <w:tabs>
          <w:tab w:pos="666" w:val="left" w:leader="none"/>
          <w:tab w:pos="667" w:val="left" w:leader="none"/>
        </w:tabs>
        <w:spacing w:line="240" w:lineRule="auto" w:before="1" w:after="0"/>
        <w:ind w:left="666" w:right="0" w:hanging="567"/>
        <w:jc w:val="left"/>
        <w:rPr>
          <w:sz w:val="24"/>
        </w:rPr>
      </w:pPr>
      <w:r>
        <w:rPr>
          <w:sz w:val="24"/>
        </w:rPr>
        <w:t>The</w:t>
      </w:r>
      <w:r>
        <w:rPr>
          <w:spacing w:val="7"/>
          <w:sz w:val="24"/>
        </w:rPr>
        <w:t> </w:t>
      </w:r>
      <w:r>
        <w:rPr>
          <w:sz w:val="24"/>
        </w:rPr>
        <w:t>following</w:t>
      </w:r>
      <w:r>
        <w:rPr>
          <w:spacing w:val="8"/>
          <w:sz w:val="24"/>
        </w:rPr>
        <w:t> </w:t>
      </w:r>
      <w:r>
        <w:rPr>
          <w:sz w:val="24"/>
        </w:rPr>
        <w:t>day,</w:t>
      </w:r>
      <w:r>
        <w:rPr>
          <w:spacing w:val="8"/>
          <w:sz w:val="24"/>
        </w:rPr>
        <w:t> </w:t>
      </w:r>
      <w:r>
        <w:rPr>
          <w:sz w:val="24"/>
        </w:rPr>
        <w:t>the</w:t>
      </w:r>
      <w:r>
        <w:rPr>
          <w:spacing w:val="8"/>
          <w:sz w:val="24"/>
        </w:rPr>
        <w:t> </w:t>
      </w:r>
      <w:r>
        <w:rPr>
          <w:sz w:val="24"/>
        </w:rPr>
        <w:t>applicant</w:t>
      </w:r>
      <w:r>
        <w:rPr>
          <w:spacing w:val="8"/>
          <w:sz w:val="24"/>
        </w:rPr>
        <w:t> </w:t>
      </w:r>
      <w:r>
        <w:rPr>
          <w:sz w:val="24"/>
        </w:rPr>
        <w:t>complained</w:t>
      </w:r>
      <w:r>
        <w:rPr>
          <w:spacing w:val="7"/>
          <w:sz w:val="24"/>
        </w:rPr>
        <w:t> </w:t>
      </w:r>
      <w:r>
        <w:rPr>
          <w:sz w:val="24"/>
        </w:rPr>
        <w:t>to</w:t>
      </w:r>
      <w:r>
        <w:rPr>
          <w:spacing w:val="9"/>
          <w:sz w:val="24"/>
        </w:rPr>
        <w:t> </w:t>
      </w:r>
      <w:r>
        <w:rPr>
          <w:sz w:val="24"/>
        </w:rPr>
        <w:t>the</w:t>
      </w:r>
      <w:r>
        <w:rPr>
          <w:spacing w:val="8"/>
          <w:sz w:val="24"/>
        </w:rPr>
        <w:t> </w:t>
      </w:r>
      <w:r>
        <w:rPr>
          <w:sz w:val="24"/>
        </w:rPr>
        <w:t>respondent</w:t>
      </w:r>
      <w:r>
        <w:rPr>
          <w:spacing w:val="10"/>
          <w:sz w:val="24"/>
        </w:rPr>
        <w:t> </w:t>
      </w:r>
      <w:r>
        <w:rPr>
          <w:sz w:val="24"/>
        </w:rPr>
        <w:t>that</w:t>
      </w:r>
      <w:r>
        <w:rPr>
          <w:spacing w:val="8"/>
          <w:sz w:val="24"/>
        </w:rPr>
        <w:t> </w:t>
      </w:r>
      <w:r>
        <w:rPr>
          <w:sz w:val="24"/>
        </w:rPr>
        <w:t>the</w:t>
      </w:r>
      <w:r>
        <w:rPr>
          <w:spacing w:val="16"/>
          <w:sz w:val="24"/>
        </w:rPr>
        <w:t> </w:t>
      </w:r>
      <w:r>
        <w:rPr>
          <w:sz w:val="24"/>
        </w:rPr>
        <w:t>gap</w:t>
      </w:r>
      <w:r>
        <w:rPr>
          <w:spacing w:val="8"/>
          <w:sz w:val="24"/>
        </w:rPr>
        <w:t> </w:t>
      </w:r>
      <w:r>
        <w:rPr>
          <w:sz w:val="24"/>
        </w:rPr>
        <w:t>on</w:t>
      </w:r>
      <w:r>
        <w:rPr>
          <w:spacing w:val="8"/>
          <w:sz w:val="24"/>
        </w:rPr>
        <w:t> </w:t>
      </w:r>
      <w:r>
        <w:rPr>
          <w:sz w:val="24"/>
        </w:rPr>
        <w:t>either</w:t>
      </w:r>
      <w:r>
        <w:rPr>
          <w:spacing w:val="9"/>
          <w:sz w:val="24"/>
        </w:rPr>
        <w:t> </w:t>
      </w:r>
      <w:r>
        <w:rPr>
          <w:sz w:val="24"/>
        </w:rPr>
        <w:t>side</w:t>
      </w:r>
      <w:r>
        <w:rPr>
          <w:spacing w:val="7"/>
          <w:sz w:val="24"/>
        </w:rPr>
        <w:t> </w:t>
      </w:r>
      <w:r>
        <w:rPr>
          <w:sz w:val="24"/>
        </w:rPr>
        <w:t>of</w:t>
      </w:r>
      <w:r>
        <w:rPr>
          <w:spacing w:val="8"/>
          <w:sz w:val="24"/>
        </w:rPr>
        <w:t> </w:t>
      </w:r>
      <w:r>
        <w:rPr>
          <w:sz w:val="24"/>
        </w:rPr>
        <w:t>the</w:t>
      </w:r>
    </w:p>
    <w:p>
      <w:pPr>
        <w:pStyle w:val="BodyText"/>
        <w:spacing w:before="137"/>
        <w:ind w:left="666"/>
      </w:pPr>
      <w:r>
        <w:rPr/>
        <w:t>vehicle’s boot lid was unequal and amounted to a defect.</w:t>
      </w:r>
    </w:p>
    <w:p>
      <w:pPr>
        <w:spacing w:after="0"/>
        <w:sectPr>
          <w:pgSz w:w="11910" w:h="16840"/>
          <w:pgMar w:header="914" w:footer="1057" w:top="1520" w:bottom="1240" w:left="1340" w:right="1320"/>
        </w:sectPr>
      </w:pPr>
    </w:p>
    <w:p>
      <w:pPr>
        <w:pStyle w:val="BodyText"/>
        <w:spacing w:before="5"/>
        <w:rPr>
          <w:sz w:val="11"/>
        </w:rPr>
      </w:pPr>
    </w:p>
    <w:p>
      <w:pPr>
        <w:pStyle w:val="ListParagraph"/>
        <w:numPr>
          <w:ilvl w:val="0"/>
          <w:numId w:val="1"/>
        </w:numPr>
        <w:tabs>
          <w:tab w:pos="667" w:val="left" w:leader="none"/>
        </w:tabs>
        <w:spacing w:line="360" w:lineRule="auto" w:before="100" w:after="0"/>
        <w:ind w:left="666" w:right="113" w:hanging="567"/>
        <w:jc w:val="both"/>
        <w:rPr>
          <w:sz w:val="24"/>
        </w:rPr>
      </w:pPr>
      <w:r>
        <w:rPr>
          <w:sz w:val="24"/>
        </w:rPr>
        <w:t>On 19 July 2018, following negotiations between the parties, the respondent replaced the initial vehicle purchased by the applicant, with another new Hyundai Creta 1.6l motor vehicle (“the replacement vehicle”). The replacement vehicle was sold with a 7-year or 200 000km manufacturer’s warranty, whichever is</w:t>
      </w:r>
      <w:r>
        <w:rPr>
          <w:spacing w:val="-4"/>
          <w:sz w:val="24"/>
        </w:rPr>
        <w:t> </w:t>
      </w:r>
      <w:r>
        <w:rPr>
          <w:sz w:val="24"/>
        </w:rPr>
        <w:t>earlier.</w:t>
      </w:r>
    </w:p>
    <w:p>
      <w:pPr>
        <w:pStyle w:val="BodyText"/>
        <w:spacing w:before="10"/>
        <w:rPr>
          <w:sz w:val="35"/>
        </w:rPr>
      </w:pPr>
    </w:p>
    <w:p>
      <w:pPr>
        <w:pStyle w:val="ListParagraph"/>
        <w:numPr>
          <w:ilvl w:val="0"/>
          <w:numId w:val="1"/>
        </w:numPr>
        <w:tabs>
          <w:tab w:pos="666" w:val="left" w:leader="none"/>
          <w:tab w:pos="667" w:val="left" w:leader="none"/>
        </w:tabs>
        <w:spacing w:line="240" w:lineRule="auto" w:before="0" w:after="0"/>
        <w:ind w:left="666" w:right="0" w:hanging="567"/>
        <w:jc w:val="left"/>
        <w:rPr>
          <w:sz w:val="24"/>
        </w:rPr>
      </w:pPr>
      <w:r>
        <w:rPr>
          <w:sz w:val="24"/>
        </w:rPr>
        <w:t>The merits of this matter pertain to the replacement</w:t>
      </w:r>
      <w:r>
        <w:rPr>
          <w:spacing w:val="-8"/>
          <w:sz w:val="24"/>
        </w:rPr>
        <w:t> </w:t>
      </w:r>
      <w:r>
        <w:rPr>
          <w:sz w:val="24"/>
        </w:rPr>
        <w:t>vehicle.</w:t>
      </w:r>
    </w:p>
    <w:p>
      <w:pPr>
        <w:pStyle w:val="BodyText"/>
        <w:rPr>
          <w:sz w:val="28"/>
        </w:rPr>
      </w:pPr>
    </w:p>
    <w:p>
      <w:pPr>
        <w:pStyle w:val="ListParagraph"/>
        <w:numPr>
          <w:ilvl w:val="0"/>
          <w:numId w:val="1"/>
        </w:numPr>
        <w:tabs>
          <w:tab w:pos="667" w:val="left" w:leader="none"/>
        </w:tabs>
        <w:spacing w:line="360" w:lineRule="auto" w:before="232" w:after="0"/>
        <w:ind w:left="666" w:right="114" w:hanging="567"/>
        <w:jc w:val="both"/>
        <w:rPr>
          <w:sz w:val="24"/>
        </w:rPr>
      </w:pPr>
      <w:r>
        <w:rPr>
          <w:sz w:val="24"/>
        </w:rPr>
        <w:t>According to the applicant, the replacement vehicle also had a non-aligned boot lid, but this defect was not as noticeable because the replacement vehicle was white in colour. The applicant informed the respondent of the defect pertaining to the non-alignment of the vehicle’s boot lid  and that the replacement vehicle was further fitted with a used radio. He was advised by the respondent that the complaint would be escalated. The respondent replaced the used radio with a new one and while doing so the respondent’s employees damaged the dashboard of the replacement</w:t>
      </w:r>
      <w:r>
        <w:rPr>
          <w:spacing w:val="-1"/>
          <w:sz w:val="24"/>
        </w:rPr>
        <w:t> </w:t>
      </w:r>
      <w:r>
        <w:rPr>
          <w:sz w:val="24"/>
        </w:rPr>
        <w:t>vehicle.</w:t>
      </w:r>
    </w:p>
    <w:p>
      <w:pPr>
        <w:pStyle w:val="BodyText"/>
        <w:rPr>
          <w:sz w:val="36"/>
        </w:rPr>
      </w:pPr>
    </w:p>
    <w:p>
      <w:pPr>
        <w:pStyle w:val="ListParagraph"/>
        <w:numPr>
          <w:ilvl w:val="0"/>
          <w:numId w:val="1"/>
        </w:numPr>
        <w:tabs>
          <w:tab w:pos="667" w:val="left" w:leader="none"/>
        </w:tabs>
        <w:spacing w:line="360" w:lineRule="auto" w:before="0" w:after="0"/>
        <w:ind w:left="666" w:right="113" w:hanging="567"/>
        <w:jc w:val="both"/>
        <w:rPr>
          <w:sz w:val="24"/>
        </w:rPr>
      </w:pPr>
      <w:r>
        <w:rPr>
          <w:sz w:val="24"/>
        </w:rPr>
        <w:t>A few months later, the applicant took the replacement vehicle to the respondent for a service because the mileage had reached 15000 kilometres. The applicant, on that occasion, raised various issues with the respondent’s employees about the replacement vehicle. This escalated into an argument. The applicant left the service centre and sent the dealer principal, Bradley Naidoo (“Naidoo”), an e-mail about this incident. Naidoo’s response was that the respondent did not want to service the applicant’s vehicle and that the applicant should take his vehicle elsewhere for a service. Later, in a meeting with Naidoo, Naidoo undertook to replace the replacement vehicle with a similar vehicle but later informed the applicant that he was instructed not to involve himself in the matter because the matter was a legal</w:t>
      </w:r>
      <w:r>
        <w:rPr>
          <w:spacing w:val="-17"/>
          <w:sz w:val="24"/>
        </w:rPr>
        <w:t> </w:t>
      </w:r>
      <w:r>
        <w:rPr>
          <w:sz w:val="24"/>
        </w:rPr>
        <w:t>issue.</w:t>
      </w:r>
    </w:p>
    <w:p>
      <w:pPr>
        <w:pStyle w:val="BodyText"/>
        <w:rPr>
          <w:sz w:val="36"/>
        </w:rPr>
      </w:pPr>
    </w:p>
    <w:p>
      <w:pPr>
        <w:pStyle w:val="ListParagraph"/>
        <w:numPr>
          <w:ilvl w:val="0"/>
          <w:numId w:val="1"/>
        </w:numPr>
        <w:tabs>
          <w:tab w:pos="667" w:val="left" w:leader="none"/>
        </w:tabs>
        <w:spacing w:line="360" w:lineRule="auto" w:before="0" w:after="0"/>
        <w:ind w:left="666" w:right="116" w:hanging="567"/>
        <w:jc w:val="both"/>
        <w:rPr>
          <w:sz w:val="24"/>
        </w:rPr>
      </w:pPr>
      <w:r>
        <w:rPr>
          <w:sz w:val="24"/>
        </w:rPr>
        <w:t>The applicant alleges that the replacement vehicle is defective and of inferior quality because the manufacturer had poorly aligned the vehicle’s body parts, specifically the boot lid. Approximately a year after receiving the replacement vehicle, </w:t>
      </w:r>
      <w:r>
        <w:rPr>
          <w:spacing w:val="3"/>
          <w:sz w:val="24"/>
        </w:rPr>
        <w:t>on </w:t>
      </w:r>
      <w:r>
        <w:rPr>
          <w:sz w:val="24"/>
        </w:rPr>
        <w:t>19 April 2019, the applicant had the vehicle assessed by Durban Central Panel Beaters, a Hyundai-approved panel beater. According to the report of Durban Central, the following faults were found in the</w:t>
      </w:r>
      <w:r>
        <w:rPr>
          <w:spacing w:val="-9"/>
          <w:sz w:val="24"/>
        </w:rPr>
        <w:t> </w:t>
      </w:r>
      <w:r>
        <w:rPr>
          <w:sz w:val="24"/>
        </w:rPr>
        <w:t>vehicle:</w:t>
      </w:r>
    </w:p>
    <w:p>
      <w:pPr>
        <w:pStyle w:val="ListParagraph"/>
        <w:numPr>
          <w:ilvl w:val="1"/>
          <w:numId w:val="1"/>
        </w:numPr>
        <w:tabs>
          <w:tab w:pos="1234" w:val="left" w:leader="none"/>
        </w:tabs>
        <w:spacing w:line="275" w:lineRule="exact" w:before="0" w:after="0"/>
        <w:ind w:left="1233" w:right="0" w:hanging="568"/>
        <w:jc w:val="both"/>
        <w:rPr>
          <w:sz w:val="24"/>
        </w:rPr>
      </w:pPr>
      <w:r>
        <w:rPr>
          <w:sz w:val="24"/>
        </w:rPr>
        <w:t>the tailgate gaps to the dome panel and both rear fenders were not</w:t>
      </w:r>
      <w:r>
        <w:rPr>
          <w:spacing w:val="-13"/>
          <w:sz w:val="24"/>
        </w:rPr>
        <w:t> </w:t>
      </w:r>
      <w:r>
        <w:rPr>
          <w:sz w:val="24"/>
        </w:rPr>
        <w:t>aligned;</w:t>
      </w:r>
    </w:p>
    <w:p>
      <w:pPr>
        <w:pStyle w:val="ListParagraph"/>
        <w:numPr>
          <w:ilvl w:val="1"/>
          <w:numId w:val="1"/>
        </w:numPr>
        <w:tabs>
          <w:tab w:pos="1234" w:val="left" w:leader="none"/>
        </w:tabs>
        <w:spacing w:line="240" w:lineRule="auto" w:before="140" w:after="0"/>
        <w:ind w:left="1233" w:right="0" w:hanging="568"/>
        <w:jc w:val="both"/>
        <w:rPr>
          <w:sz w:val="24"/>
        </w:rPr>
      </w:pPr>
      <w:r>
        <w:rPr>
          <w:sz w:val="24"/>
        </w:rPr>
        <w:t>the right rear tail lamp had small chips along the top</w:t>
      </w:r>
      <w:r>
        <w:rPr>
          <w:spacing w:val="-7"/>
          <w:sz w:val="24"/>
        </w:rPr>
        <w:t> </w:t>
      </w:r>
      <w:r>
        <w:rPr>
          <w:sz w:val="24"/>
        </w:rPr>
        <w:t>edge;</w:t>
      </w:r>
    </w:p>
    <w:p>
      <w:pPr>
        <w:pStyle w:val="ListParagraph"/>
        <w:numPr>
          <w:ilvl w:val="1"/>
          <w:numId w:val="1"/>
        </w:numPr>
        <w:tabs>
          <w:tab w:pos="1234" w:val="left" w:leader="none"/>
        </w:tabs>
        <w:spacing w:line="240" w:lineRule="auto" w:before="137" w:after="0"/>
        <w:ind w:left="1233" w:right="0" w:hanging="568"/>
        <w:jc w:val="both"/>
        <w:rPr>
          <w:sz w:val="24"/>
        </w:rPr>
      </w:pPr>
      <w:r>
        <w:rPr>
          <w:sz w:val="24"/>
        </w:rPr>
        <w:t>the left rear fender had two dents on it and rust on the paint</w:t>
      </w:r>
      <w:r>
        <w:rPr>
          <w:spacing w:val="-14"/>
          <w:sz w:val="24"/>
        </w:rPr>
        <w:t> </w:t>
      </w:r>
      <w:r>
        <w:rPr>
          <w:sz w:val="24"/>
        </w:rPr>
        <w:t>work;</w:t>
      </w:r>
    </w:p>
    <w:p>
      <w:pPr>
        <w:spacing w:after="0" w:line="240" w:lineRule="auto"/>
        <w:jc w:val="both"/>
        <w:rPr>
          <w:sz w:val="24"/>
        </w:rPr>
        <w:sectPr>
          <w:pgSz w:w="11910" w:h="16840"/>
          <w:pgMar w:header="914" w:footer="1057" w:top="1520" w:bottom="1240" w:left="1340" w:right="1320"/>
        </w:sectPr>
      </w:pPr>
    </w:p>
    <w:p>
      <w:pPr>
        <w:pStyle w:val="BodyText"/>
        <w:spacing w:before="5"/>
        <w:rPr>
          <w:sz w:val="11"/>
        </w:rPr>
      </w:pPr>
    </w:p>
    <w:p>
      <w:pPr>
        <w:pStyle w:val="ListParagraph"/>
        <w:numPr>
          <w:ilvl w:val="1"/>
          <w:numId w:val="1"/>
        </w:numPr>
        <w:tabs>
          <w:tab w:pos="1234" w:val="left" w:leader="none"/>
        </w:tabs>
        <w:spacing w:line="240" w:lineRule="auto" w:before="100" w:after="0"/>
        <w:ind w:left="1233" w:right="0" w:hanging="568"/>
        <w:jc w:val="left"/>
        <w:rPr>
          <w:sz w:val="24"/>
        </w:rPr>
      </w:pPr>
      <w:r>
        <w:rPr>
          <w:sz w:val="24"/>
        </w:rPr>
        <w:t>on opening the tailgate, along the dome panel re-inforce, it had little or no</w:t>
      </w:r>
      <w:r>
        <w:rPr>
          <w:spacing w:val="-16"/>
          <w:sz w:val="24"/>
        </w:rPr>
        <w:t> </w:t>
      </w:r>
      <w:r>
        <w:rPr>
          <w:sz w:val="24"/>
        </w:rPr>
        <w:t>paint;</w:t>
      </w:r>
    </w:p>
    <w:p>
      <w:pPr>
        <w:pStyle w:val="ListParagraph"/>
        <w:numPr>
          <w:ilvl w:val="1"/>
          <w:numId w:val="1"/>
        </w:numPr>
        <w:tabs>
          <w:tab w:pos="1234" w:val="left" w:leader="none"/>
        </w:tabs>
        <w:spacing w:line="240" w:lineRule="auto" w:before="138" w:after="0"/>
        <w:ind w:left="1233" w:right="0" w:hanging="568"/>
        <w:jc w:val="left"/>
        <w:rPr>
          <w:sz w:val="24"/>
        </w:rPr>
      </w:pPr>
      <w:r>
        <w:rPr>
          <w:sz w:val="24"/>
        </w:rPr>
        <w:t>the bonnet was misaligned and full of dust in the paint work;</w:t>
      </w:r>
      <w:r>
        <w:rPr>
          <w:spacing w:val="-17"/>
          <w:sz w:val="24"/>
        </w:rPr>
        <w:t> </w:t>
      </w:r>
      <w:r>
        <w:rPr>
          <w:sz w:val="24"/>
        </w:rPr>
        <w:t>and</w:t>
      </w:r>
    </w:p>
    <w:p>
      <w:pPr>
        <w:pStyle w:val="ListParagraph"/>
        <w:numPr>
          <w:ilvl w:val="1"/>
          <w:numId w:val="1"/>
        </w:numPr>
        <w:tabs>
          <w:tab w:pos="1234" w:val="left" w:leader="none"/>
        </w:tabs>
        <w:spacing w:line="240" w:lineRule="auto" w:before="137" w:after="0"/>
        <w:ind w:left="1233" w:right="0" w:hanging="568"/>
        <w:jc w:val="left"/>
        <w:rPr>
          <w:sz w:val="24"/>
        </w:rPr>
      </w:pPr>
      <w:r>
        <w:rPr>
          <w:sz w:val="24"/>
        </w:rPr>
        <w:t>both rear fenders were misaligned with the bonnet and the windscreen post</w:t>
      </w:r>
      <w:r>
        <w:rPr>
          <w:spacing w:val="-26"/>
          <w:sz w:val="24"/>
        </w:rPr>
        <w:t> </w:t>
      </w:r>
      <w:r>
        <w:rPr>
          <w:sz w:val="24"/>
        </w:rPr>
        <w:t>beadings.</w:t>
      </w:r>
    </w:p>
    <w:p>
      <w:pPr>
        <w:pStyle w:val="BodyText"/>
        <w:rPr>
          <w:sz w:val="28"/>
        </w:rPr>
      </w:pPr>
    </w:p>
    <w:p>
      <w:pPr>
        <w:pStyle w:val="ListParagraph"/>
        <w:numPr>
          <w:ilvl w:val="0"/>
          <w:numId w:val="1"/>
        </w:numPr>
        <w:tabs>
          <w:tab w:pos="666" w:val="left" w:leader="none"/>
          <w:tab w:pos="667" w:val="left" w:leader="none"/>
        </w:tabs>
        <w:spacing w:line="360" w:lineRule="auto" w:before="229" w:after="0"/>
        <w:ind w:left="666" w:right="115" w:hanging="567"/>
        <w:jc w:val="left"/>
        <w:rPr>
          <w:sz w:val="24"/>
        </w:rPr>
      </w:pPr>
      <w:r>
        <w:rPr>
          <w:sz w:val="24"/>
        </w:rPr>
        <w:t>On 19 July 2018, the applicant referred the matter to the Motor Industry Ombudsman of South Africa (“the MIOSA”). On 3 April 2019, the MIOSA report indicated</w:t>
      </w:r>
      <w:r>
        <w:rPr>
          <w:spacing w:val="-9"/>
          <w:sz w:val="24"/>
        </w:rPr>
        <w:t> </w:t>
      </w:r>
      <w:r>
        <w:rPr>
          <w:sz w:val="24"/>
        </w:rPr>
        <w:t>that:</w:t>
      </w:r>
    </w:p>
    <w:p>
      <w:pPr>
        <w:pStyle w:val="ListParagraph"/>
        <w:numPr>
          <w:ilvl w:val="1"/>
          <w:numId w:val="1"/>
        </w:numPr>
        <w:tabs>
          <w:tab w:pos="1234" w:val="left" w:leader="none"/>
        </w:tabs>
        <w:spacing w:line="360" w:lineRule="auto" w:before="2" w:after="0"/>
        <w:ind w:left="1216" w:right="348" w:hanging="550"/>
        <w:jc w:val="left"/>
        <w:rPr>
          <w:sz w:val="24"/>
        </w:rPr>
      </w:pPr>
      <w:r>
        <w:rPr>
          <w:sz w:val="24"/>
        </w:rPr>
        <w:t>the replacement motor vehicle was inspected by an approved Hyundai Autobody Centre who confirmed that the vehicle was within factory specifications;</w:t>
      </w:r>
      <w:r>
        <w:rPr>
          <w:spacing w:val="-11"/>
          <w:sz w:val="24"/>
        </w:rPr>
        <w:t> </w:t>
      </w:r>
      <w:r>
        <w:rPr>
          <w:sz w:val="24"/>
        </w:rPr>
        <w:t>and</w:t>
      </w:r>
    </w:p>
    <w:p>
      <w:pPr>
        <w:pStyle w:val="ListParagraph"/>
        <w:numPr>
          <w:ilvl w:val="1"/>
          <w:numId w:val="1"/>
        </w:numPr>
        <w:tabs>
          <w:tab w:pos="1198" w:val="left" w:leader="none"/>
        </w:tabs>
        <w:spacing w:line="275" w:lineRule="exact" w:before="0" w:after="0"/>
        <w:ind w:left="1197" w:right="0" w:hanging="548"/>
        <w:jc w:val="left"/>
        <w:rPr>
          <w:sz w:val="24"/>
        </w:rPr>
      </w:pPr>
      <w:r>
        <w:rPr>
          <w:sz w:val="24"/>
        </w:rPr>
        <w:t>the MIOSA did not support the applicant’s expectations to cancel the</w:t>
      </w:r>
      <w:r>
        <w:rPr>
          <w:spacing w:val="-19"/>
          <w:sz w:val="24"/>
        </w:rPr>
        <w:t> </w:t>
      </w:r>
      <w:r>
        <w:rPr>
          <w:sz w:val="24"/>
        </w:rPr>
        <w:t>transaction.</w:t>
      </w:r>
    </w:p>
    <w:p>
      <w:pPr>
        <w:pStyle w:val="BodyText"/>
        <w:rPr>
          <w:sz w:val="28"/>
        </w:rPr>
      </w:pPr>
    </w:p>
    <w:p>
      <w:pPr>
        <w:pStyle w:val="ListParagraph"/>
        <w:numPr>
          <w:ilvl w:val="0"/>
          <w:numId w:val="1"/>
        </w:numPr>
        <w:tabs>
          <w:tab w:pos="667" w:val="left" w:leader="none"/>
        </w:tabs>
        <w:spacing w:line="360" w:lineRule="auto" w:before="229" w:after="0"/>
        <w:ind w:left="666" w:right="114" w:hanging="567"/>
        <w:jc w:val="both"/>
        <w:rPr>
          <w:sz w:val="24"/>
        </w:rPr>
      </w:pPr>
      <w:r>
        <w:rPr>
          <w:sz w:val="24"/>
        </w:rPr>
        <w:t>On 3 April 2019, the MIOSA issued a letter to the applicant wherein the MIOSA recommended that the respondent, with the assistance of Hyundai South Africa, have the vehicle booked and assessed for possible repairs, within 15 days, if</w:t>
      </w:r>
      <w:r>
        <w:rPr>
          <w:spacing w:val="-9"/>
          <w:sz w:val="24"/>
        </w:rPr>
        <w:t> </w:t>
      </w:r>
      <w:r>
        <w:rPr>
          <w:sz w:val="24"/>
        </w:rPr>
        <w:t>required.</w:t>
      </w:r>
    </w:p>
    <w:p>
      <w:pPr>
        <w:pStyle w:val="BodyText"/>
        <w:spacing w:before="1"/>
        <w:rPr>
          <w:sz w:val="36"/>
        </w:rPr>
      </w:pPr>
    </w:p>
    <w:p>
      <w:pPr>
        <w:pStyle w:val="ListParagraph"/>
        <w:numPr>
          <w:ilvl w:val="0"/>
          <w:numId w:val="1"/>
        </w:numPr>
        <w:tabs>
          <w:tab w:pos="667" w:val="left" w:leader="none"/>
        </w:tabs>
        <w:spacing w:line="360" w:lineRule="auto" w:before="1" w:after="0"/>
        <w:ind w:left="666" w:right="117" w:hanging="567"/>
        <w:jc w:val="both"/>
        <w:rPr>
          <w:sz w:val="24"/>
        </w:rPr>
      </w:pPr>
      <w:r>
        <w:rPr>
          <w:sz w:val="24"/>
        </w:rPr>
        <w:t>On 23 June 2020, the respondent undertook to comply with the MIOSA recommendation and commenced on 1 July 2020 with repairing the vehicle. The respondent offered the applicant a courtesy vehicle but refused to pay any depreciation costs claimed by the applicant. The parties were unable to resolve this</w:t>
      </w:r>
      <w:r>
        <w:rPr>
          <w:spacing w:val="-5"/>
          <w:sz w:val="24"/>
        </w:rPr>
        <w:t> </w:t>
      </w:r>
      <w:r>
        <w:rPr>
          <w:sz w:val="24"/>
        </w:rPr>
        <w:t>dispute.</w:t>
      </w:r>
    </w:p>
    <w:p>
      <w:pPr>
        <w:pStyle w:val="BodyText"/>
        <w:spacing w:before="10"/>
        <w:rPr>
          <w:sz w:val="35"/>
        </w:rPr>
      </w:pPr>
    </w:p>
    <w:p>
      <w:pPr>
        <w:pStyle w:val="ListParagraph"/>
        <w:numPr>
          <w:ilvl w:val="0"/>
          <w:numId w:val="1"/>
        </w:numPr>
        <w:tabs>
          <w:tab w:pos="667" w:val="left" w:leader="none"/>
        </w:tabs>
        <w:spacing w:line="360" w:lineRule="auto" w:before="0" w:after="0"/>
        <w:ind w:left="666" w:right="117" w:hanging="567"/>
        <w:jc w:val="both"/>
        <w:rPr>
          <w:sz w:val="24"/>
        </w:rPr>
      </w:pPr>
      <w:r>
        <w:rPr>
          <w:sz w:val="24"/>
        </w:rPr>
        <w:t>On 7 May 2019 the applicant lodged a complaint with the NCC. The NCC’s investigation report,</w:t>
      </w:r>
      <w:r>
        <w:rPr>
          <w:position w:val="6"/>
          <w:sz w:val="16"/>
        </w:rPr>
        <w:t>3</w:t>
      </w:r>
      <w:r>
        <w:rPr>
          <w:sz w:val="16"/>
        </w:rPr>
        <w:t> </w:t>
      </w:r>
      <w:r>
        <w:rPr>
          <w:sz w:val="24"/>
        </w:rPr>
        <w:t>prepared by inspector AA Mange, indicated as</w:t>
      </w:r>
      <w:r>
        <w:rPr>
          <w:spacing w:val="-3"/>
          <w:sz w:val="24"/>
        </w:rPr>
        <w:t> </w:t>
      </w:r>
      <w:r>
        <w:rPr>
          <w:sz w:val="24"/>
        </w:rPr>
        <w:t>follows:</w:t>
      </w:r>
    </w:p>
    <w:p>
      <w:pPr>
        <w:pStyle w:val="BodyText"/>
        <w:spacing w:before="10"/>
        <w:rPr>
          <w:sz w:val="35"/>
        </w:rPr>
      </w:pPr>
    </w:p>
    <w:p>
      <w:pPr>
        <w:pStyle w:val="ListParagraph"/>
        <w:numPr>
          <w:ilvl w:val="1"/>
          <w:numId w:val="1"/>
        </w:numPr>
        <w:tabs>
          <w:tab w:pos="1234" w:val="left" w:leader="none"/>
        </w:tabs>
        <w:spacing w:line="360" w:lineRule="auto" w:before="1" w:after="0"/>
        <w:ind w:left="1233" w:right="114" w:hanging="567"/>
        <w:jc w:val="left"/>
        <w:rPr>
          <w:sz w:val="24"/>
        </w:rPr>
      </w:pPr>
      <w:r>
        <w:rPr>
          <w:sz w:val="24"/>
        </w:rPr>
        <w:t>the case of </w:t>
      </w:r>
      <w:r>
        <w:rPr>
          <w:i/>
          <w:sz w:val="24"/>
        </w:rPr>
        <w:t>Georgios Vousvoukis v Queen Ace CC trading as Ace Motors </w:t>
      </w:r>
      <w:r>
        <w:rPr>
          <w:sz w:val="24"/>
        </w:rPr>
        <w:t>wherein Lordship Pickering indicated that a latent defect was not of such a serious nature that a reasonable purchaser in the position of the plaintiff would not have entered into the</w:t>
      </w:r>
      <w:r>
        <w:rPr>
          <w:spacing w:val="-29"/>
          <w:sz w:val="24"/>
        </w:rPr>
        <w:t> </w:t>
      </w:r>
      <w:r>
        <w:rPr>
          <w:sz w:val="24"/>
        </w:rPr>
        <w:t>sale;</w:t>
      </w:r>
    </w:p>
    <w:p>
      <w:pPr>
        <w:pStyle w:val="ListParagraph"/>
        <w:numPr>
          <w:ilvl w:val="1"/>
          <w:numId w:val="1"/>
        </w:numPr>
        <w:tabs>
          <w:tab w:pos="1259" w:val="left" w:leader="none"/>
          <w:tab w:pos="1260" w:val="left" w:leader="none"/>
        </w:tabs>
        <w:spacing w:line="360" w:lineRule="auto" w:before="1" w:after="0"/>
        <w:ind w:left="1233" w:right="121" w:hanging="567"/>
        <w:jc w:val="left"/>
        <w:rPr>
          <w:sz w:val="24"/>
        </w:rPr>
      </w:pPr>
      <w:r>
        <w:rPr>
          <w:sz w:val="24"/>
        </w:rPr>
        <w:t>the NCC was of the view that the defects complained about by the applicant were not material and not a defect as contemplated in section 53;</w:t>
      </w:r>
      <w:r>
        <w:rPr>
          <w:spacing w:val="-15"/>
          <w:sz w:val="24"/>
        </w:rPr>
        <w:t> </w:t>
      </w:r>
      <w:r>
        <w:rPr>
          <w:sz w:val="24"/>
        </w:rPr>
        <w:t>and</w:t>
      </w:r>
    </w:p>
    <w:p>
      <w:pPr>
        <w:pStyle w:val="ListParagraph"/>
        <w:numPr>
          <w:ilvl w:val="1"/>
          <w:numId w:val="1"/>
        </w:numPr>
        <w:tabs>
          <w:tab w:pos="1234" w:val="left" w:leader="none"/>
        </w:tabs>
        <w:spacing w:line="360" w:lineRule="auto" w:before="0" w:after="0"/>
        <w:ind w:left="1233" w:right="120" w:hanging="567"/>
        <w:jc w:val="left"/>
        <w:rPr>
          <w:sz w:val="24"/>
        </w:rPr>
      </w:pPr>
      <w:r>
        <w:rPr>
          <w:sz w:val="24"/>
        </w:rPr>
        <w:t>the recourse of cancellation of the transactions is disproportionate to the defects complained</w:t>
      </w:r>
      <w:r>
        <w:rPr>
          <w:spacing w:val="-1"/>
          <w:sz w:val="24"/>
        </w:rPr>
        <w:t> </w:t>
      </w:r>
      <w:r>
        <w:rPr>
          <w:sz w:val="24"/>
        </w:rPr>
        <w:t>about.</w:t>
      </w:r>
    </w:p>
    <w:p>
      <w:pPr>
        <w:pStyle w:val="BodyText"/>
        <w:spacing w:before="11"/>
        <w:rPr>
          <w:sz w:val="35"/>
        </w:rPr>
      </w:pPr>
    </w:p>
    <w:p>
      <w:pPr>
        <w:pStyle w:val="ListParagraph"/>
        <w:numPr>
          <w:ilvl w:val="0"/>
          <w:numId w:val="1"/>
        </w:numPr>
        <w:tabs>
          <w:tab w:pos="667" w:val="left" w:leader="none"/>
        </w:tabs>
        <w:spacing w:line="362" w:lineRule="auto" w:before="0" w:after="0"/>
        <w:ind w:left="666" w:right="119" w:hanging="567"/>
        <w:jc w:val="both"/>
        <w:rPr>
          <w:sz w:val="24"/>
        </w:rPr>
      </w:pPr>
      <w:r>
        <w:rPr/>
        <w:pict>
          <v:shape style="position:absolute;margin-left:72.024002pt;margin-top:45.200153pt;width:144.050pt;height:.1pt;mso-position-horizontal-relative:page;mso-position-vertical-relative:paragraph;z-index:-251655168;mso-wrap-distance-left:0;mso-wrap-distance-right:0" coordorigin="1440,904" coordsize="2881,0" path="m1440,904l4321,904e" filled="false" stroked="true" strokeweight=".71997pt" strokecolor="#000000">
            <v:path arrowok="t"/>
            <v:stroke dashstyle="solid"/>
            <w10:wrap type="topAndBottom"/>
          </v:shape>
        </w:pict>
      </w:r>
      <w:r>
        <w:rPr>
          <w:sz w:val="24"/>
        </w:rPr>
        <w:t>On 21 February 2020, the NCC issued a notice of non-referral stating that the applicant did not allege facts constituting grounds for a remedy under the</w:t>
      </w:r>
      <w:r>
        <w:rPr>
          <w:spacing w:val="-11"/>
          <w:sz w:val="24"/>
        </w:rPr>
        <w:t> </w:t>
      </w:r>
      <w:r>
        <w:rPr>
          <w:sz w:val="24"/>
        </w:rPr>
        <w:t>CPA.</w:t>
      </w:r>
    </w:p>
    <w:p>
      <w:pPr>
        <w:spacing w:before="70"/>
        <w:ind w:left="100" w:right="0" w:firstLine="0"/>
        <w:jc w:val="left"/>
        <w:rPr>
          <w:sz w:val="20"/>
        </w:rPr>
      </w:pPr>
      <w:r>
        <w:rPr>
          <w:position w:val="5"/>
          <w:sz w:val="13"/>
        </w:rPr>
        <w:t>3 </w:t>
      </w:r>
      <w:r>
        <w:rPr>
          <w:sz w:val="20"/>
        </w:rPr>
        <w:t>NCC investigation report Pg 35-50 of the bundle.</w:t>
      </w:r>
    </w:p>
    <w:p>
      <w:pPr>
        <w:spacing w:after="0"/>
        <w:jc w:val="left"/>
        <w:rPr>
          <w:sz w:val="20"/>
        </w:rPr>
        <w:sectPr>
          <w:pgSz w:w="11910" w:h="16840"/>
          <w:pgMar w:header="914" w:footer="1057" w:top="1520" w:bottom="1240" w:left="1340" w:right="1320"/>
        </w:sectPr>
      </w:pPr>
    </w:p>
    <w:p>
      <w:pPr>
        <w:pStyle w:val="BodyText"/>
        <w:spacing w:before="5"/>
        <w:rPr>
          <w:sz w:val="11"/>
        </w:rPr>
      </w:pPr>
    </w:p>
    <w:p>
      <w:pPr>
        <w:pStyle w:val="ListParagraph"/>
        <w:numPr>
          <w:ilvl w:val="0"/>
          <w:numId w:val="1"/>
        </w:numPr>
        <w:tabs>
          <w:tab w:pos="667" w:val="left" w:leader="none"/>
        </w:tabs>
        <w:spacing w:line="360" w:lineRule="auto" w:before="100" w:after="0"/>
        <w:ind w:left="666" w:right="117" w:hanging="567"/>
        <w:jc w:val="both"/>
        <w:rPr>
          <w:sz w:val="24"/>
        </w:rPr>
      </w:pPr>
      <w:r>
        <w:rPr>
          <w:sz w:val="24"/>
        </w:rPr>
        <w:t>On 17 February 2021, the applicant approached the Tribunal by filing an application for leave to refer the complaint directly to the Tribunal. The Tribunal heard the matter on an unopposed basis and on 15 December 2021 issued a judgment</w:t>
      </w:r>
      <w:r>
        <w:rPr>
          <w:position w:val="6"/>
          <w:sz w:val="16"/>
        </w:rPr>
        <w:t>4 </w:t>
      </w:r>
      <w:r>
        <w:rPr>
          <w:sz w:val="24"/>
        </w:rPr>
        <w:t>granting the applicant leave to refer the matter directly to the Tribunal in terms of section</w:t>
      </w:r>
      <w:r>
        <w:rPr>
          <w:spacing w:val="-6"/>
          <w:sz w:val="24"/>
        </w:rPr>
        <w:t> </w:t>
      </w:r>
      <w:r>
        <w:rPr>
          <w:sz w:val="24"/>
        </w:rPr>
        <w:t>75(1)(b).</w:t>
      </w:r>
    </w:p>
    <w:p>
      <w:pPr>
        <w:pStyle w:val="BodyText"/>
        <w:spacing w:before="4"/>
      </w:pPr>
    </w:p>
    <w:p>
      <w:pPr>
        <w:pStyle w:val="Heading1"/>
        <w:spacing w:before="1"/>
      </w:pPr>
      <w:r>
        <w:rPr/>
        <w:t>ANALYSIS</w:t>
      </w:r>
    </w:p>
    <w:p>
      <w:pPr>
        <w:pStyle w:val="BodyText"/>
        <w:spacing w:before="10"/>
        <w:rPr>
          <w:b/>
          <w:sz w:val="23"/>
        </w:rPr>
      </w:pPr>
    </w:p>
    <w:p>
      <w:pPr>
        <w:pStyle w:val="BodyText"/>
        <w:ind w:left="100"/>
      </w:pPr>
      <w:r>
        <w:rPr/>
        <w:t>Relevant legislative provisions</w:t>
      </w:r>
    </w:p>
    <w:p>
      <w:pPr>
        <w:pStyle w:val="BodyText"/>
        <w:rPr>
          <w:sz w:val="36"/>
        </w:rPr>
      </w:pPr>
    </w:p>
    <w:p>
      <w:pPr>
        <w:pStyle w:val="ListParagraph"/>
        <w:numPr>
          <w:ilvl w:val="0"/>
          <w:numId w:val="1"/>
        </w:numPr>
        <w:tabs>
          <w:tab w:pos="667" w:val="left" w:leader="none"/>
        </w:tabs>
        <w:spacing w:line="360" w:lineRule="auto" w:before="0" w:after="0"/>
        <w:ind w:left="666" w:right="118" w:hanging="567"/>
        <w:jc w:val="both"/>
        <w:rPr>
          <w:sz w:val="24"/>
        </w:rPr>
      </w:pPr>
      <w:r>
        <w:rPr>
          <w:sz w:val="24"/>
        </w:rPr>
        <w:t>Below, we consider the sections of the CPA that the applicant relies upon in so far as it is applicable to this case. Chapter 2 of the CPA concerns fundamental consumer rights. It is convenient to set out the relevant sections in chapter 2 that determine this</w:t>
      </w:r>
      <w:r>
        <w:rPr>
          <w:spacing w:val="-20"/>
          <w:sz w:val="24"/>
        </w:rPr>
        <w:t> </w:t>
      </w:r>
      <w:r>
        <w:rPr>
          <w:sz w:val="24"/>
        </w:rPr>
        <w:t>application.</w:t>
      </w:r>
    </w:p>
    <w:p>
      <w:pPr>
        <w:pStyle w:val="BodyText"/>
        <w:spacing w:before="2"/>
        <w:rPr>
          <w:sz w:val="36"/>
        </w:rPr>
      </w:pPr>
    </w:p>
    <w:p>
      <w:pPr>
        <w:pStyle w:val="BodyText"/>
        <w:ind w:left="100"/>
      </w:pPr>
      <w:r>
        <w:rPr/>
        <w:t>Definition</w:t>
      </w:r>
    </w:p>
    <w:p>
      <w:pPr>
        <w:pStyle w:val="BodyText"/>
        <w:rPr>
          <w:sz w:val="28"/>
        </w:rPr>
      </w:pPr>
    </w:p>
    <w:p>
      <w:pPr>
        <w:spacing w:before="229"/>
        <w:ind w:left="100" w:right="0" w:firstLine="0"/>
        <w:jc w:val="left"/>
        <w:rPr>
          <w:i/>
          <w:sz w:val="24"/>
        </w:rPr>
      </w:pPr>
      <w:r>
        <w:rPr>
          <w:i/>
          <w:sz w:val="24"/>
        </w:rPr>
        <w:t>Section 53: Meaning of “defect.”</w:t>
      </w:r>
    </w:p>
    <w:p>
      <w:pPr>
        <w:pStyle w:val="BodyText"/>
        <w:rPr>
          <w:i/>
          <w:sz w:val="28"/>
        </w:rPr>
      </w:pPr>
    </w:p>
    <w:p>
      <w:pPr>
        <w:pStyle w:val="ListParagraph"/>
        <w:numPr>
          <w:ilvl w:val="0"/>
          <w:numId w:val="1"/>
        </w:numPr>
        <w:tabs>
          <w:tab w:pos="666" w:val="left" w:leader="none"/>
          <w:tab w:pos="667" w:val="left" w:leader="none"/>
        </w:tabs>
        <w:spacing w:line="240" w:lineRule="auto" w:before="229" w:after="0"/>
        <w:ind w:left="666" w:right="0" w:hanging="567"/>
        <w:jc w:val="left"/>
        <w:rPr>
          <w:sz w:val="24"/>
        </w:rPr>
      </w:pPr>
      <w:r>
        <w:rPr>
          <w:sz w:val="24"/>
        </w:rPr>
        <w:t>In the context of goods, section 53 (1)(a) defines a "defect"</w:t>
      </w:r>
      <w:r>
        <w:rPr>
          <w:spacing w:val="-6"/>
          <w:sz w:val="24"/>
        </w:rPr>
        <w:t> </w:t>
      </w:r>
      <w:r>
        <w:rPr>
          <w:sz w:val="24"/>
        </w:rPr>
        <w:t>as:</w:t>
      </w:r>
    </w:p>
    <w:p>
      <w:pPr>
        <w:pStyle w:val="ListParagraph"/>
        <w:numPr>
          <w:ilvl w:val="0"/>
          <w:numId w:val="3"/>
        </w:numPr>
        <w:tabs>
          <w:tab w:pos="896" w:val="left" w:leader="none"/>
        </w:tabs>
        <w:spacing w:line="360" w:lineRule="auto" w:before="137" w:after="0"/>
        <w:ind w:left="887" w:right="236" w:hanging="221"/>
        <w:jc w:val="left"/>
        <w:rPr>
          <w:sz w:val="24"/>
        </w:rPr>
      </w:pPr>
      <w:r>
        <w:rPr>
          <w:sz w:val="24"/>
        </w:rPr>
        <w:t>"any</w:t>
      </w:r>
      <w:r>
        <w:rPr>
          <w:spacing w:val="-4"/>
          <w:sz w:val="24"/>
        </w:rPr>
        <w:t> </w:t>
      </w:r>
      <w:r>
        <w:rPr>
          <w:sz w:val="24"/>
        </w:rPr>
        <w:t>material</w:t>
      </w:r>
      <w:r>
        <w:rPr>
          <w:spacing w:val="-4"/>
          <w:sz w:val="24"/>
        </w:rPr>
        <w:t> </w:t>
      </w:r>
      <w:r>
        <w:rPr>
          <w:sz w:val="24"/>
        </w:rPr>
        <w:t>imperfection</w:t>
      </w:r>
      <w:r>
        <w:rPr>
          <w:spacing w:val="-2"/>
          <w:sz w:val="24"/>
        </w:rPr>
        <w:t> </w:t>
      </w:r>
      <w:r>
        <w:rPr>
          <w:sz w:val="24"/>
        </w:rPr>
        <w:t>in</w:t>
      </w:r>
      <w:r>
        <w:rPr>
          <w:spacing w:val="-3"/>
          <w:sz w:val="24"/>
        </w:rPr>
        <w:t> </w:t>
      </w:r>
      <w:r>
        <w:rPr>
          <w:sz w:val="24"/>
        </w:rPr>
        <w:t>the</w:t>
      </w:r>
      <w:r>
        <w:rPr>
          <w:spacing w:val="-2"/>
          <w:sz w:val="24"/>
        </w:rPr>
        <w:t> </w:t>
      </w:r>
      <w:r>
        <w:rPr>
          <w:sz w:val="24"/>
        </w:rPr>
        <w:t>manufacture</w:t>
      </w:r>
      <w:r>
        <w:rPr>
          <w:spacing w:val="-5"/>
          <w:sz w:val="24"/>
        </w:rPr>
        <w:t> </w:t>
      </w:r>
      <w:r>
        <w:rPr>
          <w:spacing w:val="2"/>
          <w:sz w:val="24"/>
        </w:rPr>
        <w:t>of</w:t>
      </w:r>
      <w:r>
        <w:rPr>
          <w:spacing w:val="-2"/>
          <w:sz w:val="24"/>
        </w:rPr>
        <w:t> </w:t>
      </w:r>
      <w:r>
        <w:rPr>
          <w:sz w:val="24"/>
        </w:rPr>
        <w:t>the</w:t>
      </w:r>
      <w:r>
        <w:rPr>
          <w:spacing w:val="-5"/>
          <w:sz w:val="24"/>
        </w:rPr>
        <w:t> </w:t>
      </w:r>
      <w:r>
        <w:rPr>
          <w:sz w:val="24"/>
        </w:rPr>
        <w:t>goods</w:t>
      </w:r>
      <w:r>
        <w:rPr>
          <w:spacing w:val="-3"/>
          <w:sz w:val="24"/>
        </w:rPr>
        <w:t> </w:t>
      </w:r>
      <w:r>
        <w:rPr>
          <w:sz w:val="24"/>
        </w:rPr>
        <w:t>or</w:t>
      </w:r>
      <w:r>
        <w:rPr>
          <w:spacing w:val="-3"/>
          <w:sz w:val="24"/>
        </w:rPr>
        <w:t> </w:t>
      </w:r>
      <w:r>
        <w:rPr>
          <w:sz w:val="24"/>
        </w:rPr>
        <w:t>components,</w:t>
      </w:r>
      <w:r>
        <w:rPr>
          <w:spacing w:val="-4"/>
          <w:sz w:val="24"/>
        </w:rPr>
        <w:t> </w:t>
      </w:r>
      <w:r>
        <w:rPr>
          <w:sz w:val="24"/>
        </w:rPr>
        <w:t>or</w:t>
      </w:r>
      <w:r>
        <w:rPr>
          <w:spacing w:val="-3"/>
          <w:sz w:val="24"/>
        </w:rPr>
        <w:t> </w:t>
      </w:r>
      <w:r>
        <w:rPr>
          <w:sz w:val="24"/>
        </w:rPr>
        <w:t>performance</w:t>
      </w:r>
      <w:r>
        <w:rPr>
          <w:spacing w:val="-2"/>
          <w:sz w:val="24"/>
        </w:rPr>
        <w:t> </w:t>
      </w:r>
      <w:r>
        <w:rPr>
          <w:sz w:val="24"/>
        </w:rPr>
        <w:t>of the services, that renders the goods or results of the services less acceptable than persons generally would be reasonably entitled to expect in the circumstances;</w:t>
      </w:r>
      <w:r>
        <w:rPr>
          <w:spacing w:val="-17"/>
          <w:sz w:val="24"/>
        </w:rPr>
        <w:t> </w:t>
      </w:r>
      <w:r>
        <w:rPr>
          <w:sz w:val="24"/>
        </w:rPr>
        <w:t>or</w:t>
      </w:r>
    </w:p>
    <w:p>
      <w:pPr>
        <w:pStyle w:val="ListParagraph"/>
        <w:numPr>
          <w:ilvl w:val="0"/>
          <w:numId w:val="3"/>
        </w:numPr>
        <w:tabs>
          <w:tab w:pos="938" w:val="left" w:leader="none"/>
        </w:tabs>
        <w:spacing w:line="360" w:lineRule="auto" w:before="2" w:after="0"/>
        <w:ind w:left="923" w:right="408" w:hanging="257"/>
        <w:jc w:val="left"/>
        <w:rPr>
          <w:sz w:val="24"/>
        </w:rPr>
      </w:pPr>
      <w:r>
        <w:rPr>
          <w:sz w:val="24"/>
        </w:rPr>
        <w:t>any characteristic of the goods or components that renders the goods or components less useful, practicable or safe than persons generally would be reasonably entitled to expect in the</w:t>
      </w:r>
      <w:r>
        <w:rPr>
          <w:spacing w:val="-1"/>
          <w:sz w:val="24"/>
        </w:rPr>
        <w:t> </w:t>
      </w:r>
      <w:r>
        <w:rPr>
          <w:sz w:val="24"/>
        </w:rPr>
        <w:t>circumstances."</w:t>
      </w:r>
    </w:p>
    <w:p>
      <w:pPr>
        <w:pStyle w:val="BodyText"/>
        <w:spacing w:before="10"/>
        <w:rPr>
          <w:sz w:val="35"/>
        </w:rPr>
      </w:pPr>
    </w:p>
    <w:p>
      <w:pPr>
        <w:spacing w:before="1"/>
        <w:ind w:left="100" w:right="0" w:firstLine="0"/>
        <w:jc w:val="left"/>
        <w:rPr>
          <w:i/>
          <w:sz w:val="24"/>
        </w:rPr>
      </w:pPr>
      <w:r>
        <w:rPr>
          <w:i/>
          <w:sz w:val="24"/>
        </w:rPr>
        <w:t>Section 54: Consumer’s rights to demand quality service</w:t>
      </w:r>
    </w:p>
    <w:p>
      <w:pPr>
        <w:pStyle w:val="BodyText"/>
        <w:rPr>
          <w:i/>
          <w:sz w:val="28"/>
        </w:rPr>
      </w:pPr>
    </w:p>
    <w:p>
      <w:pPr>
        <w:pStyle w:val="ListParagraph"/>
        <w:numPr>
          <w:ilvl w:val="0"/>
          <w:numId w:val="1"/>
        </w:numPr>
        <w:tabs>
          <w:tab w:pos="666" w:val="left" w:leader="none"/>
          <w:tab w:pos="667" w:val="left" w:leader="none"/>
        </w:tabs>
        <w:spacing w:line="360" w:lineRule="auto" w:before="231" w:after="0"/>
        <w:ind w:left="681" w:right="781" w:hanging="581"/>
        <w:jc w:val="left"/>
        <w:rPr>
          <w:sz w:val="24"/>
        </w:rPr>
      </w:pPr>
      <w:r>
        <w:rPr>
          <w:sz w:val="24"/>
        </w:rPr>
        <w:t>Section 54 (2) provides as follows: “If a supplier fails to perform a service to the</w:t>
      </w:r>
      <w:r>
        <w:rPr>
          <w:spacing w:val="-39"/>
          <w:sz w:val="24"/>
        </w:rPr>
        <w:t> </w:t>
      </w:r>
      <w:r>
        <w:rPr>
          <w:sz w:val="24"/>
        </w:rPr>
        <w:t>standards contemplated in</w:t>
      </w:r>
      <w:r>
        <w:rPr>
          <w:spacing w:val="-3"/>
          <w:sz w:val="24"/>
        </w:rPr>
        <w:t> </w:t>
      </w:r>
      <w:r>
        <w:rPr>
          <w:sz w:val="24"/>
        </w:rPr>
        <w:t>subsection</w:t>
      </w:r>
    </w:p>
    <w:p>
      <w:pPr>
        <w:pStyle w:val="ListParagraph"/>
        <w:numPr>
          <w:ilvl w:val="0"/>
          <w:numId w:val="4"/>
        </w:numPr>
        <w:tabs>
          <w:tab w:pos="962" w:val="left" w:leader="none"/>
        </w:tabs>
        <w:spacing w:line="240" w:lineRule="auto" w:before="0" w:after="0"/>
        <w:ind w:left="962" w:right="0" w:hanging="296"/>
        <w:jc w:val="left"/>
        <w:rPr>
          <w:sz w:val="24"/>
        </w:rPr>
      </w:pPr>
      <w:r>
        <w:rPr>
          <w:sz w:val="24"/>
        </w:rPr>
        <w:t>the consumer may require the supplier to</w:t>
      </w:r>
      <w:r>
        <w:rPr>
          <w:spacing w:val="-5"/>
          <w:sz w:val="24"/>
        </w:rPr>
        <w:t> </w:t>
      </w:r>
      <w:r>
        <w:rPr>
          <w:sz w:val="24"/>
        </w:rPr>
        <w:t>either—</w:t>
      </w:r>
    </w:p>
    <w:p>
      <w:pPr>
        <w:pStyle w:val="ListParagraph"/>
        <w:numPr>
          <w:ilvl w:val="1"/>
          <w:numId w:val="4"/>
        </w:numPr>
        <w:tabs>
          <w:tab w:pos="963" w:val="left" w:leader="none"/>
        </w:tabs>
        <w:spacing w:line="240" w:lineRule="auto" w:before="137" w:after="0"/>
        <w:ind w:left="962" w:right="0" w:hanging="297"/>
        <w:jc w:val="left"/>
        <w:rPr>
          <w:sz w:val="24"/>
        </w:rPr>
      </w:pPr>
      <w:r>
        <w:rPr>
          <w:sz w:val="24"/>
        </w:rPr>
        <w:t>……</w:t>
      </w:r>
    </w:p>
    <w:p>
      <w:pPr>
        <w:pStyle w:val="ListParagraph"/>
        <w:numPr>
          <w:ilvl w:val="1"/>
          <w:numId w:val="4"/>
        </w:numPr>
        <w:tabs>
          <w:tab w:pos="963" w:val="left" w:leader="none"/>
        </w:tabs>
        <w:spacing w:line="360" w:lineRule="auto" w:before="138" w:after="0"/>
        <w:ind w:left="942" w:right="324" w:hanging="276"/>
        <w:jc w:val="left"/>
        <w:rPr>
          <w:sz w:val="24"/>
        </w:rPr>
      </w:pPr>
      <w:r>
        <w:rPr>
          <w:sz w:val="24"/>
        </w:rPr>
        <w:t>refund to the consumer a reasonable portion of the price paid for the service performed and goods supplied, having regard to the extent of the failure”.</w:t>
      </w:r>
      <w:r>
        <w:rPr>
          <w:spacing w:val="43"/>
          <w:sz w:val="24"/>
        </w:rPr>
        <w:t> </w:t>
      </w:r>
      <w:r>
        <w:rPr>
          <w:sz w:val="24"/>
        </w:rPr>
        <w:t>I</w:t>
      </w:r>
    </w:p>
    <w:p>
      <w:pPr>
        <w:spacing w:after="0" w:line="360" w:lineRule="auto"/>
        <w:jc w:val="left"/>
        <w:rPr>
          <w:sz w:val="24"/>
        </w:rPr>
        <w:sectPr>
          <w:headerReference w:type="default" r:id="rId7"/>
          <w:footerReference w:type="default" r:id="rId8"/>
          <w:pgSz w:w="11910" w:h="16840"/>
          <w:pgMar w:header="914" w:footer="1584" w:top="1520" w:bottom="1780" w:left="1340" w:right="1320"/>
          <w:pgNumType w:start="6"/>
        </w:sectPr>
      </w:pPr>
    </w:p>
    <w:p>
      <w:pPr>
        <w:pStyle w:val="BodyText"/>
        <w:spacing w:before="5"/>
        <w:rPr>
          <w:sz w:val="11"/>
        </w:rPr>
      </w:pPr>
    </w:p>
    <w:p>
      <w:pPr>
        <w:spacing w:before="100"/>
        <w:ind w:left="100" w:right="0" w:firstLine="0"/>
        <w:jc w:val="left"/>
        <w:rPr>
          <w:i/>
          <w:sz w:val="24"/>
        </w:rPr>
      </w:pPr>
      <w:r>
        <w:rPr>
          <w:i/>
          <w:sz w:val="24"/>
        </w:rPr>
        <w:t>Section 55: Consumer’s right to safe, good quality goods</w:t>
      </w:r>
    </w:p>
    <w:p>
      <w:pPr>
        <w:pStyle w:val="BodyText"/>
        <w:rPr>
          <w:i/>
          <w:sz w:val="28"/>
        </w:rPr>
      </w:pPr>
    </w:p>
    <w:p>
      <w:pPr>
        <w:pStyle w:val="ListParagraph"/>
        <w:numPr>
          <w:ilvl w:val="0"/>
          <w:numId w:val="1"/>
        </w:numPr>
        <w:tabs>
          <w:tab w:pos="666" w:val="left" w:leader="none"/>
          <w:tab w:pos="667" w:val="left" w:leader="none"/>
        </w:tabs>
        <w:spacing w:line="360" w:lineRule="auto" w:before="229" w:after="0"/>
        <w:ind w:left="666" w:right="115" w:hanging="567"/>
        <w:jc w:val="left"/>
        <w:rPr>
          <w:sz w:val="24"/>
        </w:rPr>
      </w:pPr>
      <w:r>
        <w:rPr>
          <w:sz w:val="24"/>
        </w:rPr>
        <w:t>Section 55 (2)(a), (b) and (c) respectively give a consumer the right to receive goods that are reasonably suitable for their intended purpose; are of good quality, in good working order, and free of defects; and usable and durable for their normal use for a reasonable</w:t>
      </w:r>
      <w:r>
        <w:rPr>
          <w:spacing w:val="-25"/>
          <w:sz w:val="24"/>
        </w:rPr>
        <w:t> </w:t>
      </w:r>
      <w:r>
        <w:rPr>
          <w:sz w:val="24"/>
        </w:rPr>
        <w:t>time.</w:t>
      </w:r>
    </w:p>
    <w:p>
      <w:pPr>
        <w:pStyle w:val="BodyText"/>
        <w:spacing w:before="1"/>
        <w:rPr>
          <w:sz w:val="36"/>
        </w:rPr>
      </w:pPr>
    </w:p>
    <w:p>
      <w:pPr>
        <w:pStyle w:val="ListParagraph"/>
        <w:numPr>
          <w:ilvl w:val="0"/>
          <w:numId w:val="1"/>
        </w:numPr>
        <w:tabs>
          <w:tab w:pos="667" w:val="left" w:leader="none"/>
        </w:tabs>
        <w:spacing w:line="360" w:lineRule="auto" w:before="0" w:after="0"/>
        <w:ind w:left="666" w:right="114" w:hanging="567"/>
        <w:jc w:val="both"/>
        <w:rPr>
          <w:sz w:val="24"/>
        </w:rPr>
      </w:pPr>
      <w:r>
        <w:rPr>
          <w:sz w:val="24"/>
        </w:rPr>
        <w:t>Section 55(2)(b) gives a consumer the right, except to the extent contemplated in subsection (6), to receive goods that—(a) are reasonably suitable for the purposes for which they are generally intended.”</w:t>
      </w:r>
    </w:p>
    <w:p>
      <w:pPr>
        <w:pStyle w:val="BodyText"/>
        <w:rPr>
          <w:sz w:val="36"/>
        </w:rPr>
      </w:pPr>
    </w:p>
    <w:p>
      <w:pPr>
        <w:spacing w:before="0"/>
        <w:ind w:left="100" w:right="0" w:firstLine="0"/>
        <w:jc w:val="left"/>
        <w:rPr>
          <w:i/>
          <w:sz w:val="24"/>
        </w:rPr>
      </w:pPr>
      <w:r>
        <w:rPr>
          <w:i/>
          <w:sz w:val="24"/>
        </w:rPr>
        <w:t>Section 56: Implied warranty of quality</w:t>
      </w:r>
    </w:p>
    <w:p>
      <w:pPr>
        <w:pStyle w:val="BodyText"/>
        <w:rPr>
          <w:i/>
          <w:sz w:val="28"/>
        </w:rPr>
      </w:pPr>
    </w:p>
    <w:p>
      <w:pPr>
        <w:pStyle w:val="ListParagraph"/>
        <w:numPr>
          <w:ilvl w:val="0"/>
          <w:numId w:val="1"/>
        </w:numPr>
        <w:tabs>
          <w:tab w:pos="639" w:val="left" w:leader="none"/>
        </w:tabs>
        <w:spacing w:line="360" w:lineRule="auto" w:before="229" w:after="0"/>
        <w:ind w:left="666" w:right="113" w:hanging="567"/>
        <w:jc w:val="both"/>
        <w:rPr>
          <w:sz w:val="24"/>
        </w:rPr>
      </w:pPr>
      <w:r>
        <w:rPr>
          <w:sz w:val="24"/>
        </w:rPr>
        <w:t>Section 56 (2) gives the consumer the right to return the goods to the supplier within six months after delivery if the supplier does not meet the requirements and standards contemplated in section 55. In that event, the supplier must, at the consumer’s discretion, without imposing a penalty and at the supplier’s risk and expense, either (a) repair or replace the failed, unsafe, or defective goods, or (b) refund the price the consumer paid for the</w:t>
      </w:r>
      <w:r>
        <w:rPr>
          <w:spacing w:val="-11"/>
          <w:sz w:val="24"/>
        </w:rPr>
        <w:t> </w:t>
      </w:r>
      <w:r>
        <w:rPr>
          <w:sz w:val="24"/>
        </w:rPr>
        <w:t>goods.</w:t>
      </w:r>
    </w:p>
    <w:p>
      <w:pPr>
        <w:pStyle w:val="BodyText"/>
        <w:spacing w:before="1"/>
        <w:rPr>
          <w:sz w:val="36"/>
        </w:rPr>
      </w:pPr>
    </w:p>
    <w:p>
      <w:pPr>
        <w:pStyle w:val="Heading1"/>
        <w:ind w:left="155"/>
      </w:pPr>
      <w:r>
        <w:rPr/>
        <w:t>The non-aligned boot lid of the replacement vehicle.</w:t>
      </w:r>
    </w:p>
    <w:p>
      <w:pPr>
        <w:pStyle w:val="BodyText"/>
        <w:rPr>
          <w:b/>
          <w:sz w:val="28"/>
        </w:rPr>
      </w:pPr>
    </w:p>
    <w:p>
      <w:pPr>
        <w:pStyle w:val="ListParagraph"/>
        <w:numPr>
          <w:ilvl w:val="0"/>
          <w:numId w:val="1"/>
        </w:numPr>
        <w:tabs>
          <w:tab w:pos="667" w:val="left" w:leader="none"/>
        </w:tabs>
        <w:spacing w:line="360" w:lineRule="auto" w:before="229" w:after="0"/>
        <w:ind w:left="666" w:right="115" w:hanging="567"/>
        <w:jc w:val="both"/>
        <w:rPr>
          <w:sz w:val="24"/>
        </w:rPr>
      </w:pPr>
      <w:r>
        <w:rPr>
          <w:sz w:val="24"/>
        </w:rPr>
        <w:t>Parliament introduced the CPA into the South African consumer landscape to promote consumers’ social and economic welfare. It is against this framework that the Tribunal conducts its analysis of the facts of this matter with reference to the relevant sections of the CPA. In realising consumer rights, the Tribunal (or a court) must develop the common law and promote the spirit and purpose of the CPA. More importantly, the Tribunal must also make appropriate orders to give effect to a consumer’s right of access to</w:t>
      </w:r>
      <w:r>
        <w:rPr>
          <w:spacing w:val="-15"/>
          <w:sz w:val="24"/>
        </w:rPr>
        <w:t> </w:t>
      </w:r>
      <w:r>
        <w:rPr>
          <w:sz w:val="24"/>
        </w:rPr>
        <w:t>redress.</w:t>
      </w:r>
    </w:p>
    <w:p>
      <w:pPr>
        <w:pStyle w:val="BodyText"/>
        <w:spacing w:before="1"/>
        <w:rPr>
          <w:sz w:val="36"/>
        </w:rPr>
      </w:pPr>
    </w:p>
    <w:p>
      <w:pPr>
        <w:pStyle w:val="ListParagraph"/>
        <w:numPr>
          <w:ilvl w:val="0"/>
          <w:numId w:val="1"/>
        </w:numPr>
        <w:tabs>
          <w:tab w:pos="651" w:val="left" w:leader="none"/>
        </w:tabs>
        <w:spacing w:line="360" w:lineRule="auto" w:before="0" w:after="0"/>
        <w:ind w:left="666" w:right="115" w:hanging="567"/>
        <w:jc w:val="both"/>
        <w:rPr>
          <w:sz w:val="24"/>
        </w:rPr>
      </w:pPr>
      <w:r>
        <w:rPr/>
        <w:pict>
          <v:shape style="position:absolute;margin-left:72.024002pt;margin-top:107.120155pt;width:144.050pt;height:.1pt;mso-position-horizontal-relative:page;mso-position-vertical-relative:paragraph;z-index:-251654144;mso-wrap-distance-left:0;mso-wrap-distance-right:0" coordorigin="1440,2142" coordsize="2881,0" path="m1440,2142l4321,2142e" filled="false" stroked="true" strokeweight=".71997pt" strokecolor="#000000">
            <v:path arrowok="t"/>
            <v:stroke dashstyle="solid"/>
            <w10:wrap type="topAndBottom"/>
          </v:shape>
        </w:pict>
      </w:r>
      <w:r>
        <w:rPr>
          <w:sz w:val="24"/>
        </w:rPr>
        <w:t>In our analysis of this matter, the Tribunal takes cognisance of the recent Supreme Court of Appeal (“the SCA”) matter, </w:t>
      </w:r>
      <w:r>
        <w:rPr>
          <w:i/>
          <w:sz w:val="24"/>
        </w:rPr>
        <w:t>Motus Corporation (Pty) Ltd and Another v Wentzel</w:t>
      </w:r>
      <w:r>
        <w:rPr>
          <w:sz w:val="24"/>
        </w:rPr>
        <w:t>.</w:t>
      </w:r>
      <w:r>
        <w:rPr>
          <w:position w:val="6"/>
          <w:sz w:val="16"/>
        </w:rPr>
        <w:t>5 </w:t>
      </w:r>
      <w:r>
        <w:rPr>
          <w:sz w:val="24"/>
        </w:rPr>
        <w:t>This case provided guidance when considering what may constitute a defect entitling a consumer to a purchase price refund within the meaning of section 53. The Tribunal deals with this aspect below.</w:t>
      </w:r>
    </w:p>
    <w:p>
      <w:pPr>
        <w:spacing w:before="70"/>
        <w:ind w:left="100" w:right="0" w:firstLine="0"/>
        <w:jc w:val="left"/>
        <w:rPr>
          <w:sz w:val="20"/>
        </w:rPr>
      </w:pPr>
      <w:r>
        <w:rPr>
          <w:position w:val="5"/>
          <w:sz w:val="13"/>
        </w:rPr>
        <w:t>5 </w:t>
      </w:r>
      <w:r>
        <w:rPr>
          <w:i/>
          <w:sz w:val="20"/>
        </w:rPr>
        <w:t>Motus Corporation (Pty) Ltd t/a Zambezi Multi Franchise and Another v Wentzel </w:t>
      </w:r>
      <w:r>
        <w:rPr>
          <w:sz w:val="20"/>
        </w:rPr>
        <w:t>[2021] All SA 98 (SCA).</w:t>
      </w:r>
    </w:p>
    <w:p>
      <w:pPr>
        <w:spacing w:after="0"/>
        <w:jc w:val="left"/>
        <w:rPr>
          <w:sz w:val="20"/>
        </w:rPr>
        <w:sectPr>
          <w:headerReference w:type="default" r:id="rId9"/>
          <w:footerReference w:type="default" r:id="rId10"/>
          <w:pgSz w:w="11910" w:h="16840"/>
          <w:pgMar w:header="914" w:footer="1057" w:top="1520" w:bottom="1240" w:left="1340" w:right="1320"/>
        </w:sectPr>
      </w:pPr>
    </w:p>
    <w:p>
      <w:pPr>
        <w:pStyle w:val="BodyText"/>
        <w:spacing w:before="5"/>
        <w:rPr>
          <w:sz w:val="11"/>
        </w:rPr>
      </w:pPr>
    </w:p>
    <w:p>
      <w:pPr>
        <w:pStyle w:val="ListParagraph"/>
        <w:numPr>
          <w:ilvl w:val="0"/>
          <w:numId w:val="1"/>
        </w:numPr>
        <w:tabs>
          <w:tab w:pos="667" w:val="left" w:leader="none"/>
        </w:tabs>
        <w:spacing w:line="360" w:lineRule="auto" w:before="100" w:after="0"/>
        <w:ind w:left="666" w:right="113" w:hanging="567"/>
        <w:jc w:val="both"/>
        <w:rPr>
          <w:sz w:val="24"/>
        </w:rPr>
      </w:pPr>
      <w:r>
        <w:rPr>
          <w:sz w:val="24"/>
        </w:rPr>
        <w:t>The essential basis of the applicant’s case is that the respondent sold him a new vehicle (the replacement vehicle); that he financed the full purchase price of the new vehicle; that the new vehicle is defective because the boot lid of the vehicle is not properly aligned; and because the new vehicle was fitted with a “used” radio. The “used” radio was later fitted by the respondent with a new radio and this matter is</w:t>
      </w:r>
      <w:r>
        <w:rPr>
          <w:spacing w:val="-1"/>
          <w:sz w:val="24"/>
        </w:rPr>
        <w:t> </w:t>
      </w:r>
      <w:r>
        <w:rPr>
          <w:sz w:val="24"/>
        </w:rPr>
        <w:t>moot.</w:t>
      </w:r>
    </w:p>
    <w:p>
      <w:pPr>
        <w:pStyle w:val="BodyText"/>
        <w:spacing w:before="1"/>
        <w:rPr>
          <w:sz w:val="36"/>
        </w:rPr>
      </w:pPr>
    </w:p>
    <w:p>
      <w:pPr>
        <w:pStyle w:val="ListParagraph"/>
        <w:numPr>
          <w:ilvl w:val="0"/>
          <w:numId w:val="1"/>
        </w:numPr>
        <w:tabs>
          <w:tab w:pos="619" w:val="left" w:leader="none"/>
        </w:tabs>
        <w:spacing w:line="360" w:lineRule="auto" w:before="0" w:after="0"/>
        <w:ind w:left="666" w:right="114" w:hanging="567"/>
        <w:jc w:val="both"/>
        <w:rPr>
          <w:sz w:val="24"/>
        </w:rPr>
      </w:pPr>
      <w:r>
        <w:rPr>
          <w:sz w:val="24"/>
        </w:rPr>
        <w:t>Turning to the non-aligned boot lid of the replacement vehicle, the applicant’s main submission is that a new vehicle should not have a defect such as a non-aligned boot lid; that he is entitled to receive the new vehicle for which he paid the full purchase price with an aligned boot lid; and because this was not the case, he is entitled to pay a reduced purchase price for the vehicle</w:t>
      </w:r>
      <w:r>
        <w:rPr>
          <w:i/>
          <w:sz w:val="24"/>
        </w:rPr>
        <w:t>. </w:t>
      </w:r>
      <w:r>
        <w:rPr>
          <w:sz w:val="24"/>
        </w:rPr>
        <w:t>The applicant relies on sections 53; 54(2)(b); 55(2)(b) and 56(2) as a basis for alleging a contravention of the CPA by the respondent and thus seeks a finding of prohibited conduct against the respondent.</w:t>
      </w:r>
    </w:p>
    <w:p>
      <w:pPr>
        <w:pStyle w:val="BodyText"/>
        <w:rPr>
          <w:sz w:val="36"/>
        </w:rPr>
      </w:pPr>
    </w:p>
    <w:p>
      <w:pPr>
        <w:pStyle w:val="ListParagraph"/>
        <w:numPr>
          <w:ilvl w:val="0"/>
          <w:numId w:val="1"/>
        </w:numPr>
        <w:tabs>
          <w:tab w:pos="667" w:val="left" w:leader="none"/>
        </w:tabs>
        <w:spacing w:line="360" w:lineRule="auto" w:before="1" w:after="0"/>
        <w:ind w:left="666" w:right="120" w:hanging="567"/>
        <w:jc w:val="both"/>
        <w:rPr>
          <w:sz w:val="24"/>
        </w:rPr>
      </w:pPr>
      <w:r>
        <w:rPr>
          <w:sz w:val="24"/>
        </w:rPr>
        <w:t>The respondent disputed that it acted in contravention of the CPA. The respondent referred the Tribunal to the MIOSA report </w:t>
      </w:r>
      <w:r>
        <w:rPr>
          <w:position w:val="6"/>
          <w:sz w:val="16"/>
        </w:rPr>
        <w:t>6 </w:t>
      </w:r>
      <w:r>
        <w:rPr>
          <w:sz w:val="24"/>
        </w:rPr>
        <w:t>and to the NCC report</w:t>
      </w:r>
      <w:r>
        <w:rPr>
          <w:position w:val="6"/>
          <w:sz w:val="16"/>
        </w:rPr>
        <w:t>7</w:t>
      </w:r>
      <w:r>
        <w:rPr>
          <w:sz w:val="24"/>
        </w:rPr>
        <w:t>.</w:t>
      </w:r>
      <w:r>
        <w:rPr>
          <w:spacing w:val="-22"/>
          <w:sz w:val="24"/>
        </w:rPr>
        <w:t> </w:t>
      </w:r>
      <w:r>
        <w:rPr>
          <w:sz w:val="24"/>
        </w:rPr>
        <w:t>Furthermore:</w:t>
      </w:r>
    </w:p>
    <w:p>
      <w:pPr>
        <w:pStyle w:val="BodyText"/>
        <w:spacing w:before="10"/>
        <w:rPr>
          <w:sz w:val="35"/>
        </w:rPr>
      </w:pPr>
    </w:p>
    <w:p>
      <w:pPr>
        <w:pStyle w:val="ListParagraph"/>
        <w:numPr>
          <w:ilvl w:val="1"/>
          <w:numId w:val="1"/>
        </w:numPr>
        <w:tabs>
          <w:tab w:pos="1234" w:val="left" w:leader="none"/>
        </w:tabs>
        <w:spacing w:line="360" w:lineRule="auto" w:before="0" w:after="0"/>
        <w:ind w:left="1233" w:right="274" w:hanging="567"/>
        <w:jc w:val="left"/>
        <w:rPr>
          <w:sz w:val="24"/>
        </w:rPr>
      </w:pPr>
      <w:r>
        <w:rPr>
          <w:sz w:val="24"/>
        </w:rPr>
        <w:t>the respondent disputes that the defect complained of by the applicant is within the ambit of a defect as defined in section</w:t>
      </w:r>
      <w:r>
        <w:rPr>
          <w:spacing w:val="-2"/>
          <w:sz w:val="24"/>
        </w:rPr>
        <w:t> </w:t>
      </w:r>
      <w:r>
        <w:rPr>
          <w:sz w:val="24"/>
        </w:rPr>
        <w:t>53;</w:t>
      </w:r>
    </w:p>
    <w:p>
      <w:pPr>
        <w:pStyle w:val="ListParagraph"/>
        <w:numPr>
          <w:ilvl w:val="1"/>
          <w:numId w:val="1"/>
        </w:numPr>
        <w:tabs>
          <w:tab w:pos="1234" w:val="left" w:leader="none"/>
        </w:tabs>
        <w:spacing w:line="360" w:lineRule="auto" w:before="0" w:after="0"/>
        <w:ind w:left="1233" w:right="114" w:hanging="567"/>
        <w:jc w:val="left"/>
        <w:rPr>
          <w:sz w:val="24"/>
        </w:rPr>
      </w:pPr>
      <w:r>
        <w:rPr>
          <w:sz w:val="24"/>
        </w:rPr>
        <w:t>the respondent submitted that the replacement vehicle’s non-aligned boot lid is within factory specifications of the Hyundai Creta as received from the manufacturer and thus not a defect as defined in section 53;</w:t>
      </w:r>
      <w:r>
        <w:rPr>
          <w:spacing w:val="-2"/>
          <w:sz w:val="24"/>
        </w:rPr>
        <w:t> </w:t>
      </w:r>
      <w:r>
        <w:rPr>
          <w:sz w:val="24"/>
        </w:rPr>
        <w:t>and</w:t>
      </w:r>
    </w:p>
    <w:p>
      <w:pPr>
        <w:pStyle w:val="ListParagraph"/>
        <w:numPr>
          <w:ilvl w:val="1"/>
          <w:numId w:val="1"/>
        </w:numPr>
        <w:tabs>
          <w:tab w:pos="1234" w:val="left" w:leader="none"/>
        </w:tabs>
        <w:spacing w:line="362" w:lineRule="auto" w:before="0" w:after="0"/>
        <w:ind w:left="1218" w:right="558" w:hanging="552"/>
        <w:jc w:val="left"/>
        <w:rPr>
          <w:sz w:val="24"/>
        </w:rPr>
      </w:pPr>
      <w:r>
        <w:rPr>
          <w:sz w:val="24"/>
        </w:rPr>
        <w:t>the applicant is not entitled to the relief sought because the applicant has not satisfied the requirements of section 20 in</w:t>
      </w:r>
      <w:r>
        <w:rPr>
          <w:spacing w:val="-4"/>
          <w:sz w:val="24"/>
        </w:rPr>
        <w:t> </w:t>
      </w:r>
      <w:r>
        <w:rPr>
          <w:sz w:val="24"/>
        </w:rPr>
        <w:t>that:</w:t>
      </w:r>
    </w:p>
    <w:p>
      <w:pPr>
        <w:pStyle w:val="ListParagraph"/>
        <w:numPr>
          <w:ilvl w:val="2"/>
          <w:numId w:val="1"/>
        </w:numPr>
        <w:tabs>
          <w:tab w:pos="1519" w:val="left" w:leader="none"/>
        </w:tabs>
        <w:spacing w:line="360" w:lineRule="auto" w:before="0" w:after="0"/>
        <w:ind w:left="1518" w:right="114" w:hanging="286"/>
        <w:jc w:val="both"/>
        <w:rPr>
          <w:sz w:val="24"/>
        </w:rPr>
      </w:pPr>
      <w:r>
        <w:rPr>
          <w:sz w:val="24"/>
        </w:rPr>
        <w:t>the applicant has not led any evidence that the non-aligned boot lid of the replacement vehicle, which is but one component of the vehicle, rendered the whole vehicle less useful, practicable, or safe for the purpose for which it was purchased, to justify a refund or any form of relief to the applicant as outlined in the CPA;</w:t>
      </w:r>
      <w:r>
        <w:rPr>
          <w:spacing w:val="-9"/>
          <w:sz w:val="24"/>
        </w:rPr>
        <w:t> </w:t>
      </w:r>
      <w:r>
        <w:rPr>
          <w:sz w:val="24"/>
        </w:rPr>
        <w:t>and</w:t>
      </w:r>
    </w:p>
    <w:p>
      <w:pPr>
        <w:pStyle w:val="ListParagraph"/>
        <w:numPr>
          <w:ilvl w:val="2"/>
          <w:numId w:val="1"/>
        </w:numPr>
        <w:tabs>
          <w:tab w:pos="1596" w:val="left" w:leader="none"/>
        </w:tabs>
        <w:spacing w:line="360" w:lineRule="auto" w:before="0" w:after="0"/>
        <w:ind w:left="1533" w:right="114" w:hanging="300"/>
        <w:jc w:val="left"/>
        <w:rPr>
          <w:sz w:val="24"/>
        </w:rPr>
      </w:pPr>
      <w:r>
        <w:rPr/>
        <w:tab/>
      </w:r>
      <w:r>
        <w:rPr>
          <w:sz w:val="24"/>
        </w:rPr>
        <w:t>the applicant submitted that as of the date of the hearing the vehicle completed 117000 kilometres with the vehicle which demonstrates that the vehicle, despite the non-aligned boot lid, is indeed fit for</w:t>
      </w:r>
      <w:r>
        <w:rPr>
          <w:spacing w:val="-6"/>
          <w:sz w:val="24"/>
        </w:rPr>
        <w:t> </w:t>
      </w:r>
      <w:r>
        <w:rPr>
          <w:sz w:val="24"/>
        </w:rPr>
        <w:t>purpose.</w:t>
      </w:r>
    </w:p>
    <w:p>
      <w:pPr>
        <w:pStyle w:val="BodyText"/>
        <w:spacing w:before="10"/>
        <w:rPr>
          <w:sz w:val="16"/>
        </w:rPr>
      </w:pPr>
      <w:r>
        <w:rPr/>
        <w:pict>
          <v:shape style="position:absolute;margin-left:72.024002pt;margin-top:12.04689pt;width:144.050pt;height:.1pt;mso-position-horizontal-relative:page;mso-position-vertical-relative:paragraph;z-index:-251653120;mso-wrap-distance-left:0;mso-wrap-distance-right:0" coordorigin="1440,241" coordsize="2881,0" path="m1440,241l4321,241e" filled="false" stroked="true" strokeweight=".71997pt" strokecolor="#000000">
            <v:path arrowok="t"/>
            <v:stroke dashstyle="solid"/>
            <w10:wrap type="topAndBottom"/>
          </v:shape>
        </w:pict>
      </w:r>
    </w:p>
    <w:p>
      <w:pPr>
        <w:spacing w:before="70"/>
        <w:ind w:left="100" w:right="0" w:firstLine="0"/>
        <w:jc w:val="left"/>
        <w:rPr>
          <w:sz w:val="20"/>
        </w:rPr>
      </w:pPr>
      <w:r>
        <w:rPr>
          <w:position w:val="5"/>
          <w:sz w:val="13"/>
        </w:rPr>
        <w:t>6 </w:t>
      </w:r>
      <w:r>
        <w:rPr>
          <w:sz w:val="20"/>
        </w:rPr>
        <w:t>Pg 23-24 of the bundle.</w:t>
      </w:r>
    </w:p>
    <w:p>
      <w:pPr>
        <w:spacing w:before="3"/>
        <w:ind w:left="100" w:right="0" w:firstLine="0"/>
        <w:jc w:val="left"/>
        <w:rPr>
          <w:rFonts w:ascii="Calibri"/>
          <w:sz w:val="20"/>
        </w:rPr>
      </w:pPr>
      <w:r>
        <w:rPr>
          <w:position w:val="5"/>
          <w:sz w:val="13"/>
        </w:rPr>
        <w:t>7 </w:t>
      </w:r>
      <w:r>
        <w:rPr>
          <w:sz w:val="20"/>
        </w:rPr>
        <w:t>Pg 228-243 of the bundle</w:t>
      </w:r>
      <w:r>
        <w:rPr>
          <w:rFonts w:ascii="Calibri"/>
          <w:sz w:val="20"/>
        </w:rPr>
        <w:t>.</w:t>
      </w:r>
    </w:p>
    <w:p>
      <w:pPr>
        <w:spacing w:after="0"/>
        <w:jc w:val="left"/>
        <w:rPr>
          <w:rFonts w:ascii="Calibri"/>
          <w:sz w:val="20"/>
        </w:rPr>
        <w:sectPr>
          <w:headerReference w:type="default" r:id="rId11"/>
          <w:footerReference w:type="default" r:id="rId12"/>
          <w:pgSz w:w="11910" w:h="16840"/>
          <w:pgMar w:header="914" w:footer="1057" w:top="1520" w:bottom="1240" w:left="1340" w:right="1320"/>
          <w:pgNumType w:start="8"/>
        </w:sectPr>
      </w:pPr>
    </w:p>
    <w:p>
      <w:pPr>
        <w:pStyle w:val="BodyText"/>
        <w:spacing w:before="10"/>
        <w:rPr>
          <w:rFonts w:ascii="Calibri"/>
          <w:sz w:val="10"/>
        </w:rPr>
      </w:pPr>
    </w:p>
    <w:p>
      <w:pPr>
        <w:pStyle w:val="ListParagraph"/>
        <w:numPr>
          <w:ilvl w:val="0"/>
          <w:numId w:val="1"/>
        </w:numPr>
        <w:tabs>
          <w:tab w:pos="667" w:val="left" w:leader="none"/>
        </w:tabs>
        <w:spacing w:line="360" w:lineRule="auto" w:before="99" w:after="0"/>
        <w:ind w:left="666" w:right="113" w:hanging="567"/>
        <w:jc w:val="both"/>
        <w:rPr>
          <w:sz w:val="24"/>
        </w:rPr>
      </w:pPr>
      <w:r>
        <w:rPr>
          <w:sz w:val="24"/>
        </w:rPr>
        <w:t>The respondent placed on record at the hearing and in its answering affidavit, that it only replaced the initial vehicle purchased by the applicant, being a silver Hyundai Creta with the replacement vehicle, a white Hyundai Creta 1.6 Executive M/T as a gesture of goodwill and without any admission of</w:t>
      </w:r>
      <w:r>
        <w:rPr>
          <w:spacing w:val="-7"/>
          <w:sz w:val="24"/>
        </w:rPr>
        <w:t> </w:t>
      </w:r>
      <w:r>
        <w:rPr>
          <w:sz w:val="24"/>
        </w:rPr>
        <w:t>liability.</w:t>
      </w:r>
    </w:p>
    <w:p>
      <w:pPr>
        <w:pStyle w:val="BodyText"/>
        <w:spacing w:before="10"/>
        <w:rPr>
          <w:sz w:val="35"/>
        </w:rPr>
      </w:pPr>
    </w:p>
    <w:p>
      <w:pPr>
        <w:pStyle w:val="ListParagraph"/>
        <w:numPr>
          <w:ilvl w:val="0"/>
          <w:numId w:val="1"/>
        </w:numPr>
        <w:tabs>
          <w:tab w:pos="667" w:val="left" w:leader="none"/>
        </w:tabs>
        <w:spacing w:line="360" w:lineRule="auto" w:before="0" w:after="0"/>
        <w:ind w:left="666" w:right="115" w:hanging="567"/>
        <w:jc w:val="both"/>
        <w:rPr>
          <w:i/>
          <w:sz w:val="24"/>
        </w:rPr>
      </w:pPr>
      <w:r>
        <w:rPr>
          <w:sz w:val="24"/>
        </w:rPr>
        <w:t>In this matter, the applicant must prove his case against the respondent on a balance of probabilities. Section 117 prescribes the standard of proof on matters before the Tribunal. It stipulates that </w:t>
      </w:r>
      <w:r>
        <w:rPr>
          <w:i/>
          <w:sz w:val="24"/>
        </w:rPr>
        <w:t>“in any proceedings before the Tribunal, or before a consumer court in terms of </w:t>
      </w:r>
      <w:r>
        <w:rPr>
          <w:i/>
          <w:sz w:val="24"/>
        </w:rPr>
        <w:t>this Act, the standard of proof is on a balance of</w:t>
      </w:r>
      <w:r>
        <w:rPr>
          <w:i/>
          <w:spacing w:val="-18"/>
          <w:sz w:val="24"/>
        </w:rPr>
        <w:t> </w:t>
      </w:r>
      <w:r>
        <w:rPr>
          <w:i/>
          <w:sz w:val="24"/>
        </w:rPr>
        <w:t>probabilities”.</w:t>
      </w:r>
    </w:p>
    <w:p>
      <w:pPr>
        <w:pStyle w:val="BodyText"/>
        <w:spacing w:before="3"/>
        <w:rPr>
          <w:i/>
        </w:rPr>
      </w:pPr>
    </w:p>
    <w:p>
      <w:pPr>
        <w:pStyle w:val="ListParagraph"/>
        <w:numPr>
          <w:ilvl w:val="0"/>
          <w:numId w:val="1"/>
        </w:numPr>
        <w:tabs>
          <w:tab w:pos="667" w:val="left" w:leader="none"/>
        </w:tabs>
        <w:spacing w:line="360" w:lineRule="auto" w:before="0" w:after="0"/>
        <w:ind w:left="666" w:right="113" w:hanging="567"/>
        <w:jc w:val="both"/>
        <w:rPr>
          <w:sz w:val="24"/>
        </w:rPr>
      </w:pPr>
      <w:r>
        <w:rPr>
          <w:sz w:val="24"/>
        </w:rPr>
        <w:t>The Tribunal considered the allegations of the applicant and the evidence the applicant placed before the Tribunal in support of his allegations. The evidence consists, amongst others, of the founding affidavit of the applicant</w:t>
      </w:r>
      <w:r>
        <w:rPr>
          <w:position w:val="6"/>
          <w:sz w:val="16"/>
        </w:rPr>
        <w:t>8</w:t>
      </w:r>
      <w:r>
        <w:rPr>
          <w:sz w:val="24"/>
        </w:rPr>
        <w:t>, supported by the investigation report of the NCC  investigator</w:t>
      </w:r>
      <w:r>
        <w:rPr>
          <w:position w:val="6"/>
          <w:sz w:val="16"/>
        </w:rPr>
        <w:t>9</w:t>
      </w:r>
      <w:r>
        <w:rPr>
          <w:sz w:val="24"/>
        </w:rPr>
        <w:t>; and the recommendations of the MIOSA</w:t>
      </w:r>
      <w:r>
        <w:rPr>
          <w:position w:val="6"/>
          <w:sz w:val="16"/>
        </w:rPr>
        <w:t>10</w:t>
      </w:r>
      <w:r>
        <w:rPr>
          <w:sz w:val="24"/>
        </w:rPr>
        <w:t>. The applicant also placed before the Tribunal the report of the Durban Central Panel Beaters</w:t>
      </w:r>
      <w:r>
        <w:rPr>
          <w:position w:val="6"/>
          <w:sz w:val="16"/>
        </w:rPr>
        <w:t>11</w:t>
      </w:r>
      <w:r>
        <w:rPr>
          <w:sz w:val="24"/>
        </w:rPr>
        <w:t>, an approved Hyundai panel beater, who inspected the vehicle on 11 April 2019 and compared the applicant’s vehicle with another new 2018 Hyundai Creta. That report stated that the “</w:t>
      </w:r>
      <w:r>
        <w:rPr>
          <w:i/>
          <w:sz w:val="24"/>
        </w:rPr>
        <w:t>vehicle gaps and panel alignment was </w:t>
      </w:r>
      <w:r>
        <w:rPr>
          <w:i/>
          <w:sz w:val="24"/>
        </w:rPr>
        <w:t>exactly the</w:t>
      </w:r>
      <w:r>
        <w:rPr>
          <w:i/>
          <w:spacing w:val="-2"/>
          <w:sz w:val="24"/>
        </w:rPr>
        <w:t> </w:t>
      </w:r>
      <w:r>
        <w:rPr>
          <w:i/>
          <w:sz w:val="24"/>
        </w:rPr>
        <w:t>same</w:t>
      </w:r>
      <w:r>
        <w:rPr>
          <w:sz w:val="24"/>
        </w:rPr>
        <w:t>…”</w:t>
      </w:r>
      <w:r>
        <w:rPr>
          <w:position w:val="6"/>
          <w:sz w:val="16"/>
        </w:rPr>
        <w:t>12</w:t>
      </w:r>
      <w:r>
        <w:rPr>
          <w:sz w:val="24"/>
        </w:rPr>
        <w:t>.</w:t>
      </w:r>
    </w:p>
    <w:p>
      <w:pPr>
        <w:pStyle w:val="BodyText"/>
        <w:rPr>
          <w:sz w:val="36"/>
        </w:rPr>
      </w:pPr>
    </w:p>
    <w:p>
      <w:pPr>
        <w:pStyle w:val="ListParagraph"/>
        <w:numPr>
          <w:ilvl w:val="0"/>
          <w:numId w:val="1"/>
        </w:numPr>
        <w:tabs>
          <w:tab w:pos="667" w:val="left" w:leader="none"/>
        </w:tabs>
        <w:spacing w:line="360" w:lineRule="auto" w:before="0" w:after="0"/>
        <w:ind w:left="666" w:right="114" w:hanging="567"/>
        <w:jc w:val="both"/>
        <w:rPr>
          <w:sz w:val="24"/>
        </w:rPr>
      </w:pPr>
      <w:r>
        <w:rPr>
          <w:sz w:val="24"/>
        </w:rPr>
        <w:t>It is common cause that the applicant noticed and reported to the respondent that the boot lid of the replacement vehicle was not aligned on the same day that he took delivery of the vehicle; and that the respondent undertook to escalate the matter. This is confirmed in the applicant’s founding affidavit wherein he states that the non-alignment of the boot lid was not as noticeable on the replacement vehicle because it was white in colour. Other than pointing out that the boot lid of the vehicle was not aligned a few days after taking delivery of the vehicle, the applicant used the vehicle and only pursued the complaint when he brought it to the respondent for its first service at 15 000 kilometres; and had an argument with the employees of the</w:t>
      </w:r>
      <w:r>
        <w:rPr>
          <w:spacing w:val="-30"/>
          <w:sz w:val="24"/>
        </w:rPr>
        <w:t> </w:t>
      </w:r>
      <w:r>
        <w:rPr>
          <w:sz w:val="24"/>
        </w:rPr>
        <w:t>respondent.</w:t>
      </w:r>
    </w:p>
    <w:p>
      <w:pPr>
        <w:pStyle w:val="BodyText"/>
        <w:rPr>
          <w:sz w:val="36"/>
        </w:rPr>
      </w:pPr>
    </w:p>
    <w:p>
      <w:pPr>
        <w:pStyle w:val="ListParagraph"/>
        <w:numPr>
          <w:ilvl w:val="0"/>
          <w:numId w:val="1"/>
        </w:numPr>
        <w:tabs>
          <w:tab w:pos="666" w:val="left" w:leader="none"/>
          <w:tab w:pos="667" w:val="left" w:leader="none"/>
        </w:tabs>
        <w:spacing w:line="240" w:lineRule="auto" w:before="1" w:after="0"/>
        <w:ind w:left="666" w:right="0" w:hanging="567"/>
        <w:jc w:val="left"/>
        <w:rPr>
          <w:sz w:val="24"/>
        </w:rPr>
      </w:pPr>
      <w:r>
        <w:rPr>
          <w:sz w:val="24"/>
        </w:rPr>
        <w:t>The Tribunal considered whether the non-aligned boot lid in a new vehicle could be considered</w:t>
      </w:r>
      <w:r>
        <w:rPr>
          <w:spacing w:val="-39"/>
          <w:sz w:val="24"/>
        </w:rPr>
        <w:t> </w:t>
      </w:r>
      <w:r>
        <w:rPr>
          <w:sz w:val="24"/>
        </w:rPr>
        <w:t>a</w:t>
      </w:r>
    </w:p>
    <w:p>
      <w:pPr>
        <w:pStyle w:val="BodyText"/>
        <w:rPr>
          <w:sz w:val="20"/>
        </w:rPr>
      </w:pPr>
    </w:p>
    <w:p>
      <w:pPr>
        <w:pStyle w:val="BodyText"/>
        <w:rPr>
          <w:sz w:val="20"/>
        </w:rPr>
      </w:pPr>
    </w:p>
    <w:p>
      <w:pPr>
        <w:pStyle w:val="BodyText"/>
        <w:spacing w:before="7"/>
        <w:rPr>
          <w:sz w:val="14"/>
        </w:rPr>
      </w:pPr>
      <w:r>
        <w:rPr/>
        <w:pict>
          <v:shape style="position:absolute;margin-left:72.024002pt;margin-top:10.758677pt;width:144.050pt;height:.1pt;mso-position-horizontal-relative:page;mso-position-vertical-relative:paragraph;z-index:-251652096;mso-wrap-distance-left:0;mso-wrap-distance-right:0" coordorigin="1440,215" coordsize="2881,0" path="m1440,215l4321,215e" filled="false" stroked="true" strokeweight=".72003pt" strokecolor="#000000">
            <v:path arrowok="t"/>
            <v:stroke dashstyle="solid"/>
            <w10:wrap type="topAndBottom"/>
          </v:shape>
        </w:pict>
      </w:r>
    </w:p>
    <w:p>
      <w:pPr>
        <w:spacing w:before="68"/>
        <w:ind w:left="100" w:right="0" w:firstLine="0"/>
        <w:jc w:val="left"/>
        <w:rPr>
          <w:sz w:val="20"/>
        </w:rPr>
      </w:pPr>
      <w:r>
        <w:rPr>
          <w:position w:val="5"/>
          <w:sz w:val="13"/>
        </w:rPr>
        <w:t>8 </w:t>
      </w:r>
      <w:r>
        <w:rPr>
          <w:sz w:val="20"/>
        </w:rPr>
        <w:t>Pg 10-18 of the bundle.</w:t>
      </w:r>
    </w:p>
    <w:p>
      <w:pPr>
        <w:spacing w:before="1"/>
        <w:ind w:left="100" w:right="0" w:firstLine="0"/>
        <w:jc w:val="left"/>
        <w:rPr>
          <w:sz w:val="20"/>
        </w:rPr>
      </w:pPr>
      <w:r>
        <w:rPr>
          <w:position w:val="5"/>
          <w:sz w:val="13"/>
        </w:rPr>
        <w:t>9 </w:t>
      </w:r>
      <w:r>
        <w:rPr>
          <w:sz w:val="20"/>
        </w:rPr>
        <w:t>Pg 228-243 of the bundle.</w:t>
      </w:r>
    </w:p>
    <w:p>
      <w:pPr>
        <w:spacing w:line="229" w:lineRule="exact" w:before="1"/>
        <w:ind w:left="100" w:right="0" w:firstLine="0"/>
        <w:jc w:val="left"/>
        <w:rPr>
          <w:sz w:val="20"/>
        </w:rPr>
      </w:pPr>
      <w:r>
        <w:rPr>
          <w:position w:val="5"/>
          <w:sz w:val="13"/>
        </w:rPr>
        <w:t>10 </w:t>
      </w:r>
      <w:r>
        <w:rPr>
          <w:sz w:val="20"/>
        </w:rPr>
        <w:t>Pg 23-24 of the bundle.</w:t>
      </w:r>
    </w:p>
    <w:p>
      <w:pPr>
        <w:spacing w:line="229" w:lineRule="exact" w:before="0"/>
        <w:ind w:left="100" w:right="0" w:firstLine="0"/>
        <w:jc w:val="left"/>
        <w:rPr>
          <w:sz w:val="20"/>
        </w:rPr>
      </w:pPr>
      <w:r>
        <w:rPr>
          <w:position w:val="5"/>
          <w:sz w:val="13"/>
        </w:rPr>
        <w:t>11 </w:t>
      </w:r>
      <w:r>
        <w:rPr>
          <w:sz w:val="20"/>
        </w:rPr>
        <w:t>Pg 27 of the bundle.</w:t>
      </w:r>
    </w:p>
    <w:p>
      <w:pPr>
        <w:spacing w:before="1"/>
        <w:ind w:left="100" w:right="0" w:firstLine="0"/>
        <w:jc w:val="left"/>
        <w:rPr>
          <w:sz w:val="20"/>
        </w:rPr>
      </w:pPr>
      <w:r>
        <w:rPr>
          <w:position w:val="5"/>
          <w:sz w:val="13"/>
        </w:rPr>
        <w:t>12 </w:t>
      </w:r>
      <w:r>
        <w:rPr>
          <w:sz w:val="20"/>
        </w:rPr>
        <w:t>Pg 23 of the bundle – MIO letter dated 3 April 2019.</w:t>
      </w:r>
    </w:p>
    <w:p>
      <w:pPr>
        <w:spacing w:after="0"/>
        <w:jc w:val="left"/>
        <w:rPr>
          <w:sz w:val="20"/>
        </w:rPr>
        <w:sectPr>
          <w:pgSz w:w="11910" w:h="16840"/>
          <w:pgMar w:header="914" w:footer="1057" w:top="1520" w:bottom="1240" w:left="1340" w:right="1320"/>
        </w:sectPr>
      </w:pPr>
    </w:p>
    <w:p>
      <w:pPr>
        <w:pStyle w:val="BodyText"/>
        <w:spacing w:before="5"/>
        <w:rPr>
          <w:sz w:val="11"/>
        </w:rPr>
      </w:pPr>
    </w:p>
    <w:p>
      <w:pPr>
        <w:pStyle w:val="ListParagraph"/>
        <w:numPr>
          <w:ilvl w:val="0"/>
          <w:numId w:val="1"/>
        </w:numPr>
        <w:tabs>
          <w:tab w:pos="722" w:val="left" w:leader="none"/>
        </w:tabs>
        <w:spacing w:line="360" w:lineRule="auto" w:before="100" w:after="0"/>
        <w:ind w:left="666" w:right="114" w:hanging="567"/>
        <w:jc w:val="both"/>
        <w:rPr>
          <w:sz w:val="24"/>
        </w:rPr>
      </w:pPr>
      <w:r>
        <w:rPr/>
        <w:tab/>
      </w:r>
      <w:r>
        <w:rPr>
          <w:sz w:val="24"/>
        </w:rPr>
        <w:t>defect within the meaning of section 53 read with sections 55 and 56. The question of what constitutes a defect as defined in section 53 was dealt with by the SCA in the matter of </w:t>
      </w:r>
      <w:r>
        <w:rPr>
          <w:i/>
          <w:sz w:val="24"/>
        </w:rPr>
        <w:t>Motus </w:t>
      </w:r>
      <w:r>
        <w:rPr>
          <w:i/>
          <w:sz w:val="24"/>
        </w:rPr>
        <w:t>Corporation (Pty) Ltd and Another v Wentzel </w:t>
      </w:r>
      <w:r>
        <w:rPr>
          <w:sz w:val="24"/>
        </w:rPr>
        <w:t>where the SCA found that not every small fault is a defect as defined. The defect must either render the goods less acceptable than  people generally would be reasonably entitled to expect from goods of that type. Or it must render the goods less useful, practicable, or safe for the purpose for which the consumer purchased them. Ultimately, the court found that a consumer is not entitled to a refund of the purchase price unless they satisfy the court that all requirements stipulated in section 56(3) have been</w:t>
      </w:r>
      <w:r>
        <w:rPr>
          <w:spacing w:val="-34"/>
          <w:sz w:val="24"/>
        </w:rPr>
        <w:t> </w:t>
      </w:r>
      <w:r>
        <w:rPr>
          <w:sz w:val="24"/>
        </w:rPr>
        <w:t>met.</w:t>
      </w:r>
    </w:p>
    <w:p>
      <w:pPr>
        <w:pStyle w:val="BodyText"/>
        <w:rPr>
          <w:sz w:val="28"/>
        </w:rPr>
      </w:pPr>
    </w:p>
    <w:p>
      <w:pPr>
        <w:pStyle w:val="BodyText"/>
        <w:spacing w:before="1"/>
        <w:rPr>
          <w:sz w:val="32"/>
        </w:rPr>
      </w:pPr>
    </w:p>
    <w:p>
      <w:pPr>
        <w:pStyle w:val="ListParagraph"/>
        <w:numPr>
          <w:ilvl w:val="0"/>
          <w:numId w:val="1"/>
        </w:numPr>
        <w:tabs>
          <w:tab w:pos="667" w:val="left" w:leader="none"/>
        </w:tabs>
        <w:spacing w:line="360" w:lineRule="auto" w:before="0" w:after="0"/>
        <w:ind w:left="666" w:right="115" w:hanging="567"/>
        <w:jc w:val="both"/>
        <w:rPr>
          <w:sz w:val="24"/>
        </w:rPr>
      </w:pPr>
      <w:r>
        <w:rPr>
          <w:sz w:val="24"/>
        </w:rPr>
        <w:t>The Tribunal also went on further to consider the more difficult question of whether the non- aligned boot lid of the replacement</w:t>
      </w:r>
      <w:r>
        <w:rPr>
          <w:spacing w:val="-1"/>
          <w:sz w:val="24"/>
        </w:rPr>
        <w:t> </w:t>
      </w:r>
      <w:r>
        <w:rPr>
          <w:sz w:val="24"/>
        </w:rPr>
        <w:t>vehicle:</w:t>
      </w:r>
    </w:p>
    <w:p>
      <w:pPr>
        <w:pStyle w:val="BodyText"/>
        <w:spacing w:before="11"/>
        <w:rPr>
          <w:sz w:val="35"/>
        </w:rPr>
      </w:pPr>
    </w:p>
    <w:p>
      <w:pPr>
        <w:pStyle w:val="ListParagraph"/>
        <w:numPr>
          <w:ilvl w:val="1"/>
          <w:numId w:val="1"/>
        </w:numPr>
        <w:tabs>
          <w:tab w:pos="1234" w:val="left" w:leader="none"/>
        </w:tabs>
        <w:spacing w:line="360" w:lineRule="auto" w:before="0" w:after="0"/>
        <w:ind w:left="1233" w:right="118" w:hanging="567"/>
        <w:jc w:val="left"/>
        <w:rPr>
          <w:sz w:val="24"/>
        </w:rPr>
      </w:pPr>
      <w:r>
        <w:rPr>
          <w:sz w:val="24"/>
        </w:rPr>
        <w:t>renders the vehicle less acceptable than persons generally would be reasonably entitled to expect in the circumstances (section</w:t>
      </w:r>
      <w:r>
        <w:rPr>
          <w:spacing w:val="-9"/>
          <w:sz w:val="24"/>
        </w:rPr>
        <w:t> </w:t>
      </w:r>
      <w:r>
        <w:rPr>
          <w:sz w:val="24"/>
        </w:rPr>
        <w:t>53(1)(a)(i));</w:t>
      </w:r>
    </w:p>
    <w:p>
      <w:pPr>
        <w:pStyle w:val="ListParagraph"/>
        <w:numPr>
          <w:ilvl w:val="1"/>
          <w:numId w:val="1"/>
        </w:numPr>
        <w:tabs>
          <w:tab w:pos="1233" w:val="left" w:leader="none"/>
          <w:tab w:pos="1234" w:val="left" w:leader="none"/>
        </w:tabs>
        <w:spacing w:line="360" w:lineRule="auto" w:before="0" w:after="0"/>
        <w:ind w:left="1233" w:right="126" w:hanging="593"/>
        <w:jc w:val="left"/>
        <w:rPr>
          <w:sz w:val="24"/>
        </w:rPr>
      </w:pPr>
      <w:r>
        <w:rPr>
          <w:sz w:val="24"/>
        </w:rPr>
        <w:t>impinges on the consumer’s right to receive goods that are of good quality, in good working order; and free of defects (section</w:t>
      </w:r>
      <w:r>
        <w:rPr>
          <w:spacing w:val="-5"/>
          <w:sz w:val="24"/>
        </w:rPr>
        <w:t> </w:t>
      </w:r>
      <w:r>
        <w:rPr>
          <w:sz w:val="24"/>
        </w:rPr>
        <w:t>55(2)(b));</w:t>
      </w:r>
    </w:p>
    <w:p>
      <w:pPr>
        <w:pStyle w:val="ListParagraph"/>
        <w:numPr>
          <w:ilvl w:val="1"/>
          <w:numId w:val="1"/>
        </w:numPr>
        <w:tabs>
          <w:tab w:pos="1234" w:val="left" w:leader="none"/>
        </w:tabs>
        <w:spacing w:line="360" w:lineRule="auto" w:before="1" w:after="0"/>
        <w:ind w:left="1233" w:right="116" w:hanging="567"/>
        <w:jc w:val="left"/>
        <w:rPr>
          <w:sz w:val="24"/>
        </w:rPr>
      </w:pPr>
      <w:r>
        <w:rPr>
          <w:sz w:val="24"/>
        </w:rPr>
        <w:t>entitles the applicant to a refund of a portion of the purchase price paid for the goods supplied (section 54(2)(b));</w:t>
      </w:r>
      <w:r>
        <w:rPr>
          <w:spacing w:val="1"/>
          <w:sz w:val="24"/>
        </w:rPr>
        <w:t> </w:t>
      </w:r>
      <w:r>
        <w:rPr>
          <w:sz w:val="24"/>
        </w:rPr>
        <w:t>and</w:t>
      </w:r>
    </w:p>
    <w:p>
      <w:pPr>
        <w:pStyle w:val="ListParagraph"/>
        <w:numPr>
          <w:ilvl w:val="1"/>
          <w:numId w:val="1"/>
        </w:numPr>
        <w:tabs>
          <w:tab w:pos="1234" w:val="left" w:leader="none"/>
        </w:tabs>
        <w:spacing w:line="360" w:lineRule="auto" w:before="0" w:after="0"/>
        <w:ind w:left="1233" w:right="126" w:hanging="567"/>
        <w:jc w:val="left"/>
        <w:rPr>
          <w:sz w:val="24"/>
        </w:rPr>
      </w:pPr>
      <w:r>
        <w:rPr>
          <w:sz w:val="24"/>
        </w:rPr>
        <w:t>entitles the applicant to a finding of prohibited conduct against the respondent to bring the relief sought by the applicant within the ambit of section</w:t>
      </w:r>
      <w:r>
        <w:rPr>
          <w:spacing w:val="-15"/>
          <w:sz w:val="24"/>
        </w:rPr>
        <w:t> </w:t>
      </w:r>
      <w:r>
        <w:rPr>
          <w:sz w:val="24"/>
        </w:rPr>
        <w:t>115(2)(b).</w:t>
      </w:r>
    </w:p>
    <w:p>
      <w:pPr>
        <w:pStyle w:val="BodyText"/>
      </w:pPr>
    </w:p>
    <w:p>
      <w:pPr>
        <w:pStyle w:val="ListParagraph"/>
        <w:numPr>
          <w:ilvl w:val="0"/>
          <w:numId w:val="1"/>
        </w:numPr>
        <w:tabs>
          <w:tab w:pos="667" w:val="left" w:leader="none"/>
        </w:tabs>
        <w:spacing w:line="360" w:lineRule="auto" w:before="0" w:after="0"/>
        <w:ind w:left="666" w:right="114" w:hanging="567"/>
        <w:jc w:val="both"/>
        <w:rPr>
          <w:sz w:val="24"/>
        </w:rPr>
      </w:pPr>
      <w:r>
        <w:rPr>
          <w:sz w:val="24"/>
        </w:rPr>
        <w:t>At this point it is important to note that the applicant, who is </w:t>
      </w:r>
      <w:r>
        <w:rPr>
          <w:i/>
          <w:sz w:val="24"/>
        </w:rPr>
        <w:t>dominus litus </w:t>
      </w:r>
      <w:r>
        <w:rPr>
          <w:sz w:val="24"/>
        </w:rPr>
        <w:t>in the matter, has not led any evidence of what an upmarket Hyundai Creta purchaser </w:t>
      </w:r>
      <w:r>
        <w:rPr>
          <w:spacing w:val="3"/>
          <w:sz w:val="24"/>
        </w:rPr>
        <w:t>is </w:t>
      </w:r>
      <w:r>
        <w:rPr>
          <w:i/>
          <w:sz w:val="24"/>
        </w:rPr>
        <w:t>reasonably </w:t>
      </w:r>
      <w:r>
        <w:rPr>
          <w:sz w:val="24"/>
        </w:rPr>
        <w:t>entitled to expect of a new vehicle. The applicant has not disputed the assertion by the respondent that the non- aligned boot lid is built per the specifications of the manufacturer (who is not before the Tribunal as a party or a witness), and the applicant has not complained that the non-aligned boot lid is not in good working order. The applicant has also not laid a legal basis for his subjective view that the aesthetics of a non-aligned boot lid falls within the ambit of a defect as defined in section 53. The applicant has also not disputed that he used the vehicle since taking delivery of the vehicle to the tune of 117000 kilometres. Consequently, the evidence that the vehicle is fit for purpose remains</w:t>
      </w:r>
      <w:r>
        <w:rPr>
          <w:spacing w:val="-2"/>
          <w:sz w:val="24"/>
        </w:rPr>
        <w:t> </w:t>
      </w:r>
      <w:r>
        <w:rPr>
          <w:sz w:val="24"/>
        </w:rPr>
        <w:t>uncontested.</w:t>
      </w:r>
    </w:p>
    <w:p>
      <w:pPr>
        <w:pStyle w:val="BodyText"/>
        <w:rPr>
          <w:sz w:val="36"/>
        </w:rPr>
      </w:pPr>
    </w:p>
    <w:p>
      <w:pPr>
        <w:pStyle w:val="ListParagraph"/>
        <w:numPr>
          <w:ilvl w:val="0"/>
          <w:numId w:val="1"/>
        </w:numPr>
        <w:tabs>
          <w:tab w:pos="666" w:val="left" w:leader="none"/>
          <w:tab w:pos="667" w:val="left" w:leader="none"/>
        </w:tabs>
        <w:spacing w:line="240" w:lineRule="auto" w:before="0" w:after="0"/>
        <w:ind w:left="666" w:right="0" w:hanging="567"/>
        <w:jc w:val="left"/>
        <w:rPr>
          <w:sz w:val="24"/>
        </w:rPr>
      </w:pPr>
      <w:r>
        <w:rPr>
          <w:sz w:val="24"/>
        </w:rPr>
        <w:t>Turning to the basis of the applicant’s complaint, the applicant’s argument is built upon</w:t>
      </w:r>
      <w:r>
        <w:rPr>
          <w:spacing w:val="17"/>
          <w:sz w:val="24"/>
        </w:rPr>
        <w:t> </w:t>
      </w:r>
      <w:r>
        <w:rPr>
          <w:sz w:val="24"/>
        </w:rPr>
        <w:t>the</w:t>
      </w:r>
    </w:p>
    <w:p>
      <w:pPr>
        <w:spacing w:after="0" w:line="240" w:lineRule="auto"/>
        <w:jc w:val="left"/>
        <w:rPr>
          <w:sz w:val="24"/>
        </w:rPr>
        <w:sectPr>
          <w:pgSz w:w="11910" w:h="16840"/>
          <w:pgMar w:header="914" w:footer="1057" w:top="1520" w:bottom="1240" w:left="1340" w:right="1320"/>
        </w:sectPr>
      </w:pPr>
    </w:p>
    <w:p>
      <w:pPr>
        <w:pStyle w:val="BodyText"/>
        <w:spacing w:before="5"/>
        <w:rPr>
          <w:sz w:val="11"/>
        </w:rPr>
      </w:pPr>
    </w:p>
    <w:p>
      <w:pPr>
        <w:pStyle w:val="BodyText"/>
        <w:spacing w:line="360" w:lineRule="auto" w:before="100"/>
        <w:ind w:left="666" w:right="113"/>
        <w:jc w:val="both"/>
      </w:pPr>
      <w:r>
        <w:rPr/>
        <w:t>premise that a non-aligned boot lid is a defect in the case of a new vehicle. This argument is quite plausible from the applicant’s subjective perspective and point of view of perfection. But this is not the test. Instead, the test is an objective one as to what a reasonable person can expect when purchasing a new vehicle. This very important evidence was not led by the applicant to place the Tribunal in the position to act in terms of section 4(2)(b)(ii) and to make an appropriate or innovative order, to give practical effect to the consumer’s right of access to</w:t>
      </w:r>
      <w:r>
        <w:rPr>
          <w:spacing w:val="-27"/>
        </w:rPr>
        <w:t> </w:t>
      </w:r>
      <w:r>
        <w:rPr/>
        <w:t>redress.</w:t>
      </w:r>
    </w:p>
    <w:p>
      <w:pPr>
        <w:pStyle w:val="BodyText"/>
        <w:spacing w:before="10"/>
        <w:rPr>
          <w:sz w:val="23"/>
        </w:rPr>
      </w:pPr>
    </w:p>
    <w:p>
      <w:pPr>
        <w:pStyle w:val="ListParagraph"/>
        <w:numPr>
          <w:ilvl w:val="0"/>
          <w:numId w:val="1"/>
        </w:numPr>
        <w:tabs>
          <w:tab w:pos="667" w:val="left" w:leader="none"/>
        </w:tabs>
        <w:spacing w:line="360" w:lineRule="auto" w:before="1" w:after="0"/>
        <w:ind w:left="666" w:right="114" w:hanging="567"/>
        <w:jc w:val="both"/>
        <w:rPr>
          <w:sz w:val="24"/>
        </w:rPr>
      </w:pPr>
      <w:r>
        <w:rPr>
          <w:sz w:val="24"/>
        </w:rPr>
        <w:t>The respondent referred the Tribunal to section 20, but this is not the applicant’s case. The Tribunal thus had no reason to decide whether section 20 finds application in this</w:t>
      </w:r>
      <w:r>
        <w:rPr>
          <w:spacing w:val="-22"/>
          <w:sz w:val="24"/>
        </w:rPr>
        <w:t> </w:t>
      </w:r>
      <w:r>
        <w:rPr>
          <w:sz w:val="24"/>
        </w:rPr>
        <w:t>matter.</w:t>
      </w:r>
    </w:p>
    <w:p>
      <w:pPr>
        <w:pStyle w:val="BodyText"/>
        <w:rPr>
          <w:sz w:val="28"/>
        </w:rPr>
      </w:pPr>
    </w:p>
    <w:p>
      <w:pPr>
        <w:pStyle w:val="Heading1"/>
        <w:spacing w:before="230"/>
      </w:pPr>
      <w:r>
        <w:rPr/>
        <w:t>FINDING</w:t>
      </w:r>
    </w:p>
    <w:p>
      <w:pPr>
        <w:pStyle w:val="BodyText"/>
        <w:rPr>
          <w:b/>
          <w:sz w:val="28"/>
        </w:rPr>
      </w:pPr>
    </w:p>
    <w:p>
      <w:pPr>
        <w:pStyle w:val="BodyText"/>
        <w:spacing w:line="360" w:lineRule="auto" w:before="229"/>
        <w:ind w:left="666" w:right="114" w:hanging="567"/>
        <w:jc w:val="both"/>
      </w:pPr>
      <w:r>
        <w:rPr/>
        <w:t>46. In the light of the above, the Tribunal finds that the applicant has not proved on a balance of probabilities that the non-aligned boot lid is a defect within the ambit of section 53(1)(a)(i); that the respondent contravened 55(2)(b) and section 56(2); and that the applicant is entitled to relief in terms of section 54(2)(b) of the</w:t>
      </w:r>
      <w:r>
        <w:rPr>
          <w:spacing w:val="-4"/>
        </w:rPr>
        <w:t> </w:t>
      </w:r>
      <w:r>
        <w:rPr/>
        <w:t>CPA.</w:t>
      </w:r>
    </w:p>
    <w:p>
      <w:pPr>
        <w:pStyle w:val="BodyText"/>
        <w:spacing w:before="1"/>
        <w:rPr>
          <w:sz w:val="36"/>
        </w:rPr>
      </w:pPr>
    </w:p>
    <w:p>
      <w:pPr>
        <w:pStyle w:val="Heading1"/>
      </w:pPr>
      <w:r>
        <w:rPr/>
        <w:t>CONCLUSION</w:t>
      </w:r>
    </w:p>
    <w:p>
      <w:pPr>
        <w:pStyle w:val="BodyText"/>
        <w:rPr>
          <w:b/>
          <w:sz w:val="28"/>
        </w:rPr>
      </w:pPr>
    </w:p>
    <w:p>
      <w:pPr>
        <w:pStyle w:val="ListParagraph"/>
        <w:numPr>
          <w:ilvl w:val="0"/>
          <w:numId w:val="5"/>
        </w:numPr>
        <w:tabs>
          <w:tab w:pos="667" w:val="left" w:leader="none"/>
        </w:tabs>
        <w:spacing w:line="360" w:lineRule="auto" w:before="230" w:after="0"/>
        <w:ind w:left="666" w:right="114" w:hanging="567"/>
        <w:jc w:val="both"/>
        <w:rPr>
          <w:sz w:val="24"/>
        </w:rPr>
      </w:pPr>
      <w:r>
        <w:rPr>
          <w:sz w:val="24"/>
        </w:rPr>
        <w:t>Consequently, the Tribunal concludes that the applicant has not made out a case that he is entitled to the order sought for the relief he seeks from the respondent in this</w:t>
      </w:r>
      <w:r>
        <w:rPr>
          <w:spacing w:val="-22"/>
          <w:sz w:val="24"/>
        </w:rPr>
        <w:t> </w:t>
      </w:r>
      <w:r>
        <w:rPr>
          <w:sz w:val="24"/>
        </w:rPr>
        <w:t>application.</w:t>
      </w:r>
    </w:p>
    <w:p>
      <w:pPr>
        <w:pStyle w:val="BodyText"/>
        <w:spacing w:before="10"/>
        <w:rPr>
          <w:sz w:val="35"/>
        </w:rPr>
      </w:pPr>
    </w:p>
    <w:p>
      <w:pPr>
        <w:pStyle w:val="Heading1"/>
        <w:ind w:left="155"/>
      </w:pPr>
      <w:r>
        <w:rPr/>
        <w:t>ORDER</w:t>
      </w:r>
    </w:p>
    <w:p>
      <w:pPr>
        <w:pStyle w:val="BodyText"/>
        <w:rPr>
          <w:b/>
          <w:sz w:val="28"/>
        </w:rPr>
      </w:pPr>
    </w:p>
    <w:p>
      <w:pPr>
        <w:pStyle w:val="ListParagraph"/>
        <w:numPr>
          <w:ilvl w:val="0"/>
          <w:numId w:val="5"/>
        </w:numPr>
        <w:tabs>
          <w:tab w:pos="666" w:val="left" w:leader="none"/>
          <w:tab w:pos="667" w:val="left" w:leader="none"/>
        </w:tabs>
        <w:spacing w:line="240" w:lineRule="auto" w:before="232" w:after="0"/>
        <w:ind w:left="666" w:right="0" w:hanging="567"/>
        <w:jc w:val="left"/>
        <w:rPr>
          <w:sz w:val="24"/>
        </w:rPr>
      </w:pPr>
      <w:r>
        <w:rPr>
          <w:sz w:val="24"/>
        </w:rPr>
        <w:t>Accordingly, the Tribunal makes the following</w:t>
      </w:r>
      <w:r>
        <w:rPr>
          <w:spacing w:val="-10"/>
          <w:sz w:val="24"/>
        </w:rPr>
        <w:t> </w:t>
      </w:r>
      <w:r>
        <w:rPr>
          <w:sz w:val="24"/>
        </w:rPr>
        <w:t>order:</w:t>
      </w:r>
    </w:p>
    <w:p>
      <w:pPr>
        <w:pStyle w:val="BodyText"/>
        <w:rPr>
          <w:sz w:val="28"/>
        </w:rPr>
      </w:pPr>
    </w:p>
    <w:p>
      <w:pPr>
        <w:pStyle w:val="ListParagraph"/>
        <w:numPr>
          <w:ilvl w:val="1"/>
          <w:numId w:val="6"/>
        </w:numPr>
        <w:tabs>
          <w:tab w:pos="1216" w:val="left" w:leader="none"/>
        </w:tabs>
        <w:spacing w:line="240" w:lineRule="auto" w:before="228" w:after="0"/>
        <w:ind w:left="1215" w:right="0" w:hanging="550"/>
        <w:jc w:val="left"/>
        <w:rPr>
          <w:sz w:val="24"/>
        </w:rPr>
      </w:pPr>
      <w:r>
        <w:rPr>
          <w:sz w:val="24"/>
        </w:rPr>
        <w:t>The application is dismissed;</w:t>
      </w:r>
      <w:r>
        <w:rPr>
          <w:spacing w:val="-2"/>
          <w:sz w:val="24"/>
        </w:rPr>
        <w:t> </w:t>
      </w:r>
      <w:r>
        <w:rPr>
          <w:sz w:val="24"/>
        </w:rPr>
        <w:t>and</w:t>
      </w:r>
    </w:p>
    <w:p>
      <w:pPr>
        <w:pStyle w:val="ListParagraph"/>
        <w:numPr>
          <w:ilvl w:val="1"/>
          <w:numId w:val="6"/>
        </w:numPr>
        <w:tabs>
          <w:tab w:pos="1217" w:val="left" w:leader="none"/>
        </w:tabs>
        <w:spacing w:line="240" w:lineRule="auto" w:before="138" w:after="0"/>
        <w:ind w:left="1216" w:right="0" w:hanging="551"/>
        <w:jc w:val="left"/>
        <w:rPr>
          <w:sz w:val="24"/>
        </w:rPr>
      </w:pPr>
      <w:r>
        <w:rPr>
          <w:sz w:val="24"/>
        </w:rPr>
        <w:t>There is no costs</w:t>
      </w:r>
      <w:r>
        <w:rPr>
          <w:spacing w:val="-4"/>
          <w:sz w:val="24"/>
        </w:rPr>
        <w:t> </w:t>
      </w:r>
      <w:r>
        <w:rPr>
          <w:sz w:val="24"/>
        </w:rPr>
        <w:t>order.</w:t>
      </w:r>
    </w:p>
    <w:p>
      <w:pPr>
        <w:pStyle w:val="BodyText"/>
        <w:rPr>
          <w:sz w:val="28"/>
        </w:rPr>
      </w:pPr>
    </w:p>
    <w:p>
      <w:pPr>
        <w:pStyle w:val="BodyText"/>
        <w:spacing w:before="229"/>
        <w:ind w:left="100"/>
      </w:pPr>
      <w:r>
        <w:rPr/>
        <w:t>DATED AT CENTURION ON 29 OCTOBER 2022</w:t>
      </w:r>
    </w:p>
    <w:p>
      <w:pPr>
        <w:pStyle w:val="BodyText"/>
        <w:rPr>
          <w:sz w:val="36"/>
        </w:rPr>
      </w:pPr>
    </w:p>
    <w:p>
      <w:pPr>
        <w:pStyle w:val="BodyText"/>
        <w:spacing w:before="1"/>
        <w:ind w:left="100"/>
      </w:pPr>
      <w:r>
        <w:rPr/>
        <w:t>[Signed]</w:t>
      </w:r>
    </w:p>
    <w:p>
      <w:pPr>
        <w:spacing w:after="0"/>
        <w:sectPr>
          <w:pgSz w:w="11910" w:h="16840"/>
          <w:pgMar w:header="914" w:footer="1057" w:top="1520" w:bottom="1240" w:left="1340" w:right="1320"/>
        </w:sectPr>
      </w:pPr>
    </w:p>
    <w:p>
      <w:pPr>
        <w:pStyle w:val="BodyText"/>
        <w:spacing w:before="5"/>
        <w:rPr>
          <w:sz w:val="11"/>
        </w:rPr>
      </w:pPr>
    </w:p>
    <w:p>
      <w:pPr>
        <w:pStyle w:val="Heading1"/>
        <w:spacing w:line="274" w:lineRule="exact" w:before="100"/>
      </w:pPr>
      <w:r>
        <w:rPr/>
        <w:t>PA BECK</w:t>
      </w:r>
    </w:p>
    <w:p>
      <w:pPr>
        <w:spacing w:line="274" w:lineRule="exact" w:before="0"/>
        <w:ind w:left="100" w:right="0" w:firstLine="0"/>
        <w:jc w:val="left"/>
        <w:rPr>
          <w:b/>
          <w:sz w:val="24"/>
        </w:rPr>
      </w:pPr>
      <w:r>
        <w:rPr>
          <w:b/>
          <w:sz w:val="24"/>
        </w:rPr>
        <w:t>PRESIDING TRIBUNAL MEMBER</w:t>
      </w:r>
    </w:p>
    <w:p>
      <w:pPr>
        <w:pStyle w:val="BodyText"/>
        <w:rPr>
          <w:b/>
          <w:sz w:val="36"/>
        </w:rPr>
      </w:pPr>
    </w:p>
    <w:p>
      <w:pPr>
        <w:pStyle w:val="BodyText"/>
        <w:spacing w:before="1"/>
        <w:ind w:left="100"/>
      </w:pPr>
      <w:r>
        <w:rPr/>
        <w:t>Ms. D Terblanche (Tribunal Member) and Mr F Sibanda (Tribunal Member), concur.</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15"/>
        </w:rPr>
      </w:pPr>
      <w:r>
        <w:rPr/>
        <w:drawing>
          <wp:anchor distT="0" distB="0" distL="0" distR="0" allowOverlap="1" layoutInCell="1" locked="0" behindDoc="0" simplePos="0" relativeHeight="7">
            <wp:simplePos x="0" y="0"/>
            <wp:positionH relativeFrom="page">
              <wp:posOffset>990613</wp:posOffset>
            </wp:positionH>
            <wp:positionV relativeFrom="paragraph">
              <wp:posOffset>141031</wp:posOffset>
            </wp:positionV>
            <wp:extent cx="3371407" cy="1743075"/>
            <wp:effectExtent l="0" t="0" r="0" b="0"/>
            <wp:wrapTopAndBottom/>
            <wp:docPr id="1" name="image1.png"/>
            <wp:cNvGraphicFramePr>
              <a:graphicFrameLocks noChangeAspect="1"/>
            </wp:cNvGraphicFramePr>
            <a:graphic>
              <a:graphicData uri="http://schemas.openxmlformats.org/drawingml/2006/picture">
                <pic:pic>
                  <pic:nvPicPr>
                    <pic:cNvPr id="2" name="image1.png"/>
                    <pic:cNvPicPr/>
                  </pic:nvPicPr>
                  <pic:blipFill>
                    <a:blip r:embed="rId13" cstate="print"/>
                    <a:stretch>
                      <a:fillRect/>
                    </a:stretch>
                  </pic:blipFill>
                  <pic:spPr>
                    <a:xfrm>
                      <a:off x="0" y="0"/>
                      <a:ext cx="3371407" cy="1743075"/>
                    </a:xfrm>
                    <a:prstGeom prst="rect">
                      <a:avLst/>
                    </a:prstGeom>
                  </pic:spPr>
                </pic:pic>
              </a:graphicData>
            </a:graphic>
          </wp:anchor>
        </w:drawing>
      </w:r>
    </w:p>
    <w:sectPr>
      <w:pgSz w:w="11910" w:h="16840"/>
      <w:pgMar w:header="914" w:footer="1057" w:top="1520" w:bottom="124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 Narrow">
    <w:altName w:val="Arial Narrow"/>
    <w:charset w:val="0"/>
    <w:family w:val="swiss"/>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14.900024pt;margin-top:778.069397pt;width:11.5pt;height:15.8pt;mso-position-horizontal-relative:page;mso-position-vertical-relative:page;z-index:-252025856" type="#_x0000_t202" filled="false" stroked="false">
          <v:textbox inset="0,0,0,0">
            <w:txbxContent>
              <w:p>
                <w:pPr>
                  <w:pStyle w:val="BodyText"/>
                  <w:spacing w:before="19"/>
                  <w:ind w:left="60"/>
                </w:pPr>
                <w:r>
                  <w:rPr/>
                  <w:fldChar w:fldCharType="begin"/>
                </w:r>
                <w:r>
                  <w:rPr/>
                  <w:instrText> PAGE </w:instrText>
                </w:r>
                <w:r>
                  <w:rPr/>
                  <w:fldChar w:fldCharType="separate"/>
                </w:r>
                <w:r>
                  <w:rPr/>
                  <w:t>2</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52023808" from="72.024002pt,753.096008pt" to="216.044002pt,753.096008pt" stroked="true" strokeweight=".71997pt" strokecolor="#000000">
          <v:stroke dashstyle="solid"/>
          <w10:wrap type="none"/>
        </v:line>
      </w:pict>
    </w:r>
    <w:r>
      <w:rPr/>
      <w:pict>
        <v:shape style="position:absolute;margin-left:71.024002pt;margin-top:757.537964pt;width:309.6pt;height:13.45pt;mso-position-horizontal-relative:page;mso-position-vertical-relative:page;z-index:-252022784" type="#_x0000_t202" filled="false" stroked="false">
          <v:textbox inset="0,0,0,0">
            <w:txbxContent>
              <w:p>
                <w:pPr>
                  <w:spacing w:before="19"/>
                  <w:ind w:left="20" w:right="0" w:firstLine="0"/>
                  <w:jc w:val="left"/>
                  <w:rPr>
                    <w:sz w:val="20"/>
                  </w:rPr>
                </w:pPr>
                <w:r>
                  <w:rPr>
                    <w:position w:val="5"/>
                    <w:sz w:val="13"/>
                  </w:rPr>
                  <w:t>4 </w:t>
                </w:r>
                <w:r>
                  <w:rPr>
                    <w:sz w:val="20"/>
                  </w:rPr>
                  <w:t>Tribunal judgment and reasons dated 15 April 2019, on page 72 of the case record.</w:t>
                </w:r>
              </w:p>
            </w:txbxContent>
          </v:textbox>
          <w10:wrap type="none"/>
        </v:shape>
      </w:pict>
    </w:r>
    <w:r>
      <w:rPr/>
      <w:pict>
        <v:shape style="position:absolute;margin-left:514.900024pt;margin-top:778.069397pt;width:11.5pt;height:15.8pt;mso-position-horizontal-relative:page;mso-position-vertical-relative:page;z-index:-252021760" type="#_x0000_t202" filled="false" stroked="false">
          <v:textbox inset="0,0,0,0">
            <w:txbxContent>
              <w:p>
                <w:pPr>
                  <w:pStyle w:val="BodyText"/>
                  <w:spacing w:before="19"/>
                  <w:ind w:left="60"/>
                </w:pPr>
                <w:r>
                  <w:rPr/>
                  <w:fldChar w:fldCharType="begin"/>
                </w:r>
                <w:r>
                  <w:rPr/>
                  <w:instrText> PAGE </w:instrText>
                </w:r>
                <w:r>
                  <w:rPr/>
                  <w:fldChar w:fldCharType="separate"/>
                </w:r>
                <w:r>
                  <w:rPr/>
                  <w:t>6</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16.900024pt;margin-top:778.069397pt;width:7.5pt;height:15.8pt;mso-position-horizontal-relative:page;mso-position-vertical-relative:page;z-index:-252019712" type="#_x0000_t202" filled="false" stroked="false">
          <v:textbox inset="0,0,0,0">
            <w:txbxContent>
              <w:p>
                <w:pPr>
                  <w:pStyle w:val="BodyText"/>
                  <w:spacing w:before="19"/>
                  <w:ind w:left="20"/>
                </w:pPr>
                <w:r>
                  <w:rPr/>
                  <w:t>7</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09.5pt;margin-top:778.069397pt;width:17.05pt;height:15.8pt;mso-position-horizontal-relative:page;mso-position-vertical-relative:page;z-index:-252017664" type="#_x0000_t202" filled="false" stroked="false">
          <v:textbox inset="0,0,0,0">
            <w:txbxContent>
              <w:p>
                <w:pPr>
                  <w:pStyle w:val="BodyText"/>
                  <w:spacing w:before="19"/>
                  <w:ind w:left="60"/>
                </w:pPr>
                <w:r>
                  <w:rPr/>
                  <w:fldChar w:fldCharType="begin"/>
                </w:r>
                <w:r>
                  <w:rPr/>
                  <w:instrText> PAGE </w:instrText>
                </w:r>
                <w:r>
                  <w:rPr/>
                  <w:fldChar w:fldCharType="separate"/>
                </w:r>
                <w:r>
                  <w:rPr/>
                  <w:t>10</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41.549988pt;margin-top:44.700062pt;width:182.95pt;height:33pt;mso-position-horizontal-relative:page;mso-position-vertical-relative:page;z-index:-252026880" type="#_x0000_t202" filled="false" stroked="false">
          <v:textbox inset="0,0,0,0">
            <w:txbxContent>
              <w:p>
                <w:pPr>
                  <w:spacing w:before="19"/>
                  <w:ind w:left="0" w:right="18" w:firstLine="0"/>
                  <w:jc w:val="right"/>
                  <w:rPr>
                    <w:sz w:val="18"/>
                  </w:rPr>
                </w:pPr>
                <w:r>
                  <w:rPr>
                    <w:sz w:val="18"/>
                  </w:rPr>
                  <w:t>A Sahadeo / Hyundai Automotive South Africa (Pty)</w:t>
                </w:r>
                <w:r>
                  <w:rPr>
                    <w:spacing w:val="-13"/>
                    <w:sz w:val="18"/>
                  </w:rPr>
                  <w:t> </w:t>
                </w:r>
                <w:r>
                  <w:rPr>
                    <w:sz w:val="18"/>
                  </w:rPr>
                  <w:t>Ltd</w:t>
                </w:r>
              </w:p>
              <w:p>
                <w:pPr>
                  <w:spacing w:before="0"/>
                  <w:ind w:left="1829" w:right="22" w:firstLine="345"/>
                  <w:jc w:val="right"/>
                  <w:rPr>
                    <w:sz w:val="18"/>
                  </w:rPr>
                </w:pPr>
                <w:r>
                  <w:rPr>
                    <w:sz w:val="18"/>
                  </w:rPr>
                  <w:t>t/a</w:t>
                </w:r>
                <w:r>
                  <w:rPr>
                    <w:spacing w:val="2"/>
                    <w:sz w:val="18"/>
                  </w:rPr>
                  <w:t> </w:t>
                </w:r>
                <w:r>
                  <w:rPr>
                    <w:sz w:val="18"/>
                  </w:rPr>
                  <w:t>Hyundai</w:t>
                </w:r>
                <w:r>
                  <w:rPr>
                    <w:spacing w:val="6"/>
                    <w:sz w:val="18"/>
                  </w:rPr>
                  <w:t> </w:t>
                </w:r>
                <w:r>
                  <w:rPr>
                    <w:spacing w:val="-3"/>
                    <w:sz w:val="18"/>
                  </w:rPr>
                  <w:t>Ethekwini</w:t>
                </w:r>
                <w:r>
                  <w:rPr>
                    <w:sz w:val="18"/>
                  </w:rPr>
                  <w:t> </w:t>
                </w:r>
                <w:r>
                  <w:rPr>
                    <w:spacing w:val="-1"/>
                    <w:sz w:val="18"/>
                  </w:rPr>
                  <w:t>NCT/178924/2021/75(1)(b)</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41.549988pt;margin-top:44.700062pt;width:182.95pt;height:33pt;mso-position-horizontal-relative:page;mso-position-vertical-relative:page;z-index:-252024832" type="#_x0000_t202" filled="false" stroked="false">
          <v:textbox inset="0,0,0,0">
            <w:txbxContent>
              <w:p>
                <w:pPr>
                  <w:spacing w:before="19"/>
                  <w:ind w:left="0" w:right="18" w:firstLine="0"/>
                  <w:jc w:val="right"/>
                  <w:rPr>
                    <w:sz w:val="18"/>
                  </w:rPr>
                </w:pPr>
                <w:r>
                  <w:rPr>
                    <w:sz w:val="18"/>
                  </w:rPr>
                  <w:t>A Sahadeo / Hyundai Automotive South Africa (Pty)</w:t>
                </w:r>
                <w:r>
                  <w:rPr>
                    <w:spacing w:val="-13"/>
                    <w:sz w:val="18"/>
                  </w:rPr>
                  <w:t> </w:t>
                </w:r>
                <w:r>
                  <w:rPr>
                    <w:sz w:val="18"/>
                  </w:rPr>
                  <w:t>Ltd</w:t>
                </w:r>
              </w:p>
              <w:p>
                <w:pPr>
                  <w:spacing w:before="0"/>
                  <w:ind w:left="1829" w:right="22" w:firstLine="345"/>
                  <w:jc w:val="right"/>
                  <w:rPr>
                    <w:sz w:val="18"/>
                  </w:rPr>
                </w:pPr>
                <w:r>
                  <w:rPr>
                    <w:sz w:val="18"/>
                  </w:rPr>
                  <w:t>t/a</w:t>
                </w:r>
                <w:r>
                  <w:rPr>
                    <w:spacing w:val="2"/>
                    <w:sz w:val="18"/>
                  </w:rPr>
                  <w:t> </w:t>
                </w:r>
                <w:r>
                  <w:rPr>
                    <w:sz w:val="18"/>
                  </w:rPr>
                  <w:t>Hyundai</w:t>
                </w:r>
                <w:r>
                  <w:rPr>
                    <w:spacing w:val="6"/>
                    <w:sz w:val="18"/>
                  </w:rPr>
                  <w:t> </w:t>
                </w:r>
                <w:r>
                  <w:rPr>
                    <w:spacing w:val="-3"/>
                    <w:sz w:val="18"/>
                  </w:rPr>
                  <w:t>Ethekwini</w:t>
                </w:r>
                <w:r>
                  <w:rPr>
                    <w:sz w:val="18"/>
                  </w:rPr>
                  <w:t> </w:t>
                </w:r>
                <w:r>
                  <w:rPr>
                    <w:spacing w:val="-1"/>
                    <w:sz w:val="18"/>
                  </w:rPr>
                  <w:t>NCT/178924/2021/75(1)(b)</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41.549988pt;margin-top:44.700062pt;width:182.95pt;height:33pt;mso-position-horizontal-relative:page;mso-position-vertical-relative:page;z-index:-252020736" type="#_x0000_t202" filled="false" stroked="false">
          <v:textbox inset="0,0,0,0">
            <w:txbxContent>
              <w:p>
                <w:pPr>
                  <w:spacing w:before="19"/>
                  <w:ind w:left="0" w:right="18" w:firstLine="0"/>
                  <w:jc w:val="right"/>
                  <w:rPr>
                    <w:sz w:val="18"/>
                  </w:rPr>
                </w:pPr>
                <w:r>
                  <w:rPr>
                    <w:sz w:val="18"/>
                  </w:rPr>
                  <w:t>A Sahadeo / Hyundai Automotive South Africa (Pty)</w:t>
                </w:r>
                <w:r>
                  <w:rPr>
                    <w:spacing w:val="-13"/>
                    <w:sz w:val="18"/>
                  </w:rPr>
                  <w:t> </w:t>
                </w:r>
                <w:r>
                  <w:rPr>
                    <w:sz w:val="18"/>
                  </w:rPr>
                  <w:t>Ltd</w:t>
                </w:r>
              </w:p>
              <w:p>
                <w:pPr>
                  <w:spacing w:before="0"/>
                  <w:ind w:left="1829" w:right="22" w:firstLine="345"/>
                  <w:jc w:val="right"/>
                  <w:rPr>
                    <w:sz w:val="18"/>
                  </w:rPr>
                </w:pPr>
                <w:r>
                  <w:rPr>
                    <w:sz w:val="18"/>
                  </w:rPr>
                  <w:t>t/a</w:t>
                </w:r>
                <w:r>
                  <w:rPr>
                    <w:spacing w:val="2"/>
                    <w:sz w:val="18"/>
                  </w:rPr>
                  <w:t> </w:t>
                </w:r>
                <w:r>
                  <w:rPr>
                    <w:sz w:val="18"/>
                  </w:rPr>
                  <w:t>Hyundai</w:t>
                </w:r>
                <w:r>
                  <w:rPr>
                    <w:spacing w:val="6"/>
                    <w:sz w:val="18"/>
                  </w:rPr>
                  <w:t> </w:t>
                </w:r>
                <w:r>
                  <w:rPr>
                    <w:spacing w:val="-3"/>
                    <w:sz w:val="18"/>
                  </w:rPr>
                  <w:t>Ethekwini</w:t>
                </w:r>
                <w:r>
                  <w:rPr>
                    <w:sz w:val="18"/>
                  </w:rPr>
                  <w:t> </w:t>
                </w:r>
                <w:r>
                  <w:rPr>
                    <w:spacing w:val="-1"/>
                    <w:sz w:val="18"/>
                  </w:rPr>
                  <w:t>NCT/178924/2021/75(1)(b)</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41.549988pt;margin-top:44.700062pt;width:182.95pt;height:33pt;mso-position-horizontal-relative:page;mso-position-vertical-relative:page;z-index:-252018688" type="#_x0000_t202" filled="false" stroked="false">
          <v:textbox inset="0,0,0,0">
            <w:txbxContent>
              <w:p>
                <w:pPr>
                  <w:spacing w:before="19"/>
                  <w:ind w:left="0" w:right="18" w:firstLine="0"/>
                  <w:jc w:val="right"/>
                  <w:rPr>
                    <w:sz w:val="18"/>
                  </w:rPr>
                </w:pPr>
                <w:r>
                  <w:rPr>
                    <w:sz w:val="18"/>
                  </w:rPr>
                  <w:t>A Sahadeo / Hyundai Automotive South Africa (Pty)</w:t>
                </w:r>
                <w:r>
                  <w:rPr>
                    <w:spacing w:val="-13"/>
                    <w:sz w:val="18"/>
                  </w:rPr>
                  <w:t> </w:t>
                </w:r>
                <w:r>
                  <w:rPr>
                    <w:sz w:val="18"/>
                  </w:rPr>
                  <w:t>Ltd</w:t>
                </w:r>
              </w:p>
              <w:p>
                <w:pPr>
                  <w:spacing w:before="0"/>
                  <w:ind w:left="1829" w:right="22" w:firstLine="345"/>
                  <w:jc w:val="right"/>
                  <w:rPr>
                    <w:sz w:val="18"/>
                  </w:rPr>
                </w:pPr>
                <w:r>
                  <w:rPr>
                    <w:sz w:val="18"/>
                  </w:rPr>
                  <w:t>t/a</w:t>
                </w:r>
                <w:r>
                  <w:rPr>
                    <w:spacing w:val="2"/>
                    <w:sz w:val="18"/>
                  </w:rPr>
                  <w:t> </w:t>
                </w:r>
                <w:r>
                  <w:rPr>
                    <w:sz w:val="18"/>
                  </w:rPr>
                  <w:t>Hyundai</w:t>
                </w:r>
                <w:r>
                  <w:rPr>
                    <w:spacing w:val="6"/>
                    <w:sz w:val="18"/>
                  </w:rPr>
                  <w:t> </w:t>
                </w:r>
                <w:r>
                  <w:rPr>
                    <w:spacing w:val="-3"/>
                    <w:sz w:val="18"/>
                  </w:rPr>
                  <w:t>Ethekwini</w:t>
                </w:r>
                <w:r>
                  <w:rPr>
                    <w:sz w:val="18"/>
                  </w:rPr>
                  <w:t> </w:t>
                </w:r>
                <w:r>
                  <w:rPr>
                    <w:spacing w:val="-1"/>
                    <w:sz w:val="18"/>
                  </w:rPr>
                  <w:t>NCT/178924/2021/75(1)(b)</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48"/>
      <w:numFmt w:val="decimal"/>
      <w:lvlText w:val="%1"/>
      <w:lvlJc w:val="left"/>
      <w:pPr>
        <w:ind w:left="1215" w:hanging="549"/>
        <w:jc w:val="left"/>
      </w:pPr>
      <w:rPr>
        <w:rFonts w:hint="default"/>
        <w:lang w:val="en-za" w:eastAsia="en-za" w:bidi="en-za"/>
      </w:rPr>
    </w:lvl>
    <w:lvl w:ilvl="1">
      <w:start w:val="1"/>
      <w:numFmt w:val="decimal"/>
      <w:lvlText w:val="%1.%2."/>
      <w:lvlJc w:val="left"/>
      <w:pPr>
        <w:ind w:left="1215" w:hanging="549"/>
        <w:jc w:val="left"/>
      </w:pPr>
      <w:rPr>
        <w:rFonts w:hint="default" w:ascii="Arial Narrow" w:hAnsi="Arial Narrow" w:eastAsia="Arial Narrow" w:cs="Arial Narrow"/>
        <w:spacing w:val="-3"/>
        <w:w w:val="100"/>
        <w:sz w:val="24"/>
        <w:szCs w:val="24"/>
        <w:lang w:val="en-za" w:eastAsia="en-za" w:bidi="en-za"/>
      </w:rPr>
    </w:lvl>
    <w:lvl w:ilvl="2">
      <w:start w:val="0"/>
      <w:numFmt w:val="bullet"/>
      <w:lvlText w:val="•"/>
      <w:lvlJc w:val="left"/>
      <w:pPr>
        <w:ind w:left="2825" w:hanging="549"/>
      </w:pPr>
      <w:rPr>
        <w:rFonts w:hint="default"/>
        <w:lang w:val="en-za" w:eastAsia="en-za" w:bidi="en-za"/>
      </w:rPr>
    </w:lvl>
    <w:lvl w:ilvl="3">
      <w:start w:val="0"/>
      <w:numFmt w:val="bullet"/>
      <w:lvlText w:val="•"/>
      <w:lvlJc w:val="left"/>
      <w:pPr>
        <w:ind w:left="3627" w:hanging="549"/>
      </w:pPr>
      <w:rPr>
        <w:rFonts w:hint="default"/>
        <w:lang w:val="en-za" w:eastAsia="en-za" w:bidi="en-za"/>
      </w:rPr>
    </w:lvl>
    <w:lvl w:ilvl="4">
      <w:start w:val="0"/>
      <w:numFmt w:val="bullet"/>
      <w:lvlText w:val="•"/>
      <w:lvlJc w:val="left"/>
      <w:pPr>
        <w:ind w:left="4430" w:hanging="549"/>
      </w:pPr>
      <w:rPr>
        <w:rFonts w:hint="default"/>
        <w:lang w:val="en-za" w:eastAsia="en-za" w:bidi="en-za"/>
      </w:rPr>
    </w:lvl>
    <w:lvl w:ilvl="5">
      <w:start w:val="0"/>
      <w:numFmt w:val="bullet"/>
      <w:lvlText w:val="•"/>
      <w:lvlJc w:val="left"/>
      <w:pPr>
        <w:ind w:left="5233" w:hanging="549"/>
      </w:pPr>
      <w:rPr>
        <w:rFonts w:hint="default"/>
        <w:lang w:val="en-za" w:eastAsia="en-za" w:bidi="en-za"/>
      </w:rPr>
    </w:lvl>
    <w:lvl w:ilvl="6">
      <w:start w:val="0"/>
      <w:numFmt w:val="bullet"/>
      <w:lvlText w:val="•"/>
      <w:lvlJc w:val="left"/>
      <w:pPr>
        <w:ind w:left="6035" w:hanging="549"/>
      </w:pPr>
      <w:rPr>
        <w:rFonts w:hint="default"/>
        <w:lang w:val="en-za" w:eastAsia="en-za" w:bidi="en-za"/>
      </w:rPr>
    </w:lvl>
    <w:lvl w:ilvl="7">
      <w:start w:val="0"/>
      <w:numFmt w:val="bullet"/>
      <w:lvlText w:val="•"/>
      <w:lvlJc w:val="left"/>
      <w:pPr>
        <w:ind w:left="6838" w:hanging="549"/>
      </w:pPr>
      <w:rPr>
        <w:rFonts w:hint="default"/>
        <w:lang w:val="en-za" w:eastAsia="en-za" w:bidi="en-za"/>
      </w:rPr>
    </w:lvl>
    <w:lvl w:ilvl="8">
      <w:start w:val="0"/>
      <w:numFmt w:val="bullet"/>
      <w:lvlText w:val="•"/>
      <w:lvlJc w:val="left"/>
      <w:pPr>
        <w:ind w:left="7641" w:hanging="549"/>
      </w:pPr>
      <w:rPr>
        <w:rFonts w:hint="default"/>
        <w:lang w:val="en-za" w:eastAsia="en-za" w:bidi="en-za"/>
      </w:rPr>
    </w:lvl>
  </w:abstractNum>
  <w:abstractNum w:abstractNumId="4">
    <w:multiLevelType w:val="hybridMultilevel"/>
    <w:lvl w:ilvl="0">
      <w:start w:val="48"/>
      <w:numFmt w:val="decimal"/>
      <w:lvlText w:val="%1."/>
      <w:lvlJc w:val="left"/>
      <w:pPr>
        <w:ind w:left="666" w:hanging="567"/>
        <w:jc w:val="left"/>
      </w:pPr>
      <w:rPr>
        <w:rFonts w:hint="default" w:ascii="Arial Narrow" w:hAnsi="Arial Narrow" w:eastAsia="Arial Narrow" w:cs="Arial Narrow"/>
        <w:spacing w:val="-20"/>
        <w:w w:val="100"/>
        <w:sz w:val="24"/>
        <w:szCs w:val="24"/>
        <w:lang w:val="en-za" w:eastAsia="en-za" w:bidi="en-za"/>
      </w:rPr>
    </w:lvl>
    <w:lvl w:ilvl="1">
      <w:start w:val="0"/>
      <w:numFmt w:val="bullet"/>
      <w:lvlText w:val="•"/>
      <w:lvlJc w:val="left"/>
      <w:pPr>
        <w:ind w:left="1518" w:hanging="567"/>
      </w:pPr>
      <w:rPr>
        <w:rFonts w:hint="default"/>
        <w:lang w:val="en-za" w:eastAsia="en-za" w:bidi="en-za"/>
      </w:rPr>
    </w:lvl>
    <w:lvl w:ilvl="2">
      <w:start w:val="0"/>
      <w:numFmt w:val="bullet"/>
      <w:lvlText w:val="•"/>
      <w:lvlJc w:val="left"/>
      <w:pPr>
        <w:ind w:left="2377" w:hanging="567"/>
      </w:pPr>
      <w:rPr>
        <w:rFonts w:hint="default"/>
        <w:lang w:val="en-za" w:eastAsia="en-za" w:bidi="en-za"/>
      </w:rPr>
    </w:lvl>
    <w:lvl w:ilvl="3">
      <w:start w:val="0"/>
      <w:numFmt w:val="bullet"/>
      <w:lvlText w:val="•"/>
      <w:lvlJc w:val="left"/>
      <w:pPr>
        <w:ind w:left="3235" w:hanging="567"/>
      </w:pPr>
      <w:rPr>
        <w:rFonts w:hint="default"/>
        <w:lang w:val="en-za" w:eastAsia="en-za" w:bidi="en-za"/>
      </w:rPr>
    </w:lvl>
    <w:lvl w:ilvl="4">
      <w:start w:val="0"/>
      <w:numFmt w:val="bullet"/>
      <w:lvlText w:val="•"/>
      <w:lvlJc w:val="left"/>
      <w:pPr>
        <w:ind w:left="4094" w:hanging="567"/>
      </w:pPr>
      <w:rPr>
        <w:rFonts w:hint="default"/>
        <w:lang w:val="en-za" w:eastAsia="en-za" w:bidi="en-za"/>
      </w:rPr>
    </w:lvl>
    <w:lvl w:ilvl="5">
      <w:start w:val="0"/>
      <w:numFmt w:val="bullet"/>
      <w:lvlText w:val="•"/>
      <w:lvlJc w:val="left"/>
      <w:pPr>
        <w:ind w:left="4953" w:hanging="567"/>
      </w:pPr>
      <w:rPr>
        <w:rFonts w:hint="default"/>
        <w:lang w:val="en-za" w:eastAsia="en-za" w:bidi="en-za"/>
      </w:rPr>
    </w:lvl>
    <w:lvl w:ilvl="6">
      <w:start w:val="0"/>
      <w:numFmt w:val="bullet"/>
      <w:lvlText w:val="•"/>
      <w:lvlJc w:val="left"/>
      <w:pPr>
        <w:ind w:left="5811" w:hanging="567"/>
      </w:pPr>
      <w:rPr>
        <w:rFonts w:hint="default"/>
        <w:lang w:val="en-za" w:eastAsia="en-za" w:bidi="en-za"/>
      </w:rPr>
    </w:lvl>
    <w:lvl w:ilvl="7">
      <w:start w:val="0"/>
      <w:numFmt w:val="bullet"/>
      <w:lvlText w:val="•"/>
      <w:lvlJc w:val="left"/>
      <w:pPr>
        <w:ind w:left="6670" w:hanging="567"/>
      </w:pPr>
      <w:rPr>
        <w:rFonts w:hint="default"/>
        <w:lang w:val="en-za" w:eastAsia="en-za" w:bidi="en-za"/>
      </w:rPr>
    </w:lvl>
    <w:lvl w:ilvl="8">
      <w:start w:val="0"/>
      <w:numFmt w:val="bullet"/>
      <w:lvlText w:val="•"/>
      <w:lvlJc w:val="left"/>
      <w:pPr>
        <w:ind w:left="7529" w:hanging="567"/>
      </w:pPr>
      <w:rPr>
        <w:rFonts w:hint="default"/>
        <w:lang w:val="en-za" w:eastAsia="en-za" w:bidi="en-za"/>
      </w:rPr>
    </w:lvl>
  </w:abstractNum>
  <w:abstractNum w:abstractNumId="3">
    <w:multiLevelType w:val="hybridMultilevel"/>
    <w:lvl w:ilvl="0">
      <w:start w:val="1"/>
      <w:numFmt w:val="decimal"/>
      <w:lvlText w:val="(%1)"/>
      <w:lvlJc w:val="left"/>
      <w:pPr>
        <w:ind w:left="962" w:hanging="296"/>
        <w:jc w:val="left"/>
      </w:pPr>
      <w:rPr>
        <w:rFonts w:hint="default" w:ascii="Arial Narrow" w:hAnsi="Arial Narrow" w:eastAsia="Arial Narrow" w:cs="Arial Narrow"/>
        <w:w w:val="100"/>
        <w:sz w:val="24"/>
        <w:szCs w:val="24"/>
        <w:lang w:val="en-za" w:eastAsia="en-za" w:bidi="en-za"/>
      </w:rPr>
    </w:lvl>
    <w:lvl w:ilvl="1">
      <w:start w:val="1"/>
      <w:numFmt w:val="lowerLetter"/>
      <w:lvlText w:val="(%2)"/>
      <w:lvlJc w:val="left"/>
      <w:pPr>
        <w:ind w:left="962" w:hanging="296"/>
        <w:jc w:val="left"/>
      </w:pPr>
      <w:rPr>
        <w:rFonts w:hint="default" w:ascii="Arial Narrow" w:hAnsi="Arial Narrow" w:eastAsia="Arial Narrow" w:cs="Arial Narrow"/>
        <w:w w:val="100"/>
        <w:sz w:val="24"/>
        <w:szCs w:val="24"/>
        <w:lang w:val="en-za" w:eastAsia="en-za" w:bidi="en-za"/>
      </w:rPr>
    </w:lvl>
    <w:lvl w:ilvl="2">
      <w:start w:val="0"/>
      <w:numFmt w:val="bullet"/>
      <w:lvlText w:val="•"/>
      <w:lvlJc w:val="left"/>
      <w:pPr>
        <w:ind w:left="2617" w:hanging="296"/>
      </w:pPr>
      <w:rPr>
        <w:rFonts w:hint="default"/>
        <w:lang w:val="en-za" w:eastAsia="en-za" w:bidi="en-za"/>
      </w:rPr>
    </w:lvl>
    <w:lvl w:ilvl="3">
      <w:start w:val="0"/>
      <w:numFmt w:val="bullet"/>
      <w:lvlText w:val="•"/>
      <w:lvlJc w:val="left"/>
      <w:pPr>
        <w:ind w:left="3445" w:hanging="296"/>
      </w:pPr>
      <w:rPr>
        <w:rFonts w:hint="default"/>
        <w:lang w:val="en-za" w:eastAsia="en-za" w:bidi="en-za"/>
      </w:rPr>
    </w:lvl>
    <w:lvl w:ilvl="4">
      <w:start w:val="0"/>
      <w:numFmt w:val="bullet"/>
      <w:lvlText w:val="•"/>
      <w:lvlJc w:val="left"/>
      <w:pPr>
        <w:ind w:left="4274" w:hanging="296"/>
      </w:pPr>
      <w:rPr>
        <w:rFonts w:hint="default"/>
        <w:lang w:val="en-za" w:eastAsia="en-za" w:bidi="en-za"/>
      </w:rPr>
    </w:lvl>
    <w:lvl w:ilvl="5">
      <w:start w:val="0"/>
      <w:numFmt w:val="bullet"/>
      <w:lvlText w:val="•"/>
      <w:lvlJc w:val="left"/>
      <w:pPr>
        <w:ind w:left="5103" w:hanging="296"/>
      </w:pPr>
      <w:rPr>
        <w:rFonts w:hint="default"/>
        <w:lang w:val="en-za" w:eastAsia="en-za" w:bidi="en-za"/>
      </w:rPr>
    </w:lvl>
    <w:lvl w:ilvl="6">
      <w:start w:val="0"/>
      <w:numFmt w:val="bullet"/>
      <w:lvlText w:val="•"/>
      <w:lvlJc w:val="left"/>
      <w:pPr>
        <w:ind w:left="5931" w:hanging="296"/>
      </w:pPr>
      <w:rPr>
        <w:rFonts w:hint="default"/>
        <w:lang w:val="en-za" w:eastAsia="en-za" w:bidi="en-za"/>
      </w:rPr>
    </w:lvl>
    <w:lvl w:ilvl="7">
      <w:start w:val="0"/>
      <w:numFmt w:val="bullet"/>
      <w:lvlText w:val="•"/>
      <w:lvlJc w:val="left"/>
      <w:pPr>
        <w:ind w:left="6760" w:hanging="296"/>
      </w:pPr>
      <w:rPr>
        <w:rFonts w:hint="default"/>
        <w:lang w:val="en-za" w:eastAsia="en-za" w:bidi="en-za"/>
      </w:rPr>
    </w:lvl>
    <w:lvl w:ilvl="8">
      <w:start w:val="0"/>
      <w:numFmt w:val="bullet"/>
      <w:lvlText w:val="•"/>
      <w:lvlJc w:val="left"/>
      <w:pPr>
        <w:ind w:left="7589" w:hanging="296"/>
      </w:pPr>
      <w:rPr>
        <w:rFonts w:hint="default"/>
        <w:lang w:val="en-za" w:eastAsia="en-za" w:bidi="en-za"/>
      </w:rPr>
    </w:lvl>
  </w:abstractNum>
  <w:abstractNum w:abstractNumId="2">
    <w:multiLevelType w:val="hybridMultilevel"/>
    <w:lvl w:ilvl="0">
      <w:start w:val="1"/>
      <w:numFmt w:val="lowerRoman"/>
      <w:lvlText w:val="(%1)"/>
      <w:lvlJc w:val="left"/>
      <w:pPr>
        <w:ind w:left="887" w:hanging="229"/>
        <w:jc w:val="left"/>
      </w:pPr>
      <w:rPr>
        <w:rFonts w:hint="default" w:ascii="Arial Narrow" w:hAnsi="Arial Narrow" w:eastAsia="Arial Narrow" w:cs="Arial Narrow"/>
        <w:spacing w:val="-3"/>
        <w:w w:val="100"/>
        <w:sz w:val="24"/>
        <w:szCs w:val="24"/>
        <w:lang w:val="en-za" w:eastAsia="en-za" w:bidi="en-za"/>
      </w:rPr>
    </w:lvl>
    <w:lvl w:ilvl="1">
      <w:start w:val="0"/>
      <w:numFmt w:val="bullet"/>
      <w:lvlText w:val="•"/>
      <w:lvlJc w:val="left"/>
      <w:pPr>
        <w:ind w:left="1716" w:hanging="229"/>
      </w:pPr>
      <w:rPr>
        <w:rFonts w:hint="default"/>
        <w:lang w:val="en-za" w:eastAsia="en-za" w:bidi="en-za"/>
      </w:rPr>
    </w:lvl>
    <w:lvl w:ilvl="2">
      <w:start w:val="0"/>
      <w:numFmt w:val="bullet"/>
      <w:lvlText w:val="•"/>
      <w:lvlJc w:val="left"/>
      <w:pPr>
        <w:ind w:left="2553" w:hanging="229"/>
      </w:pPr>
      <w:rPr>
        <w:rFonts w:hint="default"/>
        <w:lang w:val="en-za" w:eastAsia="en-za" w:bidi="en-za"/>
      </w:rPr>
    </w:lvl>
    <w:lvl w:ilvl="3">
      <w:start w:val="0"/>
      <w:numFmt w:val="bullet"/>
      <w:lvlText w:val="•"/>
      <w:lvlJc w:val="left"/>
      <w:pPr>
        <w:ind w:left="3389" w:hanging="229"/>
      </w:pPr>
      <w:rPr>
        <w:rFonts w:hint="default"/>
        <w:lang w:val="en-za" w:eastAsia="en-za" w:bidi="en-za"/>
      </w:rPr>
    </w:lvl>
    <w:lvl w:ilvl="4">
      <w:start w:val="0"/>
      <w:numFmt w:val="bullet"/>
      <w:lvlText w:val="•"/>
      <w:lvlJc w:val="left"/>
      <w:pPr>
        <w:ind w:left="4226" w:hanging="229"/>
      </w:pPr>
      <w:rPr>
        <w:rFonts w:hint="default"/>
        <w:lang w:val="en-za" w:eastAsia="en-za" w:bidi="en-za"/>
      </w:rPr>
    </w:lvl>
    <w:lvl w:ilvl="5">
      <w:start w:val="0"/>
      <w:numFmt w:val="bullet"/>
      <w:lvlText w:val="•"/>
      <w:lvlJc w:val="left"/>
      <w:pPr>
        <w:ind w:left="5063" w:hanging="229"/>
      </w:pPr>
      <w:rPr>
        <w:rFonts w:hint="default"/>
        <w:lang w:val="en-za" w:eastAsia="en-za" w:bidi="en-za"/>
      </w:rPr>
    </w:lvl>
    <w:lvl w:ilvl="6">
      <w:start w:val="0"/>
      <w:numFmt w:val="bullet"/>
      <w:lvlText w:val="•"/>
      <w:lvlJc w:val="left"/>
      <w:pPr>
        <w:ind w:left="5899" w:hanging="229"/>
      </w:pPr>
      <w:rPr>
        <w:rFonts w:hint="default"/>
        <w:lang w:val="en-za" w:eastAsia="en-za" w:bidi="en-za"/>
      </w:rPr>
    </w:lvl>
    <w:lvl w:ilvl="7">
      <w:start w:val="0"/>
      <w:numFmt w:val="bullet"/>
      <w:lvlText w:val="•"/>
      <w:lvlJc w:val="left"/>
      <w:pPr>
        <w:ind w:left="6736" w:hanging="229"/>
      </w:pPr>
      <w:rPr>
        <w:rFonts w:hint="default"/>
        <w:lang w:val="en-za" w:eastAsia="en-za" w:bidi="en-za"/>
      </w:rPr>
    </w:lvl>
    <w:lvl w:ilvl="8">
      <w:start w:val="0"/>
      <w:numFmt w:val="bullet"/>
      <w:lvlText w:val="•"/>
      <w:lvlJc w:val="left"/>
      <w:pPr>
        <w:ind w:left="7573" w:hanging="229"/>
      </w:pPr>
      <w:rPr>
        <w:rFonts w:hint="default"/>
        <w:lang w:val="en-za" w:eastAsia="en-za" w:bidi="en-za"/>
      </w:rPr>
    </w:lvl>
  </w:abstractNum>
  <w:abstractNum w:abstractNumId="1">
    <w:multiLevelType w:val="hybridMultilevel"/>
    <w:lvl w:ilvl="0">
      <w:start w:val="1"/>
      <w:numFmt w:val="lowerLetter"/>
      <w:lvlText w:val="(%1)"/>
      <w:lvlJc w:val="left"/>
      <w:pPr>
        <w:ind w:left="393" w:hanging="293"/>
        <w:jc w:val="left"/>
      </w:pPr>
      <w:rPr>
        <w:rFonts w:hint="default" w:ascii="Arial Narrow" w:hAnsi="Arial Narrow" w:eastAsia="Arial Narrow" w:cs="Arial Narrow"/>
        <w:spacing w:val="-1"/>
        <w:w w:val="99"/>
        <w:sz w:val="20"/>
        <w:szCs w:val="20"/>
        <w:lang w:val="en-za" w:eastAsia="en-za" w:bidi="en-za"/>
      </w:rPr>
    </w:lvl>
    <w:lvl w:ilvl="1">
      <w:start w:val="0"/>
      <w:numFmt w:val="bullet"/>
      <w:lvlText w:val="•"/>
      <w:lvlJc w:val="left"/>
      <w:pPr>
        <w:ind w:left="1284" w:hanging="293"/>
      </w:pPr>
      <w:rPr>
        <w:rFonts w:hint="default"/>
        <w:lang w:val="en-za" w:eastAsia="en-za" w:bidi="en-za"/>
      </w:rPr>
    </w:lvl>
    <w:lvl w:ilvl="2">
      <w:start w:val="0"/>
      <w:numFmt w:val="bullet"/>
      <w:lvlText w:val="•"/>
      <w:lvlJc w:val="left"/>
      <w:pPr>
        <w:ind w:left="2169" w:hanging="293"/>
      </w:pPr>
      <w:rPr>
        <w:rFonts w:hint="default"/>
        <w:lang w:val="en-za" w:eastAsia="en-za" w:bidi="en-za"/>
      </w:rPr>
    </w:lvl>
    <w:lvl w:ilvl="3">
      <w:start w:val="0"/>
      <w:numFmt w:val="bullet"/>
      <w:lvlText w:val="•"/>
      <w:lvlJc w:val="left"/>
      <w:pPr>
        <w:ind w:left="3053" w:hanging="293"/>
      </w:pPr>
      <w:rPr>
        <w:rFonts w:hint="default"/>
        <w:lang w:val="en-za" w:eastAsia="en-za" w:bidi="en-za"/>
      </w:rPr>
    </w:lvl>
    <w:lvl w:ilvl="4">
      <w:start w:val="0"/>
      <w:numFmt w:val="bullet"/>
      <w:lvlText w:val="•"/>
      <w:lvlJc w:val="left"/>
      <w:pPr>
        <w:ind w:left="3938" w:hanging="293"/>
      </w:pPr>
      <w:rPr>
        <w:rFonts w:hint="default"/>
        <w:lang w:val="en-za" w:eastAsia="en-za" w:bidi="en-za"/>
      </w:rPr>
    </w:lvl>
    <w:lvl w:ilvl="5">
      <w:start w:val="0"/>
      <w:numFmt w:val="bullet"/>
      <w:lvlText w:val="•"/>
      <w:lvlJc w:val="left"/>
      <w:pPr>
        <w:ind w:left="4823" w:hanging="293"/>
      </w:pPr>
      <w:rPr>
        <w:rFonts w:hint="default"/>
        <w:lang w:val="en-za" w:eastAsia="en-za" w:bidi="en-za"/>
      </w:rPr>
    </w:lvl>
    <w:lvl w:ilvl="6">
      <w:start w:val="0"/>
      <w:numFmt w:val="bullet"/>
      <w:lvlText w:val="•"/>
      <w:lvlJc w:val="left"/>
      <w:pPr>
        <w:ind w:left="5707" w:hanging="293"/>
      </w:pPr>
      <w:rPr>
        <w:rFonts w:hint="default"/>
        <w:lang w:val="en-za" w:eastAsia="en-za" w:bidi="en-za"/>
      </w:rPr>
    </w:lvl>
    <w:lvl w:ilvl="7">
      <w:start w:val="0"/>
      <w:numFmt w:val="bullet"/>
      <w:lvlText w:val="•"/>
      <w:lvlJc w:val="left"/>
      <w:pPr>
        <w:ind w:left="6592" w:hanging="293"/>
      </w:pPr>
      <w:rPr>
        <w:rFonts w:hint="default"/>
        <w:lang w:val="en-za" w:eastAsia="en-za" w:bidi="en-za"/>
      </w:rPr>
    </w:lvl>
    <w:lvl w:ilvl="8">
      <w:start w:val="0"/>
      <w:numFmt w:val="bullet"/>
      <w:lvlText w:val="•"/>
      <w:lvlJc w:val="left"/>
      <w:pPr>
        <w:ind w:left="7477" w:hanging="293"/>
      </w:pPr>
      <w:rPr>
        <w:rFonts w:hint="default"/>
        <w:lang w:val="en-za" w:eastAsia="en-za" w:bidi="en-za"/>
      </w:rPr>
    </w:lvl>
  </w:abstractNum>
  <w:abstractNum w:abstractNumId="0">
    <w:multiLevelType w:val="hybridMultilevel"/>
    <w:lvl w:ilvl="0">
      <w:start w:val="1"/>
      <w:numFmt w:val="decimal"/>
      <w:lvlText w:val="%1."/>
      <w:lvlJc w:val="left"/>
      <w:pPr>
        <w:ind w:left="666" w:hanging="567"/>
        <w:jc w:val="left"/>
      </w:pPr>
      <w:rPr>
        <w:rFonts w:hint="default" w:ascii="Arial Narrow" w:hAnsi="Arial Narrow" w:eastAsia="Arial Narrow" w:cs="Arial Narrow"/>
        <w:spacing w:val="-4"/>
        <w:w w:val="100"/>
        <w:sz w:val="24"/>
        <w:szCs w:val="24"/>
        <w:lang w:val="en-za" w:eastAsia="en-za" w:bidi="en-za"/>
      </w:rPr>
    </w:lvl>
    <w:lvl w:ilvl="1">
      <w:start w:val="1"/>
      <w:numFmt w:val="decimal"/>
      <w:lvlText w:val="%1.%2"/>
      <w:lvlJc w:val="left"/>
      <w:pPr>
        <w:ind w:left="1233" w:hanging="567"/>
        <w:jc w:val="left"/>
      </w:pPr>
      <w:rPr>
        <w:rFonts w:hint="default" w:ascii="Arial Narrow" w:hAnsi="Arial Narrow" w:eastAsia="Arial Narrow" w:cs="Arial Narrow"/>
        <w:spacing w:val="-2"/>
        <w:w w:val="100"/>
        <w:sz w:val="24"/>
        <w:szCs w:val="24"/>
        <w:lang w:val="en-za" w:eastAsia="en-za" w:bidi="en-za"/>
      </w:rPr>
    </w:lvl>
    <w:lvl w:ilvl="2">
      <w:start w:val="1"/>
      <w:numFmt w:val="lowerRoman"/>
      <w:lvlText w:val="(%3)"/>
      <w:lvlJc w:val="left"/>
      <w:pPr>
        <w:ind w:left="1518" w:hanging="286"/>
        <w:jc w:val="left"/>
      </w:pPr>
      <w:rPr>
        <w:rFonts w:hint="default" w:ascii="Arial Narrow" w:hAnsi="Arial Narrow" w:eastAsia="Arial Narrow" w:cs="Arial Narrow"/>
        <w:spacing w:val="-28"/>
        <w:w w:val="100"/>
        <w:sz w:val="24"/>
        <w:szCs w:val="24"/>
        <w:lang w:val="en-za" w:eastAsia="en-za" w:bidi="en-za"/>
      </w:rPr>
    </w:lvl>
    <w:lvl w:ilvl="3">
      <w:start w:val="0"/>
      <w:numFmt w:val="bullet"/>
      <w:lvlText w:val="•"/>
      <w:lvlJc w:val="left"/>
      <w:pPr>
        <w:ind w:left="1520" w:hanging="286"/>
      </w:pPr>
      <w:rPr>
        <w:rFonts w:hint="default"/>
        <w:lang w:val="en-za" w:eastAsia="en-za" w:bidi="en-za"/>
      </w:rPr>
    </w:lvl>
    <w:lvl w:ilvl="4">
      <w:start w:val="0"/>
      <w:numFmt w:val="bullet"/>
      <w:lvlText w:val="•"/>
      <w:lvlJc w:val="left"/>
      <w:pPr>
        <w:ind w:left="2623" w:hanging="286"/>
      </w:pPr>
      <w:rPr>
        <w:rFonts w:hint="default"/>
        <w:lang w:val="en-za" w:eastAsia="en-za" w:bidi="en-za"/>
      </w:rPr>
    </w:lvl>
    <w:lvl w:ilvl="5">
      <w:start w:val="0"/>
      <w:numFmt w:val="bullet"/>
      <w:lvlText w:val="•"/>
      <w:lvlJc w:val="left"/>
      <w:pPr>
        <w:ind w:left="3727" w:hanging="286"/>
      </w:pPr>
      <w:rPr>
        <w:rFonts w:hint="default"/>
        <w:lang w:val="en-za" w:eastAsia="en-za" w:bidi="en-za"/>
      </w:rPr>
    </w:lvl>
    <w:lvl w:ilvl="6">
      <w:start w:val="0"/>
      <w:numFmt w:val="bullet"/>
      <w:lvlText w:val="•"/>
      <w:lvlJc w:val="left"/>
      <w:pPr>
        <w:ind w:left="4831" w:hanging="286"/>
      </w:pPr>
      <w:rPr>
        <w:rFonts w:hint="default"/>
        <w:lang w:val="en-za" w:eastAsia="en-za" w:bidi="en-za"/>
      </w:rPr>
    </w:lvl>
    <w:lvl w:ilvl="7">
      <w:start w:val="0"/>
      <w:numFmt w:val="bullet"/>
      <w:lvlText w:val="•"/>
      <w:lvlJc w:val="left"/>
      <w:pPr>
        <w:ind w:left="5935" w:hanging="286"/>
      </w:pPr>
      <w:rPr>
        <w:rFonts w:hint="default"/>
        <w:lang w:val="en-za" w:eastAsia="en-za" w:bidi="en-za"/>
      </w:rPr>
    </w:lvl>
    <w:lvl w:ilvl="8">
      <w:start w:val="0"/>
      <w:numFmt w:val="bullet"/>
      <w:lvlText w:val="•"/>
      <w:lvlJc w:val="left"/>
      <w:pPr>
        <w:ind w:left="7038" w:hanging="286"/>
      </w:pPr>
      <w:rPr>
        <w:rFonts w:hint="default"/>
        <w:lang w:val="en-za" w:eastAsia="en-za" w:bidi="en-za"/>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Narrow" w:hAnsi="Arial Narrow" w:eastAsia="Arial Narrow" w:cs="Arial Narrow"/>
      <w:lang w:val="en-za" w:eastAsia="en-za" w:bidi="en-za"/>
    </w:rPr>
  </w:style>
  <w:style w:styleId="BodyText" w:type="paragraph">
    <w:name w:val="Body Text"/>
    <w:basedOn w:val="Normal"/>
    <w:uiPriority w:val="1"/>
    <w:qFormat/>
    <w:pPr/>
    <w:rPr>
      <w:rFonts w:ascii="Arial Narrow" w:hAnsi="Arial Narrow" w:eastAsia="Arial Narrow" w:cs="Arial Narrow"/>
      <w:sz w:val="24"/>
      <w:szCs w:val="24"/>
      <w:lang w:val="en-za" w:eastAsia="en-za" w:bidi="en-za"/>
    </w:rPr>
  </w:style>
  <w:style w:styleId="Heading1" w:type="paragraph">
    <w:name w:val="Heading 1"/>
    <w:basedOn w:val="Normal"/>
    <w:uiPriority w:val="1"/>
    <w:qFormat/>
    <w:pPr>
      <w:ind w:left="100"/>
      <w:outlineLvl w:val="1"/>
    </w:pPr>
    <w:rPr>
      <w:rFonts w:ascii="Arial Narrow" w:hAnsi="Arial Narrow" w:eastAsia="Arial Narrow" w:cs="Arial Narrow"/>
      <w:b/>
      <w:bCs/>
      <w:sz w:val="24"/>
      <w:szCs w:val="24"/>
      <w:lang w:val="en-za" w:eastAsia="en-za" w:bidi="en-za"/>
    </w:rPr>
  </w:style>
  <w:style w:styleId="ListParagraph" w:type="paragraph">
    <w:name w:val="List Paragraph"/>
    <w:basedOn w:val="Normal"/>
    <w:uiPriority w:val="1"/>
    <w:qFormat/>
    <w:pPr>
      <w:ind w:left="666" w:hanging="567"/>
      <w:jc w:val="both"/>
    </w:pPr>
    <w:rPr>
      <w:rFonts w:ascii="Arial Narrow" w:hAnsi="Arial Narrow" w:eastAsia="Arial Narrow" w:cs="Arial Narrow"/>
      <w:lang w:val="en-za" w:eastAsia="en-za" w:bidi="en-za"/>
    </w:rPr>
  </w:style>
  <w:style w:styleId="TableParagraph" w:type="paragraph">
    <w:name w:val="Table Paragraph"/>
    <w:basedOn w:val="Normal"/>
    <w:uiPriority w:val="1"/>
    <w:qFormat/>
    <w:pPr/>
    <w:rPr>
      <w:lang w:val="en-za" w:eastAsia="en-za" w:bidi="en-z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footer" Target="footer3.xml"/><Relationship Id="rId11" Type="http://schemas.openxmlformats.org/officeDocument/2006/relationships/header" Target="header4.xml"/><Relationship Id="rId12" Type="http://schemas.openxmlformats.org/officeDocument/2006/relationships/footer" Target="footer4.xml"/><Relationship Id="rId13" Type="http://schemas.openxmlformats.org/officeDocument/2006/relationships/image" Target="media/image1.png"/><Relationship Id="rId1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MMD NKOMO</dc:creator>
  <dc:subject>MDLULI V JERMANIE INVESTMENTS</dc:subject>
  <dc:title>CPA SECTION 75 1</dc:title>
  <dcterms:created xsi:type="dcterms:W3CDTF">2023-04-13T08:16:16Z</dcterms:created>
  <dcterms:modified xsi:type="dcterms:W3CDTF">2023-04-13T08:16:16Z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2022-11-14T00:00:00Z</vt:filetime>
  </property>
  <property fmtid="{D5CDD505-2E9C-101B-9397-08002B2CF9AE}" pid="3" name="Creator">
    <vt:lpwstr>Microsoft® Word for Microsoft 365</vt:lpwstr>
  </property>
  <property fmtid="{D5CDD505-2E9C-101B-9397-08002B2CF9AE}" pid="4" name="LastSaved">
    <vt:filetime>2023-04-13T00:00:00Z</vt:filetime>
  </property>
</Properties>
</file>