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568" w:lineRule="auto" w:before="74"/>
        <w:ind w:left="3786" w:right="2571" w:hanging="1201"/>
      </w:pPr>
      <w:r>
        <w:rPr/>
        <w:t>IN THE NATIONAL CONSUMER TRIBUNAL HELD IN CENTURION</w:t>
      </w:r>
    </w:p>
    <w:p>
      <w:pPr>
        <w:pStyle w:val="BodyText"/>
        <w:rPr>
          <w:b/>
          <w:sz w:val="26"/>
        </w:rPr>
      </w:pPr>
    </w:p>
    <w:p>
      <w:pPr>
        <w:pStyle w:val="BodyText"/>
        <w:spacing w:before="9"/>
        <w:rPr>
          <w:b/>
          <w:sz w:val="30"/>
        </w:rPr>
      </w:pPr>
    </w:p>
    <w:p>
      <w:pPr>
        <w:spacing w:before="0"/>
        <w:ind w:left="5286" w:right="0" w:firstLine="0"/>
        <w:jc w:val="left"/>
        <w:rPr>
          <w:b/>
          <w:sz w:val="24"/>
        </w:rPr>
      </w:pPr>
      <w:r>
        <w:rPr>
          <w:sz w:val="24"/>
        </w:rPr>
        <w:t>Case number: </w:t>
      </w:r>
      <w:r>
        <w:rPr>
          <w:b/>
          <w:sz w:val="24"/>
        </w:rPr>
        <w:t>NCT/225291/2022/141(1)(b)</w:t>
      </w:r>
    </w:p>
    <w:p>
      <w:pPr>
        <w:pStyle w:val="BodyText"/>
        <w:rPr>
          <w:b/>
          <w:sz w:val="20"/>
        </w:rPr>
      </w:pPr>
    </w:p>
    <w:p>
      <w:pPr>
        <w:pStyle w:val="BodyText"/>
        <w:rPr>
          <w:b/>
          <w:sz w:val="20"/>
        </w:rPr>
      </w:pPr>
    </w:p>
    <w:p>
      <w:pPr>
        <w:pStyle w:val="BodyText"/>
        <w:rPr>
          <w:b/>
          <w:sz w:val="20"/>
        </w:rPr>
      </w:pPr>
    </w:p>
    <w:p>
      <w:pPr>
        <w:pStyle w:val="BodyText"/>
        <w:spacing w:before="8"/>
        <w:rPr>
          <w:b/>
          <w:sz w:val="21"/>
        </w:rPr>
      </w:pPr>
    </w:p>
    <w:p>
      <w:pPr>
        <w:pStyle w:val="BodyText"/>
        <w:spacing w:before="93"/>
        <w:ind w:left="140"/>
      </w:pPr>
      <w:r>
        <w:rPr/>
        <w:t>In the matter between:</w:t>
      </w:r>
    </w:p>
    <w:p>
      <w:pPr>
        <w:pStyle w:val="BodyText"/>
        <w:spacing w:before="8"/>
        <w:rPr>
          <w:sz w:val="32"/>
        </w:rPr>
      </w:pPr>
    </w:p>
    <w:p>
      <w:pPr>
        <w:tabs>
          <w:tab w:pos="8061" w:val="left" w:leader="none"/>
        </w:tabs>
        <w:spacing w:before="0"/>
        <w:ind w:left="140" w:right="0" w:firstLine="0"/>
        <w:jc w:val="left"/>
        <w:rPr>
          <w:sz w:val="24"/>
        </w:rPr>
      </w:pPr>
      <w:r>
        <w:rPr>
          <w:b/>
          <w:sz w:val="24"/>
        </w:rPr>
        <w:t>RAYMOND</w:t>
      </w:r>
      <w:r>
        <w:rPr>
          <w:b/>
          <w:spacing w:val="-1"/>
          <w:sz w:val="24"/>
        </w:rPr>
        <w:t> </w:t>
      </w:r>
      <w:r>
        <w:rPr>
          <w:b/>
          <w:sz w:val="24"/>
        </w:rPr>
        <w:t>HERBERT</w:t>
        <w:tab/>
      </w:r>
      <w:r>
        <w:rPr>
          <w:sz w:val="24"/>
        </w:rPr>
        <w:t>APPLICANT</w:t>
      </w:r>
    </w:p>
    <w:p>
      <w:pPr>
        <w:pStyle w:val="BodyText"/>
        <w:spacing w:before="1"/>
        <w:rPr>
          <w:sz w:val="33"/>
        </w:rPr>
      </w:pPr>
    </w:p>
    <w:p>
      <w:pPr>
        <w:pStyle w:val="BodyText"/>
        <w:ind w:left="140"/>
      </w:pPr>
      <w:r>
        <w:rPr/>
        <w:t>And</w:t>
      </w:r>
    </w:p>
    <w:p>
      <w:pPr>
        <w:pStyle w:val="BodyText"/>
        <w:spacing w:before="8"/>
        <w:rPr>
          <w:sz w:val="32"/>
        </w:rPr>
      </w:pPr>
    </w:p>
    <w:p>
      <w:pPr>
        <w:pStyle w:val="Heading1"/>
        <w:tabs>
          <w:tab w:pos="8061" w:val="left" w:leader="none"/>
        </w:tabs>
        <w:spacing w:before="1"/>
        <w:rPr>
          <w:b w:val="0"/>
        </w:rPr>
      </w:pPr>
      <w:r>
        <w:rPr/>
        <w:t>WOOLWORTHS FINANCIAL SERVICES</w:t>
      </w:r>
      <w:r>
        <w:rPr>
          <w:spacing w:val="-4"/>
        </w:rPr>
        <w:t> </w:t>
      </w:r>
      <w:r>
        <w:rPr/>
        <w:t>(PTY)</w:t>
      </w:r>
      <w:r>
        <w:rPr>
          <w:spacing w:val="-1"/>
        </w:rPr>
        <w:t> </w:t>
      </w:r>
      <w:r>
        <w:rPr/>
        <w:t>LTD</w:t>
        <w:tab/>
      </w:r>
      <w:r>
        <w:rPr>
          <w:b w:val="0"/>
        </w:rPr>
        <w:t>RESPONDENT</w:t>
      </w:r>
    </w:p>
    <w:p>
      <w:pPr>
        <w:pStyle w:val="BodyText"/>
        <w:spacing w:before="11"/>
        <w:rPr>
          <w:sz w:val="32"/>
        </w:rPr>
      </w:pPr>
    </w:p>
    <w:p>
      <w:pPr>
        <w:spacing w:before="0"/>
        <w:ind w:left="140" w:right="0" w:firstLine="0"/>
        <w:jc w:val="left"/>
        <w:rPr>
          <w:b/>
          <w:i/>
          <w:sz w:val="24"/>
        </w:rPr>
      </w:pPr>
      <w:r>
        <w:rPr>
          <w:b/>
          <w:i/>
          <w:sz w:val="24"/>
          <w:u w:val="thick"/>
        </w:rPr>
        <w:t>Coram</w:t>
      </w:r>
    </w:p>
    <w:p>
      <w:pPr>
        <w:pStyle w:val="BodyText"/>
        <w:spacing w:before="8"/>
        <w:rPr>
          <w:b/>
          <w:i/>
        </w:rPr>
      </w:pPr>
    </w:p>
    <w:p>
      <w:pPr>
        <w:pStyle w:val="BodyText"/>
        <w:tabs>
          <w:tab w:pos="2300" w:val="left" w:leader="none"/>
        </w:tabs>
        <w:spacing w:line="568" w:lineRule="auto" w:before="93"/>
        <w:ind w:left="140" w:right="4694"/>
      </w:pPr>
      <w:r>
        <w:rPr/>
        <w:t>Adv</w:t>
      </w:r>
      <w:r>
        <w:rPr>
          <w:spacing w:val="-2"/>
        </w:rPr>
        <w:t> </w:t>
      </w:r>
      <w:r>
        <w:rPr/>
        <w:t>J</w:t>
      </w:r>
      <w:r>
        <w:rPr>
          <w:spacing w:val="-1"/>
        </w:rPr>
        <w:t> </w:t>
      </w:r>
      <w:r>
        <w:rPr/>
        <w:t>Simpson</w:t>
        <w:tab/>
        <w:t>- Presiding Tribunal Member Prof</w:t>
      </w:r>
      <w:r>
        <w:rPr>
          <w:spacing w:val="-1"/>
        </w:rPr>
        <w:t> </w:t>
      </w:r>
      <w:r>
        <w:rPr/>
        <w:t>K</w:t>
      </w:r>
      <w:r>
        <w:rPr>
          <w:spacing w:val="-1"/>
        </w:rPr>
        <w:t> </w:t>
      </w:r>
      <w:r>
        <w:rPr/>
        <w:t>Moodaliyar</w:t>
        <w:tab/>
        <w:t>- Tribunal</w:t>
      </w:r>
      <w:r>
        <w:rPr>
          <w:spacing w:val="-1"/>
        </w:rPr>
        <w:t> </w:t>
      </w:r>
      <w:r>
        <w:rPr/>
        <w:t>Member</w:t>
      </w:r>
    </w:p>
    <w:p>
      <w:pPr>
        <w:pStyle w:val="BodyText"/>
        <w:tabs>
          <w:tab w:pos="2300" w:val="left" w:leader="none"/>
        </w:tabs>
        <w:ind w:left="140"/>
      </w:pPr>
      <w:r>
        <w:rPr/>
        <w:t>Mr</w:t>
      </w:r>
      <w:r>
        <w:rPr>
          <w:spacing w:val="-1"/>
        </w:rPr>
        <w:t> </w:t>
      </w:r>
      <w:r>
        <w:rPr/>
        <w:t>S Mbhele</w:t>
        <w:tab/>
        <w:t>- Tribunal</w:t>
      </w:r>
      <w:r>
        <w:rPr>
          <w:spacing w:val="-2"/>
        </w:rPr>
        <w:t> </w:t>
      </w:r>
      <w:r>
        <w:rPr/>
        <w:t>Member</w:t>
      </w:r>
    </w:p>
    <w:p>
      <w:pPr>
        <w:pStyle w:val="BodyText"/>
        <w:rPr>
          <w:sz w:val="26"/>
        </w:rPr>
      </w:pPr>
    </w:p>
    <w:p>
      <w:pPr>
        <w:pStyle w:val="BodyText"/>
        <w:rPr>
          <w:sz w:val="26"/>
        </w:rPr>
      </w:pPr>
    </w:p>
    <w:p>
      <w:pPr>
        <w:pStyle w:val="BodyText"/>
        <w:spacing w:before="8"/>
        <w:rPr>
          <w:sz w:val="37"/>
        </w:rPr>
      </w:pPr>
    </w:p>
    <w:p>
      <w:pPr>
        <w:pStyle w:val="BodyText"/>
        <w:tabs>
          <w:tab w:pos="4528" w:val="left" w:leader="none"/>
        </w:tabs>
        <w:spacing w:line="568" w:lineRule="auto" w:before="1"/>
        <w:ind w:left="140" w:right="3243"/>
      </w:pPr>
      <w:r>
        <w:rPr/>
        <w:t>Date of consideration</w:t>
      </w:r>
      <w:r>
        <w:rPr>
          <w:spacing w:val="-4"/>
        </w:rPr>
        <w:t> </w:t>
      </w:r>
      <w:r>
        <w:rPr/>
        <w:t>(in</w:t>
      </w:r>
      <w:r>
        <w:rPr>
          <w:spacing w:val="-2"/>
        </w:rPr>
        <w:t> </w:t>
      </w:r>
      <w:r>
        <w:rPr/>
        <w:t>chambers)</w:t>
        <w:tab/>
        <w:t>- 12 September 2022 Date</w:t>
      </w:r>
      <w:r>
        <w:rPr>
          <w:spacing w:val="-2"/>
        </w:rPr>
        <w:t> </w:t>
      </w:r>
      <w:r>
        <w:rPr/>
        <w:t>of</w:t>
      </w:r>
      <w:r>
        <w:rPr>
          <w:spacing w:val="-1"/>
        </w:rPr>
        <w:t> </w:t>
      </w:r>
      <w:r>
        <w:rPr/>
        <w:t>Judgment</w:t>
        <w:tab/>
        <w:t>- 12 September</w:t>
      </w:r>
      <w:r>
        <w:rPr>
          <w:spacing w:val="-9"/>
        </w:rPr>
        <w:t> </w:t>
      </w:r>
      <w:r>
        <w:rPr/>
        <w:t>2022</w:t>
      </w:r>
    </w:p>
    <w:p>
      <w:pPr>
        <w:pStyle w:val="BodyText"/>
        <w:spacing w:before="4"/>
        <w:rPr>
          <w:sz w:val="18"/>
        </w:rPr>
      </w:pPr>
      <w:r>
        <w:rPr/>
        <w:pict>
          <v:shape style="position:absolute;margin-left:54pt;margin-top:13.084373pt;width:486.65pt;height:.1pt;mso-position-horizontal-relative:page;mso-position-vertical-relative:paragraph;z-index:-251658240;mso-wrap-distance-left:0;mso-wrap-distance-right:0" coordorigin="1080,262" coordsize="9733,0" path="m1080,262l10812,262e" filled="false" stroked="true" strokeweight="1.068pt" strokecolor="#000000">
            <v:path arrowok="t"/>
            <v:stroke dashstyle="solid"/>
            <w10:wrap type="topAndBottom"/>
          </v:shape>
        </w:pict>
      </w:r>
    </w:p>
    <w:p>
      <w:pPr>
        <w:pStyle w:val="BodyText"/>
        <w:spacing w:before="8"/>
        <w:rPr>
          <w:sz w:val="22"/>
        </w:rPr>
      </w:pPr>
    </w:p>
    <w:p>
      <w:pPr>
        <w:pStyle w:val="Heading1"/>
        <w:spacing w:before="92"/>
        <w:ind w:left="2065"/>
      </w:pPr>
      <w:r>
        <w:rPr/>
        <w:t>LEAVE TO REFER JUDGMENT AND REASONS</w:t>
      </w:r>
    </w:p>
    <w:p>
      <w:pPr>
        <w:pStyle w:val="BodyText"/>
        <w:spacing w:before="5"/>
        <w:rPr>
          <w:b/>
          <w:sz w:val="18"/>
        </w:rPr>
      </w:pPr>
      <w:r>
        <w:rPr/>
        <w:pict>
          <v:shape style="position:absolute;margin-left:54pt;margin-top:13.112244pt;width:486.65pt;height:.1pt;mso-position-horizontal-relative:page;mso-position-vertical-relative:paragraph;z-index:-251657216;mso-wrap-distance-left:0;mso-wrap-distance-right:0" coordorigin="1080,262" coordsize="9733,0" path="m1080,262l10812,262e" filled="false" stroked="true" strokeweight="1.068pt" strokecolor="#000000">
            <v:path arrowok="t"/>
            <v:stroke dashstyle="solid"/>
            <w10:wrap type="topAndBottom"/>
          </v:shape>
        </w:pict>
      </w:r>
    </w:p>
    <w:p>
      <w:pPr>
        <w:pStyle w:val="BodyText"/>
        <w:spacing w:before="6"/>
        <w:rPr>
          <w:b/>
          <w:sz w:val="22"/>
        </w:rPr>
      </w:pPr>
    </w:p>
    <w:p>
      <w:pPr>
        <w:spacing w:before="92"/>
        <w:ind w:left="140" w:right="0" w:firstLine="0"/>
        <w:jc w:val="left"/>
        <w:rPr>
          <w:b/>
          <w:sz w:val="24"/>
        </w:rPr>
      </w:pPr>
      <w:r>
        <w:rPr>
          <w:b/>
          <w:sz w:val="24"/>
        </w:rPr>
        <w:t>THE PARTIES</w:t>
      </w:r>
    </w:p>
    <w:p>
      <w:pPr>
        <w:pStyle w:val="BodyText"/>
        <w:rPr>
          <w:b/>
          <w:sz w:val="33"/>
        </w:rPr>
      </w:pPr>
    </w:p>
    <w:p>
      <w:pPr>
        <w:pStyle w:val="ListParagraph"/>
        <w:numPr>
          <w:ilvl w:val="0"/>
          <w:numId w:val="1"/>
        </w:numPr>
        <w:tabs>
          <w:tab w:pos="706" w:val="left" w:leader="none"/>
          <w:tab w:pos="707" w:val="left" w:leader="none"/>
        </w:tabs>
        <w:spacing w:line="240" w:lineRule="auto" w:before="0" w:after="0"/>
        <w:ind w:left="706" w:right="0" w:hanging="567"/>
        <w:jc w:val="left"/>
        <w:rPr>
          <w:sz w:val="24"/>
        </w:rPr>
      </w:pPr>
      <w:r>
        <w:rPr>
          <w:sz w:val="24"/>
        </w:rPr>
        <w:t>The Applicant in this matter is Raymond Herbert (“the Applicant” or “Mr</w:t>
      </w:r>
      <w:r>
        <w:rPr>
          <w:spacing w:val="-15"/>
          <w:sz w:val="24"/>
        </w:rPr>
        <w:t> </w:t>
      </w:r>
      <w:r>
        <w:rPr>
          <w:sz w:val="24"/>
        </w:rPr>
        <w:t>Herbert”).</w:t>
      </w:r>
    </w:p>
    <w:p>
      <w:pPr>
        <w:pStyle w:val="BodyText"/>
        <w:spacing w:before="9"/>
        <w:rPr>
          <w:sz w:val="32"/>
        </w:rPr>
      </w:pPr>
    </w:p>
    <w:p>
      <w:pPr>
        <w:pStyle w:val="ListParagraph"/>
        <w:numPr>
          <w:ilvl w:val="0"/>
          <w:numId w:val="1"/>
        </w:numPr>
        <w:tabs>
          <w:tab w:pos="706" w:val="left" w:leader="none"/>
          <w:tab w:pos="707" w:val="left" w:leader="none"/>
        </w:tabs>
        <w:spacing w:line="360" w:lineRule="auto" w:before="0" w:after="0"/>
        <w:ind w:left="706" w:right="135" w:hanging="567"/>
        <w:jc w:val="left"/>
        <w:rPr>
          <w:sz w:val="24"/>
        </w:rPr>
      </w:pPr>
      <w:r>
        <w:rPr>
          <w:sz w:val="24"/>
        </w:rPr>
        <w:t>The Respondent is Woolworths Financial Services (Pty) Ltd (“the Respondent” or “Woolworths”).</w:t>
      </w:r>
    </w:p>
    <w:p>
      <w:pPr>
        <w:pStyle w:val="BodyText"/>
        <w:rPr>
          <w:sz w:val="20"/>
        </w:rPr>
      </w:pPr>
    </w:p>
    <w:p>
      <w:pPr>
        <w:pStyle w:val="BodyText"/>
        <w:rPr>
          <w:sz w:val="20"/>
        </w:rPr>
      </w:pPr>
    </w:p>
    <w:p>
      <w:pPr>
        <w:pStyle w:val="BodyText"/>
        <w:rPr>
          <w:sz w:val="20"/>
        </w:rPr>
      </w:pPr>
    </w:p>
    <w:p>
      <w:pPr>
        <w:pStyle w:val="BodyText"/>
        <w:rPr>
          <w:sz w:val="12"/>
        </w:rPr>
      </w:pPr>
      <w:r>
        <w:rPr/>
        <w:pict>
          <v:shape style="position:absolute;margin-left:52.560001pt;margin-top:9.642039pt;width:490.3pt;height:.1pt;mso-position-horizontal-relative:page;mso-position-vertical-relative:paragraph;z-index:-251656192;mso-wrap-distance-left:0;mso-wrap-distance-right:0" coordorigin="1051,193" coordsize="9806,0" path="m1051,193l10857,193e" filled="false" stroked="true" strokeweight="1.44pt" strokecolor="#000000">
            <v:path arrowok="t"/>
            <v:stroke dashstyle="solid"/>
            <w10:wrap type="topAndBottom"/>
          </v:shape>
        </w:pict>
      </w:r>
    </w:p>
    <w:p>
      <w:pPr>
        <w:spacing w:after="0"/>
        <w:rPr>
          <w:sz w:val="12"/>
        </w:rPr>
        <w:sectPr>
          <w:footerReference w:type="default" r:id="rId5"/>
          <w:type w:val="continuous"/>
          <w:pgSz w:w="11910" w:h="16840"/>
          <w:pgMar w:footer="211" w:top="1000" w:bottom="400" w:left="940" w:right="940"/>
          <w:pgNumType w:start="1"/>
        </w:sectPr>
      </w:pPr>
    </w:p>
    <w:p>
      <w:pPr>
        <w:pStyle w:val="BodyText"/>
        <w:rPr>
          <w:sz w:val="20"/>
        </w:rPr>
      </w:pPr>
    </w:p>
    <w:p>
      <w:pPr>
        <w:pStyle w:val="BodyText"/>
        <w:spacing w:before="11"/>
        <w:rPr>
          <w:sz w:val="20"/>
        </w:rPr>
      </w:pPr>
    </w:p>
    <w:p>
      <w:pPr>
        <w:pStyle w:val="Heading1"/>
        <w:spacing w:before="92"/>
      </w:pPr>
      <w:r>
        <w:rPr/>
        <w:t>APPLICATION TYPE AND JURISDICTION</w:t>
      </w:r>
    </w:p>
    <w:p>
      <w:pPr>
        <w:pStyle w:val="BodyText"/>
        <w:rPr>
          <w:b/>
          <w:sz w:val="33"/>
        </w:rPr>
      </w:pPr>
    </w:p>
    <w:p>
      <w:pPr>
        <w:pStyle w:val="ListParagraph"/>
        <w:numPr>
          <w:ilvl w:val="0"/>
          <w:numId w:val="1"/>
        </w:numPr>
        <w:tabs>
          <w:tab w:pos="707" w:val="left" w:leader="none"/>
        </w:tabs>
        <w:spacing w:line="360" w:lineRule="auto" w:before="0" w:after="0"/>
        <w:ind w:left="706" w:right="135" w:hanging="567"/>
        <w:jc w:val="both"/>
        <w:rPr>
          <w:sz w:val="24"/>
        </w:rPr>
      </w:pPr>
      <w:r>
        <w:rPr>
          <w:sz w:val="24"/>
        </w:rPr>
        <w:t>This is an application in terms of Section 141(1) of the National Credit Act, Act 34 of 2005 (“the NCA”).</w:t>
      </w:r>
    </w:p>
    <w:p>
      <w:pPr>
        <w:pStyle w:val="BodyText"/>
        <w:spacing w:before="10"/>
        <w:rPr>
          <w:sz w:val="20"/>
        </w:rPr>
      </w:pPr>
    </w:p>
    <w:p>
      <w:pPr>
        <w:pStyle w:val="ListParagraph"/>
        <w:numPr>
          <w:ilvl w:val="0"/>
          <w:numId w:val="1"/>
        </w:numPr>
        <w:tabs>
          <w:tab w:pos="706" w:val="left" w:leader="none"/>
          <w:tab w:pos="707" w:val="left" w:leader="none"/>
        </w:tabs>
        <w:spacing w:line="240" w:lineRule="auto" w:before="0" w:after="0"/>
        <w:ind w:left="706" w:right="0" w:hanging="567"/>
        <w:jc w:val="left"/>
        <w:rPr>
          <w:sz w:val="24"/>
        </w:rPr>
      </w:pPr>
      <w:r>
        <w:rPr>
          <w:sz w:val="24"/>
        </w:rPr>
        <w:t>Section 141(1) of the NCA states the following</w:t>
      </w:r>
      <w:r>
        <w:rPr>
          <w:spacing w:val="-6"/>
          <w:sz w:val="24"/>
        </w:rPr>
        <w:t> </w:t>
      </w:r>
      <w:r>
        <w:rPr>
          <w:sz w:val="24"/>
        </w:rPr>
        <w:t>–</w:t>
      </w:r>
    </w:p>
    <w:p>
      <w:pPr>
        <w:pStyle w:val="BodyText"/>
        <w:spacing w:before="9"/>
        <w:rPr>
          <w:sz w:val="32"/>
        </w:rPr>
      </w:pPr>
    </w:p>
    <w:p>
      <w:pPr>
        <w:spacing w:line="360" w:lineRule="auto" w:before="0"/>
        <w:ind w:left="706" w:right="218" w:firstLine="0"/>
        <w:jc w:val="left"/>
        <w:rPr>
          <w:i/>
          <w:sz w:val="24"/>
        </w:rPr>
      </w:pPr>
      <w:r>
        <w:rPr>
          <w:b/>
          <w:i/>
          <w:sz w:val="24"/>
        </w:rPr>
        <w:t>“Referral to Tribunal.</w:t>
      </w:r>
      <w:r>
        <w:rPr>
          <w:i/>
          <w:sz w:val="24"/>
        </w:rPr>
        <w:t>—(1) If the National Credit Regulator issues a notice of non- </w:t>
      </w:r>
      <w:r>
        <w:rPr>
          <w:i/>
          <w:sz w:val="24"/>
        </w:rPr>
        <w:t>referral in response to a complaint other than a complaint concerning section 61 or an offence in terms of this Act, the complainant concerned may refer the matter directly to—</w:t>
      </w:r>
    </w:p>
    <w:p>
      <w:pPr>
        <w:pStyle w:val="BodyText"/>
        <w:spacing w:before="10"/>
        <w:rPr>
          <w:i/>
          <w:sz w:val="20"/>
        </w:rPr>
      </w:pPr>
    </w:p>
    <w:p>
      <w:pPr>
        <w:pStyle w:val="ListParagraph"/>
        <w:numPr>
          <w:ilvl w:val="1"/>
          <w:numId w:val="1"/>
        </w:numPr>
        <w:tabs>
          <w:tab w:pos="1634" w:val="left" w:leader="none"/>
        </w:tabs>
        <w:spacing w:line="360" w:lineRule="auto" w:before="1" w:after="0"/>
        <w:ind w:left="1273" w:right="390" w:firstLine="0"/>
        <w:jc w:val="left"/>
        <w:rPr>
          <w:i/>
          <w:sz w:val="24"/>
        </w:rPr>
      </w:pPr>
      <w:r>
        <w:rPr>
          <w:i/>
          <w:sz w:val="24"/>
        </w:rPr>
        <w:t>the consumer court of the province within which the complainant resides, or </w:t>
      </w:r>
      <w:r>
        <w:rPr>
          <w:i/>
          <w:sz w:val="24"/>
        </w:rPr>
        <w:t>in which the respondent has its principal place of business in the Republic, subject to the provincial legislation governing the operation of that consumer court; or</w:t>
      </w:r>
    </w:p>
    <w:p>
      <w:pPr>
        <w:pStyle w:val="BodyText"/>
        <w:spacing w:before="10"/>
        <w:rPr>
          <w:i/>
          <w:sz w:val="20"/>
        </w:rPr>
      </w:pPr>
    </w:p>
    <w:p>
      <w:pPr>
        <w:pStyle w:val="ListParagraph"/>
        <w:numPr>
          <w:ilvl w:val="1"/>
          <w:numId w:val="1"/>
        </w:numPr>
        <w:tabs>
          <w:tab w:pos="1634" w:val="left" w:leader="none"/>
        </w:tabs>
        <w:spacing w:line="240" w:lineRule="auto" w:before="0" w:after="0"/>
        <w:ind w:left="1633" w:right="0" w:hanging="361"/>
        <w:jc w:val="left"/>
        <w:rPr>
          <w:i/>
          <w:sz w:val="24"/>
        </w:rPr>
      </w:pPr>
      <w:r>
        <w:rPr>
          <w:i/>
          <w:sz w:val="24"/>
        </w:rPr>
        <w:t>the Tribunal, with the leave of the</w:t>
      </w:r>
      <w:r>
        <w:rPr>
          <w:i/>
          <w:spacing w:val="-6"/>
          <w:sz w:val="24"/>
        </w:rPr>
        <w:t> </w:t>
      </w:r>
      <w:r>
        <w:rPr>
          <w:i/>
          <w:sz w:val="24"/>
        </w:rPr>
        <w:t>Tribunal.”</w:t>
      </w:r>
    </w:p>
    <w:p>
      <w:pPr>
        <w:pStyle w:val="BodyText"/>
        <w:spacing w:before="8"/>
        <w:rPr>
          <w:i/>
          <w:sz w:val="32"/>
        </w:rPr>
      </w:pPr>
    </w:p>
    <w:p>
      <w:pPr>
        <w:spacing w:before="1"/>
        <w:ind w:left="140" w:right="0" w:firstLine="0"/>
        <w:jc w:val="left"/>
        <w:rPr>
          <w:b/>
          <w:sz w:val="24"/>
        </w:rPr>
      </w:pPr>
      <w:r>
        <w:rPr>
          <w:b/>
          <w:color w:val="1B1818"/>
          <w:sz w:val="24"/>
        </w:rPr>
        <w:t>BACKGROUND</w:t>
      </w:r>
    </w:p>
    <w:p>
      <w:pPr>
        <w:pStyle w:val="BodyText"/>
        <w:rPr>
          <w:b/>
          <w:sz w:val="33"/>
        </w:rPr>
      </w:pPr>
    </w:p>
    <w:p>
      <w:pPr>
        <w:pStyle w:val="ListParagraph"/>
        <w:numPr>
          <w:ilvl w:val="0"/>
          <w:numId w:val="1"/>
        </w:numPr>
        <w:tabs>
          <w:tab w:pos="707" w:val="left" w:leader="none"/>
        </w:tabs>
        <w:spacing w:line="360" w:lineRule="auto" w:before="0" w:after="0"/>
        <w:ind w:left="706" w:right="134" w:hanging="567"/>
        <w:jc w:val="both"/>
        <w:rPr>
          <w:sz w:val="24"/>
        </w:rPr>
      </w:pPr>
      <w:r>
        <w:rPr>
          <w:color w:val="1B1818"/>
          <w:sz w:val="24"/>
        </w:rPr>
        <w:t>Mr Herbert had a personal loan with Woolworths, which he settled in full in November 2017 when he retired. Woolworths offered him a loan again in June 2018, which he utilised. He submits that the previous loan agreement was finalised, and a new agreement</w:t>
      </w:r>
      <w:r>
        <w:rPr>
          <w:color w:val="1B1818"/>
          <w:spacing w:val="-4"/>
          <w:sz w:val="24"/>
        </w:rPr>
        <w:t> </w:t>
      </w:r>
      <w:r>
        <w:rPr>
          <w:color w:val="1B1818"/>
          <w:sz w:val="24"/>
        </w:rPr>
        <w:t>was</w:t>
      </w:r>
      <w:r>
        <w:rPr>
          <w:color w:val="1B1818"/>
          <w:spacing w:val="-4"/>
          <w:sz w:val="24"/>
        </w:rPr>
        <w:t> </w:t>
      </w:r>
      <w:r>
        <w:rPr>
          <w:color w:val="1B1818"/>
          <w:sz w:val="24"/>
        </w:rPr>
        <w:t>concluded.</w:t>
      </w:r>
      <w:r>
        <w:rPr>
          <w:color w:val="1B1818"/>
          <w:spacing w:val="-6"/>
          <w:sz w:val="24"/>
        </w:rPr>
        <w:t> </w:t>
      </w:r>
      <w:r>
        <w:rPr>
          <w:color w:val="1B1818"/>
          <w:sz w:val="24"/>
        </w:rPr>
        <w:t>Woolworths</w:t>
      </w:r>
      <w:r>
        <w:rPr>
          <w:color w:val="1B1818"/>
          <w:spacing w:val="-7"/>
          <w:sz w:val="24"/>
        </w:rPr>
        <w:t> </w:t>
      </w:r>
      <w:r>
        <w:rPr>
          <w:color w:val="1B1818"/>
          <w:sz w:val="24"/>
        </w:rPr>
        <w:t>did</w:t>
      </w:r>
      <w:r>
        <w:rPr>
          <w:color w:val="1B1818"/>
          <w:spacing w:val="-5"/>
          <w:sz w:val="24"/>
        </w:rPr>
        <w:t> </w:t>
      </w:r>
      <w:r>
        <w:rPr>
          <w:color w:val="1B1818"/>
          <w:sz w:val="24"/>
        </w:rPr>
        <w:t>not</w:t>
      </w:r>
      <w:r>
        <w:rPr>
          <w:color w:val="1B1818"/>
          <w:spacing w:val="-4"/>
          <w:sz w:val="24"/>
        </w:rPr>
        <w:t> </w:t>
      </w:r>
      <w:r>
        <w:rPr>
          <w:color w:val="1B1818"/>
          <w:sz w:val="24"/>
        </w:rPr>
        <w:t>assess</w:t>
      </w:r>
      <w:r>
        <w:rPr>
          <w:color w:val="1B1818"/>
          <w:spacing w:val="-7"/>
          <w:sz w:val="24"/>
        </w:rPr>
        <w:t> </w:t>
      </w:r>
      <w:r>
        <w:rPr>
          <w:color w:val="1B1818"/>
          <w:sz w:val="24"/>
        </w:rPr>
        <w:t>his</w:t>
      </w:r>
      <w:r>
        <w:rPr>
          <w:color w:val="1B1818"/>
          <w:spacing w:val="-5"/>
          <w:sz w:val="24"/>
        </w:rPr>
        <w:t> </w:t>
      </w:r>
      <w:r>
        <w:rPr>
          <w:color w:val="1B1818"/>
          <w:sz w:val="24"/>
        </w:rPr>
        <w:t>ability</w:t>
      </w:r>
      <w:r>
        <w:rPr>
          <w:color w:val="1B1818"/>
          <w:spacing w:val="-4"/>
          <w:sz w:val="24"/>
        </w:rPr>
        <w:t> </w:t>
      </w:r>
      <w:r>
        <w:rPr>
          <w:color w:val="1B1818"/>
          <w:sz w:val="24"/>
        </w:rPr>
        <w:t>to</w:t>
      </w:r>
      <w:r>
        <w:rPr>
          <w:color w:val="1B1818"/>
          <w:spacing w:val="-7"/>
          <w:sz w:val="24"/>
        </w:rPr>
        <w:t> </w:t>
      </w:r>
      <w:r>
        <w:rPr>
          <w:color w:val="1B1818"/>
          <w:sz w:val="24"/>
        </w:rPr>
        <w:t>afford</w:t>
      </w:r>
      <w:r>
        <w:rPr>
          <w:color w:val="1B1818"/>
          <w:spacing w:val="-7"/>
          <w:sz w:val="24"/>
        </w:rPr>
        <w:t> </w:t>
      </w:r>
      <w:r>
        <w:rPr>
          <w:color w:val="1B1818"/>
          <w:sz w:val="24"/>
        </w:rPr>
        <w:t>the</w:t>
      </w:r>
      <w:r>
        <w:rPr>
          <w:color w:val="1B1818"/>
          <w:spacing w:val="-6"/>
          <w:sz w:val="24"/>
        </w:rPr>
        <w:t> </w:t>
      </w:r>
      <w:r>
        <w:rPr>
          <w:color w:val="1B1818"/>
          <w:sz w:val="24"/>
        </w:rPr>
        <w:t>new</w:t>
      </w:r>
      <w:r>
        <w:rPr>
          <w:color w:val="1B1818"/>
          <w:spacing w:val="-5"/>
          <w:sz w:val="24"/>
        </w:rPr>
        <w:t> </w:t>
      </w:r>
      <w:r>
        <w:rPr>
          <w:color w:val="1B1818"/>
          <w:sz w:val="24"/>
        </w:rPr>
        <w:t>loan agreement and recklessly granted the loan. He wants the credit agreement cancelled, and all the payments refunded to</w:t>
      </w:r>
      <w:r>
        <w:rPr>
          <w:color w:val="1B1818"/>
          <w:spacing w:val="-10"/>
          <w:sz w:val="24"/>
        </w:rPr>
        <w:t> </w:t>
      </w:r>
      <w:r>
        <w:rPr>
          <w:color w:val="1B1818"/>
          <w:sz w:val="24"/>
        </w:rPr>
        <w:t>him.</w:t>
      </w:r>
    </w:p>
    <w:p>
      <w:pPr>
        <w:pStyle w:val="BodyText"/>
        <w:spacing w:before="10"/>
        <w:rPr>
          <w:sz w:val="20"/>
        </w:rPr>
      </w:pPr>
    </w:p>
    <w:p>
      <w:pPr>
        <w:pStyle w:val="ListParagraph"/>
        <w:numPr>
          <w:ilvl w:val="0"/>
          <w:numId w:val="1"/>
        </w:numPr>
        <w:tabs>
          <w:tab w:pos="707" w:val="left" w:leader="none"/>
        </w:tabs>
        <w:spacing w:line="360" w:lineRule="auto" w:before="0" w:after="0"/>
        <w:ind w:left="706" w:right="134" w:hanging="567"/>
        <w:jc w:val="both"/>
        <w:rPr>
          <w:sz w:val="24"/>
        </w:rPr>
      </w:pPr>
      <w:r>
        <w:rPr>
          <w:color w:val="1B1818"/>
          <w:sz w:val="24"/>
        </w:rPr>
        <w:t>On 17 May 2021, Mr Herbert lodged a complaint with the National Credit Regulator (NCR). </w:t>
      </w:r>
      <w:r>
        <w:rPr>
          <w:sz w:val="24"/>
        </w:rPr>
        <w:t>The NCR issued a Notice of non-referral dated 8 March 2022, stating that the complaint does not include any allegation of facts that would constitute grounds for a remedy under the</w:t>
      </w:r>
      <w:r>
        <w:rPr>
          <w:spacing w:val="1"/>
          <w:sz w:val="24"/>
        </w:rPr>
        <w:t> </w:t>
      </w:r>
      <w:r>
        <w:rPr>
          <w:sz w:val="24"/>
        </w:rPr>
        <w:t>NCA.</w:t>
      </w:r>
    </w:p>
    <w:p>
      <w:pPr>
        <w:pStyle w:val="BodyText"/>
        <w:spacing w:before="11"/>
        <w:rPr>
          <w:sz w:val="20"/>
        </w:rPr>
      </w:pPr>
    </w:p>
    <w:p>
      <w:pPr>
        <w:pStyle w:val="ListParagraph"/>
        <w:numPr>
          <w:ilvl w:val="0"/>
          <w:numId w:val="1"/>
        </w:numPr>
        <w:tabs>
          <w:tab w:pos="707" w:val="left" w:leader="none"/>
        </w:tabs>
        <w:spacing w:line="360" w:lineRule="auto" w:before="0" w:after="0"/>
        <w:ind w:left="706" w:right="136" w:hanging="567"/>
        <w:jc w:val="both"/>
        <w:rPr>
          <w:sz w:val="24"/>
        </w:rPr>
      </w:pPr>
      <w:r>
        <w:rPr>
          <w:color w:val="1B1818"/>
          <w:sz w:val="24"/>
        </w:rPr>
        <w:t>The NCR report states that Woolworths granted the initial credit facility in 2005 for R2000.</w:t>
      </w:r>
      <w:r>
        <w:rPr>
          <w:sz w:val="24"/>
        </w:rPr>
        <w:t>00. The limit was increased over the years to R75 000.00 in October 2014. It remained at this limit since that time. The full outstanding balance was settled in November</w:t>
      </w:r>
      <w:r>
        <w:rPr>
          <w:spacing w:val="-7"/>
          <w:sz w:val="24"/>
        </w:rPr>
        <w:t> </w:t>
      </w:r>
      <w:r>
        <w:rPr>
          <w:sz w:val="24"/>
        </w:rPr>
        <w:t>2017.</w:t>
      </w:r>
      <w:r>
        <w:rPr>
          <w:spacing w:val="-5"/>
          <w:sz w:val="24"/>
        </w:rPr>
        <w:t> </w:t>
      </w:r>
      <w:r>
        <w:rPr>
          <w:sz w:val="24"/>
        </w:rPr>
        <w:t>In</w:t>
      </w:r>
      <w:r>
        <w:rPr>
          <w:spacing w:val="-6"/>
          <w:sz w:val="24"/>
        </w:rPr>
        <w:t> </w:t>
      </w:r>
      <w:r>
        <w:rPr>
          <w:sz w:val="24"/>
        </w:rPr>
        <w:t>July</w:t>
      </w:r>
      <w:r>
        <w:rPr>
          <w:spacing w:val="-7"/>
          <w:sz w:val="24"/>
        </w:rPr>
        <w:t> </w:t>
      </w:r>
      <w:r>
        <w:rPr>
          <w:sz w:val="24"/>
        </w:rPr>
        <w:t>2018,</w:t>
      </w:r>
      <w:r>
        <w:rPr>
          <w:spacing w:val="-9"/>
          <w:sz w:val="24"/>
        </w:rPr>
        <w:t> </w:t>
      </w:r>
      <w:r>
        <w:rPr>
          <w:sz w:val="24"/>
        </w:rPr>
        <w:t>the</w:t>
      </w:r>
      <w:r>
        <w:rPr>
          <w:spacing w:val="-8"/>
          <w:sz w:val="24"/>
        </w:rPr>
        <w:t> </w:t>
      </w:r>
      <w:r>
        <w:rPr>
          <w:sz w:val="24"/>
        </w:rPr>
        <w:t>credit</w:t>
      </w:r>
      <w:r>
        <w:rPr>
          <w:spacing w:val="-8"/>
          <w:sz w:val="24"/>
        </w:rPr>
        <w:t> </w:t>
      </w:r>
      <w:r>
        <w:rPr>
          <w:sz w:val="24"/>
        </w:rPr>
        <w:t>facility</w:t>
      </w:r>
      <w:r>
        <w:rPr>
          <w:spacing w:val="-7"/>
          <w:sz w:val="24"/>
        </w:rPr>
        <w:t> </w:t>
      </w:r>
      <w:r>
        <w:rPr>
          <w:sz w:val="24"/>
        </w:rPr>
        <w:t>was</w:t>
      </w:r>
      <w:r>
        <w:rPr>
          <w:spacing w:val="-6"/>
          <w:sz w:val="24"/>
        </w:rPr>
        <w:t> </w:t>
      </w:r>
      <w:r>
        <w:rPr>
          <w:sz w:val="24"/>
        </w:rPr>
        <w:t>used</w:t>
      </w:r>
      <w:r>
        <w:rPr>
          <w:spacing w:val="-8"/>
          <w:sz w:val="24"/>
        </w:rPr>
        <w:t> </w:t>
      </w:r>
      <w:r>
        <w:rPr>
          <w:sz w:val="24"/>
        </w:rPr>
        <w:t>again.</w:t>
      </w:r>
      <w:r>
        <w:rPr>
          <w:spacing w:val="-3"/>
          <w:sz w:val="24"/>
        </w:rPr>
        <w:t> </w:t>
      </w:r>
      <w:r>
        <w:rPr>
          <w:sz w:val="24"/>
        </w:rPr>
        <w:t>Thereafter,</w:t>
      </w:r>
      <w:r>
        <w:rPr>
          <w:spacing w:val="-6"/>
          <w:sz w:val="24"/>
        </w:rPr>
        <w:t> </w:t>
      </w:r>
      <w:r>
        <w:rPr>
          <w:sz w:val="24"/>
        </w:rPr>
        <w:t>Mr</w:t>
      </w:r>
      <w:r>
        <w:rPr>
          <w:spacing w:val="-7"/>
          <w:sz w:val="24"/>
        </w:rPr>
        <w:t> </w:t>
      </w:r>
      <w:r>
        <w:rPr>
          <w:sz w:val="24"/>
        </w:rPr>
        <w:t>Herbert started defaulting on the</w:t>
      </w:r>
      <w:r>
        <w:rPr>
          <w:spacing w:val="-3"/>
          <w:sz w:val="24"/>
        </w:rPr>
        <w:t> </w:t>
      </w:r>
      <w:r>
        <w:rPr>
          <w:sz w:val="24"/>
        </w:rPr>
        <w:t>account.</w:t>
      </w:r>
    </w:p>
    <w:p>
      <w:pPr>
        <w:spacing w:after="0" w:line="360" w:lineRule="auto"/>
        <w:jc w:val="both"/>
        <w:rPr>
          <w:sz w:val="24"/>
        </w:rPr>
        <w:sectPr>
          <w:headerReference w:type="default" r:id="rId6"/>
          <w:footerReference w:type="default" r:id="rId7"/>
          <w:pgSz w:w="11910" w:h="16840"/>
          <w:pgMar w:header="554" w:footer="274" w:top="1300" w:bottom="460" w:left="940" w:right="940"/>
          <w:pgNumType w:start="2"/>
        </w:sectPr>
      </w:pPr>
    </w:p>
    <w:p>
      <w:pPr>
        <w:pStyle w:val="BodyText"/>
        <w:rPr>
          <w:sz w:val="20"/>
        </w:rPr>
      </w:pPr>
    </w:p>
    <w:p>
      <w:pPr>
        <w:pStyle w:val="BodyText"/>
        <w:spacing w:before="11"/>
        <w:rPr>
          <w:sz w:val="20"/>
        </w:rPr>
      </w:pPr>
    </w:p>
    <w:p>
      <w:pPr>
        <w:pStyle w:val="ListParagraph"/>
        <w:numPr>
          <w:ilvl w:val="0"/>
          <w:numId w:val="1"/>
        </w:numPr>
        <w:tabs>
          <w:tab w:pos="707" w:val="left" w:leader="none"/>
        </w:tabs>
        <w:spacing w:line="360" w:lineRule="auto" w:before="92" w:after="0"/>
        <w:ind w:left="706" w:right="135" w:hanging="567"/>
        <w:jc w:val="both"/>
        <w:rPr>
          <w:sz w:val="24"/>
        </w:rPr>
      </w:pPr>
      <w:r>
        <w:rPr>
          <w:color w:val="1B1818"/>
          <w:sz w:val="24"/>
        </w:rPr>
        <w:t>The report states that there is no evidence of a new credit agreement being concluded and no evidence of unlawful credit</w:t>
      </w:r>
      <w:r>
        <w:rPr>
          <w:color w:val="1B1818"/>
          <w:spacing w:val="-8"/>
          <w:sz w:val="24"/>
        </w:rPr>
        <w:t> </w:t>
      </w:r>
      <w:r>
        <w:rPr>
          <w:color w:val="1B1818"/>
          <w:sz w:val="24"/>
        </w:rPr>
        <w:t>increases.</w:t>
      </w:r>
    </w:p>
    <w:p>
      <w:pPr>
        <w:pStyle w:val="BodyText"/>
        <w:spacing w:before="10"/>
        <w:rPr>
          <w:sz w:val="20"/>
        </w:rPr>
      </w:pPr>
    </w:p>
    <w:p>
      <w:pPr>
        <w:pStyle w:val="ListParagraph"/>
        <w:numPr>
          <w:ilvl w:val="0"/>
          <w:numId w:val="1"/>
        </w:numPr>
        <w:tabs>
          <w:tab w:pos="707" w:val="left" w:leader="none"/>
        </w:tabs>
        <w:spacing w:line="360" w:lineRule="auto" w:before="0" w:after="0"/>
        <w:ind w:left="706" w:right="135" w:hanging="567"/>
        <w:jc w:val="both"/>
        <w:rPr>
          <w:sz w:val="24"/>
        </w:rPr>
      </w:pPr>
      <w:r>
        <w:rPr>
          <w:color w:val="1B1818"/>
          <w:sz w:val="24"/>
        </w:rPr>
        <w:t>Mr</w:t>
      </w:r>
      <w:r>
        <w:rPr>
          <w:color w:val="1B1818"/>
          <w:spacing w:val="-5"/>
          <w:sz w:val="24"/>
        </w:rPr>
        <w:t> </w:t>
      </w:r>
      <w:r>
        <w:rPr>
          <w:color w:val="1B1818"/>
          <w:sz w:val="24"/>
        </w:rPr>
        <w:t>Herbert</w:t>
      </w:r>
      <w:r>
        <w:rPr>
          <w:color w:val="1B1818"/>
          <w:spacing w:val="-4"/>
          <w:sz w:val="24"/>
        </w:rPr>
        <w:t> </w:t>
      </w:r>
      <w:r>
        <w:rPr>
          <w:color w:val="1B1818"/>
          <w:sz w:val="24"/>
        </w:rPr>
        <w:t>served</w:t>
      </w:r>
      <w:r>
        <w:rPr>
          <w:color w:val="1B1818"/>
          <w:spacing w:val="-4"/>
          <w:sz w:val="24"/>
        </w:rPr>
        <w:t> </w:t>
      </w:r>
      <w:r>
        <w:rPr>
          <w:color w:val="1B1818"/>
          <w:sz w:val="24"/>
        </w:rPr>
        <w:t>and</w:t>
      </w:r>
      <w:r>
        <w:rPr>
          <w:color w:val="1B1818"/>
          <w:spacing w:val="-5"/>
          <w:sz w:val="24"/>
        </w:rPr>
        <w:t> </w:t>
      </w:r>
      <w:r>
        <w:rPr>
          <w:color w:val="1B1818"/>
          <w:sz w:val="24"/>
        </w:rPr>
        <w:t>filed</w:t>
      </w:r>
      <w:r>
        <w:rPr>
          <w:color w:val="1B1818"/>
          <w:spacing w:val="-6"/>
          <w:sz w:val="24"/>
        </w:rPr>
        <w:t> </w:t>
      </w:r>
      <w:r>
        <w:rPr>
          <w:color w:val="1B1818"/>
          <w:sz w:val="24"/>
        </w:rPr>
        <w:t>an</w:t>
      </w:r>
      <w:r>
        <w:rPr>
          <w:color w:val="1B1818"/>
          <w:spacing w:val="-5"/>
          <w:sz w:val="24"/>
        </w:rPr>
        <w:t> </w:t>
      </w:r>
      <w:r>
        <w:rPr>
          <w:color w:val="1B1818"/>
          <w:sz w:val="24"/>
        </w:rPr>
        <w:t>application</w:t>
      </w:r>
      <w:r>
        <w:rPr>
          <w:color w:val="1B1818"/>
          <w:spacing w:val="-6"/>
          <w:sz w:val="24"/>
        </w:rPr>
        <w:t> </w:t>
      </w:r>
      <w:r>
        <w:rPr>
          <w:color w:val="1B1818"/>
          <w:sz w:val="24"/>
        </w:rPr>
        <w:t>with</w:t>
      </w:r>
      <w:r>
        <w:rPr>
          <w:color w:val="1B1818"/>
          <w:spacing w:val="-2"/>
          <w:sz w:val="24"/>
        </w:rPr>
        <w:t> </w:t>
      </w:r>
      <w:r>
        <w:rPr>
          <w:color w:val="1B1818"/>
          <w:sz w:val="24"/>
        </w:rPr>
        <w:t>the</w:t>
      </w:r>
      <w:r>
        <w:rPr>
          <w:color w:val="1B1818"/>
          <w:spacing w:val="-4"/>
          <w:sz w:val="24"/>
        </w:rPr>
        <w:t> </w:t>
      </w:r>
      <w:r>
        <w:rPr>
          <w:color w:val="1B1818"/>
          <w:sz w:val="24"/>
        </w:rPr>
        <w:t>Tribunal</w:t>
      </w:r>
      <w:r>
        <w:rPr>
          <w:color w:val="1B1818"/>
          <w:spacing w:val="-6"/>
          <w:sz w:val="24"/>
        </w:rPr>
        <w:t> </w:t>
      </w:r>
      <w:r>
        <w:rPr>
          <w:color w:val="1B1818"/>
          <w:sz w:val="24"/>
        </w:rPr>
        <w:t>on</w:t>
      </w:r>
      <w:r>
        <w:rPr>
          <w:color w:val="1B1818"/>
          <w:spacing w:val="-6"/>
          <w:sz w:val="24"/>
        </w:rPr>
        <w:t> </w:t>
      </w:r>
      <w:r>
        <w:rPr>
          <w:color w:val="1B1818"/>
          <w:sz w:val="24"/>
        </w:rPr>
        <w:t>5</w:t>
      </w:r>
      <w:r>
        <w:rPr>
          <w:color w:val="1B1818"/>
          <w:spacing w:val="-3"/>
          <w:sz w:val="24"/>
        </w:rPr>
        <w:t> </w:t>
      </w:r>
      <w:r>
        <w:rPr>
          <w:color w:val="1B1818"/>
          <w:sz w:val="24"/>
        </w:rPr>
        <w:t>April</w:t>
      </w:r>
      <w:r>
        <w:rPr>
          <w:color w:val="1B1818"/>
          <w:spacing w:val="-5"/>
          <w:sz w:val="24"/>
        </w:rPr>
        <w:t> </w:t>
      </w:r>
      <w:r>
        <w:rPr>
          <w:color w:val="1B1818"/>
          <w:sz w:val="24"/>
        </w:rPr>
        <w:t>2022,</w:t>
      </w:r>
      <w:r>
        <w:rPr>
          <w:color w:val="1B1818"/>
          <w:spacing w:val="-3"/>
          <w:sz w:val="24"/>
        </w:rPr>
        <w:t> </w:t>
      </w:r>
      <w:r>
        <w:rPr>
          <w:color w:val="1B1818"/>
          <w:sz w:val="24"/>
        </w:rPr>
        <w:t>requesting the Tribunal to hear his</w:t>
      </w:r>
      <w:r>
        <w:rPr>
          <w:color w:val="1B1818"/>
          <w:spacing w:val="-4"/>
          <w:sz w:val="24"/>
        </w:rPr>
        <w:t> </w:t>
      </w:r>
      <w:r>
        <w:rPr>
          <w:color w:val="1B1818"/>
          <w:sz w:val="24"/>
        </w:rPr>
        <w:t>complaint.</w:t>
      </w:r>
    </w:p>
    <w:p>
      <w:pPr>
        <w:pStyle w:val="BodyText"/>
        <w:spacing w:before="10"/>
        <w:rPr>
          <w:sz w:val="20"/>
        </w:rPr>
      </w:pPr>
    </w:p>
    <w:p>
      <w:pPr>
        <w:pStyle w:val="ListParagraph"/>
        <w:numPr>
          <w:ilvl w:val="0"/>
          <w:numId w:val="1"/>
        </w:numPr>
        <w:tabs>
          <w:tab w:pos="707" w:val="left" w:leader="none"/>
        </w:tabs>
        <w:spacing w:line="360" w:lineRule="auto" w:before="0" w:after="0"/>
        <w:ind w:left="706" w:right="132" w:hanging="567"/>
        <w:jc w:val="both"/>
        <w:rPr>
          <w:sz w:val="24"/>
        </w:rPr>
      </w:pPr>
      <w:r>
        <w:rPr>
          <w:sz w:val="24"/>
        </w:rPr>
        <w:t>On 22 April 2022, the Tribunal Registrar issued a Notice of filing to the parties. On 23 May 2022, the Tribunal Registrar issued a Notice of Set Down, advising that the leave- to-refer</w:t>
      </w:r>
      <w:r>
        <w:rPr>
          <w:spacing w:val="-15"/>
          <w:sz w:val="24"/>
        </w:rPr>
        <w:t> </w:t>
      </w:r>
      <w:r>
        <w:rPr>
          <w:sz w:val="24"/>
        </w:rPr>
        <w:t>application</w:t>
      </w:r>
      <w:r>
        <w:rPr>
          <w:spacing w:val="-12"/>
          <w:sz w:val="24"/>
        </w:rPr>
        <w:t> </w:t>
      </w:r>
      <w:r>
        <w:rPr>
          <w:sz w:val="24"/>
        </w:rPr>
        <w:t>would</w:t>
      </w:r>
      <w:r>
        <w:rPr>
          <w:spacing w:val="-12"/>
          <w:sz w:val="24"/>
        </w:rPr>
        <w:t> </w:t>
      </w:r>
      <w:r>
        <w:rPr>
          <w:sz w:val="24"/>
        </w:rPr>
        <w:t>be</w:t>
      </w:r>
      <w:r>
        <w:rPr>
          <w:spacing w:val="-16"/>
          <w:sz w:val="24"/>
        </w:rPr>
        <w:t> </w:t>
      </w:r>
      <w:r>
        <w:rPr>
          <w:sz w:val="24"/>
        </w:rPr>
        <w:t>adjudicated</w:t>
      </w:r>
      <w:r>
        <w:rPr>
          <w:spacing w:val="-13"/>
          <w:sz w:val="24"/>
        </w:rPr>
        <w:t> </w:t>
      </w:r>
      <w:r>
        <w:rPr>
          <w:sz w:val="24"/>
        </w:rPr>
        <w:t>in</w:t>
      </w:r>
      <w:r>
        <w:rPr>
          <w:spacing w:val="-12"/>
          <w:sz w:val="24"/>
        </w:rPr>
        <w:t> </w:t>
      </w:r>
      <w:r>
        <w:rPr>
          <w:sz w:val="24"/>
        </w:rPr>
        <w:t>chambers</w:t>
      </w:r>
      <w:r>
        <w:rPr>
          <w:spacing w:val="-11"/>
          <w:sz w:val="24"/>
        </w:rPr>
        <w:t> </w:t>
      </w:r>
      <w:r>
        <w:rPr>
          <w:sz w:val="24"/>
        </w:rPr>
        <w:t>on</w:t>
      </w:r>
      <w:r>
        <w:rPr>
          <w:spacing w:val="-13"/>
          <w:sz w:val="24"/>
        </w:rPr>
        <w:t> </w:t>
      </w:r>
      <w:r>
        <w:rPr>
          <w:sz w:val="24"/>
        </w:rPr>
        <w:t>23</w:t>
      </w:r>
      <w:r>
        <w:rPr>
          <w:spacing w:val="-12"/>
          <w:sz w:val="24"/>
        </w:rPr>
        <w:t> </w:t>
      </w:r>
      <w:r>
        <w:rPr>
          <w:sz w:val="24"/>
        </w:rPr>
        <w:t>June</w:t>
      </w:r>
      <w:r>
        <w:rPr>
          <w:spacing w:val="-16"/>
          <w:sz w:val="24"/>
        </w:rPr>
        <w:t> </w:t>
      </w:r>
      <w:r>
        <w:rPr>
          <w:sz w:val="24"/>
        </w:rPr>
        <w:t>2022.</w:t>
      </w:r>
      <w:r>
        <w:rPr>
          <w:spacing w:val="-13"/>
          <w:sz w:val="24"/>
        </w:rPr>
        <w:t> </w:t>
      </w:r>
      <w:r>
        <w:rPr>
          <w:sz w:val="24"/>
        </w:rPr>
        <w:t>The</w:t>
      </w:r>
      <w:r>
        <w:rPr>
          <w:spacing w:val="-15"/>
          <w:sz w:val="24"/>
        </w:rPr>
        <w:t> </w:t>
      </w:r>
      <w:r>
        <w:rPr>
          <w:sz w:val="24"/>
        </w:rPr>
        <w:t>matter</w:t>
      </w:r>
      <w:r>
        <w:rPr>
          <w:spacing w:val="-15"/>
          <w:sz w:val="24"/>
        </w:rPr>
        <w:t> </w:t>
      </w:r>
      <w:r>
        <w:rPr>
          <w:sz w:val="24"/>
        </w:rPr>
        <w:t>was not adjudicated and was reallocated for adjudication on 12 September</w:t>
      </w:r>
      <w:r>
        <w:rPr>
          <w:spacing w:val="-15"/>
          <w:sz w:val="24"/>
        </w:rPr>
        <w:t> </w:t>
      </w:r>
      <w:r>
        <w:rPr>
          <w:sz w:val="24"/>
        </w:rPr>
        <w:t>2022.</w:t>
      </w:r>
    </w:p>
    <w:p>
      <w:pPr>
        <w:pStyle w:val="BodyText"/>
        <w:spacing w:before="11"/>
        <w:rPr>
          <w:sz w:val="20"/>
        </w:rPr>
      </w:pPr>
    </w:p>
    <w:p>
      <w:pPr>
        <w:pStyle w:val="Heading1"/>
      </w:pPr>
      <w:r>
        <w:rPr/>
        <w:t>PROCEDURAL CONSIDERATIONS</w:t>
      </w:r>
    </w:p>
    <w:p>
      <w:pPr>
        <w:pStyle w:val="BodyText"/>
        <w:spacing w:before="9"/>
        <w:rPr>
          <w:b/>
          <w:sz w:val="32"/>
        </w:rPr>
      </w:pPr>
    </w:p>
    <w:p>
      <w:pPr>
        <w:pStyle w:val="ListParagraph"/>
        <w:numPr>
          <w:ilvl w:val="0"/>
          <w:numId w:val="1"/>
        </w:numPr>
        <w:tabs>
          <w:tab w:pos="707" w:val="left" w:leader="none"/>
        </w:tabs>
        <w:spacing w:line="360" w:lineRule="auto" w:before="0" w:after="0"/>
        <w:ind w:left="706" w:right="140" w:hanging="567"/>
        <w:jc w:val="both"/>
        <w:rPr>
          <w:i/>
          <w:sz w:val="24"/>
        </w:rPr>
      </w:pPr>
      <w:r>
        <w:rPr>
          <w:sz w:val="24"/>
        </w:rPr>
        <w:t>In terms of section 141(1) of the NCA, the Applicant may only refer the matter directly to the Tribunal </w:t>
      </w:r>
      <w:r>
        <w:rPr>
          <w:i/>
          <w:sz w:val="24"/>
        </w:rPr>
        <w:t>with leave of the</w:t>
      </w:r>
      <w:r>
        <w:rPr>
          <w:i/>
          <w:spacing w:val="-2"/>
          <w:sz w:val="24"/>
        </w:rPr>
        <w:t> </w:t>
      </w:r>
      <w:r>
        <w:rPr>
          <w:i/>
          <w:sz w:val="24"/>
        </w:rPr>
        <w:t>Tribunal.</w:t>
      </w:r>
    </w:p>
    <w:p>
      <w:pPr>
        <w:pStyle w:val="BodyText"/>
        <w:spacing w:before="10"/>
        <w:rPr>
          <w:i/>
          <w:sz w:val="20"/>
        </w:rPr>
      </w:pPr>
    </w:p>
    <w:p>
      <w:pPr>
        <w:pStyle w:val="ListParagraph"/>
        <w:numPr>
          <w:ilvl w:val="0"/>
          <w:numId w:val="1"/>
        </w:numPr>
        <w:tabs>
          <w:tab w:pos="707" w:val="left" w:leader="none"/>
        </w:tabs>
        <w:spacing w:line="360" w:lineRule="auto" w:before="0" w:after="0"/>
        <w:ind w:left="706" w:right="134" w:hanging="567"/>
        <w:jc w:val="both"/>
        <w:rPr>
          <w:sz w:val="24"/>
        </w:rPr>
      </w:pPr>
      <w:r>
        <w:rPr>
          <w:sz w:val="24"/>
        </w:rPr>
        <w:t>Previously, the Tribunal held a formal hearing on leave to refer with all the parties present. In the matter of </w:t>
      </w:r>
      <w:r>
        <w:rPr>
          <w:i/>
          <w:sz w:val="24"/>
        </w:rPr>
        <w:t>Lewis Stores (Pty) Ltd v Summit Financial Partners (Pty) Ltd </w:t>
      </w:r>
      <w:r>
        <w:rPr>
          <w:i/>
          <w:sz w:val="24"/>
        </w:rPr>
        <w:t>and Others </w:t>
      </w:r>
      <w:r>
        <w:rPr>
          <w:sz w:val="24"/>
        </w:rPr>
        <w:t>(Case no 314/2020) </w:t>
      </w:r>
      <w:hyperlink r:id="rId8">
        <w:r>
          <w:rPr>
            <w:sz w:val="24"/>
          </w:rPr>
          <w:t>[2021] ZASCA 91 </w:t>
        </w:r>
      </w:hyperlink>
      <w:r>
        <w:rPr>
          <w:sz w:val="24"/>
        </w:rPr>
        <w:t>(25 June 2021) </w:t>
      </w:r>
      <w:r>
        <w:rPr>
          <w:i/>
          <w:sz w:val="24"/>
        </w:rPr>
        <w:t>SAFLII, </w:t>
      </w:r>
      <w:r>
        <w:rPr>
          <w:sz w:val="24"/>
        </w:rPr>
        <w:t>the court provided useful guidance to the Tribunal in decisions regarding leave to refer. It held that</w:t>
      </w:r>
      <w:r>
        <w:rPr>
          <w:spacing w:val="-13"/>
          <w:sz w:val="24"/>
        </w:rPr>
        <w:t> </w:t>
      </w:r>
      <w:r>
        <w:rPr>
          <w:sz w:val="24"/>
        </w:rPr>
        <w:t>a</w:t>
      </w:r>
      <w:r>
        <w:rPr>
          <w:spacing w:val="-10"/>
          <w:sz w:val="24"/>
        </w:rPr>
        <w:t> </w:t>
      </w:r>
      <w:r>
        <w:rPr>
          <w:sz w:val="24"/>
        </w:rPr>
        <w:t>formal</w:t>
      </w:r>
      <w:r>
        <w:rPr>
          <w:spacing w:val="-11"/>
          <w:sz w:val="24"/>
        </w:rPr>
        <w:t> </w:t>
      </w:r>
      <w:r>
        <w:rPr>
          <w:sz w:val="24"/>
        </w:rPr>
        <w:t>hearing</w:t>
      </w:r>
      <w:r>
        <w:rPr>
          <w:spacing w:val="-13"/>
          <w:sz w:val="24"/>
        </w:rPr>
        <w:t> </w:t>
      </w:r>
      <w:r>
        <w:rPr>
          <w:sz w:val="24"/>
        </w:rPr>
        <w:t>on</w:t>
      </w:r>
      <w:r>
        <w:rPr>
          <w:spacing w:val="-10"/>
          <w:sz w:val="24"/>
        </w:rPr>
        <w:t> </w:t>
      </w:r>
      <w:r>
        <w:rPr>
          <w:sz w:val="24"/>
        </w:rPr>
        <w:t>leave</w:t>
      </w:r>
      <w:r>
        <w:rPr>
          <w:spacing w:val="-12"/>
          <w:sz w:val="24"/>
        </w:rPr>
        <w:t> </w:t>
      </w:r>
      <w:r>
        <w:rPr>
          <w:sz w:val="24"/>
        </w:rPr>
        <w:t>to</w:t>
      </w:r>
      <w:r>
        <w:rPr>
          <w:spacing w:val="-9"/>
          <w:sz w:val="24"/>
        </w:rPr>
        <w:t> </w:t>
      </w:r>
      <w:r>
        <w:rPr>
          <w:sz w:val="24"/>
        </w:rPr>
        <w:t>refer</w:t>
      </w:r>
      <w:r>
        <w:rPr>
          <w:spacing w:val="-12"/>
          <w:sz w:val="24"/>
        </w:rPr>
        <w:t> </w:t>
      </w:r>
      <w:r>
        <w:rPr>
          <w:sz w:val="24"/>
        </w:rPr>
        <w:t>was</w:t>
      </w:r>
      <w:r>
        <w:rPr>
          <w:spacing w:val="-6"/>
          <w:sz w:val="24"/>
        </w:rPr>
        <w:t> </w:t>
      </w:r>
      <w:r>
        <w:rPr>
          <w:sz w:val="24"/>
        </w:rPr>
        <w:t>unnecessary,</w:t>
      </w:r>
      <w:r>
        <w:rPr>
          <w:spacing w:val="-10"/>
          <w:sz w:val="24"/>
        </w:rPr>
        <w:t> </w:t>
      </w:r>
      <w:r>
        <w:rPr>
          <w:sz w:val="24"/>
        </w:rPr>
        <w:t>there</w:t>
      </w:r>
      <w:r>
        <w:rPr>
          <w:spacing w:val="-14"/>
          <w:sz w:val="24"/>
        </w:rPr>
        <w:t> </w:t>
      </w:r>
      <w:r>
        <w:rPr>
          <w:sz w:val="24"/>
        </w:rPr>
        <w:t>was</w:t>
      </w:r>
      <w:r>
        <w:rPr>
          <w:spacing w:val="-10"/>
          <w:sz w:val="24"/>
        </w:rPr>
        <w:t> </w:t>
      </w:r>
      <w:r>
        <w:rPr>
          <w:sz w:val="24"/>
        </w:rPr>
        <w:t>no</w:t>
      </w:r>
      <w:r>
        <w:rPr>
          <w:spacing w:val="-10"/>
          <w:sz w:val="24"/>
        </w:rPr>
        <w:t> </w:t>
      </w:r>
      <w:r>
        <w:rPr>
          <w:sz w:val="24"/>
        </w:rPr>
        <w:t>test</w:t>
      </w:r>
      <w:r>
        <w:rPr>
          <w:spacing w:val="-10"/>
          <w:sz w:val="24"/>
        </w:rPr>
        <w:t> </w:t>
      </w:r>
      <w:r>
        <w:rPr>
          <w:sz w:val="24"/>
        </w:rPr>
        <w:t>to</w:t>
      </w:r>
      <w:r>
        <w:rPr>
          <w:spacing w:val="-11"/>
          <w:sz w:val="24"/>
        </w:rPr>
        <w:t> </w:t>
      </w:r>
      <w:r>
        <w:rPr>
          <w:sz w:val="24"/>
        </w:rPr>
        <w:t>be</w:t>
      </w:r>
      <w:r>
        <w:rPr>
          <w:spacing w:val="-10"/>
          <w:sz w:val="24"/>
        </w:rPr>
        <w:t> </w:t>
      </w:r>
      <w:r>
        <w:rPr>
          <w:sz w:val="24"/>
        </w:rPr>
        <w:t>applied and the decision to consider leave could not be appealed. The court held</w:t>
      </w:r>
      <w:r>
        <w:rPr>
          <w:spacing w:val="-10"/>
          <w:sz w:val="24"/>
        </w:rPr>
        <w:t> </w:t>
      </w:r>
      <w:r>
        <w:rPr>
          <w:sz w:val="24"/>
        </w:rPr>
        <w:t>-</w:t>
      </w:r>
    </w:p>
    <w:p>
      <w:pPr>
        <w:pStyle w:val="BodyText"/>
        <w:spacing w:before="11"/>
        <w:rPr>
          <w:sz w:val="20"/>
        </w:rPr>
      </w:pPr>
    </w:p>
    <w:p>
      <w:pPr>
        <w:spacing w:line="360" w:lineRule="auto" w:before="0"/>
        <w:ind w:left="706" w:right="132" w:firstLine="0"/>
        <w:jc w:val="both"/>
        <w:rPr>
          <w:i/>
          <w:sz w:val="24"/>
        </w:rPr>
      </w:pPr>
      <w:r>
        <w:rPr>
          <w:i/>
          <w:sz w:val="24"/>
        </w:rPr>
        <w:t>“[15] As I have explained, the NCA provides for an expeditious, informal and cost- </w:t>
      </w:r>
      <w:r>
        <w:rPr>
          <w:i/>
          <w:sz w:val="24"/>
        </w:rPr>
        <w:t>effective complaints procedure. Section 141(1)(b) confers on the Tribunal a wide, largely unfettered discretion to permit a direct referral. The NCA does not require a formal</w:t>
      </w:r>
      <w:r>
        <w:rPr>
          <w:i/>
          <w:spacing w:val="-17"/>
          <w:sz w:val="24"/>
        </w:rPr>
        <w:t> </w:t>
      </w:r>
      <w:r>
        <w:rPr>
          <w:i/>
          <w:sz w:val="24"/>
        </w:rPr>
        <w:t>application</w:t>
      </w:r>
      <w:r>
        <w:rPr>
          <w:i/>
          <w:spacing w:val="-16"/>
          <w:sz w:val="24"/>
        </w:rPr>
        <w:t> </w:t>
      </w:r>
      <w:r>
        <w:rPr>
          <w:i/>
          <w:sz w:val="24"/>
        </w:rPr>
        <w:t>to</w:t>
      </w:r>
      <w:r>
        <w:rPr>
          <w:i/>
          <w:spacing w:val="-16"/>
          <w:sz w:val="24"/>
        </w:rPr>
        <w:t> </w:t>
      </w:r>
      <w:r>
        <w:rPr>
          <w:i/>
          <w:sz w:val="24"/>
        </w:rPr>
        <w:t>be</w:t>
      </w:r>
      <w:r>
        <w:rPr>
          <w:i/>
          <w:spacing w:val="-17"/>
          <w:sz w:val="24"/>
        </w:rPr>
        <w:t> </w:t>
      </w:r>
      <w:r>
        <w:rPr>
          <w:i/>
          <w:sz w:val="24"/>
        </w:rPr>
        <w:t>made</w:t>
      </w:r>
      <w:r>
        <w:rPr>
          <w:i/>
          <w:spacing w:val="-16"/>
          <w:sz w:val="24"/>
        </w:rPr>
        <w:t> </w:t>
      </w:r>
      <w:r>
        <w:rPr>
          <w:i/>
          <w:sz w:val="24"/>
        </w:rPr>
        <w:t>and</w:t>
      </w:r>
      <w:r>
        <w:rPr>
          <w:i/>
          <w:spacing w:val="-15"/>
          <w:sz w:val="24"/>
        </w:rPr>
        <w:t> </w:t>
      </w:r>
      <w:r>
        <w:rPr>
          <w:i/>
          <w:sz w:val="24"/>
        </w:rPr>
        <w:t>it</w:t>
      </w:r>
      <w:r>
        <w:rPr>
          <w:i/>
          <w:spacing w:val="-19"/>
          <w:sz w:val="24"/>
        </w:rPr>
        <w:t> </w:t>
      </w:r>
      <w:r>
        <w:rPr>
          <w:i/>
          <w:sz w:val="24"/>
        </w:rPr>
        <w:t>is</w:t>
      </w:r>
      <w:r>
        <w:rPr>
          <w:i/>
          <w:spacing w:val="-17"/>
          <w:sz w:val="24"/>
        </w:rPr>
        <w:t> </w:t>
      </w:r>
      <w:r>
        <w:rPr>
          <w:i/>
          <w:sz w:val="24"/>
        </w:rPr>
        <w:t>not</w:t>
      </w:r>
      <w:r>
        <w:rPr>
          <w:i/>
          <w:spacing w:val="-17"/>
          <w:sz w:val="24"/>
        </w:rPr>
        <w:t> </w:t>
      </w:r>
      <w:r>
        <w:rPr>
          <w:i/>
          <w:sz w:val="24"/>
        </w:rPr>
        <w:t>necessary</w:t>
      </w:r>
      <w:r>
        <w:rPr>
          <w:i/>
          <w:spacing w:val="-17"/>
          <w:sz w:val="24"/>
        </w:rPr>
        <w:t> </w:t>
      </w:r>
      <w:r>
        <w:rPr>
          <w:i/>
          <w:sz w:val="24"/>
        </w:rPr>
        <w:t>for</w:t>
      </w:r>
      <w:r>
        <w:rPr>
          <w:i/>
          <w:spacing w:val="-17"/>
          <w:sz w:val="24"/>
        </w:rPr>
        <w:t> </w:t>
      </w:r>
      <w:r>
        <w:rPr>
          <w:i/>
          <w:sz w:val="24"/>
        </w:rPr>
        <w:t>purposes</w:t>
      </w:r>
      <w:r>
        <w:rPr>
          <w:i/>
          <w:spacing w:val="-15"/>
          <w:sz w:val="24"/>
        </w:rPr>
        <w:t> </w:t>
      </w:r>
      <w:r>
        <w:rPr>
          <w:i/>
          <w:sz w:val="24"/>
        </w:rPr>
        <w:t>of</w:t>
      </w:r>
      <w:r>
        <w:rPr>
          <w:i/>
          <w:spacing w:val="-18"/>
          <w:sz w:val="24"/>
        </w:rPr>
        <w:t> </w:t>
      </w:r>
      <w:r>
        <w:rPr>
          <w:i/>
          <w:sz w:val="24"/>
        </w:rPr>
        <w:t>the</w:t>
      </w:r>
      <w:r>
        <w:rPr>
          <w:i/>
          <w:spacing w:val="-16"/>
          <w:sz w:val="24"/>
        </w:rPr>
        <w:t> </w:t>
      </w:r>
      <w:r>
        <w:rPr>
          <w:i/>
          <w:sz w:val="24"/>
        </w:rPr>
        <w:t>present</w:t>
      </w:r>
      <w:r>
        <w:rPr>
          <w:i/>
          <w:spacing w:val="-17"/>
          <w:sz w:val="24"/>
        </w:rPr>
        <w:t> </w:t>
      </w:r>
      <w:r>
        <w:rPr>
          <w:i/>
          <w:sz w:val="24"/>
        </w:rPr>
        <w:t>appeal, nor</w:t>
      </w:r>
      <w:r>
        <w:rPr>
          <w:i/>
          <w:spacing w:val="-5"/>
          <w:sz w:val="24"/>
        </w:rPr>
        <w:t> </w:t>
      </w:r>
      <w:r>
        <w:rPr>
          <w:i/>
          <w:sz w:val="24"/>
        </w:rPr>
        <w:t>is</w:t>
      </w:r>
      <w:r>
        <w:rPr>
          <w:i/>
          <w:spacing w:val="-5"/>
          <w:sz w:val="24"/>
        </w:rPr>
        <w:t> </w:t>
      </w:r>
      <w:r>
        <w:rPr>
          <w:i/>
          <w:sz w:val="24"/>
        </w:rPr>
        <w:t>it</w:t>
      </w:r>
      <w:r>
        <w:rPr>
          <w:i/>
          <w:spacing w:val="-6"/>
          <w:sz w:val="24"/>
        </w:rPr>
        <w:t> </w:t>
      </w:r>
      <w:r>
        <w:rPr>
          <w:i/>
          <w:sz w:val="24"/>
        </w:rPr>
        <w:t>desirable,</w:t>
      </w:r>
      <w:r>
        <w:rPr>
          <w:i/>
          <w:spacing w:val="-4"/>
          <w:sz w:val="24"/>
        </w:rPr>
        <w:t> </w:t>
      </w:r>
      <w:r>
        <w:rPr>
          <w:i/>
          <w:sz w:val="24"/>
        </w:rPr>
        <w:t>to</w:t>
      </w:r>
      <w:r>
        <w:rPr>
          <w:i/>
          <w:spacing w:val="-4"/>
          <w:sz w:val="24"/>
        </w:rPr>
        <w:t> </w:t>
      </w:r>
      <w:r>
        <w:rPr>
          <w:i/>
          <w:sz w:val="24"/>
        </w:rPr>
        <w:t>circumscribe</w:t>
      </w:r>
      <w:r>
        <w:rPr>
          <w:i/>
          <w:spacing w:val="-3"/>
          <w:sz w:val="24"/>
        </w:rPr>
        <w:t> </w:t>
      </w:r>
      <w:r>
        <w:rPr>
          <w:i/>
          <w:sz w:val="24"/>
        </w:rPr>
        <w:t>the</w:t>
      </w:r>
      <w:r>
        <w:rPr>
          <w:i/>
          <w:spacing w:val="-4"/>
          <w:sz w:val="24"/>
        </w:rPr>
        <w:t> </w:t>
      </w:r>
      <w:r>
        <w:rPr>
          <w:i/>
          <w:sz w:val="24"/>
        </w:rPr>
        <w:t>factors</w:t>
      </w:r>
      <w:r>
        <w:rPr>
          <w:i/>
          <w:spacing w:val="-5"/>
          <w:sz w:val="24"/>
        </w:rPr>
        <w:t> </w:t>
      </w:r>
      <w:r>
        <w:rPr>
          <w:i/>
          <w:sz w:val="24"/>
        </w:rPr>
        <w:t>to</w:t>
      </w:r>
      <w:r>
        <w:rPr>
          <w:i/>
          <w:spacing w:val="-4"/>
          <w:sz w:val="24"/>
        </w:rPr>
        <w:t> </w:t>
      </w:r>
      <w:r>
        <w:rPr>
          <w:i/>
          <w:sz w:val="24"/>
        </w:rPr>
        <w:t>which</w:t>
      </w:r>
      <w:r>
        <w:rPr>
          <w:i/>
          <w:spacing w:val="-5"/>
          <w:sz w:val="24"/>
        </w:rPr>
        <w:t> </w:t>
      </w:r>
      <w:r>
        <w:rPr>
          <w:i/>
          <w:sz w:val="24"/>
        </w:rPr>
        <w:t>the</w:t>
      </w:r>
      <w:r>
        <w:rPr>
          <w:i/>
          <w:spacing w:val="-6"/>
          <w:sz w:val="24"/>
        </w:rPr>
        <w:t> </w:t>
      </w:r>
      <w:r>
        <w:rPr>
          <w:i/>
          <w:sz w:val="24"/>
        </w:rPr>
        <w:t>Tribunal</w:t>
      </w:r>
      <w:r>
        <w:rPr>
          <w:i/>
          <w:spacing w:val="-4"/>
          <w:sz w:val="24"/>
        </w:rPr>
        <w:t> </w:t>
      </w:r>
      <w:r>
        <w:rPr>
          <w:i/>
          <w:sz w:val="24"/>
        </w:rPr>
        <w:t>should</w:t>
      </w:r>
      <w:r>
        <w:rPr>
          <w:i/>
          <w:spacing w:val="-6"/>
          <w:sz w:val="24"/>
        </w:rPr>
        <w:t> </w:t>
      </w:r>
      <w:r>
        <w:rPr>
          <w:i/>
          <w:sz w:val="24"/>
        </w:rPr>
        <w:t>have</w:t>
      </w:r>
      <w:r>
        <w:rPr>
          <w:i/>
          <w:spacing w:val="-4"/>
          <w:sz w:val="24"/>
        </w:rPr>
        <w:t> </w:t>
      </w:r>
      <w:r>
        <w:rPr>
          <w:i/>
          <w:sz w:val="24"/>
        </w:rPr>
        <w:t>regard. There is no test to be applied in deciding whether or not to grant a direct referral to it in respect of a complaint. The purpose of the provision is simply for the Tribunal to consider the complaint afresh, with the benefit of any findings by the Regulator, and to decide</w:t>
      </w:r>
      <w:r>
        <w:rPr>
          <w:i/>
          <w:spacing w:val="-18"/>
          <w:sz w:val="24"/>
        </w:rPr>
        <w:t> </w:t>
      </w:r>
      <w:r>
        <w:rPr>
          <w:i/>
          <w:sz w:val="24"/>
        </w:rPr>
        <w:t>whether</w:t>
      </w:r>
      <w:r>
        <w:rPr>
          <w:i/>
          <w:spacing w:val="-19"/>
          <w:sz w:val="24"/>
        </w:rPr>
        <w:t> </w:t>
      </w:r>
      <w:r>
        <w:rPr>
          <w:i/>
          <w:sz w:val="24"/>
        </w:rPr>
        <w:t>it</w:t>
      </w:r>
      <w:r>
        <w:rPr>
          <w:i/>
          <w:spacing w:val="-19"/>
          <w:sz w:val="24"/>
        </w:rPr>
        <w:t> </w:t>
      </w:r>
      <w:r>
        <w:rPr>
          <w:i/>
          <w:sz w:val="24"/>
        </w:rPr>
        <w:t>deserves</w:t>
      </w:r>
      <w:r>
        <w:rPr>
          <w:i/>
          <w:spacing w:val="-19"/>
          <w:sz w:val="24"/>
        </w:rPr>
        <w:t> </w:t>
      </w:r>
      <w:r>
        <w:rPr>
          <w:i/>
          <w:sz w:val="24"/>
        </w:rPr>
        <w:t>its</w:t>
      </w:r>
      <w:r>
        <w:rPr>
          <w:i/>
          <w:spacing w:val="-18"/>
          <w:sz w:val="24"/>
        </w:rPr>
        <w:t> </w:t>
      </w:r>
      <w:r>
        <w:rPr>
          <w:i/>
          <w:sz w:val="24"/>
        </w:rPr>
        <w:t>attention.</w:t>
      </w:r>
      <w:r>
        <w:rPr>
          <w:i/>
          <w:spacing w:val="-18"/>
          <w:sz w:val="24"/>
        </w:rPr>
        <w:t> </w:t>
      </w:r>
      <w:r>
        <w:rPr>
          <w:i/>
          <w:sz w:val="24"/>
        </w:rPr>
        <w:t>Circumstances</w:t>
      </w:r>
      <w:r>
        <w:rPr>
          <w:i/>
          <w:spacing w:val="-19"/>
          <w:sz w:val="24"/>
        </w:rPr>
        <w:t> </w:t>
      </w:r>
      <w:r>
        <w:rPr>
          <w:i/>
          <w:sz w:val="24"/>
        </w:rPr>
        <w:t>which</w:t>
      </w:r>
      <w:r>
        <w:rPr>
          <w:i/>
          <w:spacing w:val="-18"/>
          <w:sz w:val="24"/>
        </w:rPr>
        <w:t> </w:t>
      </w:r>
      <w:r>
        <w:rPr>
          <w:i/>
          <w:sz w:val="24"/>
        </w:rPr>
        <w:t>may</w:t>
      </w:r>
      <w:r>
        <w:rPr>
          <w:i/>
          <w:spacing w:val="-19"/>
          <w:sz w:val="24"/>
        </w:rPr>
        <w:t> </w:t>
      </w:r>
      <w:r>
        <w:rPr>
          <w:i/>
          <w:sz w:val="24"/>
        </w:rPr>
        <w:t>influence</w:t>
      </w:r>
      <w:r>
        <w:rPr>
          <w:i/>
          <w:spacing w:val="-17"/>
          <w:sz w:val="24"/>
        </w:rPr>
        <w:t> </w:t>
      </w:r>
      <w:r>
        <w:rPr>
          <w:i/>
          <w:sz w:val="24"/>
        </w:rPr>
        <w:t>its</w:t>
      </w:r>
      <w:r>
        <w:rPr>
          <w:i/>
          <w:spacing w:val="-19"/>
          <w:sz w:val="24"/>
        </w:rPr>
        <w:t> </w:t>
      </w:r>
      <w:r>
        <w:rPr>
          <w:i/>
          <w:sz w:val="24"/>
        </w:rPr>
        <w:t>decision may include the prospects of success, the importance of the issue, the public interest to</w:t>
      </w:r>
      <w:r>
        <w:rPr>
          <w:i/>
          <w:spacing w:val="-3"/>
          <w:sz w:val="24"/>
        </w:rPr>
        <w:t> </w:t>
      </w:r>
      <w:r>
        <w:rPr>
          <w:i/>
          <w:sz w:val="24"/>
        </w:rPr>
        <w:t>have</w:t>
      </w:r>
      <w:r>
        <w:rPr>
          <w:i/>
          <w:spacing w:val="-4"/>
          <w:sz w:val="24"/>
        </w:rPr>
        <w:t> </w:t>
      </w:r>
      <w:r>
        <w:rPr>
          <w:i/>
          <w:sz w:val="24"/>
        </w:rPr>
        <w:t>a</w:t>
      </w:r>
      <w:r>
        <w:rPr>
          <w:i/>
          <w:spacing w:val="-5"/>
          <w:sz w:val="24"/>
        </w:rPr>
        <w:t> </w:t>
      </w:r>
      <w:r>
        <w:rPr>
          <w:i/>
          <w:sz w:val="24"/>
        </w:rPr>
        <w:t>decision</w:t>
      </w:r>
      <w:r>
        <w:rPr>
          <w:i/>
          <w:spacing w:val="-6"/>
          <w:sz w:val="24"/>
        </w:rPr>
        <w:t> </w:t>
      </w:r>
      <w:r>
        <w:rPr>
          <w:i/>
          <w:sz w:val="24"/>
        </w:rPr>
        <w:t>on</w:t>
      </w:r>
      <w:r>
        <w:rPr>
          <w:i/>
          <w:spacing w:val="-3"/>
          <w:sz w:val="24"/>
        </w:rPr>
        <w:t> </w:t>
      </w:r>
      <w:r>
        <w:rPr>
          <w:i/>
          <w:sz w:val="24"/>
        </w:rPr>
        <w:t>the</w:t>
      </w:r>
      <w:r>
        <w:rPr>
          <w:i/>
          <w:spacing w:val="-4"/>
          <w:sz w:val="24"/>
        </w:rPr>
        <w:t> </w:t>
      </w:r>
      <w:r>
        <w:rPr>
          <w:i/>
          <w:sz w:val="24"/>
        </w:rPr>
        <w:t>matter,</w:t>
      </w:r>
      <w:r>
        <w:rPr>
          <w:i/>
          <w:spacing w:val="-4"/>
          <w:sz w:val="24"/>
        </w:rPr>
        <w:t> </w:t>
      </w:r>
      <w:r>
        <w:rPr>
          <w:i/>
          <w:sz w:val="24"/>
        </w:rPr>
        <w:t>the</w:t>
      </w:r>
      <w:r>
        <w:rPr>
          <w:i/>
          <w:spacing w:val="-4"/>
          <w:sz w:val="24"/>
        </w:rPr>
        <w:t> </w:t>
      </w:r>
      <w:r>
        <w:rPr>
          <w:i/>
          <w:sz w:val="24"/>
        </w:rPr>
        <w:t>allocation</w:t>
      </w:r>
      <w:r>
        <w:rPr>
          <w:i/>
          <w:spacing w:val="-4"/>
          <w:sz w:val="24"/>
        </w:rPr>
        <w:t> </w:t>
      </w:r>
      <w:r>
        <w:rPr>
          <w:i/>
          <w:sz w:val="24"/>
        </w:rPr>
        <w:t>of</w:t>
      </w:r>
      <w:r>
        <w:rPr>
          <w:i/>
          <w:spacing w:val="-3"/>
          <w:sz w:val="24"/>
        </w:rPr>
        <w:t> </w:t>
      </w:r>
      <w:r>
        <w:rPr>
          <w:i/>
          <w:sz w:val="24"/>
        </w:rPr>
        <w:t>resources,</w:t>
      </w:r>
      <w:r>
        <w:rPr>
          <w:i/>
          <w:spacing w:val="-4"/>
          <w:sz w:val="24"/>
        </w:rPr>
        <w:t> </w:t>
      </w:r>
      <w:r>
        <w:rPr>
          <w:i/>
          <w:sz w:val="24"/>
        </w:rPr>
        <w:t>the</w:t>
      </w:r>
      <w:r>
        <w:rPr>
          <w:i/>
          <w:spacing w:val="-3"/>
          <w:sz w:val="24"/>
        </w:rPr>
        <w:t> </w:t>
      </w:r>
      <w:r>
        <w:rPr>
          <w:i/>
          <w:sz w:val="24"/>
        </w:rPr>
        <w:t>complainant’s</w:t>
      </w:r>
      <w:r>
        <w:rPr>
          <w:i/>
          <w:spacing w:val="-4"/>
          <w:sz w:val="24"/>
        </w:rPr>
        <w:t> </w:t>
      </w:r>
      <w:r>
        <w:rPr>
          <w:i/>
          <w:sz w:val="24"/>
        </w:rPr>
        <w:t>interest in the relief sought and the fact that the Regulator did not consider that it merited a hearing before the Tribunal. The list is not intended to be</w:t>
      </w:r>
      <w:r>
        <w:rPr>
          <w:i/>
          <w:spacing w:val="-12"/>
          <w:sz w:val="24"/>
        </w:rPr>
        <w:t> </w:t>
      </w:r>
      <w:r>
        <w:rPr>
          <w:i/>
          <w:sz w:val="24"/>
        </w:rPr>
        <w:t>exhaustive.”</w:t>
      </w:r>
    </w:p>
    <w:p>
      <w:pPr>
        <w:spacing w:after="0" w:line="360" w:lineRule="auto"/>
        <w:jc w:val="both"/>
        <w:rPr>
          <w:sz w:val="24"/>
        </w:rPr>
        <w:sectPr>
          <w:pgSz w:w="11910" w:h="16840"/>
          <w:pgMar w:header="554" w:footer="274" w:top="1300" w:bottom="460" w:left="940" w:right="940"/>
        </w:sectPr>
      </w:pPr>
    </w:p>
    <w:p>
      <w:pPr>
        <w:pStyle w:val="BodyText"/>
        <w:rPr>
          <w:i/>
          <w:sz w:val="20"/>
        </w:rPr>
      </w:pPr>
    </w:p>
    <w:p>
      <w:pPr>
        <w:pStyle w:val="BodyText"/>
        <w:spacing w:before="11"/>
        <w:rPr>
          <w:i/>
          <w:sz w:val="20"/>
        </w:rPr>
      </w:pPr>
    </w:p>
    <w:p>
      <w:pPr>
        <w:pStyle w:val="ListParagraph"/>
        <w:numPr>
          <w:ilvl w:val="0"/>
          <w:numId w:val="1"/>
        </w:numPr>
        <w:tabs>
          <w:tab w:pos="707" w:val="left" w:leader="none"/>
        </w:tabs>
        <w:spacing w:line="360" w:lineRule="auto" w:before="92" w:after="0"/>
        <w:ind w:left="706" w:right="138" w:hanging="567"/>
        <w:jc w:val="both"/>
        <w:rPr>
          <w:sz w:val="24"/>
        </w:rPr>
      </w:pPr>
      <w:r>
        <w:rPr>
          <w:sz w:val="24"/>
        </w:rPr>
        <w:t>Therefore, the Tribunal will consider the evidence available and whether leave to refer should be</w:t>
      </w:r>
      <w:r>
        <w:rPr>
          <w:spacing w:val="-5"/>
          <w:sz w:val="24"/>
        </w:rPr>
        <w:t> </w:t>
      </w:r>
      <w:r>
        <w:rPr>
          <w:sz w:val="24"/>
        </w:rPr>
        <w:t>granted.</w:t>
      </w:r>
    </w:p>
    <w:p>
      <w:pPr>
        <w:pStyle w:val="BodyText"/>
        <w:spacing w:before="10"/>
        <w:rPr>
          <w:sz w:val="20"/>
        </w:rPr>
      </w:pPr>
    </w:p>
    <w:p>
      <w:pPr>
        <w:pStyle w:val="Heading1"/>
      </w:pPr>
      <w:r>
        <w:rPr/>
        <w:t>CONSIDERATION OF THE EVIDENCE</w:t>
      </w:r>
    </w:p>
    <w:p>
      <w:pPr>
        <w:pStyle w:val="BodyText"/>
        <w:rPr>
          <w:b/>
          <w:sz w:val="33"/>
        </w:rPr>
      </w:pPr>
    </w:p>
    <w:p>
      <w:pPr>
        <w:pStyle w:val="ListParagraph"/>
        <w:numPr>
          <w:ilvl w:val="0"/>
          <w:numId w:val="1"/>
        </w:numPr>
        <w:tabs>
          <w:tab w:pos="707" w:val="left" w:leader="none"/>
        </w:tabs>
        <w:spacing w:line="360" w:lineRule="auto" w:before="0" w:after="0"/>
        <w:ind w:left="706" w:right="133" w:hanging="567"/>
        <w:jc w:val="both"/>
        <w:rPr>
          <w:color w:val="1B1818"/>
          <w:sz w:val="24"/>
        </w:rPr>
      </w:pPr>
      <w:r>
        <w:rPr>
          <w:color w:val="1B1818"/>
          <w:sz w:val="24"/>
        </w:rPr>
        <w:t>The Applicant alleges that the loan was granted recklessly in June 2018. He has not provided</w:t>
      </w:r>
      <w:r>
        <w:rPr>
          <w:color w:val="1B1818"/>
          <w:spacing w:val="-6"/>
          <w:sz w:val="24"/>
        </w:rPr>
        <w:t> </w:t>
      </w:r>
      <w:r>
        <w:rPr>
          <w:color w:val="1B1818"/>
          <w:sz w:val="24"/>
        </w:rPr>
        <w:t>any</w:t>
      </w:r>
      <w:r>
        <w:rPr>
          <w:color w:val="1B1818"/>
          <w:spacing w:val="-4"/>
          <w:sz w:val="24"/>
        </w:rPr>
        <w:t> </w:t>
      </w:r>
      <w:r>
        <w:rPr>
          <w:color w:val="1B1818"/>
          <w:sz w:val="24"/>
        </w:rPr>
        <w:t>evidence</w:t>
      </w:r>
      <w:r>
        <w:rPr>
          <w:color w:val="1B1818"/>
          <w:spacing w:val="-5"/>
          <w:sz w:val="24"/>
        </w:rPr>
        <w:t> </w:t>
      </w:r>
      <w:r>
        <w:rPr>
          <w:color w:val="1B1818"/>
          <w:sz w:val="24"/>
        </w:rPr>
        <w:t>of</w:t>
      </w:r>
      <w:r>
        <w:rPr>
          <w:color w:val="1B1818"/>
          <w:spacing w:val="-4"/>
          <w:sz w:val="24"/>
        </w:rPr>
        <w:t> </w:t>
      </w:r>
      <w:r>
        <w:rPr>
          <w:color w:val="1B1818"/>
          <w:sz w:val="24"/>
        </w:rPr>
        <w:t>the</w:t>
      </w:r>
      <w:r>
        <w:rPr>
          <w:color w:val="1B1818"/>
          <w:spacing w:val="-6"/>
          <w:sz w:val="24"/>
        </w:rPr>
        <w:t> </w:t>
      </w:r>
      <w:r>
        <w:rPr>
          <w:color w:val="1B1818"/>
          <w:sz w:val="24"/>
        </w:rPr>
        <w:t>nature</w:t>
      </w:r>
      <w:r>
        <w:rPr>
          <w:color w:val="1B1818"/>
          <w:spacing w:val="-3"/>
          <w:sz w:val="24"/>
        </w:rPr>
        <w:t> </w:t>
      </w:r>
      <w:r>
        <w:rPr>
          <w:color w:val="1B1818"/>
          <w:sz w:val="24"/>
        </w:rPr>
        <w:t>of</w:t>
      </w:r>
      <w:r>
        <w:rPr>
          <w:color w:val="1B1818"/>
          <w:spacing w:val="-6"/>
          <w:sz w:val="24"/>
        </w:rPr>
        <w:t> </w:t>
      </w:r>
      <w:r>
        <w:rPr>
          <w:color w:val="1B1818"/>
          <w:sz w:val="24"/>
        </w:rPr>
        <w:t>the</w:t>
      </w:r>
      <w:r>
        <w:rPr>
          <w:color w:val="1B1818"/>
          <w:spacing w:val="-4"/>
          <w:sz w:val="24"/>
        </w:rPr>
        <w:t> </w:t>
      </w:r>
      <w:r>
        <w:rPr>
          <w:color w:val="1B1818"/>
          <w:sz w:val="24"/>
        </w:rPr>
        <w:t>loan</w:t>
      </w:r>
      <w:r>
        <w:rPr>
          <w:color w:val="1B1818"/>
          <w:spacing w:val="-3"/>
          <w:sz w:val="24"/>
        </w:rPr>
        <w:t> </w:t>
      </w:r>
      <w:r>
        <w:rPr>
          <w:color w:val="1B1818"/>
          <w:sz w:val="24"/>
        </w:rPr>
        <w:t>or</w:t>
      </w:r>
      <w:r>
        <w:rPr>
          <w:color w:val="1B1818"/>
          <w:spacing w:val="-5"/>
          <w:sz w:val="24"/>
        </w:rPr>
        <w:t> </w:t>
      </w:r>
      <w:r>
        <w:rPr>
          <w:color w:val="1B1818"/>
          <w:sz w:val="24"/>
        </w:rPr>
        <w:t>the</w:t>
      </w:r>
      <w:r>
        <w:rPr>
          <w:color w:val="1B1818"/>
          <w:spacing w:val="-4"/>
          <w:sz w:val="24"/>
        </w:rPr>
        <w:t> </w:t>
      </w:r>
      <w:r>
        <w:rPr>
          <w:color w:val="1B1818"/>
          <w:sz w:val="24"/>
        </w:rPr>
        <w:t>agreement.</w:t>
      </w:r>
      <w:r>
        <w:rPr>
          <w:color w:val="1B1818"/>
          <w:spacing w:val="-3"/>
          <w:sz w:val="24"/>
        </w:rPr>
        <w:t> </w:t>
      </w:r>
      <w:r>
        <w:rPr>
          <w:color w:val="1B1818"/>
          <w:sz w:val="24"/>
        </w:rPr>
        <w:t>Based</w:t>
      </w:r>
      <w:r>
        <w:rPr>
          <w:color w:val="1B1818"/>
          <w:spacing w:val="-4"/>
          <w:sz w:val="24"/>
        </w:rPr>
        <w:t> </w:t>
      </w:r>
      <w:r>
        <w:rPr>
          <w:color w:val="1B1818"/>
          <w:sz w:val="24"/>
        </w:rPr>
        <w:t>on</w:t>
      </w:r>
      <w:r>
        <w:rPr>
          <w:color w:val="1B1818"/>
          <w:spacing w:val="-4"/>
          <w:sz w:val="24"/>
        </w:rPr>
        <w:t> </w:t>
      </w:r>
      <w:r>
        <w:rPr>
          <w:color w:val="1B1818"/>
          <w:sz w:val="24"/>
        </w:rPr>
        <w:t>the</w:t>
      </w:r>
      <w:r>
        <w:rPr>
          <w:color w:val="1B1818"/>
          <w:spacing w:val="6"/>
          <w:sz w:val="24"/>
        </w:rPr>
        <w:t> </w:t>
      </w:r>
      <w:r>
        <w:rPr>
          <w:color w:val="1B1818"/>
          <w:sz w:val="24"/>
        </w:rPr>
        <w:t>NCR’s report, the loan was, in fact, an ongoing credit facility, not a new loan. There is no evidence of the Respondent offering a new credit agreement to the Applicant. There is no evidence of the loan or credit facility being closed in 2017 and an entirely new loan agreement being</w:t>
      </w:r>
      <w:r>
        <w:rPr>
          <w:color w:val="1B1818"/>
          <w:spacing w:val="-2"/>
          <w:sz w:val="24"/>
        </w:rPr>
        <w:t> </w:t>
      </w:r>
      <w:r>
        <w:rPr>
          <w:color w:val="1B1818"/>
          <w:sz w:val="24"/>
        </w:rPr>
        <w:t>concluded.</w:t>
      </w:r>
    </w:p>
    <w:p>
      <w:pPr>
        <w:pStyle w:val="BodyText"/>
        <w:spacing w:before="8"/>
        <w:rPr>
          <w:sz w:val="20"/>
        </w:rPr>
      </w:pPr>
    </w:p>
    <w:p>
      <w:pPr>
        <w:pStyle w:val="ListParagraph"/>
        <w:numPr>
          <w:ilvl w:val="0"/>
          <w:numId w:val="1"/>
        </w:numPr>
        <w:tabs>
          <w:tab w:pos="707" w:val="left" w:leader="none"/>
        </w:tabs>
        <w:spacing w:line="360" w:lineRule="auto" w:before="0" w:after="0"/>
        <w:ind w:left="706" w:right="136" w:hanging="567"/>
        <w:jc w:val="both"/>
        <w:rPr>
          <w:color w:val="1B1818"/>
          <w:sz w:val="24"/>
        </w:rPr>
      </w:pPr>
      <w:r>
        <w:rPr>
          <w:color w:val="1B1818"/>
          <w:sz w:val="24"/>
        </w:rPr>
        <w:t>Even if the Applicant could provide evidence of a new loan agreement being offered, the Tribunal would have to consider the affordability circumstances when the new loan was granted in June</w:t>
      </w:r>
      <w:r>
        <w:rPr>
          <w:color w:val="1B1818"/>
          <w:spacing w:val="-3"/>
          <w:sz w:val="24"/>
        </w:rPr>
        <w:t> </w:t>
      </w:r>
      <w:r>
        <w:rPr>
          <w:color w:val="1B1818"/>
          <w:sz w:val="24"/>
        </w:rPr>
        <w:t>2018.</w:t>
      </w:r>
    </w:p>
    <w:p>
      <w:pPr>
        <w:pStyle w:val="BodyText"/>
        <w:spacing w:before="7"/>
        <w:rPr>
          <w:sz w:val="20"/>
        </w:rPr>
      </w:pPr>
    </w:p>
    <w:p>
      <w:pPr>
        <w:pStyle w:val="ListParagraph"/>
        <w:numPr>
          <w:ilvl w:val="0"/>
          <w:numId w:val="1"/>
        </w:numPr>
        <w:tabs>
          <w:tab w:pos="707" w:val="left" w:leader="none"/>
        </w:tabs>
        <w:spacing w:line="360" w:lineRule="auto" w:before="0" w:after="0"/>
        <w:ind w:left="706" w:right="135" w:hanging="567"/>
        <w:jc w:val="both"/>
        <w:rPr>
          <w:sz w:val="24"/>
        </w:rPr>
      </w:pPr>
      <w:r>
        <w:rPr>
          <w:sz w:val="24"/>
        </w:rPr>
        <w:t>Section 166</w:t>
      </w:r>
      <w:r>
        <w:rPr>
          <w:position w:val="8"/>
          <w:sz w:val="16"/>
        </w:rPr>
        <w:t>1 </w:t>
      </w:r>
      <w:r>
        <w:rPr>
          <w:sz w:val="24"/>
        </w:rPr>
        <w:t>of the NCA states that a complaint may not be referred or made to the Tribunal more than three years after the act or omission occurred. The act that is the cause of the complaint arose in June 2018 when the Applicant alleges a new loan agreement was concluded. Three years from June 2018 is June 2021. The application was</w:t>
      </w:r>
      <w:r>
        <w:rPr>
          <w:spacing w:val="-9"/>
          <w:sz w:val="24"/>
        </w:rPr>
        <w:t> </w:t>
      </w:r>
      <w:r>
        <w:rPr>
          <w:sz w:val="24"/>
        </w:rPr>
        <w:t>only</w:t>
      </w:r>
      <w:r>
        <w:rPr>
          <w:spacing w:val="-9"/>
          <w:sz w:val="24"/>
        </w:rPr>
        <w:t> </w:t>
      </w:r>
      <w:r>
        <w:rPr>
          <w:sz w:val="24"/>
        </w:rPr>
        <w:t>lodged</w:t>
      </w:r>
      <w:r>
        <w:rPr>
          <w:spacing w:val="-8"/>
          <w:sz w:val="24"/>
        </w:rPr>
        <w:t> </w:t>
      </w:r>
      <w:r>
        <w:rPr>
          <w:sz w:val="24"/>
        </w:rPr>
        <w:t>with</w:t>
      </w:r>
      <w:r>
        <w:rPr>
          <w:spacing w:val="-8"/>
          <w:sz w:val="24"/>
        </w:rPr>
        <w:t> </w:t>
      </w:r>
      <w:r>
        <w:rPr>
          <w:sz w:val="24"/>
        </w:rPr>
        <w:t>the</w:t>
      </w:r>
      <w:r>
        <w:rPr>
          <w:spacing w:val="-7"/>
          <w:sz w:val="24"/>
        </w:rPr>
        <w:t> </w:t>
      </w:r>
      <w:r>
        <w:rPr>
          <w:sz w:val="24"/>
        </w:rPr>
        <w:t>Tribunal</w:t>
      </w:r>
      <w:r>
        <w:rPr>
          <w:spacing w:val="-11"/>
          <w:sz w:val="24"/>
        </w:rPr>
        <w:t> </w:t>
      </w:r>
      <w:r>
        <w:rPr>
          <w:sz w:val="24"/>
        </w:rPr>
        <w:t>on</w:t>
      </w:r>
      <w:r>
        <w:rPr>
          <w:spacing w:val="-11"/>
          <w:sz w:val="24"/>
        </w:rPr>
        <w:t> </w:t>
      </w:r>
      <w:r>
        <w:rPr>
          <w:sz w:val="24"/>
        </w:rPr>
        <w:t>5</w:t>
      </w:r>
      <w:r>
        <w:rPr>
          <w:spacing w:val="-7"/>
          <w:sz w:val="24"/>
        </w:rPr>
        <w:t> </w:t>
      </w:r>
      <w:r>
        <w:rPr>
          <w:sz w:val="24"/>
        </w:rPr>
        <w:t>April</w:t>
      </w:r>
      <w:r>
        <w:rPr>
          <w:spacing w:val="-10"/>
          <w:sz w:val="24"/>
        </w:rPr>
        <w:t> </w:t>
      </w:r>
      <w:r>
        <w:rPr>
          <w:sz w:val="24"/>
        </w:rPr>
        <w:t>2022,</w:t>
      </w:r>
      <w:r>
        <w:rPr>
          <w:spacing w:val="-10"/>
          <w:sz w:val="24"/>
        </w:rPr>
        <w:t> </w:t>
      </w:r>
      <w:r>
        <w:rPr>
          <w:sz w:val="24"/>
        </w:rPr>
        <w:t>almost</w:t>
      </w:r>
      <w:r>
        <w:rPr>
          <w:spacing w:val="-9"/>
          <w:sz w:val="24"/>
        </w:rPr>
        <w:t> </w:t>
      </w:r>
      <w:r>
        <w:rPr>
          <w:sz w:val="24"/>
        </w:rPr>
        <w:t>a</w:t>
      </w:r>
      <w:r>
        <w:rPr>
          <w:spacing w:val="-7"/>
          <w:sz w:val="24"/>
        </w:rPr>
        <w:t> </w:t>
      </w:r>
      <w:r>
        <w:rPr>
          <w:sz w:val="24"/>
        </w:rPr>
        <w:t>year</w:t>
      </w:r>
      <w:r>
        <w:rPr>
          <w:spacing w:val="-10"/>
          <w:sz w:val="24"/>
        </w:rPr>
        <w:t> </w:t>
      </w:r>
      <w:r>
        <w:rPr>
          <w:sz w:val="24"/>
        </w:rPr>
        <w:t>after</w:t>
      </w:r>
      <w:r>
        <w:rPr>
          <w:spacing w:val="-11"/>
          <w:sz w:val="24"/>
        </w:rPr>
        <w:t> </w:t>
      </w:r>
      <w:r>
        <w:rPr>
          <w:sz w:val="24"/>
        </w:rPr>
        <w:t>the</w:t>
      </w:r>
      <w:r>
        <w:rPr>
          <w:spacing w:val="-11"/>
          <w:sz w:val="24"/>
        </w:rPr>
        <w:t> </w:t>
      </w:r>
      <w:r>
        <w:rPr>
          <w:sz w:val="24"/>
        </w:rPr>
        <w:t>due</w:t>
      </w:r>
      <w:r>
        <w:rPr>
          <w:spacing w:val="-10"/>
          <w:sz w:val="24"/>
        </w:rPr>
        <w:t> </w:t>
      </w:r>
      <w:r>
        <w:rPr>
          <w:sz w:val="24"/>
        </w:rPr>
        <w:t>date.</w:t>
      </w:r>
      <w:r>
        <w:rPr>
          <w:spacing w:val="1"/>
          <w:sz w:val="24"/>
        </w:rPr>
        <w:t> </w:t>
      </w:r>
      <w:r>
        <w:rPr>
          <w:sz w:val="24"/>
        </w:rPr>
        <w:t>The NCA does not provide any extension of the time based on when the consumer discovered the act or omission. The Tribunal notes that the Applicant already lodged the complaint with the NCR in May 2021. However, the high court has confirmed that the Tribunal has no power or discretion to interrupt or extend the time</w:t>
      </w:r>
      <w:r>
        <w:rPr>
          <w:spacing w:val="-12"/>
          <w:sz w:val="24"/>
        </w:rPr>
        <w:t> </w:t>
      </w:r>
      <w:r>
        <w:rPr>
          <w:sz w:val="24"/>
        </w:rPr>
        <w:t>bar.</w:t>
      </w:r>
      <w:r>
        <w:rPr>
          <w:position w:val="8"/>
          <w:sz w:val="16"/>
        </w:rPr>
        <w:t>2</w:t>
      </w:r>
    </w:p>
    <w:p>
      <w:pPr>
        <w:pStyle w:val="Heading1"/>
        <w:spacing w:before="234"/>
      </w:pPr>
      <w:r>
        <w:rPr/>
        <w:t>CONCLUSION</w:t>
      </w:r>
    </w:p>
    <w:p>
      <w:pPr>
        <w:pStyle w:val="BodyText"/>
        <w:rPr>
          <w:b/>
          <w:sz w:val="33"/>
        </w:rPr>
      </w:pPr>
    </w:p>
    <w:p>
      <w:pPr>
        <w:pStyle w:val="ListParagraph"/>
        <w:numPr>
          <w:ilvl w:val="0"/>
          <w:numId w:val="1"/>
        </w:numPr>
        <w:tabs>
          <w:tab w:pos="703" w:val="left" w:leader="none"/>
        </w:tabs>
        <w:spacing w:line="360" w:lineRule="auto" w:before="0" w:after="0"/>
        <w:ind w:left="702" w:right="142" w:hanging="563"/>
        <w:jc w:val="both"/>
        <w:rPr>
          <w:sz w:val="24"/>
        </w:rPr>
      </w:pPr>
      <w:r>
        <w:rPr>
          <w:sz w:val="24"/>
        </w:rPr>
        <w:t>The Tribunal finds no evidence to support the allegation of reckless lending. Further, the complaint is time-barred from being considered by the</w:t>
      </w:r>
      <w:r>
        <w:rPr>
          <w:spacing w:val="-7"/>
          <w:sz w:val="24"/>
        </w:rPr>
        <w:t> </w:t>
      </w:r>
      <w:r>
        <w:rPr>
          <w:sz w:val="24"/>
        </w:rPr>
        <w:t>Tribunal.</w:t>
      </w:r>
    </w:p>
    <w:p>
      <w:pPr>
        <w:pStyle w:val="BodyText"/>
        <w:rPr>
          <w:sz w:val="20"/>
        </w:rPr>
      </w:pPr>
    </w:p>
    <w:p>
      <w:pPr>
        <w:pStyle w:val="BodyText"/>
        <w:rPr>
          <w:sz w:val="20"/>
        </w:rPr>
      </w:pPr>
    </w:p>
    <w:p>
      <w:pPr>
        <w:pStyle w:val="BodyText"/>
        <w:rPr>
          <w:sz w:val="20"/>
        </w:rPr>
      </w:pPr>
    </w:p>
    <w:p>
      <w:pPr>
        <w:pStyle w:val="BodyText"/>
        <w:spacing w:before="10"/>
        <w:rPr>
          <w:sz w:val="19"/>
        </w:rPr>
      </w:pPr>
      <w:r>
        <w:rPr/>
        <w:pict>
          <v:shape style="position:absolute;margin-left:54pt;margin-top:13.775278pt;width:144.050pt;height:.1pt;mso-position-horizontal-relative:page;mso-position-vertical-relative:paragraph;z-index:-251655168;mso-wrap-distance-left:0;mso-wrap-distance-right:0" coordorigin="1080,276" coordsize="2881,0" path="m1080,276l3961,276e" filled="false" stroked="true" strokeweight=".72003pt" strokecolor="#000000">
            <v:path arrowok="t"/>
            <v:stroke dashstyle="solid"/>
            <w10:wrap type="topAndBottom"/>
          </v:shape>
        </w:pict>
      </w:r>
    </w:p>
    <w:p>
      <w:pPr>
        <w:spacing w:before="69"/>
        <w:ind w:left="140" w:right="937" w:firstLine="0"/>
        <w:jc w:val="left"/>
        <w:rPr>
          <w:rFonts w:ascii="Calibri" w:hAnsi="Calibri"/>
          <w:i/>
          <w:sz w:val="20"/>
        </w:rPr>
      </w:pPr>
      <w:r>
        <w:rPr>
          <w:rFonts w:ascii="Calibri" w:hAnsi="Calibri"/>
          <w:position w:val="7"/>
          <w:sz w:val="13"/>
        </w:rPr>
        <w:t>1 </w:t>
      </w:r>
      <w:r>
        <w:rPr>
          <w:rFonts w:ascii="Calibri" w:hAnsi="Calibri"/>
          <w:b/>
          <w:i/>
          <w:sz w:val="20"/>
        </w:rPr>
        <w:t>166. Limitations of bringing action.</w:t>
      </w:r>
      <w:r>
        <w:rPr>
          <w:rFonts w:ascii="Calibri" w:hAnsi="Calibri"/>
          <w:i/>
          <w:sz w:val="20"/>
        </w:rPr>
        <w:t>— (1) A complaint in terms of this Act may not be referred or made to the </w:t>
      </w:r>
      <w:r>
        <w:rPr>
          <w:rFonts w:ascii="Calibri" w:hAnsi="Calibri"/>
          <w:i/>
          <w:sz w:val="20"/>
        </w:rPr>
        <w:t>Tribunal or to a consumer court more than three years after—</w:t>
      </w:r>
    </w:p>
    <w:p>
      <w:pPr>
        <w:pStyle w:val="ListParagraph"/>
        <w:numPr>
          <w:ilvl w:val="0"/>
          <w:numId w:val="2"/>
        </w:numPr>
        <w:tabs>
          <w:tab w:pos="409" w:val="left" w:leader="none"/>
        </w:tabs>
        <w:spacing w:line="243" w:lineRule="exact" w:before="0" w:after="0"/>
        <w:ind w:left="408" w:right="0" w:hanging="269"/>
        <w:jc w:val="left"/>
        <w:rPr>
          <w:rFonts w:ascii="Calibri" w:hAnsi="Calibri"/>
          <w:i/>
          <w:sz w:val="20"/>
        </w:rPr>
      </w:pPr>
      <w:r>
        <w:rPr>
          <w:rFonts w:ascii="Calibri" w:hAnsi="Calibri"/>
          <w:i/>
          <w:sz w:val="20"/>
        </w:rPr>
        <w:t>the act or omission that is the cause of the complaint;</w:t>
      </w:r>
      <w:r>
        <w:rPr>
          <w:rFonts w:ascii="Calibri" w:hAnsi="Calibri"/>
          <w:i/>
          <w:spacing w:val="-4"/>
          <w:sz w:val="20"/>
        </w:rPr>
        <w:t> </w:t>
      </w:r>
      <w:r>
        <w:rPr>
          <w:rFonts w:ascii="Calibri" w:hAnsi="Calibri"/>
          <w:i/>
          <w:sz w:val="20"/>
        </w:rPr>
        <w:t>or</w:t>
      </w:r>
    </w:p>
    <w:p>
      <w:pPr>
        <w:pStyle w:val="ListParagraph"/>
        <w:numPr>
          <w:ilvl w:val="0"/>
          <w:numId w:val="2"/>
        </w:numPr>
        <w:tabs>
          <w:tab w:pos="409" w:val="left" w:leader="none"/>
        </w:tabs>
        <w:spacing w:line="240" w:lineRule="auto" w:before="1" w:after="0"/>
        <w:ind w:left="408" w:right="0" w:hanging="269"/>
        <w:jc w:val="left"/>
        <w:rPr>
          <w:rFonts w:ascii="Calibri"/>
          <w:i/>
          <w:sz w:val="20"/>
        </w:rPr>
      </w:pPr>
      <w:r>
        <w:rPr>
          <w:rFonts w:ascii="Calibri"/>
          <w:i/>
          <w:sz w:val="20"/>
        </w:rPr>
        <w:t>in the case of a course of conduct or continuing practice, the date that the conduct or practice</w:t>
      </w:r>
      <w:r>
        <w:rPr>
          <w:rFonts w:ascii="Calibri"/>
          <w:i/>
          <w:spacing w:val="-25"/>
          <w:sz w:val="20"/>
        </w:rPr>
        <w:t> </w:t>
      </w:r>
      <w:r>
        <w:rPr>
          <w:rFonts w:ascii="Calibri"/>
          <w:i/>
          <w:sz w:val="20"/>
        </w:rPr>
        <w:t>ceased.</w:t>
      </w:r>
    </w:p>
    <w:p>
      <w:pPr>
        <w:pStyle w:val="BodyText"/>
        <w:spacing w:before="7"/>
        <w:rPr>
          <w:rFonts w:ascii="Calibri"/>
          <w:i/>
          <w:sz w:val="19"/>
        </w:rPr>
      </w:pPr>
    </w:p>
    <w:p>
      <w:pPr>
        <w:spacing w:before="0"/>
        <w:ind w:left="140" w:right="992" w:firstLine="0"/>
        <w:jc w:val="left"/>
        <w:rPr>
          <w:rFonts w:ascii="Calibri"/>
          <w:i/>
          <w:sz w:val="20"/>
        </w:rPr>
      </w:pPr>
      <w:r>
        <w:rPr>
          <w:rFonts w:ascii="Calibri"/>
          <w:position w:val="7"/>
          <w:sz w:val="13"/>
        </w:rPr>
        <w:t>2 </w:t>
      </w:r>
      <w:r>
        <w:rPr>
          <w:rFonts w:ascii="Calibri"/>
          <w:i/>
          <w:sz w:val="20"/>
        </w:rPr>
        <w:t>First Rand Bank Ltd v Ludick A 277/2019 High Court of South Africa, Gauteng Division, Pretoria, 18 June 2020 </w:t>
      </w:r>
      <w:r>
        <w:rPr>
          <w:rFonts w:ascii="Calibri"/>
          <w:i/>
          <w:sz w:val="20"/>
        </w:rPr>
        <w:t>(unreported) at para [16].</w:t>
      </w:r>
    </w:p>
    <w:p>
      <w:pPr>
        <w:spacing w:after="0"/>
        <w:jc w:val="left"/>
        <w:rPr>
          <w:rFonts w:ascii="Calibri"/>
          <w:sz w:val="20"/>
        </w:rPr>
        <w:sectPr>
          <w:pgSz w:w="11910" w:h="16840"/>
          <w:pgMar w:header="554" w:footer="274" w:top="1300" w:bottom="460" w:left="940" w:right="940"/>
        </w:sectPr>
      </w:pPr>
    </w:p>
    <w:p>
      <w:pPr>
        <w:pStyle w:val="BodyText"/>
        <w:rPr>
          <w:rFonts w:ascii="Calibri"/>
          <w:i/>
          <w:sz w:val="20"/>
        </w:rPr>
      </w:pPr>
    </w:p>
    <w:p>
      <w:pPr>
        <w:pStyle w:val="BodyText"/>
        <w:spacing w:before="7"/>
        <w:rPr>
          <w:rFonts w:ascii="Calibri"/>
          <w:i/>
          <w:sz w:val="18"/>
        </w:rPr>
      </w:pPr>
    </w:p>
    <w:p>
      <w:pPr>
        <w:pStyle w:val="Heading1"/>
        <w:spacing w:before="92"/>
      </w:pPr>
      <w:r>
        <w:rPr/>
        <w:t>ORDER</w:t>
      </w:r>
    </w:p>
    <w:p>
      <w:pPr>
        <w:pStyle w:val="BodyText"/>
        <w:rPr>
          <w:b/>
          <w:sz w:val="33"/>
        </w:rPr>
      </w:pPr>
    </w:p>
    <w:p>
      <w:pPr>
        <w:pStyle w:val="ListParagraph"/>
        <w:numPr>
          <w:ilvl w:val="0"/>
          <w:numId w:val="1"/>
        </w:numPr>
        <w:tabs>
          <w:tab w:pos="701" w:val="left" w:leader="none"/>
          <w:tab w:pos="703" w:val="left" w:leader="none"/>
        </w:tabs>
        <w:spacing w:line="240" w:lineRule="auto" w:before="0" w:after="0"/>
        <w:ind w:left="702" w:right="0" w:hanging="563"/>
        <w:jc w:val="left"/>
        <w:rPr>
          <w:sz w:val="24"/>
        </w:rPr>
      </w:pPr>
      <w:r>
        <w:rPr>
          <w:sz w:val="24"/>
        </w:rPr>
        <w:t>Accordingly, the Tribunal makes the following order</w:t>
      </w:r>
      <w:r>
        <w:rPr>
          <w:spacing w:val="-5"/>
          <w:sz w:val="24"/>
        </w:rPr>
        <w:t> </w:t>
      </w:r>
      <w:r>
        <w:rPr>
          <w:sz w:val="24"/>
        </w:rPr>
        <w:t>–</w:t>
      </w:r>
    </w:p>
    <w:p>
      <w:pPr>
        <w:pStyle w:val="BodyText"/>
        <w:spacing w:before="9"/>
        <w:rPr>
          <w:sz w:val="32"/>
        </w:rPr>
      </w:pPr>
    </w:p>
    <w:p>
      <w:pPr>
        <w:pStyle w:val="ListParagraph"/>
        <w:numPr>
          <w:ilvl w:val="1"/>
          <w:numId w:val="3"/>
        </w:numPr>
        <w:tabs>
          <w:tab w:pos="1274" w:val="left" w:leader="none"/>
        </w:tabs>
        <w:spacing w:line="240" w:lineRule="auto" w:before="0" w:after="0"/>
        <w:ind w:left="1273" w:right="0" w:hanging="568"/>
        <w:jc w:val="left"/>
        <w:rPr>
          <w:sz w:val="24"/>
        </w:rPr>
      </w:pPr>
      <w:r>
        <w:rPr>
          <w:sz w:val="24"/>
        </w:rPr>
        <w:t>The</w:t>
      </w:r>
      <w:r>
        <w:rPr>
          <w:spacing w:val="-6"/>
          <w:sz w:val="24"/>
        </w:rPr>
        <w:t> </w:t>
      </w:r>
      <w:r>
        <w:rPr>
          <w:sz w:val="24"/>
        </w:rPr>
        <w:t>application</w:t>
      </w:r>
      <w:r>
        <w:rPr>
          <w:spacing w:val="-3"/>
          <w:sz w:val="24"/>
        </w:rPr>
        <w:t> </w:t>
      </w:r>
      <w:r>
        <w:rPr>
          <w:sz w:val="24"/>
        </w:rPr>
        <w:t>for</w:t>
      </w:r>
      <w:r>
        <w:rPr>
          <w:spacing w:val="-7"/>
          <w:sz w:val="24"/>
        </w:rPr>
        <w:t> </w:t>
      </w:r>
      <w:r>
        <w:rPr>
          <w:sz w:val="24"/>
        </w:rPr>
        <w:t>leave</w:t>
      </w:r>
      <w:r>
        <w:rPr>
          <w:spacing w:val="-3"/>
          <w:sz w:val="24"/>
        </w:rPr>
        <w:t> </w:t>
      </w:r>
      <w:r>
        <w:rPr>
          <w:sz w:val="24"/>
        </w:rPr>
        <w:t>to</w:t>
      </w:r>
      <w:r>
        <w:rPr>
          <w:spacing w:val="-4"/>
          <w:sz w:val="24"/>
        </w:rPr>
        <w:t> </w:t>
      </w:r>
      <w:r>
        <w:rPr>
          <w:sz w:val="24"/>
        </w:rPr>
        <w:t>refer</w:t>
      </w:r>
      <w:r>
        <w:rPr>
          <w:spacing w:val="-4"/>
          <w:sz w:val="24"/>
        </w:rPr>
        <w:t> </w:t>
      </w:r>
      <w:r>
        <w:rPr>
          <w:sz w:val="24"/>
        </w:rPr>
        <w:t>the</w:t>
      </w:r>
      <w:r>
        <w:rPr>
          <w:spacing w:val="-6"/>
          <w:sz w:val="24"/>
        </w:rPr>
        <w:t> </w:t>
      </w:r>
      <w:r>
        <w:rPr>
          <w:sz w:val="24"/>
        </w:rPr>
        <w:t>matter</w:t>
      </w:r>
      <w:r>
        <w:rPr>
          <w:spacing w:val="-4"/>
          <w:sz w:val="24"/>
        </w:rPr>
        <w:t> </w:t>
      </w:r>
      <w:r>
        <w:rPr>
          <w:sz w:val="24"/>
        </w:rPr>
        <w:t>directly</w:t>
      </w:r>
      <w:r>
        <w:rPr>
          <w:spacing w:val="-4"/>
          <w:sz w:val="24"/>
        </w:rPr>
        <w:t> </w:t>
      </w:r>
      <w:r>
        <w:rPr>
          <w:sz w:val="24"/>
        </w:rPr>
        <w:t>to</w:t>
      </w:r>
      <w:r>
        <w:rPr>
          <w:spacing w:val="-4"/>
          <w:sz w:val="24"/>
        </w:rPr>
        <w:t> </w:t>
      </w:r>
      <w:r>
        <w:rPr>
          <w:sz w:val="24"/>
        </w:rPr>
        <w:t>the</w:t>
      </w:r>
      <w:r>
        <w:rPr>
          <w:spacing w:val="-2"/>
          <w:sz w:val="24"/>
        </w:rPr>
        <w:t> </w:t>
      </w:r>
      <w:r>
        <w:rPr>
          <w:sz w:val="24"/>
        </w:rPr>
        <w:t>Tribunal</w:t>
      </w:r>
      <w:r>
        <w:rPr>
          <w:spacing w:val="-5"/>
          <w:sz w:val="24"/>
        </w:rPr>
        <w:t> </w:t>
      </w:r>
      <w:r>
        <w:rPr>
          <w:sz w:val="24"/>
        </w:rPr>
        <w:t>is</w:t>
      </w:r>
      <w:r>
        <w:rPr>
          <w:spacing w:val="-5"/>
          <w:sz w:val="24"/>
        </w:rPr>
        <w:t> </w:t>
      </w:r>
      <w:r>
        <w:rPr>
          <w:sz w:val="24"/>
        </w:rPr>
        <w:t>refused;</w:t>
      </w:r>
      <w:r>
        <w:rPr>
          <w:spacing w:val="-6"/>
          <w:sz w:val="24"/>
        </w:rPr>
        <w:t> </w:t>
      </w:r>
      <w:r>
        <w:rPr>
          <w:sz w:val="24"/>
        </w:rPr>
        <w:t>and</w:t>
      </w:r>
    </w:p>
    <w:p>
      <w:pPr>
        <w:pStyle w:val="BodyText"/>
        <w:spacing w:before="11"/>
        <w:rPr>
          <w:sz w:val="32"/>
        </w:rPr>
      </w:pPr>
    </w:p>
    <w:p>
      <w:pPr>
        <w:pStyle w:val="ListParagraph"/>
        <w:numPr>
          <w:ilvl w:val="1"/>
          <w:numId w:val="3"/>
        </w:numPr>
        <w:tabs>
          <w:tab w:pos="1274" w:val="left" w:leader="none"/>
        </w:tabs>
        <w:spacing w:line="240" w:lineRule="auto" w:before="0" w:after="0"/>
        <w:ind w:left="1273" w:right="0" w:hanging="568"/>
        <w:jc w:val="left"/>
        <w:rPr>
          <w:sz w:val="24"/>
        </w:rPr>
      </w:pPr>
      <w:r>
        <w:rPr>
          <w:sz w:val="24"/>
        </w:rPr>
        <w:t>There is no order as to</w:t>
      </w:r>
      <w:r>
        <w:rPr>
          <w:spacing w:val="-3"/>
          <w:sz w:val="24"/>
        </w:rPr>
        <w:t> </w:t>
      </w:r>
      <w:r>
        <w:rPr>
          <w:sz w:val="24"/>
        </w:rPr>
        <w:t>costs.</w:t>
      </w:r>
    </w:p>
    <w:p>
      <w:pPr>
        <w:pStyle w:val="BodyText"/>
        <w:spacing w:before="4"/>
        <w:rPr>
          <w:sz w:val="32"/>
        </w:rPr>
      </w:pPr>
    </w:p>
    <w:p>
      <w:pPr>
        <w:pStyle w:val="BodyText"/>
        <w:ind w:left="140"/>
      </w:pPr>
      <w:r>
        <w:rPr/>
        <w:t>THUS DONE IN PRETORIA ON THE 12</w:t>
      </w:r>
      <w:r>
        <w:rPr>
          <w:position w:val="8"/>
          <w:sz w:val="16"/>
        </w:rPr>
        <w:t>TH </w:t>
      </w:r>
      <w:r>
        <w:rPr/>
        <w:t>DAY OF SEPTEMBER 2022</w:t>
      </w:r>
    </w:p>
    <w:p>
      <w:pPr>
        <w:pStyle w:val="BodyText"/>
        <w:rPr>
          <w:sz w:val="28"/>
        </w:rPr>
      </w:pPr>
    </w:p>
    <w:p>
      <w:pPr>
        <w:pStyle w:val="BodyText"/>
        <w:spacing w:before="9"/>
        <w:rPr>
          <w:sz w:val="37"/>
        </w:rPr>
      </w:pPr>
    </w:p>
    <w:p>
      <w:pPr>
        <w:pStyle w:val="BodyText"/>
        <w:ind w:left="140"/>
      </w:pPr>
      <w:r>
        <w:rPr/>
        <w:t>[signed]</w:t>
      </w:r>
    </w:p>
    <w:p>
      <w:pPr>
        <w:pStyle w:val="BodyText"/>
        <w:rPr>
          <w:sz w:val="33"/>
        </w:rPr>
      </w:pPr>
    </w:p>
    <w:p>
      <w:pPr>
        <w:pStyle w:val="Heading1"/>
        <w:spacing w:line="275" w:lineRule="exact"/>
      </w:pPr>
      <w:r>
        <w:rPr/>
        <w:t>Adv J Simpson</w:t>
      </w:r>
    </w:p>
    <w:p>
      <w:pPr>
        <w:spacing w:line="275" w:lineRule="exact" w:before="0"/>
        <w:ind w:left="140" w:right="0" w:firstLine="0"/>
        <w:jc w:val="left"/>
        <w:rPr>
          <w:b/>
          <w:sz w:val="24"/>
        </w:rPr>
      </w:pPr>
      <w:r>
        <w:rPr>
          <w:b/>
          <w:sz w:val="24"/>
        </w:rPr>
        <w:t>Presiding Tribunal Member</w:t>
      </w:r>
    </w:p>
    <w:p>
      <w:pPr>
        <w:pStyle w:val="BodyText"/>
        <w:rPr>
          <w:b/>
          <w:sz w:val="26"/>
        </w:rPr>
      </w:pPr>
    </w:p>
    <w:p>
      <w:pPr>
        <w:pStyle w:val="BodyText"/>
        <w:rPr>
          <w:b/>
          <w:sz w:val="26"/>
        </w:rPr>
      </w:pPr>
    </w:p>
    <w:p>
      <w:pPr>
        <w:pStyle w:val="BodyText"/>
        <w:rPr>
          <w:b/>
          <w:sz w:val="26"/>
        </w:rPr>
      </w:pPr>
    </w:p>
    <w:p>
      <w:pPr>
        <w:pStyle w:val="BodyText"/>
        <w:spacing w:before="171"/>
        <w:ind w:left="140"/>
      </w:pPr>
      <w:r>
        <w:rPr/>
        <w:t>Prof K Moodaliyar (Tribunal Member) and Mr S Mbele (Tribunal Member) concurring</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0"/>
        </w:rPr>
      </w:pPr>
      <w:r>
        <w:rPr/>
        <w:drawing>
          <wp:anchor distT="0" distB="0" distL="0" distR="0" allowOverlap="1" layoutInCell="1" locked="0" behindDoc="0" simplePos="0" relativeHeight="4">
            <wp:simplePos x="0" y="0"/>
            <wp:positionH relativeFrom="page">
              <wp:posOffset>753169</wp:posOffset>
            </wp:positionH>
            <wp:positionV relativeFrom="paragraph">
              <wp:posOffset>101940</wp:posOffset>
            </wp:positionV>
            <wp:extent cx="2967214" cy="1533906"/>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2967214" cy="1533906"/>
                    </a:xfrm>
                    <a:prstGeom prst="rect">
                      <a:avLst/>
                    </a:prstGeom>
                  </pic:spPr>
                </pic:pic>
              </a:graphicData>
            </a:graphic>
          </wp:anchor>
        </w:drawing>
      </w:r>
    </w:p>
    <w:sectPr>
      <w:pgSz w:w="11910" w:h="16840"/>
      <w:pgMar w:header="554" w:footer="274" w:top="1300" w:bottom="46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2.619995pt;margin-top:820.356079pt;width:39.75pt;height:12.35pt;mso-position-horizontal-relative:page;mso-position-vertical-relative:page;z-index:-251859968" type="#_x0000_t202" filled="false" stroked="false">
          <v:textbox inset="0,0,0,0">
            <w:txbxContent>
              <w:p>
                <w:pPr>
                  <w:spacing w:before="19"/>
                  <w:ind w:left="20" w:right="0" w:firstLine="0"/>
                  <w:jc w:val="left"/>
                  <w:rPr>
                    <w:rFonts w:ascii="Arial Narrow"/>
                    <w:sz w:val="18"/>
                  </w:rPr>
                </w:pPr>
                <w:r>
                  <w:rPr>
                    <w:rFonts w:ascii="Arial Narrow"/>
                    <w:sz w:val="18"/>
                  </w:rPr>
                  <w:t>Page </w:t>
                </w:r>
                <w:r>
                  <w:rPr/>
                  <w:fldChar w:fldCharType="begin"/>
                </w:r>
                <w:r>
                  <w:rPr>
                    <w:rFonts w:ascii="Arial Narrow"/>
                    <w:sz w:val="18"/>
                  </w:rPr>
                  <w:instrText> PAGE </w:instrText>
                </w:r>
                <w:r>
                  <w:rPr/>
                  <w:fldChar w:fldCharType="separate"/>
                </w:r>
                <w:r>
                  <w:rPr/>
                  <w:t>1</w:t>
                </w:r>
                <w:r>
                  <w:rPr/>
                  <w:fldChar w:fldCharType="end"/>
                </w:r>
                <w:r>
                  <w:rPr>
                    <w:rFonts w:ascii="Arial Narrow"/>
                    <w:sz w:val="18"/>
                  </w:rPr>
                  <w:t> of 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2.619995pt;margin-top:817.236084pt;width:39.75pt;height:12.35pt;mso-position-horizontal-relative:page;mso-position-vertical-relative:page;z-index:-251857920" type="#_x0000_t202" filled="false" stroked="false">
          <v:textbox inset="0,0,0,0">
            <w:txbxContent>
              <w:p>
                <w:pPr>
                  <w:spacing w:before="19"/>
                  <w:ind w:left="20" w:right="0" w:firstLine="0"/>
                  <w:jc w:val="left"/>
                  <w:rPr>
                    <w:rFonts w:ascii="Arial Narrow"/>
                    <w:b/>
                    <w:sz w:val="18"/>
                  </w:rPr>
                </w:pPr>
                <w:r>
                  <w:rPr>
                    <w:rFonts w:ascii="Arial Narrow"/>
                    <w:sz w:val="18"/>
                  </w:rPr>
                  <w:t>Page </w:t>
                </w:r>
                <w:r>
                  <w:rPr/>
                  <w:fldChar w:fldCharType="begin"/>
                </w:r>
                <w:r>
                  <w:rPr>
                    <w:rFonts w:ascii="Arial Narrow"/>
                    <w:b/>
                    <w:sz w:val="18"/>
                  </w:rPr>
                  <w:instrText> PAGE </w:instrText>
                </w:r>
                <w:r>
                  <w:rPr/>
                  <w:fldChar w:fldCharType="separate"/>
                </w:r>
                <w:r>
                  <w:rPr/>
                  <w:t>2</w:t>
                </w:r>
                <w:r>
                  <w:rPr/>
                  <w:fldChar w:fldCharType="end"/>
                </w:r>
                <w:r>
                  <w:rPr>
                    <w:rFonts w:ascii="Arial Narrow"/>
                    <w:b/>
                    <w:sz w:val="18"/>
                  </w:rPr>
                  <w:t> </w:t>
                </w:r>
                <w:r>
                  <w:rPr>
                    <w:rFonts w:ascii="Arial Narrow"/>
                    <w:sz w:val="18"/>
                  </w:rPr>
                  <w:t>of </w:t>
                </w:r>
                <w:r>
                  <w:rPr>
                    <w:rFonts w:ascii="Arial Narrow"/>
                    <w:b/>
                    <w:sz w:val="18"/>
                  </w:rPr>
                  <w:t>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9.730011pt;margin-top:26.703459pt;width:232.55pt;height:39.65pt;mso-position-horizontal-relative:page;mso-position-vertical-relative:page;z-index:-251858944" type="#_x0000_t202" filled="false" stroked="false">
          <v:textbox inset="0,0,0,0">
            <w:txbxContent>
              <w:p>
                <w:pPr>
                  <w:spacing w:line="276" w:lineRule="auto" w:before="12"/>
                  <w:ind w:left="20" w:right="18" w:firstLine="1346"/>
                  <w:jc w:val="right"/>
                  <w:rPr>
                    <w:sz w:val="20"/>
                  </w:rPr>
                </w:pPr>
                <w:r>
                  <w:rPr>
                    <w:sz w:val="20"/>
                  </w:rPr>
                  <w:t>Leave to refer judgment</w:t>
                </w:r>
                <w:r>
                  <w:rPr>
                    <w:spacing w:val="-11"/>
                    <w:sz w:val="20"/>
                  </w:rPr>
                  <w:t> </w:t>
                </w:r>
                <w:r>
                  <w:rPr>
                    <w:sz w:val="20"/>
                  </w:rPr>
                  <w:t>and</w:t>
                </w:r>
                <w:r>
                  <w:rPr>
                    <w:spacing w:val="-3"/>
                    <w:sz w:val="20"/>
                  </w:rPr>
                  <w:t> </w:t>
                </w:r>
                <w:r>
                  <w:rPr>
                    <w:sz w:val="20"/>
                  </w:rPr>
                  <w:t>reasons</w:t>
                </w:r>
                <w:r>
                  <w:rPr>
                    <w:w w:val="99"/>
                    <w:sz w:val="20"/>
                  </w:rPr>
                  <w:t> </w:t>
                </w:r>
                <w:r>
                  <w:rPr>
                    <w:sz w:val="20"/>
                  </w:rPr>
                  <w:t>R Herbert v Woolworths Financial Services (Pty)</w:t>
                </w:r>
                <w:r>
                  <w:rPr>
                    <w:spacing w:val="-18"/>
                    <w:sz w:val="20"/>
                  </w:rPr>
                  <w:t> </w:t>
                </w:r>
                <w:r>
                  <w:rPr>
                    <w:sz w:val="20"/>
                  </w:rPr>
                  <w:t>Ltd</w:t>
                </w:r>
              </w:p>
              <w:p>
                <w:pPr>
                  <w:spacing w:before="2"/>
                  <w:ind w:left="0" w:right="18" w:firstLine="0"/>
                  <w:jc w:val="right"/>
                  <w:rPr>
                    <w:sz w:val="20"/>
                  </w:rPr>
                </w:pPr>
                <w:r>
                  <w:rPr>
                    <w:spacing w:val="-1"/>
                    <w:sz w:val="20"/>
                  </w:rPr>
                  <w:t>NCT/225291/2022/141(1)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8"/>
      <w:numFmt w:val="decimal"/>
      <w:lvlText w:val="%1"/>
      <w:lvlJc w:val="left"/>
      <w:pPr>
        <w:ind w:left="1273" w:hanging="567"/>
        <w:jc w:val="left"/>
      </w:pPr>
      <w:rPr>
        <w:rFonts w:hint="default"/>
        <w:lang w:val="en-za" w:eastAsia="en-za" w:bidi="en-za"/>
      </w:rPr>
    </w:lvl>
    <w:lvl w:ilvl="1">
      <w:start w:val="1"/>
      <w:numFmt w:val="decimal"/>
      <w:lvlText w:val="%1.%2"/>
      <w:lvlJc w:val="left"/>
      <w:pPr>
        <w:ind w:left="1273" w:hanging="567"/>
        <w:jc w:val="left"/>
      </w:pPr>
      <w:rPr>
        <w:rFonts w:hint="default" w:ascii="Arial" w:hAnsi="Arial" w:eastAsia="Arial" w:cs="Arial"/>
        <w:w w:val="99"/>
        <w:sz w:val="24"/>
        <w:szCs w:val="24"/>
        <w:lang w:val="en-za" w:eastAsia="en-za" w:bidi="en-za"/>
      </w:rPr>
    </w:lvl>
    <w:lvl w:ilvl="2">
      <w:start w:val="0"/>
      <w:numFmt w:val="bullet"/>
      <w:lvlText w:val="•"/>
      <w:lvlJc w:val="left"/>
      <w:pPr>
        <w:ind w:left="3029" w:hanging="567"/>
      </w:pPr>
      <w:rPr>
        <w:rFonts w:hint="default"/>
        <w:lang w:val="en-za" w:eastAsia="en-za" w:bidi="en-za"/>
      </w:rPr>
    </w:lvl>
    <w:lvl w:ilvl="3">
      <w:start w:val="0"/>
      <w:numFmt w:val="bullet"/>
      <w:lvlText w:val="•"/>
      <w:lvlJc w:val="left"/>
      <w:pPr>
        <w:ind w:left="3903" w:hanging="567"/>
      </w:pPr>
      <w:rPr>
        <w:rFonts w:hint="default"/>
        <w:lang w:val="en-za" w:eastAsia="en-za" w:bidi="en-za"/>
      </w:rPr>
    </w:lvl>
    <w:lvl w:ilvl="4">
      <w:start w:val="0"/>
      <w:numFmt w:val="bullet"/>
      <w:lvlText w:val="•"/>
      <w:lvlJc w:val="left"/>
      <w:pPr>
        <w:ind w:left="4778" w:hanging="567"/>
      </w:pPr>
      <w:rPr>
        <w:rFonts w:hint="default"/>
        <w:lang w:val="en-za" w:eastAsia="en-za" w:bidi="en-za"/>
      </w:rPr>
    </w:lvl>
    <w:lvl w:ilvl="5">
      <w:start w:val="0"/>
      <w:numFmt w:val="bullet"/>
      <w:lvlText w:val="•"/>
      <w:lvlJc w:val="left"/>
      <w:pPr>
        <w:ind w:left="5653" w:hanging="567"/>
      </w:pPr>
      <w:rPr>
        <w:rFonts w:hint="default"/>
        <w:lang w:val="en-za" w:eastAsia="en-za" w:bidi="en-za"/>
      </w:rPr>
    </w:lvl>
    <w:lvl w:ilvl="6">
      <w:start w:val="0"/>
      <w:numFmt w:val="bullet"/>
      <w:lvlText w:val="•"/>
      <w:lvlJc w:val="left"/>
      <w:pPr>
        <w:ind w:left="6527" w:hanging="567"/>
      </w:pPr>
      <w:rPr>
        <w:rFonts w:hint="default"/>
        <w:lang w:val="en-za" w:eastAsia="en-za" w:bidi="en-za"/>
      </w:rPr>
    </w:lvl>
    <w:lvl w:ilvl="7">
      <w:start w:val="0"/>
      <w:numFmt w:val="bullet"/>
      <w:lvlText w:val="•"/>
      <w:lvlJc w:val="left"/>
      <w:pPr>
        <w:ind w:left="7402" w:hanging="567"/>
      </w:pPr>
      <w:rPr>
        <w:rFonts w:hint="default"/>
        <w:lang w:val="en-za" w:eastAsia="en-za" w:bidi="en-za"/>
      </w:rPr>
    </w:lvl>
    <w:lvl w:ilvl="8">
      <w:start w:val="0"/>
      <w:numFmt w:val="bullet"/>
      <w:lvlText w:val="•"/>
      <w:lvlJc w:val="left"/>
      <w:pPr>
        <w:ind w:left="8277" w:hanging="567"/>
      </w:pPr>
      <w:rPr>
        <w:rFonts w:hint="default"/>
        <w:lang w:val="en-za" w:eastAsia="en-za" w:bidi="en-za"/>
      </w:rPr>
    </w:lvl>
  </w:abstractNum>
  <w:abstractNum w:abstractNumId="1">
    <w:multiLevelType w:val="hybridMultilevel"/>
    <w:lvl w:ilvl="0">
      <w:start w:val="1"/>
      <w:numFmt w:val="lowerLetter"/>
      <w:lvlText w:val="(%1)"/>
      <w:lvlJc w:val="left"/>
      <w:pPr>
        <w:ind w:left="408" w:hanging="269"/>
        <w:jc w:val="left"/>
      </w:pPr>
      <w:rPr>
        <w:rFonts w:hint="default" w:ascii="Calibri" w:hAnsi="Calibri" w:eastAsia="Calibri" w:cs="Calibri"/>
        <w:i/>
        <w:spacing w:val="-1"/>
        <w:w w:val="99"/>
        <w:sz w:val="20"/>
        <w:szCs w:val="20"/>
        <w:lang w:val="en-za" w:eastAsia="en-za" w:bidi="en-za"/>
      </w:rPr>
    </w:lvl>
    <w:lvl w:ilvl="1">
      <w:start w:val="0"/>
      <w:numFmt w:val="bullet"/>
      <w:lvlText w:val="•"/>
      <w:lvlJc w:val="left"/>
      <w:pPr>
        <w:ind w:left="1362" w:hanging="269"/>
      </w:pPr>
      <w:rPr>
        <w:rFonts w:hint="default"/>
        <w:lang w:val="en-za" w:eastAsia="en-za" w:bidi="en-za"/>
      </w:rPr>
    </w:lvl>
    <w:lvl w:ilvl="2">
      <w:start w:val="0"/>
      <w:numFmt w:val="bullet"/>
      <w:lvlText w:val="•"/>
      <w:lvlJc w:val="left"/>
      <w:pPr>
        <w:ind w:left="2325" w:hanging="269"/>
      </w:pPr>
      <w:rPr>
        <w:rFonts w:hint="default"/>
        <w:lang w:val="en-za" w:eastAsia="en-za" w:bidi="en-za"/>
      </w:rPr>
    </w:lvl>
    <w:lvl w:ilvl="3">
      <w:start w:val="0"/>
      <w:numFmt w:val="bullet"/>
      <w:lvlText w:val="•"/>
      <w:lvlJc w:val="left"/>
      <w:pPr>
        <w:ind w:left="3287" w:hanging="269"/>
      </w:pPr>
      <w:rPr>
        <w:rFonts w:hint="default"/>
        <w:lang w:val="en-za" w:eastAsia="en-za" w:bidi="en-za"/>
      </w:rPr>
    </w:lvl>
    <w:lvl w:ilvl="4">
      <w:start w:val="0"/>
      <w:numFmt w:val="bullet"/>
      <w:lvlText w:val="•"/>
      <w:lvlJc w:val="left"/>
      <w:pPr>
        <w:ind w:left="4250" w:hanging="269"/>
      </w:pPr>
      <w:rPr>
        <w:rFonts w:hint="default"/>
        <w:lang w:val="en-za" w:eastAsia="en-za" w:bidi="en-za"/>
      </w:rPr>
    </w:lvl>
    <w:lvl w:ilvl="5">
      <w:start w:val="0"/>
      <w:numFmt w:val="bullet"/>
      <w:lvlText w:val="•"/>
      <w:lvlJc w:val="left"/>
      <w:pPr>
        <w:ind w:left="5213" w:hanging="269"/>
      </w:pPr>
      <w:rPr>
        <w:rFonts w:hint="default"/>
        <w:lang w:val="en-za" w:eastAsia="en-za" w:bidi="en-za"/>
      </w:rPr>
    </w:lvl>
    <w:lvl w:ilvl="6">
      <w:start w:val="0"/>
      <w:numFmt w:val="bullet"/>
      <w:lvlText w:val="•"/>
      <w:lvlJc w:val="left"/>
      <w:pPr>
        <w:ind w:left="6175" w:hanging="269"/>
      </w:pPr>
      <w:rPr>
        <w:rFonts w:hint="default"/>
        <w:lang w:val="en-za" w:eastAsia="en-za" w:bidi="en-za"/>
      </w:rPr>
    </w:lvl>
    <w:lvl w:ilvl="7">
      <w:start w:val="0"/>
      <w:numFmt w:val="bullet"/>
      <w:lvlText w:val="•"/>
      <w:lvlJc w:val="left"/>
      <w:pPr>
        <w:ind w:left="7138" w:hanging="269"/>
      </w:pPr>
      <w:rPr>
        <w:rFonts w:hint="default"/>
        <w:lang w:val="en-za" w:eastAsia="en-za" w:bidi="en-za"/>
      </w:rPr>
    </w:lvl>
    <w:lvl w:ilvl="8">
      <w:start w:val="0"/>
      <w:numFmt w:val="bullet"/>
      <w:lvlText w:val="•"/>
      <w:lvlJc w:val="left"/>
      <w:pPr>
        <w:ind w:left="8101" w:hanging="269"/>
      </w:pPr>
      <w:rPr>
        <w:rFonts w:hint="default"/>
        <w:lang w:val="en-za" w:eastAsia="en-za" w:bidi="en-za"/>
      </w:rPr>
    </w:lvl>
  </w:abstractNum>
  <w:abstractNum w:abstractNumId="0">
    <w:multiLevelType w:val="hybridMultilevel"/>
    <w:lvl w:ilvl="0">
      <w:start w:val="1"/>
      <w:numFmt w:val="decimal"/>
      <w:lvlText w:val="%1."/>
      <w:lvlJc w:val="left"/>
      <w:pPr>
        <w:ind w:left="706" w:hanging="567"/>
        <w:jc w:val="left"/>
      </w:pPr>
      <w:rPr>
        <w:rFonts w:hint="default"/>
        <w:spacing w:val="-4"/>
        <w:w w:val="99"/>
        <w:lang w:val="en-za" w:eastAsia="en-za" w:bidi="en-za"/>
      </w:rPr>
    </w:lvl>
    <w:lvl w:ilvl="1">
      <w:start w:val="1"/>
      <w:numFmt w:val="lowerLetter"/>
      <w:lvlText w:val="(%2)"/>
      <w:lvlJc w:val="left"/>
      <w:pPr>
        <w:ind w:left="1273" w:hanging="361"/>
        <w:jc w:val="left"/>
      </w:pPr>
      <w:rPr>
        <w:rFonts w:hint="default" w:ascii="Arial" w:hAnsi="Arial" w:eastAsia="Arial" w:cs="Arial"/>
        <w:i/>
        <w:spacing w:val="-4"/>
        <w:w w:val="99"/>
        <w:sz w:val="24"/>
        <w:szCs w:val="24"/>
        <w:lang w:val="en-za" w:eastAsia="en-za" w:bidi="en-za"/>
      </w:rPr>
    </w:lvl>
    <w:lvl w:ilvl="2">
      <w:start w:val="0"/>
      <w:numFmt w:val="bullet"/>
      <w:lvlText w:val="•"/>
      <w:lvlJc w:val="left"/>
      <w:pPr>
        <w:ind w:left="2251" w:hanging="361"/>
      </w:pPr>
      <w:rPr>
        <w:rFonts w:hint="default"/>
        <w:lang w:val="en-za" w:eastAsia="en-za" w:bidi="en-za"/>
      </w:rPr>
    </w:lvl>
    <w:lvl w:ilvl="3">
      <w:start w:val="0"/>
      <w:numFmt w:val="bullet"/>
      <w:lvlText w:val="•"/>
      <w:lvlJc w:val="left"/>
      <w:pPr>
        <w:ind w:left="3223" w:hanging="361"/>
      </w:pPr>
      <w:rPr>
        <w:rFonts w:hint="default"/>
        <w:lang w:val="en-za" w:eastAsia="en-za" w:bidi="en-za"/>
      </w:rPr>
    </w:lvl>
    <w:lvl w:ilvl="4">
      <w:start w:val="0"/>
      <w:numFmt w:val="bullet"/>
      <w:lvlText w:val="•"/>
      <w:lvlJc w:val="left"/>
      <w:pPr>
        <w:ind w:left="4195" w:hanging="361"/>
      </w:pPr>
      <w:rPr>
        <w:rFonts w:hint="default"/>
        <w:lang w:val="en-za" w:eastAsia="en-za" w:bidi="en-za"/>
      </w:rPr>
    </w:lvl>
    <w:lvl w:ilvl="5">
      <w:start w:val="0"/>
      <w:numFmt w:val="bullet"/>
      <w:lvlText w:val="•"/>
      <w:lvlJc w:val="left"/>
      <w:pPr>
        <w:ind w:left="5167" w:hanging="361"/>
      </w:pPr>
      <w:rPr>
        <w:rFonts w:hint="default"/>
        <w:lang w:val="en-za" w:eastAsia="en-za" w:bidi="en-za"/>
      </w:rPr>
    </w:lvl>
    <w:lvl w:ilvl="6">
      <w:start w:val="0"/>
      <w:numFmt w:val="bullet"/>
      <w:lvlText w:val="•"/>
      <w:lvlJc w:val="left"/>
      <w:pPr>
        <w:ind w:left="6139" w:hanging="361"/>
      </w:pPr>
      <w:rPr>
        <w:rFonts w:hint="default"/>
        <w:lang w:val="en-za" w:eastAsia="en-za" w:bidi="en-za"/>
      </w:rPr>
    </w:lvl>
    <w:lvl w:ilvl="7">
      <w:start w:val="0"/>
      <w:numFmt w:val="bullet"/>
      <w:lvlText w:val="•"/>
      <w:lvlJc w:val="left"/>
      <w:pPr>
        <w:ind w:left="7110" w:hanging="361"/>
      </w:pPr>
      <w:rPr>
        <w:rFonts w:hint="default"/>
        <w:lang w:val="en-za" w:eastAsia="en-za" w:bidi="en-za"/>
      </w:rPr>
    </w:lvl>
    <w:lvl w:ilvl="8">
      <w:start w:val="0"/>
      <w:numFmt w:val="bullet"/>
      <w:lvlText w:val="•"/>
      <w:lvlJc w:val="left"/>
      <w:pPr>
        <w:ind w:left="8082" w:hanging="361"/>
      </w:pPr>
      <w:rPr>
        <w:rFonts w:hint="default"/>
        <w:lang w:val="en-za" w:eastAsia="en-za" w:bidi="en-z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za" w:eastAsia="en-za" w:bidi="en-za"/>
    </w:rPr>
  </w:style>
  <w:style w:styleId="BodyText" w:type="paragraph">
    <w:name w:val="Body Text"/>
    <w:basedOn w:val="Normal"/>
    <w:uiPriority w:val="1"/>
    <w:qFormat/>
    <w:pPr/>
    <w:rPr>
      <w:rFonts w:ascii="Arial" w:hAnsi="Arial" w:eastAsia="Arial" w:cs="Arial"/>
      <w:sz w:val="24"/>
      <w:szCs w:val="24"/>
      <w:lang w:val="en-za" w:eastAsia="en-za" w:bidi="en-za"/>
    </w:rPr>
  </w:style>
  <w:style w:styleId="Heading1" w:type="paragraph">
    <w:name w:val="Heading 1"/>
    <w:basedOn w:val="Normal"/>
    <w:uiPriority w:val="1"/>
    <w:qFormat/>
    <w:pPr>
      <w:ind w:left="140"/>
      <w:outlineLvl w:val="1"/>
    </w:pPr>
    <w:rPr>
      <w:rFonts w:ascii="Arial" w:hAnsi="Arial" w:eastAsia="Arial" w:cs="Arial"/>
      <w:b/>
      <w:bCs/>
      <w:sz w:val="24"/>
      <w:szCs w:val="24"/>
      <w:lang w:val="en-za" w:eastAsia="en-za" w:bidi="en-za"/>
    </w:rPr>
  </w:style>
  <w:style w:styleId="ListParagraph" w:type="paragraph">
    <w:name w:val="List Paragraph"/>
    <w:basedOn w:val="Normal"/>
    <w:uiPriority w:val="1"/>
    <w:qFormat/>
    <w:pPr>
      <w:ind w:left="706" w:hanging="567"/>
      <w:jc w:val="both"/>
    </w:pPr>
    <w:rPr>
      <w:rFonts w:ascii="Arial" w:hAnsi="Arial" w:eastAsia="Arial" w:cs="Arial"/>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yperlink" Target="http://www.saflii.org/cgi-bin/LawCite?cit=%5b2021%5d%20ZASCA%2091" TargetMode="External"/><Relationship Id="rId9" Type="http://schemas.openxmlformats.org/officeDocument/2006/relationships/image" Target="media/image1.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dcterms:created xsi:type="dcterms:W3CDTF">2023-04-13T08:22:03Z</dcterms:created>
  <dcterms:modified xsi:type="dcterms:W3CDTF">2023-04-13T08:22:03Z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Microsoft® Word for Microsoft 365</vt:lpwstr>
  </property>
  <property fmtid="{D5CDD505-2E9C-101B-9397-08002B2CF9AE}" pid="4" name="LastSaved">
    <vt:filetime>2023-04-13T00:00:00Z</vt:filetime>
  </property>
</Properties>
</file>