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4C" w:rsidRDefault="00E66E58">
      <w:pPr>
        <w:pStyle w:val="Heading1"/>
        <w:spacing w:before="79" w:line="360" w:lineRule="auto"/>
        <w:ind w:left="3927" w:right="2568" w:hanging="624"/>
      </w:pPr>
      <w:bookmarkStart w:id="0" w:name="_GoBack"/>
      <w:bookmarkEnd w:id="0"/>
      <w:r>
        <w:t>IN THE NATIONAL CONSUMER TRIBUNAL HELD IN CENTURION</w:t>
      </w:r>
    </w:p>
    <w:p w:rsidR="0095654C" w:rsidRDefault="0095654C">
      <w:pPr>
        <w:pStyle w:val="BodyText"/>
        <w:spacing w:before="3"/>
        <w:rPr>
          <w:b/>
          <w:sz w:val="27"/>
        </w:rPr>
      </w:pPr>
    </w:p>
    <w:p w:rsidR="0095654C" w:rsidRDefault="00E66E58">
      <w:pPr>
        <w:pStyle w:val="BodyText"/>
        <w:spacing w:before="100"/>
        <w:ind w:left="6066"/>
      </w:pPr>
      <w:r>
        <w:t>Case Number: NCT/184423/2021/73(2)(b)</w:t>
      </w:r>
    </w:p>
    <w:p w:rsidR="0095654C" w:rsidRDefault="00E66E58">
      <w:pPr>
        <w:pStyle w:val="BodyText"/>
        <w:spacing w:before="137"/>
        <w:ind w:left="112"/>
      </w:pPr>
      <w:r>
        <w:t>In the matter between:</w:t>
      </w:r>
    </w:p>
    <w:p w:rsidR="0095654C" w:rsidRDefault="0095654C">
      <w:pPr>
        <w:pStyle w:val="BodyText"/>
        <w:rPr>
          <w:sz w:val="20"/>
        </w:rPr>
      </w:pPr>
    </w:p>
    <w:p w:rsidR="0095654C" w:rsidRDefault="0095654C">
      <w:pPr>
        <w:pStyle w:val="BodyText"/>
        <w:spacing w:before="3"/>
        <w:rPr>
          <w:sz w:val="19"/>
        </w:rPr>
      </w:pPr>
    </w:p>
    <w:p w:rsidR="0095654C" w:rsidRDefault="00E66E58">
      <w:pPr>
        <w:pStyle w:val="Heading1"/>
        <w:tabs>
          <w:tab w:val="left" w:pos="8034"/>
        </w:tabs>
        <w:spacing w:before="100" w:line="722" w:lineRule="auto"/>
        <w:ind w:right="704"/>
      </w:pPr>
      <w:r>
        <w:t>NATIONAL</w:t>
      </w:r>
      <w:r>
        <w:rPr>
          <w:spacing w:val="-2"/>
        </w:rPr>
        <w:t xml:space="preserve"> </w:t>
      </w:r>
      <w:r>
        <w:t>CONSUMER</w:t>
      </w:r>
      <w:r>
        <w:rPr>
          <w:spacing w:val="-1"/>
        </w:rPr>
        <w:t xml:space="preserve"> </w:t>
      </w:r>
      <w:r>
        <w:t>COMMISSION</w:t>
      </w:r>
      <w:r>
        <w:tab/>
      </w:r>
      <w:r>
        <w:rPr>
          <w:spacing w:val="-3"/>
        </w:rPr>
        <w:t xml:space="preserve">APPLICANT </w:t>
      </w:r>
      <w:r>
        <w:t>AND</w:t>
      </w:r>
    </w:p>
    <w:p w:rsidR="0095654C" w:rsidRDefault="00E66E58">
      <w:pPr>
        <w:tabs>
          <w:tab w:val="left" w:pos="8034"/>
        </w:tabs>
        <w:spacing w:line="271" w:lineRule="exact"/>
        <w:ind w:left="112"/>
        <w:rPr>
          <w:b/>
          <w:sz w:val="24"/>
        </w:rPr>
      </w:pPr>
      <w:r>
        <w:rPr>
          <w:b/>
          <w:sz w:val="24"/>
        </w:rPr>
        <w:t>TURNSTONE TRADING 52 (PTY) LTD T/A COUNTRY WIDE</w:t>
      </w:r>
      <w:r>
        <w:rPr>
          <w:b/>
          <w:spacing w:val="-10"/>
          <w:sz w:val="24"/>
        </w:rPr>
        <w:t xml:space="preserve"> </w:t>
      </w:r>
      <w:r>
        <w:rPr>
          <w:b/>
          <w:sz w:val="24"/>
        </w:rPr>
        <w:t>TRUCK</w:t>
      </w:r>
      <w:r>
        <w:rPr>
          <w:b/>
          <w:spacing w:val="-1"/>
          <w:sz w:val="24"/>
        </w:rPr>
        <w:t xml:space="preserve"> </w:t>
      </w:r>
      <w:r>
        <w:rPr>
          <w:b/>
          <w:sz w:val="24"/>
        </w:rPr>
        <w:t>SALES</w:t>
      </w:r>
      <w:r>
        <w:rPr>
          <w:b/>
          <w:sz w:val="24"/>
        </w:rPr>
        <w:tab/>
        <w:t>RESPONDENT</w:t>
      </w:r>
    </w:p>
    <w:p w:rsidR="0095654C" w:rsidRDefault="0095654C">
      <w:pPr>
        <w:pStyle w:val="BodyText"/>
        <w:rPr>
          <w:b/>
          <w:sz w:val="28"/>
        </w:rPr>
      </w:pPr>
    </w:p>
    <w:p w:rsidR="0095654C" w:rsidRDefault="00E66E58">
      <w:pPr>
        <w:spacing w:before="229"/>
        <w:ind w:left="112"/>
        <w:rPr>
          <w:i/>
          <w:sz w:val="24"/>
        </w:rPr>
      </w:pPr>
      <w:r>
        <w:rPr>
          <w:i/>
          <w:sz w:val="24"/>
          <w:u w:val="single"/>
        </w:rPr>
        <w:t>Coram:</w:t>
      </w:r>
    </w:p>
    <w:p w:rsidR="0095654C" w:rsidRDefault="00E66E58">
      <w:pPr>
        <w:pStyle w:val="BodyText"/>
        <w:tabs>
          <w:tab w:val="left" w:pos="2273"/>
          <w:tab w:val="left" w:pos="2993"/>
        </w:tabs>
        <w:spacing w:before="138"/>
        <w:ind w:left="112"/>
      </w:pPr>
      <w:r>
        <w:t>Mr</w:t>
      </w:r>
      <w:r>
        <w:rPr>
          <w:spacing w:val="-1"/>
        </w:rPr>
        <w:t xml:space="preserve"> </w:t>
      </w:r>
      <w:r>
        <w:t>F</w:t>
      </w:r>
      <w:r>
        <w:rPr>
          <w:spacing w:val="-1"/>
        </w:rPr>
        <w:t xml:space="preserve"> </w:t>
      </w:r>
      <w:r>
        <w:t>Sibanda</w:t>
      </w:r>
      <w:r>
        <w:tab/>
        <w:t>-</w:t>
      </w:r>
      <w:r>
        <w:tab/>
      </w:r>
      <w:r>
        <w:t>Presiding</w:t>
      </w:r>
      <w:r>
        <w:rPr>
          <w:spacing w:val="1"/>
        </w:rPr>
        <w:t xml:space="preserve"> </w:t>
      </w:r>
      <w:r>
        <w:t>Member</w:t>
      </w:r>
    </w:p>
    <w:p w:rsidR="0095654C" w:rsidRDefault="00E66E58">
      <w:pPr>
        <w:pStyle w:val="BodyText"/>
        <w:tabs>
          <w:tab w:val="left" w:pos="2273"/>
          <w:tab w:val="left" w:pos="2993"/>
        </w:tabs>
        <w:spacing w:before="137"/>
        <w:ind w:left="112"/>
      </w:pPr>
      <w:r>
        <w:t>Ms</w:t>
      </w:r>
      <w:r>
        <w:rPr>
          <w:spacing w:val="-2"/>
        </w:rPr>
        <w:t xml:space="preserve"> </w:t>
      </w:r>
      <w:r>
        <w:t>P Beck</w:t>
      </w:r>
      <w:r>
        <w:tab/>
        <w:t>-</w:t>
      </w:r>
      <w:r>
        <w:tab/>
        <w:t>Tribunal</w:t>
      </w:r>
      <w:r>
        <w:rPr>
          <w:spacing w:val="-4"/>
        </w:rPr>
        <w:t xml:space="preserve"> </w:t>
      </w:r>
      <w:r>
        <w:t>Member</w:t>
      </w:r>
    </w:p>
    <w:p w:rsidR="0095654C" w:rsidRDefault="00E66E58">
      <w:pPr>
        <w:pStyle w:val="BodyText"/>
        <w:tabs>
          <w:tab w:val="left" w:pos="2273"/>
          <w:tab w:val="left" w:pos="2993"/>
        </w:tabs>
        <w:spacing w:before="137"/>
        <w:ind w:left="112"/>
      </w:pPr>
      <w:r>
        <w:t>Mr</w:t>
      </w:r>
      <w:r>
        <w:rPr>
          <w:spacing w:val="-1"/>
        </w:rPr>
        <w:t xml:space="preserve"> </w:t>
      </w:r>
      <w:r>
        <w:t>A</w:t>
      </w:r>
      <w:r>
        <w:rPr>
          <w:spacing w:val="-1"/>
        </w:rPr>
        <w:t xml:space="preserve"> </w:t>
      </w:r>
      <w:r>
        <w:t>Potwana</w:t>
      </w:r>
      <w:r>
        <w:tab/>
        <w:t>-</w:t>
      </w:r>
      <w:r>
        <w:tab/>
        <w:t>Tribunal</w:t>
      </w:r>
      <w:r>
        <w:rPr>
          <w:spacing w:val="-4"/>
        </w:rPr>
        <w:t xml:space="preserve"> </w:t>
      </w:r>
      <w:r>
        <w:t>Member</w:t>
      </w:r>
    </w:p>
    <w:p w:rsidR="0095654C" w:rsidRDefault="0095654C">
      <w:pPr>
        <w:pStyle w:val="BodyText"/>
        <w:rPr>
          <w:sz w:val="28"/>
        </w:rPr>
      </w:pPr>
    </w:p>
    <w:p w:rsidR="0095654C" w:rsidRDefault="00E66E58">
      <w:pPr>
        <w:pStyle w:val="BodyText"/>
        <w:tabs>
          <w:tab w:val="left" w:pos="2273"/>
          <w:tab w:val="left" w:pos="2993"/>
        </w:tabs>
        <w:spacing w:before="232" w:line="360" w:lineRule="auto"/>
        <w:ind w:left="112" w:right="5676"/>
      </w:pPr>
      <w:r>
        <w:t>Date</w:t>
      </w:r>
      <w:r>
        <w:rPr>
          <w:spacing w:val="-2"/>
        </w:rPr>
        <w:t xml:space="preserve"> </w:t>
      </w:r>
      <w:r>
        <w:t>of</w:t>
      </w:r>
      <w:r>
        <w:rPr>
          <w:spacing w:val="-1"/>
        </w:rPr>
        <w:t xml:space="preserve"> </w:t>
      </w:r>
      <w:r>
        <w:t>hearing</w:t>
      </w:r>
      <w:r>
        <w:tab/>
        <w:t>-</w:t>
      </w:r>
      <w:r>
        <w:tab/>
        <w:t xml:space="preserve">27 June </w:t>
      </w:r>
      <w:r>
        <w:rPr>
          <w:spacing w:val="-4"/>
        </w:rPr>
        <w:t xml:space="preserve">2022 </w:t>
      </w:r>
      <w:r>
        <w:t>Date</w:t>
      </w:r>
      <w:r>
        <w:rPr>
          <w:spacing w:val="-2"/>
        </w:rPr>
        <w:t xml:space="preserve"> </w:t>
      </w:r>
      <w:r>
        <w:t>of</w:t>
      </w:r>
      <w:r>
        <w:rPr>
          <w:spacing w:val="-1"/>
        </w:rPr>
        <w:t xml:space="preserve"> </w:t>
      </w:r>
      <w:r>
        <w:t>judgment</w:t>
      </w:r>
      <w:r>
        <w:tab/>
        <w:t>-</w:t>
      </w:r>
      <w:r>
        <w:tab/>
        <w:t>25 July</w:t>
      </w:r>
      <w:r>
        <w:rPr>
          <w:spacing w:val="-4"/>
        </w:rPr>
        <w:t xml:space="preserve"> </w:t>
      </w:r>
      <w:r>
        <w:t>2022</w:t>
      </w:r>
    </w:p>
    <w:p w:rsidR="0095654C" w:rsidRDefault="00E66E58">
      <w:pPr>
        <w:pStyle w:val="BodyText"/>
        <w:spacing w:before="8"/>
        <w:rPr>
          <w:sz w:val="17"/>
        </w:rPr>
      </w:pPr>
      <w:r>
        <w:pict>
          <v:shape id="_x0000_s1037" style="position:absolute;margin-left:100.6pt;margin-top:12.4pt;width:393.55pt;height:.1pt;z-index:-251658240;mso-wrap-distance-left:0;mso-wrap-distance-right:0;mso-position-horizontal-relative:page" coordorigin="2012,248" coordsize="7871,0" path="m2012,248r7870,e" filled="f" strokeweight=".6pt">
            <v:path arrowok="t"/>
            <w10:wrap type="topAndBottom" anchorx="page"/>
          </v:shape>
        </w:pict>
      </w:r>
    </w:p>
    <w:p w:rsidR="0095654C" w:rsidRDefault="0095654C">
      <w:pPr>
        <w:pStyle w:val="BodyText"/>
        <w:rPr>
          <w:sz w:val="20"/>
        </w:rPr>
      </w:pPr>
    </w:p>
    <w:p w:rsidR="0095654C" w:rsidRDefault="0095654C">
      <w:pPr>
        <w:pStyle w:val="BodyText"/>
        <w:spacing w:before="6"/>
        <w:rPr>
          <w:sz w:val="18"/>
        </w:rPr>
      </w:pPr>
    </w:p>
    <w:p w:rsidR="0095654C" w:rsidRDefault="00E66E58">
      <w:pPr>
        <w:pStyle w:val="Heading1"/>
        <w:spacing w:before="100"/>
        <w:ind w:left="3607" w:right="3609"/>
        <w:jc w:val="center"/>
      </w:pPr>
      <w:r>
        <w:t>JUDGMENT AND REASONS</w:t>
      </w:r>
    </w:p>
    <w:p w:rsidR="0095654C" w:rsidRDefault="00E66E58">
      <w:pPr>
        <w:pStyle w:val="BodyText"/>
        <w:spacing w:before="8"/>
        <w:rPr>
          <w:b/>
          <w:sz w:val="29"/>
        </w:rPr>
      </w:pPr>
      <w:r>
        <w:pict>
          <v:shape id="_x0000_s1036" style="position:absolute;margin-left:100.6pt;margin-top:19.3pt;width:393.55pt;height:.1pt;z-index:-251657216;mso-wrap-distance-left:0;mso-wrap-distance-right:0;mso-position-horizontal-relative:page" coordorigin="2012,386" coordsize="7871,0" path="m2012,386r7870,e" filled="f" strokeweight=".6pt">
            <v:path arrowok="t"/>
            <w10:wrap type="topAndBottom" anchorx="page"/>
          </v:shape>
        </w:pict>
      </w:r>
    </w:p>
    <w:p w:rsidR="0095654C" w:rsidRDefault="0095654C">
      <w:pPr>
        <w:pStyle w:val="BodyText"/>
        <w:rPr>
          <w:b/>
          <w:sz w:val="20"/>
        </w:rPr>
      </w:pPr>
    </w:p>
    <w:p w:rsidR="0095654C" w:rsidRDefault="0095654C">
      <w:pPr>
        <w:pStyle w:val="BodyText"/>
        <w:spacing w:before="8"/>
        <w:rPr>
          <w:b/>
          <w:sz w:val="18"/>
        </w:rPr>
      </w:pPr>
    </w:p>
    <w:p w:rsidR="0095654C" w:rsidRDefault="00E66E58">
      <w:pPr>
        <w:spacing w:before="100"/>
        <w:ind w:left="112"/>
        <w:rPr>
          <w:b/>
          <w:sz w:val="24"/>
        </w:rPr>
      </w:pPr>
      <w:r>
        <w:rPr>
          <w:b/>
          <w:sz w:val="24"/>
        </w:rPr>
        <w:t>THE PARTIES</w:t>
      </w:r>
    </w:p>
    <w:p w:rsidR="0095654C" w:rsidRDefault="0095654C">
      <w:pPr>
        <w:pStyle w:val="BodyText"/>
        <w:rPr>
          <w:b/>
          <w:sz w:val="28"/>
        </w:rPr>
      </w:pPr>
    </w:p>
    <w:p w:rsidR="0095654C" w:rsidRPr="00ED4CFF" w:rsidRDefault="00ED4CFF" w:rsidP="00ED4CFF">
      <w:pPr>
        <w:tabs>
          <w:tab w:val="left" w:pos="680"/>
        </w:tabs>
        <w:spacing w:before="229" w:line="360" w:lineRule="auto"/>
        <w:ind w:left="679" w:right="110" w:hanging="567"/>
        <w:jc w:val="both"/>
        <w:rPr>
          <w:color w:val="121212"/>
          <w:sz w:val="24"/>
        </w:rPr>
      </w:pPr>
      <w:r>
        <w:rPr>
          <w:color w:val="121212"/>
          <w:spacing w:val="-9"/>
          <w:sz w:val="24"/>
        </w:rPr>
        <w:t>1.</w:t>
      </w:r>
      <w:r>
        <w:rPr>
          <w:color w:val="121212"/>
          <w:spacing w:val="-9"/>
          <w:sz w:val="24"/>
        </w:rPr>
        <w:tab/>
      </w:r>
      <w:r w:rsidR="00E66E58" w:rsidRPr="00ED4CFF">
        <w:rPr>
          <w:color w:val="121212"/>
          <w:sz w:val="24"/>
        </w:rPr>
        <w:t xml:space="preserve">The Applicant in this matter is the </w:t>
      </w:r>
      <w:r w:rsidR="00E66E58" w:rsidRPr="00ED4CFF">
        <w:rPr>
          <w:sz w:val="24"/>
        </w:rPr>
        <w:t>National Consumer Commission (the “Applicant” or the “Commission”), a juristic person and regulatory entity established in terms of section 85 of the Consumer Protection Act, No 68 of 2008 (“the Act” or “the CPA”)</w:t>
      </w:r>
      <w:r w:rsidR="00E66E58" w:rsidRPr="00ED4CFF">
        <w:rPr>
          <w:color w:val="121212"/>
          <w:sz w:val="24"/>
        </w:rPr>
        <w:t xml:space="preserve">. </w:t>
      </w:r>
      <w:r w:rsidR="00E66E58" w:rsidRPr="00ED4CFF">
        <w:rPr>
          <w:sz w:val="24"/>
        </w:rPr>
        <w:t>The Applicant was represented at the hear</w:t>
      </w:r>
      <w:r w:rsidR="00E66E58" w:rsidRPr="00ED4CFF">
        <w:rPr>
          <w:sz w:val="24"/>
        </w:rPr>
        <w:t>ing by Mr Emmanuel Mapumlo, a legal advisor in the employ of the</w:t>
      </w:r>
      <w:r w:rsidR="00E66E58" w:rsidRPr="00ED4CFF">
        <w:rPr>
          <w:spacing w:val="-16"/>
          <w:sz w:val="24"/>
        </w:rPr>
        <w:t xml:space="preserve"> </w:t>
      </w:r>
      <w:r w:rsidR="00E66E58" w:rsidRPr="00ED4CFF">
        <w:rPr>
          <w:sz w:val="24"/>
        </w:rPr>
        <w:t>Applicant.</w:t>
      </w:r>
    </w:p>
    <w:p w:rsidR="0095654C" w:rsidRDefault="0095654C">
      <w:pPr>
        <w:pStyle w:val="BodyText"/>
        <w:spacing w:before="10"/>
        <w:rPr>
          <w:sz w:val="35"/>
        </w:rPr>
      </w:pPr>
    </w:p>
    <w:p w:rsidR="0095654C" w:rsidRPr="00ED4CFF" w:rsidRDefault="00ED4CFF" w:rsidP="00ED4CFF">
      <w:pPr>
        <w:tabs>
          <w:tab w:val="left" w:pos="680"/>
        </w:tabs>
        <w:spacing w:line="360" w:lineRule="auto"/>
        <w:ind w:left="679" w:right="109" w:hanging="567"/>
        <w:jc w:val="both"/>
        <w:rPr>
          <w:color w:val="232020"/>
          <w:sz w:val="24"/>
        </w:rPr>
      </w:pPr>
      <w:r>
        <w:rPr>
          <w:color w:val="232020"/>
          <w:spacing w:val="-9"/>
          <w:sz w:val="24"/>
        </w:rPr>
        <w:t>2.</w:t>
      </w:r>
      <w:r>
        <w:rPr>
          <w:color w:val="232020"/>
          <w:spacing w:val="-9"/>
          <w:sz w:val="24"/>
        </w:rPr>
        <w:tab/>
      </w:r>
      <w:r w:rsidR="00E66E58" w:rsidRPr="00ED4CFF">
        <w:rPr>
          <w:color w:val="171717"/>
          <w:sz w:val="24"/>
        </w:rPr>
        <w:t xml:space="preserve">The Respondent is </w:t>
      </w:r>
      <w:r w:rsidR="00E66E58" w:rsidRPr="00ED4CFF">
        <w:rPr>
          <w:sz w:val="24"/>
        </w:rPr>
        <w:t>Turnstone Trading 52 (Pty) Ltd, trading as Country Wide Truck Sales (“the Respondent”), a private company incorporated under the company laws of South Africa wit</w:t>
      </w:r>
      <w:r w:rsidR="00E66E58" w:rsidRPr="00ED4CFF">
        <w:rPr>
          <w:sz w:val="24"/>
        </w:rPr>
        <w:t>h company registration number: 2018/246629/07. The Respondent was represented at the hearing by Mr Hilton West, instructed by De Kock Van Heerden</w:t>
      </w:r>
      <w:r w:rsidR="00E66E58" w:rsidRPr="00ED4CFF">
        <w:rPr>
          <w:spacing w:val="-4"/>
          <w:sz w:val="24"/>
        </w:rPr>
        <w:t xml:space="preserve"> </w:t>
      </w:r>
      <w:r w:rsidR="00E66E58" w:rsidRPr="00ED4CFF">
        <w:rPr>
          <w:sz w:val="24"/>
        </w:rPr>
        <w:t>Attorneys.</w:t>
      </w:r>
    </w:p>
    <w:p w:rsidR="0095654C" w:rsidRDefault="0095654C">
      <w:pPr>
        <w:spacing w:line="360" w:lineRule="auto"/>
        <w:jc w:val="both"/>
        <w:rPr>
          <w:sz w:val="24"/>
        </w:rPr>
        <w:sectPr w:rsidR="0095654C">
          <w:type w:val="continuous"/>
          <w:pgSz w:w="11910" w:h="16840"/>
          <w:pgMar w:top="760" w:right="1020" w:bottom="280" w:left="1020" w:header="720" w:footer="720" w:gutter="0"/>
          <w:cols w:space="720"/>
        </w:sectPr>
      </w:pPr>
    </w:p>
    <w:p w:rsidR="0095654C" w:rsidRDefault="00E66E58">
      <w:pPr>
        <w:pStyle w:val="Heading1"/>
        <w:spacing w:before="79"/>
      </w:pPr>
      <w:r>
        <w:lastRenderedPageBreak/>
        <w:t>BACKGROUND</w:t>
      </w:r>
    </w:p>
    <w:p w:rsidR="0095654C" w:rsidRDefault="0095654C">
      <w:pPr>
        <w:pStyle w:val="BodyText"/>
        <w:rPr>
          <w:b/>
          <w:sz w:val="28"/>
        </w:rPr>
      </w:pPr>
    </w:p>
    <w:p w:rsidR="0095654C" w:rsidRDefault="00E66E58">
      <w:pPr>
        <w:spacing w:before="229"/>
        <w:ind w:left="112"/>
        <w:rPr>
          <w:b/>
          <w:sz w:val="24"/>
        </w:rPr>
      </w:pPr>
      <w:r>
        <w:rPr>
          <w:b/>
          <w:sz w:val="24"/>
        </w:rPr>
        <w:t>The Applicant’s case</w:t>
      </w:r>
    </w:p>
    <w:p w:rsidR="0095654C" w:rsidRDefault="0095654C">
      <w:pPr>
        <w:pStyle w:val="BodyText"/>
        <w:rPr>
          <w:b/>
          <w:sz w:val="28"/>
        </w:rPr>
      </w:pPr>
    </w:p>
    <w:p w:rsidR="0095654C" w:rsidRPr="00ED4CFF" w:rsidRDefault="00ED4CFF" w:rsidP="00ED4CFF">
      <w:pPr>
        <w:tabs>
          <w:tab w:val="left" w:pos="680"/>
        </w:tabs>
        <w:spacing w:before="229" w:line="360" w:lineRule="auto"/>
        <w:ind w:left="679" w:right="112" w:hanging="567"/>
        <w:jc w:val="both"/>
        <w:rPr>
          <w:sz w:val="24"/>
        </w:rPr>
      </w:pPr>
      <w:r>
        <w:rPr>
          <w:spacing w:val="-9"/>
          <w:sz w:val="24"/>
        </w:rPr>
        <w:t>3.</w:t>
      </w:r>
      <w:r>
        <w:rPr>
          <w:spacing w:val="-9"/>
          <w:sz w:val="24"/>
        </w:rPr>
        <w:tab/>
      </w:r>
      <w:r w:rsidR="00E66E58" w:rsidRPr="00ED4CFF">
        <w:rPr>
          <w:sz w:val="24"/>
        </w:rPr>
        <w:t>On 13 April 2021, the Applicant filed an application referring a complaint to the National Consumer Tribunal (“the Tribunal”) in terms of section 73 (2)(b) of the CPA. The Applicant’s founding affidavit in support of the application was deposed to by Thezi</w:t>
      </w:r>
      <w:r w:rsidR="00E66E58" w:rsidRPr="00ED4CFF">
        <w:rPr>
          <w:sz w:val="24"/>
        </w:rPr>
        <w:t xml:space="preserve"> Mabuza, the Applicant’s Deputy Commissioner and Acting Commissioner (“Mabuza”). </w:t>
      </w:r>
      <w:r w:rsidR="00E66E58" w:rsidRPr="00ED4CFF">
        <w:rPr>
          <w:color w:val="171717"/>
          <w:sz w:val="24"/>
        </w:rPr>
        <w:t>Mr Tebogo Hutamo (“the complainant” or “Mr Hutamo”) filed a confirmatory affidavit in support of the Applicant’s founding</w:t>
      </w:r>
      <w:r w:rsidR="00E66E58" w:rsidRPr="00ED4CFF">
        <w:rPr>
          <w:color w:val="171717"/>
          <w:spacing w:val="-4"/>
          <w:sz w:val="24"/>
        </w:rPr>
        <w:t xml:space="preserve"> </w:t>
      </w:r>
      <w:r w:rsidR="00E66E58" w:rsidRPr="00ED4CFF">
        <w:rPr>
          <w:color w:val="171717"/>
          <w:sz w:val="24"/>
        </w:rPr>
        <w:t>affidavit.</w:t>
      </w:r>
    </w:p>
    <w:p w:rsidR="0095654C" w:rsidRDefault="0095654C">
      <w:pPr>
        <w:pStyle w:val="BodyText"/>
        <w:spacing w:before="1"/>
        <w:rPr>
          <w:sz w:val="36"/>
        </w:rPr>
      </w:pPr>
    </w:p>
    <w:p w:rsidR="0095654C" w:rsidRPr="00ED4CFF" w:rsidRDefault="00ED4CFF" w:rsidP="00ED4CFF">
      <w:pPr>
        <w:tabs>
          <w:tab w:val="left" w:pos="680"/>
        </w:tabs>
        <w:spacing w:line="360" w:lineRule="auto"/>
        <w:ind w:left="679" w:right="111" w:hanging="567"/>
        <w:jc w:val="both"/>
        <w:rPr>
          <w:sz w:val="24"/>
        </w:rPr>
      </w:pPr>
      <w:r>
        <w:rPr>
          <w:spacing w:val="-9"/>
          <w:sz w:val="24"/>
        </w:rPr>
        <w:t>4.</w:t>
      </w:r>
      <w:r>
        <w:rPr>
          <w:spacing w:val="-9"/>
          <w:sz w:val="24"/>
        </w:rPr>
        <w:tab/>
      </w:r>
      <w:r w:rsidR="00E66E58" w:rsidRPr="00ED4CFF">
        <w:rPr>
          <w:color w:val="171717"/>
          <w:sz w:val="24"/>
        </w:rPr>
        <w:t>The Applicant submits that on or about 28 October 2019, the complainant entered into an agreement with the Respondent for the purchase of two 2007 Nissan UD 440 4X6 Tipper Bin and Hydraulic Trucks for an amount of R575 000</w:t>
      </w:r>
      <w:r w:rsidR="00E66E58" w:rsidRPr="00ED4CFF">
        <w:rPr>
          <w:color w:val="171717"/>
          <w:spacing w:val="-2"/>
          <w:sz w:val="24"/>
        </w:rPr>
        <w:t xml:space="preserve"> </w:t>
      </w:r>
      <w:r w:rsidR="00E66E58" w:rsidRPr="00ED4CFF">
        <w:rPr>
          <w:color w:val="171717"/>
          <w:sz w:val="24"/>
        </w:rPr>
        <w:t>each.</w:t>
      </w:r>
    </w:p>
    <w:p w:rsidR="0095654C" w:rsidRDefault="0095654C">
      <w:pPr>
        <w:pStyle w:val="BodyText"/>
        <w:rPr>
          <w:sz w:val="28"/>
        </w:rPr>
      </w:pPr>
    </w:p>
    <w:p w:rsidR="0095654C" w:rsidRDefault="0095654C">
      <w:pPr>
        <w:pStyle w:val="BodyText"/>
        <w:spacing w:before="6"/>
        <w:rPr>
          <w:sz w:val="25"/>
        </w:rPr>
      </w:pPr>
    </w:p>
    <w:p w:rsidR="0095654C" w:rsidRPr="00ED4CFF" w:rsidRDefault="00ED4CFF" w:rsidP="00ED4CFF">
      <w:pPr>
        <w:tabs>
          <w:tab w:val="left" w:pos="680"/>
        </w:tabs>
        <w:spacing w:line="360" w:lineRule="auto"/>
        <w:ind w:left="679" w:right="110" w:hanging="567"/>
        <w:jc w:val="both"/>
        <w:rPr>
          <w:sz w:val="24"/>
        </w:rPr>
      </w:pPr>
      <w:r>
        <w:rPr>
          <w:spacing w:val="-9"/>
          <w:sz w:val="24"/>
        </w:rPr>
        <w:t>5.</w:t>
      </w:r>
      <w:r>
        <w:rPr>
          <w:spacing w:val="-9"/>
          <w:sz w:val="24"/>
        </w:rPr>
        <w:tab/>
      </w:r>
      <w:r w:rsidR="00E66E58" w:rsidRPr="00ED4CFF">
        <w:rPr>
          <w:color w:val="171717"/>
          <w:sz w:val="24"/>
        </w:rPr>
        <w:t>The complainant noticed t</w:t>
      </w:r>
      <w:r w:rsidR="00E66E58" w:rsidRPr="00ED4CFF">
        <w:rPr>
          <w:color w:val="171717"/>
          <w:sz w:val="24"/>
        </w:rPr>
        <w:t>hat the truck with registration number DPW373MP (“the truck”), which is the subject of this application, had its tipping mechanism not working properly. The complainant returned the truck to the Respondent immediately after discovering the fault and reques</w:t>
      </w:r>
      <w:r w:rsidR="00E66E58" w:rsidRPr="00ED4CFF">
        <w:rPr>
          <w:color w:val="171717"/>
          <w:sz w:val="24"/>
        </w:rPr>
        <w:t>ted a replacement truck, failing which the complainant demanded to be refunded the purchase price of the</w:t>
      </w:r>
      <w:r w:rsidR="00E66E58" w:rsidRPr="00ED4CFF">
        <w:rPr>
          <w:color w:val="171717"/>
          <w:spacing w:val="-19"/>
          <w:sz w:val="24"/>
        </w:rPr>
        <w:t xml:space="preserve"> </w:t>
      </w:r>
      <w:r w:rsidR="00E66E58" w:rsidRPr="00ED4CFF">
        <w:rPr>
          <w:color w:val="171717"/>
          <w:sz w:val="24"/>
        </w:rPr>
        <w:t>truck.</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11" w:hanging="567"/>
        <w:jc w:val="both"/>
        <w:rPr>
          <w:sz w:val="24"/>
        </w:rPr>
      </w:pPr>
      <w:r>
        <w:rPr>
          <w:spacing w:val="-9"/>
          <w:sz w:val="24"/>
        </w:rPr>
        <w:t>6.</w:t>
      </w:r>
      <w:r>
        <w:rPr>
          <w:spacing w:val="-9"/>
          <w:sz w:val="24"/>
        </w:rPr>
        <w:tab/>
      </w:r>
      <w:r w:rsidR="00E66E58" w:rsidRPr="00ED4CFF">
        <w:rPr>
          <w:color w:val="171717"/>
          <w:sz w:val="24"/>
        </w:rPr>
        <w:t>The Applicant alleges that the Respondent has failed to honour the complainant’s directives to date. As a result, the complainant has been una</w:t>
      </w:r>
      <w:r w:rsidR="00E66E58" w:rsidRPr="00ED4CFF">
        <w:rPr>
          <w:color w:val="171717"/>
          <w:sz w:val="24"/>
        </w:rPr>
        <w:t>ble to use the truck for commercial purposes, as was intended, since the truck remains in the Respondent’s</w:t>
      </w:r>
      <w:r w:rsidR="00E66E58" w:rsidRPr="00ED4CFF">
        <w:rPr>
          <w:color w:val="171717"/>
          <w:spacing w:val="-3"/>
          <w:sz w:val="24"/>
        </w:rPr>
        <w:t xml:space="preserve"> </w:t>
      </w:r>
      <w:r w:rsidR="00E66E58" w:rsidRPr="00ED4CFF">
        <w:rPr>
          <w:color w:val="171717"/>
          <w:sz w:val="24"/>
        </w:rPr>
        <w:t>possession.</w:t>
      </w:r>
    </w:p>
    <w:p w:rsidR="0095654C" w:rsidRDefault="0095654C">
      <w:pPr>
        <w:pStyle w:val="BodyText"/>
        <w:rPr>
          <w:sz w:val="28"/>
        </w:rPr>
      </w:pPr>
    </w:p>
    <w:p w:rsidR="0095654C" w:rsidRDefault="0095654C">
      <w:pPr>
        <w:pStyle w:val="BodyText"/>
        <w:spacing w:before="3"/>
        <w:rPr>
          <w:sz w:val="25"/>
        </w:rPr>
      </w:pPr>
    </w:p>
    <w:p w:rsidR="0095654C" w:rsidRPr="00ED4CFF" w:rsidRDefault="00ED4CFF" w:rsidP="00ED4CFF">
      <w:pPr>
        <w:tabs>
          <w:tab w:val="left" w:pos="680"/>
        </w:tabs>
        <w:spacing w:line="362" w:lineRule="auto"/>
        <w:ind w:left="679" w:right="121" w:hanging="567"/>
        <w:jc w:val="both"/>
        <w:rPr>
          <w:sz w:val="24"/>
        </w:rPr>
      </w:pPr>
      <w:r>
        <w:rPr>
          <w:spacing w:val="-9"/>
          <w:sz w:val="24"/>
        </w:rPr>
        <w:t>7.</w:t>
      </w:r>
      <w:r>
        <w:rPr>
          <w:spacing w:val="-9"/>
          <w:sz w:val="24"/>
        </w:rPr>
        <w:tab/>
      </w:r>
      <w:r w:rsidR="00E66E58" w:rsidRPr="00ED4CFF">
        <w:rPr>
          <w:color w:val="171717"/>
          <w:sz w:val="24"/>
        </w:rPr>
        <w:t>The Applicant submits that the complainant does not wish to continue with the agreement with the Respondent. Instead, the complainant p</w:t>
      </w:r>
      <w:r w:rsidR="00E66E58" w:rsidRPr="00ED4CFF">
        <w:rPr>
          <w:color w:val="171717"/>
          <w:sz w:val="24"/>
        </w:rPr>
        <w:t>ersists with his request for a</w:t>
      </w:r>
      <w:r w:rsidR="00E66E58" w:rsidRPr="00ED4CFF">
        <w:rPr>
          <w:color w:val="171717"/>
          <w:spacing w:val="-14"/>
          <w:sz w:val="24"/>
        </w:rPr>
        <w:t xml:space="preserve"> </w:t>
      </w:r>
      <w:r w:rsidR="00E66E58" w:rsidRPr="00ED4CFF">
        <w:rPr>
          <w:color w:val="171717"/>
          <w:sz w:val="24"/>
        </w:rPr>
        <w:t>refund.</w:t>
      </w:r>
    </w:p>
    <w:p w:rsidR="0095654C" w:rsidRDefault="0095654C">
      <w:pPr>
        <w:pStyle w:val="BodyText"/>
        <w:spacing w:before="8"/>
        <w:rPr>
          <w:sz w:val="35"/>
        </w:rPr>
      </w:pPr>
    </w:p>
    <w:p w:rsidR="0095654C" w:rsidRPr="00ED4CFF" w:rsidRDefault="00ED4CFF" w:rsidP="00ED4CFF">
      <w:pPr>
        <w:tabs>
          <w:tab w:val="left" w:pos="680"/>
        </w:tabs>
        <w:spacing w:line="360" w:lineRule="auto"/>
        <w:ind w:left="679" w:right="112" w:hanging="567"/>
        <w:jc w:val="both"/>
        <w:rPr>
          <w:sz w:val="24"/>
        </w:rPr>
      </w:pPr>
      <w:r>
        <w:rPr>
          <w:spacing w:val="-9"/>
          <w:sz w:val="24"/>
        </w:rPr>
        <w:t>8.</w:t>
      </w:r>
      <w:r>
        <w:rPr>
          <w:spacing w:val="-9"/>
          <w:sz w:val="24"/>
        </w:rPr>
        <w:tab/>
      </w:r>
      <w:r w:rsidR="00E66E58" w:rsidRPr="00ED4CFF">
        <w:rPr>
          <w:sz w:val="24"/>
        </w:rPr>
        <w:t xml:space="preserve">On the strength of the above, the Applicant formed a reasonable suspicion that the Respondent contravened the CPA and directed an inspector, Miehleketo Magagula (“Magagula”), to investigate the complaint. Magagula’s </w:t>
      </w:r>
      <w:r w:rsidR="00E66E58" w:rsidRPr="00ED4CFF">
        <w:rPr>
          <w:sz w:val="24"/>
        </w:rPr>
        <w:t>investigation report is attached to Mabuza’s</w:t>
      </w:r>
      <w:r w:rsidR="00E66E58" w:rsidRPr="00ED4CFF">
        <w:rPr>
          <w:spacing w:val="-6"/>
          <w:sz w:val="24"/>
        </w:rPr>
        <w:t xml:space="preserve"> </w:t>
      </w:r>
      <w:r w:rsidR="00E66E58" w:rsidRPr="00ED4CFF">
        <w:rPr>
          <w:sz w:val="24"/>
        </w:rPr>
        <w:t>affidavit.</w:t>
      </w:r>
    </w:p>
    <w:p w:rsidR="0095654C" w:rsidRDefault="0095654C">
      <w:pPr>
        <w:pStyle w:val="BodyText"/>
        <w:spacing w:before="10"/>
        <w:rPr>
          <w:sz w:val="35"/>
        </w:rPr>
      </w:pPr>
    </w:p>
    <w:p w:rsidR="0095654C" w:rsidRPr="00ED4CFF" w:rsidRDefault="00ED4CFF" w:rsidP="00ED4CFF">
      <w:pPr>
        <w:tabs>
          <w:tab w:val="left" w:pos="679"/>
          <w:tab w:val="left" w:pos="680"/>
        </w:tabs>
        <w:spacing w:before="1"/>
        <w:ind w:left="679" w:hanging="568"/>
        <w:rPr>
          <w:sz w:val="24"/>
        </w:rPr>
      </w:pPr>
      <w:r>
        <w:rPr>
          <w:spacing w:val="-9"/>
          <w:sz w:val="24"/>
        </w:rPr>
        <w:t>9.</w:t>
      </w:r>
      <w:r>
        <w:rPr>
          <w:spacing w:val="-9"/>
          <w:sz w:val="24"/>
        </w:rPr>
        <w:tab/>
      </w:r>
      <w:r w:rsidR="00E66E58" w:rsidRPr="00ED4CFF">
        <w:rPr>
          <w:color w:val="171717"/>
          <w:sz w:val="24"/>
        </w:rPr>
        <w:t>The Applicant alleges that the Respondent contravened the following sections of the</w:t>
      </w:r>
      <w:r w:rsidR="00E66E58" w:rsidRPr="00ED4CFF">
        <w:rPr>
          <w:color w:val="171717"/>
          <w:spacing w:val="-21"/>
          <w:sz w:val="24"/>
        </w:rPr>
        <w:t xml:space="preserve"> </w:t>
      </w:r>
      <w:r w:rsidR="00E66E58" w:rsidRPr="00ED4CFF">
        <w:rPr>
          <w:color w:val="171717"/>
          <w:sz w:val="24"/>
        </w:rPr>
        <w:t>CPA:</w:t>
      </w:r>
    </w:p>
    <w:p w:rsidR="0095654C" w:rsidRPr="00ED4CFF" w:rsidRDefault="00ED4CFF" w:rsidP="00ED4CFF">
      <w:pPr>
        <w:tabs>
          <w:tab w:val="left" w:pos="1338"/>
        </w:tabs>
        <w:spacing w:before="137"/>
        <w:ind w:left="1337" w:hanging="659"/>
        <w:rPr>
          <w:sz w:val="24"/>
        </w:rPr>
      </w:pPr>
      <w:r>
        <w:rPr>
          <w:spacing w:val="-4"/>
          <w:sz w:val="24"/>
          <w:szCs w:val="24"/>
        </w:rPr>
        <w:t>9.1.1.</w:t>
      </w:r>
      <w:r>
        <w:rPr>
          <w:spacing w:val="-4"/>
          <w:sz w:val="24"/>
          <w:szCs w:val="24"/>
        </w:rPr>
        <w:tab/>
      </w:r>
      <w:r w:rsidR="00E66E58" w:rsidRPr="00ED4CFF">
        <w:rPr>
          <w:color w:val="171717"/>
          <w:sz w:val="24"/>
        </w:rPr>
        <w:t>Section 20(1)(a) and (2)(d);</w:t>
      </w:r>
      <w:r w:rsidR="00E66E58" w:rsidRPr="00ED4CFF">
        <w:rPr>
          <w:color w:val="171717"/>
          <w:spacing w:val="-7"/>
          <w:sz w:val="24"/>
        </w:rPr>
        <w:t xml:space="preserve"> </w:t>
      </w:r>
      <w:r w:rsidR="00E66E58" w:rsidRPr="00ED4CFF">
        <w:rPr>
          <w:color w:val="171717"/>
          <w:sz w:val="24"/>
        </w:rPr>
        <w:t>and</w:t>
      </w:r>
    </w:p>
    <w:p w:rsidR="0095654C" w:rsidRPr="00ED4CFF" w:rsidRDefault="00ED4CFF" w:rsidP="00ED4CFF">
      <w:pPr>
        <w:tabs>
          <w:tab w:val="left" w:pos="1392"/>
          <w:tab w:val="left" w:pos="1393"/>
        </w:tabs>
        <w:spacing w:before="137"/>
        <w:ind w:left="1392" w:hanging="714"/>
        <w:rPr>
          <w:sz w:val="24"/>
        </w:rPr>
      </w:pPr>
      <w:r>
        <w:rPr>
          <w:spacing w:val="-4"/>
          <w:sz w:val="24"/>
          <w:szCs w:val="24"/>
        </w:rPr>
        <w:t>9.1.2.</w:t>
      </w:r>
      <w:r>
        <w:rPr>
          <w:spacing w:val="-4"/>
          <w:sz w:val="24"/>
          <w:szCs w:val="24"/>
        </w:rPr>
        <w:tab/>
      </w:r>
      <w:r w:rsidR="00E66E58" w:rsidRPr="00ED4CFF">
        <w:rPr>
          <w:color w:val="171717"/>
          <w:sz w:val="24"/>
        </w:rPr>
        <w:t>Section</w:t>
      </w:r>
      <w:r w:rsidR="00E66E58" w:rsidRPr="00ED4CFF">
        <w:rPr>
          <w:color w:val="171717"/>
          <w:spacing w:val="-1"/>
          <w:sz w:val="24"/>
        </w:rPr>
        <w:t xml:space="preserve"> </w:t>
      </w:r>
      <w:r w:rsidR="00E66E58" w:rsidRPr="00ED4CFF">
        <w:rPr>
          <w:color w:val="171717"/>
          <w:sz w:val="24"/>
        </w:rPr>
        <w:t>56(2)(a).</w:t>
      </w:r>
    </w:p>
    <w:p w:rsidR="0095654C" w:rsidRDefault="0095654C">
      <w:pPr>
        <w:pStyle w:val="BodyText"/>
        <w:rPr>
          <w:sz w:val="28"/>
        </w:rPr>
      </w:pPr>
    </w:p>
    <w:p w:rsidR="0095654C" w:rsidRPr="00ED4CFF" w:rsidRDefault="00ED4CFF" w:rsidP="00ED4CFF">
      <w:pPr>
        <w:tabs>
          <w:tab w:val="left" w:pos="679"/>
          <w:tab w:val="left" w:pos="680"/>
        </w:tabs>
        <w:spacing w:before="232"/>
        <w:ind w:left="679" w:hanging="568"/>
        <w:rPr>
          <w:sz w:val="24"/>
        </w:rPr>
      </w:pPr>
      <w:r>
        <w:rPr>
          <w:spacing w:val="-9"/>
          <w:sz w:val="24"/>
        </w:rPr>
        <w:t>10.</w:t>
      </w:r>
      <w:r>
        <w:rPr>
          <w:spacing w:val="-9"/>
          <w:sz w:val="24"/>
        </w:rPr>
        <w:tab/>
      </w:r>
      <w:r w:rsidR="00E66E58" w:rsidRPr="00ED4CFF">
        <w:rPr>
          <w:color w:val="171717"/>
          <w:sz w:val="24"/>
        </w:rPr>
        <w:t>As a result, the Applicant seeks an</w:t>
      </w:r>
      <w:r w:rsidR="00E66E58" w:rsidRPr="00ED4CFF">
        <w:rPr>
          <w:color w:val="171717"/>
          <w:spacing w:val="-3"/>
          <w:sz w:val="24"/>
        </w:rPr>
        <w:t xml:space="preserve"> </w:t>
      </w:r>
      <w:r w:rsidR="00E66E58" w:rsidRPr="00ED4CFF">
        <w:rPr>
          <w:color w:val="171717"/>
          <w:sz w:val="24"/>
        </w:rPr>
        <w:t>order:</w:t>
      </w:r>
    </w:p>
    <w:p w:rsidR="0095654C" w:rsidRDefault="0095654C">
      <w:pPr>
        <w:rPr>
          <w:sz w:val="24"/>
        </w:rPr>
        <w:sectPr w:rsidR="0095654C">
          <w:footerReference w:type="default" r:id="rId7"/>
          <w:pgSz w:w="11910" w:h="16840"/>
          <w:pgMar w:top="760" w:right="1020" w:bottom="600" w:left="1020" w:header="0" w:footer="405" w:gutter="0"/>
          <w:pgNumType w:start="2"/>
          <w:cols w:space="720"/>
        </w:sectPr>
      </w:pPr>
    </w:p>
    <w:p w:rsidR="0095654C" w:rsidRPr="00ED4CFF" w:rsidRDefault="00ED4CFF" w:rsidP="00ED4CFF">
      <w:pPr>
        <w:tabs>
          <w:tab w:val="left" w:pos="1554"/>
        </w:tabs>
        <w:spacing w:before="79" w:line="360" w:lineRule="auto"/>
        <w:ind w:left="1553" w:right="110" w:hanging="874"/>
        <w:jc w:val="both"/>
        <w:rPr>
          <w:sz w:val="24"/>
        </w:rPr>
      </w:pPr>
      <w:r>
        <w:rPr>
          <w:spacing w:val="-2"/>
          <w:sz w:val="24"/>
        </w:rPr>
        <w:lastRenderedPageBreak/>
        <w:t>10.1.</w:t>
      </w:r>
      <w:r>
        <w:rPr>
          <w:spacing w:val="-2"/>
          <w:sz w:val="24"/>
        </w:rPr>
        <w:tab/>
      </w:r>
      <w:r w:rsidR="00E66E58" w:rsidRPr="00ED4CFF">
        <w:rPr>
          <w:color w:val="171717"/>
          <w:sz w:val="24"/>
        </w:rPr>
        <w:t xml:space="preserve">Declaring </w:t>
      </w:r>
      <w:r w:rsidR="00E66E58" w:rsidRPr="00ED4CFF">
        <w:rPr>
          <w:sz w:val="24"/>
        </w:rPr>
        <w:t>the Respondent’s contravention of the above-mentioned sections of the CPA to be prohibited</w:t>
      </w:r>
      <w:r w:rsidR="00E66E58" w:rsidRPr="00ED4CFF">
        <w:rPr>
          <w:spacing w:val="-1"/>
          <w:sz w:val="24"/>
        </w:rPr>
        <w:t xml:space="preserve"> </w:t>
      </w:r>
      <w:r w:rsidR="00E66E58" w:rsidRPr="00ED4CFF">
        <w:rPr>
          <w:sz w:val="24"/>
        </w:rPr>
        <w:t>conduct;</w:t>
      </w:r>
    </w:p>
    <w:p w:rsidR="0095654C" w:rsidRPr="00ED4CFF" w:rsidRDefault="00ED4CFF" w:rsidP="00ED4CFF">
      <w:pPr>
        <w:tabs>
          <w:tab w:val="left" w:pos="1554"/>
        </w:tabs>
        <w:ind w:left="1553" w:hanging="875"/>
        <w:jc w:val="both"/>
        <w:rPr>
          <w:sz w:val="24"/>
        </w:rPr>
      </w:pPr>
      <w:r>
        <w:rPr>
          <w:spacing w:val="-2"/>
          <w:sz w:val="24"/>
        </w:rPr>
        <w:t>10.2.</w:t>
      </w:r>
      <w:r>
        <w:rPr>
          <w:spacing w:val="-2"/>
          <w:sz w:val="24"/>
        </w:rPr>
        <w:tab/>
      </w:r>
      <w:r w:rsidR="00E66E58" w:rsidRPr="00ED4CFF">
        <w:rPr>
          <w:sz w:val="24"/>
        </w:rPr>
        <w:t>Interdicting the Respondent from engaging in conduct detailed in paragraph 9</w:t>
      </w:r>
      <w:r w:rsidR="00E66E58" w:rsidRPr="00ED4CFF">
        <w:rPr>
          <w:spacing w:val="-12"/>
          <w:sz w:val="24"/>
        </w:rPr>
        <w:t xml:space="preserve"> </w:t>
      </w:r>
      <w:r w:rsidR="00E66E58" w:rsidRPr="00ED4CFF">
        <w:rPr>
          <w:sz w:val="24"/>
        </w:rPr>
        <w:t>above;</w:t>
      </w:r>
    </w:p>
    <w:p w:rsidR="0095654C" w:rsidRPr="00ED4CFF" w:rsidRDefault="00ED4CFF" w:rsidP="00ED4CFF">
      <w:pPr>
        <w:tabs>
          <w:tab w:val="left" w:pos="1554"/>
        </w:tabs>
        <w:spacing w:before="137" w:line="360" w:lineRule="auto"/>
        <w:ind w:left="1553" w:right="114" w:hanging="874"/>
        <w:jc w:val="both"/>
        <w:rPr>
          <w:sz w:val="24"/>
        </w:rPr>
      </w:pPr>
      <w:r>
        <w:rPr>
          <w:spacing w:val="-2"/>
          <w:sz w:val="24"/>
        </w:rPr>
        <w:t>10.3.</w:t>
      </w:r>
      <w:r>
        <w:rPr>
          <w:spacing w:val="-2"/>
          <w:sz w:val="24"/>
        </w:rPr>
        <w:tab/>
      </w:r>
      <w:r w:rsidR="00E66E58" w:rsidRPr="00ED4CFF">
        <w:rPr>
          <w:sz w:val="24"/>
        </w:rPr>
        <w:t>Cancelling the contract entered into between the complainant and the Respondent on 31 October</w:t>
      </w:r>
      <w:r w:rsidR="00E66E58" w:rsidRPr="00ED4CFF">
        <w:rPr>
          <w:spacing w:val="-1"/>
          <w:sz w:val="24"/>
        </w:rPr>
        <w:t xml:space="preserve"> </w:t>
      </w:r>
      <w:r w:rsidR="00E66E58" w:rsidRPr="00ED4CFF">
        <w:rPr>
          <w:sz w:val="24"/>
        </w:rPr>
        <w:t>2019;</w:t>
      </w:r>
    </w:p>
    <w:p w:rsidR="0095654C" w:rsidRPr="00ED4CFF" w:rsidRDefault="00ED4CFF" w:rsidP="00ED4CFF">
      <w:pPr>
        <w:tabs>
          <w:tab w:val="left" w:pos="1554"/>
        </w:tabs>
        <w:spacing w:line="360" w:lineRule="auto"/>
        <w:ind w:left="1553" w:right="108" w:hanging="874"/>
        <w:jc w:val="both"/>
        <w:rPr>
          <w:sz w:val="24"/>
        </w:rPr>
      </w:pPr>
      <w:r>
        <w:rPr>
          <w:spacing w:val="-2"/>
          <w:sz w:val="24"/>
        </w:rPr>
        <w:t>10.4.</w:t>
      </w:r>
      <w:r>
        <w:rPr>
          <w:spacing w:val="-2"/>
          <w:sz w:val="24"/>
        </w:rPr>
        <w:tab/>
      </w:r>
      <w:r w:rsidR="00E66E58" w:rsidRPr="00ED4CFF">
        <w:rPr>
          <w:sz w:val="24"/>
        </w:rPr>
        <w:t>Directing the Respondent to refund the complainant the amount of R575 00</w:t>
      </w:r>
      <w:r w:rsidR="00E66E58" w:rsidRPr="00ED4CFF">
        <w:rPr>
          <w:sz w:val="24"/>
        </w:rPr>
        <w:t>0.00 (Five  hundred and seventy-five thousand Rand), being the purchase price of the truck plus interest calculated in accordance with the Prescribed Rate of Interest Act, No 55 of 1975, from the date on which it was paid to the Respondent to date of final</w:t>
      </w:r>
      <w:r w:rsidR="00E66E58" w:rsidRPr="00ED4CFF">
        <w:rPr>
          <w:spacing w:val="-19"/>
          <w:sz w:val="24"/>
        </w:rPr>
        <w:t xml:space="preserve"> </w:t>
      </w:r>
      <w:r w:rsidR="00E66E58" w:rsidRPr="00ED4CFF">
        <w:rPr>
          <w:sz w:val="24"/>
        </w:rPr>
        <w:t>payment;</w:t>
      </w:r>
    </w:p>
    <w:p w:rsidR="0095654C" w:rsidRPr="00ED4CFF" w:rsidRDefault="00ED4CFF" w:rsidP="00ED4CFF">
      <w:pPr>
        <w:tabs>
          <w:tab w:val="left" w:pos="1554"/>
        </w:tabs>
        <w:spacing w:before="1"/>
        <w:ind w:left="1553" w:hanging="875"/>
        <w:jc w:val="both"/>
        <w:rPr>
          <w:sz w:val="24"/>
        </w:rPr>
      </w:pPr>
      <w:r>
        <w:rPr>
          <w:spacing w:val="-2"/>
          <w:sz w:val="24"/>
        </w:rPr>
        <w:t>10.5.</w:t>
      </w:r>
      <w:r>
        <w:rPr>
          <w:spacing w:val="-2"/>
          <w:sz w:val="24"/>
        </w:rPr>
        <w:tab/>
      </w:r>
      <w:r w:rsidR="00E66E58" w:rsidRPr="00ED4CFF">
        <w:rPr>
          <w:sz w:val="24"/>
        </w:rPr>
        <w:t>Directing the Respondent to pay an administrative penalty of 10% of the Respondent’s</w:t>
      </w:r>
      <w:r w:rsidR="00E66E58" w:rsidRPr="00ED4CFF">
        <w:rPr>
          <w:spacing w:val="2"/>
          <w:sz w:val="24"/>
        </w:rPr>
        <w:t xml:space="preserve"> </w:t>
      </w:r>
      <w:r w:rsidR="00E66E58" w:rsidRPr="00ED4CFF">
        <w:rPr>
          <w:sz w:val="24"/>
        </w:rPr>
        <w:t>annual</w:t>
      </w:r>
    </w:p>
    <w:p w:rsidR="0095654C" w:rsidRDefault="00E66E58">
      <w:pPr>
        <w:pStyle w:val="BodyText"/>
        <w:spacing w:before="137"/>
        <w:ind w:left="1553"/>
        <w:jc w:val="both"/>
      </w:pPr>
      <w:r>
        <w:t>t</w:t>
      </w:r>
      <w:r>
        <w:t>urnover or R1 000 000.00 (one million Rand); and</w:t>
      </w:r>
    </w:p>
    <w:p w:rsidR="0095654C" w:rsidRPr="00ED4CFF" w:rsidRDefault="00ED4CFF" w:rsidP="00ED4CFF">
      <w:pPr>
        <w:tabs>
          <w:tab w:val="left" w:pos="1554"/>
        </w:tabs>
        <w:spacing w:before="138"/>
        <w:ind w:left="1553" w:hanging="875"/>
        <w:jc w:val="both"/>
        <w:rPr>
          <w:sz w:val="24"/>
        </w:rPr>
      </w:pPr>
      <w:r>
        <w:rPr>
          <w:spacing w:val="-2"/>
          <w:sz w:val="24"/>
        </w:rPr>
        <w:t>10.6.</w:t>
      </w:r>
      <w:r>
        <w:rPr>
          <w:spacing w:val="-2"/>
          <w:sz w:val="24"/>
        </w:rPr>
        <w:tab/>
      </w:r>
      <w:r w:rsidR="00E66E58" w:rsidRPr="00ED4CFF">
        <w:rPr>
          <w:sz w:val="24"/>
        </w:rPr>
        <w:t>Making any other appropriate order contemplated under section 4(2)(b)(ii) of the</w:t>
      </w:r>
      <w:r w:rsidR="00E66E58" w:rsidRPr="00ED4CFF">
        <w:rPr>
          <w:spacing w:val="-21"/>
          <w:sz w:val="24"/>
        </w:rPr>
        <w:t xml:space="preserve"> </w:t>
      </w:r>
      <w:r w:rsidR="00E66E58" w:rsidRPr="00ED4CFF">
        <w:rPr>
          <w:sz w:val="24"/>
        </w:rPr>
        <w:t>CPA.</w:t>
      </w:r>
    </w:p>
    <w:p w:rsidR="0095654C" w:rsidRDefault="0095654C">
      <w:pPr>
        <w:pStyle w:val="BodyText"/>
        <w:rPr>
          <w:sz w:val="28"/>
        </w:rPr>
      </w:pPr>
    </w:p>
    <w:p w:rsidR="0095654C" w:rsidRDefault="00E66E58">
      <w:pPr>
        <w:pStyle w:val="Heading1"/>
        <w:spacing w:before="229"/>
      </w:pPr>
      <w:r>
        <w:t>Respondent’s case</w:t>
      </w:r>
    </w:p>
    <w:p w:rsidR="0095654C" w:rsidRDefault="0095654C">
      <w:pPr>
        <w:pStyle w:val="BodyText"/>
        <w:rPr>
          <w:b/>
          <w:sz w:val="28"/>
        </w:rPr>
      </w:pPr>
    </w:p>
    <w:p w:rsidR="0095654C" w:rsidRPr="00ED4CFF" w:rsidRDefault="00ED4CFF" w:rsidP="00ED4CFF">
      <w:pPr>
        <w:tabs>
          <w:tab w:val="left" w:pos="680"/>
        </w:tabs>
        <w:spacing w:before="229" w:line="360" w:lineRule="auto"/>
        <w:ind w:left="679" w:right="116" w:hanging="567"/>
        <w:jc w:val="both"/>
        <w:rPr>
          <w:sz w:val="24"/>
        </w:rPr>
      </w:pPr>
      <w:r>
        <w:rPr>
          <w:spacing w:val="-9"/>
          <w:sz w:val="24"/>
        </w:rPr>
        <w:t>11.</w:t>
      </w:r>
      <w:r>
        <w:rPr>
          <w:spacing w:val="-9"/>
          <w:sz w:val="24"/>
        </w:rPr>
        <w:tab/>
      </w:r>
      <w:r w:rsidR="00E66E58" w:rsidRPr="00ED4CFF">
        <w:rPr>
          <w:color w:val="171717"/>
          <w:sz w:val="24"/>
        </w:rPr>
        <w:t>The Respondent’s answering affidavit was deposed to by Kim Richard Williams, a director of the Respondent. Mr Deonne Jonker, a former salesperson of the Respondent, deposed to a confirmatory affidavit in support of the Respondent’s answering</w:t>
      </w:r>
      <w:r w:rsidR="00E66E58" w:rsidRPr="00ED4CFF">
        <w:rPr>
          <w:color w:val="171717"/>
          <w:spacing w:val="-10"/>
          <w:sz w:val="24"/>
        </w:rPr>
        <w:t xml:space="preserve"> </w:t>
      </w:r>
      <w:r w:rsidR="00E66E58" w:rsidRPr="00ED4CFF">
        <w:rPr>
          <w:color w:val="171717"/>
          <w:sz w:val="24"/>
        </w:rPr>
        <w:t>affidavit.</w:t>
      </w:r>
    </w:p>
    <w:p w:rsidR="0095654C" w:rsidRDefault="0095654C">
      <w:pPr>
        <w:pStyle w:val="BodyText"/>
        <w:spacing w:before="1"/>
        <w:rPr>
          <w:sz w:val="36"/>
        </w:rPr>
      </w:pPr>
    </w:p>
    <w:p w:rsidR="0095654C" w:rsidRPr="00ED4CFF" w:rsidRDefault="00ED4CFF" w:rsidP="00ED4CFF">
      <w:pPr>
        <w:tabs>
          <w:tab w:val="left" w:pos="680"/>
        </w:tabs>
        <w:spacing w:line="360" w:lineRule="auto"/>
        <w:ind w:left="679" w:right="111" w:hanging="567"/>
        <w:jc w:val="both"/>
        <w:rPr>
          <w:sz w:val="24"/>
        </w:rPr>
      </w:pPr>
      <w:r>
        <w:rPr>
          <w:spacing w:val="-9"/>
          <w:sz w:val="24"/>
        </w:rPr>
        <w:t>12.</w:t>
      </w:r>
      <w:r>
        <w:rPr>
          <w:spacing w:val="-9"/>
          <w:sz w:val="24"/>
        </w:rPr>
        <w:tab/>
      </w:r>
      <w:r w:rsidR="00E66E58" w:rsidRPr="00ED4CFF">
        <w:rPr>
          <w:color w:val="171717"/>
          <w:sz w:val="24"/>
        </w:rPr>
        <w:t xml:space="preserve">The Respondent raised a </w:t>
      </w:r>
      <w:r w:rsidR="00E66E58" w:rsidRPr="00ED4CFF">
        <w:rPr>
          <w:i/>
          <w:color w:val="171717"/>
          <w:sz w:val="24"/>
        </w:rPr>
        <w:t xml:space="preserve">point in limine </w:t>
      </w:r>
      <w:r w:rsidR="00E66E58" w:rsidRPr="00ED4CFF">
        <w:rPr>
          <w:color w:val="171717"/>
          <w:sz w:val="24"/>
        </w:rPr>
        <w:t>that the Tribunal has no jurisdiction to deal with the complaint because the Respondent transacted with Mremble Solutions, a company duly registered as such. According to the Respondent, the complainant, Mr Hutamo, h</w:t>
      </w:r>
      <w:r w:rsidR="00E66E58" w:rsidRPr="00ED4CFF">
        <w:rPr>
          <w:color w:val="171717"/>
          <w:sz w:val="24"/>
        </w:rPr>
        <w:t xml:space="preserve">as no </w:t>
      </w:r>
      <w:r w:rsidR="00E66E58" w:rsidRPr="00ED4CFF">
        <w:rPr>
          <w:i/>
          <w:color w:val="171717"/>
          <w:sz w:val="24"/>
        </w:rPr>
        <w:t xml:space="preserve">locus standi, </w:t>
      </w:r>
      <w:r w:rsidR="00E66E58" w:rsidRPr="00ED4CFF">
        <w:rPr>
          <w:color w:val="171717"/>
          <w:sz w:val="24"/>
        </w:rPr>
        <w:t>since the Respondent concluded a sale agreement with Mremble Solutions. The Respondent believes that at the time of the transaction, Mremble Solutions had an asset value or annual turnover in excess of R2 million. Consequently, the sale and purchase transa</w:t>
      </w:r>
      <w:r w:rsidR="00E66E58" w:rsidRPr="00ED4CFF">
        <w:rPr>
          <w:color w:val="171717"/>
          <w:sz w:val="24"/>
        </w:rPr>
        <w:t>ction concluded between the Respondent and Mremble Solutions falls outside the scope of the CPA, and thus the Tribunal has no jurisdiction to deal with the matter. As proof that the transaction was with Mremble Solutions, the Respondent attached to its ans</w:t>
      </w:r>
      <w:r w:rsidR="00E66E58" w:rsidRPr="00ED4CFF">
        <w:rPr>
          <w:color w:val="171717"/>
          <w:sz w:val="24"/>
        </w:rPr>
        <w:t>wering affidavit, a release note</w:t>
      </w:r>
      <w:r w:rsidR="00E66E58" w:rsidRPr="00ED4CFF">
        <w:rPr>
          <w:color w:val="171717"/>
          <w:position w:val="6"/>
          <w:sz w:val="16"/>
        </w:rPr>
        <w:t xml:space="preserve">1 </w:t>
      </w:r>
      <w:r w:rsidR="00E66E58" w:rsidRPr="00ED4CFF">
        <w:rPr>
          <w:color w:val="171717"/>
          <w:sz w:val="24"/>
        </w:rPr>
        <w:t>issued to Mremble Solutions and signed by the complainant, on behalf of Mremble</w:t>
      </w:r>
      <w:r w:rsidR="00E66E58" w:rsidRPr="00ED4CFF">
        <w:rPr>
          <w:color w:val="171717"/>
          <w:spacing w:val="-4"/>
          <w:sz w:val="24"/>
        </w:rPr>
        <w:t xml:space="preserve"> </w:t>
      </w:r>
      <w:r w:rsidR="00E66E58" w:rsidRPr="00ED4CFF">
        <w:rPr>
          <w:color w:val="171717"/>
          <w:sz w:val="24"/>
        </w:rPr>
        <w:t>Solutions.</w:t>
      </w:r>
    </w:p>
    <w:p w:rsidR="0095654C" w:rsidRDefault="0095654C">
      <w:pPr>
        <w:pStyle w:val="BodyText"/>
        <w:rPr>
          <w:sz w:val="36"/>
        </w:rPr>
      </w:pPr>
    </w:p>
    <w:p w:rsidR="0095654C" w:rsidRPr="00ED4CFF" w:rsidRDefault="00ED4CFF" w:rsidP="00ED4CFF">
      <w:pPr>
        <w:tabs>
          <w:tab w:val="left" w:pos="680"/>
        </w:tabs>
        <w:spacing w:before="1" w:line="360" w:lineRule="auto"/>
        <w:ind w:left="679" w:right="113" w:hanging="567"/>
        <w:jc w:val="both"/>
        <w:rPr>
          <w:sz w:val="24"/>
        </w:rPr>
      </w:pPr>
      <w:r>
        <w:rPr>
          <w:spacing w:val="-9"/>
          <w:sz w:val="24"/>
        </w:rPr>
        <w:t>13.</w:t>
      </w:r>
      <w:r>
        <w:rPr>
          <w:spacing w:val="-9"/>
          <w:sz w:val="24"/>
        </w:rPr>
        <w:tab/>
      </w:r>
      <w:r w:rsidR="00E66E58" w:rsidRPr="00ED4CFF">
        <w:rPr>
          <w:color w:val="171717"/>
          <w:sz w:val="24"/>
        </w:rPr>
        <w:t>The Respondent submits that the complainant returned the truck on 8 November 2019, 8 days after purchase, with specific instructio</w:t>
      </w:r>
      <w:r w:rsidR="00E66E58" w:rsidRPr="00ED4CFF">
        <w:rPr>
          <w:color w:val="171717"/>
          <w:sz w:val="24"/>
        </w:rPr>
        <w:t>ns to the Respondent to do certain minor repairs relating to, inter alia, a tipping valve. The Respondent replaced the tipping valve at its own cost and did not charge for</w:t>
      </w:r>
      <w:r w:rsidR="00E66E58" w:rsidRPr="00ED4CFF">
        <w:rPr>
          <w:color w:val="171717"/>
          <w:spacing w:val="-38"/>
          <w:sz w:val="24"/>
        </w:rPr>
        <w:t xml:space="preserve"> </w:t>
      </w:r>
      <w:r w:rsidR="00E66E58" w:rsidRPr="00ED4CFF">
        <w:rPr>
          <w:color w:val="171717"/>
          <w:sz w:val="24"/>
        </w:rPr>
        <w:t>labour.</w:t>
      </w:r>
    </w:p>
    <w:p w:rsidR="0095654C" w:rsidRDefault="0095654C">
      <w:pPr>
        <w:pStyle w:val="BodyText"/>
        <w:rPr>
          <w:sz w:val="36"/>
        </w:rPr>
      </w:pPr>
    </w:p>
    <w:p w:rsidR="0095654C" w:rsidRPr="00ED4CFF" w:rsidRDefault="00ED4CFF" w:rsidP="00ED4CFF">
      <w:pPr>
        <w:tabs>
          <w:tab w:val="left" w:pos="679"/>
          <w:tab w:val="left" w:pos="680"/>
        </w:tabs>
        <w:spacing w:before="1"/>
        <w:ind w:left="679" w:hanging="568"/>
        <w:rPr>
          <w:color w:val="171717"/>
          <w:sz w:val="24"/>
        </w:rPr>
      </w:pPr>
      <w:r>
        <w:rPr>
          <w:color w:val="171717"/>
          <w:spacing w:val="-9"/>
          <w:sz w:val="24"/>
        </w:rPr>
        <w:t>14.</w:t>
      </w:r>
      <w:r>
        <w:rPr>
          <w:color w:val="171717"/>
          <w:spacing w:val="-9"/>
          <w:sz w:val="24"/>
        </w:rPr>
        <w:tab/>
      </w:r>
      <w:r w:rsidR="00E66E58" w:rsidRPr="00ED4CFF">
        <w:rPr>
          <w:color w:val="171717"/>
          <w:sz w:val="24"/>
        </w:rPr>
        <w:t>On 11 November 2019, the Respondent contacted the complainant indicating th</w:t>
      </w:r>
      <w:r w:rsidR="00E66E58" w:rsidRPr="00ED4CFF">
        <w:rPr>
          <w:color w:val="171717"/>
          <w:sz w:val="24"/>
        </w:rPr>
        <w:t>at the truck was</w:t>
      </w:r>
      <w:r w:rsidR="00E66E58" w:rsidRPr="00ED4CFF">
        <w:rPr>
          <w:color w:val="171717"/>
          <w:spacing w:val="-37"/>
          <w:sz w:val="24"/>
        </w:rPr>
        <w:t xml:space="preserve"> </w:t>
      </w:r>
      <w:r w:rsidR="00E66E58" w:rsidRPr="00ED4CFF">
        <w:rPr>
          <w:color w:val="171717"/>
          <w:sz w:val="24"/>
        </w:rPr>
        <w:t>ready</w:t>
      </w:r>
    </w:p>
    <w:p w:rsidR="0095654C" w:rsidRDefault="0095654C">
      <w:pPr>
        <w:pStyle w:val="BodyText"/>
        <w:rPr>
          <w:sz w:val="20"/>
        </w:rPr>
      </w:pPr>
    </w:p>
    <w:p w:rsidR="0095654C" w:rsidRDefault="0095654C">
      <w:pPr>
        <w:pStyle w:val="BodyText"/>
        <w:rPr>
          <w:sz w:val="20"/>
        </w:rPr>
      </w:pPr>
    </w:p>
    <w:p w:rsidR="0095654C" w:rsidRDefault="00E66E58">
      <w:pPr>
        <w:pStyle w:val="BodyText"/>
        <w:spacing w:before="6"/>
        <w:rPr>
          <w:sz w:val="11"/>
        </w:rPr>
      </w:pPr>
      <w:r>
        <w:pict>
          <v:shape id="_x0000_s1035" style="position:absolute;margin-left:56.65pt;margin-top:8.95pt;width:144.05pt;height:.1pt;z-index:-251656192;mso-wrap-distance-left:0;mso-wrap-distance-right:0;mso-position-horizontal-relative:page" coordorigin="1133,179" coordsize="2881,0" path="m1133,179r2881,e" filled="f" strokeweight=".72pt">
            <v:path arrowok="t"/>
            <w10:wrap type="topAndBottom" anchorx="page"/>
          </v:shape>
        </w:pict>
      </w:r>
    </w:p>
    <w:p w:rsidR="0095654C" w:rsidRDefault="00E66E58">
      <w:pPr>
        <w:spacing w:before="68"/>
        <w:ind w:left="112"/>
        <w:rPr>
          <w:sz w:val="20"/>
        </w:rPr>
      </w:pPr>
      <w:r>
        <w:rPr>
          <w:position w:val="5"/>
          <w:sz w:val="13"/>
        </w:rPr>
        <w:t xml:space="preserve">1 </w:t>
      </w:r>
      <w:r>
        <w:rPr>
          <w:sz w:val="20"/>
        </w:rPr>
        <w:t>Annexure D to the Respondent’s answering affidavit, page 133 of the bundle.</w:t>
      </w:r>
    </w:p>
    <w:p w:rsidR="0095654C" w:rsidRDefault="0095654C">
      <w:pPr>
        <w:rPr>
          <w:sz w:val="20"/>
        </w:rPr>
        <w:sectPr w:rsidR="0095654C">
          <w:pgSz w:w="11910" w:h="16840"/>
          <w:pgMar w:top="760" w:right="1020" w:bottom="600" w:left="1020" w:header="0" w:footer="405" w:gutter="0"/>
          <w:cols w:space="720"/>
        </w:sectPr>
      </w:pPr>
    </w:p>
    <w:p w:rsidR="0095654C" w:rsidRDefault="00E66E58">
      <w:pPr>
        <w:pStyle w:val="BodyText"/>
        <w:spacing w:before="79" w:line="360" w:lineRule="auto"/>
        <w:ind w:left="679" w:right="108"/>
        <w:jc w:val="both"/>
      </w:pPr>
      <w:r>
        <w:rPr>
          <w:color w:val="171717"/>
        </w:rPr>
        <w:lastRenderedPageBreak/>
        <w:t>for collection. On 12 November 2019, the complainant emailed the Respondent purporting to act in his personal capacity, and according</w:t>
      </w:r>
      <w:r>
        <w:rPr>
          <w:color w:val="171717"/>
        </w:rPr>
        <w:t xml:space="preserve"> to the Respondent, for the first time, indicating that when he returned the vehicle on 8 November 2019, the complainant had asked for a replacement or refund.</w:t>
      </w:r>
    </w:p>
    <w:p w:rsidR="0095654C" w:rsidRDefault="0095654C">
      <w:pPr>
        <w:pStyle w:val="BodyText"/>
        <w:rPr>
          <w:sz w:val="28"/>
        </w:rPr>
      </w:pPr>
    </w:p>
    <w:p w:rsidR="0095654C" w:rsidRDefault="0095654C">
      <w:pPr>
        <w:pStyle w:val="BodyText"/>
        <w:spacing w:before="3"/>
        <w:rPr>
          <w:sz w:val="25"/>
        </w:rPr>
      </w:pPr>
    </w:p>
    <w:p w:rsidR="0095654C" w:rsidRPr="00ED4CFF" w:rsidRDefault="00ED4CFF" w:rsidP="00ED4CFF">
      <w:pPr>
        <w:tabs>
          <w:tab w:val="left" w:pos="680"/>
        </w:tabs>
        <w:spacing w:line="360" w:lineRule="auto"/>
        <w:ind w:left="679" w:right="114" w:hanging="567"/>
        <w:jc w:val="both"/>
        <w:rPr>
          <w:sz w:val="24"/>
        </w:rPr>
      </w:pPr>
      <w:r>
        <w:rPr>
          <w:spacing w:val="-9"/>
          <w:sz w:val="24"/>
        </w:rPr>
        <w:t>15.</w:t>
      </w:r>
      <w:r>
        <w:rPr>
          <w:spacing w:val="-9"/>
          <w:sz w:val="24"/>
        </w:rPr>
        <w:tab/>
      </w:r>
      <w:r w:rsidR="00E66E58" w:rsidRPr="00ED4CFF">
        <w:rPr>
          <w:color w:val="171717"/>
          <w:sz w:val="24"/>
        </w:rPr>
        <w:t>On 13 November 2019, the Respondent replied to the complainant’s email, advising the complaina</w:t>
      </w:r>
      <w:r w:rsidR="00E66E58" w:rsidRPr="00ED4CFF">
        <w:rPr>
          <w:color w:val="171717"/>
          <w:sz w:val="24"/>
        </w:rPr>
        <w:t>nt that the minor faults on the truck had been attended to and that the truck was ready for collection. The Respondent further advised the complainant that the purchase transaction will not be</w:t>
      </w:r>
      <w:r w:rsidR="00E66E58" w:rsidRPr="00ED4CFF">
        <w:rPr>
          <w:color w:val="171717"/>
          <w:spacing w:val="-21"/>
          <w:sz w:val="24"/>
        </w:rPr>
        <w:t xml:space="preserve"> </w:t>
      </w:r>
      <w:r w:rsidR="00E66E58" w:rsidRPr="00ED4CFF">
        <w:rPr>
          <w:color w:val="171717"/>
          <w:sz w:val="24"/>
        </w:rPr>
        <w:t>cancelled.</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before="1" w:line="360" w:lineRule="auto"/>
        <w:ind w:left="679" w:right="112" w:hanging="567"/>
        <w:jc w:val="both"/>
        <w:rPr>
          <w:sz w:val="24"/>
        </w:rPr>
      </w:pPr>
      <w:r>
        <w:rPr>
          <w:spacing w:val="-9"/>
          <w:sz w:val="24"/>
        </w:rPr>
        <w:t>16.</w:t>
      </w:r>
      <w:r>
        <w:rPr>
          <w:spacing w:val="-9"/>
          <w:sz w:val="24"/>
        </w:rPr>
        <w:tab/>
      </w:r>
      <w:r w:rsidR="00E66E58" w:rsidRPr="00ED4CFF">
        <w:rPr>
          <w:color w:val="171717"/>
          <w:sz w:val="24"/>
        </w:rPr>
        <w:t>The Respondent submits that Mremble Solutions exercised its election in terms of section 56 (2)(a) of the Act, by specifically requesting that the truck should be repaired, an election which Mremble Solutions could not change or alter at a later stage. Whi</w:t>
      </w:r>
      <w:r w:rsidR="00E66E58" w:rsidRPr="00ED4CFF">
        <w:rPr>
          <w:color w:val="171717"/>
          <w:sz w:val="24"/>
        </w:rPr>
        <w:t>lst the Respondent denies that the truck was unsafe or defective, the so-called defects were in fact, minor as indicated in the job card attached as Annexure</w:t>
      </w:r>
      <w:r w:rsidR="00E66E58" w:rsidRPr="00ED4CFF">
        <w:rPr>
          <w:color w:val="171717"/>
          <w:spacing w:val="-1"/>
          <w:sz w:val="24"/>
        </w:rPr>
        <w:t xml:space="preserve"> </w:t>
      </w:r>
      <w:r w:rsidR="00E66E58" w:rsidRPr="00ED4CFF">
        <w:rPr>
          <w:color w:val="171717"/>
          <w:sz w:val="24"/>
        </w:rPr>
        <w:t>‘G’</w:t>
      </w:r>
      <w:r w:rsidR="00E66E58" w:rsidRPr="00ED4CFF">
        <w:rPr>
          <w:color w:val="171717"/>
          <w:position w:val="6"/>
          <w:sz w:val="16"/>
        </w:rPr>
        <w:t>2</w:t>
      </w:r>
      <w:r w:rsidR="00E66E58" w:rsidRPr="00ED4CFF">
        <w:rPr>
          <w:color w:val="171717"/>
          <w:sz w:val="24"/>
        </w:rPr>
        <w:t>.</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12" w:hanging="567"/>
        <w:jc w:val="both"/>
        <w:rPr>
          <w:sz w:val="24"/>
        </w:rPr>
      </w:pPr>
      <w:r>
        <w:rPr>
          <w:spacing w:val="-9"/>
          <w:sz w:val="24"/>
        </w:rPr>
        <w:t>17.</w:t>
      </w:r>
      <w:r>
        <w:rPr>
          <w:spacing w:val="-9"/>
          <w:sz w:val="24"/>
        </w:rPr>
        <w:tab/>
      </w:r>
      <w:r w:rsidR="00E66E58" w:rsidRPr="00ED4CFF">
        <w:rPr>
          <w:color w:val="171717"/>
          <w:sz w:val="24"/>
        </w:rPr>
        <w:t>The Respondent denies that it failed to honour the directive of the complainant. The Respondent further denies that that the truck did not satisfy the purpose for which it was bought. Whilst it is correct that tipping is a special feature for which the tru</w:t>
      </w:r>
      <w:r w:rsidR="00E66E58" w:rsidRPr="00ED4CFF">
        <w:rPr>
          <w:color w:val="171717"/>
          <w:sz w:val="24"/>
        </w:rPr>
        <w:t xml:space="preserve">ck was purchased, the Respondent submits that the complainant inspected the vehicle before delivery and used it for 8 days and upon return there was no problem with the tipping. An expert report indicates that </w:t>
      </w:r>
      <w:r w:rsidR="00E66E58" w:rsidRPr="00ED4CFF">
        <w:rPr>
          <w:color w:val="171717"/>
          <w:spacing w:val="2"/>
          <w:sz w:val="24"/>
        </w:rPr>
        <w:t xml:space="preserve">the </w:t>
      </w:r>
      <w:r w:rsidR="00E66E58" w:rsidRPr="00ED4CFF">
        <w:rPr>
          <w:color w:val="171717"/>
          <w:sz w:val="24"/>
        </w:rPr>
        <w:t xml:space="preserve">truck is able to tip and therefore is not </w:t>
      </w:r>
      <w:r w:rsidR="00E66E58" w:rsidRPr="00ED4CFF">
        <w:rPr>
          <w:color w:val="171717"/>
          <w:sz w:val="24"/>
        </w:rPr>
        <w:t>unusable and worthless as alleged by the</w:t>
      </w:r>
      <w:r w:rsidR="00E66E58" w:rsidRPr="00ED4CFF">
        <w:rPr>
          <w:color w:val="171717"/>
          <w:spacing w:val="-13"/>
          <w:sz w:val="24"/>
        </w:rPr>
        <w:t xml:space="preserve"> </w:t>
      </w:r>
      <w:r w:rsidR="00E66E58" w:rsidRPr="00ED4CFF">
        <w:rPr>
          <w:color w:val="171717"/>
          <w:sz w:val="24"/>
        </w:rPr>
        <w:t>Applicant.</w:t>
      </w:r>
    </w:p>
    <w:p w:rsidR="0095654C" w:rsidRDefault="0095654C">
      <w:pPr>
        <w:pStyle w:val="BodyText"/>
        <w:rPr>
          <w:sz w:val="28"/>
        </w:rPr>
      </w:pPr>
    </w:p>
    <w:p w:rsidR="0095654C" w:rsidRDefault="0095654C">
      <w:pPr>
        <w:pStyle w:val="BodyText"/>
        <w:spacing w:before="7"/>
        <w:rPr>
          <w:sz w:val="25"/>
        </w:rPr>
      </w:pPr>
    </w:p>
    <w:p w:rsidR="0095654C" w:rsidRDefault="00E66E58">
      <w:pPr>
        <w:pStyle w:val="Heading1"/>
      </w:pPr>
      <w:r>
        <w:rPr>
          <w:color w:val="171717"/>
        </w:rPr>
        <w:t>The Applicant’s reply</w:t>
      </w:r>
    </w:p>
    <w:p w:rsidR="0095654C" w:rsidRDefault="0095654C">
      <w:pPr>
        <w:pStyle w:val="BodyText"/>
        <w:rPr>
          <w:b/>
          <w:sz w:val="28"/>
        </w:rPr>
      </w:pPr>
    </w:p>
    <w:p w:rsidR="0095654C" w:rsidRDefault="0095654C">
      <w:pPr>
        <w:pStyle w:val="BodyText"/>
        <w:rPr>
          <w:b/>
          <w:sz w:val="28"/>
        </w:rPr>
      </w:pPr>
    </w:p>
    <w:p w:rsidR="0095654C" w:rsidRDefault="0095654C">
      <w:pPr>
        <w:pStyle w:val="BodyText"/>
        <w:spacing w:before="8"/>
        <w:rPr>
          <w:b/>
          <w:sz w:val="26"/>
        </w:rPr>
      </w:pPr>
    </w:p>
    <w:p w:rsidR="0095654C" w:rsidRPr="00ED4CFF" w:rsidRDefault="00ED4CFF" w:rsidP="00ED4CFF">
      <w:pPr>
        <w:tabs>
          <w:tab w:val="left" w:pos="680"/>
        </w:tabs>
        <w:spacing w:line="360" w:lineRule="auto"/>
        <w:ind w:left="679" w:right="115" w:hanging="567"/>
        <w:jc w:val="both"/>
        <w:rPr>
          <w:sz w:val="24"/>
        </w:rPr>
      </w:pPr>
      <w:r>
        <w:rPr>
          <w:spacing w:val="-9"/>
          <w:sz w:val="24"/>
        </w:rPr>
        <w:t>18.</w:t>
      </w:r>
      <w:r>
        <w:rPr>
          <w:spacing w:val="-9"/>
          <w:sz w:val="24"/>
        </w:rPr>
        <w:tab/>
      </w:r>
      <w:r w:rsidR="00E66E58" w:rsidRPr="00ED4CFF">
        <w:rPr>
          <w:color w:val="171717"/>
          <w:sz w:val="24"/>
        </w:rPr>
        <w:t>The Applicant’s replying affidavit was deposed to by Joseph Selolo, who at the time was the Acting Commissioner in the employ of the Applicant. The complainant deposed to a conf</w:t>
      </w:r>
      <w:r w:rsidR="00E66E58" w:rsidRPr="00ED4CFF">
        <w:rPr>
          <w:color w:val="171717"/>
          <w:sz w:val="24"/>
        </w:rPr>
        <w:t>irmatory affidavit in support of the Applicant’s replying</w:t>
      </w:r>
      <w:r w:rsidR="00E66E58" w:rsidRPr="00ED4CFF">
        <w:rPr>
          <w:color w:val="171717"/>
          <w:spacing w:val="-6"/>
          <w:sz w:val="24"/>
        </w:rPr>
        <w:t xml:space="preserve"> </w:t>
      </w:r>
      <w:r w:rsidR="00E66E58" w:rsidRPr="00ED4CFF">
        <w:rPr>
          <w:color w:val="171717"/>
          <w:sz w:val="24"/>
        </w:rPr>
        <w:t>affidavit.</w:t>
      </w:r>
    </w:p>
    <w:p w:rsidR="0095654C" w:rsidRDefault="0095654C">
      <w:pPr>
        <w:pStyle w:val="BodyText"/>
        <w:spacing w:before="2"/>
        <w:rPr>
          <w:sz w:val="36"/>
        </w:rPr>
      </w:pPr>
    </w:p>
    <w:p w:rsidR="0095654C" w:rsidRPr="00ED4CFF" w:rsidRDefault="00ED4CFF" w:rsidP="00ED4CFF">
      <w:pPr>
        <w:tabs>
          <w:tab w:val="left" w:pos="680"/>
        </w:tabs>
        <w:spacing w:line="360" w:lineRule="auto"/>
        <w:ind w:left="679" w:right="113" w:hanging="567"/>
        <w:jc w:val="both"/>
        <w:rPr>
          <w:sz w:val="24"/>
        </w:rPr>
      </w:pPr>
      <w:r>
        <w:rPr>
          <w:spacing w:val="-9"/>
          <w:sz w:val="24"/>
        </w:rPr>
        <w:t>19.</w:t>
      </w:r>
      <w:r>
        <w:rPr>
          <w:spacing w:val="-9"/>
          <w:sz w:val="24"/>
        </w:rPr>
        <w:tab/>
      </w:r>
      <w:r w:rsidR="00E66E58" w:rsidRPr="00ED4CFF">
        <w:rPr>
          <w:color w:val="171717"/>
          <w:sz w:val="24"/>
        </w:rPr>
        <w:t xml:space="preserve">The Applicant refutes the allegation of lack of </w:t>
      </w:r>
      <w:r w:rsidR="00E66E58" w:rsidRPr="00ED4CFF">
        <w:rPr>
          <w:i/>
          <w:color w:val="171717"/>
          <w:sz w:val="24"/>
        </w:rPr>
        <w:t xml:space="preserve">locus standi </w:t>
      </w:r>
      <w:r w:rsidR="00E66E58" w:rsidRPr="00ED4CFF">
        <w:rPr>
          <w:color w:val="171717"/>
          <w:sz w:val="24"/>
        </w:rPr>
        <w:t>by the complainant. According to the Applicant, Mremble Solutions took a resolution</w:t>
      </w:r>
      <w:r w:rsidR="00E66E58" w:rsidRPr="00ED4CFF">
        <w:rPr>
          <w:color w:val="171717"/>
          <w:position w:val="6"/>
          <w:sz w:val="16"/>
        </w:rPr>
        <w:t>3</w:t>
      </w:r>
      <w:r w:rsidR="00E66E58" w:rsidRPr="00ED4CFF">
        <w:rPr>
          <w:color w:val="171717"/>
          <w:sz w:val="24"/>
        </w:rPr>
        <w:t>, authorising the complainant to represen</w:t>
      </w:r>
      <w:r w:rsidR="00E66E58" w:rsidRPr="00ED4CFF">
        <w:rPr>
          <w:color w:val="171717"/>
          <w:sz w:val="24"/>
        </w:rPr>
        <w:t>t the company in purchasing the two trucks, bought on 31 October 2019 from the Respondent. At all material times the Respondent was aware, through its representatives, of the complainant and had been in communication with him.</w:t>
      </w:r>
    </w:p>
    <w:p w:rsidR="0095654C" w:rsidRDefault="00E66E58">
      <w:pPr>
        <w:pStyle w:val="BodyText"/>
        <w:spacing w:before="10"/>
        <w:rPr>
          <w:sz w:val="22"/>
        </w:rPr>
      </w:pPr>
      <w:r>
        <w:pict>
          <v:shape id="_x0000_s1034" style="position:absolute;margin-left:56.65pt;margin-top:15.5pt;width:144.05pt;height:.1pt;z-index:-251655168;mso-wrap-distance-left:0;mso-wrap-distance-right:0;mso-position-horizontal-relative:page" coordorigin="1133,310" coordsize="2881,0" path="m1133,310r2881,e" filled="f" strokeweight=".72pt">
            <v:path arrowok="t"/>
            <w10:wrap type="topAndBottom" anchorx="page"/>
          </v:shape>
        </w:pict>
      </w:r>
    </w:p>
    <w:p w:rsidR="0095654C" w:rsidRDefault="00E66E58">
      <w:pPr>
        <w:spacing w:before="70" w:line="229" w:lineRule="exact"/>
        <w:ind w:left="112"/>
        <w:rPr>
          <w:sz w:val="20"/>
        </w:rPr>
      </w:pPr>
      <w:r>
        <w:rPr>
          <w:position w:val="5"/>
          <w:sz w:val="13"/>
        </w:rPr>
        <w:t xml:space="preserve">2 </w:t>
      </w:r>
      <w:r>
        <w:rPr>
          <w:sz w:val="20"/>
        </w:rPr>
        <w:t>Page 137 of the bundle.</w:t>
      </w:r>
    </w:p>
    <w:p w:rsidR="0095654C" w:rsidRDefault="00E66E58">
      <w:pPr>
        <w:spacing w:line="229" w:lineRule="exact"/>
        <w:ind w:left="112"/>
        <w:rPr>
          <w:sz w:val="20"/>
        </w:rPr>
      </w:pPr>
      <w:r>
        <w:rPr>
          <w:position w:val="5"/>
          <w:sz w:val="13"/>
        </w:rPr>
        <w:t xml:space="preserve">3 </w:t>
      </w:r>
      <w:r>
        <w:rPr>
          <w:sz w:val="20"/>
        </w:rPr>
        <w:t>Annexure A to Applicant’s replying affidavit (Board Resolution), page 192 of the bundle.</w:t>
      </w:r>
    </w:p>
    <w:p w:rsidR="0095654C" w:rsidRDefault="0095654C">
      <w:pPr>
        <w:spacing w:line="229" w:lineRule="exact"/>
        <w:rPr>
          <w:sz w:val="20"/>
        </w:rPr>
        <w:sectPr w:rsidR="0095654C">
          <w:pgSz w:w="11910" w:h="16840"/>
          <w:pgMar w:top="760" w:right="1020" w:bottom="600" w:left="1020" w:header="0" w:footer="405" w:gutter="0"/>
          <w:cols w:space="720"/>
        </w:sectPr>
      </w:pPr>
    </w:p>
    <w:p w:rsidR="0095654C" w:rsidRPr="00ED4CFF" w:rsidRDefault="00ED4CFF" w:rsidP="00ED4CFF">
      <w:pPr>
        <w:tabs>
          <w:tab w:val="left" w:pos="680"/>
        </w:tabs>
        <w:spacing w:before="79" w:line="360" w:lineRule="auto"/>
        <w:ind w:left="679" w:right="113" w:hanging="567"/>
        <w:jc w:val="both"/>
        <w:rPr>
          <w:sz w:val="24"/>
        </w:rPr>
      </w:pPr>
      <w:r>
        <w:rPr>
          <w:spacing w:val="-9"/>
          <w:sz w:val="24"/>
        </w:rPr>
        <w:lastRenderedPageBreak/>
        <w:t>20.</w:t>
      </w:r>
      <w:r>
        <w:rPr>
          <w:spacing w:val="-9"/>
          <w:sz w:val="24"/>
        </w:rPr>
        <w:tab/>
      </w:r>
      <w:r w:rsidR="00E66E58" w:rsidRPr="00ED4CFF">
        <w:rPr>
          <w:color w:val="171717"/>
          <w:sz w:val="24"/>
        </w:rPr>
        <w:t>Nonetheless, the Applicant submits that should the Tribunal find that the complainant was not duly authorised to lodge a complaint on behalf of Mre</w:t>
      </w:r>
      <w:r w:rsidR="00E66E58" w:rsidRPr="00ED4CFF">
        <w:rPr>
          <w:color w:val="171717"/>
          <w:sz w:val="24"/>
        </w:rPr>
        <w:t xml:space="preserve">mble Solutions, the Applicant argues that the complainant is nevertheless a consumer as defined in terms of section 1 of the Act. As such, the complainant is entitled to lodge a complaint on his own, as a person who received the goods, being the truck and </w:t>
      </w:r>
      <w:r w:rsidR="00E66E58" w:rsidRPr="00ED4CFF">
        <w:rPr>
          <w:color w:val="171717"/>
          <w:sz w:val="24"/>
        </w:rPr>
        <w:t>is also the user of the</w:t>
      </w:r>
      <w:r w:rsidR="00E66E58" w:rsidRPr="00ED4CFF">
        <w:rPr>
          <w:color w:val="171717"/>
          <w:spacing w:val="-14"/>
          <w:sz w:val="24"/>
        </w:rPr>
        <w:t xml:space="preserve"> </w:t>
      </w:r>
      <w:r w:rsidR="00E66E58" w:rsidRPr="00ED4CFF">
        <w:rPr>
          <w:color w:val="171717"/>
          <w:sz w:val="24"/>
        </w:rPr>
        <w:t>goods.</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09" w:hanging="567"/>
        <w:jc w:val="both"/>
        <w:rPr>
          <w:sz w:val="24"/>
        </w:rPr>
      </w:pPr>
      <w:r>
        <w:rPr>
          <w:spacing w:val="-9"/>
          <w:sz w:val="24"/>
        </w:rPr>
        <w:t>21.</w:t>
      </w:r>
      <w:r>
        <w:rPr>
          <w:spacing w:val="-9"/>
          <w:sz w:val="24"/>
        </w:rPr>
        <w:tab/>
      </w:r>
      <w:r w:rsidR="00E66E58" w:rsidRPr="00ED4CFF">
        <w:rPr>
          <w:color w:val="171717"/>
          <w:sz w:val="24"/>
        </w:rPr>
        <w:t>The Applicant further submits that the complainant took possession of the truck on 5 November 2019 and not on 31 October 2019, as claimed by the Respondent, despite the release note having been signed on the latter date. Up</w:t>
      </w:r>
      <w:r w:rsidR="00E66E58" w:rsidRPr="00ED4CFF">
        <w:rPr>
          <w:color w:val="171717"/>
          <w:sz w:val="24"/>
        </w:rPr>
        <w:t>on collection of the truck, the complainant discovered that the oil tank was falling apart, air pipes were broken, and the truck could not tip. On 8 November 2019, the complainant returned the truck for a replacement or refund and not for repair as alleged</w:t>
      </w:r>
      <w:r w:rsidR="00E66E58" w:rsidRPr="00ED4CFF">
        <w:rPr>
          <w:color w:val="171717"/>
          <w:sz w:val="24"/>
        </w:rPr>
        <w:t xml:space="preserve"> by the Respondent. The Applicant alleges that Mr Kim Williamson promised to have the truck replaced by 11 November 2019. This did not</w:t>
      </w:r>
      <w:r w:rsidR="00E66E58" w:rsidRPr="00ED4CFF">
        <w:rPr>
          <w:color w:val="171717"/>
          <w:spacing w:val="-4"/>
          <w:sz w:val="24"/>
        </w:rPr>
        <w:t xml:space="preserve"> </w:t>
      </w:r>
      <w:r w:rsidR="00E66E58" w:rsidRPr="00ED4CFF">
        <w:rPr>
          <w:color w:val="171717"/>
          <w:sz w:val="24"/>
        </w:rPr>
        <w:t>happen.</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10" w:hanging="567"/>
        <w:jc w:val="both"/>
        <w:rPr>
          <w:sz w:val="24"/>
        </w:rPr>
      </w:pPr>
      <w:r>
        <w:rPr>
          <w:spacing w:val="-9"/>
          <w:sz w:val="24"/>
        </w:rPr>
        <w:t>22.</w:t>
      </w:r>
      <w:r>
        <w:rPr>
          <w:spacing w:val="-9"/>
          <w:sz w:val="24"/>
        </w:rPr>
        <w:tab/>
      </w:r>
      <w:r w:rsidR="00E66E58" w:rsidRPr="00ED4CFF">
        <w:rPr>
          <w:sz w:val="24"/>
        </w:rPr>
        <w:t>Regarding the Respondent’s allegation that Mremble Solutions had an asset value or annual turnover in excess of R2 million, the Applicant submits that the company was registered on 15 July 2019 and at the time of the transaction the company had no money an</w:t>
      </w:r>
      <w:r w:rsidR="00E66E58" w:rsidRPr="00ED4CFF">
        <w:rPr>
          <w:sz w:val="24"/>
        </w:rPr>
        <w:t>d did not own any assets. As such, the Applicant argues that the Respondent’s allegation on this point stands to fail for lack of</w:t>
      </w:r>
      <w:r w:rsidR="00E66E58" w:rsidRPr="00ED4CFF">
        <w:rPr>
          <w:spacing w:val="-19"/>
          <w:sz w:val="24"/>
        </w:rPr>
        <w:t xml:space="preserve"> </w:t>
      </w:r>
      <w:r w:rsidR="00E66E58" w:rsidRPr="00ED4CFF">
        <w:rPr>
          <w:sz w:val="24"/>
        </w:rPr>
        <w:t>substance.</w:t>
      </w:r>
    </w:p>
    <w:p w:rsidR="0095654C" w:rsidRDefault="0095654C">
      <w:pPr>
        <w:pStyle w:val="BodyText"/>
        <w:rPr>
          <w:sz w:val="28"/>
        </w:rPr>
      </w:pPr>
    </w:p>
    <w:p w:rsidR="0095654C" w:rsidRDefault="0095654C">
      <w:pPr>
        <w:pStyle w:val="BodyText"/>
        <w:spacing w:before="5"/>
        <w:rPr>
          <w:sz w:val="25"/>
        </w:rPr>
      </w:pPr>
    </w:p>
    <w:p w:rsidR="0095654C" w:rsidRDefault="00E66E58">
      <w:pPr>
        <w:pStyle w:val="Heading1"/>
      </w:pPr>
      <w:r>
        <w:rPr>
          <w:color w:val="171717"/>
        </w:rPr>
        <w:t>THE HEARING</w:t>
      </w:r>
    </w:p>
    <w:p w:rsidR="0095654C" w:rsidRDefault="0095654C">
      <w:pPr>
        <w:pStyle w:val="BodyText"/>
        <w:rPr>
          <w:b/>
          <w:sz w:val="28"/>
        </w:rPr>
      </w:pPr>
    </w:p>
    <w:p w:rsidR="0095654C" w:rsidRPr="00ED4CFF" w:rsidRDefault="00ED4CFF" w:rsidP="00ED4CFF">
      <w:pPr>
        <w:tabs>
          <w:tab w:val="left" w:pos="680"/>
        </w:tabs>
        <w:spacing w:before="229" w:line="360" w:lineRule="auto"/>
        <w:ind w:left="679" w:right="112" w:hanging="567"/>
        <w:jc w:val="both"/>
        <w:rPr>
          <w:sz w:val="24"/>
        </w:rPr>
      </w:pPr>
      <w:r>
        <w:rPr>
          <w:spacing w:val="-9"/>
          <w:sz w:val="24"/>
        </w:rPr>
        <w:t>23.</w:t>
      </w:r>
      <w:r>
        <w:rPr>
          <w:spacing w:val="-9"/>
          <w:sz w:val="24"/>
        </w:rPr>
        <w:tab/>
      </w:r>
      <w:r w:rsidR="00E66E58" w:rsidRPr="00ED4CFF">
        <w:rPr>
          <w:sz w:val="24"/>
        </w:rPr>
        <w:t>At the hearing, the Applicant re-iterated the allegations contained in its founding and replying aff</w:t>
      </w:r>
      <w:r w:rsidR="00E66E58" w:rsidRPr="00ED4CFF">
        <w:rPr>
          <w:sz w:val="24"/>
        </w:rPr>
        <w:t xml:space="preserve">idavits. The panel requested the Applicant to clarify who the actual complainant is, given the fact that in its founding papers an impression is given that Mr Hutamo is the complainant and not acting on behalf of Mremble Solutions. The Applicant requested </w:t>
      </w:r>
      <w:r w:rsidR="00E66E58" w:rsidRPr="00ED4CFF">
        <w:rPr>
          <w:sz w:val="24"/>
        </w:rPr>
        <w:t>time to respond to the Tribunal. The Tribunal directed that the Respondent should then address the Tribunal and that the Applicant would then be given time to reply to the Respondent’s submissions and respond to questions raised by the</w:t>
      </w:r>
      <w:r w:rsidR="00E66E58" w:rsidRPr="00ED4CFF">
        <w:rPr>
          <w:spacing w:val="-16"/>
          <w:sz w:val="24"/>
        </w:rPr>
        <w:t xml:space="preserve"> </w:t>
      </w:r>
      <w:r w:rsidR="00E66E58" w:rsidRPr="00ED4CFF">
        <w:rPr>
          <w:sz w:val="24"/>
        </w:rPr>
        <w:t>panel.</w:t>
      </w:r>
    </w:p>
    <w:p w:rsidR="0095654C" w:rsidRDefault="0095654C">
      <w:pPr>
        <w:pStyle w:val="BodyText"/>
        <w:spacing w:before="1"/>
        <w:rPr>
          <w:sz w:val="36"/>
        </w:rPr>
      </w:pPr>
    </w:p>
    <w:p w:rsidR="0095654C" w:rsidRPr="00ED4CFF" w:rsidRDefault="00ED4CFF" w:rsidP="00ED4CFF">
      <w:pPr>
        <w:tabs>
          <w:tab w:val="left" w:pos="679"/>
          <w:tab w:val="left" w:pos="680"/>
        </w:tabs>
        <w:spacing w:line="360" w:lineRule="auto"/>
        <w:ind w:left="679" w:right="109" w:hanging="567"/>
        <w:rPr>
          <w:sz w:val="24"/>
        </w:rPr>
      </w:pPr>
      <w:r>
        <w:rPr>
          <w:spacing w:val="-9"/>
          <w:sz w:val="24"/>
        </w:rPr>
        <w:t>24.</w:t>
      </w:r>
      <w:r>
        <w:rPr>
          <w:spacing w:val="-9"/>
          <w:sz w:val="24"/>
        </w:rPr>
        <w:tab/>
      </w:r>
      <w:r w:rsidR="00E66E58" w:rsidRPr="00ED4CFF">
        <w:rPr>
          <w:sz w:val="24"/>
        </w:rPr>
        <w:t>The Respondent, in its opening remarks, highlighted three issues that require the Tribunal’s determination:</w:t>
      </w:r>
    </w:p>
    <w:p w:rsidR="0095654C" w:rsidRPr="00ED4CFF" w:rsidRDefault="00ED4CFF" w:rsidP="00ED4CFF">
      <w:pPr>
        <w:tabs>
          <w:tab w:val="left" w:pos="1553"/>
          <w:tab w:val="left" w:pos="1554"/>
        </w:tabs>
        <w:spacing w:line="275" w:lineRule="exact"/>
        <w:ind w:left="1553" w:hanging="875"/>
        <w:rPr>
          <w:sz w:val="24"/>
        </w:rPr>
      </w:pPr>
      <w:r>
        <w:rPr>
          <w:spacing w:val="-2"/>
          <w:sz w:val="24"/>
        </w:rPr>
        <w:t>24.1.</w:t>
      </w:r>
      <w:r>
        <w:rPr>
          <w:spacing w:val="-2"/>
          <w:sz w:val="24"/>
        </w:rPr>
        <w:tab/>
      </w:r>
      <w:r w:rsidR="00E66E58" w:rsidRPr="00ED4CFF">
        <w:rPr>
          <w:sz w:val="24"/>
        </w:rPr>
        <w:t xml:space="preserve">The </w:t>
      </w:r>
      <w:r w:rsidR="00E66E58" w:rsidRPr="00ED4CFF">
        <w:rPr>
          <w:i/>
          <w:sz w:val="24"/>
        </w:rPr>
        <w:t xml:space="preserve">locus standi </w:t>
      </w:r>
      <w:r w:rsidR="00E66E58" w:rsidRPr="00ED4CFF">
        <w:rPr>
          <w:sz w:val="24"/>
        </w:rPr>
        <w:t>of the</w:t>
      </w:r>
      <w:r w:rsidR="00E66E58" w:rsidRPr="00ED4CFF">
        <w:rPr>
          <w:spacing w:val="-2"/>
          <w:sz w:val="24"/>
        </w:rPr>
        <w:t xml:space="preserve"> </w:t>
      </w:r>
      <w:r w:rsidR="00E66E58" w:rsidRPr="00ED4CFF">
        <w:rPr>
          <w:sz w:val="24"/>
        </w:rPr>
        <w:t>complainant/consumer;</w:t>
      </w:r>
    </w:p>
    <w:p w:rsidR="0095654C" w:rsidRPr="00ED4CFF" w:rsidRDefault="00ED4CFF" w:rsidP="00ED4CFF">
      <w:pPr>
        <w:tabs>
          <w:tab w:val="left" w:pos="1553"/>
          <w:tab w:val="left" w:pos="1554"/>
        </w:tabs>
        <w:spacing w:before="138" w:line="360" w:lineRule="auto"/>
        <w:ind w:left="1553" w:right="117" w:hanging="874"/>
        <w:rPr>
          <w:sz w:val="24"/>
        </w:rPr>
      </w:pPr>
      <w:r>
        <w:rPr>
          <w:spacing w:val="-2"/>
          <w:sz w:val="24"/>
        </w:rPr>
        <w:t>24.2.</w:t>
      </w:r>
      <w:r>
        <w:rPr>
          <w:spacing w:val="-2"/>
          <w:sz w:val="24"/>
        </w:rPr>
        <w:tab/>
      </w:r>
      <w:r w:rsidR="00E66E58" w:rsidRPr="00ED4CFF">
        <w:rPr>
          <w:sz w:val="24"/>
        </w:rPr>
        <w:t>A dispute of fact as to whether Mr Hutamo sought a refund, a replacement of the truck or a repair of t</w:t>
      </w:r>
      <w:r w:rsidR="00E66E58" w:rsidRPr="00ED4CFF">
        <w:rPr>
          <w:sz w:val="24"/>
        </w:rPr>
        <w:t>he default;</w:t>
      </w:r>
      <w:r w:rsidR="00E66E58" w:rsidRPr="00ED4CFF">
        <w:rPr>
          <w:spacing w:val="-9"/>
          <w:sz w:val="24"/>
        </w:rPr>
        <w:t xml:space="preserve"> </w:t>
      </w:r>
      <w:r w:rsidR="00E66E58" w:rsidRPr="00ED4CFF">
        <w:rPr>
          <w:sz w:val="24"/>
        </w:rPr>
        <w:t>and</w:t>
      </w:r>
    </w:p>
    <w:p w:rsidR="0095654C" w:rsidRDefault="0095654C">
      <w:pPr>
        <w:spacing w:line="360" w:lineRule="auto"/>
        <w:rPr>
          <w:sz w:val="24"/>
        </w:rPr>
        <w:sectPr w:rsidR="0095654C">
          <w:pgSz w:w="11910" w:h="16840"/>
          <w:pgMar w:top="760" w:right="1020" w:bottom="680" w:left="1020" w:header="0" w:footer="405" w:gutter="0"/>
          <w:cols w:space="720"/>
        </w:sectPr>
      </w:pPr>
    </w:p>
    <w:p w:rsidR="0095654C" w:rsidRPr="00ED4CFF" w:rsidRDefault="00ED4CFF" w:rsidP="00ED4CFF">
      <w:pPr>
        <w:tabs>
          <w:tab w:val="left" w:pos="1554"/>
        </w:tabs>
        <w:spacing w:before="79" w:line="360" w:lineRule="auto"/>
        <w:ind w:left="1553" w:right="109" w:hanging="874"/>
        <w:jc w:val="both"/>
        <w:rPr>
          <w:sz w:val="24"/>
        </w:rPr>
      </w:pPr>
      <w:r>
        <w:rPr>
          <w:spacing w:val="-2"/>
          <w:sz w:val="24"/>
        </w:rPr>
        <w:lastRenderedPageBreak/>
        <w:t>24.3.</w:t>
      </w:r>
      <w:r>
        <w:rPr>
          <w:spacing w:val="-2"/>
          <w:sz w:val="24"/>
        </w:rPr>
        <w:tab/>
      </w:r>
      <w:r w:rsidR="00E66E58" w:rsidRPr="00ED4CFF">
        <w:rPr>
          <w:sz w:val="24"/>
        </w:rPr>
        <w:t>If the Tribunal were to find that a refund for the purchase price was sought by Mr Hutamo, the question that arises is whether the defect was of such a nature that would justify a refund, given that it is a minor</w:t>
      </w:r>
      <w:r w:rsidR="00E66E58" w:rsidRPr="00ED4CFF">
        <w:rPr>
          <w:spacing w:val="-6"/>
          <w:sz w:val="24"/>
        </w:rPr>
        <w:t xml:space="preserve"> </w:t>
      </w:r>
      <w:r w:rsidR="00E66E58" w:rsidRPr="00ED4CFF">
        <w:rPr>
          <w:sz w:val="24"/>
        </w:rPr>
        <w:t>defect.</w:t>
      </w:r>
    </w:p>
    <w:p w:rsidR="0095654C" w:rsidRDefault="0095654C">
      <w:pPr>
        <w:pStyle w:val="BodyText"/>
        <w:spacing w:before="10"/>
        <w:rPr>
          <w:sz w:val="35"/>
        </w:rPr>
      </w:pPr>
    </w:p>
    <w:p w:rsidR="0095654C" w:rsidRPr="00ED4CFF" w:rsidRDefault="00ED4CFF" w:rsidP="00ED4CFF">
      <w:pPr>
        <w:tabs>
          <w:tab w:val="left" w:pos="680"/>
        </w:tabs>
        <w:spacing w:before="1" w:line="360" w:lineRule="auto"/>
        <w:ind w:left="679" w:right="110" w:hanging="567"/>
        <w:jc w:val="both"/>
        <w:rPr>
          <w:sz w:val="24"/>
        </w:rPr>
      </w:pPr>
      <w:r>
        <w:rPr>
          <w:spacing w:val="-9"/>
          <w:sz w:val="24"/>
        </w:rPr>
        <w:t>25.</w:t>
      </w:r>
      <w:r>
        <w:rPr>
          <w:spacing w:val="-9"/>
          <w:sz w:val="24"/>
        </w:rPr>
        <w:tab/>
      </w:r>
      <w:r w:rsidR="00E66E58" w:rsidRPr="00ED4CFF">
        <w:rPr>
          <w:sz w:val="24"/>
        </w:rPr>
        <w:t xml:space="preserve">The Respondent then requested to call two to three witnesses to testify on behalf of the Respondent. The hearing adjourned to allow the Respondent time to arrange and call the witnesses. Upon resumption of the hearing, the Respondent abandoned its request </w:t>
      </w:r>
      <w:r w:rsidR="00E66E58" w:rsidRPr="00ED4CFF">
        <w:rPr>
          <w:sz w:val="24"/>
        </w:rPr>
        <w:t>to call</w:t>
      </w:r>
      <w:r w:rsidR="00E66E58" w:rsidRPr="00ED4CFF">
        <w:rPr>
          <w:spacing w:val="-20"/>
          <w:sz w:val="24"/>
        </w:rPr>
        <w:t xml:space="preserve"> </w:t>
      </w:r>
      <w:r w:rsidR="00E66E58" w:rsidRPr="00ED4CFF">
        <w:rPr>
          <w:sz w:val="24"/>
        </w:rPr>
        <w:t>witnesses.</w:t>
      </w:r>
    </w:p>
    <w:p w:rsidR="0095654C" w:rsidRDefault="0095654C">
      <w:pPr>
        <w:pStyle w:val="BodyText"/>
        <w:spacing w:before="1"/>
        <w:rPr>
          <w:sz w:val="36"/>
        </w:rPr>
      </w:pPr>
    </w:p>
    <w:p w:rsidR="0095654C" w:rsidRPr="00ED4CFF" w:rsidRDefault="00ED4CFF" w:rsidP="00ED4CFF">
      <w:pPr>
        <w:tabs>
          <w:tab w:val="left" w:pos="680"/>
        </w:tabs>
        <w:spacing w:line="360" w:lineRule="auto"/>
        <w:ind w:left="679" w:right="109" w:hanging="567"/>
        <w:jc w:val="both"/>
        <w:rPr>
          <w:sz w:val="24"/>
        </w:rPr>
      </w:pPr>
      <w:r>
        <w:rPr>
          <w:spacing w:val="-9"/>
          <w:sz w:val="24"/>
        </w:rPr>
        <w:t>26.</w:t>
      </w:r>
      <w:r>
        <w:rPr>
          <w:spacing w:val="-9"/>
          <w:sz w:val="24"/>
        </w:rPr>
        <w:tab/>
      </w:r>
      <w:r w:rsidR="00E66E58" w:rsidRPr="00ED4CFF">
        <w:rPr>
          <w:sz w:val="24"/>
        </w:rPr>
        <w:t>The Applicant then raised its desire to also call witnesses. The Tribunal requested the Applicant to clarify why the Applicant did not indicate its intention to call witnesses when it outlined its case to the Tribunal and why it was cha</w:t>
      </w:r>
      <w:r w:rsidR="00E66E58" w:rsidRPr="00ED4CFF">
        <w:rPr>
          <w:sz w:val="24"/>
        </w:rPr>
        <w:t>nging the approach to its case after hearing that the Respondent intended calling witnesses. The Applicant indicated that the purpose of calling witnesses to testify on behalf of the Applicant was to provide evidence on the dispute of fact regarding the qu</w:t>
      </w:r>
      <w:r w:rsidR="00E66E58" w:rsidRPr="00ED4CFF">
        <w:rPr>
          <w:sz w:val="24"/>
        </w:rPr>
        <w:t>estion of whether the complainant requested a refund/replacement or a repair of the truck. The Applicant subsequently abandoned its intention to call</w:t>
      </w:r>
      <w:r w:rsidR="00E66E58" w:rsidRPr="00ED4CFF">
        <w:rPr>
          <w:spacing w:val="-1"/>
          <w:sz w:val="24"/>
        </w:rPr>
        <w:t xml:space="preserve"> </w:t>
      </w:r>
      <w:r w:rsidR="00E66E58" w:rsidRPr="00ED4CFF">
        <w:rPr>
          <w:sz w:val="24"/>
        </w:rPr>
        <w:t>witnesses.</w:t>
      </w:r>
    </w:p>
    <w:p w:rsidR="0095654C" w:rsidRDefault="0095654C">
      <w:pPr>
        <w:pStyle w:val="BodyText"/>
        <w:rPr>
          <w:sz w:val="36"/>
        </w:rPr>
      </w:pPr>
    </w:p>
    <w:p w:rsidR="0095654C" w:rsidRPr="00ED4CFF" w:rsidRDefault="00ED4CFF" w:rsidP="00ED4CFF">
      <w:pPr>
        <w:tabs>
          <w:tab w:val="left" w:pos="680"/>
        </w:tabs>
        <w:spacing w:before="1" w:line="360" w:lineRule="auto"/>
        <w:ind w:left="679" w:right="108" w:hanging="567"/>
        <w:jc w:val="both"/>
        <w:rPr>
          <w:sz w:val="24"/>
        </w:rPr>
      </w:pPr>
      <w:r>
        <w:rPr>
          <w:spacing w:val="-9"/>
          <w:sz w:val="24"/>
        </w:rPr>
        <w:t>27.</w:t>
      </w:r>
      <w:r>
        <w:rPr>
          <w:spacing w:val="-9"/>
          <w:sz w:val="24"/>
        </w:rPr>
        <w:tab/>
      </w:r>
      <w:r w:rsidR="00E66E58" w:rsidRPr="00ED4CFF">
        <w:rPr>
          <w:sz w:val="24"/>
        </w:rPr>
        <w:t>In its further address to the Tribunal, the Respondent indicated that in the absence of eviden</w:t>
      </w:r>
      <w:r w:rsidR="00E66E58" w:rsidRPr="00ED4CFF">
        <w:rPr>
          <w:sz w:val="24"/>
        </w:rPr>
        <w:t xml:space="preserve">ce, and because </w:t>
      </w:r>
      <w:r w:rsidR="00E66E58" w:rsidRPr="00ED4CFF">
        <w:rPr>
          <w:i/>
          <w:sz w:val="24"/>
        </w:rPr>
        <w:t xml:space="preserve">locus standi </w:t>
      </w:r>
      <w:r w:rsidR="00E66E58" w:rsidRPr="00ED4CFF">
        <w:rPr>
          <w:sz w:val="24"/>
        </w:rPr>
        <w:t xml:space="preserve">relates to the litigating party, in this case the Applicant is the NCC, whose </w:t>
      </w:r>
      <w:r w:rsidR="00E66E58" w:rsidRPr="00ED4CFF">
        <w:rPr>
          <w:i/>
          <w:sz w:val="24"/>
        </w:rPr>
        <w:t xml:space="preserve">locus standi </w:t>
      </w:r>
      <w:r w:rsidR="00E66E58" w:rsidRPr="00ED4CFF">
        <w:rPr>
          <w:sz w:val="24"/>
        </w:rPr>
        <w:t xml:space="preserve">is not in dispute, the Respondent would not persist with its point on the </w:t>
      </w:r>
      <w:r w:rsidR="00E66E58" w:rsidRPr="00ED4CFF">
        <w:rPr>
          <w:i/>
          <w:sz w:val="24"/>
        </w:rPr>
        <w:t xml:space="preserve">locus standi </w:t>
      </w:r>
      <w:r w:rsidR="00E66E58" w:rsidRPr="00ED4CFF">
        <w:rPr>
          <w:sz w:val="24"/>
        </w:rPr>
        <w:t>of the complainant, Mr</w:t>
      </w:r>
      <w:r w:rsidR="00E66E58" w:rsidRPr="00ED4CFF">
        <w:rPr>
          <w:spacing w:val="-2"/>
          <w:sz w:val="24"/>
        </w:rPr>
        <w:t xml:space="preserve"> </w:t>
      </w:r>
      <w:r w:rsidR="00E66E58" w:rsidRPr="00ED4CFF">
        <w:rPr>
          <w:sz w:val="24"/>
        </w:rPr>
        <w:t>Hutamo.</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13" w:hanging="567"/>
        <w:jc w:val="both"/>
        <w:rPr>
          <w:sz w:val="24"/>
        </w:rPr>
      </w:pPr>
      <w:r>
        <w:rPr>
          <w:spacing w:val="-9"/>
          <w:sz w:val="24"/>
        </w:rPr>
        <w:t>28.</w:t>
      </w:r>
      <w:r>
        <w:rPr>
          <w:spacing w:val="-9"/>
          <w:sz w:val="24"/>
        </w:rPr>
        <w:tab/>
      </w:r>
      <w:r w:rsidR="00E66E58" w:rsidRPr="00ED4CFF">
        <w:rPr>
          <w:sz w:val="24"/>
        </w:rPr>
        <w:t>The Respondent further accepted that Mremble Solutions, as the proper complainant on paper, would qualify as a consumer, insofar as its turnover is concerned, and is permitted to bring the complaint to the Tribunal.</w:t>
      </w:r>
    </w:p>
    <w:p w:rsidR="0095654C" w:rsidRDefault="0095654C">
      <w:pPr>
        <w:pStyle w:val="BodyText"/>
        <w:rPr>
          <w:sz w:val="28"/>
        </w:rPr>
      </w:pPr>
    </w:p>
    <w:p w:rsidR="0095654C" w:rsidRDefault="0095654C">
      <w:pPr>
        <w:pStyle w:val="BodyText"/>
        <w:spacing w:before="3"/>
        <w:rPr>
          <w:sz w:val="25"/>
        </w:rPr>
      </w:pPr>
    </w:p>
    <w:p w:rsidR="0095654C" w:rsidRPr="00ED4CFF" w:rsidRDefault="00ED4CFF" w:rsidP="00ED4CFF">
      <w:pPr>
        <w:tabs>
          <w:tab w:val="left" w:pos="680"/>
        </w:tabs>
        <w:spacing w:line="360" w:lineRule="auto"/>
        <w:ind w:left="679" w:right="110" w:hanging="567"/>
        <w:jc w:val="both"/>
        <w:rPr>
          <w:sz w:val="24"/>
        </w:rPr>
      </w:pPr>
      <w:r>
        <w:rPr>
          <w:spacing w:val="-9"/>
          <w:sz w:val="24"/>
        </w:rPr>
        <w:t>29.</w:t>
      </w:r>
      <w:r>
        <w:rPr>
          <w:spacing w:val="-9"/>
          <w:sz w:val="24"/>
        </w:rPr>
        <w:tab/>
      </w:r>
      <w:r w:rsidR="00E66E58" w:rsidRPr="00ED4CFF">
        <w:rPr>
          <w:sz w:val="24"/>
        </w:rPr>
        <w:t>However, the Respondent pointed out that on the third point relating to a dispute of fact, there are two mutually destructive versions. On the Applicant’s version, the complainant requested a refund. However, on the Respondent’s version, supported by two a</w:t>
      </w:r>
      <w:r w:rsidR="00E66E58" w:rsidRPr="00ED4CFF">
        <w:rPr>
          <w:sz w:val="24"/>
        </w:rPr>
        <w:t>ffidavits</w:t>
      </w:r>
      <w:r w:rsidR="00E66E58" w:rsidRPr="00ED4CFF">
        <w:rPr>
          <w:position w:val="6"/>
          <w:sz w:val="16"/>
        </w:rPr>
        <w:t>4</w:t>
      </w:r>
      <w:r w:rsidR="00E66E58" w:rsidRPr="00ED4CFF">
        <w:rPr>
          <w:sz w:val="24"/>
        </w:rPr>
        <w:t>, the complainant elected to have the defect repaired. This defect was repaired by the Respondent at a nominal amount of R1</w:t>
      </w:r>
      <w:r w:rsidR="00E66E58" w:rsidRPr="00ED4CFF">
        <w:rPr>
          <w:spacing w:val="-23"/>
          <w:sz w:val="24"/>
        </w:rPr>
        <w:t xml:space="preserve"> </w:t>
      </w:r>
      <w:r w:rsidR="00E66E58" w:rsidRPr="00ED4CFF">
        <w:rPr>
          <w:sz w:val="24"/>
        </w:rPr>
        <w:t>400.00.</w:t>
      </w:r>
    </w:p>
    <w:p w:rsidR="0095654C" w:rsidRDefault="0095654C">
      <w:pPr>
        <w:pStyle w:val="BodyText"/>
        <w:rPr>
          <w:sz w:val="28"/>
        </w:rPr>
      </w:pPr>
    </w:p>
    <w:p w:rsidR="0095654C" w:rsidRDefault="0095654C">
      <w:pPr>
        <w:pStyle w:val="BodyText"/>
        <w:spacing w:before="6"/>
        <w:rPr>
          <w:sz w:val="25"/>
        </w:rPr>
      </w:pPr>
    </w:p>
    <w:p w:rsidR="0095654C" w:rsidRPr="00ED4CFF" w:rsidRDefault="00ED4CFF" w:rsidP="00ED4CFF">
      <w:pPr>
        <w:tabs>
          <w:tab w:val="left" w:pos="680"/>
        </w:tabs>
        <w:spacing w:line="360" w:lineRule="auto"/>
        <w:ind w:left="679" w:right="110" w:hanging="567"/>
        <w:jc w:val="both"/>
        <w:rPr>
          <w:sz w:val="24"/>
        </w:rPr>
      </w:pPr>
      <w:r>
        <w:rPr>
          <w:spacing w:val="-9"/>
          <w:sz w:val="24"/>
        </w:rPr>
        <w:t>30.</w:t>
      </w:r>
      <w:r>
        <w:rPr>
          <w:spacing w:val="-9"/>
          <w:sz w:val="24"/>
        </w:rPr>
        <w:tab/>
      </w:r>
      <w:r w:rsidR="00E66E58" w:rsidRPr="00ED4CFF">
        <w:rPr>
          <w:sz w:val="24"/>
        </w:rPr>
        <w:t xml:space="preserve">The Respondent submits that in the absence of </w:t>
      </w:r>
      <w:r w:rsidR="00E66E58" w:rsidRPr="00ED4CFF">
        <w:rPr>
          <w:i/>
          <w:sz w:val="24"/>
        </w:rPr>
        <w:t xml:space="preserve">viva voce </w:t>
      </w:r>
      <w:r w:rsidR="00E66E58" w:rsidRPr="00ED4CFF">
        <w:rPr>
          <w:sz w:val="24"/>
        </w:rPr>
        <w:t xml:space="preserve">evidence, there is no reason to reject the Respondent’s </w:t>
      </w:r>
      <w:r w:rsidR="00E66E58" w:rsidRPr="00ED4CFF">
        <w:rPr>
          <w:sz w:val="24"/>
        </w:rPr>
        <w:t>version as contained in its papers and on a balance of probabilities the Applicant has not succeeded on this</w:t>
      </w:r>
      <w:r w:rsidR="00E66E58" w:rsidRPr="00ED4CFF">
        <w:rPr>
          <w:spacing w:val="-6"/>
          <w:sz w:val="24"/>
        </w:rPr>
        <w:t xml:space="preserve"> </w:t>
      </w:r>
      <w:r w:rsidR="00E66E58" w:rsidRPr="00ED4CFF">
        <w:rPr>
          <w:sz w:val="24"/>
        </w:rPr>
        <w:t>point.</w:t>
      </w:r>
    </w:p>
    <w:p w:rsidR="0095654C" w:rsidRDefault="0095654C">
      <w:pPr>
        <w:pStyle w:val="BodyText"/>
        <w:rPr>
          <w:sz w:val="20"/>
        </w:rPr>
      </w:pPr>
    </w:p>
    <w:p w:rsidR="0095654C" w:rsidRDefault="00E66E58">
      <w:pPr>
        <w:pStyle w:val="BodyText"/>
        <w:spacing w:before="3"/>
        <w:rPr>
          <w:sz w:val="19"/>
        </w:rPr>
      </w:pPr>
      <w:r>
        <w:pict>
          <v:shape id="_x0000_s1033" style="position:absolute;margin-left:56.65pt;margin-top:13.4pt;width:144.05pt;height:.1pt;z-index:-251654144;mso-wrap-distance-left:0;mso-wrap-distance-right:0;mso-position-horizontal-relative:page" coordorigin="1133,268" coordsize="2881,0" path="m1133,268r2881,e" filled="f" strokeweight=".72pt">
            <v:path arrowok="t"/>
            <w10:wrap type="topAndBottom" anchorx="page"/>
          </v:shape>
        </w:pict>
      </w:r>
    </w:p>
    <w:p w:rsidR="0095654C" w:rsidRDefault="00E66E58">
      <w:pPr>
        <w:spacing w:before="70"/>
        <w:ind w:left="112" w:right="87"/>
        <w:rPr>
          <w:sz w:val="20"/>
        </w:rPr>
      </w:pPr>
      <w:r>
        <w:rPr>
          <w:position w:val="5"/>
          <w:sz w:val="13"/>
        </w:rPr>
        <w:t xml:space="preserve">4 </w:t>
      </w:r>
      <w:r>
        <w:rPr>
          <w:sz w:val="20"/>
        </w:rPr>
        <w:t>Respondent’s opposing affidavit, deposed to by Mr Kim Richard Williams, page 118 of the bundle and supporting affidavit deposed to by M</w:t>
      </w:r>
      <w:r>
        <w:rPr>
          <w:sz w:val="20"/>
        </w:rPr>
        <w:t>r Deonne Jonker, page 130 of the bundle.</w:t>
      </w:r>
    </w:p>
    <w:p w:rsidR="0095654C" w:rsidRDefault="0095654C">
      <w:pPr>
        <w:rPr>
          <w:sz w:val="20"/>
        </w:rPr>
        <w:sectPr w:rsidR="0095654C">
          <w:pgSz w:w="11910" w:h="16840"/>
          <w:pgMar w:top="760" w:right="1020" w:bottom="600" w:left="1020" w:header="0" w:footer="405" w:gutter="0"/>
          <w:cols w:space="720"/>
        </w:sectPr>
      </w:pPr>
    </w:p>
    <w:p w:rsidR="0095654C" w:rsidRPr="00ED4CFF" w:rsidRDefault="00ED4CFF" w:rsidP="00ED4CFF">
      <w:pPr>
        <w:tabs>
          <w:tab w:val="left" w:pos="680"/>
        </w:tabs>
        <w:spacing w:before="79" w:line="360" w:lineRule="auto"/>
        <w:ind w:left="679" w:right="111" w:hanging="567"/>
        <w:jc w:val="both"/>
        <w:rPr>
          <w:sz w:val="24"/>
        </w:rPr>
      </w:pPr>
      <w:r>
        <w:rPr>
          <w:spacing w:val="-9"/>
          <w:sz w:val="24"/>
        </w:rPr>
        <w:lastRenderedPageBreak/>
        <w:t>31.</w:t>
      </w:r>
      <w:r>
        <w:rPr>
          <w:spacing w:val="-9"/>
          <w:sz w:val="24"/>
        </w:rPr>
        <w:tab/>
      </w:r>
      <w:r w:rsidR="00E66E58" w:rsidRPr="00ED4CFF">
        <w:rPr>
          <w:sz w:val="24"/>
        </w:rPr>
        <w:t>When asked on what basis its version should be regarded as the most probable, the Respondent indicated that if the party that bears the onus of proof elects not to call witnesses but to stand and f</w:t>
      </w:r>
      <w:r w:rsidR="00E66E58" w:rsidRPr="00ED4CFF">
        <w:rPr>
          <w:sz w:val="24"/>
        </w:rPr>
        <w:t>all by its affidavit, in the face of a conflicting affidavit, the Tribunal must decide on paper where neither version was not tested through evidence/witnesses. The Respondent contends that the scales remain evenly balanced and the party that bears the onu</w:t>
      </w:r>
      <w:r w:rsidR="00E66E58" w:rsidRPr="00ED4CFF">
        <w:rPr>
          <w:sz w:val="24"/>
        </w:rPr>
        <w:t>s of proof has failed to acquit itself of that onus and thus cannot succeed with its</w:t>
      </w:r>
      <w:r w:rsidR="00E66E58" w:rsidRPr="00ED4CFF">
        <w:rPr>
          <w:spacing w:val="-3"/>
          <w:sz w:val="24"/>
        </w:rPr>
        <w:t xml:space="preserve"> </w:t>
      </w:r>
      <w:r w:rsidR="00E66E58" w:rsidRPr="00ED4CFF">
        <w:rPr>
          <w:sz w:val="24"/>
        </w:rPr>
        <w:t>application.</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10" w:hanging="567"/>
        <w:jc w:val="both"/>
        <w:rPr>
          <w:sz w:val="24"/>
        </w:rPr>
      </w:pPr>
      <w:r>
        <w:rPr>
          <w:spacing w:val="-9"/>
          <w:sz w:val="24"/>
        </w:rPr>
        <w:t>32.</w:t>
      </w:r>
      <w:r>
        <w:rPr>
          <w:spacing w:val="-9"/>
          <w:sz w:val="24"/>
        </w:rPr>
        <w:tab/>
      </w:r>
      <w:r w:rsidR="00E66E58" w:rsidRPr="00ED4CFF">
        <w:rPr>
          <w:sz w:val="24"/>
        </w:rPr>
        <w:t>The Applicant was given an opportunity to respond to both the Respondent’s submissions and the questions posed earlier by the panel. In response to the pane</w:t>
      </w:r>
      <w:r w:rsidR="00E66E58" w:rsidRPr="00ED4CFF">
        <w:rPr>
          <w:sz w:val="24"/>
        </w:rPr>
        <w:t xml:space="preserve">l’s question of who the complainant is, the Applicant submitted that at the inception of the matter it had the impression that Mr Hutamo was acting in his personal capacity, but later it became clear that Mr Hutamo was acting in a representative capacity, </w:t>
      </w:r>
      <w:r w:rsidR="00E66E58" w:rsidRPr="00ED4CFF">
        <w:rPr>
          <w:sz w:val="24"/>
        </w:rPr>
        <w:t>on behalf of Mremble Solutions. Be that as it may, the Applicant submits that both Mr Hutamo and Mremble Solutions qualify as consumers in terms of the CPA. However, Mremble Solutions is the actual consumer in this case, since Mr Hutamo was acting in a rep</w:t>
      </w:r>
      <w:r w:rsidR="00E66E58" w:rsidRPr="00ED4CFF">
        <w:rPr>
          <w:sz w:val="24"/>
        </w:rPr>
        <w:t>resentative capacity. Mr Hutamo was duly authorised to act on behalf of Mremble</w:t>
      </w:r>
      <w:r w:rsidR="00E66E58" w:rsidRPr="00ED4CFF">
        <w:rPr>
          <w:spacing w:val="-8"/>
          <w:sz w:val="24"/>
        </w:rPr>
        <w:t xml:space="preserve"> </w:t>
      </w:r>
      <w:r w:rsidR="00E66E58" w:rsidRPr="00ED4CFF">
        <w:rPr>
          <w:sz w:val="24"/>
        </w:rPr>
        <w:t>Solutions</w:t>
      </w:r>
      <w:r w:rsidR="00E66E58" w:rsidRPr="00ED4CFF">
        <w:rPr>
          <w:position w:val="6"/>
          <w:sz w:val="16"/>
        </w:rPr>
        <w:t>5</w:t>
      </w:r>
      <w:r w:rsidR="00E66E58" w:rsidRPr="00ED4CFF">
        <w:rPr>
          <w:sz w:val="24"/>
        </w:rPr>
        <w:t>.</w:t>
      </w:r>
    </w:p>
    <w:p w:rsidR="0095654C" w:rsidRDefault="0095654C">
      <w:pPr>
        <w:pStyle w:val="BodyText"/>
        <w:rPr>
          <w:sz w:val="36"/>
        </w:rPr>
      </w:pPr>
    </w:p>
    <w:p w:rsidR="0095654C" w:rsidRPr="00ED4CFF" w:rsidRDefault="00ED4CFF" w:rsidP="00ED4CFF">
      <w:pPr>
        <w:tabs>
          <w:tab w:val="left" w:pos="680"/>
        </w:tabs>
        <w:spacing w:line="360" w:lineRule="auto"/>
        <w:ind w:left="679" w:right="112" w:hanging="567"/>
        <w:jc w:val="both"/>
        <w:rPr>
          <w:sz w:val="24"/>
        </w:rPr>
      </w:pPr>
      <w:r>
        <w:rPr>
          <w:spacing w:val="-9"/>
          <w:sz w:val="24"/>
        </w:rPr>
        <w:t>33.</w:t>
      </w:r>
      <w:r>
        <w:rPr>
          <w:spacing w:val="-9"/>
          <w:sz w:val="24"/>
        </w:rPr>
        <w:tab/>
      </w:r>
      <w:r w:rsidR="00E66E58" w:rsidRPr="00ED4CFF">
        <w:rPr>
          <w:sz w:val="24"/>
        </w:rPr>
        <w:t>Insofar as the relief sought is concerned, the Applicant submits that the Tribunal can make an order based on the facts. The Applicant further argues that on the papers, Mr Hutamo appears as if he is acting on his behalf, as a complainant, the context actu</w:t>
      </w:r>
      <w:r w:rsidR="00E66E58" w:rsidRPr="00ED4CFF">
        <w:rPr>
          <w:sz w:val="24"/>
        </w:rPr>
        <w:t>ally shows that the complainant is Mremble Solutions. As such, the Tribunal should make an order, based on the facts shown, that Mremble Solutions is the consumer, in this</w:t>
      </w:r>
      <w:r w:rsidR="00E66E58" w:rsidRPr="00ED4CFF">
        <w:rPr>
          <w:spacing w:val="-5"/>
          <w:sz w:val="24"/>
        </w:rPr>
        <w:t xml:space="preserve"> </w:t>
      </w:r>
      <w:r w:rsidR="00E66E58" w:rsidRPr="00ED4CFF">
        <w:rPr>
          <w:sz w:val="24"/>
        </w:rPr>
        <w:t>instance.</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09" w:hanging="567"/>
        <w:jc w:val="both"/>
        <w:rPr>
          <w:sz w:val="24"/>
        </w:rPr>
      </w:pPr>
      <w:r>
        <w:rPr>
          <w:spacing w:val="-9"/>
          <w:sz w:val="24"/>
        </w:rPr>
        <w:t>34.</w:t>
      </w:r>
      <w:r>
        <w:rPr>
          <w:spacing w:val="-9"/>
          <w:sz w:val="24"/>
        </w:rPr>
        <w:tab/>
      </w:r>
      <w:r w:rsidR="00E66E58" w:rsidRPr="00ED4CFF">
        <w:rPr>
          <w:sz w:val="24"/>
        </w:rPr>
        <w:t>On the question of the dispute of facts on whether the complainant elect</w:t>
      </w:r>
      <w:r w:rsidR="00E66E58" w:rsidRPr="00ED4CFF">
        <w:rPr>
          <w:sz w:val="24"/>
        </w:rPr>
        <w:t>ed to have a refund or the truck repaired, the Applicant referred to the email conversation between the complainant and the Respondent where the complainant corroborates what his initial election was, that is, a replacement truck, failing which a refund sh</w:t>
      </w:r>
      <w:r w:rsidR="00E66E58" w:rsidRPr="00ED4CFF">
        <w:rPr>
          <w:sz w:val="24"/>
        </w:rPr>
        <w:t>ould be granted</w:t>
      </w:r>
      <w:r w:rsidR="00E66E58" w:rsidRPr="00ED4CFF">
        <w:rPr>
          <w:position w:val="6"/>
          <w:sz w:val="16"/>
        </w:rPr>
        <w:t>6</w:t>
      </w:r>
      <w:r w:rsidR="00E66E58" w:rsidRPr="00ED4CFF">
        <w:rPr>
          <w:sz w:val="24"/>
        </w:rPr>
        <w:t>. In its reply to the Applicant’s email</w:t>
      </w:r>
      <w:r w:rsidR="00E66E58" w:rsidRPr="00ED4CFF">
        <w:rPr>
          <w:position w:val="6"/>
          <w:sz w:val="16"/>
        </w:rPr>
        <w:t>7</w:t>
      </w:r>
      <w:r w:rsidR="00E66E58" w:rsidRPr="00ED4CFF">
        <w:rPr>
          <w:sz w:val="24"/>
        </w:rPr>
        <w:t>, the Respondent notified the Applicant that it will not cancel the purchase agreement, with no explanation given. The Applicant argues that in the Respondent’s replying email, there is no reference t</w:t>
      </w:r>
      <w:r w:rsidR="00E66E58" w:rsidRPr="00ED4CFF">
        <w:rPr>
          <w:sz w:val="24"/>
        </w:rPr>
        <w:t>o the Applicant having previously requested a repair of the defect. Instead, the Respondent’s replying email appears to be a bare refusal of a refund being communicated to the</w:t>
      </w:r>
      <w:r w:rsidR="00E66E58" w:rsidRPr="00ED4CFF">
        <w:rPr>
          <w:spacing w:val="-9"/>
          <w:sz w:val="24"/>
        </w:rPr>
        <w:t xml:space="preserve"> </w:t>
      </w:r>
      <w:r w:rsidR="00E66E58" w:rsidRPr="00ED4CFF">
        <w:rPr>
          <w:sz w:val="24"/>
        </w:rPr>
        <w:t>Applicant.</w:t>
      </w:r>
    </w:p>
    <w:p w:rsidR="0095654C" w:rsidRDefault="0095654C">
      <w:pPr>
        <w:pStyle w:val="BodyText"/>
        <w:spacing w:before="1"/>
        <w:rPr>
          <w:sz w:val="36"/>
        </w:rPr>
      </w:pPr>
    </w:p>
    <w:p w:rsidR="0095654C" w:rsidRPr="00ED4CFF" w:rsidRDefault="00ED4CFF" w:rsidP="00ED4CFF">
      <w:pPr>
        <w:tabs>
          <w:tab w:val="left" w:pos="680"/>
        </w:tabs>
        <w:spacing w:line="360" w:lineRule="auto"/>
        <w:ind w:left="679" w:right="108" w:hanging="567"/>
        <w:jc w:val="both"/>
        <w:rPr>
          <w:sz w:val="24"/>
        </w:rPr>
      </w:pPr>
      <w:r>
        <w:rPr>
          <w:spacing w:val="-9"/>
          <w:sz w:val="24"/>
        </w:rPr>
        <w:t>35.</w:t>
      </w:r>
      <w:r>
        <w:rPr>
          <w:spacing w:val="-9"/>
          <w:sz w:val="24"/>
        </w:rPr>
        <w:tab/>
      </w:r>
      <w:r w:rsidR="00E66E58">
        <w:pict>
          <v:shape id="_x0000_s1032" style="position:absolute;left:0;text-align:left;margin-left:56.65pt;margin-top:64.75pt;width:144.05pt;height:.1pt;z-index:-251653120;mso-wrap-distance-left:0;mso-wrap-distance-right:0;mso-position-horizontal-relative:page;mso-position-vertical-relative:text" coordorigin="1133,1295" coordsize="2881,0" path="m1133,1295r2881,e" filled="f" strokeweight=".72pt">
            <v:path arrowok="t"/>
            <w10:wrap type="topAndBottom" anchorx="page"/>
          </v:shape>
        </w:pict>
      </w:r>
      <w:r w:rsidR="00E66E58" w:rsidRPr="00ED4CFF">
        <w:rPr>
          <w:sz w:val="24"/>
        </w:rPr>
        <w:t>In response to a question from the panel that by equal measure ther</w:t>
      </w:r>
      <w:r w:rsidR="00E66E58" w:rsidRPr="00ED4CFF">
        <w:rPr>
          <w:sz w:val="24"/>
        </w:rPr>
        <w:t>e is no reference by the complainant to its previous request for a refund, the Applicant submitted that there was a verbal agreement</w:t>
      </w:r>
      <w:r w:rsidR="00E66E58" w:rsidRPr="00ED4CFF">
        <w:rPr>
          <w:spacing w:val="26"/>
          <w:sz w:val="24"/>
        </w:rPr>
        <w:t xml:space="preserve"> </w:t>
      </w:r>
      <w:r w:rsidR="00E66E58" w:rsidRPr="00ED4CFF">
        <w:rPr>
          <w:sz w:val="24"/>
        </w:rPr>
        <w:t>between</w:t>
      </w:r>
      <w:r w:rsidR="00E66E58" w:rsidRPr="00ED4CFF">
        <w:rPr>
          <w:spacing w:val="30"/>
          <w:sz w:val="24"/>
        </w:rPr>
        <w:t xml:space="preserve"> </w:t>
      </w:r>
      <w:r w:rsidR="00E66E58" w:rsidRPr="00ED4CFF">
        <w:rPr>
          <w:sz w:val="24"/>
        </w:rPr>
        <w:t>the</w:t>
      </w:r>
      <w:r w:rsidR="00E66E58" w:rsidRPr="00ED4CFF">
        <w:rPr>
          <w:spacing w:val="30"/>
          <w:sz w:val="24"/>
        </w:rPr>
        <w:t xml:space="preserve"> </w:t>
      </w:r>
      <w:r w:rsidR="00E66E58" w:rsidRPr="00ED4CFF">
        <w:rPr>
          <w:sz w:val="24"/>
        </w:rPr>
        <w:t>complainant</w:t>
      </w:r>
      <w:r w:rsidR="00E66E58" w:rsidRPr="00ED4CFF">
        <w:rPr>
          <w:spacing w:val="27"/>
          <w:sz w:val="24"/>
        </w:rPr>
        <w:t xml:space="preserve"> </w:t>
      </w:r>
      <w:r w:rsidR="00E66E58" w:rsidRPr="00ED4CFF">
        <w:rPr>
          <w:sz w:val="24"/>
        </w:rPr>
        <w:t>and</w:t>
      </w:r>
      <w:r w:rsidR="00E66E58" w:rsidRPr="00ED4CFF">
        <w:rPr>
          <w:spacing w:val="30"/>
          <w:sz w:val="24"/>
        </w:rPr>
        <w:t xml:space="preserve"> </w:t>
      </w:r>
      <w:r w:rsidR="00E66E58" w:rsidRPr="00ED4CFF">
        <w:rPr>
          <w:sz w:val="24"/>
        </w:rPr>
        <w:t>the</w:t>
      </w:r>
      <w:r w:rsidR="00E66E58" w:rsidRPr="00ED4CFF">
        <w:rPr>
          <w:spacing w:val="29"/>
          <w:sz w:val="24"/>
        </w:rPr>
        <w:t xml:space="preserve"> </w:t>
      </w:r>
      <w:r w:rsidR="00E66E58" w:rsidRPr="00ED4CFF">
        <w:rPr>
          <w:sz w:val="24"/>
        </w:rPr>
        <w:t>Respondent,</w:t>
      </w:r>
      <w:r w:rsidR="00E66E58" w:rsidRPr="00ED4CFF">
        <w:rPr>
          <w:spacing w:val="30"/>
          <w:sz w:val="24"/>
        </w:rPr>
        <w:t xml:space="preserve"> </w:t>
      </w:r>
      <w:r w:rsidR="00E66E58" w:rsidRPr="00ED4CFF">
        <w:rPr>
          <w:sz w:val="24"/>
        </w:rPr>
        <w:t>represented</w:t>
      </w:r>
      <w:r w:rsidR="00E66E58" w:rsidRPr="00ED4CFF">
        <w:rPr>
          <w:spacing w:val="28"/>
          <w:sz w:val="24"/>
        </w:rPr>
        <w:t xml:space="preserve"> </w:t>
      </w:r>
      <w:r w:rsidR="00E66E58" w:rsidRPr="00ED4CFF">
        <w:rPr>
          <w:sz w:val="24"/>
        </w:rPr>
        <w:t>by</w:t>
      </w:r>
      <w:r w:rsidR="00E66E58" w:rsidRPr="00ED4CFF">
        <w:rPr>
          <w:spacing w:val="29"/>
          <w:sz w:val="24"/>
        </w:rPr>
        <w:t xml:space="preserve"> </w:t>
      </w:r>
      <w:r w:rsidR="00E66E58" w:rsidRPr="00ED4CFF">
        <w:rPr>
          <w:sz w:val="24"/>
        </w:rPr>
        <w:t>Mr</w:t>
      </w:r>
      <w:r w:rsidR="00E66E58" w:rsidRPr="00ED4CFF">
        <w:rPr>
          <w:spacing w:val="29"/>
          <w:sz w:val="24"/>
        </w:rPr>
        <w:t xml:space="preserve"> </w:t>
      </w:r>
      <w:r w:rsidR="00E66E58" w:rsidRPr="00ED4CFF">
        <w:rPr>
          <w:sz w:val="24"/>
        </w:rPr>
        <w:t>Kim</w:t>
      </w:r>
      <w:r w:rsidR="00E66E58" w:rsidRPr="00ED4CFF">
        <w:rPr>
          <w:spacing w:val="27"/>
          <w:sz w:val="24"/>
        </w:rPr>
        <w:t xml:space="preserve"> </w:t>
      </w:r>
      <w:r w:rsidR="00E66E58" w:rsidRPr="00ED4CFF">
        <w:rPr>
          <w:sz w:val="24"/>
        </w:rPr>
        <w:t>Williams,</w:t>
      </w:r>
      <w:r w:rsidR="00E66E58" w:rsidRPr="00ED4CFF">
        <w:rPr>
          <w:spacing w:val="30"/>
          <w:sz w:val="24"/>
        </w:rPr>
        <w:t xml:space="preserve"> </w:t>
      </w:r>
      <w:r w:rsidR="00E66E58" w:rsidRPr="00ED4CFF">
        <w:rPr>
          <w:sz w:val="24"/>
        </w:rPr>
        <w:t>that</w:t>
      </w:r>
      <w:r w:rsidR="00E66E58" w:rsidRPr="00ED4CFF">
        <w:rPr>
          <w:spacing w:val="30"/>
          <w:sz w:val="24"/>
        </w:rPr>
        <w:t xml:space="preserve"> </w:t>
      </w:r>
      <w:r w:rsidR="00E66E58" w:rsidRPr="00ED4CFF">
        <w:rPr>
          <w:sz w:val="24"/>
        </w:rPr>
        <w:t>the</w:t>
      </w:r>
    </w:p>
    <w:p w:rsidR="0095654C" w:rsidRDefault="00E66E58">
      <w:pPr>
        <w:spacing w:before="68"/>
        <w:ind w:left="112"/>
        <w:rPr>
          <w:sz w:val="20"/>
        </w:rPr>
      </w:pPr>
      <w:r>
        <w:rPr>
          <w:position w:val="5"/>
          <w:sz w:val="13"/>
        </w:rPr>
        <w:t>5</w:t>
      </w:r>
      <w:r>
        <w:rPr>
          <w:position w:val="5"/>
          <w:sz w:val="13"/>
        </w:rPr>
        <w:t xml:space="preserve"> </w:t>
      </w:r>
      <w:r>
        <w:rPr>
          <w:sz w:val="20"/>
        </w:rPr>
        <w:t>Annexure A to Applicant’s replying affidavit (Board Resolution), page 192 of the bundle.</w:t>
      </w:r>
    </w:p>
    <w:p w:rsidR="0095654C" w:rsidRDefault="00E66E58">
      <w:pPr>
        <w:spacing w:before="1"/>
        <w:ind w:left="112"/>
        <w:rPr>
          <w:sz w:val="20"/>
        </w:rPr>
      </w:pPr>
      <w:r>
        <w:rPr>
          <w:position w:val="5"/>
          <w:sz w:val="13"/>
        </w:rPr>
        <w:t xml:space="preserve">6 </w:t>
      </w:r>
      <w:r>
        <w:rPr>
          <w:sz w:val="20"/>
        </w:rPr>
        <w:t>Annexure F to the Applicant’s founding affidavit (Email communication), page 57 of the bundle.</w:t>
      </w:r>
    </w:p>
    <w:p w:rsidR="0095654C" w:rsidRDefault="0095654C">
      <w:pPr>
        <w:rPr>
          <w:sz w:val="20"/>
        </w:rPr>
        <w:sectPr w:rsidR="0095654C">
          <w:footerReference w:type="default" r:id="rId8"/>
          <w:pgSz w:w="11910" w:h="16840"/>
          <w:pgMar w:top="760" w:right="1020" w:bottom="820" w:left="1020" w:header="0" w:footer="633" w:gutter="0"/>
          <w:pgNumType w:start="7"/>
          <w:cols w:space="720"/>
        </w:sectPr>
      </w:pPr>
    </w:p>
    <w:p w:rsidR="0095654C" w:rsidRDefault="00E66E58">
      <w:pPr>
        <w:pStyle w:val="BodyText"/>
        <w:spacing w:before="79" w:line="360" w:lineRule="auto"/>
        <w:ind w:left="679" w:right="704"/>
      </w:pPr>
      <w:r>
        <w:lastRenderedPageBreak/>
        <w:t>Applicant’s truck will be replaced, failing which the purchase price will be refunded. The Applicant pointed to the email conversation between the complainant and the Respondent as proof of this</w:t>
      </w:r>
      <w:r>
        <w:rPr>
          <w:position w:val="6"/>
          <w:sz w:val="16"/>
        </w:rPr>
        <w:t>8</w:t>
      </w:r>
      <w:r>
        <w:t>.</w:t>
      </w:r>
    </w:p>
    <w:p w:rsidR="0095654C" w:rsidRDefault="0095654C">
      <w:pPr>
        <w:pStyle w:val="BodyText"/>
        <w:rPr>
          <w:sz w:val="28"/>
        </w:rPr>
      </w:pPr>
    </w:p>
    <w:p w:rsidR="0095654C" w:rsidRDefault="0095654C">
      <w:pPr>
        <w:pStyle w:val="BodyText"/>
        <w:spacing w:before="3"/>
        <w:rPr>
          <w:sz w:val="25"/>
        </w:rPr>
      </w:pPr>
    </w:p>
    <w:p w:rsidR="0095654C" w:rsidRPr="00ED4CFF" w:rsidRDefault="00ED4CFF" w:rsidP="00ED4CFF">
      <w:pPr>
        <w:tabs>
          <w:tab w:val="left" w:pos="680"/>
        </w:tabs>
        <w:spacing w:line="360" w:lineRule="auto"/>
        <w:ind w:left="679" w:right="109" w:hanging="567"/>
        <w:jc w:val="both"/>
        <w:rPr>
          <w:sz w:val="24"/>
        </w:rPr>
      </w:pPr>
      <w:r>
        <w:rPr>
          <w:spacing w:val="-9"/>
          <w:sz w:val="24"/>
        </w:rPr>
        <w:t>36.</w:t>
      </w:r>
      <w:r>
        <w:rPr>
          <w:spacing w:val="-9"/>
          <w:sz w:val="24"/>
        </w:rPr>
        <w:tab/>
      </w:r>
      <w:r w:rsidR="00E66E58" w:rsidRPr="00ED4CFF">
        <w:rPr>
          <w:sz w:val="24"/>
        </w:rPr>
        <w:t>Regarding the nature of the defect, which the Respondent described as minor, and therefore not warranting a replacement or refund, the Applicant submitted that section 20 of the CPA deals with the return and cancellation of a transaction which leads to a r</w:t>
      </w:r>
      <w:r w:rsidR="00E66E58" w:rsidRPr="00ED4CFF">
        <w:rPr>
          <w:sz w:val="24"/>
        </w:rPr>
        <w:t>efund and does not refer to repairs. In terms of section 56 (2)(b), the complainant returned the truck within the stipulated timeframe and elected to have a replacement or</w:t>
      </w:r>
      <w:r w:rsidR="00E66E58" w:rsidRPr="00ED4CFF">
        <w:rPr>
          <w:spacing w:val="-3"/>
          <w:sz w:val="24"/>
        </w:rPr>
        <w:t xml:space="preserve"> </w:t>
      </w:r>
      <w:r w:rsidR="00E66E58" w:rsidRPr="00ED4CFF">
        <w:rPr>
          <w:sz w:val="24"/>
        </w:rPr>
        <w:t>refund.</w:t>
      </w:r>
    </w:p>
    <w:p w:rsidR="0095654C" w:rsidRDefault="0095654C">
      <w:pPr>
        <w:pStyle w:val="BodyText"/>
        <w:rPr>
          <w:sz w:val="28"/>
        </w:rPr>
      </w:pPr>
    </w:p>
    <w:p w:rsidR="0095654C" w:rsidRDefault="0095654C">
      <w:pPr>
        <w:pStyle w:val="BodyText"/>
        <w:spacing w:before="5"/>
        <w:rPr>
          <w:sz w:val="25"/>
        </w:rPr>
      </w:pPr>
    </w:p>
    <w:p w:rsidR="0095654C" w:rsidRPr="00ED4CFF" w:rsidRDefault="00ED4CFF" w:rsidP="00ED4CFF">
      <w:pPr>
        <w:tabs>
          <w:tab w:val="left" w:pos="680"/>
        </w:tabs>
        <w:spacing w:line="360" w:lineRule="auto"/>
        <w:ind w:left="679" w:right="112" w:hanging="567"/>
        <w:jc w:val="both"/>
        <w:rPr>
          <w:sz w:val="24"/>
        </w:rPr>
      </w:pPr>
      <w:r>
        <w:rPr>
          <w:spacing w:val="-9"/>
          <w:sz w:val="24"/>
        </w:rPr>
        <w:t>37.</w:t>
      </w:r>
      <w:r>
        <w:rPr>
          <w:spacing w:val="-9"/>
          <w:sz w:val="24"/>
        </w:rPr>
        <w:tab/>
      </w:r>
      <w:r w:rsidR="00E66E58" w:rsidRPr="00ED4CFF">
        <w:rPr>
          <w:sz w:val="24"/>
        </w:rPr>
        <w:t>Insofar as the gravity of the defect is concerned, the Applicant argues th</w:t>
      </w:r>
      <w:r w:rsidR="00E66E58" w:rsidRPr="00ED4CFF">
        <w:rPr>
          <w:sz w:val="24"/>
        </w:rPr>
        <w:t>at the complainant purchased the truck specifically for its tipping function. When it was put to duty by the complainant, it failed to perform as expected and that constitutes a defect in terms of section 53 of the CPA. Upon returning the truck, the compla</w:t>
      </w:r>
      <w:r w:rsidR="00E66E58" w:rsidRPr="00ED4CFF">
        <w:rPr>
          <w:sz w:val="24"/>
        </w:rPr>
        <w:t>inant exercised its right and elected a replacement or refund, since the truck was defective. Therefore, the consumer was within his rights in terms of the</w:t>
      </w:r>
      <w:r w:rsidR="00E66E58" w:rsidRPr="00ED4CFF">
        <w:rPr>
          <w:spacing w:val="-12"/>
          <w:sz w:val="24"/>
        </w:rPr>
        <w:t xml:space="preserve"> </w:t>
      </w:r>
      <w:r w:rsidR="00E66E58" w:rsidRPr="00ED4CFF">
        <w:rPr>
          <w:sz w:val="24"/>
        </w:rPr>
        <w:t>CPA.</w:t>
      </w:r>
    </w:p>
    <w:p w:rsidR="0095654C" w:rsidRDefault="0095654C">
      <w:pPr>
        <w:pStyle w:val="BodyText"/>
        <w:rPr>
          <w:sz w:val="28"/>
        </w:rPr>
      </w:pPr>
    </w:p>
    <w:p w:rsidR="0095654C" w:rsidRDefault="0095654C">
      <w:pPr>
        <w:pStyle w:val="BodyText"/>
        <w:spacing w:before="6"/>
        <w:rPr>
          <w:sz w:val="25"/>
        </w:rPr>
      </w:pPr>
    </w:p>
    <w:p w:rsidR="0095654C" w:rsidRPr="00ED4CFF" w:rsidRDefault="00ED4CFF" w:rsidP="00ED4CFF">
      <w:pPr>
        <w:tabs>
          <w:tab w:val="left" w:pos="680"/>
        </w:tabs>
        <w:spacing w:line="360" w:lineRule="auto"/>
        <w:ind w:left="679" w:right="112" w:hanging="567"/>
        <w:jc w:val="both"/>
        <w:rPr>
          <w:sz w:val="24"/>
        </w:rPr>
      </w:pPr>
      <w:r>
        <w:rPr>
          <w:spacing w:val="-9"/>
          <w:sz w:val="24"/>
        </w:rPr>
        <w:t>38.</w:t>
      </w:r>
      <w:r>
        <w:rPr>
          <w:spacing w:val="-9"/>
          <w:sz w:val="24"/>
        </w:rPr>
        <w:tab/>
      </w:r>
      <w:r w:rsidR="00E66E58" w:rsidRPr="00ED4CFF">
        <w:rPr>
          <w:sz w:val="24"/>
        </w:rPr>
        <w:t>The Applicant further argued that attempting to assess the nature of the defect defeats the p</w:t>
      </w:r>
      <w:r w:rsidR="00E66E58" w:rsidRPr="00ED4CFF">
        <w:rPr>
          <w:sz w:val="24"/>
        </w:rPr>
        <w:t>urpose of the CPA and limits the rights of the consumer to choose the preferred remedy, as enshrined in the CPA. As such, it is the Applicant’s contention that the Tribunal should not limit the consumer’s rights by considering whether a defect is worth rep</w:t>
      </w:r>
      <w:r w:rsidR="00E66E58" w:rsidRPr="00ED4CFF">
        <w:rPr>
          <w:sz w:val="24"/>
        </w:rPr>
        <w:t>lacing, refunding or repairing. That choice is for the consumer to make in terms of the</w:t>
      </w:r>
      <w:r w:rsidR="00E66E58" w:rsidRPr="00ED4CFF">
        <w:rPr>
          <w:spacing w:val="-1"/>
          <w:sz w:val="24"/>
        </w:rPr>
        <w:t xml:space="preserve"> </w:t>
      </w:r>
      <w:r w:rsidR="00E66E58" w:rsidRPr="00ED4CFF">
        <w:rPr>
          <w:sz w:val="24"/>
        </w:rPr>
        <w:t>CPA.</w:t>
      </w:r>
    </w:p>
    <w:p w:rsidR="0095654C" w:rsidRDefault="0095654C">
      <w:pPr>
        <w:pStyle w:val="BodyText"/>
        <w:rPr>
          <w:sz w:val="28"/>
        </w:rPr>
      </w:pPr>
    </w:p>
    <w:p w:rsidR="0095654C" w:rsidRDefault="0095654C">
      <w:pPr>
        <w:pStyle w:val="BodyText"/>
        <w:spacing w:before="7"/>
        <w:rPr>
          <w:sz w:val="25"/>
        </w:rPr>
      </w:pPr>
    </w:p>
    <w:p w:rsidR="0095654C" w:rsidRPr="00ED4CFF" w:rsidRDefault="00ED4CFF" w:rsidP="00ED4CFF">
      <w:pPr>
        <w:tabs>
          <w:tab w:val="left" w:pos="680"/>
        </w:tabs>
        <w:spacing w:line="357" w:lineRule="auto"/>
        <w:ind w:left="679" w:right="109" w:hanging="567"/>
        <w:jc w:val="both"/>
        <w:rPr>
          <w:sz w:val="24"/>
        </w:rPr>
      </w:pPr>
      <w:r>
        <w:rPr>
          <w:spacing w:val="-9"/>
          <w:sz w:val="24"/>
        </w:rPr>
        <w:t>39.</w:t>
      </w:r>
      <w:r>
        <w:rPr>
          <w:spacing w:val="-9"/>
          <w:sz w:val="24"/>
        </w:rPr>
        <w:tab/>
      </w:r>
      <w:r w:rsidR="00E66E58" w:rsidRPr="00ED4CFF">
        <w:rPr>
          <w:sz w:val="24"/>
        </w:rPr>
        <w:t xml:space="preserve">According to the Applicant, the matter of </w:t>
      </w:r>
      <w:r w:rsidR="00E66E58" w:rsidRPr="00ED4CFF">
        <w:rPr>
          <w:i/>
        </w:rPr>
        <w:t>Motus Corporation (Pty) Ltd and Another v Wentzel</w:t>
      </w:r>
      <w:r w:rsidR="00E66E58">
        <w:t>, dealt with section 56 of the CPA only and did not touch on section 2</w:t>
      </w:r>
      <w:r w:rsidR="00E66E58">
        <w:t>0 of the CPA, which does not provide for any other remedy except a cancellation and</w:t>
      </w:r>
      <w:r w:rsidR="00E66E58" w:rsidRPr="00ED4CFF">
        <w:rPr>
          <w:spacing w:val="-8"/>
        </w:rPr>
        <w:t xml:space="preserve"> </w:t>
      </w:r>
      <w:r w:rsidR="00E66E58">
        <w:t>refund.</w:t>
      </w:r>
    </w:p>
    <w:p w:rsidR="0095654C" w:rsidRDefault="0095654C">
      <w:pPr>
        <w:pStyle w:val="BodyText"/>
      </w:pPr>
    </w:p>
    <w:p w:rsidR="0095654C" w:rsidRDefault="0095654C">
      <w:pPr>
        <w:pStyle w:val="BodyText"/>
        <w:spacing w:before="1"/>
        <w:rPr>
          <w:sz w:val="30"/>
        </w:rPr>
      </w:pPr>
    </w:p>
    <w:p w:rsidR="0095654C" w:rsidRDefault="00E66E58">
      <w:pPr>
        <w:pStyle w:val="Heading1"/>
      </w:pPr>
      <w:r>
        <w:t>APPLICABLE SECTIONS OF THE CPA</w:t>
      </w:r>
    </w:p>
    <w:p w:rsidR="0095654C" w:rsidRDefault="0095654C">
      <w:pPr>
        <w:pStyle w:val="BodyText"/>
        <w:rPr>
          <w:b/>
          <w:sz w:val="28"/>
        </w:rPr>
      </w:pPr>
    </w:p>
    <w:p w:rsidR="0095654C" w:rsidRPr="00ED4CFF" w:rsidRDefault="00ED4CFF" w:rsidP="00ED4CFF">
      <w:pPr>
        <w:tabs>
          <w:tab w:val="left" w:pos="679"/>
          <w:tab w:val="left" w:pos="680"/>
        </w:tabs>
        <w:spacing w:before="230"/>
        <w:ind w:left="679" w:hanging="568"/>
        <w:rPr>
          <w:sz w:val="24"/>
        </w:rPr>
      </w:pPr>
      <w:r>
        <w:rPr>
          <w:spacing w:val="-9"/>
          <w:sz w:val="24"/>
        </w:rPr>
        <w:t>40.</w:t>
      </w:r>
      <w:r>
        <w:rPr>
          <w:spacing w:val="-9"/>
          <w:sz w:val="24"/>
        </w:rPr>
        <w:tab/>
      </w:r>
      <w:r w:rsidR="00E66E58" w:rsidRPr="00ED4CFF">
        <w:rPr>
          <w:sz w:val="24"/>
        </w:rPr>
        <w:t>Section 20 (2)(d) of the CPA states as</w:t>
      </w:r>
      <w:r w:rsidR="00E66E58" w:rsidRPr="00ED4CFF">
        <w:rPr>
          <w:spacing w:val="-8"/>
          <w:sz w:val="24"/>
        </w:rPr>
        <w:t xml:space="preserve"> </w:t>
      </w:r>
      <w:r w:rsidR="00E66E58" w:rsidRPr="00ED4CFF">
        <w:rPr>
          <w:sz w:val="24"/>
        </w:rPr>
        <w:t>follows:</w:t>
      </w:r>
    </w:p>
    <w:p w:rsidR="0095654C" w:rsidRPr="00ED4CFF" w:rsidRDefault="00ED4CFF" w:rsidP="00ED4CFF">
      <w:pPr>
        <w:tabs>
          <w:tab w:val="left" w:pos="985"/>
        </w:tabs>
        <w:spacing w:before="137"/>
        <w:ind w:left="984" w:hanging="306"/>
        <w:rPr>
          <w:i/>
          <w:sz w:val="24"/>
        </w:rPr>
      </w:pPr>
      <w:r>
        <w:rPr>
          <w:i/>
          <w:sz w:val="24"/>
        </w:rPr>
        <w:t>(2)</w:t>
      </w:r>
      <w:r>
        <w:rPr>
          <w:i/>
          <w:sz w:val="24"/>
        </w:rPr>
        <w:tab/>
      </w:r>
      <w:r w:rsidR="00E66E58" w:rsidRPr="00ED4CFF">
        <w:rPr>
          <w:i/>
          <w:sz w:val="24"/>
        </w:rPr>
        <w:t>“Subject</w:t>
      </w:r>
      <w:r w:rsidR="00E66E58" w:rsidRPr="00ED4CFF">
        <w:rPr>
          <w:i/>
          <w:spacing w:val="7"/>
          <w:sz w:val="24"/>
        </w:rPr>
        <w:t xml:space="preserve"> </w:t>
      </w:r>
      <w:r w:rsidR="00E66E58" w:rsidRPr="00ED4CFF">
        <w:rPr>
          <w:i/>
          <w:sz w:val="24"/>
        </w:rPr>
        <w:t>to</w:t>
      </w:r>
      <w:r w:rsidR="00E66E58" w:rsidRPr="00ED4CFF">
        <w:rPr>
          <w:i/>
          <w:spacing w:val="8"/>
          <w:sz w:val="24"/>
        </w:rPr>
        <w:t xml:space="preserve"> </w:t>
      </w:r>
      <w:r w:rsidR="00E66E58" w:rsidRPr="00ED4CFF">
        <w:rPr>
          <w:i/>
          <w:sz w:val="24"/>
        </w:rPr>
        <w:t>subsections</w:t>
      </w:r>
      <w:r w:rsidR="00E66E58" w:rsidRPr="00ED4CFF">
        <w:rPr>
          <w:i/>
          <w:spacing w:val="2"/>
          <w:sz w:val="24"/>
        </w:rPr>
        <w:t xml:space="preserve"> </w:t>
      </w:r>
      <w:r w:rsidR="00E66E58" w:rsidRPr="00ED4CFF">
        <w:rPr>
          <w:i/>
          <w:sz w:val="24"/>
        </w:rPr>
        <w:t>(3)</w:t>
      </w:r>
      <w:r w:rsidR="00E66E58" w:rsidRPr="00ED4CFF">
        <w:rPr>
          <w:i/>
          <w:spacing w:val="7"/>
          <w:sz w:val="24"/>
        </w:rPr>
        <w:t xml:space="preserve"> </w:t>
      </w:r>
      <w:r w:rsidR="00E66E58" w:rsidRPr="00ED4CFF">
        <w:rPr>
          <w:i/>
          <w:sz w:val="24"/>
        </w:rPr>
        <w:t>to</w:t>
      </w:r>
      <w:r w:rsidR="00E66E58" w:rsidRPr="00ED4CFF">
        <w:rPr>
          <w:i/>
          <w:spacing w:val="6"/>
          <w:sz w:val="24"/>
        </w:rPr>
        <w:t xml:space="preserve"> </w:t>
      </w:r>
      <w:r w:rsidR="00E66E58" w:rsidRPr="00ED4CFF">
        <w:rPr>
          <w:i/>
          <w:sz w:val="24"/>
        </w:rPr>
        <w:t>(6),</w:t>
      </w:r>
      <w:r w:rsidR="00E66E58" w:rsidRPr="00ED4CFF">
        <w:rPr>
          <w:i/>
          <w:spacing w:val="6"/>
          <w:sz w:val="24"/>
        </w:rPr>
        <w:t xml:space="preserve"> </w:t>
      </w:r>
      <w:r w:rsidR="00E66E58" w:rsidRPr="00ED4CFF">
        <w:rPr>
          <w:i/>
          <w:sz w:val="24"/>
        </w:rPr>
        <w:t>the</w:t>
      </w:r>
      <w:r w:rsidR="00E66E58" w:rsidRPr="00ED4CFF">
        <w:rPr>
          <w:i/>
          <w:spacing w:val="6"/>
          <w:sz w:val="24"/>
        </w:rPr>
        <w:t xml:space="preserve"> </w:t>
      </w:r>
      <w:r w:rsidR="00E66E58" w:rsidRPr="00ED4CFF">
        <w:rPr>
          <w:i/>
          <w:sz w:val="24"/>
        </w:rPr>
        <w:t>consumer</w:t>
      </w:r>
      <w:r w:rsidR="00E66E58" w:rsidRPr="00ED4CFF">
        <w:rPr>
          <w:i/>
          <w:spacing w:val="7"/>
          <w:sz w:val="24"/>
        </w:rPr>
        <w:t xml:space="preserve"> </w:t>
      </w:r>
      <w:r w:rsidR="00E66E58" w:rsidRPr="00ED4CFF">
        <w:rPr>
          <w:i/>
          <w:sz w:val="24"/>
        </w:rPr>
        <w:t>may</w:t>
      </w:r>
      <w:r w:rsidR="00E66E58" w:rsidRPr="00ED4CFF">
        <w:rPr>
          <w:i/>
          <w:spacing w:val="6"/>
          <w:sz w:val="24"/>
        </w:rPr>
        <w:t xml:space="preserve"> </w:t>
      </w:r>
      <w:r w:rsidR="00E66E58" w:rsidRPr="00ED4CFF">
        <w:rPr>
          <w:i/>
          <w:sz w:val="24"/>
        </w:rPr>
        <w:t>return</w:t>
      </w:r>
      <w:r w:rsidR="00E66E58" w:rsidRPr="00ED4CFF">
        <w:rPr>
          <w:i/>
          <w:spacing w:val="5"/>
          <w:sz w:val="24"/>
        </w:rPr>
        <w:t xml:space="preserve"> </w:t>
      </w:r>
      <w:r w:rsidR="00E66E58" w:rsidRPr="00ED4CFF">
        <w:rPr>
          <w:i/>
          <w:sz w:val="24"/>
        </w:rPr>
        <w:t>goods</w:t>
      </w:r>
      <w:r w:rsidR="00E66E58" w:rsidRPr="00ED4CFF">
        <w:rPr>
          <w:i/>
          <w:spacing w:val="7"/>
          <w:sz w:val="24"/>
        </w:rPr>
        <w:t xml:space="preserve"> </w:t>
      </w:r>
      <w:r w:rsidR="00E66E58" w:rsidRPr="00ED4CFF">
        <w:rPr>
          <w:i/>
          <w:sz w:val="24"/>
        </w:rPr>
        <w:t>to</w:t>
      </w:r>
      <w:r w:rsidR="00E66E58" w:rsidRPr="00ED4CFF">
        <w:rPr>
          <w:i/>
          <w:spacing w:val="5"/>
          <w:sz w:val="24"/>
        </w:rPr>
        <w:t xml:space="preserve"> </w:t>
      </w:r>
      <w:r w:rsidR="00E66E58" w:rsidRPr="00ED4CFF">
        <w:rPr>
          <w:i/>
          <w:sz w:val="24"/>
        </w:rPr>
        <w:t>the</w:t>
      </w:r>
      <w:r w:rsidR="00E66E58" w:rsidRPr="00ED4CFF">
        <w:rPr>
          <w:i/>
          <w:spacing w:val="6"/>
          <w:sz w:val="24"/>
        </w:rPr>
        <w:t xml:space="preserve"> </w:t>
      </w:r>
      <w:r w:rsidR="00E66E58" w:rsidRPr="00ED4CFF">
        <w:rPr>
          <w:i/>
          <w:sz w:val="24"/>
        </w:rPr>
        <w:t>supplier,</w:t>
      </w:r>
      <w:r w:rsidR="00E66E58" w:rsidRPr="00ED4CFF">
        <w:rPr>
          <w:i/>
          <w:spacing w:val="7"/>
          <w:sz w:val="24"/>
        </w:rPr>
        <w:t xml:space="preserve"> </w:t>
      </w:r>
      <w:r w:rsidR="00E66E58" w:rsidRPr="00ED4CFF">
        <w:rPr>
          <w:i/>
          <w:sz w:val="24"/>
        </w:rPr>
        <w:t>and</w:t>
      </w:r>
      <w:r w:rsidR="00E66E58" w:rsidRPr="00ED4CFF">
        <w:rPr>
          <w:i/>
          <w:spacing w:val="5"/>
          <w:sz w:val="24"/>
        </w:rPr>
        <w:t xml:space="preserve"> </w:t>
      </w:r>
      <w:r w:rsidR="00E66E58" w:rsidRPr="00ED4CFF">
        <w:rPr>
          <w:i/>
          <w:sz w:val="24"/>
        </w:rPr>
        <w:t>receive</w:t>
      </w:r>
      <w:r w:rsidR="00E66E58" w:rsidRPr="00ED4CFF">
        <w:rPr>
          <w:i/>
          <w:spacing w:val="5"/>
          <w:sz w:val="24"/>
        </w:rPr>
        <w:t xml:space="preserve"> </w:t>
      </w:r>
      <w:r w:rsidR="00E66E58" w:rsidRPr="00ED4CFF">
        <w:rPr>
          <w:i/>
          <w:sz w:val="24"/>
        </w:rPr>
        <w:t>a</w:t>
      </w:r>
      <w:r w:rsidR="00E66E58" w:rsidRPr="00ED4CFF">
        <w:rPr>
          <w:i/>
          <w:spacing w:val="6"/>
          <w:sz w:val="24"/>
        </w:rPr>
        <w:t xml:space="preserve"> </w:t>
      </w:r>
      <w:r w:rsidR="00E66E58" w:rsidRPr="00ED4CFF">
        <w:rPr>
          <w:i/>
          <w:sz w:val="24"/>
        </w:rPr>
        <w:t>full</w:t>
      </w:r>
    </w:p>
    <w:p w:rsidR="0095654C" w:rsidRDefault="00E66E58">
      <w:pPr>
        <w:spacing w:before="138" w:line="360" w:lineRule="auto"/>
        <w:ind w:left="1553" w:right="2134" w:hanging="720"/>
        <w:rPr>
          <w:i/>
          <w:sz w:val="24"/>
        </w:rPr>
      </w:pPr>
      <w:r>
        <w:rPr>
          <w:i/>
          <w:sz w:val="24"/>
        </w:rPr>
        <w:t>r</w:t>
      </w:r>
      <w:r>
        <w:rPr>
          <w:i/>
          <w:sz w:val="24"/>
        </w:rPr>
        <w:t>efund of any consideration paid for those goods, if the supplier has delivered – (a)…</w:t>
      </w:r>
    </w:p>
    <w:p w:rsidR="0095654C" w:rsidRDefault="0095654C">
      <w:pPr>
        <w:pStyle w:val="BodyText"/>
        <w:rPr>
          <w:i/>
          <w:sz w:val="20"/>
        </w:rPr>
      </w:pPr>
    </w:p>
    <w:p w:rsidR="0095654C" w:rsidRDefault="0095654C">
      <w:pPr>
        <w:pStyle w:val="BodyText"/>
        <w:rPr>
          <w:i/>
          <w:sz w:val="20"/>
        </w:rPr>
      </w:pPr>
    </w:p>
    <w:p w:rsidR="0095654C" w:rsidRDefault="0095654C">
      <w:pPr>
        <w:pStyle w:val="BodyText"/>
        <w:rPr>
          <w:i/>
          <w:sz w:val="20"/>
        </w:rPr>
      </w:pPr>
    </w:p>
    <w:p w:rsidR="0095654C" w:rsidRDefault="0095654C">
      <w:pPr>
        <w:pStyle w:val="BodyText"/>
        <w:rPr>
          <w:i/>
          <w:sz w:val="20"/>
        </w:rPr>
      </w:pPr>
    </w:p>
    <w:p w:rsidR="0095654C" w:rsidRDefault="00E66E58">
      <w:pPr>
        <w:pStyle w:val="BodyText"/>
        <w:spacing w:before="5"/>
        <w:rPr>
          <w:i/>
          <w:sz w:val="22"/>
        </w:rPr>
      </w:pPr>
      <w:r>
        <w:pict>
          <v:shape id="_x0000_s1031" style="position:absolute;margin-left:56.65pt;margin-top:15.25pt;width:144.05pt;height:.1pt;z-index:-251652096;mso-wrap-distance-left:0;mso-wrap-distance-right:0;mso-position-horizontal-relative:page" coordorigin="1133,305" coordsize="2881,0" path="m1133,305r2881,e" filled="f" strokeweight=".72pt">
            <v:path arrowok="t"/>
            <w10:wrap type="topAndBottom" anchorx="page"/>
          </v:shape>
        </w:pict>
      </w:r>
    </w:p>
    <w:p w:rsidR="0095654C" w:rsidRDefault="0095654C">
      <w:pPr>
        <w:sectPr w:rsidR="0095654C">
          <w:pgSz w:w="11910" w:h="16840"/>
          <w:pgMar w:top="760" w:right="1020" w:bottom="900" w:left="1020" w:header="0" w:footer="633" w:gutter="0"/>
          <w:cols w:space="720"/>
        </w:sectPr>
      </w:pPr>
    </w:p>
    <w:p w:rsidR="0095654C" w:rsidRDefault="00E66E58">
      <w:pPr>
        <w:spacing w:before="79" w:line="360" w:lineRule="auto"/>
        <w:ind w:left="1553" w:right="1075"/>
        <w:rPr>
          <w:i/>
          <w:sz w:val="24"/>
        </w:rPr>
      </w:pPr>
      <w:r>
        <w:rPr>
          <w:i/>
          <w:sz w:val="24"/>
        </w:rPr>
        <w:lastRenderedPageBreak/>
        <w:t xml:space="preserve">(d) goods intended to satisfy a particular purpose communicated to the supplier as contemplated in section 55(3), and within </w:t>
      </w:r>
      <w:r>
        <w:rPr>
          <w:i/>
          <w:sz w:val="24"/>
        </w:rPr>
        <w:t>10 business days after delivery to the consumer, the goods have been found to be unsuitable for that particular purpose.”</w:t>
      </w:r>
    </w:p>
    <w:p w:rsidR="0095654C" w:rsidRDefault="0095654C">
      <w:pPr>
        <w:pStyle w:val="BodyText"/>
        <w:spacing w:before="10"/>
        <w:rPr>
          <w:i/>
          <w:sz w:val="35"/>
        </w:rPr>
      </w:pPr>
    </w:p>
    <w:p w:rsidR="0095654C" w:rsidRPr="00ED4CFF" w:rsidRDefault="00ED4CFF" w:rsidP="00ED4CFF">
      <w:pPr>
        <w:tabs>
          <w:tab w:val="left" w:pos="680"/>
        </w:tabs>
        <w:spacing w:before="1"/>
        <w:ind w:left="679" w:hanging="568"/>
        <w:jc w:val="both"/>
        <w:rPr>
          <w:sz w:val="24"/>
        </w:rPr>
      </w:pPr>
      <w:r>
        <w:rPr>
          <w:spacing w:val="-9"/>
          <w:sz w:val="24"/>
        </w:rPr>
        <w:t>41.</w:t>
      </w:r>
      <w:r>
        <w:rPr>
          <w:spacing w:val="-9"/>
          <w:sz w:val="24"/>
        </w:rPr>
        <w:tab/>
      </w:r>
      <w:r w:rsidR="00E66E58" w:rsidRPr="00ED4CFF">
        <w:rPr>
          <w:sz w:val="24"/>
        </w:rPr>
        <w:t>In section 53 (1)(a) of the Act, a "defect" is defined as</w:t>
      </w:r>
      <w:r w:rsidR="00E66E58" w:rsidRPr="00ED4CFF">
        <w:rPr>
          <w:spacing w:val="-7"/>
          <w:sz w:val="24"/>
        </w:rPr>
        <w:t xml:space="preserve"> </w:t>
      </w:r>
      <w:r w:rsidR="00E66E58" w:rsidRPr="00ED4CFF">
        <w:rPr>
          <w:sz w:val="24"/>
        </w:rPr>
        <w:t>follows:</w:t>
      </w:r>
    </w:p>
    <w:p w:rsidR="0095654C" w:rsidRPr="00ED4CFF" w:rsidRDefault="00ED4CFF" w:rsidP="00ED4CFF">
      <w:pPr>
        <w:tabs>
          <w:tab w:val="left" w:pos="1554"/>
        </w:tabs>
        <w:spacing w:before="137" w:line="360" w:lineRule="auto"/>
        <w:ind w:left="1553" w:right="112" w:hanging="720"/>
        <w:jc w:val="both"/>
        <w:rPr>
          <w:i/>
          <w:sz w:val="24"/>
        </w:rPr>
      </w:pPr>
      <w:r>
        <w:rPr>
          <w:i/>
          <w:spacing w:val="-4"/>
          <w:sz w:val="24"/>
          <w:szCs w:val="24"/>
        </w:rPr>
        <w:t>(i)</w:t>
      </w:r>
      <w:r>
        <w:rPr>
          <w:i/>
          <w:spacing w:val="-4"/>
          <w:sz w:val="24"/>
          <w:szCs w:val="24"/>
        </w:rPr>
        <w:tab/>
      </w:r>
      <w:r w:rsidR="00E66E58" w:rsidRPr="00ED4CFF">
        <w:rPr>
          <w:i/>
          <w:sz w:val="24"/>
        </w:rPr>
        <w:t>"any material imperfection in the manufacture of the goods or comp</w:t>
      </w:r>
      <w:r w:rsidR="00E66E58" w:rsidRPr="00ED4CFF">
        <w:rPr>
          <w:i/>
          <w:sz w:val="24"/>
        </w:rPr>
        <w:t>onents, or performance of the services, that renders the goods or results of the services less acceptable than persons generally would be reasonably entitled to expect in the circumstances;</w:t>
      </w:r>
      <w:r w:rsidR="00E66E58" w:rsidRPr="00ED4CFF">
        <w:rPr>
          <w:i/>
          <w:spacing w:val="-14"/>
          <w:sz w:val="24"/>
        </w:rPr>
        <w:t xml:space="preserve"> </w:t>
      </w:r>
      <w:r w:rsidR="00E66E58" w:rsidRPr="00ED4CFF">
        <w:rPr>
          <w:i/>
          <w:sz w:val="24"/>
        </w:rPr>
        <w:t>or</w:t>
      </w:r>
    </w:p>
    <w:p w:rsidR="0095654C" w:rsidRPr="00ED4CFF" w:rsidRDefault="00ED4CFF" w:rsidP="00ED4CFF">
      <w:pPr>
        <w:tabs>
          <w:tab w:val="left" w:pos="1554"/>
        </w:tabs>
        <w:spacing w:before="2" w:line="360" w:lineRule="auto"/>
        <w:ind w:left="1553" w:right="112" w:hanging="720"/>
        <w:jc w:val="both"/>
        <w:rPr>
          <w:i/>
          <w:sz w:val="24"/>
        </w:rPr>
      </w:pPr>
      <w:r>
        <w:rPr>
          <w:i/>
          <w:spacing w:val="-4"/>
          <w:sz w:val="24"/>
          <w:szCs w:val="24"/>
        </w:rPr>
        <w:t>(ii)</w:t>
      </w:r>
      <w:r>
        <w:rPr>
          <w:i/>
          <w:spacing w:val="-4"/>
          <w:sz w:val="24"/>
          <w:szCs w:val="24"/>
        </w:rPr>
        <w:tab/>
      </w:r>
      <w:r w:rsidR="00E66E58" w:rsidRPr="00ED4CFF">
        <w:rPr>
          <w:i/>
          <w:sz w:val="24"/>
        </w:rPr>
        <w:t>any characteristic of the goods or components that renders the goods or components less useful, practicable or safe than persons generally would be reasonably entitled to expect in the</w:t>
      </w:r>
      <w:r w:rsidR="00E66E58" w:rsidRPr="00ED4CFF">
        <w:rPr>
          <w:i/>
          <w:spacing w:val="-1"/>
          <w:sz w:val="24"/>
        </w:rPr>
        <w:t xml:space="preserve"> </w:t>
      </w:r>
      <w:r w:rsidR="00E66E58" w:rsidRPr="00ED4CFF">
        <w:rPr>
          <w:i/>
          <w:sz w:val="24"/>
        </w:rPr>
        <w:t>circumstances."</w:t>
      </w:r>
    </w:p>
    <w:p w:rsidR="0095654C" w:rsidRDefault="0095654C">
      <w:pPr>
        <w:pStyle w:val="BodyText"/>
        <w:spacing w:before="10"/>
        <w:rPr>
          <w:i/>
          <w:sz w:val="35"/>
        </w:rPr>
      </w:pPr>
    </w:p>
    <w:p w:rsidR="0095654C" w:rsidRPr="00ED4CFF" w:rsidRDefault="00ED4CFF" w:rsidP="00ED4CFF">
      <w:pPr>
        <w:tabs>
          <w:tab w:val="left" w:pos="679"/>
          <w:tab w:val="left" w:pos="680"/>
        </w:tabs>
        <w:ind w:left="679" w:hanging="568"/>
        <w:rPr>
          <w:sz w:val="24"/>
        </w:rPr>
      </w:pPr>
      <w:r>
        <w:rPr>
          <w:spacing w:val="-9"/>
          <w:sz w:val="24"/>
        </w:rPr>
        <w:t>42.</w:t>
      </w:r>
      <w:r>
        <w:rPr>
          <w:spacing w:val="-9"/>
          <w:sz w:val="24"/>
        </w:rPr>
        <w:tab/>
      </w:r>
      <w:r w:rsidR="00E66E58" w:rsidRPr="00ED4CFF">
        <w:rPr>
          <w:sz w:val="24"/>
        </w:rPr>
        <w:t>According to section</w:t>
      </w:r>
      <w:r w:rsidR="00E66E58" w:rsidRPr="00ED4CFF">
        <w:rPr>
          <w:spacing w:val="-5"/>
          <w:sz w:val="24"/>
        </w:rPr>
        <w:t xml:space="preserve"> </w:t>
      </w:r>
      <w:r w:rsidR="00E66E58" w:rsidRPr="00ED4CFF">
        <w:rPr>
          <w:sz w:val="24"/>
        </w:rPr>
        <w:t>55(3)</w:t>
      </w:r>
    </w:p>
    <w:p w:rsidR="0095654C" w:rsidRPr="00ED4CFF" w:rsidRDefault="00ED4CFF" w:rsidP="00ED4CFF">
      <w:pPr>
        <w:tabs>
          <w:tab w:val="left" w:pos="1553"/>
          <w:tab w:val="left" w:pos="1554"/>
        </w:tabs>
        <w:spacing w:before="138" w:line="357" w:lineRule="auto"/>
        <w:ind w:left="1553" w:right="457" w:hanging="588"/>
        <w:rPr>
          <w:i/>
          <w:sz w:val="24"/>
        </w:rPr>
      </w:pPr>
      <w:r>
        <w:rPr>
          <w:i/>
          <w:sz w:val="24"/>
        </w:rPr>
        <w:t>(3)</w:t>
      </w:r>
      <w:r>
        <w:rPr>
          <w:i/>
          <w:sz w:val="24"/>
        </w:rPr>
        <w:tab/>
      </w:r>
      <w:r w:rsidR="00E66E58" w:rsidRPr="00ED4CFF">
        <w:rPr>
          <w:rFonts w:ascii="Calibri" w:hAnsi="Calibri"/>
        </w:rPr>
        <w:t>“</w:t>
      </w:r>
      <w:r w:rsidR="00E66E58" w:rsidRPr="00ED4CFF">
        <w:rPr>
          <w:i/>
          <w:sz w:val="24"/>
        </w:rPr>
        <w:t>In</w:t>
      </w:r>
      <w:r w:rsidR="00E66E58" w:rsidRPr="00ED4CFF">
        <w:rPr>
          <w:i/>
          <w:spacing w:val="-4"/>
          <w:sz w:val="24"/>
        </w:rPr>
        <w:t xml:space="preserve"> </w:t>
      </w:r>
      <w:r w:rsidR="00E66E58" w:rsidRPr="00ED4CFF">
        <w:rPr>
          <w:i/>
          <w:sz w:val="24"/>
        </w:rPr>
        <w:t>addition</w:t>
      </w:r>
      <w:r w:rsidR="00E66E58" w:rsidRPr="00ED4CFF">
        <w:rPr>
          <w:i/>
          <w:spacing w:val="-4"/>
          <w:sz w:val="24"/>
        </w:rPr>
        <w:t xml:space="preserve"> </w:t>
      </w:r>
      <w:r w:rsidR="00E66E58" w:rsidRPr="00ED4CFF">
        <w:rPr>
          <w:i/>
          <w:sz w:val="24"/>
        </w:rPr>
        <w:t>to</w:t>
      </w:r>
      <w:r w:rsidR="00E66E58" w:rsidRPr="00ED4CFF">
        <w:rPr>
          <w:i/>
          <w:spacing w:val="-1"/>
          <w:sz w:val="24"/>
        </w:rPr>
        <w:t xml:space="preserve"> </w:t>
      </w:r>
      <w:r w:rsidR="00E66E58" w:rsidRPr="00ED4CFF">
        <w:rPr>
          <w:i/>
          <w:sz w:val="24"/>
        </w:rPr>
        <w:t>the</w:t>
      </w:r>
      <w:r w:rsidR="00E66E58" w:rsidRPr="00ED4CFF">
        <w:rPr>
          <w:i/>
          <w:spacing w:val="-3"/>
          <w:sz w:val="24"/>
        </w:rPr>
        <w:t xml:space="preserve"> </w:t>
      </w:r>
      <w:r w:rsidR="00E66E58" w:rsidRPr="00ED4CFF">
        <w:rPr>
          <w:i/>
          <w:sz w:val="24"/>
        </w:rPr>
        <w:t>right</w:t>
      </w:r>
      <w:r w:rsidR="00E66E58" w:rsidRPr="00ED4CFF">
        <w:rPr>
          <w:i/>
          <w:spacing w:val="-3"/>
          <w:sz w:val="24"/>
        </w:rPr>
        <w:t xml:space="preserve"> </w:t>
      </w:r>
      <w:r w:rsidR="00E66E58" w:rsidRPr="00ED4CFF">
        <w:rPr>
          <w:i/>
          <w:sz w:val="24"/>
        </w:rPr>
        <w:t>s</w:t>
      </w:r>
      <w:r w:rsidR="00E66E58" w:rsidRPr="00ED4CFF">
        <w:rPr>
          <w:i/>
          <w:sz w:val="24"/>
        </w:rPr>
        <w:t>et</w:t>
      </w:r>
      <w:r w:rsidR="00E66E58" w:rsidRPr="00ED4CFF">
        <w:rPr>
          <w:i/>
          <w:spacing w:val="-4"/>
          <w:sz w:val="24"/>
        </w:rPr>
        <w:t xml:space="preserve"> </w:t>
      </w:r>
      <w:r w:rsidR="00E66E58" w:rsidRPr="00ED4CFF">
        <w:rPr>
          <w:i/>
          <w:sz w:val="24"/>
        </w:rPr>
        <w:t>out</w:t>
      </w:r>
      <w:r w:rsidR="00E66E58" w:rsidRPr="00ED4CFF">
        <w:rPr>
          <w:i/>
          <w:spacing w:val="-3"/>
          <w:sz w:val="24"/>
        </w:rPr>
        <w:t xml:space="preserve"> </w:t>
      </w:r>
      <w:r w:rsidR="00E66E58" w:rsidRPr="00ED4CFF">
        <w:rPr>
          <w:i/>
          <w:sz w:val="24"/>
        </w:rPr>
        <w:t>in</w:t>
      </w:r>
      <w:r w:rsidR="00E66E58" w:rsidRPr="00ED4CFF">
        <w:rPr>
          <w:i/>
          <w:spacing w:val="-4"/>
          <w:sz w:val="24"/>
        </w:rPr>
        <w:t xml:space="preserve"> </w:t>
      </w:r>
      <w:r w:rsidR="00E66E58" w:rsidRPr="00ED4CFF">
        <w:rPr>
          <w:i/>
          <w:sz w:val="24"/>
        </w:rPr>
        <w:t>subsection</w:t>
      </w:r>
      <w:r w:rsidR="00E66E58" w:rsidRPr="00ED4CFF">
        <w:rPr>
          <w:i/>
          <w:spacing w:val="-5"/>
          <w:sz w:val="24"/>
        </w:rPr>
        <w:t xml:space="preserve"> </w:t>
      </w:r>
      <w:r w:rsidR="00E66E58" w:rsidRPr="00ED4CFF">
        <w:rPr>
          <w:i/>
          <w:sz w:val="24"/>
        </w:rPr>
        <w:t>(2)(a),</w:t>
      </w:r>
      <w:r w:rsidR="00E66E58" w:rsidRPr="00ED4CFF">
        <w:rPr>
          <w:i/>
          <w:spacing w:val="-3"/>
          <w:sz w:val="24"/>
        </w:rPr>
        <w:t xml:space="preserve"> </w:t>
      </w:r>
      <w:r w:rsidR="00E66E58" w:rsidRPr="00ED4CFF">
        <w:rPr>
          <w:i/>
          <w:sz w:val="24"/>
        </w:rPr>
        <w:t>if</w:t>
      </w:r>
      <w:r w:rsidR="00E66E58" w:rsidRPr="00ED4CFF">
        <w:rPr>
          <w:i/>
          <w:spacing w:val="-2"/>
          <w:sz w:val="24"/>
        </w:rPr>
        <w:t xml:space="preserve"> </w:t>
      </w:r>
      <w:r w:rsidR="00E66E58" w:rsidRPr="00ED4CFF">
        <w:rPr>
          <w:i/>
          <w:sz w:val="24"/>
        </w:rPr>
        <w:t>a</w:t>
      </w:r>
      <w:r w:rsidR="00E66E58" w:rsidRPr="00ED4CFF">
        <w:rPr>
          <w:i/>
          <w:spacing w:val="-5"/>
          <w:sz w:val="24"/>
        </w:rPr>
        <w:t xml:space="preserve"> </w:t>
      </w:r>
      <w:r w:rsidR="00E66E58" w:rsidRPr="00ED4CFF">
        <w:rPr>
          <w:i/>
          <w:sz w:val="24"/>
        </w:rPr>
        <w:t>consumer</w:t>
      </w:r>
      <w:r w:rsidR="00E66E58" w:rsidRPr="00ED4CFF">
        <w:rPr>
          <w:i/>
          <w:spacing w:val="-2"/>
          <w:sz w:val="24"/>
        </w:rPr>
        <w:t xml:space="preserve"> </w:t>
      </w:r>
      <w:r w:rsidR="00E66E58" w:rsidRPr="00ED4CFF">
        <w:rPr>
          <w:i/>
          <w:sz w:val="24"/>
        </w:rPr>
        <w:t>has</w:t>
      </w:r>
      <w:r w:rsidR="00E66E58" w:rsidRPr="00ED4CFF">
        <w:rPr>
          <w:i/>
          <w:spacing w:val="-4"/>
          <w:sz w:val="24"/>
        </w:rPr>
        <w:t xml:space="preserve"> </w:t>
      </w:r>
      <w:r w:rsidR="00E66E58" w:rsidRPr="00ED4CFF">
        <w:rPr>
          <w:i/>
          <w:sz w:val="24"/>
        </w:rPr>
        <w:t>specifically</w:t>
      </w:r>
      <w:r w:rsidR="00E66E58" w:rsidRPr="00ED4CFF">
        <w:rPr>
          <w:i/>
          <w:spacing w:val="-4"/>
          <w:sz w:val="24"/>
        </w:rPr>
        <w:t xml:space="preserve"> </w:t>
      </w:r>
      <w:r w:rsidR="00E66E58" w:rsidRPr="00ED4CFF">
        <w:rPr>
          <w:i/>
          <w:sz w:val="24"/>
        </w:rPr>
        <w:t>informed the supplier of the particular purpose for which the consumer wishes to acquire any goods, or the use to which the consumer intends to apply those goods, and</w:t>
      </w:r>
      <w:r w:rsidR="00E66E58" w:rsidRPr="00ED4CFF">
        <w:rPr>
          <w:i/>
          <w:spacing w:val="-24"/>
          <w:sz w:val="24"/>
        </w:rPr>
        <w:t xml:space="preserve"> </w:t>
      </w:r>
      <w:r w:rsidR="00E66E58" w:rsidRPr="00ED4CFF">
        <w:rPr>
          <w:i/>
          <w:sz w:val="24"/>
        </w:rPr>
        <w:t>the</w:t>
      </w:r>
    </w:p>
    <w:p w:rsidR="0095654C" w:rsidRDefault="00E66E58">
      <w:pPr>
        <w:spacing w:before="8"/>
        <w:ind w:left="1553"/>
        <w:rPr>
          <w:i/>
          <w:sz w:val="24"/>
        </w:rPr>
      </w:pPr>
      <w:r>
        <w:rPr>
          <w:i/>
          <w:sz w:val="24"/>
        </w:rPr>
        <w:t>s</w:t>
      </w:r>
      <w:r>
        <w:rPr>
          <w:i/>
          <w:sz w:val="24"/>
        </w:rPr>
        <w:t>upplier –</w:t>
      </w:r>
    </w:p>
    <w:p w:rsidR="0095654C" w:rsidRPr="00ED4CFF" w:rsidRDefault="00ED4CFF" w:rsidP="00ED4CFF">
      <w:pPr>
        <w:tabs>
          <w:tab w:val="left" w:pos="2569"/>
        </w:tabs>
        <w:spacing w:before="138"/>
        <w:ind w:left="2568" w:hanging="296"/>
        <w:rPr>
          <w:i/>
          <w:sz w:val="24"/>
        </w:rPr>
      </w:pPr>
      <w:r>
        <w:rPr>
          <w:i/>
          <w:spacing w:val="-3"/>
          <w:sz w:val="24"/>
          <w:szCs w:val="24"/>
        </w:rPr>
        <w:t>(a)</w:t>
      </w:r>
      <w:r>
        <w:rPr>
          <w:i/>
          <w:spacing w:val="-3"/>
          <w:sz w:val="24"/>
          <w:szCs w:val="24"/>
        </w:rPr>
        <w:tab/>
      </w:r>
      <w:r w:rsidR="00E66E58" w:rsidRPr="00ED4CFF">
        <w:rPr>
          <w:i/>
          <w:sz w:val="24"/>
        </w:rPr>
        <w:t>ordinarily offers to supply such goods;</w:t>
      </w:r>
      <w:r w:rsidR="00E66E58" w:rsidRPr="00ED4CFF">
        <w:rPr>
          <w:i/>
          <w:spacing w:val="-6"/>
          <w:sz w:val="24"/>
        </w:rPr>
        <w:t xml:space="preserve"> </w:t>
      </w:r>
      <w:r w:rsidR="00E66E58" w:rsidRPr="00ED4CFF">
        <w:rPr>
          <w:i/>
          <w:sz w:val="24"/>
        </w:rPr>
        <w:t>or</w:t>
      </w:r>
    </w:p>
    <w:p w:rsidR="0095654C" w:rsidRPr="00ED4CFF" w:rsidRDefault="00ED4CFF" w:rsidP="00ED4CFF">
      <w:pPr>
        <w:tabs>
          <w:tab w:val="left" w:pos="2569"/>
        </w:tabs>
        <w:spacing w:before="137" w:line="360" w:lineRule="auto"/>
        <w:ind w:left="2273" w:right="120"/>
        <w:rPr>
          <w:i/>
          <w:sz w:val="24"/>
        </w:rPr>
      </w:pPr>
      <w:r>
        <w:rPr>
          <w:i/>
          <w:spacing w:val="-3"/>
          <w:sz w:val="24"/>
          <w:szCs w:val="24"/>
        </w:rPr>
        <w:t>(b)</w:t>
      </w:r>
      <w:r>
        <w:rPr>
          <w:i/>
          <w:spacing w:val="-3"/>
          <w:sz w:val="24"/>
          <w:szCs w:val="24"/>
        </w:rPr>
        <w:tab/>
      </w:r>
      <w:r w:rsidR="00E66E58" w:rsidRPr="00ED4CFF">
        <w:rPr>
          <w:i/>
          <w:sz w:val="24"/>
        </w:rPr>
        <w:t>acts in a manner consistent with being knowledgeable about the use of those goods, the consumer has a right to expect that the goods are reasonably suitable for the specific purpose that the consumer has</w:t>
      </w:r>
      <w:r w:rsidR="00E66E58" w:rsidRPr="00ED4CFF">
        <w:rPr>
          <w:i/>
          <w:spacing w:val="-9"/>
          <w:sz w:val="24"/>
        </w:rPr>
        <w:t xml:space="preserve"> </w:t>
      </w:r>
      <w:r w:rsidR="00E66E58" w:rsidRPr="00ED4CFF">
        <w:rPr>
          <w:i/>
          <w:sz w:val="24"/>
        </w:rPr>
        <w:t>indicated</w:t>
      </w:r>
      <w:r w:rsidR="00E66E58" w:rsidRPr="00ED4CFF">
        <w:rPr>
          <w:i/>
          <w:sz w:val="24"/>
        </w:rPr>
        <w:t>.”</w:t>
      </w:r>
    </w:p>
    <w:p w:rsidR="0095654C" w:rsidRDefault="0095654C">
      <w:pPr>
        <w:pStyle w:val="BodyText"/>
        <w:spacing w:before="2"/>
        <w:rPr>
          <w:i/>
          <w:sz w:val="36"/>
        </w:rPr>
      </w:pPr>
    </w:p>
    <w:p w:rsidR="0095654C" w:rsidRPr="00ED4CFF" w:rsidRDefault="00ED4CFF" w:rsidP="00ED4CFF">
      <w:pPr>
        <w:tabs>
          <w:tab w:val="left" w:pos="680"/>
        </w:tabs>
        <w:ind w:left="679" w:hanging="568"/>
        <w:jc w:val="both"/>
        <w:rPr>
          <w:sz w:val="24"/>
        </w:rPr>
      </w:pPr>
      <w:r>
        <w:rPr>
          <w:spacing w:val="-9"/>
          <w:sz w:val="24"/>
        </w:rPr>
        <w:t>43.</w:t>
      </w:r>
      <w:r>
        <w:rPr>
          <w:spacing w:val="-9"/>
          <w:sz w:val="24"/>
        </w:rPr>
        <w:tab/>
      </w:r>
      <w:r w:rsidR="00E66E58" w:rsidRPr="00ED4CFF">
        <w:rPr>
          <w:sz w:val="24"/>
        </w:rPr>
        <w:t>Section 56(2) of the CPA states as</w:t>
      </w:r>
      <w:r w:rsidR="00E66E58" w:rsidRPr="00ED4CFF">
        <w:rPr>
          <w:spacing w:val="-6"/>
          <w:sz w:val="24"/>
        </w:rPr>
        <w:t xml:space="preserve"> </w:t>
      </w:r>
      <w:r w:rsidR="00E66E58" w:rsidRPr="00ED4CFF">
        <w:rPr>
          <w:sz w:val="24"/>
        </w:rPr>
        <w:t>follows:</w:t>
      </w:r>
    </w:p>
    <w:p w:rsidR="0095654C" w:rsidRDefault="00E66E58">
      <w:pPr>
        <w:spacing w:before="137" w:line="360" w:lineRule="auto"/>
        <w:ind w:left="965" w:right="110"/>
        <w:jc w:val="both"/>
        <w:rPr>
          <w:i/>
          <w:sz w:val="24"/>
        </w:rPr>
      </w:pPr>
      <w:r>
        <w:rPr>
          <w:i/>
          <w:sz w:val="24"/>
        </w:rPr>
        <w:t>“</w:t>
      </w:r>
      <w:r>
        <w:rPr>
          <w:i/>
          <w:sz w:val="24"/>
        </w:rPr>
        <w:t xml:space="preserve">Within six months after the delivery of any goods to a consumer, the consumer may return the goods to the supplier, without penalty and at the supplier’s risk and expense, if the goods </w:t>
      </w:r>
      <w:r>
        <w:rPr>
          <w:i/>
          <w:spacing w:val="3"/>
          <w:sz w:val="24"/>
        </w:rPr>
        <w:t xml:space="preserve">fail </w:t>
      </w:r>
      <w:r>
        <w:rPr>
          <w:i/>
          <w:sz w:val="24"/>
        </w:rPr>
        <w:t>to satisfy the re</w:t>
      </w:r>
      <w:r>
        <w:rPr>
          <w:i/>
          <w:sz w:val="24"/>
        </w:rPr>
        <w:t>quirements and standards contemplated in section 55, and the supplier must, at the direction of the consumer either</w:t>
      </w:r>
      <w:r>
        <w:rPr>
          <w:i/>
          <w:spacing w:val="-6"/>
          <w:sz w:val="24"/>
        </w:rPr>
        <w:t xml:space="preserve"> </w:t>
      </w:r>
      <w:r>
        <w:rPr>
          <w:i/>
          <w:sz w:val="24"/>
        </w:rPr>
        <w:t>–</w:t>
      </w:r>
    </w:p>
    <w:p w:rsidR="0095654C" w:rsidRPr="00ED4CFF" w:rsidRDefault="00ED4CFF" w:rsidP="00ED4CFF">
      <w:pPr>
        <w:tabs>
          <w:tab w:val="left" w:pos="1911"/>
        </w:tabs>
        <w:spacing w:line="274" w:lineRule="exact"/>
        <w:ind w:left="1910" w:hanging="361"/>
        <w:jc w:val="both"/>
        <w:rPr>
          <w:i/>
          <w:sz w:val="24"/>
        </w:rPr>
      </w:pPr>
      <w:r>
        <w:rPr>
          <w:i/>
          <w:spacing w:val="-4"/>
          <w:sz w:val="24"/>
          <w:szCs w:val="24"/>
        </w:rPr>
        <w:t>(a)</w:t>
      </w:r>
      <w:r>
        <w:rPr>
          <w:i/>
          <w:spacing w:val="-4"/>
          <w:sz w:val="24"/>
          <w:szCs w:val="24"/>
        </w:rPr>
        <w:tab/>
      </w:r>
      <w:r w:rsidR="00E66E58" w:rsidRPr="00ED4CFF">
        <w:rPr>
          <w:i/>
          <w:sz w:val="24"/>
        </w:rPr>
        <w:t>repair or replace the failed, unsafe or defective goods;</w:t>
      </w:r>
      <w:r w:rsidR="00E66E58" w:rsidRPr="00ED4CFF">
        <w:rPr>
          <w:i/>
          <w:spacing w:val="-16"/>
          <w:sz w:val="24"/>
        </w:rPr>
        <w:t xml:space="preserve"> </w:t>
      </w:r>
      <w:r w:rsidR="00E66E58" w:rsidRPr="00ED4CFF">
        <w:rPr>
          <w:i/>
          <w:sz w:val="24"/>
        </w:rPr>
        <w:t>or</w:t>
      </w:r>
    </w:p>
    <w:p w:rsidR="0095654C" w:rsidRPr="00ED4CFF" w:rsidRDefault="00ED4CFF" w:rsidP="00ED4CFF">
      <w:pPr>
        <w:tabs>
          <w:tab w:val="left" w:pos="1911"/>
        </w:tabs>
        <w:spacing w:before="140"/>
        <w:ind w:left="1910" w:hanging="361"/>
        <w:jc w:val="both"/>
        <w:rPr>
          <w:i/>
          <w:sz w:val="24"/>
        </w:rPr>
      </w:pPr>
      <w:r>
        <w:rPr>
          <w:i/>
          <w:spacing w:val="-4"/>
          <w:sz w:val="24"/>
          <w:szCs w:val="24"/>
        </w:rPr>
        <w:t>(b)</w:t>
      </w:r>
      <w:r>
        <w:rPr>
          <w:i/>
          <w:spacing w:val="-4"/>
          <w:sz w:val="24"/>
          <w:szCs w:val="24"/>
        </w:rPr>
        <w:tab/>
      </w:r>
      <w:r w:rsidR="00E66E58" w:rsidRPr="00ED4CFF">
        <w:rPr>
          <w:i/>
          <w:sz w:val="24"/>
        </w:rPr>
        <w:t>refund the consumer the price paid by the consumer, for the</w:t>
      </w:r>
      <w:r w:rsidR="00E66E58" w:rsidRPr="00ED4CFF">
        <w:rPr>
          <w:i/>
          <w:spacing w:val="-12"/>
          <w:sz w:val="24"/>
        </w:rPr>
        <w:t xml:space="preserve"> </w:t>
      </w:r>
      <w:r w:rsidR="00E66E58" w:rsidRPr="00ED4CFF">
        <w:rPr>
          <w:i/>
          <w:sz w:val="24"/>
        </w:rPr>
        <w:t>goods.”</w:t>
      </w:r>
    </w:p>
    <w:p w:rsidR="0095654C" w:rsidRDefault="0095654C">
      <w:pPr>
        <w:pStyle w:val="BodyText"/>
        <w:rPr>
          <w:i/>
          <w:sz w:val="28"/>
        </w:rPr>
      </w:pPr>
    </w:p>
    <w:p w:rsidR="0095654C" w:rsidRDefault="00E66E58">
      <w:pPr>
        <w:pStyle w:val="Heading1"/>
        <w:spacing w:before="229"/>
      </w:pPr>
      <w:r>
        <w:t>CONSIDERATION OF THE FACTS</w:t>
      </w:r>
    </w:p>
    <w:p w:rsidR="0095654C" w:rsidRDefault="0095654C">
      <w:pPr>
        <w:pStyle w:val="BodyText"/>
        <w:rPr>
          <w:b/>
          <w:sz w:val="28"/>
        </w:rPr>
      </w:pPr>
    </w:p>
    <w:p w:rsidR="0095654C" w:rsidRDefault="00E66E58">
      <w:pPr>
        <w:spacing w:before="229"/>
        <w:ind w:left="112"/>
        <w:rPr>
          <w:b/>
          <w:i/>
          <w:sz w:val="24"/>
        </w:rPr>
      </w:pPr>
      <w:r>
        <w:rPr>
          <w:b/>
          <w:i/>
          <w:sz w:val="24"/>
        </w:rPr>
        <w:t>Point in limine</w:t>
      </w:r>
      <w:r>
        <w:rPr>
          <w:b/>
          <w:sz w:val="24"/>
        </w:rPr>
        <w:t xml:space="preserve">: </w:t>
      </w:r>
      <w:r>
        <w:rPr>
          <w:b/>
          <w:i/>
          <w:sz w:val="24"/>
        </w:rPr>
        <w:t>Complainant’s locus standi</w:t>
      </w:r>
    </w:p>
    <w:p w:rsidR="0095654C" w:rsidRDefault="0095654C">
      <w:pPr>
        <w:pStyle w:val="BodyText"/>
        <w:rPr>
          <w:b/>
          <w:i/>
          <w:sz w:val="28"/>
        </w:rPr>
      </w:pPr>
    </w:p>
    <w:p w:rsidR="0095654C" w:rsidRPr="00ED4CFF" w:rsidRDefault="00ED4CFF" w:rsidP="00ED4CFF">
      <w:pPr>
        <w:tabs>
          <w:tab w:val="left" w:pos="680"/>
        </w:tabs>
        <w:spacing w:before="229" w:line="360" w:lineRule="auto"/>
        <w:ind w:left="679" w:right="110" w:hanging="567"/>
        <w:jc w:val="both"/>
        <w:rPr>
          <w:color w:val="232020"/>
          <w:sz w:val="24"/>
        </w:rPr>
      </w:pPr>
      <w:r>
        <w:rPr>
          <w:color w:val="232020"/>
          <w:spacing w:val="-9"/>
          <w:sz w:val="24"/>
        </w:rPr>
        <w:t>44.</w:t>
      </w:r>
      <w:r>
        <w:rPr>
          <w:color w:val="232020"/>
          <w:spacing w:val="-9"/>
          <w:sz w:val="24"/>
        </w:rPr>
        <w:tab/>
      </w:r>
      <w:r w:rsidR="00E66E58" w:rsidRPr="00ED4CFF">
        <w:rPr>
          <w:sz w:val="24"/>
        </w:rPr>
        <w:t xml:space="preserve">The Respondent </w:t>
      </w:r>
      <w:r w:rsidR="00E66E58" w:rsidRPr="00ED4CFF">
        <w:rPr>
          <w:color w:val="171717"/>
          <w:sz w:val="24"/>
        </w:rPr>
        <w:t xml:space="preserve">raised a </w:t>
      </w:r>
      <w:r w:rsidR="00E66E58" w:rsidRPr="00ED4CFF">
        <w:rPr>
          <w:i/>
          <w:color w:val="171717"/>
          <w:sz w:val="24"/>
        </w:rPr>
        <w:t xml:space="preserve">point in limine </w:t>
      </w:r>
      <w:r w:rsidR="00E66E58" w:rsidRPr="00ED4CFF">
        <w:rPr>
          <w:color w:val="171717"/>
          <w:sz w:val="24"/>
        </w:rPr>
        <w:t xml:space="preserve">that the complainant, Mr Hutamo, has no </w:t>
      </w:r>
      <w:r w:rsidR="00E66E58" w:rsidRPr="00ED4CFF">
        <w:rPr>
          <w:i/>
          <w:color w:val="171717"/>
          <w:sz w:val="24"/>
        </w:rPr>
        <w:t xml:space="preserve">locus standi, </w:t>
      </w:r>
      <w:r w:rsidR="00E66E58" w:rsidRPr="00ED4CFF">
        <w:rPr>
          <w:color w:val="171717"/>
          <w:sz w:val="24"/>
        </w:rPr>
        <w:t>since the Respondent concluded a sale agreement with Mremble Solutions. However, during the hearing the Respondent</w:t>
      </w:r>
      <w:r w:rsidR="00E66E58" w:rsidRPr="00ED4CFF">
        <w:rPr>
          <w:color w:val="171717"/>
          <w:spacing w:val="42"/>
          <w:sz w:val="24"/>
        </w:rPr>
        <w:t xml:space="preserve"> </w:t>
      </w:r>
      <w:r w:rsidR="00E66E58" w:rsidRPr="00ED4CFF">
        <w:rPr>
          <w:color w:val="171717"/>
          <w:sz w:val="24"/>
        </w:rPr>
        <w:t>abandoned</w:t>
      </w:r>
      <w:r w:rsidR="00E66E58" w:rsidRPr="00ED4CFF">
        <w:rPr>
          <w:color w:val="171717"/>
          <w:spacing w:val="43"/>
          <w:sz w:val="24"/>
        </w:rPr>
        <w:t xml:space="preserve"> </w:t>
      </w:r>
      <w:r w:rsidR="00E66E58" w:rsidRPr="00ED4CFF">
        <w:rPr>
          <w:color w:val="171717"/>
          <w:sz w:val="24"/>
        </w:rPr>
        <w:t>this</w:t>
      </w:r>
      <w:r w:rsidR="00E66E58" w:rsidRPr="00ED4CFF">
        <w:rPr>
          <w:color w:val="171717"/>
          <w:spacing w:val="42"/>
          <w:sz w:val="24"/>
        </w:rPr>
        <w:t xml:space="preserve"> </w:t>
      </w:r>
      <w:r w:rsidR="00E66E58" w:rsidRPr="00ED4CFF">
        <w:rPr>
          <w:color w:val="171717"/>
          <w:sz w:val="24"/>
        </w:rPr>
        <w:t>point</w:t>
      </w:r>
      <w:r w:rsidR="00E66E58" w:rsidRPr="00ED4CFF">
        <w:rPr>
          <w:color w:val="171717"/>
          <w:spacing w:val="42"/>
          <w:sz w:val="24"/>
        </w:rPr>
        <w:t xml:space="preserve"> </w:t>
      </w:r>
      <w:r w:rsidR="00E66E58" w:rsidRPr="00ED4CFF">
        <w:rPr>
          <w:color w:val="171717"/>
          <w:sz w:val="24"/>
        </w:rPr>
        <w:t>and</w:t>
      </w:r>
      <w:r w:rsidR="00E66E58" w:rsidRPr="00ED4CFF">
        <w:rPr>
          <w:color w:val="171717"/>
          <w:spacing w:val="43"/>
          <w:sz w:val="24"/>
        </w:rPr>
        <w:t xml:space="preserve"> </w:t>
      </w:r>
      <w:r w:rsidR="00E66E58" w:rsidRPr="00ED4CFF">
        <w:rPr>
          <w:color w:val="171717"/>
          <w:sz w:val="24"/>
        </w:rPr>
        <w:t>accepted</w:t>
      </w:r>
      <w:r w:rsidR="00E66E58" w:rsidRPr="00ED4CFF">
        <w:rPr>
          <w:color w:val="171717"/>
          <w:spacing w:val="43"/>
          <w:sz w:val="24"/>
        </w:rPr>
        <w:t xml:space="preserve"> </w:t>
      </w:r>
      <w:r w:rsidR="00E66E58" w:rsidRPr="00ED4CFF">
        <w:rPr>
          <w:color w:val="171717"/>
          <w:sz w:val="24"/>
        </w:rPr>
        <w:t>that</w:t>
      </w:r>
      <w:r w:rsidR="00E66E58" w:rsidRPr="00ED4CFF">
        <w:rPr>
          <w:color w:val="171717"/>
          <w:spacing w:val="41"/>
          <w:sz w:val="24"/>
        </w:rPr>
        <w:t xml:space="preserve"> </w:t>
      </w:r>
      <w:r w:rsidR="00E66E58" w:rsidRPr="00ED4CFF">
        <w:rPr>
          <w:color w:val="171717"/>
          <w:sz w:val="24"/>
        </w:rPr>
        <w:t>both</w:t>
      </w:r>
      <w:r w:rsidR="00E66E58" w:rsidRPr="00ED4CFF">
        <w:rPr>
          <w:color w:val="171717"/>
          <w:spacing w:val="43"/>
          <w:sz w:val="24"/>
        </w:rPr>
        <w:t xml:space="preserve"> </w:t>
      </w:r>
      <w:r w:rsidR="00E66E58" w:rsidRPr="00ED4CFF">
        <w:rPr>
          <w:color w:val="171717"/>
          <w:sz w:val="24"/>
        </w:rPr>
        <w:t>the</w:t>
      </w:r>
      <w:r w:rsidR="00E66E58" w:rsidRPr="00ED4CFF">
        <w:rPr>
          <w:color w:val="171717"/>
          <w:spacing w:val="43"/>
          <w:sz w:val="24"/>
        </w:rPr>
        <w:t xml:space="preserve"> </w:t>
      </w:r>
      <w:r w:rsidR="00E66E58" w:rsidRPr="00ED4CFF">
        <w:rPr>
          <w:color w:val="171717"/>
          <w:sz w:val="24"/>
        </w:rPr>
        <w:t>complainant</w:t>
      </w:r>
      <w:r w:rsidR="00E66E58" w:rsidRPr="00ED4CFF">
        <w:rPr>
          <w:color w:val="171717"/>
          <w:spacing w:val="43"/>
          <w:sz w:val="24"/>
        </w:rPr>
        <w:t xml:space="preserve"> </w:t>
      </w:r>
      <w:r w:rsidR="00E66E58" w:rsidRPr="00ED4CFF">
        <w:rPr>
          <w:color w:val="171717"/>
          <w:sz w:val="24"/>
        </w:rPr>
        <w:t>and</w:t>
      </w:r>
      <w:r w:rsidR="00E66E58" w:rsidRPr="00ED4CFF">
        <w:rPr>
          <w:color w:val="171717"/>
          <w:spacing w:val="40"/>
          <w:sz w:val="24"/>
        </w:rPr>
        <w:t xml:space="preserve"> </w:t>
      </w:r>
      <w:r w:rsidR="00E66E58" w:rsidRPr="00ED4CFF">
        <w:rPr>
          <w:color w:val="171717"/>
          <w:sz w:val="24"/>
        </w:rPr>
        <w:t>Mremble</w:t>
      </w:r>
      <w:r w:rsidR="00E66E58" w:rsidRPr="00ED4CFF">
        <w:rPr>
          <w:color w:val="171717"/>
          <w:spacing w:val="43"/>
          <w:sz w:val="24"/>
        </w:rPr>
        <w:t xml:space="preserve"> </w:t>
      </w:r>
      <w:r w:rsidR="00E66E58" w:rsidRPr="00ED4CFF">
        <w:rPr>
          <w:color w:val="171717"/>
          <w:sz w:val="24"/>
        </w:rPr>
        <w:t>Solutions</w:t>
      </w:r>
    </w:p>
    <w:p w:rsidR="0095654C" w:rsidRDefault="0095654C">
      <w:pPr>
        <w:spacing w:line="360" w:lineRule="auto"/>
        <w:jc w:val="both"/>
        <w:rPr>
          <w:sz w:val="24"/>
        </w:rPr>
        <w:sectPr w:rsidR="0095654C">
          <w:footerReference w:type="default" r:id="rId9"/>
          <w:pgSz w:w="11910" w:h="16840"/>
          <w:pgMar w:top="760" w:right="1020" w:bottom="600" w:left="1020" w:header="0" w:footer="405" w:gutter="0"/>
          <w:pgNumType w:start="9"/>
          <w:cols w:space="720"/>
        </w:sectPr>
      </w:pPr>
    </w:p>
    <w:p w:rsidR="0095654C" w:rsidRDefault="00E66E58">
      <w:pPr>
        <w:pStyle w:val="BodyText"/>
        <w:spacing w:before="79" w:line="360" w:lineRule="auto"/>
        <w:ind w:left="679" w:right="119"/>
        <w:jc w:val="both"/>
      </w:pPr>
      <w:r>
        <w:rPr>
          <w:color w:val="171717"/>
        </w:rPr>
        <w:lastRenderedPageBreak/>
        <w:t>qualify as consumers in terms of the CPA, as argued by the Applicant. The Tribunal does not deem it necessary to make a determination on this point given the fact that the Respondent elected not to persist with it.</w:t>
      </w:r>
    </w:p>
    <w:p w:rsidR="0095654C" w:rsidRDefault="0095654C">
      <w:pPr>
        <w:pStyle w:val="BodyText"/>
        <w:spacing w:before="10"/>
        <w:rPr>
          <w:sz w:val="35"/>
        </w:rPr>
      </w:pPr>
    </w:p>
    <w:p w:rsidR="0095654C" w:rsidRDefault="00E66E58">
      <w:pPr>
        <w:pStyle w:val="Heading1"/>
        <w:spacing w:before="1"/>
      </w:pPr>
      <w:r>
        <w:t>The nature of the</w:t>
      </w:r>
      <w:r>
        <w:rPr>
          <w:spacing w:val="-5"/>
        </w:rPr>
        <w:t xml:space="preserve"> </w:t>
      </w:r>
      <w:r>
        <w:t>defect</w:t>
      </w:r>
    </w:p>
    <w:p w:rsidR="0095654C" w:rsidRDefault="0095654C">
      <w:pPr>
        <w:pStyle w:val="BodyText"/>
        <w:rPr>
          <w:b/>
          <w:sz w:val="28"/>
        </w:rPr>
      </w:pPr>
    </w:p>
    <w:p w:rsidR="0095654C" w:rsidRPr="00ED4CFF" w:rsidRDefault="00ED4CFF" w:rsidP="00ED4CFF">
      <w:pPr>
        <w:tabs>
          <w:tab w:val="left" w:pos="680"/>
        </w:tabs>
        <w:spacing w:before="228" w:line="360" w:lineRule="auto"/>
        <w:ind w:left="679" w:right="109" w:hanging="567"/>
        <w:jc w:val="both"/>
        <w:rPr>
          <w:color w:val="232020"/>
          <w:sz w:val="24"/>
        </w:rPr>
      </w:pPr>
      <w:r>
        <w:rPr>
          <w:color w:val="232020"/>
          <w:spacing w:val="-9"/>
          <w:sz w:val="24"/>
        </w:rPr>
        <w:t>45.</w:t>
      </w:r>
      <w:r>
        <w:rPr>
          <w:color w:val="232020"/>
          <w:spacing w:val="-9"/>
          <w:sz w:val="24"/>
        </w:rPr>
        <w:tab/>
      </w:r>
      <w:r w:rsidR="00E66E58" w:rsidRPr="00ED4CFF">
        <w:rPr>
          <w:sz w:val="24"/>
        </w:rPr>
        <w:t xml:space="preserve">The question of what constitutes a defect as defined in section 53 of the CPA was dealt with by the Supreme Court of Appeal (SCA) in </w:t>
      </w:r>
      <w:r w:rsidR="00E66E58" w:rsidRPr="00ED4CFF">
        <w:rPr>
          <w:i/>
          <w:sz w:val="24"/>
        </w:rPr>
        <w:t>Motus Corporation (Pty) Ltd and Another v Wentzel</w:t>
      </w:r>
      <w:r w:rsidR="00E66E58" w:rsidRPr="00ED4CFF">
        <w:rPr>
          <w:i/>
          <w:position w:val="6"/>
          <w:sz w:val="16"/>
        </w:rPr>
        <w:t>9</w:t>
      </w:r>
      <w:r w:rsidR="00E66E58" w:rsidRPr="00ED4CFF">
        <w:rPr>
          <w:sz w:val="24"/>
        </w:rPr>
        <w:t>. Ms Wentzel brought a case in the Gauteng Division of the High Court, ag</w:t>
      </w:r>
      <w:r w:rsidR="00E66E58" w:rsidRPr="00ED4CFF">
        <w:rPr>
          <w:sz w:val="24"/>
        </w:rPr>
        <w:t>ainst Motus Corporation (Pty) Ltd, trading as Zambezi Multi Franchise (Renault). Ms Wentzel sought to return a Renault Kwid motor vehicle, against the refund of the purchase price, claiming that Renault had sold her a brand-new car that was ‘woefully defec</w:t>
      </w:r>
      <w:r w:rsidR="00E66E58" w:rsidRPr="00ED4CFF">
        <w:rPr>
          <w:sz w:val="24"/>
        </w:rPr>
        <w:t>tive’, in breach of sections 49 (1)(b), 55 (2)(b) and (c), 56 (2)(a) and (b) and 56(3) of the CPA. The court found in Ms Wentzel’s favour. Renault took the matter on appeal at the</w:t>
      </w:r>
      <w:r w:rsidR="00E66E58" w:rsidRPr="00ED4CFF">
        <w:rPr>
          <w:spacing w:val="-22"/>
          <w:sz w:val="24"/>
        </w:rPr>
        <w:t xml:space="preserve"> </w:t>
      </w:r>
      <w:r w:rsidR="00E66E58" w:rsidRPr="00ED4CFF">
        <w:rPr>
          <w:sz w:val="24"/>
        </w:rPr>
        <w:t>SCA.</w:t>
      </w:r>
    </w:p>
    <w:p w:rsidR="0095654C" w:rsidRDefault="0095654C">
      <w:pPr>
        <w:pStyle w:val="BodyText"/>
        <w:spacing w:before="1"/>
        <w:rPr>
          <w:sz w:val="36"/>
        </w:rPr>
      </w:pPr>
    </w:p>
    <w:p w:rsidR="0095654C" w:rsidRPr="00ED4CFF" w:rsidRDefault="00ED4CFF" w:rsidP="00ED4CFF">
      <w:pPr>
        <w:tabs>
          <w:tab w:val="left" w:pos="680"/>
        </w:tabs>
        <w:spacing w:line="360" w:lineRule="auto"/>
        <w:ind w:left="679" w:right="110" w:hanging="567"/>
        <w:jc w:val="both"/>
        <w:rPr>
          <w:sz w:val="24"/>
        </w:rPr>
      </w:pPr>
      <w:r>
        <w:rPr>
          <w:spacing w:val="-9"/>
          <w:sz w:val="24"/>
        </w:rPr>
        <w:t>46.</w:t>
      </w:r>
      <w:r>
        <w:rPr>
          <w:spacing w:val="-9"/>
          <w:sz w:val="24"/>
        </w:rPr>
        <w:tab/>
      </w:r>
      <w:r w:rsidR="00E66E58" w:rsidRPr="00ED4CFF">
        <w:rPr>
          <w:sz w:val="24"/>
        </w:rPr>
        <w:t>The SCA had to decide, among other things, whether Ms Wentzel made out</w:t>
      </w:r>
      <w:r w:rsidR="00E66E58" w:rsidRPr="00ED4CFF">
        <w:rPr>
          <w:sz w:val="24"/>
        </w:rPr>
        <w:t xml:space="preserve"> a case in terms of section 56(2) and (3) of the Act for the refund of the purchase consideration paid to Renault in respect of the vehicle. The court opined that</w:t>
      </w:r>
      <w:r w:rsidR="00E66E58" w:rsidRPr="00ED4CFF">
        <w:rPr>
          <w:spacing w:val="2"/>
          <w:sz w:val="24"/>
        </w:rPr>
        <w:t xml:space="preserve"> </w:t>
      </w:r>
      <w:r w:rsidR="00E66E58" w:rsidRPr="00ED4CFF">
        <w:rPr>
          <w:sz w:val="24"/>
        </w:rPr>
        <w:t>–</w:t>
      </w:r>
    </w:p>
    <w:p w:rsidR="0095654C" w:rsidRDefault="00E66E58">
      <w:pPr>
        <w:spacing w:before="2" w:line="360" w:lineRule="auto"/>
        <w:ind w:left="833" w:right="110"/>
        <w:jc w:val="both"/>
        <w:rPr>
          <w:i/>
          <w:sz w:val="24"/>
        </w:rPr>
      </w:pPr>
      <w:r>
        <w:rPr>
          <w:i/>
          <w:sz w:val="24"/>
        </w:rPr>
        <w:t>“</w:t>
      </w:r>
      <w:r>
        <w:rPr>
          <w:i/>
          <w:sz w:val="24"/>
        </w:rPr>
        <w:t>Not every small fault is a defect  as  defined.  It  must  either  render  the  goods  les</w:t>
      </w:r>
      <w:r>
        <w:rPr>
          <w:i/>
          <w:sz w:val="24"/>
        </w:rPr>
        <w:t xml:space="preserve">s  acceptable than people generally would  be  reasonably  entitled  to  expect  from  goods  of  that  type,  or  it must render the goods less useful, practicable or safe for the purpose for which they were purchased… Is every rattle or unfamiliar noise </w:t>
      </w:r>
      <w:r>
        <w:rPr>
          <w:i/>
          <w:sz w:val="24"/>
        </w:rPr>
        <w:t>a defect in  terms  of  the  statute?  A  defective  module may be readily replaced, as occurred with the immobiliser. Does that render the vehicle defective so as to entitle the purchaser to  return  it  and  demand  repayment  of  the  purchase  price? C</w:t>
      </w:r>
      <w:r>
        <w:rPr>
          <w:i/>
          <w:sz w:val="24"/>
        </w:rPr>
        <w:t>learly</w:t>
      </w:r>
      <w:r>
        <w:rPr>
          <w:i/>
          <w:spacing w:val="-1"/>
          <w:sz w:val="24"/>
        </w:rPr>
        <w:t xml:space="preserve"> </w:t>
      </w:r>
      <w:r>
        <w:rPr>
          <w:i/>
          <w:sz w:val="24"/>
        </w:rPr>
        <w:t>not.”</w:t>
      </w:r>
    </w:p>
    <w:p w:rsidR="0095654C" w:rsidRDefault="0095654C">
      <w:pPr>
        <w:pStyle w:val="BodyText"/>
        <w:rPr>
          <w:i/>
          <w:sz w:val="36"/>
        </w:rPr>
      </w:pPr>
    </w:p>
    <w:p w:rsidR="0095654C" w:rsidRPr="00ED4CFF" w:rsidRDefault="00ED4CFF" w:rsidP="00ED4CFF">
      <w:pPr>
        <w:tabs>
          <w:tab w:val="left" w:pos="680"/>
        </w:tabs>
        <w:spacing w:line="360" w:lineRule="auto"/>
        <w:ind w:left="679" w:right="112" w:hanging="567"/>
        <w:jc w:val="both"/>
        <w:rPr>
          <w:color w:val="232020"/>
          <w:sz w:val="24"/>
        </w:rPr>
      </w:pPr>
      <w:r>
        <w:rPr>
          <w:color w:val="232020"/>
          <w:spacing w:val="-9"/>
          <w:sz w:val="24"/>
        </w:rPr>
        <w:t>47.</w:t>
      </w:r>
      <w:r>
        <w:rPr>
          <w:color w:val="232020"/>
          <w:spacing w:val="-9"/>
          <w:sz w:val="24"/>
        </w:rPr>
        <w:tab/>
      </w:r>
      <w:r w:rsidR="00E66E58" w:rsidRPr="00ED4CFF">
        <w:rPr>
          <w:sz w:val="24"/>
        </w:rPr>
        <w:t>In the end, the court found that a consumer is not entitled to a refund of the purchase price unless they satisfy the court that all requirements stipulated in section 56(3) have been met. Ms Wentzel failed to show that the requirements of se</w:t>
      </w:r>
      <w:r w:rsidR="00E66E58" w:rsidRPr="00ED4CFF">
        <w:rPr>
          <w:sz w:val="24"/>
        </w:rPr>
        <w:t>ction 56(3) were satisfied and that she was entitled to return the vehicle against refund of the purchase price of the vehicle. Thus, the SCA upheld the</w:t>
      </w:r>
      <w:r w:rsidR="00E66E58" w:rsidRPr="00ED4CFF">
        <w:rPr>
          <w:spacing w:val="-16"/>
          <w:sz w:val="24"/>
        </w:rPr>
        <w:t xml:space="preserve"> </w:t>
      </w:r>
      <w:r w:rsidR="00E66E58" w:rsidRPr="00ED4CFF">
        <w:rPr>
          <w:sz w:val="24"/>
        </w:rPr>
        <w:t>appeal.</w:t>
      </w:r>
    </w:p>
    <w:p w:rsidR="0095654C" w:rsidRDefault="0095654C">
      <w:pPr>
        <w:pStyle w:val="BodyText"/>
        <w:spacing w:before="11"/>
        <w:rPr>
          <w:sz w:val="35"/>
        </w:rPr>
      </w:pPr>
    </w:p>
    <w:p w:rsidR="0095654C" w:rsidRPr="00ED4CFF" w:rsidRDefault="00ED4CFF" w:rsidP="00ED4CFF">
      <w:pPr>
        <w:tabs>
          <w:tab w:val="left" w:pos="680"/>
        </w:tabs>
        <w:spacing w:line="360" w:lineRule="auto"/>
        <w:ind w:left="679" w:right="112" w:hanging="567"/>
        <w:jc w:val="both"/>
        <w:rPr>
          <w:color w:val="232020"/>
          <w:sz w:val="24"/>
        </w:rPr>
      </w:pPr>
      <w:r>
        <w:rPr>
          <w:color w:val="232020"/>
          <w:spacing w:val="-9"/>
          <w:sz w:val="24"/>
        </w:rPr>
        <w:t>48.</w:t>
      </w:r>
      <w:r>
        <w:rPr>
          <w:color w:val="232020"/>
          <w:spacing w:val="-9"/>
          <w:sz w:val="24"/>
        </w:rPr>
        <w:tab/>
      </w:r>
      <w:r w:rsidR="00E66E58" w:rsidRPr="00ED4CFF">
        <w:rPr>
          <w:sz w:val="24"/>
        </w:rPr>
        <w:t>In the case at hand, the question that arises is whether the faulty tipping valve</w:t>
      </w:r>
      <w:r w:rsidR="00E66E58" w:rsidRPr="00ED4CFF">
        <w:rPr>
          <w:position w:val="6"/>
          <w:sz w:val="16"/>
        </w:rPr>
        <w:t xml:space="preserve">10 </w:t>
      </w:r>
      <w:r w:rsidR="00E66E58" w:rsidRPr="00ED4CFF">
        <w:rPr>
          <w:sz w:val="24"/>
        </w:rPr>
        <w:t>could be c</w:t>
      </w:r>
      <w:r w:rsidR="00E66E58" w:rsidRPr="00ED4CFF">
        <w:rPr>
          <w:sz w:val="24"/>
        </w:rPr>
        <w:t>onsidered a defect within the meaning of section 53 read with section 55 and 56 of the Act, having regard to the nature of the vehicle: being a used 2007 model truck. The Respondent repaired the defect at its own cost of about R1 430.00 and the truck was r</w:t>
      </w:r>
      <w:r w:rsidR="00E66E58" w:rsidRPr="00ED4CFF">
        <w:rPr>
          <w:sz w:val="24"/>
        </w:rPr>
        <w:t>eady for collection on 11 November 2019, three days after it was returned by the complainant. Considering that the value of the truck was R575 000.00, a defect</w:t>
      </w:r>
      <w:r w:rsidR="00E66E58" w:rsidRPr="00ED4CFF">
        <w:rPr>
          <w:spacing w:val="-14"/>
          <w:sz w:val="24"/>
        </w:rPr>
        <w:t xml:space="preserve"> </w:t>
      </w:r>
      <w:r w:rsidR="00E66E58" w:rsidRPr="00ED4CFF">
        <w:rPr>
          <w:sz w:val="24"/>
        </w:rPr>
        <w:t>that</w:t>
      </w:r>
    </w:p>
    <w:p w:rsidR="0095654C" w:rsidRDefault="00E66E58">
      <w:pPr>
        <w:pStyle w:val="BodyText"/>
        <w:spacing w:before="6"/>
        <w:rPr>
          <w:sz w:val="19"/>
        </w:rPr>
      </w:pPr>
      <w:r>
        <w:pict>
          <v:shape id="_x0000_s1030" style="position:absolute;margin-left:56.65pt;margin-top:13.6pt;width:144.05pt;height:.1pt;z-index:-251651072;mso-wrap-distance-left:0;mso-wrap-distance-right:0;mso-position-horizontal-relative:page" coordorigin="1133,272" coordsize="2881,0" path="m1133,272r2881,e" filled="f" strokeweight=".72pt">
            <v:path arrowok="t"/>
            <w10:wrap type="topAndBottom" anchorx="page"/>
          </v:shape>
        </w:pict>
      </w:r>
    </w:p>
    <w:p w:rsidR="0095654C" w:rsidRDefault="00E66E58">
      <w:pPr>
        <w:spacing w:before="70" w:line="229" w:lineRule="exact"/>
        <w:ind w:left="112"/>
        <w:rPr>
          <w:sz w:val="20"/>
        </w:rPr>
      </w:pPr>
      <w:r>
        <w:rPr>
          <w:position w:val="5"/>
          <w:sz w:val="13"/>
        </w:rPr>
        <w:t xml:space="preserve">9 </w:t>
      </w:r>
      <w:r>
        <w:rPr>
          <w:sz w:val="20"/>
        </w:rPr>
        <w:t>SCA. Case no 1272/2019) [2021] ZASCA 40 (13 April 2021).</w:t>
      </w:r>
    </w:p>
    <w:p w:rsidR="0095654C" w:rsidRDefault="00E66E58">
      <w:pPr>
        <w:spacing w:line="229" w:lineRule="exact"/>
        <w:ind w:left="112"/>
        <w:rPr>
          <w:sz w:val="20"/>
        </w:rPr>
      </w:pPr>
      <w:r>
        <w:rPr>
          <w:position w:val="5"/>
          <w:sz w:val="13"/>
        </w:rPr>
        <w:t xml:space="preserve">10 </w:t>
      </w:r>
      <w:r>
        <w:rPr>
          <w:sz w:val="20"/>
        </w:rPr>
        <w:t>Annexure H to Respondent’s answering affidavit, page 138 of the bundle.</w:t>
      </w:r>
    </w:p>
    <w:p w:rsidR="0095654C" w:rsidRDefault="0095654C">
      <w:pPr>
        <w:spacing w:line="229" w:lineRule="exact"/>
        <w:rPr>
          <w:sz w:val="20"/>
        </w:rPr>
        <w:sectPr w:rsidR="0095654C">
          <w:pgSz w:w="11910" w:h="16840"/>
          <w:pgMar w:top="760" w:right="1020" w:bottom="600" w:left="1020" w:header="0" w:footer="405" w:gutter="0"/>
          <w:cols w:space="720"/>
        </w:sectPr>
      </w:pPr>
    </w:p>
    <w:p w:rsidR="0095654C" w:rsidRDefault="00E66E58">
      <w:pPr>
        <w:pStyle w:val="BodyText"/>
        <w:spacing w:before="79" w:line="360" w:lineRule="auto"/>
        <w:ind w:left="679" w:right="109"/>
        <w:jc w:val="both"/>
      </w:pPr>
      <w:r>
        <w:lastRenderedPageBreak/>
        <w:t xml:space="preserve">cost R1 430.00 to repair cannot, in the Tribunal’s view, reasonably justify a replacement or refund. It should be expected that a vehicle that is more than ten years old would suffer normal wear and tear. </w:t>
      </w:r>
      <w:r>
        <w:rPr>
          <w:color w:val="232020"/>
        </w:rPr>
        <w:t xml:space="preserve">As pointed out by the SCA, </w:t>
      </w:r>
      <w:r>
        <w:t>not every small fault is</w:t>
      </w:r>
      <w:r>
        <w:t xml:space="preserve"> a defect as defined.</w:t>
      </w:r>
    </w:p>
    <w:p w:rsidR="0095654C" w:rsidRDefault="0095654C">
      <w:pPr>
        <w:pStyle w:val="BodyText"/>
        <w:rPr>
          <w:sz w:val="28"/>
        </w:rPr>
      </w:pPr>
    </w:p>
    <w:p w:rsidR="0095654C" w:rsidRDefault="0095654C">
      <w:pPr>
        <w:pStyle w:val="BodyText"/>
        <w:spacing w:before="3"/>
        <w:rPr>
          <w:sz w:val="25"/>
        </w:rPr>
      </w:pPr>
    </w:p>
    <w:p w:rsidR="0095654C" w:rsidRPr="00ED4CFF" w:rsidRDefault="00ED4CFF" w:rsidP="00ED4CFF">
      <w:pPr>
        <w:tabs>
          <w:tab w:val="left" w:pos="680"/>
        </w:tabs>
        <w:spacing w:line="360" w:lineRule="auto"/>
        <w:ind w:left="679" w:right="108" w:hanging="567"/>
        <w:jc w:val="both"/>
        <w:rPr>
          <w:color w:val="232020"/>
          <w:sz w:val="24"/>
        </w:rPr>
      </w:pPr>
      <w:r>
        <w:rPr>
          <w:color w:val="232020"/>
          <w:spacing w:val="-9"/>
          <w:sz w:val="24"/>
        </w:rPr>
        <w:t>49.</w:t>
      </w:r>
      <w:r>
        <w:rPr>
          <w:color w:val="232020"/>
          <w:spacing w:val="-9"/>
          <w:sz w:val="24"/>
        </w:rPr>
        <w:tab/>
      </w:r>
      <w:r w:rsidR="00E66E58">
        <w:pict>
          <v:line id="_x0000_s1029" style="position:absolute;left:0;text-align:left;z-index:-252041216;mso-position-horizontal-relative:page;mso-position-vertical-relative:text" from="132.75pt,75pt" to="369.05pt,75pt" strokeweight=".84pt">
            <w10:wrap anchorx="page"/>
          </v:line>
        </w:pict>
      </w:r>
      <w:r w:rsidR="00E66E58" w:rsidRPr="00ED4CFF">
        <w:rPr>
          <w:sz w:val="24"/>
        </w:rPr>
        <w:t xml:space="preserve">The </w:t>
      </w:r>
      <w:r w:rsidR="00E66E58" w:rsidRPr="00ED4CFF">
        <w:rPr>
          <w:color w:val="232020"/>
          <w:sz w:val="24"/>
        </w:rPr>
        <w:t xml:space="preserve">Applicant also argued that section 20 of the CPA entitles the complainant to a refund only, since that section does not include the option of a repair. However, in terms of section 20 (2)(d), a </w:t>
      </w:r>
      <w:r w:rsidR="00E66E58" w:rsidRPr="00ED4CFF">
        <w:rPr>
          <w:sz w:val="24"/>
        </w:rPr>
        <w:t xml:space="preserve">consumer may return goods to the </w:t>
      </w:r>
      <w:r w:rsidR="00E66E58" w:rsidRPr="00ED4CFF">
        <w:rPr>
          <w:sz w:val="24"/>
        </w:rPr>
        <w:t>supplier, and receive a full refund of the purchase price, if the supplier has delivered goods intended to satisfy a particular purpose</w:t>
      </w:r>
      <w:r w:rsidR="00E66E58" w:rsidRPr="00ED4CFF">
        <w:rPr>
          <w:position w:val="6"/>
          <w:sz w:val="16"/>
        </w:rPr>
        <w:t xml:space="preserve">11 </w:t>
      </w:r>
      <w:r w:rsidR="00E66E58" w:rsidRPr="00ED4CFF">
        <w:rPr>
          <w:sz w:val="24"/>
        </w:rPr>
        <w:t>communicated to the supplier as  contemplated in section 55(3), and within 10 business days after delivery to the cons</w:t>
      </w:r>
      <w:r w:rsidR="00E66E58" w:rsidRPr="00ED4CFF">
        <w:rPr>
          <w:sz w:val="24"/>
        </w:rPr>
        <w:t xml:space="preserve">umer, the goods have been found to be </w:t>
      </w:r>
      <w:r w:rsidR="00E66E58" w:rsidRPr="00ED4CFF">
        <w:rPr>
          <w:sz w:val="24"/>
          <w:u w:val="single"/>
        </w:rPr>
        <w:t>unsuitable for that particular</w:t>
      </w:r>
      <w:r w:rsidR="00E66E58" w:rsidRPr="00ED4CFF">
        <w:rPr>
          <w:spacing w:val="-2"/>
          <w:sz w:val="24"/>
          <w:u w:val="single"/>
        </w:rPr>
        <w:t xml:space="preserve"> </w:t>
      </w:r>
      <w:r w:rsidR="00E66E58" w:rsidRPr="00ED4CFF">
        <w:rPr>
          <w:sz w:val="24"/>
          <w:u w:val="single"/>
        </w:rPr>
        <w:t>purpose</w:t>
      </w:r>
      <w:r w:rsidR="00E66E58" w:rsidRPr="00ED4CFF">
        <w:rPr>
          <w:sz w:val="24"/>
        </w:rPr>
        <w:t>.</w:t>
      </w:r>
    </w:p>
    <w:p w:rsidR="0095654C" w:rsidRDefault="0095654C">
      <w:pPr>
        <w:pStyle w:val="BodyText"/>
        <w:rPr>
          <w:sz w:val="20"/>
        </w:rPr>
      </w:pPr>
    </w:p>
    <w:p w:rsidR="0095654C" w:rsidRDefault="0095654C">
      <w:pPr>
        <w:pStyle w:val="BodyText"/>
        <w:rPr>
          <w:sz w:val="25"/>
        </w:rPr>
      </w:pPr>
    </w:p>
    <w:p w:rsidR="0095654C" w:rsidRPr="00ED4CFF" w:rsidRDefault="00ED4CFF" w:rsidP="00ED4CFF">
      <w:pPr>
        <w:tabs>
          <w:tab w:val="left" w:pos="680"/>
        </w:tabs>
        <w:spacing w:before="100" w:line="360" w:lineRule="auto"/>
        <w:ind w:left="679" w:right="111" w:hanging="567"/>
        <w:jc w:val="both"/>
        <w:rPr>
          <w:color w:val="232020"/>
          <w:sz w:val="24"/>
        </w:rPr>
      </w:pPr>
      <w:r>
        <w:rPr>
          <w:color w:val="232020"/>
          <w:spacing w:val="-9"/>
          <w:sz w:val="24"/>
        </w:rPr>
        <w:t>50.</w:t>
      </w:r>
      <w:r>
        <w:rPr>
          <w:color w:val="232020"/>
          <w:spacing w:val="-9"/>
          <w:sz w:val="24"/>
        </w:rPr>
        <w:tab/>
      </w:r>
      <w:r w:rsidR="00E66E58" w:rsidRPr="00ED4CFF">
        <w:rPr>
          <w:sz w:val="24"/>
        </w:rPr>
        <w:t xml:space="preserve">The </w:t>
      </w:r>
      <w:r w:rsidR="00E66E58" w:rsidRPr="00ED4CFF">
        <w:rPr>
          <w:color w:val="232020"/>
          <w:sz w:val="24"/>
        </w:rPr>
        <w:t xml:space="preserve">Applicant argues that the complainant bought the truck for purposes of engaging in commercial activity. However, </w:t>
      </w:r>
      <w:r w:rsidR="00E66E58" w:rsidRPr="00ED4CFF">
        <w:rPr>
          <w:sz w:val="24"/>
        </w:rPr>
        <w:t>taking guidance from the SCA, a defect must either render t</w:t>
      </w:r>
      <w:r w:rsidR="00E66E58" w:rsidRPr="00ED4CFF">
        <w:rPr>
          <w:sz w:val="24"/>
        </w:rPr>
        <w:t>he goods less acceptable than people generally would be reasonably entitled to expect from goods of that type, or it must render the goods less useful, practicable or safe for the purpose for which they were</w:t>
      </w:r>
      <w:r w:rsidR="00E66E58" w:rsidRPr="00ED4CFF">
        <w:rPr>
          <w:spacing w:val="-22"/>
          <w:sz w:val="24"/>
        </w:rPr>
        <w:t xml:space="preserve"> </w:t>
      </w:r>
      <w:r w:rsidR="00E66E58" w:rsidRPr="00ED4CFF">
        <w:rPr>
          <w:sz w:val="24"/>
        </w:rPr>
        <w:t>purchased.</w:t>
      </w:r>
    </w:p>
    <w:p w:rsidR="0095654C" w:rsidRDefault="0095654C">
      <w:pPr>
        <w:pStyle w:val="BodyText"/>
        <w:rPr>
          <w:sz w:val="28"/>
        </w:rPr>
      </w:pPr>
    </w:p>
    <w:p w:rsidR="0095654C" w:rsidRDefault="0095654C">
      <w:pPr>
        <w:pStyle w:val="BodyText"/>
        <w:spacing w:before="4"/>
        <w:rPr>
          <w:sz w:val="25"/>
        </w:rPr>
      </w:pPr>
    </w:p>
    <w:p w:rsidR="0095654C" w:rsidRPr="00ED4CFF" w:rsidRDefault="00ED4CFF" w:rsidP="00ED4CFF">
      <w:pPr>
        <w:tabs>
          <w:tab w:val="left" w:pos="680"/>
        </w:tabs>
        <w:spacing w:before="1" w:line="360" w:lineRule="auto"/>
        <w:ind w:left="679" w:right="114" w:hanging="567"/>
        <w:jc w:val="both"/>
        <w:rPr>
          <w:color w:val="232020"/>
          <w:sz w:val="24"/>
        </w:rPr>
      </w:pPr>
      <w:r>
        <w:rPr>
          <w:color w:val="232020"/>
          <w:spacing w:val="-9"/>
          <w:sz w:val="24"/>
        </w:rPr>
        <w:t>51.</w:t>
      </w:r>
      <w:r>
        <w:rPr>
          <w:color w:val="232020"/>
          <w:spacing w:val="-9"/>
          <w:sz w:val="24"/>
        </w:rPr>
        <w:tab/>
      </w:r>
      <w:r w:rsidR="00E66E58" w:rsidRPr="00ED4CFF">
        <w:rPr>
          <w:color w:val="232020"/>
          <w:sz w:val="24"/>
        </w:rPr>
        <w:t>In the view of the Tribunal, a faul</w:t>
      </w:r>
      <w:r w:rsidR="00E66E58" w:rsidRPr="00ED4CFF">
        <w:rPr>
          <w:color w:val="232020"/>
          <w:sz w:val="24"/>
        </w:rPr>
        <w:t>ty tipping valve, that can be replaced, cannot render the truck unsuitable for the purpose it was</w:t>
      </w:r>
      <w:r w:rsidR="00E66E58" w:rsidRPr="00ED4CFF">
        <w:rPr>
          <w:color w:val="232020"/>
          <w:spacing w:val="-4"/>
          <w:sz w:val="24"/>
        </w:rPr>
        <w:t xml:space="preserve"> </w:t>
      </w:r>
      <w:r w:rsidR="00E66E58" w:rsidRPr="00ED4CFF">
        <w:rPr>
          <w:color w:val="232020"/>
          <w:sz w:val="24"/>
        </w:rPr>
        <w:t>bought.</w:t>
      </w:r>
    </w:p>
    <w:p w:rsidR="0095654C" w:rsidRDefault="0095654C">
      <w:pPr>
        <w:pStyle w:val="BodyText"/>
        <w:rPr>
          <w:sz w:val="28"/>
        </w:rPr>
      </w:pPr>
    </w:p>
    <w:p w:rsidR="0095654C" w:rsidRDefault="0095654C">
      <w:pPr>
        <w:pStyle w:val="BodyText"/>
        <w:spacing w:before="3"/>
        <w:rPr>
          <w:sz w:val="25"/>
        </w:rPr>
      </w:pPr>
    </w:p>
    <w:p w:rsidR="0095654C" w:rsidRPr="00ED4CFF" w:rsidRDefault="00ED4CFF" w:rsidP="00ED4CFF">
      <w:pPr>
        <w:tabs>
          <w:tab w:val="left" w:pos="680"/>
        </w:tabs>
        <w:spacing w:line="360" w:lineRule="auto"/>
        <w:ind w:left="679" w:right="110" w:hanging="567"/>
        <w:jc w:val="both"/>
        <w:rPr>
          <w:color w:val="232020"/>
          <w:sz w:val="24"/>
        </w:rPr>
      </w:pPr>
      <w:r>
        <w:rPr>
          <w:color w:val="232020"/>
          <w:spacing w:val="-9"/>
          <w:sz w:val="24"/>
        </w:rPr>
        <w:t>52.</w:t>
      </w:r>
      <w:r>
        <w:rPr>
          <w:color w:val="232020"/>
          <w:spacing w:val="-9"/>
          <w:sz w:val="24"/>
        </w:rPr>
        <w:tab/>
      </w:r>
      <w:r w:rsidR="00E66E58" w:rsidRPr="00ED4CFF">
        <w:rPr>
          <w:color w:val="232020"/>
          <w:sz w:val="24"/>
        </w:rPr>
        <w:t>Thus, having regard to section 20 of the CPA, there is no evidence pointing out that a malfunctioning tipping valve, which is one component of the t</w:t>
      </w:r>
      <w:r w:rsidR="00E66E58" w:rsidRPr="00ED4CFF">
        <w:rPr>
          <w:color w:val="232020"/>
          <w:sz w:val="24"/>
        </w:rPr>
        <w:t xml:space="preserve">ruck, rendered the whole truck </w:t>
      </w:r>
      <w:r w:rsidR="00E66E58" w:rsidRPr="00ED4CFF">
        <w:rPr>
          <w:sz w:val="24"/>
        </w:rPr>
        <w:t>less useful, practicable or safe for the purpose for which it was purchased, to justify a</w:t>
      </w:r>
      <w:r w:rsidR="00E66E58" w:rsidRPr="00ED4CFF">
        <w:rPr>
          <w:spacing w:val="-7"/>
          <w:sz w:val="24"/>
        </w:rPr>
        <w:t xml:space="preserve"> </w:t>
      </w:r>
      <w:r w:rsidR="00E66E58" w:rsidRPr="00ED4CFF">
        <w:rPr>
          <w:sz w:val="24"/>
        </w:rPr>
        <w:t>refund.</w:t>
      </w:r>
    </w:p>
    <w:p w:rsidR="0095654C" w:rsidRDefault="0095654C">
      <w:pPr>
        <w:pStyle w:val="BodyText"/>
        <w:spacing w:before="1"/>
        <w:rPr>
          <w:sz w:val="36"/>
        </w:rPr>
      </w:pPr>
    </w:p>
    <w:p w:rsidR="0095654C" w:rsidRDefault="00E66E58">
      <w:pPr>
        <w:pStyle w:val="Heading1"/>
        <w:spacing w:before="1"/>
      </w:pPr>
      <w:r>
        <w:rPr>
          <w:color w:val="232020"/>
        </w:rPr>
        <w:t>Whether the complainant elected to have a replacement/refund or a repair of the truck</w:t>
      </w:r>
    </w:p>
    <w:p w:rsidR="0095654C" w:rsidRDefault="0095654C">
      <w:pPr>
        <w:pStyle w:val="BodyText"/>
        <w:rPr>
          <w:b/>
          <w:sz w:val="28"/>
        </w:rPr>
      </w:pPr>
    </w:p>
    <w:p w:rsidR="0095654C" w:rsidRPr="00ED4CFF" w:rsidRDefault="00ED4CFF" w:rsidP="00ED4CFF">
      <w:pPr>
        <w:tabs>
          <w:tab w:val="left" w:pos="680"/>
        </w:tabs>
        <w:spacing w:before="228" w:line="360" w:lineRule="auto"/>
        <w:ind w:left="679" w:right="109" w:hanging="567"/>
        <w:jc w:val="both"/>
        <w:rPr>
          <w:color w:val="232020"/>
          <w:sz w:val="24"/>
        </w:rPr>
      </w:pPr>
      <w:r>
        <w:rPr>
          <w:color w:val="232020"/>
          <w:spacing w:val="-9"/>
          <w:sz w:val="24"/>
        </w:rPr>
        <w:t>53.</w:t>
      </w:r>
      <w:r>
        <w:rPr>
          <w:color w:val="232020"/>
          <w:spacing w:val="-9"/>
          <w:sz w:val="24"/>
        </w:rPr>
        <w:tab/>
      </w:r>
      <w:r w:rsidR="00E66E58" w:rsidRPr="00ED4CFF">
        <w:rPr>
          <w:sz w:val="24"/>
        </w:rPr>
        <w:t>There is a dispute of facts on what transpired when the complainant returned the truck to the Respondent on 8 November 2019. On the Applicant’s version, the complainant elected to have a replacement truck, failing which he should be refunded the purchase p</w:t>
      </w:r>
      <w:r w:rsidR="00E66E58" w:rsidRPr="00ED4CFF">
        <w:rPr>
          <w:sz w:val="24"/>
        </w:rPr>
        <w:t>rice of the truck. In support of its contention, the Applicant relies on an email sent by the complainant to the Respondent on 12 November 2019</w:t>
      </w:r>
      <w:r w:rsidR="00E66E58" w:rsidRPr="00ED4CFF">
        <w:rPr>
          <w:position w:val="6"/>
          <w:sz w:val="16"/>
        </w:rPr>
        <w:t>12</w:t>
      </w:r>
      <w:r w:rsidR="00E66E58" w:rsidRPr="00ED4CFF">
        <w:rPr>
          <w:sz w:val="24"/>
        </w:rPr>
        <w:t>. In this email, the complainant states</w:t>
      </w:r>
      <w:r w:rsidR="00E66E58" w:rsidRPr="00ED4CFF">
        <w:rPr>
          <w:spacing w:val="-4"/>
          <w:sz w:val="24"/>
        </w:rPr>
        <w:t xml:space="preserve"> </w:t>
      </w:r>
      <w:r w:rsidR="00E66E58" w:rsidRPr="00ED4CFF">
        <w:rPr>
          <w:sz w:val="24"/>
        </w:rPr>
        <w:t>–</w:t>
      </w:r>
    </w:p>
    <w:p w:rsidR="0095654C" w:rsidRDefault="00E66E58">
      <w:pPr>
        <w:spacing w:before="2" w:line="360" w:lineRule="auto"/>
        <w:ind w:left="1553" w:right="87"/>
        <w:rPr>
          <w:i/>
          <w:sz w:val="24"/>
        </w:rPr>
      </w:pPr>
      <w:r>
        <w:rPr>
          <w:sz w:val="24"/>
        </w:rPr>
        <w:t>“</w:t>
      </w:r>
      <w:r>
        <w:rPr>
          <w:i/>
          <w:sz w:val="24"/>
        </w:rPr>
        <w:t>…I have returned the truck on Friday 08</w:t>
      </w:r>
      <w:r>
        <w:rPr>
          <w:i/>
          <w:position w:val="6"/>
          <w:sz w:val="16"/>
        </w:rPr>
        <w:t xml:space="preserve">th </w:t>
      </w:r>
      <w:r>
        <w:rPr>
          <w:i/>
          <w:sz w:val="24"/>
        </w:rPr>
        <w:t>of November for replacement or refund as the consumer protection act section 56 allows me because I’m now loosing (sic) business. I request that you refund me for the Nissan ud440 which cost me R575 000 vat included…”</w:t>
      </w:r>
    </w:p>
    <w:p w:rsidR="0095654C" w:rsidRDefault="00E66E58">
      <w:pPr>
        <w:pStyle w:val="BodyText"/>
        <w:spacing w:before="8"/>
        <w:rPr>
          <w:i/>
          <w:sz w:val="21"/>
        </w:rPr>
      </w:pPr>
      <w:r>
        <w:pict>
          <v:shape id="_x0000_s1028" style="position:absolute;margin-left:56.65pt;margin-top:14.8pt;width:144.05pt;height:.1pt;z-index:-251650048;mso-wrap-distance-left:0;mso-wrap-distance-right:0;mso-position-horizontal-relative:page" coordorigin="1133,296" coordsize="2881,0" path="m1133,296r2881,e" filled="f" strokeweight=".72pt">
            <v:path arrowok="t"/>
            <w10:wrap type="topAndBottom" anchorx="page"/>
          </v:shape>
        </w:pict>
      </w:r>
    </w:p>
    <w:p w:rsidR="0095654C" w:rsidRDefault="00E66E58">
      <w:pPr>
        <w:spacing w:before="70" w:line="229" w:lineRule="exact"/>
        <w:ind w:left="112"/>
        <w:rPr>
          <w:sz w:val="20"/>
        </w:rPr>
      </w:pPr>
      <w:r>
        <w:rPr>
          <w:position w:val="5"/>
          <w:sz w:val="13"/>
        </w:rPr>
        <w:t xml:space="preserve">11 </w:t>
      </w:r>
      <w:r>
        <w:rPr>
          <w:sz w:val="20"/>
        </w:rPr>
        <w:t>Own emphasis.</w:t>
      </w:r>
    </w:p>
    <w:p w:rsidR="0095654C" w:rsidRDefault="00E66E58">
      <w:pPr>
        <w:spacing w:line="229" w:lineRule="exact"/>
        <w:ind w:left="112"/>
        <w:rPr>
          <w:sz w:val="20"/>
        </w:rPr>
      </w:pPr>
      <w:r>
        <w:rPr>
          <w:position w:val="5"/>
          <w:sz w:val="13"/>
        </w:rPr>
        <w:t xml:space="preserve">12 </w:t>
      </w:r>
      <w:r>
        <w:rPr>
          <w:sz w:val="20"/>
        </w:rPr>
        <w:t>Annexure F to th</w:t>
      </w:r>
      <w:r>
        <w:rPr>
          <w:sz w:val="20"/>
        </w:rPr>
        <w:t>e Applicant’s founding affidavit, page 57 of the bundle.</w:t>
      </w:r>
    </w:p>
    <w:p w:rsidR="0095654C" w:rsidRDefault="0095654C">
      <w:pPr>
        <w:spacing w:line="229" w:lineRule="exact"/>
        <w:rPr>
          <w:sz w:val="20"/>
        </w:rPr>
        <w:sectPr w:rsidR="0095654C">
          <w:footerReference w:type="default" r:id="rId10"/>
          <w:pgSz w:w="11910" w:h="16840"/>
          <w:pgMar w:top="760" w:right="1020" w:bottom="600" w:left="1020" w:header="0" w:footer="415" w:gutter="0"/>
          <w:cols w:space="720"/>
        </w:sectPr>
      </w:pPr>
    </w:p>
    <w:p w:rsidR="0095654C" w:rsidRPr="00ED4CFF" w:rsidRDefault="00ED4CFF" w:rsidP="00ED4CFF">
      <w:pPr>
        <w:tabs>
          <w:tab w:val="left" w:pos="680"/>
        </w:tabs>
        <w:spacing w:before="72" w:line="360" w:lineRule="auto"/>
        <w:ind w:left="679" w:right="109" w:hanging="567"/>
        <w:jc w:val="both"/>
        <w:rPr>
          <w:color w:val="232020"/>
          <w:sz w:val="24"/>
        </w:rPr>
      </w:pPr>
      <w:r>
        <w:rPr>
          <w:color w:val="232020"/>
          <w:spacing w:val="-9"/>
          <w:sz w:val="24"/>
        </w:rPr>
        <w:lastRenderedPageBreak/>
        <w:t>54.</w:t>
      </w:r>
      <w:r>
        <w:rPr>
          <w:color w:val="232020"/>
          <w:spacing w:val="-9"/>
          <w:sz w:val="24"/>
        </w:rPr>
        <w:tab/>
      </w:r>
      <w:r w:rsidR="00E66E58" w:rsidRPr="00ED4CFF">
        <w:rPr>
          <w:sz w:val="24"/>
        </w:rPr>
        <w:t>When asked why the email does not refer to the complainant’s choice made on 8 November 2019 when the  truck  was  returned,  the  Applicant  contends  that  there</w:t>
      </w:r>
      <w:r w:rsidR="00E66E58" w:rsidRPr="00ED4CFF">
        <w:rPr>
          <w:sz w:val="24"/>
        </w:rPr>
        <w:t xml:space="preserve">  was  a  verbal  agreement  reached  on  8 November 2019, between the complainant and the Respondent regarding the</w:t>
      </w:r>
      <w:r w:rsidR="00E66E58" w:rsidRPr="00ED4CFF">
        <w:rPr>
          <w:spacing w:val="-28"/>
          <w:sz w:val="24"/>
        </w:rPr>
        <w:t xml:space="preserve"> </w:t>
      </w:r>
      <w:r w:rsidR="00E66E58" w:rsidRPr="00ED4CFF">
        <w:rPr>
          <w:sz w:val="24"/>
        </w:rPr>
        <w:t>replacement/refund.</w:t>
      </w:r>
    </w:p>
    <w:p w:rsidR="0095654C" w:rsidRDefault="0095654C">
      <w:pPr>
        <w:pStyle w:val="BodyText"/>
        <w:spacing w:before="10"/>
        <w:rPr>
          <w:sz w:val="35"/>
        </w:rPr>
      </w:pPr>
    </w:p>
    <w:p w:rsidR="0095654C" w:rsidRPr="00ED4CFF" w:rsidRDefault="00ED4CFF" w:rsidP="00ED4CFF">
      <w:pPr>
        <w:tabs>
          <w:tab w:val="left" w:pos="680"/>
        </w:tabs>
        <w:spacing w:line="360" w:lineRule="auto"/>
        <w:ind w:left="679" w:right="112" w:hanging="567"/>
        <w:jc w:val="both"/>
        <w:rPr>
          <w:color w:val="232020"/>
          <w:sz w:val="24"/>
        </w:rPr>
      </w:pPr>
      <w:r>
        <w:rPr>
          <w:color w:val="232020"/>
          <w:spacing w:val="-9"/>
          <w:sz w:val="24"/>
        </w:rPr>
        <w:t>55.</w:t>
      </w:r>
      <w:r>
        <w:rPr>
          <w:color w:val="232020"/>
          <w:spacing w:val="-9"/>
          <w:sz w:val="24"/>
        </w:rPr>
        <w:tab/>
      </w:r>
      <w:r w:rsidR="00E66E58" w:rsidRPr="00ED4CFF">
        <w:rPr>
          <w:sz w:val="24"/>
        </w:rPr>
        <w:t>The Respondent denies that the complainant elected to have the truck replaced or the purchase price refunded nor was th</w:t>
      </w:r>
      <w:r w:rsidR="00E66E58" w:rsidRPr="00ED4CFF">
        <w:rPr>
          <w:sz w:val="24"/>
        </w:rPr>
        <w:t>ere a verbal agreement to that effect reached on 8 November</w:t>
      </w:r>
      <w:r w:rsidR="00E66E58" w:rsidRPr="00ED4CFF">
        <w:rPr>
          <w:spacing w:val="-21"/>
          <w:sz w:val="24"/>
        </w:rPr>
        <w:t xml:space="preserve"> </w:t>
      </w:r>
      <w:r w:rsidR="00E66E58" w:rsidRPr="00ED4CFF">
        <w:rPr>
          <w:sz w:val="24"/>
        </w:rPr>
        <w:t>2019.</w:t>
      </w:r>
    </w:p>
    <w:p w:rsidR="0095654C" w:rsidRDefault="0095654C">
      <w:pPr>
        <w:pStyle w:val="BodyText"/>
        <w:rPr>
          <w:sz w:val="28"/>
        </w:rPr>
      </w:pPr>
    </w:p>
    <w:p w:rsidR="0095654C" w:rsidRDefault="0095654C">
      <w:pPr>
        <w:pStyle w:val="BodyText"/>
        <w:spacing w:before="6"/>
        <w:rPr>
          <w:sz w:val="25"/>
        </w:rPr>
      </w:pPr>
    </w:p>
    <w:p w:rsidR="0095654C" w:rsidRPr="00ED4CFF" w:rsidRDefault="00ED4CFF" w:rsidP="00ED4CFF">
      <w:pPr>
        <w:tabs>
          <w:tab w:val="left" w:pos="680"/>
        </w:tabs>
        <w:spacing w:line="360" w:lineRule="auto"/>
        <w:ind w:left="679" w:right="109" w:hanging="567"/>
        <w:jc w:val="both"/>
        <w:rPr>
          <w:sz w:val="24"/>
        </w:rPr>
      </w:pPr>
      <w:r>
        <w:rPr>
          <w:spacing w:val="-9"/>
          <w:sz w:val="24"/>
        </w:rPr>
        <w:t>56.</w:t>
      </w:r>
      <w:r>
        <w:rPr>
          <w:spacing w:val="-9"/>
          <w:sz w:val="24"/>
        </w:rPr>
        <w:tab/>
      </w:r>
      <w:r w:rsidR="00E66E58" w:rsidRPr="00ED4CFF">
        <w:rPr>
          <w:sz w:val="24"/>
        </w:rPr>
        <w:t>Given the fact that the Tribunal is not convinced of the Applicant’s arguments concerning the nature of the defect and that the truck was not suitable for its intended purpose, it is not necessary to make a finding on the dispute of facts, as this point ha</w:t>
      </w:r>
      <w:r w:rsidR="00E66E58" w:rsidRPr="00ED4CFF">
        <w:rPr>
          <w:sz w:val="24"/>
        </w:rPr>
        <w:t xml:space="preserve">s become moot. Be that as it may, the Tribunal wishes to emphasise that under such circumstances, where there is a dispute of facts with no further evidence from both parties, save what is contained in their written submissions, the Tribunal would rely on </w:t>
      </w:r>
      <w:r w:rsidR="00E66E58" w:rsidRPr="00ED4CFF">
        <w:rPr>
          <w:sz w:val="24"/>
        </w:rPr>
        <w:t xml:space="preserve">the </w:t>
      </w:r>
      <w:r w:rsidR="00E66E58" w:rsidRPr="00ED4CFF">
        <w:rPr>
          <w:i/>
          <w:sz w:val="24"/>
        </w:rPr>
        <w:t>Plascon Evans rule</w:t>
      </w:r>
      <w:r w:rsidR="00E66E58" w:rsidRPr="00ED4CFF">
        <w:rPr>
          <w:i/>
          <w:position w:val="6"/>
          <w:sz w:val="16"/>
        </w:rPr>
        <w:t>13</w:t>
      </w:r>
      <w:r w:rsidR="00E66E58" w:rsidRPr="00ED4CFF">
        <w:rPr>
          <w:sz w:val="24"/>
        </w:rPr>
        <w:t xml:space="preserve">, which as articulated by the honourable judge in </w:t>
      </w:r>
      <w:r w:rsidR="00E66E58" w:rsidRPr="00ED4CFF">
        <w:rPr>
          <w:i/>
          <w:sz w:val="24"/>
        </w:rPr>
        <w:t>Dwele v Phalatse and Others</w:t>
      </w:r>
      <w:r w:rsidR="00E66E58" w:rsidRPr="00ED4CFF">
        <w:rPr>
          <w:position w:val="6"/>
          <w:sz w:val="16"/>
        </w:rPr>
        <w:t>14</w:t>
      </w:r>
      <w:r w:rsidR="00E66E58" w:rsidRPr="00ED4CFF">
        <w:rPr>
          <w:sz w:val="16"/>
        </w:rPr>
        <w:t xml:space="preserve"> </w:t>
      </w:r>
      <w:r w:rsidR="00E66E58" w:rsidRPr="00ED4CFF">
        <w:rPr>
          <w:sz w:val="24"/>
        </w:rPr>
        <w:t>states that</w:t>
      </w:r>
      <w:r w:rsidR="00E66E58" w:rsidRPr="00ED4CFF">
        <w:rPr>
          <w:spacing w:val="-2"/>
          <w:sz w:val="24"/>
        </w:rPr>
        <w:t xml:space="preserve"> </w:t>
      </w:r>
      <w:r w:rsidR="00E66E58" w:rsidRPr="00ED4CFF">
        <w:rPr>
          <w:sz w:val="24"/>
        </w:rPr>
        <w:t>–</w:t>
      </w:r>
    </w:p>
    <w:p w:rsidR="0095654C" w:rsidRDefault="00E66E58">
      <w:pPr>
        <w:spacing w:before="1" w:line="360" w:lineRule="auto"/>
        <w:ind w:left="833" w:right="110"/>
        <w:jc w:val="both"/>
        <w:rPr>
          <w:i/>
          <w:sz w:val="24"/>
        </w:rPr>
      </w:pPr>
      <w:r>
        <w:rPr>
          <w:i/>
          <w:sz w:val="24"/>
        </w:rPr>
        <w:t>“</w:t>
      </w:r>
      <w:r>
        <w:rPr>
          <w:i/>
          <w:sz w:val="24"/>
        </w:rPr>
        <w:t xml:space="preserve">In motion proceedings a final order may be granted if those facts averred in the applicant’s affidavits, </w:t>
      </w:r>
      <w:r>
        <w:rPr>
          <w:i/>
          <w:sz w:val="24"/>
        </w:rPr>
        <w:t>which have been admitted by the respondent, together with the facts alleged by the respondent, justify such an order. In certain instances, the denial by a respondent of a fact alleged by the applicant may not be such as to raise a real, genuine or bona fi</w:t>
      </w:r>
      <w:r>
        <w:rPr>
          <w:i/>
          <w:sz w:val="24"/>
        </w:rPr>
        <w:t>de dispute of fact. It is bona fide disputes in motion proceedings which fall to be determined on the facts contained in the opposing papers which must be preferred in accordance with the rule in Plascon-Evans Paints Ltd  v. Van  Riebeeck Paints  (Pty)  Lt</w:t>
      </w:r>
      <w:r>
        <w:rPr>
          <w:i/>
          <w:sz w:val="24"/>
        </w:rPr>
        <w:t>d”.</w:t>
      </w:r>
    </w:p>
    <w:p w:rsidR="0095654C" w:rsidRDefault="0095654C">
      <w:pPr>
        <w:pStyle w:val="BodyText"/>
        <w:rPr>
          <w:i/>
          <w:sz w:val="36"/>
        </w:rPr>
      </w:pPr>
    </w:p>
    <w:p w:rsidR="0095654C" w:rsidRPr="00ED4CFF" w:rsidRDefault="00ED4CFF" w:rsidP="00ED4CFF">
      <w:pPr>
        <w:tabs>
          <w:tab w:val="left" w:pos="679"/>
          <w:tab w:val="left" w:pos="680"/>
        </w:tabs>
        <w:spacing w:before="1"/>
        <w:ind w:left="679" w:hanging="568"/>
        <w:rPr>
          <w:color w:val="232020"/>
          <w:sz w:val="24"/>
        </w:rPr>
      </w:pPr>
      <w:r>
        <w:rPr>
          <w:color w:val="232020"/>
          <w:spacing w:val="-9"/>
          <w:sz w:val="24"/>
        </w:rPr>
        <w:t>57.</w:t>
      </w:r>
      <w:r>
        <w:rPr>
          <w:color w:val="232020"/>
          <w:spacing w:val="-9"/>
          <w:sz w:val="24"/>
        </w:rPr>
        <w:tab/>
      </w:r>
      <w:r w:rsidR="00E66E58" w:rsidRPr="00ED4CFF">
        <w:rPr>
          <w:sz w:val="24"/>
        </w:rPr>
        <w:t xml:space="preserve">Similarly, the SCA in </w:t>
      </w:r>
      <w:r w:rsidR="00E66E58" w:rsidRPr="00ED4CFF">
        <w:rPr>
          <w:i/>
        </w:rPr>
        <w:t>Zuma v National Director of Public Prosecutions</w:t>
      </w:r>
      <w:r w:rsidR="00E66E58" w:rsidRPr="00ED4CFF">
        <w:rPr>
          <w:i/>
          <w:position w:val="6"/>
          <w:sz w:val="14"/>
        </w:rPr>
        <w:t xml:space="preserve">15 </w:t>
      </w:r>
      <w:r w:rsidR="00E66E58" w:rsidRPr="00ED4CFF">
        <w:rPr>
          <w:sz w:val="24"/>
        </w:rPr>
        <w:t>stated that</w:t>
      </w:r>
      <w:r w:rsidR="00E66E58" w:rsidRPr="00ED4CFF">
        <w:rPr>
          <w:spacing w:val="-21"/>
          <w:sz w:val="24"/>
        </w:rPr>
        <w:t xml:space="preserve"> </w:t>
      </w:r>
      <w:r w:rsidR="00E66E58" w:rsidRPr="00ED4CFF">
        <w:rPr>
          <w:sz w:val="24"/>
        </w:rPr>
        <w:t>–</w:t>
      </w:r>
    </w:p>
    <w:p w:rsidR="0095654C" w:rsidRDefault="0095654C">
      <w:pPr>
        <w:pStyle w:val="BodyText"/>
        <w:rPr>
          <w:sz w:val="28"/>
        </w:rPr>
      </w:pPr>
    </w:p>
    <w:p w:rsidR="0095654C" w:rsidRDefault="00E66E58">
      <w:pPr>
        <w:spacing w:before="228" w:line="360" w:lineRule="auto"/>
        <w:ind w:left="833" w:right="109"/>
        <w:jc w:val="both"/>
        <w:rPr>
          <w:i/>
          <w:sz w:val="24"/>
        </w:rPr>
      </w:pPr>
      <w:r>
        <w:rPr>
          <w:i/>
          <w:sz w:val="24"/>
        </w:rPr>
        <w:t>“Motion proceedings, unless concerned with interim relief, are all about the resolution of legal issues based on common cause facts. Unless the circumstances are sp</w:t>
      </w:r>
      <w:r>
        <w:rPr>
          <w:i/>
          <w:sz w:val="24"/>
        </w:rPr>
        <w:t xml:space="preserve">ecial they cannot be used </w:t>
      </w:r>
      <w:r>
        <w:rPr>
          <w:i/>
          <w:spacing w:val="6"/>
          <w:sz w:val="24"/>
        </w:rPr>
        <w:t xml:space="preserve">to </w:t>
      </w:r>
      <w:r>
        <w:rPr>
          <w:i/>
          <w:sz w:val="24"/>
        </w:rPr>
        <w:t>resolve factual issues because they are not designed to determine  probabilities.  It  is  well  established  under the Plascon-Evans rule that where in motion proceedings disputes of fact arise on the affidavits, a final order</w:t>
      </w:r>
      <w:r>
        <w:rPr>
          <w:i/>
          <w:sz w:val="24"/>
        </w:rPr>
        <w:t xml:space="preserve"> can be granted only if the facts averred in the applicant's (Mr Zuma’s) affidavits, which have been admitted by the respondent (the NDPP), together with the facts alleged by the latter, justify such order. It may be different if the respondent’s version c</w:t>
      </w:r>
      <w:r>
        <w:rPr>
          <w:i/>
          <w:sz w:val="24"/>
        </w:rPr>
        <w:t>onsists of bald or uncreditworthy denials, raises fictitious disputes of fact, is palpably implausible, far-fetched or so clearly untenable that</w:t>
      </w:r>
      <w:r>
        <w:rPr>
          <w:i/>
          <w:spacing w:val="51"/>
          <w:sz w:val="24"/>
        </w:rPr>
        <w:t xml:space="preserve"> </w:t>
      </w:r>
      <w:r>
        <w:rPr>
          <w:i/>
          <w:sz w:val="24"/>
        </w:rPr>
        <w:t>the</w:t>
      </w:r>
    </w:p>
    <w:p w:rsidR="0095654C" w:rsidRDefault="0095654C">
      <w:pPr>
        <w:pStyle w:val="BodyText"/>
        <w:rPr>
          <w:i/>
          <w:sz w:val="20"/>
        </w:rPr>
      </w:pPr>
    </w:p>
    <w:p w:rsidR="0095654C" w:rsidRDefault="0095654C">
      <w:pPr>
        <w:pStyle w:val="BodyText"/>
        <w:rPr>
          <w:i/>
          <w:sz w:val="20"/>
        </w:rPr>
      </w:pPr>
    </w:p>
    <w:p w:rsidR="0095654C" w:rsidRDefault="00E66E58">
      <w:pPr>
        <w:pStyle w:val="BodyText"/>
        <w:spacing w:before="9"/>
        <w:rPr>
          <w:i/>
          <w:sz w:val="12"/>
        </w:rPr>
      </w:pPr>
      <w:r>
        <w:pict>
          <v:shape id="_x0000_s1027" style="position:absolute;margin-left:56.65pt;margin-top:9.7pt;width:144.05pt;height:.1pt;z-index:-251648000;mso-wrap-distance-left:0;mso-wrap-distance-right:0;mso-position-horizontal-relative:page" coordorigin="1133,194" coordsize="2881,0" path="m1133,194r2881,e" filled="f" strokeweight=".72pt">
            <v:path arrowok="t"/>
            <w10:wrap type="topAndBottom" anchorx="page"/>
          </v:shape>
        </w:pict>
      </w:r>
    </w:p>
    <w:p w:rsidR="0095654C" w:rsidRDefault="00E66E58">
      <w:pPr>
        <w:spacing w:before="70"/>
        <w:ind w:left="112"/>
        <w:rPr>
          <w:sz w:val="20"/>
        </w:rPr>
      </w:pPr>
      <w:r>
        <w:rPr>
          <w:position w:val="5"/>
          <w:sz w:val="13"/>
        </w:rPr>
        <w:t xml:space="preserve">13 </w:t>
      </w:r>
      <w:r>
        <w:rPr>
          <w:sz w:val="20"/>
        </w:rPr>
        <w:t>Plascon-Evans Paints Ltd. v Van Riebeck Paints (Pty) Ltd</w:t>
      </w:r>
      <w:hyperlink r:id="rId11">
        <w:r>
          <w:rPr>
            <w:sz w:val="20"/>
          </w:rPr>
          <w:t>. [1984]. ZASCA 51 1984 (3) SA 623 (A) at 634E to 635C.</w:t>
        </w:r>
      </w:hyperlink>
    </w:p>
    <w:p w:rsidR="0095654C" w:rsidRDefault="00E66E58">
      <w:pPr>
        <w:spacing w:before="1" w:line="228" w:lineRule="exact"/>
        <w:ind w:left="112"/>
        <w:rPr>
          <w:sz w:val="20"/>
        </w:rPr>
      </w:pPr>
      <w:r>
        <w:rPr>
          <w:position w:val="5"/>
          <w:sz w:val="13"/>
        </w:rPr>
        <w:t xml:space="preserve">14 </w:t>
      </w:r>
      <w:r>
        <w:rPr>
          <w:sz w:val="20"/>
        </w:rPr>
        <w:t>Dwele v Phalatse and Others (11112/15) [2017] ZAGPJHC 146 (7 June 2017).</w:t>
      </w:r>
    </w:p>
    <w:p w:rsidR="0095654C" w:rsidRDefault="00E66E58">
      <w:pPr>
        <w:spacing w:line="234" w:lineRule="exact"/>
        <w:ind w:left="112"/>
        <w:rPr>
          <w:sz w:val="20"/>
        </w:rPr>
      </w:pPr>
      <w:r>
        <w:rPr>
          <w:rFonts w:ascii="Calibri"/>
          <w:position w:val="7"/>
          <w:sz w:val="13"/>
        </w:rPr>
        <w:t xml:space="preserve">15 </w:t>
      </w:r>
      <w:r>
        <w:rPr>
          <w:i/>
          <w:sz w:val="20"/>
        </w:rPr>
        <w:t xml:space="preserve">Zuma v National Director of Public Prosecutions </w:t>
      </w:r>
      <w:r>
        <w:rPr>
          <w:sz w:val="20"/>
        </w:rPr>
        <w:t>2008 (2) SACR 421 (CC) para 8-10.</w:t>
      </w:r>
    </w:p>
    <w:p w:rsidR="0095654C" w:rsidRDefault="0095654C">
      <w:pPr>
        <w:spacing w:line="234" w:lineRule="exact"/>
        <w:rPr>
          <w:sz w:val="20"/>
        </w:rPr>
        <w:sectPr w:rsidR="0095654C">
          <w:footerReference w:type="default" r:id="rId12"/>
          <w:pgSz w:w="11910" w:h="16840"/>
          <w:pgMar w:top="1180" w:right="1020" w:bottom="600" w:left="1020" w:header="0" w:footer="405" w:gutter="0"/>
          <w:pgNumType w:start="12"/>
          <w:cols w:space="720"/>
        </w:sectPr>
      </w:pPr>
    </w:p>
    <w:p w:rsidR="0095654C" w:rsidRDefault="00E66E58">
      <w:pPr>
        <w:spacing w:before="79" w:line="360" w:lineRule="auto"/>
        <w:ind w:left="833" w:right="113"/>
        <w:jc w:val="both"/>
        <w:rPr>
          <w:i/>
          <w:sz w:val="24"/>
        </w:rPr>
      </w:pPr>
      <w:r>
        <w:rPr>
          <w:i/>
          <w:sz w:val="24"/>
        </w:rPr>
        <w:lastRenderedPageBreak/>
        <w:t>court is justified in rejecting them merely on the papers.</w:t>
      </w:r>
      <w:r>
        <w:rPr>
          <w:i/>
          <w:position w:val="6"/>
          <w:sz w:val="16"/>
        </w:rPr>
        <w:t xml:space="preserve">16 </w:t>
      </w:r>
      <w:r>
        <w:rPr>
          <w:i/>
          <w:sz w:val="24"/>
        </w:rPr>
        <w:t>The court below did not have regard to  these propositions and instead decided the case on probabilities without rejecting the NDPP’s version.</w:t>
      </w:r>
      <w:r>
        <w:rPr>
          <w:i/>
          <w:position w:val="6"/>
          <w:sz w:val="16"/>
        </w:rPr>
        <w:t>17</w:t>
      </w:r>
      <w:r>
        <w:rPr>
          <w:i/>
          <w:sz w:val="24"/>
        </w:rPr>
        <w:t>”</w:t>
      </w:r>
    </w:p>
    <w:p w:rsidR="0095654C" w:rsidRDefault="0095654C">
      <w:pPr>
        <w:pStyle w:val="BodyText"/>
        <w:spacing w:before="10"/>
        <w:rPr>
          <w:i/>
          <w:sz w:val="35"/>
        </w:rPr>
      </w:pPr>
    </w:p>
    <w:p w:rsidR="0095654C" w:rsidRDefault="00E66E58">
      <w:pPr>
        <w:pStyle w:val="Heading1"/>
        <w:spacing w:before="1"/>
      </w:pPr>
      <w:r>
        <w:rPr>
          <w:color w:val="232020"/>
        </w:rPr>
        <w:t>CONCLUSION</w:t>
      </w:r>
    </w:p>
    <w:p w:rsidR="0095654C" w:rsidRDefault="0095654C">
      <w:pPr>
        <w:pStyle w:val="BodyText"/>
        <w:rPr>
          <w:b/>
          <w:sz w:val="28"/>
        </w:rPr>
      </w:pPr>
    </w:p>
    <w:p w:rsidR="0095654C" w:rsidRPr="00ED4CFF" w:rsidRDefault="00ED4CFF" w:rsidP="00ED4CFF">
      <w:pPr>
        <w:tabs>
          <w:tab w:val="left" w:pos="680"/>
        </w:tabs>
        <w:spacing w:before="228" w:line="360" w:lineRule="auto"/>
        <w:ind w:left="679" w:right="109" w:hanging="567"/>
        <w:jc w:val="both"/>
        <w:rPr>
          <w:sz w:val="24"/>
        </w:rPr>
      </w:pPr>
      <w:r>
        <w:rPr>
          <w:spacing w:val="-9"/>
          <w:sz w:val="24"/>
        </w:rPr>
        <w:t>58.</w:t>
      </w:r>
      <w:r>
        <w:rPr>
          <w:spacing w:val="-9"/>
          <w:sz w:val="24"/>
        </w:rPr>
        <w:tab/>
      </w:r>
      <w:r w:rsidR="00E66E58" w:rsidRPr="00ED4CFF">
        <w:rPr>
          <w:sz w:val="24"/>
        </w:rPr>
        <w:t>Having considered the submissions made by the parties, the Tribunal finds that the nature of the defect complained about does not warrant a replacement of the truck or a refund of the purchase price, as it does not render the truck unsuitable for its int</w:t>
      </w:r>
      <w:r w:rsidR="00E66E58" w:rsidRPr="00ED4CFF">
        <w:rPr>
          <w:sz w:val="24"/>
        </w:rPr>
        <w:t>ended purpose. Having made this finding, the Tribunal does not deem it necessary to pronounce on whether the complainant elected to have a refund, replacement or the truck</w:t>
      </w:r>
      <w:r w:rsidR="00E66E58" w:rsidRPr="00ED4CFF">
        <w:rPr>
          <w:spacing w:val="-1"/>
          <w:sz w:val="24"/>
        </w:rPr>
        <w:t xml:space="preserve"> </w:t>
      </w:r>
      <w:r w:rsidR="00E66E58" w:rsidRPr="00ED4CFF">
        <w:rPr>
          <w:sz w:val="24"/>
        </w:rPr>
        <w:t>repaired.</w:t>
      </w:r>
    </w:p>
    <w:p w:rsidR="0095654C" w:rsidRDefault="0095654C">
      <w:pPr>
        <w:pStyle w:val="BodyText"/>
        <w:spacing w:before="2"/>
        <w:rPr>
          <w:sz w:val="36"/>
        </w:rPr>
      </w:pPr>
    </w:p>
    <w:p w:rsidR="0095654C" w:rsidRPr="00ED4CFF" w:rsidRDefault="00ED4CFF" w:rsidP="00ED4CFF">
      <w:pPr>
        <w:tabs>
          <w:tab w:val="left" w:pos="679"/>
          <w:tab w:val="left" w:pos="680"/>
        </w:tabs>
        <w:ind w:left="679" w:hanging="568"/>
        <w:rPr>
          <w:color w:val="232020"/>
          <w:sz w:val="24"/>
        </w:rPr>
      </w:pPr>
      <w:r>
        <w:rPr>
          <w:color w:val="232020"/>
          <w:spacing w:val="-9"/>
          <w:sz w:val="24"/>
        </w:rPr>
        <w:t>59.</w:t>
      </w:r>
      <w:r>
        <w:rPr>
          <w:color w:val="232020"/>
          <w:spacing w:val="-9"/>
          <w:sz w:val="24"/>
        </w:rPr>
        <w:tab/>
      </w:r>
      <w:r w:rsidR="00E66E58" w:rsidRPr="00ED4CFF">
        <w:rPr>
          <w:sz w:val="24"/>
        </w:rPr>
        <w:t>Consequently, the Tribunal is inclined to refuse the Applicant’s</w:t>
      </w:r>
      <w:r w:rsidR="00E66E58" w:rsidRPr="00ED4CFF">
        <w:rPr>
          <w:spacing w:val="-7"/>
          <w:sz w:val="24"/>
        </w:rPr>
        <w:t xml:space="preserve"> </w:t>
      </w:r>
      <w:r w:rsidR="00E66E58" w:rsidRPr="00ED4CFF">
        <w:rPr>
          <w:sz w:val="24"/>
        </w:rPr>
        <w:t>applicat</w:t>
      </w:r>
      <w:r w:rsidR="00E66E58" w:rsidRPr="00ED4CFF">
        <w:rPr>
          <w:sz w:val="24"/>
        </w:rPr>
        <w:t>ion.</w:t>
      </w:r>
    </w:p>
    <w:p w:rsidR="0095654C" w:rsidRDefault="0095654C">
      <w:pPr>
        <w:pStyle w:val="BodyText"/>
        <w:rPr>
          <w:sz w:val="28"/>
        </w:rPr>
      </w:pPr>
    </w:p>
    <w:p w:rsidR="0095654C" w:rsidRDefault="00E66E58">
      <w:pPr>
        <w:pStyle w:val="Heading1"/>
        <w:spacing w:before="229"/>
      </w:pPr>
      <w:r>
        <w:t>ORDER</w:t>
      </w:r>
    </w:p>
    <w:p w:rsidR="0095654C" w:rsidRDefault="0095654C">
      <w:pPr>
        <w:pStyle w:val="BodyText"/>
        <w:rPr>
          <w:b/>
          <w:sz w:val="28"/>
        </w:rPr>
      </w:pPr>
    </w:p>
    <w:p w:rsidR="0095654C" w:rsidRPr="00ED4CFF" w:rsidRDefault="00ED4CFF" w:rsidP="00ED4CFF">
      <w:pPr>
        <w:tabs>
          <w:tab w:val="left" w:pos="679"/>
          <w:tab w:val="left" w:pos="680"/>
        </w:tabs>
        <w:spacing w:before="231"/>
        <w:ind w:left="679" w:hanging="568"/>
        <w:rPr>
          <w:sz w:val="24"/>
        </w:rPr>
      </w:pPr>
      <w:r>
        <w:rPr>
          <w:spacing w:val="-9"/>
          <w:sz w:val="24"/>
        </w:rPr>
        <w:t>60.</w:t>
      </w:r>
      <w:r>
        <w:rPr>
          <w:spacing w:val="-9"/>
          <w:sz w:val="24"/>
        </w:rPr>
        <w:tab/>
      </w:r>
      <w:r w:rsidR="00E66E58" w:rsidRPr="00ED4CFF">
        <w:rPr>
          <w:sz w:val="24"/>
        </w:rPr>
        <w:t>Therefore, the Tribunal makes the following</w:t>
      </w:r>
      <w:r w:rsidR="00E66E58" w:rsidRPr="00ED4CFF">
        <w:rPr>
          <w:spacing w:val="-2"/>
          <w:sz w:val="24"/>
        </w:rPr>
        <w:t xml:space="preserve"> </w:t>
      </w:r>
      <w:r w:rsidR="00E66E58" w:rsidRPr="00ED4CFF">
        <w:rPr>
          <w:sz w:val="24"/>
        </w:rPr>
        <w:t>order--</w:t>
      </w:r>
    </w:p>
    <w:p w:rsidR="0095654C" w:rsidRPr="00ED4CFF" w:rsidRDefault="00ED4CFF" w:rsidP="00ED4CFF">
      <w:pPr>
        <w:tabs>
          <w:tab w:val="left" w:pos="1553"/>
          <w:tab w:val="left" w:pos="1554"/>
        </w:tabs>
        <w:spacing w:before="137"/>
        <w:ind w:left="1553" w:hanging="875"/>
        <w:rPr>
          <w:color w:val="232020"/>
          <w:sz w:val="24"/>
        </w:rPr>
      </w:pPr>
      <w:r>
        <w:rPr>
          <w:color w:val="232020"/>
          <w:spacing w:val="-2"/>
          <w:sz w:val="24"/>
        </w:rPr>
        <w:t>60.1.</w:t>
      </w:r>
      <w:r>
        <w:rPr>
          <w:color w:val="232020"/>
          <w:spacing w:val="-2"/>
          <w:sz w:val="24"/>
        </w:rPr>
        <w:tab/>
      </w:r>
      <w:r w:rsidR="00E66E58" w:rsidRPr="00ED4CFF">
        <w:rPr>
          <w:sz w:val="24"/>
        </w:rPr>
        <w:t>The Applicant’s application is dismissed;</w:t>
      </w:r>
      <w:r w:rsidR="00E66E58" w:rsidRPr="00ED4CFF">
        <w:rPr>
          <w:spacing w:val="-4"/>
          <w:sz w:val="24"/>
        </w:rPr>
        <w:t xml:space="preserve"> </w:t>
      </w:r>
      <w:r w:rsidR="00E66E58" w:rsidRPr="00ED4CFF">
        <w:rPr>
          <w:sz w:val="24"/>
        </w:rPr>
        <w:t>and</w:t>
      </w:r>
    </w:p>
    <w:p w:rsidR="0095654C" w:rsidRPr="00ED4CFF" w:rsidRDefault="00ED4CFF" w:rsidP="00ED4CFF">
      <w:pPr>
        <w:tabs>
          <w:tab w:val="left" w:pos="1553"/>
          <w:tab w:val="left" w:pos="1554"/>
        </w:tabs>
        <w:spacing w:before="138"/>
        <w:ind w:left="1553" w:hanging="875"/>
        <w:rPr>
          <w:color w:val="232020"/>
          <w:sz w:val="24"/>
        </w:rPr>
      </w:pPr>
      <w:r>
        <w:rPr>
          <w:color w:val="232020"/>
          <w:spacing w:val="-2"/>
          <w:sz w:val="24"/>
        </w:rPr>
        <w:t>60.2.</w:t>
      </w:r>
      <w:r>
        <w:rPr>
          <w:color w:val="232020"/>
          <w:spacing w:val="-2"/>
          <w:sz w:val="24"/>
        </w:rPr>
        <w:tab/>
      </w:r>
      <w:r w:rsidR="00E66E58" w:rsidRPr="00ED4CFF">
        <w:rPr>
          <w:sz w:val="24"/>
        </w:rPr>
        <w:t>There is no order as to</w:t>
      </w:r>
      <w:r w:rsidR="00E66E58" w:rsidRPr="00ED4CFF">
        <w:rPr>
          <w:spacing w:val="-1"/>
          <w:sz w:val="24"/>
        </w:rPr>
        <w:t xml:space="preserve"> </w:t>
      </w:r>
      <w:r w:rsidR="00E66E58" w:rsidRPr="00ED4CFF">
        <w:rPr>
          <w:sz w:val="24"/>
        </w:rPr>
        <w:t>costs.</w:t>
      </w:r>
    </w:p>
    <w:p w:rsidR="0095654C" w:rsidRDefault="00E66E58">
      <w:pPr>
        <w:pStyle w:val="BodyText"/>
        <w:spacing w:before="6" w:line="820" w:lineRule="atLeast"/>
        <w:ind w:left="112" w:right="4447"/>
      </w:pPr>
      <w:r>
        <w:t>D</w:t>
      </w:r>
      <w:r>
        <w:t>ATED at CENTURION on the 25</w:t>
      </w:r>
      <w:r>
        <w:rPr>
          <w:position w:val="6"/>
          <w:sz w:val="16"/>
        </w:rPr>
        <w:t xml:space="preserve">th </w:t>
      </w:r>
      <w:r>
        <w:t>day of July 2022. (signed)</w:t>
      </w:r>
    </w:p>
    <w:p w:rsidR="0095654C" w:rsidRDefault="00E66E58">
      <w:pPr>
        <w:pStyle w:val="Heading1"/>
        <w:spacing w:before="143"/>
      </w:pPr>
      <w:r>
        <w:t>Mr F Sibanda</w:t>
      </w:r>
    </w:p>
    <w:p w:rsidR="0095654C" w:rsidRDefault="00E66E58">
      <w:pPr>
        <w:pStyle w:val="BodyText"/>
        <w:spacing w:before="140"/>
        <w:ind w:left="112"/>
      </w:pPr>
      <w:r>
        <w:t>Presiding Tribunal Member</w:t>
      </w:r>
    </w:p>
    <w:p w:rsidR="0095654C" w:rsidRDefault="0095654C">
      <w:pPr>
        <w:pStyle w:val="BodyText"/>
        <w:rPr>
          <w:sz w:val="28"/>
        </w:rPr>
      </w:pPr>
    </w:p>
    <w:p w:rsidR="0095654C" w:rsidRDefault="00E66E58">
      <w:pPr>
        <w:pStyle w:val="BodyText"/>
        <w:spacing w:before="229"/>
        <w:ind w:left="112"/>
      </w:pPr>
      <w:r>
        <w:t>Ms P Beck (Tribunal Member) and Mr A Potwana (Tribunal Member) concurring.</w:t>
      </w:r>
    </w:p>
    <w:p w:rsidR="0095654C" w:rsidRDefault="00E66E58">
      <w:pPr>
        <w:pStyle w:val="BodyText"/>
        <w:spacing w:before="3"/>
        <w:rPr>
          <w:sz w:val="29"/>
        </w:rPr>
      </w:pPr>
      <w:r>
        <w:rPr>
          <w:noProof/>
          <w:lang w:bidi="ar-SA"/>
        </w:rPr>
        <w:drawing>
          <wp:anchor distT="0" distB="0" distL="0" distR="0" simplePos="0" relativeHeight="11" behindDoc="0" locked="0" layoutInCell="1" allowOverlap="1">
            <wp:simplePos x="0" y="0"/>
            <wp:positionH relativeFrom="page">
              <wp:posOffset>777243</wp:posOffset>
            </wp:positionH>
            <wp:positionV relativeFrom="paragraph">
              <wp:posOffset>238113</wp:posOffset>
            </wp:positionV>
            <wp:extent cx="2556718" cy="13247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556718" cy="1324737"/>
                    </a:xfrm>
                    <a:prstGeom prst="rect">
                      <a:avLst/>
                    </a:prstGeom>
                  </pic:spPr>
                </pic:pic>
              </a:graphicData>
            </a:graphic>
          </wp:anchor>
        </w:drawing>
      </w:r>
    </w:p>
    <w:p w:rsidR="0095654C" w:rsidRDefault="0095654C">
      <w:pPr>
        <w:pStyle w:val="BodyText"/>
        <w:rPr>
          <w:sz w:val="20"/>
        </w:rPr>
      </w:pPr>
    </w:p>
    <w:p w:rsidR="0095654C" w:rsidRDefault="00E66E58">
      <w:pPr>
        <w:pStyle w:val="BodyText"/>
        <w:spacing w:before="5"/>
        <w:rPr>
          <w:sz w:val="22"/>
        </w:rPr>
      </w:pPr>
      <w:r>
        <w:pict>
          <v:shape id="_x0000_s1026" style="position:absolute;margin-left:56.65pt;margin-top:15.25pt;width:144.05pt;height:.1pt;z-index:-251645952;mso-wrap-distance-left:0;mso-wrap-distance-right:0;mso-position-horizontal-relative:page" coordorigin="1133,305" coordsize="2881,0" path="m1133,305r2881,e" filled="f" strokeweight=".72pt">
            <v:path arrowok="t"/>
            <w10:wrap type="topAndBottom" anchorx="page"/>
          </v:shape>
        </w:pict>
      </w:r>
    </w:p>
    <w:p w:rsidR="0095654C" w:rsidRDefault="00E66E58">
      <w:pPr>
        <w:spacing w:before="70"/>
        <w:ind w:left="112" w:right="685"/>
        <w:rPr>
          <w:sz w:val="20"/>
        </w:rPr>
      </w:pPr>
      <w:r>
        <w:rPr>
          <w:position w:val="5"/>
          <w:sz w:val="13"/>
        </w:rPr>
        <w:t xml:space="preserve">16 </w:t>
      </w:r>
      <w:r>
        <w:rPr>
          <w:i/>
          <w:sz w:val="20"/>
        </w:rPr>
        <w:t xml:space="preserve">Plascon-Evans Paints Ltd v Van Riebeeck Paints (Pty) Ltd </w:t>
      </w:r>
      <w:r>
        <w:rPr>
          <w:sz w:val="20"/>
        </w:rPr>
        <w:t xml:space="preserve">1984 (3) SA 623 (A) 634-5; </w:t>
      </w:r>
      <w:r>
        <w:rPr>
          <w:i/>
          <w:sz w:val="20"/>
        </w:rPr>
        <w:t xml:space="preserve">Fakie NO v CCII Systems (Pty) Ltd </w:t>
      </w:r>
      <w:r>
        <w:rPr>
          <w:sz w:val="20"/>
        </w:rPr>
        <w:t xml:space="preserve">2006 (4) SA 326 (SCA) para 55; </w:t>
      </w:r>
      <w:r>
        <w:rPr>
          <w:i/>
          <w:sz w:val="20"/>
        </w:rPr>
        <w:t>Thint (Pty) Ltd v Nation</w:t>
      </w:r>
      <w:r>
        <w:rPr>
          <w:i/>
          <w:sz w:val="20"/>
        </w:rPr>
        <w:t xml:space="preserve">al Director of Public Prosecutions; Zuma v National Director of Public Prosecutions </w:t>
      </w:r>
      <w:r>
        <w:rPr>
          <w:sz w:val="20"/>
        </w:rPr>
        <w:t>2008 (2) SACR 421 (CC) para 8-10.</w:t>
      </w:r>
    </w:p>
    <w:p w:rsidR="0095654C" w:rsidRDefault="00E66E58">
      <w:pPr>
        <w:spacing w:before="1" w:line="229" w:lineRule="exact"/>
        <w:ind w:left="112"/>
        <w:rPr>
          <w:i/>
          <w:sz w:val="20"/>
        </w:rPr>
      </w:pPr>
      <w:r>
        <w:rPr>
          <w:position w:val="5"/>
          <w:sz w:val="13"/>
        </w:rPr>
        <w:t xml:space="preserve">17 </w:t>
      </w:r>
      <w:r>
        <w:rPr>
          <w:i/>
          <w:sz w:val="20"/>
        </w:rPr>
        <w:t xml:space="preserve">Sewmungal NNO v Regent Cinema </w:t>
      </w:r>
      <w:r>
        <w:rPr>
          <w:sz w:val="20"/>
        </w:rPr>
        <w:t xml:space="preserve">1977 (1) SA 814 (N); </w:t>
      </w:r>
      <w:r>
        <w:rPr>
          <w:i/>
          <w:sz w:val="20"/>
        </w:rPr>
        <w:t>Trust Bank van Afrika Bpk v Western Bank Bpk NNO</w:t>
      </w:r>
    </w:p>
    <w:p w:rsidR="0095654C" w:rsidRDefault="00E66E58">
      <w:pPr>
        <w:spacing w:line="229" w:lineRule="exact"/>
        <w:ind w:left="112"/>
        <w:rPr>
          <w:sz w:val="20"/>
        </w:rPr>
      </w:pPr>
      <w:r>
        <w:rPr>
          <w:sz w:val="20"/>
        </w:rPr>
        <w:t>1978 (4) SA 281 (A).</w:t>
      </w:r>
    </w:p>
    <w:sectPr w:rsidR="0095654C">
      <w:pgSz w:w="11910" w:h="16840"/>
      <w:pgMar w:top="760" w:right="1020" w:bottom="600" w:left="1020" w:header="0" w:footer="4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58" w:rsidRDefault="00E66E58">
      <w:r>
        <w:separator/>
      </w:r>
    </w:p>
  </w:endnote>
  <w:endnote w:type="continuationSeparator" w:id="0">
    <w:p w:rsidR="00E66E58" w:rsidRDefault="00E6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4C" w:rsidRDefault="00E66E58">
    <w:pPr>
      <w:pStyle w:val="BodyText"/>
      <w:spacing w:line="14" w:lineRule="auto"/>
      <w:rPr>
        <w:sz w:val="13"/>
      </w:rPr>
    </w:pPr>
    <w:r>
      <w:pict>
        <v:shapetype id="_x0000_t202" coordsize="21600,21600" o:spt="202" path="m,l,21600r21600,l21600,xe">
          <v:stroke joinstyle="miter"/>
          <v:path gradientshapeok="t" o:connecttype="rect"/>
        </v:shapetype>
        <v:shape id="_x0000_s2054" type="#_x0000_t202" style="position:absolute;margin-left:275.65pt;margin-top:806.7pt;width:43.8pt;height:12.35pt;z-index:-252050432;mso-position-horizontal-relative:page;mso-position-vertical-relative:page" filled="f" stroked="f">
          <v:textbox inset="0,0,0,0">
            <w:txbxContent>
              <w:p w:rsidR="0095654C" w:rsidRDefault="00E66E58">
                <w:pPr>
                  <w:spacing w:before="19"/>
                  <w:ind w:left="20"/>
                  <w:rPr>
                    <w:b/>
                    <w:sz w:val="18"/>
                  </w:rPr>
                </w:pPr>
                <w:r>
                  <w:rPr>
                    <w:sz w:val="18"/>
                  </w:rPr>
                  <w:t xml:space="preserve">Page </w:t>
                </w:r>
                <w:r>
                  <w:fldChar w:fldCharType="begin"/>
                </w:r>
                <w:r>
                  <w:rPr>
                    <w:b/>
                    <w:sz w:val="18"/>
                  </w:rPr>
                  <w:instrText xml:space="preserve"> PAGE </w:instrText>
                </w:r>
                <w:r>
                  <w:fldChar w:fldCharType="separate"/>
                </w:r>
                <w:r w:rsidR="00ED4CFF">
                  <w:rPr>
                    <w:b/>
                    <w:noProof/>
                    <w:sz w:val="18"/>
                  </w:rPr>
                  <w:t>2</w:t>
                </w:r>
                <w:r>
                  <w:fldChar w:fldCharType="end"/>
                </w:r>
                <w:r>
                  <w:rPr>
                    <w:b/>
                    <w:sz w:val="18"/>
                  </w:rPr>
                  <w:t xml:space="preserve"> </w:t>
                </w:r>
                <w:r>
                  <w:rPr>
                    <w:sz w:val="18"/>
                  </w:rPr>
                  <w:t xml:space="preserve">of </w:t>
                </w:r>
                <w:r>
                  <w:rPr>
                    <w:b/>
                    <w:sz w:val="18"/>
                  </w:rPr>
                  <w:t>13</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4C" w:rsidRDefault="00E66E5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3.65pt;margin-top:795.2pt;width:24.8pt;height:13.45pt;z-index:-252049408;mso-position-horizontal-relative:page;mso-position-vertical-relative:page" filled="f" stroked="f">
          <v:textbox inset="0,0,0,0">
            <w:txbxContent>
              <w:p w:rsidR="0095654C" w:rsidRDefault="00E66E58">
                <w:pPr>
                  <w:spacing w:before="19"/>
                  <w:ind w:left="60"/>
                  <w:rPr>
                    <w:sz w:val="20"/>
                  </w:rPr>
                </w:pPr>
                <w:r>
                  <w:fldChar w:fldCharType="begin"/>
                </w:r>
                <w:r>
                  <w:rPr>
                    <w:position w:val="5"/>
                    <w:sz w:val="13"/>
                  </w:rPr>
                  <w:instrText xml:space="preserve"> PAGE </w:instrText>
                </w:r>
                <w:r>
                  <w:fldChar w:fldCharType="separate"/>
                </w:r>
                <w:r w:rsidR="00ED4CFF">
                  <w:rPr>
                    <w:noProof/>
                    <w:position w:val="5"/>
                    <w:sz w:val="13"/>
                  </w:rPr>
                  <w:t>8</w:t>
                </w:r>
                <w:r>
                  <w:fldChar w:fldCharType="end"/>
                </w:r>
                <w:r>
                  <w:rPr>
                    <w:position w:val="5"/>
                    <w:sz w:val="13"/>
                  </w:rPr>
                  <w:t xml:space="preserve"> </w:t>
                </w:r>
                <w:r>
                  <w:rPr>
                    <w:sz w:val="20"/>
                  </w:rPr>
                  <w:t>Ibid.</w:t>
                </w:r>
              </w:p>
            </w:txbxContent>
          </v:textbox>
          <w10:wrap anchorx="page" anchory="page"/>
        </v:shape>
      </w:pict>
    </w:r>
    <w:r>
      <w:pict>
        <v:shape id="_x0000_s2052" type="#_x0000_t202" style="position:absolute;margin-left:275.65pt;margin-top:806.7pt;width:43.8pt;height:12.35pt;z-index:-252048384;mso-position-horizontal-relative:page;mso-position-vertical-relative:page" filled="f" stroked="f">
          <v:textbox inset="0,0,0,0">
            <w:txbxContent>
              <w:p w:rsidR="0095654C" w:rsidRDefault="00E66E58">
                <w:pPr>
                  <w:spacing w:before="19"/>
                  <w:ind w:left="20"/>
                  <w:rPr>
                    <w:b/>
                    <w:sz w:val="18"/>
                  </w:rPr>
                </w:pPr>
                <w:r>
                  <w:rPr>
                    <w:sz w:val="18"/>
                  </w:rPr>
                  <w:t xml:space="preserve">Page </w:t>
                </w:r>
                <w:r>
                  <w:rPr>
                    <w:b/>
                    <w:sz w:val="18"/>
                  </w:rPr>
                  <w:t xml:space="preserve">7 </w:t>
                </w:r>
                <w:r>
                  <w:rPr>
                    <w:sz w:val="18"/>
                  </w:rPr>
                  <w:t xml:space="preserve">of </w:t>
                </w:r>
                <w:r>
                  <w:rPr>
                    <w:b/>
                    <w:sz w:val="18"/>
                  </w:rPr>
                  <w:t>13</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4C" w:rsidRDefault="00E66E58">
    <w:pPr>
      <w:pStyle w:val="BodyText"/>
      <w:spacing w:line="14" w:lineRule="auto"/>
      <w:rPr>
        <w:sz w:val="13"/>
      </w:rPr>
    </w:pPr>
    <w:r>
      <w:pict>
        <v:shapetype id="_x0000_t202" coordsize="21600,21600" o:spt="202" path="m,l,21600r21600,l21600,xe">
          <v:stroke joinstyle="miter"/>
          <v:path gradientshapeok="t" o:connecttype="rect"/>
        </v:shapetype>
        <v:shape id="_x0000_s2051" type="#_x0000_t202" style="position:absolute;margin-left:273.6pt;margin-top:806.7pt;width:47.85pt;height:12.35pt;z-index:-252047360;mso-position-horizontal-relative:page;mso-position-vertical-relative:page" filled="f" stroked="f">
          <v:textbox inset="0,0,0,0">
            <w:txbxContent>
              <w:p w:rsidR="0095654C" w:rsidRDefault="00E66E58">
                <w:pPr>
                  <w:spacing w:before="19"/>
                  <w:ind w:left="20"/>
                  <w:rPr>
                    <w:b/>
                    <w:sz w:val="18"/>
                  </w:rPr>
                </w:pPr>
                <w:r>
                  <w:rPr>
                    <w:sz w:val="18"/>
                  </w:rPr>
                  <w:t xml:space="preserve">Page </w:t>
                </w:r>
                <w:r>
                  <w:fldChar w:fldCharType="begin"/>
                </w:r>
                <w:r>
                  <w:rPr>
                    <w:b/>
                    <w:sz w:val="18"/>
                  </w:rPr>
                  <w:instrText xml:space="preserve"> PAGE </w:instrText>
                </w:r>
                <w:r>
                  <w:fldChar w:fldCharType="separate"/>
                </w:r>
                <w:r w:rsidR="00ED4CFF">
                  <w:rPr>
                    <w:b/>
                    <w:noProof/>
                    <w:sz w:val="18"/>
                  </w:rPr>
                  <w:t>9</w:t>
                </w:r>
                <w:r>
                  <w:fldChar w:fldCharType="end"/>
                </w:r>
                <w:r>
                  <w:rPr>
                    <w:b/>
                    <w:sz w:val="18"/>
                  </w:rPr>
                  <w:t xml:space="preserve"> </w:t>
                </w:r>
                <w:r>
                  <w:rPr>
                    <w:sz w:val="18"/>
                  </w:rPr>
                  <w:t xml:space="preserve">of </w:t>
                </w:r>
                <w:r>
                  <w:rPr>
                    <w:b/>
                    <w:sz w:val="18"/>
                  </w:rPr>
                  <w:t>13</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4C" w:rsidRDefault="00E66E5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73.6pt;margin-top:806.7pt;width:47.85pt;height:12.35pt;z-index:-252046336;mso-position-horizontal-relative:page;mso-position-vertical-relative:page" filled="f" stroked="f">
          <v:textbox inset="0,0,0,0">
            <w:txbxContent>
              <w:p w:rsidR="0095654C" w:rsidRDefault="00E66E58">
                <w:pPr>
                  <w:spacing w:before="19"/>
                  <w:ind w:left="20"/>
                  <w:rPr>
                    <w:b/>
                    <w:sz w:val="18"/>
                  </w:rPr>
                </w:pPr>
                <w:r>
                  <w:rPr>
                    <w:sz w:val="18"/>
                  </w:rPr>
                  <w:t xml:space="preserve">Page </w:t>
                </w:r>
                <w:r>
                  <w:rPr>
                    <w:b/>
                    <w:sz w:val="18"/>
                  </w:rPr>
                  <w:t xml:space="preserve">11 </w:t>
                </w:r>
                <w:r>
                  <w:rPr>
                    <w:sz w:val="18"/>
                  </w:rPr>
                  <w:t xml:space="preserve">of </w:t>
                </w:r>
                <w:r>
                  <w:rPr>
                    <w:b/>
                    <w:sz w:val="18"/>
                  </w:rPr>
                  <w:t>13</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4C" w:rsidRDefault="00E66E58">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73.6pt;margin-top:806.7pt;width:47.85pt;height:12.35pt;z-index:-252045312;mso-position-horizontal-relative:page;mso-position-vertical-relative:page" filled="f" stroked="f">
          <v:textbox inset="0,0,0,0">
            <w:txbxContent>
              <w:p w:rsidR="0095654C" w:rsidRDefault="00E66E58">
                <w:pPr>
                  <w:spacing w:before="19"/>
                  <w:ind w:left="20"/>
                  <w:rPr>
                    <w:b/>
                    <w:sz w:val="18"/>
                  </w:rPr>
                </w:pPr>
                <w:r>
                  <w:rPr>
                    <w:sz w:val="18"/>
                  </w:rPr>
                  <w:t xml:space="preserve">Page </w:t>
                </w:r>
                <w:r>
                  <w:fldChar w:fldCharType="begin"/>
                </w:r>
                <w:r>
                  <w:rPr>
                    <w:b/>
                    <w:sz w:val="18"/>
                  </w:rPr>
                  <w:instrText xml:space="preserve"> PAGE </w:instrText>
                </w:r>
                <w:r>
                  <w:fldChar w:fldCharType="separate"/>
                </w:r>
                <w:r w:rsidR="00ED4CFF">
                  <w:rPr>
                    <w:b/>
                    <w:noProof/>
                    <w:sz w:val="18"/>
                  </w:rPr>
                  <w:t>13</w:t>
                </w:r>
                <w:r>
                  <w:fldChar w:fldCharType="end"/>
                </w:r>
                <w:r>
                  <w:rPr>
                    <w:b/>
                    <w:sz w:val="18"/>
                  </w:rPr>
                  <w:t xml:space="preserve"> </w:t>
                </w:r>
                <w:r>
                  <w:rPr>
                    <w:sz w:val="18"/>
                  </w:rPr>
                  <w:t xml:space="preserve">of </w:t>
                </w:r>
                <w:r>
                  <w:rPr>
                    <w:b/>
                    <w:sz w:val="18"/>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58" w:rsidRDefault="00E66E58">
      <w:r>
        <w:separator/>
      </w:r>
    </w:p>
  </w:footnote>
  <w:footnote w:type="continuationSeparator" w:id="0">
    <w:p w:rsidR="00E66E58" w:rsidRDefault="00E66E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4EBE"/>
    <w:multiLevelType w:val="hybridMultilevel"/>
    <w:tmpl w:val="0D4A2C72"/>
    <w:lvl w:ilvl="0" w:tplc="5650A73E">
      <w:start w:val="1"/>
      <w:numFmt w:val="lowerLetter"/>
      <w:lvlText w:val="(%1)"/>
      <w:lvlJc w:val="left"/>
      <w:pPr>
        <w:ind w:left="1910" w:hanging="360"/>
        <w:jc w:val="left"/>
      </w:pPr>
      <w:rPr>
        <w:rFonts w:ascii="Arial Narrow" w:eastAsia="Arial Narrow" w:hAnsi="Arial Narrow" w:cs="Arial Narrow" w:hint="default"/>
        <w:i/>
        <w:spacing w:val="-4"/>
        <w:w w:val="100"/>
        <w:sz w:val="24"/>
        <w:szCs w:val="24"/>
        <w:lang w:val="en-ZA" w:eastAsia="en-ZA" w:bidi="en-ZA"/>
      </w:rPr>
    </w:lvl>
    <w:lvl w:ilvl="1" w:tplc="9DA2CF7C">
      <w:numFmt w:val="bullet"/>
      <w:lvlText w:val="•"/>
      <w:lvlJc w:val="left"/>
      <w:pPr>
        <w:ind w:left="2714" w:hanging="360"/>
      </w:pPr>
      <w:rPr>
        <w:rFonts w:hint="default"/>
        <w:lang w:val="en-ZA" w:eastAsia="en-ZA" w:bidi="en-ZA"/>
      </w:rPr>
    </w:lvl>
    <w:lvl w:ilvl="2" w:tplc="6852A09C">
      <w:numFmt w:val="bullet"/>
      <w:lvlText w:val="•"/>
      <w:lvlJc w:val="left"/>
      <w:pPr>
        <w:ind w:left="3509" w:hanging="360"/>
      </w:pPr>
      <w:rPr>
        <w:rFonts w:hint="default"/>
        <w:lang w:val="en-ZA" w:eastAsia="en-ZA" w:bidi="en-ZA"/>
      </w:rPr>
    </w:lvl>
    <w:lvl w:ilvl="3" w:tplc="00DC4488">
      <w:numFmt w:val="bullet"/>
      <w:lvlText w:val="•"/>
      <w:lvlJc w:val="left"/>
      <w:pPr>
        <w:ind w:left="4303" w:hanging="360"/>
      </w:pPr>
      <w:rPr>
        <w:rFonts w:hint="default"/>
        <w:lang w:val="en-ZA" w:eastAsia="en-ZA" w:bidi="en-ZA"/>
      </w:rPr>
    </w:lvl>
    <w:lvl w:ilvl="4" w:tplc="8E16668A">
      <w:numFmt w:val="bullet"/>
      <w:lvlText w:val="•"/>
      <w:lvlJc w:val="left"/>
      <w:pPr>
        <w:ind w:left="5098" w:hanging="360"/>
      </w:pPr>
      <w:rPr>
        <w:rFonts w:hint="default"/>
        <w:lang w:val="en-ZA" w:eastAsia="en-ZA" w:bidi="en-ZA"/>
      </w:rPr>
    </w:lvl>
    <w:lvl w:ilvl="5" w:tplc="458C6EA2">
      <w:numFmt w:val="bullet"/>
      <w:lvlText w:val="•"/>
      <w:lvlJc w:val="left"/>
      <w:pPr>
        <w:ind w:left="5893" w:hanging="360"/>
      </w:pPr>
      <w:rPr>
        <w:rFonts w:hint="default"/>
        <w:lang w:val="en-ZA" w:eastAsia="en-ZA" w:bidi="en-ZA"/>
      </w:rPr>
    </w:lvl>
    <w:lvl w:ilvl="6" w:tplc="BD46B890">
      <w:numFmt w:val="bullet"/>
      <w:lvlText w:val="•"/>
      <w:lvlJc w:val="left"/>
      <w:pPr>
        <w:ind w:left="6687" w:hanging="360"/>
      </w:pPr>
      <w:rPr>
        <w:rFonts w:hint="default"/>
        <w:lang w:val="en-ZA" w:eastAsia="en-ZA" w:bidi="en-ZA"/>
      </w:rPr>
    </w:lvl>
    <w:lvl w:ilvl="7" w:tplc="0428CA54">
      <w:numFmt w:val="bullet"/>
      <w:lvlText w:val="•"/>
      <w:lvlJc w:val="left"/>
      <w:pPr>
        <w:ind w:left="7482" w:hanging="360"/>
      </w:pPr>
      <w:rPr>
        <w:rFonts w:hint="default"/>
        <w:lang w:val="en-ZA" w:eastAsia="en-ZA" w:bidi="en-ZA"/>
      </w:rPr>
    </w:lvl>
    <w:lvl w:ilvl="8" w:tplc="6C2C5798">
      <w:numFmt w:val="bullet"/>
      <w:lvlText w:val="•"/>
      <w:lvlJc w:val="left"/>
      <w:pPr>
        <w:ind w:left="8277" w:hanging="360"/>
      </w:pPr>
      <w:rPr>
        <w:rFonts w:hint="default"/>
        <w:lang w:val="en-ZA" w:eastAsia="en-ZA" w:bidi="en-ZA"/>
      </w:rPr>
    </w:lvl>
  </w:abstractNum>
  <w:abstractNum w:abstractNumId="1" w15:restartNumberingAfterBreak="0">
    <w:nsid w:val="18F21FDB"/>
    <w:multiLevelType w:val="multilevel"/>
    <w:tmpl w:val="D8A00D3C"/>
    <w:lvl w:ilvl="0">
      <w:start w:val="1"/>
      <w:numFmt w:val="decimal"/>
      <w:lvlText w:val="%1."/>
      <w:lvlJc w:val="left"/>
      <w:pPr>
        <w:ind w:left="679" w:hanging="567"/>
        <w:jc w:val="left"/>
      </w:pPr>
      <w:rPr>
        <w:rFonts w:hint="default"/>
        <w:spacing w:val="-9"/>
        <w:w w:val="100"/>
        <w:lang w:val="en-ZA" w:eastAsia="en-ZA" w:bidi="en-ZA"/>
      </w:rPr>
    </w:lvl>
    <w:lvl w:ilvl="1">
      <w:start w:val="1"/>
      <w:numFmt w:val="decimal"/>
      <w:lvlText w:val="%1.%2."/>
      <w:lvlJc w:val="left"/>
      <w:pPr>
        <w:ind w:left="1553" w:hanging="874"/>
        <w:jc w:val="left"/>
      </w:pPr>
      <w:rPr>
        <w:rFonts w:hint="default"/>
        <w:spacing w:val="-2"/>
        <w:w w:val="100"/>
        <w:lang w:val="en-ZA" w:eastAsia="en-ZA" w:bidi="en-ZA"/>
      </w:rPr>
    </w:lvl>
    <w:lvl w:ilvl="2">
      <w:numFmt w:val="bullet"/>
      <w:lvlText w:val="•"/>
      <w:lvlJc w:val="left"/>
      <w:pPr>
        <w:ind w:left="2482" w:hanging="874"/>
      </w:pPr>
      <w:rPr>
        <w:rFonts w:hint="default"/>
        <w:lang w:val="en-ZA" w:eastAsia="en-ZA" w:bidi="en-ZA"/>
      </w:rPr>
    </w:lvl>
    <w:lvl w:ilvl="3">
      <w:numFmt w:val="bullet"/>
      <w:lvlText w:val="•"/>
      <w:lvlJc w:val="left"/>
      <w:pPr>
        <w:ind w:left="3405" w:hanging="874"/>
      </w:pPr>
      <w:rPr>
        <w:rFonts w:hint="default"/>
        <w:lang w:val="en-ZA" w:eastAsia="en-ZA" w:bidi="en-ZA"/>
      </w:rPr>
    </w:lvl>
    <w:lvl w:ilvl="4">
      <w:numFmt w:val="bullet"/>
      <w:lvlText w:val="•"/>
      <w:lvlJc w:val="left"/>
      <w:pPr>
        <w:ind w:left="4328" w:hanging="874"/>
      </w:pPr>
      <w:rPr>
        <w:rFonts w:hint="default"/>
        <w:lang w:val="en-ZA" w:eastAsia="en-ZA" w:bidi="en-ZA"/>
      </w:rPr>
    </w:lvl>
    <w:lvl w:ilvl="5">
      <w:numFmt w:val="bullet"/>
      <w:lvlText w:val="•"/>
      <w:lvlJc w:val="left"/>
      <w:pPr>
        <w:ind w:left="5251" w:hanging="874"/>
      </w:pPr>
      <w:rPr>
        <w:rFonts w:hint="default"/>
        <w:lang w:val="en-ZA" w:eastAsia="en-ZA" w:bidi="en-ZA"/>
      </w:rPr>
    </w:lvl>
    <w:lvl w:ilvl="6">
      <w:numFmt w:val="bullet"/>
      <w:lvlText w:val="•"/>
      <w:lvlJc w:val="left"/>
      <w:pPr>
        <w:ind w:left="6174" w:hanging="874"/>
      </w:pPr>
      <w:rPr>
        <w:rFonts w:hint="default"/>
        <w:lang w:val="en-ZA" w:eastAsia="en-ZA" w:bidi="en-ZA"/>
      </w:rPr>
    </w:lvl>
    <w:lvl w:ilvl="7">
      <w:numFmt w:val="bullet"/>
      <w:lvlText w:val="•"/>
      <w:lvlJc w:val="left"/>
      <w:pPr>
        <w:ind w:left="7097" w:hanging="874"/>
      </w:pPr>
      <w:rPr>
        <w:rFonts w:hint="default"/>
        <w:lang w:val="en-ZA" w:eastAsia="en-ZA" w:bidi="en-ZA"/>
      </w:rPr>
    </w:lvl>
    <w:lvl w:ilvl="8">
      <w:numFmt w:val="bullet"/>
      <w:lvlText w:val="•"/>
      <w:lvlJc w:val="left"/>
      <w:pPr>
        <w:ind w:left="8020" w:hanging="874"/>
      </w:pPr>
      <w:rPr>
        <w:rFonts w:hint="default"/>
        <w:lang w:val="en-ZA" w:eastAsia="en-ZA" w:bidi="en-ZA"/>
      </w:rPr>
    </w:lvl>
  </w:abstractNum>
  <w:abstractNum w:abstractNumId="2" w15:restartNumberingAfterBreak="0">
    <w:nsid w:val="1AFC5D47"/>
    <w:multiLevelType w:val="multilevel"/>
    <w:tmpl w:val="00063C18"/>
    <w:lvl w:ilvl="0">
      <w:start w:val="9"/>
      <w:numFmt w:val="decimal"/>
      <w:lvlText w:val="%1"/>
      <w:lvlJc w:val="left"/>
      <w:pPr>
        <w:ind w:left="1337" w:hanging="658"/>
        <w:jc w:val="left"/>
      </w:pPr>
      <w:rPr>
        <w:rFonts w:hint="default"/>
        <w:lang w:val="en-ZA" w:eastAsia="en-ZA" w:bidi="en-ZA"/>
      </w:rPr>
    </w:lvl>
    <w:lvl w:ilvl="1">
      <w:start w:val="1"/>
      <w:numFmt w:val="decimal"/>
      <w:lvlText w:val="%1.%2"/>
      <w:lvlJc w:val="left"/>
      <w:pPr>
        <w:ind w:left="1337" w:hanging="658"/>
        <w:jc w:val="left"/>
      </w:pPr>
      <w:rPr>
        <w:rFonts w:hint="default"/>
        <w:lang w:val="en-ZA" w:eastAsia="en-ZA" w:bidi="en-ZA"/>
      </w:rPr>
    </w:lvl>
    <w:lvl w:ilvl="2">
      <w:start w:val="1"/>
      <w:numFmt w:val="decimal"/>
      <w:lvlText w:val="%1.%2.%3."/>
      <w:lvlJc w:val="left"/>
      <w:pPr>
        <w:ind w:left="1337" w:hanging="658"/>
        <w:jc w:val="left"/>
      </w:pPr>
      <w:rPr>
        <w:rFonts w:ascii="Arial Narrow" w:eastAsia="Arial Narrow" w:hAnsi="Arial Narrow" w:cs="Arial Narrow" w:hint="default"/>
        <w:spacing w:val="-4"/>
        <w:w w:val="100"/>
        <w:sz w:val="24"/>
        <w:szCs w:val="24"/>
        <w:lang w:val="en-ZA" w:eastAsia="en-ZA" w:bidi="en-ZA"/>
      </w:rPr>
    </w:lvl>
    <w:lvl w:ilvl="3">
      <w:numFmt w:val="bullet"/>
      <w:lvlText w:val="•"/>
      <w:lvlJc w:val="left"/>
      <w:pPr>
        <w:ind w:left="3897" w:hanging="658"/>
      </w:pPr>
      <w:rPr>
        <w:rFonts w:hint="default"/>
        <w:lang w:val="en-ZA" w:eastAsia="en-ZA" w:bidi="en-ZA"/>
      </w:rPr>
    </w:lvl>
    <w:lvl w:ilvl="4">
      <w:numFmt w:val="bullet"/>
      <w:lvlText w:val="•"/>
      <w:lvlJc w:val="left"/>
      <w:pPr>
        <w:ind w:left="4750" w:hanging="658"/>
      </w:pPr>
      <w:rPr>
        <w:rFonts w:hint="default"/>
        <w:lang w:val="en-ZA" w:eastAsia="en-ZA" w:bidi="en-ZA"/>
      </w:rPr>
    </w:lvl>
    <w:lvl w:ilvl="5">
      <w:numFmt w:val="bullet"/>
      <w:lvlText w:val="•"/>
      <w:lvlJc w:val="left"/>
      <w:pPr>
        <w:ind w:left="5603" w:hanging="658"/>
      </w:pPr>
      <w:rPr>
        <w:rFonts w:hint="default"/>
        <w:lang w:val="en-ZA" w:eastAsia="en-ZA" w:bidi="en-ZA"/>
      </w:rPr>
    </w:lvl>
    <w:lvl w:ilvl="6">
      <w:numFmt w:val="bullet"/>
      <w:lvlText w:val="•"/>
      <w:lvlJc w:val="left"/>
      <w:pPr>
        <w:ind w:left="6455" w:hanging="658"/>
      </w:pPr>
      <w:rPr>
        <w:rFonts w:hint="default"/>
        <w:lang w:val="en-ZA" w:eastAsia="en-ZA" w:bidi="en-ZA"/>
      </w:rPr>
    </w:lvl>
    <w:lvl w:ilvl="7">
      <w:numFmt w:val="bullet"/>
      <w:lvlText w:val="•"/>
      <w:lvlJc w:val="left"/>
      <w:pPr>
        <w:ind w:left="7308" w:hanging="658"/>
      </w:pPr>
      <w:rPr>
        <w:rFonts w:hint="default"/>
        <w:lang w:val="en-ZA" w:eastAsia="en-ZA" w:bidi="en-ZA"/>
      </w:rPr>
    </w:lvl>
    <w:lvl w:ilvl="8">
      <w:numFmt w:val="bullet"/>
      <w:lvlText w:val="•"/>
      <w:lvlJc w:val="left"/>
      <w:pPr>
        <w:ind w:left="8161" w:hanging="658"/>
      </w:pPr>
      <w:rPr>
        <w:rFonts w:hint="default"/>
        <w:lang w:val="en-ZA" w:eastAsia="en-ZA" w:bidi="en-ZA"/>
      </w:rPr>
    </w:lvl>
  </w:abstractNum>
  <w:abstractNum w:abstractNumId="3" w15:restartNumberingAfterBreak="0">
    <w:nsid w:val="26792104"/>
    <w:multiLevelType w:val="hybridMultilevel"/>
    <w:tmpl w:val="7D5A4CB6"/>
    <w:lvl w:ilvl="0" w:tplc="3B3855AE">
      <w:start w:val="2"/>
      <w:numFmt w:val="decimal"/>
      <w:lvlText w:val="(%1)"/>
      <w:lvlJc w:val="left"/>
      <w:pPr>
        <w:ind w:left="984" w:hanging="305"/>
        <w:jc w:val="right"/>
      </w:pPr>
      <w:rPr>
        <w:rFonts w:hint="default"/>
        <w:i/>
        <w:w w:val="100"/>
        <w:lang w:val="en-ZA" w:eastAsia="en-ZA" w:bidi="en-ZA"/>
      </w:rPr>
    </w:lvl>
    <w:lvl w:ilvl="1" w:tplc="858482C0">
      <w:start w:val="1"/>
      <w:numFmt w:val="lowerLetter"/>
      <w:lvlText w:val="(%2)"/>
      <w:lvlJc w:val="left"/>
      <w:pPr>
        <w:ind w:left="2568" w:hanging="296"/>
        <w:jc w:val="left"/>
      </w:pPr>
      <w:rPr>
        <w:rFonts w:ascii="Arial Narrow" w:eastAsia="Arial Narrow" w:hAnsi="Arial Narrow" w:cs="Arial Narrow" w:hint="default"/>
        <w:i/>
        <w:spacing w:val="-3"/>
        <w:w w:val="100"/>
        <w:sz w:val="24"/>
        <w:szCs w:val="24"/>
        <w:lang w:val="en-ZA" w:eastAsia="en-ZA" w:bidi="en-ZA"/>
      </w:rPr>
    </w:lvl>
    <w:lvl w:ilvl="2" w:tplc="6A104FF4">
      <w:numFmt w:val="bullet"/>
      <w:lvlText w:val="•"/>
      <w:lvlJc w:val="left"/>
      <w:pPr>
        <w:ind w:left="2560" w:hanging="296"/>
      </w:pPr>
      <w:rPr>
        <w:rFonts w:hint="default"/>
        <w:lang w:val="en-ZA" w:eastAsia="en-ZA" w:bidi="en-ZA"/>
      </w:rPr>
    </w:lvl>
    <w:lvl w:ilvl="3" w:tplc="BF9659EA">
      <w:numFmt w:val="bullet"/>
      <w:lvlText w:val="•"/>
      <w:lvlJc w:val="left"/>
      <w:pPr>
        <w:ind w:left="3473" w:hanging="296"/>
      </w:pPr>
      <w:rPr>
        <w:rFonts w:hint="default"/>
        <w:lang w:val="en-ZA" w:eastAsia="en-ZA" w:bidi="en-ZA"/>
      </w:rPr>
    </w:lvl>
    <w:lvl w:ilvl="4" w:tplc="CCA6A290">
      <w:numFmt w:val="bullet"/>
      <w:lvlText w:val="•"/>
      <w:lvlJc w:val="left"/>
      <w:pPr>
        <w:ind w:left="4386" w:hanging="296"/>
      </w:pPr>
      <w:rPr>
        <w:rFonts w:hint="default"/>
        <w:lang w:val="en-ZA" w:eastAsia="en-ZA" w:bidi="en-ZA"/>
      </w:rPr>
    </w:lvl>
    <w:lvl w:ilvl="5" w:tplc="02D872FE">
      <w:numFmt w:val="bullet"/>
      <w:lvlText w:val="•"/>
      <w:lvlJc w:val="left"/>
      <w:pPr>
        <w:ind w:left="5299" w:hanging="296"/>
      </w:pPr>
      <w:rPr>
        <w:rFonts w:hint="default"/>
        <w:lang w:val="en-ZA" w:eastAsia="en-ZA" w:bidi="en-ZA"/>
      </w:rPr>
    </w:lvl>
    <w:lvl w:ilvl="6" w:tplc="0B86513E">
      <w:numFmt w:val="bullet"/>
      <w:lvlText w:val="•"/>
      <w:lvlJc w:val="left"/>
      <w:pPr>
        <w:ind w:left="6213" w:hanging="296"/>
      </w:pPr>
      <w:rPr>
        <w:rFonts w:hint="default"/>
        <w:lang w:val="en-ZA" w:eastAsia="en-ZA" w:bidi="en-ZA"/>
      </w:rPr>
    </w:lvl>
    <w:lvl w:ilvl="7" w:tplc="18004144">
      <w:numFmt w:val="bullet"/>
      <w:lvlText w:val="•"/>
      <w:lvlJc w:val="left"/>
      <w:pPr>
        <w:ind w:left="7126" w:hanging="296"/>
      </w:pPr>
      <w:rPr>
        <w:rFonts w:hint="default"/>
        <w:lang w:val="en-ZA" w:eastAsia="en-ZA" w:bidi="en-ZA"/>
      </w:rPr>
    </w:lvl>
    <w:lvl w:ilvl="8" w:tplc="1C3C7A38">
      <w:numFmt w:val="bullet"/>
      <w:lvlText w:val="•"/>
      <w:lvlJc w:val="left"/>
      <w:pPr>
        <w:ind w:left="8039" w:hanging="296"/>
      </w:pPr>
      <w:rPr>
        <w:rFonts w:hint="default"/>
        <w:lang w:val="en-ZA" w:eastAsia="en-ZA" w:bidi="en-ZA"/>
      </w:rPr>
    </w:lvl>
  </w:abstractNum>
  <w:abstractNum w:abstractNumId="4" w15:restartNumberingAfterBreak="0">
    <w:nsid w:val="5E12304A"/>
    <w:multiLevelType w:val="hybridMultilevel"/>
    <w:tmpl w:val="790EA7EC"/>
    <w:lvl w:ilvl="0" w:tplc="8EDCF476">
      <w:start w:val="1"/>
      <w:numFmt w:val="lowerRoman"/>
      <w:lvlText w:val="(%1)"/>
      <w:lvlJc w:val="left"/>
      <w:pPr>
        <w:ind w:left="1553" w:hanging="720"/>
        <w:jc w:val="left"/>
      </w:pPr>
      <w:rPr>
        <w:rFonts w:ascii="Arial Narrow" w:eastAsia="Arial Narrow" w:hAnsi="Arial Narrow" w:cs="Arial Narrow" w:hint="default"/>
        <w:spacing w:val="-4"/>
        <w:w w:val="100"/>
        <w:sz w:val="24"/>
        <w:szCs w:val="24"/>
        <w:lang w:val="en-ZA" w:eastAsia="en-ZA" w:bidi="en-ZA"/>
      </w:rPr>
    </w:lvl>
    <w:lvl w:ilvl="1" w:tplc="E16EC1AC">
      <w:numFmt w:val="bullet"/>
      <w:lvlText w:val="•"/>
      <w:lvlJc w:val="left"/>
      <w:pPr>
        <w:ind w:left="2390" w:hanging="720"/>
      </w:pPr>
      <w:rPr>
        <w:rFonts w:hint="default"/>
        <w:lang w:val="en-ZA" w:eastAsia="en-ZA" w:bidi="en-ZA"/>
      </w:rPr>
    </w:lvl>
    <w:lvl w:ilvl="2" w:tplc="6AE2FE84">
      <w:numFmt w:val="bullet"/>
      <w:lvlText w:val="•"/>
      <w:lvlJc w:val="left"/>
      <w:pPr>
        <w:ind w:left="3221" w:hanging="720"/>
      </w:pPr>
      <w:rPr>
        <w:rFonts w:hint="default"/>
        <w:lang w:val="en-ZA" w:eastAsia="en-ZA" w:bidi="en-ZA"/>
      </w:rPr>
    </w:lvl>
    <w:lvl w:ilvl="3" w:tplc="A87898C8">
      <w:numFmt w:val="bullet"/>
      <w:lvlText w:val="•"/>
      <w:lvlJc w:val="left"/>
      <w:pPr>
        <w:ind w:left="4051" w:hanging="720"/>
      </w:pPr>
      <w:rPr>
        <w:rFonts w:hint="default"/>
        <w:lang w:val="en-ZA" w:eastAsia="en-ZA" w:bidi="en-ZA"/>
      </w:rPr>
    </w:lvl>
    <w:lvl w:ilvl="4" w:tplc="A0C65F86">
      <w:numFmt w:val="bullet"/>
      <w:lvlText w:val="•"/>
      <w:lvlJc w:val="left"/>
      <w:pPr>
        <w:ind w:left="4882" w:hanging="720"/>
      </w:pPr>
      <w:rPr>
        <w:rFonts w:hint="default"/>
        <w:lang w:val="en-ZA" w:eastAsia="en-ZA" w:bidi="en-ZA"/>
      </w:rPr>
    </w:lvl>
    <w:lvl w:ilvl="5" w:tplc="125249F4">
      <w:numFmt w:val="bullet"/>
      <w:lvlText w:val="•"/>
      <w:lvlJc w:val="left"/>
      <w:pPr>
        <w:ind w:left="5713" w:hanging="720"/>
      </w:pPr>
      <w:rPr>
        <w:rFonts w:hint="default"/>
        <w:lang w:val="en-ZA" w:eastAsia="en-ZA" w:bidi="en-ZA"/>
      </w:rPr>
    </w:lvl>
    <w:lvl w:ilvl="6" w:tplc="69A450C4">
      <w:numFmt w:val="bullet"/>
      <w:lvlText w:val="•"/>
      <w:lvlJc w:val="left"/>
      <w:pPr>
        <w:ind w:left="6543" w:hanging="720"/>
      </w:pPr>
      <w:rPr>
        <w:rFonts w:hint="default"/>
        <w:lang w:val="en-ZA" w:eastAsia="en-ZA" w:bidi="en-ZA"/>
      </w:rPr>
    </w:lvl>
    <w:lvl w:ilvl="7" w:tplc="FD5069C8">
      <w:numFmt w:val="bullet"/>
      <w:lvlText w:val="•"/>
      <w:lvlJc w:val="left"/>
      <w:pPr>
        <w:ind w:left="7374" w:hanging="720"/>
      </w:pPr>
      <w:rPr>
        <w:rFonts w:hint="default"/>
        <w:lang w:val="en-ZA" w:eastAsia="en-ZA" w:bidi="en-ZA"/>
      </w:rPr>
    </w:lvl>
    <w:lvl w:ilvl="8" w:tplc="BF8034FE">
      <w:numFmt w:val="bullet"/>
      <w:lvlText w:val="•"/>
      <w:lvlJc w:val="left"/>
      <w:pPr>
        <w:ind w:left="8205" w:hanging="720"/>
      </w:pPr>
      <w:rPr>
        <w:rFonts w:hint="default"/>
        <w:lang w:val="en-ZA" w:eastAsia="en-ZA" w:bidi="en-Z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5654C"/>
    <w:rsid w:val="0095654C"/>
    <w:rsid w:val="00E66E58"/>
    <w:rsid w:val="00ED4C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FEF8383-A38C-4721-94EB-1CEE6455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lii.org/za/cases/ZASCA/1984/51.rt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4547</Words>
  <Characters>25923</Characters>
  <Application>Microsoft Office Word</Application>
  <DocSecurity>0</DocSecurity>
  <Lines>216</Lines>
  <Paragraphs>60</Paragraphs>
  <ScaleCrop>false</ScaleCrop>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Burger</dc:creator>
  <cp:lastModifiedBy>Mary Bruce</cp:lastModifiedBy>
  <cp:revision>2</cp:revision>
  <dcterms:created xsi:type="dcterms:W3CDTF">2023-04-13T08:25:00Z</dcterms:created>
  <dcterms:modified xsi:type="dcterms:W3CDTF">2023-07-05T08:51:00Z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for Microsoft 365</vt:lpwstr>
  </property>
  <property fmtid="{D5CDD505-2E9C-101B-9397-08002B2CF9AE}" pid="4" name="LastSaved">
    <vt:filetime>2023-04-13T00:00:00Z</vt:filetime>
  </property>
</Properties>
</file>