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9B" w:rsidRDefault="004835F8">
      <w:pPr>
        <w:pStyle w:val="Heading1"/>
        <w:spacing w:before="76" w:line="360" w:lineRule="auto"/>
        <w:ind w:left="3463" w:right="2814" w:hanging="1201"/>
      </w:pPr>
      <w:bookmarkStart w:id="0" w:name="_GoBack"/>
      <w:bookmarkEnd w:id="0"/>
      <w:r>
        <w:t>IN THE NATIONAL CONSUMER TRIBUNAL HELD IN CENTURION</w:t>
      </w:r>
    </w:p>
    <w:p w:rsidR="0049439B" w:rsidRDefault="0049439B">
      <w:pPr>
        <w:pStyle w:val="BodyText"/>
        <w:spacing w:before="11"/>
        <w:rPr>
          <w:b/>
          <w:sz w:val="35"/>
        </w:rPr>
      </w:pPr>
    </w:p>
    <w:p w:rsidR="0049439B" w:rsidRDefault="004835F8">
      <w:pPr>
        <w:ind w:left="3590"/>
        <w:rPr>
          <w:b/>
          <w:sz w:val="24"/>
        </w:rPr>
      </w:pPr>
      <w:r>
        <w:rPr>
          <w:sz w:val="24"/>
        </w:rPr>
        <w:t xml:space="preserve">Case Number: </w:t>
      </w:r>
      <w:r>
        <w:rPr>
          <w:b/>
          <w:sz w:val="24"/>
        </w:rPr>
        <w:t>NCT/229976/2022/75(1)(b) CPA – Rule 34</w:t>
      </w:r>
    </w:p>
    <w:p w:rsidR="0049439B" w:rsidRDefault="0049439B">
      <w:pPr>
        <w:pStyle w:val="BodyText"/>
        <w:rPr>
          <w:b/>
          <w:sz w:val="26"/>
        </w:rPr>
      </w:pPr>
    </w:p>
    <w:p w:rsidR="0049439B" w:rsidRDefault="0049439B">
      <w:pPr>
        <w:pStyle w:val="BodyText"/>
        <w:rPr>
          <w:b/>
          <w:sz w:val="26"/>
        </w:rPr>
      </w:pPr>
    </w:p>
    <w:p w:rsidR="0049439B" w:rsidRDefault="004835F8">
      <w:pPr>
        <w:pStyle w:val="BodyText"/>
        <w:spacing w:before="194"/>
        <w:ind w:left="152"/>
      </w:pPr>
      <w:r>
        <w:t>In the matter between:</w:t>
      </w:r>
    </w:p>
    <w:p w:rsidR="0049439B" w:rsidRDefault="0049439B">
      <w:pPr>
        <w:pStyle w:val="BodyText"/>
        <w:rPr>
          <w:sz w:val="33"/>
        </w:rPr>
      </w:pPr>
    </w:p>
    <w:p w:rsidR="0049439B" w:rsidRDefault="004835F8">
      <w:pPr>
        <w:tabs>
          <w:tab w:val="left" w:pos="6634"/>
        </w:tabs>
        <w:ind w:left="152"/>
        <w:rPr>
          <w:sz w:val="24"/>
        </w:rPr>
      </w:pPr>
      <w:r>
        <w:rPr>
          <w:b/>
          <w:sz w:val="24"/>
        </w:rPr>
        <w:t>CHRISCHENDO</w:t>
      </w:r>
      <w:r>
        <w:rPr>
          <w:b/>
          <w:spacing w:val="-2"/>
          <w:sz w:val="24"/>
        </w:rPr>
        <w:t xml:space="preserve"> </w:t>
      </w:r>
      <w:r>
        <w:rPr>
          <w:b/>
          <w:sz w:val="24"/>
        </w:rPr>
        <w:t>KENNEDY</w:t>
      </w:r>
      <w:r>
        <w:rPr>
          <w:b/>
          <w:sz w:val="24"/>
        </w:rPr>
        <w:tab/>
      </w:r>
      <w:r>
        <w:rPr>
          <w:sz w:val="24"/>
        </w:rPr>
        <w:t>APPLICANT</w:t>
      </w:r>
    </w:p>
    <w:p w:rsidR="0049439B" w:rsidRDefault="0049439B">
      <w:pPr>
        <w:pStyle w:val="BodyText"/>
        <w:spacing w:before="8"/>
        <w:rPr>
          <w:sz w:val="32"/>
        </w:rPr>
      </w:pPr>
    </w:p>
    <w:p w:rsidR="0049439B" w:rsidRDefault="004835F8">
      <w:pPr>
        <w:pStyle w:val="BodyText"/>
        <w:spacing w:before="1"/>
        <w:ind w:left="152"/>
      </w:pPr>
      <w:r>
        <w:t>and</w:t>
      </w:r>
    </w:p>
    <w:p w:rsidR="0049439B" w:rsidRDefault="0049439B">
      <w:pPr>
        <w:pStyle w:val="BodyText"/>
        <w:rPr>
          <w:sz w:val="33"/>
        </w:rPr>
      </w:pPr>
    </w:p>
    <w:p w:rsidR="0049439B" w:rsidRDefault="004835F8">
      <w:pPr>
        <w:tabs>
          <w:tab w:val="left" w:pos="6634"/>
        </w:tabs>
        <w:ind w:left="152"/>
        <w:rPr>
          <w:sz w:val="24"/>
        </w:rPr>
      </w:pPr>
      <w:r>
        <w:rPr>
          <w:b/>
          <w:sz w:val="24"/>
        </w:rPr>
        <w:t>WINMAC SERVICE</w:t>
      </w:r>
      <w:r>
        <w:rPr>
          <w:b/>
          <w:spacing w:val="-2"/>
          <w:sz w:val="24"/>
        </w:rPr>
        <w:t xml:space="preserve"> </w:t>
      </w:r>
      <w:r>
        <w:rPr>
          <w:b/>
          <w:sz w:val="24"/>
        </w:rPr>
        <w:t>CENTRE</w:t>
      </w:r>
      <w:r>
        <w:rPr>
          <w:b/>
          <w:spacing w:val="1"/>
          <w:sz w:val="24"/>
        </w:rPr>
        <w:t xml:space="preserve"> </w:t>
      </w:r>
      <w:r>
        <w:rPr>
          <w:b/>
          <w:sz w:val="24"/>
        </w:rPr>
        <w:t>CC</w:t>
      </w:r>
      <w:r>
        <w:rPr>
          <w:b/>
          <w:sz w:val="24"/>
        </w:rPr>
        <w:tab/>
      </w:r>
      <w:r>
        <w:rPr>
          <w:sz w:val="24"/>
        </w:rPr>
        <w:t>RESPONDENT</w:t>
      </w:r>
    </w:p>
    <w:p w:rsidR="0049439B" w:rsidRDefault="0049439B">
      <w:pPr>
        <w:pStyle w:val="BodyText"/>
        <w:spacing w:before="9"/>
        <w:rPr>
          <w:sz w:val="32"/>
        </w:rPr>
      </w:pPr>
    </w:p>
    <w:p w:rsidR="0049439B" w:rsidRDefault="004835F8">
      <w:pPr>
        <w:ind w:left="152"/>
        <w:rPr>
          <w:i/>
          <w:sz w:val="24"/>
        </w:rPr>
      </w:pPr>
      <w:r>
        <w:rPr>
          <w:i/>
          <w:sz w:val="24"/>
          <w:u w:val="single"/>
        </w:rPr>
        <w:t>Coram:</w:t>
      </w:r>
    </w:p>
    <w:p w:rsidR="0049439B" w:rsidRDefault="0049439B">
      <w:pPr>
        <w:pStyle w:val="BodyText"/>
        <w:spacing w:before="11"/>
        <w:rPr>
          <w:i/>
        </w:rPr>
      </w:pPr>
    </w:p>
    <w:p w:rsidR="0049439B" w:rsidRDefault="004835F8">
      <w:pPr>
        <w:pStyle w:val="BodyText"/>
        <w:tabs>
          <w:tab w:val="left" w:pos="3100"/>
        </w:tabs>
        <w:spacing w:before="92"/>
        <w:ind w:left="152"/>
      </w:pPr>
      <w:r>
        <w:t>Adv</w:t>
      </w:r>
      <w:r>
        <w:rPr>
          <w:spacing w:val="-2"/>
        </w:rPr>
        <w:t xml:space="preserve"> </w:t>
      </w:r>
      <w:r>
        <w:t>J</w:t>
      </w:r>
      <w:r>
        <w:rPr>
          <w:spacing w:val="-1"/>
        </w:rPr>
        <w:t xml:space="preserve"> </w:t>
      </w:r>
      <w:r>
        <w:t>Simpson</w:t>
      </w:r>
      <w:r>
        <w:tab/>
        <w:t>– Presiding Tribunal</w:t>
      </w:r>
      <w:r>
        <w:rPr>
          <w:spacing w:val="1"/>
        </w:rPr>
        <w:t xml:space="preserve"> </w:t>
      </w:r>
      <w:r>
        <w:t>member</w:t>
      </w:r>
    </w:p>
    <w:p w:rsidR="0049439B" w:rsidRDefault="0049439B">
      <w:pPr>
        <w:pStyle w:val="BodyText"/>
        <w:rPr>
          <w:sz w:val="20"/>
        </w:rPr>
      </w:pPr>
    </w:p>
    <w:p w:rsidR="0049439B" w:rsidRDefault="0049439B">
      <w:pPr>
        <w:pStyle w:val="BodyText"/>
        <w:rPr>
          <w:sz w:val="20"/>
        </w:rPr>
      </w:pPr>
    </w:p>
    <w:p w:rsidR="0049439B" w:rsidRDefault="0049439B">
      <w:pPr>
        <w:pStyle w:val="BodyText"/>
        <w:rPr>
          <w:sz w:val="20"/>
        </w:rPr>
      </w:pPr>
    </w:p>
    <w:p w:rsidR="0049439B" w:rsidRDefault="004835F8">
      <w:pPr>
        <w:pStyle w:val="BodyText"/>
        <w:spacing w:before="6"/>
        <w:rPr>
          <w:sz w:val="26"/>
        </w:rPr>
      </w:pPr>
      <w:r>
        <w:pict>
          <v:shapetype id="_x0000_t202" coordsize="21600,21600" o:spt="202" path="m,l,21600r21600,l21600,xe">
            <v:stroke joinstyle="miter"/>
            <v:path gradientshapeok="t" o:connecttype="rect"/>
          </v:shapetype>
          <v:shape id="_x0000_s1029" type="#_x0000_t202" style="position:absolute;margin-left:54.7pt;margin-top:17.7pt;width:486.5pt;height:59.2pt;z-index:-251658240;mso-wrap-distance-left:0;mso-wrap-distance-right:0;mso-position-horizontal-relative:page" filled="f" strokeweight=".96pt">
            <v:textbox inset="0,0,0,0">
              <w:txbxContent>
                <w:p w:rsidR="0049439B" w:rsidRDefault="004835F8">
                  <w:pPr>
                    <w:spacing w:before="79"/>
                    <w:ind w:left="1959" w:right="2537"/>
                    <w:jc w:val="center"/>
                    <w:rPr>
                      <w:b/>
                      <w:sz w:val="24"/>
                    </w:rPr>
                  </w:pPr>
                  <w:r>
                    <w:rPr>
                      <w:b/>
                      <w:sz w:val="24"/>
                    </w:rPr>
                    <w:t>CONDONATION RULING AND REASONS</w:t>
                  </w:r>
                </w:p>
                <w:p w:rsidR="0049439B" w:rsidRDefault="0049439B">
                  <w:pPr>
                    <w:pStyle w:val="BodyText"/>
                    <w:spacing w:before="9"/>
                    <w:rPr>
                      <w:b/>
                      <w:sz w:val="32"/>
                    </w:rPr>
                  </w:pPr>
                </w:p>
                <w:p w:rsidR="0049439B" w:rsidRDefault="004835F8">
                  <w:pPr>
                    <w:ind w:left="1959" w:right="2538"/>
                    <w:jc w:val="center"/>
                    <w:rPr>
                      <w:b/>
                      <w:sz w:val="24"/>
                    </w:rPr>
                  </w:pPr>
                  <w:r>
                    <w:rPr>
                      <w:b/>
                      <w:sz w:val="24"/>
                    </w:rPr>
                    <w:t>(LATE FILING OF APPLICATION FOR LEAVE)</w:t>
                  </w:r>
                </w:p>
              </w:txbxContent>
            </v:textbox>
            <w10:wrap type="topAndBottom" anchorx="page"/>
          </v:shape>
        </w:pict>
      </w:r>
    </w:p>
    <w:p w:rsidR="0049439B" w:rsidRDefault="0049439B">
      <w:pPr>
        <w:pStyle w:val="BodyText"/>
        <w:rPr>
          <w:sz w:val="20"/>
        </w:rPr>
      </w:pPr>
    </w:p>
    <w:p w:rsidR="0049439B" w:rsidRDefault="0049439B">
      <w:pPr>
        <w:pStyle w:val="BodyText"/>
        <w:rPr>
          <w:sz w:val="20"/>
        </w:rPr>
      </w:pPr>
    </w:p>
    <w:p w:rsidR="0049439B" w:rsidRDefault="0049439B">
      <w:pPr>
        <w:pStyle w:val="BodyText"/>
        <w:spacing w:before="4"/>
        <w:rPr>
          <w:sz w:val="27"/>
        </w:rPr>
      </w:pPr>
    </w:p>
    <w:p w:rsidR="0049439B" w:rsidRDefault="004835F8">
      <w:pPr>
        <w:pStyle w:val="Heading1"/>
        <w:spacing w:before="92"/>
      </w:pPr>
      <w:r>
        <w:t>APPLICANT</w:t>
      </w:r>
    </w:p>
    <w:p w:rsidR="0049439B" w:rsidRDefault="0049439B">
      <w:pPr>
        <w:pStyle w:val="BodyText"/>
        <w:rPr>
          <w:b/>
          <w:sz w:val="33"/>
        </w:rPr>
      </w:pPr>
    </w:p>
    <w:p w:rsidR="0049439B" w:rsidRPr="00122124" w:rsidRDefault="00122124" w:rsidP="00122124">
      <w:pPr>
        <w:tabs>
          <w:tab w:val="left" w:pos="719"/>
          <w:tab w:val="left" w:pos="720"/>
        </w:tabs>
        <w:spacing w:line="360" w:lineRule="auto"/>
        <w:ind w:left="719" w:right="148" w:hanging="567"/>
        <w:rPr>
          <w:sz w:val="24"/>
        </w:rPr>
      </w:pPr>
      <w:r>
        <w:rPr>
          <w:spacing w:val="-2"/>
          <w:w w:val="99"/>
          <w:sz w:val="24"/>
          <w:szCs w:val="24"/>
        </w:rPr>
        <w:t>1.</w:t>
      </w:r>
      <w:r>
        <w:rPr>
          <w:spacing w:val="-2"/>
          <w:w w:val="99"/>
          <w:sz w:val="24"/>
          <w:szCs w:val="24"/>
        </w:rPr>
        <w:tab/>
      </w:r>
      <w:r w:rsidR="004835F8" w:rsidRPr="00122124">
        <w:rPr>
          <w:sz w:val="24"/>
        </w:rPr>
        <w:t>The Applicant in this matter is Mr Chischendo Kennedy, a major male (“Mr Kennedy” or “the</w:t>
      </w:r>
      <w:r w:rsidR="004835F8" w:rsidRPr="00122124">
        <w:rPr>
          <w:spacing w:val="-1"/>
          <w:sz w:val="24"/>
        </w:rPr>
        <w:t xml:space="preserve"> </w:t>
      </w:r>
      <w:r w:rsidR="004835F8" w:rsidRPr="00122124">
        <w:rPr>
          <w:sz w:val="24"/>
        </w:rPr>
        <w:t>Applicant”).</w:t>
      </w:r>
    </w:p>
    <w:p w:rsidR="0049439B" w:rsidRDefault="0049439B">
      <w:pPr>
        <w:pStyle w:val="BodyText"/>
        <w:spacing w:before="10"/>
        <w:rPr>
          <w:sz w:val="20"/>
        </w:rPr>
      </w:pPr>
    </w:p>
    <w:p w:rsidR="0049439B" w:rsidRDefault="004835F8">
      <w:pPr>
        <w:pStyle w:val="Heading1"/>
      </w:pPr>
      <w:r>
        <w:t>RESPONDENT</w:t>
      </w:r>
    </w:p>
    <w:p w:rsidR="0049439B" w:rsidRDefault="0049439B">
      <w:pPr>
        <w:pStyle w:val="BodyText"/>
        <w:spacing w:before="8"/>
        <w:rPr>
          <w:b/>
          <w:sz w:val="32"/>
        </w:rPr>
      </w:pPr>
    </w:p>
    <w:p w:rsidR="0049439B" w:rsidRPr="00122124" w:rsidRDefault="00122124" w:rsidP="00122124">
      <w:pPr>
        <w:tabs>
          <w:tab w:val="left" w:pos="719"/>
          <w:tab w:val="left" w:pos="720"/>
        </w:tabs>
        <w:spacing w:before="1" w:line="362" w:lineRule="auto"/>
        <w:ind w:left="719" w:right="148" w:hanging="567"/>
        <w:rPr>
          <w:sz w:val="24"/>
        </w:rPr>
      </w:pPr>
      <w:r>
        <w:rPr>
          <w:spacing w:val="-2"/>
          <w:w w:val="99"/>
          <w:sz w:val="24"/>
          <w:szCs w:val="24"/>
        </w:rPr>
        <w:t>2.</w:t>
      </w:r>
      <w:r>
        <w:rPr>
          <w:spacing w:val="-2"/>
          <w:w w:val="99"/>
          <w:sz w:val="24"/>
          <w:szCs w:val="24"/>
        </w:rPr>
        <w:tab/>
      </w:r>
      <w:r w:rsidR="004835F8" w:rsidRPr="00122124">
        <w:rPr>
          <w:sz w:val="24"/>
        </w:rPr>
        <w:t>The Respondent is Winmac Service Centre CC, situated in East London (“Winmac” or “the</w:t>
      </w:r>
      <w:r w:rsidR="004835F8" w:rsidRPr="00122124">
        <w:rPr>
          <w:spacing w:val="-1"/>
          <w:sz w:val="24"/>
        </w:rPr>
        <w:t xml:space="preserve"> </w:t>
      </w:r>
      <w:r w:rsidR="004835F8" w:rsidRPr="00122124">
        <w:rPr>
          <w:sz w:val="24"/>
        </w:rPr>
        <w:t>Respondent”).</w:t>
      </w:r>
    </w:p>
    <w:p w:rsidR="0049439B" w:rsidRDefault="0049439B">
      <w:pPr>
        <w:pStyle w:val="BodyText"/>
        <w:spacing w:before="5"/>
        <w:rPr>
          <w:sz w:val="20"/>
        </w:rPr>
      </w:pPr>
    </w:p>
    <w:p w:rsidR="0049439B" w:rsidRDefault="004835F8">
      <w:pPr>
        <w:pStyle w:val="Heading1"/>
      </w:pPr>
      <w:r>
        <w:t>APPLICATION</w:t>
      </w:r>
    </w:p>
    <w:p w:rsidR="0049439B" w:rsidRDefault="0049439B">
      <w:pPr>
        <w:pStyle w:val="BodyText"/>
        <w:spacing w:before="11"/>
        <w:rPr>
          <w:b/>
          <w:sz w:val="32"/>
        </w:rPr>
      </w:pPr>
    </w:p>
    <w:p w:rsidR="0049439B" w:rsidRPr="00122124" w:rsidRDefault="00122124" w:rsidP="00122124">
      <w:pPr>
        <w:tabs>
          <w:tab w:val="left" w:pos="719"/>
          <w:tab w:val="left" w:pos="720"/>
        </w:tabs>
        <w:spacing w:line="360" w:lineRule="auto"/>
        <w:ind w:left="719" w:right="148" w:hanging="567"/>
        <w:rPr>
          <w:sz w:val="24"/>
        </w:rPr>
      </w:pPr>
      <w:r>
        <w:rPr>
          <w:spacing w:val="-2"/>
          <w:w w:val="99"/>
          <w:sz w:val="24"/>
          <w:szCs w:val="24"/>
        </w:rPr>
        <w:t>3.</w:t>
      </w:r>
      <w:r>
        <w:rPr>
          <w:spacing w:val="-2"/>
          <w:w w:val="99"/>
          <w:sz w:val="24"/>
          <w:szCs w:val="24"/>
        </w:rPr>
        <w:tab/>
      </w:r>
      <w:r w:rsidR="004835F8" w:rsidRPr="00122124">
        <w:rPr>
          <w:sz w:val="24"/>
        </w:rPr>
        <w:t>The ruling is to consider an application to condone the late filing of the application for leave in terms of section 75(1)(b) of the Consumer Protection Act, 2008 (“the</w:t>
      </w:r>
      <w:r w:rsidR="004835F8" w:rsidRPr="00122124">
        <w:rPr>
          <w:spacing w:val="-19"/>
          <w:sz w:val="24"/>
        </w:rPr>
        <w:t xml:space="preserve"> </w:t>
      </w:r>
      <w:r w:rsidR="004835F8" w:rsidRPr="00122124">
        <w:rPr>
          <w:sz w:val="24"/>
        </w:rPr>
        <w:t>CPA”).</w:t>
      </w:r>
    </w:p>
    <w:p w:rsidR="0049439B" w:rsidRDefault="0049439B">
      <w:pPr>
        <w:spacing w:line="360" w:lineRule="auto"/>
        <w:rPr>
          <w:sz w:val="24"/>
        </w:rPr>
        <w:sectPr w:rsidR="0049439B">
          <w:type w:val="continuous"/>
          <w:pgSz w:w="11910" w:h="16840"/>
          <w:pgMar w:top="1120" w:right="980" w:bottom="280" w:left="980" w:header="720" w:footer="720" w:gutter="0"/>
          <w:cols w:space="720"/>
        </w:sectPr>
      </w:pPr>
    </w:p>
    <w:p w:rsidR="0049439B" w:rsidRDefault="0049439B">
      <w:pPr>
        <w:pStyle w:val="BodyText"/>
        <w:spacing w:before="5"/>
        <w:rPr>
          <w:sz w:val="9"/>
        </w:rPr>
      </w:pPr>
    </w:p>
    <w:p w:rsidR="0049439B" w:rsidRDefault="004835F8">
      <w:pPr>
        <w:pStyle w:val="Heading1"/>
        <w:spacing w:before="92"/>
      </w:pPr>
      <w:r>
        <w:t>BACKGROUND</w:t>
      </w:r>
    </w:p>
    <w:p w:rsidR="0049439B" w:rsidRDefault="0049439B">
      <w:pPr>
        <w:pStyle w:val="BodyText"/>
        <w:rPr>
          <w:b/>
          <w:sz w:val="33"/>
        </w:rPr>
      </w:pPr>
    </w:p>
    <w:p w:rsidR="0049439B" w:rsidRPr="00122124" w:rsidRDefault="00122124" w:rsidP="00122124">
      <w:pPr>
        <w:tabs>
          <w:tab w:val="left" w:pos="720"/>
        </w:tabs>
        <w:spacing w:before="1" w:line="360" w:lineRule="auto"/>
        <w:ind w:left="719" w:right="150" w:hanging="567"/>
        <w:jc w:val="both"/>
        <w:rPr>
          <w:sz w:val="24"/>
        </w:rPr>
      </w:pPr>
      <w:r>
        <w:rPr>
          <w:spacing w:val="-2"/>
          <w:w w:val="99"/>
          <w:sz w:val="24"/>
          <w:szCs w:val="24"/>
        </w:rPr>
        <w:t>4.</w:t>
      </w:r>
      <w:r>
        <w:rPr>
          <w:spacing w:val="-2"/>
          <w:w w:val="99"/>
          <w:sz w:val="24"/>
          <w:szCs w:val="24"/>
        </w:rPr>
        <w:tab/>
      </w:r>
      <w:r w:rsidR="004835F8" w:rsidRPr="00122124">
        <w:rPr>
          <w:sz w:val="24"/>
        </w:rPr>
        <w:t>Mr Kennedy owns a BMW 320 motor vehicle (“the vehic</w:t>
      </w:r>
      <w:r w:rsidR="004835F8" w:rsidRPr="00122124">
        <w:rPr>
          <w:sz w:val="24"/>
        </w:rPr>
        <w:t>le”). In June 2017, he took the vehicle to Winmac to repair the engine sensors. The vehicle was repaired, and a few days after collecting it, it experienced problems. Another workshop informed him that the sensors had been bypassed, not repaired. SA Warran</w:t>
      </w:r>
      <w:r w:rsidR="004835F8" w:rsidRPr="00122124">
        <w:rPr>
          <w:sz w:val="24"/>
        </w:rPr>
        <w:t>ties, which had paid  for the repair, investigated the matter, but Winmac did not provide a satisfactory response. Mr Kennedy instructed Winmac to repair the vehicle. He did not hear anything further until he received traffic fines on the vehicle in Novemb</w:t>
      </w:r>
      <w:r w:rsidR="004835F8" w:rsidRPr="00122124">
        <w:rPr>
          <w:sz w:val="24"/>
        </w:rPr>
        <w:t>er 2017, when he realised the vehicle must have been repaired. Winmac refused to release the vehicle to him unless storage and other unspecified fees were paid. A dispute arose between the parties regarding the payment of the outstanding</w:t>
      </w:r>
      <w:r w:rsidR="004835F8" w:rsidRPr="00122124">
        <w:rPr>
          <w:spacing w:val="-11"/>
          <w:sz w:val="24"/>
        </w:rPr>
        <w:t xml:space="preserve"> </w:t>
      </w:r>
      <w:r w:rsidR="004835F8" w:rsidRPr="00122124">
        <w:rPr>
          <w:sz w:val="24"/>
        </w:rPr>
        <w:t>fees.</w:t>
      </w:r>
    </w:p>
    <w:p w:rsidR="0049439B" w:rsidRDefault="0049439B">
      <w:pPr>
        <w:pStyle w:val="BodyText"/>
        <w:spacing w:before="10"/>
        <w:rPr>
          <w:sz w:val="20"/>
        </w:rPr>
      </w:pPr>
    </w:p>
    <w:p w:rsidR="0049439B" w:rsidRPr="00122124" w:rsidRDefault="00122124" w:rsidP="00122124">
      <w:pPr>
        <w:tabs>
          <w:tab w:val="left" w:pos="720"/>
        </w:tabs>
        <w:spacing w:before="1" w:line="360" w:lineRule="auto"/>
        <w:ind w:left="719" w:right="149" w:hanging="567"/>
        <w:jc w:val="both"/>
        <w:rPr>
          <w:sz w:val="24"/>
        </w:rPr>
      </w:pPr>
      <w:r>
        <w:rPr>
          <w:spacing w:val="-2"/>
          <w:w w:val="99"/>
          <w:sz w:val="24"/>
          <w:szCs w:val="24"/>
        </w:rPr>
        <w:t>5.</w:t>
      </w:r>
      <w:r>
        <w:rPr>
          <w:spacing w:val="-2"/>
          <w:w w:val="99"/>
          <w:sz w:val="24"/>
          <w:szCs w:val="24"/>
        </w:rPr>
        <w:tab/>
      </w:r>
      <w:r w:rsidR="004835F8" w:rsidRPr="00122124">
        <w:rPr>
          <w:sz w:val="24"/>
        </w:rPr>
        <w:t>On 22 Novem</w:t>
      </w:r>
      <w:r w:rsidR="004835F8" w:rsidRPr="00122124">
        <w:rPr>
          <w:sz w:val="24"/>
        </w:rPr>
        <w:t>ber 2017, Mr Kennedy lodged a complaint with the Motor Industry Ombudsman of South Africa (“MIOSA”). MIOSA issued a letter dated 9 April 2018 advising that the vehicle had been repaired and was ready for collection. It appears Mr Kennedy refused to pay the</w:t>
      </w:r>
      <w:r w:rsidR="004835F8" w:rsidRPr="00122124">
        <w:rPr>
          <w:sz w:val="24"/>
        </w:rPr>
        <w:t xml:space="preserve"> storage fees, and Winmac refused to release the vehicle to him. In November 2019, he was informed that the vehicle had been stripped for spares. The Applicant then lodged a complaint with the National Consumer Commission (“the NCC”) on 28 September 2021. </w:t>
      </w:r>
      <w:r w:rsidR="004835F8" w:rsidRPr="00122124">
        <w:rPr>
          <w:sz w:val="24"/>
        </w:rPr>
        <w:t>The NCC issued a Notice of Non-referral dated 28 January 2022, stating that the claim has lapsed in terms of the</w:t>
      </w:r>
      <w:r w:rsidR="004835F8" w:rsidRPr="00122124">
        <w:rPr>
          <w:spacing w:val="-3"/>
          <w:sz w:val="24"/>
        </w:rPr>
        <w:t xml:space="preserve"> </w:t>
      </w:r>
      <w:r w:rsidR="004835F8" w:rsidRPr="00122124">
        <w:rPr>
          <w:sz w:val="24"/>
        </w:rPr>
        <w:t>CPA.</w:t>
      </w:r>
    </w:p>
    <w:p w:rsidR="0049439B" w:rsidRDefault="0049439B">
      <w:pPr>
        <w:pStyle w:val="BodyText"/>
        <w:spacing w:before="9"/>
        <w:rPr>
          <w:sz w:val="20"/>
        </w:rPr>
      </w:pPr>
    </w:p>
    <w:p w:rsidR="0049439B" w:rsidRPr="00122124" w:rsidRDefault="00122124" w:rsidP="00122124">
      <w:pPr>
        <w:tabs>
          <w:tab w:val="left" w:pos="720"/>
        </w:tabs>
        <w:spacing w:line="360" w:lineRule="auto"/>
        <w:ind w:left="719" w:right="149" w:hanging="567"/>
        <w:jc w:val="both"/>
        <w:rPr>
          <w:sz w:val="24"/>
        </w:rPr>
      </w:pPr>
      <w:r>
        <w:rPr>
          <w:spacing w:val="-2"/>
          <w:w w:val="99"/>
          <w:sz w:val="24"/>
          <w:szCs w:val="24"/>
        </w:rPr>
        <w:t>6.</w:t>
      </w:r>
      <w:r>
        <w:rPr>
          <w:spacing w:val="-2"/>
          <w:w w:val="99"/>
          <w:sz w:val="24"/>
          <w:szCs w:val="24"/>
        </w:rPr>
        <w:tab/>
      </w:r>
      <w:r w:rsidR="004835F8" w:rsidRPr="00122124">
        <w:rPr>
          <w:sz w:val="24"/>
        </w:rPr>
        <w:t>The Applicant lodged an application for leave with the Tribunal on 18 March 2022.  He also filed an application to condone the late filin</w:t>
      </w:r>
      <w:r w:rsidR="004835F8" w:rsidRPr="00122124">
        <w:rPr>
          <w:sz w:val="24"/>
        </w:rPr>
        <w:t>g of the application. This ruling deals with the application for</w:t>
      </w:r>
      <w:r w:rsidR="004835F8" w:rsidRPr="00122124">
        <w:rPr>
          <w:spacing w:val="-4"/>
          <w:sz w:val="24"/>
        </w:rPr>
        <w:t xml:space="preserve"> </w:t>
      </w:r>
      <w:r w:rsidR="004835F8" w:rsidRPr="00122124">
        <w:rPr>
          <w:sz w:val="24"/>
        </w:rPr>
        <w:t>condonation.</w:t>
      </w:r>
    </w:p>
    <w:p w:rsidR="0049439B" w:rsidRDefault="0049439B">
      <w:pPr>
        <w:pStyle w:val="BodyText"/>
        <w:spacing w:before="9"/>
        <w:rPr>
          <w:sz w:val="20"/>
        </w:rPr>
      </w:pPr>
    </w:p>
    <w:p w:rsidR="0049439B" w:rsidRPr="00122124" w:rsidRDefault="00122124" w:rsidP="00122124">
      <w:pPr>
        <w:tabs>
          <w:tab w:val="left" w:pos="720"/>
        </w:tabs>
        <w:spacing w:line="360" w:lineRule="auto"/>
        <w:ind w:left="719" w:right="145" w:hanging="567"/>
        <w:jc w:val="both"/>
        <w:rPr>
          <w:sz w:val="24"/>
        </w:rPr>
      </w:pPr>
      <w:r>
        <w:rPr>
          <w:spacing w:val="-2"/>
          <w:w w:val="99"/>
          <w:sz w:val="24"/>
          <w:szCs w:val="24"/>
        </w:rPr>
        <w:t>7.</w:t>
      </w:r>
      <w:r>
        <w:rPr>
          <w:spacing w:val="-2"/>
          <w:w w:val="99"/>
          <w:sz w:val="24"/>
          <w:szCs w:val="24"/>
        </w:rPr>
        <w:tab/>
      </w:r>
      <w:r w:rsidR="004835F8" w:rsidRPr="00122124">
        <w:rPr>
          <w:sz w:val="24"/>
        </w:rPr>
        <w:t>In summary, the Applicant submits that he only received the NCC’s non-referral letter by email on 31 January 2022. Therefore, he filed the application within the 20-day period a</w:t>
      </w:r>
      <w:r w:rsidR="004835F8" w:rsidRPr="00122124">
        <w:rPr>
          <w:sz w:val="24"/>
        </w:rPr>
        <w:t>s required. He further submits that the complaint has not prescribed as the Tribunal has issued judgments regarding interruption of prescription while a matter is pending with MIOSA or the</w:t>
      </w:r>
      <w:r w:rsidR="004835F8" w:rsidRPr="00122124">
        <w:rPr>
          <w:spacing w:val="-4"/>
          <w:sz w:val="24"/>
        </w:rPr>
        <w:t xml:space="preserve"> </w:t>
      </w:r>
      <w:r w:rsidR="004835F8" w:rsidRPr="00122124">
        <w:rPr>
          <w:sz w:val="24"/>
        </w:rPr>
        <w:t>NCC.</w:t>
      </w:r>
    </w:p>
    <w:p w:rsidR="0049439B" w:rsidRDefault="0049439B">
      <w:pPr>
        <w:spacing w:line="360" w:lineRule="auto"/>
        <w:jc w:val="both"/>
        <w:rPr>
          <w:sz w:val="24"/>
        </w:rPr>
        <w:sectPr w:rsidR="0049439B">
          <w:headerReference w:type="default" r:id="rId7"/>
          <w:footerReference w:type="default" r:id="rId8"/>
          <w:pgSz w:w="11910" w:h="16840"/>
          <w:pgMar w:top="1120" w:right="980" w:bottom="740" w:left="980" w:header="283" w:footer="545" w:gutter="0"/>
          <w:pgNumType w:start="2"/>
          <w:cols w:space="720"/>
        </w:sectPr>
      </w:pPr>
    </w:p>
    <w:p w:rsidR="0049439B" w:rsidRDefault="0049439B">
      <w:pPr>
        <w:pStyle w:val="BodyText"/>
        <w:spacing w:before="9"/>
        <w:rPr>
          <w:sz w:val="8"/>
        </w:rPr>
      </w:pPr>
    </w:p>
    <w:p w:rsidR="0049439B" w:rsidRDefault="004835F8">
      <w:pPr>
        <w:pStyle w:val="Heading1"/>
        <w:spacing w:before="95"/>
        <w:rPr>
          <w:sz w:val="16"/>
        </w:rPr>
      </w:pPr>
      <w:r>
        <w:t>APPLICABLE SECTIONS OF THE ACT AND THE RULES</w:t>
      </w:r>
      <w:r>
        <w:rPr>
          <w:position w:val="8"/>
          <w:sz w:val="16"/>
        </w:rPr>
        <w:t>1</w:t>
      </w:r>
    </w:p>
    <w:p w:rsidR="0049439B" w:rsidRDefault="0049439B">
      <w:pPr>
        <w:pStyle w:val="BodyText"/>
        <w:rPr>
          <w:b/>
          <w:sz w:val="33"/>
        </w:rPr>
      </w:pPr>
    </w:p>
    <w:p w:rsidR="0049439B" w:rsidRPr="00122124" w:rsidRDefault="00122124" w:rsidP="00122124">
      <w:pPr>
        <w:tabs>
          <w:tab w:val="left" w:pos="720"/>
        </w:tabs>
        <w:spacing w:line="360" w:lineRule="auto"/>
        <w:ind w:left="719" w:right="156" w:hanging="567"/>
        <w:jc w:val="both"/>
        <w:rPr>
          <w:i/>
          <w:sz w:val="24"/>
        </w:rPr>
      </w:pPr>
      <w:r>
        <w:rPr>
          <w:i/>
          <w:spacing w:val="-2"/>
          <w:w w:val="99"/>
          <w:sz w:val="24"/>
          <w:szCs w:val="24"/>
        </w:rPr>
        <w:t>8.</w:t>
      </w:r>
      <w:r>
        <w:rPr>
          <w:i/>
          <w:spacing w:val="-2"/>
          <w:w w:val="99"/>
          <w:sz w:val="24"/>
          <w:szCs w:val="24"/>
        </w:rPr>
        <w:tab/>
      </w:r>
      <w:r w:rsidR="004835F8" w:rsidRPr="00122124">
        <w:rPr>
          <w:sz w:val="24"/>
        </w:rPr>
        <w:t xml:space="preserve">Rule 34 (1) provides, </w:t>
      </w:r>
      <w:r w:rsidR="004835F8" w:rsidRPr="00122124">
        <w:rPr>
          <w:i/>
          <w:sz w:val="24"/>
        </w:rPr>
        <w:t>“A party may apply to the Tribunal in Form TI r.34 for an order to:-</w:t>
      </w:r>
    </w:p>
    <w:p w:rsidR="0049439B" w:rsidRDefault="0049439B">
      <w:pPr>
        <w:pStyle w:val="BodyText"/>
        <w:spacing w:before="10"/>
        <w:rPr>
          <w:i/>
          <w:sz w:val="20"/>
        </w:rPr>
      </w:pPr>
    </w:p>
    <w:p w:rsidR="0049439B" w:rsidRPr="00122124" w:rsidRDefault="00122124" w:rsidP="00122124">
      <w:pPr>
        <w:tabs>
          <w:tab w:val="left" w:pos="1234"/>
        </w:tabs>
        <w:ind w:left="1233" w:hanging="361"/>
        <w:rPr>
          <w:i/>
          <w:sz w:val="24"/>
        </w:rPr>
      </w:pPr>
      <w:r>
        <w:rPr>
          <w:i/>
          <w:w w:val="99"/>
          <w:sz w:val="24"/>
          <w:szCs w:val="24"/>
        </w:rPr>
        <w:t>(a)</w:t>
      </w:r>
      <w:r>
        <w:rPr>
          <w:i/>
          <w:w w:val="99"/>
          <w:sz w:val="24"/>
          <w:szCs w:val="24"/>
        </w:rPr>
        <w:tab/>
      </w:r>
      <w:r w:rsidR="004835F8" w:rsidRPr="00122124">
        <w:rPr>
          <w:i/>
          <w:sz w:val="24"/>
        </w:rPr>
        <w:t>condone late filing of a document or</w:t>
      </w:r>
      <w:r w:rsidR="004835F8" w:rsidRPr="00122124">
        <w:rPr>
          <w:i/>
          <w:spacing w:val="-7"/>
          <w:sz w:val="24"/>
        </w:rPr>
        <w:t xml:space="preserve"> </w:t>
      </w:r>
      <w:r w:rsidR="004835F8" w:rsidRPr="00122124">
        <w:rPr>
          <w:i/>
          <w:sz w:val="24"/>
        </w:rPr>
        <w:t>application;</w:t>
      </w:r>
    </w:p>
    <w:p w:rsidR="0049439B" w:rsidRDefault="0049439B">
      <w:pPr>
        <w:pStyle w:val="BodyText"/>
        <w:spacing w:before="9"/>
        <w:rPr>
          <w:i/>
          <w:sz w:val="32"/>
        </w:rPr>
      </w:pPr>
    </w:p>
    <w:p w:rsidR="0049439B" w:rsidRPr="00122124" w:rsidRDefault="00122124" w:rsidP="00122124">
      <w:pPr>
        <w:tabs>
          <w:tab w:val="left" w:pos="1234"/>
        </w:tabs>
        <w:ind w:left="1233" w:hanging="361"/>
        <w:rPr>
          <w:i/>
          <w:sz w:val="24"/>
        </w:rPr>
      </w:pPr>
      <w:r>
        <w:rPr>
          <w:i/>
          <w:w w:val="99"/>
          <w:sz w:val="24"/>
          <w:szCs w:val="24"/>
        </w:rPr>
        <w:t>(b)</w:t>
      </w:r>
      <w:r>
        <w:rPr>
          <w:i/>
          <w:w w:val="99"/>
          <w:sz w:val="24"/>
          <w:szCs w:val="24"/>
        </w:rPr>
        <w:tab/>
      </w:r>
      <w:r w:rsidR="004835F8" w:rsidRPr="00122124">
        <w:rPr>
          <w:i/>
          <w:sz w:val="24"/>
        </w:rPr>
        <w:t>extend or reduce the time allowed for filing or</w:t>
      </w:r>
      <w:r w:rsidR="004835F8" w:rsidRPr="00122124">
        <w:rPr>
          <w:i/>
          <w:spacing w:val="-6"/>
          <w:sz w:val="24"/>
        </w:rPr>
        <w:t xml:space="preserve"> </w:t>
      </w:r>
      <w:r w:rsidR="004835F8" w:rsidRPr="00122124">
        <w:rPr>
          <w:i/>
          <w:sz w:val="24"/>
        </w:rPr>
        <w:t>serving;</w:t>
      </w:r>
    </w:p>
    <w:p w:rsidR="0049439B" w:rsidRDefault="0049439B">
      <w:pPr>
        <w:pStyle w:val="BodyText"/>
        <w:rPr>
          <w:i/>
          <w:sz w:val="33"/>
        </w:rPr>
      </w:pPr>
    </w:p>
    <w:p w:rsidR="0049439B" w:rsidRPr="00122124" w:rsidRDefault="00122124" w:rsidP="00122124">
      <w:pPr>
        <w:tabs>
          <w:tab w:val="left" w:pos="1234"/>
        </w:tabs>
        <w:ind w:left="1233" w:hanging="361"/>
        <w:rPr>
          <w:i/>
          <w:sz w:val="24"/>
        </w:rPr>
      </w:pPr>
      <w:r>
        <w:rPr>
          <w:i/>
          <w:w w:val="99"/>
          <w:sz w:val="24"/>
          <w:szCs w:val="24"/>
        </w:rPr>
        <w:t>(c)</w:t>
      </w:r>
      <w:r>
        <w:rPr>
          <w:i/>
          <w:w w:val="99"/>
          <w:sz w:val="24"/>
          <w:szCs w:val="24"/>
        </w:rPr>
        <w:tab/>
      </w:r>
      <w:r w:rsidR="004835F8" w:rsidRPr="00122124">
        <w:rPr>
          <w:i/>
          <w:sz w:val="24"/>
        </w:rPr>
        <w:t>condone the non-payment of a fee;</w:t>
      </w:r>
      <w:r w:rsidR="004835F8" w:rsidRPr="00122124">
        <w:rPr>
          <w:i/>
          <w:spacing w:val="-9"/>
          <w:sz w:val="24"/>
        </w:rPr>
        <w:t xml:space="preserve"> </w:t>
      </w:r>
      <w:r w:rsidR="004835F8" w:rsidRPr="00122124">
        <w:rPr>
          <w:i/>
          <w:sz w:val="24"/>
        </w:rPr>
        <w:t>or</w:t>
      </w:r>
    </w:p>
    <w:p w:rsidR="0049439B" w:rsidRDefault="0049439B">
      <w:pPr>
        <w:pStyle w:val="BodyText"/>
        <w:spacing w:before="9"/>
        <w:rPr>
          <w:i/>
          <w:sz w:val="32"/>
        </w:rPr>
      </w:pPr>
    </w:p>
    <w:p w:rsidR="0049439B" w:rsidRPr="00122124" w:rsidRDefault="00122124" w:rsidP="00122124">
      <w:pPr>
        <w:tabs>
          <w:tab w:val="left" w:pos="1234"/>
        </w:tabs>
        <w:ind w:left="1233" w:hanging="361"/>
        <w:rPr>
          <w:i/>
          <w:sz w:val="24"/>
        </w:rPr>
      </w:pPr>
      <w:r>
        <w:rPr>
          <w:i/>
          <w:w w:val="99"/>
          <w:sz w:val="24"/>
          <w:szCs w:val="24"/>
        </w:rPr>
        <w:t>(d)</w:t>
      </w:r>
      <w:r>
        <w:rPr>
          <w:i/>
          <w:w w:val="99"/>
          <w:sz w:val="24"/>
          <w:szCs w:val="24"/>
        </w:rPr>
        <w:tab/>
      </w:r>
      <w:r w:rsidR="004835F8" w:rsidRPr="00122124">
        <w:rPr>
          <w:i/>
          <w:sz w:val="24"/>
        </w:rPr>
        <w:t>condone any other departure from the rules or</w:t>
      </w:r>
      <w:r w:rsidR="004835F8" w:rsidRPr="00122124">
        <w:rPr>
          <w:i/>
          <w:spacing w:val="-8"/>
          <w:sz w:val="24"/>
        </w:rPr>
        <w:t xml:space="preserve"> </w:t>
      </w:r>
      <w:r w:rsidR="004835F8" w:rsidRPr="00122124">
        <w:rPr>
          <w:i/>
          <w:sz w:val="24"/>
        </w:rPr>
        <w:t>procedures.”</w:t>
      </w:r>
    </w:p>
    <w:p w:rsidR="0049439B" w:rsidRDefault="0049439B">
      <w:pPr>
        <w:pStyle w:val="BodyText"/>
        <w:rPr>
          <w:i/>
          <w:sz w:val="33"/>
        </w:rPr>
      </w:pPr>
    </w:p>
    <w:p w:rsidR="0049439B" w:rsidRPr="00122124" w:rsidRDefault="00122124" w:rsidP="00122124">
      <w:pPr>
        <w:tabs>
          <w:tab w:val="left" w:pos="719"/>
          <w:tab w:val="left" w:pos="720"/>
        </w:tabs>
        <w:ind w:left="719" w:hanging="568"/>
        <w:rPr>
          <w:i/>
          <w:sz w:val="24"/>
        </w:rPr>
      </w:pPr>
      <w:r>
        <w:rPr>
          <w:i/>
          <w:spacing w:val="-2"/>
          <w:w w:val="99"/>
          <w:sz w:val="24"/>
          <w:szCs w:val="24"/>
        </w:rPr>
        <w:t>9.</w:t>
      </w:r>
      <w:r>
        <w:rPr>
          <w:i/>
          <w:spacing w:val="-2"/>
          <w:w w:val="99"/>
          <w:sz w:val="24"/>
          <w:szCs w:val="24"/>
        </w:rPr>
        <w:tab/>
      </w:r>
      <w:r w:rsidR="004835F8" w:rsidRPr="00122124">
        <w:rPr>
          <w:sz w:val="24"/>
        </w:rPr>
        <w:t xml:space="preserve">Rule 34 (2) provides, </w:t>
      </w:r>
      <w:r w:rsidR="004835F8" w:rsidRPr="00122124">
        <w:rPr>
          <w:i/>
          <w:sz w:val="24"/>
        </w:rPr>
        <w:t>“The Tribunal may grant the order on good cause</w:t>
      </w:r>
      <w:r w:rsidR="004835F8" w:rsidRPr="00122124">
        <w:rPr>
          <w:i/>
          <w:spacing w:val="-14"/>
          <w:sz w:val="24"/>
        </w:rPr>
        <w:t xml:space="preserve"> </w:t>
      </w:r>
      <w:r w:rsidR="004835F8" w:rsidRPr="00122124">
        <w:rPr>
          <w:i/>
          <w:sz w:val="24"/>
        </w:rPr>
        <w:t>shown”.</w:t>
      </w:r>
    </w:p>
    <w:p w:rsidR="0049439B" w:rsidRDefault="0049439B">
      <w:pPr>
        <w:pStyle w:val="BodyText"/>
        <w:spacing w:before="9"/>
        <w:rPr>
          <w:i/>
          <w:sz w:val="32"/>
        </w:rPr>
      </w:pPr>
    </w:p>
    <w:p w:rsidR="0049439B" w:rsidRPr="00122124" w:rsidRDefault="00122124" w:rsidP="00122124">
      <w:pPr>
        <w:tabs>
          <w:tab w:val="left" w:pos="720"/>
        </w:tabs>
        <w:spacing w:line="360" w:lineRule="auto"/>
        <w:ind w:left="719" w:right="154" w:hanging="567"/>
        <w:jc w:val="both"/>
        <w:rPr>
          <w:i/>
          <w:sz w:val="24"/>
        </w:rPr>
      </w:pPr>
      <w:r>
        <w:rPr>
          <w:i/>
          <w:spacing w:val="-2"/>
          <w:w w:val="99"/>
          <w:sz w:val="24"/>
          <w:szCs w:val="24"/>
        </w:rPr>
        <w:t>10.</w:t>
      </w:r>
      <w:r>
        <w:rPr>
          <w:i/>
          <w:spacing w:val="-2"/>
          <w:w w:val="99"/>
          <w:sz w:val="24"/>
          <w:szCs w:val="24"/>
        </w:rPr>
        <w:tab/>
      </w:r>
      <w:r w:rsidR="004835F8" w:rsidRPr="00122124">
        <w:rPr>
          <w:sz w:val="24"/>
        </w:rPr>
        <w:t xml:space="preserve">Row 32 of Table 1 B contained in the Rules provides that the Applicant must file the Section 75(1)(b) application </w:t>
      </w:r>
      <w:r w:rsidR="004835F8" w:rsidRPr="00122124">
        <w:rPr>
          <w:i/>
          <w:sz w:val="24"/>
        </w:rPr>
        <w:t>“Wi</w:t>
      </w:r>
      <w:r w:rsidR="004835F8" w:rsidRPr="00122124">
        <w:rPr>
          <w:i/>
          <w:sz w:val="24"/>
        </w:rPr>
        <w:t>thin twenty business days of the date of the Notice of Non-Referral, or within a longer time permitted by the</w:t>
      </w:r>
      <w:r w:rsidR="004835F8" w:rsidRPr="00122124">
        <w:rPr>
          <w:i/>
          <w:spacing w:val="-6"/>
          <w:sz w:val="24"/>
        </w:rPr>
        <w:t xml:space="preserve"> </w:t>
      </w:r>
      <w:r w:rsidR="004835F8" w:rsidRPr="00122124">
        <w:rPr>
          <w:i/>
          <w:sz w:val="24"/>
        </w:rPr>
        <w:t>Tribunal”.</w:t>
      </w:r>
    </w:p>
    <w:p w:rsidR="0049439B" w:rsidRDefault="0049439B">
      <w:pPr>
        <w:pStyle w:val="BodyText"/>
        <w:rPr>
          <w:i/>
          <w:sz w:val="21"/>
        </w:rPr>
      </w:pPr>
    </w:p>
    <w:p w:rsidR="0049439B" w:rsidRPr="00122124" w:rsidRDefault="00122124" w:rsidP="00122124">
      <w:pPr>
        <w:tabs>
          <w:tab w:val="left" w:pos="720"/>
        </w:tabs>
        <w:spacing w:line="355" w:lineRule="auto"/>
        <w:ind w:left="719" w:right="150" w:hanging="567"/>
        <w:jc w:val="both"/>
        <w:rPr>
          <w:i/>
          <w:sz w:val="24"/>
        </w:rPr>
      </w:pPr>
      <w:r>
        <w:rPr>
          <w:i/>
          <w:spacing w:val="-2"/>
          <w:w w:val="99"/>
          <w:sz w:val="24"/>
          <w:szCs w:val="24"/>
        </w:rPr>
        <w:t>11.</w:t>
      </w:r>
      <w:r>
        <w:rPr>
          <w:i/>
          <w:spacing w:val="-2"/>
          <w:w w:val="99"/>
          <w:sz w:val="24"/>
          <w:szCs w:val="24"/>
        </w:rPr>
        <w:tab/>
      </w:r>
      <w:r w:rsidR="004835F8" w:rsidRPr="00122124">
        <w:rPr>
          <w:sz w:val="24"/>
        </w:rPr>
        <w:t xml:space="preserve">To </w:t>
      </w:r>
      <w:r w:rsidR="004835F8" w:rsidRPr="00122124">
        <w:rPr>
          <w:i/>
          <w:sz w:val="24"/>
        </w:rPr>
        <w:t xml:space="preserve">condone </w:t>
      </w:r>
      <w:r w:rsidR="004835F8" w:rsidRPr="00122124">
        <w:rPr>
          <w:sz w:val="24"/>
        </w:rPr>
        <w:t xml:space="preserve">means to </w:t>
      </w:r>
      <w:r w:rsidR="004835F8" w:rsidRPr="00122124">
        <w:rPr>
          <w:i/>
          <w:sz w:val="24"/>
        </w:rPr>
        <w:t xml:space="preserve">“accept or forgive an offence or wrongdoing”. </w:t>
      </w:r>
      <w:r w:rsidR="004835F8" w:rsidRPr="00122124">
        <w:rPr>
          <w:sz w:val="24"/>
        </w:rPr>
        <w:t xml:space="preserve">The word stems from the Latin term </w:t>
      </w:r>
      <w:r w:rsidR="004835F8" w:rsidRPr="00122124">
        <w:rPr>
          <w:i/>
          <w:sz w:val="24"/>
        </w:rPr>
        <w:t xml:space="preserve">condonare, </w:t>
      </w:r>
      <w:r w:rsidR="004835F8" w:rsidRPr="00122124">
        <w:rPr>
          <w:sz w:val="24"/>
        </w:rPr>
        <w:t xml:space="preserve">which means to </w:t>
      </w:r>
      <w:r w:rsidR="004835F8" w:rsidRPr="00122124">
        <w:rPr>
          <w:i/>
          <w:sz w:val="24"/>
        </w:rPr>
        <w:t>“refrai</w:t>
      </w:r>
      <w:r w:rsidR="004835F8" w:rsidRPr="00122124">
        <w:rPr>
          <w:i/>
          <w:sz w:val="24"/>
        </w:rPr>
        <w:t>n from punishing”</w:t>
      </w:r>
      <w:r w:rsidR="004835F8" w:rsidRPr="00122124">
        <w:rPr>
          <w:position w:val="8"/>
          <w:sz w:val="16"/>
        </w:rPr>
        <w:t>2</w:t>
      </w:r>
      <w:r w:rsidR="004835F8" w:rsidRPr="00122124">
        <w:rPr>
          <w:i/>
          <w:sz w:val="24"/>
        </w:rPr>
        <w:t xml:space="preserve">. </w:t>
      </w:r>
      <w:r w:rsidR="004835F8" w:rsidRPr="00122124">
        <w:rPr>
          <w:sz w:val="24"/>
        </w:rPr>
        <w:t xml:space="preserve">It can also mean </w:t>
      </w:r>
      <w:r w:rsidR="004835F8" w:rsidRPr="00122124">
        <w:rPr>
          <w:i/>
          <w:sz w:val="24"/>
        </w:rPr>
        <w:t>“overlook or forgive (wrongdoing)”</w:t>
      </w:r>
      <w:r w:rsidR="004835F8" w:rsidRPr="00122124">
        <w:rPr>
          <w:position w:val="8"/>
          <w:sz w:val="16"/>
        </w:rPr>
        <w:t>3</w:t>
      </w:r>
      <w:r w:rsidR="004835F8" w:rsidRPr="00122124">
        <w:rPr>
          <w:i/>
          <w:sz w:val="24"/>
        </w:rPr>
        <w:t>.</w:t>
      </w:r>
    </w:p>
    <w:p w:rsidR="0049439B" w:rsidRPr="00122124" w:rsidRDefault="00122124" w:rsidP="00122124">
      <w:pPr>
        <w:tabs>
          <w:tab w:val="left" w:pos="720"/>
        </w:tabs>
        <w:spacing w:before="246" w:line="357" w:lineRule="auto"/>
        <w:ind w:left="719" w:right="155" w:hanging="567"/>
        <w:jc w:val="both"/>
        <w:rPr>
          <w:sz w:val="24"/>
        </w:rPr>
      </w:pPr>
      <w:r>
        <w:rPr>
          <w:spacing w:val="-2"/>
          <w:w w:val="99"/>
          <w:sz w:val="24"/>
          <w:szCs w:val="24"/>
        </w:rPr>
        <w:t>12.</w:t>
      </w:r>
      <w:r>
        <w:rPr>
          <w:spacing w:val="-2"/>
          <w:w w:val="99"/>
          <w:sz w:val="24"/>
          <w:szCs w:val="24"/>
        </w:rPr>
        <w:tab/>
      </w:r>
      <w:r w:rsidR="004835F8" w:rsidRPr="00122124">
        <w:rPr>
          <w:sz w:val="24"/>
        </w:rPr>
        <w:t xml:space="preserve">In </w:t>
      </w:r>
      <w:r w:rsidR="004835F8" w:rsidRPr="00122124">
        <w:rPr>
          <w:i/>
          <w:sz w:val="24"/>
        </w:rPr>
        <w:t>Head of Department, Department of Education, Limpopo Province v Settlers Agriculture High School and Others</w:t>
      </w:r>
      <w:r w:rsidR="004835F8" w:rsidRPr="00122124">
        <w:rPr>
          <w:position w:val="8"/>
          <w:sz w:val="16"/>
        </w:rPr>
        <w:t xml:space="preserve">4 </w:t>
      </w:r>
      <w:r w:rsidR="004835F8" w:rsidRPr="00122124">
        <w:rPr>
          <w:sz w:val="24"/>
        </w:rPr>
        <w:t xml:space="preserve">, it was held that the standard of considering an application of this </w:t>
      </w:r>
      <w:r w:rsidR="004835F8" w:rsidRPr="00122124">
        <w:rPr>
          <w:sz w:val="24"/>
        </w:rPr>
        <w:t>nature is the interests of</w:t>
      </w:r>
      <w:r w:rsidR="004835F8" w:rsidRPr="00122124">
        <w:rPr>
          <w:spacing w:val="-7"/>
          <w:sz w:val="24"/>
        </w:rPr>
        <w:t xml:space="preserve"> </w:t>
      </w:r>
      <w:r w:rsidR="004835F8" w:rsidRPr="00122124">
        <w:rPr>
          <w:sz w:val="24"/>
        </w:rPr>
        <w:t>justice.</w:t>
      </w:r>
    </w:p>
    <w:p w:rsidR="0049439B" w:rsidRDefault="0049439B">
      <w:pPr>
        <w:pStyle w:val="BodyText"/>
        <w:rPr>
          <w:sz w:val="21"/>
        </w:rPr>
      </w:pPr>
    </w:p>
    <w:p w:rsidR="0049439B" w:rsidRPr="00122124" w:rsidRDefault="00122124" w:rsidP="00122124">
      <w:pPr>
        <w:tabs>
          <w:tab w:val="left" w:pos="720"/>
        </w:tabs>
        <w:spacing w:line="360" w:lineRule="auto"/>
        <w:ind w:left="719" w:right="150" w:hanging="567"/>
        <w:jc w:val="both"/>
        <w:rPr>
          <w:sz w:val="24"/>
        </w:rPr>
      </w:pPr>
      <w:r>
        <w:rPr>
          <w:spacing w:val="-2"/>
          <w:w w:val="99"/>
          <w:sz w:val="24"/>
          <w:szCs w:val="24"/>
        </w:rPr>
        <w:t>13.</w:t>
      </w:r>
      <w:r>
        <w:rPr>
          <w:spacing w:val="-2"/>
          <w:w w:val="99"/>
          <w:sz w:val="24"/>
          <w:szCs w:val="24"/>
        </w:rPr>
        <w:tab/>
      </w:r>
      <w:r w:rsidR="004835F8" w:rsidRPr="00122124">
        <w:rPr>
          <w:sz w:val="24"/>
        </w:rPr>
        <w:t>Whether it is in the interest of justice to grant condonation depends on each case’s facts and circumstances. It requires the exercise of a discretion based on an objective conspectus of all the facts. Factors that are relevant include but are not limited</w:t>
      </w:r>
      <w:r w:rsidR="004835F8" w:rsidRPr="00122124">
        <w:rPr>
          <w:spacing w:val="-1"/>
          <w:sz w:val="24"/>
        </w:rPr>
        <w:t xml:space="preserve"> </w:t>
      </w:r>
      <w:r w:rsidR="004835F8" w:rsidRPr="00122124">
        <w:rPr>
          <w:sz w:val="24"/>
        </w:rPr>
        <w:t>to:</w:t>
      </w:r>
    </w:p>
    <w:p w:rsidR="0049439B" w:rsidRDefault="0049439B">
      <w:pPr>
        <w:pStyle w:val="BodyText"/>
        <w:spacing w:before="10"/>
        <w:rPr>
          <w:sz w:val="20"/>
        </w:rPr>
      </w:pPr>
    </w:p>
    <w:p w:rsidR="0049439B" w:rsidRPr="00122124" w:rsidRDefault="00122124" w:rsidP="00122124">
      <w:pPr>
        <w:tabs>
          <w:tab w:val="left" w:pos="1286"/>
        </w:tabs>
        <w:spacing w:before="1"/>
        <w:ind w:left="1286" w:hanging="567"/>
        <w:rPr>
          <w:sz w:val="24"/>
        </w:rPr>
      </w:pPr>
      <w:r>
        <w:rPr>
          <w:w w:val="99"/>
          <w:sz w:val="24"/>
          <w:szCs w:val="24"/>
        </w:rPr>
        <w:t>13.1</w:t>
      </w:r>
      <w:r>
        <w:rPr>
          <w:w w:val="99"/>
          <w:sz w:val="24"/>
          <w:szCs w:val="24"/>
        </w:rPr>
        <w:tab/>
      </w:r>
      <w:r w:rsidR="004835F8" w:rsidRPr="00122124">
        <w:rPr>
          <w:sz w:val="24"/>
        </w:rPr>
        <w:t>The nature of the relief</w:t>
      </w:r>
      <w:r w:rsidR="004835F8" w:rsidRPr="00122124">
        <w:rPr>
          <w:spacing w:val="-10"/>
          <w:sz w:val="24"/>
        </w:rPr>
        <w:t xml:space="preserve"> </w:t>
      </w:r>
      <w:r w:rsidR="004835F8" w:rsidRPr="00122124">
        <w:rPr>
          <w:sz w:val="24"/>
        </w:rPr>
        <w:t>sought;</w:t>
      </w:r>
    </w:p>
    <w:p w:rsidR="0049439B" w:rsidRDefault="0049439B">
      <w:pPr>
        <w:pStyle w:val="BodyText"/>
        <w:rPr>
          <w:sz w:val="33"/>
        </w:rPr>
      </w:pPr>
    </w:p>
    <w:p w:rsidR="0049439B" w:rsidRPr="00122124" w:rsidRDefault="00122124" w:rsidP="00122124">
      <w:pPr>
        <w:tabs>
          <w:tab w:val="left" w:pos="1286"/>
        </w:tabs>
        <w:ind w:left="1286" w:hanging="567"/>
        <w:rPr>
          <w:sz w:val="24"/>
        </w:rPr>
      </w:pPr>
      <w:r>
        <w:rPr>
          <w:w w:val="99"/>
          <w:sz w:val="24"/>
          <w:szCs w:val="24"/>
        </w:rPr>
        <w:t>13.2</w:t>
      </w:r>
      <w:r>
        <w:rPr>
          <w:w w:val="99"/>
          <w:sz w:val="24"/>
          <w:szCs w:val="24"/>
        </w:rPr>
        <w:tab/>
      </w:r>
      <w:r w:rsidR="004835F8" w:rsidRPr="00122124">
        <w:rPr>
          <w:sz w:val="24"/>
        </w:rPr>
        <w:t>The extent and cause of the</w:t>
      </w:r>
      <w:r w:rsidR="004835F8" w:rsidRPr="00122124">
        <w:rPr>
          <w:spacing w:val="-5"/>
          <w:sz w:val="24"/>
        </w:rPr>
        <w:t xml:space="preserve"> </w:t>
      </w:r>
      <w:r w:rsidR="004835F8" w:rsidRPr="00122124">
        <w:rPr>
          <w:sz w:val="24"/>
        </w:rPr>
        <w:t>delay;</w:t>
      </w:r>
    </w:p>
    <w:p w:rsidR="0049439B" w:rsidRDefault="0049439B">
      <w:pPr>
        <w:pStyle w:val="BodyText"/>
        <w:spacing w:before="9"/>
        <w:rPr>
          <w:sz w:val="32"/>
        </w:rPr>
      </w:pPr>
    </w:p>
    <w:p w:rsidR="0049439B" w:rsidRPr="00122124" w:rsidRDefault="00122124" w:rsidP="00122124">
      <w:pPr>
        <w:tabs>
          <w:tab w:val="left" w:pos="1286"/>
        </w:tabs>
        <w:ind w:left="1286" w:hanging="567"/>
        <w:rPr>
          <w:sz w:val="24"/>
        </w:rPr>
      </w:pPr>
      <w:r>
        <w:rPr>
          <w:w w:val="99"/>
          <w:sz w:val="24"/>
          <w:szCs w:val="24"/>
        </w:rPr>
        <w:t>13.3</w:t>
      </w:r>
      <w:r>
        <w:rPr>
          <w:w w:val="99"/>
          <w:sz w:val="24"/>
          <w:szCs w:val="24"/>
        </w:rPr>
        <w:tab/>
      </w:r>
      <w:r w:rsidR="004835F8" w:rsidRPr="00122124">
        <w:rPr>
          <w:sz w:val="24"/>
        </w:rPr>
        <w:t>The effect of the delay on the administration of justice and other</w:t>
      </w:r>
      <w:r w:rsidR="004835F8" w:rsidRPr="00122124">
        <w:rPr>
          <w:spacing w:val="-20"/>
          <w:sz w:val="24"/>
        </w:rPr>
        <w:t xml:space="preserve"> </w:t>
      </w:r>
      <w:r w:rsidR="004835F8" w:rsidRPr="00122124">
        <w:rPr>
          <w:sz w:val="24"/>
        </w:rPr>
        <w:t>litigants;</w:t>
      </w:r>
    </w:p>
    <w:p w:rsidR="0049439B" w:rsidRDefault="004835F8">
      <w:pPr>
        <w:pStyle w:val="BodyText"/>
        <w:rPr>
          <w:sz w:val="18"/>
        </w:rPr>
      </w:pPr>
      <w:r>
        <w:pict>
          <v:shape id="_x0000_s1028" style="position:absolute;margin-left:56.65pt;margin-top:12.7pt;width:144.05pt;height:.1pt;z-index:-251657216;mso-wrap-distance-left:0;mso-wrap-distance-right:0;mso-position-horizontal-relative:page" coordorigin="1133,254" coordsize="2881,0" path="m1133,254r2881,e" filled="f" strokeweight=".72pt">
            <v:path arrowok="t"/>
            <w10:wrap type="topAndBottom" anchorx="page"/>
          </v:shape>
        </w:pict>
      </w:r>
    </w:p>
    <w:p w:rsidR="0049439B" w:rsidRDefault="004835F8">
      <w:pPr>
        <w:tabs>
          <w:tab w:val="left" w:pos="719"/>
        </w:tabs>
        <w:spacing w:before="69" w:line="244" w:lineRule="auto"/>
        <w:ind w:left="719" w:right="275" w:hanging="567"/>
        <w:rPr>
          <w:sz w:val="20"/>
        </w:rPr>
      </w:pPr>
      <w:r>
        <w:rPr>
          <w:rFonts w:ascii="Calibri"/>
          <w:position w:val="7"/>
          <w:sz w:val="13"/>
        </w:rPr>
        <w:t>1</w:t>
      </w:r>
      <w:r>
        <w:rPr>
          <w:rFonts w:ascii="Calibri"/>
          <w:position w:val="7"/>
          <w:sz w:val="13"/>
        </w:rPr>
        <w:tab/>
      </w:r>
      <w:r>
        <w:rPr>
          <w:sz w:val="20"/>
        </w:rPr>
        <w:t>GN 789 of 28 August 2007: Regulations for matters relating to the functions of the Tribunal and</w:t>
      </w:r>
      <w:r>
        <w:rPr>
          <w:spacing w:val="-35"/>
          <w:sz w:val="20"/>
        </w:rPr>
        <w:t xml:space="preserve"> </w:t>
      </w:r>
      <w:r>
        <w:rPr>
          <w:sz w:val="20"/>
        </w:rPr>
        <w:t>Rules for the conduct of matters before the National Consumer Tribunal, 2007 (</w:t>
      </w:r>
      <w:r>
        <w:rPr>
          <w:i/>
          <w:sz w:val="20"/>
        </w:rPr>
        <w:t xml:space="preserve">Government Gazette </w:t>
      </w:r>
      <w:r>
        <w:rPr>
          <w:sz w:val="20"/>
        </w:rPr>
        <w:t>No. 30225), as</w:t>
      </w:r>
      <w:r>
        <w:rPr>
          <w:spacing w:val="-2"/>
          <w:sz w:val="20"/>
        </w:rPr>
        <w:t xml:space="preserve"> </w:t>
      </w:r>
      <w:r>
        <w:rPr>
          <w:sz w:val="20"/>
        </w:rPr>
        <w:t>amended.</w:t>
      </w:r>
    </w:p>
    <w:p w:rsidR="0049439B" w:rsidRDefault="004835F8">
      <w:pPr>
        <w:tabs>
          <w:tab w:val="left" w:pos="719"/>
        </w:tabs>
        <w:spacing w:line="225" w:lineRule="exact"/>
        <w:ind w:left="152"/>
        <w:rPr>
          <w:sz w:val="20"/>
        </w:rPr>
      </w:pPr>
      <w:r>
        <w:rPr>
          <w:position w:val="6"/>
          <w:sz w:val="13"/>
        </w:rPr>
        <w:t>2</w:t>
      </w:r>
      <w:r>
        <w:rPr>
          <w:position w:val="6"/>
          <w:sz w:val="13"/>
        </w:rPr>
        <w:tab/>
      </w:r>
      <w:r>
        <w:rPr>
          <w:sz w:val="20"/>
        </w:rPr>
        <w:t>Oxford English Dictionary, Second Edition at pg</w:t>
      </w:r>
      <w:r>
        <w:rPr>
          <w:spacing w:val="-2"/>
          <w:sz w:val="20"/>
        </w:rPr>
        <w:t xml:space="preserve"> </w:t>
      </w:r>
      <w:r>
        <w:rPr>
          <w:sz w:val="20"/>
        </w:rPr>
        <w:t>151.</w:t>
      </w:r>
    </w:p>
    <w:p w:rsidR="0049439B" w:rsidRDefault="004835F8">
      <w:pPr>
        <w:tabs>
          <w:tab w:val="left" w:pos="719"/>
        </w:tabs>
        <w:ind w:left="152"/>
        <w:rPr>
          <w:sz w:val="20"/>
        </w:rPr>
      </w:pPr>
      <w:r>
        <w:rPr>
          <w:position w:val="6"/>
          <w:sz w:val="13"/>
        </w:rPr>
        <w:t>3</w:t>
      </w:r>
      <w:r>
        <w:rPr>
          <w:position w:val="6"/>
          <w:sz w:val="13"/>
        </w:rPr>
        <w:tab/>
      </w:r>
      <w:r>
        <w:rPr>
          <w:sz w:val="20"/>
        </w:rPr>
        <w:t>Collins English Dictionary and Thesaurus, Fourth Edition 2011, at</w:t>
      </w:r>
      <w:r>
        <w:rPr>
          <w:spacing w:val="-1"/>
          <w:sz w:val="20"/>
        </w:rPr>
        <w:t xml:space="preserve"> </w:t>
      </w:r>
      <w:r>
        <w:rPr>
          <w:sz w:val="20"/>
        </w:rPr>
        <w:t>pg170.</w:t>
      </w:r>
    </w:p>
    <w:p w:rsidR="0049439B" w:rsidRDefault="004835F8">
      <w:pPr>
        <w:tabs>
          <w:tab w:val="left" w:pos="719"/>
        </w:tabs>
        <w:spacing w:before="1"/>
        <w:ind w:left="152"/>
        <w:rPr>
          <w:sz w:val="20"/>
        </w:rPr>
      </w:pPr>
      <w:r>
        <w:rPr>
          <w:position w:val="6"/>
          <w:sz w:val="13"/>
        </w:rPr>
        <w:t>4</w:t>
      </w:r>
      <w:r>
        <w:rPr>
          <w:position w:val="6"/>
          <w:sz w:val="13"/>
        </w:rPr>
        <w:tab/>
      </w:r>
      <w:r>
        <w:rPr>
          <w:sz w:val="20"/>
        </w:rPr>
        <w:t>200</w:t>
      </w:r>
      <w:r>
        <w:rPr>
          <w:sz w:val="20"/>
        </w:rPr>
        <w:t>3 (11) BCLR 1212 (CC) at para</w:t>
      </w:r>
      <w:r>
        <w:rPr>
          <w:spacing w:val="3"/>
          <w:sz w:val="20"/>
        </w:rPr>
        <w:t xml:space="preserve"> </w:t>
      </w:r>
      <w:r>
        <w:rPr>
          <w:sz w:val="20"/>
        </w:rPr>
        <w:t>[11].</w:t>
      </w:r>
    </w:p>
    <w:p w:rsidR="0049439B" w:rsidRDefault="0049439B">
      <w:pPr>
        <w:rPr>
          <w:sz w:val="20"/>
        </w:rPr>
        <w:sectPr w:rsidR="0049439B">
          <w:pgSz w:w="11910" w:h="16840"/>
          <w:pgMar w:top="1120" w:right="980" w:bottom="740" w:left="980" w:header="283" w:footer="545" w:gutter="0"/>
          <w:cols w:space="720"/>
        </w:sectPr>
      </w:pPr>
    </w:p>
    <w:p w:rsidR="0049439B" w:rsidRDefault="0049439B">
      <w:pPr>
        <w:pStyle w:val="BodyText"/>
        <w:spacing w:before="5"/>
        <w:rPr>
          <w:sz w:val="9"/>
        </w:rPr>
      </w:pPr>
    </w:p>
    <w:p w:rsidR="0049439B" w:rsidRPr="00122124" w:rsidRDefault="00122124" w:rsidP="00122124">
      <w:pPr>
        <w:tabs>
          <w:tab w:val="left" w:pos="1286"/>
        </w:tabs>
        <w:spacing w:before="92"/>
        <w:ind w:left="1286" w:hanging="567"/>
        <w:rPr>
          <w:sz w:val="24"/>
        </w:rPr>
      </w:pPr>
      <w:r>
        <w:rPr>
          <w:w w:val="99"/>
          <w:sz w:val="24"/>
          <w:szCs w:val="24"/>
        </w:rPr>
        <w:t>13.4</w:t>
      </w:r>
      <w:r>
        <w:rPr>
          <w:w w:val="99"/>
          <w:sz w:val="24"/>
          <w:szCs w:val="24"/>
        </w:rPr>
        <w:tab/>
      </w:r>
      <w:r w:rsidR="004835F8" w:rsidRPr="00122124">
        <w:rPr>
          <w:sz w:val="24"/>
        </w:rPr>
        <w:t>The reasonableness of the explanation for the</w:t>
      </w:r>
      <w:r w:rsidR="004835F8" w:rsidRPr="00122124">
        <w:rPr>
          <w:spacing w:val="-3"/>
          <w:sz w:val="24"/>
        </w:rPr>
        <w:t xml:space="preserve"> </w:t>
      </w:r>
      <w:r w:rsidR="004835F8" w:rsidRPr="00122124">
        <w:rPr>
          <w:sz w:val="24"/>
        </w:rPr>
        <w:t>delay;</w:t>
      </w:r>
    </w:p>
    <w:p w:rsidR="0049439B" w:rsidRDefault="0049439B">
      <w:pPr>
        <w:pStyle w:val="BodyText"/>
        <w:rPr>
          <w:sz w:val="33"/>
        </w:rPr>
      </w:pPr>
    </w:p>
    <w:p w:rsidR="0049439B" w:rsidRPr="00122124" w:rsidRDefault="00122124" w:rsidP="00122124">
      <w:pPr>
        <w:tabs>
          <w:tab w:val="left" w:pos="1286"/>
        </w:tabs>
        <w:spacing w:before="1"/>
        <w:ind w:left="1286" w:hanging="567"/>
        <w:rPr>
          <w:sz w:val="24"/>
        </w:rPr>
      </w:pPr>
      <w:r>
        <w:rPr>
          <w:w w:val="99"/>
          <w:sz w:val="24"/>
          <w:szCs w:val="24"/>
        </w:rPr>
        <w:t>13.5</w:t>
      </w:r>
      <w:r>
        <w:rPr>
          <w:w w:val="99"/>
          <w:sz w:val="24"/>
          <w:szCs w:val="24"/>
        </w:rPr>
        <w:tab/>
      </w:r>
      <w:r w:rsidR="004835F8" w:rsidRPr="00122124">
        <w:rPr>
          <w:sz w:val="24"/>
        </w:rPr>
        <w:t>The importance of the issue to be raised in the intended application;</w:t>
      </w:r>
      <w:r w:rsidR="004835F8" w:rsidRPr="00122124">
        <w:rPr>
          <w:spacing w:val="-12"/>
          <w:sz w:val="24"/>
        </w:rPr>
        <w:t xml:space="preserve"> </w:t>
      </w:r>
      <w:r w:rsidR="004835F8" w:rsidRPr="00122124">
        <w:rPr>
          <w:sz w:val="24"/>
        </w:rPr>
        <w:t>and</w:t>
      </w:r>
    </w:p>
    <w:p w:rsidR="0049439B" w:rsidRDefault="0049439B">
      <w:pPr>
        <w:pStyle w:val="BodyText"/>
        <w:spacing w:before="8"/>
        <w:rPr>
          <w:sz w:val="32"/>
        </w:rPr>
      </w:pPr>
    </w:p>
    <w:p w:rsidR="0049439B" w:rsidRPr="00122124" w:rsidRDefault="00122124" w:rsidP="00122124">
      <w:pPr>
        <w:tabs>
          <w:tab w:val="left" w:pos="1286"/>
        </w:tabs>
        <w:spacing w:before="1"/>
        <w:ind w:left="1286" w:hanging="567"/>
        <w:rPr>
          <w:rFonts w:ascii="Calibri"/>
          <w:sz w:val="14"/>
        </w:rPr>
      </w:pPr>
      <w:r>
        <w:rPr>
          <w:w w:val="99"/>
          <w:sz w:val="24"/>
          <w:szCs w:val="24"/>
        </w:rPr>
        <w:t>13.6</w:t>
      </w:r>
      <w:r>
        <w:rPr>
          <w:w w:val="99"/>
          <w:sz w:val="24"/>
          <w:szCs w:val="24"/>
        </w:rPr>
        <w:tab/>
      </w:r>
      <w:r w:rsidR="004835F8" w:rsidRPr="00122124">
        <w:rPr>
          <w:sz w:val="24"/>
        </w:rPr>
        <w:t>The prospects of</w:t>
      </w:r>
      <w:r w:rsidR="004835F8" w:rsidRPr="00122124">
        <w:rPr>
          <w:spacing w:val="-3"/>
          <w:sz w:val="24"/>
        </w:rPr>
        <w:t xml:space="preserve"> </w:t>
      </w:r>
      <w:r w:rsidR="004835F8" w:rsidRPr="00122124">
        <w:rPr>
          <w:sz w:val="24"/>
        </w:rPr>
        <w:t>success.</w:t>
      </w:r>
      <w:r w:rsidR="004835F8" w:rsidRPr="00122124">
        <w:rPr>
          <w:rFonts w:ascii="Calibri"/>
          <w:position w:val="8"/>
          <w:sz w:val="14"/>
        </w:rPr>
        <w:t>5</w:t>
      </w:r>
    </w:p>
    <w:p w:rsidR="0049439B" w:rsidRDefault="0049439B">
      <w:pPr>
        <w:pStyle w:val="BodyText"/>
        <w:spacing w:before="2"/>
        <w:rPr>
          <w:rFonts w:ascii="Calibri"/>
          <w:sz w:val="31"/>
        </w:rPr>
      </w:pPr>
    </w:p>
    <w:p w:rsidR="0049439B" w:rsidRPr="00122124" w:rsidRDefault="00122124" w:rsidP="00122124">
      <w:pPr>
        <w:tabs>
          <w:tab w:val="left" w:pos="719"/>
          <w:tab w:val="left" w:pos="720"/>
        </w:tabs>
        <w:spacing w:before="1"/>
        <w:ind w:left="719" w:hanging="568"/>
        <w:rPr>
          <w:sz w:val="24"/>
        </w:rPr>
      </w:pPr>
      <w:r>
        <w:rPr>
          <w:spacing w:val="-2"/>
          <w:w w:val="99"/>
          <w:sz w:val="24"/>
          <w:szCs w:val="24"/>
        </w:rPr>
        <w:t>14.</w:t>
      </w:r>
      <w:r>
        <w:rPr>
          <w:spacing w:val="-2"/>
          <w:w w:val="99"/>
          <w:sz w:val="24"/>
          <w:szCs w:val="24"/>
        </w:rPr>
        <w:tab/>
      </w:r>
      <w:r w:rsidR="004835F8" w:rsidRPr="00122124">
        <w:rPr>
          <w:sz w:val="24"/>
        </w:rPr>
        <w:t xml:space="preserve">In </w:t>
      </w:r>
      <w:r w:rsidR="004835F8" w:rsidRPr="00122124">
        <w:rPr>
          <w:i/>
          <w:sz w:val="24"/>
        </w:rPr>
        <w:t>Melane v Santam Insurance Company Limited</w:t>
      </w:r>
      <w:r w:rsidR="004835F8" w:rsidRPr="00122124">
        <w:rPr>
          <w:position w:val="8"/>
          <w:sz w:val="16"/>
        </w:rPr>
        <w:t xml:space="preserve">6 </w:t>
      </w:r>
      <w:r w:rsidR="004835F8" w:rsidRPr="00122124">
        <w:rPr>
          <w:i/>
          <w:sz w:val="24"/>
        </w:rPr>
        <w:t xml:space="preserve">, </w:t>
      </w:r>
      <w:r w:rsidR="004835F8" w:rsidRPr="00122124">
        <w:rPr>
          <w:sz w:val="24"/>
        </w:rPr>
        <w:t>it was held</w:t>
      </w:r>
      <w:r w:rsidR="004835F8" w:rsidRPr="00122124">
        <w:rPr>
          <w:spacing w:val="-33"/>
          <w:sz w:val="24"/>
        </w:rPr>
        <w:t xml:space="preserve"> </w:t>
      </w:r>
      <w:r w:rsidR="004835F8" w:rsidRPr="00122124">
        <w:rPr>
          <w:sz w:val="24"/>
        </w:rPr>
        <w:t>that:</w:t>
      </w:r>
    </w:p>
    <w:p w:rsidR="0049439B" w:rsidRDefault="0049439B">
      <w:pPr>
        <w:pStyle w:val="BodyText"/>
        <w:spacing w:before="11"/>
        <w:rPr>
          <w:sz w:val="32"/>
        </w:rPr>
      </w:pPr>
    </w:p>
    <w:p w:rsidR="0049439B" w:rsidRDefault="004835F8">
      <w:pPr>
        <w:spacing w:line="360" w:lineRule="auto"/>
        <w:ind w:left="719" w:right="151"/>
        <w:jc w:val="both"/>
        <w:rPr>
          <w:i/>
          <w:sz w:val="24"/>
        </w:rPr>
      </w:pPr>
      <w:r>
        <w:rPr>
          <w:i/>
          <w:sz w:val="24"/>
        </w:rPr>
        <w:t>“The approach is that the Court has a discretion, to be exercised judicially upon a consideration of all the facts, and in essence it is a matter of fairness to both sides. Among the facts usually relevant are the degrees of lateness</w:t>
      </w:r>
      <w:r>
        <w:rPr>
          <w:i/>
          <w:sz w:val="24"/>
        </w:rPr>
        <w:t>, the explanation therefore, the prospects of success and the importance of the case. These facts are inter-related: they are not individually decisive. What is needed is an objective conspectus of all the facts. A slight delay and a good explanation may h</w:t>
      </w:r>
      <w:r>
        <w:rPr>
          <w:i/>
          <w:sz w:val="24"/>
        </w:rPr>
        <w:t>elp to compensate for prospects of success which are not strong. The importance of the issue and strong prospects of success may tend to compensate for a long delay. There is a further principle which is applied and that is that without prospects of succes</w:t>
      </w:r>
      <w:r>
        <w:rPr>
          <w:i/>
          <w:sz w:val="24"/>
        </w:rPr>
        <w:t xml:space="preserve">s, no matter how good the explanation for the delay, an application for condonation should be refused…cf Chetty v Law Society of the Transvaal 1985(2) SA 756 (A) at 765 A-C; National Union of Mineworkers and Others v Western Holdings Gold Mine 1994 15 ILJ </w:t>
      </w:r>
      <w:r>
        <w:rPr>
          <w:i/>
          <w:sz w:val="24"/>
        </w:rPr>
        <w:t>610 (LAC) at 613E. The courts have traditionally demonstrated their reluctance to penalise a litigant on account of the conduct of his representative but it emphasised that there is a limit beyond which a litigant cannot escape the results of the represent</w:t>
      </w:r>
      <w:r>
        <w:rPr>
          <w:i/>
          <w:sz w:val="24"/>
        </w:rPr>
        <w:t>ative’s lack of diligence or the insufficiency of the information tendered. (Salojee &amp; Another NNO v Minister of  Community Development 1965 (2) A 135 (A) 140H-141B; Buthelezi &amp; Others v Eclipse Foundries Ltd 18 ILJ 633 (A) at</w:t>
      </w:r>
      <w:r>
        <w:rPr>
          <w:i/>
          <w:spacing w:val="-5"/>
          <w:sz w:val="24"/>
        </w:rPr>
        <w:t xml:space="preserve"> </w:t>
      </w:r>
      <w:r>
        <w:rPr>
          <w:i/>
          <w:sz w:val="24"/>
        </w:rPr>
        <w:t>6381-639A).”</w:t>
      </w:r>
    </w:p>
    <w:p w:rsidR="0049439B" w:rsidRDefault="0049439B">
      <w:pPr>
        <w:pStyle w:val="BodyText"/>
        <w:spacing w:before="10"/>
        <w:rPr>
          <w:i/>
          <w:sz w:val="20"/>
        </w:rPr>
      </w:pPr>
    </w:p>
    <w:p w:rsidR="0049439B" w:rsidRPr="00122124" w:rsidRDefault="00122124" w:rsidP="00122124">
      <w:pPr>
        <w:tabs>
          <w:tab w:val="left" w:pos="719"/>
          <w:tab w:val="left" w:pos="720"/>
        </w:tabs>
        <w:spacing w:line="360" w:lineRule="auto"/>
        <w:ind w:left="719" w:right="147" w:hanging="567"/>
        <w:rPr>
          <w:sz w:val="24"/>
        </w:rPr>
      </w:pPr>
      <w:r>
        <w:rPr>
          <w:spacing w:val="-2"/>
          <w:w w:val="99"/>
          <w:sz w:val="24"/>
          <w:szCs w:val="24"/>
        </w:rPr>
        <w:t>15.</w:t>
      </w:r>
      <w:r>
        <w:rPr>
          <w:spacing w:val="-2"/>
          <w:w w:val="99"/>
          <w:sz w:val="24"/>
          <w:szCs w:val="24"/>
        </w:rPr>
        <w:tab/>
      </w:r>
      <w:r w:rsidR="004835F8" w:rsidRPr="00122124">
        <w:rPr>
          <w:sz w:val="24"/>
        </w:rPr>
        <w:t>From the dictum</w:t>
      </w:r>
      <w:r w:rsidR="004835F8" w:rsidRPr="00122124">
        <w:rPr>
          <w:sz w:val="24"/>
        </w:rPr>
        <w:t xml:space="preserve"> in </w:t>
      </w:r>
      <w:r w:rsidR="004835F8" w:rsidRPr="00122124">
        <w:rPr>
          <w:i/>
          <w:sz w:val="24"/>
        </w:rPr>
        <w:t xml:space="preserve">Melane, </w:t>
      </w:r>
      <w:r w:rsidR="004835F8" w:rsidRPr="00122124">
        <w:rPr>
          <w:sz w:val="24"/>
        </w:rPr>
        <w:t>it was held that these factors are interrelated and should be considered collectively.</w:t>
      </w:r>
    </w:p>
    <w:p w:rsidR="0049439B" w:rsidRDefault="0049439B">
      <w:pPr>
        <w:pStyle w:val="BodyText"/>
        <w:spacing w:before="11"/>
        <w:rPr>
          <w:sz w:val="20"/>
        </w:rPr>
      </w:pPr>
    </w:p>
    <w:p w:rsidR="0049439B" w:rsidRDefault="004835F8">
      <w:pPr>
        <w:pStyle w:val="Heading1"/>
      </w:pPr>
      <w:r>
        <w:t>CONSIDERATION OF THE MERITS</w:t>
      </w:r>
    </w:p>
    <w:p w:rsidR="0049439B" w:rsidRDefault="0049439B">
      <w:pPr>
        <w:pStyle w:val="BodyText"/>
        <w:spacing w:before="9"/>
        <w:rPr>
          <w:b/>
          <w:sz w:val="32"/>
        </w:rPr>
      </w:pPr>
    </w:p>
    <w:p w:rsidR="0049439B" w:rsidRPr="00122124" w:rsidRDefault="00122124" w:rsidP="00122124">
      <w:pPr>
        <w:tabs>
          <w:tab w:val="left" w:pos="719"/>
          <w:tab w:val="left" w:pos="720"/>
          <w:tab w:val="left" w:pos="8198"/>
        </w:tabs>
        <w:spacing w:line="360" w:lineRule="auto"/>
        <w:ind w:left="719" w:right="151" w:hanging="567"/>
        <w:rPr>
          <w:sz w:val="24"/>
        </w:rPr>
      </w:pPr>
      <w:r>
        <w:rPr>
          <w:spacing w:val="-2"/>
          <w:w w:val="99"/>
          <w:sz w:val="24"/>
          <w:szCs w:val="24"/>
        </w:rPr>
        <w:t>16.</w:t>
      </w:r>
      <w:r>
        <w:rPr>
          <w:spacing w:val="-2"/>
          <w:w w:val="99"/>
          <w:sz w:val="24"/>
          <w:szCs w:val="24"/>
        </w:rPr>
        <w:tab/>
      </w:r>
      <w:r w:rsidR="004835F8" w:rsidRPr="00122124">
        <w:rPr>
          <w:sz w:val="24"/>
        </w:rPr>
        <w:t xml:space="preserve">The </w:t>
      </w:r>
      <w:r w:rsidR="004835F8" w:rsidRPr="00122124">
        <w:rPr>
          <w:spacing w:val="21"/>
          <w:sz w:val="24"/>
        </w:rPr>
        <w:t xml:space="preserve"> </w:t>
      </w:r>
      <w:r w:rsidR="004835F8" w:rsidRPr="00122124">
        <w:rPr>
          <w:sz w:val="24"/>
        </w:rPr>
        <w:t xml:space="preserve">NCC’s </w:t>
      </w:r>
      <w:r w:rsidR="004835F8" w:rsidRPr="00122124">
        <w:rPr>
          <w:spacing w:val="21"/>
          <w:sz w:val="24"/>
        </w:rPr>
        <w:t xml:space="preserve"> </w:t>
      </w:r>
      <w:r w:rsidR="004835F8" w:rsidRPr="00122124">
        <w:rPr>
          <w:sz w:val="24"/>
        </w:rPr>
        <w:t xml:space="preserve">Notice </w:t>
      </w:r>
      <w:r w:rsidR="004835F8" w:rsidRPr="00122124">
        <w:rPr>
          <w:spacing w:val="21"/>
          <w:sz w:val="24"/>
        </w:rPr>
        <w:t xml:space="preserve"> </w:t>
      </w:r>
      <w:r w:rsidR="004835F8" w:rsidRPr="00122124">
        <w:rPr>
          <w:sz w:val="24"/>
        </w:rPr>
        <w:t xml:space="preserve">of </w:t>
      </w:r>
      <w:r w:rsidR="004835F8" w:rsidRPr="00122124">
        <w:rPr>
          <w:spacing w:val="18"/>
          <w:sz w:val="24"/>
        </w:rPr>
        <w:t xml:space="preserve"> </w:t>
      </w:r>
      <w:r w:rsidR="004835F8" w:rsidRPr="00122124">
        <w:rPr>
          <w:sz w:val="24"/>
        </w:rPr>
        <w:t xml:space="preserve">Non-referral </w:t>
      </w:r>
      <w:r w:rsidR="004835F8" w:rsidRPr="00122124">
        <w:rPr>
          <w:spacing w:val="20"/>
          <w:sz w:val="24"/>
        </w:rPr>
        <w:t xml:space="preserve"> </w:t>
      </w:r>
      <w:r w:rsidR="004835F8" w:rsidRPr="00122124">
        <w:rPr>
          <w:sz w:val="24"/>
        </w:rPr>
        <w:t xml:space="preserve">is </w:t>
      </w:r>
      <w:r w:rsidR="004835F8" w:rsidRPr="00122124">
        <w:rPr>
          <w:spacing w:val="20"/>
          <w:sz w:val="24"/>
        </w:rPr>
        <w:t xml:space="preserve"> </w:t>
      </w:r>
      <w:r w:rsidR="004835F8" w:rsidRPr="00122124">
        <w:rPr>
          <w:sz w:val="24"/>
        </w:rPr>
        <w:t xml:space="preserve">dated </w:t>
      </w:r>
      <w:r w:rsidR="004835F8" w:rsidRPr="00122124">
        <w:rPr>
          <w:spacing w:val="23"/>
          <w:sz w:val="24"/>
        </w:rPr>
        <w:t xml:space="preserve"> </w:t>
      </w:r>
      <w:r w:rsidR="004835F8" w:rsidRPr="00122124">
        <w:rPr>
          <w:sz w:val="24"/>
        </w:rPr>
        <w:t xml:space="preserve">28 </w:t>
      </w:r>
      <w:r w:rsidR="004835F8" w:rsidRPr="00122124">
        <w:rPr>
          <w:spacing w:val="22"/>
          <w:sz w:val="24"/>
        </w:rPr>
        <w:t xml:space="preserve"> </w:t>
      </w:r>
      <w:r w:rsidR="004835F8" w:rsidRPr="00122124">
        <w:rPr>
          <w:sz w:val="24"/>
        </w:rPr>
        <w:t xml:space="preserve">January </w:t>
      </w:r>
      <w:r w:rsidR="004835F8" w:rsidRPr="00122124">
        <w:rPr>
          <w:spacing w:val="20"/>
          <w:sz w:val="24"/>
        </w:rPr>
        <w:t xml:space="preserve"> </w:t>
      </w:r>
      <w:r w:rsidR="004835F8" w:rsidRPr="00122124">
        <w:rPr>
          <w:sz w:val="24"/>
        </w:rPr>
        <w:t>2022.</w:t>
      </w:r>
      <w:r w:rsidR="004835F8" w:rsidRPr="00122124">
        <w:rPr>
          <w:sz w:val="24"/>
        </w:rPr>
        <w:tab/>
        <w:t xml:space="preserve">Therefore, </w:t>
      </w:r>
      <w:r w:rsidR="004835F8" w:rsidRPr="00122124">
        <w:rPr>
          <w:spacing w:val="-7"/>
          <w:sz w:val="24"/>
        </w:rPr>
        <w:t xml:space="preserve">the </w:t>
      </w:r>
      <w:r w:rsidR="004835F8" w:rsidRPr="00122124">
        <w:rPr>
          <w:sz w:val="24"/>
        </w:rPr>
        <w:t>application for leave should have been filed</w:t>
      </w:r>
      <w:r w:rsidR="004835F8" w:rsidRPr="00122124">
        <w:rPr>
          <w:sz w:val="24"/>
        </w:rPr>
        <w:t xml:space="preserve"> with the Tribunal within 20</w:t>
      </w:r>
      <w:r w:rsidR="004835F8" w:rsidRPr="00122124">
        <w:rPr>
          <w:spacing w:val="61"/>
          <w:sz w:val="24"/>
        </w:rPr>
        <w:t xml:space="preserve"> </w:t>
      </w:r>
      <w:r w:rsidR="004835F8" w:rsidRPr="00122124">
        <w:rPr>
          <w:sz w:val="24"/>
        </w:rPr>
        <w:t>business</w:t>
      </w:r>
    </w:p>
    <w:p w:rsidR="0049439B" w:rsidRDefault="0049439B">
      <w:pPr>
        <w:pStyle w:val="BodyText"/>
        <w:rPr>
          <w:sz w:val="20"/>
        </w:rPr>
      </w:pPr>
    </w:p>
    <w:p w:rsidR="0049439B" w:rsidRDefault="004835F8">
      <w:pPr>
        <w:pStyle w:val="BodyText"/>
        <w:spacing w:before="9"/>
        <w:rPr>
          <w:sz w:val="27"/>
        </w:rPr>
      </w:pPr>
      <w:r>
        <w:pict>
          <v:shape id="_x0000_s1027" style="position:absolute;margin-left:56.65pt;margin-top:18.35pt;width:144.05pt;height:.1pt;z-index:-251656192;mso-wrap-distance-left:0;mso-wrap-distance-right:0;mso-position-horizontal-relative:page" coordorigin="1133,367" coordsize="2881,0" path="m1133,367r2881,e" filled="f" strokeweight=".72pt">
            <v:path arrowok="t"/>
            <w10:wrap type="topAndBottom" anchorx="page"/>
          </v:shape>
        </w:pict>
      </w:r>
    </w:p>
    <w:p w:rsidR="0049439B" w:rsidRDefault="004835F8">
      <w:pPr>
        <w:tabs>
          <w:tab w:val="left" w:pos="719"/>
        </w:tabs>
        <w:spacing w:before="68"/>
        <w:ind w:left="719" w:right="275" w:hanging="567"/>
        <w:rPr>
          <w:sz w:val="20"/>
        </w:rPr>
      </w:pPr>
      <w:r>
        <w:rPr>
          <w:position w:val="6"/>
          <w:sz w:val="13"/>
        </w:rPr>
        <w:t>5</w:t>
      </w:r>
      <w:r>
        <w:rPr>
          <w:position w:val="6"/>
          <w:sz w:val="13"/>
        </w:rPr>
        <w:tab/>
      </w:r>
      <w:r>
        <w:rPr>
          <w:i/>
          <w:sz w:val="20"/>
        </w:rPr>
        <w:t xml:space="preserve">Van Wyk v Unitas Hospital and Others </w:t>
      </w:r>
      <w:r>
        <w:rPr>
          <w:sz w:val="20"/>
        </w:rPr>
        <w:t xml:space="preserve">2008(4) BCLR 442 (CC) at para 20 as applied in </w:t>
      </w:r>
      <w:r>
        <w:rPr>
          <w:i/>
          <w:sz w:val="20"/>
        </w:rPr>
        <w:t xml:space="preserve">Camagu v Lupondwana </w:t>
      </w:r>
      <w:r>
        <w:rPr>
          <w:sz w:val="20"/>
        </w:rPr>
        <w:t>Case No 328/2008 HC</w:t>
      </w:r>
      <w:r>
        <w:rPr>
          <w:spacing w:val="2"/>
          <w:sz w:val="20"/>
        </w:rPr>
        <w:t xml:space="preserve"> </w:t>
      </w:r>
      <w:r>
        <w:rPr>
          <w:sz w:val="20"/>
        </w:rPr>
        <w:t>Bisho.</w:t>
      </w:r>
    </w:p>
    <w:p w:rsidR="0049439B" w:rsidRDefault="004835F8">
      <w:pPr>
        <w:tabs>
          <w:tab w:val="left" w:pos="719"/>
        </w:tabs>
        <w:spacing w:before="1"/>
        <w:ind w:left="152"/>
        <w:rPr>
          <w:sz w:val="20"/>
        </w:rPr>
      </w:pPr>
      <w:r>
        <w:rPr>
          <w:position w:val="6"/>
          <w:sz w:val="13"/>
        </w:rPr>
        <w:t>6</w:t>
      </w:r>
      <w:r>
        <w:rPr>
          <w:position w:val="6"/>
          <w:sz w:val="13"/>
        </w:rPr>
        <w:tab/>
      </w:r>
      <w:r>
        <w:rPr>
          <w:sz w:val="20"/>
        </w:rPr>
        <w:t>1962 (4) SA 531 (A) at</w:t>
      </w:r>
      <w:r>
        <w:rPr>
          <w:spacing w:val="-2"/>
          <w:sz w:val="20"/>
        </w:rPr>
        <w:t xml:space="preserve"> </w:t>
      </w:r>
      <w:r>
        <w:rPr>
          <w:sz w:val="20"/>
        </w:rPr>
        <w:t>532C-F.</w:t>
      </w:r>
    </w:p>
    <w:p w:rsidR="0049439B" w:rsidRDefault="0049439B">
      <w:pPr>
        <w:rPr>
          <w:sz w:val="20"/>
        </w:rPr>
        <w:sectPr w:rsidR="0049439B">
          <w:pgSz w:w="11910" w:h="16840"/>
          <w:pgMar w:top="1120" w:right="980" w:bottom="740" w:left="980" w:header="283" w:footer="545" w:gutter="0"/>
          <w:cols w:space="720"/>
        </w:sectPr>
      </w:pPr>
    </w:p>
    <w:p w:rsidR="0049439B" w:rsidRDefault="0049439B">
      <w:pPr>
        <w:pStyle w:val="BodyText"/>
        <w:spacing w:before="5"/>
        <w:rPr>
          <w:sz w:val="9"/>
        </w:rPr>
      </w:pPr>
    </w:p>
    <w:p w:rsidR="0049439B" w:rsidRDefault="004835F8">
      <w:pPr>
        <w:pStyle w:val="BodyText"/>
        <w:spacing w:before="92" w:line="362" w:lineRule="auto"/>
        <w:ind w:left="719" w:right="275"/>
      </w:pPr>
      <w:r>
        <w:t>days, by 25 February 2022. The Applicant filed his application on 18 March 2022. The delay in filing is approximately three</w:t>
      </w:r>
      <w:r>
        <w:rPr>
          <w:spacing w:val="-1"/>
        </w:rPr>
        <w:t xml:space="preserve"> </w:t>
      </w:r>
      <w:r>
        <w:t>weeks.</w:t>
      </w:r>
    </w:p>
    <w:p w:rsidR="0049439B" w:rsidRDefault="0049439B">
      <w:pPr>
        <w:pStyle w:val="BodyText"/>
        <w:spacing w:before="5"/>
        <w:rPr>
          <w:sz w:val="20"/>
        </w:rPr>
      </w:pPr>
    </w:p>
    <w:p w:rsidR="0049439B" w:rsidRPr="00122124" w:rsidRDefault="00122124" w:rsidP="00122124">
      <w:pPr>
        <w:tabs>
          <w:tab w:val="left" w:pos="720"/>
        </w:tabs>
        <w:spacing w:line="360" w:lineRule="auto"/>
        <w:ind w:left="719" w:right="149" w:hanging="567"/>
        <w:jc w:val="both"/>
        <w:rPr>
          <w:sz w:val="24"/>
        </w:rPr>
      </w:pPr>
      <w:r>
        <w:rPr>
          <w:spacing w:val="-2"/>
          <w:w w:val="99"/>
          <w:sz w:val="24"/>
          <w:szCs w:val="24"/>
        </w:rPr>
        <w:t>17.</w:t>
      </w:r>
      <w:r>
        <w:rPr>
          <w:spacing w:val="-2"/>
          <w:w w:val="99"/>
          <w:sz w:val="24"/>
          <w:szCs w:val="24"/>
        </w:rPr>
        <w:tab/>
      </w:r>
      <w:r w:rsidR="004835F8" w:rsidRPr="00122124">
        <w:rPr>
          <w:sz w:val="24"/>
        </w:rPr>
        <w:t xml:space="preserve">The delay in filing is not substantial relative to the long history of the matter. If this were the only factor relevant to </w:t>
      </w:r>
      <w:r w:rsidR="004835F8" w:rsidRPr="00122124">
        <w:rPr>
          <w:sz w:val="24"/>
        </w:rPr>
        <w:t>the condonation application, it would be granted. However, the Tribunal must consider all relevant</w:t>
      </w:r>
      <w:r w:rsidR="004835F8" w:rsidRPr="00122124">
        <w:rPr>
          <w:spacing w:val="-6"/>
          <w:sz w:val="24"/>
        </w:rPr>
        <w:t xml:space="preserve"> </w:t>
      </w:r>
      <w:r w:rsidR="004835F8" w:rsidRPr="00122124">
        <w:rPr>
          <w:sz w:val="24"/>
        </w:rPr>
        <w:t>factors.</w:t>
      </w:r>
    </w:p>
    <w:p w:rsidR="0049439B" w:rsidRDefault="0049439B">
      <w:pPr>
        <w:pStyle w:val="BodyText"/>
        <w:rPr>
          <w:sz w:val="21"/>
        </w:rPr>
      </w:pPr>
    </w:p>
    <w:p w:rsidR="0049439B" w:rsidRPr="00122124" w:rsidRDefault="00122124" w:rsidP="00122124">
      <w:pPr>
        <w:tabs>
          <w:tab w:val="left" w:pos="720"/>
        </w:tabs>
        <w:spacing w:line="360" w:lineRule="auto"/>
        <w:ind w:left="719" w:right="150" w:hanging="567"/>
        <w:jc w:val="both"/>
        <w:rPr>
          <w:sz w:val="24"/>
        </w:rPr>
      </w:pPr>
      <w:r>
        <w:rPr>
          <w:spacing w:val="-2"/>
          <w:w w:val="99"/>
          <w:sz w:val="24"/>
          <w:szCs w:val="24"/>
        </w:rPr>
        <w:t>18.</w:t>
      </w:r>
      <w:r>
        <w:rPr>
          <w:spacing w:val="-2"/>
          <w:w w:val="99"/>
          <w:sz w:val="24"/>
          <w:szCs w:val="24"/>
        </w:rPr>
        <w:tab/>
      </w:r>
      <w:r w:rsidR="004835F8" w:rsidRPr="00122124">
        <w:rPr>
          <w:sz w:val="24"/>
        </w:rPr>
        <w:t>The Tribunal must consider the prospects of success in this matter. It will serve no purpose for the Tribunal to grant leave if there is no reasona</w:t>
      </w:r>
      <w:r w:rsidR="004835F8" w:rsidRPr="00122124">
        <w:rPr>
          <w:sz w:val="24"/>
        </w:rPr>
        <w:t>ble prospect of it being able to adjudicate on the</w:t>
      </w:r>
      <w:r w:rsidR="004835F8" w:rsidRPr="00122124">
        <w:rPr>
          <w:spacing w:val="-4"/>
          <w:sz w:val="24"/>
        </w:rPr>
        <w:t xml:space="preserve"> </w:t>
      </w:r>
      <w:r w:rsidR="004835F8" w:rsidRPr="00122124">
        <w:rPr>
          <w:sz w:val="24"/>
        </w:rPr>
        <w:t>matter.</w:t>
      </w:r>
    </w:p>
    <w:p w:rsidR="0049439B" w:rsidRDefault="0049439B">
      <w:pPr>
        <w:pStyle w:val="BodyText"/>
        <w:spacing w:before="10"/>
        <w:rPr>
          <w:sz w:val="20"/>
        </w:rPr>
      </w:pPr>
    </w:p>
    <w:p w:rsidR="0049439B" w:rsidRPr="00122124" w:rsidRDefault="00122124" w:rsidP="00122124">
      <w:pPr>
        <w:tabs>
          <w:tab w:val="left" w:pos="720"/>
        </w:tabs>
        <w:spacing w:line="360" w:lineRule="auto"/>
        <w:ind w:left="719" w:right="148" w:hanging="567"/>
        <w:jc w:val="both"/>
        <w:rPr>
          <w:sz w:val="24"/>
        </w:rPr>
      </w:pPr>
      <w:r>
        <w:rPr>
          <w:spacing w:val="-2"/>
          <w:w w:val="99"/>
          <w:sz w:val="24"/>
          <w:szCs w:val="24"/>
        </w:rPr>
        <w:t>19.</w:t>
      </w:r>
      <w:r>
        <w:rPr>
          <w:spacing w:val="-2"/>
          <w:w w:val="99"/>
          <w:sz w:val="24"/>
          <w:szCs w:val="24"/>
        </w:rPr>
        <w:tab/>
      </w:r>
      <w:r w:rsidR="004835F8" w:rsidRPr="00122124">
        <w:rPr>
          <w:sz w:val="24"/>
        </w:rPr>
        <w:t>Based on the Applicant’s evidence, the original cause for the complaint arose when the vehicle was taken back to the Respondent in June 2017 due to the vehicle not having been repaired properly. A</w:t>
      </w:r>
      <w:r w:rsidR="004835F8" w:rsidRPr="00122124">
        <w:rPr>
          <w:sz w:val="24"/>
        </w:rPr>
        <w:t>ll the subsequent events over the years took place because of this main issue.</w:t>
      </w:r>
    </w:p>
    <w:p w:rsidR="0049439B" w:rsidRDefault="0049439B">
      <w:pPr>
        <w:pStyle w:val="BodyText"/>
        <w:spacing w:before="5"/>
        <w:rPr>
          <w:sz w:val="20"/>
        </w:rPr>
      </w:pPr>
    </w:p>
    <w:p w:rsidR="0049439B" w:rsidRPr="00122124" w:rsidRDefault="00122124" w:rsidP="00122124">
      <w:pPr>
        <w:tabs>
          <w:tab w:val="left" w:pos="720"/>
        </w:tabs>
        <w:spacing w:line="360" w:lineRule="auto"/>
        <w:ind w:left="719" w:right="148" w:hanging="567"/>
        <w:jc w:val="both"/>
        <w:rPr>
          <w:sz w:val="24"/>
        </w:rPr>
      </w:pPr>
      <w:r>
        <w:rPr>
          <w:spacing w:val="-2"/>
          <w:w w:val="99"/>
          <w:sz w:val="24"/>
          <w:szCs w:val="24"/>
        </w:rPr>
        <w:t>20.</w:t>
      </w:r>
      <w:r>
        <w:rPr>
          <w:spacing w:val="-2"/>
          <w:w w:val="99"/>
          <w:sz w:val="24"/>
          <w:szCs w:val="24"/>
        </w:rPr>
        <w:tab/>
      </w:r>
      <w:r w:rsidR="004835F8" w:rsidRPr="00122124">
        <w:rPr>
          <w:sz w:val="24"/>
        </w:rPr>
        <w:t>Section 116</w:t>
      </w:r>
      <w:r w:rsidR="004835F8" w:rsidRPr="00122124">
        <w:rPr>
          <w:position w:val="8"/>
          <w:sz w:val="16"/>
        </w:rPr>
        <w:t xml:space="preserve">7 </w:t>
      </w:r>
      <w:r w:rsidR="004835F8" w:rsidRPr="00122124">
        <w:rPr>
          <w:sz w:val="24"/>
        </w:rPr>
        <w:t>of the CPA states that a complaint may not be made to the Tribunal more than three years after the cause of the complaint arose. In past judgments, the Tribunal re</w:t>
      </w:r>
      <w:r w:rsidR="004835F8" w:rsidRPr="00122124">
        <w:rPr>
          <w:sz w:val="24"/>
        </w:rPr>
        <w:t xml:space="preserve">garded the period a complaint was with the NCC or MIOSA as interruptive of prescription. However, in the matter of </w:t>
      </w:r>
      <w:r w:rsidR="004835F8" w:rsidRPr="00122124">
        <w:rPr>
          <w:i/>
          <w:sz w:val="24"/>
        </w:rPr>
        <w:t xml:space="preserve">First Rand Bank Ltd v Ludick </w:t>
      </w:r>
      <w:r w:rsidR="004835F8" w:rsidRPr="00122124">
        <w:rPr>
          <w:sz w:val="24"/>
        </w:rPr>
        <w:t>the High  Court held that the Tribunal has no power or discretion to extend the three-year period</w:t>
      </w:r>
      <w:r w:rsidR="004835F8" w:rsidRPr="00122124">
        <w:rPr>
          <w:position w:val="8"/>
          <w:sz w:val="16"/>
        </w:rPr>
        <w:t>8</w:t>
      </w:r>
      <w:r w:rsidR="004835F8" w:rsidRPr="00122124">
        <w:rPr>
          <w:sz w:val="24"/>
        </w:rPr>
        <w:t>. The Tribunal</w:t>
      </w:r>
      <w:r w:rsidR="004835F8" w:rsidRPr="00122124">
        <w:rPr>
          <w:sz w:val="24"/>
        </w:rPr>
        <w:t xml:space="preserve"> is bound by the High Court judgment and must strictly apply  the three-year time bar. Therefore, the Applicant had until June 2020 to file an application with the Tribunal; the application was only filed in March 2022. Even if  the Tribunal had to use Nov</w:t>
      </w:r>
      <w:r w:rsidR="004835F8" w:rsidRPr="00122124">
        <w:rPr>
          <w:sz w:val="24"/>
        </w:rPr>
        <w:t>ember 2017 as the date when the cause of action arose, the complaint has still</w:t>
      </w:r>
      <w:r w:rsidR="004835F8" w:rsidRPr="00122124">
        <w:rPr>
          <w:spacing w:val="-4"/>
          <w:sz w:val="24"/>
        </w:rPr>
        <w:t xml:space="preserve"> </w:t>
      </w:r>
      <w:r w:rsidR="004835F8" w:rsidRPr="00122124">
        <w:rPr>
          <w:sz w:val="24"/>
        </w:rPr>
        <w:t>prescribed.</w:t>
      </w:r>
    </w:p>
    <w:p w:rsidR="0049439B" w:rsidRDefault="0049439B">
      <w:pPr>
        <w:pStyle w:val="BodyText"/>
        <w:spacing w:before="6"/>
        <w:rPr>
          <w:sz w:val="20"/>
        </w:rPr>
      </w:pPr>
    </w:p>
    <w:p w:rsidR="0049439B" w:rsidRPr="00122124" w:rsidRDefault="00122124" w:rsidP="00122124">
      <w:pPr>
        <w:tabs>
          <w:tab w:val="left" w:pos="720"/>
        </w:tabs>
        <w:spacing w:line="360" w:lineRule="auto"/>
        <w:ind w:left="719" w:right="150" w:hanging="567"/>
        <w:jc w:val="both"/>
        <w:rPr>
          <w:sz w:val="24"/>
        </w:rPr>
      </w:pPr>
      <w:r>
        <w:rPr>
          <w:spacing w:val="-2"/>
          <w:w w:val="99"/>
          <w:sz w:val="24"/>
          <w:szCs w:val="24"/>
        </w:rPr>
        <w:t>21.</w:t>
      </w:r>
      <w:r>
        <w:rPr>
          <w:spacing w:val="-2"/>
          <w:w w:val="99"/>
          <w:sz w:val="24"/>
          <w:szCs w:val="24"/>
        </w:rPr>
        <w:tab/>
      </w:r>
      <w:r w:rsidR="004835F8" w:rsidRPr="00122124">
        <w:rPr>
          <w:sz w:val="24"/>
        </w:rPr>
        <w:t>The Applicant submitted that our law determines the cause of action arising when the claimant became reasonably aware of the claim. On this basis, the Applicant submits the cause of action arose in November 2019. The Applicant appears to be referring  to t</w:t>
      </w:r>
      <w:r w:rsidR="004835F8" w:rsidRPr="00122124">
        <w:rPr>
          <w:sz w:val="24"/>
        </w:rPr>
        <w:t>he Prescription Act 68 of 1969 (“the Prescription Act”). The CPA does not</w:t>
      </w:r>
      <w:r w:rsidR="004835F8" w:rsidRPr="00122124">
        <w:rPr>
          <w:spacing w:val="29"/>
          <w:sz w:val="24"/>
        </w:rPr>
        <w:t xml:space="preserve"> </w:t>
      </w:r>
      <w:r w:rsidR="004835F8" w:rsidRPr="00122124">
        <w:rPr>
          <w:sz w:val="24"/>
        </w:rPr>
        <w:t>contain</w:t>
      </w:r>
    </w:p>
    <w:p w:rsidR="0049439B" w:rsidRDefault="004835F8">
      <w:pPr>
        <w:pStyle w:val="BodyText"/>
        <w:spacing w:before="10"/>
        <w:rPr>
          <w:sz w:val="9"/>
        </w:rPr>
      </w:pPr>
      <w:r>
        <w:pict>
          <v:shape id="_x0000_s1026" style="position:absolute;margin-left:56.65pt;margin-top:8.05pt;width:144.05pt;height:.1pt;z-index:-251655168;mso-wrap-distance-left:0;mso-wrap-distance-right:0;mso-position-horizontal-relative:page" coordorigin="1133,161" coordsize="2881,0" path="m1133,161r2881,e" filled="f" strokeweight=".72pt">
            <v:path arrowok="t"/>
            <w10:wrap type="topAndBottom" anchorx="page"/>
          </v:shape>
        </w:pict>
      </w:r>
    </w:p>
    <w:p w:rsidR="0049439B" w:rsidRDefault="004835F8">
      <w:pPr>
        <w:spacing w:before="69" w:line="247" w:lineRule="exact"/>
        <w:ind w:left="152"/>
        <w:rPr>
          <w:rFonts w:ascii="Calibri"/>
          <w:b/>
          <w:sz w:val="20"/>
        </w:rPr>
      </w:pPr>
      <w:r>
        <w:rPr>
          <w:rFonts w:ascii="Calibri"/>
          <w:position w:val="7"/>
          <w:sz w:val="13"/>
        </w:rPr>
        <w:t xml:space="preserve">7 </w:t>
      </w:r>
      <w:r>
        <w:rPr>
          <w:rFonts w:ascii="Calibri"/>
          <w:b/>
          <w:sz w:val="20"/>
        </w:rPr>
        <w:t>Limitations of bringing action 116.</w:t>
      </w:r>
    </w:p>
    <w:p w:rsidR="0049439B" w:rsidRDefault="004835F8">
      <w:pPr>
        <w:ind w:left="152" w:right="275"/>
        <w:rPr>
          <w:rFonts w:ascii="Calibri" w:hAnsi="Calibri"/>
          <w:sz w:val="20"/>
        </w:rPr>
      </w:pPr>
      <w:r>
        <w:rPr>
          <w:rFonts w:ascii="Calibri" w:hAnsi="Calibri"/>
          <w:sz w:val="20"/>
        </w:rPr>
        <w:t>(1) A complaint in terms of this Act may not be referred or made to the Tribunal or to a consumer court more than three years after—</w:t>
      </w:r>
    </w:p>
    <w:p w:rsidR="0049439B" w:rsidRPr="00122124" w:rsidRDefault="00122124" w:rsidP="00122124">
      <w:pPr>
        <w:tabs>
          <w:tab w:val="left" w:pos="414"/>
        </w:tabs>
        <w:spacing w:line="243" w:lineRule="exact"/>
        <w:ind w:left="413" w:hanging="262"/>
        <w:rPr>
          <w:rFonts w:ascii="Calibri"/>
          <w:sz w:val="20"/>
        </w:rPr>
      </w:pPr>
      <w:r>
        <w:rPr>
          <w:rFonts w:ascii="Calibri" w:eastAsia="Calibri" w:hAnsi="Calibri" w:cs="Calibri"/>
          <w:spacing w:val="-1"/>
          <w:w w:val="99"/>
          <w:sz w:val="20"/>
          <w:szCs w:val="20"/>
        </w:rPr>
        <w:t>(a)</w:t>
      </w:r>
      <w:r>
        <w:rPr>
          <w:rFonts w:ascii="Calibri" w:eastAsia="Calibri" w:hAnsi="Calibri" w:cs="Calibri"/>
          <w:spacing w:val="-1"/>
          <w:w w:val="99"/>
          <w:sz w:val="20"/>
          <w:szCs w:val="20"/>
        </w:rPr>
        <w:tab/>
      </w:r>
      <w:r w:rsidR="004835F8" w:rsidRPr="00122124">
        <w:rPr>
          <w:rFonts w:ascii="Calibri"/>
          <w:sz w:val="20"/>
        </w:rPr>
        <w:t>the act or omission that is the cause of the complaint;</w:t>
      </w:r>
      <w:r w:rsidR="004835F8" w:rsidRPr="00122124">
        <w:rPr>
          <w:rFonts w:ascii="Calibri"/>
          <w:spacing w:val="-9"/>
          <w:sz w:val="20"/>
        </w:rPr>
        <w:t xml:space="preserve"> </w:t>
      </w:r>
      <w:r w:rsidR="004835F8" w:rsidRPr="00122124">
        <w:rPr>
          <w:rFonts w:ascii="Calibri"/>
          <w:sz w:val="20"/>
        </w:rPr>
        <w:t>or</w:t>
      </w:r>
    </w:p>
    <w:p w:rsidR="0049439B" w:rsidRPr="00122124" w:rsidRDefault="00122124" w:rsidP="00122124">
      <w:pPr>
        <w:tabs>
          <w:tab w:val="left" w:pos="424"/>
        </w:tabs>
        <w:spacing w:line="243" w:lineRule="exact"/>
        <w:ind w:left="423" w:hanging="272"/>
        <w:rPr>
          <w:rFonts w:ascii="Calibri"/>
          <w:sz w:val="20"/>
        </w:rPr>
      </w:pPr>
      <w:r>
        <w:rPr>
          <w:rFonts w:ascii="Calibri" w:eastAsia="Calibri" w:hAnsi="Calibri" w:cs="Calibri"/>
          <w:spacing w:val="-1"/>
          <w:w w:val="99"/>
          <w:sz w:val="20"/>
          <w:szCs w:val="20"/>
        </w:rPr>
        <w:t>(b)</w:t>
      </w:r>
      <w:r>
        <w:rPr>
          <w:rFonts w:ascii="Calibri" w:eastAsia="Calibri" w:hAnsi="Calibri" w:cs="Calibri"/>
          <w:spacing w:val="-1"/>
          <w:w w:val="99"/>
          <w:sz w:val="20"/>
          <w:szCs w:val="20"/>
        </w:rPr>
        <w:tab/>
      </w:r>
      <w:r w:rsidR="004835F8" w:rsidRPr="00122124">
        <w:rPr>
          <w:rFonts w:ascii="Calibri"/>
          <w:sz w:val="20"/>
        </w:rPr>
        <w:t>in the case of a course of conduct or continuing practice, the date that the conduct or practice</w:t>
      </w:r>
      <w:r w:rsidR="004835F8" w:rsidRPr="00122124">
        <w:rPr>
          <w:rFonts w:ascii="Calibri"/>
          <w:spacing w:val="-24"/>
          <w:sz w:val="20"/>
        </w:rPr>
        <w:t xml:space="preserve"> </w:t>
      </w:r>
      <w:r w:rsidR="004835F8" w:rsidRPr="00122124">
        <w:rPr>
          <w:rFonts w:ascii="Calibri"/>
          <w:sz w:val="20"/>
        </w:rPr>
        <w:t>ceased</w:t>
      </w:r>
    </w:p>
    <w:p w:rsidR="0049439B" w:rsidRDefault="0049439B">
      <w:pPr>
        <w:pStyle w:val="BodyText"/>
        <w:spacing w:before="10"/>
        <w:rPr>
          <w:rFonts w:ascii="Calibri"/>
          <w:sz w:val="19"/>
        </w:rPr>
      </w:pPr>
    </w:p>
    <w:p w:rsidR="0049439B" w:rsidRDefault="004835F8">
      <w:pPr>
        <w:ind w:left="152" w:right="562"/>
        <w:rPr>
          <w:rFonts w:ascii="Calibri"/>
          <w:sz w:val="20"/>
        </w:rPr>
      </w:pPr>
      <w:r>
        <w:rPr>
          <w:rFonts w:ascii="Calibri"/>
          <w:position w:val="7"/>
          <w:sz w:val="13"/>
        </w:rPr>
        <w:t xml:space="preserve">8 </w:t>
      </w:r>
      <w:r>
        <w:rPr>
          <w:rFonts w:ascii="Calibri"/>
          <w:sz w:val="20"/>
        </w:rPr>
        <w:t>First Rand Bank Ltd v Ludick A 277/2019 High Court of South Africa, Gauteng Division, Pret</w:t>
      </w:r>
      <w:r>
        <w:rPr>
          <w:rFonts w:ascii="Calibri"/>
          <w:sz w:val="20"/>
        </w:rPr>
        <w:t>oria, 18 June 2020 (unreported) at para [16]. Although the matter referred to section 166 of the NCA, section 116 of the CPA has the same wording. Therefore, the same principles are applicable.</w:t>
      </w:r>
    </w:p>
    <w:p w:rsidR="0049439B" w:rsidRDefault="0049439B">
      <w:pPr>
        <w:rPr>
          <w:rFonts w:ascii="Calibri"/>
          <w:sz w:val="20"/>
        </w:rPr>
        <w:sectPr w:rsidR="0049439B">
          <w:pgSz w:w="11910" w:h="16840"/>
          <w:pgMar w:top="1120" w:right="980" w:bottom="820" w:left="980" w:header="283" w:footer="545" w:gutter="0"/>
          <w:cols w:space="720"/>
        </w:sectPr>
      </w:pPr>
    </w:p>
    <w:p w:rsidR="0049439B" w:rsidRDefault="0049439B">
      <w:pPr>
        <w:pStyle w:val="BodyText"/>
        <w:spacing w:before="11"/>
        <w:rPr>
          <w:rFonts w:ascii="Calibri"/>
          <w:sz w:val="8"/>
        </w:rPr>
      </w:pPr>
    </w:p>
    <w:p w:rsidR="0049439B" w:rsidRDefault="004835F8">
      <w:pPr>
        <w:pStyle w:val="BodyText"/>
        <w:spacing w:before="92" w:line="360" w:lineRule="auto"/>
        <w:ind w:left="719" w:right="150"/>
        <w:jc w:val="both"/>
      </w:pPr>
      <w:r>
        <w:t>any provisions or exceptions relating to th</w:t>
      </w:r>
      <w:r>
        <w:t>e cause of action being delayed or only arising after reasonable awareness of the claim. The CPA does not refer to the Prescription Act in any way and does not incorporate it in any way. Section 116 of  the CPA is a stand-alone provision and cannot be inte</w:t>
      </w:r>
      <w:r>
        <w:t>rpreted in any other way than the plain reading of</w:t>
      </w:r>
      <w:r>
        <w:rPr>
          <w:spacing w:val="-6"/>
        </w:rPr>
        <w:t xml:space="preserve"> </w:t>
      </w:r>
      <w:r>
        <w:t>it.</w:t>
      </w:r>
    </w:p>
    <w:p w:rsidR="0049439B" w:rsidRDefault="0049439B">
      <w:pPr>
        <w:pStyle w:val="BodyText"/>
        <w:rPr>
          <w:sz w:val="21"/>
        </w:rPr>
      </w:pPr>
    </w:p>
    <w:p w:rsidR="0049439B" w:rsidRPr="00122124" w:rsidRDefault="00122124" w:rsidP="00122124">
      <w:pPr>
        <w:tabs>
          <w:tab w:val="left" w:pos="720"/>
        </w:tabs>
        <w:spacing w:before="1" w:line="360" w:lineRule="auto"/>
        <w:ind w:left="719" w:right="150" w:hanging="567"/>
        <w:jc w:val="both"/>
        <w:rPr>
          <w:sz w:val="24"/>
        </w:rPr>
      </w:pPr>
      <w:r>
        <w:rPr>
          <w:spacing w:val="-2"/>
          <w:w w:val="99"/>
          <w:sz w:val="24"/>
          <w:szCs w:val="24"/>
        </w:rPr>
        <w:t>22.</w:t>
      </w:r>
      <w:r>
        <w:rPr>
          <w:spacing w:val="-2"/>
          <w:w w:val="99"/>
          <w:sz w:val="24"/>
          <w:szCs w:val="24"/>
        </w:rPr>
        <w:tab/>
      </w:r>
      <w:r w:rsidR="004835F8" w:rsidRPr="00122124">
        <w:rPr>
          <w:sz w:val="24"/>
        </w:rPr>
        <w:t>The Tribunal finds that the claim has prescribed and cannot be adjudicated by the Tribunal. Therefore, the Applicant has not shown good cause to condone the late filing for leave.</w:t>
      </w:r>
    </w:p>
    <w:p w:rsidR="0049439B" w:rsidRDefault="0049439B">
      <w:pPr>
        <w:pStyle w:val="BodyText"/>
        <w:spacing w:before="8"/>
        <w:rPr>
          <w:sz w:val="20"/>
        </w:rPr>
      </w:pPr>
    </w:p>
    <w:p w:rsidR="0049439B" w:rsidRDefault="004835F8">
      <w:pPr>
        <w:pStyle w:val="Heading1"/>
        <w:spacing w:before="1"/>
      </w:pPr>
      <w:r>
        <w:t>ORDER</w:t>
      </w:r>
    </w:p>
    <w:p w:rsidR="0049439B" w:rsidRDefault="0049439B">
      <w:pPr>
        <w:pStyle w:val="BodyText"/>
        <w:rPr>
          <w:b/>
          <w:sz w:val="33"/>
        </w:rPr>
      </w:pPr>
    </w:p>
    <w:p w:rsidR="0049439B" w:rsidRPr="00122124" w:rsidRDefault="00122124" w:rsidP="00122124">
      <w:pPr>
        <w:tabs>
          <w:tab w:val="left" w:pos="719"/>
          <w:tab w:val="left" w:pos="720"/>
        </w:tabs>
        <w:spacing w:line="360" w:lineRule="auto"/>
        <w:ind w:left="719" w:right="719" w:hanging="567"/>
        <w:rPr>
          <w:sz w:val="24"/>
        </w:rPr>
      </w:pPr>
      <w:r>
        <w:rPr>
          <w:spacing w:val="-2"/>
          <w:w w:val="99"/>
          <w:sz w:val="24"/>
          <w:szCs w:val="24"/>
        </w:rPr>
        <w:t>23.</w:t>
      </w:r>
      <w:r>
        <w:rPr>
          <w:spacing w:val="-2"/>
          <w:w w:val="99"/>
          <w:sz w:val="24"/>
          <w:szCs w:val="24"/>
        </w:rPr>
        <w:tab/>
      </w:r>
      <w:r w:rsidR="004835F8" w:rsidRPr="00122124">
        <w:rPr>
          <w:sz w:val="24"/>
        </w:rPr>
        <w:t>Accordingly, for the reasons set out above, the Tribunal makes the following order:</w:t>
      </w:r>
    </w:p>
    <w:p w:rsidR="0049439B" w:rsidRDefault="0049439B">
      <w:pPr>
        <w:pStyle w:val="BodyText"/>
        <w:spacing w:before="10"/>
        <w:rPr>
          <w:sz w:val="20"/>
        </w:rPr>
      </w:pPr>
    </w:p>
    <w:p w:rsidR="0049439B" w:rsidRPr="00122124" w:rsidRDefault="00122124" w:rsidP="00122124">
      <w:pPr>
        <w:tabs>
          <w:tab w:val="left" w:pos="1286"/>
        </w:tabs>
        <w:spacing w:line="360" w:lineRule="auto"/>
        <w:ind w:left="1286" w:right="722" w:hanging="567"/>
        <w:rPr>
          <w:sz w:val="24"/>
        </w:rPr>
      </w:pPr>
      <w:r>
        <w:rPr>
          <w:w w:val="99"/>
          <w:sz w:val="24"/>
          <w:szCs w:val="24"/>
        </w:rPr>
        <w:t>23.1</w:t>
      </w:r>
      <w:r>
        <w:rPr>
          <w:w w:val="99"/>
          <w:sz w:val="24"/>
          <w:szCs w:val="24"/>
        </w:rPr>
        <w:tab/>
      </w:r>
      <w:r w:rsidR="004835F8" w:rsidRPr="00122124">
        <w:rPr>
          <w:sz w:val="24"/>
        </w:rPr>
        <w:t>The application to condone the late filing of the application for leave is refused; and</w:t>
      </w:r>
    </w:p>
    <w:p w:rsidR="0049439B" w:rsidRDefault="0049439B">
      <w:pPr>
        <w:pStyle w:val="BodyText"/>
        <w:spacing w:before="10"/>
        <w:rPr>
          <w:sz w:val="20"/>
        </w:rPr>
      </w:pPr>
    </w:p>
    <w:p w:rsidR="0049439B" w:rsidRPr="00122124" w:rsidRDefault="00122124" w:rsidP="00122124">
      <w:pPr>
        <w:tabs>
          <w:tab w:val="left" w:pos="1286"/>
        </w:tabs>
        <w:ind w:left="1286" w:hanging="567"/>
        <w:rPr>
          <w:sz w:val="24"/>
        </w:rPr>
      </w:pPr>
      <w:r>
        <w:rPr>
          <w:w w:val="99"/>
          <w:sz w:val="24"/>
          <w:szCs w:val="24"/>
        </w:rPr>
        <w:t>23.2</w:t>
      </w:r>
      <w:r>
        <w:rPr>
          <w:w w:val="99"/>
          <w:sz w:val="24"/>
          <w:szCs w:val="24"/>
        </w:rPr>
        <w:tab/>
      </w:r>
      <w:r w:rsidR="004835F8" w:rsidRPr="00122124">
        <w:rPr>
          <w:sz w:val="24"/>
        </w:rPr>
        <w:t>No order is made as to</w:t>
      </w:r>
      <w:r w:rsidR="004835F8" w:rsidRPr="00122124">
        <w:rPr>
          <w:spacing w:val="-6"/>
          <w:sz w:val="24"/>
        </w:rPr>
        <w:t xml:space="preserve"> </w:t>
      </w:r>
      <w:r w:rsidR="004835F8" w:rsidRPr="00122124">
        <w:rPr>
          <w:sz w:val="24"/>
        </w:rPr>
        <w:t>costs.</w:t>
      </w:r>
    </w:p>
    <w:p w:rsidR="0049439B" w:rsidRDefault="0049439B">
      <w:pPr>
        <w:pStyle w:val="BodyText"/>
        <w:rPr>
          <w:sz w:val="26"/>
        </w:rPr>
      </w:pPr>
    </w:p>
    <w:p w:rsidR="0049439B" w:rsidRDefault="0049439B">
      <w:pPr>
        <w:pStyle w:val="BodyText"/>
        <w:rPr>
          <w:sz w:val="26"/>
        </w:rPr>
      </w:pPr>
    </w:p>
    <w:p w:rsidR="0049439B" w:rsidRDefault="004835F8">
      <w:pPr>
        <w:pStyle w:val="BodyText"/>
        <w:spacing w:before="187"/>
        <w:ind w:left="152"/>
      </w:pPr>
      <w:r>
        <w:t>DATED ON THIS 11</w:t>
      </w:r>
      <w:r>
        <w:rPr>
          <w:position w:val="8"/>
          <w:sz w:val="16"/>
        </w:rPr>
        <w:t xml:space="preserve">TH </w:t>
      </w:r>
      <w:r>
        <w:t>DAY OF JULY 2022</w:t>
      </w:r>
    </w:p>
    <w:p w:rsidR="0049439B" w:rsidRDefault="0049439B">
      <w:pPr>
        <w:pStyle w:val="BodyText"/>
        <w:rPr>
          <w:sz w:val="28"/>
        </w:rPr>
      </w:pPr>
    </w:p>
    <w:p w:rsidR="0049439B" w:rsidRDefault="0049439B">
      <w:pPr>
        <w:pStyle w:val="BodyText"/>
        <w:rPr>
          <w:sz w:val="28"/>
        </w:rPr>
      </w:pPr>
    </w:p>
    <w:p w:rsidR="0049439B" w:rsidRDefault="0049439B">
      <w:pPr>
        <w:pStyle w:val="BodyText"/>
        <w:spacing w:before="1"/>
        <w:rPr>
          <w:sz w:val="28"/>
        </w:rPr>
      </w:pPr>
    </w:p>
    <w:p w:rsidR="0049439B" w:rsidRDefault="004835F8">
      <w:pPr>
        <w:pStyle w:val="BodyText"/>
        <w:spacing w:before="1"/>
        <w:ind w:left="152"/>
      </w:pPr>
      <w:r>
        <w:t>Adv J Simpson</w:t>
      </w:r>
    </w:p>
    <w:p w:rsidR="0049439B" w:rsidRDefault="004835F8">
      <w:pPr>
        <w:pStyle w:val="BodyText"/>
        <w:spacing w:before="136"/>
        <w:ind w:left="152"/>
      </w:pPr>
      <w:r>
        <w:t>Presiding Tribunal Member</w:t>
      </w:r>
    </w:p>
    <w:p w:rsidR="0049439B" w:rsidRDefault="0049439B">
      <w:pPr>
        <w:pStyle w:val="BodyText"/>
        <w:rPr>
          <w:sz w:val="20"/>
        </w:rPr>
      </w:pPr>
    </w:p>
    <w:p w:rsidR="0049439B" w:rsidRDefault="004835F8">
      <w:pPr>
        <w:pStyle w:val="BodyText"/>
        <w:spacing w:before="6"/>
      </w:pPr>
      <w:r>
        <w:rPr>
          <w:noProof/>
          <w:lang w:bidi="ar-SA"/>
        </w:rPr>
        <w:drawing>
          <wp:anchor distT="0" distB="0" distL="0" distR="0" simplePos="0" relativeHeight="4" behindDoc="0" locked="0" layoutInCell="1" allowOverlap="1">
            <wp:simplePos x="0" y="0"/>
            <wp:positionH relativeFrom="page">
              <wp:posOffset>720090</wp:posOffset>
            </wp:positionH>
            <wp:positionV relativeFrom="paragraph">
              <wp:posOffset>204333</wp:posOffset>
            </wp:positionV>
            <wp:extent cx="3155513" cy="16847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55513" cy="1684782"/>
                    </a:xfrm>
                    <a:prstGeom prst="rect">
                      <a:avLst/>
                    </a:prstGeom>
                  </pic:spPr>
                </pic:pic>
              </a:graphicData>
            </a:graphic>
          </wp:anchor>
        </w:drawing>
      </w:r>
    </w:p>
    <w:sectPr w:rsidR="0049439B">
      <w:pgSz w:w="11910" w:h="16840"/>
      <w:pgMar w:top="1120" w:right="980" w:bottom="820" w:left="980" w:header="283" w:footer="5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F8" w:rsidRDefault="004835F8">
      <w:r>
        <w:separator/>
      </w:r>
    </w:p>
  </w:endnote>
  <w:endnote w:type="continuationSeparator" w:id="0">
    <w:p w:rsidR="004835F8" w:rsidRDefault="0048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9B" w:rsidRDefault="004835F8">
    <w:pPr>
      <w:pStyle w:val="BodyText"/>
      <w:spacing w:line="14" w:lineRule="auto"/>
      <w:rPr>
        <w:sz w:val="13"/>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71232;mso-position-horizontal-relative:page;mso-position-vertical-relative:page" filled="f" stroked="f">
          <v:textbox inset="0,0,0,0">
            <w:txbxContent>
              <w:p w:rsidR="0049439B" w:rsidRDefault="004835F8">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122124">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F8" w:rsidRDefault="004835F8">
      <w:r>
        <w:separator/>
      </w:r>
    </w:p>
  </w:footnote>
  <w:footnote w:type="continuationSeparator" w:id="0">
    <w:p w:rsidR="004835F8" w:rsidRDefault="00483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9B" w:rsidRDefault="004835F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03.1pt;margin-top:13.15pt;width:136.6pt;height:33pt;z-index:-251872256;mso-position-horizontal-relative:page;mso-position-vertical-relative:page" filled="f" stroked="f">
          <v:textbox inset="0,0,0,0">
            <w:txbxContent>
              <w:p w:rsidR="0049439B" w:rsidRDefault="004835F8">
                <w:pPr>
                  <w:spacing w:before="19"/>
                  <w:ind w:left="939" w:right="18" w:firstLine="475"/>
                  <w:jc w:val="right"/>
                  <w:rPr>
                    <w:rFonts w:ascii="Arial Narrow"/>
                    <w:sz w:val="18"/>
                  </w:rPr>
                </w:pPr>
                <w:r>
                  <w:rPr>
                    <w:rFonts w:ascii="Arial Narrow"/>
                    <w:sz w:val="18"/>
                  </w:rPr>
                  <w:t>Condonation</w:t>
                </w:r>
                <w:r>
                  <w:rPr>
                    <w:rFonts w:ascii="Arial Narrow"/>
                    <w:spacing w:val="1"/>
                    <w:sz w:val="18"/>
                  </w:rPr>
                  <w:t xml:space="preserve"> </w:t>
                </w:r>
                <w:r>
                  <w:rPr>
                    <w:rFonts w:ascii="Arial Narrow"/>
                    <w:spacing w:val="-3"/>
                    <w:sz w:val="18"/>
                  </w:rPr>
                  <w:t>Ruling</w:t>
                </w:r>
                <w:r>
                  <w:rPr>
                    <w:rFonts w:ascii="Arial Narrow"/>
                    <w:sz w:val="18"/>
                  </w:rPr>
                  <w:t xml:space="preserve"> </w:t>
                </w:r>
                <w:r>
                  <w:rPr>
                    <w:rFonts w:ascii="Arial Narrow"/>
                    <w:spacing w:val="-1"/>
                    <w:sz w:val="18"/>
                  </w:rPr>
                  <w:t>NCT/229976/2022/75(1)(b)</w:t>
                </w:r>
              </w:p>
              <w:p w:rsidR="0049439B" w:rsidRDefault="004835F8">
                <w:pPr>
                  <w:spacing w:line="206" w:lineRule="exact"/>
                  <w:ind w:right="21"/>
                  <w:jc w:val="right"/>
                  <w:rPr>
                    <w:rFonts w:ascii="Arial Narrow"/>
                    <w:sz w:val="18"/>
                  </w:rPr>
                </w:pPr>
                <w:r>
                  <w:rPr>
                    <w:rFonts w:ascii="Arial Narrow"/>
                    <w:sz w:val="18"/>
                  </w:rPr>
                  <w:t>C Kennedy v Winmac Service Centre</w:t>
                </w:r>
                <w:r>
                  <w:rPr>
                    <w:rFonts w:ascii="Arial Narrow"/>
                    <w:spacing w:val="-14"/>
                    <w:sz w:val="18"/>
                  </w:rPr>
                  <w:t xml:space="preserve"> </w:t>
                </w:r>
                <w:r>
                  <w:rPr>
                    <w:rFonts w:ascii="Arial Narrow"/>
                    <w:sz w:val="18"/>
                  </w:rPr>
                  <w:t>CC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73A"/>
    <w:multiLevelType w:val="multilevel"/>
    <w:tmpl w:val="A1804564"/>
    <w:lvl w:ilvl="0">
      <w:start w:val="13"/>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ascii="Arial" w:eastAsia="Arial" w:hAnsi="Arial" w:cs="Arial" w:hint="default"/>
        <w:w w:val="99"/>
        <w:sz w:val="24"/>
        <w:szCs w:val="24"/>
        <w:lang w:val="en-ZA" w:eastAsia="en-ZA" w:bidi="en-ZA"/>
      </w:rPr>
    </w:lvl>
    <w:lvl w:ilvl="2">
      <w:numFmt w:val="bullet"/>
      <w:lvlText w:val="•"/>
      <w:lvlJc w:val="left"/>
      <w:pPr>
        <w:ind w:left="3013" w:hanging="567"/>
      </w:pPr>
      <w:rPr>
        <w:rFonts w:hint="default"/>
        <w:lang w:val="en-ZA" w:eastAsia="en-ZA" w:bidi="en-ZA"/>
      </w:rPr>
    </w:lvl>
    <w:lvl w:ilvl="3">
      <w:numFmt w:val="bullet"/>
      <w:lvlText w:val="•"/>
      <w:lvlJc w:val="left"/>
      <w:pPr>
        <w:ind w:left="3879" w:hanging="567"/>
      </w:pPr>
      <w:rPr>
        <w:rFonts w:hint="default"/>
        <w:lang w:val="en-ZA" w:eastAsia="en-ZA" w:bidi="en-ZA"/>
      </w:rPr>
    </w:lvl>
    <w:lvl w:ilvl="4">
      <w:numFmt w:val="bullet"/>
      <w:lvlText w:val="•"/>
      <w:lvlJc w:val="left"/>
      <w:pPr>
        <w:ind w:left="4746" w:hanging="567"/>
      </w:pPr>
      <w:rPr>
        <w:rFonts w:hint="default"/>
        <w:lang w:val="en-ZA" w:eastAsia="en-ZA" w:bidi="en-ZA"/>
      </w:rPr>
    </w:lvl>
    <w:lvl w:ilvl="5">
      <w:numFmt w:val="bullet"/>
      <w:lvlText w:val="•"/>
      <w:lvlJc w:val="left"/>
      <w:pPr>
        <w:ind w:left="5613" w:hanging="567"/>
      </w:pPr>
      <w:rPr>
        <w:rFonts w:hint="default"/>
        <w:lang w:val="en-ZA" w:eastAsia="en-ZA" w:bidi="en-ZA"/>
      </w:rPr>
    </w:lvl>
    <w:lvl w:ilvl="6">
      <w:numFmt w:val="bullet"/>
      <w:lvlText w:val="•"/>
      <w:lvlJc w:val="left"/>
      <w:pPr>
        <w:ind w:left="6479" w:hanging="567"/>
      </w:pPr>
      <w:rPr>
        <w:rFonts w:hint="default"/>
        <w:lang w:val="en-ZA" w:eastAsia="en-ZA" w:bidi="en-ZA"/>
      </w:rPr>
    </w:lvl>
    <w:lvl w:ilvl="7">
      <w:numFmt w:val="bullet"/>
      <w:lvlText w:val="•"/>
      <w:lvlJc w:val="left"/>
      <w:pPr>
        <w:ind w:left="7346" w:hanging="567"/>
      </w:pPr>
      <w:rPr>
        <w:rFonts w:hint="default"/>
        <w:lang w:val="en-ZA" w:eastAsia="en-ZA" w:bidi="en-ZA"/>
      </w:rPr>
    </w:lvl>
    <w:lvl w:ilvl="8">
      <w:numFmt w:val="bullet"/>
      <w:lvlText w:val="•"/>
      <w:lvlJc w:val="left"/>
      <w:pPr>
        <w:ind w:left="8213" w:hanging="567"/>
      </w:pPr>
      <w:rPr>
        <w:rFonts w:hint="default"/>
        <w:lang w:val="en-ZA" w:eastAsia="en-ZA" w:bidi="en-ZA"/>
      </w:rPr>
    </w:lvl>
  </w:abstractNum>
  <w:abstractNum w:abstractNumId="1" w15:restartNumberingAfterBreak="0">
    <w:nsid w:val="15E645FD"/>
    <w:multiLevelType w:val="hybridMultilevel"/>
    <w:tmpl w:val="93B2A93A"/>
    <w:lvl w:ilvl="0" w:tplc="A7D04EFC">
      <w:start w:val="1"/>
      <w:numFmt w:val="decimal"/>
      <w:lvlText w:val="%1."/>
      <w:lvlJc w:val="left"/>
      <w:pPr>
        <w:ind w:left="719" w:hanging="567"/>
        <w:jc w:val="left"/>
      </w:pPr>
      <w:rPr>
        <w:rFonts w:ascii="Arial" w:eastAsia="Arial" w:hAnsi="Arial" w:cs="Arial" w:hint="default"/>
        <w:spacing w:val="-2"/>
        <w:w w:val="99"/>
        <w:sz w:val="24"/>
        <w:szCs w:val="24"/>
        <w:lang w:val="en-ZA" w:eastAsia="en-ZA" w:bidi="en-ZA"/>
      </w:rPr>
    </w:lvl>
    <w:lvl w:ilvl="1" w:tplc="A1CC81DC">
      <w:start w:val="1"/>
      <w:numFmt w:val="lowerLetter"/>
      <w:lvlText w:val="(%2)"/>
      <w:lvlJc w:val="left"/>
      <w:pPr>
        <w:ind w:left="1233" w:hanging="360"/>
        <w:jc w:val="left"/>
      </w:pPr>
      <w:rPr>
        <w:rFonts w:ascii="Arial" w:eastAsia="Arial" w:hAnsi="Arial" w:cs="Arial" w:hint="default"/>
        <w:i/>
        <w:w w:val="99"/>
        <w:sz w:val="24"/>
        <w:szCs w:val="24"/>
        <w:lang w:val="en-ZA" w:eastAsia="en-ZA" w:bidi="en-ZA"/>
      </w:rPr>
    </w:lvl>
    <w:lvl w:ilvl="2" w:tplc="5A40B36E">
      <w:numFmt w:val="bullet"/>
      <w:lvlText w:val="•"/>
      <w:lvlJc w:val="left"/>
      <w:pPr>
        <w:ind w:left="2207" w:hanging="360"/>
      </w:pPr>
      <w:rPr>
        <w:rFonts w:hint="default"/>
        <w:lang w:val="en-ZA" w:eastAsia="en-ZA" w:bidi="en-ZA"/>
      </w:rPr>
    </w:lvl>
    <w:lvl w:ilvl="3" w:tplc="2BF60282">
      <w:numFmt w:val="bullet"/>
      <w:lvlText w:val="•"/>
      <w:lvlJc w:val="left"/>
      <w:pPr>
        <w:ind w:left="3174" w:hanging="360"/>
      </w:pPr>
      <w:rPr>
        <w:rFonts w:hint="default"/>
        <w:lang w:val="en-ZA" w:eastAsia="en-ZA" w:bidi="en-ZA"/>
      </w:rPr>
    </w:lvl>
    <w:lvl w:ilvl="4" w:tplc="A2E22AE4">
      <w:numFmt w:val="bullet"/>
      <w:lvlText w:val="•"/>
      <w:lvlJc w:val="left"/>
      <w:pPr>
        <w:ind w:left="4142" w:hanging="360"/>
      </w:pPr>
      <w:rPr>
        <w:rFonts w:hint="default"/>
        <w:lang w:val="en-ZA" w:eastAsia="en-ZA" w:bidi="en-ZA"/>
      </w:rPr>
    </w:lvl>
    <w:lvl w:ilvl="5" w:tplc="CEA6440E">
      <w:numFmt w:val="bullet"/>
      <w:lvlText w:val="•"/>
      <w:lvlJc w:val="left"/>
      <w:pPr>
        <w:ind w:left="5109" w:hanging="360"/>
      </w:pPr>
      <w:rPr>
        <w:rFonts w:hint="default"/>
        <w:lang w:val="en-ZA" w:eastAsia="en-ZA" w:bidi="en-ZA"/>
      </w:rPr>
    </w:lvl>
    <w:lvl w:ilvl="6" w:tplc="2758DC7A">
      <w:numFmt w:val="bullet"/>
      <w:lvlText w:val="•"/>
      <w:lvlJc w:val="left"/>
      <w:pPr>
        <w:ind w:left="6076" w:hanging="360"/>
      </w:pPr>
      <w:rPr>
        <w:rFonts w:hint="default"/>
        <w:lang w:val="en-ZA" w:eastAsia="en-ZA" w:bidi="en-ZA"/>
      </w:rPr>
    </w:lvl>
    <w:lvl w:ilvl="7" w:tplc="CB18DB04">
      <w:numFmt w:val="bullet"/>
      <w:lvlText w:val="•"/>
      <w:lvlJc w:val="left"/>
      <w:pPr>
        <w:ind w:left="7044" w:hanging="360"/>
      </w:pPr>
      <w:rPr>
        <w:rFonts w:hint="default"/>
        <w:lang w:val="en-ZA" w:eastAsia="en-ZA" w:bidi="en-ZA"/>
      </w:rPr>
    </w:lvl>
    <w:lvl w:ilvl="8" w:tplc="CAC2006C">
      <w:numFmt w:val="bullet"/>
      <w:lvlText w:val="•"/>
      <w:lvlJc w:val="left"/>
      <w:pPr>
        <w:ind w:left="8011" w:hanging="360"/>
      </w:pPr>
      <w:rPr>
        <w:rFonts w:hint="default"/>
        <w:lang w:val="en-ZA" w:eastAsia="en-ZA" w:bidi="en-ZA"/>
      </w:rPr>
    </w:lvl>
  </w:abstractNum>
  <w:abstractNum w:abstractNumId="2" w15:restartNumberingAfterBreak="0">
    <w:nsid w:val="252A7B22"/>
    <w:multiLevelType w:val="hybridMultilevel"/>
    <w:tmpl w:val="206654CE"/>
    <w:lvl w:ilvl="0" w:tplc="CF8CAEB8">
      <w:start w:val="1"/>
      <w:numFmt w:val="lowerLetter"/>
      <w:lvlText w:val="(%1)"/>
      <w:lvlJc w:val="left"/>
      <w:pPr>
        <w:ind w:left="413" w:hanging="261"/>
        <w:jc w:val="left"/>
      </w:pPr>
      <w:rPr>
        <w:rFonts w:ascii="Calibri" w:eastAsia="Calibri" w:hAnsi="Calibri" w:cs="Calibri" w:hint="default"/>
        <w:spacing w:val="-1"/>
        <w:w w:val="99"/>
        <w:sz w:val="20"/>
        <w:szCs w:val="20"/>
        <w:lang w:val="en-ZA" w:eastAsia="en-ZA" w:bidi="en-ZA"/>
      </w:rPr>
    </w:lvl>
    <w:lvl w:ilvl="1" w:tplc="40101D08">
      <w:numFmt w:val="bullet"/>
      <w:lvlText w:val="•"/>
      <w:lvlJc w:val="left"/>
      <w:pPr>
        <w:ind w:left="1372" w:hanging="261"/>
      </w:pPr>
      <w:rPr>
        <w:rFonts w:hint="default"/>
        <w:lang w:val="en-ZA" w:eastAsia="en-ZA" w:bidi="en-ZA"/>
      </w:rPr>
    </w:lvl>
    <w:lvl w:ilvl="2" w:tplc="0D04A232">
      <w:numFmt w:val="bullet"/>
      <w:lvlText w:val="•"/>
      <w:lvlJc w:val="left"/>
      <w:pPr>
        <w:ind w:left="2325" w:hanging="261"/>
      </w:pPr>
      <w:rPr>
        <w:rFonts w:hint="default"/>
        <w:lang w:val="en-ZA" w:eastAsia="en-ZA" w:bidi="en-ZA"/>
      </w:rPr>
    </w:lvl>
    <w:lvl w:ilvl="3" w:tplc="F94A475C">
      <w:numFmt w:val="bullet"/>
      <w:lvlText w:val="•"/>
      <w:lvlJc w:val="left"/>
      <w:pPr>
        <w:ind w:left="3277" w:hanging="261"/>
      </w:pPr>
      <w:rPr>
        <w:rFonts w:hint="default"/>
        <w:lang w:val="en-ZA" w:eastAsia="en-ZA" w:bidi="en-ZA"/>
      </w:rPr>
    </w:lvl>
    <w:lvl w:ilvl="4" w:tplc="1D326854">
      <w:numFmt w:val="bullet"/>
      <w:lvlText w:val="•"/>
      <w:lvlJc w:val="left"/>
      <w:pPr>
        <w:ind w:left="4230" w:hanging="261"/>
      </w:pPr>
      <w:rPr>
        <w:rFonts w:hint="default"/>
        <w:lang w:val="en-ZA" w:eastAsia="en-ZA" w:bidi="en-ZA"/>
      </w:rPr>
    </w:lvl>
    <w:lvl w:ilvl="5" w:tplc="C76029C6">
      <w:numFmt w:val="bullet"/>
      <w:lvlText w:val="•"/>
      <w:lvlJc w:val="left"/>
      <w:pPr>
        <w:ind w:left="5183" w:hanging="261"/>
      </w:pPr>
      <w:rPr>
        <w:rFonts w:hint="default"/>
        <w:lang w:val="en-ZA" w:eastAsia="en-ZA" w:bidi="en-ZA"/>
      </w:rPr>
    </w:lvl>
    <w:lvl w:ilvl="6" w:tplc="ED78C3FA">
      <w:numFmt w:val="bullet"/>
      <w:lvlText w:val="•"/>
      <w:lvlJc w:val="left"/>
      <w:pPr>
        <w:ind w:left="6135" w:hanging="261"/>
      </w:pPr>
      <w:rPr>
        <w:rFonts w:hint="default"/>
        <w:lang w:val="en-ZA" w:eastAsia="en-ZA" w:bidi="en-ZA"/>
      </w:rPr>
    </w:lvl>
    <w:lvl w:ilvl="7" w:tplc="CFAED70E">
      <w:numFmt w:val="bullet"/>
      <w:lvlText w:val="•"/>
      <w:lvlJc w:val="left"/>
      <w:pPr>
        <w:ind w:left="7088" w:hanging="261"/>
      </w:pPr>
      <w:rPr>
        <w:rFonts w:hint="default"/>
        <w:lang w:val="en-ZA" w:eastAsia="en-ZA" w:bidi="en-ZA"/>
      </w:rPr>
    </w:lvl>
    <w:lvl w:ilvl="8" w:tplc="BE2E8D30">
      <w:numFmt w:val="bullet"/>
      <w:lvlText w:val="•"/>
      <w:lvlJc w:val="left"/>
      <w:pPr>
        <w:ind w:left="8041" w:hanging="261"/>
      </w:pPr>
      <w:rPr>
        <w:rFonts w:hint="default"/>
        <w:lang w:val="en-ZA" w:eastAsia="en-ZA" w:bidi="en-ZA"/>
      </w:rPr>
    </w:lvl>
  </w:abstractNum>
  <w:abstractNum w:abstractNumId="3" w15:restartNumberingAfterBreak="0">
    <w:nsid w:val="520E2279"/>
    <w:multiLevelType w:val="multilevel"/>
    <w:tmpl w:val="7BFAB82C"/>
    <w:lvl w:ilvl="0">
      <w:start w:val="23"/>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ascii="Arial" w:eastAsia="Arial" w:hAnsi="Arial" w:cs="Arial" w:hint="default"/>
        <w:w w:val="99"/>
        <w:sz w:val="24"/>
        <w:szCs w:val="24"/>
        <w:lang w:val="en-ZA" w:eastAsia="en-ZA" w:bidi="en-ZA"/>
      </w:rPr>
    </w:lvl>
    <w:lvl w:ilvl="2">
      <w:numFmt w:val="bullet"/>
      <w:lvlText w:val="•"/>
      <w:lvlJc w:val="left"/>
      <w:pPr>
        <w:ind w:left="3013" w:hanging="567"/>
      </w:pPr>
      <w:rPr>
        <w:rFonts w:hint="default"/>
        <w:lang w:val="en-ZA" w:eastAsia="en-ZA" w:bidi="en-ZA"/>
      </w:rPr>
    </w:lvl>
    <w:lvl w:ilvl="3">
      <w:numFmt w:val="bullet"/>
      <w:lvlText w:val="•"/>
      <w:lvlJc w:val="left"/>
      <w:pPr>
        <w:ind w:left="3879" w:hanging="567"/>
      </w:pPr>
      <w:rPr>
        <w:rFonts w:hint="default"/>
        <w:lang w:val="en-ZA" w:eastAsia="en-ZA" w:bidi="en-ZA"/>
      </w:rPr>
    </w:lvl>
    <w:lvl w:ilvl="4">
      <w:numFmt w:val="bullet"/>
      <w:lvlText w:val="•"/>
      <w:lvlJc w:val="left"/>
      <w:pPr>
        <w:ind w:left="4746" w:hanging="567"/>
      </w:pPr>
      <w:rPr>
        <w:rFonts w:hint="default"/>
        <w:lang w:val="en-ZA" w:eastAsia="en-ZA" w:bidi="en-ZA"/>
      </w:rPr>
    </w:lvl>
    <w:lvl w:ilvl="5">
      <w:numFmt w:val="bullet"/>
      <w:lvlText w:val="•"/>
      <w:lvlJc w:val="left"/>
      <w:pPr>
        <w:ind w:left="5613" w:hanging="567"/>
      </w:pPr>
      <w:rPr>
        <w:rFonts w:hint="default"/>
        <w:lang w:val="en-ZA" w:eastAsia="en-ZA" w:bidi="en-ZA"/>
      </w:rPr>
    </w:lvl>
    <w:lvl w:ilvl="6">
      <w:numFmt w:val="bullet"/>
      <w:lvlText w:val="•"/>
      <w:lvlJc w:val="left"/>
      <w:pPr>
        <w:ind w:left="6479" w:hanging="567"/>
      </w:pPr>
      <w:rPr>
        <w:rFonts w:hint="default"/>
        <w:lang w:val="en-ZA" w:eastAsia="en-ZA" w:bidi="en-ZA"/>
      </w:rPr>
    </w:lvl>
    <w:lvl w:ilvl="7">
      <w:numFmt w:val="bullet"/>
      <w:lvlText w:val="•"/>
      <w:lvlJc w:val="left"/>
      <w:pPr>
        <w:ind w:left="7346" w:hanging="567"/>
      </w:pPr>
      <w:rPr>
        <w:rFonts w:hint="default"/>
        <w:lang w:val="en-ZA" w:eastAsia="en-ZA" w:bidi="en-ZA"/>
      </w:rPr>
    </w:lvl>
    <w:lvl w:ilvl="8">
      <w:numFmt w:val="bullet"/>
      <w:lvlText w:val="•"/>
      <w:lvlJc w:val="left"/>
      <w:pPr>
        <w:ind w:left="8213" w:hanging="567"/>
      </w:pPr>
      <w:rPr>
        <w:rFonts w:hint="default"/>
        <w:lang w:val="en-ZA" w:eastAsia="en-ZA" w:bidi="en-Z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439B"/>
    <w:rsid w:val="00122124"/>
    <w:rsid w:val="004835F8"/>
    <w:rsid w:val="004943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DDA317-AB40-40CD-A9EA-06417237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3</cp:revision>
  <dcterms:created xsi:type="dcterms:W3CDTF">2023-04-13T08:27:00Z</dcterms:created>
  <dcterms:modified xsi:type="dcterms:W3CDTF">2023-07-05T09:13:00Z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for Microsoft 365</vt:lpwstr>
  </property>
  <property fmtid="{D5CDD505-2E9C-101B-9397-08002B2CF9AE}" pid="4" name="LastSaved">
    <vt:filetime>2023-04-13T00:00:00Z</vt:filetime>
  </property>
</Properties>
</file>