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4F" w:rsidRDefault="00C21B4F">
      <w:pPr>
        <w:pStyle w:val="Heading1"/>
        <w:spacing w:before="76" w:line="360" w:lineRule="auto"/>
        <w:ind w:left="3543" w:right="2814" w:hanging="1201"/>
      </w:pPr>
    </w:p>
    <w:p w:rsidR="00DF6584" w:rsidRDefault="0096023B">
      <w:pPr>
        <w:pStyle w:val="Heading1"/>
        <w:spacing w:before="76" w:line="360" w:lineRule="auto"/>
        <w:ind w:left="3543" w:right="2814" w:hanging="1201"/>
      </w:pPr>
      <w:bookmarkStart w:id="0" w:name="_GoBack"/>
      <w:bookmarkEnd w:id="0"/>
      <w:r>
        <w:t>IN THE NATIONAL CONSUMER TRIBUNAL HELD IN CENTURION</w:t>
      </w:r>
    </w:p>
    <w:p w:rsidR="00DF6584" w:rsidRDefault="00DF6584">
      <w:pPr>
        <w:pStyle w:val="BodyText"/>
        <w:spacing w:before="11"/>
        <w:rPr>
          <w:b/>
          <w:sz w:val="35"/>
        </w:rPr>
      </w:pPr>
    </w:p>
    <w:p w:rsidR="00DF6584" w:rsidRDefault="0096023B">
      <w:pPr>
        <w:ind w:left="5365"/>
        <w:rPr>
          <w:b/>
          <w:sz w:val="24"/>
        </w:rPr>
      </w:pPr>
      <w:r>
        <w:rPr>
          <w:sz w:val="24"/>
        </w:rPr>
        <w:t xml:space="preserve">Case Number: </w:t>
      </w:r>
      <w:r>
        <w:rPr>
          <w:b/>
          <w:sz w:val="24"/>
        </w:rPr>
        <w:t>NCT/215218/2022/73(2)(b)</w:t>
      </w:r>
    </w:p>
    <w:p w:rsidR="00DF6584" w:rsidRDefault="00DF6584">
      <w:pPr>
        <w:pStyle w:val="BodyText"/>
        <w:rPr>
          <w:b/>
          <w:sz w:val="26"/>
        </w:rPr>
      </w:pPr>
    </w:p>
    <w:p w:rsidR="00DF6584" w:rsidRDefault="00DF6584">
      <w:pPr>
        <w:pStyle w:val="BodyText"/>
        <w:rPr>
          <w:b/>
          <w:sz w:val="26"/>
        </w:rPr>
      </w:pPr>
    </w:p>
    <w:p w:rsidR="00DF6584" w:rsidRDefault="0096023B">
      <w:pPr>
        <w:pStyle w:val="BodyText"/>
        <w:spacing w:before="194"/>
        <w:ind w:left="232"/>
      </w:pPr>
      <w:r>
        <w:t>In the matter between:</w:t>
      </w:r>
    </w:p>
    <w:p w:rsidR="00DF6584" w:rsidRDefault="00DF6584">
      <w:pPr>
        <w:pStyle w:val="BodyText"/>
        <w:rPr>
          <w:sz w:val="33"/>
        </w:rPr>
      </w:pPr>
    </w:p>
    <w:p w:rsidR="00DF6584" w:rsidRDefault="0096023B">
      <w:pPr>
        <w:tabs>
          <w:tab w:val="left" w:pos="7434"/>
        </w:tabs>
        <w:ind w:left="232"/>
        <w:rPr>
          <w:sz w:val="24"/>
        </w:rPr>
      </w:pPr>
      <w:r>
        <w:rPr>
          <w:b/>
          <w:sz w:val="24"/>
        </w:rPr>
        <w:t>NATIONAL</w:t>
      </w:r>
      <w:r>
        <w:rPr>
          <w:b/>
          <w:spacing w:val="-1"/>
          <w:sz w:val="24"/>
        </w:rPr>
        <w:t xml:space="preserve"> </w:t>
      </w:r>
      <w:r>
        <w:rPr>
          <w:b/>
          <w:sz w:val="24"/>
        </w:rPr>
        <w:t>CONSUMER</w:t>
      </w:r>
      <w:r>
        <w:rPr>
          <w:b/>
          <w:spacing w:val="-1"/>
          <w:sz w:val="24"/>
        </w:rPr>
        <w:t xml:space="preserve"> </w:t>
      </w:r>
      <w:r>
        <w:rPr>
          <w:b/>
          <w:sz w:val="24"/>
        </w:rPr>
        <w:t>COMMISSION</w:t>
      </w:r>
      <w:r>
        <w:rPr>
          <w:b/>
          <w:sz w:val="24"/>
        </w:rPr>
        <w:tab/>
      </w:r>
      <w:r>
        <w:rPr>
          <w:sz w:val="24"/>
        </w:rPr>
        <w:t>APPLICANT</w:t>
      </w:r>
    </w:p>
    <w:p w:rsidR="00DF6584" w:rsidRDefault="00DF6584">
      <w:pPr>
        <w:pStyle w:val="BodyText"/>
        <w:spacing w:before="8"/>
        <w:rPr>
          <w:sz w:val="32"/>
        </w:rPr>
      </w:pPr>
    </w:p>
    <w:p w:rsidR="00DF6584" w:rsidRDefault="0096023B">
      <w:pPr>
        <w:pStyle w:val="BodyText"/>
        <w:spacing w:before="1"/>
        <w:ind w:left="232"/>
      </w:pPr>
      <w:r>
        <w:t>And</w:t>
      </w:r>
    </w:p>
    <w:p w:rsidR="00DF6584" w:rsidRDefault="00DF6584">
      <w:pPr>
        <w:pStyle w:val="BodyText"/>
        <w:rPr>
          <w:sz w:val="33"/>
        </w:rPr>
      </w:pPr>
    </w:p>
    <w:p w:rsidR="00DF6584" w:rsidRDefault="0096023B">
      <w:pPr>
        <w:pStyle w:val="Heading1"/>
      </w:pPr>
      <w:r>
        <w:t>JOHAN and PHILLY AUTO TRADERS CC</w:t>
      </w:r>
    </w:p>
    <w:p w:rsidR="00DF6584" w:rsidRDefault="00DF6584">
      <w:pPr>
        <w:pStyle w:val="BodyText"/>
        <w:spacing w:before="9"/>
        <w:rPr>
          <w:b/>
          <w:sz w:val="32"/>
        </w:rPr>
      </w:pPr>
    </w:p>
    <w:p w:rsidR="00DF6584" w:rsidRDefault="0096023B">
      <w:pPr>
        <w:tabs>
          <w:tab w:val="left" w:pos="7434"/>
        </w:tabs>
        <w:ind w:left="232"/>
        <w:rPr>
          <w:sz w:val="24"/>
        </w:rPr>
      </w:pPr>
      <w:r>
        <w:rPr>
          <w:b/>
          <w:sz w:val="24"/>
        </w:rPr>
        <w:t>Trading as</w:t>
      </w:r>
      <w:r>
        <w:rPr>
          <w:b/>
          <w:spacing w:val="-5"/>
          <w:sz w:val="24"/>
        </w:rPr>
        <w:t xml:space="preserve"> </w:t>
      </w:r>
      <w:r>
        <w:rPr>
          <w:b/>
          <w:sz w:val="24"/>
        </w:rPr>
        <w:t>CARS.COM II</w:t>
      </w:r>
      <w:r>
        <w:rPr>
          <w:b/>
          <w:sz w:val="24"/>
        </w:rPr>
        <w:tab/>
      </w:r>
      <w:r>
        <w:rPr>
          <w:sz w:val="24"/>
        </w:rPr>
        <w:t>RESPONDENT</w:t>
      </w:r>
    </w:p>
    <w:p w:rsidR="00DF6584" w:rsidRDefault="00DF6584">
      <w:pPr>
        <w:pStyle w:val="BodyText"/>
        <w:rPr>
          <w:sz w:val="26"/>
        </w:rPr>
      </w:pPr>
    </w:p>
    <w:p w:rsidR="00DF6584" w:rsidRDefault="00DF6584">
      <w:pPr>
        <w:pStyle w:val="BodyText"/>
        <w:rPr>
          <w:sz w:val="26"/>
        </w:rPr>
      </w:pPr>
    </w:p>
    <w:p w:rsidR="00DF6584" w:rsidRDefault="0096023B">
      <w:pPr>
        <w:spacing w:before="194"/>
        <w:ind w:left="232"/>
        <w:rPr>
          <w:i/>
          <w:sz w:val="24"/>
        </w:rPr>
      </w:pPr>
      <w:r>
        <w:rPr>
          <w:i/>
          <w:sz w:val="24"/>
          <w:u w:val="single"/>
        </w:rPr>
        <w:t>Coram:</w:t>
      </w:r>
    </w:p>
    <w:p w:rsidR="00DF6584" w:rsidRDefault="0096023B">
      <w:pPr>
        <w:pStyle w:val="BodyText"/>
        <w:tabs>
          <w:tab w:val="left" w:pos="2393"/>
        </w:tabs>
        <w:spacing w:before="139"/>
        <w:ind w:left="232"/>
      </w:pPr>
      <w:r>
        <w:t>Dr</w:t>
      </w:r>
      <w:r>
        <w:rPr>
          <w:spacing w:val="-2"/>
        </w:rPr>
        <w:t xml:space="preserve"> </w:t>
      </w:r>
      <w:r>
        <w:t>L. Best</w:t>
      </w:r>
      <w:r>
        <w:tab/>
      </w:r>
      <w:r>
        <w:t>Presiding</w:t>
      </w:r>
      <w:r>
        <w:rPr>
          <w:spacing w:val="3"/>
        </w:rPr>
        <w:t xml:space="preserve"> </w:t>
      </w:r>
      <w:r>
        <w:t>Member</w:t>
      </w:r>
    </w:p>
    <w:p w:rsidR="00DF6584" w:rsidRDefault="0096023B">
      <w:pPr>
        <w:pStyle w:val="BodyText"/>
        <w:tabs>
          <w:tab w:val="left" w:pos="2393"/>
        </w:tabs>
        <w:spacing w:before="137" w:line="360" w:lineRule="auto"/>
        <w:ind w:left="232" w:right="5815"/>
      </w:pPr>
      <w:r>
        <w:t>Ms</w:t>
      </w:r>
      <w:r>
        <w:rPr>
          <w:spacing w:val="-1"/>
        </w:rPr>
        <w:t xml:space="preserve"> </w:t>
      </w:r>
      <w:r>
        <w:t>P. Beck</w:t>
      </w:r>
      <w:r>
        <w:tab/>
        <w:t xml:space="preserve">Tribunal </w:t>
      </w:r>
      <w:r>
        <w:rPr>
          <w:spacing w:val="-4"/>
        </w:rPr>
        <w:t xml:space="preserve">Member </w:t>
      </w:r>
      <w:r>
        <w:t>Dr</w:t>
      </w:r>
      <w:r>
        <w:rPr>
          <w:spacing w:val="-3"/>
        </w:rPr>
        <w:t xml:space="preserve"> </w:t>
      </w:r>
      <w:r>
        <w:t>M.</w:t>
      </w:r>
      <w:r>
        <w:rPr>
          <w:spacing w:val="-1"/>
        </w:rPr>
        <w:t xml:space="preserve"> </w:t>
      </w:r>
      <w:r>
        <w:t>Peenze</w:t>
      </w:r>
      <w:r>
        <w:tab/>
        <w:t>Tribunal</w:t>
      </w:r>
      <w:r>
        <w:rPr>
          <w:spacing w:val="7"/>
        </w:rPr>
        <w:t xml:space="preserve"> </w:t>
      </w:r>
      <w:r>
        <w:rPr>
          <w:spacing w:val="-4"/>
        </w:rPr>
        <w:t>Member</w:t>
      </w:r>
    </w:p>
    <w:p w:rsidR="00DF6584" w:rsidRDefault="00DF6584">
      <w:pPr>
        <w:pStyle w:val="BodyText"/>
        <w:spacing w:before="2"/>
        <w:rPr>
          <w:sz w:val="36"/>
        </w:rPr>
      </w:pPr>
    </w:p>
    <w:p w:rsidR="00DF6584" w:rsidRDefault="0096023B">
      <w:pPr>
        <w:pStyle w:val="BodyText"/>
        <w:tabs>
          <w:tab w:val="left" w:pos="2393"/>
        </w:tabs>
        <w:ind w:left="232"/>
      </w:pPr>
      <w:r>
        <w:t>Date</w:t>
      </w:r>
      <w:r>
        <w:rPr>
          <w:spacing w:val="-2"/>
        </w:rPr>
        <w:t xml:space="preserve"> </w:t>
      </w:r>
      <w:r>
        <w:t>of</w:t>
      </w:r>
      <w:r>
        <w:rPr>
          <w:spacing w:val="-1"/>
        </w:rPr>
        <w:t xml:space="preserve"> </w:t>
      </w:r>
      <w:r>
        <w:t>Hearing:</w:t>
      </w:r>
      <w:r>
        <w:tab/>
        <w:t>5 July 2022</w:t>
      </w:r>
    </w:p>
    <w:p w:rsidR="00DF6584" w:rsidRDefault="0096023B">
      <w:pPr>
        <w:pStyle w:val="BodyText"/>
        <w:spacing w:before="137"/>
        <w:ind w:left="232"/>
      </w:pPr>
      <w:r>
        <w:t>Date of Judgment: 10 July 2022</w:t>
      </w:r>
    </w:p>
    <w:p w:rsidR="00DF6584" w:rsidRDefault="00DF6584">
      <w:pPr>
        <w:pStyle w:val="BodyText"/>
        <w:rPr>
          <w:sz w:val="20"/>
        </w:rPr>
      </w:pPr>
    </w:p>
    <w:p w:rsidR="00DF6584" w:rsidRDefault="0096023B">
      <w:pPr>
        <w:pStyle w:val="BodyText"/>
        <w:spacing w:before="8"/>
      </w:pPr>
      <w:r>
        <w:pict>
          <v:shapetype id="_x0000_t202" coordsize="21600,21600" o:spt="202" path="m,l,21600r21600,l21600,xe">
            <v:stroke joinstyle="miter"/>
            <v:path gradientshapeok="t" o:connecttype="rect"/>
          </v:shapetype>
          <v:shape id="_x0000_s1027" type="#_x0000_t202" style="position:absolute;margin-left:50.75pt;margin-top:16.65pt;width:465.5pt;height:64.95pt;z-index:-251658240;mso-wrap-distance-left:0;mso-wrap-distance-right:0;mso-position-horizontal-relative:page" filled="f" strokeweight=".33864mm">
            <v:textbox inset="0,0,0,0">
              <w:txbxContent>
                <w:p w:rsidR="00DF6584" w:rsidRDefault="00DF6584">
                  <w:pPr>
                    <w:pStyle w:val="BodyText"/>
                    <w:spacing w:before="7"/>
                    <w:rPr>
                      <w:sz w:val="37"/>
                    </w:rPr>
                  </w:pPr>
                </w:p>
                <w:p w:rsidR="00DF6584" w:rsidRDefault="0096023B">
                  <w:pPr>
                    <w:ind w:left="3030" w:right="3031"/>
                    <w:jc w:val="center"/>
                    <w:rPr>
                      <w:b/>
                      <w:sz w:val="24"/>
                    </w:rPr>
                  </w:pPr>
                  <w:r>
                    <w:rPr>
                      <w:b/>
                      <w:sz w:val="24"/>
                    </w:rPr>
                    <w:t>JUDGMENT AND</w:t>
                  </w:r>
                  <w:r>
                    <w:rPr>
                      <w:b/>
                      <w:spacing w:val="1"/>
                      <w:sz w:val="24"/>
                    </w:rPr>
                    <w:t xml:space="preserve"> </w:t>
                  </w:r>
                  <w:r>
                    <w:rPr>
                      <w:b/>
                      <w:sz w:val="24"/>
                    </w:rPr>
                    <w:t>REASONS</w:t>
                  </w:r>
                </w:p>
              </w:txbxContent>
            </v:textbox>
            <w10:wrap type="topAndBottom" anchorx="page"/>
          </v:shape>
        </w:pict>
      </w:r>
    </w:p>
    <w:p w:rsidR="00DF6584" w:rsidRDefault="00DF6584">
      <w:pPr>
        <w:pStyle w:val="BodyText"/>
        <w:rPr>
          <w:sz w:val="20"/>
        </w:rPr>
      </w:pPr>
    </w:p>
    <w:p w:rsidR="00DF6584" w:rsidRDefault="00DF6584">
      <w:pPr>
        <w:pStyle w:val="BodyText"/>
        <w:spacing w:before="5"/>
        <w:rPr>
          <w:sz w:val="26"/>
        </w:rPr>
      </w:pPr>
    </w:p>
    <w:p w:rsidR="00DF6584" w:rsidRDefault="0096023B">
      <w:pPr>
        <w:pStyle w:val="Heading1"/>
        <w:spacing w:before="92"/>
      </w:pPr>
      <w:r>
        <w:t>APPLICANT</w:t>
      </w:r>
    </w:p>
    <w:p w:rsidR="00DF6584" w:rsidRDefault="00DF6584">
      <w:pPr>
        <w:pStyle w:val="BodyText"/>
        <w:rPr>
          <w:b/>
          <w:sz w:val="33"/>
        </w:rPr>
      </w:pPr>
    </w:p>
    <w:p w:rsidR="00DF6584" w:rsidRPr="00C21B4F" w:rsidRDefault="00C21B4F" w:rsidP="00C21B4F">
      <w:pPr>
        <w:tabs>
          <w:tab w:val="left" w:pos="800"/>
        </w:tabs>
        <w:spacing w:line="360" w:lineRule="auto"/>
        <w:ind w:left="799" w:right="153" w:hanging="567"/>
        <w:jc w:val="both"/>
        <w:rPr>
          <w:sz w:val="24"/>
        </w:rPr>
      </w:pPr>
      <w:r>
        <w:rPr>
          <w:spacing w:val="-32"/>
          <w:w w:val="99"/>
          <w:sz w:val="24"/>
        </w:rPr>
        <w:t>1.</w:t>
      </w:r>
      <w:r>
        <w:rPr>
          <w:spacing w:val="-32"/>
          <w:w w:val="99"/>
          <w:sz w:val="24"/>
        </w:rPr>
        <w:tab/>
      </w:r>
      <w:r w:rsidR="0096023B" w:rsidRPr="00C21B4F">
        <w:rPr>
          <w:sz w:val="24"/>
        </w:rPr>
        <w:t>The Applicant in this matter is the National Consumer Commission, a juristic person established by section 85 of the Consumer Protection Act 68 of 2008 (“the CPA”) (“the Applicant or “the</w:t>
      </w:r>
      <w:r w:rsidR="0096023B" w:rsidRPr="00C21B4F">
        <w:rPr>
          <w:spacing w:val="-7"/>
          <w:sz w:val="24"/>
        </w:rPr>
        <w:t xml:space="preserve"> </w:t>
      </w:r>
      <w:r w:rsidR="0096023B" w:rsidRPr="00C21B4F">
        <w:rPr>
          <w:sz w:val="24"/>
        </w:rPr>
        <w:t>NCC”).</w:t>
      </w:r>
    </w:p>
    <w:p w:rsidR="00DF6584" w:rsidRDefault="00DF6584">
      <w:pPr>
        <w:pStyle w:val="BodyText"/>
        <w:spacing w:before="9"/>
        <w:rPr>
          <w:sz w:val="20"/>
        </w:rPr>
      </w:pPr>
    </w:p>
    <w:p w:rsidR="00DF6584" w:rsidRPr="00C21B4F" w:rsidRDefault="00C21B4F" w:rsidP="00C21B4F">
      <w:pPr>
        <w:tabs>
          <w:tab w:val="left" w:pos="799"/>
          <w:tab w:val="left" w:pos="800"/>
        </w:tabs>
        <w:spacing w:line="360" w:lineRule="auto"/>
        <w:ind w:left="799" w:right="717" w:hanging="567"/>
        <w:rPr>
          <w:sz w:val="24"/>
        </w:rPr>
      </w:pPr>
      <w:r>
        <w:rPr>
          <w:spacing w:val="-32"/>
          <w:w w:val="99"/>
          <w:sz w:val="24"/>
        </w:rPr>
        <w:t>2.</w:t>
      </w:r>
      <w:r>
        <w:rPr>
          <w:spacing w:val="-32"/>
          <w:w w:val="99"/>
          <w:sz w:val="24"/>
        </w:rPr>
        <w:tab/>
      </w:r>
      <w:r w:rsidR="0096023B" w:rsidRPr="00C21B4F">
        <w:rPr>
          <w:sz w:val="24"/>
        </w:rPr>
        <w:t>At the hearing, the Applicant was represented by Mr Ludwe Biyana, Senior Legal Advisor in the employ of the</w:t>
      </w:r>
      <w:r w:rsidR="0096023B" w:rsidRPr="00C21B4F">
        <w:rPr>
          <w:spacing w:val="-8"/>
          <w:sz w:val="24"/>
        </w:rPr>
        <w:t xml:space="preserve"> </w:t>
      </w:r>
      <w:r w:rsidR="0096023B" w:rsidRPr="00C21B4F">
        <w:rPr>
          <w:sz w:val="24"/>
        </w:rPr>
        <w:t>Applicant.</w:t>
      </w:r>
    </w:p>
    <w:p w:rsidR="00DF6584" w:rsidRDefault="00DF6584">
      <w:pPr>
        <w:spacing w:line="360" w:lineRule="auto"/>
        <w:rPr>
          <w:sz w:val="24"/>
        </w:rPr>
        <w:sectPr w:rsidR="00DF6584">
          <w:type w:val="continuous"/>
          <w:pgSz w:w="11910" w:h="16840"/>
          <w:pgMar w:top="1120" w:right="980" w:bottom="280" w:left="900" w:header="720" w:footer="720" w:gutter="0"/>
          <w:cols w:space="720"/>
        </w:sectPr>
      </w:pPr>
    </w:p>
    <w:p w:rsidR="00DF6584" w:rsidRDefault="0096023B">
      <w:pPr>
        <w:pStyle w:val="Heading1"/>
        <w:spacing w:before="82"/>
      </w:pPr>
      <w:r>
        <w:lastRenderedPageBreak/>
        <w:t>RESPONDENT</w:t>
      </w:r>
    </w:p>
    <w:p w:rsidR="00DF6584" w:rsidRDefault="00DF6584">
      <w:pPr>
        <w:pStyle w:val="BodyText"/>
        <w:rPr>
          <w:b/>
          <w:sz w:val="33"/>
        </w:rPr>
      </w:pPr>
    </w:p>
    <w:p w:rsidR="00DF6584" w:rsidRPr="00C21B4F" w:rsidRDefault="00C21B4F" w:rsidP="00C21B4F">
      <w:pPr>
        <w:tabs>
          <w:tab w:val="left" w:pos="799"/>
          <w:tab w:val="left" w:pos="800"/>
        </w:tabs>
        <w:spacing w:line="360" w:lineRule="auto"/>
        <w:ind w:left="799" w:right="158" w:hanging="567"/>
        <w:rPr>
          <w:sz w:val="24"/>
        </w:rPr>
      </w:pPr>
      <w:r>
        <w:rPr>
          <w:spacing w:val="-32"/>
          <w:w w:val="99"/>
          <w:sz w:val="24"/>
        </w:rPr>
        <w:t>3.</w:t>
      </w:r>
      <w:r>
        <w:rPr>
          <w:spacing w:val="-32"/>
          <w:w w:val="99"/>
          <w:sz w:val="24"/>
        </w:rPr>
        <w:tab/>
      </w:r>
      <w:r w:rsidR="0096023B" w:rsidRPr="00C21B4F">
        <w:rPr>
          <w:sz w:val="24"/>
        </w:rPr>
        <w:t>The Respondent is Johan and Philly Auto Traders CC trading as Cars.Com II, a dealer in motor vehicles (“the R</w:t>
      </w:r>
      <w:r w:rsidR="0096023B" w:rsidRPr="00C21B4F">
        <w:rPr>
          <w:sz w:val="24"/>
        </w:rPr>
        <w:t>espondent” or</w:t>
      </w:r>
      <w:r w:rsidR="0096023B" w:rsidRPr="00C21B4F">
        <w:rPr>
          <w:spacing w:val="-6"/>
          <w:sz w:val="24"/>
        </w:rPr>
        <w:t xml:space="preserve"> </w:t>
      </w:r>
      <w:r w:rsidR="0096023B" w:rsidRPr="00C21B4F">
        <w:rPr>
          <w:sz w:val="24"/>
        </w:rPr>
        <w:t>“Cars.Com”).</w:t>
      </w:r>
    </w:p>
    <w:p w:rsidR="00DF6584" w:rsidRDefault="00DF6584">
      <w:pPr>
        <w:pStyle w:val="BodyText"/>
        <w:spacing w:before="10"/>
        <w:rPr>
          <w:sz w:val="20"/>
        </w:rPr>
      </w:pPr>
    </w:p>
    <w:p w:rsidR="00DF6584" w:rsidRPr="00C21B4F" w:rsidRDefault="00C21B4F" w:rsidP="00C21B4F">
      <w:pPr>
        <w:tabs>
          <w:tab w:val="left" w:pos="799"/>
          <w:tab w:val="left" w:pos="800"/>
        </w:tabs>
        <w:spacing w:line="360" w:lineRule="auto"/>
        <w:ind w:left="799" w:right="154" w:hanging="567"/>
        <w:rPr>
          <w:sz w:val="24"/>
        </w:rPr>
      </w:pPr>
      <w:r>
        <w:rPr>
          <w:spacing w:val="-32"/>
          <w:w w:val="99"/>
          <w:sz w:val="24"/>
        </w:rPr>
        <w:t>4.</w:t>
      </w:r>
      <w:r>
        <w:rPr>
          <w:spacing w:val="-32"/>
          <w:w w:val="99"/>
          <w:sz w:val="24"/>
        </w:rPr>
        <w:tab/>
      </w:r>
      <w:r w:rsidR="0096023B" w:rsidRPr="00C21B4F">
        <w:rPr>
          <w:sz w:val="24"/>
        </w:rPr>
        <w:t>At the hearing, the Respondent was represented by Mr Steve Bester of Steve Bester Attorneys.</w:t>
      </w:r>
    </w:p>
    <w:p w:rsidR="00DF6584" w:rsidRDefault="00DF6584">
      <w:pPr>
        <w:pStyle w:val="BodyText"/>
        <w:spacing w:before="10"/>
        <w:rPr>
          <w:sz w:val="20"/>
        </w:rPr>
      </w:pPr>
    </w:p>
    <w:p w:rsidR="00DF6584" w:rsidRDefault="0096023B">
      <w:pPr>
        <w:pStyle w:val="Heading1"/>
      </w:pPr>
      <w:r>
        <w:t>JURISDICTION</w:t>
      </w:r>
    </w:p>
    <w:p w:rsidR="00DF6584" w:rsidRDefault="00DF6584">
      <w:pPr>
        <w:pStyle w:val="BodyText"/>
        <w:spacing w:before="9"/>
        <w:rPr>
          <w:b/>
          <w:sz w:val="32"/>
        </w:rPr>
      </w:pPr>
    </w:p>
    <w:p w:rsidR="00DF6584" w:rsidRPr="00C21B4F" w:rsidRDefault="00C21B4F" w:rsidP="00C21B4F">
      <w:pPr>
        <w:tabs>
          <w:tab w:val="left" w:pos="954"/>
        </w:tabs>
        <w:spacing w:line="360" w:lineRule="auto"/>
        <w:ind w:left="953" w:right="151" w:hanging="721"/>
        <w:jc w:val="both"/>
        <w:rPr>
          <w:sz w:val="24"/>
        </w:rPr>
      </w:pPr>
      <w:r>
        <w:rPr>
          <w:spacing w:val="-32"/>
          <w:w w:val="99"/>
          <w:sz w:val="24"/>
        </w:rPr>
        <w:t>5.</w:t>
      </w:r>
      <w:r>
        <w:rPr>
          <w:spacing w:val="-32"/>
          <w:w w:val="99"/>
          <w:sz w:val="24"/>
        </w:rPr>
        <w:tab/>
      </w:r>
      <w:r w:rsidR="0096023B" w:rsidRPr="00C21B4F">
        <w:rPr>
          <w:sz w:val="24"/>
        </w:rPr>
        <w:t>Section 27(a)(i) of the National Credit Act, 2005 (“the NCA”) empowers the Tribunal or a Tribunal member acting alone to</w:t>
      </w:r>
      <w:r w:rsidR="0096023B" w:rsidRPr="00C21B4F">
        <w:rPr>
          <w:sz w:val="24"/>
        </w:rPr>
        <w:t xml:space="preserve"> adjudicate in relation to any application that may be made to it in terms of the NCA or the CPA. Section 150 of the NCA empowers the Tribunal to make an appropriate order concerning prohibited or required conduct under the NCA or the CPA. The Tribunal, th</w:t>
      </w:r>
      <w:r w:rsidR="0096023B" w:rsidRPr="00C21B4F">
        <w:rPr>
          <w:sz w:val="24"/>
        </w:rPr>
        <w:t>erefore, has jurisdiction to hear this</w:t>
      </w:r>
      <w:r w:rsidR="0096023B" w:rsidRPr="00C21B4F">
        <w:rPr>
          <w:spacing w:val="-5"/>
          <w:sz w:val="24"/>
        </w:rPr>
        <w:t xml:space="preserve"> </w:t>
      </w:r>
      <w:r w:rsidR="0096023B" w:rsidRPr="00C21B4F">
        <w:rPr>
          <w:sz w:val="24"/>
        </w:rPr>
        <w:t>application.</w:t>
      </w:r>
    </w:p>
    <w:p w:rsidR="00DF6584" w:rsidRDefault="00DF6584">
      <w:pPr>
        <w:pStyle w:val="BodyText"/>
        <w:rPr>
          <w:sz w:val="36"/>
        </w:rPr>
      </w:pPr>
    </w:p>
    <w:p w:rsidR="00DF6584" w:rsidRDefault="0096023B">
      <w:pPr>
        <w:pStyle w:val="Heading1"/>
        <w:rPr>
          <w:rFonts w:ascii="Arial Narrow"/>
        </w:rPr>
      </w:pPr>
      <w:r>
        <w:rPr>
          <w:rFonts w:ascii="Arial Narrow"/>
        </w:rPr>
        <w:t>APPLICATION TYPE AND THE RELIEF SOUGHT</w:t>
      </w:r>
    </w:p>
    <w:p w:rsidR="00DF6584" w:rsidRDefault="00DF6584">
      <w:pPr>
        <w:pStyle w:val="BodyText"/>
        <w:rPr>
          <w:rFonts w:ascii="Arial Narrow"/>
          <w:b/>
          <w:sz w:val="28"/>
        </w:rPr>
      </w:pPr>
    </w:p>
    <w:p w:rsidR="00DF6584" w:rsidRDefault="00DF6584">
      <w:pPr>
        <w:pStyle w:val="BodyText"/>
        <w:spacing w:before="5"/>
        <w:rPr>
          <w:rFonts w:ascii="Arial Narrow"/>
          <w:b/>
          <w:sz w:val="37"/>
        </w:rPr>
      </w:pPr>
    </w:p>
    <w:p w:rsidR="00DF6584" w:rsidRPr="00C21B4F" w:rsidRDefault="00C21B4F" w:rsidP="00C21B4F">
      <w:pPr>
        <w:tabs>
          <w:tab w:val="left" w:pos="953"/>
          <w:tab w:val="left" w:pos="954"/>
        </w:tabs>
        <w:spacing w:before="1"/>
        <w:ind w:left="953" w:hanging="722"/>
        <w:rPr>
          <w:sz w:val="24"/>
        </w:rPr>
      </w:pPr>
      <w:r>
        <w:rPr>
          <w:spacing w:val="-32"/>
          <w:w w:val="99"/>
          <w:sz w:val="24"/>
        </w:rPr>
        <w:t>6.</w:t>
      </w:r>
      <w:r>
        <w:rPr>
          <w:spacing w:val="-32"/>
          <w:w w:val="99"/>
          <w:sz w:val="24"/>
        </w:rPr>
        <w:tab/>
      </w:r>
      <w:r w:rsidR="0096023B" w:rsidRPr="00C21B4F">
        <w:rPr>
          <w:sz w:val="24"/>
        </w:rPr>
        <w:t>The Applicant brings this application in terms of Section 73 (2) (b) of the</w:t>
      </w:r>
      <w:r w:rsidR="0096023B" w:rsidRPr="00C21B4F">
        <w:rPr>
          <w:spacing w:val="-24"/>
          <w:sz w:val="24"/>
        </w:rPr>
        <w:t xml:space="preserve"> </w:t>
      </w:r>
      <w:r w:rsidR="0096023B" w:rsidRPr="00C21B4F">
        <w:rPr>
          <w:sz w:val="24"/>
        </w:rPr>
        <w:t>CPA.</w:t>
      </w:r>
    </w:p>
    <w:p w:rsidR="00DF6584" w:rsidRDefault="00DF6584">
      <w:pPr>
        <w:pStyle w:val="BodyText"/>
        <w:rPr>
          <w:sz w:val="26"/>
        </w:rPr>
      </w:pPr>
    </w:p>
    <w:p w:rsidR="00DF6584" w:rsidRDefault="00DF6584">
      <w:pPr>
        <w:pStyle w:val="BodyText"/>
        <w:rPr>
          <w:sz w:val="31"/>
        </w:rPr>
      </w:pPr>
    </w:p>
    <w:p w:rsidR="00DF6584" w:rsidRPr="00C21B4F" w:rsidRDefault="00C21B4F" w:rsidP="00C21B4F">
      <w:pPr>
        <w:tabs>
          <w:tab w:val="left" w:pos="799"/>
          <w:tab w:val="left" w:pos="800"/>
        </w:tabs>
        <w:spacing w:line="360" w:lineRule="auto"/>
        <w:ind w:left="799" w:right="159" w:hanging="567"/>
        <w:rPr>
          <w:sz w:val="24"/>
        </w:rPr>
      </w:pPr>
      <w:r>
        <w:rPr>
          <w:spacing w:val="-32"/>
          <w:w w:val="99"/>
          <w:sz w:val="24"/>
        </w:rPr>
        <w:t>7.</w:t>
      </w:r>
      <w:r>
        <w:rPr>
          <w:spacing w:val="-32"/>
          <w:w w:val="99"/>
          <w:sz w:val="24"/>
        </w:rPr>
        <w:tab/>
      </w:r>
      <w:r w:rsidR="0096023B" w:rsidRPr="00C21B4F">
        <w:rPr>
          <w:sz w:val="24"/>
        </w:rPr>
        <w:t>The NCC alleges that it received a complaint, conducted an investigation, and referred the complaint to the Tribunal. The NCC seeks an</w:t>
      </w:r>
      <w:r w:rsidR="0096023B" w:rsidRPr="00C21B4F">
        <w:rPr>
          <w:spacing w:val="-7"/>
          <w:sz w:val="24"/>
        </w:rPr>
        <w:t xml:space="preserve"> </w:t>
      </w:r>
      <w:r w:rsidR="0096023B" w:rsidRPr="00C21B4F">
        <w:rPr>
          <w:sz w:val="24"/>
        </w:rPr>
        <w:t>order:</w:t>
      </w:r>
    </w:p>
    <w:p w:rsidR="00DF6584" w:rsidRDefault="00DF6584">
      <w:pPr>
        <w:pStyle w:val="BodyText"/>
        <w:rPr>
          <w:sz w:val="26"/>
        </w:rPr>
      </w:pPr>
    </w:p>
    <w:p w:rsidR="00DF6584" w:rsidRPr="00C21B4F" w:rsidRDefault="00C21B4F" w:rsidP="00C21B4F">
      <w:pPr>
        <w:tabs>
          <w:tab w:val="left" w:pos="1365"/>
          <w:tab w:val="left" w:pos="1366"/>
        </w:tabs>
        <w:spacing w:before="217" w:line="360" w:lineRule="auto"/>
        <w:ind w:left="1366" w:right="158" w:hanging="540"/>
        <w:rPr>
          <w:sz w:val="24"/>
        </w:rPr>
      </w:pPr>
      <w:r>
        <w:rPr>
          <w:spacing w:val="-4"/>
          <w:w w:val="99"/>
          <w:sz w:val="24"/>
          <w:szCs w:val="24"/>
        </w:rPr>
        <w:t>a.</w:t>
      </w:r>
      <w:r>
        <w:rPr>
          <w:spacing w:val="-4"/>
          <w:w w:val="99"/>
          <w:sz w:val="24"/>
          <w:szCs w:val="24"/>
        </w:rPr>
        <w:tab/>
      </w:r>
      <w:r w:rsidR="0096023B" w:rsidRPr="00C21B4F">
        <w:rPr>
          <w:sz w:val="24"/>
        </w:rPr>
        <w:t>Declaring the Respondent’s contravention of Section 55(2)(a) to (c) and Section 56(2)(b) of the CPA as prohibited</w:t>
      </w:r>
      <w:r w:rsidR="0096023B" w:rsidRPr="00C21B4F">
        <w:rPr>
          <w:spacing w:val="-8"/>
          <w:sz w:val="24"/>
        </w:rPr>
        <w:t xml:space="preserve"> </w:t>
      </w:r>
      <w:r w:rsidR="0096023B" w:rsidRPr="00C21B4F">
        <w:rPr>
          <w:sz w:val="24"/>
        </w:rPr>
        <w:t>conduct.</w:t>
      </w:r>
    </w:p>
    <w:p w:rsidR="00DF6584" w:rsidRDefault="00DF6584">
      <w:pPr>
        <w:pStyle w:val="BodyText"/>
        <w:rPr>
          <w:sz w:val="26"/>
        </w:rPr>
      </w:pPr>
    </w:p>
    <w:p w:rsidR="00DF6584" w:rsidRPr="00C21B4F" w:rsidRDefault="00C21B4F" w:rsidP="00C21B4F">
      <w:pPr>
        <w:tabs>
          <w:tab w:val="left" w:pos="1365"/>
          <w:tab w:val="left" w:pos="1366"/>
        </w:tabs>
        <w:spacing w:before="219"/>
        <w:ind w:left="1366" w:hanging="540"/>
        <w:rPr>
          <w:sz w:val="24"/>
        </w:rPr>
      </w:pPr>
      <w:r>
        <w:rPr>
          <w:spacing w:val="-4"/>
          <w:w w:val="99"/>
          <w:sz w:val="24"/>
          <w:szCs w:val="24"/>
        </w:rPr>
        <w:t>b.</w:t>
      </w:r>
      <w:r>
        <w:rPr>
          <w:spacing w:val="-4"/>
          <w:w w:val="99"/>
          <w:sz w:val="24"/>
          <w:szCs w:val="24"/>
        </w:rPr>
        <w:tab/>
      </w:r>
      <w:r w:rsidR="0096023B" w:rsidRPr="00C21B4F">
        <w:rPr>
          <w:sz w:val="24"/>
        </w:rPr>
        <w:t>Interdicting the Respondent from engaging in future prohibited</w:t>
      </w:r>
      <w:r w:rsidR="0096023B" w:rsidRPr="00C21B4F">
        <w:rPr>
          <w:spacing w:val="-12"/>
          <w:sz w:val="24"/>
        </w:rPr>
        <w:t xml:space="preserve"> </w:t>
      </w:r>
      <w:r w:rsidR="0096023B" w:rsidRPr="00C21B4F">
        <w:rPr>
          <w:sz w:val="24"/>
        </w:rPr>
        <w:t>conduct.</w:t>
      </w:r>
    </w:p>
    <w:p w:rsidR="00DF6584" w:rsidRDefault="00DF6584">
      <w:pPr>
        <w:pStyle w:val="BodyText"/>
        <w:rPr>
          <w:sz w:val="26"/>
        </w:rPr>
      </w:pPr>
    </w:p>
    <w:p w:rsidR="00DF6584" w:rsidRDefault="00DF6584">
      <w:pPr>
        <w:pStyle w:val="BodyText"/>
        <w:spacing w:before="1"/>
        <w:rPr>
          <w:sz w:val="31"/>
        </w:rPr>
      </w:pPr>
    </w:p>
    <w:p w:rsidR="00DF6584" w:rsidRPr="00C21B4F" w:rsidRDefault="00C21B4F" w:rsidP="00C21B4F">
      <w:pPr>
        <w:tabs>
          <w:tab w:val="left" w:pos="1365"/>
          <w:tab w:val="left" w:pos="1366"/>
        </w:tabs>
        <w:spacing w:line="360" w:lineRule="auto"/>
        <w:ind w:left="1366" w:right="154" w:hanging="540"/>
        <w:rPr>
          <w:sz w:val="24"/>
        </w:rPr>
      </w:pPr>
      <w:r>
        <w:rPr>
          <w:spacing w:val="-4"/>
          <w:w w:val="99"/>
          <w:sz w:val="24"/>
          <w:szCs w:val="24"/>
        </w:rPr>
        <w:t>c.</w:t>
      </w:r>
      <w:r>
        <w:rPr>
          <w:spacing w:val="-4"/>
          <w:w w:val="99"/>
          <w:sz w:val="24"/>
          <w:szCs w:val="24"/>
        </w:rPr>
        <w:tab/>
      </w:r>
      <w:r w:rsidR="0096023B" w:rsidRPr="00C21B4F">
        <w:rPr>
          <w:color w:val="303030"/>
          <w:w w:val="105"/>
          <w:sz w:val="24"/>
        </w:rPr>
        <w:t>Directing the Respondent to refund the Consumer the Purchase Price paid for the Motor Vehicle as contemplated in Section 56(2)( b) of the</w:t>
      </w:r>
      <w:r w:rsidR="0096023B" w:rsidRPr="00C21B4F">
        <w:rPr>
          <w:color w:val="303030"/>
          <w:spacing w:val="-39"/>
          <w:w w:val="105"/>
          <w:sz w:val="24"/>
        </w:rPr>
        <w:t xml:space="preserve"> </w:t>
      </w:r>
      <w:r w:rsidR="0096023B" w:rsidRPr="00C21B4F">
        <w:rPr>
          <w:color w:val="303030"/>
          <w:w w:val="105"/>
          <w:sz w:val="24"/>
        </w:rPr>
        <w:t>CPA.</w:t>
      </w:r>
    </w:p>
    <w:p w:rsidR="00DF6584" w:rsidRDefault="00DF6584">
      <w:pPr>
        <w:pStyle w:val="BodyText"/>
        <w:rPr>
          <w:sz w:val="26"/>
        </w:rPr>
      </w:pPr>
    </w:p>
    <w:p w:rsidR="00DF6584" w:rsidRPr="00C21B4F" w:rsidRDefault="00C21B4F" w:rsidP="00C21B4F">
      <w:pPr>
        <w:tabs>
          <w:tab w:val="left" w:pos="1365"/>
          <w:tab w:val="left" w:pos="1366"/>
        </w:tabs>
        <w:spacing w:before="219" w:line="360" w:lineRule="auto"/>
        <w:ind w:left="1366" w:right="146" w:hanging="540"/>
        <w:rPr>
          <w:sz w:val="24"/>
        </w:rPr>
      </w:pPr>
      <w:r>
        <w:rPr>
          <w:spacing w:val="-4"/>
          <w:w w:val="99"/>
          <w:sz w:val="24"/>
          <w:szCs w:val="24"/>
        </w:rPr>
        <w:t>d.</w:t>
      </w:r>
      <w:r>
        <w:rPr>
          <w:spacing w:val="-4"/>
          <w:w w:val="99"/>
          <w:sz w:val="24"/>
          <w:szCs w:val="24"/>
        </w:rPr>
        <w:tab/>
      </w:r>
      <w:r w:rsidR="0096023B" w:rsidRPr="00C21B4F">
        <w:rPr>
          <w:color w:val="303030"/>
          <w:w w:val="105"/>
          <w:sz w:val="24"/>
        </w:rPr>
        <w:t>Directing the Respondent to</w:t>
      </w:r>
      <w:r w:rsidR="0096023B" w:rsidRPr="00C21B4F">
        <w:rPr>
          <w:color w:val="303030"/>
          <w:w w:val="105"/>
          <w:sz w:val="24"/>
        </w:rPr>
        <w:t xml:space="preserve"> pay the refund within 15 days of the date of Judgment.</w:t>
      </w:r>
    </w:p>
    <w:p w:rsidR="00DF6584" w:rsidRDefault="00DF6584">
      <w:pPr>
        <w:spacing w:line="360" w:lineRule="auto"/>
        <w:rPr>
          <w:sz w:val="24"/>
        </w:rPr>
        <w:sectPr w:rsidR="00DF6584">
          <w:headerReference w:type="default" r:id="rId7"/>
          <w:footerReference w:type="default" r:id="rId8"/>
          <w:pgSz w:w="11910" w:h="16840"/>
          <w:pgMar w:top="1000" w:right="980" w:bottom="740" w:left="900" w:header="289" w:footer="554" w:gutter="0"/>
          <w:pgNumType w:start="2"/>
          <w:cols w:space="720"/>
        </w:sectPr>
      </w:pPr>
    </w:p>
    <w:p w:rsidR="00DF6584" w:rsidRPr="00C21B4F" w:rsidRDefault="00C21B4F" w:rsidP="00C21B4F">
      <w:pPr>
        <w:tabs>
          <w:tab w:val="left" w:pos="1365"/>
          <w:tab w:val="left" w:pos="1366"/>
        </w:tabs>
        <w:spacing w:before="82" w:line="360" w:lineRule="auto"/>
        <w:ind w:left="1366" w:right="194" w:hanging="540"/>
        <w:rPr>
          <w:sz w:val="24"/>
        </w:rPr>
      </w:pPr>
      <w:r>
        <w:rPr>
          <w:spacing w:val="-4"/>
          <w:w w:val="99"/>
          <w:sz w:val="24"/>
          <w:szCs w:val="24"/>
        </w:rPr>
        <w:lastRenderedPageBreak/>
        <w:t>e.</w:t>
      </w:r>
      <w:r>
        <w:rPr>
          <w:spacing w:val="-4"/>
          <w:w w:val="99"/>
          <w:sz w:val="24"/>
          <w:szCs w:val="24"/>
        </w:rPr>
        <w:tab/>
      </w:r>
      <w:r w:rsidR="0096023B" w:rsidRPr="00C21B4F">
        <w:rPr>
          <w:color w:val="303030"/>
          <w:w w:val="105"/>
          <w:sz w:val="24"/>
        </w:rPr>
        <w:t>Directing the Respondent to pay an administrative fine as contemplated i n section</w:t>
      </w:r>
      <w:r w:rsidR="0096023B" w:rsidRPr="00C21B4F">
        <w:rPr>
          <w:color w:val="303030"/>
          <w:spacing w:val="1"/>
          <w:w w:val="105"/>
          <w:sz w:val="24"/>
        </w:rPr>
        <w:t xml:space="preserve"> </w:t>
      </w:r>
      <w:r w:rsidR="0096023B" w:rsidRPr="00C21B4F">
        <w:rPr>
          <w:color w:val="303030"/>
          <w:w w:val="105"/>
          <w:sz w:val="24"/>
        </w:rPr>
        <w:t>112(2).</w:t>
      </w:r>
    </w:p>
    <w:p w:rsidR="00DF6584" w:rsidRDefault="00DF6584">
      <w:pPr>
        <w:pStyle w:val="BodyText"/>
        <w:spacing w:before="10"/>
        <w:rPr>
          <w:sz w:val="20"/>
        </w:rPr>
      </w:pPr>
    </w:p>
    <w:p w:rsidR="00DF6584" w:rsidRDefault="0096023B">
      <w:pPr>
        <w:pStyle w:val="Heading1"/>
      </w:pPr>
      <w:r>
        <w:t>BACKGROUND</w:t>
      </w:r>
    </w:p>
    <w:p w:rsidR="00DF6584" w:rsidRDefault="00DF6584">
      <w:pPr>
        <w:pStyle w:val="BodyText"/>
        <w:rPr>
          <w:b/>
          <w:sz w:val="33"/>
        </w:rPr>
      </w:pPr>
    </w:p>
    <w:p w:rsidR="00DF6584" w:rsidRPr="00C21B4F" w:rsidRDefault="00C21B4F" w:rsidP="00C21B4F">
      <w:pPr>
        <w:tabs>
          <w:tab w:val="left" w:pos="954"/>
        </w:tabs>
        <w:spacing w:line="360" w:lineRule="auto"/>
        <w:ind w:left="953" w:right="148" w:hanging="721"/>
        <w:jc w:val="both"/>
        <w:rPr>
          <w:sz w:val="24"/>
        </w:rPr>
      </w:pPr>
      <w:r>
        <w:rPr>
          <w:spacing w:val="-32"/>
          <w:w w:val="99"/>
          <w:sz w:val="24"/>
        </w:rPr>
        <w:t>8.</w:t>
      </w:r>
      <w:r>
        <w:rPr>
          <w:spacing w:val="-32"/>
          <w:w w:val="99"/>
          <w:sz w:val="24"/>
        </w:rPr>
        <w:tab/>
      </w:r>
      <w:r w:rsidR="0096023B" w:rsidRPr="00C21B4F">
        <w:rPr>
          <w:sz w:val="24"/>
        </w:rPr>
        <w:t>The NCC filed an application with the Tribunal on 13 January 2022, in terms of section 73(2)(b) of the CPA. It is convenient to set out the background to this matter as reflected in the documents before the</w:t>
      </w:r>
      <w:r w:rsidR="0096023B" w:rsidRPr="00C21B4F">
        <w:rPr>
          <w:spacing w:val="-6"/>
          <w:sz w:val="24"/>
        </w:rPr>
        <w:t xml:space="preserve"> </w:t>
      </w:r>
      <w:r w:rsidR="0096023B" w:rsidRPr="00C21B4F">
        <w:rPr>
          <w:sz w:val="24"/>
        </w:rPr>
        <w:t>Tribunal.</w:t>
      </w:r>
    </w:p>
    <w:p w:rsidR="00DF6584" w:rsidRDefault="00DF6584">
      <w:pPr>
        <w:pStyle w:val="BodyText"/>
        <w:spacing w:before="9"/>
        <w:rPr>
          <w:sz w:val="20"/>
        </w:rPr>
      </w:pPr>
    </w:p>
    <w:p w:rsidR="00DF6584" w:rsidRPr="00C21B4F" w:rsidRDefault="00C21B4F" w:rsidP="00C21B4F">
      <w:pPr>
        <w:tabs>
          <w:tab w:val="left" w:pos="800"/>
        </w:tabs>
        <w:spacing w:line="360" w:lineRule="auto"/>
        <w:ind w:left="799" w:right="151" w:hanging="567"/>
        <w:jc w:val="both"/>
        <w:rPr>
          <w:sz w:val="24"/>
        </w:rPr>
      </w:pPr>
      <w:r>
        <w:rPr>
          <w:spacing w:val="-32"/>
          <w:w w:val="99"/>
          <w:sz w:val="24"/>
        </w:rPr>
        <w:t>9.</w:t>
      </w:r>
      <w:r>
        <w:rPr>
          <w:spacing w:val="-32"/>
          <w:w w:val="99"/>
          <w:sz w:val="24"/>
        </w:rPr>
        <w:tab/>
      </w:r>
      <w:r w:rsidR="0096023B" w:rsidRPr="00C21B4F">
        <w:rPr>
          <w:sz w:val="24"/>
        </w:rPr>
        <w:t>The NCC alleges Cars.Com sold a defect</w:t>
      </w:r>
      <w:r w:rsidR="0096023B" w:rsidRPr="00C21B4F">
        <w:rPr>
          <w:sz w:val="24"/>
        </w:rPr>
        <w:t>ive vehicle to Ms Banyatsang Gladys Medupe (“Ms Medupe”) in July 2018.</w:t>
      </w:r>
    </w:p>
    <w:p w:rsidR="00DF6584" w:rsidRDefault="00DF6584">
      <w:pPr>
        <w:pStyle w:val="BodyText"/>
        <w:spacing w:before="11"/>
        <w:rPr>
          <w:sz w:val="20"/>
        </w:rPr>
      </w:pPr>
    </w:p>
    <w:p w:rsidR="00DF6584" w:rsidRPr="00C21B4F" w:rsidRDefault="00C21B4F" w:rsidP="00C21B4F">
      <w:pPr>
        <w:tabs>
          <w:tab w:val="left" w:pos="800"/>
        </w:tabs>
        <w:spacing w:line="360" w:lineRule="auto"/>
        <w:ind w:left="799" w:right="150" w:hanging="567"/>
        <w:jc w:val="both"/>
        <w:rPr>
          <w:sz w:val="24"/>
        </w:rPr>
      </w:pPr>
      <w:r>
        <w:rPr>
          <w:spacing w:val="-32"/>
          <w:w w:val="99"/>
          <w:sz w:val="24"/>
        </w:rPr>
        <w:t>10.</w:t>
      </w:r>
      <w:r>
        <w:rPr>
          <w:spacing w:val="-32"/>
          <w:w w:val="99"/>
          <w:sz w:val="24"/>
        </w:rPr>
        <w:tab/>
      </w:r>
      <w:r w:rsidR="0096023B" w:rsidRPr="00C21B4F">
        <w:rPr>
          <w:sz w:val="24"/>
        </w:rPr>
        <w:t>Ms Medupe purchased the vehicle, a 2013 model Ford Kuga, with 118 558 km on the clock, from Cars.Com on 25 July 2018. Upon driving the vehicle on the date of purchase, she noticed a wa</w:t>
      </w:r>
      <w:r w:rsidR="0096023B" w:rsidRPr="00C21B4F">
        <w:rPr>
          <w:sz w:val="24"/>
        </w:rPr>
        <w:t>rning light on the dashboard but was told by Cars.Com that it was not of concern. She continued to drive the vehicle and did not communicate again with</w:t>
      </w:r>
      <w:r w:rsidR="0096023B" w:rsidRPr="00C21B4F">
        <w:rPr>
          <w:spacing w:val="-3"/>
          <w:sz w:val="24"/>
        </w:rPr>
        <w:t xml:space="preserve"> </w:t>
      </w:r>
      <w:r w:rsidR="0096023B" w:rsidRPr="00C21B4F">
        <w:rPr>
          <w:sz w:val="24"/>
        </w:rPr>
        <w:t>Cars.Com.</w:t>
      </w:r>
    </w:p>
    <w:p w:rsidR="00DF6584" w:rsidRDefault="00DF6584">
      <w:pPr>
        <w:pStyle w:val="BodyText"/>
        <w:spacing w:before="11"/>
        <w:rPr>
          <w:sz w:val="20"/>
        </w:rPr>
      </w:pPr>
    </w:p>
    <w:p w:rsidR="00DF6584" w:rsidRPr="00C21B4F" w:rsidRDefault="00C21B4F" w:rsidP="00C21B4F">
      <w:pPr>
        <w:tabs>
          <w:tab w:val="left" w:pos="800"/>
        </w:tabs>
        <w:spacing w:line="360" w:lineRule="auto"/>
        <w:ind w:left="799" w:right="149" w:hanging="567"/>
        <w:jc w:val="both"/>
        <w:rPr>
          <w:sz w:val="24"/>
        </w:rPr>
      </w:pPr>
      <w:r>
        <w:rPr>
          <w:spacing w:val="-32"/>
          <w:w w:val="99"/>
          <w:sz w:val="24"/>
        </w:rPr>
        <w:t>11.</w:t>
      </w:r>
      <w:r>
        <w:rPr>
          <w:spacing w:val="-32"/>
          <w:w w:val="99"/>
          <w:sz w:val="24"/>
        </w:rPr>
        <w:tab/>
      </w:r>
      <w:r w:rsidR="0096023B" w:rsidRPr="00C21B4F">
        <w:rPr>
          <w:sz w:val="24"/>
        </w:rPr>
        <w:t xml:space="preserve">On 10 October 2018, she took the vehicle to Leon’s Motors Rustenburg for a regular 120 000km </w:t>
      </w:r>
      <w:r w:rsidR="0096023B" w:rsidRPr="00C21B4F">
        <w:rPr>
          <w:sz w:val="24"/>
        </w:rPr>
        <w:t>service. She had driven 2 880km with the vehicle before taking it to Leon’s Motors for the service. After collecting the vehicle, she noticed a sound emanating from the</w:t>
      </w:r>
      <w:r w:rsidR="0096023B" w:rsidRPr="00C21B4F">
        <w:rPr>
          <w:spacing w:val="-4"/>
          <w:sz w:val="24"/>
        </w:rPr>
        <w:t xml:space="preserve"> </w:t>
      </w:r>
      <w:r w:rsidR="0096023B" w:rsidRPr="00C21B4F">
        <w:rPr>
          <w:sz w:val="24"/>
        </w:rPr>
        <w:t>engine.</w:t>
      </w:r>
    </w:p>
    <w:p w:rsidR="00DF6584" w:rsidRDefault="00DF6584">
      <w:pPr>
        <w:pStyle w:val="BodyText"/>
        <w:spacing w:before="10"/>
        <w:rPr>
          <w:sz w:val="20"/>
        </w:rPr>
      </w:pPr>
    </w:p>
    <w:p w:rsidR="00DF6584" w:rsidRPr="00C21B4F" w:rsidRDefault="00C21B4F" w:rsidP="00C21B4F">
      <w:pPr>
        <w:tabs>
          <w:tab w:val="left" w:pos="800"/>
        </w:tabs>
        <w:spacing w:before="1" w:line="360" w:lineRule="auto"/>
        <w:ind w:left="799" w:right="149" w:hanging="567"/>
        <w:jc w:val="both"/>
        <w:rPr>
          <w:sz w:val="24"/>
        </w:rPr>
      </w:pPr>
      <w:r>
        <w:rPr>
          <w:spacing w:val="-32"/>
          <w:w w:val="99"/>
          <w:sz w:val="24"/>
        </w:rPr>
        <w:t>12.</w:t>
      </w:r>
      <w:r>
        <w:rPr>
          <w:spacing w:val="-32"/>
          <w:w w:val="99"/>
          <w:sz w:val="24"/>
        </w:rPr>
        <w:tab/>
      </w:r>
      <w:r w:rsidR="0096023B" w:rsidRPr="00C21B4F">
        <w:rPr>
          <w:sz w:val="24"/>
        </w:rPr>
        <w:t>A dispute arose as to the cause of the sound. Cars.Com alleges that the proble</w:t>
      </w:r>
      <w:r w:rsidR="0096023B" w:rsidRPr="00C21B4F">
        <w:rPr>
          <w:sz w:val="24"/>
        </w:rPr>
        <w:t xml:space="preserve">ms with the engine are due to Leon’s Motors not adding oil to the engine. On 23 October 2018, she took the vehicle to Cars.Com and asked that it be repaired. Cars.Com arranged for the vehicle to be assessed by a third party, V &amp; N Workshop. As a courtesy, </w:t>
      </w:r>
      <w:r w:rsidR="0096023B" w:rsidRPr="00C21B4F">
        <w:rPr>
          <w:sz w:val="24"/>
        </w:rPr>
        <w:t>Cars.Com also assisted Ms Medupe to put in a claim to M-Sure Warranty as she had taken out this cover at the time of purchasing the vehicle.</w:t>
      </w:r>
      <w:r w:rsidR="0096023B" w:rsidRPr="00C21B4F">
        <w:rPr>
          <w:spacing w:val="30"/>
          <w:sz w:val="24"/>
        </w:rPr>
        <w:t xml:space="preserve"> </w:t>
      </w:r>
      <w:r w:rsidR="0096023B" w:rsidRPr="00C21B4F">
        <w:rPr>
          <w:sz w:val="24"/>
        </w:rPr>
        <w:t>M-Sure declined the claim and as a result, the vehicle was not</w:t>
      </w:r>
      <w:r w:rsidR="0096023B" w:rsidRPr="00C21B4F">
        <w:rPr>
          <w:spacing w:val="-12"/>
          <w:sz w:val="24"/>
        </w:rPr>
        <w:t xml:space="preserve"> </w:t>
      </w:r>
      <w:r w:rsidR="0096023B" w:rsidRPr="00C21B4F">
        <w:rPr>
          <w:sz w:val="24"/>
        </w:rPr>
        <w:t>repaired.</w:t>
      </w:r>
    </w:p>
    <w:p w:rsidR="00DF6584" w:rsidRDefault="00DF6584">
      <w:pPr>
        <w:pStyle w:val="BodyText"/>
        <w:spacing w:before="9"/>
        <w:rPr>
          <w:sz w:val="20"/>
        </w:rPr>
      </w:pPr>
    </w:p>
    <w:p w:rsidR="00DF6584" w:rsidRPr="00C21B4F" w:rsidRDefault="00C21B4F" w:rsidP="00C21B4F">
      <w:pPr>
        <w:tabs>
          <w:tab w:val="left" w:pos="800"/>
        </w:tabs>
        <w:spacing w:line="360" w:lineRule="auto"/>
        <w:ind w:left="799" w:right="149" w:hanging="567"/>
        <w:jc w:val="both"/>
        <w:rPr>
          <w:sz w:val="24"/>
        </w:rPr>
      </w:pPr>
      <w:r>
        <w:rPr>
          <w:spacing w:val="-32"/>
          <w:w w:val="99"/>
          <w:sz w:val="24"/>
        </w:rPr>
        <w:t>13.</w:t>
      </w:r>
      <w:r>
        <w:rPr>
          <w:spacing w:val="-32"/>
          <w:w w:val="99"/>
          <w:sz w:val="24"/>
        </w:rPr>
        <w:tab/>
      </w:r>
      <w:r w:rsidR="0096023B" w:rsidRPr="00C21B4F">
        <w:rPr>
          <w:sz w:val="24"/>
        </w:rPr>
        <w:t>Ms Medupe lodged a complaint with the Mot</w:t>
      </w:r>
      <w:r w:rsidR="0096023B" w:rsidRPr="00C21B4F">
        <w:rPr>
          <w:sz w:val="24"/>
        </w:rPr>
        <w:t xml:space="preserve">or Industry Ombudsman </w:t>
      </w:r>
      <w:r w:rsidR="0096023B" w:rsidRPr="00C21B4F">
        <w:rPr>
          <w:spacing w:val="4"/>
          <w:sz w:val="24"/>
        </w:rPr>
        <w:t xml:space="preserve">of </w:t>
      </w:r>
      <w:r w:rsidR="0096023B" w:rsidRPr="00C21B4F">
        <w:rPr>
          <w:sz w:val="24"/>
        </w:rPr>
        <w:t>South Africa (“MIOSA”). MIOSA issued a letter dated 2 April 2019 recommending that Cars.Com repair the vehicle. Cars.Com responded to MIOSA, and later to the NCC, through its attorneys indicating that it would not comply with the M</w:t>
      </w:r>
      <w:r w:rsidR="0096023B" w:rsidRPr="00C21B4F">
        <w:rPr>
          <w:sz w:val="24"/>
        </w:rPr>
        <w:t>IOSA recommendation as it had no basis to accept responsibility for the malfunctioning of the</w:t>
      </w:r>
      <w:r w:rsidR="0096023B" w:rsidRPr="00C21B4F">
        <w:rPr>
          <w:spacing w:val="-13"/>
          <w:sz w:val="24"/>
        </w:rPr>
        <w:t xml:space="preserve"> </w:t>
      </w:r>
      <w:r w:rsidR="0096023B" w:rsidRPr="00C21B4F">
        <w:rPr>
          <w:sz w:val="24"/>
        </w:rPr>
        <w:t>vehicle.</w:t>
      </w:r>
    </w:p>
    <w:p w:rsidR="00DF6584" w:rsidRDefault="00DF6584">
      <w:pPr>
        <w:pStyle w:val="BodyText"/>
        <w:spacing w:before="9"/>
        <w:rPr>
          <w:sz w:val="20"/>
        </w:rPr>
      </w:pPr>
    </w:p>
    <w:p w:rsidR="00DF6584" w:rsidRPr="00C21B4F" w:rsidRDefault="00C21B4F" w:rsidP="00C21B4F">
      <w:pPr>
        <w:tabs>
          <w:tab w:val="left" w:pos="799"/>
          <w:tab w:val="left" w:pos="800"/>
        </w:tabs>
        <w:ind w:left="799" w:hanging="568"/>
        <w:rPr>
          <w:sz w:val="24"/>
        </w:rPr>
      </w:pPr>
      <w:r>
        <w:rPr>
          <w:spacing w:val="-32"/>
          <w:w w:val="99"/>
          <w:sz w:val="24"/>
        </w:rPr>
        <w:t>14.</w:t>
      </w:r>
      <w:r>
        <w:rPr>
          <w:spacing w:val="-32"/>
          <w:w w:val="99"/>
          <w:sz w:val="24"/>
        </w:rPr>
        <w:tab/>
      </w:r>
      <w:r w:rsidR="0096023B" w:rsidRPr="00C21B4F">
        <w:rPr>
          <w:sz w:val="24"/>
        </w:rPr>
        <w:t>On 24 June 2019, Ms Medupe lodged a complaint with the</w:t>
      </w:r>
      <w:r w:rsidR="0096023B" w:rsidRPr="00C21B4F">
        <w:rPr>
          <w:spacing w:val="-8"/>
          <w:sz w:val="24"/>
        </w:rPr>
        <w:t xml:space="preserve"> </w:t>
      </w:r>
      <w:r w:rsidR="0096023B" w:rsidRPr="00C21B4F">
        <w:rPr>
          <w:sz w:val="24"/>
        </w:rPr>
        <w:t>NCC.</w:t>
      </w:r>
    </w:p>
    <w:p w:rsidR="00DF6584" w:rsidRDefault="00DF6584">
      <w:pPr>
        <w:rPr>
          <w:sz w:val="24"/>
        </w:rPr>
        <w:sectPr w:rsidR="00DF6584">
          <w:pgSz w:w="11910" w:h="16840"/>
          <w:pgMar w:top="1000" w:right="980" w:bottom="820" w:left="900" w:header="289" w:footer="554" w:gutter="0"/>
          <w:cols w:space="720"/>
        </w:sectPr>
      </w:pPr>
    </w:p>
    <w:p w:rsidR="00DF6584" w:rsidRPr="00C21B4F" w:rsidRDefault="00C21B4F" w:rsidP="00C21B4F">
      <w:pPr>
        <w:tabs>
          <w:tab w:val="left" w:pos="800"/>
        </w:tabs>
        <w:spacing w:before="82" w:line="360" w:lineRule="auto"/>
        <w:ind w:left="799" w:right="152" w:hanging="567"/>
        <w:jc w:val="both"/>
        <w:rPr>
          <w:sz w:val="24"/>
        </w:rPr>
      </w:pPr>
      <w:r>
        <w:rPr>
          <w:spacing w:val="-32"/>
          <w:w w:val="99"/>
          <w:sz w:val="24"/>
        </w:rPr>
        <w:lastRenderedPageBreak/>
        <w:t>15.</w:t>
      </w:r>
      <w:r>
        <w:rPr>
          <w:spacing w:val="-32"/>
          <w:w w:val="99"/>
          <w:sz w:val="24"/>
        </w:rPr>
        <w:tab/>
      </w:r>
      <w:r w:rsidR="0096023B" w:rsidRPr="00C21B4F">
        <w:rPr>
          <w:sz w:val="24"/>
        </w:rPr>
        <w:t>On 13 January 2022, the NCC filed the application with the Tribunal. It was served on the Respondent’s attorney by email (by consent) on the same day. Cars.Com filed a notice of intention to oppose dated 14 January 2022 but did not file an answering affida</w:t>
      </w:r>
      <w:r w:rsidR="0096023B" w:rsidRPr="00C21B4F">
        <w:rPr>
          <w:sz w:val="24"/>
        </w:rPr>
        <w:t>vit.</w:t>
      </w:r>
    </w:p>
    <w:p w:rsidR="00DF6584" w:rsidRDefault="00DF6584">
      <w:pPr>
        <w:pStyle w:val="BodyText"/>
        <w:spacing w:before="10"/>
        <w:rPr>
          <w:sz w:val="20"/>
        </w:rPr>
      </w:pPr>
    </w:p>
    <w:p w:rsidR="00DF6584" w:rsidRPr="00C21B4F" w:rsidRDefault="00C21B4F" w:rsidP="00C21B4F">
      <w:pPr>
        <w:tabs>
          <w:tab w:val="left" w:pos="800"/>
        </w:tabs>
        <w:spacing w:line="360" w:lineRule="auto"/>
        <w:ind w:left="799" w:right="149" w:hanging="567"/>
        <w:jc w:val="both"/>
        <w:rPr>
          <w:sz w:val="24"/>
        </w:rPr>
      </w:pPr>
      <w:r>
        <w:rPr>
          <w:spacing w:val="-32"/>
          <w:w w:val="99"/>
          <w:sz w:val="24"/>
        </w:rPr>
        <w:t>16.</w:t>
      </w:r>
      <w:r>
        <w:rPr>
          <w:spacing w:val="-32"/>
          <w:w w:val="99"/>
          <w:sz w:val="24"/>
        </w:rPr>
        <w:tab/>
      </w:r>
      <w:r w:rsidR="0096023B" w:rsidRPr="00C21B4F">
        <w:rPr>
          <w:sz w:val="24"/>
        </w:rPr>
        <w:t>The matter was set down for a default hearing to be held on 23 March 2022. On 8 March 2022, Cars.Com filed its answering affidavit and an application to condone the late filing, which was subsequently</w:t>
      </w:r>
      <w:r w:rsidR="0096023B" w:rsidRPr="00C21B4F">
        <w:rPr>
          <w:spacing w:val="-4"/>
          <w:sz w:val="24"/>
        </w:rPr>
        <w:t xml:space="preserve"> </w:t>
      </w:r>
      <w:r w:rsidR="0096023B" w:rsidRPr="00C21B4F">
        <w:rPr>
          <w:sz w:val="24"/>
        </w:rPr>
        <w:t>granted.</w:t>
      </w:r>
    </w:p>
    <w:p w:rsidR="00DF6584" w:rsidRDefault="00DF6584">
      <w:pPr>
        <w:pStyle w:val="BodyText"/>
        <w:rPr>
          <w:sz w:val="21"/>
        </w:rPr>
      </w:pPr>
    </w:p>
    <w:p w:rsidR="00DF6584" w:rsidRPr="00C21B4F" w:rsidRDefault="00C21B4F" w:rsidP="00C21B4F">
      <w:pPr>
        <w:tabs>
          <w:tab w:val="left" w:pos="799"/>
          <w:tab w:val="left" w:pos="800"/>
        </w:tabs>
        <w:ind w:left="799" w:hanging="568"/>
        <w:rPr>
          <w:sz w:val="24"/>
        </w:rPr>
      </w:pPr>
      <w:r>
        <w:rPr>
          <w:spacing w:val="-32"/>
          <w:w w:val="99"/>
          <w:sz w:val="24"/>
        </w:rPr>
        <w:t>17.</w:t>
      </w:r>
      <w:r>
        <w:rPr>
          <w:spacing w:val="-32"/>
          <w:w w:val="99"/>
          <w:sz w:val="24"/>
        </w:rPr>
        <w:tab/>
      </w:r>
      <w:r w:rsidR="0096023B" w:rsidRPr="00C21B4F">
        <w:rPr>
          <w:sz w:val="24"/>
        </w:rPr>
        <w:t>The hearing was set down for 5 July 2022, and the matter was duly</w:t>
      </w:r>
      <w:r w:rsidR="0096023B" w:rsidRPr="00C21B4F">
        <w:rPr>
          <w:spacing w:val="-17"/>
          <w:sz w:val="24"/>
        </w:rPr>
        <w:t xml:space="preserve"> </w:t>
      </w:r>
      <w:r w:rsidR="0096023B" w:rsidRPr="00C21B4F">
        <w:rPr>
          <w:sz w:val="24"/>
        </w:rPr>
        <w:t>heard.</w:t>
      </w:r>
    </w:p>
    <w:p w:rsidR="00DF6584" w:rsidRDefault="00DF6584">
      <w:pPr>
        <w:pStyle w:val="BodyText"/>
        <w:spacing w:before="9"/>
        <w:rPr>
          <w:sz w:val="32"/>
        </w:rPr>
      </w:pPr>
    </w:p>
    <w:p w:rsidR="00DF6584" w:rsidRDefault="0096023B">
      <w:pPr>
        <w:pStyle w:val="Heading1"/>
      </w:pPr>
      <w:r>
        <w:t>ISSUES TO BE DECIDED</w:t>
      </w:r>
    </w:p>
    <w:p w:rsidR="00DF6584" w:rsidRDefault="00DF6584">
      <w:pPr>
        <w:pStyle w:val="BodyText"/>
        <w:rPr>
          <w:b/>
          <w:sz w:val="33"/>
        </w:rPr>
      </w:pPr>
    </w:p>
    <w:p w:rsidR="00DF6584" w:rsidRPr="00C21B4F" w:rsidRDefault="00C21B4F" w:rsidP="00C21B4F">
      <w:pPr>
        <w:tabs>
          <w:tab w:val="left" w:pos="953"/>
          <w:tab w:val="left" w:pos="954"/>
        </w:tabs>
        <w:ind w:left="953" w:hanging="722"/>
        <w:rPr>
          <w:sz w:val="24"/>
        </w:rPr>
      </w:pPr>
      <w:r>
        <w:rPr>
          <w:spacing w:val="-32"/>
          <w:w w:val="99"/>
          <w:sz w:val="24"/>
        </w:rPr>
        <w:t>18.</w:t>
      </w:r>
      <w:r>
        <w:rPr>
          <w:spacing w:val="-32"/>
          <w:w w:val="99"/>
          <w:sz w:val="24"/>
        </w:rPr>
        <w:tab/>
      </w:r>
      <w:r w:rsidR="0096023B" w:rsidRPr="00C21B4F">
        <w:rPr>
          <w:sz w:val="24"/>
        </w:rPr>
        <w:t>The Tribunal is required to consider and decide the following</w:t>
      </w:r>
      <w:r w:rsidR="0096023B" w:rsidRPr="00C21B4F">
        <w:rPr>
          <w:spacing w:val="-2"/>
          <w:sz w:val="24"/>
        </w:rPr>
        <w:t xml:space="preserve"> </w:t>
      </w:r>
      <w:r w:rsidR="0096023B" w:rsidRPr="00C21B4F">
        <w:rPr>
          <w:sz w:val="24"/>
        </w:rPr>
        <w:t>issues:</w:t>
      </w:r>
    </w:p>
    <w:p w:rsidR="00DF6584" w:rsidRDefault="00DF6584">
      <w:pPr>
        <w:pStyle w:val="BodyText"/>
        <w:rPr>
          <w:sz w:val="26"/>
        </w:rPr>
      </w:pPr>
    </w:p>
    <w:p w:rsidR="00DF6584" w:rsidRDefault="00DF6584">
      <w:pPr>
        <w:pStyle w:val="BodyText"/>
        <w:rPr>
          <w:sz w:val="22"/>
        </w:rPr>
      </w:pPr>
    </w:p>
    <w:p w:rsidR="00DF6584" w:rsidRPr="00C21B4F" w:rsidRDefault="00C21B4F" w:rsidP="00C21B4F">
      <w:pPr>
        <w:tabs>
          <w:tab w:val="left" w:pos="1674"/>
        </w:tabs>
        <w:spacing w:before="1"/>
        <w:ind w:left="1673" w:hanging="361"/>
        <w:rPr>
          <w:sz w:val="24"/>
        </w:rPr>
      </w:pPr>
      <w:r>
        <w:rPr>
          <w:spacing w:val="-4"/>
          <w:w w:val="99"/>
          <w:sz w:val="24"/>
          <w:szCs w:val="24"/>
        </w:rPr>
        <w:t>a.</w:t>
      </w:r>
      <w:r>
        <w:rPr>
          <w:spacing w:val="-4"/>
          <w:w w:val="99"/>
          <w:sz w:val="24"/>
          <w:szCs w:val="24"/>
        </w:rPr>
        <w:tab/>
      </w:r>
      <w:r w:rsidR="0096023B" w:rsidRPr="00C21B4F">
        <w:rPr>
          <w:sz w:val="24"/>
        </w:rPr>
        <w:t>Whether the Applicant has proved a contravention under the CPA;</w:t>
      </w:r>
      <w:r w:rsidR="0096023B" w:rsidRPr="00C21B4F">
        <w:rPr>
          <w:spacing w:val="-17"/>
          <w:sz w:val="24"/>
        </w:rPr>
        <w:t xml:space="preserve"> </w:t>
      </w:r>
      <w:r w:rsidR="0096023B" w:rsidRPr="00C21B4F">
        <w:rPr>
          <w:sz w:val="24"/>
        </w:rPr>
        <w:t>and</w:t>
      </w:r>
    </w:p>
    <w:p w:rsidR="00DF6584" w:rsidRPr="00C21B4F" w:rsidRDefault="00C21B4F" w:rsidP="00C21B4F">
      <w:pPr>
        <w:tabs>
          <w:tab w:val="left" w:pos="1674"/>
        </w:tabs>
        <w:spacing w:before="136" w:line="360" w:lineRule="auto"/>
        <w:ind w:left="1673" w:right="152" w:hanging="360"/>
        <w:rPr>
          <w:sz w:val="24"/>
        </w:rPr>
      </w:pPr>
      <w:r>
        <w:rPr>
          <w:spacing w:val="-4"/>
          <w:w w:val="99"/>
          <w:sz w:val="24"/>
          <w:szCs w:val="24"/>
        </w:rPr>
        <w:t>b.</w:t>
      </w:r>
      <w:r>
        <w:rPr>
          <w:spacing w:val="-4"/>
          <w:w w:val="99"/>
          <w:sz w:val="24"/>
          <w:szCs w:val="24"/>
        </w:rPr>
        <w:tab/>
      </w:r>
      <w:r w:rsidR="0096023B" w:rsidRPr="00C21B4F">
        <w:rPr>
          <w:sz w:val="24"/>
        </w:rPr>
        <w:t>Whether the Applicant is entitled in law to the relief sought, which the NCC amended at the hearing to be the repair of the</w:t>
      </w:r>
      <w:r w:rsidR="0096023B" w:rsidRPr="00C21B4F">
        <w:rPr>
          <w:spacing w:val="-9"/>
          <w:sz w:val="24"/>
        </w:rPr>
        <w:t xml:space="preserve"> </w:t>
      </w:r>
      <w:r w:rsidR="0096023B" w:rsidRPr="00C21B4F">
        <w:rPr>
          <w:sz w:val="24"/>
        </w:rPr>
        <w:t>vehicle.</w:t>
      </w:r>
    </w:p>
    <w:p w:rsidR="00DF6584" w:rsidRDefault="00DF6584">
      <w:pPr>
        <w:pStyle w:val="BodyText"/>
        <w:spacing w:before="1"/>
        <w:rPr>
          <w:sz w:val="36"/>
        </w:rPr>
      </w:pPr>
    </w:p>
    <w:p w:rsidR="00DF6584" w:rsidRPr="00C21B4F" w:rsidRDefault="00C21B4F" w:rsidP="00C21B4F">
      <w:pPr>
        <w:tabs>
          <w:tab w:val="left" w:pos="954"/>
        </w:tabs>
        <w:spacing w:before="1" w:line="360" w:lineRule="auto"/>
        <w:ind w:left="953" w:right="159" w:hanging="721"/>
        <w:jc w:val="both"/>
        <w:rPr>
          <w:sz w:val="24"/>
        </w:rPr>
      </w:pPr>
      <w:r>
        <w:rPr>
          <w:spacing w:val="-32"/>
          <w:w w:val="99"/>
          <w:sz w:val="24"/>
        </w:rPr>
        <w:t>19.</w:t>
      </w:r>
      <w:r>
        <w:rPr>
          <w:spacing w:val="-32"/>
          <w:w w:val="99"/>
          <w:sz w:val="24"/>
        </w:rPr>
        <w:tab/>
      </w:r>
      <w:r w:rsidR="0096023B" w:rsidRPr="00C21B4F">
        <w:rPr>
          <w:sz w:val="24"/>
        </w:rPr>
        <w:t>However, before the Tribunal can consider the merits of the matter, the Tribunal must first determine whether the complain</w:t>
      </w:r>
      <w:r w:rsidR="0096023B" w:rsidRPr="00C21B4F">
        <w:rPr>
          <w:sz w:val="24"/>
        </w:rPr>
        <w:t>t is prevented from being referred to the Tribunal in terms of section116 of the</w:t>
      </w:r>
      <w:r w:rsidR="0096023B" w:rsidRPr="00C21B4F">
        <w:rPr>
          <w:spacing w:val="-4"/>
          <w:sz w:val="24"/>
        </w:rPr>
        <w:t xml:space="preserve"> </w:t>
      </w:r>
      <w:r w:rsidR="0096023B" w:rsidRPr="00C21B4F">
        <w:rPr>
          <w:sz w:val="24"/>
        </w:rPr>
        <w:t>CPA.</w:t>
      </w:r>
    </w:p>
    <w:p w:rsidR="00DF6584" w:rsidRDefault="00DF6584">
      <w:pPr>
        <w:pStyle w:val="BodyText"/>
        <w:rPr>
          <w:sz w:val="26"/>
        </w:rPr>
      </w:pPr>
    </w:p>
    <w:p w:rsidR="00DF6584" w:rsidRDefault="00DF6584">
      <w:pPr>
        <w:pStyle w:val="BodyText"/>
        <w:spacing w:before="4"/>
        <w:rPr>
          <w:sz w:val="27"/>
        </w:rPr>
      </w:pPr>
    </w:p>
    <w:p w:rsidR="00DF6584" w:rsidRDefault="0096023B">
      <w:pPr>
        <w:pStyle w:val="Heading1"/>
      </w:pPr>
      <w:r>
        <w:t>THE HEARING</w:t>
      </w:r>
    </w:p>
    <w:p w:rsidR="00DF6584" w:rsidRDefault="00DF6584">
      <w:pPr>
        <w:pStyle w:val="BodyText"/>
        <w:spacing w:before="5"/>
        <w:rPr>
          <w:b/>
          <w:sz w:val="29"/>
        </w:rPr>
      </w:pPr>
    </w:p>
    <w:p w:rsidR="00DF6584" w:rsidRPr="00C21B4F" w:rsidRDefault="00C21B4F" w:rsidP="00C21B4F">
      <w:pPr>
        <w:tabs>
          <w:tab w:val="left" w:pos="954"/>
        </w:tabs>
        <w:spacing w:line="360" w:lineRule="auto"/>
        <w:ind w:left="953" w:right="154" w:hanging="721"/>
        <w:jc w:val="both"/>
        <w:rPr>
          <w:sz w:val="24"/>
        </w:rPr>
      </w:pPr>
      <w:r>
        <w:rPr>
          <w:spacing w:val="-32"/>
          <w:w w:val="99"/>
          <w:sz w:val="24"/>
        </w:rPr>
        <w:t>20.</w:t>
      </w:r>
      <w:r>
        <w:rPr>
          <w:spacing w:val="-32"/>
          <w:w w:val="99"/>
          <w:sz w:val="24"/>
        </w:rPr>
        <w:tab/>
      </w:r>
      <w:r w:rsidR="0096023B" w:rsidRPr="00C21B4F">
        <w:rPr>
          <w:sz w:val="24"/>
        </w:rPr>
        <w:t xml:space="preserve">During the hearing on 5 July 2022, the Tribunal panel requested the parties </w:t>
      </w:r>
      <w:r w:rsidR="0096023B" w:rsidRPr="00C21B4F">
        <w:rPr>
          <w:spacing w:val="-3"/>
          <w:sz w:val="24"/>
        </w:rPr>
        <w:t xml:space="preserve">to </w:t>
      </w:r>
      <w:r w:rsidR="0096023B" w:rsidRPr="00C21B4F">
        <w:rPr>
          <w:sz w:val="24"/>
        </w:rPr>
        <w:t>foreground their respective submissions by addressing the Tribunal on the ap</w:t>
      </w:r>
      <w:r w:rsidR="0096023B" w:rsidRPr="00C21B4F">
        <w:rPr>
          <w:sz w:val="24"/>
        </w:rPr>
        <w:t>plicability of section 116 of the CPA. This would allow the Tribunal to apply its mind and determine whether in fact, the merits of the matter can proceed to be considered.</w:t>
      </w:r>
    </w:p>
    <w:p w:rsidR="00DF6584" w:rsidRDefault="00DF6584">
      <w:pPr>
        <w:pStyle w:val="BodyText"/>
        <w:rPr>
          <w:sz w:val="26"/>
        </w:rPr>
      </w:pPr>
    </w:p>
    <w:p w:rsidR="00DF6584" w:rsidRDefault="00DF6584">
      <w:pPr>
        <w:pStyle w:val="BodyText"/>
        <w:spacing w:before="4"/>
        <w:rPr>
          <w:sz w:val="27"/>
        </w:rPr>
      </w:pPr>
    </w:p>
    <w:p w:rsidR="00DF6584" w:rsidRDefault="0096023B">
      <w:pPr>
        <w:pStyle w:val="Heading1"/>
      </w:pPr>
      <w:r>
        <w:t>The Applicant’s Submissions</w:t>
      </w:r>
    </w:p>
    <w:p w:rsidR="00DF6584" w:rsidRDefault="00DF6584">
      <w:pPr>
        <w:pStyle w:val="BodyText"/>
        <w:spacing w:before="5"/>
        <w:rPr>
          <w:b/>
          <w:sz w:val="29"/>
        </w:rPr>
      </w:pPr>
    </w:p>
    <w:p w:rsidR="00DF6584" w:rsidRPr="00C21B4F" w:rsidRDefault="00C21B4F" w:rsidP="00C21B4F">
      <w:pPr>
        <w:tabs>
          <w:tab w:val="left" w:pos="800"/>
        </w:tabs>
        <w:spacing w:line="360" w:lineRule="auto"/>
        <w:ind w:left="799" w:right="156" w:hanging="567"/>
        <w:jc w:val="both"/>
        <w:rPr>
          <w:sz w:val="24"/>
        </w:rPr>
      </w:pPr>
      <w:r>
        <w:rPr>
          <w:spacing w:val="-32"/>
          <w:w w:val="99"/>
          <w:sz w:val="24"/>
        </w:rPr>
        <w:t>21.</w:t>
      </w:r>
      <w:r>
        <w:rPr>
          <w:spacing w:val="-32"/>
          <w:w w:val="99"/>
          <w:sz w:val="24"/>
        </w:rPr>
        <w:tab/>
      </w:r>
      <w:r w:rsidR="0096023B" w:rsidRPr="00C21B4F">
        <w:rPr>
          <w:sz w:val="24"/>
        </w:rPr>
        <w:t>The Applicant submitted that the complaint is not pr</w:t>
      </w:r>
      <w:r w:rsidR="0096023B" w:rsidRPr="00C21B4F">
        <w:rPr>
          <w:sz w:val="24"/>
        </w:rPr>
        <w:t>evented from being referred to the Tribunal in terms of section116 of the</w:t>
      </w:r>
      <w:r w:rsidR="0096023B" w:rsidRPr="00C21B4F">
        <w:rPr>
          <w:spacing w:val="-13"/>
          <w:sz w:val="24"/>
        </w:rPr>
        <w:t xml:space="preserve"> </w:t>
      </w:r>
      <w:r w:rsidR="0096023B" w:rsidRPr="00C21B4F">
        <w:rPr>
          <w:sz w:val="24"/>
        </w:rPr>
        <w:t>CPA.</w:t>
      </w:r>
    </w:p>
    <w:p w:rsidR="00DF6584" w:rsidRDefault="00DF6584">
      <w:pPr>
        <w:pStyle w:val="BodyText"/>
        <w:spacing w:before="1"/>
        <w:rPr>
          <w:sz w:val="36"/>
        </w:rPr>
      </w:pPr>
    </w:p>
    <w:p w:rsidR="00DF6584" w:rsidRPr="00C21B4F" w:rsidRDefault="00C21B4F" w:rsidP="00C21B4F">
      <w:pPr>
        <w:tabs>
          <w:tab w:val="left" w:pos="954"/>
        </w:tabs>
        <w:spacing w:before="1" w:line="362" w:lineRule="auto"/>
        <w:ind w:left="953" w:right="147" w:hanging="721"/>
        <w:jc w:val="both"/>
        <w:rPr>
          <w:color w:val="363636"/>
          <w:sz w:val="24"/>
        </w:rPr>
      </w:pPr>
      <w:r>
        <w:rPr>
          <w:color w:val="363636"/>
          <w:spacing w:val="-32"/>
          <w:w w:val="99"/>
          <w:sz w:val="24"/>
        </w:rPr>
        <w:t>22.</w:t>
      </w:r>
      <w:r>
        <w:rPr>
          <w:color w:val="363636"/>
          <w:spacing w:val="-32"/>
          <w:w w:val="99"/>
          <w:sz w:val="24"/>
        </w:rPr>
        <w:tab/>
      </w:r>
      <w:r w:rsidR="0096023B" w:rsidRPr="00C21B4F">
        <w:rPr>
          <w:color w:val="363636"/>
          <w:sz w:val="24"/>
        </w:rPr>
        <w:t>The Applicant submitted that the act that is the cause of the complaint is the refusal by</w:t>
      </w:r>
      <w:r w:rsidR="0096023B" w:rsidRPr="00C21B4F">
        <w:rPr>
          <w:color w:val="363636"/>
          <w:spacing w:val="27"/>
          <w:sz w:val="24"/>
        </w:rPr>
        <w:t xml:space="preserve"> </w:t>
      </w:r>
      <w:r w:rsidR="0096023B" w:rsidRPr="00C21B4F">
        <w:rPr>
          <w:color w:val="363636"/>
          <w:sz w:val="24"/>
        </w:rPr>
        <w:t>the</w:t>
      </w:r>
      <w:r w:rsidR="0096023B" w:rsidRPr="00C21B4F">
        <w:rPr>
          <w:color w:val="363636"/>
          <w:spacing w:val="25"/>
          <w:sz w:val="24"/>
        </w:rPr>
        <w:t xml:space="preserve"> </w:t>
      </w:r>
      <w:r w:rsidR="0096023B" w:rsidRPr="00C21B4F">
        <w:rPr>
          <w:color w:val="363636"/>
          <w:sz w:val="24"/>
        </w:rPr>
        <w:t>Respondent</w:t>
      </w:r>
      <w:r w:rsidR="0096023B" w:rsidRPr="00C21B4F">
        <w:rPr>
          <w:color w:val="363636"/>
          <w:spacing w:val="31"/>
          <w:sz w:val="24"/>
        </w:rPr>
        <w:t xml:space="preserve"> </w:t>
      </w:r>
      <w:r w:rsidR="0096023B" w:rsidRPr="00C21B4F">
        <w:rPr>
          <w:color w:val="363636"/>
          <w:sz w:val="24"/>
        </w:rPr>
        <w:t>to</w:t>
      </w:r>
      <w:r w:rsidR="0096023B" w:rsidRPr="00C21B4F">
        <w:rPr>
          <w:color w:val="363636"/>
          <w:spacing w:val="22"/>
          <w:sz w:val="24"/>
        </w:rPr>
        <w:t xml:space="preserve"> </w:t>
      </w:r>
      <w:r w:rsidR="0096023B" w:rsidRPr="00C21B4F">
        <w:rPr>
          <w:color w:val="363636"/>
          <w:sz w:val="24"/>
        </w:rPr>
        <w:t>accept</w:t>
      </w:r>
      <w:r w:rsidR="0096023B" w:rsidRPr="00C21B4F">
        <w:rPr>
          <w:color w:val="363636"/>
          <w:spacing w:val="35"/>
          <w:sz w:val="24"/>
        </w:rPr>
        <w:t xml:space="preserve"> </w:t>
      </w:r>
      <w:r w:rsidR="0096023B" w:rsidRPr="00C21B4F">
        <w:rPr>
          <w:color w:val="363636"/>
          <w:sz w:val="24"/>
        </w:rPr>
        <w:t>responsibility</w:t>
      </w:r>
      <w:r w:rsidR="0096023B" w:rsidRPr="00C21B4F">
        <w:rPr>
          <w:color w:val="363636"/>
          <w:spacing w:val="20"/>
          <w:sz w:val="24"/>
        </w:rPr>
        <w:t xml:space="preserve"> </w:t>
      </w:r>
      <w:r w:rsidR="0096023B" w:rsidRPr="00C21B4F">
        <w:rPr>
          <w:color w:val="363636"/>
          <w:sz w:val="24"/>
        </w:rPr>
        <w:t>for</w:t>
      </w:r>
      <w:r w:rsidR="0096023B" w:rsidRPr="00C21B4F">
        <w:rPr>
          <w:color w:val="363636"/>
          <w:spacing w:val="33"/>
          <w:sz w:val="24"/>
        </w:rPr>
        <w:t xml:space="preserve"> </w:t>
      </w:r>
      <w:r w:rsidR="0096023B" w:rsidRPr="00C21B4F">
        <w:rPr>
          <w:color w:val="363636"/>
          <w:sz w:val="24"/>
        </w:rPr>
        <w:t>the</w:t>
      </w:r>
      <w:r w:rsidR="0096023B" w:rsidRPr="00C21B4F">
        <w:rPr>
          <w:color w:val="363636"/>
          <w:spacing w:val="21"/>
          <w:sz w:val="24"/>
        </w:rPr>
        <w:t xml:space="preserve"> </w:t>
      </w:r>
      <w:r w:rsidR="0096023B" w:rsidRPr="00C21B4F">
        <w:rPr>
          <w:color w:val="363636"/>
          <w:sz w:val="24"/>
        </w:rPr>
        <w:t>defective</w:t>
      </w:r>
      <w:r w:rsidR="0096023B" w:rsidRPr="00C21B4F">
        <w:rPr>
          <w:color w:val="363636"/>
          <w:spacing w:val="32"/>
          <w:sz w:val="24"/>
        </w:rPr>
        <w:t xml:space="preserve"> </w:t>
      </w:r>
      <w:r w:rsidR="0096023B" w:rsidRPr="00C21B4F">
        <w:rPr>
          <w:color w:val="363636"/>
          <w:sz w:val="24"/>
        </w:rPr>
        <w:t>Motor</w:t>
      </w:r>
      <w:r w:rsidR="0096023B" w:rsidRPr="00C21B4F">
        <w:rPr>
          <w:color w:val="363636"/>
          <w:spacing w:val="33"/>
          <w:sz w:val="24"/>
        </w:rPr>
        <w:t xml:space="preserve"> </w:t>
      </w:r>
      <w:r w:rsidR="0096023B" w:rsidRPr="00C21B4F">
        <w:rPr>
          <w:color w:val="363636"/>
          <w:sz w:val="24"/>
        </w:rPr>
        <w:t>Vehicle;</w:t>
      </w:r>
      <w:r w:rsidR="0096023B" w:rsidRPr="00C21B4F">
        <w:rPr>
          <w:color w:val="363636"/>
          <w:spacing w:val="33"/>
          <w:sz w:val="24"/>
        </w:rPr>
        <w:t xml:space="preserve"> </w:t>
      </w:r>
      <w:r w:rsidR="0096023B" w:rsidRPr="00C21B4F">
        <w:rPr>
          <w:color w:val="363636"/>
          <w:sz w:val="24"/>
        </w:rPr>
        <w:t>and</w:t>
      </w:r>
      <w:r w:rsidR="0096023B" w:rsidRPr="00C21B4F">
        <w:rPr>
          <w:color w:val="363636"/>
          <w:spacing w:val="36"/>
          <w:sz w:val="24"/>
        </w:rPr>
        <w:t xml:space="preserve"> </w:t>
      </w:r>
      <w:r w:rsidR="0096023B" w:rsidRPr="00C21B4F">
        <w:rPr>
          <w:color w:val="363636"/>
          <w:sz w:val="24"/>
        </w:rPr>
        <w:t>a</w:t>
      </w:r>
    </w:p>
    <w:p w:rsidR="00DF6584" w:rsidRDefault="00DF6584">
      <w:pPr>
        <w:spacing w:line="362" w:lineRule="auto"/>
        <w:jc w:val="both"/>
        <w:rPr>
          <w:sz w:val="24"/>
        </w:rPr>
        <w:sectPr w:rsidR="00DF6584">
          <w:pgSz w:w="11910" w:h="16840"/>
          <w:pgMar w:top="1000" w:right="980" w:bottom="780" w:left="900" w:header="289" w:footer="554" w:gutter="0"/>
          <w:cols w:space="720"/>
        </w:sectPr>
      </w:pPr>
    </w:p>
    <w:p w:rsidR="00DF6584" w:rsidRDefault="0096023B">
      <w:pPr>
        <w:pStyle w:val="BodyText"/>
        <w:spacing w:before="82" w:line="364" w:lineRule="auto"/>
        <w:ind w:left="953"/>
      </w:pPr>
      <w:r>
        <w:rPr>
          <w:color w:val="363636"/>
          <w:w w:val="105"/>
        </w:rPr>
        <w:lastRenderedPageBreak/>
        <w:t>continuing</w:t>
      </w:r>
      <w:r>
        <w:rPr>
          <w:color w:val="363636"/>
          <w:spacing w:val="-11"/>
          <w:w w:val="105"/>
        </w:rPr>
        <w:t xml:space="preserve"> </w:t>
      </w:r>
      <w:r>
        <w:rPr>
          <w:color w:val="363636"/>
          <w:w w:val="105"/>
        </w:rPr>
        <w:t>refusal</w:t>
      </w:r>
      <w:r>
        <w:rPr>
          <w:color w:val="363636"/>
          <w:spacing w:val="-11"/>
          <w:w w:val="105"/>
        </w:rPr>
        <w:t xml:space="preserve"> </w:t>
      </w:r>
      <w:r>
        <w:rPr>
          <w:color w:val="363636"/>
          <w:w w:val="105"/>
        </w:rPr>
        <w:t>by</w:t>
      </w:r>
      <w:r>
        <w:rPr>
          <w:color w:val="363636"/>
          <w:spacing w:val="-10"/>
          <w:w w:val="105"/>
        </w:rPr>
        <w:t xml:space="preserve"> </w:t>
      </w:r>
      <w:r>
        <w:rPr>
          <w:color w:val="363636"/>
          <w:w w:val="105"/>
        </w:rPr>
        <w:t>the</w:t>
      </w:r>
      <w:r>
        <w:rPr>
          <w:color w:val="363636"/>
          <w:spacing w:val="-9"/>
          <w:w w:val="105"/>
        </w:rPr>
        <w:t xml:space="preserve"> </w:t>
      </w:r>
      <w:r>
        <w:rPr>
          <w:color w:val="363636"/>
          <w:w w:val="105"/>
        </w:rPr>
        <w:t>Respondent</w:t>
      </w:r>
      <w:r>
        <w:rPr>
          <w:color w:val="363636"/>
          <w:spacing w:val="-9"/>
          <w:w w:val="105"/>
        </w:rPr>
        <w:t xml:space="preserve"> </w:t>
      </w:r>
      <w:r>
        <w:rPr>
          <w:color w:val="363636"/>
          <w:w w:val="105"/>
        </w:rPr>
        <w:t>to</w:t>
      </w:r>
      <w:r>
        <w:rPr>
          <w:color w:val="363636"/>
          <w:spacing w:val="-8"/>
          <w:w w:val="105"/>
        </w:rPr>
        <w:t xml:space="preserve"> </w:t>
      </w:r>
      <w:r>
        <w:rPr>
          <w:color w:val="363636"/>
          <w:w w:val="105"/>
        </w:rPr>
        <w:t>consequently</w:t>
      </w:r>
      <w:r>
        <w:rPr>
          <w:color w:val="363636"/>
          <w:spacing w:val="-11"/>
          <w:w w:val="105"/>
        </w:rPr>
        <w:t xml:space="preserve"> </w:t>
      </w:r>
      <w:r>
        <w:rPr>
          <w:color w:val="363636"/>
          <w:w w:val="105"/>
        </w:rPr>
        <w:t>attend</w:t>
      </w:r>
      <w:r>
        <w:rPr>
          <w:color w:val="363636"/>
          <w:spacing w:val="-8"/>
          <w:w w:val="105"/>
        </w:rPr>
        <w:t xml:space="preserve"> </w:t>
      </w:r>
      <w:r>
        <w:rPr>
          <w:color w:val="363636"/>
          <w:w w:val="105"/>
        </w:rPr>
        <w:t>to</w:t>
      </w:r>
      <w:r>
        <w:rPr>
          <w:color w:val="363636"/>
          <w:spacing w:val="-8"/>
          <w:w w:val="105"/>
        </w:rPr>
        <w:t xml:space="preserve"> </w:t>
      </w:r>
      <w:r>
        <w:rPr>
          <w:color w:val="363636"/>
          <w:w w:val="105"/>
        </w:rPr>
        <w:t>the</w:t>
      </w:r>
      <w:r>
        <w:rPr>
          <w:color w:val="363636"/>
          <w:spacing w:val="-9"/>
          <w:w w:val="105"/>
        </w:rPr>
        <w:t xml:space="preserve"> </w:t>
      </w:r>
      <w:r>
        <w:rPr>
          <w:color w:val="363636"/>
          <w:w w:val="105"/>
        </w:rPr>
        <w:t>repairs</w:t>
      </w:r>
      <w:r>
        <w:rPr>
          <w:color w:val="363636"/>
          <w:spacing w:val="-10"/>
          <w:w w:val="105"/>
        </w:rPr>
        <w:t xml:space="preserve"> </w:t>
      </w:r>
      <w:r>
        <w:rPr>
          <w:color w:val="363636"/>
          <w:w w:val="105"/>
        </w:rPr>
        <w:t>of</w:t>
      </w:r>
      <w:r>
        <w:rPr>
          <w:color w:val="363636"/>
          <w:spacing w:val="-9"/>
          <w:w w:val="105"/>
        </w:rPr>
        <w:t xml:space="preserve"> </w:t>
      </w:r>
      <w:r>
        <w:rPr>
          <w:color w:val="363636"/>
          <w:w w:val="105"/>
        </w:rPr>
        <w:t>the Motor</w:t>
      </w:r>
      <w:r>
        <w:rPr>
          <w:color w:val="363636"/>
          <w:spacing w:val="-1"/>
          <w:w w:val="105"/>
        </w:rPr>
        <w:t xml:space="preserve"> </w:t>
      </w:r>
      <w:r>
        <w:rPr>
          <w:color w:val="363636"/>
          <w:w w:val="105"/>
        </w:rPr>
        <w:t>Vehicle.</w:t>
      </w:r>
    </w:p>
    <w:p w:rsidR="00DF6584" w:rsidRDefault="00DF6584">
      <w:pPr>
        <w:pStyle w:val="BodyText"/>
        <w:spacing w:before="5"/>
        <w:rPr>
          <w:sz w:val="36"/>
        </w:rPr>
      </w:pPr>
    </w:p>
    <w:p w:rsidR="00DF6584" w:rsidRPr="00C21B4F" w:rsidRDefault="00C21B4F" w:rsidP="00C21B4F">
      <w:pPr>
        <w:tabs>
          <w:tab w:val="left" w:pos="954"/>
        </w:tabs>
        <w:spacing w:line="357" w:lineRule="auto"/>
        <w:ind w:left="953" w:right="544" w:hanging="721"/>
        <w:jc w:val="both"/>
        <w:rPr>
          <w:color w:val="363636"/>
          <w:sz w:val="24"/>
        </w:rPr>
      </w:pPr>
      <w:r>
        <w:rPr>
          <w:color w:val="363636"/>
          <w:spacing w:val="-32"/>
          <w:w w:val="99"/>
          <w:sz w:val="24"/>
        </w:rPr>
        <w:t>23.</w:t>
      </w:r>
      <w:r>
        <w:rPr>
          <w:color w:val="363636"/>
          <w:spacing w:val="-32"/>
          <w:w w:val="99"/>
          <w:sz w:val="24"/>
        </w:rPr>
        <w:tab/>
      </w:r>
      <w:r w:rsidR="0096023B" w:rsidRPr="00C21B4F">
        <w:rPr>
          <w:sz w:val="24"/>
        </w:rPr>
        <w:t xml:space="preserve">The Applicant submitted that </w:t>
      </w:r>
      <w:r w:rsidR="0096023B" w:rsidRPr="00C21B4F">
        <w:rPr>
          <w:color w:val="363636"/>
          <w:sz w:val="24"/>
        </w:rPr>
        <w:t>the Respondent refused to attend to the repairs to the motor vehicle only after MIOSA issued a recommendation to do so. This recommendation was issued on 2 April</w:t>
      </w:r>
      <w:r w:rsidR="0096023B" w:rsidRPr="00C21B4F">
        <w:rPr>
          <w:color w:val="363636"/>
          <w:spacing w:val="-5"/>
          <w:sz w:val="24"/>
        </w:rPr>
        <w:t xml:space="preserve"> </w:t>
      </w:r>
      <w:r w:rsidR="0096023B" w:rsidRPr="00C21B4F">
        <w:rPr>
          <w:color w:val="363636"/>
          <w:sz w:val="24"/>
        </w:rPr>
        <w:t>2019.</w:t>
      </w:r>
    </w:p>
    <w:p w:rsidR="00DF6584" w:rsidRDefault="00DF6584">
      <w:pPr>
        <w:pStyle w:val="BodyText"/>
        <w:spacing w:before="4"/>
        <w:rPr>
          <w:sz w:val="27"/>
        </w:rPr>
      </w:pPr>
    </w:p>
    <w:p w:rsidR="00DF6584" w:rsidRPr="00C21B4F" w:rsidRDefault="00C21B4F" w:rsidP="00C21B4F">
      <w:pPr>
        <w:tabs>
          <w:tab w:val="left" w:pos="954"/>
        </w:tabs>
        <w:spacing w:line="357" w:lineRule="auto"/>
        <w:ind w:left="953" w:right="150" w:hanging="721"/>
        <w:jc w:val="both"/>
        <w:rPr>
          <w:color w:val="363636"/>
          <w:sz w:val="24"/>
        </w:rPr>
      </w:pPr>
      <w:r>
        <w:rPr>
          <w:color w:val="363636"/>
          <w:spacing w:val="-32"/>
          <w:w w:val="99"/>
          <w:sz w:val="24"/>
        </w:rPr>
        <w:t>24.</w:t>
      </w:r>
      <w:r>
        <w:rPr>
          <w:color w:val="363636"/>
          <w:spacing w:val="-32"/>
          <w:w w:val="99"/>
          <w:sz w:val="24"/>
        </w:rPr>
        <w:tab/>
      </w:r>
      <w:r w:rsidR="0096023B" w:rsidRPr="00C21B4F">
        <w:rPr>
          <w:sz w:val="24"/>
        </w:rPr>
        <w:t>The Applicant submitted that the Respondent’s refusal to repair the vehicle could const</w:t>
      </w:r>
      <w:r w:rsidR="0096023B" w:rsidRPr="00C21B4F">
        <w:rPr>
          <w:sz w:val="24"/>
        </w:rPr>
        <w:t>itute continuing conduct. The date from which to determine the three-year time period within which a complaint is to be referred to the Tribunal should be  calculated from the date that the Respondent refused to repair the vehicle. This date of refusal sho</w:t>
      </w:r>
      <w:r w:rsidR="0096023B" w:rsidRPr="00C21B4F">
        <w:rPr>
          <w:sz w:val="24"/>
        </w:rPr>
        <w:t>uld be the date on which the Respondent indicated the same to MIOSA, namely 14 February 2019; alternatively, the date that MIOSA issued its recommendation on 2 April 2019 that the Respondent should repair the</w:t>
      </w:r>
      <w:r w:rsidR="0096023B" w:rsidRPr="00C21B4F">
        <w:rPr>
          <w:spacing w:val="-22"/>
          <w:sz w:val="24"/>
        </w:rPr>
        <w:t xml:space="preserve"> </w:t>
      </w:r>
      <w:r w:rsidR="0096023B" w:rsidRPr="00C21B4F">
        <w:rPr>
          <w:sz w:val="24"/>
        </w:rPr>
        <w:t>vehicle.</w:t>
      </w:r>
    </w:p>
    <w:p w:rsidR="00DF6584" w:rsidRDefault="00DF6584">
      <w:pPr>
        <w:pStyle w:val="BodyText"/>
        <w:spacing w:before="3"/>
        <w:rPr>
          <w:sz w:val="27"/>
        </w:rPr>
      </w:pPr>
    </w:p>
    <w:p w:rsidR="00DF6584" w:rsidRPr="00C21B4F" w:rsidRDefault="00C21B4F" w:rsidP="00C21B4F">
      <w:pPr>
        <w:tabs>
          <w:tab w:val="left" w:pos="954"/>
        </w:tabs>
        <w:spacing w:before="1" w:line="357" w:lineRule="auto"/>
        <w:ind w:left="953" w:right="150" w:hanging="721"/>
        <w:jc w:val="both"/>
        <w:rPr>
          <w:color w:val="363636"/>
          <w:sz w:val="24"/>
        </w:rPr>
      </w:pPr>
      <w:r>
        <w:rPr>
          <w:color w:val="363636"/>
          <w:spacing w:val="-32"/>
          <w:w w:val="99"/>
          <w:sz w:val="24"/>
        </w:rPr>
        <w:t>25.</w:t>
      </w:r>
      <w:r>
        <w:rPr>
          <w:color w:val="363636"/>
          <w:spacing w:val="-32"/>
          <w:w w:val="99"/>
          <w:sz w:val="24"/>
        </w:rPr>
        <w:tab/>
      </w:r>
      <w:r w:rsidR="0096023B" w:rsidRPr="00C21B4F">
        <w:rPr>
          <w:color w:val="363636"/>
          <w:sz w:val="24"/>
        </w:rPr>
        <w:t>Given that the referral in this matte</w:t>
      </w:r>
      <w:r w:rsidR="0096023B" w:rsidRPr="00C21B4F">
        <w:rPr>
          <w:color w:val="363636"/>
          <w:sz w:val="24"/>
        </w:rPr>
        <w:t>r by the Applicant to the Tribunal was on 13 January 2022, this is less than three years before the act that is the cause of the complaint, namely the Respondent’s refusal to MIOSA to repair the</w:t>
      </w:r>
      <w:r w:rsidR="0096023B" w:rsidRPr="00C21B4F">
        <w:rPr>
          <w:color w:val="363636"/>
          <w:spacing w:val="-13"/>
          <w:sz w:val="24"/>
        </w:rPr>
        <w:t xml:space="preserve"> </w:t>
      </w:r>
      <w:r w:rsidR="0096023B" w:rsidRPr="00C21B4F">
        <w:rPr>
          <w:color w:val="363636"/>
          <w:sz w:val="24"/>
        </w:rPr>
        <w:t>vehicle.</w:t>
      </w:r>
    </w:p>
    <w:p w:rsidR="00DF6584" w:rsidRDefault="00DF6584">
      <w:pPr>
        <w:pStyle w:val="BodyText"/>
        <w:spacing w:before="3"/>
        <w:rPr>
          <w:sz w:val="27"/>
        </w:rPr>
      </w:pPr>
    </w:p>
    <w:p w:rsidR="00DF6584" w:rsidRPr="00C21B4F" w:rsidRDefault="00C21B4F" w:rsidP="00C21B4F">
      <w:pPr>
        <w:tabs>
          <w:tab w:val="left" w:pos="954"/>
        </w:tabs>
        <w:spacing w:line="367" w:lineRule="auto"/>
        <w:ind w:left="953" w:right="153" w:hanging="721"/>
        <w:jc w:val="both"/>
        <w:rPr>
          <w:color w:val="363636"/>
          <w:sz w:val="24"/>
        </w:rPr>
      </w:pPr>
      <w:r>
        <w:rPr>
          <w:color w:val="363636"/>
          <w:spacing w:val="-32"/>
          <w:w w:val="99"/>
          <w:sz w:val="24"/>
        </w:rPr>
        <w:t>26.</w:t>
      </w:r>
      <w:r>
        <w:rPr>
          <w:color w:val="363636"/>
          <w:spacing w:val="-32"/>
          <w:w w:val="99"/>
          <w:sz w:val="24"/>
        </w:rPr>
        <w:tab/>
      </w:r>
      <w:r w:rsidR="0096023B" w:rsidRPr="00C21B4F">
        <w:rPr>
          <w:color w:val="363636"/>
          <w:sz w:val="24"/>
        </w:rPr>
        <w:t>The Applicant submitted that the complaint could be referred to the Tribunal on this basis as the timeline limitations of section 116 of the Act are not yet</w:t>
      </w:r>
      <w:r w:rsidR="0096023B" w:rsidRPr="00C21B4F">
        <w:rPr>
          <w:color w:val="363636"/>
          <w:spacing w:val="-22"/>
          <w:sz w:val="24"/>
        </w:rPr>
        <w:t xml:space="preserve"> </w:t>
      </w:r>
      <w:r w:rsidR="0096023B" w:rsidRPr="00C21B4F">
        <w:rPr>
          <w:color w:val="363636"/>
          <w:sz w:val="24"/>
        </w:rPr>
        <w:t>applicable.</w:t>
      </w:r>
    </w:p>
    <w:p w:rsidR="00DF6584" w:rsidRDefault="00DF6584">
      <w:pPr>
        <w:pStyle w:val="BodyText"/>
        <w:spacing w:before="7"/>
        <w:rPr>
          <w:sz w:val="27"/>
        </w:rPr>
      </w:pPr>
    </w:p>
    <w:p w:rsidR="00DF6584" w:rsidRPr="00C21B4F" w:rsidRDefault="00C21B4F" w:rsidP="00C21B4F">
      <w:pPr>
        <w:tabs>
          <w:tab w:val="left" w:pos="954"/>
        </w:tabs>
        <w:spacing w:line="367" w:lineRule="auto"/>
        <w:ind w:left="953" w:right="148" w:hanging="721"/>
        <w:jc w:val="both"/>
        <w:rPr>
          <w:color w:val="363636"/>
          <w:sz w:val="24"/>
        </w:rPr>
      </w:pPr>
      <w:r>
        <w:rPr>
          <w:color w:val="363636"/>
          <w:spacing w:val="-32"/>
          <w:w w:val="99"/>
          <w:sz w:val="24"/>
        </w:rPr>
        <w:t>27.</w:t>
      </w:r>
      <w:r>
        <w:rPr>
          <w:color w:val="363636"/>
          <w:spacing w:val="-32"/>
          <w:w w:val="99"/>
          <w:sz w:val="24"/>
        </w:rPr>
        <w:tab/>
      </w:r>
      <w:r w:rsidR="0096023B" w:rsidRPr="00C21B4F">
        <w:rPr>
          <w:color w:val="363636"/>
          <w:sz w:val="24"/>
        </w:rPr>
        <w:t xml:space="preserve">The Applicant submitted that the Respondent’s continuing refusal to attend to repairs </w:t>
      </w:r>
      <w:r w:rsidR="0096023B" w:rsidRPr="00C21B4F">
        <w:rPr>
          <w:color w:val="363636"/>
          <w:sz w:val="24"/>
        </w:rPr>
        <w:t>of the vehicle constitutes a contravention of Section 56(2) of the</w:t>
      </w:r>
      <w:r w:rsidR="0096023B" w:rsidRPr="00C21B4F">
        <w:rPr>
          <w:color w:val="363636"/>
          <w:spacing w:val="-42"/>
          <w:sz w:val="24"/>
        </w:rPr>
        <w:t xml:space="preserve"> </w:t>
      </w:r>
      <w:r w:rsidR="0096023B" w:rsidRPr="00C21B4F">
        <w:rPr>
          <w:color w:val="363636"/>
          <w:sz w:val="24"/>
        </w:rPr>
        <w:t>CPA.</w:t>
      </w:r>
    </w:p>
    <w:p w:rsidR="00DF6584" w:rsidRDefault="00DF6584">
      <w:pPr>
        <w:pStyle w:val="BodyText"/>
        <w:spacing w:before="7"/>
        <w:rPr>
          <w:sz w:val="27"/>
        </w:rPr>
      </w:pPr>
    </w:p>
    <w:p w:rsidR="00DF6584" w:rsidRPr="00C21B4F" w:rsidRDefault="00C21B4F" w:rsidP="00C21B4F">
      <w:pPr>
        <w:tabs>
          <w:tab w:val="left" w:pos="954"/>
        </w:tabs>
        <w:spacing w:line="367" w:lineRule="auto"/>
        <w:ind w:left="953" w:right="151" w:hanging="721"/>
        <w:jc w:val="both"/>
        <w:rPr>
          <w:color w:val="363636"/>
          <w:sz w:val="24"/>
        </w:rPr>
      </w:pPr>
      <w:r>
        <w:rPr>
          <w:color w:val="363636"/>
          <w:spacing w:val="-32"/>
          <w:w w:val="99"/>
          <w:sz w:val="24"/>
        </w:rPr>
        <w:t>28.</w:t>
      </w:r>
      <w:r>
        <w:rPr>
          <w:color w:val="363636"/>
          <w:spacing w:val="-32"/>
          <w:w w:val="99"/>
          <w:sz w:val="24"/>
        </w:rPr>
        <w:tab/>
      </w:r>
      <w:r w:rsidR="0096023B" w:rsidRPr="00C21B4F">
        <w:rPr>
          <w:color w:val="363636"/>
          <w:sz w:val="24"/>
        </w:rPr>
        <w:t>The Applicant submitted that the Respondent supplied a defective vehicle; the defect is a defect as defined in Section 53 of the CPA; thus, the Respondent contravened section 55 of th</w:t>
      </w:r>
      <w:r w:rsidR="0096023B" w:rsidRPr="00C21B4F">
        <w:rPr>
          <w:color w:val="363636"/>
          <w:sz w:val="24"/>
        </w:rPr>
        <w:t>e CPA by failing to supply safe and good quality</w:t>
      </w:r>
      <w:r w:rsidR="0096023B" w:rsidRPr="00C21B4F">
        <w:rPr>
          <w:color w:val="363636"/>
          <w:spacing w:val="-31"/>
          <w:sz w:val="24"/>
        </w:rPr>
        <w:t xml:space="preserve"> </w:t>
      </w:r>
      <w:r w:rsidR="0096023B" w:rsidRPr="00C21B4F">
        <w:rPr>
          <w:color w:val="363636"/>
          <w:sz w:val="24"/>
        </w:rPr>
        <w:t>goods.</w:t>
      </w:r>
    </w:p>
    <w:p w:rsidR="00DF6584" w:rsidRDefault="00DF6584">
      <w:pPr>
        <w:pStyle w:val="BodyText"/>
        <w:spacing w:before="8"/>
        <w:rPr>
          <w:sz w:val="35"/>
        </w:rPr>
      </w:pPr>
    </w:p>
    <w:p w:rsidR="00DF6584" w:rsidRDefault="0096023B">
      <w:pPr>
        <w:pStyle w:val="Heading1"/>
        <w:spacing w:before="1"/>
        <w:ind w:left="146"/>
      </w:pPr>
      <w:r>
        <w:t>The Respondent’s Submissions</w:t>
      </w:r>
    </w:p>
    <w:p w:rsidR="00DF6584" w:rsidRDefault="00DF6584">
      <w:pPr>
        <w:pStyle w:val="BodyText"/>
        <w:rPr>
          <w:b/>
          <w:sz w:val="26"/>
        </w:rPr>
      </w:pPr>
    </w:p>
    <w:p w:rsidR="00DF6584" w:rsidRDefault="00DF6584">
      <w:pPr>
        <w:pStyle w:val="BodyText"/>
        <w:rPr>
          <w:b/>
          <w:sz w:val="26"/>
        </w:rPr>
      </w:pPr>
    </w:p>
    <w:p w:rsidR="00DF6584" w:rsidRDefault="00DF6584">
      <w:pPr>
        <w:pStyle w:val="BodyText"/>
        <w:spacing w:before="10"/>
        <w:rPr>
          <w:b/>
          <w:sz w:val="20"/>
        </w:rPr>
      </w:pPr>
    </w:p>
    <w:p w:rsidR="00DF6584" w:rsidRPr="00C21B4F" w:rsidRDefault="00C21B4F" w:rsidP="00C21B4F">
      <w:pPr>
        <w:tabs>
          <w:tab w:val="left" w:pos="800"/>
        </w:tabs>
        <w:spacing w:line="360" w:lineRule="auto"/>
        <w:ind w:left="799" w:right="150" w:hanging="654"/>
        <w:jc w:val="both"/>
        <w:rPr>
          <w:sz w:val="24"/>
        </w:rPr>
      </w:pPr>
      <w:r>
        <w:rPr>
          <w:spacing w:val="-32"/>
          <w:w w:val="99"/>
          <w:sz w:val="24"/>
        </w:rPr>
        <w:t>29.</w:t>
      </w:r>
      <w:r>
        <w:rPr>
          <w:spacing w:val="-32"/>
          <w:w w:val="99"/>
          <w:sz w:val="24"/>
        </w:rPr>
        <w:tab/>
      </w:r>
      <w:r w:rsidR="0096023B" w:rsidRPr="00C21B4F">
        <w:rPr>
          <w:sz w:val="24"/>
        </w:rPr>
        <w:t>The Respondent submitted that the complaint is prevented from being referred to the Tribunal in terms of section116 of the CPA. The application was served on the Respondent on 13 January 2022, more than three years after the purchase and delivery of the ve</w:t>
      </w:r>
      <w:r w:rsidR="0096023B" w:rsidRPr="00C21B4F">
        <w:rPr>
          <w:sz w:val="24"/>
        </w:rPr>
        <w:t>hicle on 25 July 2018, which the Respondent submits is the cause of the</w:t>
      </w:r>
      <w:r w:rsidR="0096023B" w:rsidRPr="00C21B4F">
        <w:rPr>
          <w:spacing w:val="-1"/>
          <w:sz w:val="24"/>
        </w:rPr>
        <w:t xml:space="preserve"> </w:t>
      </w:r>
      <w:r w:rsidR="0096023B" w:rsidRPr="00C21B4F">
        <w:rPr>
          <w:sz w:val="24"/>
        </w:rPr>
        <w:t>complaint.</w:t>
      </w:r>
    </w:p>
    <w:p w:rsidR="00DF6584" w:rsidRDefault="00DF6584">
      <w:pPr>
        <w:spacing w:line="360" w:lineRule="auto"/>
        <w:jc w:val="both"/>
        <w:rPr>
          <w:sz w:val="24"/>
        </w:rPr>
        <w:sectPr w:rsidR="00DF6584">
          <w:pgSz w:w="11910" w:h="16840"/>
          <w:pgMar w:top="1000" w:right="980" w:bottom="820" w:left="900" w:header="289" w:footer="554" w:gutter="0"/>
          <w:cols w:space="720"/>
        </w:sectPr>
      </w:pPr>
    </w:p>
    <w:p w:rsidR="00DF6584" w:rsidRDefault="00DF6584">
      <w:pPr>
        <w:pStyle w:val="BodyText"/>
        <w:rPr>
          <w:sz w:val="20"/>
        </w:rPr>
      </w:pPr>
    </w:p>
    <w:p w:rsidR="00DF6584" w:rsidRDefault="00DF6584">
      <w:pPr>
        <w:pStyle w:val="BodyText"/>
        <w:spacing w:before="2"/>
        <w:rPr>
          <w:sz w:val="23"/>
        </w:rPr>
      </w:pPr>
    </w:p>
    <w:p w:rsidR="00DF6584" w:rsidRPr="00C21B4F" w:rsidRDefault="00C21B4F" w:rsidP="00C21B4F">
      <w:pPr>
        <w:tabs>
          <w:tab w:val="left" w:pos="800"/>
        </w:tabs>
        <w:spacing w:before="1" w:line="360" w:lineRule="auto"/>
        <w:ind w:left="799" w:right="150" w:hanging="654"/>
        <w:jc w:val="both"/>
        <w:rPr>
          <w:sz w:val="24"/>
        </w:rPr>
      </w:pPr>
      <w:r>
        <w:rPr>
          <w:spacing w:val="-32"/>
          <w:w w:val="99"/>
          <w:sz w:val="24"/>
        </w:rPr>
        <w:t>30.</w:t>
      </w:r>
      <w:r>
        <w:rPr>
          <w:spacing w:val="-32"/>
          <w:w w:val="99"/>
          <w:sz w:val="24"/>
        </w:rPr>
        <w:tab/>
      </w:r>
      <w:r w:rsidR="0096023B" w:rsidRPr="00C21B4F">
        <w:rPr>
          <w:sz w:val="24"/>
        </w:rPr>
        <w:t>Even if the cause of the complaint is considered to be the date on which Ms Medupe became aware of the alleged defect when she heard the noise from the vehicle’s engine, on her own version, she first heard this on the day after the service performed by Leo</w:t>
      </w:r>
      <w:r w:rsidR="0096023B" w:rsidRPr="00C21B4F">
        <w:rPr>
          <w:sz w:val="24"/>
        </w:rPr>
        <w:t>n’s Motors on 10 October 2018. This, too, is more than three years prior to the application being served on the</w:t>
      </w:r>
      <w:r w:rsidR="0096023B" w:rsidRPr="00C21B4F">
        <w:rPr>
          <w:spacing w:val="-11"/>
          <w:sz w:val="24"/>
        </w:rPr>
        <w:t xml:space="preserve"> </w:t>
      </w:r>
      <w:r w:rsidR="0096023B" w:rsidRPr="00C21B4F">
        <w:rPr>
          <w:sz w:val="24"/>
        </w:rPr>
        <w:t>Respondent.</w:t>
      </w:r>
    </w:p>
    <w:p w:rsidR="00DF6584" w:rsidRDefault="00DF6584">
      <w:pPr>
        <w:pStyle w:val="BodyText"/>
        <w:rPr>
          <w:sz w:val="26"/>
        </w:rPr>
      </w:pPr>
    </w:p>
    <w:p w:rsidR="00DF6584" w:rsidRDefault="00DF6584">
      <w:pPr>
        <w:pStyle w:val="BodyText"/>
        <w:spacing w:before="4"/>
        <w:rPr>
          <w:sz w:val="27"/>
        </w:rPr>
      </w:pPr>
    </w:p>
    <w:p w:rsidR="00DF6584" w:rsidRPr="00C21B4F" w:rsidRDefault="00C21B4F" w:rsidP="00C21B4F">
      <w:pPr>
        <w:tabs>
          <w:tab w:val="left" w:pos="800"/>
        </w:tabs>
        <w:spacing w:line="360" w:lineRule="auto"/>
        <w:ind w:left="799" w:right="146" w:hanging="654"/>
        <w:jc w:val="both"/>
        <w:rPr>
          <w:sz w:val="24"/>
        </w:rPr>
      </w:pPr>
      <w:r>
        <w:rPr>
          <w:spacing w:val="-32"/>
          <w:w w:val="99"/>
          <w:sz w:val="24"/>
        </w:rPr>
        <w:t>31.</w:t>
      </w:r>
      <w:r>
        <w:rPr>
          <w:spacing w:val="-32"/>
          <w:w w:val="99"/>
          <w:sz w:val="24"/>
        </w:rPr>
        <w:tab/>
      </w:r>
      <w:r w:rsidR="0096023B" w:rsidRPr="00C21B4F">
        <w:rPr>
          <w:sz w:val="24"/>
        </w:rPr>
        <w:t>Furthermore,    Ms    Medupe    for    the    first    time    informed     the     Cars.   Com about her concerns about the engin</w:t>
      </w:r>
      <w:r w:rsidR="0096023B" w:rsidRPr="00C21B4F">
        <w:rPr>
          <w:sz w:val="24"/>
        </w:rPr>
        <w:t>e noise on 23 October 2018, which is again more than three years prior to the application being served on the</w:t>
      </w:r>
      <w:r w:rsidR="0096023B" w:rsidRPr="00C21B4F">
        <w:rPr>
          <w:spacing w:val="-22"/>
          <w:sz w:val="24"/>
        </w:rPr>
        <w:t xml:space="preserve"> </w:t>
      </w:r>
      <w:r w:rsidR="0096023B" w:rsidRPr="00C21B4F">
        <w:rPr>
          <w:sz w:val="24"/>
        </w:rPr>
        <w:t>Respondent.</w:t>
      </w:r>
    </w:p>
    <w:p w:rsidR="00DF6584" w:rsidRDefault="00DF6584">
      <w:pPr>
        <w:pStyle w:val="BodyText"/>
        <w:rPr>
          <w:sz w:val="26"/>
        </w:rPr>
      </w:pPr>
    </w:p>
    <w:p w:rsidR="00DF6584" w:rsidRDefault="00DF6584">
      <w:pPr>
        <w:pStyle w:val="BodyText"/>
        <w:spacing w:before="6"/>
        <w:rPr>
          <w:sz w:val="22"/>
        </w:rPr>
      </w:pPr>
    </w:p>
    <w:p w:rsidR="00DF6584" w:rsidRPr="00C21B4F" w:rsidRDefault="00C21B4F" w:rsidP="00C21B4F">
      <w:pPr>
        <w:tabs>
          <w:tab w:val="left" w:pos="800"/>
        </w:tabs>
        <w:spacing w:before="1" w:line="360" w:lineRule="auto"/>
        <w:ind w:left="799" w:right="153" w:hanging="654"/>
        <w:jc w:val="both"/>
        <w:rPr>
          <w:sz w:val="24"/>
        </w:rPr>
      </w:pPr>
      <w:r>
        <w:rPr>
          <w:spacing w:val="-32"/>
          <w:w w:val="99"/>
          <w:sz w:val="24"/>
        </w:rPr>
        <w:t>32.</w:t>
      </w:r>
      <w:r>
        <w:rPr>
          <w:spacing w:val="-32"/>
          <w:w w:val="99"/>
          <w:sz w:val="24"/>
        </w:rPr>
        <w:tab/>
      </w:r>
      <w:r w:rsidR="0096023B" w:rsidRPr="00C21B4F">
        <w:rPr>
          <w:sz w:val="24"/>
        </w:rPr>
        <w:t>The Respondent submitted that there is no indication of any performance problem with the vehicle before it was taken to a third part</w:t>
      </w:r>
      <w:r w:rsidR="0096023B" w:rsidRPr="00C21B4F">
        <w:rPr>
          <w:sz w:val="24"/>
        </w:rPr>
        <w:t>y, Leon’s Motors, for a routine     120 000km service. On the contrary, Ms Medupe had enjoyed full use of the vehicle and driven a substantial distance of 2 880km since the date of delivery from Cars.Com. It was only after the vehicle was returned to Ms Me</w:t>
      </w:r>
      <w:r w:rsidR="0096023B" w:rsidRPr="00C21B4F">
        <w:rPr>
          <w:sz w:val="24"/>
        </w:rPr>
        <w:t>dupe by Leon’s Motors that she heard the engine noise and became concerned about the condition of the vehicle.</w:t>
      </w:r>
    </w:p>
    <w:p w:rsidR="00DF6584" w:rsidRDefault="00DF6584">
      <w:pPr>
        <w:pStyle w:val="BodyText"/>
        <w:spacing w:before="9"/>
        <w:rPr>
          <w:sz w:val="20"/>
        </w:rPr>
      </w:pPr>
    </w:p>
    <w:p w:rsidR="00DF6584" w:rsidRPr="00C21B4F" w:rsidRDefault="00C21B4F" w:rsidP="00C21B4F">
      <w:pPr>
        <w:tabs>
          <w:tab w:val="left" w:pos="800"/>
        </w:tabs>
        <w:spacing w:line="360" w:lineRule="auto"/>
        <w:ind w:left="799" w:right="158" w:hanging="654"/>
        <w:jc w:val="both"/>
        <w:rPr>
          <w:sz w:val="24"/>
        </w:rPr>
      </w:pPr>
      <w:r>
        <w:rPr>
          <w:spacing w:val="-32"/>
          <w:w w:val="99"/>
          <w:sz w:val="24"/>
        </w:rPr>
        <w:t>33.</w:t>
      </w:r>
      <w:r>
        <w:rPr>
          <w:spacing w:val="-32"/>
          <w:w w:val="99"/>
          <w:sz w:val="24"/>
        </w:rPr>
        <w:tab/>
      </w:r>
      <w:r w:rsidR="0096023B" w:rsidRPr="00C21B4F">
        <w:rPr>
          <w:sz w:val="24"/>
        </w:rPr>
        <w:t>The Respondent further submitted that it has no knowledge of what Leon’s Motors did or did not do to the vehicle when it serviced the vehicle; a</w:t>
      </w:r>
      <w:r w:rsidR="0096023B" w:rsidRPr="00C21B4F">
        <w:rPr>
          <w:sz w:val="24"/>
        </w:rPr>
        <w:t>nd that this service work was beyond the control of the</w:t>
      </w:r>
      <w:r w:rsidR="0096023B" w:rsidRPr="00C21B4F">
        <w:rPr>
          <w:spacing w:val="-6"/>
          <w:sz w:val="24"/>
        </w:rPr>
        <w:t xml:space="preserve"> </w:t>
      </w:r>
      <w:r w:rsidR="0096023B" w:rsidRPr="00C21B4F">
        <w:rPr>
          <w:sz w:val="24"/>
        </w:rPr>
        <w:t>Respondent.</w:t>
      </w:r>
    </w:p>
    <w:p w:rsidR="00DF6584" w:rsidRDefault="00DF6584">
      <w:pPr>
        <w:pStyle w:val="BodyText"/>
        <w:rPr>
          <w:sz w:val="21"/>
        </w:rPr>
      </w:pPr>
    </w:p>
    <w:p w:rsidR="00DF6584" w:rsidRPr="00C21B4F" w:rsidRDefault="00C21B4F" w:rsidP="00C21B4F">
      <w:pPr>
        <w:tabs>
          <w:tab w:val="left" w:pos="800"/>
        </w:tabs>
        <w:spacing w:line="360" w:lineRule="auto"/>
        <w:ind w:left="799" w:right="151" w:hanging="654"/>
        <w:jc w:val="both"/>
        <w:rPr>
          <w:sz w:val="24"/>
        </w:rPr>
      </w:pPr>
      <w:r>
        <w:rPr>
          <w:spacing w:val="-32"/>
          <w:w w:val="99"/>
          <w:sz w:val="24"/>
        </w:rPr>
        <w:t>34.</w:t>
      </w:r>
      <w:r>
        <w:rPr>
          <w:spacing w:val="-32"/>
          <w:w w:val="99"/>
          <w:sz w:val="24"/>
        </w:rPr>
        <w:tab/>
      </w:r>
      <w:r w:rsidR="0096023B" w:rsidRPr="00C21B4F">
        <w:rPr>
          <w:sz w:val="24"/>
        </w:rPr>
        <w:t>The Respondent refutes that the vehicle had any defects when it was sold to Ms Medupe. The Applicant has provided no evidence in this regard but merely relies on hearsay. Ms Medupe furthe</w:t>
      </w:r>
      <w:r w:rsidR="0096023B" w:rsidRPr="00C21B4F">
        <w:rPr>
          <w:sz w:val="24"/>
        </w:rPr>
        <w:t>r did not complain to Cars.Com after the delivery of the vehicle about any performance-related concerns when using the</w:t>
      </w:r>
      <w:r w:rsidR="0096023B" w:rsidRPr="00C21B4F">
        <w:rPr>
          <w:spacing w:val="-7"/>
          <w:sz w:val="24"/>
        </w:rPr>
        <w:t xml:space="preserve"> </w:t>
      </w:r>
      <w:r w:rsidR="0096023B" w:rsidRPr="00C21B4F">
        <w:rPr>
          <w:sz w:val="24"/>
        </w:rPr>
        <w:t>vehicle.</w:t>
      </w:r>
    </w:p>
    <w:p w:rsidR="00DF6584" w:rsidRDefault="00DF6584">
      <w:pPr>
        <w:pStyle w:val="BodyText"/>
        <w:spacing w:before="10"/>
        <w:rPr>
          <w:sz w:val="20"/>
        </w:rPr>
      </w:pPr>
    </w:p>
    <w:p w:rsidR="00DF6584" w:rsidRPr="00C21B4F" w:rsidRDefault="00C21B4F" w:rsidP="00C21B4F">
      <w:pPr>
        <w:tabs>
          <w:tab w:val="left" w:pos="800"/>
        </w:tabs>
        <w:spacing w:line="360" w:lineRule="auto"/>
        <w:ind w:left="799" w:right="151" w:hanging="654"/>
        <w:jc w:val="both"/>
        <w:rPr>
          <w:sz w:val="24"/>
        </w:rPr>
      </w:pPr>
      <w:r>
        <w:rPr>
          <w:spacing w:val="-32"/>
          <w:w w:val="99"/>
          <w:sz w:val="24"/>
        </w:rPr>
        <w:t>35.</w:t>
      </w:r>
      <w:r>
        <w:rPr>
          <w:spacing w:val="-32"/>
          <w:w w:val="99"/>
          <w:sz w:val="24"/>
        </w:rPr>
        <w:tab/>
      </w:r>
      <w:r w:rsidR="0096023B" w:rsidRPr="00C21B4F">
        <w:rPr>
          <w:sz w:val="24"/>
        </w:rPr>
        <w:t>Thus, the Respondent submitted that any of these three dates place the referral more than three years after any act which should be regarded as the cause of the complaint. Hence the referral is outside the three-year provision of Section 116 (1)(a) of the</w:t>
      </w:r>
      <w:r w:rsidR="0096023B" w:rsidRPr="00C21B4F">
        <w:rPr>
          <w:spacing w:val="-1"/>
          <w:sz w:val="24"/>
        </w:rPr>
        <w:t xml:space="preserve"> </w:t>
      </w:r>
      <w:r w:rsidR="0096023B" w:rsidRPr="00C21B4F">
        <w:rPr>
          <w:sz w:val="24"/>
        </w:rPr>
        <w:t>CPA.</w:t>
      </w:r>
    </w:p>
    <w:p w:rsidR="00DF6584" w:rsidRDefault="00DF6584">
      <w:pPr>
        <w:pStyle w:val="BodyText"/>
        <w:spacing w:before="8"/>
        <w:rPr>
          <w:sz w:val="20"/>
        </w:rPr>
      </w:pPr>
    </w:p>
    <w:p w:rsidR="00DF6584" w:rsidRPr="00C21B4F" w:rsidRDefault="00C21B4F" w:rsidP="00C21B4F">
      <w:pPr>
        <w:tabs>
          <w:tab w:val="left" w:pos="800"/>
        </w:tabs>
        <w:spacing w:line="360" w:lineRule="auto"/>
        <w:ind w:left="799" w:right="158" w:hanging="654"/>
        <w:jc w:val="both"/>
        <w:rPr>
          <w:sz w:val="24"/>
        </w:rPr>
      </w:pPr>
      <w:r>
        <w:rPr>
          <w:spacing w:val="-32"/>
          <w:w w:val="99"/>
          <w:sz w:val="24"/>
        </w:rPr>
        <w:t>36.</w:t>
      </w:r>
      <w:r>
        <w:rPr>
          <w:spacing w:val="-32"/>
          <w:w w:val="99"/>
          <w:sz w:val="24"/>
        </w:rPr>
        <w:tab/>
      </w:r>
      <w:r w:rsidR="0096023B" w:rsidRPr="00C21B4F">
        <w:rPr>
          <w:sz w:val="24"/>
        </w:rPr>
        <w:t>Consequently, the Respondent argued that the Tribunal does not have the jurisdiction to attend to matters referred to it more than three years after the cause of the</w:t>
      </w:r>
      <w:r w:rsidR="0096023B" w:rsidRPr="00C21B4F">
        <w:rPr>
          <w:spacing w:val="-1"/>
          <w:sz w:val="24"/>
        </w:rPr>
        <w:t xml:space="preserve"> </w:t>
      </w:r>
      <w:r w:rsidR="0096023B" w:rsidRPr="00C21B4F">
        <w:rPr>
          <w:sz w:val="24"/>
        </w:rPr>
        <w:t>complaint.</w:t>
      </w:r>
    </w:p>
    <w:p w:rsidR="00DF6584" w:rsidRDefault="00DF6584">
      <w:pPr>
        <w:spacing w:line="360" w:lineRule="auto"/>
        <w:jc w:val="both"/>
        <w:rPr>
          <w:sz w:val="24"/>
        </w:rPr>
        <w:sectPr w:rsidR="00DF6584">
          <w:pgSz w:w="11910" w:h="16840"/>
          <w:pgMar w:top="1000" w:right="980" w:bottom="820" w:left="900" w:header="289" w:footer="554" w:gutter="0"/>
          <w:cols w:space="720"/>
        </w:sectPr>
      </w:pPr>
    </w:p>
    <w:p w:rsidR="00DF6584" w:rsidRDefault="0096023B">
      <w:pPr>
        <w:pStyle w:val="Heading1"/>
        <w:spacing w:before="82"/>
      </w:pPr>
      <w:r>
        <w:lastRenderedPageBreak/>
        <w:t>APPLICABLE SECTIONS OF THE ACT</w:t>
      </w:r>
    </w:p>
    <w:p w:rsidR="00DF6584" w:rsidRDefault="00DF6584">
      <w:pPr>
        <w:pStyle w:val="BodyText"/>
        <w:rPr>
          <w:b/>
          <w:sz w:val="33"/>
        </w:rPr>
      </w:pPr>
    </w:p>
    <w:p w:rsidR="00DF6584" w:rsidRDefault="0096023B">
      <w:pPr>
        <w:pStyle w:val="BodyText"/>
        <w:ind w:left="232"/>
      </w:pPr>
      <w:r>
        <w:t>Section 55 (2) of the C</w:t>
      </w:r>
      <w:r>
        <w:t>PA states:</w:t>
      </w:r>
    </w:p>
    <w:p w:rsidR="00DF6584" w:rsidRDefault="00DF6584">
      <w:pPr>
        <w:pStyle w:val="BodyText"/>
        <w:rPr>
          <w:sz w:val="26"/>
        </w:rPr>
      </w:pPr>
    </w:p>
    <w:p w:rsidR="00DF6584" w:rsidRDefault="00DF6584">
      <w:pPr>
        <w:pStyle w:val="BodyText"/>
        <w:rPr>
          <w:sz w:val="31"/>
        </w:rPr>
      </w:pPr>
    </w:p>
    <w:p w:rsidR="00DF6584" w:rsidRPr="00C21B4F" w:rsidRDefault="00C21B4F" w:rsidP="00C21B4F">
      <w:pPr>
        <w:tabs>
          <w:tab w:val="left" w:pos="1743"/>
        </w:tabs>
        <w:spacing w:line="360" w:lineRule="auto"/>
        <w:ind w:left="1793" w:right="156" w:hanging="428"/>
        <w:rPr>
          <w:i/>
          <w:sz w:val="24"/>
        </w:rPr>
      </w:pPr>
      <w:r>
        <w:rPr>
          <w:i/>
          <w:w w:val="99"/>
          <w:sz w:val="24"/>
          <w:szCs w:val="24"/>
        </w:rPr>
        <w:t>(2)</w:t>
      </w:r>
      <w:r>
        <w:rPr>
          <w:i/>
          <w:w w:val="99"/>
          <w:sz w:val="24"/>
          <w:szCs w:val="24"/>
        </w:rPr>
        <w:tab/>
      </w:r>
      <w:r w:rsidR="0096023B" w:rsidRPr="00C21B4F">
        <w:rPr>
          <w:i/>
          <w:sz w:val="24"/>
        </w:rPr>
        <w:t>Except to the extent contemplated in subsection (6), every consumer has a right to receive goods that</w:t>
      </w:r>
      <w:r w:rsidR="0096023B" w:rsidRPr="00C21B4F">
        <w:rPr>
          <w:i/>
          <w:spacing w:val="-1"/>
          <w:sz w:val="24"/>
        </w:rPr>
        <w:t xml:space="preserve"> </w:t>
      </w:r>
      <w:r w:rsidR="0096023B" w:rsidRPr="00C21B4F">
        <w:rPr>
          <w:i/>
          <w:sz w:val="24"/>
        </w:rPr>
        <w:t>–</w:t>
      </w:r>
    </w:p>
    <w:p w:rsidR="00DF6584" w:rsidRPr="00C21B4F" w:rsidRDefault="00C21B4F" w:rsidP="00C21B4F">
      <w:pPr>
        <w:tabs>
          <w:tab w:val="left" w:pos="1794"/>
        </w:tabs>
        <w:spacing w:before="199" w:line="360" w:lineRule="auto"/>
        <w:ind w:left="1793" w:right="157" w:hanging="428"/>
        <w:rPr>
          <w:i/>
          <w:sz w:val="24"/>
        </w:rPr>
      </w:pPr>
      <w:r>
        <w:rPr>
          <w:i/>
          <w:w w:val="99"/>
          <w:sz w:val="24"/>
          <w:szCs w:val="24"/>
        </w:rPr>
        <w:t>(a)</w:t>
      </w:r>
      <w:r>
        <w:rPr>
          <w:i/>
          <w:w w:val="99"/>
          <w:sz w:val="24"/>
          <w:szCs w:val="24"/>
        </w:rPr>
        <w:tab/>
      </w:r>
      <w:r w:rsidR="0096023B" w:rsidRPr="00C21B4F">
        <w:rPr>
          <w:i/>
          <w:sz w:val="24"/>
        </w:rPr>
        <w:t>Are reasonably suitable for the purposes for which they are generally intended;</w:t>
      </w:r>
    </w:p>
    <w:p w:rsidR="00DF6584" w:rsidRPr="00C21B4F" w:rsidRDefault="00C21B4F" w:rsidP="00C21B4F">
      <w:pPr>
        <w:tabs>
          <w:tab w:val="left" w:pos="1794"/>
        </w:tabs>
        <w:ind w:left="1793" w:hanging="428"/>
        <w:rPr>
          <w:i/>
          <w:sz w:val="24"/>
        </w:rPr>
      </w:pPr>
      <w:r>
        <w:rPr>
          <w:i/>
          <w:w w:val="99"/>
          <w:sz w:val="24"/>
          <w:szCs w:val="24"/>
        </w:rPr>
        <w:t>(b)</w:t>
      </w:r>
      <w:r>
        <w:rPr>
          <w:i/>
          <w:w w:val="99"/>
          <w:sz w:val="24"/>
          <w:szCs w:val="24"/>
        </w:rPr>
        <w:tab/>
      </w:r>
      <w:r w:rsidR="0096023B" w:rsidRPr="00C21B4F">
        <w:rPr>
          <w:i/>
          <w:sz w:val="24"/>
        </w:rPr>
        <w:t>Are of good quality, in good working order and free of any</w:t>
      </w:r>
      <w:r w:rsidR="0096023B" w:rsidRPr="00C21B4F">
        <w:rPr>
          <w:i/>
          <w:spacing w:val="-20"/>
          <w:sz w:val="24"/>
        </w:rPr>
        <w:t xml:space="preserve"> </w:t>
      </w:r>
      <w:r w:rsidR="0096023B" w:rsidRPr="00C21B4F">
        <w:rPr>
          <w:i/>
          <w:sz w:val="24"/>
        </w:rPr>
        <w:t>defects;</w:t>
      </w:r>
    </w:p>
    <w:p w:rsidR="00DF6584" w:rsidRPr="00C21B4F" w:rsidRDefault="00C21B4F" w:rsidP="00C21B4F">
      <w:pPr>
        <w:tabs>
          <w:tab w:val="left" w:pos="1794"/>
        </w:tabs>
        <w:spacing w:before="139" w:line="360" w:lineRule="auto"/>
        <w:ind w:left="1793" w:right="156" w:hanging="428"/>
        <w:jc w:val="both"/>
        <w:rPr>
          <w:i/>
          <w:sz w:val="24"/>
        </w:rPr>
      </w:pPr>
      <w:r>
        <w:rPr>
          <w:i/>
          <w:w w:val="99"/>
          <w:sz w:val="24"/>
          <w:szCs w:val="24"/>
        </w:rPr>
        <w:t>(c)</w:t>
      </w:r>
      <w:r>
        <w:rPr>
          <w:i/>
          <w:w w:val="99"/>
          <w:sz w:val="24"/>
          <w:szCs w:val="24"/>
        </w:rPr>
        <w:tab/>
      </w:r>
      <w:r w:rsidR="0096023B" w:rsidRPr="00C21B4F">
        <w:rPr>
          <w:i/>
          <w:sz w:val="24"/>
        </w:rPr>
        <w:t>Will be useable and durable for a reasonable period of time, having regard to the use to which they would normally be put and to all the surrounding circumstances of their supply;</w:t>
      </w:r>
      <w:r w:rsidR="0096023B" w:rsidRPr="00C21B4F">
        <w:rPr>
          <w:i/>
          <w:spacing w:val="-7"/>
          <w:sz w:val="24"/>
        </w:rPr>
        <w:t xml:space="preserve"> </w:t>
      </w:r>
      <w:r w:rsidR="0096023B" w:rsidRPr="00C21B4F">
        <w:rPr>
          <w:i/>
          <w:sz w:val="24"/>
        </w:rPr>
        <w:t>and</w:t>
      </w:r>
    </w:p>
    <w:p w:rsidR="00DF6584" w:rsidRPr="00C21B4F" w:rsidRDefault="00C21B4F" w:rsidP="00C21B4F">
      <w:pPr>
        <w:tabs>
          <w:tab w:val="left" w:pos="1794"/>
        </w:tabs>
        <w:spacing w:line="360" w:lineRule="auto"/>
        <w:ind w:left="1793" w:right="159" w:hanging="428"/>
        <w:jc w:val="both"/>
        <w:rPr>
          <w:i/>
          <w:sz w:val="24"/>
        </w:rPr>
      </w:pPr>
      <w:r>
        <w:rPr>
          <w:i/>
          <w:w w:val="99"/>
          <w:sz w:val="24"/>
          <w:szCs w:val="24"/>
        </w:rPr>
        <w:t>(d)</w:t>
      </w:r>
      <w:r>
        <w:rPr>
          <w:i/>
          <w:w w:val="99"/>
          <w:sz w:val="24"/>
          <w:szCs w:val="24"/>
        </w:rPr>
        <w:tab/>
      </w:r>
      <w:r w:rsidR="0096023B" w:rsidRPr="00C21B4F">
        <w:rPr>
          <w:i/>
          <w:sz w:val="24"/>
        </w:rPr>
        <w:t>Comply with any applicable standards as set under the Standards Act, 1993 (Act 5 No 29 of 1993) or any public</w:t>
      </w:r>
      <w:r w:rsidR="0096023B" w:rsidRPr="00C21B4F">
        <w:rPr>
          <w:i/>
          <w:spacing w:val="-11"/>
          <w:sz w:val="24"/>
        </w:rPr>
        <w:t xml:space="preserve"> </w:t>
      </w:r>
      <w:r w:rsidR="0096023B" w:rsidRPr="00C21B4F">
        <w:rPr>
          <w:i/>
          <w:sz w:val="24"/>
        </w:rPr>
        <w:t>regulation.</w:t>
      </w:r>
    </w:p>
    <w:p w:rsidR="00DF6584" w:rsidRDefault="00DF6584">
      <w:pPr>
        <w:pStyle w:val="BodyText"/>
        <w:spacing w:before="1"/>
        <w:rPr>
          <w:i/>
          <w:sz w:val="36"/>
        </w:rPr>
      </w:pPr>
    </w:p>
    <w:p w:rsidR="00DF6584" w:rsidRDefault="0096023B">
      <w:pPr>
        <w:pStyle w:val="BodyText"/>
        <w:ind w:left="232"/>
      </w:pPr>
      <w:r>
        <w:t>Section 56 of the CPA provides that –</w:t>
      </w:r>
    </w:p>
    <w:p w:rsidR="00DF6584" w:rsidRDefault="00DF6584">
      <w:pPr>
        <w:pStyle w:val="BodyText"/>
        <w:rPr>
          <w:sz w:val="26"/>
        </w:rPr>
      </w:pPr>
    </w:p>
    <w:p w:rsidR="00DF6584" w:rsidRDefault="00DF6584">
      <w:pPr>
        <w:pStyle w:val="BodyText"/>
        <w:rPr>
          <w:sz w:val="22"/>
        </w:rPr>
      </w:pPr>
    </w:p>
    <w:p w:rsidR="00DF6584" w:rsidRPr="00C21B4F" w:rsidRDefault="00C21B4F" w:rsidP="00C21B4F">
      <w:pPr>
        <w:tabs>
          <w:tab w:val="left" w:pos="1832"/>
        </w:tabs>
        <w:spacing w:line="360" w:lineRule="auto"/>
        <w:ind w:left="1831" w:right="150" w:hanging="406"/>
        <w:jc w:val="both"/>
        <w:rPr>
          <w:i/>
          <w:sz w:val="24"/>
        </w:rPr>
      </w:pPr>
      <w:r>
        <w:rPr>
          <w:i/>
          <w:w w:val="99"/>
          <w:sz w:val="24"/>
          <w:szCs w:val="24"/>
        </w:rPr>
        <w:t>(1)</w:t>
      </w:r>
      <w:r>
        <w:rPr>
          <w:i/>
          <w:w w:val="99"/>
          <w:sz w:val="24"/>
          <w:szCs w:val="24"/>
        </w:rPr>
        <w:tab/>
      </w:r>
      <w:r w:rsidR="0096023B" w:rsidRPr="00C21B4F">
        <w:rPr>
          <w:i/>
          <w:sz w:val="24"/>
        </w:rPr>
        <w:t>In any transaction or agreement pertaining to the supply of goods to a consumer there is an i</w:t>
      </w:r>
      <w:r w:rsidR="0096023B" w:rsidRPr="00C21B4F">
        <w:rPr>
          <w:i/>
          <w:sz w:val="24"/>
        </w:rPr>
        <w:t>mplied provision that the producer or importer, the distributor and the retailer each warrant that the goods comply with the requirements and standards contemplated in section 55, except to the extent that those goods have been altered contrary to the inst</w:t>
      </w:r>
      <w:r w:rsidR="0096023B" w:rsidRPr="00C21B4F">
        <w:rPr>
          <w:i/>
          <w:sz w:val="24"/>
        </w:rPr>
        <w:t>ructions, or after leaving the control, of the producer or importer, a distributor or the retailer, as the case may</w:t>
      </w:r>
      <w:r w:rsidR="0096023B" w:rsidRPr="00C21B4F">
        <w:rPr>
          <w:i/>
          <w:spacing w:val="-5"/>
          <w:sz w:val="24"/>
        </w:rPr>
        <w:t xml:space="preserve"> </w:t>
      </w:r>
      <w:r w:rsidR="0096023B" w:rsidRPr="00C21B4F">
        <w:rPr>
          <w:i/>
          <w:sz w:val="24"/>
        </w:rPr>
        <w:t>be.</w:t>
      </w:r>
    </w:p>
    <w:p w:rsidR="00DF6584" w:rsidRDefault="00DF6584">
      <w:pPr>
        <w:pStyle w:val="BodyText"/>
        <w:rPr>
          <w:i/>
          <w:sz w:val="26"/>
        </w:rPr>
      </w:pPr>
    </w:p>
    <w:p w:rsidR="00DF6584" w:rsidRDefault="00DF6584">
      <w:pPr>
        <w:pStyle w:val="BodyText"/>
        <w:spacing w:before="4"/>
        <w:rPr>
          <w:i/>
          <w:sz w:val="27"/>
        </w:rPr>
      </w:pPr>
    </w:p>
    <w:p w:rsidR="00DF6584" w:rsidRPr="00C21B4F" w:rsidRDefault="00C21B4F" w:rsidP="00C21B4F">
      <w:pPr>
        <w:tabs>
          <w:tab w:val="left" w:pos="1794"/>
        </w:tabs>
        <w:spacing w:before="1" w:line="360" w:lineRule="auto"/>
        <w:ind w:left="1793" w:right="151" w:hanging="567"/>
        <w:jc w:val="both"/>
        <w:rPr>
          <w:i/>
          <w:sz w:val="24"/>
        </w:rPr>
      </w:pPr>
      <w:r>
        <w:rPr>
          <w:i/>
          <w:w w:val="99"/>
          <w:sz w:val="24"/>
          <w:szCs w:val="24"/>
        </w:rPr>
        <w:t>(2)</w:t>
      </w:r>
      <w:r>
        <w:rPr>
          <w:i/>
          <w:w w:val="99"/>
          <w:sz w:val="24"/>
          <w:szCs w:val="24"/>
        </w:rPr>
        <w:tab/>
      </w:r>
      <w:r w:rsidR="0096023B" w:rsidRPr="00C21B4F">
        <w:rPr>
          <w:i/>
          <w:sz w:val="24"/>
        </w:rPr>
        <w:t>Within six months after the delivery of any goods to a consumer, the consumer may return the goods to the supplier, without penalty an</w:t>
      </w:r>
      <w:r w:rsidR="0096023B" w:rsidRPr="00C21B4F">
        <w:rPr>
          <w:i/>
          <w:sz w:val="24"/>
        </w:rPr>
        <w:t>d at the supplier’s risk and expense, if the goods fail to satisfy the requirements and standards contemplated in section 55, and the supplier must, at the direction of the consumer,</w:t>
      </w:r>
      <w:r w:rsidR="0096023B" w:rsidRPr="00C21B4F">
        <w:rPr>
          <w:i/>
          <w:spacing w:val="-3"/>
          <w:sz w:val="24"/>
        </w:rPr>
        <w:t xml:space="preserve"> </w:t>
      </w:r>
      <w:r w:rsidR="0096023B" w:rsidRPr="00C21B4F">
        <w:rPr>
          <w:i/>
          <w:sz w:val="24"/>
        </w:rPr>
        <w:t>either—</w:t>
      </w:r>
    </w:p>
    <w:p w:rsidR="00DF6584" w:rsidRPr="00C21B4F" w:rsidRDefault="00C21B4F" w:rsidP="00C21B4F">
      <w:pPr>
        <w:tabs>
          <w:tab w:val="left" w:pos="1794"/>
        </w:tabs>
        <w:spacing w:line="276" w:lineRule="exact"/>
        <w:ind w:left="1793" w:hanging="568"/>
        <w:jc w:val="both"/>
        <w:rPr>
          <w:i/>
          <w:sz w:val="24"/>
        </w:rPr>
      </w:pPr>
      <w:r>
        <w:rPr>
          <w:i/>
          <w:w w:val="99"/>
          <w:sz w:val="24"/>
          <w:szCs w:val="24"/>
        </w:rPr>
        <w:t>(a)</w:t>
      </w:r>
      <w:r>
        <w:rPr>
          <w:i/>
          <w:w w:val="99"/>
          <w:sz w:val="24"/>
          <w:szCs w:val="24"/>
        </w:rPr>
        <w:tab/>
      </w:r>
      <w:r w:rsidR="0096023B" w:rsidRPr="00C21B4F">
        <w:rPr>
          <w:i/>
          <w:sz w:val="24"/>
        </w:rPr>
        <w:t>repair or replace the failed, unsafe or defective goods;</w:t>
      </w:r>
      <w:r w:rsidR="0096023B" w:rsidRPr="00C21B4F">
        <w:rPr>
          <w:i/>
          <w:spacing w:val="-9"/>
          <w:sz w:val="24"/>
        </w:rPr>
        <w:t xml:space="preserve"> </w:t>
      </w:r>
      <w:r w:rsidR="0096023B" w:rsidRPr="00C21B4F">
        <w:rPr>
          <w:i/>
          <w:sz w:val="24"/>
        </w:rPr>
        <w:t>or</w:t>
      </w:r>
    </w:p>
    <w:p w:rsidR="00DF6584" w:rsidRPr="00C21B4F" w:rsidRDefault="00C21B4F" w:rsidP="00C21B4F">
      <w:pPr>
        <w:tabs>
          <w:tab w:val="left" w:pos="1794"/>
        </w:tabs>
        <w:spacing w:before="139"/>
        <w:ind w:left="1793" w:hanging="568"/>
        <w:jc w:val="both"/>
        <w:rPr>
          <w:i/>
          <w:sz w:val="24"/>
        </w:rPr>
      </w:pPr>
      <w:r>
        <w:rPr>
          <w:i/>
          <w:w w:val="99"/>
          <w:sz w:val="24"/>
          <w:szCs w:val="24"/>
        </w:rPr>
        <w:t>(b)</w:t>
      </w:r>
      <w:r>
        <w:rPr>
          <w:i/>
          <w:w w:val="99"/>
          <w:sz w:val="24"/>
          <w:szCs w:val="24"/>
        </w:rPr>
        <w:tab/>
      </w:r>
      <w:r w:rsidR="0096023B" w:rsidRPr="00C21B4F">
        <w:rPr>
          <w:i/>
          <w:sz w:val="24"/>
        </w:rPr>
        <w:t>refun</w:t>
      </w:r>
      <w:r w:rsidR="0096023B" w:rsidRPr="00C21B4F">
        <w:rPr>
          <w:i/>
          <w:sz w:val="24"/>
        </w:rPr>
        <w:t>d to the consumer the price paid by the consumer, for the</w:t>
      </w:r>
      <w:r w:rsidR="0096023B" w:rsidRPr="00C21B4F">
        <w:rPr>
          <w:i/>
          <w:spacing w:val="50"/>
          <w:sz w:val="24"/>
        </w:rPr>
        <w:t xml:space="preserve"> </w:t>
      </w:r>
      <w:r w:rsidR="0096023B" w:rsidRPr="00C21B4F">
        <w:rPr>
          <w:i/>
          <w:sz w:val="24"/>
        </w:rPr>
        <w:t>goods.</w:t>
      </w:r>
    </w:p>
    <w:p w:rsidR="00DF6584" w:rsidRDefault="00DF6584">
      <w:pPr>
        <w:pStyle w:val="BodyText"/>
        <w:rPr>
          <w:i/>
          <w:sz w:val="26"/>
        </w:rPr>
      </w:pPr>
    </w:p>
    <w:p w:rsidR="00DF6584" w:rsidRDefault="00DF6584">
      <w:pPr>
        <w:pStyle w:val="BodyText"/>
        <w:spacing w:before="1"/>
        <w:rPr>
          <w:i/>
          <w:sz w:val="34"/>
        </w:rPr>
      </w:pPr>
    </w:p>
    <w:p w:rsidR="00DF6584" w:rsidRDefault="0096023B">
      <w:pPr>
        <w:pStyle w:val="BodyText"/>
        <w:ind w:left="232"/>
      </w:pPr>
      <w:r>
        <w:rPr>
          <w:color w:val="363636"/>
        </w:rPr>
        <w:t xml:space="preserve">Section 116 of the CPA </w:t>
      </w:r>
      <w:r>
        <w:rPr>
          <w:color w:val="636363"/>
        </w:rPr>
        <w:t>states:</w:t>
      </w:r>
    </w:p>
    <w:p w:rsidR="00DF6584" w:rsidRDefault="00DF6584">
      <w:pPr>
        <w:sectPr w:rsidR="00DF6584">
          <w:pgSz w:w="11910" w:h="16840"/>
          <w:pgMar w:top="1000" w:right="980" w:bottom="820" w:left="900" w:header="289" w:footer="554" w:gutter="0"/>
          <w:cols w:space="720"/>
        </w:sectPr>
      </w:pPr>
    </w:p>
    <w:p w:rsidR="00DF6584" w:rsidRDefault="00DF6584">
      <w:pPr>
        <w:pStyle w:val="BodyText"/>
        <w:spacing w:before="1"/>
        <w:rPr>
          <w:sz w:val="23"/>
        </w:rPr>
      </w:pPr>
    </w:p>
    <w:p w:rsidR="00DF6584" w:rsidRPr="00C21B4F" w:rsidRDefault="00C21B4F" w:rsidP="00C21B4F">
      <w:pPr>
        <w:tabs>
          <w:tab w:val="left" w:pos="1117"/>
        </w:tabs>
        <w:spacing w:before="92" w:line="259" w:lineRule="auto"/>
        <w:ind w:left="756" w:right="161"/>
        <w:rPr>
          <w:i/>
          <w:sz w:val="24"/>
        </w:rPr>
      </w:pPr>
      <w:r>
        <w:rPr>
          <w:i/>
          <w:color w:val="363636"/>
          <w:w w:val="99"/>
          <w:sz w:val="24"/>
          <w:szCs w:val="24"/>
        </w:rPr>
        <w:t>(1)</w:t>
      </w:r>
      <w:r>
        <w:rPr>
          <w:i/>
          <w:color w:val="363636"/>
          <w:w w:val="99"/>
          <w:sz w:val="24"/>
          <w:szCs w:val="24"/>
        </w:rPr>
        <w:tab/>
      </w:r>
      <w:r w:rsidR="0096023B" w:rsidRPr="00C21B4F">
        <w:rPr>
          <w:i/>
          <w:color w:val="363636"/>
          <w:sz w:val="24"/>
        </w:rPr>
        <w:t>A complaint in terms of this Act may not be referred or made to the Tribunal or to a consumer court more than three years</w:t>
      </w:r>
      <w:r w:rsidR="0096023B" w:rsidRPr="00C21B4F">
        <w:rPr>
          <w:i/>
          <w:color w:val="363636"/>
          <w:spacing w:val="-10"/>
          <w:sz w:val="24"/>
        </w:rPr>
        <w:t xml:space="preserve"> </w:t>
      </w:r>
      <w:r w:rsidR="0096023B" w:rsidRPr="00C21B4F">
        <w:rPr>
          <w:i/>
          <w:color w:val="363636"/>
          <w:sz w:val="24"/>
        </w:rPr>
        <w:t>after-</w:t>
      </w:r>
    </w:p>
    <w:p w:rsidR="00DF6584" w:rsidRPr="00C21B4F" w:rsidRDefault="00C21B4F" w:rsidP="00C21B4F">
      <w:pPr>
        <w:tabs>
          <w:tab w:val="left" w:pos="2012"/>
        </w:tabs>
        <w:spacing w:before="206"/>
        <w:ind w:left="2011" w:hanging="361"/>
        <w:rPr>
          <w:i/>
          <w:sz w:val="24"/>
        </w:rPr>
      </w:pPr>
      <w:r>
        <w:rPr>
          <w:i/>
          <w:color w:val="363636"/>
          <w:w w:val="99"/>
          <w:sz w:val="24"/>
          <w:szCs w:val="24"/>
        </w:rPr>
        <w:t>(a)</w:t>
      </w:r>
      <w:r>
        <w:rPr>
          <w:i/>
          <w:color w:val="363636"/>
          <w:w w:val="99"/>
          <w:sz w:val="24"/>
          <w:szCs w:val="24"/>
        </w:rPr>
        <w:tab/>
      </w:r>
      <w:r w:rsidR="0096023B" w:rsidRPr="00C21B4F">
        <w:rPr>
          <w:i/>
          <w:color w:val="363636"/>
          <w:sz w:val="24"/>
        </w:rPr>
        <w:t>the act or omission that is the cause of the complaint;</w:t>
      </w:r>
      <w:r w:rsidR="0096023B" w:rsidRPr="00C21B4F">
        <w:rPr>
          <w:i/>
          <w:color w:val="363636"/>
          <w:spacing w:val="-17"/>
          <w:sz w:val="24"/>
        </w:rPr>
        <w:t xml:space="preserve"> </w:t>
      </w:r>
      <w:r w:rsidR="0096023B" w:rsidRPr="00C21B4F">
        <w:rPr>
          <w:i/>
          <w:color w:val="363636"/>
          <w:sz w:val="24"/>
        </w:rPr>
        <w:t>or</w:t>
      </w:r>
    </w:p>
    <w:p w:rsidR="00DF6584" w:rsidRPr="00C21B4F" w:rsidRDefault="00C21B4F" w:rsidP="00C21B4F">
      <w:pPr>
        <w:tabs>
          <w:tab w:val="left" w:pos="2010"/>
        </w:tabs>
        <w:spacing w:before="207" w:line="247" w:lineRule="auto"/>
        <w:ind w:left="1651" w:right="213" w:hanging="3"/>
        <w:rPr>
          <w:i/>
          <w:sz w:val="24"/>
        </w:rPr>
      </w:pPr>
      <w:r>
        <w:rPr>
          <w:i/>
          <w:color w:val="363636"/>
          <w:w w:val="99"/>
          <w:sz w:val="24"/>
          <w:szCs w:val="24"/>
        </w:rPr>
        <w:t>(b)</w:t>
      </w:r>
      <w:r>
        <w:rPr>
          <w:i/>
          <w:color w:val="363636"/>
          <w:w w:val="99"/>
          <w:sz w:val="24"/>
          <w:szCs w:val="24"/>
        </w:rPr>
        <w:tab/>
      </w:r>
      <w:r w:rsidR="0096023B" w:rsidRPr="00C21B4F">
        <w:rPr>
          <w:i/>
          <w:color w:val="363636"/>
          <w:sz w:val="24"/>
        </w:rPr>
        <w:t>in the case of a course of conduct or continuing practice, the date that the conduct or practice</w:t>
      </w:r>
      <w:r w:rsidR="0096023B" w:rsidRPr="00C21B4F">
        <w:rPr>
          <w:i/>
          <w:color w:val="363636"/>
          <w:spacing w:val="-4"/>
          <w:sz w:val="24"/>
        </w:rPr>
        <w:t xml:space="preserve"> </w:t>
      </w:r>
      <w:r w:rsidR="0096023B" w:rsidRPr="00C21B4F">
        <w:rPr>
          <w:i/>
          <w:color w:val="363636"/>
          <w:sz w:val="24"/>
        </w:rPr>
        <w:t>ceased.</w:t>
      </w:r>
    </w:p>
    <w:p w:rsidR="00DF6584" w:rsidRDefault="00DF6584">
      <w:pPr>
        <w:pStyle w:val="BodyText"/>
        <w:spacing w:before="3"/>
        <w:rPr>
          <w:i/>
          <w:sz w:val="13"/>
        </w:rPr>
      </w:pPr>
    </w:p>
    <w:p w:rsidR="00DF6584" w:rsidRDefault="0096023B">
      <w:pPr>
        <w:pStyle w:val="Heading1"/>
        <w:spacing w:before="92"/>
      </w:pPr>
      <w:r>
        <w:t>ANALYSIS</w:t>
      </w:r>
    </w:p>
    <w:p w:rsidR="00DF6584" w:rsidRDefault="00DF6584">
      <w:pPr>
        <w:pStyle w:val="BodyText"/>
        <w:spacing w:before="9"/>
        <w:rPr>
          <w:b/>
          <w:sz w:val="32"/>
        </w:rPr>
      </w:pPr>
    </w:p>
    <w:p w:rsidR="00DF6584" w:rsidRPr="00C21B4F" w:rsidRDefault="00C21B4F" w:rsidP="00C21B4F">
      <w:pPr>
        <w:tabs>
          <w:tab w:val="left" w:pos="954"/>
        </w:tabs>
        <w:spacing w:line="360" w:lineRule="auto"/>
        <w:ind w:left="953" w:right="112" w:hanging="721"/>
        <w:jc w:val="both"/>
        <w:rPr>
          <w:sz w:val="24"/>
        </w:rPr>
      </w:pPr>
      <w:r>
        <w:rPr>
          <w:spacing w:val="-32"/>
          <w:w w:val="99"/>
          <w:sz w:val="24"/>
        </w:rPr>
        <w:t>37.</w:t>
      </w:r>
      <w:r>
        <w:rPr>
          <w:spacing w:val="-32"/>
          <w:w w:val="99"/>
          <w:sz w:val="24"/>
        </w:rPr>
        <w:tab/>
      </w:r>
      <w:r w:rsidR="0096023B" w:rsidRPr="00C21B4F">
        <w:rPr>
          <w:sz w:val="24"/>
        </w:rPr>
        <w:t xml:space="preserve">The Tribunal must first determine the applicability of Section 116 of the CPA, to determine whether or not the Applicant may refer the complaint to the Tribunal. Section 116 of the CPA defines two different scenarios when a complaint cannot be referred to </w:t>
      </w:r>
      <w:r w:rsidR="0096023B" w:rsidRPr="00C21B4F">
        <w:rPr>
          <w:sz w:val="24"/>
        </w:rPr>
        <w:t>the Tribunal after the expiry of three</w:t>
      </w:r>
      <w:r w:rsidR="0096023B" w:rsidRPr="00C21B4F">
        <w:rPr>
          <w:spacing w:val="-6"/>
          <w:sz w:val="24"/>
        </w:rPr>
        <w:t xml:space="preserve"> </w:t>
      </w:r>
      <w:r w:rsidR="0096023B" w:rsidRPr="00C21B4F">
        <w:rPr>
          <w:sz w:val="24"/>
        </w:rPr>
        <w:t>years.</w:t>
      </w:r>
    </w:p>
    <w:p w:rsidR="00DF6584" w:rsidRDefault="00DF6584">
      <w:pPr>
        <w:pStyle w:val="BodyText"/>
        <w:rPr>
          <w:sz w:val="26"/>
        </w:rPr>
      </w:pPr>
    </w:p>
    <w:p w:rsidR="00DF6584" w:rsidRDefault="00DF6584">
      <w:pPr>
        <w:pStyle w:val="BodyText"/>
        <w:spacing w:before="6"/>
        <w:rPr>
          <w:sz w:val="27"/>
        </w:rPr>
      </w:pPr>
    </w:p>
    <w:p w:rsidR="00DF6584" w:rsidRDefault="0096023B">
      <w:pPr>
        <w:pStyle w:val="Heading1"/>
      </w:pPr>
      <w:r>
        <w:t>Scenario 1: Section 116 (a)</w:t>
      </w:r>
    </w:p>
    <w:p w:rsidR="00DF6584" w:rsidRDefault="00DF6584">
      <w:pPr>
        <w:pStyle w:val="BodyText"/>
        <w:spacing w:before="5"/>
        <w:rPr>
          <w:b/>
          <w:sz w:val="29"/>
        </w:rPr>
      </w:pPr>
    </w:p>
    <w:p w:rsidR="00DF6584" w:rsidRPr="00C21B4F" w:rsidRDefault="00C21B4F" w:rsidP="00C21B4F">
      <w:pPr>
        <w:tabs>
          <w:tab w:val="left" w:pos="1674"/>
        </w:tabs>
        <w:spacing w:line="360" w:lineRule="auto"/>
        <w:ind w:left="1673" w:right="150" w:hanging="360"/>
        <w:jc w:val="both"/>
        <w:rPr>
          <w:sz w:val="24"/>
        </w:rPr>
      </w:pPr>
      <w:r>
        <w:rPr>
          <w:spacing w:val="-4"/>
          <w:w w:val="99"/>
          <w:sz w:val="24"/>
          <w:szCs w:val="24"/>
        </w:rPr>
        <w:t>a.</w:t>
      </w:r>
      <w:r>
        <w:rPr>
          <w:spacing w:val="-4"/>
          <w:w w:val="99"/>
          <w:sz w:val="24"/>
          <w:szCs w:val="24"/>
        </w:rPr>
        <w:tab/>
      </w:r>
      <w:r w:rsidR="0096023B" w:rsidRPr="00C21B4F">
        <w:rPr>
          <w:sz w:val="24"/>
        </w:rPr>
        <w:t>In line with section 116(1)(a) of the CPA, a complaint cannot be referred to the Tribunal after the expiry of three years after a particular act or omission that is the cause of the complaint occurred. Notably, the particular act or omission date must be d</w:t>
      </w:r>
      <w:r w:rsidR="0096023B" w:rsidRPr="00C21B4F">
        <w:rPr>
          <w:sz w:val="24"/>
        </w:rPr>
        <w:t>etermined, and the complaint must be based on such act or</w:t>
      </w:r>
      <w:r w:rsidR="0096023B" w:rsidRPr="00C21B4F">
        <w:rPr>
          <w:spacing w:val="-1"/>
          <w:sz w:val="24"/>
        </w:rPr>
        <w:t xml:space="preserve"> </w:t>
      </w:r>
      <w:r w:rsidR="0096023B" w:rsidRPr="00C21B4F">
        <w:rPr>
          <w:sz w:val="24"/>
        </w:rPr>
        <w:t>omission.</w:t>
      </w:r>
    </w:p>
    <w:p w:rsidR="00DF6584" w:rsidRDefault="00DF6584">
      <w:pPr>
        <w:pStyle w:val="BodyText"/>
        <w:rPr>
          <w:sz w:val="36"/>
        </w:rPr>
      </w:pPr>
    </w:p>
    <w:p w:rsidR="00DF6584" w:rsidRPr="00C21B4F" w:rsidRDefault="00C21B4F" w:rsidP="00C21B4F">
      <w:pPr>
        <w:tabs>
          <w:tab w:val="left" w:pos="1674"/>
        </w:tabs>
        <w:ind w:left="1673" w:hanging="361"/>
        <w:rPr>
          <w:sz w:val="24"/>
        </w:rPr>
      </w:pPr>
      <w:r>
        <w:rPr>
          <w:spacing w:val="-4"/>
          <w:w w:val="99"/>
          <w:sz w:val="24"/>
          <w:szCs w:val="24"/>
        </w:rPr>
        <w:t>b.</w:t>
      </w:r>
      <w:r>
        <w:rPr>
          <w:spacing w:val="-4"/>
          <w:w w:val="99"/>
          <w:sz w:val="24"/>
          <w:szCs w:val="24"/>
        </w:rPr>
        <w:tab/>
      </w:r>
      <w:r w:rsidR="0096023B" w:rsidRPr="00C21B4F">
        <w:rPr>
          <w:sz w:val="24"/>
        </w:rPr>
        <w:t>Examples of such an act would be the “sale of a defective</w:t>
      </w:r>
      <w:r w:rsidR="0096023B" w:rsidRPr="00C21B4F">
        <w:rPr>
          <w:spacing w:val="-14"/>
          <w:sz w:val="24"/>
        </w:rPr>
        <w:t xml:space="preserve"> </w:t>
      </w:r>
      <w:r w:rsidR="0096023B" w:rsidRPr="00C21B4F">
        <w:rPr>
          <w:sz w:val="24"/>
        </w:rPr>
        <w:t>vehicle”.</w:t>
      </w:r>
    </w:p>
    <w:p w:rsidR="00DF6584" w:rsidRDefault="00DF6584">
      <w:pPr>
        <w:pStyle w:val="BodyText"/>
        <w:rPr>
          <w:sz w:val="26"/>
        </w:rPr>
      </w:pPr>
    </w:p>
    <w:p w:rsidR="00DF6584" w:rsidRDefault="00DF6584">
      <w:pPr>
        <w:pStyle w:val="BodyText"/>
        <w:rPr>
          <w:sz w:val="22"/>
        </w:rPr>
      </w:pPr>
    </w:p>
    <w:p w:rsidR="00DF6584" w:rsidRDefault="0096023B">
      <w:pPr>
        <w:pStyle w:val="Heading1"/>
      </w:pPr>
      <w:r>
        <w:t>Scenario 2: Section 116(b)</w:t>
      </w:r>
    </w:p>
    <w:p w:rsidR="00DF6584" w:rsidRDefault="00DF6584">
      <w:pPr>
        <w:pStyle w:val="BodyText"/>
        <w:rPr>
          <w:b/>
          <w:sz w:val="26"/>
        </w:rPr>
      </w:pPr>
    </w:p>
    <w:p w:rsidR="00DF6584" w:rsidRDefault="00DF6584">
      <w:pPr>
        <w:pStyle w:val="BodyText"/>
        <w:rPr>
          <w:b/>
          <w:sz w:val="26"/>
        </w:rPr>
      </w:pPr>
    </w:p>
    <w:p w:rsidR="00DF6584" w:rsidRPr="00C21B4F" w:rsidRDefault="00C21B4F" w:rsidP="00C21B4F">
      <w:pPr>
        <w:tabs>
          <w:tab w:val="left" w:pos="954"/>
        </w:tabs>
        <w:spacing w:before="154" w:line="360" w:lineRule="auto"/>
        <w:ind w:left="953" w:right="152" w:hanging="721"/>
        <w:jc w:val="both"/>
        <w:rPr>
          <w:sz w:val="24"/>
        </w:rPr>
      </w:pPr>
      <w:r>
        <w:rPr>
          <w:spacing w:val="-32"/>
          <w:w w:val="99"/>
          <w:sz w:val="24"/>
        </w:rPr>
        <w:t>38.</w:t>
      </w:r>
      <w:r>
        <w:rPr>
          <w:spacing w:val="-32"/>
          <w:w w:val="99"/>
          <w:sz w:val="24"/>
        </w:rPr>
        <w:tab/>
      </w:r>
      <w:r w:rsidR="0096023B" w:rsidRPr="00C21B4F">
        <w:rPr>
          <w:sz w:val="24"/>
        </w:rPr>
        <w:t>In line with section 116(1)(</w:t>
      </w:r>
      <w:r w:rsidR="0096023B" w:rsidRPr="00C21B4F">
        <w:rPr>
          <w:b/>
          <w:sz w:val="24"/>
        </w:rPr>
        <w:t>b</w:t>
      </w:r>
      <w:r w:rsidR="0096023B" w:rsidRPr="00C21B4F">
        <w:rPr>
          <w:sz w:val="24"/>
        </w:rPr>
        <w:t>) of the CPA, a complaint cannot be referred to the Tribuna</w:t>
      </w:r>
      <w:r w:rsidR="0096023B" w:rsidRPr="00C21B4F">
        <w:rPr>
          <w:sz w:val="24"/>
        </w:rPr>
        <w:t xml:space="preserve">l after the expiry of three years </w:t>
      </w:r>
      <w:r w:rsidR="0096023B" w:rsidRPr="00C21B4F">
        <w:rPr>
          <w:b/>
          <w:sz w:val="24"/>
        </w:rPr>
        <w:t xml:space="preserve">after the </w:t>
      </w:r>
      <w:r w:rsidR="0096023B" w:rsidRPr="00C21B4F">
        <w:rPr>
          <w:b/>
          <w:sz w:val="24"/>
          <w:u w:val="thick"/>
        </w:rPr>
        <w:t>date</w:t>
      </w:r>
      <w:r w:rsidR="0096023B" w:rsidRPr="00C21B4F">
        <w:rPr>
          <w:b/>
          <w:sz w:val="24"/>
        </w:rPr>
        <w:t xml:space="preserve"> that a course of conduct or continuing practice ceased. </w:t>
      </w:r>
      <w:r w:rsidR="0096023B" w:rsidRPr="00C21B4F">
        <w:rPr>
          <w:sz w:val="24"/>
        </w:rPr>
        <w:t xml:space="preserve">This clause is applicable where there is a case of a </w:t>
      </w:r>
      <w:r w:rsidR="0096023B" w:rsidRPr="00C21B4F">
        <w:rPr>
          <w:b/>
          <w:sz w:val="24"/>
        </w:rPr>
        <w:t xml:space="preserve">course of conduct </w:t>
      </w:r>
      <w:r w:rsidR="0096023B" w:rsidRPr="00C21B4F">
        <w:rPr>
          <w:sz w:val="24"/>
        </w:rPr>
        <w:t xml:space="preserve">or </w:t>
      </w:r>
      <w:r w:rsidR="0096023B" w:rsidRPr="00C21B4F">
        <w:rPr>
          <w:b/>
          <w:sz w:val="24"/>
        </w:rPr>
        <w:t>continuing</w:t>
      </w:r>
      <w:r w:rsidR="0096023B" w:rsidRPr="00C21B4F">
        <w:rPr>
          <w:b/>
          <w:spacing w:val="-5"/>
          <w:sz w:val="24"/>
        </w:rPr>
        <w:t xml:space="preserve"> </w:t>
      </w:r>
      <w:r w:rsidR="0096023B" w:rsidRPr="00C21B4F">
        <w:rPr>
          <w:b/>
          <w:sz w:val="24"/>
        </w:rPr>
        <w:t>practice</w:t>
      </w:r>
      <w:r w:rsidR="0096023B" w:rsidRPr="00C21B4F">
        <w:rPr>
          <w:sz w:val="24"/>
        </w:rPr>
        <w:t>.</w:t>
      </w:r>
    </w:p>
    <w:p w:rsidR="00DF6584" w:rsidRDefault="00DF6584">
      <w:pPr>
        <w:pStyle w:val="BodyText"/>
        <w:spacing w:before="11"/>
        <w:rPr>
          <w:sz w:val="35"/>
        </w:rPr>
      </w:pPr>
    </w:p>
    <w:p w:rsidR="00DF6584" w:rsidRPr="00C21B4F" w:rsidRDefault="00C21B4F" w:rsidP="00C21B4F">
      <w:pPr>
        <w:tabs>
          <w:tab w:val="left" w:pos="954"/>
        </w:tabs>
        <w:spacing w:line="360" w:lineRule="auto"/>
        <w:ind w:left="953" w:right="154" w:hanging="721"/>
        <w:jc w:val="both"/>
        <w:rPr>
          <w:sz w:val="24"/>
        </w:rPr>
      </w:pPr>
      <w:r>
        <w:rPr>
          <w:spacing w:val="-32"/>
          <w:w w:val="99"/>
          <w:sz w:val="24"/>
        </w:rPr>
        <w:t>39.</w:t>
      </w:r>
      <w:r>
        <w:rPr>
          <w:spacing w:val="-32"/>
          <w:w w:val="99"/>
          <w:sz w:val="24"/>
        </w:rPr>
        <w:tab/>
      </w:r>
      <w:r w:rsidR="0096023B" w:rsidRPr="00C21B4F">
        <w:rPr>
          <w:sz w:val="24"/>
        </w:rPr>
        <w:t xml:space="preserve">The failure by a supplier to repair defective goods when required to do so in terms of the CPA, may constitute a course of conduct or continuing practice if an applicant can prove, </w:t>
      </w:r>
      <w:r w:rsidR="0096023B" w:rsidRPr="00C21B4F">
        <w:rPr>
          <w:i/>
          <w:sz w:val="24"/>
        </w:rPr>
        <w:t>inter alia</w:t>
      </w:r>
      <w:r w:rsidR="0096023B" w:rsidRPr="00C21B4F">
        <w:rPr>
          <w:sz w:val="24"/>
        </w:rPr>
        <w:t>, that the goods did not meet the requirements and standards pres</w:t>
      </w:r>
      <w:r w:rsidR="0096023B" w:rsidRPr="00C21B4F">
        <w:rPr>
          <w:sz w:val="24"/>
        </w:rPr>
        <w:t>cribed under section 55 and that the complainant returned the goods within the prescribed period of six months after delivery. Significantly, the date when</w:t>
      </w:r>
      <w:r w:rsidR="0096023B" w:rsidRPr="00C21B4F">
        <w:rPr>
          <w:spacing w:val="16"/>
          <w:sz w:val="24"/>
        </w:rPr>
        <w:t xml:space="preserve"> </w:t>
      </w:r>
      <w:r w:rsidR="0096023B" w:rsidRPr="00C21B4F">
        <w:rPr>
          <w:sz w:val="24"/>
        </w:rPr>
        <w:t>such</w:t>
      </w:r>
    </w:p>
    <w:p w:rsidR="00DF6584" w:rsidRDefault="00DF6584">
      <w:pPr>
        <w:spacing w:line="360" w:lineRule="auto"/>
        <w:jc w:val="both"/>
        <w:rPr>
          <w:sz w:val="24"/>
        </w:rPr>
        <w:sectPr w:rsidR="00DF6584">
          <w:pgSz w:w="11910" w:h="16840"/>
          <w:pgMar w:top="1000" w:right="980" w:bottom="820" w:left="900" w:header="289" w:footer="554" w:gutter="0"/>
          <w:cols w:space="720"/>
        </w:sectPr>
      </w:pPr>
    </w:p>
    <w:p w:rsidR="00DF6584" w:rsidRDefault="0096023B">
      <w:pPr>
        <w:pStyle w:val="BodyText"/>
        <w:spacing w:before="82" w:line="357" w:lineRule="auto"/>
        <w:ind w:left="953"/>
        <w:rPr>
          <w:sz w:val="16"/>
        </w:rPr>
      </w:pPr>
      <w:r>
        <w:lastRenderedPageBreak/>
        <w:t>conduct or practice ceased must be determined. The respondent’s refusal to re</w:t>
      </w:r>
      <w:r>
        <w:t>pair the vehicle could constitute continuing conduct.</w:t>
      </w:r>
      <w:r>
        <w:rPr>
          <w:position w:val="8"/>
          <w:sz w:val="16"/>
        </w:rPr>
        <w:t>1</w:t>
      </w:r>
    </w:p>
    <w:p w:rsidR="00DF6584" w:rsidRDefault="0096023B">
      <w:pPr>
        <w:pStyle w:val="Heading1"/>
        <w:spacing w:before="202"/>
      </w:pPr>
      <w:r>
        <w:t>Analysis of the Facts</w:t>
      </w:r>
    </w:p>
    <w:p w:rsidR="00DF6584" w:rsidRDefault="00DF6584">
      <w:pPr>
        <w:pStyle w:val="BodyText"/>
        <w:spacing w:before="3"/>
        <w:rPr>
          <w:b/>
          <w:sz w:val="29"/>
        </w:rPr>
      </w:pPr>
    </w:p>
    <w:p w:rsidR="00DF6584" w:rsidRPr="00C21B4F" w:rsidRDefault="00C21B4F" w:rsidP="00C21B4F">
      <w:pPr>
        <w:tabs>
          <w:tab w:val="left" w:pos="942"/>
        </w:tabs>
        <w:spacing w:line="360" w:lineRule="auto"/>
        <w:ind w:left="941" w:right="146" w:hanging="709"/>
        <w:jc w:val="both"/>
        <w:rPr>
          <w:sz w:val="24"/>
        </w:rPr>
      </w:pPr>
      <w:r>
        <w:rPr>
          <w:spacing w:val="-32"/>
          <w:w w:val="99"/>
          <w:sz w:val="24"/>
        </w:rPr>
        <w:t>40.</w:t>
      </w:r>
      <w:r>
        <w:rPr>
          <w:spacing w:val="-32"/>
          <w:w w:val="99"/>
          <w:sz w:val="24"/>
        </w:rPr>
        <w:tab/>
      </w:r>
      <w:r w:rsidR="0096023B" w:rsidRPr="00C21B4F">
        <w:rPr>
          <w:sz w:val="24"/>
        </w:rPr>
        <w:t>It is common cause that the Respondent supplied the goods (namely the vehicle) on 25 July 2018. Ms Medupe drove the vehicle from that point onward. Other than indicating to Cars.Com on the day of delivery that there was a light illuminated on the dashboard</w:t>
      </w:r>
      <w:r w:rsidR="0096023B" w:rsidRPr="00C21B4F">
        <w:rPr>
          <w:sz w:val="24"/>
        </w:rPr>
        <w:t>, she did not approach Cars.Com about any performance-related complaints regarding the vehicle. After having the vehicle serviced by a third party, Ms Medupe heard a noise emanating from the engine and believed this to be a fault with the vehicle. It is on</w:t>
      </w:r>
      <w:r w:rsidR="0096023B" w:rsidRPr="00C21B4F">
        <w:rPr>
          <w:sz w:val="24"/>
        </w:rPr>
        <w:t xml:space="preserve">ly at that point, in October 2018, that Ms Medupe contacted Cars.Com and alleged that there was a performance problem with the vehicle. </w:t>
      </w:r>
      <w:r w:rsidR="0096023B" w:rsidRPr="00C21B4F">
        <w:rPr>
          <w:spacing w:val="5"/>
          <w:sz w:val="24"/>
        </w:rPr>
        <w:t xml:space="preserve">At </w:t>
      </w:r>
      <w:r w:rsidR="0096023B" w:rsidRPr="00C21B4F">
        <w:rPr>
          <w:sz w:val="24"/>
        </w:rPr>
        <w:t>that point, she wished for a refund of the purchase price of the vehicle, and other related financing costs. During t</w:t>
      </w:r>
      <w:r w:rsidR="0096023B" w:rsidRPr="00C21B4F">
        <w:rPr>
          <w:sz w:val="24"/>
        </w:rPr>
        <w:t>he Applicant’s submissions at the hearing, the relief was amended to repairs to the</w:t>
      </w:r>
      <w:r w:rsidR="0096023B" w:rsidRPr="00C21B4F">
        <w:rPr>
          <w:spacing w:val="-4"/>
          <w:sz w:val="24"/>
        </w:rPr>
        <w:t xml:space="preserve"> </w:t>
      </w:r>
      <w:r w:rsidR="0096023B" w:rsidRPr="00C21B4F">
        <w:rPr>
          <w:sz w:val="24"/>
        </w:rPr>
        <w:t>vehicle.</w:t>
      </w:r>
    </w:p>
    <w:p w:rsidR="00DF6584" w:rsidRDefault="00DF6584">
      <w:pPr>
        <w:pStyle w:val="BodyText"/>
        <w:spacing w:before="1"/>
        <w:rPr>
          <w:sz w:val="36"/>
        </w:rPr>
      </w:pPr>
    </w:p>
    <w:p w:rsidR="00DF6584" w:rsidRPr="00C21B4F" w:rsidRDefault="00C21B4F" w:rsidP="00C21B4F">
      <w:pPr>
        <w:tabs>
          <w:tab w:val="left" w:pos="942"/>
        </w:tabs>
        <w:spacing w:line="360" w:lineRule="auto"/>
        <w:ind w:left="941" w:right="153" w:hanging="709"/>
        <w:jc w:val="both"/>
        <w:rPr>
          <w:sz w:val="24"/>
        </w:rPr>
      </w:pPr>
      <w:r>
        <w:rPr>
          <w:spacing w:val="-32"/>
          <w:w w:val="99"/>
          <w:sz w:val="24"/>
        </w:rPr>
        <w:t>41.</w:t>
      </w:r>
      <w:r>
        <w:rPr>
          <w:spacing w:val="-32"/>
          <w:w w:val="99"/>
          <w:sz w:val="24"/>
        </w:rPr>
        <w:tab/>
      </w:r>
      <w:r w:rsidR="0096023B" w:rsidRPr="00C21B4F">
        <w:rPr>
          <w:sz w:val="24"/>
        </w:rPr>
        <w:t>The Applicant alleges that the vehicle was faulty as of the date of delivery on 25 July 2018 and that as a result, the Respondent infringed on the Applicant’s rig</w:t>
      </w:r>
      <w:r w:rsidR="0096023B" w:rsidRPr="00C21B4F">
        <w:rPr>
          <w:sz w:val="24"/>
        </w:rPr>
        <w:t>hts as outlined in section 55 (2) of the</w:t>
      </w:r>
      <w:r w:rsidR="0096023B" w:rsidRPr="00C21B4F">
        <w:rPr>
          <w:spacing w:val="-5"/>
          <w:sz w:val="24"/>
        </w:rPr>
        <w:t xml:space="preserve"> </w:t>
      </w:r>
      <w:r w:rsidR="0096023B" w:rsidRPr="00C21B4F">
        <w:rPr>
          <w:sz w:val="24"/>
        </w:rPr>
        <w:t>CPA.</w:t>
      </w:r>
    </w:p>
    <w:p w:rsidR="00DF6584" w:rsidRDefault="00DF6584">
      <w:pPr>
        <w:pStyle w:val="BodyText"/>
        <w:rPr>
          <w:sz w:val="36"/>
        </w:rPr>
      </w:pPr>
    </w:p>
    <w:p w:rsidR="00DF6584" w:rsidRPr="00C21B4F" w:rsidRDefault="00C21B4F" w:rsidP="00C21B4F">
      <w:pPr>
        <w:tabs>
          <w:tab w:val="left" w:pos="942"/>
        </w:tabs>
        <w:spacing w:before="1" w:line="360" w:lineRule="auto"/>
        <w:ind w:left="941" w:right="160" w:hanging="709"/>
        <w:jc w:val="both"/>
        <w:rPr>
          <w:sz w:val="24"/>
        </w:rPr>
      </w:pPr>
      <w:r>
        <w:rPr>
          <w:spacing w:val="-32"/>
          <w:w w:val="99"/>
          <w:sz w:val="24"/>
        </w:rPr>
        <w:t>42.</w:t>
      </w:r>
      <w:r>
        <w:rPr>
          <w:spacing w:val="-32"/>
          <w:w w:val="99"/>
          <w:sz w:val="24"/>
        </w:rPr>
        <w:tab/>
      </w:r>
      <w:r w:rsidR="0096023B" w:rsidRPr="00C21B4F">
        <w:rPr>
          <w:sz w:val="24"/>
        </w:rPr>
        <w:t>The Respondent disputes that the vehicle was faulty or defective in any way on the date of</w:t>
      </w:r>
      <w:r w:rsidR="0096023B" w:rsidRPr="00C21B4F">
        <w:rPr>
          <w:spacing w:val="-3"/>
          <w:sz w:val="24"/>
        </w:rPr>
        <w:t xml:space="preserve"> </w:t>
      </w:r>
      <w:r w:rsidR="0096023B" w:rsidRPr="00C21B4F">
        <w:rPr>
          <w:sz w:val="24"/>
        </w:rPr>
        <w:t>delivery.</w:t>
      </w:r>
    </w:p>
    <w:p w:rsidR="00DF6584" w:rsidRDefault="00DF6584">
      <w:pPr>
        <w:pStyle w:val="BodyText"/>
        <w:spacing w:before="1"/>
        <w:rPr>
          <w:sz w:val="36"/>
        </w:rPr>
      </w:pPr>
    </w:p>
    <w:p w:rsidR="00DF6584" w:rsidRPr="00C21B4F" w:rsidRDefault="00C21B4F" w:rsidP="00C21B4F">
      <w:pPr>
        <w:tabs>
          <w:tab w:val="left" w:pos="942"/>
        </w:tabs>
        <w:spacing w:line="360" w:lineRule="auto"/>
        <w:ind w:left="941" w:right="150" w:hanging="709"/>
        <w:jc w:val="both"/>
        <w:rPr>
          <w:sz w:val="24"/>
        </w:rPr>
      </w:pPr>
      <w:r>
        <w:rPr>
          <w:spacing w:val="-32"/>
          <w:w w:val="99"/>
          <w:sz w:val="24"/>
        </w:rPr>
        <w:t>43.</w:t>
      </w:r>
      <w:r>
        <w:rPr>
          <w:spacing w:val="-32"/>
          <w:w w:val="99"/>
          <w:sz w:val="24"/>
        </w:rPr>
        <w:tab/>
      </w:r>
      <w:r w:rsidR="0096023B" w:rsidRPr="00C21B4F">
        <w:rPr>
          <w:sz w:val="24"/>
        </w:rPr>
        <w:t xml:space="preserve">If a consumer alleges an infringement of section 55, the </w:t>
      </w:r>
      <w:r w:rsidR="0096023B" w:rsidRPr="00C21B4F">
        <w:rPr>
          <w:i/>
          <w:sz w:val="24"/>
        </w:rPr>
        <w:t xml:space="preserve">dies </w:t>
      </w:r>
      <w:r w:rsidR="0096023B" w:rsidRPr="00C21B4F">
        <w:rPr>
          <w:sz w:val="24"/>
        </w:rPr>
        <w:t>start to run on the date of delivery on 25 Ju</w:t>
      </w:r>
      <w:r w:rsidR="0096023B" w:rsidRPr="00C21B4F">
        <w:rPr>
          <w:sz w:val="24"/>
        </w:rPr>
        <w:t xml:space="preserve">ly 2018. Applied to the matter at hand, the cause of action insofar as it relates to the alleged receipt of faulty or poor-quality goods occurred on 25 July 2018. Section 116 (a) applies to this scenario. As the cause of action arose more than three years </w:t>
      </w:r>
      <w:r w:rsidR="0096023B" w:rsidRPr="00C21B4F">
        <w:rPr>
          <w:sz w:val="24"/>
        </w:rPr>
        <w:t>before the complaint was referred to the Tribunal on 13 January 2022, the referral of the complaint that the Respondent contravened sections 55 (a), (b), and (c) of the CPA was made after the expiry of three years since the act that is alleged to be the ca</w:t>
      </w:r>
      <w:r w:rsidR="0096023B" w:rsidRPr="00C21B4F">
        <w:rPr>
          <w:sz w:val="24"/>
        </w:rPr>
        <w:t>use of the complaint, namely, the delivery of a defective motor vehicle. The Tribunal thus does not have the requisite jurisdiction to make a finding whether the Respondent committed prohibited conduct in terms of section 55 of the</w:t>
      </w:r>
      <w:r w:rsidR="0096023B" w:rsidRPr="00C21B4F">
        <w:rPr>
          <w:spacing w:val="-4"/>
          <w:sz w:val="24"/>
        </w:rPr>
        <w:t xml:space="preserve"> </w:t>
      </w:r>
      <w:r w:rsidR="0096023B" w:rsidRPr="00C21B4F">
        <w:rPr>
          <w:sz w:val="24"/>
        </w:rPr>
        <w:t>CPA.</w:t>
      </w:r>
    </w:p>
    <w:p w:rsidR="00DF6584" w:rsidRDefault="00DF6584">
      <w:pPr>
        <w:pStyle w:val="BodyText"/>
        <w:rPr>
          <w:sz w:val="20"/>
        </w:rPr>
      </w:pPr>
    </w:p>
    <w:p w:rsidR="00DF6584" w:rsidRDefault="0096023B">
      <w:pPr>
        <w:pStyle w:val="BodyText"/>
        <w:spacing w:before="3"/>
        <w:rPr>
          <w:sz w:val="20"/>
        </w:rPr>
      </w:pPr>
      <w:r>
        <w:pict>
          <v:shape id="_x0000_s1026" style="position:absolute;margin-left:56.65pt;margin-top:14.05pt;width:144.05pt;height:.1pt;z-index:-251657216;mso-wrap-distance-left:0;mso-wrap-distance-right:0;mso-position-horizontal-relative:page" coordorigin="1133,281" coordsize="2881,0" path="m1133,281r2881,e" filled="f" strokeweight=".72pt">
            <v:path arrowok="t"/>
            <w10:wrap type="topAndBottom" anchorx="page"/>
          </v:shape>
        </w:pict>
      </w:r>
    </w:p>
    <w:p w:rsidR="00DF6584" w:rsidRDefault="0096023B">
      <w:pPr>
        <w:spacing w:before="69"/>
        <w:ind w:left="232"/>
        <w:rPr>
          <w:rFonts w:ascii="Arial Narrow"/>
          <w:sz w:val="20"/>
        </w:rPr>
      </w:pPr>
      <w:r>
        <w:rPr>
          <w:rFonts w:ascii="Calibri"/>
          <w:position w:val="7"/>
          <w:sz w:val="13"/>
        </w:rPr>
        <w:t xml:space="preserve">1 </w:t>
      </w:r>
      <w:r>
        <w:rPr>
          <w:rFonts w:ascii="Arial Narrow"/>
          <w:sz w:val="20"/>
        </w:rPr>
        <w:t xml:space="preserve">Also see Paul </w:t>
      </w:r>
      <w:r>
        <w:rPr>
          <w:rFonts w:ascii="Arial Narrow"/>
          <w:sz w:val="20"/>
        </w:rPr>
        <w:t>August Winter v Kove Empire CC t/a Pinetown Vehicles NCT/176395/2021/75(1)(b), par 47.</w:t>
      </w:r>
    </w:p>
    <w:p w:rsidR="00DF6584" w:rsidRDefault="00DF6584">
      <w:pPr>
        <w:rPr>
          <w:rFonts w:ascii="Arial Narrow"/>
          <w:sz w:val="20"/>
        </w:rPr>
        <w:sectPr w:rsidR="00DF6584">
          <w:pgSz w:w="11910" w:h="16840"/>
          <w:pgMar w:top="1000" w:right="980" w:bottom="740" w:left="900" w:header="289" w:footer="554" w:gutter="0"/>
          <w:cols w:space="720"/>
        </w:sectPr>
      </w:pPr>
    </w:p>
    <w:p w:rsidR="00DF6584" w:rsidRPr="00C21B4F" w:rsidRDefault="00C21B4F" w:rsidP="00C21B4F">
      <w:pPr>
        <w:tabs>
          <w:tab w:val="left" w:pos="942"/>
        </w:tabs>
        <w:spacing w:before="82" w:line="360" w:lineRule="auto"/>
        <w:ind w:left="941" w:right="151" w:hanging="709"/>
        <w:jc w:val="both"/>
        <w:rPr>
          <w:sz w:val="24"/>
        </w:rPr>
      </w:pPr>
      <w:r>
        <w:rPr>
          <w:spacing w:val="-32"/>
          <w:w w:val="99"/>
          <w:sz w:val="24"/>
        </w:rPr>
        <w:lastRenderedPageBreak/>
        <w:t>44.</w:t>
      </w:r>
      <w:r>
        <w:rPr>
          <w:spacing w:val="-32"/>
          <w:w w:val="99"/>
          <w:sz w:val="24"/>
        </w:rPr>
        <w:tab/>
      </w:r>
      <w:r w:rsidR="0096023B" w:rsidRPr="00C21B4F">
        <w:rPr>
          <w:sz w:val="24"/>
        </w:rPr>
        <w:t>The Tribunal does not have the statutory authority to make a finding on the state of the vehicle at the date of delivery. Consequently, the Tribunal will also not be able to make a finding on the nature of the Respondent’s conduct in refusing to perform re</w:t>
      </w:r>
      <w:r w:rsidR="0096023B" w:rsidRPr="00C21B4F">
        <w:rPr>
          <w:sz w:val="24"/>
        </w:rPr>
        <w:t>pairs, as such a finding must in law be based on a finding on the state of the vehicle at the date of</w:t>
      </w:r>
      <w:r w:rsidR="0096023B" w:rsidRPr="00C21B4F">
        <w:rPr>
          <w:spacing w:val="-1"/>
          <w:sz w:val="24"/>
        </w:rPr>
        <w:t xml:space="preserve"> </w:t>
      </w:r>
      <w:r w:rsidR="0096023B" w:rsidRPr="00C21B4F">
        <w:rPr>
          <w:sz w:val="24"/>
        </w:rPr>
        <w:t>delivery.</w:t>
      </w:r>
    </w:p>
    <w:p w:rsidR="00DF6584" w:rsidRDefault="00DF6584">
      <w:pPr>
        <w:pStyle w:val="BodyText"/>
        <w:rPr>
          <w:sz w:val="26"/>
        </w:rPr>
      </w:pPr>
    </w:p>
    <w:p w:rsidR="00DF6584" w:rsidRPr="00C21B4F" w:rsidRDefault="00C21B4F" w:rsidP="00C21B4F">
      <w:pPr>
        <w:tabs>
          <w:tab w:val="left" w:pos="942"/>
        </w:tabs>
        <w:spacing w:before="219" w:line="360" w:lineRule="auto"/>
        <w:ind w:left="941" w:right="150" w:hanging="709"/>
        <w:jc w:val="both"/>
        <w:rPr>
          <w:sz w:val="24"/>
        </w:rPr>
      </w:pPr>
      <w:r>
        <w:rPr>
          <w:spacing w:val="-32"/>
          <w:w w:val="99"/>
          <w:sz w:val="24"/>
        </w:rPr>
        <w:t>45.</w:t>
      </w:r>
      <w:r>
        <w:rPr>
          <w:spacing w:val="-32"/>
          <w:w w:val="99"/>
          <w:sz w:val="24"/>
        </w:rPr>
        <w:tab/>
      </w:r>
      <w:r w:rsidR="0096023B" w:rsidRPr="00C21B4F">
        <w:rPr>
          <w:sz w:val="24"/>
        </w:rPr>
        <w:t>Regarding section 56, the Applicant argued that the prohibited conduct before the Tribunal is the failure by the Respondent to repair the vehic</w:t>
      </w:r>
      <w:r w:rsidR="0096023B" w:rsidRPr="00C21B4F">
        <w:rPr>
          <w:sz w:val="24"/>
        </w:rPr>
        <w:t>le after Ms Medupe returned the vehicle in October 2018; and further after MIOSA recommended that the Respondent do so in 2019. However, prior to returning the vehicle, Ms Medupe had taken the vehicle to a third party for a regular 120 000km service. The t</w:t>
      </w:r>
      <w:r w:rsidR="0096023B" w:rsidRPr="00C21B4F">
        <w:rPr>
          <w:sz w:val="24"/>
        </w:rPr>
        <w:t>hird party worked on the vehicle and its engine of Ms Medupe’s own accord, three months after it had left the control of the</w:t>
      </w:r>
      <w:r w:rsidR="0096023B" w:rsidRPr="00C21B4F">
        <w:rPr>
          <w:spacing w:val="-13"/>
          <w:sz w:val="24"/>
        </w:rPr>
        <w:t xml:space="preserve"> </w:t>
      </w:r>
      <w:r w:rsidR="0096023B" w:rsidRPr="00C21B4F">
        <w:rPr>
          <w:sz w:val="24"/>
        </w:rPr>
        <w:t>Applicant.</w:t>
      </w:r>
    </w:p>
    <w:p w:rsidR="00DF6584" w:rsidRDefault="00DF6584">
      <w:pPr>
        <w:pStyle w:val="BodyText"/>
        <w:rPr>
          <w:sz w:val="36"/>
        </w:rPr>
      </w:pPr>
    </w:p>
    <w:p w:rsidR="00DF6584" w:rsidRPr="00C21B4F" w:rsidRDefault="00C21B4F" w:rsidP="00C21B4F">
      <w:pPr>
        <w:tabs>
          <w:tab w:val="left" w:pos="942"/>
        </w:tabs>
        <w:spacing w:before="1" w:line="357" w:lineRule="auto"/>
        <w:ind w:left="941" w:right="148" w:hanging="709"/>
        <w:jc w:val="both"/>
        <w:rPr>
          <w:sz w:val="24"/>
        </w:rPr>
      </w:pPr>
      <w:r>
        <w:rPr>
          <w:spacing w:val="-32"/>
          <w:w w:val="99"/>
          <w:sz w:val="24"/>
        </w:rPr>
        <w:t>46.</w:t>
      </w:r>
      <w:r>
        <w:rPr>
          <w:spacing w:val="-32"/>
          <w:w w:val="99"/>
          <w:sz w:val="24"/>
        </w:rPr>
        <w:tab/>
      </w:r>
      <w:r w:rsidR="0096023B" w:rsidRPr="00C21B4F">
        <w:rPr>
          <w:sz w:val="24"/>
        </w:rPr>
        <w:t>Due to the Ms Medupe’s failure to return the vehicle to the Respondent before it was worked on by a third party, or even inform the Respondent that she was experiencing performance problems with the vehicle, the Respondent was not put in a position to rect</w:t>
      </w:r>
      <w:r w:rsidR="0096023B" w:rsidRPr="00C21B4F">
        <w:rPr>
          <w:sz w:val="24"/>
        </w:rPr>
        <w:t>ify any alleged defect that could have impacted the warranty outlined in section 56. There is no definitive evidence before the Tribunal that the vehicle was indeed defective at the time it was taken to the third party for regular service. Accordingly, the</w:t>
      </w:r>
      <w:r w:rsidR="0096023B" w:rsidRPr="00C21B4F">
        <w:rPr>
          <w:sz w:val="24"/>
        </w:rPr>
        <w:t xml:space="preserve"> section 56 warranty and the subsequent responsibility of the Respondent to repair the vehicle in terms of section 56 was voided by the Ms Medupe’s failure to return the vehicle to the Respondent before the third party worked on the vehicle and its</w:t>
      </w:r>
      <w:r w:rsidR="0096023B" w:rsidRPr="00C21B4F">
        <w:rPr>
          <w:spacing w:val="-1"/>
          <w:sz w:val="24"/>
        </w:rPr>
        <w:t xml:space="preserve"> </w:t>
      </w:r>
      <w:r w:rsidR="0096023B" w:rsidRPr="00C21B4F">
        <w:rPr>
          <w:sz w:val="24"/>
        </w:rPr>
        <w:t>engine.</w:t>
      </w:r>
    </w:p>
    <w:p w:rsidR="00DF6584" w:rsidRDefault="00DF6584">
      <w:pPr>
        <w:pStyle w:val="BodyText"/>
        <w:rPr>
          <w:sz w:val="26"/>
        </w:rPr>
      </w:pPr>
    </w:p>
    <w:p w:rsidR="00DF6584" w:rsidRPr="00C21B4F" w:rsidRDefault="00C21B4F" w:rsidP="00C21B4F">
      <w:pPr>
        <w:tabs>
          <w:tab w:val="left" w:pos="942"/>
        </w:tabs>
        <w:spacing w:before="211" w:line="357" w:lineRule="auto"/>
        <w:ind w:left="941" w:right="150" w:hanging="709"/>
        <w:jc w:val="both"/>
        <w:rPr>
          <w:sz w:val="24"/>
        </w:rPr>
      </w:pPr>
      <w:r>
        <w:rPr>
          <w:spacing w:val="-32"/>
          <w:w w:val="99"/>
          <w:sz w:val="24"/>
        </w:rPr>
        <w:t>47.</w:t>
      </w:r>
      <w:r>
        <w:rPr>
          <w:spacing w:val="-32"/>
          <w:w w:val="99"/>
          <w:sz w:val="24"/>
        </w:rPr>
        <w:tab/>
      </w:r>
      <w:r w:rsidR="0096023B" w:rsidRPr="00C21B4F">
        <w:rPr>
          <w:sz w:val="24"/>
        </w:rPr>
        <w:t>The Applicant’s submission that the date on which the Respondent indicated to MIOSA on 14 February 2019 its refusal to repair the vehicle, should be the date from which to determine the three-year time period within which a complaint is to be referred to</w:t>
      </w:r>
      <w:r w:rsidR="0096023B" w:rsidRPr="00C21B4F">
        <w:rPr>
          <w:sz w:val="24"/>
        </w:rPr>
        <w:t xml:space="preserve"> the Tribunal, appears as an attempt to open a back door to stretch the date of referral to bring this in line with the three-year time provisions of section 116 of the</w:t>
      </w:r>
      <w:r w:rsidR="0096023B" w:rsidRPr="00C21B4F">
        <w:rPr>
          <w:spacing w:val="-1"/>
          <w:sz w:val="24"/>
        </w:rPr>
        <w:t xml:space="preserve"> </w:t>
      </w:r>
      <w:r w:rsidR="0096023B" w:rsidRPr="00C21B4F">
        <w:rPr>
          <w:sz w:val="24"/>
        </w:rPr>
        <w:t>CPA.</w:t>
      </w:r>
    </w:p>
    <w:p w:rsidR="00DF6584" w:rsidRDefault="00DF6584">
      <w:pPr>
        <w:pStyle w:val="BodyText"/>
        <w:rPr>
          <w:sz w:val="26"/>
        </w:rPr>
      </w:pPr>
    </w:p>
    <w:p w:rsidR="00DF6584" w:rsidRPr="00C21B4F" w:rsidRDefault="00C21B4F" w:rsidP="00C21B4F">
      <w:pPr>
        <w:tabs>
          <w:tab w:val="left" w:pos="942"/>
        </w:tabs>
        <w:spacing w:before="216" w:line="357" w:lineRule="auto"/>
        <w:ind w:left="941" w:right="148" w:hanging="709"/>
        <w:jc w:val="both"/>
        <w:rPr>
          <w:sz w:val="24"/>
        </w:rPr>
      </w:pPr>
      <w:r>
        <w:rPr>
          <w:spacing w:val="-32"/>
          <w:w w:val="99"/>
          <w:sz w:val="24"/>
        </w:rPr>
        <w:t>48.</w:t>
      </w:r>
      <w:r>
        <w:rPr>
          <w:spacing w:val="-32"/>
          <w:w w:val="99"/>
          <w:sz w:val="24"/>
        </w:rPr>
        <w:tab/>
      </w:r>
      <w:r w:rsidR="0096023B" w:rsidRPr="00C21B4F">
        <w:rPr>
          <w:sz w:val="24"/>
        </w:rPr>
        <w:t>The Applicant did not provide reasons for the approximately two-and-a-half-year p</w:t>
      </w:r>
      <w:r w:rsidR="0096023B" w:rsidRPr="00C21B4F">
        <w:rPr>
          <w:sz w:val="24"/>
        </w:rPr>
        <w:t>eriod, from 24 June 2019 to 13 January 2022, that lapsed since the consumer referred the matter to the</w:t>
      </w:r>
      <w:r w:rsidR="0096023B" w:rsidRPr="00C21B4F">
        <w:rPr>
          <w:spacing w:val="-3"/>
          <w:sz w:val="24"/>
        </w:rPr>
        <w:t xml:space="preserve"> </w:t>
      </w:r>
      <w:r w:rsidR="0096023B" w:rsidRPr="00C21B4F">
        <w:rPr>
          <w:sz w:val="24"/>
        </w:rPr>
        <w:t>NCC.</w:t>
      </w:r>
    </w:p>
    <w:p w:rsidR="00DF6584" w:rsidRDefault="00DF6584">
      <w:pPr>
        <w:spacing w:line="357" w:lineRule="auto"/>
        <w:jc w:val="both"/>
        <w:rPr>
          <w:sz w:val="24"/>
        </w:rPr>
        <w:sectPr w:rsidR="00DF6584">
          <w:pgSz w:w="11910" w:h="16840"/>
          <w:pgMar w:top="1000" w:right="980" w:bottom="820" w:left="900" w:header="289" w:footer="554" w:gutter="0"/>
          <w:cols w:space="720"/>
        </w:sectPr>
      </w:pPr>
    </w:p>
    <w:p w:rsidR="00DF6584" w:rsidRDefault="0096023B">
      <w:pPr>
        <w:pStyle w:val="Heading1"/>
        <w:spacing w:before="82"/>
      </w:pPr>
      <w:r>
        <w:lastRenderedPageBreak/>
        <w:t>CONCLUSION</w:t>
      </w:r>
    </w:p>
    <w:p w:rsidR="00DF6584" w:rsidRDefault="00DF6584">
      <w:pPr>
        <w:pStyle w:val="BodyText"/>
        <w:rPr>
          <w:b/>
          <w:sz w:val="33"/>
        </w:rPr>
      </w:pPr>
    </w:p>
    <w:p w:rsidR="00DF6584" w:rsidRPr="00C21B4F" w:rsidRDefault="00C21B4F" w:rsidP="00C21B4F">
      <w:pPr>
        <w:tabs>
          <w:tab w:val="left" w:pos="954"/>
        </w:tabs>
        <w:spacing w:line="360" w:lineRule="auto"/>
        <w:ind w:left="953" w:right="150" w:hanging="721"/>
        <w:jc w:val="both"/>
        <w:rPr>
          <w:sz w:val="24"/>
        </w:rPr>
      </w:pPr>
      <w:r>
        <w:rPr>
          <w:spacing w:val="-32"/>
          <w:w w:val="99"/>
          <w:sz w:val="24"/>
        </w:rPr>
        <w:t>49.</w:t>
      </w:r>
      <w:r>
        <w:rPr>
          <w:spacing w:val="-32"/>
          <w:w w:val="99"/>
          <w:sz w:val="24"/>
        </w:rPr>
        <w:tab/>
      </w:r>
      <w:r w:rsidR="0096023B" w:rsidRPr="00C21B4F">
        <w:rPr>
          <w:sz w:val="24"/>
        </w:rPr>
        <w:t xml:space="preserve">Section 116 of the CPA restricts bringing an action before the Tribunal three years after the act or omission that is the cause of the consumer’s complaint. As the applicant brought its action in this matter outside the statutory period, the Tribunal does </w:t>
      </w:r>
      <w:r w:rsidR="0096023B" w:rsidRPr="00C21B4F">
        <w:rPr>
          <w:sz w:val="24"/>
        </w:rPr>
        <w:t>not have jurisdiction to hear this</w:t>
      </w:r>
      <w:r w:rsidR="0096023B" w:rsidRPr="00C21B4F">
        <w:rPr>
          <w:spacing w:val="-6"/>
          <w:sz w:val="24"/>
        </w:rPr>
        <w:t xml:space="preserve"> </w:t>
      </w:r>
      <w:r w:rsidR="0096023B" w:rsidRPr="00C21B4F">
        <w:rPr>
          <w:sz w:val="24"/>
        </w:rPr>
        <w:t>matter.</w:t>
      </w:r>
    </w:p>
    <w:p w:rsidR="00DF6584" w:rsidRDefault="00DF6584">
      <w:pPr>
        <w:pStyle w:val="BodyText"/>
        <w:spacing w:before="10"/>
        <w:rPr>
          <w:sz w:val="20"/>
        </w:rPr>
      </w:pPr>
    </w:p>
    <w:p w:rsidR="00DF6584" w:rsidRDefault="0096023B">
      <w:pPr>
        <w:pStyle w:val="Heading1"/>
      </w:pPr>
      <w:r>
        <w:t>ORDER</w:t>
      </w:r>
    </w:p>
    <w:p w:rsidR="00DF6584" w:rsidRDefault="00DF6584">
      <w:pPr>
        <w:pStyle w:val="BodyText"/>
        <w:spacing w:before="9"/>
        <w:rPr>
          <w:b/>
          <w:sz w:val="32"/>
        </w:rPr>
      </w:pPr>
    </w:p>
    <w:p w:rsidR="00DF6584" w:rsidRPr="00C21B4F" w:rsidRDefault="00C21B4F" w:rsidP="00C21B4F">
      <w:pPr>
        <w:tabs>
          <w:tab w:val="left" w:pos="954"/>
        </w:tabs>
        <w:ind w:left="953" w:hanging="361"/>
        <w:rPr>
          <w:sz w:val="24"/>
        </w:rPr>
      </w:pPr>
      <w:r>
        <w:rPr>
          <w:spacing w:val="-32"/>
          <w:w w:val="99"/>
          <w:sz w:val="24"/>
        </w:rPr>
        <w:t>50.</w:t>
      </w:r>
      <w:r>
        <w:rPr>
          <w:spacing w:val="-32"/>
          <w:w w:val="99"/>
          <w:sz w:val="24"/>
        </w:rPr>
        <w:tab/>
      </w:r>
      <w:r w:rsidR="0096023B" w:rsidRPr="00C21B4F">
        <w:rPr>
          <w:sz w:val="24"/>
        </w:rPr>
        <w:t>Accordingly, for the reasons set out above, the Tribunal makes the following</w:t>
      </w:r>
      <w:r w:rsidR="0096023B" w:rsidRPr="00C21B4F">
        <w:rPr>
          <w:spacing w:val="-27"/>
          <w:sz w:val="24"/>
        </w:rPr>
        <w:t xml:space="preserve"> </w:t>
      </w:r>
      <w:r w:rsidR="0096023B" w:rsidRPr="00C21B4F">
        <w:rPr>
          <w:sz w:val="24"/>
        </w:rPr>
        <w:t>order:</w:t>
      </w:r>
    </w:p>
    <w:p w:rsidR="00DF6584" w:rsidRDefault="00DF6584">
      <w:pPr>
        <w:pStyle w:val="BodyText"/>
        <w:rPr>
          <w:sz w:val="26"/>
        </w:rPr>
      </w:pPr>
    </w:p>
    <w:p w:rsidR="00DF6584" w:rsidRDefault="00DF6584">
      <w:pPr>
        <w:pStyle w:val="BodyText"/>
        <w:rPr>
          <w:sz w:val="22"/>
        </w:rPr>
      </w:pPr>
    </w:p>
    <w:p w:rsidR="00DF6584" w:rsidRPr="00C21B4F" w:rsidRDefault="00C21B4F" w:rsidP="00C21B4F">
      <w:pPr>
        <w:tabs>
          <w:tab w:val="left" w:pos="1674"/>
        </w:tabs>
        <w:spacing w:line="362" w:lineRule="auto"/>
        <w:ind w:left="1673" w:right="149" w:hanging="360"/>
        <w:rPr>
          <w:sz w:val="24"/>
        </w:rPr>
      </w:pPr>
      <w:r>
        <w:rPr>
          <w:spacing w:val="-4"/>
          <w:w w:val="99"/>
          <w:sz w:val="24"/>
          <w:szCs w:val="24"/>
        </w:rPr>
        <w:t>a.</w:t>
      </w:r>
      <w:r>
        <w:rPr>
          <w:spacing w:val="-4"/>
          <w:w w:val="99"/>
          <w:sz w:val="24"/>
          <w:szCs w:val="24"/>
        </w:rPr>
        <w:tab/>
      </w:r>
      <w:r w:rsidR="0096023B" w:rsidRPr="00C21B4F">
        <w:rPr>
          <w:sz w:val="24"/>
        </w:rPr>
        <w:t>The Tribunal is unable to consider this application as the complaint has prescribed.</w:t>
      </w:r>
    </w:p>
    <w:p w:rsidR="00DF6584" w:rsidRPr="00C21B4F" w:rsidRDefault="00C21B4F" w:rsidP="00C21B4F">
      <w:pPr>
        <w:tabs>
          <w:tab w:val="left" w:pos="1674"/>
        </w:tabs>
        <w:spacing w:line="271" w:lineRule="exact"/>
        <w:ind w:left="1673" w:hanging="361"/>
        <w:rPr>
          <w:sz w:val="24"/>
        </w:rPr>
      </w:pPr>
      <w:r>
        <w:rPr>
          <w:spacing w:val="-4"/>
          <w:w w:val="99"/>
          <w:sz w:val="24"/>
          <w:szCs w:val="24"/>
        </w:rPr>
        <w:t>b.</w:t>
      </w:r>
      <w:r>
        <w:rPr>
          <w:spacing w:val="-4"/>
          <w:w w:val="99"/>
          <w:sz w:val="24"/>
          <w:szCs w:val="24"/>
        </w:rPr>
        <w:tab/>
      </w:r>
      <w:r w:rsidR="0096023B" w:rsidRPr="00C21B4F">
        <w:rPr>
          <w:sz w:val="24"/>
        </w:rPr>
        <w:t>The application is</w:t>
      </w:r>
      <w:r w:rsidR="0096023B" w:rsidRPr="00C21B4F">
        <w:rPr>
          <w:spacing w:val="-1"/>
          <w:sz w:val="24"/>
        </w:rPr>
        <w:t xml:space="preserve"> </w:t>
      </w:r>
      <w:r w:rsidR="0096023B" w:rsidRPr="00C21B4F">
        <w:rPr>
          <w:sz w:val="24"/>
        </w:rPr>
        <w:t>dismissed.</w:t>
      </w:r>
    </w:p>
    <w:p w:rsidR="00DF6584" w:rsidRPr="00C21B4F" w:rsidRDefault="00C21B4F" w:rsidP="00C21B4F">
      <w:pPr>
        <w:tabs>
          <w:tab w:val="left" w:pos="1674"/>
        </w:tabs>
        <w:spacing w:before="139"/>
        <w:ind w:left="1673" w:hanging="361"/>
        <w:rPr>
          <w:sz w:val="24"/>
        </w:rPr>
      </w:pPr>
      <w:r>
        <w:rPr>
          <w:spacing w:val="-4"/>
          <w:w w:val="99"/>
          <w:sz w:val="24"/>
          <w:szCs w:val="24"/>
        </w:rPr>
        <w:t>c.</w:t>
      </w:r>
      <w:r>
        <w:rPr>
          <w:spacing w:val="-4"/>
          <w:w w:val="99"/>
          <w:sz w:val="24"/>
          <w:szCs w:val="24"/>
        </w:rPr>
        <w:tab/>
      </w:r>
      <w:r w:rsidR="0096023B" w:rsidRPr="00C21B4F">
        <w:rPr>
          <w:sz w:val="24"/>
        </w:rPr>
        <w:t>No o</w:t>
      </w:r>
      <w:r w:rsidR="0096023B" w:rsidRPr="00C21B4F">
        <w:rPr>
          <w:sz w:val="24"/>
        </w:rPr>
        <w:t>rder is made as to</w:t>
      </w:r>
      <w:r w:rsidR="0096023B" w:rsidRPr="00C21B4F">
        <w:rPr>
          <w:spacing w:val="-6"/>
          <w:sz w:val="24"/>
        </w:rPr>
        <w:t xml:space="preserve"> </w:t>
      </w:r>
      <w:r w:rsidR="0096023B" w:rsidRPr="00C21B4F">
        <w:rPr>
          <w:sz w:val="24"/>
        </w:rPr>
        <w:t>costs.</w:t>
      </w:r>
    </w:p>
    <w:p w:rsidR="00DF6584" w:rsidRDefault="00DF6584">
      <w:pPr>
        <w:pStyle w:val="BodyText"/>
        <w:rPr>
          <w:sz w:val="26"/>
        </w:rPr>
      </w:pPr>
    </w:p>
    <w:p w:rsidR="00DF6584" w:rsidRDefault="00DF6584">
      <w:pPr>
        <w:pStyle w:val="BodyText"/>
        <w:rPr>
          <w:sz w:val="26"/>
        </w:rPr>
      </w:pPr>
    </w:p>
    <w:p w:rsidR="00DF6584" w:rsidRDefault="0096023B">
      <w:pPr>
        <w:pStyle w:val="BodyText"/>
        <w:spacing w:before="189"/>
        <w:ind w:left="232"/>
      </w:pPr>
      <w:r>
        <w:t>DATED ON THIS 10</w:t>
      </w:r>
      <w:r>
        <w:rPr>
          <w:position w:val="8"/>
          <w:sz w:val="16"/>
        </w:rPr>
        <w:t xml:space="preserve">TH </w:t>
      </w:r>
      <w:r>
        <w:t>DAY OF JULY 2022</w:t>
      </w:r>
    </w:p>
    <w:p w:rsidR="00DF6584" w:rsidRDefault="00DF6584">
      <w:pPr>
        <w:pStyle w:val="BodyText"/>
        <w:rPr>
          <w:sz w:val="28"/>
        </w:rPr>
      </w:pPr>
    </w:p>
    <w:p w:rsidR="00DF6584" w:rsidRDefault="00DF6584">
      <w:pPr>
        <w:pStyle w:val="BodyText"/>
        <w:rPr>
          <w:sz w:val="28"/>
        </w:rPr>
      </w:pPr>
    </w:p>
    <w:p w:rsidR="00DF6584" w:rsidRDefault="00DF6584">
      <w:pPr>
        <w:pStyle w:val="BodyText"/>
        <w:spacing w:before="11"/>
        <w:rPr>
          <w:sz w:val="27"/>
        </w:rPr>
      </w:pPr>
    </w:p>
    <w:p w:rsidR="00DF6584" w:rsidRDefault="0096023B">
      <w:pPr>
        <w:pStyle w:val="BodyText"/>
        <w:ind w:left="232"/>
      </w:pPr>
      <w:r>
        <w:t>(signed)</w:t>
      </w:r>
    </w:p>
    <w:p w:rsidR="00DF6584" w:rsidRDefault="0096023B">
      <w:pPr>
        <w:pStyle w:val="Heading1"/>
        <w:spacing w:before="139" w:line="360" w:lineRule="auto"/>
        <w:ind w:right="7697"/>
      </w:pPr>
      <w:r>
        <w:t>Dr L Best Presiding Member</w:t>
      </w:r>
    </w:p>
    <w:p w:rsidR="00DF6584" w:rsidRDefault="00DF6584">
      <w:pPr>
        <w:pStyle w:val="BodyText"/>
        <w:spacing w:before="11"/>
        <w:rPr>
          <w:b/>
          <w:sz w:val="35"/>
        </w:rPr>
      </w:pPr>
    </w:p>
    <w:p w:rsidR="00DF6584" w:rsidRDefault="0096023B">
      <w:pPr>
        <w:pStyle w:val="BodyText"/>
        <w:ind w:left="232"/>
      </w:pPr>
      <w:r>
        <w:t>Tribunal members Ms P Beck and Dr M Peenze concur with this judgment.</w:t>
      </w:r>
    </w:p>
    <w:p w:rsidR="00DF6584" w:rsidRDefault="00DF6584">
      <w:pPr>
        <w:pStyle w:val="BodyText"/>
        <w:rPr>
          <w:sz w:val="20"/>
        </w:rPr>
      </w:pPr>
    </w:p>
    <w:p w:rsidR="00DF6584" w:rsidRDefault="0096023B">
      <w:pPr>
        <w:pStyle w:val="BodyText"/>
        <w:spacing w:before="5"/>
      </w:pPr>
      <w:r>
        <w:rPr>
          <w:noProof/>
          <w:lang w:bidi="ar-SA"/>
        </w:rPr>
        <w:drawing>
          <wp:anchor distT="0" distB="0" distL="0" distR="0" simplePos="0" relativeHeight="2" behindDoc="0" locked="0" layoutInCell="1" allowOverlap="1">
            <wp:simplePos x="0" y="0"/>
            <wp:positionH relativeFrom="page">
              <wp:posOffset>720090</wp:posOffset>
            </wp:positionH>
            <wp:positionV relativeFrom="paragraph">
              <wp:posOffset>203402</wp:posOffset>
            </wp:positionV>
            <wp:extent cx="3096244" cy="168478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096244" cy="1684782"/>
                    </a:xfrm>
                    <a:prstGeom prst="rect">
                      <a:avLst/>
                    </a:prstGeom>
                  </pic:spPr>
                </pic:pic>
              </a:graphicData>
            </a:graphic>
          </wp:anchor>
        </w:drawing>
      </w:r>
    </w:p>
    <w:sectPr w:rsidR="00DF6584">
      <w:pgSz w:w="11910" w:h="16840"/>
      <w:pgMar w:top="1000" w:right="980" w:bottom="820" w:left="900" w:header="289" w:footer="5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3B" w:rsidRDefault="0096023B">
      <w:r>
        <w:separator/>
      </w:r>
    </w:p>
  </w:endnote>
  <w:endnote w:type="continuationSeparator" w:id="0">
    <w:p w:rsidR="0096023B" w:rsidRDefault="009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84" w:rsidRDefault="0096023B">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273.6pt;margin-top:799.7pt;width:47.85pt;height:12.35pt;z-index:-251970560;mso-position-horizontal-relative:page;mso-position-vertical-relative:page" filled="f" stroked="f">
          <v:textbox inset="0,0,0,0">
            <w:txbxContent>
              <w:p w:rsidR="00DF6584" w:rsidRDefault="0096023B">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C21B4F">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3B" w:rsidRDefault="0096023B">
      <w:r>
        <w:separator/>
      </w:r>
    </w:p>
  </w:footnote>
  <w:footnote w:type="continuationSeparator" w:id="0">
    <w:p w:rsidR="0096023B" w:rsidRDefault="009602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84" w:rsidRDefault="0096023B">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57.9pt;margin-top:13.45pt;width:381.85pt;height:20.25pt;z-index:-251971584;mso-position-horizontal-relative:page;mso-position-vertical-relative:page" filled="f" stroked="f">
          <v:textbox inset="0,0,0,0">
            <w:txbxContent>
              <w:p w:rsidR="00DF6584" w:rsidRDefault="0096023B">
                <w:pPr>
                  <w:spacing w:before="15"/>
                  <w:ind w:left="20" w:right="2" w:firstLine="6892"/>
                  <w:rPr>
                    <w:sz w:val="16"/>
                  </w:rPr>
                </w:pPr>
                <w:r>
                  <w:rPr>
                    <w:sz w:val="16"/>
                  </w:rPr>
                  <w:t>Judgment National Consumer Commission v Johan and Philly Auto Traders CC t/a Cars.Com II 215218/2022/73(2)(b)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550C9"/>
    <w:multiLevelType w:val="hybridMultilevel"/>
    <w:tmpl w:val="0D76E888"/>
    <w:lvl w:ilvl="0" w:tplc="6BD6518E">
      <w:start w:val="1"/>
      <w:numFmt w:val="lowerLetter"/>
      <w:lvlText w:val="(%1)"/>
      <w:lvlJc w:val="left"/>
      <w:pPr>
        <w:ind w:left="1793" w:hanging="567"/>
        <w:jc w:val="left"/>
      </w:pPr>
      <w:rPr>
        <w:rFonts w:ascii="Arial" w:eastAsia="Arial" w:hAnsi="Arial" w:cs="Arial" w:hint="default"/>
        <w:i/>
        <w:w w:val="99"/>
        <w:sz w:val="24"/>
        <w:szCs w:val="24"/>
        <w:lang w:val="en-ZA" w:eastAsia="en-ZA" w:bidi="en-ZA"/>
      </w:rPr>
    </w:lvl>
    <w:lvl w:ilvl="1" w:tplc="338CDB0C">
      <w:numFmt w:val="bullet"/>
      <w:lvlText w:val="•"/>
      <w:lvlJc w:val="left"/>
      <w:pPr>
        <w:ind w:left="2622" w:hanging="567"/>
      </w:pPr>
      <w:rPr>
        <w:rFonts w:hint="default"/>
        <w:lang w:val="en-ZA" w:eastAsia="en-ZA" w:bidi="en-ZA"/>
      </w:rPr>
    </w:lvl>
    <w:lvl w:ilvl="2" w:tplc="F66E6804">
      <w:numFmt w:val="bullet"/>
      <w:lvlText w:val="•"/>
      <w:lvlJc w:val="left"/>
      <w:pPr>
        <w:ind w:left="3445" w:hanging="567"/>
      </w:pPr>
      <w:rPr>
        <w:rFonts w:hint="default"/>
        <w:lang w:val="en-ZA" w:eastAsia="en-ZA" w:bidi="en-ZA"/>
      </w:rPr>
    </w:lvl>
    <w:lvl w:ilvl="3" w:tplc="D0C47774">
      <w:numFmt w:val="bullet"/>
      <w:lvlText w:val="•"/>
      <w:lvlJc w:val="left"/>
      <w:pPr>
        <w:ind w:left="4267" w:hanging="567"/>
      </w:pPr>
      <w:rPr>
        <w:rFonts w:hint="default"/>
        <w:lang w:val="en-ZA" w:eastAsia="en-ZA" w:bidi="en-ZA"/>
      </w:rPr>
    </w:lvl>
    <w:lvl w:ilvl="4" w:tplc="10B426F6">
      <w:numFmt w:val="bullet"/>
      <w:lvlText w:val="•"/>
      <w:lvlJc w:val="left"/>
      <w:pPr>
        <w:ind w:left="5090" w:hanging="567"/>
      </w:pPr>
      <w:rPr>
        <w:rFonts w:hint="default"/>
        <w:lang w:val="en-ZA" w:eastAsia="en-ZA" w:bidi="en-ZA"/>
      </w:rPr>
    </w:lvl>
    <w:lvl w:ilvl="5" w:tplc="0D2E0F5C">
      <w:numFmt w:val="bullet"/>
      <w:lvlText w:val="•"/>
      <w:lvlJc w:val="left"/>
      <w:pPr>
        <w:ind w:left="5913" w:hanging="567"/>
      </w:pPr>
      <w:rPr>
        <w:rFonts w:hint="default"/>
        <w:lang w:val="en-ZA" w:eastAsia="en-ZA" w:bidi="en-ZA"/>
      </w:rPr>
    </w:lvl>
    <w:lvl w:ilvl="6" w:tplc="8BCC9E20">
      <w:numFmt w:val="bullet"/>
      <w:lvlText w:val="•"/>
      <w:lvlJc w:val="left"/>
      <w:pPr>
        <w:ind w:left="6735" w:hanging="567"/>
      </w:pPr>
      <w:rPr>
        <w:rFonts w:hint="default"/>
        <w:lang w:val="en-ZA" w:eastAsia="en-ZA" w:bidi="en-ZA"/>
      </w:rPr>
    </w:lvl>
    <w:lvl w:ilvl="7" w:tplc="A614C76E">
      <w:numFmt w:val="bullet"/>
      <w:lvlText w:val="•"/>
      <w:lvlJc w:val="left"/>
      <w:pPr>
        <w:ind w:left="7558" w:hanging="567"/>
      </w:pPr>
      <w:rPr>
        <w:rFonts w:hint="default"/>
        <w:lang w:val="en-ZA" w:eastAsia="en-ZA" w:bidi="en-ZA"/>
      </w:rPr>
    </w:lvl>
    <w:lvl w:ilvl="8" w:tplc="69787786">
      <w:numFmt w:val="bullet"/>
      <w:lvlText w:val="•"/>
      <w:lvlJc w:val="left"/>
      <w:pPr>
        <w:ind w:left="8381" w:hanging="567"/>
      </w:pPr>
      <w:rPr>
        <w:rFonts w:hint="default"/>
        <w:lang w:val="en-ZA" w:eastAsia="en-ZA" w:bidi="en-ZA"/>
      </w:rPr>
    </w:lvl>
  </w:abstractNum>
  <w:abstractNum w:abstractNumId="1" w15:restartNumberingAfterBreak="0">
    <w:nsid w:val="5A7624DA"/>
    <w:multiLevelType w:val="hybridMultilevel"/>
    <w:tmpl w:val="D1B6DC54"/>
    <w:lvl w:ilvl="0" w:tplc="392E154C">
      <w:start w:val="1"/>
      <w:numFmt w:val="decimal"/>
      <w:lvlText w:val="(%1)"/>
      <w:lvlJc w:val="left"/>
      <w:pPr>
        <w:ind w:left="756" w:hanging="360"/>
        <w:jc w:val="left"/>
      </w:pPr>
      <w:rPr>
        <w:rFonts w:ascii="Arial" w:eastAsia="Arial" w:hAnsi="Arial" w:cs="Arial" w:hint="default"/>
        <w:i/>
        <w:color w:val="363636"/>
        <w:w w:val="99"/>
        <w:sz w:val="24"/>
        <w:szCs w:val="24"/>
        <w:lang w:val="en-ZA" w:eastAsia="en-ZA" w:bidi="en-ZA"/>
      </w:rPr>
    </w:lvl>
    <w:lvl w:ilvl="1" w:tplc="7022442A">
      <w:start w:val="1"/>
      <w:numFmt w:val="lowerLetter"/>
      <w:lvlText w:val="(%2)"/>
      <w:lvlJc w:val="left"/>
      <w:pPr>
        <w:ind w:left="2011" w:hanging="360"/>
        <w:jc w:val="left"/>
      </w:pPr>
      <w:rPr>
        <w:rFonts w:ascii="Arial" w:eastAsia="Arial" w:hAnsi="Arial" w:cs="Arial" w:hint="default"/>
        <w:i/>
        <w:color w:val="363636"/>
        <w:w w:val="99"/>
        <w:sz w:val="24"/>
        <w:szCs w:val="24"/>
        <w:lang w:val="en-ZA" w:eastAsia="en-ZA" w:bidi="en-ZA"/>
      </w:rPr>
    </w:lvl>
    <w:lvl w:ilvl="2" w:tplc="73C614A2">
      <w:numFmt w:val="bullet"/>
      <w:lvlText w:val="•"/>
      <w:lvlJc w:val="left"/>
      <w:pPr>
        <w:ind w:left="2909" w:hanging="360"/>
      </w:pPr>
      <w:rPr>
        <w:rFonts w:hint="default"/>
        <w:lang w:val="en-ZA" w:eastAsia="en-ZA" w:bidi="en-ZA"/>
      </w:rPr>
    </w:lvl>
    <w:lvl w:ilvl="3" w:tplc="C7E8AADE">
      <w:numFmt w:val="bullet"/>
      <w:lvlText w:val="•"/>
      <w:lvlJc w:val="left"/>
      <w:pPr>
        <w:ind w:left="3799" w:hanging="360"/>
      </w:pPr>
      <w:rPr>
        <w:rFonts w:hint="default"/>
        <w:lang w:val="en-ZA" w:eastAsia="en-ZA" w:bidi="en-ZA"/>
      </w:rPr>
    </w:lvl>
    <w:lvl w:ilvl="4" w:tplc="7B947450">
      <w:numFmt w:val="bullet"/>
      <w:lvlText w:val="•"/>
      <w:lvlJc w:val="left"/>
      <w:pPr>
        <w:ind w:left="4688" w:hanging="360"/>
      </w:pPr>
      <w:rPr>
        <w:rFonts w:hint="default"/>
        <w:lang w:val="en-ZA" w:eastAsia="en-ZA" w:bidi="en-ZA"/>
      </w:rPr>
    </w:lvl>
    <w:lvl w:ilvl="5" w:tplc="BE1011CE">
      <w:numFmt w:val="bullet"/>
      <w:lvlText w:val="•"/>
      <w:lvlJc w:val="left"/>
      <w:pPr>
        <w:ind w:left="5578" w:hanging="360"/>
      </w:pPr>
      <w:rPr>
        <w:rFonts w:hint="default"/>
        <w:lang w:val="en-ZA" w:eastAsia="en-ZA" w:bidi="en-ZA"/>
      </w:rPr>
    </w:lvl>
    <w:lvl w:ilvl="6" w:tplc="4C68AEA4">
      <w:numFmt w:val="bullet"/>
      <w:lvlText w:val="•"/>
      <w:lvlJc w:val="left"/>
      <w:pPr>
        <w:ind w:left="6468" w:hanging="360"/>
      </w:pPr>
      <w:rPr>
        <w:rFonts w:hint="default"/>
        <w:lang w:val="en-ZA" w:eastAsia="en-ZA" w:bidi="en-ZA"/>
      </w:rPr>
    </w:lvl>
    <w:lvl w:ilvl="7" w:tplc="512EA98E">
      <w:numFmt w:val="bullet"/>
      <w:lvlText w:val="•"/>
      <w:lvlJc w:val="left"/>
      <w:pPr>
        <w:ind w:left="7357" w:hanging="360"/>
      </w:pPr>
      <w:rPr>
        <w:rFonts w:hint="default"/>
        <w:lang w:val="en-ZA" w:eastAsia="en-ZA" w:bidi="en-ZA"/>
      </w:rPr>
    </w:lvl>
    <w:lvl w:ilvl="8" w:tplc="2766BCD2">
      <w:numFmt w:val="bullet"/>
      <w:lvlText w:val="•"/>
      <w:lvlJc w:val="left"/>
      <w:pPr>
        <w:ind w:left="8247" w:hanging="360"/>
      </w:pPr>
      <w:rPr>
        <w:rFonts w:hint="default"/>
        <w:lang w:val="en-ZA" w:eastAsia="en-ZA" w:bidi="en-ZA"/>
      </w:rPr>
    </w:lvl>
  </w:abstractNum>
  <w:abstractNum w:abstractNumId="2" w15:restartNumberingAfterBreak="0">
    <w:nsid w:val="716D413A"/>
    <w:multiLevelType w:val="hybridMultilevel"/>
    <w:tmpl w:val="0EDE9CB0"/>
    <w:lvl w:ilvl="0" w:tplc="9800DFE2">
      <w:start w:val="2"/>
      <w:numFmt w:val="decimal"/>
      <w:lvlText w:val="(%1)"/>
      <w:lvlJc w:val="left"/>
      <w:pPr>
        <w:ind w:left="1793" w:hanging="377"/>
        <w:jc w:val="left"/>
      </w:pPr>
      <w:rPr>
        <w:rFonts w:ascii="Arial" w:eastAsia="Arial" w:hAnsi="Arial" w:cs="Arial" w:hint="default"/>
        <w:i/>
        <w:w w:val="99"/>
        <w:sz w:val="24"/>
        <w:szCs w:val="24"/>
        <w:lang w:val="en-ZA" w:eastAsia="en-ZA" w:bidi="en-ZA"/>
      </w:rPr>
    </w:lvl>
    <w:lvl w:ilvl="1" w:tplc="717ADCD6">
      <w:start w:val="1"/>
      <w:numFmt w:val="lowerLetter"/>
      <w:lvlText w:val="(%2)"/>
      <w:lvlJc w:val="left"/>
      <w:pPr>
        <w:ind w:left="1793" w:hanging="428"/>
        <w:jc w:val="left"/>
      </w:pPr>
      <w:rPr>
        <w:rFonts w:ascii="Arial" w:eastAsia="Arial" w:hAnsi="Arial" w:cs="Arial" w:hint="default"/>
        <w:i/>
        <w:w w:val="99"/>
        <w:sz w:val="24"/>
        <w:szCs w:val="24"/>
        <w:lang w:val="en-ZA" w:eastAsia="en-ZA" w:bidi="en-ZA"/>
      </w:rPr>
    </w:lvl>
    <w:lvl w:ilvl="2" w:tplc="79540AB2">
      <w:start w:val="1"/>
      <w:numFmt w:val="decimal"/>
      <w:lvlText w:val="(%3)"/>
      <w:lvlJc w:val="left"/>
      <w:pPr>
        <w:ind w:left="1831" w:hanging="406"/>
        <w:jc w:val="right"/>
      </w:pPr>
      <w:rPr>
        <w:rFonts w:ascii="Arial" w:eastAsia="Arial" w:hAnsi="Arial" w:cs="Arial" w:hint="default"/>
        <w:i/>
        <w:w w:val="99"/>
        <w:sz w:val="24"/>
        <w:szCs w:val="24"/>
        <w:lang w:val="en-ZA" w:eastAsia="en-ZA" w:bidi="en-ZA"/>
      </w:rPr>
    </w:lvl>
    <w:lvl w:ilvl="3" w:tplc="8BD4ECB4">
      <w:numFmt w:val="bullet"/>
      <w:lvlText w:val="•"/>
      <w:lvlJc w:val="left"/>
      <w:pPr>
        <w:ind w:left="3659" w:hanging="406"/>
      </w:pPr>
      <w:rPr>
        <w:rFonts w:hint="default"/>
        <w:lang w:val="en-ZA" w:eastAsia="en-ZA" w:bidi="en-ZA"/>
      </w:rPr>
    </w:lvl>
    <w:lvl w:ilvl="4" w:tplc="53DA48E2">
      <w:numFmt w:val="bullet"/>
      <w:lvlText w:val="•"/>
      <w:lvlJc w:val="left"/>
      <w:pPr>
        <w:ind w:left="4568" w:hanging="406"/>
      </w:pPr>
      <w:rPr>
        <w:rFonts w:hint="default"/>
        <w:lang w:val="en-ZA" w:eastAsia="en-ZA" w:bidi="en-ZA"/>
      </w:rPr>
    </w:lvl>
    <w:lvl w:ilvl="5" w:tplc="711831B8">
      <w:numFmt w:val="bullet"/>
      <w:lvlText w:val="•"/>
      <w:lvlJc w:val="left"/>
      <w:pPr>
        <w:ind w:left="5478" w:hanging="406"/>
      </w:pPr>
      <w:rPr>
        <w:rFonts w:hint="default"/>
        <w:lang w:val="en-ZA" w:eastAsia="en-ZA" w:bidi="en-ZA"/>
      </w:rPr>
    </w:lvl>
    <w:lvl w:ilvl="6" w:tplc="D4A2D7F4">
      <w:numFmt w:val="bullet"/>
      <w:lvlText w:val="•"/>
      <w:lvlJc w:val="left"/>
      <w:pPr>
        <w:ind w:left="6388" w:hanging="406"/>
      </w:pPr>
      <w:rPr>
        <w:rFonts w:hint="default"/>
        <w:lang w:val="en-ZA" w:eastAsia="en-ZA" w:bidi="en-ZA"/>
      </w:rPr>
    </w:lvl>
    <w:lvl w:ilvl="7" w:tplc="398648FE">
      <w:numFmt w:val="bullet"/>
      <w:lvlText w:val="•"/>
      <w:lvlJc w:val="left"/>
      <w:pPr>
        <w:ind w:left="7297" w:hanging="406"/>
      </w:pPr>
      <w:rPr>
        <w:rFonts w:hint="default"/>
        <w:lang w:val="en-ZA" w:eastAsia="en-ZA" w:bidi="en-ZA"/>
      </w:rPr>
    </w:lvl>
    <w:lvl w:ilvl="8" w:tplc="860292F2">
      <w:numFmt w:val="bullet"/>
      <w:lvlText w:val="•"/>
      <w:lvlJc w:val="left"/>
      <w:pPr>
        <w:ind w:left="8207" w:hanging="406"/>
      </w:pPr>
      <w:rPr>
        <w:rFonts w:hint="default"/>
        <w:lang w:val="en-ZA" w:eastAsia="en-ZA" w:bidi="en-ZA"/>
      </w:rPr>
    </w:lvl>
  </w:abstractNum>
  <w:abstractNum w:abstractNumId="3" w15:restartNumberingAfterBreak="0">
    <w:nsid w:val="77816B62"/>
    <w:multiLevelType w:val="hybridMultilevel"/>
    <w:tmpl w:val="A644FB64"/>
    <w:lvl w:ilvl="0" w:tplc="BC06C4E2">
      <w:start w:val="1"/>
      <w:numFmt w:val="decimal"/>
      <w:lvlText w:val="%1."/>
      <w:lvlJc w:val="left"/>
      <w:pPr>
        <w:ind w:left="799" w:hanging="567"/>
        <w:jc w:val="right"/>
      </w:pPr>
      <w:rPr>
        <w:rFonts w:hint="default"/>
        <w:spacing w:val="-32"/>
        <w:w w:val="99"/>
        <w:lang w:val="en-ZA" w:eastAsia="en-ZA" w:bidi="en-ZA"/>
      </w:rPr>
    </w:lvl>
    <w:lvl w:ilvl="1" w:tplc="BC50E13A">
      <w:start w:val="1"/>
      <w:numFmt w:val="lowerLetter"/>
      <w:lvlText w:val="%2."/>
      <w:lvlJc w:val="left"/>
      <w:pPr>
        <w:ind w:left="1366" w:hanging="540"/>
        <w:jc w:val="left"/>
      </w:pPr>
      <w:rPr>
        <w:rFonts w:ascii="Arial" w:eastAsia="Arial" w:hAnsi="Arial" w:cs="Arial" w:hint="default"/>
        <w:spacing w:val="-4"/>
        <w:w w:val="99"/>
        <w:sz w:val="24"/>
        <w:szCs w:val="24"/>
        <w:lang w:val="en-ZA" w:eastAsia="en-ZA" w:bidi="en-ZA"/>
      </w:rPr>
    </w:lvl>
    <w:lvl w:ilvl="2" w:tplc="2D72F77C">
      <w:numFmt w:val="bullet"/>
      <w:lvlText w:val="•"/>
      <w:lvlJc w:val="left"/>
      <w:pPr>
        <w:ind w:left="1680" w:hanging="540"/>
      </w:pPr>
      <w:rPr>
        <w:rFonts w:hint="default"/>
        <w:lang w:val="en-ZA" w:eastAsia="en-ZA" w:bidi="en-ZA"/>
      </w:rPr>
    </w:lvl>
    <w:lvl w:ilvl="3" w:tplc="DEF4E340">
      <w:numFmt w:val="bullet"/>
      <w:lvlText w:val="•"/>
      <w:lvlJc w:val="left"/>
      <w:pPr>
        <w:ind w:left="2723" w:hanging="540"/>
      </w:pPr>
      <w:rPr>
        <w:rFonts w:hint="default"/>
        <w:lang w:val="en-ZA" w:eastAsia="en-ZA" w:bidi="en-ZA"/>
      </w:rPr>
    </w:lvl>
    <w:lvl w:ilvl="4" w:tplc="9F2866AC">
      <w:numFmt w:val="bullet"/>
      <w:lvlText w:val="•"/>
      <w:lvlJc w:val="left"/>
      <w:pPr>
        <w:ind w:left="3766" w:hanging="540"/>
      </w:pPr>
      <w:rPr>
        <w:rFonts w:hint="default"/>
        <w:lang w:val="en-ZA" w:eastAsia="en-ZA" w:bidi="en-ZA"/>
      </w:rPr>
    </w:lvl>
    <w:lvl w:ilvl="5" w:tplc="4D74E0CE">
      <w:numFmt w:val="bullet"/>
      <w:lvlText w:val="•"/>
      <w:lvlJc w:val="left"/>
      <w:pPr>
        <w:ind w:left="4809" w:hanging="540"/>
      </w:pPr>
      <w:rPr>
        <w:rFonts w:hint="default"/>
        <w:lang w:val="en-ZA" w:eastAsia="en-ZA" w:bidi="en-ZA"/>
      </w:rPr>
    </w:lvl>
    <w:lvl w:ilvl="6" w:tplc="CD78111C">
      <w:numFmt w:val="bullet"/>
      <w:lvlText w:val="•"/>
      <w:lvlJc w:val="left"/>
      <w:pPr>
        <w:ind w:left="5853" w:hanging="540"/>
      </w:pPr>
      <w:rPr>
        <w:rFonts w:hint="default"/>
        <w:lang w:val="en-ZA" w:eastAsia="en-ZA" w:bidi="en-ZA"/>
      </w:rPr>
    </w:lvl>
    <w:lvl w:ilvl="7" w:tplc="A500821E">
      <w:numFmt w:val="bullet"/>
      <w:lvlText w:val="•"/>
      <w:lvlJc w:val="left"/>
      <w:pPr>
        <w:ind w:left="6896" w:hanging="540"/>
      </w:pPr>
      <w:rPr>
        <w:rFonts w:hint="default"/>
        <w:lang w:val="en-ZA" w:eastAsia="en-ZA" w:bidi="en-ZA"/>
      </w:rPr>
    </w:lvl>
    <w:lvl w:ilvl="8" w:tplc="29724010">
      <w:numFmt w:val="bullet"/>
      <w:lvlText w:val="•"/>
      <w:lvlJc w:val="left"/>
      <w:pPr>
        <w:ind w:left="7939" w:hanging="540"/>
      </w:pPr>
      <w:rPr>
        <w:rFonts w:hint="default"/>
        <w:lang w:val="en-ZA" w:eastAsia="en-ZA" w:bidi="en-Z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F6584"/>
    <w:rsid w:val="0096023B"/>
    <w:rsid w:val="00C21B4F"/>
    <w:rsid w:val="00DF65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3387EC"/>
  <w15:docId w15:val="{5D911363-E6E6-4914-ABAF-BA645311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99"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2834</Words>
  <Characters>16155</Characters>
  <Application>Microsoft Office Word</Application>
  <DocSecurity>0</DocSecurity>
  <Lines>134</Lines>
  <Paragraphs>37</Paragraphs>
  <ScaleCrop>false</ScaleCrop>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2023-04-13T08:27:00Z</dcterms:created>
  <dcterms:modified xsi:type="dcterms:W3CDTF">2023-07-05T09:42:00Z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 for Microsoft 365</vt:lpwstr>
  </property>
  <property fmtid="{D5CDD505-2E9C-101B-9397-08002B2CF9AE}" pid="4" name="LastSaved">
    <vt:filetime>2023-04-13T00:00:00Z</vt:filetime>
  </property>
</Properties>
</file>