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76"/>
        <w:ind w:left="3463" w:right="2814" w:hanging="1201"/>
      </w:pPr>
      <w:r>
        <w:rPr/>
        <w:t>IN THE NATIONAL CONSUMER TRIBUNAL HELD IN CENTURION</w:t>
      </w:r>
    </w:p>
    <w:p>
      <w:pPr>
        <w:pStyle w:val="BodyText"/>
        <w:spacing w:before="11"/>
        <w:rPr>
          <w:b/>
          <w:sz w:val="35"/>
        </w:rPr>
      </w:pPr>
    </w:p>
    <w:p>
      <w:pPr>
        <w:spacing w:before="0"/>
        <w:ind w:left="4711" w:right="0" w:firstLine="0"/>
        <w:jc w:val="left"/>
        <w:rPr>
          <w:b/>
          <w:sz w:val="24"/>
        </w:rPr>
      </w:pPr>
      <w:r>
        <w:rPr>
          <w:sz w:val="24"/>
        </w:rPr>
        <w:t>Case Number: </w:t>
      </w:r>
      <w:r>
        <w:rPr>
          <w:b/>
          <w:sz w:val="24"/>
        </w:rPr>
        <w:t>NCT/227890/2022/75(1)(b) CPA</w:t>
      </w:r>
    </w:p>
    <w:p>
      <w:pPr>
        <w:pStyle w:val="BodyText"/>
        <w:rPr>
          <w:b/>
          <w:sz w:val="26"/>
        </w:rPr>
      </w:pPr>
    </w:p>
    <w:p>
      <w:pPr>
        <w:pStyle w:val="BodyText"/>
        <w:rPr>
          <w:b/>
          <w:sz w:val="26"/>
        </w:rPr>
      </w:pPr>
    </w:p>
    <w:p>
      <w:pPr>
        <w:pStyle w:val="BodyText"/>
        <w:spacing w:before="194"/>
        <w:ind w:left="152"/>
      </w:pPr>
      <w:r>
        <w:rPr/>
        <w:t>In the matter between:</w:t>
      </w:r>
    </w:p>
    <w:p>
      <w:pPr>
        <w:pStyle w:val="BodyText"/>
        <w:rPr>
          <w:sz w:val="33"/>
        </w:rPr>
      </w:pPr>
    </w:p>
    <w:p>
      <w:pPr>
        <w:tabs>
          <w:tab w:pos="7354" w:val="left" w:leader="none"/>
        </w:tabs>
        <w:spacing w:before="0"/>
        <w:ind w:left="152" w:right="0" w:firstLine="0"/>
        <w:jc w:val="left"/>
        <w:rPr>
          <w:sz w:val="24"/>
        </w:rPr>
      </w:pPr>
      <w:r>
        <w:rPr>
          <w:b/>
          <w:sz w:val="24"/>
        </w:rPr>
        <w:t>SEAN</w:t>
      </w:r>
      <w:r>
        <w:rPr>
          <w:b/>
          <w:spacing w:val="-2"/>
          <w:sz w:val="24"/>
        </w:rPr>
        <w:t> </w:t>
      </w:r>
      <w:r>
        <w:rPr>
          <w:b/>
          <w:sz w:val="24"/>
        </w:rPr>
        <w:t>TINGLE</w:t>
        <w:tab/>
      </w:r>
      <w:r>
        <w:rPr>
          <w:sz w:val="24"/>
        </w:rPr>
        <w:t>APPLICANT</w:t>
      </w:r>
    </w:p>
    <w:p>
      <w:pPr>
        <w:pStyle w:val="BodyText"/>
        <w:spacing w:before="8"/>
        <w:rPr>
          <w:sz w:val="32"/>
        </w:rPr>
      </w:pPr>
    </w:p>
    <w:p>
      <w:pPr>
        <w:pStyle w:val="BodyText"/>
        <w:spacing w:before="1"/>
        <w:ind w:left="152"/>
      </w:pPr>
      <w:r>
        <w:rPr/>
        <w:t>and</w:t>
      </w:r>
    </w:p>
    <w:p>
      <w:pPr>
        <w:pStyle w:val="BodyText"/>
        <w:rPr>
          <w:sz w:val="33"/>
        </w:rPr>
      </w:pPr>
    </w:p>
    <w:p>
      <w:pPr>
        <w:tabs>
          <w:tab w:pos="7354" w:val="left" w:leader="none"/>
        </w:tabs>
        <w:spacing w:before="0"/>
        <w:ind w:left="152" w:right="0" w:firstLine="0"/>
        <w:jc w:val="left"/>
        <w:rPr>
          <w:sz w:val="24"/>
        </w:rPr>
      </w:pPr>
      <w:r>
        <w:rPr>
          <w:b/>
          <w:sz w:val="24"/>
        </w:rPr>
        <w:t>MAZDA SOUTHERN AFRICA</w:t>
      </w:r>
      <w:r>
        <w:rPr>
          <w:b/>
          <w:spacing w:val="-3"/>
          <w:sz w:val="24"/>
        </w:rPr>
        <w:t> </w:t>
      </w:r>
      <w:r>
        <w:rPr>
          <w:b/>
          <w:sz w:val="24"/>
        </w:rPr>
        <w:t>(PTY) LTD</w:t>
        <w:tab/>
      </w:r>
      <w:r>
        <w:rPr>
          <w:sz w:val="24"/>
        </w:rPr>
        <w:t>RESPONDENT</w:t>
      </w:r>
    </w:p>
    <w:p>
      <w:pPr>
        <w:pStyle w:val="BodyText"/>
        <w:spacing w:before="9"/>
        <w:rPr>
          <w:sz w:val="32"/>
        </w:rPr>
      </w:pPr>
    </w:p>
    <w:p>
      <w:pPr>
        <w:spacing w:before="0"/>
        <w:ind w:left="152" w:right="0" w:firstLine="0"/>
        <w:jc w:val="left"/>
        <w:rPr>
          <w:i/>
          <w:sz w:val="24"/>
        </w:rPr>
      </w:pPr>
      <w:r>
        <w:rPr>
          <w:i/>
          <w:sz w:val="24"/>
          <w:u w:val="single"/>
        </w:rPr>
        <w:t>Coram:</w:t>
      </w:r>
    </w:p>
    <w:p>
      <w:pPr>
        <w:pStyle w:val="BodyText"/>
        <w:spacing w:before="11"/>
        <w:rPr>
          <w:i/>
        </w:rPr>
      </w:pPr>
    </w:p>
    <w:p>
      <w:pPr>
        <w:pStyle w:val="BodyText"/>
        <w:tabs>
          <w:tab w:pos="3100" w:val="left" w:leader="none"/>
        </w:tabs>
        <w:spacing w:before="92"/>
        <w:ind w:left="152"/>
      </w:pPr>
      <w:r>
        <w:rPr/>
        <w:t>Adv</w:t>
      </w:r>
      <w:r>
        <w:rPr>
          <w:spacing w:val="-2"/>
        </w:rPr>
        <w:t> </w:t>
      </w:r>
      <w:r>
        <w:rPr/>
        <w:t>J</w:t>
      </w:r>
      <w:r>
        <w:rPr>
          <w:spacing w:val="-1"/>
        </w:rPr>
        <w:t> </w:t>
      </w:r>
      <w:r>
        <w:rPr/>
        <w:t>Simpson</w:t>
        <w:tab/>
        <w:t>– Presiding Tribunal</w:t>
      </w:r>
      <w:r>
        <w:rPr>
          <w:spacing w:val="1"/>
        </w:rPr>
        <w:t> </w:t>
      </w:r>
      <w:r>
        <w:rPr/>
        <w:t>member</w:t>
      </w:r>
    </w:p>
    <w:p>
      <w:pPr>
        <w:pStyle w:val="BodyText"/>
        <w:rPr>
          <w:sz w:val="20"/>
        </w:rPr>
      </w:pPr>
    </w:p>
    <w:p>
      <w:pPr>
        <w:pStyle w:val="BodyText"/>
        <w:rPr>
          <w:sz w:val="20"/>
        </w:rPr>
      </w:pPr>
    </w:p>
    <w:p>
      <w:pPr>
        <w:pStyle w:val="BodyText"/>
        <w:rPr>
          <w:sz w:val="20"/>
        </w:rPr>
      </w:pPr>
    </w:p>
    <w:p>
      <w:pPr>
        <w:pStyle w:val="BodyText"/>
        <w:spacing w:before="6"/>
        <w:rPr>
          <w:sz w:val="26"/>
        </w:rPr>
      </w:pPr>
      <w:r>
        <w:rPr/>
        <w:pict>
          <v:shapetype id="_x0000_t202" o:spt="202" coordsize="21600,21600" path="m,l,21600r21600,l21600,xe">
            <v:stroke joinstyle="miter"/>
            <v:path gradientshapeok="t" o:connecttype="rect"/>
          </v:shapetype>
          <v:shape style="position:absolute;margin-left:54.720001pt;margin-top:17.701406pt;width:486.5pt;height:59.2pt;mso-position-horizontal-relative:page;mso-position-vertical-relative:paragraph;z-index:-251658240;mso-wrap-distance-left:0;mso-wrap-distance-right:0" type="#_x0000_t202" filled="false" stroked="true" strokeweight=".96002pt" strokecolor="#000000">
            <v:textbox inset="0,0,0,0">
              <w:txbxContent>
                <w:p>
                  <w:pPr>
                    <w:spacing w:before="79"/>
                    <w:ind w:left="3200" w:right="3709" w:firstLine="0"/>
                    <w:jc w:val="center"/>
                    <w:rPr>
                      <w:b/>
                      <w:sz w:val="24"/>
                    </w:rPr>
                  </w:pPr>
                  <w:r>
                    <w:rPr>
                      <w:b/>
                      <w:sz w:val="24"/>
                    </w:rPr>
                    <w:t>RULING AND REASONS</w:t>
                  </w:r>
                </w:p>
                <w:p>
                  <w:pPr>
                    <w:pStyle w:val="BodyText"/>
                    <w:spacing w:before="9"/>
                    <w:rPr>
                      <w:b/>
                      <w:sz w:val="32"/>
                    </w:rPr>
                  </w:pPr>
                </w:p>
                <w:p>
                  <w:pPr>
                    <w:spacing w:before="0"/>
                    <w:ind w:left="3133" w:right="3709" w:firstLine="0"/>
                    <w:jc w:val="center"/>
                    <w:rPr>
                      <w:b/>
                      <w:sz w:val="24"/>
                    </w:rPr>
                  </w:pPr>
                  <w:r>
                    <w:rPr>
                      <w:b/>
                      <w:sz w:val="24"/>
                    </w:rPr>
                    <w:t>(LEAVE TO REFER)</w:t>
                  </w:r>
                </w:p>
              </w:txbxContent>
            </v:textbox>
            <v:stroke dashstyle="solid"/>
            <w10:wrap type="topAndBottom"/>
          </v:shape>
        </w:pict>
      </w:r>
    </w:p>
    <w:p>
      <w:pPr>
        <w:pStyle w:val="BodyText"/>
        <w:rPr>
          <w:sz w:val="20"/>
        </w:rPr>
      </w:pPr>
    </w:p>
    <w:p>
      <w:pPr>
        <w:pStyle w:val="BodyText"/>
        <w:rPr>
          <w:sz w:val="20"/>
        </w:rPr>
      </w:pPr>
    </w:p>
    <w:p>
      <w:pPr>
        <w:pStyle w:val="BodyText"/>
        <w:spacing w:before="4"/>
        <w:rPr>
          <w:sz w:val="27"/>
        </w:rPr>
      </w:pPr>
    </w:p>
    <w:p>
      <w:pPr>
        <w:pStyle w:val="Heading1"/>
        <w:spacing w:before="92"/>
      </w:pPr>
      <w:r>
        <w:rPr/>
        <w:t>APPLICANT</w:t>
      </w:r>
    </w:p>
    <w:p>
      <w:pPr>
        <w:pStyle w:val="BodyText"/>
        <w:rPr>
          <w:b/>
          <w:sz w:val="33"/>
        </w:rPr>
      </w:pPr>
    </w:p>
    <w:p>
      <w:pPr>
        <w:pStyle w:val="ListParagraph"/>
        <w:numPr>
          <w:ilvl w:val="0"/>
          <w:numId w:val="1"/>
        </w:numPr>
        <w:tabs>
          <w:tab w:pos="719" w:val="left" w:leader="none"/>
          <w:tab w:pos="720" w:val="left" w:leader="none"/>
        </w:tabs>
        <w:spacing w:line="360" w:lineRule="auto" w:before="0" w:after="0"/>
        <w:ind w:left="719" w:right="149" w:hanging="567"/>
        <w:jc w:val="left"/>
        <w:rPr>
          <w:sz w:val="24"/>
        </w:rPr>
      </w:pPr>
      <w:r>
        <w:rPr>
          <w:sz w:val="24"/>
        </w:rPr>
        <w:t>The Applicant in this matter is Mr Sean Tingle, a major male (“Mr Tingle” or “the Applicant”).</w:t>
      </w:r>
    </w:p>
    <w:p>
      <w:pPr>
        <w:pStyle w:val="BodyText"/>
        <w:spacing w:before="10"/>
        <w:rPr>
          <w:sz w:val="20"/>
        </w:rPr>
      </w:pPr>
    </w:p>
    <w:p>
      <w:pPr>
        <w:pStyle w:val="Heading1"/>
      </w:pPr>
      <w:r>
        <w:rPr/>
        <w:t>RESPONDENT</w:t>
      </w:r>
    </w:p>
    <w:p>
      <w:pPr>
        <w:pStyle w:val="BodyText"/>
        <w:spacing w:before="8"/>
        <w:rPr>
          <w:b/>
          <w:sz w:val="32"/>
        </w:rPr>
      </w:pPr>
    </w:p>
    <w:p>
      <w:pPr>
        <w:pStyle w:val="ListParagraph"/>
        <w:numPr>
          <w:ilvl w:val="0"/>
          <w:numId w:val="1"/>
        </w:numPr>
        <w:tabs>
          <w:tab w:pos="719" w:val="left" w:leader="none"/>
          <w:tab w:pos="720" w:val="left" w:leader="none"/>
        </w:tabs>
        <w:spacing w:line="240" w:lineRule="auto" w:before="1" w:after="0"/>
        <w:ind w:left="719" w:right="0" w:hanging="568"/>
        <w:jc w:val="left"/>
        <w:rPr>
          <w:sz w:val="24"/>
        </w:rPr>
      </w:pPr>
      <w:r>
        <w:rPr>
          <w:sz w:val="24"/>
        </w:rPr>
        <w:t>The Respondent is Mazda Southern Africa (Pty) Ltd (“Mazda” or “the</w:t>
      </w:r>
      <w:r>
        <w:rPr>
          <w:spacing w:val="-15"/>
          <w:sz w:val="24"/>
        </w:rPr>
        <w:t> </w:t>
      </w:r>
      <w:r>
        <w:rPr>
          <w:sz w:val="24"/>
        </w:rPr>
        <w:t>Respondent”).</w:t>
      </w:r>
    </w:p>
    <w:p>
      <w:pPr>
        <w:pStyle w:val="BodyText"/>
        <w:rPr>
          <w:sz w:val="33"/>
        </w:rPr>
      </w:pPr>
    </w:p>
    <w:p>
      <w:pPr>
        <w:pStyle w:val="Heading1"/>
      </w:pPr>
      <w:r>
        <w:rPr/>
        <w:t>APPLICATION TYPE</w:t>
      </w:r>
    </w:p>
    <w:p>
      <w:pPr>
        <w:pStyle w:val="BodyText"/>
        <w:spacing w:before="9"/>
        <w:rPr>
          <w:b/>
          <w:sz w:val="32"/>
        </w:rPr>
      </w:pPr>
    </w:p>
    <w:p>
      <w:pPr>
        <w:pStyle w:val="ListParagraph"/>
        <w:numPr>
          <w:ilvl w:val="0"/>
          <w:numId w:val="1"/>
        </w:numPr>
        <w:tabs>
          <w:tab w:pos="719" w:val="left" w:leader="none"/>
          <w:tab w:pos="720" w:val="left" w:leader="none"/>
        </w:tabs>
        <w:spacing w:line="240" w:lineRule="auto" w:before="0" w:after="0"/>
        <w:ind w:left="719" w:right="0" w:hanging="568"/>
        <w:jc w:val="left"/>
        <w:rPr>
          <w:sz w:val="24"/>
        </w:rPr>
      </w:pPr>
      <w:r>
        <w:rPr>
          <w:sz w:val="24"/>
        </w:rPr>
        <w:t>This is an application in terms of Section 75(1)(b) of the</w:t>
      </w:r>
      <w:r>
        <w:rPr>
          <w:spacing w:val="-4"/>
          <w:sz w:val="24"/>
        </w:rPr>
        <w:t> </w:t>
      </w:r>
      <w:r>
        <w:rPr>
          <w:sz w:val="24"/>
        </w:rPr>
        <w:t>CPA.</w:t>
      </w:r>
    </w:p>
    <w:p>
      <w:pPr>
        <w:pStyle w:val="BodyText"/>
        <w:spacing w:before="11"/>
        <w:rPr>
          <w:sz w:val="32"/>
        </w:rPr>
      </w:pPr>
    </w:p>
    <w:p>
      <w:pPr>
        <w:pStyle w:val="ListParagraph"/>
        <w:numPr>
          <w:ilvl w:val="0"/>
          <w:numId w:val="1"/>
        </w:numPr>
        <w:tabs>
          <w:tab w:pos="719" w:val="left" w:leader="none"/>
          <w:tab w:pos="720" w:val="left" w:leader="none"/>
        </w:tabs>
        <w:spacing w:line="240" w:lineRule="auto" w:before="0" w:after="0"/>
        <w:ind w:left="719" w:right="0" w:hanging="568"/>
        <w:jc w:val="left"/>
        <w:rPr>
          <w:sz w:val="24"/>
        </w:rPr>
      </w:pPr>
      <w:r>
        <w:rPr>
          <w:sz w:val="24"/>
        </w:rPr>
        <w:t>Section 75(1) of the CPA states the following</w:t>
      </w:r>
      <w:r>
        <w:rPr>
          <w:spacing w:val="-5"/>
          <w:sz w:val="24"/>
        </w:rPr>
        <w:t> </w:t>
      </w:r>
      <w:r>
        <w:rPr>
          <w:sz w:val="24"/>
        </w:rPr>
        <w:t>–</w:t>
      </w:r>
    </w:p>
    <w:p>
      <w:pPr>
        <w:spacing w:after="0" w:line="240" w:lineRule="auto"/>
        <w:jc w:val="left"/>
        <w:rPr>
          <w:sz w:val="24"/>
        </w:rPr>
        <w:sectPr>
          <w:type w:val="continuous"/>
          <w:pgSz w:w="11910" w:h="16840"/>
          <w:pgMar w:top="1120" w:bottom="280" w:left="980" w:right="980"/>
        </w:sectPr>
      </w:pPr>
    </w:p>
    <w:p>
      <w:pPr>
        <w:pStyle w:val="BodyText"/>
        <w:spacing w:before="5"/>
        <w:rPr>
          <w:sz w:val="9"/>
        </w:rPr>
      </w:pPr>
    </w:p>
    <w:p>
      <w:pPr>
        <w:spacing w:line="360" w:lineRule="auto" w:before="92"/>
        <w:ind w:left="719" w:right="153" w:firstLine="0"/>
        <w:jc w:val="both"/>
        <w:rPr>
          <w:i/>
          <w:sz w:val="24"/>
        </w:rPr>
      </w:pPr>
      <w:r>
        <w:rPr>
          <w:i/>
          <w:sz w:val="24"/>
        </w:rPr>
        <w:t>“If the Commission issues a notice of non-referral in response to a complaint, other </w:t>
      </w:r>
      <w:r>
        <w:rPr>
          <w:i/>
          <w:sz w:val="24"/>
        </w:rPr>
        <w:t>than on the grounds contemplated in section 116, the complainant concerned may refer the matter directly to –</w:t>
      </w:r>
    </w:p>
    <w:p>
      <w:pPr>
        <w:pStyle w:val="BodyText"/>
        <w:spacing w:before="1"/>
        <w:rPr>
          <w:i/>
          <w:sz w:val="21"/>
        </w:rPr>
      </w:pPr>
    </w:p>
    <w:p>
      <w:pPr>
        <w:pStyle w:val="ListParagraph"/>
        <w:numPr>
          <w:ilvl w:val="1"/>
          <w:numId w:val="1"/>
        </w:numPr>
        <w:tabs>
          <w:tab w:pos="1593" w:val="left" w:leader="none"/>
          <w:tab w:pos="1594" w:val="left" w:leader="none"/>
        </w:tabs>
        <w:spacing w:line="240" w:lineRule="auto" w:before="0" w:after="0"/>
        <w:ind w:left="1593" w:right="0" w:hanging="875"/>
        <w:jc w:val="left"/>
        <w:rPr>
          <w:sz w:val="24"/>
        </w:rPr>
      </w:pPr>
      <w:r>
        <w:rPr>
          <w:i/>
          <w:sz w:val="24"/>
        </w:rPr>
        <w:t>…</w:t>
      </w:r>
      <w:r>
        <w:rPr>
          <w:sz w:val="24"/>
        </w:rPr>
      </w:r>
    </w:p>
    <w:p>
      <w:pPr>
        <w:pStyle w:val="BodyText"/>
        <w:spacing w:before="8"/>
        <w:rPr>
          <w:i/>
          <w:sz w:val="32"/>
        </w:rPr>
      </w:pPr>
    </w:p>
    <w:p>
      <w:pPr>
        <w:pStyle w:val="ListParagraph"/>
        <w:numPr>
          <w:ilvl w:val="1"/>
          <w:numId w:val="1"/>
        </w:numPr>
        <w:tabs>
          <w:tab w:pos="1593" w:val="left" w:leader="none"/>
          <w:tab w:pos="1594" w:val="left" w:leader="none"/>
        </w:tabs>
        <w:spacing w:line="240" w:lineRule="auto" w:before="1" w:after="0"/>
        <w:ind w:left="1593" w:right="0" w:hanging="875"/>
        <w:jc w:val="left"/>
        <w:rPr>
          <w:i/>
          <w:sz w:val="24"/>
        </w:rPr>
      </w:pPr>
      <w:r>
        <w:rPr>
          <w:i/>
          <w:sz w:val="24"/>
        </w:rPr>
        <w:t>the Tribunal, with the leave of the</w:t>
      </w:r>
      <w:r>
        <w:rPr>
          <w:i/>
          <w:spacing w:val="-5"/>
          <w:sz w:val="24"/>
        </w:rPr>
        <w:t> </w:t>
      </w:r>
      <w:r>
        <w:rPr>
          <w:i/>
          <w:sz w:val="24"/>
        </w:rPr>
        <w:t>Tribunal.”</w:t>
      </w:r>
    </w:p>
    <w:p>
      <w:pPr>
        <w:pStyle w:val="BodyText"/>
        <w:spacing w:before="11"/>
        <w:rPr>
          <w:i/>
          <w:sz w:val="32"/>
        </w:rPr>
      </w:pPr>
    </w:p>
    <w:p>
      <w:pPr>
        <w:pStyle w:val="Heading1"/>
        <w:ind w:left="70" w:right="8015"/>
        <w:jc w:val="center"/>
      </w:pPr>
      <w:r>
        <w:rPr/>
        <w:t>JURISDICTION</w:t>
      </w:r>
    </w:p>
    <w:p>
      <w:pPr>
        <w:pStyle w:val="BodyText"/>
        <w:spacing w:before="8"/>
        <w:rPr>
          <w:b/>
          <w:sz w:val="32"/>
        </w:rPr>
      </w:pPr>
    </w:p>
    <w:p>
      <w:pPr>
        <w:pStyle w:val="ListParagraph"/>
        <w:numPr>
          <w:ilvl w:val="0"/>
          <w:numId w:val="1"/>
        </w:numPr>
        <w:tabs>
          <w:tab w:pos="719" w:val="left" w:leader="none"/>
          <w:tab w:pos="720" w:val="left" w:leader="none"/>
        </w:tabs>
        <w:spacing w:line="240" w:lineRule="auto" w:before="1" w:after="0"/>
        <w:ind w:left="719" w:right="0" w:hanging="568"/>
        <w:jc w:val="left"/>
        <w:rPr>
          <w:sz w:val="24"/>
        </w:rPr>
      </w:pPr>
      <w:r>
        <w:rPr>
          <w:sz w:val="24"/>
        </w:rPr>
        <w:t>Section 75(5) of the CPA states</w:t>
      </w:r>
      <w:r>
        <w:rPr>
          <w:spacing w:val="-6"/>
          <w:sz w:val="24"/>
        </w:rPr>
        <w:t> </w:t>
      </w:r>
      <w:r>
        <w:rPr>
          <w:sz w:val="24"/>
        </w:rPr>
        <w:t>that:</w:t>
      </w:r>
    </w:p>
    <w:p>
      <w:pPr>
        <w:pStyle w:val="BodyText"/>
        <w:rPr>
          <w:sz w:val="33"/>
        </w:rPr>
      </w:pPr>
    </w:p>
    <w:p>
      <w:pPr>
        <w:spacing w:line="360" w:lineRule="auto" w:before="0"/>
        <w:ind w:left="719" w:right="151" w:firstLine="0"/>
        <w:jc w:val="both"/>
        <w:rPr>
          <w:i/>
          <w:sz w:val="24"/>
        </w:rPr>
      </w:pPr>
      <w:r>
        <w:rPr>
          <w:i/>
          <w:sz w:val="24"/>
        </w:rPr>
        <w:t>“The Chairperson of the Tribunal may assign any of the following matters arising in </w:t>
      </w:r>
      <w:r>
        <w:rPr>
          <w:i/>
          <w:sz w:val="24"/>
        </w:rPr>
        <w:t>terms of this Act to be heard by a single member of the Tribunal, in accordance with section 31(1)(a) of the National Credit Act:</w:t>
      </w:r>
    </w:p>
    <w:p>
      <w:pPr>
        <w:pStyle w:val="BodyText"/>
        <w:spacing w:before="9"/>
        <w:rPr>
          <w:i/>
          <w:sz w:val="20"/>
        </w:rPr>
      </w:pPr>
    </w:p>
    <w:p>
      <w:pPr>
        <w:spacing w:before="0"/>
        <w:ind w:left="44" w:right="8015" w:firstLine="0"/>
        <w:jc w:val="center"/>
        <w:rPr>
          <w:i/>
          <w:sz w:val="24"/>
        </w:rPr>
      </w:pPr>
      <w:r>
        <w:rPr>
          <w:i/>
          <w:sz w:val="24"/>
        </w:rPr>
        <w:t>(a)…</w:t>
      </w:r>
    </w:p>
    <w:p>
      <w:pPr>
        <w:pStyle w:val="BodyText"/>
        <w:rPr>
          <w:i/>
          <w:sz w:val="33"/>
        </w:rPr>
      </w:pPr>
    </w:p>
    <w:p>
      <w:pPr>
        <w:spacing w:before="0"/>
        <w:ind w:left="719" w:right="0" w:firstLine="0"/>
        <w:jc w:val="left"/>
        <w:rPr>
          <w:sz w:val="24"/>
        </w:rPr>
      </w:pPr>
      <w:r>
        <w:rPr>
          <w:i/>
          <w:sz w:val="24"/>
        </w:rPr>
        <w:t>(b) an application for leave as contemplated in subsection </w:t>
      </w:r>
      <w:r>
        <w:rPr>
          <w:sz w:val="24"/>
        </w:rPr>
        <w:t>(1)(b).”</w:t>
      </w:r>
    </w:p>
    <w:p>
      <w:pPr>
        <w:pStyle w:val="BodyText"/>
        <w:spacing w:before="8"/>
        <w:rPr>
          <w:sz w:val="32"/>
        </w:rPr>
      </w:pPr>
    </w:p>
    <w:p>
      <w:pPr>
        <w:pStyle w:val="ListParagraph"/>
        <w:numPr>
          <w:ilvl w:val="0"/>
          <w:numId w:val="1"/>
        </w:numPr>
        <w:tabs>
          <w:tab w:pos="720" w:val="left" w:leader="none"/>
        </w:tabs>
        <w:spacing w:line="360" w:lineRule="auto" w:before="1" w:after="0"/>
        <w:ind w:left="719" w:right="163" w:hanging="567"/>
        <w:jc w:val="both"/>
        <w:rPr>
          <w:sz w:val="24"/>
        </w:rPr>
      </w:pPr>
      <w:r>
        <w:rPr>
          <w:sz w:val="24"/>
        </w:rPr>
        <w:t>Accordingly, the Tribunal has jurisdiction to hear this application for leave to refer a complaint to the Tribunal as contemplated under section</w:t>
      </w:r>
      <w:r>
        <w:rPr>
          <w:spacing w:val="-5"/>
          <w:sz w:val="24"/>
        </w:rPr>
        <w:t> </w:t>
      </w:r>
      <w:r>
        <w:rPr>
          <w:sz w:val="24"/>
        </w:rPr>
        <w:t>75(1)(b).</w:t>
      </w:r>
    </w:p>
    <w:p>
      <w:pPr>
        <w:pStyle w:val="BodyText"/>
        <w:spacing w:before="10"/>
        <w:rPr>
          <w:sz w:val="20"/>
        </w:rPr>
      </w:pPr>
    </w:p>
    <w:p>
      <w:pPr>
        <w:pStyle w:val="ListParagraph"/>
        <w:numPr>
          <w:ilvl w:val="0"/>
          <w:numId w:val="1"/>
        </w:numPr>
        <w:tabs>
          <w:tab w:pos="715" w:val="left" w:leader="none"/>
        </w:tabs>
        <w:spacing w:line="360" w:lineRule="auto" w:before="0" w:after="0"/>
        <w:ind w:left="714" w:right="156" w:hanging="563"/>
        <w:jc w:val="both"/>
        <w:rPr>
          <w:sz w:val="24"/>
        </w:rPr>
      </w:pPr>
      <w:r>
        <w:rPr>
          <w:sz w:val="24"/>
        </w:rPr>
        <w:t>A single member of the Tribunal may hear the application in accordance with section 75(5)(b) of the</w:t>
      </w:r>
      <w:r>
        <w:rPr>
          <w:spacing w:val="-5"/>
          <w:sz w:val="24"/>
        </w:rPr>
        <w:t> </w:t>
      </w:r>
      <w:r>
        <w:rPr>
          <w:sz w:val="24"/>
        </w:rPr>
        <w:t>CPA.</w:t>
      </w:r>
    </w:p>
    <w:p>
      <w:pPr>
        <w:pStyle w:val="BodyText"/>
        <w:spacing w:before="10"/>
        <w:rPr>
          <w:sz w:val="20"/>
        </w:rPr>
      </w:pPr>
    </w:p>
    <w:p>
      <w:pPr>
        <w:pStyle w:val="Heading1"/>
        <w:ind w:left="134" w:right="8015"/>
        <w:jc w:val="center"/>
      </w:pPr>
      <w:r>
        <w:rPr/>
        <w:t>BACKGROUND</w:t>
      </w:r>
    </w:p>
    <w:p>
      <w:pPr>
        <w:pStyle w:val="BodyText"/>
        <w:spacing w:before="9"/>
        <w:rPr>
          <w:b/>
          <w:sz w:val="32"/>
        </w:rPr>
      </w:pPr>
    </w:p>
    <w:p>
      <w:pPr>
        <w:pStyle w:val="ListParagraph"/>
        <w:numPr>
          <w:ilvl w:val="0"/>
          <w:numId w:val="1"/>
        </w:numPr>
        <w:tabs>
          <w:tab w:pos="720" w:val="left" w:leader="none"/>
        </w:tabs>
        <w:spacing w:line="360" w:lineRule="auto" w:before="0" w:after="0"/>
        <w:ind w:left="719" w:right="149" w:hanging="567"/>
        <w:jc w:val="both"/>
        <w:rPr>
          <w:sz w:val="24"/>
        </w:rPr>
      </w:pPr>
      <w:r>
        <w:rPr>
          <w:sz w:val="24"/>
        </w:rPr>
        <w:t>The complaint is not clearly described and contains no detail as to the sequence of dates and events. It appears Mr Tingle purchased a Mazda 3 (“the vehicle”) from a Mazda dealership on 1 November 2019. He took the vehicle to a Mazda dealership  in Woodmead for its various services and for repairs to be done. Over a period of years, Mr Tingle reported various problems with the vehicle’s suspension and steering. Mazda continued to service and repair the vehicle, but Mr Tingle believes a suspension problem remains. He took a video of the alleged rattle that occurs sometimes, and he took the vehicle to a suspension specialist. The date of the video is unclear but appears to have been taken after 2020. The undated, single sentence letter from the suspension specialist only states that there is a slight knocking noise, but it cannot be determined where it is coming from. Mr Tingle alleges the vehicle has a rattle, is unstable and dangerous. He wants the vehicle replaced with one of</w:t>
      </w:r>
      <w:r>
        <w:rPr>
          <w:spacing w:val="1"/>
          <w:sz w:val="24"/>
        </w:rPr>
        <w:t> </w:t>
      </w:r>
      <w:r>
        <w:rPr>
          <w:sz w:val="24"/>
        </w:rPr>
        <w:t>a</w:t>
      </w:r>
    </w:p>
    <w:p>
      <w:pPr>
        <w:spacing w:after="0" w:line="360" w:lineRule="auto"/>
        <w:jc w:val="both"/>
        <w:rPr>
          <w:sz w:val="24"/>
        </w:rPr>
        <w:sectPr>
          <w:headerReference w:type="default" r:id="rId5"/>
          <w:footerReference w:type="default" r:id="rId6"/>
          <w:pgSz w:w="11910" w:h="16840"/>
          <w:pgMar w:header="283" w:footer="601" w:top="1120" w:bottom="800" w:left="980" w:right="980"/>
          <w:pgNumType w:start="2"/>
        </w:sectPr>
      </w:pPr>
    </w:p>
    <w:p>
      <w:pPr>
        <w:pStyle w:val="BodyText"/>
        <w:spacing w:before="5"/>
        <w:rPr>
          <w:sz w:val="9"/>
        </w:rPr>
      </w:pPr>
    </w:p>
    <w:p>
      <w:pPr>
        <w:pStyle w:val="BodyText"/>
        <w:tabs>
          <w:tab w:pos="3127" w:val="left" w:leader="none"/>
        </w:tabs>
        <w:spacing w:line="362" w:lineRule="auto" w:before="92"/>
        <w:ind w:left="719" w:right="150"/>
      </w:pPr>
      <w:r>
        <w:rPr/>
        <w:t>similar</w:t>
      </w:r>
      <w:r>
        <w:rPr>
          <w:spacing w:val="40"/>
        </w:rPr>
        <w:t> </w:t>
      </w:r>
      <w:r>
        <w:rPr/>
        <w:t>specification.</w:t>
        <w:tab/>
        <w:t>It is unclear whether this means he wants a new vehicle or another vehicle of similar age and</w:t>
      </w:r>
      <w:r>
        <w:rPr>
          <w:spacing w:val="2"/>
        </w:rPr>
        <w:t> </w:t>
      </w:r>
      <w:r>
        <w:rPr/>
        <w:t>kilometres.</w:t>
      </w:r>
    </w:p>
    <w:p>
      <w:pPr>
        <w:pStyle w:val="BodyText"/>
        <w:spacing w:before="5"/>
        <w:rPr>
          <w:sz w:val="20"/>
        </w:rPr>
      </w:pPr>
    </w:p>
    <w:p>
      <w:pPr>
        <w:pStyle w:val="ListParagraph"/>
        <w:numPr>
          <w:ilvl w:val="0"/>
          <w:numId w:val="1"/>
        </w:numPr>
        <w:tabs>
          <w:tab w:pos="720" w:val="left" w:leader="none"/>
        </w:tabs>
        <w:spacing w:line="360" w:lineRule="auto" w:before="0" w:after="0"/>
        <w:ind w:left="719" w:right="148" w:hanging="567"/>
        <w:jc w:val="both"/>
        <w:rPr>
          <w:sz w:val="24"/>
        </w:rPr>
      </w:pPr>
      <w:r>
        <w:rPr>
          <w:sz w:val="24"/>
        </w:rPr>
        <w:t>Mr Tingle lodged a complaint with the Motor Industry Ombudsman of South Africa (MIOSA) on 28 September 2021. MIOSA issued a recommendation on 18 January 2022, stating that it could not recommend that the vehicle be replaced as the six- month period required by the CPA had expired. He lodged a complaint with the National Consumer Commission (NCC) on 7 February 2022. The NCC issued a Notice of Non-referral dated 28 April</w:t>
      </w:r>
      <w:r>
        <w:rPr>
          <w:spacing w:val="-3"/>
          <w:sz w:val="24"/>
        </w:rPr>
        <w:t> </w:t>
      </w:r>
      <w:r>
        <w:rPr>
          <w:sz w:val="24"/>
        </w:rPr>
        <w:t>2022.</w:t>
      </w:r>
    </w:p>
    <w:p>
      <w:pPr>
        <w:pStyle w:val="BodyText"/>
        <w:spacing w:before="11"/>
        <w:rPr>
          <w:sz w:val="20"/>
        </w:rPr>
      </w:pPr>
    </w:p>
    <w:p>
      <w:pPr>
        <w:pStyle w:val="ListParagraph"/>
        <w:numPr>
          <w:ilvl w:val="0"/>
          <w:numId w:val="1"/>
        </w:numPr>
        <w:tabs>
          <w:tab w:pos="720" w:val="left" w:leader="none"/>
        </w:tabs>
        <w:spacing w:line="362" w:lineRule="auto" w:before="0" w:after="0"/>
        <w:ind w:left="719" w:right="150" w:hanging="567"/>
        <w:jc w:val="both"/>
        <w:rPr>
          <w:sz w:val="24"/>
        </w:rPr>
      </w:pPr>
      <w:r>
        <w:rPr>
          <w:sz w:val="24"/>
        </w:rPr>
        <w:t>Mr Tingle lodged an application for leave in terms of section 75(1)b) of the CPA with the Tribunal on 17 May 2022.</w:t>
      </w:r>
    </w:p>
    <w:p>
      <w:pPr>
        <w:pStyle w:val="BodyText"/>
        <w:spacing w:before="5"/>
        <w:rPr>
          <w:sz w:val="20"/>
        </w:rPr>
      </w:pPr>
    </w:p>
    <w:p>
      <w:pPr>
        <w:pStyle w:val="ListParagraph"/>
        <w:numPr>
          <w:ilvl w:val="0"/>
          <w:numId w:val="1"/>
        </w:numPr>
        <w:tabs>
          <w:tab w:pos="720" w:val="left" w:leader="none"/>
        </w:tabs>
        <w:spacing w:line="360" w:lineRule="auto" w:before="0" w:after="0"/>
        <w:ind w:left="719" w:right="149" w:hanging="567"/>
        <w:jc w:val="both"/>
        <w:rPr>
          <w:sz w:val="24"/>
        </w:rPr>
      </w:pPr>
      <w:r>
        <w:rPr>
          <w:sz w:val="24"/>
        </w:rPr>
        <w:t>Mazda filed an answering affidavit opposing the application. Mazda submits that the dealership repaired all the faults reported over the years. The current problem alleged by Mr Tingle was never reported to Mazda. The dealership did various test drives with the vehicle, and no problems were reported. Mr Tingle is unable </w:t>
      </w:r>
      <w:r>
        <w:rPr>
          <w:spacing w:val="-3"/>
          <w:sz w:val="24"/>
        </w:rPr>
        <w:t>to </w:t>
      </w:r>
      <w:r>
        <w:rPr>
          <w:sz w:val="24"/>
        </w:rPr>
        <w:t>demonstrate or replicate the defect he alleges. The 15 000 km service was done on 18 December 2019, and Mr Tingle reported no problems. The 30 000 km service  was done on 21 October 2020. The brake discs were skimmed to cure a brake shudder. On 30 November 2020, the brake discs and pads were replaced. The first time Mr Tingle reported a noise while driving was in June 2021. The front wheel bearing was replaced. The vehicle had covered 47 115 km by 23 August</w:t>
      </w:r>
      <w:r>
        <w:rPr>
          <w:spacing w:val="-17"/>
          <w:sz w:val="24"/>
        </w:rPr>
        <w:t> </w:t>
      </w:r>
      <w:r>
        <w:rPr>
          <w:sz w:val="24"/>
        </w:rPr>
        <w:t>2021.</w:t>
      </w:r>
    </w:p>
    <w:p>
      <w:pPr>
        <w:pStyle w:val="BodyText"/>
        <w:spacing w:before="10"/>
        <w:rPr>
          <w:sz w:val="20"/>
        </w:rPr>
      </w:pPr>
    </w:p>
    <w:p>
      <w:pPr>
        <w:pStyle w:val="ListParagraph"/>
        <w:numPr>
          <w:ilvl w:val="0"/>
          <w:numId w:val="1"/>
        </w:numPr>
        <w:tabs>
          <w:tab w:pos="720" w:val="left" w:leader="none"/>
        </w:tabs>
        <w:spacing w:line="360" w:lineRule="auto" w:before="1" w:after="0"/>
        <w:ind w:left="719" w:right="152" w:hanging="567"/>
        <w:jc w:val="both"/>
        <w:rPr>
          <w:sz w:val="24"/>
        </w:rPr>
      </w:pPr>
      <w:r>
        <w:rPr>
          <w:sz w:val="24"/>
        </w:rPr>
        <w:t>Mr Tingle filed a replying affidavit. In summary, he restated that the vehicle has a problem with its suspension.</w:t>
      </w:r>
    </w:p>
    <w:p>
      <w:pPr>
        <w:pStyle w:val="BodyText"/>
        <w:spacing w:before="10"/>
        <w:rPr>
          <w:sz w:val="20"/>
        </w:rPr>
      </w:pPr>
    </w:p>
    <w:p>
      <w:pPr>
        <w:pStyle w:val="Heading1"/>
      </w:pPr>
      <w:r>
        <w:rPr/>
        <w:t>APPLICATION FOR LEAVE</w:t>
      </w:r>
    </w:p>
    <w:p>
      <w:pPr>
        <w:pStyle w:val="BodyText"/>
        <w:spacing w:before="8"/>
        <w:rPr>
          <w:b/>
          <w:sz w:val="32"/>
        </w:rPr>
      </w:pPr>
    </w:p>
    <w:p>
      <w:pPr>
        <w:pStyle w:val="ListParagraph"/>
        <w:numPr>
          <w:ilvl w:val="0"/>
          <w:numId w:val="1"/>
        </w:numPr>
        <w:tabs>
          <w:tab w:pos="720" w:val="left" w:leader="none"/>
        </w:tabs>
        <w:spacing w:line="360" w:lineRule="auto" w:before="1" w:after="0"/>
        <w:ind w:left="719" w:right="155" w:hanging="567"/>
        <w:jc w:val="both"/>
        <w:rPr>
          <w:i/>
          <w:sz w:val="24"/>
        </w:rPr>
      </w:pPr>
      <w:r>
        <w:rPr>
          <w:sz w:val="24"/>
        </w:rPr>
        <w:t>In terms of section 75(1) of the CPA, the Applicant may only refer the matter directly to the Tribunal </w:t>
      </w:r>
      <w:r>
        <w:rPr>
          <w:i/>
          <w:sz w:val="24"/>
        </w:rPr>
        <w:t>with leave of the</w:t>
      </w:r>
      <w:r>
        <w:rPr>
          <w:i/>
          <w:spacing w:val="-3"/>
          <w:sz w:val="24"/>
        </w:rPr>
        <w:t> </w:t>
      </w:r>
      <w:r>
        <w:rPr>
          <w:i/>
          <w:sz w:val="24"/>
        </w:rPr>
        <w:t>Tribunal.</w:t>
      </w:r>
    </w:p>
    <w:p>
      <w:pPr>
        <w:pStyle w:val="BodyText"/>
        <w:spacing w:before="10"/>
        <w:rPr>
          <w:i/>
          <w:sz w:val="20"/>
        </w:rPr>
      </w:pPr>
    </w:p>
    <w:p>
      <w:pPr>
        <w:pStyle w:val="ListParagraph"/>
        <w:numPr>
          <w:ilvl w:val="0"/>
          <w:numId w:val="1"/>
        </w:numPr>
        <w:tabs>
          <w:tab w:pos="720" w:val="left" w:leader="none"/>
        </w:tabs>
        <w:spacing w:line="360" w:lineRule="auto" w:before="0" w:after="0"/>
        <w:ind w:left="719" w:right="150" w:hanging="567"/>
        <w:jc w:val="both"/>
        <w:rPr>
          <w:sz w:val="24"/>
        </w:rPr>
      </w:pPr>
      <w:r>
        <w:rPr>
          <w:sz w:val="24"/>
        </w:rPr>
        <w:t>Previously, the Tribunal held formal hearings on leave to refer, and all the parties would be present. In the matter of </w:t>
      </w:r>
      <w:r>
        <w:rPr>
          <w:i/>
          <w:sz w:val="24"/>
        </w:rPr>
        <w:t>Lewis Stores (Pty) Ltd v Summit Financial  </w:t>
      </w:r>
      <w:r>
        <w:rPr>
          <w:i/>
          <w:sz w:val="24"/>
        </w:rPr>
        <w:t>Partners (Pty) Ltd and Others </w:t>
      </w:r>
      <w:r>
        <w:rPr>
          <w:sz w:val="24"/>
        </w:rPr>
        <w:t>(Case no 314/2020)</w:t>
      </w:r>
      <w:r>
        <w:rPr>
          <w:color w:val="0000FF"/>
          <w:sz w:val="24"/>
        </w:rPr>
        <w:t> </w:t>
      </w:r>
      <w:hyperlink r:id="rId7">
        <w:r>
          <w:rPr>
            <w:color w:val="0000FF"/>
            <w:sz w:val="24"/>
            <w:u w:val="single" w:color="0000FF"/>
          </w:rPr>
          <w:t>[2021] ZASCA 91</w:t>
        </w:r>
        <w:r>
          <w:rPr>
            <w:color w:val="0000FF"/>
            <w:sz w:val="24"/>
          </w:rPr>
          <w:t> </w:t>
        </w:r>
      </w:hyperlink>
      <w:r>
        <w:rPr>
          <w:sz w:val="24"/>
        </w:rPr>
        <w:t>(25 June 2021) </w:t>
      </w:r>
      <w:r>
        <w:rPr>
          <w:i/>
          <w:sz w:val="24"/>
        </w:rPr>
        <w:t>SAFLII, </w:t>
      </w:r>
      <w:r>
        <w:rPr>
          <w:sz w:val="24"/>
        </w:rPr>
        <w:t>the court provided useful guidance to the Tribunal in decisions regarding leave</w:t>
      </w:r>
      <w:r>
        <w:rPr>
          <w:spacing w:val="6"/>
          <w:sz w:val="24"/>
        </w:rPr>
        <w:t> </w:t>
      </w:r>
      <w:r>
        <w:rPr>
          <w:sz w:val="24"/>
        </w:rPr>
        <w:t>to</w:t>
      </w:r>
      <w:r>
        <w:rPr>
          <w:spacing w:val="9"/>
          <w:sz w:val="24"/>
        </w:rPr>
        <w:t> </w:t>
      </w:r>
      <w:r>
        <w:rPr>
          <w:sz w:val="24"/>
        </w:rPr>
        <w:t>refer.</w:t>
      </w:r>
      <w:r>
        <w:rPr>
          <w:spacing w:val="14"/>
          <w:sz w:val="24"/>
        </w:rPr>
        <w:t> </w:t>
      </w:r>
      <w:r>
        <w:rPr>
          <w:sz w:val="24"/>
        </w:rPr>
        <w:t>It</w:t>
      </w:r>
      <w:r>
        <w:rPr>
          <w:spacing w:val="7"/>
          <w:sz w:val="24"/>
        </w:rPr>
        <w:t> </w:t>
      </w:r>
      <w:r>
        <w:rPr>
          <w:sz w:val="24"/>
        </w:rPr>
        <w:t>held</w:t>
      </w:r>
      <w:r>
        <w:rPr>
          <w:spacing w:val="5"/>
          <w:sz w:val="24"/>
        </w:rPr>
        <w:t> </w:t>
      </w:r>
      <w:r>
        <w:rPr>
          <w:sz w:val="24"/>
        </w:rPr>
        <w:t>that</w:t>
      </w:r>
      <w:r>
        <w:rPr>
          <w:spacing w:val="6"/>
          <w:sz w:val="24"/>
        </w:rPr>
        <w:t> </w:t>
      </w:r>
      <w:r>
        <w:rPr>
          <w:sz w:val="24"/>
        </w:rPr>
        <w:t>a</w:t>
      </w:r>
      <w:r>
        <w:rPr>
          <w:spacing w:val="8"/>
          <w:sz w:val="24"/>
        </w:rPr>
        <w:t> </w:t>
      </w:r>
      <w:r>
        <w:rPr>
          <w:sz w:val="24"/>
        </w:rPr>
        <w:t>formal</w:t>
      </w:r>
      <w:r>
        <w:rPr>
          <w:spacing w:val="11"/>
          <w:sz w:val="24"/>
        </w:rPr>
        <w:t> </w:t>
      </w:r>
      <w:r>
        <w:rPr>
          <w:sz w:val="24"/>
        </w:rPr>
        <w:t>hearing</w:t>
      </w:r>
      <w:r>
        <w:rPr>
          <w:spacing w:val="6"/>
          <w:sz w:val="24"/>
        </w:rPr>
        <w:t> </w:t>
      </w:r>
      <w:r>
        <w:rPr>
          <w:sz w:val="24"/>
        </w:rPr>
        <w:t>on</w:t>
      </w:r>
      <w:r>
        <w:rPr>
          <w:spacing w:val="9"/>
          <w:sz w:val="24"/>
        </w:rPr>
        <w:t> </w:t>
      </w:r>
      <w:r>
        <w:rPr>
          <w:sz w:val="24"/>
        </w:rPr>
        <w:t>leave</w:t>
      </w:r>
      <w:r>
        <w:rPr>
          <w:spacing w:val="8"/>
          <w:sz w:val="24"/>
        </w:rPr>
        <w:t> </w:t>
      </w:r>
      <w:r>
        <w:rPr>
          <w:sz w:val="24"/>
        </w:rPr>
        <w:t>to</w:t>
      </w:r>
      <w:r>
        <w:rPr>
          <w:spacing w:val="9"/>
          <w:sz w:val="24"/>
        </w:rPr>
        <w:t> </w:t>
      </w:r>
      <w:r>
        <w:rPr>
          <w:sz w:val="24"/>
        </w:rPr>
        <w:t>refer</w:t>
      </w:r>
      <w:r>
        <w:rPr>
          <w:spacing w:val="7"/>
          <w:sz w:val="24"/>
        </w:rPr>
        <w:t> </w:t>
      </w:r>
      <w:r>
        <w:rPr>
          <w:sz w:val="24"/>
        </w:rPr>
        <w:t>was</w:t>
      </w:r>
      <w:r>
        <w:rPr>
          <w:spacing w:val="6"/>
          <w:sz w:val="24"/>
        </w:rPr>
        <w:t> </w:t>
      </w:r>
      <w:r>
        <w:rPr>
          <w:sz w:val="24"/>
        </w:rPr>
        <w:t>unnecessary,</w:t>
      </w:r>
      <w:r>
        <w:rPr>
          <w:spacing w:val="7"/>
          <w:sz w:val="24"/>
        </w:rPr>
        <w:t> </w:t>
      </w:r>
      <w:r>
        <w:rPr>
          <w:sz w:val="24"/>
        </w:rPr>
        <w:t>there</w:t>
      </w:r>
    </w:p>
    <w:p>
      <w:pPr>
        <w:spacing w:after="0" w:line="360" w:lineRule="auto"/>
        <w:jc w:val="both"/>
        <w:rPr>
          <w:sz w:val="24"/>
        </w:rPr>
        <w:sectPr>
          <w:pgSz w:w="11910" w:h="16840"/>
          <w:pgMar w:header="283" w:footer="601" w:top="1120" w:bottom="820" w:left="980" w:right="980"/>
        </w:sectPr>
      </w:pPr>
    </w:p>
    <w:p>
      <w:pPr>
        <w:pStyle w:val="BodyText"/>
        <w:spacing w:before="5"/>
        <w:rPr>
          <w:sz w:val="9"/>
        </w:rPr>
      </w:pPr>
    </w:p>
    <w:p>
      <w:pPr>
        <w:pStyle w:val="BodyText"/>
        <w:spacing w:line="362" w:lineRule="auto" w:before="92"/>
        <w:ind w:left="719" w:right="161"/>
        <w:jc w:val="both"/>
      </w:pPr>
      <w:r>
        <w:rPr/>
        <w:t>was no test to be applied and the decision to consider leave could not be appealed. The court held –</w:t>
      </w:r>
    </w:p>
    <w:p>
      <w:pPr>
        <w:pStyle w:val="BodyText"/>
        <w:spacing w:before="5"/>
        <w:rPr>
          <w:sz w:val="20"/>
        </w:rPr>
      </w:pPr>
    </w:p>
    <w:p>
      <w:pPr>
        <w:spacing w:line="360" w:lineRule="auto" w:before="0"/>
        <w:ind w:left="719" w:right="148" w:firstLine="0"/>
        <w:jc w:val="both"/>
        <w:rPr>
          <w:i/>
          <w:sz w:val="24"/>
        </w:rPr>
      </w:pPr>
      <w:r>
        <w:rPr>
          <w:i/>
          <w:sz w:val="24"/>
        </w:rPr>
        <w:t>“[15] As I have explained, the NCA provides for an expeditious, informal and </w:t>
      </w:r>
      <w:r>
        <w:rPr>
          <w:i/>
          <w:spacing w:val="2"/>
          <w:sz w:val="24"/>
        </w:rPr>
        <w:t>cost- </w:t>
      </w:r>
      <w:r>
        <w:rPr>
          <w:i/>
          <w:sz w:val="24"/>
        </w:rPr>
        <w:t>effective complaints procedure. Section 141(1)(b) confers on the Tribunal a wide, largely unfettered discretion to permit a direct referral. The NCA does not require a formal application to be made and it is not necessary for purposes of the present appeal, nor is it desirable, to circumscribe the factors to which the Tribunal should have regard. There is no test to be applied in deciding whether or not to grant a  direct referral to it in respect of a complaint. The purpose of the provision is simply  for the Tribunal to consider the complaint afresh, with the benefit of any findings by the Regulator, and to decide whether it deserves its attention. Circumstances which may influence its decision may include the prospects of success, the importance of the issue, the public interest to have a decision on the matter, the allocation of resources, the complainant’s interest in the relief sought and the fact that the Regulator did not consider that it merited a hearing before the Tribunal. The list  is not intended to be</w:t>
      </w:r>
      <w:r>
        <w:rPr>
          <w:i/>
          <w:spacing w:val="-7"/>
          <w:sz w:val="24"/>
        </w:rPr>
        <w:t> </w:t>
      </w:r>
      <w:r>
        <w:rPr>
          <w:i/>
          <w:sz w:val="24"/>
        </w:rPr>
        <w:t>exhaustive.”</w:t>
      </w:r>
    </w:p>
    <w:p>
      <w:pPr>
        <w:pStyle w:val="BodyText"/>
        <w:rPr>
          <w:i/>
          <w:sz w:val="21"/>
        </w:rPr>
      </w:pPr>
    </w:p>
    <w:p>
      <w:pPr>
        <w:pStyle w:val="ListParagraph"/>
        <w:numPr>
          <w:ilvl w:val="0"/>
          <w:numId w:val="1"/>
        </w:numPr>
        <w:tabs>
          <w:tab w:pos="719" w:val="left" w:leader="none"/>
          <w:tab w:pos="720" w:val="left" w:leader="none"/>
        </w:tabs>
        <w:spacing w:line="360" w:lineRule="auto" w:before="0" w:after="0"/>
        <w:ind w:left="719" w:right="159" w:hanging="567"/>
        <w:jc w:val="left"/>
        <w:rPr>
          <w:sz w:val="24"/>
        </w:rPr>
      </w:pPr>
      <w:r>
        <w:rPr>
          <w:sz w:val="24"/>
        </w:rPr>
        <w:t>As no test is applied, the Tribunal will consider the matter in the general context of the circumstances as submitted by the</w:t>
      </w:r>
      <w:r>
        <w:rPr>
          <w:spacing w:val="-7"/>
          <w:sz w:val="24"/>
        </w:rPr>
        <w:t> </w:t>
      </w:r>
      <w:r>
        <w:rPr>
          <w:sz w:val="24"/>
        </w:rPr>
        <w:t>parties.</w:t>
      </w:r>
    </w:p>
    <w:p>
      <w:pPr>
        <w:pStyle w:val="BodyText"/>
        <w:spacing w:before="10"/>
        <w:rPr>
          <w:sz w:val="20"/>
        </w:rPr>
      </w:pPr>
    </w:p>
    <w:p>
      <w:pPr>
        <w:pStyle w:val="Heading1"/>
        <w:spacing w:before="1"/>
      </w:pPr>
      <w:r>
        <w:rPr/>
        <w:t>PROVISIONS OF THE CPA</w:t>
      </w:r>
    </w:p>
    <w:p>
      <w:pPr>
        <w:pStyle w:val="BodyText"/>
        <w:spacing w:before="8"/>
        <w:rPr>
          <w:b/>
          <w:sz w:val="32"/>
        </w:rPr>
      </w:pPr>
    </w:p>
    <w:p>
      <w:pPr>
        <w:pStyle w:val="ListParagraph"/>
        <w:numPr>
          <w:ilvl w:val="0"/>
          <w:numId w:val="1"/>
        </w:numPr>
        <w:tabs>
          <w:tab w:pos="719" w:val="left" w:leader="none"/>
          <w:tab w:pos="720" w:val="left" w:leader="none"/>
        </w:tabs>
        <w:spacing w:line="240" w:lineRule="auto" w:before="0" w:after="0"/>
        <w:ind w:left="719" w:right="0" w:hanging="568"/>
        <w:jc w:val="left"/>
        <w:rPr>
          <w:color w:val="1B1818"/>
          <w:sz w:val="24"/>
        </w:rPr>
      </w:pPr>
      <w:r>
        <w:rPr>
          <w:color w:val="1B1818"/>
          <w:sz w:val="24"/>
        </w:rPr>
        <w:t>Section 54 of the CPA states</w:t>
      </w:r>
      <w:r>
        <w:rPr>
          <w:color w:val="1B1818"/>
          <w:spacing w:val="-9"/>
          <w:sz w:val="24"/>
        </w:rPr>
        <w:t> </w:t>
      </w:r>
      <w:r>
        <w:rPr>
          <w:color w:val="1B1818"/>
          <w:sz w:val="24"/>
        </w:rPr>
        <w:t>–</w:t>
      </w:r>
    </w:p>
    <w:p>
      <w:pPr>
        <w:pStyle w:val="BodyText"/>
        <w:rPr>
          <w:sz w:val="26"/>
        </w:rPr>
      </w:pPr>
    </w:p>
    <w:p>
      <w:pPr>
        <w:pStyle w:val="BodyText"/>
        <w:rPr>
          <w:sz w:val="22"/>
        </w:rPr>
      </w:pPr>
    </w:p>
    <w:p>
      <w:pPr>
        <w:spacing w:before="0"/>
        <w:ind w:left="719" w:right="0" w:firstLine="0"/>
        <w:jc w:val="both"/>
        <w:rPr>
          <w:i/>
          <w:sz w:val="24"/>
        </w:rPr>
      </w:pPr>
      <w:r>
        <w:rPr>
          <w:i/>
          <w:color w:val="1B1818"/>
          <w:sz w:val="24"/>
        </w:rPr>
        <w:t>“Consumer’s rights to demand quality service</w:t>
      </w:r>
    </w:p>
    <w:p>
      <w:pPr>
        <w:pStyle w:val="BodyText"/>
        <w:spacing w:before="7"/>
        <w:rPr>
          <w:i/>
          <w:sz w:val="22"/>
        </w:rPr>
      </w:pPr>
    </w:p>
    <w:p>
      <w:pPr>
        <w:pStyle w:val="ListParagraph"/>
        <w:numPr>
          <w:ilvl w:val="0"/>
          <w:numId w:val="2"/>
        </w:numPr>
        <w:tabs>
          <w:tab w:pos="1133" w:val="left" w:leader="none"/>
        </w:tabs>
        <w:spacing w:line="360" w:lineRule="auto" w:before="0" w:after="0"/>
        <w:ind w:left="719" w:right="445" w:firstLine="0"/>
        <w:jc w:val="both"/>
        <w:rPr>
          <w:i/>
          <w:sz w:val="24"/>
        </w:rPr>
      </w:pPr>
      <w:r>
        <w:rPr>
          <w:i/>
          <w:color w:val="1B1818"/>
          <w:sz w:val="24"/>
        </w:rPr>
        <w:t>When a supplier undertakes to perform any services for or on behalf of a </w:t>
      </w:r>
      <w:r>
        <w:rPr>
          <w:i/>
          <w:color w:val="1B1818"/>
          <w:sz w:val="24"/>
        </w:rPr>
        <w:t>consumer, the consumer has a right</w:t>
      </w:r>
      <w:r>
        <w:rPr>
          <w:i/>
          <w:color w:val="1B1818"/>
          <w:spacing w:val="-9"/>
          <w:sz w:val="24"/>
        </w:rPr>
        <w:t> </w:t>
      </w:r>
      <w:r>
        <w:rPr>
          <w:i/>
          <w:color w:val="1B1818"/>
          <w:sz w:val="24"/>
        </w:rPr>
        <w:t>to—</w:t>
      </w:r>
    </w:p>
    <w:p>
      <w:pPr>
        <w:pStyle w:val="ListParagraph"/>
        <w:numPr>
          <w:ilvl w:val="1"/>
          <w:numId w:val="2"/>
        </w:numPr>
        <w:tabs>
          <w:tab w:pos="1709" w:val="left" w:leader="none"/>
        </w:tabs>
        <w:spacing w:line="360" w:lineRule="auto" w:before="120" w:after="0"/>
        <w:ind w:left="1286" w:right="441" w:firstLine="0"/>
        <w:jc w:val="both"/>
        <w:rPr>
          <w:i/>
          <w:sz w:val="24"/>
        </w:rPr>
      </w:pPr>
      <w:r>
        <w:rPr>
          <w:i/>
          <w:color w:val="1B1818"/>
          <w:sz w:val="24"/>
        </w:rPr>
        <w:t>the timely performance and completion of those services, and timely </w:t>
      </w:r>
      <w:r>
        <w:rPr>
          <w:i/>
          <w:color w:val="1B1818"/>
          <w:sz w:val="24"/>
        </w:rPr>
        <w:t>notice of any unavoidable delay in the performance of the</w:t>
      </w:r>
      <w:r>
        <w:rPr>
          <w:i/>
          <w:color w:val="1B1818"/>
          <w:spacing w:val="-15"/>
          <w:sz w:val="24"/>
        </w:rPr>
        <w:t> </w:t>
      </w:r>
      <w:r>
        <w:rPr>
          <w:i/>
          <w:color w:val="1B1818"/>
          <w:sz w:val="24"/>
        </w:rPr>
        <w:t>services;</w:t>
      </w:r>
    </w:p>
    <w:p>
      <w:pPr>
        <w:pStyle w:val="ListParagraph"/>
        <w:numPr>
          <w:ilvl w:val="1"/>
          <w:numId w:val="2"/>
        </w:numPr>
        <w:tabs>
          <w:tab w:pos="1656" w:val="left" w:leader="none"/>
        </w:tabs>
        <w:spacing w:line="360" w:lineRule="auto" w:before="0" w:after="0"/>
        <w:ind w:left="1286" w:right="442" w:firstLine="0"/>
        <w:jc w:val="both"/>
        <w:rPr>
          <w:i/>
          <w:sz w:val="24"/>
        </w:rPr>
      </w:pPr>
      <w:r>
        <w:rPr>
          <w:i/>
          <w:color w:val="1B1818"/>
          <w:sz w:val="24"/>
        </w:rPr>
        <w:t>the performance of the services in a manner and quality that persons are </w:t>
      </w:r>
      <w:r>
        <w:rPr>
          <w:i/>
          <w:color w:val="1B1818"/>
          <w:sz w:val="24"/>
        </w:rPr>
        <w:t>generally entitled to</w:t>
      </w:r>
      <w:r>
        <w:rPr>
          <w:i/>
          <w:color w:val="1B1818"/>
          <w:spacing w:val="-1"/>
          <w:sz w:val="24"/>
        </w:rPr>
        <w:t> </w:t>
      </w:r>
      <w:r>
        <w:rPr>
          <w:i/>
          <w:color w:val="1B1818"/>
          <w:sz w:val="24"/>
        </w:rPr>
        <w:t>expect;</w:t>
      </w:r>
    </w:p>
    <w:p>
      <w:pPr>
        <w:pStyle w:val="ListParagraph"/>
        <w:numPr>
          <w:ilvl w:val="1"/>
          <w:numId w:val="2"/>
        </w:numPr>
        <w:tabs>
          <w:tab w:pos="1649" w:val="left" w:leader="none"/>
        </w:tabs>
        <w:spacing w:line="360" w:lineRule="auto" w:before="1" w:after="0"/>
        <w:ind w:left="1286" w:right="444" w:firstLine="0"/>
        <w:jc w:val="both"/>
        <w:rPr>
          <w:i/>
          <w:sz w:val="24"/>
        </w:rPr>
      </w:pPr>
      <w:r>
        <w:rPr>
          <w:i/>
          <w:color w:val="1B1818"/>
          <w:sz w:val="24"/>
        </w:rPr>
        <w:t>the use, delivery or installation of goods that are free of defects and of a </w:t>
      </w:r>
      <w:r>
        <w:rPr>
          <w:i/>
          <w:color w:val="1B1818"/>
          <w:sz w:val="24"/>
        </w:rPr>
        <w:t>quality that persons are generally entitled to expect, if any such goods are required for performance of the services;</w:t>
      </w:r>
      <w:r>
        <w:rPr>
          <w:i/>
          <w:color w:val="1B1818"/>
          <w:spacing w:val="-9"/>
          <w:sz w:val="24"/>
        </w:rPr>
        <w:t> </w:t>
      </w:r>
      <w:r>
        <w:rPr>
          <w:i/>
          <w:color w:val="1B1818"/>
          <w:sz w:val="24"/>
        </w:rPr>
        <w:t>and</w:t>
      </w:r>
    </w:p>
    <w:p>
      <w:pPr>
        <w:spacing w:after="0" w:line="360" w:lineRule="auto"/>
        <w:jc w:val="both"/>
        <w:rPr>
          <w:sz w:val="24"/>
        </w:rPr>
        <w:sectPr>
          <w:pgSz w:w="11910" w:h="16840"/>
          <w:pgMar w:header="283" w:footer="601" w:top="1120" w:bottom="820" w:left="980" w:right="980"/>
        </w:sectPr>
      </w:pPr>
    </w:p>
    <w:p>
      <w:pPr>
        <w:pStyle w:val="BodyText"/>
        <w:spacing w:before="5"/>
        <w:rPr>
          <w:i/>
          <w:sz w:val="9"/>
        </w:rPr>
      </w:pPr>
    </w:p>
    <w:p>
      <w:pPr>
        <w:pStyle w:val="ListParagraph"/>
        <w:numPr>
          <w:ilvl w:val="1"/>
          <w:numId w:val="2"/>
        </w:numPr>
        <w:tabs>
          <w:tab w:pos="1656" w:val="left" w:leader="none"/>
        </w:tabs>
        <w:spacing w:line="360" w:lineRule="auto" w:before="92" w:after="0"/>
        <w:ind w:left="1286" w:right="435" w:firstLine="0"/>
        <w:jc w:val="both"/>
        <w:rPr>
          <w:i/>
          <w:sz w:val="24"/>
        </w:rPr>
      </w:pPr>
      <w:r>
        <w:rPr>
          <w:i/>
          <w:color w:val="1B1818"/>
          <w:sz w:val="24"/>
        </w:rPr>
        <w:t>the return of any property or control over any property of the consumer in </w:t>
      </w:r>
      <w:r>
        <w:rPr>
          <w:i/>
          <w:color w:val="1B1818"/>
          <w:sz w:val="24"/>
        </w:rPr>
        <w:t>at least as good a condition as it was when the consumer made it available to the supplier for the purpose of performing such services, having regard to the circumstances of the supply, and any specific criteria or conditions agreed between the supplier and the consumer before or during the performance of the</w:t>
      </w:r>
      <w:r>
        <w:rPr>
          <w:i/>
          <w:color w:val="1B1818"/>
          <w:spacing w:val="-1"/>
          <w:sz w:val="24"/>
        </w:rPr>
        <w:t> </w:t>
      </w:r>
      <w:r>
        <w:rPr>
          <w:i/>
          <w:color w:val="1B1818"/>
          <w:sz w:val="24"/>
        </w:rPr>
        <w:t>services.</w:t>
      </w:r>
    </w:p>
    <w:p>
      <w:pPr>
        <w:pStyle w:val="BodyText"/>
        <w:spacing w:before="2"/>
        <w:rPr>
          <w:i/>
          <w:sz w:val="36"/>
        </w:rPr>
      </w:pPr>
    </w:p>
    <w:p>
      <w:pPr>
        <w:pStyle w:val="ListParagraph"/>
        <w:numPr>
          <w:ilvl w:val="0"/>
          <w:numId w:val="2"/>
        </w:numPr>
        <w:tabs>
          <w:tab w:pos="1296" w:val="left" w:leader="none"/>
        </w:tabs>
        <w:spacing w:line="360" w:lineRule="auto" w:before="0" w:after="0"/>
        <w:ind w:left="873" w:right="434" w:firstLine="0"/>
        <w:jc w:val="both"/>
        <w:rPr>
          <w:i/>
          <w:sz w:val="24"/>
        </w:rPr>
      </w:pPr>
      <w:r>
        <w:rPr>
          <w:i/>
          <w:color w:val="1B1818"/>
          <w:sz w:val="24"/>
        </w:rPr>
        <w:t>If a supplier fails to perform a service to the standards contemplated in </w:t>
      </w:r>
      <w:r>
        <w:rPr>
          <w:i/>
          <w:color w:val="1B1818"/>
          <w:sz w:val="24"/>
        </w:rPr>
        <w:t>subsection (1), the consumer may require the supplier to</w:t>
      </w:r>
      <w:r>
        <w:rPr>
          <w:i/>
          <w:color w:val="1B1818"/>
          <w:spacing w:val="-11"/>
          <w:sz w:val="24"/>
        </w:rPr>
        <w:t> </w:t>
      </w:r>
      <w:r>
        <w:rPr>
          <w:i/>
          <w:color w:val="1B1818"/>
          <w:sz w:val="24"/>
        </w:rPr>
        <w:t>either—</w:t>
      </w:r>
    </w:p>
    <w:p>
      <w:pPr>
        <w:pStyle w:val="ListParagraph"/>
        <w:numPr>
          <w:ilvl w:val="1"/>
          <w:numId w:val="2"/>
        </w:numPr>
        <w:tabs>
          <w:tab w:pos="1704" w:val="left" w:leader="none"/>
        </w:tabs>
        <w:spacing w:line="360" w:lineRule="auto" w:before="0" w:after="0"/>
        <w:ind w:left="1286" w:right="441" w:firstLine="0"/>
        <w:jc w:val="both"/>
        <w:rPr>
          <w:i/>
          <w:sz w:val="24"/>
        </w:rPr>
      </w:pPr>
      <w:r>
        <w:rPr>
          <w:i/>
          <w:color w:val="1B1818"/>
          <w:sz w:val="24"/>
        </w:rPr>
        <w:t>remedy any defect in the quality of the services performed or goods </w:t>
      </w:r>
      <w:r>
        <w:rPr>
          <w:i/>
          <w:color w:val="1B1818"/>
          <w:sz w:val="24"/>
        </w:rPr>
        <w:t>supplied;</w:t>
      </w:r>
      <w:r>
        <w:rPr>
          <w:i/>
          <w:color w:val="1B1818"/>
          <w:spacing w:val="-1"/>
          <w:sz w:val="24"/>
        </w:rPr>
        <w:t> </w:t>
      </w:r>
      <w:r>
        <w:rPr>
          <w:i/>
          <w:color w:val="1B1818"/>
          <w:sz w:val="24"/>
        </w:rPr>
        <w:t>or</w:t>
      </w:r>
    </w:p>
    <w:p>
      <w:pPr>
        <w:pStyle w:val="ListParagraph"/>
        <w:numPr>
          <w:ilvl w:val="1"/>
          <w:numId w:val="2"/>
        </w:numPr>
        <w:tabs>
          <w:tab w:pos="1694" w:val="left" w:leader="none"/>
        </w:tabs>
        <w:spacing w:line="360" w:lineRule="auto" w:before="1" w:after="0"/>
        <w:ind w:left="1286" w:right="440" w:firstLine="0"/>
        <w:jc w:val="both"/>
        <w:rPr>
          <w:i/>
          <w:sz w:val="24"/>
        </w:rPr>
      </w:pPr>
      <w:r>
        <w:rPr>
          <w:i/>
          <w:color w:val="1B1818"/>
          <w:sz w:val="24"/>
        </w:rPr>
        <w:t>refund to the consumer a reasonable portion of the price paid for the </w:t>
      </w:r>
      <w:r>
        <w:rPr>
          <w:i/>
          <w:color w:val="1B1818"/>
          <w:sz w:val="24"/>
        </w:rPr>
        <w:t>services performed and goods supplied, having regard to the extent of the failure.</w:t>
      </w:r>
    </w:p>
    <w:p>
      <w:pPr>
        <w:pStyle w:val="BodyText"/>
        <w:spacing w:before="9"/>
        <w:rPr>
          <w:i/>
          <w:sz w:val="35"/>
        </w:rPr>
      </w:pPr>
    </w:p>
    <w:p>
      <w:pPr>
        <w:pStyle w:val="ListParagraph"/>
        <w:numPr>
          <w:ilvl w:val="0"/>
          <w:numId w:val="1"/>
        </w:numPr>
        <w:tabs>
          <w:tab w:pos="719" w:val="left" w:leader="none"/>
          <w:tab w:pos="720" w:val="left" w:leader="none"/>
        </w:tabs>
        <w:spacing w:line="240" w:lineRule="auto" w:before="0" w:after="0"/>
        <w:ind w:left="719" w:right="0" w:hanging="568"/>
        <w:jc w:val="left"/>
        <w:rPr>
          <w:color w:val="1B1818"/>
          <w:sz w:val="24"/>
        </w:rPr>
      </w:pPr>
      <w:r>
        <w:rPr>
          <w:color w:val="1B1818"/>
          <w:sz w:val="24"/>
        </w:rPr>
        <w:t>Section 55 of the CPA</w:t>
      </w:r>
      <w:r>
        <w:rPr>
          <w:color w:val="1B1818"/>
          <w:spacing w:val="-10"/>
          <w:sz w:val="24"/>
        </w:rPr>
        <w:t> </w:t>
      </w:r>
      <w:r>
        <w:rPr>
          <w:color w:val="1B1818"/>
          <w:sz w:val="24"/>
        </w:rPr>
        <w:t>states:</w:t>
      </w:r>
    </w:p>
    <w:p>
      <w:pPr>
        <w:pStyle w:val="BodyText"/>
        <w:rPr>
          <w:sz w:val="26"/>
        </w:rPr>
      </w:pPr>
    </w:p>
    <w:p>
      <w:pPr>
        <w:pStyle w:val="BodyText"/>
        <w:rPr>
          <w:sz w:val="22"/>
        </w:rPr>
      </w:pPr>
    </w:p>
    <w:p>
      <w:pPr>
        <w:spacing w:before="0"/>
        <w:ind w:left="719" w:right="0" w:firstLine="0"/>
        <w:jc w:val="both"/>
        <w:rPr>
          <w:i/>
          <w:sz w:val="24"/>
        </w:rPr>
      </w:pPr>
      <w:r>
        <w:rPr>
          <w:i/>
          <w:color w:val="1B1818"/>
          <w:sz w:val="24"/>
        </w:rPr>
        <w:t>“ every consumer has a right to receive goods that—</w:t>
      </w:r>
    </w:p>
    <w:p>
      <w:pPr>
        <w:pStyle w:val="ListParagraph"/>
        <w:numPr>
          <w:ilvl w:val="1"/>
          <w:numId w:val="1"/>
        </w:numPr>
        <w:tabs>
          <w:tab w:pos="1978" w:val="left" w:leader="none"/>
        </w:tabs>
        <w:spacing w:line="360" w:lineRule="auto" w:before="140" w:after="0"/>
        <w:ind w:left="1593" w:right="443" w:firstLine="0"/>
        <w:jc w:val="both"/>
        <w:rPr>
          <w:i/>
          <w:color w:val="1B1818"/>
          <w:sz w:val="24"/>
        </w:rPr>
      </w:pPr>
      <w:r>
        <w:rPr>
          <w:i/>
          <w:color w:val="1B1818"/>
          <w:sz w:val="24"/>
        </w:rPr>
        <w:t>are reasonably suitable for the purposes for which they are generally </w:t>
      </w:r>
      <w:r>
        <w:rPr>
          <w:i/>
          <w:color w:val="1B1818"/>
          <w:sz w:val="24"/>
        </w:rPr>
        <w:t>intended;</w:t>
      </w:r>
    </w:p>
    <w:p>
      <w:pPr>
        <w:pStyle w:val="ListParagraph"/>
        <w:numPr>
          <w:ilvl w:val="1"/>
          <w:numId w:val="1"/>
        </w:numPr>
        <w:tabs>
          <w:tab w:pos="1954" w:val="left" w:leader="none"/>
        </w:tabs>
        <w:spacing w:line="240" w:lineRule="auto" w:before="0" w:after="0"/>
        <w:ind w:left="1953" w:right="0" w:hanging="361"/>
        <w:jc w:val="both"/>
        <w:rPr>
          <w:i/>
          <w:color w:val="1B1818"/>
          <w:sz w:val="24"/>
        </w:rPr>
      </w:pPr>
      <w:r>
        <w:rPr>
          <w:i/>
          <w:color w:val="1B1818"/>
          <w:sz w:val="24"/>
        </w:rPr>
        <w:t>are of good quality, in good working order and free of any</w:t>
      </w:r>
      <w:r>
        <w:rPr>
          <w:i/>
          <w:color w:val="1B1818"/>
          <w:spacing w:val="-19"/>
          <w:sz w:val="24"/>
        </w:rPr>
        <w:t> </w:t>
      </w:r>
      <w:r>
        <w:rPr>
          <w:i/>
          <w:color w:val="1B1818"/>
          <w:sz w:val="24"/>
        </w:rPr>
        <w:t>defects;</w:t>
      </w:r>
    </w:p>
    <w:p>
      <w:pPr>
        <w:pStyle w:val="ListParagraph"/>
        <w:numPr>
          <w:ilvl w:val="1"/>
          <w:numId w:val="1"/>
        </w:numPr>
        <w:tabs>
          <w:tab w:pos="1980" w:val="left" w:leader="none"/>
        </w:tabs>
        <w:spacing w:line="360" w:lineRule="auto" w:before="137" w:after="0"/>
        <w:ind w:left="1593" w:right="441" w:firstLine="0"/>
        <w:jc w:val="both"/>
        <w:rPr>
          <w:i/>
          <w:color w:val="1B1818"/>
          <w:sz w:val="24"/>
        </w:rPr>
      </w:pPr>
      <w:r>
        <w:rPr>
          <w:i/>
          <w:color w:val="1B1818"/>
          <w:sz w:val="24"/>
        </w:rPr>
        <w:t>will be useable and durable for a reasonable period of time, having </w:t>
      </w:r>
      <w:r>
        <w:rPr>
          <w:i/>
          <w:color w:val="1B1818"/>
          <w:sz w:val="24"/>
        </w:rPr>
        <w:t>regard to the use to which they would normally be put and to all the surrounding circumstances of their supply; and</w:t>
      </w:r>
      <w:r>
        <w:rPr>
          <w:i/>
          <w:color w:val="1B1818"/>
          <w:spacing w:val="39"/>
          <w:sz w:val="24"/>
        </w:rPr>
        <w:t> </w:t>
      </w:r>
      <w:r>
        <w:rPr>
          <w:i/>
          <w:color w:val="1B1818"/>
          <w:sz w:val="24"/>
        </w:rPr>
        <w:t>”</w:t>
      </w:r>
    </w:p>
    <w:p>
      <w:pPr>
        <w:pStyle w:val="BodyText"/>
        <w:rPr>
          <w:i/>
          <w:sz w:val="36"/>
        </w:rPr>
      </w:pPr>
    </w:p>
    <w:p>
      <w:pPr>
        <w:pStyle w:val="ListParagraph"/>
        <w:numPr>
          <w:ilvl w:val="0"/>
          <w:numId w:val="1"/>
        </w:numPr>
        <w:tabs>
          <w:tab w:pos="719" w:val="left" w:leader="none"/>
          <w:tab w:pos="720" w:val="left" w:leader="none"/>
        </w:tabs>
        <w:spacing w:line="240" w:lineRule="auto" w:before="0" w:after="0"/>
        <w:ind w:left="719" w:right="0" w:hanging="568"/>
        <w:jc w:val="left"/>
        <w:rPr>
          <w:color w:val="1B1818"/>
          <w:sz w:val="24"/>
        </w:rPr>
      </w:pPr>
      <w:r>
        <w:rPr>
          <w:color w:val="1B1818"/>
          <w:sz w:val="24"/>
        </w:rPr>
        <w:t>Section 56 of the CPA</w:t>
      </w:r>
      <w:r>
        <w:rPr>
          <w:color w:val="1B1818"/>
          <w:spacing w:val="-9"/>
          <w:sz w:val="24"/>
        </w:rPr>
        <w:t> </w:t>
      </w:r>
      <w:r>
        <w:rPr>
          <w:color w:val="1B1818"/>
          <w:sz w:val="24"/>
        </w:rPr>
        <w:t>states:</w:t>
      </w:r>
    </w:p>
    <w:p>
      <w:pPr>
        <w:pStyle w:val="BodyText"/>
        <w:rPr>
          <w:sz w:val="26"/>
        </w:rPr>
      </w:pPr>
    </w:p>
    <w:p>
      <w:pPr>
        <w:pStyle w:val="BodyText"/>
        <w:rPr>
          <w:sz w:val="22"/>
        </w:rPr>
      </w:pPr>
    </w:p>
    <w:p>
      <w:pPr>
        <w:spacing w:line="360" w:lineRule="auto" w:before="0"/>
        <w:ind w:left="719" w:right="442" w:firstLine="0"/>
        <w:jc w:val="both"/>
        <w:rPr>
          <w:i/>
          <w:sz w:val="24"/>
        </w:rPr>
      </w:pPr>
      <w:r>
        <w:rPr>
          <w:i/>
          <w:color w:val="1B1818"/>
          <w:sz w:val="24"/>
        </w:rPr>
        <w:t>“(1) In any transaction or agreement pertaining to the supply of goods to a </w:t>
      </w:r>
      <w:r>
        <w:rPr>
          <w:i/>
          <w:color w:val="1B1818"/>
          <w:sz w:val="24"/>
        </w:rPr>
        <w:t>consumer there is an implied provision that the producer or importer, the distributor and the retailer each warrant that the goods comply with the requirements and standards contemplated in section 55, except to the extent that those goods have been altered contrary to the instructions, or after leaving the control, of the producer or importer, a distributor or the retailer, as the case may be.</w:t>
      </w:r>
    </w:p>
    <w:p>
      <w:pPr>
        <w:spacing w:after="0" w:line="360" w:lineRule="auto"/>
        <w:jc w:val="both"/>
        <w:rPr>
          <w:sz w:val="24"/>
        </w:rPr>
        <w:sectPr>
          <w:pgSz w:w="11910" w:h="16840"/>
          <w:pgMar w:header="283" w:footer="601" w:top="1120" w:bottom="820" w:left="980" w:right="980"/>
        </w:sectPr>
      </w:pPr>
    </w:p>
    <w:p>
      <w:pPr>
        <w:pStyle w:val="BodyText"/>
        <w:spacing w:before="5"/>
        <w:rPr>
          <w:i/>
          <w:sz w:val="9"/>
        </w:rPr>
      </w:pPr>
    </w:p>
    <w:p>
      <w:pPr>
        <w:pStyle w:val="ListParagraph"/>
        <w:numPr>
          <w:ilvl w:val="0"/>
          <w:numId w:val="3"/>
        </w:numPr>
        <w:tabs>
          <w:tab w:pos="1087" w:val="left" w:leader="none"/>
        </w:tabs>
        <w:spacing w:line="360" w:lineRule="auto" w:before="92" w:after="0"/>
        <w:ind w:left="719" w:right="436" w:firstLine="0"/>
        <w:jc w:val="both"/>
        <w:rPr>
          <w:i/>
          <w:sz w:val="24"/>
        </w:rPr>
      </w:pPr>
      <w:r>
        <w:rPr>
          <w:i/>
          <w:color w:val="1B1818"/>
          <w:sz w:val="24"/>
        </w:rPr>
        <w:t>Within six months after the delivery of any goods to a consumer, the consumer </w:t>
      </w:r>
      <w:r>
        <w:rPr>
          <w:i/>
          <w:color w:val="1B1818"/>
          <w:sz w:val="24"/>
        </w:rPr>
        <w:t>may return the goods to the supplier, without penalty and at the supplier’s risk and expense, if the goods fail to satisfy the requirements and standards contemplated in section 55, and the supplier must, at the direction of the consumer,</w:t>
      </w:r>
      <w:r>
        <w:rPr>
          <w:i/>
          <w:color w:val="1B1818"/>
          <w:spacing w:val="-13"/>
          <w:sz w:val="24"/>
        </w:rPr>
        <w:t> </w:t>
      </w:r>
      <w:r>
        <w:rPr>
          <w:i/>
          <w:color w:val="1B1818"/>
          <w:sz w:val="24"/>
        </w:rPr>
        <w:t>either—</w:t>
      </w:r>
    </w:p>
    <w:p>
      <w:pPr>
        <w:pStyle w:val="BodyText"/>
        <w:spacing w:before="2"/>
        <w:rPr>
          <w:i/>
          <w:sz w:val="36"/>
        </w:rPr>
      </w:pPr>
    </w:p>
    <w:p>
      <w:pPr>
        <w:pStyle w:val="ListParagraph"/>
        <w:numPr>
          <w:ilvl w:val="1"/>
          <w:numId w:val="3"/>
        </w:numPr>
        <w:tabs>
          <w:tab w:pos="1954" w:val="left" w:leader="none"/>
        </w:tabs>
        <w:spacing w:line="240" w:lineRule="auto" w:before="0" w:after="0"/>
        <w:ind w:left="1953" w:right="0" w:hanging="361"/>
        <w:jc w:val="left"/>
        <w:rPr>
          <w:i/>
          <w:sz w:val="24"/>
        </w:rPr>
      </w:pPr>
      <w:r>
        <w:rPr>
          <w:i/>
          <w:color w:val="1B1818"/>
          <w:sz w:val="24"/>
        </w:rPr>
        <w:t>repair or replace the failed, unsafe or defective goods;</w:t>
      </w:r>
      <w:r>
        <w:rPr>
          <w:i/>
          <w:color w:val="1B1818"/>
          <w:spacing w:val="-11"/>
          <w:sz w:val="24"/>
        </w:rPr>
        <w:t> </w:t>
      </w:r>
      <w:r>
        <w:rPr>
          <w:i/>
          <w:color w:val="1B1818"/>
          <w:sz w:val="24"/>
        </w:rPr>
        <w:t>or</w:t>
      </w:r>
    </w:p>
    <w:p>
      <w:pPr>
        <w:pStyle w:val="ListParagraph"/>
        <w:numPr>
          <w:ilvl w:val="1"/>
          <w:numId w:val="3"/>
        </w:numPr>
        <w:tabs>
          <w:tab w:pos="1954" w:val="left" w:leader="none"/>
        </w:tabs>
        <w:spacing w:line="240" w:lineRule="auto" w:before="137" w:after="0"/>
        <w:ind w:left="1953" w:right="0" w:hanging="361"/>
        <w:jc w:val="left"/>
        <w:rPr>
          <w:i/>
          <w:sz w:val="24"/>
        </w:rPr>
      </w:pPr>
      <w:r>
        <w:rPr>
          <w:i/>
          <w:color w:val="1B1818"/>
          <w:sz w:val="24"/>
        </w:rPr>
        <w:t>refund to the consumer the price paid by the consumer, for the</w:t>
      </w:r>
      <w:r>
        <w:rPr>
          <w:i/>
          <w:color w:val="1B1818"/>
          <w:spacing w:val="-16"/>
          <w:sz w:val="24"/>
        </w:rPr>
        <w:t> </w:t>
      </w:r>
      <w:r>
        <w:rPr>
          <w:i/>
          <w:color w:val="1B1818"/>
          <w:sz w:val="24"/>
        </w:rPr>
        <w:t>goods.”</w:t>
      </w:r>
    </w:p>
    <w:p>
      <w:pPr>
        <w:pStyle w:val="BodyText"/>
        <w:rPr>
          <w:i/>
          <w:sz w:val="26"/>
        </w:rPr>
      </w:pPr>
    </w:p>
    <w:p>
      <w:pPr>
        <w:pStyle w:val="BodyText"/>
        <w:rPr>
          <w:i/>
          <w:sz w:val="22"/>
        </w:rPr>
      </w:pPr>
    </w:p>
    <w:p>
      <w:pPr>
        <w:pStyle w:val="ListParagraph"/>
        <w:numPr>
          <w:ilvl w:val="0"/>
          <w:numId w:val="3"/>
        </w:numPr>
        <w:tabs>
          <w:tab w:pos="1087" w:val="left" w:leader="none"/>
        </w:tabs>
        <w:spacing w:line="360" w:lineRule="auto" w:before="0" w:after="0"/>
        <w:ind w:left="1005" w:right="439" w:hanging="286"/>
        <w:jc w:val="both"/>
        <w:rPr>
          <w:i/>
          <w:sz w:val="24"/>
        </w:rPr>
      </w:pPr>
      <w:r>
        <w:rPr>
          <w:i/>
          <w:color w:val="1B1818"/>
          <w:sz w:val="24"/>
        </w:rPr>
        <w:t>If a supplier repairs any particular goods or any component of any such goods, </w:t>
      </w:r>
      <w:r>
        <w:rPr>
          <w:i/>
          <w:color w:val="1B1818"/>
          <w:sz w:val="24"/>
        </w:rPr>
        <w:t>and within three months after that repair, the failure, defect or unsafe feature has not been remedied, or a further failure, defect or unsafe feature is discovered, the supplier</w:t>
      </w:r>
      <w:r>
        <w:rPr>
          <w:i/>
          <w:color w:val="1B1818"/>
          <w:spacing w:val="-1"/>
          <w:sz w:val="24"/>
        </w:rPr>
        <w:t> </w:t>
      </w:r>
      <w:r>
        <w:rPr>
          <w:i/>
          <w:color w:val="1B1818"/>
          <w:sz w:val="24"/>
        </w:rPr>
        <w:t>must—</w:t>
      </w:r>
    </w:p>
    <w:p>
      <w:pPr>
        <w:pStyle w:val="BodyText"/>
        <w:spacing w:before="2"/>
        <w:rPr>
          <w:i/>
          <w:sz w:val="36"/>
        </w:rPr>
      </w:pPr>
    </w:p>
    <w:p>
      <w:pPr>
        <w:pStyle w:val="ListParagraph"/>
        <w:numPr>
          <w:ilvl w:val="1"/>
          <w:numId w:val="3"/>
        </w:numPr>
        <w:tabs>
          <w:tab w:pos="1954" w:val="left" w:leader="none"/>
        </w:tabs>
        <w:spacing w:line="240" w:lineRule="auto" w:before="0" w:after="0"/>
        <w:ind w:left="1953" w:right="0" w:hanging="361"/>
        <w:jc w:val="left"/>
        <w:rPr>
          <w:i/>
          <w:sz w:val="24"/>
        </w:rPr>
      </w:pPr>
      <w:r>
        <w:rPr>
          <w:i/>
          <w:color w:val="1B1818"/>
          <w:sz w:val="24"/>
        </w:rPr>
        <w:t>replace the goods;</w:t>
      </w:r>
      <w:r>
        <w:rPr>
          <w:i/>
          <w:color w:val="1B1818"/>
          <w:spacing w:val="-4"/>
          <w:sz w:val="24"/>
        </w:rPr>
        <w:t> </w:t>
      </w:r>
      <w:r>
        <w:rPr>
          <w:i/>
          <w:color w:val="1B1818"/>
          <w:sz w:val="24"/>
        </w:rPr>
        <w:t>or</w:t>
      </w:r>
    </w:p>
    <w:p>
      <w:pPr>
        <w:pStyle w:val="ListParagraph"/>
        <w:numPr>
          <w:ilvl w:val="1"/>
          <w:numId w:val="3"/>
        </w:numPr>
        <w:tabs>
          <w:tab w:pos="1954" w:val="left" w:leader="none"/>
        </w:tabs>
        <w:spacing w:line="240" w:lineRule="auto" w:before="137" w:after="0"/>
        <w:ind w:left="1953" w:right="0" w:hanging="361"/>
        <w:jc w:val="left"/>
        <w:rPr>
          <w:i/>
          <w:sz w:val="24"/>
        </w:rPr>
      </w:pPr>
      <w:r>
        <w:rPr>
          <w:i/>
          <w:color w:val="1B1818"/>
          <w:sz w:val="24"/>
        </w:rPr>
        <w:t>refund to the consumer the price paid by the consumer for the</w:t>
      </w:r>
      <w:r>
        <w:rPr>
          <w:i/>
          <w:color w:val="1B1818"/>
          <w:spacing w:val="-20"/>
          <w:sz w:val="24"/>
        </w:rPr>
        <w:t> </w:t>
      </w:r>
      <w:r>
        <w:rPr>
          <w:i/>
          <w:color w:val="1B1818"/>
          <w:sz w:val="24"/>
        </w:rPr>
        <w:t>goods.</w:t>
      </w:r>
    </w:p>
    <w:p>
      <w:pPr>
        <w:pStyle w:val="BodyText"/>
        <w:rPr>
          <w:i/>
          <w:sz w:val="26"/>
        </w:rPr>
      </w:pPr>
    </w:p>
    <w:p>
      <w:pPr>
        <w:pStyle w:val="BodyText"/>
        <w:rPr>
          <w:i/>
          <w:sz w:val="22"/>
        </w:rPr>
      </w:pPr>
    </w:p>
    <w:p>
      <w:pPr>
        <w:pStyle w:val="ListParagraph"/>
        <w:numPr>
          <w:ilvl w:val="0"/>
          <w:numId w:val="1"/>
        </w:numPr>
        <w:tabs>
          <w:tab w:pos="719" w:val="left" w:leader="none"/>
          <w:tab w:pos="720" w:val="left" w:leader="none"/>
        </w:tabs>
        <w:spacing w:line="240" w:lineRule="auto" w:before="0" w:after="0"/>
        <w:ind w:left="719" w:right="0" w:hanging="568"/>
        <w:jc w:val="left"/>
        <w:rPr>
          <w:sz w:val="24"/>
        </w:rPr>
      </w:pPr>
      <w:r>
        <w:rPr>
          <w:sz w:val="24"/>
        </w:rPr>
        <w:t>Section 53(1)(a)(1) defines a “</w:t>
      </w:r>
      <w:r>
        <w:rPr>
          <w:i/>
          <w:sz w:val="24"/>
        </w:rPr>
        <w:t>defect</w:t>
      </w:r>
      <w:r>
        <w:rPr>
          <w:sz w:val="24"/>
        </w:rPr>
        <w:t>”</w:t>
      </w:r>
      <w:r>
        <w:rPr>
          <w:spacing w:val="-2"/>
          <w:sz w:val="24"/>
        </w:rPr>
        <w:t> </w:t>
      </w:r>
      <w:r>
        <w:rPr>
          <w:sz w:val="24"/>
        </w:rPr>
        <w:t>as:</w:t>
      </w:r>
    </w:p>
    <w:p>
      <w:pPr>
        <w:pStyle w:val="BodyText"/>
        <w:rPr>
          <w:sz w:val="26"/>
        </w:rPr>
      </w:pPr>
    </w:p>
    <w:p>
      <w:pPr>
        <w:pStyle w:val="BodyText"/>
        <w:rPr>
          <w:sz w:val="22"/>
        </w:rPr>
      </w:pPr>
    </w:p>
    <w:p>
      <w:pPr>
        <w:spacing w:line="360" w:lineRule="auto" w:before="0"/>
        <w:ind w:left="719" w:right="438" w:firstLine="0"/>
        <w:jc w:val="both"/>
        <w:rPr>
          <w:i/>
          <w:sz w:val="24"/>
        </w:rPr>
      </w:pPr>
      <w:r>
        <w:rPr>
          <w:i/>
          <w:sz w:val="24"/>
        </w:rPr>
        <w:t>“(i) any material imperfection in the manufacture of the goods or components, or in </w:t>
      </w:r>
      <w:r>
        <w:rPr>
          <w:i/>
          <w:sz w:val="24"/>
        </w:rPr>
        <w:t>performance of the services, that renders the goods or results of the service less acceptable than persons generally would be reasonably entitled to expect in the circumstances; or</w:t>
      </w:r>
    </w:p>
    <w:p>
      <w:pPr>
        <w:spacing w:line="360" w:lineRule="auto" w:before="121"/>
        <w:ind w:left="719" w:right="438" w:firstLine="0"/>
        <w:jc w:val="both"/>
        <w:rPr>
          <w:i/>
          <w:sz w:val="24"/>
        </w:rPr>
      </w:pPr>
      <w:r>
        <w:rPr>
          <w:i/>
          <w:sz w:val="24"/>
        </w:rPr>
        <w:t>(ii) any characteristic of the goods or components that renders the goods or </w:t>
      </w:r>
      <w:r>
        <w:rPr>
          <w:i/>
          <w:sz w:val="24"/>
        </w:rPr>
        <w:t>components less useful, practicable or safe than persons generally would be reasonably entitled to expect in the circumstances;”</w:t>
      </w:r>
    </w:p>
    <w:p>
      <w:pPr>
        <w:pStyle w:val="BodyText"/>
        <w:spacing w:before="8"/>
        <w:rPr>
          <w:i/>
          <w:sz w:val="20"/>
        </w:rPr>
      </w:pPr>
    </w:p>
    <w:p>
      <w:pPr>
        <w:pStyle w:val="ListParagraph"/>
        <w:numPr>
          <w:ilvl w:val="0"/>
          <w:numId w:val="1"/>
        </w:numPr>
        <w:tabs>
          <w:tab w:pos="719" w:val="left" w:leader="none"/>
          <w:tab w:pos="720" w:val="left" w:leader="none"/>
        </w:tabs>
        <w:spacing w:line="240" w:lineRule="auto" w:before="1" w:after="0"/>
        <w:ind w:left="719" w:right="0" w:hanging="568"/>
        <w:jc w:val="left"/>
        <w:rPr>
          <w:sz w:val="24"/>
        </w:rPr>
      </w:pPr>
      <w:r>
        <w:rPr>
          <w:sz w:val="24"/>
        </w:rPr>
        <w:t>Section 57 states</w:t>
      </w:r>
      <w:r>
        <w:rPr>
          <w:spacing w:val="-3"/>
          <w:sz w:val="24"/>
        </w:rPr>
        <w:t> </w:t>
      </w:r>
      <w:r>
        <w:rPr>
          <w:sz w:val="24"/>
        </w:rPr>
        <w:t>–</w:t>
      </w:r>
    </w:p>
    <w:p>
      <w:pPr>
        <w:pStyle w:val="BodyText"/>
        <w:spacing w:before="11"/>
        <w:rPr>
          <w:sz w:val="32"/>
        </w:rPr>
      </w:pPr>
    </w:p>
    <w:p>
      <w:pPr>
        <w:spacing w:line="360" w:lineRule="auto" w:before="0"/>
        <w:ind w:left="719" w:right="156" w:firstLine="0"/>
        <w:jc w:val="both"/>
        <w:rPr>
          <w:i/>
          <w:sz w:val="24"/>
        </w:rPr>
      </w:pPr>
      <w:r>
        <w:rPr>
          <w:sz w:val="24"/>
        </w:rPr>
        <w:t>“</w:t>
      </w:r>
      <w:r>
        <w:rPr>
          <w:i/>
          <w:sz w:val="24"/>
        </w:rPr>
        <w:t>(1) A service provider warrants every new or reconditioned part installed during any </w:t>
      </w:r>
      <w:r>
        <w:rPr>
          <w:i/>
          <w:sz w:val="24"/>
        </w:rPr>
        <w:t>repair or maintenance work, and the labour required to install it, for a period of three months after the date of installation or such longer period as the supplier may specify in writing.</w:t>
      </w:r>
    </w:p>
    <w:p>
      <w:pPr>
        <w:pStyle w:val="BodyText"/>
        <w:spacing w:before="10"/>
        <w:rPr>
          <w:i/>
          <w:sz w:val="20"/>
        </w:rPr>
      </w:pPr>
    </w:p>
    <w:p>
      <w:pPr>
        <w:pStyle w:val="ListParagraph"/>
        <w:numPr>
          <w:ilvl w:val="0"/>
          <w:numId w:val="4"/>
        </w:numPr>
        <w:tabs>
          <w:tab w:pos="1080" w:val="left" w:leader="none"/>
        </w:tabs>
        <w:spacing w:line="240" w:lineRule="auto" w:before="1" w:after="0"/>
        <w:ind w:left="1079" w:right="0" w:hanging="361"/>
        <w:jc w:val="both"/>
        <w:rPr>
          <w:i/>
          <w:sz w:val="24"/>
        </w:rPr>
      </w:pPr>
      <w:r>
        <w:rPr>
          <w:i/>
          <w:sz w:val="24"/>
        </w:rPr>
        <w:t>A warranty in terms of this</w:t>
      </w:r>
      <w:r>
        <w:rPr>
          <w:i/>
          <w:spacing w:val="-6"/>
          <w:sz w:val="24"/>
        </w:rPr>
        <w:t> </w:t>
      </w:r>
      <w:r>
        <w:rPr>
          <w:i/>
          <w:sz w:val="24"/>
        </w:rPr>
        <w:t>section—</w:t>
      </w:r>
    </w:p>
    <w:p>
      <w:pPr>
        <w:pStyle w:val="BodyText"/>
        <w:spacing w:before="8"/>
        <w:rPr>
          <w:i/>
          <w:sz w:val="32"/>
        </w:rPr>
      </w:pPr>
    </w:p>
    <w:p>
      <w:pPr>
        <w:pStyle w:val="ListParagraph"/>
        <w:numPr>
          <w:ilvl w:val="1"/>
          <w:numId w:val="4"/>
        </w:numPr>
        <w:tabs>
          <w:tab w:pos="1646" w:val="left" w:leader="none"/>
        </w:tabs>
        <w:spacing w:line="240" w:lineRule="auto" w:before="0" w:after="0"/>
        <w:ind w:left="1646" w:right="0" w:hanging="360"/>
        <w:jc w:val="left"/>
        <w:rPr>
          <w:i/>
          <w:sz w:val="24"/>
        </w:rPr>
      </w:pPr>
      <w:r>
        <w:rPr>
          <w:i/>
          <w:sz w:val="24"/>
        </w:rPr>
        <w:t>is concurrent with any other deemed, implied or express</w:t>
      </w:r>
      <w:r>
        <w:rPr>
          <w:i/>
          <w:spacing w:val="-11"/>
          <w:sz w:val="24"/>
        </w:rPr>
        <w:t> </w:t>
      </w:r>
      <w:r>
        <w:rPr>
          <w:i/>
          <w:sz w:val="24"/>
        </w:rPr>
        <w:t>warranty;</w:t>
      </w:r>
    </w:p>
    <w:p>
      <w:pPr>
        <w:spacing w:after="0" w:line="240" w:lineRule="auto"/>
        <w:jc w:val="left"/>
        <w:rPr>
          <w:sz w:val="24"/>
        </w:rPr>
        <w:sectPr>
          <w:pgSz w:w="11910" w:h="16840"/>
          <w:pgMar w:header="283" w:footer="601" w:top="1120" w:bottom="820" w:left="980" w:right="980"/>
        </w:sectPr>
      </w:pPr>
    </w:p>
    <w:p>
      <w:pPr>
        <w:pStyle w:val="BodyText"/>
        <w:spacing w:before="5"/>
        <w:rPr>
          <w:i/>
          <w:sz w:val="9"/>
        </w:rPr>
      </w:pPr>
    </w:p>
    <w:p>
      <w:pPr>
        <w:pStyle w:val="ListParagraph"/>
        <w:numPr>
          <w:ilvl w:val="1"/>
          <w:numId w:val="4"/>
        </w:numPr>
        <w:tabs>
          <w:tab w:pos="1673" w:val="left" w:leader="none"/>
        </w:tabs>
        <w:spacing w:line="362" w:lineRule="auto" w:before="92" w:after="0"/>
        <w:ind w:left="1286" w:right="159" w:firstLine="0"/>
        <w:jc w:val="left"/>
        <w:rPr>
          <w:i/>
          <w:sz w:val="24"/>
        </w:rPr>
      </w:pPr>
      <w:r>
        <w:rPr>
          <w:i/>
          <w:sz w:val="24"/>
        </w:rPr>
        <w:t>is void if the consumer has subjected the part, or the goods or property in </w:t>
      </w:r>
      <w:r>
        <w:rPr>
          <w:i/>
          <w:sz w:val="24"/>
        </w:rPr>
        <w:t>which it was installed, to misuse or abuse;</w:t>
      </w:r>
      <w:r>
        <w:rPr>
          <w:i/>
          <w:spacing w:val="-9"/>
          <w:sz w:val="24"/>
        </w:rPr>
        <w:t> </w:t>
      </w:r>
      <w:r>
        <w:rPr>
          <w:i/>
          <w:sz w:val="24"/>
        </w:rPr>
        <w:t>and</w:t>
      </w:r>
    </w:p>
    <w:p>
      <w:pPr>
        <w:pStyle w:val="BodyText"/>
        <w:spacing w:before="5"/>
        <w:rPr>
          <w:i/>
          <w:sz w:val="20"/>
        </w:rPr>
      </w:pPr>
    </w:p>
    <w:p>
      <w:pPr>
        <w:pStyle w:val="ListParagraph"/>
        <w:numPr>
          <w:ilvl w:val="1"/>
          <w:numId w:val="4"/>
        </w:numPr>
        <w:tabs>
          <w:tab w:pos="1764" w:val="left" w:leader="none"/>
          <w:tab w:pos="4189" w:val="left" w:leader="none"/>
          <w:tab w:pos="9451" w:val="left" w:leader="none"/>
        </w:tabs>
        <w:spacing w:line="360" w:lineRule="auto" w:before="0" w:after="0"/>
        <w:ind w:left="1286" w:right="160" w:firstLine="0"/>
        <w:jc w:val="left"/>
        <w:rPr>
          <w:i/>
          <w:sz w:val="24"/>
        </w:rPr>
      </w:pPr>
      <w:r>
        <w:rPr>
          <w:i/>
          <w:sz w:val="24"/>
        </w:rPr>
        <w:t>does   not </w:t>
      </w:r>
      <w:r>
        <w:rPr>
          <w:i/>
          <w:spacing w:val="62"/>
          <w:sz w:val="24"/>
        </w:rPr>
        <w:t> </w:t>
      </w:r>
      <w:r>
        <w:rPr>
          <w:i/>
          <w:sz w:val="24"/>
        </w:rPr>
        <w:t>apply </w:t>
      </w:r>
      <w:r>
        <w:rPr>
          <w:i/>
          <w:spacing w:val="62"/>
          <w:sz w:val="24"/>
        </w:rPr>
        <w:t> </w:t>
      </w:r>
      <w:r>
        <w:rPr>
          <w:i/>
          <w:sz w:val="24"/>
        </w:rPr>
        <w:t>to</w:t>
        <w:tab/>
        <w:t>ordinary   wear   and   tear,   having </w:t>
      </w:r>
      <w:r>
        <w:rPr>
          <w:i/>
          <w:spacing w:val="50"/>
          <w:sz w:val="24"/>
        </w:rPr>
        <w:t> </w:t>
      </w:r>
      <w:r>
        <w:rPr>
          <w:i/>
          <w:sz w:val="24"/>
        </w:rPr>
        <w:t>regard </w:t>
      </w:r>
      <w:r>
        <w:rPr>
          <w:i/>
          <w:spacing w:val="64"/>
          <w:sz w:val="24"/>
        </w:rPr>
        <w:t> </w:t>
      </w:r>
      <w:r>
        <w:rPr>
          <w:i/>
          <w:sz w:val="24"/>
        </w:rPr>
        <w:t>to</w:t>
        <w:tab/>
      </w:r>
      <w:r>
        <w:rPr>
          <w:i/>
          <w:spacing w:val="-7"/>
          <w:sz w:val="24"/>
        </w:rPr>
        <w:t>the </w:t>
      </w:r>
      <w:r>
        <w:rPr>
          <w:i/>
          <w:sz w:val="24"/>
        </w:rPr>
        <w:t>circumstances in which the goods are intended to ordinarily </w:t>
      </w:r>
      <w:r>
        <w:rPr>
          <w:i/>
          <w:spacing w:val="3"/>
          <w:sz w:val="24"/>
        </w:rPr>
        <w:t>be</w:t>
      </w:r>
      <w:r>
        <w:rPr>
          <w:i/>
          <w:spacing w:val="-12"/>
          <w:sz w:val="24"/>
        </w:rPr>
        <w:t> </w:t>
      </w:r>
      <w:r>
        <w:rPr>
          <w:i/>
          <w:sz w:val="24"/>
        </w:rPr>
        <w:t>used.</w:t>
      </w:r>
    </w:p>
    <w:p>
      <w:pPr>
        <w:pStyle w:val="BodyText"/>
        <w:spacing w:before="10"/>
        <w:rPr>
          <w:i/>
          <w:sz w:val="20"/>
        </w:rPr>
      </w:pPr>
    </w:p>
    <w:p>
      <w:pPr>
        <w:pStyle w:val="ListParagraph"/>
        <w:numPr>
          <w:ilvl w:val="0"/>
          <w:numId w:val="1"/>
        </w:numPr>
        <w:tabs>
          <w:tab w:pos="720" w:val="left" w:leader="none"/>
        </w:tabs>
        <w:spacing w:line="360" w:lineRule="auto" w:before="1" w:after="0"/>
        <w:ind w:left="719" w:right="150" w:hanging="567"/>
        <w:jc w:val="both"/>
        <w:rPr>
          <w:sz w:val="24"/>
        </w:rPr>
      </w:pPr>
      <w:r>
        <w:rPr>
          <w:sz w:val="24"/>
        </w:rPr>
        <w:t>Sections 55 and 56 of the CPA only apply within six months after purchasing goods. Based on the evidence submitted, Mr Tingle did not report any major defect with the vehicle within the six-month period. It appears he only reported the alleged suspension problem in 2021. There is no evidence of Mr Tingle claiming that the vehicle was defective and must be replaced, repaired, or a refund must be made within the 6-month period after purchase. The repairs done to the vehicle within this period were normal services and repairs. Even if Mr Tingle proved a defect in the vehicle which had occurred within the six-month period, it would not necessarily mean the vehicle is defective as a whole and must be replaced. There is  no apparent basis for any claim under sections 55 and 56 of the CPA, and specifically section 56(3), as alleged by Mr</w:t>
      </w:r>
      <w:r>
        <w:rPr>
          <w:spacing w:val="-8"/>
          <w:sz w:val="24"/>
        </w:rPr>
        <w:t> </w:t>
      </w:r>
      <w:r>
        <w:rPr>
          <w:sz w:val="24"/>
        </w:rPr>
        <w:t>Tingle.</w:t>
      </w:r>
    </w:p>
    <w:p>
      <w:pPr>
        <w:pStyle w:val="BodyText"/>
        <w:spacing w:before="9"/>
        <w:rPr>
          <w:sz w:val="20"/>
        </w:rPr>
      </w:pPr>
    </w:p>
    <w:p>
      <w:pPr>
        <w:pStyle w:val="ListParagraph"/>
        <w:numPr>
          <w:ilvl w:val="0"/>
          <w:numId w:val="1"/>
        </w:numPr>
        <w:tabs>
          <w:tab w:pos="720" w:val="left" w:leader="none"/>
        </w:tabs>
        <w:spacing w:line="360" w:lineRule="auto" w:before="0" w:after="0"/>
        <w:ind w:left="719" w:right="149" w:hanging="567"/>
        <w:jc w:val="both"/>
        <w:rPr>
          <w:sz w:val="24"/>
        </w:rPr>
      </w:pPr>
      <w:r>
        <w:rPr>
          <w:sz w:val="24"/>
        </w:rPr>
        <w:t>Mr Tingle appears to be insisting on a replacement vehicle. There is no reasonable prospect of Mr Tingle being able to prove a claim under sections 55 and 56, possibly allowing such a remedy. The Tribunal considered granting leave for a possible claim under sections 54 and 57 of the CPA. However, Mr Tingle has not made any submissions relevant to these sections, and the evidence does not support a finding being made. In any event, these sections do not provide for any replacement of the vehicle, only further repair of the specific part which was replaced or repaired. Further, it appears the vehicle was repaired under warranty at the time, and Mr Tingle did not incur any</w:t>
      </w:r>
      <w:r>
        <w:rPr>
          <w:spacing w:val="-4"/>
          <w:sz w:val="24"/>
        </w:rPr>
        <w:t> </w:t>
      </w:r>
      <w:r>
        <w:rPr>
          <w:sz w:val="24"/>
        </w:rPr>
        <w:t>costs.</w:t>
      </w:r>
    </w:p>
    <w:p>
      <w:pPr>
        <w:pStyle w:val="BodyText"/>
        <w:spacing w:before="1"/>
        <w:rPr>
          <w:sz w:val="21"/>
        </w:rPr>
      </w:pPr>
    </w:p>
    <w:p>
      <w:pPr>
        <w:pStyle w:val="ListParagraph"/>
        <w:numPr>
          <w:ilvl w:val="0"/>
          <w:numId w:val="1"/>
        </w:numPr>
        <w:tabs>
          <w:tab w:pos="720" w:val="left" w:leader="none"/>
        </w:tabs>
        <w:spacing w:line="360" w:lineRule="auto" w:before="0" w:after="0"/>
        <w:ind w:left="719" w:right="161" w:hanging="567"/>
        <w:jc w:val="both"/>
        <w:rPr>
          <w:sz w:val="24"/>
        </w:rPr>
      </w:pPr>
      <w:r>
        <w:rPr>
          <w:sz w:val="24"/>
        </w:rPr>
        <w:t>The Tribunal does not see any reasonable prospect of a claim being proven in terms of the</w:t>
      </w:r>
      <w:r>
        <w:rPr>
          <w:spacing w:val="-1"/>
          <w:sz w:val="24"/>
        </w:rPr>
        <w:t> </w:t>
      </w:r>
      <w:r>
        <w:rPr>
          <w:sz w:val="24"/>
        </w:rPr>
        <w:t>CPA.</w:t>
      </w:r>
    </w:p>
    <w:p>
      <w:pPr>
        <w:pStyle w:val="BodyText"/>
        <w:spacing w:before="10"/>
        <w:rPr>
          <w:sz w:val="20"/>
        </w:rPr>
      </w:pPr>
    </w:p>
    <w:p>
      <w:pPr>
        <w:pStyle w:val="Heading1"/>
      </w:pPr>
      <w:r>
        <w:rPr/>
        <w:t>ORDER</w:t>
      </w:r>
    </w:p>
    <w:p>
      <w:pPr>
        <w:pStyle w:val="BodyText"/>
        <w:spacing w:before="9"/>
        <w:rPr>
          <w:b/>
          <w:sz w:val="32"/>
        </w:rPr>
      </w:pPr>
    </w:p>
    <w:p>
      <w:pPr>
        <w:pStyle w:val="ListParagraph"/>
        <w:numPr>
          <w:ilvl w:val="0"/>
          <w:numId w:val="1"/>
        </w:numPr>
        <w:tabs>
          <w:tab w:pos="719" w:val="left" w:leader="none"/>
          <w:tab w:pos="720" w:val="left" w:leader="none"/>
        </w:tabs>
        <w:spacing w:line="360" w:lineRule="auto" w:before="0" w:after="0"/>
        <w:ind w:left="719" w:right="719" w:hanging="567"/>
        <w:jc w:val="left"/>
        <w:rPr>
          <w:sz w:val="24"/>
        </w:rPr>
      </w:pPr>
      <w:r>
        <w:rPr>
          <w:sz w:val="24"/>
        </w:rPr>
        <w:t>Accordingly, for the reasons set out above, the Tribunal makes the following order:</w:t>
      </w:r>
    </w:p>
    <w:p>
      <w:pPr>
        <w:pStyle w:val="BodyText"/>
        <w:spacing w:before="10"/>
        <w:rPr>
          <w:sz w:val="20"/>
        </w:rPr>
      </w:pPr>
    </w:p>
    <w:p>
      <w:pPr>
        <w:pStyle w:val="ListParagraph"/>
        <w:numPr>
          <w:ilvl w:val="1"/>
          <w:numId w:val="5"/>
        </w:numPr>
        <w:tabs>
          <w:tab w:pos="1286" w:val="left" w:leader="none"/>
        </w:tabs>
        <w:spacing w:line="240" w:lineRule="auto" w:before="0" w:after="0"/>
        <w:ind w:left="1286" w:right="0" w:hanging="567"/>
        <w:jc w:val="left"/>
        <w:rPr>
          <w:sz w:val="24"/>
        </w:rPr>
      </w:pPr>
      <w:r>
        <w:rPr>
          <w:sz w:val="24"/>
        </w:rPr>
        <w:t>The application for leave to refer is refused;</w:t>
      </w:r>
      <w:r>
        <w:rPr>
          <w:spacing w:val="2"/>
          <w:sz w:val="24"/>
        </w:rPr>
        <w:t> </w:t>
      </w:r>
      <w:r>
        <w:rPr>
          <w:sz w:val="24"/>
        </w:rPr>
        <w:t>and</w:t>
      </w:r>
    </w:p>
    <w:p>
      <w:pPr>
        <w:pStyle w:val="BodyText"/>
        <w:rPr>
          <w:sz w:val="33"/>
        </w:rPr>
      </w:pPr>
    </w:p>
    <w:p>
      <w:pPr>
        <w:pStyle w:val="ListParagraph"/>
        <w:numPr>
          <w:ilvl w:val="1"/>
          <w:numId w:val="5"/>
        </w:numPr>
        <w:tabs>
          <w:tab w:pos="1286" w:val="left" w:leader="none"/>
        </w:tabs>
        <w:spacing w:line="240" w:lineRule="auto" w:before="0" w:after="0"/>
        <w:ind w:left="1286" w:right="0" w:hanging="567"/>
        <w:jc w:val="left"/>
        <w:rPr>
          <w:sz w:val="24"/>
        </w:rPr>
      </w:pPr>
      <w:r>
        <w:rPr>
          <w:sz w:val="24"/>
        </w:rPr>
        <w:t>No order is made as to</w:t>
      </w:r>
      <w:r>
        <w:rPr>
          <w:spacing w:val="-6"/>
          <w:sz w:val="24"/>
        </w:rPr>
        <w:t> </w:t>
      </w:r>
      <w:r>
        <w:rPr>
          <w:sz w:val="24"/>
        </w:rPr>
        <w:t>costs.</w:t>
      </w:r>
    </w:p>
    <w:p>
      <w:pPr>
        <w:spacing w:after="0" w:line="240" w:lineRule="auto"/>
        <w:jc w:val="left"/>
        <w:rPr>
          <w:sz w:val="24"/>
        </w:rPr>
        <w:sectPr>
          <w:pgSz w:w="11910" w:h="16840"/>
          <w:pgMar w:header="283" w:footer="601" w:top="1120" w:bottom="800" w:left="980" w:right="980"/>
        </w:sectPr>
      </w:pPr>
    </w:p>
    <w:p>
      <w:pPr>
        <w:pStyle w:val="BodyText"/>
        <w:rPr>
          <w:sz w:val="20"/>
        </w:rPr>
      </w:pPr>
    </w:p>
    <w:p>
      <w:pPr>
        <w:pStyle w:val="BodyText"/>
        <w:spacing w:before="11"/>
      </w:pPr>
    </w:p>
    <w:p>
      <w:pPr>
        <w:pStyle w:val="BodyText"/>
        <w:spacing w:before="95"/>
        <w:ind w:left="152"/>
      </w:pPr>
      <w:r>
        <w:rPr/>
        <w:t>DATED ON THIS 7</w:t>
      </w:r>
      <w:r>
        <w:rPr>
          <w:position w:val="8"/>
          <w:sz w:val="16"/>
        </w:rPr>
        <w:t>TH </w:t>
      </w:r>
      <w:r>
        <w:rPr/>
        <w:t>DAY OF JULY 2022</w:t>
      </w:r>
    </w:p>
    <w:p>
      <w:pPr>
        <w:pStyle w:val="BodyText"/>
        <w:rPr>
          <w:sz w:val="28"/>
        </w:rPr>
      </w:pPr>
    </w:p>
    <w:p>
      <w:pPr>
        <w:pStyle w:val="BodyText"/>
        <w:rPr>
          <w:sz w:val="28"/>
        </w:rPr>
      </w:pPr>
    </w:p>
    <w:p>
      <w:pPr>
        <w:pStyle w:val="BodyText"/>
        <w:spacing w:before="10"/>
        <w:rPr>
          <w:sz w:val="27"/>
        </w:rPr>
      </w:pPr>
    </w:p>
    <w:p>
      <w:pPr>
        <w:pStyle w:val="BodyText"/>
        <w:ind w:left="152"/>
      </w:pPr>
      <w:r>
        <w:rPr/>
        <w:t>Adv J Simpson</w:t>
      </w:r>
    </w:p>
    <w:p>
      <w:pPr>
        <w:pStyle w:val="BodyText"/>
        <w:spacing w:before="139"/>
        <w:ind w:left="152"/>
      </w:pPr>
      <w:r>
        <w:rPr/>
        <w:t>Presiding Tribunal Member</w:t>
      </w:r>
    </w:p>
    <w:p>
      <w:pPr>
        <w:pStyle w:val="BodyText"/>
        <w:rPr>
          <w:sz w:val="20"/>
        </w:rPr>
      </w:pPr>
    </w:p>
    <w:p>
      <w:pPr>
        <w:pStyle w:val="BodyText"/>
        <w:spacing w:before="6"/>
      </w:pPr>
      <w:r>
        <w:rPr/>
        <w:drawing>
          <wp:anchor distT="0" distB="0" distL="0" distR="0" allowOverlap="1" layoutInCell="1" locked="0" behindDoc="0" simplePos="0" relativeHeight="1">
            <wp:simplePos x="0" y="0"/>
            <wp:positionH relativeFrom="page">
              <wp:posOffset>720090</wp:posOffset>
            </wp:positionH>
            <wp:positionV relativeFrom="paragraph">
              <wp:posOffset>204313</wp:posOffset>
            </wp:positionV>
            <wp:extent cx="3439245" cy="1835657"/>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3439245" cy="1835657"/>
                    </a:xfrm>
                    <a:prstGeom prst="rect">
                      <a:avLst/>
                    </a:prstGeom>
                  </pic:spPr>
                </pic:pic>
              </a:graphicData>
            </a:graphic>
          </wp:anchor>
        </w:drawing>
      </w:r>
    </w:p>
    <w:sectPr>
      <w:pgSz w:w="11910" w:h="16840"/>
      <w:pgMar w:header="283" w:footer="601" w:top="1120" w:bottom="82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77.690002pt;margin-top:799.716064pt;width:39.75pt;height:12.35pt;mso-position-horizontal-relative:page;mso-position-vertical-relative:page;z-index:-251904000" type="#_x0000_t202" filled="false" stroked="false">
          <v:textbox inset="0,0,0,0">
            <w:txbxContent>
              <w:p>
                <w:pPr>
                  <w:spacing w:before="19"/>
                  <w:ind w:left="20" w:right="0" w:firstLine="0"/>
                  <w:jc w:val="left"/>
                  <w:rPr>
                    <w:rFonts w:ascii="Arial Narrow"/>
                    <w:b/>
                    <w:sz w:val="18"/>
                  </w:rPr>
                </w:pPr>
                <w:r>
                  <w:rPr>
                    <w:rFonts w:ascii="Arial Narrow"/>
                    <w:sz w:val="18"/>
                  </w:rPr>
                  <w:t>Page </w:t>
                </w:r>
                <w:r>
                  <w:rPr/>
                  <w:fldChar w:fldCharType="begin"/>
                </w:r>
                <w:r>
                  <w:rPr>
                    <w:rFonts w:ascii="Arial Narrow"/>
                    <w:b/>
                    <w:sz w:val="18"/>
                  </w:rPr>
                  <w:instrText> PAGE </w:instrText>
                </w:r>
                <w:r>
                  <w:rPr/>
                  <w:fldChar w:fldCharType="separate"/>
                </w:r>
                <w:r>
                  <w:rPr/>
                  <w:t>7</w:t>
                </w:r>
                <w:r>
                  <w:rPr/>
                  <w:fldChar w:fldCharType="end"/>
                </w:r>
                <w:r>
                  <w:rPr>
                    <w:rFonts w:ascii="Arial Narrow"/>
                    <w:b/>
                    <w:sz w:val="18"/>
                  </w:rPr>
                  <w:t> </w:t>
                </w:r>
                <w:r>
                  <w:rPr>
                    <w:rFonts w:ascii="Arial Narrow"/>
                    <w:sz w:val="18"/>
                  </w:rPr>
                  <w:t>of </w:t>
                </w:r>
                <w:r>
                  <w:rPr>
                    <w:rFonts w:ascii="Arial Narrow"/>
                    <w:b/>
                    <w:sz w:val="18"/>
                  </w:rPr>
                  <w:t>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8.75pt;margin-top:13.140061pt;width:101pt;height:33pt;mso-position-horizontal-relative:page;mso-position-vertical-relative:page;z-index:-251905024" type="#_x0000_t202" filled="false" stroked="false">
          <v:textbox inset="0,0,0,0">
            <w:txbxContent>
              <w:p>
                <w:pPr>
                  <w:spacing w:before="19"/>
                  <w:ind w:left="226" w:right="1" w:firstLine="401"/>
                  <w:jc w:val="left"/>
                  <w:rPr>
                    <w:rFonts w:ascii="Arial Narrow"/>
                    <w:sz w:val="18"/>
                  </w:rPr>
                </w:pPr>
                <w:r>
                  <w:rPr>
                    <w:rFonts w:ascii="Arial Narrow"/>
                    <w:sz w:val="18"/>
                  </w:rPr>
                  <w:t>Leave to refer Ruling NCT/227890/2022/75(1)(b)</w:t>
                </w:r>
              </w:p>
              <w:p>
                <w:pPr>
                  <w:spacing w:line="206" w:lineRule="exact" w:before="0"/>
                  <w:ind w:left="20" w:right="0" w:firstLine="0"/>
                  <w:jc w:val="left"/>
                  <w:rPr>
                    <w:rFonts w:ascii="Arial Narrow"/>
                    <w:sz w:val="18"/>
                  </w:rPr>
                </w:pPr>
                <w:r>
                  <w:rPr>
                    <w:rFonts w:ascii="Arial Narrow"/>
                    <w:sz w:val="18"/>
                  </w:rPr>
                  <w:t>S Tingle v Mazda SA (Pty)</w:t>
                </w:r>
                <w:r>
                  <w:rPr>
                    <w:rFonts w:ascii="Arial Narrow"/>
                    <w:spacing w:val="-3"/>
                    <w:sz w:val="18"/>
                  </w:rPr>
                  <w:t> </w:t>
                </w:r>
                <w:r>
                  <w:rPr>
                    <w:rFonts w:ascii="Arial Narrow"/>
                    <w:sz w:val="18"/>
                  </w:rPr>
                  <w:t>Ltd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4"/>
      <w:numFmt w:val="decimal"/>
      <w:lvlText w:val="%1"/>
      <w:lvlJc w:val="left"/>
      <w:pPr>
        <w:ind w:left="1286" w:hanging="567"/>
        <w:jc w:val="left"/>
      </w:pPr>
      <w:rPr>
        <w:rFonts w:hint="default"/>
        <w:lang w:val="en-za" w:eastAsia="en-za" w:bidi="en-za"/>
      </w:rPr>
    </w:lvl>
    <w:lvl w:ilvl="1">
      <w:start w:val="1"/>
      <w:numFmt w:val="decimal"/>
      <w:lvlText w:val="%1.%2"/>
      <w:lvlJc w:val="left"/>
      <w:pPr>
        <w:ind w:left="1286" w:hanging="567"/>
        <w:jc w:val="left"/>
      </w:pPr>
      <w:rPr>
        <w:rFonts w:hint="default" w:ascii="Arial" w:hAnsi="Arial" w:eastAsia="Arial" w:cs="Arial"/>
        <w:w w:val="99"/>
        <w:sz w:val="24"/>
        <w:szCs w:val="24"/>
        <w:lang w:val="en-za" w:eastAsia="en-za" w:bidi="en-za"/>
      </w:rPr>
    </w:lvl>
    <w:lvl w:ilvl="2">
      <w:start w:val="0"/>
      <w:numFmt w:val="bullet"/>
      <w:lvlText w:val="•"/>
      <w:lvlJc w:val="left"/>
      <w:pPr>
        <w:ind w:left="3013" w:hanging="567"/>
      </w:pPr>
      <w:rPr>
        <w:rFonts w:hint="default"/>
        <w:lang w:val="en-za" w:eastAsia="en-za" w:bidi="en-za"/>
      </w:rPr>
    </w:lvl>
    <w:lvl w:ilvl="3">
      <w:start w:val="0"/>
      <w:numFmt w:val="bullet"/>
      <w:lvlText w:val="•"/>
      <w:lvlJc w:val="left"/>
      <w:pPr>
        <w:ind w:left="3879" w:hanging="567"/>
      </w:pPr>
      <w:rPr>
        <w:rFonts w:hint="default"/>
        <w:lang w:val="en-za" w:eastAsia="en-za" w:bidi="en-za"/>
      </w:rPr>
    </w:lvl>
    <w:lvl w:ilvl="4">
      <w:start w:val="0"/>
      <w:numFmt w:val="bullet"/>
      <w:lvlText w:val="•"/>
      <w:lvlJc w:val="left"/>
      <w:pPr>
        <w:ind w:left="4746" w:hanging="567"/>
      </w:pPr>
      <w:rPr>
        <w:rFonts w:hint="default"/>
        <w:lang w:val="en-za" w:eastAsia="en-za" w:bidi="en-za"/>
      </w:rPr>
    </w:lvl>
    <w:lvl w:ilvl="5">
      <w:start w:val="0"/>
      <w:numFmt w:val="bullet"/>
      <w:lvlText w:val="•"/>
      <w:lvlJc w:val="left"/>
      <w:pPr>
        <w:ind w:left="5613" w:hanging="567"/>
      </w:pPr>
      <w:rPr>
        <w:rFonts w:hint="default"/>
        <w:lang w:val="en-za" w:eastAsia="en-za" w:bidi="en-za"/>
      </w:rPr>
    </w:lvl>
    <w:lvl w:ilvl="6">
      <w:start w:val="0"/>
      <w:numFmt w:val="bullet"/>
      <w:lvlText w:val="•"/>
      <w:lvlJc w:val="left"/>
      <w:pPr>
        <w:ind w:left="6479" w:hanging="567"/>
      </w:pPr>
      <w:rPr>
        <w:rFonts w:hint="default"/>
        <w:lang w:val="en-za" w:eastAsia="en-za" w:bidi="en-za"/>
      </w:rPr>
    </w:lvl>
    <w:lvl w:ilvl="7">
      <w:start w:val="0"/>
      <w:numFmt w:val="bullet"/>
      <w:lvlText w:val="•"/>
      <w:lvlJc w:val="left"/>
      <w:pPr>
        <w:ind w:left="7346" w:hanging="567"/>
      </w:pPr>
      <w:rPr>
        <w:rFonts w:hint="default"/>
        <w:lang w:val="en-za" w:eastAsia="en-za" w:bidi="en-za"/>
      </w:rPr>
    </w:lvl>
    <w:lvl w:ilvl="8">
      <w:start w:val="0"/>
      <w:numFmt w:val="bullet"/>
      <w:lvlText w:val="•"/>
      <w:lvlJc w:val="left"/>
      <w:pPr>
        <w:ind w:left="8213" w:hanging="567"/>
      </w:pPr>
      <w:rPr>
        <w:rFonts w:hint="default"/>
        <w:lang w:val="en-za" w:eastAsia="en-za" w:bidi="en-za"/>
      </w:rPr>
    </w:lvl>
  </w:abstractNum>
  <w:abstractNum w:abstractNumId="3">
    <w:multiLevelType w:val="hybridMultilevel"/>
    <w:lvl w:ilvl="0">
      <w:start w:val="2"/>
      <w:numFmt w:val="decimal"/>
      <w:lvlText w:val="(%1)"/>
      <w:lvlJc w:val="left"/>
      <w:pPr>
        <w:ind w:left="1079" w:hanging="360"/>
        <w:jc w:val="left"/>
      </w:pPr>
      <w:rPr>
        <w:rFonts w:hint="default" w:ascii="Arial" w:hAnsi="Arial" w:eastAsia="Arial" w:cs="Arial"/>
        <w:i/>
        <w:w w:val="99"/>
        <w:sz w:val="24"/>
        <w:szCs w:val="24"/>
        <w:lang w:val="en-za" w:eastAsia="en-za" w:bidi="en-za"/>
      </w:rPr>
    </w:lvl>
    <w:lvl w:ilvl="1">
      <w:start w:val="1"/>
      <w:numFmt w:val="lowerLetter"/>
      <w:lvlText w:val="(%2)"/>
      <w:lvlJc w:val="left"/>
      <w:pPr>
        <w:ind w:left="1646" w:hanging="360"/>
        <w:jc w:val="left"/>
      </w:pPr>
      <w:rPr>
        <w:rFonts w:hint="default" w:ascii="Arial" w:hAnsi="Arial" w:eastAsia="Arial" w:cs="Arial"/>
        <w:i/>
        <w:w w:val="99"/>
        <w:sz w:val="24"/>
        <w:szCs w:val="24"/>
        <w:lang w:val="en-za" w:eastAsia="en-za" w:bidi="en-za"/>
      </w:rPr>
    </w:lvl>
    <w:lvl w:ilvl="2">
      <w:start w:val="0"/>
      <w:numFmt w:val="bullet"/>
      <w:lvlText w:val="•"/>
      <w:lvlJc w:val="left"/>
      <w:pPr>
        <w:ind w:left="2562" w:hanging="360"/>
      </w:pPr>
      <w:rPr>
        <w:rFonts w:hint="default"/>
        <w:lang w:val="en-za" w:eastAsia="en-za" w:bidi="en-za"/>
      </w:rPr>
    </w:lvl>
    <w:lvl w:ilvl="3">
      <w:start w:val="0"/>
      <w:numFmt w:val="bullet"/>
      <w:lvlText w:val="•"/>
      <w:lvlJc w:val="left"/>
      <w:pPr>
        <w:ind w:left="3485" w:hanging="360"/>
      </w:pPr>
      <w:rPr>
        <w:rFonts w:hint="default"/>
        <w:lang w:val="en-za" w:eastAsia="en-za" w:bidi="en-za"/>
      </w:rPr>
    </w:lvl>
    <w:lvl w:ilvl="4">
      <w:start w:val="0"/>
      <w:numFmt w:val="bullet"/>
      <w:lvlText w:val="•"/>
      <w:lvlJc w:val="left"/>
      <w:pPr>
        <w:ind w:left="4408" w:hanging="360"/>
      </w:pPr>
      <w:rPr>
        <w:rFonts w:hint="default"/>
        <w:lang w:val="en-za" w:eastAsia="en-za" w:bidi="en-za"/>
      </w:rPr>
    </w:lvl>
    <w:lvl w:ilvl="5">
      <w:start w:val="0"/>
      <w:numFmt w:val="bullet"/>
      <w:lvlText w:val="•"/>
      <w:lvlJc w:val="left"/>
      <w:pPr>
        <w:ind w:left="5331" w:hanging="360"/>
      </w:pPr>
      <w:rPr>
        <w:rFonts w:hint="default"/>
        <w:lang w:val="en-za" w:eastAsia="en-za" w:bidi="en-za"/>
      </w:rPr>
    </w:lvl>
    <w:lvl w:ilvl="6">
      <w:start w:val="0"/>
      <w:numFmt w:val="bullet"/>
      <w:lvlText w:val="•"/>
      <w:lvlJc w:val="left"/>
      <w:pPr>
        <w:ind w:left="6254" w:hanging="360"/>
      </w:pPr>
      <w:rPr>
        <w:rFonts w:hint="default"/>
        <w:lang w:val="en-za" w:eastAsia="en-za" w:bidi="en-za"/>
      </w:rPr>
    </w:lvl>
    <w:lvl w:ilvl="7">
      <w:start w:val="0"/>
      <w:numFmt w:val="bullet"/>
      <w:lvlText w:val="•"/>
      <w:lvlJc w:val="left"/>
      <w:pPr>
        <w:ind w:left="7177" w:hanging="360"/>
      </w:pPr>
      <w:rPr>
        <w:rFonts w:hint="default"/>
        <w:lang w:val="en-za" w:eastAsia="en-za" w:bidi="en-za"/>
      </w:rPr>
    </w:lvl>
    <w:lvl w:ilvl="8">
      <w:start w:val="0"/>
      <w:numFmt w:val="bullet"/>
      <w:lvlText w:val="•"/>
      <w:lvlJc w:val="left"/>
      <w:pPr>
        <w:ind w:left="8100" w:hanging="360"/>
      </w:pPr>
      <w:rPr>
        <w:rFonts w:hint="default"/>
        <w:lang w:val="en-za" w:eastAsia="en-za" w:bidi="en-za"/>
      </w:rPr>
    </w:lvl>
  </w:abstractNum>
  <w:abstractNum w:abstractNumId="2">
    <w:multiLevelType w:val="hybridMultilevel"/>
    <w:lvl w:ilvl="0">
      <w:start w:val="2"/>
      <w:numFmt w:val="decimal"/>
      <w:lvlText w:val="(%1)"/>
      <w:lvlJc w:val="left"/>
      <w:pPr>
        <w:ind w:left="719" w:hanging="368"/>
        <w:jc w:val="left"/>
      </w:pPr>
      <w:rPr>
        <w:rFonts w:hint="default" w:ascii="Arial" w:hAnsi="Arial" w:eastAsia="Arial" w:cs="Arial"/>
        <w:i/>
        <w:color w:val="1B1818"/>
        <w:w w:val="99"/>
        <w:sz w:val="24"/>
        <w:szCs w:val="24"/>
        <w:lang w:val="en-za" w:eastAsia="en-za" w:bidi="en-za"/>
      </w:rPr>
    </w:lvl>
    <w:lvl w:ilvl="1">
      <w:start w:val="1"/>
      <w:numFmt w:val="lowerLetter"/>
      <w:lvlText w:val="(%2)"/>
      <w:lvlJc w:val="left"/>
      <w:pPr>
        <w:ind w:left="1953" w:hanging="360"/>
        <w:jc w:val="left"/>
      </w:pPr>
      <w:rPr>
        <w:rFonts w:hint="default" w:ascii="Arial" w:hAnsi="Arial" w:eastAsia="Arial" w:cs="Arial"/>
        <w:i/>
        <w:color w:val="1B1818"/>
        <w:w w:val="99"/>
        <w:sz w:val="24"/>
        <w:szCs w:val="24"/>
        <w:lang w:val="en-za" w:eastAsia="en-za" w:bidi="en-za"/>
      </w:rPr>
    </w:lvl>
    <w:lvl w:ilvl="2">
      <w:start w:val="0"/>
      <w:numFmt w:val="bullet"/>
      <w:lvlText w:val="•"/>
      <w:lvlJc w:val="left"/>
      <w:pPr>
        <w:ind w:left="2847" w:hanging="360"/>
      </w:pPr>
      <w:rPr>
        <w:rFonts w:hint="default"/>
        <w:lang w:val="en-za" w:eastAsia="en-za" w:bidi="en-za"/>
      </w:rPr>
    </w:lvl>
    <w:lvl w:ilvl="3">
      <w:start w:val="0"/>
      <w:numFmt w:val="bullet"/>
      <w:lvlText w:val="•"/>
      <w:lvlJc w:val="left"/>
      <w:pPr>
        <w:ind w:left="3734" w:hanging="360"/>
      </w:pPr>
      <w:rPr>
        <w:rFonts w:hint="default"/>
        <w:lang w:val="en-za" w:eastAsia="en-za" w:bidi="en-za"/>
      </w:rPr>
    </w:lvl>
    <w:lvl w:ilvl="4">
      <w:start w:val="0"/>
      <w:numFmt w:val="bullet"/>
      <w:lvlText w:val="•"/>
      <w:lvlJc w:val="left"/>
      <w:pPr>
        <w:ind w:left="4622" w:hanging="360"/>
      </w:pPr>
      <w:rPr>
        <w:rFonts w:hint="default"/>
        <w:lang w:val="en-za" w:eastAsia="en-za" w:bidi="en-za"/>
      </w:rPr>
    </w:lvl>
    <w:lvl w:ilvl="5">
      <w:start w:val="0"/>
      <w:numFmt w:val="bullet"/>
      <w:lvlText w:val="•"/>
      <w:lvlJc w:val="left"/>
      <w:pPr>
        <w:ind w:left="5509" w:hanging="360"/>
      </w:pPr>
      <w:rPr>
        <w:rFonts w:hint="default"/>
        <w:lang w:val="en-za" w:eastAsia="en-za" w:bidi="en-za"/>
      </w:rPr>
    </w:lvl>
    <w:lvl w:ilvl="6">
      <w:start w:val="0"/>
      <w:numFmt w:val="bullet"/>
      <w:lvlText w:val="•"/>
      <w:lvlJc w:val="left"/>
      <w:pPr>
        <w:ind w:left="6396" w:hanging="360"/>
      </w:pPr>
      <w:rPr>
        <w:rFonts w:hint="default"/>
        <w:lang w:val="en-za" w:eastAsia="en-za" w:bidi="en-za"/>
      </w:rPr>
    </w:lvl>
    <w:lvl w:ilvl="7">
      <w:start w:val="0"/>
      <w:numFmt w:val="bullet"/>
      <w:lvlText w:val="•"/>
      <w:lvlJc w:val="left"/>
      <w:pPr>
        <w:ind w:left="7284" w:hanging="360"/>
      </w:pPr>
      <w:rPr>
        <w:rFonts w:hint="default"/>
        <w:lang w:val="en-za" w:eastAsia="en-za" w:bidi="en-za"/>
      </w:rPr>
    </w:lvl>
    <w:lvl w:ilvl="8">
      <w:start w:val="0"/>
      <w:numFmt w:val="bullet"/>
      <w:lvlText w:val="•"/>
      <w:lvlJc w:val="left"/>
      <w:pPr>
        <w:ind w:left="8171" w:hanging="360"/>
      </w:pPr>
      <w:rPr>
        <w:rFonts w:hint="default"/>
        <w:lang w:val="en-za" w:eastAsia="en-za" w:bidi="en-za"/>
      </w:rPr>
    </w:lvl>
  </w:abstractNum>
  <w:abstractNum w:abstractNumId="1">
    <w:multiLevelType w:val="hybridMultilevel"/>
    <w:lvl w:ilvl="0">
      <w:start w:val="1"/>
      <w:numFmt w:val="decimal"/>
      <w:lvlText w:val="(%1)"/>
      <w:lvlJc w:val="left"/>
      <w:pPr>
        <w:ind w:left="719" w:hanging="413"/>
        <w:jc w:val="right"/>
      </w:pPr>
      <w:rPr>
        <w:rFonts w:hint="default" w:ascii="Arial" w:hAnsi="Arial" w:eastAsia="Arial" w:cs="Arial"/>
        <w:i/>
        <w:color w:val="1B1818"/>
        <w:w w:val="99"/>
        <w:sz w:val="24"/>
        <w:szCs w:val="24"/>
        <w:lang w:val="en-za" w:eastAsia="en-za" w:bidi="en-za"/>
      </w:rPr>
    </w:lvl>
    <w:lvl w:ilvl="1">
      <w:start w:val="1"/>
      <w:numFmt w:val="lowerLetter"/>
      <w:lvlText w:val="(%2)"/>
      <w:lvlJc w:val="left"/>
      <w:pPr>
        <w:ind w:left="1286" w:hanging="423"/>
        <w:jc w:val="left"/>
      </w:pPr>
      <w:rPr>
        <w:rFonts w:hint="default" w:ascii="Arial" w:hAnsi="Arial" w:eastAsia="Arial" w:cs="Arial"/>
        <w:i/>
        <w:color w:val="1B1818"/>
        <w:w w:val="99"/>
        <w:sz w:val="24"/>
        <w:szCs w:val="24"/>
        <w:lang w:val="en-za" w:eastAsia="en-za" w:bidi="en-za"/>
      </w:rPr>
    </w:lvl>
    <w:lvl w:ilvl="2">
      <w:start w:val="0"/>
      <w:numFmt w:val="bullet"/>
      <w:lvlText w:val="•"/>
      <w:lvlJc w:val="left"/>
      <w:pPr>
        <w:ind w:left="2242" w:hanging="423"/>
      </w:pPr>
      <w:rPr>
        <w:rFonts w:hint="default"/>
        <w:lang w:val="en-za" w:eastAsia="en-za" w:bidi="en-za"/>
      </w:rPr>
    </w:lvl>
    <w:lvl w:ilvl="3">
      <w:start w:val="0"/>
      <w:numFmt w:val="bullet"/>
      <w:lvlText w:val="•"/>
      <w:lvlJc w:val="left"/>
      <w:pPr>
        <w:ind w:left="3205" w:hanging="423"/>
      </w:pPr>
      <w:rPr>
        <w:rFonts w:hint="default"/>
        <w:lang w:val="en-za" w:eastAsia="en-za" w:bidi="en-za"/>
      </w:rPr>
    </w:lvl>
    <w:lvl w:ilvl="4">
      <w:start w:val="0"/>
      <w:numFmt w:val="bullet"/>
      <w:lvlText w:val="•"/>
      <w:lvlJc w:val="left"/>
      <w:pPr>
        <w:ind w:left="4168" w:hanging="423"/>
      </w:pPr>
      <w:rPr>
        <w:rFonts w:hint="default"/>
        <w:lang w:val="en-za" w:eastAsia="en-za" w:bidi="en-za"/>
      </w:rPr>
    </w:lvl>
    <w:lvl w:ilvl="5">
      <w:start w:val="0"/>
      <w:numFmt w:val="bullet"/>
      <w:lvlText w:val="•"/>
      <w:lvlJc w:val="left"/>
      <w:pPr>
        <w:ind w:left="5131" w:hanging="423"/>
      </w:pPr>
      <w:rPr>
        <w:rFonts w:hint="default"/>
        <w:lang w:val="en-za" w:eastAsia="en-za" w:bidi="en-za"/>
      </w:rPr>
    </w:lvl>
    <w:lvl w:ilvl="6">
      <w:start w:val="0"/>
      <w:numFmt w:val="bullet"/>
      <w:lvlText w:val="•"/>
      <w:lvlJc w:val="left"/>
      <w:pPr>
        <w:ind w:left="6094" w:hanging="423"/>
      </w:pPr>
      <w:rPr>
        <w:rFonts w:hint="default"/>
        <w:lang w:val="en-za" w:eastAsia="en-za" w:bidi="en-za"/>
      </w:rPr>
    </w:lvl>
    <w:lvl w:ilvl="7">
      <w:start w:val="0"/>
      <w:numFmt w:val="bullet"/>
      <w:lvlText w:val="•"/>
      <w:lvlJc w:val="left"/>
      <w:pPr>
        <w:ind w:left="7057" w:hanging="423"/>
      </w:pPr>
      <w:rPr>
        <w:rFonts w:hint="default"/>
        <w:lang w:val="en-za" w:eastAsia="en-za" w:bidi="en-za"/>
      </w:rPr>
    </w:lvl>
    <w:lvl w:ilvl="8">
      <w:start w:val="0"/>
      <w:numFmt w:val="bullet"/>
      <w:lvlText w:val="•"/>
      <w:lvlJc w:val="left"/>
      <w:pPr>
        <w:ind w:left="8020" w:hanging="423"/>
      </w:pPr>
      <w:rPr>
        <w:rFonts w:hint="default"/>
        <w:lang w:val="en-za" w:eastAsia="en-za" w:bidi="en-za"/>
      </w:rPr>
    </w:lvl>
  </w:abstractNum>
  <w:abstractNum w:abstractNumId="0">
    <w:multiLevelType w:val="hybridMultilevel"/>
    <w:lvl w:ilvl="0">
      <w:start w:val="1"/>
      <w:numFmt w:val="decimal"/>
      <w:lvlText w:val="%1."/>
      <w:lvlJc w:val="left"/>
      <w:pPr>
        <w:ind w:left="719" w:hanging="567"/>
        <w:jc w:val="left"/>
      </w:pPr>
      <w:rPr>
        <w:rFonts w:hint="default"/>
        <w:spacing w:val="-27"/>
        <w:w w:val="99"/>
        <w:lang w:val="en-za" w:eastAsia="en-za" w:bidi="en-za"/>
      </w:rPr>
    </w:lvl>
    <w:lvl w:ilvl="1">
      <w:start w:val="1"/>
      <w:numFmt w:val="lowerLetter"/>
      <w:lvlText w:val="(%2)"/>
      <w:lvlJc w:val="left"/>
      <w:pPr>
        <w:ind w:left="1593" w:hanging="384"/>
        <w:jc w:val="left"/>
      </w:pPr>
      <w:rPr>
        <w:rFonts w:hint="default"/>
        <w:i/>
        <w:w w:val="99"/>
        <w:lang w:val="en-za" w:eastAsia="en-za" w:bidi="en-za"/>
      </w:rPr>
    </w:lvl>
    <w:lvl w:ilvl="2">
      <w:start w:val="0"/>
      <w:numFmt w:val="bullet"/>
      <w:lvlText w:val="•"/>
      <w:lvlJc w:val="left"/>
      <w:pPr>
        <w:ind w:left="2527" w:hanging="384"/>
      </w:pPr>
      <w:rPr>
        <w:rFonts w:hint="default"/>
        <w:lang w:val="en-za" w:eastAsia="en-za" w:bidi="en-za"/>
      </w:rPr>
    </w:lvl>
    <w:lvl w:ilvl="3">
      <w:start w:val="0"/>
      <w:numFmt w:val="bullet"/>
      <w:lvlText w:val="•"/>
      <w:lvlJc w:val="left"/>
      <w:pPr>
        <w:ind w:left="3454" w:hanging="384"/>
      </w:pPr>
      <w:rPr>
        <w:rFonts w:hint="default"/>
        <w:lang w:val="en-za" w:eastAsia="en-za" w:bidi="en-za"/>
      </w:rPr>
    </w:lvl>
    <w:lvl w:ilvl="4">
      <w:start w:val="0"/>
      <w:numFmt w:val="bullet"/>
      <w:lvlText w:val="•"/>
      <w:lvlJc w:val="left"/>
      <w:pPr>
        <w:ind w:left="4382" w:hanging="384"/>
      </w:pPr>
      <w:rPr>
        <w:rFonts w:hint="default"/>
        <w:lang w:val="en-za" w:eastAsia="en-za" w:bidi="en-za"/>
      </w:rPr>
    </w:lvl>
    <w:lvl w:ilvl="5">
      <w:start w:val="0"/>
      <w:numFmt w:val="bullet"/>
      <w:lvlText w:val="•"/>
      <w:lvlJc w:val="left"/>
      <w:pPr>
        <w:ind w:left="5309" w:hanging="384"/>
      </w:pPr>
      <w:rPr>
        <w:rFonts w:hint="default"/>
        <w:lang w:val="en-za" w:eastAsia="en-za" w:bidi="en-za"/>
      </w:rPr>
    </w:lvl>
    <w:lvl w:ilvl="6">
      <w:start w:val="0"/>
      <w:numFmt w:val="bullet"/>
      <w:lvlText w:val="•"/>
      <w:lvlJc w:val="left"/>
      <w:pPr>
        <w:ind w:left="6236" w:hanging="384"/>
      </w:pPr>
      <w:rPr>
        <w:rFonts w:hint="default"/>
        <w:lang w:val="en-za" w:eastAsia="en-za" w:bidi="en-za"/>
      </w:rPr>
    </w:lvl>
    <w:lvl w:ilvl="7">
      <w:start w:val="0"/>
      <w:numFmt w:val="bullet"/>
      <w:lvlText w:val="•"/>
      <w:lvlJc w:val="left"/>
      <w:pPr>
        <w:ind w:left="7164" w:hanging="384"/>
      </w:pPr>
      <w:rPr>
        <w:rFonts w:hint="default"/>
        <w:lang w:val="en-za" w:eastAsia="en-za" w:bidi="en-za"/>
      </w:rPr>
    </w:lvl>
    <w:lvl w:ilvl="8">
      <w:start w:val="0"/>
      <w:numFmt w:val="bullet"/>
      <w:lvlText w:val="•"/>
      <w:lvlJc w:val="left"/>
      <w:pPr>
        <w:ind w:left="8091" w:hanging="384"/>
      </w:pPr>
      <w:rPr>
        <w:rFonts w:hint="default"/>
        <w:lang w:val="en-za" w:eastAsia="en-za" w:bidi="en-z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4"/>
      <w:szCs w:val="24"/>
      <w:lang w:val="en-za" w:eastAsia="en-za" w:bidi="en-za"/>
    </w:rPr>
  </w:style>
  <w:style w:styleId="Heading1" w:type="paragraph">
    <w:name w:val="Heading 1"/>
    <w:basedOn w:val="Normal"/>
    <w:uiPriority w:val="1"/>
    <w:qFormat/>
    <w:pPr>
      <w:ind w:left="152"/>
      <w:outlineLvl w:val="1"/>
    </w:pPr>
    <w:rPr>
      <w:rFonts w:ascii="Arial" w:hAnsi="Arial" w:eastAsia="Arial" w:cs="Arial"/>
      <w:b/>
      <w:bCs/>
      <w:sz w:val="24"/>
      <w:szCs w:val="24"/>
      <w:lang w:val="en-za" w:eastAsia="en-za" w:bidi="en-za"/>
    </w:rPr>
  </w:style>
  <w:style w:styleId="ListParagraph" w:type="paragraph">
    <w:name w:val="List Paragraph"/>
    <w:basedOn w:val="Normal"/>
    <w:uiPriority w:val="1"/>
    <w:qFormat/>
    <w:pPr>
      <w:ind w:left="719" w:hanging="567"/>
      <w:jc w:val="both"/>
    </w:pPr>
    <w:rPr>
      <w:rFonts w:ascii="Arial" w:hAnsi="Arial" w:eastAsia="Arial" w:cs="Arial"/>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saflii.org/cgi-bin/LawCite?cit=%5b2021%5d%20ZASCA%2091" TargetMode="External"/><Relationship Id="rId8" Type="http://schemas.openxmlformats.org/officeDocument/2006/relationships/image" Target="media/image1.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dcterms:created xsi:type="dcterms:W3CDTF">2023-04-13T08:28:30Z</dcterms:created>
  <dcterms:modified xsi:type="dcterms:W3CDTF">2023-04-13T08:28:30Z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Microsoft® Word for Microsoft 365</vt:lpwstr>
  </property>
  <property fmtid="{D5CDD505-2E9C-101B-9397-08002B2CF9AE}" pid="4" name="LastSaved">
    <vt:filetime>2023-04-13T00:00:00Z</vt:filetime>
  </property>
</Properties>
</file>