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8F0" w:rsidRDefault="00D760E3">
      <w:pPr>
        <w:pStyle w:val="Heading1"/>
        <w:spacing w:before="74" w:line="360" w:lineRule="auto"/>
        <w:ind w:left="3786" w:right="2571" w:hanging="1201"/>
      </w:pPr>
      <w:bookmarkStart w:id="0" w:name="_GoBack"/>
      <w:bookmarkEnd w:id="0"/>
      <w:r>
        <w:t>IN THE NATIONAL CONSUMER TRIBUNAL HELD IN CENTURION</w:t>
      </w:r>
    </w:p>
    <w:p w:rsidR="008448F0" w:rsidRDefault="008448F0">
      <w:pPr>
        <w:pStyle w:val="BodyText"/>
        <w:spacing w:before="10"/>
        <w:rPr>
          <w:b/>
          <w:sz w:val="35"/>
        </w:rPr>
      </w:pPr>
    </w:p>
    <w:p w:rsidR="008448F0" w:rsidRDefault="00D760E3">
      <w:pPr>
        <w:spacing w:before="1"/>
        <w:ind w:left="5418"/>
        <w:rPr>
          <w:b/>
          <w:sz w:val="24"/>
        </w:rPr>
      </w:pPr>
      <w:r>
        <w:rPr>
          <w:sz w:val="24"/>
        </w:rPr>
        <w:t xml:space="preserve">Case number: </w:t>
      </w:r>
      <w:r>
        <w:rPr>
          <w:b/>
          <w:sz w:val="24"/>
        </w:rPr>
        <w:t>NCT/219207/2022/75(1)(b)</w:t>
      </w:r>
    </w:p>
    <w:p w:rsidR="008448F0" w:rsidRDefault="008448F0">
      <w:pPr>
        <w:pStyle w:val="BodyText"/>
        <w:rPr>
          <w:b/>
          <w:sz w:val="20"/>
        </w:rPr>
      </w:pPr>
    </w:p>
    <w:p w:rsidR="008448F0" w:rsidRDefault="008448F0">
      <w:pPr>
        <w:pStyle w:val="BodyText"/>
        <w:spacing w:before="11"/>
        <w:rPr>
          <w:b/>
          <w:sz w:val="19"/>
        </w:rPr>
      </w:pPr>
    </w:p>
    <w:p w:rsidR="008448F0" w:rsidRDefault="00D760E3">
      <w:pPr>
        <w:pStyle w:val="BodyText"/>
        <w:spacing w:before="92"/>
        <w:ind w:left="140"/>
      </w:pPr>
      <w:r>
        <w:t>In the matter between:</w:t>
      </w:r>
    </w:p>
    <w:p w:rsidR="008448F0" w:rsidRDefault="008448F0">
      <w:pPr>
        <w:pStyle w:val="BodyText"/>
        <w:rPr>
          <w:sz w:val="26"/>
        </w:rPr>
      </w:pPr>
    </w:p>
    <w:p w:rsidR="008448F0" w:rsidRDefault="008448F0">
      <w:pPr>
        <w:pStyle w:val="BodyText"/>
        <w:rPr>
          <w:sz w:val="22"/>
        </w:rPr>
      </w:pPr>
    </w:p>
    <w:p w:rsidR="008448F0" w:rsidRDefault="00D760E3">
      <w:pPr>
        <w:tabs>
          <w:tab w:val="left" w:pos="6621"/>
        </w:tabs>
        <w:ind w:left="140"/>
        <w:rPr>
          <w:sz w:val="24"/>
        </w:rPr>
      </w:pPr>
      <w:r>
        <w:rPr>
          <w:b/>
          <w:sz w:val="24"/>
        </w:rPr>
        <w:t>SWASTHI</w:t>
      </w:r>
      <w:r>
        <w:rPr>
          <w:b/>
          <w:spacing w:val="-1"/>
          <w:sz w:val="24"/>
        </w:rPr>
        <w:t xml:space="preserve"> </w:t>
      </w:r>
      <w:r>
        <w:rPr>
          <w:b/>
          <w:sz w:val="24"/>
        </w:rPr>
        <w:t>SINGH</w:t>
      </w:r>
      <w:r>
        <w:rPr>
          <w:b/>
          <w:sz w:val="24"/>
        </w:rPr>
        <w:tab/>
      </w:r>
      <w:r>
        <w:rPr>
          <w:sz w:val="24"/>
        </w:rPr>
        <w:t>APPLICANT</w:t>
      </w:r>
    </w:p>
    <w:p w:rsidR="008448F0" w:rsidRDefault="008448F0">
      <w:pPr>
        <w:pStyle w:val="BodyText"/>
        <w:rPr>
          <w:sz w:val="26"/>
        </w:rPr>
      </w:pPr>
    </w:p>
    <w:p w:rsidR="008448F0" w:rsidRDefault="008448F0">
      <w:pPr>
        <w:pStyle w:val="BodyText"/>
        <w:rPr>
          <w:sz w:val="22"/>
        </w:rPr>
      </w:pPr>
    </w:p>
    <w:p w:rsidR="008448F0" w:rsidRDefault="00D760E3">
      <w:pPr>
        <w:pStyle w:val="BodyText"/>
        <w:ind w:left="140"/>
      </w:pPr>
      <w:r>
        <w:t>And</w:t>
      </w:r>
    </w:p>
    <w:p w:rsidR="008448F0" w:rsidRDefault="008448F0">
      <w:pPr>
        <w:pStyle w:val="BodyText"/>
        <w:rPr>
          <w:sz w:val="26"/>
        </w:rPr>
      </w:pPr>
    </w:p>
    <w:p w:rsidR="008448F0" w:rsidRDefault="008448F0">
      <w:pPr>
        <w:pStyle w:val="BodyText"/>
        <w:spacing w:before="1"/>
        <w:rPr>
          <w:sz w:val="22"/>
        </w:rPr>
      </w:pPr>
    </w:p>
    <w:p w:rsidR="008448F0" w:rsidRDefault="00D760E3">
      <w:pPr>
        <w:pStyle w:val="Heading1"/>
      </w:pPr>
      <w:r>
        <w:t>MASSTORES (PTY) LTD</w:t>
      </w:r>
    </w:p>
    <w:p w:rsidR="008448F0" w:rsidRDefault="00D760E3">
      <w:pPr>
        <w:tabs>
          <w:tab w:val="left" w:pos="6621"/>
        </w:tabs>
        <w:spacing w:before="137"/>
        <w:ind w:left="140"/>
        <w:rPr>
          <w:sz w:val="24"/>
        </w:rPr>
      </w:pPr>
      <w:r>
        <w:rPr>
          <w:b/>
          <w:sz w:val="24"/>
        </w:rPr>
        <w:t>Trading</w:t>
      </w:r>
      <w:r>
        <w:rPr>
          <w:b/>
          <w:spacing w:val="-3"/>
          <w:sz w:val="24"/>
        </w:rPr>
        <w:t xml:space="preserve"> </w:t>
      </w:r>
      <w:r>
        <w:rPr>
          <w:b/>
          <w:sz w:val="24"/>
        </w:rPr>
        <w:t>as</w:t>
      </w:r>
      <w:r>
        <w:rPr>
          <w:b/>
          <w:spacing w:val="-1"/>
          <w:sz w:val="24"/>
        </w:rPr>
        <w:t xml:space="preserve"> </w:t>
      </w:r>
      <w:r>
        <w:rPr>
          <w:b/>
          <w:sz w:val="24"/>
        </w:rPr>
        <w:t>MAKRO</w:t>
      </w:r>
      <w:r>
        <w:rPr>
          <w:b/>
          <w:sz w:val="24"/>
        </w:rPr>
        <w:tab/>
      </w:r>
      <w:r>
        <w:rPr>
          <w:sz w:val="24"/>
        </w:rPr>
        <w:t>RESPONDENT</w:t>
      </w:r>
    </w:p>
    <w:p w:rsidR="008448F0" w:rsidRDefault="008448F0">
      <w:pPr>
        <w:pStyle w:val="BodyText"/>
        <w:rPr>
          <w:sz w:val="26"/>
        </w:rPr>
      </w:pPr>
    </w:p>
    <w:p w:rsidR="008448F0" w:rsidRDefault="008448F0">
      <w:pPr>
        <w:pStyle w:val="BodyText"/>
        <w:rPr>
          <w:sz w:val="22"/>
        </w:rPr>
      </w:pPr>
    </w:p>
    <w:p w:rsidR="008448F0" w:rsidRDefault="00D760E3">
      <w:pPr>
        <w:ind w:left="140"/>
        <w:rPr>
          <w:b/>
          <w:i/>
          <w:sz w:val="24"/>
        </w:rPr>
      </w:pPr>
      <w:r>
        <w:rPr>
          <w:b/>
          <w:i/>
          <w:sz w:val="24"/>
          <w:u w:val="thick"/>
        </w:rPr>
        <w:t>Coram</w:t>
      </w:r>
    </w:p>
    <w:p w:rsidR="008448F0" w:rsidRDefault="008448F0">
      <w:pPr>
        <w:pStyle w:val="BodyText"/>
        <w:rPr>
          <w:b/>
          <w:i/>
          <w:sz w:val="20"/>
        </w:rPr>
      </w:pPr>
    </w:p>
    <w:p w:rsidR="008448F0" w:rsidRDefault="008448F0">
      <w:pPr>
        <w:pStyle w:val="BodyText"/>
        <w:rPr>
          <w:b/>
          <w:i/>
          <w:sz w:val="20"/>
        </w:rPr>
      </w:pPr>
    </w:p>
    <w:p w:rsidR="008448F0" w:rsidRDefault="00D760E3">
      <w:pPr>
        <w:pStyle w:val="BodyText"/>
        <w:tabs>
          <w:tab w:val="left" w:pos="2367"/>
        </w:tabs>
        <w:spacing w:before="92" w:line="360" w:lineRule="auto"/>
        <w:ind w:left="140" w:right="4627"/>
      </w:pPr>
      <w:r>
        <w:t>Adv.</w:t>
      </w:r>
      <w:r>
        <w:rPr>
          <w:spacing w:val="-1"/>
        </w:rPr>
        <w:t xml:space="preserve"> </w:t>
      </w:r>
      <w:r>
        <w:t>J</w:t>
      </w:r>
      <w:r>
        <w:rPr>
          <w:spacing w:val="-3"/>
        </w:rPr>
        <w:t xml:space="preserve"> </w:t>
      </w:r>
      <w:r>
        <w:t>Simpson</w:t>
      </w:r>
      <w:r>
        <w:tab/>
        <w:t>- Presiding Tribunal member Prof</w:t>
      </w:r>
      <w:r>
        <w:rPr>
          <w:spacing w:val="1"/>
        </w:rPr>
        <w:t xml:space="preserve"> </w:t>
      </w:r>
      <w:r>
        <w:t>T</w:t>
      </w:r>
      <w:r>
        <w:rPr>
          <w:spacing w:val="-3"/>
        </w:rPr>
        <w:t xml:space="preserve"> </w:t>
      </w:r>
      <w:r>
        <w:t>Woker</w:t>
      </w:r>
      <w:r>
        <w:tab/>
        <w:t>- Tribunal</w:t>
      </w:r>
      <w:r>
        <w:rPr>
          <w:spacing w:val="-4"/>
        </w:rPr>
        <w:t xml:space="preserve"> </w:t>
      </w:r>
      <w:r>
        <w:t>member</w:t>
      </w:r>
    </w:p>
    <w:p w:rsidR="008448F0" w:rsidRDefault="00D760E3">
      <w:pPr>
        <w:pStyle w:val="BodyText"/>
        <w:tabs>
          <w:tab w:val="left" w:pos="2367"/>
        </w:tabs>
        <w:ind w:left="140"/>
      </w:pPr>
      <w:r>
        <w:t>Prof B Dumisa</w:t>
      </w:r>
      <w:r>
        <w:tab/>
        <w:t>- Tribunal</w:t>
      </w:r>
      <w:r>
        <w:rPr>
          <w:spacing w:val="-6"/>
        </w:rPr>
        <w:t xml:space="preserve"> </w:t>
      </w:r>
      <w:r>
        <w:t>member</w:t>
      </w:r>
    </w:p>
    <w:p w:rsidR="008448F0" w:rsidRDefault="008448F0">
      <w:pPr>
        <w:pStyle w:val="BodyText"/>
        <w:rPr>
          <w:sz w:val="26"/>
        </w:rPr>
      </w:pPr>
    </w:p>
    <w:p w:rsidR="008448F0" w:rsidRDefault="008448F0">
      <w:pPr>
        <w:pStyle w:val="BodyText"/>
        <w:rPr>
          <w:sz w:val="22"/>
        </w:rPr>
      </w:pPr>
    </w:p>
    <w:p w:rsidR="008448F0" w:rsidRDefault="00D760E3">
      <w:pPr>
        <w:pStyle w:val="BodyText"/>
        <w:tabs>
          <w:tab w:val="left" w:pos="2367"/>
        </w:tabs>
        <w:spacing w:line="360" w:lineRule="auto"/>
        <w:ind w:left="140" w:right="6053"/>
      </w:pPr>
      <w:r>
        <w:t>Date</w:t>
      </w:r>
      <w:r>
        <w:rPr>
          <w:spacing w:val="-2"/>
        </w:rPr>
        <w:t xml:space="preserve"> </w:t>
      </w:r>
      <w:r>
        <w:t>of Hearing</w:t>
      </w:r>
      <w:r>
        <w:tab/>
        <w:t xml:space="preserve">- 23 June </w:t>
      </w:r>
      <w:r>
        <w:rPr>
          <w:spacing w:val="-4"/>
        </w:rPr>
        <w:t xml:space="preserve">2022 </w:t>
      </w:r>
      <w:r>
        <w:t>Date</w:t>
      </w:r>
      <w:r>
        <w:rPr>
          <w:spacing w:val="-2"/>
        </w:rPr>
        <w:t xml:space="preserve"> </w:t>
      </w:r>
      <w:r>
        <w:t>of</w:t>
      </w:r>
      <w:r>
        <w:rPr>
          <w:spacing w:val="-1"/>
        </w:rPr>
        <w:t xml:space="preserve"> </w:t>
      </w:r>
      <w:r>
        <w:t>Judgment</w:t>
      </w:r>
      <w:r>
        <w:tab/>
        <w:t>- 27 June</w:t>
      </w:r>
      <w:r>
        <w:rPr>
          <w:spacing w:val="1"/>
        </w:rPr>
        <w:t xml:space="preserve"> </w:t>
      </w:r>
      <w:r>
        <w:rPr>
          <w:spacing w:val="-4"/>
        </w:rPr>
        <w:t>2022</w:t>
      </w:r>
    </w:p>
    <w:p w:rsidR="008448F0" w:rsidRDefault="008448F0">
      <w:pPr>
        <w:pStyle w:val="BodyText"/>
        <w:rPr>
          <w:sz w:val="20"/>
        </w:rPr>
      </w:pPr>
    </w:p>
    <w:p w:rsidR="008448F0" w:rsidRDefault="008448F0">
      <w:pPr>
        <w:pStyle w:val="BodyText"/>
        <w:rPr>
          <w:sz w:val="20"/>
        </w:rPr>
      </w:pPr>
    </w:p>
    <w:p w:rsidR="008448F0" w:rsidRDefault="00D760E3">
      <w:pPr>
        <w:pStyle w:val="BodyText"/>
        <w:spacing w:before="7"/>
        <w:rPr>
          <w:sz w:val="14"/>
        </w:rPr>
      </w:pPr>
      <w:r>
        <w:pict>
          <v:shape id="_x0000_s1029" style="position:absolute;margin-left:54pt;margin-top:10.9pt;width:486.65pt;height:.1pt;z-index:-251658240;mso-wrap-distance-left:0;mso-wrap-distance-right:0;mso-position-horizontal-relative:page" coordorigin="1080,218" coordsize="9733,0" path="m1080,218r9732,e" filled="f" strokeweight=".37678mm">
            <v:path arrowok="t"/>
            <w10:wrap type="topAndBottom" anchorx="page"/>
          </v:shape>
        </w:pict>
      </w:r>
    </w:p>
    <w:p w:rsidR="008448F0" w:rsidRDefault="008448F0">
      <w:pPr>
        <w:pStyle w:val="BodyText"/>
        <w:spacing w:before="5"/>
        <w:rPr>
          <w:sz w:val="22"/>
        </w:rPr>
      </w:pPr>
    </w:p>
    <w:p w:rsidR="008448F0" w:rsidRDefault="00D760E3">
      <w:pPr>
        <w:pStyle w:val="Heading1"/>
        <w:spacing w:before="93"/>
        <w:ind w:left="3057"/>
      </w:pPr>
      <w:r>
        <w:t>JUDGEMENT AND REASONS</w:t>
      </w:r>
    </w:p>
    <w:p w:rsidR="008448F0" w:rsidRDefault="008448F0">
      <w:pPr>
        <w:pStyle w:val="BodyText"/>
        <w:rPr>
          <w:b/>
          <w:sz w:val="20"/>
        </w:rPr>
      </w:pPr>
    </w:p>
    <w:p w:rsidR="008448F0" w:rsidRDefault="00D760E3">
      <w:pPr>
        <w:pStyle w:val="BodyText"/>
        <w:spacing w:before="6"/>
        <w:rPr>
          <w:b/>
          <w:sz w:val="10"/>
        </w:rPr>
      </w:pPr>
      <w:r>
        <w:pict>
          <v:shape id="_x0000_s1028" style="position:absolute;margin-left:54pt;margin-top:8.55pt;width:486.65pt;height:.1pt;z-index:-251657216;mso-wrap-distance-left:0;mso-wrap-distance-right:0;mso-position-horizontal-relative:page" coordorigin="1080,171" coordsize="9733,0" path="m1080,171r9732,e" filled="f" strokeweight=".37678mm">
            <v:path arrowok="t"/>
            <w10:wrap type="topAndBottom" anchorx="page"/>
          </v:shape>
        </w:pict>
      </w:r>
    </w:p>
    <w:p w:rsidR="008448F0" w:rsidRDefault="008448F0">
      <w:pPr>
        <w:pStyle w:val="BodyText"/>
        <w:rPr>
          <w:b/>
          <w:sz w:val="20"/>
        </w:rPr>
      </w:pPr>
    </w:p>
    <w:p w:rsidR="008448F0" w:rsidRDefault="008448F0">
      <w:pPr>
        <w:pStyle w:val="BodyText"/>
        <w:rPr>
          <w:b/>
          <w:sz w:val="20"/>
        </w:rPr>
      </w:pPr>
    </w:p>
    <w:p w:rsidR="008448F0" w:rsidRDefault="008448F0">
      <w:pPr>
        <w:pStyle w:val="BodyText"/>
        <w:spacing w:before="6"/>
        <w:rPr>
          <w:b/>
          <w:sz w:val="18"/>
        </w:rPr>
      </w:pPr>
    </w:p>
    <w:p w:rsidR="008448F0" w:rsidRDefault="00D760E3">
      <w:pPr>
        <w:spacing w:before="93"/>
        <w:ind w:left="140"/>
        <w:rPr>
          <w:b/>
          <w:sz w:val="24"/>
        </w:rPr>
      </w:pPr>
      <w:r>
        <w:rPr>
          <w:b/>
          <w:sz w:val="24"/>
        </w:rPr>
        <w:t>THE PARTIES</w:t>
      </w:r>
    </w:p>
    <w:p w:rsidR="008448F0" w:rsidRDefault="008448F0">
      <w:pPr>
        <w:pStyle w:val="BodyText"/>
        <w:spacing w:before="9"/>
        <w:rPr>
          <w:b/>
          <w:sz w:val="32"/>
        </w:rPr>
      </w:pPr>
    </w:p>
    <w:p w:rsidR="008448F0" w:rsidRPr="00997D64" w:rsidRDefault="00997D64" w:rsidP="00997D64">
      <w:pPr>
        <w:tabs>
          <w:tab w:val="left" w:pos="707"/>
        </w:tabs>
        <w:spacing w:line="360" w:lineRule="auto"/>
        <w:ind w:left="706" w:right="134" w:hanging="567"/>
        <w:jc w:val="both"/>
        <w:rPr>
          <w:sz w:val="24"/>
        </w:rPr>
      </w:pPr>
      <w:r>
        <w:rPr>
          <w:spacing w:val="-16"/>
          <w:w w:val="99"/>
          <w:sz w:val="24"/>
        </w:rPr>
        <w:t>1.</w:t>
      </w:r>
      <w:r>
        <w:rPr>
          <w:spacing w:val="-16"/>
          <w:w w:val="99"/>
          <w:sz w:val="24"/>
        </w:rPr>
        <w:tab/>
      </w:r>
      <w:r w:rsidR="00D760E3" w:rsidRPr="00997D64">
        <w:rPr>
          <w:sz w:val="24"/>
        </w:rPr>
        <w:t>The Applicant in this matter is Swasthi Singh, an adult female residing in Queensburgh, Kwa-Zulu Natal (“the Applicant” or “Ms Singh”). At the hearing, Ms Singh appeared in</w:t>
      </w:r>
      <w:r w:rsidR="00D760E3" w:rsidRPr="00997D64">
        <w:rPr>
          <w:spacing w:val="-5"/>
          <w:sz w:val="24"/>
        </w:rPr>
        <w:t xml:space="preserve"> </w:t>
      </w:r>
      <w:r w:rsidR="00D760E3" w:rsidRPr="00997D64">
        <w:rPr>
          <w:sz w:val="24"/>
        </w:rPr>
        <w:t>person.</w:t>
      </w:r>
    </w:p>
    <w:p w:rsidR="008448F0" w:rsidRDefault="008448F0">
      <w:pPr>
        <w:pStyle w:val="BodyText"/>
        <w:rPr>
          <w:sz w:val="21"/>
        </w:rPr>
      </w:pPr>
    </w:p>
    <w:p w:rsidR="008448F0" w:rsidRPr="00997D64" w:rsidRDefault="00997D64" w:rsidP="00997D64">
      <w:pPr>
        <w:tabs>
          <w:tab w:val="left" w:pos="707"/>
        </w:tabs>
        <w:spacing w:line="360" w:lineRule="auto"/>
        <w:ind w:left="706" w:right="135" w:hanging="567"/>
        <w:jc w:val="both"/>
        <w:rPr>
          <w:sz w:val="24"/>
        </w:rPr>
      </w:pPr>
      <w:r>
        <w:rPr>
          <w:spacing w:val="-16"/>
          <w:w w:val="99"/>
          <w:sz w:val="24"/>
        </w:rPr>
        <w:t>2.</w:t>
      </w:r>
      <w:r>
        <w:rPr>
          <w:spacing w:val="-16"/>
          <w:w w:val="99"/>
          <w:sz w:val="24"/>
        </w:rPr>
        <w:tab/>
      </w:r>
      <w:r w:rsidR="00D760E3" w:rsidRPr="00997D64">
        <w:rPr>
          <w:sz w:val="24"/>
        </w:rPr>
        <w:t>The Respondent is Masstores (Pty) Ltd, trading as Makro, with its register</w:t>
      </w:r>
      <w:r w:rsidR="00D760E3" w:rsidRPr="00997D64">
        <w:rPr>
          <w:sz w:val="24"/>
        </w:rPr>
        <w:t>ed address at 16 Peltier Drive, Sunninghill, Sandton (“the Respondent” or “Makro”). There was no representative for the Respondent at the</w:t>
      </w:r>
      <w:r w:rsidR="00D760E3" w:rsidRPr="00997D64">
        <w:rPr>
          <w:spacing w:val="-8"/>
          <w:sz w:val="24"/>
        </w:rPr>
        <w:t xml:space="preserve"> </w:t>
      </w:r>
      <w:r w:rsidR="00D760E3" w:rsidRPr="00997D64">
        <w:rPr>
          <w:sz w:val="24"/>
        </w:rPr>
        <w:t>hearing.</w:t>
      </w:r>
    </w:p>
    <w:p w:rsidR="008448F0" w:rsidRDefault="00D760E3">
      <w:pPr>
        <w:pStyle w:val="BodyText"/>
        <w:spacing w:before="8"/>
        <w:rPr>
          <w:sz w:val="18"/>
        </w:rPr>
      </w:pPr>
      <w:r>
        <w:pict>
          <v:shape id="_x0000_s1027" style="position:absolute;margin-left:52.55pt;margin-top:13.5pt;width:490.3pt;height:.1pt;z-index:-251656192;mso-wrap-distance-left:0;mso-wrap-distance-right:0;mso-position-horizontal-relative:page" coordorigin="1051,270" coordsize="9806,0" path="m1051,270r9806,e" filled="f" strokeweight="1.44pt">
            <v:path arrowok="t"/>
            <w10:wrap type="topAndBottom" anchorx="page"/>
          </v:shape>
        </w:pict>
      </w:r>
    </w:p>
    <w:p w:rsidR="008448F0" w:rsidRDefault="008448F0">
      <w:pPr>
        <w:rPr>
          <w:sz w:val="18"/>
        </w:rPr>
        <w:sectPr w:rsidR="008448F0">
          <w:footerReference w:type="default" r:id="rId7"/>
          <w:type w:val="continuous"/>
          <w:pgSz w:w="11910" w:h="16840"/>
          <w:pgMar w:top="760" w:right="940" w:bottom="400" w:left="940" w:header="720" w:footer="211" w:gutter="0"/>
          <w:pgNumType w:start="1"/>
          <w:cols w:space="720"/>
        </w:sectPr>
      </w:pPr>
    </w:p>
    <w:p w:rsidR="008448F0" w:rsidRDefault="008448F0">
      <w:pPr>
        <w:pStyle w:val="BodyText"/>
        <w:rPr>
          <w:sz w:val="20"/>
        </w:rPr>
      </w:pPr>
    </w:p>
    <w:p w:rsidR="008448F0" w:rsidRDefault="008448F0">
      <w:pPr>
        <w:pStyle w:val="BodyText"/>
        <w:spacing w:before="11"/>
        <w:rPr>
          <w:sz w:val="20"/>
        </w:rPr>
      </w:pPr>
    </w:p>
    <w:p w:rsidR="008448F0" w:rsidRDefault="00D760E3">
      <w:pPr>
        <w:pStyle w:val="Heading1"/>
        <w:spacing w:before="92"/>
      </w:pPr>
      <w:r>
        <w:t>APPLICATION TYPE</w:t>
      </w:r>
    </w:p>
    <w:p w:rsidR="008448F0" w:rsidRDefault="008448F0">
      <w:pPr>
        <w:pStyle w:val="BodyText"/>
        <w:rPr>
          <w:b/>
          <w:sz w:val="33"/>
        </w:rPr>
      </w:pPr>
    </w:p>
    <w:p w:rsidR="008448F0" w:rsidRPr="00997D64" w:rsidRDefault="00997D64" w:rsidP="00997D64">
      <w:pPr>
        <w:tabs>
          <w:tab w:val="left" w:pos="707"/>
        </w:tabs>
        <w:spacing w:line="360" w:lineRule="auto"/>
        <w:ind w:left="706" w:right="142" w:hanging="567"/>
        <w:jc w:val="both"/>
        <w:rPr>
          <w:sz w:val="24"/>
        </w:rPr>
      </w:pPr>
      <w:r>
        <w:rPr>
          <w:spacing w:val="-16"/>
          <w:w w:val="99"/>
          <w:sz w:val="24"/>
        </w:rPr>
        <w:t>3.</w:t>
      </w:r>
      <w:r>
        <w:rPr>
          <w:spacing w:val="-16"/>
          <w:w w:val="99"/>
          <w:sz w:val="24"/>
        </w:rPr>
        <w:tab/>
      </w:r>
      <w:r w:rsidR="00D760E3" w:rsidRPr="00997D64">
        <w:rPr>
          <w:sz w:val="24"/>
        </w:rPr>
        <w:t>The application is in terms of Section 75(1)(b) of the Consumer Protection Act, Act 68 of 2008 (“the</w:t>
      </w:r>
      <w:r w:rsidR="00D760E3" w:rsidRPr="00997D64">
        <w:rPr>
          <w:spacing w:val="-3"/>
          <w:sz w:val="24"/>
        </w:rPr>
        <w:t xml:space="preserve"> </w:t>
      </w:r>
      <w:r w:rsidR="00D760E3" w:rsidRPr="00997D64">
        <w:rPr>
          <w:sz w:val="24"/>
        </w:rPr>
        <w:t>CPA”).</w:t>
      </w:r>
    </w:p>
    <w:p w:rsidR="008448F0" w:rsidRDefault="008448F0">
      <w:pPr>
        <w:pStyle w:val="BodyText"/>
        <w:spacing w:before="10"/>
        <w:rPr>
          <w:sz w:val="20"/>
        </w:rPr>
      </w:pPr>
    </w:p>
    <w:p w:rsidR="008448F0" w:rsidRPr="00997D64" w:rsidRDefault="00997D64" w:rsidP="00997D64">
      <w:pPr>
        <w:tabs>
          <w:tab w:val="left" w:pos="707"/>
        </w:tabs>
        <w:spacing w:line="360" w:lineRule="auto"/>
        <w:ind w:left="706" w:right="135" w:hanging="567"/>
        <w:jc w:val="both"/>
        <w:rPr>
          <w:sz w:val="24"/>
        </w:rPr>
      </w:pPr>
      <w:r>
        <w:rPr>
          <w:spacing w:val="-16"/>
          <w:w w:val="99"/>
          <w:sz w:val="24"/>
        </w:rPr>
        <w:t>4.</w:t>
      </w:r>
      <w:r>
        <w:rPr>
          <w:spacing w:val="-16"/>
          <w:w w:val="99"/>
          <w:sz w:val="24"/>
        </w:rPr>
        <w:tab/>
      </w:r>
      <w:r w:rsidR="00D760E3" w:rsidRPr="00997D64">
        <w:rPr>
          <w:sz w:val="24"/>
        </w:rPr>
        <w:t>In a written judgment dated 19 April 2022, a member of the Tribunal granted leave for the matter to be heard by a full panel of the Tribunal. This judgment follows a hearing of the matter on the main</w:t>
      </w:r>
      <w:r w:rsidR="00D760E3" w:rsidRPr="00997D64">
        <w:rPr>
          <w:spacing w:val="-5"/>
          <w:sz w:val="24"/>
        </w:rPr>
        <w:t xml:space="preserve"> </w:t>
      </w:r>
      <w:r w:rsidR="00D760E3" w:rsidRPr="00997D64">
        <w:rPr>
          <w:sz w:val="24"/>
        </w:rPr>
        <w:t>merits.</w:t>
      </w:r>
    </w:p>
    <w:p w:rsidR="008448F0" w:rsidRDefault="008448F0">
      <w:pPr>
        <w:pStyle w:val="BodyText"/>
        <w:spacing w:before="9"/>
        <w:rPr>
          <w:sz w:val="20"/>
        </w:rPr>
      </w:pPr>
    </w:p>
    <w:p w:rsidR="008448F0" w:rsidRDefault="00D760E3">
      <w:pPr>
        <w:pStyle w:val="Heading1"/>
      </w:pPr>
      <w:r>
        <w:t>HEARING IN DEFAULT</w:t>
      </w:r>
    </w:p>
    <w:p w:rsidR="008448F0" w:rsidRDefault="008448F0">
      <w:pPr>
        <w:pStyle w:val="BodyText"/>
        <w:rPr>
          <w:b/>
          <w:sz w:val="33"/>
        </w:rPr>
      </w:pPr>
    </w:p>
    <w:p w:rsidR="008448F0" w:rsidRPr="00997D64" w:rsidRDefault="00997D64" w:rsidP="00997D64">
      <w:pPr>
        <w:tabs>
          <w:tab w:val="left" w:pos="707"/>
        </w:tabs>
        <w:spacing w:line="360" w:lineRule="auto"/>
        <w:ind w:left="706" w:right="136" w:hanging="567"/>
        <w:jc w:val="both"/>
        <w:rPr>
          <w:sz w:val="24"/>
        </w:rPr>
      </w:pPr>
      <w:r>
        <w:rPr>
          <w:spacing w:val="-16"/>
          <w:w w:val="99"/>
          <w:sz w:val="24"/>
        </w:rPr>
        <w:t>5.</w:t>
      </w:r>
      <w:r>
        <w:rPr>
          <w:spacing w:val="-16"/>
          <w:w w:val="99"/>
          <w:sz w:val="24"/>
        </w:rPr>
        <w:tab/>
      </w:r>
      <w:r w:rsidR="00D760E3" w:rsidRPr="00997D64">
        <w:rPr>
          <w:sz w:val="24"/>
        </w:rPr>
        <w:t>Throughout the entire histo</w:t>
      </w:r>
      <w:r w:rsidR="00D760E3" w:rsidRPr="00997D64">
        <w:rPr>
          <w:sz w:val="24"/>
        </w:rPr>
        <w:t xml:space="preserve">ry of the matter with the Tribunal, the Respondent has never filed any answering affidavit or pleading. The hearing on the leave to refer was heard on a default basis. The application was served on the Respondent by registered mail. The Registrar issued a </w:t>
      </w:r>
      <w:r w:rsidR="00D760E3" w:rsidRPr="00997D64">
        <w:rPr>
          <w:sz w:val="24"/>
        </w:rPr>
        <w:t>notice of filing on 24 February 2022. The notice was sent to the Respondent by registered post and by email. On 25 May 2022, the Registrar issued a notice of set down to all the parties advising them of the hearing on 23 June 2022.</w:t>
      </w:r>
    </w:p>
    <w:p w:rsidR="008448F0" w:rsidRDefault="008448F0">
      <w:pPr>
        <w:pStyle w:val="BodyText"/>
        <w:spacing w:before="4"/>
        <w:rPr>
          <w:sz w:val="20"/>
        </w:rPr>
      </w:pPr>
    </w:p>
    <w:p w:rsidR="008448F0" w:rsidRPr="00997D64" w:rsidRDefault="00997D64" w:rsidP="00997D64">
      <w:pPr>
        <w:tabs>
          <w:tab w:val="left" w:pos="707"/>
        </w:tabs>
        <w:spacing w:line="360" w:lineRule="auto"/>
        <w:ind w:left="706" w:right="139" w:hanging="567"/>
        <w:jc w:val="both"/>
        <w:rPr>
          <w:sz w:val="24"/>
        </w:rPr>
      </w:pPr>
      <w:r>
        <w:rPr>
          <w:spacing w:val="-16"/>
          <w:w w:val="99"/>
          <w:sz w:val="24"/>
        </w:rPr>
        <w:t>6.</w:t>
      </w:r>
      <w:r>
        <w:rPr>
          <w:spacing w:val="-16"/>
          <w:w w:val="99"/>
          <w:sz w:val="24"/>
        </w:rPr>
        <w:tab/>
      </w:r>
      <w:r w:rsidR="00D760E3" w:rsidRPr="00997D64">
        <w:rPr>
          <w:sz w:val="24"/>
        </w:rPr>
        <w:t xml:space="preserve">In terms of Rule 13 of </w:t>
      </w:r>
      <w:r w:rsidR="00D760E3" w:rsidRPr="00997D64">
        <w:rPr>
          <w:sz w:val="24"/>
        </w:rPr>
        <w:t>the Rules of the Tribunal</w:t>
      </w:r>
      <w:r w:rsidR="00D760E3" w:rsidRPr="00997D64">
        <w:rPr>
          <w:position w:val="8"/>
          <w:sz w:val="16"/>
        </w:rPr>
        <w:t>1</w:t>
      </w:r>
      <w:r w:rsidR="00D760E3" w:rsidRPr="00997D64">
        <w:rPr>
          <w:sz w:val="24"/>
        </w:rPr>
        <w:t>, the Respondent had to respond to the application within 15 business days by serving an answering affidavit on the Applicant. However, the Respondent failed to do</w:t>
      </w:r>
      <w:r w:rsidR="00D760E3" w:rsidRPr="00997D64">
        <w:rPr>
          <w:spacing w:val="-8"/>
          <w:sz w:val="24"/>
        </w:rPr>
        <w:t xml:space="preserve"> </w:t>
      </w:r>
      <w:r w:rsidR="00D760E3" w:rsidRPr="00997D64">
        <w:rPr>
          <w:sz w:val="24"/>
        </w:rPr>
        <w:t>so.</w:t>
      </w:r>
    </w:p>
    <w:p w:rsidR="008448F0" w:rsidRDefault="008448F0">
      <w:pPr>
        <w:pStyle w:val="BodyText"/>
        <w:spacing w:before="10"/>
        <w:rPr>
          <w:sz w:val="20"/>
        </w:rPr>
      </w:pPr>
    </w:p>
    <w:p w:rsidR="008448F0" w:rsidRPr="00997D64" w:rsidRDefault="00997D64" w:rsidP="00997D64">
      <w:pPr>
        <w:tabs>
          <w:tab w:val="left" w:pos="706"/>
          <w:tab w:val="left" w:pos="707"/>
        </w:tabs>
        <w:ind w:left="706" w:hanging="567"/>
        <w:rPr>
          <w:sz w:val="24"/>
        </w:rPr>
      </w:pPr>
      <w:r>
        <w:rPr>
          <w:spacing w:val="-16"/>
          <w:w w:val="99"/>
          <w:sz w:val="24"/>
        </w:rPr>
        <w:t>7.</w:t>
      </w:r>
      <w:r>
        <w:rPr>
          <w:spacing w:val="-16"/>
          <w:w w:val="99"/>
          <w:sz w:val="24"/>
        </w:rPr>
        <w:tab/>
      </w:r>
      <w:r w:rsidR="00D760E3" w:rsidRPr="00997D64">
        <w:rPr>
          <w:sz w:val="24"/>
        </w:rPr>
        <w:t>The Applicant did not file an application for a default order</w:t>
      </w:r>
      <w:r w:rsidR="00D760E3" w:rsidRPr="00997D64">
        <w:rPr>
          <w:sz w:val="24"/>
        </w:rPr>
        <w:t xml:space="preserve"> in terms of Rule</w:t>
      </w:r>
      <w:r w:rsidR="00D760E3" w:rsidRPr="00997D64">
        <w:rPr>
          <w:spacing w:val="-19"/>
          <w:sz w:val="24"/>
        </w:rPr>
        <w:t xml:space="preserve"> </w:t>
      </w:r>
      <w:r w:rsidR="00D760E3" w:rsidRPr="00997D64">
        <w:rPr>
          <w:sz w:val="24"/>
        </w:rPr>
        <w:t>25(2).</w:t>
      </w:r>
    </w:p>
    <w:p w:rsidR="008448F0" w:rsidRDefault="008448F0">
      <w:pPr>
        <w:pStyle w:val="BodyText"/>
        <w:spacing w:before="11"/>
        <w:rPr>
          <w:sz w:val="32"/>
        </w:rPr>
      </w:pPr>
    </w:p>
    <w:p w:rsidR="008448F0" w:rsidRPr="00997D64" w:rsidRDefault="00997D64" w:rsidP="00997D64">
      <w:pPr>
        <w:tabs>
          <w:tab w:val="left" w:pos="707"/>
        </w:tabs>
        <w:spacing w:line="360" w:lineRule="auto"/>
        <w:ind w:left="706" w:right="145" w:hanging="567"/>
        <w:jc w:val="both"/>
        <w:rPr>
          <w:sz w:val="24"/>
        </w:rPr>
      </w:pPr>
      <w:r>
        <w:rPr>
          <w:spacing w:val="-16"/>
          <w:w w:val="99"/>
          <w:sz w:val="24"/>
        </w:rPr>
        <w:t>8.</w:t>
      </w:r>
      <w:r>
        <w:rPr>
          <w:spacing w:val="-16"/>
          <w:w w:val="99"/>
          <w:sz w:val="24"/>
        </w:rPr>
        <w:tab/>
      </w:r>
      <w:r w:rsidR="00D760E3" w:rsidRPr="00997D64">
        <w:rPr>
          <w:sz w:val="24"/>
        </w:rPr>
        <w:t>The Registrar correctly set the matter down for hearing on a default basis due to the pleadings being</w:t>
      </w:r>
      <w:r w:rsidR="00D760E3" w:rsidRPr="00997D64">
        <w:rPr>
          <w:spacing w:val="-2"/>
          <w:sz w:val="24"/>
        </w:rPr>
        <w:t xml:space="preserve"> </w:t>
      </w:r>
      <w:r w:rsidR="00D760E3" w:rsidRPr="00997D64">
        <w:rPr>
          <w:sz w:val="24"/>
        </w:rPr>
        <w:t>closed.</w:t>
      </w:r>
    </w:p>
    <w:p w:rsidR="008448F0" w:rsidRDefault="008448F0">
      <w:pPr>
        <w:pStyle w:val="BodyText"/>
        <w:spacing w:before="10"/>
        <w:rPr>
          <w:sz w:val="20"/>
        </w:rPr>
      </w:pPr>
    </w:p>
    <w:p w:rsidR="008448F0" w:rsidRPr="00997D64" w:rsidRDefault="00997D64" w:rsidP="00997D64">
      <w:pPr>
        <w:tabs>
          <w:tab w:val="left" w:pos="706"/>
          <w:tab w:val="left" w:pos="707"/>
        </w:tabs>
        <w:ind w:left="706" w:hanging="567"/>
        <w:rPr>
          <w:sz w:val="24"/>
        </w:rPr>
      </w:pPr>
      <w:r>
        <w:rPr>
          <w:spacing w:val="-16"/>
          <w:w w:val="99"/>
          <w:sz w:val="24"/>
        </w:rPr>
        <w:t>9.</w:t>
      </w:r>
      <w:r>
        <w:rPr>
          <w:spacing w:val="-16"/>
          <w:w w:val="99"/>
          <w:sz w:val="24"/>
        </w:rPr>
        <w:tab/>
      </w:r>
      <w:r w:rsidR="00D760E3" w:rsidRPr="00997D64">
        <w:rPr>
          <w:sz w:val="24"/>
        </w:rPr>
        <w:t>Rule 13(5) provides as</w:t>
      </w:r>
      <w:r w:rsidR="00D760E3" w:rsidRPr="00997D64">
        <w:rPr>
          <w:spacing w:val="-9"/>
          <w:sz w:val="24"/>
        </w:rPr>
        <w:t xml:space="preserve"> </w:t>
      </w:r>
      <w:r w:rsidR="00D760E3" w:rsidRPr="00997D64">
        <w:rPr>
          <w:sz w:val="24"/>
        </w:rPr>
        <w:t>follows:</w:t>
      </w:r>
    </w:p>
    <w:p w:rsidR="008448F0" w:rsidRDefault="008448F0">
      <w:pPr>
        <w:pStyle w:val="BodyText"/>
        <w:spacing w:before="9"/>
        <w:rPr>
          <w:sz w:val="32"/>
        </w:rPr>
      </w:pPr>
    </w:p>
    <w:p w:rsidR="008448F0" w:rsidRDefault="00D760E3">
      <w:pPr>
        <w:spacing w:line="362" w:lineRule="auto"/>
        <w:ind w:left="706" w:right="159"/>
        <w:rPr>
          <w:i/>
          <w:sz w:val="24"/>
        </w:rPr>
      </w:pPr>
      <w:r>
        <w:rPr>
          <w:i/>
          <w:sz w:val="24"/>
        </w:rPr>
        <w:t>“Any fact or allegation in the application or referral not specifically denied or admitted in the answering affidavit, will be deemed to have been</w:t>
      </w:r>
      <w:r>
        <w:rPr>
          <w:i/>
          <w:spacing w:val="-11"/>
          <w:sz w:val="24"/>
        </w:rPr>
        <w:t xml:space="preserve"> </w:t>
      </w:r>
      <w:r>
        <w:rPr>
          <w:i/>
          <w:sz w:val="24"/>
        </w:rPr>
        <w:t>admitted.”</w:t>
      </w:r>
    </w:p>
    <w:p w:rsidR="008448F0" w:rsidRDefault="008448F0">
      <w:pPr>
        <w:pStyle w:val="BodyText"/>
        <w:spacing w:before="5"/>
        <w:rPr>
          <w:i/>
          <w:sz w:val="20"/>
        </w:rPr>
      </w:pPr>
    </w:p>
    <w:p w:rsidR="008448F0" w:rsidRPr="00997D64" w:rsidRDefault="00997D64" w:rsidP="00997D64">
      <w:pPr>
        <w:tabs>
          <w:tab w:val="left" w:pos="707"/>
        </w:tabs>
        <w:spacing w:line="360" w:lineRule="auto"/>
        <w:ind w:left="706" w:right="145" w:hanging="567"/>
        <w:jc w:val="both"/>
        <w:rPr>
          <w:sz w:val="24"/>
        </w:rPr>
      </w:pPr>
      <w:r>
        <w:rPr>
          <w:spacing w:val="-16"/>
          <w:w w:val="99"/>
          <w:sz w:val="24"/>
        </w:rPr>
        <w:t>10.</w:t>
      </w:r>
      <w:r>
        <w:rPr>
          <w:spacing w:val="-16"/>
          <w:w w:val="99"/>
          <w:sz w:val="24"/>
        </w:rPr>
        <w:tab/>
      </w:r>
      <w:r w:rsidR="00D760E3" w:rsidRPr="00997D64">
        <w:rPr>
          <w:sz w:val="24"/>
        </w:rPr>
        <w:t>Therefore, in the absence of any answering affidavit filed by the Respondent, the Applicant’s app</w:t>
      </w:r>
      <w:r w:rsidR="00D760E3" w:rsidRPr="00997D64">
        <w:rPr>
          <w:sz w:val="24"/>
        </w:rPr>
        <w:t>lication and all of the allegations contained therein are deemed to be admitted.</w:t>
      </w:r>
    </w:p>
    <w:p w:rsidR="008448F0" w:rsidRDefault="008448F0">
      <w:pPr>
        <w:pStyle w:val="BodyText"/>
        <w:rPr>
          <w:sz w:val="20"/>
        </w:rPr>
      </w:pPr>
    </w:p>
    <w:p w:rsidR="008448F0" w:rsidRDefault="008448F0">
      <w:pPr>
        <w:pStyle w:val="BodyText"/>
        <w:rPr>
          <w:sz w:val="20"/>
        </w:rPr>
      </w:pPr>
    </w:p>
    <w:p w:rsidR="008448F0" w:rsidRDefault="00D760E3">
      <w:pPr>
        <w:pStyle w:val="BodyText"/>
        <w:spacing w:before="2"/>
        <w:rPr>
          <w:sz w:val="14"/>
        </w:rPr>
      </w:pPr>
      <w:r>
        <w:pict>
          <v:shape id="_x0000_s1026" style="position:absolute;margin-left:54pt;margin-top:10.55pt;width:144.05pt;height:.1pt;z-index:-251655168;mso-wrap-distance-left:0;mso-wrap-distance-right:0;mso-position-horizontal-relative:page" coordorigin="1080,211" coordsize="2881,0" path="m1080,211r2881,e" filled="f" strokeweight=".72pt">
            <v:path arrowok="t"/>
            <w10:wrap type="topAndBottom" anchorx="page"/>
          </v:shape>
        </w:pict>
      </w:r>
    </w:p>
    <w:p w:rsidR="008448F0" w:rsidRDefault="00D760E3">
      <w:pPr>
        <w:spacing w:before="70"/>
        <w:ind w:left="140" w:right="159"/>
        <w:rPr>
          <w:rFonts w:ascii="Arial Narrow"/>
          <w:sz w:val="20"/>
        </w:rPr>
      </w:pPr>
      <w:r>
        <w:rPr>
          <w:rFonts w:ascii="Arial Narrow"/>
          <w:position w:val="5"/>
          <w:sz w:val="13"/>
        </w:rPr>
        <w:t xml:space="preserve">1 </w:t>
      </w:r>
      <w:r>
        <w:rPr>
          <w:rFonts w:ascii="Arial Narrow"/>
          <w:sz w:val="20"/>
        </w:rPr>
        <w:t>GN 789 of 28 August 2007: Regulations for matters relating to the functions of the Tribunal and Rules for the conduct of matters before the National Consumer Tribunal, 2</w:t>
      </w:r>
      <w:r>
        <w:rPr>
          <w:rFonts w:ascii="Arial Narrow"/>
          <w:sz w:val="20"/>
        </w:rPr>
        <w:t>007 (Government Gazette No. 30225). As amended.</w:t>
      </w:r>
    </w:p>
    <w:p w:rsidR="008448F0" w:rsidRDefault="008448F0">
      <w:pPr>
        <w:rPr>
          <w:rFonts w:ascii="Arial Narrow"/>
          <w:sz w:val="20"/>
        </w:rPr>
        <w:sectPr w:rsidR="008448F0">
          <w:headerReference w:type="default" r:id="rId8"/>
          <w:footerReference w:type="default" r:id="rId9"/>
          <w:pgSz w:w="11910" w:h="16840"/>
          <w:pgMar w:top="1300" w:right="940" w:bottom="460" w:left="940" w:header="554" w:footer="274" w:gutter="0"/>
          <w:pgNumType w:start="2"/>
          <w:cols w:space="720"/>
        </w:sectPr>
      </w:pPr>
    </w:p>
    <w:p w:rsidR="008448F0" w:rsidRDefault="008448F0">
      <w:pPr>
        <w:pStyle w:val="BodyText"/>
        <w:rPr>
          <w:rFonts w:ascii="Arial Narrow"/>
          <w:sz w:val="20"/>
        </w:rPr>
      </w:pPr>
    </w:p>
    <w:p w:rsidR="008448F0" w:rsidRDefault="008448F0">
      <w:pPr>
        <w:pStyle w:val="BodyText"/>
        <w:rPr>
          <w:rFonts w:ascii="Arial Narrow"/>
          <w:sz w:val="21"/>
        </w:rPr>
      </w:pPr>
    </w:p>
    <w:p w:rsidR="008448F0" w:rsidRPr="00997D64" w:rsidRDefault="00997D64" w:rsidP="00997D64">
      <w:pPr>
        <w:tabs>
          <w:tab w:val="left" w:pos="707"/>
        </w:tabs>
        <w:spacing w:before="93" w:line="360" w:lineRule="auto"/>
        <w:ind w:left="706" w:right="143" w:hanging="567"/>
        <w:jc w:val="both"/>
        <w:rPr>
          <w:sz w:val="24"/>
        </w:rPr>
      </w:pPr>
      <w:r>
        <w:rPr>
          <w:spacing w:val="-16"/>
          <w:w w:val="99"/>
          <w:sz w:val="24"/>
        </w:rPr>
        <w:t>11.</w:t>
      </w:r>
      <w:r>
        <w:rPr>
          <w:spacing w:val="-16"/>
          <w:w w:val="99"/>
          <w:sz w:val="24"/>
        </w:rPr>
        <w:tab/>
      </w:r>
      <w:r w:rsidR="00D760E3" w:rsidRPr="00997D64">
        <w:rPr>
          <w:sz w:val="24"/>
        </w:rPr>
        <w:t>The Tribunal is satisfied that the application was adequately served on the Respondent. The matter proceeded on a default</w:t>
      </w:r>
      <w:r w:rsidR="00D760E3" w:rsidRPr="00997D64">
        <w:rPr>
          <w:spacing w:val="-5"/>
          <w:sz w:val="24"/>
        </w:rPr>
        <w:t xml:space="preserve"> </w:t>
      </w:r>
      <w:r w:rsidR="00D760E3" w:rsidRPr="00997D64">
        <w:rPr>
          <w:sz w:val="24"/>
        </w:rPr>
        <w:t>basis.</w:t>
      </w:r>
    </w:p>
    <w:p w:rsidR="008448F0" w:rsidRDefault="008448F0">
      <w:pPr>
        <w:pStyle w:val="BodyText"/>
        <w:spacing w:before="10"/>
        <w:rPr>
          <w:sz w:val="20"/>
        </w:rPr>
      </w:pPr>
    </w:p>
    <w:p w:rsidR="008448F0" w:rsidRDefault="00D760E3">
      <w:pPr>
        <w:ind w:left="140"/>
        <w:rPr>
          <w:b/>
          <w:sz w:val="24"/>
        </w:rPr>
      </w:pPr>
      <w:r>
        <w:rPr>
          <w:b/>
          <w:color w:val="1B1818"/>
          <w:sz w:val="24"/>
        </w:rPr>
        <w:t>BACKGROUND</w:t>
      </w:r>
    </w:p>
    <w:p w:rsidR="008448F0" w:rsidRDefault="008448F0">
      <w:pPr>
        <w:pStyle w:val="BodyText"/>
        <w:spacing w:before="11"/>
        <w:rPr>
          <w:b/>
          <w:sz w:val="32"/>
        </w:rPr>
      </w:pPr>
    </w:p>
    <w:p w:rsidR="008448F0" w:rsidRPr="00997D64" w:rsidRDefault="00997D64" w:rsidP="00997D64">
      <w:pPr>
        <w:tabs>
          <w:tab w:val="left" w:pos="707"/>
        </w:tabs>
        <w:spacing w:line="360" w:lineRule="auto"/>
        <w:ind w:left="706" w:right="136" w:hanging="567"/>
        <w:jc w:val="both"/>
        <w:rPr>
          <w:sz w:val="24"/>
        </w:rPr>
      </w:pPr>
      <w:r>
        <w:rPr>
          <w:spacing w:val="-16"/>
          <w:w w:val="99"/>
          <w:sz w:val="24"/>
        </w:rPr>
        <w:t>12.</w:t>
      </w:r>
      <w:r>
        <w:rPr>
          <w:spacing w:val="-16"/>
          <w:w w:val="99"/>
          <w:sz w:val="24"/>
        </w:rPr>
        <w:tab/>
      </w:r>
      <w:r w:rsidR="00D760E3" w:rsidRPr="00997D64">
        <w:rPr>
          <w:color w:val="1B1818"/>
          <w:sz w:val="24"/>
        </w:rPr>
        <w:t>Ms Singh submits that she purchased a Fridgestar 772L Double sliding door commercial fridge from Makro Springfield</w:t>
      </w:r>
      <w:r w:rsidR="00D760E3" w:rsidRPr="00997D64">
        <w:rPr>
          <w:color w:val="1B1818"/>
          <w:sz w:val="24"/>
        </w:rPr>
        <w:t xml:space="preserve"> on 3 June 2021 for </w:t>
      </w:r>
      <w:r w:rsidR="00D760E3" w:rsidRPr="00997D64">
        <w:rPr>
          <w:color w:val="1B1818"/>
          <w:spacing w:val="3"/>
          <w:sz w:val="24"/>
        </w:rPr>
        <w:t xml:space="preserve">R11 </w:t>
      </w:r>
      <w:r w:rsidR="00D760E3" w:rsidRPr="00997D64">
        <w:rPr>
          <w:color w:val="1B1818"/>
          <w:sz w:val="24"/>
        </w:rPr>
        <w:t>499.00. It was delivered to her home on 5 June 2021. It was still in its packaging, and she signed the delivery note accepting the item. She was told to leave the fridge for a few hours before switching it on. Later in the day, when</w:t>
      </w:r>
      <w:r w:rsidR="00D760E3" w:rsidRPr="00997D64">
        <w:rPr>
          <w:color w:val="1B1818"/>
          <w:sz w:val="24"/>
        </w:rPr>
        <w:t xml:space="preserve"> the packaging was removed, she noticed a dent in the side of the</w:t>
      </w:r>
      <w:r w:rsidR="00D760E3" w:rsidRPr="00997D64">
        <w:rPr>
          <w:color w:val="1B1818"/>
          <w:spacing w:val="-7"/>
          <w:sz w:val="24"/>
        </w:rPr>
        <w:t xml:space="preserve"> </w:t>
      </w:r>
      <w:r w:rsidR="00D760E3" w:rsidRPr="00997D64">
        <w:rPr>
          <w:color w:val="1B1818"/>
          <w:sz w:val="24"/>
        </w:rPr>
        <w:t>fridge.</w:t>
      </w:r>
    </w:p>
    <w:p w:rsidR="008448F0" w:rsidRDefault="008448F0">
      <w:pPr>
        <w:pStyle w:val="BodyText"/>
        <w:spacing w:before="8"/>
        <w:rPr>
          <w:sz w:val="20"/>
        </w:rPr>
      </w:pPr>
    </w:p>
    <w:p w:rsidR="008448F0" w:rsidRPr="00997D64" w:rsidRDefault="00997D64" w:rsidP="00997D64">
      <w:pPr>
        <w:tabs>
          <w:tab w:val="left" w:pos="707"/>
        </w:tabs>
        <w:spacing w:line="360" w:lineRule="auto"/>
        <w:ind w:left="706" w:right="141" w:hanging="567"/>
        <w:jc w:val="both"/>
        <w:rPr>
          <w:sz w:val="24"/>
        </w:rPr>
      </w:pPr>
      <w:r>
        <w:rPr>
          <w:spacing w:val="-16"/>
          <w:w w:val="99"/>
          <w:sz w:val="24"/>
        </w:rPr>
        <w:t>13.</w:t>
      </w:r>
      <w:r>
        <w:rPr>
          <w:spacing w:val="-16"/>
          <w:w w:val="99"/>
          <w:sz w:val="24"/>
        </w:rPr>
        <w:tab/>
      </w:r>
      <w:r w:rsidR="00D760E3" w:rsidRPr="00997D64">
        <w:rPr>
          <w:color w:val="1B1818"/>
          <w:sz w:val="24"/>
        </w:rPr>
        <w:t>She contacted Makro the same day and reported the problem. The next day she switched the fridge on and found the light was not working, the door was not sliding properly and a senso</w:t>
      </w:r>
      <w:r w:rsidR="00D760E3" w:rsidRPr="00997D64">
        <w:rPr>
          <w:color w:val="1B1818"/>
          <w:sz w:val="24"/>
        </w:rPr>
        <w:t>r inside the fridge was loose. She requested a refund or a replacement of the fridge from</w:t>
      </w:r>
      <w:r w:rsidR="00D760E3" w:rsidRPr="00997D64">
        <w:rPr>
          <w:color w:val="1B1818"/>
          <w:spacing w:val="-2"/>
          <w:sz w:val="24"/>
        </w:rPr>
        <w:t xml:space="preserve"> </w:t>
      </w:r>
      <w:r w:rsidR="00D760E3" w:rsidRPr="00997D64">
        <w:rPr>
          <w:color w:val="1B1818"/>
          <w:sz w:val="24"/>
        </w:rPr>
        <w:t>Makro.</w:t>
      </w:r>
    </w:p>
    <w:p w:rsidR="008448F0" w:rsidRDefault="008448F0">
      <w:pPr>
        <w:pStyle w:val="BodyText"/>
        <w:spacing w:before="10"/>
        <w:rPr>
          <w:sz w:val="20"/>
        </w:rPr>
      </w:pPr>
    </w:p>
    <w:p w:rsidR="008448F0" w:rsidRPr="00997D64" w:rsidRDefault="00997D64" w:rsidP="00997D64">
      <w:pPr>
        <w:tabs>
          <w:tab w:val="left" w:pos="707"/>
        </w:tabs>
        <w:spacing w:before="1" w:line="360" w:lineRule="auto"/>
        <w:ind w:left="706" w:right="136" w:hanging="567"/>
        <w:jc w:val="both"/>
        <w:rPr>
          <w:sz w:val="24"/>
        </w:rPr>
      </w:pPr>
      <w:r>
        <w:rPr>
          <w:spacing w:val="-16"/>
          <w:w w:val="99"/>
          <w:sz w:val="24"/>
        </w:rPr>
        <w:t>14.</w:t>
      </w:r>
      <w:r>
        <w:rPr>
          <w:spacing w:val="-16"/>
          <w:w w:val="99"/>
          <w:sz w:val="24"/>
        </w:rPr>
        <w:tab/>
      </w:r>
      <w:r w:rsidR="00D760E3" w:rsidRPr="00997D64">
        <w:rPr>
          <w:color w:val="1B1818"/>
          <w:sz w:val="24"/>
        </w:rPr>
        <w:t>On 10 June 2021, a technician from Makro inspected the fridge and confirmed that the fridge must be returned to Makro. Twelve days later, Makro informed her t</w:t>
      </w:r>
      <w:r w:rsidR="00D760E3" w:rsidRPr="00997D64">
        <w:rPr>
          <w:color w:val="1B1818"/>
          <w:sz w:val="24"/>
        </w:rPr>
        <w:t>hat it would not replace the fridge or refund her. Makro alleged that she had damaged the fridge  by dropping it. Ms Singh denies dropping the fridge or damaging it in any way. She alleges the fridge is defective and wants a refund or</w:t>
      </w:r>
      <w:r w:rsidR="00D760E3" w:rsidRPr="00997D64">
        <w:rPr>
          <w:color w:val="1B1818"/>
          <w:spacing w:val="-12"/>
          <w:sz w:val="24"/>
        </w:rPr>
        <w:t xml:space="preserve"> </w:t>
      </w:r>
      <w:r w:rsidR="00D760E3" w:rsidRPr="00997D64">
        <w:rPr>
          <w:color w:val="1B1818"/>
          <w:sz w:val="24"/>
        </w:rPr>
        <w:t>replacement.</w:t>
      </w:r>
    </w:p>
    <w:p w:rsidR="008448F0" w:rsidRDefault="008448F0">
      <w:pPr>
        <w:pStyle w:val="BodyText"/>
        <w:rPr>
          <w:sz w:val="21"/>
        </w:rPr>
      </w:pPr>
    </w:p>
    <w:p w:rsidR="008448F0" w:rsidRPr="00997D64" w:rsidRDefault="00997D64" w:rsidP="00997D64">
      <w:pPr>
        <w:tabs>
          <w:tab w:val="left" w:pos="706"/>
          <w:tab w:val="left" w:pos="707"/>
        </w:tabs>
        <w:ind w:left="706" w:hanging="567"/>
        <w:rPr>
          <w:sz w:val="24"/>
        </w:rPr>
      </w:pPr>
      <w:r>
        <w:rPr>
          <w:spacing w:val="-16"/>
          <w:w w:val="99"/>
          <w:sz w:val="24"/>
        </w:rPr>
        <w:t>15.</w:t>
      </w:r>
      <w:r>
        <w:rPr>
          <w:spacing w:val="-16"/>
          <w:w w:val="99"/>
          <w:sz w:val="24"/>
        </w:rPr>
        <w:tab/>
      </w:r>
      <w:r w:rsidR="00D760E3" w:rsidRPr="00997D64">
        <w:rPr>
          <w:sz w:val="24"/>
        </w:rPr>
        <w:t>Ms Singh attached photos of the defects in the</w:t>
      </w:r>
      <w:r w:rsidR="00D760E3" w:rsidRPr="00997D64">
        <w:rPr>
          <w:spacing w:val="-9"/>
          <w:sz w:val="24"/>
        </w:rPr>
        <w:t xml:space="preserve"> </w:t>
      </w:r>
      <w:r w:rsidR="00D760E3" w:rsidRPr="00997D64">
        <w:rPr>
          <w:sz w:val="24"/>
        </w:rPr>
        <w:t>fridge.</w:t>
      </w:r>
    </w:p>
    <w:p w:rsidR="008448F0" w:rsidRDefault="008448F0">
      <w:pPr>
        <w:pStyle w:val="BodyText"/>
        <w:spacing w:before="9"/>
        <w:rPr>
          <w:sz w:val="32"/>
        </w:rPr>
      </w:pPr>
    </w:p>
    <w:p w:rsidR="008448F0" w:rsidRPr="00997D64" w:rsidRDefault="00997D64" w:rsidP="00997D64">
      <w:pPr>
        <w:tabs>
          <w:tab w:val="left" w:pos="706"/>
          <w:tab w:val="left" w:pos="707"/>
        </w:tabs>
        <w:ind w:left="706" w:hanging="567"/>
        <w:rPr>
          <w:sz w:val="24"/>
        </w:rPr>
      </w:pPr>
      <w:r>
        <w:rPr>
          <w:spacing w:val="-16"/>
          <w:w w:val="99"/>
          <w:sz w:val="24"/>
        </w:rPr>
        <w:t>16.</w:t>
      </w:r>
      <w:r>
        <w:rPr>
          <w:spacing w:val="-16"/>
          <w:w w:val="99"/>
          <w:sz w:val="24"/>
        </w:rPr>
        <w:tab/>
      </w:r>
      <w:r w:rsidR="00D760E3" w:rsidRPr="00997D64">
        <w:rPr>
          <w:sz w:val="24"/>
        </w:rPr>
        <w:t>At the hearing, Ms Singh confirmed the submissions she made in her</w:t>
      </w:r>
      <w:r w:rsidR="00D760E3" w:rsidRPr="00997D64">
        <w:rPr>
          <w:spacing w:val="-17"/>
          <w:sz w:val="24"/>
        </w:rPr>
        <w:t xml:space="preserve"> </w:t>
      </w:r>
      <w:r w:rsidR="00D760E3" w:rsidRPr="00997D64">
        <w:rPr>
          <w:sz w:val="24"/>
        </w:rPr>
        <w:t>application.</w:t>
      </w:r>
    </w:p>
    <w:p w:rsidR="008448F0" w:rsidRDefault="008448F0">
      <w:pPr>
        <w:pStyle w:val="BodyText"/>
        <w:spacing w:before="11"/>
        <w:rPr>
          <w:sz w:val="32"/>
        </w:rPr>
      </w:pPr>
    </w:p>
    <w:p w:rsidR="008448F0" w:rsidRPr="00997D64" w:rsidRDefault="00997D64" w:rsidP="00997D64">
      <w:pPr>
        <w:tabs>
          <w:tab w:val="left" w:pos="707"/>
        </w:tabs>
        <w:spacing w:line="360" w:lineRule="auto"/>
        <w:ind w:left="706" w:right="143" w:hanging="567"/>
        <w:jc w:val="both"/>
        <w:rPr>
          <w:sz w:val="24"/>
        </w:rPr>
      </w:pPr>
      <w:r>
        <w:rPr>
          <w:spacing w:val="-16"/>
          <w:w w:val="99"/>
          <w:sz w:val="24"/>
        </w:rPr>
        <w:t>17.</w:t>
      </w:r>
      <w:r>
        <w:rPr>
          <w:spacing w:val="-16"/>
          <w:w w:val="99"/>
          <w:sz w:val="24"/>
        </w:rPr>
        <w:tab/>
      </w:r>
      <w:r w:rsidR="00D760E3" w:rsidRPr="00997D64">
        <w:rPr>
          <w:sz w:val="24"/>
        </w:rPr>
        <w:t>As the matter is not opposed, Ms Singh’s evidence stands uncontested. Therefore, the Tribunal accepts that the fridge was damaged and</w:t>
      </w:r>
      <w:r w:rsidR="00D760E3" w:rsidRPr="00997D64">
        <w:rPr>
          <w:spacing w:val="-8"/>
          <w:sz w:val="24"/>
        </w:rPr>
        <w:t xml:space="preserve"> </w:t>
      </w:r>
      <w:r w:rsidR="00D760E3" w:rsidRPr="00997D64">
        <w:rPr>
          <w:sz w:val="24"/>
        </w:rPr>
        <w:t>defective.</w:t>
      </w:r>
    </w:p>
    <w:p w:rsidR="008448F0" w:rsidRDefault="008448F0">
      <w:pPr>
        <w:pStyle w:val="BodyText"/>
        <w:spacing w:before="11"/>
        <w:rPr>
          <w:sz w:val="20"/>
        </w:rPr>
      </w:pPr>
    </w:p>
    <w:p w:rsidR="008448F0" w:rsidRDefault="00D760E3">
      <w:pPr>
        <w:pStyle w:val="Heading1"/>
      </w:pPr>
      <w:r>
        <w:t>THE PROVISIONS OF THE CPA</w:t>
      </w:r>
    </w:p>
    <w:p w:rsidR="008448F0" w:rsidRDefault="008448F0">
      <w:pPr>
        <w:pStyle w:val="BodyText"/>
        <w:spacing w:before="8"/>
        <w:rPr>
          <w:b/>
          <w:sz w:val="32"/>
        </w:rPr>
      </w:pPr>
    </w:p>
    <w:p w:rsidR="008448F0" w:rsidRPr="00997D64" w:rsidRDefault="00997D64" w:rsidP="00997D64">
      <w:pPr>
        <w:tabs>
          <w:tab w:val="left" w:pos="706"/>
          <w:tab w:val="left" w:pos="707"/>
        </w:tabs>
        <w:spacing w:before="1"/>
        <w:ind w:left="706" w:hanging="567"/>
        <w:rPr>
          <w:color w:val="1B1818"/>
          <w:sz w:val="24"/>
        </w:rPr>
      </w:pPr>
      <w:r>
        <w:rPr>
          <w:color w:val="1B1818"/>
          <w:spacing w:val="-16"/>
          <w:w w:val="99"/>
          <w:sz w:val="24"/>
        </w:rPr>
        <w:t>18.</w:t>
      </w:r>
      <w:r>
        <w:rPr>
          <w:color w:val="1B1818"/>
          <w:spacing w:val="-16"/>
          <w:w w:val="99"/>
          <w:sz w:val="24"/>
        </w:rPr>
        <w:tab/>
      </w:r>
      <w:r w:rsidR="00D760E3" w:rsidRPr="00997D64">
        <w:rPr>
          <w:color w:val="1B1818"/>
          <w:sz w:val="24"/>
        </w:rPr>
        <w:t>Sections 55 and 56 of the CPA are relevant to the matter. Section 55</w:t>
      </w:r>
      <w:r w:rsidR="00D760E3" w:rsidRPr="00997D64">
        <w:rPr>
          <w:color w:val="1B1818"/>
          <w:spacing w:val="-15"/>
          <w:sz w:val="24"/>
        </w:rPr>
        <w:t xml:space="preserve"> </w:t>
      </w:r>
      <w:r w:rsidR="00D760E3" w:rsidRPr="00997D64">
        <w:rPr>
          <w:color w:val="1B1818"/>
          <w:sz w:val="24"/>
        </w:rPr>
        <w:t>provides:</w:t>
      </w:r>
    </w:p>
    <w:p w:rsidR="008448F0" w:rsidRDefault="008448F0">
      <w:pPr>
        <w:pStyle w:val="BodyText"/>
        <w:rPr>
          <w:sz w:val="26"/>
        </w:rPr>
      </w:pPr>
    </w:p>
    <w:p w:rsidR="008448F0" w:rsidRDefault="008448F0">
      <w:pPr>
        <w:pStyle w:val="BodyText"/>
        <w:spacing w:before="11"/>
        <w:rPr>
          <w:sz w:val="21"/>
        </w:rPr>
      </w:pPr>
    </w:p>
    <w:p w:rsidR="008448F0" w:rsidRDefault="00D760E3">
      <w:pPr>
        <w:tabs>
          <w:tab w:val="left" w:leader="dot" w:pos="1400"/>
        </w:tabs>
        <w:ind w:left="706"/>
        <w:rPr>
          <w:i/>
          <w:sz w:val="24"/>
        </w:rPr>
      </w:pPr>
      <w:r>
        <w:rPr>
          <w:i/>
          <w:color w:val="1B1818"/>
          <w:sz w:val="24"/>
        </w:rPr>
        <w:t>“…</w:t>
      </w:r>
      <w:r>
        <w:rPr>
          <w:i/>
          <w:color w:val="1B1818"/>
          <w:sz w:val="24"/>
        </w:rPr>
        <w:tab/>
        <w:t>every consumer has a right to receive goods</w:t>
      </w:r>
      <w:r>
        <w:rPr>
          <w:i/>
          <w:color w:val="1B1818"/>
          <w:spacing w:val="-10"/>
          <w:sz w:val="24"/>
        </w:rPr>
        <w:t xml:space="preserve"> </w:t>
      </w:r>
      <w:r>
        <w:rPr>
          <w:i/>
          <w:color w:val="1B1818"/>
          <w:sz w:val="24"/>
        </w:rPr>
        <w:t>that—</w:t>
      </w:r>
    </w:p>
    <w:p w:rsidR="008448F0" w:rsidRPr="00997D64" w:rsidRDefault="00997D64" w:rsidP="00997D64">
      <w:pPr>
        <w:tabs>
          <w:tab w:val="left" w:pos="1974"/>
        </w:tabs>
        <w:spacing w:before="139" w:line="360" w:lineRule="auto"/>
        <w:ind w:left="1580" w:right="428"/>
        <w:rPr>
          <w:i/>
          <w:sz w:val="24"/>
        </w:rPr>
      </w:pPr>
      <w:r>
        <w:rPr>
          <w:i/>
          <w:color w:val="1B1818"/>
          <w:w w:val="99"/>
          <w:sz w:val="24"/>
          <w:szCs w:val="24"/>
        </w:rPr>
        <w:t>(a)</w:t>
      </w:r>
      <w:r>
        <w:rPr>
          <w:i/>
          <w:color w:val="1B1818"/>
          <w:w w:val="99"/>
          <w:sz w:val="24"/>
          <w:szCs w:val="24"/>
        </w:rPr>
        <w:tab/>
      </w:r>
      <w:r w:rsidR="00D760E3" w:rsidRPr="00997D64">
        <w:rPr>
          <w:i/>
          <w:color w:val="1B1818"/>
          <w:sz w:val="24"/>
        </w:rPr>
        <w:t>are reasonably suitable for the purposes for which they are generally intended;</w:t>
      </w:r>
    </w:p>
    <w:p w:rsidR="008448F0" w:rsidRPr="00997D64" w:rsidRDefault="00997D64" w:rsidP="00997D64">
      <w:pPr>
        <w:tabs>
          <w:tab w:val="left" w:pos="1941"/>
        </w:tabs>
        <w:ind w:left="1940" w:hanging="361"/>
        <w:rPr>
          <w:i/>
          <w:sz w:val="24"/>
        </w:rPr>
      </w:pPr>
      <w:r>
        <w:rPr>
          <w:i/>
          <w:color w:val="1B1818"/>
          <w:w w:val="99"/>
          <w:sz w:val="24"/>
          <w:szCs w:val="24"/>
        </w:rPr>
        <w:t>(b)</w:t>
      </w:r>
      <w:r>
        <w:rPr>
          <w:i/>
          <w:color w:val="1B1818"/>
          <w:w w:val="99"/>
          <w:sz w:val="24"/>
          <w:szCs w:val="24"/>
        </w:rPr>
        <w:tab/>
      </w:r>
      <w:r w:rsidR="00D760E3" w:rsidRPr="00997D64">
        <w:rPr>
          <w:i/>
          <w:color w:val="1B1818"/>
          <w:sz w:val="24"/>
        </w:rPr>
        <w:t>are of good quality, in good working order and free of any</w:t>
      </w:r>
      <w:r w:rsidR="00D760E3" w:rsidRPr="00997D64">
        <w:rPr>
          <w:i/>
          <w:color w:val="1B1818"/>
          <w:spacing w:val="-21"/>
          <w:sz w:val="24"/>
        </w:rPr>
        <w:t xml:space="preserve"> </w:t>
      </w:r>
      <w:r w:rsidR="00D760E3" w:rsidRPr="00997D64">
        <w:rPr>
          <w:i/>
          <w:color w:val="1B1818"/>
          <w:sz w:val="24"/>
        </w:rPr>
        <w:t>defects;</w:t>
      </w:r>
    </w:p>
    <w:p w:rsidR="008448F0" w:rsidRDefault="008448F0">
      <w:pPr>
        <w:rPr>
          <w:sz w:val="24"/>
        </w:rPr>
        <w:sectPr w:rsidR="008448F0">
          <w:pgSz w:w="11910" w:h="16840"/>
          <w:pgMar w:top="1300" w:right="940" w:bottom="460" w:left="940" w:header="554" w:footer="274" w:gutter="0"/>
          <w:cols w:space="720"/>
        </w:sectPr>
      </w:pPr>
    </w:p>
    <w:p w:rsidR="008448F0" w:rsidRDefault="008448F0">
      <w:pPr>
        <w:pStyle w:val="BodyText"/>
        <w:rPr>
          <w:i/>
          <w:sz w:val="20"/>
        </w:rPr>
      </w:pPr>
    </w:p>
    <w:p w:rsidR="008448F0" w:rsidRDefault="008448F0">
      <w:pPr>
        <w:pStyle w:val="BodyText"/>
        <w:spacing w:before="11"/>
        <w:rPr>
          <w:i/>
          <w:sz w:val="20"/>
        </w:rPr>
      </w:pPr>
    </w:p>
    <w:p w:rsidR="008448F0" w:rsidRPr="00997D64" w:rsidRDefault="00997D64" w:rsidP="00997D64">
      <w:pPr>
        <w:tabs>
          <w:tab w:val="left" w:pos="1977"/>
        </w:tabs>
        <w:spacing w:before="92" w:line="360" w:lineRule="auto"/>
        <w:ind w:left="1580" w:right="424"/>
        <w:jc w:val="both"/>
        <w:rPr>
          <w:i/>
          <w:sz w:val="24"/>
        </w:rPr>
      </w:pPr>
      <w:r>
        <w:rPr>
          <w:i/>
          <w:color w:val="1B1818"/>
          <w:w w:val="99"/>
          <w:sz w:val="24"/>
          <w:szCs w:val="24"/>
        </w:rPr>
        <w:t>(c)</w:t>
      </w:r>
      <w:r>
        <w:rPr>
          <w:i/>
          <w:color w:val="1B1818"/>
          <w:w w:val="99"/>
          <w:sz w:val="24"/>
          <w:szCs w:val="24"/>
        </w:rPr>
        <w:tab/>
      </w:r>
      <w:r w:rsidR="00D760E3" w:rsidRPr="00997D64">
        <w:rPr>
          <w:i/>
          <w:color w:val="1B1818"/>
          <w:sz w:val="24"/>
        </w:rPr>
        <w:t>will be useable and durable for a reasonable period of time, having regard to the use to which they would normally be put and to all the surrounding circumstances of their supply;</w:t>
      </w:r>
      <w:r w:rsidR="00D760E3" w:rsidRPr="00997D64">
        <w:rPr>
          <w:i/>
          <w:color w:val="1B1818"/>
          <w:spacing w:val="-5"/>
          <w:sz w:val="24"/>
        </w:rPr>
        <w:t xml:space="preserve"> </w:t>
      </w:r>
      <w:r w:rsidR="00D760E3" w:rsidRPr="00997D64">
        <w:rPr>
          <w:i/>
          <w:color w:val="1B1818"/>
          <w:sz w:val="24"/>
        </w:rPr>
        <w:t>and…..”</w:t>
      </w:r>
    </w:p>
    <w:p w:rsidR="008448F0" w:rsidRDefault="008448F0">
      <w:pPr>
        <w:pStyle w:val="BodyText"/>
        <w:rPr>
          <w:i/>
          <w:sz w:val="36"/>
        </w:rPr>
      </w:pPr>
    </w:p>
    <w:p w:rsidR="008448F0" w:rsidRPr="00997D64" w:rsidRDefault="00997D64" w:rsidP="00997D64">
      <w:pPr>
        <w:tabs>
          <w:tab w:val="left" w:pos="706"/>
          <w:tab w:val="left" w:pos="707"/>
        </w:tabs>
        <w:ind w:left="706" w:hanging="567"/>
        <w:rPr>
          <w:color w:val="1B1818"/>
          <w:sz w:val="24"/>
        </w:rPr>
      </w:pPr>
      <w:r>
        <w:rPr>
          <w:color w:val="1B1818"/>
          <w:spacing w:val="-16"/>
          <w:w w:val="99"/>
          <w:sz w:val="24"/>
        </w:rPr>
        <w:t>19.</w:t>
      </w:r>
      <w:r>
        <w:rPr>
          <w:color w:val="1B1818"/>
          <w:spacing w:val="-16"/>
          <w:w w:val="99"/>
          <w:sz w:val="24"/>
        </w:rPr>
        <w:tab/>
      </w:r>
      <w:r w:rsidR="00D760E3" w:rsidRPr="00997D64">
        <w:rPr>
          <w:color w:val="1B1818"/>
          <w:sz w:val="24"/>
        </w:rPr>
        <w:t>Section 56</w:t>
      </w:r>
      <w:r w:rsidR="00D760E3" w:rsidRPr="00997D64">
        <w:rPr>
          <w:color w:val="1B1818"/>
          <w:spacing w:val="-4"/>
          <w:sz w:val="24"/>
        </w:rPr>
        <w:t xml:space="preserve"> </w:t>
      </w:r>
      <w:r w:rsidR="00D760E3" w:rsidRPr="00997D64">
        <w:rPr>
          <w:color w:val="1B1818"/>
          <w:sz w:val="24"/>
        </w:rPr>
        <w:t>provides:</w:t>
      </w:r>
    </w:p>
    <w:p w:rsidR="008448F0" w:rsidRDefault="008448F0">
      <w:pPr>
        <w:pStyle w:val="BodyText"/>
        <w:rPr>
          <w:sz w:val="26"/>
        </w:rPr>
      </w:pPr>
    </w:p>
    <w:p w:rsidR="008448F0" w:rsidRDefault="008448F0">
      <w:pPr>
        <w:pStyle w:val="BodyText"/>
        <w:rPr>
          <w:sz w:val="22"/>
        </w:rPr>
      </w:pPr>
    </w:p>
    <w:p w:rsidR="008448F0" w:rsidRDefault="00D760E3">
      <w:pPr>
        <w:spacing w:line="360" w:lineRule="auto"/>
        <w:ind w:left="706" w:right="418"/>
        <w:jc w:val="both"/>
        <w:rPr>
          <w:i/>
          <w:sz w:val="24"/>
        </w:rPr>
      </w:pPr>
      <w:r>
        <w:rPr>
          <w:i/>
          <w:color w:val="1B1818"/>
          <w:sz w:val="24"/>
        </w:rPr>
        <w:t>“(1) In any transaction or agreement pertaining to the supply of goods to a consumer there is an implied provision that the producer or importer, the distributor and the retailer each warrant that the goods comply with the requirements and standards contem</w:t>
      </w:r>
      <w:r>
        <w:rPr>
          <w:i/>
          <w:color w:val="1B1818"/>
          <w:sz w:val="24"/>
        </w:rPr>
        <w:t>plated in section 55, except to the extent that those goods have been altered contrary to the instructions, or after leaving the control, of the producer or importer, a distributor or the retailer, as the case may</w:t>
      </w:r>
      <w:r>
        <w:rPr>
          <w:i/>
          <w:color w:val="1B1818"/>
          <w:spacing w:val="-10"/>
          <w:sz w:val="24"/>
        </w:rPr>
        <w:t xml:space="preserve"> </w:t>
      </w:r>
      <w:r>
        <w:rPr>
          <w:i/>
          <w:color w:val="1B1818"/>
          <w:sz w:val="24"/>
        </w:rPr>
        <w:t>be.</w:t>
      </w:r>
    </w:p>
    <w:p w:rsidR="008448F0" w:rsidRDefault="008448F0">
      <w:pPr>
        <w:pStyle w:val="BodyText"/>
        <w:rPr>
          <w:i/>
          <w:sz w:val="36"/>
        </w:rPr>
      </w:pPr>
    </w:p>
    <w:p w:rsidR="008448F0" w:rsidRPr="00997D64" w:rsidRDefault="00997D64" w:rsidP="00997D64">
      <w:pPr>
        <w:tabs>
          <w:tab w:val="left" w:pos="1082"/>
        </w:tabs>
        <w:spacing w:line="360" w:lineRule="auto"/>
        <w:ind w:left="706" w:right="429"/>
        <w:jc w:val="both"/>
        <w:rPr>
          <w:i/>
          <w:sz w:val="24"/>
        </w:rPr>
      </w:pPr>
      <w:r>
        <w:rPr>
          <w:i/>
          <w:color w:val="1B1818"/>
          <w:w w:val="99"/>
          <w:sz w:val="24"/>
          <w:szCs w:val="24"/>
        </w:rPr>
        <w:t>(2)</w:t>
      </w:r>
      <w:r>
        <w:rPr>
          <w:i/>
          <w:color w:val="1B1818"/>
          <w:w w:val="99"/>
          <w:sz w:val="24"/>
          <w:szCs w:val="24"/>
        </w:rPr>
        <w:tab/>
      </w:r>
      <w:r w:rsidR="00D760E3" w:rsidRPr="00997D64">
        <w:rPr>
          <w:i/>
          <w:color w:val="1B1818"/>
          <w:sz w:val="24"/>
        </w:rPr>
        <w:t xml:space="preserve">Within six months after the delivery </w:t>
      </w:r>
      <w:r w:rsidR="00D760E3" w:rsidRPr="00997D64">
        <w:rPr>
          <w:i/>
          <w:color w:val="1B1818"/>
          <w:sz w:val="24"/>
        </w:rPr>
        <w:t>of any goods to a consumer, the consumer may return the goods to the supplier, without penalty and at the supplier’s risk and expense, if the goods fail to satisfy the requirements and standards contemplated in section 55, and the supplier must, at the dir</w:t>
      </w:r>
      <w:r w:rsidR="00D760E3" w:rsidRPr="00997D64">
        <w:rPr>
          <w:i/>
          <w:color w:val="1B1818"/>
          <w:sz w:val="24"/>
        </w:rPr>
        <w:t>ection of the consumer,</w:t>
      </w:r>
      <w:r w:rsidR="00D760E3" w:rsidRPr="00997D64">
        <w:rPr>
          <w:i/>
          <w:color w:val="1B1818"/>
          <w:spacing w:val="-16"/>
          <w:sz w:val="24"/>
        </w:rPr>
        <w:t xml:space="preserve"> </w:t>
      </w:r>
      <w:r w:rsidR="00D760E3" w:rsidRPr="00997D64">
        <w:rPr>
          <w:i/>
          <w:color w:val="1B1818"/>
          <w:sz w:val="24"/>
        </w:rPr>
        <w:t>either—</w:t>
      </w:r>
    </w:p>
    <w:p w:rsidR="008448F0" w:rsidRDefault="008448F0">
      <w:pPr>
        <w:pStyle w:val="BodyText"/>
        <w:spacing w:before="2"/>
        <w:rPr>
          <w:i/>
          <w:sz w:val="36"/>
        </w:rPr>
      </w:pPr>
    </w:p>
    <w:p w:rsidR="008448F0" w:rsidRPr="00997D64" w:rsidRDefault="00997D64" w:rsidP="00997D64">
      <w:pPr>
        <w:tabs>
          <w:tab w:val="left" w:pos="1941"/>
        </w:tabs>
        <w:ind w:left="1940" w:hanging="361"/>
        <w:jc w:val="both"/>
        <w:rPr>
          <w:i/>
          <w:sz w:val="24"/>
        </w:rPr>
      </w:pPr>
      <w:r>
        <w:rPr>
          <w:i/>
          <w:color w:val="1B1818"/>
          <w:w w:val="99"/>
          <w:sz w:val="24"/>
          <w:szCs w:val="24"/>
        </w:rPr>
        <w:t>(a)</w:t>
      </w:r>
      <w:r>
        <w:rPr>
          <w:i/>
          <w:color w:val="1B1818"/>
          <w:w w:val="99"/>
          <w:sz w:val="24"/>
          <w:szCs w:val="24"/>
        </w:rPr>
        <w:tab/>
      </w:r>
      <w:r w:rsidR="00D760E3" w:rsidRPr="00997D64">
        <w:rPr>
          <w:i/>
          <w:color w:val="1B1818"/>
          <w:sz w:val="24"/>
        </w:rPr>
        <w:t>repair or replace the failed, unsafe or defective goods;</w:t>
      </w:r>
      <w:r w:rsidR="00D760E3" w:rsidRPr="00997D64">
        <w:rPr>
          <w:i/>
          <w:color w:val="1B1818"/>
          <w:spacing w:val="-11"/>
          <w:sz w:val="24"/>
        </w:rPr>
        <w:t xml:space="preserve"> </w:t>
      </w:r>
      <w:r w:rsidR="00D760E3" w:rsidRPr="00997D64">
        <w:rPr>
          <w:i/>
          <w:color w:val="1B1818"/>
          <w:sz w:val="24"/>
        </w:rPr>
        <w:t>or</w:t>
      </w:r>
    </w:p>
    <w:p w:rsidR="008448F0" w:rsidRPr="00997D64" w:rsidRDefault="00997D64" w:rsidP="00997D64">
      <w:pPr>
        <w:tabs>
          <w:tab w:val="left" w:pos="1941"/>
        </w:tabs>
        <w:spacing w:before="137" w:line="720" w:lineRule="auto"/>
        <w:ind w:left="706" w:right="669" w:firstLine="873"/>
        <w:rPr>
          <w:i/>
          <w:sz w:val="24"/>
        </w:rPr>
      </w:pPr>
      <w:r>
        <w:rPr>
          <w:i/>
          <w:color w:val="1B1818"/>
          <w:w w:val="99"/>
          <w:sz w:val="24"/>
          <w:szCs w:val="24"/>
        </w:rPr>
        <w:t>(b)</w:t>
      </w:r>
      <w:r>
        <w:rPr>
          <w:i/>
          <w:color w:val="1B1818"/>
          <w:w w:val="99"/>
          <w:sz w:val="24"/>
          <w:szCs w:val="24"/>
        </w:rPr>
        <w:tab/>
      </w:r>
      <w:r w:rsidR="00D760E3" w:rsidRPr="00997D64">
        <w:rPr>
          <w:i/>
          <w:color w:val="1B1818"/>
          <w:sz w:val="24"/>
        </w:rPr>
        <w:t>refund to the consumer the price paid by the consumer, for the goods. (3)……..</w:t>
      </w:r>
    </w:p>
    <w:p w:rsidR="008448F0" w:rsidRPr="00997D64" w:rsidRDefault="00997D64" w:rsidP="00997D64">
      <w:pPr>
        <w:tabs>
          <w:tab w:val="left" w:pos="1089"/>
        </w:tabs>
        <w:spacing w:line="360" w:lineRule="auto"/>
        <w:ind w:left="706" w:right="429"/>
        <w:rPr>
          <w:i/>
          <w:sz w:val="24"/>
        </w:rPr>
      </w:pPr>
      <w:r>
        <w:rPr>
          <w:i/>
          <w:color w:val="1B1818"/>
          <w:w w:val="99"/>
          <w:sz w:val="24"/>
          <w:szCs w:val="24"/>
        </w:rPr>
        <w:t>(4)</w:t>
      </w:r>
      <w:r>
        <w:rPr>
          <w:i/>
          <w:color w:val="1B1818"/>
          <w:w w:val="99"/>
          <w:sz w:val="24"/>
          <w:szCs w:val="24"/>
        </w:rPr>
        <w:tab/>
      </w:r>
      <w:r w:rsidR="00D760E3" w:rsidRPr="00997D64">
        <w:rPr>
          <w:i/>
          <w:color w:val="1B1818"/>
          <w:sz w:val="24"/>
        </w:rPr>
        <w:t xml:space="preserve">The implied warranty imposed by subsection (1), and the right to return goods </w:t>
      </w:r>
      <w:r w:rsidR="00D760E3" w:rsidRPr="00997D64">
        <w:rPr>
          <w:i/>
          <w:color w:val="1B1818"/>
          <w:sz w:val="24"/>
        </w:rPr>
        <w:t>set out in subsection (2), are each in addition</w:t>
      </w:r>
      <w:r w:rsidR="00D760E3" w:rsidRPr="00997D64">
        <w:rPr>
          <w:i/>
          <w:color w:val="1B1818"/>
          <w:spacing w:val="-8"/>
          <w:sz w:val="24"/>
        </w:rPr>
        <w:t xml:space="preserve"> </w:t>
      </w:r>
      <w:r w:rsidR="00D760E3" w:rsidRPr="00997D64">
        <w:rPr>
          <w:i/>
          <w:color w:val="1B1818"/>
          <w:sz w:val="24"/>
        </w:rPr>
        <w:t>to—</w:t>
      </w:r>
    </w:p>
    <w:p w:rsidR="008448F0" w:rsidRPr="00997D64" w:rsidRDefault="00997D64" w:rsidP="00997D64">
      <w:pPr>
        <w:tabs>
          <w:tab w:val="left" w:pos="1974"/>
        </w:tabs>
        <w:spacing w:line="360" w:lineRule="auto"/>
        <w:ind w:left="1580" w:right="424"/>
        <w:rPr>
          <w:i/>
          <w:sz w:val="24"/>
        </w:rPr>
      </w:pPr>
      <w:r>
        <w:rPr>
          <w:i/>
          <w:color w:val="1B1818"/>
          <w:w w:val="99"/>
          <w:sz w:val="24"/>
          <w:szCs w:val="24"/>
        </w:rPr>
        <w:t>(a)</w:t>
      </w:r>
      <w:r>
        <w:rPr>
          <w:i/>
          <w:color w:val="1B1818"/>
          <w:w w:val="99"/>
          <w:sz w:val="24"/>
          <w:szCs w:val="24"/>
        </w:rPr>
        <w:tab/>
      </w:r>
      <w:r w:rsidR="00D760E3" w:rsidRPr="00997D64">
        <w:rPr>
          <w:i/>
          <w:color w:val="1B1818"/>
          <w:sz w:val="24"/>
        </w:rPr>
        <w:t>any other implied warranty or condition imposed by the common law, this Act or any other public regulation;</w:t>
      </w:r>
      <w:r w:rsidR="00D760E3" w:rsidRPr="00997D64">
        <w:rPr>
          <w:i/>
          <w:color w:val="1B1818"/>
          <w:spacing w:val="-7"/>
          <w:sz w:val="24"/>
        </w:rPr>
        <w:t xml:space="preserve"> </w:t>
      </w:r>
      <w:r w:rsidR="00D760E3" w:rsidRPr="00997D64">
        <w:rPr>
          <w:i/>
          <w:color w:val="1B1818"/>
          <w:sz w:val="24"/>
        </w:rPr>
        <w:t>and</w:t>
      </w:r>
    </w:p>
    <w:p w:rsidR="008448F0" w:rsidRPr="00997D64" w:rsidRDefault="00997D64" w:rsidP="00997D64">
      <w:pPr>
        <w:tabs>
          <w:tab w:val="left" w:pos="2037"/>
        </w:tabs>
        <w:spacing w:before="1" w:line="360" w:lineRule="auto"/>
        <w:ind w:left="1580" w:right="425"/>
        <w:rPr>
          <w:i/>
          <w:sz w:val="24"/>
        </w:rPr>
      </w:pPr>
      <w:r>
        <w:rPr>
          <w:i/>
          <w:color w:val="1B1818"/>
          <w:w w:val="99"/>
          <w:sz w:val="24"/>
          <w:szCs w:val="24"/>
        </w:rPr>
        <w:t>(b)</w:t>
      </w:r>
      <w:r>
        <w:rPr>
          <w:i/>
          <w:color w:val="1B1818"/>
          <w:w w:val="99"/>
          <w:sz w:val="24"/>
          <w:szCs w:val="24"/>
        </w:rPr>
        <w:tab/>
      </w:r>
      <w:r w:rsidR="00D760E3" w:rsidRPr="00997D64">
        <w:rPr>
          <w:i/>
          <w:color w:val="1B1818"/>
          <w:sz w:val="24"/>
        </w:rPr>
        <w:t>any express warranty or condition stipulated by the producer or importer, distributor or ret</w:t>
      </w:r>
      <w:r w:rsidR="00D760E3" w:rsidRPr="00997D64">
        <w:rPr>
          <w:i/>
          <w:color w:val="1B1818"/>
          <w:sz w:val="24"/>
        </w:rPr>
        <w:t>ailer, as the case may</w:t>
      </w:r>
      <w:r w:rsidR="00D760E3" w:rsidRPr="00997D64">
        <w:rPr>
          <w:i/>
          <w:color w:val="1B1818"/>
          <w:spacing w:val="-10"/>
          <w:sz w:val="24"/>
        </w:rPr>
        <w:t xml:space="preserve"> </w:t>
      </w:r>
      <w:r w:rsidR="00D760E3" w:rsidRPr="00997D64">
        <w:rPr>
          <w:i/>
          <w:color w:val="1B1818"/>
          <w:sz w:val="24"/>
        </w:rPr>
        <w:t>be.”</w:t>
      </w:r>
    </w:p>
    <w:p w:rsidR="008448F0" w:rsidRDefault="008448F0">
      <w:pPr>
        <w:pStyle w:val="BodyText"/>
        <w:spacing w:before="1"/>
        <w:rPr>
          <w:i/>
          <w:sz w:val="36"/>
        </w:rPr>
      </w:pPr>
    </w:p>
    <w:p w:rsidR="008448F0" w:rsidRPr="00997D64" w:rsidRDefault="00997D64" w:rsidP="00997D64">
      <w:pPr>
        <w:tabs>
          <w:tab w:val="left" w:pos="706"/>
          <w:tab w:val="left" w:pos="707"/>
        </w:tabs>
        <w:ind w:left="706" w:hanging="567"/>
        <w:rPr>
          <w:sz w:val="24"/>
        </w:rPr>
      </w:pPr>
      <w:r>
        <w:rPr>
          <w:spacing w:val="-16"/>
          <w:w w:val="99"/>
          <w:sz w:val="24"/>
        </w:rPr>
        <w:t>20.</w:t>
      </w:r>
      <w:r>
        <w:rPr>
          <w:spacing w:val="-16"/>
          <w:w w:val="99"/>
          <w:sz w:val="24"/>
        </w:rPr>
        <w:tab/>
      </w:r>
      <w:r w:rsidR="00D760E3" w:rsidRPr="00997D64">
        <w:rPr>
          <w:sz w:val="24"/>
        </w:rPr>
        <w:t>Section 53(1)(a)(1) defines a “</w:t>
      </w:r>
      <w:r w:rsidR="00D760E3" w:rsidRPr="00997D64">
        <w:rPr>
          <w:i/>
          <w:sz w:val="24"/>
        </w:rPr>
        <w:t>defect</w:t>
      </w:r>
      <w:r w:rsidR="00D760E3" w:rsidRPr="00997D64">
        <w:rPr>
          <w:sz w:val="24"/>
        </w:rPr>
        <w:t>” as:</w:t>
      </w:r>
    </w:p>
    <w:p w:rsidR="008448F0" w:rsidRDefault="008448F0">
      <w:pPr>
        <w:pStyle w:val="BodyText"/>
        <w:rPr>
          <w:sz w:val="26"/>
        </w:rPr>
      </w:pPr>
    </w:p>
    <w:p w:rsidR="008448F0" w:rsidRDefault="008448F0">
      <w:pPr>
        <w:pStyle w:val="BodyText"/>
        <w:rPr>
          <w:sz w:val="22"/>
        </w:rPr>
      </w:pPr>
    </w:p>
    <w:p w:rsidR="008448F0" w:rsidRDefault="00D760E3">
      <w:pPr>
        <w:spacing w:line="360" w:lineRule="auto"/>
        <w:ind w:left="706" w:right="429"/>
        <w:jc w:val="both"/>
        <w:rPr>
          <w:i/>
          <w:sz w:val="24"/>
        </w:rPr>
      </w:pPr>
      <w:r>
        <w:rPr>
          <w:i/>
          <w:sz w:val="24"/>
        </w:rPr>
        <w:t>“(i) any material imperfection in the manufacture of the goods or components, or in performance of the services, that renders the goods or results of the service less</w:t>
      </w:r>
    </w:p>
    <w:p w:rsidR="008448F0" w:rsidRDefault="008448F0">
      <w:pPr>
        <w:spacing w:line="360" w:lineRule="auto"/>
        <w:jc w:val="both"/>
        <w:rPr>
          <w:sz w:val="24"/>
        </w:rPr>
        <w:sectPr w:rsidR="008448F0">
          <w:pgSz w:w="11910" w:h="16840"/>
          <w:pgMar w:top="1300" w:right="940" w:bottom="460" w:left="940" w:header="554" w:footer="274" w:gutter="0"/>
          <w:cols w:space="720"/>
        </w:sectPr>
      </w:pPr>
    </w:p>
    <w:p w:rsidR="008448F0" w:rsidRDefault="008448F0">
      <w:pPr>
        <w:pStyle w:val="BodyText"/>
        <w:rPr>
          <w:i/>
          <w:sz w:val="20"/>
        </w:rPr>
      </w:pPr>
    </w:p>
    <w:p w:rsidR="008448F0" w:rsidRDefault="008448F0">
      <w:pPr>
        <w:pStyle w:val="BodyText"/>
        <w:spacing w:before="11"/>
        <w:rPr>
          <w:i/>
          <w:sz w:val="20"/>
        </w:rPr>
      </w:pPr>
    </w:p>
    <w:p w:rsidR="008448F0" w:rsidRDefault="00D760E3">
      <w:pPr>
        <w:spacing w:before="92" w:line="360" w:lineRule="auto"/>
        <w:ind w:left="706" w:right="430"/>
        <w:jc w:val="both"/>
        <w:rPr>
          <w:i/>
          <w:sz w:val="24"/>
        </w:rPr>
      </w:pPr>
      <w:r>
        <w:rPr>
          <w:i/>
          <w:sz w:val="24"/>
        </w:rPr>
        <w:t>acceptable than persons generally would be reasonably entitled to expect in the circumstances; or</w:t>
      </w:r>
    </w:p>
    <w:p w:rsidR="008448F0" w:rsidRDefault="00D760E3">
      <w:pPr>
        <w:spacing w:before="120" w:line="360" w:lineRule="auto"/>
        <w:ind w:left="706" w:right="426"/>
        <w:jc w:val="both"/>
        <w:rPr>
          <w:i/>
          <w:sz w:val="24"/>
        </w:rPr>
      </w:pPr>
      <w:r>
        <w:rPr>
          <w:i/>
          <w:sz w:val="24"/>
        </w:rPr>
        <w:t xml:space="preserve">(ii) any characteristic of the goods or components that renders the goods or </w:t>
      </w:r>
      <w:r>
        <w:rPr>
          <w:i/>
          <w:sz w:val="24"/>
        </w:rPr>
        <w:t>components less useful, practicable or safe than persons generally would be reasonably entitled to expect in the circumstances;”</w:t>
      </w:r>
    </w:p>
    <w:p w:rsidR="008448F0" w:rsidRDefault="008448F0">
      <w:pPr>
        <w:pStyle w:val="BodyText"/>
        <w:rPr>
          <w:i/>
          <w:sz w:val="21"/>
        </w:rPr>
      </w:pPr>
    </w:p>
    <w:p w:rsidR="008448F0" w:rsidRPr="00997D64" w:rsidRDefault="00997D64" w:rsidP="00997D64">
      <w:pPr>
        <w:tabs>
          <w:tab w:val="left" w:pos="707"/>
        </w:tabs>
        <w:spacing w:line="360" w:lineRule="auto"/>
        <w:ind w:left="706" w:right="134" w:hanging="567"/>
        <w:jc w:val="both"/>
        <w:rPr>
          <w:sz w:val="24"/>
        </w:rPr>
      </w:pPr>
      <w:r>
        <w:rPr>
          <w:spacing w:val="-16"/>
          <w:w w:val="99"/>
          <w:sz w:val="24"/>
        </w:rPr>
        <w:t>21.</w:t>
      </w:r>
      <w:r>
        <w:rPr>
          <w:spacing w:val="-16"/>
          <w:w w:val="99"/>
          <w:sz w:val="24"/>
        </w:rPr>
        <w:tab/>
      </w:r>
      <w:r w:rsidR="00D760E3" w:rsidRPr="00997D64">
        <w:rPr>
          <w:sz w:val="24"/>
        </w:rPr>
        <w:t>Based on the evidence presented, Makro delivered a damaged fridge to Ms Singh. She reported the damage to Makro the same day i</w:t>
      </w:r>
      <w:r w:rsidR="00D760E3" w:rsidRPr="00997D64">
        <w:rPr>
          <w:sz w:val="24"/>
        </w:rPr>
        <w:t>t was delivered. She could not use the fridge as intended, which constitutes a defect within the requirements of sections 55 and 56 of the CPA. The defect occurred within the six-month period as required by section 56 of the</w:t>
      </w:r>
      <w:r w:rsidR="00D760E3" w:rsidRPr="00997D64">
        <w:rPr>
          <w:spacing w:val="-5"/>
          <w:sz w:val="24"/>
        </w:rPr>
        <w:t xml:space="preserve"> </w:t>
      </w:r>
      <w:r w:rsidR="00D760E3" w:rsidRPr="00997D64">
        <w:rPr>
          <w:sz w:val="24"/>
        </w:rPr>
        <w:t>CPA.</w:t>
      </w:r>
    </w:p>
    <w:p w:rsidR="008448F0" w:rsidRDefault="008448F0">
      <w:pPr>
        <w:pStyle w:val="BodyText"/>
        <w:spacing w:before="10"/>
        <w:rPr>
          <w:sz w:val="20"/>
        </w:rPr>
      </w:pPr>
    </w:p>
    <w:p w:rsidR="008448F0" w:rsidRPr="00997D64" w:rsidRDefault="00997D64" w:rsidP="00997D64">
      <w:pPr>
        <w:tabs>
          <w:tab w:val="left" w:pos="707"/>
        </w:tabs>
        <w:spacing w:line="360" w:lineRule="auto"/>
        <w:ind w:left="706" w:right="134" w:hanging="567"/>
        <w:jc w:val="both"/>
        <w:rPr>
          <w:sz w:val="24"/>
        </w:rPr>
      </w:pPr>
      <w:r>
        <w:rPr>
          <w:spacing w:val="-16"/>
          <w:w w:val="99"/>
          <w:sz w:val="24"/>
        </w:rPr>
        <w:t>22.</w:t>
      </w:r>
      <w:r>
        <w:rPr>
          <w:spacing w:val="-16"/>
          <w:w w:val="99"/>
          <w:sz w:val="24"/>
        </w:rPr>
        <w:tab/>
      </w:r>
      <w:r w:rsidR="00D760E3" w:rsidRPr="00997D64">
        <w:rPr>
          <w:sz w:val="24"/>
        </w:rPr>
        <w:t>Ms Singh is entitled to a refund, repair or replacement of the fridge. Ms Singh has requested a refund of the purchase price or a replacement. In the Tribunal’s view, a refund is the most appropriate relief under the</w:t>
      </w:r>
      <w:r w:rsidR="00D760E3" w:rsidRPr="00997D64">
        <w:rPr>
          <w:spacing w:val="-13"/>
          <w:sz w:val="24"/>
        </w:rPr>
        <w:t xml:space="preserve"> </w:t>
      </w:r>
      <w:r w:rsidR="00D760E3" w:rsidRPr="00997D64">
        <w:rPr>
          <w:sz w:val="24"/>
        </w:rPr>
        <w:t>circumstances.</w:t>
      </w:r>
    </w:p>
    <w:p w:rsidR="008448F0" w:rsidRDefault="008448F0">
      <w:pPr>
        <w:pStyle w:val="BodyText"/>
        <w:spacing w:before="8"/>
        <w:rPr>
          <w:sz w:val="20"/>
        </w:rPr>
      </w:pPr>
    </w:p>
    <w:p w:rsidR="008448F0" w:rsidRDefault="00D760E3">
      <w:pPr>
        <w:pStyle w:val="Heading1"/>
        <w:spacing w:before="1"/>
      </w:pPr>
      <w:r>
        <w:t>CONCLUSION</w:t>
      </w:r>
    </w:p>
    <w:p w:rsidR="008448F0" w:rsidRDefault="008448F0">
      <w:pPr>
        <w:pStyle w:val="BodyText"/>
        <w:spacing w:before="11"/>
        <w:rPr>
          <w:b/>
          <w:sz w:val="32"/>
        </w:rPr>
      </w:pPr>
    </w:p>
    <w:p w:rsidR="008448F0" w:rsidRPr="00997D64" w:rsidRDefault="00997D64" w:rsidP="00997D64">
      <w:pPr>
        <w:tabs>
          <w:tab w:val="left" w:pos="707"/>
        </w:tabs>
        <w:spacing w:line="360" w:lineRule="auto"/>
        <w:ind w:left="706" w:right="140" w:hanging="567"/>
        <w:jc w:val="both"/>
        <w:rPr>
          <w:sz w:val="24"/>
        </w:rPr>
      </w:pPr>
      <w:r>
        <w:rPr>
          <w:spacing w:val="-16"/>
          <w:w w:val="99"/>
          <w:sz w:val="24"/>
        </w:rPr>
        <w:t>23.</w:t>
      </w:r>
      <w:r>
        <w:rPr>
          <w:spacing w:val="-16"/>
          <w:w w:val="99"/>
          <w:sz w:val="24"/>
        </w:rPr>
        <w:tab/>
      </w:r>
      <w:r w:rsidR="00D760E3" w:rsidRPr="00997D64">
        <w:rPr>
          <w:sz w:val="24"/>
        </w:rPr>
        <w:t>The Tribuna</w:t>
      </w:r>
      <w:r w:rsidR="00D760E3" w:rsidRPr="00997D64">
        <w:rPr>
          <w:sz w:val="24"/>
        </w:rPr>
        <w:t>l finds that the fridge she purchased was defective, and she is entitled to a refund of the purchase</w:t>
      </w:r>
      <w:r w:rsidR="00D760E3" w:rsidRPr="00997D64">
        <w:rPr>
          <w:spacing w:val="-9"/>
          <w:sz w:val="24"/>
        </w:rPr>
        <w:t xml:space="preserve"> </w:t>
      </w:r>
      <w:r w:rsidR="00D760E3" w:rsidRPr="00997D64">
        <w:rPr>
          <w:sz w:val="24"/>
        </w:rPr>
        <w:t>price.</w:t>
      </w:r>
    </w:p>
    <w:p w:rsidR="008448F0" w:rsidRDefault="008448F0">
      <w:pPr>
        <w:pStyle w:val="BodyText"/>
        <w:spacing w:before="10"/>
        <w:rPr>
          <w:sz w:val="20"/>
        </w:rPr>
      </w:pPr>
    </w:p>
    <w:p w:rsidR="008448F0" w:rsidRPr="00997D64" w:rsidRDefault="00997D64" w:rsidP="00997D64">
      <w:pPr>
        <w:tabs>
          <w:tab w:val="left" w:pos="707"/>
        </w:tabs>
        <w:spacing w:line="360" w:lineRule="auto"/>
        <w:ind w:left="706" w:right="138" w:hanging="567"/>
        <w:jc w:val="both"/>
        <w:rPr>
          <w:sz w:val="24"/>
        </w:rPr>
      </w:pPr>
      <w:r>
        <w:rPr>
          <w:spacing w:val="-16"/>
          <w:w w:val="99"/>
          <w:sz w:val="24"/>
        </w:rPr>
        <w:t>24.</w:t>
      </w:r>
      <w:r>
        <w:rPr>
          <w:spacing w:val="-16"/>
          <w:w w:val="99"/>
          <w:sz w:val="24"/>
        </w:rPr>
        <w:tab/>
      </w:r>
      <w:r w:rsidR="00D760E3" w:rsidRPr="00997D64">
        <w:rPr>
          <w:sz w:val="24"/>
        </w:rPr>
        <w:t>Once the refund has been made to Ms Singh, the Respondent may collect the fridge at its own</w:t>
      </w:r>
      <w:r w:rsidR="00D760E3" w:rsidRPr="00997D64">
        <w:rPr>
          <w:spacing w:val="-1"/>
          <w:sz w:val="24"/>
        </w:rPr>
        <w:t xml:space="preserve"> </w:t>
      </w:r>
      <w:r w:rsidR="00D760E3" w:rsidRPr="00997D64">
        <w:rPr>
          <w:sz w:val="24"/>
        </w:rPr>
        <w:t>cost.</w:t>
      </w:r>
    </w:p>
    <w:p w:rsidR="008448F0" w:rsidRDefault="008448F0">
      <w:pPr>
        <w:pStyle w:val="BodyText"/>
        <w:spacing w:before="10"/>
        <w:rPr>
          <w:sz w:val="20"/>
        </w:rPr>
      </w:pPr>
    </w:p>
    <w:p w:rsidR="008448F0" w:rsidRDefault="00D760E3">
      <w:pPr>
        <w:pStyle w:val="Heading1"/>
      </w:pPr>
      <w:r>
        <w:t>ORDER</w:t>
      </w:r>
    </w:p>
    <w:p w:rsidR="008448F0" w:rsidRDefault="008448F0">
      <w:pPr>
        <w:pStyle w:val="BodyText"/>
        <w:spacing w:before="9"/>
        <w:rPr>
          <w:b/>
          <w:sz w:val="32"/>
        </w:rPr>
      </w:pPr>
    </w:p>
    <w:p w:rsidR="008448F0" w:rsidRPr="00997D64" w:rsidRDefault="00997D64" w:rsidP="00997D64">
      <w:pPr>
        <w:tabs>
          <w:tab w:val="left" w:pos="706"/>
          <w:tab w:val="left" w:pos="707"/>
        </w:tabs>
        <w:ind w:left="706" w:hanging="567"/>
        <w:rPr>
          <w:sz w:val="24"/>
        </w:rPr>
      </w:pPr>
      <w:r>
        <w:rPr>
          <w:spacing w:val="-16"/>
          <w:w w:val="99"/>
          <w:sz w:val="24"/>
        </w:rPr>
        <w:t>25.</w:t>
      </w:r>
      <w:r>
        <w:rPr>
          <w:spacing w:val="-16"/>
          <w:w w:val="99"/>
          <w:sz w:val="24"/>
        </w:rPr>
        <w:tab/>
      </w:r>
      <w:r w:rsidR="00D760E3" w:rsidRPr="00997D64">
        <w:rPr>
          <w:sz w:val="24"/>
        </w:rPr>
        <w:t>Accordingly, the Tribunal makes the follo</w:t>
      </w:r>
      <w:r w:rsidR="00D760E3" w:rsidRPr="00997D64">
        <w:rPr>
          <w:sz w:val="24"/>
        </w:rPr>
        <w:t>wing order</w:t>
      </w:r>
      <w:r w:rsidR="00D760E3" w:rsidRPr="00997D64">
        <w:rPr>
          <w:spacing w:val="-5"/>
          <w:sz w:val="24"/>
        </w:rPr>
        <w:t xml:space="preserve"> </w:t>
      </w:r>
      <w:r w:rsidR="00D760E3" w:rsidRPr="00997D64">
        <w:rPr>
          <w:sz w:val="24"/>
        </w:rPr>
        <w:t>–</w:t>
      </w:r>
    </w:p>
    <w:p w:rsidR="008448F0" w:rsidRDefault="008448F0">
      <w:pPr>
        <w:pStyle w:val="BodyText"/>
        <w:rPr>
          <w:sz w:val="33"/>
        </w:rPr>
      </w:pPr>
    </w:p>
    <w:p w:rsidR="008448F0" w:rsidRPr="00997D64" w:rsidRDefault="00997D64" w:rsidP="00997D64">
      <w:pPr>
        <w:tabs>
          <w:tab w:val="left" w:pos="1274"/>
        </w:tabs>
        <w:spacing w:line="360" w:lineRule="auto"/>
        <w:ind w:left="1273" w:right="135" w:hanging="567"/>
        <w:rPr>
          <w:sz w:val="24"/>
        </w:rPr>
      </w:pPr>
      <w:r>
        <w:rPr>
          <w:w w:val="99"/>
          <w:sz w:val="24"/>
          <w:szCs w:val="24"/>
        </w:rPr>
        <w:t>25.1</w:t>
      </w:r>
      <w:r>
        <w:rPr>
          <w:w w:val="99"/>
          <w:sz w:val="24"/>
          <w:szCs w:val="24"/>
        </w:rPr>
        <w:tab/>
      </w:r>
      <w:r w:rsidR="00D760E3" w:rsidRPr="00997D64">
        <w:rPr>
          <w:sz w:val="24"/>
        </w:rPr>
        <w:t>The Respondent is to pay an amount of R11 499.00 to Ms Singh. The payment  is to be made within 30 business days of this judgment being issued;</w:t>
      </w:r>
      <w:r w:rsidR="00D760E3" w:rsidRPr="00997D64">
        <w:rPr>
          <w:spacing w:val="-11"/>
          <w:sz w:val="24"/>
        </w:rPr>
        <w:t xml:space="preserve"> </w:t>
      </w:r>
      <w:r w:rsidR="00D760E3" w:rsidRPr="00997D64">
        <w:rPr>
          <w:sz w:val="24"/>
        </w:rPr>
        <w:t>and</w:t>
      </w:r>
    </w:p>
    <w:p w:rsidR="008448F0" w:rsidRDefault="008448F0">
      <w:pPr>
        <w:pStyle w:val="BodyText"/>
        <w:spacing w:before="11"/>
        <w:rPr>
          <w:sz w:val="20"/>
        </w:rPr>
      </w:pPr>
    </w:p>
    <w:p w:rsidR="008448F0" w:rsidRPr="00997D64" w:rsidRDefault="00997D64" w:rsidP="00997D64">
      <w:pPr>
        <w:tabs>
          <w:tab w:val="left" w:pos="1274"/>
        </w:tabs>
        <w:ind w:left="1273" w:hanging="568"/>
        <w:jc w:val="both"/>
        <w:rPr>
          <w:sz w:val="24"/>
        </w:rPr>
      </w:pPr>
      <w:r>
        <w:rPr>
          <w:w w:val="99"/>
          <w:sz w:val="24"/>
          <w:szCs w:val="24"/>
        </w:rPr>
        <w:t>25.2</w:t>
      </w:r>
      <w:r>
        <w:rPr>
          <w:w w:val="99"/>
          <w:sz w:val="24"/>
          <w:szCs w:val="24"/>
        </w:rPr>
        <w:tab/>
      </w:r>
      <w:r w:rsidR="00D760E3" w:rsidRPr="00997D64">
        <w:rPr>
          <w:sz w:val="24"/>
        </w:rPr>
        <w:t>There is no order as to</w:t>
      </w:r>
      <w:r w:rsidR="00D760E3" w:rsidRPr="00997D64">
        <w:rPr>
          <w:spacing w:val="-3"/>
          <w:sz w:val="24"/>
        </w:rPr>
        <w:t xml:space="preserve"> </w:t>
      </w:r>
      <w:r w:rsidR="00D760E3" w:rsidRPr="00997D64">
        <w:rPr>
          <w:sz w:val="24"/>
        </w:rPr>
        <w:t>costs.</w:t>
      </w:r>
    </w:p>
    <w:p w:rsidR="008448F0" w:rsidRDefault="008448F0">
      <w:pPr>
        <w:pStyle w:val="BodyText"/>
        <w:rPr>
          <w:sz w:val="26"/>
        </w:rPr>
      </w:pPr>
    </w:p>
    <w:p w:rsidR="008448F0" w:rsidRDefault="008448F0">
      <w:pPr>
        <w:pStyle w:val="BodyText"/>
        <w:rPr>
          <w:sz w:val="26"/>
        </w:rPr>
      </w:pPr>
    </w:p>
    <w:p w:rsidR="008448F0" w:rsidRDefault="008448F0">
      <w:pPr>
        <w:pStyle w:val="BodyText"/>
        <w:rPr>
          <w:sz w:val="26"/>
        </w:rPr>
      </w:pPr>
    </w:p>
    <w:p w:rsidR="008448F0" w:rsidRDefault="008448F0">
      <w:pPr>
        <w:pStyle w:val="BodyText"/>
        <w:spacing w:before="3"/>
        <w:rPr>
          <w:sz w:val="26"/>
        </w:rPr>
      </w:pPr>
    </w:p>
    <w:p w:rsidR="008448F0" w:rsidRDefault="00D760E3">
      <w:pPr>
        <w:pStyle w:val="BodyText"/>
        <w:spacing w:before="1"/>
        <w:ind w:left="140"/>
      </w:pPr>
      <w:r>
        <w:t>THUS DONE IN CENTURION ON THIS 27</w:t>
      </w:r>
      <w:r>
        <w:rPr>
          <w:position w:val="8"/>
          <w:sz w:val="16"/>
        </w:rPr>
        <w:t xml:space="preserve">th </w:t>
      </w:r>
      <w:r>
        <w:t>DAY OF JUNE 2022</w:t>
      </w:r>
    </w:p>
    <w:p w:rsidR="008448F0" w:rsidRDefault="008448F0">
      <w:pPr>
        <w:pStyle w:val="BodyText"/>
        <w:rPr>
          <w:sz w:val="28"/>
        </w:rPr>
      </w:pPr>
    </w:p>
    <w:p w:rsidR="008448F0" w:rsidRDefault="008448F0">
      <w:pPr>
        <w:pStyle w:val="BodyText"/>
        <w:rPr>
          <w:sz w:val="28"/>
        </w:rPr>
      </w:pPr>
    </w:p>
    <w:p w:rsidR="008448F0" w:rsidRDefault="00D760E3">
      <w:pPr>
        <w:pStyle w:val="BodyText"/>
        <w:spacing w:before="184"/>
        <w:ind w:left="140"/>
      </w:pPr>
      <w:r>
        <w:t>[signed]</w:t>
      </w:r>
    </w:p>
    <w:p w:rsidR="008448F0" w:rsidRDefault="008448F0">
      <w:pPr>
        <w:sectPr w:rsidR="008448F0">
          <w:pgSz w:w="11910" w:h="16840"/>
          <w:pgMar w:top="1300" w:right="940" w:bottom="460" w:left="940" w:header="554" w:footer="274" w:gutter="0"/>
          <w:cols w:space="720"/>
        </w:sectPr>
      </w:pPr>
    </w:p>
    <w:p w:rsidR="008448F0" w:rsidRDefault="008448F0">
      <w:pPr>
        <w:pStyle w:val="BodyText"/>
        <w:rPr>
          <w:sz w:val="20"/>
        </w:rPr>
      </w:pPr>
    </w:p>
    <w:p w:rsidR="008448F0" w:rsidRDefault="008448F0">
      <w:pPr>
        <w:pStyle w:val="BodyText"/>
        <w:spacing w:before="11"/>
        <w:rPr>
          <w:sz w:val="20"/>
        </w:rPr>
      </w:pPr>
    </w:p>
    <w:p w:rsidR="008448F0" w:rsidRDefault="00D760E3">
      <w:pPr>
        <w:pStyle w:val="Heading1"/>
        <w:spacing w:before="92"/>
      </w:pPr>
      <w:r>
        <w:t>Adv. J Simpson</w:t>
      </w:r>
    </w:p>
    <w:p w:rsidR="008448F0" w:rsidRDefault="00D760E3">
      <w:pPr>
        <w:pStyle w:val="BodyText"/>
        <w:ind w:left="140"/>
      </w:pPr>
      <w:r>
        <w:t>Presiding Tribunal Member</w:t>
      </w:r>
    </w:p>
    <w:p w:rsidR="008448F0" w:rsidRDefault="008448F0">
      <w:pPr>
        <w:pStyle w:val="BodyText"/>
        <w:rPr>
          <w:sz w:val="26"/>
        </w:rPr>
      </w:pPr>
    </w:p>
    <w:p w:rsidR="008448F0" w:rsidRDefault="008448F0">
      <w:pPr>
        <w:pStyle w:val="BodyText"/>
        <w:rPr>
          <w:sz w:val="26"/>
        </w:rPr>
      </w:pPr>
    </w:p>
    <w:p w:rsidR="008448F0" w:rsidRDefault="00D760E3">
      <w:pPr>
        <w:pStyle w:val="BodyText"/>
        <w:spacing w:before="230"/>
        <w:ind w:left="140"/>
      </w:pPr>
      <w:r>
        <w:t>Prof T Woker (Tribunal member) and Prof B Dumisa (Tribunal member) concurred</w:t>
      </w:r>
    </w:p>
    <w:p w:rsidR="008448F0" w:rsidRDefault="008448F0">
      <w:pPr>
        <w:pStyle w:val="BodyText"/>
        <w:rPr>
          <w:sz w:val="20"/>
        </w:rPr>
      </w:pPr>
    </w:p>
    <w:p w:rsidR="008448F0" w:rsidRDefault="00D760E3">
      <w:pPr>
        <w:pStyle w:val="BodyText"/>
        <w:spacing w:before="10"/>
        <w:rPr>
          <w:sz w:val="25"/>
        </w:rPr>
      </w:pPr>
      <w:r>
        <w:rPr>
          <w:noProof/>
          <w:lang w:bidi="ar-SA"/>
        </w:rPr>
        <w:drawing>
          <wp:anchor distT="0" distB="0" distL="0" distR="0" simplePos="0" relativeHeight="4" behindDoc="0" locked="0" layoutInCell="1" allowOverlap="1">
            <wp:simplePos x="0" y="0"/>
            <wp:positionH relativeFrom="page">
              <wp:posOffset>762000</wp:posOffset>
            </wp:positionH>
            <wp:positionV relativeFrom="paragraph">
              <wp:posOffset>214100</wp:posOffset>
            </wp:positionV>
            <wp:extent cx="3352800" cy="1704975"/>
            <wp:effectExtent l="0" t="0" r="0" b="0"/>
            <wp:wrapTopAndBottom/>
            <wp:docPr id="1" name="image1.png" descr="A picture containing diagram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3352800" cy="1704975"/>
                    </a:xfrm>
                    <a:prstGeom prst="rect">
                      <a:avLst/>
                    </a:prstGeom>
                  </pic:spPr>
                </pic:pic>
              </a:graphicData>
            </a:graphic>
          </wp:anchor>
        </w:drawing>
      </w:r>
    </w:p>
    <w:sectPr w:rsidR="008448F0">
      <w:pgSz w:w="11910" w:h="16840"/>
      <w:pgMar w:top="1300" w:right="940" w:bottom="460" w:left="940" w:header="554" w:footer="27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E3" w:rsidRDefault="00D760E3">
      <w:r>
        <w:separator/>
      </w:r>
    </w:p>
  </w:endnote>
  <w:endnote w:type="continuationSeparator" w:id="0">
    <w:p w:rsidR="00D760E3" w:rsidRDefault="00D7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F0" w:rsidRDefault="00D760E3">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02.6pt;margin-top:820.35pt;width:39.75pt;height:12.35pt;z-index:-251891712;mso-position-horizontal-relative:page;mso-position-vertical-relative:page" filled="f" stroked="f">
          <v:textbox inset="0,0,0,0">
            <w:txbxContent>
              <w:p w:rsidR="008448F0" w:rsidRDefault="00D760E3">
                <w:pPr>
                  <w:spacing w:before="19"/>
                  <w:ind w:left="20"/>
                  <w:rPr>
                    <w:rFonts w:ascii="Arial Narrow"/>
                    <w:sz w:val="18"/>
                  </w:rPr>
                </w:pPr>
                <w:r>
                  <w:rPr>
                    <w:rFonts w:ascii="Arial Narrow"/>
                    <w:sz w:val="18"/>
                  </w:rPr>
                  <w:t xml:space="preserve">Page </w:t>
                </w:r>
                <w:r>
                  <w:fldChar w:fldCharType="begin"/>
                </w:r>
                <w:r>
                  <w:rPr>
                    <w:rFonts w:ascii="Arial Narrow"/>
                    <w:sz w:val="18"/>
                  </w:rPr>
                  <w:instrText xml:space="preserve"> PAGE </w:instrText>
                </w:r>
                <w:r>
                  <w:fldChar w:fldCharType="separate"/>
                </w:r>
                <w:r w:rsidR="00997D64">
                  <w:rPr>
                    <w:rFonts w:ascii="Arial Narrow"/>
                    <w:noProof/>
                    <w:sz w:val="18"/>
                  </w:rPr>
                  <w:t>1</w:t>
                </w:r>
                <w:r>
                  <w:fldChar w:fldCharType="end"/>
                </w:r>
                <w:r>
                  <w:rPr>
                    <w:rFonts w:ascii="Arial Narrow"/>
                    <w:sz w:val="18"/>
                  </w:rPr>
                  <w:t xml:space="preserve"> of 6</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F0" w:rsidRDefault="00D760E3">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2.6pt;margin-top:817.25pt;width:39.75pt;height:12.35pt;z-index:-251889664;mso-position-horizontal-relative:page;mso-position-vertical-relative:page" filled="f" stroked="f">
          <v:textbox inset="0,0,0,0">
            <w:txbxContent>
              <w:p w:rsidR="008448F0" w:rsidRDefault="00D760E3">
                <w:pPr>
                  <w:spacing w:before="19"/>
                  <w:ind w:left="20"/>
                  <w:rPr>
                    <w:rFonts w:ascii="Arial Narrow"/>
                    <w:b/>
                    <w:sz w:val="18"/>
                  </w:rPr>
                </w:pPr>
                <w:r>
                  <w:rPr>
                    <w:rFonts w:ascii="Arial Narrow"/>
                    <w:sz w:val="18"/>
                  </w:rPr>
                  <w:t xml:space="preserve">Page </w:t>
                </w:r>
                <w:r>
                  <w:fldChar w:fldCharType="begin"/>
                </w:r>
                <w:r>
                  <w:rPr>
                    <w:rFonts w:ascii="Arial Narrow"/>
                    <w:b/>
                    <w:sz w:val="18"/>
                  </w:rPr>
                  <w:instrText xml:space="preserve"> PAGE </w:instrText>
                </w:r>
                <w:r>
                  <w:fldChar w:fldCharType="separate"/>
                </w:r>
                <w:r w:rsidR="00997D64">
                  <w:rPr>
                    <w:rFonts w:ascii="Arial Narrow"/>
                    <w:b/>
                    <w:noProof/>
                    <w:sz w:val="18"/>
                  </w:rPr>
                  <w:t>2</w:t>
                </w:r>
                <w:r>
                  <w:fldChar w:fldCharType="end"/>
                </w:r>
                <w:r>
                  <w:rPr>
                    <w:rFonts w:ascii="Arial Narrow"/>
                    <w:b/>
                    <w:sz w:val="18"/>
                  </w:rPr>
                  <w:t xml:space="preserve"> </w:t>
                </w:r>
                <w:r>
                  <w:rPr>
                    <w:rFonts w:ascii="Arial Narrow"/>
                    <w:sz w:val="18"/>
                  </w:rPr>
                  <w:t xml:space="preserve">of </w:t>
                </w:r>
                <w:r>
                  <w:rPr>
                    <w:rFonts w:ascii="Arial Narrow"/>
                    <w:b/>
                    <w:sz w:val="18"/>
                  </w:rPr>
                  <w:t>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E3" w:rsidRDefault="00D760E3">
      <w:r>
        <w:separator/>
      </w:r>
    </w:p>
  </w:footnote>
  <w:footnote w:type="continuationSeparator" w:id="0">
    <w:p w:rsidR="00D760E3" w:rsidRDefault="00D760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8F0" w:rsidRDefault="00D760E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63.75pt;margin-top:26.7pt;width:178.55pt;height:39.65pt;z-index:-251890688;mso-position-horizontal-relative:page;mso-position-vertical-relative:page" filled="f" stroked="f">
          <v:textbox inset="0,0,0,0">
            <w:txbxContent>
              <w:p w:rsidR="008448F0" w:rsidRDefault="00D760E3">
                <w:pPr>
                  <w:spacing w:before="12" w:line="276" w:lineRule="auto"/>
                  <w:ind w:left="20" w:right="18" w:firstLine="1387"/>
                  <w:jc w:val="right"/>
                  <w:rPr>
                    <w:sz w:val="20"/>
                  </w:rPr>
                </w:pPr>
                <w:r>
                  <w:rPr>
                    <w:sz w:val="20"/>
                  </w:rPr>
                  <w:t>Judgement</w:t>
                </w:r>
                <w:r>
                  <w:rPr>
                    <w:spacing w:val="-10"/>
                    <w:sz w:val="20"/>
                  </w:rPr>
                  <w:t xml:space="preserve"> </w:t>
                </w:r>
                <w:r>
                  <w:rPr>
                    <w:sz w:val="20"/>
                  </w:rPr>
                  <w:t>and</w:t>
                </w:r>
                <w:r>
                  <w:rPr>
                    <w:spacing w:val="-11"/>
                    <w:sz w:val="20"/>
                  </w:rPr>
                  <w:t xml:space="preserve"> </w:t>
                </w:r>
                <w:r>
                  <w:rPr>
                    <w:sz w:val="20"/>
                  </w:rPr>
                  <w:t>reasons</w:t>
                </w:r>
                <w:r>
                  <w:rPr>
                    <w:w w:val="99"/>
                    <w:sz w:val="20"/>
                  </w:rPr>
                  <w:t xml:space="preserve"> </w:t>
                </w:r>
                <w:r>
                  <w:rPr>
                    <w:sz w:val="20"/>
                  </w:rPr>
                  <w:t>S Singh v Masstores (Pty) Ltd t.a</w:t>
                </w:r>
                <w:r>
                  <w:rPr>
                    <w:spacing w:val="-14"/>
                    <w:sz w:val="20"/>
                  </w:rPr>
                  <w:t xml:space="preserve"> </w:t>
                </w:r>
                <w:r>
                  <w:rPr>
                    <w:sz w:val="20"/>
                  </w:rPr>
                  <w:t>Makro</w:t>
                </w:r>
              </w:p>
              <w:p w:rsidR="008448F0" w:rsidRDefault="00D760E3">
                <w:pPr>
                  <w:spacing w:before="2"/>
                  <w:ind w:right="18"/>
                  <w:jc w:val="right"/>
                  <w:rPr>
                    <w:sz w:val="20"/>
                  </w:rPr>
                </w:pPr>
                <w:r>
                  <w:rPr>
                    <w:spacing w:val="-1"/>
                    <w:sz w:val="20"/>
                  </w:rPr>
                  <w:t>NCT/219207/2022/75(1)(b)</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79B"/>
    <w:multiLevelType w:val="hybridMultilevel"/>
    <w:tmpl w:val="2814E464"/>
    <w:lvl w:ilvl="0" w:tplc="5C408CA2">
      <w:start w:val="4"/>
      <w:numFmt w:val="decimal"/>
      <w:lvlText w:val="(%1)"/>
      <w:lvlJc w:val="left"/>
      <w:pPr>
        <w:ind w:left="706" w:hanging="382"/>
        <w:jc w:val="left"/>
      </w:pPr>
      <w:rPr>
        <w:rFonts w:ascii="Arial" w:eastAsia="Arial" w:hAnsi="Arial" w:cs="Arial" w:hint="default"/>
        <w:i/>
        <w:color w:val="1B1818"/>
        <w:w w:val="99"/>
        <w:sz w:val="24"/>
        <w:szCs w:val="24"/>
        <w:lang w:val="en-ZA" w:eastAsia="en-ZA" w:bidi="en-ZA"/>
      </w:rPr>
    </w:lvl>
    <w:lvl w:ilvl="1" w:tplc="A9F2399A">
      <w:start w:val="1"/>
      <w:numFmt w:val="lowerLetter"/>
      <w:lvlText w:val="(%2)"/>
      <w:lvlJc w:val="left"/>
      <w:pPr>
        <w:ind w:left="1580" w:hanging="394"/>
        <w:jc w:val="left"/>
      </w:pPr>
      <w:rPr>
        <w:rFonts w:ascii="Arial" w:eastAsia="Arial" w:hAnsi="Arial" w:cs="Arial" w:hint="default"/>
        <w:i/>
        <w:color w:val="1B1818"/>
        <w:w w:val="99"/>
        <w:sz w:val="24"/>
        <w:szCs w:val="24"/>
        <w:lang w:val="en-ZA" w:eastAsia="en-ZA" w:bidi="en-ZA"/>
      </w:rPr>
    </w:lvl>
    <w:lvl w:ilvl="2" w:tplc="16923534">
      <w:numFmt w:val="bullet"/>
      <w:lvlText w:val="•"/>
      <w:lvlJc w:val="left"/>
      <w:pPr>
        <w:ind w:left="2518" w:hanging="394"/>
      </w:pPr>
      <w:rPr>
        <w:rFonts w:hint="default"/>
        <w:lang w:val="en-ZA" w:eastAsia="en-ZA" w:bidi="en-ZA"/>
      </w:rPr>
    </w:lvl>
    <w:lvl w:ilvl="3" w:tplc="7EF4C6CA">
      <w:numFmt w:val="bullet"/>
      <w:lvlText w:val="•"/>
      <w:lvlJc w:val="left"/>
      <w:pPr>
        <w:ind w:left="3456" w:hanging="394"/>
      </w:pPr>
      <w:rPr>
        <w:rFonts w:hint="default"/>
        <w:lang w:val="en-ZA" w:eastAsia="en-ZA" w:bidi="en-ZA"/>
      </w:rPr>
    </w:lvl>
    <w:lvl w:ilvl="4" w:tplc="B5786666">
      <w:numFmt w:val="bullet"/>
      <w:lvlText w:val="•"/>
      <w:lvlJc w:val="left"/>
      <w:pPr>
        <w:ind w:left="4395" w:hanging="394"/>
      </w:pPr>
      <w:rPr>
        <w:rFonts w:hint="default"/>
        <w:lang w:val="en-ZA" w:eastAsia="en-ZA" w:bidi="en-ZA"/>
      </w:rPr>
    </w:lvl>
    <w:lvl w:ilvl="5" w:tplc="F51025D4">
      <w:numFmt w:val="bullet"/>
      <w:lvlText w:val="•"/>
      <w:lvlJc w:val="left"/>
      <w:pPr>
        <w:ind w:left="5333" w:hanging="394"/>
      </w:pPr>
      <w:rPr>
        <w:rFonts w:hint="default"/>
        <w:lang w:val="en-ZA" w:eastAsia="en-ZA" w:bidi="en-ZA"/>
      </w:rPr>
    </w:lvl>
    <w:lvl w:ilvl="6" w:tplc="B2B4361C">
      <w:numFmt w:val="bullet"/>
      <w:lvlText w:val="•"/>
      <w:lvlJc w:val="left"/>
      <w:pPr>
        <w:ind w:left="6272" w:hanging="394"/>
      </w:pPr>
      <w:rPr>
        <w:rFonts w:hint="default"/>
        <w:lang w:val="en-ZA" w:eastAsia="en-ZA" w:bidi="en-ZA"/>
      </w:rPr>
    </w:lvl>
    <w:lvl w:ilvl="7" w:tplc="4C36227E">
      <w:numFmt w:val="bullet"/>
      <w:lvlText w:val="•"/>
      <w:lvlJc w:val="left"/>
      <w:pPr>
        <w:ind w:left="7210" w:hanging="394"/>
      </w:pPr>
      <w:rPr>
        <w:rFonts w:hint="default"/>
        <w:lang w:val="en-ZA" w:eastAsia="en-ZA" w:bidi="en-ZA"/>
      </w:rPr>
    </w:lvl>
    <w:lvl w:ilvl="8" w:tplc="A98A7D38">
      <w:numFmt w:val="bullet"/>
      <w:lvlText w:val="•"/>
      <w:lvlJc w:val="left"/>
      <w:pPr>
        <w:ind w:left="8149" w:hanging="394"/>
      </w:pPr>
      <w:rPr>
        <w:rFonts w:hint="default"/>
        <w:lang w:val="en-ZA" w:eastAsia="en-ZA" w:bidi="en-ZA"/>
      </w:rPr>
    </w:lvl>
  </w:abstractNum>
  <w:abstractNum w:abstractNumId="1" w15:restartNumberingAfterBreak="0">
    <w:nsid w:val="27301EF9"/>
    <w:multiLevelType w:val="hybridMultilevel"/>
    <w:tmpl w:val="E18EAB7A"/>
    <w:lvl w:ilvl="0" w:tplc="FC028E9C">
      <w:start w:val="2"/>
      <w:numFmt w:val="decimal"/>
      <w:lvlText w:val="(%1)"/>
      <w:lvlJc w:val="left"/>
      <w:pPr>
        <w:ind w:left="706" w:hanging="375"/>
        <w:jc w:val="left"/>
      </w:pPr>
      <w:rPr>
        <w:rFonts w:ascii="Arial" w:eastAsia="Arial" w:hAnsi="Arial" w:cs="Arial" w:hint="default"/>
        <w:i/>
        <w:color w:val="1B1818"/>
        <w:w w:val="99"/>
        <w:sz w:val="24"/>
        <w:szCs w:val="24"/>
        <w:lang w:val="en-ZA" w:eastAsia="en-ZA" w:bidi="en-ZA"/>
      </w:rPr>
    </w:lvl>
    <w:lvl w:ilvl="1" w:tplc="5BCC3B08">
      <w:start w:val="1"/>
      <w:numFmt w:val="lowerLetter"/>
      <w:lvlText w:val="(%2)"/>
      <w:lvlJc w:val="left"/>
      <w:pPr>
        <w:ind w:left="1940" w:hanging="360"/>
        <w:jc w:val="left"/>
      </w:pPr>
      <w:rPr>
        <w:rFonts w:ascii="Arial" w:eastAsia="Arial" w:hAnsi="Arial" w:cs="Arial" w:hint="default"/>
        <w:i/>
        <w:color w:val="1B1818"/>
        <w:w w:val="99"/>
        <w:sz w:val="24"/>
        <w:szCs w:val="24"/>
        <w:lang w:val="en-ZA" w:eastAsia="en-ZA" w:bidi="en-ZA"/>
      </w:rPr>
    </w:lvl>
    <w:lvl w:ilvl="2" w:tplc="06286EB8">
      <w:numFmt w:val="bullet"/>
      <w:lvlText w:val="•"/>
      <w:lvlJc w:val="left"/>
      <w:pPr>
        <w:ind w:left="2838" w:hanging="360"/>
      </w:pPr>
      <w:rPr>
        <w:rFonts w:hint="default"/>
        <w:lang w:val="en-ZA" w:eastAsia="en-ZA" w:bidi="en-ZA"/>
      </w:rPr>
    </w:lvl>
    <w:lvl w:ilvl="3" w:tplc="EFC63D2C">
      <w:numFmt w:val="bullet"/>
      <w:lvlText w:val="•"/>
      <w:lvlJc w:val="left"/>
      <w:pPr>
        <w:ind w:left="3736" w:hanging="360"/>
      </w:pPr>
      <w:rPr>
        <w:rFonts w:hint="default"/>
        <w:lang w:val="en-ZA" w:eastAsia="en-ZA" w:bidi="en-ZA"/>
      </w:rPr>
    </w:lvl>
    <w:lvl w:ilvl="4" w:tplc="2A708E8A">
      <w:numFmt w:val="bullet"/>
      <w:lvlText w:val="•"/>
      <w:lvlJc w:val="left"/>
      <w:pPr>
        <w:ind w:left="4635" w:hanging="360"/>
      </w:pPr>
      <w:rPr>
        <w:rFonts w:hint="default"/>
        <w:lang w:val="en-ZA" w:eastAsia="en-ZA" w:bidi="en-ZA"/>
      </w:rPr>
    </w:lvl>
    <w:lvl w:ilvl="5" w:tplc="D2301D3C">
      <w:numFmt w:val="bullet"/>
      <w:lvlText w:val="•"/>
      <w:lvlJc w:val="left"/>
      <w:pPr>
        <w:ind w:left="5533" w:hanging="360"/>
      </w:pPr>
      <w:rPr>
        <w:rFonts w:hint="default"/>
        <w:lang w:val="en-ZA" w:eastAsia="en-ZA" w:bidi="en-ZA"/>
      </w:rPr>
    </w:lvl>
    <w:lvl w:ilvl="6" w:tplc="049E9342">
      <w:numFmt w:val="bullet"/>
      <w:lvlText w:val="•"/>
      <w:lvlJc w:val="left"/>
      <w:pPr>
        <w:ind w:left="6432" w:hanging="360"/>
      </w:pPr>
      <w:rPr>
        <w:rFonts w:hint="default"/>
        <w:lang w:val="en-ZA" w:eastAsia="en-ZA" w:bidi="en-ZA"/>
      </w:rPr>
    </w:lvl>
    <w:lvl w:ilvl="7" w:tplc="EB0E1EA0">
      <w:numFmt w:val="bullet"/>
      <w:lvlText w:val="•"/>
      <w:lvlJc w:val="left"/>
      <w:pPr>
        <w:ind w:left="7330" w:hanging="360"/>
      </w:pPr>
      <w:rPr>
        <w:rFonts w:hint="default"/>
        <w:lang w:val="en-ZA" w:eastAsia="en-ZA" w:bidi="en-ZA"/>
      </w:rPr>
    </w:lvl>
    <w:lvl w:ilvl="8" w:tplc="402E9F74">
      <w:numFmt w:val="bullet"/>
      <w:lvlText w:val="•"/>
      <w:lvlJc w:val="left"/>
      <w:pPr>
        <w:ind w:left="8229" w:hanging="360"/>
      </w:pPr>
      <w:rPr>
        <w:rFonts w:hint="default"/>
        <w:lang w:val="en-ZA" w:eastAsia="en-ZA" w:bidi="en-ZA"/>
      </w:rPr>
    </w:lvl>
  </w:abstractNum>
  <w:abstractNum w:abstractNumId="2" w15:restartNumberingAfterBreak="0">
    <w:nsid w:val="38863D13"/>
    <w:multiLevelType w:val="multilevel"/>
    <w:tmpl w:val="123AA200"/>
    <w:lvl w:ilvl="0">
      <w:start w:val="25"/>
      <w:numFmt w:val="decimal"/>
      <w:lvlText w:val="%1"/>
      <w:lvlJc w:val="left"/>
      <w:pPr>
        <w:ind w:left="1273" w:hanging="567"/>
        <w:jc w:val="left"/>
      </w:pPr>
      <w:rPr>
        <w:rFonts w:hint="default"/>
        <w:lang w:val="en-ZA" w:eastAsia="en-ZA" w:bidi="en-ZA"/>
      </w:rPr>
    </w:lvl>
    <w:lvl w:ilvl="1">
      <w:start w:val="1"/>
      <w:numFmt w:val="decimal"/>
      <w:lvlText w:val="%1.%2"/>
      <w:lvlJc w:val="left"/>
      <w:pPr>
        <w:ind w:left="1273" w:hanging="567"/>
        <w:jc w:val="left"/>
      </w:pPr>
      <w:rPr>
        <w:rFonts w:ascii="Arial" w:eastAsia="Arial" w:hAnsi="Arial" w:cs="Arial" w:hint="default"/>
        <w:w w:val="99"/>
        <w:sz w:val="24"/>
        <w:szCs w:val="24"/>
        <w:lang w:val="en-ZA" w:eastAsia="en-ZA" w:bidi="en-ZA"/>
      </w:rPr>
    </w:lvl>
    <w:lvl w:ilvl="2">
      <w:numFmt w:val="bullet"/>
      <w:lvlText w:val="•"/>
      <w:lvlJc w:val="left"/>
      <w:pPr>
        <w:ind w:left="3029" w:hanging="567"/>
      </w:pPr>
      <w:rPr>
        <w:rFonts w:hint="default"/>
        <w:lang w:val="en-ZA" w:eastAsia="en-ZA" w:bidi="en-ZA"/>
      </w:rPr>
    </w:lvl>
    <w:lvl w:ilvl="3">
      <w:numFmt w:val="bullet"/>
      <w:lvlText w:val="•"/>
      <w:lvlJc w:val="left"/>
      <w:pPr>
        <w:ind w:left="3903" w:hanging="567"/>
      </w:pPr>
      <w:rPr>
        <w:rFonts w:hint="default"/>
        <w:lang w:val="en-ZA" w:eastAsia="en-ZA" w:bidi="en-ZA"/>
      </w:rPr>
    </w:lvl>
    <w:lvl w:ilvl="4">
      <w:numFmt w:val="bullet"/>
      <w:lvlText w:val="•"/>
      <w:lvlJc w:val="left"/>
      <w:pPr>
        <w:ind w:left="4778" w:hanging="567"/>
      </w:pPr>
      <w:rPr>
        <w:rFonts w:hint="default"/>
        <w:lang w:val="en-ZA" w:eastAsia="en-ZA" w:bidi="en-ZA"/>
      </w:rPr>
    </w:lvl>
    <w:lvl w:ilvl="5">
      <w:numFmt w:val="bullet"/>
      <w:lvlText w:val="•"/>
      <w:lvlJc w:val="left"/>
      <w:pPr>
        <w:ind w:left="5653" w:hanging="567"/>
      </w:pPr>
      <w:rPr>
        <w:rFonts w:hint="default"/>
        <w:lang w:val="en-ZA" w:eastAsia="en-ZA" w:bidi="en-ZA"/>
      </w:rPr>
    </w:lvl>
    <w:lvl w:ilvl="6">
      <w:numFmt w:val="bullet"/>
      <w:lvlText w:val="•"/>
      <w:lvlJc w:val="left"/>
      <w:pPr>
        <w:ind w:left="6527" w:hanging="567"/>
      </w:pPr>
      <w:rPr>
        <w:rFonts w:hint="default"/>
        <w:lang w:val="en-ZA" w:eastAsia="en-ZA" w:bidi="en-ZA"/>
      </w:rPr>
    </w:lvl>
    <w:lvl w:ilvl="7">
      <w:numFmt w:val="bullet"/>
      <w:lvlText w:val="•"/>
      <w:lvlJc w:val="left"/>
      <w:pPr>
        <w:ind w:left="7402" w:hanging="567"/>
      </w:pPr>
      <w:rPr>
        <w:rFonts w:hint="default"/>
        <w:lang w:val="en-ZA" w:eastAsia="en-ZA" w:bidi="en-ZA"/>
      </w:rPr>
    </w:lvl>
    <w:lvl w:ilvl="8">
      <w:numFmt w:val="bullet"/>
      <w:lvlText w:val="•"/>
      <w:lvlJc w:val="left"/>
      <w:pPr>
        <w:ind w:left="8277" w:hanging="567"/>
      </w:pPr>
      <w:rPr>
        <w:rFonts w:hint="default"/>
        <w:lang w:val="en-ZA" w:eastAsia="en-ZA" w:bidi="en-ZA"/>
      </w:rPr>
    </w:lvl>
  </w:abstractNum>
  <w:abstractNum w:abstractNumId="3" w15:restartNumberingAfterBreak="0">
    <w:nsid w:val="49630EB6"/>
    <w:multiLevelType w:val="hybridMultilevel"/>
    <w:tmpl w:val="F814AF46"/>
    <w:lvl w:ilvl="0" w:tplc="874AC024">
      <w:start w:val="1"/>
      <w:numFmt w:val="decimal"/>
      <w:lvlText w:val="%1."/>
      <w:lvlJc w:val="left"/>
      <w:pPr>
        <w:ind w:left="706" w:hanging="567"/>
        <w:jc w:val="left"/>
      </w:pPr>
      <w:rPr>
        <w:rFonts w:hint="default"/>
        <w:spacing w:val="-16"/>
        <w:w w:val="99"/>
        <w:lang w:val="en-ZA" w:eastAsia="en-ZA" w:bidi="en-ZA"/>
      </w:rPr>
    </w:lvl>
    <w:lvl w:ilvl="1" w:tplc="A77A7A1E">
      <w:start w:val="1"/>
      <w:numFmt w:val="lowerLetter"/>
      <w:lvlText w:val="(%2)"/>
      <w:lvlJc w:val="left"/>
      <w:pPr>
        <w:ind w:left="1580" w:hanging="394"/>
        <w:jc w:val="left"/>
      </w:pPr>
      <w:rPr>
        <w:rFonts w:ascii="Arial" w:eastAsia="Arial" w:hAnsi="Arial" w:cs="Arial" w:hint="default"/>
        <w:i/>
        <w:color w:val="1B1818"/>
        <w:w w:val="99"/>
        <w:sz w:val="24"/>
        <w:szCs w:val="24"/>
        <w:lang w:val="en-ZA" w:eastAsia="en-ZA" w:bidi="en-ZA"/>
      </w:rPr>
    </w:lvl>
    <w:lvl w:ilvl="2" w:tplc="51F81996">
      <w:numFmt w:val="bullet"/>
      <w:lvlText w:val="•"/>
      <w:lvlJc w:val="left"/>
      <w:pPr>
        <w:ind w:left="2518" w:hanging="394"/>
      </w:pPr>
      <w:rPr>
        <w:rFonts w:hint="default"/>
        <w:lang w:val="en-ZA" w:eastAsia="en-ZA" w:bidi="en-ZA"/>
      </w:rPr>
    </w:lvl>
    <w:lvl w:ilvl="3" w:tplc="D842E188">
      <w:numFmt w:val="bullet"/>
      <w:lvlText w:val="•"/>
      <w:lvlJc w:val="left"/>
      <w:pPr>
        <w:ind w:left="3456" w:hanging="394"/>
      </w:pPr>
      <w:rPr>
        <w:rFonts w:hint="default"/>
        <w:lang w:val="en-ZA" w:eastAsia="en-ZA" w:bidi="en-ZA"/>
      </w:rPr>
    </w:lvl>
    <w:lvl w:ilvl="4" w:tplc="AE769516">
      <w:numFmt w:val="bullet"/>
      <w:lvlText w:val="•"/>
      <w:lvlJc w:val="left"/>
      <w:pPr>
        <w:ind w:left="4395" w:hanging="394"/>
      </w:pPr>
      <w:rPr>
        <w:rFonts w:hint="default"/>
        <w:lang w:val="en-ZA" w:eastAsia="en-ZA" w:bidi="en-ZA"/>
      </w:rPr>
    </w:lvl>
    <w:lvl w:ilvl="5" w:tplc="0372822A">
      <w:numFmt w:val="bullet"/>
      <w:lvlText w:val="•"/>
      <w:lvlJc w:val="left"/>
      <w:pPr>
        <w:ind w:left="5333" w:hanging="394"/>
      </w:pPr>
      <w:rPr>
        <w:rFonts w:hint="default"/>
        <w:lang w:val="en-ZA" w:eastAsia="en-ZA" w:bidi="en-ZA"/>
      </w:rPr>
    </w:lvl>
    <w:lvl w:ilvl="6" w:tplc="FAB0FC2E">
      <w:numFmt w:val="bullet"/>
      <w:lvlText w:val="•"/>
      <w:lvlJc w:val="left"/>
      <w:pPr>
        <w:ind w:left="6272" w:hanging="394"/>
      </w:pPr>
      <w:rPr>
        <w:rFonts w:hint="default"/>
        <w:lang w:val="en-ZA" w:eastAsia="en-ZA" w:bidi="en-ZA"/>
      </w:rPr>
    </w:lvl>
    <w:lvl w:ilvl="7" w:tplc="32FC37C0">
      <w:numFmt w:val="bullet"/>
      <w:lvlText w:val="•"/>
      <w:lvlJc w:val="left"/>
      <w:pPr>
        <w:ind w:left="7210" w:hanging="394"/>
      </w:pPr>
      <w:rPr>
        <w:rFonts w:hint="default"/>
        <w:lang w:val="en-ZA" w:eastAsia="en-ZA" w:bidi="en-ZA"/>
      </w:rPr>
    </w:lvl>
    <w:lvl w:ilvl="8" w:tplc="11EE3548">
      <w:numFmt w:val="bullet"/>
      <w:lvlText w:val="•"/>
      <w:lvlJc w:val="left"/>
      <w:pPr>
        <w:ind w:left="8149" w:hanging="394"/>
      </w:pPr>
      <w:rPr>
        <w:rFonts w:hint="default"/>
        <w:lang w:val="en-ZA" w:eastAsia="en-ZA" w:bidi="en-Z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448F0"/>
    <w:rsid w:val="008448F0"/>
    <w:rsid w:val="00997D64"/>
    <w:rsid w:val="00D760E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78EC738-2748-4E5A-84C5-18A43D8D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ZA" w:eastAsia="en-ZA" w:bidi="en-ZA"/>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06" w:hanging="56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1195</Words>
  <Characters>6818</Characters>
  <Application>Microsoft Office Word</Application>
  <DocSecurity>0</DocSecurity>
  <Lines>56</Lines>
  <Paragraphs>15</Paragraphs>
  <ScaleCrop>false</ScaleCrop>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Sibusiso Nyathi</dc:creator>
  <cp:lastModifiedBy>Mary Bruce</cp:lastModifiedBy>
  <cp:revision>2</cp:revision>
  <dcterms:created xsi:type="dcterms:W3CDTF">2023-04-13T08:30:00Z</dcterms:created>
  <dcterms:modified xsi:type="dcterms:W3CDTF">2023-07-05T10:20:00Z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Microsoft® Word for Microsoft 365</vt:lpwstr>
  </property>
  <property fmtid="{D5CDD505-2E9C-101B-9397-08002B2CF9AE}" pid="4" name="LastSaved">
    <vt:filetime>2023-04-13T00:00:00Z</vt:filetime>
  </property>
</Properties>
</file>