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65" w:rsidRDefault="00573903">
      <w:pPr>
        <w:pStyle w:val="Heading1"/>
        <w:spacing w:before="75" w:line="360" w:lineRule="auto"/>
        <w:ind w:left="3443" w:right="2774" w:hanging="1201"/>
      </w:pPr>
      <w:bookmarkStart w:id="0" w:name="_GoBack"/>
      <w:bookmarkEnd w:id="0"/>
      <w:r>
        <w:t>IN THE NATIONAL CONSUMER TRIBUNAL HELD IN CENTURION</w:t>
      </w:r>
    </w:p>
    <w:p w:rsidR="00861D65" w:rsidRDefault="00861D65">
      <w:pPr>
        <w:pStyle w:val="BodyText"/>
        <w:spacing w:before="10"/>
        <w:rPr>
          <w:b/>
          <w:sz w:val="35"/>
        </w:rPr>
      </w:pPr>
    </w:p>
    <w:p w:rsidR="00861D65" w:rsidRDefault="00573903">
      <w:pPr>
        <w:ind w:left="5149"/>
        <w:rPr>
          <w:b/>
          <w:sz w:val="24"/>
        </w:rPr>
      </w:pPr>
      <w:r>
        <w:rPr>
          <w:sz w:val="24"/>
        </w:rPr>
        <w:t xml:space="preserve">Case Number: </w:t>
      </w:r>
      <w:r>
        <w:rPr>
          <w:b/>
          <w:sz w:val="24"/>
        </w:rPr>
        <w:t>NCT/245274/2022/148(1)</w:t>
      </w:r>
    </w:p>
    <w:p w:rsidR="00861D65" w:rsidRDefault="00861D65">
      <w:pPr>
        <w:pStyle w:val="BodyText"/>
        <w:rPr>
          <w:b/>
          <w:sz w:val="26"/>
        </w:rPr>
      </w:pPr>
    </w:p>
    <w:p w:rsidR="00861D65" w:rsidRDefault="00861D65">
      <w:pPr>
        <w:pStyle w:val="BodyText"/>
        <w:rPr>
          <w:b/>
          <w:sz w:val="26"/>
        </w:rPr>
      </w:pPr>
    </w:p>
    <w:p w:rsidR="00861D65" w:rsidRDefault="00573903">
      <w:pPr>
        <w:pStyle w:val="BodyText"/>
        <w:spacing w:before="194"/>
        <w:ind w:left="132"/>
      </w:pPr>
      <w:r>
        <w:t>In the matter between:</w:t>
      </w:r>
    </w:p>
    <w:p w:rsidR="00861D65" w:rsidRDefault="00861D65">
      <w:pPr>
        <w:pStyle w:val="BodyText"/>
        <w:rPr>
          <w:sz w:val="33"/>
        </w:rPr>
      </w:pPr>
    </w:p>
    <w:p w:rsidR="00861D65" w:rsidRDefault="00573903">
      <w:pPr>
        <w:tabs>
          <w:tab w:val="left" w:pos="6614"/>
        </w:tabs>
        <w:ind w:left="132"/>
        <w:rPr>
          <w:sz w:val="24"/>
        </w:rPr>
      </w:pPr>
      <w:r>
        <w:rPr>
          <w:b/>
          <w:sz w:val="24"/>
        </w:rPr>
        <w:t>LIZIWE PEPETA</w:t>
      </w:r>
      <w:r>
        <w:rPr>
          <w:b/>
          <w:sz w:val="24"/>
        </w:rPr>
        <w:tab/>
      </w:r>
      <w:r>
        <w:rPr>
          <w:sz w:val="24"/>
        </w:rPr>
        <w:t>APPLICANT /</w:t>
      </w:r>
      <w:r>
        <w:rPr>
          <w:spacing w:val="-2"/>
          <w:sz w:val="24"/>
        </w:rPr>
        <w:t xml:space="preserve"> </w:t>
      </w:r>
      <w:r>
        <w:rPr>
          <w:sz w:val="24"/>
        </w:rPr>
        <w:t>APPELLANT</w:t>
      </w:r>
    </w:p>
    <w:p w:rsidR="00861D65" w:rsidRDefault="00861D65">
      <w:pPr>
        <w:pStyle w:val="BodyText"/>
        <w:spacing w:before="9"/>
        <w:rPr>
          <w:sz w:val="32"/>
        </w:rPr>
      </w:pPr>
    </w:p>
    <w:p w:rsidR="00861D65" w:rsidRDefault="00573903">
      <w:pPr>
        <w:pStyle w:val="BodyText"/>
        <w:ind w:left="132"/>
      </w:pPr>
      <w:r>
        <w:t>and</w:t>
      </w:r>
    </w:p>
    <w:p w:rsidR="00861D65" w:rsidRDefault="00861D65">
      <w:pPr>
        <w:pStyle w:val="BodyText"/>
        <w:rPr>
          <w:sz w:val="33"/>
        </w:rPr>
      </w:pPr>
    </w:p>
    <w:p w:rsidR="00861D65" w:rsidRDefault="00573903">
      <w:pPr>
        <w:tabs>
          <w:tab w:val="left" w:pos="6590"/>
        </w:tabs>
        <w:ind w:left="132"/>
        <w:rPr>
          <w:sz w:val="24"/>
        </w:rPr>
      </w:pPr>
      <w:r>
        <w:rPr>
          <w:b/>
          <w:sz w:val="24"/>
        </w:rPr>
        <w:t>MITCHELL MUNCK</w:t>
      </w:r>
      <w:r>
        <w:rPr>
          <w:b/>
          <w:spacing w:val="-2"/>
          <w:sz w:val="24"/>
        </w:rPr>
        <w:t xml:space="preserve"> </w:t>
      </w:r>
      <w:r>
        <w:rPr>
          <w:b/>
          <w:sz w:val="24"/>
        </w:rPr>
        <w:t>(PTY) LTD</w:t>
      </w:r>
      <w:r>
        <w:rPr>
          <w:b/>
          <w:sz w:val="24"/>
        </w:rPr>
        <w:tab/>
      </w:r>
      <w:r>
        <w:rPr>
          <w:sz w:val="24"/>
        </w:rPr>
        <w:t>RESPONDENT</w:t>
      </w:r>
    </w:p>
    <w:p w:rsidR="00861D65" w:rsidRDefault="00861D65">
      <w:pPr>
        <w:pStyle w:val="BodyText"/>
        <w:rPr>
          <w:sz w:val="26"/>
        </w:rPr>
      </w:pPr>
    </w:p>
    <w:p w:rsidR="00861D65" w:rsidRDefault="00573903">
      <w:pPr>
        <w:spacing w:before="217"/>
        <w:ind w:left="132"/>
        <w:rPr>
          <w:i/>
          <w:sz w:val="24"/>
        </w:rPr>
      </w:pPr>
      <w:r>
        <w:rPr>
          <w:i/>
          <w:sz w:val="24"/>
          <w:u w:val="single"/>
        </w:rPr>
        <w:t>Coram:</w:t>
      </w:r>
    </w:p>
    <w:p w:rsidR="00861D65" w:rsidRDefault="00861D65">
      <w:pPr>
        <w:pStyle w:val="BodyText"/>
        <w:spacing w:before="9"/>
        <w:rPr>
          <w:i/>
        </w:rPr>
      </w:pPr>
    </w:p>
    <w:p w:rsidR="00861D65" w:rsidRDefault="00573903">
      <w:pPr>
        <w:pStyle w:val="BodyText"/>
        <w:tabs>
          <w:tab w:val="left" w:pos="2293"/>
          <w:tab w:val="left" w:pos="3013"/>
        </w:tabs>
        <w:spacing w:before="92"/>
        <w:ind w:left="132"/>
      </w:pPr>
      <w:r>
        <w:t>Dr</w:t>
      </w:r>
      <w:r>
        <w:rPr>
          <w:spacing w:val="-3"/>
        </w:rPr>
        <w:t xml:space="preserve"> </w:t>
      </w:r>
      <w:r>
        <w:t>MC</w:t>
      </w:r>
      <w:r>
        <w:rPr>
          <w:spacing w:val="-1"/>
        </w:rPr>
        <w:t xml:space="preserve"> </w:t>
      </w:r>
      <w:r>
        <w:t>Peenze</w:t>
      </w:r>
      <w:r>
        <w:tab/>
        <w:t>–</w:t>
      </w:r>
      <w:r>
        <w:tab/>
        <w:t>Presiding Tribunal</w:t>
      </w:r>
      <w:r>
        <w:rPr>
          <w:spacing w:val="2"/>
        </w:rPr>
        <w:t xml:space="preserve"> </w:t>
      </w:r>
      <w:r>
        <w:t>Member</w:t>
      </w:r>
    </w:p>
    <w:p w:rsidR="00861D65" w:rsidRDefault="00861D65">
      <w:pPr>
        <w:pStyle w:val="BodyText"/>
        <w:spacing w:before="10"/>
        <w:rPr>
          <w:sz w:val="20"/>
        </w:rPr>
      </w:pPr>
    </w:p>
    <w:p w:rsidR="00861D65" w:rsidRDefault="00573903">
      <w:pPr>
        <w:pStyle w:val="BodyText"/>
        <w:tabs>
          <w:tab w:val="left" w:pos="2293"/>
          <w:tab w:val="left" w:pos="3013"/>
        </w:tabs>
        <w:spacing w:line="448" w:lineRule="auto"/>
        <w:ind w:left="132" w:right="748"/>
      </w:pPr>
      <w:r>
        <w:t>Mr</w:t>
      </w:r>
      <w:r>
        <w:rPr>
          <w:spacing w:val="-1"/>
        </w:rPr>
        <w:t xml:space="preserve"> </w:t>
      </w:r>
      <w:r>
        <w:t>T</w:t>
      </w:r>
      <w:r>
        <w:rPr>
          <w:spacing w:val="-1"/>
        </w:rPr>
        <w:t xml:space="preserve"> </w:t>
      </w:r>
      <w:r>
        <w:t>Bailey</w:t>
      </w:r>
      <w:r>
        <w:tab/>
        <w:t>–</w:t>
      </w:r>
      <w:r>
        <w:tab/>
        <w:t>Tribunal Member &amp; Executive Chairperson of the Tribunal Adv</w:t>
      </w:r>
      <w:r>
        <w:rPr>
          <w:spacing w:val="-1"/>
        </w:rPr>
        <w:t xml:space="preserve"> </w:t>
      </w:r>
      <w:r>
        <w:t>C</w:t>
      </w:r>
      <w:r>
        <w:rPr>
          <w:spacing w:val="-1"/>
        </w:rPr>
        <w:t xml:space="preserve"> </w:t>
      </w:r>
      <w:r>
        <w:t>Sassman</w:t>
      </w:r>
      <w:r>
        <w:tab/>
        <w:t>–</w:t>
      </w:r>
      <w:r>
        <w:tab/>
        <w:t>Tribunal Member</w:t>
      </w:r>
    </w:p>
    <w:p w:rsidR="00861D65" w:rsidRDefault="00861D65">
      <w:pPr>
        <w:pStyle w:val="BodyText"/>
        <w:rPr>
          <w:sz w:val="26"/>
        </w:rPr>
      </w:pPr>
    </w:p>
    <w:p w:rsidR="00861D65" w:rsidRDefault="00573903">
      <w:pPr>
        <w:pStyle w:val="BodyText"/>
        <w:tabs>
          <w:tab w:val="left" w:pos="2293"/>
          <w:tab w:val="left" w:pos="3013"/>
        </w:tabs>
        <w:spacing w:before="218"/>
        <w:ind w:left="132"/>
      </w:pPr>
      <w:r>
        <w:t>Date</w:t>
      </w:r>
      <w:r>
        <w:rPr>
          <w:spacing w:val="-2"/>
        </w:rPr>
        <w:t xml:space="preserve"> </w:t>
      </w:r>
      <w:r>
        <w:t>of hearing</w:t>
      </w:r>
      <w:r>
        <w:tab/>
        <w:t>–</w:t>
      </w:r>
      <w:r>
        <w:tab/>
        <w:t>9 February 2023, via</w:t>
      </w:r>
      <w:r>
        <w:rPr>
          <w:spacing w:val="-2"/>
        </w:rPr>
        <w:t xml:space="preserve"> </w:t>
      </w:r>
      <w:r>
        <w:t>Teams</w:t>
      </w:r>
    </w:p>
    <w:p w:rsidR="00861D65" w:rsidRDefault="00861D65">
      <w:pPr>
        <w:pStyle w:val="BodyText"/>
        <w:rPr>
          <w:sz w:val="20"/>
        </w:rPr>
      </w:pPr>
    </w:p>
    <w:p w:rsidR="00861D65" w:rsidRDefault="00573903">
      <w:pPr>
        <w:pStyle w:val="BodyText"/>
        <w:spacing w:before="3"/>
        <w:rPr>
          <w:sz w:val="10"/>
        </w:rPr>
      </w:pPr>
      <w:r>
        <w:pict>
          <v:shape id="_x0000_s1032" style="position:absolute;margin-left:56.65pt;margin-top:8.45pt;width:466.75pt;height:.1pt;z-index:-251658240;mso-wrap-distance-left:0;mso-wrap-distance-right:0;mso-position-horizontal-relative:page" coordorigin="1133,169" coordsize="9335,0" path="m1133,169r9334,e" filled="f" strokeweight=".37678mm">
            <v:path arrowok="t"/>
            <w10:wrap type="topAndBottom" anchorx="page"/>
          </v:shape>
        </w:pict>
      </w:r>
    </w:p>
    <w:p w:rsidR="00861D65" w:rsidRDefault="00861D65">
      <w:pPr>
        <w:pStyle w:val="BodyText"/>
        <w:spacing w:before="9"/>
        <w:rPr>
          <w:sz w:val="25"/>
        </w:rPr>
      </w:pPr>
    </w:p>
    <w:p w:rsidR="00861D65" w:rsidRDefault="00573903">
      <w:pPr>
        <w:pStyle w:val="Heading1"/>
        <w:spacing w:before="92"/>
        <w:ind w:left="2671" w:right="2950"/>
        <w:jc w:val="center"/>
      </w:pPr>
      <w:r>
        <w:t>APPEAL JUDGMENT AND REASONS</w:t>
      </w:r>
    </w:p>
    <w:p w:rsidR="00861D65" w:rsidRDefault="00861D65">
      <w:pPr>
        <w:pStyle w:val="BodyText"/>
        <w:rPr>
          <w:b/>
          <w:sz w:val="20"/>
        </w:rPr>
      </w:pPr>
    </w:p>
    <w:p w:rsidR="00861D65" w:rsidRDefault="00573903">
      <w:pPr>
        <w:pStyle w:val="BodyText"/>
        <w:spacing w:before="4"/>
        <w:rPr>
          <w:b/>
          <w:sz w:val="10"/>
        </w:rPr>
      </w:pPr>
      <w:r>
        <w:pict>
          <v:shape id="_x0000_s1031" style="position:absolute;margin-left:56.65pt;margin-top:8.5pt;width:466.75pt;height:.1pt;z-index:-251657216;mso-wrap-distance-left:0;mso-wrap-distance-right:0;mso-position-horizontal-relative:page" coordorigin="1133,170" coordsize="9335,0" path="m1133,170r9334,e" filled="f" strokeweight=".37678mm">
            <v:path arrowok="t"/>
            <w10:wrap type="topAndBottom" anchorx="page"/>
          </v:shape>
        </w:pict>
      </w:r>
    </w:p>
    <w:p w:rsidR="00861D65" w:rsidRDefault="00861D65">
      <w:pPr>
        <w:pStyle w:val="BodyText"/>
        <w:rPr>
          <w:b/>
          <w:sz w:val="20"/>
        </w:rPr>
      </w:pPr>
    </w:p>
    <w:p w:rsidR="00861D65" w:rsidRDefault="00861D65">
      <w:pPr>
        <w:pStyle w:val="BodyText"/>
        <w:rPr>
          <w:b/>
          <w:sz w:val="20"/>
        </w:rPr>
      </w:pPr>
    </w:p>
    <w:p w:rsidR="00861D65" w:rsidRDefault="00861D65">
      <w:pPr>
        <w:pStyle w:val="BodyText"/>
        <w:rPr>
          <w:b/>
          <w:sz w:val="20"/>
        </w:rPr>
      </w:pPr>
    </w:p>
    <w:p w:rsidR="00861D65" w:rsidRDefault="00573903">
      <w:pPr>
        <w:spacing w:before="215"/>
        <w:ind w:left="132"/>
        <w:rPr>
          <w:b/>
          <w:sz w:val="24"/>
        </w:rPr>
      </w:pPr>
      <w:r>
        <w:rPr>
          <w:b/>
          <w:sz w:val="24"/>
        </w:rPr>
        <w:t>APPLICANT / APPELLANT</w:t>
      </w:r>
    </w:p>
    <w:p w:rsidR="00861D65" w:rsidRDefault="00861D65">
      <w:pPr>
        <w:pStyle w:val="BodyText"/>
        <w:rPr>
          <w:b/>
          <w:sz w:val="26"/>
        </w:rPr>
      </w:pPr>
    </w:p>
    <w:p w:rsidR="00861D65" w:rsidRDefault="00861D65">
      <w:pPr>
        <w:pStyle w:val="BodyText"/>
        <w:rPr>
          <w:b/>
          <w:sz w:val="22"/>
        </w:rPr>
      </w:pPr>
    </w:p>
    <w:p w:rsidR="00861D65" w:rsidRPr="0002723C" w:rsidRDefault="0002723C" w:rsidP="0002723C">
      <w:pPr>
        <w:tabs>
          <w:tab w:val="left" w:pos="700"/>
        </w:tabs>
        <w:spacing w:line="360" w:lineRule="auto"/>
        <w:ind w:left="699" w:hanging="567"/>
        <w:jc w:val="both"/>
        <w:rPr>
          <w:sz w:val="24"/>
        </w:rPr>
      </w:pPr>
      <w:r>
        <w:rPr>
          <w:spacing w:val="-8"/>
          <w:w w:val="99"/>
          <w:sz w:val="24"/>
        </w:rPr>
        <w:t>1.</w:t>
      </w:r>
      <w:r>
        <w:rPr>
          <w:spacing w:val="-8"/>
          <w:w w:val="99"/>
          <w:sz w:val="24"/>
        </w:rPr>
        <w:tab/>
      </w:r>
      <w:r w:rsidR="00573903" w:rsidRPr="0002723C">
        <w:rPr>
          <w:sz w:val="24"/>
        </w:rPr>
        <w:t>The</w:t>
      </w:r>
      <w:r w:rsidR="00573903" w:rsidRPr="0002723C">
        <w:rPr>
          <w:spacing w:val="-8"/>
          <w:sz w:val="24"/>
        </w:rPr>
        <w:t xml:space="preserve"> </w:t>
      </w:r>
      <w:r w:rsidR="00573903" w:rsidRPr="0002723C">
        <w:rPr>
          <w:sz w:val="24"/>
        </w:rPr>
        <w:t>Applicant</w:t>
      </w:r>
      <w:r w:rsidR="00573903" w:rsidRPr="0002723C">
        <w:rPr>
          <w:spacing w:val="-6"/>
          <w:sz w:val="24"/>
        </w:rPr>
        <w:t xml:space="preserve"> </w:t>
      </w:r>
      <w:r w:rsidR="00573903" w:rsidRPr="0002723C">
        <w:rPr>
          <w:sz w:val="24"/>
        </w:rPr>
        <w:t>in</w:t>
      </w:r>
      <w:r w:rsidR="00573903" w:rsidRPr="0002723C">
        <w:rPr>
          <w:spacing w:val="-6"/>
          <w:sz w:val="24"/>
        </w:rPr>
        <w:t xml:space="preserve"> </w:t>
      </w:r>
      <w:r w:rsidR="00573903" w:rsidRPr="0002723C">
        <w:rPr>
          <w:sz w:val="24"/>
        </w:rPr>
        <w:t>this</w:t>
      </w:r>
      <w:r w:rsidR="00573903" w:rsidRPr="0002723C">
        <w:rPr>
          <w:spacing w:val="-10"/>
          <w:sz w:val="24"/>
        </w:rPr>
        <w:t xml:space="preserve"> </w:t>
      </w:r>
      <w:r w:rsidR="00573903" w:rsidRPr="0002723C">
        <w:rPr>
          <w:sz w:val="24"/>
        </w:rPr>
        <w:t>matter</w:t>
      </w:r>
      <w:r w:rsidR="00573903" w:rsidRPr="0002723C">
        <w:rPr>
          <w:spacing w:val="-7"/>
          <w:sz w:val="24"/>
        </w:rPr>
        <w:t xml:space="preserve"> </w:t>
      </w:r>
      <w:r w:rsidR="00573903" w:rsidRPr="0002723C">
        <w:rPr>
          <w:sz w:val="24"/>
        </w:rPr>
        <w:t>is</w:t>
      </w:r>
      <w:r w:rsidR="00573903" w:rsidRPr="0002723C">
        <w:rPr>
          <w:spacing w:val="-7"/>
          <w:sz w:val="24"/>
        </w:rPr>
        <w:t xml:space="preserve"> </w:t>
      </w:r>
      <w:r w:rsidR="00573903" w:rsidRPr="0002723C">
        <w:rPr>
          <w:sz w:val="24"/>
        </w:rPr>
        <w:t>Ms</w:t>
      </w:r>
      <w:r w:rsidR="00573903" w:rsidRPr="0002723C">
        <w:rPr>
          <w:spacing w:val="-7"/>
          <w:sz w:val="24"/>
        </w:rPr>
        <w:t xml:space="preserve"> </w:t>
      </w:r>
      <w:r w:rsidR="00573903" w:rsidRPr="0002723C">
        <w:rPr>
          <w:sz w:val="24"/>
        </w:rPr>
        <w:t>Liziwe</w:t>
      </w:r>
      <w:r w:rsidR="00573903" w:rsidRPr="0002723C">
        <w:rPr>
          <w:spacing w:val="-8"/>
          <w:sz w:val="24"/>
        </w:rPr>
        <w:t xml:space="preserve"> </w:t>
      </w:r>
      <w:r w:rsidR="00573903" w:rsidRPr="0002723C">
        <w:rPr>
          <w:sz w:val="24"/>
        </w:rPr>
        <w:t>Pepeta,</w:t>
      </w:r>
      <w:r w:rsidR="00573903" w:rsidRPr="0002723C">
        <w:rPr>
          <w:spacing w:val="-9"/>
          <w:sz w:val="24"/>
        </w:rPr>
        <w:t xml:space="preserve"> </w:t>
      </w:r>
      <w:r w:rsidR="00573903" w:rsidRPr="0002723C">
        <w:rPr>
          <w:sz w:val="24"/>
        </w:rPr>
        <w:t>a</w:t>
      </w:r>
      <w:r w:rsidR="00573903" w:rsidRPr="0002723C">
        <w:rPr>
          <w:spacing w:val="-8"/>
          <w:sz w:val="24"/>
        </w:rPr>
        <w:t xml:space="preserve"> </w:t>
      </w:r>
      <w:r w:rsidR="00573903" w:rsidRPr="0002723C">
        <w:rPr>
          <w:sz w:val="24"/>
        </w:rPr>
        <w:t>major</w:t>
      </w:r>
      <w:r w:rsidR="00573903" w:rsidRPr="0002723C">
        <w:rPr>
          <w:spacing w:val="-7"/>
          <w:sz w:val="24"/>
        </w:rPr>
        <w:t xml:space="preserve"> </w:t>
      </w:r>
      <w:r w:rsidR="00573903" w:rsidRPr="0002723C">
        <w:rPr>
          <w:sz w:val="24"/>
        </w:rPr>
        <w:t>female</w:t>
      </w:r>
      <w:r w:rsidR="00573903" w:rsidRPr="0002723C">
        <w:rPr>
          <w:spacing w:val="-6"/>
          <w:sz w:val="24"/>
        </w:rPr>
        <w:t xml:space="preserve"> </w:t>
      </w:r>
      <w:r w:rsidR="00573903" w:rsidRPr="0002723C">
        <w:rPr>
          <w:sz w:val="24"/>
        </w:rPr>
        <w:t>(“the</w:t>
      </w:r>
      <w:r w:rsidR="00573903" w:rsidRPr="0002723C">
        <w:rPr>
          <w:spacing w:val="-6"/>
          <w:sz w:val="24"/>
        </w:rPr>
        <w:t xml:space="preserve"> </w:t>
      </w:r>
      <w:r w:rsidR="00573903" w:rsidRPr="0002723C">
        <w:rPr>
          <w:sz w:val="24"/>
        </w:rPr>
        <w:t>Appellant”).</w:t>
      </w:r>
      <w:r w:rsidR="00573903" w:rsidRPr="0002723C">
        <w:rPr>
          <w:spacing w:val="-6"/>
          <w:sz w:val="24"/>
        </w:rPr>
        <w:t xml:space="preserve"> </w:t>
      </w:r>
      <w:r w:rsidR="00573903" w:rsidRPr="0002723C">
        <w:rPr>
          <w:sz w:val="24"/>
        </w:rPr>
        <w:t>The Appellant is a consumer, as defined in section 1 of the Consumer Protection Act 68</w:t>
      </w:r>
      <w:r w:rsidR="00573903" w:rsidRPr="0002723C">
        <w:rPr>
          <w:spacing w:val="-39"/>
          <w:sz w:val="24"/>
        </w:rPr>
        <w:t xml:space="preserve"> </w:t>
      </w:r>
      <w:r w:rsidR="00573903" w:rsidRPr="0002723C">
        <w:rPr>
          <w:sz w:val="24"/>
        </w:rPr>
        <w:t>of 2008 (“the CPA”).</w:t>
      </w:r>
    </w:p>
    <w:p w:rsidR="00861D65" w:rsidRDefault="00861D65">
      <w:pPr>
        <w:pStyle w:val="BodyText"/>
        <w:spacing w:before="9"/>
        <w:rPr>
          <w:sz w:val="20"/>
        </w:rPr>
      </w:pPr>
    </w:p>
    <w:p w:rsidR="00861D65" w:rsidRPr="0002723C" w:rsidRDefault="0002723C" w:rsidP="0002723C">
      <w:pPr>
        <w:tabs>
          <w:tab w:val="left" w:pos="699"/>
          <w:tab w:val="left" w:pos="700"/>
        </w:tabs>
        <w:spacing w:before="1"/>
        <w:ind w:left="699" w:hanging="568"/>
        <w:rPr>
          <w:sz w:val="24"/>
        </w:rPr>
      </w:pPr>
      <w:r>
        <w:rPr>
          <w:spacing w:val="-8"/>
          <w:w w:val="99"/>
          <w:sz w:val="24"/>
        </w:rPr>
        <w:t>2.</w:t>
      </w:r>
      <w:r>
        <w:rPr>
          <w:spacing w:val="-8"/>
          <w:w w:val="99"/>
          <w:sz w:val="24"/>
        </w:rPr>
        <w:tab/>
      </w:r>
      <w:r w:rsidR="00573903" w:rsidRPr="0002723C">
        <w:rPr>
          <w:sz w:val="24"/>
        </w:rPr>
        <w:t>At the hearing, the Appellant represented</w:t>
      </w:r>
      <w:r w:rsidR="00573903" w:rsidRPr="0002723C">
        <w:rPr>
          <w:spacing w:val="1"/>
          <w:sz w:val="24"/>
        </w:rPr>
        <w:t xml:space="preserve"> </w:t>
      </w:r>
      <w:r w:rsidR="00573903" w:rsidRPr="0002723C">
        <w:rPr>
          <w:sz w:val="24"/>
        </w:rPr>
        <w:t>herself.</w:t>
      </w:r>
    </w:p>
    <w:p w:rsidR="00861D65" w:rsidRDefault="00861D65">
      <w:pPr>
        <w:rPr>
          <w:sz w:val="24"/>
        </w:rPr>
        <w:sectPr w:rsidR="00861D65">
          <w:footerReference w:type="default" r:id="rId7"/>
          <w:type w:val="continuous"/>
          <w:pgSz w:w="11910" w:h="16840"/>
          <w:pgMar w:top="1340" w:right="1020" w:bottom="840" w:left="1000" w:header="720" w:footer="643" w:gutter="0"/>
          <w:cols w:space="720"/>
        </w:sectPr>
      </w:pPr>
    </w:p>
    <w:p w:rsidR="00861D65" w:rsidRDefault="00573903">
      <w:pPr>
        <w:pStyle w:val="Heading1"/>
        <w:spacing w:before="82"/>
      </w:pPr>
      <w:r>
        <w:lastRenderedPageBreak/>
        <w:t>RESPONDENT</w:t>
      </w:r>
    </w:p>
    <w:p w:rsidR="00861D65" w:rsidRDefault="00861D65">
      <w:pPr>
        <w:pStyle w:val="BodyText"/>
        <w:rPr>
          <w:b/>
          <w:sz w:val="26"/>
        </w:rPr>
      </w:pPr>
    </w:p>
    <w:p w:rsidR="00861D65" w:rsidRDefault="00861D65">
      <w:pPr>
        <w:pStyle w:val="BodyText"/>
        <w:rPr>
          <w:b/>
          <w:sz w:val="22"/>
        </w:rPr>
      </w:pPr>
    </w:p>
    <w:p w:rsidR="00861D65" w:rsidRPr="0002723C" w:rsidRDefault="0002723C" w:rsidP="0002723C">
      <w:pPr>
        <w:tabs>
          <w:tab w:val="left" w:pos="700"/>
        </w:tabs>
        <w:spacing w:line="360" w:lineRule="auto"/>
        <w:ind w:left="699" w:right="112" w:hanging="567"/>
        <w:jc w:val="both"/>
        <w:rPr>
          <w:sz w:val="24"/>
        </w:rPr>
      </w:pPr>
      <w:r>
        <w:rPr>
          <w:spacing w:val="-8"/>
          <w:w w:val="99"/>
          <w:sz w:val="24"/>
        </w:rPr>
        <w:t>3.</w:t>
      </w:r>
      <w:r>
        <w:rPr>
          <w:spacing w:val="-8"/>
          <w:w w:val="99"/>
          <w:sz w:val="24"/>
        </w:rPr>
        <w:tab/>
      </w:r>
      <w:r w:rsidR="00573903" w:rsidRPr="0002723C">
        <w:rPr>
          <w:sz w:val="24"/>
        </w:rPr>
        <w:t>The Respondent is Mitchell Munck (Pty) Ltd (“the Respondent”). The Respondent is a supplier, as defined in section 1 of the</w:t>
      </w:r>
      <w:r w:rsidR="00573903" w:rsidRPr="0002723C">
        <w:rPr>
          <w:spacing w:val="-3"/>
          <w:sz w:val="24"/>
        </w:rPr>
        <w:t xml:space="preserve"> </w:t>
      </w:r>
      <w:r w:rsidR="00573903" w:rsidRPr="0002723C">
        <w:rPr>
          <w:sz w:val="24"/>
        </w:rPr>
        <w:t>CPA.</w:t>
      </w:r>
    </w:p>
    <w:p w:rsidR="00861D65" w:rsidRDefault="00861D65">
      <w:pPr>
        <w:pStyle w:val="BodyText"/>
        <w:spacing w:before="11"/>
        <w:rPr>
          <w:sz w:val="35"/>
        </w:rPr>
      </w:pPr>
    </w:p>
    <w:p w:rsidR="00861D65" w:rsidRPr="0002723C" w:rsidRDefault="0002723C" w:rsidP="0002723C">
      <w:pPr>
        <w:tabs>
          <w:tab w:val="left" w:pos="700"/>
        </w:tabs>
        <w:spacing w:line="360" w:lineRule="auto"/>
        <w:ind w:left="699" w:hanging="567"/>
        <w:jc w:val="both"/>
        <w:rPr>
          <w:sz w:val="24"/>
        </w:rPr>
      </w:pPr>
      <w:r>
        <w:rPr>
          <w:spacing w:val="-8"/>
          <w:w w:val="99"/>
          <w:sz w:val="24"/>
        </w:rPr>
        <w:t>4.</w:t>
      </w:r>
      <w:r>
        <w:rPr>
          <w:spacing w:val="-8"/>
          <w:w w:val="99"/>
          <w:sz w:val="24"/>
        </w:rPr>
        <w:tab/>
      </w:r>
      <w:r w:rsidR="00573903" w:rsidRPr="0002723C">
        <w:rPr>
          <w:sz w:val="24"/>
        </w:rPr>
        <w:t>The Respondent did not file an answering affidavit and did not oppose the appeal applic</w:t>
      </w:r>
      <w:r w:rsidR="00573903" w:rsidRPr="0002723C">
        <w:rPr>
          <w:sz w:val="24"/>
        </w:rPr>
        <w:t>ation. Mr André Herholdt, the Director of the Respondent, attended the hearing as an</w:t>
      </w:r>
      <w:r w:rsidR="00573903" w:rsidRPr="0002723C">
        <w:rPr>
          <w:spacing w:val="-2"/>
          <w:sz w:val="24"/>
        </w:rPr>
        <w:t xml:space="preserve"> </w:t>
      </w:r>
      <w:r w:rsidR="00573903" w:rsidRPr="0002723C">
        <w:rPr>
          <w:sz w:val="24"/>
        </w:rPr>
        <w:t>observer.</w:t>
      </w:r>
    </w:p>
    <w:p w:rsidR="00861D65" w:rsidRDefault="00861D65">
      <w:pPr>
        <w:pStyle w:val="BodyText"/>
        <w:rPr>
          <w:sz w:val="36"/>
        </w:rPr>
      </w:pPr>
    </w:p>
    <w:p w:rsidR="00861D65" w:rsidRDefault="00573903">
      <w:pPr>
        <w:pStyle w:val="Heading1"/>
      </w:pPr>
      <w:r>
        <w:t>TERMINOLOGY</w:t>
      </w:r>
    </w:p>
    <w:p w:rsidR="00861D65" w:rsidRDefault="00861D65">
      <w:pPr>
        <w:pStyle w:val="BodyText"/>
        <w:rPr>
          <w:b/>
          <w:sz w:val="26"/>
        </w:rPr>
      </w:pPr>
    </w:p>
    <w:p w:rsidR="00861D65" w:rsidRDefault="00861D65">
      <w:pPr>
        <w:pStyle w:val="BodyText"/>
        <w:rPr>
          <w:b/>
          <w:sz w:val="22"/>
        </w:rPr>
      </w:pPr>
    </w:p>
    <w:p w:rsidR="00861D65" w:rsidRPr="0002723C" w:rsidRDefault="0002723C" w:rsidP="0002723C">
      <w:pPr>
        <w:tabs>
          <w:tab w:val="left" w:pos="699"/>
          <w:tab w:val="left" w:pos="700"/>
        </w:tabs>
        <w:spacing w:before="1"/>
        <w:ind w:left="699" w:hanging="568"/>
        <w:rPr>
          <w:sz w:val="24"/>
        </w:rPr>
      </w:pPr>
      <w:r>
        <w:rPr>
          <w:spacing w:val="-8"/>
          <w:w w:val="99"/>
          <w:sz w:val="24"/>
        </w:rPr>
        <w:t>5.</w:t>
      </w:r>
      <w:r>
        <w:rPr>
          <w:spacing w:val="-8"/>
          <w:w w:val="99"/>
          <w:sz w:val="24"/>
        </w:rPr>
        <w:tab/>
      </w:r>
      <w:r w:rsidR="00573903" w:rsidRPr="0002723C">
        <w:rPr>
          <w:sz w:val="24"/>
        </w:rPr>
        <w:t>A reference to a section in this judgment refers to a section of the</w:t>
      </w:r>
      <w:r w:rsidR="00573903" w:rsidRPr="0002723C">
        <w:rPr>
          <w:spacing w:val="-3"/>
          <w:sz w:val="24"/>
        </w:rPr>
        <w:t xml:space="preserve"> </w:t>
      </w:r>
      <w:r w:rsidR="00573903" w:rsidRPr="0002723C">
        <w:rPr>
          <w:sz w:val="24"/>
        </w:rPr>
        <w:t>CPA.</w:t>
      </w:r>
    </w:p>
    <w:p w:rsidR="00861D65" w:rsidRDefault="00861D65">
      <w:pPr>
        <w:pStyle w:val="BodyText"/>
        <w:rPr>
          <w:sz w:val="26"/>
        </w:rPr>
      </w:pPr>
    </w:p>
    <w:p w:rsidR="00861D65" w:rsidRDefault="00861D65">
      <w:pPr>
        <w:pStyle w:val="BodyText"/>
        <w:spacing w:before="11"/>
        <w:rPr>
          <w:sz w:val="21"/>
        </w:rPr>
      </w:pPr>
    </w:p>
    <w:p w:rsidR="00861D65" w:rsidRDefault="00573903">
      <w:pPr>
        <w:pStyle w:val="Heading1"/>
      </w:pPr>
      <w:r>
        <w:t>APPLICATION TYPE</w:t>
      </w:r>
    </w:p>
    <w:p w:rsidR="00861D65" w:rsidRDefault="00861D65">
      <w:pPr>
        <w:pStyle w:val="BodyText"/>
        <w:rPr>
          <w:b/>
          <w:sz w:val="26"/>
        </w:rPr>
      </w:pPr>
    </w:p>
    <w:p w:rsidR="00861D65" w:rsidRDefault="00861D65">
      <w:pPr>
        <w:pStyle w:val="BodyText"/>
        <w:rPr>
          <w:b/>
          <w:sz w:val="22"/>
        </w:rPr>
      </w:pPr>
    </w:p>
    <w:p w:rsidR="00861D65" w:rsidRPr="0002723C" w:rsidRDefault="0002723C" w:rsidP="0002723C">
      <w:pPr>
        <w:tabs>
          <w:tab w:val="left" w:pos="674"/>
        </w:tabs>
        <w:spacing w:line="360" w:lineRule="auto"/>
        <w:ind w:left="673" w:hanging="541"/>
        <w:jc w:val="both"/>
        <w:rPr>
          <w:sz w:val="24"/>
        </w:rPr>
      </w:pPr>
      <w:r>
        <w:rPr>
          <w:spacing w:val="-8"/>
          <w:w w:val="99"/>
          <w:sz w:val="24"/>
        </w:rPr>
        <w:t>6.</w:t>
      </w:r>
      <w:r>
        <w:rPr>
          <w:spacing w:val="-8"/>
          <w:w w:val="99"/>
          <w:sz w:val="24"/>
        </w:rPr>
        <w:tab/>
      </w:r>
      <w:r w:rsidR="00573903" w:rsidRPr="0002723C">
        <w:rPr>
          <w:sz w:val="24"/>
        </w:rPr>
        <w:t>This is an application in terms of section 148(1) of the National Credit Act No. 34 of 2005 (“the NCA”) to the National Consumer Tribunal (“The Tribunal”) to appeal the refusal by a single member of the Tribunal. The Tribunal issued a written judgment, dat</w:t>
      </w:r>
      <w:r w:rsidR="00573903" w:rsidRPr="0002723C">
        <w:rPr>
          <w:sz w:val="24"/>
        </w:rPr>
        <w:t>ed 2 August 2022, wherein the single member refused the Appellant’s application for leave to</w:t>
      </w:r>
      <w:r w:rsidR="00573903" w:rsidRPr="0002723C">
        <w:rPr>
          <w:spacing w:val="-3"/>
          <w:sz w:val="24"/>
        </w:rPr>
        <w:t xml:space="preserve"> </w:t>
      </w:r>
      <w:r w:rsidR="00573903" w:rsidRPr="0002723C">
        <w:rPr>
          <w:sz w:val="24"/>
        </w:rPr>
        <w:t>refer.</w:t>
      </w:r>
    </w:p>
    <w:p w:rsidR="00861D65" w:rsidRDefault="00861D65">
      <w:pPr>
        <w:pStyle w:val="BodyText"/>
        <w:spacing w:before="1"/>
        <w:rPr>
          <w:sz w:val="36"/>
        </w:rPr>
      </w:pPr>
    </w:p>
    <w:p w:rsidR="00861D65" w:rsidRPr="0002723C" w:rsidRDefault="0002723C" w:rsidP="0002723C">
      <w:pPr>
        <w:tabs>
          <w:tab w:val="left" w:pos="699"/>
          <w:tab w:val="left" w:pos="700"/>
        </w:tabs>
        <w:ind w:left="699" w:hanging="568"/>
        <w:rPr>
          <w:sz w:val="24"/>
        </w:rPr>
      </w:pPr>
      <w:r>
        <w:rPr>
          <w:spacing w:val="-8"/>
          <w:w w:val="99"/>
          <w:sz w:val="24"/>
        </w:rPr>
        <w:t>7.</w:t>
      </w:r>
      <w:r>
        <w:rPr>
          <w:spacing w:val="-8"/>
          <w:w w:val="99"/>
          <w:sz w:val="24"/>
        </w:rPr>
        <w:tab/>
      </w:r>
      <w:r w:rsidR="00573903" w:rsidRPr="0002723C">
        <w:rPr>
          <w:sz w:val="24"/>
        </w:rPr>
        <w:t>The Tribunal has jurisdiction to hear the appeal in terms of section 27 of the</w:t>
      </w:r>
      <w:r w:rsidR="00573903" w:rsidRPr="0002723C">
        <w:rPr>
          <w:spacing w:val="-14"/>
          <w:sz w:val="24"/>
        </w:rPr>
        <w:t xml:space="preserve"> </w:t>
      </w:r>
      <w:r w:rsidR="00573903" w:rsidRPr="0002723C">
        <w:rPr>
          <w:sz w:val="24"/>
        </w:rPr>
        <w:t>NCA.</w:t>
      </w:r>
    </w:p>
    <w:p w:rsidR="00861D65" w:rsidRDefault="00861D65">
      <w:pPr>
        <w:pStyle w:val="BodyText"/>
        <w:rPr>
          <w:sz w:val="26"/>
        </w:rPr>
      </w:pPr>
    </w:p>
    <w:p w:rsidR="00861D65" w:rsidRPr="0002723C" w:rsidRDefault="0002723C" w:rsidP="0002723C">
      <w:pPr>
        <w:tabs>
          <w:tab w:val="left" w:pos="700"/>
        </w:tabs>
        <w:spacing w:before="157" w:line="357" w:lineRule="auto"/>
        <w:ind w:left="699" w:hanging="567"/>
        <w:jc w:val="both"/>
        <w:rPr>
          <w:sz w:val="24"/>
        </w:rPr>
      </w:pPr>
      <w:r>
        <w:rPr>
          <w:spacing w:val="-8"/>
          <w:w w:val="99"/>
          <w:sz w:val="24"/>
        </w:rPr>
        <w:t>8.</w:t>
      </w:r>
      <w:r>
        <w:rPr>
          <w:spacing w:val="-8"/>
          <w:w w:val="99"/>
          <w:sz w:val="24"/>
        </w:rPr>
        <w:tab/>
      </w:r>
      <w:r w:rsidR="00573903" w:rsidRPr="0002723C">
        <w:rPr>
          <w:sz w:val="24"/>
        </w:rPr>
        <w:t>This judgment follows the filing of pleadings by the Appellant per Rul</w:t>
      </w:r>
      <w:r w:rsidR="00573903" w:rsidRPr="0002723C">
        <w:rPr>
          <w:sz w:val="24"/>
        </w:rPr>
        <w:t>e 26 of the Tribunal Rules</w:t>
      </w:r>
      <w:r w:rsidR="00573903" w:rsidRPr="0002723C">
        <w:rPr>
          <w:position w:val="8"/>
          <w:sz w:val="16"/>
        </w:rPr>
        <w:t xml:space="preserve">1 </w:t>
      </w:r>
      <w:r w:rsidR="00573903" w:rsidRPr="0002723C">
        <w:rPr>
          <w:sz w:val="24"/>
        </w:rPr>
        <w:t>and the Appellant’s submissions during the hearing on 9 February 2023.</w:t>
      </w:r>
    </w:p>
    <w:p w:rsidR="00861D65" w:rsidRDefault="00861D65">
      <w:pPr>
        <w:pStyle w:val="BodyText"/>
        <w:spacing w:before="3"/>
        <w:rPr>
          <w:sz w:val="36"/>
        </w:rPr>
      </w:pPr>
    </w:p>
    <w:p w:rsidR="00861D65" w:rsidRDefault="00573903">
      <w:pPr>
        <w:pStyle w:val="Heading1"/>
      </w:pPr>
      <w:r>
        <w:t>BACKGROUND</w:t>
      </w:r>
    </w:p>
    <w:p w:rsidR="00861D65" w:rsidRDefault="00861D65">
      <w:pPr>
        <w:pStyle w:val="BodyText"/>
        <w:rPr>
          <w:b/>
          <w:sz w:val="26"/>
        </w:rPr>
      </w:pPr>
    </w:p>
    <w:p w:rsidR="00861D65" w:rsidRDefault="00861D65">
      <w:pPr>
        <w:pStyle w:val="BodyText"/>
        <w:spacing w:before="1"/>
        <w:rPr>
          <w:b/>
          <w:sz w:val="22"/>
        </w:rPr>
      </w:pPr>
    </w:p>
    <w:p w:rsidR="00861D65" w:rsidRPr="0002723C" w:rsidRDefault="0002723C" w:rsidP="0002723C">
      <w:pPr>
        <w:tabs>
          <w:tab w:val="left" w:pos="674"/>
        </w:tabs>
        <w:spacing w:line="360" w:lineRule="auto"/>
        <w:ind w:left="673" w:right="108" w:hanging="567"/>
        <w:jc w:val="both"/>
        <w:rPr>
          <w:sz w:val="24"/>
        </w:rPr>
      </w:pPr>
      <w:r>
        <w:rPr>
          <w:spacing w:val="-8"/>
          <w:w w:val="99"/>
          <w:sz w:val="24"/>
        </w:rPr>
        <w:t>9.</w:t>
      </w:r>
      <w:r>
        <w:rPr>
          <w:spacing w:val="-8"/>
          <w:w w:val="99"/>
          <w:sz w:val="24"/>
        </w:rPr>
        <w:tab/>
      </w:r>
      <w:r w:rsidR="00573903" w:rsidRPr="0002723C">
        <w:rPr>
          <w:sz w:val="24"/>
        </w:rPr>
        <w:t>The</w:t>
      </w:r>
      <w:r w:rsidR="00573903" w:rsidRPr="0002723C">
        <w:rPr>
          <w:spacing w:val="-14"/>
          <w:sz w:val="24"/>
        </w:rPr>
        <w:t xml:space="preserve"> </w:t>
      </w:r>
      <w:r w:rsidR="00573903" w:rsidRPr="0002723C">
        <w:rPr>
          <w:sz w:val="24"/>
        </w:rPr>
        <w:t>Appellant</w:t>
      </w:r>
      <w:r w:rsidR="00573903" w:rsidRPr="0002723C">
        <w:rPr>
          <w:spacing w:val="-13"/>
          <w:sz w:val="24"/>
        </w:rPr>
        <w:t xml:space="preserve"> </w:t>
      </w:r>
      <w:r w:rsidR="00573903" w:rsidRPr="0002723C">
        <w:rPr>
          <w:sz w:val="24"/>
        </w:rPr>
        <w:t>lodged</w:t>
      </w:r>
      <w:r w:rsidR="00573903" w:rsidRPr="0002723C">
        <w:rPr>
          <w:spacing w:val="-13"/>
          <w:sz w:val="24"/>
        </w:rPr>
        <w:t xml:space="preserve"> </w:t>
      </w:r>
      <w:r w:rsidR="00573903" w:rsidRPr="0002723C">
        <w:rPr>
          <w:sz w:val="24"/>
        </w:rPr>
        <w:t>an</w:t>
      </w:r>
      <w:r w:rsidR="00573903" w:rsidRPr="0002723C">
        <w:rPr>
          <w:spacing w:val="-14"/>
          <w:sz w:val="24"/>
        </w:rPr>
        <w:t xml:space="preserve"> </w:t>
      </w:r>
      <w:r w:rsidR="00573903" w:rsidRPr="0002723C">
        <w:rPr>
          <w:sz w:val="24"/>
        </w:rPr>
        <w:t>application</w:t>
      </w:r>
      <w:r w:rsidR="00573903" w:rsidRPr="0002723C">
        <w:rPr>
          <w:spacing w:val="-13"/>
          <w:sz w:val="24"/>
        </w:rPr>
        <w:t xml:space="preserve"> </w:t>
      </w:r>
      <w:r w:rsidR="00573903" w:rsidRPr="0002723C">
        <w:rPr>
          <w:sz w:val="24"/>
        </w:rPr>
        <w:t>with</w:t>
      </w:r>
      <w:r w:rsidR="00573903" w:rsidRPr="0002723C">
        <w:rPr>
          <w:spacing w:val="-14"/>
          <w:sz w:val="24"/>
        </w:rPr>
        <w:t xml:space="preserve"> </w:t>
      </w:r>
      <w:r w:rsidR="00573903" w:rsidRPr="0002723C">
        <w:rPr>
          <w:sz w:val="24"/>
        </w:rPr>
        <w:t>the</w:t>
      </w:r>
      <w:r w:rsidR="00573903" w:rsidRPr="0002723C">
        <w:rPr>
          <w:spacing w:val="-13"/>
          <w:sz w:val="24"/>
        </w:rPr>
        <w:t xml:space="preserve"> </w:t>
      </w:r>
      <w:r w:rsidR="00573903" w:rsidRPr="0002723C">
        <w:rPr>
          <w:sz w:val="24"/>
        </w:rPr>
        <w:t>Tribunal</w:t>
      </w:r>
      <w:r w:rsidR="00573903" w:rsidRPr="0002723C">
        <w:rPr>
          <w:spacing w:val="-15"/>
          <w:sz w:val="24"/>
        </w:rPr>
        <w:t xml:space="preserve"> </w:t>
      </w:r>
      <w:r w:rsidR="00573903" w:rsidRPr="0002723C">
        <w:rPr>
          <w:sz w:val="24"/>
        </w:rPr>
        <w:t>in</w:t>
      </w:r>
      <w:r w:rsidR="00573903" w:rsidRPr="0002723C">
        <w:rPr>
          <w:spacing w:val="-13"/>
          <w:sz w:val="24"/>
        </w:rPr>
        <w:t xml:space="preserve"> </w:t>
      </w:r>
      <w:r w:rsidR="00573903" w:rsidRPr="0002723C">
        <w:rPr>
          <w:sz w:val="24"/>
        </w:rPr>
        <w:t>terms</w:t>
      </w:r>
      <w:r w:rsidR="00573903" w:rsidRPr="0002723C">
        <w:rPr>
          <w:spacing w:val="-15"/>
          <w:sz w:val="24"/>
        </w:rPr>
        <w:t xml:space="preserve"> </w:t>
      </w:r>
      <w:r w:rsidR="00573903" w:rsidRPr="0002723C">
        <w:rPr>
          <w:sz w:val="24"/>
        </w:rPr>
        <w:t>of</w:t>
      </w:r>
      <w:r w:rsidR="00573903" w:rsidRPr="0002723C">
        <w:rPr>
          <w:spacing w:val="-8"/>
          <w:sz w:val="24"/>
        </w:rPr>
        <w:t xml:space="preserve"> </w:t>
      </w:r>
      <w:r w:rsidR="00573903" w:rsidRPr="0002723C">
        <w:rPr>
          <w:sz w:val="24"/>
        </w:rPr>
        <w:t>section</w:t>
      </w:r>
      <w:r w:rsidR="00573903" w:rsidRPr="0002723C">
        <w:rPr>
          <w:spacing w:val="-14"/>
          <w:sz w:val="24"/>
        </w:rPr>
        <w:t xml:space="preserve"> </w:t>
      </w:r>
      <w:r w:rsidR="00573903" w:rsidRPr="0002723C">
        <w:rPr>
          <w:sz w:val="24"/>
        </w:rPr>
        <w:t>75(1),</w:t>
      </w:r>
      <w:r w:rsidR="00573903" w:rsidRPr="0002723C">
        <w:rPr>
          <w:spacing w:val="-14"/>
          <w:sz w:val="24"/>
        </w:rPr>
        <w:t xml:space="preserve"> </w:t>
      </w:r>
      <w:r w:rsidR="00573903" w:rsidRPr="0002723C">
        <w:rPr>
          <w:sz w:val="24"/>
        </w:rPr>
        <w:t>alleging that the Respondent sold her defective goods on or about November 2018. She purchased a sheep head dehairing machine (“the machine") from the Respondent for R27,192.42 and took possession of this machine in December 2018. According to the Appellan</w:t>
      </w:r>
      <w:r w:rsidR="00573903" w:rsidRPr="0002723C">
        <w:rPr>
          <w:sz w:val="24"/>
        </w:rPr>
        <w:t>t,</w:t>
      </w:r>
      <w:r w:rsidR="00573903" w:rsidRPr="0002723C">
        <w:rPr>
          <w:spacing w:val="28"/>
          <w:sz w:val="24"/>
        </w:rPr>
        <w:t xml:space="preserve"> </w:t>
      </w:r>
      <w:r w:rsidR="00573903" w:rsidRPr="0002723C">
        <w:rPr>
          <w:sz w:val="24"/>
        </w:rPr>
        <w:t>the</w:t>
      </w:r>
      <w:r w:rsidR="00573903" w:rsidRPr="0002723C">
        <w:rPr>
          <w:spacing w:val="30"/>
          <w:sz w:val="24"/>
        </w:rPr>
        <w:t xml:space="preserve"> </w:t>
      </w:r>
      <w:r w:rsidR="00573903" w:rsidRPr="0002723C">
        <w:rPr>
          <w:sz w:val="24"/>
        </w:rPr>
        <w:t>goods</w:t>
      </w:r>
      <w:r w:rsidR="00573903" w:rsidRPr="0002723C">
        <w:rPr>
          <w:spacing w:val="28"/>
          <w:sz w:val="24"/>
        </w:rPr>
        <w:t xml:space="preserve"> </w:t>
      </w:r>
      <w:r w:rsidR="00573903" w:rsidRPr="0002723C">
        <w:rPr>
          <w:sz w:val="24"/>
        </w:rPr>
        <w:t>were</w:t>
      </w:r>
      <w:r w:rsidR="00573903" w:rsidRPr="0002723C">
        <w:rPr>
          <w:spacing w:val="30"/>
          <w:sz w:val="24"/>
        </w:rPr>
        <w:t xml:space="preserve"> </w:t>
      </w:r>
      <w:r w:rsidR="00573903" w:rsidRPr="0002723C">
        <w:rPr>
          <w:sz w:val="24"/>
        </w:rPr>
        <w:t>not</w:t>
      </w:r>
      <w:r w:rsidR="00573903" w:rsidRPr="0002723C">
        <w:rPr>
          <w:spacing w:val="29"/>
          <w:sz w:val="24"/>
        </w:rPr>
        <w:t xml:space="preserve"> </w:t>
      </w:r>
      <w:r w:rsidR="00573903" w:rsidRPr="0002723C">
        <w:rPr>
          <w:sz w:val="24"/>
        </w:rPr>
        <w:t>working</w:t>
      </w:r>
      <w:r w:rsidR="00573903" w:rsidRPr="0002723C">
        <w:rPr>
          <w:spacing w:val="29"/>
          <w:sz w:val="24"/>
        </w:rPr>
        <w:t xml:space="preserve"> </w:t>
      </w:r>
      <w:r w:rsidR="00573903" w:rsidRPr="0002723C">
        <w:rPr>
          <w:sz w:val="24"/>
        </w:rPr>
        <w:t>from</w:t>
      </w:r>
      <w:r w:rsidR="00573903" w:rsidRPr="0002723C">
        <w:rPr>
          <w:spacing w:val="28"/>
          <w:sz w:val="24"/>
        </w:rPr>
        <w:t xml:space="preserve"> </w:t>
      </w:r>
      <w:r w:rsidR="00573903" w:rsidRPr="0002723C">
        <w:rPr>
          <w:sz w:val="24"/>
        </w:rPr>
        <w:t>the</w:t>
      </w:r>
      <w:r w:rsidR="00573903" w:rsidRPr="0002723C">
        <w:rPr>
          <w:spacing w:val="28"/>
          <w:sz w:val="24"/>
        </w:rPr>
        <w:t xml:space="preserve"> </w:t>
      </w:r>
      <w:r w:rsidR="00573903" w:rsidRPr="0002723C">
        <w:rPr>
          <w:sz w:val="24"/>
        </w:rPr>
        <w:t>date</w:t>
      </w:r>
      <w:r w:rsidR="00573903" w:rsidRPr="0002723C">
        <w:rPr>
          <w:spacing w:val="28"/>
          <w:sz w:val="24"/>
        </w:rPr>
        <w:t xml:space="preserve"> </w:t>
      </w:r>
      <w:r w:rsidR="00573903" w:rsidRPr="0002723C">
        <w:rPr>
          <w:sz w:val="24"/>
        </w:rPr>
        <w:t>of</w:t>
      </w:r>
      <w:r w:rsidR="00573903" w:rsidRPr="0002723C">
        <w:rPr>
          <w:spacing w:val="30"/>
          <w:sz w:val="24"/>
        </w:rPr>
        <w:t xml:space="preserve"> </w:t>
      </w:r>
      <w:r w:rsidR="00573903" w:rsidRPr="0002723C">
        <w:rPr>
          <w:sz w:val="24"/>
        </w:rPr>
        <w:t>receipt.</w:t>
      </w:r>
      <w:r w:rsidR="00573903" w:rsidRPr="0002723C">
        <w:rPr>
          <w:spacing w:val="27"/>
          <w:sz w:val="24"/>
        </w:rPr>
        <w:t xml:space="preserve"> </w:t>
      </w:r>
      <w:r w:rsidR="00573903" w:rsidRPr="0002723C">
        <w:rPr>
          <w:sz w:val="24"/>
        </w:rPr>
        <w:t>After</w:t>
      </w:r>
      <w:r w:rsidR="00573903" w:rsidRPr="0002723C">
        <w:rPr>
          <w:spacing w:val="28"/>
          <w:sz w:val="24"/>
        </w:rPr>
        <w:t xml:space="preserve"> </w:t>
      </w:r>
      <w:r w:rsidR="00573903" w:rsidRPr="0002723C">
        <w:rPr>
          <w:sz w:val="24"/>
        </w:rPr>
        <w:t>informing</w:t>
      </w:r>
      <w:r w:rsidR="00573903" w:rsidRPr="0002723C">
        <w:rPr>
          <w:spacing w:val="30"/>
          <w:sz w:val="24"/>
        </w:rPr>
        <w:t xml:space="preserve"> </w:t>
      </w:r>
      <w:r w:rsidR="00573903" w:rsidRPr="0002723C">
        <w:rPr>
          <w:sz w:val="24"/>
        </w:rPr>
        <w:t>the</w:t>
      </w:r>
    </w:p>
    <w:p w:rsidR="00861D65" w:rsidRDefault="00861D65">
      <w:pPr>
        <w:pStyle w:val="BodyText"/>
        <w:rPr>
          <w:sz w:val="20"/>
        </w:rPr>
      </w:pPr>
    </w:p>
    <w:p w:rsidR="00861D65" w:rsidRDefault="00573903">
      <w:pPr>
        <w:pStyle w:val="BodyText"/>
        <w:spacing w:before="10"/>
        <w:rPr>
          <w:sz w:val="11"/>
        </w:rPr>
      </w:pPr>
      <w:r>
        <w:pict>
          <v:shape id="_x0000_s1030" style="position:absolute;margin-left:56.65pt;margin-top:9.2pt;width:144.05pt;height:.1pt;z-index:-251656192;mso-wrap-distance-left:0;mso-wrap-distance-right:0;mso-position-horizontal-relative:page" coordorigin="1133,184" coordsize="2881,0" path="m1133,184r2881,e" filled="f" strokeweight=".72pt">
            <v:path arrowok="t"/>
            <w10:wrap type="topAndBottom" anchorx="page"/>
          </v:shape>
        </w:pict>
      </w:r>
    </w:p>
    <w:p w:rsidR="00861D65" w:rsidRDefault="00573903">
      <w:pPr>
        <w:spacing w:before="70"/>
        <w:ind w:left="132" w:right="46"/>
        <w:rPr>
          <w:sz w:val="20"/>
        </w:rPr>
      </w:pPr>
      <w:r>
        <w:rPr>
          <w:position w:val="6"/>
          <w:sz w:val="13"/>
        </w:rPr>
        <w:t xml:space="preserve">1 </w:t>
      </w:r>
      <w:r>
        <w:rPr>
          <w:sz w:val="20"/>
        </w:rPr>
        <w:t>GN 789 of 28 August 2007: Regulations for matters relating to the functions of the Tribunal and Rules for the conduct of matters before the National Consumer Tribunal, 2007 (Government Gazette No. 30225).</w:t>
      </w:r>
    </w:p>
    <w:p w:rsidR="00861D65" w:rsidRDefault="00861D65">
      <w:pPr>
        <w:rPr>
          <w:sz w:val="20"/>
        </w:rPr>
        <w:sectPr w:rsidR="00861D65">
          <w:headerReference w:type="default" r:id="rId8"/>
          <w:footerReference w:type="default" r:id="rId9"/>
          <w:pgSz w:w="11910" w:h="16840"/>
          <w:pgMar w:top="960" w:right="1020" w:bottom="740" w:left="1000" w:header="326" w:footer="545" w:gutter="0"/>
          <w:pgNumType w:start="2"/>
          <w:cols w:space="720"/>
        </w:sectPr>
      </w:pPr>
    </w:p>
    <w:p w:rsidR="00861D65" w:rsidRDefault="00573903">
      <w:pPr>
        <w:pStyle w:val="BodyText"/>
        <w:spacing w:before="82" w:line="360" w:lineRule="auto"/>
        <w:ind w:left="673" w:right="109"/>
        <w:jc w:val="both"/>
      </w:pPr>
      <w:r>
        <w:lastRenderedPageBreak/>
        <w:t>Respondent</w:t>
      </w:r>
      <w:r>
        <w:rPr>
          <w:spacing w:val="-12"/>
        </w:rPr>
        <w:t xml:space="preserve"> </w:t>
      </w:r>
      <w:r>
        <w:t>of</w:t>
      </w:r>
      <w:r>
        <w:rPr>
          <w:spacing w:val="-12"/>
        </w:rPr>
        <w:t xml:space="preserve"> </w:t>
      </w:r>
      <w:r>
        <w:t>the</w:t>
      </w:r>
      <w:r>
        <w:rPr>
          <w:spacing w:val="-12"/>
        </w:rPr>
        <w:t xml:space="preserve"> </w:t>
      </w:r>
      <w:r>
        <w:t>machine’s</w:t>
      </w:r>
      <w:r>
        <w:rPr>
          <w:spacing w:val="-13"/>
        </w:rPr>
        <w:t xml:space="preserve"> </w:t>
      </w:r>
      <w:r>
        <w:t>malfunctioning,</w:t>
      </w:r>
      <w:r>
        <w:rPr>
          <w:spacing w:val="-12"/>
        </w:rPr>
        <w:t xml:space="preserve"> </w:t>
      </w:r>
      <w:r>
        <w:t>the</w:t>
      </w:r>
      <w:r>
        <w:rPr>
          <w:spacing w:val="-8"/>
        </w:rPr>
        <w:t xml:space="preserve"> </w:t>
      </w:r>
      <w:r>
        <w:t>Respondent</w:t>
      </w:r>
      <w:r>
        <w:rPr>
          <w:spacing w:val="-8"/>
        </w:rPr>
        <w:t xml:space="preserve"> </w:t>
      </w:r>
      <w:r>
        <w:t>advised</w:t>
      </w:r>
      <w:r>
        <w:rPr>
          <w:spacing w:val="-11"/>
        </w:rPr>
        <w:t xml:space="preserve"> </w:t>
      </w:r>
      <w:r>
        <w:t>her</w:t>
      </w:r>
      <w:r>
        <w:rPr>
          <w:spacing w:val="-12"/>
        </w:rPr>
        <w:t xml:space="preserve"> </w:t>
      </w:r>
      <w:r>
        <w:t>to</w:t>
      </w:r>
      <w:r>
        <w:rPr>
          <w:spacing w:val="-10"/>
        </w:rPr>
        <w:t xml:space="preserve"> </w:t>
      </w:r>
      <w:r>
        <w:t>purchase a</w:t>
      </w:r>
      <w:r>
        <w:rPr>
          <w:spacing w:val="-13"/>
        </w:rPr>
        <w:t xml:space="preserve"> </w:t>
      </w:r>
      <w:r>
        <w:t>scalding</w:t>
      </w:r>
      <w:r>
        <w:rPr>
          <w:spacing w:val="-15"/>
        </w:rPr>
        <w:t xml:space="preserve"> </w:t>
      </w:r>
      <w:r>
        <w:t>tank</w:t>
      </w:r>
      <w:r>
        <w:rPr>
          <w:spacing w:val="-14"/>
        </w:rPr>
        <w:t xml:space="preserve"> </w:t>
      </w:r>
      <w:r>
        <w:t>for</w:t>
      </w:r>
      <w:r>
        <w:rPr>
          <w:spacing w:val="-13"/>
        </w:rPr>
        <w:t xml:space="preserve"> </w:t>
      </w:r>
      <w:r>
        <w:t>about</w:t>
      </w:r>
      <w:r>
        <w:rPr>
          <w:spacing w:val="-12"/>
        </w:rPr>
        <w:t xml:space="preserve"> </w:t>
      </w:r>
      <w:r>
        <w:t>R17,000</w:t>
      </w:r>
      <w:r>
        <w:rPr>
          <w:spacing w:val="-12"/>
        </w:rPr>
        <w:t xml:space="preserve"> </w:t>
      </w:r>
      <w:r>
        <w:t>in</w:t>
      </w:r>
      <w:r>
        <w:rPr>
          <w:spacing w:val="-12"/>
        </w:rPr>
        <w:t xml:space="preserve"> </w:t>
      </w:r>
      <w:r>
        <w:t>December</w:t>
      </w:r>
      <w:r>
        <w:rPr>
          <w:spacing w:val="-14"/>
        </w:rPr>
        <w:t xml:space="preserve"> </w:t>
      </w:r>
      <w:r>
        <w:t>2018.</w:t>
      </w:r>
      <w:r>
        <w:rPr>
          <w:spacing w:val="-12"/>
        </w:rPr>
        <w:t xml:space="preserve"> </w:t>
      </w:r>
      <w:r>
        <w:t>The</w:t>
      </w:r>
      <w:r>
        <w:rPr>
          <w:spacing w:val="-13"/>
        </w:rPr>
        <w:t xml:space="preserve"> </w:t>
      </w:r>
      <w:r>
        <w:t>scalding</w:t>
      </w:r>
      <w:r>
        <w:rPr>
          <w:spacing w:val="-15"/>
        </w:rPr>
        <w:t xml:space="preserve"> </w:t>
      </w:r>
      <w:r>
        <w:t>tank</w:t>
      </w:r>
      <w:r>
        <w:rPr>
          <w:spacing w:val="-11"/>
        </w:rPr>
        <w:t xml:space="preserve"> </w:t>
      </w:r>
      <w:r>
        <w:t>did</w:t>
      </w:r>
      <w:r>
        <w:rPr>
          <w:spacing w:val="-15"/>
        </w:rPr>
        <w:t xml:space="preserve"> </w:t>
      </w:r>
      <w:r>
        <w:t>not</w:t>
      </w:r>
      <w:r>
        <w:rPr>
          <w:spacing w:val="-12"/>
        </w:rPr>
        <w:t xml:space="preserve"> </w:t>
      </w:r>
      <w:r>
        <w:t>resolve the malfunctioning of the machine, and the Respondent allegedly advised that the wrong blades were installed. The Respondent appeared willing to replace the blades. However, when requested to pay for the transportation costs of the goods to its pre</w:t>
      </w:r>
      <w:r>
        <w:t>mises in December 2020, the Respondent</w:t>
      </w:r>
      <w:r>
        <w:rPr>
          <w:spacing w:val="-8"/>
        </w:rPr>
        <w:t xml:space="preserve"> </w:t>
      </w:r>
      <w:r>
        <w:t>refused.</w:t>
      </w:r>
    </w:p>
    <w:p w:rsidR="00861D65" w:rsidRDefault="00861D65">
      <w:pPr>
        <w:pStyle w:val="BodyText"/>
        <w:spacing w:before="11"/>
        <w:rPr>
          <w:sz w:val="35"/>
        </w:rPr>
      </w:pPr>
    </w:p>
    <w:p w:rsidR="00861D65" w:rsidRPr="0002723C" w:rsidRDefault="0002723C" w:rsidP="0002723C">
      <w:pPr>
        <w:tabs>
          <w:tab w:val="left" w:pos="674"/>
        </w:tabs>
        <w:spacing w:line="360" w:lineRule="auto"/>
        <w:ind w:left="673" w:right="110" w:hanging="567"/>
        <w:jc w:val="both"/>
        <w:rPr>
          <w:sz w:val="24"/>
        </w:rPr>
      </w:pPr>
      <w:r>
        <w:rPr>
          <w:spacing w:val="-8"/>
          <w:w w:val="99"/>
          <w:sz w:val="24"/>
        </w:rPr>
        <w:t>10.</w:t>
      </w:r>
      <w:r>
        <w:rPr>
          <w:spacing w:val="-8"/>
          <w:w w:val="99"/>
          <w:sz w:val="24"/>
        </w:rPr>
        <w:tab/>
      </w:r>
      <w:r w:rsidR="00573903" w:rsidRPr="0002723C">
        <w:rPr>
          <w:sz w:val="24"/>
        </w:rPr>
        <w:t>The Appellant subsequently lodged a complaint with the Consumer Goods and Services Ombudsman and the National Consumer Commission (“the NCC”). She received</w:t>
      </w:r>
      <w:r w:rsidR="00573903" w:rsidRPr="0002723C">
        <w:rPr>
          <w:spacing w:val="-3"/>
          <w:sz w:val="24"/>
        </w:rPr>
        <w:t xml:space="preserve"> </w:t>
      </w:r>
      <w:r w:rsidR="00573903" w:rsidRPr="0002723C">
        <w:rPr>
          <w:sz w:val="24"/>
        </w:rPr>
        <w:t>a</w:t>
      </w:r>
      <w:r w:rsidR="00573903" w:rsidRPr="0002723C">
        <w:rPr>
          <w:spacing w:val="-3"/>
          <w:sz w:val="24"/>
        </w:rPr>
        <w:t xml:space="preserve"> </w:t>
      </w:r>
      <w:r w:rsidR="00573903" w:rsidRPr="0002723C">
        <w:rPr>
          <w:sz w:val="24"/>
        </w:rPr>
        <w:t>Notice</w:t>
      </w:r>
      <w:r w:rsidR="00573903" w:rsidRPr="0002723C">
        <w:rPr>
          <w:spacing w:val="-3"/>
          <w:sz w:val="24"/>
        </w:rPr>
        <w:t xml:space="preserve"> </w:t>
      </w:r>
      <w:r w:rsidR="00573903" w:rsidRPr="0002723C">
        <w:rPr>
          <w:sz w:val="24"/>
        </w:rPr>
        <w:t>of</w:t>
      </w:r>
      <w:r w:rsidR="00573903" w:rsidRPr="0002723C">
        <w:rPr>
          <w:spacing w:val="-6"/>
          <w:sz w:val="24"/>
        </w:rPr>
        <w:t xml:space="preserve"> </w:t>
      </w:r>
      <w:r w:rsidR="00573903" w:rsidRPr="0002723C">
        <w:rPr>
          <w:sz w:val="24"/>
        </w:rPr>
        <w:t>non-referral</w:t>
      </w:r>
      <w:r w:rsidR="00573903" w:rsidRPr="0002723C">
        <w:rPr>
          <w:spacing w:val="-4"/>
          <w:sz w:val="24"/>
        </w:rPr>
        <w:t xml:space="preserve"> </w:t>
      </w:r>
      <w:r w:rsidR="00573903" w:rsidRPr="0002723C">
        <w:rPr>
          <w:sz w:val="24"/>
        </w:rPr>
        <w:t>from</w:t>
      </w:r>
      <w:r w:rsidR="00573903" w:rsidRPr="0002723C">
        <w:rPr>
          <w:spacing w:val="-2"/>
          <w:sz w:val="24"/>
        </w:rPr>
        <w:t xml:space="preserve"> </w:t>
      </w:r>
      <w:r w:rsidR="00573903" w:rsidRPr="0002723C">
        <w:rPr>
          <w:sz w:val="24"/>
        </w:rPr>
        <w:t>the</w:t>
      </w:r>
      <w:r w:rsidR="00573903" w:rsidRPr="0002723C">
        <w:rPr>
          <w:spacing w:val="-4"/>
          <w:sz w:val="24"/>
        </w:rPr>
        <w:t xml:space="preserve"> </w:t>
      </w:r>
      <w:r w:rsidR="00573903" w:rsidRPr="0002723C">
        <w:rPr>
          <w:sz w:val="24"/>
        </w:rPr>
        <w:t>NCC</w:t>
      </w:r>
      <w:r w:rsidR="00573903" w:rsidRPr="0002723C">
        <w:rPr>
          <w:spacing w:val="-4"/>
          <w:sz w:val="24"/>
        </w:rPr>
        <w:t xml:space="preserve"> </w:t>
      </w:r>
      <w:r w:rsidR="00573903" w:rsidRPr="0002723C">
        <w:rPr>
          <w:sz w:val="24"/>
        </w:rPr>
        <w:t>dated</w:t>
      </w:r>
      <w:r w:rsidR="00573903" w:rsidRPr="0002723C">
        <w:rPr>
          <w:spacing w:val="-5"/>
          <w:sz w:val="24"/>
        </w:rPr>
        <w:t xml:space="preserve"> </w:t>
      </w:r>
      <w:r w:rsidR="00573903" w:rsidRPr="0002723C">
        <w:rPr>
          <w:sz w:val="24"/>
        </w:rPr>
        <w:t>18</w:t>
      </w:r>
      <w:r w:rsidR="00573903" w:rsidRPr="0002723C">
        <w:rPr>
          <w:spacing w:val="-3"/>
          <w:sz w:val="24"/>
        </w:rPr>
        <w:t xml:space="preserve"> </w:t>
      </w:r>
      <w:r w:rsidR="00573903" w:rsidRPr="0002723C">
        <w:rPr>
          <w:sz w:val="24"/>
        </w:rPr>
        <w:t>May</w:t>
      </w:r>
      <w:r w:rsidR="00573903" w:rsidRPr="0002723C">
        <w:rPr>
          <w:spacing w:val="-4"/>
          <w:sz w:val="24"/>
        </w:rPr>
        <w:t xml:space="preserve"> </w:t>
      </w:r>
      <w:r w:rsidR="00573903" w:rsidRPr="0002723C">
        <w:rPr>
          <w:sz w:val="24"/>
        </w:rPr>
        <w:t>2022.</w:t>
      </w:r>
      <w:r w:rsidR="00573903" w:rsidRPr="0002723C">
        <w:rPr>
          <w:spacing w:val="-5"/>
          <w:sz w:val="24"/>
        </w:rPr>
        <w:t xml:space="preserve"> </w:t>
      </w:r>
      <w:r w:rsidR="00573903" w:rsidRPr="0002723C">
        <w:rPr>
          <w:sz w:val="24"/>
        </w:rPr>
        <w:t>On</w:t>
      </w:r>
      <w:r w:rsidR="00573903" w:rsidRPr="0002723C">
        <w:rPr>
          <w:spacing w:val="-2"/>
          <w:sz w:val="24"/>
        </w:rPr>
        <w:t xml:space="preserve"> </w:t>
      </w:r>
      <w:r w:rsidR="00573903" w:rsidRPr="0002723C">
        <w:rPr>
          <w:sz w:val="24"/>
        </w:rPr>
        <w:t>15</w:t>
      </w:r>
      <w:r w:rsidR="00573903" w:rsidRPr="0002723C">
        <w:rPr>
          <w:spacing w:val="-4"/>
          <w:sz w:val="24"/>
        </w:rPr>
        <w:t xml:space="preserve"> </w:t>
      </w:r>
      <w:r w:rsidR="00573903" w:rsidRPr="0002723C">
        <w:rPr>
          <w:sz w:val="24"/>
        </w:rPr>
        <w:t>June</w:t>
      </w:r>
      <w:r w:rsidR="00573903" w:rsidRPr="0002723C">
        <w:rPr>
          <w:spacing w:val="-5"/>
          <w:sz w:val="24"/>
        </w:rPr>
        <w:t xml:space="preserve"> </w:t>
      </w:r>
      <w:r w:rsidR="00573903" w:rsidRPr="0002723C">
        <w:rPr>
          <w:sz w:val="24"/>
        </w:rPr>
        <w:t>2022, the Appellant filed her application for leave to refer with the Tribunal and served the application on the Respondent on 11 June 2022 via registered</w:t>
      </w:r>
      <w:r w:rsidR="00573903" w:rsidRPr="0002723C">
        <w:rPr>
          <w:spacing w:val="-13"/>
          <w:sz w:val="24"/>
        </w:rPr>
        <w:t xml:space="preserve"> </w:t>
      </w:r>
      <w:r w:rsidR="00573903" w:rsidRPr="0002723C">
        <w:rPr>
          <w:sz w:val="24"/>
        </w:rPr>
        <w:t>mail.</w:t>
      </w:r>
    </w:p>
    <w:p w:rsidR="00861D65" w:rsidRDefault="00861D65">
      <w:pPr>
        <w:pStyle w:val="BodyText"/>
        <w:rPr>
          <w:sz w:val="36"/>
        </w:rPr>
      </w:pPr>
    </w:p>
    <w:p w:rsidR="00861D65" w:rsidRPr="0002723C" w:rsidRDefault="0002723C" w:rsidP="0002723C">
      <w:pPr>
        <w:tabs>
          <w:tab w:val="left" w:pos="674"/>
        </w:tabs>
        <w:spacing w:before="1" w:line="360" w:lineRule="auto"/>
        <w:ind w:left="673" w:right="108" w:hanging="567"/>
        <w:jc w:val="both"/>
        <w:rPr>
          <w:sz w:val="24"/>
        </w:rPr>
      </w:pPr>
      <w:r>
        <w:rPr>
          <w:spacing w:val="-8"/>
          <w:w w:val="99"/>
          <w:sz w:val="24"/>
        </w:rPr>
        <w:t>11.</w:t>
      </w:r>
      <w:r>
        <w:rPr>
          <w:spacing w:val="-8"/>
          <w:w w:val="99"/>
          <w:sz w:val="24"/>
        </w:rPr>
        <w:tab/>
      </w:r>
      <w:r w:rsidR="00573903" w:rsidRPr="0002723C">
        <w:rPr>
          <w:sz w:val="24"/>
        </w:rPr>
        <w:t>In</w:t>
      </w:r>
      <w:r w:rsidR="00573903" w:rsidRPr="0002723C">
        <w:rPr>
          <w:spacing w:val="-15"/>
          <w:sz w:val="24"/>
        </w:rPr>
        <w:t xml:space="preserve"> </w:t>
      </w:r>
      <w:r w:rsidR="00573903" w:rsidRPr="0002723C">
        <w:rPr>
          <w:sz w:val="24"/>
        </w:rPr>
        <w:t>the</w:t>
      </w:r>
      <w:r w:rsidR="00573903" w:rsidRPr="0002723C">
        <w:rPr>
          <w:spacing w:val="-17"/>
          <w:sz w:val="24"/>
        </w:rPr>
        <w:t xml:space="preserve"> </w:t>
      </w:r>
      <w:r w:rsidR="00573903" w:rsidRPr="0002723C">
        <w:rPr>
          <w:sz w:val="24"/>
        </w:rPr>
        <w:t>leave</w:t>
      </w:r>
      <w:r w:rsidR="00573903" w:rsidRPr="0002723C">
        <w:rPr>
          <w:spacing w:val="-17"/>
          <w:sz w:val="24"/>
        </w:rPr>
        <w:t xml:space="preserve"> </w:t>
      </w:r>
      <w:r w:rsidR="00573903" w:rsidRPr="0002723C">
        <w:rPr>
          <w:sz w:val="24"/>
        </w:rPr>
        <w:t>to</w:t>
      </w:r>
      <w:r w:rsidR="00573903" w:rsidRPr="0002723C">
        <w:rPr>
          <w:spacing w:val="-15"/>
          <w:sz w:val="24"/>
        </w:rPr>
        <w:t xml:space="preserve"> </w:t>
      </w:r>
      <w:r w:rsidR="00573903" w:rsidRPr="0002723C">
        <w:rPr>
          <w:sz w:val="24"/>
        </w:rPr>
        <w:t>refer</w:t>
      </w:r>
      <w:r w:rsidR="00573903" w:rsidRPr="0002723C">
        <w:rPr>
          <w:spacing w:val="-17"/>
          <w:sz w:val="24"/>
        </w:rPr>
        <w:t xml:space="preserve"> </w:t>
      </w:r>
      <w:r w:rsidR="00573903" w:rsidRPr="0002723C">
        <w:rPr>
          <w:sz w:val="24"/>
        </w:rPr>
        <w:t>ruling,</w:t>
      </w:r>
      <w:r w:rsidR="00573903" w:rsidRPr="0002723C">
        <w:rPr>
          <w:spacing w:val="-17"/>
          <w:sz w:val="24"/>
        </w:rPr>
        <w:t xml:space="preserve"> </w:t>
      </w:r>
      <w:r w:rsidR="00573903" w:rsidRPr="0002723C">
        <w:rPr>
          <w:sz w:val="24"/>
        </w:rPr>
        <w:t>the</w:t>
      </w:r>
      <w:r w:rsidR="00573903" w:rsidRPr="0002723C">
        <w:rPr>
          <w:spacing w:val="-16"/>
          <w:sz w:val="24"/>
        </w:rPr>
        <w:t xml:space="preserve"> </w:t>
      </w:r>
      <w:r w:rsidR="00573903" w:rsidRPr="0002723C">
        <w:rPr>
          <w:sz w:val="24"/>
        </w:rPr>
        <w:t>single</w:t>
      </w:r>
      <w:r w:rsidR="00573903" w:rsidRPr="0002723C">
        <w:rPr>
          <w:spacing w:val="-17"/>
          <w:sz w:val="24"/>
        </w:rPr>
        <w:t xml:space="preserve"> </w:t>
      </w:r>
      <w:r w:rsidR="00573903" w:rsidRPr="0002723C">
        <w:rPr>
          <w:sz w:val="24"/>
        </w:rPr>
        <w:t>member</w:t>
      </w:r>
      <w:r w:rsidR="00573903" w:rsidRPr="0002723C">
        <w:rPr>
          <w:spacing w:val="-19"/>
          <w:sz w:val="24"/>
        </w:rPr>
        <w:t xml:space="preserve"> </w:t>
      </w:r>
      <w:r w:rsidR="00573903" w:rsidRPr="0002723C">
        <w:rPr>
          <w:sz w:val="24"/>
        </w:rPr>
        <w:t>concluded</w:t>
      </w:r>
      <w:r w:rsidR="00573903" w:rsidRPr="0002723C">
        <w:rPr>
          <w:spacing w:val="-17"/>
          <w:sz w:val="24"/>
        </w:rPr>
        <w:t xml:space="preserve"> </w:t>
      </w:r>
      <w:r w:rsidR="00573903" w:rsidRPr="0002723C">
        <w:rPr>
          <w:sz w:val="24"/>
        </w:rPr>
        <w:t>that</w:t>
      </w:r>
      <w:r w:rsidR="00573903" w:rsidRPr="0002723C">
        <w:rPr>
          <w:spacing w:val="-16"/>
          <w:sz w:val="24"/>
        </w:rPr>
        <w:t xml:space="preserve"> </w:t>
      </w:r>
      <w:r w:rsidR="00573903" w:rsidRPr="0002723C">
        <w:rPr>
          <w:sz w:val="24"/>
        </w:rPr>
        <w:t>the</w:t>
      </w:r>
      <w:r w:rsidR="00573903" w:rsidRPr="0002723C">
        <w:rPr>
          <w:spacing w:val="-17"/>
          <w:sz w:val="24"/>
        </w:rPr>
        <w:t xml:space="preserve"> </w:t>
      </w:r>
      <w:r w:rsidR="00573903" w:rsidRPr="0002723C">
        <w:rPr>
          <w:sz w:val="24"/>
        </w:rPr>
        <w:t>matter</w:t>
      </w:r>
      <w:r w:rsidR="00573903" w:rsidRPr="0002723C">
        <w:rPr>
          <w:spacing w:val="-17"/>
          <w:sz w:val="24"/>
        </w:rPr>
        <w:t xml:space="preserve"> </w:t>
      </w:r>
      <w:r w:rsidR="00573903" w:rsidRPr="0002723C">
        <w:rPr>
          <w:sz w:val="24"/>
        </w:rPr>
        <w:t>is</w:t>
      </w:r>
      <w:r w:rsidR="00573903" w:rsidRPr="0002723C">
        <w:rPr>
          <w:spacing w:val="-16"/>
          <w:sz w:val="24"/>
        </w:rPr>
        <w:t xml:space="preserve"> </w:t>
      </w:r>
      <w:r w:rsidR="00573903" w:rsidRPr="0002723C">
        <w:rPr>
          <w:sz w:val="24"/>
        </w:rPr>
        <w:t>of</w:t>
      </w:r>
      <w:r w:rsidR="00573903" w:rsidRPr="0002723C">
        <w:rPr>
          <w:spacing w:val="-18"/>
          <w:sz w:val="24"/>
        </w:rPr>
        <w:t xml:space="preserve"> </w:t>
      </w:r>
      <w:r w:rsidR="00573903" w:rsidRPr="0002723C">
        <w:rPr>
          <w:sz w:val="24"/>
        </w:rPr>
        <w:t>substantial importance to the Appellant and that the general circumstances under which the Appellant</w:t>
      </w:r>
      <w:r w:rsidR="00573903" w:rsidRPr="0002723C">
        <w:rPr>
          <w:spacing w:val="-6"/>
          <w:sz w:val="24"/>
        </w:rPr>
        <w:t xml:space="preserve"> </w:t>
      </w:r>
      <w:r w:rsidR="00573903" w:rsidRPr="0002723C">
        <w:rPr>
          <w:sz w:val="24"/>
        </w:rPr>
        <w:t>purchased</w:t>
      </w:r>
      <w:r w:rsidR="00573903" w:rsidRPr="0002723C">
        <w:rPr>
          <w:spacing w:val="-6"/>
          <w:sz w:val="24"/>
        </w:rPr>
        <w:t xml:space="preserve"> </w:t>
      </w:r>
      <w:r w:rsidR="00573903" w:rsidRPr="0002723C">
        <w:rPr>
          <w:sz w:val="24"/>
        </w:rPr>
        <w:t>the</w:t>
      </w:r>
      <w:r w:rsidR="00573903" w:rsidRPr="0002723C">
        <w:rPr>
          <w:spacing w:val="-6"/>
          <w:sz w:val="24"/>
        </w:rPr>
        <w:t xml:space="preserve"> </w:t>
      </w:r>
      <w:r w:rsidR="00573903" w:rsidRPr="0002723C">
        <w:rPr>
          <w:sz w:val="24"/>
        </w:rPr>
        <w:t>machine</w:t>
      </w:r>
      <w:r w:rsidR="00573903" w:rsidRPr="0002723C">
        <w:rPr>
          <w:spacing w:val="-6"/>
          <w:sz w:val="24"/>
        </w:rPr>
        <w:t xml:space="preserve"> </w:t>
      </w:r>
      <w:r w:rsidR="00573903" w:rsidRPr="0002723C">
        <w:rPr>
          <w:sz w:val="24"/>
        </w:rPr>
        <w:t>fall</w:t>
      </w:r>
      <w:r w:rsidR="00573903" w:rsidRPr="0002723C">
        <w:rPr>
          <w:spacing w:val="-5"/>
          <w:sz w:val="24"/>
        </w:rPr>
        <w:t xml:space="preserve"> </w:t>
      </w:r>
      <w:r w:rsidR="00573903" w:rsidRPr="0002723C">
        <w:rPr>
          <w:sz w:val="24"/>
        </w:rPr>
        <w:t>within</w:t>
      </w:r>
      <w:r w:rsidR="00573903" w:rsidRPr="0002723C">
        <w:rPr>
          <w:spacing w:val="-6"/>
          <w:sz w:val="24"/>
        </w:rPr>
        <w:t xml:space="preserve"> </w:t>
      </w:r>
      <w:r w:rsidR="00573903" w:rsidRPr="0002723C">
        <w:rPr>
          <w:sz w:val="24"/>
        </w:rPr>
        <w:t>the</w:t>
      </w:r>
      <w:r w:rsidR="00573903" w:rsidRPr="0002723C">
        <w:rPr>
          <w:spacing w:val="-3"/>
          <w:sz w:val="24"/>
        </w:rPr>
        <w:t xml:space="preserve"> </w:t>
      </w:r>
      <w:r w:rsidR="00573903" w:rsidRPr="0002723C">
        <w:rPr>
          <w:sz w:val="24"/>
        </w:rPr>
        <w:t>ambit</w:t>
      </w:r>
      <w:r w:rsidR="00573903" w:rsidRPr="0002723C">
        <w:rPr>
          <w:spacing w:val="-7"/>
          <w:sz w:val="24"/>
        </w:rPr>
        <w:t xml:space="preserve"> </w:t>
      </w:r>
      <w:r w:rsidR="00573903" w:rsidRPr="0002723C">
        <w:rPr>
          <w:sz w:val="24"/>
        </w:rPr>
        <w:t>of</w:t>
      </w:r>
      <w:r w:rsidR="00573903" w:rsidRPr="0002723C">
        <w:rPr>
          <w:spacing w:val="-6"/>
          <w:sz w:val="24"/>
        </w:rPr>
        <w:t xml:space="preserve"> </w:t>
      </w:r>
      <w:r w:rsidR="00573903" w:rsidRPr="0002723C">
        <w:rPr>
          <w:sz w:val="24"/>
        </w:rPr>
        <w:t>the</w:t>
      </w:r>
      <w:r w:rsidR="00573903" w:rsidRPr="0002723C">
        <w:rPr>
          <w:spacing w:val="-4"/>
          <w:sz w:val="24"/>
        </w:rPr>
        <w:t xml:space="preserve"> </w:t>
      </w:r>
      <w:r w:rsidR="00573903" w:rsidRPr="0002723C">
        <w:rPr>
          <w:sz w:val="24"/>
        </w:rPr>
        <w:t>CPA.</w:t>
      </w:r>
      <w:r w:rsidR="00573903" w:rsidRPr="0002723C">
        <w:rPr>
          <w:spacing w:val="1"/>
          <w:sz w:val="24"/>
        </w:rPr>
        <w:t xml:space="preserve"> </w:t>
      </w:r>
      <w:r w:rsidR="00573903" w:rsidRPr="0002723C">
        <w:rPr>
          <w:sz w:val="24"/>
        </w:rPr>
        <w:t>However,</w:t>
      </w:r>
      <w:r w:rsidR="00573903" w:rsidRPr="0002723C">
        <w:rPr>
          <w:spacing w:val="-5"/>
          <w:sz w:val="24"/>
        </w:rPr>
        <w:t xml:space="preserve"> </w:t>
      </w:r>
      <w:r w:rsidR="00573903" w:rsidRPr="0002723C">
        <w:rPr>
          <w:sz w:val="24"/>
        </w:rPr>
        <w:t>the</w:t>
      </w:r>
      <w:r w:rsidR="00573903" w:rsidRPr="0002723C">
        <w:rPr>
          <w:spacing w:val="-2"/>
          <w:sz w:val="24"/>
        </w:rPr>
        <w:t xml:space="preserve"> </w:t>
      </w:r>
      <w:r w:rsidR="00573903" w:rsidRPr="0002723C">
        <w:rPr>
          <w:sz w:val="24"/>
        </w:rPr>
        <w:t>single member</w:t>
      </w:r>
      <w:r w:rsidR="00573903" w:rsidRPr="0002723C">
        <w:rPr>
          <w:spacing w:val="-7"/>
          <w:sz w:val="24"/>
        </w:rPr>
        <w:t xml:space="preserve"> </w:t>
      </w:r>
      <w:r w:rsidR="00573903" w:rsidRPr="0002723C">
        <w:rPr>
          <w:sz w:val="24"/>
        </w:rPr>
        <w:t>confirmed</w:t>
      </w:r>
      <w:r w:rsidR="00573903" w:rsidRPr="0002723C">
        <w:rPr>
          <w:spacing w:val="-6"/>
          <w:sz w:val="24"/>
        </w:rPr>
        <w:t xml:space="preserve"> </w:t>
      </w:r>
      <w:r w:rsidR="00573903" w:rsidRPr="0002723C">
        <w:rPr>
          <w:sz w:val="24"/>
        </w:rPr>
        <w:t>that</w:t>
      </w:r>
      <w:r w:rsidR="00573903" w:rsidRPr="0002723C">
        <w:rPr>
          <w:spacing w:val="-6"/>
          <w:sz w:val="24"/>
        </w:rPr>
        <w:t xml:space="preserve"> </w:t>
      </w:r>
      <w:r w:rsidR="00573903" w:rsidRPr="0002723C">
        <w:rPr>
          <w:sz w:val="24"/>
        </w:rPr>
        <w:t>the</w:t>
      </w:r>
      <w:r w:rsidR="00573903" w:rsidRPr="0002723C">
        <w:rPr>
          <w:spacing w:val="-4"/>
          <w:sz w:val="24"/>
        </w:rPr>
        <w:t xml:space="preserve"> </w:t>
      </w:r>
      <w:r w:rsidR="00573903" w:rsidRPr="0002723C">
        <w:rPr>
          <w:sz w:val="24"/>
        </w:rPr>
        <w:t>Appellant’s</w:t>
      </w:r>
      <w:r w:rsidR="00573903" w:rsidRPr="0002723C">
        <w:rPr>
          <w:spacing w:val="-6"/>
          <w:sz w:val="24"/>
        </w:rPr>
        <w:t xml:space="preserve"> </w:t>
      </w:r>
      <w:r w:rsidR="00573903" w:rsidRPr="0002723C">
        <w:rPr>
          <w:sz w:val="24"/>
        </w:rPr>
        <w:t>claim</w:t>
      </w:r>
      <w:r w:rsidR="00573903" w:rsidRPr="0002723C">
        <w:rPr>
          <w:spacing w:val="-9"/>
          <w:sz w:val="24"/>
        </w:rPr>
        <w:t xml:space="preserve"> </w:t>
      </w:r>
      <w:r w:rsidR="00573903" w:rsidRPr="0002723C">
        <w:rPr>
          <w:sz w:val="24"/>
        </w:rPr>
        <w:t>had</w:t>
      </w:r>
      <w:r w:rsidR="00573903" w:rsidRPr="0002723C">
        <w:rPr>
          <w:spacing w:val="-8"/>
          <w:sz w:val="24"/>
        </w:rPr>
        <w:t xml:space="preserve"> </w:t>
      </w:r>
      <w:r w:rsidR="00573903" w:rsidRPr="0002723C">
        <w:rPr>
          <w:sz w:val="24"/>
        </w:rPr>
        <w:t>prescribed,</w:t>
      </w:r>
      <w:r w:rsidR="00573903" w:rsidRPr="0002723C">
        <w:rPr>
          <w:spacing w:val="-9"/>
          <w:sz w:val="24"/>
        </w:rPr>
        <w:t xml:space="preserve"> </w:t>
      </w:r>
      <w:r w:rsidR="00573903" w:rsidRPr="0002723C">
        <w:rPr>
          <w:sz w:val="24"/>
        </w:rPr>
        <w:t>as</w:t>
      </w:r>
      <w:r w:rsidR="00573903" w:rsidRPr="0002723C">
        <w:rPr>
          <w:spacing w:val="-9"/>
          <w:sz w:val="24"/>
        </w:rPr>
        <w:t xml:space="preserve"> </w:t>
      </w:r>
      <w:r w:rsidR="00573903" w:rsidRPr="0002723C">
        <w:rPr>
          <w:sz w:val="24"/>
        </w:rPr>
        <w:t>the</w:t>
      </w:r>
      <w:r w:rsidR="00573903" w:rsidRPr="0002723C">
        <w:rPr>
          <w:spacing w:val="-10"/>
          <w:sz w:val="24"/>
        </w:rPr>
        <w:t xml:space="preserve"> </w:t>
      </w:r>
      <w:r w:rsidR="00573903" w:rsidRPr="0002723C">
        <w:rPr>
          <w:sz w:val="24"/>
        </w:rPr>
        <w:t>Appellant</w:t>
      </w:r>
      <w:r w:rsidR="00573903" w:rsidRPr="0002723C">
        <w:rPr>
          <w:spacing w:val="-8"/>
          <w:sz w:val="24"/>
        </w:rPr>
        <w:t xml:space="preserve"> </w:t>
      </w:r>
      <w:r w:rsidR="00573903" w:rsidRPr="0002723C">
        <w:rPr>
          <w:sz w:val="24"/>
        </w:rPr>
        <w:t>filed</w:t>
      </w:r>
      <w:r w:rsidR="00573903" w:rsidRPr="0002723C">
        <w:rPr>
          <w:spacing w:val="-8"/>
          <w:sz w:val="24"/>
        </w:rPr>
        <w:t xml:space="preserve"> </w:t>
      </w:r>
      <w:r w:rsidR="00573903" w:rsidRPr="0002723C">
        <w:rPr>
          <w:sz w:val="24"/>
        </w:rPr>
        <w:t>her leave to refer application with the Tribunal more than three years after the cause of action arose. Accordingly, the single member concluded that there is no reasonable prospect of the Tribunal being able to adjudicate the Appellant's claim. The</w:t>
      </w:r>
      <w:r w:rsidR="00573903" w:rsidRPr="0002723C">
        <w:rPr>
          <w:sz w:val="24"/>
        </w:rPr>
        <w:t xml:space="preserve"> single member, therefore, refused the application for leave to</w:t>
      </w:r>
      <w:r w:rsidR="00573903" w:rsidRPr="0002723C">
        <w:rPr>
          <w:spacing w:val="-3"/>
          <w:sz w:val="24"/>
        </w:rPr>
        <w:t xml:space="preserve"> </w:t>
      </w:r>
      <w:r w:rsidR="00573903" w:rsidRPr="0002723C">
        <w:rPr>
          <w:sz w:val="24"/>
        </w:rPr>
        <w:t>refer.</w:t>
      </w:r>
    </w:p>
    <w:p w:rsidR="00861D65" w:rsidRDefault="00861D65">
      <w:pPr>
        <w:pStyle w:val="BodyText"/>
        <w:spacing w:before="10"/>
        <w:rPr>
          <w:sz w:val="35"/>
        </w:rPr>
      </w:pPr>
    </w:p>
    <w:p w:rsidR="00861D65" w:rsidRDefault="00573903">
      <w:pPr>
        <w:pStyle w:val="Heading1"/>
        <w:spacing w:before="1"/>
        <w:ind w:left="106"/>
      </w:pPr>
      <w:r>
        <w:t>THE APPEAL</w:t>
      </w:r>
    </w:p>
    <w:p w:rsidR="00861D65" w:rsidRDefault="00861D65">
      <w:pPr>
        <w:pStyle w:val="BodyText"/>
        <w:rPr>
          <w:b/>
          <w:sz w:val="26"/>
        </w:rPr>
      </w:pPr>
    </w:p>
    <w:p w:rsidR="00861D65" w:rsidRDefault="00861D65">
      <w:pPr>
        <w:pStyle w:val="BodyText"/>
        <w:spacing w:before="11"/>
        <w:rPr>
          <w:b/>
          <w:sz w:val="21"/>
        </w:rPr>
      </w:pPr>
    </w:p>
    <w:p w:rsidR="00861D65" w:rsidRPr="0002723C" w:rsidRDefault="0002723C" w:rsidP="0002723C">
      <w:pPr>
        <w:tabs>
          <w:tab w:val="left" w:pos="674"/>
        </w:tabs>
        <w:spacing w:line="360" w:lineRule="auto"/>
        <w:ind w:left="673" w:hanging="567"/>
        <w:jc w:val="both"/>
        <w:rPr>
          <w:sz w:val="24"/>
        </w:rPr>
      </w:pPr>
      <w:r>
        <w:rPr>
          <w:spacing w:val="-8"/>
          <w:w w:val="99"/>
          <w:sz w:val="24"/>
        </w:rPr>
        <w:t>12.</w:t>
      </w:r>
      <w:r>
        <w:rPr>
          <w:spacing w:val="-8"/>
          <w:w w:val="99"/>
          <w:sz w:val="24"/>
        </w:rPr>
        <w:tab/>
      </w:r>
      <w:r w:rsidR="00573903" w:rsidRPr="0002723C">
        <w:rPr>
          <w:sz w:val="24"/>
        </w:rPr>
        <w:t>The Appellant motivated her appeal by submitting that the single member incorrectly based her decision on the premise that three years had lapsed since the dispute ensued.</w:t>
      </w:r>
      <w:r w:rsidR="00573903" w:rsidRPr="0002723C">
        <w:rPr>
          <w:sz w:val="24"/>
        </w:rPr>
        <w:t xml:space="preserve"> According to the Appellant, the dispute did not start in 2018 but in November 2020 when the Respondent refused to pay the transportation costs of the</w:t>
      </w:r>
      <w:r w:rsidR="00573903" w:rsidRPr="0002723C">
        <w:rPr>
          <w:spacing w:val="-19"/>
          <w:sz w:val="24"/>
        </w:rPr>
        <w:t xml:space="preserve"> </w:t>
      </w:r>
      <w:r w:rsidR="00573903" w:rsidRPr="0002723C">
        <w:rPr>
          <w:sz w:val="24"/>
        </w:rPr>
        <w:t>goods.</w:t>
      </w:r>
    </w:p>
    <w:p w:rsidR="00861D65" w:rsidRDefault="00861D65">
      <w:pPr>
        <w:pStyle w:val="BodyText"/>
        <w:spacing w:before="2"/>
        <w:rPr>
          <w:sz w:val="36"/>
        </w:rPr>
      </w:pPr>
    </w:p>
    <w:p w:rsidR="00861D65" w:rsidRPr="0002723C" w:rsidRDefault="0002723C" w:rsidP="0002723C">
      <w:pPr>
        <w:tabs>
          <w:tab w:val="left" w:pos="674"/>
        </w:tabs>
        <w:spacing w:line="360" w:lineRule="auto"/>
        <w:ind w:left="673" w:right="110" w:hanging="567"/>
        <w:jc w:val="both"/>
        <w:rPr>
          <w:sz w:val="24"/>
        </w:rPr>
      </w:pPr>
      <w:r>
        <w:rPr>
          <w:spacing w:val="-8"/>
          <w:w w:val="99"/>
          <w:sz w:val="24"/>
        </w:rPr>
        <w:t>13.</w:t>
      </w:r>
      <w:r>
        <w:rPr>
          <w:spacing w:val="-8"/>
          <w:w w:val="99"/>
          <w:sz w:val="24"/>
        </w:rPr>
        <w:tab/>
      </w:r>
      <w:r w:rsidR="00573903" w:rsidRPr="0002723C">
        <w:rPr>
          <w:sz w:val="24"/>
        </w:rPr>
        <w:t>The Appellant further submitted that she has a good chance of success in the main matter and woul</w:t>
      </w:r>
      <w:r w:rsidR="00573903" w:rsidRPr="0002723C">
        <w:rPr>
          <w:sz w:val="24"/>
        </w:rPr>
        <w:t>d suffer serious harm if the Tribunal does not consider her</w:t>
      </w:r>
      <w:r w:rsidR="00573903" w:rsidRPr="0002723C">
        <w:rPr>
          <w:spacing w:val="-20"/>
          <w:sz w:val="24"/>
        </w:rPr>
        <w:t xml:space="preserve"> </w:t>
      </w:r>
      <w:r w:rsidR="00573903" w:rsidRPr="0002723C">
        <w:rPr>
          <w:sz w:val="24"/>
        </w:rPr>
        <w:t>matter.</w:t>
      </w:r>
    </w:p>
    <w:p w:rsidR="00861D65" w:rsidRDefault="00861D65">
      <w:pPr>
        <w:spacing w:line="360" w:lineRule="auto"/>
        <w:jc w:val="both"/>
        <w:rPr>
          <w:sz w:val="24"/>
        </w:rPr>
        <w:sectPr w:rsidR="00861D65">
          <w:pgSz w:w="11910" w:h="16840"/>
          <w:pgMar w:top="960" w:right="1020" w:bottom="820" w:left="1000" w:header="326" w:footer="545" w:gutter="0"/>
          <w:cols w:space="720"/>
        </w:sectPr>
      </w:pPr>
    </w:p>
    <w:p w:rsidR="00861D65" w:rsidRDefault="00573903">
      <w:pPr>
        <w:pStyle w:val="Heading1"/>
        <w:spacing w:before="82"/>
        <w:ind w:left="106"/>
      </w:pPr>
      <w:r>
        <w:lastRenderedPageBreak/>
        <w:t>CONSIDERATION</w:t>
      </w:r>
    </w:p>
    <w:p w:rsidR="00861D65" w:rsidRDefault="00861D65">
      <w:pPr>
        <w:pStyle w:val="BodyText"/>
        <w:rPr>
          <w:b/>
          <w:sz w:val="26"/>
        </w:rPr>
      </w:pPr>
    </w:p>
    <w:p w:rsidR="00861D65" w:rsidRDefault="00861D65">
      <w:pPr>
        <w:pStyle w:val="BodyText"/>
        <w:rPr>
          <w:b/>
          <w:sz w:val="22"/>
        </w:rPr>
      </w:pPr>
    </w:p>
    <w:p w:rsidR="00861D65" w:rsidRPr="0002723C" w:rsidRDefault="0002723C" w:rsidP="0002723C">
      <w:pPr>
        <w:tabs>
          <w:tab w:val="left" w:pos="674"/>
        </w:tabs>
        <w:spacing w:line="360" w:lineRule="auto"/>
        <w:ind w:left="673" w:right="110" w:hanging="567"/>
        <w:jc w:val="both"/>
        <w:rPr>
          <w:sz w:val="24"/>
        </w:rPr>
      </w:pPr>
      <w:r>
        <w:rPr>
          <w:spacing w:val="-8"/>
          <w:w w:val="99"/>
          <w:sz w:val="24"/>
        </w:rPr>
        <w:t>14.</w:t>
      </w:r>
      <w:r>
        <w:rPr>
          <w:spacing w:val="-8"/>
          <w:w w:val="99"/>
          <w:sz w:val="24"/>
        </w:rPr>
        <w:tab/>
      </w:r>
      <w:r w:rsidR="00573903" w:rsidRPr="0002723C">
        <w:rPr>
          <w:sz w:val="24"/>
        </w:rPr>
        <w:t>The full panel must decide whether the single member made an error or misdirected herself on the law or the facts of the case. To this extent, it is usefu</w:t>
      </w:r>
      <w:r w:rsidR="00573903" w:rsidRPr="0002723C">
        <w:rPr>
          <w:sz w:val="24"/>
        </w:rPr>
        <w:t>l to outline the Tribunal’s authority to consider consumer complaints</w:t>
      </w:r>
      <w:r w:rsidR="00573903" w:rsidRPr="0002723C">
        <w:rPr>
          <w:spacing w:val="-6"/>
          <w:sz w:val="24"/>
        </w:rPr>
        <w:t xml:space="preserve"> </w:t>
      </w:r>
      <w:r w:rsidR="00573903" w:rsidRPr="0002723C">
        <w:rPr>
          <w:sz w:val="24"/>
        </w:rPr>
        <w:t>briefly.</w:t>
      </w:r>
    </w:p>
    <w:p w:rsidR="00861D65" w:rsidRDefault="00861D65">
      <w:pPr>
        <w:pStyle w:val="BodyText"/>
        <w:rPr>
          <w:sz w:val="36"/>
        </w:rPr>
      </w:pPr>
    </w:p>
    <w:p w:rsidR="00861D65" w:rsidRPr="0002723C" w:rsidRDefault="0002723C" w:rsidP="0002723C">
      <w:pPr>
        <w:tabs>
          <w:tab w:val="left" w:pos="674"/>
        </w:tabs>
        <w:spacing w:line="357" w:lineRule="auto"/>
        <w:ind w:left="673" w:right="107" w:hanging="567"/>
        <w:jc w:val="both"/>
        <w:rPr>
          <w:sz w:val="24"/>
        </w:rPr>
      </w:pPr>
      <w:r>
        <w:rPr>
          <w:spacing w:val="-8"/>
          <w:w w:val="99"/>
          <w:sz w:val="24"/>
        </w:rPr>
        <w:t>15.</w:t>
      </w:r>
      <w:r>
        <w:rPr>
          <w:spacing w:val="-8"/>
          <w:w w:val="99"/>
          <w:sz w:val="24"/>
        </w:rPr>
        <w:tab/>
      </w:r>
      <w:r w:rsidR="00573903" w:rsidRPr="0002723C">
        <w:rPr>
          <w:sz w:val="24"/>
        </w:rPr>
        <w:t>The Tribunal derives its powers and authority from its empowering legislation. Like other similar bodies, the Tribunal only has those powers granted by its constitutive statutes and empowering legislation.</w:t>
      </w:r>
      <w:r w:rsidR="00573903" w:rsidRPr="0002723C">
        <w:rPr>
          <w:position w:val="8"/>
          <w:sz w:val="16"/>
        </w:rPr>
        <w:t xml:space="preserve">2 </w:t>
      </w:r>
      <w:r w:rsidR="00573903" w:rsidRPr="0002723C">
        <w:rPr>
          <w:sz w:val="24"/>
        </w:rPr>
        <w:t>Accordingly, when considering a consumer complain</w:t>
      </w:r>
      <w:r w:rsidR="00573903" w:rsidRPr="0002723C">
        <w:rPr>
          <w:sz w:val="24"/>
        </w:rPr>
        <w:t>t, the Tribunal must act within the limitations set by the</w:t>
      </w:r>
      <w:r w:rsidR="00573903" w:rsidRPr="0002723C">
        <w:rPr>
          <w:spacing w:val="-7"/>
          <w:sz w:val="24"/>
        </w:rPr>
        <w:t xml:space="preserve"> </w:t>
      </w:r>
      <w:r w:rsidR="00573903" w:rsidRPr="0002723C">
        <w:rPr>
          <w:sz w:val="24"/>
        </w:rPr>
        <w:t>CPA.</w:t>
      </w:r>
    </w:p>
    <w:p w:rsidR="00861D65" w:rsidRDefault="00861D65">
      <w:pPr>
        <w:pStyle w:val="BodyText"/>
        <w:spacing w:before="6"/>
        <w:rPr>
          <w:sz w:val="36"/>
        </w:rPr>
      </w:pPr>
    </w:p>
    <w:p w:rsidR="00861D65" w:rsidRPr="0002723C" w:rsidRDefault="0002723C" w:rsidP="0002723C">
      <w:pPr>
        <w:tabs>
          <w:tab w:val="left" w:pos="674"/>
        </w:tabs>
        <w:spacing w:line="357" w:lineRule="auto"/>
        <w:ind w:left="673" w:right="107" w:hanging="567"/>
        <w:jc w:val="both"/>
        <w:rPr>
          <w:sz w:val="24"/>
        </w:rPr>
      </w:pPr>
      <w:r>
        <w:rPr>
          <w:spacing w:val="-8"/>
          <w:w w:val="99"/>
          <w:sz w:val="24"/>
        </w:rPr>
        <w:t>16.</w:t>
      </w:r>
      <w:r>
        <w:rPr>
          <w:spacing w:val="-8"/>
          <w:w w:val="99"/>
          <w:sz w:val="24"/>
        </w:rPr>
        <w:tab/>
      </w:r>
      <w:r w:rsidR="00573903" w:rsidRPr="0002723C">
        <w:rPr>
          <w:sz w:val="24"/>
        </w:rPr>
        <w:t>Section 116 limits the powers of the Tribunal and restricts referring a complaint to the Tribunal more than three years after the act or omission that is the cause of the complaint.</w:t>
      </w:r>
      <w:r w:rsidR="00573903" w:rsidRPr="0002723C">
        <w:rPr>
          <w:position w:val="8"/>
          <w:sz w:val="16"/>
        </w:rPr>
        <w:t>3</w:t>
      </w:r>
    </w:p>
    <w:p w:rsidR="00861D65" w:rsidRDefault="00861D65">
      <w:pPr>
        <w:pStyle w:val="BodyText"/>
        <w:spacing w:before="3"/>
        <w:rPr>
          <w:sz w:val="36"/>
        </w:rPr>
      </w:pPr>
    </w:p>
    <w:p w:rsidR="00861D65" w:rsidRPr="0002723C" w:rsidRDefault="0002723C" w:rsidP="0002723C">
      <w:pPr>
        <w:tabs>
          <w:tab w:val="left" w:pos="674"/>
        </w:tabs>
        <w:spacing w:before="1" w:line="360" w:lineRule="auto"/>
        <w:ind w:left="673" w:right="106" w:hanging="567"/>
        <w:jc w:val="both"/>
        <w:rPr>
          <w:sz w:val="24"/>
        </w:rPr>
      </w:pPr>
      <w:r>
        <w:rPr>
          <w:spacing w:val="-8"/>
          <w:w w:val="99"/>
          <w:sz w:val="24"/>
        </w:rPr>
        <w:t>17.</w:t>
      </w:r>
      <w:r>
        <w:rPr>
          <w:spacing w:val="-8"/>
          <w:w w:val="99"/>
          <w:sz w:val="24"/>
        </w:rPr>
        <w:tab/>
      </w:r>
      <w:r w:rsidR="00573903" w:rsidRPr="0002723C">
        <w:rPr>
          <w:sz w:val="24"/>
        </w:rPr>
        <w:t>In this</w:t>
      </w:r>
      <w:r w:rsidR="00573903" w:rsidRPr="0002723C">
        <w:rPr>
          <w:sz w:val="24"/>
        </w:rPr>
        <w:t xml:space="preserve"> matter, the facts are clear; the cause of action arose in December 2018 when the</w:t>
      </w:r>
      <w:r w:rsidR="00573903" w:rsidRPr="0002723C">
        <w:rPr>
          <w:spacing w:val="-6"/>
          <w:sz w:val="24"/>
        </w:rPr>
        <w:t xml:space="preserve"> </w:t>
      </w:r>
      <w:r w:rsidR="00573903" w:rsidRPr="0002723C">
        <w:rPr>
          <w:sz w:val="24"/>
        </w:rPr>
        <w:t>Appellant</w:t>
      </w:r>
      <w:r w:rsidR="00573903" w:rsidRPr="0002723C">
        <w:rPr>
          <w:spacing w:val="-5"/>
          <w:sz w:val="24"/>
        </w:rPr>
        <w:t xml:space="preserve"> </w:t>
      </w:r>
      <w:r w:rsidR="00573903" w:rsidRPr="0002723C">
        <w:rPr>
          <w:sz w:val="24"/>
        </w:rPr>
        <w:t>took</w:t>
      </w:r>
      <w:r w:rsidR="00573903" w:rsidRPr="0002723C">
        <w:rPr>
          <w:spacing w:val="-6"/>
          <w:sz w:val="24"/>
        </w:rPr>
        <w:t xml:space="preserve"> </w:t>
      </w:r>
      <w:r w:rsidR="00573903" w:rsidRPr="0002723C">
        <w:rPr>
          <w:sz w:val="24"/>
        </w:rPr>
        <w:t>possession</w:t>
      </w:r>
      <w:r w:rsidR="00573903" w:rsidRPr="0002723C">
        <w:rPr>
          <w:spacing w:val="-6"/>
          <w:sz w:val="24"/>
        </w:rPr>
        <w:t xml:space="preserve"> </w:t>
      </w:r>
      <w:r w:rsidR="00573903" w:rsidRPr="0002723C">
        <w:rPr>
          <w:sz w:val="24"/>
        </w:rPr>
        <w:t>of</w:t>
      </w:r>
      <w:r w:rsidR="00573903" w:rsidRPr="0002723C">
        <w:rPr>
          <w:spacing w:val="-5"/>
          <w:sz w:val="24"/>
        </w:rPr>
        <w:t xml:space="preserve"> </w:t>
      </w:r>
      <w:r w:rsidR="00573903" w:rsidRPr="0002723C">
        <w:rPr>
          <w:sz w:val="24"/>
        </w:rPr>
        <w:t>the</w:t>
      </w:r>
      <w:r w:rsidR="00573903" w:rsidRPr="0002723C">
        <w:rPr>
          <w:spacing w:val="-8"/>
          <w:sz w:val="24"/>
        </w:rPr>
        <w:t xml:space="preserve"> </w:t>
      </w:r>
      <w:r w:rsidR="00573903" w:rsidRPr="0002723C">
        <w:rPr>
          <w:sz w:val="24"/>
        </w:rPr>
        <w:t>machine</w:t>
      </w:r>
      <w:r w:rsidR="00573903" w:rsidRPr="0002723C">
        <w:rPr>
          <w:spacing w:val="-5"/>
          <w:sz w:val="24"/>
        </w:rPr>
        <w:t xml:space="preserve"> </w:t>
      </w:r>
      <w:r w:rsidR="00573903" w:rsidRPr="0002723C">
        <w:rPr>
          <w:sz w:val="24"/>
        </w:rPr>
        <w:t>and</w:t>
      </w:r>
      <w:r w:rsidR="00573903" w:rsidRPr="0002723C">
        <w:rPr>
          <w:spacing w:val="1"/>
          <w:sz w:val="24"/>
        </w:rPr>
        <w:t xml:space="preserve"> </w:t>
      </w:r>
      <w:r w:rsidR="00573903" w:rsidRPr="0002723C">
        <w:rPr>
          <w:sz w:val="24"/>
        </w:rPr>
        <w:t>found</w:t>
      </w:r>
      <w:r w:rsidR="00573903" w:rsidRPr="0002723C">
        <w:rPr>
          <w:spacing w:val="-3"/>
          <w:sz w:val="24"/>
        </w:rPr>
        <w:t xml:space="preserve"> </w:t>
      </w:r>
      <w:r w:rsidR="00573903" w:rsidRPr="0002723C">
        <w:rPr>
          <w:sz w:val="24"/>
        </w:rPr>
        <w:t>it</w:t>
      </w:r>
      <w:r w:rsidR="00573903" w:rsidRPr="0002723C">
        <w:rPr>
          <w:spacing w:val="-6"/>
          <w:sz w:val="24"/>
        </w:rPr>
        <w:t xml:space="preserve"> </w:t>
      </w:r>
      <w:r w:rsidR="00573903" w:rsidRPr="0002723C">
        <w:rPr>
          <w:sz w:val="24"/>
        </w:rPr>
        <w:t>defective.</w:t>
      </w:r>
      <w:r w:rsidR="00573903" w:rsidRPr="0002723C">
        <w:rPr>
          <w:spacing w:val="-6"/>
          <w:sz w:val="24"/>
        </w:rPr>
        <w:t xml:space="preserve"> </w:t>
      </w:r>
      <w:r w:rsidR="00573903" w:rsidRPr="0002723C">
        <w:rPr>
          <w:sz w:val="24"/>
        </w:rPr>
        <w:t>Three</w:t>
      </w:r>
      <w:r w:rsidR="00573903" w:rsidRPr="0002723C">
        <w:rPr>
          <w:spacing w:val="-5"/>
          <w:sz w:val="24"/>
        </w:rPr>
        <w:t xml:space="preserve"> </w:t>
      </w:r>
      <w:r w:rsidR="00573903" w:rsidRPr="0002723C">
        <w:rPr>
          <w:sz w:val="24"/>
        </w:rPr>
        <w:t>years</w:t>
      </w:r>
      <w:r w:rsidR="00573903" w:rsidRPr="0002723C">
        <w:rPr>
          <w:spacing w:val="-7"/>
          <w:sz w:val="24"/>
        </w:rPr>
        <w:t xml:space="preserve"> </w:t>
      </w:r>
      <w:r w:rsidR="00573903" w:rsidRPr="0002723C">
        <w:rPr>
          <w:sz w:val="24"/>
        </w:rPr>
        <w:t>from December 2018 is December 2021. The application was lodged with the Tribunal on 11 June</w:t>
      </w:r>
      <w:r w:rsidR="00573903" w:rsidRPr="0002723C">
        <w:rPr>
          <w:spacing w:val="-3"/>
          <w:sz w:val="24"/>
        </w:rPr>
        <w:t xml:space="preserve"> </w:t>
      </w:r>
      <w:r w:rsidR="00573903" w:rsidRPr="0002723C">
        <w:rPr>
          <w:sz w:val="24"/>
        </w:rPr>
        <w:t>2022.</w:t>
      </w:r>
    </w:p>
    <w:p w:rsidR="00861D65" w:rsidRDefault="00861D65">
      <w:pPr>
        <w:pStyle w:val="BodyText"/>
        <w:spacing w:before="10"/>
        <w:rPr>
          <w:sz w:val="35"/>
        </w:rPr>
      </w:pPr>
    </w:p>
    <w:p w:rsidR="00861D65" w:rsidRPr="0002723C" w:rsidRDefault="0002723C" w:rsidP="0002723C">
      <w:pPr>
        <w:tabs>
          <w:tab w:val="left" w:pos="674"/>
        </w:tabs>
        <w:spacing w:line="360" w:lineRule="auto"/>
        <w:ind w:left="673" w:hanging="567"/>
        <w:jc w:val="both"/>
        <w:rPr>
          <w:sz w:val="24"/>
        </w:rPr>
      </w:pPr>
      <w:r>
        <w:rPr>
          <w:spacing w:val="-8"/>
          <w:w w:val="99"/>
          <w:sz w:val="24"/>
        </w:rPr>
        <w:t>18.</w:t>
      </w:r>
      <w:r>
        <w:rPr>
          <w:spacing w:val="-8"/>
          <w:w w:val="99"/>
          <w:sz w:val="24"/>
        </w:rPr>
        <w:tab/>
      </w:r>
      <w:r w:rsidR="00573903" w:rsidRPr="0002723C">
        <w:rPr>
          <w:sz w:val="24"/>
        </w:rPr>
        <w:t>Section</w:t>
      </w:r>
      <w:r w:rsidR="00573903" w:rsidRPr="0002723C">
        <w:rPr>
          <w:spacing w:val="-13"/>
          <w:sz w:val="24"/>
        </w:rPr>
        <w:t xml:space="preserve"> </w:t>
      </w:r>
      <w:r w:rsidR="00573903" w:rsidRPr="0002723C">
        <w:rPr>
          <w:sz w:val="24"/>
        </w:rPr>
        <w:t>116</w:t>
      </w:r>
      <w:r w:rsidR="00573903" w:rsidRPr="0002723C">
        <w:rPr>
          <w:spacing w:val="45"/>
          <w:sz w:val="24"/>
        </w:rPr>
        <w:t xml:space="preserve"> </w:t>
      </w:r>
      <w:r w:rsidR="00573903" w:rsidRPr="0002723C">
        <w:rPr>
          <w:sz w:val="24"/>
        </w:rPr>
        <w:t>prevents</w:t>
      </w:r>
      <w:r w:rsidR="00573903" w:rsidRPr="0002723C">
        <w:rPr>
          <w:spacing w:val="-11"/>
          <w:sz w:val="24"/>
        </w:rPr>
        <w:t xml:space="preserve"> </w:t>
      </w:r>
      <w:r w:rsidR="00573903" w:rsidRPr="0002723C">
        <w:rPr>
          <w:sz w:val="24"/>
        </w:rPr>
        <w:t>the</w:t>
      </w:r>
      <w:r w:rsidR="00573903" w:rsidRPr="0002723C">
        <w:rPr>
          <w:spacing w:val="-11"/>
          <w:sz w:val="24"/>
        </w:rPr>
        <w:t xml:space="preserve"> </w:t>
      </w:r>
      <w:r w:rsidR="00573903" w:rsidRPr="0002723C">
        <w:rPr>
          <w:sz w:val="24"/>
        </w:rPr>
        <w:t>Tribunal</w:t>
      </w:r>
      <w:r w:rsidR="00573903" w:rsidRPr="0002723C">
        <w:rPr>
          <w:spacing w:val="-11"/>
          <w:sz w:val="24"/>
        </w:rPr>
        <w:t xml:space="preserve"> </w:t>
      </w:r>
      <w:r w:rsidR="00573903" w:rsidRPr="0002723C">
        <w:rPr>
          <w:sz w:val="24"/>
        </w:rPr>
        <w:t>from</w:t>
      </w:r>
      <w:r w:rsidR="00573903" w:rsidRPr="0002723C">
        <w:rPr>
          <w:spacing w:val="-10"/>
          <w:sz w:val="24"/>
        </w:rPr>
        <w:t xml:space="preserve"> </w:t>
      </w:r>
      <w:r w:rsidR="00573903" w:rsidRPr="0002723C">
        <w:rPr>
          <w:sz w:val="24"/>
        </w:rPr>
        <w:t>hearing</w:t>
      </w:r>
      <w:r w:rsidR="00573903" w:rsidRPr="0002723C">
        <w:rPr>
          <w:spacing w:val="-11"/>
          <w:sz w:val="24"/>
        </w:rPr>
        <w:t xml:space="preserve"> </w:t>
      </w:r>
      <w:r w:rsidR="00573903" w:rsidRPr="0002723C">
        <w:rPr>
          <w:sz w:val="24"/>
        </w:rPr>
        <w:t>any</w:t>
      </w:r>
      <w:r w:rsidR="00573903" w:rsidRPr="0002723C">
        <w:rPr>
          <w:spacing w:val="-13"/>
          <w:sz w:val="24"/>
        </w:rPr>
        <w:t xml:space="preserve"> </w:t>
      </w:r>
      <w:r w:rsidR="00573903" w:rsidRPr="0002723C">
        <w:rPr>
          <w:sz w:val="24"/>
        </w:rPr>
        <w:t>matter</w:t>
      </w:r>
      <w:r w:rsidR="00573903" w:rsidRPr="0002723C">
        <w:rPr>
          <w:spacing w:val="-11"/>
          <w:sz w:val="24"/>
        </w:rPr>
        <w:t xml:space="preserve"> </w:t>
      </w:r>
      <w:r w:rsidR="00573903" w:rsidRPr="0002723C">
        <w:rPr>
          <w:sz w:val="24"/>
        </w:rPr>
        <w:t>more</w:t>
      </w:r>
      <w:r w:rsidR="00573903" w:rsidRPr="0002723C">
        <w:rPr>
          <w:spacing w:val="-13"/>
          <w:sz w:val="24"/>
        </w:rPr>
        <w:t xml:space="preserve"> </w:t>
      </w:r>
      <w:r w:rsidR="00573903" w:rsidRPr="0002723C">
        <w:rPr>
          <w:sz w:val="24"/>
        </w:rPr>
        <w:t>than</w:t>
      </w:r>
      <w:r w:rsidR="00573903" w:rsidRPr="0002723C">
        <w:rPr>
          <w:spacing w:val="-13"/>
          <w:sz w:val="24"/>
        </w:rPr>
        <w:t xml:space="preserve"> </w:t>
      </w:r>
      <w:r w:rsidR="00573903" w:rsidRPr="0002723C">
        <w:rPr>
          <w:sz w:val="24"/>
        </w:rPr>
        <w:t>three</w:t>
      </w:r>
      <w:r w:rsidR="00573903" w:rsidRPr="0002723C">
        <w:rPr>
          <w:spacing w:val="-10"/>
          <w:sz w:val="24"/>
        </w:rPr>
        <w:t xml:space="preserve"> </w:t>
      </w:r>
      <w:r w:rsidR="00573903" w:rsidRPr="0002723C">
        <w:rPr>
          <w:sz w:val="24"/>
        </w:rPr>
        <w:t>years</w:t>
      </w:r>
      <w:r w:rsidR="00573903" w:rsidRPr="0002723C">
        <w:rPr>
          <w:spacing w:val="-12"/>
          <w:sz w:val="24"/>
        </w:rPr>
        <w:t xml:space="preserve"> </w:t>
      </w:r>
      <w:r w:rsidR="00573903" w:rsidRPr="0002723C">
        <w:rPr>
          <w:sz w:val="24"/>
        </w:rPr>
        <w:t>after the cause of the complaint. The High court has confirmed that the Tribunal cannot interrupt or extend the time bar.</w:t>
      </w:r>
      <w:r w:rsidR="00573903" w:rsidRPr="0002723C">
        <w:rPr>
          <w:position w:val="8"/>
          <w:sz w:val="16"/>
        </w:rPr>
        <w:t xml:space="preserve">4 </w:t>
      </w:r>
      <w:r w:rsidR="00573903" w:rsidRPr="0002723C">
        <w:rPr>
          <w:sz w:val="24"/>
        </w:rPr>
        <w:t>Therefore, the Tribunal does not have the auth</w:t>
      </w:r>
      <w:r w:rsidR="00573903" w:rsidRPr="0002723C">
        <w:rPr>
          <w:sz w:val="24"/>
        </w:rPr>
        <w:t>ority to find that the three-year period in section 116 was interrupted while the NCC or the Consumer Goods and Services Ombudsman considered the matter. The High court’s judgment</w:t>
      </w:r>
      <w:r w:rsidR="00573903" w:rsidRPr="0002723C">
        <w:rPr>
          <w:spacing w:val="-16"/>
          <w:sz w:val="24"/>
        </w:rPr>
        <w:t xml:space="preserve"> </w:t>
      </w:r>
      <w:r w:rsidR="00573903" w:rsidRPr="0002723C">
        <w:rPr>
          <w:sz w:val="24"/>
        </w:rPr>
        <w:t>binds</w:t>
      </w:r>
      <w:r w:rsidR="00573903" w:rsidRPr="0002723C">
        <w:rPr>
          <w:spacing w:val="-16"/>
          <w:sz w:val="24"/>
        </w:rPr>
        <w:t xml:space="preserve"> </w:t>
      </w:r>
      <w:r w:rsidR="00573903" w:rsidRPr="0002723C">
        <w:rPr>
          <w:sz w:val="24"/>
        </w:rPr>
        <w:t>the</w:t>
      </w:r>
      <w:r w:rsidR="00573903" w:rsidRPr="0002723C">
        <w:rPr>
          <w:spacing w:val="-15"/>
          <w:sz w:val="24"/>
        </w:rPr>
        <w:t xml:space="preserve"> </w:t>
      </w:r>
      <w:r w:rsidR="00573903" w:rsidRPr="0002723C">
        <w:rPr>
          <w:sz w:val="24"/>
        </w:rPr>
        <w:t>Tribunal.</w:t>
      </w:r>
      <w:r w:rsidR="00573903" w:rsidRPr="0002723C">
        <w:rPr>
          <w:spacing w:val="-16"/>
          <w:sz w:val="24"/>
        </w:rPr>
        <w:t xml:space="preserve"> </w:t>
      </w:r>
      <w:r w:rsidR="00573903" w:rsidRPr="0002723C">
        <w:rPr>
          <w:sz w:val="24"/>
        </w:rPr>
        <w:t>Although</w:t>
      </w:r>
      <w:r w:rsidR="00573903" w:rsidRPr="0002723C">
        <w:rPr>
          <w:spacing w:val="-16"/>
          <w:sz w:val="24"/>
        </w:rPr>
        <w:t xml:space="preserve"> </w:t>
      </w:r>
      <w:r w:rsidR="00573903" w:rsidRPr="0002723C">
        <w:rPr>
          <w:sz w:val="24"/>
        </w:rPr>
        <w:t>the</w:t>
      </w:r>
      <w:r w:rsidR="00573903" w:rsidRPr="0002723C">
        <w:rPr>
          <w:spacing w:val="-15"/>
          <w:sz w:val="24"/>
        </w:rPr>
        <w:t xml:space="preserve"> </w:t>
      </w:r>
      <w:r w:rsidR="00573903" w:rsidRPr="0002723C">
        <w:rPr>
          <w:sz w:val="24"/>
        </w:rPr>
        <w:t>judgment</w:t>
      </w:r>
      <w:r w:rsidR="00573903" w:rsidRPr="0002723C">
        <w:rPr>
          <w:spacing w:val="-16"/>
          <w:sz w:val="24"/>
        </w:rPr>
        <w:t xml:space="preserve"> </w:t>
      </w:r>
      <w:r w:rsidR="00573903" w:rsidRPr="0002723C">
        <w:rPr>
          <w:sz w:val="24"/>
        </w:rPr>
        <w:t>referred</w:t>
      </w:r>
      <w:r w:rsidR="00573903" w:rsidRPr="0002723C">
        <w:rPr>
          <w:spacing w:val="-13"/>
          <w:sz w:val="24"/>
        </w:rPr>
        <w:t xml:space="preserve"> </w:t>
      </w:r>
      <w:r w:rsidR="00573903" w:rsidRPr="0002723C">
        <w:rPr>
          <w:sz w:val="24"/>
        </w:rPr>
        <w:t>to</w:t>
      </w:r>
      <w:r w:rsidR="00573903" w:rsidRPr="0002723C">
        <w:rPr>
          <w:spacing w:val="-15"/>
          <w:sz w:val="24"/>
        </w:rPr>
        <w:t xml:space="preserve"> </w:t>
      </w:r>
      <w:r w:rsidR="00573903" w:rsidRPr="0002723C">
        <w:rPr>
          <w:sz w:val="24"/>
        </w:rPr>
        <w:t>section</w:t>
      </w:r>
      <w:r w:rsidR="00573903" w:rsidRPr="0002723C">
        <w:rPr>
          <w:spacing w:val="-15"/>
          <w:sz w:val="24"/>
        </w:rPr>
        <w:t xml:space="preserve"> </w:t>
      </w:r>
      <w:r w:rsidR="00573903" w:rsidRPr="0002723C">
        <w:rPr>
          <w:sz w:val="24"/>
        </w:rPr>
        <w:t>166</w:t>
      </w:r>
      <w:r w:rsidR="00573903" w:rsidRPr="0002723C">
        <w:rPr>
          <w:spacing w:val="-15"/>
          <w:sz w:val="24"/>
        </w:rPr>
        <w:t xml:space="preserve"> </w:t>
      </w:r>
      <w:r w:rsidR="00573903" w:rsidRPr="0002723C">
        <w:rPr>
          <w:sz w:val="24"/>
        </w:rPr>
        <w:t>of</w:t>
      </w:r>
      <w:r w:rsidR="00573903" w:rsidRPr="0002723C">
        <w:rPr>
          <w:spacing w:val="-16"/>
          <w:sz w:val="24"/>
        </w:rPr>
        <w:t xml:space="preserve"> </w:t>
      </w:r>
      <w:r w:rsidR="00573903" w:rsidRPr="0002723C">
        <w:rPr>
          <w:sz w:val="24"/>
        </w:rPr>
        <w:t>the</w:t>
      </w:r>
      <w:r w:rsidR="00573903" w:rsidRPr="0002723C">
        <w:rPr>
          <w:spacing w:val="-16"/>
          <w:sz w:val="24"/>
        </w:rPr>
        <w:t xml:space="preserve"> </w:t>
      </w:r>
      <w:r w:rsidR="00573903" w:rsidRPr="0002723C">
        <w:rPr>
          <w:sz w:val="24"/>
        </w:rPr>
        <w:t>NCA</w:t>
      </w:r>
      <w:r w:rsidR="00573903" w:rsidRPr="0002723C">
        <w:rPr>
          <w:sz w:val="24"/>
        </w:rPr>
        <w:t>, section 166 is identical to section 116 of the CPA. Section 116 does not allow any discretionary element. It places an absolute bar on considering a matter older than three</w:t>
      </w:r>
      <w:r w:rsidR="00573903" w:rsidRPr="0002723C">
        <w:rPr>
          <w:spacing w:val="1"/>
          <w:sz w:val="24"/>
        </w:rPr>
        <w:t xml:space="preserve"> </w:t>
      </w:r>
      <w:r w:rsidR="00573903" w:rsidRPr="0002723C">
        <w:rPr>
          <w:sz w:val="24"/>
        </w:rPr>
        <w:t>years.</w:t>
      </w:r>
    </w:p>
    <w:p w:rsidR="00861D65" w:rsidRDefault="00861D65">
      <w:pPr>
        <w:pStyle w:val="BodyText"/>
        <w:rPr>
          <w:sz w:val="20"/>
        </w:rPr>
      </w:pPr>
    </w:p>
    <w:p w:rsidR="00861D65" w:rsidRDefault="00861D65">
      <w:pPr>
        <w:pStyle w:val="BodyText"/>
        <w:rPr>
          <w:sz w:val="20"/>
        </w:rPr>
      </w:pPr>
    </w:p>
    <w:p w:rsidR="00861D65" w:rsidRDefault="00861D65">
      <w:pPr>
        <w:pStyle w:val="BodyText"/>
        <w:rPr>
          <w:sz w:val="20"/>
        </w:rPr>
      </w:pPr>
    </w:p>
    <w:p w:rsidR="00861D65" w:rsidRDefault="00861D65">
      <w:pPr>
        <w:pStyle w:val="BodyText"/>
        <w:rPr>
          <w:sz w:val="20"/>
        </w:rPr>
      </w:pPr>
    </w:p>
    <w:p w:rsidR="00861D65" w:rsidRDefault="00573903">
      <w:pPr>
        <w:pStyle w:val="BodyText"/>
        <w:spacing w:before="4"/>
        <w:rPr>
          <w:sz w:val="23"/>
        </w:rPr>
      </w:pPr>
      <w:r>
        <w:pict>
          <v:shape id="_x0000_s1029" style="position:absolute;margin-left:56.65pt;margin-top:15.8pt;width:144.05pt;height:.1pt;z-index:-251655168;mso-wrap-distance-left:0;mso-wrap-distance-right:0;mso-position-horizontal-relative:page" coordorigin="1133,316" coordsize="2881,0" path="m1133,316r2881,e" filled="f" strokeweight=".72pt">
            <v:path arrowok="t"/>
            <w10:wrap type="topAndBottom" anchorx="page"/>
          </v:shape>
        </w:pict>
      </w:r>
    </w:p>
    <w:p w:rsidR="00861D65" w:rsidRDefault="00573903">
      <w:pPr>
        <w:spacing w:before="70"/>
        <w:ind w:left="132"/>
        <w:rPr>
          <w:sz w:val="20"/>
        </w:rPr>
      </w:pPr>
      <w:r>
        <w:rPr>
          <w:position w:val="6"/>
          <w:sz w:val="13"/>
        </w:rPr>
        <w:t xml:space="preserve">2 </w:t>
      </w:r>
      <w:r>
        <w:rPr>
          <w:sz w:val="20"/>
        </w:rPr>
        <w:t xml:space="preserve">See De Ville J, </w:t>
      </w:r>
      <w:r>
        <w:rPr>
          <w:i/>
          <w:sz w:val="20"/>
        </w:rPr>
        <w:t xml:space="preserve">Judicial Review of Administrative Action </w:t>
      </w:r>
      <w:r>
        <w:rPr>
          <w:sz w:val="20"/>
        </w:rPr>
        <w:t>in South Africa, 2004, p. 91</w:t>
      </w:r>
    </w:p>
    <w:p w:rsidR="00861D65" w:rsidRDefault="00573903">
      <w:pPr>
        <w:spacing w:before="1"/>
        <w:ind w:left="132"/>
        <w:rPr>
          <w:sz w:val="20"/>
        </w:rPr>
      </w:pPr>
      <w:r>
        <w:rPr>
          <w:position w:val="6"/>
          <w:sz w:val="13"/>
        </w:rPr>
        <w:t xml:space="preserve">3 </w:t>
      </w:r>
      <w:r>
        <w:rPr>
          <w:sz w:val="20"/>
        </w:rPr>
        <w:t>“Section 116 Limitations of bringing action</w:t>
      </w:r>
    </w:p>
    <w:p w:rsidR="00861D65" w:rsidRPr="0002723C" w:rsidRDefault="0002723C" w:rsidP="0002723C">
      <w:pPr>
        <w:tabs>
          <w:tab w:val="left" w:pos="854"/>
        </w:tabs>
        <w:ind w:left="853" w:right="123" w:hanging="360"/>
        <w:rPr>
          <w:sz w:val="20"/>
        </w:rPr>
      </w:pPr>
      <w:r>
        <w:rPr>
          <w:w w:val="99"/>
          <w:sz w:val="20"/>
          <w:szCs w:val="20"/>
        </w:rPr>
        <w:t>(1)</w:t>
      </w:r>
      <w:r>
        <w:rPr>
          <w:w w:val="99"/>
          <w:sz w:val="20"/>
          <w:szCs w:val="20"/>
        </w:rPr>
        <w:tab/>
      </w:r>
      <w:r w:rsidR="00573903" w:rsidRPr="0002723C">
        <w:rPr>
          <w:sz w:val="20"/>
        </w:rPr>
        <w:t>A complaint in terms of this Act may not be referred or made to the Tribunal or to a consumer court more than three years after</w:t>
      </w:r>
      <w:r w:rsidR="00573903" w:rsidRPr="0002723C">
        <w:rPr>
          <w:spacing w:val="2"/>
          <w:sz w:val="20"/>
        </w:rPr>
        <w:t xml:space="preserve"> </w:t>
      </w:r>
      <w:r w:rsidR="00573903" w:rsidRPr="0002723C">
        <w:rPr>
          <w:sz w:val="20"/>
        </w:rPr>
        <w:t>–</w:t>
      </w:r>
    </w:p>
    <w:p w:rsidR="00861D65" w:rsidRPr="0002723C" w:rsidRDefault="0002723C" w:rsidP="0002723C">
      <w:pPr>
        <w:tabs>
          <w:tab w:val="left" w:pos="1574"/>
        </w:tabs>
        <w:spacing w:line="228" w:lineRule="exact"/>
        <w:ind w:left="1573" w:hanging="361"/>
        <w:rPr>
          <w:sz w:val="20"/>
        </w:rPr>
      </w:pPr>
      <w:r>
        <w:rPr>
          <w:spacing w:val="-1"/>
          <w:w w:val="99"/>
          <w:sz w:val="20"/>
          <w:szCs w:val="20"/>
        </w:rPr>
        <w:t>a.</w:t>
      </w:r>
      <w:r>
        <w:rPr>
          <w:spacing w:val="-1"/>
          <w:w w:val="99"/>
          <w:sz w:val="20"/>
          <w:szCs w:val="20"/>
        </w:rPr>
        <w:tab/>
      </w:r>
      <w:r w:rsidR="00573903" w:rsidRPr="0002723C">
        <w:rPr>
          <w:sz w:val="20"/>
        </w:rPr>
        <w:t>The act or omission that is the cause of the complaint;</w:t>
      </w:r>
      <w:r w:rsidR="00573903" w:rsidRPr="0002723C">
        <w:rPr>
          <w:spacing w:val="-9"/>
          <w:sz w:val="20"/>
        </w:rPr>
        <w:t xml:space="preserve"> </w:t>
      </w:r>
      <w:r w:rsidR="00573903" w:rsidRPr="0002723C">
        <w:rPr>
          <w:sz w:val="20"/>
        </w:rPr>
        <w:t>…”</w:t>
      </w:r>
    </w:p>
    <w:p w:rsidR="00861D65" w:rsidRDefault="00573903">
      <w:pPr>
        <w:ind w:left="132"/>
        <w:rPr>
          <w:sz w:val="20"/>
        </w:rPr>
      </w:pPr>
      <w:r>
        <w:rPr>
          <w:position w:val="6"/>
          <w:sz w:val="13"/>
        </w:rPr>
        <w:t>4</w:t>
      </w:r>
      <w:r>
        <w:rPr>
          <w:position w:val="6"/>
          <w:sz w:val="13"/>
        </w:rPr>
        <w:t xml:space="preserve"> </w:t>
      </w:r>
      <w:r>
        <w:rPr>
          <w:i/>
          <w:sz w:val="20"/>
        </w:rPr>
        <w:t xml:space="preserve">FirstRand Bank Ltd v Ludick </w:t>
      </w:r>
      <w:r>
        <w:rPr>
          <w:sz w:val="20"/>
        </w:rPr>
        <w:t>A 277/2019 High Court of South Africa, Gauteng Division, Pretoria, 18 June 2020 (unreported) at para [16].</w:t>
      </w:r>
    </w:p>
    <w:p w:rsidR="00861D65" w:rsidRDefault="00861D65">
      <w:pPr>
        <w:rPr>
          <w:sz w:val="20"/>
        </w:rPr>
        <w:sectPr w:rsidR="00861D65">
          <w:pgSz w:w="11910" w:h="16840"/>
          <w:pgMar w:top="960" w:right="1020" w:bottom="740" w:left="1000" w:header="326" w:footer="545" w:gutter="0"/>
          <w:cols w:space="720"/>
        </w:sectPr>
      </w:pPr>
    </w:p>
    <w:p w:rsidR="00861D65" w:rsidRPr="0002723C" w:rsidRDefault="0002723C" w:rsidP="0002723C">
      <w:pPr>
        <w:tabs>
          <w:tab w:val="left" w:pos="674"/>
        </w:tabs>
        <w:spacing w:before="82" w:line="360" w:lineRule="auto"/>
        <w:ind w:left="673" w:hanging="567"/>
        <w:jc w:val="both"/>
        <w:rPr>
          <w:sz w:val="24"/>
        </w:rPr>
      </w:pPr>
      <w:r>
        <w:rPr>
          <w:spacing w:val="-8"/>
          <w:w w:val="99"/>
          <w:sz w:val="24"/>
        </w:rPr>
        <w:lastRenderedPageBreak/>
        <w:t>19.</w:t>
      </w:r>
      <w:r>
        <w:rPr>
          <w:spacing w:val="-8"/>
          <w:w w:val="99"/>
          <w:sz w:val="24"/>
        </w:rPr>
        <w:tab/>
      </w:r>
      <w:r w:rsidR="00573903" w:rsidRPr="0002723C">
        <w:rPr>
          <w:sz w:val="24"/>
        </w:rPr>
        <w:t>The Appellant’s submissions on appeal do n</w:t>
      </w:r>
      <w:r w:rsidR="00573903" w:rsidRPr="0002723C">
        <w:rPr>
          <w:sz w:val="24"/>
        </w:rPr>
        <w:t>ot provide any basis for the Tribunal to depart</w:t>
      </w:r>
      <w:r w:rsidR="00573903" w:rsidRPr="0002723C">
        <w:rPr>
          <w:spacing w:val="-7"/>
          <w:sz w:val="24"/>
        </w:rPr>
        <w:t xml:space="preserve"> </w:t>
      </w:r>
      <w:r w:rsidR="00573903" w:rsidRPr="0002723C">
        <w:rPr>
          <w:sz w:val="24"/>
        </w:rPr>
        <w:t>from</w:t>
      </w:r>
      <w:r w:rsidR="00573903" w:rsidRPr="0002723C">
        <w:rPr>
          <w:spacing w:val="-4"/>
          <w:sz w:val="24"/>
        </w:rPr>
        <w:t xml:space="preserve"> </w:t>
      </w:r>
      <w:r w:rsidR="00573903" w:rsidRPr="0002723C">
        <w:rPr>
          <w:sz w:val="24"/>
        </w:rPr>
        <w:t>the</w:t>
      </w:r>
      <w:r w:rsidR="00573903" w:rsidRPr="0002723C">
        <w:rPr>
          <w:spacing w:val="-5"/>
          <w:sz w:val="24"/>
        </w:rPr>
        <w:t xml:space="preserve"> </w:t>
      </w:r>
      <w:r w:rsidR="00573903" w:rsidRPr="0002723C">
        <w:rPr>
          <w:sz w:val="24"/>
        </w:rPr>
        <w:t>binding</w:t>
      </w:r>
      <w:r w:rsidR="00573903" w:rsidRPr="0002723C">
        <w:rPr>
          <w:spacing w:val="-7"/>
          <w:sz w:val="24"/>
        </w:rPr>
        <w:t xml:space="preserve"> </w:t>
      </w:r>
      <w:r w:rsidR="00573903" w:rsidRPr="0002723C">
        <w:rPr>
          <w:sz w:val="24"/>
        </w:rPr>
        <w:t>judgment</w:t>
      </w:r>
      <w:r w:rsidR="00573903" w:rsidRPr="0002723C">
        <w:rPr>
          <w:spacing w:val="-5"/>
          <w:sz w:val="24"/>
        </w:rPr>
        <w:t xml:space="preserve"> </w:t>
      </w:r>
      <w:r w:rsidR="00573903" w:rsidRPr="0002723C">
        <w:rPr>
          <w:sz w:val="24"/>
        </w:rPr>
        <w:t>by</w:t>
      </w:r>
      <w:r w:rsidR="00573903" w:rsidRPr="0002723C">
        <w:rPr>
          <w:spacing w:val="-8"/>
          <w:sz w:val="24"/>
        </w:rPr>
        <w:t xml:space="preserve"> </w:t>
      </w:r>
      <w:r w:rsidR="00573903" w:rsidRPr="0002723C">
        <w:rPr>
          <w:sz w:val="24"/>
        </w:rPr>
        <w:t>the</w:t>
      </w:r>
      <w:r w:rsidR="00573903" w:rsidRPr="0002723C">
        <w:rPr>
          <w:spacing w:val="-7"/>
          <w:sz w:val="24"/>
        </w:rPr>
        <w:t xml:space="preserve"> </w:t>
      </w:r>
      <w:r w:rsidR="00573903" w:rsidRPr="0002723C">
        <w:rPr>
          <w:sz w:val="24"/>
        </w:rPr>
        <w:t>High</w:t>
      </w:r>
      <w:r w:rsidR="00573903" w:rsidRPr="0002723C">
        <w:rPr>
          <w:spacing w:val="-7"/>
          <w:sz w:val="24"/>
        </w:rPr>
        <w:t xml:space="preserve"> </w:t>
      </w:r>
      <w:r w:rsidR="00573903" w:rsidRPr="0002723C">
        <w:rPr>
          <w:sz w:val="24"/>
        </w:rPr>
        <w:t>court.</w:t>
      </w:r>
      <w:r w:rsidR="00573903" w:rsidRPr="0002723C">
        <w:rPr>
          <w:spacing w:val="-6"/>
          <w:sz w:val="24"/>
        </w:rPr>
        <w:t xml:space="preserve"> </w:t>
      </w:r>
      <w:r w:rsidR="00573903" w:rsidRPr="0002723C">
        <w:rPr>
          <w:sz w:val="24"/>
        </w:rPr>
        <w:t>The</w:t>
      </w:r>
      <w:r w:rsidR="00573903" w:rsidRPr="0002723C">
        <w:rPr>
          <w:spacing w:val="-6"/>
          <w:sz w:val="24"/>
        </w:rPr>
        <w:t xml:space="preserve"> </w:t>
      </w:r>
      <w:r w:rsidR="00573903" w:rsidRPr="0002723C">
        <w:rPr>
          <w:sz w:val="24"/>
        </w:rPr>
        <w:t>Appellant</w:t>
      </w:r>
      <w:r w:rsidR="00573903" w:rsidRPr="0002723C">
        <w:rPr>
          <w:spacing w:val="-5"/>
          <w:sz w:val="24"/>
        </w:rPr>
        <w:t xml:space="preserve"> </w:t>
      </w:r>
      <w:r w:rsidR="00573903" w:rsidRPr="0002723C">
        <w:rPr>
          <w:sz w:val="24"/>
        </w:rPr>
        <w:t>refers</w:t>
      </w:r>
      <w:r w:rsidR="00573903" w:rsidRPr="0002723C">
        <w:rPr>
          <w:spacing w:val="-6"/>
          <w:sz w:val="24"/>
        </w:rPr>
        <w:t xml:space="preserve"> </w:t>
      </w:r>
      <w:r w:rsidR="00573903" w:rsidRPr="0002723C">
        <w:rPr>
          <w:sz w:val="24"/>
        </w:rPr>
        <w:t>to</w:t>
      </w:r>
      <w:r w:rsidR="00573903" w:rsidRPr="0002723C">
        <w:rPr>
          <w:spacing w:val="-7"/>
          <w:sz w:val="24"/>
        </w:rPr>
        <w:t xml:space="preserve"> </w:t>
      </w:r>
      <w:r w:rsidR="00573903" w:rsidRPr="0002723C">
        <w:rPr>
          <w:sz w:val="24"/>
        </w:rPr>
        <w:t>a</w:t>
      </w:r>
      <w:r w:rsidR="00573903" w:rsidRPr="0002723C">
        <w:rPr>
          <w:spacing w:val="-5"/>
          <w:sz w:val="24"/>
        </w:rPr>
        <w:t xml:space="preserve"> </w:t>
      </w:r>
      <w:r w:rsidR="00573903" w:rsidRPr="0002723C">
        <w:rPr>
          <w:sz w:val="24"/>
        </w:rPr>
        <w:t>“dispute” that arose in 2020 and subsequently concluded that the “date of dispute” is also the date the “cause of action” arose. This ded</w:t>
      </w:r>
      <w:r w:rsidR="00573903" w:rsidRPr="0002723C">
        <w:rPr>
          <w:sz w:val="24"/>
        </w:rPr>
        <w:t>uction is flawed in</w:t>
      </w:r>
      <w:r w:rsidR="00573903" w:rsidRPr="0002723C">
        <w:rPr>
          <w:spacing w:val="-9"/>
          <w:sz w:val="24"/>
        </w:rPr>
        <w:t xml:space="preserve"> </w:t>
      </w:r>
      <w:r w:rsidR="00573903" w:rsidRPr="0002723C">
        <w:rPr>
          <w:sz w:val="24"/>
        </w:rPr>
        <w:t>law.</w:t>
      </w:r>
    </w:p>
    <w:p w:rsidR="00861D65" w:rsidRDefault="00861D65">
      <w:pPr>
        <w:pStyle w:val="BodyText"/>
        <w:spacing w:before="11"/>
        <w:rPr>
          <w:sz w:val="35"/>
        </w:rPr>
      </w:pPr>
    </w:p>
    <w:p w:rsidR="00861D65" w:rsidRPr="0002723C" w:rsidRDefault="0002723C" w:rsidP="0002723C">
      <w:pPr>
        <w:tabs>
          <w:tab w:val="left" w:pos="674"/>
        </w:tabs>
        <w:spacing w:line="360" w:lineRule="auto"/>
        <w:ind w:left="673" w:right="111" w:hanging="541"/>
        <w:jc w:val="both"/>
        <w:rPr>
          <w:color w:val="1B1818"/>
          <w:sz w:val="24"/>
        </w:rPr>
      </w:pPr>
      <w:r>
        <w:rPr>
          <w:color w:val="1B1818"/>
          <w:spacing w:val="-8"/>
          <w:w w:val="99"/>
          <w:sz w:val="24"/>
        </w:rPr>
        <w:t>20.</w:t>
      </w:r>
      <w:r>
        <w:rPr>
          <w:color w:val="1B1818"/>
          <w:spacing w:val="-8"/>
          <w:w w:val="99"/>
          <w:sz w:val="24"/>
        </w:rPr>
        <w:tab/>
      </w:r>
      <w:r w:rsidR="00573903" w:rsidRPr="0002723C">
        <w:rPr>
          <w:sz w:val="24"/>
        </w:rPr>
        <w:t>The</w:t>
      </w:r>
      <w:r w:rsidR="00573903" w:rsidRPr="0002723C">
        <w:rPr>
          <w:spacing w:val="-4"/>
          <w:sz w:val="24"/>
        </w:rPr>
        <w:t xml:space="preserve"> </w:t>
      </w:r>
      <w:r w:rsidR="00573903" w:rsidRPr="0002723C">
        <w:rPr>
          <w:sz w:val="24"/>
        </w:rPr>
        <w:t>“cause</w:t>
      </w:r>
      <w:r w:rsidR="00573903" w:rsidRPr="0002723C">
        <w:rPr>
          <w:spacing w:val="-6"/>
          <w:sz w:val="24"/>
        </w:rPr>
        <w:t xml:space="preserve"> </w:t>
      </w:r>
      <w:r w:rsidR="00573903" w:rsidRPr="0002723C">
        <w:rPr>
          <w:sz w:val="24"/>
        </w:rPr>
        <w:t>of</w:t>
      </w:r>
      <w:r w:rsidR="00573903" w:rsidRPr="0002723C">
        <w:rPr>
          <w:spacing w:val="-4"/>
          <w:sz w:val="24"/>
        </w:rPr>
        <w:t xml:space="preserve"> </w:t>
      </w:r>
      <w:r w:rsidR="00573903" w:rsidRPr="0002723C">
        <w:rPr>
          <w:sz w:val="24"/>
        </w:rPr>
        <w:t>action”,</w:t>
      </w:r>
      <w:r w:rsidR="00573903" w:rsidRPr="0002723C">
        <w:rPr>
          <w:spacing w:val="-6"/>
          <w:sz w:val="24"/>
        </w:rPr>
        <w:t xml:space="preserve"> </w:t>
      </w:r>
      <w:r w:rsidR="00573903" w:rsidRPr="0002723C">
        <w:rPr>
          <w:sz w:val="24"/>
        </w:rPr>
        <w:t>as</w:t>
      </w:r>
      <w:r w:rsidR="00573903" w:rsidRPr="0002723C">
        <w:rPr>
          <w:spacing w:val="-4"/>
          <w:sz w:val="24"/>
        </w:rPr>
        <w:t xml:space="preserve"> </w:t>
      </w:r>
      <w:r w:rsidR="00573903" w:rsidRPr="0002723C">
        <w:rPr>
          <w:sz w:val="24"/>
        </w:rPr>
        <w:t>referred</w:t>
      </w:r>
      <w:r w:rsidR="00573903" w:rsidRPr="0002723C">
        <w:rPr>
          <w:spacing w:val="-4"/>
          <w:sz w:val="24"/>
        </w:rPr>
        <w:t xml:space="preserve"> </w:t>
      </w:r>
      <w:r w:rsidR="00573903" w:rsidRPr="0002723C">
        <w:rPr>
          <w:sz w:val="24"/>
        </w:rPr>
        <w:t>to</w:t>
      </w:r>
      <w:r w:rsidR="00573903" w:rsidRPr="0002723C">
        <w:rPr>
          <w:spacing w:val="-3"/>
          <w:sz w:val="24"/>
        </w:rPr>
        <w:t xml:space="preserve"> </w:t>
      </w:r>
      <w:r w:rsidR="00573903" w:rsidRPr="0002723C">
        <w:rPr>
          <w:sz w:val="24"/>
        </w:rPr>
        <w:t>in</w:t>
      </w:r>
      <w:r w:rsidR="00573903" w:rsidRPr="0002723C">
        <w:rPr>
          <w:spacing w:val="-4"/>
          <w:sz w:val="24"/>
        </w:rPr>
        <w:t xml:space="preserve"> </w:t>
      </w:r>
      <w:r w:rsidR="00573903" w:rsidRPr="0002723C">
        <w:rPr>
          <w:sz w:val="24"/>
        </w:rPr>
        <w:t>clause</w:t>
      </w:r>
      <w:r w:rsidR="00573903" w:rsidRPr="0002723C">
        <w:rPr>
          <w:spacing w:val="-6"/>
          <w:sz w:val="24"/>
        </w:rPr>
        <w:t xml:space="preserve"> </w:t>
      </w:r>
      <w:r w:rsidR="00573903" w:rsidRPr="0002723C">
        <w:rPr>
          <w:sz w:val="24"/>
        </w:rPr>
        <w:t>116,</w:t>
      </w:r>
      <w:r w:rsidR="00573903" w:rsidRPr="0002723C">
        <w:rPr>
          <w:spacing w:val="-4"/>
          <w:sz w:val="24"/>
        </w:rPr>
        <w:t xml:space="preserve"> </w:t>
      </w:r>
      <w:r w:rsidR="00573903" w:rsidRPr="0002723C">
        <w:rPr>
          <w:sz w:val="24"/>
        </w:rPr>
        <w:t>is</w:t>
      </w:r>
      <w:r w:rsidR="00573903" w:rsidRPr="0002723C">
        <w:rPr>
          <w:spacing w:val="-4"/>
          <w:sz w:val="24"/>
        </w:rPr>
        <w:t xml:space="preserve"> </w:t>
      </w:r>
      <w:r w:rsidR="00573903" w:rsidRPr="0002723C">
        <w:rPr>
          <w:sz w:val="24"/>
        </w:rPr>
        <w:t>the</w:t>
      </w:r>
      <w:r w:rsidR="00573903" w:rsidRPr="0002723C">
        <w:rPr>
          <w:spacing w:val="-4"/>
          <w:sz w:val="24"/>
        </w:rPr>
        <w:t xml:space="preserve"> </w:t>
      </w:r>
      <w:r w:rsidR="00573903" w:rsidRPr="0002723C">
        <w:rPr>
          <w:sz w:val="24"/>
        </w:rPr>
        <w:t>prohibited</w:t>
      </w:r>
      <w:r w:rsidR="00573903" w:rsidRPr="0002723C">
        <w:rPr>
          <w:spacing w:val="-6"/>
          <w:sz w:val="24"/>
        </w:rPr>
        <w:t xml:space="preserve"> </w:t>
      </w:r>
      <w:r w:rsidR="00573903" w:rsidRPr="0002723C">
        <w:rPr>
          <w:sz w:val="24"/>
        </w:rPr>
        <w:t>conduct</w:t>
      </w:r>
      <w:r w:rsidR="00573903" w:rsidRPr="0002723C">
        <w:rPr>
          <w:spacing w:val="-3"/>
          <w:sz w:val="24"/>
        </w:rPr>
        <w:t xml:space="preserve"> </w:t>
      </w:r>
      <w:r w:rsidR="00573903" w:rsidRPr="0002723C">
        <w:rPr>
          <w:sz w:val="24"/>
        </w:rPr>
        <w:t>that</w:t>
      </w:r>
      <w:r w:rsidR="00573903" w:rsidRPr="0002723C">
        <w:rPr>
          <w:spacing w:val="-4"/>
          <w:sz w:val="24"/>
        </w:rPr>
        <w:t xml:space="preserve"> </w:t>
      </w:r>
      <w:r w:rsidR="00573903" w:rsidRPr="0002723C">
        <w:rPr>
          <w:sz w:val="24"/>
        </w:rPr>
        <w:t>gives the complainant the right to seek judicial redress from the Tribunal. The “cause of action” is not the date the Appellant became unhappy with the Respondent’s cooperation or when attempts to resolve the matter</w:t>
      </w:r>
      <w:r w:rsidR="00573903" w:rsidRPr="0002723C">
        <w:rPr>
          <w:spacing w:val="-6"/>
          <w:sz w:val="24"/>
        </w:rPr>
        <w:t xml:space="preserve"> </w:t>
      </w:r>
      <w:r w:rsidR="00573903" w:rsidRPr="0002723C">
        <w:rPr>
          <w:sz w:val="24"/>
        </w:rPr>
        <w:t>failed.</w:t>
      </w:r>
    </w:p>
    <w:p w:rsidR="00861D65" w:rsidRDefault="00861D65">
      <w:pPr>
        <w:pStyle w:val="BodyText"/>
        <w:spacing w:before="1"/>
        <w:rPr>
          <w:sz w:val="36"/>
        </w:rPr>
      </w:pPr>
    </w:p>
    <w:p w:rsidR="00861D65" w:rsidRPr="0002723C" w:rsidRDefault="0002723C" w:rsidP="0002723C">
      <w:pPr>
        <w:tabs>
          <w:tab w:val="left" w:pos="674"/>
        </w:tabs>
        <w:spacing w:line="360" w:lineRule="auto"/>
        <w:ind w:left="673" w:hanging="541"/>
        <w:jc w:val="both"/>
        <w:rPr>
          <w:color w:val="1B1818"/>
          <w:sz w:val="24"/>
        </w:rPr>
      </w:pPr>
      <w:r>
        <w:rPr>
          <w:color w:val="1B1818"/>
          <w:spacing w:val="-8"/>
          <w:w w:val="99"/>
          <w:sz w:val="24"/>
        </w:rPr>
        <w:t>21.</w:t>
      </w:r>
      <w:r>
        <w:rPr>
          <w:color w:val="1B1818"/>
          <w:spacing w:val="-8"/>
          <w:w w:val="99"/>
          <w:sz w:val="24"/>
        </w:rPr>
        <w:tab/>
      </w:r>
      <w:r w:rsidR="00573903" w:rsidRPr="0002723C">
        <w:rPr>
          <w:sz w:val="24"/>
        </w:rPr>
        <w:t>The Appellant agreed during the</w:t>
      </w:r>
      <w:r w:rsidR="00573903" w:rsidRPr="0002723C">
        <w:rPr>
          <w:sz w:val="24"/>
        </w:rPr>
        <w:t xml:space="preserve"> hearing that the alleged prohibited conduct in her complaint</w:t>
      </w:r>
      <w:r w:rsidR="00573903" w:rsidRPr="0002723C">
        <w:rPr>
          <w:spacing w:val="-8"/>
          <w:sz w:val="24"/>
        </w:rPr>
        <w:t xml:space="preserve"> </w:t>
      </w:r>
      <w:r w:rsidR="00573903" w:rsidRPr="0002723C">
        <w:rPr>
          <w:sz w:val="24"/>
        </w:rPr>
        <w:t>was</w:t>
      </w:r>
      <w:r w:rsidR="00573903" w:rsidRPr="0002723C">
        <w:rPr>
          <w:spacing w:val="-9"/>
          <w:sz w:val="24"/>
        </w:rPr>
        <w:t xml:space="preserve"> </w:t>
      </w:r>
      <w:r w:rsidR="00573903" w:rsidRPr="0002723C">
        <w:rPr>
          <w:sz w:val="24"/>
        </w:rPr>
        <w:t>the</w:t>
      </w:r>
      <w:r w:rsidR="00573903" w:rsidRPr="0002723C">
        <w:rPr>
          <w:spacing w:val="-8"/>
          <w:sz w:val="24"/>
        </w:rPr>
        <w:t xml:space="preserve"> </w:t>
      </w:r>
      <w:r w:rsidR="00573903" w:rsidRPr="0002723C">
        <w:rPr>
          <w:sz w:val="24"/>
        </w:rPr>
        <w:t>Respondent’s</w:t>
      </w:r>
      <w:r w:rsidR="00573903" w:rsidRPr="0002723C">
        <w:rPr>
          <w:spacing w:val="-10"/>
          <w:sz w:val="24"/>
        </w:rPr>
        <w:t xml:space="preserve"> </w:t>
      </w:r>
      <w:r w:rsidR="00573903" w:rsidRPr="0002723C">
        <w:rPr>
          <w:sz w:val="24"/>
        </w:rPr>
        <w:t>selling</w:t>
      </w:r>
      <w:r w:rsidR="00573903" w:rsidRPr="0002723C">
        <w:rPr>
          <w:spacing w:val="-10"/>
          <w:sz w:val="24"/>
        </w:rPr>
        <w:t xml:space="preserve"> </w:t>
      </w:r>
      <w:r w:rsidR="00573903" w:rsidRPr="0002723C">
        <w:rPr>
          <w:sz w:val="24"/>
        </w:rPr>
        <w:t>of</w:t>
      </w:r>
      <w:r w:rsidR="00573903" w:rsidRPr="0002723C">
        <w:rPr>
          <w:spacing w:val="-11"/>
          <w:sz w:val="24"/>
        </w:rPr>
        <w:t xml:space="preserve"> </w:t>
      </w:r>
      <w:r w:rsidR="00573903" w:rsidRPr="0002723C">
        <w:rPr>
          <w:sz w:val="24"/>
        </w:rPr>
        <w:t>defective</w:t>
      </w:r>
      <w:r w:rsidR="00573903" w:rsidRPr="0002723C">
        <w:rPr>
          <w:spacing w:val="-11"/>
          <w:sz w:val="24"/>
        </w:rPr>
        <w:t xml:space="preserve"> </w:t>
      </w:r>
      <w:r w:rsidR="00573903" w:rsidRPr="0002723C">
        <w:rPr>
          <w:sz w:val="24"/>
        </w:rPr>
        <w:t>goods</w:t>
      </w:r>
      <w:r w:rsidR="00573903" w:rsidRPr="0002723C">
        <w:rPr>
          <w:spacing w:val="-8"/>
          <w:sz w:val="24"/>
        </w:rPr>
        <w:t xml:space="preserve"> </w:t>
      </w:r>
      <w:r w:rsidR="00573903" w:rsidRPr="0002723C">
        <w:rPr>
          <w:sz w:val="24"/>
        </w:rPr>
        <w:t>to</w:t>
      </w:r>
      <w:r w:rsidR="00573903" w:rsidRPr="0002723C">
        <w:rPr>
          <w:spacing w:val="-11"/>
          <w:sz w:val="24"/>
        </w:rPr>
        <w:t xml:space="preserve"> </w:t>
      </w:r>
      <w:r w:rsidR="00573903" w:rsidRPr="0002723C">
        <w:rPr>
          <w:sz w:val="24"/>
        </w:rPr>
        <w:t>her</w:t>
      </w:r>
      <w:r w:rsidR="00573903" w:rsidRPr="0002723C">
        <w:rPr>
          <w:spacing w:val="-9"/>
          <w:sz w:val="24"/>
        </w:rPr>
        <w:t xml:space="preserve"> </w:t>
      </w:r>
      <w:r w:rsidR="00573903" w:rsidRPr="0002723C">
        <w:rPr>
          <w:sz w:val="24"/>
        </w:rPr>
        <w:t>in</w:t>
      </w:r>
      <w:r w:rsidR="00573903" w:rsidRPr="0002723C">
        <w:rPr>
          <w:spacing w:val="-11"/>
          <w:sz w:val="24"/>
        </w:rPr>
        <w:t xml:space="preserve"> </w:t>
      </w:r>
      <w:r w:rsidR="00573903" w:rsidRPr="0002723C">
        <w:rPr>
          <w:sz w:val="24"/>
        </w:rPr>
        <w:t>2018.</w:t>
      </w:r>
      <w:r w:rsidR="00573903" w:rsidRPr="0002723C">
        <w:rPr>
          <w:spacing w:val="-11"/>
          <w:sz w:val="24"/>
        </w:rPr>
        <w:t xml:space="preserve"> </w:t>
      </w:r>
      <w:r w:rsidR="00573903" w:rsidRPr="0002723C">
        <w:rPr>
          <w:sz w:val="24"/>
        </w:rPr>
        <w:t>Accordingly, the</w:t>
      </w:r>
      <w:r w:rsidR="00573903" w:rsidRPr="0002723C">
        <w:rPr>
          <w:spacing w:val="-6"/>
          <w:sz w:val="24"/>
        </w:rPr>
        <w:t xml:space="preserve"> </w:t>
      </w:r>
      <w:r w:rsidR="00573903" w:rsidRPr="0002723C">
        <w:rPr>
          <w:sz w:val="24"/>
        </w:rPr>
        <w:t>date</w:t>
      </w:r>
      <w:r w:rsidR="00573903" w:rsidRPr="0002723C">
        <w:rPr>
          <w:spacing w:val="-5"/>
          <w:sz w:val="24"/>
        </w:rPr>
        <w:t xml:space="preserve"> </w:t>
      </w:r>
      <w:r w:rsidR="00573903" w:rsidRPr="0002723C">
        <w:rPr>
          <w:sz w:val="24"/>
        </w:rPr>
        <w:t>on</w:t>
      </w:r>
      <w:r w:rsidR="00573903" w:rsidRPr="0002723C">
        <w:rPr>
          <w:spacing w:val="-4"/>
          <w:sz w:val="24"/>
        </w:rPr>
        <w:t xml:space="preserve"> </w:t>
      </w:r>
      <w:r w:rsidR="00573903" w:rsidRPr="0002723C">
        <w:rPr>
          <w:sz w:val="24"/>
        </w:rPr>
        <w:t>which</w:t>
      </w:r>
      <w:r w:rsidR="00573903" w:rsidRPr="0002723C">
        <w:rPr>
          <w:spacing w:val="-3"/>
          <w:sz w:val="24"/>
        </w:rPr>
        <w:t xml:space="preserve"> </w:t>
      </w:r>
      <w:r w:rsidR="00573903" w:rsidRPr="0002723C">
        <w:rPr>
          <w:sz w:val="24"/>
        </w:rPr>
        <w:t>the</w:t>
      </w:r>
      <w:r w:rsidR="00573903" w:rsidRPr="0002723C">
        <w:rPr>
          <w:spacing w:val="-8"/>
          <w:sz w:val="24"/>
        </w:rPr>
        <w:t xml:space="preserve"> </w:t>
      </w:r>
      <w:r w:rsidR="00573903" w:rsidRPr="0002723C">
        <w:rPr>
          <w:sz w:val="24"/>
        </w:rPr>
        <w:t>Appellant</w:t>
      </w:r>
      <w:r w:rsidR="00573903" w:rsidRPr="0002723C">
        <w:rPr>
          <w:spacing w:val="-4"/>
          <w:sz w:val="24"/>
        </w:rPr>
        <w:t xml:space="preserve"> </w:t>
      </w:r>
      <w:r w:rsidR="00573903" w:rsidRPr="0002723C">
        <w:rPr>
          <w:sz w:val="24"/>
        </w:rPr>
        <w:t>received</w:t>
      </w:r>
      <w:r w:rsidR="00573903" w:rsidRPr="0002723C">
        <w:rPr>
          <w:spacing w:val="-5"/>
          <w:sz w:val="24"/>
        </w:rPr>
        <w:t xml:space="preserve"> </w:t>
      </w:r>
      <w:r w:rsidR="00573903" w:rsidRPr="0002723C">
        <w:rPr>
          <w:sz w:val="24"/>
        </w:rPr>
        <w:t>the</w:t>
      </w:r>
      <w:r w:rsidR="00573903" w:rsidRPr="0002723C">
        <w:rPr>
          <w:spacing w:val="-8"/>
          <w:sz w:val="24"/>
        </w:rPr>
        <w:t xml:space="preserve"> </w:t>
      </w:r>
      <w:r w:rsidR="00573903" w:rsidRPr="0002723C">
        <w:rPr>
          <w:sz w:val="24"/>
        </w:rPr>
        <w:t>defective</w:t>
      </w:r>
      <w:r w:rsidR="00573903" w:rsidRPr="0002723C">
        <w:rPr>
          <w:spacing w:val="-6"/>
          <w:sz w:val="24"/>
        </w:rPr>
        <w:t xml:space="preserve"> </w:t>
      </w:r>
      <w:r w:rsidR="00573903" w:rsidRPr="0002723C">
        <w:rPr>
          <w:sz w:val="24"/>
        </w:rPr>
        <w:t>goods</w:t>
      </w:r>
      <w:r w:rsidR="00573903" w:rsidRPr="0002723C">
        <w:rPr>
          <w:spacing w:val="-4"/>
          <w:sz w:val="24"/>
        </w:rPr>
        <w:t xml:space="preserve"> </w:t>
      </w:r>
      <w:r w:rsidR="00573903" w:rsidRPr="0002723C">
        <w:rPr>
          <w:sz w:val="24"/>
        </w:rPr>
        <w:t>will</w:t>
      </w:r>
      <w:r w:rsidR="00573903" w:rsidRPr="0002723C">
        <w:rPr>
          <w:spacing w:val="-4"/>
          <w:sz w:val="24"/>
        </w:rPr>
        <w:t xml:space="preserve"> </w:t>
      </w:r>
      <w:r w:rsidR="00573903" w:rsidRPr="0002723C">
        <w:rPr>
          <w:sz w:val="24"/>
        </w:rPr>
        <w:t>be</w:t>
      </w:r>
      <w:r w:rsidR="00573903" w:rsidRPr="0002723C">
        <w:rPr>
          <w:spacing w:val="-6"/>
          <w:sz w:val="24"/>
        </w:rPr>
        <w:t xml:space="preserve"> </w:t>
      </w:r>
      <w:r w:rsidR="00573903" w:rsidRPr="0002723C">
        <w:rPr>
          <w:sz w:val="24"/>
        </w:rPr>
        <w:t>the</w:t>
      </w:r>
      <w:r w:rsidR="00573903" w:rsidRPr="0002723C">
        <w:rPr>
          <w:spacing w:val="-6"/>
          <w:sz w:val="24"/>
        </w:rPr>
        <w:t xml:space="preserve"> </w:t>
      </w:r>
      <w:r w:rsidR="00573903" w:rsidRPr="0002723C">
        <w:rPr>
          <w:sz w:val="24"/>
        </w:rPr>
        <w:t>date</w:t>
      </w:r>
      <w:r w:rsidR="00573903" w:rsidRPr="0002723C">
        <w:rPr>
          <w:spacing w:val="-5"/>
          <w:sz w:val="24"/>
        </w:rPr>
        <w:t xml:space="preserve"> </w:t>
      </w:r>
      <w:r w:rsidR="00573903" w:rsidRPr="0002723C">
        <w:rPr>
          <w:sz w:val="24"/>
        </w:rPr>
        <w:t>on</w:t>
      </w:r>
      <w:r w:rsidR="00573903" w:rsidRPr="0002723C">
        <w:rPr>
          <w:spacing w:val="-6"/>
          <w:sz w:val="24"/>
        </w:rPr>
        <w:t xml:space="preserve"> </w:t>
      </w:r>
      <w:r w:rsidR="00573903" w:rsidRPr="0002723C">
        <w:rPr>
          <w:sz w:val="24"/>
        </w:rPr>
        <w:t>which the cause of the action</w:t>
      </w:r>
      <w:r w:rsidR="00573903" w:rsidRPr="0002723C">
        <w:rPr>
          <w:spacing w:val="-7"/>
          <w:sz w:val="24"/>
        </w:rPr>
        <w:t xml:space="preserve"> </w:t>
      </w:r>
      <w:r w:rsidR="00573903" w:rsidRPr="0002723C">
        <w:rPr>
          <w:sz w:val="24"/>
        </w:rPr>
        <w:t>arose.</w:t>
      </w:r>
    </w:p>
    <w:p w:rsidR="00861D65" w:rsidRDefault="00861D65">
      <w:pPr>
        <w:pStyle w:val="BodyText"/>
        <w:spacing w:before="11"/>
        <w:rPr>
          <w:sz w:val="35"/>
        </w:rPr>
      </w:pPr>
    </w:p>
    <w:p w:rsidR="00861D65" w:rsidRPr="0002723C" w:rsidRDefault="0002723C" w:rsidP="0002723C">
      <w:pPr>
        <w:tabs>
          <w:tab w:val="left" w:pos="674"/>
        </w:tabs>
        <w:spacing w:line="360" w:lineRule="auto"/>
        <w:ind w:left="673" w:right="107" w:hanging="541"/>
        <w:jc w:val="both"/>
        <w:rPr>
          <w:color w:val="1B1818"/>
          <w:sz w:val="24"/>
        </w:rPr>
      </w:pPr>
      <w:r>
        <w:rPr>
          <w:color w:val="1B1818"/>
          <w:spacing w:val="-8"/>
          <w:w w:val="99"/>
          <w:sz w:val="24"/>
        </w:rPr>
        <w:t>22.</w:t>
      </w:r>
      <w:r>
        <w:rPr>
          <w:color w:val="1B1818"/>
          <w:spacing w:val="-8"/>
          <w:w w:val="99"/>
          <w:sz w:val="24"/>
        </w:rPr>
        <w:tab/>
      </w:r>
      <w:r w:rsidR="00573903" w:rsidRPr="0002723C">
        <w:rPr>
          <w:sz w:val="24"/>
        </w:rPr>
        <w:t>In terms of section 116, the Appellant had to bring her complaint to the Tribunal within three years of receiving the purchased goods, irrespective of the date on which a dispute</w:t>
      </w:r>
      <w:r w:rsidR="00573903" w:rsidRPr="0002723C">
        <w:rPr>
          <w:spacing w:val="-13"/>
          <w:sz w:val="24"/>
        </w:rPr>
        <w:t xml:space="preserve"> </w:t>
      </w:r>
      <w:r w:rsidR="00573903" w:rsidRPr="0002723C">
        <w:rPr>
          <w:sz w:val="24"/>
        </w:rPr>
        <w:t>was</w:t>
      </w:r>
      <w:r w:rsidR="00573903" w:rsidRPr="0002723C">
        <w:rPr>
          <w:spacing w:val="-15"/>
          <w:sz w:val="24"/>
        </w:rPr>
        <w:t xml:space="preserve"> </w:t>
      </w:r>
      <w:r w:rsidR="00573903" w:rsidRPr="0002723C">
        <w:rPr>
          <w:sz w:val="24"/>
        </w:rPr>
        <w:t>declared.</w:t>
      </w:r>
      <w:r w:rsidR="00573903" w:rsidRPr="0002723C">
        <w:rPr>
          <w:spacing w:val="-13"/>
          <w:sz w:val="24"/>
        </w:rPr>
        <w:t xml:space="preserve"> </w:t>
      </w:r>
      <w:r w:rsidR="00573903" w:rsidRPr="0002723C">
        <w:rPr>
          <w:color w:val="1B1818"/>
          <w:sz w:val="24"/>
        </w:rPr>
        <w:t>Even</w:t>
      </w:r>
      <w:r w:rsidR="00573903" w:rsidRPr="0002723C">
        <w:rPr>
          <w:color w:val="1B1818"/>
          <w:spacing w:val="-13"/>
          <w:sz w:val="24"/>
        </w:rPr>
        <w:t xml:space="preserve"> </w:t>
      </w:r>
      <w:r w:rsidR="00573903" w:rsidRPr="0002723C">
        <w:rPr>
          <w:color w:val="1B1818"/>
          <w:sz w:val="24"/>
        </w:rPr>
        <w:t>if</w:t>
      </w:r>
      <w:r w:rsidR="00573903" w:rsidRPr="0002723C">
        <w:rPr>
          <w:color w:val="1B1818"/>
          <w:spacing w:val="-15"/>
          <w:sz w:val="24"/>
        </w:rPr>
        <w:t xml:space="preserve"> </w:t>
      </w:r>
      <w:r w:rsidR="00573903" w:rsidRPr="0002723C">
        <w:rPr>
          <w:color w:val="1B1818"/>
          <w:sz w:val="24"/>
        </w:rPr>
        <w:t>the</w:t>
      </w:r>
      <w:r w:rsidR="00573903" w:rsidRPr="0002723C">
        <w:rPr>
          <w:color w:val="1B1818"/>
          <w:spacing w:val="-12"/>
          <w:sz w:val="24"/>
        </w:rPr>
        <w:t xml:space="preserve"> </w:t>
      </w:r>
      <w:r w:rsidR="00573903" w:rsidRPr="0002723C">
        <w:rPr>
          <w:color w:val="1B1818"/>
          <w:sz w:val="24"/>
        </w:rPr>
        <w:t>Appellant</w:t>
      </w:r>
      <w:r w:rsidR="00573903" w:rsidRPr="0002723C">
        <w:rPr>
          <w:color w:val="1B1818"/>
          <w:spacing w:val="-13"/>
          <w:sz w:val="24"/>
        </w:rPr>
        <w:t xml:space="preserve"> </w:t>
      </w:r>
      <w:r w:rsidR="00573903" w:rsidRPr="0002723C">
        <w:rPr>
          <w:color w:val="1B1818"/>
          <w:sz w:val="24"/>
        </w:rPr>
        <w:t>could</w:t>
      </w:r>
      <w:r w:rsidR="00573903" w:rsidRPr="0002723C">
        <w:rPr>
          <w:color w:val="1B1818"/>
          <w:spacing w:val="-15"/>
          <w:sz w:val="24"/>
        </w:rPr>
        <w:t xml:space="preserve"> </w:t>
      </w:r>
      <w:r w:rsidR="00573903" w:rsidRPr="0002723C">
        <w:rPr>
          <w:color w:val="1B1818"/>
          <w:sz w:val="24"/>
        </w:rPr>
        <w:t>prove</w:t>
      </w:r>
      <w:r w:rsidR="00573903" w:rsidRPr="0002723C">
        <w:rPr>
          <w:color w:val="1B1818"/>
          <w:spacing w:val="-15"/>
          <w:sz w:val="24"/>
        </w:rPr>
        <w:t xml:space="preserve"> </w:t>
      </w:r>
      <w:r w:rsidR="00573903" w:rsidRPr="0002723C">
        <w:rPr>
          <w:color w:val="1B1818"/>
          <w:sz w:val="24"/>
        </w:rPr>
        <w:t>that</w:t>
      </w:r>
      <w:r w:rsidR="00573903" w:rsidRPr="0002723C">
        <w:rPr>
          <w:color w:val="1B1818"/>
          <w:spacing w:val="-12"/>
          <w:sz w:val="24"/>
        </w:rPr>
        <w:t xml:space="preserve"> </w:t>
      </w:r>
      <w:r w:rsidR="00573903" w:rsidRPr="0002723C">
        <w:rPr>
          <w:color w:val="1B1818"/>
          <w:sz w:val="24"/>
        </w:rPr>
        <w:t>the</w:t>
      </w:r>
      <w:r w:rsidR="00573903" w:rsidRPr="0002723C">
        <w:rPr>
          <w:color w:val="1B1818"/>
          <w:spacing w:val="-15"/>
          <w:sz w:val="24"/>
        </w:rPr>
        <w:t xml:space="preserve"> </w:t>
      </w:r>
      <w:r w:rsidR="00573903" w:rsidRPr="0002723C">
        <w:rPr>
          <w:color w:val="1B1818"/>
          <w:sz w:val="24"/>
        </w:rPr>
        <w:t>machine</w:t>
      </w:r>
      <w:r w:rsidR="00573903" w:rsidRPr="0002723C">
        <w:rPr>
          <w:color w:val="1B1818"/>
          <w:spacing w:val="-10"/>
          <w:sz w:val="24"/>
        </w:rPr>
        <w:t xml:space="preserve"> </w:t>
      </w:r>
      <w:r w:rsidR="00573903" w:rsidRPr="0002723C">
        <w:rPr>
          <w:color w:val="1B1818"/>
          <w:sz w:val="24"/>
        </w:rPr>
        <w:t>was</w:t>
      </w:r>
      <w:r w:rsidR="00573903" w:rsidRPr="0002723C">
        <w:rPr>
          <w:color w:val="1B1818"/>
          <w:spacing w:val="-15"/>
          <w:sz w:val="24"/>
        </w:rPr>
        <w:t xml:space="preserve"> </w:t>
      </w:r>
      <w:r w:rsidR="00573903" w:rsidRPr="0002723C">
        <w:rPr>
          <w:color w:val="1B1818"/>
          <w:sz w:val="24"/>
        </w:rPr>
        <w:t>defect</w:t>
      </w:r>
      <w:r w:rsidR="00573903" w:rsidRPr="0002723C">
        <w:rPr>
          <w:color w:val="1B1818"/>
          <w:sz w:val="24"/>
        </w:rPr>
        <w:t>ive or that the quality of work and components supplied by the Respondent were below standard, the Tribunal would still not have the required jurisdiction to hear the</w:t>
      </w:r>
      <w:r w:rsidR="00573903" w:rsidRPr="0002723C">
        <w:rPr>
          <w:color w:val="1B1818"/>
          <w:spacing w:val="-23"/>
          <w:sz w:val="24"/>
        </w:rPr>
        <w:t xml:space="preserve"> </w:t>
      </w:r>
      <w:r w:rsidR="00573903" w:rsidRPr="0002723C">
        <w:rPr>
          <w:color w:val="1B1818"/>
          <w:sz w:val="24"/>
        </w:rPr>
        <w:t>matter.</w:t>
      </w:r>
    </w:p>
    <w:p w:rsidR="00861D65" w:rsidRDefault="00861D65">
      <w:pPr>
        <w:pStyle w:val="BodyText"/>
        <w:spacing w:before="1"/>
        <w:rPr>
          <w:sz w:val="36"/>
        </w:rPr>
      </w:pPr>
    </w:p>
    <w:p w:rsidR="00861D65" w:rsidRPr="0002723C" w:rsidRDefault="0002723C" w:rsidP="0002723C">
      <w:pPr>
        <w:tabs>
          <w:tab w:val="left" w:pos="674"/>
        </w:tabs>
        <w:spacing w:line="360" w:lineRule="auto"/>
        <w:ind w:left="673" w:right="108" w:hanging="541"/>
        <w:jc w:val="both"/>
        <w:rPr>
          <w:color w:val="1B1818"/>
          <w:sz w:val="24"/>
        </w:rPr>
      </w:pPr>
      <w:r>
        <w:rPr>
          <w:color w:val="1B1818"/>
          <w:spacing w:val="-8"/>
          <w:w w:val="99"/>
          <w:sz w:val="24"/>
        </w:rPr>
        <w:t>23.</w:t>
      </w:r>
      <w:r>
        <w:rPr>
          <w:color w:val="1B1818"/>
          <w:spacing w:val="-8"/>
          <w:w w:val="99"/>
          <w:sz w:val="24"/>
        </w:rPr>
        <w:tab/>
      </w:r>
      <w:r w:rsidR="00573903" w:rsidRPr="0002723C">
        <w:rPr>
          <w:sz w:val="24"/>
        </w:rPr>
        <w:t>The</w:t>
      </w:r>
      <w:r w:rsidR="00573903" w:rsidRPr="0002723C">
        <w:rPr>
          <w:spacing w:val="-9"/>
          <w:sz w:val="24"/>
        </w:rPr>
        <w:t xml:space="preserve"> </w:t>
      </w:r>
      <w:r w:rsidR="00573903" w:rsidRPr="0002723C">
        <w:rPr>
          <w:sz w:val="24"/>
        </w:rPr>
        <w:t>Tribunal</w:t>
      </w:r>
      <w:r w:rsidR="00573903" w:rsidRPr="0002723C">
        <w:rPr>
          <w:spacing w:val="-10"/>
          <w:sz w:val="24"/>
        </w:rPr>
        <w:t xml:space="preserve"> </w:t>
      </w:r>
      <w:r w:rsidR="00573903" w:rsidRPr="0002723C">
        <w:rPr>
          <w:sz w:val="24"/>
        </w:rPr>
        <w:t>shares</w:t>
      </w:r>
      <w:r w:rsidR="00573903" w:rsidRPr="0002723C">
        <w:rPr>
          <w:spacing w:val="-10"/>
          <w:sz w:val="24"/>
        </w:rPr>
        <w:t xml:space="preserve"> </w:t>
      </w:r>
      <w:r w:rsidR="00573903" w:rsidRPr="0002723C">
        <w:rPr>
          <w:sz w:val="24"/>
        </w:rPr>
        <w:t>the</w:t>
      </w:r>
      <w:r w:rsidR="00573903" w:rsidRPr="0002723C">
        <w:rPr>
          <w:spacing w:val="-8"/>
          <w:sz w:val="24"/>
        </w:rPr>
        <w:t xml:space="preserve"> </w:t>
      </w:r>
      <w:r w:rsidR="00573903" w:rsidRPr="0002723C">
        <w:rPr>
          <w:sz w:val="24"/>
        </w:rPr>
        <w:t>Appellant’s</w:t>
      </w:r>
      <w:r w:rsidR="00573903" w:rsidRPr="0002723C">
        <w:rPr>
          <w:spacing w:val="-9"/>
          <w:sz w:val="24"/>
        </w:rPr>
        <w:t xml:space="preserve"> </w:t>
      </w:r>
      <w:r w:rsidR="00573903" w:rsidRPr="0002723C">
        <w:rPr>
          <w:sz w:val="24"/>
        </w:rPr>
        <w:t>frustration</w:t>
      </w:r>
      <w:r w:rsidR="00573903" w:rsidRPr="0002723C">
        <w:rPr>
          <w:spacing w:val="-9"/>
          <w:sz w:val="24"/>
        </w:rPr>
        <w:t xml:space="preserve"> </w:t>
      </w:r>
      <w:r w:rsidR="00573903" w:rsidRPr="0002723C">
        <w:rPr>
          <w:sz w:val="24"/>
        </w:rPr>
        <w:t>with</w:t>
      </w:r>
      <w:r w:rsidR="00573903" w:rsidRPr="0002723C">
        <w:rPr>
          <w:spacing w:val="-8"/>
          <w:sz w:val="24"/>
        </w:rPr>
        <w:t xml:space="preserve"> </w:t>
      </w:r>
      <w:r w:rsidR="00573903" w:rsidRPr="0002723C">
        <w:rPr>
          <w:sz w:val="24"/>
        </w:rPr>
        <w:t>her</w:t>
      </w:r>
      <w:r w:rsidR="00573903" w:rsidRPr="0002723C">
        <w:rPr>
          <w:spacing w:val="-10"/>
          <w:sz w:val="24"/>
        </w:rPr>
        <w:t xml:space="preserve"> </w:t>
      </w:r>
      <w:r w:rsidR="00573903" w:rsidRPr="0002723C">
        <w:rPr>
          <w:sz w:val="24"/>
        </w:rPr>
        <w:t>application</w:t>
      </w:r>
      <w:r w:rsidR="00573903" w:rsidRPr="0002723C">
        <w:rPr>
          <w:spacing w:val="-9"/>
          <w:sz w:val="24"/>
        </w:rPr>
        <w:t xml:space="preserve"> </w:t>
      </w:r>
      <w:r w:rsidR="00573903" w:rsidRPr="0002723C">
        <w:rPr>
          <w:sz w:val="24"/>
        </w:rPr>
        <w:t>being</w:t>
      </w:r>
      <w:r w:rsidR="00573903" w:rsidRPr="0002723C">
        <w:rPr>
          <w:spacing w:val="-8"/>
          <w:sz w:val="24"/>
        </w:rPr>
        <w:t xml:space="preserve"> </w:t>
      </w:r>
      <w:r w:rsidR="00573903" w:rsidRPr="0002723C">
        <w:rPr>
          <w:sz w:val="24"/>
        </w:rPr>
        <w:t>barred</w:t>
      </w:r>
      <w:r w:rsidR="00573903" w:rsidRPr="0002723C">
        <w:rPr>
          <w:spacing w:val="-9"/>
          <w:sz w:val="24"/>
        </w:rPr>
        <w:t xml:space="preserve"> </w:t>
      </w:r>
      <w:r w:rsidR="00573903" w:rsidRPr="0002723C">
        <w:rPr>
          <w:sz w:val="24"/>
        </w:rPr>
        <w:t>due</w:t>
      </w:r>
      <w:r w:rsidR="00573903" w:rsidRPr="0002723C">
        <w:rPr>
          <w:spacing w:val="-8"/>
          <w:sz w:val="24"/>
        </w:rPr>
        <w:t xml:space="preserve"> </w:t>
      </w:r>
      <w:r w:rsidR="00573903" w:rsidRPr="0002723C">
        <w:rPr>
          <w:sz w:val="24"/>
        </w:rPr>
        <w:t>to the time-</w:t>
      </w:r>
      <w:r w:rsidR="00573903" w:rsidRPr="0002723C">
        <w:rPr>
          <w:color w:val="1B1818"/>
          <w:sz w:val="24"/>
        </w:rPr>
        <w:t>lapse. It is most certainly a difficult situation for consumers with legitimate claims. However, the CPA does not provide any basis for the Tribunal to ignore or extend</w:t>
      </w:r>
      <w:r w:rsidR="00573903" w:rsidRPr="0002723C">
        <w:rPr>
          <w:color w:val="1B1818"/>
          <w:spacing w:val="-6"/>
          <w:sz w:val="24"/>
        </w:rPr>
        <w:t xml:space="preserve"> </w:t>
      </w:r>
      <w:r w:rsidR="00573903" w:rsidRPr="0002723C">
        <w:rPr>
          <w:color w:val="1B1818"/>
          <w:sz w:val="24"/>
        </w:rPr>
        <w:t>the</w:t>
      </w:r>
      <w:r w:rsidR="00573903" w:rsidRPr="0002723C">
        <w:rPr>
          <w:color w:val="1B1818"/>
          <w:spacing w:val="-6"/>
          <w:sz w:val="24"/>
        </w:rPr>
        <w:t xml:space="preserve"> </w:t>
      </w:r>
      <w:r w:rsidR="00573903" w:rsidRPr="0002723C">
        <w:rPr>
          <w:color w:val="1B1818"/>
          <w:sz w:val="24"/>
        </w:rPr>
        <w:t>time</w:t>
      </w:r>
      <w:r w:rsidR="00573903" w:rsidRPr="0002723C">
        <w:rPr>
          <w:color w:val="1B1818"/>
          <w:spacing w:val="-4"/>
          <w:sz w:val="24"/>
        </w:rPr>
        <w:t xml:space="preserve"> </w:t>
      </w:r>
      <w:r w:rsidR="00573903" w:rsidRPr="0002723C">
        <w:rPr>
          <w:color w:val="1B1818"/>
          <w:sz w:val="24"/>
        </w:rPr>
        <w:t>bar.</w:t>
      </w:r>
      <w:r w:rsidR="00573903" w:rsidRPr="0002723C">
        <w:rPr>
          <w:color w:val="1B1818"/>
          <w:spacing w:val="-6"/>
          <w:sz w:val="24"/>
        </w:rPr>
        <w:t xml:space="preserve"> </w:t>
      </w:r>
      <w:r w:rsidR="00573903" w:rsidRPr="0002723C">
        <w:rPr>
          <w:color w:val="1B1818"/>
          <w:sz w:val="24"/>
        </w:rPr>
        <w:t>Applications</w:t>
      </w:r>
      <w:r w:rsidR="00573903" w:rsidRPr="0002723C">
        <w:rPr>
          <w:color w:val="1B1818"/>
          <w:spacing w:val="-8"/>
          <w:sz w:val="24"/>
        </w:rPr>
        <w:t xml:space="preserve"> </w:t>
      </w:r>
      <w:r w:rsidR="00573903" w:rsidRPr="0002723C">
        <w:rPr>
          <w:color w:val="1B1818"/>
          <w:sz w:val="24"/>
        </w:rPr>
        <w:t>must</w:t>
      </w:r>
      <w:r w:rsidR="00573903" w:rsidRPr="0002723C">
        <w:rPr>
          <w:color w:val="1B1818"/>
          <w:spacing w:val="-5"/>
          <w:sz w:val="24"/>
        </w:rPr>
        <w:t xml:space="preserve"> </w:t>
      </w:r>
      <w:r w:rsidR="00573903" w:rsidRPr="0002723C">
        <w:rPr>
          <w:color w:val="1B1818"/>
          <w:sz w:val="24"/>
        </w:rPr>
        <w:t>be</w:t>
      </w:r>
      <w:r w:rsidR="00573903" w:rsidRPr="0002723C">
        <w:rPr>
          <w:color w:val="1B1818"/>
          <w:spacing w:val="-6"/>
          <w:sz w:val="24"/>
        </w:rPr>
        <w:t xml:space="preserve"> </w:t>
      </w:r>
      <w:r w:rsidR="00573903" w:rsidRPr="0002723C">
        <w:rPr>
          <w:color w:val="1B1818"/>
          <w:sz w:val="24"/>
        </w:rPr>
        <w:t>lodged</w:t>
      </w:r>
      <w:r w:rsidR="00573903" w:rsidRPr="0002723C">
        <w:rPr>
          <w:color w:val="1B1818"/>
          <w:spacing w:val="-5"/>
          <w:sz w:val="24"/>
        </w:rPr>
        <w:t xml:space="preserve"> </w:t>
      </w:r>
      <w:r w:rsidR="00573903" w:rsidRPr="0002723C">
        <w:rPr>
          <w:color w:val="1B1818"/>
          <w:sz w:val="24"/>
        </w:rPr>
        <w:t>in</w:t>
      </w:r>
      <w:r w:rsidR="00573903" w:rsidRPr="0002723C">
        <w:rPr>
          <w:color w:val="1B1818"/>
          <w:spacing w:val="-9"/>
          <w:sz w:val="24"/>
        </w:rPr>
        <w:t xml:space="preserve"> </w:t>
      </w:r>
      <w:r w:rsidR="00573903" w:rsidRPr="0002723C">
        <w:rPr>
          <w:color w:val="1B1818"/>
          <w:sz w:val="24"/>
        </w:rPr>
        <w:t>time,</w:t>
      </w:r>
      <w:r w:rsidR="00573903" w:rsidRPr="0002723C">
        <w:rPr>
          <w:color w:val="1B1818"/>
          <w:spacing w:val="-5"/>
          <w:sz w:val="24"/>
        </w:rPr>
        <w:t xml:space="preserve"> </w:t>
      </w:r>
      <w:r w:rsidR="00573903" w:rsidRPr="0002723C">
        <w:rPr>
          <w:color w:val="1B1818"/>
          <w:sz w:val="24"/>
        </w:rPr>
        <w:t>or</w:t>
      </w:r>
      <w:r w:rsidR="00573903" w:rsidRPr="0002723C">
        <w:rPr>
          <w:color w:val="1B1818"/>
          <w:spacing w:val="-7"/>
          <w:sz w:val="24"/>
        </w:rPr>
        <w:t xml:space="preserve"> </w:t>
      </w:r>
      <w:r w:rsidR="00573903" w:rsidRPr="0002723C">
        <w:rPr>
          <w:color w:val="1B1818"/>
          <w:sz w:val="24"/>
        </w:rPr>
        <w:t>the</w:t>
      </w:r>
      <w:r w:rsidR="00573903" w:rsidRPr="0002723C">
        <w:rPr>
          <w:color w:val="1B1818"/>
          <w:spacing w:val="-5"/>
          <w:sz w:val="24"/>
        </w:rPr>
        <w:t xml:space="preserve"> </w:t>
      </w:r>
      <w:r w:rsidR="00573903" w:rsidRPr="0002723C">
        <w:rPr>
          <w:color w:val="1B1818"/>
          <w:sz w:val="24"/>
        </w:rPr>
        <w:t>legisl</w:t>
      </w:r>
      <w:r w:rsidR="00573903" w:rsidRPr="0002723C">
        <w:rPr>
          <w:color w:val="1B1818"/>
          <w:sz w:val="24"/>
        </w:rPr>
        <w:t>ature</w:t>
      </w:r>
      <w:r w:rsidR="00573903" w:rsidRPr="0002723C">
        <w:rPr>
          <w:color w:val="1B1818"/>
          <w:spacing w:val="-9"/>
          <w:sz w:val="24"/>
        </w:rPr>
        <w:t xml:space="preserve"> </w:t>
      </w:r>
      <w:r w:rsidR="00573903" w:rsidRPr="0002723C">
        <w:rPr>
          <w:color w:val="1B1818"/>
          <w:sz w:val="24"/>
        </w:rPr>
        <w:t>must</w:t>
      </w:r>
      <w:r w:rsidR="00573903" w:rsidRPr="0002723C">
        <w:rPr>
          <w:color w:val="1B1818"/>
          <w:spacing w:val="-5"/>
          <w:sz w:val="24"/>
        </w:rPr>
        <w:t xml:space="preserve"> </w:t>
      </w:r>
      <w:r w:rsidR="00573903" w:rsidRPr="0002723C">
        <w:rPr>
          <w:color w:val="1B1818"/>
          <w:sz w:val="24"/>
        </w:rPr>
        <w:t>see</w:t>
      </w:r>
      <w:r w:rsidR="00573903" w:rsidRPr="0002723C">
        <w:rPr>
          <w:color w:val="1B1818"/>
          <w:spacing w:val="-6"/>
          <w:sz w:val="24"/>
        </w:rPr>
        <w:t xml:space="preserve"> </w:t>
      </w:r>
      <w:r w:rsidR="00573903" w:rsidRPr="0002723C">
        <w:rPr>
          <w:color w:val="1B1818"/>
          <w:sz w:val="24"/>
        </w:rPr>
        <w:t>fit to grant the Tribunal the specific power to grant leave for a time-barred</w:t>
      </w:r>
      <w:r w:rsidR="00573903" w:rsidRPr="0002723C">
        <w:rPr>
          <w:color w:val="1B1818"/>
          <w:spacing w:val="-17"/>
          <w:sz w:val="24"/>
        </w:rPr>
        <w:t xml:space="preserve"> </w:t>
      </w:r>
      <w:r w:rsidR="00573903" w:rsidRPr="0002723C">
        <w:rPr>
          <w:color w:val="1B1818"/>
          <w:sz w:val="24"/>
        </w:rPr>
        <w:t>application.</w:t>
      </w:r>
    </w:p>
    <w:p w:rsidR="00861D65" w:rsidRDefault="00861D65">
      <w:pPr>
        <w:pStyle w:val="BodyText"/>
        <w:rPr>
          <w:sz w:val="36"/>
        </w:rPr>
      </w:pPr>
    </w:p>
    <w:p w:rsidR="00861D65" w:rsidRDefault="00573903">
      <w:pPr>
        <w:pStyle w:val="Heading1"/>
      </w:pPr>
      <w:r>
        <w:t>CONCLUSION</w:t>
      </w:r>
    </w:p>
    <w:p w:rsidR="00861D65" w:rsidRDefault="00861D65">
      <w:pPr>
        <w:pStyle w:val="BodyText"/>
        <w:rPr>
          <w:b/>
          <w:sz w:val="26"/>
        </w:rPr>
      </w:pPr>
    </w:p>
    <w:p w:rsidR="00861D65" w:rsidRDefault="00861D65">
      <w:pPr>
        <w:pStyle w:val="BodyText"/>
        <w:rPr>
          <w:b/>
          <w:sz w:val="22"/>
        </w:rPr>
      </w:pPr>
    </w:p>
    <w:p w:rsidR="00861D65" w:rsidRPr="0002723C" w:rsidRDefault="0002723C" w:rsidP="0002723C">
      <w:pPr>
        <w:tabs>
          <w:tab w:val="left" w:pos="674"/>
        </w:tabs>
        <w:spacing w:before="1" w:line="360" w:lineRule="auto"/>
        <w:ind w:left="673" w:right="116" w:hanging="541"/>
        <w:jc w:val="both"/>
        <w:rPr>
          <w:sz w:val="24"/>
        </w:rPr>
      </w:pPr>
      <w:r>
        <w:rPr>
          <w:spacing w:val="-8"/>
          <w:w w:val="99"/>
          <w:sz w:val="24"/>
        </w:rPr>
        <w:t>24.</w:t>
      </w:r>
      <w:r>
        <w:rPr>
          <w:spacing w:val="-8"/>
          <w:w w:val="99"/>
          <w:sz w:val="24"/>
        </w:rPr>
        <w:tab/>
      </w:r>
      <w:r w:rsidR="00573903" w:rsidRPr="0002723C">
        <w:rPr>
          <w:sz w:val="24"/>
        </w:rPr>
        <w:t>The Tribunal finds no evidence that the single member erred in arriving at a decision to refuse the leave to refer</w:t>
      </w:r>
      <w:r w:rsidR="00573903" w:rsidRPr="0002723C">
        <w:rPr>
          <w:spacing w:val="-1"/>
          <w:sz w:val="24"/>
        </w:rPr>
        <w:t xml:space="preserve"> </w:t>
      </w:r>
      <w:r w:rsidR="00573903" w:rsidRPr="0002723C">
        <w:rPr>
          <w:sz w:val="24"/>
        </w:rPr>
        <w:t>application.</w:t>
      </w:r>
    </w:p>
    <w:p w:rsidR="00861D65" w:rsidRDefault="00861D65">
      <w:pPr>
        <w:pStyle w:val="BodyText"/>
        <w:spacing w:before="10"/>
        <w:rPr>
          <w:sz w:val="35"/>
        </w:rPr>
      </w:pPr>
    </w:p>
    <w:p w:rsidR="00861D65" w:rsidRPr="0002723C" w:rsidRDefault="0002723C" w:rsidP="0002723C">
      <w:pPr>
        <w:tabs>
          <w:tab w:val="left" w:pos="674"/>
        </w:tabs>
        <w:spacing w:line="360" w:lineRule="auto"/>
        <w:ind w:left="673" w:right="115" w:hanging="541"/>
        <w:jc w:val="both"/>
        <w:rPr>
          <w:sz w:val="24"/>
        </w:rPr>
      </w:pPr>
      <w:r>
        <w:rPr>
          <w:spacing w:val="-8"/>
          <w:w w:val="99"/>
          <w:sz w:val="24"/>
        </w:rPr>
        <w:t>25.</w:t>
      </w:r>
      <w:r>
        <w:rPr>
          <w:spacing w:val="-8"/>
          <w:w w:val="99"/>
          <w:sz w:val="24"/>
        </w:rPr>
        <w:tab/>
      </w:r>
      <w:r w:rsidR="00573903" w:rsidRPr="0002723C">
        <w:rPr>
          <w:sz w:val="24"/>
        </w:rPr>
        <w:t>The complaint is found to be time-barred from being considered by the Tribunal. Therefore, the Tribunal concurs with the refusal order issued by the single</w:t>
      </w:r>
      <w:r w:rsidR="00573903" w:rsidRPr="0002723C">
        <w:rPr>
          <w:spacing w:val="-16"/>
          <w:sz w:val="24"/>
        </w:rPr>
        <w:t xml:space="preserve"> </w:t>
      </w:r>
      <w:r w:rsidR="00573903" w:rsidRPr="0002723C">
        <w:rPr>
          <w:sz w:val="24"/>
        </w:rPr>
        <w:t>member.</w:t>
      </w:r>
    </w:p>
    <w:p w:rsidR="00861D65" w:rsidRDefault="00861D65">
      <w:pPr>
        <w:spacing w:line="360" w:lineRule="auto"/>
        <w:jc w:val="both"/>
        <w:rPr>
          <w:sz w:val="24"/>
        </w:rPr>
        <w:sectPr w:rsidR="00861D65">
          <w:pgSz w:w="11910" w:h="16840"/>
          <w:pgMar w:top="960" w:right="1020" w:bottom="820" w:left="1000" w:header="326" w:footer="545" w:gutter="0"/>
          <w:cols w:space="720"/>
        </w:sectPr>
      </w:pPr>
    </w:p>
    <w:p w:rsidR="00861D65" w:rsidRDefault="00573903">
      <w:pPr>
        <w:pStyle w:val="Heading1"/>
        <w:spacing w:before="82"/>
      </w:pPr>
      <w:r>
        <w:lastRenderedPageBreak/>
        <w:t>ORDER</w:t>
      </w:r>
    </w:p>
    <w:p w:rsidR="00861D65" w:rsidRDefault="00861D65">
      <w:pPr>
        <w:pStyle w:val="BodyText"/>
        <w:rPr>
          <w:b/>
          <w:sz w:val="26"/>
        </w:rPr>
      </w:pPr>
    </w:p>
    <w:p w:rsidR="00861D65" w:rsidRDefault="00861D65">
      <w:pPr>
        <w:pStyle w:val="BodyText"/>
        <w:rPr>
          <w:b/>
          <w:sz w:val="22"/>
        </w:rPr>
      </w:pPr>
    </w:p>
    <w:p w:rsidR="00861D65" w:rsidRPr="0002723C" w:rsidRDefault="0002723C" w:rsidP="0002723C">
      <w:pPr>
        <w:tabs>
          <w:tab w:val="left" w:pos="673"/>
          <w:tab w:val="left" w:pos="674"/>
        </w:tabs>
        <w:ind w:left="673" w:hanging="542"/>
        <w:rPr>
          <w:sz w:val="24"/>
        </w:rPr>
      </w:pPr>
      <w:r>
        <w:rPr>
          <w:spacing w:val="-8"/>
          <w:w w:val="99"/>
          <w:sz w:val="24"/>
        </w:rPr>
        <w:t>26.</w:t>
      </w:r>
      <w:r>
        <w:rPr>
          <w:spacing w:val="-8"/>
          <w:w w:val="99"/>
          <w:sz w:val="24"/>
        </w:rPr>
        <w:tab/>
      </w:r>
      <w:r w:rsidR="00573903" w:rsidRPr="0002723C">
        <w:rPr>
          <w:sz w:val="24"/>
        </w:rPr>
        <w:t>Accordingly, the Tribunal makes the following</w:t>
      </w:r>
      <w:r w:rsidR="00573903" w:rsidRPr="0002723C">
        <w:rPr>
          <w:spacing w:val="-7"/>
          <w:sz w:val="24"/>
        </w:rPr>
        <w:t xml:space="preserve"> </w:t>
      </w:r>
      <w:r w:rsidR="00573903" w:rsidRPr="0002723C">
        <w:rPr>
          <w:sz w:val="24"/>
        </w:rPr>
        <w:t>order:</w:t>
      </w:r>
    </w:p>
    <w:p w:rsidR="00861D65" w:rsidRDefault="00861D65">
      <w:pPr>
        <w:pStyle w:val="BodyText"/>
        <w:spacing w:before="9"/>
        <w:rPr>
          <w:sz w:val="32"/>
        </w:rPr>
      </w:pPr>
    </w:p>
    <w:p w:rsidR="00861D65" w:rsidRPr="0002723C" w:rsidRDefault="0002723C" w:rsidP="0002723C">
      <w:pPr>
        <w:tabs>
          <w:tab w:val="left" w:pos="1214"/>
        </w:tabs>
        <w:ind w:left="1213" w:hanging="630"/>
        <w:rPr>
          <w:sz w:val="24"/>
        </w:rPr>
      </w:pPr>
      <w:r>
        <w:rPr>
          <w:spacing w:val="-3"/>
          <w:w w:val="99"/>
          <w:sz w:val="24"/>
          <w:szCs w:val="24"/>
        </w:rPr>
        <w:t>26.1</w:t>
      </w:r>
      <w:r>
        <w:rPr>
          <w:spacing w:val="-3"/>
          <w:w w:val="99"/>
          <w:sz w:val="24"/>
          <w:szCs w:val="24"/>
        </w:rPr>
        <w:tab/>
      </w:r>
      <w:r w:rsidR="00573903" w:rsidRPr="0002723C">
        <w:rPr>
          <w:sz w:val="24"/>
        </w:rPr>
        <w:t>The application is dismissed;</w:t>
      </w:r>
      <w:r w:rsidR="00573903" w:rsidRPr="0002723C">
        <w:rPr>
          <w:spacing w:val="2"/>
          <w:sz w:val="24"/>
        </w:rPr>
        <w:t xml:space="preserve"> </w:t>
      </w:r>
      <w:r w:rsidR="00573903" w:rsidRPr="0002723C">
        <w:rPr>
          <w:sz w:val="24"/>
        </w:rPr>
        <w:t>and</w:t>
      </w:r>
    </w:p>
    <w:p w:rsidR="00861D65" w:rsidRPr="0002723C" w:rsidRDefault="0002723C" w:rsidP="0002723C">
      <w:pPr>
        <w:tabs>
          <w:tab w:val="left" w:pos="1214"/>
        </w:tabs>
        <w:spacing w:before="139"/>
        <w:ind w:left="1213" w:hanging="630"/>
        <w:rPr>
          <w:sz w:val="24"/>
        </w:rPr>
      </w:pPr>
      <w:r>
        <w:rPr>
          <w:spacing w:val="-3"/>
          <w:w w:val="99"/>
          <w:sz w:val="24"/>
          <w:szCs w:val="24"/>
        </w:rPr>
        <w:t>26.2</w:t>
      </w:r>
      <w:r>
        <w:rPr>
          <w:spacing w:val="-3"/>
          <w:w w:val="99"/>
          <w:sz w:val="24"/>
          <w:szCs w:val="24"/>
        </w:rPr>
        <w:tab/>
      </w:r>
      <w:r w:rsidR="00573903" w:rsidRPr="0002723C">
        <w:rPr>
          <w:sz w:val="24"/>
        </w:rPr>
        <w:t>No costs order is</w:t>
      </w:r>
      <w:r w:rsidR="00573903" w:rsidRPr="0002723C">
        <w:rPr>
          <w:spacing w:val="-4"/>
          <w:sz w:val="24"/>
        </w:rPr>
        <w:t xml:space="preserve"> </w:t>
      </w:r>
      <w:r w:rsidR="00573903" w:rsidRPr="0002723C">
        <w:rPr>
          <w:sz w:val="24"/>
        </w:rPr>
        <w:t>made.</w:t>
      </w:r>
    </w:p>
    <w:p w:rsidR="00861D65" w:rsidRDefault="00861D65">
      <w:pPr>
        <w:pStyle w:val="BodyText"/>
        <w:rPr>
          <w:sz w:val="26"/>
        </w:rPr>
      </w:pPr>
    </w:p>
    <w:p w:rsidR="00861D65" w:rsidRDefault="00861D65">
      <w:pPr>
        <w:pStyle w:val="BodyText"/>
        <w:rPr>
          <w:sz w:val="26"/>
        </w:rPr>
      </w:pPr>
    </w:p>
    <w:p w:rsidR="00861D65" w:rsidRDefault="00573903">
      <w:pPr>
        <w:pStyle w:val="BodyText"/>
        <w:spacing w:before="190"/>
        <w:ind w:left="132"/>
      </w:pPr>
      <w:r>
        <w:t>DATED ON THIS 9</w:t>
      </w:r>
      <w:r>
        <w:rPr>
          <w:position w:val="8"/>
          <w:sz w:val="16"/>
        </w:rPr>
        <w:t xml:space="preserve">TH </w:t>
      </w:r>
      <w:r>
        <w:t>DAY OF FEBRUARY 2023.</w:t>
      </w:r>
    </w:p>
    <w:p w:rsidR="00861D65" w:rsidRDefault="00861D65">
      <w:pPr>
        <w:pStyle w:val="BodyText"/>
        <w:rPr>
          <w:sz w:val="28"/>
        </w:rPr>
      </w:pPr>
    </w:p>
    <w:p w:rsidR="00861D65" w:rsidRDefault="00861D65">
      <w:pPr>
        <w:pStyle w:val="BodyText"/>
        <w:rPr>
          <w:sz w:val="28"/>
        </w:rPr>
      </w:pPr>
    </w:p>
    <w:p w:rsidR="00861D65" w:rsidRDefault="00861D65">
      <w:pPr>
        <w:pStyle w:val="BodyText"/>
        <w:spacing w:before="10"/>
        <w:rPr>
          <w:sz w:val="27"/>
        </w:rPr>
      </w:pPr>
    </w:p>
    <w:p w:rsidR="00861D65" w:rsidRDefault="00573903">
      <w:pPr>
        <w:pStyle w:val="BodyText"/>
        <w:ind w:left="132"/>
      </w:pPr>
      <w:r>
        <w:t>[signed]</w:t>
      </w:r>
    </w:p>
    <w:p w:rsidR="00861D65" w:rsidRDefault="00573903">
      <w:pPr>
        <w:pStyle w:val="BodyText"/>
        <w:spacing w:before="140"/>
        <w:ind w:left="132"/>
      </w:pPr>
      <w:r>
        <w:t>Dr MC Peenze</w:t>
      </w:r>
    </w:p>
    <w:p w:rsidR="00861D65" w:rsidRDefault="00573903">
      <w:pPr>
        <w:pStyle w:val="BodyText"/>
        <w:spacing w:before="137"/>
        <w:ind w:left="132"/>
      </w:pPr>
      <w:r>
        <w:t>Presiding Tribunal Member</w:t>
      </w:r>
    </w:p>
    <w:p w:rsidR="00861D65" w:rsidRDefault="00861D65">
      <w:pPr>
        <w:pStyle w:val="BodyText"/>
        <w:rPr>
          <w:sz w:val="26"/>
        </w:rPr>
      </w:pPr>
    </w:p>
    <w:p w:rsidR="00861D65" w:rsidRDefault="00861D65">
      <w:pPr>
        <w:pStyle w:val="BodyText"/>
        <w:spacing w:before="11"/>
        <w:rPr>
          <w:sz w:val="21"/>
        </w:rPr>
      </w:pPr>
    </w:p>
    <w:p w:rsidR="00861D65" w:rsidRDefault="00573903">
      <w:pPr>
        <w:pStyle w:val="BodyText"/>
        <w:spacing w:line="360" w:lineRule="auto"/>
        <w:ind w:left="132"/>
      </w:pPr>
      <w:r>
        <w:t>Mr T Bailey (Tribunal Member and Executive Chairperson of the Tribunal) and Adv C Sassman (Tribunal Mem</w:t>
      </w:r>
      <w:r>
        <w:t>ber) concur.</w:t>
      </w:r>
    </w:p>
    <w:p w:rsidR="00861D65" w:rsidRDefault="00861D65">
      <w:pPr>
        <w:pStyle w:val="BodyText"/>
        <w:rPr>
          <w:sz w:val="20"/>
        </w:rPr>
      </w:pPr>
    </w:p>
    <w:p w:rsidR="00861D65" w:rsidRDefault="00573903">
      <w:pPr>
        <w:pStyle w:val="BodyText"/>
        <w:spacing w:before="9"/>
        <w:rPr>
          <w:sz w:val="13"/>
        </w:rPr>
      </w:pPr>
      <w:r>
        <w:pict>
          <v:group id="_x0000_s1026" style="position:absolute;margin-left:57.45pt;margin-top:9.9pt;width:238.5pt;height:138.55pt;z-index:-251654144;mso-wrap-distance-left:0;mso-wrap-distance-right:0;mso-position-horizontal-relative:page" coordorigin="1149,198" coordsize="4770,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66;top:482;width:4535;height:2344">
              <v:imagedata r:id="rId10" o:title=""/>
            </v:shape>
            <v:rect id="_x0000_s1027" style="position:absolute;left:1156;top:205;width:4755;height:2756" filled="f" strokecolor="#7e7e7e"/>
            <w10:wrap type="topAndBottom" anchorx="page"/>
          </v:group>
        </w:pict>
      </w:r>
    </w:p>
    <w:sectPr w:rsidR="00861D65">
      <w:pgSz w:w="11910" w:h="16840"/>
      <w:pgMar w:top="960" w:right="1020" w:bottom="820" w:left="1000" w:header="326" w:footer="5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03" w:rsidRDefault="00573903">
      <w:r>
        <w:separator/>
      </w:r>
    </w:p>
  </w:endnote>
  <w:endnote w:type="continuationSeparator" w:id="0">
    <w:p w:rsidR="00573903" w:rsidRDefault="0057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65" w:rsidRDefault="0057390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9pt;margin-top:798.8pt;width:7.6pt;height:13.05pt;z-index:-251869184;mso-position-horizontal-relative:page;mso-position-vertical-relative:page" filled="f" stroked="f">
          <v:textbox inset="0,0,0,0">
            <w:txbxContent>
              <w:p w:rsidR="00861D65" w:rsidRDefault="00573903">
                <w:pPr>
                  <w:spacing w:line="245" w:lineRule="exact"/>
                  <w:ind w:left="20"/>
                  <w:rPr>
                    <w:rFonts w:ascii="Calibri"/>
                  </w:rPr>
                </w:pPr>
                <w:r>
                  <w:rPr>
                    <w:rFonts w:ascii="Calibri"/>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65" w:rsidRDefault="0057390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pt;margin-top:799.7pt;width:39.75pt;height:12.35pt;z-index:-251867136;mso-position-horizontal-relative:page;mso-position-vertical-relative:page" filled="f" stroked="f">
          <v:textbox inset="0,0,0,0">
            <w:txbxContent>
              <w:p w:rsidR="00861D65" w:rsidRDefault="00573903">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02723C">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03" w:rsidRDefault="00573903">
      <w:r>
        <w:separator/>
      </w:r>
    </w:p>
  </w:footnote>
  <w:footnote w:type="continuationSeparator" w:id="0">
    <w:p w:rsidR="00573903" w:rsidRDefault="00573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65" w:rsidRDefault="0057390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56.65pt;margin-top:15.3pt;width:183.1pt;height:26.5pt;z-index:-251868160;mso-position-horizontal-relative:page;mso-position-vertical-relative:page" filled="f" stroked="f">
          <v:textbox inset="0,0,0,0">
            <w:txbxContent>
              <w:p w:rsidR="00861D65" w:rsidRDefault="00573903">
                <w:pPr>
                  <w:spacing w:line="245" w:lineRule="exact"/>
                  <w:ind w:right="18"/>
                  <w:jc w:val="right"/>
                  <w:rPr>
                    <w:rFonts w:ascii="Calibri"/>
                  </w:rPr>
                </w:pPr>
                <w:r>
                  <w:rPr>
                    <w:rFonts w:ascii="Calibri"/>
                  </w:rPr>
                  <w:t>Liziwe Pepeta v Mitchell Munck (Pty)</w:t>
                </w:r>
                <w:r>
                  <w:rPr>
                    <w:rFonts w:ascii="Calibri"/>
                    <w:spacing w:val="-7"/>
                  </w:rPr>
                  <w:t xml:space="preserve"> </w:t>
                </w:r>
                <w:r>
                  <w:rPr>
                    <w:rFonts w:ascii="Calibri"/>
                  </w:rPr>
                  <w:t>Ltd</w:t>
                </w:r>
              </w:p>
              <w:p w:rsidR="00861D65" w:rsidRDefault="00573903">
                <w:pPr>
                  <w:ind w:right="20"/>
                  <w:jc w:val="right"/>
                  <w:rPr>
                    <w:rFonts w:ascii="Calibri"/>
                  </w:rPr>
                </w:pPr>
                <w:r>
                  <w:rPr>
                    <w:rFonts w:ascii="Calibri"/>
                    <w:spacing w:val="-1"/>
                  </w:rPr>
                  <w:t>NCT/24</w:t>
                </w:r>
                <w:r>
                  <w:rPr>
                    <w:rFonts w:ascii="Calibri"/>
                    <w:spacing w:val="-1"/>
                  </w:rPr>
                  <w:t>5274/2022/148(1)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3250"/>
    <w:multiLevelType w:val="multilevel"/>
    <w:tmpl w:val="4BC2B646"/>
    <w:lvl w:ilvl="0">
      <w:start w:val="26"/>
      <w:numFmt w:val="decimal"/>
      <w:lvlText w:val="%1"/>
      <w:lvlJc w:val="left"/>
      <w:pPr>
        <w:ind w:left="1213" w:hanging="629"/>
        <w:jc w:val="left"/>
      </w:pPr>
      <w:rPr>
        <w:rFonts w:hint="default"/>
        <w:lang w:val="en-ZA" w:eastAsia="en-ZA" w:bidi="en-ZA"/>
      </w:rPr>
    </w:lvl>
    <w:lvl w:ilvl="1">
      <w:start w:val="1"/>
      <w:numFmt w:val="decimal"/>
      <w:lvlText w:val="%1.%2"/>
      <w:lvlJc w:val="left"/>
      <w:pPr>
        <w:ind w:left="1213" w:hanging="629"/>
        <w:jc w:val="left"/>
      </w:pPr>
      <w:rPr>
        <w:rFonts w:ascii="Arial" w:eastAsia="Arial" w:hAnsi="Arial" w:cs="Arial" w:hint="default"/>
        <w:spacing w:val="-3"/>
        <w:w w:val="99"/>
        <w:sz w:val="24"/>
        <w:szCs w:val="24"/>
        <w:lang w:val="en-ZA" w:eastAsia="en-ZA" w:bidi="en-ZA"/>
      </w:rPr>
    </w:lvl>
    <w:lvl w:ilvl="2">
      <w:numFmt w:val="bullet"/>
      <w:lvlText w:val="•"/>
      <w:lvlJc w:val="left"/>
      <w:pPr>
        <w:ind w:left="2953" w:hanging="629"/>
      </w:pPr>
      <w:rPr>
        <w:rFonts w:hint="default"/>
        <w:lang w:val="en-ZA" w:eastAsia="en-ZA" w:bidi="en-ZA"/>
      </w:rPr>
    </w:lvl>
    <w:lvl w:ilvl="3">
      <w:numFmt w:val="bullet"/>
      <w:lvlText w:val="•"/>
      <w:lvlJc w:val="left"/>
      <w:pPr>
        <w:ind w:left="3819" w:hanging="629"/>
      </w:pPr>
      <w:rPr>
        <w:rFonts w:hint="default"/>
        <w:lang w:val="en-ZA" w:eastAsia="en-ZA" w:bidi="en-ZA"/>
      </w:rPr>
    </w:lvl>
    <w:lvl w:ilvl="4">
      <w:numFmt w:val="bullet"/>
      <w:lvlText w:val="•"/>
      <w:lvlJc w:val="left"/>
      <w:pPr>
        <w:ind w:left="4686" w:hanging="629"/>
      </w:pPr>
      <w:rPr>
        <w:rFonts w:hint="default"/>
        <w:lang w:val="en-ZA" w:eastAsia="en-ZA" w:bidi="en-ZA"/>
      </w:rPr>
    </w:lvl>
    <w:lvl w:ilvl="5">
      <w:numFmt w:val="bullet"/>
      <w:lvlText w:val="•"/>
      <w:lvlJc w:val="left"/>
      <w:pPr>
        <w:ind w:left="5553" w:hanging="629"/>
      </w:pPr>
      <w:rPr>
        <w:rFonts w:hint="default"/>
        <w:lang w:val="en-ZA" w:eastAsia="en-ZA" w:bidi="en-ZA"/>
      </w:rPr>
    </w:lvl>
    <w:lvl w:ilvl="6">
      <w:numFmt w:val="bullet"/>
      <w:lvlText w:val="•"/>
      <w:lvlJc w:val="left"/>
      <w:pPr>
        <w:ind w:left="6419" w:hanging="629"/>
      </w:pPr>
      <w:rPr>
        <w:rFonts w:hint="default"/>
        <w:lang w:val="en-ZA" w:eastAsia="en-ZA" w:bidi="en-ZA"/>
      </w:rPr>
    </w:lvl>
    <w:lvl w:ilvl="7">
      <w:numFmt w:val="bullet"/>
      <w:lvlText w:val="•"/>
      <w:lvlJc w:val="left"/>
      <w:pPr>
        <w:ind w:left="7286" w:hanging="629"/>
      </w:pPr>
      <w:rPr>
        <w:rFonts w:hint="default"/>
        <w:lang w:val="en-ZA" w:eastAsia="en-ZA" w:bidi="en-ZA"/>
      </w:rPr>
    </w:lvl>
    <w:lvl w:ilvl="8">
      <w:numFmt w:val="bullet"/>
      <w:lvlText w:val="•"/>
      <w:lvlJc w:val="left"/>
      <w:pPr>
        <w:ind w:left="8153" w:hanging="629"/>
      </w:pPr>
      <w:rPr>
        <w:rFonts w:hint="default"/>
        <w:lang w:val="en-ZA" w:eastAsia="en-ZA" w:bidi="en-ZA"/>
      </w:rPr>
    </w:lvl>
  </w:abstractNum>
  <w:abstractNum w:abstractNumId="1" w15:restartNumberingAfterBreak="0">
    <w:nsid w:val="2CBD7B7B"/>
    <w:multiLevelType w:val="hybridMultilevel"/>
    <w:tmpl w:val="F5B856B8"/>
    <w:lvl w:ilvl="0" w:tplc="60E21162">
      <w:start w:val="1"/>
      <w:numFmt w:val="decimal"/>
      <w:lvlText w:val="%1."/>
      <w:lvlJc w:val="left"/>
      <w:pPr>
        <w:ind w:left="699" w:hanging="567"/>
        <w:jc w:val="left"/>
      </w:pPr>
      <w:rPr>
        <w:rFonts w:hint="default"/>
        <w:spacing w:val="-8"/>
        <w:w w:val="99"/>
        <w:lang w:val="en-ZA" w:eastAsia="en-ZA" w:bidi="en-ZA"/>
      </w:rPr>
    </w:lvl>
    <w:lvl w:ilvl="1" w:tplc="2996EC52">
      <w:start w:val="1"/>
      <w:numFmt w:val="decimal"/>
      <w:lvlText w:val="(%2)"/>
      <w:lvlJc w:val="left"/>
      <w:pPr>
        <w:ind w:left="853" w:hanging="360"/>
        <w:jc w:val="left"/>
      </w:pPr>
      <w:rPr>
        <w:rFonts w:ascii="Arial" w:eastAsia="Arial" w:hAnsi="Arial" w:cs="Arial" w:hint="default"/>
        <w:w w:val="99"/>
        <w:sz w:val="20"/>
        <w:szCs w:val="20"/>
        <w:lang w:val="en-ZA" w:eastAsia="en-ZA" w:bidi="en-ZA"/>
      </w:rPr>
    </w:lvl>
    <w:lvl w:ilvl="2" w:tplc="866C62E6">
      <w:start w:val="1"/>
      <w:numFmt w:val="lowerLetter"/>
      <w:lvlText w:val="%3."/>
      <w:lvlJc w:val="left"/>
      <w:pPr>
        <w:ind w:left="1573" w:hanging="360"/>
        <w:jc w:val="left"/>
      </w:pPr>
      <w:rPr>
        <w:rFonts w:ascii="Arial" w:eastAsia="Arial" w:hAnsi="Arial" w:cs="Arial" w:hint="default"/>
        <w:spacing w:val="-1"/>
        <w:w w:val="99"/>
        <w:sz w:val="20"/>
        <w:szCs w:val="20"/>
        <w:lang w:val="en-ZA" w:eastAsia="en-ZA" w:bidi="en-ZA"/>
      </w:rPr>
    </w:lvl>
    <w:lvl w:ilvl="3" w:tplc="AD88ACB6">
      <w:numFmt w:val="bullet"/>
      <w:lvlText w:val="•"/>
      <w:lvlJc w:val="left"/>
      <w:pPr>
        <w:ind w:left="2618" w:hanging="360"/>
      </w:pPr>
      <w:rPr>
        <w:rFonts w:hint="default"/>
        <w:lang w:val="en-ZA" w:eastAsia="en-ZA" w:bidi="en-ZA"/>
      </w:rPr>
    </w:lvl>
    <w:lvl w:ilvl="4" w:tplc="3D9E221E">
      <w:numFmt w:val="bullet"/>
      <w:lvlText w:val="•"/>
      <w:lvlJc w:val="left"/>
      <w:pPr>
        <w:ind w:left="3656" w:hanging="360"/>
      </w:pPr>
      <w:rPr>
        <w:rFonts w:hint="default"/>
        <w:lang w:val="en-ZA" w:eastAsia="en-ZA" w:bidi="en-ZA"/>
      </w:rPr>
    </w:lvl>
    <w:lvl w:ilvl="5" w:tplc="3438A0B2">
      <w:numFmt w:val="bullet"/>
      <w:lvlText w:val="•"/>
      <w:lvlJc w:val="left"/>
      <w:pPr>
        <w:ind w:left="4694" w:hanging="360"/>
      </w:pPr>
      <w:rPr>
        <w:rFonts w:hint="default"/>
        <w:lang w:val="en-ZA" w:eastAsia="en-ZA" w:bidi="en-ZA"/>
      </w:rPr>
    </w:lvl>
    <w:lvl w:ilvl="6" w:tplc="6876EB3A">
      <w:numFmt w:val="bullet"/>
      <w:lvlText w:val="•"/>
      <w:lvlJc w:val="left"/>
      <w:pPr>
        <w:ind w:left="5733" w:hanging="360"/>
      </w:pPr>
      <w:rPr>
        <w:rFonts w:hint="default"/>
        <w:lang w:val="en-ZA" w:eastAsia="en-ZA" w:bidi="en-ZA"/>
      </w:rPr>
    </w:lvl>
    <w:lvl w:ilvl="7" w:tplc="D0BC421C">
      <w:numFmt w:val="bullet"/>
      <w:lvlText w:val="•"/>
      <w:lvlJc w:val="left"/>
      <w:pPr>
        <w:ind w:left="6771" w:hanging="360"/>
      </w:pPr>
      <w:rPr>
        <w:rFonts w:hint="default"/>
        <w:lang w:val="en-ZA" w:eastAsia="en-ZA" w:bidi="en-ZA"/>
      </w:rPr>
    </w:lvl>
    <w:lvl w:ilvl="8" w:tplc="BDBC8FBC">
      <w:numFmt w:val="bullet"/>
      <w:lvlText w:val="•"/>
      <w:lvlJc w:val="left"/>
      <w:pPr>
        <w:ind w:left="7809" w:hanging="360"/>
      </w:pPr>
      <w:rPr>
        <w:rFonts w:hint="default"/>
        <w:lang w:val="en-ZA" w:eastAsia="en-ZA" w:bidi="en-Z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1D65"/>
    <w:rsid w:val="0002723C"/>
    <w:rsid w:val="00573903"/>
    <w:rsid w:val="0086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13B1DB2-F1E8-420E-B5F1-47C0D22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3" w:right="10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2023-04-12T11:42:00Z</dcterms:created>
  <dcterms:modified xsi:type="dcterms:W3CDTF">2023-04-12T11:43:00Z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for Microsoft 365</vt:lpwstr>
  </property>
  <property fmtid="{D5CDD505-2E9C-101B-9397-08002B2CF9AE}" pid="4" name="LastSaved">
    <vt:filetime>2023-04-12T00:00:00Z</vt:filetime>
  </property>
</Properties>
</file>