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F35" w:rsidRDefault="00C70BDD">
      <w:pPr>
        <w:pStyle w:val="Heading1"/>
        <w:spacing w:before="79" w:line="360" w:lineRule="auto"/>
        <w:ind w:left="3826" w:right="2611" w:hanging="1201"/>
      </w:pPr>
      <w:bookmarkStart w:id="0" w:name="_GoBack"/>
      <w:bookmarkEnd w:id="0"/>
      <w:r>
        <w:t>IN THE NATIONAL CONSUMER TRIBUNAL HELD IN CENTURION</w:t>
      </w:r>
    </w:p>
    <w:p w:rsidR="00850F35" w:rsidRDefault="00850F35">
      <w:pPr>
        <w:pStyle w:val="BodyText"/>
        <w:spacing w:before="10"/>
        <w:rPr>
          <w:b/>
          <w:sz w:val="35"/>
        </w:rPr>
      </w:pPr>
    </w:p>
    <w:p w:rsidR="00850F35" w:rsidRDefault="00C70BDD">
      <w:pPr>
        <w:ind w:left="5403"/>
        <w:rPr>
          <w:b/>
          <w:sz w:val="24"/>
        </w:rPr>
      </w:pPr>
      <w:r>
        <w:rPr>
          <w:sz w:val="24"/>
        </w:rPr>
        <w:t xml:space="preserve">Case number: </w:t>
      </w:r>
      <w:r>
        <w:rPr>
          <w:b/>
          <w:sz w:val="24"/>
        </w:rPr>
        <w:t>NCT/157953/2020/75(1)(b)</w:t>
      </w:r>
    </w:p>
    <w:p w:rsidR="00850F35" w:rsidRDefault="00850F35">
      <w:pPr>
        <w:pStyle w:val="BodyText"/>
        <w:rPr>
          <w:b/>
          <w:sz w:val="20"/>
        </w:rPr>
      </w:pPr>
    </w:p>
    <w:p w:rsidR="00850F35" w:rsidRDefault="00850F35">
      <w:pPr>
        <w:pStyle w:val="BodyText"/>
        <w:rPr>
          <w:b/>
          <w:sz w:val="20"/>
        </w:rPr>
      </w:pPr>
    </w:p>
    <w:p w:rsidR="00850F35" w:rsidRDefault="00850F35">
      <w:pPr>
        <w:pStyle w:val="BodyText"/>
        <w:spacing w:before="4"/>
        <w:rPr>
          <w:b/>
          <w:sz w:val="17"/>
        </w:rPr>
      </w:pPr>
    </w:p>
    <w:p w:rsidR="00850F35" w:rsidRDefault="00C70BDD">
      <w:pPr>
        <w:pStyle w:val="BodyText"/>
        <w:spacing w:before="92"/>
        <w:ind w:left="232"/>
      </w:pPr>
      <w:r>
        <w:t>In the matter between:</w:t>
      </w:r>
    </w:p>
    <w:p w:rsidR="00850F35" w:rsidRDefault="00850F35">
      <w:pPr>
        <w:pStyle w:val="BodyText"/>
        <w:rPr>
          <w:sz w:val="33"/>
        </w:rPr>
      </w:pPr>
    </w:p>
    <w:p w:rsidR="00850F35" w:rsidRDefault="00C70BDD">
      <w:pPr>
        <w:tabs>
          <w:tab w:val="left" w:pos="8490"/>
        </w:tabs>
        <w:ind w:left="232"/>
        <w:rPr>
          <w:sz w:val="24"/>
        </w:rPr>
      </w:pPr>
      <w:r>
        <w:rPr>
          <w:b/>
          <w:sz w:val="24"/>
        </w:rPr>
        <w:t>MUSHE</w:t>
      </w:r>
      <w:r>
        <w:rPr>
          <w:b/>
          <w:spacing w:val="-1"/>
          <w:sz w:val="24"/>
        </w:rPr>
        <w:t xml:space="preserve"> </w:t>
      </w:r>
      <w:r>
        <w:rPr>
          <w:b/>
          <w:sz w:val="24"/>
        </w:rPr>
        <w:t>MATHEVULA</w:t>
      </w:r>
      <w:r>
        <w:rPr>
          <w:b/>
          <w:sz w:val="24"/>
        </w:rPr>
        <w:tab/>
      </w:r>
      <w:r>
        <w:rPr>
          <w:sz w:val="24"/>
        </w:rPr>
        <w:t>APPLICANT</w:t>
      </w:r>
    </w:p>
    <w:p w:rsidR="00850F35" w:rsidRDefault="00850F35">
      <w:pPr>
        <w:pStyle w:val="BodyText"/>
        <w:spacing w:before="9"/>
        <w:rPr>
          <w:sz w:val="32"/>
        </w:rPr>
      </w:pPr>
    </w:p>
    <w:p w:rsidR="00850F35" w:rsidRDefault="00C70BDD">
      <w:pPr>
        <w:pStyle w:val="BodyText"/>
        <w:ind w:left="232"/>
      </w:pPr>
      <w:r>
        <w:t>And</w:t>
      </w:r>
    </w:p>
    <w:p w:rsidR="00850F35" w:rsidRDefault="00850F35">
      <w:pPr>
        <w:pStyle w:val="BodyText"/>
        <w:spacing w:before="11"/>
        <w:rPr>
          <w:sz w:val="32"/>
        </w:rPr>
      </w:pPr>
    </w:p>
    <w:p w:rsidR="00850F35" w:rsidRDefault="00C70BDD">
      <w:pPr>
        <w:tabs>
          <w:tab w:val="left" w:pos="8202"/>
        </w:tabs>
        <w:ind w:left="232"/>
        <w:rPr>
          <w:sz w:val="24"/>
        </w:rPr>
      </w:pPr>
      <w:r>
        <w:rPr>
          <w:b/>
          <w:sz w:val="24"/>
        </w:rPr>
        <w:t>WILLOW CREST</w:t>
      </w:r>
      <w:r>
        <w:rPr>
          <w:b/>
          <w:spacing w:val="-1"/>
          <w:sz w:val="24"/>
        </w:rPr>
        <w:t xml:space="preserve"> </w:t>
      </w:r>
      <w:r>
        <w:rPr>
          <w:b/>
          <w:sz w:val="24"/>
        </w:rPr>
        <w:t>MOTORS</w:t>
      </w:r>
      <w:r>
        <w:rPr>
          <w:b/>
          <w:spacing w:val="-1"/>
          <w:sz w:val="24"/>
        </w:rPr>
        <w:t xml:space="preserve"> </w:t>
      </w:r>
      <w:r>
        <w:rPr>
          <w:b/>
          <w:sz w:val="24"/>
        </w:rPr>
        <w:t>CC</w:t>
      </w:r>
      <w:r>
        <w:rPr>
          <w:b/>
          <w:sz w:val="24"/>
        </w:rPr>
        <w:tab/>
      </w:r>
      <w:r>
        <w:rPr>
          <w:sz w:val="24"/>
        </w:rPr>
        <w:t>RESPONDENT</w:t>
      </w:r>
    </w:p>
    <w:p w:rsidR="00850F35" w:rsidRDefault="00850F35">
      <w:pPr>
        <w:pStyle w:val="BodyText"/>
        <w:rPr>
          <w:sz w:val="26"/>
        </w:rPr>
      </w:pPr>
    </w:p>
    <w:p w:rsidR="00850F35" w:rsidRDefault="00850F35">
      <w:pPr>
        <w:pStyle w:val="BodyText"/>
        <w:spacing w:before="1"/>
        <w:rPr>
          <w:sz w:val="22"/>
        </w:rPr>
      </w:pPr>
    </w:p>
    <w:p w:rsidR="00850F35" w:rsidRDefault="00C70BDD">
      <w:pPr>
        <w:pStyle w:val="BodyText"/>
        <w:ind w:left="232"/>
      </w:pPr>
      <w:r>
        <w:rPr>
          <w:u w:val="single"/>
        </w:rPr>
        <w:t>Coram:</w:t>
      </w:r>
    </w:p>
    <w:p w:rsidR="00850F35" w:rsidRDefault="00C70BDD">
      <w:pPr>
        <w:pStyle w:val="BodyText"/>
        <w:tabs>
          <w:tab w:val="left" w:pos="2460"/>
        </w:tabs>
        <w:spacing w:before="137" w:line="360" w:lineRule="auto"/>
        <w:ind w:left="232" w:right="4614"/>
      </w:pPr>
      <w:r>
        <w:t>Adv C</w:t>
      </w:r>
      <w:r>
        <w:rPr>
          <w:spacing w:val="-1"/>
        </w:rPr>
        <w:t xml:space="preserve"> </w:t>
      </w:r>
      <w:r>
        <w:t>Sassman</w:t>
      </w:r>
      <w:r>
        <w:tab/>
        <w:t>- Presiding Tribunal Member Mr</w:t>
      </w:r>
      <w:r>
        <w:rPr>
          <w:spacing w:val="-1"/>
        </w:rPr>
        <w:t xml:space="preserve"> </w:t>
      </w:r>
      <w:r>
        <w:t>S Hockey</w:t>
      </w:r>
      <w:r>
        <w:tab/>
      </w:r>
      <w:r>
        <w:t>- Tribunal</w:t>
      </w:r>
      <w:r>
        <w:rPr>
          <w:spacing w:val="-1"/>
        </w:rPr>
        <w:t xml:space="preserve"> </w:t>
      </w:r>
      <w:r>
        <w:t>Member</w:t>
      </w:r>
    </w:p>
    <w:p w:rsidR="00850F35" w:rsidRDefault="00C70BDD">
      <w:pPr>
        <w:pStyle w:val="BodyText"/>
        <w:tabs>
          <w:tab w:val="left" w:pos="2460"/>
        </w:tabs>
        <w:ind w:left="232"/>
      </w:pPr>
      <w:r>
        <w:t>Adv</w:t>
      </w:r>
      <w:r>
        <w:rPr>
          <w:spacing w:val="-1"/>
        </w:rPr>
        <w:t xml:space="preserve"> </w:t>
      </w:r>
      <w:r>
        <w:t>S Mbhele</w:t>
      </w:r>
      <w:r>
        <w:tab/>
        <w:t>- Tribunal</w:t>
      </w:r>
      <w:r>
        <w:rPr>
          <w:spacing w:val="-4"/>
        </w:rPr>
        <w:t xml:space="preserve"> </w:t>
      </w:r>
      <w:r>
        <w:t>Member</w:t>
      </w:r>
    </w:p>
    <w:p w:rsidR="00850F35" w:rsidRDefault="00850F35">
      <w:pPr>
        <w:pStyle w:val="BodyText"/>
        <w:rPr>
          <w:sz w:val="26"/>
        </w:rPr>
      </w:pPr>
    </w:p>
    <w:p w:rsidR="00850F35" w:rsidRDefault="00850F35">
      <w:pPr>
        <w:pStyle w:val="BodyText"/>
        <w:spacing w:before="11"/>
        <w:rPr>
          <w:sz w:val="21"/>
        </w:rPr>
      </w:pPr>
    </w:p>
    <w:p w:rsidR="00850F35" w:rsidRDefault="00C70BDD">
      <w:pPr>
        <w:pStyle w:val="BodyText"/>
        <w:tabs>
          <w:tab w:val="left" w:pos="2460"/>
        </w:tabs>
        <w:spacing w:line="360" w:lineRule="auto"/>
        <w:ind w:left="232" w:right="5733"/>
      </w:pPr>
      <w:r>
        <w:t>Date</w:t>
      </w:r>
      <w:r>
        <w:rPr>
          <w:spacing w:val="-2"/>
        </w:rPr>
        <w:t xml:space="preserve"> </w:t>
      </w:r>
      <w:r>
        <w:t>of</w:t>
      </w:r>
      <w:r>
        <w:rPr>
          <w:spacing w:val="-1"/>
        </w:rPr>
        <w:t xml:space="preserve"> </w:t>
      </w:r>
      <w:r>
        <w:t>Hearing</w:t>
      </w:r>
      <w:r>
        <w:tab/>
        <w:t xml:space="preserve">- 2 February </w:t>
      </w:r>
      <w:r>
        <w:rPr>
          <w:spacing w:val="-4"/>
        </w:rPr>
        <w:t xml:space="preserve">2023 </w:t>
      </w:r>
      <w:r>
        <w:t>Date</w:t>
      </w:r>
      <w:r>
        <w:rPr>
          <w:spacing w:val="-2"/>
        </w:rPr>
        <w:t xml:space="preserve"> </w:t>
      </w:r>
      <w:r>
        <w:t>of</w:t>
      </w:r>
      <w:r>
        <w:rPr>
          <w:spacing w:val="-2"/>
        </w:rPr>
        <w:t xml:space="preserve"> </w:t>
      </w:r>
      <w:r>
        <w:t>Judgment</w:t>
      </w:r>
      <w:r>
        <w:tab/>
        <w:t>- 4 February</w:t>
      </w:r>
      <w:r>
        <w:rPr>
          <w:spacing w:val="2"/>
        </w:rPr>
        <w:t xml:space="preserve"> </w:t>
      </w:r>
      <w:r>
        <w:rPr>
          <w:spacing w:val="-4"/>
        </w:rPr>
        <w:t>2023</w:t>
      </w:r>
    </w:p>
    <w:p w:rsidR="00850F35" w:rsidRDefault="00850F35">
      <w:pPr>
        <w:pStyle w:val="BodyText"/>
        <w:rPr>
          <w:sz w:val="20"/>
        </w:rPr>
      </w:pPr>
    </w:p>
    <w:p w:rsidR="00850F35" w:rsidRDefault="00850F35">
      <w:pPr>
        <w:pStyle w:val="BodyText"/>
        <w:rPr>
          <w:sz w:val="20"/>
        </w:rPr>
      </w:pPr>
    </w:p>
    <w:p w:rsidR="00850F35" w:rsidRDefault="00C70BDD">
      <w:pPr>
        <w:pStyle w:val="BodyText"/>
        <w:spacing w:before="9"/>
        <w:rPr>
          <w:sz w:val="28"/>
        </w:rPr>
      </w:pPr>
      <w:r>
        <w:pict>
          <v:shapetype id="_x0000_t202" coordsize="21600,21600" o:spt="202" path="m,l,21600r21600,l21600,xe">
            <v:stroke joinstyle="miter"/>
            <v:path gradientshapeok="t" o:connecttype="rect"/>
          </v:shapetype>
          <v:shape id="_x0000_s1027" type="#_x0000_t202" style="position:absolute;margin-left:50.5pt;margin-top:19.25pt;width:494.3pt;height:44.8pt;z-index:-251658240;mso-wrap-distance-left:0;mso-wrap-distance-right:0;mso-position-horizontal-relative:page" filled="f" strokeweight="1.44pt">
            <v:textbox inset="0,0,0,0">
              <w:txbxContent>
                <w:p w:rsidR="00850F35" w:rsidRDefault="00850F35">
                  <w:pPr>
                    <w:pStyle w:val="BodyText"/>
                    <w:spacing w:before="8"/>
                    <w:rPr>
                      <w:sz w:val="25"/>
                    </w:rPr>
                  </w:pPr>
                </w:p>
                <w:p w:rsidR="00850F35" w:rsidRDefault="00C70BDD">
                  <w:pPr>
                    <w:ind w:left="3315" w:right="3315"/>
                    <w:jc w:val="center"/>
                    <w:rPr>
                      <w:b/>
                      <w:sz w:val="24"/>
                    </w:rPr>
                  </w:pPr>
                  <w:r>
                    <w:rPr>
                      <w:b/>
                      <w:sz w:val="24"/>
                    </w:rPr>
                    <w:t>JUDGMENT AND REASONS</w:t>
                  </w:r>
                </w:p>
              </w:txbxContent>
            </v:textbox>
            <w10:wrap type="topAndBottom" anchorx="page"/>
          </v:shape>
        </w:pict>
      </w:r>
    </w:p>
    <w:p w:rsidR="00850F35" w:rsidRDefault="00850F35">
      <w:pPr>
        <w:pStyle w:val="BodyText"/>
        <w:spacing w:before="6"/>
        <w:rPr>
          <w:sz w:val="10"/>
        </w:rPr>
      </w:pPr>
    </w:p>
    <w:p w:rsidR="00850F35" w:rsidRDefault="00C70BDD">
      <w:pPr>
        <w:pStyle w:val="Heading1"/>
        <w:spacing w:before="92"/>
      </w:pPr>
      <w:r>
        <w:t>APPLICANT</w:t>
      </w:r>
    </w:p>
    <w:p w:rsidR="00850F35" w:rsidRDefault="00850F35">
      <w:pPr>
        <w:pStyle w:val="BodyText"/>
        <w:spacing w:before="9"/>
        <w:rPr>
          <w:b/>
          <w:sz w:val="32"/>
        </w:rPr>
      </w:pPr>
    </w:p>
    <w:p w:rsidR="00850F35" w:rsidRPr="004F6EDF" w:rsidRDefault="004F6EDF" w:rsidP="004F6EDF">
      <w:pPr>
        <w:tabs>
          <w:tab w:val="left" w:pos="661"/>
        </w:tabs>
        <w:spacing w:line="360" w:lineRule="auto"/>
        <w:ind w:left="660" w:right="230" w:hanging="428"/>
        <w:jc w:val="both"/>
        <w:rPr>
          <w:sz w:val="24"/>
        </w:rPr>
      </w:pPr>
      <w:r>
        <w:rPr>
          <w:spacing w:val="-33"/>
          <w:w w:val="99"/>
          <w:sz w:val="24"/>
          <w:szCs w:val="24"/>
        </w:rPr>
        <w:t>1.</w:t>
      </w:r>
      <w:r>
        <w:rPr>
          <w:spacing w:val="-33"/>
          <w:w w:val="99"/>
          <w:sz w:val="24"/>
          <w:szCs w:val="24"/>
        </w:rPr>
        <w:tab/>
      </w:r>
      <w:r w:rsidR="00C70BDD" w:rsidRPr="004F6EDF">
        <w:rPr>
          <w:sz w:val="24"/>
        </w:rPr>
        <w:t>The Applicant in this matter is Mushe Mathevula (“the Applicant”). The Applicant is a consumer, as defined in section 1 of the Consumer Protection Act 68 of 2008 (“the CPA” or “the Act”). At the hearing, the Applicant represented</w:t>
      </w:r>
      <w:r w:rsidR="00C70BDD" w:rsidRPr="004F6EDF">
        <w:rPr>
          <w:spacing w:val="-11"/>
          <w:sz w:val="24"/>
        </w:rPr>
        <w:t xml:space="preserve"> </w:t>
      </w:r>
      <w:r w:rsidR="00C70BDD" w:rsidRPr="004F6EDF">
        <w:rPr>
          <w:sz w:val="24"/>
        </w:rPr>
        <w:t>himself.</w:t>
      </w:r>
    </w:p>
    <w:p w:rsidR="00850F35" w:rsidRDefault="00850F35">
      <w:pPr>
        <w:pStyle w:val="BodyText"/>
        <w:rPr>
          <w:sz w:val="21"/>
        </w:rPr>
      </w:pPr>
    </w:p>
    <w:p w:rsidR="00850F35" w:rsidRDefault="00C70BDD">
      <w:pPr>
        <w:pStyle w:val="Heading1"/>
      </w:pPr>
      <w:r>
        <w:t>RESPONDENT</w:t>
      </w:r>
    </w:p>
    <w:p w:rsidR="00850F35" w:rsidRDefault="00850F35">
      <w:pPr>
        <w:pStyle w:val="BodyText"/>
        <w:spacing w:before="9"/>
        <w:rPr>
          <w:b/>
          <w:sz w:val="32"/>
        </w:rPr>
      </w:pPr>
    </w:p>
    <w:p w:rsidR="00850F35" w:rsidRPr="004F6EDF" w:rsidRDefault="004F6EDF" w:rsidP="004F6EDF">
      <w:pPr>
        <w:tabs>
          <w:tab w:val="left" w:pos="661"/>
        </w:tabs>
        <w:spacing w:line="360" w:lineRule="auto"/>
        <w:ind w:left="660" w:right="227" w:hanging="428"/>
        <w:jc w:val="both"/>
        <w:rPr>
          <w:sz w:val="24"/>
        </w:rPr>
      </w:pPr>
      <w:r>
        <w:rPr>
          <w:spacing w:val="-33"/>
          <w:w w:val="99"/>
          <w:sz w:val="24"/>
          <w:szCs w:val="24"/>
        </w:rPr>
        <w:t>2.</w:t>
      </w:r>
      <w:r>
        <w:rPr>
          <w:spacing w:val="-33"/>
          <w:w w:val="99"/>
          <w:sz w:val="24"/>
          <w:szCs w:val="24"/>
        </w:rPr>
        <w:tab/>
      </w:r>
      <w:r w:rsidR="00C70BDD" w:rsidRPr="004F6EDF">
        <w:rPr>
          <w:sz w:val="24"/>
        </w:rPr>
        <w:t>The Respondent is Willow Crest Motors CC (“the Respondent”). The Respondent is a supplier, as defined in section 1 of the CPA. At the hearing, the Respondent was represented by Advocate Shaun McTurk, instructed by Beorn Uys, of Uys Matyeka Schwartz</w:t>
      </w:r>
      <w:r w:rsidR="00C70BDD" w:rsidRPr="004F6EDF">
        <w:rPr>
          <w:spacing w:val="-1"/>
          <w:sz w:val="24"/>
        </w:rPr>
        <w:t xml:space="preserve"> </w:t>
      </w:r>
      <w:r w:rsidR="00C70BDD" w:rsidRPr="004F6EDF">
        <w:rPr>
          <w:sz w:val="24"/>
        </w:rPr>
        <w:t>Attorne</w:t>
      </w:r>
      <w:r w:rsidR="00C70BDD" w:rsidRPr="004F6EDF">
        <w:rPr>
          <w:sz w:val="24"/>
        </w:rPr>
        <w:t>ys.</w:t>
      </w:r>
    </w:p>
    <w:p w:rsidR="00850F35" w:rsidRDefault="00850F35">
      <w:pPr>
        <w:spacing w:line="360" w:lineRule="auto"/>
        <w:jc w:val="both"/>
        <w:rPr>
          <w:sz w:val="24"/>
        </w:rPr>
        <w:sectPr w:rsidR="00850F35">
          <w:type w:val="continuous"/>
          <w:pgSz w:w="11910" w:h="16840"/>
          <w:pgMar w:top="760" w:right="900" w:bottom="280" w:left="900" w:header="720" w:footer="720" w:gutter="0"/>
          <w:cols w:space="720"/>
        </w:sectPr>
      </w:pPr>
    </w:p>
    <w:p w:rsidR="00850F35" w:rsidRDefault="00C70BDD">
      <w:pPr>
        <w:pStyle w:val="Heading1"/>
        <w:spacing w:before="79"/>
      </w:pPr>
      <w:r>
        <w:lastRenderedPageBreak/>
        <w:t>TERMINOLOGY</w:t>
      </w:r>
    </w:p>
    <w:p w:rsidR="00850F35" w:rsidRDefault="00850F35">
      <w:pPr>
        <w:pStyle w:val="BodyText"/>
        <w:spacing w:before="8"/>
        <w:rPr>
          <w:b/>
          <w:sz w:val="32"/>
        </w:rPr>
      </w:pPr>
    </w:p>
    <w:p w:rsidR="00850F35" w:rsidRPr="004F6EDF" w:rsidRDefault="004F6EDF" w:rsidP="004F6EDF">
      <w:pPr>
        <w:tabs>
          <w:tab w:val="left" w:pos="660"/>
          <w:tab w:val="left" w:pos="661"/>
        </w:tabs>
        <w:ind w:left="660" w:hanging="429"/>
        <w:rPr>
          <w:sz w:val="24"/>
        </w:rPr>
      </w:pPr>
      <w:r>
        <w:rPr>
          <w:spacing w:val="-33"/>
          <w:w w:val="99"/>
          <w:sz w:val="24"/>
          <w:szCs w:val="24"/>
        </w:rPr>
        <w:t>3.</w:t>
      </w:r>
      <w:r>
        <w:rPr>
          <w:spacing w:val="-33"/>
          <w:w w:val="99"/>
          <w:sz w:val="24"/>
          <w:szCs w:val="24"/>
        </w:rPr>
        <w:tab/>
      </w:r>
      <w:r w:rsidR="00C70BDD" w:rsidRPr="004F6EDF">
        <w:rPr>
          <w:sz w:val="24"/>
        </w:rPr>
        <w:t>A reference to a section in this judgment refers to a section of the</w:t>
      </w:r>
      <w:r w:rsidR="00C70BDD" w:rsidRPr="004F6EDF">
        <w:rPr>
          <w:spacing w:val="-4"/>
          <w:sz w:val="24"/>
        </w:rPr>
        <w:t xml:space="preserve"> </w:t>
      </w:r>
      <w:r w:rsidR="00C70BDD" w:rsidRPr="004F6EDF">
        <w:rPr>
          <w:sz w:val="24"/>
        </w:rPr>
        <w:t>CPA.</w:t>
      </w:r>
    </w:p>
    <w:p w:rsidR="00850F35" w:rsidRDefault="00850F35">
      <w:pPr>
        <w:pStyle w:val="BodyText"/>
        <w:rPr>
          <w:sz w:val="33"/>
        </w:rPr>
      </w:pPr>
    </w:p>
    <w:p w:rsidR="00850F35" w:rsidRDefault="00C70BDD">
      <w:pPr>
        <w:pStyle w:val="Heading1"/>
        <w:spacing w:before="1"/>
      </w:pPr>
      <w:r>
        <w:t>APPLICATION TYPE</w:t>
      </w:r>
    </w:p>
    <w:p w:rsidR="00850F35" w:rsidRDefault="00850F35">
      <w:pPr>
        <w:pStyle w:val="BodyText"/>
        <w:spacing w:before="8"/>
        <w:rPr>
          <w:b/>
          <w:sz w:val="32"/>
        </w:rPr>
      </w:pPr>
    </w:p>
    <w:p w:rsidR="00850F35" w:rsidRPr="004F6EDF" w:rsidRDefault="004F6EDF" w:rsidP="004F6EDF">
      <w:pPr>
        <w:tabs>
          <w:tab w:val="left" w:pos="661"/>
        </w:tabs>
        <w:spacing w:line="360" w:lineRule="auto"/>
        <w:ind w:left="660" w:right="230" w:hanging="428"/>
        <w:jc w:val="both"/>
        <w:rPr>
          <w:sz w:val="24"/>
        </w:rPr>
      </w:pPr>
      <w:r>
        <w:rPr>
          <w:spacing w:val="-33"/>
          <w:w w:val="99"/>
          <w:sz w:val="24"/>
          <w:szCs w:val="24"/>
        </w:rPr>
        <w:t>4.</w:t>
      </w:r>
      <w:r>
        <w:rPr>
          <w:spacing w:val="-33"/>
          <w:w w:val="99"/>
          <w:sz w:val="24"/>
          <w:szCs w:val="24"/>
        </w:rPr>
        <w:tab/>
      </w:r>
      <w:r w:rsidR="00C70BDD" w:rsidRPr="004F6EDF">
        <w:rPr>
          <w:sz w:val="24"/>
        </w:rPr>
        <w:t>This is an application in terms of section 75(1)(b). In this application, the Applicant, with leave granted by the Tribunal, seeks</w:t>
      </w:r>
      <w:r w:rsidR="00C70BDD" w:rsidRPr="004F6EDF">
        <w:rPr>
          <w:sz w:val="24"/>
        </w:rPr>
        <w:t xml:space="preserve"> redress against the</w:t>
      </w:r>
      <w:r w:rsidR="00C70BDD" w:rsidRPr="004F6EDF">
        <w:rPr>
          <w:spacing w:val="-8"/>
          <w:sz w:val="24"/>
        </w:rPr>
        <w:t xml:space="preserve"> </w:t>
      </w:r>
      <w:r w:rsidR="00C70BDD" w:rsidRPr="004F6EDF">
        <w:rPr>
          <w:sz w:val="24"/>
        </w:rPr>
        <w:t>Respondent.</w:t>
      </w:r>
    </w:p>
    <w:p w:rsidR="00850F35" w:rsidRDefault="00850F35">
      <w:pPr>
        <w:pStyle w:val="BodyText"/>
        <w:rPr>
          <w:sz w:val="26"/>
        </w:rPr>
      </w:pPr>
    </w:p>
    <w:p w:rsidR="00850F35" w:rsidRDefault="00850F35">
      <w:pPr>
        <w:pStyle w:val="BodyText"/>
        <w:rPr>
          <w:sz w:val="31"/>
        </w:rPr>
      </w:pPr>
    </w:p>
    <w:p w:rsidR="00850F35" w:rsidRPr="004F6EDF" w:rsidRDefault="004F6EDF" w:rsidP="004F6EDF">
      <w:pPr>
        <w:tabs>
          <w:tab w:val="left" w:pos="661"/>
        </w:tabs>
        <w:spacing w:line="360" w:lineRule="auto"/>
        <w:ind w:left="660" w:right="230" w:hanging="428"/>
        <w:jc w:val="both"/>
        <w:rPr>
          <w:sz w:val="24"/>
        </w:rPr>
      </w:pPr>
      <w:r>
        <w:rPr>
          <w:spacing w:val="-33"/>
          <w:w w:val="99"/>
          <w:sz w:val="24"/>
          <w:szCs w:val="24"/>
        </w:rPr>
        <w:t>5.</w:t>
      </w:r>
      <w:r>
        <w:rPr>
          <w:spacing w:val="-33"/>
          <w:w w:val="99"/>
          <w:sz w:val="24"/>
          <w:szCs w:val="24"/>
        </w:rPr>
        <w:tab/>
      </w:r>
      <w:r w:rsidR="00C70BDD" w:rsidRPr="004F6EDF">
        <w:rPr>
          <w:sz w:val="24"/>
        </w:rPr>
        <w:t>The Applicant alleges a breach of the Act because the Respondent allegedly failed to comply with the Applicant’s request to repair his vehicle in accordance with section 56(2)(a) of the</w:t>
      </w:r>
      <w:r w:rsidR="00C70BDD" w:rsidRPr="004F6EDF">
        <w:rPr>
          <w:spacing w:val="-6"/>
          <w:sz w:val="24"/>
        </w:rPr>
        <w:t xml:space="preserve"> </w:t>
      </w:r>
      <w:r w:rsidR="00C70BDD" w:rsidRPr="004F6EDF">
        <w:rPr>
          <w:sz w:val="24"/>
        </w:rPr>
        <w:t>Act.</w:t>
      </w:r>
    </w:p>
    <w:p w:rsidR="00850F35" w:rsidRDefault="00850F35">
      <w:pPr>
        <w:pStyle w:val="BodyText"/>
        <w:spacing w:before="10"/>
        <w:rPr>
          <w:sz w:val="20"/>
        </w:rPr>
      </w:pPr>
    </w:p>
    <w:p w:rsidR="00850F35" w:rsidRDefault="00C70BDD">
      <w:pPr>
        <w:pStyle w:val="Heading1"/>
      </w:pPr>
      <w:r>
        <w:t>BACKGROUND</w:t>
      </w:r>
    </w:p>
    <w:p w:rsidR="00850F35" w:rsidRDefault="00850F35">
      <w:pPr>
        <w:pStyle w:val="BodyText"/>
        <w:spacing w:before="11"/>
        <w:rPr>
          <w:b/>
          <w:sz w:val="32"/>
        </w:rPr>
      </w:pPr>
    </w:p>
    <w:p w:rsidR="00850F35" w:rsidRPr="004F6EDF" w:rsidRDefault="004F6EDF" w:rsidP="004F6EDF">
      <w:pPr>
        <w:tabs>
          <w:tab w:val="left" w:pos="661"/>
        </w:tabs>
        <w:spacing w:line="360" w:lineRule="auto"/>
        <w:ind w:left="660" w:right="229" w:hanging="428"/>
        <w:jc w:val="both"/>
        <w:rPr>
          <w:sz w:val="24"/>
        </w:rPr>
      </w:pPr>
      <w:r>
        <w:rPr>
          <w:spacing w:val="-33"/>
          <w:w w:val="99"/>
          <w:sz w:val="24"/>
          <w:szCs w:val="24"/>
        </w:rPr>
        <w:t>6.</w:t>
      </w:r>
      <w:r>
        <w:rPr>
          <w:spacing w:val="-33"/>
          <w:w w:val="99"/>
          <w:sz w:val="24"/>
          <w:szCs w:val="24"/>
        </w:rPr>
        <w:tab/>
      </w:r>
      <w:r w:rsidR="00C70BDD" w:rsidRPr="004F6EDF">
        <w:rPr>
          <w:sz w:val="24"/>
        </w:rPr>
        <w:t>The Applicant purchased a used BMW 328, F30, 2012 model from the Respondent and took delivery of the vehicle on 28 August 2017. The mileage was 122 000km at the time of purchase, and the purchase price was R232</w:t>
      </w:r>
      <w:r w:rsidR="00C70BDD" w:rsidRPr="004F6EDF">
        <w:rPr>
          <w:spacing w:val="-11"/>
          <w:sz w:val="24"/>
        </w:rPr>
        <w:t xml:space="preserve"> </w:t>
      </w:r>
      <w:r w:rsidR="00C70BDD" w:rsidRPr="004F6EDF">
        <w:rPr>
          <w:sz w:val="24"/>
        </w:rPr>
        <w:t>990.00.</w:t>
      </w:r>
    </w:p>
    <w:p w:rsidR="00850F35" w:rsidRDefault="00850F35">
      <w:pPr>
        <w:pStyle w:val="BodyText"/>
        <w:spacing w:before="9"/>
        <w:rPr>
          <w:sz w:val="35"/>
        </w:rPr>
      </w:pPr>
    </w:p>
    <w:p w:rsidR="00850F35" w:rsidRPr="004F6EDF" w:rsidRDefault="004F6EDF" w:rsidP="004F6EDF">
      <w:pPr>
        <w:tabs>
          <w:tab w:val="left" w:pos="661"/>
        </w:tabs>
        <w:spacing w:line="360" w:lineRule="auto"/>
        <w:ind w:left="660" w:right="227" w:hanging="428"/>
        <w:jc w:val="both"/>
        <w:rPr>
          <w:sz w:val="24"/>
        </w:rPr>
      </w:pPr>
      <w:r>
        <w:rPr>
          <w:spacing w:val="-33"/>
          <w:w w:val="99"/>
          <w:sz w:val="24"/>
          <w:szCs w:val="24"/>
        </w:rPr>
        <w:t>7.</w:t>
      </w:r>
      <w:r>
        <w:rPr>
          <w:spacing w:val="-33"/>
          <w:w w:val="99"/>
          <w:sz w:val="24"/>
          <w:szCs w:val="24"/>
        </w:rPr>
        <w:tab/>
      </w:r>
      <w:r w:rsidR="00C70BDD" w:rsidRPr="004F6EDF">
        <w:rPr>
          <w:sz w:val="24"/>
        </w:rPr>
        <w:t>On 28 December 2017, the vehicle broke down outside the Kruger National Park. The Applicant arranged for the vehicle to be towed to safety. The following day, the Applicant reported the incident to the Respondent’s employee, who indicated that he would esc</w:t>
      </w:r>
      <w:r w:rsidR="00C70BDD" w:rsidRPr="004F6EDF">
        <w:rPr>
          <w:sz w:val="24"/>
        </w:rPr>
        <w:t>alate the matter to the sales manager in early January 2018. The Applicant visited the Respondent in early January to resolve the issue and was requested to send the vehicle for a diagnostic</w:t>
      </w:r>
      <w:r w:rsidR="00C70BDD" w:rsidRPr="004F6EDF">
        <w:rPr>
          <w:spacing w:val="-8"/>
          <w:sz w:val="24"/>
        </w:rPr>
        <w:t xml:space="preserve"> </w:t>
      </w:r>
      <w:r w:rsidR="00C70BDD" w:rsidRPr="004F6EDF">
        <w:rPr>
          <w:sz w:val="24"/>
        </w:rPr>
        <w:t>test.</w:t>
      </w:r>
    </w:p>
    <w:p w:rsidR="00850F35" w:rsidRDefault="00850F35">
      <w:pPr>
        <w:pStyle w:val="BodyText"/>
        <w:rPr>
          <w:sz w:val="26"/>
        </w:rPr>
      </w:pPr>
    </w:p>
    <w:p w:rsidR="00850F35" w:rsidRPr="004F6EDF" w:rsidRDefault="004F6EDF" w:rsidP="004F6EDF">
      <w:pPr>
        <w:tabs>
          <w:tab w:val="left" w:pos="661"/>
        </w:tabs>
        <w:spacing w:before="220" w:line="360" w:lineRule="auto"/>
        <w:ind w:left="660" w:right="226" w:hanging="428"/>
        <w:jc w:val="both"/>
        <w:rPr>
          <w:sz w:val="24"/>
        </w:rPr>
      </w:pPr>
      <w:r>
        <w:rPr>
          <w:spacing w:val="-33"/>
          <w:w w:val="99"/>
          <w:sz w:val="24"/>
          <w:szCs w:val="24"/>
        </w:rPr>
        <w:t>8.</w:t>
      </w:r>
      <w:r>
        <w:rPr>
          <w:spacing w:val="-33"/>
          <w:w w:val="99"/>
          <w:sz w:val="24"/>
          <w:szCs w:val="24"/>
        </w:rPr>
        <w:tab/>
      </w:r>
      <w:r w:rsidR="00C70BDD" w:rsidRPr="004F6EDF">
        <w:rPr>
          <w:sz w:val="24"/>
        </w:rPr>
        <w:t xml:space="preserve">On 9 January 2018, the Applicant had the vehicle towed to </w:t>
      </w:r>
      <w:r w:rsidR="00C70BDD" w:rsidRPr="004F6EDF">
        <w:rPr>
          <w:sz w:val="24"/>
        </w:rPr>
        <w:t xml:space="preserve">BMW Modern Autohaus in Polokwane (“BMW”). On 16 January 2018, BMW assessed the vehicle and concluded that the engine had no compression when trying to start it. Upon further diagnosis, it was established that faults were stored in the vehicle’s electronic </w:t>
      </w:r>
      <w:r w:rsidR="00C70BDD" w:rsidRPr="004F6EDF">
        <w:rPr>
          <w:sz w:val="24"/>
        </w:rPr>
        <w:t>system for oil pump failure and camshaft offset, which negatively affected the engine timing. They measured the camshaft end float and found it to be very high, causing damage to the engine. BMW concluded that the engine needed to be replaced and quoted an</w:t>
      </w:r>
      <w:r w:rsidR="00C70BDD" w:rsidRPr="004F6EDF">
        <w:rPr>
          <w:sz w:val="24"/>
        </w:rPr>
        <w:t xml:space="preserve"> amount of R226 022,02 for the</w:t>
      </w:r>
      <w:r w:rsidR="00C70BDD" w:rsidRPr="004F6EDF">
        <w:rPr>
          <w:spacing w:val="-2"/>
          <w:sz w:val="24"/>
        </w:rPr>
        <w:t xml:space="preserve"> </w:t>
      </w:r>
      <w:r w:rsidR="00C70BDD" w:rsidRPr="004F6EDF">
        <w:rPr>
          <w:sz w:val="24"/>
        </w:rPr>
        <w:t>replacement.</w:t>
      </w:r>
    </w:p>
    <w:p w:rsidR="00850F35" w:rsidRDefault="00850F35">
      <w:pPr>
        <w:pStyle w:val="BodyText"/>
        <w:rPr>
          <w:sz w:val="26"/>
        </w:rPr>
      </w:pPr>
    </w:p>
    <w:p w:rsidR="00850F35" w:rsidRPr="004F6EDF" w:rsidRDefault="004F6EDF" w:rsidP="004F6EDF">
      <w:pPr>
        <w:tabs>
          <w:tab w:val="left" w:pos="661"/>
        </w:tabs>
        <w:spacing w:before="218" w:line="360" w:lineRule="auto"/>
        <w:ind w:left="660" w:right="227" w:hanging="428"/>
        <w:jc w:val="both"/>
        <w:rPr>
          <w:sz w:val="24"/>
        </w:rPr>
      </w:pPr>
      <w:r>
        <w:rPr>
          <w:spacing w:val="-33"/>
          <w:w w:val="99"/>
          <w:sz w:val="24"/>
          <w:szCs w:val="24"/>
        </w:rPr>
        <w:t>9.</w:t>
      </w:r>
      <w:r>
        <w:rPr>
          <w:spacing w:val="-33"/>
          <w:w w:val="99"/>
          <w:sz w:val="24"/>
          <w:szCs w:val="24"/>
        </w:rPr>
        <w:tab/>
      </w:r>
      <w:r w:rsidR="00C70BDD" w:rsidRPr="004F6EDF">
        <w:rPr>
          <w:sz w:val="24"/>
        </w:rPr>
        <w:t>The Respondent then arranged for the vehicle to be towed to Clutch and Brake Technologies (“CBT”) for an independent component failure analysis to be done on the vehicle.</w:t>
      </w:r>
      <w:r w:rsidR="00C70BDD" w:rsidRPr="004F6EDF">
        <w:rPr>
          <w:spacing w:val="11"/>
          <w:sz w:val="24"/>
        </w:rPr>
        <w:t xml:space="preserve"> </w:t>
      </w:r>
      <w:r w:rsidR="00C70BDD" w:rsidRPr="004F6EDF">
        <w:rPr>
          <w:sz w:val="24"/>
        </w:rPr>
        <w:t>On</w:t>
      </w:r>
      <w:r w:rsidR="00C70BDD" w:rsidRPr="004F6EDF">
        <w:rPr>
          <w:spacing w:val="11"/>
          <w:sz w:val="24"/>
        </w:rPr>
        <w:t xml:space="preserve"> </w:t>
      </w:r>
      <w:r w:rsidR="00C70BDD" w:rsidRPr="004F6EDF">
        <w:rPr>
          <w:sz w:val="24"/>
        </w:rPr>
        <w:t>31</w:t>
      </w:r>
      <w:r w:rsidR="00C70BDD" w:rsidRPr="004F6EDF">
        <w:rPr>
          <w:spacing w:val="11"/>
          <w:sz w:val="24"/>
        </w:rPr>
        <w:t xml:space="preserve"> </w:t>
      </w:r>
      <w:r w:rsidR="00C70BDD" w:rsidRPr="004F6EDF">
        <w:rPr>
          <w:sz w:val="24"/>
        </w:rPr>
        <w:t>January</w:t>
      </w:r>
      <w:r w:rsidR="00C70BDD" w:rsidRPr="004F6EDF">
        <w:rPr>
          <w:spacing w:val="10"/>
          <w:sz w:val="24"/>
        </w:rPr>
        <w:t xml:space="preserve"> </w:t>
      </w:r>
      <w:r w:rsidR="00C70BDD" w:rsidRPr="004F6EDF">
        <w:rPr>
          <w:sz w:val="24"/>
        </w:rPr>
        <w:t>2018,</w:t>
      </w:r>
      <w:r w:rsidR="00C70BDD" w:rsidRPr="004F6EDF">
        <w:rPr>
          <w:spacing w:val="13"/>
          <w:sz w:val="24"/>
        </w:rPr>
        <w:t xml:space="preserve"> </w:t>
      </w:r>
      <w:r w:rsidR="00C70BDD" w:rsidRPr="004F6EDF">
        <w:rPr>
          <w:sz w:val="24"/>
        </w:rPr>
        <w:t>CBT</w:t>
      </w:r>
      <w:r w:rsidR="00C70BDD" w:rsidRPr="004F6EDF">
        <w:rPr>
          <w:spacing w:val="9"/>
          <w:sz w:val="24"/>
        </w:rPr>
        <w:t xml:space="preserve"> </w:t>
      </w:r>
      <w:r w:rsidR="00C70BDD" w:rsidRPr="004F6EDF">
        <w:rPr>
          <w:sz w:val="24"/>
        </w:rPr>
        <w:t>issued</w:t>
      </w:r>
      <w:r w:rsidR="00C70BDD" w:rsidRPr="004F6EDF">
        <w:rPr>
          <w:spacing w:val="8"/>
          <w:sz w:val="24"/>
        </w:rPr>
        <w:t xml:space="preserve"> </w:t>
      </w:r>
      <w:r w:rsidR="00C70BDD" w:rsidRPr="004F6EDF">
        <w:rPr>
          <w:sz w:val="24"/>
        </w:rPr>
        <w:t>a</w:t>
      </w:r>
      <w:r w:rsidR="00C70BDD" w:rsidRPr="004F6EDF">
        <w:rPr>
          <w:spacing w:val="8"/>
          <w:sz w:val="24"/>
        </w:rPr>
        <w:t xml:space="preserve"> </w:t>
      </w:r>
      <w:r w:rsidR="00C70BDD" w:rsidRPr="004F6EDF">
        <w:rPr>
          <w:sz w:val="24"/>
        </w:rPr>
        <w:t>report</w:t>
      </w:r>
      <w:r w:rsidR="00C70BDD" w:rsidRPr="004F6EDF">
        <w:rPr>
          <w:spacing w:val="13"/>
          <w:sz w:val="24"/>
        </w:rPr>
        <w:t xml:space="preserve"> </w:t>
      </w:r>
      <w:r w:rsidR="00C70BDD" w:rsidRPr="004F6EDF">
        <w:rPr>
          <w:sz w:val="24"/>
        </w:rPr>
        <w:t>confirming</w:t>
      </w:r>
      <w:r w:rsidR="00C70BDD" w:rsidRPr="004F6EDF">
        <w:rPr>
          <w:spacing w:val="11"/>
          <w:sz w:val="24"/>
        </w:rPr>
        <w:t xml:space="preserve"> </w:t>
      </w:r>
      <w:r w:rsidR="00C70BDD" w:rsidRPr="004F6EDF">
        <w:rPr>
          <w:sz w:val="24"/>
        </w:rPr>
        <w:t>that</w:t>
      </w:r>
      <w:r w:rsidR="00C70BDD" w:rsidRPr="004F6EDF">
        <w:rPr>
          <w:spacing w:val="8"/>
          <w:sz w:val="24"/>
        </w:rPr>
        <w:t xml:space="preserve"> </w:t>
      </w:r>
      <w:r w:rsidR="00C70BDD" w:rsidRPr="004F6EDF">
        <w:rPr>
          <w:sz w:val="24"/>
        </w:rPr>
        <w:t>the</w:t>
      </w:r>
      <w:r w:rsidR="00C70BDD" w:rsidRPr="004F6EDF">
        <w:rPr>
          <w:spacing w:val="12"/>
          <w:sz w:val="24"/>
        </w:rPr>
        <w:t xml:space="preserve"> </w:t>
      </w:r>
      <w:r w:rsidR="00C70BDD" w:rsidRPr="004F6EDF">
        <w:rPr>
          <w:sz w:val="24"/>
        </w:rPr>
        <w:t>vehicle’s</w:t>
      </w:r>
      <w:r w:rsidR="00C70BDD" w:rsidRPr="004F6EDF">
        <w:rPr>
          <w:spacing w:val="10"/>
          <w:sz w:val="24"/>
        </w:rPr>
        <w:t xml:space="preserve"> </w:t>
      </w:r>
      <w:r w:rsidR="00C70BDD" w:rsidRPr="004F6EDF">
        <w:rPr>
          <w:sz w:val="24"/>
        </w:rPr>
        <w:t>timing</w:t>
      </w:r>
    </w:p>
    <w:p w:rsidR="00850F35" w:rsidRDefault="00850F35">
      <w:pPr>
        <w:spacing w:line="360" w:lineRule="auto"/>
        <w:jc w:val="both"/>
        <w:rPr>
          <w:sz w:val="24"/>
        </w:rPr>
        <w:sectPr w:rsidR="00850F35">
          <w:footerReference w:type="default" r:id="rId7"/>
          <w:pgSz w:w="11910" w:h="16840"/>
          <w:pgMar w:top="760" w:right="900" w:bottom="600" w:left="900" w:header="0" w:footer="415" w:gutter="0"/>
          <w:pgNumType w:start="2"/>
          <w:cols w:space="720"/>
        </w:sectPr>
      </w:pPr>
    </w:p>
    <w:p w:rsidR="00850F35" w:rsidRDefault="00C70BDD">
      <w:pPr>
        <w:pStyle w:val="BodyText"/>
        <w:spacing w:before="79" w:line="360" w:lineRule="auto"/>
        <w:ind w:left="660" w:right="233"/>
        <w:jc w:val="both"/>
      </w:pPr>
      <w:r>
        <w:lastRenderedPageBreak/>
        <w:t>chain had broken and stated that it was reasonable to conclude that this was due to normal wear and tear. As a result, The Respondent maintained that it was not liable for any repairs to the vehicle.</w:t>
      </w:r>
    </w:p>
    <w:p w:rsidR="00850F35" w:rsidRDefault="00850F35">
      <w:pPr>
        <w:pStyle w:val="BodyText"/>
        <w:rPr>
          <w:sz w:val="26"/>
        </w:rPr>
      </w:pPr>
    </w:p>
    <w:p w:rsidR="00850F35" w:rsidRPr="004F6EDF" w:rsidRDefault="004F6EDF" w:rsidP="004F6EDF">
      <w:pPr>
        <w:tabs>
          <w:tab w:val="left" w:pos="661"/>
        </w:tabs>
        <w:spacing w:before="218" w:line="360" w:lineRule="auto"/>
        <w:ind w:left="660" w:right="226" w:hanging="428"/>
        <w:jc w:val="both"/>
        <w:rPr>
          <w:sz w:val="24"/>
        </w:rPr>
      </w:pPr>
      <w:r>
        <w:rPr>
          <w:spacing w:val="-33"/>
          <w:w w:val="99"/>
          <w:sz w:val="24"/>
          <w:szCs w:val="24"/>
        </w:rPr>
        <w:t>10.</w:t>
      </w:r>
      <w:r>
        <w:rPr>
          <w:spacing w:val="-33"/>
          <w:w w:val="99"/>
          <w:sz w:val="24"/>
          <w:szCs w:val="24"/>
        </w:rPr>
        <w:tab/>
      </w:r>
      <w:r w:rsidR="00C70BDD" w:rsidRPr="004F6EDF">
        <w:rPr>
          <w:sz w:val="24"/>
        </w:rPr>
        <w:t>During this time, and before CBT provided its report, t</w:t>
      </w:r>
      <w:r w:rsidR="00C70BDD" w:rsidRPr="004F6EDF">
        <w:rPr>
          <w:sz w:val="24"/>
        </w:rPr>
        <w:t>he Applicant filed a complaint with the Motor Industry Ombudsman of South Africa (“MIOSA”), on 17 January 2018. In an email from the Respondent to MIOSA dated 2 February 2018, the Respondent indicated that it was not liable for the repair of the vehicle as</w:t>
      </w:r>
      <w:r w:rsidR="00C70BDD" w:rsidRPr="004F6EDF">
        <w:rPr>
          <w:sz w:val="24"/>
        </w:rPr>
        <w:t xml:space="preserve"> the damage resulted from wear and tear. On 16 April 2018, MIOSA concluded its investigation and recommended that the Respondent repair the vehicle. The Respondent failed to do</w:t>
      </w:r>
      <w:r w:rsidR="00C70BDD" w:rsidRPr="004F6EDF">
        <w:rPr>
          <w:spacing w:val="-29"/>
          <w:sz w:val="24"/>
        </w:rPr>
        <w:t xml:space="preserve"> </w:t>
      </w:r>
      <w:r w:rsidR="00C70BDD" w:rsidRPr="004F6EDF">
        <w:rPr>
          <w:sz w:val="24"/>
        </w:rPr>
        <w:t>so.</w:t>
      </w:r>
    </w:p>
    <w:p w:rsidR="00850F35" w:rsidRDefault="00850F35">
      <w:pPr>
        <w:pStyle w:val="BodyText"/>
        <w:rPr>
          <w:sz w:val="26"/>
        </w:rPr>
      </w:pPr>
    </w:p>
    <w:p w:rsidR="00850F35" w:rsidRPr="004F6EDF" w:rsidRDefault="004F6EDF" w:rsidP="004F6EDF">
      <w:pPr>
        <w:tabs>
          <w:tab w:val="left" w:pos="661"/>
        </w:tabs>
        <w:spacing w:before="218" w:line="360" w:lineRule="auto"/>
        <w:ind w:left="660" w:right="228" w:hanging="428"/>
        <w:jc w:val="both"/>
        <w:rPr>
          <w:sz w:val="24"/>
        </w:rPr>
      </w:pPr>
      <w:r>
        <w:rPr>
          <w:spacing w:val="-33"/>
          <w:w w:val="99"/>
          <w:sz w:val="24"/>
          <w:szCs w:val="24"/>
        </w:rPr>
        <w:t>11.</w:t>
      </w:r>
      <w:r>
        <w:rPr>
          <w:spacing w:val="-33"/>
          <w:w w:val="99"/>
          <w:sz w:val="24"/>
          <w:szCs w:val="24"/>
        </w:rPr>
        <w:tab/>
      </w:r>
      <w:r w:rsidR="00C70BDD" w:rsidRPr="004F6EDF">
        <w:rPr>
          <w:sz w:val="24"/>
        </w:rPr>
        <w:t>On 21 June 2018, the Applicant filed a complaint against the Respondent wi</w:t>
      </w:r>
      <w:r w:rsidR="00C70BDD" w:rsidRPr="004F6EDF">
        <w:rPr>
          <w:sz w:val="24"/>
        </w:rPr>
        <w:t>th the National Consumer Commission (“the NCC”). On 20 January 2020, the NCC issued a notice of non-referral, indicating that the alleged facts, if true, do not constitute grounds for a remedy under the CPA. With the leave of the Tribunal, the matter was s</w:t>
      </w:r>
      <w:r w:rsidR="00C70BDD" w:rsidRPr="004F6EDF">
        <w:rPr>
          <w:sz w:val="24"/>
        </w:rPr>
        <w:t>et down and adjudicated in May 2021. The judgment was subsequently rescinded in October 2022, and the matter is before the Tribunal</w:t>
      </w:r>
      <w:r w:rsidR="00C70BDD" w:rsidRPr="004F6EDF">
        <w:rPr>
          <w:spacing w:val="-5"/>
          <w:sz w:val="24"/>
        </w:rPr>
        <w:t xml:space="preserve"> </w:t>
      </w:r>
      <w:r w:rsidR="00C70BDD" w:rsidRPr="004F6EDF">
        <w:rPr>
          <w:sz w:val="24"/>
        </w:rPr>
        <w:t>afresh.</w:t>
      </w:r>
    </w:p>
    <w:p w:rsidR="00850F35" w:rsidRDefault="00850F35">
      <w:pPr>
        <w:pStyle w:val="BodyText"/>
        <w:spacing w:before="10"/>
        <w:rPr>
          <w:sz w:val="20"/>
        </w:rPr>
      </w:pPr>
    </w:p>
    <w:p w:rsidR="00850F35" w:rsidRDefault="00C70BDD">
      <w:pPr>
        <w:pStyle w:val="Heading1"/>
      </w:pPr>
      <w:r>
        <w:t>THE APPLICANT’S SUBMISSIONS</w:t>
      </w:r>
    </w:p>
    <w:p w:rsidR="00850F35" w:rsidRDefault="00850F35">
      <w:pPr>
        <w:pStyle w:val="BodyText"/>
        <w:rPr>
          <w:b/>
          <w:sz w:val="33"/>
        </w:rPr>
      </w:pPr>
    </w:p>
    <w:p w:rsidR="00850F35" w:rsidRPr="004F6EDF" w:rsidRDefault="004F6EDF" w:rsidP="004F6EDF">
      <w:pPr>
        <w:tabs>
          <w:tab w:val="left" w:pos="661"/>
        </w:tabs>
        <w:spacing w:line="360" w:lineRule="auto"/>
        <w:ind w:left="660" w:right="228" w:hanging="428"/>
        <w:jc w:val="both"/>
        <w:rPr>
          <w:sz w:val="24"/>
        </w:rPr>
      </w:pPr>
      <w:r>
        <w:rPr>
          <w:spacing w:val="-33"/>
          <w:w w:val="99"/>
          <w:sz w:val="24"/>
          <w:szCs w:val="24"/>
        </w:rPr>
        <w:t>12.</w:t>
      </w:r>
      <w:r>
        <w:rPr>
          <w:spacing w:val="-33"/>
          <w:w w:val="99"/>
          <w:sz w:val="24"/>
          <w:szCs w:val="24"/>
        </w:rPr>
        <w:tab/>
      </w:r>
      <w:r w:rsidR="00C70BDD" w:rsidRPr="004F6EDF">
        <w:rPr>
          <w:sz w:val="24"/>
        </w:rPr>
        <w:t>At the hearing and in his papers, the Applicant submitted that he heard a knocking noi</w:t>
      </w:r>
      <w:r w:rsidR="00C70BDD" w:rsidRPr="004F6EDF">
        <w:rPr>
          <w:sz w:val="24"/>
        </w:rPr>
        <w:t>se coming from the engine before he took delivery of the vehicle. He asked the salesperson about it but was told that the vehicle had a powerful engine and therefore sounded noisy. He submitted that the noise disappeared after a while, but he suspects that</w:t>
      </w:r>
      <w:r w:rsidR="00C70BDD" w:rsidRPr="004F6EDF">
        <w:rPr>
          <w:sz w:val="24"/>
        </w:rPr>
        <w:t xml:space="preserve"> the vehicle had existing engine trouble which the Respondent was aware of and failed to disclose at the time of purchase. When approaching the Respondent for repairs, he was given several reasons why they were not liable to repair any damage to the vehicl</w:t>
      </w:r>
      <w:r w:rsidR="00C70BDD" w:rsidRPr="004F6EDF">
        <w:rPr>
          <w:sz w:val="24"/>
        </w:rPr>
        <w:t>e. These included the</w:t>
      </w:r>
      <w:r w:rsidR="00C70BDD" w:rsidRPr="004F6EDF">
        <w:rPr>
          <w:spacing w:val="-1"/>
          <w:sz w:val="24"/>
        </w:rPr>
        <w:t xml:space="preserve"> </w:t>
      </w:r>
      <w:r w:rsidR="00C70BDD" w:rsidRPr="004F6EDF">
        <w:rPr>
          <w:sz w:val="24"/>
        </w:rPr>
        <w:t>following:</w:t>
      </w:r>
    </w:p>
    <w:p w:rsidR="00850F35" w:rsidRDefault="00850F35">
      <w:pPr>
        <w:pStyle w:val="BodyText"/>
        <w:spacing w:before="11"/>
        <w:rPr>
          <w:sz w:val="35"/>
        </w:rPr>
      </w:pPr>
    </w:p>
    <w:p w:rsidR="00850F35" w:rsidRPr="004F6EDF" w:rsidRDefault="004F6EDF" w:rsidP="004F6EDF">
      <w:pPr>
        <w:tabs>
          <w:tab w:val="left" w:pos="1196"/>
        </w:tabs>
        <w:ind w:left="1195" w:hanging="536"/>
        <w:rPr>
          <w:sz w:val="24"/>
        </w:rPr>
      </w:pPr>
      <w:r>
        <w:rPr>
          <w:w w:val="99"/>
          <w:sz w:val="24"/>
          <w:szCs w:val="24"/>
        </w:rPr>
        <w:t>10.1</w:t>
      </w:r>
      <w:r>
        <w:rPr>
          <w:w w:val="99"/>
          <w:sz w:val="24"/>
          <w:szCs w:val="24"/>
        </w:rPr>
        <w:tab/>
      </w:r>
      <w:r w:rsidR="00C70BDD" w:rsidRPr="004F6EDF">
        <w:rPr>
          <w:sz w:val="24"/>
        </w:rPr>
        <w:t>the vehicle was in good driving condition when it was sold to</w:t>
      </w:r>
      <w:r w:rsidR="00C70BDD" w:rsidRPr="004F6EDF">
        <w:rPr>
          <w:spacing w:val="-8"/>
          <w:sz w:val="24"/>
        </w:rPr>
        <w:t xml:space="preserve"> </w:t>
      </w:r>
      <w:r w:rsidR="00C70BDD" w:rsidRPr="004F6EDF">
        <w:rPr>
          <w:sz w:val="24"/>
        </w:rPr>
        <w:t>him;</w:t>
      </w:r>
    </w:p>
    <w:p w:rsidR="00850F35" w:rsidRPr="004F6EDF" w:rsidRDefault="004F6EDF" w:rsidP="004F6EDF">
      <w:pPr>
        <w:tabs>
          <w:tab w:val="left" w:pos="1196"/>
        </w:tabs>
        <w:spacing w:before="138"/>
        <w:ind w:left="1195" w:hanging="536"/>
        <w:rPr>
          <w:sz w:val="24"/>
        </w:rPr>
      </w:pPr>
      <w:r>
        <w:rPr>
          <w:w w:val="99"/>
          <w:sz w:val="24"/>
          <w:szCs w:val="24"/>
        </w:rPr>
        <w:t>10.2</w:t>
      </w:r>
      <w:r>
        <w:rPr>
          <w:w w:val="99"/>
          <w:sz w:val="24"/>
          <w:szCs w:val="24"/>
        </w:rPr>
        <w:tab/>
      </w:r>
      <w:r w:rsidR="00C70BDD" w:rsidRPr="004F6EDF">
        <w:rPr>
          <w:sz w:val="24"/>
        </w:rPr>
        <w:t>he had already driven approximately 16 000km in only four</w:t>
      </w:r>
      <w:r w:rsidR="00C70BDD" w:rsidRPr="004F6EDF">
        <w:rPr>
          <w:spacing w:val="-11"/>
          <w:sz w:val="24"/>
        </w:rPr>
        <w:t xml:space="preserve"> </w:t>
      </w:r>
      <w:r w:rsidR="00C70BDD" w:rsidRPr="004F6EDF">
        <w:rPr>
          <w:sz w:val="24"/>
        </w:rPr>
        <w:t>months;</w:t>
      </w:r>
    </w:p>
    <w:p w:rsidR="00850F35" w:rsidRPr="004F6EDF" w:rsidRDefault="004F6EDF" w:rsidP="004F6EDF">
      <w:pPr>
        <w:tabs>
          <w:tab w:val="left" w:pos="1196"/>
        </w:tabs>
        <w:spacing w:before="139"/>
        <w:ind w:left="1195" w:hanging="536"/>
        <w:rPr>
          <w:sz w:val="24"/>
        </w:rPr>
      </w:pPr>
      <w:r>
        <w:rPr>
          <w:w w:val="99"/>
          <w:sz w:val="24"/>
          <w:szCs w:val="24"/>
        </w:rPr>
        <w:t>10.3</w:t>
      </w:r>
      <w:r>
        <w:rPr>
          <w:w w:val="99"/>
          <w:sz w:val="24"/>
          <w:szCs w:val="24"/>
        </w:rPr>
        <w:tab/>
      </w:r>
      <w:r w:rsidR="00C70BDD" w:rsidRPr="004F6EDF">
        <w:rPr>
          <w:sz w:val="24"/>
        </w:rPr>
        <w:t>he never had the vehicle serviced since taking delivery of it;</w:t>
      </w:r>
      <w:r w:rsidR="00C70BDD" w:rsidRPr="004F6EDF">
        <w:rPr>
          <w:spacing w:val="-12"/>
          <w:sz w:val="24"/>
        </w:rPr>
        <w:t xml:space="preserve"> </w:t>
      </w:r>
      <w:r w:rsidR="00C70BDD" w:rsidRPr="004F6EDF">
        <w:rPr>
          <w:sz w:val="24"/>
        </w:rPr>
        <w:t>and</w:t>
      </w:r>
    </w:p>
    <w:p w:rsidR="00850F35" w:rsidRPr="004F6EDF" w:rsidRDefault="004F6EDF" w:rsidP="004F6EDF">
      <w:pPr>
        <w:tabs>
          <w:tab w:val="left" w:pos="1196"/>
        </w:tabs>
        <w:spacing w:before="137"/>
        <w:ind w:left="1195" w:hanging="536"/>
        <w:rPr>
          <w:sz w:val="24"/>
        </w:rPr>
      </w:pPr>
      <w:r>
        <w:rPr>
          <w:w w:val="99"/>
          <w:sz w:val="24"/>
          <w:szCs w:val="24"/>
        </w:rPr>
        <w:t>10.4</w:t>
      </w:r>
      <w:r>
        <w:rPr>
          <w:w w:val="99"/>
          <w:sz w:val="24"/>
          <w:szCs w:val="24"/>
        </w:rPr>
        <w:tab/>
      </w:r>
      <w:r w:rsidR="00C70BDD" w:rsidRPr="004F6EDF">
        <w:rPr>
          <w:sz w:val="24"/>
        </w:rPr>
        <w:t xml:space="preserve">the damage was caused </w:t>
      </w:r>
      <w:r w:rsidR="00C70BDD" w:rsidRPr="004F6EDF">
        <w:rPr>
          <w:sz w:val="24"/>
        </w:rPr>
        <w:t>due to normal wear and tear instead of a</w:t>
      </w:r>
      <w:r w:rsidR="00C70BDD" w:rsidRPr="004F6EDF">
        <w:rPr>
          <w:spacing w:val="-23"/>
          <w:sz w:val="24"/>
        </w:rPr>
        <w:t xml:space="preserve"> </w:t>
      </w:r>
      <w:r w:rsidR="00C70BDD" w:rsidRPr="004F6EDF">
        <w:rPr>
          <w:sz w:val="24"/>
        </w:rPr>
        <w:t>defect.</w:t>
      </w:r>
    </w:p>
    <w:p w:rsidR="00850F35" w:rsidRDefault="00850F35">
      <w:pPr>
        <w:pStyle w:val="BodyText"/>
        <w:rPr>
          <w:sz w:val="26"/>
        </w:rPr>
      </w:pPr>
    </w:p>
    <w:p w:rsidR="00850F35" w:rsidRDefault="00850F35">
      <w:pPr>
        <w:pStyle w:val="BodyText"/>
        <w:spacing w:before="11"/>
        <w:rPr>
          <w:sz w:val="21"/>
        </w:rPr>
      </w:pPr>
    </w:p>
    <w:p w:rsidR="00850F35" w:rsidRPr="004F6EDF" w:rsidRDefault="004F6EDF" w:rsidP="004F6EDF">
      <w:pPr>
        <w:tabs>
          <w:tab w:val="left" w:pos="661"/>
        </w:tabs>
        <w:spacing w:line="360" w:lineRule="auto"/>
        <w:ind w:left="660" w:right="230" w:hanging="428"/>
        <w:jc w:val="both"/>
        <w:rPr>
          <w:sz w:val="24"/>
        </w:rPr>
      </w:pPr>
      <w:r>
        <w:rPr>
          <w:spacing w:val="-33"/>
          <w:w w:val="99"/>
          <w:sz w:val="24"/>
          <w:szCs w:val="24"/>
        </w:rPr>
        <w:t>13.</w:t>
      </w:r>
      <w:r>
        <w:rPr>
          <w:spacing w:val="-33"/>
          <w:w w:val="99"/>
          <w:sz w:val="24"/>
          <w:szCs w:val="24"/>
        </w:rPr>
        <w:tab/>
      </w:r>
      <w:r w:rsidR="00C70BDD" w:rsidRPr="004F6EDF">
        <w:rPr>
          <w:sz w:val="24"/>
        </w:rPr>
        <w:t>The Applicant denied that the vehicle was in good condition at the time of taking delivery. It was unsafe and was not due for a service while in use. The vehicle had a warranty</w:t>
      </w:r>
      <w:r w:rsidR="00C70BDD" w:rsidRPr="004F6EDF">
        <w:rPr>
          <w:spacing w:val="32"/>
          <w:sz w:val="24"/>
        </w:rPr>
        <w:t xml:space="preserve"> </w:t>
      </w:r>
      <w:r w:rsidR="00C70BDD" w:rsidRPr="004F6EDF">
        <w:rPr>
          <w:sz w:val="24"/>
        </w:rPr>
        <w:t>in</w:t>
      </w:r>
      <w:r w:rsidR="00C70BDD" w:rsidRPr="004F6EDF">
        <w:rPr>
          <w:spacing w:val="30"/>
          <w:sz w:val="24"/>
        </w:rPr>
        <w:t xml:space="preserve"> </w:t>
      </w:r>
      <w:r w:rsidR="00C70BDD" w:rsidRPr="004F6EDF">
        <w:rPr>
          <w:sz w:val="24"/>
        </w:rPr>
        <w:t>place</w:t>
      </w:r>
      <w:r w:rsidR="00C70BDD" w:rsidRPr="004F6EDF">
        <w:rPr>
          <w:spacing w:val="32"/>
          <w:sz w:val="24"/>
        </w:rPr>
        <w:t xml:space="preserve"> </w:t>
      </w:r>
      <w:r w:rsidR="00C70BDD" w:rsidRPr="004F6EDF">
        <w:rPr>
          <w:sz w:val="24"/>
        </w:rPr>
        <w:t>at</w:t>
      </w:r>
      <w:r w:rsidR="00C70BDD" w:rsidRPr="004F6EDF">
        <w:rPr>
          <w:spacing w:val="30"/>
          <w:sz w:val="24"/>
        </w:rPr>
        <w:t xml:space="preserve"> </w:t>
      </w:r>
      <w:r w:rsidR="00C70BDD" w:rsidRPr="004F6EDF">
        <w:rPr>
          <w:sz w:val="24"/>
        </w:rPr>
        <w:t>the</w:t>
      </w:r>
      <w:r w:rsidR="00C70BDD" w:rsidRPr="004F6EDF">
        <w:rPr>
          <w:spacing w:val="32"/>
          <w:sz w:val="24"/>
        </w:rPr>
        <w:t xml:space="preserve"> </w:t>
      </w:r>
      <w:r w:rsidR="00C70BDD" w:rsidRPr="004F6EDF">
        <w:rPr>
          <w:sz w:val="24"/>
        </w:rPr>
        <w:t>time</w:t>
      </w:r>
      <w:r w:rsidR="00C70BDD" w:rsidRPr="004F6EDF">
        <w:rPr>
          <w:spacing w:val="32"/>
          <w:sz w:val="24"/>
        </w:rPr>
        <w:t xml:space="preserve"> </w:t>
      </w:r>
      <w:r w:rsidR="00C70BDD" w:rsidRPr="004F6EDF">
        <w:rPr>
          <w:sz w:val="24"/>
        </w:rPr>
        <w:t>of</w:t>
      </w:r>
      <w:r w:rsidR="00C70BDD" w:rsidRPr="004F6EDF">
        <w:rPr>
          <w:spacing w:val="30"/>
          <w:sz w:val="24"/>
        </w:rPr>
        <w:t xml:space="preserve"> </w:t>
      </w:r>
      <w:r w:rsidR="00C70BDD" w:rsidRPr="004F6EDF">
        <w:rPr>
          <w:sz w:val="24"/>
        </w:rPr>
        <w:t>the</w:t>
      </w:r>
      <w:r w:rsidR="00C70BDD" w:rsidRPr="004F6EDF">
        <w:rPr>
          <w:spacing w:val="31"/>
          <w:sz w:val="24"/>
        </w:rPr>
        <w:t xml:space="preserve"> </w:t>
      </w:r>
      <w:r w:rsidR="00C70BDD" w:rsidRPr="004F6EDF">
        <w:rPr>
          <w:sz w:val="24"/>
        </w:rPr>
        <w:t>breakdown,</w:t>
      </w:r>
      <w:r w:rsidR="00C70BDD" w:rsidRPr="004F6EDF">
        <w:rPr>
          <w:spacing w:val="33"/>
          <w:sz w:val="24"/>
        </w:rPr>
        <w:t xml:space="preserve"> </w:t>
      </w:r>
      <w:r w:rsidR="00C70BDD" w:rsidRPr="004F6EDF">
        <w:rPr>
          <w:sz w:val="24"/>
        </w:rPr>
        <w:t>but</w:t>
      </w:r>
      <w:r w:rsidR="00C70BDD" w:rsidRPr="004F6EDF">
        <w:rPr>
          <w:spacing w:val="31"/>
          <w:sz w:val="24"/>
        </w:rPr>
        <w:t xml:space="preserve"> </w:t>
      </w:r>
      <w:r w:rsidR="00C70BDD" w:rsidRPr="004F6EDF">
        <w:rPr>
          <w:sz w:val="24"/>
        </w:rPr>
        <w:t>he</w:t>
      </w:r>
      <w:r w:rsidR="00C70BDD" w:rsidRPr="004F6EDF">
        <w:rPr>
          <w:spacing w:val="34"/>
          <w:sz w:val="24"/>
        </w:rPr>
        <w:t xml:space="preserve"> </w:t>
      </w:r>
      <w:r w:rsidR="00C70BDD" w:rsidRPr="004F6EDF">
        <w:rPr>
          <w:sz w:val="24"/>
        </w:rPr>
        <w:t>was</w:t>
      </w:r>
      <w:r w:rsidR="00C70BDD" w:rsidRPr="004F6EDF">
        <w:rPr>
          <w:spacing w:val="32"/>
          <w:sz w:val="24"/>
        </w:rPr>
        <w:t xml:space="preserve"> </w:t>
      </w:r>
      <w:r w:rsidR="00C70BDD" w:rsidRPr="004F6EDF">
        <w:rPr>
          <w:sz w:val="24"/>
        </w:rPr>
        <w:t>reluctant</w:t>
      </w:r>
      <w:r w:rsidR="00C70BDD" w:rsidRPr="004F6EDF">
        <w:rPr>
          <w:spacing w:val="31"/>
          <w:sz w:val="24"/>
        </w:rPr>
        <w:t xml:space="preserve"> </w:t>
      </w:r>
      <w:r w:rsidR="00C70BDD" w:rsidRPr="004F6EDF">
        <w:rPr>
          <w:sz w:val="24"/>
        </w:rPr>
        <w:t>to</w:t>
      </w:r>
      <w:r w:rsidR="00C70BDD" w:rsidRPr="004F6EDF">
        <w:rPr>
          <w:spacing w:val="33"/>
          <w:sz w:val="24"/>
        </w:rPr>
        <w:t xml:space="preserve"> </w:t>
      </w:r>
      <w:r w:rsidR="00C70BDD" w:rsidRPr="004F6EDF">
        <w:rPr>
          <w:sz w:val="24"/>
        </w:rPr>
        <w:t>provide</w:t>
      </w:r>
      <w:r w:rsidR="00C70BDD" w:rsidRPr="004F6EDF">
        <w:rPr>
          <w:spacing w:val="31"/>
          <w:sz w:val="24"/>
        </w:rPr>
        <w:t xml:space="preserve"> </w:t>
      </w:r>
      <w:r w:rsidR="00C70BDD" w:rsidRPr="004F6EDF">
        <w:rPr>
          <w:sz w:val="24"/>
        </w:rPr>
        <w:t>the</w:t>
      </w:r>
    </w:p>
    <w:p w:rsidR="00850F35" w:rsidRDefault="00850F35">
      <w:pPr>
        <w:spacing w:line="360" w:lineRule="auto"/>
        <w:jc w:val="both"/>
        <w:rPr>
          <w:sz w:val="24"/>
        </w:rPr>
        <w:sectPr w:rsidR="00850F35">
          <w:pgSz w:w="11910" w:h="16840"/>
          <w:pgMar w:top="760" w:right="900" w:bottom="680" w:left="900" w:header="0" w:footer="415" w:gutter="0"/>
          <w:cols w:space="720"/>
        </w:sectPr>
      </w:pPr>
    </w:p>
    <w:p w:rsidR="00850F35" w:rsidRDefault="00C70BDD">
      <w:pPr>
        <w:pStyle w:val="BodyText"/>
        <w:spacing w:before="79" w:line="360" w:lineRule="auto"/>
        <w:ind w:left="660" w:right="229"/>
        <w:jc w:val="both"/>
      </w:pPr>
      <w:r>
        <w:lastRenderedPageBreak/>
        <w:t xml:space="preserve">details of his warranty to the Respondent as he felt it would interfere with the statutory process of the NCC after having reported the matter to them. The vehicle remained in the possession </w:t>
      </w:r>
      <w:r>
        <w:t>of the Respondent until he collected the vehicle in 2020 when he was informed that he would be charged for storage.</w:t>
      </w:r>
    </w:p>
    <w:p w:rsidR="00850F35" w:rsidRDefault="00850F35">
      <w:pPr>
        <w:pStyle w:val="BodyText"/>
        <w:spacing w:before="10"/>
        <w:rPr>
          <w:sz w:val="35"/>
        </w:rPr>
      </w:pPr>
    </w:p>
    <w:p w:rsidR="00850F35" w:rsidRPr="004F6EDF" w:rsidRDefault="004F6EDF" w:rsidP="004F6EDF">
      <w:pPr>
        <w:tabs>
          <w:tab w:val="left" w:pos="661"/>
        </w:tabs>
        <w:spacing w:line="360" w:lineRule="auto"/>
        <w:ind w:left="660" w:right="226" w:hanging="428"/>
        <w:jc w:val="both"/>
        <w:rPr>
          <w:sz w:val="24"/>
        </w:rPr>
      </w:pPr>
      <w:r>
        <w:rPr>
          <w:spacing w:val="-33"/>
          <w:w w:val="99"/>
          <w:sz w:val="24"/>
          <w:szCs w:val="24"/>
        </w:rPr>
        <w:t>14.</w:t>
      </w:r>
      <w:r>
        <w:rPr>
          <w:spacing w:val="-33"/>
          <w:w w:val="99"/>
          <w:sz w:val="24"/>
          <w:szCs w:val="24"/>
        </w:rPr>
        <w:tab/>
      </w:r>
      <w:r w:rsidR="00C70BDD" w:rsidRPr="004F6EDF">
        <w:rPr>
          <w:sz w:val="24"/>
        </w:rPr>
        <w:t xml:space="preserve">The Applicant further submitted that the Respondent’s failure to comply with its statutory obligations has caused him financial loss since </w:t>
      </w:r>
      <w:r w:rsidR="00C70BDD" w:rsidRPr="004F6EDF">
        <w:rPr>
          <w:sz w:val="24"/>
        </w:rPr>
        <w:t>the vehicle is still financed, and he is still paying a monthly installment for it but has been unable to use it since December 2017. The vehicle has not been repaired, is still in his possession, and has deteriorated considerably. The Applicant seeks a fu</w:t>
      </w:r>
      <w:r w:rsidR="00C70BDD" w:rsidRPr="004F6EDF">
        <w:rPr>
          <w:sz w:val="24"/>
        </w:rPr>
        <w:t>ll refund of the purchase price of the vehicle.</w:t>
      </w:r>
    </w:p>
    <w:p w:rsidR="00850F35" w:rsidRDefault="00850F35">
      <w:pPr>
        <w:pStyle w:val="BodyText"/>
        <w:rPr>
          <w:sz w:val="21"/>
        </w:rPr>
      </w:pPr>
    </w:p>
    <w:p w:rsidR="00850F35" w:rsidRDefault="00C70BDD">
      <w:pPr>
        <w:pStyle w:val="Heading1"/>
      </w:pPr>
      <w:r>
        <w:t>THE RESPONDENT’S SUBMISSIONS</w:t>
      </w:r>
    </w:p>
    <w:p w:rsidR="00850F35" w:rsidRDefault="00850F35">
      <w:pPr>
        <w:pStyle w:val="BodyText"/>
        <w:rPr>
          <w:b/>
          <w:sz w:val="26"/>
        </w:rPr>
      </w:pPr>
    </w:p>
    <w:p w:rsidR="00850F35" w:rsidRDefault="00850F35">
      <w:pPr>
        <w:pStyle w:val="BodyText"/>
        <w:spacing w:before="3"/>
        <w:rPr>
          <w:b/>
          <w:sz w:val="28"/>
        </w:rPr>
      </w:pPr>
    </w:p>
    <w:p w:rsidR="00850F35" w:rsidRPr="004F6EDF" w:rsidRDefault="004F6EDF" w:rsidP="004F6EDF">
      <w:pPr>
        <w:tabs>
          <w:tab w:val="left" w:pos="661"/>
        </w:tabs>
        <w:spacing w:line="360" w:lineRule="auto"/>
        <w:ind w:left="660" w:right="229" w:hanging="428"/>
        <w:jc w:val="both"/>
        <w:rPr>
          <w:sz w:val="24"/>
        </w:rPr>
      </w:pPr>
      <w:r>
        <w:rPr>
          <w:spacing w:val="-33"/>
          <w:w w:val="99"/>
          <w:sz w:val="24"/>
          <w:szCs w:val="24"/>
        </w:rPr>
        <w:t>15.</w:t>
      </w:r>
      <w:r>
        <w:rPr>
          <w:spacing w:val="-33"/>
          <w:w w:val="99"/>
          <w:sz w:val="24"/>
          <w:szCs w:val="24"/>
        </w:rPr>
        <w:tab/>
      </w:r>
      <w:r w:rsidR="00C70BDD" w:rsidRPr="004F6EDF">
        <w:rPr>
          <w:sz w:val="24"/>
        </w:rPr>
        <w:t xml:space="preserve">The Respondent submitted that there is a lacuna in the CPA, in that it does not distinguish between a new vehicle and a used vehicle. It is important to remember that this was </w:t>
      </w:r>
      <w:r w:rsidR="00C70BDD" w:rsidRPr="004F6EDF">
        <w:rPr>
          <w:sz w:val="24"/>
        </w:rPr>
        <w:t>a used vehicle, and one must consider what a particular class of persons would view as a defect on a vehicle that, in this case, had already run 122 000km at the time of purchase. The Respondent denied that the vehicle had a knocking noise at the time of s</w:t>
      </w:r>
      <w:r w:rsidR="00C70BDD" w:rsidRPr="004F6EDF">
        <w:rPr>
          <w:sz w:val="24"/>
        </w:rPr>
        <w:t>ale or that it was unsafe. The Applicant presented no evidence to support these allegations. The Respondent admitted that there was damage to the vehicle but that this was due to normal wear and tear and that the damage does not amount to a defect as defin</w:t>
      </w:r>
      <w:r w:rsidR="00C70BDD" w:rsidRPr="004F6EDF">
        <w:rPr>
          <w:sz w:val="24"/>
        </w:rPr>
        <w:t>ed in section 53 of the</w:t>
      </w:r>
      <w:r w:rsidR="00C70BDD" w:rsidRPr="004F6EDF">
        <w:rPr>
          <w:spacing w:val="-2"/>
          <w:sz w:val="24"/>
        </w:rPr>
        <w:t xml:space="preserve"> </w:t>
      </w:r>
      <w:r w:rsidR="00C70BDD" w:rsidRPr="004F6EDF">
        <w:rPr>
          <w:sz w:val="24"/>
        </w:rPr>
        <w:t>Act.</w:t>
      </w:r>
    </w:p>
    <w:p w:rsidR="00850F35" w:rsidRDefault="00850F35">
      <w:pPr>
        <w:pStyle w:val="BodyText"/>
        <w:rPr>
          <w:sz w:val="36"/>
        </w:rPr>
      </w:pPr>
    </w:p>
    <w:p w:rsidR="00850F35" w:rsidRPr="004F6EDF" w:rsidRDefault="004F6EDF" w:rsidP="004F6EDF">
      <w:pPr>
        <w:tabs>
          <w:tab w:val="left" w:pos="661"/>
        </w:tabs>
        <w:spacing w:before="1" w:line="360" w:lineRule="auto"/>
        <w:ind w:left="660" w:right="227" w:hanging="428"/>
        <w:jc w:val="both"/>
        <w:rPr>
          <w:sz w:val="24"/>
        </w:rPr>
      </w:pPr>
      <w:r>
        <w:rPr>
          <w:spacing w:val="-33"/>
          <w:w w:val="99"/>
          <w:sz w:val="24"/>
          <w:szCs w:val="24"/>
        </w:rPr>
        <w:t>16.</w:t>
      </w:r>
      <w:r>
        <w:rPr>
          <w:spacing w:val="-33"/>
          <w:w w:val="99"/>
          <w:sz w:val="24"/>
          <w:szCs w:val="24"/>
        </w:rPr>
        <w:tab/>
      </w:r>
      <w:r w:rsidR="00C70BDD" w:rsidRPr="004F6EDF">
        <w:rPr>
          <w:sz w:val="24"/>
        </w:rPr>
        <w:t>Counsel for the Respondent referred to the decision of the Supreme Court of Appeal in Motus Corporation (Pty) Ltd v Wentzel</w:t>
      </w:r>
      <w:r w:rsidR="00C70BDD" w:rsidRPr="004F6EDF">
        <w:rPr>
          <w:position w:val="8"/>
          <w:sz w:val="16"/>
        </w:rPr>
        <w:t xml:space="preserve">1 </w:t>
      </w:r>
      <w:r w:rsidR="00C70BDD" w:rsidRPr="004F6EDF">
        <w:rPr>
          <w:sz w:val="24"/>
        </w:rPr>
        <w:t>(“Motus”) and indicated that in this case, the court held that not every rattle or unfamiliar noise c</w:t>
      </w:r>
      <w:r w:rsidR="00C70BDD" w:rsidRPr="004F6EDF">
        <w:rPr>
          <w:sz w:val="24"/>
        </w:rPr>
        <w:t>onstitutes a defect in terms of the Act. He further submitted that in terms of the judgment, where a court or Tribunal considers it appropriate to refund a consumer, it must consider the use the consumer had of the vehicle, and section 20(6) of the Act fin</w:t>
      </w:r>
      <w:r w:rsidR="00C70BDD" w:rsidRPr="004F6EDF">
        <w:rPr>
          <w:sz w:val="24"/>
        </w:rPr>
        <w:t>ds application in any such calculation. In this case, the Applicant had full use and enjoyment of the vehicle for approximately four</w:t>
      </w:r>
      <w:r w:rsidR="00C70BDD" w:rsidRPr="004F6EDF">
        <w:rPr>
          <w:spacing w:val="-1"/>
          <w:sz w:val="24"/>
        </w:rPr>
        <w:t xml:space="preserve"> </w:t>
      </w:r>
      <w:r w:rsidR="00C70BDD" w:rsidRPr="004F6EDF">
        <w:rPr>
          <w:sz w:val="24"/>
        </w:rPr>
        <w:t>months.</w:t>
      </w:r>
    </w:p>
    <w:p w:rsidR="00850F35" w:rsidRDefault="00850F35">
      <w:pPr>
        <w:pStyle w:val="BodyText"/>
        <w:spacing w:before="3"/>
        <w:rPr>
          <w:sz w:val="35"/>
        </w:rPr>
      </w:pPr>
    </w:p>
    <w:p w:rsidR="00850F35" w:rsidRPr="004F6EDF" w:rsidRDefault="004F6EDF" w:rsidP="004F6EDF">
      <w:pPr>
        <w:tabs>
          <w:tab w:val="left" w:pos="661"/>
        </w:tabs>
        <w:spacing w:line="360" w:lineRule="auto"/>
        <w:ind w:left="660" w:right="227" w:hanging="428"/>
        <w:jc w:val="both"/>
        <w:rPr>
          <w:sz w:val="24"/>
        </w:rPr>
      </w:pPr>
      <w:r>
        <w:rPr>
          <w:spacing w:val="-33"/>
          <w:w w:val="99"/>
          <w:sz w:val="24"/>
          <w:szCs w:val="24"/>
        </w:rPr>
        <w:t>17.</w:t>
      </w:r>
      <w:r>
        <w:rPr>
          <w:spacing w:val="-33"/>
          <w:w w:val="99"/>
          <w:sz w:val="24"/>
          <w:szCs w:val="24"/>
        </w:rPr>
        <w:tab/>
      </w:r>
      <w:r w:rsidR="00C70BDD" w:rsidRPr="004F6EDF">
        <w:rPr>
          <w:sz w:val="24"/>
        </w:rPr>
        <w:t>The Respondent submitted that it was always willing to assist the Applicant  but that the Applicant refused to cooperate by unreasonably withholding details of his</w:t>
      </w:r>
      <w:r w:rsidR="00C70BDD" w:rsidRPr="004F6EDF">
        <w:rPr>
          <w:spacing w:val="-19"/>
          <w:sz w:val="24"/>
        </w:rPr>
        <w:t xml:space="preserve"> </w:t>
      </w:r>
      <w:r w:rsidR="00C70BDD" w:rsidRPr="004F6EDF">
        <w:rPr>
          <w:sz w:val="24"/>
        </w:rPr>
        <w:t>warranty.</w:t>
      </w:r>
    </w:p>
    <w:p w:rsidR="00850F35" w:rsidRDefault="00850F35">
      <w:pPr>
        <w:pStyle w:val="BodyText"/>
        <w:rPr>
          <w:sz w:val="20"/>
        </w:rPr>
      </w:pPr>
    </w:p>
    <w:p w:rsidR="00850F35" w:rsidRDefault="00C70BDD">
      <w:pPr>
        <w:pStyle w:val="BodyText"/>
        <w:spacing w:before="8"/>
      </w:pPr>
      <w:r>
        <w:pict>
          <v:shape id="_x0000_s1026" style="position:absolute;margin-left:56.65pt;margin-top:16.6pt;width:144.05pt;height:.1pt;z-index:-251657216;mso-wrap-distance-left:0;mso-wrap-distance-right:0;mso-position-horizontal-relative:page" coordorigin="1133,332" coordsize="2881,0" path="m1133,332r2881,e" filled="f" strokeweight=".72pt">
            <v:path arrowok="t"/>
            <w10:wrap type="topAndBottom" anchorx="page"/>
          </v:shape>
        </w:pict>
      </w:r>
    </w:p>
    <w:p w:rsidR="00850F35" w:rsidRDefault="00C70BDD">
      <w:pPr>
        <w:spacing w:before="67"/>
        <w:ind w:left="232"/>
        <w:rPr>
          <w:sz w:val="20"/>
        </w:rPr>
      </w:pPr>
      <w:r>
        <w:rPr>
          <w:rFonts w:ascii="Calibri"/>
          <w:position w:val="7"/>
          <w:sz w:val="13"/>
        </w:rPr>
        <w:t xml:space="preserve">1 </w:t>
      </w:r>
      <w:r>
        <w:rPr>
          <w:sz w:val="20"/>
        </w:rPr>
        <w:t>Motus Corporation (Pty) Ltd and Another v Wentzel (Case no 1272/2019) [2021] ZASCA 40 (13 April 2021).</w:t>
      </w:r>
    </w:p>
    <w:p w:rsidR="00850F35" w:rsidRDefault="00850F35">
      <w:pPr>
        <w:rPr>
          <w:sz w:val="20"/>
        </w:rPr>
        <w:sectPr w:rsidR="00850F35">
          <w:pgSz w:w="11910" w:h="16840"/>
          <w:pgMar w:top="760" w:right="900" w:bottom="600" w:left="900" w:header="0" w:footer="415" w:gutter="0"/>
          <w:cols w:space="720"/>
        </w:sectPr>
      </w:pPr>
    </w:p>
    <w:p w:rsidR="00850F35" w:rsidRDefault="00C70BDD">
      <w:pPr>
        <w:pStyle w:val="BodyText"/>
        <w:spacing w:before="79" w:line="360" w:lineRule="auto"/>
        <w:ind w:left="660" w:right="170"/>
      </w:pPr>
      <w:r>
        <w:lastRenderedPageBreak/>
        <w:t>The Applicant has failed to prove any defect exists, and therefore, the application stands to be dismissed.</w:t>
      </w:r>
    </w:p>
    <w:p w:rsidR="00850F35" w:rsidRDefault="00850F35">
      <w:pPr>
        <w:pStyle w:val="BodyText"/>
        <w:spacing w:before="10"/>
        <w:rPr>
          <w:sz w:val="20"/>
        </w:rPr>
      </w:pPr>
    </w:p>
    <w:p w:rsidR="00850F35" w:rsidRDefault="00C70BDD">
      <w:pPr>
        <w:pStyle w:val="Heading1"/>
      </w:pPr>
      <w:r>
        <w:t>APPLICABLE SECTIONS OF THE</w:t>
      </w:r>
      <w:r>
        <w:t xml:space="preserve"> ACT</w:t>
      </w:r>
    </w:p>
    <w:p w:rsidR="00850F35" w:rsidRDefault="00850F35">
      <w:pPr>
        <w:pStyle w:val="BodyText"/>
        <w:spacing w:before="9"/>
        <w:rPr>
          <w:b/>
          <w:sz w:val="32"/>
        </w:rPr>
      </w:pPr>
    </w:p>
    <w:p w:rsidR="00850F35" w:rsidRPr="004F6EDF" w:rsidRDefault="004F6EDF" w:rsidP="004F6EDF">
      <w:pPr>
        <w:tabs>
          <w:tab w:val="left" w:pos="661"/>
        </w:tabs>
        <w:spacing w:line="360" w:lineRule="auto"/>
        <w:ind w:left="660" w:right="232" w:hanging="428"/>
        <w:jc w:val="both"/>
        <w:rPr>
          <w:sz w:val="24"/>
        </w:rPr>
      </w:pPr>
      <w:r>
        <w:rPr>
          <w:spacing w:val="-33"/>
          <w:w w:val="99"/>
          <w:sz w:val="24"/>
          <w:szCs w:val="24"/>
        </w:rPr>
        <w:t>18.</w:t>
      </w:r>
      <w:r>
        <w:rPr>
          <w:spacing w:val="-33"/>
          <w:w w:val="99"/>
          <w:sz w:val="24"/>
          <w:szCs w:val="24"/>
        </w:rPr>
        <w:tab/>
      </w:r>
      <w:r w:rsidR="00C70BDD" w:rsidRPr="004F6EDF">
        <w:rPr>
          <w:sz w:val="24"/>
        </w:rPr>
        <w:t>Section 75(1)(b) states that if the NCC issues a notice of non-referral in response to a complaint, other than on grounds contemplated in section 116, the complainant concerned may refer the matter directly to the Tribunal, with leave of the</w:t>
      </w:r>
      <w:r w:rsidR="00C70BDD" w:rsidRPr="004F6EDF">
        <w:rPr>
          <w:spacing w:val="-14"/>
          <w:sz w:val="24"/>
        </w:rPr>
        <w:t xml:space="preserve"> </w:t>
      </w:r>
      <w:r w:rsidR="00C70BDD" w:rsidRPr="004F6EDF">
        <w:rPr>
          <w:sz w:val="24"/>
        </w:rPr>
        <w:t>Tribunal</w:t>
      </w:r>
      <w:r w:rsidR="00C70BDD" w:rsidRPr="004F6EDF">
        <w:rPr>
          <w:sz w:val="24"/>
        </w:rPr>
        <w:t>.</w:t>
      </w:r>
    </w:p>
    <w:p w:rsidR="00850F35" w:rsidRDefault="00850F35">
      <w:pPr>
        <w:pStyle w:val="BodyText"/>
        <w:rPr>
          <w:sz w:val="36"/>
        </w:rPr>
      </w:pPr>
    </w:p>
    <w:p w:rsidR="00850F35" w:rsidRPr="004F6EDF" w:rsidRDefault="004F6EDF" w:rsidP="004F6EDF">
      <w:pPr>
        <w:tabs>
          <w:tab w:val="left" w:pos="661"/>
        </w:tabs>
        <w:spacing w:line="360" w:lineRule="auto"/>
        <w:ind w:left="660" w:right="229" w:hanging="428"/>
        <w:jc w:val="both"/>
        <w:rPr>
          <w:sz w:val="24"/>
        </w:rPr>
      </w:pPr>
      <w:r>
        <w:rPr>
          <w:spacing w:val="-33"/>
          <w:w w:val="99"/>
          <w:sz w:val="24"/>
          <w:szCs w:val="24"/>
        </w:rPr>
        <w:t>19.</w:t>
      </w:r>
      <w:r>
        <w:rPr>
          <w:spacing w:val="-33"/>
          <w:w w:val="99"/>
          <w:sz w:val="24"/>
          <w:szCs w:val="24"/>
        </w:rPr>
        <w:tab/>
      </w:r>
      <w:r w:rsidR="00C70BDD" w:rsidRPr="004F6EDF">
        <w:rPr>
          <w:sz w:val="24"/>
        </w:rPr>
        <w:t xml:space="preserve">Section 55(2) (a-c) states that consumers have the right to receive goods that are reasonably suitable for their intended purposes. They have a right to goods that are of good quality and are in good working order. The goods must be free of any defects </w:t>
      </w:r>
      <w:r w:rsidR="00C70BDD" w:rsidRPr="004F6EDF">
        <w:rPr>
          <w:sz w:val="24"/>
        </w:rPr>
        <w:t>and be useable and durable for a reasonable</w:t>
      </w:r>
      <w:r w:rsidR="00C70BDD" w:rsidRPr="004F6EDF">
        <w:rPr>
          <w:spacing w:val="-12"/>
          <w:sz w:val="24"/>
        </w:rPr>
        <w:t xml:space="preserve"> </w:t>
      </w:r>
      <w:r w:rsidR="00C70BDD" w:rsidRPr="004F6EDF">
        <w:rPr>
          <w:sz w:val="24"/>
        </w:rPr>
        <w:t>time.</w:t>
      </w:r>
    </w:p>
    <w:p w:rsidR="00850F35" w:rsidRDefault="00850F35">
      <w:pPr>
        <w:pStyle w:val="BodyText"/>
        <w:rPr>
          <w:sz w:val="26"/>
        </w:rPr>
      </w:pPr>
    </w:p>
    <w:p w:rsidR="00850F35" w:rsidRPr="004F6EDF" w:rsidRDefault="004F6EDF" w:rsidP="004F6EDF">
      <w:pPr>
        <w:tabs>
          <w:tab w:val="left" w:pos="661"/>
        </w:tabs>
        <w:spacing w:before="220" w:line="360" w:lineRule="auto"/>
        <w:ind w:left="660" w:right="230" w:hanging="428"/>
        <w:jc w:val="both"/>
        <w:rPr>
          <w:sz w:val="24"/>
        </w:rPr>
      </w:pPr>
      <w:r>
        <w:rPr>
          <w:spacing w:val="-33"/>
          <w:w w:val="99"/>
          <w:sz w:val="24"/>
          <w:szCs w:val="24"/>
        </w:rPr>
        <w:t>20.</w:t>
      </w:r>
      <w:r>
        <w:rPr>
          <w:spacing w:val="-33"/>
          <w:w w:val="99"/>
          <w:sz w:val="24"/>
          <w:szCs w:val="24"/>
        </w:rPr>
        <w:tab/>
      </w:r>
      <w:r w:rsidR="00C70BDD" w:rsidRPr="004F6EDF">
        <w:rPr>
          <w:sz w:val="24"/>
        </w:rPr>
        <w:t>Section 56(2) states that within six months after the delivery of goods to a consumer, the consumer may return the goods to the supplier, without penalty and at the supplier’s risk and expense, if the good</w:t>
      </w:r>
      <w:r w:rsidR="00C70BDD" w:rsidRPr="004F6EDF">
        <w:rPr>
          <w:sz w:val="24"/>
        </w:rPr>
        <w:t>s fail to satisfy the requirements and standards contemplated in section 55. The supplier must, at the direction of the consumer, either repair or replace the failed, unsafe, or defective goods or refund the consumer the price paid for the</w:t>
      </w:r>
      <w:r w:rsidR="00C70BDD" w:rsidRPr="004F6EDF">
        <w:rPr>
          <w:spacing w:val="-4"/>
          <w:sz w:val="24"/>
        </w:rPr>
        <w:t xml:space="preserve"> </w:t>
      </w:r>
      <w:r w:rsidR="00C70BDD" w:rsidRPr="004F6EDF">
        <w:rPr>
          <w:sz w:val="24"/>
        </w:rPr>
        <w:t>goods.</w:t>
      </w:r>
    </w:p>
    <w:p w:rsidR="00850F35" w:rsidRDefault="00850F35">
      <w:pPr>
        <w:pStyle w:val="BodyText"/>
        <w:rPr>
          <w:sz w:val="26"/>
        </w:rPr>
      </w:pPr>
    </w:p>
    <w:p w:rsidR="00850F35" w:rsidRPr="004F6EDF" w:rsidRDefault="004F6EDF" w:rsidP="004F6EDF">
      <w:pPr>
        <w:tabs>
          <w:tab w:val="left" w:pos="661"/>
        </w:tabs>
        <w:spacing w:before="218" w:line="360" w:lineRule="auto"/>
        <w:ind w:left="660" w:right="229" w:hanging="428"/>
        <w:jc w:val="both"/>
        <w:rPr>
          <w:sz w:val="24"/>
        </w:rPr>
      </w:pPr>
      <w:r>
        <w:rPr>
          <w:spacing w:val="-33"/>
          <w:w w:val="99"/>
          <w:sz w:val="24"/>
          <w:szCs w:val="24"/>
        </w:rPr>
        <w:t>21.</w:t>
      </w:r>
      <w:r>
        <w:rPr>
          <w:spacing w:val="-33"/>
          <w:w w:val="99"/>
          <w:sz w:val="24"/>
          <w:szCs w:val="24"/>
        </w:rPr>
        <w:tab/>
      </w:r>
      <w:r w:rsidR="00C70BDD" w:rsidRPr="004F6EDF">
        <w:rPr>
          <w:sz w:val="24"/>
        </w:rPr>
        <w:t>Section 56(3) states that if a supplier repairs any particular goods and within three months after the repair, the failure, defect, or unsafe feature has not been remedied, the supplier must replace the goods or refund the consumer the price paid for the g</w:t>
      </w:r>
      <w:r w:rsidR="00C70BDD" w:rsidRPr="004F6EDF">
        <w:rPr>
          <w:sz w:val="24"/>
        </w:rPr>
        <w:t>oods.</w:t>
      </w:r>
    </w:p>
    <w:p w:rsidR="00850F35" w:rsidRDefault="00850F35">
      <w:pPr>
        <w:pStyle w:val="BodyText"/>
        <w:spacing w:before="10"/>
        <w:rPr>
          <w:sz w:val="20"/>
        </w:rPr>
      </w:pPr>
    </w:p>
    <w:p w:rsidR="00850F35" w:rsidRDefault="00C70BDD">
      <w:pPr>
        <w:pStyle w:val="Heading1"/>
      </w:pPr>
      <w:r>
        <w:t>CONSIDERATION OF THE EVIDENCE</w:t>
      </w:r>
    </w:p>
    <w:p w:rsidR="00850F35" w:rsidRDefault="00850F35">
      <w:pPr>
        <w:pStyle w:val="BodyText"/>
        <w:spacing w:before="9"/>
        <w:rPr>
          <w:b/>
          <w:sz w:val="32"/>
        </w:rPr>
      </w:pPr>
    </w:p>
    <w:p w:rsidR="00850F35" w:rsidRPr="004F6EDF" w:rsidRDefault="004F6EDF" w:rsidP="004F6EDF">
      <w:pPr>
        <w:tabs>
          <w:tab w:val="left" w:pos="661"/>
        </w:tabs>
        <w:spacing w:line="360" w:lineRule="auto"/>
        <w:ind w:left="660" w:right="227" w:hanging="428"/>
        <w:jc w:val="both"/>
        <w:rPr>
          <w:sz w:val="24"/>
        </w:rPr>
      </w:pPr>
      <w:r>
        <w:rPr>
          <w:spacing w:val="-33"/>
          <w:w w:val="99"/>
          <w:sz w:val="24"/>
          <w:szCs w:val="24"/>
        </w:rPr>
        <w:t>22.</w:t>
      </w:r>
      <w:r>
        <w:rPr>
          <w:spacing w:val="-33"/>
          <w:w w:val="99"/>
          <w:sz w:val="24"/>
          <w:szCs w:val="24"/>
        </w:rPr>
        <w:tab/>
      </w:r>
      <w:r w:rsidR="00C70BDD" w:rsidRPr="004F6EDF">
        <w:rPr>
          <w:sz w:val="24"/>
        </w:rPr>
        <w:t>The vehicle appears to have been presented and sold to the Applicant in an operational and functioning condition. In terms of section 55(2)(b) and (c), it ought to be free of any defects, usable, and durable for a reas</w:t>
      </w:r>
      <w:r w:rsidR="00C70BDD" w:rsidRPr="004F6EDF">
        <w:rPr>
          <w:sz w:val="24"/>
        </w:rPr>
        <w:t>onable period of time. The Respondent admits that the vehicle suffered some damage within the first six months of purchase but denies that the damage amounts to a defect. However, the damage has rendered the goods less acceptable and less useful than perso</w:t>
      </w:r>
      <w:r w:rsidR="00C70BDD" w:rsidRPr="004F6EDF">
        <w:rPr>
          <w:sz w:val="24"/>
        </w:rPr>
        <w:t>ns would generally be reasonably entitled to expect. The damage, therefore, amounts to a defect as defined in section</w:t>
      </w:r>
      <w:r w:rsidR="00C70BDD" w:rsidRPr="004F6EDF">
        <w:rPr>
          <w:spacing w:val="-1"/>
          <w:sz w:val="24"/>
        </w:rPr>
        <w:t xml:space="preserve"> </w:t>
      </w:r>
      <w:r w:rsidR="00C70BDD" w:rsidRPr="004F6EDF">
        <w:rPr>
          <w:sz w:val="24"/>
        </w:rPr>
        <w:t>53(1)(a).</w:t>
      </w:r>
    </w:p>
    <w:p w:rsidR="00850F35" w:rsidRDefault="00850F35">
      <w:pPr>
        <w:spacing w:line="360" w:lineRule="auto"/>
        <w:jc w:val="both"/>
        <w:rPr>
          <w:sz w:val="24"/>
        </w:rPr>
        <w:sectPr w:rsidR="00850F35">
          <w:pgSz w:w="11910" w:h="16840"/>
          <w:pgMar w:top="760" w:right="900" w:bottom="680" w:left="900" w:header="0" w:footer="415" w:gutter="0"/>
          <w:cols w:space="720"/>
        </w:sectPr>
      </w:pPr>
    </w:p>
    <w:p w:rsidR="00850F35" w:rsidRPr="004F6EDF" w:rsidRDefault="004F6EDF" w:rsidP="004F6EDF">
      <w:pPr>
        <w:tabs>
          <w:tab w:val="left" w:pos="661"/>
        </w:tabs>
        <w:spacing w:before="79" w:line="360" w:lineRule="auto"/>
        <w:ind w:left="660" w:right="228" w:hanging="428"/>
        <w:jc w:val="both"/>
        <w:rPr>
          <w:sz w:val="24"/>
        </w:rPr>
      </w:pPr>
      <w:r>
        <w:rPr>
          <w:spacing w:val="-33"/>
          <w:w w:val="99"/>
          <w:sz w:val="24"/>
          <w:szCs w:val="24"/>
        </w:rPr>
        <w:lastRenderedPageBreak/>
        <w:t>23.</w:t>
      </w:r>
      <w:r>
        <w:rPr>
          <w:spacing w:val="-33"/>
          <w:w w:val="99"/>
          <w:sz w:val="24"/>
          <w:szCs w:val="24"/>
        </w:rPr>
        <w:tab/>
      </w:r>
      <w:r w:rsidR="00C70BDD" w:rsidRPr="004F6EDF">
        <w:rPr>
          <w:sz w:val="24"/>
        </w:rPr>
        <w:t>The Tribunal notes that this matter could likely have been resolved had the Applicant allowed the Respondent t</w:t>
      </w:r>
      <w:r w:rsidR="00C70BDD" w:rsidRPr="004F6EDF">
        <w:rPr>
          <w:sz w:val="24"/>
        </w:rPr>
        <w:t>o affect the necessary repairs under the Applicant’s warranty which was in place at the time. However, the Act does not place a duty on a consumer to use a paid warranty to absolve a supplier of its statutory</w:t>
      </w:r>
      <w:r w:rsidR="00C70BDD" w:rsidRPr="004F6EDF">
        <w:rPr>
          <w:spacing w:val="-6"/>
          <w:sz w:val="24"/>
        </w:rPr>
        <w:t xml:space="preserve"> </w:t>
      </w:r>
      <w:r w:rsidR="00C70BDD" w:rsidRPr="004F6EDF">
        <w:rPr>
          <w:sz w:val="24"/>
        </w:rPr>
        <w:t>duty.</w:t>
      </w:r>
    </w:p>
    <w:p w:rsidR="00850F35" w:rsidRDefault="00850F35">
      <w:pPr>
        <w:pStyle w:val="BodyText"/>
        <w:spacing w:before="10"/>
        <w:rPr>
          <w:sz w:val="20"/>
        </w:rPr>
      </w:pPr>
    </w:p>
    <w:p w:rsidR="00850F35" w:rsidRPr="004F6EDF" w:rsidRDefault="004F6EDF" w:rsidP="004F6EDF">
      <w:pPr>
        <w:tabs>
          <w:tab w:val="left" w:pos="661"/>
        </w:tabs>
        <w:spacing w:line="360" w:lineRule="auto"/>
        <w:ind w:left="660" w:right="227" w:hanging="428"/>
        <w:jc w:val="both"/>
        <w:rPr>
          <w:sz w:val="24"/>
        </w:rPr>
      </w:pPr>
      <w:r>
        <w:rPr>
          <w:spacing w:val="-33"/>
          <w:w w:val="99"/>
          <w:sz w:val="24"/>
          <w:szCs w:val="24"/>
        </w:rPr>
        <w:t>24.</w:t>
      </w:r>
      <w:r>
        <w:rPr>
          <w:spacing w:val="-33"/>
          <w:w w:val="99"/>
          <w:sz w:val="24"/>
          <w:szCs w:val="24"/>
        </w:rPr>
        <w:tab/>
      </w:r>
      <w:r w:rsidR="00C70BDD" w:rsidRPr="004F6EDF">
        <w:rPr>
          <w:sz w:val="24"/>
        </w:rPr>
        <w:t>The Applicant submitted that the vehicle</w:t>
      </w:r>
      <w:r w:rsidR="00C70BDD" w:rsidRPr="004F6EDF">
        <w:rPr>
          <w:sz w:val="24"/>
        </w:rPr>
        <w:t xml:space="preserve"> has still not been repaired and has not been in use for the past five years. As a result, it has experienced considerable deterioration. No recent quotation was provided to indicate what the cost of repairs would be at present. However, one can only assum</w:t>
      </w:r>
      <w:r w:rsidR="00C70BDD" w:rsidRPr="004F6EDF">
        <w:rPr>
          <w:sz w:val="24"/>
        </w:rPr>
        <w:t>e that  the quoted  amount  of  R226 022,02 in 2018 would have increased since then, rendering the cost of repairs more than the value of the vehicle in its current</w:t>
      </w:r>
      <w:r w:rsidR="00C70BDD" w:rsidRPr="004F6EDF">
        <w:rPr>
          <w:spacing w:val="-5"/>
          <w:sz w:val="24"/>
        </w:rPr>
        <w:t xml:space="preserve"> </w:t>
      </w:r>
      <w:r w:rsidR="00C70BDD" w:rsidRPr="004F6EDF">
        <w:rPr>
          <w:sz w:val="24"/>
        </w:rPr>
        <w:t>condition.</w:t>
      </w:r>
    </w:p>
    <w:p w:rsidR="00850F35" w:rsidRDefault="00850F35">
      <w:pPr>
        <w:pStyle w:val="BodyText"/>
        <w:spacing w:before="11"/>
        <w:rPr>
          <w:sz w:val="20"/>
        </w:rPr>
      </w:pPr>
    </w:p>
    <w:p w:rsidR="00850F35" w:rsidRPr="004F6EDF" w:rsidRDefault="004F6EDF" w:rsidP="004F6EDF">
      <w:pPr>
        <w:tabs>
          <w:tab w:val="left" w:pos="661"/>
        </w:tabs>
        <w:spacing w:line="360" w:lineRule="auto"/>
        <w:ind w:left="660" w:right="227" w:hanging="428"/>
        <w:jc w:val="both"/>
        <w:rPr>
          <w:sz w:val="24"/>
        </w:rPr>
      </w:pPr>
      <w:r>
        <w:rPr>
          <w:spacing w:val="-33"/>
          <w:w w:val="99"/>
          <w:sz w:val="24"/>
          <w:szCs w:val="24"/>
        </w:rPr>
        <w:t>25.</w:t>
      </w:r>
      <w:r>
        <w:rPr>
          <w:spacing w:val="-33"/>
          <w:w w:val="99"/>
          <w:sz w:val="24"/>
          <w:szCs w:val="24"/>
        </w:rPr>
        <w:tab/>
      </w:r>
      <w:r w:rsidR="00C70BDD" w:rsidRPr="004F6EDF">
        <w:rPr>
          <w:sz w:val="24"/>
        </w:rPr>
        <w:t>The Applicant’s request for a full refund is contrary to the findings in Motus.</w:t>
      </w:r>
      <w:r w:rsidR="00C70BDD" w:rsidRPr="004F6EDF">
        <w:rPr>
          <w:sz w:val="24"/>
        </w:rPr>
        <w:t xml:space="preserve"> In paragraph 43 of the judgment, the court held that the consumer was not entitled to claim a refund of the purchase price before all events stipulated in section 56(3) occurred. In this case, no repairs have taken place. The Respondent was not willing to</w:t>
      </w:r>
      <w:r w:rsidR="00C70BDD" w:rsidRPr="004F6EDF">
        <w:rPr>
          <w:sz w:val="24"/>
        </w:rPr>
        <w:t xml:space="preserve"> repair the vehicle of its own accord, and the Applicant was not willing to use his warranty to cover the cost of the necessary</w:t>
      </w:r>
      <w:r w:rsidR="00C70BDD" w:rsidRPr="004F6EDF">
        <w:rPr>
          <w:spacing w:val="-4"/>
          <w:sz w:val="24"/>
        </w:rPr>
        <w:t xml:space="preserve"> </w:t>
      </w:r>
      <w:r w:rsidR="00C70BDD" w:rsidRPr="004F6EDF">
        <w:rPr>
          <w:sz w:val="24"/>
        </w:rPr>
        <w:t>repairs.</w:t>
      </w:r>
    </w:p>
    <w:p w:rsidR="00850F35" w:rsidRDefault="00850F35">
      <w:pPr>
        <w:pStyle w:val="BodyText"/>
        <w:spacing w:before="8"/>
        <w:rPr>
          <w:sz w:val="20"/>
        </w:rPr>
      </w:pPr>
    </w:p>
    <w:p w:rsidR="00850F35" w:rsidRDefault="00C70BDD">
      <w:pPr>
        <w:pStyle w:val="Heading1"/>
      </w:pPr>
      <w:r>
        <w:t>CONCLUSION</w:t>
      </w:r>
    </w:p>
    <w:p w:rsidR="00850F35" w:rsidRDefault="00850F35">
      <w:pPr>
        <w:pStyle w:val="BodyText"/>
        <w:spacing w:before="11"/>
        <w:rPr>
          <w:b/>
          <w:sz w:val="32"/>
        </w:rPr>
      </w:pPr>
    </w:p>
    <w:p w:rsidR="00850F35" w:rsidRPr="004F6EDF" w:rsidRDefault="004F6EDF" w:rsidP="004F6EDF">
      <w:pPr>
        <w:tabs>
          <w:tab w:val="left" w:pos="661"/>
        </w:tabs>
        <w:spacing w:line="360" w:lineRule="auto"/>
        <w:ind w:left="660" w:right="230" w:hanging="428"/>
        <w:jc w:val="both"/>
        <w:rPr>
          <w:sz w:val="24"/>
        </w:rPr>
      </w:pPr>
      <w:r>
        <w:rPr>
          <w:spacing w:val="-33"/>
          <w:w w:val="99"/>
          <w:sz w:val="24"/>
          <w:szCs w:val="24"/>
        </w:rPr>
        <w:t>26.</w:t>
      </w:r>
      <w:r>
        <w:rPr>
          <w:spacing w:val="-33"/>
          <w:w w:val="99"/>
          <w:sz w:val="24"/>
          <w:szCs w:val="24"/>
        </w:rPr>
        <w:tab/>
      </w:r>
      <w:r w:rsidR="00C70BDD" w:rsidRPr="004F6EDF">
        <w:rPr>
          <w:sz w:val="24"/>
        </w:rPr>
        <w:t>The Respondent failed in its statutory duty in terms of section 56(2)(a) to repair the Applicant’s vehicle</w:t>
      </w:r>
      <w:r w:rsidR="00C70BDD" w:rsidRPr="004F6EDF">
        <w:rPr>
          <w:sz w:val="24"/>
        </w:rPr>
        <w:t>, and this failure has caused the Applicant financial</w:t>
      </w:r>
      <w:r w:rsidR="00C70BDD" w:rsidRPr="004F6EDF">
        <w:rPr>
          <w:spacing w:val="-15"/>
          <w:sz w:val="24"/>
        </w:rPr>
        <w:t xml:space="preserve"> </w:t>
      </w:r>
      <w:r w:rsidR="00C70BDD" w:rsidRPr="004F6EDF">
        <w:rPr>
          <w:sz w:val="24"/>
        </w:rPr>
        <w:t>prejudice.</w:t>
      </w:r>
    </w:p>
    <w:p w:rsidR="00850F35" w:rsidRDefault="00850F35">
      <w:pPr>
        <w:pStyle w:val="BodyText"/>
        <w:spacing w:before="10"/>
        <w:rPr>
          <w:sz w:val="20"/>
        </w:rPr>
      </w:pPr>
    </w:p>
    <w:p w:rsidR="00850F35" w:rsidRPr="004F6EDF" w:rsidRDefault="004F6EDF" w:rsidP="004F6EDF">
      <w:pPr>
        <w:tabs>
          <w:tab w:val="left" w:pos="661"/>
        </w:tabs>
        <w:spacing w:before="1" w:line="360" w:lineRule="auto"/>
        <w:ind w:left="660" w:right="229" w:hanging="428"/>
        <w:jc w:val="both"/>
        <w:rPr>
          <w:sz w:val="24"/>
        </w:rPr>
      </w:pPr>
      <w:r>
        <w:rPr>
          <w:spacing w:val="-33"/>
          <w:w w:val="99"/>
          <w:sz w:val="24"/>
          <w:szCs w:val="24"/>
        </w:rPr>
        <w:t>27.</w:t>
      </w:r>
      <w:r>
        <w:rPr>
          <w:spacing w:val="-33"/>
          <w:w w:val="99"/>
          <w:sz w:val="24"/>
          <w:szCs w:val="24"/>
        </w:rPr>
        <w:tab/>
      </w:r>
      <w:r w:rsidR="00C70BDD" w:rsidRPr="004F6EDF">
        <w:rPr>
          <w:sz w:val="24"/>
        </w:rPr>
        <w:t>On this basis, the Respondent is found to have engaged in prohibited conduct. A finding of prohibited conduct by the Tribunal entitles the Applicant to a certificate from the Chairperson of the Tribunal, which he can submit to a civil court to claim</w:t>
      </w:r>
      <w:r w:rsidR="00C70BDD" w:rsidRPr="004F6EDF">
        <w:rPr>
          <w:spacing w:val="-23"/>
          <w:sz w:val="24"/>
        </w:rPr>
        <w:t xml:space="preserve"> </w:t>
      </w:r>
      <w:r w:rsidR="00C70BDD" w:rsidRPr="004F6EDF">
        <w:rPr>
          <w:sz w:val="24"/>
        </w:rPr>
        <w:t>damage</w:t>
      </w:r>
      <w:r w:rsidR="00C70BDD" w:rsidRPr="004F6EDF">
        <w:rPr>
          <w:sz w:val="24"/>
        </w:rPr>
        <w:t>s.</w:t>
      </w:r>
    </w:p>
    <w:p w:rsidR="00850F35" w:rsidRDefault="00850F35">
      <w:pPr>
        <w:pStyle w:val="BodyText"/>
        <w:spacing w:before="8"/>
        <w:rPr>
          <w:sz w:val="20"/>
        </w:rPr>
      </w:pPr>
    </w:p>
    <w:p w:rsidR="00850F35" w:rsidRDefault="00C70BDD">
      <w:pPr>
        <w:pStyle w:val="Heading1"/>
      </w:pPr>
      <w:r>
        <w:t>ORDER</w:t>
      </w:r>
    </w:p>
    <w:p w:rsidR="00850F35" w:rsidRDefault="00850F35">
      <w:pPr>
        <w:pStyle w:val="BodyText"/>
        <w:rPr>
          <w:b/>
          <w:sz w:val="33"/>
        </w:rPr>
      </w:pPr>
    </w:p>
    <w:p w:rsidR="00850F35" w:rsidRPr="004F6EDF" w:rsidRDefault="004F6EDF" w:rsidP="004F6EDF">
      <w:pPr>
        <w:tabs>
          <w:tab w:val="left" w:pos="661"/>
        </w:tabs>
        <w:ind w:left="660" w:hanging="429"/>
        <w:rPr>
          <w:sz w:val="24"/>
        </w:rPr>
      </w:pPr>
      <w:r>
        <w:rPr>
          <w:spacing w:val="-33"/>
          <w:w w:val="99"/>
          <w:sz w:val="24"/>
          <w:szCs w:val="24"/>
        </w:rPr>
        <w:t>28.</w:t>
      </w:r>
      <w:r>
        <w:rPr>
          <w:spacing w:val="-33"/>
          <w:w w:val="99"/>
          <w:sz w:val="24"/>
          <w:szCs w:val="24"/>
        </w:rPr>
        <w:tab/>
      </w:r>
      <w:r w:rsidR="00C70BDD" w:rsidRPr="004F6EDF">
        <w:rPr>
          <w:sz w:val="24"/>
        </w:rPr>
        <w:t>Accordingly, the Tribunal makes the following</w:t>
      </w:r>
      <w:r w:rsidR="00C70BDD" w:rsidRPr="004F6EDF">
        <w:rPr>
          <w:spacing w:val="-6"/>
          <w:sz w:val="24"/>
        </w:rPr>
        <w:t xml:space="preserve"> </w:t>
      </w:r>
      <w:r w:rsidR="00C70BDD" w:rsidRPr="004F6EDF">
        <w:rPr>
          <w:sz w:val="24"/>
        </w:rPr>
        <w:t>order:</w:t>
      </w:r>
    </w:p>
    <w:p w:rsidR="00850F35" w:rsidRDefault="00850F35">
      <w:pPr>
        <w:pStyle w:val="BodyText"/>
        <w:spacing w:before="9"/>
        <w:rPr>
          <w:sz w:val="32"/>
        </w:rPr>
      </w:pPr>
    </w:p>
    <w:p w:rsidR="00850F35" w:rsidRPr="004F6EDF" w:rsidRDefault="004F6EDF" w:rsidP="004F6EDF">
      <w:pPr>
        <w:tabs>
          <w:tab w:val="left" w:pos="1227"/>
        </w:tabs>
        <w:ind w:left="1226" w:hanging="567"/>
        <w:rPr>
          <w:sz w:val="24"/>
        </w:rPr>
      </w:pPr>
      <w:r>
        <w:rPr>
          <w:w w:val="99"/>
          <w:sz w:val="24"/>
          <w:szCs w:val="24"/>
        </w:rPr>
        <w:t>28.1</w:t>
      </w:r>
      <w:r>
        <w:rPr>
          <w:w w:val="99"/>
          <w:sz w:val="24"/>
          <w:szCs w:val="24"/>
        </w:rPr>
        <w:tab/>
      </w:r>
      <w:r w:rsidR="00C70BDD" w:rsidRPr="004F6EDF">
        <w:rPr>
          <w:sz w:val="24"/>
        </w:rPr>
        <w:t>The Respondent contravened section 56(2)(a) of the</w:t>
      </w:r>
      <w:r w:rsidR="00C70BDD" w:rsidRPr="004F6EDF">
        <w:rPr>
          <w:spacing w:val="1"/>
          <w:sz w:val="24"/>
        </w:rPr>
        <w:t xml:space="preserve"> </w:t>
      </w:r>
      <w:r w:rsidR="00C70BDD" w:rsidRPr="004F6EDF">
        <w:rPr>
          <w:sz w:val="24"/>
        </w:rPr>
        <w:t>CPA;</w:t>
      </w:r>
    </w:p>
    <w:p w:rsidR="00850F35" w:rsidRDefault="00850F35">
      <w:pPr>
        <w:pStyle w:val="BodyText"/>
        <w:rPr>
          <w:sz w:val="26"/>
        </w:rPr>
      </w:pPr>
    </w:p>
    <w:p w:rsidR="00850F35" w:rsidRDefault="00850F35">
      <w:pPr>
        <w:pStyle w:val="BodyText"/>
        <w:spacing w:before="1"/>
        <w:rPr>
          <w:sz w:val="22"/>
        </w:rPr>
      </w:pPr>
    </w:p>
    <w:p w:rsidR="00850F35" w:rsidRPr="004F6EDF" w:rsidRDefault="004F6EDF" w:rsidP="004F6EDF">
      <w:pPr>
        <w:tabs>
          <w:tab w:val="left" w:pos="1261"/>
        </w:tabs>
        <w:spacing w:line="360" w:lineRule="auto"/>
        <w:ind w:left="1226" w:right="1344" w:hanging="569"/>
        <w:rPr>
          <w:sz w:val="24"/>
        </w:rPr>
      </w:pPr>
      <w:r>
        <w:rPr>
          <w:w w:val="99"/>
          <w:sz w:val="24"/>
          <w:szCs w:val="24"/>
        </w:rPr>
        <w:t>28.2</w:t>
      </w:r>
      <w:r>
        <w:rPr>
          <w:w w:val="99"/>
          <w:sz w:val="24"/>
          <w:szCs w:val="24"/>
        </w:rPr>
        <w:tab/>
      </w:r>
      <w:r w:rsidR="00C70BDD" w:rsidRPr="004F6EDF">
        <w:rPr>
          <w:sz w:val="24"/>
        </w:rPr>
        <w:t>The Respondent’s contravention of section 56(2)(a) is hereby declared prohibited</w:t>
      </w:r>
      <w:r w:rsidR="00C70BDD" w:rsidRPr="004F6EDF">
        <w:rPr>
          <w:spacing w:val="-1"/>
          <w:sz w:val="24"/>
        </w:rPr>
        <w:t xml:space="preserve"> </w:t>
      </w:r>
      <w:r w:rsidR="00C70BDD" w:rsidRPr="004F6EDF">
        <w:rPr>
          <w:sz w:val="24"/>
        </w:rPr>
        <w:t>conduct;</w:t>
      </w:r>
    </w:p>
    <w:p w:rsidR="00850F35" w:rsidRDefault="00850F35">
      <w:pPr>
        <w:pStyle w:val="BodyText"/>
        <w:rPr>
          <w:sz w:val="26"/>
        </w:rPr>
      </w:pPr>
    </w:p>
    <w:p w:rsidR="00850F35" w:rsidRPr="004F6EDF" w:rsidRDefault="004F6EDF" w:rsidP="004F6EDF">
      <w:pPr>
        <w:tabs>
          <w:tab w:val="left" w:pos="1227"/>
        </w:tabs>
        <w:spacing w:before="219" w:line="360" w:lineRule="auto"/>
        <w:ind w:left="1226" w:right="226" w:hanging="569"/>
        <w:rPr>
          <w:sz w:val="24"/>
        </w:rPr>
      </w:pPr>
      <w:r>
        <w:rPr>
          <w:w w:val="99"/>
          <w:sz w:val="24"/>
          <w:szCs w:val="24"/>
        </w:rPr>
        <w:t>28.3</w:t>
      </w:r>
      <w:r>
        <w:rPr>
          <w:w w:val="99"/>
          <w:sz w:val="24"/>
          <w:szCs w:val="24"/>
        </w:rPr>
        <w:tab/>
      </w:r>
      <w:r w:rsidR="00C70BDD" w:rsidRPr="004F6EDF">
        <w:rPr>
          <w:sz w:val="24"/>
        </w:rPr>
        <w:t>The Applicant may approach the Chairperson of the Tribunal for a certificate in terms of section 115(2)(b) of the CPA to claim damages in a civil court;</w:t>
      </w:r>
      <w:r w:rsidR="00C70BDD" w:rsidRPr="004F6EDF">
        <w:rPr>
          <w:spacing w:val="-11"/>
          <w:sz w:val="24"/>
        </w:rPr>
        <w:t xml:space="preserve"> </w:t>
      </w:r>
      <w:r w:rsidR="00C70BDD" w:rsidRPr="004F6EDF">
        <w:rPr>
          <w:sz w:val="24"/>
        </w:rPr>
        <w:t>and</w:t>
      </w:r>
    </w:p>
    <w:p w:rsidR="00850F35" w:rsidRDefault="00850F35">
      <w:pPr>
        <w:spacing w:line="360" w:lineRule="auto"/>
        <w:rPr>
          <w:sz w:val="24"/>
        </w:rPr>
        <w:sectPr w:rsidR="00850F35">
          <w:pgSz w:w="11910" w:h="16840"/>
          <w:pgMar w:top="760" w:right="900" w:bottom="680" w:left="900" w:header="0" w:footer="415" w:gutter="0"/>
          <w:cols w:space="720"/>
        </w:sectPr>
      </w:pPr>
    </w:p>
    <w:p w:rsidR="00850F35" w:rsidRPr="004F6EDF" w:rsidRDefault="004F6EDF" w:rsidP="004F6EDF">
      <w:pPr>
        <w:tabs>
          <w:tab w:val="left" w:pos="1294"/>
        </w:tabs>
        <w:spacing w:before="79"/>
        <w:ind w:left="1294" w:hanging="636"/>
        <w:rPr>
          <w:sz w:val="24"/>
        </w:rPr>
      </w:pPr>
      <w:r>
        <w:rPr>
          <w:w w:val="99"/>
          <w:sz w:val="24"/>
          <w:szCs w:val="24"/>
        </w:rPr>
        <w:lastRenderedPageBreak/>
        <w:t>28.4</w:t>
      </w:r>
      <w:r>
        <w:rPr>
          <w:w w:val="99"/>
          <w:sz w:val="24"/>
          <w:szCs w:val="24"/>
        </w:rPr>
        <w:tab/>
      </w:r>
      <w:r w:rsidR="00C70BDD" w:rsidRPr="004F6EDF">
        <w:rPr>
          <w:sz w:val="24"/>
        </w:rPr>
        <w:t>There is no cost</w:t>
      </w:r>
      <w:r w:rsidR="00C70BDD" w:rsidRPr="004F6EDF">
        <w:rPr>
          <w:spacing w:val="-1"/>
          <w:sz w:val="24"/>
        </w:rPr>
        <w:t xml:space="preserve"> </w:t>
      </w:r>
      <w:r w:rsidR="00C70BDD" w:rsidRPr="004F6EDF">
        <w:rPr>
          <w:sz w:val="24"/>
        </w:rPr>
        <w:t>order.</w:t>
      </w:r>
    </w:p>
    <w:p w:rsidR="00850F35" w:rsidRDefault="00850F35">
      <w:pPr>
        <w:pStyle w:val="BodyText"/>
        <w:rPr>
          <w:sz w:val="26"/>
        </w:rPr>
      </w:pPr>
    </w:p>
    <w:p w:rsidR="00850F35" w:rsidRDefault="00850F35">
      <w:pPr>
        <w:pStyle w:val="BodyText"/>
        <w:rPr>
          <w:sz w:val="26"/>
        </w:rPr>
      </w:pPr>
    </w:p>
    <w:p w:rsidR="00850F35" w:rsidRDefault="00C70BDD">
      <w:pPr>
        <w:pStyle w:val="BodyText"/>
        <w:spacing w:before="189"/>
        <w:ind w:left="232"/>
      </w:pPr>
      <w:r>
        <w:t>DATED ON THIS 4</w:t>
      </w:r>
      <w:r>
        <w:rPr>
          <w:position w:val="8"/>
          <w:sz w:val="16"/>
        </w:rPr>
        <w:t xml:space="preserve">TH </w:t>
      </w:r>
      <w:r>
        <w:t>DAY OF FEBRUARY 2023.</w:t>
      </w:r>
    </w:p>
    <w:p w:rsidR="00850F35" w:rsidRDefault="00850F35">
      <w:pPr>
        <w:pStyle w:val="BodyText"/>
        <w:rPr>
          <w:sz w:val="28"/>
        </w:rPr>
      </w:pPr>
    </w:p>
    <w:p w:rsidR="00850F35" w:rsidRDefault="00850F35">
      <w:pPr>
        <w:pStyle w:val="BodyText"/>
        <w:rPr>
          <w:sz w:val="28"/>
        </w:rPr>
      </w:pPr>
    </w:p>
    <w:p w:rsidR="00850F35" w:rsidRDefault="00850F35">
      <w:pPr>
        <w:pStyle w:val="BodyText"/>
        <w:spacing w:before="10"/>
        <w:rPr>
          <w:sz w:val="27"/>
        </w:rPr>
      </w:pPr>
    </w:p>
    <w:p w:rsidR="00850F35" w:rsidRDefault="00C70BDD">
      <w:pPr>
        <w:pStyle w:val="BodyText"/>
        <w:spacing w:before="1"/>
        <w:ind w:left="232"/>
      </w:pPr>
      <w:r>
        <w:t>Adv C Sassman</w:t>
      </w:r>
    </w:p>
    <w:p w:rsidR="00850F35" w:rsidRDefault="00C70BDD">
      <w:pPr>
        <w:pStyle w:val="BodyText"/>
        <w:spacing w:before="139"/>
        <w:ind w:left="232"/>
      </w:pPr>
      <w:r>
        <w:rPr>
          <w:u w:val="single"/>
        </w:rPr>
        <w:t>Presiding Tribunal Member</w:t>
      </w:r>
    </w:p>
    <w:p w:rsidR="00850F35" w:rsidRDefault="00850F35">
      <w:pPr>
        <w:pStyle w:val="BodyText"/>
        <w:rPr>
          <w:sz w:val="20"/>
        </w:rPr>
      </w:pPr>
    </w:p>
    <w:p w:rsidR="00850F35" w:rsidRDefault="00850F35">
      <w:pPr>
        <w:pStyle w:val="BodyText"/>
        <w:spacing w:before="11"/>
        <w:rPr>
          <w:sz w:val="19"/>
        </w:rPr>
      </w:pPr>
    </w:p>
    <w:p w:rsidR="00850F35" w:rsidRDefault="00C70BDD">
      <w:pPr>
        <w:pStyle w:val="BodyText"/>
        <w:spacing w:before="92"/>
        <w:ind w:left="232"/>
      </w:pPr>
      <w:r>
        <w:t>Tribunal Members Mr S Hockey and Adv S Mbhele concur.</w:t>
      </w:r>
    </w:p>
    <w:p w:rsidR="00850F35" w:rsidRDefault="00850F35">
      <w:pPr>
        <w:pStyle w:val="BodyText"/>
        <w:rPr>
          <w:sz w:val="20"/>
        </w:rPr>
      </w:pPr>
    </w:p>
    <w:p w:rsidR="00850F35" w:rsidRDefault="00C70BDD">
      <w:pPr>
        <w:pStyle w:val="BodyText"/>
        <w:spacing w:before="5"/>
      </w:pPr>
      <w:r>
        <w:rPr>
          <w:noProof/>
          <w:lang w:bidi="ar-SA"/>
        </w:rPr>
        <w:drawing>
          <wp:anchor distT="0" distB="0" distL="0" distR="0" simplePos="0" relativeHeight="2" behindDoc="0" locked="0" layoutInCell="1" allowOverlap="1">
            <wp:simplePos x="0" y="0"/>
            <wp:positionH relativeFrom="page">
              <wp:posOffset>720090</wp:posOffset>
            </wp:positionH>
            <wp:positionV relativeFrom="paragraph">
              <wp:posOffset>203800</wp:posOffset>
            </wp:positionV>
            <wp:extent cx="2687269" cy="143332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687269" cy="1433322"/>
                    </a:xfrm>
                    <a:prstGeom prst="rect">
                      <a:avLst/>
                    </a:prstGeom>
                  </pic:spPr>
                </pic:pic>
              </a:graphicData>
            </a:graphic>
          </wp:anchor>
        </w:drawing>
      </w:r>
    </w:p>
    <w:sectPr w:rsidR="00850F35">
      <w:pgSz w:w="11910" w:h="16840"/>
      <w:pgMar w:top="760" w:right="900" w:bottom="680" w:left="900" w:header="0" w:footer="41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BDD" w:rsidRDefault="00C70BDD">
      <w:r>
        <w:separator/>
      </w:r>
    </w:p>
  </w:endnote>
  <w:endnote w:type="continuationSeparator" w:id="0">
    <w:p w:rsidR="00C70BDD" w:rsidRDefault="00C70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F35" w:rsidRDefault="00C70BDD">
    <w:pPr>
      <w:pStyle w:val="BodyText"/>
      <w:spacing w:line="14" w:lineRule="auto"/>
      <w:rPr>
        <w:sz w:val="14"/>
      </w:rPr>
    </w:pPr>
    <w:r>
      <w:pict>
        <v:shapetype id="_x0000_t202" coordsize="21600,21600" o:spt="202" path="m,l,21600r21600,l21600,xe">
          <v:stroke joinstyle="miter"/>
          <v:path gradientshapeok="t" o:connecttype="rect"/>
        </v:shapetype>
        <v:shape id="_x0000_s2049" type="#_x0000_t202" style="position:absolute;margin-left:277.7pt;margin-top:806.7pt;width:39.75pt;height:12.35pt;z-index:-251658752;mso-position-horizontal-relative:page;mso-position-vertical-relative:page" filled="f" stroked="f">
          <v:textbox inset="0,0,0,0">
            <w:txbxContent>
              <w:p w:rsidR="00850F35" w:rsidRDefault="00C70BDD">
                <w:pPr>
                  <w:spacing w:before="19"/>
                  <w:ind w:left="20"/>
                  <w:rPr>
                    <w:rFonts w:ascii="Arial Narrow"/>
                    <w:b/>
                    <w:sz w:val="18"/>
                  </w:rPr>
                </w:pPr>
                <w:r>
                  <w:rPr>
                    <w:rFonts w:ascii="Arial Narrow"/>
                    <w:sz w:val="18"/>
                  </w:rPr>
                  <w:t xml:space="preserve">Page </w:t>
                </w:r>
                <w:r>
                  <w:fldChar w:fldCharType="begin"/>
                </w:r>
                <w:r>
                  <w:rPr>
                    <w:rFonts w:ascii="Arial Narrow"/>
                    <w:b/>
                    <w:sz w:val="18"/>
                  </w:rPr>
                  <w:instrText xml:space="preserve"> PAGE </w:instrText>
                </w:r>
                <w:r>
                  <w:fldChar w:fldCharType="separate"/>
                </w:r>
                <w:r w:rsidR="004F6EDF">
                  <w:rPr>
                    <w:rFonts w:ascii="Arial Narrow"/>
                    <w:b/>
                    <w:noProof/>
                    <w:sz w:val="18"/>
                  </w:rPr>
                  <w:t>2</w:t>
                </w:r>
                <w:r>
                  <w:fldChar w:fldCharType="end"/>
                </w:r>
                <w:r>
                  <w:rPr>
                    <w:rFonts w:ascii="Arial Narrow"/>
                    <w:b/>
                    <w:sz w:val="18"/>
                  </w:rPr>
                  <w:t xml:space="preserve"> </w:t>
                </w:r>
                <w:r>
                  <w:rPr>
                    <w:rFonts w:ascii="Arial Narrow"/>
                    <w:sz w:val="18"/>
                  </w:rPr>
                  <w:t xml:space="preserve">of </w:t>
                </w:r>
                <w:r>
                  <w:rPr>
                    <w:rFonts w:ascii="Arial Narrow"/>
                    <w:b/>
                    <w:sz w:val="18"/>
                  </w:rPr>
                  <w:t>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BDD" w:rsidRDefault="00C70BDD">
      <w:r>
        <w:separator/>
      </w:r>
    </w:p>
  </w:footnote>
  <w:footnote w:type="continuationSeparator" w:id="0">
    <w:p w:rsidR="00C70BDD" w:rsidRDefault="00C70B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A0E93"/>
    <w:multiLevelType w:val="multilevel"/>
    <w:tmpl w:val="407EA3B0"/>
    <w:lvl w:ilvl="0">
      <w:start w:val="10"/>
      <w:numFmt w:val="decimal"/>
      <w:lvlText w:val="%1"/>
      <w:lvlJc w:val="left"/>
      <w:pPr>
        <w:ind w:left="1195" w:hanging="536"/>
        <w:jc w:val="left"/>
      </w:pPr>
      <w:rPr>
        <w:rFonts w:hint="default"/>
        <w:lang w:val="en-ZA" w:eastAsia="en-ZA" w:bidi="en-ZA"/>
      </w:rPr>
    </w:lvl>
    <w:lvl w:ilvl="1">
      <w:start w:val="1"/>
      <w:numFmt w:val="decimal"/>
      <w:lvlText w:val="%1.%2"/>
      <w:lvlJc w:val="left"/>
      <w:pPr>
        <w:ind w:left="1195" w:hanging="536"/>
        <w:jc w:val="left"/>
      </w:pPr>
      <w:rPr>
        <w:rFonts w:ascii="Arial" w:eastAsia="Arial" w:hAnsi="Arial" w:cs="Arial" w:hint="default"/>
        <w:w w:val="99"/>
        <w:sz w:val="24"/>
        <w:szCs w:val="24"/>
        <w:lang w:val="en-ZA" w:eastAsia="en-ZA" w:bidi="en-ZA"/>
      </w:rPr>
    </w:lvl>
    <w:lvl w:ilvl="2">
      <w:numFmt w:val="bullet"/>
      <w:lvlText w:val="•"/>
      <w:lvlJc w:val="left"/>
      <w:pPr>
        <w:ind w:left="2981" w:hanging="536"/>
      </w:pPr>
      <w:rPr>
        <w:rFonts w:hint="default"/>
        <w:lang w:val="en-ZA" w:eastAsia="en-ZA" w:bidi="en-ZA"/>
      </w:rPr>
    </w:lvl>
    <w:lvl w:ilvl="3">
      <w:numFmt w:val="bullet"/>
      <w:lvlText w:val="•"/>
      <w:lvlJc w:val="left"/>
      <w:pPr>
        <w:ind w:left="3871" w:hanging="536"/>
      </w:pPr>
      <w:rPr>
        <w:rFonts w:hint="default"/>
        <w:lang w:val="en-ZA" w:eastAsia="en-ZA" w:bidi="en-ZA"/>
      </w:rPr>
    </w:lvl>
    <w:lvl w:ilvl="4">
      <w:numFmt w:val="bullet"/>
      <w:lvlText w:val="•"/>
      <w:lvlJc w:val="left"/>
      <w:pPr>
        <w:ind w:left="4762" w:hanging="536"/>
      </w:pPr>
      <w:rPr>
        <w:rFonts w:hint="default"/>
        <w:lang w:val="en-ZA" w:eastAsia="en-ZA" w:bidi="en-ZA"/>
      </w:rPr>
    </w:lvl>
    <w:lvl w:ilvl="5">
      <w:numFmt w:val="bullet"/>
      <w:lvlText w:val="•"/>
      <w:lvlJc w:val="left"/>
      <w:pPr>
        <w:ind w:left="5653" w:hanging="536"/>
      </w:pPr>
      <w:rPr>
        <w:rFonts w:hint="default"/>
        <w:lang w:val="en-ZA" w:eastAsia="en-ZA" w:bidi="en-ZA"/>
      </w:rPr>
    </w:lvl>
    <w:lvl w:ilvl="6">
      <w:numFmt w:val="bullet"/>
      <w:lvlText w:val="•"/>
      <w:lvlJc w:val="left"/>
      <w:pPr>
        <w:ind w:left="6543" w:hanging="536"/>
      </w:pPr>
      <w:rPr>
        <w:rFonts w:hint="default"/>
        <w:lang w:val="en-ZA" w:eastAsia="en-ZA" w:bidi="en-ZA"/>
      </w:rPr>
    </w:lvl>
    <w:lvl w:ilvl="7">
      <w:numFmt w:val="bullet"/>
      <w:lvlText w:val="•"/>
      <w:lvlJc w:val="left"/>
      <w:pPr>
        <w:ind w:left="7434" w:hanging="536"/>
      </w:pPr>
      <w:rPr>
        <w:rFonts w:hint="default"/>
        <w:lang w:val="en-ZA" w:eastAsia="en-ZA" w:bidi="en-ZA"/>
      </w:rPr>
    </w:lvl>
    <w:lvl w:ilvl="8">
      <w:numFmt w:val="bullet"/>
      <w:lvlText w:val="•"/>
      <w:lvlJc w:val="left"/>
      <w:pPr>
        <w:ind w:left="8325" w:hanging="536"/>
      </w:pPr>
      <w:rPr>
        <w:rFonts w:hint="default"/>
        <w:lang w:val="en-ZA" w:eastAsia="en-ZA" w:bidi="en-ZA"/>
      </w:rPr>
    </w:lvl>
  </w:abstractNum>
  <w:abstractNum w:abstractNumId="1" w15:restartNumberingAfterBreak="0">
    <w:nsid w:val="3FEA38CE"/>
    <w:multiLevelType w:val="multilevel"/>
    <w:tmpl w:val="1E54CD82"/>
    <w:lvl w:ilvl="0">
      <w:start w:val="1"/>
      <w:numFmt w:val="decimal"/>
      <w:lvlText w:val="%1."/>
      <w:lvlJc w:val="left"/>
      <w:pPr>
        <w:ind w:left="660" w:hanging="428"/>
        <w:jc w:val="left"/>
      </w:pPr>
      <w:rPr>
        <w:rFonts w:ascii="Arial" w:eastAsia="Arial" w:hAnsi="Arial" w:cs="Arial" w:hint="default"/>
        <w:spacing w:val="-33"/>
        <w:w w:val="99"/>
        <w:sz w:val="24"/>
        <w:szCs w:val="24"/>
        <w:lang w:val="en-ZA" w:eastAsia="en-ZA" w:bidi="en-ZA"/>
      </w:rPr>
    </w:lvl>
    <w:lvl w:ilvl="1">
      <w:start w:val="1"/>
      <w:numFmt w:val="decimal"/>
      <w:lvlText w:val="%1.%2"/>
      <w:lvlJc w:val="left"/>
      <w:pPr>
        <w:ind w:left="1226" w:hanging="567"/>
        <w:jc w:val="left"/>
      </w:pPr>
      <w:rPr>
        <w:rFonts w:ascii="Arial" w:eastAsia="Arial" w:hAnsi="Arial" w:cs="Arial" w:hint="default"/>
        <w:w w:val="99"/>
        <w:sz w:val="24"/>
        <w:szCs w:val="24"/>
        <w:lang w:val="en-ZA" w:eastAsia="en-ZA" w:bidi="en-ZA"/>
      </w:rPr>
    </w:lvl>
    <w:lvl w:ilvl="2">
      <w:numFmt w:val="bullet"/>
      <w:lvlText w:val="•"/>
      <w:lvlJc w:val="left"/>
      <w:pPr>
        <w:ind w:left="2207" w:hanging="567"/>
      </w:pPr>
      <w:rPr>
        <w:rFonts w:hint="default"/>
        <w:lang w:val="en-ZA" w:eastAsia="en-ZA" w:bidi="en-ZA"/>
      </w:rPr>
    </w:lvl>
    <w:lvl w:ilvl="3">
      <w:numFmt w:val="bullet"/>
      <w:lvlText w:val="•"/>
      <w:lvlJc w:val="left"/>
      <w:pPr>
        <w:ind w:left="3194" w:hanging="567"/>
      </w:pPr>
      <w:rPr>
        <w:rFonts w:hint="default"/>
        <w:lang w:val="en-ZA" w:eastAsia="en-ZA" w:bidi="en-ZA"/>
      </w:rPr>
    </w:lvl>
    <w:lvl w:ilvl="4">
      <w:numFmt w:val="bullet"/>
      <w:lvlText w:val="•"/>
      <w:lvlJc w:val="left"/>
      <w:pPr>
        <w:ind w:left="4182" w:hanging="567"/>
      </w:pPr>
      <w:rPr>
        <w:rFonts w:hint="default"/>
        <w:lang w:val="en-ZA" w:eastAsia="en-ZA" w:bidi="en-ZA"/>
      </w:rPr>
    </w:lvl>
    <w:lvl w:ilvl="5">
      <w:numFmt w:val="bullet"/>
      <w:lvlText w:val="•"/>
      <w:lvlJc w:val="left"/>
      <w:pPr>
        <w:ind w:left="5169" w:hanging="567"/>
      </w:pPr>
      <w:rPr>
        <w:rFonts w:hint="default"/>
        <w:lang w:val="en-ZA" w:eastAsia="en-ZA" w:bidi="en-ZA"/>
      </w:rPr>
    </w:lvl>
    <w:lvl w:ilvl="6">
      <w:numFmt w:val="bullet"/>
      <w:lvlText w:val="•"/>
      <w:lvlJc w:val="left"/>
      <w:pPr>
        <w:ind w:left="6156" w:hanging="567"/>
      </w:pPr>
      <w:rPr>
        <w:rFonts w:hint="default"/>
        <w:lang w:val="en-ZA" w:eastAsia="en-ZA" w:bidi="en-ZA"/>
      </w:rPr>
    </w:lvl>
    <w:lvl w:ilvl="7">
      <w:numFmt w:val="bullet"/>
      <w:lvlText w:val="•"/>
      <w:lvlJc w:val="left"/>
      <w:pPr>
        <w:ind w:left="7144" w:hanging="567"/>
      </w:pPr>
      <w:rPr>
        <w:rFonts w:hint="default"/>
        <w:lang w:val="en-ZA" w:eastAsia="en-ZA" w:bidi="en-ZA"/>
      </w:rPr>
    </w:lvl>
    <w:lvl w:ilvl="8">
      <w:numFmt w:val="bullet"/>
      <w:lvlText w:val="•"/>
      <w:lvlJc w:val="left"/>
      <w:pPr>
        <w:ind w:left="8131" w:hanging="567"/>
      </w:pPr>
      <w:rPr>
        <w:rFonts w:hint="default"/>
        <w:lang w:val="en-ZA" w:eastAsia="en-ZA" w:bidi="en-Z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50F35"/>
    <w:rsid w:val="004F6EDF"/>
    <w:rsid w:val="00850F35"/>
    <w:rsid w:val="00C70BD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5EF0742-F163-47CE-BC29-66C197F0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ZA" w:eastAsia="en-ZA" w:bidi="en-ZA"/>
    </w:rPr>
  </w:style>
  <w:style w:type="paragraph" w:styleId="Heading1">
    <w:name w:val="heading 1"/>
    <w:basedOn w:val="Normal"/>
    <w:uiPriority w:val="1"/>
    <w:qFormat/>
    <w:pPr>
      <w:ind w:left="23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60" w:hanging="428"/>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1807</Words>
  <Characters>10305</Characters>
  <Application>Microsoft Office Word</Application>
  <DocSecurity>0</DocSecurity>
  <Lines>85</Lines>
  <Paragraphs>24</Paragraphs>
  <ScaleCrop>false</ScaleCrop>
  <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 Burger</dc:creator>
  <cp:lastModifiedBy>Mary Bruce</cp:lastModifiedBy>
  <cp:revision>2</cp:revision>
  <dcterms:created xsi:type="dcterms:W3CDTF">2023-04-12T12:07:00Z</dcterms:created>
  <dcterms:modified xsi:type="dcterms:W3CDTF">2023-04-12T12:10:00Z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2023-02-09T00:00:00Z</vt:filetime>
  </property>
  <property fmtid="{D5CDD505-2E9C-101B-9397-08002B2CF9AE}" pid="3" name="Creator">
    <vt:lpwstr>Microsoft® Word for Microsoft 365</vt:lpwstr>
  </property>
  <property fmtid="{D5CDD505-2E9C-101B-9397-08002B2CF9AE}" pid="4" name="LastSaved">
    <vt:filetime>2023-04-12T00:00:00Z</vt:filetime>
  </property>
</Properties>
</file>