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0623F" w14:textId="77777777" w:rsidR="00003363" w:rsidRPr="00E2374C" w:rsidRDefault="00003363" w:rsidP="00003363">
      <w:pPr>
        <w:rPr>
          <w:b/>
          <w:bCs/>
          <w:sz w:val="28"/>
          <w:szCs w:val="28"/>
        </w:rPr>
      </w:pPr>
    </w:p>
    <w:p w14:paraId="78D61666" w14:textId="77777777" w:rsidR="00003363" w:rsidRPr="00E2374C" w:rsidRDefault="00003363">
      <w:pPr>
        <w:jc w:val="center"/>
        <w:rPr>
          <w:b/>
          <w:bCs/>
          <w:sz w:val="28"/>
          <w:szCs w:val="28"/>
        </w:rPr>
      </w:pPr>
    </w:p>
    <w:p w14:paraId="48264FA6" w14:textId="77777777" w:rsidR="00003363" w:rsidRPr="00E2374C" w:rsidRDefault="00003363">
      <w:pPr>
        <w:jc w:val="center"/>
        <w:rPr>
          <w:b/>
          <w:bCs/>
          <w:sz w:val="28"/>
          <w:szCs w:val="28"/>
        </w:rPr>
      </w:pPr>
    </w:p>
    <w:p w14:paraId="00CA723E" w14:textId="77777777" w:rsidR="00003363" w:rsidRPr="00420A97" w:rsidRDefault="00817CD4" w:rsidP="00003363">
      <w:pPr>
        <w:jc w:val="center"/>
        <w:rPr>
          <w:b/>
          <w:bCs/>
          <w:sz w:val="28"/>
          <w:szCs w:val="28"/>
        </w:rPr>
      </w:pPr>
      <w:r w:rsidRPr="00420A97">
        <w:rPr>
          <w:noProof/>
          <w:lang w:val="en-US"/>
        </w:rPr>
        <w:drawing>
          <wp:anchor distT="0" distB="0" distL="114300" distR="114300" simplePos="0" relativeHeight="251659776" behindDoc="0" locked="0" layoutInCell="1" allowOverlap="1" wp14:anchorId="2DA2A53F" wp14:editId="53AA1CC8">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718D6D51" w14:textId="77777777" w:rsidR="00003363" w:rsidRPr="00420A97" w:rsidRDefault="00003363" w:rsidP="00003363">
      <w:pPr>
        <w:spacing w:line="360" w:lineRule="auto"/>
        <w:jc w:val="center"/>
        <w:rPr>
          <w:b/>
          <w:bCs/>
          <w:sz w:val="28"/>
          <w:szCs w:val="28"/>
        </w:rPr>
      </w:pPr>
    </w:p>
    <w:p w14:paraId="59A7B07D" w14:textId="77777777" w:rsidR="00003363" w:rsidRPr="00420A97" w:rsidRDefault="00003363" w:rsidP="00003363">
      <w:pPr>
        <w:spacing w:line="360" w:lineRule="auto"/>
        <w:jc w:val="center"/>
        <w:rPr>
          <w:b/>
          <w:bCs/>
          <w:sz w:val="28"/>
          <w:szCs w:val="28"/>
        </w:rPr>
      </w:pPr>
      <w:r w:rsidRPr="00420A97">
        <w:rPr>
          <w:b/>
          <w:bCs/>
          <w:sz w:val="28"/>
          <w:szCs w:val="28"/>
        </w:rPr>
        <w:t>THE SUPREME COURT OF APPEAL OF SOUTH AFRICA</w:t>
      </w:r>
    </w:p>
    <w:p w14:paraId="112A9EBA" w14:textId="77777777" w:rsidR="00003363" w:rsidRPr="00420A97" w:rsidRDefault="00003363" w:rsidP="00003363">
      <w:pPr>
        <w:pStyle w:val="Heading3"/>
        <w:jc w:val="center"/>
        <w:rPr>
          <w:rFonts w:ascii="Times New Roman" w:hAnsi="Times New Roman" w:cs="Times New Roman"/>
          <w:b/>
          <w:i w:val="0"/>
          <w:szCs w:val="28"/>
        </w:rPr>
      </w:pPr>
      <w:r w:rsidRPr="00420A97">
        <w:rPr>
          <w:rFonts w:ascii="Times New Roman" w:hAnsi="Times New Roman" w:cs="Times New Roman"/>
          <w:b/>
          <w:i w:val="0"/>
          <w:szCs w:val="28"/>
        </w:rPr>
        <w:t>JUDGMENT</w:t>
      </w:r>
    </w:p>
    <w:p w14:paraId="2B180DF4" w14:textId="77777777" w:rsidR="00003363" w:rsidRPr="00420A97" w:rsidRDefault="00003363" w:rsidP="00003363">
      <w:pPr>
        <w:spacing w:line="360" w:lineRule="auto"/>
        <w:jc w:val="center"/>
        <w:rPr>
          <w:b/>
          <w:bCs/>
          <w:sz w:val="28"/>
          <w:szCs w:val="28"/>
        </w:rPr>
      </w:pPr>
      <w:r w:rsidRPr="00420A97">
        <w:rPr>
          <w:sz w:val="28"/>
          <w:szCs w:val="28"/>
        </w:rPr>
        <w:tab/>
      </w:r>
    </w:p>
    <w:p w14:paraId="54DC0EF3" w14:textId="71C5B534" w:rsidR="00003363" w:rsidRPr="00420A97" w:rsidRDefault="00003363" w:rsidP="00003363">
      <w:pPr>
        <w:spacing w:line="360" w:lineRule="auto"/>
        <w:jc w:val="right"/>
        <w:rPr>
          <w:b/>
          <w:sz w:val="28"/>
          <w:szCs w:val="28"/>
        </w:rPr>
      </w:pPr>
      <w:r w:rsidRPr="00420A97">
        <w:rPr>
          <w:b/>
          <w:sz w:val="28"/>
          <w:szCs w:val="28"/>
        </w:rPr>
        <w:t>Reportable</w:t>
      </w:r>
    </w:p>
    <w:p w14:paraId="19365ACB" w14:textId="77777777" w:rsidR="00003363" w:rsidRPr="00420A97" w:rsidRDefault="00003363" w:rsidP="00003363">
      <w:pPr>
        <w:spacing w:line="360" w:lineRule="auto"/>
        <w:jc w:val="right"/>
        <w:rPr>
          <w:sz w:val="28"/>
          <w:szCs w:val="28"/>
        </w:rPr>
      </w:pPr>
      <w:r w:rsidRPr="00420A97">
        <w:rPr>
          <w:sz w:val="28"/>
          <w:szCs w:val="28"/>
        </w:rPr>
        <w:t xml:space="preserve">Case no: </w:t>
      </w:r>
      <w:r w:rsidR="00E22FEB" w:rsidRPr="00420A97">
        <w:rPr>
          <w:sz w:val="28"/>
          <w:szCs w:val="28"/>
        </w:rPr>
        <w:t>368/2022</w:t>
      </w:r>
    </w:p>
    <w:p w14:paraId="5545E168" w14:textId="77777777" w:rsidR="00003363" w:rsidRPr="00420A97" w:rsidRDefault="00003363" w:rsidP="00003363">
      <w:pPr>
        <w:spacing w:line="360" w:lineRule="auto"/>
        <w:rPr>
          <w:sz w:val="28"/>
          <w:szCs w:val="28"/>
        </w:rPr>
      </w:pPr>
    </w:p>
    <w:p w14:paraId="74E52D71" w14:textId="77777777" w:rsidR="00003363" w:rsidRPr="00420A97" w:rsidRDefault="00003363" w:rsidP="00003363">
      <w:pPr>
        <w:spacing w:line="360" w:lineRule="auto"/>
        <w:rPr>
          <w:sz w:val="28"/>
          <w:szCs w:val="28"/>
        </w:rPr>
      </w:pPr>
      <w:r w:rsidRPr="00420A97">
        <w:rPr>
          <w:sz w:val="28"/>
          <w:szCs w:val="28"/>
        </w:rPr>
        <w:t>In the matter between:</w:t>
      </w:r>
    </w:p>
    <w:p w14:paraId="170D4004" w14:textId="77777777" w:rsidR="00003363" w:rsidRPr="00420A97" w:rsidRDefault="00E22FEB" w:rsidP="00003363">
      <w:pPr>
        <w:spacing w:line="360" w:lineRule="auto"/>
        <w:rPr>
          <w:b/>
          <w:sz w:val="28"/>
          <w:szCs w:val="28"/>
        </w:rPr>
      </w:pPr>
      <w:r w:rsidRPr="00420A97">
        <w:rPr>
          <w:b/>
          <w:bCs/>
          <w:sz w:val="28"/>
          <w:szCs w:val="28"/>
        </w:rPr>
        <w:t>LEON HOWARD COHEN N O</w:t>
      </w:r>
      <w:r w:rsidRPr="00420A97">
        <w:rPr>
          <w:b/>
          <w:bCs/>
          <w:sz w:val="28"/>
          <w:szCs w:val="28"/>
        </w:rPr>
        <w:tab/>
      </w:r>
      <w:r w:rsidRPr="00420A97">
        <w:rPr>
          <w:b/>
          <w:bCs/>
          <w:sz w:val="28"/>
          <w:szCs w:val="28"/>
        </w:rPr>
        <w:tab/>
      </w:r>
      <w:r w:rsidRPr="00420A97">
        <w:rPr>
          <w:b/>
          <w:bCs/>
          <w:sz w:val="28"/>
          <w:szCs w:val="28"/>
        </w:rPr>
        <w:tab/>
        <w:t xml:space="preserve">    FIRST </w:t>
      </w:r>
      <w:r w:rsidR="00003363" w:rsidRPr="00420A97">
        <w:rPr>
          <w:b/>
          <w:sz w:val="28"/>
          <w:szCs w:val="28"/>
        </w:rPr>
        <w:t>APPELLANT</w:t>
      </w:r>
    </w:p>
    <w:p w14:paraId="725D8595" w14:textId="77777777" w:rsidR="00767F70" w:rsidRPr="00420A97" w:rsidRDefault="00767F70" w:rsidP="00003363">
      <w:pPr>
        <w:spacing w:line="360" w:lineRule="auto"/>
        <w:rPr>
          <w:b/>
          <w:sz w:val="28"/>
          <w:szCs w:val="28"/>
        </w:rPr>
      </w:pPr>
      <w:r w:rsidRPr="00420A97">
        <w:rPr>
          <w:b/>
          <w:sz w:val="28"/>
          <w:szCs w:val="28"/>
        </w:rPr>
        <w:t>GREGORY WILLIAM DEAN</w:t>
      </w:r>
      <w:r w:rsidR="00A06A53" w:rsidRPr="00420A97">
        <w:rPr>
          <w:b/>
          <w:sz w:val="28"/>
          <w:szCs w:val="28"/>
        </w:rPr>
        <w:t>S</w:t>
      </w:r>
      <w:r w:rsidRPr="00420A97">
        <w:rPr>
          <w:b/>
          <w:sz w:val="28"/>
          <w:szCs w:val="28"/>
        </w:rPr>
        <w:t xml:space="preserve"> N O </w:t>
      </w:r>
      <w:r w:rsidRPr="00420A97">
        <w:rPr>
          <w:b/>
          <w:sz w:val="28"/>
          <w:szCs w:val="28"/>
        </w:rPr>
        <w:tab/>
        <w:t xml:space="preserve">         SECOND APPELLANT</w:t>
      </w:r>
    </w:p>
    <w:p w14:paraId="08DAA4CF" w14:textId="77777777" w:rsidR="00767F70" w:rsidRPr="00420A97" w:rsidRDefault="00EB1A49" w:rsidP="00003363">
      <w:pPr>
        <w:spacing w:line="360" w:lineRule="auto"/>
        <w:rPr>
          <w:b/>
          <w:sz w:val="28"/>
          <w:szCs w:val="28"/>
        </w:rPr>
      </w:pPr>
      <w:r w:rsidRPr="00420A97">
        <w:rPr>
          <w:b/>
          <w:sz w:val="28"/>
          <w:szCs w:val="28"/>
        </w:rPr>
        <w:t>JONATHAN SHAWN RABIE N O</w:t>
      </w:r>
      <w:r w:rsidRPr="00420A97">
        <w:rPr>
          <w:b/>
          <w:sz w:val="28"/>
          <w:szCs w:val="28"/>
        </w:rPr>
        <w:tab/>
      </w:r>
      <w:r w:rsidRPr="00420A97">
        <w:rPr>
          <w:b/>
          <w:sz w:val="28"/>
          <w:szCs w:val="28"/>
        </w:rPr>
        <w:tab/>
      </w:r>
      <w:r w:rsidRPr="00420A97">
        <w:rPr>
          <w:b/>
          <w:sz w:val="28"/>
          <w:szCs w:val="28"/>
        </w:rPr>
        <w:tab/>
        <w:t xml:space="preserve">  THIRD APPELLANT</w:t>
      </w:r>
    </w:p>
    <w:p w14:paraId="46F16075" w14:textId="77777777" w:rsidR="00CD30E7" w:rsidRPr="00420A97" w:rsidRDefault="00CD30E7" w:rsidP="00003363">
      <w:pPr>
        <w:spacing w:line="360" w:lineRule="auto"/>
        <w:rPr>
          <w:b/>
          <w:sz w:val="28"/>
          <w:szCs w:val="28"/>
        </w:rPr>
      </w:pPr>
      <w:r w:rsidRPr="00420A97">
        <w:rPr>
          <w:b/>
          <w:sz w:val="28"/>
          <w:szCs w:val="28"/>
        </w:rPr>
        <w:t>JONATHAN ALFRED LEONARD</w:t>
      </w:r>
    </w:p>
    <w:p w14:paraId="350E3861" w14:textId="77777777" w:rsidR="00CD30E7" w:rsidRPr="00420A97" w:rsidRDefault="00CD30E7" w:rsidP="00003363">
      <w:pPr>
        <w:spacing w:line="360" w:lineRule="auto"/>
        <w:rPr>
          <w:b/>
          <w:sz w:val="28"/>
          <w:szCs w:val="28"/>
        </w:rPr>
      </w:pPr>
      <w:r w:rsidRPr="00420A97">
        <w:rPr>
          <w:b/>
          <w:sz w:val="28"/>
          <w:szCs w:val="28"/>
        </w:rPr>
        <w:t xml:space="preserve">CHAPMAN N O </w:t>
      </w:r>
      <w:r w:rsidRPr="00420A97">
        <w:rPr>
          <w:b/>
          <w:sz w:val="28"/>
          <w:szCs w:val="28"/>
        </w:rPr>
        <w:tab/>
      </w:r>
      <w:r w:rsidRPr="00420A97">
        <w:rPr>
          <w:b/>
          <w:sz w:val="28"/>
          <w:szCs w:val="28"/>
        </w:rPr>
        <w:tab/>
      </w:r>
      <w:r w:rsidRPr="00420A97">
        <w:rPr>
          <w:b/>
          <w:sz w:val="28"/>
          <w:szCs w:val="28"/>
        </w:rPr>
        <w:tab/>
      </w:r>
      <w:r w:rsidRPr="00420A97">
        <w:rPr>
          <w:b/>
          <w:sz w:val="28"/>
          <w:szCs w:val="28"/>
        </w:rPr>
        <w:tab/>
      </w:r>
      <w:r w:rsidRPr="00420A97">
        <w:rPr>
          <w:b/>
          <w:sz w:val="28"/>
          <w:szCs w:val="28"/>
        </w:rPr>
        <w:tab/>
        <w:t xml:space="preserve">         FOURTH APPELLANT</w:t>
      </w:r>
    </w:p>
    <w:p w14:paraId="7D95ACD6" w14:textId="77777777" w:rsidR="00865450" w:rsidRPr="00420A97" w:rsidRDefault="00C33B99" w:rsidP="00003363">
      <w:pPr>
        <w:spacing w:line="360" w:lineRule="auto"/>
        <w:rPr>
          <w:b/>
          <w:sz w:val="28"/>
          <w:szCs w:val="28"/>
        </w:rPr>
      </w:pPr>
      <w:r w:rsidRPr="00420A97">
        <w:rPr>
          <w:b/>
          <w:sz w:val="28"/>
          <w:szCs w:val="28"/>
        </w:rPr>
        <w:t>COLLIN WILLIA</w:t>
      </w:r>
      <w:r w:rsidR="004D1882" w:rsidRPr="00420A97">
        <w:rPr>
          <w:b/>
          <w:sz w:val="28"/>
          <w:szCs w:val="28"/>
        </w:rPr>
        <w:t>M</w:t>
      </w:r>
      <w:r w:rsidRPr="00420A97">
        <w:rPr>
          <w:b/>
          <w:sz w:val="28"/>
          <w:szCs w:val="28"/>
        </w:rPr>
        <w:t xml:space="preserve"> </w:t>
      </w:r>
      <w:r w:rsidR="004D1882" w:rsidRPr="00420A97">
        <w:rPr>
          <w:b/>
          <w:sz w:val="28"/>
          <w:szCs w:val="28"/>
        </w:rPr>
        <w:t>GREEN N O</w:t>
      </w:r>
      <w:r w:rsidR="004D1882" w:rsidRPr="00420A97">
        <w:rPr>
          <w:b/>
          <w:sz w:val="28"/>
          <w:szCs w:val="28"/>
        </w:rPr>
        <w:tab/>
      </w:r>
      <w:r w:rsidR="004D1882" w:rsidRPr="00420A97">
        <w:rPr>
          <w:b/>
          <w:sz w:val="28"/>
          <w:szCs w:val="28"/>
        </w:rPr>
        <w:tab/>
      </w:r>
      <w:r w:rsidR="004D1882" w:rsidRPr="00420A97">
        <w:rPr>
          <w:b/>
          <w:sz w:val="28"/>
          <w:szCs w:val="28"/>
        </w:rPr>
        <w:tab/>
        <w:t xml:space="preserve">   FIFTH APPELLANT</w:t>
      </w:r>
    </w:p>
    <w:p w14:paraId="72149882" w14:textId="4A2BDB47" w:rsidR="004D1882" w:rsidRPr="00420A97" w:rsidRDefault="00A06A53" w:rsidP="00003363">
      <w:pPr>
        <w:spacing w:line="360" w:lineRule="auto"/>
        <w:rPr>
          <w:b/>
          <w:sz w:val="28"/>
          <w:szCs w:val="28"/>
        </w:rPr>
      </w:pPr>
      <w:r w:rsidRPr="00420A97">
        <w:rPr>
          <w:b/>
          <w:sz w:val="28"/>
          <w:szCs w:val="28"/>
        </w:rPr>
        <w:t>COLIN ANDERSON N O</w:t>
      </w:r>
      <w:r w:rsidRPr="00420A97">
        <w:rPr>
          <w:b/>
          <w:sz w:val="28"/>
          <w:szCs w:val="28"/>
        </w:rPr>
        <w:tab/>
      </w:r>
      <w:r w:rsidRPr="00420A97">
        <w:rPr>
          <w:b/>
          <w:sz w:val="28"/>
          <w:szCs w:val="28"/>
        </w:rPr>
        <w:tab/>
      </w:r>
      <w:r w:rsidRPr="00420A97">
        <w:rPr>
          <w:b/>
          <w:sz w:val="28"/>
          <w:szCs w:val="28"/>
        </w:rPr>
        <w:tab/>
      </w:r>
      <w:r w:rsidRPr="00420A97">
        <w:rPr>
          <w:b/>
          <w:sz w:val="28"/>
          <w:szCs w:val="28"/>
        </w:rPr>
        <w:tab/>
        <w:t xml:space="preserve">   </w:t>
      </w:r>
      <w:r w:rsidR="004D1882" w:rsidRPr="00420A97">
        <w:rPr>
          <w:b/>
          <w:sz w:val="28"/>
          <w:szCs w:val="28"/>
        </w:rPr>
        <w:t>SIXTH APPELLANT</w:t>
      </w:r>
    </w:p>
    <w:p w14:paraId="1B2B9C5B" w14:textId="77777777" w:rsidR="0040539D" w:rsidRPr="00420A97" w:rsidRDefault="005C175B" w:rsidP="00003363">
      <w:pPr>
        <w:spacing w:line="360" w:lineRule="auto"/>
        <w:rPr>
          <w:b/>
          <w:sz w:val="28"/>
          <w:szCs w:val="28"/>
        </w:rPr>
      </w:pPr>
      <w:r w:rsidRPr="00420A97">
        <w:rPr>
          <w:b/>
          <w:sz w:val="28"/>
          <w:szCs w:val="28"/>
        </w:rPr>
        <w:t>(A</w:t>
      </w:r>
      <w:r w:rsidR="0040539D" w:rsidRPr="00420A97">
        <w:rPr>
          <w:b/>
          <w:sz w:val="28"/>
          <w:szCs w:val="28"/>
        </w:rPr>
        <w:t xml:space="preserve">ppellants cited in their capacities as </w:t>
      </w:r>
    </w:p>
    <w:p w14:paraId="7319FC8A" w14:textId="77777777" w:rsidR="00BA0DD2" w:rsidRPr="00420A97" w:rsidRDefault="0040539D" w:rsidP="00003363">
      <w:pPr>
        <w:spacing w:line="360" w:lineRule="auto"/>
        <w:rPr>
          <w:b/>
          <w:sz w:val="28"/>
          <w:szCs w:val="28"/>
        </w:rPr>
      </w:pPr>
      <w:r w:rsidRPr="00420A97">
        <w:rPr>
          <w:b/>
          <w:sz w:val="28"/>
          <w:szCs w:val="28"/>
        </w:rPr>
        <w:t xml:space="preserve">trustees for the time being of the Century </w:t>
      </w:r>
    </w:p>
    <w:p w14:paraId="46FA1DCA" w14:textId="77777777" w:rsidR="005C175B" w:rsidRPr="00420A97" w:rsidRDefault="0040539D" w:rsidP="00003363">
      <w:pPr>
        <w:spacing w:line="360" w:lineRule="auto"/>
        <w:rPr>
          <w:b/>
          <w:sz w:val="28"/>
          <w:szCs w:val="28"/>
        </w:rPr>
      </w:pPr>
      <w:r w:rsidRPr="00420A97">
        <w:rPr>
          <w:b/>
          <w:sz w:val="28"/>
          <w:szCs w:val="28"/>
        </w:rPr>
        <w:t xml:space="preserve">City Property </w:t>
      </w:r>
      <w:r w:rsidR="00BA0DD2" w:rsidRPr="00420A97">
        <w:rPr>
          <w:b/>
          <w:sz w:val="28"/>
          <w:szCs w:val="28"/>
        </w:rPr>
        <w:t xml:space="preserve">Investment </w:t>
      </w:r>
      <w:r w:rsidRPr="00420A97">
        <w:rPr>
          <w:b/>
          <w:sz w:val="28"/>
          <w:szCs w:val="28"/>
        </w:rPr>
        <w:t>Trust</w:t>
      </w:r>
      <w:r w:rsidR="005C175B" w:rsidRPr="00420A97">
        <w:rPr>
          <w:b/>
          <w:sz w:val="28"/>
          <w:szCs w:val="28"/>
        </w:rPr>
        <w:t>)</w:t>
      </w:r>
    </w:p>
    <w:p w14:paraId="04559857" w14:textId="77777777" w:rsidR="00003363" w:rsidRPr="00420A97" w:rsidRDefault="00003363" w:rsidP="00003363">
      <w:pPr>
        <w:spacing w:line="360" w:lineRule="auto"/>
        <w:rPr>
          <w:sz w:val="28"/>
          <w:szCs w:val="28"/>
        </w:rPr>
      </w:pPr>
      <w:r w:rsidRPr="00420A97">
        <w:rPr>
          <w:sz w:val="28"/>
          <w:szCs w:val="28"/>
        </w:rPr>
        <w:t>and</w:t>
      </w:r>
    </w:p>
    <w:p w14:paraId="62C1FFCB" w14:textId="39466A81" w:rsidR="00003363" w:rsidRPr="00420A97" w:rsidRDefault="00A06A53" w:rsidP="00003363">
      <w:pPr>
        <w:spacing w:line="360" w:lineRule="auto"/>
        <w:rPr>
          <w:b/>
          <w:sz w:val="28"/>
          <w:szCs w:val="28"/>
        </w:rPr>
      </w:pPr>
      <w:r w:rsidRPr="00420A97">
        <w:rPr>
          <w:b/>
          <w:bCs/>
          <w:sz w:val="28"/>
          <w:szCs w:val="28"/>
        </w:rPr>
        <w:t xml:space="preserve">MICHELLE </w:t>
      </w:r>
      <w:r w:rsidR="00F9740B" w:rsidRPr="00420A97">
        <w:rPr>
          <w:b/>
          <w:bCs/>
          <w:sz w:val="28"/>
          <w:szCs w:val="28"/>
        </w:rPr>
        <w:t xml:space="preserve">LYNNE </w:t>
      </w:r>
      <w:r w:rsidRPr="00420A97">
        <w:rPr>
          <w:b/>
          <w:bCs/>
          <w:sz w:val="28"/>
          <w:szCs w:val="28"/>
        </w:rPr>
        <w:t>DEANS</w:t>
      </w:r>
      <w:r w:rsidR="00003363" w:rsidRPr="00420A97">
        <w:rPr>
          <w:b/>
          <w:bCs/>
          <w:sz w:val="28"/>
          <w:szCs w:val="28"/>
        </w:rPr>
        <w:tab/>
      </w:r>
      <w:r w:rsidR="00003363" w:rsidRPr="00420A97">
        <w:rPr>
          <w:b/>
          <w:bCs/>
          <w:sz w:val="28"/>
          <w:szCs w:val="28"/>
        </w:rPr>
        <w:tab/>
      </w:r>
      <w:r w:rsidR="00527EFB" w:rsidRPr="00420A97">
        <w:rPr>
          <w:b/>
          <w:bCs/>
          <w:sz w:val="28"/>
          <w:szCs w:val="28"/>
        </w:rPr>
        <w:tab/>
      </w:r>
      <w:r w:rsidRPr="00420A97">
        <w:rPr>
          <w:b/>
          <w:bCs/>
          <w:sz w:val="28"/>
          <w:szCs w:val="28"/>
        </w:rPr>
        <w:tab/>
        <w:t xml:space="preserve">   </w:t>
      </w:r>
      <w:r w:rsidR="00003363" w:rsidRPr="00420A97">
        <w:rPr>
          <w:b/>
          <w:sz w:val="28"/>
          <w:szCs w:val="28"/>
        </w:rPr>
        <w:t>RESPONDENT</w:t>
      </w:r>
    </w:p>
    <w:p w14:paraId="477F05CF" w14:textId="77777777" w:rsidR="00003363" w:rsidRPr="00420A97" w:rsidRDefault="00003363" w:rsidP="00003363">
      <w:pPr>
        <w:pStyle w:val="FootnoteText"/>
        <w:spacing w:line="360" w:lineRule="auto"/>
        <w:rPr>
          <w:sz w:val="28"/>
          <w:szCs w:val="28"/>
        </w:rPr>
      </w:pPr>
    </w:p>
    <w:p w14:paraId="6F0EA1B9" w14:textId="2765717B" w:rsidR="00003363" w:rsidRPr="00420A97" w:rsidRDefault="00003363" w:rsidP="00003363">
      <w:pPr>
        <w:spacing w:line="360" w:lineRule="auto"/>
        <w:ind w:left="2160" w:hanging="2160"/>
        <w:rPr>
          <w:sz w:val="28"/>
          <w:szCs w:val="28"/>
        </w:rPr>
      </w:pPr>
      <w:r w:rsidRPr="00420A97">
        <w:rPr>
          <w:b/>
          <w:bCs/>
          <w:sz w:val="28"/>
          <w:szCs w:val="28"/>
        </w:rPr>
        <w:t>Neutral citation:</w:t>
      </w:r>
      <w:r w:rsidRPr="00420A97">
        <w:rPr>
          <w:b/>
          <w:bCs/>
          <w:sz w:val="28"/>
          <w:szCs w:val="28"/>
        </w:rPr>
        <w:tab/>
      </w:r>
      <w:r w:rsidR="00BA0DD2" w:rsidRPr="00420A97">
        <w:rPr>
          <w:bCs/>
          <w:i/>
          <w:sz w:val="28"/>
          <w:szCs w:val="28"/>
        </w:rPr>
        <w:t>Cohen N O &amp; Others</w:t>
      </w:r>
      <w:r w:rsidR="00595447" w:rsidRPr="00420A97">
        <w:rPr>
          <w:bCs/>
          <w:i/>
          <w:sz w:val="28"/>
          <w:szCs w:val="28"/>
        </w:rPr>
        <w:t xml:space="preserve"> v </w:t>
      </w:r>
      <w:r w:rsidR="00BA0DD2" w:rsidRPr="00420A97">
        <w:rPr>
          <w:bCs/>
          <w:i/>
          <w:sz w:val="28"/>
          <w:szCs w:val="28"/>
        </w:rPr>
        <w:t>Deans</w:t>
      </w:r>
      <w:r w:rsidR="00595447" w:rsidRPr="00420A97">
        <w:rPr>
          <w:bCs/>
          <w:i/>
          <w:sz w:val="28"/>
          <w:szCs w:val="28"/>
        </w:rPr>
        <w:t xml:space="preserve"> </w:t>
      </w:r>
      <w:r w:rsidR="00595447" w:rsidRPr="00420A97">
        <w:rPr>
          <w:bCs/>
          <w:sz w:val="28"/>
          <w:szCs w:val="28"/>
        </w:rPr>
        <w:t xml:space="preserve">(Case no </w:t>
      </w:r>
      <w:r w:rsidR="00BA0DD2" w:rsidRPr="00420A97">
        <w:rPr>
          <w:bCs/>
          <w:sz w:val="28"/>
          <w:szCs w:val="28"/>
        </w:rPr>
        <w:t>368/2022</w:t>
      </w:r>
      <w:r w:rsidR="00595447" w:rsidRPr="00420A97">
        <w:rPr>
          <w:bCs/>
          <w:sz w:val="28"/>
          <w:szCs w:val="28"/>
        </w:rPr>
        <w:t>) [20</w:t>
      </w:r>
      <w:r w:rsidR="00721196" w:rsidRPr="00420A97">
        <w:rPr>
          <w:bCs/>
          <w:sz w:val="28"/>
          <w:szCs w:val="28"/>
        </w:rPr>
        <w:t>2</w:t>
      </w:r>
      <w:r w:rsidR="00527EFB" w:rsidRPr="00420A97">
        <w:rPr>
          <w:bCs/>
          <w:sz w:val="28"/>
          <w:szCs w:val="28"/>
        </w:rPr>
        <w:t xml:space="preserve">3] ZASCA </w:t>
      </w:r>
      <w:r w:rsidR="00B4311D" w:rsidRPr="00420A97">
        <w:rPr>
          <w:bCs/>
          <w:sz w:val="28"/>
          <w:szCs w:val="28"/>
        </w:rPr>
        <w:t>56</w:t>
      </w:r>
      <w:r w:rsidR="00527EFB" w:rsidRPr="00420A97">
        <w:rPr>
          <w:bCs/>
          <w:sz w:val="28"/>
          <w:szCs w:val="28"/>
        </w:rPr>
        <w:t xml:space="preserve"> </w:t>
      </w:r>
      <w:r w:rsidR="00721196" w:rsidRPr="00420A97">
        <w:rPr>
          <w:bCs/>
          <w:sz w:val="28"/>
          <w:szCs w:val="28"/>
        </w:rPr>
        <w:t>(</w:t>
      </w:r>
      <w:r w:rsidR="0025256B">
        <w:rPr>
          <w:bCs/>
          <w:sz w:val="28"/>
          <w:szCs w:val="28"/>
        </w:rPr>
        <w:t>20</w:t>
      </w:r>
      <w:r w:rsidR="00B4311D" w:rsidRPr="00420A97">
        <w:rPr>
          <w:bCs/>
          <w:sz w:val="28"/>
          <w:szCs w:val="28"/>
        </w:rPr>
        <w:t xml:space="preserve"> April</w:t>
      </w:r>
      <w:r w:rsidR="00527EFB" w:rsidRPr="00420A97">
        <w:rPr>
          <w:bCs/>
          <w:sz w:val="28"/>
          <w:szCs w:val="28"/>
        </w:rPr>
        <w:t xml:space="preserve"> 2023</w:t>
      </w:r>
      <w:r w:rsidR="00595447" w:rsidRPr="00420A97">
        <w:rPr>
          <w:bCs/>
          <w:sz w:val="28"/>
          <w:szCs w:val="28"/>
        </w:rPr>
        <w:t>)</w:t>
      </w:r>
    </w:p>
    <w:p w14:paraId="1F5F3A02" w14:textId="32261C93" w:rsidR="00003363" w:rsidRPr="00420A97" w:rsidRDefault="00003363" w:rsidP="00721196">
      <w:pPr>
        <w:spacing w:line="360" w:lineRule="auto"/>
        <w:ind w:left="1440" w:hanging="1440"/>
        <w:jc w:val="both"/>
        <w:rPr>
          <w:b/>
          <w:bCs/>
          <w:i/>
          <w:iCs/>
          <w:sz w:val="28"/>
          <w:szCs w:val="28"/>
        </w:rPr>
      </w:pPr>
      <w:r w:rsidRPr="00420A97">
        <w:rPr>
          <w:b/>
          <w:bCs/>
          <w:sz w:val="28"/>
          <w:szCs w:val="28"/>
        </w:rPr>
        <w:lastRenderedPageBreak/>
        <w:t>Coram:</w:t>
      </w:r>
      <w:r w:rsidRPr="00420A97">
        <w:rPr>
          <w:sz w:val="28"/>
          <w:szCs w:val="28"/>
        </w:rPr>
        <w:tab/>
      </w:r>
      <w:r w:rsidR="00DC7436" w:rsidRPr="00420A97">
        <w:rPr>
          <w:sz w:val="28"/>
          <w:szCs w:val="28"/>
        </w:rPr>
        <w:t>SALDULKER</w:t>
      </w:r>
      <w:r w:rsidR="008120F1" w:rsidRPr="00420A97">
        <w:rPr>
          <w:sz w:val="28"/>
          <w:szCs w:val="28"/>
        </w:rPr>
        <w:t xml:space="preserve">, </w:t>
      </w:r>
      <w:r w:rsidR="00DC7436" w:rsidRPr="00420A97">
        <w:rPr>
          <w:sz w:val="28"/>
          <w:szCs w:val="28"/>
        </w:rPr>
        <w:t>MOCUMIE and NICHOLLS JJA and</w:t>
      </w:r>
      <w:r w:rsidR="008120F1" w:rsidRPr="00420A97">
        <w:rPr>
          <w:sz w:val="28"/>
          <w:szCs w:val="28"/>
        </w:rPr>
        <w:t xml:space="preserve"> M</w:t>
      </w:r>
      <w:r w:rsidR="00DC7436" w:rsidRPr="00420A97">
        <w:rPr>
          <w:sz w:val="28"/>
          <w:szCs w:val="28"/>
        </w:rPr>
        <w:t>ALI</w:t>
      </w:r>
      <w:r w:rsidR="008120F1" w:rsidRPr="00420A97">
        <w:rPr>
          <w:sz w:val="28"/>
          <w:szCs w:val="28"/>
        </w:rPr>
        <w:t xml:space="preserve"> and </w:t>
      </w:r>
      <w:r w:rsidR="00DC7436" w:rsidRPr="00420A97">
        <w:rPr>
          <w:sz w:val="28"/>
          <w:szCs w:val="28"/>
        </w:rPr>
        <w:t>SIWENDU</w:t>
      </w:r>
      <w:r w:rsidR="008120F1" w:rsidRPr="00420A97">
        <w:rPr>
          <w:sz w:val="28"/>
          <w:szCs w:val="28"/>
        </w:rPr>
        <w:t xml:space="preserve"> A</w:t>
      </w:r>
      <w:r w:rsidR="00DC7436" w:rsidRPr="00420A97">
        <w:rPr>
          <w:sz w:val="28"/>
          <w:szCs w:val="28"/>
        </w:rPr>
        <w:t>J</w:t>
      </w:r>
      <w:r w:rsidR="008120F1" w:rsidRPr="00420A97">
        <w:rPr>
          <w:sz w:val="28"/>
          <w:szCs w:val="28"/>
        </w:rPr>
        <w:t>JA</w:t>
      </w:r>
    </w:p>
    <w:p w14:paraId="234125B0" w14:textId="77777777" w:rsidR="00003363" w:rsidRPr="00420A97" w:rsidRDefault="00003363" w:rsidP="00003363">
      <w:pPr>
        <w:spacing w:line="360" w:lineRule="auto"/>
        <w:rPr>
          <w:b/>
          <w:bCs/>
          <w:sz w:val="28"/>
          <w:szCs w:val="28"/>
        </w:rPr>
      </w:pPr>
      <w:r w:rsidRPr="00420A97">
        <w:rPr>
          <w:b/>
          <w:bCs/>
          <w:sz w:val="28"/>
          <w:szCs w:val="28"/>
        </w:rPr>
        <w:t>Heard</w:t>
      </w:r>
      <w:r w:rsidRPr="00420A97">
        <w:rPr>
          <w:sz w:val="28"/>
          <w:szCs w:val="28"/>
        </w:rPr>
        <w:t>:</w:t>
      </w:r>
      <w:r w:rsidRPr="00420A97">
        <w:rPr>
          <w:sz w:val="28"/>
          <w:szCs w:val="28"/>
        </w:rPr>
        <w:tab/>
      </w:r>
      <w:r w:rsidR="008120F1" w:rsidRPr="00420A97">
        <w:rPr>
          <w:sz w:val="28"/>
          <w:szCs w:val="28"/>
        </w:rPr>
        <w:t>1</w:t>
      </w:r>
      <w:r w:rsidR="00882DB0" w:rsidRPr="00420A97">
        <w:rPr>
          <w:sz w:val="28"/>
          <w:szCs w:val="28"/>
        </w:rPr>
        <w:t>7</w:t>
      </w:r>
      <w:r w:rsidR="008120F1" w:rsidRPr="00420A97">
        <w:rPr>
          <w:sz w:val="28"/>
          <w:szCs w:val="28"/>
        </w:rPr>
        <w:t xml:space="preserve"> </w:t>
      </w:r>
      <w:r w:rsidR="00882DB0" w:rsidRPr="00420A97">
        <w:rPr>
          <w:sz w:val="28"/>
          <w:szCs w:val="28"/>
        </w:rPr>
        <w:t>March</w:t>
      </w:r>
      <w:r w:rsidR="008120F1" w:rsidRPr="00420A97">
        <w:rPr>
          <w:sz w:val="28"/>
          <w:szCs w:val="28"/>
        </w:rPr>
        <w:t xml:space="preserve"> 2023</w:t>
      </w:r>
      <w:r w:rsidRPr="00420A97">
        <w:rPr>
          <w:sz w:val="28"/>
          <w:szCs w:val="28"/>
        </w:rPr>
        <w:t xml:space="preserve"> </w:t>
      </w:r>
    </w:p>
    <w:p w14:paraId="57A7B4CF" w14:textId="2EC00318" w:rsidR="00207141" w:rsidRPr="00420A97" w:rsidRDefault="00003363" w:rsidP="00207141">
      <w:pPr>
        <w:spacing w:before="120" w:after="120" w:line="360" w:lineRule="auto"/>
        <w:jc w:val="both"/>
        <w:rPr>
          <w:bCs/>
          <w:sz w:val="28"/>
          <w:szCs w:val="28"/>
        </w:rPr>
      </w:pPr>
      <w:r w:rsidRPr="00420A97">
        <w:rPr>
          <w:b/>
          <w:bCs/>
          <w:sz w:val="28"/>
          <w:szCs w:val="28"/>
        </w:rPr>
        <w:t>Delivered</w:t>
      </w:r>
      <w:r w:rsidRPr="00420A97">
        <w:rPr>
          <w:sz w:val="28"/>
          <w:szCs w:val="28"/>
        </w:rPr>
        <w:t>:</w:t>
      </w:r>
      <w:r w:rsidRPr="00420A97">
        <w:rPr>
          <w:sz w:val="28"/>
          <w:szCs w:val="28"/>
        </w:rPr>
        <w:tab/>
      </w:r>
      <w:r w:rsidR="00207141" w:rsidRPr="00420A97">
        <w:rPr>
          <w:sz w:val="28"/>
          <w:szCs w:val="28"/>
        </w:rPr>
        <w:t>This judgment was handed down electronically by circulation to the parties’ legal representatives by email, publication on the Supreme Court of Appeal website and release to SAFLII. The date and time for hand-do</w:t>
      </w:r>
      <w:r w:rsidR="0025256B">
        <w:rPr>
          <w:sz w:val="28"/>
          <w:szCs w:val="28"/>
        </w:rPr>
        <w:t>wn is deemed to be at 11h00 on 20</w:t>
      </w:r>
      <w:r w:rsidR="00207141" w:rsidRPr="00420A97">
        <w:rPr>
          <w:sz w:val="28"/>
          <w:szCs w:val="28"/>
        </w:rPr>
        <w:t xml:space="preserve"> April 2023.</w:t>
      </w:r>
    </w:p>
    <w:p w14:paraId="26ABC747" w14:textId="7A061D87" w:rsidR="00003363" w:rsidRPr="00420A97" w:rsidRDefault="00003363" w:rsidP="00207141">
      <w:pPr>
        <w:spacing w:line="360" w:lineRule="auto"/>
        <w:jc w:val="both"/>
        <w:rPr>
          <w:bCs/>
          <w:sz w:val="28"/>
          <w:szCs w:val="28"/>
        </w:rPr>
      </w:pPr>
      <w:r w:rsidRPr="00420A97">
        <w:rPr>
          <w:b/>
          <w:bCs/>
          <w:sz w:val="28"/>
          <w:szCs w:val="28"/>
        </w:rPr>
        <w:t>Summary:</w:t>
      </w:r>
      <w:r w:rsidRPr="00420A97">
        <w:rPr>
          <w:bCs/>
          <w:sz w:val="28"/>
          <w:szCs w:val="28"/>
        </w:rPr>
        <w:t xml:space="preserve"> </w:t>
      </w:r>
      <w:r w:rsidR="00A511CB" w:rsidRPr="00420A97">
        <w:rPr>
          <w:bCs/>
          <w:sz w:val="28"/>
          <w:szCs w:val="28"/>
        </w:rPr>
        <w:t>Summary judgment</w:t>
      </w:r>
      <w:r w:rsidR="00C115C3" w:rsidRPr="00420A97">
        <w:rPr>
          <w:bCs/>
          <w:sz w:val="28"/>
          <w:szCs w:val="28"/>
        </w:rPr>
        <w:t xml:space="preserve"> </w:t>
      </w:r>
      <w:r w:rsidR="00D9187E" w:rsidRPr="00420A97">
        <w:rPr>
          <w:bCs/>
          <w:sz w:val="28"/>
          <w:szCs w:val="28"/>
        </w:rPr>
        <w:t>-</w:t>
      </w:r>
      <w:r w:rsidR="00C115C3" w:rsidRPr="00420A97">
        <w:rPr>
          <w:bCs/>
          <w:sz w:val="28"/>
          <w:szCs w:val="28"/>
        </w:rPr>
        <w:t xml:space="preserve"> </w:t>
      </w:r>
      <w:r w:rsidR="00B766B4" w:rsidRPr="00420A97">
        <w:rPr>
          <w:bCs/>
          <w:sz w:val="28"/>
          <w:szCs w:val="28"/>
        </w:rPr>
        <w:t xml:space="preserve">particulars of </w:t>
      </w:r>
      <w:r w:rsidR="00C115C3" w:rsidRPr="00420A97">
        <w:rPr>
          <w:bCs/>
          <w:sz w:val="28"/>
          <w:szCs w:val="28"/>
        </w:rPr>
        <w:t>claim based</w:t>
      </w:r>
      <w:r w:rsidR="008B7C2B" w:rsidRPr="00420A97">
        <w:rPr>
          <w:bCs/>
          <w:sz w:val="28"/>
          <w:szCs w:val="28"/>
        </w:rPr>
        <w:t xml:space="preserve"> </w:t>
      </w:r>
      <w:r w:rsidR="00C115C3" w:rsidRPr="00420A97">
        <w:rPr>
          <w:bCs/>
          <w:sz w:val="28"/>
          <w:szCs w:val="28"/>
        </w:rPr>
        <w:t>upon incorrect</w:t>
      </w:r>
      <w:r w:rsidR="008B7C2B" w:rsidRPr="00420A97">
        <w:rPr>
          <w:bCs/>
          <w:sz w:val="28"/>
          <w:szCs w:val="28"/>
        </w:rPr>
        <w:t xml:space="preserve"> </w:t>
      </w:r>
      <w:r w:rsidR="002278C6" w:rsidRPr="00420A97">
        <w:rPr>
          <w:bCs/>
          <w:sz w:val="28"/>
          <w:szCs w:val="28"/>
        </w:rPr>
        <w:t>trust deed</w:t>
      </w:r>
      <w:r w:rsidR="00C115C3" w:rsidRPr="00420A97">
        <w:rPr>
          <w:bCs/>
          <w:sz w:val="28"/>
          <w:szCs w:val="28"/>
        </w:rPr>
        <w:t xml:space="preserve"> </w:t>
      </w:r>
      <w:r w:rsidR="00D9187E" w:rsidRPr="00420A97">
        <w:rPr>
          <w:bCs/>
          <w:sz w:val="28"/>
          <w:szCs w:val="28"/>
        </w:rPr>
        <w:t>-</w:t>
      </w:r>
      <w:r w:rsidR="00C115C3" w:rsidRPr="00420A97">
        <w:rPr>
          <w:bCs/>
          <w:sz w:val="28"/>
          <w:szCs w:val="28"/>
        </w:rPr>
        <w:t xml:space="preserve"> </w:t>
      </w:r>
      <w:r w:rsidR="005B49E2" w:rsidRPr="00420A97">
        <w:rPr>
          <w:bCs/>
          <w:sz w:val="28"/>
          <w:szCs w:val="28"/>
        </w:rPr>
        <w:t xml:space="preserve">plaintiff verified an incorrect cause of action </w:t>
      </w:r>
      <w:r w:rsidR="00D9187E" w:rsidRPr="00420A97">
        <w:rPr>
          <w:bCs/>
          <w:sz w:val="28"/>
          <w:szCs w:val="28"/>
        </w:rPr>
        <w:t>-</w:t>
      </w:r>
      <w:r w:rsidR="005B49E2" w:rsidRPr="00420A97">
        <w:rPr>
          <w:bCs/>
          <w:sz w:val="28"/>
          <w:szCs w:val="28"/>
        </w:rPr>
        <w:t xml:space="preserve"> </w:t>
      </w:r>
      <w:r w:rsidR="00B766B4" w:rsidRPr="00420A97">
        <w:rPr>
          <w:bCs/>
          <w:sz w:val="28"/>
          <w:szCs w:val="28"/>
        </w:rPr>
        <w:t xml:space="preserve">defendants disclosed a </w:t>
      </w:r>
      <w:r w:rsidR="00B766B4" w:rsidRPr="00420A97">
        <w:rPr>
          <w:bCs/>
          <w:i/>
          <w:sz w:val="28"/>
          <w:szCs w:val="28"/>
        </w:rPr>
        <w:t>bona fide</w:t>
      </w:r>
      <w:r w:rsidR="00B766B4" w:rsidRPr="00420A97">
        <w:rPr>
          <w:bCs/>
          <w:sz w:val="28"/>
          <w:szCs w:val="28"/>
        </w:rPr>
        <w:t xml:space="preserve"> defence</w:t>
      </w:r>
      <w:r w:rsidR="00C115C3" w:rsidRPr="00420A97">
        <w:rPr>
          <w:bCs/>
          <w:sz w:val="28"/>
          <w:szCs w:val="28"/>
        </w:rPr>
        <w:t xml:space="preserve"> </w:t>
      </w:r>
      <w:r w:rsidR="00D9187E" w:rsidRPr="00420A97">
        <w:rPr>
          <w:bCs/>
          <w:sz w:val="28"/>
          <w:szCs w:val="28"/>
        </w:rPr>
        <w:t>-</w:t>
      </w:r>
      <w:r w:rsidR="00C115C3" w:rsidRPr="00420A97">
        <w:rPr>
          <w:bCs/>
          <w:sz w:val="28"/>
          <w:szCs w:val="28"/>
        </w:rPr>
        <w:t xml:space="preserve"> </w:t>
      </w:r>
      <w:r w:rsidR="00A511CB" w:rsidRPr="00420A97">
        <w:rPr>
          <w:bCs/>
          <w:sz w:val="28"/>
          <w:szCs w:val="28"/>
        </w:rPr>
        <w:t xml:space="preserve">summary </w:t>
      </w:r>
      <w:r w:rsidR="005B49E2" w:rsidRPr="00420A97">
        <w:rPr>
          <w:bCs/>
          <w:sz w:val="28"/>
          <w:szCs w:val="28"/>
        </w:rPr>
        <w:t>judgment refused</w:t>
      </w:r>
      <w:r w:rsidR="008B7C2B" w:rsidRPr="00420A97">
        <w:rPr>
          <w:bCs/>
          <w:sz w:val="28"/>
          <w:szCs w:val="28"/>
        </w:rPr>
        <w:t>.</w:t>
      </w:r>
    </w:p>
    <w:p w14:paraId="2708AB56" w14:textId="77777777" w:rsidR="008B7C2B" w:rsidRPr="00420A97" w:rsidRDefault="008B7C2B" w:rsidP="00003363">
      <w:pPr>
        <w:spacing w:line="360" w:lineRule="auto"/>
        <w:rPr>
          <w:bCs/>
          <w:sz w:val="28"/>
          <w:szCs w:val="28"/>
        </w:rPr>
      </w:pPr>
    </w:p>
    <w:p w14:paraId="12A1D318" w14:textId="77777777" w:rsidR="008B7C2B" w:rsidRPr="00420A97" w:rsidRDefault="008B7C2B" w:rsidP="00003363">
      <w:pPr>
        <w:spacing w:line="360" w:lineRule="auto"/>
        <w:rPr>
          <w:bCs/>
          <w:sz w:val="28"/>
          <w:szCs w:val="28"/>
        </w:rPr>
        <w:sectPr w:rsidR="008B7C2B" w:rsidRPr="00420A97" w:rsidSect="00003363">
          <w:headerReference w:type="even" r:id="rId9"/>
          <w:headerReference w:type="default" r:id="rId10"/>
          <w:pgSz w:w="12240" w:h="15840"/>
          <w:pgMar w:top="1440" w:right="1800" w:bottom="1440" w:left="1800" w:header="720" w:footer="720" w:gutter="0"/>
          <w:pgNumType w:start="1"/>
          <w:cols w:space="720"/>
          <w:titlePg/>
          <w:docGrid w:linePitch="360"/>
        </w:sectPr>
      </w:pPr>
    </w:p>
    <w:p w14:paraId="652BF2D1" w14:textId="77777777" w:rsidR="00C72C3F" w:rsidRPr="00420A97" w:rsidRDefault="00C72C3F" w:rsidP="00C72C3F">
      <w:pPr>
        <w:pBdr>
          <w:bottom w:val="single" w:sz="12" w:space="1" w:color="auto"/>
        </w:pBdr>
        <w:spacing w:line="360" w:lineRule="auto"/>
        <w:rPr>
          <w:b/>
          <w:sz w:val="28"/>
          <w:szCs w:val="28"/>
        </w:rPr>
      </w:pPr>
    </w:p>
    <w:p w14:paraId="620F377B" w14:textId="77777777" w:rsidR="00C72C3F" w:rsidRPr="00420A97" w:rsidRDefault="00C72C3F" w:rsidP="00C72C3F">
      <w:pPr>
        <w:spacing w:line="360" w:lineRule="auto"/>
        <w:rPr>
          <w:b/>
          <w:sz w:val="28"/>
          <w:szCs w:val="28"/>
        </w:rPr>
      </w:pPr>
    </w:p>
    <w:p w14:paraId="7CD057AD" w14:textId="77777777" w:rsidR="00C72C3F" w:rsidRPr="00420A97" w:rsidRDefault="00C72C3F" w:rsidP="00C72C3F">
      <w:pPr>
        <w:pBdr>
          <w:bottom w:val="single" w:sz="12" w:space="1" w:color="auto"/>
        </w:pBdr>
        <w:spacing w:line="360" w:lineRule="auto"/>
        <w:jc w:val="center"/>
        <w:rPr>
          <w:b/>
          <w:sz w:val="28"/>
          <w:szCs w:val="28"/>
        </w:rPr>
      </w:pPr>
      <w:r w:rsidRPr="00420A97">
        <w:rPr>
          <w:b/>
          <w:sz w:val="28"/>
          <w:szCs w:val="28"/>
        </w:rPr>
        <w:t>ORDER</w:t>
      </w:r>
    </w:p>
    <w:p w14:paraId="5FC07A90" w14:textId="77777777" w:rsidR="00C72C3F" w:rsidRPr="00420A97" w:rsidRDefault="00C72C3F" w:rsidP="00003363">
      <w:pPr>
        <w:spacing w:line="360" w:lineRule="auto"/>
        <w:rPr>
          <w:b/>
          <w:bCs/>
          <w:sz w:val="28"/>
          <w:szCs w:val="28"/>
        </w:rPr>
      </w:pPr>
    </w:p>
    <w:p w14:paraId="762AC3BF" w14:textId="77777777" w:rsidR="00595447" w:rsidRPr="00420A97" w:rsidRDefault="00003363" w:rsidP="00393A4E">
      <w:pPr>
        <w:spacing w:line="360" w:lineRule="auto"/>
        <w:jc w:val="both"/>
        <w:rPr>
          <w:bCs/>
          <w:sz w:val="28"/>
          <w:szCs w:val="28"/>
        </w:rPr>
      </w:pPr>
      <w:r w:rsidRPr="00420A97">
        <w:rPr>
          <w:b/>
          <w:bCs/>
          <w:sz w:val="28"/>
          <w:szCs w:val="28"/>
        </w:rPr>
        <w:t xml:space="preserve">On appeal from: </w:t>
      </w:r>
      <w:r w:rsidR="00393A4E" w:rsidRPr="00420A97">
        <w:rPr>
          <w:bCs/>
          <w:sz w:val="28"/>
          <w:szCs w:val="28"/>
        </w:rPr>
        <w:t>Western Cape</w:t>
      </w:r>
      <w:r w:rsidR="00595447" w:rsidRPr="00420A97">
        <w:rPr>
          <w:bCs/>
          <w:sz w:val="28"/>
          <w:szCs w:val="28"/>
        </w:rPr>
        <w:t xml:space="preserve"> Division of the High Court, </w:t>
      </w:r>
      <w:r w:rsidR="008120F1" w:rsidRPr="00420A97">
        <w:rPr>
          <w:bCs/>
          <w:sz w:val="28"/>
          <w:szCs w:val="28"/>
        </w:rPr>
        <w:t>Cape Town</w:t>
      </w:r>
      <w:r w:rsidR="00595447" w:rsidRPr="00420A97">
        <w:rPr>
          <w:bCs/>
          <w:sz w:val="28"/>
          <w:szCs w:val="28"/>
        </w:rPr>
        <w:t xml:space="preserve"> (</w:t>
      </w:r>
      <w:r w:rsidR="0028472D" w:rsidRPr="00420A97">
        <w:rPr>
          <w:bCs/>
          <w:sz w:val="28"/>
          <w:szCs w:val="28"/>
        </w:rPr>
        <w:t>Alli</w:t>
      </w:r>
      <w:r w:rsidR="00482960" w:rsidRPr="00420A97">
        <w:rPr>
          <w:bCs/>
          <w:sz w:val="28"/>
          <w:szCs w:val="28"/>
        </w:rPr>
        <w:t>e</w:t>
      </w:r>
      <w:r w:rsidR="0028472D" w:rsidRPr="00420A97">
        <w:rPr>
          <w:bCs/>
          <w:sz w:val="28"/>
          <w:szCs w:val="28"/>
        </w:rPr>
        <w:t> </w:t>
      </w:r>
      <w:r w:rsidR="00595447" w:rsidRPr="00420A97">
        <w:rPr>
          <w:bCs/>
          <w:sz w:val="28"/>
          <w:szCs w:val="28"/>
        </w:rPr>
        <w:t>J, sitting as court of first instance)</w:t>
      </w:r>
      <w:r w:rsidR="003119B4" w:rsidRPr="00420A97">
        <w:rPr>
          <w:bCs/>
          <w:sz w:val="28"/>
          <w:szCs w:val="28"/>
        </w:rPr>
        <w:t>:</w:t>
      </w:r>
    </w:p>
    <w:p w14:paraId="61A463A1" w14:textId="77777777" w:rsidR="009D08C6" w:rsidRPr="00420A97" w:rsidRDefault="002D371F" w:rsidP="009D08C6">
      <w:pPr>
        <w:spacing w:line="360" w:lineRule="auto"/>
        <w:jc w:val="both"/>
        <w:rPr>
          <w:sz w:val="28"/>
          <w:szCs w:val="28"/>
        </w:rPr>
      </w:pPr>
      <w:r w:rsidRPr="00420A97">
        <w:rPr>
          <w:sz w:val="28"/>
          <w:szCs w:val="28"/>
        </w:rPr>
        <w:t>1</w:t>
      </w:r>
      <w:r w:rsidRPr="00420A97">
        <w:rPr>
          <w:sz w:val="28"/>
          <w:szCs w:val="28"/>
        </w:rPr>
        <w:tab/>
      </w:r>
      <w:r w:rsidR="009D08C6" w:rsidRPr="00420A97">
        <w:rPr>
          <w:sz w:val="28"/>
          <w:szCs w:val="28"/>
        </w:rPr>
        <w:t>The appeal succeeds with costs, including the costs of two counsel</w:t>
      </w:r>
      <w:r w:rsidR="003D1622" w:rsidRPr="00420A97">
        <w:rPr>
          <w:sz w:val="28"/>
          <w:szCs w:val="28"/>
        </w:rPr>
        <w:t>.</w:t>
      </w:r>
    </w:p>
    <w:p w14:paraId="7A8F1165" w14:textId="77777777" w:rsidR="009D08C6" w:rsidRPr="00420A97" w:rsidRDefault="002D371F" w:rsidP="009D08C6">
      <w:pPr>
        <w:spacing w:line="360" w:lineRule="auto"/>
        <w:jc w:val="both"/>
        <w:rPr>
          <w:sz w:val="28"/>
          <w:szCs w:val="28"/>
        </w:rPr>
      </w:pPr>
      <w:r w:rsidRPr="00420A97">
        <w:rPr>
          <w:sz w:val="28"/>
          <w:szCs w:val="28"/>
        </w:rPr>
        <w:t>2</w:t>
      </w:r>
      <w:r w:rsidRPr="00420A97">
        <w:rPr>
          <w:sz w:val="28"/>
          <w:szCs w:val="28"/>
        </w:rPr>
        <w:tab/>
      </w:r>
      <w:r w:rsidR="009D08C6" w:rsidRPr="00420A97">
        <w:rPr>
          <w:sz w:val="28"/>
          <w:szCs w:val="28"/>
        </w:rPr>
        <w:t>The order of the court a quo is set aside and substituted with the following</w:t>
      </w:r>
      <w:r w:rsidRPr="00420A97">
        <w:rPr>
          <w:sz w:val="28"/>
          <w:szCs w:val="28"/>
        </w:rPr>
        <w:t xml:space="preserve"> order</w:t>
      </w:r>
      <w:r w:rsidR="009D08C6" w:rsidRPr="00420A97">
        <w:rPr>
          <w:sz w:val="28"/>
          <w:szCs w:val="28"/>
        </w:rPr>
        <w:t>:</w:t>
      </w:r>
    </w:p>
    <w:p w14:paraId="5D9B3DD6" w14:textId="77777777" w:rsidR="009D08C6" w:rsidRPr="00420A97" w:rsidRDefault="009D08C6" w:rsidP="002D371F">
      <w:pPr>
        <w:spacing w:line="360" w:lineRule="auto"/>
        <w:ind w:left="567"/>
        <w:jc w:val="both"/>
        <w:rPr>
          <w:sz w:val="28"/>
          <w:szCs w:val="28"/>
        </w:rPr>
      </w:pPr>
      <w:r w:rsidRPr="00420A97">
        <w:rPr>
          <w:sz w:val="28"/>
          <w:szCs w:val="28"/>
        </w:rPr>
        <w:t>‘</w:t>
      </w:r>
      <w:r w:rsidR="002D371F" w:rsidRPr="00420A97">
        <w:rPr>
          <w:sz w:val="28"/>
          <w:szCs w:val="28"/>
        </w:rPr>
        <w:t>1</w:t>
      </w:r>
      <w:r w:rsidR="002D371F" w:rsidRPr="00420A97">
        <w:rPr>
          <w:sz w:val="28"/>
          <w:szCs w:val="28"/>
        </w:rPr>
        <w:tab/>
      </w:r>
      <w:r w:rsidRPr="00420A97">
        <w:rPr>
          <w:sz w:val="28"/>
          <w:szCs w:val="28"/>
        </w:rPr>
        <w:t>Summary judgment is refused</w:t>
      </w:r>
      <w:r w:rsidR="002D371F" w:rsidRPr="00420A97">
        <w:rPr>
          <w:sz w:val="28"/>
          <w:szCs w:val="28"/>
        </w:rPr>
        <w:t>.</w:t>
      </w:r>
    </w:p>
    <w:p w14:paraId="27A0152F" w14:textId="77777777" w:rsidR="009D08C6" w:rsidRPr="00420A97" w:rsidRDefault="002D371F" w:rsidP="002D371F">
      <w:pPr>
        <w:spacing w:line="360" w:lineRule="auto"/>
        <w:ind w:firstLine="720"/>
        <w:jc w:val="both"/>
        <w:rPr>
          <w:sz w:val="28"/>
          <w:szCs w:val="28"/>
        </w:rPr>
      </w:pPr>
      <w:r w:rsidRPr="00420A97">
        <w:rPr>
          <w:sz w:val="28"/>
          <w:szCs w:val="28"/>
        </w:rPr>
        <w:t>2</w:t>
      </w:r>
      <w:r w:rsidRPr="00420A97">
        <w:rPr>
          <w:sz w:val="28"/>
          <w:szCs w:val="28"/>
        </w:rPr>
        <w:tab/>
      </w:r>
      <w:r w:rsidR="009D08C6" w:rsidRPr="00420A97">
        <w:rPr>
          <w:sz w:val="28"/>
          <w:szCs w:val="28"/>
        </w:rPr>
        <w:t>The defendants are granted leave to defend</w:t>
      </w:r>
      <w:r w:rsidR="000A6EFA" w:rsidRPr="00420A97">
        <w:rPr>
          <w:sz w:val="28"/>
          <w:szCs w:val="28"/>
        </w:rPr>
        <w:t xml:space="preserve"> the main action.</w:t>
      </w:r>
    </w:p>
    <w:p w14:paraId="435968C4" w14:textId="77777777" w:rsidR="009D08C6" w:rsidRPr="00420A97" w:rsidRDefault="002D371F" w:rsidP="002D371F">
      <w:pPr>
        <w:spacing w:line="360" w:lineRule="auto"/>
        <w:ind w:firstLine="720"/>
        <w:jc w:val="both"/>
        <w:rPr>
          <w:sz w:val="28"/>
          <w:szCs w:val="28"/>
        </w:rPr>
      </w:pPr>
      <w:r w:rsidRPr="00420A97">
        <w:rPr>
          <w:sz w:val="28"/>
          <w:szCs w:val="28"/>
        </w:rPr>
        <w:t>3</w:t>
      </w:r>
      <w:r w:rsidRPr="00420A97">
        <w:rPr>
          <w:sz w:val="28"/>
          <w:szCs w:val="28"/>
        </w:rPr>
        <w:tab/>
      </w:r>
      <w:r w:rsidR="009D08C6" w:rsidRPr="00420A97">
        <w:rPr>
          <w:sz w:val="28"/>
          <w:szCs w:val="28"/>
        </w:rPr>
        <w:t>Costs shall be costs in the cause</w:t>
      </w:r>
      <w:r w:rsidRPr="00420A97">
        <w:rPr>
          <w:sz w:val="28"/>
          <w:szCs w:val="28"/>
        </w:rPr>
        <w:t>.</w:t>
      </w:r>
      <w:r w:rsidR="009D08C6" w:rsidRPr="00420A97">
        <w:rPr>
          <w:sz w:val="28"/>
          <w:szCs w:val="28"/>
        </w:rPr>
        <w:t>’</w:t>
      </w:r>
    </w:p>
    <w:p w14:paraId="581505FC" w14:textId="77777777" w:rsidR="0028472D" w:rsidRPr="00420A97" w:rsidRDefault="0028472D" w:rsidP="00003363">
      <w:pPr>
        <w:pBdr>
          <w:bottom w:val="single" w:sz="12" w:space="1" w:color="auto"/>
        </w:pBdr>
        <w:spacing w:line="360" w:lineRule="auto"/>
        <w:rPr>
          <w:b/>
          <w:sz w:val="28"/>
          <w:szCs w:val="28"/>
        </w:rPr>
      </w:pPr>
    </w:p>
    <w:p w14:paraId="39938C22" w14:textId="77777777" w:rsidR="00C72C3F" w:rsidRPr="00420A97" w:rsidRDefault="00C72C3F" w:rsidP="00003363">
      <w:pPr>
        <w:spacing w:line="360" w:lineRule="auto"/>
        <w:rPr>
          <w:b/>
          <w:sz w:val="28"/>
          <w:szCs w:val="28"/>
        </w:rPr>
      </w:pPr>
    </w:p>
    <w:p w14:paraId="6C73CA4B" w14:textId="77777777" w:rsidR="00C72C3F" w:rsidRPr="00420A97" w:rsidRDefault="00C72C3F" w:rsidP="00C72C3F">
      <w:pPr>
        <w:pBdr>
          <w:bottom w:val="single" w:sz="12" w:space="1" w:color="auto"/>
        </w:pBdr>
        <w:spacing w:line="360" w:lineRule="auto"/>
        <w:jc w:val="center"/>
        <w:rPr>
          <w:b/>
          <w:sz w:val="28"/>
          <w:szCs w:val="28"/>
        </w:rPr>
      </w:pPr>
      <w:r w:rsidRPr="00420A97">
        <w:rPr>
          <w:b/>
          <w:sz w:val="28"/>
          <w:szCs w:val="28"/>
        </w:rPr>
        <w:t>JUDGMENT</w:t>
      </w:r>
    </w:p>
    <w:p w14:paraId="31248633" w14:textId="77777777" w:rsidR="00C72C3F" w:rsidRPr="00420A97" w:rsidRDefault="00C72C3F" w:rsidP="00C72C3F">
      <w:pPr>
        <w:spacing w:line="360" w:lineRule="auto"/>
        <w:jc w:val="both"/>
        <w:rPr>
          <w:b/>
          <w:sz w:val="28"/>
          <w:szCs w:val="28"/>
        </w:rPr>
      </w:pPr>
    </w:p>
    <w:p w14:paraId="613D1C2E" w14:textId="1BD0889F" w:rsidR="004D0981" w:rsidRPr="00420A97" w:rsidRDefault="00C72C3F" w:rsidP="00C72C3F">
      <w:pPr>
        <w:spacing w:line="360" w:lineRule="auto"/>
        <w:rPr>
          <w:b/>
          <w:sz w:val="28"/>
          <w:szCs w:val="28"/>
        </w:rPr>
      </w:pPr>
      <w:r w:rsidRPr="00420A97">
        <w:rPr>
          <w:b/>
          <w:sz w:val="28"/>
          <w:szCs w:val="28"/>
        </w:rPr>
        <w:t>Nicholls JA</w:t>
      </w:r>
      <w:r w:rsidR="004D0981" w:rsidRPr="00420A97">
        <w:rPr>
          <w:b/>
          <w:sz w:val="28"/>
          <w:szCs w:val="28"/>
        </w:rPr>
        <w:t xml:space="preserve"> (</w:t>
      </w:r>
      <w:r w:rsidR="006229D9">
        <w:rPr>
          <w:b/>
          <w:sz w:val="28"/>
          <w:szCs w:val="28"/>
        </w:rPr>
        <w:t xml:space="preserve">Saldulker and Mocumie JJA and Mali and Siwendu AJJA </w:t>
      </w:r>
      <w:r w:rsidR="004D0981" w:rsidRPr="00420A97">
        <w:rPr>
          <w:b/>
          <w:sz w:val="28"/>
          <w:szCs w:val="28"/>
        </w:rPr>
        <w:t>concurring)</w:t>
      </w:r>
    </w:p>
    <w:p w14:paraId="006EFFC2" w14:textId="77777777" w:rsidR="00003363" w:rsidRPr="00420A97" w:rsidRDefault="00003363" w:rsidP="00E0393F">
      <w:pPr>
        <w:spacing w:line="360" w:lineRule="auto"/>
        <w:jc w:val="both"/>
        <w:rPr>
          <w:sz w:val="28"/>
          <w:szCs w:val="28"/>
        </w:rPr>
      </w:pPr>
    </w:p>
    <w:p w14:paraId="3D56704C" w14:textId="10CA3C8F" w:rsidR="00553797" w:rsidRPr="00420A97" w:rsidRDefault="004F66A4" w:rsidP="004F66A4">
      <w:pPr>
        <w:spacing w:line="360" w:lineRule="auto"/>
        <w:jc w:val="both"/>
        <w:rPr>
          <w:sz w:val="28"/>
          <w:szCs w:val="28"/>
        </w:rPr>
      </w:pPr>
      <w:r w:rsidRPr="00420A97">
        <w:rPr>
          <w:sz w:val="28"/>
          <w:szCs w:val="28"/>
        </w:rPr>
        <w:t>[1]</w:t>
      </w:r>
      <w:r w:rsidRPr="00420A97">
        <w:rPr>
          <w:sz w:val="28"/>
          <w:szCs w:val="28"/>
        </w:rPr>
        <w:tab/>
      </w:r>
      <w:r w:rsidR="00EE68F2" w:rsidRPr="00420A97">
        <w:rPr>
          <w:sz w:val="28"/>
          <w:szCs w:val="28"/>
        </w:rPr>
        <w:t>The appellants, the defendants in the high court, are the trustees of the Century City P</w:t>
      </w:r>
      <w:bookmarkStart w:id="0" w:name="_GoBack"/>
      <w:bookmarkEnd w:id="0"/>
      <w:r w:rsidR="00EE68F2" w:rsidRPr="00420A97">
        <w:rPr>
          <w:sz w:val="28"/>
          <w:szCs w:val="28"/>
        </w:rPr>
        <w:t xml:space="preserve">roperty </w:t>
      </w:r>
      <w:r w:rsidR="001517B7" w:rsidRPr="00420A97">
        <w:rPr>
          <w:sz w:val="28"/>
          <w:szCs w:val="28"/>
        </w:rPr>
        <w:t xml:space="preserve">Investment </w:t>
      </w:r>
      <w:r w:rsidR="00EE68F2" w:rsidRPr="00420A97">
        <w:rPr>
          <w:sz w:val="28"/>
          <w:szCs w:val="28"/>
        </w:rPr>
        <w:t xml:space="preserve">Trust (the Trust), a trading trust </w:t>
      </w:r>
      <w:r w:rsidR="002278C6" w:rsidRPr="00420A97">
        <w:rPr>
          <w:sz w:val="28"/>
          <w:szCs w:val="28"/>
        </w:rPr>
        <w:t>run as a commercial enterprise</w:t>
      </w:r>
      <w:r w:rsidR="00EE68F2" w:rsidRPr="00420A97">
        <w:rPr>
          <w:sz w:val="28"/>
          <w:szCs w:val="28"/>
        </w:rPr>
        <w:t>. The</w:t>
      </w:r>
      <w:r w:rsidR="0093367B" w:rsidRPr="00420A97">
        <w:rPr>
          <w:sz w:val="28"/>
          <w:szCs w:val="28"/>
        </w:rPr>
        <w:t xml:space="preserve">re are </w:t>
      </w:r>
      <w:r w:rsidR="00EC63A4" w:rsidRPr="00420A97">
        <w:rPr>
          <w:sz w:val="28"/>
          <w:szCs w:val="28"/>
        </w:rPr>
        <w:t>23</w:t>
      </w:r>
      <w:r w:rsidR="00EE68F2" w:rsidRPr="00420A97">
        <w:rPr>
          <w:sz w:val="28"/>
          <w:szCs w:val="28"/>
        </w:rPr>
        <w:t xml:space="preserve"> be</w:t>
      </w:r>
      <w:r w:rsidR="0093367B" w:rsidRPr="00420A97">
        <w:rPr>
          <w:sz w:val="28"/>
          <w:szCs w:val="28"/>
        </w:rPr>
        <w:t xml:space="preserve">neficiaries of the Trust consisting of the trustees, </w:t>
      </w:r>
      <w:r w:rsidR="00EE68F2" w:rsidRPr="00420A97">
        <w:rPr>
          <w:sz w:val="28"/>
          <w:szCs w:val="28"/>
        </w:rPr>
        <w:t xml:space="preserve">their wives, children and their </w:t>
      </w:r>
      <w:r w:rsidR="0043092B" w:rsidRPr="00420A97">
        <w:rPr>
          <w:sz w:val="28"/>
          <w:szCs w:val="28"/>
        </w:rPr>
        <w:t>respective f</w:t>
      </w:r>
      <w:r w:rsidR="00EE68F2" w:rsidRPr="00420A97">
        <w:rPr>
          <w:sz w:val="28"/>
          <w:szCs w:val="28"/>
        </w:rPr>
        <w:t>amily trusts. The respondent, Michelle Lynne Deans (Ms Deans)</w:t>
      </w:r>
      <w:r w:rsidR="007E01E1" w:rsidRPr="00420A97">
        <w:rPr>
          <w:sz w:val="28"/>
          <w:szCs w:val="28"/>
        </w:rPr>
        <w:t>,</w:t>
      </w:r>
      <w:r w:rsidR="00EE68F2" w:rsidRPr="00420A97">
        <w:rPr>
          <w:sz w:val="28"/>
          <w:szCs w:val="28"/>
        </w:rPr>
        <w:t xml:space="preserve"> </w:t>
      </w:r>
      <w:r w:rsidR="006B0B2B" w:rsidRPr="00420A97">
        <w:rPr>
          <w:sz w:val="28"/>
          <w:szCs w:val="28"/>
        </w:rPr>
        <w:t xml:space="preserve">the plaintiff in the high court, </w:t>
      </w:r>
      <w:r w:rsidR="00EE68F2" w:rsidRPr="00420A97">
        <w:rPr>
          <w:sz w:val="28"/>
          <w:szCs w:val="28"/>
        </w:rPr>
        <w:t>is the ex-wife of the second appellant, G</w:t>
      </w:r>
      <w:r w:rsidR="006B0B2B" w:rsidRPr="00420A97">
        <w:rPr>
          <w:sz w:val="28"/>
          <w:szCs w:val="28"/>
        </w:rPr>
        <w:t>regory William Deans (Mr Deans), o</w:t>
      </w:r>
      <w:r w:rsidR="00EE68F2" w:rsidRPr="00420A97">
        <w:rPr>
          <w:sz w:val="28"/>
          <w:szCs w:val="28"/>
        </w:rPr>
        <w:t>ne of the trustees. During the course of their marriage</w:t>
      </w:r>
      <w:r w:rsidR="007E01E1" w:rsidRPr="00420A97">
        <w:rPr>
          <w:sz w:val="28"/>
          <w:szCs w:val="28"/>
        </w:rPr>
        <w:t>,</w:t>
      </w:r>
      <w:r w:rsidR="00EE68F2" w:rsidRPr="00420A97">
        <w:rPr>
          <w:sz w:val="28"/>
          <w:szCs w:val="28"/>
        </w:rPr>
        <w:t xml:space="preserve"> Ms Deans was a </w:t>
      </w:r>
      <w:r w:rsidR="00EE68F2" w:rsidRPr="00420A97">
        <w:rPr>
          <w:sz w:val="28"/>
          <w:szCs w:val="28"/>
        </w:rPr>
        <w:lastRenderedPageBreak/>
        <w:t>beneficiary of the Trust by virtue of her marriage to Mr Deans until the date of their divorce</w:t>
      </w:r>
      <w:r w:rsidR="000A6EFA" w:rsidRPr="00420A97">
        <w:rPr>
          <w:sz w:val="28"/>
          <w:szCs w:val="28"/>
        </w:rPr>
        <w:t xml:space="preserve"> on 8 February 2019</w:t>
      </w:r>
      <w:r w:rsidR="00EE68F2" w:rsidRPr="00420A97">
        <w:rPr>
          <w:sz w:val="28"/>
          <w:szCs w:val="28"/>
        </w:rPr>
        <w:t>.</w:t>
      </w:r>
    </w:p>
    <w:p w14:paraId="381EDDA4" w14:textId="77777777" w:rsidR="000A6EFA" w:rsidRPr="00420A97" w:rsidRDefault="000A6EFA" w:rsidP="000A6EFA">
      <w:pPr>
        <w:spacing w:line="360" w:lineRule="auto"/>
        <w:jc w:val="both"/>
        <w:rPr>
          <w:sz w:val="28"/>
          <w:szCs w:val="28"/>
        </w:rPr>
      </w:pPr>
    </w:p>
    <w:p w14:paraId="1329AD34" w14:textId="45A973BF" w:rsidR="004D0981" w:rsidRPr="00420A97" w:rsidRDefault="004F66A4" w:rsidP="004F66A4">
      <w:pPr>
        <w:spacing w:line="360" w:lineRule="auto"/>
        <w:jc w:val="both"/>
        <w:rPr>
          <w:sz w:val="28"/>
          <w:szCs w:val="28"/>
        </w:rPr>
      </w:pPr>
      <w:r w:rsidRPr="00420A97">
        <w:rPr>
          <w:sz w:val="28"/>
          <w:szCs w:val="28"/>
        </w:rPr>
        <w:t>[2]</w:t>
      </w:r>
      <w:r w:rsidRPr="00420A97">
        <w:rPr>
          <w:sz w:val="28"/>
          <w:szCs w:val="28"/>
        </w:rPr>
        <w:tab/>
      </w:r>
      <w:r w:rsidR="002278C6" w:rsidRPr="00420A97">
        <w:rPr>
          <w:sz w:val="28"/>
          <w:szCs w:val="28"/>
        </w:rPr>
        <w:t xml:space="preserve">As a result of </w:t>
      </w:r>
      <w:r w:rsidR="00F51869">
        <w:rPr>
          <w:sz w:val="28"/>
          <w:szCs w:val="28"/>
        </w:rPr>
        <w:t xml:space="preserve">the </w:t>
      </w:r>
      <w:r w:rsidR="002278C6" w:rsidRPr="00420A97">
        <w:rPr>
          <w:sz w:val="28"/>
          <w:szCs w:val="28"/>
        </w:rPr>
        <w:t>sale of certain propert</w:t>
      </w:r>
      <w:r w:rsidR="00F51869">
        <w:rPr>
          <w:sz w:val="28"/>
          <w:szCs w:val="28"/>
        </w:rPr>
        <w:t>ies</w:t>
      </w:r>
      <w:r w:rsidR="002278C6" w:rsidRPr="00420A97">
        <w:rPr>
          <w:sz w:val="28"/>
          <w:szCs w:val="28"/>
        </w:rPr>
        <w:t xml:space="preserve"> to a third party in 2013 and 2014, </w:t>
      </w:r>
      <w:r w:rsidR="00F51869">
        <w:rPr>
          <w:sz w:val="28"/>
          <w:szCs w:val="28"/>
        </w:rPr>
        <w:t>the Trust</w:t>
      </w:r>
      <w:r w:rsidR="002278C6" w:rsidRPr="00420A97">
        <w:rPr>
          <w:sz w:val="28"/>
          <w:szCs w:val="28"/>
        </w:rPr>
        <w:t xml:space="preserve"> earned substantial capital gains. </w:t>
      </w:r>
      <w:r w:rsidR="006B0B2B" w:rsidRPr="00420A97">
        <w:rPr>
          <w:sz w:val="28"/>
          <w:szCs w:val="28"/>
        </w:rPr>
        <w:t>During</w:t>
      </w:r>
      <w:r w:rsidR="00ED1536" w:rsidRPr="00420A97">
        <w:rPr>
          <w:sz w:val="28"/>
          <w:szCs w:val="28"/>
        </w:rPr>
        <w:t xml:space="preserve"> the 2014 and 2015 tax years the trustees resolved</w:t>
      </w:r>
      <w:r w:rsidR="002278C6" w:rsidRPr="00420A97">
        <w:rPr>
          <w:sz w:val="28"/>
          <w:szCs w:val="28"/>
        </w:rPr>
        <w:t xml:space="preserve"> to allocate </w:t>
      </w:r>
      <w:r w:rsidR="00ED1536" w:rsidRPr="00420A97">
        <w:rPr>
          <w:sz w:val="28"/>
          <w:szCs w:val="28"/>
        </w:rPr>
        <w:t xml:space="preserve">the net income of </w:t>
      </w:r>
      <w:r w:rsidR="00F51869">
        <w:rPr>
          <w:sz w:val="28"/>
          <w:szCs w:val="28"/>
        </w:rPr>
        <w:t xml:space="preserve">the </w:t>
      </w:r>
      <w:r w:rsidR="00ED1536" w:rsidRPr="00420A97">
        <w:rPr>
          <w:sz w:val="28"/>
          <w:szCs w:val="28"/>
        </w:rPr>
        <w:t xml:space="preserve">capital gains to the </w:t>
      </w:r>
      <w:r w:rsidR="002278C6" w:rsidRPr="00420A97">
        <w:rPr>
          <w:sz w:val="28"/>
          <w:szCs w:val="28"/>
        </w:rPr>
        <w:t>23</w:t>
      </w:r>
      <w:r w:rsidR="00ED1536" w:rsidRPr="00420A97">
        <w:rPr>
          <w:sz w:val="28"/>
          <w:szCs w:val="28"/>
        </w:rPr>
        <w:t xml:space="preserve"> beneficiaries</w:t>
      </w:r>
      <w:r w:rsidR="006B0B2B" w:rsidRPr="00420A97">
        <w:rPr>
          <w:sz w:val="28"/>
          <w:szCs w:val="28"/>
        </w:rPr>
        <w:t xml:space="preserve"> of the Trust</w:t>
      </w:r>
      <w:r w:rsidR="00ED1536" w:rsidRPr="00420A97">
        <w:rPr>
          <w:sz w:val="28"/>
          <w:szCs w:val="28"/>
        </w:rPr>
        <w:t>. This resulted in a net allocation of R184</w:t>
      </w:r>
      <w:r w:rsidR="00FD4079" w:rsidRPr="00420A97">
        <w:rPr>
          <w:sz w:val="28"/>
          <w:szCs w:val="28"/>
        </w:rPr>
        <w:t> </w:t>
      </w:r>
      <w:r w:rsidR="00ED1536" w:rsidRPr="00420A97">
        <w:rPr>
          <w:sz w:val="28"/>
          <w:szCs w:val="28"/>
        </w:rPr>
        <w:t>179</w:t>
      </w:r>
      <w:r w:rsidR="004078AE" w:rsidRPr="00420A97">
        <w:rPr>
          <w:sz w:val="28"/>
          <w:szCs w:val="28"/>
        </w:rPr>
        <w:t> </w:t>
      </w:r>
      <w:r w:rsidR="00ED1536" w:rsidRPr="00420A97">
        <w:rPr>
          <w:sz w:val="28"/>
          <w:szCs w:val="28"/>
        </w:rPr>
        <w:t>657</w:t>
      </w:r>
      <w:r w:rsidR="004078AE" w:rsidRPr="00420A97">
        <w:rPr>
          <w:sz w:val="28"/>
          <w:szCs w:val="28"/>
        </w:rPr>
        <w:t xml:space="preserve"> </w:t>
      </w:r>
      <w:r w:rsidR="00ED1536" w:rsidRPr="00420A97">
        <w:rPr>
          <w:sz w:val="28"/>
          <w:szCs w:val="28"/>
        </w:rPr>
        <w:t>to the beneficiaries</w:t>
      </w:r>
      <w:r w:rsidR="00115F87" w:rsidRPr="00420A97">
        <w:rPr>
          <w:sz w:val="28"/>
          <w:szCs w:val="28"/>
        </w:rPr>
        <w:t>,</w:t>
      </w:r>
      <w:r w:rsidR="00ED1536" w:rsidRPr="00420A97">
        <w:rPr>
          <w:sz w:val="28"/>
          <w:szCs w:val="28"/>
        </w:rPr>
        <w:t xml:space="preserve"> of which two amounts of R6 050</w:t>
      </w:r>
      <w:r w:rsidR="004078AE" w:rsidRPr="00420A97">
        <w:rPr>
          <w:sz w:val="28"/>
          <w:szCs w:val="28"/>
        </w:rPr>
        <w:t> </w:t>
      </w:r>
      <w:r w:rsidR="00ED1536" w:rsidRPr="00420A97">
        <w:rPr>
          <w:sz w:val="28"/>
          <w:szCs w:val="28"/>
        </w:rPr>
        <w:t>895</w:t>
      </w:r>
      <w:r w:rsidR="004078AE" w:rsidRPr="00420A97">
        <w:rPr>
          <w:sz w:val="28"/>
          <w:szCs w:val="28"/>
        </w:rPr>
        <w:t xml:space="preserve"> </w:t>
      </w:r>
      <w:r w:rsidR="00ED1536" w:rsidRPr="00420A97">
        <w:rPr>
          <w:sz w:val="28"/>
          <w:szCs w:val="28"/>
        </w:rPr>
        <w:t xml:space="preserve">and R279 </w:t>
      </w:r>
      <w:r w:rsidR="0029712B" w:rsidRPr="00420A97">
        <w:rPr>
          <w:sz w:val="28"/>
          <w:szCs w:val="28"/>
        </w:rPr>
        <w:t>044.00, totalling R6 329 939, were</w:t>
      </w:r>
      <w:r w:rsidR="00ED1536" w:rsidRPr="00420A97">
        <w:rPr>
          <w:sz w:val="28"/>
          <w:szCs w:val="28"/>
        </w:rPr>
        <w:t xml:space="preserve"> allocated to Ms</w:t>
      </w:r>
      <w:r w:rsidR="001A374A" w:rsidRPr="00420A97">
        <w:rPr>
          <w:sz w:val="28"/>
          <w:szCs w:val="28"/>
        </w:rPr>
        <w:t> </w:t>
      </w:r>
      <w:r w:rsidR="00A511CB" w:rsidRPr="00420A97">
        <w:rPr>
          <w:sz w:val="28"/>
          <w:szCs w:val="28"/>
        </w:rPr>
        <w:t xml:space="preserve">Deans. The </w:t>
      </w:r>
      <w:r w:rsidR="0029712B" w:rsidRPr="00420A97">
        <w:rPr>
          <w:sz w:val="28"/>
          <w:szCs w:val="28"/>
        </w:rPr>
        <w:t>amount</w:t>
      </w:r>
      <w:r w:rsidR="00A511CB" w:rsidRPr="00420A97">
        <w:rPr>
          <w:sz w:val="28"/>
          <w:szCs w:val="28"/>
        </w:rPr>
        <w:t>s owing to the beneficiaries</w:t>
      </w:r>
      <w:r w:rsidR="00ED1536" w:rsidRPr="00420A97">
        <w:rPr>
          <w:sz w:val="28"/>
          <w:szCs w:val="28"/>
        </w:rPr>
        <w:t xml:space="preserve"> is reflected as a vested liability in the 2017 Annual Financial Statements of the Trust.</w:t>
      </w:r>
    </w:p>
    <w:p w14:paraId="40E66873" w14:textId="77777777" w:rsidR="004D0981" w:rsidRPr="00420A97" w:rsidRDefault="004D0981" w:rsidP="005679E6">
      <w:pPr>
        <w:spacing w:line="360" w:lineRule="auto"/>
        <w:rPr>
          <w:sz w:val="28"/>
          <w:szCs w:val="28"/>
        </w:rPr>
      </w:pPr>
    </w:p>
    <w:p w14:paraId="6241E555" w14:textId="33790B0B" w:rsidR="00886873" w:rsidRPr="004F66A4" w:rsidRDefault="004F66A4" w:rsidP="004F66A4">
      <w:pPr>
        <w:spacing w:line="360" w:lineRule="auto"/>
        <w:jc w:val="both"/>
        <w:rPr>
          <w:sz w:val="28"/>
          <w:szCs w:val="28"/>
          <w:lang w:val="en-ZA"/>
        </w:rPr>
      </w:pPr>
      <w:r w:rsidRPr="00420A97">
        <w:rPr>
          <w:sz w:val="28"/>
          <w:szCs w:val="28"/>
          <w:lang w:val="en-ZA"/>
        </w:rPr>
        <w:t>[3]</w:t>
      </w:r>
      <w:r w:rsidRPr="00420A97">
        <w:rPr>
          <w:sz w:val="28"/>
          <w:szCs w:val="28"/>
          <w:lang w:val="en-ZA"/>
        </w:rPr>
        <w:tab/>
      </w:r>
      <w:r w:rsidR="00ED1536" w:rsidRPr="004F66A4">
        <w:rPr>
          <w:sz w:val="28"/>
          <w:szCs w:val="28"/>
          <w:lang w:val="en-ZA"/>
        </w:rPr>
        <w:t>On the basis of this allocation</w:t>
      </w:r>
      <w:r w:rsidR="00115F87" w:rsidRPr="004F66A4">
        <w:rPr>
          <w:sz w:val="28"/>
          <w:szCs w:val="28"/>
          <w:lang w:val="en-ZA"/>
        </w:rPr>
        <w:t>,</w:t>
      </w:r>
      <w:r w:rsidR="00ED1536" w:rsidRPr="004F66A4">
        <w:rPr>
          <w:sz w:val="28"/>
          <w:szCs w:val="28"/>
          <w:lang w:val="en-ZA"/>
        </w:rPr>
        <w:t xml:space="preserve"> Ms Deans issued summons </w:t>
      </w:r>
      <w:r w:rsidR="00417B2B" w:rsidRPr="004F66A4">
        <w:rPr>
          <w:sz w:val="28"/>
          <w:szCs w:val="28"/>
          <w:lang w:val="en-ZA"/>
        </w:rPr>
        <w:t xml:space="preserve">in July 2021 </w:t>
      </w:r>
      <w:r w:rsidR="00ED1536" w:rsidRPr="004F66A4">
        <w:rPr>
          <w:sz w:val="28"/>
          <w:szCs w:val="28"/>
          <w:lang w:val="en-ZA"/>
        </w:rPr>
        <w:t xml:space="preserve">against the Trust for </w:t>
      </w:r>
      <w:r w:rsidR="006B0B2B" w:rsidRPr="004F66A4">
        <w:rPr>
          <w:sz w:val="28"/>
          <w:szCs w:val="28"/>
          <w:lang w:val="en-ZA"/>
        </w:rPr>
        <w:t xml:space="preserve">payment of </w:t>
      </w:r>
      <w:r w:rsidR="00ED1536" w:rsidRPr="004F66A4">
        <w:rPr>
          <w:sz w:val="28"/>
          <w:szCs w:val="28"/>
          <w:lang w:val="en-ZA"/>
        </w:rPr>
        <w:t xml:space="preserve">the amount of R6 329 939. The matter was defended and after the Trust filed </w:t>
      </w:r>
      <w:r w:rsidR="0043092B" w:rsidRPr="004F66A4">
        <w:rPr>
          <w:sz w:val="28"/>
          <w:szCs w:val="28"/>
          <w:lang w:val="en-ZA"/>
        </w:rPr>
        <w:t xml:space="preserve">its </w:t>
      </w:r>
      <w:r w:rsidR="00ED1536" w:rsidRPr="004F66A4">
        <w:rPr>
          <w:sz w:val="28"/>
          <w:szCs w:val="28"/>
          <w:lang w:val="en-ZA"/>
        </w:rPr>
        <w:t>plea, Ms Deans applied for summary judgment. On 7 March 2022</w:t>
      </w:r>
      <w:r w:rsidR="001A374A" w:rsidRPr="004F66A4">
        <w:rPr>
          <w:sz w:val="28"/>
          <w:szCs w:val="28"/>
          <w:lang w:val="en-ZA"/>
        </w:rPr>
        <w:t>,</w:t>
      </w:r>
      <w:r w:rsidR="00ED1536" w:rsidRPr="004F66A4">
        <w:rPr>
          <w:sz w:val="28"/>
          <w:szCs w:val="28"/>
          <w:lang w:val="en-ZA"/>
        </w:rPr>
        <w:t xml:space="preserve"> the Western Cape Division of the High Court (the high court) granted summary judgment in favour of Ms Deans</w:t>
      </w:r>
      <w:r w:rsidR="00632C33" w:rsidRPr="004F66A4">
        <w:rPr>
          <w:sz w:val="28"/>
          <w:szCs w:val="28"/>
          <w:lang w:val="en-ZA"/>
        </w:rPr>
        <w:t xml:space="preserve"> for an alternative amount</w:t>
      </w:r>
      <w:r w:rsidR="00ED1536" w:rsidRPr="004F66A4">
        <w:rPr>
          <w:sz w:val="28"/>
          <w:szCs w:val="28"/>
          <w:lang w:val="en-ZA"/>
        </w:rPr>
        <w:t xml:space="preserve">. </w:t>
      </w:r>
      <w:r w:rsidR="002278C6" w:rsidRPr="004F66A4">
        <w:rPr>
          <w:sz w:val="28"/>
          <w:szCs w:val="28"/>
          <w:lang w:val="en-ZA"/>
        </w:rPr>
        <w:t>Because no alternative amount had been claimed, a</w:t>
      </w:r>
      <w:r w:rsidR="00632C33" w:rsidRPr="004F66A4">
        <w:rPr>
          <w:sz w:val="28"/>
          <w:szCs w:val="28"/>
          <w:lang w:val="en-ZA"/>
        </w:rPr>
        <w:t xml:space="preserve">n application for variation of the </w:t>
      </w:r>
      <w:r w:rsidR="00ED1536" w:rsidRPr="004F66A4">
        <w:rPr>
          <w:sz w:val="28"/>
          <w:szCs w:val="28"/>
          <w:lang w:val="en-ZA"/>
        </w:rPr>
        <w:t>order</w:t>
      </w:r>
      <w:r w:rsidR="00632C33" w:rsidRPr="004F66A4">
        <w:rPr>
          <w:sz w:val="28"/>
          <w:szCs w:val="28"/>
          <w:lang w:val="en-ZA"/>
        </w:rPr>
        <w:t xml:space="preserve"> was brought by the trustees, deleting any reference</w:t>
      </w:r>
      <w:r w:rsidR="002278C6" w:rsidRPr="004F66A4">
        <w:rPr>
          <w:sz w:val="28"/>
          <w:szCs w:val="28"/>
          <w:lang w:val="en-ZA"/>
        </w:rPr>
        <w:t xml:space="preserve"> to the alternative amount</w:t>
      </w:r>
      <w:r w:rsidR="00632C33" w:rsidRPr="004F66A4">
        <w:rPr>
          <w:sz w:val="28"/>
          <w:szCs w:val="28"/>
          <w:lang w:val="en-ZA"/>
        </w:rPr>
        <w:t xml:space="preserve">. The variation order </w:t>
      </w:r>
      <w:r w:rsidR="00ED1536" w:rsidRPr="004F66A4">
        <w:rPr>
          <w:sz w:val="28"/>
          <w:szCs w:val="28"/>
          <w:lang w:val="en-ZA"/>
        </w:rPr>
        <w:t>was granted on 27</w:t>
      </w:r>
      <w:r w:rsidR="001B3B3C" w:rsidRPr="004F66A4">
        <w:rPr>
          <w:sz w:val="28"/>
          <w:szCs w:val="28"/>
          <w:lang w:val="en-ZA"/>
        </w:rPr>
        <w:t> </w:t>
      </w:r>
      <w:r w:rsidR="00ED1536" w:rsidRPr="004F66A4">
        <w:rPr>
          <w:sz w:val="28"/>
          <w:szCs w:val="28"/>
          <w:lang w:val="en-ZA"/>
        </w:rPr>
        <w:t>June 2022</w:t>
      </w:r>
      <w:r w:rsidR="00632C33" w:rsidRPr="004F66A4">
        <w:rPr>
          <w:sz w:val="28"/>
          <w:szCs w:val="28"/>
          <w:lang w:val="en-ZA"/>
        </w:rPr>
        <w:t>, t</w:t>
      </w:r>
      <w:r w:rsidR="0029712B" w:rsidRPr="004F66A4">
        <w:rPr>
          <w:sz w:val="28"/>
          <w:szCs w:val="28"/>
          <w:lang w:val="en-ZA"/>
        </w:rPr>
        <w:t xml:space="preserve">he </w:t>
      </w:r>
      <w:r w:rsidR="00EB4A87" w:rsidRPr="004F66A4">
        <w:rPr>
          <w:sz w:val="28"/>
          <w:szCs w:val="28"/>
          <w:lang w:val="en-ZA"/>
        </w:rPr>
        <w:t xml:space="preserve">net </w:t>
      </w:r>
      <w:r w:rsidR="00632C33" w:rsidRPr="004F66A4">
        <w:rPr>
          <w:sz w:val="28"/>
          <w:szCs w:val="28"/>
          <w:lang w:val="en-ZA"/>
        </w:rPr>
        <w:t xml:space="preserve">effect of which </w:t>
      </w:r>
      <w:r w:rsidR="0029712B" w:rsidRPr="004F66A4">
        <w:rPr>
          <w:sz w:val="28"/>
          <w:szCs w:val="28"/>
          <w:lang w:val="en-ZA"/>
        </w:rPr>
        <w:t xml:space="preserve">was to reduce the amount by </w:t>
      </w:r>
      <w:r w:rsidR="00F60F4A" w:rsidRPr="004F66A4">
        <w:rPr>
          <w:sz w:val="28"/>
          <w:szCs w:val="28"/>
          <w:lang w:val="en-ZA"/>
        </w:rPr>
        <w:t xml:space="preserve">deducting </w:t>
      </w:r>
      <w:r w:rsidR="0029712B" w:rsidRPr="004F66A4">
        <w:rPr>
          <w:sz w:val="28"/>
          <w:szCs w:val="28"/>
          <w:lang w:val="en-ZA"/>
        </w:rPr>
        <w:t xml:space="preserve">the tax paid by the Trust </w:t>
      </w:r>
      <w:r w:rsidR="003D698B" w:rsidRPr="004F66A4">
        <w:rPr>
          <w:sz w:val="28"/>
          <w:szCs w:val="28"/>
          <w:lang w:val="en-ZA"/>
        </w:rPr>
        <w:t>on behalf of Ms Deans</w:t>
      </w:r>
      <w:r w:rsidR="00AB760E" w:rsidRPr="004F66A4">
        <w:rPr>
          <w:sz w:val="28"/>
          <w:szCs w:val="28"/>
          <w:lang w:val="en-ZA"/>
        </w:rPr>
        <w:t>,</w:t>
      </w:r>
      <w:r w:rsidR="003D698B" w:rsidRPr="004F66A4">
        <w:rPr>
          <w:sz w:val="28"/>
          <w:szCs w:val="28"/>
          <w:lang w:val="en-ZA"/>
        </w:rPr>
        <w:t xml:space="preserve"> in respect of her</w:t>
      </w:r>
      <w:r w:rsidR="0029712B" w:rsidRPr="004F66A4">
        <w:rPr>
          <w:sz w:val="28"/>
          <w:szCs w:val="28"/>
          <w:lang w:val="en-ZA"/>
        </w:rPr>
        <w:t xml:space="preserve"> allocation</w:t>
      </w:r>
      <w:r w:rsidR="00EB4A87" w:rsidRPr="004F66A4">
        <w:rPr>
          <w:sz w:val="28"/>
          <w:szCs w:val="28"/>
          <w:lang w:val="en-ZA"/>
        </w:rPr>
        <w:t>s</w:t>
      </w:r>
      <w:r w:rsidR="0029712B" w:rsidRPr="004F66A4">
        <w:rPr>
          <w:sz w:val="28"/>
          <w:szCs w:val="28"/>
          <w:lang w:val="en-ZA"/>
        </w:rPr>
        <w:t xml:space="preserve">. </w:t>
      </w:r>
      <w:r w:rsidR="00ED1536" w:rsidRPr="004F66A4">
        <w:rPr>
          <w:sz w:val="28"/>
          <w:szCs w:val="28"/>
          <w:lang w:val="en-ZA"/>
        </w:rPr>
        <w:t>Leave to appeal to this Cour</w:t>
      </w:r>
      <w:r w:rsidR="0020066A" w:rsidRPr="004F66A4">
        <w:rPr>
          <w:sz w:val="28"/>
          <w:szCs w:val="28"/>
          <w:lang w:val="en-ZA"/>
        </w:rPr>
        <w:t>t was granted by the high court on the basis that an important is</w:t>
      </w:r>
      <w:r w:rsidR="003D1622" w:rsidRPr="004F66A4">
        <w:rPr>
          <w:sz w:val="28"/>
          <w:szCs w:val="28"/>
          <w:lang w:val="en-ZA"/>
        </w:rPr>
        <w:t xml:space="preserve">sue was raised, namely whether </w:t>
      </w:r>
      <w:r w:rsidR="006C0DD3" w:rsidRPr="004F66A4">
        <w:rPr>
          <w:sz w:val="28"/>
          <w:szCs w:val="28"/>
          <w:lang w:val="en-ZA"/>
        </w:rPr>
        <w:t>‘</w:t>
      </w:r>
      <w:r w:rsidR="00F60F4A" w:rsidRPr="004F66A4">
        <w:rPr>
          <w:sz w:val="28"/>
          <w:szCs w:val="28"/>
          <w:lang w:val="en-ZA"/>
        </w:rPr>
        <w:t xml:space="preserve">a court seized with </w:t>
      </w:r>
      <w:r w:rsidR="00A511CB" w:rsidRPr="004F66A4">
        <w:rPr>
          <w:sz w:val="28"/>
          <w:szCs w:val="28"/>
          <w:lang w:val="en-ZA"/>
        </w:rPr>
        <w:t>summary judgment</w:t>
      </w:r>
      <w:r w:rsidR="0020066A" w:rsidRPr="004F66A4">
        <w:rPr>
          <w:sz w:val="28"/>
          <w:szCs w:val="28"/>
          <w:lang w:val="en-ZA"/>
        </w:rPr>
        <w:t xml:space="preserve"> may consider </w:t>
      </w:r>
      <w:r w:rsidR="00F60F4A" w:rsidRPr="004F66A4">
        <w:rPr>
          <w:sz w:val="28"/>
          <w:szCs w:val="28"/>
          <w:lang w:val="en-ZA"/>
        </w:rPr>
        <w:t xml:space="preserve">the </w:t>
      </w:r>
      <w:r w:rsidR="0020066A" w:rsidRPr="004F66A4">
        <w:rPr>
          <w:sz w:val="28"/>
          <w:szCs w:val="28"/>
          <w:lang w:val="en-ZA"/>
        </w:rPr>
        <w:t xml:space="preserve">common cause facts </w:t>
      </w:r>
      <w:r w:rsidR="00F60F4A" w:rsidRPr="004F66A4">
        <w:rPr>
          <w:sz w:val="28"/>
          <w:szCs w:val="28"/>
          <w:lang w:val="en-ZA"/>
        </w:rPr>
        <w:t>that</w:t>
      </w:r>
      <w:r w:rsidR="0020066A" w:rsidRPr="004F66A4">
        <w:rPr>
          <w:sz w:val="28"/>
          <w:szCs w:val="28"/>
          <w:lang w:val="en-ZA"/>
        </w:rPr>
        <w:t xml:space="preserve"> are at variance with the pleadings</w:t>
      </w:r>
      <w:r w:rsidR="006C0DD3" w:rsidRPr="004F66A4">
        <w:rPr>
          <w:sz w:val="28"/>
          <w:szCs w:val="28"/>
          <w:lang w:val="en-ZA"/>
        </w:rPr>
        <w:t>’</w:t>
      </w:r>
      <w:r w:rsidR="00274CB2" w:rsidRPr="004F66A4">
        <w:rPr>
          <w:sz w:val="28"/>
          <w:szCs w:val="28"/>
          <w:lang w:val="en-ZA"/>
        </w:rPr>
        <w:t>.</w:t>
      </w:r>
    </w:p>
    <w:p w14:paraId="1507DAC1" w14:textId="77777777" w:rsidR="00886873" w:rsidRPr="00420A97" w:rsidRDefault="00886873" w:rsidP="00647D59">
      <w:pPr>
        <w:spacing w:line="360" w:lineRule="auto"/>
        <w:jc w:val="both"/>
        <w:rPr>
          <w:sz w:val="28"/>
          <w:szCs w:val="28"/>
        </w:rPr>
      </w:pPr>
    </w:p>
    <w:p w14:paraId="695FCEAA" w14:textId="6EB06842" w:rsidR="006B0B2B" w:rsidRPr="004F66A4" w:rsidRDefault="004F66A4" w:rsidP="004F66A4">
      <w:pPr>
        <w:spacing w:line="360" w:lineRule="auto"/>
        <w:jc w:val="both"/>
        <w:rPr>
          <w:sz w:val="28"/>
          <w:szCs w:val="28"/>
          <w:lang w:val="en-ZA"/>
        </w:rPr>
      </w:pPr>
      <w:r w:rsidRPr="00420A97">
        <w:rPr>
          <w:sz w:val="28"/>
          <w:szCs w:val="28"/>
          <w:lang w:val="en-ZA"/>
        </w:rPr>
        <w:lastRenderedPageBreak/>
        <w:t>[4]</w:t>
      </w:r>
      <w:r w:rsidRPr="00420A97">
        <w:rPr>
          <w:sz w:val="28"/>
          <w:szCs w:val="28"/>
          <w:lang w:val="en-ZA"/>
        </w:rPr>
        <w:tab/>
      </w:r>
      <w:r w:rsidR="005B49E2" w:rsidRPr="004F66A4">
        <w:rPr>
          <w:sz w:val="28"/>
          <w:szCs w:val="28"/>
          <w:lang w:val="en-ZA"/>
        </w:rPr>
        <w:t xml:space="preserve">The trustees advanced </w:t>
      </w:r>
      <w:r w:rsidR="007C67F1" w:rsidRPr="004F66A4">
        <w:rPr>
          <w:sz w:val="28"/>
          <w:szCs w:val="28"/>
          <w:lang w:val="en-ZA"/>
        </w:rPr>
        <w:t>six</w:t>
      </w:r>
      <w:r w:rsidR="005B49E2" w:rsidRPr="004F66A4">
        <w:rPr>
          <w:sz w:val="28"/>
          <w:szCs w:val="28"/>
          <w:lang w:val="en-ZA"/>
        </w:rPr>
        <w:t xml:space="preserve"> grounds of appeal</w:t>
      </w:r>
      <w:r w:rsidR="00877E3D" w:rsidRPr="004F66A4">
        <w:rPr>
          <w:sz w:val="28"/>
          <w:szCs w:val="28"/>
          <w:lang w:val="en-ZA"/>
        </w:rPr>
        <w:t>,</w:t>
      </w:r>
      <w:r w:rsidR="005B49E2" w:rsidRPr="004F66A4">
        <w:rPr>
          <w:sz w:val="28"/>
          <w:szCs w:val="28"/>
          <w:lang w:val="en-ZA"/>
        </w:rPr>
        <w:t xml:space="preserve"> but only three of these </w:t>
      </w:r>
      <w:r w:rsidR="007C67F1" w:rsidRPr="004F66A4">
        <w:rPr>
          <w:sz w:val="28"/>
          <w:szCs w:val="28"/>
          <w:lang w:val="en-ZA"/>
        </w:rPr>
        <w:t>were</w:t>
      </w:r>
      <w:r w:rsidR="005B49E2" w:rsidRPr="004F66A4">
        <w:rPr>
          <w:sz w:val="28"/>
          <w:szCs w:val="28"/>
          <w:lang w:val="en-ZA"/>
        </w:rPr>
        <w:t xml:space="preserve"> seriously argued. The first was that there was non-compliance with the peremptory requirements of </w:t>
      </w:r>
      <w:r w:rsidR="00CA548B" w:rsidRPr="004F66A4">
        <w:rPr>
          <w:sz w:val="28"/>
          <w:szCs w:val="28"/>
          <w:lang w:val="en-ZA"/>
        </w:rPr>
        <w:t>r</w:t>
      </w:r>
      <w:r w:rsidR="005B49E2" w:rsidRPr="004F66A4">
        <w:rPr>
          <w:sz w:val="28"/>
          <w:szCs w:val="28"/>
          <w:lang w:val="en-ZA"/>
        </w:rPr>
        <w:t>ule 32(2)</w:t>
      </w:r>
      <w:r w:rsidR="005B49E2" w:rsidRPr="004F66A4">
        <w:rPr>
          <w:i/>
          <w:sz w:val="28"/>
          <w:szCs w:val="28"/>
          <w:lang w:val="en-ZA"/>
        </w:rPr>
        <w:t>(b</w:t>
      </w:r>
      <w:r w:rsidR="005F7B76" w:rsidRPr="004F66A4">
        <w:rPr>
          <w:i/>
          <w:sz w:val="28"/>
          <w:szCs w:val="28"/>
          <w:lang w:val="en-ZA"/>
        </w:rPr>
        <w:t>)</w:t>
      </w:r>
      <w:r w:rsidR="005F7B76" w:rsidRPr="004F66A4">
        <w:rPr>
          <w:sz w:val="28"/>
          <w:szCs w:val="28"/>
          <w:lang w:val="en-ZA"/>
        </w:rPr>
        <w:t xml:space="preserve"> of the amended </w:t>
      </w:r>
      <w:r w:rsidR="00CA548B" w:rsidRPr="004F66A4">
        <w:rPr>
          <w:sz w:val="28"/>
          <w:szCs w:val="28"/>
          <w:lang w:val="en-ZA"/>
        </w:rPr>
        <w:t>r</w:t>
      </w:r>
      <w:r w:rsidR="005F7B76" w:rsidRPr="004F66A4">
        <w:rPr>
          <w:sz w:val="28"/>
          <w:szCs w:val="28"/>
          <w:lang w:val="en-ZA"/>
        </w:rPr>
        <w:t>ule 32</w:t>
      </w:r>
      <w:r w:rsidR="00AB760E" w:rsidRPr="004F66A4">
        <w:rPr>
          <w:sz w:val="28"/>
          <w:szCs w:val="28"/>
          <w:lang w:val="en-ZA"/>
        </w:rPr>
        <w:t>.</w:t>
      </w:r>
      <w:r w:rsidR="005F7B76" w:rsidRPr="004F66A4">
        <w:rPr>
          <w:sz w:val="28"/>
          <w:szCs w:val="28"/>
          <w:lang w:val="en-ZA"/>
        </w:rPr>
        <w:t xml:space="preserve"> This </w:t>
      </w:r>
      <w:r w:rsidR="00276FF3" w:rsidRPr="004F66A4">
        <w:rPr>
          <w:sz w:val="28"/>
          <w:szCs w:val="28"/>
          <w:lang w:val="en-ZA"/>
        </w:rPr>
        <w:t>sub-rule</w:t>
      </w:r>
      <w:r w:rsidR="000D14F7" w:rsidRPr="004F66A4">
        <w:rPr>
          <w:sz w:val="28"/>
          <w:szCs w:val="28"/>
          <w:lang w:val="en-ZA"/>
        </w:rPr>
        <w:t xml:space="preserve"> </w:t>
      </w:r>
      <w:r w:rsidR="005B49E2" w:rsidRPr="004F66A4">
        <w:rPr>
          <w:sz w:val="28"/>
          <w:szCs w:val="28"/>
          <w:lang w:val="en-ZA"/>
        </w:rPr>
        <w:t xml:space="preserve">sets out </w:t>
      </w:r>
      <w:r w:rsidR="000D14F7" w:rsidRPr="004F66A4">
        <w:rPr>
          <w:sz w:val="28"/>
          <w:szCs w:val="28"/>
          <w:lang w:val="en-ZA"/>
        </w:rPr>
        <w:t>what is required of</w:t>
      </w:r>
      <w:r w:rsidR="005B49E2" w:rsidRPr="004F66A4">
        <w:rPr>
          <w:sz w:val="28"/>
          <w:szCs w:val="28"/>
          <w:lang w:val="en-ZA"/>
        </w:rPr>
        <w:t xml:space="preserve"> a plaintiff’s affidavit </w:t>
      </w:r>
      <w:r w:rsidR="000D14F7" w:rsidRPr="004F66A4">
        <w:rPr>
          <w:sz w:val="28"/>
          <w:szCs w:val="28"/>
          <w:lang w:val="en-ZA"/>
        </w:rPr>
        <w:t xml:space="preserve">filed in support of </w:t>
      </w:r>
      <w:r w:rsidR="005B49E2" w:rsidRPr="004F66A4">
        <w:rPr>
          <w:sz w:val="28"/>
          <w:szCs w:val="28"/>
          <w:lang w:val="en-ZA"/>
        </w:rPr>
        <w:t>an application for summary judgment.</w:t>
      </w:r>
      <w:r w:rsidR="002278C6" w:rsidRPr="00420A97">
        <w:rPr>
          <w:rStyle w:val="FootnoteReference"/>
          <w:sz w:val="28"/>
          <w:szCs w:val="28"/>
          <w:lang w:val="en-ZA"/>
        </w:rPr>
        <w:footnoteReference w:id="1"/>
      </w:r>
      <w:r w:rsidR="005B49E2" w:rsidRPr="004F66A4">
        <w:rPr>
          <w:sz w:val="28"/>
          <w:szCs w:val="28"/>
          <w:lang w:val="en-ZA"/>
        </w:rPr>
        <w:t xml:space="preserve"> </w:t>
      </w:r>
      <w:r w:rsidR="000D14F7" w:rsidRPr="004F66A4">
        <w:rPr>
          <w:sz w:val="28"/>
          <w:szCs w:val="28"/>
          <w:lang w:val="en-ZA"/>
        </w:rPr>
        <w:t>The second ground is that the summary judgment was granted on a cause of action which differed materially from what was pleaded, or advanced in the parti</w:t>
      </w:r>
      <w:r w:rsidR="005F7B76" w:rsidRPr="004F66A4">
        <w:rPr>
          <w:sz w:val="28"/>
          <w:szCs w:val="28"/>
          <w:lang w:val="en-ZA"/>
        </w:rPr>
        <w:t xml:space="preserve">culars of claim. Thirdly, </w:t>
      </w:r>
      <w:r w:rsidR="00276FF3" w:rsidRPr="004F66A4">
        <w:rPr>
          <w:sz w:val="28"/>
          <w:szCs w:val="28"/>
          <w:lang w:val="en-ZA"/>
        </w:rPr>
        <w:t xml:space="preserve">it is contended </w:t>
      </w:r>
      <w:r w:rsidR="005F7B76" w:rsidRPr="004F66A4">
        <w:rPr>
          <w:sz w:val="28"/>
          <w:szCs w:val="28"/>
          <w:lang w:val="en-ZA"/>
        </w:rPr>
        <w:t xml:space="preserve">that </w:t>
      </w:r>
      <w:r w:rsidR="000D14F7" w:rsidRPr="004F66A4">
        <w:rPr>
          <w:sz w:val="28"/>
          <w:szCs w:val="28"/>
          <w:lang w:val="en-ZA"/>
        </w:rPr>
        <w:t xml:space="preserve">a </w:t>
      </w:r>
      <w:r w:rsidR="000D14F7" w:rsidRPr="004F66A4">
        <w:rPr>
          <w:i/>
          <w:sz w:val="28"/>
          <w:szCs w:val="28"/>
          <w:lang w:val="en-ZA"/>
        </w:rPr>
        <w:t>b</w:t>
      </w:r>
      <w:r w:rsidR="00553797" w:rsidRPr="004F66A4">
        <w:rPr>
          <w:i/>
          <w:sz w:val="28"/>
          <w:szCs w:val="28"/>
          <w:lang w:val="en-ZA"/>
        </w:rPr>
        <w:t>ona fide</w:t>
      </w:r>
      <w:r w:rsidR="00553797" w:rsidRPr="004F66A4">
        <w:rPr>
          <w:sz w:val="28"/>
          <w:szCs w:val="28"/>
          <w:lang w:val="en-ZA"/>
        </w:rPr>
        <w:t xml:space="preserve"> defence was disclosed.</w:t>
      </w:r>
    </w:p>
    <w:p w14:paraId="1B884493" w14:textId="77777777" w:rsidR="006B0B2B" w:rsidRPr="00420A97" w:rsidRDefault="006B0B2B" w:rsidP="00647D59">
      <w:pPr>
        <w:spacing w:line="360" w:lineRule="auto"/>
        <w:rPr>
          <w:sz w:val="28"/>
          <w:szCs w:val="28"/>
        </w:rPr>
      </w:pPr>
    </w:p>
    <w:p w14:paraId="55BB75B2" w14:textId="11709F14" w:rsidR="00F411BF" w:rsidRPr="004F66A4" w:rsidRDefault="004F66A4" w:rsidP="004F66A4">
      <w:pPr>
        <w:spacing w:line="360" w:lineRule="auto"/>
        <w:jc w:val="both"/>
        <w:rPr>
          <w:sz w:val="28"/>
          <w:szCs w:val="28"/>
          <w:lang w:val="en-ZA"/>
        </w:rPr>
      </w:pPr>
      <w:r w:rsidRPr="00420A97">
        <w:rPr>
          <w:sz w:val="28"/>
          <w:szCs w:val="28"/>
          <w:lang w:val="en-ZA"/>
        </w:rPr>
        <w:t>[5]</w:t>
      </w:r>
      <w:r w:rsidRPr="00420A97">
        <w:rPr>
          <w:sz w:val="28"/>
          <w:szCs w:val="28"/>
          <w:lang w:val="en-ZA"/>
        </w:rPr>
        <w:tab/>
      </w:r>
      <w:r w:rsidR="00417B2B" w:rsidRPr="004F66A4">
        <w:rPr>
          <w:sz w:val="28"/>
          <w:szCs w:val="28"/>
        </w:rPr>
        <w:t xml:space="preserve">Ms Deans’ </w:t>
      </w:r>
      <w:r w:rsidR="00886873" w:rsidRPr="004F66A4">
        <w:rPr>
          <w:sz w:val="28"/>
          <w:szCs w:val="28"/>
        </w:rPr>
        <w:t>particulars of claim were premised on an amended trust deed dated 11 May 2015</w:t>
      </w:r>
      <w:r w:rsidR="00EB4A87" w:rsidRPr="004F66A4">
        <w:rPr>
          <w:sz w:val="28"/>
          <w:szCs w:val="28"/>
        </w:rPr>
        <w:t xml:space="preserve"> (the amended trust deed)</w:t>
      </w:r>
      <w:r w:rsidR="00886873" w:rsidRPr="004F66A4">
        <w:rPr>
          <w:sz w:val="28"/>
          <w:szCs w:val="28"/>
        </w:rPr>
        <w:t>. It was pleaded that during the period 1 March 2015 to 28 February 2017</w:t>
      </w:r>
      <w:r w:rsidR="00C25195" w:rsidRPr="004F66A4">
        <w:rPr>
          <w:sz w:val="28"/>
          <w:szCs w:val="28"/>
        </w:rPr>
        <w:t>,</w:t>
      </w:r>
      <w:r w:rsidR="00A00FCA" w:rsidRPr="004F66A4">
        <w:rPr>
          <w:sz w:val="28"/>
          <w:szCs w:val="28"/>
        </w:rPr>
        <w:t xml:space="preserve"> on a date peculiarly within the</w:t>
      </w:r>
      <w:r w:rsidR="0029712B" w:rsidRPr="004F66A4">
        <w:rPr>
          <w:sz w:val="28"/>
          <w:szCs w:val="28"/>
        </w:rPr>
        <w:t xml:space="preserve"> knowledge</w:t>
      </w:r>
      <w:r w:rsidR="006C0DD3" w:rsidRPr="004F66A4">
        <w:rPr>
          <w:sz w:val="28"/>
          <w:szCs w:val="28"/>
        </w:rPr>
        <w:t xml:space="preserve"> of</w:t>
      </w:r>
      <w:r w:rsidR="00886873" w:rsidRPr="004F66A4">
        <w:rPr>
          <w:sz w:val="28"/>
          <w:szCs w:val="28"/>
        </w:rPr>
        <w:t xml:space="preserve"> </w:t>
      </w:r>
      <w:r w:rsidR="00C25195" w:rsidRPr="004F66A4">
        <w:rPr>
          <w:sz w:val="28"/>
          <w:szCs w:val="28"/>
        </w:rPr>
        <w:t>the trustees</w:t>
      </w:r>
      <w:r w:rsidR="00A00FCA" w:rsidRPr="004F66A4">
        <w:rPr>
          <w:sz w:val="28"/>
          <w:szCs w:val="28"/>
        </w:rPr>
        <w:t>, they</w:t>
      </w:r>
      <w:r w:rsidR="00C25195" w:rsidRPr="004F66A4">
        <w:rPr>
          <w:sz w:val="28"/>
          <w:szCs w:val="28"/>
        </w:rPr>
        <w:t xml:space="preserve"> </w:t>
      </w:r>
      <w:r w:rsidR="00886873" w:rsidRPr="004F66A4">
        <w:rPr>
          <w:sz w:val="28"/>
          <w:szCs w:val="28"/>
        </w:rPr>
        <w:t>resolved to pay, apply or appoint the realised capital gain for the benefit of the beneficiaries</w:t>
      </w:r>
      <w:r w:rsidR="006C0DD3" w:rsidRPr="004F66A4">
        <w:rPr>
          <w:sz w:val="28"/>
          <w:szCs w:val="28"/>
        </w:rPr>
        <w:t>. In terms of</w:t>
      </w:r>
      <w:r w:rsidR="00417B2B" w:rsidRPr="004F66A4">
        <w:rPr>
          <w:sz w:val="28"/>
          <w:szCs w:val="28"/>
        </w:rPr>
        <w:t xml:space="preserve"> </w:t>
      </w:r>
      <w:r w:rsidR="00886873" w:rsidRPr="004F66A4">
        <w:rPr>
          <w:sz w:val="28"/>
          <w:szCs w:val="28"/>
        </w:rPr>
        <w:t xml:space="preserve">clause 5.1 and 5.2 of the </w:t>
      </w:r>
      <w:r w:rsidR="00417B2B" w:rsidRPr="004F66A4">
        <w:rPr>
          <w:sz w:val="28"/>
          <w:szCs w:val="28"/>
        </w:rPr>
        <w:t xml:space="preserve">amended </w:t>
      </w:r>
      <w:r w:rsidR="00886873" w:rsidRPr="004F66A4">
        <w:rPr>
          <w:sz w:val="28"/>
          <w:szCs w:val="28"/>
        </w:rPr>
        <w:t>trust deed</w:t>
      </w:r>
      <w:r w:rsidR="00EF3D42" w:rsidRPr="004F66A4">
        <w:rPr>
          <w:sz w:val="28"/>
          <w:szCs w:val="28"/>
        </w:rPr>
        <w:t>,</w:t>
      </w:r>
      <w:r w:rsidR="00886873" w:rsidRPr="004F66A4">
        <w:rPr>
          <w:sz w:val="28"/>
          <w:szCs w:val="28"/>
        </w:rPr>
        <w:t xml:space="preserve"> the trustees were entitled to pay the whole or any portion of the capital to any of the beneficiaries, subject to an aggregate sum of R50</w:t>
      </w:r>
      <w:r w:rsidR="00F1352E" w:rsidRPr="004F66A4">
        <w:rPr>
          <w:sz w:val="28"/>
          <w:szCs w:val="28"/>
        </w:rPr>
        <w:t xml:space="preserve"> </w:t>
      </w:r>
      <w:r w:rsidR="00886873" w:rsidRPr="004F66A4">
        <w:rPr>
          <w:sz w:val="28"/>
          <w:szCs w:val="28"/>
        </w:rPr>
        <w:t>million</w:t>
      </w:r>
      <w:r w:rsidR="00CB47EB" w:rsidRPr="004F66A4">
        <w:rPr>
          <w:sz w:val="28"/>
          <w:szCs w:val="28"/>
        </w:rPr>
        <w:t xml:space="preserve"> </w:t>
      </w:r>
      <w:r w:rsidR="003D698B" w:rsidRPr="004F66A4">
        <w:rPr>
          <w:sz w:val="28"/>
          <w:szCs w:val="28"/>
        </w:rPr>
        <w:t>‘</w:t>
      </w:r>
      <w:r w:rsidR="00CB47EB" w:rsidRPr="004F66A4">
        <w:rPr>
          <w:sz w:val="28"/>
          <w:szCs w:val="28"/>
        </w:rPr>
        <w:t xml:space="preserve">. . . </w:t>
      </w:r>
      <w:r w:rsidR="00886873" w:rsidRPr="004F66A4">
        <w:rPr>
          <w:sz w:val="28"/>
          <w:szCs w:val="28"/>
        </w:rPr>
        <w:t xml:space="preserve">in such </w:t>
      </w:r>
      <w:r w:rsidR="0015393A" w:rsidRPr="004F66A4">
        <w:rPr>
          <w:sz w:val="28"/>
          <w:szCs w:val="28"/>
        </w:rPr>
        <w:t xml:space="preserve">manner and upon such terms and </w:t>
      </w:r>
      <w:r w:rsidR="00886873" w:rsidRPr="004F66A4">
        <w:rPr>
          <w:sz w:val="28"/>
          <w:szCs w:val="28"/>
        </w:rPr>
        <w:t>subject to such conditions, limitations and restrictions in all respect as the trustees may from time to time in their sole and absolute discretion determine</w:t>
      </w:r>
      <w:r w:rsidR="00CB47EB" w:rsidRPr="004F66A4">
        <w:rPr>
          <w:sz w:val="28"/>
          <w:szCs w:val="28"/>
        </w:rPr>
        <w:t xml:space="preserve"> . . .</w:t>
      </w:r>
      <w:r w:rsidR="00417B2B" w:rsidRPr="004F66A4">
        <w:rPr>
          <w:sz w:val="28"/>
          <w:szCs w:val="28"/>
        </w:rPr>
        <w:t>’.</w:t>
      </w:r>
      <w:r w:rsidR="00D06E13" w:rsidRPr="004F66A4">
        <w:rPr>
          <w:sz w:val="28"/>
          <w:szCs w:val="28"/>
        </w:rPr>
        <w:t xml:space="preserve"> Ms Dean</w:t>
      </w:r>
      <w:r w:rsidR="006A6154" w:rsidRPr="004F66A4">
        <w:rPr>
          <w:sz w:val="28"/>
          <w:szCs w:val="28"/>
        </w:rPr>
        <w:t>s</w:t>
      </w:r>
      <w:r w:rsidR="00D06E13" w:rsidRPr="004F66A4">
        <w:rPr>
          <w:sz w:val="28"/>
          <w:szCs w:val="28"/>
        </w:rPr>
        <w:t xml:space="preserve"> attached </w:t>
      </w:r>
      <w:r w:rsidR="002278C6" w:rsidRPr="004F66A4">
        <w:rPr>
          <w:sz w:val="28"/>
          <w:szCs w:val="28"/>
        </w:rPr>
        <w:t xml:space="preserve">the </w:t>
      </w:r>
      <w:r w:rsidR="0043092B" w:rsidRPr="004F66A4">
        <w:rPr>
          <w:sz w:val="28"/>
          <w:szCs w:val="28"/>
        </w:rPr>
        <w:t xml:space="preserve">signed </w:t>
      </w:r>
      <w:r w:rsidR="009F124B" w:rsidRPr="004F66A4">
        <w:rPr>
          <w:sz w:val="28"/>
          <w:szCs w:val="28"/>
        </w:rPr>
        <w:t>A</w:t>
      </w:r>
      <w:r w:rsidR="00D06E13" w:rsidRPr="004F66A4">
        <w:rPr>
          <w:sz w:val="28"/>
          <w:szCs w:val="28"/>
        </w:rPr>
        <w:t xml:space="preserve">nnual </w:t>
      </w:r>
      <w:r w:rsidR="009F124B" w:rsidRPr="004F66A4">
        <w:rPr>
          <w:sz w:val="28"/>
          <w:szCs w:val="28"/>
        </w:rPr>
        <w:t>F</w:t>
      </w:r>
      <w:r w:rsidR="00D06E13" w:rsidRPr="004F66A4">
        <w:rPr>
          <w:sz w:val="28"/>
          <w:szCs w:val="28"/>
        </w:rPr>
        <w:t xml:space="preserve">inancial </w:t>
      </w:r>
      <w:r w:rsidR="009F124B" w:rsidRPr="004F66A4">
        <w:rPr>
          <w:sz w:val="28"/>
          <w:szCs w:val="28"/>
        </w:rPr>
        <w:t>S</w:t>
      </w:r>
      <w:r w:rsidR="00D06E13" w:rsidRPr="004F66A4">
        <w:rPr>
          <w:sz w:val="28"/>
          <w:szCs w:val="28"/>
        </w:rPr>
        <w:t>tatements of the</w:t>
      </w:r>
      <w:r w:rsidR="003F29C5" w:rsidRPr="004F66A4">
        <w:rPr>
          <w:sz w:val="28"/>
          <w:szCs w:val="28"/>
        </w:rPr>
        <w:t xml:space="preserve"> Trust for the period ending 28 </w:t>
      </w:r>
      <w:r w:rsidR="00D06E13" w:rsidRPr="004F66A4">
        <w:rPr>
          <w:sz w:val="28"/>
          <w:szCs w:val="28"/>
        </w:rPr>
        <w:t>February 2017</w:t>
      </w:r>
      <w:r w:rsidR="003E7671" w:rsidRPr="004F66A4">
        <w:rPr>
          <w:sz w:val="28"/>
          <w:szCs w:val="28"/>
        </w:rPr>
        <w:t>,</w:t>
      </w:r>
      <w:r w:rsidR="00D06E13" w:rsidRPr="004F66A4">
        <w:rPr>
          <w:sz w:val="28"/>
          <w:szCs w:val="28"/>
        </w:rPr>
        <w:t xml:space="preserve"> which showed a liability for vested amounts in the sum of R184 179 657 </w:t>
      </w:r>
      <w:r w:rsidR="00417B2B" w:rsidRPr="004F66A4">
        <w:rPr>
          <w:sz w:val="28"/>
          <w:szCs w:val="28"/>
        </w:rPr>
        <w:t xml:space="preserve">in favour of </w:t>
      </w:r>
      <w:r w:rsidR="00EB4A87" w:rsidRPr="004F66A4">
        <w:rPr>
          <w:sz w:val="28"/>
          <w:szCs w:val="28"/>
        </w:rPr>
        <w:t xml:space="preserve">the </w:t>
      </w:r>
      <w:r w:rsidR="009F124B" w:rsidRPr="004F66A4">
        <w:rPr>
          <w:sz w:val="28"/>
          <w:szCs w:val="28"/>
        </w:rPr>
        <w:t>23</w:t>
      </w:r>
      <w:r w:rsidR="00417B2B" w:rsidRPr="004F66A4">
        <w:rPr>
          <w:sz w:val="28"/>
          <w:szCs w:val="28"/>
        </w:rPr>
        <w:t xml:space="preserve"> beneficiaries</w:t>
      </w:r>
      <w:r w:rsidR="00F60F4A" w:rsidRPr="004F66A4">
        <w:rPr>
          <w:sz w:val="28"/>
          <w:szCs w:val="28"/>
        </w:rPr>
        <w:t>,</w:t>
      </w:r>
      <w:r w:rsidR="0064544B" w:rsidRPr="004F66A4">
        <w:rPr>
          <w:sz w:val="28"/>
          <w:szCs w:val="28"/>
        </w:rPr>
        <w:t xml:space="preserve"> including an amount of R6 </w:t>
      </w:r>
      <w:r w:rsidR="00D06E13" w:rsidRPr="004F66A4">
        <w:rPr>
          <w:sz w:val="28"/>
          <w:szCs w:val="28"/>
        </w:rPr>
        <w:t>329 939 for Ms Dean</w:t>
      </w:r>
      <w:r w:rsidR="006A6154" w:rsidRPr="004F66A4">
        <w:rPr>
          <w:sz w:val="28"/>
          <w:szCs w:val="28"/>
        </w:rPr>
        <w:t>s</w:t>
      </w:r>
      <w:r w:rsidR="00D06E13" w:rsidRPr="004F66A4">
        <w:rPr>
          <w:sz w:val="28"/>
          <w:szCs w:val="28"/>
        </w:rPr>
        <w:t>.</w:t>
      </w:r>
    </w:p>
    <w:p w14:paraId="139F13A5" w14:textId="77777777" w:rsidR="00F411BF" w:rsidRPr="00420A97" w:rsidRDefault="00F411BF" w:rsidP="006165CF">
      <w:pPr>
        <w:spacing w:line="360" w:lineRule="auto"/>
        <w:contextualSpacing/>
        <w:jc w:val="both"/>
        <w:rPr>
          <w:sz w:val="28"/>
          <w:szCs w:val="28"/>
        </w:rPr>
      </w:pPr>
    </w:p>
    <w:p w14:paraId="58C15C95" w14:textId="378FAE70" w:rsidR="00F411BF" w:rsidRPr="00420A97" w:rsidRDefault="004F66A4" w:rsidP="004F66A4">
      <w:pPr>
        <w:spacing w:line="360" w:lineRule="auto"/>
        <w:jc w:val="both"/>
        <w:rPr>
          <w:sz w:val="28"/>
          <w:szCs w:val="28"/>
        </w:rPr>
      </w:pPr>
      <w:r w:rsidRPr="00420A97">
        <w:rPr>
          <w:sz w:val="28"/>
          <w:szCs w:val="28"/>
        </w:rPr>
        <w:lastRenderedPageBreak/>
        <w:t>[6]</w:t>
      </w:r>
      <w:r w:rsidRPr="00420A97">
        <w:rPr>
          <w:sz w:val="28"/>
          <w:szCs w:val="28"/>
        </w:rPr>
        <w:tab/>
      </w:r>
      <w:r w:rsidR="00F411BF" w:rsidRPr="00420A97">
        <w:rPr>
          <w:sz w:val="28"/>
          <w:szCs w:val="28"/>
        </w:rPr>
        <w:t>The various famil</w:t>
      </w:r>
      <w:r w:rsidR="00135596" w:rsidRPr="00420A97">
        <w:rPr>
          <w:sz w:val="28"/>
          <w:szCs w:val="28"/>
        </w:rPr>
        <w:t>y</w:t>
      </w:r>
      <w:r w:rsidR="00F411BF" w:rsidRPr="00420A97">
        <w:rPr>
          <w:sz w:val="28"/>
          <w:szCs w:val="28"/>
        </w:rPr>
        <w:t xml:space="preserve"> </w:t>
      </w:r>
      <w:r w:rsidR="00B766B4" w:rsidRPr="00420A97">
        <w:rPr>
          <w:sz w:val="28"/>
          <w:szCs w:val="28"/>
        </w:rPr>
        <w:t xml:space="preserve">members and family trusts </w:t>
      </w:r>
      <w:r w:rsidR="00B12F99" w:rsidRPr="00420A97">
        <w:rPr>
          <w:sz w:val="28"/>
          <w:szCs w:val="28"/>
        </w:rPr>
        <w:t>were divided in</w:t>
      </w:r>
      <w:r w:rsidR="00F411BF" w:rsidRPr="00420A97">
        <w:rPr>
          <w:sz w:val="28"/>
          <w:szCs w:val="28"/>
        </w:rPr>
        <w:t>to Groups A to G</w:t>
      </w:r>
      <w:r w:rsidR="00B766B4" w:rsidRPr="00420A97">
        <w:rPr>
          <w:sz w:val="28"/>
          <w:szCs w:val="28"/>
        </w:rPr>
        <w:t>,</w:t>
      </w:r>
      <w:r w:rsidR="00F411BF" w:rsidRPr="00420A97">
        <w:rPr>
          <w:sz w:val="28"/>
          <w:szCs w:val="28"/>
        </w:rPr>
        <w:t xml:space="preserve"> with the Deans Fami</w:t>
      </w:r>
      <w:r w:rsidR="006B0B2B" w:rsidRPr="00420A97">
        <w:rPr>
          <w:sz w:val="28"/>
          <w:szCs w:val="28"/>
        </w:rPr>
        <w:t>ly being Group D beneficiaries.</w:t>
      </w:r>
      <w:r w:rsidR="00F411BF" w:rsidRPr="00420A97">
        <w:rPr>
          <w:sz w:val="28"/>
          <w:szCs w:val="28"/>
        </w:rPr>
        <w:t xml:space="preserve"> </w:t>
      </w:r>
      <w:r w:rsidR="00135596" w:rsidRPr="00420A97">
        <w:rPr>
          <w:sz w:val="28"/>
          <w:szCs w:val="28"/>
        </w:rPr>
        <w:t>Ms </w:t>
      </w:r>
      <w:r w:rsidR="004E7F8B" w:rsidRPr="00420A97">
        <w:rPr>
          <w:sz w:val="28"/>
          <w:szCs w:val="28"/>
        </w:rPr>
        <w:t xml:space="preserve">Deans’ entitlement to the monies was as a Group D beneficiary. </w:t>
      </w:r>
      <w:r w:rsidR="003B23E3" w:rsidRPr="00420A97">
        <w:rPr>
          <w:sz w:val="28"/>
          <w:szCs w:val="28"/>
        </w:rPr>
        <w:t>Her</w:t>
      </w:r>
      <w:r w:rsidR="00F411BF" w:rsidRPr="00420A97">
        <w:rPr>
          <w:sz w:val="28"/>
          <w:szCs w:val="28"/>
        </w:rPr>
        <w:t xml:space="preserve"> claim was thus </w:t>
      </w:r>
      <w:r w:rsidR="006B0B2B" w:rsidRPr="00420A97">
        <w:rPr>
          <w:sz w:val="28"/>
          <w:szCs w:val="28"/>
        </w:rPr>
        <w:t>grounded in the</w:t>
      </w:r>
      <w:r w:rsidR="00F411BF" w:rsidRPr="00420A97">
        <w:rPr>
          <w:sz w:val="28"/>
          <w:szCs w:val="28"/>
        </w:rPr>
        <w:t xml:space="preserve"> provisions of the amended trust deed, </w:t>
      </w:r>
      <w:r w:rsidR="003B23E3" w:rsidRPr="00420A97">
        <w:rPr>
          <w:sz w:val="28"/>
          <w:szCs w:val="28"/>
        </w:rPr>
        <w:t>and the amount thereof</w:t>
      </w:r>
      <w:r w:rsidR="00F411BF" w:rsidRPr="00420A97">
        <w:rPr>
          <w:sz w:val="28"/>
          <w:szCs w:val="28"/>
        </w:rPr>
        <w:t xml:space="preserve"> confirmed by the 2017 </w:t>
      </w:r>
      <w:r w:rsidR="00174D79" w:rsidRPr="00420A97">
        <w:rPr>
          <w:sz w:val="28"/>
          <w:szCs w:val="28"/>
        </w:rPr>
        <w:t>A</w:t>
      </w:r>
      <w:r w:rsidR="00F411BF" w:rsidRPr="00420A97">
        <w:rPr>
          <w:sz w:val="28"/>
          <w:szCs w:val="28"/>
        </w:rPr>
        <w:t xml:space="preserve">nnual </w:t>
      </w:r>
      <w:r w:rsidR="00174D79" w:rsidRPr="00420A97">
        <w:rPr>
          <w:sz w:val="28"/>
          <w:szCs w:val="28"/>
        </w:rPr>
        <w:t>F</w:t>
      </w:r>
      <w:r w:rsidR="00F411BF" w:rsidRPr="00420A97">
        <w:rPr>
          <w:sz w:val="28"/>
          <w:szCs w:val="28"/>
        </w:rPr>
        <w:t xml:space="preserve">inancial </w:t>
      </w:r>
      <w:r w:rsidR="00174D79" w:rsidRPr="00420A97">
        <w:rPr>
          <w:sz w:val="28"/>
          <w:szCs w:val="28"/>
        </w:rPr>
        <w:t>Statements.</w:t>
      </w:r>
    </w:p>
    <w:p w14:paraId="0D09B073" w14:textId="77777777" w:rsidR="00F411BF" w:rsidRPr="00420A97" w:rsidRDefault="00F411BF" w:rsidP="00174D79">
      <w:pPr>
        <w:pStyle w:val="ListParagraph"/>
        <w:spacing w:line="360" w:lineRule="auto"/>
        <w:ind w:left="0"/>
        <w:jc w:val="both"/>
        <w:rPr>
          <w:sz w:val="28"/>
          <w:szCs w:val="28"/>
        </w:rPr>
      </w:pPr>
    </w:p>
    <w:p w14:paraId="47C2E9F8" w14:textId="7A841111" w:rsidR="00A511CB" w:rsidRPr="004F66A4" w:rsidRDefault="004F66A4" w:rsidP="004F66A4">
      <w:pPr>
        <w:spacing w:line="360" w:lineRule="auto"/>
        <w:jc w:val="both"/>
        <w:rPr>
          <w:sz w:val="28"/>
          <w:szCs w:val="28"/>
        </w:rPr>
      </w:pPr>
      <w:r w:rsidRPr="00420A97">
        <w:rPr>
          <w:sz w:val="28"/>
          <w:szCs w:val="28"/>
        </w:rPr>
        <w:t>[7]</w:t>
      </w:r>
      <w:r w:rsidRPr="00420A97">
        <w:rPr>
          <w:sz w:val="28"/>
          <w:szCs w:val="28"/>
        </w:rPr>
        <w:tab/>
      </w:r>
      <w:r w:rsidR="003B23E3" w:rsidRPr="004F66A4">
        <w:rPr>
          <w:sz w:val="28"/>
          <w:szCs w:val="28"/>
        </w:rPr>
        <w:t>In response to the particulars of claim, t</w:t>
      </w:r>
      <w:r w:rsidR="00D06E13" w:rsidRPr="004F66A4">
        <w:rPr>
          <w:sz w:val="28"/>
          <w:szCs w:val="28"/>
        </w:rPr>
        <w:t>he trustees</w:t>
      </w:r>
      <w:r w:rsidR="000D14F7" w:rsidRPr="004F66A4">
        <w:rPr>
          <w:sz w:val="28"/>
          <w:szCs w:val="28"/>
        </w:rPr>
        <w:t xml:space="preserve"> </w:t>
      </w:r>
      <w:r w:rsidR="00D06E13" w:rsidRPr="004F66A4">
        <w:rPr>
          <w:sz w:val="28"/>
          <w:szCs w:val="28"/>
        </w:rPr>
        <w:t>raised a special plea of prescription.</w:t>
      </w:r>
      <w:r w:rsidR="00A511CB" w:rsidRPr="004F66A4">
        <w:rPr>
          <w:sz w:val="28"/>
          <w:szCs w:val="28"/>
        </w:rPr>
        <w:t xml:space="preserve"> In this Court</w:t>
      </w:r>
      <w:r w:rsidR="00A926F8" w:rsidRPr="004F66A4">
        <w:rPr>
          <w:sz w:val="28"/>
          <w:szCs w:val="28"/>
        </w:rPr>
        <w:t>,</w:t>
      </w:r>
      <w:r w:rsidR="00A511CB" w:rsidRPr="004F66A4">
        <w:rPr>
          <w:sz w:val="28"/>
          <w:szCs w:val="28"/>
        </w:rPr>
        <w:t xml:space="preserve"> the special plea was abandoned. As a result</w:t>
      </w:r>
      <w:r w:rsidR="00A926F8" w:rsidRPr="004F66A4">
        <w:rPr>
          <w:sz w:val="28"/>
          <w:szCs w:val="28"/>
        </w:rPr>
        <w:t>,</w:t>
      </w:r>
      <w:r w:rsidR="00A511CB" w:rsidRPr="004F66A4">
        <w:rPr>
          <w:sz w:val="28"/>
          <w:szCs w:val="28"/>
        </w:rPr>
        <w:t xml:space="preserve"> it is unnecessary to deal with the question of prescription</w:t>
      </w:r>
      <w:r w:rsidR="005B49E2" w:rsidRPr="004F66A4">
        <w:rPr>
          <w:sz w:val="28"/>
          <w:szCs w:val="28"/>
        </w:rPr>
        <w:t>.</w:t>
      </w:r>
    </w:p>
    <w:p w14:paraId="1B969FCB" w14:textId="77777777" w:rsidR="00A511CB" w:rsidRPr="00420A97" w:rsidRDefault="00A511CB" w:rsidP="00A926F8">
      <w:pPr>
        <w:spacing w:line="360" w:lineRule="auto"/>
        <w:rPr>
          <w:sz w:val="28"/>
          <w:szCs w:val="28"/>
        </w:rPr>
      </w:pPr>
    </w:p>
    <w:p w14:paraId="7C7CFA45" w14:textId="69609342" w:rsidR="00417B2B" w:rsidRPr="004F66A4" w:rsidRDefault="004F66A4" w:rsidP="004F66A4">
      <w:pPr>
        <w:spacing w:line="360" w:lineRule="auto"/>
        <w:jc w:val="both"/>
        <w:rPr>
          <w:sz w:val="28"/>
          <w:szCs w:val="28"/>
        </w:rPr>
      </w:pPr>
      <w:r w:rsidRPr="00420A97">
        <w:rPr>
          <w:sz w:val="28"/>
          <w:szCs w:val="28"/>
        </w:rPr>
        <w:t>[8]</w:t>
      </w:r>
      <w:r w:rsidRPr="00420A97">
        <w:rPr>
          <w:sz w:val="28"/>
          <w:szCs w:val="28"/>
        </w:rPr>
        <w:tab/>
      </w:r>
      <w:r w:rsidR="00D06E13" w:rsidRPr="004F66A4">
        <w:rPr>
          <w:sz w:val="28"/>
          <w:szCs w:val="28"/>
        </w:rPr>
        <w:t>In their plea on the merits</w:t>
      </w:r>
      <w:r w:rsidR="00EE3243" w:rsidRPr="004F66A4">
        <w:rPr>
          <w:sz w:val="28"/>
          <w:szCs w:val="28"/>
        </w:rPr>
        <w:t>,</w:t>
      </w:r>
      <w:r w:rsidR="00A511CB" w:rsidRPr="004F66A4">
        <w:rPr>
          <w:sz w:val="28"/>
          <w:szCs w:val="28"/>
        </w:rPr>
        <w:t xml:space="preserve"> the trustees admitted </w:t>
      </w:r>
      <w:r w:rsidR="003B23E3" w:rsidRPr="004F66A4">
        <w:rPr>
          <w:sz w:val="28"/>
          <w:szCs w:val="28"/>
        </w:rPr>
        <w:t>the</w:t>
      </w:r>
      <w:r w:rsidR="00D06E13" w:rsidRPr="004F66A4">
        <w:rPr>
          <w:sz w:val="28"/>
          <w:szCs w:val="28"/>
        </w:rPr>
        <w:t xml:space="preserve"> </w:t>
      </w:r>
      <w:r w:rsidR="006B0B2B" w:rsidRPr="004F66A4">
        <w:rPr>
          <w:sz w:val="28"/>
          <w:szCs w:val="28"/>
        </w:rPr>
        <w:t xml:space="preserve">relevant </w:t>
      </w:r>
      <w:r w:rsidR="00D06E13" w:rsidRPr="004F66A4">
        <w:rPr>
          <w:sz w:val="28"/>
          <w:szCs w:val="28"/>
        </w:rPr>
        <w:t>clauses of the trust deed</w:t>
      </w:r>
      <w:r w:rsidR="00A511CB" w:rsidRPr="004F66A4">
        <w:rPr>
          <w:sz w:val="28"/>
          <w:szCs w:val="28"/>
        </w:rPr>
        <w:t xml:space="preserve"> as pleaded by Ms Deans</w:t>
      </w:r>
      <w:r w:rsidR="00D06E13" w:rsidRPr="004F66A4">
        <w:rPr>
          <w:sz w:val="28"/>
          <w:szCs w:val="28"/>
        </w:rPr>
        <w:t xml:space="preserve">. </w:t>
      </w:r>
      <w:r w:rsidR="00A00FCA" w:rsidRPr="004F66A4">
        <w:rPr>
          <w:sz w:val="28"/>
          <w:szCs w:val="28"/>
        </w:rPr>
        <w:t>T</w:t>
      </w:r>
      <w:r w:rsidR="007C73D4" w:rsidRPr="004F66A4">
        <w:rPr>
          <w:sz w:val="28"/>
          <w:szCs w:val="28"/>
        </w:rPr>
        <w:t>hey</w:t>
      </w:r>
      <w:r w:rsidR="00270C46" w:rsidRPr="004F66A4">
        <w:rPr>
          <w:sz w:val="28"/>
          <w:szCs w:val="28"/>
        </w:rPr>
        <w:t xml:space="preserve"> </w:t>
      </w:r>
      <w:r w:rsidR="00A511CB" w:rsidRPr="004F66A4">
        <w:rPr>
          <w:sz w:val="28"/>
          <w:szCs w:val="28"/>
        </w:rPr>
        <w:t xml:space="preserve">also </w:t>
      </w:r>
      <w:r w:rsidR="00270C46" w:rsidRPr="004F66A4">
        <w:rPr>
          <w:sz w:val="28"/>
          <w:szCs w:val="28"/>
        </w:rPr>
        <w:t xml:space="preserve">admitted that the first allocation </w:t>
      </w:r>
      <w:r w:rsidR="00417B2B" w:rsidRPr="004F66A4">
        <w:rPr>
          <w:sz w:val="28"/>
          <w:szCs w:val="28"/>
        </w:rPr>
        <w:t xml:space="preserve">of </w:t>
      </w:r>
      <w:r w:rsidR="000A6EFA" w:rsidRPr="004F66A4">
        <w:rPr>
          <w:rFonts w:eastAsia="Calibri"/>
          <w:sz w:val="28"/>
          <w:szCs w:val="28"/>
        </w:rPr>
        <w:t>R6 050 895</w:t>
      </w:r>
      <w:r w:rsidR="00417B2B" w:rsidRPr="004F66A4">
        <w:rPr>
          <w:rFonts w:eastAsia="Calibri"/>
          <w:sz w:val="28"/>
          <w:szCs w:val="28"/>
        </w:rPr>
        <w:t xml:space="preserve"> </w:t>
      </w:r>
      <w:r w:rsidR="00270C46" w:rsidRPr="004F66A4">
        <w:rPr>
          <w:sz w:val="28"/>
          <w:szCs w:val="28"/>
        </w:rPr>
        <w:t>was made to Ms Dean</w:t>
      </w:r>
      <w:r w:rsidR="004F3D13" w:rsidRPr="004F66A4">
        <w:rPr>
          <w:sz w:val="28"/>
          <w:szCs w:val="28"/>
        </w:rPr>
        <w:t>s</w:t>
      </w:r>
      <w:r w:rsidR="00F13B62" w:rsidRPr="004F66A4">
        <w:rPr>
          <w:sz w:val="28"/>
          <w:szCs w:val="28"/>
        </w:rPr>
        <w:t xml:space="preserve"> during the tax year ended 28 </w:t>
      </w:r>
      <w:r w:rsidR="00270C46" w:rsidRPr="004F66A4">
        <w:rPr>
          <w:sz w:val="28"/>
          <w:szCs w:val="28"/>
        </w:rPr>
        <w:t>February 2014</w:t>
      </w:r>
      <w:r w:rsidR="004F3D13" w:rsidRPr="004F66A4">
        <w:rPr>
          <w:sz w:val="28"/>
          <w:szCs w:val="28"/>
        </w:rPr>
        <w:t>,</w:t>
      </w:r>
      <w:r w:rsidR="00270C46" w:rsidRPr="004F66A4">
        <w:rPr>
          <w:sz w:val="28"/>
          <w:szCs w:val="28"/>
        </w:rPr>
        <w:t xml:space="preserve"> and the second allocation</w:t>
      </w:r>
      <w:r w:rsidR="00417B2B" w:rsidRPr="004F66A4">
        <w:rPr>
          <w:sz w:val="28"/>
          <w:szCs w:val="28"/>
        </w:rPr>
        <w:t xml:space="preserve"> of </w:t>
      </w:r>
      <w:r w:rsidR="000A6EFA" w:rsidRPr="004F66A4">
        <w:rPr>
          <w:rFonts w:eastAsia="Calibri"/>
          <w:sz w:val="28"/>
          <w:szCs w:val="28"/>
        </w:rPr>
        <w:t>R279 044</w:t>
      </w:r>
      <w:r w:rsidR="00270C46" w:rsidRPr="004F66A4">
        <w:rPr>
          <w:sz w:val="28"/>
          <w:szCs w:val="28"/>
        </w:rPr>
        <w:t xml:space="preserve"> during the tax year ended 28 February 2015. </w:t>
      </w:r>
      <w:r w:rsidR="00417B2B" w:rsidRPr="004F66A4">
        <w:rPr>
          <w:sz w:val="28"/>
          <w:szCs w:val="28"/>
        </w:rPr>
        <w:t xml:space="preserve">The first allocation attracted income tax of </w:t>
      </w:r>
      <w:r w:rsidR="000A6EFA" w:rsidRPr="004F66A4">
        <w:rPr>
          <w:rFonts w:eastAsia="Calibri"/>
          <w:sz w:val="28"/>
          <w:szCs w:val="28"/>
        </w:rPr>
        <w:t>R727</w:t>
      </w:r>
      <w:r w:rsidR="00BA2EFA" w:rsidRPr="004F66A4">
        <w:rPr>
          <w:rFonts w:eastAsia="Calibri"/>
          <w:sz w:val="28"/>
          <w:szCs w:val="28"/>
        </w:rPr>
        <w:t> </w:t>
      </w:r>
      <w:r w:rsidR="000A6EFA" w:rsidRPr="004F66A4">
        <w:rPr>
          <w:rFonts w:eastAsia="Calibri"/>
          <w:sz w:val="28"/>
          <w:szCs w:val="28"/>
        </w:rPr>
        <w:t>576</w:t>
      </w:r>
      <w:r w:rsidR="00BA2EFA" w:rsidRPr="004F66A4">
        <w:rPr>
          <w:rFonts w:eastAsia="Calibri"/>
          <w:sz w:val="28"/>
          <w:szCs w:val="28"/>
        </w:rPr>
        <w:t>,</w:t>
      </w:r>
      <w:r w:rsidR="00417B2B" w:rsidRPr="004F66A4">
        <w:rPr>
          <w:rFonts w:eastAsia="Calibri"/>
          <w:sz w:val="28"/>
          <w:szCs w:val="28"/>
        </w:rPr>
        <w:t xml:space="preserve"> which the </w:t>
      </w:r>
      <w:r w:rsidR="00F51869" w:rsidRPr="004F66A4">
        <w:rPr>
          <w:rFonts w:eastAsia="Calibri"/>
          <w:sz w:val="28"/>
          <w:szCs w:val="28"/>
        </w:rPr>
        <w:t>Trust</w:t>
      </w:r>
      <w:r w:rsidR="00417B2B" w:rsidRPr="004F66A4">
        <w:rPr>
          <w:rFonts w:eastAsia="Calibri"/>
          <w:sz w:val="28"/>
          <w:szCs w:val="28"/>
        </w:rPr>
        <w:t xml:space="preserve"> paid on Ms Deans’ behalf. </w:t>
      </w:r>
      <w:r w:rsidR="001C334E" w:rsidRPr="004F66A4">
        <w:rPr>
          <w:sz w:val="28"/>
          <w:szCs w:val="28"/>
        </w:rPr>
        <w:t>The second allocation did not attract a tax liability.</w:t>
      </w:r>
    </w:p>
    <w:p w14:paraId="619A2CDD" w14:textId="77777777" w:rsidR="001C334E" w:rsidRPr="00420A97" w:rsidRDefault="001C334E" w:rsidP="004E0231">
      <w:pPr>
        <w:spacing w:line="360" w:lineRule="auto"/>
        <w:rPr>
          <w:sz w:val="28"/>
          <w:szCs w:val="28"/>
        </w:rPr>
      </w:pPr>
    </w:p>
    <w:p w14:paraId="72B8079A" w14:textId="436F43E0" w:rsidR="00EF47A6" w:rsidRPr="004F66A4" w:rsidRDefault="004F66A4" w:rsidP="004F66A4">
      <w:pPr>
        <w:spacing w:line="360" w:lineRule="auto"/>
        <w:jc w:val="both"/>
        <w:rPr>
          <w:sz w:val="28"/>
          <w:szCs w:val="28"/>
        </w:rPr>
      </w:pPr>
      <w:r w:rsidRPr="00420A97">
        <w:rPr>
          <w:sz w:val="28"/>
          <w:szCs w:val="28"/>
        </w:rPr>
        <w:t>[9]</w:t>
      </w:r>
      <w:r w:rsidRPr="00420A97">
        <w:rPr>
          <w:sz w:val="28"/>
          <w:szCs w:val="28"/>
        </w:rPr>
        <w:tab/>
      </w:r>
      <w:r w:rsidR="00EF47A6" w:rsidRPr="004F66A4">
        <w:rPr>
          <w:sz w:val="28"/>
          <w:szCs w:val="28"/>
        </w:rPr>
        <w:t>The trustees</w:t>
      </w:r>
      <w:r w:rsidR="002278C6" w:rsidRPr="004F66A4">
        <w:rPr>
          <w:sz w:val="28"/>
          <w:szCs w:val="28"/>
        </w:rPr>
        <w:t>,</w:t>
      </w:r>
      <w:r w:rsidR="00EF47A6" w:rsidRPr="004F66A4">
        <w:rPr>
          <w:sz w:val="28"/>
          <w:szCs w:val="28"/>
        </w:rPr>
        <w:t xml:space="preserve"> </w:t>
      </w:r>
      <w:r w:rsidR="002278C6" w:rsidRPr="004F66A4">
        <w:rPr>
          <w:sz w:val="28"/>
          <w:szCs w:val="28"/>
        </w:rPr>
        <w:t xml:space="preserve">in their plea, </w:t>
      </w:r>
      <w:r w:rsidR="00EF47A6" w:rsidRPr="004F66A4">
        <w:rPr>
          <w:sz w:val="28"/>
          <w:szCs w:val="28"/>
        </w:rPr>
        <w:t xml:space="preserve">relied on </w:t>
      </w:r>
      <w:r w:rsidR="001C334E" w:rsidRPr="004F66A4">
        <w:rPr>
          <w:sz w:val="28"/>
          <w:szCs w:val="28"/>
        </w:rPr>
        <w:t>clause 5.</w:t>
      </w:r>
      <w:r w:rsidR="00EF47A6" w:rsidRPr="004F66A4">
        <w:rPr>
          <w:sz w:val="28"/>
          <w:szCs w:val="28"/>
        </w:rPr>
        <w:t xml:space="preserve">6 of the amended trust deed </w:t>
      </w:r>
      <w:r w:rsidR="007C73D4" w:rsidRPr="004F66A4">
        <w:rPr>
          <w:sz w:val="28"/>
          <w:szCs w:val="28"/>
        </w:rPr>
        <w:t xml:space="preserve">to </w:t>
      </w:r>
      <w:r w:rsidR="00EF47A6" w:rsidRPr="004F66A4">
        <w:rPr>
          <w:sz w:val="28"/>
          <w:szCs w:val="28"/>
        </w:rPr>
        <w:t>withhold payment</w:t>
      </w:r>
      <w:r w:rsidR="007C73D4" w:rsidRPr="004F66A4">
        <w:rPr>
          <w:sz w:val="28"/>
          <w:szCs w:val="28"/>
        </w:rPr>
        <w:t xml:space="preserve"> to Ms Deans</w:t>
      </w:r>
      <w:r w:rsidR="00EF47A6" w:rsidRPr="004F66A4">
        <w:rPr>
          <w:sz w:val="28"/>
          <w:szCs w:val="28"/>
        </w:rPr>
        <w:t>. The clause provides:</w:t>
      </w:r>
    </w:p>
    <w:p w14:paraId="19089FAD" w14:textId="77777777" w:rsidR="007C73D4" w:rsidRPr="00420A97" w:rsidRDefault="002733DF" w:rsidP="00EF47A6">
      <w:pPr>
        <w:pStyle w:val="ListParagraph"/>
        <w:spacing w:line="360" w:lineRule="auto"/>
        <w:ind w:left="0"/>
        <w:jc w:val="both"/>
      </w:pPr>
      <w:r w:rsidRPr="00420A97">
        <w:t>‘ . . .</w:t>
      </w:r>
      <w:r w:rsidR="007C73D4" w:rsidRPr="00420A97">
        <w:t>the Trustees shall be</w:t>
      </w:r>
      <w:r w:rsidR="001C334E" w:rsidRPr="00420A97">
        <w:t xml:space="preserve"> entitled</w:t>
      </w:r>
      <w:r w:rsidR="00B23DE6" w:rsidRPr="00420A97">
        <w:t xml:space="preserve"> . . . </w:t>
      </w:r>
      <w:r w:rsidR="00A00FCA" w:rsidRPr="00420A97">
        <w:t xml:space="preserve">to withhold actual payment of the whole of any part of the nett income and/or capital gain </w:t>
      </w:r>
      <w:r w:rsidR="00EF47A6" w:rsidRPr="00420A97">
        <w:t xml:space="preserve">applied or appointed to any Beneficiary for such period </w:t>
      </w:r>
      <w:r w:rsidR="007C73D4" w:rsidRPr="00420A97">
        <w:t xml:space="preserve">and otherwise upon such terms and subject to such conditions as the Trustees may from time to time </w:t>
      </w:r>
      <w:r w:rsidR="001C334E" w:rsidRPr="00420A97">
        <w:t xml:space="preserve">in their sole and absolute discretion </w:t>
      </w:r>
      <w:r w:rsidR="003F29C5" w:rsidRPr="00420A97">
        <w:t>determine</w:t>
      </w:r>
      <w:r w:rsidRPr="00420A97">
        <w:t xml:space="preserve"> . . . </w:t>
      </w:r>
      <w:r w:rsidR="003F29C5" w:rsidRPr="00420A97">
        <w:t>’</w:t>
      </w:r>
    </w:p>
    <w:p w14:paraId="7AE265B8" w14:textId="77777777" w:rsidR="007C73D4" w:rsidRPr="00420A97" w:rsidRDefault="007C73D4" w:rsidP="004E0231">
      <w:pPr>
        <w:pStyle w:val="ListParagraph"/>
        <w:spacing w:line="360" w:lineRule="auto"/>
        <w:ind w:left="0"/>
        <w:jc w:val="both"/>
      </w:pPr>
    </w:p>
    <w:p w14:paraId="5A6534AF" w14:textId="008D0193" w:rsidR="00EE72F9" w:rsidRPr="004F66A4" w:rsidRDefault="004F66A4" w:rsidP="004F66A4">
      <w:pPr>
        <w:spacing w:line="360" w:lineRule="auto"/>
        <w:jc w:val="both"/>
        <w:rPr>
          <w:sz w:val="28"/>
          <w:szCs w:val="28"/>
        </w:rPr>
      </w:pPr>
      <w:r w:rsidRPr="00420A97">
        <w:rPr>
          <w:sz w:val="28"/>
          <w:szCs w:val="28"/>
        </w:rPr>
        <w:t>[10]</w:t>
      </w:r>
      <w:r w:rsidRPr="00420A97">
        <w:rPr>
          <w:sz w:val="28"/>
          <w:szCs w:val="28"/>
        </w:rPr>
        <w:tab/>
      </w:r>
      <w:r w:rsidR="001C334E" w:rsidRPr="004F66A4">
        <w:rPr>
          <w:sz w:val="28"/>
          <w:szCs w:val="28"/>
        </w:rPr>
        <w:t xml:space="preserve">The clause </w:t>
      </w:r>
      <w:r w:rsidR="007C73D4" w:rsidRPr="004F66A4">
        <w:rPr>
          <w:sz w:val="28"/>
          <w:szCs w:val="28"/>
        </w:rPr>
        <w:t>also makes provision for payment of any assessed taxes</w:t>
      </w:r>
      <w:r w:rsidR="00EB4A87" w:rsidRPr="004F66A4">
        <w:rPr>
          <w:sz w:val="28"/>
          <w:szCs w:val="28"/>
        </w:rPr>
        <w:t>,</w:t>
      </w:r>
      <w:r w:rsidR="007C73D4" w:rsidRPr="004F66A4">
        <w:rPr>
          <w:sz w:val="28"/>
          <w:szCs w:val="28"/>
        </w:rPr>
        <w:t xml:space="preserve"> </w:t>
      </w:r>
      <w:r w:rsidR="00EB4A87" w:rsidRPr="004F66A4">
        <w:rPr>
          <w:sz w:val="28"/>
          <w:szCs w:val="28"/>
        </w:rPr>
        <w:t xml:space="preserve">for </w:t>
      </w:r>
      <w:r w:rsidR="007C73D4" w:rsidRPr="004F66A4">
        <w:rPr>
          <w:sz w:val="28"/>
          <w:szCs w:val="28"/>
        </w:rPr>
        <w:t>which the beneficiaries may be liable</w:t>
      </w:r>
      <w:r w:rsidR="00EB4A87" w:rsidRPr="004F66A4">
        <w:rPr>
          <w:sz w:val="28"/>
          <w:szCs w:val="28"/>
        </w:rPr>
        <w:t xml:space="preserve">, to be paid </w:t>
      </w:r>
      <w:r w:rsidR="007C73D4" w:rsidRPr="004F66A4">
        <w:rPr>
          <w:sz w:val="28"/>
          <w:szCs w:val="28"/>
        </w:rPr>
        <w:t>by the Trustees</w:t>
      </w:r>
      <w:r w:rsidR="001E43DB" w:rsidRPr="004F66A4">
        <w:rPr>
          <w:sz w:val="28"/>
          <w:szCs w:val="28"/>
        </w:rPr>
        <w:t>. This</w:t>
      </w:r>
      <w:r w:rsidR="007C73D4" w:rsidRPr="004F66A4">
        <w:rPr>
          <w:sz w:val="28"/>
          <w:szCs w:val="28"/>
        </w:rPr>
        <w:t xml:space="preserve"> </w:t>
      </w:r>
      <w:r w:rsidR="00EB4A87" w:rsidRPr="004F66A4">
        <w:rPr>
          <w:sz w:val="28"/>
          <w:szCs w:val="28"/>
        </w:rPr>
        <w:t xml:space="preserve">amount </w:t>
      </w:r>
      <w:r w:rsidR="007C73D4" w:rsidRPr="004F66A4">
        <w:rPr>
          <w:sz w:val="28"/>
          <w:szCs w:val="28"/>
        </w:rPr>
        <w:lastRenderedPageBreak/>
        <w:t xml:space="preserve">should be deducted from the sum payable to </w:t>
      </w:r>
      <w:r w:rsidR="002733DF" w:rsidRPr="004F66A4">
        <w:rPr>
          <w:sz w:val="28"/>
          <w:szCs w:val="28"/>
        </w:rPr>
        <w:t xml:space="preserve">the </w:t>
      </w:r>
      <w:r w:rsidR="007C73D4" w:rsidRPr="004F66A4">
        <w:rPr>
          <w:sz w:val="28"/>
          <w:szCs w:val="28"/>
        </w:rPr>
        <w:t>bene</w:t>
      </w:r>
      <w:r w:rsidR="00E725A8" w:rsidRPr="004F66A4">
        <w:rPr>
          <w:sz w:val="28"/>
          <w:szCs w:val="28"/>
        </w:rPr>
        <w:t>ficiaries</w:t>
      </w:r>
      <w:r w:rsidR="00F04910" w:rsidRPr="004F66A4">
        <w:rPr>
          <w:sz w:val="28"/>
          <w:szCs w:val="28"/>
        </w:rPr>
        <w:t xml:space="preserve">. Actual payment of the amounts withheld is </w:t>
      </w:r>
      <w:r w:rsidR="001E43DB" w:rsidRPr="004F66A4">
        <w:rPr>
          <w:sz w:val="28"/>
          <w:szCs w:val="28"/>
        </w:rPr>
        <w:t xml:space="preserve">to be </w:t>
      </w:r>
      <w:r w:rsidR="00F04910" w:rsidRPr="004F66A4">
        <w:rPr>
          <w:sz w:val="28"/>
          <w:szCs w:val="28"/>
        </w:rPr>
        <w:t>made on the ‘</w:t>
      </w:r>
      <w:r w:rsidR="001C334E" w:rsidRPr="004F66A4">
        <w:rPr>
          <w:sz w:val="28"/>
          <w:szCs w:val="28"/>
        </w:rPr>
        <w:t xml:space="preserve">vesting date or the date of death of the </w:t>
      </w:r>
      <w:r w:rsidR="00644B1A" w:rsidRPr="004F66A4">
        <w:rPr>
          <w:sz w:val="28"/>
          <w:szCs w:val="28"/>
        </w:rPr>
        <w:t>[b]</w:t>
      </w:r>
      <w:r w:rsidR="001C334E" w:rsidRPr="004F66A4">
        <w:rPr>
          <w:sz w:val="28"/>
          <w:szCs w:val="28"/>
        </w:rPr>
        <w:t>eneficiary concerned (whichever first occurs</w:t>
      </w:r>
      <w:r w:rsidR="00E725A8" w:rsidRPr="004F66A4">
        <w:rPr>
          <w:sz w:val="28"/>
          <w:szCs w:val="28"/>
        </w:rPr>
        <w:t>)</w:t>
      </w:r>
      <w:r w:rsidR="00644B1A" w:rsidRPr="004F66A4">
        <w:rPr>
          <w:sz w:val="28"/>
          <w:szCs w:val="28"/>
        </w:rPr>
        <w:t xml:space="preserve"> . . . </w:t>
      </w:r>
      <w:r w:rsidR="001C334E" w:rsidRPr="004F66A4">
        <w:rPr>
          <w:sz w:val="28"/>
          <w:szCs w:val="28"/>
        </w:rPr>
        <w:t>’.</w:t>
      </w:r>
      <w:r w:rsidR="00F04910" w:rsidRPr="004F66A4">
        <w:rPr>
          <w:sz w:val="28"/>
          <w:szCs w:val="28"/>
        </w:rPr>
        <w:t xml:space="preserve"> </w:t>
      </w:r>
      <w:r w:rsidR="00EB4A87" w:rsidRPr="004F66A4">
        <w:rPr>
          <w:sz w:val="28"/>
          <w:szCs w:val="28"/>
        </w:rPr>
        <w:t xml:space="preserve">The </w:t>
      </w:r>
      <w:r w:rsidR="001C334E" w:rsidRPr="004F66A4">
        <w:rPr>
          <w:sz w:val="28"/>
          <w:szCs w:val="28"/>
        </w:rPr>
        <w:t>vesting date is defined in the amended trust deed as the date which the trustees ‘may at any time in writing appoint to be the [v]esting [d]ate’</w:t>
      </w:r>
      <w:r w:rsidR="00274CB2" w:rsidRPr="004F66A4">
        <w:rPr>
          <w:sz w:val="28"/>
          <w:szCs w:val="28"/>
        </w:rPr>
        <w:t>.</w:t>
      </w:r>
    </w:p>
    <w:p w14:paraId="77A30CB1" w14:textId="77777777" w:rsidR="00EE72F9" w:rsidRPr="00420A97" w:rsidRDefault="00EE72F9" w:rsidP="00644B1A">
      <w:pPr>
        <w:pStyle w:val="ListParagraph"/>
        <w:spacing w:line="360" w:lineRule="auto"/>
        <w:ind w:left="0"/>
        <w:jc w:val="both"/>
        <w:rPr>
          <w:sz w:val="28"/>
          <w:szCs w:val="28"/>
        </w:rPr>
      </w:pPr>
    </w:p>
    <w:p w14:paraId="15A58A34" w14:textId="46A3D09E" w:rsidR="001C334E" w:rsidRPr="004F66A4" w:rsidRDefault="004F66A4" w:rsidP="004F66A4">
      <w:pPr>
        <w:spacing w:line="360" w:lineRule="auto"/>
        <w:jc w:val="both"/>
        <w:rPr>
          <w:sz w:val="28"/>
          <w:szCs w:val="28"/>
        </w:rPr>
      </w:pPr>
      <w:r w:rsidRPr="00420A97">
        <w:rPr>
          <w:sz w:val="28"/>
          <w:szCs w:val="28"/>
        </w:rPr>
        <w:t>[11]</w:t>
      </w:r>
      <w:r w:rsidRPr="00420A97">
        <w:rPr>
          <w:sz w:val="28"/>
          <w:szCs w:val="28"/>
        </w:rPr>
        <w:tab/>
      </w:r>
      <w:r w:rsidR="00EE72F9" w:rsidRPr="004F66A4">
        <w:rPr>
          <w:sz w:val="28"/>
          <w:szCs w:val="28"/>
        </w:rPr>
        <w:t>T</w:t>
      </w:r>
      <w:r w:rsidR="00EB4A87" w:rsidRPr="004F66A4">
        <w:rPr>
          <w:sz w:val="28"/>
          <w:szCs w:val="28"/>
        </w:rPr>
        <w:t>he nub</w:t>
      </w:r>
      <w:r w:rsidR="00A260CB" w:rsidRPr="004F66A4">
        <w:rPr>
          <w:sz w:val="28"/>
          <w:szCs w:val="28"/>
        </w:rPr>
        <w:t xml:space="preserve"> of the Trustees’ case is set out in their plea as follows:</w:t>
      </w:r>
      <w:r w:rsidR="00794148" w:rsidRPr="004F66A4">
        <w:rPr>
          <w:sz w:val="28"/>
          <w:szCs w:val="28"/>
        </w:rPr>
        <w:t xml:space="preserve">                                                                                                                                                                                                                                                                                                                                                                                                                                                                                                                                                                                                                                                                                                                                                                     </w:t>
      </w:r>
      <w:r w:rsidR="00C56D63" w:rsidRPr="004F66A4">
        <w:rPr>
          <w:sz w:val="28"/>
          <w:szCs w:val="28"/>
        </w:rPr>
        <w:t xml:space="preserve">           </w:t>
      </w:r>
      <w:r w:rsidR="00EE72F9" w:rsidRPr="004F66A4">
        <w:rPr>
          <w:sz w:val="28"/>
          <w:szCs w:val="28"/>
        </w:rPr>
        <w:t>‘</w:t>
      </w:r>
      <w:r w:rsidR="001C334E" w:rsidRPr="004F66A4">
        <w:rPr>
          <w:rFonts w:eastAsia="Calibri"/>
        </w:rPr>
        <w:t>In the premises, the Plaintiff’s claim, if any, would only arise upon the vesting date as defined or the death of the Plaintiff, whichever occurs first, alternatively by the exercise of the trustees’ discretion to effect payment, none of which have occurred to date.’</w:t>
      </w:r>
    </w:p>
    <w:p w14:paraId="0AB39A00" w14:textId="77777777" w:rsidR="00C72C3F" w:rsidRPr="00420A97" w:rsidRDefault="00C72C3F" w:rsidP="00C72C3F">
      <w:pPr>
        <w:spacing w:line="360" w:lineRule="auto"/>
        <w:rPr>
          <w:sz w:val="28"/>
          <w:szCs w:val="28"/>
        </w:rPr>
      </w:pPr>
    </w:p>
    <w:p w14:paraId="2727B2D1" w14:textId="66AACA60" w:rsidR="00C72C3F" w:rsidRPr="00420A97" w:rsidRDefault="004F66A4" w:rsidP="004F66A4">
      <w:pPr>
        <w:spacing w:line="360" w:lineRule="auto"/>
        <w:jc w:val="both"/>
        <w:rPr>
          <w:sz w:val="28"/>
          <w:szCs w:val="28"/>
        </w:rPr>
      </w:pPr>
      <w:r w:rsidRPr="00420A97">
        <w:rPr>
          <w:sz w:val="28"/>
          <w:szCs w:val="28"/>
        </w:rPr>
        <w:t>[12]</w:t>
      </w:r>
      <w:r w:rsidRPr="00420A97">
        <w:rPr>
          <w:sz w:val="28"/>
          <w:szCs w:val="28"/>
        </w:rPr>
        <w:tab/>
      </w:r>
      <w:r w:rsidR="003B23E3" w:rsidRPr="00420A97">
        <w:rPr>
          <w:sz w:val="28"/>
          <w:szCs w:val="28"/>
        </w:rPr>
        <w:t xml:space="preserve">In her </w:t>
      </w:r>
      <w:r w:rsidR="00FC7E84" w:rsidRPr="00420A97">
        <w:rPr>
          <w:sz w:val="28"/>
          <w:szCs w:val="28"/>
        </w:rPr>
        <w:t xml:space="preserve">founding affidavit </w:t>
      </w:r>
      <w:r w:rsidR="003B23E3" w:rsidRPr="00420A97">
        <w:rPr>
          <w:sz w:val="28"/>
          <w:szCs w:val="28"/>
        </w:rPr>
        <w:t>in support of</w:t>
      </w:r>
      <w:r w:rsidR="00FC7E84" w:rsidRPr="00420A97">
        <w:rPr>
          <w:sz w:val="28"/>
          <w:szCs w:val="28"/>
        </w:rPr>
        <w:t xml:space="preserve"> the application for summary judgment</w:t>
      </w:r>
      <w:r w:rsidR="00535792" w:rsidRPr="00420A97">
        <w:rPr>
          <w:sz w:val="28"/>
          <w:szCs w:val="28"/>
        </w:rPr>
        <w:t>,</w:t>
      </w:r>
      <w:r w:rsidR="00FC7E84" w:rsidRPr="00420A97">
        <w:rPr>
          <w:sz w:val="28"/>
          <w:szCs w:val="28"/>
        </w:rPr>
        <w:t xml:space="preserve"> Ms Deans verified the cause of action</w:t>
      </w:r>
      <w:r w:rsidR="00276FF3" w:rsidRPr="00420A97">
        <w:rPr>
          <w:sz w:val="28"/>
          <w:szCs w:val="28"/>
        </w:rPr>
        <w:t xml:space="preserve"> as set out in her particulars of claim. </w:t>
      </w:r>
      <w:r w:rsidR="00B07D29" w:rsidRPr="00420A97">
        <w:rPr>
          <w:sz w:val="28"/>
          <w:szCs w:val="28"/>
        </w:rPr>
        <w:t>She then</w:t>
      </w:r>
      <w:r w:rsidR="00FC7E84" w:rsidRPr="00420A97">
        <w:rPr>
          <w:sz w:val="28"/>
          <w:szCs w:val="28"/>
        </w:rPr>
        <w:t xml:space="preserve"> dealt with the de</w:t>
      </w:r>
      <w:r w:rsidR="00B07D29" w:rsidRPr="00420A97">
        <w:rPr>
          <w:sz w:val="28"/>
          <w:szCs w:val="28"/>
        </w:rPr>
        <w:t>fence</w:t>
      </w:r>
      <w:r w:rsidR="001E43DB" w:rsidRPr="00420A97">
        <w:rPr>
          <w:sz w:val="28"/>
          <w:szCs w:val="28"/>
        </w:rPr>
        <w:t>s</w:t>
      </w:r>
      <w:r w:rsidR="00B07D29" w:rsidRPr="00420A97">
        <w:rPr>
          <w:sz w:val="28"/>
          <w:szCs w:val="28"/>
        </w:rPr>
        <w:t xml:space="preserve"> put up by the trustees, </w:t>
      </w:r>
      <w:r w:rsidR="00F51869">
        <w:rPr>
          <w:sz w:val="28"/>
          <w:szCs w:val="28"/>
        </w:rPr>
        <w:t>as</w:t>
      </w:r>
      <w:r w:rsidR="00FC7E84" w:rsidRPr="00420A97">
        <w:rPr>
          <w:sz w:val="28"/>
          <w:szCs w:val="28"/>
        </w:rPr>
        <w:t xml:space="preserve"> was requir</w:t>
      </w:r>
      <w:r w:rsidR="000D3E6C" w:rsidRPr="00420A97">
        <w:rPr>
          <w:sz w:val="28"/>
          <w:szCs w:val="28"/>
        </w:rPr>
        <w:t xml:space="preserve">ed of her in terms of </w:t>
      </w:r>
      <w:r w:rsidR="00274CB2" w:rsidRPr="00420A97">
        <w:rPr>
          <w:sz w:val="28"/>
          <w:szCs w:val="28"/>
        </w:rPr>
        <w:t>r</w:t>
      </w:r>
      <w:r w:rsidR="000D3E6C" w:rsidRPr="00420A97">
        <w:rPr>
          <w:sz w:val="28"/>
          <w:szCs w:val="28"/>
        </w:rPr>
        <w:t>ule 3</w:t>
      </w:r>
      <w:r w:rsidR="00FC7E84" w:rsidRPr="00420A97">
        <w:rPr>
          <w:sz w:val="28"/>
          <w:szCs w:val="28"/>
        </w:rPr>
        <w:t>2(</w:t>
      </w:r>
      <w:r w:rsidR="004103FF" w:rsidRPr="00420A97">
        <w:rPr>
          <w:sz w:val="28"/>
          <w:szCs w:val="28"/>
        </w:rPr>
        <w:t>2</w:t>
      </w:r>
      <w:r w:rsidR="00FC7E84" w:rsidRPr="00420A97">
        <w:rPr>
          <w:sz w:val="28"/>
          <w:szCs w:val="28"/>
        </w:rPr>
        <w:t>)</w:t>
      </w:r>
      <w:r w:rsidR="000D14F7" w:rsidRPr="00420A97">
        <w:rPr>
          <w:i/>
          <w:sz w:val="28"/>
          <w:szCs w:val="28"/>
        </w:rPr>
        <w:t>(b)</w:t>
      </w:r>
      <w:r w:rsidR="000D14F7" w:rsidRPr="00420A97">
        <w:rPr>
          <w:sz w:val="28"/>
          <w:szCs w:val="28"/>
        </w:rPr>
        <w:t>.</w:t>
      </w:r>
      <w:r w:rsidR="00FC7E84" w:rsidRPr="00420A97">
        <w:rPr>
          <w:sz w:val="28"/>
          <w:szCs w:val="28"/>
        </w:rPr>
        <w:t xml:space="preserve"> Apart from </w:t>
      </w:r>
      <w:r w:rsidR="000D14F7" w:rsidRPr="00420A97">
        <w:rPr>
          <w:sz w:val="28"/>
          <w:szCs w:val="28"/>
        </w:rPr>
        <w:t>denying that her claim had prescribed</w:t>
      </w:r>
      <w:r w:rsidR="004103FF" w:rsidRPr="00420A97">
        <w:rPr>
          <w:sz w:val="28"/>
          <w:szCs w:val="28"/>
        </w:rPr>
        <w:t>,</w:t>
      </w:r>
      <w:r w:rsidR="00FC7E84" w:rsidRPr="00420A97">
        <w:rPr>
          <w:sz w:val="28"/>
          <w:szCs w:val="28"/>
        </w:rPr>
        <w:t xml:space="preserve"> she stated that the trustees had not disclosed on what dates they had exercised their absolute discretion to withhold the actual payment of the</w:t>
      </w:r>
      <w:r w:rsidR="00EB4A87" w:rsidRPr="00420A97">
        <w:rPr>
          <w:sz w:val="28"/>
          <w:szCs w:val="28"/>
        </w:rPr>
        <w:t xml:space="preserve"> capital gains applied to</w:t>
      </w:r>
      <w:r w:rsidR="00FC7E84" w:rsidRPr="00420A97">
        <w:rPr>
          <w:sz w:val="28"/>
          <w:szCs w:val="28"/>
        </w:rPr>
        <w:t xml:space="preserve"> the beneficiaries. In any event</w:t>
      </w:r>
      <w:r w:rsidR="00D11718" w:rsidRPr="00420A97">
        <w:rPr>
          <w:sz w:val="28"/>
          <w:szCs w:val="28"/>
        </w:rPr>
        <w:t>, stated Ms </w:t>
      </w:r>
      <w:r w:rsidR="00FC7E84" w:rsidRPr="00420A97">
        <w:rPr>
          <w:sz w:val="28"/>
          <w:szCs w:val="28"/>
        </w:rPr>
        <w:t>Dea</w:t>
      </w:r>
      <w:r w:rsidR="000875EB" w:rsidRPr="00420A97">
        <w:rPr>
          <w:sz w:val="28"/>
          <w:szCs w:val="28"/>
        </w:rPr>
        <w:t>ns, this provision only pertained</w:t>
      </w:r>
      <w:r w:rsidR="00FC7E84" w:rsidRPr="00420A97">
        <w:rPr>
          <w:sz w:val="28"/>
          <w:szCs w:val="28"/>
        </w:rPr>
        <w:t xml:space="preserve"> to beneficiaries</w:t>
      </w:r>
      <w:r w:rsidR="00D11718" w:rsidRPr="00420A97">
        <w:rPr>
          <w:sz w:val="28"/>
          <w:szCs w:val="28"/>
        </w:rPr>
        <w:t>,</w:t>
      </w:r>
      <w:r w:rsidR="000875EB" w:rsidRPr="00420A97">
        <w:rPr>
          <w:sz w:val="28"/>
          <w:szCs w:val="28"/>
        </w:rPr>
        <w:t xml:space="preserve"> and it was common cause that with effect from 8 February 2019, she was no longer a beneficiary</w:t>
      </w:r>
      <w:r w:rsidR="006D1C69" w:rsidRPr="00420A97">
        <w:rPr>
          <w:sz w:val="28"/>
          <w:szCs w:val="28"/>
        </w:rPr>
        <w:t xml:space="preserve"> as a result of her divorce</w:t>
      </w:r>
      <w:r w:rsidR="000875EB" w:rsidRPr="00420A97">
        <w:rPr>
          <w:sz w:val="28"/>
          <w:szCs w:val="28"/>
        </w:rPr>
        <w:t>.</w:t>
      </w:r>
      <w:r w:rsidR="00FC7E84" w:rsidRPr="00420A97">
        <w:rPr>
          <w:sz w:val="28"/>
          <w:szCs w:val="28"/>
        </w:rPr>
        <w:t xml:space="preserve"> Therefore, this clause could not be invoked as a pretext for withholding payment to her as an acknowledged creditor of the Trust. Because of the above</w:t>
      </w:r>
      <w:r w:rsidR="00D11718" w:rsidRPr="00420A97">
        <w:rPr>
          <w:sz w:val="28"/>
          <w:szCs w:val="28"/>
        </w:rPr>
        <w:t>,</w:t>
      </w:r>
      <w:r w:rsidR="00FC7E84" w:rsidRPr="00420A97">
        <w:rPr>
          <w:sz w:val="28"/>
          <w:szCs w:val="28"/>
        </w:rPr>
        <w:t xml:space="preserve"> she submitted that there was no defence to her claim and the plea and special plea had been raised purely for the purposes of delay.</w:t>
      </w:r>
    </w:p>
    <w:p w14:paraId="3903B3F9" w14:textId="77777777" w:rsidR="000875EB" w:rsidRPr="00420A97" w:rsidRDefault="000875EB" w:rsidP="00D22B9D">
      <w:pPr>
        <w:spacing w:line="360" w:lineRule="auto"/>
        <w:jc w:val="both"/>
        <w:rPr>
          <w:sz w:val="28"/>
          <w:szCs w:val="28"/>
        </w:rPr>
      </w:pPr>
    </w:p>
    <w:p w14:paraId="5E1C2C33" w14:textId="1F003981" w:rsidR="00C72C3F" w:rsidRPr="004F66A4" w:rsidRDefault="004F66A4" w:rsidP="004F66A4">
      <w:pPr>
        <w:spacing w:line="360" w:lineRule="auto"/>
        <w:jc w:val="both"/>
        <w:rPr>
          <w:sz w:val="28"/>
          <w:szCs w:val="28"/>
        </w:rPr>
      </w:pPr>
      <w:r w:rsidRPr="00420A97">
        <w:rPr>
          <w:sz w:val="28"/>
          <w:szCs w:val="28"/>
        </w:rPr>
        <w:t>[13]</w:t>
      </w:r>
      <w:r w:rsidRPr="00420A97">
        <w:rPr>
          <w:sz w:val="28"/>
          <w:szCs w:val="28"/>
        </w:rPr>
        <w:tab/>
      </w:r>
      <w:r w:rsidR="003B23E3" w:rsidRPr="004F66A4">
        <w:rPr>
          <w:sz w:val="28"/>
          <w:szCs w:val="28"/>
        </w:rPr>
        <w:t>The trustees i</w:t>
      </w:r>
      <w:r w:rsidR="00FC7E84" w:rsidRPr="004F66A4">
        <w:rPr>
          <w:sz w:val="28"/>
          <w:szCs w:val="28"/>
        </w:rPr>
        <w:t>n the affida</w:t>
      </w:r>
      <w:r w:rsidR="003B23E3" w:rsidRPr="004F66A4">
        <w:rPr>
          <w:sz w:val="28"/>
          <w:szCs w:val="28"/>
        </w:rPr>
        <w:t>vit opposing summary judgment</w:t>
      </w:r>
      <w:r w:rsidR="00F113B0" w:rsidRPr="004F66A4">
        <w:rPr>
          <w:sz w:val="28"/>
          <w:szCs w:val="28"/>
        </w:rPr>
        <w:t>,</w:t>
      </w:r>
      <w:r w:rsidR="00FC7E84" w:rsidRPr="004F66A4">
        <w:rPr>
          <w:sz w:val="28"/>
          <w:szCs w:val="28"/>
        </w:rPr>
        <w:t xml:space="preserve"> while admitting the allocation to Ms Dean</w:t>
      </w:r>
      <w:r w:rsidR="00B760D7" w:rsidRPr="004F66A4">
        <w:rPr>
          <w:sz w:val="28"/>
          <w:szCs w:val="28"/>
        </w:rPr>
        <w:t>s</w:t>
      </w:r>
      <w:r w:rsidR="00FC7E84" w:rsidRPr="004F66A4">
        <w:rPr>
          <w:sz w:val="28"/>
          <w:szCs w:val="28"/>
        </w:rPr>
        <w:t xml:space="preserve">, </w:t>
      </w:r>
      <w:r w:rsidR="003D698B" w:rsidRPr="004F66A4">
        <w:rPr>
          <w:sz w:val="28"/>
          <w:szCs w:val="28"/>
        </w:rPr>
        <w:t xml:space="preserve">and </w:t>
      </w:r>
      <w:r w:rsidR="00EB4A87" w:rsidRPr="004F66A4">
        <w:rPr>
          <w:sz w:val="28"/>
          <w:szCs w:val="28"/>
        </w:rPr>
        <w:t xml:space="preserve">relying on clause 5.6 of the </w:t>
      </w:r>
      <w:r w:rsidR="00EB4A87" w:rsidRPr="004F66A4">
        <w:rPr>
          <w:sz w:val="28"/>
          <w:szCs w:val="28"/>
        </w:rPr>
        <w:lastRenderedPageBreak/>
        <w:t xml:space="preserve">amended trust deed, </w:t>
      </w:r>
      <w:r w:rsidR="00FC7E84" w:rsidRPr="004F66A4">
        <w:rPr>
          <w:sz w:val="28"/>
          <w:szCs w:val="28"/>
        </w:rPr>
        <w:t xml:space="preserve">denied that she was entitled to </w:t>
      </w:r>
      <w:r w:rsidR="00C24E3C" w:rsidRPr="004F66A4">
        <w:rPr>
          <w:sz w:val="28"/>
          <w:szCs w:val="28"/>
        </w:rPr>
        <w:t xml:space="preserve">payment of </w:t>
      </w:r>
      <w:r w:rsidR="00FC7E84" w:rsidRPr="004F66A4">
        <w:rPr>
          <w:sz w:val="28"/>
          <w:szCs w:val="28"/>
        </w:rPr>
        <w:t>the amount claimed</w:t>
      </w:r>
      <w:r w:rsidR="00C24E3C" w:rsidRPr="004F66A4">
        <w:rPr>
          <w:sz w:val="28"/>
          <w:szCs w:val="28"/>
        </w:rPr>
        <w:t xml:space="preserve"> until the vesting date or her death</w:t>
      </w:r>
      <w:r w:rsidR="008B6EA1" w:rsidRPr="004F66A4">
        <w:rPr>
          <w:sz w:val="28"/>
          <w:szCs w:val="28"/>
        </w:rPr>
        <w:t xml:space="preserve">. </w:t>
      </w:r>
      <w:r w:rsidR="00EB4A87" w:rsidRPr="004F66A4">
        <w:rPr>
          <w:sz w:val="28"/>
          <w:szCs w:val="28"/>
        </w:rPr>
        <w:t>I</w:t>
      </w:r>
      <w:r w:rsidR="00FC7E84" w:rsidRPr="004F66A4">
        <w:rPr>
          <w:sz w:val="28"/>
          <w:szCs w:val="28"/>
        </w:rPr>
        <w:t xml:space="preserve">n any event, </w:t>
      </w:r>
      <w:r w:rsidR="007006E1" w:rsidRPr="004F66A4">
        <w:rPr>
          <w:sz w:val="28"/>
          <w:szCs w:val="28"/>
        </w:rPr>
        <w:t xml:space="preserve">because </w:t>
      </w:r>
      <w:r w:rsidR="00EB4A87" w:rsidRPr="004F66A4">
        <w:rPr>
          <w:sz w:val="28"/>
          <w:szCs w:val="28"/>
        </w:rPr>
        <w:t xml:space="preserve">the amount </w:t>
      </w:r>
      <w:r w:rsidR="007006E1" w:rsidRPr="004F66A4">
        <w:rPr>
          <w:sz w:val="28"/>
          <w:szCs w:val="28"/>
        </w:rPr>
        <w:t xml:space="preserve">had to </w:t>
      </w:r>
      <w:r w:rsidR="00FC7E84" w:rsidRPr="004F66A4">
        <w:rPr>
          <w:sz w:val="28"/>
          <w:szCs w:val="28"/>
        </w:rPr>
        <w:t xml:space="preserve">be reduced by the payment made </w:t>
      </w:r>
      <w:r w:rsidR="007006E1" w:rsidRPr="004F66A4">
        <w:rPr>
          <w:sz w:val="28"/>
          <w:szCs w:val="28"/>
        </w:rPr>
        <w:t xml:space="preserve">by the trustees </w:t>
      </w:r>
      <w:r w:rsidR="00FC7E84" w:rsidRPr="004F66A4">
        <w:rPr>
          <w:sz w:val="28"/>
          <w:szCs w:val="28"/>
        </w:rPr>
        <w:t>in respect of the tax liability</w:t>
      </w:r>
      <w:r w:rsidR="007006E1" w:rsidRPr="004F66A4">
        <w:rPr>
          <w:sz w:val="28"/>
          <w:szCs w:val="28"/>
        </w:rPr>
        <w:t xml:space="preserve">, </w:t>
      </w:r>
      <w:r w:rsidR="00FC7E84" w:rsidRPr="004F66A4">
        <w:rPr>
          <w:sz w:val="28"/>
          <w:szCs w:val="28"/>
        </w:rPr>
        <w:t>they contended that the quantum was in dispute. The Trustees admitted that Ms Deans ceased to be a beneficiary on 8 February 2019</w:t>
      </w:r>
      <w:r w:rsidR="00F113B0" w:rsidRPr="004F66A4">
        <w:rPr>
          <w:sz w:val="28"/>
          <w:szCs w:val="28"/>
        </w:rPr>
        <w:t>,</w:t>
      </w:r>
      <w:r w:rsidR="00FC7E84" w:rsidRPr="004F66A4">
        <w:rPr>
          <w:sz w:val="28"/>
          <w:szCs w:val="28"/>
        </w:rPr>
        <w:t xml:space="preserve"> </w:t>
      </w:r>
      <w:r w:rsidR="001E43DB" w:rsidRPr="004F66A4">
        <w:rPr>
          <w:sz w:val="28"/>
          <w:szCs w:val="28"/>
        </w:rPr>
        <w:t xml:space="preserve">the date of her divorce, </w:t>
      </w:r>
      <w:r w:rsidR="00FC7E84" w:rsidRPr="004F66A4">
        <w:rPr>
          <w:sz w:val="28"/>
          <w:szCs w:val="28"/>
        </w:rPr>
        <w:t>but stated that this did not change any rights which may have accrued to her during the period in which she was a beneficiary. Nor did it have any bearing on the</w:t>
      </w:r>
      <w:r w:rsidR="00345B51" w:rsidRPr="004F66A4">
        <w:rPr>
          <w:sz w:val="28"/>
          <w:szCs w:val="28"/>
        </w:rPr>
        <w:t>ir</w:t>
      </w:r>
      <w:r w:rsidR="00FC7E84" w:rsidRPr="004F66A4">
        <w:rPr>
          <w:sz w:val="28"/>
          <w:szCs w:val="28"/>
        </w:rPr>
        <w:t xml:space="preserve"> absolute discretion to withhold actual payment</w:t>
      </w:r>
      <w:r w:rsidR="00FA0B18" w:rsidRPr="004F66A4">
        <w:rPr>
          <w:sz w:val="28"/>
          <w:szCs w:val="28"/>
        </w:rPr>
        <w:t>,</w:t>
      </w:r>
      <w:r w:rsidR="00FC7E84" w:rsidRPr="004F66A4">
        <w:rPr>
          <w:sz w:val="28"/>
          <w:szCs w:val="28"/>
        </w:rPr>
        <w:t xml:space="preserve"> which the amended</w:t>
      </w:r>
      <w:r w:rsidR="00B760D7" w:rsidRPr="004F66A4">
        <w:rPr>
          <w:sz w:val="28"/>
          <w:szCs w:val="28"/>
        </w:rPr>
        <w:t xml:space="preserve"> </w:t>
      </w:r>
      <w:r w:rsidR="00F51869" w:rsidRPr="004F66A4">
        <w:rPr>
          <w:sz w:val="28"/>
          <w:szCs w:val="28"/>
        </w:rPr>
        <w:t>t</w:t>
      </w:r>
      <w:r w:rsidR="00B760D7" w:rsidRPr="004F66A4">
        <w:rPr>
          <w:sz w:val="28"/>
          <w:szCs w:val="28"/>
        </w:rPr>
        <w:t>rust deed conferred on them.</w:t>
      </w:r>
    </w:p>
    <w:p w14:paraId="79D88B12" w14:textId="77777777" w:rsidR="004E2361" w:rsidRPr="00420A97" w:rsidRDefault="004E2361" w:rsidP="00D22B9D">
      <w:pPr>
        <w:spacing w:line="360" w:lineRule="auto"/>
        <w:rPr>
          <w:sz w:val="28"/>
          <w:szCs w:val="28"/>
        </w:rPr>
      </w:pPr>
    </w:p>
    <w:p w14:paraId="035C3CFC" w14:textId="2FF60C7B" w:rsidR="00C72C3F" w:rsidRPr="004F66A4" w:rsidRDefault="004F66A4" w:rsidP="004F66A4">
      <w:pPr>
        <w:spacing w:line="360" w:lineRule="auto"/>
        <w:jc w:val="both"/>
        <w:rPr>
          <w:sz w:val="28"/>
          <w:szCs w:val="28"/>
        </w:rPr>
      </w:pPr>
      <w:r w:rsidRPr="00420A97">
        <w:rPr>
          <w:sz w:val="28"/>
          <w:szCs w:val="28"/>
        </w:rPr>
        <w:t>[14]</w:t>
      </w:r>
      <w:r w:rsidRPr="00420A97">
        <w:rPr>
          <w:sz w:val="28"/>
          <w:szCs w:val="28"/>
        </w:rPr>
        <w:tab/>
      </w:r>
      <w:r w:rsidR="00B07D29" w:rsidRPr="004F66A4">
        <w:rPr>
          <w:sz w:val="28"/>
          <w:szCs w:val="28"/>
        </w:rPr>
        <w:t xml:space="preserve">It appears </w:t>
      </w:r>
      <w:r w:rsidR="007006E1" w:rsidRPr="004F66A4">
        <w:rPr>
          <w:sz w:val="28"/>
          <w:szCs w:val="28"/>
        </w:rPr>
        <w:t>that it was only at</w:t>
      </w:r>
      <w:r w:rsidR="00B760D7" w:rsidRPr="004F66A4">
        <w:rPr>
          <w:sz w:val="28"/>
          <w:szCs w:val="28"/>
        </w:rPr>
        <w:t xml:space="preserve"> the hearing of the appli</w:t>
      </w:r>
      <w:r w:rsidR="003D698B" w:rsidRPr="004F66A4">
        <w:rPr>
          <w:sz w:val="28"/>
          <w:szCs w:val="28"/>
        </w:rPr>
        <w:t>cation for summary judgment</w:t>
      </w:r>
      <w:r w:rsidR="007006E1" w:rsidRPr="004F66A4">
        <w:rPr>
          <w:sz w:val="28"/>
          <w:szCs w:val="28"/>
        </w:rPr>
        <w:t xml:space="preserve"> that </w:t>
      </w:r>
      <w:r w:rsidR="00B760D7" w:rsidRPr="004F66A4">
        <w:rPr>
          <w:sz w:val="28"/>
          <w:szCs w:val="28"/>
        </w:rPr>
        <w:t xml:space="preserve">both parties realised that it was not the amended trust deed </w:t>
      </w:r>
      <w:r w:rsidR="00F03E30" w:rsidRPr="004F66A4">
        <w:rPr>
          <w:sz w:val="28"/>
          <w:szCs w:val="28"/>
        </w:rPr>
        <w:t>dated 11 May</w:t>
      </w:r>
      <w:r w:rsidR="00EB4A87" w:rsidRPr="004F66A4">
        <w:rPr>
          <w:sz w:val="28"/>
          <w:szCs w:val="28"/>
        </w:rPr>
        <w:t xml:space="preserve"> 2015</w:t>
      </w:r>
      <w:r w:rsidR="00C24E3C" w:rsidRPr="004F66A4">
        <w:rPr>
          <w:sz w:val="28"/>
          <w:szCs w:val="28"/>
        </w:rPr>
        <w:t xml:space="preserve"> </w:t>
      </w:r>
      <w:r w:rsidR="00B760D7" w:rsidRPr="004F66A4">
        <w:rPr>
          <w:sz w:val="28"/>
          <w:szCs w:val="28"/>
        </w:rPr>
        <w:t xml:space="preserve">that was applicable, but </w:t>
      </w:r>
      <w:r w:rsidR="000D14F7" w:rsidRPr="004F66A4">
        <w:rPr>
          <w:sz w:val="28"/>
          <w:szCs w:val="28"/>
        </w:rPr>
        <w:t xml:space="preserve">rather </w:t>
      </w:r>
      <w:r w:rsidR="00B760D7" w:rsidRPr="004F66A4">
        <w:rPr>
          <w:sz w:val="28"/>
          <w:szCs w:val="28"/>
        </w:rPr>
        <w:t xml:space="preserve">the original trust deed </w:t>
      </w:r>
      <w:r w:rsidR="00335ECF" w:rsidRPr="004F66A4">
        <w:rPr>
          <w:sz w:val="28"/>
          <w:szCs w:val="28"/>
        </w:rPr>
        <w:t>dated</w:t>
      </w:r>
      <w:r w:rsidR="00B760D7" w:rsidRPr="004F66A4">
        <w:rPr>
          <w:sz w:val="28"/>
          <w:szCs w:val="28"/>
        </w:rPr>
        <w:t xml:space="preserve"> 13</w:t>
      </w:r>
      <w:r w:rsidR="00C41D2D" w:rsidRPr="004F66A4">
        <w:rPr>
          <w:sz w:val="28"/>
          <w:szCs w:val="28"/>
        </w:rPr>
        <w:t> </w:t>
      </w:r>
      <w:r w:rsidR="00B760D7" w:rsidRPr="004F66A4">
        <w:rPr>
          <w:sz w:val="28"/>
          <w:szCs w:val="28"/>
        </w:rPr>
        <w:t>June 2006</w:t>
      </w:r>
      <w:r w:rsidR="00EB4A87" w:rsidRPr="004F66A4">
        <w:rPr>
          <w:sz w:val="28"/>
          <w:szCs w:val="28"/>
        </w:rPr>
        <w:t xml:space="preserve"> (the original </w:t>
      </w:r>
      <w:r w:rsidR="00E71B3B" w:rsidRPr="004F66A4">
        <w:rPr>
          <w:sz w:val="28"/>
          <w:szCs w:val="28"/>
        </w:rPr>
        <w:t>trust deed)</w:t>
      </w:r>
      <w:r w:rsidR="00B760D7" w:rsidRPr="004F66A4">
        <w:rPr>
          <w:sz w:val="28"/>
          <w:szCs w:val="28"/>
        </w:rPr>
        <w:t>. Th</w:t>
      </w:r>
      <w:r w:rsidR="000D14F7" w:rsidRPr="004F66A4">
        <w:rPr>
          <w:sz w:val="28"/>
          <w:szCs w:val="28"/>
        </w:rPr>
        <w:t xml:space="preserve">is was because </w:t>
      </w:r>
      <w:r w:rsidR="00B760D7" w:rsidRPr="004F66A4">
        <w:rPr>
          <w:sz w:val="28"/>
          <w:szCs w:val="28"/>
        </w:rPr>
        <w:t xml:space="preserve">the allocations had taken place in </w:t>
      </w:r>
      <w:r w:rsidR="00A6264E" w:rsidRPr="004F66A4">
        <w:rPr>
          <w:sz w:val="28"/>
          <w:szCs w:val="28"/>
        </w:rPr>
        <w:t xml:space="preserve">the </w:t>
      </w:r>
      <w:r w:rsidR="00B760D7" w:rsidRPr="004F66A4">
        <w:rPr>
          <w:sz w:val="28"/>
          <w:szCs w:val="28"/>
        </w:rPr>
        <w:t>2013 and 2014 tax years</w:t>
      </w:r>
      <w:r w:rsidR="000D14F7" w:rsidRPr="004F66A4">
        <w:rPr>
          <w:sz w:val="28"/>
          <w:szCs w:val="28"/>
        </w:rPr>
        <w:t>, respectively,</w:t>
      </w:r>
      <w:r w:rsidR="00B760D7" w:rsidRPr="004F66A4">
        <w:rPr>
          <w:sz w:val="28"/>
          <w:szCs w:val="28"/>
        </w:rPr>
        <w:t xml:space="preserve"> before the amended trust deed </w:t>
      </w:r>
      <w:r w:rsidR="007006E1" w:rsidRPr="004F66A4">
        <w:rPr>
          <w:sz w:val="28"/>
          <w:szCs w:val="28"/>
        </w:rPr>
        <w:t>had co</w:t>
      </w:r>
      <w:r w:rsidR="00B760D7" w:rsidRPr="004F66A4">
        <w:rPr>
          <w:sz w:val="28"/>
          <w:szCs w:val="28"/>
        </w:rPr>
        <w:t>me into effect</w:t>
      </w:r>
      <w:r w:rsidR="00EB4A87" w:rsidRPr="004F66A4">
        <w:rPr>
          <w:sz w:val="28"/>
          <w:szCs w:val="28"/>
        </w:rPr>
        <w:t xml:space="preserve"> in 2015</w:t>
      </w:r>
      <w:r w:rsidR="00B760D7" w:rsidRPr="004F66A4">
        <w:rPr>
          <w:sz w:val="28"/>
          <w:szCs w:val="28"/>
        </w:rPr>
        <w:t>.</w:t>
      </w:r>
      <w:r w:rsidR="00560F9F" w:rsidRPr="004F66A4">
        <w:rPr>
          <w:sz w:val="28"/>
          <w:szCs w:val="28"/>
        </w:rPr>
        <w:t xml:space="preserve"> </w:t>
      </w:r>
      <w:r w:rsidR="000A02D1" w:rsidRPr="004F66A4">
        <w:rPr>
          <w:sz w:val="28"/>
          <w:szCs w:val="28"/>
        </w:rPr>
        <w:t>On the face of it</w:t>
      </w:r>
      <w:r w:rsidR="007006E1" w:rsidRPr="004F66A4">
        <w:rPr>
          <w:sz w:val="28"/>
          <w:szCs w:val="28"/>
        </w:rPr>
        <w:t>, the fact that the particulars of claim were premised on an incorrect trust deed,</w:t>
      </w:r>
      <w:r w:rsidR="000A02D1" w:rsidRPr="004F66A4">
        <w:rPr>
          <w:sz w:val="28"/>
          <w:szCs w:val="28"/>
        </w:rPr>
        <w:t xml:space="preserve"> should have </w:t>
      </w:r>
      <w:r w:rsidR="00A56BF0" w:rsidRPr="004F66A4">
        <w:rPr>
          <w:sz w:val="28"/>
          <w:szCs w:val="28"/>
        </w:rPr>
        <w:t>necessitated</w:t>
      </w:r>
      <w:r w:rsidR="00560F9F" w:rsidRPr="004F66A4">
        <w:rPr>
          <w:sz w:val="28"/>
          <w:szCs w:val="28"/>
        </w:rPr>
        <w:t xml:space="preserve"> an amendment of the particulars of claim.</w:t>
      </w:r>
    </w:p>
    <w:p w14:paraId="049C4460" w14:textId="77777777" w:rsidR="00C72C3F" w:rsidRPr="00420A97" w:rsidRDefault="00C72C3F" w:rsidP="00084F5C">
      <w:pPr>
        <w:spacing w:line="360" w:lineRule="auto"/>
        <w:rPr>
          <w:sz w:val="28"/>
          <w:szCs w:val="28"/>
        </w:rPr>
      </w:pPr>
    </w:p>
    <w:p w14:paraId="79F7CC85" w14:textId="4453D747" w:rsidR="001E43DB" w:rsidRPr="004F66A4" w:rsidRDefault="004F66A4" w:rsidP="004F66A4">
      <w:pPr>
        <w:spacing w:line="360" w:lineRule="auto"/>
        <w:jc w:val="both"/>
        <w:rPr>
          <w:sz w:val="28"/>
          <w:szCs w:val="28"/>
        </w:rPr>
      </w:pPr>
      <w:r w:rsidRPr="00420A97">
        <w:rPr>
          <w:sz w:val="28"/>
          <w:szCs w:val="28"/>
        </w:rPr>
        <w:t>[15]</w:t>
      </w:r>
      <w:r w:rsidRPr="00420A97">
        <w:rPr>
          <w:sz w:val="28"/>
          <w:szCs w:val="28"/>
        </w:rPr>
        <w:tab/>
      </w:r>
      <w:r w:rsidR="00560F9F" w:rsidRPr="004F66A4">
        <w:rPr>
          <w:sz w:val="28"/>
          <w:szCs w:val="28"/>
        </w:rPr>
        <w:t>Notwithstanding the above</w:t>
      </w:r>
      <w:r w:rsidR="000A02D1" w:rsidRPr="004F66A4">
        <w:rPr>
          <w:sz w:val="28"/>
          <w:szCs w:val="28"/>
        </w:rPr>
        <w:t>,</w:t>
      </w:r>
      <w:r w:rsidR="00617778" w:rsidRPr="004F66A4">
        <w:rPr>
          <w:sz w:val="28"/>
          <w:szCs w:val="28"/>
        </w:rPr>
        <w:t xml:space="preserve"> </w:t>
      </w:r>
      <w:r w:rsidR="00C24E3C" w:rsidRPr="004F66A4">
        <w:rPr>
          <w:sz w:val="28"/>
          <w:szCs w:val="28"/>
        </w:rPr>
        <w:t xml:space="preserve">and </w:t>
      </w:r>
      <w:r w:rsidR="00617778" w:rsidRPr="004F66A4">
        <w:rPr>
          <w:sz w:val="28"/>
          <w:szCs w:val="28"/>
        </w:rPr>
        <w:t xml:space="preserve">despite acknowledging that the particulars of claim were drafted on the </w:t>
      </w:r>
      <w:r w:rsidR="007006E1" w:rsidRPr="004F66A4">
        <w:rPr>
          <w:sz w:val="28"/>
          <w:szCs w:val="28"/>
        </w:rPr>
        <w:t>basis of the amended trust deed and not the original trust deed</w:t>
      </w:r>
      <w:r w:rsidR="00617778" w:rsidRPr="004F66A4">
        <w:rPr>
          <w:sz w:val="28"/>
          <w:szCs w:val="28"/>
        </w:rPr>
        <w:t xml:space="preserve">, </w:t>
      </w:r>
      <w:r w:rsidR="00C24E3C" w:rsidRPr="004F66A4">
        <w:rPr>
          <w:sz w:val="28"/>
          <w:szCs w:val="28"/>
        </w:rPr>
        <w:t>the high court f</w:t>
      </w:r>
      <w:r w:rsidR="00617778" w:rsidRPr="004F66A4">
        <w:rPr>
          <w:sz w:val="28"/>
          <w:szCs w:val="28"/>
        </w:rPr>
        <w:t xml:space="preserve">ound </w:t>
      </w:r>
      <w:r w:rsidR="00A56BF0" w:rsidRPr="004F66A4">
        <w:rPr>
          <w:sz w:val="28"/>
          <w:szCs w:val="28"/>
        </w:rPr>
        <w:t xml:space="preserve">this </w:t>
      </w:r>
      <w:r w:rsidR="000A02D1" w:rsidRPr="004F66A4">
        <w:rPr>
          <w:sz w:val="28"/>
          <w:szCs w:val="28"/>
        </w:rPr>
        <w:t>to be</w:t>
      </w:r>
      <w:r w:rsidR="007006E1" w:rsidRPr="004F66A4">
        <w:rPr>
          <w:sz w:val="28"/>
          <w:szCs w:val="28"/>
        </w:rPr>
        <w:t xml:space="preserve"> of ‘no particular moment’. U</w:t>
      </w:r>
      <w:r w:rsidR="00A56BF0" w:rsidRPr="004F66A4">
        <w:rPr>
          <w:sz w:val="28"/>
          <w:szCs w:val="28"/>
        </w:rPr>
        <w:t>ltimately</w:t>
      </w:r>
      <w:r w:rsidR="007006E1" w:rsidRPr="004F66A4">
        <w:rPr>
          <w:sz w:val="28"/>
          <w:szCs w:val="28"/>
        </w:rPr>
        <w:t xml:space="preserve">, said the </w:t>
      </w:r>
      <w:r w:rsidR="00084F5C" w:rsidRPr="004F66A4">
        <w:rPr>
          <w:sz w:val="28"/>
          <w:szCs w:val="28"/>
        </w:rPr>
        <w:t xml:space="preserve">high </w:t>
      </w:r>
      <w:r w:rsidR="007006E1" w:rsidRPr="004F66A4">
        <w:rPr>
          <w:sz w:val="28"/>
          <w:szCs w:val="28"/>
        </w:rPr>
        <w:t>court,</w:t>
      </w:r>
      <w:r w:rsidR="00A56BF0" w:rsidRPr="004F66A4">
        <w:rPr>
          <w:sz w:val="28"/>
          <w:szCs w:val="28"/>
        </w:rPr>
        <w:t xml:space="preserve"> </w:t>
      </w:r>
      <w:r w:rsidR="0043092B" w:rsidRPr="004F66A4">
        <w:rPr>
          <w:sz w:val="28"/>
          <w:szCs w:val="28"/>
        </w:rPr>
        <w:t xml:space="preserve">although not pleaded by Ms Deans, </w:t>
      </w:r>
      <w:r w:rsidR="00A56BF0" w:rsidRPr="004F66A4">
        <w:rPr>
          <w:sz w:val="28"/>
          <w:szCs w:val="28"/>
        </w:rPr>
        <w:t xml:space="preserve">it was common cause that the payment had been withheld in terms of </w:t>
      </w:r>
      <w:r w:rsidR="009B320D" w:rsidRPr="004F66A4">
        <w:rPr>
          <w:sz w:val="28"/>
          <w:szCs w:val="28"/>
        </w:rPr>
        <w:t>c</w:t>
      </w:r>
      <w:r w:rsidR="00187503" w:rsidRPr="004F66A4">
        <w:rPr>
          <w:sz w:val="28"/>
          <w:szCs w:val="28"/>
        </w:rPr>
        <w:t>lause </w:t>
      </w:r>
      <w:r w:rsidR="00A56BF0" w:rsidRPr="004F66A4">
        <w:rPr>
          <w:sz w:val="28"/>
          <w:szCs w:val="28"/>
        </w:rPr>
        <w:t xml:space="preserve">15 of the original trust deed. </w:t>
      </w:r>
      <w:r w:rsidR="007006E1" w:rsidRPr="004F66A4">
        <w:rPr>
          <w:sz w:val="28"/>
          <w:szCs w:val="28"/>
        </w:rPr>
        <w:t xml:space="preserve">And despite the pleading being defective as a result thereof, the parties argued the matter as though </w:t>
      </w:r>
      <w:r w:rsidR="009B320D" w:rsidRPr="004F66A4">
        <w:rPr>
          <w:sz w:val="28"/>
          <w:szCs w:val="28"/>
        </w:rPr>
        <w:t>c</w:t>
      </w:r>
      <w:r w:rsidR="00A56BF0" w:rsidRPr="004F66A4">
        <w:rPr>
          <w:sz w:val="28"/>
          <w:szCs w:val="28"/>
        </w:rPr>
        <w:t xml:space="preserve">lause 15.2 </w:t>
      </w:r>
      <w:r w:rsidR="007006E1" w:rsidRPr="004F66A4">
        <w:rPr>
          <w:sz w:val="28"/>
          <w:szCs w:val="28"/>
        </w:rPr>
        <w:t xml:space="preserve">of the original trust deed was applicable. </w:t>
      </w:r>
    </w:p>
    <w:p w14:paraId="42E6DE71" w14:textId="52F5BC4B" w:rsidR="00A56BF0" w:rsidRPr="004F66A4" w:rsidRDefault="004F66A4" w:rsidP="004F66A4">
      <w:pPr>
        <w:spacing w:line="360" w:lineRule="auto"/>
        <w:jc w:val="both"/>
        <w:rPr>
          <w:sz w:val="28"/>
          <w:szCs w:val="28"/>
        </w:rPr>
      </w:pPr>
      <w:r w:rsidRPr="00420A97">
        <w:rPr>
          <w:sz w:val="28"/>
          <w:szCs w:val="28"/>
        </w:rPr>
        <w:lastRenderedPageBreak/>
        <w:t>[16]</w:t>
      </w:r>
      <w:r w:rsidRPr="00420A97">
        <w:rPr>
          <w:sz w:val="28"/>
          <w:szCs w:val="28"/>
        </w:rPr>
        <w:tab/>
      </w:r>
      <w:r w:rsidR="001E43DB" w:rsidRPr="004F66A4">
        <w:rPr>
          <w:sz w:val="28"/>
          <w:szCs w:val="28"/>
        </w:rPr>
        <w:t>C</w:t>
      </w:r>
      <w:r w:rsidR="007006E1" w:rsidRPr="004F66A4">
        <w:rPr>
          <w:sz w:val="28"/>
          <w:szCs w:val="28"/>
        </w:rPr>
        <w:t xml:space="preserve">lause </w:t>
      </w:r>
      <w:r w:rsidR="001E43DB" w:rsidRPr="004F66A4">
        <w:rPr>
          <w:sz w:val="28"/>
          <w:szCs w:val="28"/>
        </w:rPr>
        <w:t xml:space="preserve">15.2 provided </w:t>
      </w:r>
      <w:r w:rsidR="00A56BF0" w:rsidRPr="004F66A4">
        <w:rPr>
          <w:sz w:val="28"/>
          <w:szCs w:val="28"/>
        </w:rPr>
        <w:t>that:</w:t>
      </w:r>
    </w:p>
    <w:p w14:paraId="2DF0751C" w14:textId="77777777" w:rsidR="005B1C5F" w:rsidRPr="00420A97" w:rsidRDefault="00A56BF0" w:rsidP="007A0BA6">
      <w:pPr>
        <w:spacing w:line="360" w:lineRule="auto"/>
        <w:jc w:val="both"/>
      </w:pPr>
      <w:r w:rsidRPr="00420A97">
        <w:t>‘Until the vesting date, the trustees shall have the power from time to time and at any time, to accumulate any part of the income of the Trust for periods continuous or discontinuous as the trustees shall think fit and shall hold any accumulations so made as part of the capital of the Trust for all the purposes hereof, but so that the trustees may at any time and from time to time pay, apply, or appoint in their sole discretion, the whole or any part/parts of the said accumulations as if the same were income arising in the current year.’</w:t>
      </w:r>
    </w:p>
    <w:p w14:paraId="7CC987C3" w14:textId="77777777" w:rsidR="00A56BF0" w:rsidRPr="00420A97" w:rsidRDefault="00A56BF0" w:rsidP="00A56BF0">
      <w:pPr>
        <w:spacing w:line="360" w:lineRule="auto"/>
        <w:jc w:val="both"/>
        <w:rPr>
          <w:sz w:val="28"/>
          <w:szCs w:val="28"/>
        </w:rPr>
      </w:pPr>
      <w:r w:rsidRPr="00420A97">
        <w:rPr>
          <w:sz w:val="28"/>
          <w:szCs w:val="28"/>
        </w:rPr>
        <w:t xml:space="preserve">The vesting date </w:t>
      </w:r>
      <w:r w:rsidR="000A02D1" w:rsidRPr="00420A97">
        <w:rPr>
          <w:sz w:val="28"/>
          <w:szCs w:val="28"/>
        </w:rPr>
        <w:t>in the original</w:t>
      </w:r>
      <w:r w:rsidR="005B1C5F" w:rsidRPr="00420A97">
        <w:rPr>
          <w:sz w:val="28"/>
          <w:szCs w:val="28"/>
        </w:rPr>
        <w:t xml:space="preserve"> </w:t>
      </w:r>
      <w:r w:rsidR="00C24E3C" w:rsidRPr="00420A97">
        <w:rPr>
          <w:sz w:val="28"/>
          <w:szCs w:val="28"/>
        </w:rPr>
        <w:t xml:space="preserve">trust deed </w:t>
      </w:r>
      <w:r w:rsidRPr="00420A97">
        <w:rPr>
          <w:sz w:val="28"/>
          <w:szCs w:val="28"/>
        </w:rPr>
        <w:t>was defined as 1 June 2056 or the date which the trustees may at any time in writing appoint to be the vesting date.</w:t>
      </w:r>
      <w:r w:rsidRPr="00420A97">
        <w:rPr>
          <w:rStyle w:val="FootnoteReference"/>
          <w:sz w:val="28"/>
          <w:szCs w:val="28"/>
        </w:rPr>
        <w:footnoteReference w:id="2"/>
      </w:r>
    </w:p>
    <w:p w14:paraId="5A6A46D0" w14:textId="77777777" w:rsidR="00A56BF0" w:rsidRPr="00420A97" w:rsidRDefault="00A56BF0" w:rsidP="00A56BF0">
      <w:pPr>
        <w:spacing w:line="360" w:lineRule="auto"/>
        <w:jc w:val="both"/>
      </w:pPr>
    </w:p>
    <w:p w14:paraId="3A2B86E2" w14:textId="63062E9F" w:rsidR="00C72C3F" w:rsidRPr="00420A97" w:rsidRDefault="004F66A4" w:rsidP="004F66A4">
      <w:pPr>
        <w:spacing w:line="360" w:lineRule="auto"/>
        <w:jc w:val="both"/>
      </w:pPr>
      <w:r w:rsidRPr="00420A97">
        <w:rPr>
          <w:sz w:val="28"/>
          <w:szCs w:val="28"/>
        </w:rPr>
        <w:t>[17]</w:t>
      </w:r>
      <w:r w:rsidRPr="00420A97">
        <w:rPr>
          <w:sz w:val="28"/>
          <w:szCs w:val="28"/>
        </w:rPr>
        <w:tab/>
      </w:r>
      <w:r w:rsidR="007006E1" w:rsidRPr="004F66A4">
        <w:rPr>
          <w:rFonts w:eastAsia="Calibri"/>
          <w:sz w:val="28"/>
          <w:szCs w:val="28"/>
        </w:rPr>
        <w:t xml:space="preserve">The high court </w:t>
      </w:r>
      <w:r w:rsidR="001E43DB" w:rsidRPr="004F66A4">
        <w:rPr>
          <w:rFonts w:eastAsia="Calibri"/>
          <w:sz w:val="28"/>
          <w:szCs w:val="28"/>
        </w:rPr>
        <w:t xml:space="preserve">found </w:t>
      </w:r>
      <w:r w:rsidR="007006E1" w:rsidRPr="004F66A4">
        <w:rPr>
          <w:rFonts w:eastAsia="Calibri"/>
          <w:sz w:val="28"/>
          <w:szCs w:val="28"/>
        </w:rPr>
        <w:t xml:space="preserve">that </w:t>
      </w:r>
      <w:r w:rsidR="007006E1" w:rsidRPr="004F66A4">
        <w:rPr>
          <w:sz w:val="28"/>
          <w:szCs w:val="28"/>
        </w:rPr>
        <w:t>t</w:t>
      </w:r>
      <w:r w:rsidR="00AA07C0" w:rsidRPr="004F66A4">
        <w:rPr>
          <w:sz w:val="28"/>
          <w:szCs w:val="28"/>
        </w:rPr>
        <w:t xml:space="preserve">he defence put up by the trustees </w:t>
      </w:r>
      <w:r w:rsidR="00A6264E" w:rsidRPr="004F66A4">
        <w:rPr>
          <w:sz w:val="28"/>
          <w:szCs w:val="28"/>
        </w:rPr>
        <w:t>was ‘</w:t>
      </w:r>
      <w:r w:rsidR="00AA07C0" w:rsidRPr="004F66A4">
        <w:rPr>
          <w:sz w:val="28"/>
          <w:szCs w:val="28"/>
        </w:rPr>
        <w:t xml:space="preserve">incredibly </w:t>
      </w:r>
      <w:r w:rsidR="00A6264E" w:rsidRPr="004F66A4">
        <w:rPr>
          <w:sz w:val="28"/>
          <w:szCs w:val="28"/>
        </w:rPr>
        <w:t>peculiar’</w:t>
      </w:r>
      <w:r w:rsidR="00AD5A7A" w:rsidRPr="004F66A4">
        <w:rPr>
          <w:sz w:val="28"/>
          <w:szCs w:val="28"/>
        </w:rPr>
        <w:t>,</w:t>
      </w:r>
      <w:r w:rsidR="00AA07C0" w:rsidRPr="004F66A4">
        <w:rPr>
          <w:sz w:val="28"/>
          <w:szCs w:val="28"/>
        </w:rPr>
        <w:t xml:space="preserve"> because they had admitted the allocation and </w:t>
      </w:r>
      <w:r w:rsidR="001E43DB" w:rsidRPr="004F66A4">
        <w:rPr>
          <w:sz w:val="28"/>
          <w:szCs w:val="28"/>
        </w:rPr>
        <w:t>had even made</w:t>
      </w:r>
      <w:r w:rsidR="00AA07C0" w:rsidRPr="004F66A4">
        <w:rPr>
          <w:sz w:val="28"/>
          <w:szCs w:val="28"/>
        </w:rPr>
        <w:t xml:space="preserve"> payment of tax in re</w:t>
      </w:r>
      <w:r w:rsidR="00AD5A7A" w:rsidRPr="004F66A4">
        <w:rPr>
          <w:sz w:val="28"/>
          <w:szCs w:val="28"/>
        </w:rPr>
        <w:t>lation to the allocations.</w:t>
      </w:r>
      <w:r w:rsidR="00AA07C0" w:rsidRPr="004F66A4">
        <w:rPr>
          <w:sz w:val="28"/>
          <w:szCs w:val="28"/>
        </w:rPr>
        <w:t xml:space="preserve"> </w:t>
      </w:r>
      <w:r w:rsidR="00617778" w:rsidRPr="004F66A4">
        <w:rPr>
          <w:sz w:val="28"/>
          <w:szCs w:val="28"/>
        </w:rPr>
        <w:t xml:space="preserve">While the high court accepted that the trustees had the power to make allocations and </w:t>
      </w:r>
      <w:r w:rsidR="000A02D1" w:rsidRPr="004F66A4">
        <w:rPr>
          <w:sz w:val="28"/>
          <w:szCs w:val="28"/>
        </w:rPr>
        <w:t xml:space="preserve">also to </w:t>
      </w:r>
      <w:r w:rsidR="00617778" w:rsidRPr="004F66A4">
        <w:rPr>
          <w:sz w:val="28"/>
          <w:szCs w:val="28"/>
        </w:rPr>
        <w:t xml:space="preserve">withhold payment, it found that the trustees </w:t>
      </w:r>
      <w:r w:rsidR="00AA07C0" w:rsidRPr="004F66A4">
        <w:rPr>
          <w:sz w:val="28"/>
          <w:szCs w:val="28"/>
        </w:rPr>
        <w:t>had not sufficiently pleaded the basis on which th</w:t>
      </w:r>
      <w:r w:rsidR="000A02D1" w:rsidRPr="004F66A4">
        <w:rPr>
          <w:sz w:val="28"/>
          <w:szCs w:val="28"/>
        </w:rPr>
        <w:t>ey withheld</w:t>
      </w:r>
      <w:r w:rsidR="000875EB" w:rsidRPr="004F66A4">
        <w:rPr>
          <w:sz w:val="28"/>
          <w:szCs w:val="28"/>
        </w:rPr>
        <w:t xml:space="preserve"> payment.</w:t>
      </w:r>
      <w:r w:rsidR="00A56BF0" w:rsidRPr="004F66A4">
        <w:rPr>
          <w:sz w:val="28"/>
          <w:szCs w:val="28"/>
        </w:rPr>
        <w:t xml:space="preserve"> </w:t>
      </w:r>
      <w:r w:rsidR="00551958" w:rsidRPr="004F66A4">
        <w:rPr>
          <w:sz w:val="28"/>
          <w:szCs w:val="28"/>
        </w:rPr>
        <w:t>Clause</w:t>
      </w:r>
      <w:r w:rsidR="00A56BF0" w:rsidRPr="004F66A4">
        <w:rPr>
          <w:sz w:val="28"/>
          <w:szCs w:val="28"/>
        </w:rPr>
        <w:t xml:space="preserve"> 15</w:t>
      </w:r>
      <w:r w:rsidR="005B1C5F" w:rsidRPr="004F66A4">
        <w:rPr>
          <w:sz w:val="28"/>
          <w:szCs w:val="28"/>
        </w:rPr>
        <w:t>,</w:t>
      </w:r>
      <w:r w:rsidR="003D698B" w:rsidRPr="004F66A4">
        <w:rPr>
          <w:sz w:val="28"/>
          <w:szCs w:val="28"/>
        </w:rPr>
        <w:t xml:space="preserve"> although granting absolute discretion to the trustees to withhold payment,</w:t>
      </w:r>
      <w:r w:rsidR="003B23E3" w:rsidRPr="004F66A4">
        <w:rPr>
          <w:sz w:val="28"/>
          <w:szCs w:val="28"/>
        </w:rPr>
        <w:t xml:space="preserve"> had</w:t>
      </w:r>
      <w:r w:rsidR="00A56BF0" w:rsidRPr="004F66A4">
        <w:rPr>
          <w:sz w:val="28"/>
          <w:szCs w:val="28"/>
        </w:rPr>
        <w:t xml:space="preserve"> more expansive provisions than simply authorising the</w:t>
      </w:r>
      <w:r w:rsidR="00617778" w:rsidRPr="004F66A4">
        <w:rPr>
          <w:sz w:val="28"/>
          <w:szCs w:val="28"/>
        </w:rPr>
        <w:t xml:space="preserve"> trustees to withhold payment and </w:t>
      </w:r>
      <w:r w:rsidR="00A56BF0" w:rsidRPr="004F66A4">
        <w:rPr>
          <w:sz w:val="28"/>
          <w:szCs w:val="28"/>
        </w:rPr>
        <w:t>this absolute discretion was subject to certain limitations in terms of the provision</w:t>
      </w:r>
      <w:r w:rsidR="000875EB" w:rsidRPr="004F66A4">
        <w:rPr>
          <w:sz w:val="28"/>
          <w:szCs w:val="28"/>
        </w:rPr>
        <w:t>, so the high court found</w:t>
      </w:r>
      <w:r w:rsidR="00A56BF0" w:rsidRPr="004F66A4">
        <w:rPr>
          <w:sz w:val="28"/>
          <w:szCs w:val="28"/>
        </w:rPr>
        <w:t xml:space="preserve">. It is these conditions and restrictions that the trustees did not deem necessary to explain to the </w:t>
      </w:r>
      <w:r w:rsidR="001A7926" w:rsidRPr="004F66A4">
        <w:rPr>
          <w:sz w:val="28"/>
          <w:szCs w:val="28"/>
        </w:rPr>
        <w:t>c</w:t>
      </w:r>
      <w:r w:rsidR="000875EB" w:rsidRPr="004F66A4">
        <w:rPr>
          <w:sz w:val="28"/>
          <w:szCs w:val="28"/>
        </w:rPr>
        <w:t>ourt</w:t>
      </w:r>
      <w:r w:rsidR="003A6B93" w:rsidRPr="004F66A4">
        <w:rPr>
          <w:sz w:val="28"/>
          <w:szCs w:val="28"/>
        </w:rPr>
        <w:t>.</w:t>
      </w:r>
    </w:p>
    <w:p w14:paraId="32E26677" w14:textId="77777777" w:rsidR="0031038D" w:rsidRPr="00420A97" w:rsidRDefault="0031038D" w:rsidP="00A26E1E">
      <w:pPr>
        <w:pStyle w:val="ListParagraph"/>
        <w:spacing w:line="360" w:lineRule="auto"/>
        <w:ind w:left="0"/>
        <w:jc w:val="both"/>
      </w:pPr>
    </w:p>
    <w:p w14:paraId="3281BF52" w14:textId="18134272" w:rsidR="00AA54B0" w:rsidRPr="004F66A4" w:rsidRDefault="004F66A4" w:rsidP="004F66A4">
      <w:pPr>
        <w:spacing w:line="360" w:lineRule="auto"/>
        <w:jc w:val="both"/>
        <w:rPr>
          <w:sz w:val="28"/>
          <w:szCs w:val="28"/>
        </w:rPr>
      </w:pPr>
      <w:r w:rsidRPr="00420A97">
        <w:rPr>
          <w:sz w:val="28"/>
          <w:szCs w:val="28"/>
        </w:rPr>
        <w:t>[18]</w:t>
      </w:r>
      <w:r w:rsidRPr="00420A97">
        <w:rPr>
          <w:sz w:val="28"/>
          <w:szCs w:val="28"/>
        </w:rPr>
        <w:tab/>
      </w:r>
      <w:r w:rsidR="00AA54B0" w:rsidRPr="004F66A4">
        <w:rPr>
          <w:sz w:val="28"/>
          <w:szCs w:val="28"/>
        </w:rPr>
        <w:t>Further, the high court was of the view that by relying on the amended trust deed as pleaded in the particulars of claim</w:t>
      </w:r>
      <w:r w:rsidR="003B23E3" w:rsidRPr="004F66A4">
        <w:rPr>
          <w:sz w:val="28"/>
          <w:szCs w:val="28"/>
        </w:rPr>
        <w:t>,</w:t>
      </w:r>
      <w:r w:rsidR="00AA54B0" w:rsidRPr="004F66A4">
        <w:rPr>
          <w:sz w:val="28"/>
          <w:szCs w:val="28"/>
        </w:rPr>
        <w:t xml:space="preserve"> </w:t>
      </w:r>
      <w:r w:rsidR="0031038D" w:rsidRPr="004F66A4">
        <w:rPr>
          <w:sz w:val="28"/>
          <w:szCs w:val="28"/>
        </w:rPr>
        <w:t xml:space="preserve">the trustees </w:t>
      </w:r>
      <w:r w:rsidR="00AA54B0" w:rsidRPr="004F66A4">
        <w:rPr>
          <w:sz w:val="28"/>
          <w:szCs w:val="28"/>
        </w:rPr>
        <w:t>were attempting to ‘dupe’ Ms Deans, the court or both.</w:t>
      </w:r>
      <w:r w:rsidR="0031038D" w:rsidRPr="004F66A4">
        <w:rPr>
          <w:sz w:val="28"/>
          <w:szCs w:val="28"/>
        </w:rPr>
        <w:t xml:space="preserve"> This find</w:t>
      </w:r>
      <w:r w:rsidR="00B07D29" w:rsidRPr="004F66A4">
        <w:rPr>
          <w:sz w:val="28"/>
          <w:szCs w:val="28"/>
        </w:rPr>
        <w:t xml:space="preserve">ing was made on the basis that </w:t>
      </w:r>
      <w:r w:rsidR="00B07D29" w:rsidRPr="004F66A4">
        <w:rPr>
          <w:sz w:val="28"/>
          <w:szCs w:val="28"/>
        </w:rPr>
        <w:lastRenderedPageBreak/>
        <w:t xml:space="preserve">the trustees </w:t>
      </w:r>
      <w:r w:rsidR="00AA54B0" w:rsidRPr="004F66A4">
        <w:rPr>
          <w:sz w:val="28"/>
          <w:szCs w:val="28"/>
        </w:rPr>
        <w:t>were well aware that the incorrect trust deed was relied on by Ms</w:t>
      </w:r>
      <w:r w:rsidR="00A26E1E" w:rsidRPr="004F66A4">
        <w:rPr>
          <w:sz w:val="28"/>
          <w:szCs w:val="28"/>
        </w:rPr>
        <w:t> </w:t>
      </w:r>
      <w:r w:rsidR="00AA54B0" w:rsidRPr="004F66A4">
        <w:rPr>
          <w:sz w:val="28"/>
          <w:szCs w:val="28"/>
        </w:rPr>
        <w:t>Deans, bu</w:t>
      </w:r>
      <w:r w:rsidR="0031038D" w:rsidRPr="004F66A4">
        <w:rPr>
          <w:sz w:val="28"/>
          <w:szCs w:val="28"/>
        </w:rPr>
        <w:t>t nonetheless went along with the incorrect allegations</w:t>
      </w:r>
      <w:r w:rsidR="003B23E3" w:rsidRPr="004F66A4">
        <w:rPr>
          <w:sz w:val="28"/>
          <w:szCs w:val="28"/>
        </w:rPr>
        <w:t xml:space="preserve">, </w:t>
      </w:r>
      <w:r w:rsidR="00B07D29" w:rsidRPr="004F66A4">
        <w:rPr>
          <w:sz w:val="28"/>
          <w:szCs w:val="28"/>
        </w:rPr>
        <w:t>presumably to gain some tactical advantage</w:t>
      </w:r>
      <w:r w:rsidR="0031038D" w:rsidRPr="004F66A4">
        <w:rPr>
          <w:sz w:val="28"/>
          <w:szCs w:val="28"/>
        </w:rPr>
        <w:t>.</w:t>
      </w:r>
      <w:r w:rsidR="00AA54B0" w:rsidRPr="004F66A4">
        <w:rPr>
          <w:sz w:val="28"/>
          <w:szCs w:val="28"/>
        </w:rPr>
        <w:t xml:space="preserve"> </w:t>
      </w:r>
      <w:r w:rsidR="00B07D29" w:rsidRPr="004F66A4">
        <w:rPr>
          <w:sz w:val="28"/>
          <w:szCs w:val="28"/>
        </w:rPr>
        <w:t xml:space="preserve">The court criticised the trustees for </w:t>
      </w:r>
      <w:r w:rsidR="00AA54B0" w:rsidRPr="004F66A4">
        <w:rPr>
          <w:sz w:val="28"/>
          <w:szCs w:val="28"/>
        </w:rPr>
        <w:t>not interact</w:t>
      </w:r>
      <w:r w:rsidR="00B07D29" w:rsidRPr="004F66A4">
        <w:rPr>
          <w:sz w:val="28"/>
          <w:szCs w:val="28"/>
        </w:rPr>
        <w:t>ing</w:t>
      </w:r>
      <w:r w:rsidR="00AA54B0" w:rsidRPr="004F66A4">
        <w:rPr>
          <w:sz w:val="28"/>
          <w:szCs w:val="28"/>
        </w:rPr>
        <w:t xml:space="preserve"> with M</w:t>
      </w:r>
      <w:r w:rsidR="003B23E3" w:rsidRPr="004F66A4">
        <w:rPr>
          <w:sz w:val="28"/>
          <w:szCs w:val="28"/>
        </w:rPr>
        <w:t xml:space="preserve">s Deans, </w:t>
      </w:r>
      <w:r w:rsidR="00AA54B0" w:rsidRPr="004F66A4">
        <w:rPr>
          <w:sz w:val="28"/>
          <w:szCs w:val="28"/>
        </w:rPr>
        <w:t>presumably to inform her before the hearing of the summary judgment application that the orig</w:t>
      </w:r>
      <w:r w:rsidR="00B07D29" w:rsidRPr="004F66A4">
        <w:rPr>
          <w:sz w:val="28"/>
          <w:szCs w:val="28"/>
        </w:rPr>
        <w:t xml:space="preserve">inal trust deed was </w:t>
      </w:r>
      <w:r w:rsidR="003B23E3" w:rsidRPr="004F66A4">
        <w:rPr>
          <w:sz w:val="28"/>
          <w:szCs w:val="28"/>
        </w:rPr>
        <w:t>applicable</w:t>
      </w:r>
      <w:r w:rsidR="00B07D29" w:rsidRPr="004F66A4">
        <w:rPr>
          <w:sz w:val="28"/>
          <w:szCs w:val="28"/>
        </w:rPr>
        <w:t>. As such</w:t>
      </w:r>
      <w:r w:rsidR="00AA54B0" w:rsidRPr="004F66A4">
        <w:rPr>
          <w:sz w:val="28"/>
          <w:szCs w:val="28"/>
        </w:rPr>
        <w:t xml:space="preserve"> their defence was not </w:t>
      </w:r>
      <w:r w:rsidR="00AA54B0" w:rsidRPr="004F66A4">
        <w:rPr>
          <w:rFonts w:eastAsia="Calibri"/>
          <w:sz w:val="28"/>
          <w:szCs w:val="28"/>
        </w:rPr>
        <w:t xml:space="preserve">brought on reasonable grounds. </w:t>
      </w:r>
      <w:r w:rsidR="00AA54B0" w:rsidRPr="004F66A4">
        <w:rPr>
          <w:sz w:val="28"/>
          <w:szCs w:val="28"/>
        </w:rPr>
        <w:t>Nor did they plead their reasons for withholding payment.</w:t>
      </w:r>
    </w:p>
    <w:p w14:paraId="36956955" w14:textId="77777777" w:rsidR="00C72C3F" w:rsidRPr="00420A97" w:rsidRDefault="00C72C3F" w:rsidP="0015751F">
      <w:pPr>
        <w:spacing w:line="360" w:lineRule="auto"/>
        <w:jc w:val="both"/>
        <w:rPr>
          <w:sz w:val="28"/>
          <w:szCs w:val="28"/>
        </w:rPr>
      </w:pPr>
    </w:p>
    <w:p w14:paraId="1CF6B2BB" w14:textId="739C603D" w:rsidR="00345FF0" w:rsidRPr="004F66A4" w:rsidRDefault="004F66A4" w:rsidP="004F66A4">
      <w:pPr>
        <w:spacing w:line="360" w:lineRule="auto"/>
        <w:jc w:val="both"/>
        <w:rPr>
          <w:sz w:val="28"/>
          <w:szCs w:val="28"/>
        </w:rPr>
      </w:pPr>
      <w:r w:rsidRPr="00420A97">
        <w:rPr>
          <w:sz w:val="28"/>
          <w:szCs w:val="28"/>
        </w:rPr>
        <w:t>[19]</w:t>
      </w:r>
      <w:r w:rsidRPr="00420A97">
        <w:rPr>
          <w:sz w:val="28"/>
          <w:szCs w:val="28"/>
        </w:rPr>
        <w:tab/>
      </w:r>
      <w:r w:rsidR="001E43DB" w:rsidRPr="004F66A4">
        <w:rPr>
          <w:sz w:val="28"/>
          <w:szCs w:val="28"/>
        </w:rPr>
        <w:t xml:space="preserve">Accordingly, </w:t>
      </w:r>
      <w:r w:rsidR="005D21DD" w:rsidRPr="004F66A4">
        <w:rPr>
          <w:sz w:val="28"/>
          <w:szCs w:val="28"/>
        </w:rPr>
        <w:t>th</w:t>
      </w:r>
      <w:r w:rsidR="005F0A7F" w:rsidRPr="004F66A4">
        <w:rPr>
          <w:sz w:val="28"/>
          <w:szCs w:val="28"/>
        </w:rPr>
        <w:t>e high court granted summary judgment in Ms Deans</w:t>
      </w:r>
      <w:r w:rsidR="009A5849" w:rsidRPr="004F66A4">
        <w:rPr>
          <w:sz w:val="28"/>
          <w:szCs w:val="28"/>
        </w:rPr>
        <w:t>’</w:t>
      </w:r>
      <w:r w:rsidR="005F0A7F" w:rsidRPr="004F66A4">
        <w:rPr>
          <w:sz w:val="28"/>
          <w:szCs w:val="28"/>
        </w:rPr>
        <w:t xml:space="preserve"> favour</w:t>
      </w:r>
      <w:r w:rsidR="001E43DB" w:rsidRPr="004F66A4">
        <w:rPr>
          <w:sz w:val="28"/>
          <w:szCs w:val="28"/>
        </w:rPr>
        <w:t>. It did so on the basis</w:t>
      </w:r>
      <w:r w:rsidR="00AA54B0" w:rsidRPr="004F66A4">
        <w:rPr>
          <w:sz w:val="28"/>
          <w:szCs w:val="28"/>
        </w:rPr>
        <w:t xml:space="preserve"> </w:t>
      </w:r>
      <w:r w:rsidR="005F0A7F" w:rsidRPr="004F66A4">
        <w:rPr>
          <w:sz w:val="28"/>
          <w:szCs w:val="28"/>
        </w:rPr>
        <w:t xml:space="preserve">that the trustees had failed to </w:t>
      </w:r>
      <w:r w:rsidR="00A56BF0" w:rsidRPr="004F66A4">
        <w:rPr>
          <w:sz w:val="28"/>
          <w:szCs w:val="28"/>
        </w:rPr>
        <w:t xml:space="preserve">advance a </w:t>
      </w:r>
      <w:r w:rsidR="00AA54B0" w:rsidRPr="004F66A4">
        <w:rPr>
          <w:sz w:val="28"/>
          <w:szCs w:val="28"/>
        </w:rPr>
        <w:t xml:space="preserve">reasonable and </w:t>
      </w:r>
      <w:r w:rsidR="00A56BF0" w:rsidRPr="004F66A4">
        <w:rPr>
          <w:rFonts w:eastAsia="Calibri"/>
          <w:i/>
          <w:sz w:val="28"/>
          <w:szCs w:val="28"/>
        </w:rPr>
        <w:t>bona fide</w:t>
      </w:r>
      <w:r w:rsidR="00A56BF0" w:rsidRPr="004F66A4">
        <w:rPr>
          <w:rFonts w:eastAsia="Calibri"/>
          <w:sz w:val="28"/>
          <w:szCs w:val="28"/>
        </w:rPr>
        <w:t xml:space="preserve"> defence</w:t>
      </w:r>
      <w:r w:rsidR="00835962" w:rsidRPr="004F66A4">
        <w:rPr>
          <w:rFonts w:eastAsia="Calibri"/>
          <w:sz w:val="28"/>
          <w:szCs w:val="28"/>
        </w:rPr>
        <w:t>.</w:t>
      </w:r>
    </w:p>
    <w:p w14:paraId="3F336309" w14:textId="77777777" w:rsidR="00A62175" w:rsidRPr="00420A97" w:rsidRDefault="00A62175" w:rsidP="0015751F">
      <w:pPr>
        <w:spacing w:line="360" w:lineRule="auto"/>
        <w:rPr>
          <w:sz w:val="28"/>
          <w:szCs w:val="28"/>
        </w:rPr>
      </w:pPr>
    </w:p>
    <w:p w14:paraId="316B2577" w14:textId="47EC8DA4" w:rsidR="00144AA4" w:rsidRPr="004F66A4" w:rsidRDefault="004F66A4" w:rsidP="004F66A4">
      <w:pPr>
        <w:spacing w:line="360" w:lineRule="auto"/>
        <w:jc w:val="both"/>
        <w:rPr>
          <w:sz w:val="28"/>
          <w:szCs w:val="28"/>
        </w:rPr>
      </w:pPr>
      <w:r w:rsidRPr="00420A97">
        <w:rPr>
          <w:sz w:val="28"/>
          <w:szCs w:val="28"/>
        </w:rPr>
        <w:t>[20]</w:t>
      </w:r>
      <w:r w:rsidRPr="00420A97">
        <w:rPr>
          <w:sz w:val="28"/>
          <w:szCs w:val="28"/>
        </w:rPr>
        <w:tab/>
      </w:r>
      <w:r w:rsidR="0031038D" w:rsidRPr="004F66A4">
        <w:rPr>
          <w:sz w:val="28"/>
          <w:szCs w:val="28"/>
        </w:rPr>
        <w:t>T</w:t>
      </w:r>
      <w:r w:rsidR="007822A3" w:rsidRPr="004F66A4">
        <w:rPr>
          <w:sz w:val="28"/>
          <w:szCs w:val="28"/>
        </w:rPr>
        <w:t>he first question is whether</w:t>
      </w:r>
      <w:r w:rsidR="00345FF0" w:rsidRPr="004F66A4">
        <w:rPr>
          <w:sz w:val="28"/>
          <w:szCs w:val="28"/>
        </w:rPr>
        <w:t xml:space="preserve"> Ms Deans </w:t>
      </w:r>
      <w:r w:rsidR="00345FF0" w:rsidRPr="004F66A4">
        <w:rPr>
          <w:rFonts w:eastAsia="Calibri"/>
          <w:sz w:val="28"/>
          <w:szCs w:val="28"/>
        </w:rPr>
        <w:t>had failed</w:t>
      </w:r>
      <w:r w:rsidR="00345FF0" w:rsidRPr="004F66A4">
        <w:rPr>
          <w:sz w:val="28"/>
          <w:szCs w:val="28"/>
        </w:rPr>
        <w:t xml:space="preserve"> to comply with the peremptory requirements of </w:t>
      </w:r>
      <w:r w:rsidR="00895FCD" w:rsidRPr="004F66A4">
        <w:rPr>
          <w:sz w:val="28"/>
          <w:szCs w:val="28"/>
        </w:rPr>
        <w:t>r</w:t>
      </w:r>
      <w:r w:rsidR="00345FF0" w:rsidRPr="004F66A4">
        <w:rPr>
          <w:sz w:val="28"/>
          <w:szCs w:val="28"/>
        </w:rPr>
        <w:t>ule 32(2)</w:t>
      </w:r>
      <w:r w:rsidR="00345FF0" w:rsidRPr="004F66A4">
        <w:rPr>
          <w:i/>
          <w:sz w:val="28"/>
          <w:szCs w:val="28"/>
        </w:rPr>
        <w:t xml:space="preserve">(b) </w:t>
      </w:r>
      <w:r w:rsidR="00345FF0" w:rsidRPr="004F66A4">
        <w:rPr>
          <w:sz w:val="28"/>
          <w:szCs w:val="28"/>
        </w:rPr>
        <w:t xml:space="preserve">by advancing a case which was not pleaded and was thus unverified. </w:t>
      </w:r>
      <w:r w:rsidR="00144AA4" w:rsidRPr="004F66A4">
        <w:rPr>
          <w:sz w:val="28"/>
          <w:szCs w:val="28"/>
        </w:rPr>
        <w:t>Rule 32(2)</w:t>
      </w:r>
      <w:r w:rsidR="00144AA4" w:rsidRPr="004F66A4">
        <w:rPr>
          <w:i/>
          <w:sz w:val="28"/>
          <w:szCs w:val="28"/>
        </w:rPr>
        <w:t xml:space="preserve">(b) </w:t>
      </w:r>
      <w:r w:rsidR="00144AA4" w:rsidRPr="004F66A4">
        <w:rPr>
          <w:iCs/>
          <w:sz w:val="28"/>
          <w:szCs w:val="28"/>
        </w:rPr>
        <w:t>provides that:</w:t>
      </w:r>
    </w:p>
    <w:p w14:paraId="76890DDC" w14:textId="77777777" w:rsidR="00211BA4" w:rsidRPr="00420A97" w:rsidRDefault="00BE2175" w:rsidP="00B766B4">
      <w:pPr>
        <w:spacing w:line="360" w:lineRule="auto"/>
        <w:jc w:val="both"/>
      </w:pPr>
      <w:r w:rsidRPr="00420A97">
        <w:t>‘The p</w:t>
      </w:r>
      <w:r w:rsidR="00144AA4" w:rsidRPr="00420A97">
        <w:t>laintiff shall, in the affidavit referred to in sub-rule (2)</w:t>
      </w:r>
      <w:r w:rsidR="00144AA4" w:rsidRPr="00420A97">
        <w:rPr>
          <w:i/>
        </w:rPr>
        <w:t>(a)</w:t>
      </w:r>
      <w:r w:rsidR="00144AA4" w:rsidRPr="00420A97">
        <w:t>, verify the cause of action and the amount, if any, claimed, and identify any point of law relied upon and the facts upon which the plaintiff’s claim is based, and explain briefly why the defence as pleaded does not raise any issue for trial.’</w:t>
      </w:r>
    </w:p>
    <w:p w14:paraId="02E5A3A4" w14:textId="77777777" w:rsidR="00211BA4" w:rsidRPr="00420A97" w:rsidRDefault="00211BA4" w:rsidP="00321E44">
      <w:pPr>
        <w:pStyle w:val="ListParagraph"/>
        <w:spacing w:line="360" w:lineRule="auto"/>
        <w:ind w:left="0"/>
        <w:jc w:val="both"/>
        <w:rPr>
          <w:sz w:val="28"/>
          <w:szCs w:val="28"/>
        </w:rPr>
      </w:pPr>
    </w:p>
    <w:p w14:paraId="3EC381A7" w14:textId="4FF97080" w:rsidR="00025BD8" w:rsidRPr="00420A97" w:rsidRDefault="004F66A4" w:rsidP="004F66A4">
      <w:pPr>
        <w:spacing w:line="360" w:lineRule="auto"/>
        <w:jc w:val="both"/>
        <w:rPr>
          <w:sz w:val="28"/>
          <w:szCs w:val="28"/>
        </w:rPr>
      </w:pPr>
      <w:r w:rsidRPr="00420A97">
        <w:rPr>
          <w:sz w:val="28"/>
          <w:szCs w:val="28"/>
        </w:rPr>
        <w:t>[21]</w:t>
      </w:r>
      <w:r w:rsidRPr="00420A97">
        <w:rPr>
          <w:sz w:val="28"/>
          <w:szCs w:val="28"/>
        </w:rPr>
        <w:tab/>
      </w:r>
      <w:r w:rsidR="00F411BF" w:rsidRPr="00420A97">
        <w:rPr>
          <w:sz w:val="28"/>
          <w:szCs w:val="28"/>
        </w:rPr>
        <w:t xml:space="preserve">The issue of </w:t>
      </w:r>
      <w:r w:rsidR="00025BD8" w:rsidRPr="00420A97">
        <w:rPr>
          <w:sz w:val="28"/>
          <w:szCs w:val="28"/>
        </w:rPr>
        <w:t xml:space="preserve">Ms Deans’ non-compliance with </w:t>
      </w:r>
      <w:r w:rsidR="00F62C69" w:rsidRPr="00420A97">
        <w:rPr>
          <w:sz w:val="28"/>
          <w:szCs w:val="28"/>
        </w:rPr>
        <w:t>r</w:t>
      </w:r>
      <w:r w:rsidR="00025BD8" w:rsidRPr="00420A97">
        <w:rPr>
          <w:sz w:val="28"/>
          <w:szCs w:val="28"/>
        </w:rPr>
        <w:t>ule 32(2)</w:t>
      </w:r>
      <w:r w:rsidR="00025BD8" w:rsidRPr="00420A97">
        <w:rPr>
          <w:i/>
          <w:sz w:val="28"/>
          <w:szCs w:val="28"/>
        </w:rPr>
        <w:t>(b)</w:t>
      </w:r>
      <w:r w:rsidR="00025BD8" w:rsidRPr="00420A97">
        <w:rPr>
          <w:sz w:val="28"/>
          <w:szCs w:val="28"/>
        </w:rPr>
        <w:t xml:space="preserve"> is inextricably bound up with whether summary judgment was granted on a</w:t>
      </w:r>
      <w:r w:rsidR="0031038D" w:rsidRPr="00420A97">
        <w:rPr>
          <w:sz w:val="28"/>
          <w:szCs w:val="28"/>
        </w:rPr>
        <w:t xml:space="preserve"> case</w:t>
      </w:r>
      <w:r w:rsidR="00025BD8" w:rsidRPr="00420A97">
        <w:rPr>
          <w:sz w:val="28"/>
          <w:szCs w:val="28"/>
        </w:rPr>
        <w:t xml:space="preserve"> that </w:t>
      </w:r>
      <w:r w:rsidR="00321E44" w:rsidRPr="00420A97">
        <w:rPr>
          <w:sz w:val="28"/>
          <w:szCs w:val="28"/>
        </w:rPr>
        <w:t xml:space="preserve">was </w:t>
      </w:r>
      <w:r w:rsidR="00025BD8" w:rsidRPr="00420A97">
        <w:rPr>
          <w:sz w:val="28"/>
          <w:szCs w:val="28"/>
        </w:rPr>
        <w:t>materially different from that which was pleaded in her particulars of claim</w:t>
      </w:r>
      <w:r w:rsidR="007822A3" w:rsidRPr="00420A97">
        <w:rPr>
          <w:sz w:val="28"/>
          <w:szCs w:val="28"/>
        </w:rPr>
        <w:t xml:space="preserve"> and </w:t>
      </w:r>
      <w:r w:rsidR="00025BD8" w:rsidRPr="00420A97">
        <w:rPr>
          <w:sz w:val="28"/>
          <w:szCs w:val="28"/>
        </w:rPr>
        <w:t xml:space="preserve">that which </w:t>
      </w:r>
      <w:r w:rsidR="0031038D" w:rsidRPr="00420A97">
        <w:rPr>
          <w:sz w:val="28"/>
          <w:szCs w:val="28"/>
        </w:rPr>
        <w:t xml:space="preserve">she advanced </w:t>
      </w:r>
      <w:r w:rsidR="00025BD8" w:rsidRPr="00420A97">
        <w:rPr>
          <w:sz w:val="28"/>
          <w:szCs w:val="28"/>
        </w:rPr>
        <w:t>in her affidavit in the support of her application for summary judgment. The cause of action which Ms Dean</w:t>
      </w:r>
      <w:r w:rsidR="00E63E54" w:rsidRPr="00420A97">
        <w:rPr>
          <w:sz w:val="28"/>
          <w:szCs w:val="28"/>
        </w:rPr>
        <w:t>s</w:t>
      </w:r>
      <w:r w:rsidR="00025BD8" w:rsidRPr="00420A97">
        <w:rPr>
          <w:sz w:val="28"/>
          <w:szCs w:val="28"/>
        </w:rPr>
        <w:t xml:space="preserve"> verified was that in terms of clause 5 of the provisions of the amended trust </w:t>
      </w:r>
      <w:r w:rsidR="00025BD8" w:rsidRPr="00420A97">
        <w:rPr>
          <w:sz w:val="28"/>
          <w:szCs w:val="28"/>
        </w:rPr>
        <w:lastRenderedPageBreak/>
        <w:t xml:space="preserve">deed, the trustees applied capital </w:t>
      </w:r>
      <w:r w:rsidR="00E71094" w:rsidRPr="00420A97">
        <w:rPr>
          <w:sz w:val="28"/>
          <w:szCs w:val="28"/>
        </w:rPr>
        <w:t xml:space="preserve">gains in the sum </w:t>
      </w:r>
      <w:r w:rsidR="003B23E3" w:rsidRPr="00420A97">
        <w:rPr>
          <w:sz w:val="28"/>
          <w:szCs w:val="28"/>
        </w:rPr>
        <w:t xml:space="preserve">of </w:t>
      </w:r>
      <w:r w:rsidR="00025BD8" w:rsidRPr="00420A97">
        <w:rPr>
          <w:sz w:val="28"/>
          <w:szCs w:val="28"/>
        </w:rPr>
        <w:t xml:space="preserve"> R6 329</w:t>
      </w:r>
      <w:r w:rsidR="00E71094" w:rsidRPr="00420A97">
        <w:rPr>
          <w:sz w:val="28"/>
          <w:szCs w:val="28"/>
        </w:rPr>
        <w:t> </w:t>
      </w:r>
      <w:r w:rsidR="00025BD8" w:rsidRPr="00420A97">
        <w:rPr>
          <w:sz w:val="28"/>
          <w:szCs w:val="28"/>
        </w:rPr>
        <w:t>939</w:t>
      </w:r>
      <w:r w:rsidR="00E71094" w:rsidRPr="00420A97">
        <w:rPr>
          <w:sz w:val="28"/>
          <w:szCs w:val="28"/>
        </w:rPr>
        <w:t xml:space="preserve"> to </w:t>
      </w:r>
      <w:r w:rsidR="003B23E3" w:rsidRPr="00420A97">
        <w:rPr>
          <w:sz w:val="28"/>
          <w:szCs w:val="28"/>
        </w:rPr>
        <w:t>which she was entitled</w:t>
      </w:r>
      <w:r w:rsidR="00E71094" w:rsidRPr="00420A97">
        <w:rPr>
          <w:sz w:val="28"/>
          <w:szCs w:val="28"/>
        </w:rPr>
        <w:t xml:space="preserve"> as a</w:t>
      </w:r>
      <w:r w:rsidR="00E63E54" w:rsidRPr="00420A97">
        <w:rPr>
          <w:sz w:val="28"/>
          <w:szCs w:val="28"/>
        </w:rPr>
        <w:t xml:space="preserve"> Group D beneficiary.</w:t>
      </w:r>
    </w:p>
    <w:p w14:paraId="6D51AA8D" w14:textId="77777777" w:rsidR="00274CB2" w:rsidRPr="00420A97" w:rsidRDefault="00274CB2" w:rsidP="00383054">
      <w:pPr>
        <w:spacing w:line="360" w:lineRule="auto"/>
        <w:jc w:val="both"/>
        <w:rPr>
          <w:sz w:val="28"/>
          <w:szCs w:val="28"/>
        </w:rPr>
      </w:pPr>
    </w:p>
    <w:p w14:paraId="7108CD9E" w14:textId="72B2C9ED" w:rsidR="00EE0C04" w:rsidRPr="00420A97" w:rsidRDefault="004F66A4" w:rsidP="004F66A4">
      <w:pPr>
        <w:spacing w:line="360" w:lineRule="auto"/>
        <w:jc w:val="both"/>
        <w:rPr>
          <w:sz w:val="28"/>
          <w:szCs w:val="28"/>
        </w:rPr>
      </w:pPr>
      <w:r w:rsidRPr="00420A97">
        <w:rPr>
          <w:sz w:val="28"/>
          <w:szCs w:val="28"/>
        </w:rPr>
        <w:t>[22]</w:t>
      </w:r>
      <w:r w:rsidRPr="00420A97">
        <w:rPr>
          <w:sz w:val="28"/>
          <w:szCs w:val="28"/>
        </w:rPr>
        <w:tab/>
      </w:r>
      <w:r w:rsidR="007822A3" w:rsidRPr="00420A97">
        <w:rPr>
          <w:sz w:val="28"/>
          <w:szCs w:val="28"/>
        </w:rPr>
        <w:t>Insofar as it was argued</w:t>
      </w:r>
      <w:r w:rsidR="001E2927" w:rsidRPr="00420A97">
        <w:rPr>
          <w:sz w:val="28"/>
          <w:szCs w:val="28"/>
        </w:rPr>
        <w:t xml:space="preserve"> that the </w:t>
      </w:r>
      <w:r w:rsidR="007822A3" w:rsidRPr="00420A97">
        <w:rPr>
          <w:sz w:val="28"/>
          <w:szCs w:val="28"/>
        </w:rPr>
        <w:t xml:space="preserve">cause of action which Ms Deans </w:t>
      </w:r>
      <w:r w:rsidR="00353FB9" w:rsidRPr="00420A97">
        <w:rPr>
          <w:sz w:val="28"/>
          <w:szCs w:val="28"/>
        </w:rPr>
        <w:t xml:space="preserve">verified was that payment of R6 329 939 </w:t>
      </w:r>
      <w:r w:rsidR="0043092B" w:rsidRPr="00420A97">
        <w:rPr>
          <w:sz w:val="28"/>
          <w:szCs w:val="28"/>
        </w:rPr>
        <w:t>was due to her b</w:t>
      </w:r>
      <w:r w:rsidR="007822A3" w:rsidRPr="00420A97">
        <w:rPr>
          <w:sz w:val="28"/>
          <w:szCs w:val="28"/>
        </w:rPr>
        <w:t>y the trustee</w:t>
      </w:r>
      <w:r w:rsidR="003B23E3" w:rsidRPr="00420A97">
        <w:rPr>
          <w:sz w:val="28"/>
          <w:szCs w:val="28"/>
        </w:rPr>
        <w:t>s</w:t>
      </w:r>
      <w:r w:rsidR="007822A3" w:rsidRPr="00420A97">
        <w:rPr>
          <w:sz w:val="28"/>
          <w:szCs w:val="28"/>
        </w:rPr>
        <w:t xml:space="preserve">, this </w:t>
      </w:r>
      <w:r w:rsidR="004E2361" w:rsidRPr="00420A97">
        <w:rPr>
          <w:sz w:val="28"/>
          <w:szCs w:val="28"/>
        </w:rPr>
        <w:t xml:space="preserve">is </w:t>
      </w:r>
      <w:r w:rsidR="007822A3" w:rsidRPr="00420A97">
        <w:rPr>
          <w:sz w:val="28"/>
          <w:szCs w:val="28"/>
        </w:rPr>
        <w:t>misconceived. A cause of action is generally defined as a set of facts which give rise to a claim enforceable in law</w:t>
      </w:r>
      <w:r w:rsidR="004463E5" w:rsidRPr="00420A97">
        <w:rPr>
          <w:sz w:val="28"/>
          <w:szCs w:val="28"/>
        </w:rPr>
        <w:t>.</w:t>
      </w:r>
      <w:r w:rsidR="007822A3" w:rsidRPr="00420A97">
        <w:rPr>
          <w:sz w:val="28"/>
          <w:szCs w:val="28"/>
        </w:rPr>
        <w:t xml:space="preserve"> The set of facts which gave rise to her action was not the </w:t>
      </w:r>
      <w:r w:rsidR="0043092B" w:rsidRPr="00420A97">
        <w:rPr>
          <w:sz w:val="28"/>
          <w:szCs w:val="28"/>
        </w:rPr>
        <w:t>non-</w:t>
      </w:r>
      <w:r w:rsidR="007822A3" w:rsidRPr="00420A97">
        <w:rPr>
          <w:sz w:val="28"/>
          <w:szCs w:val="28"/>
        </w:rPr>
        <w:t>payme</w:t>
      </w:r>
      <w:r w:rsidR="000A6EFA" w:rsidRPr="00420A97">
        <w:rPr>
          <w:sz w:val="28"/>
          <w:szCs w:val="28"/>
        </w:rPr>
        <w:t xml:space="preserve">nt of R6 329 939, as contended, but her entitlement to payment in terms of the relevant trust deed. </w:t>
      </w:r>
      <w:r w:rsidR="007822A3" w:rsidRPr="00420A97">
        <w:rPr>
          <w:sz w:val="28"/>
          <w:szCs w:val="28"/>
        </w:rPr>
        <w:t xml:space="preserve">It is common cause that the incorrect trust deed was relied on in the particulars of claim. She therefore verified a defective cause of action. Given the errors contained on the particulars of claim, Ms Deans was neither able to correctly verify the cause of action nor the facts </w:t>
      </w:r>
      <w:r w:rsidR="003B23E3" w:rsidRPr="00420A97">
        <w:rPr>
          <w:sz w:val="28"/>
          <w:szCs w:val="28"/>
        </w:rPr>
        <w:t>up</w:t>
      </w:r>
      <w:r w:rsidR="007822A3" w:rsidRPr="00420A97">
        <w:rPr>
          <w:sz w:val="28"/>
          <w:szCs w:val="28"/>
        </w:rPr>
        <w:t xml:space="preserve">on which she relied. </w:t>
      </w:r>
    </w:p>
    <w:p w14:paraId="79C523E6" w14:textId="77777777" w:rsidR="00EE0C04" w:rsidRPr="00420A97" w:rsidRDefault="00EE0C04" w:rsidP="004463E5">
      <w:pPr>
        <w:spacing w:line="360" w:lineRule="auto"/>
        <w:rPr>
          <w:sz w:val="28"/>
          <w:szCs w:val="28"/>
        </w:rPr>
      </w:pPr>
    </w:p>
    <w:p w14:paraId="1AFF385A" w14:textId="1CEAB1C6" w:rsidR="001E2927" w:rsidRPr="00420A97" w:rsidRDefault="004F66A4" w:rsidP="004F66A4">
      <w:pPr>
        <w:spacing w:line="360" w:lineRule="auto"/>
        <w:jc w:val="both"/>
        <w:rPr>
          <w:sz w:val="28"/>
          <w:szCs w:val="28"/>
        </w:rPr>
      </w:pPr>
      <w:r w:rsidRPr="00420A97">
        <w:rPr>
          <w:sz w:val="28"/>
          <w:szCs w:val="28"/>
        </w:rPr>
        <w:t>[23]</w:t>
      </w:r>
      <w:r w:rsidRPr="00420A97">
        <w:rPr>
          <w:sz w:val="28"/>
          <w:szCs w:val="28"/>
        </w:rPr>
        <w:tab/>
      </w:r>
      <w:r w:rsidR="00EE0C04" w:rsidRPr="00420A97">
        <w:rPr>
          <w:sz w:val="28"/>
          <w:szCs w:val="28"/>
        </w:rPr>
        <w:t xml:space="preserve">It was also contended </w:t>
      </w:r>
      <w:r w:rsidR="004E2361" w:rsidRPr="00420A97">
        <w:rPr>
          <w:sz w:val="28"/>
          <w:szCs w:val="28"/>
        </w:rPr>
        <w:t xml:space="preserve">on behalf of Ms Deans </w:t>
      </w:r>
      <w:r w:rsidR="00EE0C04" w:rsidRPr="00420A97">
        <w:rPr>
          <w:sz w:val="28"/>
          <w:szCs w:val="28"/>
        </w:rPr>
        <w:t>that the trustees were not obliged to rely on the amended trust deed</w:t>
      </w:r>
      <w:r w:rsidR="00E33EF3" w:rsidRPr="00420A97">
        <w:rPr>
          <w:sz w:val="28"/>
          <w:szCs w:val="28"/>
        </w:rPr>
        <w:t>,</w:t>
      </w:r>
      <w:r w:rsidR="00EE0C04" w:rsidRPr="00420A97">
        <w:rPr>
          <w:sz w:val="28"/>
          <w:szCs w:val="28"/>
        </w:rPr>
        <w:t xml:space="preserve"> merely because it had been</w:t>
      </w:r>
      <w:r w:rsidR="004E2361" w:rsidRPr="00420A97">
        <w:rPr>
          <w:sz w:val="28"/>
          <w:szCs w:val="28"/>
        </w:rPr>
        <w:t xml:space="preserve"> incorrectly pleaded by her</w:t>
      </w:r>
      <w:r w:rsidR="00EE0C04" w:rsidRPr="00420A97">
        <w:rPr>
          <w:sz w:val="28"/>
          <w:szCs w:val="28"/>
        </w:rPr>
        <w:t>. Instead</w:t>
      </w:r>
      <w:r w:rsidR="00E33EF3" w:rsidRPr="00420A97">
        <w:rPr>
          <w:sz w:val="28"/>
          <w:szCs w:val="28"/>
        </w:rPr>
        <w:t>,</w:t>
      </w:r>
      <w:r w:rsidR="00EE0C04" w:rsidRPr="00420A97">
        <w:rPr>
          <w:sz w:val="28"/>
          <w:szCs w:val="28"/>
        </w:rPr>
        <w:t xml:space="preserve"> they knew very well that Ms Deans placed reliance on the 2017 financials of the Trust and these were peculiarly in their knowledge. Because both parties finally argued the summary judgment application on the basis that clause 15 of the original trust deed was ap</w:t>
      </w:r>
      <w:r w:rsidR="003B23E3" w:rsidRPr="00420A97">
        <w:rPr>
          <w:sz w:val="28"/>
          <w:szCs w:val="28"/>
        </w:rPr>
        <w:t>plicable, it was suggested that</w:t>
      </w:r>
      <w:r w:rsidR="00EE0C04" w:rsidRPr="00420A97">
        <w:rPr>
          <w:sz w:val="28"/>
          <w:szCs w:val="28"/>
        </w:rPr>
        <w:t xml:space="preserve"> her non-compliance </w:t>
      </w:r>
      <w:r w:rsidR="007822A3" w:rsidRPr="00420A97">
        <w:rPr>
          <w:sz w:val="28"/>
          <w:szCs w:val="28"/>
        </w:rPr>
        <w:t xml:space="preserve">with </w:t>
      </w:r>
      <w:r w:rsidR="00685D3F" w:rsidRPr="00420A97">
        <w:rPr>
          <w:sz w:val="28"/>
          <w:szCs w:val="28"/>
        </w:rPr>
        <w:t>r</w:t>
      </w:r>
      <w:r w:rsidR="007822A3" w:rsidRPr="00420A97">
        <w:rPr>
          <w:sz w:val="28"/>
          <w:szCs w:val="28"/>
        </w:rPr>
        <w:t>ule 32(2)</w:t>
      </w:r>
      <w:r w:rsidR="007822A3" w:rsidRPr="00420A97">
        <w:rPr>
          <w:i/>
          <w:sz w:val="28"/>
          <w:szCs w:val="28"/>
        </w:rPr>
        <w:t>(b)</w:t>
      </w:r>
      <w:r w:rsidR="00EE0C04" w:rsidRPr="00420A97">
        <w:rPr>
          <w:i/>
          <w:sz w:val="28"/>
          <w:szCs w:val="28"/>
        </w:rPr>
        <w:t xml:space="preserve"> </w:t>
      </w:r>
      <w:r w:rsidR="00EE0C04" w:rsidRPr="00420A97">
        <w:rPr>
          <w:sz w:val="28"/>
          <w:szCs w:val="28"/>
        </w:rPr>
        <w:t>should be overlooked</w:t>
      </w:r>
      <w:r w:rsidR="007822A3" w:rsidRPr="00420A97">
        <w:rPr>
          <w:sz w:val="28"/>
          <w:szCs w:val="28"/>
        </w:rPr>
        <w:t>.</w:t>
      </w:r>
      <w:r w:rsidR="00353FB9" w:rsidRPr="00420A97">
        <w:rPr>
          <w:sz w:val="28"/>
          <w:szCs w:val="28"/>
        </w:rPr>
        <w:t xml:space="preserve"> </w:t>
      </w:r>
      <w:r w:rsidR="00EE0C04" w:rsidRPr="00420A97">
        <w:rPr>
          <w:sz w:val="28"/>
          <w:szCs w:val="28"/>
        </w:rPr>
        <w:t>This submission</w:t>
      </w:r>
      <w:r w:rsidR="004E2361" w:rsidRPr="00420A97">
        <w:rPr>
          <w:sz w:val="28"/>
          <w:szCs w:val="28"/>
        </w:rPr>
        <w:t>,</w:t>
      </w:r>
      <w:r w:rsidR="00EE0C04" w:rsidRPr="00420A97">
        <w:rPr>
          <w:sz w:val="28"/>
          <w:szCs w:val="28"/>
        </w:rPr>
        <w:t xml:space="preserve"> too</w:t>
      </w:r>
      <w:r w:rsidR="004E2361" w:rsidRPr="00420A97">
        <w:rPr>
          <w:sz w:val="28"/>
          <w:szCs w:val="28"/>
        </w:rPr>
        <w:t>,</w:t>
      </w:r>
      <w:r w:rsidR="00EE0C04" w:rsidRPr="00420A97">
        <w:rPr>
          <w:sz w:val="28"/>
          <w:szCs w:val="28"/>
        </w:rPr>
        <w:t xml:space="preserve"> does not bear scrutiny. </w:t>
      </w:r>
      <w:r w:rsidR="007822A3" w:rsidRPr="00420A97">
        <w:rPr>
          <w:sz w:val="28"/>
          <w:szCs w:val="28"/>
        </w:rPr>
        <w:t>It matters not whether the correct cause of action was argued by both parties at the hearing.</w:t>
      </w:r>
    </w:p>
    <w:p w14:paraId="55C63084" w14:textId="77777777" w:rsidR="00373363" w:rsidRPr="00420A97" w:rsidRDefault="00373363" w:rsidP="00373363">
      <w:pPr>
        <w:rPr>
          <w:sz w:val="28"/>
          <w:szCs w:val="28"/>
        </w:rPr>
      </w:pPr>
    </w:p>
    <w:p w14:paraId="1445D341" w14:textId="564E8254" w:rsidR="00373363" w:rsidRPr="00420A97" w:rsidRDefault="004F66A4" w:rsidP="004F66A4">
      <w:pPr>
        <w:spacing w:line="360" w:lineRule="auto"/>
        <w:jc w:val="both"/>
        <w:rPr>
          <w:sz w:val="28"/>
          <w:szCs w:val="28"/>
        </w:rPr>
      </w:pPr>
      <w:r w:rsidRPr="00420A97">
        <w:rPr>
          <w:sz w:val="28"/>
          <w:szCs w:val="28"/>
        </w:rPr>
        <w:lastRenderedPageBreak/>
        <w:t>[24]</w:t>
      </w:r>
      <w:r w:rsidRPr="00420A97">
        <w:rPr>
          <w:sz w:val="28"/>
          <w:szCs w:val="28"/>
        </w:rPr>
        <w:tab/>
      </w:r>
      <w:r w:rsidR="00373363" w:rsidRPr="00420A97">
        <w:rPr>
          <w:sz w:val="28"/>
          <w:szCs w:val="28"/>
        </w:rPr>
        <w:t xml:space="preserve">In </w:t>
      </w:r>
      <w:r w:rsidR="00373363" w:rsidRPr="00420A97">
        <w:rPr>
          <w:i/>
          <w:sz w:val="28"/>
          <w:szCs w:val="28"/>
        </w:rPr>
        <w:t xml:space="preserve">Standard Bank of South Africa Ltd v Roestof </w:t>
      </w:r>
      <w:r w:rsidR="00373363" w:rsidRPr="00420A97">
        <w:rPr>
          <w:sz w:val="28"/>
          <w:szCs w:val="28"/>
        </w:rPr>
        <w:t>(</w:t>
      </w:r>
      <w:r w:rsidR="00373363" w:rsidRPr="00420A97">
        <w:rPr>
          <w:i/>
          <w:sz w:val="28"/>
          <w:szCs w:val="28"/>
        </w:rPr>
        <w:t>Roestof</w:t>
      </w:r>
      <w:r w:rsidR="00373363" w:rsidRPr="00420A97">
        <w:rPr>
          <w:sz w:val="28"/>
          <w:szCs w:val="28"/>
        </w:rPr>
        <w:t>),</w:t>
      </w:r>
      <w:r w:rsidR="00373363" w:rsidRPr="00420A97">
        <w:rPr>
          <w:sz w:val="28"/>
          <w:szCs w:val="28"/>
          <w:vertAlign w:val="superscript"/>
        </w:rPr>
        <w:footnoteReference w:id="3"/>
      </w:r>
      <w:r w:rsidR="00373363" w:rsidRPr="00420A97">
        <w:rPr>
          <w:sz w:val="28"/>
          <w:szCs w:val="28"/>
        </w:rPr>
        <w:t xml:space="preserve"> it was held that a technical defect due to some obvious and manifest error which causes no prejudice to the defendants, can be overlooked.</w:t>
      </w:r>
      <w:r w:rsidR="00373363" w:rsidRPr="00420A97">
        <w:rPr>
          <w:sz w:val="28"/>
          <w:szCs w:val="28"/>
          <w:vertAlign w:val="superscript"/>
        </w:rPr>
        <w:footnoteReference w:id="4"/>
      </w:r>
      <w:r w:rsidR="00373363" w:rsidRPr="00420A97">
        <w:rPr>
          <w:sz w:val="28"/>
          <w:szCs w:val="28"/>
        </w:rPr>
        <w:t xml:space="preserve"> Wallis J did not follow this decision in </w:t>
      </w:r>
      <w:r w:rsidR="00373363" w:rsidRPr="00420A97">
        <w:rPr>
          <w:i/>
          <w:iCs/>
          <w:sz w:val="28"/>
          <w:szCs w:val="28"/>
        </w:rPr>
        <w:t xml:space="preserve">Shackleton Credit Management (Pty) Ltd v Microzone Trading 88 CC and Another </w:t>
      </w:r>
      <w:r w:rsidR="00373363" w:rsidRPr="00420A97">
        <w:rPr>
          <w:iCs/>
          <w:sz w:val="28"/>
          <w:szCs w:val="28"/>
        </w:rPr>
        <w:t>(</w:t>
      </w:r>
      <w:r w:rsidR="00373363" w:rsidRPr="00420A97">
        <w:rPr>
          <w:i/>
          <w:iCs/>
          <w:sz w:val="28"/>
          <w:szCs w:val="28"/>
        </w:rPr>
        <w:t>Shackleton</w:t>
      </w:r>
      <w:r w:rsidR="00373363" w:rsidRPr="00420A97">
        <w:rPr>
          <w:iCs/>
          <w:sz w:val="28"/>
          <w:szCs w:val="28"/>
        </w:rPr>
        <w:t>).</w:t>
      </w:r>
      <w:r w:rsidR="00373363" w:rsidRPr="00420A97">
        <w:rPr>
          <w:sz w:val="28"/>
          <w:szCs w:val="28"/>
          <w:vertAlign w:val="superscript"/>
        </w:rPr>
        <w:footnoteReference w:id="5"/>
      </w:r>
      <w:r w:rsidR="00373363" w:rsidRPr="00420A97">
        <w:rPr>
          <w:sz w:val="28"/>
          <w:szCs w:val="28"/>
        </w:rPr>
        <w:t xml:space="preserve"> Also dealing with the old rule 32(2), he stated that the suggestion that a defective summary judgment application could be cured if the defence dealt with the merits of the claim, was incorrect. The fact that a defence has been set out and argued, does not cure the defect in the particulars of claim or the summary judgment application. </w:t>
      </w:r>
      <w:r w:rsidR="00373363" w:rsidRPr="00420A97">
        <w:rPr>
          <w:iCs/>
          <w:sz w:val="28"/>
          <w:szCs w:val="28"/>
        </w:rPr>
        <w:t>S</w:t>
      </w:r>
      <w:r w:rsidR="00373363" w:rsidRPr="00420A97">
        <w:rPr>
          <w:sz w:val="28"/>
          <w:szCs w:val="28"/>
        </w:rPr>
        <w:t xml:space="preserve">uch a view, </w:t>
      </w:r>
      <w:r w:rsidR="00373363" w:rsidRPr="00420A97">
        <w:rPr>
          <w:iCs/>
          <w:sz w:val="28"/>
          <w:szCs w:val="28"/>
        </w:rPr>
        <w:t xml:space="preserve">he stated, </w:t>
      </w:r>
      <w:r w:rsidR="00373363" w:rsidRPr="00420A97">
        <w:rPr>
          <w:sz w:val="28"/>
          <w:szCs w:val="28"/>
        </w:rPr>
        <w:t>would amount to saying that defects would be overlooked if the defence deals with the merits of the claim. This was not tenable.</w:t>
      </w:r>
    </w:p>
    <w:p w14:paraId="4C2189AB" w14:textId="77777777" w:rsidR="001E2927" w:rsidRPr="00420A97" w:rsidRDefault="001E2927" w:rsidP="00FC37E1">
      <w:pPr>
        <w:spacing w:line="360" w:lineRule="auto"/>
        <w:jc w:val="both"/>
        <w:rPr>
          <w:sz w:val="28"/>
          <w:szCs w:val="28"/>
        </w:rPr>
      </w:pPr>
    </w:p>
    <w:p w14:paraId="13718885" w14:textId="133AEACD" w:rsidR="003B23E3" w:rsidRPr="00420A97" w:rsidRDefault="004F66A4" w:rsidP="004F66A4">
      <w:pPr>
        <w:spacing w:line="360" w:lineRule="auto"/>
        <w:jc w:val="both"/>
        <w:rPr>
          <w:sz w:val="28"/>
          <w:szCs w:val="28"/>
        </w:rPr>
      </w:pPr>
      <w:r w:rsidRPr="00420A97">
        <w:rPr>
          <w:sz w:val="28"/>
          <w:szCs w:val="28"/>
        </w:rPr>
        <w:t>[25]</w:t>
      </w:r>
      <w:r w:rsidRPr="00420A97">
        <w:rPr>
          <w:sz w:val="28"/>
          <w:szCs w:val="28"/>
        </w:rPr>
        <w:tab/>
      </w:r>
      <w:r w:rsidR="00FE6BA3" w:rsidRPr="00420A97">
        <w:rPr>
          <w:sz w:val="28"/>
          <w:szCs w:val="28"/>
        </w:rPr>
        <w:t>P</w:t>
      </w:r>
      <w:r w:rsidR="003B23E3" w:rsidRPr="00420A97">
        <w:rPr>
          <w:sz w:val="28"/>
          <w:szCs w:val="28"/>
        </w:rPr>
        <w:t xml:space="preserve">aragraph </w:t>
      </w:r>
      <w:r w:rsidR="00FE6BA3" w:rsidRPr="00420A97">
        <w:rPr>
          <w:sz w:val="28"/>
          <w:szCs w:val="28"/>
        </w:rPr>
        <w:t xml:space="preserve">25 of </w:t>
      </w:r>
      <w:r w:rsidR="00FE6BA3" w:rsidRPr="00420A97">
        <w:rPr>
          <w:i/>
          <w:iCs/>
          <w:sz w:val="28"/>
          <w:szCs w:val="28"/>
        </w:rPr>
        <w:t xml:space="preserve">Shackleton </w:t>
      </w:r>
      <w:r w:rsidR="00FE6BA3" w:rsidRPr="00420A97">
        <w:rPr>
          <w:sz w:val="28"/>
          <w:szCs w:val="28"/>
        </w:rPr>
        <w:t xml:space="preserve">sets out why the approach in </w:t>
      </w:r>
      <w:r w:rsidR="00FE6BA3" w:rsidRPr="00420A97">
        <w:rPr>
          <w:i/>
          <w:sz w:val="28"/>
          <w:szCs w:val="28"/>
        </w:rPr>
        <w:t xml:space="preserve">Roestof </w:t>
      </w:r>
      <w:r w:rsidR="00FE6BA3" w:rsidRPr="00420A97">
        <w:rPr>
          <w:sz w:val="28"/>
          <w:szCs w:val="28"/>
        </w:rPr>
        <w:t>should not be adopted:</w:t>
      </w:r>
    </w:p>
    <w:p w14:paraId="058F0201" w14:textId="77777777" w:rsidR="0090692D" w:rsidRPr="00420A97" w:rsidRDefault="0090692D" w:rsidP="0090692D">
      <w:pPr>
        <w:pStyle w:val="ListParagraph"/>
        <w:tabs>
          <w:tab w:val="left" w:pos="0"/>
        </w:tabs>
        <w:spacing w:line="360" w:lineRule="auto"/>
        <w:ind w:left="0"/>
        <w:jc w:val="both"/>
        <w:rPr>
          <w:lang w:eastAsia="en-GB"/>
        </w:rPr>
      </w:pPr>
      <w:r w:rsidRPr="00420A97">
        <w:rPr>
          <w:sz w:val="28"/>
          <w:lang w:val="en-ZA"/>
        </w:rPr>
        <w:t>‘</w:t>
      </w:r>
      <w:r w:rsidRPr="00420A97">
        <w:rPr>
          <w:lang w:val="en-ZA"/>
        </w:rPr>
        <w:t xml:space="preserve">Insofar as the learned judge suggested that a defective application can be cured because the defendant or defendants have dealt in detail with their defence to the claim set out in the summons that is not in my view correct. That amounts to saying that defects will be overlooked if the defendant deals with the merits of the defence. It requires a defendant who wishes to contend that the application is defective to confine themselves to raising that point with the concomitant risk that if the technical point is rejected they have not dealt with the merits. It will be a bold defendant that limits an opposing affidavit in summary judgment proceedings to technical matters when they believe that they have a good defence on the merits. The fact that they set out that defence does not cure the defects in the application and to permit an absence of prejudice to the defendant to provide grounds for </w:t>
      </w:r>
      <w:r w:rsidRPr="00420A97">
        <w:rPr>
          <w:lang w:val="en-ZA"/>
        </w:rPr>
        <w:lastRenderedPageBreak/>
        <w:t xml:space="preserve">overlooking defects in the application itself seems to me unsound in principle. The proper starting point is the application. If it is defective then </w:t>
      </w:r>
      <w:r w:rsidRPr="00420A97">
        <w:rPr>
          <w:i/>
          <w:lang w:val="en-ZA"/>
        </w:rPr>
        <w:t xml:space="preserve">cadit quaestio. </w:t>
      </w:r>
      <w:r w:rsidRPr="00420A97">
        <w:rPr>
          <w:lang w:val="en-ZA"/>
        </w:rPr>
        <w:t>Its defects do not disappear because the respondent deals with the merits of the claim set out in the summons.’</w:t>
      </w:r>
    </w:p>
    <w:p w14:paraId="5A4C8FDE" w14:textId="77777777" w:rsidR="00144AA4" w:rsidRPr="00420A97" w:rsidRDefault="00144AA4" w:rsidP="00FD2F81">
      <w:pPr>
        <w:spacing w:line="360" w:lineRule="auto"/>
        <w:jc w:val="both"/>
        <w:rPr>
          <w:sz w:val="28"/>
          <w:szCs w:val="28"/>
        </w:rPr>
      </w:pPr>
    </w:p>
    <w:p w14:paraId="463817A2" w14:textId="747A4F23" w:rsidR="00144AA4" w:rsidRPr="00420A97" w:rsidRDefault="004F66A4" w:rsidP="004F66A4">
      <w:pPr>
        <w:spacing w:line="360" w:lineRule="auto"/>
        <w:jc w:val="both"/>
        <w:rPr>
          <w:sz w:val="28"/>
          <w:szCs w:val="28"/>
        </w:rPr>
      </w:pPr>
      <w:r w:rsidRPr="00420A97">
        <w:rPr>
          <w:sz w:val="28"/>
          <w:szCs w:val="28"/>
        </w:rPr>
        <w:t>[26]</w:t>
      </w:r>
      <w:r w:rsidRPr="00420A97">
        <w:rPr>
          <w:sz w:val="28"/>
          <w:szCs w:val="28"/>
        </w:rPr>
        <w:tab/>
      </w:r>
      <w:r w:rsidR="00144AA4" w:rsidRPr="00420A97">
        <w:rPr>
          <w:sz w:val="28"/>
          <w:szCs w:val="28"/>
        </w:rPr>
        <w:t xml:space="preserve">It is noteworthy that the </w:t>
      </w:r>
      <w:r w:rsidR="00144AA4" w:rsidRPr="00420A97">
        <w:rPr>
          <w:iCs/>
          <w:sz w:val="28"/>
          <w:szCs w:val="28"/>
        </w:rPr>
        <w:t xml:space="preserve">learned authors in Erasmus Superior Court Practice preferred the </w:t>
      </w:r>
      <w:r w:rsidR="00144AA4" w:rsidRPr="00420A97">
        <w:rPr>
          <w:i/>
          <w:iCs/>
          <w:sz w:val="28"/>
          <w:szCs w:val="28"/>
        </w:rPr>
        <w:t xml:space="preserve">Shackleton </w:t>
      </w:r>
      <w:r w:rsidR="00144AA4" w:rsidRPr="00420A97">
        <w:rPr>
          <w:iCs/>
          <w:sz w:val="28"/>
          <w:szCs w:val="28"/>
        </w:rPr>
        <w:t xml:space="preserve">decision over the </w:t>
      </w:r>
      <w:r w:rsidR="00144AA4" w:rsidRPr="00420A97">
        <w:rPr>
          <w:i/>
          <w:iCs/>
          <w:sz w:val="28"/>
          <w:szCs w:val="28"/>
        </w:rPr>
        <w:t>Roesetof</w:t>
      </w:r>
      <w:r w:rsidR="00144AA4" w:rsidRPr="00420A97">
        <w:rPr>
          <w:iCs/>
          <w:sz w:val="28"/>
          <w:szCs w:val="28"/>
        </w:rPr>
        <w:t xml:space="preserve"> decision. They suggested that the principles in </w:t>
      </w:r>
      <w:r w:rsidR="00144AA4" w:rsidRPr="00420A97">
        <w:rPr>
          <w:i/>
          <w:iCs/>
          <w:sz w:val="28"/>
          <w:szCs w:val="28"/>
        </w:rPr>
        <w:t>Shackleton</w:t>
      </w:r>
      <w:r w:rsidR="00144AA4" w:rsidRPr="00420A97">
        <w:rPr>
          <w:iCs/>
          <w:sz w:val="28"/>
          <w:szCs w:val="28"/>
        </w:rPr>
        <w:t xml:space="preserve"> should be applied when dealing with the amended </w:t>
      </w:r>
      <w:r w:rsidR="00B20292" w:rsidRPr="00420A97">
        <w:rPr>
          <w:iCs/>
          <w:sz w:val="28"/>
          <w:szCs w:val="28"/>
        </w:rPr>
        <w:t>r</w:t>
      </w:r>
      <w:r w:rsidR="00144AA4" w:rsidRPr="00420A97">
        <w:rPr>
          <w:iCs/>
          <w:sz w:val="28"/>
          <w:szCs w:val="28"/>
        </w:rPr>
        <w:t>ule 32(2)</w:t>
      </w:r>
      <w:r w:rsidR="00144AA4" w:rsidRPr="00420A97">
        <w:rPr>
          <w:i/>
          <w:iCs/>
          <w:sz w:val="28"/>
          <w:szCs w:val="28"/>
        </w:rPr>
        <w:t>(b)</w:t>
      </w:r>
      <w:r w:rsidR="00144AA4" w:rsidRPr="00420A97">
        <w:rPr>
          <w:iCs/>
          <w:sz w:val="28"/>
          <w:szCs w:val="28"/>
        </w:rPr>
        <w:t>.</w:t>
      </w:r>
      <w:r w:rsidR="00144AA4" w:rsidRPr="00420A97">
        <w:rPr>
          <w:rStyle w:val="FootnoteReference"/>
          <w:iCs/>
          <w:sz w:val="28"/>
          <w:szCs w:val="28"/>
        </w:rPr>
        <w:footnoteReference w:id="6"/>
      </w:r>
      <w:r w:rsidR="00144AA4" w:rsidRPr="00420A97">
        <w:rPr>
          <w:iCs/>
          <w:sz w:val="28"/>
          <w:szCs w:val="28"/>
        </w:rPr>
        <w:t xml:space="preserve"> </w:t>
      </w:r>
    </w:p>
    <w:p w14:paraId="70EF6F7A" w14:textId="77777777" w:rsidR="00144AA4" w:rsidRPr="00420A97" w:rsidRDefault="00144AA4" w:rsidP="00FD2F81">
      <w:pPr>
        <w:spacing w:line="360" w:lineRule="auto"/>
        <w:jc w:val="both"/>
        <w:rPr>
          <w:sz w:val="28"/>
          <w:szCs w:val="28"/>
        </w:rPr>
      </w:pPr>
    </w:p>
    <w:p w14:paraId="2C947C0E" w14:textId="0FFCE8C4" w:rsidR="004A2F92" w:rsidRPr="00420A97" w:rsidRDefault="004F66A4" w:rsidP="004F66A4">
      <w:pPr>
        <w:spacing w:line="360" w:lineRule="auto"/>
        <w:jc w:val="both"/>
        <w:rPr>
          <w:sz w:val="28"/>
          <w:szCs w:val="28"/>
        </w:rPr>
      </w:pPr>
      <w:r w:rsidRPr="00420A97">
        <w:rPr>
          <w:sz w:val="28"/>
          <w:szCs w:val="28"/>
        </w:rPr>
        <w:t>[27]</w:t>
      </w:r>
      <w:r w:rsidRPr="00420A97">
        <w:rPr>
          <w:sz w:val="28"/>
          <w:szCs w:val="28"/>
        </w:rPr>
        <w:tab/>
      </w:r>
      <w:r w:rsidR="004A2F92" w:rsidRPr="00420A97">
        <w:rPr>
          <w:sz w:val="28"/>
          <w:szCs w:val="28"/>
        </w:rPr>
        <w:t>In the present matter</w:t>
      </w:r>
      <w:r w:rsidR="00865154" w:rsidRPr="00420A97">
        <w:rPr>
          <w:sz w:val="28"/>
          <w:szCs w:val="28"/>
        </w:rPr>
        <w:t>,</w:t>
      </w:r>
      <w:r w:rsidR="004A2F92" w:rsidRPr="00420A97">
        <w:rPr>
          <w:sz w:val="28"/>
          <w:szCs w:val="28"/>
        </w:rPr>
        <w:t xml:space="preserve"> it is immaterial whether one follows the </w:t>
      </w:r>
      <w:r w:rsidR="004A2F92" w:rsidRPr="00420A97">
        <w:rPr>
          <w:i/>
          <w:sz w:val="28"/>
          <w:szCs w:val="28"/>
        </w:rPr>
        <w:t>Roestoff</w:t>
      </w:r>
      <w:r w:rsidR="004E2361" w:rsidRPr="00420A97">
        <w:rPr>
          <w:sz w:val="28"/>
          <w:szCs w:val="28"/>
        </w:rPr>
        <w:t xml:space="preserve"> </w:t>
      </w:r>
      <w:r w:rsidR="004A2F92" w:rsidRPr="00420A97">
        <w:rPr>
          <w:sz w:val="28"/>
          <w:szCs w:val="28"/>
        </w:rPr>
        <w:t xml:space="preserve">or the </w:t>
      </w:r>
      <w:r w:rsidR="004A2F92" w:rsidRPr="00420A97">
        <w:rPr>
          <w:i/>
          <w:iCs/>
          <w:sz w:val="28"/>
          <w:szCs w:val="28"/>
        </w:rPr>
        <w:t>Shackleton</w:t>
      </w:r>
      <w:r w:rsidR="004A2F92" w:rsidRPr="00420A97">
        <w:rPr>
          <w:sz w:val="28"/>
          <w:szCs w:val="28"/>
        </w:rPr>
        <w:t xml:space="preserve"> approach. The defect in the particulars of claim is not merely some technical defect. The reliance on the incorrect trust deed</w:t>
      </w:r>
      <w:r w:rsidR="004E2361" w:rsidRPr="00420A97">
        <w:rPr>
          <w:sz w:val="28"/>
          <w:szCs w:val="28"/>
        </w:rPr>
        <w:t>,</w:t>
      </w:r>
      <w:r w:rsidR="004A2F92" w:rsidRPr="00420A97">
        <w:rPr>
          <w:sz w:val="28"/>
          <w:szCs w:val="28"/>
        </w:rPr>
        <w:t xml:space="preserve"> and therefore on </w:t>
      </w:r>
      <w:r w:rsidR="008C15C7">
        <w:rPr>
          <w:sz w:val="28"/>
          <w:szCs w:val="28"/>
        </w:rPr>
        <w:t xml:space="preserve">the </w:t>
      </w:r>
      <w:r w:rsidR="004A2F92" w:rsidRPr="00420A97">
        <w:rPr>
          <w:sz w:val="28"/>
          <w:szCs w:val="28"/>
        </w:rPr>
        <w:t>incorrect clauses, goes to the heart of Ms Deans’ claim. There is no evidence that the trustees were aware of this defect in the particulars of claim until the day of the hearing. But even if they had been, it was not incumbent on them to ‘interact</w:t>
      </w:r>
      <w:r w:rsidR="004A2686" w:rsidRPr="00420A97">
        <w:rPr>
          <w:sz w:val="28"/>
          <w:szCs w:val="28"/>
        </w:rPr>
        <w:t>’ with Ms Deans in this regard, as found by the high court</w:t>
      </w:r>
      <w:r w:rsidR="004A2F92" w:rsidRPr="00420A97">
        <w:rPr>
          <w:sz w:val="28"/>
          <w:szCs w:val="28"/>
        </w:rPr>
        <w:t xml:space="preserve">. Nor does it assist Ms Deans that both parties may have argued on the basis that clause 15 of the </w:t>
      </w:r>
      <w:r w:rsidR="004D0DDC" w:rsidRPr="00420A97">
        <w:rPr>
          <w:sz w:val="28"/>
          <w:szCs w:val="28"/>
        </w:rPr>
        <w:t>original</w:t>
      </w:r>
      <w:r w:rsidR="004A2F92" w:rsidRPr="00420A97">
        <w:rPr>
          <w:sz w:val="28"/>
          <w:szCs w:val="28"/>
        </w:rPr>
        <w:t xml:space="preserve"> trust deed was applicable. This was not the case that </w:t>
      </w:r>
      <w:r w:rsidR="004D0DDC" w:rsidRPr="00420A97">
        <w:rPr>
          <w:sz w:val="28"/>
          <w:szCs w:val="28"/>
        </w:rPr>
        <w:t xml:space="preserve">the </w:t>
      </w:r>
      <w:r w:rsidR="004A2F92" w:rsidRPr="00420A97">
        <w:rPr>
          <w:sz w:val="28"/>
          <w:szCs w:val="28"/>
        </w:rPr>
        <w:t>trustees came to court to meet.</w:t>
      </w:r>
    </w:p>
    <w:p w14:paraId="5767EBBE" w14:textId="77777777" w:rsidR="00050B9C" w:rsidRPr="00420A97" w:rsidRDefault="00050B9C" w:rsidP="004D0DDC">
      <w:pPr>
        <w:spacing w:line="360" w:lineRule="auto"/>
        <w:jc w:val="both"/>
        <w:rPr>
          <w:sz w:val="28"/>
          <w:szCs w:val="28"/>
        </w:rPr>
      </w:pPr>
    </w:p>
    <w:p w14:paraId="48CBBCE0" w14:textId="19ACA9DB" w:rsidR="004E2361" w:rsidRPr="00420A97" w:rsidRDefault="004F66A4" w:rsidP="004F66A4">
      <w:pPr>
        <w:spacing w:line="360" w:lineRule="auto"/>
        <w:jc w:val="both"/>
        <w:rPr>
          <w:sz w:val="28"/>
          <w:szCs w:val="28"/>
        </w:rPr>
      </w:pPr>
      <w:r w:rsidRPr="00420A97">
        <w:rPr>
          <w:sz w:val="28"/>
          <w:szCs w:val="28"/>
        </w:rPr>
        <w:t>[28]</w:t>
      </w:r>
      <w:r w:rsidRPr="00420A97">
        <w:rPr>
          <w:sz w:val="28"/>
          <w:szCs w:val="28"/>
        </w:rPr>
        <w:tab/>
      </w:r>
      <w:r w:rsidR="00144AA4" w:rsidRPr="00420A97">
        <w:rPr>
          <w:sz w:val="28"/>
          <w:szCs w:val="28"/>
        </w:rPr>
        <w:t xml:space="preserve">I am not convinced </w:t>
      </w:r>
      <w:r w:rsidR="002278C6" w:rsidRPr="00420A97">
        <w:rPr>
          <w:sz w:val="28"/>
          <w:szCs w:val="28"/>
        </w:rPr>
        <w:t xml:space="preserve">on the facts of this matter </w:t>
      </w:r>
      <w:r w:rsidR="00144AA4" w:rsidRPr="00420A97">
        <w:rPr>
          <w:sz w:val="28"/>
          <w:szCs w:val="28"/>
        </w:rPr>
        <w:t>t</w:t>
      </w:r>
      <w:r w:rsidR="00211BA4" w:rsidRPr="00420A97">
        <w:rPr>
          <w:sz w:val="28"/>
          <w:szCs w:val="28"/>
        </w:rPr>
        <w:t>h</w:t>
      </w:r>
      <w:r w:rsidR="004A2F92" w:rsidRPr="00420A97">
        <w:rPr>
          <w:sz w:val="28"/>
          <w:szCs w:val="28"/>
        </w:rPr>
        <w:t xml:space="preserve">at one even has to </w:t>
      </w:r>
      <w:r w:rsidR="00211BA4" w:rsidRPr="00420A97">
        <w:rPr>
          <w:sz w:val="28"/>
          <w:szCs w:val="28"/>
        </w:rPr>
        <w:t>determin</w:t>
      </w:r>
      <w:r w:rsidR="002278C6" w:rsidRPr="00420A97">
        <w:rPr>
          <w:sz w:val="28"/>
          <w:szCs w:val="28"/>
        </w:rPr>
        <w:t>e</w:t>
      </w:r>
      <w:r w:rsidR="0043092B" w:rsidRPr="00420A97">
        <w:rPr>
          <w:sz w:val="28"/>
          <w:szCs w:val="28"/>
        </w:rPr>
        <w:t xml:space="preserve"> what is required to verify a cause of acti</w:t>
      </w:r>
      <w:r w:rsidR="002278C6" w:rsidRPr="00420A97">
        <w:rPr>
          <w:sz w:val="28"/>
          <w:szCs w:val="28"/>
        </w:rPr>
        <w:t xml:space="preserve">on </w:t>
      </w:r>
      <w:r w:rsidR="00C16C3A" w:rsidRPr="00420A97">
        <w:rPr>
          <w:sz w:val="28"/>
          <w:szCs w:val="28"/>
        </w:rPr>
        <w:t xml:space="preserve">under the amended </w:t>
      </w:r>
      <w:r w:rsidR="00336A4C" w:rsidRPr="00420A97">
        <w:rPr>
          <w:sz w:val="28"/>
          <w:szCs w:val="28"/>
        </w:rPr>
        <w:t>r</w:t>
      </w:r>
      <w:r w:rsidR="00C16C3A" w:rsidRPr="00420A97">
        <w:rPr>
          <w:sz w:val="28"/>
          <w:szCs w:val="28"/>
        </w:rPr>
        <w:t>ule 32</w:t>
      </w:r>
      <w:r w:rsidR="001271AE">
        <w:rPr>
          <w:sz w:val="28"/>
          <w:szCs w:val="28"/>
        </w:rPr>
        <w:t xml:space="preserve"> or what</w:t>
      </w:r>
      <w:r w:rsidR="00C16C3A" w:rsidRPr="00420A97">
        <w:rPr>
          <w:sz w:val="28"/>
          <w:szCs w:val="28"/>
        </w:rPr>
        <w:t xml:space="preserve"> </w:t>
      </w:r>
      <w:r w:rsidR="002278C6" w:rsidRPr="00420A97">
        <w:rPr>
          <w:sz w:val="28"/>
          <w:szCs w:val="28"/>
        </w:rPr>
        <w:t>should be contained</w:t>
      </w:r>
      <w:r w:rsidR="00C16C3A" w:rsidRPr="00420A97">
        <w:rPr>
          <w:sz w:val="28"/>
          <w:szCs w:val="28"/>
        </w:rPr>
        <w:t xml:space="preserve"> </w:t>
      </w:r>
      <w:r w:rsidR="0043092B" w:rsidRPr="00420A97">
        <w:rPr>
          <w:sz w:val="28"/>
          <w:szCs w:val="28"/>
        </w:rPr>
        <w:t xml:space="preserve">in the affidavits </w:t>
      </w:r>
      <w:r w:rsidR="00C16C3A" w:rsidRPr="00420A97">
        <w:rPr>
          <w:sz w:val="28"/>
          <w:szCs w:val="28"/>
        </w:rPr>
        <w:t>of a pla</w:t>
      </w:r>
      <w:r w:rsidR="00211BA4" w:rsidRPr="00420A97">
        <w:rPr>
          <w:sz w:val="28"/>
          <w:szCs w:val="28"/>
        </w:rPr>
        <w:t>intiff and a defendant</w:t>
      </w:r>
      <w:r w:rsidR="002278C6" w:rsidRPr="00420A97">
        <w:rPr>
          <w:sz w:val="28"/>
          <w:szCs w:val="28"/>
        </w:rPr>
        <w:t>, respectively</w:t>
      </w:r>
      <w:r w:rsidR="00211BA4" w:rsidRPr="00420A97">
        <w:rPr>
          <w:sz w:val="28"/>
          <w:szCs w:val="28"/>
        </w:rPr>
        <w:t xml:space="preserve">. </w:t>
      </w:r>
      <w:r w:rsidR="0043092B" w:rsidRPr="00420A97">
        <w:rPr>
          <w:sz w:val="28"/>
          <w:szCs w:val="28"/>
        </w:rPr>
        <w:t>Nor is the question whether reliance can be placed on facts not pleaded but which emerge</w:t>
      </w:r>
      <w:r w:rsidR="002278C6" w:rsidRPr="00420A97">
        <w:rPr>
          <w:sz w:val="28"/>
          <w:szCs w:val="28"/>
        </w:rPr>
        <w:t>d</w:t>
      </w:r>
      <w:r w:rsidR="0043092B" w:rsidRPr="00420A97">
        <w:rPr>
          <w:sz w:val="28"/>
          <w:szCs w:val="28"/>
        </w:rPr>
        <w:t xml:space="preserve"> during argument. </w:t>
      </w:r>
      <w:r w:rsidR="004E2361" w:rsidRPr="00420A97">
        <w:rPr>
          <w:sz w:val="28"/>
          <w:szCs w:val="28"/>
        </w:rPr>
        <w:t xml:space="preserve">Whether under the old </w:t>
      </w:r>
      <w:r w:rsidR="00336A4C" w:rsidRPr="00420A97">
        <w:rPr>
          <w:sz w:val="28"/>
          <w:szCs w:val="28"/>
        </w:rPr>
        <w:t>r</w:t>
      </w:r>
      <w:r w:rsidR="004E2361" w:rsidRPr="00420A97">
        <w:rPr>
          <w:sz w:val="28"/>
          <w:szCs w:val="28"/>
        </w:rPr>
        <w:t xml:space="preserve">ule 32 </w:t>
      </w:r>
      <w:r w:rsidR="004E2361" w:rsidRPr="00420A97">
        <w:rPr>
          <w:sz w:val="28"/>
          <w:szCs w:val="28"/>
        </w:rPr>
        <w:lastRenderedPageBreak/>
        <w:t xml:space="preserve">or the amended </w:t>
      </w:r>
      <w:r w:rsidR="00336A4C" w:rsidRPr="00420A97">
        <w:rPr>
          <w:sz w:val="28"/>
          <w:szCs w:val="28"/>
        </w:rPr>
        <w:t>r</w:t>
      </w:r>
      <w:r w:rsidR="004E2361" w:rsidRPr="00420A97">
        <w:rPr>
          <w:sz w:val="28"/>
          <w:szCs w:val="28"/>
        </w:rPr>
        <w:t>ule 32</w:t>
      </w:r>
      <w:r w:rsidR="00A9440C" w:rsidRPr="00420A97">
        <w:rPr>
          <w:sz w:val="28"/>
          <w:szCs w:val="28"/>
        </w:rPr>
        <w:t>,</w:t>
      </w:r>
      <w:r w:rsidR="004E2361" w:rsidRPr="00420A97">
        <w:rPr>
          <w:sz w:val="28"/>
          <w:szCs w:val="28"/>
        </w:rPr>
        <w:t xml:space="preserve"> what has not changed is that a defendant</w:t>
      </w:r>
      <w:r w:rsidR="002278C6" w:rsidRPr="00420A97">
        <w:rPr>
          <w:sz w:val="28"/>
          <w:szCs w:val="28"/>
        </w:rPr>
        <w:t xml:space="preserve">, to successfully oppose a summary judgment application, has </w:t>
      </w:r>
      <w:r w:rsidR="004E2361" w:rsidRPr="00420A97">
        <w:rPr>
          <w:sz w:val="28"/>
          <w:szCs w:val="28"/>
        </w:rPr>
        <w:t xml:space="preserve">to disclose a </w:t>
      </w:r>
      <w:r w:rsidR="004A2F92" w:rsidRPr="00420A97">
        <w:rPr>
          <w:i/>
          <w:sz w:val="28"/>
          <w:szCs w:val="28"/>
        </w:rPr>
        <w:t>bona</w:t>
      </w:r>
      <w:r w:rsidR="004E2361" w:rsidRPr="00420A97">
        <w:rPr>
          <w:i/>
          <w:sz w:val="28"/>
          <w:szCs w:val="28"/>
        </w:rPr>
        <w:t xml:space="preserve"> fide</w:t>
      </w:r>
      <w:r w:rsidR="004E2361" w:rsidRPr="00420A97">
        <w:rPr>
          <w:sz w:val="28"/>
          <w:szCs w:val="28"/>
        </w:rPr>
        <w:t xml:space="preserve"> defence.</w:t>
      </w:r>
    </w:p>
    <w:p w14:paraId="4B19C9F2" w14:textId="77777777" w:rsidR="004E2361" w:rsidRPr="00420A97" w:rsidRDefault="004E2361" w:rsidP="00C55485">
      <w:pPr>
        <w:spacing w:line="360" w:lineRule="auto"/>
        <w:rPr>
          <w:sz w:val="28"/>
          <w:szCs w:val="28"/>
        </w:rPr>
      </w:pPr>
    </w:p>
    <w:p w14:paraId="37652A52" w14:textId="143A3FC2" w:rsidR="00211BA4" w:rsidRPr="00420A97" w:rsidRDefault="004F66A4" w:rsidP="004F66A4">
      <w:pPr>
        <w:spacing w:line="360" w:lineRule="auto"/>
        <w:jc w:val="both"/>
        <w:rPr>
          <w:sz w:val="28"/>
          <w:szCs w:val="28"/>
        </w:rPr>
      </w:pPr>
      <w:r w:rsidRPr="00420A97">
        <w:rPr>
          <w:sz w:val="28"/>
          <w:szCs w:val="28"/>
        </w:rPr>
        <w:t>[29]</w:t>
      </w:r>
      <w:r w:rsidRPr="00420A97">
        <w:rPr>
          <w:sz w:val="28"/>
          <w:szCs w:val="28"/>
        </w:rPr>
        <w:tab/>
      </w:r>
      <w:r w:rsidR="00211BA4" w:rsidRPr="00420A97">
        <w:rPr>
          <w:sz w:val="28"/>
          <w:szCs w:val="28"/>
        </w:rPr>
        <w:t xml:space="preserve">The only decision to trace the history and reasoning behind the amended procedure for summary judgment </w:t>
      </w:r>
      <w:r w:rsidR="002278C6" w:rsidRPr="00420A97">
        <w:rPr>
          <w:sz w:val="28"/>
          <w:szCs w:val="28"/>
        </w:rPr>
        <w:t xml:space="preserve">in detail </w:t>
      </w:r>
      <w:r w:rsidR="00211BA4" w:rsidRPr="00420A97">
        <w:rPr>
          <w:sz w:val="28"/>
          <w:szCs w:val="28"/>
        </w:rPr>
        <w:t xml:space="preserve">is </w:t>
      </w:r>
      <w:r w:rsidR="00211BA4" w:rsidRPr="00420A97">
        <w:rPr>
          <w:i/>
          <w:sz w:val="28"/>
          <w:szCs w:val="28"/>
        </w:rPr>
        <w:t>Tumileng Trading CC v National Security</w:t>
      </w:r>
      <w:r w:rsidR="00211BA4" w:rsidRPr="00420A97">
        <w:rPr>
          <w:i/>
          <w:sz w:val="20"/>
          <w:szCs w:val="20"/>
          <w:lang w:val="en-ZA"/>
        </w:rPr>
        <w:t xml:space="preserve"> </w:t>
      </w:r>
      <w:r w:rsidR="00211BA4" w:rsidRPr="00420A97">
        <w:rPr>
          <w:i/>
          <w:sz w:val="28"/>
          <w:szCs w:val="28"/>
          <w:lang w:val="en-ZA"/>
        </w:rPr>
        <w:t>and Fire</w:t>
      </w:r>
      <w:r w:rsidR="00AB47F8" w:rsidRPr="00420A97">
        <w:rPr>
          <w:sz w:val="28"/>
          <w:szCs w:val="28"/>
          <w:lang w:val="en-ZA"/>
        </w:rPr>
        <w:t xml:space="preserve"> (</w:t>
      </w:r>
      <w:r w:rsidR="00560364" w:rsidRPr="00420A97">
        <w:rPr>
          <w:i/>
          <w:sz w:val="28"/>
          <w:szCs w:val="28"/>
          <w:lang w:val="en-ZA"/>
        </w:rPr>
        <w:t>Pty) Ltd</w:t>
      </w:r>
      <w:r w:rsidR="00AB47F8" w:rsidRPr="00420A97">
        <w:rPr>
          <w:sz w:val="28"/>
          <w:szCs w:val="28"/>
          <w:lang w:val="en-ZA"/>
        </w:rPr>
        <w:t>;</w:t>
      </w:r>
      <w:r w:rsidR="00AB47F8" w:rsidRPr="00420A97">
        <w:rPr>
          <w:i/>
          <w:sz w:val="28"/>
          <w:szCs w:val="28"/>
          <w:lang w:val="en-ZA"/>
        </w:rPr>
        <w:t xml:space="preserve"> E &amp; D Security Systems CC v National Security and Fire (Pty) Ltd</w:t>
      </w:r>
      <w:r w:rsidR="00560364" w:rsidRPr="00420A97">
        <w:rPr>
          <w:i/>
          <w:sz w:val="28"/>
          <w:szCs w:val="28"/>
          <w:lang w:val="en-ZA"/>
        </w:rPr>
        <w:t xml:space="preserve"> </w:t>
      </w:r>
      <w:r w:rsidR="00560364" w:rsidRPr="00420A97">
        <w:rPr>
          <w:sz w:val="28"/>
          <w:szCs w:val="28"/>
          <w:lang w:val="en-ZA"/>
        </w:rPr>
        <w:t>(</w:t>
      </w:r>
      <w:r w:rsidR="00560364" w:rsidRPr="00420A97">
        <w:rPr>
          <w:i/>
          <w:sz w:val="28"/>
          <w:szCs w:val="28"/>
          <w:lang w:val="en-ZA"/>
        </w:rPr>
        <w:t>Tumileng</w:t>
      </w:r>
      <w:r w:rsidR="00560364" w:rsidRPr="00420A97">
        <w:rPr>
          <w:sz w:val="28"/>
          <w:szCs w:val="28"/>
          <w:lang w:val="en-ZA"/>
        </w:rPr>
        <w:t>)</w:t>
      </w:r>
      <w:r w:rsidR="00211BA4" w:rsidRPr="00420A97">
        <w:rPr>
          <w:sz w:val="28"/>
          <w:szCs w:val="28"/>
          <w:lang w:val="en-ZA"/>
        </w:rPr>
        <w:t>.</w:t>
      </w:r>
      <w:r w:rsidR="00211BA4" w:rsidRPr="00420A97">
        <w:rPr>
          <w:rStyle w:val="FootnoteReference"/>
          <w:sz w:val="28"/>
          <w:szCs w:val="28"/>
        </w:rPr>
        <w:footnoteReference w:id="7"/>
      </w:r>
      <w:r w:rsidR="00C16C3A" w:rsidRPr="00420A97">
        <w:rPr>
          <w:sz w:val="28"/>
          <w:szCs w:val="28"/>
        </w:rPr>
        <w:t xml:space="preserve"> </w:t>
      </w:r>
      <w:r w:rsidR="009A5849" w:rsidRPr="00420A97">
        <w:rPr>
          <w:sz w:val="28"/>
          <w:szCs w:val="28"/>
        </w:rPr>
        <w:t>As observed</w:t>
      </w:r>
      <w:r w:rsidR="00C16C3A" w:rsidRPr="00420A97">
        <w:rPr>
          <w:sz w:val="28"/>
          <w:szCs w:val="28"/>
        </w:rPr>
        <w:t xml:space="preserve"> by Binns-Ward </w:t>
      </w:r>
      <w:r w:rsidR="009A5849" w:rsidRPr="00420A97">
        <w:rPr>
          <w:sz w:val="28"/>
          <w:szCs w:val="28"/>
        </w:rPr>
        <w:t xml:space="preserve">J </w:t>
      </w:r>
      <w:r w:rsidR="00C16C3A" w:rsidRPr="00420A97">
        <w:rPr>
          <w:sz w:val="28"/>
          <w:szCs w:val="28"/>
        </w:rPr>
        <w:t xml:space="preserve">in </w:t>
      </w:r>
      <w:r w:rsidR="00211BA4" w:rsidRPr="00420A97">
        <w:rPr>
          <w:i/>
          <w:sz w:val="28"/>
          <w:szCs w:val="28"/>
        </w:rPr>
        <w:t>Tumileng</w:t>
      </w:r>
      <w:r w:rsidR="00A40649" w:rsidRPr="00420A97">
        <w:rPr>
          <w:sz w:val="28"/>
          <w:szCs w:val="28"/>
        </w:rPr>
        <w:t>,</w:t>
      </w:r>
      <w:r w:rsidR="00C16C3A" w:rsidRPr="00420A97">
        <w:rPr>
          <w:sz w:val="28"/>
          <w:szCs w:val="28"/>
        </w:rPr>
        <w:t xml:space="preserve"> most of the old authorities still apply in determining whether a defendant has disclosed a </w:t>
      </w:r>
      <w:r w:rsidR="00C16C3A" w:rsidRPr="00420A97">
        <w:rPr>
          <w:i/>
          <w:sz w:val="28"/>
          <w:szCs w:val="28"/>
        </w:rPr>
        <w:t>bona fide</w:t>
      </w:r>
      <w:r w:rsidR="00C16C3A" w:rsidRPr="00420A97">
        <w:rPr>
          <w:sz w:val="28"/>
          <w:szCs w:val="28"/>
        </w:rPr>
        <w:t xml:space="preserve"> defence. All the defendant </w:t>
      </w:r>
      <w:r w:rsidR="006D1C69" w:rsidRPr="00420A97">
        <w:rPr>
          <w:sz w:val="28"/>
          <w:szCs w:val="28"/>
        </w:rPr>
        <w:t xml:space="preserve">is required to </w:t>
      </w:r>
      <w:r w:rsidR="00C16C3A" w:rsidRPr="00420A97">
        <w:rPr>
          <w:sz w:val="28"/>
          <w:szCs w:val="28"/>
        </w:rPr>
        <w:t>do is disclose a genuine defence</w:t>
      </w:r>
      <w:r w:rsidR="006D1C69" w:rsidRPr="00420A97">
        <w:rPr>
          <w:sz w:val="28"/>
          <w:szCs w:val="28"/>
        </w:rPr>
        <w:t>,</w:t>
      </w:r>
      <w:r w:rsidR="00C16C3A" w:rsidRPr="00420A97">
        <w:rPr>
          <w:sz w:val="28"/>
          <w:szCs w:val="28"/>
        </w:rPr>
        <w:t xml:space="preserve"> as opposed to ‘a sham’ defence.</w:t>
      </w:r>
      <w:r w:rsidR="00C16C3A" w:rsidRPr="00420A97">
        <w:rPr>
          <w:rStyle w:val="FootnoteReference"/>
          <w:sz w:val="28"/>
          <w:szCs w:val="28"/>
        </w:rPr>
        <w:footnoteReference w:id="8"/>
      </w:r>
      <w:r w:rsidR="00C16C3A" w:rsidRPr="00420A97">
        <w:rPr>
          <w:sz w:val="28"/>
          <w:szCs w:val="28"/>
        </w:rPr>
        <w:t xml:space="preserve"> Prospects of success are irrelevant and as long as the defence is legally cognisable in the sense that it amounts to a valid </w:t>
      </w:r>
      <w:r w:rsidR="004A2F92" w:rsidRPr="00420A97">
        <w:rPr>
          <w:sz w:val="28"/>
          <w:szCs w:val="28"/>
        </w:rPr>
        <w:t>defence if proven at trial, then</w:t>
      </w:r>
      <w:r w:rsidR="00C16C3A" w:rsidRPr="00420A97">
        <w:rPr>
          <w:sz w:val="28"/>
          <w:szCs w:val="28"/>
        </w:rPr>
        <w:t xml:space="preserve"> an application</w:t>
      </w:r>
      <w:r w:rsidR="00211BA4" w:rsidRPr="00420A97">
        <w:rPr>
          <w:sz w:val="28"/>
          <w:szCs w:val="28"/>
        </w:rPr>
        <w:t xml:space="preserve"> for summary judgment must fail</w:t>
      </w:r>
      <w:r w:rsidR="004A2F92" w:rsidRPr="00420A97">
        <w:rPr>
          <w:sz w:val="28"/>
          <w:szCs w:val="28"/>
        </w:rPr>
        <w:t>.</w:t>
      </w:r>
    </w:p>
    <w:p w14:paraId="3F156AB9" w14:textId="77777777" w:rsidR="004A2F92" w:rsidRPr="00420A97" w:rsidRDefault="004A2F92" w:rsidP="00694FE9">
      <w:pPr>
        <w:spacing w:line="360" w:lineRule="auto"/>
        <w:jc w:val="both"/>
        <w:rPr>
          <w:sz w:val="28"/>
          <w:szCs w:val="28"/>
        </w:rPr>
      </w:pPr>
    </w:p>
    <w:p w14:paraId="33AC1A5E" w14:textId="38EA6BE7" w:rsidR="004A2F92" w:rsidRPr="00420A97" w:rsidRDefault="004F66A4" w:rsidP="004F66A4">
      <w:pPr>
        <w:spacing w:line="360" w:lineRule="auto"/>
        <w:jc w:val="both"/>
        <w:rPr>
          <w:sz w:val="28"/>
          <w:szCs w:val="28"/>
        </w:rPr>
      </w:pPr>
      <w:r w:rsidRPr="00420A97">
        <w:rPr>
          <w:sz w:val="28"/>
          <w:szCs w:val="28"/>
        </w:rPr>
        <w:t>[30]</w:t>
      </w:r>
      <w:r w:rsidRPr="00420A97">
        <w:rPr>
          <w:sz w:val="28"/>
          <w:szCs w:val="28"/>
        </w:rPr>
        <w:tab/>
      </w:r>
      <w:r w:rsidR="00EC2906" w:rsidRPr="00420A97">
        <w:rPr>
          <w:sz w:val="28"/>
          <w:szCs w:val="28"/>
        </w:rPr>
        <w:t>Be</w:t>
      </w:r>
      <w:r w:rsidR="001B3A48" w:rsidRPr="00420A97">
        <w:rPr>
          <w:sz w:val="28"/>
          <w:szCs w:val="28"/>
        </w:rPr>
        <w:t xml:space="preserve"> </w:t>
      </w:r>
      <w:r w:rsidR="009A5849" w:rsidRPr="00420A97">
        <w:rPr>
          <w:sz w:val="28"/>
          <w:szCs w:val="28"/>
        </w:rPr>
        <w:t>it the original</w:t>
      </w:r>
      <w:r w:rsidR="00EC2906" w:rsidRPr="00420A97">
        <w:rPr>
          <w:sz w:val="28"/>
          <w:szCs w:val="28"/>
        </w:rPr>
        <w:t xml:space="preserve"> trust deed or the amended trust deed which is applicable, both require </w:t>
      </w:r>
      <w:r w:rsidR="002278C6" w:rsidRPr="00420A97">
        <w:rPr>
          <w:sz w:val="28"/>
          <w:szCs w:val="28"/>
        </w:rPr>
        <w:t xml:space="preserve">a court to </w:t>
      </w:r>
      <w:r w:rsidR="00EC2906" w:rsidRPr="00420A97">
        <w:rPr>
          <w:sz w:val="28"/>
          <w:szCs w:val="28"/>
        </w:rPr>
        <w:t>interpret</w:t>
      </w:r>
      <w:r w:rsidR="002278C6" w:rsidRPr="00420A97">
        <w:rPr>
          <w:sz w:val="28"/>
          <w:szCs w:val="28"/>
        </w:rPr>
        <w:t xml:space="preserve"> </w:t>
      </w:r>
      <w:r w:rsidR="00EC2906" w:rsidRPr="00420A97">
        <w:rPr>
          <w:sz w:val="28"/>
          <w:szCs w:val="28"/>
        </w:rPr>
        <w:t xml:space="preserve">the </w:t>
      </w:r>
      <w:r w:rsidR="002278C6" w:rsidRPr="00420A97">
        <w:rPr>
          <w:sz w:val="28"/>
          <w:szCs w:val="28"/>
        </w:rPr>
        <w:t xml:space="preserve">extent of the </w:t>
      </w:r>
      <w:r w:rsidR="00EC2906" w:rsidRPr="00420A97">
        <w:rPr>
          <w:sz w:val="28"/>
          <w:szCs w:val="28"/>
        </w:rPr>
        <w:t>trustees’ discretion</w:t>
      </w:r>
      <w:r w:rsidR="004A2F92" w:rsidRPr="00420A97">
        <w:rPr>
          <w:sz w:val="28"/>
          <w:szCs w:val="28"/>
        </w:rPr>
        <w:t xml:space="preserve"> and </w:t>
      </w:r>
      <w:r w:rsidR="002278C6" w:rsidRPr="00420A97">
        <w:rPr>
          <w:sz w:val="28"/>
          <w:szCs w:val="28"/>
        </w:rPr>
        <w:t>when vesting takes place</w:t>
      </w:r>
      <w:r w:rsidR="00EC2906" w:rsidRPr="00420A97">
        <w:rPr>
          <w:sz w:val="28"/>
          <w:szCs w:val="28"/>
        </w:rPr>
        <w:t xml:space="preserve">. </w:t>
      </w:r>
      <w:r w:rsidR="00122984" w:rsidRPr="00420A97">
        <w:rPr>
          <w:sz w:val="28"/>
          <w:szCs w:val="28"/>
        </w:rPr>
        <w:t>T</w:t>
      </w:r>
      <w:r w:rsidR="00EC2906" w:rsidRPr="00420A97">
        <w:rPr>
          <w:sz w:val="28"/>
          <w:szCs w:val="28"/>
        </w:rPr>
        <w:t>he defence of the trustees that</w:t>
      </w:r>
      <w:r w:rsidR="006D1C69" w:rsidRPr="00420A97">
        <w:rPr>
          <w:sz w:val="28"/>
          <w:szCs w:val="28"/>
        </w:rPr>
        <w:t>, prior to the date of vesting,</w:t>
      </w:r>
      <w:r w:rsidR="00EC2906" w:rsidRPr="00420A97">
        <w:rPr>
          <w:sz w:val="28"/>
          <w:szCs w:val="28"/>
        </w:rPr>
        <w:t xml:space="preserve"> their discretion when to make actual paym</w:t>
      </w:r>
      <w:r w:rsidR="004A2F92" w:rsidRPr="00420A97">
        <w:rPr>
          <w:sz w:val="28"/>
          <w:szCs w:val="28"/>
        </w:rPr>
        <w:t xml:space="preserve">ent is absolute and unfettered, cannot be considered as unreasonable and </w:t>
      </w:r>
      <w:r w:rsidR="004A2F92" w:rsidRPr="00420A97">
        <w:rPr>
          <w:i/>
          <w:sz w:val="28"/>
          <w:szCs w:val="28"/>
        </w:rPr>
        <w:t>male fides</w:t>
      </w:r>
      <w:r w:rsidR="004A2F92" w:rsidRPr="00420A97">
        <w:rPr>
          <w:sz w:val="28"/>
          <w:szCs w:val="28"/>
        </w:rPr>
        <w:t>.</w:t>
      </w:r>
      <w:r w:rsidR="001B3A48" w:rsidRPr="00420A97">
        <w:rPr>
          <w:sz w:val="28"/>
          <w:szCs w:val="28"/>
        </w:rPr>
        <w:t xml:space="preserve"> It is certainly not a ‘sham defence’ in any sense of the word.</w:t>
      </w:r>
    </w:p>
    <w:p w14:paraId="6C7C55D9" w14:textId="77777777" w:rsidR="00716F26" w:rsidRPr="00420A97" w:rsidRDefault="00716F26" w:rsidP="009672FE">
      <w:pPr>
        <w:spacing w:line="360" w:lineRule="auto"/>
        <w:jc w:val="both"/>
        <w:rPr>
          <w:sz w:val="28"/>
          <w:szCs w:val="28"/>
        </w:rPr>
      </w:pPr>
    </w:p>
    <w:p w14:paraId="78F64D88" w14:textId="39C4407A" w:rsidR="00FE6BA3" w:rsidRPr="00420A97" w:rsidRDefault="004F66A4" w:rsidP="004F66A4">
      <w:pPr>
        <w:spacing w:line="360" w:lineRule="auto"/>
        <w:jc w:val="both"/>
        <w:rPr>
          <w:sz w:val="28"/>
          <w:szCs w:val="28"/>
        </w:rPr>
      </w:pPr>
      <w:r w:rsidRPr="00420A97">
        <w:rPr>
          <w:sz w:val="28"/>
          <w:szCs w:val="28"/>
        </w:rPr>
        <w:t>[31]</w:t>
      </w:r>
      <w:r w:rsidRPr="00420A97">
        <w:rPr>
          <w:sz w:val="28"/>
          <w:szCs w:val="28"/>
        </w:rPr>
        <w:tab/>
      </w:r>
      <w:r w:rsidR="004A2F92" w:rsidRPr="00420A97">
        <w:rPr>
          <w:sz w:val="28"/>
          <w:szCs w:val="28"/>
        </w:rPr>
        <w:t xml:space="preserve">The high court failed to consider the test to be applied in deciding whether to grant summary judgment. This was, and remains, whether the facts </w:t>
      </w:r>
      <w:r w:rsidR="004A2F92" w:rsidRPr="00420A97">
        <w:rPr>
          <w:sz w:val="28"/>
          <w:szCs w:val="28"/>
        </w:rPr>
        <w:lastRenderedPageBreak/>
        <w:t xml:space="preserve">put up by the </w:t>
      </w:r>
      <w:r w:rsidR="001271AE">
        <w:rPr>
          <w:sz w:val="28"/>
          <w:szCs w:val="28"/>
        </w:rPr>
        <w:t>defendant</w:t>
      </w:r>
      <w:r w:rsidR="004A2F92" w:rsidRPr="00420A97">
        <w:rPr>
          <w:sz w:val="28"/>
          <w:szCs w:val="28"/>
        </w:rPr>
        <w:t>s raise a triable issue and a sustainable defence in the law, deserving of their day in court.</w:t>
      </w:r>
      <w:r w:rsidR="004A2F92" w:rsidRPr="00420A97">
        <w:rPr>
          <w:rStyle w:val="FootnoteReference"/>
          <w:sz w:val="28"/>
          <w:szCs w:val="28"/>
        </w:rPr>
        <w:footnoteReference w:id="9"/>
      </w:r>
      <w:r w:rsidR="004A2F92" w:rsidRPr="00420A97">
        <w:rPr>
          <w:sz w:val="28"/>
          <w:szCs w:val="28"/>
        </w:rPr>
        <w:t xml:space="preserve"> The defendants must fully disclose the nature and grounds of their defence and the material facts on which it is founded. </w:t>
      </w:r>
      <w:r w:rsidR="009B55B0" w:rsidRPr="00420A97">
        <w:rPr>
          <w:sz w:val="28"/>
          <w:szCs w:val="28"/>
        </w:rPr>
        <w:t>All a defendant has to do is set out facts which if proven at trial will constitute a good defence to the claim.</w:t>
      </w:r>
      <w:r w:rsidR="009B55B0" w:rsidRPr="00420A97">
        <w:rPr>
          <w:rStyle w:val="FootnoteReference"/>
          <w:sz w:val="28"/>
          <w:szCs w:val="28"/>
        </w:rPr>
        <w:footnoteReference w:id="10"/>
      </w:r>
    </w:p>
    <w:p w14:paraId="1C09433C" w14:textId="77777777" w:rsidR="00FE6BA3" w:rsidRPr="00420A97" w:rsidRDefault="00FE6BA3" w:rsidP="009672FE">
      <w:pPr>
        <w:spacing w:line="360" w:lineRule="auto"/>
        <w:jc w:val="both"/>
        <w:rPr>
          <w:sz w:val="28"/>
          <w:szCs w:val="28"/>
        </w:rPr>
      </w:pPr>
    </w:p>
    <w:p w14:paraId="2A650CC5" w14:textId="25F0C4A2" w:rsidR="00174A55" w:rsidRPr="00420A97" w:rsidRDefault="004F66A4" w:rsidP="004F66A4">
      <w:pPr>
        <w:spacing w:line="360" w:lineRule="auto"/>
        <w:jc w:val="both"/>
        <w:rPr>
          <w:sz w:val="28"/>
          <w:szCs w:val="28"/>
        </w:rPr>
      </w:pPr>
      <w:r w:rsidRPr="00420A97">
        <w:rPr>
          <w:sz w:val="28"/>
          <w:szCs w:val="28"/>
        </w:rPr>
        <w:t>[32]</w:t>
      </w:r>
      <w:r w:rsidRPr="00420A97">
        <w:rPr>
          <w:sz w:val="28"/>
          <w:szCs w:val="28"/>
        </w:rPr>
        <w:tab/>
      </w:r>
      <w:r w:rsidR="009B55B0" w:rsidRPr="00420A97">
        <w:rPr>
          <w:sz w:val="28"/>
          <w:szCs w:val="28"/>
        </w:rPr>
        <w:t>On the facts s</w:t>
      </w:r>
      <w:r w:rsidR="00383054" w:rsidRPr="00420A97">
        <w:rPr>
          <w:sz w:val="28"/>
          <w:szCs w:val="28"/>
        </w:rPr>
        <w:t xml:space="preserve">o disclosed, the trustees </w:t>
      </w:r>
      <w:r w:rsidR="004A2F92" w:rsidRPr="00420A97">
        <w:rPr>
          <w:sz w:val="28"/>
          <w:szCs w:val="28"/>
        </w:rPr>
        <w:t>have</w:t>
      </w:r>
      <w:r w:rsidR="007913F3" w:rsidRPr="00420A97">
        <w:rPr>
          <w:sz w:val="28"/>
          <w:szCs w:val="28"/>
        </w:rPr>
        <w:t xml:space="preserve"> put up a sustainable defence which is </w:t>
      </w:r>
      <w:r w:rsidR="007913F3" w:rsidRPr="00420A97">
        <w:rPr>
          <w:i/>
          <w:sz w:val="28"/>
          <w:szCs w:val="28"/>
        </w:rPr>
        <w:t>bona fide</w:t>
      </w:r>
      <w:r w:rsidR="002278C6" w:rsidRPr="00420A97">
        <w:rPr>
          <w:sz w:val="28"/>
          <w:szCs w:val="28"/>
        </w:rPr>
        <w:t xml:space="preserve">, namely that </w:t>
      </w:r>
      <w:r w:rsidR="001A7926" w:rsidRPr="00420A97">
        <w:rPr>
          <w:sz w:val="28"/>
          <w:szCs w:val="28"/>
        </w:rPr>
        <w:t xml:space="preserve">until vesting occurs </w:t>
      </w:r>
      <w:r w:rsidR="002278C6" w:rsidRPr="00420A97">
        <w:rPr>
          <w:sz w:val="28"/>
          <w:szCs w:val="28"/>
        </w:rPr>
        <w:t>the decision to make payment is solely within their discretion.</w:t>
      </w:r>
      <w:r w:rsidR="004A2F92" w:rsidRPr="00420A97">
        <w:rPr>
          <w:sz w:val="28"/>
          <w:szCs w:val="28"/>
        </w:rPr>
        <w:t xml:space="preserve"> </w:t>
      </w:r>
      <w:r w:rsidR="00666A0E" w:rsidRPr="00420A97">
        <w:rPr>
          <w:sz w:val="28"/>
          <w:szCs w:val="28"/>
        </w:rPr>
        <w:t>In the context of summary judgment</w:t>
      </w:r>
      <w:r w:rsidR="002576FA" w:rsidRPr="00420A97">
        <w:rPr>
          <w:sz w:val="28"/>
          <w:szCs w:val="28"/>
        </w:rPr>
        <w:t>,</w:t>
      </w:r>
      <w:r w:rsidR="00666A0E" w:rsidRPr="00420A97">
        <w:rPr>
          <w:sz w:val="28"/>
          <w:szCs w:val="28"/>
        </w:rPr>
        <w:t xml:space="preserve"> all </w:t>
      </w:r>
      <w:r w:rsidR="009B55B0" w:rsidRPr="00420A97">
        <w:rPr>
          <w:sz w:val="28"/>
          <w:szCs w:val="28"/>
        </w:rPr>
        <w:t>the trustees</w:t>
      </w:r>
      <w:r w:rsidR="00152D45" w:rsidRPr="00420A97">
        <w:rPr>
          <w:sz w:val="28"/>
          <w:szCs w:val="28"/>
        </w:rPr>
        <w:t xml:space="preserve"> are asking for is their </w:t>
      </w:r>
      <w:r w:rsidR="00666A0E" w:rsidRPr="00420A97">
        <w:rPr>
          <w:sz w:val="28"/>
          <w:szCs w:val="28"/>
        </w:rPr>
        <w:t xml:space="preserve">day in court. </w:t>
      </w:r>
      <w:r w:rsidR="009B55B0" w:rsidRPr="00420A97">
        <w:rPr>
          <w:sz w:val="28"/>
          <w:szCs w:val="28"/>
        </w:rPr>
        <w:t xml:space="preserve">They have met this threshold and </w:t>
      </w:r>
      <w:r w:rsidR="00735691" w:rsidRPr="00420A97">
        <w:rPr>
          <w:sz w:val="28"/>
          <w:szCs w:val="28"/>
        </w:rPr>
        <w:t xml:space="preserve">summary judgment should accordingly be refused. </w:t>
      </w:r>
    </w:p>
    <w:p w14:paraId="01A7AF59" w14:textId="77777777" w:rsidR="00174A55" w:rsidRPr="00420A97" w:rsidRDefault="00174A55" w:rsidP="00E6691F">
      <w:pPr>
        <w:spacing w:line="360" w:lineRule="auto"/>
        <w:jc w:val="both"/>
        <w:rPr>
          <w:sz w:val="28"/>
          <w:szCs w:val="28"/>
        </w:rPr>
      </w:pPr>
    </w:p>
    <w:p w14:paraId="18FE8B47" w14:textId="47872059" w:rsidR="00EC2906" w:rsidRPr="00420A97" w:rsidRDefault="004F66A4" w:rsidP="004F66A4">
      <w:pPr>
        <w:spacing w:line="360" w:lineRule="auto"/>
        <w:jc w:val="both"/>
        <w:rPr>
          <w:sz w:val="28"/>
          <w:szCs w:val="28"/>
        </w:rPr>
      </w:pPr>
      <w:r w:rsidRPr="00420A97">
        <w:rPr>
          <w:sz w:val="28"/>
          <w:szCs w:val="28"/>
        </w:rPr>
        <w:t>[33]</w:t>
      </w:r>
      <w:r w:rsidRPr="00420A97">
        <w:rPr>
          <w:sz w:val="28"/>
          <w:szCs w:val="28"/>
        </w:rPr>
        <w:tab/>
      </w:r>
      <w:r w:rsidR="00122984" w:rsidRPr="00420A97">
        <w:rPr>
          <w:sz w:val="28"/>
          <w:szCs w:val="28"/>
        </w:rPr>
        <w:t>As far as costs are concerned</w:t>
      </w:r>
      <w:r w:rsidR="002576FA" w:rsidRPr="00420A97">
        <w:rPr>
          <w:sz w:val="28"/>
          <w:szCs w:val="28"/>
        </w:rPr>
        <w:t>,</w:t>
      </w:r>
      <w:r w:rsidR="00122984" w:rsidRPr="00420A97">
        <w:rPr>
          <w:sz w:val="28"/>
          <w:szCs w:val="28"/>
        </w:rPr>
        <w:t xml:space="preserve"> both parties asked for the costs of two counsel</w:t>
      </w:r>
      <w:r w:rsidR="009D08C6" w:rsidRPr="00420A97">
        <w:rPr>
          <w:sz w:val="28"/>
          <w:szCs w:val="28"/>
        </w:rPr>
        <w:t xml:space="preserve"> in respect of this appeal. </w:t>
      </w:r>
      <w:r w:rsidR="009A5849" w:rsidRPr="00420A97">
        <w:rPr>
          <w:sz w:val="28"/>
          <w:szCs w:val="28"/>
        </w:rPr>
        <w:t xml:space="preserve">The appellants sought a punitive costs </w:t>
      </w:r>
      <w:r w:rsidR="00735691" w:rsidRPr="00420A97">
        <w:rPr>
          <w:sz w:val="28"/>
          <w:szCs w:val="28"/>
        </w:rPr>
        <w:t xml:space="preserve">order </w:t>
      </w:r>
      <w:r w:rsidR="009A5849" w:rsidRPr="00420A97">
        <w:rPr>
          <w:sz w:val="28"/>
          <w:szCs w:val="28"/>
        </w:rPr>
        <w:t xml:space="preserve">against the respondent. This is unjustified and there is no reason </w:t>
      </w:r>
      <w:r w:rsidR="009D08C6" w:rsidRPr="00420A97">
        <w:rPr>
          <w:sz w:val="28"/>
          <w:szCs w:val="28"/>
        </w:rPr>
        <w:t xml:space="preserve">why the usual costs order should not be appropriate. </w:t>
      </w:r>
    </w:p>
    <w:p w14:paraId="7831E122" w14:textId="77777777" w:rsidR="009D08C6" w:rsidRPr="00420A97" w:rsidRDefault="009D08C6" w:rsidP="00E6691F">
      <w:pPr>
        <w:spacing w:line="360" w:lineRule="auto"/>
        <w:jc w:val="both"/>
        <w:rPr>
          <w:sz w:val="28"/>
          <w:szCs w:val="28"/>
        </w:rPr>
      </w:pPr>
    </w:p>
    <w:p w14:paraId="2C96BF7D" w14:textId="6C9C6978" w:rsidR="00122984" w:rsidRPr="00420A97" w:rsidRDefault="004F66A4" w:rsidP="004F66A4">
      <w:pPr>
        <w:spacing w:line="360" w:lineRule="auto"/>
        <w:jc w:val="both"/>
        <w:rPr>
          <w:sz w:val="28"/>
          <w:szCs w:val="28"/>
        </w:rPr>
      </w:pPr>
      <w:r w:rsidRPr="00420A97">
        <w:rPr>
          <w:sz w:val="28"/>
          <w:szCs w:val="28"/>
        </w:rPr>
        <w:t>[34]</w:t>
      </w:r>
      <w:r w:rsidRPr="00420A97">
        <w:rPr>
          <w:sz w:val="28"/>
          <w:szCs w:val="28"/>
        </w:rPr>
        <w:tab/>
      </w:r>
      <w:r w:rsidR="00122984" w:rsidRPr="00420A97">
        <w:rPr>
          <w:sz w:val="28"/>
          <w:szCs w:val="28"/>
        </w:rPr>
        <w:t>In the result I make the following order:</w:t>
      </w:r>
    </w:p>
    <w:p w14:paraId="2E3CF075" w14:textId="77777777" w:rsidR="00122984" w:rsidRPr="00420A97" w:rsidRDefault="00E6691F" w:rsidP="00122984">
      <w:pPr>
        <w:spacing w:line="360" w:lineRule="auto"/>
        <w:jc w:val="both"/>
        <w:rPr>
          <w:sz w:val="28"/>
          <w:szCs w:val="28"/>
        </w:rPr>
      </w:pPr>
      <w:r w:rsidRPr="00420A97">
        <w:rPr>
          <w:sz w:val="28"/>
          <w:szCs w:val="28"/>
        </w:rPr>
        <w:t>1</w:t>
      </w:r>
      <w:r w:rsidRPr="00420A97">
        <w:rPr>
          <w:sz w:val="28"/>
          <w:szCs w:val="28"/>
        </w:rPr>
        <w:tab/>
      </w:r>
      <w:r w:rsidR="00122984" w:rsidRPr="00420A97">
        <w:rPr>
          <w:sz w:val="28"/>
          <w:szCs w:val="28"/>
        </w:rPr>
        <w:t>The appeal succeeds with costs, including the costs of two counsel</w:t>
      </w:r>
      <w:r w:rsidR="00337B4D" w:rsidRPr="00420A97">
        <w:rPr>
          <w:sz w:val="28"/>
          <w:szCs w:val="28"/>
        </w:rPr>
        <w:t>.</w:t>
      </w:r>
    </w:p>
    <w:p w14:paraId="72E18E5E" w14:textId="77777777" w:rsidR="00122984" w:rsidRPr="00420A97" w:rsidRDefault="00E6691F" w:rsidP="00122984">
      <w:pPr>
        <w:spacing w:line="360" w:lineRule="auto"/>
        <w:jc w:val="both"/>
        <w:rPr>
          <w:sz w:val="28"/>
          <w:szCs w:val="28"/>
        </w:rPr>
      </w:pPr>
      <w:r w:rsidRPr="00420A97">
        <w:rPr>
          <w:sz w:val="28"/>
          <w:szCs w:val="28"/>
        </w:rPr>
        <w:t>2</w:t>
      </w:r>
      <w:r w:rsidRPr="00420A97">
        <w:rPr>
          <w:sz w:val="28"/>
          <w:szCs w:val="28"/>
        </w:rPr>
        <w:tab/>
      </w:r>
      <w:r w:rsidR="00122984" w:rsidRPr="00420A97">
        <w:rPr>
          <w:sz w:val="28"/>
          <w:szCs w:val="28"/>
        </w:rPr>
        <w:t>The order of the court a quo is set aside and substituted with the following</w:t>
      </w:r>
      <w:r w:rsidRPr="00420A97">
        <w:rPr>
          <w:sz w:val="28"/>
          <w:szCs w:val="28"/>
        </w:rPr>
        <w:t xml:space="preserve"> order</w:t>
      </w:r>
      <w:r w:rsidR="00122984" w:rsidRPr="00420A97">
        <w:rPr>
          <w:sz w:val="28"/>
          <w:szCs w:val="28"/>
        </w:rPr>
        <w:t>:</w:t>
      </w:r>
    </w:p>
    <w:p w14:paraId="521FB27E" w14:textId="77777777" w:rsidR="00122984" w:rsidRPr="00420A97" w:rsidRDefault="00122984" w:rsidP="00122984">
      <w:pPr>
        <w:spacing w:line="360" w:lineRule="auto"/>
        <w:jc w:val="both"/>
        <w:rPr>
          <w:sz w:val="28"/>
          <w:szCs w:val="28"/>
        </w:rPr>
      </w:pPr>
      <w:r w:rsidRPr="00420A97">
        <w:rPr>
          <w:sz w:val="28"/>
          <w:szCs w:val="28"/>
        </w:rPr>
        <w:t>‘</w:t>
      </w:r>
      <w:r w:rsidR="00152D45" w:rsidRPr="00420A97">
        <w:rPr>
          <w:sz w:val="28"/>
          <w:szCs w:val="28"/>
        </w:rPr>
        <w:t>1</w:t>
      </w:r>
      <w:r w:rsidR="00152D45" w:rsidRPr="00420A97">
        <w:rPr>
          <w:sz w:val="28"/>
          <w:szCs w:val="28"/>
        </w:rPr>
        <w:tab/>
      </w:r>
      <w:r w:rsidRPr="00420A97">
        <w:rPr>
          <w:sz w:val="28"/>
          <w:szCs w:val="28"/>
        </w:rPr>
        <w:t>Summary judgment is refused</w:t>
      </w:r>
      <w:r w:rsidR="00E6691F" w:rsidRPr="00420A97">
        <w:rPr>
          <w:sz w:val="28"/>
          <w:szCs w:val="28"/>
        </w:rPr>
        <w:t>.</w:t>
      </w:r>
    </w:p>
    <w:p w14:paraId="250F7FD7" w14:textId="77777777" w:rsidR="00122984" w:rsidRPr="00420A97" w:rsidRDefault="00152D45" w:rsidP="00122984">
      <w:pPr>
        <w:spacing w:line="360" w:lineRule="auto"/>
        <w:jc w:val="both"/>
        <w:rPr>
          <w:sz w:val="28"/>
          <w:szCs w:val="28"/>
        </w:rPr>
      </w:pPr>
      <w:r w:rsidRPr="00420A97">
        <w:rPr>
          <w:sz w:val="28"/>
          <w:szCs w:val="28"/>
        </w:rPr>
        <w:t>2</w:t>
      </w:r>
      <w:r w:rsidRPr="00420A97">
        <w:rPr>
          <w:sz w:val="28"/>
          <w:szCs w:val="28"/>
        </w:rPr>
        <w:tab/>
      </w:r>
      <w:r w:rsidR="00122984" w:rsidRPr="00420A97">
        <w:rPr>
          <w:sz w:val="28"/>
          <w:szCs w:val="28"/>
        </w:rPr>
        <w:t>The defendants are granted leave to defend</w:t>
      </w:r>
      <w:r w:rsidR="009A5849" w:rsidRPr="00420A97">
        <w:rPr>
          <w:sz w:val="28"/>
          <w:szCs w:val="28"/>
        </w:rPr>
        <w:t xml:space="preserve"> the main action</w:t>
      </w:r>
      <w:r w:rsidR="00E6691F" w:rsidRPr="00420A97">
        <w:rPr>
          <w:sz w:val="28"/>
          <w:szCs w:val="28"/>
        </w:rPr>
        <w:t>.</w:t>
      </w:r>
      <w:r w:rsidR="009A5849" w:rsidRPr="00420A97">
        <w:rPr>
          <w:sz w:val="28"/>
          <w:szCs w:val="28"/>
        </w:rPr>
        <w:t xml:space="preserve"> </w:t>
      </w:r>
    </w:p>
    <w:p w14:paraId="5EA81C71" w14:textId="77777777" w:rsidR="00122984" w:rsidRPr="00420A97" w:rsidRDefault="00152D45" w:rsidP="00122984">
      <w:pPr>
        <w:spacing w:line="360" w:lineRule="auto"/>
        <w:jc w:val="both"/>
        <w:rPr>
          <w:sz w:val="28"/>
          <w:szCs w:val="28"/>
        </w:rPr>
      </w:pPr>
      <w:r w:rsidRPr="00420A97">
        <w:rPr>
          <w:sz w:val="28"/>
          <w:szCs w:val="28"/>
        </w:rPr>
        <w:t>3</w:t>
      </w:r>
      <w:r w:rsidRPr="00420A97">
        <w:rPr>
          <w:sz w:val="28"/>
          <w:szCs w:val="28"/>
        </w:rPr>
        <w:tab/>
      </w:r>
      <w:r w:rsidR="00122984" w:rsidRPr="00420A97">
        <w:rPr>
          <w:sz w:val="28"/>
          <w:szCs w:val="28"/>
        </w:rPr>
        <w:t>Costs shall be costs in the cause</w:t>
      </w:r>
      <w:r w:rsidR="00E6691F" w:rsidRPr="00420A97">
        <w:rPr>
          <w:sz w:val="28"/>
          <w:szCs w:val="28"/>
        </w:rPr>
        <w:t>.</w:t>
      </w:r>
      <w:r w:rsidR="00122984" w:rsidRPr="00420A97">
        <w:rPr>
          <w:sz w:val="28"/>
          <w:szCs w:val="28"/>
        </w:rPr>
        <w:t>’</w:t>
      </w:r>
    </w:p>
    <w:p w14:paraId="725803DF" w14:textId="77777777" w:rsidR="00C72C3F" w:rsidRPr="00420A97" w:rsidRDefault="00C72C3F" w:rsidP="00C72C3F">
      <w:pPr>
        <w:rPr>
          <w:sz w:val="28"/>
          <w:szCs w:val="28"/>
        </w:rPr>
      </w:pPr>
    </w:p>
    <w:p w14:paraId="359986A3" w14:textId="77777777" w:rsidR="00C72C3F" w:rsidRPr="00420A97" w:rsidRDefault="00C72C3F" w:rsidP="009A5849">
      <w:pPr>
        <w:spacing w:line="360" w:lineRule="auto"/>
        <w:jc w:val="both"/>
        <w:rPr>
          <w:sz w:val="28"/>
          <w:szCs w:val="28"/>
        </w:rPr>
      </w:pPr>
    </w:p>
    <w:p w14:paraId="56600E6B" w14:textId="291D08D9" w:rsidR="004D0981" w:rsidRPr="00420A97" w:rsidRDefault="002D6343" w:rsidP="004D0981">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3E1601C7" w14:textId="77777777" w:rsidR="00476F3A" w:rsidRPr="00420A97" w:rsidRDefault="00476F3A" w:rsidP="00476F3A">
      <w:pPr>
        <w:spacing w:line="360" w:lineRule="auto"/>
        <w:jc w:val="right"/>
        <w:rPr>
          <w:sz w:val="28"/>
          <w:szCs w:val="28"/>
        </w:rPr>
      </w:pPr>
      <w:r w:rsidRPr="00420A97">
        <w:rPr>
          <w:sz w:val="28"/>
          <w:szCs w:val="28"/>
        </w:rPr>
        <w:t>_______________________</w:t>
      </w:r>
    </w:p>
    <w:p w14:paraId="6D4F0023" w14:textId="77777777" w:rsidR="00476F3A" w:rsidRPr="00420A97" w:rsidRDefault="007847F4" w:rsidP="00476F3A">
      <w:pPr>
        <w:spacing w:line="360" w:lineRule="auto"/>
        <w:jc w:val="right"/>
        <w:rPr>
          <w:sz w:val="28"/>
          <w:szCs w:val="28"/>
        </w:rPr>
      </w:pPr>
      <w:r w:rsidRPr="00420A97">
        <w:rPr>
          <w:sz w:val="28"/>
          <w:szCs w:val="28"/>
        </w:rPr>
        <w:t xml:space="preserve">C </w:t>
      </w:r>
      <w:r w:rsidR="00C72C3F" w:rsidRPr="00420A97">
        <w:rPr>
          <w:sz w:val="28"/>
          <w:szCs w:val="28"/>
        </w:rPr>
        <w:t>H NICHOLLS</w:t>
      </w:r>
    </w:p>
    <w:p w14:paraId="0AC53E8C" w14:textId="77777777" w:rsidR="00476F3A" w:rsidRPr="00420A97" w:rsidRDefault="00476F3A" w:rsidP="00476F3A">
      <w:pPr>
        <w:spacing w:line="360" w:lineRule="auto"/>
        <w:jc w:val="right"/>
        <w:rPr>
          <w:sz w:val="28"/>
          <w:szCs w:val="28"/>
        </w:rPr>
      </w:pPr>
      <w:r w:rsidRPr="00420A97">
        <w:rPr>
          <w:sz w:val="28"/>
          <w:szCs w:val="28"/>
        </w:rPr>
        <w:t>JUDGE OF APPEAL</w:t>
      </w:r>
    </w:p>
    <w:p w14:paraId="4BFD2FD7" w14:textId="77777777" w:rsidR="001B1493" w:rsidRPr="00420A97" w:rsidRDefault="001B1493">
      <w:pPr>
        <w:rPr>
          <w:sz w:val="28"/>
          <w:szCs w:val="28"/>
        </w:rPr>
      </w:pPr>
      <w:r w:rsidRPr="00420A97">
        <w:rPr>
          <w:sz w:val="28"/>
          <w:szCs w:val="28"/>
        </w:rPr>
        <w:br w:type="page"/>
      </w:r>
    </w:p>
    <w:p w14:paraId="4B2120AC" w14:textId="77777777" w:rsidR="001B1493" w:rsidRPr="00420A97" w:rsidRDefault="001B1493" w:rsidP="00476F3A">
      <w:pPr>
        <w:spacing w:line="360" w:lineRule="auto"/>
        <w:jc w:val="right"/>
        <w:rPr>
          <w:sz w:val="28"/>
          <w:szCs w:val="28"/>
        </w:rPr>
      </w:pPr>
    </w:p>
    <w:p w14:paraId="50EF50F5" w14:textId="77777777" w:rsidR="001B1493" w:rsidRPr="00420A97" w:rsidRDefault="001B1493" w:rsidP="001B1493">
      <w:pPr>
        <w:spacing w:line="360" w:lineRule="auto"/>
        <w:rPr>
          <w:sz w:val="28"/>
          <w:szCs w:val="28"/>
        </w:rPr>
      </w:pPr>
      <w:r w:rsidRPr="00420A97">
        <w:rPr>
          <w:sz w:val="28"/>
          <w:szCs w:val="28"/>
        </w:rPr>
        <w:t xml:space="preserve">Appearances </w:t>
      </w:r>
    </w:p>
    <w:p w14:paraId="0801A51E" w14:textId="77777777" w:rsidR="001B1493" w:rsidRPr="00420A97" w:rsidRDefault="001B1493" w:rsidP="001B1493">
      <w:pPr>
        <w:spacing w:line="360" w:lineRule="auto"/>
        <w:rPr>
          <w:sz w:val="28"/>
          <w:szCs w:val="28"/>
        </w:rPr>
      </w:pPr>
    </w:p>
    <w:p w14:paraId="422828C5" w14:textId="77777777" w:rsidR="001B1493" w:rsidRPr="00420A97" w:rsidRDefault="001B1493" w:rsidP="001B1493">
      <w:pPr>
        <w:spacing w:line="360" w:lineRule="auto"/>
        <w:rPr>
          <w:sz w:val="28"/>
          <w:szCs w:val="28"/>
        </w:rPr>
      </w:pPr>
      <w:r w:rsidRPr="00420A97">
        <w:rPr>
          <w:sz w:val="28"/>
          <w:szCs w:val="28"/>
        </w:rPr>
        <w:t>For appellant:</w:t>
      </w:r>
      <w:r w:rsidRPr="00420A97">
        <w:rPr>
          <w:sz w:val="28"/>
          <w:szCs w:val="28"/>
        </w:rPr>
        <w:tab/>
      </w:r>
      <w:r w:rsidR="00D41157" w:rsidRPr="00420A97">
        <w:rPr>
          <w:sz w:val="28"/>
          <w:szCs w:val="28"/>
        </w:rPr>
        <w:t>H Loots SC (with him, M A McChesney)</w:t>
      </w:r>
    </w:p>
    <w:p w14:paraId="19B0E23D" w14:textId="77777777" w:rsidR="001B1493" w:rsidRPr="00420A97" w:rsidRDefault="00C72C3F" w:rsidP="001B1493">
      <w:pPr>
        <w:spacing w:line="360" w:lineRule="auto"/>
        <w:rPr>
          <w:bCs/>
          <w:sz w:val="28"/>
          <w:szCs w:val="28"/>
        </w:rPr>
      </w:pPr>
      <w:r w:rsidRPr="00420A97">
        <w:rPr>
          <w:bCs/>
          <w:sz w:val="28"/>
          <w:szCs w:val="28"/>
        </w:rPr>
        <w:t>Instructed by:</w:t>
      </w:r>
      <w:r w:rsidRPr="00420A97">
        <w:rPr>
          <w:bCs/>
          <w:sz w:val="28"/>
          <w:szCs w:val="28"/>
        </w:rPr>
        <w:tab/>
      </w:r>
      <w:r w:rsidR="007D6F40" w:rsidRPr="00420A97">
        <w:rPr>
          <w:bCs/>
          <w:sz w:val="28"/>
          <w:szCs w:val="28"/>
        </w:rPr>
        <w:t>BDP</w:t>
      </w:r>
      <w:r w:rsidRPr="00420A97">
        <w:rPr>
          <w:bCs/>
          <w:sz w:val="28"/>
          <w:szCs w:val="28"/>
        </w:rPr>
        <w:t xml:space="preserve"> Attorneys, Cape Town</w:t>
      </w:r>
    </w:p>
    <w:p w14:paraId="31E3FB61" w14:textId="77777777" w:rsidR="001B1493" w:rsidRPr="00420A97" w:rsidRDefault="00C72C3F" w:rsidP="00C72C3F">
      <w:pPr>
        <w:spacing w:line="360" w:lineRule="auto"/>
        <w:ind w:left="459" w:firstLine="1701"/>
        <w:rPr>
          <w:bCs/>
          <w:sz w:val="28"/>
          <w:szCs w:val="28"/>
        </w:rPr>
      </w:pPr>
      <w:r w:rsidRPr="00420A97">
        <w:rPr>
          <w:bCs/>
          <w:sz w:val="28"/>
          <w:szCs w:val="28"/>
        </w:rPr>
        <w:t>Phatshoane Henney Attorneys,</w:t>
      </w:r>
      <w:r w:rsidR="001B1493" w:rsidRPr="00420A97">
        <w:rPr>
          <w:bCs/>
          <w:sz w:val="28"/>
          <w:szCs w:val="28"/>
        </w:rPr>
        <w:t xml:space="preserve"> Bloemfontein</w:t>
      </w:r>
    </w:p>
    <w:p w14:paraId="122F7B14" w14:textId="77777777" w:rsidR="007D6F40" w:rsidRPr="00420A97" w:rsidRDefault="007D6F40" w:rsidP="007D6F40">
      <w:pPr>
        <w:spacing w:line="360" w:lineRule="auto"/>
        <w:rPr>
          <w:bCs/>
          <w:sz w:val="28"/>
          <w:szCs w:val="28"/>
        </w:rPr>
      </w:pPr>
    </w:p>
    <w:p w14:paraId="429162A4" w14:textId="77777777" w:rsidR="007D6F40" w:rsidRPr="00420A97" w:rsidRDefault="007D6F40" w:rsidP="007D6F40">
      <w:pPr>
        <w:spacing w:line="360" w:lineRule="auto"/>
        <w:rPr>
          <w:bCs/>
          <w:sz w:val="28"/>
          <w:szCs w:val="28"/>
        </w:rPr>
      </w:pPr>
      <w:r w:rsidRPr="00420A97">
        <w:rPr>
          <w:bCs/>
          <w:sz w:val="28"/>
          <w:szCs w:val="28"/>
        </w:rPr>
        <w:t>For respondent:</w:t>
      </w:r>
      <w:r w:rsidRPr="00420A97">
        <w:rPr>
          <w:bCs/>
          <w:sz w:val="28"/>
          <w:szCs w:val="28"/>
        </w:rPr>
        <w:tab/>
      </w:r>
      <w:r w:rsidR="003067F6" w:rsidRPr="00420A97">
        <w:rPr>
          <w:bCs/>
          <w:sz w:val="28"/>
          <w:szCs w:val="28"/>
        </w:rPr>
        <w:t>F J Gordon-Turner (with her, A J Brouwer)</w:t>
      </w:r>
    </w:p>
    <w:p w14:paraId="5E820624" w14:textId="77777777" w:rsidR="007D6F40" w:rsidRPr="00420A97" w:rsidRDefault="007D6F40" w:rsidP="007D6F40">
      <w:pPr>
        <w:spacing w:line="360" w:lineRule="auto"/>
        <w:rPr>
          <w:bCs/>
          <w:sz w:val="28"/>
          <w:szCs w:val="28"/>
        </w:rPr>
      </w:pPr>
      <w:r w:rsidRPr="00420A97">
        <w:rPr>
          <w:bCs/>
          <w:sz w:val="28"/>
          <w:szCs w:val="28"/>
        </w:rPr>
        <w:t>Instructed by:</w:t>
      </w:r>
      <w:r w:rsidRPr="00420A97">
        <w:rPr>
          <w:bCs/>
          <w:sz w:val="28"/>
          <w:szCs w:val="28"/>
        </w:rPr>
        <w:tab/>
        <w:t>Mandy Simpson Attorneys, Cape Town</w:t>
      </w:r>
    </w:p>
    <w:p w14:paraId="3D3287BE" w14:textId="77777777" w:rsidR="00D83CB0" w:rsidRPr="00E2374C" w:rsidRDefault="00D83CB0" w:rsidP="007D6F40">
      <w:pPr>
        <w:spacing w:line="360" w:lineRule="auto"/>
        <w:rPr>
          <w:bCs/>
          <w:sz w:val="28"/>
          <w:szCs w:val="28"/>
        </w:rPr>
      </w:pPr>
      <w:r w:rsidRPr="00420A97">
        <w:rPr>
          <w:bCs/>
          <w:sz w:val="28"/>
          <w:szCs w:val="28"/>
        </w:rPr>
        <w:tab/>
      </w:r>
      <w:r w:rsidRPr="00420A97">
        <w:rPr>
          <w:bCs/>
          <w:sz w:val="28"/>
          <w:szCs w:val="28"/>
        </w:rPr>
        <w:tab/>
      </w:r>
      <w:r w:rsidRPr="00420A97">
        <w:rPr>
          <w:bCs/>
          <w:sz w:val="28"/>
          <w:szCs w:val="28"/>
        </w:rPr>
        <w:tab/>
      </w:r>
      <w:r w:rsidR="004B697C" w:rsidRPr="00420A97">
        <w:rPr>
          <w:bCs/>
          <w:sz w:val="28"/>
          <w:szCs w:val="28"/>
        </w:rPr>
        <w:t>Webbers Attorneys, Bloemfontein</w:t>
      </w:r>
    </w:p>
    <w:p w14:paraId="568E56BE" w14:textId="77777777" w:rsidR="00D82BFE" w:rsidRPr="00E2374C" w:rsidRDefault="00D82BFE" w:rsidP="00003363">
      <w:pPr>
        <w:spacing w:line="360" w:lineRule="auto"/>
        <w:jc w:val="both"/>
        <w:rPr>
          <w:sz w:val="28"/>
          <w:szCs w:val="28"/>
        </w:rPr>
      </w:pPr>
    </w:p>
    <w:sectPr w:rsidR="00D82BFE" w:rsidRPr="00E2374C" w:rsidSect="00D3605A">
      <w:headerReference w:type="even" r:id="rId11"/>
      <w:headerReference w:type="default" r:id="rId1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1F930" w14:textId="77777777" w:rsidR="009C2AEB" w:rsidRDefault="009C2AEB" w:rsidP="00A91C4B">
      <w:r>
        <w:separator/>
      </w:r>
    </w:p>
  </w:endnote>
  <w:endnote w:type="continuationSeparator" w:id="0">
    <w:p w14:paraId="2486982F" w14:textId="77777777" w:rsidR="009C2AEB" w:rsidRDefault="009C2AEB" w:rsidP="00A9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93EEF" w14:textId="77777777" w:rsidR="009C2AEB" w:rsidRDefault="009C2AEB" w:rsidP="00A91C4B">
      <w:r>
        <w:separator/>
      </w:r>
    </w:p>
  </w:footnote>
  <w:footnote w:type="continuationSeparator" w:id="0">
    <w:p w14:paraId="71EDFDB3" w14:textId="77777777" w:rsidR="009C2AEB" w:rsidRDefault="009C2AEB" w:rsidP="00A91C4B">
      <w:r>
        <w:continuationSeparator/>
      </w:r>
    </w:p>
  </w:footnote>
  <w:footnote w:id="1">
    <w:p w14:paraId="7B92A484" w14:textId="7B61847B" w:rsidR="002278C6" w:rsidRPr="00420A97" w:rsidRDefault="002278C6" w:rsidP="005D6FF6">
      <w:pPr>
        <w:pStyle w:val="FootnoteText"/>
        <w:jc w:val="both"/>
      </w:pPr>
      <w:r w:rsidRPr="00420A97">
        <w:rPr>
          <w:rStyle w:val="FootnoteReference"/>
        </w:rPr>
        <w:footnoteRef/>
      </w:r>
      <w:r w:rsidRPr="00420A97">
        <w:t xml:space="preserve"> </w:t>
      </w:r>
      <w:r w:rsidR="00C35B81" w:rsidRPr="00420A97">
        <w:t xml:space="preserve">From 1 July 2019 rule 32 was amended to provide that an application for summary judgment could only be made after the defendant had filed a plea. The rule also provides that a plaintiff's affidavit in a summary judgment </w:t>
      </w:r>
      <w:r w:rsidR="005D6FF6" w:rsidRPr="00420A97">
        <w:t xml:space="preserve">application </w:t>
      </w:r>
      <w:r w:rsidR="00C35B81" w:rsidRPr="00420A97">
        <w:t>may explain why the defence as pleaded does not raise any issue for trial.</w:t>
      </w:r>
    </w:p>
  </w:footnote>
  <w:footnote w:id="2">
    <w:p w14:paraId="4D0E632F" w14:textId="77777777" w:rsidR="00CA548B" w:rsidRPr="00420A97" w:rsidRDefault="00CA548B" w:rsidP="005D6FF6">
      <w:pPr>
        <w:pStyle w:val="FootnoteText"/>
        <w:jc w:val="both"/>
      </w:pPr>
      <w:r w:rsidRPr="00420A97">
        <w:rPr>
          <w:rStyle w:val="FootnoteReference"/>
        </w:rPr>
        <w:footnoteRef/>
      </w:r>
      <w:r w:rsidRPr="00420A97">
        <w:t xml:space="preserve"> Clause 1.17.1 of the Original trust deed, dated 13 June 2006.</w:t>
      </w:r>
    </w:p>
  </w:footnote>
  <w:footnote w:id="3">
    <w:p w14:paraId="5B2F048D" w14:textId="77777777" w:rsidR="00373363" w:rsidRPr="00420A97" w:rsidRDefault="00373363" w:rsidP="005D6FF6">
      <w:pPr>
        <w:pStyle w:val="FootnoteText"/>
        <w:jc w:val="both"/>
        <w:rPr>
          <w:lang w:val="en-ZA"/>
        </w:rPr>
      </w:pPr>
      <w:r w:rsidRPr="00420A97">
        <w:rPr>
          <w:rStyle w:val="FootnoteReference"/>
        </w:rPr>
        <w:footnoteRef/>
      </w:r>
      <w:r w:rsidRPr="00420A97">
        <w:t xml:space="preserve"> </w:t>
      </w:r>
      <w:r w:rsidRPr="00420A97">
        <w:rPr>
          <w:i/>
        </w:rPr>
        <w:t xml:space="preserve">Standard Bank of South Africa Ltd v Roestof </w:t>
      </w:r>
      <w:r w:rsidRPr="00420A97">
        <w:t xml:space="preserve">2004 (2) SA 492 (W) at 496F-H, followed in </w:t>
      </w:r>
      <w:r w:rsidRPr="00420A97">
        <w:rPr>
          <w:i/>
        </w:rPr>
        <w:t>Coetzee and Others v Nassimov</w:t>
      </w:r>
      <w:r w:rsidRPr="00420A97">
        <w:t xml:space="preserve"> 2010 (4) SA 400 (WCC) (</w:t>
      </w:r>
      <w:r w:rsidRPr="00420A97">
        <w:rPr>
          <w:i/>
        </w:rPr>
        <w:t>Coetzee</w:t>
      </w:r>
      <w:r w:rsidRPr="00420A97">
        <w:t>).</w:t>
      </w:r>
    </w:p>
  </w:footnote>
  <w:footnote w:id="4">
    <w:p w14:paraId="35CE86AA" w14:textId="77777777" w:rsidR="00373363" w:rsidRPr="00420A97" w:rsidRDefault="00373363" w:rsidP="005D6FF6">
      <w:pPr>
        <w:pStyle w:val="FootnoteText"/>
        <w:jc w:val="both"/>
      </w:pPr>
      <w:r w:rsidRPr="00420A97">
        <w:rPr>
          <w:rStyle w:val="FootnoteReference"/>
        </w:rPr>
        <w:footnoteRef/>
      </w:r>
      <w:r w:rsidRPr="00420A97">
        <w:t xml:space="preserve"> </w:t>
      </w:r>
      <w:r w:rsidRPr="00420A97">
        <w:rPr>
          <w:i/>
        </w:rPr>
        <w:t>Coetzee</w:t>
      </w:r>
      <w:r w:rsidRPr="00420A97">
        <w:t xml:space="preserve"> at 402B-403A.</w:t>
      </w:r>
    </w:p>
  </w:footnote>
  <w:footnote w:id="5">
    <w:p w14:paraId="4F1101BF" w14:textId="77777777" w:rsidR="00373363" w:rsidRPr="00420A97" w:rsidRDefault="00373363" w:rsidP="005D6FF6">
      <w:pPr>
        <w:pStyle w:val="FootnoteText"/>
        <w:jc w:val="both"/>
      </w:pPr>
      <w:r w:rsidRPr="00420A97">
        <w:rPr>
          <w:rStyle w:val="FootnoteReference"/>
        </w:rPr>
        <w:footnoteRef/>
      </w:r>
      <w:r w:rsidRPr="00420A97">
        <w:t xml:space="preserve"> </w:t>
      </w:r>
      <w:r w:rsidRPr="00420A97">
        <w:rPr>
          <w:i/>
        </w:rPr>
        <w:t>Shackleton Credit Management (Pty) Ltd v Microzone Trading 88 CC and Another</w:t>
      </w:r>
      <w:r w:rsidRPr="00420A97">
        <w:t xml:space="preserve"> [2010] ZAKZPHC 15; 2010 (5) SA 112 (KZP); [2011] 1 All SA 427 (KZP) para 25.</w:t>
      </w:r>
    </w:p>
  </w:footnote>
  <w:footnote w:id="6">
    <w:p w14:paraId="4A851C68" w14:textId="77777777" w:rsidR="00CA548B" w:rsidRPr="00420A97" w:rsidRDefault="00CA548B" w:rsidP="005D6FF6">
      <w:pPr>
        <w:pStyle w:val="FootnoteText"/>
        <w:jc w:val="both"/>
        <w:rPr>
          <w:lang w:val="en-ZA"/>
        </w:rPr>
      </w:pPr>
      <w:r w:rsidRPr="00420A97">
        <w:rPr>
          <w:rStyle w:val="FootnoteReference"/>
        </w:rPr>
        <w:footnoteRef/>
      </w:r>
      <w:r w:rsidRPr="00420A97">
        <w:t xml:space="preserve"> D E van Loggerenberg and E Bertelsmann, </w:t>
      </w:r>
      <w:r w:rsidRPr="00420A97">
        <w:rPr>
          <w:i/>
        </w:rPr>
        <w:t>Erasmus Superior Court Practice</w:t>
      </w:r>
      <w:r w:rsidRPr="00420A97">
        <w:t xml:space="preserve"> 2</w:t>
      </w:r>
      <w:r w:rsidR="00B20292" w:rsidRPr="00420A97">
        <w:t xml:space="preserve"> </w:t>
      </w:r>
      <w:r w:rsidRPr="00420A97">
        <w:t>ed</w:t>
      </w:r>
      <w:r w:rsidR="00336A4C" w:rsidRPr="00420A97">
        <w:t xml:space="preserve"> 2015</w:t>
      </w:r>
      <w:r w:rsidRPr="00420A97">
        <w:rPr>
          <w:lang w:val="en-ZA"/>
        </w:rPr>
        <w:t xml:space="preserve"> at D1-404.</w:t>
      </w:r>
    </w:p>
  </w:footnote>
  <w:footnote w:id="7">
    <w:p w14:paraId="6F9F9087" w14:textId="77777777" w:rsidR="00CA548B" w:rsidRPr="00420A97" w:rsidRDefault="00CA548B" w:rsidP="005D6FF6">
      <w:pPr>
        <w:pStyle w:val="FootnoteText"/>
        <w:jc w:val="both"/>
      </w:pPr>
      <w:r w:rsidRPr="00420A97">
        <w:rPr>
          <w:rStyle w:val="FootnoteReference"/>
        </w:rPr>
        <w:footnoteRef/>
      </w:r>
      <w:r w:rsidRPr="00420A97">
        <w:t xml:space="preserve"> </w:t>
      </w:r>
      <w:r w:rsidRPr="00420A97">
        <w:rPr>
          <w:i/>
          <w:lang w:val="en-ZA"/>
        </w:rPr>
        <w:t>Tumileng Trading CC v National Security and Fire (Pty) Ltd;</w:t>
      </w:r>
      <w:r w:rsidR="00423241" w:rsidRPr="00420A97">
        <w:rPr>
          <w:i/>
          <w:lang w:val="en-ZA"/>
        </w:rPr>
        <w:t xml:space="preserve"> </w:t>
      </w:r>
      <w:r w:rsidRPr="00420A97">
        <w:rPr>
          <w:i/>
          <w:lang w:val="en-ZA"/>
        </w:rPr>
        <w:t xml:space="preserve">E &amp; D Security Systems CC v National Security and Fire (Pty) Ltd </w:t>
      </w:r>
      <w:r w:rsidR="00D96FD7" w:rsidRPr="00420A97">
        <w:rPr>
          <w:lang w:val="en-ZA"/>
        </w:rPr>
        <w:t>(3670/2019; 3671/2019)</w:t>
      </w:r>
      <w:r w:rsidR="00423241" w:rsidRPr="00420A97">
        <w:rPr>
          <w:lang w:val="en-ZA"/>
        </w:rPr>
        <w:t xml:space="preserve"> </w:t>
      </w:r>
      <w:r w:rsidRPr="00420A97">
        <w:rPr>
          <w:lang w:val="en-ZA"/>
        </w:rPr>
        <w:t>[2020] ZAWCHC 52</w:t>
      </w:r>
      <w:r w:rsidR="009B2E5A" w:rsidRPr="00420A97">
        <w:rPr>
          <w:lang w:val="en-ZA"/>
        </w:rPr>
        <w:t xml:space="preserve"> (15 June 2020)</w:t>
      </w:r>
    </w:p>
  </w:footnote>
  <w:footnote w:id="8">
    <w:p w14:paraId="57788793" w14:textId="77777777" w:rsidR="00CA548B" w:rsidRPr="00420A97" w:rsidRDefault="00CA548B" w:rsidP="005D6FF6">
      <w:pPr>
        <w:pStyle w:val="FootnoteText"/>
        <w:jc w:val="both"/>
      </w:pPr>
      <w:r w:rsidRPr="00420A97">
        <w:rPr>
          <w:rStyle w:val="FootnoteReference"/>
        </w:rPr>
        <w:footnoteRef/>
      </w:r>
      <w:r w:rsidRPr="00420A97">
        <w:t xml:space="preserve"> Ibid para12.</w:t>
      </w:r>
    </w:p>
  </w:footnote>
  <w:footnote w:id="9">
    <w:p w14:paraId="45F5E80C" w14:textId="77777777" w:rsidR="00CA548B" w:rsidRPr="00420A97" w:rsidRDefault="00CA548B" w:rsidP="005D6FF6">
      <w:pPr>
        <w:pStyle w:val="FootnoteText"/>
        <w:jc w:val="both"/>
        <w:rPr>
          <w:lang w:val="en-ZA"/>
        </w:rPr>
      </w:pPr>
      <w:r w:rsidRPr="00420A97">
        <w:rPr>
          <w:rStyle w:val="FootnoteReference"/>
        </w:rPr>
        <w:footnoteRef/>
      </w:r>
      <w:r w:rsidRPr="00420A97">
        <w:t xml:space="preserve"> </w:t>
      </w:r>
      <w:r w:rsidRPr="00420A97">
        <w:rPr>
          <w:i/>
          <w:lang w:val="en-ZA"/>
        </w:rPr>
        <w:t>Joob Joob Investments (Pty) Ltd v Stocks Mavundla Joint Venture</w:t>
      </w:r>
      <w:r w:rsidRPr="00420A97">
        <w:t xml:space="preserve"> </w:t>
      </w:r>
      <w:r w:rsidRPr="00420A97">
        <w:rPr>
          <w:i/>
          <w:lang w:val="en-ZA"/>
        </w:rPr>
        <w:t xml:space="preserve">Zek Joint Venture </w:t>
      </w:r>
      <w:r w:rsidRPr="00420A97">
        <w:rPr>
          <w:lang w:val="en-ZA"/>
        </w:rPr>
        <w:t>[2009] ZASCA 23; 2009 (5) SA 1 (SCA); [2009] 3 All SA 407 (SCA) para 32.</w:t>
      </w:r>
    </w:p>
  </w:footnote>
  <w:footnote w:id="10">
    <w:p w14:paraId="05D3DF71" w14:textId="77777777" w:rsidR="00CA548B" w:rsidRPr="00250926" w:rsidRDefault="00CA548B" w:rsidP="005D6FF6">
      <w:pPr>
        <w:pStyle w:val="FootnoteText"/>
        <w:jc w:val="both"/>
        <w:rPr>
          <w:lang w:val="en-ZA"/>
        </w:rPr>
      </w:pPr>
      <w:r w:rsidRPr="00420A97">
        <w:rPr>
          <w:rStyle w:val="FootnoteReference"/>
        </w:rPr>
        <w:footnoteRef/>
      </w:r>
      <w:r w:rsidRPr="00420A97">
        <w:t xml:space="preserve"> </w:t>
      </w:r>
      <w:r w:rsidRPr="00420A97">
        <w:rPr>
          <w:i/>
          <w:lang w:val="en-ZA"/>
        </w:rPr>
        <w:t>Maharaj v Barclays National Bank</w:t>
      </w:r>
      <w:r w:rsidRPr="00420A97">
        <w:rPr>
          <w:lang w:val="en-ZA"/>
        </w:rPr>
        <w:t xml:space="preserve"> </w:t>
      </w:r>
      <w:r w:rsidRPr="00420A97">
        <w:rPr>
          <w:i/>
          <w:lang w:val="en-ZA"/>
        </w:rPr>
        <w:t>Ltd</w:t>
      </w:r>
      <w:r w:rsidR="00423241" w:rsidRPr="00420A97">
        <w:rPr>
          <w:lang w:val="en-ZA"/>
        </w:rPr>
        <w:t xml:space="preserve"> </w:t>
      </w:r>
      <w:r w:rsidRPr="00420A97">
        <w:rPr>
          <w:lang w:val="en-ZA"/>
        </w:rPr>
        <w:t xml:space="preserve">1976 (1) SA 418 (A) at </w:t>
      </w:r>
      <w:r w:rsidR="00423241" w:rsidRPr="00420A97">
        <w:rPr>
          <w:lang w:val="en-ZA"/>
        </w:rPr>
        <w:t>418</w:t>
      </w:r>
      <w:r w:rsidR="00337B4D" w:rsidRPr="00420A97">
        <w:rPr>
          <w:lang w:val="en-ZA"/>
        </w:rPr>
        <w:t>H-419A</w:t>
      </w:r>
      <w:r w:rsidRPr="00420A97">
        <w:rPr>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F6498" w14:textId="77777777" w:rsidR="00CA548B" w:rsidRDefault="00CA54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C2FE6C" w14:textId="77777777" w:rsidR="00CA548B" w:rsidRDefault="00CA548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5BCFC" w14:textId="77777777" w:rsidR="00CA548B" w:rsidRDefault="00CA54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14EB">
      <w:rPr>
        <w:rStyle w:val="PageNumber"/>
        <w:noProof/>
      </w:rPr>
      <w:t>2</w:t>
    </w:r>
    <w:r>
      <w:rPr>
        <w:rStyle w:val="PageNumber"/>
      </w:rPr>
      <w:fldChar w:fldCharType="end"/>
    </w:r>
  </w:p>
  <w:p w14:paraId="760FE63C" w14:textId="77777777" w:rsidR="00CA548B" w:rsidRDefault="00CA548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08332" w14:textId="77777777" w:rsidR="00CA548B" w:rsidRDefault="00CA54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E5FA05" w14:textId="77777777" w:rsidR="00CA548B" w:rsidRDefault="00CA548B">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EBF96" w14:textId="77777777" w:rsidR="00CA548B" w:rsidRDefault="00CA54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66A4">
      <w:rPr>
        <w:rStyle w:val="PageNumber"/>
        <w:noProof/>
      </w:rPr>
      <w:t>2</w:t>
    </w:r>
    <w:r>
      <w:rPr>
        <w:rStyle w:val="PageNumber"/>
      </w:rPr>
      <w:fldChar w:fldCharType="end"/>
    </w:r>
  </w:p>
  <w:p w14:paraId="1408BC6E" w14:textId="77777777" w:rsidR="00CA548B" w:rsidRDefault="00CA548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4D73"/>
    <w:multiLevelType w:val="hybridMultilevel"/>
    <w:tmpl w:val="F0C8EDCE"/>
    <w:lvl w:ilvl="0" w:tplc="4A448992">
      <w:start w:val="1"/>
      <w:numFmt w:val="decimal"/>
      <w:lvlText w:val="[%1]"/>
      <w:lvlJc w:val="left"/>
      <w:pPr>
        <w:ind w:left="720" w:hanging="360"/>
      </w:pPr>
      <w:rPr>
        <w:rFonts w:ascii="Times New Roman" w:hAnsi="Times New Roman" w:hint="default"/>
        <w:b w:val="0"/>
        <w:bCs w:val="0"/>
        <w:i w:val="0"/>
        <w:iCs w:val="0"/>
        <w:sz w:val="28"/>
        <w:szCs w:val="28"/>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9FE7929"/>
    <w:multiLevelType w:val="hybridMultilevel"/>
    <w:tmpl w:val="C458FCA0"/>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53E21"/>
    <w:multiLevelType w:val="hybridMultilevel"/>
    <w:tmpl w:val="82162E42"/>
    <w:lvl w:ilvl="0" w:tplc="FC20E620">
      <w:start w:val="1"/>
      <w:numFmt w:val="lowerRoman"/>
      <w:lvlText w:val="(%1)"/>
      <w:lvlJc w:val="left"/>
      <w:pPr>
        <w:tabs>
          <w:tab w:val="num" w:pos="1464"/>
        </w:tabs>
        <w:ind w:left="1464" w:hanging="372"/>
      </w:pPr>
      <w:rPr>
        <w:rFonts w:ascii="Times New Roman" w:eastAsia="Times New Roman" w:hAnsi="Times New Roman" w:cs="Times New Roman" w:hint="default"/>
      </w:rPr>
    </w:lvl>
    <w:lvl w:ilvl="1" w:tplc="04090019" w:tentative="1">
      <w:start w:val="1"/>
      <w:numFmt w:val="lowerLetter"/>
      <w:lvlText w:val="%2."/>
      <w:lvlJc w:val="left"/>
      <w:pPr>
        <w:tabs>
          <w:tab w:val="num" w:pos="2172"/>
        </w:tabs>
        <w:ind w:left="2172" w:hanging="360"/>
      </w:pPr>
      <w:rPr>
        <w:rFonts w:cs="Times New Roman"/>
      </w:rPr>
    </w:lvl>
    <w:lvl w:ilvl="2" w:tplc="0409001B" w:tentative="1">
      <w:start w:val="1"/>
      <w:numFmt w:val="lowerRoman"/>
      <w:lvlText w:val="%3."/>
      <w:lvlJc w:val="right"/>
      <w:pPr>
        <w:tabs>
          <w:tab w:val="num" w:pos="2892"/>
        </w:tabs>
        <w:ind w:left="2892" w:hanging="180"/>
      </w:pPr>
      <w:rPr>
        <w:rFonts w:cs="Times New Roman"/>
      </w:rPr>
    </w:lvl>
    <w:lvl w:ilvl="3" w:tplc="0409000F" w:tentative="1">
      <w:start w:val="1"/>
      <w:numFmt w:val="decimal"/>
      <w:lvlText w:val="%4."/>
      <w:lvlJc w:val="left"/>
      <w:pPr>
        <w:tabs>
          <w:tab w:val="num" w:pos="3612"/>
        </w:tabs>
        <w:ind w:left="3612" w:hanging="360"/>
      </w:pPr>
      <w:rPr>
        <w:rFonts w:cs="Times New Roman"/>
      </w:rPr>
    </w:lvl>
    <w:lvl w:ilvl="4" w:tplc="04090019" w:tentative="1">
      <w:start w:val="1"/>
      <w:numFmt w:val="lowerLetter"/>
      <w:lvlText w:val="%5."/>
      <w:lvlJc w:val="left"/>
      <w:pPr>
        <w:tabs>
          <w:tab w:val="num" w:pos="4332"/>
        </w:tabs>
        <w:ind w:left="4332" w:hanging="360"/>
      </w:pPr>
      <w:rPr>
        <w:rFonts w:cs="Times New Roman"/>
      </w:rPr>
    </w:lvl>
    <w:lvl w:ilvl="5" w:tplc="0409001B" w:tentative="1">
      <w:start w:val="1"/>
      <w:numFmt w:val="lowerRoman"/>
      <w:lvlText w:val="%6."/>
      <w:lvlJc w:val="right"/>
      <w:pPr>
        <w:tabs>
          <w:tab w:val="num" w:pos="5052"/>
        </w:tabs>
        <w:ind w:left="5052" w:hanging="180"/>
      </w:pPr>
      <w:rPr>
        <w:rFonts w:cs="Times New Roman"/>
      </w:rPr>
    </w:lvl>
    <w:lvl w:ilvl="6" w:tplc="0409000F" w:tentative="1">
      <w:start w:val="1"/>
      <w:numFmt w:val="decimal"/>
      <w:lvlText w:val="%7."/>
      <w:lvlJc w:val="left"/>
      <w:pPr>
        <w:tabs>
          <w:tab w:val="num" w:pos="5772"/>
        </w:tabs>
        <w:ind w:left="5772" w:hanging="360"/>
      </w:pPr>
      <w:rPr>
        <w:rFonts w:cs="Times New Roman"/>
      </w:rPr>
    </w:lvl>
    <w:lvl w:ilvl="7" w:tplc="04090019" w:tentative="1">
      <w:start w:val="1"/>
      <w:numFmt w:val="lowerLetter"/>
      <w:lvlText w:val="%8."/>
      <w:lvlJc w:val="left"/>
      <w:pPr>
        <w:tabs>
          <w:tab w:val="num" w:pos="6492"/>
        </w:tabs>
        <w:ind w:left="6492" w:hanging="360"/>
      </w:pPr>
      <w:rPr>
        <w:rFonts w:cs="Times New Roman"/>
      </w:rPr>
    </w:lvl>
    <w:lvl w:ilvl="8" w:tplc="0409001B" w:tentative="1">
      <w:start w:val="1"/>
      <w:numFmt w:val="lowerRoman"/>
      <w:lvlText w:val="%9."/>
      <w:lvlJc w:val="right"/>
      <w:pPr>
        <w:tabs>
          <w:tab w:val="num" w:pos="7212"/>
        </w:tabs>
        <w:ind w:left="7212" w:hanging="180"/>
      </w:pPr>
      <w:rPr>
        <w:rFonts w:cs="Times New Roman"/>
      </w:rPr>
    </w:lvl>
  </w:abstractNum>
  <w:abstractNum w:abstractNumId="3">
    <w:nsid w:val="2CFC7F5B"/>
    <w:multiLevelType w:val="hybridMultilevel"/>
    <w:tmpl w:val="571C5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9D5228"/>
    <w:multiLevelType w:val="hybridMultilevel"/>
    <w:tmpl w:val="2C6ECB3E"/>
    <w:lvl w:ilvl="0" w:tplc="3AB6D550">
      <w:start w:val="1"/>
      <w:numFmt w:val="decimal"/>
      <w:lvlText w:val="[%1]"/>
      <w:lvlJc w:val="left"/>
      <w:pPr>
        <w:ind w:left="720"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9EA5D1C"/>
    <w:multiLevelType w:val="hybridMultilevel"/>
    <w:tmpl w:val="6FD251CA"/>
    <w:lvl w:ilvl="0" w:tplc="3AB6D550">
      <w:start w:val="1"/>
      <w:numFmt w:val="decimal"/>
      <w:lvlText w:val="[%1]"/>
      <w:lvlJc w:val="left"/>
      <w:pPr>
        <w:ind w:left="720"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C5336F1"/>
    <w:multiLevelType w:val="hybridMultilevel"/>
    <w:tmpl w:val="E4CACFBA"/>
    <w:lvl w:ilvl="0" w:tplc="EB9A2CDE">
      <w:start w:val="2"/>
      <w:numFmt w:val="decimal"/>
      <w:lvlText w:val="%1"/>
      <w:lvlJc w:val="left"/>
      <w:pPr>
        <w:ind w:left="720" w:hanging="360"/>
      </w:pPr>
      <w:rPr>
        <w:rFonts w:ascii="Times New Roman" w:eastAsia="Times New Roman" w:hAnsi="Times New Roman" w:cs="Times New Roman"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65071CC2"/>
    <w:multiLevelType w:val="hybridMultilevel"/>
    <w:tmpl w:val="A4EC6A7E"/>
    <w:lvl w:ilvl="0" w:tplc="CEB21752">
      <w:start w:val="1"/>
      <w:numFmt w:val="decimal"/>
      <w:lvlText w:val="%1"/>
      <w:lvlJc w:val="left"/>
      <w:pPr>
        <w:ind w:left="720" w:hanging="360"/>
      </w:pPr>
      <w:rPr>
        <w:rFonts w:ascii="Times New Roman" w:eastAsia="Times New Roman" w:hAnsi="Times New Roman"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7B25181A"/>
    <w:multiLevelType w:val="hybridMultilevel"/>
    <w:tmpl w:val="8CC622FE"/>
    <w:lvl w:ilvl="0" w:tplc="3AB6D550">
      <w:start w:val="1"/>
      <w:numFmt w:val="decimal"/>
      <w:lvlText w:val="[%1]"/>
      <w:lvlJc w:val="left"/>
      <w:pPr>
        <w:ind w:left="720"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0"/>
  </w:num>
  <w:num w:numId="5">
    <w:abstractNumId w:val="3"/>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4B"/>
    <w:rsid w:val="00003363"/>
    <w:rsid w:val="00004394"/>
    <w:rsid w:val="00007546"/>
    <w:rsid w:val="0001153A"/>
    <w:rsid w:val="00015148"/>
    <w:rsid w:val="00021CE5"/>
    <w:rsid w:val="0002275A"/>
    <w:rsid w:val="00025BD8"/>
    <w:rsid w:val="00033087"/>
    <w:rsid w:val="00035127"/>
    <w:rsid w:val="00040D0E"/>
    <w:rsid w:val="00041237"/>
    <w:rsid w:val="0004140F"/>
    <w:rsid w:val="00041BA4"/>
    <w:rsid w:val="00045F53"/>
    <w:rsid w:val="00050B9C"/>
    <w:rsid w:val="00056099"/>
    <w:rsid w:val="00056A1B"/>
    <w:rsid w:val="0005717F"/>
    <w:rsid w:val="000607D3"/>
    <w:rsid w:val="0006261A"/>
    <w:rsid w:val="00062790"/>
    <w:rsid w:val="00075344"/>
    <w:rsid w:val="00084F5C"/>
    <w:rsid w:val="00086621"/>
    <w:rsid w:val="00086BAF"/>
    <w:rsid w:val="000875EB"/>
    <w:rsid w:val="00090C65"/>
    <w:rsid w:val="000912CF"/>
    <w:rsid w:val="000A02D1"/>
    <w:rsid w:val="000A0F15"/>
    <w:rsid w:val="000A189A"/>
    <w:rsid w:val="000A4348"/>
    <w:rsid w:val="000A6EFA"/>
    <w:rsid w:val="000C19BE"/>
    <w:rsid w:val="000C72E6"/>
    <w:rsid w:val="000D14F7"/>
    <w:rsid w:val="000D3C1F"/>
    <w:rsid w:val="000D3E6C"/>
    <w:rsid w:val="000E0A0D"/>
    <w:rsid w:val="000E3B47"/>
    <w:rsid w:val="000E685D"/>
    <w:rsid w:val="000F5A74"/>
    <w:rsid w:val="00102721"/>
    <w:rsid w:val="00105E11"/>
    <w:rsid w:val="001107D3"/>
    <w:rsid w:val="00110969"/>
    <w:rsid w:val="00112B12"/>
    <w:rsid w:val="00113E86"/>
    <w:rsid w:val="00115F87"/>
    <w:rsid w:val="0011708A"/>
    <w:rsid w:val="00120529"/>
    <w:rsid w:val="00122984"/>
    <w:rsid w:val="001242BF"/>
    <w:rsid w:val="0012494F"/>
    <w:rsid w:val="00125AB2"/>
    <w:rsid w:val="001271AE"/>
    <w:rsid w:val="0013130A"/>
    <w:rsid w:val="00132C74"/>
    <w:rsid w:val="001335A5"/>
    <w:rsid w:val="00135596"/>
    <w:rsid w:val="00144AA4"/>
    <w:rsid w:val="00145199"/>
    <w:rsid w:val="00146275"/>
    <w:rsid w:val="00150155"/>
    <w:rsid w:val="001517B7"/>
    <w:rsid w:val="00152D45"/>
    <w:rsid w:val="0015393A"/>
    <w:rsid w:val="0015751F"/>
    <w:rsid w:val="00174A55"/>
    <w:rsid w:val="00174D79"/>
    <w:rsid w:val="00182950"/>
    <w:rsid w:val="00186A13"/>
    <w:rsid w:val="00187503"/>
    <w:rsid w:val="00194CC2"/>
    <w:rsid w:val="001A374A"/>
    <w:rsid w:val="001A72FB"/>
    <w:rsid w:val="001A7926"/>
    <w:rsid w:val="001B1493"/>
    <w:rsid w:val="001B3A48"/>
    <w:rsid w:val="001B3B3C"/>
    <w:rsid w:val="001B404E"/>
    <w:rsid w:val="001B5A63"/>
    <w:rsid w:val="001B672F"/>
    <w:rsid w:val="001C2031"/>
    <w:rsid w:val="001C281C"/>
    <w:rsid w:val="001C334E"/>
    <w:rsid w:val="001C6198"/>
    <w:rsid w:val="001C786E"/>
    <w:rsid w:val="001D4B97"/>
    <w:rsid w:val="001D602C"/>
    <w:rsid w:val="001D7B5C"/>
    <w:rsid w:val="001E2927"/>
    <w:rsid w:val="001E43DB"/>
    <w:rsid w:val="001E4E1C"/>
    <w:rsid w:val="001F1461"/>
    <w:rsid w:val="001F1570"/>
    <w:rsid w:val="001F3073"/>
    <w:rsid w:val="002000E0"/>
    <w:rsid w:val="00200198"/>
    <w:rsid w:val="0020066A"/>
    <w:rsid w:val="00207141"/>
    <w:rsid w:val="00210AD0"/>
    <w:rsid w:val="002111D3"/>
    <w:rsid w:val="00211BA4"/>
    <w:rsid w:val="002128FC"/>
    <w:rsid w:val="00215632"/>
    <w:rsid w:val="00221B8D"/>
    <w:rsid w:val="00222C6C"/>
    <w:rsid w:val="002278C6"/>
    <w:rsid w:val="00234915"/>
    <w:rsid w:val="00235B71"/>
    <w:rsid w:val="00244EEB"/>
    <w:rsid w:val="00246CED"/>
    <w:rsid w:val="00250926"/>
    <w:rsid w:val="00252175"/>
    <w:rsid w:val="0025256B"/>
    <w:rsid w:val="0025461E"/>
    <w:rsid w:val="00255F66"/>
    <w:rsid w:val="002576FA"/>
    <w:rsid w:val="00260878"/>
    <w:rsid w:val="00263DB5"/>
    <w:rsid w:val="00270090"/>
    <w:rsid w:val="00270C46"/>
    <w:rsid w:val="0027274A"/>
    <w:rsid w:val="002733DF"/>
    <w:rsid w:val="00274CB2"/>
    <w:rsid w:val="00276FF3"/>
    <w:rsid w:val="00283639"/>
    <w:rsid w:val="0028472D"/>
    <w:rsid w:val="00287D53"/>
    <w:rsid w:val="00292B3B"/>
    <w:rsid w:val="0029649C"/>
    <w:rsid w:val="0029712B"/>
    <w:rsid w:val="002A1C51"/>
    <w:rsid w:val="002B2F6F"/>
    <w:rsid w:val="002C39A4"/>
    <w:rsid w:val="002C47CD"/>
    <w:rsid w:val="002C505B"/>
    <w:rsid w:val="002D371F"/>
    <w:rsid w:val="002D6343"/>
    <w:rsid w:val="002E4880"/>
    <w:rsid w:val="002F06D5"/>
    <w:rsid w:val="002F34A9"/>
    <w:rsid w:val="003067F6"/>
    <w:rsid w:val="00306C66"/>
    <w:rsid w:val="0031038D"/>
    <w:rsid w:val="0031095E"/>
    <w:rsid w:val="003119B4"/>
    <w:rsid w:val="00321D58"/>
    <w:rsid w:val="00321E44"/>
    <w:rsid w:val="0032784E"/>
    <w:rsid w:val="00331D70"/>
    <w:rsid w:val="00332CE4"/>
    <w:rsid w:val="00335ECF"/>
    <w:rsid w:val="00336A4C"/>
    <w:rsid w:val="00337B4D"/>
    <w:rsid w:val="00345B51"/>
    <w:rsid w:val="00345FF0"/>
    <w:rsid w:val="00347209"/>
    <w:rsid w:val="00350777"/>
    <w:rsid w:val="00353FB9"/>
    <w:rsid w:val="00373363"/>
    <w:rsid w:val="0037374A"/>
    <w:rsid w:val="00374C09"/>
    <w:rsid w:val="00376EB1"/>
    <w:rsid w:val="00380806"/>
    <w:rsid w:val="00380C9A"/>
    <w:rsid w:val="00381222"/>
    <w:rsid w:val="00383054"/>
    <w:rsid w:val="0039128F"/>
    <w:rsid w:val="00393A36"/>
    <w:rsid w:val="00393A4E"/>
    <w:rsid w:val="003951DE"/>
    <w:rsid w:val="003969E2"/>
    <w:rsid w:val="003A22CD"/>
    <w:rsid w:val="003A44D0"/>
    <w:rsid w:val="003A6AA9"/>
    <w:rsid w:val="003A6B93"/>
    <w:rsid w:val="003A775A"/>
    <w:rsid w:val="003B1D8E"/>
    <w:rsid w:val="003B23E3"/>
    <w:rsid w:val="003B47A3"/>
    <w:rsid w:val="003B56E5"/>
    <w:rsid w:val="003B77D0"/>
    <w:rsid w:val="003C4703"/>
    <w:rsid w:val="003C4C5A"/>
    <w:rsid w:val="003D07D2"/>
    <w:rsid w:val="003D1622"/>
    <w:rsid w:val="003D663E"/>
    <w:rsid w:val="003D698B"/>
    <w:rsid w:val="003D6C61"/>
    <w:rsid w:val="003E07EF"/>
    <w:rsid w:val="003E22D3"/>
    <w:rsid w:val="003E5A26"/>
    <w:rsid w:val="003E6796"/>
    <w:rsid w:val="003E7671"/>
    <w:rsid w:val="003F29C5"/>
    <w:rsid w:val="003F3906"/>
    <w:rsid w:val="003F5792"/>
    <w:rsid w:val="00402010"/>
    <w:rsid w:val="0040539D"/>
    <w:rsid w:val="004078AE"/>
    <w:rsid w:val="004103FF"/>
    <w:rsid w:val="00417B2B"/>
    <w:rsid w:val="00420A97"/>
    <w:rsid w:val="00423241"/>
    <w:rsid w:val="00425095"/>
    <w:rsid w:val="0042596F"/>
    <w:rsid w:val="0043092B"/>
    <w:rsid w:val="00431C94"/>
    <w:rsid w:val="004341F3"/>
    <w:rsid w:val="00437CE1"/>
    <w:rsid w:val="004463E5"/>
    <w:rsid w:val="00446FD0"/>
    <w:rsid w:val="00450C18"/>
    <w:rsid w:val="00457137"/>
    <w:rsid w:val="00457A71"/>
    <w:rsid w:val="004636C6"/>
    <w:rsid w:val="00465FF6"/>
    <w:rsid w:val="004663CA"/>
    <w:rsid w:val="00471B41"/>
    <w:rsid w:val="00476F3A"/>
    <w:rsid w:val="004775B8"/>
    <w:rsid w:val="00482960"/>
    <w:rsid w:val="00482E4A"/>
    <w:rsid w:val="00486E2E"/>
    <w:rsid w:val="00487261"/>
    <w:rsid w:val="00487D4F"/>
    <w:rsid w:val="004906D0"/>
    <w:rsid w:val="0049284D"/>
    <w:rsid w:val="004A25C7"/>
    <w:rsid w:val="004A2686"/>
    <w:rsid w:val="004A2F92"/>
    <w:rsid w:val="004A41C1"/>
    <w:rsid w:val="004A42BE"/>
    <w:rsid w:val="004A6F74"/>
    <w:rsid w:val="004B1F2B"/>
    <w:rsid w:val="004B697C"/>
    <w:rsid w:val="004D0562"/>
    <w:rsid w:val="004D0981"/>
    <w:rsid w:val="004D0DDC"/>
    <w:rsid w:val="004D1882"/>
    <w:rsid w:val="004D583C"/>
    <w:rsid w:val="004E0231"/>
    <w:rsid w:val="004E2361"/>
    <w:rsid w:val="004E478D"/>
    <w:rsid w:val="004E5312"/>
    <w:rsid w:val="004E5FFF"/>
    <w:rsid w:val="004E7F8B"/>
    <w:rsid w:val="004F1B04"/>
    <w:rsid w:val="004F3D13"/>
    <w:rsid w:val="004F3DC2"/>
    <w:rsid w:val="004F406C"/>
    <w:rsid w:val="004F4762"/>
    <w:rsid w:val="004F66A4"/>
    <w:rsid w:val="0050107D"/>
    <w:rsid w:val="00513932"/>
    <w:rsid w:val="00515A2F"/>
    <w:rsid w:val="0052307D"/>
    <w:rsid w:val="00524297"/>
    <w:rsid w:val="00524564"/>
    <w:rsid w:val="00527EFB"/>
    <w:rsid w:val="00532B72"/>
    <w:rsid w:val="00535792"/>
    <w:rsid w:val="00541B96"/>
    <w:rsid w:val="00544AD4"/>
    <w:rsid w:val="00547245"/>
    <w:rsid w:val="00551958"/>
    <w:rsid w:val="00553797"/>
    <w:rsid w:val="00554314"/>
    <w:rsid w:val="00555FF8"/>
    <w:rsid w:val="00560364"/>
    <w:rsid w:val="005603FE"/>
    <w:rsid w:val="00560F9F"/>
    <w:rsid w:val="00566E85"/>
    <w:rsid w:val="0056792A"/>
    <w:rsid w:val="005679E6"/>
    <w:rsid w:val="0057193F"/>
    <w:rsid w:val="00575EFE"/>
    <w:rsid w:val="00580EF1"/>
    <w:rsid w:val="00582187"/>
    <w:rsid w:val="00585385"/>
    <w:rsid w:val="00585B92"/>
    <w:rsid w:val="00593753"/>
    <w:rsid w:val="00595447"/>
    <w:rsid w:val="005B1C5F"/>
    <w:rsid w:val="005B49E2"/>
    <w:rsid w:val="005C0AF7"/>
    <w:rsid w:val="005C175B"/>
    <w:rsid w:val="005D21DD"/>
    <w:rsid w:val="005D6FF6"/>
    <w:rsid w:val="005E6E49"/>
    <w:rsid w:val="005E73EA"/>
    <w:rsid w:val="005E7B40"/>
    <w:rsid w:val="005F0A7F"/>
    <w:rsid w:val="005F0CB6"/>
    <w:rsid w:val="005F7B76"/>
    <w:rsid w:val="00600361"/>
    <w:rsid w:val="006165CF"/>
    <w:rsid w:val="00617778"/>
    <w:rsid w:val="0062089D"/>
    <w:rsid w:val="006229D9"/>
    <w:rsid w:val="00631B66"/>
    <w:rsid w:val="00632C33"/>
    <w:rsid w:val="00632CAC"/>
    <w:rsid w:val="00633E3F"/>
    <w:rsid w:val="00641DFB"/>
    <w:rsid w:val="00642FFD"/>
    <w:rsid w:val="00644B1A"/>
    <w:rsid w:val="0064544B"/>
    <w:rsid w:val="006461F0"/>
    <w:rsid w:val="0064622E"/>
    <w:rsid w:val="00646D92"/>
    <w:rsid w:val="00647D59"/>
    <w:rsid w:val="006565CD"/>
    <w:rsid w:val="00665E25"/>
    <w:rsid w:val="00666A0E"/>
    <w:rsid w:val="00671A65"/>
    <w:rsid w:val="006809A0"/>
    <w:rsid w:val="0068385A"/>
    <w:rsid w:val="00685D3F"/>
    <w:rsid w:val="00692C5A"/>
    <w:rsid w:val="00694B7C"/>
    <w:rsid w:val="00694FE9"/>
    <w:rsid w:val="00695861"/>
    <w:rsid w:val="006964DA"/>
    <w:rsid w:val="006A00E2"/>
    <w:rsid w:val="006A6154"/>
    <w:rsid w:val="006B0B2B"/>
    <w:rsid w:val="006B31A6"/>
    <w:rsid w:val="006C0DD3"/>
    <w:rsid w:val="006C20F6"/>
    <w:rsid w:val="006C27F0"/>
    <w:rsid w:val="006C3071"/>
    <w:rsid w:val="006C656C"/>
    <w:rsid w:val="006D00CB"/>
    <w:rsid w:val="006D0734"/>
    <w:rsid w:val="006D1C69"/>
    <w:rsid w:val="006D5D75"/>
    <w:rsid w:val="006D71E7"/>
    <w:rsid w:val="006E12F1"/>
    <w:rsid w:val="006E4BB5"/>
    <w:rsid w:val="006F2A40"/>
    <w:rsid w:val="006F6926"/>
    <w:rsid w:val="007006E1"/>
    <w:rsid w:val="00716F26"/>
    <w:rsid w:val="0071790D"/>
    <w:rsid w:val="00721196"/>
    <w:rsid w:val="00721F92"/>
    <w:rsid w:val="00724CCD"/>
    <w:rsid w:val="00725352"/>
    <w:rsid w:val="00735691"/>
    <w:rsid w:val="00737C2C"/>
    <w:rsid w:val="00740241"/>
    <w:rsid w:val="007433EC"/>
    <w:rsid w:val="0075144D"/>
    <w:rsid w:val="00760F4B"/>
    <w:rsid w:val="00762705"/>
    <w:rsid w:val="00767F70"/>
    <w:rsid w:val="00771D1E"/>
    <w:rsid w:val="00773ADE"/>
    <w:rsid w:val="00780839"/>
    <w:rsid w:val="00781D13"/>
    <w:rsid w:val="007822A3"/>
    <w:rsid w:val="00784794"/>
    <w:rsid w:val="007847F4"/>
    <w:rsid w:val="00784DDD"/>
    <w:rsid w:val="007913F3"/>
    <w:rsid w:val="00793C50"/>
    <w:rsid w:val="00794148"/>
    <w:rsid w:val="00797D98"/>
    <w:rsid w:val="007A0BA6"/>
    <w:rsid w:val="007A5720"/>
    <w:rsid w:val="007A76F6"/>
    <w:rsid w:val="007B3A61"/>
    <w:rsid w:val="007B5C07"/>
    <w:rsid w:val="007C3491"/>
    <w:rsid w:val="007C3643"/>
    <w:rsid w:val="007C451F"/>
    <w:rsid w:val="007C67F1"/>
    <w:rsid w:val="007C73D4"/>
    <w:rsid w:val="007D36E6"/>
    <w:rsid w:val="007D42B6"/>
    <w:rsid w:val="007D5E6C"/>
    <w:rsid w:val="007D6F40"/>
    <w:rsid w:val="007E01E1"/>
    <w:rsid w:val="007E70E6"/>
    <w:rsid w:val="007F5383"/>
    <w:rsid w:val="008120F1"/>
    <w:rsid w:val="00817CD4"/>
    <w:rsid w:val="00822309"/>
    <w:rsid w:val="0082358B"/>
    <w:rsid w:val="0082376D"/>
    <w:rsid w:val="00824702"/>
    <w:rsid w:val="0083334E"/>
    <w:rsid w:val="0083553F"/>
    <w:rsid w:val="00835962"/>
    <w:rsid w:val="00841B06"/>
    <w:rsid w:val="00842CEB"/>
    <w:rsid w:val="00850B49"/>
    <w:rsid w:val="0085169B"/>
    <w:rsid w:val="00854C97"/>
    <w:rsid w:val="00856023"/>
    <w:rsid w:val="00861A0F"/>
    <w:rsid w:val="00862F84"/>
    <w:rsid w:val="00864E39"/>
    <w:rsid w:val="00865154"/>
    <w:rsid w:val="00865450"/>
    <w:rsid w:val="008658AE"/>
    <w:rsid w:val="008737F0"/>
    <w:rsid w:val="00876A64"/>
    <w:rsid w:val="00877E3D"/>
    <w:rsid w:val="00882DB0"/>
    <w:rsid w:val="00886873"/>
    <w:rsid w:val="008956DE"/>
    <w:rsid w:val="00895FCD"/>
    <w:rsid w:val="008A26AE"/>
    <w:rsid w:val="008A478B"/>
    <w:rsid w:val="008A4DB2"/>
    <w:rsid w:val="008A7E0B"/>
    <w:rsid w:val="008B13A2"/>
    <w:rsid w:val="008B2D9A"/>
    <w:rsid w:val="008B4328"/>
    <w:rsid w:val="008B69D3"/>
    <w:rsid w:val="008B6EA1"/>
    <w:rsid w:val="008B7C2B"/>
    <w:rsid w:val="008C15C7"/>
    <w:rsid w:val="008C1BBA"/>
    <w:rsid w:val="008C29C2"/>
    <w:rsid w:val="008C2E0F"/>
    <w:rsid w:val="008C4BB3"/>
    <w:rsid w:val="008D37F7"/>
    <w:rsid w:val="008D6AA1"/>
    <w:rsid w:val="008E079F"/>
    <w:rsid w:val="008E1813"/>
    <w:rsid w:val="008E2D4B"/>
    <w:rsid w:val="008E429C"/>
    <w:rsid w:val="008E5529"/>
    <w:rsid w:val="008E64F1"/>
    <w:rsid w:val="008F1052"/>
    <w:rsid w:val="008F1B9F"/>
    <w:rsid w:val="008F52FB"/>
    <w:rsid w:val="0090016D"/>
    <w:rsid w:val="00905DDC"/>
    <w:rsid w:val="0090611C"/>
    <w:rsid w:val="0090692D"/>
    <w:rsid w:val="00911C1C"/>
    <w:rsid w:val="00914604"/>
    <w:rsid w:val="009169F8"/>
    <w:rsid w:val="00921B97"/>
    <w:rsid w:val="00931E16"/>
    <w:rsid w:val="0093367B"/>
    <w:rsid w:val="009409EB"/>
    <w:rsid w:val="009414EB"/>
    <w:rsid w:val="00942435"/>
    <w:rsid w:val="00946B95"/>
    <w:rsid w:val="0095036F"/>
    <w:rsid w:val="009505D3"/>
    <w:rsid w:val="0095211B"/>
    <w:rsid w:val="009576F7"/>
    <w:rsid w:val="009672E2"/>
    <w:rsid w:val="009672FE"/>
    <w:rsid w:val="00970531"/>
    <w:rsid w:val="00970EA3"/>
    <w:rsid w:val="009711FB"/>
    <w:rsid w:val="0097146C"/>
    <w:rsid w:val="009725BD"/>
    <w:rsid w:val="00973D4C"/>
    <w:rsid w:val="00980980"/>
    <w:rsid w:val="00990292"/>
    <w:rsid w:val="00994253"/>
    <w:rsid w:val="009A0D62"/>
    <w:rsid w:val="009A3BE5"/>
    <w:rsid w:val="009A5849"/>
    <w:rsid w:val="009A5D48"/>
    <w:rsid w:val="009B1514"/>
    <w:rsid w:val="009B2E5A"/>
    <w:rsid w:val="009B320D"/>
    <w:rsid w:val="009B55B0"/>
    <w:rsid w:val="009C0470"/>
    <w:rsid w:val="009C100C"/>
    <w:rsid w:val="009C1A1A"/>
    <w:rsid w:val="009C2AEB"/>
    <w:rsid w:val="009C72EC"/>
    <w:rsid w:val="009C7885"/>
    <w:rsid w:val="009D08C6"/>
    <w:rsid w:val="009E2814"/>
    <w:rsid w:val="009F124B"/>
    <w:rsid w:val="00A00FCA"/>
    <w:rsid w:val="00A02D6F"/>
    <w:rsid w:val="00A04C04"/>
    <w:rsid w:val="00A05A85"/>
    <w:rsid w:val="00A05E28"/>
    <w:rsid w:val="00A06A53"/>
    <w:rsid w:val="00A10968"/>
    <w:rsid w:val="00A11717"/>
    <w:rsid w:val="00A25073"/>
    <w:rsid w:val="00A260CB"/>
    <w:rsid w:val="00A26E1E"/>
    <w:rsid w:val="00A27F01"/>
    <w:rsid w:val="00A33A2B"/>
    <w:rsid w:val="00A40649"/>
    <w:rsid w:val="00A41862"/>
    <w:rsid w:val="00A44664"/>
    <w:rsid w:val="00A4512C"/>
    <w:rsid w:val="00A45F0F"/>
    <w:rsid w:val="00A511CB"/>
    <w:rsid w:val="00A52824"/>
    <w:rsid w:val="00A530AB"/>
    <w:rsid w:val="00A5425D"/>
    <w:rsid w:val="00A56BF0"/>
    <w:rsid w:val="00A60114"/>
    <w:rsid w:val="00A62175"/>
    <w:rsid w:val="00A6264E"/>
    <w:rsid w:val="00A72614"/>
    <w:rsid w:val="00A76974"/>
    <w:rsid w:val="00A773E9"/>
    <w:rsid w:val="00A914E3"/>
    <w:rsid w:val="00A91C4B"/>
    <w:rsid w:val="00A91C92"/>
    <w:rsid w:val="00A926F8"/>
    <w:rsid w:val="00A93D0C"/>
    <w:rsid w:val="00A9440C"/>
    <w:rsid w:val="00AA07C0"/>
    <w:rsid w:val="00AA0973"/>
    <w:rsid w:val="00AA54B0"/>
    <w:rsid w:val="00AA5F15"/>
    <w:rsid w:val="00AA6247"/>
    <w:rsid w:val="00AB47F8"/>
    <w:rsid w:val="00AB760E"/>
    <w:rsid w:val="00AC6141"/>
    <w:rsid w:val="00AD1D27"/>
    <w:rsid w:val="00AD429C"/>
    <w:rsid w:val="00AD5A7A"/>
    <w:rsid w:val="00AD73B8"/>
    <w:rsid w:val="00AE19D9"/>
    <w:rsid w:val="00AE2549"/>
    <w:rsid w:val="00AE3C2F"/>
    <w:rsid w:val="00AF342A"/>
    <w:rsid w:val="00AF61D7"/>
    <w:rsid w:val="00B04769"/>
    <w:rsid w:val="00B06CF5"/>
    <w:rsid w:val="00B073CF"/>
    <w:rsid w:val="00B07D29"/>
    <w:rsid w:val="00B12F99"/>
    <w:rsid w:val="00B15320"/>
    <w:rsid w:val="00B20292"/>
    <w:rsid w:val="00B21923"/>
    <w:rsid w:val="00B2200C"/>
    <w:rsid w:val="00B23DE6"/>
    <w:rsid w:val="00B30BA6"/>
    <w:rsid w:val="00B31210"/>
    <w:rsid w:val="00B323DF"/>
    <w:rsid w:val="00B4311D"/>
    <w:rsid w:val="00B434D5"/>
    <w:rsid w:val="00B448D8"/>
    <w:rsid w:val="00B50283"/>
    <w:rsid w:val="00B55F93"/>
    <w:rsid w:val="00B57348"/>
    <w:rsid w:val="00B60822"/>
    <w:rsid w:val="00B727D8"/>
    <w:rsid w:val="00B7281D"/>
    <w:rsid w:val="00B760D7"/>
    <w:rsid w:val="00B766B4"/>
    <w:rsid w:val="00B76A3F"/>
    <w:rsid w:val="00B8307B"/>
    <w:rsid w:val="00B831A8"/>
    <w:rsid w:val="00B9402D"/>
    <w:rsid w:val="00B97461"/>
    <w:rsid w:val="00B97C5A"/>
    <w:rsid w:val="00BA0DD2"/>
    <w:rsid w:val="00BA2EFA"/>
    <w:rsid w:val="00BB0019"/>
    <w:rsid w:val="00BB18EF"/>
    <w:rsid w:val="00BC4B53"/>
    <w:rsid w:val="00BD387C"/>
    <w:rsid w:val="00BD6722"/>
    <w:rsid w:val="00BD6CFD"/>
    <w:rsid w:val="00BE2175"/>
    <w:rsid w:val="00BE3F9B"/>
    <w:rsid w:val="00BE45A8"/>
    <w:rsid w:val="00BF17F0"/>
    <w:rsid w:val="00BF35DB"/>
    <w:rsid w:val="00C00BB2"/>
    <w:rsid w:val="00C028E2"/>
    <w:rsid w:val="00C0310A"/>
    <w:rsid w:val="00C07638"/>
    <w:rsid w:val="00C115C3"/>
    <w:rsid w:val="00C11677"/>
    <w:rsid w:val="00C16C3A"/>
    <w:rsid w:val="00C2258A"/>
    <w:rsid w:val="00C24E3C"/>
    <w:rsid w:val="00C25195"/>
    <w:rsid w:val="00C3353C"/>
    <w:rsid w:val="00C33B99"/>
    <w:rsid w:val="00C33F89"/>
    <w:rsid w:val="00C350A1"/>
    <w:rsid w:val="00C35B81"/>
    <w:rsid w:val="00C35E3F"/>
    <w:rsid w:val="00C36250"/>
    <w:rsid w:val="00C41D2D"/>
    <w:rsid w:val="00C44A95"/>
    <w:rsid w:val="00C506DF"/>
    <w:rsid w:val="00C51406"/>
    <w:rsid w:val="00C55485"/>
    <w:rsid w:val="00C564DB"/>
    <w:rsid w:val="00C56D63"/>
    <w:rsid w:val="00C5754F"/>
    <w:rsid w:val="00C704A3"/>
    <w:rsid w:val="00C71E74"/>
    <w:rsid w:val="00C72C3F"/>
    <w:rsid w:val="00C7374B"/>
    <w:rsid w:val="00C805EC"/>
    <w:rsid w:val="00C822EC"/>
    <w:rsid w:val="00C82FFA"/>
    <w:rsid w:val="00C87F9E"/>
    <w:rsid w:val="00C9351A"/>
    <w:rsid w:val="00C93683"/>
    <w:rsid w:val="00C9466D"/>
    <w:rsid w:val="00C951B9"/>
    <w:rsid w:val="00C95EC6"/>
    <w:rsid w:val="00CA548B"/>
    <w:rsid w:val="00CB0381"/>
    <w:rsid w:val="00CB47EB"/>
    <w:rsid w:val="00CB5F3E"/>
    <w:rsid w:val="00CB66DD"/>
    <w:rsid w:val="00CC0728"/>
    <w:rsid w:val="00CC0B96"/>
    <w:rsid w:val="00CC5302"/>
    <w:rsid w:val="00CD30E7"/>
    <w:rsid w:val="00CE0D25"/>
    <w:rsid w:val="00CE1535"/>
    <w:rsid w:val="00CF0051"/>
    <w:rsid w:val="00CF3919"/>
    <w:rsid w:val="00D06E13"/>
    <w:rsid w:val="00D10639"/>
    <w:rsid w:val="00D10689"/>
    <w:rsid w:val="00D11718"/>
    <w:rsid w:val="00D16FA2"/>
    <w:rsid w:val="00D2161C"/>
    <w:rsid w:val="00D22B9D"/>
    <w:rsid w:val="00D2316D"/>
    <w:rsid w:val="00D27042"/>
    <w:rsid w:val="00D3605A"/>
    <w:rsid w:val="00D40085"/>
    <w:rsid w:val="00D41157"/>
    <w:rsid w:val="00D428B3"/>
    <w:rsid w:val="00D4366E"/>
    <w:rsid w:val="00D46450"/>
    <w:rsid w:val="00D4750A"/>
    <w:rsid w:val="00D47F43"/>
    <w:rsid w:val="00D544D7"/>
    <w:rsid w:val="00D5529A"/>
    <w:rsid w:val="00D56921"/>
    <w:rsid w:val="00D63ECE"/>
    <w:rsid w:val="00D6479E"/>
    <w:rsid w:val="00D7009F"/>
    <w:rsid w:val="00D722CC"/>
    <w:rsid w:val="00D73361"/>
    <w:rsid w:val="00D737CD"/>
    <w:rsid w:val="00D74D64"/>
    <w:rsid w:val="00D75512"/>
    <w:rsid w:val="00D802E4"/>
    <w:rsid w:val="00D82BFE"/>
    <w:rsid w:val="00D83075"/>
    <w:rsid w:val="00D83CB0"/>
    <w:rsid w:val="00D87F23"/>
    <w:rsid w:val="00D9187E"/>
    <w:rsid w:val="00D9296C"/>
    <w:rsid w:val="00D92AC4"/>
    <w:rsid w:val="00D96BC9"/>
    <w:rsid w:val="00D96CB8"/>
    <w:rsid w:val="00D96FD7"/>
    <w:rsid w:val="00D97AE4"/>
    <w:rsid w:val="00DA1F08"/>
    <w:rsid w:val="00DA60A5"/>
    <w:rsid w:val="00DB30AE"/>
    <w:rsid w:val="00DB56F6"/>
    <w:rsid w:val="00DC184C"/>
    <w:rsid w:val="00DC7436"/>
    <w:rsid w:val="00DD12AD"/>
    <w:rsid w:val="00DD4A71"/>
    <w:rsid w:val="00DE056B"/>
    <w:rsid w:val="00DE34BE"/>
    <w:rsid w:val="00DE556B"/>
    <w:rsid w:val="00DF712B"/>
    <w:rsid w:val="00E035DF"/>
    <w:rsid w:val="00E0393F"/>
    <w:rsid w:val="00E076EB"/>
    <w:rsid w:val="00E100C9"/>
    <w:rsid w:val="00E14767"/>
    <w:rsid w:val="00E22FEB"/>
    <w:rsid w:val="00E2374C"/>
    <w:rsid w:val="00E26621"/>
    <w:rsid w:val="00E3134B"/>
    <w:rsid w:val="00E3244F"/>
    <w:rsid w:val="00E33EF3"/>
    <w:rsid w:val="00E3485C"/>
    <w:rsid w:val="00E46098"/>
    <w:rsid w:val="00E470AB"/>
    <w:rsid w:val="00E50F79"/>
    <w:rsid w:val="00E51C28"/>
    <w:rsid w:val="00E5619F"/>
    <w:rsid w:val="00E628BC"/>
    <w:rsid w:val="00E63E54"/>
    <w:rsid w:val="00E65F3E"/>
    <w:rsid w:val="00E6691F"/>
    <w:rsid w:val="00E675CD"/>
    <w:rsid w:val="00E70CAA"/>
    <w:rsid w:val="00E71094"/>
    <w:rsid w:val="00E71B3B"/>
    <w:rsid w:val="00E725A8"/>
    <w:rsid w:val="00E725EC"/>
    <w:rsid w:val="00E76593"/>
    <w:rsid w:val="00E813DE"/>
    <w:rsid w:val="00E85AEE"/>
    <w:rsid w:val="00E86E00"/>
    <w:rsid w:val="00E90601"/>
    <w:rsid w:val="00E91D3B"/>
    <w:rsid w:val="00E97CFA"/>
    <w:rsid w:val="00E97D4E"/>
    <w:rsid w:val="00EB1A49"/>
    <w:rsid w:val="00EB4A87"/>
    <w:rsid w:val="00EC02B0"/>
    <w:rsid w:val="00EC2829"/>
    <w:rsid w:val="00EC2906"/>
    <w:rsid w:val="00EC2C97"/>
    <w:rsid w:val="00EC40B2"/>
    <w:rsid w:val="00EC489C"/>
    <w:rsid w:val="00EC63A4"/>
    <w:rsid w:val="00ED1062"/>
    <w:rsid w:val="00ED1536"/>
    <w:rsid w:val="00ED3257"/>
    <w:rsid w:val="00EE0C04"/>
    <w:rsid w:val="00EE3243"/>
    <w:rsid w:val="00EE4518"/>
    <w:rsid w:val="00EE68F2"/>
    <w:rsid w:val="00EE6BF2"/>
    <w:rsid w:val="00EE72F9"/>
    <w:rsid w:val="00EF3D42"/>
    <w:rsid w:val="00EF47A6"/>
    <w:rsid w:val="00EF52AB"/>
    <w:rsid w:val="00EF7F68"/>
    <w:rsid w:val="00F00CAC"/>
    <w:rsid w:val="00F017F6"/>
    <w:rsid w:val="00F0305C"/>
    <w:rsid w:val="00F03E30"/>
    <w:rsid w:val="00F04910"/>
    <w:rsid w:val="00F07407"/>
    <w:rsid w:val="00F113B0"/>
    <w:rsid w:val="00F1352E"/>
    <w:rsid w:val="00F13B62"/>
    <w:rsid w:val="00F1569F"/>
    <w:rsid w:val="00F15997"/>
    <w:rsid w:val="00F20039"/>
    <w:rsid w:val="00F24EC4"/>
    <w:rsid w:val="00F277D6"/>
    <w:rsid w:val="00F279B0"/>
    <w:rsid w:val="00F31332"/>
    <w:rsid w:val="00F32BB9"/>
    <w:rsid w:val="00F37CE1"/>
    <w:rsid w:val="00F411BF"/>
    <w:rsid w:val="00F431B1"/>
    <w:rsid w:val="00F437A7"/>
    <w:rsid w:val="00F44702"/>
    <w:rsid w:val="00F450DF"/>
    <w:rsid w:val="00F51869"/>
    <w:rsid w:val="00F608C8"/>
    <w:rsid w:val="00F60F4A"/>
    <w:rsid w:val="00F6168B"/>
    <w:rsid w:val="00F62C69"/>
    <w:rsid w:val="00F62DD4"/>
    <w:rsid w:val="00F647CA"/>
    <w:rsid w:val="00F73FAE"/>
    <w:rsid w:val="00F75669"/>
    <w:rsid w:val="00F902B3"/>
    <w:rsid w:val="00F9740B"/>
    <w:rsid w:val="00F97A6D"/>
    <w:rsid w:val="00FA0B18"/>
    <w:rsid w:val="00FA16B8"/>
    <w:rsid w:val="00FA233D"/>
    <w:rsid w:val="00FA23D4"/>
    <w:rsid w:val="00FB1024"/>
    <w:rsid w:val="00FB1B13"/>
    <w:rsid w:val="00FB614A"/>
    <w:rsid w:val="00FC37E1"/>
    <w:rsid w:val="00FC7E84"/>
    <w:rsid w:val="00FD0073"/>
    <w:rsid w:val="00FD0636"/>
    <w:rsid w:val="00FD096C"/>
    <w:rsid w:val="00FD1CE4"/>
    <w:rsid w:val="00FD2F81"/>
    <w:rsid w:val="00FD4079"/>
    <w:rsid w:val="00FE0896"/>
    <w:rsid w:val="00FE4528"/>
    <w:rsid w:val="00FE6BA3"/>
    <w:rsid w:val="00FF26A4"/>
    <w:rsid w:val="00FF7DF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95DCCD"/>
  <w15:docId w15:val="{33DCE4ED-4C80-EE4C-B8B0-701649E7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C4B"/>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A91C4B"/>
    <w:pPr>
      <w:keepNext/>
      <w:spacing w:line="360" w:lineRule="auto"/>
      <w:outlineLvl w:val="0"/>
    </w:pPr>
    <w:rPr>
      <w:rFonts w:ascii="Arial" w:hAnsi="Arial" w:cs="Arial"/>
      <w:b/>
      <w:bCs/>
      <w:sz w:val="28"/>
    </w:rPr>
  </w:style>
  <w:style w:type="paragraph" w:styleId="Heading2">
    <w:name w:val="heading 2"/>
    <w:basedOn w:val="Normal"/>
    <w:next w:val="Normal"/>
    <w:link w:val="Heading2Char"/>
    <w:uiPriority w:val="99"/>
    <w:qFormat/>
    <w:rsid w:val="00A91C4B"/>
    <w:pPr>
      <w:keepNext/>
      <w:spacing w:line="360" w:lineRule="auto"/>
      <w:jc w:val="both"/>
      <w:outlineLvl w:val="1"/>
    </w:pPr>
    <w:rPr>
      <w:rFonts w:ascii="Arial" w:hAnsi="Arial" w:cs="Arial"/>
      <w:b/>
      <w:bCs/>
      <w:sz w:val="28"/>
    </w:rPr>
  </w:style>
  <w:style w:type="paragraph" w:styleId="Heading3">
    <w:name w:val="heading 3"/>
    <w:basedOn w:val="Normal"/>
    <w:next w:val="Normal"/>
    <w:link w:val="Heading3Char"/>
    <w:qFormat/>
    <w:rsid w:val="00A91C4B"/>
    <w:pPr>
      <w:keepNext/>
      <w:spacing w:line="360" w:lineRule="auto"/>
      <w:jc w:val="both"/>
      <w:outlineLvl w:val="2"/>
    </w:pPr>
    <w:rPr>
      <w:rFonts w:ascii="Arial" w:hAnsi="Arial" w:cs="Arial"/>
      <w:i/>
      <w:iCs/>
      <w:sz w:val="28"/>
    </w:rPr>
  </w:style>
  <w:style w:type="paragraph" w:styleId="Heading4">
    <w:name w:val="heading 4"/>
    <w:basedOn w:val="Normal"/>
    <w:next w:val="Normal"/>
    <w:link w:val="Heading4Char"/>
    <w:uiPriority w:val="99"/>
    <w:qFormat/>
    <w:rsid w:val="00A91C4B"/>
    <w:pPr>
      <w:keepNext/>
      <w:outlineLvl w:val="3"/>
    </w:pPr>
    <w:rPr>
      <w:rFonts w:ascii="Arial" w:hAnsi="Arial" w:cs="Arial"/>
      <w:sz w:val="28"/>
    </w:rPr>
  </w:style>
  <w:style w:type="paragraph" w:styleId="Heading6">
    <w:name w:val="heading 6"/>
    <w:basedOn w:val="Normal"/>
    <w:next w:val="Normal"/>
    <w:link w:val="Heading6Char"/>
    <w:uiPriority w:val="99"/>
    <w:qFormat/>
    <w:rsid w:val="00A91C4B"/>
    <w:pPr>
      <w:keepNext/>
      <w:spacing w:line="360" w:lineRule="auto"/>
      <w:jc w:val="both"/>
      <w:outlineLvl w:val="5"/>
    </w:pPr>
    <w:rPr>
      <w:rFonts w:ascii="Arial" w:hAnsi="Arial" w:cs="Arial"/>
      <w:b/>
      <w:bCs/>
    </w:rPr>
  </w:style>
  <w:style w:type="paragraph" w:styleId="Heading8">
    <w:name w:val="heading 8"/>
    <w:basedOn w:val="Normal"/>
    <w:next w:val="Normal"/>
    <w:link w:val="Heading8Char"/>
    <w:uiPriority w:val="99"/>
    <w:qFormat/>
    <w:rsid w:val="00A91C4B"/>
    <w:pPr>
      <w:keepNext/>
      <w:spacing w:line="360" w:lineRule="auto"/>
      <w:jc w:val="both"/>
      <w:outlineLvl w:val="7"/>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1C4B"/>
    <w:rPr>
      <w:rFonts w:ascii="Arial" w:hAnsi="Arial" w:cs="Arial"/>
      <w:b/>
      <w:bCs/>
      <w:sz w:val="24"/>
      <w:szCs w:val="24"/>
      <w:lang w:val="en-GB"/>
    </w:rPr>
  </w:style>
  <w:style w:type="character" w:customStyle="1" w:styleId="Heading2Char">
    <w:name w:val="Heading 2 Char"/>
    <w:basedOn w:val="DefaultParagraphFont"/>
    <w:link w:val="Heading2"/>
    <w:uiPriority w:val="99"/>
    <w:locked/>
    <w:rsid w:val="00A91C4B"/>
    <w:rPr>
      <w:rFonts w:ascii="Arial" w:hAnsi="Arial" w:cs="Arial"/>
      <w:b/>
      <w:bCs/>
      <w:sz w:val="24"/>
      <w:szCs w:val="24"/>
      <w:lang w:val="en-GB"/>
    </w:rPr>
  </w:style>
  <w:style w:type="character" w:customStyle="1" w:styleId="Heading3Char">
    <w:name w:val="Heading 3 Char"/>
    <w:basedOn w:val="DefaultParagraphFont"/>
    <w:link w:val="Heading3"/>
    <w:uiPriority w:val="99"/>
    <w:locked/>
    <w:rsid w:val="00A91C4B"/>
    <w:rPr>
      <w:rFonts w:ascii="Arial" w:hAnsi="Arial" w:cs="Arial"/>
      <w:i/>
      <w:iCs/>
      <w:sz w:val="24"/>
      <w:szCs w:val="24"/>
      <w:lang w:val="en-GB"/>
    </w:rPr>
  </w:style>
  <w:style w:type="character" w:customStyle="1" w:styleId="Heading4Char">
    <w:name w:val="Heading 4 Char"/>
    <w:basedOn w:val="DefaultParagraphFont"/>
    <w:link w:val="Heading4"/>
    <w:uiPriority w:val="99"/>
    <w:locked/>
    <w:rsid w:val="00A91C4B"/>
    <w:rPr>
      <w:rFonts w:ascii="Arial" w:hAnsi="Arial" w:cs="Arial"/>
      <w:sz w:val="24"/>
      <w:szCs w:val="24"/>
      <w:lang w:val="en-GB"/>
    </w:rPr>
  </w:style>
  <w:style w:type="character" w:customStyle="1" w:styleId="Heading6Char">
    <w:name w:val="Heading 6 Char"/>
    <w:basedOn w:val="DefaultParagraphFont"/>
    <w:link w:val="Heading6"/>
    <w:uiPriority w:val="99"/>
    <w:locked/>
    <w:rsid w:val="00A91C4B"/>
    <w:rPr>
      <w:rFonts w:ascii="Arial" w:hAnsi="Arial" w:cs="Arial"/>
      <w:b/>
      <w:bCs/>
      <w:sz w:val="24"/>
      <w:szCs w:val="24"/>
      <w:lang w:val="en-GB"/>
    </w:rPr>
  </w:style>
  <w:style w:type="character" w:customStyle="1" w:styleId="Heading8Char">
    <w:name w:val="Heading 8 Char"/>
    <w:basedOn w:val="DefaultParagraphFont"/>
    <w:link w:val="Heading8"/>
    <w:uiPriority w:val="99"/>
    <w:locked/>
    <w:rsid w:val="00A91C4B"/>
    <w:rPr>
      <w:rFonts w:ascii="Arial" w:hAnsi="Arial" w:cs="Arial"/>
      <w:b/>
      <w:color w:val="000000"/>
      <w:sz w:val="24"/>
      <w:szCs w:val="24"/>
      <w:lang w:val="en-GB"/>
    </w:rPr>
  </w:style>
  <w:style w:type="paragraph" w:styleId="BalloonText">
    <w:name w:val="Balloon Text"/>
    <w:basedOn w:val="Normal"/>
    <w:link w:val="BalloonTextChar"/>
    <w:uiPriority w:val="99"/>
    <w:semiHidden/>
    <w:rsid w:val="009C78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7885"/>
    <w:rPr>
      <w:rFonts w:ascii="Tahoma" w:hAnsi="Tahoma" w:cs="Tahoma"/>
      <w:sz w:val="16"/>
      <w:szCs w:val="16"/>
      <w:lang w:val="en-GB"/>
    </w:rPr>
  </w:style>
  <w:style w:type="paragraph" w:styleId="BodyText">
    <w:name w:val="Body Text"/>
    <w:basedOn w:val="Normal"/>
    <w:link w:val="BodyTextChar"/>
    <w:uiPriority w:val="99"/>
    <w:rsid w:val="00A91C4B"/>
    <w:pPr>
      <w:jc w:val="center"/>
    </w:pPr>
  </w:style>
  <w:style w:type="character" w:customStyle="1" w:styleId="BodyTextChar">
    <w:name w:val="Body Text Char"/>
    <w:basedOn w:val="DefaultParagraphFont"/>
    <w:link w:val="BodyText"/>
    <w:uiPriority w:val="99"/>
    <w:locked/>
    <w:rsid w:val="00A91C4B"/>
    <w:rPr>
      <w:rFonts w:ascii="Times New Roman" w:hAnsi="Times New Roman" w:cs="Times New Roman"/>
      <w:sz w:val="24"/>
      <w:szCs w:val="24"/>
      <w:lang w:val="en-GB"/>
    </w:rPr>
  </w:style>
  <w:style w:type="paragraph" w:styleId="BodyTextIndent">
    <w:name w:val="Body Text Indent"/>
    <w:basedOn w:val="Normal"/>
    <w:link w:val="BodyTextIndentChar"/>
    <w:uiPriority w:val="99"/>
    <w:rsid w:val="00A91C4B"/>
    <w:pPr>
      <w:ind w:left="1440"/>
    </w:pPr>
  </w:style>
  <w:style w:type="character" w:customStyle="1" w:styleId="BodyTextIndentChar">
    <w:name w:val="Body Text Indent Char"/>
    <w:basedOn w:val="DefaultParagraphFont"/>
    <w:link w:val="BodyTextIndent"/>
    <w:uiPriority w:val="99"/>
    <w:locked/>
    <w:rsid w:val="00A91C4B"/>
    <w:rPr>
      <w:rFonts w:ascii="Times New Roman" w:hAnsi="Times New Roman" w:cs="Times New Roman"/>
      <w:sz w:val="24"/>
      <w:szCs w:val="24"/>
      <w:lang w:val="en-GB"/>
    </w:rPr>
  </w:style>
  <w:style w:type="paragraph" w:styleId="Header">
    <w:name w:val="header"/>
    <w:basedOn w:val="Normal"/>
    <w:link w:val="HeaderChar"/>
    <w:rsid w:val="00A91C4B"/>
    <w:pPr>
      <w:tabs>
        <w:tab w:val="center" w:pos="4153"/>
        <w:tab w:val="right" w:pos="8306"/>
      </w:tabs>
    </w:pPr>
  </w:style>
  <w:style w:type="character" w:customStyle="1" w:styleId="HeaderChar">
    <w:name w:val="Header Char"/>
    <w:basedOn w:val="DefaultParagraphFont"/>
    <w:link w:val="Header"/>
    <w:uiPriority w:val="99"/>
    <w:locked/>
    <w:rsid w:val="00A91C4B"/>
    <w:rPr>
      <w:rFonts w:ascii="Times New Roman" w:hAnsi="Times New Roman" w:cs="Times New Roman"/>
      <w:sz w:val="24"/>
      <w:szCs w:val="24"/>
      <w:lang w:val="en-GB"/>
    </w:rPr>
  </w:style>
  <w:style w:type="character" w:styleId="PageNumber">
    <w:name w:val="page number"/>
    <w:basedOn w:val="DefaultParagraphFont"/>
    <w:rsid w:val="00A91C4B"/>
    <w:rPr>
      <w:rFonts w:cs="Times New Roman"/>
    </w:rPr>
  </w:style>
  <w:style w:type="paragraph" w:styleId="BodyText2">
    <w:name w:val="Body Text 2"/>
    <w:basedOn w:val="Normal"/>
    <w:link w:val="BodyText2Char"/>
    <w:uiPriority w:val="99"/>
    <w:rsid w:val="00A91C4B"/>
    <w:pPr>
      <w:spacing w:line="360" w:lineRule="auto"/>
    </w:pPr>
    <w:rPr>
      <w:rFonts w:ascii="Arial" w:hAnsi="Arial" w:cs="Arial"/>
      <w:sz w:val="28"/>
    </w:rPr>
  </w:style>
  <w:style w:type="character" w:customStyle="1" w:styleId="BodyText2Char">
    <w:name w:val="Body Text 2 Char"/>
    <w:basedOn w:val="DefaultParagraphFont"/>
    <w:link w:val="BodyText2"/>
    <w:uiPriority w:val="99"/>
    <w:locked/>
    <w:rsid w:val="00A91C4B"/>
    <w:rPr>
      <w:rFonts w:ascii="Arial" w:hAnsi="Arial" w:cs="Arial"/>
      <w:sz w:val="24"/>
      <w:szCs w:val="24"/>
      <w:lang w:val="en-GB"/>
    </w:rPr>
  </w:style>
  <w:style w:type="paragraph" w:styleId="BodyTextIndent2">
    <w:name w:val="Body Text Indent 2"/>
    <w:basedOn w:val="Normal"/>
    <w:link w:val="BodyTextIndent2Char"/>
    <w:uiPriority w:val="99"/>
    <w:rsid w:val="00A91C4B"/>
    <w:pPr>
      <w:spacing w:line="360" w:lineRule="auto"/>
      <w:ind w:left="360"/>
    </w:pPr>
    <w:rPr>
      <w:rFonts w:ascii="Arial" w:hAnsi="Arial"/>
      <w:sz w:val="28"/>
    </w:rPr>
  </w:style>
  <w:style w:type="character" w:customStyle="1" w:styleId="BodyTextIndent2Char">
    <w:name w:val="Body Text Indent 2 Char"/>
    <w:basedOn w:val="DefaultParagraphFont"/>
    <w:link w:val="BodyTextIndent2"/>
    <w:uiPriority w:val="99"/>
    <w:locked/>
    <w:rsid w:val="00A91C4B"/>
    <w:rPr>
      <w:rFonts w:ascii="Arial" w:hAnsi="Arial" w:cs="Times New Roman"/>
      <w:sz w:val="24"/>
      <w:szCs w:val="24"/>
      <w:lang w:val="en-GB"/>
    </w:rPr>
  </w:style>
  <w:style w:type="paragraph" w:styleId="FootnoteText">
    <w:name w:val="footnote text"/>
    <w:basedOn w:val="Normal"/>
    <w:link w:val="FootnoteTextChar"/>
    <w:uiPriority w:val="99"/>
    <w:rsid w:val="00A91C4B"/>
    <w:rPr>
      <w:sz w:val="20"/>
      <w:szCs w:val="20"/>
    </w:rPr>
  </w:style>
  <w:style w:type="character" w:customStyle="1" w:styleId="FootnoteTextChar">
    <w:name w:val="Footnote Text Char"/>
    <w:basedOn w:val="DefaultParagraphFont"/>
    <w:link w:val="FootnoteText"/>
    <w:uiPriority w:val="99"/>
    <w:locked/>
    <w:rsid w:val="00A91C4B"/>
    <w:rPr>
      <w:rFonts w:ascii="Times New Roman" w:hAnsi="Times New Roman" w:cs="Times New Roman"/>
      <w:sz w:val="20"/>
      <w:szCs w:val="20"/>
      <w:lang w:val="en-GB"/>
    </w:rPr>
  </w:style>
  <w:style w:type="character" w:styleId="FootnoteReference">
    <w:name w:val="footnote reference"/>
    <w:basedOn w:val="DefaultParagraphFont"/>
    <w:uiPriority w:val="99"/>
    <w:semiHidden/>
    <w:rsid w:val="00A91C4B"/>
    <w:rPr>
      <w:rFonts w:cs="Times New Roman"/>
      <w:vertAlign w:val="superscript"/>
    </w:rPr>
  </w:style>
  <w:style w:type="character" w:customStyle="1" w:styleId="documentbody1">
    <w:name w:val="documentbody1"/>
    <w:basedOn w:val="DefaultParagraphFont"/>
    <w:uiPriority w:val="99"/>
    <w:rsid w:val="00A91C4B"/>
    <w:rPr>
      <w:rFonts w:ascii="Verdana" w:hAnsi="Verdana" w:cs="Times New Roman"/>
      <w:sz w:val="19"/>
      <w:szCs w:val="19"/>
      <w:shd w:val="clear" w:color="auto" w:fill="FFFFFF"/>
    </w:rPr>
  </w:style>
  <w:style w:type="paragraph" w:styleId="BodyTextIndent3">
    <w:name w:val="Body Text Indent 3"/>
    <w:basedOn w:val="Normal"/>
    <w:link w:val="BodyTextIndent3Char"/>
    <w:uiPriority w:val="99"/>
    <w:rsid w:val="00A91C4B"/>
    <w:pPr>
      <w:spacing w:line="360" w:lineRule="auto"/>
      <w:ind w:left="60"/>
      <w:jc w:val="both"/>
    </w:pPr>
    <w:rPr>
      <w:rFonts w:ascii="Arial" w:hAnsi="Arial" w:cs="Arial"/>
    </w:rPr>
  </w:style>
  <w:style w:type="character" w:customStyle="1" w:styleId="BodyTextIndent3Char">
    <w:name w:val="Body Text Indent 3 Char"/>
    <w:basedOn w:val="DefaultParagraphFont"/>
    <w:link w:val="BodyTextIndent3"/>
    <w:uiPriority w:val="99"/>
    <w:locked/>
    <w:rsid w:val="00A91C4B"/>
    <w:rPr>
      <w:rFonts w:ascii="Arial" w:hAnsi="Arial" w:cs="Arial"/>
      <w:sz w:val="24"/>
      <w:szCs w:val="24"/>
      <w:lang w:val="en-GB"/>
    </w:rPr>
  </w:style>
  <w:style w:type="paragraph" w:styleId="BodyText3">
    <w:name w:val="Body Text 3"/>
    <w:basedOn w:val="Normal"/>
    <w:link w:val="BodyText3Char"/>
    <w:rsid w:val="00A91C4B"/>
    <w:pPr>
      <w:spacing w:line="360" w:lineRule="auto"/>
      <w:jc w:val="both"/>
    </w:pPr>
    <w:rPr>
      <w:rFonts w:ascii="Arial" w:hAnsi="Arial" w:cs="Arial"/>
      <w:bCs/>
      <w:color w:val="000000"/>
    </w:rPr>
  </w:style>
  <w:style w:type="character" w:customStyle="1" w:styleId="BodyText3Char">
    <w:name w:val="Body Text 3 Char"/>
    <w:basedOn w:val="DefaultParagraphFont"/>
    <w:link w:val="BodyText3"/>
    <w:uiPriority w:val="99"/>
    <w:locked/>
    <w:rsid w:val="00A91C4B"/>
    <w:rPr>
      <w:rFonts w:ascii="Arial" w:hAnsi="Arial" w:cs="Arial"/>
      <w:bCs/>
      <w:color w:val="000000"/>
      <w:sz w:val="24"/>
      <w:szCs w:val="24"/>
      <w:lang w:val="en-GB"/>
    </w:rPr>
  </w:style>
  <w:style w:type="character" w:styleId="Hyperlink">
    <w:name w:val="Hyperlink"/>
    <w:basedOn w:val="DefaultParagraphFont"/>
    <w:uiPriority w:val="99"/>
    <w:rsid w:val="00A91C4B"/>
    <w:rPr>
      <w:rFonts w:cs="Times New Roman"/>
      <w:color w:val="0000FF"/>
      <w:u w:val="single"/>
    </w:rPr>
  </w:style>
  <w:style w:type="paragraph" w:customStyle="1" w:styleId="QT-Centered">
    <w:name w:val="QT-Centered"/>
    <w:uiPriority w:val="99"/>
    <w:rsid w:val="00A91C4B"/>
    <w:pPr>
      <w:widowControl w:val="0"/>
      <w:tabs>
        <w:tab w:val="left" w:pos="283"/>
        <w:tab w:val="left" w:pos="567"/>
        <w:tab w:val="left" w:pos="850"/>
        <w:tab w:val="left" w:pos="1134"/>
        <w:tab w:val="left" w:pos="1417"/>
        <w:tab w:val="left" w:pos="1700"/>
        <w:tab w:val="left" w:pos="1984"/>
        <w:tab w:val="left" w:pos="2268"/>
        <w:tab w:val="left" w:pos="2551"/>
        <w:tab w:val="left" w:pos="2835"/>
      </w:tabs>
      <w:autoSpaceDE w:val="0"/>
      <w:autoSpaceDN w:val="0"/>
      <w:adjustRightInd w:val="0"/>
      <w:jc w:val="center"/>
    </w:pPr>
    <w:rPr>
      <w:rFonts w:eastAsia="Times New Roman" w:cs="Arial"/>
      <w:sz w:val="18"/>
      <w:szCs w:val="18"/>
      <w:lang w:val="en-US" w:eastAsia="en-US"/>
    </w:rPr>
  </w:style>
  <w:style w:type="paragraph" w:customStyle="1" w:styleId="QT-Table">
    <w:name w:val="QT-Table"/>
    <w:uiPriority w:val="99"/>
    <w:rsid w:val="00A91C4B"/>
    <w:pPr>
      <w:widowControl w:val="0"/>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pPr>
    <w:rPr>
      <w:rFonts w:eastAsia="Times New Roman" w:cs="Arial"/>
      <w:sz w:val="18"/>
      <w:szCs w:val="18"/>
      <w:lang w:val="en-US" w:eastAsia="en-US"/>
    </w:rPr>
  </w:style>
  <w:style w:type="character" w:customStyle="1" w:styleId="Mc">
    <w:name w:val="Mc"/>
    <w:uiPriority w:val="99"/>
    <w:rsid w:val="00A91C4B"/>
    <w:rPr>
      <w:vanish/>
      <w:color w:val="000000"/>
      <w:sz w:val="16"/>
    </w:rPr>
  </w:style>
  <w:style w:type="paragraph" w:styleId="NormalWeb">
    <w:name w:val="Normal (Web)"/>
    <w:basedOn w:val="Normal"/>
    <w:uiPriority w:val="99"/>
    <w:rsid w:val="00A91C4B"/>
    <w:pPr>
      <w:spacing w:before="100" w:beforeAutospacing="1" w:after="100" w:afterAutospacing="1"/>
    </w:pPr>
    <w:rPr>
      <w:lang w:eastAsia="en-GB"/>
    </w:rPr>
  </w:style>
  <w:style w:type="character" w:customStyle="1" w:styleId="A0">
    <w:name w:val="A0"/>
    <w:uiPriority w:val="99"/>
    <w:rsid w:val="009C7885"/>
    <w:rPr>
      <w:b/>
      <w:color w:val="221E1F"/>
      <w:sz w:val="20"/>
    </w:rPr>
  </w:style>
  <w:style w:type="paragraph" w:customStyle="1" w:styleId="Pa3">
    <w:name w:val="Pa3"/>
    <w:basedOn w:val="Normal"/>
    <w:next w:val="Normal"/>
    <w:uiPriority w:val="99"/>
    <w:rsid w:val="009C7885"/>
    <w:pPr>
      <w:autoSpaceDE w:val="0"/>
      <w:autoSpaceDN w:val="0"/>
      <w:adjustRightInd w:val="0"/>
      <w:spacing w:line="241" w:lineRule="atLeast"/>
    </w:pPr>
    <w:rPr>
      <w:rFonts w:ascii="Arial" w:hAnsi="Arial"/>
    </w:rPr>
  </w:style>
  <w:style w:type="character" w:styleId="CommentReference">
    <w:name w:val="annotation reference"/>
    <w:basedOn w:val="DefaultParagraphFont"/>
    <w:uiPriority w:val="99"/>
    <w:semiHidden/>
    <w:unhideWhenUsed/>
    <w:locked/>
    <w:rsid w:val="00260878"/>
    <w:rPr>
      <w:sz w:val="18"/>
      <w:szCs w:val="18"/>
    </w:rPr>
  </w:style>
  <w:style w:type="paragraph" w:styleId="CommentText">
    <w:name w:val="annotation text"/>
    <w:basedOn w:val="Normal"/>
    <w:link w:val="CommentTextChar"/>
    <w:uiPriority w:val="99"/>
    <w:semiHidden/>
    <w:unhideWhenUsed/>
    <w:locked/>
    <w:rsid w:val="00260878"/>
  </w:style>
  <w:style w:type="character" w:customStyle="1" w:styleId="CommentTextChar">
    <w:name w:val="Comment Text Char"/>
    <w:basedOn w:val="DefaultParagraphFont"/>
    <w:link w:val="CommentText"/>
    <w:uiPriority w:val="99"/>
    <w:semiHidden/>
    <w:rsid w:val="00260878"/>
    <w:rPr>
      <w:rFonts w:ascii="Times New Roman" w:eastAsia="Times New Roman" w:hAnsi="Times New Roman"/>
      <w:sz w:val="24"/>
      <w:szCs w:val="24"/>
      <w:lang w:val="en-GB" w:eastAsia="en-US"/>
    </w:rPr>
  </w:style>
  <w:style w:type="paragraph" w:styleId="CommentSubject">
    <w:name w:val="annotation subject"/>
    <w:basedOn w:val="CommentText"/>
    <w:next w:val="CommentText"/>
    <w:link w:val="CommentSubjectChar"/>
    <w:uiPriority w:val="99"/>
    <w:semiHidden/>
    <w:unhideWhenUsed/>
    <w:locked/>
    <w:rsid w:val="00260878"/>
    <w:rPr>
      <w:b/>
      <w:bCs/>
      <w:sz w:val="20"/>
      <w:szCs w:val="20"/>
    </w:rPr>
  </w:style>
  <w:style w:type="character" w:customStyle="1" w:styleId="CommentSubjectChar">
    <w:name w:val="Comment Subject Char"/>
    <w:basedOn w:val="CommentTextChar"/>
    <w:link w:val="CommentSubject"/>
    <w:uiPriority w:val="99"/>
    <w:semiHidden/>
    <w:rsid w:val="00260878"/>
    <w:rPr>
      <w:rFonts w:ascii="Times New Roman" w:eastAsia="Times New Roman" w:hAnsi="Times New Roman"/>
      <w:b/>
      <w:bCs/>
      <w:sz w:val="24"/>
      <w:szCs w:val="24"/>
      <w:lang w:val="en-GB" w:eastAsia="en-US"/>
    </w:rPr>
  </w:style>
  <w:style w:type="paragraph" w:styleId="NormalIndent">
    <w:name w:val="Normal Indent"/>
    <w:basedOn w:val="Normal"/>
    <w:uiPriority w:val="99"/>
    <w:semiHidden/>
    <w:unhideWhenUsed/>
    <w:locked/>
    <w:rsid w:val="00003363"/>
    <w:pPr>
      <w:spacing w:line="480" w:lineRule="auto"/>
      <w:ind w:left="720"/>
      <w:jc w:val="both"/>
    </w:pPr>
    <w:rPr>
      <w:sz w:val="28"/>
      <w:szCs w:val="28"/>
    </w:rPr>
  </w:style>
  <w:style w:type="paragraph" w:styleId="ListParagraph">
    <w:name w:val="List Paragraph"/>
    <w:basedOn w:val="Normal"/>
    <w:uiPriority w:val="34"/>
    <w:qFormat/>
    <w:rsid w:val="00595447"/>
    <w:pPr>
      <w:ind w:left="720"/>
      <w:contextualSpacing/>
    </w:pPr>
  </w:style>
  <w:style w:type="character" w:styleId="FollowedHyperlink">
    <w:name w:val="FollowedHyperlink"/>
    <w:basedOn w:val="DefaultParagraphFont"/>
    <w:uiPriority w:val="99"/>
    <w:semiHidden/>
    <w:unhideWhenUsed/>
    <w:locked/>
    <w:rsid w:val="00EC2829"/>
    <w:rPr>
      <w:color w:val="800080" w:themeColor="followedHyperlink"/>
      <w:u w:val="single"/>
    </w:rPr>
  </w:style>
  <w:style w:type="paragraph" w:styleId="Revision">
    <w:name w:val="Revision"/>
    <w:hidden/>
    <w:uiPriority w:val="99"/>
    <w:semiHidden/>
    <w:rsid w:val="0043092B"/>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4509">
      <w:bodyDiv w:val="1"/>
      <w:marLeft w:val="0"/>
      <w:marRight w:val="0"/>
      <w:marTop w:val="0"/>
      <w:marBottom w:val="0"/>
      <w:divBdr>
        <w:top w:val="none" w:sz="0" w:space="0" w:color="auto"/>
        <w:left w:val="none" w:sz="0" w:space="0" w:color="auto"/>
        <w:bottom w:val="none" w:sz="0" w:space="0" w:color="auto"/>
        <w:right w:val="none" w:sz="0" w:space="0" w:color="auto"/>
      </w:divBdr>
    </w:div>
    <w:div w:id="44258435">
      <w:bodyDiv w:val="1"/>
      <w:marLeft w:val="0"/>
      <w:marRight w:val="0"/>
      <w:marTop w:val="0"/>
      <w:marBottom w:val="0"/>
      <w:divBdr>
        <w:top w:val="none" w:sz="0" w:space="0" w:color="auto"/>
        <w:left w:val="none" w:sz="0" w:space="0" w:color="auto"/>
        <w:bottom w:val="none" w:sz="0" w:space="0" w:color="auto"/>
        <w:right w:val="none" w:sz="0" w:space="0" w:color="auto"/>
      </w:divBdr>
    </w:div>
    <w:div w:id="180706985">
      <w:bodyDiv w:val="1"/>
      <w:marLeft w:val="0"/>
      <w:marRight w:val="0"/>
      <w:marTop w:val="0"/>
      <w:marBottom w:val="0"/>
      <w:divBdr>
        <w:top w:val="none" w:sz="0" w:space="0" w:color="auto"/>
        <w:left w:val="none" w:sz="0" w:space="0" w:color="auto"/>
        <w:bottom w:val="none" w:sz="0" w:space="0" w:color="auto"/>
        <w:right w:val="none" w:sz="0" w:space="0" w:color="auto"/>
      </w:divBdr>
    </w:div>
    <w:div w:id="462042258">
      <w:bodyDiv w:val="1"/>
      <w:marLeft w:val="0"/>
      <w:marRight w:val="0"/>
      <w:marTop w:val="0"/>
      <w:marBottom w:val="0"/>
      <w:divBdr>
        <w:top w:val="none" w:sz="0" w:space="0" w:color="auto"/>
        <w:left w:val="none" w:sz="0" w:space="0" w:color="auto"/>
        <w:bottom w:val="none" w:sz="0" w:space="0" w:color="auto"/>
        <w:right w:val="none" w:sz="0" w:space="0" w:color="auto"/>
      </w:divBdr>
    </w:div>
    <w:div w:id="1068262533">
      <w:bodyDiv w:val="1"/>
      <w:marLeft w:val="0"/>
      <w:marRight w:val="0"/>
      <w:marTop w:val="0"/>
      <w:marBottom w:val="0"/>
      <w:divBdr>
        <w:top w:val="none" w:sz="0" w:space="0" w:color="auto"/>
        <w:left w:val="none" w:sz="0" w:space="0" w:color="auto"/>
        <w:bottom w:val="none" w:sz="0" w:space="0" w:color="auto"/>
        <w:right w:val="none" w:sz="0" w:space="0" w:color="auto"/>
      </w:divBdr>
    </w:div>
    <w:div w:id="159451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02AC9-4C02-4AD7-B2D2-0C1D53CC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3474</Words>
  <Characters>19803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Lewis</dc:creator>
  <cp:lastModifiedBy>Mokone</cp:lastModifiedBy>
  <cp:revision>3</cp:revision>
  <cp:lastPrinted>2023-03-30T10:32:00Z</cp:lastPrinted>
  <dcterms:created xsi:type="dcterms:W3CDTF">2023-04-20T15:17:00Z</dcterms:created>
  <dcterms:modified xsi:type="dcterms:W3CDTF">2023-04-20T15:18:00Z</dcterms:modified>
</cp:coreProperties>
</file>