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E716" w14:textId="77777777" w:rsidR="00440A3B" w:rsidRPr="00817347" w:rsidRDefault="00825D4F" w:rsidP="00212377">
      <w:pPr>
        <w:outlineLvl w:val="0"/>
        <w:rPr>
          <w:rFonts w:ascii="Arial" w:hAnsi="Arial" w:cs="Arial"/>
          <w:sz w:val="28"/>
          <w:szCs w:val="28"/>
          <w:u w:val="single"/>
          <w:lang w:val="en-ZA"/>
        </w:rPr>
      </w:pPr>
      <w:bookmarkStart w:id="0" w:name="_GoBack"/>
      <w:bookmarkEnd w:id="0"/>
      <w:r>
        <w:rPr>
          <w:rFonts w:ascii="Arial" w:hAnsi="Arial" w:cs="Arial"/>
          <w:b/>
          <w:sz w:val="28"/>
          <w:szCs w:val="28"/>
          <w:lang w:val="en-ZA"/>
        </w:rPr>
        <w:t xml:space="preserve">                                                       </w:t>
      </w:r>
      <w:r w:rsidR="00817347">
        <w:rPr>
          <w:rFonts w:ascii="Arial" w:hAnsi="Arial" w:cs="Arial"/>
          <w:b/>
          <w:sz w:val="28"/>
          <w:szCs w:val="28"/>
          <w:lang w:val="en-ZA"/>
        </w:rPr>
        <w:tab/>
        <w:t xml:space="preserve"> </w:t>
      </w:r>
    </w:p>
    <w:p w14:paraId="0AE3F749" w14:textId="77777777" w:rsidR="005A6DC5" w:rsidRPr="00FB0DAD" w:rsidRDefault="00A73593" w:rsidP="00FB0DAD">
      <w:pPr>
        <w:spacing w:line="360" w:lineRule="auto"/>
        <w:contextualSpacing/>
        <w:jc w:val="center"/>
        <w:rPr>
          <w:rFonts w:ascii="Arial" w:hAnsi="Arial" w:cs="Arial"/>
          <w:b/>
        </w:rPr>
      </w:pPr>
      <w:r>
        <w:rPr>
          <w:noProof/>
          <w:lang w:val="en-ZA" w:eastAsia="en-ZA"/>
        </w:rPr>
        <w:drawing>
          <wp:inline distT="0" distB="0" distL="0" distR="0" wp14:anchorId="7AFF9CF5" wp14:editId="3B354DED">
            <wp:extent cx="1323975" cy="11620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a:ln>
                      <a:noFill/>
                    </a:ln>
                  </pic:spPr>
                </pic:pic>
              </a:graphicData>
            </a:graphic>
          </wp:inline>
        </w:drawing>
      </w:r>
      <w:r>
        <w:rPr>
          <w:rFonts w:ascii="Arial" w:hAnsi="Arial" w:cs="Arial"/>
          <w:b/>
          <w:noProof/>
          <w:lang w:val="en-ZA" w:eastAsia="en-ZA"/>
        </w:rPr>
        <w:t xml:space="preserve"> </w:t>
      </w:r>
    </w:p>
    <w:p w14:paraId="66925927" w14:textId="77777777" w:rsidR="005A6DC5" w:rsidRPr="001965CD" w:rsidRDefault="005A6DC5" w:rsidP="007A6A55">
      <w:pPr>
        <w:outlineLvl w:val="0"/>
        <w:rPr>
          <w:rFonts w:ascii="Arial" w:hAnsi="Arial" w:cs="Arial"/>
          <w:b/>
          <w:lang w:val="en-ZA"/>
        </w:rPr>
      </w:pPr>
    </w:p>
    <w:p w14:paraId="17730F64" w14:textId="77777777" w:rsidR="00345E40" w:rsidRPr="001965CD" w:rsidRDefault="008154C9" w:rsidP="008154C9">
      <w:pPr>
        <w:jc w:val="center"/>
        <w:outlineLvl w:val="0"/>
        <w:rPr>
          <w:rFonts w:ascii="Arial" w:hAnsi="Arial" w:cs="Arial"/>
          <w:b/>
          <w:lang w:val="en-ZA"/>
        </w:rPr>
      </w:pPr>
      <w:bookmarkStart w:id="1" w:name="OLE_LINK5"/>
      <w:bookmarkStart w:id="2" w:name="OLE_LINK6"/>
      <w:r w:rsidRPr="001965CD">
        <w:rPr>
          <w:rFonts w:ascii="Arial" w:hAnsi="Arial" w:cs="Arial"/>
          <w:b/>
          <w:lang w:val="en-ZA"/>
        </w:rPr>
        <w:t>IN THE HIGH COURT OF SOUTH AFRICA</w:t>
      </w:r>
    </w:p>
    <w:p w14:paraId="34223EE7" w14:textId="77777777" w:rsidR="008154C9" w:rsidRPr="00742AF4" w:rsidRDefault="009C0639" w:rsidP="00742AF4">
      <w:pPr>
        <w:jc w:val="center"/>
        <w:outlineLvl w:val="0"/>
        <w:rPr>
          <w:rFonts w:ascii="Arial" w:hAnsi="Arial" w:cs="Arial"/>
          <w:b/>
          <w:lang w:val="en-ZA"/>
        </w:rPr>
      </w:pPr>
      <w:r>
        <w:rPr>
          <w:rFonts w:ascii="Arial" w:hAnsi="Arial" w:cs="Arial"/>
          <w:b/>
          <w:lang w:val="en-ZA"/>
        </w:rPr>
        <w:t>KWAZULU-NATAL</w:t>
      </w:r>
      <w:r w:rsidR="00F33488">
        <w:rPr>
          <w:rFonts w:ascii="Arial" w:hAnsi="Arial" w:cs="Arial"/>
          <w:b/>
          <w:lang w:val="en-ZA"/>
        </w:rPr>
        <w:t xml:space="preserve"> </w:t>
      </w:r>
      <w:r w:rsidR="00B33A7B">
        <w:rPr>
          <w:rFonts w:ascii="Arial" w:hAnsi="Arial" w:cs="Arial"/>
          <w:b/>
          <w:lang w:val="en-ZA"/>
        </w:rPr>
        <w:t xml:space="preserve">LOCAL </w:t>
      </w:r>
      <w:r w:rsidR="008154C9" w:rsidRPr="001965CD">
        <w:rPr>
          <w:rFonts w:ascii="Arial" w:hAnsi="Arial" w:cs="Arial"/>
          <w:b/>
          <w:lang w:val="en-ZA"/>
        </w:rPr>
        <w:t xml:space="preserve">DIVISION, </w:t>
      </w:r>
      <w:r w:rsidR="002C6D2E">
        <w:rPr>
          <w:rFonts w:ascii="Arial" w:hAnsi="Arial" w:cs="Arial"/>
          <w:b/>
          <w:lang w:val="en-ZA"/>
        </w:rPr>
        <w:t>DURBAN</w:t>
      </w:r>
      <w:r w:rsidR="008D496B" w:rsidRPr="001965CD">
        <w:rPr>
          <w:rFonts w:ascii="Arial" w:hAnsi="Arial" w:cs="Arial"/>
          <w:lang w:val="en-ZA"/>
        </w:rPr>
        <w:t xml:space="preserve">                </w:t>
      </w:r>
      <w:r w:rsidR="0007338B" w:rsidRPr="001965CD">
        <w:rPr>
          <w:rFonts w:ascii="Arial" w:hAnsi="Arial" w:cs="Arial"/>
          <w:lang w:val="en-ZA"/>
        </w:rPr>
        <w:t xml:space="preserve"> </w:t>
      </w:r>
    </w:p>
    <w:p w14:paraId="20D3FA03" w14:textId="77777777" w:rsidR="001965CD" w:rsidRDefault="001965CD" w:rsidP="001965CD">
      <w:pPr>
        <w:ind w:left="4320" w:firstLine="720"/>
        <w:jc w:val="center"/>
        <w:outlineLvl w:val="0"/>
        <w:rPr>
          <w:rFonts w:ascii="Arial" w:hAnsi="Arial" w:cs="Arial"/>
          <w:lang w:val="en-ZA"/>
        </w:rPr>
      </w:pPr>
    </w:p>
    <w:p w14:paraId="7F2B139C" w14:textId="77777777" w:rsidR="00742AF4" w:rsidRPr="001965CD" w:rsidRDefault="00742AF4" w:rsidP="00212377">
      <w:pPr>
        <w:ind w:left="4320" w:firstLine="720"/>
        <w:jc w:val="both"/>
        <w:outlineLvl w:val="0"/>
        <w:rPr>
          <w:rFonts w:ascii="Arial" w:hAnsi="Arial" w:cs="Arial"/>
          <w:lang w:val="en-ZA"/>
        </w:rPr>
      </w:pPr>
    </w:p>
    <w:bookmarkEnd w:id="1"/>
    <w:bookmarkEnd w:id="2"/>
    <w:p w14:paraId="329C55AA" w14:textId="715A50D8" w:rsidR="008154C9" w:rsidRPr="009C3B9C" w:rsidRDefault="009C3B9C" w:rsidP="00CD30C1">
      <w:pPr>
        <w:ind w:left="3600" w:firstLine="720"/>
        <w:jc w:val="right"/>
        <w:rPr>
          <w:rFonts w:ascii="Arial" w:hAnsi="Arial" w:cs="Arial"/>
          <w:b/>
          <w:lang w:val="en-ZA"/>
        </w:rPr>
      </w:pPr>
      <w:r>
        <w:rPr>
          <w:rFonts w:ascii="Arial" w:hAnsi="Arial" w:cs="Arial"/>
          <w:b/>
          <w:lang w:val="en-ZA"/>
        </w:rPr>
        <w:t xml:space="preserve">CASE NO: </w:t>
      </w:r>
      <w:r w:rsidR="0026595C">
        <w:rPr>
          <w:rFonts w:ascii="Arial" w:hAnsi="Arial" w:cs="Arial"/>
          <w:b/>
          <w:lang w:val="en-ZA"/>
        </w:rPr>
        <w:t>D4299/2020</w:t>
      </w:r>
    </w:p>
    <w:p w14:paraId="328F1654" w14:textId="77777777" w:rsidR="001965CD" w:rsidRPr="001965CD" w:rsidRDefault="001965CD" w:rsidP="00212377">
      <w:pPr>
        <w:jc w:val="both"/>
        <w:rPr>
          <w:rFonts w:ascii="Arial" w:hAnsi="Arial" w:cs="Arial"/>
          <w:lang w:val="en-ZA"/>
        </w:rPr>
      </w:pPr>
    </w:p>
    <w:p w14:paraId="36585781" w14:textId="77777777" w:rsidR="00FE218B" w:rsidRPr="001965CD" w:rsidRDefault="00FE218B" w:rsidP="00212377">
      <w:pPr>
        <w:jc w:val="both"/>
        <w:rPr>
          <w:rFonts w:ascii="Arial" w:hAnsi="Arial" w:cs="Arial"/>
          <w:lang w:val="en-ZA"/>
        </w:rPr>
      </w:pPr>
      <w:r w:rsidRPr="001965CD">
        <w:rPr>
          <w:rFonts w:ascii="Arial" w:hAnsi="Arial" w:cs="Arial"/>
          <w:lang w:val="en-ZA"/>
        </w:rPr>
        <w:t>In the matter between:</w:t>
      </w:r>
    </w:p>
    <w:p w14:paraId="7621B22C" w14:textId="77777777" w:rsidR="007A6A55" w:rsidRPr="001965CD" w:rsidRDefault="007A6A55" w:rsidP="00212377">
      <w:pPr>
        <w:jc w:val="both"/>
        <w:rPr>
          <w:rFonts w:ascii="Arial" w:hAnsi="Arial" w:cs="Arial"/>
          <w:lang w:val="en-ZA"/>
        </w:rPr>
      </w:pPr>
    </w:p>
    <w:p w14:paraId="05BD38AD" w14:textId="77777777" w:rsidR="0016473F" w:rsidRDefault="0016473F" w:rsidP="00212377">
      <w:pPr>
        <w:jc w:val="both"/>
        <w:rPr>
          <w:rFonts w:ascii="Arial" w:hAnsi="Arial" w:cs="Arial"/>
          <w:lang w:val="en-ZA"/>
        </w:rPr>
      </w:pPr>
    </w:p>
    <w:p w14:paraId="4733ED89" w14:textId="2E1D0AC3" w:rsidR="00CD30C1" w:rsidRPr="00F853F3" w:rsidRDefault="0026595C" w:rsidP="00212377">
      <w:pPr>
        <w:jc w:val="both"/>
        <w:rPr>
          <w:rFonts w:ascii="Arial" w:hAnsi="Arial" w:cs="Arial"/>
          <w:b/>
          <w:lang w:val="en-ZA"/>
        </w:rPr>
      </w:pPr>
      <w:r w:rsidRPr="0026595C">
        <w:rPr>
          <w:rFonts w:ascii="Arial" w:hAnsi="Arial" w:cs="Arial"/>
          <w:b/>
          <w:lang w:val="en-ZA"/>
        </w:rPr>
        <w:t>MARTIN K HOLDINGS (PTY) LTD</w:t>
      </w:r>
      <w:r w:rsidR="0016473F">
        <w:rPr>
          <w:rFonts w:ascii="Arial" w:hAnsi="Arial" w:cs="Arial"/>
          <w:lang w:val="en-ZA"/>
        </w:rPr>
        <w:tab/>
        <w:t xml:space="preserve">  </w:t>
      </w:r>
      <w:r w:rsidR="0016473F">
        <w:rPr>
          <w:rFonts w:ascii="Arial" w:hAnsi="Arial" w:cs="Arial"/>
          <w:lang w:val="en-ZA"/>
        </w:rPr>
        <w:tab/>
        <w:t xml:space="preserve">   </w:t>
      </w:r>
      <w:r w:rsidR="0016473F">
        <w:rPr>
          <w:rFonts w:ascii="Arial" w:hAnsi="Arial" w:cs="Arial"/>
          <w:lang w:val="en-ZA"/>
        </w:rPr>
        <w:tab/>
      </w:r>
      <w:r>
        <w:rPr>
          <w:rFonts w:ascii="Arial" w:hAnsi="Arial" w:cs="Arial"/>
          <w:lang w:val="en-ZA"/>
        </w:rPr>
        <w:tab/>
      </w:r>
      <w:r>
        <w:rPr>
          <w:rFonts w:ascii="Arial" w:hAnsi="Arial" w:cs="Arial"/>
          <w:lang w:val="en-ZA"/>
        </w:rPr>
        <w:tab/>
      </w:r>
      <w:r w:rsidR="0016473F" w:rsidRPr="00F853F3">
        <w:rPr>
          <w:rFonts w:ascii="Arial" w:hAnsi="Arial" w:cs="Arial"/>
          <w:b/>
          <w:lang w:val="en-ZA"/>
        </w:rPr>
        <w:t>Applicant</w:t>
      </w:r>
    </w:p>
    <w:p w14:paraId="2E2C6C73" w14:textId="77777777" w:rsidR="0016473F" w:rsidRDefault="0016473F" w:rsidP="00212377">
      <w:pPr>
        <w:jc w:val="both"/>
        <w:rPr>
          <w:rFonts w:ascii="Arial" w:hAnsi="Arial" w:cs="Arial"/>
          <w:lang w:val="en-ZA"/>
        </w:rPr>
      </w:pPr>
    </w:p>
    <w:p w14:paraId="79493CC8" w14:textId="77777777" w:rsidR="00C00645" w:rsidRDefault="00C00645" w:rsidP="00212377">
      <w:pPr>
        <w:jc w:val="both"/>
        <w:rPr>
          <w:rFonts w:ascii="Arial" w:hAnsi="Arial" w:cs="Arial"/>
          <w:lang w:val="en-ZA"/>
        </w:rPr>
      </w:pPr>
    </w:p>
    <w:p w14:paraId="09ADD007" w14:textId="77777777" w:rsidR="0016473F" w:rsidRPr="009C277C" w:rsidRDefault="0016473F" w:rsidP="00212377">
      <w:pPr>
        <w:jc w:val="both"/>
        <w:rPr>
          <w:rFonts w:ascii="Arial" w:hAnsi="Arial" w:cs="Arial"/>
          <w:lang w:val="en-ZA"/>
        </w:rPr>
      </w:pPr>
    </w:p>
    <w:p w14:paraId="6C124A52" w14:textId="77777777" w:rsidR="00FE218B" w:rsidRPr="009C277C" w:rsidRDefault="00FE218B" w:rsidP="00212377">
      <w:pPr>
        <w:jc w:val="both"/>
        <w:rPr>
          <w:rFonts w:ascii="Arial" w:hAnsi="Arial" w:cs="Arial"/>
          <w:lang w:val="en-ZA"/>
        </w:rPr>
      </w:pPr>
      <w:r w:rsidRPr="009C277C">
        <w:rPr>
          <w:rFonts w:ascii="Arial" w:hAnsi="Arial" w:cs="Arial"/>
          <w:lang w:val="en-ZA"/>
        </w:rPr>
        <w:t>and</w:t>
      </w:r>
    </w:p>
    <w:p w14:paraId="14BA2B52" w14:textId="77777777" w:rsidR="00B74D03" w:rsidRPr="009C277C" w:rsidRDefault="00B74D03" w:rsidP="00212377">
      <w:pPr>
        <w:pBdr>
          <w:bottom w:val="single" w:sz="12" w:space="1" w:color="auto"/>
        </w:pBdr>
        <w:jc w:val="both"/>
        <w:rPr>
          <w:rFonts w:ascii="Arial" w:hAnsi="Arial" w:cs="Arial"/>
          <w:lang w:val="en-ZA"/>
        </w:rPr>
      </w:pPr>
    </w:p>
    <w:p w14:paraId="451CA242" w14:textId="77777777" w:rsidR="00CD30C1" w:rsidRPr="009C277C" w:rsidRDefault="00CD30C1" w:rsidP="00B04F28">
      <w:pPr>
        <w:pBdr>
          <w:bottom w:val="single" w:sz="12" w:space="1" w:color="auto"/>
        </w:pBdr>
        <w:rPr>
          <w:rFonts w:ascii="Arial" w:hAnsi="Arial" w:cs="Arial"/>
          <w:lang w:val="en-ZA"/>
        </w:rPr>
      </w:pP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r>
    </w:p>
    <w:p w14:paraId="7689A407" w14:textId="24192BB0" w:rsidR="00CD30C1" w:rsidRPr="00F853F3" w:rsidRDefault="0026595C" w:rsidP="00212377">
      <w:pPr>
        <w:pBdr>
          <w:bottom w:val="single" w:sz="12" w:space="1" w:color="auto"/>
        </w:pBdr>
        <w:jc w:val="both"/>
        <w:rPr>
          <w:rFonts w:ascii="Arial" w:hAnsi="Arial" w:cs="Arial"/>
          <w:b/>
          <w:lang w:val="en-ZA"/>
        </w:rPr>
      </w:pPr>
      <w:r w:rsidRPr="0026595C">
        <w:rPr>
          <w:rFonts w:ascii="Arial" w:hAnsi="Arial" w:cs="Arial"/>
          <w:b/>
          <w:lang w:val="en-ZA"/>
        </w:rPr>
        <w:t>NEDPORT DEVELOPMENTS (PTY) LTD</w:t>
      </w:r>
      <w:r w:rsidRPr="0026595C">
        <w:rPr>
          <w:rFonts w:ascii="Arial" w:hAnsi="Arial" w:cs="Arial"/>
          <w:b/>
          <w:lang w:val="en-ZA"/>
        </w:rPr>
        <w:tab/>
      </w:r>
      <w:r>
        <w:rPr>
          <w:rFonts w:ascii="Arial" w:hAnsi="Arial" w:cs="Arial"/>
          <w:b/>
          <w:lang w:val="en-ZA"/>
        </w:rPr>
        <w:t xml:space="preserve">  </w:t>
      </w:r>
      <w:r>
        <w:rPr>
          <w:rFonts w:ascii="Arial" w:hAnsi="Arial" w:cs="Arial"/>
          <w:lang w:val="en-ZA"/>
        </w:rPr>
        <w:tab/>
      </w:r>
      <w:r w:rsidR="00533F0C" w:rsidRPr="00F853F3">
        <w:rPr>
          <w:rFonts w:ascii="Arial" w:hAnsi="Arial" w:cs="Arial"/>
          <w:b/>
          <w:lang w:val="en-ZA"/>
        </w:rPr>
        <w:t xml:space="preserve"> </w:t>
      </w:r>
      <w:r>
        <w:rPr>
          <w:rFonts w:ascii="Arial" w:hAnsi="Arial" w:cs="Arial"/>
          <w:b/>
          <w:lang w:val="en-ZA"/>
        </w:rPr>
        <w:t xml:space="preserve">               </w:t>
      </w:r>
      <w:r w:rsidR="0016473F" w:rsidRPr="00F853F3">
        <w:rPr>
          <w:rFonts w:ascii="Arial" w:hAnsi="Arial" w:cs="Arial"/>
          <w:b/>
          <w:lang w:val="en-ZA"/>
        </w:rPr>
        <w:t>Respondent</w:t>
      </w:r>
    </w:p>
    <w:p w14:paraId="19668985" w14:textId="77777777" w:rsidR="00CD30C1" w:rsidRPr="009C277C" w:rsidRDefault="00CD30C1" w:rsidP="00212377">
      <w:pPr>
        <w:pBdr>
          <w:bottom w:val="single" w:sz="12" w:space="1" w:color="auto"/>
        </w:pBdr>
        <w:jc w:val="both"/>
        <w:rPr>
          <w:rFonts w:ascii="Arial" w:hAnsi="Arial" w:cs="Arial"/>
          <w:lang w:val="en-ZA"/>
        </w:rPr>
      </w:pPr>
    </w:p>
    <w:p w14:paraId="0DB6793A" w14:textId="77777777" w:rsidR="002C6D2E" w:rsidRPr="002C6D2E" w:rsidRDefault="002C6D2E" w:rsidP="00212377">
      <w:pPr>
        <w:pBdr>
          <w:bottom w:val="single" w:sz="12" w:space="1" w:color="auto"/>
        </w:pBdr>
        <w:jc w:val="both"/>
        <w:rPr>
          <w:rFonts w:ascii="Arial" w:hAnsi="Arial" w:cs="Arial"/>
          <w:b/>
          <w:lang w:val="en-ZA"/>
        </w:rPr>
      </w:pPr>
      <w:r>
        <w:rPr>
          <w:rFonts w:ascii="Arial" w:hAnsi="Arial" w:cs="Arial"/>
          <w:b/>
          <w:lang w:val="en-ZA"/>
        </w:rPr>
        <w:t>______________________________________________________________</w:t>
      </w:r>
    </w:p>
    <w:p w14:paraId="2C556B9B" w14:textId="77777777" w:rsidR="00CD30C1" w:rsidRPr="009C277C" w:rsidRDefault="00CD30C1" w:rsidP="002C6D2E">
      <w:pPr>
        <w:pBdr>
          <w:bottom w:val="single" w:sz="12" w:space="1" w:color="auto"/>
        </w:pBdr>
        <w:spacing w:line="360" w:lineRule="auto"/>
        <w:jc w:val="both"/>
        <w:rPr>
          <w:rFonts w:ascii="Arial" w:hAnsi="Arial" w:cs="Arial"/>
          <w:lang w:val="en-ZA"/>
        </w:rPr>
      </w:pPr>
      <w:r w:rsidRPr="009C277C">
        <w:rPr>
          <w:rFonts w:ascii="Arial" w:hAnsi="Arial" w:cs="Arial"/>
          <w:lang w:val="en-ZA"/>
        </w:rPr>
        <w:tab/>
      </w:r>
      <w:r w:rsidRPr="009C277C">
        <w:rPr>
          <w:rFonts w:ascii="Arial" w:hAnsi="Arial" w:cs="Arial"/>
          <w:lang w:val="en-ZA"/>
        </w:rPr>
        <w:tab/>
      </w:r>
      <w:r w:rsidRPr="009C277C">
        <w:rPr>
          <w:rFonts w:ascii="Arial" w:hAnsi="Arial" w:cs="Arial"/>
          <w:lang w:val="en-ZA"/>
        </w:rPr>
        <w:tab/>
        <w:t xml:space="preserve">     </w:t>
      </w:r>
      <w:r w:rsidR="00533F0C">
        <w:rPr>
          <w:rFonts w:ascii="Arial" w:hAnsi="Arial" w:cs="Arial"/>
          <w:lang w:val="en-ZA"/>
        </w:rPr>
        <w:t xml:space="preserve">                          </w:t>
      </w:r>
    </w:p>
    <w:p w14:paraId="640DE25D" w14:textId="77777777" w:rsidR="002C6D2E" w:rsidRDefault="002C6D2E" w:rsidP="00305182">
      <w:pPr>
        <w:pBdr>
          <w:bottom w:val="single" w:sz="12" w:space="1" w:color="auto"/>
        </w:pBdr>
        <w:spacing w:line="360" w:lineRule="auto"/>
        <w:jc w:val="center"/>
        <w:rPr>
          <w:rFonts w:ascii="Arial" w:hAnsi="Arial" w:cs="Arial"/>
          <w:b/>
          <w:lang w:val="en-ZA"/>
        </w:rPr>
      </w:pPr>
      <w:r>
        <w:rPr>
          <w:rFonts w:ascii="Arial" w:hAnsi="Arial" w:cs="Arial"/>
          <w:b/>
          <w:lang w:val="en-ZA"/>
        </w:rPr>
        <w:t>ORDER</w:t>
      </w:r>
    </w:p>
    <w:p w14:paraId="03B1E773" w14:textId="77777777" w:rsidR="00E71DA6" w:rsidRDefault="00E71DA6" w:rsidP="00305182">
      <w:pPr>
        <w:pBdr>
          <w:bottom w:val="single" w:sz="12" w:space="1" w:color="auto"/>
        </w:pBdr>
        <w:spacing w:line="360" w:lineRule="auto"/>
        <w:jc w:val="center"/>
        <w:rPr>
          <w:rFonts w:ascii="Arial" w:hAnsi="Arial" w:cs="Arial"/>
          <w:b/>
          <w:lang w:val="en-ZA"/>
        </w:rPr>
      </w:pPr>
    </w:p>
    <w:p w14:paraId="5B08DC33" w14:textId="77777777" w:rsidR="00E71DA6" w:rsidRDefault="00E71DA6" w:rsidP="00305182">
      <w:pPr>
        <w:widowControl w:val="0"/>
        <w:autoSpaceDE w:val="0"/>
        <w:autoSpaceDN w:val="0"/>
        <w:adjustRightInd w:val="0"/>
        <w:spacing w:line="360" w:lineRule="auto"/>
        <w:jc w:val="both"/>
        <w:rPr>
          <w:rFonts w:ascii="Arial" w:hAnsi="Arial" w:cs="Arial"/>
          <w:color w:val="000000"/>
        </w:rPr>
      </w:pPr>
    </w:p>
    <w:p w14:paraId="7DF47DEB" w14:textId="1BAC4824" w:rsidR="008850BC" w:rsidRDefault="00305182" w:rsidP="00305182">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w:t>
      </w:r>
      <w:r w:rsidR="008850BC">
        <w:rPr>
          <w:rFonts w:ascii="Arial" w:hAnsi="Arial" w:cs="Arial"/>
          <w:color w:val="000000"/>
        </w:rPr>
        <w:t>.</w:t>
      </w:r>
      <w:r w:rsidRPr="0064045C">
        <w:rPr>
          <w:rFonts w:ascii="Arial" w:hAnsi="Arial" w:cs="Arial"/>
          <w:color w:val="000000"/>
        </w:rPr>
        <w:tab/>
      </w:r>
      <w:r>
        <w:rPr>
          <w:rFonts w:ascii="Arial" w:hAnsi="Arial" w:cs="Arial"/>
          <w:color w:val="000000"/>
        </w:rPr>
        <w:t>T</w:t>
      </w:r>
      <w:r w:rsidRPr="0064045C">
        <w:rPr>
          <w:rFonts w:ascii="Arial" w:hAnsi="Arial" w:cs="Arial"/>
          <w:color w:val="000000"/>
        </w:rPr>
        <w:t>he main application is dismissed;</w:t>
      </w:r>
    </w:p>
    <w:p w14:paraId="278FA811" w14:textId="77777777" w:rsidR="008850BC" w:rsidRPr="0064045C" w:rsidRDefault="008850BC" w:rsidP="00305182">
      <w:pPr>
        <w:widowControl w:val="0"/>
        <w:autoSpaceDE w:val="0"/>
        <w:autoSpaceDN w:val="0"/>
        <w:adjustRightInd w:val="0"/>
        <w:spacing w:line="360" w:lineRule="auto"/>
        <w:jc w:val="both"/>
        <w:rPr>
          <w:rFonts w:ascii="Arial" w:hAnsi="Arial" w:cs="Arial"/>
          <w:color w:val="000000"/>
        </w:rPr>
      </w:pPr>
    </w:p>
    <w:p w14:paraId="4D2F6C37" w14:textId="46913826" w:rsidR="00305182" w:rsidRPr="0064045C" w:rsidRDefault="00305182" w:rsidP="00E71DA6">
      <w:pPr>
        <w:widowControl w:val="0"/>
        <w:autoSpaceDE w:val="0"/>
        <w:autoSpaceDN w:val="0"/>
        <w:adjustRightInd w:val="0"/>
        <w:spacing w:line="360" w:lineRule="auto"/>
        <w:ind w:left="720" w:hanging="720"/>
        <w:jc w:val="both"/>
        <w:rPr>
          <w:rFonts w:ascii="Arial" w:hAnsi="Arial" w:cs="Arial"/>
          <w:color w:val="000000"/>
        </w:rPr>
      </w:pPr>
      <w:r>
        <w:rPr>
          <w:rFonts w:ascii="Arial" w:hAnsi="Arial" w:cs="Arial"/>
          <w:color w:val="000000"/>
        </w:rPr>
        <w:t>2</w:t>
      </w:r>
      <w:r w:rsidR="008850BC">
        <w:rPr>
          <w:rFonts w:ascii="Arial" w:hAnsi="Arial" w:cs="Arial"/>
          <w:color w:val="000000"/>
        </w:rPr>
        <w:t>.</w:t>
      </w:r>
      <w:r>
        <w:rPr>
          <w:rFonts w:ascii="Arial" w:hAnsi="Arial" w:cs="Arial"/>
          <w:color w:val="000000"/>
        </w:rPr>
        <w:tab/>
        <w:t>I</w:t>
      </w:r>
      <w:r w:rsidRPr="0064045C">
        <w:rPr>
          <w:rFonts w:ascii="Arial" w:hAnsi="Arial" w:cs="Arial"/>
          <w:color w:val="000000"/>
        </w:rPr>
        <w:t>t is declared that the agreement concluded between the parties on 27 March 2020 for the purchase of sections 2 and 3, together with exclusive use areas, in the sectional scheme to be known as Park Square</w:t>
      </w:r>
      <w:r w:rsidR="008850BC">
        <w:rPr>
          <w:rFonts w:ascii="Arial" w:hAnsi="Arial" w:cs="Arial"/>
          <w:color w:val="000000"/>
        </w:rPr>
        <w:t>,</w:t>
      </w:r>
      <w:r w:rsidRPr="0064045C">
        <w:rPr>
          <w:rFonts w:ascii="Arial" w:hAnsi="Arial" w:cs="Arial"/>
          <w:color w:val="000000"/>
        </w:rPr>
        <w:t xml:space="preserve"> lapsed through non-fulfilment of the suspensive condition contained in clause 5.1.2 of that agreement;</w:t>
      </w:r>
    </w:p>
    <w:p w14:paraId="2F57643B" w14:textId="77777777" w:rsidR="00305182" w:rsidRPr="0064045C" w:rsidRDefault="00305182" w:rsidP="00305182">
      <w:pPr>
        <w:widowControl w:val="0"/>
        <w:autoSpaceDE w:val="0"/>
        <w:autoSpaceDN w:val="0"/>
        <w:adjustRightInd w:val="0"/>
        <w:spacing w:line="360" w:lineRule="auto"/>
        <w:jc w:val="both"/>
        <w:rPr>
          <w:rFonts w:ascii="Arial" w:hAnsi="Arial" w:cs="Arial"/>
          <w:color w:val="000000"/>
        </w:rPr>
      </w:pPr>
    </w:p>
    <w:p w14:paraId="46ACF4A3" w14:textId="08C63773" w:rsidR="008850BC" w:rsidRDefault="00305182" w:rsidP="008850BC">
      <w:pPr>
        <w:spacing w:line="360" w:lineRule="auto"/>
        <w:ind w:left="720" w:hanging="720"/>
        <w:rPr>
          <w:rFonts w:ascii="Arial" w:hAnsi="Arial" w:cs="Arial"/>
          <w:b/>
          <w:lang w:val="en-ZA"/>
        </w:rPr>
      </w:pPr>
      <w:r>
        <w:rPr>
          <w:rFonts w:ascii="Arial" w:hAnsi="Arial" w:cs="Arial"/>
          <w:color w:val="000000"/>
        </w:rPr>
        <w:t>3</w:t>
      </w:r>
      <w:r w:rsidR="008850BC">
        <w:rPr>
          <w:rFonts w:ascii="Arial" w:hAnsi="Arial" w:cs="Arial"/>
          <w:color w:val="000000"/>
        </w:rPr>
        <w:t>.</w:t>
      </w:r>
      <w:r w:rsidRPr="0064045C">
        <w:rPr>
          <w:rFonts w:ascii="Arial" w:hAnsi="Arial" w:cs="Arial"/>
          <w:color w:val="000000"/>
        </w:rPr>
        <w:tab/>
      </w:r>
      <w:r>
        <w:rPr>
          <w:rFonts w:ascii="Arial" w:hAnsi="Arial" w:cs="Arial"/>
          <w:color w:val="000000"/>
        </w:rPr>
        <w:t>T</w:t>
      </w:r>
      <w:r w:rsidRPr="0064045C">
        <w:rPr>
          <w:rFonts w:ascii="Arial" w:hAnsi="Arial" w:cs="Arial"/>
          <w:color w:val="000000"/>
        </w:rPr>
        <w:t>he applicant is directed to pay the costs of the application and the counter application, including the costs o</w:t>
      </w:r>
      <w:r w:rsidR="00E71DA6">
        <w:rPr>
          <w:rFonts w:ascii="Arial" w:hAnsi="Arial" w:cs="Arial"/>
          <w:color w:val="000000"/>
        </w:rPr>
        <w:t>f senior counsel where employed.</w:t>
      </w:r>
      <w:r w:rsidR="008850BC">
        <w:rPr>
          <w:rFonts w:ascii="Arial" w:hAnsi="Arial" w:cs="Arial"/>
          <w:b/>
          <w:lang w:val="en-ZA"/>
        </w:rPr>
        <w:t xml:space="preserve"> </w:t>
      </w:r>
    </w:p>
    <w:p w14:paraId="7431FCCF" w14:textId="77777777" w:rsidR="008850BC" w:rsidRPr="008850BC" w:rsidRDefault="008850BC" w:rsidP="008850BC">
      <w:pPr>
        <w:widowControl w:val="0"/>
        <w:pBdr>
          <w:bottom w:val="single" w:sz="12" w:space="1" w:color="auto"/>
        </w:pBdr>
        <w:autoSpaceDE w:val="0"/>
        <w:autoSpaceDN w:val="0"/>
        <w:adjustRightInd w:val="0"/>
        <w:spacing w:line="360" w:lineRule="auto"/>
        <w:jc w:val="both"/>
        <w:rPr>
          <w:rFonts w:ascii="Arial" w:hAnsi="Arial" w:cs="Arial"/>
          <w:lang w:val="en-ZA"/>
        </w:rPr>
      </w:pPr>
      <w:bookmarkStart w:id="3" w:name="OLE_LINK1"/>
      <w:bookmarkStart w:id="4" w:name="OLE_LINK2"/>
    </w:p>
    <w:p w14:paraId="3CBC8B1C" w14:textId="77777777" w:rsidR="008850BC" w:rsidRDefault="008850BC" w:rsidP="002C6D2E">
      <w:pPr>
        <w:spacing w:line="360" w:lineRule="auto"/>
        <w:jc w:val="center"/>
        <w:outlineLvl w:val="0"/>
        <w:rPr>
          <w:rFonts w:ascii="Arial" w:hAnsi="Arial" w:cs="Arial"/>
          <w:b/>
          <w:lang w:val="en-ZA"/>
        </w:rPr>
      </w:pPr>
    </w:p>
    <w:p w14:paraId="28317908" w14:textId="77777777" w:rsidR="002C2B00" w:rsidRDefault="00212377" w:rsidP="002C6D2E">
      <w:pPr>
        <w:spacing w:line="360" w:lineRule="auto"/>
        <w:jc w:val="center"/>
        <w:outlineLvl w:val="0"/>
        <w:rPr>
          <w:rFonts w:ascii="Arial" w:hAnsi="Arial" w:cs="Arial"/>
          <w:b/>
          <w:lang w:val="en-ZA"/>
        </w:rPr>
      </w:pPr>
      <w:r w:rsidRPr="001965CD">
        <w:rPr>
          <w:rFonts w:ascii="Arial" w:hAnsi="Arial" w:cs="Arial"/>
          <w:b/>
          <w:lang w:val="en-ZA"/>
        </w:rPr>
        <w:t>JUDGMENT</w:t>
      </w:r>
    </w:p>
    <w:p w14:paraId="0CFCE2CE" w14:textId="040AD4CA" w:rsidR="002C2B00" w:rsidRPr="002C2B00" w:rsidRDefault="002C2B00" w:rsidP="002C6D2E">
      <w:pPr>
        <w:spacing w:line="360" w:lineRule="auto"/>
        <w:jc w:val="right"/>
        <w:outlineLvl w:val="0"/>
        <w:rPr>
          <w:rFonts w:ascii="Arial" w:hAnsi="Arial" w:cs="Arial"/>
          <w:sz w:val="20"/>
          <w:szCs w:val="20"/>
          <w:lang w:val="en-ZA"/>
        </w:rPr>
      </w:pPr>
      <w:r>
        <w:rPr>
          <w:rFonts w:ascii="Arial" w:hAnsi="Arial" w:cs="Arial"/>
          <w:b/>
          <w:lang w:val="en-ZA"/>
        </w:rPr>
        <w:tab/>
      </w:r>
      <w:r>
        <w:rPr>
          <w:rFonts w:ascii="Arial" w:hAnsi="Arial" w:cs="Arial"/>
          <w:b/>
          <w:lang w:val="en-ZA"/>
        </w:rPr>
        <w:tab/>
      </w:r>
      <w:r>
        <w:rPr>
          <w:rFonts w:ascii="Arial" w:hAnsi="Arial" w:cs="Arial"/>
          <w:b/>
          <w:lang w:val="en-ZA"/>
        </w:rPr>
        <w:tab/>
      </w:r>
      <w:r>
        <w:rPr>
          <w:rFonts w:ascii="Arial" w:hAnsi="Arial" w:cs="Arial"/>
          <w:b/>
          <w:lang w:val="en-ZA"/>
        </w:rPr>
        <w:tab/>
        <w:t xml:space="preserve">                   </w:t>
      </w:r>
      <w:r w:rsidR="00414927">
        <w:rPr>
          <w:rFonts w:ascii="Arial" w:hAnsi="Arial" w:cs="Arial"/>
          <w:b/>
          <w:lang w:val="en-ZA"/>
        </w:rPr>
        <w:t xml:space="preserve">            </w:t>
      </w:r>
      <w:r w:rsidR="00E55B8A">
        <w:rPr>
          <w:rFonts w:ascii="Arial" w:hAnsi="Arial" w:cs="Arial"/>
          <w:b/>
          <w:lang w:val="en-ZA"/>
        </w:rPr>
        <w:t xml:space="preserve">    </w:t>
      </w:r>
      <w:r w:rsidR="00414927">
        <w:rPr>
          <w:rFonts w:ascii="Arial" w:hAnsi="Arial" w:cs="Arial"/>
          <w:b/>
          <w:lang w:val="en-ZA"/>
        </w:rPr>
        <w:t xml:space="preserve"> </w:t>
      </w:r>
      <w:r w:rsidR="00414927">
        <w:rPr>
          <w:rFonts w:ascii="Arial" w:hAnsi="Arial" w:cs="Arial"/>
          <w:sz w:val="20"/>
          <w:szCs w:val="20"/>
          <w:lang w:val="en-ZA"/>
        </w:rPr>
        <w:t>D</w:t>
      </w:r>
      <w:r w:rsidR="007534E5">
        <w:rPr>
          <w:rFonts w:ascii="Arial" w:hAnsi="Arial" w:cs="Arial"/>
          <w:sz w:val="20"/>
          <w:szCs w:val="20"/>
          <w:lang w:val="en-ZA"/>
        </w:rPr>
        <w:t>elivered on</w:t>
      </w:r>
      <w:r>
        <w:rPr>
          <w:rFonts w:ascii="Arial" w:hAnsi="Arial" w:cs="Arial"/>
          <w:sz w:val="20"/>
          <w:szCs w:val="20"/>
          <w:lang w:val="en-ZA"/>
        </w:rPr>
        <w:t>:</w:t>
      </w:r>
      <w:r w:rsidR="00E45962">
        <w:rPr>
          <w:rFonts w:ascii="Arial" w:hAnsi="Arial" w:cs="Arial"/>
          <w:sz w:val="20"/>
          <w:szCs w:val="20"/>
          <w:lang w:val="en-ZA"/>
        </w:rPr>
        <w:t xml:space="preserve"> </w:t>
      </w:r>
      <w:r w:rsidR="0026595C">
        <w:rPr>
          <w:rFonts w:ascii="Arial" w:hAnsi="Arial" w:cs="Arial"/>
          <w:sz w:val="20"/>
          <w:szCs w:val="20"/>
          <w:lang w:val="en-ZA"/>
        </w:rPr>
        <w:t>27 October 2021</w:t>
      </w:r>
    </w:p>
    <w:p w14:paraId="5C95A378" w14:textId="77777777" w:rsidR="00C00645" w:rsidRDefault="00A73593" w:rsidP="00A853EE">
      <w:pPr>
        <w:jc w:val="center"/>
        <w:outlineLvl w:val="0"/>
        <w:rPr>
          <w:rFonts w:ascii="Arial" w:hAnsi="Arial" w:cs="Arial"/>
          <w:b/>
          <w:lang w:val="en-ZA"/>
        </w:rPr>
      </w:pPr>
      <w:r>
        <w:rPr>
          <w:rFonts w:ascii="Arial" w:hAnsi="Arial" w:cs="Arial"/>
          <w:b/>
          <w:lang w:val="en-ZA"/>
        </w:rPr>
        <w:t>_</w:t>
      </w:r>
      <w:r w:rsidR="007E25E7">
        <w:rPr>
          <w:rFonts w:ascii="Arial" w:hAnsi="Arial" w:cs="Arial"/>
          <w:b/>
          <w:lang w:val="en-ZA"/>
        </w:rPr>
        <w:t>__</w:t>
      </w:r>
      <w:r w:rsidR="001965CD">
        <w:rPr>
          <w:rFonts w:ascii="Arial" w:hAnsi="Arial" w:cs="Arial"/>
          <w:b/>
          <w:lang w:val="en-ZA"/>
        </w:rPr>
        <w:t>_______________________</w:t>
      </w:r>
      <w:r w:rsidR="002C2B00">
        <w:rPr>
          <w:rFonts w:ascii="Arial" w:hAnsi="Arial" w:cs="Arial"/>
          <w:b/>
          <w:lang w:val="en-ZA"/>
        </w:rPr>
        <w:t>_______________</w:t>
      </w:r>
      <w:r w:rsidR="001965CD">
        <w:rPr>
          <w:rFonts w:ascii="Arial" w:hAnsi="Arial" w:cs="Arial"/>
          <w:b/>
          <w:lang w:val="en-ZA"/>
        </w:rPr>
        <w:t>_____________________</w:t>
      </w:r>
      <w:bookmarkEnd w:id="3"/>
      <w:bookmarkEnd w:id="4"/>
    </w:p>
    <w:p w14:paraId="73AD19FE" w14:textId="77777777" w:rsidR="00A853EE" w:rsidRDefault="00A853EE" w:rsidP="009F3853">
      <w:pPr>
        <w:spacing w:line="360" w:lineRule="auto"/>
        <w:outlineLvl w:val="0"/>
        <w:rPr>
          <w:rFonts w:ascii="Arial" w:hAnsi="Arial" w:cs="Arial"/>
          <w:b/>
          <w:lang w:val="en-ZA"/>
        </w:rPr>
      </w:pPr>
    </w:p>
    <w:p w14:paraId="52CB1896" w14:textId="77777777" w:rsidR="00D27C1D" w:rsidRDefault="002C6D2E" w:rsidP="009F3853">
      <w:pPr>
        <w:spacing w:line="360" w:lineRule="auto"/>
        <w:outlineLvl w:val="0"/>
        <w:rPr>
          <w:rFonts w:ascii="Arial" w:hAnsi="Arial" w:cs="Arial"/>
          <w:b/>
          <w:lang w:val="en-ZA"/>
        </w:rPr>
      </w:pPr>
      <w:r>
        <w:rPr>
          <w:rFonts w:ascii="Arial" w:hAnsi="Arial" w:cs="Arial"/>
          <w:b/>
          <w:lang w:val="en-ZA"/>
        </w:rPr>
        <w:t>SHAPIRO</w:t>
      </w:r>
      <w:r w:rsidR="00D27C1D" w:rsidRPr="001965CD">
        <w:rPr>
          <w:rFonts w:ascii="Arial" w:hAnsi="Arial" w:cs="Arial"/>
          <w:b/>
          <w:lang w:val="en-ZA"/>
        </w:rPr>
        <w:t xml:space="preserve"> </w:t>
      </w:r>
      <w:r>
        <w:rPr>
          <w:rFonts w:ascii="Arial" w:hAnsi="Arial" w:cs="Arial"/>
          <w:b/>
          <w:lang w:val="en-ZA"/>
        </w:rPr>
        <w:t>A</w:t>
      </w:r>
      <w:r w:rsidR="00D27C1D" w:rsidRPr="001965CD">
        <w:rPr>
          <w:rFonts w:ascii="Arial" w:hAnsi="Arial" w:cs="Arial"/>
          <w:b/>
          <w:lang w:val="en-ZA"/>
        </w:rPr>
        <w:t>J</w:t>
      </w:r>
    </w:p>
    <w:p w14:paraId="12B9C658" w14:textId="77777777" w:rsidR="00793291" w:rsidRDefault="00793291" w:rsidP="009F3853">
      <w:pPr>
        <w:spacing w:line="360" w:lineRule="auto"/>
        <w:outlineLvl w:val="0"/>
        <w:rPr>
          <w:rFonts w:ascii="Arial" w:hAnsi="Arial" w:cs="Arial"/>
          <w:b/>
          <w:lang w:val="en-ZA"/>
        </w:rPr>
      </w:pPr>
    </w:p>
    <w:p w14:paraId="7BFACDFF" w14:textId="49CA7908" w:rsidR="0064045C" w:rsidRPr="0064045C" w:rsidRDefault="009F3853" w:rsidP="009F3853">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w:t>
      </w:r>
      <w:r>
        <w:rPr>
          <w:rFonts w:ascii="Arial" w:hAnsi="Arial" w:cs="Arial"/>
          <w:color w:val="000000"/>
        </w:rPr>
        <w:tab/>
      </w:r>
      <w:r w:rsidR="0064045C" w:rsidRPr="0064045C">
        <w:rPr>
          <w:rFonts w:ascii="Arial" w:hAnsi="Arial" w:cs="Arial"/>
          <w:color w:val="000000"/>
        </w:rPr>
        <w:t>On 27 March 2020, the applicant as purchaser and the respondent as seller concluded a written agreement of sale in respect of Sections 2 and 3 in a sectional title scheme to be known as Park Square in Umhlanga, Durban. The purchase price of R88</w:t>
      </w:r>
      <w:r w:rsidR="00344FAB">
        <w:rPr>
          <w:rFonts w:ascii="Arial" w:hAnsi="Arial" w:cs="Arial"/>
          <w:color w:val="000000"/>
        </w:rPr>
        <w:t> </w:t>
      </w:r>
      <w:r w:rsidR="0064045C" w:rsidRPr="0064045C">
        <w:rPr>
          <w:rFonts w:ascii="Arial" w:hAnsi="Arial" w:cs="Arial"/>
          <w:color w:val="000000"/>
        </w:rPr>
        <w:t>098</w:t>
      </w:r>
      <w:r w:rsidR="00344FAB">
        <w:rPr>
          <w:rFonts w:ascii="Arial" w:hAnsi="Arial" w:cs="Arial"/>
          <w:color w:val="000000"/>
        </w:rPr>
        <w:t xml:space="preserve"> </w:t>
      </w:r>
      <w:r w:rsidR="0064045C" w:rsidRPr="0064045C">
        <w:rPr>
          <w:rFonts w:ascii="Arial" w:hAnsi="Arial" w:cs="Arial"/>
          <w:color w:val="000000"/>
        </w:rPr>
        <w:t>500 plus VAT was to be secured by the payment of a deposit of R</w:t>
      </w:r>
      <w:r w:rsidR="00F853F3">
        <w:rPr>
          <w:rFonts w:ascii="Arial" w:hAnsi="Arial" w:cs="Arial"/>
          <w:color w:val="000000"/>
        </w:rPr>
        <w:t xml:space="preserve">1 150 000 </w:t>
      </w:r>
      <w:r w:rsidR="0064045C" w:rsidRPr="0064045C">
        <w:rPr>
          <w:rFonts w:ascii="Arial" w:hAnsi="Arial" w:cs="Arial"/>
          <w:color w:val="000000"/>
        </w:rPr>
        <w:t xml:space="preserve">with the balance to be secured through a loan granted by a financial institution for not less </w:t>
      </w:r>
      <w:r w:rsidRPr="0064045C">
        <w:rPr>
          <w:rFonts w:ascii="Arial" w:hAnsi="Arial" w:cs="Arial"/>
          <w:color w:val="000000"/>
        </w:rPr>
        <w:t>than</w:t>
      </w:r>
      <w:r w:rsidR="0064045C" w:rsidRPr="0064045C">
        <w:rPr>
          <w:rFonts w:ascii="Arial" w:hAnsi="Arial" w:cs="Arial"/>
          <w:color w:val="000000"/>
        </w:rPr>
        <w:t xml:space="preserve"> R100 million.</w:t>
      </w:r>
      <w:r>
        <w:rPr>
          <w:rFonts w:ascii="Arial" w:hAnsi="Arial" w:cs="Arial"/>
          <w:color w:val="000000"/>
        </w:rPr>
        <w:t xml:space="preserve"> </w:t>
      </w:r>
      <w:r w:rsidR="0064045C" w:rsidRPr="0064045C">
        <w:rPr>
          <w:rFonts w:ascii="Arial" w:hAnsi="Arial" w:cs="Arial"/>
          <w:color w:val="000000"/>
        </w:rPr>
        <w:t xml:space="preserve"> The day that the agreement was concluded, the country entered a "</w:t>
      </w:r>
      <w:r w:rsidR="00E71DA6">
        <w:rPr>
          <w:rFonts w:ascii="Arial" w:hAnsi="Arial" w:cs="Arial"/>
          <w:color w:val="000000"/>
        </w:rPr>
        <w:t>hard lockdown" due to the Covid-</w:t>
      </w:r>
      <w:r w:rsidR="0064045C" w:rsidRPr="0064045C">
        <w:rPr>
          <w:rFonts w:ascii="Arial" w:hAnsi="Arial" w:cs="Arial"/>
          <w:color w:val="000000"/>
        </w:rPr>
        <w:t>19 pandemic that was beginning to wreak havoc across the country.</w:t>
      </w:r>
    </w:p>
    <w:p w14:paraId="5FBD9A09"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7CB226A" w14:textId="77777777" w:rsidR="0064045C" w:rsidRPr="0064045C" w:rsidRDefault="009F3853"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w:t>
      </w:r>
      <w:r>
        <w:rPr>
          <w:rFonts w:ascii="Arial" w:hAnsi="Arial" w:cs="Arial"/>
          <w:color w:val="000000"/>
        </w:rPr>
        <w:tab/>
      </w:r>
      <w:r w:rsidR="0064045C" w:rsidRPr="0064045C">
        <w:rPr>
          <w:rFonts w:ascii="Arial" w:hAnsi="Arial" w:cs="Arial"/>
          <w:color w:val="000000"/>
        </w:rPr>
        <w:t>At its core, this matter is about whether the applicant complied with a suspensive condition contained in the agreement, to which I refer below, and the effect, if any, of the hard lockdown on the timeous performance of the applicant’s obligations.</w:t>
      </w:r>
    </w:p>
    <w:p w14:paraId="16F3F981"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8B777CC" w14:textId="77777777" w:rsidR="0064045C" w:rsidRPr="0064045C" w:rsidRDefault="009F3853"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w:t>
      </w:r>
      <w:r>
        <w:rPr>
          <w:rFonts w:ascii="Arial" w:hAnsi="Arial" w:cs="Arial"/>
          <w:color w:val="000000"/>
        </w:rPr>
        <w:tab/>
      </w:r>
      <w:r w:rsidR="0064045C" w:rsidRPr="0064045C">
        <w:rPr>
          <w:rFonts w:ascii="Arial" w:hAnsi="Arial" w:cs="Arial"/>
          <w:color w:val="000000"/>
        </w:rPr>
        <w:t xml:space="preserve">The applicant seeks an order directing the respondent forthwith to permit representatives of its bankers, Investec Bank Ltd, to access the immovable property for the purposes of providing a valuation of the property. </w:t>
      </w:r>
      <w:r>
        <w:rPr>
          <w:rFonts w:ascii="Arial" w:hAnsi="Arial" w:cs="Arial"/>
          <w:color w:val="000000"/>
        </w:rPr>
        <w:t xml:space="preserve"> </w:t>
      </w:r>
      <w:r w:rsidR="0064045C" w:rsidRPr="0064045C">
        <w:rPr>
          <w:rFonts w:ascii="Arial" w:hAnsi="Arial" w:cs="Arial"/>
          <w:color w:val="000000"/>
        </w:rPr>
        <w:t xml:space="preserve">The respondent has counter-applied for orders declaring that the agreement lapsed through non-fulfilment of its suspensive conditions, alternatively, declaring that it cancelled the agreement validly. </w:t>
      </w:r>
    </w:p>
    <w:p w14:paraId="217B8DDA"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BFD9547"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[4] </w:t>
      </w:r>
      <w:r w:rsidR="009F3853">
        <w:rPr>
          <w:rFonts w:ascii="Arial" w:hAnsi="Arial" w:cs="Arial"/>
          <w:color w:val="000000"/>
        </w:rPr>
        <w:tab/>
      </w:r>
      <w:r w:rsidRPr="0064045C">
        <w:rPr>
          <w:rFonts w:ascii="Arial" w:hAnsi="Arial" w:cs="Arial"/>
          <w:color w:val="000000"/>
        </w:rPr>
        <w:t>Given that the fate of both the application and the counter-application will be determined based on an interpretation of the relevant clauses of the agreement, it is appropriate to quote them in full:</w:t>
      </w:r>
    </w:p>
    <w:p w14:paraId="6A54774B"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4571626B" w14:textId="77777777" w:rsidR="0064045C" w:rsidRPr="00FC784B" w:rsidRDefault="009F3853" w:rsidP="0064045C">
      <w:pPr>
        <w:widowControl w:val="0"/>
        <w:autoSpaceDE w:val="0"/>
        <w:autoSpaceDN w:val="0"/>
        <w:adjustRightInd w:val="0"/>
        <w:spacing w:line="360" w:lineRule="auto"/>
        <w:jc w:val="both"/>
        <w:rPr>
          <w:rFonts w:ascii="Arial" w:hAnsi="Arial" w:cs="Arial"/>
          <w:b/>
          <w:bCs/>
          <w:color w:val="000000"/>
          <w:sz w:val="22"/>
          <w:szCs w:val="22"/>
        </w:rPr>
      </w:pPr>
      <w:r w:rsidRPr="00FC784B">
        <w:rPr>
          <w:rFonts w:ascii="Arial" w:hAnsi="Arial" w:cs="Arial"/>
          <w:color w:val="000000"/>
          <w:sz w:val="22"/>
          <w:szCs w:val="22"/>
        </w:rPr>
        <w:t>‘</w:t>
      </w:r>
      <w:r w:rsidR="0064045C" w:rsidRPr="00FC784B">
        <w:rPr>
          <w:rFonts w:ascii="Arial" w:hAnsi="Arial" w:cs="Arial"/>
          <w:color w:val="000000"/>
          <w:sz w:val="22"/>
          <w:szCs w:val="22"/>
        </w:rPr>
        <w:t>5.</w:t>
      </w:r>
      <w:r w:rsidR="0064045C" w:rsidRPr="00FC784B">
        <w:rPr>
          <w:rFonts w:ascii="Arial" w:hAnsi="Arial" w:cs="Arial"/>
          <w:color w:val="000000"/>
          <w:sz w:val="22"/>
          <w:szCs w:val="22"/>
        </w:rPr>
        <w:tab/>
      </w:r>
      <w:r w:rsidR="0064045C" w:rsidRPr="00FC784B">
        <w:rPr>
          <w:rFonts w:ascii="Arial" w:hAnsi="Arial" w:cs="Arial"/>
          <w:b/>
          <w:bCs/>
          <w:color w:val="000000"/>
          <w:sz w:val="22"/>
          <w:szCs w:val="22"/>
        </w:rPr>
        <w:t>CONDITION PRECEDENT</w:t>
      </w:r>
    </w:p>
    <w:p w14:paraId="29D98B79" w14:textId="3EDAF11B" w:rsidR="0064045C" w:rsidRPr="00FC784B" w:rsidRDefault="0064045C" w:rsidP="00E71DA6">
      <w:pPr>
        <w:widowControl w:val="0"/>
        <w:autoSpaceDE w:val="0"/>
        <w:autoSpaceDN w:val="0"/>
        <w:adjustRightInd w:val="0"/>
        <w:spacing w:line="360" w:lineRule="auto"/>
        <w:ind w:left="1440" w:hanging="720"/>
        <w:jc w:val="both"/>
        <w:rPr>
          <w:rFonts w:ascii="Arial" w:hAnsi="Arial" w:cs="Arial"/>
          <w:color w:val="000000"/>
          <w:sz w:val="22"/>
          <w:szCs w:val="22"/>
        </w:rPr>
      </w:pPr>
      <w:r w:rsidRPr="00FC784B">
        <w:rPr>
          <w:rFonts w:ascii="Arial" w:hAnsi="Arial" w:cs="Arial"/>
          <w:color w:val="000000"/>
          <w:sz w:val="22"/>
          <w:szCs w:val="22"/>
        </w:rPr>
        <w:t>5.1</w:t>
      </w:r>
      <w:r w:rsidRPr="00FC784B">
        <w:rPr>
          <w:rFonts w:ascii="Arial" w:hAnsi="Arial" w:cs="Arial"/>
          <w:color w:val="000000"/>
          <w:sz w:val="22"/>
          <w:szCs w:val="22"/>
        </w:rPr>
        <w:tab/>
        <w:t xml:space="preserve">Save for clauses 2, 5, 21, 22 and 23, all of which will become effective </w:t>
      </w:r>
      <w:r w:rsidRPr="00FC784B">
        <w:rPr>
          <w:rFonts w:ascii="Arial" w:hAnsi="Arial" w:cs="Arial"/>
          <w:color w:val="000000"/>
          <w:sz w:val="22"/>
          <w:szCs w:val="22"/>
        </w:rPr>
        <w:lastRenderedPageBreak/>
        <w:t>immediately and will survive the failure of this Agreement to become unconditional, this Agreement is subject to the fulfilment of the Condition Precedent that by not later than:</w:t>
      </w:r>
    </w:p>
    <w:p w14:paraId="19C86A51"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r w:rsidRPr="00FC784B">
        <w:rPr>
          <w:rFonts w:ascii="Arial" w:hAnsi="Arial" w:cs="Arial"/>
          <w:color w:val="000000"/>
          <w:sz w:val="22"/>
          <w:szCs w:val="22"/>
        </w:rPr>
        <w:tab/>
      </w:r>
    </w:p>
    <w:p w14:paraId="38A3523C"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r w:rsidRPr="00FC784B">
        <w:rPr>
          <w:rFonts w:ascii="Arial" w:hAnsi="Arial" w:cs="Arial"/>
          <w:color w:val="000000"/>
          <w:sz w:val="22"/>
          <w:szCs w:val="22"/>
        </w:rPr>
        <w:tab/>
      </w:r>
      <w:r w:rsidR="00E71DA6">
        <w:rPr>
          <w:rFonts w:ascii="Arial" w:hAnsi="Arial" w:cs="Arial"/>
          <w:color w:val="000000"/>
          <w:sz w:val="22"/>
          <w:szCs w:val="22"/>
        </w:rPr>
        <w:tab/>
      </w:r>
      <w:r w:rsidRPr="00FC784B">
        <w:rPr>
          <w:rFonts w:ascii="Arial" w:hAnsi="Arial" w:cs="Arial"/>
          <w:color w:val="000000"/>
          <w:sz w:val="22"/>
          <w:szCs w:val="22"/>
        </w:rPr>
        <w:t>5.1.1</w:t>
      </w:r>
      <w:r w:rsidRPr="00FC784B">
        <w:rPr>
          <w:rFonts w:ascii="Arial" w:hAnsi="Arial" w:cs="Arial"/>
          <w:color w:val="000000"/>
          <w:sz w:val="22"/>
          <w:szCs w:val="22"/>
        </w:rPr>
        <w:tab/>
        <w:t>...</w:t>
      </w:r>
    </w:p>
    <w:p w14:paraId="6C969319"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r w:rsidRPr="00FC784B">
        <w:rPr>
          <w:rFonts w:ascii="Arial" w:hAnsi="Arial" w:cs="Arial"/>
          <w:color w:val="000000"/>
          <w:sz w:val="22"/>
          <w:szCs w:val="22"/>
        </w:rPr>
        <w:tab/>
      </w:r>
    </w:p>
    <w:p w14:paraId="679614F9" w14:textId="36EB7B67" w:rsidR="0064045C" w:rsidRPr="00FC784B" w:rsidRDefault="0064045C" w:rsidP="00E71DA6">
      <w:pPr>
        <w:widowControl w:val="0"/>
        <w:autoSpaceDE w:val="0"/>
        <w:autoSpaceDN w:val="0"/>
        <w:adjustRightInd w:val="0"/>
        <w:spacing w:line="360" w:lineRule="auto"/>
        <w:ind w:left="2160" w:hanging="720"/>
        <w:jc w:val="both"/>
        <w:rPr>
          <w:rFonts w:ascii="Arial" w:hAnsi="Arial" w:cs="Arial"/>
          <w:color w:val="000000"/>
          <w:sz w:val="22"/>
          <w:szCs w:val="22"/>
        </w:rPr>
      </w:pPr>
      <w:r w:rsidRPr="00FC784B">
        <w:rPr>
          <w:rFonts w:ascii="Arial" w:hAnsi="Arial" w:cs="Arial"/>
          <w:color w:val="000000"/>
          <w:sz w:val="22"/>
          <w:szCs w:val="22"/>
        </w:rPr>
        <w:t>5.1.2</w:t>
      </w:r>
      <w:r w:rsidRPr="00FC784B">
        <w:rPr>
          <w:rFonts w:ascii="Arial" w:hAnsi="Arial" w:cs="Arial"/>
          <w:color w:val="000000"/>
          <w:sz w:val="22"/>
          <w:szCs w:val="22"/>
        </w:rPr>
        <w:tab/>
        <w:t xml:space="preserve">On or before 16 April 2020, the Purchaser obtains a loan from a </w:t>
      </w:r>
      <w:r w:rsidR="009F3853" w:rsidRPr="00FC784B">
        <w:rPr>
          <w:rFonts w:ascii="Arial" w:hAnsi="Arial" w:cs="Arial"/>
          <w:color w:val="000000"/>
          <w:sz w:val="22"/>
          <w:szCs w:val="22"/>
        </w:rPr>
        <w:t xml:space="preserve">financial </w:t>
      </w:r>
      <w:r w:rsidRPr="00FC784B">
        <w:rPr>
          <w:rFonts w:ascii="Arial" w:hAnsi="Arial" w:cs="Arial"/>
          <w:color w:val="000000"/>
          <w:sz w:val="22"/>
          <w:szCs w:val="22"/>
        </w:rPr>
        <w:t>institution for not less t</w:t>
      </w:r>
      <w:r w:rsidR="00F853F3">
        <w:rPr>
          <w:rFonts w:ascii="Arial" w:hAnsi="Arial" w:cs="Arial"/>
          <w:color w:val="000000"/>
          <w:sz w:val="22"/>
          <w:szCs w:val="22"/>
        </w:rPr>
        <w:t>ha</w:t>
      </w:r>
      <w:r w:rsidRPr="00FC784B">
        <w:rPr>
          <w:rFonts w:ascii="Arial" w:hAnsi="Arial" w:cs="Arial"/>
          <w:color w:val="000000"/>
          <w:sz w:val="22"/>
          <w:szCs w:val="22"/>
        </w:rPr>
        <w:t>n R100</w:t>
      </w:r>
      <w:r w:rsidR="00344FAB">
        <w:rPr>
          <w:rFonts w:ascii="Arial" w:hAnsi="Arial" w:cs="Arial"/>
          <w:color w:val="000000"/>
          <w:sz w:val="22"/>
          <w:szCs w:val="22"/>
        </w:rPr>
        <w:t xml:space="preserve"> </w:t>
      </w:r>
      <w:r w:rsidRPr="00FC784B">
        <w:rPr>
          <w:rFonts w:ascii="Arial" w:hAnsi="Arial" w:cs="Arial"/>
          <w:color w:val="000000"/>
          <w:sz w:val="22"/>
          <w:szCs w:val="22"/>
        </w:rPr>
        <w:t>163</w:t>
      </w:r>
      <w:r w:rsidR="00344FAB">
        <w:rPr>
          <w:rFonts w:ascii="Arial" w:hAnsi="Arial" w:cs="Arial"/>
          <w:color w:val="000000"/>
          <w:sz w:val="22"/>
          <w:szCs w:val="22"/>
        </w:rPr>
        <w:t xml:space="preserve"> </w:t>
      </w:r>
      <w:r w:rsidRPr="00FC784B">
        <w:rPr>
          <w:rFonts w:ascii="Arial" w:hAnsi="Arial" w:cs="Arial"/>
          <w:color w:val="000000"/>
          <w:sz w:val="22"/>
          <w:szCs w:val="22"/>
        </w:rPr>
        <w:t>275 to enable it to discharge its financial obligations referred to in clause 6 provided that if Investec Bank furnishes a letter addressed to the Seller advising that due to the Covid-19 pandemic the loan approval is unable to be furnished within the required</w:t>
      </w:r>
      <w:r w:rsidR="009F3853" w:rsidRPr="00FC784B">
        <w:rPr>
          <w:rFonts w:ascii="Arial" w:hAnsi="Arial" w:cs="Arial"/>
          <w:color w:val="000000"/>
          <w:sz w:val="22"/>
          <w:szCs w:val="22"/>
        </w:rPr>
        <w:t xml:space="preserve"> </w:t>
      </w:r>
      <w:r w:rsidRPr="00FC784B">
        <w:rPr>
          <w:rFonts w:ascii="Arial" w:hAnsi="Arial" w:cs="Arial"/>
          <w:color w:val="000000"/>
          <w:sz w:val="22"/>
          <w:szCs w:val="22"/>
        </w:rPr>
        <w:t>period then the Seller shall agree to a 7 day extension so that the loan approval must be furnished on or before 23 April 2020.</w:t>
      </w:r>
    </w:p>
    <w:p w14:paraId="03AF8E12"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p>
    <w:p w14:paraId="00E9F474" w14:textId="77777777" w:rsidR="0064045C" w:rsidRPr="00FC784B" w:rsidRDefault="0064045C" w:rsidP="00E71DA6">
      <w:pPr>
        <w:widowControl w:val="0"/>
        <w:autoSpaceDE w:val="0"/>
        <w:autoSpaceDN w:val="0"/>
        <w:adjustRightInd w:val="0"/>
        <w:spacing w:line="360" w:lineRule="auto"/>
        <w:ind w:left="90" w:firstLine="630"/>
        <w:jc w:val="both"/>
        <w:rPr>
          <w:rFonts w:ascii="Arial" w:hAnsi="Arial" w:cs="Arial"/>
          <w:color w:val="000000"/>
          <w:sz w:val="22"/>
          <w:szCs w:val="22"/>
        </w:rPr>
      </w:pPr>
      <w:r w:rsidRPr="00FC784B">
        <w:rPr>
          <w:rFonts w:ascii="Arial" w:hAnsi="Arial" w:cs="Arial"/>
          <w:color w:val="000000"/>
          <w:sz w:val="22"/>
          <w:szCs w:val="22"/>
        </w:rPr>
        <w:t>5.2</w:t>
      </w:r>
      <w:r w:rsidRPr="00FC784B">
        <w:rPr>
          <w:rFonts w:ascii="Arial" w:hAnsi="Arial" w:cs="Arial"/>
          <w:color w:val="000000"/>
          <w:sz w:val="22"/>
          <w:szCs w:val="22"/>
        </w:rPr>
        <w:tab/>
        <w:t>...</w:t>
      </w:r>
    </w:p>
    <w:p w14:paraId="2A53A430" w14:textId="77777777" w:rsidR="0064045C" w:rsidRPr="00FC784B" w:rsidRDefault="0064045C" w:rsidP="00E71DA6">
      <w:pPr>
        <w:widowControl w:val="0"/>
        <w:autoSpaceDE w:val="0"/>
        <w:autoSpaceDN w:val="0"/>
        <w:adjustRightInd w:val="0"/>
        <w:spacing w:line="360" w:lineRule="auto"/>
        <w:ind w:left="90"/>
        <w:jc w:val="both"/>
        <w:rPr>
          <w:rFonts w:ascii="Arial" w:hAnsi="Arial" w:cs="Arial"/>
          <w:color w:val="000000"/>
          <w:sz w:val="22"/>
          <w:szCs w:val="22"/>
        </w:rPr>
      </w:pPr>
    </w:p>
    <w:p w14:paraId="65CE990F" w14:textId="77777777" w:rsidR="0064045C" w:rsidRPr="00FC784B" w:rsidRDefault="0064045C" w:rsidP="00E71DA6">
      <w:pPr>
        <w:widowControl w:val="0"/>
        <w:autoSpaceDE w:val="0"/>
        <w:autoSpaceDN w:val="0"/>
        <w:adjustRightInd w:val="0"/>
        <w:spacing w:line="360" w:lineRule="auto"/>
        <w:ind w:firstLine="720"/>
        <w:jc w:val="both"/>
        <w:rPr>
          <w:rFonts w:ascii="Arial" w:hAnsi="Arial" w:cs="Arial"/>
          <w:color w:val="000000"/>
          <w:sz w:val="22"/>
          <w:szCs w:val="22"/>
        </w:rPr>
      </w:pPr>
      <w:r w:rsidRPr="00FC784B">
        <w:rPr>
          <w:rFonts w:ascii="Arial" w:hAnsi="Arial" w:cs="Arial"/>
          <w:color w:val="000000"/>
          <w:sz w:val="22"/>
          <w:szCs w:val="22"/>
        </w:rPr>
        <w:t>5.3</w:t>
      </w:r>
      <w:r w:rsidRPr="00FC784B">
        <w:rPr>
          <w:rFonts w:ascii="Arial" w:hAnsi="Arial" w:cs="Arial"/>
          <w:color w:val="000000"/>
          <w:sz w:val="22"/>
          <w:szCs w:val="22"/>
        </w:rPr>
        <w:tab/>
        <w:t>...</w:t>
      </w:r>
    </w:p>
    <w:p w14:paraId="41D2AEB3" w14:textId="77777777" w:rsidR="0064045C" w:rsidRPr="00FC784B" w:rsidRDefault="0064045C" w:rsidP="00E71DA6">
      <w:pPr>
        <w:widowControl w:val="0"/>
        <w:autoSpaceDE w:val="0"/>
        <w:autoSpaceDN w:val="0"/>
        <w:adjustRightInd w:val="0"/>
        <w:spacing w:line="360" w:lineRule="auto"/>
        <w:ind w:left="90"/>
        <w:jc w:val="both"/>
        <w:rPr>
          <w:rFonts w:ascii="Arial" w:hAnsi="Arial" w:cs="Arial"/>
          <w:color w:val="000000"/>
          <w:sz w:val="22"/>
          <w:szCs w:val="22"/>
        </w:rPr>
      </w:pPr>
    </w:p>
    <w:p w14:paraId="4A84EDE1" w14:textId="46EC55D2" w:rsidR="0064045C" w:rsidRPr="00FC784B" w:rsidRDefault="0064045C" w:rsidP="00E71DA6">
      <w:pPr>
        <w:widowControl w:val="0"/>
        <w:autoSpaceDE w:val="0"/>
        <w:autoSpaceDN w:val="0"/>
        <w:adjustRightInd w:val="0"/>
        <w:spacing w:line="360" w:lineRule="auto"/>
        <w:ind w:left="1440" w:hanging="720"/>
        <w:jc w:val="both"/>
        <w:rPr>
          <w:rFonts w:ascii="Arial" w:hAnsi="Arial" w:cs="Arial"/>
          <w:color w:val="000000"/>
          <w:sz w:val="22"/>
          <w:szCs w:val="22"/>
        </w:rPr>
      </w:pPr>
      <w:r w:rsidRPr="00FC784B">
        <w:rPr>
          <w:rFonts w:ascii="Arial" w:hAnsi="Arial" w:cs="Arial"/>
          <w:color w:val="000000"/>
          <w:sz w:val="22"/>
          <w:szCs w:val="22"/>
        </w:rPr>
        <w:t>5.4</w:t>
      </w:r>
      <w:r w:rsidRPr="00FC784B">
        <w:rPr>
          <w:rFonts w:ascii="Arial" w:hAnsi="Arial" w:cs="Arial"/>
          <w:color w:val="000000"/>
          <w:sz w:val="22"/>
          <w:szCs w:val="22"/>
        </w:rPr>
        <w:tab/>
        <w:t>In the event that a Condition Precedent is not fulfilled before the expiry of the Notice Period as provided in clause 5.3 ... (or such later date or dates as may be agreed in writing between the Parties before the aforesaid date or dates), the provisions of this Agreement, save for clauses 2, 5, 21, 22 and 23 which will remain in full force and effect, will lapse and be of n</w:t>
      </w:r>
      <w:r w:rsidR="00F853F3">
        <w:rPr>
          <w:rFonts w:ascii="Arial" w:hAnsi="Arial" w:cs="Arial"/>
          <w:color w:val="000000"/>
          <w:sz w:val="22"/>
          <w:szCs w:val="22"/>
        </w:rPr>
        <w:t>o force</w:t>
      </w:r>
      <w:r w:rsidRPr="00FC784B">
        <w:rPr>
          <w:rFonts w:ascii="Arial" w:hAnsi="Arial" w:cs="Arial"/>
          <w:color w:val="000000"/>
          <w:sz w:val="22"/>
          <w:szCs w:val="22"/>
        </w:rPr>
        <w:t xml:space="preserve"> or effect and the </w:t>
      </w:r>
      <w:r w:rsidRPr="00FC784B">
        <w:rPr>
          <w:rFonts w:ascii="Arial" w:hAnsi="Arial" w:cs="Arial"/>
          <w:i/>
          <w:iCs/>
          <w:color w:val="000000"/>
          <w:sz w:val="22"/>
          <w:szCs w:val="22"/>
        </w:rPr>
        <w:t>status quo ante</w:t>
      </w:r>
      <w:r w:rsidRPr="00FC784B">
        <w:rPr>
          <w:rFonts w:ascii="Arial" w:hAnsi="Arial" w:cs="Arial"/>
          <w:color w:val="000000"/>
          <w:sz w:val="22"/>
          <w:szCs w:val="22"/>
        </w:rPr>
        <w:t xml:space="preserve"> will be restored as near as may be and no Party shall have any claim against the other in terms of or arising from the failure of the Conditions Precedent, save for any claims arising from a breach of the provisions of clause 5.2.</w:t>
      </w:r>
    </w:p>
    <w:p w14:paraId="68A6BD4F"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p>
    <w:p w14:paraId="5FB9611B" w14:textId="77777777" w:rsidR="0064045C" w:rsidRPr="00FC784B" w:rsidRDefault="0064045C" w:rsidP="00E71DA6">
      <w:pPr>
        <w:widowControl w:val="0"/>
        <w:autoSpaceDE w:val="0"/>
        <w:autoSpaceDN w:val="0"/>
        <w:adjustRightInd w:val="0"/>
        <w:spacing w:line="360" w:lineRule="auto"/>
        <w:jc w:val="both"/>
        <w:rPr>
          <w:rFonts w:ascii="Arial" w:hAnsi="Arial" w:cs="Arial"/>
          <w:color w:val="000000"/>
          <w:sz w:val="22"/>
          <w:szCs w:val="22"/>
        </w:rPr>
      </w:pPr>
      <w:r w:rsidRPr="00FC784B">
        <w:rPr>
          <w:rFonts w:ascii="Arial" w:hAnsi="Arial" w:cs="Arial"/>
          <w:color w:val="000000"/>
          <w:sz w:val="22"/>
          <w:szCs w:val="22"/>
        </w:rPr>
        <w:t xml:space="preserve">6. </w:t>
      </w:r>
      <w:r w:rsidRPr="00FC784B">
        <w:rPr>
          <w:rFonts w:ascii="Arial" w:hAnsi="Arial" w:cs="Arial"/>
          <w:color w:val="000000"/>
          <w:sz w:val="22"/>
          <w:szCs w:val="22"/>
        </w:rPr>
        <w:tab/>
      </w:r>
      <w:r w:rsidRPr="00FC784B">
        <w:rPr>
          <w:rFonts w:ascii="Arial" w:hAnsi="Arial" w:cs="Arial"/>
          <w:b/>
          <w:bCs/>
          <w:color w:val="000000"/>
          <w:sz w:val="22"/>
          <w:szCs w:val="22"/>
        </w:rPr>
        <w:t>PURCHASE PRICE</w:t>
      </w:r>
    </w:p>
    <w:p w14:paraId="65CF27BE"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p>
    <w:p w14:paraId="5734832E" w14:textId="030FADCC" w:rsidR="0064045C" w:rsidRPr="00FC784B" w:rsidRDefault="0064045C" w:rsidP="00FC784B">
      <w:pPr>
        <w:widowControl w:val="0"/>
        <w:autoSpaceDE w:val="0"/>
        <w:autoSpaceDN w:val="0"/>
        <w:adjustRightInd w:val="0"/>
        <w:spacing w:line="360" w:lineRule="auto"/>
        <w:ind w:left="1440" w:hanging="720"/>
        <w:jc w:val="both"/>
        <w:rPr>
          <w:rFonts w:ascii="Arial" w:hAnsi="Arial" w:cs="Arial"/>
          <w:color w:val="000000"/>
          <w:sz w:val="22"/>
          <w:szCs w:val="22"/>
        </w:rPr>
      </w:pPr>
      <w:r w:rsidRPr="00FC784B">
        <w:rPr>
          <w:rFonts w:ascii="Arial" w:hAnsi="Arial" w:cs="Arial"/>
          <w:color w:val="000000"/>
          <w:sz w:val="22"/>
          <w:szCs w:val="22"/>
        </w:rPr>
        <w:t>6.1</w:t>
      </w:r>
      <w:r w:rsidRPr="00FC784B">
        <w:rPr>
          <w:rFonts w:ascii="Arial" w:hAnsi="Arial" w:cs="Arial"/>
          <w:color w:val="000000"/>
          <w:sz w:val="22"/>
          <w:szCs w:val="22"/>
        </w:rPr>
        <w:tab/>
        <w:t>The Purchase Price for the property is R88 098 500 excluding VAT payable to the Seller on Transfer Date and to be secured as follows:</w:t>
      </w:r>
    </w:p>
    <w:p w14:paraId="14996FC7"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p>
    <w:p w14:paraId="5D61E6A1" w14:textId="77777777" w:rsidR="0064045C" w:rsidRPr="00FC784B" w:rsidRDefault="0064045C" w:rsidP="00FC784B">
      <w:pPr>
        <w:widowControl w:val="0"/>
        <w:autoSpaceDE w:val="0"/>
        <w:autoSpaceDN w:val="0"/>
        <w:adjustRightInd w:val="0"/>
        <w:spacing w:line="360" w:lineRule="auto"/>
        <w:ind w:left="2160" w:hanging="720"/>
        <w:jc w:val="both"/>
        <w:rPr>
          <w:rFonts w:ascii="Arial" w:hAnsi="Arial" w:cs="Arial"/>
          <w:color w:val="000000"/>
          <w:sz w:val="22"/>
          <w:szCs w:val="22"/>
        </w:rPr>
      </w:pPr>
      <w:r w:rsidRPr="00FC784B">
        <w:rPr>
          <w:rFonts w:ascii="Arial" w:hAnsi="Arial" w:cs="Arial"/>
          <w:color w:val="000000"/>
          <w:sz w:val="22"/>
          <w:szCs w:val="22"/>
        </w:rPr>
        <w:t>6.1.1</w:t>
      </w:r>
      <w:r w:rsidRPr="00FC784B">
        <w:rPr>
          <w:rFonts w:ascii="Arial" w:hAnsi="Arial" w:cs="Arial"/>
          <w:color w:val="000000"/>
          <w:sz w:val="22"/>
          <w:szCs w:val="22"/>
        </w:rPr>
        <w:tab/>
        <w:t xml:space="preserve">payment of R1 000 000 plus VAT thereon of R150,000 shall be paid into the Conveyancer's trust account upon signature of this </w:t>
      </w:r>
      <w:r w:rsidRPr="00FC784B">
        <w:rPr>
          <w:rFonts w:ascii="Arial" w:hAnsi="Arial" w:cs="Arial"/>
          <w:color w:val="000000"/>
          <w:sz w:val="22"/>
          <w:szCs w:val="22"/>
        </w:rPr>
        <w:lastRenderedPageBreak/>
        <w:t>Agreement;</w:t>
      </w:r>
    </w:p>
    <w:p w14:paraId="0FD99751" w14:textId="77777777" w:rsidR="0064045C" w:rsidRPr="00FC784B" w:rsidRDefault="0064045C" w:rsidP="0064045C">
      <w:pPr>
        <w:widowControl w:val="0"/>
        <w:autoSpaceDE w:val="0"/>
        <w:autoSpaceDN w:val="0"/>
        <w:adjustRightInd w:val="0"/>
        <w:spacing w:line="360" w:lineRule="auto"/>
        <w:jc w:val="both"/>
        <w:rPr>
          <w:rFonts w:ascii="Arial" w:hAnsi="Arial" w:cs="Arial"/>
          <w:color w:val="000000"/>
          <w:sz w:val="22"/>
          <w:szCs w:val="22"/>
        </w:rPr>
      </w:pPr>
    </w:p>
    <w:p w14:paraId="298EB653" w14:textId="77777777" w:rsidR="0064045C" w:rsidRPr="00FC784B" w:rsidRDefault="0064045C" w:rsidP="00FC784B">
      <w:pPr>
        <w:widowControl w:val="0"/>
        <w:autoSpaceDE w:val="0"/>
        <w:autoSpaceDN w:val="0"/>
        <w:adjustRightInd w:val="0"/>
        <w:spacing w:line="360" w:lineRule="auto"/>
        <w:ind w:left="2160" w:hanging="720"/>
        <w:jc w:val="both"/>
        <w:rPr>
          <w:rFonts w:ascii="Arial" w:hAnsi="Arial" w:cs="Arial"/>
          <w:color w:val="000000"/>
          <w:sz w:val="22"/>
          <w:szCs w:val="22"/>
        </w:rPr>
      </w:pPr>
      <w:r w:rsidRPr="00FC784B">
        <w:rPr>
          <w:rFonts w:ascii="Arial" w:hAnsi="Arial" w:cs="Arial"/>
          <w:color w:val="000000"/>
          <w:sz w:val="22"/>
          <w:szCs w:val="22"/>
        </w:rPr>
        <w:t>6.1.2.</w:t>
      </w:r>
      <w:r w:rsidRPr="00FC784B">
        <w:rPr>
          <w:rFonts w:ascii="Arial" w:hAnsi="Arial" w:cs="Arial"/>
          <w:color w:val="000000"/>
          <w:sz w:val="22"/>
          <w:szCs w:val="22"/>
        </w:rPr>
        <w:tab/>
        <w:t xml:space="preserve">The balance of the Purchase Price in the amount of R 100 163 275, shall be secured by a guarantee in favour of the Seller or the Seller's nominee </w:t>
      </w:r>
      <w:r w:rsidR="00FC784B" w:rsidRPr="00FC784B">
        <w:rPr>
          <w:rFonts w:ascii="Arial" w:hAnsi="Arial" w:cs="Arial"/>
          <w:color w:val="000000"/>
          <w:sz w:val="22"/>
          <w:szCs w:val="22"/>
        </w:rPr>
        <w:tab/>
      </w:r>
      <w:r w:rsidRPr="00FC784B">
        <w:rPr>
          <w:rFonts w:ascii="Arial" w:hAnsi="Arial" w:cs="Arial"/>
          <w:color w:val="000000"/>
          <w:sz w:val="22"/>
          <w:szCs w:val="22"/>
        </w:rPr>
        <w:t>within 15 Days from the fulfilment of t</w:t>
      </w:r>
      <w:r w:rsidR="00FC784B" w:rsidRPr="00FC784B">
        <w:rPr>
          <w:rFonts w:ascii="Arial" w:hAnsi="Arial" w:cs="Arial"/>
          <w:color w:val="000000"/>
          <w:sz w:val="22"/>
          <w:szCs w:val="22"/>
        </w:rPr>
        <w:t>he condition in clause 5.1.2...’</w:t>
      </w:r>
    </w:p>
    <w:p w14:paraId="62F554F5"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78C92DCA" w14:textId="7270A600"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[5] </w:t>
      </w:r>
      <w:r w:rsidR="00305182">
        <w:rPr>
          <w:rFonts w:ascii="Arial" w:hAnsi="Arial" w:cs="Arial"/>
          <w:color w:val="000000"/>
        </w:rPr>
        <w:tab/>
      </w:r>
      <w:r w:rsidRPr="0064045C">
        <w:rPr>
          <w:rFonts w:ascii="Arial" w:hAnsi="Arial" w:cs="Arial"/>
          <w:color w:val="000000"/>
        </w:rPr>
        <w:t>It is undisputed that the Republic entered a Hard Lockdown from 27 March 2020, in terms of regulations promulgated by the Minister of Co-Cooperative Governance and Traditional Affairs on 25 March 2020 (the day before the agreement was signed by the applicant)</w:t>
      </w:r>
      <w:r w:rsidR="005D06CF">
        <w:rPr>
          <w:rFonts w:ascii="Arial" w:hAnsi="Arial" w:cs="Arial"/>
          <w:color w:val="000000"/>
        </w:rPr>
        <w:t>.</w:t>
      </w:r>
      <w:r w:rsidRPr="0064045C">
        <w:rPr>
          <w:rStyle w:val="FootnoteReference"/>
          <w:rFonts w:ascii="Arial" w:hAnsi="Arial" w:cs="Arial"/>
          <w:color w:val="000000"/>
        </w:rPr>
        <w:footnoteReference w:id="1"/>
      </w:r>
    </w:p>
    <w:p w14:paraId="58EEA913"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6D92022"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[6] </w:t>
      </w:r>
      <w:r w:rsidR="00305182">
        <w:rPr>
          <w:rFonts w:ascii="Arial" w:hAnsi="Arial" w:cs="Arial"/>
          <w:color w:val="000000"/>
        </w:rPr>
        <w:tab/>
      </w:r>
      <w:r w:rsidRPr="0064045C">
        <w:rPr>
          <w:rFonts w:ascii="Arial" w:hAnsi="Arial" w:cs="Arial"/>
          <w:color w:val="000000"/>
        </w:rPr>
        <w:t>It is similarly undisputed that on 15 April 2020, Investec Bank addressed a letter to the directors of the applicant, which said the following:</w:t>
      </w:r>
    </w:p>
    <w:p w14:paraId="62B29736"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785FCACE" w14:textId="77777777" w:rsidR="0064045C" w:rsidRPr="00305182" w:rsidRDefault="00305182"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w:t>
      </w:r>
      <w:r w:rsidR="0064045C" w:rsidRPr="00305182">
        <w:rPr>
          <w:rFonts w:ascii="Arial" w:hAnsi="Arial" w:cs="Arial"/>
          <w:color w:val="000000"/>
          <w:sz w:val="22"/>
          <w:szCs w:val="22"/>
        </w:rPr>
        <w:t>Dear Sirs</w:t>
      </w:r>
    </w:p>
    <w:p w14:paraId="0DF43906" w14:textId="77777777" w:rsidR="0064045C" w:rsidRPr="00305182" w:rsidRDefault="0064045C" w:rsidP="00305182">
      <w:pPr>
        <w:widowControl w:val="0"/>
        <w:autoSpaceDE w:val="0"/>
        <w:autoSpaceDN w:val="0"/>
        <w:adjustRightInd w:val="0"/>
        <w:spacing w:line="360" w:lineRule="auto"/>
        <w:jc w:val="both"/>
        <w:rPr>
          <w:rFonts w:ascii="Arial" w:hAnsi="Arial" w:cs="Arial"/>
          <w:b/>
          <w:bCs/>
          <w:color w:val="000000"/>
          <w:sz w:val="22"/>
          <w:szCs w:val="22"/>
        </w:rPr>
      </w:pPr>
      <w:r w:rsidRPr="00305182">
        <w:rPr>
          <w:rFonts w:ascii="Arial" w:hAnsi="Arial" w:cs="Arial"/>
          <w:b/>
          <w:bCs/>
          <w:color w:val="000000"/>
          <w:sz w:val="22"/>
          <w:szCs w:val="22"/>
        </w:rPr>
        <w:t>Facility Approval - Martin K Holdings (Pty) Ltd</w:t>
      </w:r>
    </w:p>
    <w:p w14:paraId="6D3C5C24"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We confirm that we have approved a loan facility in the amount of R101,315,000 in favour of the abovementioned client against the security of a mortgage bond over Sections 2 and 3 Park Square, together with the real rights to any exclusive use areas, subject to our approved valuation and lease review.</w:t>
      </w:r>
    </w:p>
    <w:p w14:paraId="3FA7BD6D"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Payment of the loan facility will be made, in terms of any guaranties issued by us, upon fulfilment by our client of all terms and conditions relating to the facility, including the registration of the mortgage bond.</w:t>
      </w:r>
    </w:p>
    <w:p w14:paraId="211ACB40"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We reserve the right to withdraw the loan facility at any time should any new or previously undisclosed facts emerge which might prejudice our rights or security or materially alter the risk</w:t>
      </w:r>
      <w:r w:rsidR="00305182" w:rsidRPr="00305182">
        <w:rPr>
          <w:rFonts w:ascii="Arial" w:hAnsi="Arial" w:cs="Arial"/>
          <w:color w:val="000000"/>
          <w:sz w:val="22"/>
          <w:szCs w:val="22"/>
        </w:rPr>
        <w:t xml:space="preserve"> factor relating to the loan...’</w:t>
      </w:r>
    </w:p>
    <w:p w14:paraId="1BF42920"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0DA600F"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[7] </w:t>
      </w:r>
      <w:r w:rsidR="00305182">
        <w:rPr>
          <w:rFonts w:ascii="Arial" w:hAnsi="Arial" w:cs="Arial"/>
          <w:color w:val="000000"/>
        </w:rPr>
        <w:tab/>
      </w:r>
      <w:r w:rsidRPr="0064045C">
        <w:rPr>
          <w:rFonts w:ascii="Arial" w:hAnsi="Arial" w:cs="Arial"/>
          <w:color w:val="000000"/>
        </w:rPr>
        <w:t xml:space="preserve">On 12 May 2020, the respondent's attorneys sent a letter to the applicant, which referred to the provisions of clause 6.1.2 of the agreement and stated that: </w:t>
      </w:r>
    </w:p>
    <w:p w14:paraId="54A3D21A"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BC00132" w14:textId="77777777" w:rsidR="0064045C" w:rsidRPr="00305182" w:rsidRDefault="00305182"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w:t>
      </w:r>
      <w:r w:rsidR="0064045C" w:rsidRPr="00305182">
        <w:rPr>
          <w:rFonts w:ascii="Arial" w:hAnsi="Arial" w:cs="Arial"/>
          <w:color w:val="000000"/>
          <w:sz w:val="22"/>
          <w:szCs w:val="22"/>
        </w:rPr>
        <w:t xml:space="preserve">...[the applicant] previously advised that the loan confirmation was communicated to </w:t>
      </w:r>
      <w:r w:rsidR="0064045C" w:rsidRPr="00305182">
        <w:rPr>
          <w:rFonts w:ascii="Arial" w:hAnsi="Arial" w:cs="Arial"/>
          <w:color w:val="000000"/>
          <w:sz w:val="22"/>
          <w:szCs w:val="22"/>
        </w:rPr>
        <w:lastRenderedPageBreak/>
        <w:t>the seller on 16 April 2020 therefore, the guarantee was due by 1 May 2020.</w:t>
      </w:r>
      <w:r>
        <w:rPr>
          <w:rFonts w:ascii="Arial" w:hAnsi="Arial" w:cs="Arial"/>
          <w:color w:val="000000"/>
          <w:sz w:val="22"/>
          <w:szCs w:val="22"/>
        </w:rPr>
        <w:t xml:space="preserve">  </w:t>
      </w:r>
      <w:r w:rsidR="0064045C" w:rsidRPr="00305182">
        <w:rPr>
          <w:rFonts w:ascii="Arial" w:hAnsi="Arial" w:cs="Arial"/>
          <w:color w:val="000000"/>
          <w:sz w:val="22"/>
          <w:szCs w:val="22"/>
        </w:rPr>
        <w:t>The purchaser has not yet provided the guarantee required and our instructions are to advise the purchaser that it was accordingly in breach of the agreement. We hereby called upon the purchaser to provide the guarantee within 5 business days of the date of this letter failing which seller shall declare the agreement of sale cancelled and shall be entitled to recover any damages that it may ha</w:t>
      </w:r>
      <w:r w:rsidRPr="00305182">
        <w:rPr>
          <w:rFonts w:ascii="Arial" w:hAnsi="Arial" w:cs="Arial"/>
          <w:color w:val="000000"/>
          <w:sz w:val="22"/>
          <w:szCs w:val="22"/>
        </w:rPr>
        <w:t>ve suffered from the purchaser.’</w:t>
      </w:r>
    </w:p>
    <w:p w14:paraId="7FFAA09E"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4CF0DC36"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[8] </w:t>
      </w:r>
      <w:r w:rsidR="00305182">
        <w:rPr>
          <w:rFonts w:ascii="Arial" w:hAnsi="Arial" w:cs="Arial"/>
          <w:color w:val="000000"/>
        </w:rPr>
        <w:tab/>
      </w:r>
      <w:r w:rsidRPr="0064045C">
        <w:rPr>
          <w:rFonts w:ascii="Arial" w:hAnsi="Arial" w:cs="Arial"/>
          <w:color w:val="000000"/>
        </w:rPr>
        <w:t>By letter dated 18 May 2020, the applicant's attorneys denied that their client was in breach of its obligations and stated that the delay in performance was due to the effects of the lockdown.</w:t>
      </w:r>
    </w:p>
    <w:p w14:paraId="4F3CE58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6E3F1535"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[9] </w:t>
      </w:r>
      <w:r w:rsidR="00305182">
        <w:rPr>
          <w:rFonts w:ascii="Arial" w:hAnsi="Arial" w:cs="Arial"/>
          <w:color w:val="000000"/>
        </w:rPr>
        <w:tab/>
      </w:r>
      <w:r w:rsidRPr="0064045C">
        <w:rPr>
          <w:rFonts w:ascii="Arial" w:hAnsi="Arial" w:cs="Arial"/>
          <w:color w:val="000000"/>
        </w:rPr>
        <w:t>On 20 May 2020, the respondent’s attorneys wrote to the applicant’s attorneys, recording their instruction to notify the applicant that the sale was cancelled.</w:t>
      </w:r>
    </w:p>
    <w:p w14:paraId="051D7AEF"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701CCD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[10] </w:t>
      </w:r>
      <w:r w:rsidR="00305182">
        <w:rPr>
          <w:rFonts w:ascii="Arial" w:hAnsi="Arial" w:cs="Arial"/>
          <w:color w:val="000000"/>
        </w:rPr>
        <w:tab/>
      </w:r>
      <w:r w:rsidRPr="0064045C">
        <w:rPr>
          <w:rFonts w:ascii="Arial" w:hAnsi="Arial" w:cs="Arial"/>
          <w:color w:val="000000"/>
        </w:rPr>
        <w:t>On 15 June 2020, the applicant's bankers sent it an email.  Investec informed the applicant that a valuation of the property was required before Investec could issue the guarantee, and that from 8 June 2020, its valuators were permitted to make site visits (due to an easing in the lockdown restrictions imposed by the national government) which had not previously been permitted.</w:t>
      </w:r>
    </w:p>
    <w:p w14:paraId="7B1CE9F0"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F478A1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[11] </w:t>
      </w:r>
      <w:r w:rsidR="00305182">
        <w:rPr>
          <w:rFonts w:ascii="Arial" w:hAnsi="Arial" w:cs="Arial"/>
          <w:color w:val="000000"/>
        </w:rPr>
        <w:tab/>
      </w:r>
      <w:r w:rsidRPr="0064045C">
        <w:rPr>
          <w:rFonts w:ascii="Arial" w:hAnsi="Arial" w:cs="Arial"/>
          <w:color w:val="000000"/>
        </w:rPr>
        <w:t>It is undisputed that the respondent refused to permit the applicant's bankers to access the property for purposes of the valuation as it contended that the agreement had lapsed, alternatively had been cancelled.</w:t>
      </w:r>
    </w:p>
    <w:p w14:paraId="168A19A2"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3386F9D" w14:textId="77777777" w:rsidR="00F853F3" w:rsidRDefault="0064045C" w:rsidP="0064045C">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 xml:space="preserve">[12] </w:t>
      </w:r>
      <w:r w:rsidR="00305182">
        <w:rPr>
          <w:rFonts w:ascii="Arial" w:hAnsi="Arial" w:cs="Arial"/>
          <w:color w:val="000000"/>
        </w:rPr>
        <w:tab/>
      </w:r>
      <w:r w:rsidRPr="0064045C">
        <w:rPr>
          <w:rFonts w:ascii="Arial" w:hAnsi="Arial" w:cs="Arial"/>
          <w:color w:val="000000"/>
        </w:rPr>
        <w:t>The parties frame</w:t>
      </w:r>
      <w:r w:rsidR="00F853F3">
        <w:rPr>
          <w:rFonts w:ascii="Arial" w:hAnsi="Arial" w:cs="Arial"/>
          <w:color w:val="000000"/>
        </w:rPr>
        <w:t xml:space="preserve"> the dispute in different ways.  </w:t>
      </w:r>
      <w:r w:rsidRPr="0064045C">
        <w:rPr>
          <w:rFonts w:ascii="Arial" w:hAnsi="Arial" w:cs="Arial"/>
          <w:color w:val="000000"/>
        </w:rPr>
        <w:t>The applicant contends that the condition precedent was fulfilled because Investec approved the loan on 15 April 2020.</w:t>
      </w:r>
      <w:r w:rsidR="00F853F3">
        <w:rPr>
          <w:rFonts w:ascii="Arial" w:hAnsi="Arial" w:cs="Arial"/>
          <w:color w:val="000000"/>
        </w:rPr>
        <w:t xml:space="preserve"> </w:t>
      </w:r>
      <w:r w:rsidRPr="0064045C">
        <w:rPr>
          <w:rFonts w:ascii="Arial" w:hAnsi="Arial" w:cs="Arial"/>
          <w:color w:val="000000"/>
        </w:rPr>
        <w:t xml:space="preserve"> Acknowledging that the guarantee was not issued within the 15-day period contemplated in clause 6.1.2, the applicant argues that performance was impossible because of the restriction on movement imposed by the lockdown regulations.</w:t>
      </w:r>
      <w:r w:rsidR="00F853F3">
        <w:rPr>
          <w:rFonts w:ascii="Arial" w:hAnsi="Arial" w:cs="Arial"/>
          <w:color w:val="000000"/>
        </w:rPr>
        <w:t xml:space="preserve">  </w:t>
      </w:r>
    </w:p>
    <w:p w14:paraId="10DF0C73" w14:textId="77777777" w:rsidR="00F853F3" w:rsidRDefault="00F853F3" w:rsidP="0064045C">
      <w:pPr>
        <w:widowControl w:val="0"/>
        <w:autoSpaceDE w:val="0"/>
        <w:autoSpaceDN w:val="0"/>
        <w:adjustRightInd w:val="0"/>
        <w:spacing w:line="360" w:lineRule="auto"/>
        <w:jc w:val="both"/>
        <w:rPr>
          <w:rFonts w:ascii="Arial" w:hAnsi="Arial" w:cs="Arial"/>
          <w:color w:val="000000"/>
        </w:rPr>
      </w:pPr>
    </w:p>
    <w:p w14:paraId="5175AB3B" w14:textId="36747E3A" w:rsidR="0064045C" w:rsidRPr="0064045C" w:rsidRDefault="00F853F3"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w:t>
      </w:r>
      <w:r w:rsidR="0026595C">
        <w:rPr>
          <w:rFonts w:ascii="Arial" w:hAnsi="Arial" w:cs="Arial"/>
          <w:color w:val="000000"/>
        </w:rPr>
        <w:t>13</w:t>
      </w:r>
      <w:r>
        <w:rPr>
          <w:rFonts w:ascii="Arial" w:hAnsi="Arial" w:cs="Arial"/>
          <w:color w:val="000000"/>
        </w:rPr>
        <w:t>]</w:t>
      </w:r>
      <w:r>
        <w:rPr>
          <w:rFonts w:ascii="Arial" w:hAnsi="Arial" w:cs="Arial"/>
          <w:color w:val="000000"/>
        </w:rPr>
        <w:tab/>
      </w:r>
      <w:r w:rsidR="0064045C" w:rsidRPr="0064045C">
        <w:rPr>
          <w:rFonts w:ascii="Arial" w:hAnsi="Arial" w:cs="Arial"/>
          <w:color w:val="000000"/>
        </w:rPr>
        <w:t xml:space="preserve">The respondent contends that the condition precedent was not fulfilled because the loan was not obtained timeously, and that the letter from Investec imposed conditions on the potential approval of the loan (being the valuation </w:t>
      </w:r>
      <w:r w:rsidR="0064045C" w:rsidRPr="0064045C">
        <w:rPr>
          <w:rFonts w:ascii="Arial" w:hAnsi="Arial" w:cs="Arial"/>
          <w:color w:val="000000"/>
        </w:rPr>
        <w:lastRenderedPageBreak/>
        <w:t>and the lease review).</w:t>
      </w:r>
      <w:r w:rsidR="00305182">
        <w:rPr>
          <w:rFonts w:ascii="Arial" w:hAnsi="Arial" w:cs="Arial"/>
          <w:color w:val="000000"/>
        </w:rPr>
        <w:t xml:space="preserve"> </w:t>
      </w:r>
      <w:r w:rsidR="0064045C" w:rsidRPr="0064045C">
        <w:rPr>
          <w:rFonts w:ascii="Arial" w:hAnsi="Arial" w:cs="Arial"/>
          <w:color w:val="000000"/>
        </w:rPr>
        <w:t xml:space="preserve"> The respondent argues that the issuing of the guarantee was required within 15 days of the loan being granted, which must then mean a loan granted unconditionally. </w:t>
      </w:r>
    </w:p>
    <w:p w14:paraId="2A36CC87"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3512592" w14:textId="77F1355E"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[14</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As an alternative, the respondent contends that if Investec was considering issuing a guarantee, then the loan must have been approved unconditionally by 15 April 2020, and that the hard lockdown would not have presented a bar to the guarantee being issued timeously.  Therefore, the respondent argues that it was entitled to cancel the agreement after the guarantee was not furnished either in terms of the agreement itself, or in terms of the breach notice of 12 May 2020.</w:t>
      </w:r>
    </w:p>
    <w:p w14:paraId="2B1B134E"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31FA717" w14:textId="1566EDC4"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[15</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 first question to be answered then is whether the loan was approved (or, obtained) on 15 April 2020, thereby fulfilling the condition precedent in clause 5.1.2 of the agreement.</w:t>
      </w:r>
      <w:r w:rsidR="00F853F3">
        <w:rPr>
          <w:rFonts w:ascii="Arial" w:hAnsi="Arial" w:cs="Arial"/>
          <w:color w:val="000000"/>
        </w:rPr>
        <w:t xml:space="preserve"> </w:t>
      </w:r>
      <w:r w:rsidR="0064045C" w:rsidRPr="0064045C">
        <w:rPr>
          <w:rFonts w:ascii="Arial" w:hAnsi="Arial" w:cs="Arial"/>
          <w:color w:val="000000"/>
        </w:rPr>
        <w:t>If the condition was not fulfilled, then the contract lapsed and is deemed never to have come into existence</w:t>
      </w:r>
      <w:r w:rsidR="008C6320">
        <w:rPr>
          <w:rFonts w:ascii="Arial" w:hAnsi="Arial" w:cs="Arial"/>
          <w:color w:val="000000"/>
        </w:rPr>
        <w:t>.</w:t>
      </w:r>
      <w:r w:rsidR="0064045C" w:rsidRPr="0064045C">
        <w:rPr>
          <w:rStyle w:val="FootnoteReference"/>
          <w:rFonts w:ascii="Arial" w:hAnsi="Arial" w:cs="Arial"/>
          <w:color w:val="000000"/>
        </w:rPr>
        <w:footnoteReference w:id="2"/>
      </w:r>
      <w:r w:rsidR="00F853F3">
        <w:rPr>
          <w:rFonts w:ascii="Arial" w:hAnsi="Arial" w:cs="Arial"/>
          <w:color w:val="000000"/>
        </w:rPr>
        <w:t xml:space="preserve">  </w:t>
      </w:r>
      <w:r w:rsidR="0064045C" w:rsidRPr="0064045C">
        <w:rPr>
          <w:rFonts w:ascii="Arial" w:hAnsi="Arial" w:cs="Arial"/>
          <w:color w:val="000000"/>
        </w:rPr>
        <w:t>In argument, the parties agreed that the obligation on the applicant was to “obtain a loan”.  It was not “to obtain a loan in principle”</w:t>
      </w:r>
      <w:r w:rsidR="008C6320">
        <w:rPr>
          <w:rFonts w:ascii="Arial" w:hAnsi="Arial" w:cs="Arial"/>
          <w:color w:val="000000"/>
        </w:rPr>
        <w:t>.</w:t>
      </w:r>
      <w:r w:rsidR="0064045C" w:rsidRPr="0064045C">
        <w:rPr>
          <w:rStyle w:val="FootnoteReference"/>
          <w:rFonts w:ascii="Arial" w:hAnsi="Arial" w:cs="Arial"/>
          <w:color w:val="000000"/>
        </w:rPr>
        <w:footnoteReference w:id="3"/>
      </w:r>
      <w:r w:rsidR="00F853F3">
        <w:rPr>
          <w:rFonts w:ascii="Arial" w:hAnsi="Arial" w:cs="Arial"/>
          <w:color w:val="000000"/>
        </w:rPr>
        <w:t xml:space="preserve">  </w:t>
      </w:r>
      <w:r w:rsidR="0064045C" w:rsidRPr="0064045C">
        <w:rPr>
          <w:rFonts w:ascii="Arial" w:hAnsi="Arial" w:cs="Arial"/>
          <w:color w:val="000000"/>
        </w:rPr>
        <w:t>More specifically, the applicant was obliged to obtain</w:t>
      </w:r>
      <w:r w:rsidR="0064045C" w:rsidRPr="0064045C">
        <w:rPr>
          <w:rStyle w:val="FootnoteReference"/>
          <w:rFonts w:ascii="Arial" w:hAnsi="Arial" w:cs="Arial"/>
          <w:color w:val="000000"/>
        </w:rPr>
        <w:footnoteReference w:id="4"/>
      </w:r>
      <w:r w:rsidR="0064045C" w:rsidRPr="0064045C">
        <w:rPr>
          <w:rFonts w:ascii="Arial" w:hAnsi="Arial" w:cs="Arial"/>
          <w:color w:val="000000"/>
        </w:rPr>
        <w:t xml:space="preserve"> a loan of not less than R100 million "to enable it to discharge its financial obligations referred to in clause 6" of the agreement. </w:t>
      </w:r>
    </w:p>
    <w:p w14:paraId="4059C73E"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4F3D5D9B" w14:textId="54DB3D02"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[16</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Therefore, by 16 April 2020, the applicant had to win approval of a loan which would allow it to secure payment of the full purchase price, and which would then trigger (in the ordinary course) the issuing of the guarantee within 15 days.</w:t>
      </w:r>
    </w:p>
    <w:p w14:paraId="003CD31D"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3883508F" w14:textId="7B060AED"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[17</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 applicant argues that the valuation required by Investec followed upon the granting or obtaining of the loan and was a precondition only to the issuing of the guarantee.</w:t>
      </w:r>
      <w:r w:rsidR="00F853F3">
        <w:rPr>
          <w:rFonts w:ascii="Arial" w:hAnsi="Arial" w:cs="Arial"/>
          <w:color w:val="000000"/>
        </w:rPr>
        <w:t xml:space="preserve">  </w:t>
      </w:r>
      <w:r w:rsidR="0064045C" w:rsidRPr="0064045C">
        <w:rPr>
          <w:rFonts w:ascii="Arial" w:hAnsi="Arial" w:cs="Arial"/>
          <w:color w:val="000000"/>
        </w:rPr>
        <w:t>The respondent differs, for reasons set out above.</w:t>
      </w:r>
    </w:p>
    <w:p w14:paraId="20B65099"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3B1DE6F9" w14:textId="65A7C12A"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[18</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The approach to the interpretation of contracts and documents is not </w:t>
      </w:r>
      <w:r w:rsidR="0064045C" w:rsidRPr="0064045C">
        <w:rPr>
          <w:rFonts w:ascii="Arial" w:hAnsi="Arial" w:cs="Arial"/>
          <w:color w:val="000000"/>
        </w:rPr>
        <w:lastRenderedPageBreak/>
        <w:t xml:space="preserve">controversial and was set out with his customary clarity and precision by Wallis JA in </w:t>
      </w:r>
      <w:r w:rsidR="0064045C" w:rsidRPr="0064045C">
        <w:rPr>
          <w:rFonts w:ascii="Arial" w:hAnsi="Arial" w:cs="Arial"/>
          <w:i/>
          <w:iCs/>
          <w:color w:val="000000"/>
        </w:rPr>
        <w:t>Natal Joint Municipal Pension Fund v Endumeni Municipality</w:t>
      </w:r>
      <w:r w:rsidR="00834A65">
        <w:rPr>
          <w:rFonts w:ascii="Arial" w:hAnsi="Arial" w:cs="Arial"/>
          <w:i/>
          <w:iCs/>
          <w:color w:val="000000"/>
        </w:rPr>
        <w:t>.</w:t>
      </w:r>
      <w:r w:rsidR="0064045C" w:rsidRPr="0064045C">
        <w:rPr>
          <w:rStyle w:val="FootnoteReference"/>
          <w:rFonts w:ascii="Arial" w:hAnsi="Arial" w:cs="Arial"/>
          <w:color w:val="000000"/>
        </w:rPr>
        <w:footnoteReference w:id="5"/>
      </w:r>
      <w:r w:rsidR="0064045C" w:rsidRPr="0064045C">
        <w:rPr>
          <w:rFonts w:ascii="Arial" w:hAnsi="Arial" w:cs="Arial"/>
          <w:color w:val="000000"/>
        </w:rPr>
        <w:t xml:space="preserve"> As was held by Unterhalter AJA in </w:t>
      </w:r>
      <w:r w:rsidR="0064045C" w:rsidRPr="0064045C">
        <w:rPr>
          <w:rFonts w:ascii="Arial" w:hAnsi="Arial" w:cs="Arial"/>
          <w:i/>
          <w:iCs/>
          <w:color w:val="000000"/>
        </w:rPr>
        <w:t>Capitec Bank Holdings Limited and Another v </w:t>
      </w:r>
      <w:bookmarkStart w:id="5" w:name="disp"/>
      <w:bookmarkEnd w:id="5"/>
      <w:r w:rsidR="0064045C" w:rsidRPr="0064045C">
        <w:rPr>
          <w:rFonts w:ascii="Arial" w:hAnsi="Arial" w:cs="Arial"/>
          <w:i/>
          <w:iCs/>
          <w:color w:val="000000"/>
        </w:rPr>
        <w:t>Coral Lagoon Investments 194 (Pty) Ltd and Others</w:t>
      </w:r>
      <w:r w:rsidR="00164863">
        <w:rPr>
          <w:rFonts w:ascii="Arial" w:hAnsi="Arial" w:cs="Arial"/>
          <w:i/>
          <w:iCs/>
          <w:color w:val="000000"/>
        </w:rPr>
        <w:t>:</w:t>
      </w:r>
      <w:r w:rsidR="0064045C" w:rsidRPr="0064045C">
        <w:rPr>
          <w:rStyle w:val="FootnoteReference"/>
          <w:rFonts w:ascii="Arial" w:hAnsi="Arial" w:cs="Arial"/>
          <w:color w:val="000000"/>
        </w:rPr>
        <w:footnoteReference w:id="6"/>
      </w:r>
      <w:r w:rsidR="0064045C" w:rsidRPr="0064045C">
        <w:rPr>
          <w:rFonts w:ascii="Arial" w:hAnsi="Arial" w:cs="Arial"/>
          <w:i/>
          <w:iCs/>
          <w:color w:val="000000"/>
        </w:rPr>
        <w:t xml:space="preserve"> </w:t>
      </w:r>
    </w:p>
    <w:p w14:paraId="0532AF15" w14:textId="1EA27746" w:rsidR="0064045C" w:rsidRDefault="00305182" w:rsidP="00305182">
      <w:pPr>
        <w:widowControl w:val="0"/>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t>
      </w:r>
      <w:r w:rsidR="00B07D0E">
        <w:rPr>
          <w:rFonts w:ascii="Arial" w:hAnsi="Arial" w:cs="Arial"/>
          <w:color w:val="000000"/>
          <w:sz w:val="22"/>
          <w:szCs w:val="22"/>
        </w:rPr>
        <w:t>[T]</w:t>
      </w:r>
      <w:r w:rsidR="0064045C" w:rsidRPr="00305182">
        <w:rPr>
          <w:rFonts w:ascii="Arial" w:hAnsi="Arial" w:cs="Arial"/>
          <w:color w:val="000000"/>
          <w:sz w:val="22"/>
          <w:szCs w:val="22"/>
        </w:rPr>
        <w:t xml:space="preserve">he meaning of a </w:t>
      </w:r>
      <w:r w:rsidR="00B07D0E">
        <w:rPr>
          <w:rFonts w:ascii="Arial" w:hAnsi="Arial" w:cs="Arial"/>
          <w:color w:val="000000"/>
          <w:sz w:val="22"/>
          <w:szCs w:val="22"/>
        </w:rPr>
        <w:t>contested term of a contract . . .</w:t>
      </w:r>
      <w:r w:rsidR="0064045C" w:rsidRPr="00305182">
        <w:rPr>
          <w:rFonts w:ascii="Arial" w:hAnsi="Arial" w:cs="Arial"/>
          <w:color w:val="000000"/>
          <w:sz w:val="22"/>
          <w:szCs w:val="22"/>
        </w:rPr>
        <w:t xml:space="preserve"> is properly understood not simply by selecting standard definitions of particular words, often taken from dictionaries, but by understanding the words and sentences that comprise the contested term as they fit into the larger structure of the agreement, its context and purpose. </w:t>
      </w:r>
      <w:r>
        <w:rPr>
          <w:rFonts w:ascii="Arial" w:hAnsi="Arial" w:cs="Arial"/>
          <w:color w:val="000000"/>
          <w:sz w:val="22"/>
          <w:szCs w:val="22"/>
        </w:rPr>
        <w:t xml:space="preserve"> </w:t>
      </w:r>
      <w:r w:rsidR="0064045C" w:rsidRPr="00305182">
        <w:rPr>
          <w:rFonts w:ascii="Arial" w:hAnsi="Arial" w:cs="Arial"/>
          <w:color w:val="000000"/>
          <w:sz w:val="22"/>
          <w:szCs w:val="22"/>
        </w:rPr>
        <w:t xml:space="preserve">Meaning is ultimately the most compelling and coherent account the interpreter can provide, making use of these sources of interpretation. </w:t>
      </w:r>
      <w:r>
        <w:rPr>
          <w:rFonts w:ascii="Arial" w:hAnsi="Arial" w:cs="Arial"/>
          <w:color w:val="000000"/>
          <w:sz w:val="22"/>
          <w:szCs w:val="22"/>
        </w:rPr>
        <w:t xml:space="preserve"> </w:t>
      </w:r>
      <w:r w:rsidR="0064045C" w:rsidRPr="00305182">
        <w:rPr>
          <w:rFonts w:ascii="Arial" w:hAnsi="Arial" w:cs="Arial"/>
          <w:color w:val="000000"/>
          <w:sz w:val="22"/>
          <w:szCs w:val="22"/>
        </w:rPr>
        <w:t>It is not a partial selection of interpretational materials directed at a predetermined result.</w:t>
      </w:r>
    </w:p>
    <w:p w14:paraId="04737D31" w14:textId="77777777" w:rsidR="00305182" w:rsidRPr="00305182" w:rsidRDefault="00305182" w:rsidP="00305182">
      <w:pPr>
        <w:widowControl w:val="0"/>
        <w:autoSpaceDE w:val="0"/>
        <w:autoSpaceDN w:val="0"/>
        <w:adjustRightInd w:val="0"/>
        <w:spacing w:line="360" w:lineRule="auto"/>
        <w:jc w:val="both"/>
        <w:rPr>
          <w:rFonts w:ascii="Arial" w:hAnsi="Arial" w:cs="Arial"/>
          <w:color w:val="000000"/>
          <w:sz w:val="22"/>
          <w:szCs w:val="22"/>
        </w:rPr>
      </w:pPr>
    </w:p>
    <w:p w14:paraId="5D967BFE"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 xml:space="preserve">Most contracts, and particularly commercial contracts, are constructed with a design in mind, and their architects choose words and concepts to give effect to that design. For this reason, interpretation begins with the text and its structure. </w:t>
      </w:r>
      <w:r w:rsidR="00305182">
        <w:rPr>
          <w:rFonts w:ascii="Arial" w:hAnsi="Arial" w:cs="Arial"/>
          <w:color w:val="000000"/>
          <w:sz w:val="22"/>
          <w:szCs w:val="22"/>
        </w:rPr>
        <w:t xml:space="preserve"> </w:t>
      </w:r>
      <w:r w:rsidRPr="00305182">
        <w:rPr>
          <w:rFonts w:ascii="Arial" w:hAnsi="Arial" w:cs="Arial"/>
          <w:color w:val="000000"/>
          <w:sz w:val="22"/>
          <w:szCs w:val="22"/>
        </w:rPr>
        <w:t xml:space="preserve">They have a gravitational pull that is important. </w:t>
      </w:r>
      <w:r w:rsidR="00305182">
        <w:rPr>
          <w:rFonts w:ascii="Arial" w:hAnsi="Arial" w:cs="Arial"/>
          <w:color w:val="000000"/>
          <w:sz w:val="22"/>
          <w:szCs w:val="22"/>
        </w:rPr>
        <w:t xml:space="preserve"> </w:t>
      </w:r>
      <w:r w:rsidRPr="00305182">
        <w:rPr>
          <w:rFonts w:ascii="Arial" w:hAnsi="Arial" w:cs="Arial"/>
          <w:color w:val="000000"/>
          <w:sz w:val="22"/>
          <w:szCs w:val="22"/>
        </w:rPr>
        <w:t xml:space="preserve">The proposition that context is everything is not a licence to contend for meanings unmoored in the text and its structure. </w:t>
      </w:r>
      <w:r w:rsidR="00305182">
        <w:rPr>
          <w:rFonts w:ascii="Arial" w:hAnsi="Arial" w:cs="Arial"/>
          <w:color w:val="000000"/>
          <w:sz w:val="22"/>
          <w:szCs w:val="22"/>
        </w:rPr>
        <w:t xml:space="preserve"> </w:t>
      </w:r>
      <w:r w:rsidRPr="00305182">
        <w:rPr>
          <w:rFonts w:ascii="Arial" w:hAnsi="Arial" w:cs="Arial"/>
          <w:color w:val="000000"/>
          <w:sz w:val="22"/>
          <w:szCs w:val="22"/>
        </w:rPr>
        <w:t>Rather, context and purpose may</w:t>
      </w:r>
      <w:r w:rsidR="00305182">
        <w:rPr>
          <w:rFonts w:ascii="Arial" w:hAnsi="Arial" w:cs="Arial"/>
          <w:color w:val="000000"/>
          <w:sz w:val="22"/>
          <w:szCs w:val="22"/>
        </w:rPr>
        <w:t xml:space="preserve"> be used to elucidate the text.’</w:t>
      </w:r>
    </w:p>
    <w:p w14:paraId="711FAC24"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ED54242" w14:textId="1F27F8C9"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[19</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So, read in context, did Investec intend in its letter of 15 April 2020 to convey that it had appr</w:t>
      </w:r>
      <w:r w:rsidR="00F853F3">
        <w:rPr>
          <w:rFonts w:ascii="Arial" w:hAnsi="Arial" w:cs="Arial"/>
          <w:color w:val="000000"/>
        </w:rPr>
        <w:t xml:space="preserve">oved the loan to the applicant?  </w:t>
      </w:r>
      <w:r w:rsidR="0064045C" w:rsidRPr="0064045C">
        <w:rPr>
          <w:rFonts w:ascii="Arial" w:hAnsi="Arial" w:cs="Arial"/>
          <w:color w:val="000000"/>
        </w:rPr>
        <w:t>These questions cannot be answered without deciding what the words "subject to" meant in the first paragraph of that letter.</w:t>
      </w:r>
      <w:r w:rsidR="00F853F3">
        <w:rPr>
          <w:rFonts w:ascii="Arial" w:hAnsi="Arial" w:cs="Arial"/>
          <w:color w:val="000000"/>
        </w:rPr>
        <w:t xml:space="preserve">  </w:t>
      </w:r>
      <w:r w:rsidR="0064045C" w:rsidRPr="0064045C">
        <w:rPr>
          <w:rFonts w:ascii="Arial" w:hAnsi="Arial" w:cs="Arial"/>
          <w:color w:val="000000"/>
        </w:rPr>
        <w:t>Removing the intervening words, Investec confirmed that it had "</w:t>
      </w:r>
      <w:r w:rsidR="0064045C" w:rsidRPr="00F853F3">
        <w:rPr>
          <w:rFonts w:ascii="Arial" w:hAnsi="Arial" w:cs="Arial"/>
          <w:iCs/>
          <w:color w:val="000000"/>
        </w:rPr>
        <w:t>approved a loan facility subject to [its] approved valuation and lease review</w:t>
      </w:r>
      <w:r w:rsidR="0064045C" w:rsidRPr="0064045C">
        <w:rPr>
          <w:rFonts w:ascii="Arial" w:hAnsi="Arial" w:cs="Arial"/>
          <w:color w:val="000000"/>
        </w:rPr>
        <w:t>".</w:t>
      </w:r>
      <w:r w:rsidR="00F853F3">
        <w:rPr>
          <w:rFonts w:ascii="Arial" w:hAnsi="Arial" w:cs="Arial"/>
          <w:color w:val="000000"/>
        </w:rPr>
        <w:t xml:space="preserve">  </w:t>
      </w:r>
      <w:r w:rsidR="0064045C" w:rsidRPr="0064045C">
        <w:rPr>
          <w:rFonts w:ascii="Arial" w:hAnsi="Arial" w:cs="Arial"/>
          <w:color w:val="000000"/>
        </w:rPr>
        <w:t>According to the Concise Oxford Dictionary, "subject to” means "dependent or conditional upon". The Merriam-Webster Dictionary defines the term to mean "dependent on something else to happen or be true."</w:t>
      </w:r>
    </w:p>
    <w:p w14:paraId="265B8850"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0893098" w14:textId="57DF7C91"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[20</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Therefore, reading the letter in context, Investec sought to convey that it had approved a loan facility dependent or conditional upon not only an approved valuation but also the review of a lease.</w:t>
      </w:r>
    </w:p>
    <w:p w14:paraId="4A19EE4A"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FD77A20" w14:textId="6C532805"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lastRenderedPageBreak/>
        <w:t>[21</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This interpretation accords with the view expressed by Mitchell AJ in </w:t>
      </w:r>
      <w:r w:rsidR="0064045C" w:rsidRPr="0064045C">
        <w:rPr>
          <w:rFonts w:ascii="Arial" w:hAnsi="Arial" w:cs="Arial"/>
          <w:i/>
          <w:iCs/>
          <w:color w:val="000000"/>
        </w:rPr>
        <w:t>Dharsey v Shelly</w:t>
      </w:r>
      <w:r w:rsidR="0064045C" w:rsidRPr="0064045C">
        <w:rPr>
          <w:rStyle w:val="FootnoteReference"/>
          <w:rFonts w:ascii="Arial" w:hAnsi="Arial" w:cs="Arial"/>
          <w:color w:val="000000"/>
        </w:rPr>
        <w:footnoteReference w:id="7"/>
      </w:r>
      <w:r w:rsidR="0064045C" w:rsidRPr="0064045C">
        <w:rPr>
          <w:rFonts w:ascii="Arial" w:hAnsi="Arial" w:cs="Arial"/>
          <w:i/>
          <w:iCs/>
          <w:color w:val="000000"/>
        </w:rPr>
        <w:t xml:space="preserve"> </w:t>
      </w:r>
      <w:r w:rsidR="0064045C" w:rsidRPr="0064045C">
        <w:rPr>
          <w:rFonts w:ascii="Arial" w:hAnsi="Arial" w:cs="Arial"/>
          <w:color w:val="000000"/>
        </w:rPr>
        <w:t xml:space="preserve">that the imposition of a condition to the granting of a loan (being, in that case as in this one, an adequate valuation of the property) </w:t>
      </w:r>
      <w:r w:rsidR="00C62F3A">
        <w:rPr>
          <w:rFonts w:ascii="Arial" w:hAnsi="Arial" w:cs="Arial"/>
          <w:color w:val="000000"/>
        </w:rPr>
        <w:t>‘</w:t>
      </w:r>
      <w:r w:rsidR="0064045C" w:rsidRPr="0064045C">
        <w:rPr>
          <w:rFonts w:ascii="Arial" w:hAnsi="Arial" w:cs="Arial"/>
          <w:color w:val="000000"/>
        </w:rPr>
        <w:t>was a suspensive condition of the "grant" of the loan</w:t>
      </w:r>
      <w:r w:rsidR="00C62F3A">
        <w:rPr>
          <w:rFonts w:ascii="Arial" w:hAnsi="Arial" w:cs="Arial"/>
          <w:color w:val="000000"/>
        </w:rPr>
        <w:t>’</w:t>
      </w:r>
      <w:r w:rsidR="0064045C" w:rsidRPr="0064045C">
        <w:rPr>
          <w:rFonts w:ascii="Arial" w:hAnsi="Arial" w:cs="Arial"/>
          <w:color w:val="000000"/>
        </w:rPr>
        <w:t xml:space="preserve">. </w:t>
      </w:r>
    </w:p>
    <w:p w14:paraId="68751762"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6F0EEACF" w14:textId="766E53AE"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[22</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Does this interpretation accord with common sense and lead to a </w:t>
      </w:r>
      <w:r w:rsidR="00305182" w:rsidRPr="0064045C">
        <w:rPr>
          <w:rFonts w:ascii="Arial" w:hAnsi="Arial" w:cs="Arial"/>
          <w:color w:val="000000"/>
        </w:rPr>
        <w:t>business-like</w:t>
      </w:r>
      <w:r w:rsidR="0064045C" w:rsidRPr="0064045C">
        <w:rPr>
          <w:rFonts w:ascii="Arial" w:hAnsi="Arial" w:cs="Arial"/>
          <w:color w:val="000000"/>
        </w:rPr>
        <w:t xml:space="preserve"> result, in line with Investec’s rationale in setting the two conditions?</w:t>
      </w:r>
    </w:p>
    <w:p w14:paraId="2A52E9BB"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49DD7F61" w14:textId="444673DF"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[23</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In its founding affidavit, the applicant states that it is standard business practice for any financial institution which is going to provide a guarantee to secure payment of the purchase price in respect of any immovable property to inspect the property concerned "for the purposes of valuing same prior to issuing such</w:t>
      </w:r>
      <w:r w:rsidR="002C69BA">
        <w:rPr>
          <w:rFonts w:ascii="Arial" w:hAnsi="Arial" w:cs="Arial"/>
          <w:color w:val="000000"/>
        </w:rPr>
        <w:t xml:space="preserve"> a</w:t>
      </w:r>
      <w:r w:rsidR="0064045C" w:rsidRPr="0064045C">
        <w:rPr>
          <w:rFonts w:ascii="Arial" w:hAnsi="Arial" w:cs="Arial"/>
          <w:color w:val="000000"/>
        </w:rPr>
        <w:t xml:space="preserve"> guarantee".</w:t>
      </w:r>
    </w:p>
    <w:p w14:paraId="516C7AEA"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3D1CCBC7" w14:textId="4CB3858A"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[24</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There is an unassailable commercial logic in a financial institution making sure that there is enough security in a property and that its investment will be secured, before advancing funds with which a purchaser will purchase that property</w:t>
      </w:r>
      <w:r w:rsidR="002C69BA">
        <w:rPr>
          <w:rFonts w:ascii="Arial" w:hAnsi="Arial" w:cs="Arial"/>
          <w:color w:val="000000"/>
        </w:rPr>
        <w:t>.</w:t>
      </w:r>
      <w:r w:rsidR="0064045C" w:rsidRPr="0064045C">
        <w:rPr>
          <w:rStyle w:val="FootnoteReference"/>
          <w:rFonts w:ascii="Arial" w:hAnsi="Arial" w:cs="Arial"/>
          <w:color w:val="000000"/>
        </w:rPr>
        <w:footnoteReference w:id="8"/>
      </w:r>
      <w:r w:rsidR="00F853F3">
        <w:rPr>
          <w:rFonts w:ascii="Arial" w:hAnsi="Arial" w:cs="Arial"/>
          <w:color w:val="000000"/>
        </w:rPr>
        <w:t xml:space="preserve">  </w:t>
      </w:r>
      <w:r w:rsidR="0064045C" w:rsidRPr="0064045C">
        <w:rPr>
          <w:rFonts w:ascii="Arial" w:hAnsi="Arial" w:cs="Arial"/>
          <w:color w:val="000000"/>
        </w:rPr>
        <w:t>It therefore cannot really be disputed</w:t>
      </w:r>
      <w:r w:rsidR="0064045C" w:rsidRPr="0064045C">
        <w:rPr>
          <w:rStyle w:val="FootnoteReference"/>
          <w:rFonts w:ascii="Arial" w:hAnsi="Arial" w:cs="Arial"/>
          <w:color w:val="000000"/>
        </w:rPr>
        <w:footnoteReference w:id="9"/>
      </w:r>
      <w:r w:rsidR="0064045C" w:rsidRPr="0064045C">
        <w:rPr>
          <w:rFonts w:ascii="Arial" w:hAnsi="Arial" w:cs="Arial"/>
          <w:color w:val="000000"/>
        </w:rPr>
        <w:t xml:space="preserve"> that a condition was attached by Investec to the advancing of funds with which the applicant was going to purchase the property.</w:t>
      </w:r>
    </w:p>
    <w:p w14:paraId="14C2770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35DD477" w14:textId="762D58E2"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[25</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It will be recalled that Investec imposed two conditions - both of which commercially would have influenced whether it was appropriate to advance the loan. I have dealt with the question of the valuation, but one cannot lose sight of the "lease review".</w:t>
      </w:r>
    </w:p>
    <w:p w14:paraId="41AC892F"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317B382" w14:textId="171C262A"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[26</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In its founding affidavit, the applicant alleged that its representatives had been engaged in negotiations with representatives of the Embassy of the United States of America from the end of February 2020 to agree upon the terms of a proposed lease agreement. </w:t>
      </w:r>
      <w:r w:rsidR="00305182">
        <w:rPr>
          <w:rFonts w:ascii="Arial" w:hAnsi="Arial" w:cs="Arial"/>
          <w:color w:val="000000"/>
        </w:rPr>
        <w:t xml:space="preserve"> </w:t>
      </w:r>
      <w:r w:rsidR="0064045C" w:rsidRPr="0064045C">
        <w:rPr>
          <w:rFonts w:ascii="Arial" w:hAnsi="Arial" w:cs="Arial"/>
          <w:color w:val="000000"/>
        </w:rPr>
        <w:t xml:space="preserve">These negotiations were described as </w:t>
      </w:r>
      <w:r w:rsidR="0064045C" w:rsidRPr="0064045C">
        <w:rPr>
          <w:rFonts w:ascii="Arial" w:hAnsi="Arial" w:cs="Arial"/>
          <w:color w:val="000000"/>
        </w:rPr>
        <w:lastRenderedPageBreak/>
        <w:t>having reached "an advanced stage".</w:t>
      </w:r>
    </w:p>
    <w:p w14:paraId="0F4E3721"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46A5A99B" w14:textId="3A119D5A"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[27</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Therefore, Investec</w:t>
      </w:r>
      <w:r w:rsidR="00C62F3A">
        <w:rPr>
          <w:rFonts w:ascii="Arial" w:hAnsi="Arial" w:cs="Arial"/>
          <w:color w:val="000000"/>
        </w:rPr>
        <w:t>,</w:t>
      </w:r>
      <w:r w:rsidR="0064045C" w:rsidRPr="0064045C">
        <w:rPr>
          <w:rFonts w:ascii="Arial" w:hAnsi="Arial" w:cs="Arial"/>
          <w:color w:val="000000"/>
        </w:rPr>
        <w:t xml:space="preserve"> who obviously was aware of the negotiations, reserved to itself the right to review the terms of the lease prior to any finance being advanced to the applicant. </w:t>
      </w:r>
      <w:r w:rsidR="00305182">
        <w:rPr>
          <w:rFonts w:ascii="Arial" w:hAnsi="Arial" w:cs="Arial"/>
          <w:color w:val="000000"/>
        </w:rPr>
        <w:t xml:space="preserve"> </w:t>
      </w:r>
      <w:r w:rsidR="0064045C" w:rsidRPr="0064045C">
        <w:rPr>
          <w:rFonts w:ascii="Arial" w:hAnsi="Arial" w:cs="Arial"/>
          <w:color w:val="000000"/>
        </w:rPr>
        <w:t>This likewise makes commercial sense, as Investec would have needed to satisfy itself that the instalments due in respect of the mortgage bond registered over the property would be paid and a proposed income stream from a tenant was material to that consideration.</w:t>
      </w:r>
    </w:p>
    <w:p w14:paraId="5C687720"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7E16F6B5" w14:textId="777B41A8"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[28</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Were the condit</w:t>
      </w:r>
      <w:r w:rsidR="00F853F3">
        <w:rPr>
          <w:rFonts w:ascii="Arial" w:hAnsi="Arial" w:cs="Arial"/>
          <w:color w:val="000000"/>
        </w:rPr>
        <w:t xml:space="preserve">ions attached to the guarantee?  </w:t>
      </w:r>
      <w:r w:rsidR="0064045C" w:rsidRPr="0064045C">
        <w:rPr>
          <w:rFonts w:ascii="Arial" w:hAnsi="Arial" w:cs="Arial"/>
          <w:color w:val="000000"/>
        </w:rPr>
        <w:t>The nature of a guarantee cannot be ignored. It constitutes an independent, primary obligation by a financial institution to pay a nominated third party when the conditions for payment prescribed in the instrument are satisfied</w:t>
      </w:r>
      <w:r w:rsidR="00CD7D0B">
        <w:rPr>
          <w:rFonts w:ascii="Arial" w:hAnsi="Arial" w:cs="Arial"/>
          <w:color w:val="000000"/>
        </w:rPr>
        <w:t>.</w:t>
      </w:r>
      <w:r w:rsidR="0064045C" w:rsidRPr="0064045C">
        <w:rPr>
          <w:rStyle w:val="FootnoteReference"/>
          <w:rFonts w:ascii="Arial" w:hAnsi="Arial" w:cs="Arial"/>
          <w:color w:val="000000"/>
        </w:rPr>
        <w:footnoteReference w:id="10"/>
      </w:r>
      <w:r w:rsidR="00F853F3">
        <w:rPr>
          <w:rFonts w:ascii="Arial" w:hAnsi="Arial" w:cs="Arial"/>
          <w:color w:val="000000"/>
        </w:rPr>
        <w:t xml:space="preserve">  </w:t>
      </w:r>
      <w:r w:rsidR="0064045C" w:rsidRPr="0064045C">
        <w:rPr>
          <w:rFonts w:ascii="Arial" w:hAnsi="Arial" w:cs="Arial"/>
          <w:color w:val="000000"/>
        </w:rPr>
        <w:t xml:space="preserve">The guarantee is the mechanism by which payment of the purchase price was to be made to the seller. In this case, the obligation in terms of the guarantee would be between Investec and the respondent.  The advancing of the loan and its repayment (ie, the creditor – debtor relationship) would be between Investec and the applicant. </w:t>
      </w:r>
    </w:p>
    <w:p w14:paraId="520378C9"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6A3D9ABF" w14:textId="3FA87F69"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[29</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The answer about </w:t>
      </w:r>
      <w:r w:rsidR="00F853F3" w:rsidRPr="0064045C">
        <w:rPr>
          <w:rFonts w:ascii="Arial" w:hAnsi="Arial" w:cs="Arial"/>
          <w:color w:val="000000"/>
        </w:rPr>
        <w:t>wh</w:t>
      </w:r>
      <w:r w:rsidR="00F853F3">
        <w:rPr>
          <w:rFonts w:ascii="Arial" w:hAnsi="Arial" w:cs="Arial"/>
          <w:color w:val="000000"/>
        </w:rPr>
        <w:t xml:space="preserve">ether </w:t>
      </w:r>
      <w:r w:rsidR="0064045C" w:rsidRPr="0064045C">
        <w:rPr>
          <w:rFonts w:ascii="Arial" w:hAnsi="Arial" w:cs="Arial"/>
          <w:color w:val="000000"/>
        </w:rPr>
        <w:t>the conditions were attached is to be found not only in an assessment of the practicalities of the version advanced by the applicant, but also in the allegations that the applicant made in reply.</w:t>
      </w:r>
    </w:p>
    <w:p w14:paraId="58668886"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70904F2C" w14:textId="413F38FF"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[30</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On the applicant’s version, Investec could have refused to issue the guarantee if it was unhappy either with the valuation of the property or with the terms of the lease</w:t>
      </w:r>
      <w:r w:rsidR="004A6C8C">
        <w:rPr>
          <w:rFonts w:ascii="Arial" w:hAnsi="Arial" w:cs="Arial"/>
          <w:color w:val="000000"/>
        </w:rPr>
        <w:t>.</w:t>
      </w:r>
      <w:r w:rsidR="0064045C" w:rsidRPr="0064045C">
        <w:rPr>
          <w:rStyle w:val="FootnoteReference"/>
          <w:rFonts w:ascii="Arial" w:hAnsi="Arial" w:cs="Arial"/>
          <w:color w:val="000000"/>
        </w:rPr>
        <w:footnoteReference w:id="11"/>
      </w:r>
      <w:r w:rsidR="0064045C" w:rsidRPr="0064045C">
        <w:rPr>
          <w:rFonts w:ascii="Arial" w:hAnsi="Arial" w:cs="Arial"/>
          <w:color w:val="000000"/>
        </w:rPr>
        <w:t xml:space="preserve">  </w:t>
      </w:r>
    </w:p>
    <w:p w14:paraId="6B3A4AA9"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1FA5A08" w14:textId="09A72722" w:rsidR="00951E75"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[31</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But what then of the loan that ap</w:t>
      </w:r>
      <w:r w:rsidR="00F853F3">
        <w:rPr>
          <w:rFonts w:ascii="Arial" w:hAnsi="Arial" w:cs="Arial"/>
          <w:color w:val="000000"/>
        </w:rPr>
        <w:t xml:space="preserve">parently was already approved?  </w:t>
      </w:r>
      <w:r w:rsidR="0064045C" w:rsidRPr="0064045C">
        <w:rPr>
          <w:rFonts w:ascii="Arial" w:hAnsi="Arial" w:cs="Arial"/>
          <w:color w:val="000000"/>
        </w:rPr>
        <w:t>Would the "approved loan" survive the refusal to put up the guarantee? A</w:t>
      </w:r>
      <w:r w:rsidR="00305182">
        <w:rPr>
          <w:rFonts w:ascii="Arial" w:hAnsi="Arial" w:cs="Arial"/>
          <w:color w:val="000000"/>
        </w:rPr>
        <w:t xml:space="preserve">nd if so, what would that mean? </w:t>
      </w:r>
      <w:r w:rsidR="0064045C" w:rsidRPr="0064045C">
        <w:rPr>
          <w:rFonts w:ascii="Arial" w:hAnsi="Arial" w:cs="Arial"/>
          <w:color w:val="000000"/>
        </w:rPr>
        <w:t xml:space="preserve"> Did the applicant somehow accrue rights, and would it have been able to compel Investec to advance it credit in these circumstances?</w:t>
      </w:r>
    </w:p>
    <w:p w14:paraId="593E1E46" w14:textId="77777777" w:rsidR="00951E75" w:rsidRDefault="00951E75" w:rsidP="0064045C">
      <w:pPr>
        <w:widowControl w:val="0"/>
        <w:autoSpaceDE w:val="0"/>
        <w:autoSpaceDN w:val="0"/>
        <w:adjustRightInd w:val="0"/>
        <w:spacing w:line="360" w:lineRule="auto"/>
        <w:jc w:val="both"/>
        <w:rPr>
          <w:rFonts w:ascii="Arial" w:hAnsi="Arial" w:cs="Arial"/>
          <w:color w:val="000000"/>
        </w:rPr>
      </w:pPr>
    </w:p>
    <w:p w14:paraId="3DBCDFD2" w14:textId="77777777" w:rsidR="00951E75" w:rsidRDefault="00951E75" w:rsidP="0064045C">
      <w:pPr>
        <w:widowControl w:val="0"/>
        <w:autoSpaceDE w:val="0"/>
        <w:autoSpaceDN w:val="0"/>
        <w:adjustRightInd w:val="0"/>
        <w:spacing w:line="360" w:lineRule="auto"/>
        <w:jc w:val="both"/>
        <w:rPr>
          <w:rFonts w:ascii="Arial" w:hAnsi="Arial" w:cs="Arial"/>
          <w:color w:val="000000"/>
        </w:rPr>
      </w:pPr>
    </w:p>
    <w:p w14:paraId="1A8AE1FE" w14:textId="3788CE86"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rPr>
        <w:t>[32</w:t>
      </w:r>
      <w:r w:rsidR="00951E75">
        <w:rPr>
          <w:rFonts w:ascii="Arial" w:hAnsi="Arial" w:cs="Arial"/>
        </w:rPr>
        <w:t xml:space="preserve">]    </w:t>
      </w:r>
      <w:r w:rsidR="00951E75" w:rsidRPr="00F853F3">
        <w:rPr>
          <w:rFonts w:ascii="Arial" w:hAnsi="Arial" w:cs="Arial"/>
        </w:rPr>
        <w:t xml:space="preserve">In argument, Mr </w:t>
      </w:r>
      <w:r w:rsidR="00951E75" w:rsidRPr="00F853F3">
        <w:rPr>
          <w:rFonts w:ascii="Arial" w:hAnsi="Arial" w:cs="Arial"/>
          <w:i/>
        </w:rPr>
        <w:t>Choudree</w:t>
      </w:r>
      <w:r w:rsidR="00951E75" w:rsidRPr="00F853F3">
        <w:rPr>
          <w:rFonts w:ascii="Arial" w:hAnsi="Arial" w:cs="Arial"/>
        </w:rPr>
        <w:t xml:space="preserve"> SC (who together with Mr </w:t>
      </w:r>
      <w:r w:rsidR="00951E75" w:rsidRPr="00F853F3">
        <w:rPr>
          <w:rFonts w:ascii="Arial" w:hAnsi="Arial" w:cs="Arial"/>
          <w:i/>
        </w:rPr>
        <w:t>Crampton</w:t>
      </w:r>
      <w:r w:rsidR="00951E75" w:rsidRPr="00F853F3">
        <w:rPr>
          <w:rFonts w:ascii="Arial" w:hAnsi="Arial" w:cs="Arial"/>
        </w:rPr>
        <w:t xml:space="preserve"> appeared for the applicant) submitted that these kinds of questions were speculative and did not need to be answered in this case. I disagree:  the questions serve to interrogate the purpose for which the conditions were imposed and what interests they served to protect. The conditions were inserted for a purpose and were described as “subject to” for a reason.</w:t>
      </w:r>
      <w:r w:rsidR="0064045C" w:rsidRPr="0064045C">
        <w:rPr>
          <w:rStyle w:val="FootnoteReference"/>
          <w:rFonts w:ascii="Arial" w:hAnsi="Arial" w:cs="Arial"/>
          <w:color w:val="000000"/>
        </w:rPr>
        <w:footnoteReference w:id="12"/>
      </w:r>
    </w:p>
    <w:p w14:paraId="5D0C8731"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5E4B0CA" w14:textId="20E1889C"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[33</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In my view, the answer to the questions posed </w:t>
      </w:r>
      <w:r w:rsidR="00016B7E">
        <w:rPr>
          <w:rFonts w:ascii="Arial" w:hAnsi="Arial" w:cs="Arial"/>
          <w:color w:val="000000"/>
        </w:rPr>
        <w:t>in paragraph [31</w:t>
      </w:r>
      <w:r w:rsidR="00951E75">
        <w:rPr>
          <w:rFonts w:ascii="Arial" w:hAnsi="Arial" w:cs="Arial"/>
          <w:color w:val="000000"/>
        </w:rPr>
        <w:t xml:space="preserve">] </w:t>
      </w:r>
      <w:r w:rsidR="0064045C" w:rsidRPr="0064045C">
        <w:rPr>
          <w:rFonts w:ascii="Arial" w:hAnsi="Arial" w:cs="Arial"/>
          <w:color w:val="000000"/>
        </w:rPr>
        <w:t xml:space="preserve">must be "no". </w:t>
      </w:r>
      <w:r w:rsidR="00305182">
        <w:rPr>
          <w:rFonts w:ascii="Arial" w:hAnsi="Arial" w:cs="Arial"/>
          <w:color w:val="000000"/>
        </w:rPr>
        <w:t xml:space="preserve"> </w:t>
      </w:r>
      <w:r w:rsidR="0064045C" w:rsidRPr="0064045C">
        <w:rPr>
          <w:rFonts w:ascii="Arial" w:hAnsi="Arial" w:cs="Arial"/>
          <w:color w:val="000000"/>
        </w:rPr>
        <w:t>If Investec were not satisfied with the security on offer, it would not then advance the necessary funds to the applicant to purchase the property</w:t>
      </w:r>
      <w:r w:rsidR="0064045C" w:rsidRPr="0064045C">
        <w:rPr>
          <w:rStyle w:val="FootnoteReference"/>
          <w:rFonts w:ascii="Arial" w:hAnsi="Arial" w:cs="Arial"/>
          <w:color w:val="000000"/>
        </w:rPr>
        <w:footnoteReference w:id="13"/>
      </w:r>
      <w:r w:rsidR="0064045C" w:rsidRPr="0064045C">
        <w:rPr>
          <w:rFonts w:ascii="Arial" w:hAnsi="Arial" w:cs="Arial"/>
          <w:color w:val="000000"/>
        </w:rPr>
        <w:t xml:space="preserve">. </w:t>
      </w:r>
      <w:r w:rsidR="00305182">
        <w:rPr>
          <w:rFonts w:ascii="Arial" w:hAnsi="Arial" w:cs="Arial"/>
          <w:color w:val="000000"/>
        </w:rPr>
        <w:t xml:space="preserve"> </w:t>
      </w:r>
      <w:r w:rsidR="0064045C" w:rsidRPr="0064045C">
        <w:rPr>
          <w:rFonts w:ascii="Arial" w:hAnsi="Arial" w:cs="Arial"/>
          <w:color w:val="000000"/>
        </w:rPr>
        <w:t>It is not a question of the guarantee not being issued or being withdrawn; it is a far more fundamental question of whether Investec would agree to approve credit at all.</w:t>
      </w:r>
      <w:r w:rsidR="00F853F3">
        <w:rPr>
          <w:rFonts w:ascii="Arial" w:hAnsi="Arial" w:cs="Arial"/>
          <w:color w:val="000000"/>
        </w:rPr>
        <w:t xml:space="preserve">  </w:t>
      </w:r>
      <w:r w:rsidR="0064045C" w:rsidRPr="0064045C">
        <w:rPr>
          <w:rFonts w:ascii="Arial" w:hAnsi="Arial" w:cs="Arial"/>
          <w:color w:val="000000"/>
        </w:rPr>
        <w:t xml:space="preserve">In reaching this conclusion, I am fortified by allegations made by the applicant in its replying affidavit. </w:t>
      </w:r>
    </w:p>
    <w:p w14:paraId="515F0555"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03ECFC10" w14:textId="06977C2B"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[34</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At paragraphs 25(c) and 26(a), the applicant made the following allegations:</w:t>
      </w:r>
    </w:p>
    <w:p w14:paraId="358EB4F3" w14:textId="5B6A56F7" w:rsidR="0064045C" w:rsidRPr="00305182" w:rsidRDefault="00305182" w:rsidP="00305182">
      <w:pPr>
        <w:widowControl w:val="0"/>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t>
      </w:r>
      <w:r w:rsidR="0064045C" w:rsidRPr="00305182">
        <w:rPr>
          <w:rFonts w:ascii="Arial" w:hAnsi="Arial" w:cs="Arial"/>
          <w:color w:val="000000"/>
          <w:sz w:val="22"/>
          <w:szCs w:val="22"/>
        </w:rPr>
        <w:t xml:space="preserve">... the applicant was, and remains, confident that Investec Bank will put up the guarantee to secure the balance of the purchase price, </w:t>
      </w:r>
      <w:r w:rsidR="0064045C" w:rsidRPr="00305182">
        <w:rPr>
          <w:rFonts w:ascii="Arial" w:hAnsi="Arial" w:cs="Arial"/>
          <w:i/>
          <w:iCs/>
          <w:color w:val="000000"/>
          <w:sz w:val="22"/>
          <w:szCs w:val="22"/>
        </w:rPr>
        <w:t>subject however to</w:t>
      </w:r>
      <w:r w:rsidR="0064045C" w:rsidRPr="00305182">
        <w:rPr>
          <w:rStyle w:val="FootnoteReference"/>
          <w:rFonts w:ascii="Arial" w:hAnsi="Arial" w:cs="Arial"/>
          <w:i/>
          <w:iCs/>
          <w:color w:val="000000"/>
          <w:sz w:val="22"/>
          <w:szCs w:val="22"/>
        </w:rPr>
        <w:footnoteReference w:id="14"/>
      </w:r>
      <w:r w:rsidR="00AF2E1A">
        <w:rPr>
          <w:rFonts w:ascii="Arial" w:hAnsi="Arial" w:cs="Arial"/>
          <w:i/>
          <w:iCs/>
          <w:color w:val="000000"/>
          <w:sz w:val="22"/>
          <w:szCs w:val="22"/>
        </w:rPr>
        <w:t xml:space="preserve"> </w:t>
      </w:r>
      <w:r w:rsidR="0064045C" w:rsidRPr="00305182">
        <w:rPr>
          <w:rFonts w:ascii="Arial" w:hAnsi="Arial" w:cs="Arial"/>
          <w:i/>
          <w:iCs/>
          <w:color w:val="000000"/>
          <w:sz w:val="22"/>
          <w:szCs w:val="22"/>
        </w:rPr>
        <w:t>"credit approval"</w:t>
      </w:r>
      <w:r w:rsidR="0064045C" w:rsidRPr="00305182">
        <w:rPr>
          <w:rFonts w:ascii="Arial" w:hAnsi="Arial" w:cs="Arial"/>
          <w:color w:val="000000"/>
          <w:sz w:val="22"/>
          <w:szCs w:val="22"/>
        </w:rPr>
        <w:t>, which would include a valuation of the property being</w:t>
      </w:r>
      <w:r>
        <w:rPr>
          <w:rFonts w:ascii="Arial" w:hAnsi="Arial" w:cs="Arial"/>
          <w:color w:val="000000"/>
          <w:sz w:val="22"/>
          <w:szCs w:val="22"/>
        </w:rPr>
        <w:t xml:space="preserve"> carried out’</w:t>
      </w:r>
      <w:r w:rsidR="00951E75">
        <w:rPr>
          <w:rFonts w:ascii="Arial" w:hAnsi="Arial" w:cs="Arial"/>
          <w:color w:val="000000"/>
          <w:sz w:val="22"/>
          <w:szCs w:val="22"/>
        </w:rPr>
        <w:t xml:space="preserve"> (my emphasis)</w:t>
      </w:r>
      <w:r w:rsidR="0064045C" w:rsidRPr="00305182">
        <w:rPr>
          <w:rFonts w:ascii="Arial" w:hAnsi="Arial" w:cs="Arial"/>
          <w:color w:val="000000"/>
          <w:sz w:val="22"/>
          <w:szCs w:val="22"/>
        </w:rPr>
        <w:t xml:space="preserve">; </w:t>
      </w:r>
    </w:p>
    <w:p w14:paraId="3EC09E87"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p>
    <w:p w14:paraId="7E8E691F" w14:textId="77777777" w:rsidR="0064045C" w:rsidRPr="00305182" w:rsidRDefault="0064045C" w:rsidP="00305182">
      <w:pPr>
        <w:widowControl w:val="0"/>
        <w:autoSpaceDE w:val="0"/>
        <w:autoSpaceDN w:val="0"/>
        <w:adjustRightInd w:val="0"/>
        <w:spacing w:line="360" w:lineRule="auto"/>
        <w:jc w:val="both"/>
        <w:rPr>
          <w:rFonts w:ascii="Arial" w:hAnsi="Arial" w:cs="Arial"/>
          <w:color w:val="000000"/>
          <w:sz w:val="22"/>
          <w:szCs w:val="22"/>
        </w:rPr>
      </w:pPr>
      <w:r w:rsidRPr="00305182">
        <w:rPr>
          <w:rFonts w:ascii="Arial" w:hAnsi="Arial" w:cs="Arial"/>
          <w:color w:val="000000"/>
          <w:sz w:val="22"/>
          <w:szCs w:val="22"/>
        </w:rPr>
        <w:t>and</w:t>
      </w:r>
    </w:p>
    <w:p w14:paraId="3863C06D" w14:textId="77777777" w:rsidR="00305182" w:rsidRDefault="00305182" w:rsidP="00305182">
      <w:pPr>
        <w:widowControl w:val="0"/>
        <w:autoSpaceDE w:val="0"/>
        <w:autoSpaceDN w:val="0"/>
        <w:adjustRightInd w:val="0"/>
        <w:spacing w:line="360" w:lineRule="auto"/>
        <w:jc w:val="both"/>
        <w:rPr>
          <w:rFonts w:ascii="Arial" w:hAnsi="Arial" w:cs="Arial"/>
          <w:color w:val="000000"/>
          <w:sz w:val="22"/>
          <w:szCs w:val="22"/>
        </w:rPr>
      </w:pPr>
    </w:p>
    <w:p w14:paraId="65D9DA4E" w14:textId="77777777" w:rsidR="0064045C" w:rsidRPr="00305182" w:rsidRDefault="00305182" w:rsidP="00305182">
      <w:pPr>
        <w:widowControl w:val="0"/>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w:t>
      </w:r>
      <w:r w:rsidR="0064045C" w:rsidRPr="00305182">
        <w:rPr>
          <w:rFonts w:ascii="Arial" w:hAnsi="Arial" w:cs="Arial"/>
          <w:color w:val="000000"/>
          <w:sz w:val="22"/>
          <w:szCs w:val="22"/>
        </w:rPr>
        <w:t>I find it inconceivable that the Respondent would suggest that a physical inspection of the property would not be necessary for Investec Bank</w:t>
      </w:r>
      <w:r w:rsidR="0064045C" w:rsidRPr="00305182">
        <w:rPr>
          <w:rFonts w:ascii="Arial" w:hAnsi="Arial" w:cs="Arial"/>
          <w:i/>
          <w:iCs/>
          <w:color w:val="000000"/>
          <w:sz w:val="22"/>
          <w:szCs w:val="22"/>
        </w:rPr>
        <w:t xml:space="preserve"> to grant the applicant a loan</w:t>
      </w:r>
      <w:r w:rsidR="0064045C" w:rsidRPr="00305182">
        <w:rPr>
          <w:rFonts w:ascii="Arial" w:hAnsi="Arial" w:cs="Arial"/>
          <w:color w:val="000000"/>
          <w:sz w:val="22"/>
          <w:szCs w:val="22"/>
        </w:rPr>
        <w:t xml:space="preserve"> of some R100 million and to put up a guarantee in this regard</w:t>
      </w:r>
      <w:r>
        <w:rPr>
          <w:rFonts w:ascii="Arial" w:hAnsi="Arial" w:cs="Arial"/>
          <w:color w:val="000000"/>
          <w:sz w:val="22"/>
          <w:szCs w:val="22"/>
        </w:rPr>
        <w:t xml:space="preserve">.’  </w:t>
      </w:r>
      <w:r w:rsidR="0064045C" w:rsidRPr="00305182">
        <w:rPr>
          <w:rFonts w:ascii="Arial" w:hAnsi="Arial" w:cs="Arial"/>
          <w:color w:val="000000"/>
          <w:sz w:val="22"/>
          <w:szCs w:val="22"/>
        </w:rPr>
        <w:t>(my emphasis)</w:t>
      </w:r>
    </w:p>
    <w:p w14:paraId="7198D1D4"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E21F9C8" w14:textId="04B6F932"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lastRenderedPageBreak/>
        <w:t>[35</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In this, the applicant undoubtedly is correct: no financial institution would approve credit or grant a loan for the purchase of a property in a vacuum, and without at least an inspection and/or a valuation of that property.</w:t>
      </w:r>
      <w:r w:rsidR="00F853F3">
        <w:rPr>
          <w:rFonts w:ascii="Arial" w:hAnsi="Arial" w:cs="Arial"/>
          <w:color w:val="000000"/>
        </w:rPr>
        <w:t xml:space="preserve">  </w:t>
      </w:r>
      <w:r w:rsidR="0064045C" w:rsidRPr="0064045C">
        <w:rPr>
          <w:rFonts w:ascii="Arial" w:hAnsi="Arial" w:cs="Arial"/>
          <w:color w:val="000000"/>
        </w:rPr>
        <w:t>If, according to the applicant, a satisfactory valuation</w:t>
      </w:r>
      <w:r w:rsidR="0064045C" w:rsidRPr="0064045C">
        <w:rPr>
          <w:rStyle w:val="FootnoteReference"/>
          <w:rFonts w:ascii="Arial" w:hAnsi="Arial" w:cs="Arial"/>
          <w:color w:val="000000"/>
        </w:rPr>
        <w:footnoteReference w:id="15"/>
      </w:r>
      <w:r w:rsidR="0064045C" w:rsidRPr="0064045C">
        <w:rPr>
          <w:rFonts w:ascii="Arial" w:hAnsi="Arial" w:cs="Arial"/>
          <w:color w:val="000000"/>
        </w:rPr>
        <w:t xml:space="preserve"> was included in the process of "credit approval"</w:t>
      </w:r>
      <w:r w:rsidR="0064045C" w:rsidRPr="0064045C">
        <w:rPr>
          <w:rStyle w:val="FootnoteReference"/>
          <w:rFonts w:ascii="Arial" w:hAnsi="Arial" w:cs="Arial"/>
          <w:color w:val="000000"/>
        </w:rPr>
        <w:footnoteReference w:id="16"/>
      </w:r>
      <w:r w:rsidR="0064045C" w:rsidRPr="0064045C">
        <w:rPr>
          <w:rFonts w:ascii="Arial" w:hAnsi="Arial" w:cs="Arial"/>
          <w:color w:val="000000"/>
        </w:rPr>
        <w:t xml:space="preserve">, then perforce this requirement had to be satisfied </w:t>
      </w:r>
      <w:r w:rsidR="0064045C" w:rsidRPr="0064045C">
        <w:rPr>
          <w:rFonts w:ascii="Arial" w:hAnsi="Arial" w:cs="Arial"/>
          <w:i/>
          <w:iCs/>
          <w:color w:val="000000"/>
        </w:rPr>
        <w:t xml:space="preserve">before </w:t>
      </w:r>
      <w:r w:rsidR="0064045C" w:rsidRPr="0064045C">
        <w:rPr>
          <w:rFonts w:ascii="Arial" w:hAnsi="Arial" w:cs="Arial"/>
          <w:color w:val="000000"/>
        </w:rPr>
        <w:t>credit was approved.</w:t>
      </w:r>
      <w:r w:rsidR="00F853F3">
        <w:rPr>
          <w:rFonts w:ascii="Arial" w:hAnsi="Arial" w:cs="Arial"/>
          <w:color w:val="000000"/>
        </w:rPr>
        <w:t xml:space="preserve">  </w:t>
      </w:r>
      <w:r w:rsidR="0064045C" w:rsidRPr="0064045C">
        <w:rPr>
          <w:rFonts w:ascii="Arial" w:hAnsi="Arial" w:cs="Arial"/>
          <w:color w:val="000000"/>
        </w:rPr>
        <w:t>It must then follow as a matter of logic that the conditions were attached to the approval of the loan itself</w:t>
      </w:r>
      <w:r w:rsidR="0064045C" w:rsidRPr="0064045C">
        <w:rPr>
          <w:rStyle w:val="FootnoteReference"/>
          <w:rFonts w:ascii="Arial" w:hAnsi="Arial" w:cs="Arial"/>
          <w:color w:val="000000"/>
        </w:rPr>
        <w:footnoteReference w:id="17"/>
      </w:r>
      <w:r w:rsidR="0064045C" w:rsidRPr="0064045C">
        <w:rPr>
          <w:rFonts w:ascii="Arial" w:hAnsi="Arial" w:cs="Arial"/>
          <w:color w:val="000000"/>
        </w:rPr>
        <w:t xml:space="preserve"> and that until both conditions had been satisfied, no loan would have been approved by Investec or could have been obtained by the applicant.</w:t>
      </w:r>
      <w:r w:rsidR="00F853F3">
        <w:rPr>
          <w:rFonts w:ascii="Arial" w:hAnsi="Arial" w:cs="Arial"/>
          <w:color w:val="000000"/>
        </w:rPr>
        <w:t xml:space="preserve">  </w:t>
      </w:r>
      <w:r w:rsidR="0064045C" w:rsidRPr="0064045C">
        <w:rPr>
          <w:rFonts w:ascii="Arial" w:hAnsi="Arial" w:cs="Arial"/>
          <w:color w:val="000000"/>
        </w:rPr>
        <w:t xml:space="preserve">This conclusion is also consistent with the express wording of both the agreement and the Letter of Grant, as well as with the obvious intention of the parties.  </w:t>
      </w:r>
    </w:p>
    <w:p w14:paraId="1878409B"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85330B5" w14:textId="107A48D4"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[36</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According to clause 6.1.2, it was once the condition in clause 5.1.2 had been fulfilled</w:t>
      </w:r>
      <w:r w:rsidR="0064045C" w:rsidRPr="0064045C">
        <w:rPr>
          <w:rStyle w:val="FootnoteReference"/>
          <w:rFonts w:ascii="Arial" w:hAnsi="Arial" w:cs="Arial"/>
          <w:color w:val="000000"/>
        </w:rPr>
        <w:footnoteReference w:id="18"/>
      </w:r>
      <w:r w:rsidR="0064045C" w:rsidRPr="0064045C">
        <w:rPr>
          <w:rFonts w:ascii="Arial" w:hAnsi="Arial" w:cs="Arial"/>
          <w:color w:val="000000"/>
        </w:rPr>
        <w:t xml:space="preserve"> that the guarantee in favour of the respondent was to be put up.  Thus, the only condition to the putting up of that guarantee was the </w:t>
      </w:r>
      <w:r w:rsidR="0064045C" w:rsidRPr="0064045C">
        <w:rPr>
          <w:rFonts w:ascii="Arial" w:hAnsi="Arial" w:cs="Arial"/>
          <w:i/>
          <w:iCs/>
          <w:color w:val="000000"/>
        </w:rPr>
        <w:t>obtaining</w:t>
      </w:r>
      <w:r w:rsidR="0064045C" w:rsidRPr="0064045C">
        <w:rPr>
          <w:rFonts w:ascii="Arial" w:hAnsi="Arial" w:cs="Arial"/>
          <w:color w:val="000000"/>
        </w:rPr>
        <w:t xml:space="preserve"> of the loan.  No other conditions were contemplated in the agreement.</w:t>
      </w:r>
    </w:p>
    <w:p w14:paraId="0A8064A7"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D762CAC" w14:textId="70749CA4"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[37</w:t>
      </w:r>
      <w:r w:rsidR="0064045C" w:rsidRPr="0064045C">
        <w:rPr>
          <w:rFonts w:ascii="Arial" w:hAnsi="Arial" w:cs="Arial"/>
          <w:color w:val="000000"/>
        </w:rPr>
        <w:t>]</w:t>
      </w:r>
      <w:r w:rsidR="00305182">
        <w:rPr>
          <w:rFonts w:ascii="Arial" w:hAnsi="Arial" w:cs="Arial"/>
          <w:color w:val="000000"/>
        </w:rPr>
        <w:tab/>
      </w:r>
      <w:r w:rsidR="0064045C" w:rsidRPr="0064045C">
        <w:rPr>
          <w:rFonts w:ascii="Arial" w:hAnsi="Arial" w:cs="Arial"/>
          <w:color w:val="000000"/>
        </w:rPr>
        <w:t>It is undisputed that neither the valuation of the property nor the review of the proposed lease occurred prior to 16 April 2020.</w:t>
      </w:r>
      <w:r w:rsidR="00F853F3">
        <w:rPr>
          <w:rFonts w:ascii="Arial" w:hAnsi="Arial" w:cs="Arial"/>
          <w:color w:val="000000"/>
        </w:rPr>
        <w:t xml:space="preserve">  </w:t>
      </w:r>
      <w:r w:rsidR="0064045C" w:rsidRPr="0064045C">
        <w:rPr>
          <w:rFonts w:ascii="Arial" w:hAnsi="Arial" w:cs="Arial"/>
          <w:color w:val="000000"/>
        </w:rPr>
        <w:t>Therefore, I conclude that the applicant did not secure or get the loan or receive “credit approval” by 16 April 2020</w:t>
      </w:r>
      <w:r w:rsidR="00913FE9">
        <w:rPr>
          <w:rFonts w:ascii="Arial" w:hAnsi="Arial" w:cs="Arial"/>
          <w:color w:val="000000"/>
        </w:rPr>
        <w:t>.</w:t>
      </w:r>
      <w:r w:rsidR="0064045C" w:rsidRPr="0064045C">
        <w:rPr>
          <w:rStyle w:val="FootnoteReference"/>
          <w:rFonts w:ascii="Arial" w:hAnsi="Arial" w:cs="Arial"/>
          <w:color w:val="000000"/>
        </w:rPr>
        <w:footnoteReference w:id="19"/>
      </w:r>
      <w:r w:rsidR="00F853F3">
        <w:rPr>
          <w:rFonts w:ascii="Arial" w:hAnsi="Arial" w:cs="Arial"/>
          <w:color w:val="000000"/>
        </w:rPr>
        <w:t xml:space="preserve">  </w:t>
      </w:r>
      <w:r w:rsidR="0064045C" w:rsidRPr="0064045C">
        <w:rPr>
          <w:rFonts w:ascii="Arial" w:hAnsi="Arial" w:cs="Arial"/>
          <w:color w:val="000000"/>
        </w:rPr>
        <w:t>At best, the applicant was granted a loan “in principle” – which did not fulfil the condition</w:t>
      </w:r>
      <w:r w:rsidR="00913FE9">
        <w:rPr>
          <w:rFonts w:ascii="Arial" w:hAnsi="Arial" w:cs="Arial"/>
          <w:color w:val="000000"/>
        </w:rPr>
        <w:t>.</w:t>
      </w:r>
      <w:r w:rsidR="0064045C" w:rsidRPr="0064045C">
        <w:rPr>
          <w:rStyle w:val="FootnoteReference"/>
          <w:rFonts w:ascii="Arial" w:hAnsi="Arial" w:cs="Arial"/>
          <w:color w:val="000000"/>
        </w:rPr>
        <w:footnoteReference w:id="20"/>
      </w:r>
      <w:r w:rsidR="00F853F3">
        <w:rPr>
          <w:rFonts w:ascii="Arial" w:hAnsi="Arial" w:cs="Arial"/>
          <w:color w:val="000000"/>
        </w:rPr>
        <w:t xml:space="preserve">  </w:t>
      </w:r>
      <w:r w:rsidR="0064045C" w:rsidRPr="0064045C">
        <w:rPr>
          <w:rFonts w:ascii="Arial" w:hAnsi="Arial" w:cs="Arial"/>
          <w:color w:val="000000"/>
        </w:rPr>
        <w:t>In the circumstances, the applicant did not timeously fulfil the condition precedent in the agreement and the agreement lapsed on 16 April 2020.</w:t>
      </w:r>
      <w:r w:rsidR="00F853F3">
        <w:rPr>
          <w:rFonts w:ascii="Arial" w:hAnsi="Arial" w:cs="Arial"/>
          <w:color w:val="000000"/>
        </w:rPr>
        <w:t xml:space="preserve">  </w:t>
      </w:r>
      <w:r w:rsidR="0064045C" w:rsidRPr="0064045C">
        <w:rPr>
          <w:rFonts w:ascii="Arial" w:hAnsi="Arial" w:cs="Arial"/>
          <w:color w:val="000000"/>
        </w:rPr>
        <w:t>If I am wrong, and if the applicant did secure the loan unconditionally, then it was obliged to ensure that a guarantee was put up within fifteen days of 15 April 2020.</w:t>
      </w:r>
    </w:p>
    <w:p w14:paraId="199C9CB4"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8345B91" w14:textId="0789F40C"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[38</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Whilst the "hard lockdown" confined citizens to their homes, there was </w:t>
      </w:r>
      <w:r w:rsidR="0064045C" w:rsidRPr="0064045C">
        <w:rPr>
          <w:rFonts w:ascii="Arial" w:hAnsi="Arial" w:cs="Arial"/>
          <w:color w:val="000000"/>
        </w:rPr>
        <w:lastRenderedPageBreak/>
        <w:t>no prohibition on business activities being undertaken from those homes. I believe that I can take judicial notice of the fact that masses of employees continued to discharge their duties during the lockdown, albeit virtually.</w:t>
      </w:r>
    </w:p>
    <w:p w14:paraId="7BA989A9"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E968BAB" w14:textId="1A543A27"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[39</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Neither the applicant nor Investec Bank have alleged that the issuing of guarantees was prohibited or interrupted by the hard lockdown</w:t>
      </w:r>
      <w:r w:rsidR="00BA626C">
        <w:rPr>
          <w:rFonts w:ascii="Arial" w:hAnsi="Arial" w:cs="Arial"/>
          <w:color w:val="000000"/>
        </w:rPr>
        <w:t>.</w:t>
      </w:r>
      <w:r w:rsidR="0064045C" w:rsidRPr="0064045C">
        <w:rPr>
          <w:rStyle w:val="FootnoteReference"/>
          <w:rFonts w:ascii="Arial" w:hAnsi="Arial" w:cs="Arial"/>
          <w:color w:val="000000"/>
        </w:rPr>
        <w:footnoteReference w:id="21"/>
      </w:r>
      <w:r w:rsidR="00F853F3">
        <w:rPr>
          <w:rFonts w:ascii="Arial" w:hAnsi="Arial" w:cs="Arial"/>
          <w:color w:val="000000"/>
        </w:rPr>
        <w:t xml:space="preserve">  </w:t>
      </w:r>
      <w:r w:rsidR="0064045C" w:rsidRPr="0064045C">
        <w:rPr>
          <w:rFonts w:ascii="Arial" w:hAnsi="Arial" w:cs="Arial"/>
          <w:color w:val="000000"/>
        </w:rPr>
        <w:t>Therefore, the guarantee was due by the first week of May 2020.</w:t>
      </w:r>
      <w:r w:rsidR="00F853F3">
        <w:rPr>
          <w:rFonts w:ascii="Arial" w:hAnsi="Arial" w:cs="Arial"/>
          <w:color w:val="000000"/>
        </w:rPr>
        <w:t xml:space="preserve">  </w:t>
      </w:r>
      <w:r w:rsidR="0064045C" w:rsidRPr="0064045C">
        <w:rPr>
          <w:rFonts w:ascii="Arial" w:hAnsi="Arial" w:cs="Arial"/>
          <w:color w:val="000000"/>
        </w:rPr>
        <w:t>The respondent acted in terms of clause 22 of the agreement in placing the applicant in breach when the guarantee was not provided timeously, and the applicant was given a further five days to deliver the guarantee. It did not do so.</w:t>
      </w:r>
      <w:r w:rsidR="00F853F3">
        <w:rPr>
          <w:rFonts w:ascii="Arial" w:hAnsi="Arial" w:cs="Arial"/>
          <w:color w:val="000000"/>
        </w:rPr>
        <w:t xml:space="preserve">  </w:t>
      </w:r>
      <w:r w:rsidR="0064045C" w:rsidRPr="0064045C">
        <w:rPr>
          <w:rFonts w:ascii="Arial" w:hAnsi="Arial" w:cs="Arial"/>
          <w:color w:val="000000"/>
        </w:rPr>
        <w:t>In the circumstances, and if the agreement had not lapsed, the respondent would have been entitled to cancel it.</w:t>
      </w:r>
    </w:p>
    <w:p w14:paraId="50790A58"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7E0FBB0A" w14:textId="48C30001"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[40</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 xml:space="preserve">Finally, the </w:t>
      </w:r>
      <w:r w:rsidR="00951E75">
        <w:rPr>
          <w:rFonts w:ascii="Arial" w:hAnsi="Arial" w:cs="Arial"/>
          <w:color w:val="000000"/>
        </w:rPr>
        <w:t>applicant</w:t>
      </w:r>
      <w:r w:rsidR="0064045C" w:rsidRPr="0064045C">
        <w:rPr>
          <w:rFonts w:ascii="Arial" w:hAnsi="Arial" w:cs="Arial"/>
          <w:color w:val="000000"/>
        </w:rPr>
        <w:t xml:space="preserve"> argued that the </w:t>
      </w:r>
      <w:r w:rsidR="00951E75">
        <w:rPr>
          <w:rFonts w:ascii="Arial" w:hAnsi="Arial" w:cs="Arial"/>
          <w:color w:val="000000"/>
        </w:rPr>
        <w:t>respondent</w:t>
      </w:r>
      <w:r w:rsidR="0064045C" w:rsidRPr="0064045C">
        <w:rPr>
          <w:rFonts w:ascii="Arial" w:hAnsi="Arial" w:cs="Arial"/>
          <w:color w:val="000000"/>
        </w:rPr>
        <w:t xml:space="preserve"> waived its right to rely on the lapsing of the agreement when it sought to enforce compliance with the agreement by delivering its breach notice on </w:t>
      </w:r>
      <w:r w:rsidR="00F1132A">
        <w:rPr>
          <w:rFonts w:ascii="Arial" w:hAnsi="Arial" w:cs="Arial"/>
          <w:color w:val="000000"/>
        </w:rPr>
        <w:t>12</w:t>
      </w:r>
      <w:r w:rsidR="0064045C" w:rsidRPr="0064045C">
        <w:rPr>
          <w:rFonts w:ascii="Arial" w:hAnsi="Arial" w:cs="Arial"/>
          <w:color w:val="000000"/>
        </w:rPr>
        <w:t xml:space="preserve"> May 2020.</w:t>
      </w:r>
      <w:r w:rsidR="00F853F3">
        <w:rPr>
          <w:rFonts w:ascii="Arial" w:hAnsi="Arial" w:cs="Arial"/>
          <w:color w:val="000000"/>
        </w:rPr>
        <w:t xml:space="preserve">  I do not agree.  </w:t>
      </w:r>
      <w:r w:rsidR="0064045C" w:rsidRPr="0064045C">
        <w:rPr>
          <w:rFonts w:ascii="Arial" w:hAnsi="Arial" w:cs="Arial"/>
          <w:color w:val="000000"/>
        </w:rPr>
        <w:t>Factually, the agreement had lapsed on 16 April 2020, and the conduct of the respondent's attorneys in sending a breach notice did not serve to revive the agreement. Had the agreement revived, it would immediately have self-destructed as the loan still would have had to be obtained by 16 April 2020, which did not occur</w:t>
      </w:r>
      <w:r w:rsidR="00BA626C">
        <w:rPr>
          <w:rFonts w:ascii="Arial" w:hAnsi="Arial" w:cs="Arial"/>
          <w:color w:val="000000"/>
        </w:rPr>
        <w:t>.</w:t>
      </w:r>
      <w:r w:rsidR="0064045C" w:rsidRPr="0064045C">
        <w:rPr>
          <w:rStyle w:val="FootnoteReference"/>
          <w:rFonts w:ascii="Arial" w:hAnsi="Arial" w:cs="Arial"/>
          <w:color w:val="000000"/>
        </w:rPr>
        <w:footnoteReference w:id="22"/>
      </w:r>
    </w:p>
    <w:p w14:paraId="3C875C1B"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2FE539D2" w14:textId="41367637"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[41</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However, and to the extent that the agreement did not lapse, it was legitimately cancelled, and I would have granted a declaratory order in this vein had I reached a different conclusion in respect of the condition precedent in clause 5.1.2.</w:t>
      </w:r>
    </w:p>
    <w:p w14:paraId="07E8081B"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6B8BACFA" w14:textId="55C2061E"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[42</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In the result, the main application fails as I cannot compel the respondent to perform in terms of an agreement that has lapsed. Similarly, the respondent is entitled to the declaratory relief that it sought in its counter-application.</w:t>
      </w:r>
    </w:p>
    <w:p w14:paraId="6877E35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A5A3A07" w14:textId="4AF81AC7" w:rsidR="0064045C" w:rsidRPr="0064045C" w:rsidRDefault="0026595C"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[43</w:t>
      </w:r>
      <w:r w:rsidR="0064045C" w:rsidRPr="0064045C">
        <w:rPr>
          <w:rFonts w:ascii="Arial" w:hAnsi="Arial" w:cs="Arial"/>
          <w:color w:val="000000"/>
        </w:rPr>
        <w:t xml:space="preserve">] </w:t>
      </w:r>
      <w:r w:rsidR="00305182">
        <w:rPr>
          <w:rFonts w:ascii="Arial" w:hAnsi="Arial" w:cs="Arial"/>
          <w:color w:val="000000"/>
        </w:rPr>
        <w:tab/>
      </w:r>
      <w:r w:rsidR="0064045C" w:rsidRPr="0064045C">
        <w:rPr>
          <w:rFonts w:ascii="Arial" w:hAnsi="Arial" w:cs="Arial"/>
          <w:color w:val="000000"/>
        </w:rPr>
        <w:t>I make the following order:</w:t>
      </w:r>
    </w:p>
    <w:p w14:paraId="5271172D"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793041F" w14:textId="7B78F507" w:rsidR="0064045C" w:rsidRPr="0064045C" w:rsidRDefault="00305182" w:rsidP="0064045C">
      <w:pPr>
        <w:widowControl w:val="0"/>
        <w:autoSpaceDE w:val="0"/>
        <w:autoSpaceDN w:val="0"/>
        <w:adjustRightInd w:val="0"/>
        <w:spacing w:line="360" w:lineRule="auto"/>
        <w:jc w:val="both"/>
        <w:rPr>
          <w:rFonts w:ascii="Arial" w:hAnsi="Arial" w:cs="Arial"/>
          <w:color w:val="000000"/>
        </w:rPr>
      </w:pPr>
      <w:r>
        <w:rPr>
          <w:rFonts w:ascii="Arial" w:hAnsi="Arial" w:cs="Arial"/>
          <w:color w:val="000000"/>
        </w:rPr>
        <w:tab/>
        <w:t>1</w:t>
      </w:r>
      <w:r w:rsidR="000743B2">
        <w:rPr>
          <w:rFonts w:ascii="Arial" w:hAnsi="Arial" w:cs="Arial"/>
          <w:color w:val="000000"/>
        </w:rPr>
        <w:t>.</w:t>
      </w:r>
      <w:r w:rsidR="0064045C" w:rsidRPr="0064045C">
        <w:rPr>
          <w:rFonts w:ascii="Arial" w:hAnsi="Arial" w:cs="Arial"/>
          <w:color w:val="000000"/>
        </w:rPr>
        <w:tab/>
      </w:r>
      <w:r>
        <w:rPr>
          <w:rFonts w:ascii="Arial" w:hAnsi="Arial" w:cs="Arial"/>
          <w:color w:val="000000"/>
        </w:rPr>
        <w:t>T</w:t>
      </w:r>
      <w:r w:rsidR="0064045C" w:rsidRPr="0064045C">
        <w:rPr>
          <w:rFonts w:ascii="Arial" w:hAnsi="Arial" w:cs="Arial"/>
          <w:color w:val="000000"/>
        </w:rPr>
        <w:t>he main application is dismissed;</w:t>
      </w:r>
    </w:p>
    <w:p w14:paraId="3E11ECE2"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50B968DA" w14:textId="2BBF9B43" w:rsidR="0064045C" w:rsidRPr="0064045C" w:rsidRDefault="00305182" w:rsidP="00305182">
      <w:pPr>
        <w:widowControl w:val="0"/>
        <w:autoSpaceDE w:val="0"/>
        <w:autoSpaceDN w:val="0"/>
        <w:adjustRightInd w:val="0"/>
        <w:spacing w:line="360" w:lineRule="auto"/>
        <w:ind w:left="1440" w:hanging="720"/>
        <w:jc w:val="both"/>
        <w:rPr>
          <w:rFonts w:ascii="Arial" w:hAnsi="Arial" w:cs="Arial"/>
          <w:color w:val="000000"/>
        </w:rPr>
      </w:pPr>
      <w:r>
        <w:rPr>
          <w:rFonts w:ascii="Arial" w:hAnsi="Arial" w:cs="Arial"/>
          <w:color w:val="000000"/>
        </w:rPr>
        <w:t>2</w:t>
      </w:r>
      <w:r w:rsidR="000743B2">
        <w:rPr>
          <w:rFonts w:ascii="Arial" w:hAnsi="Arial" w:cs="Arial"/>
          <w:color w:val="000000"/>
        </w:rPr>
        <w:t>.</w:t>
      </w:r>
      <w:r>
        <w:rPr>
          <w:rFonts w:ascii="Arial" w:hAnsi="Arial" w:cs="Arial"/>
          <w:color w:val="000000"/>
        </w:rPr>
        <w:tab/>
        <w:t>I</w:t>
      </w:r>
      <w:r w:rsidR="0064045C" w:rsidRPr="0064045C">
        <w:rPr>
          <w:rFonts w:ascii="Arial" w:hAnsi="Arial" w:cs="Arial"/>
          <w:color w:val="000000"/>
        </w:rPr>
        <w:t>t is declared that the agreement concluded between the parties on 27 March 2020 for the purchase of sections 2 and 3, together with exclusive use areas, in the sectional scheme to be known as Park Square lapsed through non-fulfilment of the suspensive condition contained in clause 5.1.2 of that agreement;</w:t>
      </w:r>
    </w:p>
    <w:p w14:paraId="73F8495C" w14:textId="77777777" w:rsidR="0064045C" w:rsidRPr="0064045C" w:rsidRDefault="0064045C" w:rsidP="0064045C">
      <w:pPr>
        <w:widowControl w:val="0"/>
        <w:autoSpaceDE w:val="0"/>
        <w:autoSpaceDN w:val="0"/>
        <w:adjustRightInd w:val="0"/>
        <w:spacing w:line="360" w:lineRule="auto"/>
        <w:jc w:val="both"/>
        <w:rPr>
          <w:rFonts w:ascii="Arial" w:hAnsi="Arial" w:cs="Arial"/>
          <w:color w:val="000000"/>
        </w:rPr>
      </w:pPr>
    </w:p>
    <w:p w14:paraId="17234A48" w14:textId="1D400C16" w:rsidR="0064045C" w:rsidRPr="0064045C" w:rsidRDefault="00305182" w:rsidP="00305182">
      <w:pPr>
        <w:widowControl w:val="0"/>
        <w:autoSpaceDE w:val="0"/>
        <w:autoSpaceDN w:val="0"/>
        <w:adjustRightInd w:val="0"/>
        <w:spacing w:line="360" w:lineRule="auto"/>
        <w:ind w:left="1440" w:hanging="720"/>
        <w:jc w:val="both"/>
        <w:rPr>
          <w:rFonts w:ascii="Arial" w:hAnsi="Arial" w:cs="Arial"/>
          <w:color w:val="000000"/>
        </w:rPr>
      </w:pPr>
      <w:r>
        <w:rPr>
          <w:rFonts w:ascii="Arial" w:hAnsi="Arial" w:cs="Arial"/>
          <w:color w:val="000000"/>
        </w:rPr>
        <w:t>3</w:t>
      </w:r>
      <w:r w:rsidR="000743B2">
        <w:rPr>
          <w:rFonts w:ascii="Arial" w:hAnsi="Arial" w:cs="Arial"/>
          <w:color w:val="000000"/>
        </w:rPr>
        <w:t>.</w:t>
      </w:r>
      <w:r w:rsidR="0064045C" w:rsidRPr="0064045C">
        <w:rPr>
          <w:rFonts w:ascii="Arial" w:hAnsi="Arial" w:cs="Arial"/>
          <w:color w:val="000000"/>
        </w:rPr>
        <w:tab/>
      </w:r>
      <w:r>
        <w:rPr>
          <w:rFonts w:ascii="Arial" w:hAnsi="Arial" w:cs="Arial"/>
          <w:color w:val="000000"/>
        </w:rPr>
        <w:t>T</w:t>
      </w:r>
      <w:r w:rsidR="0064045C" w:rsidRPr="0064045C">
        <w:rPr>
          <w:rFonts w:ascii="Arial" w:hAnsi="Arial" w:cs="Arial"/>
          <w:color w:val="000000"/>
        </w:rPr>
        <w:t>he applicant is directed to pay the costs of the application and the counter application, including the costs of senior counsel where employed.</w:t>
      </w:r>
    </w:p>
    <w:p w14:paraId="3FE5695F" w14:textId="77777777" w:rsidR="004E7F14" w:rsidRPr="0064045C" w:rsidRDefault="004E7F14" w:rsidP="00E71DA6">
      <w:pPr>
        <w:spacing w:line="360" w:lineRule="auto"/>
        <w:jc w:val="both"/>
        <w:outlineLvl w:val="0"/>
        <w:rPr>
          <w:rFonts w:ascii="Arial" w:hAnsi="Arial" w:cs="Arial"/>
          <w:lang w:val="en-ZA"/>
        </w:rPr>
      </w:pPr>
    </w:p>
    <w:p w14:paraId="5F084AB6" w14:textId="77777777" w:rsidR="00D2447D" w:rsidRPr="0064045C" w:rsidRDefault="00D2447D" w:rsidP="0064045C">
      <w:pPr>
        <w:spacing w:line="360" w:lineRule="auto"/>
        <w:jc w:val="both"/>
        <w:outlineLvl w:val="0"/>
        <w:rPr>
          <w:rFonts w:ascii="Arial" w:hAnsi="Arial" w:cs="Arial"/>
          <w:lang w:val="en-ZA"/>
        </w:rPr>
      </w:pPr>
    </w:p>
    <w:p w14:paraId="5C2702DB" w14:textId="77777777" w:rsidR="00D2447D" w:rsidRPr="0064045C" w:rsidRDefault="00D2447D" w:rsidP="0064045C">
      <w:pPr>
        <w:spacing w:line="360" w:lineRule="auto"/>
        <w:ind w:left="1418" w:hanging="567"/>
        <w:jc w:val="both"/>
        <w:outlineLvl w:val="0"/>
        <w:rPr>
          <w:rFonts w:ascii="Arial" w:hAnsi="Arial" w:cs="Arial"/>
          <w:lang w:val="en-ZA"/>
        </w:rPr>
      </w:pPr>
    </w:p>
    <w:p w14:paraId="5FA5641F" w14:textId="77777777" w:rsidR="00C26C74" w:rsidRPr="0064045C" w:rsidRDefault="00C26C74" w:rsidP="0064045C">
      <w:pPr>
        <w:spacing w:line="360" w:lineRule="auto"/>
        <w:ind w:left="851"/>
        <w:jc w:val="both"/>
        <w:outlineLvl w:val="0"/>
        <w:rPr>
          <w:rFonts w:ascii="Arial" w:hAnsi="Arial" w:cs="Arial"/>
          <w:lang w:val="en-ZA"/>
        </w:rPr>
      </w:pPr>
    </w:p>
    <w:p w14:paraId="66FEEDEC" w14:textId="77777777" w:rsidR="00016C03" w:rsidRPr="0064045C" w:rsidRDefault="00016C03" w:rsidP="0064045C">
      <w:pPr>
        <w:spacing w:line="360" w:lineRule="auto"/>
        <w:jc w:val="both"/>
        <w:outlineLvl w:val="0"/>
        <w:rPr>
          <w:rFonts w:ascii="Arial" w:hAnsi="Arial" w:cs="Arial"/>
          <w:lang w:val="en-ZA"/>
        </w:rPr>
      </w:pPr>
    </w:p>
    <w:p w14:paraId="5CFA6FD1" w14:textId="77777777" w:rsidR="00A73593" w:rsidRDefault="00F843BE" w:rsidP="009F3853">
      <w:pPr>
        <w:spacing w:line="360" w:lineRule="auto"/>
        <w:ind w:left="4320" w:firstLine="720"/>
        <w:jc w:val="both"/>
        <w:outlineLvl w:val="0"/>
        <w:rPr>
          <w:rFonts w:ascii="Arial" w:hAnsi="Arial" w:cs="Arial"/>
          <w:b/>
        </w:rPr>
      </w:pPr>
      <w:r w:rsidRPr="0064045C">
        <w:rPr>
          <w:rFonts w:ascii="Arial" w:hAnsi="Arial" w:cs="Arial"/>
          <w:b/>
        </w:rPr>
        <w:t>________________________</w:t>
      </w:r>
    </w:p>
    <w:p w14:paraId="0EA09326" w14:textId="77777777" w:rsidR="009F3853" w:rsidRPr="0064045C" w:rsidRDefault="009F3853" w:rsidP="009F3853">
      <w:pPr>
        <w:spacing w:line="360" w:lineRule="auto"/>
        <w:ind w:left="4320" w:firstLine="720"/>
        <w:jc w:val="both"/>
        <w:outlineLvl w:val="0"/>
        <w:rPr>
          <w:rFonts w:ascii="Arial" w:hAnsi="Arial" w:cs="Arial"/>
          <w:b/>
        </w:rPr>
      </w:pPr>
      <w:r>
        <w:rPr>
          <w:rFonts w:ascii="Arial" w:hAnsi="Arial" w:cs="Arial"/>
          <w:b/>
        </w:rPr>
        <w:t>SHAPIRO AJ</w:t>
      </w:r>
    </w:p>
    <w:p w14:paraId="4139D3B3" w14:textId="77777777" w:rsidR="00A73593" w:rsidRPr="0064045C" w:rsidRDefault="00A73593" w:rsidP="0064045C">
      <w:pPr>
        <w:spacing w:line="360" w:lineRule="auto"/>
        <w:jc w:val="both"/>
        <w:outlineLvl w:val="0"/>
        <w:rPr>
          <w:rFonts w:ascii="Arial" w:hAnsi="Arial" w:cs="Arial"/>
        </w:rPr>
      </w:pPr>
    </w:p>
    <w:p w14:paraId="627B4B06" w14:textId="77777777" w:rsidR="00F33D54" w:rsidRPr="0064045C" w:rsidRDefault="00F33D54" w:rsidP="0064045C">
      <w:pPr>
        <w:spacing w:line="360" w:lineRule="auto"/>
        <w:jc w:val="both"/>
        <w:outlineLvl w:val="0"/>
        <w:rPr>
          <w:rFonts w:ascii="Arial" w:hAnsi="Arial" w:cs="Arial"/>
        </w:rPr>
      </w:pPr>
    </w:p>
    <w:p w14:paraId="2EFA0C95" w14:textId="77777777" w:rsidR="00F33D54" w:rsidRDefault="00F33D54" w:rsidP="0064045C">
      <w:pPr>
        <w:spacing w:line="360" w:lineRule="auto"/>
        <w:jc w:val="both"/>
        <w:outlineLvl w:val="0"/>
        <w:rPr>
          <w:rFonts w:ascii="Arial" w:hAnsi="Arial" w:cs="Arial"/>
        </w:rPr>
      </w:pPr>
    </w:p>
    <w:p w14:paraId="49C17D14" w14:textId="77777777" w:rsidR="00E71DA6" w:rsidRDefault="00E71DA6" w:rsidP="0064045C">
      <w:pPr>
        <w:spacing w:line="360" w:lineRule="auto"/>
        <w:jc w:val="both"/>
        <w:outlineLvl w:val="0"/>
        <w:rPr>
          <w:rFonts w:ascii="Arial" w:hAnsi="Arial" w:cs="Arial"/>
        </w:rPr>
      </w:pPr>
    </w:p>
    <w:p w14:paraId="1EE85703" w14:textId="77777777" w:rsidR="00E71DA6" w:rsidRDefault="00E71DA6" w:rsidP="0064045C">
      <w:pPr>
        <w:spacing w:line="360" w:lineRule="auto"/>
        <w:jc w:val="both"/>
        <w:outlineLvl w:val="0"/>
        <w:rPr>
          <w:rFonts w:ascii="Arial" w:hAnsi="Arial" w:cs="Arial"/>
        </w:rPr>
      </w:pPr>
    </w:p>
    <w:p w14:paraId="525ED366" w14:textId="77777777" w:rsidR="00E71DA6" w:rsidRDefault="00E71DA6" w:rsidP="0064045C">
      <w:pPr>
        <w:spacing w:line="360" w:lineRule="auto"/>
        <w:jc w:val="both"/>
        <w:outlineLvl w:val="0"/>
        <w:rPr>
          <w:rFonts w:ascii="Arial" w:hAnsi="Arial" w:cs="Arial"/>
        </w:rPr>
      </w:pPr>
    </w:p>
    <w:p w14:paraId="1AE0CA92" w14:textId="3F28E912" w:rsidR="00E71DA6" w:rsidRDefault="00E71DA6" w:rsidP="0064045C">
      <w:pPr>
        <w:spacing w:line="360" w:lineRule="auto"/>
        <w:jc w:val="both"/>
        <w:outlineLvl w:val="0"/>
        <w:rPr>
          <w:rFonts w:ascii="Arial" w:hAnsi="Arial" w:cs="Arial"/>
        </w:rPr>
      </w:pPr>
    </w:p>
    <w:p w14:paraId="1F821DC0" w14:textId="1212790D" w:rsidR="00BA2E57" w:rsidRDefault="00BA2E57" w:rsidP="0064045C">
      <w:pPr>
        <w:spacing w:line="360" w:lineRule="auto"/>
        <w:jc w:val="both"/>
        <w:outlineLvl w:val="0"/>
        <w:rPr>
          <w:rFonts w:ascii="Arial" w:hAnsi="Arial" w:cs="Arial"/>
        </w:rPr>
      </w:pPr>
    </w:p>
    <w:p w14:paraId="69BAA696" w14:textId="0EDB9685" w:rsidR="00BA2E57" w:rsidRDefault="00BA2E57" w:rsidP="0064045C">
      <w:pPr>
        <w:spacing w:line="360" w:lineRule="auto"/>
        <w:jc w:val="both"/>
        <w:outlineLvl w:val="0"/>
        <w:rPr>
          <w:rFonts w:ascii="Arial" w:hAnsi="Arial" w:cs="Arial"/>
        </w:rPr>
      </w:pPr>
    </w:p>
    <w:p w14:paraId="192A33BA" w14:textId="4FC94F62" w:rsidR="00BA2E57" w:rsidRDefault="00BA2E57" w:rsidP="0064045C">
      <w:pPr>
        <w:spacing w:line="360" w:lineRule="auto"/>
        <w:jc w:val="both"/>
        <w:outlineLvl w:val="0"/>
        <w:rPr>
          <w:rFonts w:ascii="Arial" w:hAnsi="Arial" w:cs="Arial"/>
        </w:rPr>
      </w:pPr>
    </w:p>
    <w:p w14:paraId="78F75251" w14:textId="4071C920" w:rsidR="00BA2E57" w:rsidRDefault="00BA2E57" w:rsidP="0064045C">
      <w:pPr>
        <w:spacing w:line="360" w:lineRule="auto"/>
        <w:jc w:val="both"/>
        <w:outlineLvl w:val="0"/>
        <w:rPr>
          <w:rFonts w:ascii="Arial" w:hAnsi="Arial" w:cs="Arial"/>
        </w:rPr>
      </w:pPr>
    </w:p>
    <w:p w14:paraId="683DAD4F" w14:textId="04E168D2" w:rsidR="00BA2E57" w:rsidRDefault="00BA2E57" w:rsidP="0064045C">
      <w:pPr>
        <w:spacing w:line="360" w:lineRule="auto"/>
        <w:jc w:val="both"/>
        <w:outlineLvl w:val="0"/>
        <w:rPr>
          <w:rFonts w:ascii="Arial" w:hAnsi="Arial" w:cs="Arial"/>
        </w:rPr>
      </w:pPr>
    </w:p>
    <w:p w14:paraId="567EEB5F" w14:textId="7F41314B" w:rsidR="00BA2E57" w:rsidRDefault="00BA2E57" w:rsidP="0064045C">
      <w:pPr>
        <w:spacing w:line="360" w:lineRule="auto"/>
        <w:jc w:val="both"/>
        <w:outlineLvl w:val="0"/>
        <w:rPr>
          <w:rFonts w:ascii="Arial" w:hAnsi="Arial" w:cs="Arial"/>
        </w:rPr>
      </w:pPr>
    </w:p>
    <w:p w14:paraId="3CC806B3" w14:textId="4A9C4243" w:rsidR="00E71DA6" w:rsidRPr="0064045C" w:rsidRDefault="00E71DA6" w:rsidP="0064045C">
      <w:pPr>
        <w:spacing w:line="360" w:lineRule="auto"/>
        <w:jc w:val="both"/>
        <w:outlineLvl w:val="0"/>
        <w:rPr>
          <w:rFonts w:ascii="Arial" w:hAnsi="Arial" w:cs="Arial"/>
        </w:rPr>
      </w:pPr>
    </w:p>
    <w:p w14:paraId="60B5DBB0" w14:textId="77777777" w:rsidR="00A73593" w:rsidRPr="0064045C" w:rsidRDefault="00A73593" w:rsidP="0064045C">
      <w:pPr>
        <w:spacing w:line="360" w:lineRule="auto"/>
        <w:jc w:val="both"/>
        <w:outlineLvl w:val="0"/>
        <w:rPr>
          <w:rFonts w:ascii="Arial" w:hAnsi="Arial" w:cs="Arial"/>
          <w:b/>
          <w:u w:val="single"/>
        </w:rPr>
      </w:pPr>
      <w:r w:rsidRPr="0064045C">
        <w:rPr>
          <w:rFonts w:ascii="Arial" w:hAnsi="Arial" w:cs="Arial"/>
          <w:b/>
          <w:u w:val="single"/>
        </w:rPr>
        <w:t>Appearances</w:t>
      </w:r>
    </w:p>
    <w:p w14:paraId="3BB9E6E6" w14:textId="77777777" w:rsidR="00B47E5D" w:rsidRPr="0064045C" w:rsidRDefault="00B47E5D" w:rsidP="0064045C">
      <w:pPr>
        <w:spacing w:line="360" w:lineRule="auto"/>
        <w:jc w:val="both"/>
        <w:outlineLvl w:val="0"/>
        <w:rPr>
          <w:rFonts w:ascii="Arial" w:hAnsi="Arial" w:cs="Arial"/>
        </w:rPr>
      </w:pPr>
    </w:p>
    <w:p w14:paraId="65DBD7F9" w14:textId="77777777" w:rsidR="00E71DA6" w:rsidRPr="0064045C" w:rsidRDefault="00F843BE" w:rsidP="00E71DA6">
      <w:pPr>
        <w:widowControl w:val="0"/>
        <w:autoSpaceDE w:val="0"/>
        <w:autoSpaceDN w:val="0"/>
        <w:adjustRightInd w:val="0"/>
        <w:spacing w:line="360" w:lineRule="auto"/>
        <w:jc w:val="both"/>
        <w:rPr>
          <w:rFonts w:ascii="Arial" w:hAnsi="Arial" w:cs="Arial"/>
          <w:color w:val="000000"/>
        </w:rPr>
      </w:pPr>
      <w:r w:rsidRPr="0064045C">
        <w:rPr>
          <w:rFonts w:ascii="Arial" w:hAnsi="Arial" w:cs="Arial"/>
        </w:rPr>
        <w:t>Counsel for Applicant</w:t>
      </w:r>
      <w:r w:rsidRPr="0064045C">
        <w:rPr>
          <w:rFonts w:ascii="Arial" w:hAnsi="Arial" w:cs="Arial"/>
        </w:rPr>
        <w:tab/>
      </w:r>
      <w:r w:rsidR="006764F1" w:rsidRPr="0064045C">
        <w:rPr>
          <w:rFonts w:ascii="Arial" w:hAnsi="Arial" w:cs="Arial"/>
        </w:rPr>
        <w:tab/>
      </w:r>
      <w:r w:rsidRPr="0064045C">
        <w:rPr>
          <w:rFonts w:ascii="Arial" w:hAnsi="Arial" w:cs="Arial"/>
        </w:rPr>
        <w:t>:</w:t>
      </w:r>
      <w:r w:rsidR="00B32BFA" w:rsidRPr="0064045C">
        <w:rPr>
          <w:rFonts w:ascii="Arial" w:hAnsi="Arial" w:cs="Arial"/>
        </w:rPr>
        <w:t xml:space="preserve"> </w:t>
      </w:r>
      <w:r w:rsidR="00E71DA6" w:rsidRPr="0064045C">
        <w:rPr>
          <w:rFonts w:ascii="Arial" w:hAnsi="Arial" w:cs="Arial"/>
          <w:color w:val="000000"/>
        </w:rPr>
        <w:t>R B G Choudree SC</w:t>
      </w:r>
    </w:p>
    <w:p w14:paraId="3DF9642B" w14:textId="77777777" w:rsidR="00E71DA6" w:rsidRPr="0064045C" w:rsidRDefault="00E71DA6" w:rsidP="00E71DA6">
      <w:pPr>
        <w:widowControl w:val="0"/>
        <w:autoSpaceDE w:val="0"/>
        <w:autoSpaceDN w:val="0"/>
        <w:adjustRightInd w:val="0"/>
        <w:spacing w:line="360" w:lineRule="auto"/>
        <w:jc w:val="both"/>
        <w:rPr>
          <w:rFonts w:ascii="Arial" w:hAnsi="Arial" w:cs="Arial"/>
          <w:color w:val="000000"/>
        </w:rPr>
      </w:pPr>
      <w:r w:rsidRPr="0064045C">
        <w:rPr>
          <w:rFonts w:ascii="Arial" w:hAnsi="Arial" w:cs="Arial"/>
          <w:color w:val="000000"/>
        </w:rPr>
        <w:tab/>
      </w:r>
      <w:r w:rsidRPr="0064045C">
        <w:rPr>
          <w:rFonts w:ascii="Arial" w:hAnsi="Arial" w:cs="Arial"/>
          <w:color w:val="000000"/>
        </w:rPr>
        <w:tab/>
      </w:r>
      <w:r w:rsidRPr="0064045C">
        <w:rPr>
          <w:rFonts w:ascii="Arial" w:hAnsi="Arial" w:cs="Arial"/>
          <w:color w:val="000000"/>
        </w:rPr>
        <w:tab/>
      </w:r>
      <w:r w:rsidRPr="0064045C">
        <w:rPr>
          <w:rFonts w:ascii="Arial" w:hAnsi="Arial" w:cs="Arial"/>
          <w:color w:val="000000"/>
        </w:rPr>
        <w:tab/>
      </w:r>
      <w:r>
        <w:rPr>
          <w:rFonts w:ascii="Arial" w:hAnsi="Arial" w:cs="Arial"/>
          <w:color w:val="000000"/>
        </w:rPr>
        <w:tab/>
        <w:t xml:space="preserve">  </w:t>
      </w:r>
      <w:r w:rsidRPr="0064045C">
        <w:rPr>
          <w:rFonts w:ascii="Arial" w:hAnsi="Arial" w:cs="Arial"/>
          <w:color w:val="000000"/>
        </w:rPr>
        <w:t>D Crampton</w:t>
      </w:r>
    </w:p>
    <w:p w14:paraId="23849100" w14:textId="77777777" w:rsidR="00F843BE" w:rsidRPr="0064045C" w:rsidRDefault="00F843BE" w:rsidP="0064045C">
      <w:pPr>
        <w:spacing w:line="360" w:lineRule="auto"/>
        <w:jc w:val="both"/>
        <w:outlineLvl w:val="0"/>
        <w:rPr>
          <w:rFonts w:ascii="Arial" w:hAnsi="Arial" w:cs="Arial"/>
          <w:b/>
        </w:rPr>
      </w:pPr>
      <w:r w:rsidRPr="0064045C">
        <w:rPr>
          <w:rFonts w:ascii="Arial" w:hAnsi="Arial" w:cs="Arial"/>
        </w:rPr>
        <w:tab/>
      </w:r>
      <w:r w:rsidRPr="0064045C">
        <w:rPr>
          <w:rFonts w:ascii="Arial" w:hAnsi="Arial" w:cs="Arial"/>
        </w:rPr>
        <w:tab/>
      </w:r>
    </w:p>
    <w:p w14:paraId="2FBB7C80" w14:textId="0379CF0C" w:rsidR="00461A1D" w:rsidRPr="0064045C" w:rsidRDefault="00F843BE" w:rsidP="0064045C">
      <w:pPr>
        <w:spacing w:line="360" w:lineRule="auto"/>
        <w:jc w:val="both"/>
        <w:outlineLvl w:val="0"/>
        <w:rPr>
          <w:rFonts w:ascii="Arial" w:hAnsi="Arial" w:cs="Arial"/>
        </w:rPr>
      </w:pPr>
      <w:r w:rsidRPr="0064045C">
        <w:rPr>
          <w:rFonts w:ascii="Arial" w:hAnsi="Arial" w:cs="Arial"/>
        </w:rPr>
        <w:t>Instructed by</w:t>
      </w:r>
      <w:r w:rsidRPr="0064045C">
        <w:rPr>
          <w:rFonts w:ascii="Arial" w:hAnsi="Arial" w:cs="Arial"/>
        </w:rPr>
        <w:tab/>
      </w:r>
      <w:r w:rsidRPr="0064045C">
        <w:rPr>
          <w:rFonts w:ascii="Arial" w:hAnsi="Arial" w:cs="Arial"/>
        </w:rPr>
        <w:tab/>
      </w:r>
      <w:r w:rsidRPr="0064045C">
        <w:rPr>
          <w:rFonts w:ascii="Arial" w:hAnsi="Arial" w:cs="Arial"/>
        </w:rPr>
        <w:tab/>
      </w:r>
      <w:r w:rsidR="006764F1" w:rsidRPr="0064045C">
        <w:rPr>
          <w:rFonts w:ascii="Arial" w:hAnsi="Arial" w:cs="Arial"/>
        </w:rPr>
        <w:tab/>
      </w:r>
      <w:r w:rsidR="00485EA7" w:rsidRPr="0064045C">
        <w:rPr>
          <w:rFonts w:ascii="Arial" w:hAnsi="Arial" w:cs="Arial"/>
        </w:rPr>
        <w:t>:</w:t>
      </w:r>
      <w:r w:rsidR="00485EA7" w:rsidRPr="0064045C">
        <w:rPr>
          <w:rFonts w:ascii="Arial" w:hAnsi="Arial" w:cs="Arial"/>
          <w:b/>
        </w:rPr>
        <w:t xml:space="preserve"> </w:t>
      </w:r>
      <w:r w:rsidR="0026595C" w:rsidRPr="0026595C">
        <w:rPr>
          <w:rFonts w:ascii="Arial" w:hAnsi="Arial" w:cs="Arial"/>
        </w:rPr>
        <w:t>Veni Moodley &amp; Associates</w:t>
      </w:r>
    </w:p>
    <w:p w14:paraId="46A409A0" w14:textId="77777777" w:rsidR="00F843BE" w:rsidRPr="0064045C" w:rsidRDefault="00F843BE" w:rsidP="0064045C">
      <w:pPr>
        <w:spacing w:line="360" w:lineRule="auto"/>
        <w:jc w:val="both"/>
        <w:outlineLvl w:val="0"/>
        <w:rPr>
          <w:rFonts w:ascii="Arial" w:hAnsi="Arial" w:cs="Arial"/>
        </w:rPr>
      </w:pPr>
      <w:r w:rsidRPr="0064045C">
        <w:rPr>
          <w:rFonts w:ascii="Arial" w:hAnsi="Arial" w:cs="Arial"/>
        </w:rPr>
        <w:tab/>
      </w:r>
      <w:r w:rsidRPr="0064045C">
        <w:rPr>
          <w:rFonts w:ascii="Arial" w:hAnsi="Arial" w:cs="Arial"/>
        </w:rPr>
        <w:tab/>
      </w:r>
      <w:r w:rsidRPr="0064045C">
        <w:rPr>
          <w:rFonts w:ascii="Arial" w:hAnsi="Arial" w:cs="Arial"/>
        </w:rPr>
        <w:tab/>
      </w:r>
      <w:r w:rsidRPr="0064045C">
        <w:rPr>
          <w:rFonts w:ascii="Arial" w:hAnsi="Arial" w:cs="Arial"/>
        </w:rPr>
        <w:tab/>
      </w:r>
      <w:r w:rsidRPr="0064045C">
        <w:rPr>
          <w:rFonts w:ascii="Arial" w:hAnsi="Arial" w:cs="Arial"/>
        </w:rPr>
        <w:tab/>
      </w:r>
    </w:p>
    <w:p w14:paraId="1E1211C6" w14:textId="77777777" w:rsidR="00B32BFA" w:rsidRPr="0064045C" w:rsidRDefault="00B32BFA" w:rsidP="0064045C">
      <w:pPr>
        <w:spacing w:line="360" w:lineRule="auto"/>
        <w:ind w:left="3600" w:hanging="3600"/>
        <w:jc w:val="both"/>
        <w:outlineLvl w:val="0"/>
        <w:rPr>
          <w:rFonts w:ascii="Arial" w:hAnsi="Arial" w:cs="Arial"/>
        </w:rPr>
      </w:pPr>
      <w:r w:rsidRPr="0064045C">
        <w:rPr>
          <w:rFonts w:ascii="Arial" w:hAnsi="Arial" w:cs="Arial"/>
        </w:rPr>
        <w:t xml:space="preserve">Counsel </w:t>
      </w:r>
      <w:r w:rsidR="00E71DA6">
        <w:rPr>
          <w:rFonts w:ascii="Arial" w:hAnsi="Arial" w:cs="Arial"/>
        </w:rPr>
        <w:t>for Respondent</w:t>
      </w:r>
      <w:r w:rsidRPr="0064045C">
        <w:rPr>
          <w:rFonts w:ascii="Arial" w:hAnsi="Arial" w:cs="Arial"/>
        </w:rPr>
        <w:tab/>
      </w:r>
      <w:r w:rsidR="00F843BE" w:rsidRPr="0064045C">
        <w:rPr>
          <w:rFonts w:ascii="Arial" w:hAnsi="Arial" w:cs="Arial"/>
        </w:rPr>
        <w:t xml:space="preserve">: </w:t>
      </w:r>
      <w:r w:rsidR="00E71DA6" w:rsidRPr="0064045C">
        <w:rPr>
          <w:rFonts w:ascii="Arial" w:hAnsi="Arial" w:cs="Arial"/>
          <w:color w:val="000000"/>
        </w:rPr>
        <w:t>C J Pammenter SC</w:t>
      </w:r>
    </w:p>
    <w:p w14:paraId="364099D2" w14:textId="77777777" w:rsidR="00461A1D" w:rsidRPr="0064045C" w:rsidRDefault="00461A1D" w:rsidP="0064045C">
      <w:pPr>
        <w:spacing w:line="360" w:lineRule="auto"/>
        <w:jc w:val="both"/>
        <w:outlineLvl w:val="0"/>
        <w:rPr>
          <w:rFonts w:ascii="Arial" w:hAnsi="Arial" w:cs="Arial"/>
        </w:rPr>
      </w:pPr>
    </w:p>
    <w:p w14:paraId="6759CC4D" w14:textId="3B483E33" w:rsidR="00145263" w:rsidRPr="0064045C" w:rsidRDefault="00461A1D" w:rsidP="0064045C">
      <w:pPr>
        <w:spacing w:line="360" w:lineRule="auto"/>
        <w:jc w:val="both"/>
        <w:outlineLvl w:val="0"/>
        <w:rPr>
          <w:rFonts w:ascii="Arial" w:hAnsi="Arial" w:cs="Arial"/>
          <w:lang w:val="en-ZA"/>
        </w:rPr>
      </w:pPr>
      <w:r w:rsidRPr="0064045C">
        <w:rPr>
          <w:rFonts w:ascii="Arial" w:hAnsi="Arial" w:cs="Arial"/>
        </w:rPr>
        <w:t>Instructed by</w:t>
      </w:r>
      <w:r w:rsidRPr="0064045C">
        <w:rPr>
          <w:rFonts w:ascii="Arial" w:hAnsi="Arial" w:cs="Arial"/>
        </w:rPr>
        <w:tab/>
      </w:r>
      <w:r w:rsidRPr="0064045C">
        <w:rPr>
          <w:rFonts w:ascii="Arial" w:hAnsi="Arial" w:cs="Arial"/>
        </w:rPr>
        <w:tab/>
      </w:r>
      <w:r w:rsidRPr="0064045C">
        <w:rPr>
          <w:rFonts w:ascii="Arial" w:hAnsi="Arial" w:cs="Arial"/>
        </w:rPr>
        <w:tab/>
      </w:r>
      <w:r w:rsidR="00E45962" w:rsidRPr="0064045C">
        <w:rPr>
          <w:rFonts w:ascii="Arial" w:hAnsi="Arial" w:cs="Arial"/>
        </w:rPr>
        <w:tab/>
        <w:t xml:space="preserve">: </w:t>
      </w:r>
      <w:r w:rsidR="0026595C">
        <w:rPr>
          <w:rFonts w:ascii="Arial" w:hAnsi="Arial" w:cs="Arial"/>
        </w:rPr>
        <w:t>Shepstone &amp; Wylie</w:t>
      </w:r>
    </w:p>
    <w:sectPr w:rsidR="00145263" w:rsidRPr="0064045C" w:rsidSect="00CD30C1">
      <w:headerReference w:type="even" r:id="rId9"/>
      <w:headerReference w:type="default" r:id="rId10"/>
      <w:footerReference w:type="even" r:id="rId11"/>
      <w:footerReference w:type="default" r:id="rId12"/>
      <w:headerReference w:type="first" r:id="rId13"/>
      <w:footerReference w:type="first" r:id="rId14"/>
      <w:pgSz w:w="11906" w:h="16838"/>
      <w:pgMar w:top="1135"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DB5E8" w14:textId="77777777" w:rsidR="00890490" w:rsidRDefault="00890490">
      <w:r>
        <w:separator/>
      </w:r>
    </w:p>
  </w:endnote>
  <w:endnote w:type="continuationSeparator" w:id="0">
    <w:p w14:paraId="0B3FC225" w14:textId="77777777" w:rsidR="00890490" w:rsidRDefault="008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565D5" w14:textId="77777777" w:rsidR="006D120A" w:rsidRDefault="006D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F604" w14:textId="77777777" w:rsidR="006D120A" w:rsidRDefault="006D1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EF55B" w14:textId="77777777" w:rsidR="006D120A" w:rsidRDefault="006D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057C" w14:textId="77777777" w:rsidR="00890490" w:rsidRDefault="00890490">
      <w:r>
        <w:separator/>
      </w:r>
    </w:p>
  </w:footnote>
  <w:footnote w:type="continuationSeparator" w:id="0">
    <w:p w14:paraId="641D22E4" w14:textId="77777777" w:rsidR="00890490" w:rsidRDefault="00890490">
      <w:r>
        <w:continuationSeparator/>
      </w:r>
    </w:p>
  </w:footnote>
  <w:footnote w:id="1">
    <w:p w14:paraId="7D1C167E" w14:textId="77777777"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lang w:val="en-US"/>
        </w:rPr>
        <w:t>The parties were aware of the provisions of the Regulations, as the performance date of 16 April 2020 was the last date on which the Regulations (and therefore the lockdown) were to apply – unless extended.</w:t>
      </w:r>
    </w:p>
  </w:footnote>
  <w:footnote w:id="2">
    <w:p w14:paraId="3997EC31" w14:textId="7D706B4B"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i/>
        </w:rPr>
        <w:t>Africast (Pty) Limited v Pangbourne Properties Limited</w:t>
      </w:r>
      <w:r w:rsidRPr="00F853F3">
        <w:rPr>
          <w:rFonts w:ascii="Arial" w:hAnsi="Arial" w:cs="Arial"/>
        </w:rPr>
        <w:t xml:space="preserve"> [2014] ZASCA 33 para 37</w:t>
      </w:r>
      <w:r w:rsidR="008C6320" w:rsidRPr="00F853F3">
        <w:rPr>
          <w:rFonts w:ascii="Arial" w:hAnsi="Arial" w:cs="Arial"/>
        </w:rPr>
        <w:t>.</w:t>
      </w:r>
    </w:p>
  </w:footnote>
  <w:footnote w:id="3">
    <w:p w14:paraId="144CD691" w14:textId="36C6F9EB"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w:t>
      </w:r>
      <w:r w:rsidR="008C6320" w:rsidRPr="00F853F3">
        <w:rPr>
          <w:rFonts w:ascii="Arial" w:hAnsi="Arial" w:cs="Arial"/>
          <w:lang w:val="en-US"/>
        </w:rPr>
        <w:t>A</w:t>
      </w:r>
      <w:r w:rsidRPr="00F853F3">
        <w:rPr>
          <w:rFonts w:ascii="Arial" w:hAnsi="Arial" w:cs="Arial"/>
          <w:lang w:val="en-US"/>
        </w:rPr>
        <w:t xml:space="preserve">s was required in </w:t>
      </w:r>
      <w:r w:rsidRPr="00F853F3">
        <w:rPr>
          <w:rFonts w:ascii="Arial" w:hAnsi="Arial" w:cs="Arial"/>
          <w:i/>
          <w:lang w:val="en-US"/>
        </w:rPr>
        <w:t xml:space="preserve">Gallic Living (Pty) Ltd </w:t>
      </w:r>
      <w:r w:rsidR="008C6320" w:rsidRPr="00F853F3">
        <w:rPr>
          <w:rFonts w:ascii="Arial" w:hAnsi="Arial" w:cs="Arial"/>
          <w:i/>
          <w:lang w:val="en-US"/>
        </w:rPr>
        <w:t>and</w:t>
      </w:r>
      <w:r w:rsidRPr="00F853F3">
        <w:rPr>
          <w:rFonts w:ascii="Arial" w:hAnsi="Arial" w:cs="Arial"/>
          <w:i/>
          <w:lang w:val="en-US"/>
        </w:rPr>
        <w:t xml:space="preserve"> Another v Belo</w:t>
      </w:r>
      <w:r w:rsidRPr="00F853F3">
        <w:rPr>
          <w:rFonts w:ascii="Arial" w:hAnsi="Arial" w:cs="Arial"/>
          <w:lang w:val="en-US"/>
        </w:rPr>
        <w:t xml:space="preserve"> 1980 (1) SA 366 (W) at 368D and 370F-371H</w:t>
      </w:r>
      <w:r w:rsidR="008C6320" w:rsidRPr="00F853F3">
        <w:rPr>
          <w:rFonts w:ascii="Arial" w:hAnsi="Arial" w:cs="Arial"/>
          <w:lang w:val="en-US"/>
        </w:rPr>
        <w:t>.</w:t>
      </w:r>
      <w:r w:rsidRPr="00F853F3">
        <w:rPr>
          <w:rFonts w:ascii="Arial" w:hAnsi="Arial" w:cs="Arial"/>
          <w:lang w:val="en-US"/>
        </w:rPr>
        <w:t xml:space="preserve"> </w:t>
      </w:r>
    </w:p>
  </w:footnote>
  <w:footnote w:id="4">
    <w:p w14:paraId="62D02615" w14:textId="5B260EB4" w:rsidR="0064045C" w:rsidRPr="00AD2503" w:rsidRDefault="0064045C" w:rsidP="0064045C">
      <w:pPr>
        <w:pStyle w:val="FootnoteText"/>
        <w:rPr>
          <w:lang w:val="en-US"/>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lang w:val="en-US"/>
        </w:rPr>
        <w:t>ie, to “get”, “secure” or “acquire” – according to the Concise Oxford Dictionary and the Merriam-Webster Dictionary</w:t>
      </w:r>
      <w:r w:rsidR="0044497D" w:rsidRPr="00F853F3">
        <w:rPr>
          <w:rFonts w:ascii="Arial" w:hAnsi="Arial" w:cs="Arial"/>
          <w:lang w:val="en-US"/>
        </w:rPr>
        <w:t>.</w:t>
      </w:r>
      <w:r>
        <w:rPr>
          <w:lang w:val="en-US"/>
        </w:rPr>
        <w:t xml:space="preserve"> </w:t>
      </w:r>
    </w:p>
  </w:footnote>
  <w:footnote w:id="5">
    <w:p w14:paraId="6651D050" w14:textId="0EAA8C94"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00CC6A56" w:rsidRPr="00F853F3">
        <w:rPr>
          <w:rFonts w:ascii="Arial" w:hAnsi="Arial" w:cs="Arial"/>
          <w:i/>
        </w:rPr>
        <w:t>Natal Joint Municipal Pension Fund v Endumeni Municipality</w:t>
      </w:r>
      <w:r w:rsidR="00CC6A56" w:rsidRPr="00F853F3">
        <w:rPr>
          <w:rFonts w:ascii="Arial" w:hAnsi="Arial" w:cs="Arial"/>
        </w:rPr>
        <w:t xml:space="preserve"> </w:t>
      </w:r>
      <w:r w:rsidRPr="00F853F3">
        <w:rPr>
          <w:rFonts w:ascii="Arial" w:hAnsi="Arial" w:cs="Arial"/>
        </w:rPr>
        <w:t xml:space="preserve">2012 (4) SA 593 (SCA) </w:t>
      </w:r>
      <w:r w:rsidR="00CC6A56" w:rsidRPr="00F853F3">
        <w:rPr>
          <w:rFonts w:ascii="Arial" w:hAnsi="Arial" w:cs="Arial"/>
        </w:rPr>
        <w:t>para</w:t>
      </w:r>
      <w:r w:rsidRPr="00F853F3">
        <w:rPr>
          <w:rFonts w:ascii="Arial" w:hAnsi="Arial" w:cs="Arial"/>
        </w:rPr>
        <w:t xml:space="preserve"> 18</w:t>
      </w:r>
      <w:r w:rsidR="00CC6A56" w:rsidRPr="00F853F3">
        <w:rPr>
          <w:rFonts w:ascii="Arial" w:hAnsi="Arial" w:cs="Arial"/>
        </w:rPr>
        <w:t>.</w:t>
      </w:r>
    </w:p>
  </w:footnote>
  <w:footnote w:id="6">
    <w:p w14:paraId="6BB18159" w14:textId="310C9AEA"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00C04CAF" w:rsidRPr="00F853F3">
        <w:rPr>
          <w:rFonts w:ascii="Arial" w:hAnsi="Arial" w:cs="Arial"/>
          <w:i/>
        </w:rPr>
        <w:t>Capitec Bank Holdings Limited and Another v Coral Lagoon Investments 194 (Pty) Ltd and Others</w:t>
      </w:r>
      <w:r w:rsidR="00C04CAF" w:rsidRPr="00164863">
        <w:rPr>
          <w:rFonts w:ascii="Arial" w:hAnsi="Arial" w:cs="Arial"/>
        </w:rPr>
        <w:t xml:space="preserve"> </w:t>
      </w:r>
      <w:r w:rsidRPr="00F853F3">
        <w:rPr>
          <w:rFonts w:ascii="Arial" w:hAnsi="Arial" w:cs="Arial"/>
        </w:rPr>
        <w:t>[2021] ZASCA 99; [2021] 3 All SA 647 (SCA) paras 50</w:t>
      </w:r>
      <w:r w:rsidR="00C04CAF">
        <w:rPr>
          <w:rFonts w:ascii="Arial" w:hAnsi="Arial" w:cs="Arial"/>
        </w:rPr>
        <w:t>-</w:t>
      </w:r>
      <w:r w:rsidRPr="00F853F3">
        <w:rPr>
          <w:rFonts w:ascii="Arial" w:hAnsi="Arial" w:cs="Arial"/>
        </w:rPr>
        <w:t>51</w:t>
      </w:r>
      <w:r w:rsidR="00C04CAF">
        <w:rPr>
          <w:rFonts w:ascii="Arial" w:hAnsi="Arial" w:cs="Arial"/>
        </w:rPr>
        <w:t>.</w:t>
      </w:r>
    </w:p>
    <w:p w14:paraId="13BC2FF1" w14:textId="77777777" w:rsidR="0064045C" w:rsidRPr="002962A5" w:rsidRDefault="0064045C" w:rsidP="0064045C">
      <w:pPr>
        <w:pStyle w:val="FootnoteText"/>
      </w:pPr>
    </w:p>
  </w:footnote>
  <w:footnote w:id="7">
    <w:p w14:paraId="3587E6BA" w14:textId="6E28E343"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w:t>
      </w:r>
      <w:r w:rsidR="00A55461" w:rsidRPr="00F853F3">
        <w:rPr>
          <w:rFonts w:ascii="Arial" w:hAnsi="Arial" w:cs="Arial"/>
          <w:i/>
        </w:rPr>
        <w:t>Dharsey v Shelly</w:t>
      </w:r>
      <w:r w:rsidR="00A55461" w:rsidRPr="00F853F3">
        <w:rPr>
          <w:rFonts w:ascii="Arial" w:hAnsi="Arial" w:cs="Arial"/>
        </w:rPr>
        <w:t xml:space="preserve"> </w:t>
      </w:r>
      <w:r w:rsidRPr="00F853F3">
        <w:rPr>
          <w:rFonts w:ascii="Arial" w:hAnsi="Arial" w:cs="Arial"/>
        </w:rPr>
        <w:t>1995 (2) SA 58 (C) at 64A-B</w:t>
      </w:r>
      <w:r w:rsidR="00A55461">
        <w:rPr>
          <w:rFonts w:ascii="Arial" w:hAnsi="Arial" w:cs="Arial"/>
        </w:rPr>
        <w:t>.</w:t>
      </w:r>
    </w:p>
  </w:footnote>
  <w:footnote w:id="8">
    <w:p w14:paraId="39AB2D8F" w14:textId="6F01D7FE" w:rsidR="0064045C" w:rsidRPr="00604AAA" w:rsidRDefault="0064045C" w:rsidP="0064045C">
      <w:pPr>
        <w:pStyle w:val="FootnoteText"/>
      </w:pPr>
      <w:r w:rsidRPr="00F853F3">
        <w:rPr>
          <w:rStyle w:val="FootnoteReference"/>
          <w:rFonts w:ascii="Arial" w:hAnsi="Arial" w:cs="Arial"/>
        </w:rPr>
        <w:footnoteRef/>
      </w:r>
      <w:r w:rsidRPr="00F853F3">
        <w:rPr>
          <w:rFonts w:ascii="Arial" w:hAnsi="Arial" w:cs="Arial"/>
        </w:rPr>
        <w:t xml:space="preserve"> More especially where the institution intends to register a mortgage bond over the property as its primary security and a valuation of the property would be relevant to whether the property was worth enough to secure repayment of that debt</w:t>
      </w:r>
      <w:r w:rsidR="00A55461">
        <w:rPr>
          <w:rFonts w:ascii="Arial" w:hAnsi="Arial" w:cs="Arial"/>
        </w:rPr>
        <w:t>.</w:t>
      </w:r>
    </w:p>
  </w:footnote>
  <w:footnote w:id="9">
    <w:p w14:paraId="76FFA56E" w14:textId="66EAEA77"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00CD7D0B">
        <w:rPr>
          <w:rFonts w:ascii="Arial" w:hAnsi="Arial" w:cs="Arial"/>
        </w:rPr>
        <w:t>A</w:t>
      </w:r>
      <w:r w:rsidRPr="00F853F3">
        <w:rPr>
          <w:rFonts w:ascii="Arial" w:hAnsi="Arial" w:cs="Arial"/>
        </w:rPr>
        <w:t>nd to the contrary, was agreed</w:t>
      </w:r>
      <w:r w:rsidR="002C69BA">
        <w:rPr>
          <w:rFonts w:ascii="Arial" w:hAnsi="Arial" w:cs="Arial"/>
        </w:rPr>
        <w:t>.</w:t>
      </w:r>
    </w:p>
  </w:footnote>
  <w:footnote w:id="10">
    <w:p w14:paraId="487A6F09" w14:textId="10C37E2C"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00CD7D0B">
        <w:rPr>
          <w:rFonts w:ascii="Arial" w:hAnsi="Arial" w:cs="Arial"/>
          <w:lang w:val="en-US"/>
        </w:rPr>
        <w:t>C</w:t>
      </w:r>
      <w:r w:rsidRPr="00F853F3">
        <w:rPr>
          <w:rFonts w:ascii="Arial" w:hAnsi="Arial" w:cs="Arial"/>
          <w:lang w:val="en-US"/>
        </w:rPr>
        <w:t xml:space="preserve">f the definition of a “demand guarantee” in </w:t>
      </w:r>
      <w:r w:rsidRPr="00F853F3">
        <w:rPr>
          <w:rFonts w:ascii="Arial" w:hAnsi="Arial" w:cs="Arial"/>
          <w:i/>
        </w:rPr>
        <w:t>Lombard Insurance Company Limited v Schoeman and Others</w:t>
      </w:r>
      <w:r w:rsidRPr="00F853F3">
        <w:rPr>
          <w:rFonts w:ascii="Arial" w:hAnsi="Arial" w:cs="Arial"/>
        </w:rPr>
        <w:t xml:space="preserve"> 2018 (1) SA 240 (GJ) at fn 5</w:t>
      </w:r>
      <w:r w:rsidR="00CD7D0B">
        <w:rPr>
          <w:rFonts w:ascii="Arial" w:hAnsi="Arial" w:cs="Arial"/>
        </w:rPr>
        <w:t>.</w:t>
      </w:r>
    </w:p>
    <w:p w14:paraId="1C0292B3" w14:textId="77777777" w:rsidR="0064045C" w:rsidRPr="004D11C8" w:rsidRDefault="0064045C" w:rsidP="0064045C">
      <w:pPr>
        <w:pStyle w:val="FootnoteText"/>
        <w:rPr>
          <w:lang w:val="en-US"/>
        </w:rPr>
      </w:pPr>
    </w:p>
  </w:footnote>
  <w:footnote w:id="11">
    <w:p w14:paraId="29C29C1E" w14:textId="77777777"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The email sent to the applicant by Investec on 15 June 2020 recorded that a formal valuation was required “before we can issue the necessary property guarantee”.</w:t>
      </w:r>
    </w:p>
  </w:footnote>
  <w:footnote w:id="12">
    <w:p w14:paraId="29EC027E" w14:textId="77777777"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bookmarkStart w:id="6" w:name="_Hlk86139295"/>
      <w:r w:rsidRPr="00F853F3">
        <w:rPr>
          <w:rFonts w:ascii="Arial" w:hAnsi="Arial" w:cs="Arial"/>
        </w:rPr>
        <w:t xml:space="preserve">In argument, Mr </w:t>
      </w:r>
      <w:r w:rsidRPr="00F853F3">
        <w:rPr>
          <w:rFonts w:ascii="Arial" w:hAnsi="Arial" w:cs="Arial"/>
          <w:i/>
        </w:rPr>
        <w:t>Choudree</w:t>
      </w:r>
      <w:r w:rsidRPr="00F853F3">
        <w:rPr>
          <w:rFonts w:ascii="Arial" w:hAnsi="Arial" w:cs="Arial"/>
        </w:rPr>
        <w:t xml:space="preserve"> SC (who together with Mr </w:t>
      </w:r>
      <w:r w:rsidRPr="00F853F3">
        <w:rPr>
          <w:rFonts w:ascii="Arial" w:hAnsi="Arial" w:cs="Arial"/>
          <w:i/>
        </w:rPr>
        <w:t>Crampton</w:t>
      </w:r>
      <w:r w:rsidRPr="00F853F3">
        <w:rPr>
          <w:rFonts w:ascii="Arial" w:hAnsi="Arial" w:cs="Arial"/>
        </w:rPr>
        <w:t xml:space="preserve"> appeared for the applicant) submitted that these kinds of questions were speculative and did not need to be answered in this case. I disagree:  the questions serve to interrogate the purpose for which the conditions were imposed and what interests they served to protect. The conditions were inserted for a purpose and were described as “subject to” for a reason.</w:t>
      </w:r>
      <w:bookmarkEnd w:id="6"/>
    </w:p>
  </w:footnote>
  <w:footnote w:id="13">
    <w:p w14:paraId="5E285C36" w14:textId="77777777" w:rsidR="0064045C" w:rsidRPr="00A079F9" w:rsidRDefault="0064045C" w:rsidP="0064045C">
      <w:pPr>
        <w:pStyle w:val="FootnoteText"/>
      </w:pPr>
      <w:r w:rsidRPr="00F853F3">
        <w:rPr>
          <w:rStyle w:val="FootnoteReference"/>
          <w:rFonts w:ascii="Arial" w:hAnsi="Arial" w:cs="Arial"/>
        </w:rPr>
        <w:footnoteRef/>
      </w:r>
      <w:r w:rsidRPr="00F853F3">
        <w:rPr>
          <w:rFonts w:ascii="Arial" w:hAnsi="Arial" w:cs="Arial"/>
        </w:rPr>
        <w:t xml:space="preserve"> These concerns seem to be underscored in a letter sent by the respondent’s attorneys on 27 May 2020, where they record the respondent’s understanding “that Investec is now only prepared to provide finance provided there is an existing lease in place” (Annexure “Q” to the founding affidavit).</w:t>
      </w:r>
    </w:p>
  </w:footnote>
  <w:footnote w:id="14">
    <w:p w14:paraId="4D66658C" w14:textId="65A3CC32"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lang w:val="en-US"/>
        </w:rPr>
        <w:t>See the definition of “</w:t>
      </w:r>
      <w:r w:rsidRPr="00F853F3">
        <w:rPr>
          <w:rFonts w:ascii="Arial" w:hAnsi="Arial" w:cs="Arial"/>
          <w:i/>
          <w:iCs/>
          <w:lang w:val="en-US"/>
        </w:rPr>
        <w:t>subject to</w:t>
      </w:r>
      <w:r w:rsidRPr="00F853F3">
        <w:rPr>
          <w:rFonts w:ascii="Arial" w:hAnsi="Arial" w:cs="Arial"/>
          <w:lang w:val="en-US"/>
        </w:rPr>
        <w:t>” above</w:t>
      </w:r>
      <w:r w:rsidR="00AF2E1A">
        <w:rPr>
          <w:rFonts w:ascii="Arial" w:hAnsi="Arial" w:cs="Arial"/>
          <w:lang w:val="en-US"/>
        </w:rPr>
        <w:t>.</w:t>
      </w:r>
    </w:p>
  </w:footnote>
  <w:footnote w:id="15">
    <w:p w14:paraId="6C529535" w14:textId="0A9AC95C"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or, for that matter, a successful review of the proposed lease</w:t>
      </w:r>
      <w:r w:rsidR="00AF2E1A">
        <w:rPr>
          <w:rFonts w:ascii="Arial" w:hAnsi="Arial" w:cs="Arial"/>
        </w:rPr>
        <w:t>.</w:t>
      </w:r>
    </w:p>
  </w:footnote>
  <w:footnote w:id="16">
    <w:p w14:paraId="3732FAEE" w14:textId="2D1E783E"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which logically, and correctly, was itself a condition to be satisfied before a guarantee was issued</w:t>
      </w:r>
      <w:r w:rsidR="00AF2E1A">
        <w:rPr>
          <w:rFonts w:ascii="Arial" w:hAnsi="Arial" w:cs="Arial"/>
        </w:rPr>
        <w:t>.</w:t>
      </w:r>
    </w:p>
  </w:footnote>
  <w:footnote w:id="17">
    <w:p w14:paraId="39D14CDC" w14:textId="12EAD442" w:rsidR="0064045C" w:rsidRPr="003E25B9" w:rsidRDefault="0064045C" w:rsidP="0064045C">
      <w:pPr>
        <w:pStyle w:val="FootnoteText"/>
        <w:rPr>
          <w:i/>
          <w:iCs/>
          <w:lang w:val="en-US"/>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lang w:val="en-US"/>
        </w:rPr>
        <w:t xml:space="preserve">that is, the provision of credit to the applicant.  It was a suspensive condition of its own – as held in </w:t>
      </w:r>
      <w:r w:rsidRPr="00F853F3">
        <w:rPr>
          <w:rFonts w:ascii="Arial" w:hAnsi="Arial" w:cs="Arial"/>
          <w:i/>
          <w:u w:val="single"/>
          <w:lang w:val="en-US"/>
        </w:rPr>
        <w:t>Dharsey</w:t>
      </w:r>
      <w:r w:rsidRPr="00F853F3">
        <w:rPr>
          <w:rFonts w:ascii="Arial" w:hAnsi="Arial" w:cs="Arial"/>
          <w:lang w:val="en-US"/>
        </w:rPr>
        <w:t xml:space="preserve"> above.</w:t>
      </w:r>
    </w:p>
  </w:footnote>
  <w:footnote w:id="18">
    <w:p w14:paraId="2D7E69F1" w14:textId="7498EA0A"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ie, the provision of credit to the applicant had been approved and the loan therefore had been obtained</w:t>
      </w:r>
      <w:r w:rsidR="00913FE9">
        <w:rPr>
          <w:rFonts w:ascii="Arial" w:hAnsi="Arial" w:cs="Arial"/>
        </w:rPr>
        <w:t>.</w:t>
      </w:r>
    </w:p>
  </w:footnote>
  <w:footnote w:id="19">
    <w:p w14:paraId="65B30A1B" w14:textId="54CD181E" w:rsidR="0064045C" w:rsidRPr="00F853F3" w:rsidRDefault="0064045C" w:rsidP="0064045C">
      <w:pPr>
        <w:pStyle w:val="FootnoteText"/>
        <w:rPr>
          <w:rFonts w:ascii="Arial" w:hAnsi="Arial" w:cs="Arial"/>
          <w:lang w:val="en-US"/>
        </w:rPr>
      </w:pPr>
      <w:r w:rsidRPr="00F853F3">
        <w:rPr>
          <w:rStyle w:val="FootnoteReference"/>
          <w:rFonts w:ascii="Arial" w:hAnsi="Arial" w:cs="Arial"/>
        </w:rPr>
        <w:footnoteRef/>
      </w:r>
      <w:r w:rsidRPr="00F853F3">
        <w:rPr>
          <w:rFonts w:ascii="Arial" w:hAnsi="Arial" w:cs="Arial"/>
        </w:rPr>
        <w:t xml:space="preserve"> </w:t>
      </w:r>
      <w:r w:rsidR="00913FE9">
        <w:rPr>
          <w:rFonts w:ascii="Arial" w:hAnsi="Arial" w:cs="Arial"/>
        </w:rPr>
        <w:t>A</w:t>
      </w:r>
      <w:r w:rsidRPr="00F853F3">
        <w:rPr>
          <w:rFonts w:ascii="Arial" w:hAnsi="Arial" w:cs="Arial"/>
        </w:rPr>
        <w:t>nd there was no request by Investec to extend the time for compliance to 23 April 2020</w:t>
      </w:r>
      <w:r w:rsidR="00913FE9">
        <w:rPr>
          <w:rFonts w:ascii="Arial" w:hAnsi="Arial" w:cs="Arial"/>
        </w:rPr>
        <w:t>.</w:t>
      </w:r>
    </w:p>
  </w:footnote>
  <w:footnote w:id="20">
    <w:p w14:paraId="72EABE11" w14:textId="39EB6172"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i/>
        </w:rPr>
        <w:t>Remini v Basson</w:t>
      </w:r>
      <w:r w:rsidRPr="00F853F3">
        <w:rPr>
          <w:rFonts w:ascii="Arial" w:hAnsi="Arial" w:cs="Arial"/>
        </w:rPr>
        <w:t xml:space="preserve"> 1993 (3) SA 204 (N) at 210</w:t>
      </w:r>
      <w:r w:rsidR="00BA626C">
        <w:rPr>
          <w:rFonts w:ascii="Arial" w:hAnsi="Arial" w:cs="Arial"/>
        </w:rPr>
        <w:t>B</w:t>
      </w:r>
      <w:r w:rsidR="00913FE9">
        <w:rPr>
          <w:rFonts w:ascii="Arial" w:hAnsi="Arial" w:cs="Arial"/>
        </w:rPr>
        <w:t>.</w:t>
      </w:r>
    </w:p>
  </w:footnote>
  <w:footnote w:id="21">
    <w:p w14:paraId="328A7814" w14:textId="77777777" w:rsidR="0064045C" w:rsidRPr="008C333A" w:rsidRDefault="0064045C" w:rsidP="0064045C">
      <w:pPr>
        <w:pStyle w:val="FootnoteText"/>
        <w:rPr>
          <w:lang w:val="en-US"/>
        </w:rPr>
      </w:pPr>
      <w:r w:rsidRPr="00F853F3">
        <w:rPr>
          <w:rStyle w:val="FootnoteReference"/>
          <w:rFonts w:ascii="Arial" w:hAnsi="Arial" w:cs="Arial"/>
        </w:rPr>
        <w:footnoteRef/>
      </w:r>
      <w:r w:rsidRPr="00F853F3">
        <w:rPr>
          <w:rFonts w:ascii="Arial" w:hAnsi="Arial" w:cs="Arial"/>
        </w:rPr>
        <w:t xml:space="preserve"> On the applicant’s case, it was only the physical inspection of the property that was not possible.  </w:t>
      </w:r>
      <w:r w:rsidRPr="00F853F3">
        <w:rPr>
          <w:rFonts w:ascii="Arial" w:hAnsi="Arial" w:cs="Arial"/>
          <w:lang w:val="en-US"/>
        </w:rPr>
        <w:t>Therefore, and as tempting as it would be to engage in a debate about whether the lockdown created a temporary impossibility of performance, the question does not arise in this case.</w:t>
      </w:r>
    </w:p>
  </w:footnote>
  <w:footnote w:id="22">
    <w:p w14:paraId="052D724F" w14:textId="6875DB99" w:rsidR="0064045C" w:rsidRPr="00F853F3" w:rsidRDefault="0064045C" w:rsidP="0064045C">
      <w:pPr>
        <w:pStyle w:val="FootnoteText"/>
        <w:rPr>
          <w:rFonts w:ascii="Arial" w:hAnsi="Arial" w:cs="Arial"/>
        </w:rPr>
      </w:pPr>
      <w:r w:rsidRPr="00F853F3">
        <w:rPr>
          <w:rStyle w:val="FootnoteReference"/>
          <w:rFonts w:ascii="Arial" w:hAnsi="Arial" w:cs="Arial"/>
        </w:rPr>
        <w:footnoteRef/>
      </w:r>
      <w:r w:rsidRPr="00F853F3">
        <w:rPr>
          <w:rFonts w:ascii="Arial" w:hAnsi="Arial" w:cs="Arial"/>
        </w:rPr>
        <w:t xml:space="preserve"> </w:t>
      </w:r>
      <w:r w:rsidRPr="00F853F3">
        <w:rPr>
          <w:rFonts w:ascii="Arial" w:hAnsi="Arial" w:cs="Arial"/>
          <w:i/>
        </w:rPr>
        <w:t>Abrinah 7804 (Pty) Ltd v Kapa Koni Investments CC</w:t>
      </w:r>
      <w:r w:rsidRPr="00F853F3">
        <w:rPr>
          <w:rFonts w:ascii="Arial" w:hAnsi="Arial" w:cs="Arial"/>
        </w:rPr>
        <w:t xml:space="preserve"> 2018 (3) SA 108 (NCK) para</w:t>
      </w:r>
      <w:r w:rsidR="00BA626C">
        <w:rPr>
          <w:rFonts w:ascii="Arial" w:hAnsi="Arial" w:cs="Arial"/>
        </w:rPr>
        <w:t>s</w:t>
      </w:r>
      <w:r w:rsidRPr="00F853F3">
        <w:rPr>
          <w:rFonts w:ascii="Arial" w:hAnsi="Arial" w:cs="Arial"/>
        </w:rPr>
        <w:t xml:space="preserve"> 65</w:t>
      </w:r>
      <w:r w:rsidR="00BA626C">
        <w:rPr>
          <w:rFonts w:ascii="Arial" w:hAnsi="Arial" w:cs="Arial"/>
        </w:rPr>
        <w:t>-</w:t>
      </w:r>
      <w:r w:rsidRPr="00F853F3">
        <w:rPr>
          <w:rFonts w:ascii="Arial" w:hAnsi="Arial" w:cs="Arial"/>
        </w:rPr>
        <w:t>72</w:t>
      </w:r>
      <w:r w:rsidR="00BA626C">
        <w:rPr>
          <w:rFonts w:ascii="Arial" w:hAnsi="Arial" w:cs="Arial"/>
        </w:rPr>
        <w:t>.</w:t>
      </w:r>
    </w:p>
    <w:p w14:paraId="3B86E869" w14:textId="77777777" w:rsidR="0064045C" w:rsidRPr="00FF1CA3" w:rsidRDefault="0064045C" w:rsidP="0064045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53618" w14:textId="77777777" w:rsidR="001759AE" w:rsidRDefault="001759AE" w:rsidP="00345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91B6C" w14:textId="77777777" w:rsidR="001759AE" w:rsidRDefault="001759AE" w:rsidP="00893C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F1A4B" w14:textId="3E758AE0" w:rsidR="001759AE" w:rsidRDefault="001759AE" w:rsidP="00345E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A4A">
      <w:rPr>
        <w:rStyle w:val="PageNumber"/>
        <w:noProof/>
      </w:rPr>
      <w:t>4</w:t>
    </w:r>
    <w:r>
      <w:rPr>
        <w:rStyle w:val="PageNumber"/>
      </w:rPr>
      <w:fldChar w:fldCharType="end"/>
    </w:r>
  </w:p>
  <w:p w14:paraId="1680B3CC" w14:textId="77777777" w:rsidR="001759AE" w:rsidRDefault="001759AE" w:rsidP="00893C6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F9BC" w14:textId="77777777" w:rsidR="006D120A" w:rsidRDefault="006D1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8117D"/>
    <w:multiLevelType w:val="hybridMultilevel"/>
    <w:tmpl w:val="09C2AC10"/>
    <w:lvl w:ilvl="0" w:tplc="356AA8B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0E268BF"/>
    <w:multiLevelType w:val="hybridMultilevel"/>
    <w:tmpl w:val="86EA60F0"/>
    <w:lvl w:ilvl="0" w:tplc="7BC22F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1E47B97"/>
    <w:multiLevelType w:val="hybridMultilevel"/>
    <w:tmpl w:val="49B2C588"/>
    <w:lvl w:ilvl="0" w:tplc="EA94AEE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715C07"/>
    <w:multiLevelType w:val="hybridMultilevel"/>
    <w:tmpl w:val="E6889F2E"/>
    <w:lvl w:ilvl="0" w:tplc="FC1A1D1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5042B3B"/>
    <w:multiLevelType w:val="hybridMultilevel"/>
    <w:tmpl w:val="683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68EB"/>
    <w:multiLevelType w:val="hybridMultilevel"/>
    <w:tmpl w:val="9724C6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A17807"/>
    <w:multiLevelType w:val="hybridMultilevel"/>
    <w:tmpl w:val="C374DDF0"/>
    <w:lvl w:ilvl="0" w:tplc="BCFCAE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613C154B"/>
    <w:multiLevelType w:val="hybridMultilevel"/>
    <w:tmpl w:val="70B41782"/>
    <w:lvl w:ilvl="0" w:tplc="7F44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D26C53"/>
    <w:multiLevelType w:val="hybridMultilevel"/>
    <w:tmpl w:val="F42E2EC8"/>
    <w:lvl w:ilvl="0" w:tplc="A1108294">
      <w:start w:val="3"/>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777E7BF1"/>
    <w:multiLevelType w:val="hybridMultilevel"/>
    <w:tmpl w:val="3356E2B2"/>
    <w:lvl w:ilvl="0" w:tplc="467C6EF2">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9"/>
  </w:num>
  <w:num w:numId="3">
    <w:abstractNumId w:val="0"/>
  </w:num>
  <w:num w:numId="4">
    <w:abstractNumId w:val="1"/>
  </w:num>
  <w:num w:numId="5">
    <w:abstractNumId w:val="7"/>
  </w:num>
  <w:num w:numId="6">
    <w:abstractNumId w:val="5"/>
  </w:num>
  <w:num w:numId="7">
    <w:abstractNumId w:val="8"/>
  </w:num>
  <w:num w:numId="8">
    <w:abstractNumId w:val="2"/>
  </w:num>
  <w:num w:numId="9">
    <w:abstractNumId w:val="6"/>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8B"/>
    <w:rsid w:val="000011C9"/>
    <w:rsid w:val="00001DA7"/>
    <w:rsid w:val="0000205B"/>
    <w:rsid w:val="00004A57"/>
    <w:rsid w:val="00004BAD"/>
    <w:rsid w:val="000073C4"/>
    <w:rsid w:val="00011F29"/>
    <w:rsid w:val="00011FAF"/>
    <w:rsid w:val="00011FBC"/>
    <w:rsid w:val="00012CF0"/>
    <w:rsid w:val="0001370E"/>
    <w:rsid w:val="00013C4A"/>
    <w:rsid w:val="000150D2"/>
    <w:rsid w:val="00016190"/>
    <w:rsid w:val="000162C2"/>
    <w:rsid w:val="00016B7E"/>
    <w:rsid w:val="00016C03"/>
    <w:rsid w:val="00022EDC"/>
    <w:rsid w:val="000231A1"/>
    <w:rsid w:val="00024A66"/>
    <w:rsid w:val="00026765"/>
    <w:rsid w:val="00026FBF"/>
    <w:rsid w:val="000335B3"/>
    <w:rsid w:val="000366AB"/>
    <w:rsid w:val="0003781E"/>
    <w:rsid w:val="00040466"/>
    <w:rsid w:val="00044E4D"/>
    <w:rsid w:val="00045D38"/>
    <w:rsid w:val="00046AB9"/>
    <w:rsid w:val="0004759D"/>
    <w:rsid w:val="00047715"/>
    <w:rsid w:val="00050696"/>
    <w:rsid w:val="0005088F"/>
    <w:rsid w:val="000513D3"/>
    <w:rsid w:val="00051C06"/>
    <w:rsid w:val="0005376F"/>
    <w:rsid w:val="000560CE"/>
    <w:rsid w:val="00057537"/>
    <w:rsid w:val="0006088C"/>
    <w:rsid w:val="0006262C"/>
    <w:rsid w:val="00063068"/>
    <w:rsid w:val="00063070"/>
    <w:rsid w:val="00064716"/>
    <w:rsid w:val="00064EB2"/>
    <w:rsid w:val="00065587"/>
    <w:rsid w:val="0006739F"/>
    <w:rsid w:val="00070B4D"/>
    <w:rsid w:val="00071697"/>
    <w:rsid w:val="00071F98"/>
    <w:rsid w:val="0007338B"/>
    <w:rsid w:val="00073750"/>
    <w:rsid w:val="00073B38"/>
    <w:rsid w:val="000743B2"/>
    <w:rsid w:val="0007494A"/>
    <w:rsid w:val="00080696"/>
    <w:rsid w:val="00081013"/>
    <w:rsid w:val="00084455"/>
    <w:rsid w:val="0009238A"/>
    <w:rsid w:val="00093534"/>
    <w:rsid w:val="000946E5"/>
    <w:rsid w:val="00094C93"/>
    <w:rsid w:val="00095F36"/>
    <w:rsid w:val="00096782"/>
    <w:rsid w:val="00096D3C"/>
    <w:rsid w:val="000A115A"/>
    <w:rsid w:val="000A185C"/>
    <w:rsid w:val="000A1DED"/>
    <w:rsid w:val="000A351F"/>
    <w:rsid w:val="000A5112"/>
    <w:rsid w:val="000A590C"/>
    <w:rsid w:val="000A7A32"/>
    <w:rsid w:val="000B093F"/>
    <w:rsid w:val="000B4958"/>
    <w:rsid w:val="000B4DBE"/>
    <w:rsid w:val="000B5459"/>
    <w:rsid w:val="000B5934"/>
    <w:rsid w:val="000B6E06"/>
    <w:rsid w:val="000B736A"/>
    <w:rsid w:val="000B780C"/>
    <w:rsid w:val="000C0AB1"/>
    <w:rsid w:val="000C0F85"/>
    <w:rsid w:val="000C2EEF"/>
    <w:rsid w:val="000C31F2"/>
    <w:rsid w:val="000C320A"/>
    <w:rsid w:val="000C4ABB"/>
    <w:rsid w:val="000C5503"/>
    <w:rsid w:val="000C6DFA"/>
    <w:rsid w:val="000D3EA9"/>
    <w:rsid w:val="000D5111"/>
    <w:rsid w:val="000D6F6A"/>
    <w:rsid w:val="000E1995"/>
    <w:rsid w:val="000E1BF4"/>
    <w:rsid w:val="000E34D9"/>
    <w:rsid w:val="000E540C"/>
    <w:rsid w:val="000E58A5"/>
    <w:rsid w:val="000E6085"/>
    <w:rsid w:val="000E6FC1"/>
    <w:rsid w:val="000F14BD"/>
    <w:rsid w:val="000F390A"/>
    <w:rsid w:val="000F3A39"/>
    <w:rsid w:val="000F4225"/>
    <w:rsid w:val="000F6458"/>
    <w:rsid w:val="001008F9"/>
    <w:rsid w:val="001052CE"/>
    <w:rsid w:val="00105E81"/>
    <w:rsid w:val="00106A3E"/>
    <w:rsid w:val="00106CA9"/>
    <w:rsid w:val="00106D74"/>
    <w:rsid w:val="0010747E"/>
    <w:rsid w:val="00111132"/>
    <w:rsid w:val="0011474F"/>
    <w:rsid w:val="00114ECA"/>
    <w:rsid w:val="0011577B"/>
    <w:rsid w:val="00116549"/>
    <w:rsid w:val="001170EE"/>
    <w:rsid w:val="00121157"/>
    <w:rsid w:val="00121F40"/>
    <w:rsid w:val="001228B4"/>
    <w:rsid w:val="001236B6"/>
    <w:rsid w:val="00123A27"/>
    <w:rsid w:val="00127FAB"/>
    <w:rsid w:val="001302E7"/>
    <w:rsid w:val="001324B4"/>
    <w:rsid w:val="00132DCC"/>
    <w:rsid w:val="00133AE2"/>
    <w:rsid w:val="00134072"/>
    <w:rsid w:val="00136A23"/>
    <w:rsid w:val="00143CF3"/>
    <w:rsid w:val="00145263"/>
    <w:rsid w:val="001468BB"/>
    <w:rsid w:val="0015063F"/>
    <w:rsid w:val="0015326F"/>
    <w:rsid w:val="001537BA"/>
    <w:rsid w:val="00154898"/>
    <w:rsid w:val="00155E74"/>
    <w:rsid w:val="0016071F"/>
    <w:rsid w:val="00161BC9"/>
    <w:rsid w:val="00162B33"/>
    <w:rsid w:val="0016473F"/>
    <w:rsid w:val="00164863"/>
    <w:rsid w:val="001659CF"/>
    <w:rsid w:val="00166E58"/>
    <w:rsid w:val="00171711"/>
    <w:rsid w:val="00171A9D"/>
    <w:rsid w:val="0017244F"/>
    <w:rsid w:val="001759AE"/>
    <w:rsid w:val="00175DFB"/>
    <w:rsid w:val="001761AA"/>
    <w:rsid w:val="00176324"/>
    <w:rsid w:val="001809D0"/>
    <w:rsid w:val="001859B3"/>
    <w:rsid w:val="00186942"/>
    <w:rsid w:val="00186FEF"/>
    <w:rsid w:val="00187771"/>
    <w:rsid w:val="001877BA"/>
    <w:rsid w:val="00187CCB"/>
    <w:rsid w:val="00190903"/>
    <w:rsid w:val="00191686"/>
    <w:rsid w:val="00193BB9"/>
    <w:rsid w:val="001965CD"/>
    <w:rsid w:val="0019662A"/>
    <w:rsid w:val="00196C35"/>
    <w:rsid w:val="001A01D3"/>
    <w:rsid w:val="001A1219"/>
    <w:rsid w:val="001A246C"/>
    <w:rsid w:val="001A44E6"/>
    <w:rsid w:val="001B100F"/>
    <w:rsid w:val="001B2878"/>
    <w:rsid w:val="001B3C79"/>
    <w:rsid w:val="001B52E9"/>
    <w:rsid w:val="001B6D3D"/>
    <w:rsid w:val="001B6F19"/>
    <w:rsid w:val="001C4F56"/>
    <w:rsid w:val="001C6534"/>
    <w:rsid w:val="001D0145"/>
    <w:rsid w:val="001D0F53"/>
    <w:rsid w:val="001D12DE"/>
    <w:rsid w:val="001D4708"/>
    <w:rsid w:val="001D4885"/>
    <w:rsid w:val="001D582A"/>
    <w:rsid w:val="001D68E2"/>
    <w:rsid w:val="001E45FE"/>
    <w:rsid w:val="001F2F6C"/>
    <w:rsid w:val="001F3AED"/>
    <w:rsid w:val="001F4619"/>
    <w:rsid w:val="001F6E0F"/>
    <w:rsid w:val="00200517"/>
    <w:rsid w:val="00201AE8"/>
    <w:rsid w:val="00202261"/>
    <w:rsid w:val="0020423D"/>
    <w:rsid w:val="002072AA"/>
    <w:rsid w:val="002077F0"/>
    <w:rsid w:val="00207D72"/>
    <w:rsid w:val="00210B34"/>
    <w:rsid w:val="00210EB2"/>
    <w:rsid w:val="00212377"/>
    <w:rsid w:val="002124BE"/>
    <w:rsid w:val="00213002"/>
    <w:rsid w:val="00217176"/>
    <w:rsid w:val="00217468"/>
    <w:rsid w:val="002175BE"/>
    <w:rsid w:val="00217F8D"/>
    <w:rsid w:val="0022030B"/>
    <w:rsid w:val="002212C1"/>
    <w:rsid w:val="002218A2"/>
    <w:rsid w:val="002252CC"/>
    <w:rsid w:val="00225FFE"/>
    <w:rsid w:val="002271B9"/>
    <w:rsid w:val="00227637"/>
    <w:rsid w:val="00230C53"/>
    <w:rsid w:val="00230FCD"/>
    <w:rsid w:val="00231E2F"/>
    <w:rsid w:val="00231F53"/>
    <w:rsid w:val="002324C2"/>
    <w:rsid w:val="00232FCC"/>
    <w:rsid w:val="002330D4"/>
    <w:rsid w:val="0023337F"/>
    <w:rsid w:val="0023643A"/>
    <w:rsid w:val="00237569"/>
    <w:rsid w:val="00240C2A"/>
    <w:rsid w:val="00241A35"/>
    <w:rsid w:val="00243F73"/>
    <w:rsid w:val="002443DA"/>
    <w:rsid w:val="00251A64"/>
    <w:rsid w:val="00252A96"/>
    <w:rsid w:val="0025347B"/>
    <w:rsid w:val="00254861"/>
    <w:rsid w:val="00256713"/>
    <w:rsid w:val="002571D1"/>
    <w:rsid w:val="0026595C"/>
    <w:rsid w:val="002660AE"/>
    <w:rsid w:val="0027008E"/>
    <w:rsid w:val="002700B5"/>
    <w:rsid w:val="0027103B"/>
    <w:rsid w:val="0027118E"/>
    <w:rsid w:val="00272CB1"/>
    <w:rsid w:val="00275354"/>
    <w:rsid w:val="00276C98"/>
    <w:rsid w:val="002823A0"/>
    <w:rsid w:val="0028359A"/>
    <w:rsid w:val="00283D57"/>
    <w:rsid w:val="0028518C"/>
    <w:rsid w:val="0028551D"/>
    <w:rsid w:val="00290A23"/>
    <w:rsid w:val="00292116"/>
    <w:rsid w:val="00295D0E"/>
    <w:rsid w:val="00297BBA"/>
    <w:rsid w:val="002A4032"/>
    <w:rsid w:val="002A53A7"/>
    <w:rsid w:val="002A57D6"/>
    <w:rsid w:val="002B1792"/>
    <w:rsid w:val="002B7A81"/>
    <w:rsid w:val="002C1325"/>
    <w:rsid w:val="002C1BB2"/>
    <w:rsid w:val="002C2B00"/>
    <w:rsid w:val="002C5B22"/>
    <w:rsid w:val="002C5F3B"/>
    <w:rsid w:val="002C69BA"/>
    <w:rsid w:val="002C6D2E"/>
    <w:rsid w:val="002C72EC"/>
    <w:rsid w:val="002D15B8"/>
    <w:rsid w:val="002D22E9"/>
    <w:rsid w:val="002D573F"/>
    <w:rsid w:val="002D741E"/>
    <w:rsid w:val="002E1ACE"/>
    <w:rsid w:val="002E1D03"/>
    <w:rsid w:val="002E1FAF"/>
    <w:rsid w:val="002E3233"/>
    <w:rsid w:val="002E3804"/>
    <w:rsid w:val="002E5DB2"/>
    <w:rsid w:val="002E7983"/>
    <w:rsid w:val="002F01A2"/>
    <w:rsid w:val="002F0592"/>
    <w:rsid w:val="002F0789"/>
    <w:rsid w:val="002F2ADE"/>
    <w:rsid w:val="002F33E3"/>
    <w:rsid w:val="002F4134"/>
    <w:rsid w:val="002F50A4"/>
    <w:rsid w:val="00300385"/>
    <w:rsid w:val="0030080B"/>
    <w:rsid w:val="0030242F"/>
    <w:rsid w:val="0030433D"/>
    <w:rsid w:val="00305182"/>
    <w:rsid w:val="003063A4"/>
    <w:rsid w:val="003068A5"/>
    <w:rsid w:val="00307837"/>
    <w:rsid w:val="00310C20"/>
    <w:rsid w:val="00310E41"/>
    <w:rsid w:val="00311A87"/>
    <w:rsid w:val="003126E2"/>
    <w:rsid w:val="00312DA5"/>
    <w:rsid w:val="0031427E"/>
    <w:rsid w:val="0031467D"/>
    <w:rsid w:val="0031595D"/>
    <w:rsid w:val="00316728"/>
    <w:rsid w:val="003173E1"/>
    <w:rsid w:val="003175AE"/>
    <w:rsid w:val="00321301"/>
    <w:rsid w:val="003225CA"/>
    <w:rsid w:val="00322E77"/>
    <w:rsid w:val="00323573"/>
    <w:rsid w:val="003251A4"/>
    <w:rsid w:val="003269D0"/>
    <w:rsid w:val="00326AC7"/>
    <w:rsid w:val="003274A2"/>
    <w:rsid w:val="00327764"/>
    <w:rsid w:val="00327B67"/>
    <w:rsid w:val="00327ED8"/>
    <w:rsid w:val="00330A88"/>
    <w:rsid w:val="00330CA6"/>
    <w:rsid w:val="00331078"/>
    <w:rsid w:val="003316E2"/>
    <w:rsid w:val="00334D68"/>
    <w:rsid w:val="003363BC"/>
    <w:rsid w:val="00336E65"/>
    <w:rsid w:val="00337553"/>
    <w:rsid w:val="003378B2"/>
    <w:rsid w:val="0034077C"/>
    <w:rsid w:val="0034220F"/>
    <w:rsid w:val="003423B9"/>
    <w:rsid w:val="0034377B"/>
    <w:rsid w:val="00344821"/>
    <w:rsid w:val="00344A29"/>
    <w:rsid w:val="00344FAB"/>
    <w:rsid w:val="00345E3E"/>
    <w:rsid w:val="00345E40"/>
    <w:rsid w:val="00346482"/>
    <w:rsid w:val="00350473"/>
    <w:rsid w:val="00350966"/>
    <w:rsid w:val="0035228F"/>
    <w:rsid w:val="003535A6"/>
    <w:rsid w:val="00354058"/>
    <w:rsid w:val="003545E4"/>
    <w:rsid w:val="00361A07"/>
    <w:rsid w:val="00362D00"/>
    <w:rsid w:val="00362E96"/>
    <w:rsid w:val="00364493"/>
    <w:rsid w:val="003667E2"/>
    <w:rsid w:val="00377A85"/>
    <w:rsid w:val="003815F1"/>
    <w:rsid w:val="00382C57"/>
    <w:rsid w:val="003854D9"/>
    <w:rsid w:val="0038587C"/>
    <w:rsid w:val="003862E9"/>
    <w:rsid w:val="00386BF0"/>
    <w:rsid w:val="0039029E"/>
    <w:rsid w:val="00391D75"/>
    <w:rsid w:val="003931ED"/>
    <w:rsid w:val="00393789"/>
    <w:rsid w:val="003938D8"/>
    <w:rsid w:val="003946E2"/>
    <w:rsid w:val="00396183"/>
    <w:rsid w:val="00396CF3"/>
    <w:rsid w:val="003A0062"/>
    <w:rsid w:val="003A0732"/>
    <w:rsid w:val="003A1E00"/>
    <w:rsid w:val="003A24EC"/>
    <w:rsid w:val="003A28D5"/>
    <w:rsid w:val="003A3083"/>
    <w:rsid w:val="003A6829"/>
    <w:rsid w:val="003B0254"/>
    <w:rsid w:val="003B14C7"/>
    <w:rsid w:val="003B1A9D"/>
    <w:rsid w:val="003B2384"/>
    <w:rsid w:val="003B2D27"/>
    <w:rsid w:val="003B31AC"/>
    <w:rsid w:val="003B5EAD"/>
    <w:rsid w:val="003B6112"/>
    <w:rsid w:val="003B6A2B"/>
    <w:rsid w:val="003B70B3"/>
    <w:rsid w:val="003B740A"/>
    <w:rsid w:val="003C2DDB"/>
    <w:rsid w:val="003C32A9"/>
    <w:rsid w:val="003C4F33"/>
    <w:rsid w:val="003C5ADD"/>
    <w:rsid w:val="003C6D5D"/>
    <w:rsid w:val="003C7031"/>
    <w:rsid w:val="003C7035"/>
    <w:rsid w:val="003C731A"/>
    <w:rsid w:val="003D0372"/>
    <w:rsid w:val="003D0572"/>
    <w:rsid w:val="003D2D52"/>
    <w:rsid w:val="003D3EB2"/>
    <w:rsid w:val="003D3F42"/>
    <w:rsid w:val="003D442F"/>
    <w:rsid w:val="003D5858"/>
    <w:rsid w:val="003D69D6"/>
    <w:rsid w:val="003D748C"/>
    <w:rsid w:val="003D7D98"/>
    <w:rsid w:val="003E288D"/>
    <w:rsid w:val="003E290B"/>
    <w:rsid w:val="003E5235"/>
    <w:rsid w:val="003E72DB"/>
    <w:rsid w:val="003F05BF"/>
    <w:rsid w:val="003F1343"/>
    <w:rsid w:val="003F269B"/>
    <w:rsid w:val="003F56C4"/>
    <w:rsid w:val="003F5FAF"/>
    <w:rsid w:val="004007A3"/>
    <w:rsid w:val="004019B7"/>
    <w:rsid w:val="00401A3F"/>
    <w:rsid w:val="0040486D"/>
    <w:rsid w:val="00411580"/>
    <w:rsid w:val="0041183F"/>
    <w:rsid w:val="00411F04"/>
    <w:rsid w:val="0041251F"/>
    <w:rsid w:val="00414927"/>
    <w:rsid w:val="00414EF9"/>
    <w:rsid w:val="0041514E"/>
    <w:rsid w:val="004160E6"/>
    <w:rsid w:val="004176DC"/>
    <w:rsid w:val="00421A5A"/>
    <w:rsid w:val="004225FF"/>
    <w:rsid w:val="0042353B"/>
    <w:rsid w:val="00423A98"/>
    <w:rsid w:val="00427206"/>
    <w:rsid w:val="00427669"/>
    <w:rsid w:val="00436A7D"/>
    <w:rsid w:val="00436C73"/>
    <w:rsid w:val="00437074"/>
    <w:rsid w:val="00440A3B"/>
    <w:rsid w:val="004433C4"/>
    <w:rsid w:val="00443694"/>
    <w:rsid w:val="004440B8"/>
    <w:rsid w:val="0044497D"/>
    <w:rsid w:val="00444F98"/>
    <w:rsid w:val="00445A03"/>
    <w:rsid w:val="004504A2"/>
    <w:rsid w:val="004512B1"/>
    <w:rsid w:val="00451CC4"/>
    <w:rsid w:val="00452503"/>
    <w:rsid w:val="0045422B"/>
    <w:rsid w:val="00454775"/>
    <w:rsid w:val="00457C90"/>
    <w:rsid w:val="004619C8"/>
    <w:rsid w:val="00461A1D"/>
    <w:rsid w:val="00465BC1"/>
    <w:rsid w:val="00465F1B"/>
    <w:rsid w:val="00466361"/>
    <w:rsid w:val="00467187"/>
    <w:rsid w:val="004700A6"/>
    <w:rsid w:val="0047029E"/>
    <w:rsid w:val="00472B4C"/>
    <w:rsid w:val="00475BB6"/>
    <w:rsid w:val="0048197E"/>
    <w:rsid w:val="00483026"/>
    <w:rsid w:val="00485EA7"/>
    <w:rsid w:val="0048793F"/>
    <w:rsid w:val="00487C84"/>
    <w:rsid w:val="00490469"/>
    <w:rsid w:val="004916B6"/>
    <w:rsid w:val="0049525C"/>
    <w:rsid w:val="00495CE4"/>
    <w:rsid w:val="00495FBB"/>
    <w:rsid w:val="004A238E"/>
    <w:rsid w:val="004A280A"/>
    <w:rsid w:val="004A2F93"/>
    <w:rsid w:val="004A31B6"/>
    <w:rsid w:val="004A332A"/>
    <w:rsid w:val="004A6C8C"/>
    <w:rsid w:val="004A7FD3"/>
    <w:rsid w:val="004B0566"/>
    <w:rsid w:val="004B19AD"/>
    <w:rsid w:val="004B3961"/>
    <w:rsid w:val="004B3AC9"/>
    <w:rsid w:val="004B47E2"/>
    <w:rsid w:val="004B762E"/>
    <w:rsid w:val="004B78ED"/>
    <w:rsid w:val="004C0453"/>
    <w:rsid w:val="004C1904"/>
    <w:rsid w:val="004C22DB"/>
    <w:rsid w:val="004C2805"/>
    <w:rsid w:val="004C2848"/>
    <w:rsid w:val="004C554F"/>
    <w:rsid w:val="004C567E"/>
    <w:rsid w:val="004C5B63"/>
    <w:rsid w:val="004C5E57"/>
    <w:rsid w:val="004C720A"/>
    <w:rsid w:val="004C7D42"/>
    <w:rsid w:val="004D1FB7"/>
    <w:rsid w:val="004D2ADC"/>
    <w:rsid w:val="004D2B67"/>
    <w:rsid w:val="004D4429"/>
    <w:rsid w:val="004D697F"/>
    <w:rsid w:val="004D7C30"/>
    <w:rsid w:val="004E04AA"/>
    <w:rsid w:val="004E0900"/>
    <w:rsid w:val="004E29AF"/>
    <w:rsid w:val="004E3BF5"/>
    <w:rsid w:val="004E517C"/>
    <w:rsid w:val="004E6188"/>
    <w:rsid w:val="004E65A1"/>
    <w:rsid w:val="004E6ABA"/>
    <w:rsid w:val="004E6B77"/>
    <w:rsid w:val="004E7F14"/>
    <w:rsid w:val="004F0251"/>
    <w:rsid w:val="004F0956"/>
    <w:rsid w:val="004F1DCD"/>
    <w:rsid w:val="004F2982"/>
    <w:rsid w:val="004F3055"/>
    <w:rsid w:val="004F39E3"/>
    <w:rsid w:val="004F4888"/>
    <w:rsid w:val="004F4EFE"/>
    <w:rsid w:val="004F5425"/>
    <w:rsid w:val="004F5AEB"/>
    <w:rsid w:val="00500BDF"/>
    <w:rsid w:val="00501919"/>
    <w:rsid w:val="00502CFB"/>
    <w:rsid w:val="00502D0D"/>
    <w:rsid w:val="00504595"/>
    <w:rsid w:val="005061C4"/>
    <w:rsid w:val="00506AE4"/>
    <w:rsid w:val="00506F31"/>
    <w:rsid w:val="00507111"/>
    <w:rsid w:val="00512469"/>
    <w:rsid w:val="00514EDE"/>
    <w:rsid w:val="005157FE"/>
    <w:rsid w:val="005159EF"/>
    <w:rsid w:val="00515D6E"/>
    <w:rsid w:val="00515E4E"/>
    <w:rsid w:val="00515ECE"/>
    <w:rsid w:val="00516F67"/>
    <w:rsid w:val="00520A99"/>
    <w:rsid w:val="00520C95"/>
    <w:rsid w:val="00521426"/>
    <w:rsid w:val="00521F92"/>
    <w:rsid w:val="00525E5A"/>
    <w:rsid w:val="00532959"/>
    <w:rsid w:val="00533A15"/>
    <w:rsid w:val="00533F0C"/>
    <w:rsid w:val="005408E4"/>
    <w:rsid w:val="0054348A"/>
    <w:rsid w:val="0054469C"/>
    <w:rsid w:val="00546526"/>
    <w:rsid w:val="00546D77"/>
    <w:rsid w:val="00550913"/>
    <w:rsid w:val="00553EE5"/>
    <w:rsid w:val="00554669"/>
    <w:rsid w:val="00555C4D"/>
    <w:rsid w:val="005601B9"/>
    <w:rsid w:val="005609AC"/>
    <w:rsid w:val="005648B0"/>
    <w:rsid w:val="00564A7E"/>
    <w:rsid w:val="0056615C"/>
    <w:rsid w:val="00566FC0"/>
    <w:rsid w:val="00567960"/>
    <w:rsid w:val="00570BEF"/>
    <w:rsid w:val="005724CC"/>
    <w:rsid w:val="00574520"/>
    <w:rsid w:val="005750A3"/>
    <w:rsid w:val="00580125"/>
    <w:rsid w:val="00583EA6"/>
    <w:rsid w:val="00584304"/>
    <w:rsid w:val="005844CE"/>
    <w:rsid w:val="00584F25"/>
    <w:rsid w:val="00584F9C"/>
    <w:rsid w:val="00590582"/>
    <w:rsid w:val="00591305"/>
    <w:rsid w:val="0059163D"/>
    <w:rsid w:val="005916E9"/>
    <w:rsid w:val="005930E7"/>
    <w:rsid w:val="005962B0"/>
    <w:rsid w:val="005A18AD"/>
    <w:rsid w:val="005A23F1"/>
    <w:rsid w:val="005A31A7"/>
    <w:rsid w:val="005A4188"/>
    <w:rsid w:val="005A5739"/>
    <w:rsid w:val="005A6DC5"/>
    <w:rsid w:val="005A7ECE"/>
    <w:rsid w:val="005B4527"/>
    <w:rsid w:val="005B658D"/>
    <w:rsid w:val="005B6CED"/>
    <w:rsid w:val="005B76D7"/>
    <w:rsid w:val="005B792C"/>
    <w:rsid w:val="005C09D0"/>
    <w:rsid w:val="005C25F7"/>
    <w:rsid w:val="005C2D99"/>
    <w:rsid w:val="005D06CF"/>
    <w:rsid w:val="005D0E5C"/>
    <w:rsid w:val="005D0FDC"/>
    <w:rsid w:val="005D12E6"/>
    <w:rsid w:val="005D23B7"/>
    <w:rsid w:val="005D2DEA"/>
    <w:rsid w:val="005D3058"/>
    <w:rsid w:val="005D5AE0"/>
    <w:rsid w:val="005E1530"/>
    <w:rsid w:val="005E4F60"/>
    <w:rsid w:val="005E7842"/>
    <w:rsid w:val="005F4008"/>
    <w:rsid w:val="005F5376"/>
    <w:rsid w:val="005F5D89"/>
    <w:rsid w:val="005F61BF"/>
    <w:rsid w:val="005F750F"/>
    <w:rsid w:val="005F7C69"/>
    <w:rsid w:val="00604217"/>
    <w:rsid w:val="006043D7"/>
    <w:rsid w:val="00604AA1"/>
    <w:rsid w:val="00605583"/>
    <w:rsid w:val="00605F49"/>
    <w:rsid w:val="0060677A"/>
    <w:rsid w:val="0060734C"/>
    <w:rsid w:val="0061012F"/>
    <w:rsid w:val="00611679"/>
    <w:rsid w:val="00613BBE"/>
    <w:rsid w:val="0061715E"/>
    <w:rsid w:val="006206E6"/>
    <w:rsid w:val="00620716"/>
    <w:rsid w:val="00621C99"/>
    <w:rsid w:val="00622704"/>
    <w:rsid w:val="00622ED4"/>
    <w:rsid w:val="00623BCB"/>
    <w:rsid w:val="00624125"/>
    <w:rsid w:val="00626142"/>
    <w:rsid w:val="006265B4"/>
    <w:rsid w:val="00627136"/>
    <w:rsid w:val="006308E9"/>
    <w:rsid w:val="00630FD1"/>
    <w:rsid w:val="006327E1"/>
    <w:rsid w:val="00633F75"/>
    <w:rsid w:val="006344B6"/>
    <w:rsid w:val="00637856"/>
    <w:rsid w:val="0064045C"/>
    <w:rsid w:val="0064047F"/>
    <w:rsid w:val="006422BC"/>
    <w:rsid w:val="0064259C"/>
    <w:rsid w:val="00646850"/>
    <w:rsid w:val="006479F8"/>
    <w:rsid w:val="006502CC"/>
    <w:rsid w:val="00652B57"/>
    <w:rsid w:val="00654445"/>
    <w:rsid w:val="0065544B"/>
    <w:rsid w:val="006555C8"/>
    <w:rsid w:val="00655C97"/>
    <w:rsid w:val="00657848"/>
    <w:rsid w:val="00660D79"/>
    <w:rsid w:val="006638C6"/>
    <w:rsid w:val="006657D9"/>
    <w:rsid w:val="00666AC5"/>
    <w:rsid w:val="0067002B"/>
    <w:rsid w:val="006710F9"/>
    <w:rsid w:val="00673CF2"/>
    <w:rsid w:val="00673D68"/>
    <w:rsid w:val="006764F1"/>
    <w:rsid w:val="00680340"/>
    <w:rsid w:val="00684F89"/>
    <w:rsid w:val="006917B6"/>
    <w:rsid w:val="006933A1"/>
    <w:rsid w:val="006960A5"/>
    <w:rsid w:val="006A1104"/>
    <w:rsid w:val="006A16BA"/>
    <w:rsid w:val="006A2319"/>
    <w:rsid w:val="006A24B5"/>
    <w:rsid w:val="006A2DC6"/>
    <w:rsid w:val="006A32E5"/>
    <w:rsid w:val="006A3F6C"/>
    <w:rsid w:val="006A4463"/>
    <w:rsid w:val="006A6F01"/>
    <w:rsid w:val="006A71F9"/>
    <w:rsid w:val="006A7AE1"/>
    <w:rsid w:val="006B030F"/>
    <w:rsid w:val="006B09CA"/>
    <w:rsid w:val="006B2B28"/>
    <w:rsid w:val="006B35C7"/>
    <w:rsid w:val="006B4392"/>
    <w:rsid w:val="006B4BA1"/>
    <w:rsid w:val="006B6FC6"/>
    <w:rsid w:val="006B779F"/>
    <w:rsid w:val="006C1E41"/>
    <w:rsid w:val="006C49CE"/>
    <w:rsid w:val="006C5F5A"/>
    <w:rsid w:val="006C6FAE"/>
    <w:rsid w:val="006C7386"/>
    <w:rsid w:val="006D07B7"/>
    <w:rsid w:val="006D120A"/>
    <w:rsid w:val="006D24B1"/>
    <w:rsid w:val="006D32EC"/>
    <w:rsid w:val="006D6139"/>
    <w:rsid w:val="006E0709"/>
    <w:rsid w:val="006E0CA6"/>
    <w:rsid w:val="006E3788"/>
    <w:rsid w:val="006E395C"/>
    <w:rsid w:val="006E3C75"/>
    <w:rsid w:val="006E40EA"/>
    <w:rsid w:val="006E4870"/>
    <w:rsid w:val="006E5254"/>
    <w:rsid w:val="006E58F4"/>
    <w:rsid w:val="006E72F6"/>
    <w:rsid w:val="006E76D8"/>
    <w:rsid w:val="006E7908"/>
    <w:rsid w:val="006F2E1E"/>
    <w:rsid w:val="006F3652"/>
    <w:rsid w:val="006F6870"/>
    <w:rsid w:val="00700B7F"/>
    <w:rsid w:val="00700CB1"/>
    <w:rsid w:val="0070416C"/>
    <w:rsid w:val="00704C37"/>
    <w:rsid w:val="007077E5"/>
    <w:rsid w:val="0071276F"/>
    <w:rsid w:val="007127B7"/>
    <w:rsid w:val="00712C68"/>
    <w:rsid w:val="00712EB0"/>
    <w:rsid w:val="00713CCF"/>
    <w:rsid w:val="00713D3F"/>
    <w:rsid w:val="0071452B"/>
    <w:rsid w:val="007167F8"/>
    <w:rsid w:val="00720A91"/>
    <w:rsid w:val="00723CDF"/>
    <w:rsid w:val="00724B74"/>
    <w:rsid w:val="007258E2"/>
    <w:rsid w:val="007260B9"/>
    <w:rsid w:val="00726FF3"/>
    <w:rsid w:val="00727B4B"/>
    <w:rsid w:val="00731BCB"/>
    <w:rsid w:val="0073363C"/>
    <w:rsid w:val="007349BF"/>
    <w:rsid w:val="00736A7D"/>
    <w:rsid w:val="007404B9"/>
    <w:rsid w:val="007406B5"/>
    <w:rsid w:val="00740861"/>
    <w:rsid w:val="00741B8D"/>
    <w:rsid w:val="00742AF4"/>
    <w:rsid w:val="007438AE"/>
    <w:rsid w:val="007446AC"/>
    <w:rsid w:val="0074632D"/>
    <w:rsid w:val="0074642B"/>
    <w:rsid w:val="0074645E"/>
    <w:rsid w:val="00746AFF"/>
    <w:rsid w:val="00751273"/>
    <w:rsid w:val="00752DA9"/>
    <w:rsid w:val="0075302B"/>
    <w:rsid w:val="007534E5"/>
    <w:rsid w:val="00753EFC"/>
    <w:rsid w:val="00762725"/>
    <w:rsid w:val="007631D6"/>
    <w:rsid w:val="007648E3"/>
    <w:rsid w:val="00765266"/>
    <w:rsid w:val="007664C8"/>
    <w:rsid w:val="007668D5"/>
    <w:rsid w:val="00770EDF"/>
    <w:rsid w:val="007741DC"/>
    <w:rsid w:val="00777CAA"/>
    <w:rsid w:val="007810F8"/>
    <w:rsid w:val="007819D4"/>
    <w:rsid w:val="00786275"/>
    <w:rsid w:val="00786478"/>
    <w:rsid w:val="0078670C"/>
    <w:rsid w:val="00786BA5"/>
    <w:rsid w:val="00787BEB"/>
    <w:rsid w:val="00791231"/>
    <w:rsid w:val="0079140A"/>
    <w:rsid w:val="00792B8B"/>
    <w:rsid w:val="00793291"/>
    <w:rsid w:val="007936C0"/>
    <w:rsid w:val="00793A20"/>
    <w:rsid w:val="00795301"/>
    <w:rsid w:val="00795352"/>
    <w:rsid w:val="00795CF3"/>
    <w:rsid w:val="00796660"/>
    <w:rsid w:val="00796E9F"/>
    <w:rsid w:val="00797951"/>
    <w:rsid w:val="007A2657"/>
    <w:rsid w:val="007A3761"/>
    <w:rsid w:val="007A42B0"/>
    <w:rsid w:val="007A5D51"/>
    <w:rsid w:val="007A6A55"/>
    <w:rsid w:val="007B036B"/>
    <w:rsid w:val="007B0D58"/>
    <w:rsid w:val="007B0E33"/>
    <w:rsid w:val="007B68E1"/>
    <w:rsid w:val="007B6CD7"/>
    <w:rsid w:val="007B7D63"/>
    <w:rsid w:val="007C0594"/>
    <w:rsid w:val="007C59FD"/>
    <w:rsid w:val="007C6701"/>
    <w:rsid w:val="007D0FC6"/>
    <w:rsid w:val="007D17A3"/>
    <w:rsid w:val="007D1BB0"/>
    <w:rsid w:val="007D26F3"/>
    <w:rsid w:val="007D5CC1"/>
    <w:rsid w:val="007D5F69"/>
    <w:rsid w:val="007D6364"/>
    <w:rsid w:val="007D6787"/>
    <w:rsid w:val="007D7F60"/>
    <w:rsid w:val="007E0F98"/>
    <w:rsid w:val="007E102C"/>
    <w:rsid w:val="007E1D57"/>
    <w:rsid w:val="007E1ED4"/>
    <w:rsid w:val="007E22A1"/>
    <w:rsid w:val="007E25E7"/>
    <w:rsid w:val="007E5704"/>
    <w:rsid w:val="007E7AC9"/>
    <w:rsid w:val="007F47C8"/>
    <w:rsid w:val="007F4A3F"/>
    <w:rsid w:val="007F706F"/>
    <w:rsid w:val="007F77F1"/>
    <w:rsid w:val="0080059E"/>
    <w:rsid w:val="00801B78"/>
    <w:rsid w:val="008057E5"/>
    <w:rsid w:val="00807745"/>
    <w:rsid w:val="00807AB1"/>
    <w:rsid w:val="00810F5E"/>
    <w:rsid w:val="0081271B"/>
    <w:rsid w:val="00813859"/>
    <w:rsid w:val="00814075"/>
    <w:rsid w:val="00815101"/>
    <w:rsid w:val="008154C9"/>
    <w:rsid w:val="00816461"/>
    <w:rsid w:val="00817347"/>
    <w:rsid w:val="00821C7B"/>
    <w:rsid w:val="00825A39"/>
    <w:rsid w:val="00825D4F"/>
    <w:rsid w:val="00830640"/>
    <w:rsid w:val="00833E57"/>
    <w:rsid w:val="00834866"/>
    <w:rsid w:val="00834A65"/>
    <w:rsid w:val="00836FBB"/>
    <w:rsid w:val="00840707"/>
    <w:rsid w:val="008415CE"/>
    <w:rsid w:val="00841FC1"/>
    <w:rsid w:val="00841FD4"/>
    <w:rsid w:val="00842AE3"/>
    <w:rsid w:val="008458FE"/>
    <w:rsid w:val="0084736B"/>
    <w:rsid w:val="008474EE"/>
    <w:rsid w:val="00851E84"/>
    <w:rsid w:val="008541F3"/>
    <w:rsid w:val="00855BAE"/>
    <w:rsid w:val="00856A62"/>
    <w:rsid w:val="00860389"/>
    <w:rsid w:val="00860601"/>
    <w:rsid w:val="00861181"/>
    <w:rsid w:val="008619CF"/>
    <w:rsid w:val="00861A8E"/>
    <w:rsid w:val="00861CBC"/>
    <w:rsid w:val="00865EF1"/>
    <w:rsid w:val="00866BBD"/>
    <w:rsid w:val="00867198"/>
    <w:rsid w:val="00870AE3"/>
    <w:rsid w:val="00870D7F"/>
    <w:rsid w:val="008711B3"/>
    <w:rsid w:val="00871255"/>
    <w:rsid w:val="008724FB"/>
    <w:rsid w:val="00873FFB"/>
    <w:rsid w:val="00875E48"/>
    <w:rsid w:val="00875E76"/>
    <w:rsid w:val="008801B0"/>
    <w:rsid w:val="00881890"/>
    <w:rsid w:val="00881977"/>
    <w:rsid w:val="0088249A"/>
    <w:rsid w:val="0088349D"/>
    <w:rsid w:val="008843F7"/>
    <w:rsid w:val="008850BC"/>
    <w:rsid w:val="0088630A"/>
    <w:rsid w:val="00890490"/>
    <w:rsid w:val="00891103"/>
    <w:rsid w:val="0089204B"/>
    <w:rsid w:val="008927EE"/>
    <w:rsid w:val="00892B42"/>
    <w:rsid w:val="00892D0E"/>
    <w:rsid w:val="00893877"/>
    <w:rsid w:val="00893C6E"/>
    <w:rsid w:val="00893C79"/>
    <w:rsid w:val="00894328"/>
    <w:rsid w:val="00894F62"/>
    <w:rsid w:val="008964CF"/>
    <w:rsid w:val="008969A1"/>
    <w:rsid w:val="008A149C"/>
    <w:rsid w:val="008A235D"/>
    <w:rsid w:val="008A3B02"/>
    <w:rsid w:val="008A4762"/>
    <w:rsid w:val="008A5150"/>
    <w:rsid w:val="008A581B"/>
    <w:rsid w:val="008A5ABF"/>
    <w:rsid w:val="008A63FD"/>
    <w:rsid w:val="008A735E"/>
    <w:rsid w:val="008B37FA"/>
    <w:rsid w:val="008B3ED6"/>
    <w:rsid w:val="008B3FE8"/>
    <w:rsid w:val="008B5323"/>
    <w:rsid w:val="008B6A3E"/>
    <w:rsid w:val="008B7C62"/>
    <w:rsid w:val="008C0025"/>
    <w:rsid w:val="008C01D5"/>
    <w:rsid w:val="008C0290"/>
    <w:rsid w:val="008C074E"/>
    <w:rsid w:val="008C106D"/>
    <w:rsid w:val="008C3156"/>
    <w:rsid w:val="008C6236"/>
    <w:rsid w:val="008C6320"/>
    <w:rsid w:val="008C6F93"/>
    <w:rsid w:val="008C76D0"/>
    <w:rsid w:val="008C7FB0"/>
    <w:rsid w:val="008D0A7E"/>
    <w:rsid w:val="008D14C3"/>
    <w:rsid w:val="008D2CE8"/>
    <w:rsid w:val="008D496B"/>
    <w:rsid w:val="008E3222"/>
    <w:rsid w:val="008E708E"/>
    <w:rsid w:val="008F0E5C"/>
    <w:rsid w:val="008F2A8F"/>
    <w:rsid w:val="008F2E14"/>
    <w:rsid w:val="008F547F"/>
    <w:rsid w:val="0090000A"/>
    <w:rsid w:val="00901575"/>
    <w:rsid w:val="00901B7A"/>
    <w:rsid w:val="00901EAC"/>
    <w:rsid w:val="00903214"/>
    <w:rsid w:val="009035F3"/>
    <w:rsid w:val="00904756"/>
    <w:rsid w:val="0090566A"/>
    <w:rsid w:val="00905C34"/>
    <w:rsid w:val="00906EB2"/>
    <w:rsid w:val="009119E0"/>
    <w:rsid w:val="00913418"/>
    <w:rsid w:val="00913FE9"/>
    <w:rsid w:val="00915580"/>
    <w:rsid w:val="009161A5"/>
    <w:rsid w:val="00916961"/>
    <w:rsid w:val="00916B09"/>
    <w:rsid w:val="00920FBC"/>
    <w:rsid w:val="009217A6"/>
    <w:rsid w:val="00923D9A"/>
    <w:rsid w:val="00926219"/>
    <w:rsid w:val="0093046E"/>
    <w:rsid w:val="00936D65"/>
    <w:rsid w:val="0094031E"/>
    <w:rsid w:val="00940E50"/>
    <w:rsid w:val="00942643"/>
    <w:rsid w:val="009426C6"/>
    <w:rsid w:val="00942F10"/>
    <w:rsid w:val="00943694"/>
    <w:rsid w:val="009476A3"/>
    <w:rsid w:val="00951E75"/>
    <w:rsid w:val="00954E7A"/>
    <w:rsid w:val="00956A8C"/>
    <w:rsid w:val="00956C25"/>
    <w:rsid w:val="009615D7"/>
    <w:rsid w:val="00961CC1"/>
    <w:rsid w:val="00962862"/>
    <w:rsid w:val="00965424"/>
    <w:rsid w:val="009678EB"/>
    <w:rsid w:val="00970AEF"/>
    <w:rsid w:val="009723F2"/>
    <w:rsid w:val="00974252"/>
    <w:rsid w:val="00976B13"/>
    <w:rsid w:val="00976E8D"/>
    <w:rsid w:val="00977572"/>
    <w:rsid w:val="009815F6"/>
    <w:rsid w:val="00981D7E"/>
    <w:rsid w:val="00983E91"/>
    <w:rsid w:val="00985135"/>
    <w:rsid w:val="0098581B"/>
    <w:rsid w:val="0098618F"/>
    <w:rsid w:val="0099070C"/>
    <w:rsid w:val="00990FDF"/>
    <w:rsid w:val="00991ADB"/>
    <w:rsid w:val="00993852"/>
    <w:rsid w:val="009944A1"/>
    <w:rsid w:val="009951D8"/>
    <w:rsid w:val="009966B4"/>
    <w:rsid w:val="009A3858"/>
    <w:rsid w:val="009A3922"/>
    <w:rsid w:val="009A5482"/>
    <w:rsid w:val="009A7EE8"/>
    <w:rsid w:val="009A7F2F"/>
    <w:rsid w:val="009B31F5"/>
    <w:rsid w:val="009B469B"/>
    <w:rsid w:val="009B475A"/>
    <w:rsid w:val="009B4F5A"/>
    <w:rsid w:val="009B6AA4"/>
    <w:rsid w:val="009C0639"/>
    <w:rsid w:val="009C0F77"/>
    <w:rsid w:val="009C277C"/>
    <w:rsid w:val="009C3B92"/>
    <w:rsid w:val="009C3B9C"/>
    <w:rsid w:val="009C5A8F"/>
    <w:rsid w:val="009C77F9"/>
    <w:rsid w:val="009D0638"/>
    <w:rsid w:val="009D1A36"/>
    <w:rsid w:val="009D26E3"/>
    <w:rsid w:val="009D5E59"/>
    <w:rsid w:val="009D5EFF"/>
    <w:rsid w:val="009D724C"/>
    <w:rsid w:val="009E16DE"/>
    <w:rsid w:val="009E23D7"/>
    <w:rsid w:val="009E311F"/>
    <w:rsid w:val="009E3639"/>
    <w:rsid w:val="009E3F38"/>
    <w:rsid w:val="009E47DE"/>
    <w:rsid w:val="009E4E61"/>
    <w:rsid w:val="009E4F99"/>
    <w:rsid w:val="009E5FA5"/>
    <w:rsid w:val="009E6263"/>
    <w:rsid w:val="009E6D28"/>
    <w:rsid w:val="009F0CEF"/>
    <w:rsid w:val="009F3853"/>
    <w:rsid w:val="009F5986"/>
    <w:rsid w:val="009F5F73"/>
    <w:rsid w:val="009F7CA3"/>
    <w:rsid w:val="00A007E9"/>
    <w:rsid w:val="00A00958"/>
    <w:rsid w:val="00A00C6E"/>
    <w:rsid w:val="00A016FB"/>
    <w:rsid w:val="00A018D7"/>
    <w:rsid w:val="00A01AD7"/>
    <w:rsid w:val="00A02BAF"/>
    <w:rsid w:val="00A047CF"/>
    <w:rsid w:val="00A04E64"/>
    <w:rsid w:val="00A07C06"/>
    <w:rsid w:val="00A07E92"/>
    <w:rsid w:val="00A10E2A"/>
    <w:rsid w:val="00A1417F"/>
    <w:rsid w:val="00A150C3"/>
    <w:rsid w:val="00A16364"/>
    <w:rsid w:val="00A22783"/>
    <w:rsid w:val="00A2280D"/>
    <w:rsid w:val="00A22B3F"/>
    <w:rsid w:val="00A264A6"/>
    <w:rsid w:val="00A308A0"/>
    <w:rsid w:val="00A31202"/>
    <w:rsid w:val="00A3148F"/>
    <w:rsid w:val="00A31605"/>
    <w:rsid w:val="00A31628"/>
    <w:rsid w:val="00A31AD5"/>
    <w:rsid w:val="00A32AE1"/>
    <w:rsid w:val="00A350BD"/>
    <w:rsid w:val="00A40157"/>
    <w:rsid w:val="00A4075C"/>
    <w:rsid w:val="00A40F2E"/>
    <w:rsid w:val="00A41ADC"/>
    <w:rsid w:val="00A42AF3"/>
    <w:rsid w:val="00A42C60"/>
    <w:rsid w:val="00A44C8C"/>
    <w:rsid w:val="00A44EFE"/>
    <w:rsid w:val="00A467D7"/>
    <w:rsid w:val="00A50472"/>
    <w:rsid w:val="00A53721"/>
    <w:rsid w:val="00A55461"/>
    <w:rsid w:val="00A55856"/>
    <w:rsid w:val="00A62832"/>
    <w:rsid w:val="00A64527"/>
    <w:rsid w:val="00A67D18"/>
    <w:rsid w:val="00A67D34"/>
    <w:rsid w:val="00A7037A"/>
    <w:rsid w:val="00A714F9"/>
    <w:rsid w:val="00A73593"/>
    <w:rsid w:val="00A746F0"/>
    <w:rsid w:val="00A74BB9"/>
    <w:rsid w:val="00A74D90"/>
    <w:rsid w:val="00A758BB"/>
    <w:rsid w:val="00A80B45"/>
    <w:rsid w:val="00A80DB5"/>
    <w:rsid w:val="00A81A88"/>
    <w:rsid w:val="00A820A6"/>
    <w:rsid w:val="00A826DF"/>
    <w:rsid w:val="00A82A06"/>
    <w:rsid w:val="00A82F37"/>
    <w:rsid w:val="00A853EE"/>
    <w:rsid w:val="00A8705B"/>
    <w:rsid w:val="00A872D7"/>
    <w:rsid w:val="00A917EB"/>
    <w:rsid w:val="00A91FF3"/>
    <w:rsid w:val="00A92A9A"/>
    <w:rsid w:val="00A92E4C"/>
    <w:rsid w:val="00A94FAE"/>
    <w:rsid w:val="00A97003"/>
    <w:rsid w:val="00AA05CA"/>
    <w:rsid w:val="00AA15A9"/>
    <w:rsid w:val="00AA1CE3"/>
    <w:rsid w:val="00AA1F73"/>
    <w:rsid w:val="00AA236B"/>
    <w:rsid w:val="00AA4DD9"/>
    <w:rsid w:val="00AA4F0F"/>
    <w:rsid w:val="00AA7B9D"/>
    <w:rsid w:val="00AB039E"/>
    <w:rsid w:val="00AB03F5"/>
    <w:rsid w:val="00AB0718"/>
    <w:rsid w:val="00AB0843"/>
    <w:rsid w:val="00AB5FFA"/>
    <w:rsid w:val="00AC064B"/>
    <w:rsid w:val="00AC15AD"/>
    <w:rsid w:val="00AC2669"/>
    <w:rsid w:val="00AC54E2"/>
    <w:rsid w:val="00AC586B"/>
    <w:rsid w:val="00AC6F36"/>
    <w:rsid w:val="00AC70D9"/>
    <w:rsid w:val="00AD1710"/>
    <w:rsid w:val="00AD1EF0"/>
    <w:rsid w:val="00AD5057"/>
    <w:rsid w:val="00AD50C2"/>
    <w:rsid w:val="00AE143C"/>
    <w:rsid w:val="00AE4E3F"/>
    <w:rsid w:val="00AE5FFE"/>
    <w:rsid w:val="00AE60AC"/>
    <w:rsid w:val="00AE6F42"/>
    <w:rsid w:val="00AF2254"/>
    <w:rsid w:val="00AF2E1A"/>
    <w:rsid w:val="00AF4DAB"/>
    <w:rsid w:val="00B01960"/>
    <w:rsid w:val="00B04F28"/>
    <w:rsid w:val="00B067D7"/>
    <w:rsid w:val="00B07CDB"/>
    <w:rsid w:val="00B07D0E"/>
    <w:rsid w:val="00B07DF6"/>
    <w:rsid w:val="00B114B5"/>
    <w:rsid w:val="00B11C73"/>
    <w:rsid w:val="00B124DE"/>
    <w:rsid w:val="00B14096"/>
    <w:rsid w:val="00B169D0"/>
    <w:rsid w:val="00B176F0"/>
    <w:rsid w:val="00B22579"/>
    <w:rsid w:val="00B22867"/>
    <w:rsid w:val="00B24766"/>
    <w:rsid w:val="00B25F4D"/>
    <w:rsid w:val="00B26DF1"/>
    <w:rsid w:val="00B271E6"/>
    <w:rsid w:val="00B2740A"/>
    <w:rsid w:val="00B277D8"/>
    <w:rsid w:val="00B30017"/>
    <w:rsid w:val="00B320B9"/>
    <w:rsid w:val="00B32BFA"/>
    <w:rsid w:val="00B33A7B"/>
    <w:rsid w:val="00B33BBA"/>
    <w:rsid w:val="00B3406A"/>
    <w:rsid w:val="00B3772C"/>
    <w:rsid w:val="00B41A33"/>
    <w:rsid w:val="00B476C7"/>
    <w:rsid w:val="00B47E5D"/>
    <w:rsid w:val="00B52A25"/>
    <w:rsid w:val="00B55764"/>
    <w:rsid w:val="00B60EB5"/>
    <w:rsid w:val="00B612FF"/>
    <w:rsid w:val="00B64DD9"/>
    <w:rsid w:val="00B655EC"/>
    <w:rsid w:val="00B65FBC"/>
    <w:rsid w:val="00B70A56"/>
    <w:rsid w:val="00B71A7B"/>
    <w:rsid w:val="00B73048"/>
    <w:rsid w:val="00B7357E"/>
    <w:rsid w:val="00B742F4"/>
    <w:rsid w:val="00B74D03"/>
    <w:rsid w:val="00B7755C"/>
    <w:rsid w:val="00B801A0"/>
    <w:rsid w:val="00B8258B"/>
    <w:rsid w:val="00B829A0"/>
    <w:rsid w:val="00B82A1F"/>
    <w:rsid w:val="00B85DD5"/>
    <w:rsid w:val="00B905C4"/>
    <w:rsid w:val="00B906E4"/>
    <w:rsid w:val="00B9144E"/>
    <w:rsid w:val="00B917D9"/>
    <w:rsid w:val="00B92AF1"/>
    <w:rsid w:val="00B92ECC"/>
    <w:rsid w:val="00B94201"/>
    <w:rsid w:val="00B969D3"/>
    <w:rsid w:val="00B97225"/>
    <w:rsid w:val="00BA09FC"/>
    <w:rsid w:val="00BA0A4A"/>
    <w:rsid w:val="00BA1D0C"/>
    <w:rsid w:val="00BA1F67"/>
    <w:rsid w:val="00BA2E57"/>
    <w:rsid w:val="00BA4A8F"/>
    <w:rsid w:val="00BA5376"/>
    <w:rsid w:val="00BA5EFC"/>
    <w:rsid w:val="00BA6180"/>
    <w:rsid w:val="00BA626C"/>
    <w:rsid w:val="00BA6F74"/>
    <w:rsid w:val="00BA7065"/>
    <w:rsid w:val="00BB092D"/>
    <w:rsid w:val="00BB141A"/>
    <w:rsid w:val="00BB1AD2"/>
    <w:rsid w:val="00BB294A"/>
    <w:rsid w:val="00BB491A"/>
    <w:rsid w:val="00BB4A2D"/>
    <w:rsid w:val="00BB4E89"/>
    <w:rsid w:val="00BC004E"/>
    <w:rsid w:val="00BC492E"/>
    <w:rsid w:val="00BC4C8E"/>
    <w:rsid w:val="00BC555D"/>
    <w:rsid w:val="00BC55CF"/>
    <w:rsid w:val="00BC5947"/>
    <w:rsid w:val="00BD0205"/>
    <w:rsid w:val="00BD0F1A"/>
    <w:rsid w:val="00BD1E14"/>
    <w:rsid w:val="00BD29A2"/>
    <w:rsid w:val="00BD40B4"/>
    <w:rsid w:val="00BE2DB3"/>
    <w:rsid w:val="00BE3A88"/>
    <w:rsid w:val="00BE6133"/>
    <w:rsid w:val="00BE67F3"/>
    <w:rsid w:val="00BE707D"/>
    <w:rsid w:val="00BE70A9"/>
    <w:rsid w:val="00BE71E8"/>
    <w:rsid w:val="00BE7862"/>
    <w:rsid w:val="00BF0FC8"/>
    <w:rsid w:val="00BF1C2C"/>
    <w:rsid w:val="00BF24D0"/>
    <w:rsid w:val="00BF2D98"/>
    <w:rsid w:val="00BF5CC5"/>
    <w:rsid w:val="00BF7283"/>
    <w:rsid w:val="00C005F8"/>
    <w:rsid w:val="00C00645"/>
    <w:rsid w:val="00C0190A"/>
    <w:rsid w:val="00C02EDF"/>
    <w:rsid w:val="00C03561"/>
    <w:rsid w:val="00C04CAF"/>
    <w:rsid w:val="00C05B49"/>
    <w:rsid w:val="00C060ED"/>
    <w:rsid w:val="00C06C20"/>
    <w:rsid w:val="00C074A6"/>
    <w:rsid w:val="00C07B2F"/>
    <w:rsid w:val="00C11060"/>
    <w:rsid w:val="00C12101"/>
    <w:rsid w:val="00C130ED"/>
    <w:rsid w:val="00C14891"/>
    <w:rsid w:val="00C14991"/>
    <w:rsid w:val="00C14A75"/>
    <w:rsid w:val="00C17596"/>
    <w:rsid w:val="00C20E18"/>
    <w:rsid w:val="00C26C74"/>
    <w:rsid w:val="00C3005B"/>
    <w:rsid w:val="00C307CC"/>
    <w:rsid w:val="00C32124"/>
    <w:rsid w:val="00C33D51"/>
    <w:rsid w:val="00C356BA"/>
    <w:rsid w:val="00C36A42"/>
    <w:rsid w:val="00C36F1A"/>
    <w:rsid w:val="00C3727C"/>
    <w:rsid w:val="00C40B44"/>
    <w:rsid w:val="00C42424"/>
    <w:rsid w:val="00C603A0"/>
    <w:rsid w:val="00C61F44"/>
    <w:rsid w:val="00C62276"/>
    <w:rsid w:val="00C62F3A"/>
    <w:rsid w:val="00C64189"/>
    <w:rsid w:val="00C64648"/>
    <w:rsid w:val="00C7009B"/>
    <w:rsid w:val="00C717BE"/>
    <w:rsid w:val="00C71DBD"/>
    <w:rsid w:val="00C74229"/>
    <w:rsid w:val="00C743E1"/>
    <w:rsid w:val="00C7674B"/>
    <w:rsid w:val="00C769A6"/>
    <w:rsid w:val="00C81899"/>
    <w:rsid w:val="00C82BCA"/>
    <w:rsid w:val="00C83DAC"/>
    <w:rsid w:val="00C83DB5"/>
    <w:rsid w:val="00C847A9"/>
    <w:rsid w:val="00C858FB"/>
    <w:rsid w:val="00C93EEE"/>
    <w:rsid w:val="00C948A0"/>
    <w:rsid w:val="00C94E8B"/>
    <w:rsid w:val="00C97765"/>
    <w:rsid w:val="00CA0307"/>
    <w:rsid w:val="00CA2B14"/>
    <w:rsid w:val="00CA2F6A"/>
    <w:rsid w:val="00CA4BD3"/>
    <w:rsid w:val="00CB1B59"/>
    <w:rsid w:val="00CB2417"/>
    <w:rsid w:val="00CB3990"/>
    <w:rsid w:val="00CB4CAC"/>
    <w:rsid w:val="00CB613D"/>
    <w:rsid w:val="00CB6A20"/>
    <w:rsid w:val="00CB6FEE"/>
    <w:rsid w:val="00CC1927"/>
    <w:rsid w:val="00CC22F6"/>
    <w:rsid w:val="00CC2F07"/>
    <w:rsid w:val="00CC2FD8"/>
    <w:rsid w:val="00CC343D"/>
    <w:rsid w:val="00CC4360"/>
    <w:rsid w:val="00CC517D"/>
    <w:rsid w:val="00CC5284"/>
    <w:rsid w:val="00CC6A56"/>
    <w:rsid w:val="00CD12FE"/>
    <w:rsid w:val="00CD30C1"/>
    <w:rsid w:val="00CD3753"/>
    <w:rsid w:val="00CD7D0B"/>
    <w:rsid w:val="00CE0225"/>
    <w:rsid w:val="00CE0D5B"/>
    <w:rsid w:val="00CE1063"/>
    <w:rsid w:val="00CE40C1"/>
    <w:rsid w:val="00CE4385"/>
    <w:rsid w:val="00CE6483"/>
    <w:rsid w:val="00CE7111"/>
    <w:rsid w:val="00CE7D63"/>
    <w:rsid w:val="00CF123D"/>
    <w:rsid w:val="00CF20B1"/>
    <w:rsid w:val="00CF6509"/>
    <w:rsid w:val="00CF7452"/>
    <w:rsid w:val="00D00F39"/>
    <w:rsid w:val="00D01715"/>
    <w:rsid w:val="00D04EDC"/>
    <w:rsid w:val="00D057B6"/>
    <w:rsid w:val="00D05C36"/>
    <w:rsid w:val="00D05D56"/>
    <w:rsid w:val="00D06398"/>
    <w:rsid w:val="00D067FF"/>
    <w:rsid w:val="00D07319"/>
    <w:rsid w:val="00D11707"/>
    <w:rsid w:val="00D13933"/>
    <w:rsid w:val="00D142A9"/>
    <w:rsid w:val="00D15026"/>
    <w:rsid w:val="00D1532D"/>
    <w:rsid w:val="00D17120"/>
    <w:rsid w:val="00D20458"/>
    <w:rsid w:val="00D22145"/>
    <w:rsid w:val="00D23F59"/>
    <w:rsid w:val="00D2447D"/>
    <w:rsid w:val="00D26762"/>
    <w:rsid w:val="00D26BC2"/>
    <w:rsid w:val="00D2799A"/>
    <w:rsid w:val="00D27C1D"/>
    <w:rsid w:val="00D308E9"/>
    <w:rsid w:val="00D31E08"/>
    <w:rsid w:val="00D32525"/>
    <w:rsid w:val="00D32F32"/>
    <w:rsid w:val="00D34122"/>
    <w:rsid w:val="00D34C81"/>
    <w:rsid w:val="00D373A6"/>
    <w:rsid w:val="00D3781E"/>
    <w:rsid w:val="00D37872"/>
    <w:rsid w:val="00D40A12"/>
    <w:rsid w:val="00D4178A"/>
    <w:rsid w:val="00D41A2E"/>
    <w:rsid w:val="00D4264C"/>
    <w:rsid w:val="00D43F6B"/>
    <w:rsid w:val="00D5122A"/>
    <w:rsid w:val="00D5217A"/>
    <w:rsid w:val="00D54263"/>
    <w:rsid w:val="00D55673"/>
    <w:rsid w:val="00D609EE"/>
    <w:rsid w:val="00D629A8"/>
    <w:rsid w:val="00D6375C"/>
    <w:rsid w:val="00D63997"/>
    <w:rsid w:val="00D66FDE"/>
    <w:rsid w:val="00D67645"/>
    <w:rsid w:val="00D70FC4"/>
    <w:rsid w:val="00D73859"/>
    <w:rsid w:val="00D73945"/>
    <w:rsid w:val="00D73AF8"/>
    <w:rsid w:val="00D7511B"/>
    <w:rsid w:val="00D75FD8"/>
    <w:rsid w:val="00D76724"/>
    <w:rsid w:val="00D77311"/>
    <w:rsid w:val="00D81D36"/>
    <w:rsid w:val="00D829E4"/>
    <w:rsid w:val="00D82D90"/>
    <w:rsid w:val="00D8318F"/>
    <w:rsid w:val="00D831B7"/>
    <w:rsid w:val="00D8350D"/>
    <w:rsid w:val="00D8706C"/>
    <w:rsid w:val="00D91F3F"/>
    <w:rsid w:val="00D9222A"/>
    <w:rsid w:val="00D92531"/>
    <w:rsid w:val="00D925CB"/>
    <w:rsid w:val="00D92CEB"/>
    <w:rsid w:val="00DA1616"/>
    <w:rsid w:val="00DA294C"/>
    <w:rsid w:val="00DB1F94"/>
    <w:rsid w:val="00DB6643"/>
    <w:rsid w:val="00DB70BC"/>
    <w:rsid w:val="00DC0FA2"/>
    <w:rsid w:val="00DC3370"/>
    <w:rsid w:val="00DC3401"/>
    <w:rsid w:val="00DC37CE"/>
    <w:rsid w:val="00DC3E7F"/>
    <w:rsid w:val="00DC4E0F"/>
    <w:rsid w:val="00DC6C57"/>
    <w:rsid w:val="00DC6C7C"/>
    <w:rsid w:val="00DD0E30"/>
    <w:rsid w:val="00DD1234"/>
    <w:rsid w:val="00DD2D90"/>
    <w:rsid w:val="00DD3C41"/>
    <w:rsid w:val="00DD44BD"/>
    <w:rsid w:val="00DD490E"/>
    <w:rsid w:val="00DD6AC3"/>
    <w:rsid w:val="00DE069E"/>
    <w:rsid w:val="00DE162F"/>
    <w:rsid w:val="00DE3755"/>
    <w:rsid w:val="00DE6861"/>
    <w:rsid w:val="00DF0E57"/>
    <w:rsid w:val="00DF1C20"/>
    <w:rsid w:val="00DF43FF"/>
    <w:rsid w:val="00DF4ABA"/>
    <w:rsid w:val="00E02695"/>
    <w:rsid w:val="00E0333A"/>
    <w:rsid w:val="00E04A42"/>
    <w:rsid w:val="00E053BC"/>
    <w:rsid w:val="00E0562C"/>
    <w:rsid w:val="00E05DF9"/>
    <w:rsid w:val="00E12D61"/>
    <w:rsid w:val="00E1404A"/>
    <w:rsid w:val="00E14789"/>
    <w:rsid w:val="00E14810"/>
    <w:rsid w:val="00E15021"/>
    <w:rsid w:val="00E1518E"/>
    <w:rsid w:val="00E163FD"/>
    <w:rsid w:val="00E20997"/>
    <w:rsid w:val="00E2146C"/>
    <w:rsid w:val="00E239AA"/>
    <w:rsid w:val="00E2408D"/>
    <w:rsid w:val="00E25B6F"/>
    <w:rsid w:val="00E25F0A"/>
    <w:rsid w:val="00E266F1"/>
    <w:rsid w:val="00E27FCA"/>
    <w:rsid w:val="00E30C3E"/>
    <w:rsid w:val="00E31437"/>
    <w:rsid w:val="00E364A8"/>
    <w:rsid w:val="00E419CA"/>
    <w:rsid w:val="00E42B02"/>
    <w:rsid w:val="00E42C1A"/>
    <w:rsid w:val="00E4421B"/>
    <w:rsid w:val="00E45962"/>
    <w:rsid w:val="00E45E83"/>
    <w:rsid w:val="00E46DA6"/>
    <w:rsid w:val="00E51740"/>
    <w:rsid w:val="00E55AAD"/>
    <w:rsid w:val="00E55B8A"/>
    <w:rsid w:val="00E57F16"/>
    <w:rsid w:val="00E628EE"/>
    <w:rsid w:val="00E64D06"/>
    <w:rsid w:val="00E6610C"/>
    <w:rsid w:val="00E66BA6"/>
    <w:rsid w:val="00E674BD"/>
    <w:rsid w:val="00E70421"/>
    <w:rsid w:val="00E71C5E"/>
    <w:rsid w:val="00E71DA6"/>
    <w:rsid w:val="00E72405"/>
    <w:rsid w:val="00E75096"/>
    <w:rsid w:val="00E75342"/>
    <w:rsid w:val="00E75A9B"/>
    <w:rsid w:val="00E82D22"/>
    <w:rsid w:val="00E832EA"/>
    <w:rsid w:val="00E8334D"/>
    <w:rsid w:val="00E86882"/>
    <w:rsid w:val="00E87BC7"/>
    <w:rsid w:val="00E87FE0"/>
    <w:rsid w:val="00E9050B"/>
    <w:rsid w:val="00E924CD"/>
    <w:rsid w:val="00E9496D"/>
    <w:rsid w:val="00E95FC1"/>
    <w:rsid w:val="00E97880"/>
    <w:rsid w:val="00EA21A0"/>
    <w:rsid w:val="00EA2240"/>
    <w:rsid w:val="00EA3520"/>
    <w:rsid w:val="00EA36DF"/>
    <w:rsid w:val="00EA3CAB"/>
    <w:rsid w:val="00EA4261"/>
    <w:rsid w:val="00EB0BCA"/>
    <w:rsid w:val="00EB1B81"/>
    <w:rsid w:val="00EB2675"/>
    <w:rsid w:val="00EB3475"/>
    <w:rsid w:val="00EB5922"/>
    <w:rsid w:val="00EB5A36"/>
    <w:rsid w:val="00EB6488"/>
    <w:rsid w:val="00EC1512"/>
    <w:rsid w:val="00EC1940"/>
    <w:rsid w:val="00EC5325"/>
    <w:rsid w:val="00EC5A2F"/>
    <w:rsid w:val="00ED2D65"/>
    <w:rsid w:val="00ED3866"/>
    <w:rsid w:val="00EE2157"/>
    <w:rsid w:val="00EE2377"/>
    <w:rsid w:val="00EE27E6"/>
    <w:rsid w:val="00EE47BE"/>
    <w:rsid w:val="00EE5583"/>
    <w:rsid w:val="00EE7BD2"/>
    <w:rsid w:val="00EE7C77"/>
    <w:rsid w:val="00EE7DFF"/>
    <w:rsid w:val="00EF026F"/>
    <w:rsid w:val="00EF0973"/>
    <w:rsid w:val="00EF2FCD"/>
    <w:rsid w:val="00EF3D3F"/>
    <w:rsid w:val="00EF48DA"/>
    <w:rsid w:val="00EF6C61"/>
    <w:rsid w:val="00F010BD"/>
    <w:rsid w:val="00F01870"/>
    <w:rsid w:val="00F01FB2"/>
    <w:rsid w:val="00F0222B"/>
    <w:rsid w:val="00F024F8"/>
    <w:rsid w:val="00F042AB"/>
    <w:rsid w:val="00F0436F"/>
    <w:rsid w:val="00F058E6"/>
    <w:rsid w:val="00F10AE4"/>
    <w:rsid w:val="00F1132A"/>
    <w:rsid w:val="00F12149"/>
    <w:rsid w:val="00F14B55"/>
    <w:rsid w:val="00F154FA"/>
    <w:rsid w:val="00F159A7"/>
    <w:rsid w:val="00F20985"/>
    <w:rsid w:val="00F21035"/>
    <w:rsid w:val="00F21642"/>
    <w:rsid w:val="00F216BA"/>
    <w:rsid w:val="00F22651"/>
    <w:rsid w:val="00F22831"/>
    <w:rsid w:val="00F22B67"/>
    <w:rsid w:val="00F23BF9"/>
    <w:rsid w:val="00F24677"/>
    <w:rsid w:val="00F25044"/>
    <w:rsid w:val="00F251BF"/>
    <w:rsid w:val="00F26A1C"/>
    <w:rsid w:val="00F26A67"/>
    <w:rsid w:val="00F31B2D"/>
    <w:rsid w:val="00F32CE4"/>
    <w:rsid w:val="00F33488"/>
    <w:rsid w:val="00F3349C"/>
    <w:rsid w:val="00F33D54"/>
    <w:rsid w:val="00F35B2B"/>
    <w:rsid w:val="00F36DA3"/>
    <w:rsid w:val="00F37244"/>
    <w:rsid w:val="00F40306"/>
    <w:rsid w:val="00F411A9"/>
    <w:rsid w:val="00F411BD"/>
    <w:rsid w:val="00F42123"/>
    <w:rsid w:val="00F43462"/>
    <w:rsid w:val="00F438F7"/>
    <w:rsid w:val="00F43DCD"/>
    <w:rsid w:val="00F442CA"/>
    <w:rsid w:val="00F4431C"/>
    <w:rsid w:val="00F4615A"/>
    <w:rsid w:val="00F47372"/>
    <w:rsid w:val="00F51D76"/>
    <w:rsid w:val="00F5446E"/>
    <w:rsid w:val="00F57EE2"/>
    <w:rsid w:val="00F60519"/>
    <w:rsid w:val="00F615E8"/>
    <w:rsid w:val="00F62BD4"/>
    <w:rsid w:val="00F64493"/>
    <w:rsid w:val="00F64F4E"/>
    <w:rsid w:val="00F679A8"/>
    <w:rsid w:val="00F705E9"/>
    <w:rsid w:val="00F7236A"/>
    <w:rsid w:val="00F7264A"/>
    <w:rsid w:val="00F72B1D"/>
    <w:rsid w:val="00F75C53"/>
    <w:rsid w:val="00F81CDA"/>
    <w:rsid w:val="00F83D55"/>
    <w:rsid w:val="00F843BE"/>
    <w:rsid w:val="00F853F3"/>
    <w:rsid w:val="00F858D6"/>
    <w:rsid w:val="00F948A1"/>
    <w:rsid w:val="00F94D7E"/>
    <w:rsid w:val="00F94F47"/>
    <w:rsid w:val="00F96447"/>
    <w:rsid w:val="00F96DFC"/>
    <w:rsid w:val="00FA0019"/>
    <w:rsid w:val="00FA1B59"/>
    <w:rsid w:val="00FA4D47"/>
    <w:rsid w:val="00FA55A5"/>
    <w:rsid w:val="00FB053B"/>
    <w:rsid w:val="00FB0DAD"/>
    <w:rsid w:val="00FB17FF"/>
    <w:rsid w:val="00FB4597"/>
    <w:rsid w:val="00FB4683"/>
    <w:rsid w:val="00FB5B71"/>
    <w:rsid w:val="00FC02E9"/>
    <w:rsid w:val="00FC1E5F"/>
    <w:rsid w:val="00FC1FEC"/>
    <w:rsid w:val="00FC4BB7"/>
    <w:rsid w:val="00FC5083"/>
    <w:rsid w:val="00FC784B"/>
    <w:rsid w:val="00FD59BB"/>
    <w:rsid w:val="00FD5F2B"/>
    <w:rsid w:val="00FD7DCD"/>
    <w:rsid w:val="00FE1795"/>
    <w:rsid w:val="00FE17AB"/>
    <w:rsid w:val="00FE218B"/>
    <w:rsid w:val="00FF2278"/>
    <w:rsid w:val="00FF410D"/>
    <w:rsid w:val="00FF59D9"/>
    <w:rsid w:val="00FF5D9C"/>
    <w:rsid w:val="00FF5DF9"/>
    <w:rsid w:val="00FF6353"/>
    <w:rsid w:val="00FF6A44"/>
    <w:rsid w:val="00FF6D22"/>
    <w:rsid w:val="00FF6FD0"/>
    <w:rsid w:val="00FF78D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CF8A5"/>
  <w15:docId w15:val="{92468EA5-947F-4BAA-A34F-A814EF7D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C6E"/>
    <w:pPr>
      <w:tabs>
        <w:tab w:val="center" w:pos="4153"/>
        <w:tab w:val="right" w:pos="8306"/>
      </w:tabs>
    </w:pPr>
  </w:style>
  <w:style w:type="character" w:styleId="PageNumber">
    <w:name w:val="page number"/>
    <w:basedOn w:val="DefaultParagraphFont"/>
    <w:rsid w:val="00893C6E"/>
  </w:style>
  <w:style w:type="paragraph" w:styleId="DocumentMap">
    <w:name w:val="Document Map"/>
    <w:basedOn w:val="Normal"/>
    <w:semiHidden/>
    <w:rsid w:val="0007338B"/>
    <w:pPr>
      <w:shd w:val="clear" w:color="auto" w:fill="000080"/>
    </w:pPr>
    <w:rPr>
      <w:rFonts w:ascii="Tahoma" w:hAnsi="Tahoma" w:cs="Tahoma"/>
      <w:sz w:val="20"/>
      <w:szCs w:val="20"/>
    </w:rPr>
  </w:style>
  <w:style w:type="paragraph" w:styleId="ListParagraph">
    <w:name w:val="List Paragraph"/>
    <w:basedOn w:val="Normal"/>
    <w:uiPriority w:val="34"/>
    <w:qFormat/>
    <w:rsid w:val="00F62BD4"/>
    <w:pPr>
      <w:ind w:left="720"/>
    </w:pPr>
  </w:style>
  <w:style w:type="paragraph" w:styleId="FootnoteText">
    <w:name w:val="footnote text"/>
    <w:basedOn w:val="Normal"/>
    <w:link w:val="FootnoteTextChar"/>
    <w:uiPriority w:val="99"/>
    <w:rsid w:val="008C6F93"/>
    <w:rPr>
      <w:sz w:val="20"/>
      <w:szCs w:val="20"/>
    </w:rPr>
  </w:style>
  <w:style w:type="character" w:styleId="FootnoteReference">
    <w:name w:val="footnote reference"/>
    <w:uiPriority w:val="99"/>
    <w:semiHidden/>
    <w:rsid w:val="008C6F93"/>
    <w:rPr>
      <w:vertAlign w:val="superscript"/>
    </w:rPr>
  </w:style>
  <w:style w:type="paragraph" w:styleId="EndnoteText">
    <w:name w:val="endnote text"/>
    <w:basedOn w:val="Normal"/>
    <w:link w:val="EndnoteTextChar"/>
    <w:rsid w:val="00940E50"/>
    <w:rPr>
      <w:sz w:val="20"/>
      <w:szCs w:val="20"/>
    </w:rPr>
  </w:style>
  <w:style w:type="character" w:customStyle="1" w:styleId="EndnoteTextChar">
    <w:name w:val="Endnote Text Char"/>
    <w:link w:val="EndnoteText"/>
    <w:rsid w:val="00940E50"/>
    <w:rPr>
      <w:lang w:val="en-GB" w:eastAsia="en-GB"/>
    </w:rPr>
  </w:style>
  <w:style w:type="character" w:styleId="EndnoteReference">
    <w:name w:val="endnote reference"/>
    <w:rsid w:val="00940E50"/>
    <w:rPr>
      <w:vertAlign w:val="superscript"/>
    </w:rPr>
  </w:style>
  <w:style w:type="paragraph" w:styleId="BalloonText">
    <w:name w:val="Balloon Text"/>
    <w:basedOn w:val="Normal"/>
    <w:link w:val="BalloonTextChar"/>
    <w:rsid w:val="00440A3B"/>
    <w:rPr>
      <w:rFonts w:ascii="Tahoma" w:hAnsi="Tahoma" w:cs="Tahoma"/>
      <w:sz w:val="16"/>
      <w:szCs w:val="16"/>
    </w:rPr>
  </w:style>
  <w:style w:type="character" w:customStyle="1" w:styleId="BalloonTextChar">
    <w:name w:val="Balloon Text Char"/>
    <w:link w:val="BalloonText"/>
    <w:rsid w:val="00440A3B"/>
    <w:rPr>
      <w:rFonts w:ascii="Tahoma" w:hAnsi="Tahoma" w:cs="Tahoma"/>
      <w:sz w:val="16"/>
      <w:szCs w:val="16"/>
      <w:lang w:val="en-GB" w:eastAsia="en-GB"/>
    </w:rPr>
  </w:style>
  <w:style w:type="paragraph" w:styleId="Footer">
    <w:name w:val="footer"/>
    <w:basedOn w:val="Normal"/>
    <w:link w:val="FooterChar"/>
    <w:rsid w:val="00B8258B"/>
    <w:pPr>
      <w:tabs>
        <w:tab w:val="center" w:pos="4513"/>
        <w:tab w:val="right" w:pos="9026"/>
      </w:tabs>
    </w:pPr>
  </w:style>
  <w:style w:type="character" w:customStyle="1" w:styleId="FooterChar">
    <w:name w:val="Footer Char"/>
    <w:link w:val="Footer"/>
    <w:rsid w:val="00B8258B"/>
    <w:rPr>
      <w:sz w:val="24"/>
      <w:szCs w:val="24"/>
      <w:lang w:val="en-GB" w:eastAsia="en-GB"/>
    </w:rPr>
  </w:style>
  <w:style w:type="paragraph" w:styleId="Revision">
    <w:name w:val="Revision"/>
    <w:hidden/>
    <w:uiPriority w:val="99"/>
    <w:semiHidden/>
    <w:rsid w:val="00CF123D"/>
    <w:rPr>
      <w:sz w:val="24"/>
      <w:szCs w:val="24"/>
      <w:lang w:val="en-GB" w:eastAsia="en-GB"/>
    </w:rPr>
  </w:style>
  <w:style w:type="character" w:customStyle="1" w:styleId="FootnoteTextChar">
    <w:name w:val="Footnote Text Char"/>
    <w:basedOn w:val="DefaultParagraphFont"/>
    <w:link w:val="FootnoteText"/>
    <w:uiPriority w:val="99"/>
    <w:rsid w:val="004D2ADC"/>
    <w:rPr>
      <w:lang w:val="en-GB" w:eastAsia="en-GB"/>
    </w:rPr>
  </w:style>
  <w:style w:type="character" w:styleId="CommentReference">
    <w:name w:val="annotation reference"/>
    <w:basedOn w:val="DefaultParagraphFont"/>
    <w:semiHidden/>
    <w:unhideWhenUsed/>
    <w:rsid w:val="00F7236A"/>
    <w:rPr>
      <w:sz w:val="16"/>
      <w:szCs w:val="16"/>
    </w:rPr>
  </w:style>
  <w:style w:type="paragraph" w:styleId="CommentText">
    <w:name w:val="annotation text"/>
    <w:basedOn w:val="Normal"/>
    <w:link w:val="CommentTextChar"/>
    <w:semiHidden/>
    <w:unhideWhenUsed/>
    <w:rsid w:val="00F7236A"/>
    <w:rPr>
      <w:sz w:val="20"/>
      <w:szCs w:val="20"/>
    </w:rPr>
  </w:style>
  <w:style w:type="character" w:customStyle="1" w:styleId="CommentTextChar">
    <w:name w:val="Comment Text Char"/>
    <w:basedOn w:val="DefaultParagraphFont"/>
    <w:link w:val="CommentText"/>
    <w:semiHidden/>
    <w:rsid w:val="00F7236A"/>
    <w:rPr>
      <w:lang w:val="en-GB" w:eastAsia="en-GB"/>
    </w:rPr>
  </w:style>
  <w:style w:type="paragraph" w:styleId="CommentSubject">
    <w:name w:val="annotation subject"/>
    <w:basedOn w:val="CommentText"/>
    <w:next w:val="CommentText"/>
    <w:link w:val="CommentSubjectChar"/>
    <w:semiHidden/>
    <w:unhideWhenUsed/>
    <w:rsid w:val="00F7236A"/>
    <w:rPr>
      <w:b/>
      <w:bCs/>
    </w:rPr>
  </w:style>
  <w:style w:type="character" w:customStyle="1" w:styleId="CommentSubjectChar">
    <w:name w:val="Comment Subject Char"/>
    <w:basedOn w:val="CommentTextChar"/>
    <w:link w:val="CommentSubject"/>
    <w:semiHidden/>
    <w:rsid w:val="00F7236A"/>
    <w:rPr>
      <w:b/>
      <w:bCs/>
      <w:lang w:val="en-GB" w:eastAsia="en-GB"/>
    </w:rPr>
  </w:style>
  <w:style w:type="character" w:styleId="Hyperlink">
    <w:name w:val="Hyperlink"/>
    <w:basedOn w:val="DefaultParagraphFont"/>
    <w:uiPriority w:val="99"/>
    <w:unhideWhenUsed/>
    <w:rsid w:val="00411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59F0-48E9-4922-AA6A-4EBCC6A6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 THE KWAZULU-NATAL HIGH COURT, DURBAN</vt:lpstr>
    </vt:vector>
  </TitlesOfParts>
  <Company>DOJCD</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KWAZULU-NATAL HIGH COURT, DURBAN</dc:title>
  <dc:creator>DOJCD</dc:creator>
  <cp:lastModifiedBy>HOME</cp:lastModifiedBy>
  <cp:revision>2</cp:revision>
  <cp:lastPrinted>2021-10-26T11:34:00Z</cp:lastPrinted>
  <dcterms:created xsi:type="dcterms:W3CDTF">2022-06-13T18:18:00Z</dcterms:created>
  <dcterms:modified xsi:type="dcterms:W3CDTF">2022-06-13T18:18:00Z</dcterms:modified>
</cp:coreProperties>
</file>