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47" w:rsidRPr="00D14F07" w:rsidRDefault="004F4047" w:rsidP="005E735F">
      <w:pPr>
        <w:spacing w:line="360" w:lineRule="auto"/>
        <w:jc w:val="center"/>
        <w:rPr>
          <w:rFonts w:ascii="Arial" w:eastAsia="Calibri" w:hAnsi="Arial" w:cs="Arial"/>
          <w:b/>
          <w:sz w:val="24"/>
          <w:szCs w:val="24"/>
        </w:rPr>
      </w:pPr>
      <w:r w:rsidRPr="00D14F07">
        <w:rPr>
          <w:rFonts w:ascii="Calibri" w:eastAsia="Calibri" w:hAnsi="Calibri"/>
          <w:noProof/>
          <w:lang w:eastAsia="en-ZA"/>
        </w:rPr>
        <w:drawing>
          <wp:inline distT="0" distB="0" distL="0" distR="0" wp14:anchorId="30A074DC" wp14:editId="16AFE056">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5E735F" w:rsidRPr="00D14F07" w:rsidRDefault="005E735F" w:rsidP="004F4047">
      <w:pPr>
        <w:spacing w:line="240" w:lineRule="auto"/>
        <w:jc w:val="center"/>
        <w:rPr>
          <w:rFonts w:ascii="Arial" w:eastAsia="Calibri" w:hAnsi="Arial" w:cs="Arial"/>
          <w:b/>
          <w:sz w:val="24"/>
          <w:szCs w:val="24"/>
        </w:rPr>
      </w:pPr>
      <w:r w:rsidRPr="00D14F07">
        <w:rPr>
          <w:rFonts w:ascii="Arial" w:eastAsia="Calibri" w:hAnsi="Arial" w:cs="Arial"/>
          <w:b/>
          <w:sz w:val="24"/>
          <w:szCs w:val="24"/>
        </w:rPr>
        <w:t>THE HIGH COURT OF SOUTH AFRICA</w:t>
      </w:r>
    </w:p>
    <w:p w:rsidR="005E735F" w:rsidRPr="00D14F07" w:rsidRDefault="005E735F" w:rsidP="004F4047">
      <w:pPr>
        <w:spacing w:line="240" w:lineRule="auto"/>
        <w:jc w:val="center"/>
        <w:rPr>
          <w:rFonts w:ascii="Arial" w:eastAsia="Calibri" w:hAnsi="Arial" w:cs="Arial"/>
          <w:b/>
          <w:sz w:val="24"/>
          <w:szCs w:val="24"/>
        </w:rPr>
      </w:pPr>
      <w:r w:rsidRPr="00D14F07">
        <w:rPr>
          <w:rFonts w:ascii="Arial" w:eastAsia="Calibri" w:hAnsi="Arial" w:cs="Arial"/>
          <w:b/>
          <w:sz w:val="24"/>
          <w:szCs w:val="24"/>
        </w:rPr>
        <w:t>KWAZULU–NATAL LOCAL DIVISION, DURBAN</w:t>
      </w:r>
    </w:p>
    <w:p w:rsidR="004F4047" w:rsidRPr="00D14F07" w:rsidRDefault="004F4047" w:rsidP="005E735F">
      <w:pPr>
        <w:spacing w:line="360" w:lineRule="auto"/>
        <w:jc w:val="right"/>
        <w:rPr>
          <w:rFonts w:ascii="Arial" w:hAnsi="Arial" w:cs="Arial"/>
          <w:b/>
          <w:sz w:val="24"/>
          <w:szCs w:val="24"/>
        </w:rPr>
      </w:pPr>
    </w:p>
    <w:p w:rsidR="005E735F" w:rsidRPr="00D14F07" w:rsidRDefault="005E735F" w:rsidP="005E735F">
      <w:pPr>
        <w:spacing w:line="360" w:lineRule="auto"/>
        <w:jc w:val="right"/>
        <w:rPr>
          <w:rFonts w:ascii="Arial" w:hAnsi="Arial" w:cs="Arial"/>
          <w:b/>
          <w:sz w:val="24"/>
          <w:szCs w:val="24"/>
        </w:rPr>
      </w:pPr>
      <w:r w:rsidRPr="00D14F07">
        <w:rPr>
          <w:rFonts w:ascii="Arial" w:hAnsi="Arial" w:cs="Arial"/>
          <w:b/>
          <w:sz w:val="24"/>
          <w:szCs w:val="24"/>
        </w:rPr>
        <w:t>CASE NO:  D6378/2021</w:t>
      </w:r>
    </w:p>
    <w:p w:rsidR="005E735F" w:rsidRPr="00D14F07" w:rsidRDefault="005E735F" w:rsidP="005E735F">
      <w:pPr>
        <w:spacing w:line="360" w:lineRule="auto"/>
        <w:jc w:val="both"/>
        <w:rPr>
          <w:rFonts w:ascii="Arial" w:hAnsi="Arial" w:cs="Arial"/>
          <w:sz w:val="24"/>
          <w:szCs w:val="24"/>
        </w:rPr>
      </w:pPr>
      <w:r w:rsidRPr="00D14F07">
        <w:rPr>
          <w:rFonts w:ascii="Arial" w:hAnsi="Arial" w:cs="Arial"/>
          <w:sz w:val="24"/>
          <w:szCs w:val="24"/>
        </w:rPr>
        <w:t>In the matter between:</w:t>
      </w:r>
    </w:p>
    <w:p w:rsidR="005E735F" w:rsidRPr="00D14F07" w:rsidRDefault="005E735F" w:rsidP="005E735F">
      <w:pPr>
        <w:spacing w:line="360" w:lineRule="auto"/>
        <w:jc w:val="both"/>
        <w:rPr>
          <w:rFonts w:ascii="Arial" w:hAnsi="Arial" w:cs="Arial"/>
          <w:sz w:val="24"/>
          <w:szCs w:val="24"/>
        </w:rPr>
      </w:pPr>
      <w:r w:rsidRPr="00D14F07">
        <w:rPr>
          <w:rFonts w:ascii="Arial" w:hAnsi="Arial" w:cs="Arial"/>
          <w:b/>
          <w:sz w:val="24"/>
          <w:szCs w:val="24"/>
        </w:rPr>
        <w:t xml:space="preserve">WEXDENT PROPERTIES CC </w:t>
      </w:r>
      <w:r w:rsidRPr="00D14F07">
        <w:rPr>
          <w:rFonts w:ascii="Arial" w:hAnsi="Arial" w:cs="Arial"/>
          <w:b/>
          <w:sz w:val="24"/>
          <w:szCs w:val="24"/>
        </w:rPr>
        <w:tab/>
      </w:r>
      <w:r w:rsidRPr="00D14F07">
        <w:rPr>
          <w:rFonts w:ascii="Arial" w:hAnsi="Arial" w:cs="Arial"/>
          <w:b/>
          <w:sz w:val="24"/>
          <w:szCs w:val="24"/>
        </w:rPr>
        <w:tab/>
      </w:r>
      <w:r w:rsidRPr="00D14F07">
        <w:rPr>
          <w:rFonts w:ascii="Arial" w:hAnsi="Arial" w:cs="Arial"/>
          <w:b/>
          <w:sz w:val="24"/>
          <w:szCs w:val="24"/>
        </w:rPr>
        <w:tab/>
      </w:r>
      <w:r w:rsidRPr="00D14F07">
        <w:rPr>
          <w:rFonts w:ascii="Arial" w:hAnsi="Arial" w:cs="Arial"/>
          <w:b/>
          <w:sz w:val="24"/>
          <w:szCs w:val="24"/>
        </w:rPr>
        <w:tab/>
      </w:r>
      <w:r w:rsidRPr="00D14F07">
        <w:rPr>
          <w:rFonts w:ascii="Arial" w:hAnsi="Arial" w:cs="Arial"/>
          <w:b/>
          <w:sz w:val="24"/>
          <w:szCs w:val="24"/>
        </w:rPr>
        <w:tab/>
      </w:r>
      <w:r w:rsidRPr="00D14F07">
        <w:rPr>
          <w:rFonts w:ascii="Arial" w:hAnsi="Arial" w:cs="Arial"/>
          <w:b/>
          <w:sz w:val="24"/>
          <w:szCs w:val="24"/>
        </w:rPr>
        <w:tab/>
      </w:r>
      <w:r w:rsidR="00277C02" w:rsidRPr="00D14F07">
        <w:rPr>
          <w:rFonts w:ascii="Arial" w:hAnsi="Arial" w:cs="Arial"/>
          <w:b/>
          <w:sz w:val="24"/>
          <w:szCs w:val="24"/>
        </w:rPr>
        <w:t xml:space="preserve">APPLICANT </w:t>
      </w:r>
    </w:p>
    <w:p w:rsidR="005E735F" w:rsidRPr="00D14F07" w:rsidRDefault="005E735F" w:rsidP="005E735F">
      <w:pPr>
        <w:spacing w:line="360" w:lineRule="auto"/>
        <w:jc w:val="both"/>
        <w:rPr>
          <w:rFonts w:ascii="Arial" w:hAnsi="Arial" w:cs="Arial"/>
          <w:b/>
          <w:sz w:val="24"/>
          <w:szCs w:val="24"/>
        </w:rPr>
      </w:pPr>
    </w:p>
    <w:p w:rsidR="005E735F" w:rsidRPr="00D14F07" w:rsidRDefault="005E735F" w:rsidP="005E735F">
      <w:pPr>
        <w:spacing w:line="360" w:lineRule="auto"/>
        <w:jc w:val="both"/>
        <w:rPr>
          <w:rFonts w:ascii="Arial" w:hAnsi="Arial" w:cs="Arial"/>
          <w:sz w:val="24"/>
          <w:szCs w:val="24"/>
        </w:rPr>
      </w:pPr>
      <w:r w:rsidRPr="00D14F07">
        <w:rPr>
          <w:rFonts w:ascii="Arial" w:hAnsi="Arial" w:cs="Arial"/>
          <w:sz w:val="24"/>
          <w:szCs w:val="24"/>
        </w:rPr>
        <w:t>and</w:t>
      </w:r>
    </w:p>
    <w:p w:rsidR="005E735F" w:rsidRPr="00D14F07" w:rsidRDefault="005E735F" w:rsidP="005E735F">
      <w:pPr>
        <w:spacing w:line="360" w:lineRule="auto"/>
        <w:jc w:val="both"/>
        <w:rPr>
          <w:rFonts w:ascii="Arial" w:hAnsi="Arial" w:cs="Arial"/>
          <w:b/>
          <w:sz w:val="24"/>
          <w:szCs w:val="24"/>
        </w:rPr>
      </w:pPr>
      <w:r w:rsidRPr="00D14F07">
        <w:rPr>
          <w:rFonts w:ascii="Arial" w:hAnsi="Arial" w:cs="Arial"/>
          <w:b/>
          <w:sz w:val="24"/>
          <w:szCs w:val="24"/>
        </w:rPr>
        <w:t xml:space="preserve">VISHAL JUNKEEPARSAD &amp; COMPANY INC </w:t>
      </w:r>
      <w:r w:rsidRPr="00D14F07">
        <w:rPr>
          <w:rFonts w:ascii="Arial" w:hAnsi="Arial" w:cs="Arial"/>
          <w:b/>
          <w:sz w:val="24"/>
          <w:szCs w:val="24"/>
        </w:rPr>
        <w:tab/>
      </w:r>
      <w:r w:rsidRPr="00D14F07">
        <w:rPr>
          <w:rFonts w:ascii="Arial" w:hAnsi="Arial" w:cs="Arial"/>
          <w:b/>
          <w:sz w:val="24"/>
          <w:szCs w:val="24"/>
        </w:rPr>
        <w:tab/>
      </w:r>
      <w:r w:rsidRPr="00D14F07">
        <w:rPr>
          <w:rFonts w:ascii="Arial" w:hAnsi="Arial" w:cs="Arial"/>
          <w:b/>
          <w:sz w:val="24"/>
          <w:szCs w:val="24"/>
        </w:rPr>
        <w:tab/>
      </w:r>
      <w:r w:rsidR="00277C02" w:rsidRPr="00D14F07">
        <w:rPr>
          <w:rFonts w:ascii="Arial" w:hAnsi="Arial" w:cs="Arial"/>
          <w:b/>
          <w:sz w:val="24"/>
          <w:szCs w:val="24"/>
        </w:rPr>
        <w:t>FIRST RESPONDENT</w:t>
      </w:r>
    </w:p>
    <w:p w:rsidR="005E735F" w:rsidRPr="00D14F07" w:rsidRDefault="005E735F" w:rsidP="005E735F">
      <w:pPr>
        <w:spacing w:line="360" w:lineRule="auto"/>
        <w:jc w:val="both"/>
        <w:rPr>
          <w:rFonts w:ascii="Arial" w:hAnsi="Arial" w:cs="Arial"/>
          <w:b/>
          <w:sz w:val="24"/>
          <w:szCs w:val="24"/>
        </w:rPr>
      </w:pPr>
      <w:r w:rsidRPr="00D14F07">
        <w:rPr>
          <w:rFonts w:ascii="Arial" w:hAnsi="Arial" w:cs="Arial"/>
          <w:b/>
          <w:sz w:val="24"/>
          <w:szCs w:val="24"/>
        </w:rPr>
        <w:t xml:space="preserve">IVAK INVESTMENTS (PTY) LTD </w:t>
      </w:r>
      <w:r w:rsidRPr="00D14F07">
        <w:rPr>
          <w:rFonts w:ascii="Arial" w:hAnsi="Arial" w:cs="Arial"/>
          <w:b/>
          <w:sz w:val="24"/>
          <w:szCs w:val="24"/>
        </w:rPr>
        <w:tab/>
      </w:r>
      <w:r w:rsidRPr="00D14F07">
        <w:rPr>
          <w:rFonts w:ascii="Arial" w:hAnsi="Arial" w:cs="Arial"/>
          <w:b/>
          <w:sz w:val="24"/>
          <w:szCs w:val="24"/>
        </w:rPr>
        <w:tab/>
      </w:r>
      <w:r w:rsidRPr="00D14F07">
        <w:rPr>
          <w:rFonts w:ascii="Arial" w:hAnsi="Arial" w:cs="Arial"/>
          <w:b/>
          <w:sz w:val="24"/>
          <w:szCs w:val="24"/>
        </w:rPr>
        <w:tab/>
      </w:r>
      <w:r w:rsidR="00277C02" w:rsidRPr="00D14F07">
        <w:rPr>
          <w:rFonts w:ascii="Arial" w:hAnsi="Arial" w:cs="Arial"/>
          <w:b/>
          <w:sz w:val="24"/>
          <w:szCs w:val="24"/>
        </w:rPr>
        <w:t xml:space="preserve">       SECOND RESPONDENT</w:t>
      </w:r>
    </w:p>
    <w:p w:rsidR="005E735F" w:rsidRPr="00D14F07" w:rsidRDefault="005E735F" w:rsidP="005E735F">
      <w:pPr>
        <w:pBdr>
          <w:bottom w:val="single" w:sz="12" w:space="1" w:color="auto"/>
        </w:pBdr>
        <w:spacing w:line="360" w:lineRule="auto"/>
        <w:jc w:val="both"/>
        <w:rPr>
          <w:rFonts w:ascii="Arial" w:hAnsi="Arial" w:cs="Arial"/>
          <w:b/>
          <w:sz w:val="24"/>
          <w:szCs w:val="24"/>
        </w:rPr>
      </w:pPr>
    </w:p>
    <w:p w:rsidR="005E735F" w:rsidRPr="00D14F07" w:rsidRDefault="005E735F" w:rsidP="005E735F">
      <w:pPr>
        <w:jc w:val="center"/>
        <w:rPr>
          <w:rFonts w:ascii="Arial" w:hAnsi="Arial" w:cs="Arial"/>
          <w:b/>
          <w:sz w:val="24"/>
          <w:szCs w:val="24"/>
        </w:rPr>
      </w:pPr>
      <w:r w:rsidRPr="00D14F07">
        <w:rPr>
          <w:rFonts w:ascii="Arial" w:hAnsi="Arial" w:cs="Arial"/>
          <w:b/>
          <w:sz w:val="24"/>
          <w:szCs w:val="24"/>
        </w:rPr>
        <w:t>JUDGMENT</w:t>
      </w:r>
    </w:p>
    <w:p w:rsidR="005E735F" w:rsidRPr="00D14F07" w:rsidRDefault="005E735F" w:rsidP="005E735F">
      <w:pPr>
        <w:rPr>
          <w:rFonts w:ascii="Arial" w:hAnsi="Arial" w:cs="Arial"/>
          <w:b/>
          <w:sz w:val="24"/>
          <w:szCs w:val="24"/>
          <w:u w:val="single"/>
        </w:rPr>
      </w:pPr>
      <w:r w:rsidRPr="00D14F07">
        <w:rPr>
          <w:rFonts w:ascii="Arial" w:hAnsi="Arial" w:cs="Arial"/>
          <w:b/>
          <w:sz w:val="24"/>
          <w:szCs w:val="24"/>
          <w:u w:val="single"/>
        </w:rPr>
        <w:tab/>
      </w:r>
      <w:r w:rsidRPr="00D14F07">
        <w:rPr>
          <w:rFonts w:ascii="Arial" w:hAnsi="Arial" w:cs="Arial"/>
          <w:b/>
          <w:sz w:val="24"/>
          <w:szCs w:val="24"/>
          <w:u w:val="single"/>
        </w:rPr>
        <w:tab/>
      </w:r>
      <w:r w:rsidRPr="00D14F07">
        <w:rPr>
          <w:rFonts w:ascii="Arial" w:hAnsi="Arial" w:cs="Arial"/>
          <w:b/>
          <w:sz w:val="24"/>
          <w:szCs w:val="24"/>
          <w:u w:val="single"/>
        </w:rPr>
        <w:tab/>
      </w:r>
      <w:r w:rsidRPr="00D14F07">
        <w:rPr>
          <w:rFonts w:ascii="Arial" w:hAnsi="Arial" w:cs="Arial"/>
          <w:b/>
          <w:sz w:val="24"/>
          <w:szCs w:val="24"/>
          <w:u w:val="single"/>
        </w:rPr>
        <w:tab/>
      </w:r>
      <w:r w:rsidRPr="00D14F07">
        <w:rPr>
          <w:rFonts w:ascii="Arial" w:hAnsi="Arial" w:cs="Arial"/>
          <w:b/>
          <w:sz w:val="24"/>
          <w:szCs w:val="24"/>
          <w:u w:val="single"/>
        </w:rPr>
        <w:tab/>
      </w:r>
      <w:r w:rsidRPr="00D14F07">
        <w:rPr>
          <w:rFonts w:ascii="Arial" w:hAnsi="Arial" w:cs="Arial"/>
          <w:b/>
          <w:sz w:val="24"/>
          <w:szCs w:val="24"/>
          <w:u w:val="single"/>
        </w:rPr>
        <w:tab/>
      </w:r>
      <w:r w:rsidRPr="00D14F07">
        <w:rPr>
          <w:rFonts w:ascii="Arial" w:hAnsi="Arial" w:cs="Arial"/>
          <w:b/>
          <w:sz w:val="24"/>
          <w:szCs w:val="24"/>
          <w:u w:val="single"/>
        </w:rPr>
        <w:tab/>
      </w:r>
      <w:r w:rsidRPr="00D14F07">
        <w:rPr>
          <w:rFonts w:ascii="Arial" w:hAnsi="Arial" w:cs="Arial"/>
          <w:b/>
          <w:sz w:val="24"/>
          <w:szCs w:val="24"/>
          <w:u w:val="single"/>
        </w:rPr>
        <w:tab/>
      </w:r>
      <w:r w:rsidRPr="00D14F07">
        <w:rPr>
          <w:rFonts w:ascii="Arial" w:hAnsi="Arial" w:cs="Arial"/>
          <w:b/>
          <w:sz w:val="24"/>
          <w:szCs w:val="24"/>
          <w:u w:val="single"/>
        </w:rPr>
        <w:tab/>
      </w:r>
      <w:r w:rsidRPr="00D14F07">
        <w:rPr>
          <w:rFonts w:ascii="Arial" w:hAnsi="Arial" w:cs="Arial"/>
          <w:b/>
          <w:sz w:val="24"/>
          <w:szCs w:val="24"/>
          <w:u w:val="single"/>
        </w:rPr>
        <w:tab/>
      </w:r>
      <w:r w:rsidRPr="00D14F07">
        <w:rPr>
          <w:rFonts w:ascii="Arial" w:hAnsi="Arial" w:cs="Arial"/>
          <w:b/>
          <w:sz w:val="24"/>
          <w:szCs w:val="24"/>
          <w:u w:val="single"/>
        </w:rPr>
        <w:tab/>
        <w:t>________</w:t>
      </w:r>
    </w:p>
    <w:p w:rsidR="005E735F" w:rsidRPr="00D14F07" w:rsidRDefault="00E20069" w:rsidP="005E735F">
      <w:pPr>
        <w:spacing w:line="360" w:lineRule="auto"/>
        <w:jc w:val="both"/>
        <w:rPr>
          <w:rFonts w:ascii="Arial" w:hAnsi="Arial" w:cs="Arial"/>
          <w:b/>
          <w:sz w:val="24"/>
          <w:szCs w:val="24"/>
        </w:rPr>
      </w:pPr>
      <w:r w:rsidRPr="00D14F07">
        <w:rPr>
          <w:rFonts w:ascii="Arial" w:hAnsi="Arial" w:cs="Arial"/>
          <w:b/>
          <w:sz w:val="24"/>
          <w:szCs w:val="24"/>
        </w:rPr>
        <w:t xml:space="preserve">Chetty </w:t>
      </w:r>
      <w:r w:rsidR="005E735F" w:rsidRPr="00D14F07">
        <w:rPr>
          <w:rFonts w:ascii="Arial" w:hAnsi="Arial" w:cs="Arial"/>
          <w:b/>
          <w:sz w:val="24"/>
          <w:szCs w:val="24"/>
        </w:rPr>
        <w:t>J</w:t>
      </w:r>
      <w:r w:rsidR="004F4047" w:rsidRPr="00D14F07">
        <w:rPr>
          <w:rFonts w:ascii="Arial" w:hAnsi="Arial" w:cs="Arial"/>
          <w:b/>
          <w:sz w:val="24"/>
          <w:szCs w:val="24"/>
        </w:rPr>
        <w:t>:</w:t>
      </w:r>
    </w:p>
    <w:p w:rsidR="005E735F" w:rsidRPr="00D14F07" w:rsidRDefault="002611D1" w:rsidP="007339AF">
      <w:pPr>
        <w:pStyle w:val="ListParagraph"/>
        <w:numPr>
          <w:ilvl w:val="0"/>
          <w:numId w:val="1"/>
        </w:numPr>
        <w:spacing w:line="360" w:lineRule="auto"/>
        <w:ind w:left="0" w:firstLine="0"/>
        <w:jc w:val="both"/>
        <w:rPr>
          <w:rFonts w:ascii="Arial" w:hAnsi="Arial" w:cs="Arial"/>
          <w:bCs/>
          <w:sz w:val="24"/>
          <w:szCs w:val="24"/>
          <w:shd w:val="clear" w:color="auto" w:fill="FFFFFF"/>
        </w:rPr>
      </w:pPr>
      <w:r w:rsidRPr="00D14F07">
        <w:rPr>
          <w:rFonts w:ascii="Arial" w:hAnsi="Arial" w:cs="Arial"/>
          <w:bCs/>
          <w:sz w:val="24"/>
          <w:szCs w:val="24"/>
          <w:shd w:val="clear" w:color="auto" w:fill="FFFFFF"/>
        </w:rPr>
        <w:t>The applicant seeks judgment against the first respondent, a firm of attorneys in Umhlanga, KwaZulu-Nat</w:t>
      </w:r>
      <w:r w:rsidR="004F4047" w:rsidRPr="00D14F07">
        <w:rPr>
          <w:rFonts w:ascii="Arial" w:hAnsi="Arial" w:cs="Arial"/>
          <w:bCs/>
          <w:sz w:val="24"/>
          <w:szCs w:val="24"/>
          <w:shd w:val="clear" w:color="auto" w:fill="FFFFFF"/>
        </w:rPr>
        <w:t>al for the amount of R1 556 317,</w:t>
      </w:r>
      <w:r w:rsidRPr="00D14F07">
        <w:rPr>
          <w:rFonts w:ascii="Arial" w:hAnsi="Arial" w:cs="Arial"/>
          <w:bCs/>
          <w:sz w:val="24"/>
          <w:szCs w:val="24"/>
          <w:shd w:val="clear" w:color="auto" w:fill="FFFFFF"/>
        </w:rPr>
        <w:t xml:space="preserve"> together with interest and costs on an attorney</w:t>
      </w:r>
      <w:r w:rsidR="00E20069" w:rsidRPr="00D14F07">
        <w:rPr>
          <w:rFonts w:ascii="Arial" w:hAnsi="Arial" w:cs="Arial"/>
          <w:bCs/>
          <w:sz w:val="24"/>
          <w:szCs w:val="24"/>
          <w:shd w:val="clear" w:color="auto" w:fill="FFFFFF"/>
        </w:rPr>
        <w:t>-</w:t>
      </w:r>
      <w:r w:rsidRPr="00D14F07">
        <w:rPr>
          <w:rFonts w:ascii="Arial" w:hAnsi="Arial" w:cs="Arial"/>
          <w:bCs/>
          <w:sz w:val="24"/>
          <w:szCs w:val="24"/>
          <w:shd w:val="clear" w:color="auto" w:fill="FFFFFF"/>
        </w:rPr>
        <w:t>client scale.  The amount in question</w:t>
      </w:r>
      <w:r w:rsidR="007339AF" w:rsidRPr="00D14F07">
        <w:rPr>
          <w:rFonts w:ascii="Arial" w:hAnsi="Arial" w:cs="Arial"/>
          <w:bCs/>
          <w:sz w:val="24"/>
          <w:szCs w:val="24"/>
          <w:shd w:val="clear" w:color="auto" w:fill="FFFFFF"/>
        </w:rPr>
        <w:t>, being the proceeds from the sale of an immovable property belonging to the applicant,</w:t>
      </w:r>
      <w:r w:rsidRPr="00D14F07">
        <w:rPr>
          <w:rFonts w:ascii="Arial" w:hAnsi="Arial" w:cs="Arial"/>
          <w:bCs/>
          <w:sz w:val="24"/>
          <w:szCs w:val="24"/>
          <w:shd w:val="clear" w:color="auto" w:fill="FFFFFF"/>
        </w:rPr>
        <w:t xml:space="preserve"> is being ostensibly </w:t>
      </w:r>
      <w:r w:rsidR="00710689" w:rsidRPr="00D14F07">
        <w:rPr>
          <w:rFonts w:ascii="Arial" w:hAnsi="Arial" w:cs="Arial"/>
          <w:bCs/>
          <w:sz w:val="24"/>
          <w:szCs w:val="24"/>
          <w:shd w:val="clear" w:color="auto" w:fill="FFFFFF"/>
        </w:rPr>
        <w:t xml:space="preserve">retained </w:t>
      </w:r>
      <w:r w:rsidR="007339AF" w:rsidRPr="00D14F07">
        <w:rPr>
          <w:rFonts w:ascii="Arial" w:hAnsi="Arial" w:cs="Arial"/>
          <w:bCs/>
          <w:sz w:val="24"/>
          <w:szCs w:val="24"/>
          <w:shd w:val="clear" w:color="auto" w:fill="FFFFFF"/>
        </w:rPr>
        <w:t xml:space="preserve">by the </w:t>
      </w:r>
      <w:r w:rsidRPr="00D14F07">
        <w:rPr>
          <w:rFonts w:ascii="Arial" w:hAnsi="Arial" w:cs="Arial"/>
          <w:bCs/>
          <w:sz w:val="24"/>
          <w:szCs w:val="24"/>
          <w:shd w:val="clear" w:color="auto" w:fill="FFFFFF"/>
        </w:rPr>
        <w:t>first respondent</w:t>
      </w:r>
      <w:r w:rsidR="007339AF" w:rsidRPr="00D14F07">
        <w:rPr>
          <w:rFonts w:ascii="Arial" w:hAnsi="Arial" w:cs="Arial"/>
          <w:bCs/>
          <w:sz w:val="24"/>
          <w:szCs w:val="24"/>
          <w:shd w:val="clear" w:color="auto" w:fill="FFFFFF"/>
        </w:rPr>
        <w:t xml:space="preserve"> in its </w:t>
      </w:r>
      <w:r w:rsidRPr="00D14F07">
        <w:rPr>
          <w:rFonts w:ascii="Arial" w:hAnsi="Arial" w:cs="Arial"/>
          <w:bCs/>
          <w:sz w:val="24"/>
          <w:szCs w:val="24"/>
          <w:shd w:val="clear" w:color="auto" w:fill="FFFFFF"/>
        </w:rPr>
        <w:t xml:space="preserve">trust account in circumstances where the </w:t>
      </w:r>
      <w:r w:rsidR="007339AF" w:rsidRPr="00D14F07">
        <w:rPr>
          <w:rFonts w:ascii="Arial" w:hAnsi="Arial" w:cs="Arial"/>
          <w:bCs/>
          <w:sz w:val="24"/>
          <w:szCs w:val="24"/>
          <w:shd w:val="clear" w:color="auto" w:fill="FFFFFF"/>
        </w:rPr>
        <w:t xml:space="preserve">first respondent refuses to pay the proceeds to the </w:t>
      </w:r>
      <w:r w:rsidR="001A46C0" w:rsidRPr="00D14F07">
        <w:rPr>
          <w:rFonts w:ascii="Arial" w:hAnsi="Arial" w:cs="Arial"/>
          <w:bCs/>
          <w:sz w:val="24"/>
          <w:szCs w:val="24"/>
          <w:shd w:val="clear" w:color="auto" w:fill="FFFFFF"/>
        </w:rPr>
        <w:t xml:space="preserve">applicant </w:t>
      </w:r>
      <w:r w:rsidR="00710689" w:rsidRPr="00D14F07">
        <w:rPr>
          <w:rFonts w:ascii="Arial" w:hAnsi="Arial" w:cs="Arial"/>
          <w:bCs/>
          <w:sz w:val="24"/>
          <w:szCs w:val="24"/>
          <w:shd w:val="clear" w:color="auto" w:fill="FFFFFF"/>
        </w:rPr>
        <w:t xml:space="preserve">contending </w:t>
      </w:r>
      <w:r w:rsidR="007339AF" w:rsidRPr="00D14F07">
        <w:rPr>
          <w:rFonts w:ascii="Arial" w:hAnsi="Arial" w:cs="Arial"/>
          <w:bCs/>
          <w:sz w:val="24"/>
          <w:szCs w:val="24"/>
          <w:shd w:val="clear" w:color="auto" w:fill="FFFFFF"/>
        </w:rPr>
        <w:t>that the latter has failed to comply with the requirements of the Financial Intelligence Centre Act 38 of 2001 (‘FICA’).</w:t>
      </w:r>
    </w:p>
    <w:p w:rsidR="007339AF" w:rsidRPr="00D14F07" w:rsidRDefault="007339AF" w:rsidP="007339AF">
      <w:pPr>
        <w:pStyle w:val="ListParagraph"/>
        <w:spacing w:line="360" w:lineRule="auto"/>
        <w:ind w:left="0"/>
        <w:jc w:val="both"/>
        <w:rPr>
          <w:rFonts w:ascii="Arial" w:hAnsi="Arial" w:cs="Arial"/>
          <w:bCs/>
          <w:sz w:val="24"/>
          <w:szCs w:val="24"/>
          <w:shd w:val="clear" w:color="auto" w:fill="FFFFFF"/>
        </w:rPr>
      </w:pPr>
    </w:p>
    <w:p w:rsidR="007339AF" w:rsidRPr="00D14F07" w:rsidRDefault="00DA655B" w:rsidP="007339AF">
      <w:pPr>
        <w:pStyle w:val="ListParagraph"/>
        <w:numPr>
          <w:ilvl w:val="0"/>
          <w:numId w:val="1"/>
        </w:numPr>
        <w:spacing w:line="360" w:lineRule="auto"/>
        <w:ind w:left="0" w:firstLine="0"/>
        <w:jc w:val="both"/>
        <w:rPr>
          <w:rFonts w:ascii="Arial" w:hAnsi="Arial" w:cs="Arial"/>
          <w:bCs/>
          <w:sz w:val="24"/>
          <w:szCs w:val="24"/>
          <w:shd w:val="clear" w:color="auto" w:fill="FFFFFF"/>
        </w:rPr>
      </w:pPr>
      <w:r w:rsidRPr="00D14F07">
        <w:rPr>
          <w:rFonts w:ascii="Arial" w:hAnsi="Arial" w:cs="Arial"/>
          <w:bCs/>
          <w:sz w:val="24"/>
          <w:szCs w:val="24"/>
          <w:shd w:val="clear" w:color="auto" w:fill="FFFFFF"/>
        </w:rPr>
        <w:t xml:space="preserve">The factual background to the application is largely common cause.  </w:t>
      </w:r>
      <w:r w:rsidR="002909D0" w:rsidRPr="00D14F07">
        <w:rPr>
          <w:rFonts w:ascii="Arial" w:hAnsi="Arial" w:cs="Arial"/>
          <w:bCs/>
          <w:sz w:val="24"/>
          <w:szCs w:val="24"/>
          <w:shd w:val="clear" w:color="auto" w:fill="FFFFFF"/>
        </w:rPr>
        <w:t>The applicant was the owner of a property in La Lucia, Durban from which one of its memb</w:t>
      </w:r>
      <w:r w:rsidR="00653673" w:rsidRPr="00D14F07">
        <w:rPr>
          <w:rFonts w:ascii="Arial" w:hAnsi="Arial" w:cs="Arial"/>
          <w:bCs/>
          <w:sz w:val="24"/>
          <w:szCs w:val="24"/>
          <w:shd w:val="clear" w:color="auto" w:fill="FFFFFF"/>
        </w:rPr>
        <w:t>ers practiced as a dentist.  T</w:t>
      </w:r>
      <w:r w:rsidR="002909D0" w:rsidRPr="00D14F07">
        <w:rPr>
          <w:rFonts w:ascii="Arial" w:hAnsi="Arial" w:cs="Arial"/>
          <w:bCs/>
          <w:sz w:val="24"/>
          <w:szCs w:val="24"/>
          <w:shd w:val="clear" w:color="auto" w:fill="FFFFFF"/>
        </w:rPr>
        <w:t xml:space="preserve">he applicant entered into an agreement with the second respondent </w:t>
      </w:r>
      <w:r w:rsidR="005C01B3" w:rsidRPr="00D14F07">
        <w:rPr>
          <w:rFonts w:ascii="Arial" w:hAnsi="Arial" w:cs="Arial"/>
          <w:bCs/>
          <w:sz w:val="24"/>
          <w:szCs w:val="24"/>
          <w:shd w:val="clear" w:color="auto" w:fill="FFFFFF"/>
        </w:rPr>
        <w:t>for the sale of</w:t>
      </w:r>
      <w:r w:rsidR="002909D0" w:rsidRPr="00D14F07">
        <w:rPr>
          <w:rFonts w:ascii="Arial" w:hAnsi="Arial" w:cs="Arial"/>
          <w:bCs/>
          <w:sz w:val="24"/>
          <w:szCs w:val="24"/>
          <w:shd w:val="clear" w:color="auto" w:fill="FFFFFF"/>
        </w:rPr>
        <w:t xml:space="preserve"> the property </w:t>
      </w:r>
      <w:r w:rsidR="005C01B3" w:rsidRPr="00D14F07">
        <w:rPr>
          <w:rFonts w:ascii="Arial" w:hAnsi="Arial" w:cs="Arial"/>
          <w:bCs/>
          <w:sz w:val="24"/>
          <w:szCs w:val="24"/>
          <w:shd w:val="clear" w:color="auto" w:fill="FFFFFF"/>
        </w:rPr>
        <w:t xml:space="preserve">in the sum of </w:t>
      </w:r>
      <w:r w:rsidR="002909D0" w:rsidRPr="00D14F07">
        <w:rPr>
          <w:rFonts w:ascii="Arial" w:hAnsi="Arial" w:cs="Arial"/>
          <w:bCs/>
          <w:sz w:val="24"/>
          <w:szCs w:val="24"/>
          <w:shd w:val="clear" w:color="auto" w:fill="FFFFFF"/>
        </w:rPr>
        <w:t xml:space="preserve">R1 525 000.  It was a term of the agreement that the full purchase price of the property would be paid into the seller’s (the applicant’s) account </w:t>
      </w:r>
      <w:r w:rsidR="00D9717C" w:rsidRPr="00D14F07">
        <w:rPr>
          <w:rFonts w:ascii="Arial" w:hAnsi="Arial" w:cs="Arial"/>
          <w:bCs/>
          <w:sz w:val="24"/>
          <w:szCs w:val="24"/>
          <w:shd w:val="clear" w:color="auto" w:fill="FFFFFF"/>
        </w:rPr>
        <w:t>prio</w:t>
      </w:r>
      <w:r w:rsidR="00710689" w:rsidRPr="00D14F07">
        <w:rPr>
          <w:rFonts w:ascii="Arial" w:hAnsi="Arial" w:cs="Arial"/>
          <w:bCs/>
          <w:sz w:val="24"/>
          <w:szCs w:val="24"/>
          <w:shd w:val="clear" w:color="auto" w:fill="FFFFFF"/>
        </w:rPr>
        <w:t>r</w:t>
      </w:r>
      <w:r w:rsidR="00D9717C" w:rsidRPr="00D14F07">
        <w:rPr>
          <w:rFonts w:ascii="Arial" w:hAnsi="Arial" w:cs="Arial"/>
          <w:bCs/>
          <w:sz w:val="24"/>
          <w:szCs w:val="24"/>
          <w:shd w:val="clear" w:color="auto" w:fill="FFFFFF"/>
        </w:rPr>
        <w:t xml:space="preserve"> to r</w:t>
      </w:r>
      <w:r w:rsidR="002909D0" w:rsidRPr="00D14F07">
        <w:rPr>
          <w:rFonts w:ascii="Arial" w:hAnsi="Arial" w:cs="Arial"/>
          <w:bCs/>
          <w:sz w:val="24"/>
          <w:szCs w:val="24"/>
          <w:shd w:val="clear" w:color="auto" w:fill="FFFFFF"/>
        </w:rPr>
        <w:t xml:space="preserve">egistration of transfer.  </w:t>
      </w:r>
      <w:r w:rsidR="00D9717C" w:rsidRPr="00D14F07">
        <w:rPr>
          <w:rFonts w:ascii="Arial" w:hAnsi="Arial" w:cs="Arial"/>
          <w:bCs/>
          <w:sz w:val="24"/>
          <w:szCs w:val="24"/>
          <w:shd w:val="clear" w:color="auto" w:fill="FFFFFF"/>
        </w:rPr>
        <w:t xml:space="preserve">Prior to transfer, the parties changed the firm of attorneys </w:t>
      </w:r>
      <w:r w:rsidR="000F1FAF">
        <w:rPr>
          <w:rFonts w:ascii="Arial" w:hAnsi="Arial" w:cs="Arial"/>
          <w:bCs/>
          <w:sz w:val="24"/>
          <w:szCs w:val="24"/>
          <w:shd w:val="clear" w:color="auto" w:fill="FFFFFF"/>
        </w:rPr>
        <w:t xml:space="preserve">they </w:t>
      </w:r>
      <w:r w:rsidR="00D9717C" w:rsidRPr="00D14F07">
        <w:rPr>
          <w:rFonts w:ascii="Arial" w:hAnsi="Arial" w:cs="Arial"/>
          <w:bCs/>
          <w:sz w:val="24"/>
          <w:szCs w:val="24"/>
          <w:shd w:val="clear" w:color="auto" w:fill="FFFFFF"/>
        </w:rPr>
        <w:t xml:space="preserve">engaged to attend to the </w:t>
      </w:r>
      <w:r w:rsidR="00710689" w:rsidRPr="00D14F07">
        <w:rPr>
          <w:rFonts w:ascii="Arial" w:hAnsi="Arial" w:cs="Arial"/>
          <w:bCs/>
          <w:sz w:val="24"/>
          <w:szCs w:val="24"/>
          <w:shd w:val="clear" w:color="auto" w:fill="FFFFFF"/>
        </w:rPr>
        <w:t xml:space="preserve">conveyancing.  At </w:t>
      </w:r>
      <w:r w:rsidR="00D9717C" w:rsidRPr="00D14F07">
        <w:rPr>
          <w:rFonts w:ascii="Arial" w:hAnsi="Arial" w:cs="Arial"/>
          <w:bCs/>
          <w:sz w:val="24"/>
          <w:szCs w:val="24"/>
          <w:shd w:val="clear" w:color="auto" w:fill="FFFFFF"/>
        </w:rPr>
        <w:t>the request of the second respondent, the first respondent was engaged to be the conveyancing attorneys for the specific transaction between the parties.</w:t>
      </w:r>
    </w:p>
    <w:p w:rsidR="00D9717C" w:rsidRPr="00D14F07" w:rsidRDefault="00D9717C" w:rsidP="00D9717C">
      <w:pPr>
        <w:pStyle w:val="ListParagraph"/>
        <w:rPr>
          <w:rFonts w:ascii="Arial" w:hAnsi="Arial" w:cs="Arial"/>
          <w:bCs/>
          <w:sz w:val="24"/>
          <w:szCs w:val="24"/>
          <w:shd w:val="clear" w:color="auto" w:fill="FFFFFF"/>
        </w:rPr>
      </w:pPr>
    </w:p>
    <w:p w:rsidR="00D9717C" w:rsidRPr="00D14F07" w:rsidRDefault="0024483E" w:rsidP="007339AF">
      <w:pPr>
        <w:pStyle w:val="ListParagraph"/>
        <w:numPr>
          <w:ilvl w:val="0"/>
          <w:numId w:val="1"/>
        </w:numPr>
        <w:spacing w:line="360" w:lineRule="auto"/>
        <w:ind w:left="0" w:firstLine="0"/>
        <w:jc w:val="both"/>
        <w:rPr>
          <w:rFonts w:ascii="Arial" w:hAnsi="Arial" w:cs="Arial"/>
          <w:bCs/>
          <w:sz w:val="24"/>
          <w:szCs w:val="24"/>
          <w:shd w:val="clear" w:color="auto" w:fill="FFFFFF"/>
        </w:rPr>
      </w:pPr>
      <w:r w:rsidRPr="00D14F07">
        <w:rPr>
          <w:rFonts w:ascii="Arial" w:hAnsi="Arial" w:cs="Arial"/>
          <w:bCs/>
          <w:sz w:val="24"/>
          <w:szCs w:val="24"/>
          <w:shd w:val="clear" w:color="auto" w:fill="FFFFFF"/>
        </w:rPr>
        <w:t>On or about 12 October 2018 the purchase price for the property was paid into the trust account of the first respondent</w:t>
      </w:r>
      <w:r w:rsidR="000F1FAF">
        <w:rPr>
          <w:rFonts w:ascii="Arial" w:hAnsi="Arial" w:cs="Arial"/>
          <w:bCs/>
          <w:sz w:val="24"/>
          <w:szCs w:val="24"/>
          <w:shd w:val="clear" w:color="auto" w:fill="FFFFFF"/>
        </w:rPr>
        <w:t>,</w:t>
      </w:r>
      <w:r w:rsidR="0037615A" w:rsidRPr="00D14F07">
        <w:rPr>
          <w:rFonts w:ascii="Arial" w:hAnsi="Arial" w:cs="Arial"/>
          <w:bCs/>
          <w:sz w:val="24"/>
          <w:szCs w:val="24"/>
          <w:shd w:val="clear" w:color="auto" w:fill="FFFFFF"/>
        </w:rPr>
        <w:t xml:space="preserve"> who then requested that the applicant and its members </w:t>
      </w:r>
      <w:r w:rsidR="00695AD4" w:rsidRPr="00D14F07">
        <w:rPr>
          <w:rFonts w:ascii="Arial" w:hAnsi="Arial" w:cs="Arial"/>
          <w:bCs/>
          <w:sz w:val="24"/>
          <w:szCs w:val="24"/>
          <w:shd w:val="clear" w:color="auto" w:fill="FFFFFF"/>
        </w:rPr>
        <w:t xml:space="preserve">furnish various documents including verification of their residential addresses </w:t>
      </w:r>
      <w:r w:rsidR="000F1FAF">
        <w:rPr>
          <w:rFonts w:ascii="Arial" w:hAnsi="Arial" w:cs="Arial"/>
          <w:bCs/>
          <w:sz w:val="24"/>
          <w:szCs w:val="24"/>
          <w:shd w:val="clear" w:color="auto" w:fill="FFFFFF"/>
        </w:rPr>
        <w:t>(</w:t>
      </w:r>
      <w:r w:rsidR="00695AD4" w:rsidRPr="00D14F07">
        <w:rPr>
          <w:rFonts w:ascii="Arial" w:hAnsi="Arial" w:cs="Arial"/>
          <w:bCs/>
          <w:sz w:val="24"/>
          <w:szCs w:val="24"/>
          <w:shd w:val="clear" w:color="auto" w:fill="FFFFFF"/>
        </w:rPr>
        <w:t xml:space="preserve">not older than </w:t>
      </w:r>
      <w:r w:rsidR="005C01B3" w:rsidRPr="00D14F07">
        <w:rPr>
          <w:rFonts w:ascii="Arial" w:hAnsi="Arial" w:cs="Arial"/>
          <w:bCs/>
          <w:sz w:val="24"/>
          <w:szCs w:val="24"/>
          <w:shd w:val="clear" w:color="auto" w:fill="FFFFFF"/>
        </w:rPr>
        <w:t xml:space="preserve">three </w:t>
      </w:r>
      <w:r w:rsidR="00695AD4" w:rsidRPr="00D14F07">
        <w:rPr>
          <w:rFonts w:ascii="Arial" w:hAnsi="Arial" w:cs="Arial"/>
          <w:bCs/>
          <w:sz w:val="24"/>
          <w:szCs w:val="24"/>
          <w:shd w:val="clear" w:color="auto" w:fill="FFFFFF"/>
        </w:rPr>
        <w:t>months</w:t>
      </w:r>
      <w:r w:rsidR="000F1FAF">
        <w:rPr>
          <w:rFonts w:ascii="Arial" w:hAnsi="Arial" w:cs="Arial"/>
          <w:bCs/>
          <w:sz w:val="24"/>
          <w:szCs w:val="24"/>
          <w:shd w:val="clear" w:color="auto" w:fill="FFFFFF"/>
        </w:rPr>
        <w:t>),</w:t>
      </w:r>
      <w:r w:rsidR="00695AD4" w:rsidRPr="00D14F07">
        <w:rPr>
          <w:rFonts w:ascii="Arial" w:hAnsi="Arial" w:cs="Arial"/>
          <w:bCs/>
          <w:sz w:val="24"/>
          <w:szCs w:val="24"/>
          <w:shd w:val="clear" w:color="auto" w:fill="FFFFFF"/>
        </w:rPr>
        <w:t xml:space="preserve"> as well as a copy of their identity documents. </w:t>
      </w:r>
      <w:r w:rsidR="00710689" w:rsidRPr="00D14F07">
        <w:rPr>
          <w:rFonts w:ascii="Arial" w:hAnsi="Arial" w:cs="Arial"/>
          <w:bCs/>
          <w:sz w:val="24"/>
          <w:szCs w:val="24"/>
          <w:shd w:val="clear" w:color="auto" w:fill="FFFFFF"/>
        </w:rPr>
        <w:t xml:space="preserve">At this stage the applicant’s members had moved abroad. </w:t>
      </w:r>
      <w:r w:rsidR="00695AD4" w:rsidRPr="00D14F07">
        <w:rPr>
          <w:rFonts w:ascii="Arial" w:hAnsi="Arial" w:cs="Arial"/>
          <w:bCs/>
          <w:sz w:val="24"/>
          <w:szCs w:val="24"/>
          <w:shd w:val="clear" w:color="auto" w:fill="FFFFFF"/>
        </w:rPr>
        <w:t xml:space="preserve">The information was requested by the first respondent to enable it </w:t>
      </w:r>
      <w:r w:rsidR="005C01B3" w:rsidRPr="00D14F07">
        <w:rPr>
          <w:rFonts w:ascii="Arial" w:hAnsi="Arial" w:cs="Arial"/>
          <w:bCs/>
          <w:sz w:val="24"/>
          <w:szCs w:val="24"/>
          <w:shd w:val="clear" w:color="auto" w:fill="FFFFFF"/>
        </w:rPr>
        <w:t>‘</w:t>
      </w:r>
      <w:r w:rsidR="00695AD4" w:rsidRPr="00D14F07">
        <w:rPr>
          <w:rFonts w:ascii="Arial" w:hAnsi="Arial" w:cs="Arial"/>
          <w:bCs/>
          <w:sz w:val="24"/>
          <w:szCs w:val="24"/>
          <w:shd w:val="clear" w:color="auto" w:fill="FFFFFF"/>
        </w:rPr>
        <w:t>to proceed with the matter and comply with legislative requirements</w:t>
      </w:r>
      <w:r w:rsidR="005C01B3" w:rsidRPr="00D14F07">
        <w:rPr>
          <w:rFonts w:ascii="Arial" w:hAnsi="Arial" w:cs="Arial"/>
          <w:bCs/>
          <w:sz w:val="24"/>
          <w:szCs w:val="24"/>
          <w:shd w:val="clear" w:color="auto" w:fill="FFFFFF"/>
        </w:rPr>
        <w:t>’</w:t>
      </w:r>
      <w:r w:rsidR="00695AD4" w:rsidRPr="00D14F07">
        <w:rPr>
          <w:rFonts w:ascii="Arial" w:hAnsi="Arial" w:cs="Arial"/>
          <w:bCs/>
          <w:sz w:val="24"/>
          <w:szCs w:val="24"/>
          <w:shd w:val="clear" w:color="auto" w:fill="FFFFFF"/>
        </w:rPr>
        <w:t>.</w:t>
      </w:r>
      <w:r w:rsidR="00481520" w:rsidRPr="00D14F07">
        <w:rPr>
          <w:rFonts w:ascii="Arial" w:hAnsi="Arial" w:cs="Arial"/>
          <w:bCs/>
          <w:sz w:val="24"/>
          <w:szCs w:val="24"/>
          <w:shd w:val="clear" w:color="auto" w:fill="FFFFFF"/>
        </w:rPr>
        <w:t xml:space="preserve"> The applicant</w:t>
      </w:r>
      <w:r w:rsidR="00710689" w:rsidRPr="00D14F07">
        <w:rPr>
          <w:rFonts w:ascii="Arial" w:hAnsi="Arial" w:cs="Arial"/>
          <w:bCs/>
          <w:sz w:val="24"/>
          <w:szCs w:val="24"/>
          <w:shd w:val="clear" w:color="auto" w:fill="FFFFFF"/>
        </w:rPr>
        <w:t>’s members</w:t>
      </w:r>
      <w:r w:rsidR="00481520" w:rsidRPr="00D14F07">
        <w:rPr>
          <w:rFonts w:ascii="Arial" w:hAnsi="Arial" w:cs="Arial"/>
          <w:bCs/>
          <w:sz w:val="24"/>
          <w:szCs w:val="24"/>
          <w:shd w:val="clear" w:color="auto" w:fill="FFFFFF"/>
        </w:rPr>
        <w:t xml:space="preserve"> complied with the request by the first respondent </w:t>
      </w:r>
      <w:r w:rsidR="002F2317" w:rsidRPr="00D14F07">
        <w:rPr>
          <w:rFonts w:ascii="Arial" w:hAnsi="Arial" w:cs="Arial"/>
          <w:bCs/>
          <w:sz w:val="24"/>
          <w:szCs w:val="24"/>
          <w:shd w:val="clear" w:color="auto" w:fill="FFFFFF"/>
        </w:rPr>
        <w:t>towards the end of 2018.  On 24 April 2019 the first respondent lodged the transfer documents at the Deeds Registry</w:t>
      </w:r>
      <w:r w:rsidR="00977D58" w:rsidRPr="00D14F07">
        <w:rPr>
          <w:rFonts w:ascii="Arial" w:hAnsi="Arial" w:cs="Arial"/>
          <w:bCs/>
          <w:sz w:val="24"/>
          <w:szCs w:val="24"/>
          <w:shd w:val="clear" w:color="auto" w:fill="FFFFFF"/>
        </w:rPr>
        <w:t>,</w:t>
      </w:r>
      <w:r w:rsidR="002F2317" w:rsidRPr="00D14F07">
        <w:rPr>
          <w:rFonts w:ascii="Arial" w:hAnsi="Arial" w:cs="Arial"/>
          <w:bCs/>
          <w:sz w:val="24"/>
          <w:szCs w:val="24"/>
          <w:shd w:val="clear" w:color="auto" w:fill="FFFFFF"/>
        </w:rPr>
        <w:t xml:space="preserve"> with the registration of transfer eventually </w:t>
      </w:r>
      <w:r w:rsidR="00977D58" w:rsidRPr="00D14F07">
        <w:rPr>
          <w:rFonts w:ascii="Arial" w:hAnsi="Arial" w:cs="Arial"/>
          <w:bCs/>
          <w:sz w:val="24"/>
          <w:szCs w:val="24"/>
          <w:shd w:val="clear" w:color="auto" w:fill="FFFFFF"/>
        </w:rPr>
        <w:t xml:space="preserve">taking place on </w:t>
      </w:r>
      <w:r w:rsidR="002F2317" w:rsidRPr="00D14F07">
        <w:rPr>
          <w:rFonts w:ascii="Arial" w:hAnsi="Arial" w:cs="Arial"/>
          <w:bCs/>
          <w:sz w:val="24"/>
          <w:szCs w:val="24"/>
          <w:shd w:val="clear" w:color="auto" w:fill="FFFFFF"/>
        </w:rPr>
        <w:t xml:space="preserve">17 October 2019.  </w:t>
      </w:r>
    </w:p>
    <w:p w:rsidR="00977D58" w:rsidRPr="00D14F07" w:rsidRDefault="00977D58" w:rsidP="00977D58">
      <w:pPr>
        <w:pStyle w:val="ListParagraph"/>
        <w:rPr>
          <w:rFonts w:ascii="Arial" w:hAnsi="Arial" w:cs="Arial"/>
          <w:bCs/>
          <w:sz w:val="24"/>
          <w:szCs w:val="24"/>
          <w:shd w:val="clear" w:color="auto" w:fill="FFFFFF"/>
        </w:rPr>
      </w:pPr>
    </w:p>
    <w:p w:rsidR="00977D58" w:rsidRPr="00D14F07" w:rsidRDefault="00977D58" w:rsidP="007339AF">
      <w:pPr>
        <w:pStyle w:val="ListParagraph"/>
        <w:numPr>
          <w:ilvl w:val="0"/>
          <w:numId w:val="1"/>
        </w:numPr>
        <w:spacing w:line="360" w:lineRule="auto"/>
        <w:ind w:left="0" w:firstLine="0"/>
        <w:jc w:val="both"/>
        <w:rPr>
          <w:rFonts w:ascii="Arial" w:hAnsi="Arial" w:cs="Arial"/>
          <w:bCs/>
          <w:sz w:val="24"/>
          <w:szCs w:val="24"/>
          <w:shd w:val="clear" w:color="auto" w:fill="FFFFFF"/>
        </w:rPr>
      </w:pPr>
      <w:r w:rsidRPr="00D14F07">
        <w:rPr>
          <w:rFonts w:ascii="Arial" w:hAnsi="Arial" w:cs="Arial"/>
          <w:bCs/>
          <w:sz w:val="24"/>
          <w:szCs w:val="24"/>
          <w:shd w:val="clear" w:color="auto" w:fill="FFFFFF"/>
        </w:rPr>
        <w:t xml:space="preserve">Despite the transfer already having taken place, the first respondent wrote to the applicant’s members on </w:t>
      </w:r>
      <w:r w:rsidR="00BF31E5" w:rsidRPr="00D14F07">
        <w:rPr>
          <w:rFonts w:ascii="Arial" w:hAnsi="Arial" w:cs="Arial"/>
          <w:bCs/>
          <w:sz w:val="24"/>
          <w:szCs w:val="24"/>
          <w:shd w:val="clear" w:color="auto" w:fill="FFFFFF"/>
        </w:rPr>
        <w:t xml:space="preserve">31 March 2020 requesting </w:t>
      </w:r>
      <w:r w:rsidRPr="00D14F07">
        <w:rPr>
          <w:rFonts w:ascii="Arial" w:hAnsi="Arial" w:cs="Arial"/>
          <w:bCs/>
          <w:sz w:val="24"/>
          <w:szCs w:val="24"/>
          <w:shd w:val="clear" w:color="auto" w:fill="FFFFFF"/>
        </w:rPr>
        <w:t>the</w:t>
      </w:r>
      <w:r w:rsidR="00BF31E5" w:rsidRPr="00D14F07">
        <w:rPr>
          <w:rFonts w:ascii="Arial" w:hAnsi="Arial" w:cs="Arial"/>
          <w:bCs/>
          <w:sz w:val="24"/>
          <w:szCs w:val="24"/>
          <w:shd w:val="clear" w:color="auto" w:fill="FFFFFF"/>
        </w:rPr>
        <w:t>y</w:t>
      </w:r>
      <w:r w:rsidR="00C501F2" w:rsidRPr="00D14F07">
        <w:rPr>
          <w:rFonts w:ascii="Arial" w:hAnsi="Arial" w:cs="Arial"/>
          <w:bCs/>
          <w:sz w:val="24"/>
          <w:szCs w:val="24"/>
          <w:shd w:val="clear" w:color="auto" w:fill="FFFFFF"/>
        </w:rPr>
        <w:t xml:space="preserve"> sign an i</w:t>
      </w:r>
      <w:r w:rsidRPr="00D14F07">
        <w:rPr>
          <w:rFonts w:ascii="Arial" w:hAnsi="Arial" w:cs="Arial"/>
          <w:bCs/>
          <w:sz w:val="24"/>
          <w:szCs w:val="24"/>
          <w:shd w:val="clear" w:color="auto" w:fill="FFFFFF"/>
        </w:rPr>
        <w:t>ndemnity</w:t>
      </w:r>
      <w:r w:rsidR="00BF31E5" w:rsidRPr="00D14F07">
        <w:rPr>
          <w:rFonts w:ascii="Arial" w:hAnsi="Arial" w:cs="Arial"/>
          <w:bCs/>
          <w:sz w:val="24"/>
          <w:szCs w:val="24"/>
          <w:shd w:val="clear" w:color="auto" w:fill="FFFFFF"/>
        </w:rPr>
        <w:t>,</w:t>
      </w:r>
      <w:r w:rsidRPr="00D14F07">
        <w:rPr>
          <w:rFonts w:ascii="Arial" w:hAnsi="Arial" w:cs="Arial"/>
          <w:bCs/>
          <w:sz w:val="24"/>
          <w:szCs w:val="24"/>
          <w:shd w:val="clear" w:color="auto" w:fill="FFFFFF"/>
        </w:rPr>
        <w:t xml:space="preserve"> as well as providing </w:t>
      </w:r>
      <w:r w:rsidR="00BF31E5" w:rsidRPr="00D14F07">
        <w:rPr>
          <w:rFonts w:ascii="Arial" w:hAnsi="Arial" w:cs="Arial"/>
          <w:bCs/>
          <w:sz w:val="24"/>
          <w:szCs w:val="24"/>
          <w:shd w:val="clear" w:color="auto" w:fill="FFFFFF"/>
        </w:rPr>
        <w:t xml:space="preserve">certified proof of their </w:t>
      </w:r>
      <w:r w:rsidRPr="00D14F07">
        <w:rPr>
          <w:rFonts w:ascii="Arial" w:hAnsi="Arial" w:cs="Arial"/>
          <w:bCs/>
          <w:sz w:val="24"/>
          <w:szCs w:val="24"/>
          <w:shd w:val="clear" w:color="auto" w:fill="FFFFFF"/>
        </w:rPr>
        <w:t>latest address</w:t>
      </w:r>
      <w:r w:rsidR="00511420" w:rsidRPr="00D14F07">
        <w:rPr>
          <w:rFonts w:ascii="Arial" w:hAnsi="Arial" w:cs="Arial"/>
          <w:bCs/>
          <w:sz w:val="24"/>
          <w:szCs w:val="24"/>
          <w:shd w:val="clear" w:color="auto" w:fill="FFFFFF"/>
        </w:rPr>
        <w:t>es</w:t>
      </w:r>
      <w:r w:rsidR="00BF31E5" w:rsidRPr="00D14F07">
        <w:rPr>
          <w:rFonts w:ascii="Arial" w:hAnsi="Arial" w:cs="Arial"/>
          <w:bCs/>
          <w:sz w:val="24"/>
          <w:szCs w:val="24"/>
          <w:shd w:val="clear" w:color="auto" w:fill="FFFFFF"/>
        </w:rPr>
        <w:t>, as required by FICA. Once this was done, the first respondent undertook to release the payment.  The applicant complied with the request for FICA documentation on 9 April 2020. Despite compl</w:t>
      </w:r>
      <w:r w:rsidR="00F35799" w:rsidRPr="00D14F07">
        <w:rPr>
          <w:rFonts w:ascii="Arial" w:hAnsi="Arial" w:cs="Arial"/>
          <w:bCs/>
          <w:sz w:val="24"/>
          <w:szCs w:val="24"/>
          <w:shd w:val="clear" w:color="auto" w:fill="FFFFFF"/>
        </w:rPr>
        <w:t xml:space="preserve">iance </w:t>
      </w:r>
      <w:r w:rsidR="00BF31E5" w:rsidRPr="00D14F07">
        <w:rPr>
          <w:rFonts w:ascii="Arial" w:hAnsi="Arial" w:cs="Arial"/>
          <w:bCs/>
          <w:sz w:val="24"/>
          <w:szCs w:val="24"/>
          <w:shd w:val="clear" w:color="auto" w:fill="FFFFFF"/>
        </w:rPr>
        <w:t xml:space="preserve">on two occasions, the </w:t>
      </w:r>
      <w:r w:rsidR="00F35799" w:rsidRPr="00D14F07">
        <w:rPr>
          <w:rFonts w:ascii="Arial" w:hAnsi="Arial" w:cs="Arial"/>
          <w:bCs/>
          <w:sz w:val="24"/>
          <w:szCs w:val="24"/>
          <w:shd w:val="clear" w:color="auto" w:fill="FFFFFF"/>
        </w:rPr>
        <w:t xml:space="preserve">first respondent </w:t>
      </w:r>
      <w:r w:rsidR="00BF31E5" w:rsidRPr="00D14F07">
        <w:rPr>
          <w:rFonts w:ascii="Arial" w:hAnsi="Arial" w:cs="Arial"/>
          <w:bCs/>
          <w:sz w:val="24"/>
          <w:szCs w:val="24"/>
          <w:shd w:val="clear" w:color="auto" w:fill="FFFFFF"/>
        </w:rPr>
        <w:t xml:space="preserve">had still not paid </w:t>
      </w:r>
      <w:r w:rsidR="00F35799" w:rsidRPr="00D14F07">
        <w:rPr>
          <w:rFonts w:ascii="Arial" w:hAnsi="Arial" w:cs="Arial"/>
          <w:bCs/>
          <w:sz w:val="24"/>
          <w:szCs w:val="24"/>
          <w:shd w:val="clear" w:color="auto" w:fill="FFFFFF"/>
        </w:rPr>
        <w:t xml:space="preserve">over </w:t>
      </w:r>
      <w:r w:rsidR="00BF31E5" w:rsidRPr="00D14F07">
        <w:rPr>
          <w:rFonts w:ascii="Arial" w:hAnsi="Arial" w:cs="Arial"/>
          <w:bCs/>
          <w:sz w:val="24"/>
          <w:szCs w:val="24"/>
          <w:shd w:val="clear" w:color="auto" w:fill="FFFFFF"/>
        </w:rPr>
        <w:t>the proceeds from the sale.</w:t>
      </w:r>
    </w:p>
    <w:p w:rsidR="00BF31E5" w:rsidRPr="00D14F07" w:rsidRDefault="00BF31E5" w:rsidP="00BF31E5">
      <w:pPr>
        <w:pStyle w:val="ListParagraph"/>
        <w:rPr>
          <w:rFonts w:ascii="Arial" w:hAnsi="Arial" w:cs="Arial"/>
          <w:bCs/>
          <w:sz w:val="24"/>
          <w:szCs w:val="24"/>
          <w:shd w:val="clear" w:color="auto" w:fill="FFFFFF"/>
        </w:rPr>
      </w:pPr>
    </w:p>
    <w:p w:rsidR="00BF31E5" w:rsidRPr="00D14F07" w:rsidRDefault="005F3087" w:rsidP="007339AF">
      <w:pPr>
        <w:pStyle w:val="ListParagraph"/>
        <w:numPr>
          <w:ilvl w:val="0"/>
          <w:numId w:val="1"/>
        </w:numPr>
        <w:spacing w:line="360" w:lineRule="auto"/>
        <w:ind w:left="0" w:firstLine="0"/>
        <w:jc w:val="both"/>
        <w:rPr>
          <w:rFonts w:ascii="Arial" w:hAnsi="Arial" w:cs="Arial"/>
          <w:bCs/>
          <w:sz w:val="24"/>
          <w:szCs w:val="24"/>
          <w:shd w:val="clear" w:color="auto" w:fill="FFFFFF"/>
        </w:rPr>
      </w:pPr>
      <w:r w:rsidRPr="00D14F07">
        <w:rPr>
          <w:rFonts w:ascii="Arial" w:hAnsi="Arial" w:cs="Arial"/>
          <w:bCs/>
          <w:sz w:val="24"/>
          <w:szCs w:val="24"/>
          <w:shd w:val="clear" w:color="auto" w:fill="FFFFFF"/>
        </w:rPr>
        <w:t xml:space="preserve">For almost a year from February 2020 to March 2021 the applicant corresponded with a member of the first respondent’s office who provided a litany of excuses as to why the first respondent was unable to pay the proceeds of the transfer over to the applicant.  Eventually, the applicant became exasperated at the reasons </w:t>
      </w:r>
      <w:r w:rsidR="00F35799" w:rsidRPr="00D14F07">
        <w:rPr>
          <w:rFonts w:ascii="Arial" w:hAnsi="Arial" w:cs="Arial"/>
          <w:bCs/>
          <w:sz w:val="24"/>
          <w:szCs w:val="24"/>
          <w:shd w:val="clear" w:color="auto" w:fill="FFFFFF"/>
        </w:rPr>
        <w:lastRenderedPageBreak/>
        <w:t xml:space="preserve">being proffered for </w:t>
      </w:r>
      <w:r w:rsidRPr="00D14F07">
        <w:rPr>
          <w:rFonts w:ascii="Arial" w:hAnsi="Arial" w:cs="Arial"/>
          <w:bCs/>
          <w:sz w:val="24"/>
          <w:szCs w:val="24"/>
          <w:shd w:val="clear" w:color="auto" w:fill="FFFFFF"/>
        </w:rPr>
        <w:t>the delay in payment and referred the matter to its attorney</w:t>
      </w:r>
      <w:r w:rsidR="00F35799" w:rsidRPr="00D14F07">
        <w:rPr>
          <w:rFonts w:ascii="Arial" w:hAnsi="Arial" w:cs="Arial"/>
          <w:bCs/>
          <w:sz w:val="24"/>
          <w:szCs w:val="24"/>
          <w:shd w:val="clear" w:color="auto" w:fill="FFFFFF"/>
        </w:rPr>
        <w:t xml:space="preserve">.  The latter </w:t>
      </w:r>
      <w:r w:rsidRPr="00D14F07">
        <w:rPr>
          <w:rFonts w:ascii="Arial" w:hAnsi="Arial" w:cs="Arial"/>
          <w:bCs/>
          <w:sz w:val="24"/>
          <w:szCs w:val="24"/>
          <w:shd w:val="clear" w:color="auto" w:fill="FFFFFF"/>
        </w:rPr>
        <w:t>wrote to the first respondent on 25 March 2021 request</w:t>
      </w:r>
      <w:r w:rsidR="00F35799" w:rsidRPr="00D14F07">
        <w:rPr>
          <w:rFonts w:ascii="Arial" w:hAnsi="Arial" w:cs="Arial"/>
          <w:bCs/>
          <w:sz w:val="24"/>
          <w:szCs w:val="24"/>
          <w:shd w:val="clear" w:color="auto" w:fill="FFFFFF"/>
        </w:rPr>
        <w:t>ing</w:t>
      </w:r>
      <w:r w:rsidRPr="00D14F07">
        <w:rPr>
          <w:rFonts w:ascii="Arial" w:hAnsi="Arial" w:cs="Arial"/>
          <w:bCs/>
          <w:sz w:val="24"/>
          <w:szCs w:val="24"/>
          <w:shd w:val="clear" w:color="auto" w:fill="FFFFFF"/>
        </w:rPr>
        <w:t xml:space="preserve"> a final statement of account and demand</w:t>
      </w:r>
      <w:r w:rsidR="00F35799" w:rsidRPr="00D14F07">
        <w:rPr>
          <w:rFonts w:ascii="Arial" w:hAnsi="Arial" w:cs="Arial"/>
          <w:bCs/>
          <w:sz w:val="24"/>
          <w:szCs w:val="24"/>
          <w:shd w:val="clear" w:color="auto" w:fill="FFFFFF"/>
        </w:rPr>
        <w:t>ed</w:t>
      </w:r>
      <w:r w:rsidRPr="00D14F07">
        <w:rPr>
          <w:rFonts w:ascii="Arial" w:hAnsi="Arial" w:cs="Arial"/>
          <w:bCs/>
          <w:sz w:val="24"/>
          <w:szCs w:val="24"/>
          <w:shd w:val="clear" w:color="auto" w:fill="FFFFFF"/>
        </w:rPr>
        <w:t xml:space="preserve"> that payment of the proceeds of the sale</w:t>
      </w:r>
      <w:r w:rsidR="00F35799" w:rsidRPr="00D14F07">
        <w:rPr>
          <w:rFonts w:ascii="Arial" w:hAnsi="Arial" w:cs="Arial"/>
          <w:bCs/>
          <w:sz w:val="24"/>
          <w:szCs w:val="24"/>
          <w:shd w:val="clear" w:color="auto" w:fill="FFFFFF"/>
        </w:rPr>
        <w:t>,</w:t>
      </w:r>
      <w:r w:rsidRPr="00D14F07">
        <w:rPr>
          <w:rFonts w:ascii="Arial" w:hAnsi="Arial" w:cs="Arial"/>
          <w:bCs/>
          <w:sz w:val="24"/>
          <w:szCs w:val="24"/>
          <w:shd w:val="clear" w:color="auto" w:fill="FFFFFF"/>
        </w:rPr>
        <w:t xml:space="preserve"> together with interest</w:t>
      </w:r>
      <w:r w:rsidR="00F35799" w:rsidRPr="00D14F07">
        <w:rPr>
          <w:rFonts w:ascii="Arial" w:hAnsi="Arial" w:cs="Arial"/>
          <w:bCs/>
          <w:sz w:val="24"/>
          <w:szCs w:val="24"/>
          <w:shd w:val="clear" w:color="auto" w:fill="FFFFFF"/>
        </w:rPr>
        <w:t>,</w:t>
      </w:r>
      <w:r w:rsidRPr="00D14F07">
        <w:rPr>
          <w:rFonts w:ascii="Arial" w:hAnsi="Arial" w:cs="Arial"/>
          <w:bCs/>
          <w:sz w:val="24"/>
          <w:szCs w:val="24"/>
          <w:shd w:val="clear" w:color="auto" w:fill="FFFFFF"/>
        </w:rPr>
        <w:t xml:space="preserve"> be made to the applicant.  Again</w:t>
      </w:r>
      <w:r w:rsidR="00F35799" w:rsidRPr="00D14F07">
        <w:rPr>
          <w:rFonts w:ascii="Arial" w:hAnsi="Arial" w:cs="Arial"/>
          <w:bCs/>
          <w:sz w:val="24"/>
          <w:szCs w:val="24"/>
          <w:shd w:val="clear" w:color="auto" w:fill="FFFFFF"/>
        </w:rPr>
        <w:t>,</w:t>
      </w:r>
      <w:r w:rsidRPr="00D14F07">
        <w:rPr>
          <w:rFonts w:ascii="Arial" w:hAnsi="Arial" w:cs="Arial"/>
          <w:bCs/>
          <w:sz w:val="24"/>
          <w:szCs w:val="24"/>
          <w:shd w:val="clear" w:color="auto" w:fill="FFFFFF"/>
        </w:rPr>
        <w:t xml:space="preserve"> the first respondent raised the issue of FICA compliance, </w:t>
      </w:r>
      <w:r w:rsidR="00C44E5D" w:rsidRPr="00D14F07">
        <w:rPr>
          <w:rFonts w:ascii="Arial" w:hAnsi="Arial" w:cs="Arial"/>
          <w:bCs/>
          <w:sz w:val="24"/>
          <w:szCs w:val="24"/>
          <w:shd w:val="clear" w:color="auto" w:fill="FFFFFF"/>
        </w:rPr>
        <w:t xml:space="preserve">apparently alerted by its FICA compliance officer, </w:t>
      </w:r>
      <w:r w:rsidRPr="00D14F07">
        <w:rPr>
          <w:rFonts w:ascii="Arial" w:hAnsi="Arial" w:cs="Arial"/>
          <w:bCs/>
          <w:sz w:val="24"/>
          <w:szCs w:val="24"/>
          <w:shd w:val="clear" w:color="auto" w:fill="FFFFFF"/>
        </w:rPr>
        <w:t xml:space="preserve">requesting yet again proof of residence – </w:t>
      </w:r>
      <w:r w:rsidR="00F35799" w:rsidRPr="00D14F07">
        <w:rPr>
          <w:rFonts w:ascii="Arial" w:hAnsi="Arial" w:cs="Arial"/>
          <w:bCs/>
          <w:sz w:val="24"/>
          <w:szCs w:val="24"/>
          <w:shd w:val="clear" w:color="auto" w:fill="FFFFFF"/>
        </w:rPr>
        <w:t xml:space="preserve">this time, </w:t>
      </w:r>
      <w:r w:rsidRPr="00D14F07">
        <w:rPr>
          <w:rFonts w:ascii="Arial" w:hAnsi="Arial" w:cs="Arial"/>
          <w:bCs/>
          <w:sz w:val="24"/>
          <w:szCs w:val="24"/>
          <w:shd w:val="clear" w:color="auto" w:fill="FFFFFF"/>
        </w:rPr>
        <w:t xml:space="preserve">not older than </w:t>
      </w:r>
      <w:r w:rsidR="005C01B3" w:rsidRPr="00D14F07">
        <w:rPr>
          <w:rFonts w:ascii="Arial" w:hAnsi="Arial" w:cs="Arial"/>
          <w:bCs/>
          <w:sz w:val="24"/>
          <w:szCs w:val="24"/>
          <w:shd w:val="clear" w:color="auto" w:fill="FFFFFF"/>
        </w:rPr>
        <w:t xml:space="preserve">three </w:t>
      </w:r>
      <w:r w:rsidRPr="00D14F07">
        <w:rPr>
          <w:rFonts w:ascii="Arial" w:hAnsi="Arial" w:cs="Arial"/>
          <w:bCs/>
          <w:sz w:val="24"/>
          <w:szCs w:val="24"/>
          <w:shd w:val="clear" w:color="auto" w:fill="FFFFFF"/>
        </w:rPr>
        <w:t>months – in respect of the applicant’s members. As with previous undertaking</w:t>
      </w:r>
      <w:r w:rsidR="00F35799" w:rsidRPr="00D14F07">
        <w:rPr>
          <w:rFonts w:ascii="Arial" w:hAnsi="Arial" w:cs="Arial"/>
          <w:bCs/>
          <w:sz w:val="24"/>
          <w:szCs w:val="24"/>
          <w:shd w:val="clear" w:color="auto" w:fill="FFFFFF"/>
        </w:rPr>
        <w:t>s</w:t>
      </w:r>
      <w:r w:rsidRPr="00D14F07">
        <w:rPr>
          <w:rFonts w:ascii="Arial" w:hAnsi="Arial" w:cs="Arial"/>
          <w:bCs/>
          <w:sz w:val="24"/>
          <w:szCs w:val="24"/>
          <w:shd w:val="clear" w:color="auto" w:fill="FFFFFF"/>
        </w:rPr>
        <w:t xml:space="preserve">, the first respondent </w:t>
      </w:r>
      <w:r w:rsidR="00F35799" w:rsidRPr="00D14F07">
        <w:rPr>
          <w:rFonts w:ascii="Arial" w:hAnsi="Arial" w:cs="Arial"/>
          <w:bCs/>
          <w:sz w:val="24"/>
          <w:szCs w:val="24"/>
          <w:shd w:val="clear" w:color="auto" w:fill="FFFFFF"/>
        </w:rPr>
        <w:t xml:space="preserve">promised </w:t>
      </w:r>
      <w:r w:rsidRPr="00D14F07">
        <w:rPr>
          <w:rFonts w:ascii="Arial" w:hAnsi="Arial" w:cs="Arial"/>
          <w:bCs/>
          <w:sz w:val="24"/>
          <w:szCs w:val="24"/>
          <w:shd w:val="clear" w:color="auto" w:fill="FFFFFF"/>
        </w:rPr>
        <w:t>to make payment on</w:t>
      </w:r>
      <w:r w:rsidR="00C44E5D" w:rsidRPr="00D14F07">
        <w:rPr>
          <w:rFonts w:ascii="Arial" w:hAnsi="Arial" w:cs="Arial"/>
          <w:bCs/>
          <w:sz w:val="24"/>
          <w:szCs w:val="24"/>
          <w:shd w:val="clear" w:color="auto" w:fill="FFFFFF"/>
        </w:rPr>
        <w:t>ce</w:t>
      </w:r>
      <w:r w:rsidRPr="00D14F07">
        <w:rPr>
          <w:rFonts w:ascii="Arial" w:hAnsi="Arial" w:cs="Arial"/>
          <w:bCs/>
          <w:sz w:val="24"/>
          <w:szCs w:val="24"/>
          <w:shd w:val="clear" w:color="auto" w:fill="FFFFFF"/>
        </w:rPr>
        <w:t xml:space="preserve"> the ‘outstanding information’ was received.</w:t>
      </w:r>
      <w:r w:rsidR="00C44E5D" w:rsidRPr="00D14F07">
        <w:rPr>
          <w:rFonts w:ascii="Arial" w:hAnsi="Arial" w:cs="Arial"/>
          <w:bCs/>
          <w:sz w:val="24"/>
          <w:szCs w:val="24"/>
          <w:shd w:val="clear" w:color="auto" w:fill="FFFFFF"/>
        </w:rPr>
        <w:t xml:space="preserve"> The applicant’s attorney again demanded an explanation as to why the proceeds of the sale had still not been paid, despite the</w:t>
      </w:r>
      <w:r w:rsidR="00F35799" w:rsidRPr="00D14F07">
        <w:rPr>
          <w:rFonts w:ascii="Arial" w:hAnsi="Arial" w:cs="Arial"/>
          <w:bCs/>
          <w:sz w:val="24"/>
          <w:szCs w:val="24"/>
          <w:shd w:val="clear" w:color="auto" w:fill="FFFFFF"/>
        </w:rPr>
        <w:t xml:space="preserve"> applicant </w:t>
      </w:r>
      <w:r w:rsidR="00C44E5D" w:rsidRPr="00D14F07">
        <w:rPr>
          <w:rFonts w:ascii="Arial" w:hAnsi="Arial" w:cs="Arial"/>
          <w:bCs/>
          <w:sz w:val="24"/>
          <w:szCs w:val="24"/>
          <w:shd w:val="clear" w:color="auto" w:fill="FFFFFF"/>
        </w:rPr>
        <w:t xml:space="preserve">having done all that had been requested of </w:t>
      </w:r>
      <w:r w:rsidR="00F35799" w:rsidRPr="00D14F07">
        <w:rPr>
          <w:rFonts w:ascii="Arial" w:hAnsi="Arial" w:cs="Arial"/>
          <w:bCs/>
          <w:sz w:val="24"/>
          <w:szCs w:val="24"/>
          <w:shd w:val="clear" w:color="auto" w:fill="FFFFFF"/>
        </w:rPr>
        <w:t>it</w:t>
      </w:r>
      <w:r w:rsidR="00C44E5D" w:rsidRPr="00D14F07">
        <w:rPr>
          <w:rFonts w:ascii="Arial" w:hAnsi="Arial" w:cs="Arial"/>
          <w:bCs/>
          <w:sz w:val="24"/>
          <w:szCs w:val="24"/>
          <w:shd w:val="clear" w:color="auto" w:fill="FFFFFF"/>
        </w:rPr>
        <w:t>, particularly with regard to the FICA documentation.</w:t>
      </w:r>
    </w:p>
    <w:p w:rsidR="00234BB3" w:rsidRPr="00D14F07" w:rsidRDefault="00234BB3" w:rsidP="00234BB3">
      <w:pPr>
        <w:pStyle w:val="ListParagraph"/>
        <w:spacing w:line="360" w:lineRule="auto"/>
        <w:ind w:left="0"/>
        <w:jc w:val="both"/>
        <w:rPr>
          <w:rFonts w:ascii="Arial" w:hAnsi="Arial" w:cs="Arial"/>
          <w:bCs/>
          <w:sz w:val="24"/>
          <w:szCs w:val="24"/>
          <w:shd w:val="clear" w:color="auto" w:fill="FFFFFF"/>
        </w:rPr>
      </w:pPr>
    </w:p>
    <w:p w:rsidR="00C44E5D" w:rsidRPr="00D14F07" w:rsidRDefault="00C44E5D" w:rsidP="007339AF">
      <w:pPr>
        <w:pStyle w:val="ListParagraph"/>
        <w:numPr>
          <w:ilvl w:val="0"/>
          <w:numId w:val="1"/>
        </w:numPr>
        <w:spacing w:line="360" w:lineRule="auto"/>
        <w:ind w:left="0" w:firstLine="0"/>
        <w:jc w:val="both"/>
        <w:rPr>
          <w:rFonts w:ascii="Arial" w:hAnsi="Arial" w:cs="Arial"/>
          <w:bCs/>
          <w:sz w:val="24"/>
          <w:szCs w:val="24"/>
          <w:shd w:val="clear" w:color="auto" w:fill="FFFFFF"/>
        </w:rPr>
      </w:pPr>
      <w:r w:rsidRPr="00D14F07">
        <w:rPr>
          <w:rFonts w:ascii="Arial" w:hAnsi="Arial" w:cs="Arial"/>
          <w:bCs/>
          <w:sz w:val="24"/>
          <w:szCs w:val="24"/>
          <w:shd w:val="clear" w:color="auto" w:fill="FFFFFF"/>
        </w:rPr>
        <w:t xml:space="preserve">The first respondent replied to the applicant’s attorney that the amount of R1 588 306.77 (due to the applicant), </w:t>
      </w:r>
      <w:r w:rsidR="0084619E" w:rsidRPr="00D14F07">
        <w:rPr>
          <w:rFonts w:ascii="Arial" w:hAnsi="Arial" w:cs="Arial"/>
          <w:bCs/>
          <w:sz w:val="24"/>
          <w:szCs w:val="24"/>
          <w:shd w:val="clear" w:color="auto" w:fill="FFFFFF"/>
        </w:rPr>
        <w:t xml:space="preserve">was being held </w:t>
      </w:r>
      <w:r w:rsidR="00234BB3" w:rsidRPr="00D14F07">
        <w:rPr>
          <w:rFonts w:ascii="Arial" w:hAnsi="Arial" w:cs="Arial"/>
          <w:bCs/>
          <w:sz w:val="24"/>
          <w:szCs w:val="24"/>
          <w:shd w:val="clear" w:color="auto" w:fill="FFFFFF"/>
        </w:rPr>
        <w:t xml:space="preserve">in a money market account for the benefit of the applicant.  </w:t>
      </w:r>
      <w:r w:rsidR="0084619E" w:rsidRPr="00D14F07">
        <w:rPr>
          <w:rFonts w:ascii="Arial" w:hAnsi="Arial" w:cs="Arial"/>
          <w:bCs/>
          <w:sz w:val="24"/>
          <w:szCs w:val="24"/>
          <w:shd w:val="clear" w:color="auto" w:fill="FFFFFF"/>
        </w:rPr>
        <w:t>The first respondent provided no further details of the account or institution at which the funds were being held, despite requests from the applicant’s attorney.</w:t>
      </w:r>
    </w:p>
    <w:p w:rsidR="0084619E" w:rsidRPr="00D14F07" w:rsidRDefault="0084619E" w:rsidP="0084619E">
      <w:pPr>
        <w:pStyle w:val="ListParagraph"/>
        <w:rPr>
          <w:rFonts w:ascii="Arial" w:hAnsi="Arial" w:cs="Arial"/>
          <w:bCs/>
          <w:sz w:val="24"/>
          <w:szCs w:val="24"/>
          <w:shd w:val="clear" w:color="auto" w:fill="FFFFFF"/>
        </w:rPr>
      </w:pPr>
    </w:p>
    <w:p w:rsidR="00234BB3" w:rsidRPr="00D14F07" w:rsidRDefault="00C06243" w:rsidP="00234BB3">
      <w:pPr>
        <w:pStyle w:val="ListParagraph"/>
        <w:numPr>
          <w:ilvl w:val="0"/>
          <w:numId w:val="1"/>
        </w:numPr>
        <w:spacing w:line="360" w:lineRule="auto"/>
        <w:ind w:left="0" w:firstLine="0"/>
        <w:jc w:val="both"/>
        <w:rPr>
          <w:rFonts w:ascii="Arial" w:hAnsi="Arial" w:cs="Arial"/>
          <w:bCs/>
          <w:sz w:val="24"/>
          <w:szCs w:val="24"/>
          <w:shd w:val="clear" w:color="auto" w:fill="FFFFFF"/>
        </w:rPr>
      </w:pPr>
      <w:r w:rsidRPr="00D14F07">
        <w:rPr>
          <w:rFonts w:ascii="Arial" w:hAnsi="Arial" w:cs="Arial"/>
          <w:bCs/>
          <w:sz w:val="24"/>
          <w:szCs w:val="24"/>
          <w:shd w:val="clear" w:color="auto" w:fill="FFFFFF"/>
        </w:rPr>
        <w:t>The first respondent thereafter addressed corresponde</w:t>
      </w:r>
      <w:r w:rsidR="00002488" w:rsidRPr="00D14F07">
        <w:rPr>
          <w:rFonts w:ascii="Arial" w:hAnsi="Arial" w:cs="Arial"/>
          <w:bCs/>
          <w:sz w:val="24"/>
          <w:szCs w:val="24"/>
          <w:shd w:val="clear" w:color="auto" w:fill="FFFFFF"/>
        </w:rPr>
        <w:t>nce to the applicant’s attorney, re</w:t>
      </w:r>
      <w:r w:rsidRPr="00D14F07">
        <w:rPr>
          <w:rFonts w:ascii="Arial" w:hAnsi="Arial" w:cs="Arial"/>
          <w:bCs/>
          <w:sz w:val="24"/>
          <w:szCs w:val="24"/>
          <w:shd w:val="clear" w:color="auto" w:fill="FFFFFF"/>
        </w:rPr>
        <w:t xml:space="preserve">lying on the provisions of </w:t>
      </w:r>
      <w:r w:rsidR="00002488" w:rsidRPr="00D14F07">
        <w:rPr>
          <w:rFonts w:ascii="Arial" w:hAnsi="Arial" w:cs="Arial"/>
          <w:bCs/>
          <w:sz w:val="24"/>
          <w:szCs w:val="24"/>
          <w:shd w:val="clear" w:color="auto" w:fill="FFFFFF"/>
        </w:rPr>
        <w:t>FICA and its regulations to contend</w:t>
      </w:r>
      <w:r w:rsidRPr="00D14F07">
        <w:rPr>
          <w:rFonts w:ascii="Arial" w:hAnsi="Arial" w:cs="Arial"/>
          <w:bCs/>
          <w:sz w:val="24"/>
          <w:szCs w:val="24"/>
          <w:shd w:val="clear" w:color="auto" w:fill="FFFFFF"/>
        </w:rPr>
        <w:t xml:space="preserve"> that as the holder of an attorney’s trust account, </w:t>
      </w:r>
      <w:r w:rsidR="00002488" w:rsidRPr="00D14F07">
        <w:rPr>
          <w:rFonts w:ascii="Arial" w:hAnsi="Arial" w:cs="Arial"/>
          <w:bCs/>
          <w:sz w:val="24"/>
          <w:szCs w:val="24"/>
          <w:shd w:val="clear" w:color="auto" w:fill="FFFFFF"/>
        </w:rPr>
        <w:t xml:space="preserve">it was </w:t>
      </w:r>
      <w:r w:rsidRPr="00D14F07">
        <w:rPr>
          <w:rFonts w:ascii="Arial" w:hAnsi="Arial" w:cs="Arial"/>
          <w:bCs/>
          <w:sz w:val="24"/>
          <w:szCs w:val="24"/>
          <w:shd w:val="clear" w:color="auto" w:fill="FFFFFF"/>
        </w:rPr>
        <w:t>entitled to request v</w:t>
      </w:r>
      <w:r w:rsidR="00002488" w:rsidRPr="00D14F07">
        <w:rPr>
          <w:rFonts w:ascii="Arial" w:hAnsi="Arial" w:cs="Arial"/>
          <w:bCs/>
          <w:sz w:val="24"/>
          <w:szCs w:val="24"/>
          <w:shd w:val="clear" w:color="auto" w:fill="FFFFFF"/>
        </w:rPr>
        <w:t xml:space="preserve">erification </w:t>
      </w:r>
      <w:r w:rsidRPr="00D14F07">
        <w:rPr>
          <w:rFonts w:ascii="Arial" w:hAnsi="Arial" w:cs="Arial"/>
          <w:bCs/>
          <w:sz w:val="24"/>
          <w:szCs w:val="24"/>
          <w:shd w:val="clear" w:color="auto" w:fill="FFFFFF"/>
        </w:rPr>
        <w:t xml:space="preserve">of information prior </w:t>
      </w:r>
      <w:r w:rsidR="00511420" w:rsidRPr="00D14F07">
        <w:rPr>
          <w:rFonts w:ascii="Arial" w:hAnsi="Arial" w:cs="Arial"/>
          <w:bCs/>
          <w:sz w:val="24"/>
          <w:szCs w:val="24"/>
          <w:shd w:val="clear" w:color="auto" w:fill="FFFFFF"/>
        </w:rPr>
        <w:t xml:space="preserve">to </w:t>
      </w:r>
      <w:r w:rsidRPr="00D14F07">
        <w:rPr>
          <w:rFonts w:ascii="Arial" w:hAnsi="Arial" w:cs="Arial"/>
          <w:bCs/>
          <w:sz w:val="24"/>
          <w:szCs w:val="24"/>
          <w:shd w:val="clear" w:color="auto" w:fill="FFFFFF"/>
        </w:rPr>
        <w:t>payment to any individual, in order to safeguard themselves against fraud and theft relating to trust monies. The first respondent expressed its concern over the applicant’s reluctance to furnish it with the information requested, and that it remain</w:t>
      </w:r>
      <w:r w:rsidR="00933E85" w:rsidRPr="00D14F07">
        <w:rPr>
          <w:rFonts w:ascii="Arial" w:hAnsi="Arial" w:cs="Arial"/>
          <w:bCs/>
          <w:sz w:val="24"/>
          <w:szCs w:val="24"/>
          <w:shd w:val="clear" w:color="auto" w:fill="FFFFFF"/>
        </w:rPr>
        <w:t>ed</w:t>
      </w:r>
      <w:r w:rsidRPr="00D14F07">
        <w:rPr>
          <w:rFonts w:ascii="Arial" w:hAnsi="Arial" w:cs="Arial"/>
          <w:bCs/>
          <w:sz w:val="24"/>
          <w:szCs w:val="24"/>
          <w:shd w:val="clear" w:color="auto" w:fill="FFFFFF"/>
        </w:rPr>
        <w:t xml:space="preserve"> ready to </w:t>
      </w:r>
      <w:r w:rsidR="00933E85" w:rsidRPr="00D14F07">
        <w:rPr>
          <w:rFonts w:ascii="Arial" w:hAnsi="Arial" w:cs="Arial"/>
          <w:bCs/>
          <w:sz w:val="24"/>
          <w:szCs w:val="24"/>
          <w:shd w:val="clear" w:color="auto" w:fill="FFFFFF"/>
        </w:rPr>
        <w:t xml:space="preserve">release </w:t>
      </w:r>
      <w:r w:rsidRPr="00D14F07">
        <w:rPr>
          <w:rFonts w:ascii="Arial" w:hAnsi="Arial" w:cs="Arial"/>
          <w:bCs/>
          <w:sz w:val="24"/>
          <w:szCs w:val="24"/>
          <w:shd w:val="clear" w:color="auto" w:fill="FFFFFF"/>
        </w:rPr>
        <w:t>th</w:t>
      </w:r>
      <w:r w:rsidR="00933E85" w:rsidRPr="00D14F07">
        <w:rPr>
          <w:rFonts w:ascii="Arial" w:hAnsi="Arial" w:cs="Arial"/>
          <w:bCs/>
          <w:sz w:val="24"/>
          <w:szCs w:val="24"/>
          <w:shd w:val="clear" w:color="auto" w:fill="FFFFFF"/>
        </w:rPr>
        <w:t>e</w:t>
      </w:r>
      <w:r w:rsidRPr="00D14F07">
        <w:rPr>
          <w:rFonts w:ascii="Arial" w:hAnsi="Arial" w:cs="Arial"/>
          <w:bCs/>
          <w:sz w:val="24"/>
          <w:szCs w:val="24"/>
          <w:shd w:val="clear" w:color="auto" w:fill="FFFFFF"/>
        </w:rPr>
        <w:t xml:space="preserve"> payment </w:t>
      </w:r>
      <w:r w:rsidR="00933E85" w:rsidRPr="00D14F07">
        <w:rPr>
          <w:rFonts w:ascii="Arial" w:hAnsi="Arial" w:cs="Arial"/>
          <w:bCs/>
          <w:sz w:val="24"/>
          <w:szCs w:val="24"/>
          <w:shd w:val="clear" w:color="auto" w:fill="FFFFFF"/>
        </w:rPr>
        <w:t xml:space="preserve">on receipt of the </w:t>
      </w:r>
      <w:r w:rsidRPr="00D14F07">
        <w:rPr>
          <w:rFonts w:ascii="Arial" w:hAnsi="Arial" w:cs="Arial"/>
          <w:bCs/>
          <w:sz w:val="24"/>
          <w:szCs w:val="24"/>
          <w:shd w:val="clear" w:color="auto" w:fill="FFFFFF"/>
        </w:rPr>
        <w:t>requested information. It was also apparent that the first respondent was insistent that documents provided by the applicant should not be older than three months from the date of issue, apparently relying on a provision of FICA for this requirement. In order to avoid further delays and particularly a debate with the first respondent as to his interpretation of the provisions of FICA, the applicant’s atto</w:t>
      </w:r>
      <w:r w:rsidR="00933E85" w:rsidRPr="00D14F07">
        <w:rPr>
          <w:rFonts w:ascii="Arial" w:hAnsi="Arial" w:cs="Arial"/>
          <w:bCs/>
          <w:sz w:val="24"/>
          <w:szCs w:val="24"/>
          <w:shd w:val="clear" w:color="auto" w:fill="FFFFFF"/>
        </w:rPr>
        <w:t>rney in order to hasten payment</w:t>
      </w:r>
      <w:r w:rsidRPr="00D14F07">
        <w:rPr>
          <w:rFonts w:ascii="Arial" w:hAnsi="Arial" w:cs="Arial"/>
          <w:bCs/>
          <w:sz w:val="24"/>
          <w:szCs w:val="24"/>
          <w:shd w:val="clear" w:color="auto" w:fill="FFFFFF"/>
        </w:rPr>
        <w:t xml:space="preserve"> and despite having previously complied, again requested the applicant’s </w:t>
      </w:r>
      <w:r w:rsidR="00933E85" w:rsidRPr="00D14F07">
        <w:rPr>
          <w:rFonts w:ascii="Arial" w:hAnsi="Arial" w:cs="Arial"/>
          <w:bCs/>
          <w:sz w:val="24"/>
          <w:szCs w:val="24"/>
          <w:shd w:val="clear" w:color="auto" w:fill="FFFFFF"/>
        </w:rPr>
        <w:t>members to provide proof of their identity and residence</w:t>
      </w:r>
      <w:r w:rsidR="000F1FAF">
        <w:rPr>
          <w:rFonts w:ascii="Arial" w:hAnsi="Arial" w:cs="Arial"/>
          <w:bCs/>
          <w:sz w:val="24"/>
          <w:szCs w:val="24"/>
          <w:shd w:val="clear" w:color="auto" w:fill="FFFFFF"/>
        </w:rPr>
        <w:t>,</w:t>
      </w:r>
      <w:r w:rsidR="00933E85" w:rsidRPr="00D14F07">
        <w:rPr>
          <w:rFonts w:ascii="Arial" w:hAnsi="Arial" w:cs="Arial"/>
          <w:bCs/>
          <w:sz w:val="24"/>
          <w:szCs w:val="24"/>
          <w:shd w:val="clear" w:color="auto" w:fill="FFFFFF"/>
        </w:rPr>
        <w:t xml:space="preserve"> </w:t>
      </w:r>
      <w:r w:rsidRPr="00D14F07">
        <w:rPr>
          <w:rFonts w:ascii="Arial" w:hAnsi="Arial" w:cs="Arial"/>
          <w:bCs/>
          <w:sz w:val="24"/>
          <w:szCs w:val="24"/>
          <w:shd w:val="clear" w:color="auto" w:fill="FFFFFF"/>
        </w:rPr>
        <w:t>as well as their signatures to a resolution authorising the</w:t>
      </w:r>
      <w:r w:rsidR="00933E85" w:rsidRPr="00D14F07">
        <w:rPr>
          <w:rFonts w:ascii="Arial" w:hAnsi="Arial" w:cs="Arial"/>
          <w:bCs/>
          <w:sz w:val="24"/>
          <w:szCs w:val="24"/>
          <w:shd w:val="clear" w:color="auto" w:fill="FFFFFF"/>
        </w:rPr>
        <w:t>ir</w:t>
      </w:r>
      <w:r w:rsidRPr="00D14F07">
        <w:rPr>
          <w:rFonts w:ascii="Arial" w:hAnsi="Arial" w:cs="Arial"/>
          <w:bCs/>
          <w:sz w:val="24"/>
          <w:szCs w:val="24"/>
          <w:shd w:val="clear" w:color="auto" w:fill="FFFFFF"/>
        </w:rPr>
        <w:t xml:space="preserve"> attorney to receive payment on their behalf from the first respondent. Again the first respondent raised issues </w:t>
      </w:r>
      <w:r w:rsidR="00933E85" w:rsidRPr="00D14F07">
        <w:rPr>
          <w:rFonts w:ascii="Arial" w:hAnsi="Arial" w:cs="Arial"/>
          <w:bCs/>
          <w:sz w:val="24"/>
          <w:szCs w:val="24"/>
          <w:shd w:val="clear" w:color="auto" w:fill="FFFFFF"/>
        </w:rPr>
        <w:t xml:space="preserve">of </w:t>
      </w:r>
      <w:r w:rsidRPr="00D14F07">
        <w:rPr>
          <w:rFonts w:ascii="Arial" w:hAnsi="Arial" w:cs="Arial"/>
          <w:bCs/>
          <w:sz w:val="24"/>
          <w:szCs w:val="24"/>
          <w:shd w:val="clear" w:color="auto" w:fill="FFFFFF"/>
        </w:rPr>
        <w:t xml:space="preserve">non-compliance with FICA, which the applicant’s </w:t>
      </w:r>
      <w:r w:rsidRPr="00D14F07">
        <w:rPr>
          <w:rFonts w:ascii="Arial" w:hAnsi="Arial" w:cs="Arial"/>
          <w:bCs/>
          <w:sz w:val="24"/>
          <w:szCs w:val="24"/>
          <w:shd w:val="clear" w:color="auto" w:fill="FFFFFF"/>
        </w:rPr>
        <w:lastRenderedPageBreak/>
        <w:t xml:space="preserve">attorneys recorded were simply </w:t>
      </w:r>
      <w:r w:rsidR="00933E85" w:rsidRPr="00D14F07">
        <w:rPr>
          <w:rFonts w:ascii="Arial" w:hAnsi="Arial" w:cs="Arial"/>
          <w:bCs/>
          <w:sz w:val="24"/>
          <w:szCs w:val="24"/>
          <w:shd w:val="clear" w:color="auto" w:fill="FFFFFF"/>
        </w:rPr>
        <w:t xml:space="preserve">delaying </w:t>
      </w:r>
      <w:r w:rsidRPr="00D14F07">
        <w:rPr>
          <w:rFonts w:ascii="Arial" w:hAnsi="Arial" w:cs="Arial"/>
          <w:bCs/>
          <w:sz w:val="24"/>
          <w:szCs w:val="24"/>
          <w:shd w:val="clear" w:color="auto" w:fill="FFFFFF"/>
        </w:rPr>
        <w:t xml:space="preserve">tactics to avoid paying </w:t>
      </w:r>
      <w:r w:rsidR="00933E85" w:rsidRPr="00D14F07">
        <w:rPr>
          <w:rFonts w:ascii="Arial" w:hAnsi="Arial" w:cs="Arial"/>
          <w:bCs/>
          <w:sz w:val="24"/>
          <w:szCs w:val="24"/>
          <w:shd w:val="clear" w:color="auto" w:fill="FFFFFF"/>
        </w:rPr>
        <w:t xml:space="preserve">over </w:t>
      </w:r>
      <w:r w:rsidRPr="00D14F07">
        <w:rPr>
          <w:rFonts w:ascii="Arial" w:hAnsi="Arial" w:cs="Arial"/>
          <w:bCs/>
          <w:sz w:val="24"/>
          <w:szCs w:val="24"/>
          <w:shd w:val="clear" w:color="auto" w:fill="FFFFFF"/>
        </w:rPr>
        <w:t xml:space="preserve">the proceeds </w:t>
      </w:r>
      <w:r w:rsidR="00933E85" w:rsidRPr="00D14F07">
        <w:rPr>
          <w:rFonts w:ascii="Arial" w:hAnsi="Arial" w:cs="Arial"/>
          <w:bCs/>
          <w:sz w:val="24"/>
          <w:szCs w:val="24"/>
          <w:shd w:val="clear" w:color="auto" w:fill="FFFFFF"/>
        </w:rPr>
        <w:t xml:space="preserve">from </w:t>
      </w:r>
      <w:r w:rsidRPr="00D14F07">
        <w:rPr>
          <w:rFonts w:ascii="Arial" w:hAnsi="Arial" w:cs="Arial"/>
          <w:bCs/>
          <w:sz w:val="24"/>
          <w:szCs w:val="24"/>
          <w:shd w:val="clear" w:color="auto" w:fill="FFFFFF"/>
        </w:rPr>
        <w:t>the sale of property. Not satisfied with the documents signed by the applicant’s members, and in particular the resolution authorising its attorney to receive payment of the funds due to it, the first respondent requested that the resolution be signed before a Notary Public</w:t>
      </w:r>
      <w:r w:rsidR="00DB645E" w:rsidRPr="00D14F07">
        <w:rPr>
          <w:rFonts w:ascii="Arial" w:hAnsi="Arial" w:cs="Arial"/>
          <w:bCs/>
          <w:sz w:val="24"/>
          <w:szCs w:val="24"/>
          <w:shd w:val="clear" w:color="auto" w:fill="FFFFFF"/>
        </w:rPr>
        <w:t xml:space="preserve"> or before an official designated</w:t>
      </w:r>
      <w:r w:rsidR="00933E85" w:rsidRPr="00D14F07">
        <w:rPr>
          <w:rFonts w:ascii="Arial" w:hAnsi="Arial" w:cs="Arial"/>
          <w:bCs/>
          <w:sz w:val="24"/>
          <w:szCs w:val="24"/>
          <w:shd w:val="clear" w:color="auto" w:fill="FFFFFF"/>
        </w:rPr>
        <w:t xml:space="preserve"> to do so, at the South African E</w:t>
      </w:r>
      <w:r w:rsidR="00DB645E" w:rsidRPr="00D14F07">
        <w:rPr>
          <w:rFonts w:ascii="Arial" w:hAnsi="Arial" w:cs="Arial"/>
          <w:bCs/>
          <w:sz w:val="24"/>
          <w:szCs w:val="24"/>
          <w:shd w:val="clear" w:color="auto" w:fill="FFFFFF"/>
        </w:rPr>
        <w:t>mbassy in Australia.</w:t>
      </w:r>
    </w:p>
    <w:p w:rsidR="00DB645E" w:rsidRPr="00D14F07" w:rsidRDefault="00DB645E" w:rsidP="00DB645E">
      <w:pPr>
        <w:pStyle w:val="ListParagraph"/>
        <w:spacing w:line="360" w:lineRule="auto"/>
        <w:ind w:left="0"/>
        <w:jc w:val="both"/>
        <w:rPr>
          <w:rFonts w:ascii="Arial" w:hAnsi="Arial" w:cs="Arial"/>
          <w:bCs/>
          <w:sz w:val="24"/>
          <w:szCs w:val="24"/>
          <w:shd w:val="clear" w:color="auto" w:fill="FFFFFF"/>
        </w:rPr>
      </w:pPr>
    </w:p>
    <w:p w:rsidR="00C06243" w:rsidRPr="00D14F07" w:rsidRDefault="000043DF" w:rsidP="00234BB3">
      <w:pPr>
        <w:pStyle w:val="ListParagraph"/>
        <w:numPr>
          <w:ilvl w:val="0"/>
          <w:numId w:val="1"/>
        </w:numPr>
        <w:spacing w:line="360" w:lineRule="auto"/>
        <w:ind w:left="0" w:firstLine="0"/>
        <w:jc w:val="both"/>
        <w:rPr>
          <w:rFonts w:ascii="Arial" w:hAnsi="Arial" w:cs="Arial"/>
          <w:bCs/>
          <w:sz w:val="24"/>
          <w:szCs w:val="24"/>
          <w:shd w:val="clear" w:color="auto" w:fill="FFFFFF"/>
        </w:rPr>
      </w:pPr>
      <w:r w:rsidRPr="00D14F07">
        <w:rPr>
          <w:rFonts w:ascii="Arial" w:hAnsi="Arial" w:cs="Arial"/>
          <w:bCs/>
          <w:sz w:val="24"/>
          <w:szCs w:val="24"/>
          <w:shd w:val="clear" w:color="auto" w:fill="FFFFFF"/>
        </w:rPr>
        <w:t xml:space="preserve">The contention </w:t>
      </w:r>
      <w:r w:rsidR="00933E85" w:rsidRPr="00D14F07">
        <w:rPr>
          <w:rFonts w:ascii="Arial" w:hAnsi="Arial" w:cs="Arial"/>
          <w:bCs/>
          <w:sz w:val="24"/>
          <w:szCs w:val="24"/>
          <w:shd w:val="clear" w:color="auto" w:fill="FFFFFF"/>
        </w:rPr>
        <w:t xml:space="preserve">on behalf of the </w:t>
      </w:r>
      <w:r w:rsidRPr="00D14F07">
        <w:rPr>
          <w:rFonts w:ascii="Arial" w:hAnsi="Arial" w:cs="Arial"/>
          <w:bCs/>
          <w:sz w:val="24"/>
          <w:szCs w:val="24"/>
          <w:shd w:val="clear" w:color="auto" w:fill="FFFFFF"/>
        </w:rPr>
        <w:t>applicant</w:t>
      </w:r>
      <w:r w:rsidR="00933E85" w:rsidRPr="00D14F07">
        <w:rPr>
          <w:rFonts w:ascii="Arial" w:hAnsi="Arial" w:cs="Arial"/>
          <w:bCs/>
          <w:sz w:val="24"/>
          <w:szCs w:val="24"/>
          <w:shd w:val="clear" w:color="auto" w:fill="FFFFFF"/>
        </w:rPr>
        <w:t xml:space="preserve">, in the face of endless demands for documentation, was </w:t>
      </w:r>
      <w:r w:rsidRPr="00D14F07">
        <w:rPr>
          <w:rFonts w:ascii="Arial" w:hAnsi="Arial" w:cs="Arial"/>
          <w:bCs/>
          <w:sz w:val="24"/>
          <w:szCs w:val="24"/>
          <w:shd w:val="clear" w:color="auto" w:fill="FFFFFF"/>
        </w:rPr>
        <w:t xml:space="preserve">that first respondent </w:t>
      </w:r>
      <w:r w:rsidR="00933E85" w:rsidRPr="00D14F07">
        <w:rPr>
          <w:rFonts w:ascii="Arial" w:hAnsi="Arial" w:cs="Arial"/>
          <w:bCs/>
          <w:sz w:val="24"/>
          <w:szCs w:val="24"/>
          <w:shd w:val="clear" w:color="auto" w:fill="FFFFFF"/>
        </w:rPr>
        <w:t xml:space="preserve">was </w:t>
      </w:r>
      <w:r w:rsidRPr="00D14F07">
        <w:rPr>
          <w:rFonts w:ascii="Arial" w:hAnsi="Arial" w:cs="Arial"/>
          <w:bCs/>
          <w:sz w:val="24"/>
          <w:szCs w:val="24"/>
          <w:shd w:val="clear" w:color="auto" w:fill="FFFFFF"/>
        </w:rPr>
        <w:t>misinterpret</w:t>
      </w:r>
      <w:r w:rsidR="00933E85" w:rsidRPr="00D14F07">
        <w:rPr>
          <w:rFonts w:ascii="Arial" w:hAnsi="Arial" w:cs="Arial"/>
          <w:bCs/>
          <w:sz w:val="24"/>
          <w:szCs w:val="24"/>
          <w:shd w:val="clear" w:color="auto" w:fill="FFFFFF"/>
        </w:rPr>
        <w:t xml:space="preserve">ing </w:t>
      </w:r>
      <w:r w:rsidRPr="00D14F07">
        <w:rPr>
          <w:rFonts w:ascii="Arial" w:hAnsi="Arial" w:cs="Arial"/>
          <w:bCs/>
          <w:sz w:val="24"/>
          <w:szCs w:val="24"/>
          <w:shd w:val="clear" w:color="auto" w:fill="FFFFFF"/>
        </w:rPr>
        <w:t>the provisions of FICA, and even if it w</w:t>
      </w:r>
      <w:r w:rsidR="000F1FAF">
        <w:rPr>
          <w:rFonts w:ascii="Arial" w:hAnsi="Arial" w:cs="Arial"/>
          <w:bCs/>
          <w:sz w:val="24"/>
          <w:szCs w:val="24"/>
          <w:shd w:val="clear" w:color="auto" w:fill="FFFFFF"/>
        </w:rPr>
        <w:t xml:space="preserve">as </w:t>
      </w:r>
      <w:r w:rsidRPr="00D14F07">
        <w:rPr>
          <w:rFonts w:ascii="Arial" w:hAnsi="Arial" w:cs="Arial"/>
          <w:bCs/>
          <w:sz w:val="24"/>
          <w:szCs w:val="24"/>
          <w:shd w:val="clear" w:color="auto" w:fill="FFFFFF"/>
        </w:rPr>
        <w:t xml:space="preserve">incorrect in </w:t>
      </w:r>
      <w:r w:rsidR="00933E85" w:rsidRPr="00D14F07">
        <w:rPr>
          <w:rFonts w:ascii="Arial" w:hAnsi="Arial" w:cs="Arial"/>
          <w:bCs/>
          <w:sz w:val="24"/>
          <w:szCs w:val="24"/>
          <w:shd w:val="clear" w:color="auto" w:fill="FFFFFF"/>
        </w:rPr>
        <w:t xml:space="preserve">its interpretation, </w:t>
      </w:r>
      <w:r w:rsidRPr="00D14F07">
        <w:rPr>
          <w:rFonts w:ascii="Arial" w:hAnsi="Arial" w:cs="Arial"/>
          <w:bCs/>
          <w:sz w:val="24"/>
          <w:szCs w:val="24"/>
          <w:shd w:val="clear" w:color="auto" w:fill="FFFFFF"/>
        </w:rPr>
        <w:t xml:space="preserve">the applicant’s members have complied with the </w:t>
      </w:r>
      <w:r w:rsidR="00933E85" w:rsidRPr="00D14F07">
        <w:rPr>
          <w:rFonts w:ascii="Arial" w:hAnsi="Arial" w:cs="Arial"/>
          <w:bCs/>
          <w:sz w:val="24"/>
          <w:szCs w:val="24"/>
          <w:shd w:val="clear" w:color="auto" w:fill="FFFFFF"/>
        </w:rPr>
        <w:t>request t</w:t>
      </w:r>
      <w:r w:rsidRPr="00D14F07">
        <w:rPr>
          <w:rFonts w:ascii="Arial" w:hAnsi="Arial" w:cs="Arial"/>
          <w:bCs/>
          <w:sz w:val="24"/>
          <w:szCs w:val="24"/>
          <w:shd w:val="clear" w:color="auto" w:fill="FFFFFF"/>
        </w:rPr>
        <w:t>o furnish all information as required</w:t>
      </w:r>
      <w:r w:rsidR="00933E85" w:rsidRPr="00D14F07">
        <w:rPr>
          <w:rFonts w:ascii="Arial" w:hAnsi="Arial" w:cs="Arial"/>
          <w:bCs/>
          <w:sz w:val="24"/>
          <w:szCs w:val="24"/>
          <w:shd w:val="clear" w:color="auto" w:fill="FFFFFF"/>
        </w:rPr>
        <w:t>.</w:t>
      </w:r>
      <w:r w:rsidRPr="00D14F07">
        <w:rPr>
          <w:rFonts w:ascii="Arial" w:hAnsi="Arial" w:cs="Arial"/>
          <w:bCs/>
          <w:sz w:val="24"/>
          <w:szCs w:val="24"/>
          <w:shd w:val="clear" w:color="auto" w:fill="FFFFFF"/>
        </w:rPr>
        <w:t xml:space="preserve"> Moreover</w:t>
      </w:r>
      <w:r w:rsidR="00933E85" w:rsidRPr="00D14F07">
        <w:rPr>
          <w:rFonts w:ascii="Arial" w:hAnsi="Arial" w:cs="Arial"/>
          <w:bCs/>
          <w:sz w:val="24"/>
          <w:szCs w:val="24"/>
          <w:shd w:val="clear" w:color="auto" w:fill="FFFFFF"/>
        </w:rPr>
        <w:t>,</w:t>
      </w:r>
      <w:r w:rsidRPr="00D14F07">
        <w:rPr>
          <w:rFonts w:ascii="Arial" w:hAnsi="Arial" w:cs="Arial"/>
          <w:bCs/>
          <w:sz w:val="24"/>
          <w:szCs w:val="24"/>
          <w:shd w:val="clear" w:color="auto" w:fill="FFFFFF"/>
        </w:rPr>
        <w:t xml:space="preserve"> the applicant enlisted the assistance of a conveyanc</w:t>
      </w:r>
      <w:r w:rsidR="000F1FAF">
        <w:rPr>
          <w:rFonts w:ascii="Arial" w:hAnsi="Arial" w:cs="Arial"/>
          <w:bCs/>
          <w:sz w:val="24"/>
          <w:szCs w:val="24"/>
          <w:shd w:val="clear" w:color="auto" w:fill="FFFFFF"/>
        </w:rPr>
        <w:t xml:space="preserve">er, Samantha Yvonne van Rooyen </w:t>
      </w:r>
      <w:r w:rsidRPr="00D14F07">
        <w:rPr>
          <w:rFonts w:ascii="Arial" w:hAnsi="Arial" w:cs="Arial"/>
          <w:bCs/>
          <w:sz w:val="24"/>
          <w:szCs w:val="24"/>
          <w:shd w:val="clear" w:color="auto" w:fill="FFFFFF"/>
        </w:rPr>
        <w:t>who deposed to an affidavit</w:t>
      </w:r>
      <w:r w:rsidR="000F1FAF">
        <w:rPr>
          <w:rFonts w:ascii="Arial" w:hAnsi="Arial" w:cs="Arial"/>
          <w:bCs/>
          <w:sz w:val="24"/>
          <w:szCs w:val="24"/>
          <w:shd w:val="clear" w:color="auto" w:fill="FFFFFF"/>
        </w:rPr>
        <w:t xml:space="preserve"> in which she </w:t>
      </w:r>
      <w:r w:rsidRPr="00D14F07">
        <w:rPr>
          <w:rFonts w:ascii="Arial" w:hAnsi="Arial" w:cs="Arial"/>
          <w:bCs/>
          <w:sz w:val="24"/>
          <w:szCs w:val="24"/>
          <w:shd w:val="clear" w:color="auto" w:fill="FFFFFF"/>
        </w:rPr>
        <w:t xml:space="preserve">confirmed that in terms of FICA, the documents requested by the first respondent were required </w:t>
      </w:r>
      <w:r w:rsidRPr="00D14F07">
        <w:rPr>
          <w:rFonts w:ascii="Arial" w:hAnsi="Arial" w:cs="Arial"/>
          <w:bCs/>
          <w:i/>
          <w:sz w:val="24"/>
          <w:szCs w:val="24"/>
          <w:shd w:val="clear" w:color="auto" w:fill="FFFFFF"/>
        </w:rPr>
        <w:t>prior</w:t>
      </w:r>
      <w:r w:rsidRPr="00D14F07">
        <w:rPr>
          <w:rFonts w:ascii="Arial" w:hAnsi="Arial" w:cs="Arial"/>
          <w:bCs/>
          <w:sz w:val="24"/>
          <w:szCs w:val="24"/>
          <w:shd w:val="clear" w:color="auto" w:fill="FFFFFF"/>
        </w:rPr>
        <w:t xml:space="preserve"> </w:t>
      </w:r>
      <w:r w:rsidR="008A6F6B" w:rsidRPr="00D14F07">
        <w:rPr>
          <w:rFonts w:ascii="Arial" w:hAnsi="Arial" w:cs="Arial"/>
          <w:bCs/>
          <w:sz w:val="24"/>
          <w:szCs w:val="24"/>
          <w:shd w:val="clear" w:color="auto" w:fill="FFFFFF"/>
        </w:rPr>
        <w:t>to registration of the transfer.  In addition</w:t>
      </w:r>
      <w:r w:rsidR="00933E85" w:rsidRPr="00D14F07">
        <w:rPr>
          <w:rFonts w:ascii="Arial" w:hAnsi="Arial" w:cs="Arial"/>
          <w:bCs/>
          <w:sz w:val="24"/>
          <w:szCs w:val="24"/>
          <w:shd w:val="clear" w:color="auto" w:fill="FFFFFF"/>
        </w:rPr>
        <w:t>,</w:t>
      </w:r>
      <w:r w:rsidR="008A6F6B" w:rsidRPr="00D14F07">
        <w:rPr>
          <w:rFonts w:ascii="Arial" w:hAnsi="Arial" w:cs="Arial"/>
          <w:bCs/>
          <w:sz w:val="24"/>
          <w:szCs w:val="24"/>
          <w:shd w:val="clear" w:color="auto" w:fill="FFFFFF"/>
        </w:rPr>
        <w:t xml:space="preserve"> it was contended that the transaction for which the services of the first respondent were engaged, was for a single business transaction, in respect of which there was no contractual engagement beyond that of the transfer and registration of the immovable property belonging </w:t>
      </w:r>
      <w:r w:rsidR="004F4479" w:rsidRPr="00D14F07">
        <w:rPr>
          <w:rFonts w:ascii="Arial" w:hAnsi="Arial" w:cs="Arial"/>
          <w:bCs/>
          <w:sz w:val="24"/>
          <w:szCs w:val="24"/>
          <w:shd w:val="clear" w:color="auto" w:fill="FFFFFF"/>
        </w:rPr>
        <w:t xml:space="preserve">to the </w:t>
      </w:r>
      <w:r w:rsidR="008A6F6B" w:rsidRPr="00D14F07">
        <w:rPr>
          <w:rFonts w:ascii="Arial" w:hAnsi="Arial" w:cs="Arial"/>
          <w:bCs/>
          <w:sz w:val="24"/>
          <w:szCs w:val="24"/>
          <w:shd w:val="clear" w:color="auto" w:fill="FFFFFF"/>
        </w:rPr>
        <w:t xml:space="preserve">applicant.  In the result, it was submitted on behalf of the applicant that the first respondent has conceivably resorted to delaying tactics in order to avoid paying </w:t>
      </w:r>
      <w:r w:rsidR="000F1FAF">
        <w:rPr>
          <w:rFonts w:ascii="Arial" w:hAnsi="Arial" w:cs="Arial"/>
          <w:bCs/>
          <w:sz w:val="24"/>
          <w:szCs w:val="24"/>
          <w:shd w:val="clear" w:color="auto" w:fill="FFFFFF"/>
        </w:rPr>
        <w:t xml:space="preserve">out </w:t>
      </w:r>
      <w:r w:rsidR="008A6F6B" w:rsidRPr="00D14F07">
        <w:rPr>
          <w:rFonts w:ascii="Arial" w:hAnsi="Arial" w:cs="Arial"/>
          <w:bCs/>
          <w:sz w:val="24"/>
          <w:szCs w:val="24"/>
          <w:shd w:val="clear" w:color="auto" w:fill="FFFFFF"/>
        </w:rPr>
        <w:t xml:space="preserve">the proceeds of the sale to the applicant, and was consequently unlawfully withholding monies which are lawfully due to the </w:t>
      </w:r>
      <w:r w:rsidR="00933E85" w:rsidRPr="00D14F07">
        <w:rPr>
          <w:rFonts w:ascii="Arial" w:hAnsi="Arial" w:cs="Arial"/>
          <w:bCs/>
          <w:sz w:val="24"/>
          <w:szCs w:val="24"/>
          <w:shd w:val="clear" w:color="auto" w:fill="FFFFFF"/>
        </w:rPr>
        <w:t>applicant</w:t>
      </w:r>
      <w:r w:rsidR="008A6F6B" w:rsidRPr="00D14F07">
        <w:rPr>
          <w:rFonts w:ascii="Arial" w:hAnsi="Arial" w:cs="Arial"/>
          <w:bCs/>
          <w:sz w:val="24"/>
          <w:szCs w:val="24"/>
          <w:shd w:val="clear" w:color="auto" w:fill="FFFFFF"/>
        </w:rPr>
        <w:t>. On that basis it was submitted that the retention of monies by the first respondent, for the reasons advanced, are spurious and without foundation</w:t>
      </w:r>
      <w:r w:rsidR="00933E85" w:rsidRPr="00D14F07">
        <w:rPr>
          <w:rFonts w:ascii="Arial" w:hAnsi="Arial" w:cs="Arial"/>
          <w:bCs/>
          <w:sz w:val="24"/>
          <w:szCs w:val="24"/>
          <w:shd w:val="clear" w:color="auto" w:fill="FFFFFF"/>
        </w:rPr>
        <w:t xml:space="preserve"> in law</w:t>
      </w:r>
      <w:r w:rsidR="00CB2367" w:rsidRPr="00D14F07">
        <w:rPr>
          <w:rFonts w:ascii="Arial" w:hAnsi="Arial" w:cs="Arial"/>
          <w:bCs/>
          <w:sz w:val="24"/>
          <w:szCs w:val="24"/>
          <w:shd w:val="clear" w:color="auto" w:fill="FFFFFF"/>
        </w:rPr>
        <w:t>.</w:t>
      </w:r>
    </w:p>
    <w:p w:rsidR="00C06243" w:rsidRPr="00D14F07" w:rsidRDefault="00C06243" w:rsidP="00C06243">
      <w:pPr>
        <w:pStyle w:val="ListParagraph"/>
        <w:rPr>
          <w:rFonts w:ascii="Arial" w:hAnsi="Arial" w:cs="Arial"/>
          <w:bCs/>
          <w:sz w:val="24"/>
          <w:szCs w:val="24"/>
          <w:shd w:val="clear" w:color="auto" w:fill="FFFFFF"/>
        </w:rPr>
      </w:pPr>
    </w:p>
    <w:p w:rsidR="005E735F" w:rsidRPr="00D14F07" w:rsidRDefault="0065381D" w:rsidP="0065381D">
      <w:pPr>
        <w:pStyle w:val="ListParagraph"/>
        <w:numPr>
          <w:ilvl w:val="0"/>
          <w:numId w:val="1"/>
        </w:numPr>
        <w:spacing w:line="360" w:lineRule="auto"/>
        <w:ind w:left="0" w:firstLine="0"/>
        <w:jc w:val="both"/>
        <w:rPr>
          <w:rFonts w:ascii="Arial" w:hAnsi="Arial" w:cs="Arial"/>
          <w:bCs/>
          <w:sz w:val="24"/>
          <w:szCs w:val="24"/>
          <w:shd w:val="clear" w:color="auto" w:fill="FFFFFF"/>
        </w:rPr>
      </w:pPr>
      <w:r w:rsidRPr="00D14F07">
        <w:rPr>
          <w:rFonts w:ascii="Arial" w:hAnsi="Arial" w:cs="Arial"/>
          <w:bCs/>
          <w:sz w:val="24"/>
          <w:szCs w:val="24"/>
          <w:shd w:val="clear" w:color="auto" w:fill="FFFFFF"/>
        </w:rPr>
        <w:t xml:space="preserve">The first respondent’s opposition was confined to raising points </w:t>
      </w:r>
      <w:r w:rsidRPr="00D14F07">
        <w:rPr>
          <w:rFonts w:ascii="Arial" w:hAnsi="Arial" w:cs="Arial"/>
          <w:bCs/>
          <w:i/>
          <w:sz w:val="24"/>
          <w:szCs w:val="24"/>
          <w:shd w:val="clear" w:color="auto" w:fill="FFFFFF"/>
        </w:rPr>
        <w:t>in limine</w:t>
      </w:r>
      <w:r w:rsidRPr="00D14F07">
        <w:rPr>
          <w:rFonts w:ascii="Arial" w:hAnsi="Arial" w:cs="Arial"/>
          <w:bCs/>
          <w:sz w:val="24"/>
          <w:szCs w:val="24"/>
          <w:shd w:val="clear" w:color="auto" w:fill="FFFFFF"/>
        </w:rPr>
        <w:t xml:space="preserve"> in which it challenged the authority of the deponent </w:t>
      </w:r>
      <w:r w:rsidR="0028150D" w:rsidRPr="00D14F07">
        <w:rPr>
          <w:rFonts w:ascii="Arial" w:hAnsi="Arial" w:cs="Arial"/>
          <w:bCs/>
          <w:sz w:val="24"/>
          <w:szCs w:val="24"/>
          <w:shd w:val="clear" w:color="auto" w:fill="FFFFFF"/>
        </w:rPr>
        <w:t>to</w:t>
      </w:r>
      <w:r w:rsidRPr="00D14F07">
        <w:rPr>
          <w:rFonts w:ascii="Arial" w:hAnsi="Arial" w:cs="Arial"/>
          <w:bCs/>
          <w:sz w:val="24"/>
          <w:szCs w:val="24"/>
          <w:shd w:val="clear" w:color="auto" w:fill="FFFFFF"/>
        </w:rPr>
        <w:t xml:space="preserve"> the founding affidavit, Dr Hogg, to act on behalf of the applicant</w:t>
      </w:r>
      <w:r w:rsidR="0028150D" w:rsidRPr="00D14F07">
        <w:rPr>
          <w:rFonts w:ascii="Arial" w:hAnsi="Arial" w:cs="Arial"/>
          <w:bCs/>
          <w:sz w:val="24"/>
          <w:szCs w:val="24"/>
          <w:shd w:val="clear" w:color="auto" w:fill="FFFFFF"/>
        </w:rPr>
        <w:t>,</w:t>
      </w:r>
      <w:r w:rsidRPr="00D14F07">
        <w:rPr>
          <w:rFonts w:ascii="Arial" w:hAnsi="Arial" w:cs="Arial"/>
          <w:bCs/>
          <w:sz w:val="24"/>
          <w:szCs w:val="24"/>
          <w:shd w:val="clear" w:color="auto" w:fill="FFFFFF"/>
        </w:rPr>
        <w:t xml:space="preserve"> which is a separate juristic entity, in the absence of a resolution from its members.  The applicant duly responded to the challenge in terms of </w:t>
      </w:r>
      <w:r w:rsidR="005C01B3" w:rsidRPr="00D14F07">
        <w:rPr>
          <w:rFonts w:ascii="Arial" w:hAnsi="Arial" w:cs="Arial"/>
          <w:bCs/>
          <w:sz w:val="24"/>
          <w:szCs w:val="24"/>
          <w:shd w:val="clear" w:color="auto" w:fill="FFFFFF"/>
        </w:rPr>
        <w:t>Uniform r</w:t>
      </w:r>
      <w:r w:rsidRPr="00D14F07">
        <w:rPr>
          <w:rFonts w:ascii="Arial" w:hAnsi="Arial" w:cs="Arial"/>
          <w:bCs/>
          <w:sz w:val="24"/>
          <w:szCs w:val="24"/>
          <w:shd w:val="clear" w:color="auto" w:fill="FFFFFF"/>
        </w:rPr>
        <w:t>ule 7(1) and filed a special power of attorney which authorised Dr Hogg to act on behalf of the applicant</w:t>
      </w:r>
      <w:r w:rsidR="000F1FAF">
        <w:rPr>
          <w:rFonts w:ascii="Arial" w:hAnsi="Arial" w:cs="Arial"/>
          <w:bCs/>
          <w:sz w:val="24"/>
          <w:szCs w:val="24"/>
          <w:shd w:val="clear" w:color="auto" w:fill="FFFFFF"/>
        </w:rPr>
        <w:t>,</w:t>
      </w:r>
      <w:r w:rsidRPr="00D14F07">
        <w:rPr>
          <w:rFonts w:ascii="Arial" w:hAnsi="Arial" w:cs="Arial"/>
          <w:bCs/>
          <w:sz w:val="24"/>
          <w:szCs w:val="24"/>
          <w:shd w:val="clear" w:color="auto" w:fill="FFFFFF"/>
        </w:rPr>
        <w:t xml:space="preserve"> and the applicant’s attorneys to act on </w:t>
      </w:r>
      <w:r w:rsidR="006162B8" w:rsidRPr="00D14F07">
        <w:rPr>
          <w:rFonts w:ascii="Arial" w:hAnsi="Arial" w:cs="Arial"/>
          <w:bCs/>
          <w:sz w:val="24"/>
          <w:szCs w:val="24"/>
          <w:shd w:val="clear" w:color="auto" w:fill="FFFFFF"/>
        </w:rPr>
        <w:t xml:space="preserve">its </w:t>
      </w:r>
      <w:r w:rsidRPr="00D14F07">
        <w:rPr>
          <w:rFonts w:ascii="Arial" w:hAnsi="Arial" w:cs="Arial"/>
          <w:bCs/>
          <w:sz w:val="24"/>
          <w:szCs w:val="24"/>
          <w:shd w:val="clear" w:color="auto" w:fill="FFFFFF"/>
        </w:rPr>
        <w:t xml:space="preserve">behalf.  </w:t>
      </w:r>
      <w:r w:rsidR="00F62769" w:rsidRPr="00D14F07">
        <w:rPr>
          <w:rFonts w:ascii="Arial" w:hAnsi="Arial" w:cs="Arial"/>
          <w:bCs/>
          <w:sz w:val="24"/>
          <w:szCs w:val="24"/>
          <w:shd w:val="clear" w:color="auto" w:fill="FFFFFF"/>
        </w:rPr>
        <w:t xml:space="preserve">The first respondent further requested an authorising certificate </w:t>
      </w:r>
      <w:r w:rsidR="00AB5EDF" w:rsidRPr="00D14F07">
        <w:rPr>
          <w:rFonts w:ascii="Arial" w:hAnsi="Arial" w:cs="Arial"/>
          <w:bCs/>
          <w:sz w:val="24"/>
          <w:szCs w:val="24"/>
          <w:shd w:val="clear" w:color="auto" w:fill="FFFFFF"/>
        </w:rPr>
        <w:t xml:space="preserve">from </w:t>
      </w:r>
      <w:r w:rsidR="0028150D" w:rsidRPr="00D14F07">
        <w:rPr>
          <w:rFonts w:ascii="Arial" w:hAnsi="Arial" w:cs="Arial"/>
          <w:bCs/>
          <w:sz w:val="24"/>
          <w:szCs w:val="24"/>
          <w:shd w:val="clear" w:color="auto" w:fill="FFFFFF"/>
        </w:rPr>
        <w:t>the C</w:t>
      </w:r>
      <w:r w:rsidR="00F62769" w:rsidRPr="00D14F07">
        <w:rPr>
          <w:rFonts w:ascii="Arial" w:hAnsi="Arial" w:cs="Arial"/>
          <w:bCs/>
          <w:sz w:val="24"/>
          <w:szCs w:val="24"/>
          <w:shd w:val="clear" w:color="auto" w:fill="FFFFFF"/>
        </w:rPr>
        <w:t xml:space="preserve">ommissioner </w:t>
      </w:r>
      <w:r w:rsidR="0028150D" w:rsidRPr="00D14F07">
        <w:rPr>
          <w:rFonts w:ascii="Arial" w:hAnsi="Arial" w:cs="Arial"/>
          <w:bCs/>
          <w:sz w:val="24"/>
          <w:szCs w:val="24"/>
          <w:shd w:val="clear" w:color="auto" w:fill="FFFFFF"/>
        </w:rPr>
        <w:t>of O</w:t>
      </w:r>
      <w:r w:rsidR="00F62769" w:rsidRPr="00D14F07">
        <w:rPr>
          <w:rFonts w:ascii="Arial" w:hAnsi="Arial" w:cs="Arial"/>
          <w:bCs/>
          <w:sz w:val="24"/>
          <w:szCs w:val="24"/>
          <w:shd w:val="clear" w:color="auto" w:fill="FFFFFF"/>
        </w:rPr>
        <w:t>aths</w:t>
      </w:r>
      <w:r w:rsidR="0028150D" w:rsidRPr="00D14F07">
        <w:rPr>
          <w:rFonts w:ascii="Arial" w:hAnsi="Arial" w:cs="Arial"/>
          <w:bCs/>
          <w:sz w:val="24"/>
          <w:szCs w:val="24"/>
          <w:shd w:val="clear" w:color="auto" w:fill="FFFFFF"/>
        </w:rPr>
        <w:t>,</w:t>
      </w:r>
      <w:r w:rsidR="00F62769" w:rsidRPr="00D14F07">
        <w:rPr>
          <w:rFonts w:ascii="Arial" w:hAnsi="Arial" w:cs="Arial"/>
          <w:bCs/>
          <w:sz w:val="24"/>
          <w:szCs w:val="24"/>
          <w:shd w:val="clear" w:color="auto" w:fill="FFFFFF"/>
        </w:rPr>
        <w:t xml:space="preserve"> entitling him or her to authenticate the affid</w:t>
      </w:r>
      <w:r w:rsidR="0028150D" w:rsidRPr="00D14F07">
        <w:rPr>
          <w:rFonts w:ascii="Arial" w:hAnsi="Arial" w:cs="Arial"/>
          <w:bCs/>
          <w:sz w:val="24"/>
          <w:szCs w:val="24"/>
          <w:shd w:val="clear" w:color="auto" w:fill="FFFFFF"/>
        </w:rPr>
        <w:t>avit of the deponent under the L</w:t>
      </w:r>
      <w:r w:rsidR="00F62769" w:rsidRPr="00D14F07">
        <w:rPr>
          <w:rFonts w:ascii="Arial" w:hAnsi="Arial" w:cs="Arial"/>
          <w:bCs/>
          <w:sz w:val="24"/>
          <w:szCs w:val="24"/>
          <w:shd w:val="clear" w:color="auto" w:fill="FFFFFF"/>
        </w:rPr>
        <w:t xml:space="preserve">aws of Australia. This request was responded to by the Department of Justice and Attorney-General of Queensland.  These points </w:t>
      </w:r>
      <w:r w:rsidR="00F62769" w:rsidRPr="00D14F07">
        <w:rPr>
          <w:rFonts w:ascii="Arial" w:hAnsi="Arial" w:cs="Arial"/>
          <w:bCs/>
          <w:i/>
          <w:sz w:val="24"/>
          <w:szCs w:val="24"/>
          <w:shd w:val="clear" w:color="auto" w:fill="FFFFFF"/>
        </w:rPr>
        <w:t>in limine</w:t>
      </w:r>
      <w:r w:rsidR="00F62769" w:rsidRPr="00D14F07">
        <w:rPr>
          <w:rFonts w:ascii="Arial" w:hAnsi="Arial" w:cs="Arial"/>
          <w:bCs/>
          <w:sz w:val="24"/>
          <w:szCs w:val="24"/>
          <w:shd w:val="clear" w:color="auto" w:fill="FFFFFF"/>
        </w:rPr>
        <w:t xml:space="preserve"> were not </w:t>
      </w:r>
      <w:r w:rsidR="00763485" w:rsidRPr="00D14F07">
        <w:rPr>
          <w:rFonts w:ascii="Arial" w:hAnsi="Arial" w:cs="Arial"/>
          <w:bCs/>
          <w:sz w:val="24"/>
          <w:szCs w:val="24"/>
          <w:shd w:val="clear" w:color="auto" w:fill="FFFFFF"/>
        </w:rPr>
        <w:t xml:space="preserve">persisted with by </w:t>
      </w:r>
      <w:r w:rsidR="00763485" w:rsidRPr="00D14F07">
        <w:rPr>
          <w:rFonts w:ascii="Arial" w:hAnsi="Arial" w:cs="Arial"/>
          <w:bCs/>
          <w:sz w:val="24"/>
          <w:szCs w:val="24"/>
          <w:shd w:val="clear" w:color="auto" w:fill="FFFFFF"/>
        </w:rPr>
        <w:lastRenderedPageBreak/>
        <w:t xml:space="preserve">Mr </w:t>
      </w:r>
      <w:r w:rsidR="00763485" w:rsidRPr="00C10B67">
        <w:rPr>
          <w:rFonts w:ascii="Arial" w:hAnsi="Arial" w:cs="Arial"/>
          <w:bCs/>
          <w:i/>
          <w:sz w:val="24"/>
          <w:szCs w:val="24"/>
          <w:shd w:val="clear" w:color="auto" w:fill="FFFFFF"/>
        </w:rPr>
        <w:t>Naidoo</w:t>
      </w:r>
      <w:r w:rsidR="00763485" w:rsidRPr="00D14F07">
        <w:rPr>
          <w:rFonts w:ascii="Arial" w:hAnsi="Arial" w:cs="Arial"/>
          <w:bCs/>
          <w:sz w:val="24"/>
          <w:szCs w:val="24"/>
          <w:shd w:val="clear" w:color="auto" w:fill="FFFFFF"/>
        </w:rPr>
        <w:t xml:space="preserve">, who appeared on behalf of the </w:t>
      </w:r>
      <w:r w:rsidR="00F62769" w:rsidRPr="00D14F07">
        <w:rPr>
          <w:rFonts w:ascii="Arial" w:hAnsi="Arial" w:cs="Arial"/>
          <w:bCs/>
          <w:sz w:val="24"/>
          <w:szCs w:val="24"/>
          <w:shd w:val="clear" w:color="auto" w:fill="FFFFFF"/>
        </w:rPr>
        <w:t>first respondent.  However</w:t>
      </w:r>
      <w:r w:rsidR="00763485" w:rsidRPr="00D14F07">
        <w:rPr>
          <w:rFonts w:ascii="Arial" w:hAnsi="Arial" w:cs="Arial"/>
          <w:bCs/>
          <w:sz w:val="24"/>
          <w:szCs w:val="24"/>
          <w:shd w:val="clear" w:color="auto" w:fill="FFFFFF"/>
        </w:rPr>
        <w:t>,</w:t>
      </w:r>
      <w:r w:rsidR="00F62769" w:rsidRPr="00D14F07">
        <w:rPr>
          <w:rFonts w:ascii="Arial" w:hAnsi="Arial" w:cs="Arial"/>
          <w:bCs/>
          <w:sz w:val="24"/>
          <w:szCs w:val="24"/>
          <w:shd w:val="clear" w:color="auto" w:fill="FFFFFF"/>
        </w:rPr>
        <w:t xml:space="preserve"> it behoves me to say something in relation to these challenges.  It is ironic that the first respondent, whose office has been liaising with the applicant’s member, Dr Hogg, for almost two years in relation to the conveyancing transaction and the requests for documents supposedly required in terms of FICA, should </w:t>
      </w:r>
      <w:r w:rsidR="000F1FAF">
        <w:rPr>
          <w:rFonts w:ascii="Arial" w:hAnsi="Arial" w:cs="Arial"/>
          <w:bCs/>
          <w:sz w:val="24"/>
          <w:szCs w:val="24"/>
          <w:shd w:val="clear" w:color="auto" w:fill="FFFFFF"/>
        </w:rPr>
        <w:t xml:space="preserve">later </w:t>
      </w:r>
      <w:r w:rsidR="00F62769" w:rsidRPr="00D14F07">
        <w:rPr>
          <w:rFonts w:ascii="Arial" w:hAnsi="Arial" w:cs="Arial"/>
          <w:bCs/>
          <w:sz w:val="24"/>
          <w:szCs w:val="24"/>
          <w:shd w:val="clear" w:color="auto" w:fill="FFFFFF"/>
        </w:rPr>
        <w:t xml:space="preserve">seek to challenge his authority </w:t>
      </w:r>
      <w:r w:rsidR="00763485" w:rsidRPr="00D14F07">
        <w:rPr>
          <w:rFonts w:ascii="Arial" w:hAnsi="Arial" w:cs="Arial"/>
          <w:bCs/>
          <w:sz w:val="24"/>
          <w:szCs w:val="24"/>
          <w:shd w:val="clear" w:color="auto" w:fill="FFFFFF"/>
        </w:rPr>
        <w:t xml:space="preserve">(Dr Hogg’s) </w:t>
      </w:r>
      <w:r w:rsidR="00F62769" w:rsidRPr="00D14F07">
        <w:rPr>
          <w:rFonts w:ascii="Arial" w:hAnsi="Arial" w:cs="Arial"/>
          <w:bCs/>
          <w:sz w:val="24"/>
          <w:szCs w:val="24"/>
          <w:shd w:val="clear" w:color="auto" w:fill="FFFFFF"/>
        </w:rPr>
        <w:t>to act on behalf of the appl</w:t>
      </w:r>
      <w:r w:rsidR="00763485" w:rsidRPr="00D14F07">
        <w:rPr>
          <w:rFonts w:ascii="Arial" w:hAnsi="Arial" w:cs="Arial"/>
          <w:bCs/>
          <w:sz w:val="24"/>
          <w:szCs w:val="24"/>
          <w:shd w:val="clear" w:color="auto" w:fill="FFFFFF"/>
        </w:rPr>
        <w:t>icant, knowing full well that he</w:t>
      </w:r>
      <w:r w:rsidR="00F62769" w:rsidRPr="00D14F07">
        <w:rPr>
          <w:rFonts w:ascii="Arial" w:hAnsi="Arial" w:cs="Arial"/>
          <w:bCs/>
          <w:sz w:val="24"/>
          <w:szCs w:val="24"/>
          <w:shd w:val="clear" w:color="auto" w:fill="FFFFFF"/>
        </w:rPr>
        <w:t xml:space="preserve"> was </w:t>
      </w:r>
      <w:r w:rsidR="00763485" w:rsidRPr="00D14F07">
        <w:rPr>
          <w:rFonts w:ascii="Arial" w:hAnsi="Arial" w:cs="Arial"/>
          <w:bCs/>
          <w:sz w:val="24"/>
          <w:szCs w:val="24"/>
          <w:shd w:val="clear" w:color="auto" w:fill="FFFFFF"/>
        </w:rPr>
        <w:t xml:space="preserve">the </w:t>
      </w:r>
      <w:r w:rsidR="00763485" w:rsidRPr="000F1FAF">
        <w:rPr>
          <w:rFonts w:ascii="Arial" w:hAnsi="Arial" w:cs="Arial"/>
          <w:bCs/>
          <w:i/>
          <w:sz w:val="24"/>
          <w:szCs w:val="24"/>
          <w:shd w:val="clear" w:color="auto" w:fill="FFFFFF"/>
        </w:rPr>
        <w:t>de facto</w:t>
      </w:r>
      <w:r w:rsidR="00763485" w:rsidRPr="00D14F07">
        <w:rPr>
          <w:rFonts w:ascii="Arial" w:hAnsi="Arial" w:cs="Arial"/>
          <w:bCs/>
          <w:sz w:val="24"/>
          <w:szCs w:val="24"/>
          <w:shd w:val="clear" w:color="auto" w:fill="FFFFFF"/>
        </w:rPr>
        <w:t xml:space="preserve"> contact of the applicant’s members and </w:t>
      </w:r>
      <w:r w:rsidR="00F62769" w:rsidRPr="00D14F07">
        <w:rPr>
          <w:rFonts w:ascii="Arial" w:hAnsi="Arial" w:cs="Arial"/>
          <w:bCs/>
          <w:sz w:val="24"/>
          <w:szCs w:val="24"/>
          <w:shd w:val="clear" w:color="auto" w:fill="FFFFFF"/>
        </w:rPr>
        <w:t xml:space="preserve">also </w:t>
      </w:r>
      <w:r w:rsidR="00763485" w:rsidRPr="00D14F07">
        <w:rPr>
          <w:rFonts w:ascii="Arial" w:hAnsi="Arial" w:cs="Arial"/>
          <w:bCs/>
          <w:sz w:val="24"/>
          <w:szCs w:val="24"/>
          <w:shd w:val="clear" w:color="auto" w:fill="FFFFFF"/>
        </w:rPr>
        <w:t xml:space="preserve">that he had taken up residence </w:t>
      </w:r>
      <w:r w:rsidR="00F62769" w:rsidRPr="00D14F07">
        <w:rPr>
          <w:rFonts w:ascii="Arial" w:hAnsi="Arial" w:cs="Arial"/>
          <w:bCs/>
          <w:sz w:val="24"/>
          <w:szCs w:val="24"/>
          <w:shd w:val="clear" w:color="auto" w:fill="FFFFFF"/>
        </w:rPr>
        <w:t xml:space="preserve">in Australia.  I find the approach </w:t>
      </w:r>
      <w:r w:rsidR="00763485" w:rsidRPr="00D14F07">
        <w:rPr>
          <w:rFonts w:ascii="Arial" w:hAnsi="Arial" w:cs="Arial"/>
          <w:bCs/>
          <w:sz w:val="24"/>
          <w:szCs w:val="24"/>
          <w:shd w:val="clear" w:color="auto" w:fill="FFFFFF"/>
        </w:rPr>
        <w:t xml:space="preserve">of the first respondent in these circumstances, as </w:t>
      </w:r>
      <w:r w:rsidR="00F62769" w:rsidRPr="00D14F07">
        <w:rPr>
          <w:rFonts w:ascii="Arial" w:hAnsi="Arial" w:cs="Arial"/>
          <w:bCs/>
          <w:sz w:val="24"/>
          <w:szCs w:val="24"/>
          <w:shd w:val="clear" w:color="auto" w:fill="FFFFFF"/>
        </w:rPr>
        <w:t xml:space="preserve">a </w:t>
      </w:r>
      <w:r w:rsidR="00AB5EDF" w:rsidRPr="00D14F07">
        <w:rPr>
          <w:rFonts w:ascii="Arial" w:hAnsi="Arial" w:cs="Arial"/>
          <w:bCs/>
          <w:sz w:val="24"/>
          <w:szCs w:val="24"/>
          <w:shd w:val="clear" w:color="auto" w:fill="FFFFFF"/>
        </w:rPr>
        <w:t xml:space="preserve">legal </w:t>
      </w:r>
      <w:r w:rsidR="00F62769" w:rsidRPr="00D14F07">
        <w:rPr>
          <w:rFonts w:ascii="Arial" w:hAnsi="Arial" w:cs="Arial"/>
          <w:bCs/>
          <w:sz w:val="24"/>
          <w:szCs w:val="24"/>
          <w:shd w:val="clear" w:color="auto" w:fill="FFFFFF"/>
        </w:rPr>
        <w:t xml:space="preserve">practitioner, </w:t>
      </w:r>
      <w:r w:rsidR="00763485" w:rsidRPr="00D14F07">
        <w:rPr>
          <w:rFonts w:ascii="Arial" w:hAnsi="Arial" w:cs="Arial"/>
          <w:bCs/>
          <w:sz w:val="24"/>
          <w:szCs w:val="24"/>
          <w:shd w:val="clear" w:color="auto" w:fill="FFFFFF"/>
        </w:rPr>
        <w:t xml:space="preserve">unbecoming, </w:t>
      </w:r>
      <w:r w:rsidR="00F62769" w:rsidRPr="00D14F07">
        <w:rPr>
          <w:rFonts w:ascii="Arial" w:hAnsi="Arial" w:cs="Arial"/>
          <w:bCs/>
          <w:sz w:val="24"/>
          <w:szCs w:val="24"/>
          <w:shd w:val="clear" w:color="auto" w:fill="FFFFFF"/>
        </w:rPr>
        <w:t xml:space="preserve">particularly where </w:t>
      </w:r>
      <w:r w:rsidR="00A361D9" w:rsidRPr="00D14F07">
        <w:rPr>
          <w:rFonts w:ascii="Arial" w:hAnsi="Arial" w:cs="Arial"/>
          <w:bCs/>
          <w:sz w:val="24"/>
          <w:szCs w:val="24"/>
          <w:shd w:val="clear" w:color="auto" w:fill="FFFFFF"/>
        </w:rPr>
        <w:t>an attorney-client relationship exists</w:t>
      </w:r>
      <w:r w:rsidR="00763485" w:rsidRPr="00D14F07">
        <w:rPr>
          <w:rFonts w:ascii="Arial" w:hAnsi="Arial" w:cs="Arial"/>
          <w:bCs/>
          <w:sz w:val="24"/>
          <w:szCs w:val="24"/>
          <w:shd w:val="clear" w:color="auto" w:fill="FFFFFF"/>
        </w:rPr>
        <w:t xml:space="preserve"> with the applicant</w:t>
      </w:r>
      <w:r w:rsidR="00A361D9" w:rsidRPr="00D14F07">
        <w:rPr>
          <w:rFonts w:ascii="Arial" w:hAnsi="Arial" w:cs="Arial"/>
          <w:bCs/>
          <w:sz w:val="24"/>
          <w:szCs w:val="24"/>
          <w:shd w:val="clear" w:color="auto" w:fill="FFFFFF"/>
        </w:rPr>
        <w:t xml:space="preserve">.  These points </w:t>
      </w:r>
      <w:r w:rsidR="00A361D9" w:rsidRPr="00D14F07">
        <w:rPr>
          <w:rFonts w:ascii="Arial" w:hAnsi="Arial" w:cs="Arial"/>
          <w:bCs/>
          <w:i/>
          <w:sz w:val="24"/>
          <w:szCs w:val="24"/>
          <w:shd w:val="clear" w:color="auto" w:fill="FFFFFF"/>
        </w:rPr>
        <w:t>in limine</w:t>
      </w:r>
      <w:r w:rsidR="00A361D9" w:rsidRPr="00D14F07">
        <w:rPr>
          <w:rFonts w:ascii="Arial" w:hAnsi="Arial" w:cs="Arial"/>
          <w:bCs/>
          <w:sz w:val="24"/>
          <w:szCs w:val="24"/>
          <w:shd w:val="clear" w:color="auto" w:fill="FFFFFF"/>
        </w:rPr>
        <w:t xml:space="preserve"> </w:t>
      </w:r>
      <w:r w:rsidR="00763485" w:rsidRPr="00D14F07">
        <w:rPr>
          <w:rFonts w:ascii="Arial" w:hAnsi="Arial" w:cs="Arial"/>
          <w:bCs/>
          <w:sz w:val="24"/>
          <w:szCs w:val="24"/>
          <w:shd w:val="clear" w:color="auto" w:fill="FFFFFF"/>
        </w:rPr>
        <w:t xml:space="preserve">were without merit and </w:t>
      </w:r>
      <w:r w:rsidR="00A361D9" w:rsidRPr="00D14F07">
        <w:rPr>
          <w:rFonts w:ascii="Arial" w:hAnsi="Arial" w:cs="Arial"/>
          <w:bCs/>
          <w:sz w:val="24"/>
          <w:szCs w:val="24"/>
          <w:shd w:val="clear" w:color="auto" w:fill="FFFFFF"/>
        </w:rPr>
        <w:t>fall to be dismissed.</w:t>
      </w:r>
    </w:p>
    <w:p w:rsidR="00A361D9" w:rsidRPr="00D14F07" w:rsidRDefault="00A361D9" w:rsidP="00A361D9">
      <w:pPr>
        <w:pStyle w:val="ListParagraph"/>
        <w:spacing w:line="360" w:lineRule="auto"/>
        <w:ind w:left="0"/>
        <w:jc w:val="both"/>
        <w:rPr>
          <w:rFonts w:ascii="Arial" w:hAnsi="Arial" w:cs="Arial"/>
          <w:bCs/>
          <w:sz w:val="24"/>
          <w:szCs w:val="24"/>
          <w:shd w:val="clear" w:color="auto" w:fill="FFFFFF"/>
        </w:rPr>
      </w:pPr>
    </w:p>
    <w:p w:rsidR="00A06850" w:rsidRPr="00D14F07" w:rsidRDefault="00A361D9" w:rsidP="0065381D">
      <w:pPr>
        <w:pStyle w:val="ListParagraph"/>
        <w:numPr>
          <w:ilvl w:val="0"/>
          <w:numId w:val="1"/>
        </w:numPr>
        <w:spacing w:line="360" w:lineRule="auto"/>
        <w:ind w:left="0" w:firstLine="0"/>
        <w:jc w:val="both"/>
        <w:rPr>
          <w:rFonts w:ascii="Arial" w:hAnsi="Arial" w:cs="Arial"/>
          <w:bCs/>
          <w:sz w:val="24"/>
          <w:szCs w:val="24"/>
          <w:shd w:val="clear" w:color="auto" w:fill="FFFFFF"/>
        </w:rPr>
      </w:pPr>
      <w:r w:rsidRPr="00D14F07">
        <w:rPr>
          <w:rFonts w:ascii="Arial" w:hAnsi="Arial" w:cs="Arial"/>
          <w:bCs/>
          <w:sz w:val="24"/>
          <w:szCs w:val="24"/>
          <w:shd w:val="clear" w:color="auto" w:fill="FFFFFF"/>
        </w:rPr>
        <w:t>As to the merits of the application, the first respondent contends that it is neither refusing to pay the applicant the proceeds o</w:t>
      </w:r>
      <w:r w:rsidR="00763485" w:rsidRPr="00D14F07">
        <w:rPr>
          <w:rFonts w:ascii="Arial" w:hAnsi="Arial" w:cs="Arial"/>
          <w:bCs/>
          <w:sz w:val="24"/>
          <w:szCs w:val="24"/>
          <w:shd w:val="clear" w:color="auto" w:fill="FFFFFF"/>
        </w:rPr>
        <w:t xml:space="preserve">f </w:t>
      </w:r>
      <w:r w:rsidRPr="00D14F07">
        <w:rPr>
          <w:rFonts w:ascii="Arial" w:hAnsi="Arial" w:cs="Arial"/>
          <w:bCs/>
          <w:sz w:val="24"/>
          <w:szCs w:val="24"/>
          <w:shd w:val="clear" w:color="auto" w:fill="FFFFFF"/>
        </w:rPr>
        <w:t>the transfer</w:t>
      </w:r>
      <w:r w:rsidR="00763485" w:rsidRPr="00D14F07">
        <w:rPr>
          <w:rFonts w:ascii="Arial" w:hAnsi="Arial" w:cs="Arial"/>
          <w:bCs/>
          <w:sz w:val="24"/>
          <w:szCs w:val="24"/>
          <w:shd w:val="clear" w:color="auto" w:fill="FFFFFF"/>
        </w:rPr>
        <w:t>,</w:t>
      </w:r>
      <w:r w:rsidR="004B0235" w:rsidRPr="00D14F07">
        <w:rPr>
          <w:rFonts w:ascii="Arial" w:hAnsi="Arial" w:cs="Arial"/>
          <w:bCs/>
          <w:sz w:val="24"/>
          <w:szCs w:val="24"/>
          <w:shd w:val="clear" w:color="auto" w:fill="FFFFFF"/>
        </w:rPr>
        <w:t xml:space="preserve"> nor engaging in delaying tactics</w:t>
      </w:r>
      <w:r w:rsidR="000F1FAF">
        <w:rPr>
          <w:rFonts w:ascii="Arial" w:hAnsi="Arial" w:cs="Arial"/>
          <w:bCs/>
          <w:sz w:val="24"/>
          <w:szCs w:val="24"/>
          <w:shd w:val="clear" w:color="auto" w:fill="FFFFFF"/>
        </w:rPr>
        <w:t xml:space="preserve">. It </w:t>
      </w:r>
      <w:r w:rsidRPr="00D14F07">
        <w:rPr>
          <w:rFonts w:ascii="Arial" w:hAnsi="Arial" w:cs="Arial"/>
          <w:bCs/>
          <w:sz w:val="24"/>
          <w:szCs w:val="24"/>
          <w:shd w:val="clear" w:color="auto" w:fill="FFFFFF"/>
        </w:rPr>
        <w:t xml:space="preserve">is insistent that the applicant and its members comply </w:t>
      </w:r>
      <w:r w:rsidR="00894691" w:rsidRPr="00D14F07">
        <w:rPr>
          <w:rFonts w:ascii="Arial" w:hAnsi="Arial" w:cs="Arial"/>
          <w:bCs/>
          <w:sz w:val="24"/>
          <w:szCs w:val="24"/>
          <w:shd w:val="clear" w:color="auto" w:fill="FFFFFF"/>
        </w:rPr>
        <w:t xml:space="preserve">with the </w:t>
      </w:r>
      <w:r w:rsidRPr="00D14F07">
        <w:rPr>
          <w:rFonts w:ascii="Arial" w:hAnsi="Arial" w:cs="Arial"/>
          <w:bCs/>
          <w:sz w:val="24"/>
          <w:szCs w:val="24"/>
          <w:shd w:val="clear" w:color="auto" w:fill="FFFFFF"/>
        </w:rPr>
        <w:t>request for in</w:t>
      </w:r>
      <w:r w:rsidR="005E0955" w:rsidRPr="00D14F07">
        <w:rPr>
          <w:rFonts w:ascii="Arial" w:hAnsi="Arial" w:cs="Arial"/>
          <w:bCs/>
          <w:sz w:val="24"/>
          <w:szCs w:val="24"/>
          <w:shd w:val="clear" w:color="auto" w:fill="FFFFFF"/>
        </w:rPr>
        <w:t xml:space="preserve">formation </w:t>
      </w:r>
      <w:r w:rsidR="00894691" w:rsidRPr="00D14F07">
        <w:rPr>
          <w:rFonts w:ascii="Arial" w:hAnsi="Arial" w:cs="Arial"/>
          <w:bCs/>
          <w:sz w:val="24"/>
          <w:szCs w:val="24"/>
          <w:shd w:val="clear" w:color="auto" w:fill="FFFFFF"/>
        </w:rPr>
        <w:t>in terms of</w:t>
      </w:r>
      <w:r w:rsidR="005E0955" w:rsidRPr="00D14F07">
        <w:rPr>
          <w:rFonts w:ascii="Arial" w:hAnsi="Arial" w:cs="Arial"/>
          <w:bCs/>
          <w:sz w:val="24"/>
          <w:szCs w:val="24"/>
          <w:shd w:val="clear" w:color="auto" w:fill="FFFFFF"/>
        </w:rPr>
        <w:t xml:space="preserve"> FICA, </w:t>
      </w:r>
      <w:r w:rsidR="00763485" w:rsidRPr="00D14F07">
        <w:rPr>
          <w:rFonts w:ascii="Arial" w:hAnsi="Arial" w:cs="Arial"/>
          <w:bCs/>
          <w:sz w:val="24"/>
          <w:szCs w:val="24"/>
          <w:shd w:val="clear" w:color="auto" w:fill="FFFFFF"/>
        </w:rPr>
        <w:t xml:space="preserve">including the provision of </w:t>
      </w:r>
      <w:r w:rsidR="005E0955" w:rsidRPr="00D14F07">
        <w:rPr>
          <w:rFonts w:ascii="Arial" w:hAnsi="Arial" w:cs="Arial"/>
          <w:bCs/>
          <w:sz w:val="24"/>
          <w:szCs w:val="24"/>
          <w:shd w:val="clear" w:color="auto" w:fill="FFFFFF"/>
        </w:rPr>
        <w:t>certified copies of the</w:t>
      </w:r>
      <w:r w:rsidR="00763485" w:rsidRPr="00D14F07">
        <w:rPr>
          <w:rFonts w:ascii="Arial" w:hAnsi="Arial" w:cs="Arial"/>
          <w:bCs/>
          <w:sz w:val="24"/>
          <w:szCs w:val="24"/>
          <w:shd w:val="clear" w:color="auto" w:fill="FFFFFF"/>
        </w:rPr>
        <w:t>ir</w:t>
      </w:r>
      <w:r w:rsidR="005E0955" w:rsidRPr="00D14F07">
        <w:rPr>
          <w:rFonts w:ascii="Arial" w:hAnsi="Arial" w:cs="Arial"/>
          <w:bCs/>
          <w:sz w:val="24"/>
          <w:szCs w:val="24"/>
          <w:shd w:val="clear" w:color="auto" w:fill="FFFFFF"/>
        </w:rPr>
        <w:t xml:space="preserve"> proof of address, identity</w:t>
      </w:r>
      <w:r w:rsidR="00763485" w:rsidRPr="00D14F07">
        <w:rPr>
          <w:rFonts w:ascii="Arial" w:hAnsi="Arial" w:cs="Arial"/>
          <w:bCs/>
          <w:sz w:val="24"/>
          <w:szCs w:val="24"/>
          <w:shd w:val="clear" w:color="auto" w:fill="FFFFFF"/>
        </w:rPr>
        <w:t>,</w:t>
      </w:r>
      <w:r w:rsidR="005E0955" w:rsidRPr="00D14F07">
        <w:rPr>
          <w:rFonts w:ascii="Arial" w:hAnsi="Arial" w:cs="Arial"/>
          <w:bCs/>
          <w:sz w:val="24"/>
          <w:szCs w:val="24"/>
          <w:shd w:val="clear" w:color="auto" w:fill="FFFFFF"/>
        </w:rPr>
        <w:t xml:space="preserve"> as well as banking details. The first respondent furthermore dismisses the view advanced by the practising conveyancer, Ms van Rooyen, that FICA documents and proof of banking details are in the normal course of events provided to a conveyancer </w:t>
      </w:r>
      <w:r w:rsidR="005E0955" w:rsidRPr="00D14F07">
        <w:rPr>
          <w:rFonts w:ascii="Arial" w:hAnsi="Arial" w:cs="Arial"/>
          <w:bCs/>
          <w:i/>
          <w:sz w:val="24"/>
          <w:szCs w:val="24"/>
          <w:shd w:val="clear" w:color="auto" w:fill="FFFFFF"/>
        </w:rPr>
        <w:t>prior</w:t>
      </w:r>
      <w:r w:rsidR="005E0955" w:rsidRPr="00D14F07">
        <w:rPr>
          <w:rFonts w:ascii="Arial" w:hAnsi="Arial" w:cs="Arial"/>
          <w:bCs/>
          <w:sz w:val="24"/>
          <w:szCs w:val="24"/>
          <w:shd w:val="clear" w:color="auto" w:fill="FFFFFF"/>
        </w:rPr>
        <w:t xml:space="preserve"> to registration of transfer. Furthermore, in </w:t>
      </w:r>
      <w:r w:rsidR="00894691" w:rsidRPr="00D14F07">
        <w:rPr>
          <w:rFonts w:ascii="Arial" w:hAnsi="Arial" w:cs="Arial"/>
          <w:bCs/>
          <w:sz w:val="24"/>
          <w:szCs w:val="24"/>
          <w:shd w:val="clear" w:color="auto" w:fill="FFFFFF"/>
        </w:rPr>
        <w:t>Ms van Rooyen’s</w:t>
      </w:r>
      <w:r w:rsidR="00763485" w:rsidRPr="00D14F07">
        <w:rPr>
          <w:rFonts w:ascii="Arial" w:hAnsi="Arial" w:cs="Arial"/>
          <w:bCs/>
          <w:sz w:val="24"/>
          <w:szCs w:val="24"/>
          <w:shd w:val="clear" w:color="auto" w:fill="FFFFFF"/>
        </w:rPr>
        <w:t xml:space="preserve"> opinion, h</w:t>
      </w:r>
      <w:r w:rsidR="005E0955" w:rsidRPr="00D14F07">
        <w:rPr>
          <w:rFonts w:ascii="Arial" w:hAnsi="Arial" w:cs="Arial"/>
          <w:bCs/>
          <w:sz w:val="24"/>
          <w:szCs w:val="24"/>
          <w:shd w:val="clear" w:color="auto" w:fill="FFFFFF"/>
        </w:rPr>
        <w:t xml:space="preserve">ad the applicant and its members not complied with the FICA requirements prior to registration of transfer, the transfer of the property would not have gone through. In her view, the sale of a property as set out in the applicant’s founding </w:t>
      </w:r>
      <w:r w:rsidR="00763485" w:rsidRPr="00D14F07">
        <w:rPr>
          <w:rFonts w:ascii="Arial" w:hAnsi="Arial" w:cs="Arial"/>
          <w:bCs/>
          <w:sz w:val="24"/>
          <w:szCs w:val="24"/>
          <w:shd w:val="clear" w:color="auto" w:fill="FFFFFF"/>
        </w:rPr>
        <w:t>affidavit</w:t>
      </w:r>
      <w:r w:rsidR="005E0955" w:rsidRPr="00D14F07">
        <w:rPr>
          <w:rFonts w:ascii="Arial" w:hAnsi="Arial" w:cs="Arial"/>
          <w:bCs/>
          <w:sz w:val="24"/>
          <w:szCs w:val="24"/>
          <w:shd w:val="clear" w:color="auto" w:fill="FFFFFF"/>
        </w:rPr>
        <w:t xml:space="preserve">, constitutes a </w:t>
      </w:r>
      <w:r w:rsidR="00763485" w:rsidRPr="00D14F07">
        <w:rPr>
          <w:rFonts w:ascii="Arial" w:hAnsi="Arial" w:cs="Arial"/>
          <w:bCs/>
          <w:sz w:val="24"/>
          <w:szCs w:val="24"/>
          <w:shd w:val="clear" w:color="auto" w:fill="FFFFFF"/>
        </w:rPr>
        <w:t>‘</w:t>
      </w:r>
      <w:r w:rsidR="005E0955" w:rsidRPr="00D14F07">
        <w:rPr>
          <w:rFonts w:ascii="Arial" w:hAnsi="Arial" w:cs="Arial"/>
          <w:bCs/>
          <w:sz w:val="24"/>
          <w:szCs w:val="24"/>
          <w:shd w:val="clear" w:color="auto" w:fill="FFFFFF"/>
        </w:rPr>
        <w:t>single transaction</w:t>
      </w:r>
      <w:r w:rsidR="00763485" w:rsidRPr="00D14F07">
        <w:rPr>
          <w:rFonts w:ascii="Arial" w:hAnsi="Arial" w:cs="Arial"/>
          <w:bCs/>
          <w:sz w:val="24"/>
          <w:szCs w:val="24"/>
          <w:shd w:val="clear" w:color="auto" w:fill="FFFFFF"/>
        </w:rPr>
        <w:t>’ as defined in FICA</w:t>
      </w:r>
      <w:r w:rsidR="005E0955" w:rsidRPr="00D14F07">
        <w:rPr>
          <w:rFonts w:ascii="Arial" w:hAnsi="Arial" w:cs="Arial"/>
          <w:bCs/>
          <w:sz w:val="24"/>
          <w:szCs w:val="24"/>
          <w:shd w:val="clear" w:color="auto" w:fill="FFFFFF"/>
        </w:rPr>
        <w:t xml:space="preserve">, requiring the conveyancing attorney to verify the identity of the parties </w:t>
      </w:r>
      <w:r w:rsidR="00763485" w:rsidRPr="00D14F07">
        <w:rPr>
          <w:rFonts w:ascii="Arial" w:hAnsi="Arial" w:cs="Arial"/>
          <w:bCs/>
          <w:sz w:val="24"/>
          <w:szCs w:val="24"/>
          <w:shd w:val="clear" w:color="auto" w:fill="FFFFFF"/>
        </w:rPr>
        <w:t>(</w:t>
      </w:r>
      <w:r w:rsidR="005E0955" w:rsidRPr="00D14F07">
        <w:rPr>
          <w:rFonts w:ascii="Arial" w:hAnsi="Arial" w:cs="Arial"/>
          <w:bCs/>
          <w:sz w:val="24"/>
          <w:szCs w:val="24"/>
          <w:shd w:val="clear" w:color="auto" w:fill="FFFFFF"/>
        </w:rPr>
        <w:t>in this case the applicant and its members</w:t>
      </w:r>
      <w:r w:rsidR="00763485" w:rsidRPr="00D14F07">
        <w:rPr>
          <w:rFonts w:ascii="Arial" w:hAnsi="Arial" w:cs="Arial"/>
          <w:bCs/>
          <w:sz w:val="24"/>
          <w:szCs w:val="24"/>
          <w:shd w:val="clear" w:color="auto" w:fill="FFFFFF"/>
        </w:rPr>
        <w:t>)</w:t>
      </w:r>
      <w:r w:rsidR="005E0955" w:rsidRPr="00D14F07">
        <w:rPr>
          <w:rFonts w:ascii="Arial" w:hAnsi="Arial" w:cs="Arial"/>
          <w:bCs/>
          <w:sz w:val="24"/>
          <w:szCs w:val="24"/>
          <w:shd w:val="clear" w:color="auto" w:fill="FFFFFF"/>
        </w:rPr>
        <w:t xml:space="preserve">, </w:t>
      </w:r>
      <w:r w:rsidR="005E0955" w:rsidRPr="00D14F07">
        <w:rPr>
          <w:rFonts w:ascii="Arial" w:hAnsi="Arial" w:cs="Arial"/>
          <w:bCs/>
          <w:i/>
          <w:sz w:val="24"/>
          <w:szCs w:val="24"/>
          <w:shd w:val="clear" w:color="auto" w:fill="FFFFFF"/>
        </w:rPr>
        <w:t>before</w:t>
      </w:r>
      <w:r w:rsidR="005E0955" w:rsidRPr="00D14F07">
        <w:rPr>
          <w:rFonts w:ascii="Arial" w:hAnsi="Arial" w:cs="Arial"/>
          <w:bCs/>
          <w:sz w:val="24"/>
          <w:szCs w:val="24"/>
          <w:shd w:val="clear" w:color="auto" w:fill="FFFFFF"/>
        </w:rPr>
        <w:t xml:space="preserve"> transfer is registered. </w:t>
      </w:r>
    </w:p>
    <w:p w:rsidR="00A06850" w:rsidRPr="00D14F07" w:rsidRDefault="00A06850" w:rsidP="00A06850">
      <w:pPr>
        <w:pStyle w:val="ListParagraph"/>
        <w:spacing w:line="360" w:lineRule="auto"/>
        <w:ind w:left="0"/>
        <w:jc w:val="both"/>
        <w:rPr>
          <w:rFonts w:ascii="Arial" w:hAnsi="Arial" w:cs="Arial"/>
          <w:bCs/>
          <w:sz w:val="24"/>
          <w:szCs w:val="24"/>
          <w:shd w:val="clear" w:color="auto" w:fill="FFFFFF"/>
        </w:rPr>
      </w:pPr>
    </w:p>
    <w:p w:rsidR="00A06850" w:rsidRPr="00D14F07" w:rsidRDefault="00113600" w:rsidP="0065381D">
      <w:pPr>
        <w:pStyle w:val="ListParagraph"/>
        <w:numPr>
          <w:ilvl w:val="0"/>
          <w:numId w:val="1"/>
        </w:numPr>
        <w:spacing w:line="360" w:lineRule="auto"/>
        <w:ind w:left="0" w:firstLine="0"/>
        <w:jc w:val="both"/>
        <w:rPr>
          <w:rFonts w:ascii="Arial" w:hAnsi="Arial" w:cs="Arial"/>
          <w:bCs/>
          <w:sz w:val="24"/>
          <w:szCs w:val="24"/>
          <w:shd w:val="clear" w:color="auto" w:fill="FFFFFF"/>
        </w:rPr>
      </w:pPr>
      <w:r w:rsidRPr="00D14F07">
        <w:rPr>
          <w:rFonts w:ascii="Arial" w:hAnsi="Arial" w:cs="Arial"/>
          <w:bCs/>
          <w:sz w:val="24"/>
          <w:szCs w:val="24"/>
          <w:shd w:val="clear" w:color="auto" w:fill="FFFFFF"/>
        </w:rPr>
        <w:t xml:space="preserve">It is pertinent to point out that despite the contention of Ms </w:t>
      </w:r>
      <w:r w:rsidR="00894691" w:rsidRPr="00D14F07">
        <w:rPr>
          <w:rFonts w:ascii="Arial" w:hAnsi="Arial" w:cs="Arial"/>
          <w:bCs/>
          <w:sz w:val="24"/>
          <w:szCs w:val="24"/>
          <w:shd w:val="clear" w:color="auto" w:fill="FFFFFF"/>
        </w:rPr>
        <w:t xml:space="preserve">van </w:t>
      </w:r>
      <w:r w:rsidRPr="00D14F07">
        <w:rPr>
          <w:rFonts w:ascii="Arial" w:hAnsi="Arial" w:cs="Arial"/>
          <w:bCs/>
          <w:sz w:val="24"/>
          <w:szCs w:val="24"/>
          <w:shd w:val="clear" w:color="auto" w:fill="FFFFFF"/>
        </w:rPr>
        <w:t xml:space="preserve">Rooyen that the conveyancing transaction constituted a ‘single’ transaction and not a ‘business relationship’ which </w:t>
      </w:r>
      <w:r w:rsidR="006F6E18" w:rsidRPr="00D14F07">
        <w:rPr>
          <w:rFonts w:ascii="Arial" w:hAnsi="Arial" w:cs="Arial"/>
          <w:bCs/>
          <w:sz w:val="24"/>
          <w:szCs w:val="24"/>
          <w:shd w:val="clear" w:color="auto" w:fill="FFFFFF"/>
        </w:rPr>
        <w:t>FICA</w:t>
      </w:r>
      <w:r w:rsidRPr="00D14F07">
        <w:rPr>
          <w:rFonts w:ascii="Arial" w:hAnsi="Arial" w:cs="Arial"/>
          <w:bCs/>
          <w:sz w:val="24"/>
          <w:szCs w:val="24"/>
          <w:shd w:val="clear" w:color="auto" w:fill="FFFFFF"/>
        </w:rPr>
        <w:t xml:space="preserve"> envisages as a ‘regular’ or on-going relationship, the first respondent was adamant that conveyancing (</w:t>
      </w:r>
      <w:r w:rsidR="00763485" w:rsidRPr="00D14F07">
        <w:rPr>
          <w:rFonts w:ascii="Arial" w:hAnsi="Arial" w:cs="Arial"/>
          <w:bCs/>
          <w:sz w:val="24"/>
          <w:szCs w:val="24"/>
          <w:shd w:val="clear" w:color="auto" w:fill="FFFFFF"/>
        </w:rPr>
        <w:t xml:space="preserve">being </w:t>
      </w:r>
      <w:r w:rsidRPr="00D14F07">
        <w:rPr>
          <w:rFonts w:ascii="Arial" w:hAnsi="Arial" w:cs="Arial"/>
          <w:bCs/>
          <w:sz w:val="24"/>
          <w:szCs w:val="24"/>
          <w:shd w:val="clear" w:color="auto" w:fill="FFFFFF"/>
        </w:rPr>
        <w:t xml:space="preserve">the nature of its mandate in the present matter) constituted a ‘business relationship’ rather than a </w:t>
      </w:r>
      <w:r w:rsidR="00763485" w:rsidRPr="00D14F07">
        <w:rPr>
          <w:rFonts w:ascii="Arial" w:hAnsi="Arial" w:cs="Arial"/>
          <w:bCs/>
          <w:sz w:val="24"/>
          <w:szCs w:val="24"/>
          <w:shd w:val="clear" w:color="auto" w:fill="FFFFFF"/>
        </w:rPr>
        <w:t>‘</w:t>
      </w:r>
      <w:r w:rsidRPr="00D14F07">
        <w:rPr>
          <w:rFonts w:ascii="Arial" w:hAnsi="Arial" w:cs="Arial"/>
          <w:bCs/>
          <w:sz w:val="24"/>
          <w:szCs w:val="24"/>
          <w:shd w:val="clear" w:color="auto" w:fill="FFFFFF"/>
        </w:rPr>
        <w:t>single</w:t>
      </w:r>
      <w:r w:rsidR="00763485" w:rsidRPr="00D14F07">
        <w:rPr>
          <w:rFonts w:ascii="Arial" w:hAnsi="Arial" w:cs="Arial"/>
          <w:bCs/>
          <w:sz w:val="24"/>
          <w:szCs w:val="24"/>
          <w:shd w:val="clear" w:color="auto" w:fill="FFFFFF"/>
        </w:rPr>
        <w:t>’</w:t>
      </w:r>
      <w:r w:rsidRPr="00D14F07">
        <w:rPr>
          <w:rFonts w:ascii="Arial" w:hAnsi="Arial" w:cs="Arial"/>
          <w:bCs/>
          <w:sz w:val="24"/>
          <w:szCs w:val="24"/>
          <w:shd w:val="clear" w:color="auto" w:fill="FFFFFF"/>
        </w:rPr>
        <w:t xml:space="preserve"> transaction</w:t>
      </w:r>
      <w:r w:rsidR="00A06850" w:rsidRPr="00D14F07">
        <w:rPr>
          <w:rFonts w:ascii="Arial" w:hAnsi="Arial" w:cs="Arial"/>
          <w:bCs/>
          <w:sz w:val="24"/>
          <w:szCs w:val="24"/>
          <w:shd w:val="clear" w:color="auto" w:fill="FFFFFF"/>
        </w:rPr>
        <w:t xml:space="preserve"> where there is no expectation of further </w:t>
      </w:r>
      <w:r w:rsidR="00763485" w:rsidRPr="00D14F07">
        <w:rPr>
          <w:rFonts w:ascii="Arial" w:hAnsi="Arial" w:cs="Arial"/>
          <w:bCs/>
          <w:sz w:val="24"/>
          <w:szCs w:val="24"/>
          <w:shd w:val="clear" w:color="auto" w:fill="FFFFFF"/>
        </w:rPr>
        <w:t xml:space="preserve">or on-going </w:t>
      </w:r>
      <w:r w:rsidR="00A06850" w:rsidRPr="00D14F07">
        <w:rPr>
          <w:rFonts w:ascii="Arial" w:hAnsi="Arial" w:cs="Arial"/>
          <w:bCs/>
          <w:sz w:val="24"/>
          <w:szCs w:val="24"/>
          <w:shd w:val="clear" w:color="auto" w:fill="FFFFFF"/>
        </w:rPr>
        <w:t>engagement between the client and the accountable institution. On the facts before me, there is no suggestion that the applicants had any intention of fostering a long</w:t>
      </w:r>
      <w:r w:rsidR="005668D9" w:rsidRPr="00D14F07">
        <w:rPr>
          <w:rFonts w:ascii="Arial" w:hAnsi="Arial" w:cs="Arial"/>
          <w:bCs/>
          <w:sz w:val="24"/>
          <w:szCs w:val="24"/>
          <w:shd w:val="clear" w:color="auto" w:fill="FFFFFF"/>
        </w:rPr>
        <w:t>-</w:t>
      </w:r>
      <w:r w:rsidR="00A06850" w:rsidRPr="00D14F07">
        <w:rPr>
          <w:rFonts w:ascii="Arial" w:hAnsi="Arial" w:cs="Arial"/>
          <w:bCs/>
          <w:sz w:val="24"/>
          <w:szCs w:val="24"/>
          <w:shd w:val="clear" w:color="auto" w:fill="FFFFFF"/>
        </w:rPr>
        <w:t xml:space="preserve">term engagement with the first </w:t>
      </w:r>
      <w:r w:rsidR="00A06850" w:rsidRPr="00D14F07">
        <w:rPr>
          <w:rFonts w:ascii="Arial" w:hAnsi="Arial" w:cs="Arial"/>
          <w:bCs/>
          <w:sz w:val="24"/>
          <w:szCs w:val="24"/>
          <w:shd w:val="clear" w:color="auto" w:fill="FFFFFF"/>
        </w:rPr>
        <w:lastRenderedPageBreak/>
        <w:t xml:space="preserve">respondent.  </w:t>
      </w:r>
      <w:r w:rsidRPr="00D14F07">
        <w:rPr>
          <w:rFonts w:ascii="Arial" w:hAnsi="Arial" w:cs="Arial"/>
          <w:bCs/>
          <w:sz w:val="24"/>
          <w:szCs w:val="24"/>
          <w:shd w:val="clear" w:color="auto" w:fill="FFFFFF"/>
        </w:rPr>
        <w:t xml:space="preserve">Mr </w:t>
      </w:r>
      <w:r w:rsidRPr="00C10B67">
        <w:rPr>
          <w:rFonts w:ascii="Arial" w:hAnsi="Arial" w:cs="Arial"/>
          <w:bCs/>
          <w:i/>
          <w:sz w:val="24"/>
          <w:szCs w:val="24"/>
          <w:shd w:val="clear" w:color="auto" w:fill="FFFFFF"/>
        </w:rPr>
        <w:t>N</w:t>
      </w:r>
      <w:r w:rsidR="005668D9" w:rsidRPr="00C10B67">
        <w:rPr>
          <w:rFonts w:ascii="Arial" w:hAnsi="Arial" w:cs="Arial"/>
          <w:bCs/>
          <w:i/>
          <w:sz w:val="24"/>
          <w:szCs w:val="24"/>
          <w:shd w:val="clear" w:color="auto" w:fill="FFFFFF"/>
        </w:rPr>
        <w:t>aidoo</w:t>
      </w:r>
      <w:r w:rsidR="00A06850" w:rsidRPr="00D14F07">
        <w:rPr>
          <w:rFonts w:ascii="Arial" w:hAnsi="Arial" w:cs="Arial"/>
          <w:bCs/>
          <w:sz w:val="24"/>
          <w:szCs w:val="24"/>
          <w:shd w:val="clear" w:color="auto" w:fill="FFFFFF"/>
        </w:rPr>
        <w:t xml:space="preserve"> submitted</w:t>
      </w:r>
      <w:r w:rsidR="005E0955" w:rsidRPr="00D14F07">
        <w:rPr>
          <w:rFonts w:ascii="Arial" w:hAnsi="Arial" w:cs="Arial"/>
          <w:bCs/>
          <w:sz w:val="24"/>
          <w:szCs w:val="24"/>
          <w:shd w:val="clear" w:color="auto" w:fill="FFFFFF"/>
        </w:rPr>
        <w:t xml:space="preserve"> </w:t>
      </w:r>
      <w:r w:rsidR="00A06850" w:rsidRPr="00D14F07">
        <w:rPr>
          <w:rFonts w:ascii="Arial" w:hAnsi="Arial" w:cs="Arial"/>
          <w:bCs/>
          <w:sz w:val="24"/>
          <w:szCs w:val="24"/>
          <w:shd w:val="clear" w:color="auto" w:fill="FFFFFF"/>
        </w:rPr>
        <w:t xml:space="preserve">that conveyancing, by its nature, encompasses an element of time and constant engagement with the client.  The reason for </w:t>
      </w:r>
      <w:r w:rsidR="000F1FAF">
        <w:rPr>
          <w:rFonts w:ascii="Arial" w:hAnsi="Arial" w:cs="Arial"/>
          <w:bCs/>
          <w:sz w:val="24"/>
          <w:szCs w:val="24"/>
          <w:shd w:val="clear" w:color="auto" w:fill="FFFFFF"/>
        </w:rPr>
        <w:t xml:space="preserve">taking this line of argument was </w:t>
      </w:r>
      <w:r w:rsidR="00A06850" w:rsidRPr="00D14F07">
        <w:rPr>
          <w:rFonts w:ascii="Arial" w:hAnsi="Arial" w:cs="Arial"/>
          <w:bCs/>
          <w:sz w:val="24"/>
          <w:szCs w:val="24"/>
          <w:shd w:val="clear" w:color="auto" w:fill="FFFFFF"/>
        </w:rPr>
        <w:t>to bring the transaction under the ambit of a ‘business relationship</w:t>
      </w:r>
      <w:r w:rsidR="00894691" w:rsidRPr="00D14F07">
        <w:rPr>
          <w:rFonts w:ascii="Arial" w:hAnsi="Arial" w:cs="Arial"/>
          <w:bCs/>
          <w:sz w:val="24"/>
          <w:szCs w:val="24"/>
          <w:shd w:val="clear" w:color="auto" w:fill="FFFFFF"/>
        </w:rPr>
        <w:t>’</w:t>
      </w:r>
      <w:r w:rsidR="00A06850" w:rsidRPr="00D14F07">
        <w:rPr>
          <w:rFonts w:ascii="Arial" w:hAnsi="Arial" w:cs="Arial"/>
          <w:bCs/>
          <w:sz w:val="24"/>
          <w:szCs w:val="24"/>
          <w:shd w:val="clear" w:color="auto" w:fill="FFFFFF"/>
        </w:rPr>
        <w:t xml:space="preserve">, in my view, is to </w:t>
      </w:r>
      <w:r w:rsidR="001B4E87" w:rsidRPr="00D14F07">
        <w:rPr>
          <w:rFonts w:ascii="Arial" w:hAnsi="Arial" w:cs="Arial"/>
          <w:bCs/>
          <w:sz w:val="24"/>
          <w:szCs w:val="24"/>
          <w:shd w:val="clear" w:color="auto" w:fill="FFFFFF"/>
        </w:rPr>
        <w:t>ensure that a</w:t>
      </w:r>
      <w:r w:rsidR="0018122C" w:rsidRPr="00D14F07">
        <w:rPr>
          <w:rFonts w:ascii="Arial" w:hAnsi="Arial" w:cs="Arial"/>
          <w:bCs/>
          <w:sz w:val="24"/>
          <w:szCs w:val="24"/>
          <w:shd w:val="clear" w:color="auto" w:fill="FFFFFF"/>
        </w:rPr>
        <w:t>n</w:t>
      </w:r>
      <w:r w:rsidR="001B4E87" w:rsidRPr="00D14F07">
        <w:rPr>
          <w:rFonts w:ascii="Arial" w:hAnsi="Arial" w:cs="Arial"/>
          <w:bCs/>
          <w:sz w:val="24"/>
          <w:szCs w:val="24"/>
          <w:shd w:val="clear" w:color="auto" w:fill="FFFFFF"/>
        </w:rPr>
        <w:t xml:space="preserve"> on-going verification exercise of </w:t>
      </w:r>
      <w:r w:rsidR="005668D9" w:rsidRPr="00D14F07">
        <w:rPr>
          <w:rFonts w:ascii="Arial" w:hAnsi="Arial" w:cs="Arial"/>
          <w:bCs/>
          <w:sz w:val="24"/>
          <w:szCs w:val="24"/>
          <w:shd w:val="clear" w:color="auto" w:fill="FFFFFF"/>
        </w:rPr>
        <w:t>the applicant c</w:t>
      </w:r>
      <w:r w:rsidR="001B4E87" w:rsidRPr="00D14F07">
        <w:rPr>
          <w:rFonts w:ascii="Arial" w:hAnsi="Arial" w:cs="Arial"/>
          <w:bCs/>
          <w:sz w:val="24"/>
          <w:szCs w:val="24"/>
          <w:shd w:val="clear" w:color="auto" w:fill="FFFFFF"/>
        </w:rPr>
        <w:t>an be justified</w:t>
      </w:r>
      <w:r w:rsidR="008F28D8" w:rsidRPr="00D14F07">
        <w:rPr>
          <w:rFonts w:ascii="Arial" w:hAnsi="Arial" w:cs="Arial"/>
          <w:bCs/>
          <w:sz w:val="24"/>
          <w:szCs w:val="24"/>
          <w:shd w:val="clear" w:color="auto" w:fill="FFFFFF"/>
        </w:rPr>
        <w:t xml:space="preserve">, </w:t>
      </w:r>
      <w:r w:rsidR="005668D9" w:rsidRPr="00D14F07">
        <w:rPr>
          <w:rFonts w:ascii="Arial" w:hAnsi="Arial" w:cs="Arial"/>
          <w:bCs/>
          <w:sz w:val="24"/>
          <w:szCs w:val="24"/>
          <w:shd w:val="clear" w:color="auto" w:fill="FFFFFF"/>
        </w:rPr>
        <w:t xml:space="preserve">validating </w:t>
      </w:r>
      <w:r w:rsidR="0018122C" w:rsidRPr="00D14F07">
        <w:rPr>
          <w:rFonts w:ascii="Arial" w:hAnsi="Arial" w:cs="Arial"/>
          <w:bCs/>
          <w:sz w:val="24"/>
          <w:szCs w:val="24"/>
          <w:shd w:val="clear" w:color="auto" w:fill="FFFFFF"/>
        </w:rPr>
        <w:t xml:space="preserve">the </w:t>
      </w:r>
      <w:r w:rsidR="008F28D8" w:rsidRPr="00D14F07">
        <w:rPr>
          <w:rFonts w:ascii="Arial" w:hAnsi="Arial" w:cs="Arial"/>
          <w:bCs/>
          <w:sz w:val="24"/>
          <w:szCs w:val="24"/>
          <w:shd w:val="clear" w:color="auto" w:fill="FFFFFF"/>
        </w:rPr>
        <w:t>repeated demand</w:t>
      </w:r>
      <w:r w:rsidR="005668D9" w:rsidRPr="00D14F07">
        <w:rPr>
          <w:rFonts w:ascii="Arial" w:hAnsi="Arial" w:cs="Arial"/>
          <w:bCs/>
          <w:sz w:val="24"/>
          <w:szCs w:val="24"/>
          <w:shd w:val="clear" w:color="auto" w:fill="FFFFFF"/>
        </w:rPr>
        <w:t xml:space="preserve">s made on the applicant </w:t>
      </w:r>
      <w:r w:rsidR="008F28D8" w:rsidRPr="00D14F07">
        <w:rPr>
          <w:rFonts w:ascii="Arial" w:hAnsi="Arial" w:cs="Arial"/>
          <w:bCs/>
          <w:sz w:val="24"/>
          <w:szCs w:val="24"/>
          <w:shd w:val="clear" w:color="auto" w:fill="FFFFFF"/>
        </w:rPr>
        <w:t>by the first respondent</w:t>
      </w:r>
      <w:r w:rsidR="001B4E87" w:rsidRPr="00D14F07">
        <w:rPr>
          <w:rFonts w:ascii="Arial" w:hAnsi="Arial" w:cs="Arial"/>
          <w:bCs/>
          <w:sz w:val="24"/>
          <w:szCs w:val="24"/>
          <w:shd w:val="clear" w:color="auto" w:fill="FFFFFF"/>
        </w:rPr>
        <w:t xml:space="preserve">.  </w:t>
      </w:r>
      <w:r w:rsidR="008F28D8" w:rsidRPr="00D14F07">
        <w:rPr>
          <w:rFonts w:ascii="Arial" w:hAnsi="Arial" w:cs="Arial"/>
          <w:bCs/>
          <w:sz w:val="24"/>
          <w:szCs w:val="24"/>
          <w:shd w:val="clear" w:color="auto" w:fill="FFFFFF"/>
        </w:rPr>
        <w:t>On the other hand</w:t>
      </w:r>
      <w:r w:rsidR="005668D9" w:rsidRPr="00D14F07">
        <w:rPr>
          <w:rFonts w:ascii="Arial" w:hAnsi="Arial" w:cs="Arial"/>
          <w:bCs/>
          <w:sz w:val="24"/>
          <w:szCs w:val="24"/>
          <w:shd w:val="clear" w:color="auto" w:fill="FFFFFF"/>
        </w:rPr>
        <w:t>,</w:t>
      </w:r>
      <w:r w:rsidR="008F28D8" w:rsidRPr="00D14F07">
        <w:rPr>
          <w:rFonts w:ascii="Arial" w:hAnsi="Arial" w:cs="Arial"/>
          <w:bCs/>
          <w:sz w:val="24"/>
          <w:szCs w:val="24"/>
          <w:shd w:val="clear" w:color="auto" w:fill="FFFFFF"/>
        </w:rPr>
        <w:t xml:space="preserve"> i</w:t>
      </w:r>
      <w:r w:rsidR="001B4E87" w:rsidRPr="00D14F07">
        <w:rPr>
          <w:rFonts w:ascii="Arial" w:hAnsi="Arial" w:cs="Arial"/>
          <w:bCs/>
          <w:sz w:val="24"/>
          <w:szCs w:val="24"/>
          <w:shd w:val="clear" w:color="auto" w:fill="FFFFFF"/>
        </w:rPr>
        <w:t xml:space="preserve">n the case of a </w:t>
      </w:r>
      <w:r w:rsidR="005668D9" w:rsidRPr="00D14F07">
        <w:rPr>
          <w:rFonts w:ascii="Arial" w:hAnsi="Arial" w:cs="Arial"/>
          <w:bCs/>
          <w:sz w:val="24"/>
          <w:szCs w:val="24"/>
          <w:shd w:val="clear" w:color="auto" w:fill="FFFFFF"/>
        </w:rPr>
        <w:t>‘</w:t>
      </w:r>
      <w:r w:rsidR="001B4E87" w:rsidRPr="00D14F07">
        <w:rPr>
          <w:rFonts w:ascii="Arial" w:hAnsi="Arial" w:cs="Arial"/>
          <w:bCs/>
          <w:sz w:val="24"/>
          <w:szCs w:val="24"/>
          <w:shd w:val="clear" w:color="auto" w:fill="FFFFFF"/>
        </w:rPr>
        <w:t>single transaction</w:t>
      </w:r>
      <w:r w:rsidR="005668D9" w:rsidRPr="00D14F07">
        <w:rPr>
          <w:rFonts w:ascii="Arial" w:hAnsi="Arial" w:cs="Arial"/>
          <w:bCs/>
          <w:sz w:val="24"/>
          <w:szCs w:val="24"/>
          <w:shd w:val="clear" w:color="auto" w:fill="FFFFFF"/>
        </w:rPr>
        <w:t>’,</w:t>
      </w:r>
      <w:r w:rsidR="008F28D8" w:rsidRPr="00D14F07">
        <w:rPr>
          <w:rFonts w:ascii="Arial" w:hAnsi="Arial" w:cs="Arial"/>
          <w:bCs/>
          <w:sz w:val="24"/>
          <w:szCs w:val="24"/>
          <w:shd w:val="clear" w:color="auto" w:fill="FFFFFF"/>
        </w:rPr>
        <w:t xml:space="preserve"> as contended for </w:t>
      </w:r>
      <w:r w:rsidR="005668D9" w:rsidRPr="00D14F07">
        <w:rPr>
          <w:rFonts w:ascii="Arial" w:hAnsi="Arial" w:cs="Arial"/>
          <w:bCs/>
          <w:sz w:val="24"/>
          <w:szCs w:val="24"/>
          <w:shd w:val="clear" w:color="auto" w:fill="FFFFFF"/>
        </w:rPr>
        <w:t>by</w:t>
      </w:r>
      <w:r w:rsidR="008F28D8" w:rsidRPr="00D14F07">
        <w:rPr>
          <w:rFonts w:ascii="Arial" w:hAnsi="Arial" w:cs="Arial"/>
          <w:bCs/>
          <w:sz w:val="24"/>
          <w:szCs w:val="24"/>
          <w:shd w:val="clear" w:color="auto" w:fill="FFFFFF"/>
        </w:rPr>
        <w:t xml:space="preserve"> Mr </w:t>
      </w:r>
      <w:r w:rsidR="008F28D8" w:rsidRPr="00C10B67">
        <w:rPr>
          <w:rFonts w:ascii="Arial" w:hAnsi="Arial" w:cs="Arial"/>
          <w:bCs/>
          <w:i/>
          <w:sz w:val="24"/>
          <w:szCs w:val="24"/>
          <w:shd w:val="clear" w:color="auto" w:fill="FFFFFF"/>
        </w:rPr>
        <w:t>van Rooyen</w:t>
      </w:r>
      <w:r w:rsidR="000B23E7" w:rsidRPr="00D14F07">
        <w:rPr>
          <w:rFonts w:ascii="Arial" w:hAnsi="Arial" w:cs="Arial"/>
          <w:bCs/>
          <w:sz w:val="24"/>
          <w:szCs w:val="24"/>
          <w:shd w:val="clear" w:color="auto" w:fill="FFFFFF"/>
        </w:rPr>
        <w:t>,</w:t>
      </w:r>
      <w:r w:rsidR="008F28D8" w:rsidRPr="00D14F07">
        <w:rPr>
          <w:rFonts w:ascii="Arial" w:hAnsi="Arial" w:cs="Arial"/>
          <w:bCs/>
          <w:sz w:val="24"/>
          <w:szCs w:val="24"/>
          <w:shd w:val="clear" w:color="auto" w:fill="FFFFFF"/>
        </w:rPr>
        <w:t xml:space="preserve"> who appeared for the applicant, </w:t>
      </w:r>
      <w:r w:rsidR="005668D9" w:rsidRPr="00D14F07">
        <w:rPr>
          <w:rFonts w:ascii="Arial" w:hAnsi="Arial" w:cs="Arial"/>
          <w:bCs/>
          <w:sz w:val="24"/>
          <w:szCs w:val="24"/>
          <w:shd w:val="clear" w:color="auto" w:fill="FFFFFF"/>
        </w:rPr>
        <w:t xml:space="preserve">the </w:t>
      </w:r>
      <w:r w:rsidR="001B4E87" w:rsidRPr="00D14F07">
        <w:rPr>
          <w:rFonts w:ascii="Arial" w:hAnsi="Arial" w:cs="Arial"/>
          <w:bCs/>
          <w:sz w:val="24"/>
          <w:szCs w:val="24"/>
          <w:shd w:val="clear" w:color="auto" w:fill="FFFFFF"/>
        </w:rPr>
        <w:t xml:space="preserve">verification and identification of credentials takes place at inception – or prior to accepting the mandate to act on behalf of a client.  Hence </w:t>
      </w:r>
      <w:r w:rsidR="00894691" w:rsidRPr="00D14F07">
        <w:rPr>
          <w:rFonts w:ascii="Arial" w:hAnsi="Arial" w:cs="Arial"/>
          <w:bCs/>
          <w:sz w:val="24"/>
          <w:szCs w:val="24"/>
          <w:shd w:val="clear" w:color="auto" w:fill="FFFFFF"/>
        </w:rPr>
        <w:t>s</w:t>
      </w:r>
      <w:r w:rsidR="00FC1EC9" w:rsidRPr="00D14F07">
        <w:rPr>
          <w:rFonts w:ascii="Arial" w:hAnsi="Arial" w:cs="Arial"/>
          <w:bCs/>
          <w:sz w:val="24"/>
          <w:szCs w:val="24"/>
          <w:shd w:val="clear" w:color="auto" w:fill="FFFFFF"/>
        </w:rPr>
        <w:t> </w:t>
      </w:r>
      <w:r w:rsidR="001B4E87" w:rsidRPr="00D14F07">
        <w:rPr>
          <w:rFonts w:ascii="Arial" w:hAnsi="Arial" w:cs="Arial"/>
          <w:bCs/>
          <w:sz w:val="24"/>
          <w:szCs w:val="24"/>
          <w:shd w:val="clear" w:color="auto" w:fill="FFFFFF"/>
        </w:rPr>
        <w:t xml:space="preserve">21 </w:t>
      </w:r>
      <w:r w:rsidR="005668D9" w:rsidRPr="00D14F07">
        <w:rPr>
          <w:rFonts w:ascii="Arial" w:hAnsi="Arial" w:cs="Arial"/>
          <w:bCs/>
          <w:sz w:val="24"/>
          <w:szCs w:val="24"/>
          <w:shd w:val="clear" w:color="auto" w:fill="FFFFFF"/>
        </w:rPr>
        <w:t xml:space="preserve">of FICA </w:t>
      </w:r>
      <w:r w:rsidR="001B4E87" w:rsidRPr="00D14F07">
        <w:rPr>
          <w:rFonts w:ascii="Arial" w:hAnsi="Arial" w:cs="Arial"/>
          <w:bCs/>
          <w:sz w:val="24"/>
          <w:szCs w:val="24"/>
          <w:shd w:val="clear" w:color="auto" w:fill="FFFFFF"/>
        </w:rPr>
        <w:t>refers to a ‘</w:t>
      </w:r>
      <w:r w:rsidR="001B4E87" w:rsidRPr="00D14F07">
        <w:rPr>
          <w:rFonts w:ascii="Arial" w:hAnsi="Arial" w:cs="Arial"/>
          <w:bCs/>
          <w:i/>
          <w:sz w:val="24"/>
          <w:szCs w:val="24"/>
          <w:shd w:val="clear" w:color="auto" w:fill="FFFFFF"/>
        </w:rPr>
        <w:t>prospective client’</w:t>
      </w:r>
      <w:r w:rsidR="001B4E87" w:rsidRPr="00D14F07">
        <w:rPr>
          <w:rFonts w:ascii="Arial" w:hAnsi="Arial" w:cs="Arial"/>
          <w:bCs/>
          <w:sz w:val="24"/>
          <w:szCs w:val="24"/>
          <w:shd w:val="clear" w:color="auto" w:fill="FFFFFF"/>
        </w:rPr>
        <w:t xml:space="preserve">. </w:t>
      </w:r>
      <w:r w:rsidR="000B23E7" w:rsidRPr="00D14F07">
        <w:rPr>
          <w:rFonts w:ascii="Arial" w:hAnsi="Arial" w:cs="Arial"/>
          <w:bCs/>
          <w:sz w:val="24"/>
          <w:szCs w:val="24"/>
          <w:shd w:val="clear" w:color="auto" w:fill="FFFFFF"/>
        </w:rPr>
        <w:t>Also s</w:t>
      </w:r>
      <w:r w:rsidR="00894691" w:rsidRPr="00D14F07">
        <w:rPr>
          <w:rFonts w:ascii="Arial" w:hAnsi="Arial" w:cs="Arial"/>
          <w:bCs/>
          <w:sz w:val="24"/>
          <w:szCs w:val="24"/>
          <w:shd w:val="clear" w:color="auto" w:fill="FFFFFF"/>
        </w:rPr>
        <w:t xml:space="preserve"> </w:t>
      </w:r>
      <w:r w:rsidR="000B23E7" w:rsidRPr="00D14F07">
        <w:rPr>
          <w:rFonts w:ascii="Arial" w:hAnsi="Arial" w:cs="Arial"/>
          <w:bCs/>
          <w:sz w:val="24"/>
          <w:szCs w:val="24"/>
          <w:shd w:val="clear" w:color="auto" w:fill="FFFFFF"/>
        </w:rPr>
        <w:t>21B refers to a single transaction or the establishment of a business relationship and sets out the compliance requirements when dealing with legal persons. On the other hand, s</w:t>
      </w:r>
      <w:r w:rsidR="00894691" w:rsidRPr="00D14F07">
        <w:rPr>
          <w:rFonts w:ascii="Arial" w:hAnsi="Arial" w:cs="Arial"/>
          <w:bCs/>
          <w:sz w:val="24"/>
          <w:szCs w:val="24"/>
          <w:shd w:val="clear" w:color="auto" w:fill="FFFFFF"/>
        </w:rPr>
        <w:t xml:space="preserve"> </w:t>
      </w:r>
      <w:r w:rsidR="000B23E7" w:rsidRPr="00D14F07">
        <w:rPr>
          <w:rFonts w:ascii="Arial" w:hAnsi="Arial" w:cs="Arial"/>
          <w:bCs/>
          <w:sz w:val="24"/>
          <w:szCs w:val="24"/>
          <w:shd w:val="clear" w:color="auto" w:fill="FFFFFF"/>
        </w:rPr>
        <w:t xml:space="preserve">21C </w:t>
      </w:r>
      <w:r w:rsidR="005668D9" w:rsidRPr="00D14F07">
        <w:rPr>
          <w:rFonts w:ascii="Arial" w:hAnsi="Arial" w:cs="Arial"/>
          <w:bCs/>
          <w:sz w:val="24"/>
          <w:szCs w:val="24"/>
          <w:shd w:val="clear" w:color="auto" w:fill="FFFFFF"/>
        </w:rPr>
        <w:t xml:space="preserve">refers to ongoing due diligence, but crucially, this obligation is limited </w:t>
      </w:r>
      <w:r w:rsidR="000B23E7" w:rsidRPr="00D14F07">
        <w:rPr>
          <w:rFonts w:ascii="Arial" w:hAnsi="Arial" w:cs="Arial"/>
          <w:bCs/>
          <w:sz w:val="24"/>
          <w:szCs w:val="24"/>
          <w:shd w:val="clear" w:color="auto" w:fill="FFFFFF"/>
        </w:rPr>
        <w:t>to an ongoing business relationship. It was submitted by the applicant</w:t>
      </w:r>
      <w:r w:rsidR="000F1FAF">
        <w:rPr>
          <w:rFonts w:ascii="Arial" w:hAnsi="Arial" w:cs="Arial"/>
          <w:bCs/>
          <w:sz w:val="24"/>
          <w:szCs w:val="24"/>
          <w:shd w:val="clear" w:color="auto" w:fill="FFFFFF"/>
        </w:rPr>
        <w:t>, correctly in my view,</w:t>
      </w:r>
      <w:r w:rsidR="00D541F3" w:rsidRPr="00D14F07">
        <w:rPr>
          <w:rFonts w:ascii="Arial" w:hAnsi="Arial" w:cs="Arial"/>
          <w:bCs/>
          <w:sz w:val="24"/>
          <w:szCs w:val="24"/>
          <w:shd w:val="clear" w:color="auto" w:fill="FFFFFF"/>
        </w:rPr>
        <w:t xml:space="preserve"> </w:t>
      </w:r>
      <w:r w:rsidR="000B23E7" w:rsidRPr="00D14F07">
        <w:rPr>
          <w:rFonts w:ascii="Arial" w:hAnsi="Arial" w:cs="Arial"/>
          <w:bCs/>
          <w:sz w:val="24"/>
          <w:szCs w:val="24"/>
          <w:shd w:val="clear" w:color="auto" w:fill="FFFFFF"/>
        </w:rPr>
        <w:t>that s</w:t>
      </w:r>
      <w:r w:rsidR="00D541F3" w:rsidRPr="00D14F07">
        <w:rPr>
          <w:rFonts w:ascii="Arial" w:hAnsi="Arial" w:cs="Arial"/>
          <w:bCs/>
          <w:sz w:val="24"/>
          <w:szCs w:val="24"/>
          <w:shd w:val="clear" w:color="auto" w:fill="FFFFFF"/>
        </w:rPr>
        <w:t xml:space="preserve"> </w:t>
      </w:r>
      <w:r w:rsidR="000B23E7" w:rsidRPr="00D14F07">
        <w:rPr>
          <w:rFonts w:ascii="Arial" w:hAnsi="Arial" w:cs="Arial"/>
          <w:bCs/>
          <w:sz w:val="24"/>
          <w:szCs w:val="24"/>
          <w:shd w:val="clear" w:color="auto" w:fill="FFFFFF"/>
        </w:rPr>
        <w:t>21C</w:t>
      </w:r>
      <w:r w:rsidR="00367D58" w:rsidRPr="00D14F07">
        <w:rPr>
          <w:rFonts w:ascii="Arial" w:hAnsi="Arial" w:cs="Arial"/>
          <w:bCs/>
          <w:sz w:val="24"/>
          <w:szCs w:val="24"/>
          <w:shd w:val="clear" w:color="auto" w:fill="FFFFFF"/>
        </w:rPr>
        <w:t>(</w:t>
      </w:r>
      <w:r w:rsidR="00367D58" w:rsidRPr="00C10B67">
        <w:rPr>
          <w:rFonts w:ascii="Arial" w:hAnsi="Arial" w:cs="Arial"/>
          <w:bCs/>
          <w:i/>
          <w:sz w:val="24"/>
          <w:szCs w:val="24"/>
          <w:shd w:val="clear" w:color="auto" w:fill="FFFFFF"/>
        </w:rPr>
        <w:t>b</w:t>
      </w:r>
      <w:r w:rsidR="00367D58" w:rsidRPr="00D14F07">
        <w:rPr>
          <w:rFonts w:ascii="Arial" w:hAnsi="Arial" w:cs="Arial"/>
          <w:bCs/>
          <w:sz w:val="24"/>
          <w:szCs w:val="24"/>
          <w:shd w:val="clear" w:color="auto" w:fill="FFFFFF"/>
        </w:rPr>
        <w:t xml:space="preserve">) contemplates an ongoing verification exercise, but only where there is an established business relationship. </w:t>
      </w:r>
      <w:r w:rsidR="000B23E7" w:rsidRPr="00D14F07">
        <w:rPr>
          <w:rFonts w:ascii="Arial" w:hAnsi="Arial" w:cs="Arial"/>
          <w:bCs/>
          <w:sz w:val="24"/>
          <w:szCs w:val="24"/>
          <w:shd w:val="clear" w:color="auto" w:fill="FFFFFF"/>
        </w:rPr>
        <w:t xml:space="preserve"> </w:t>
      </w:r>
      <w:r w:rsidR="008F28D8" w:rsidRPr="00D14F07">
        <w:rPr>
          <w:rFonts w:ascii="Arial" w:hAnsi="Arial" w:cs="Arial"/>
          <w:bCs/>
          <w:sz w:val="24"/>
          <w:szCs w:val="24"/>
          <w:shd w:val="clear" w:color="auto" w:fill="FFFFFF"/>
        </w:rPr>
        <w:t xml:space="preserve">I am in agreement with counsel for the applicant that the transaction in question, for the first respondent to attend to the transfer of a property, can be nothing other than a single transaction for the purposes of FICA.  To suggest otherwise would be straining the language of </w:t>
      </w:r>
      <w:r w:rsidR="006F6E18" w:rsidRPr="00D14F07">
        <w:rPr>
          <w:rFonts w:ascii="Arial" w:hAnsi="Arial" w:cs="Arial"/>
          <w:bCs/>
          <w:sz w:val="24"/>
          <w:szCs w:val="24"/>
          <w:shd w:val="clear" w:color="auto" w:fill="FFFFFF"/>
        </w:rPr>
        <w:t>FICA</w:t>
      </w:r>
      <w:r w:rsidR="008F28D8" w:rsidRPr="00D14F07">
        <w:rPr>
          <w:rFonts w:ascii="Arial" w:hAnsi="Arial" w:cs="Arial"/>
          <w:bCs/>
          <w:sz w:val="24"/>
          <w:szCs w:val="24"/>
          <w:shd w:val="clear" w:color="auto" w:fill="FFFFFF"/>
        </w:rPr>
        <w:t xml:space="preserve">, for a purpose that would only suit the first respondent and provide a justification for its demands made on the applicant’s members. </w:t>
      </w:r>
    </w:p>
    <w:p w:rsidR="00A06850" w:rsidRPr="00D14F07" w:rsidRDefault="00A06850" w:rsidP="008F28D8">
      <w:pPr>
        <w:pStyle w:val="ListParagraph"/>
        <w:spacing w:line="360" w:lineRule="auto"/>
        <w:ind w:left="0"/>
        <w:jc w:val="both"/>
        <w:rPr>
          <w:rFonts w:ascii="Arial" w:hAnsi="Arial" w:cs="Arial"/>
          <w:bCs/>
          <w:sz w:val="24"/>
          <w:szCs w:val="24"/>
          <w:shd w:val="clear" w:color="auto" w:fill="FFFFFF"/>
        </w:rPr>
      </w:pPr>
    </w:p>
    <w:p w:rsidR="00A361D9" w:rsidRPr="00D14F07" w:rsidRDefault="008F28D8" w:rsidP="0065381D">
      <w:pPr>
        <w:pStyle w:val="ListParagraph"/>
        <w:numPr>
          <w:ilvl w:val="0"/>
          <w:numId w:val="1"/>
        </w:numPr>
        <w:spacing w:line="360" w:lineRule="auto"/>
        <w:ind w:left="0" w:firstLine="0"/>
        <w:jc w:val="both"/>
        <w:rPr>
          <w:rFonts w:ascii="Arial" w:hAnsi="Arial" w:cs="Arial"/>
          <w:bCs/>
          <w:sz w:val="24"/>
          <w:szCs w:val="24"/>
          <w:shd w:val="clear" w:color="auto" w:fill="FFFFFF"/>
        </w:rPr>
      </w:pPr>
      <w:r w:rsidRPr="00D14F07">
        <w:rPr>
          <w:rFonts w:ascii="Arial" w:hAnsi="Arial" w:cs="Arial"/>
          <w:bCs/>
          <w:sz w:val="24"/>
          <w:szCs w:val="24"/>
          <w:shd w:val="clear" w:color="auto" w:fill="FFFFFF"/>
        </w:rPr>
        <w:t xml:space="preserve">During the course of argument, Mr </w:t>
      </w:r>
      <w:r w:rsidRPr="00C10B67">
        <w:rPr>
          <w:rFonts w:ascii="Arial" w:hAnsi="Arial" w:cs="Arial"/>
          <w:bCs/>
          <w:i/>
          <w:sz w:val="24"/>
          <w:szCs w:val="24"/>
          <w:shd w:val="clear" w:color="auto" w:fill="FFFFFF"/>
        </w:rPr>
        <w:t>Naidoo</w:t>
      </w:r>
      <w:r w:rsidRPr="00D14F07">
        <w:rPr>
          <w:rFonts w:ascii="Arial" w:hAnsi="Arial" w:cs="Arial"/>
          <w:bCs/>
          <w:sz w:val="24"/>
          <w:szCs w:val="24"/>
          <w:shd w:val="clear" w:color="auto" w:fill="FFFFFF"/>
        </w:rPr>
        <w:t xml:space="preserve"> also attempted to justify the first respondent’s repeated demands for copies of identity and proof of address </w:t>
      </w:r>
      <w:r w:rsidR="00375D31" w:rsidRPr="00D14F07">
        <w:rPr>
          <w:rFonts w:ascii="Arial" w:hAnsi="Arial" w:cs="Arial"/>
          <w:bCs/>
          <w:sz w:val="24"/>
          <w:szCs w:val="24"/>
          <w:shd w:val="clear" w:color="auto" w:fill="FFFFFF"/>
        </w:rPr>
        <w:t xml:space="preserve">not being older </w:t>
      </w:r>
      <w:r w:rsidRPr="00D14F07">
        <w:rPr>
          <w:rFonts w:ascii="Arial" w:hAnsi="Arial" w:cs="Arial"/>
          <w:bCs/>
          <w:sz w:val="24"/>
          <w:szCs w:val="24"/>
          <w:shd w:val="clear" w:color="auto" w:fill="FFFFFF"/>
        </w:rPr>
        <w:t xml:space="preserve">than </w:t>
      </w:r>
      <w:r w:rsidR="00D541F3" w:rsidRPr="00D14F07">
        <w:rPr>
          <w:rFonts w:ascii="Arial" w:hAnsi="Arial" w:cs="Arial"/>
          <w:bCs/>
          <w:sz w:val="24"/>
          <w:szCs w:val="24"/>
          <w:shd w:val="clear" w:color="auto" w:fill="FFFFFF"/>
        </w:rPr>
        <w:t xml:space="preserve">three </w:t>
      </w:r>
      <w:r w:rsidRPr="00D14F07">
        <w:rPr>
          <w:rFonts w:ascii="Arial" w:hAnsi="Arial" w:cs="Arial"/>
          <w:bCs/>
          <w:sz w:val="24"/>
          <w:szCs w:val="24"/>
          <w:shd w:val="clear" w:color="auto" w:fill="FFFFFF"/>
        </w:rPr>
        <w:t>mo</w:t>
      </w:r>
      <w:r w:rsidR="00D541F3" w:rsidRPr="00D14F07">
        <w:rPr>
          <w:rFonts w:ascii="Arial" w:hAnsi="Arial" w:cs="Arial"/>
          <w:bCs/>
          <w:sz w:val="24"/>
          <w:szCs w:val="24"/>
          <w:shd w:val="clear" w:color="auto" w:fill="FFFFFF"/>
        </w:rPr>
        <w:t>n</w:t>
      </w:r>
      <w:r w:rsidRPr="00D14F07">
        <w:rPr>
          <w:rFonts w:ascii="Arial" w:hAnsi="Arial" w:cs="Arial"/>
          <w:bCs/>
          <w:sz w:val="24"/>
          <w:szCs w:val="24"/>
          <w:shd w:val="clear" w:color="auto" w:fill="FFFFFF"/>
        </w:rPr>
        <w:t xml:space="preserve">ths.  There is nothing in the Guidance Notes issued by the Financial Intelligence Centre that bears reference to such a requirement.  While this may have developed into a norm in certain </w:t>
      </w:r>
      <w:r w:rsidR="00D57B53" w:rsidRPr="00D14F07">
        <w:rPr>
          <w:rFonts w:ascii="Arial" w:hAnsi="Arial" w:cs="Arial"/>
          <w:bCs/>
          <w:sz w:val="24"/>
          <w:szCs w:val="24"/>
          <w:shd w:val="clear" w:color="auto" w:fill="FFFFFF"/>
        </w:rPr>
        <w:t>spheres</w:t>
      </w:r>
      <w:r w:rsidRPr="00D14F07">
        <w:rPr>
          <w:rFonts w:ascii="Arial" w:hAnsi="Arial" w:cs="Arial"/>
          <w:bCs/>
          <w:sz w:val="24"/>
          <w:szCs w:val="24"/>
          <w:shd w:val="clear" w:color="auto" w:fill="FFFFFF"/>
        </w:rPr>
        <w:t xml:space="preserve"> of business, I have not been able to find any authority </w:t>
      </w:r>
      <w:r w:rsidR="00375D31" w:rsidRPr="00D14F07">
        <w:rPr>
          <w:rFonts w:ascii="Arial" w:hAnsi="Arial" w:cs="Arial"/>
          <w:bCs/>
          <w:sz w:val="24"/>
          <w:szCs w:val="24"/>
          <w:shd w:val="clear" w:color="auto" w:fill="FFFFFF"/>
        </w:rPr>
        <w:t xml:space="preserve">(nor has counsel for the first respondent referred me to any) </w:t>
      </w:r>
      <w:r w:rsidRPr="00D14F07">
        <w:rPr>
          <w:rFonts w:ascii="Arial" w:hAnsi="Arial" w:cs="Arial"/>
          <w:bCs/>
          <w:sz w:val="24"/>
          <w:szCs w:val="24"/>
          <w:shd w:val="clear" w:color="auto" w:fill="FFFFFF"/>
        </w:rPr>
        <w:t xml:space="preserve">that requires an identity document or proof of address to be not older than </w:t>
      </w:r>
      <w:r w:rsidR="00A7242F" w:rsidRPr="00D14F07">
        <w:rPr>
          <w:rFonts w:ascii="Arial" w:hAnsi="Arial" w:cs="Arial"/>
          <w:bCs/>
          <w:sz w:val="24"/>
          <w:szCs w:val="24"/>
          <w:shd w:val="clear" w:color="auto" w:fill="FFFFFF"/>
        </w:rPr>
        <w:t xml:space="preserve">three </w:t>
      </w:r>
      <w:r w:rsidRPr="00D14F07">
        <w:rPr>
          <w:rFonts w:ascii="Arial" w:hAnsi="Arial" w:cs="Arial"/>
          <w:bCs/>
          <w:sz w:val="24"/>
          <w:szCs w:val="24"/>
          <w:shd w:val="clear" w:color="auto" w:fill="FFFFFF"/>
        </w:rPr>
        <w:t>months</w:t>
      </w:r>
      <w:r w:rsidR="000F1FAF">
        <w:rPr>
          <w:rFonts w:ascii="Arial" w:hAnsi="Arial" w:cs="Arial"/>
          <w:bCs/>
          <w:sz w:val="24"/>
          <w:szCs w:val="24"/>
          <w:shd w:val="clear" w:color="auto" w:fill="FFFFFF"/>
        </w:rPr>
        <w:t>,</w:t>
      </w:r>
      <w:r w:rsidRPr="00D14F07">
        <w:rPr>
          <w:rFonts w:ascii="Arial" w:hAnsi="Arial" w:cs="Arial"/>
          <w:bCs/>
          <w:sz w:val="24"/>
          <w:szCs w:val="24"/>
          <w:shd w:val="clear" w:color="auto" w:fill="FFFFFF"/>
        </w:rPr>
        <w:t xml:space="preserve"> in order to be valid.  What alters the validity of the document a day after three months? </w:t>
      </w:r>
      <w:r w:rsidR="00D57B53" w:rsidRPr="00D14F07">
        <w:rPr>
          <w:rFonts w:ascii="Arial" w:hAnsi="Arial" w:cs="Arial"/>
          <w:bCs/>
          <w:sz w:val="24"/>
          <w:szCs w:val="24"/>
          <w:shd w:val="clear" w:color="auto" w:fill="FFFFFF"/>
        </w:rPr>
        <w:t xml:space="preserve">I am in agreement with the views expressed by Ms van Rooyen in her affidavit where she asserts that </w:t>
      </w:r>
      <w:r w:rsidR="005E0955" w:rsidRPr="00D14F07">
        <w:rPr>
          <w:rFonts w:ascii="Arial" w:hAnsi="Arial" w:cs="Arial"/>
          <w:bCs/>
          <w:sz w:val="24"/>
          <w:szCs w:val="24"/>
          <w:shd w:val="clear" w:color="auto" w:fill="FFFFFF"/>
        </w:rPr>
        <w:t xml:space="preserve">the first respondent’s repeated requests </w:t>
      </w:r>
      <w:r w:rsidR="00FC1EC9" w:rsidRPr="00D14F07">
        <w:rPr>
          <w:rFonts w:ascii="Arial" w:hAnsi="Arial" w:cs="Arial"/>
          <w:bCs/>
          <w:sz w:val="24"/>
          <w:szCs w:val="24"/>
          <w:shd w:val="clear" w:color="auto" w:fill="FFFFFF"/>
        </w:rPr>
        <w:t xml:space="preserve">for </w:t>
      </w:r>
      <w:r w:rsidR="005E0955" w:rsidRPr="00D14F07">
        <w:rPr>
          <w:rFonts w:ascii="Arial" w:hAnsi="Arial" w:cs="Arial"/>
          <w:bCs/>
          <w:sz w:val="24"/>
          <w:szCs w:val="24"/>
          <w:shd w:val="clear" w:color="auto" w:fill="FFFFFF"/>
        </w:rPr>
        <w:t>certification of documents not older than three</w:t>
      </w:r>
      <w:r w:rsidR="00D541F3" w:rsidRPr="00D14F07">
        <w:rPr>
          <w:rFonts w:ascii="Arial" w:hAnsi="Arial" w:cs="Arial"/>
          <w:bCs/>
          <w:sz w:val="24"/>
          <w:szCs w:val="24"/>
          <w:shd w:val="clear" w:color="auto" w:fill="FFFFFF"/>
        </w:rPr>
        <w:t xml:space="preserve"> </w:t>
      </w:r>
      <w:r w:rsidR="005E0955" w:rsidRPr="00D14F07">
        <w:rPr>
          <w:rFonts w:ascii="Arial" w:hAnsi="Arial" w:cs="Arial"/>
          <w:bCs/>
          <w:sz w:val="24"/>
          <w:szCs w:val="24"/>
          <w:shd w:val="clear" w:color="auto" w:fill="FFFFFF"/>
        </w:rPr>
        <w:t>months, is no</w:t>
      </w:r>
      <w:r w:rsidR="00D57B53" w:rsidRPr="00D14F07">
        <w:rPr>
          <w:rFonts w:ascii="Arial" w:hAnsi="Arial" w:cs="Arial"/>
          <w:bCs/>
          <w:sz w:val="24"/>
          <w:szCs w:val="24"/>
          <w:shd w:val="clear" w:color="auto" w:fill="FFFFFF"/>
        </w:rPr>
        <w:t>t</w:t>
      </w:r>
      <w:r w:rsidR="005E0955" w:rsidRPr="00D14F07">
        <w:rPr>
          <w:rFonts w:ascii="Arial" w:hAnsi="Arial" w:cs="Arial"/>
          <w:bCs/>
          <w:sz w:val="24"/>
          <w:szCs w:val="24"/>
          <w:shd w:val="clear" w:color="auto" w:fill="FFFFFF"/>
        </w:rPr>
        <w:t xml:space="preserve"> </w:t>
      </w:r>
      <w:r w:rsidR="00D57B53" w:rsidRPr="00D14F07">
        <w:rPr>
          <w:rFonts w:ascii="Arial" w:hAnsi="Arial" w:cs="Arial"/>
          <w:bCs/>
          <w:sz w:val="24"/>
          <w:szCs w:val="24"/>
          <w:shd w:val="clear" w:color="auto" w:fill="FFFFFF"/>
        </w:rPr>
        <w:t xml:space="preserve">a </w:t>
      </w:r>
      <w:r w:rsidR="005E0955" w:rsidRPr="00D14F07">
        <w:rPr>
          <w:rFonts w:ascii="Arial" w:hAnsi="Arial" w:cs="Arial"/>
          <w:bCs/>
          <w:sz w:val="24"/>
          <w:szCs w:val="24"/>
          <w:shd w:val="clear" w:color="auto" w:fill="FFFFFF"/>
        </w:rPr>
        <w:t>requirement imposed by FICA.</w:t>
      </w:r>
    </w:p>
    <w:p w:rsidR="00246C3C" w:rsidRPr="00D14F07" w:rsidRDefault="00246C3C" w:rsidP="00246C3C">
      <w:pPr>
        <w:pStyle w:val="ListParagraph"/>
        <w:spacing w:line="360" w:lineRule="auto"/>
        <w:ind w:left="0"/>
        <w:jc w:val="both"/>
        <w:rPr>
          <w:rFonts w:ascii="Arial" w:hAnsi="Arial" w:cs="Arial"/>
          <w:bCs/>
          <w:sz w:val="24"/>
          <w:szCs w:val="24"/>
          <w:shd w:val="clear" w:color="auto" w:fill="FFFFFF"/>
        </w:rPr>
      </w:pPr>
    </w:p>
    <w:p w:rsidR="00D666C0" w:rsidRPr="00D14F07" w:rsidRDefault="005E0955" w:rsidP="005E0955">
      <w:pPr>
        <w:pStyle w:val="ListParagraph"/>
        <w:numPr>
          <w:ilvl w:val="0"/>
          <w:numId w:val="1"/>
        </w:numPr>
        <w:spacing w:line="360" w:lineRule="auto"/>
        <w:ind w:left="0" w:firstLine="0"/>
        <w:jc w:val="both"/>
        <w:rPr>
          <w:rFonts w:ascii="Arial" w:hAnsi="Arial" w:cs="Arial"/>
          <w:sz w:val="24"/>
          <w:szCs w:val="24"/>
          <w:shd w:val="clear" w:color="auto" w:fill="FFFFFF"/>
        </w:rPr>
      </w:pPr>
      <w:r w:rsidRPr="00D14F07">
        <w:rPr>
          <w:rFonts w:ascii="Arial" w:hAnsi="Arial" w:cs="Arial"/>
          <w:bCs/>
          <w:sz w:val="24"/>
          <w:szCs w:val="24"/>
          <w:shd w:val="clear" w:color="auto" w:fill="FFFFFF"/>
        </w:rPr>
        <w:lastRenderedPageBreak/>
        <w:t xml:space="preserve">The first respondent relies on the provisions of </w:t>
      </w:r>
      <w:r w:rsidR="00D541F3" w:rsidRPr="00D14F07">
        <w:rPr>
          <w:rFonts w:ascii="Arial" w:hAnsi="Arial" w:cs="Arial"/>
          <w:bCs/>
          <w:sz w:val="24"/>
          <w:szCs w:val="24"/>
          <w:shd w:val="clear" w:color="auto" w:fill="FFFFFF"/>
        </w:rPr>
        <w:t xml:space="preserve">s </w:t>
      </w:r>
      <w:r w:rsidRPr="00D14F07">
        <w:rPr>
          <w:rFonts w:ascii="Arial" w:hAnsi="Arial" w:cs="Arial"/>
          <w:bCs/>
          <w:sz w:val="24"/>
          <w:szCs w:val="24"/>
          <w:shd w:val="clear" w:color="auto" w:fill="FFFFFF"/>
        </w:rPr>
        <w:t xml:space="preserve">21(1) of FICA for its submission that the obligation on the </w:t>
      </w:r>
      <w:r w:rsidR="00D541F3" w:rsidRPr="00D14F07">
        <w:rPr>
          <w:rFonts w:ascii="Arial" w:hAnsi="Arial" w:cs="Arial"/>
          <w:bCs/>
          <w:sz w:val="24"/>
          <w:szCs w:val="24"/>
          <w:shd w:val="clear" w:color="auto" w:fill="FFFFFF"/>
        </w:rPr>
        <w:t>‘</w:t>
      </w:r>
      <w:r w:rsidR="00CE1B85" w:rsidRPr="00D14F07">
        <w:rPr>
          <w:rFonts w:ascii="Arial" w:hAnsi="Arial" w:cs="Arial"/>
          <w:bCs/>
          <w:sz w:val="24"/>
          <w:szCs w:val="24"/>
          <w:shd w:val="clear" w:color="auto" w:fill="FFFFFF"/>
        </w:rPr>
        <w:t>accountable institution</w:t>
      </w:r>
      <w:r w:rsidR="00D541F3" w:rsidRPr="00D14F07">
        <w:rPr>
          <w:rFonts w:ascii="Arial" w:hAnsi="Arial" w:cs="Arial"/>
          <w:bCs/>
          <w:sz w:val="24"/>
          <w:szCs w:val="24"/>
          <w:shd w:val="clear" w:color="auto" w:fill="FFFFFF"/>
        </w:rPr>
        <w:t>’</w:t>
      </w:r>
      <w:r w:rsidR="00CE1B85" w:rsidRPr="00D14F07">
        <w:rPr>
          <w:rFonts w:ascii="Arial" w:hAnsi="Arial" w:cs="Arial"/>
          <w:bCs/>
          <w:sz w:val="24"/>
          <w:szCs w:val="24"/>
          <w:shd w:val="clear" w:color="auto" w:fill="FFFFFF"/>
        </w:rPr>
        <w:t> </w:t>
      </w:r>
      <w:r w:rsidRPr="00D14F07">
        <w:rPr>
          <w:rFonts w:ascii="Arial" w:hAnsi="Arial" w:cs="Arial"/>
          <w:bCs/>
          <w:sz w:val="24"/>
          <w:szCs w:val="24"/>
          <w:shd w:val="clear" w:color="auto" w:fill="FFFFFF"/>
        </w:rPr>
        <w:t xml:space="preserve">(meaning </w:t>
      </w:r>
      <w:r w:rsidR="00CE1B85" w:rsidRPr="00D14F07">
        <w:rPr>
          <w:rFonts w:ascii="Arial" w:hAnsi="Arial" w:cs="Arial"/>
          <w:sz w:val="24"/>
          <w:szCs w:val="24"/>
          <w:shd w:val="clear" w:color="auto" w:fill="FFFFFF"/>
        </w:rPr>
        <w:t>a person referred to in </w:t>
      </w:r>
      <w:r w:rsidR="00CE1B85" w:rsidRPr="00D14F07">
        <w:rPr>
          <w:rFonts w:ascii="Arial" w:hAnsi="Arial" w:cs="Arial"/>
          <w:sz w:val="24"/>
          <w:szCs w:val="24"/>
        </w:rPr>
        <w:t>Schedule 1</w:t>
      </w:r>
      <w:r w:rsidR="00C73C08" w:rsidRPr="00D14F07">
        <w:rPr>
          <w:rFonts w:ascii="Arial" w:hAnsi="Arial" w:cs="Arial"/>
          <w:sz w:val="24"/>
          <w:szCs w:val="24"/>
        </w:rPr>
        <w:t>,</w:t>
      </w:r>
      <w:r w:rsidRPr="00D14F07">
        <w:rPr>
          <w:rFonts w:ascii="Arial" w:hAnsi="Arial" w:cs="Arial"/>
          <w:sz w:val="24"/>
          <w:szCs w:val="24"/>
        </w:rPr>
        <w:t xml:space="preserve"> including an attorney</w:t>
      </w:r>
      <w:r w:rsidR="000A1D08" w:rsidRPr="00D14F07">
        <w:rPr>
          <w:rFonts w:ascii="Arial" w:hAnsi="Arial" w:cs="Arial"/>
          <w:sz w:val="24"/>
          <w:szCs w:val="24"/>
        </w:rPr>
        <w:t>)</w:t>
      </w:r>
      <w:r w:rsidR="000F482B" w:rsidRPr="00D14F07">
        <w:rPr>
          <w:rStyle w:val="FootnoteReference"/>
          <w:rFonts w:ascii="Arial" w:hAnsi="Arial" w:cs="Arial"/>
          <w:sz w:val="24"/>
          <w:szCs w:val="24"/>
        </w:rPr>
        <w:footnoteReference w:id="1"/>
      </w:r>
      <w:r w:rsidRPr="00D14F07">
        <w:rPr>
          <w:rFonts w:ascii="Arial" w:hAnsi="Arial" w:cs="Arial"/>
          <w:sz w:val="24"/>
          <w:szCs w:val="24"/>
        </w:rPr>
        <w:t xml:space="preserve"> </w:t>
      </w:r>
      <w:r w:rsidR="00C73C08" w:rsidRPr="00D14F07">
        <w:rPr>
          <w:rFonts w:ascii="Arial" w:hAnsi="Arial" w:cs="Arial"/>
          <w:sz w:val="24"/>
          <w:szCs w:val="24"/>
        </w:rPr>
        <w:t>to identify its client,</w:t>
      </w:r>
      <w:r w:rsidR="00B92D97" w:rsidRPr="00D14F07">
        <w:rPr>
          <w:rFonts w:ascii="Arial" w:hAnsi="Arial" w:cs="Arial"/>
          <w:sz w:val="24"/>
          <w:szCs w:val="24"/>
        </w:rPr>
        <w:t xml:space="preserve"> extends beyond the verification </w:t>
      </w:r>
      <w:r w:rsidR="00C73C08" w:rsidRPr="00D14F07">
        <w:rPr>
          <w:rFonts w:ascii="Arial" w:hAnsi="Arial" w:cs="Arial"/>
          <w:sz w:val="24"/>
          <w:szCs w:val="24"/>
        </w:rPr>
        <w:t xml:space="preserve">done </w:t>
      </w:r>
      <w:r w:rsidR="00B92D97" w:rsidRPr="00D14F07">
        <w:rPr>
          <w:rFonts w:ascii="Arial" w:hAnsi="Arial" w:cs="Arial"/>
          <w:sz w:val="24"/>
          <w:szCs w:val="24"/>
        </w:rPr>
        <w:t xml:space="preserve">at inception of the relationship. According to the first respondent, this mandatory obligation does not </w:t>
      </w:r>
      <w:r w:rsidR="00246C3C" w:rsidRPr="00D14F07">
        <w:rPr>
          <w:rFonts w:ascii="Arial" w:hAnsi="Arial" w:cs="Arial"/>
          <w:sz w:val="24"/>
          <w:szCs w:val="24"/>
        </w:rPr>
        <w:t>‘</w:t>
      </w:r>
      <w:r w:rsidR="00B92D97" w:rsidRPr="00D14F07">
        <w:rPr>
          <w:rFonts w:ascii="Arial" w:hAnsi="Arial" w:cs="Arial"/>
          <w:sz w:val="24"/>
          <w:szCs w:val="24"/>
        </w:rPr>
        <w:t>abruptly end</w:t>
      </w:r>
      <w:r w:rsidR="00246C3C" w:rsidRPr="00D14F07">
        <w:rPr>
          <w:rFonts w:ascii="Arial" w:hAnsi="Arial" w:cs="Arial"/>
          <w:sz w:val="24"/>
          <w:szCs w:val="24"/>
        </w:rPr>
        <w:t>’</w:t>
      </w:r>
      <w:r w:rsidR="00B92D97" w:rsidRPr="00D14F07">
        <w:rPr>
          <w:rFonts w:ascii="Arial" w:hAnsi="Arial" w:cs="Arial"/>
          <w:sz w:val="24"/>
          <w:szCs w:val="24"/>
        </w:rPr>
        <w:t xml:space="preserve"> after the initial </w:t>
      </w:r>
      <w:r w:rsidR="00246C3C" w:rsidRPr="00D14F07">
        <w:rPr>
          <w:rFonts w:ascii="Arial" w:hAnsi="Arial" w:cs="Arial"/>
          <w:sz w:val="24"/>
          <w:szCs w:val="24"/>
        </w:rPr>
        <w:t xml:space="preserve">verification and </w:t>
      </w:r>
      <w:r w:rsidR="00C73C08" w:rsidRPr="00D14F07">
        <w:rPr>
          <w:rFonts w:ascii="Arial" w:hAnsi="Arial" w:cs="Arial"/>
          <w:sz w:val="24"/>
          <w:szCs w:val="24"/>
        </w:rPr>
        <w:t xml:space="preserve">a </w:t>
      </w:r>
      <w:r w:rsidR="00B92D97" w:rsidRPr="00D14F07">
        <w:rPr>
          <w:rFonts w:ascii="Arial" w:hAnsi="Arial" w:cs="Arial"/>
          <w:sz w:val="24"/>
          <w:szCs w:val="24"/>
        </w:rPr>
        <w:t xml:space="preserve">relationship is established. In this regard, the first respondent submits that </w:t>
      </w:r>
      <w:r w:rsidR="007C5EC9" w:rsidRPr="00D14F07">
        <w:rPr>
          <w:rFonts w:ascii="Arial" w:hAnsi="Arial" w:cs="Arial"/>
          <w:sz w:val="24"/>
          <w:szCs w:val="24"/>
        </w:rPr>
        <w:t xml:space="preserve">s </w:t>
      </w:r>
      <w:r w:rsidR="00B92D97" w:rsidRPr="00D14F07">
        <w:rPr>
          <w:rFonts w:ascii="Arial" w:hAnsi="Arial" w:cs="Arial"/>
          <w:sz w:val="24"/>
          <w:szCs w:val="24"/>
        </w:rPr>
        <w:t>21B of FICA imposes additional due diligence measures where an attorney is acting on behalf of a trust.</w:t>
      </w:r>
    </w:p>
    <w:p w:rsidR="00246C3C" w:rsidRPr="00D14F07" w:rsidRDefault="00246C3C" w:rsidP="00246C3C">
      <w:pPr>
        <w:pStyle w:val="ListParagraph"/>
        <w:spacing w:line="360" w:lineRule="auto"/>
        <w:ind w:left="0"/>
        <w:jc w:val="both"/>
        <w:rPr>
          <w:rFonts w:ascii="Arial" w:hAnsi="Arial" w:cs="Arial"/>
          <w:sz w:val="24"/>
          <w:szCs w:val="24"/>
          <w:shd w:val="clear" w:color="auto" w:fill="FFFFFF"/>
        </w:rPr>
      </w:pPr>
    </w:p>
    <w:p w:rsidR="002948F9" w:rsidRPr="00D14F07" w:rsidRDefault="000F482B" w:rsidP="00246C3C">
      <w:pPr>
        <w:pStyle w:val="ListParagraph"/>
        <w:numPr>
          <w:ilvl w:val="0"/>
          <w:numId w:val="1"/>
        </w:numPr>
        <w:spacing w:after="0" w:line="360" w:lineRule="auto"/>
        <w:ind w:left="0" w:firstLine="0"/>
        <w:jc w:val="both"/>
        <w:rPr>
          <w:rFonts w:ascii="Arial" w:hAnsi="Arial" w:cs="Arial"/>
          <w:sz w:val="24"/>
          <w:szCs w:val="24"/>
          <w:lang w:val="en-GB"/>
        </w:rPr>
      </w:pPr>
      <w:r w:rsidRPr="00D14F07">
        <w:rPr>
          <w:rFonts w:ascii="Arial" w:hAnsi="Arial" w:cs="Arial"/>
          <w:sz w:val="24"/>
          <w:szCs w:val="24"/>
          <w:lang w:val="en-GB"/>
        </w:rPr>
        <w:t>In terms of s 21(1)</w:t>
      </w:r>
      <w:r w:rsidRPr="00D14F07">
        <w:rPr>
          <w:rFonts w:ascii="Arial" w:hAnsi="Arial" w:cs="Arial"/>
          <w:b/>
          <w:sz w:val="24"/>
          <w:szCs w:val="24"/>
          <w:lang w:val="en-GB"/>
        </w:rPr>
        <w:t xml:space="preserve"> </w:t>
      </w:r>
      <w:r w:rsidRPr="00D14F07">
        <w:rPr>
          <w:rFonts w:ascii="Arial" w:hAnsi="Arial" w:cs="Arial"/>
          <w:sz w:val="24"/>
          <w:szCs w:val="24"/>
          <w:lang w:val="en-GB"/>
        </w:rPr>
        <w:t xml:space="preserve">of </w:t>
      </w:r>
      <w:r w:rsidR="006F6E18" w:rsidRPr="00D14F07">
        <w:rPr>
          <w:rFonts w:ascii="Arial" w:hAnsi="Arial" w:cs="Arial"/>
          <w:sz w:val="24"/>
          <w:szCs w:val="24"/>
          <w:lang w:val="en-GB"/>
        </w:rPr>
        <w:t>FICA</w:t>
      </w:r>
      <w:r w:rsidRPr="00D14F07">
        <w:rPr>
          <w:rFonts w:ascii="Arial" w:hAnsi="Arial" w:cs="Arial"/>
          <w:sz w:val="24"/>
          <w:szCs w:val="24"/>
          <w:lang w:val="en-GB"/>
        </w:rPr>
        <w:t xml:space="preserve">, an </w:t>
      </w:r>
      <w:r w:rsidR="00246C3C" w:rsidRPr="00D14F07">
        <w:rPr>
          <w:rFonts w:ascii="Arial" w:hAnsi="Arial" w:cs="Arial"/>
          <w:sz w:val="24"/>
          <w:szCs w:val="24"/>
          <w:lang w:val="en-GB"/>
        </w:rPr>
        <w:t>‘</w:t>
      </w:r>
      <w:r w:rsidRPr="00D14F07">
        <w:rPr>
          <w:rFonts w:ascii="Arial" w:hAnsi="Arial" w:cs="Arial"/>
          <w:sz w:val="24"/>
          <w:szCs w:val="24"/>
          <w:lang w:val="en-GB"/>
        </w:rPr>
        <w:t>accountable institution</w:t>
      </w:r>
      <w:r w:rsidR="00246C3C" w:rsidRPr="00D14F07">
        <w:rPr>
          <w:rFonts w:ascii="Arial" w:hAnsi="Arial" w:cs="Arial"/>
          <w:sz w:val="24"/>
          <w:szCs w:val="24"/>
          <w:lang w:val="en-GB"/>
        </w:rPr>
        <w:t>’</w:t>
      </w:r>
      <w:r w:rsidRPr="00D14F07">
        <w:rPr>
          <w:rFonts w:ascii="Arial" w:hAnsi="Arial" w:cs="Arial"/>
          <w:sz w:val="24"/>
          <w:szCs w:val="24"/>
          <w:lang w:val="en-GB"/>
        </w:rPr>
        <w:t xml:space="preserve"> must establish various facts about a </w:t>
      </w:r>
      <w:r w:rsidR="00246C3C" w:rsidRPr="00D14F07">
        <w:rPr>
          <w:rFonts w:ascii="Arial" w:hAnsi="Arial" w:cs="Arial"/>
          <w:sz w:val="24"/>
          <w:szCs w:val="24"/>
          <w:lang w:val="en-GB"/>
        </w:rPr>
        <w:t>‘</w:t>
      </w:r>
      <w:r w:rsidRPr="00D14F07">
        <w:rPr>
          <w:rFonts w:ascii="Arial" w:hAnsi="Arial" w:cs="Arial"/>
          <w:sz w:val="24"/>
          <w:szCs w:val="24"/>
          <w:lang w:val="en-GB"/>
        </w:rPr>
        <w:t>prospective client</w:t>
      </w:r>
      <w:r w:rsidR="00246C3C" w:rsidRPr="00D14F07">
        <w:rPr>
          <w:rFonts w:ascii="Arial" w:hAnsi="Arial" w:cs="Arial"/>
          <w:sz w:val="24"/>
          <w:szCs w:val="24"/>
          <w:lang w:val="en-GB"/>
        </w:rPr>
        <w:t>’</w:t>
      </w:r>
      <w:r w:rsidRPr="00D14F07">
        <w:rPr>
          <w:rFonts w:ascii="Arial" w:hAnsi="Arial" w:cs="Arial"/>
          <w:sz w:val="24"/>
          <w:szCs w:val="24"/>
          <w:lang w:val="en-GB"/>
        </w:rPr>
        <w:t>. This must be done ‘</w:t>
      </w:r>
      <w:r w:rsidRPr="00D14F07">
        <w:rPr>
          <w:rFonts w:ascii="Arial" w:hAnsi="Arial" w:cs="Arial"/>
          <w:i/>
          <w:sz w:val="24"/>
          <w:szCs w:val="24"/>
          <w:lang w:val="en-GB"/>
        </w:rPr>
        <w:t>in the course of concluding</w:t>
      </w:r>
      <w:r w:rsidRPr="00D14F07">
        <w:rPr>
          <w:rFonts w:ascii="Arial" w:hAnsi="Arial" w:cs="Arial"/>
          <w:sz w:val="24"/>
          <w:szCs w:val="24"/>
          <w:lang w:val="en-GB"/>
        </w:rPr>
        <w:t>’ a transaction or establishing a business relationship</w:t>
      </w:r>
      <w:r w:rsidR="002948F9" w:rsidRPr="00D14F07">
        <w:rPr>
          <w:rFonts w:ascii="Arial" w:hAnsi="Arial" w:cs="Arial"/>
          <w:sz w:val="24"/>
          <w:szCs w:val="24"/>
          <w:lang w:val="en-GB"/>
        </w:rPr>
        <w:t xml:space="preserve">.  This is evident from the language employed in the section </w:t>
      </w:r>
      <w:r w:rsidR="00246C3C" w:rsidRPr="00D14F07">
        <w:rPr>
          <w:rFonts w:ascii="Arial" w:hAnsi="Arial" w:cs="Arial"/>
          <w:sz w:val="24"/>
          <w:szCs w:val="24"/>
          <w:lang w:val="en-GB"/>
        </w:rPr>
        <w:t xml:space="preserve">wherein </w:t>
      </w:r>
      <w:r w:rsidR="002948F9" w:rsidRPr="00D14F07">
        <w:rPr>
          <w:rFonts w:ascii="Arial" w:hAnsi="Arial" w:cs="Arial"/>
          <w:sz w:val="24"/>
          <w:szCs w:val="24"/>
          <w:lang w:val="en-GB"/>
        </w:rPr>
        <w:t>refer</w:t>
      </w:r>
      <w:r w:rsidR="00246C3C" w:rsidRPr="00D14F07">
        <w:rPr>
          <w:rFonts w:ascii="Arial" w:hAnsi="Arial" w:cs="Arial"/>
          <w:sz w:val="24"/>
          <w:szCs w:val="24"/>
          <w:lang w:val="en-GB"/>
        </w:rPr>
        <w:t xml:space="preserve">ence </w:t>
      </w:r>
      <w:r w:rsidR="00C73C08" w:rsidRPr="00D14F07">
        <w:rPr>
          <w:rFonts w:ascii="Arial" w:hAnsi="Arial" w:cs="Arial"/>
          <w:sz w:val="24"/>
          <w:szCs w:val="24"/>
          <w:lang w:val="en-GB"/>
        </w:rPr>
        <w:t xml:space="preserve">is made </w:t>
      </w:r>
      <w:r w:rsidR="002948F9" w:rsidRPr="00D14F07">
        <w:rPr>
          <w:rFonts w:ascii="Arial" w:hAnsi="Arial" w:cs="Arial"/>
          <w:sz w:val="24"/>
          <w:szCs w:val="24"/>
          <w:lang w:val="en-GB"/>
        </w:rPr>
        <w:t>to a ‘prospective client</w:t>
      </w:r>
      <w:r w:rsidR="0011074F" w:rsidRPr="00D14F07">
        <w:rPr>
          <w:rFonts w:ascii="Arial" w:hAnsi="Arial" w:cs="Arial"/>
          <w:sz w:val="24"/>
          <w:szCs w:val="24"/>
          <w:lang w:val="en-GB"/>
        </w:rPr>
        <w:t>’</w:t>
      </w:r>
      <w:r w:rsidR="00C73C08" w:rsidRPr="00D14F07">
        <w:rPr>
          <w:rFonts w:ascii="Arial" w:hAnsi="Arial" w:cs="Arial"/>
          <w:sz w:val="24"/>
          <w:szCs w:val="24"/>
          <w:lang w:val="en-GB"/>
        </w:rPr>
        <w:t xml:space="preserve"> – providing </w:t>
      </w:r>
      <w:r w:rsidR="002948F9" w:rsidRPr="00D14F07">
        <w:rPr>
          <w:rFonts w:ascii="Arial" w:hAnsi="Arial" w:cs="Arial"/>
          <w:sz w:val="24"/>
          <w:szCs w:val="24"/>
          <w:lang w:val="en-GB"/>
        </w:rPr>
        <w:t xml:space="preserve">the strongest indication that the identity of the client must be verified </w:t>
      </w:r>
      <w:r w:rsidR="002948F9" w:rsidRPr="00D14F07">
        <w:rPr>
          <w:rFonts w:ascii="Arial" w:hAnsi="Arial" w:cs="Arial"/>
          <w:i/>
          <w:sz w:val="24"/>
          <w:szCs w:val="24"/>
          <w:lang w:val="en-GB"/>
        </w:rPr>
        <w:t>before</w:t>
      </w:r>
      <w:r w:rsidR="002948F9" w:rsidRPr="00D14F07">
        <w:rPr>
          <w:rFonts w:ascii="Arial" w:hAnsi="Arial" w:cs="Arial"/>
          <w:sz w:val="24"/>
          <w:szCs w:val="24"/>
          <w:lang w:val="en-GB"/>
        </w:rPr>
        <w:t xml:space="preserve"> a mandate is concluded</w:t>
      </w:r>
      <w:r w:rsidR="00246C3C" w:rsidRPr="00D14F07">
        <w:rPr>
          <w:rFonts w:ascii="Arial" w:hAnsi="Arial" w:cs="Arial"/>
          <w:sz w:val="24"/>
          <w:szCs w:val="24"/>
          <w:lang w:val="en-GB"/>
        </w:rPr>
        <w:t xml:space="preserve">.  The section reads </w:t>
      </w:r>
      <w:r w:rsidR="002948F9" w:rsidRPr="00D14F07">
        <w:rPr>
          <w:rFonts w:ascii="Arial" w:hAnsi="Arial" w:cs="Arial"/>
          <w:sz w:val="24"/>
          <w:szCs w:val="24"/>
          <w:lang w:val="en-GB"/>
        </w:rPr>
        <w:t>as follows :</w:t>
      </w:r>
    </w:p>
    <w:p w:rsidR="002948F9" w:rsidRPr="00D14F07" w:rsidRDefault="00B17674" w:rsidP="00C10B67">
      <w:pPr>
        <w:pStyle w:val="lg-section"/>
        <w:shd w:val="clear" w:color="auto" w:fill="FFFFFF"/>
        <w:spacing w:before="0" w:beforeAutospacing="0" w:after="0" w:afterAutospacing="0" w:line="360" w:lineRule="auto"/>
        <w:jc w:val="both"/>
        <w:rPr>
          <w:rFonts w:ascii="Arial" w:hAnsi="Arial" w:cs="Arial"/>
          <w:sz w:val="22"/>
          <w:szCs w:val="22"/>
        </w:rPr>
      </w:pPr>
      <w:r w:rsidRPr="00C10B67">
        <w:rPr>
          <w:rFonts w:ascii="Arial" w:hAnsi="Arial" w:cs="Arial"/>
          <w:bCs/>
          <w:sz w:val="22"/>
          <w:szCs w:val="22"/>
        </w:rPr>
        <w:t>‘</w:t>
      </w:r>
      <w:r w:rsidR="002948F9" w:rsidRPr="00C10B67">
        <w:rPr>
          <w:rFonts w:ascii="Arial" w:hAnsi="Arial" w:cs="Arial"/>
          <w:bCs/>
          <w:sz w:val="22"/>
          <w:szCs w:val="22"/>
        </w:rPr>
        <w:t>21.   Identification of clients and other persons.</w:t>
      </w:r>
      <w:r w:rsidR="002948F9" w:rsidRPr="00C10B67">
        <w:rPr>
          <w:rFonts w:ascii="Arial" w:hAnsi="Arial" w:cs="Arial"/>
          <w:sz w:val="22"/>
          <w:szCs w:val="22"/>
        </w:rPr>
        <w:t>—</w:t>
      </w:r>
      <w:r w:rsidR="002948F9" w:rsidRPr="00D14F07">
        <w:rPr>
          <w:rFonts w:ascii="Arial" w:hAnsi="Arial" w:cs="Arial"/>
          <w:sz w:val="22"/>
          <w:szCs w:val="22"/>
        </w:rPr>
        <w:t xml:space="preserve">(1)  When an accountable institution engages with a </w:t>
      </w:r>
      <w:r w:rsidR="002948F9" w:rsidRPr="00D14F07">
        <w:rPr>
          <w:rFonts w:ascii="Arial" w:hAnsi="Arial" w:cs="Arial"/>
          <w:i/>
          <w:sz w:val="22"/>
          <w:szCs w:val="22"/>
        </w:rPr>
        <w:t>prospective client</w:t>
      </w:r>
      <w:r w:rsidR="002948F9" w:rsidRPr="00D14F07">
        <w:rPr>
          <w:rFonts w:ascii="Arial" w:hAnsi="Arial" w:cs="Arial"/>
          <w:sz w:val="22"/>
          <w:szCs w:val="22"/>
        </w:rPr>
        <w:t xml:space="preserve"> to enter into a single transaction or to establish a business relationship, the institution must, in the course of concluding that single transaction or establishing that business relationship and in accordance with its Risk Management and Compliance Programme—</w:t>
      </w:r>
    </w:p>
    <w:p w:rsidR="002948F9" w:rsidRPr="00D14F07" w:rsidRDefault="002948F9" w:rsidP="00C10B67">
      <w:pPr>
        <w:pStyle w:val="lg-a-1"/>
        <w:shd w:val="clear" w:color="auto" w:fill="FFFFFF"/>
        <w:spacing w:before="0" w:beforeAutospacing="0" w:after="0" w:afterAutospacing="0" w:line="360" w:lineRule="auto"/>
        <w:jc w:val="both"/>
        <w:rPr>
          <w:rFonts w:ascii="Arial" w:hAnsi="Arial" w:cs="Arial"/>
          <w:sz w:val="22"/>
          <w:szCs w:val="22"/>
        </w:rPr>
      </w:pPr>
      <w:r w:rsidRPr="00D14F07">
        <w:rPr>
          <w:rFonts w:ascii="Arial" w:hAnsi="Arial" w:cs="Arial"/>
          <w:sz w:val="22"/>
          <w:szCs w:val="22"/>
        </w:rPr>
        <w:t>(</w:t>
      </w:r>
      <w:r w:rsidRPr="00D14F07">
        <w:rPr>
          <w:rFonts w:ascii="Arial" w:hAnsi="Arial" w:cs="Arial"/>
          <w:i/>
          <w:iCs/>
          <w:sz w:val="22"/>
          <w:szCs w:val="22"/>
        </w:rPr>
        <w:t>a</w:t>
      </w:r>
      <w:r w:rsidRPr="00D14F07">
        <w:rPr>
          <w:rFonts w:ascii="Arial" w:hAnsi="Arial" w:cs="Arial"/>
          <w:sz w:val="22"/>
          <w:szCs w:val="22"/>
        </w:rPr>
        <w:t>)</w:t>
      </w:r>
      <w:r w:rsidR="00B17674" w:rsidRPr="00D14F07">
        <w:rPr>
          <w:rFonts w:ascii="Arial" w:hAnsi="Arial" w:cs="Arial"/>
          <w:sz w:val="22"/>
          <w:szCs w:val="22"/>
        </w:rPr>
        <w:tab/>
      </w:r>
      <w:r w:rsidRPr="00D14F07">
        <w:rPr>
          <w:rFonts w:ascii="Arial" w:hAnsi="Arial" w:cs="Arial"/>
          <w:sz w:val="22"/>
          <w:szCs w:val="22"/>
        </w:rPr>
        <w:t>establish and verify the identity of the client;</w:t>
      </w:r>
    </w:p>
    <w:p w:rsidR="002948F9" w:rsidRPr="00D14F07" w:rsidRDefault="002948F9" w:rsidP="00C10B67">
      <w:pPr>
        <w:pStyle w:val="lg-a-1"/>
        <w:shd w:val="clear" w:color="auto" w:fill="FFFFFF"/>
        <w:spacing w:before="0" w:beforeAutospacing="0" w:after="0" w:afterAutospacing="0" w:line="360" w:lineRule="auto"/>
        <w:jc w:val="both"/>
        <w:rPr>
          <w:rFonts w:ascii="Arial" w:hAnsi="Arial" w:cs="Arial"/>
          <w:sz w:val="22"/>
          <w:szCs w:val="22"/>
        </w:rPr>
      </w:pPr>
      <w:r w:rsidRPr="00D14F07">
        <w:rPr>
          <w:rFonts w:ascii="Arial" w:hAnsi="Arial" w:cs="Arial"/>
          <w:sz w:val="22"/>
          <w:szCs w:val="22"/>
        </w:rPr>
        <w:t>(</w:t>
      </w:r>
      <w:r w:rsidRPr="00D14F07">
        <w:rPr>
          <w:rFonts w:ascii="Arial" w:hAnsi="Arial" w:cs="Arial"/>
          <w:i/>
          <w:iCs/>
          <w:sz w:val="22"/>
          <w:szCs w:val="22"/>
        </w:rPr>
        <w:t>b</w:t>
      </w:r>
      <w:r w:rsidRPr="00D14F07">
        <w:rPr>
          <w:rFonts w:ascii="Arial" w:hAnsi="Arial" w:cs="Arial"/>
          <w:sz w:val="22"/>
          <w:szCs w:val="22"/>
        </w:rPr>
        <w:t xml:space="preserve">) </w:t>
      </w:r>
      <w:r w:rsidR="00B17674" w:rsidRPr="00D14F07">
        <w:rPr>
          <w:rFonts w:ascii="Arial" w:hAnsi="Arial" w:cs="Arial"/>
          <w:sz w:val="22"/>
          <w:szCs w:val="22"/>
        </w:rPr>
        <w:tab/>
      </w:r>
      <w:r w:rsidRPr="00D14F07">
        <w:rPr>
          <w:rFonts w:ascii="Arial" w:hAnsi="Arial" w:cs="Arial"/>
          <w:sz w:val="22"/>
          <w:szCs w:val="22"/>
        </w:rPr>
        <w:t>if the client is acting on behalf of another person, establish and verify—</w:t>
      </w:r>
    </w:p>
    <w:p w:rsidR="002948F9" w:rsidRPr="00D14F07" w:rsidRDefault="002948F9" w:rsidP="00C10B67">
      <w:pPr>
        <w:pStyle w:val="lg-i-a-1"/>
        <w:shd w:val="clear" w:color="auto" w:fill="FFFFFF"/>
        <w:spacing w:before="0" w:beforeAutospacing="0" w:after="0" w:afterAutospacing="0" w:line="360" w:lineRule="auto"/>
        <w:jc w:val="both"/>
        <w:rPr>
          <w:rFonts w:ascii="Arial" w:hAnsi="Arial" w:cs="Arial"/>
          <w:sz w:val="22"/>
          <w:szCs w:val="22"/>
        </w:rPr>
      </w:pPr>
      <w:r w:rsidRPr="00D14F07">
        <w:rPr>
          <w:rFonts w:ascii="Arial" w:hAnsi="Arial" w:cs="Arial"/>
          <w:sz w:val="22"/>
          <w:szCs w:val="22"/>
        </w:rPr>
        <w:t xml:space="preserve">(i) </w:t>
      </w:r>
      <w:r w:rsidR="00B17674" w:rsidRPr="00D14F07">
        <w:rPr>
          <w:rFonts w:ascii="Arial" w:hAnsi="Arial" w:cs="Arial"/>
          <w:sz w:val="22"/>
          <w:szCs w:val="22"/>
        </w:rPr>
        <w:tab/>
      </w:r>
      <w:r w:rsidRPr="00D14F07">
        <w:rPr>
          <w:rFonts w:ascii="Arial" w:hAnsi="Arial" w:cs="Arial"/>
          <w:sz w:val="22"/>
          <w:szCs w:val="22"/>
        </w:rPr>
        <w:t>the identity of that other person; and</w:t>
      </w:r>
    </w:p>
    <w:p w:rsidR="002948F9" w:rsidRPr="00D14F07" w:rsidRDefault="002948F9" w:rsidP="00C10B67">
      <w:pPr>
        <w:pStyle w:val="lg-i-a-1"/>
        <w:shd w:val="clear" w:color="auto" w:fill="FFFFFF"/>
        <w:spacing w:before="0" w:beforeAutospacing="0" w:after="0" w:afterAutospacing="0" w:line="360" w:lineRule="auto"/>
        <w:jc w:val="both"/>
        <w:rPr>
          <w:rFonts w:ascii="Arial" w:hAnsi="Arial" w:cs="Arial"/>
          <w:sz w:val="22"/>
          <w:szCs w:val="22"/>
        </w:rPr>
      </w:pPr>
      <w:r w:rsidRPr="00D14F07">
        <w:rPr>
          <w:rFonts w:ascii="Arial" w:hAnsi="Arial" w:cs="Arial"/>
          <w:sz w:val="22"/>
          <w:szCs w:val="22"/>
        </w:rPr>
        <w:t xml:space="preserve">(ii) </w:t>
      </w:r>
      <w:r w:rsidR="00B17674" w:rsidRPr="00D14F07">
        <w:rPr>
          <w:rFonts w:ascii="Arial" w:hAnsi="Arial" w:cs="Arial"/>
          <w:sz w:val="22"/>
          <w:szCs w:val="22"/>
        </w:rPr>
        <w:tab/>
      </w:r>
      <w:r w:rsidRPr="00D14F07">
        <w:rPr>
          <w:rFonts w:ascii="Arial" w:hAnsi="Arial" w:cs="Arial"/>
          <w:sz w:val="22"/>
          <w:szCs w:val="22"/>
        </w:rPr>
        <w:t>the client’s authority to establish the business relationship or to conclude the single transaction on behalf of that other person; and</w:t>
      </w:r>
    </w:p>
    <w:p w:rsidR="002948F9" w:rsidRPr="00D14F07" w:rsidRDefault="002948F9" w:rsidP="00C10B67">
      <w:pPr>
        <w:pStyle w:val="lg-a-1"/>
        <w:shd w:val="clear" w:color="auto" w:fill="FFFFFF"/>
        <w:spacing w:before="0" w:beforeAutospacing="0" w:after="0" w:afterAutospacing="0" w:line="360" w:lineRule="auto"/>
        <w:jc w:val="both"/>
        <w:rPr>
          <w:rFonts w:ascii="Arial" w:hAnsi="Arial" w:cs="Arial"/>
          <w:sz w:val="22"/>
          <w:szCs w:val="22"/>
        </w:rPr>
      </w:pPr>
      <w:r w:rsidRPr="00D14F07">
        <w:rPr>
          <w:rFonts w:ascii="Arial" w:hAnsi="Arial" w:cs="Arial"/>
          <w:sz w:val="22"/>
          <w:szCs w:val="22"/>
        </w:rPr>
        <w:t>(</w:t>
      </w:r>
      <w:r w:rsidRPr="00D14F07">
        <w:rPr>
          <w:rFonts w:ascii="Arial" w:hAnsi="Arial" w:cs="Arial"/>
          <w:i/>
          <w:iCs/>
          <w:sz w:val="22"/>
          <w:szCs w:val="22"/>
        </w:rPr>
        <w:t>c</w:t>
      </w:r>
      <w:r w:rsidRPr="00D14F07">
        <w:rPr>
          <w:rFonts w:ascii="Arial" w:hAnsi="Arial" w:cs="Arial"/>
          <w:sz w:val="22"/>
          <w:szCs w:val="22"/>
        </w:rPr>
        <w:t xml:space="preserve">) </w:t>
      </w:r>
      <w:r w:rsidR="00B17674" w:rsidRPr="00D14F07">
        <w:rPr>
          <w:rFonts w:ascii="Arial" w:hAnsi="Arial" w:cs="Arial"/>
          <w:sz w:val="22"/>
          <w:szCs w:val="22"/>
        </w:rPr>
        <w:tab/>
      </w:r>
      <w:r w:rsidRPr="00D14F07">
        <w:rPr>
          <w:rFonts w:ascii="Arial" w:hAnsi="Arial" w:cs="Arial"/>
          <w:sz w:val="22"/>
          <w:szCs w:val="22"/>
        </w:rPr>
        <w:t>if another person is acting on behalf of the client, establish and verify—</w:t>
      </w:r>
    </w:p>
    <w:p w:rsidR="002948F9" w:rsidRPr="00D14F07" w:rsidRDefault="002948F9" w:rsidP="00D14F07">
      <w:pPr>
        <w:pStyle w:val="lg-i-a-1"/>
        <w:shd w:val="clear" w:color="auto" w:fill="FFFFFF"/>
        <w:spacing w:before="0" w:beforeAutospacing="0" w:after="0" w:afterAutospacing="0" w:line="360" w:lineRule="auto"/>
        <w:jc w:val="both"/>
        <w:rPr>
          <w:rFonts w:ascii="Arial" w:hAnsi="Arial" w:cs="Arial"/>
          <w:sz w:val="22"/>
          <w:szCs w:val="22"/>
        </w:rPr>
      </w:pPr>
      <w:r w:rsidRPr="00D14F07">
        <w:rPr>
          <w:rFonts w:ascii="Arial" w:hAnsi="Arial" w:cs="Arial"/>
          <w:sz w:val="22"/>
          <w:szCs w:val="22"/>
        </w:rPr>
        <w:t xml:space="preserve">(i) </w:t>
      </w:r>
      <w:r w:rsidR="00B17674" w:rsidRPr="00D14F07">
        <w:rPr>
          <w:rFonts w:ascii="Arial" w:hAnsi="Arial" w:cs="Arial"/>
          <w:sz w:val="22"/>
          <w:szCs w:val="22"/>
        </w:rPr>
        <w:tab/>
      </w:r>
      <w:r w:rsidRPr="00D14F07">
        <w:rPr>
          <w:rFonts w:ascii="Arial" w:hAnsi="Arial" w:cs="Arial"/>
          <w:sz w:val="22"/>
          <w:szCs w:val="22"/>
        </w:rPr>
        <w:t>the identity of that other person; and</w:t>
      </w:r>
    </w:p>
    <w:p w:rsidR="002948F9" w:rsidRPr="00D14F07" w:rsidRDefault="002948F9" w:rsidP="00D14F07">
      <w:pPr>
        <w:pStyle w:val="lg-i-a-1"/>
        <w:shd w:val="clear" w:color="auto" w:fill="FFFFFF"/>
        <w:spacing w:before="0" w:beforeAutospacing="0" w:after="0" w:afterAutospacing="0" w:line="360" w:lineRule="auto"/>
        <w:jc w:val="both"/>
        <w:rPr>
          <w:rFonts w:ascii="Arial" w:hAnsi="Arial" w:cs="Arial"/>
          <w:sz w:val="22"/>
          <w:szCs w:val="22"/>
          <w:lang w:val="en-GB"/>
        </w:rPr>
      </w:pPr>
      <w:r w:rsidRPr="00D14F07">
        <w:rPr>
          <w:rFonts w:ascii="Arial" w:hAnsi="Arial" w:cs="Arial"/>
          <w:sz w:val="22"/>
          <w:szCs w:val="22"/>
        </w:rPr>
        <w:t xml:space="preserve">(ii) </w:t>
      </w:r>
      <w:r w:rsidR="00B17674" w:rsidRPr="00D14F07">
        <w:rPr>
          <w:rFonts w:ascii="Arial" w:hAnsi="Arial" w:cs="Arial"/>
          <w:sz w:val="22"/>
          <w:szCs w:val="22"/>
        </w:rPr>
        <w:tab/>
      </w:r>
      <w:r w:rsidRPr="00D14F07">
        <w:rPr>
          <w:rFonts w:ascii="Arial" w:hAnsi="Arial" w:cs="Arial"/>
          <w:sz w:val="22"/>
          <w:szCs w:val="22"/>
        </w:rPr>
        <w:t>that other person’s authority to act on behalf of the client.</w:t>
      </w:r>
      <w:r w:rsidR="00B17674" w:rsidRPr="00D14F07">
        <w:rPr>
          <w:rFonts w:ascii="Arial" w:hAnsi="Arial" w:cs="Arial"/>
          <w:sz w:val="22"/>
          <w:szCs w:val="22"/>
        </w:rPr>
        <w:t>’</w:t>
      </w:r>
      <w:r w:rsidR="007C5EC9" w:rsidRPr="00D14F07">
        <w:rPr>
          <w:rFonts w:ascii="Arial" w:hAnsi="Arial" w:cs="Arial"/>
          <w:sz w:val="22"/>
          <w:szCs w:val="22"/>
        </w:rPr>
        <w:t xml:space="preserve"> </w:t>
      </w:r>
      <w:r w:rsidR="00C73C08" w:rsidRPr="00D14F07">
        <w:rPr>
          <w:rFonts w:ascii="Arial" w:hAnsi="Arial" w:cs="Arial"/>
          <w:sz w:val="22"/>
          <w:szCs w:val="22"/>
          <w:lang w:val="en-GB"/>
        </w:rPr>
        <w:t>(emphasis</w:t>
      </w:r>
      <w:r w:rsidR="00B17674" w:rsidRPr="00D14F07">
        <w:rPr>
          <w:rFonts w:ascii="Arial" w:hAnsi="Arial" w:cs="Arial"/>
          <w:sz w:val="22"/>
          <w:szCs w:val="22"/>
          <w:lang w:val="en-GB"/>
        </w:rPr>
        <w:t xml:space="preserve"> added</w:t>
      </w:r>
      <w:r w:rsidR="00C73C08" w:rsidRPr="00D14F07">
        <w:rPr>
          <w:rFonts w:ascii="Arial" w:hAnsi="Arial" w:cs="Arial"/>
          <w:sz w:val="22"/>
          <w:szCs w:val="22"/>
          <w:lang w:val="en-GB"/>
        </w:rPr>
        <w:t>)</w:t>
      </w:r>
    </w:p>
    <w:p w:rsidR="007C5EC9" w:rsidRPr="00D14F07" w:rsidRDefault="007C5EC9" w:rsidP="00D14F07">
      <w:pPr>
        <w:pStyle w:val="lg-i-a-1"/>
        <w:shd w:val="clear" w:color="auto" w:fill="FFFFFF"/>
        <w:spacing w:before="0" w:beforeAutospacing="0" w:after="0" w:afterAutospacing="0" w:line="360" w:lineRule="auto"/>
        <w:jc w:val="both"/>
        <w:rPr>
          <w:rFonts w:ascii="Arial" w:hAnsi="Arial" w:cs="Arial"/>
          <w:sz w:val="22"/>
          <w:szCs w:val="22"/>
          <w:lang w:val="en-GB"/>
        </w:rPr>
      </w:pPr>
    </w:p>
    <w:p w:rsidR="00C93403" w:rsidRPr="00D14F07" w:rsidRDefault="00246C3C" w:rsidP="00C93403">
      <w:pPr>
        <w:pStyle w:val="ListParagraph"/>
        <w:numPr>
          <w:ilvl w:val="0"/>
          <w:numId w:val="1"/>
        </w:numPr>
        <w:spacing w:after="0" w:line="360" w:lineRule="auto"/>
        <w:ind w:left="0" w:firstLine="0"/>
        <w:jc w:val="both"/>
        <w:rPr>
          <w:rFonts w:ascii="Arial" w:hAnsi="Arial" w:cs="Arial"/>
          <w:sz w:val="24"/>
          <w:szCs w:val="24"/>
          <w:lang w:val="en-GB"/>
        </w:rPr>
      </w:pPr>
      <w:r w:rsidRPr="00D14F07">
        <w:rPr>
          <w:rFonts w:ascii="Arial" w:hAnsi="Arial" w:cs="Arial"/>
          <w:sz w:val="24"/>
          <w:szCs w:val="24"/>
          <w:lang w:val="en-GB"/>
        </w:rPr>
        <w:t>To the extent that t</w:t>
      </w:r>
      <w:r w:rsidR="00C776F7" w:rsidRPr="00D14F07">
        <w:rPr>
          <w:rFonts w:ascii="Arial" w:hAnsi="Arial" w:cs="Arial"/>
          <w:sz w:val="24"/>
          <w:szCs w:val="24"/>
          <w:lang w:val="en-GB"/>
        </w:rPr>
        <w:t>he first respondent relies on s</w:t>
      </w:r>
      <w:r w:rsidR="00B17674" w:rsidRPr="00D14F07">
        <w:rPr>
          <w:rFonts w:ascii="Arial" w:hAnsi="Arial" w:cs="Arial"/>
          <w:sz w:val="24"/>
          <w:szCs w:val="24"/>
          <w:lang w:val="en-GB"/>
        </w:rPr>
        <w:t xml:space="preserve"> </w:t>
      </w:r>
      <w:r w:rsidRPr="00D14F07">
        <w:rPr>
          <w:rFonts w:ascii="Arial" w:hAnsi="Arial" w:cs="Arial"/>
          <w:sz w:val="24"/>
          <w:szCs w:val="24"/>
          <w:lang w:val="en-GB"/>
        </w:rPr>
        <w:t>21B</w:t>
      </w:r>
      <w:r w:rsidR="00C93403" w:rsidRPr="00D14F07">
        <w:rPr>
          <w:rFonts w:ascii="Arial" w:hAnsi="Arial" w:cs="Arial"/>
          <w:sz w:val="24"/>
          <w:szCs w:val="24"/>
          <w:lang w:val="en-GB"/>
        </w:rPr>
        <w:t xml:space="preserve"> as giving rise to some on-</w:t>
      </w:r>
      <w:r w:rsidR="007A45FE" w:rsidRPr="00D14F07">
        <w:rPr>
          <w:rFonts w:ascii="Arial" w:hAnsi="Arial" w:cs="Arial"/>
          <w:sz w:val="24"/>
          <w:szCs w:val="24"/>
          <w:lang w:val="en-GB"/>
        </w:rPr>
        <w:t xml:space="preserve">going </w:t>
      </w:r>
      <w:r w:rsidRPr="00D14F07">
        <w:rPr>
          <w:rFonts w:ascii="Arial" w:hAnsi="Arial" w:cs="Arial"/>
          <w:sz w:val="24"/>
          <w:szCs w:val="24"/>
          <w:lang w:val="en-GB"/>
        </w:rPr>
        <w:t xml:space="preserve">due diligence </w:t>
      </w:r>
      <w:r w:rsidR="007A45FE" w:rsidRPr="00D14F07">
        <w:rPr>
          <w:rFonts w:ascii="Arial" w:hAnsi="Arial" w:cs="Arial"/>
          <w:sz w:val="24"/>
          <w:szCs w:val="24"/>
          <w:lang w:val="en-GB"/>
        </w:rPr>
        <w:t xml:space="preserve">obligation </w:t>
      </w:r>
      <w:r w:rsidRPr="00D14F07">
        <w:rPr>
          <w:rFonts w:ascii="Arial" w:hAnsi="Arial" w:cs="Arial"/>
          <w:sz w:val="24"/>
          <w:szCs w:val="24"/>
          <w:lang w:val="en-GB"/>
        </w:rPr>
        <w:t>or monitoring standard</w:t>
      </w:r>
      <w:r w:rsidR="00B17674" w:rsidRPr="00D14F07">
        <w:rPr>
          <w:rFonts w:ascii="Arial" w:hAnsi="Arial" w:cs="Arial"/>
          <w:sz w:val="24"/>
          <w:szCs w:val="24"/>
          <w:lang w:val="en-GB"/>
        </w:rPr>
        <w:t>,</w:t>
      </w:r>
      <w:r w:rsidR="00BF57CD" w:rsidRPr="00D14F07">
        <w:rPr>
          <w:rStyle w:val="FootnoteReference"/>
          <w:rFonts w:ascii="Arial" w:hAnsi="Arial" w:cs="Arial"/>
          <w:sz w:val="24"/>
          <w:szCs w:val="24"/>
          <w:lang w:val="en-GB"/>
        </w:rPr>
        <w:footnoteReference w:id="2"/>
      </w:r>
      <w:r w:rsidRPr="00D14F07">
        <w:rPr>
          <w:rFonts w:ascii="Arial" w:hAnsi="Arial" w:cs="Arial"/>
          <w:sz w:val="24"/>
          <w:szCs w:val="24"/>
          <w:lang w:val="en-GB"/>
        </w:rPr>
        <w:t xml:space="preserve"> it is necessary to have regard </w:t>
      </w:r>
      <w:r w:rsidRPr="00D14F07">
        <w:rPr>
          <w:rFonts w:ascii="Arial" w:hAnsi="Arial" w:cs="Arial"/>
          <w:sz w:val="24"/>
          <w:szCs w:val="24"/>
          <w:lang w:val="en-GB"/>
        </w:rPr>
        <w:lastRenderedPageBreak/>
        <w:t xml:space="preserve">to the wording of the section </w:t>
      </w:r>
      <w:r w:rsidR="00BF57CD" w:rsidRPr="00D14F07">
        <w:rPr>
          <w:rFonts w:ascii="Arial" w:hAnsi="Arial" w:cs="Arial"/>
          <w:sz w:val="24"/>
          <w:szCs w:val="24"/>
          <w:lang w:val="en-GB"/>
        </w:rPr>
        <w:t>to ascertain whether the first respondent’s conduct in refusing to release the proceeds of the sale are consistent with its obligations in the statute.  The high</w:t>
      </w:r>
      <w:r w:rsidR="00B51C23" w:rsidRPr="00D14F07">
        <w:rPr>
          <w:rFonts w:ascii="Arial" w:hAnsi="Arial" w:cs="Arial"/>
          <w:sz w:val="24"/>
          <w:szCs w:val="24"/>
          <w:lang w:val="en-GB"/>
        </w:rPr>
        <w:t xml:space="preserve"> </w:t>
      </w:r>
      <w:r w:rsidR="00BF57CD" w:rsidRPr="00D14F07">
        <w:rPr>
          <w:rFonts w:ascii="Arial" w:hAnsi="Arial" w:cs="Arial"/>
          <w:sz w:val="24"/>
          <w:szCs w:val="24"/>
          <w:lang w:val="en-GB"/>
        </w:rPr>
        <w:t>watermark of the first respondent’s obligations in terms of s</w:t>
      </w:r>
      <w:r w:rsidR="00BC79D0" w:rsidRPr="00D14F07">
        <w:rPr>
          <w:rFonts w:ascii="Arial" w:hAnsi="Arial" w:cs="Arial"/>
          <w:sz w:val="24"/>
          <w:szCs w:val="24"/>
          <w:lang w:val="en-GB"/>
        </w:rPr>
        <w:t xml:space="preserve"> </w:t>
      </w:r>
      <w:r w:rsidR="00BF57CD" w:rsidRPr="00D14F07">
        <w:rPr>
          <w:rFonts w:ascii="Arial" w:hAnsi="Arial" w:cs="Arial"/>
          <w:sz w:val="24"/>
          <w:szCs w:val="24"/>
          <w:lang w:val="en-GB"/>
        </w:rPr>
        <w:t>21B, it seems to me, extend no further than establishing the nature of the client’s business (s</w:t>
      </w:r>
      <w:r w:rsidR="00185BEB" w:rsidRPr="00D14F07">
        <w:rPr>
          <w:rFonts w:ascii="Arial" w:hAnsi="Arial" w:cs="Arial"/>
          <w:sz w:val="24"/>
          <w:szCs w:val="24"/>
          <w:lang w:val="en-GB"/>
        </w:rPr>
        <w:t> </w:t>
      </w:r>
      <w:r w:rsidR="00BF57CD" w:rsidRPr="00D14F07">
        <w:rPr>
          <w:rFonts w:ascii="Arial" w:hAnsi="Arial" w:cs="Arial"/>
          <w:sz w:val="24"/>
          <w:szCs w:val="24"/>
          <w:lang w:val="en-GB"/>
        </w:rPr>
        <w:t>21B(1)(</w:t>
      </w:r>
      <w:r w:rsidR="00BF57CD" w:rsidRPr="00C10B67">
        <w:rPr>
          <w:rFonts w:ascii="Arial" w:hAnsi="Arial" w:cs="Arial"/>
          <w:i/>
          <w:sz w:val="24"/>
          <w:szCs w:val="24"/>
          <w:lang w:val="en-GB"/>
        </w:rPr>
        <w:t>a</w:t>
      </w:r>
      <w:r w:rsidR="00BF57CD" w:rsidRPr="00D14F07">
        <w:rPr>
          <w:rFonts w:ascii="Arial" w:hAnsi="Arial" w:cs="Arial"/>
          <w:sz w:val="24"/>
          <w:szCs w:val="24"/>
          <w:lang w:val="en-GB"/>
        </w:rPr>
        <w:t>)</w:t>
      </w:r>
      <w:r w:rsidR="00185BEB" w:rsidRPr="00D14F07">
        <w:rPr>
          <w:rFonts w:ascii="Arial" w:hAnsi="Arial" w:cs="Arial"/>
          <w:sz w:val="24"/>
          <w:szCs w:val="24"/>
          <w:lang w:val="en-GB"/>
        </w:rPr>
        <w:t>)</w:t>
      </w:r>
      <w:r w:rsidR="00BF57CD" w:rsidRPr="00D14F07">
        <w:rPr>
          <w:rFonts w:ascii="Arial" w:hAnsi="Arial" w:cs="Arial"/>
          <w:sz w:val="24"/>
          <w:szCs w:val="24"/>
          <w:lang w:val="en-GB"/>
        </w:rPr>
        <w:t xml:space="preserve"> and the ownership and control structure of the client, (s21B(1)(</w:t>
      </w:r>
      <w:r w:rsidR="00BF57CD" w:rsidRPr="00C10B67">
        <w:rPr>
          <w:rFonts w:ascii="Arial" w:hAnsi="Arial" w:cs="Arial"/>
          <w:i/>
          <w:sz w:val="24"/>
          <w:szCs w:val="24"/>
          <w:lang w:val="en-GB"/>
        </w:rPr>
        <w:t>b</w:t>
      </w:r>
      <w:r w:rsidR="00BF57CD" w:rsidRPr="00D14F07">
        <w:rPr>
          <w:rFonts w:ascii="Arial" w:hAnsi="Arial" w:cs="Arial"/>
          <w:sz w:val="24"/>
          <w:szCs w:val="24"/>
          <w:lang w:val="en-GB"/>
        </w:rPr>
        <w:t>)</w:t>
      </w:r>
      <w:r w:rsidR="00185BEB" w:rsidRPr="00D14F07">
        <w:rPr>
          <w:rFonts w:ascii="Arial" w:hAnsi="Arial" w:cs="Arial"/>
          <w:sz w:val="24"/>
          <w:szCs w:val="24"/>
          <w:lang w:val="en-GB"/>
        </w:rPr>
        <w:t>)</w:t>
      </w:r>
      <w:r w:rsidR="00BF57CD" w:rsidRPr="00D14F07">
        <w:rPr>
          <w:rFonts w:ascii="Arial" w:hAnsi="Arial" w:cs="Arial"/>
          <w:sz w:val="24"/>
          <w:szCs w:val="24"/>
          <w:lang w:val="en-GB"/>
        </w:rPr>
        <w:t xml:space="preserve"> if it is a legal person</w:t>
      </w:r>
      <w:r w:rsidR="00B71F0C" w:rsidRPr="00D14F07">
        <w:rPr>
          <w:rFonts w:ascii="Arial" w:hAnsi="Arial" w:cs="Arial"/>
          <w:sz w:val="24"/>
          <w:szCs w:val="24"/>
          <w:lang w:val="en-GB"/>
        </w:rPr>
        <w:t xml:space="preserve">. The section requires of the accountable institution to </w:t>
      </w:r>
      <w:r w:rsidR="00185BEB" w:rsidRPr="00D14F07">
        <w:rPr>
          <w:rFonts w:ascii="Arial" w:hAnsi="Arial" w:cs="Arial"/>
          <w:sz w:val="24"/>
          <w:szCs w:val="24"/>
          <w:lang w:val="en-GB"/>
        </w:rPr>
        <w:t>‘</w:t>
      </w:r>
      <w:r w:rsidR="00B71F0C" w:rsidRPr="00D14F07">
        <w:rPr>
          <w:rFonts w:ascii="Arial" w:hAnsi="Arial" w:cs="Arial"/>
          <w:sz w:val="24"/>
          <w:szCs w:val="24"/>
          <w:lang w:val="en-GB"/>
        </w:rPr>
        <w:t>take reasonable steps to verify the identity of the beneficial owner of the client</w:t>
      </w:r>
      <w:r w:rsidR="00185BEB" w:rsidRPr="00D14F07">
        <w:rPr>
          <w:rFonts w:ascii="Arial" w:hAnsi="Arial" w:cs="Arial"/>
          <w:sz w:val="24"/>
          <w:szCs w:val="24"/>
          <w:lang w:val="en-GB"/>
        </w:rPr>
        <w:t>’</w:t>
      </w:r>
      <w:r w:rsidR="00B71F0C" w:rsidRPr="00D14F07">
        <w:rPr>
          <w:rFonts w:ascii="Arial" w:hAnsi="Arial" w:cs="Arial"/>
          <w:sz w:val="24"/>
          <w:szCs w:val="24"/>
          <w:lang w:val="en-GB"/>
        </w:rPr>
        <w:t xml:space="preserve"> (if applicable).  There is nothing in the scope of s</w:t>
      </w:r>
      <w:r w:rsidR="00185BEB" w:rsidRPr="00D14F07">
        <w:rPr>
          <w:rFonts w:ascii="Arial" w:hAnsi="Arial" w:cs="Arial"/>
          <w:sz w:val="24"/>
          <w:szCs w:val="24"/>
          <w:lang w:val="en-GB"/>
        </w:rPr>
        <w:t xml:space="preserve"> </w:t>
      </w:r>
      <w:r w:rsidR="00B71F0C" w:rsidRPr="00D14F07">
        <w:rPr>
          <w:rFonts w:ascii="Arial" w:hAnsi="Arial" w:cs="Arial"/>
          <w:sz w:val="24"/>
          <w:szCs w:val="24"/>
          <w:lang w:val="en-GB"/>
        </w:rPr>
        <w:t xml:space="preserve">21B that mandates an accountable institution to do anything further, and certainly not to bring a commercial transaction to a halt because of non-compliance. </w:t>
      </w:r>
    </w:p>
    <w:p w:rsidR="00C93403" w:rsidRPr="00D14F07" w:rsidRDefault="00C93403" w:rsidP="00C93403">
      <w:pPr>
        <w:pStyle w:val="ListParagraph"/>
        <w:spacing w:after="0" w:line="360" w:lineRule="auto"/>
        <w:ind w:left="0"/>
        <w:jc w:val="both"/>
        <w:rPr>
          <w:rFonts w:ascii="Arial" w:hAnsi="Arial" w:cs="Arial"/>
          <w:sz w:val="24"/>
          <w:szCs w:val="24"/>
          <w:lang w:val="en-GB"/>
        </w:rPr>
      </w:pPr>
    </w:p>
    <w:p w:rsidR="003E6843" w:rsidRDefault="00C93403" w:rsidP="00525647">
      <w:pPr>
        <w:pStyle w:val="ListParagraph"/>
        <w:numPr>
          <w:ilvl w:val="0"/>
          <w:numId w:val="1"/>
        </w:numPr>
        <w:spacing w:after="0" w:line="360" w:lineRule="auto"/>
        <w:ind w:left="0" w:firstLine="0"/>
        <w:jc w:val="both"/>
        <w:rPr>
          <w:rFonts w:ascii="Arial" w:hAnsi="Arial" w:cs="Arial"/>
          <w:sz w:val="24"/>
          <w:szCs w:val="24"/>
          <w:lang w:val="en-GB"/>
        </w:rPr>
      </w:pPr>
      <w:r w:rsidRPr="00D14F07">
        <w:rPr>
          <w:rFonts w:ascii="Arial" w:hAnsi="Arial" w:cs="Arial"/>
          <w:sz w:val="24"/>
          <w:szCs w:val="24"/>
          <w:lang w:val="en-GB"/>
        </w:rPr>
        <w:t xml:space="preserve">Even where, </w:t>
      </w:r>
      <w:r w:rsidRPr="00D14F07">
        <w:rPr>
          <w:rFonts w:ascii="Arial" w:hAnsi="Arial" w:cs="Arial"/>
          <w:i/>
          <w:sz w:val="24"/>
          <w:szCs w:val="24"/>
          <w:lang w:val="en-GB"/>
        </w:rPr>
        <w:t>subsequent</w:t>
      </w:r>
      <w:r w:rsidRPr="00D14F07">
        <w:rPr>
          <w:rFonts w:ascii="Arial" w:hAnsi="Arial" w:cs="Arial"/>
          <w:sz w:val="24"/>
          <w:szCs w:val="24"/>
          <w:lang w:val="en-GB"/>
        </w:rPr>
        <w:t xml:space="preserve"> to entering into a transaction, the accountable institution has doubts a</w:t>
      </w:r>
      <w:r w:rsidR="00C776F7" w:rsidRPr="00D14F07">
        <w:rPr>
          <w:rFonts w:ascii="Arial" w:hAnsi="Arial" w:cs="Arial"/>
          <w:sz w:val="24"/>
          <w:szCs w:val="24"/>
          <w:lang w:val="en-GB"/>
        </w:rPr>
        <w:t xml:space="preserve">s to </w:t>
      </w:r>
      <w:r w:rsidRPr="00D14F07">
        <w:rPr>
          <w:rFonts w:ascii="Arial" w:hAnsi="Arial" w:cs="Arial"/>
          <w:sz w:val="24"/>
          <w:szCs w:val="24"/>
          <w:lang w:val="en-GB"/>
        </w:rPr>
        <w:t xml:space="preserve">the veracity of previously obtained information, it must repeat the steps in s 21 and 21B (that is, establishing the identity of the client, proof of address) in terms of s 21D. </w:t>
      </w:r>
    </w:p>
    <w:p w:rsidR="00525647" w:rsidRPr="00525647" w:rsidRDefault="00525647" w:rsidP="00525647">
      <w:pPr>
        <w:pStyle w:val="ListParagraph"/>
        <w:rPr>
          <w:rFonts w:ascii="Arial" w:hAnsi="Arial" w:cs="Arial"/>
          <w:sz w:val="24"/>
          <w:szCs w:val="24"/>
          <w:lang w:val="en-GB"/>
        </w:rPr>
      </w:pPr>
    </w:p>
    <w:p w:rsidR="00246C3C" w:rsidRPr="00D14F07" w:rsidRDefault="003E6843" w:rsidP="003E6843">
      <w:pPr>
        <w:pStyle w:val="ListParagraph"/>
        <w:numPr>
          <w:ilvl w:val="0"/>
          <w:numId w:val="1"/>
        </w:numPr>
        <w:spacing w:after="0" w:line="360" w:lineRule="auto"/>
        <w:ind w:left="0" w:firstLine="0"/>
        <w:jc w:val="both"/>
        <w:rPr>
          <w:rFonts w:ascii="Arial" w:hAnsi="Arial" w:cs="Arial"/>
          <w:sz w:val="24"/>
          <w:szCs w:val="24"/>
          <w:shd w:val="clear" w:color="auto" w:fill="FFFFFF"/>
        </w:rPr>
      </w:pPr>
      <w:r w:rsidRPr="00D14F07">
        <w:rPr>
          <w:rFonts w:ascii="Arial" w:hAnsi="Arial" w:cs="Arial"/>
          <w:sz w:val="24"/>
          <w:szCs w:val="24"/>
          <w:lang w:val="en-GB"/>
        </w:rPr>
        <w:t xml:space="preserve">There is nothing in the wording of FICA that supports the first respondent’s conduct of withholding payment to the applicant for the reasons it has advanced.  </w:t>
      </w:r>
      <w:r w:rsidR="00EF3035" w:rsidRPr="00D14F07">
        <w:rPr>
          <w:rFonts w:ascii="Arial" w:hAnsi="Arial" w:cs="Arial"/>
          <w:sz w:val="24"/>
          <w:szCs w:val="24"/>
          <w:lang w:val="en-GB"/>
        </w:rPr>
        <w:t xml:space="preserve">It is for this reason that the applicant in its reply contends that the first respondent appears to have </w:t>
      </w:r>
      <w:r w:rsidRPr="00D14F07">
        <w:rPr>
          <w:rFonts w:ascii="Arial" w:hAnsi="Arial" w:cs="Arial"/>
          <w:sz w:val="24"/>
          <w:szCs w:val="24"/>
          <w:lang w:val="en-GB"/>
        </w:rPr>
        <w:t>‘</w:t>
      </w:r>
      <w:r w:rsidR="00EF3035" w:rsidRPr="00D14F07">
        <w:rPr>
          <w:rFonts w:ascii="Arial" w:hAnsi="Arial" w:cs="Arial"/>
          <w:sz w:val="24"/>
          <w:szCs w:val="24"/>
          <w:lang w:val="en-GB"/>
        </w:rPr>
        <w:t>cobbled</w:t>
      </w:r>
      <w:r w:rsidRPr="00D14F07">
        <w:rPr>
          <w:rFonts w:ascii="Arial" w:hAnsi="Arial" w:cs="Arial"/>
          <w:sz w:val="24"/>
          <w:szCs w:val="24"/>
          <w:lang w:val="en-GB"/>
        </w:rPr>
        <w:t>’</w:t>
      </w:r>
      <w:r w:rsidR="00EF3035" w:rsidRPr="00D14F07">
        <w:rPr>
          <w:rFonts w:ascii="Arial" w:hAnsi="Arial" w:cs="Arial"/>
          <w:sz w:val="24"/>
          <w:szCs w:val="24"/>
          <w:lang w:val="en-GB"/>
        </w:rPr>
        <w:t xml:space="preserve"> together his own requirements for compliance and due diligence, abrogating to itself a role not envisaged in the legislation.</w:t>
      </w:r>
    </w:p>
    <w:p w:rsidR="00EF3035" w:rsidRPr="00D14F07" w:rsidRDefault="00EF3035" w:rsidP="00EF3035">
      <w:pPr>
        <w:pStyle w:val="ListParagraph"/>
        <w:spacing w:line="360" w:lineRule="auto"/>
        <w:ind w:left="0"/>
        <w:jc w:val="both"/>
        <w:rPr>
          <w:rFonts w:ascii="Arial" w:hAnsi="Arial" w:cs="Arial"/>
          <w:sz w:val="24"/>
          <w:szCs w:val="24"/>
          <w:shd w:val="clear" w:color="auto" w:fill="FFFFFF"/>
        </w:rPr>
      </w:pPr>
    </w:p>
    <w:p w:rsidR="00B71F0C" w:rsidRPr="00D14F07" w:rsidRDefault="00EF3035" w:rsidP="00246C3C">
      <w:pPr>
        <w:pStyle w:val="ListParagraph"/>
        <w:numPr>
          <w:ilvl w:val="0"/>
          <w:numId w:val="1"/>
        </w:numPr>
        <w:spacing w:line="360" w:lineRule="auto"/>
        <w:ind w:left="0" w:firstLine="0"/>
        <w:jc w:val="both"/>
        <w:rPr>
          <w:rFonts w:ascii="Arial" w:hAnsi="Arial" w:cs="Arial"/>
          <w:sz w:val="24"/>
          <w:szCs w:val="24"/>
          <w:shd w:val="clear" w:color="auto" w:fill="FFFFFF"/>
        </w:rPr>
      </w:pPr>
      <w:r w:rsidRPr="00D14F07">
        <w:rPr>
          <w:rFonts w:ascii="Arial" w:hAnsi="Arial" w:cs="Arial"/>
          <w:sz w:val="24"/>
          <w:szCs w:val="24"/>
          <w:shd w:val="clear" w:color="auto" w:fill="FFFFFF"/>
        </w:rPr>
        <w:t>Moreover, the reliance of the first respondent that in terms of s</w:t>
      </w:r>
      <w:r w:rsidR="00185BEB" w:rsidRPr="00D14F07">
        <w:rPr>
          <w:rFonts w:ascii="Arial" w:hAnsi="Arial" w:cs="Arial"/>
          <w:sz w:val="24"/>
          <w:szCs w:val="24"/>
          <w:shd w:val="clear" w:color="auto" w:fill="FFFFFF"/>
        </w:rPr>
        <w:t xml:space="preserve"> </w:t>
      </w:r>
      <w:r w:rsidRPr="00D14F07">
        <w:rPr>
          <w:rFonts w:ascii="Arial" w:hAnsi="Arial" w:cs="Arial"/>
          <w:sz w:val="24"/>
          <w:szCs w:val="24"/>
          <w:shd w:val="clear" w:color="auto" w:fill="FFFFFF"/>
        </w:rPr>
        <w:t>21E(1)</w:t>
      </w:r>
      <w:r w:rsidR="00B51C23" w:rsidRPr="00D14F07">
        <w:rPr>
          <w:rFonts w:ascii="Arial" w:hAnsi="Arial" w:cs="Arial"/>
          <w:sz w:val="24"/>
          <w:szCs w:val="24"/>
          <w:shd w:val="clear" w:color="auto" w:fill="FFFFFF"/>
        </w:rPr>
        <w:t>(</w:t>
      </w:r>
      <w:r w:rsidR="00B51C23" w:rsidRPr="00C10B67">
        <w:rPr>
          <w:rFonts w:ascii="Arial" w:hAnsi="Arial" w:cs="Arial"/>
          <w:i/>
          <w:sz w:val="24"/>
          <w:szCs w:val="24"/>
          <w:shd w:val="clear" w:color="auto" w:fill="FFFFFF"/>
        </w:rPr>
        <w:t>c</w:t>
      </w:r>
      <w:r w:rsidR="00B51C23" w:rsidRPr="00D14F07">
        <w:rPr>
          <w:rFonts w:ascii="Arial" w:hAnsi="Arial" w:cs="Arial"/>
          <w:sz w:val="24"/>
          <w:szCs w:val="24"/>
          <w:shd w:val="clear" w:color="auto" w:fill="FFFFFF"/>
        </w:rPr>
        <w:t>)</w:t>
      </w:r>
      <w:r w:rsidRPr="00D14F07">
        <w:rPr>
          <w:rFonts w:ascii="Arial" w:hAnsi="Arial" w:cs="Arial"/>
          <w:sz w:val="24"/>
          <w:szCs w:val="24"/>
          <w:shd w:val="clear" w:color="auto" w:fill="FFFFFF"/>
        </w:rPr>
        <w:t>(ii) he may somehow be permitted not to give effect to a transaction on behalf of a client, is with respect, misplaced.  The relevant section provides that</w:t>
      </w:r>
      <w:r w:rsidR="00185BEB" w:rsidRPr="00D14F07">
        <w:rPr>
          <w:rFonts w:ascii="Arial" w:hAnsi="Arial" w:cs="Arial"/>
          <w:sz w:val="24"/>
          <w:szCs w:val="24"/>
          <w:shd w:val="clear" w:color="auto" w:fill="FFFFFF"/>
        </w:rPr>
        <w:t>:</w:t>
      </w:r>
    </w:p>
    <w:p w:rsidR="00EF3035" w:rsidRPr="00D14F07" w:rsidRDefault="00185BEB" w:rsidP="00185BEB">
      <w:pPr>
        <w:pStyle w:val="ListParagraph"/>
        <w:shd w:val="clear" w:color="auto" w:fill="FFFFFF"/>
        <w:spacing w:before="300" w:after="0" w:line="360" w:lineRule="auto"/>
        <w:ind w:left="0"/>
        <w:jc w:val="both"/>
        <w:rPr>
          <w:rFonts w:ascii="Arial" w:eastAsia="Times New Roman" w:hAnsi="Arial" w:cs="Arial"/>
          <w:lang w:eastAsia="en-ZA"/>
        </w:rPr>
      </w:pPr>
      <w:r w:rsidRPr="00525647">
        <w:rPr>
          <w:rFonts w:ascii="Arial" w:eastAsia="Times New Roman" w:hAnsi="Arial" w:cs="Arial"/>
          <w:bCs/>
          <w:lang w:eastAsia="en-ZA"/>
        </w:rPr>
        <w:t>‘</w:t>
      </w:r>
      <w:r w:rsidR="00EF3035" w:rsidRPr="00525647">
        <w:rPr>
          <w:rFonts w:ascii="Arial" w:eastAsia="Times New Roman" w:hAnsi="Arial" w:cs="Arial"/>
          <w:bCs/>
          <w:lang w:eastAsia="en-ZA"/>
        </w:rPr>
        <w:t>21E.   Inability to conduct customer due diligence</w:t>
      </w:r>
      <w:r w:rsidR="00EF3035" w:rsidRPr="00D14F07">
        <w:rPr>
          <w:rFonts w:ascii="Arial" w:eastAsia="Times New Roman" w:hAnsi="Arial" w:cs="Arial"/>
          <w:lang w:eastAsia="en-ZA"/>
        </w:rPr>
        <w:t>.—If an accountable institution is unable to</w:t>
      </w:r>
      <w:r w:rsidR="00E558B3" w:rsidRPr="00D14F07">
        <w:rPr>
          <w:rFonts w:ascii="Arial" w:eastAsia="Times New Roman" w:hAnsi="Arial" w:cs="Arial"/>
          <w:lang w:eastAsia="en-ZA"/>
        </w:rPr>
        <w:t xml:space="preserve"> </w:t>
      </w:r>
      <w:r w:rsidR="00EF3035" w:rsidRPr="00D14F07">
        <w:rPr>
          <w:rFonts w:ascii="Arial" w:eastAsia="Times New Roman" w:hAnsi="Arial" w:cs="Arial"/>
          <w:lang w:eastAsia="en-ZA"/>
        </w:rPr>
        <w:t>—</w:t>
      </w:r>
    </w:p>
    <w:p w:rsidR="00EF3035" w:rsidRPr="00D14F07" w:rsidRDefault="00E558B3" w:rsidP="00185BEB">
      <w:pPr>
        <w:pStyle w:val="ListParagraph"/>
        <w:shd w:val="clear" w:color="auto" w:fill="FFFFFF"/>
        <w:spacing w:after="0" w:line="360" w:lineRule="auto"/>
        <w:ind w:left="0"/>
        <w:jc w:val="both"/>
        <w:rPr>
          <w:rFonts w:ascii="Arial" w:eastAsia="Times New Roman" w:hAnsi="Arial" w:cs="Arial"/>
          <w:lang w:eastAsia="en-ZA"/>
        </w:rPr>
      </w:pPr>
      <w:r w:rsidRPr="00D14F07">
        <w:rPr>
          <w:rFonts w:ascii="Arial" w:eastAsia="Times New Roman" w:hAnsi="Arial" w:cs="Arial"/>
          <w:lang w:eastAsia="en-ZA"/>
        </w:rPr>
        <w:t xml:space="preserve">(a) </w:t>
      </w:r>
      <w:r w:rsidR="00EF3035" w:rsidRPr="00D14F07">
        <w:rPr>
          <w:rFonts w:ascii="Arial" w:eastAsia="Times New Roman" w:hAnsi="Arial" w:cs="Arial"/>
          <w:lang w:eastAsia="en-ZA"/>
        </w:rPr>
        <w:t>establish and verify the identity of a client or other relevant person in accordance with section 21 or 21B;</w:t>
      </w:r>
    </w:p>
    <w:p w:rsidR="00EF3035" w:rsidRPr="00D14F07" w:rsidRDefault="00EF3035" w:rsidP="00185BEB">
      <w:pPr>
        <w:pStyle w:val="ListParagraph"/>
        <w:shd w:val="clear" w:color="auto" w:fill="FFFFFF"/>
        <w:spacing w:before="180" w:after="0" w:line="360" w:lineRule="auto"/>
        <w:ind w:left="0"/>
        <w:jc w:val="both"/>
        <w:rPr>
          <w:rFonts w:ascii="Arial" w:eastAsia="Times New Roman" w:hAnsi="Arial" w:cs="Arial"/>
          <w:lang w:eastAsia="en-ZA"/>
        </w:rPr>
      </w:pPr>
      <w:r w:rsidRPr="00D14F07">
        <w:rPr>
          <w:rFonts w:ascii="Arial" w:eastAsia="Times New Roman" w:hAnsi="Arial" w:cs="Arial"/>
          <w:lang w:eastAsia="en-ZA"/>
        </w:rPr>
        <w:t>(</w:t>
      </w:r>
      <w:r w:rsidRPr="00D14F07">
        <w:rPr>
          <w:rFonts w:ascii="Arial" w:eastAsia="Times New Roman" w:hAnsi="Arial" w:cs="Arial"/>
          <w:i/>
          <w:iCs/>
          <w:lang w:eastAsia="en-ZA"/>
        </w:rPr>
        <w:t>b</w:t>
      </w:r>
      <w:r w:rsidRPr="00D14F07">
        <w:rPr>
          <w:rFonts w:ascii="Arial" w:eastAsia="Times New Roman" w:hAnsi="Arial" w:cs="Arial"/>
          <w:lang w:eastAsia="en-ZA"/>
        </w:rPr>
        <w:t>) obtain the information contemplated in section 21A; or</w:t>
      </w:r>
    </w:p>
    <w:p w:rsidR="00EF3035" w:rsidRPr="00D14F07" w:rsidRDefault="00EF3035" w:rsidP="00185BEB">
      <w:pPr>
        <w:pStyle w:val="ListParagraph"/>
        <w:shd w:val="clear" w:color="auto" w:fill="FFFFFF"/>
        <w:spacing w:before="180" w:after="0" w:line="360" w:lineRule="auto"/>
        <w:ind w:left="0"/>
        <w:jc w:val="both"/>
        <w:rPr>
          <w:rFonts w:ascii="Arial" w:eastAsia="Times New Roman" w:hAnsi="Arial" w:cs="Arial"/>
          <w:lang w:eastAsia="en-ZA"/>
        </w:rPr>
      </w:pPr>
      <w:r w:rsidRPr="00D14F07">
        <w:rPr>
          <w:rFonts w:ascii="Arial" w:eastAsia="Times New Roman" w:hAnsi="Arial" w:cs="Arial"/>
          <w:lang w:eastAsia="en-ZA"/>
        </w:rPr>
        <w:t>(</w:t>
      </w:r>
      <w:r w:rsidRPr="00D14F07">
        <w:rPr>
          <w:rFonts w:ascii="Arial" w:eastAsia="Times New Roman" w:hAnsi="Arial" w:cs="Arial"/>
          <w:i/>
          <w:iCs/>
          <w:lang w:eastAsia="en-ZA"/>
        </w:rPr>
        <w:t>c</w:t>
      </w:r>
      <w:r w:rsidRPr="00D14F07">
        <w:rPr>
          <w:rFonts w:ascii="Arial" w:eastAsia="Times New Roman" w:hAnsi="Arial" w:cs="Arial"/>
          <w:lang w:eastAsia="en-ZA"/>
        </w:rPr>
        <w:t>) conduct ongoing due diligence as contemplated in section 21C, the institution—</w:t>
      </w:r>
    </w:p>
    <w:p w:rsidR="00EF3035" w:rsidRPr="00D14F07" w:rsidRDefault="00EF3035" w:rsidP="00185BEB">
      <w:pPr>
        <w:pStyle w:val="ListParagraph"/>
        <w:shd w:val="clear" w:color="auto" w:fill="FFFFFF"/>
        <w:spacing w:before="180" w:after="0" w:line="360" w:lineRule="auto"/>
        <w:ind w:left="0"/>
        <w:jc w:val="both"/>
        <w:rPr>
          <w:rFonts w:ascii="Arial" w:eastAsia="Times New Roman" w:hAnsi="Arial" w:cs="Arial"/>
          <w:lang w:eastAsia="en-ZA"/>
        </w:rPr>
      </w:pPr>
      <w:r w:rsidRPr="00D14F07">
        <w:rPr>
          <w:rFonts w:ascii="Arial" w:eastAsia="Times New Roman" w:hAnsi="Arial" w:cs="Arial"/>
          <w:lang w:eastAsia="en-ZA"/>
        </w:rPr>
        <w:t>(i)</w:t>
      </w:r>
      <w:r w:rsidR="00E558B3" w:rsidRPr="00D14F07">
        <w:rPr>
          <w:rFonts w:ascii="Arial" w:eastAsia="Times New Roman" w:hAnsi="Arial" w:cs="Arial"/>
          <w:lang w:eastAsia="en-ZA"/>
        </w:rPr>
        <w:t xml:space="preserve"> </w:t>
      </w:r>
      <w:r w:rsidRPr="00D14F07">
        <w:rPr>
          <w:rFonts w:ascii="Arial" w:eastAsia="Times New Roman" w:hAnsi="Arial" w:cs="Arial"/>
          <w:lang w:eastAsia="en-ZA"/>
        </w:rPr>
        <w:t>may not establish a business relationship or conclude a single transaction with a client;</w:t>
      </w:r>
    </w:p>
    <w:p w:rsidR="00EF3035" w:rsidRPr="00D14F07" w:rsidRDefault="00EF3035" w:rsidP="00185BEB">
      <w:pPr>
        <w:pStyle w:val="ListParagraph"/>
        <w:shd w:val="clear" w:color="auto" w:fill="FFFFFF"/>
        <w:spacing w:before="180" w:after="0" w:line="360" w:lineRule="auto"/>
        <w:ind w:left="0"/>
        <w:jc w:val="both"/>
        <w:rPr>
          <w:rFonts w:ascii="Arial" w:eastAsia="Times New Roman" w:hAnsi="Arial" w:cs="Arial"/>
          <w:lang w:eastAsia="en-ZA"/>
        </w:rPr>
      </w:pPr>
      <w:r w:rsidRPr="00D14F07">
        <w:rPr>
          <w:rFonts w:ascii="Arial" w:eastAsia="Times New Roman" w:hAnsi="Arial" w:cs="Arial"/>
          <w:lang w:eastAsia="en-ZA"/>
        </w:rPr>
        <w:t>(ii)</w:t>
      </w:r>
      <w:r w:rsidR="00E558B3" w:rsidRPr="00D14F07">
        <w:rPr>
          <w:rFonts w:ascii="Arial" w:eastAsia="Times New Roman" w:hAnsi="Arial" w:cs="Arial"/>
          <w:lang w:eastAsia="en-ZA"/>
        </w:rPr>
        <w:t xml:space="preserve"> </w:t>
      </w:r>
      <w:r w:rsidRPr="00D14F07">
        <w:rPr>
          <w:rFonts w:ascii="Arial" w:eastAsia="Times New Roman" w:hAnsi="Arial" w:cs="Arial"/>
          <w:lang w:eastAsia="en-ZA"/>
        </w:rPr>
        <w:t>may not conclude a transaction in the course of a business relationship, or perform any act to give effect to a single transaction; or</w:t>
      </w:r>
    </w:p>
    <w:p w:rsidR="00EF3035" w:rsidRPr="00D14F07" w:rsidRDefault="00EF3035" w:rsidP="00185BEB">
      <w:pPr>
        <w:pStyle w:val="ListParagraph"/>
        <w:shd w:val="clear" w:color="auto" w:fill="FFFFFF"/>
        <w:spacing w:before="180" w:after="0" w:line="360" w:lineRule="auto"/>
        <w:ind w:left="0"/>
        <w:jc w:val="both"/>
        <w:rPr>
          <w:rFonts w:ascii="Arial" w:eastAsia="Times New Roman" w:hAnsi="Arial" w:cs="Arial"/>
          <w:lang w:eastAsia="en-ZA"/>
        </w:rPr>
      </w:pPr>
      <w:r w:rsidRPr="00D14F07">
        <w:rPr>
          <w:rFonts w:ascii="Arial" w:eastAsia="Times New Roman" w:hAnsi="Arial" w:cs="Arial"/>
          <w:lang w:eastAsia="en-ZA"/>
        </w:rPr>
        <w:t>(iii)</w:t>
      </w:r>
      <w:r w:rsidR="00E558B3" w:rsidRPr="00D14F07">
        <w:rPr>
          <w:rFonts w:ascii="Arial" w:eastAsia="Times New Roman" w:hAnsi="Arial" w:cs="Arial"/>
          <w:lang w:eastAsia="en-ZA"/>
        </w:rPr>
        <w:t xml:space="preserve"> </w:t>
      </w:r>
      <w:r w:rsidRPr="00D14F07">
        <w:rPr>
          <w:rFonts w:ascii="Arial" w:eastAsia="Times New Roman" w:hAnsi="Arial" w:cs="Arial"/>
          <w:lang w:eastAsia="en-ZA"/>
        </w:rPr>
        <w:t>must terminate, in accordance with its Risk Management and Compliance Programme, an existing business relationship with a client,</w:t>
      </w:r>
      <w:r w:rsidR="00E558B3" w:rsidRPr="00D14F07">
        <w:rPr>
          <w:rFonts w:ascii="Arial" w:eastAsia="Times New Roman" w:hAnsi="Arial" w:cs="Arial"/>
          <w:lang w:eastAsia="en-ZA"/>
        </w:rPr>
        <w:t xml:space="preserve"> </w:t>
      </w:r>
      <w:r w:rsidRPr="00D14F07">
        <w:rPr>
          <w:rFonts w:ascii="Arial" w:eastAsia="Times New Roman" w:hAnsi="Arial" w:cs="Arial"/>
          <w:lang w:eastAsia="en-ZA"/>
        </w:rPr>
        <w:t>as the case may be, and consider making a report under section 29 of this Act.</w:t>
      </w:r>
      <w:r w:rsidR="00185BEB" w:rsidRPr="00D14F07">
        <w:rPr>
          <w:rFonts w:ascii="Arial" w:eastAsia="Times New Roman" w:hAnsi="Arial" w:cs="Arial"/>
          <w:lang w:eastAsia="en-ZA"/>
        </w:rPr>
        <w:t>’</w:t>
      </w:r>
    </w:p>
    <w:p w:rsidR="00EF3035" w:rsidRPr="00D14F07" w:rsidRDefault="00EF3035" w:rsidP="00E558B3">
      <w:pPr>
        <w:pStyle w:val="ListParagraph"/>
        <w:jc w:val="both"/>
        <w:rPr>
          <w:rFonts w:ascii="Arial" w:hAnsi="Arial" w:cs="Arial"/>
          <w:shd w:val="clear" w:color="auto" w:fill="FFFFFF"/>
        </w:rPr>
      </w:pPr>
    </w:p>
    <w:p w:rsidR="00745CF4" w:rsidRPr="00D14F07" w:rsidRDefault="00E558B3" w:rsidP="00745CF4">
      <w:pPr>
        <w:pStyle w:val="ListParagraph"/>
        <w:numPr>
          <w:ilvl w:val="0"/>
          <w:numId w:val="1"/>
        </w:numPr>
        <w:spacing w:line="360" w:lineRule="auto"/>
        <w:ind w:left="0" w:firstLine="0"/>
        <w:jc w:val="both"/>
        <w:rPr>
          <w:rFonts w:ascii="Verdana" w:eastAsia="Times New Roman" w:hAnsi="Verdana" w:cs="Times New Roman"/>
          <w:sz w:val="18"/>
          <w:szCs w:val="18"/>
          <w:lang w:eastAsia="en-ZA"/>
        </w:rPr>
      </w:pPr>
      <w:r w:rsidRPr="00D14F07">
        <w:rPr>
          <w:rFonts w:ascii="Arial" w:hAnsi="Arial" w:cs="Arial"/>
          <w:sz w:val="24"/>
          <w:szCs w:val="24"/>
          <w:shd w:val="clear" w:color="auto" w:fill="FFFFFF"/>
        </w:rPr>
        <w:t xml:space="preserve">On any interpretation of the aforementioned section the first respondent’s conduct in withholding payment to the applicant is without foundation.  Any steps taken by the accountable institution should be done </w:t>
      </w:r>
      <w:r w:rsidRPr="000F1FAF">
        <w:rPr>
          <w:rFonts w:ascii="Arial" w:hAnsi="Arial" w:cs="Arial"/>
          <w:i/>
          <w:sz w:val="24"/>
          <w:szCs w:val="24"/>
          <w:shd w:val="clear" w:color="auto" w:fill="FFFFFF"/>
        </w:rPr>
        <w:t>prior</w:t>
      </w:r>
      <w:r w:rsidRPr="00D14F07">
        <w:rPr>
          <w:rFonts w:ascii="Arial" w:hAnsi="Arial" w:cs="Arial"/>
          <w:sz w:val="24"/>
          <w:szCs w:val="24"/>
          <w:shd w:val="clear" w:color="auto" w:fill="FFFFFF"/>
        </w:rPr>
        <w:t xml:space="preserve"> to the establishment of a business relationship or conclusion of a single transaction.  It is common cause that in the present matter </w:t>
      </w:r>
      <w:r w:rsidR="00E92552" w:rsidRPr="00D14F07">
        <w:rPr>
          <w:rFonts w:ascii="Arial" w:hAnsi="Arial" w:cs="Arial"/>
          <w:sz w:val="24"/>
          <w:szCs w:val="24"/>
          <w:shd w:val="clear" w:color="auto" w:fill="FFFFFF"/>
        </w:rPr>
        <w:t xml:space="preserve">the </w:t>
      </w:r>
      <w:r w:rsidR="00C776F7" w:rsidRPr="00D14F07">
        <w:rPr>
          <w:rFonts w:ascii="Arial" w:hAnsi="Arial" w:cs="Arial"/>
          <w:sz w:val="24"/>
          <w:szCs w:val="24"/>
          <w:shd w:val="clear" w:color="auto" w:fill="FFFFFF"/>
        </w:rPr>
        <w:t>first respondent only raised</w:t>
      </w:r>
      <w:r w:rsidRPr="00D14F07">
        <w:rPr>
          <w:rFonts w:ascii="Arial" w:hAnsi="Arial" w:cs="Arial"/>
          <w:sz w:val="24"/>
          <w:szCs w:val="24"/>
          <w:shd w:val="clear" w:color="auto" w:fill="FFFFFF"/>
        </w:rPr>
        <w:t xml:space="preserve"> the spectre of FICA non-compliance </w:t>
      </w:r>
      <w:r w:rsidRPr="00D14F07">
        <w:rPr>
          <w:rFonts w:ascii="Arial" w:hAnsi="Arial" w:cs="Arial"/>
          <w:i/>
          <w:sz w:val="24"/>
          <w:szCs w:val="24"/>
          <w:shd w:val="clear" w:color="auto" w:fill="FFFFFF"/>
        </w:rPr>
        <w:t>after the registration</w:t>
      </w:r>
      <w:r w:rsidRPr="00D14F07">
        <w:rPr>
          <w:rFonts w:ascii="Arial" w:hAnsi="Arial" w:cs="Arial"/>
          <w:sz w:val="24"/>
          <w:szCs w:val="24"/>
          <w:shd w:val="clear" w:color="auto" w:fill="FFFFFF"/>
        </w:rPr>
        <w:t xml:space="preserve"> of transfer of the immovable property into the name of the second respondent.  It is </w:t>
      </w:r>
      <w:r w:rsidR="00C776F7" w:rsidRPr="00D14F07">
        <w:rPr>
          <w:rFonts w:ascii="Arial" w:hAnsi="Arial" w:cs="Arial"/>
          <w:sz w:val="24"/>
          <w:szCs w:val="24"/>
          <w:shd w:val="clear" w:color="auto" w:fill="FFFFFF"/>
        </w:rPr>
        <w:t xml:space="preserve">not disputed </w:t>
      </w:r>
      <w:r w:rsidRPr="00D14F07">
        <w:rPr>
          <w:rFonts w:ascii="Arial" w:hAnsi="Arial" w:cs="Arial"/>
          <w:sz w:val="24"/>
          <w:szCs w:val="24"/>
          <w:shd w:val="clear" w:color="auto" w:fill="FFFFFF"/>
        </w:rPr>
        <w:t xml:space="preserve">that no report has been made to the </w:t>
      </w:r>
      <w:r w:rsidR="00B51C23" w:rsidRPr="00D14F07">
        <w:rPr>
          <w:rFonts w:ascii="Arial" w:hAnsi="Arial" w:cs="Arial"/>
          <w:sz w:val="24"/>
          <w:szCs w:val="24"/>
          <w:shd w:val="clear" w:color="auto" w:fill="FFFFFF"/>
        </w:rPr>
        <w:t>Financial</w:t>
      </w:r>
      <w:r w:rsidRPr="00D14F07">
        <w:rPr>
          <w:rFonts w:ascii="Arial" w:hAnsi="Arial" w:cs="Arial"/>
          <w:sz w:val="24"/>
          <w:szCs w:val="24"/>
          <w:shd w:val="clear" w:color="auto" w:fill="FFFFFF"/>
        </w:rPr>
        <w:t xml:space="preserve"> Intelligence Centre</w:t>
      </w:r>
      <w:r w:rsidR="002E1930" w:rsidRPr="00D14F07">
        <w:rPr>
          <w:rFonts w:ascii="Arial" w:hAnsi="Arial" w:cs="Arial"/>
          <w:sz w:val="24"/>
          <w:szCs w:val="24"/>
          <w:shd w:val="clear" w:color="auto" w:fill="FFFFFF"/>
        </w:rPr>
        <w:t xml:space="preserve"> (‘the Centre’)</w:t>
      </w:r>
      <w:r w:rsidRPr="00D14F07">
        <w:rPr>
          <w:rFonts w:ascii="Arial" w:hAnsi="Arial" w:cs="Arial"/>
          <w:sz w:val="24"/>
          <w:szCs w:val="24"/>
          <w:shd w:val="clear" w:color="auto" w:fill="FFFFFF"/>
        </w:rPr>
        <w:t>, which is the entity statutorily entrust</w:t>
      </w:r>
      <w:r w:rsidR="00C776F7" w:rsidRPr="00D14F07">
        <w:rPr>
          <w:rFonts w:ascii="Arial" w:hAnsi="Arial" w:cs="Arial"/>
          <w:sz w:val="24"/>
          <w:szCs w:val="24"/>
          <w:shd w:val="clear" w:color="auto" w:fill="FFFFFF"/>
        </w:rPr>
        <w:t>ed</w:t>
      </w:r>
      <w:r w:rsidRPr="00D14F07">
        <w:rPr>
          <w:rFonts w:ascii="Arial" w:hAnsi="Arial" w:cs="Arial"/>
          <w:sz w:val="24"/>
          <w:szCs w:val="24"/>
          <w:shd w:val="clear" w:color="auto" w:fill="FFFFFF"/>
        </w:rPr>
        <w:t xml:space="preserve"> to act against a client in the event of a suspicious transaction </w:t>
      </w:r>
      <w:r w:rsidR="00C776F7" w:rsidRPr="00D14F07">
        <w:rPr>
          <w:rFonts w:ascii="Arial" w:hAnsi="Arial" w:cs="Arial"/>
          <w:sz w:val="24"/>
          <w:szCs w:val="24"/>
          <w:shd w:val="clear" w:color="auto" w:fill="FFFFFF"/>
        </w:rPr>
        <w:t xml:space="preserve">report </w:t>
      </w:r>
      <w:r w:rsidRPr="00D14F07">
        <w:rPr>
          <w:rFonts w:ascii="Arial" w:hAnsi="Arial" w:cs="Arial"/>
          <w:sz w:val="24"/>
          <w:szCs w:val="24"/>
          <w:shd w:val="clear" w:color="auto" w:fill="FFFFFF"/>
        </w:rPr>
        <w:t>or whe</w:t>
      </w:r>
      <w:r w:rsidR="002E1930" w:rsidRPr="00D14F07">
        <w:rPr>
          <w:rFonts w:ascii="Arial" w:hAnsi="Arial" w:cs="Arial"/>
          <w:sz w:val="24"/>
          <w:szCs w:val="24"/>
          <w:shd w:val="clear" w:color="auto" w:fill="FFFFFF"/>
        </w:rPr>
        <w:t>re</w:t>
      </w:r>
      <w:r w:rsidRPr="00D14F07">
        <w:rPr>
          <w:rFonts w:ascii="Arial" w:hAnsi="Arial" w:cs="Arial"/>
          <w:sz w:val="24"/>
          <w:szCs w:val="24"/>
          <w:shd w:val="clear" w:color="auto" w:fill="FFFFFF"/>
        </w:rPr>
        <w:t xml:space="preserve"> there has been non-compliance with any of the requirements for verification in terms of s</w:t>
      </w:r>
      <w:r w:rsidR="005D368F" w:rsidRPr="00D14F07">
        <w:rPr>
          <w:rFonts w:ascii="Arial" w:hAnsi="Arial" w:cs="Arial"/>
          <w:sz w:val="24"/>
          <w:szCs w:val="24"/>
          <w:shd w:val="clear" w:color="auto" w:fill="FFFFFF"/>
        </w:rPr>
        <w:t xml:space="preserve"> </w:t>
      </w:r>
      <w:r w:rsidRPr="00D14F07">
        <w:rPr>
          <w:rFonts w:ascii="Arial" w:hAnsi="Arial" w:cs="Arial"/>
          <w:sz w:val="24"/>
          <w:szCs w:val="24"/>
          <w:shd w:val="clear" w:color="auto" w:fill="FFFFFF"/>
        </w:rPr>
        <w:t>21.</w:t>
      </w:r>
      <w:r w:rsidR="006B4F64" w:rsidRPr="00D14F07">
        <w:rPr>
          <w:rFonts w:ascii="Arial" w:hAnsi="Arial" w:cs="Arial"/>
          <w:sz w:val="24"/>
          <w:szCs w:val="24"/>
          <w:shd w:val="clear" w:color="auto" w:fill="FFFFFF"/>
        </w:rPr>
        <w:t xml:space="preserve">  Furthermore, there is nothing on the papers before me, or as may be alleged by the first respondent, that would constitute the </w:t>
      </w:r>
      <w:r w:rsidR="00C776F7" w:rsidRPr="00D14F07">
        <w:rPr>
          <w:rFonts w:ascii="Arial" w:hAnsi="Arial" w:cs="Arial"/>
          <w:sz w:val="24"/>
          <w:szCs w:val="24"/>
          <w:shd w:val="clear" w:color="auto" w:fill="FFFFFF"/>
        </w:rPr>
        <w:t>‘</w:t>
      </w:r>
      <w:r w:rsidR="006B4F64" w:rsidRPr="00D14F07">
        <w:rPr>
          <w:rFonts w:ascii="Arial" w:hAnsi="Arial" w:cs="Arial"/>
          <w:sz w:val="24"/>
          <w:szCs w:val="24"/>
          <w:shd w:val="clear" w:color="auto" w:fill="FFFFFF"/>
        </w:rPr>
        <w:t>trigger</w:t>
      </w:r>
      <w:r w:rsidR="00C776F7" w:rsidRPr="00D14F07">
        <w:rPr>
          <w:rFonts w:ascii="Arial" w:hAnsi="Arial" w:cs="Arial"/>
          <w:sz w:val="24"/>
          <w:szCs w:val="24"/>
          <w:shd w:val="clear" w:color="auto" w:fill="FFFFFF"/>
        </w:rPr>
        <w:t>’</w:t>
      </w:r>
      <w:r w:rsidR="006B4F64" w:rsidRPr="00D14F07">
        <w:rPr>
          <w:rFonts w:ascii="Arial" w:hAnsi="Arial" w:cs="Arial"/>
          <w:sz w:val="24"/>
          <w:szCs w:val="24"/>
          <w:shd w:val="clear" w:color="auto" w:fill="FFFFFF"/>
        </w:rPr>
        <w:t xml:space="preserve"> for the reporting of the applicant to the Centre as </w:t>
      </w:r>
      <w:r w:rsidR="006B4F64" w:rsidRPr="00D14F07">
        <w:rPr>
          <w:rFonts w:ascii="Arial" w:hAnsi="Arial" w:cs="Arial"/>
          <w:sz w:val="24"/>
          <w:szCs w:val="24"/>
          <w:shd w:val="clear" w:color="auto" w:fill="FFFFFF"/>
        </w:rPr>
        <w:lastRenderedPageBreak/>
        <w:t>contemplated in s</w:t>
      </w:r>
      <w:r w:rsidR="002E1930" w:rsidRPr="00D14F07">
        <w:rPr>
          <w:rFonts w:ascii="Arial" w:hAnsi="Arial" w:cs="Arial"/>
          <w:sz w:val="24"/>
          <w:szCs w:val="24"/>
          <w:shd w:val="clear" w:color="auto" w:fill="FFFFFF"/>
        </w:rPr>
        <w:t xml:space="preserve"> </w:t>
      </w:r>
      <w:r w:rsidR="006B4F64" w:rsidRPr="00D14F07">
        <w:rPr>
          <w:rFonts w:ascii="Arial" w:hAnsi="Arial" w:cs="Arial"/>
          <w:sz w:val="24"/>
          <w:szCs w:val="24"/>
          <w:shd w:val="clear" w:color="auto" w:fill="FFFFFF"/>
        </w:rPr>
        <w:t>29.  I</w:t>
      </w:r>
      <w:r w:rsidR="00F17E20" w:rsidRPr="00D14F07">
        <w:rPr>
          <w:rFonts w:ascii="Arial" w:hAnsi="Arial" w:cs="Arial"/>
          <w:sz w:val="24"/>
          <w:szCs w:val="24"/>
          <w:shd w:val="clear" w:color="auto" w:fill="FFFFFF"/>
        </w:rPr>
        <w:t>nvoking a</w:t>
      </w:r>
      <w:r w:rsidR="006B4F64" w:rsidRPr="00D14F07">
        <w:rPr>
          <w:rFonts w:ascii="Arial" w:hAnsi="Arial" w:cs="Arial"/>
          <w:sz w:val="24"/>
          <w:szCs w:val="24"/>
          <w:shd w:val="clear" w:color="auto" w:fill="FFFFFF"/>
        </w:rPr>
        <w:t xml:space="preserve"> report under s</w:t>
      </w:r>
      <w:r w:rsidR="002E1930" w:rsidRPr="00D14F07">
        <w:rPr>
          <w:rFonts w:ascii="Arial" w:hAnsi="Arial" w:cs="Arial"/>
          <w:sz w:val="24"/>
          <w:szCs w:val="24"/>
          <w:shd w:val="clear" w:color="auto" w:fill="FFFFFF"/>
        </w:rPr>
        <w:t xml:space="preserve"> </w:t>
      </w:r>
      <w:r w:rsidR="006B4F64" w:rsidRPr="00D14F07">
        <w:rPr>
          <w:rFonts w:ascii="Arial" w:hAnsi="Arial" w:cs="Arial"/>
          <w:sz w:val="24"/>
          <w:szCs w:val="24"/>
          <w:shd w:val="clear" w:color="auto" w:fill="FFFFFF"/>
        </w:rPr>
        <w:t xml:space="preserve">29 is predicated on the first respondent having </w:t>
      </w:r>
      <w:r w:rsidR="00745CF4" w:rsidRPr="00D14F07">
        <w:rPr>
          <w:rFonts w:ascii="Arial" w:hAnsi="Arial" w:cs="Arial"/>
          <w:sz w:val="24"/>
          <w:szCs w:val="24"/>
          <w:shd w:val="clear" w:color="auto" w:fill="FFFFFF"/>
        </w:rPr>
        <w:t xml:space="preserve">known or suspected that </w:t>
      </w:r>
      <w:r w:rsidR="00C776F7" w:rsidRPr="00D14F07">
        <w:rPr>
          <w:rFonts w:ascii="Arial" w:hAnsi="Arial" w:cs="Arial"/>
          <w:sz w:val="24"/>
          <w:szCs w:val="24"/>
          <w:shd w:val="clear" w:color="auto" w:fill="FFFFFF"/>
        </w:rPr>
        <w:t>its</w:t>
      </w:r>
      <w:r w:rsidR="002E1930" w:rsidRPr="00D14F07">
        <w:rPr>
          <w:rFonts w:ascii="Arial" w:hAnsi="Arial" w:cs="Arial"/>
          <w:sz w:val="24"/>
          <w:szCs w:val="24"/>
          <w:shd w:val="clear" w:color="auto" w:fill="FFFFFF"/>
        </w:rPr>
        <w:t>:</w:t>
      </w:r>
      <w:r w:rsidR="00745CF4" w:rsidRPr="00D14F07">
        <w:rPr>
          <w:rFonts w:ascii="Arial" w:hAnsi="Arial" w:cs="Arial"/>
          <w:sz w:val="24"/>
          <w:szCs w:val="24"/>
          <w:shd w:val="clear" w:color="auto" w:fill="FFFFFF"/>
        </w:rPr>
        <w:t xml:space="preserve"> </w:t>
      </w:r>
    </w:p>
    <w:p w:rsidR="00745CF4" w:rsidRPr="00D14F07" w:rsidRDefault="002E1930" w:rsidP="002E1930">
      <w:pPr>
        <w:pStyle w:val="ListParagraph"/>
        <w:shd w:val="clear" w:color="auto" w:fill="FFFFFF"/>
        <w:spacing w:after="0" w:line="360" w:lineRule="auto"/>
        <w:ind w:left="0"/>
        <w:jc w:val="both"/>
        <w:rPr>
          <w:rFonts w:ascii="Arial" w:eastAsia="Times New Roman" w:hAnsi="Arial" w:cs="Arial"/>
          <w:lang w:eastAsia="en-ZA"/>
        </w:rPr>
      </w:pPr>
      <w:r w:rsidRPr="00D14F07">
        <w:rPr>
          <w:rFonts w:ascii="Arial" w:eastAsia="Times New Roman" w:hAnsi="Arial" w:cs="Arial"/>
          <w:lang w:eastAsia="en-ZA"/>
        </w:rPr>
        <w:t>‘</w:t>
      </w:r>
      <w:r w:rsidR="00745CF4" w:rsidRPr="00D14F07">
        <w:rPr>
          <w:rFonts w:ascii="Arial" w:eastAsia="Times New Roman" w:hAnsi="Arial" w:cs="Arial"/>
          <w:lang w:eastAsia="en-ZA"/>
        </w:rPr>
        <w:t>(a</w:t>
      </w:r>
      <w:r w:rsidRPr="00D14F07">
        <w:rPr>
          <w:rFonts w:ascii="Arial" w:eastAsia="Times New Roman" w:hAnsi="Arial" w:cs="Arial"/>
          <w:lang w:eastAsia="en-ZA"/>
        </w:rPr>
        <w:t xml:space="preserve">) . . . </w:t>
      </w:r>
      <w:r w:rsidR="00745CF4" w:rsidRPr="00D14F07">
        <w:rPr>
          <w:rFonts w:ascii="Arial" w:eastAsia="Times New Roman" w:hAnsi="Arial" w:cs="Arial"/>
          <w:lang w:eastAsia="en-ZA"/>
        </w:rPr>
        <w:t>business has received or is about to receive the proceeds of unlawful activities or property which is connected to an offence relating to the financing of terrorist and related activities;</w:t>
      </w:r>
    </w:p>
    <w:p w:rsidR="00745CF4" w:rsidRPr="00D14F07" w:rsidRDefault="00745CF4" w:rsidP="002E1930">
      <w:pPr>
        <w:pStyle w:val="ListParagraph"/>
        <w:shd w:val="clear" w:color="auto" w:fill="FFFFFF"/>
        <w:spacing w:before="180" w:after="0" w:line="360" w:lineRule="auto"/>
        <w:ind w:left="0"/>
        <w:jc w:val="both"/>
        <w:rPr>
          <w:rFonts w:ascii="Arial" w:eastAsia="Times New Roman" w:hAnsi="Arial" w:cs="Arial"/>
          <w:lang w:eastAsia="en-ZA"/>
        </w:rPr>
      </w:pPr>
      <w:r w:rsidRPr="00D14F07">
        <w:rPr>
          <w:rFonts w:ascii="Arial" w:eastAsia="Times New Roman" w:hAnsi="Arial" w:cs="Arial"/>
          <w:lang w:eastAsia="en-ZA"/>
        </w:rPr>
        <w:t>(</w:t>
      </w:r>
      <w:r w:rsidRPr="00D14F07">
        <w:rPr>
          <w:rFonts w:ascii="Arial" w:eastAsia="Times New Roman" w:hAnsi="Arial" w:cs="Arial"/>
          <w:i/>
          <w:iCs/>
          <w:lang w:eastAsia="en-ZA"/>
        </w:rPr>
        <w:t>b</w:t>
      </w:r>
      <w:r w:rsidRPr="00D14F07">
        <w:rPr>
          <w:rFonts w:ascii="Arial" w:eastAsia="Times New Roman" w:hAnsi="Arial" w:cs="Arial"/>
          <w:lang w:eastAsia="en-ZA"/>
        </w:rPr>
        <w:t>) a transaction or series of transactions to which the business is a party—</w:t>
      </w:r>
    </w:p>
    <w:p w:rsidR="00745CF4" w:rsidRPr="00D14F07" w:rsidRDefault="00745CF4" w:rsidP="002E1930">
      <w:pPr>
        <w:pStyle w:val="ListParagraph"/>
        <w:shd w:val="clear" w:color="auto" w:fill="FFFFFF"/>
        <w:spacing w:before="180" w:after="0" w:line="360" w:lineRule="auto"/>
        <w:ind w:left="0"/>
        <w:jc w:val="both"/>
        <w:rPr>
          <w:rFonts w:ascii="Arial" w:eastAsia="Times New Roman" w:hAnsi="Arial" w:cs="Arial"/>
          <w:lang w:eastAsia="en-ZA"/>
        </w:rPr>
      </w:pPr>
      <w:r w:rsidRPr="00D14F07">
        <w:rPr>
          <w:rFonts w:ascii="Arial" w:eastAsia="Times New Roman" w:hAnsi="Arial" w:cs="Arial"/>
          <w:lang w:eastAsia="en-ZA"/>
        </w:rPr>
        <w:t xml:space="preserve">(i) </w:t>
      </w:r>
      <w:r w:rsidR="002E1930" w:rsidRPr="00D14F07">
        <w:rPr>
          <w:rFonts w:ascii="Arial" w:eastAsia="Times New Roman" w:hAnsi="Arial" w:cs="Arial"/>
          <w:lang w:eastAsia="en-ZA"/>
        </w:rPr>
        <w:tab/>
      </w:r>
      <w:r w:rsidRPr="00D14F07">
        <w:rPr>
          <w:rFonts w:ascii="Arial" w:eastAsia="Times New Roman" w:hAnsi="Arial" w:cs="Arial"/>
          <w:lang w:eastAsia="en-ZA"/>
        </w:rPr>
        <w:t>facilitated or is likely to facilitate the transfer of the proceeds of unlawful activities or property which is connected to an offence relating to the financing of terrorist and related activities;</w:t>
      </w:r>
    </w:p>
    <w:p w:rsidR="00745CF4" w:rsidRPr="00D14F07" w:rsidRDefault="00745CF4" w:rsidP="002E1930">
      <w:pPr>
        <w:pStyle w:val="ListParagraph"/>
        <w:shd w:val="clear" w:color="auto" w:fill="FFFFFF"/>
        <w:spacing w:before="180" w:after="0" w:line="360" w:lineRule="auto"/>
        <w:ind w:left="0"/>
        <w:jc w:val="both"/>
        <w:rPr>
          <w:rFonts w:ascii="Arial" w:eastAsia="Times New Roman" w:hAnsi="Arial" w:cs="Arial"/>
          <w:lang w:eastAsia="en-ZA"/>
        </w:rPr>
      </w:pPr>
      <w:r w:rsidRPr="00D14F07">
        <w:rPr>
          <w:rFonts w:ascii="Arial" w:eastAsia="Times New Roman" w:hAnsi="Arial" w:cs="Arial"/>
          <w:lang w:eastAsia="en-ZA"/>
        </w:rPr>
        <w:t xml:space="preserve">(ii) </w:t>
      </w:r>
      <w:r w:rsidR="002E1930" w:rsidRPr="00D14F07">
        <w:rPr>
          <w:rFonts w:ascii="Arial" w:eastAsia="Times New Roman" w:hAnsi="Arial" w:cs="Arial"/>
          <w:lang w:eastAsia="en-ZA"/>
        </w:rPr>
        <w:tab/>
      </w:r>
      <w:r w:rsidRPr="00D14F07">
        <w:rPr>
          <w:rFonts w:ascii="Arial" w:eastAsia="Times New Roman" w:hAnsi="Arial" w:cs="Arial"/>
          <w:lang w:eastAsia="en-ZA"/>
        </w:rPr>
        <w:t>has no apparent business or lawful purpose;</w:t>
      </w:r>
    </w:p>
    <w:p w:rsidR="00745CF4" w:rsidRPr="00D14F07" w:rsidRDefault="00745CF4" w:rsidP="002E1930">
      <w:pPr>
        <w:pStyle w:val="ListParagraph"/>
        <w:shd w:val="clear" w:color="auto" w:fill="FFFFFF"/>
        <w:spacing w:before="180" w:after="0" w:line="360" w:lineRule="auto"/>
        <w:ind w:left="0"/>
        <w:jc w:val="both"/>
        <w:rPr>
          <w:rFonts w:ascii="Arial" w:eastAsia="Times New Roman" w:hAnsi="Arial" w:cs="Arial"/>
          <w:lang w:eastAsia="en-ZA"/>
        </w:rPr>
      </w:pPr>
      <w:r w:rsidRPr="00D14F07">
        <w:rPr>
          <w:rFonts w:ascii="Arial" w:eastAsia="Times New Roman" w:hAnsi="Arial" w:cs="Arial"/>
          <w:lang w:eastAsia="en-ZA"/>
        </w:rPr>
        <w:t xml:space="preserve">(iii) </w:t>
      </w:r>
      <w:r w:rsidR="002E1930" w:rsidRPr="00D14F07">
        <w:rPr>
          <w:rFonts w:ascii="Arial" w:eastAsia="Times New Roman" w:hAnsi="Arial" w:cs="Arial"/>
          <w:lang w:eastAsia="en-ZA"/>
        </w:rPr>
        <w:tab/>
      </w:r>
      <w:r w:rsidRPr="00D14F07">
        <w:rPr>
          <w:rFonts w:ascii="Arial" w:eastAsia="Times New Roman" w:hAnsi="Arial" w:cs="Arial"/>
          <w:lang w:eastAsia="en-ZA"/>
        </w:rPr>
        <w:t>is conducted for the purpose of avoiding giving rise to a reporting duty under this Act;….</w:t>
      </w:r>
      <w:r w:rsidR="002E1930" w:rsidRPr="00D14F07">
        <w:rPr>
          <w:rFonts w:ascii="Arial" w:eastAsia="Times New Roman" w:hAnsi="Arial" w:cs="Arial"/>
          <w:lang w:eastAsia="en-ZA"/>
        </w:rPr>
        <w:t>’</w:t>
      </w:r>
    </w:p>
    <w:p w:rsidR="0002588B" w:rsidRPr="00D14F07" w:rsidRDefault="0002588B" w:rsidP="002E1930">
      <w:pPr>
        <w:spacing w:after="0" w:line="360" w:lineRule="auto"/>
        <w:jc w:val="both"/>
        <w:rPr>
          <w:rFonts w:ascii="Arial" w:hAnsi="Arial" w:cs="Arial"/>
          <w:bCs/>
          <w:sz w:val="24"/>
          <w:szCs w:val="24"/>
          <w:shd w:val="clear" w:color="auto" w:fill="FFFFFF"/>
        </w:rPr>
      </w:pPr>
      <w:r w:rsidRPr="00D14F07">
        <w:rPr>
          <w:rFonts w:ascii="Arial" w:hAnsi="Arial" w:cs="Arial"/>
          <w:sz w:val="24"/>
          <w:szCs w:val="24"/>
          <w:shd w:val="clear" w:color="auto" w:fill="FFFFFF"/>
        </w:rPr>
        <w:t xml:space="preserve">The first respondent’s affidavit is significantly silent as to any allegation that would bring the applicant or its members within the ambit of activities that include </w:t>
      </w:r>
      <w:r w:rsidRPr="00D14F07">
        <w:rPr>
          <w:rFonts w:ascii="Arial" w:hAnsi="Arial" w:cs="Arial"/>
          <w:bCs/>
          <w:sz w:val="24"/>
          <w:szCs w:val="24"/>
          <w:shd w:val="clear" w:color="auto" w:fill="FFFFFF"/>
        </w:rPr>
        <w:t xml:space="preserve">money laundering or the financing of terrorist and related activities. </w:t>
      </w:r>
    </w:p>
    <w:p w:rsidR="002E1930" w:rsidRPr="00D14F07" w:rsidRDefault="002E1930" w:rsidP="002E1930">
      <w:pPr>
        <w:spacing w:after="0" w:line="360" w:lineRule="auto"/>
        <w:jc w:val="both"/>
        <w:rPr>
          <w:rFonts w:ascii="Arial" w:hAnsi="Arial" w:cs="Arial"/>
          <w:bCs/>
          <w:sz w:val="24"/>
          <w:szCs w:val="24"/>
          <w:shd w:val="clear" w:color="auto" w:fill="FFFFFF"/>
        </w:rPr>
      </w:pPr>
    </w:p>
    <w:p w:rsidR="00173D30" w:rsidRPr="00D14F07" w:rsidRDefault="0002588B" w:rsidP="002E1930">
      <w:pPr>
        <w:pStyle w:val="ListParagraph"/>
        <w:numPr>
          <w:ilvl w:val="0"/>
          <w:numId w:val="1"/>
        </w:numPr>
        <w:tabs>
          <w:tab w:val="left" w:pos="567"/>
        </w:tabs>
        <w:spacing w:after="0" w:line="360" w:lineRule="auto"/>
        <w:ind w:left="0" w:firstLine="0"/>
        <w:jc w:val="both"/>
        <w:rPr>
          <w:rFonts w:ascii="Arial" w:hAnsi="Arial" w:cs="Arial"/>
          <w:sz w:val="24"/>
          <w:szCs w:val="24"/>
          <w:lang w:val="en-GB"/>
        </w:rPr>
      </w:pPr>
      <w:r w:rsidRPr="00D14F07">
        <w:rPr>
          <w:rFonts w:ascii="Arial" w:hAnsi="Arial" w:cs="Arial"/>
          <w:sz w:val="24"/>
          <w:szCs w:val="24"/>
          <w:shd w:val="clear" w:color="auto" w:fill="FFFFFF"/>
        </w:rPr>
        <w:t>To the extent that the first res</w:t>
      </w:r>
      <w:r w:rsidR="0071510C" w:rsidRPr="00D14F07">
        <w:rPr>
          <w:rFonts w:ascii="Arial" w:hAnsi="Arial" w:cs="Arial"/>
          <w:sz w:val="24"/>
          <w:szCs w:val="24"/>
          <w:shd w:val="clear" w:color="auto" w:fill="FFFFFF"/>
        </w:rPr>
        <w:t>pondent contends in the counter-</w:t>
      </w:r>
      <w:r w:rsidRPr="00D14F07">
        <w:rPr>
          <w:rFonts w:ascii="Arial" w:hAnsi="Arial" w:cs="Arial"/>
          <w:sz w:val="24"/>
          <w:szCs w:val="24"/>
          <w:shd w:val="clear" w:color="auto" w:fill="FFFFFF"/>
        </w:rPr>
        <w:t xml:space="preserve">application that the applicant is obliged to comply with his request to re-submit </w:t>
      </w:r>
      <w:r w:rsidR="005E74F7" w:rsidRPr="00D14F07">
        <w:rPr>
          <w:rFonts w:ascii="Arial" w:hAnsi="Arial" w:cs="Arial"/>
          <w:sz w:val="24"/>
          <w:szCs w:val="24"/>
          <w:shd w:val="clear" w:color="auto" w:fill="FFFFFF"/>
        </w:rPr>
        <w:t>all documents to enable him to verify the identity and proof of residence of the applicant’s members (as set out in paragraph 3 of its email to the applicant’s attorneys dated 7 April 2021), the applicant contends that it has complied with the requirements o</w:t>
      </w:r>
      <w:r w:rsidR="003D7D2C" w:rsidRPr="00D14F07">
        <w:rPr>
          <w:rFonts w:ascii="Arial" w:hAnsi="Arial" w:cs="Arial"/>
          <w:sz w:val="24"/>
          <w:szCs w:val="24"/>
          <w:shd w:val="clear" w:color="auto" w:fill="FFFFFF"/>
        </w:rPr>
        <w:t>f FICA on no less than three</w:t>
      </w:r>
      <w:r w:rsidR="005E74F7" w:rsidRPr="00D14F07">
        <w:rPr>
          <w:rFonts w:ascii="Arial" w:hAnsi="Arial" w:cs="Arial"/>
          <w:sz w:val="24"/>
          <w:szCs w:val="24"/>
          <w:shd w:val="clear" w:color="auto" w:fill="FFFFFF"/>
        </w:rPr>
        <w:t xml:space="preserve"> </w:t>
      </w:r>
      <w:r w:rsidR="004339A4" w:rsidRPr="00D14F07">
        <w:rPr>
          <w:rFonts w:ascii="Arial" w:hAnsi="Arial" w:cs="Arial"/>
          <w:sz w:val="24"/>
          <w:szCs w:val="24"/>
          <w:shd w:val="clear" w:color="auto" w:fill="FFFFFF"/>
        </w:rPr>
        <w:t>occasions</w:t>
      </w:r>
      <w:r w:rsidR="005E74F7" w:rsidRPr="00D14F07">
        <w:rPr>
          <w:rFonts w:ascii="Arial" w:hAnsi="Arial" w:cs="Arial"/>
          <w:sz w:val="24"/>
          <w:szCs w:val="24"/>
          <w:shd w:val="clear" w:color="auto" w:fill="FFFFFF"/>
        </w:rPr>
        <w:t>, and that even if it did not, there is no justification in FICA which entitles the first respondent to withhold the payment from the sale of its property</w:t>
      </w:r>
      <w:r w:rsidR="00173D30" w:rsidRPr="00D14F07">
        <w:rPr>
          <w:rFonts w:ascii="Arial" w:hAnsi="Arial" w:cs="Arial"/>
          <w:sz w:val="24"/>
          <w:szCs w:val="24"/>
          <w:shd w:val="clear" w:color="auto" w:fill="FFFFFF"/>
        </w:rPr>
        <w:t xml:space="preserve">.  </w:t>
      </w:r>
      <w:r w:rsidR="00173D30" w:rsidRPr="00D14F07">
        <w:rPr>
          <w:rFonts w:ascii="Arial" w:hAnsi="Arial" w:cs="Arial"/>
          <w:sz w:val="24"/>
          <w:szCs w:val="24"/>
          <w:lang w:val="en-GB"/>
        </w:rPr>
        <w:t>In terms of s 33</w:t>
      </w:r>
      <w:r w:rsidR="00173D30" w:rsidRPr="00D14F07">
        <w:rPr>
          <w:rFonts w:ascii="Arial" w:hAnsi="Arial" w:cs="Arial"/>
          <w:b/>
          <w:sz w:val="24"/>
          <w:szCs w:val="24"/>
          <w:lang w:val="en-GB"/>
        </w:rPr>
        <w:t xml:space="preserve"> </w:t>
      </w:r>
      <w:r w:rsidR="00173D30" w:rsidRPr="00D14F07">
        <w:rPr>
          <w:rFonts w:ascii="Arial" w:hAnsi="Arial" w:cs="Arial"/>
          <w:sz w:val="24"/>
          <w:szCs w:val="24"/>
          <w:lang w:val="en-GB"/>
        </w:rPr>
        <w:t xml:space="preserve">of </w:t>
      </w:r>
      <w:r w:rsidR="006F6E18" w:rsidRPr="00D14F07">
        <w:rPr>
          <w:rFonts w:ascii="Arial" w:hAnsi="Arial" w:cs="Arial"/>
          <w:sz w:val="24"/>
          <w:szCs w:val="24"/>
          <w:lang w:val="en-GB"/>
        </w:rPr>
        <w:t>FICA</w:t>
      </w:r>
      <w:r w:rsidR="00173D30" w:rsidRPr="00D14F07">
        <w:rPr>
          <w:rFonts w:ascii="Arial" w:hAnsi="Arial" w:cs="Arial"/>
          <w:sz w:val="24"/>
          <w:szCs w:val="24"/>
          <w:lang w:val="en-GB"/>
        </w:rPr>
        <w:t xml:space="preserve">, transactions </w:t>
      </w:r>
      <w:r w:rsidR="00173D30" w:rsidRPr="00D14F07">
        <w:rPr>
          <w:rFonts w:ascii="Arial" w:hAnsi="Arial" w:cs="Arial"/>
          <w:i/>
          <w:sz w:val="24"/>
          <w:szCs w:val="24"/>
          <w:lang w:val="en-GB"/>
        </w:rPr>
        <w:t>may be continued with</w:t>
      </w:r>
      <w:r w:rsidR="00173D30" w:rsidRPr="00D14F07">
        <w:rPr>
          <w:rFonts w:ascii="Arial" w:hAnsi="Arial" w:cs="Arial"/>
          <w:sz w:val="24"/>
          <w:szCs w:val="24"/>
          <w:lang w:val="en-GB"/>
        </w:rPr>
        <w:t xml:space="preserve"> despite the making of a report in terms of s 28 (where amounts are above a certain limit) and s 29 (property associated with terrorist activities).</w:t>
      </w:r>
    </w:p>
    <w:p w:rsidR="00173D30" w:rsidRPr="00D14F07" w:rsidRDefault="00173D30" w:rsidP="003D7D2C">
      <w:pPr>
        <w:spacing w:after="0" w:line="360" w:lineRule="auto"/>
        <w:jc w:val="both"/>
        <w:rPr>
          <w:rFonts w:ascii="Arial" w:hAnsi="Arial" w:cs="Arial"/>
          <w:sz w:val="24"/>
          <w:szCs w:val="24"/>
          <w:lang w:val="en-GB"/>
        </w:rPr>
      </w:pPr>
      <w:r w:rsidRPr="00D14F07">
        <w:rPr>
          <w:rFonts w:ascii="Arial" w:hAnsi="Arial" w:cs="Arial"/>
          <w:sz w:val="24"/>
          <w:szCs w:val="24"/>
          <w:lang w:val="en-GB"/>
        </w:rPr>
        <w:t>‘</w:t>
      </w:r>
      <w:r w:rsidRPr="00D14F07">
        <w:rPr>
          <w:rFonts w:ascii="Arial" w:hAnsi="Arial" w:cs="Arial"/>
          <w:lang w:val="en-GB"/>
        </w:rPr>
        <w:t>33.   Continuation of transactions.</w:t>
      </w:r>
      <w:r w:rsidR="000F1FAF">
        <w:rPr>
          <w:rFonts w:ascii="Arial" w:hAnsi="Arial" w:cs="Arial"/>
          <w:lang w:val="en-GB"/>
        </w:rPr>
        <w:t>-</w:t>
      </w:r>
      <w:r w:rsidRPr="00D14F07">
        <w:rPr>
          <w:rFonts w:ascii="Arial" w:hAnsi="Arial" w:cs="Arial"/>
          <w:lang w:val="en-GB"/>
        </w:rPr>
        <w:t xml:space="preserve"> An accountable institution, reporting institution or person required to make a report to the Centre in terms of section 28 or 29, may continue with and carry out the transaction in respect of which the report is required to be made </w:t>
      </w:r>
      <w:r w:rsidRPr="00D14F07">
        <w:rPr>
          <w:rFonts w:ascii="Arial" w:hAnsi="Arial" w:cs="Arial"/>
          <w:i/>
          <w:lang w:val="en-GB"/>
        </w:rPr>
        <w:t>unless</w:t>
      </w:r>
      <w:r w:rsidRPr="00D14F07">
        <w:rPr>
          <w:rFonts w:ascii="Arial" w:hAnsi="Arial" w:cs="Arial"/>
          <w:lang w:val="en-GB"/>
        </w:rPr>
        <w:t xml:space="preserve"> the Centre directs the accountable institution, reporting institution or person in terms of section 34 not to proceed with the transaction.</w:t>
      </w:r>
      <w:r w:rsidRPr="00D14F07">
        <w:rPr>
          <w:rFonts w:ascii="Arial" w:hAnsi="Arial" w:cs="Arial"/>
          <w:sz w:val="24"/>
          <w:szCs w:val="24"/>
          <w:lang w:val="en-GB"/>
        </w:rPr>
        <w:t xml:space="preserve">’ </w:t>
      </w:r>
      <w:r w:rsidRPr="00D14F07">
        <w:rPr>
          <w:rFonts w:ascii="Arial" w:hAnsi="Arial" w:cs="Arial"/>
          <w:lang w:val="en-GB"/>
        </w:rPr>
        <w:t>(emphasis added)</w:t>
      </w:r>
    </w:p>
    <w:p w:rsidR="002D681E" w:rsidRPr="00D14F07" w:rsidRDefault="00173D30" w:rsidP="00173D30">
      <w:pPr>
        <w:pStyle w:val="ListParagraph"/>
        <w:numPr>
          <w:ilvl w:val="0"/>
          <w:numId w:val="1"/>
        </w:numPr>
        <w:tabs>
          <w:tab w:val="left" w:pos="567"/>
        </w:tabs>
        <w:spacing w:after="0" w:line="360" w:lineRule="auto"/>
        <w:ind w:left="0" w:firstLine="0"/>
        <w:jc w:val="both"/>
        <w:rPr>
          <w:rFonts w:ascii="Arial" w:hAnsi="Arial" w:cs="Arial"/>
          <w:sz w:val="24"/>
          <w:szCs w:val="24"/>
          <w:lang w:val="en-GB"/>
        </w:rPr>
      </w:pPr>
      <w:r w:rsidRPr="00D14F07">
        <w:rPr>
          <w:rFonts w:ascii="Arial" w:hAnsi="Arial" w:cs="Arial"/>
          <w:sz w:val="24"/>
          <w:szCs w:val="24"/>
          <w:lang w:val="en-GB"/>
        </w:rPr>
        <w:t>In terms of</w:t>
      </w:r>
      <w:r w:rsidRPr="00D14F07">
        <w:rPr>
          <w:rFonts w:ascii="Arial" w:hAnsi="Arial" w:cs="Arial"/>
          <w:b/>
          <w:sz w:val="24"/>
          <w:szCs w:val="24"/>
          <w:lang w:val="en-GB"/>
        </w:rPr>
        <w:t xml:space="preserve"> </w:t>
      </w:r>
      <w:r w:rsidRPr="00D14F07">
        <w:rPr>
          <w:rFonts w:ascii="Arial" w:hAnsi="Arial" w:cs="Arial"/>
          <w:sz w:val="24"/>
          <w:szCs w:val="24"/>
          <w:lang w:val="en-GB"/>
        </w:rPr>
        <w:t xml:space="preserve">s 34, </w:t>
      </w:r>
      <w:r w:rsidR="003D7D2C" w:rsidRPr="00D14F07">
        <w:rPr>
          <w:rFonts w:ascii="Arial" w:hAnsi="Arial" w:cs="Arial"/>
          <w:sz w:val="24"/>
          <w:szCs w:val="24"/>
          <w:lang w:val="en-GB"/>
        </w:rPr>
        <w:t xml:space="preserve">it is </w:t>
      </w:r>
      <w:r w:rsidR="004339A4" w:rsidRPr="00D14F07">
        <w:rPr>
          <w:rFonts w:ascii="Arial" w:hAnsi="Arial" w:cs="Arial"/>
          <w:sz w:val="24"/>
          <w:szCs w:val="24"/>
          <w:lang w:val="en-GB"/>
        </w:rPr>
        <w:t xml:space="preserve">only </w:t>
      </w:r>
      <w:r w:rsidRPr="00D14F07">
        <w:rPr>
          <w:rFonts w:ascii="Arial" w:hAnsi="Arial" w:cs="Arial"/>
          <w:sz w:val="24"/>
          <w:szCs w:val="24"/>
          <w:lang w:val="en-GB"/>
        </w:rPr>
        <w:t>if the Centre has reasonable grounds to suspect a transaction involves</w:t>
      </w:r>
      <w:r w:rsidR="00ED4429" w:rsidRPr="00D14F07">
        <w:rPr>
          <w:rFonts w:ascii="Arial" w:hAnsi="Arial" w:cs="Arial"/>
          <w:sz w:val="24"/>
          <w:szCs w:val="24"/>
          <w:lang w:val="en-GB"/>
        </w:rPr>
        <w:t>,</w:t>
      </w:r>
      <w:r w:rsidRPr="00D14F07">
        <w:rPr>
          <w:rFonts w:ascii="Arial" w:hAnsi="Arial" w:cs="Arial"/>
          <w:sz w:val="24"/>
          <w:szCs w:val="24"/>
          <w:lang w:val="en-GB"/>
        </w:rPr>
        <w:t xml:space="preserve"> inter alia</w:t>
      </w:r>
      <w:r w:rsidR="00ED4429" w:rsidRPr="00D14F07">
        <w:rPr>
          <w:rFonts w:ascii="Arial" w:hAnsi="Arial" w:cs="Arial"/>
          <w:sz w:val="24"/>
          <w:szCs w:val="24"/>
          <w:lang w:val="en-GB"/>
        </w:rPr>
        <w:t>,</w:t>
      </w:r>
      <w:r w:rsidRPr="00D14F07">
        <w:rPr>
          <w:rFonts w:ascii="Arial" w:hAnsi="Arial" w:cs="Arial"/>
          <w:sz w:val="24"/>
          <w:szCs w:val="24"/>
          <w:lang w:val="en-GB"/>
        </w:rPr>
        <w:t xml:space="preserve"> the proceeds of </w:t>
      </w:r>
      <w:r w:rsidR="003D7D2C" w:rsidRPr="00D14F07">
        <w:rPr>
          <w:rFonts w:ascii="Arial" w:hAnsi="Arial" w:cs="Arial"/>
          <w:sz w:val="24"/>
          <w:szCs w:val="24"/>
          <w:lang w:val="en-GB"/>
        </w:rPr>
        <w:t>unlawful activities or property</w:t>
      </w:r>
      <w:r w:rsidR="00ED4429" w:rsidRPr="00D14F07">
        <w:rPr>
          <w:rFonts w:ascii="Arial" w:hAnsi="Arial" w:cs="Arial"/>
          <w:sz w:val="24"/>
          <w:szCs w:val="24"/>
          <w:lang w:val="en-GB"/>
        </w:rPr>
        <w:t>,</w:t>
      </w:r>
      <w:r w:rsidR="003D7D2C" w:rsidRPr="00D14F07">
        <w:rPr>
          <w:rFonts w:ascii="Arial" w:hAnsi="Arial" w:cs="Arial"/>
          <w:sz w:val="24"/>
          <w:szCs w:val="24"/>
          <w:lang w:val="en-GB"/>
        </w:rPr>
        <w:t xml:space="preserve"> that</w:t>
      </w:r>
      <w:r w:rsidRPr="00D14F07">
        <w:rPr>
          <w:rFonts w:ascii="Arial" w:hAnsi="Arial" w:cs="Arial"/>
          <w:sz w:val="24"/>
          <w:szCs w:val="24"/>
          <w:lang w:val="en-GB"/>
        </w:rPr>
        <w:t xml:space="preserve"> it may direct the accountable institution in writing not to proceed with the transaction</w:t>
      </w:r>
      <w:r w:rsidR="004339A4" w:rsidRPr="00D14F07">
        <w:rPr>
          <w:rFonts w:ascii="Arial" w:hAnsi="Arial" w:cs="Arial"/>
          <w:sz w:val="24"/>
          <w:szCs w:val="24"/>
          <w:lang w:val="en-GB"/>
        </w:rPr>
        <w:t>, but</w:t>
      </w:r>
      <w:r w:rsidR="003D7D2C" w:rsidRPr="00D14F07">
        <w:rPr>
          <w:rFonts w:ascii="Arial" w:hAnsi="Arial" w:cs="Arial"/>
          <w:sz w:val="24"/>
          <w:szCs w:val="24"/>
          <w:lang w:val="en-GB"/>
        </w:rPr>
        <w:t xml:space="preserve"> for a period not longer than ten</w:t>
      </w:r>
      <w:r w:rsidRPr="00D14F07">
        <w:rPr>
          <w:rFonts w:ascii="Arial" w:hAnsi="Arial" w:cs="Arial"/>
          <w:sz w:val="24"/>
          <w:szCs w:val="24"/>
          <w:lang w:val="en-GB"/>
        </w:rPr>
        <w:t xml:space="preserve"> </w:t>
      </w:r>
      <w:r w:rsidR="000F1FAF">
        <w:rPr>
          <w:rFonts w:ascii="Arial" w:hAnsi="Arial" w:cs="Arial"/>
          <w:sz w:val="24"/>
          <w:szCs w:val="24"/>
          <w:lang w:val="en-GB"/>
        </w:rPr>
        <w:t xml:space="preserve">(10) </w:t>
      </w:r>
      <w:r w:rsidRPr="00D14F07">
        <w:rPr>
          <w:rFonts w:ascii="Arial" w:hAnsi="Arial" w:cs="Arial"/>
          <w:sz w:val="24"/>
          <w:szCs w:val="24"/>
          <w:lang w:val="en-GB"/>
        </w:rPr>
        <w:t>days, to allow it to investigate</w:t>
      </w:r>
      <w:r w:rsidR="004339A4" w:rsidRPr="00D14F07">
        <w:rPr>
          <w:rFonts w:ascii="Arial" w:hAnsi="Arial" w:cs="Arial"/>
          <w:sz w:val="24"/>
          <w:szCs w:val="24"/>
          <w:lang w:val="en-GB"/>
        </w:rPr>
        <w:t xml:space="preserve"> the matter</w:t>
      </w:r>
      <w:r w:rsidRPr="00D14F07">
        <w:rPr>
          <w:rFonts w:ascii="Arial" w:hAnsi="Arial" w:cs="Arial"/>
          <w:sz w:val="24"/>
          <w:szCs w:val="24"/>
          <w:lang w:val="en-GB"/>
        </w:rPr>
        <w:t>.</w:t>
      </w:r>
      <w:r w:rsidR="00276BEC" w:rsidRPr="00D14F07">
        <w:rPr>
          <w:rFonts w:ascii="Arial" w:hAnsi="Arial" w:cs="Arial"/>
          <w:sz w:val="24"/>
          <w:szCs w:val="24"/>
          <w:lang w:val="en-GB"/>
        </w:rPr>
        <w:t xml:space="preserve"> Even on </w:t>
      </w:r>
      <w:r w:rsidR="00276BEC" w:rsidRPr="00D14F07">
        <w:rPr>
          <w:rFonts w:ascii="Arial" w:hAnsi="Arial" w:cs="Arial"/>
          <w:sz w:val="24"/>
          <w:szCs w:val="24"/>
          <w:lang w:val="en-GB"/>
        </w:rPr>
        <w:lastRenderedPageBreak/>
        <w:t>the assumption that the first respondent had reasonable grounds to suspect that the applicant or its members were engaging in suspicious conduct or activity, on the wording of s</w:t>
      </w:r>
      <w:r w:rsidR="003D7D2C" w:rsidRPr="00D14F07">
        <w:rPr>
          <w:rFonts w:ascii="Arial" w:hAnsi="Arial" w:cs="Arial"/>
          <w:sz w:val="24"/>
          <w:szCs w:val="24"/>
          <w:lang w:val="en-GB"/>
        </w:rPr>
        <w:t xml:space="preserve"> </w:t>
      </w:r>
      <w:r w:rsidR="00276BEC" w:rsidRPr="00D14F07">
        <w:rPr>
          <w:rFonts w:ascii="Arial" w:hAnsi="Arial" w:cs="Arial"/>
          <w:sz w:val="24"/>
          <w:szCs w:val="24"/>
          <w:lang w:val="en-GB"/>
        </w:rPr>
        <w:t>34</w:t>
      </w:r>
      <w:r w:rsidR="004339A4" w:rsidRPr="00D14F07">
        <w:rPr>
          <w:rFonts w:ascii="Arial" w:hAnsi="Arial" w:cs="Arial"/>
          <w:sz w:val="24"/>
          <w:szCs w:val="24"/>
          <w:lang w:val="en-GB"/>
        </w:rPr>
        <w:t>,</w:t>
      </w:r>
      <w:r w:rsidR="00276BEC" w:rsidRPr="00D14F07">
        <w:rPr>
          <w:rFonts w:ascii="Arial" w:hAnsi="Arial" w:cs="Arial"/>
          <w:sz w:val="24"/>
          <w:szCs w:val="24"/>
          <w:lang w:val="en-GB"/>
        </w:rPr>
        <w:t xml:space="preserve"> it has no authority to halt or interrupt a transaction.  Even if it did, which is patently inconsistent with the most generous interpretation of s</w:t>
      </w:r>
      <w:r w:rsidR="003D7D2C" w:rsidRPr="00D14F07">
        <w:rPr>
          <w:rFonts w:ascii="Arial" w:hAnsi="Arial" w:cs="Arial"/>
          <w:sz w:val="24"/>
          <w:szCs w:val="24"/>
          <w:lang w:val="en-GB"/>
        </w:rPr>
        <w:t xml:space="preserve"> </w:t>
      </w:r>
      <w:r w:rsidR="00276BEC" w:rsidRPr="00D14F07">
        <w:rPr>
          <w:rFonts w:ascii="Arial" w:hAnsi="Arial" w:cs="Arial"/>
          <w:sz w:val="24"/>
          <w:szCs w:val="24"/>
          <w:lang w:val="en-GB"/>
        </w:rPr>
        <w:t xml:space="preserve">34, this interruption could </w:t>
      </w:r>
      <w:r w:rsidR="003D7D2C" w:rsidRPr="00D14F07">
        <w:rPr>
          <w:rFonts w:ascii="Arial" w:hAnsi="Arial" w:cs="Arial"/>
          <w:sz w:val="24"/>
          <w:szCs w:val="24"/>
          <w:lang w:val="en-GB"/>
        </w:rPr>
        <w:t>not have lasted for more than ten</w:t>
      </w:r>
      <w:r w:rsidR="00276BEC" w:rsidRPr="00D14F07">
        <w:rPr>
          <w:rFonts w:ascii="Arial" w:hAnsi="Arial" w:cs="Arial"/>
          <w:sz w:val="24"/>
          <w:szCs w:val="24"/>
          <w:lang w:val="en-GB"/>
        </w:rPr>
        <w:t xml:space="preserve"> </w:t>
      </w:r>
      <w:r w:rsidR="000F1FAF">
        <w:rPr>
          <w:rFonts w:ascii="Arial" w:hAnsi="Arial" w:cs="Arial"/>
          <w:sz w:val="24"/>
          <w:szCs w:val="24"/>
          <w:lang w:val="en-GB"/>
        </w:rPr>
        <w:t xml:space="preserve">(10) </w:t>
      </w:r>
      <w:r w:rsidR="00276BEC" w:rsidRPr="00D14F07">
        <w:rPr>
          <w:rFonts w:ascii="Arial" w:hAnsi="Arial" w:cs="Arial"/>
          <w:sz w:val="24"/>
          <w:szCs w:val="24"/>
          <w:lang w:val="en-GB"/>
        </w:rPr>
        <w:t>days. In the present matter, the first respondent through its unilateral actions, ha</w:t>
      </w:r>
      <w:r w:rsidR="004339A4" w:rsidRPr="00D14F07">
        <w:rPr>
          <w:rFonts w:ascii="Arial" w:hAnsi="Arial" w:cs="Arial"/>
          <w:sz w:val="24"/>
          <w:szCs w:val="24"/>
          <w:lang w:val="en-GB"/>
        </w:rPr>
        <w:t>s</w:t>
      </w:r>
      <w:r w:rsidR="00276BEC" w:rsidRPr="00D14F07">
        <w:rPr>
          <w:rFonts w:ascii="Arial" w:hAnsi="Arial" w:cs="Arial"/>
          <w:sz w:val="24"/>
          <w:szCs w:val="24"/>
          <w:lang w:val="en-GB"/>
        </w:rPr>
        <w:t xml:space="preserve"> halted payment to </w:t>
      </w:r>
      <w:r w:rsidR="000F1FAF">
        <w:rPr>
          <w:rFonts w:ascii="Arial" w:hAnsi="Arial" w:cs="Arial"/>
          <w:sz w:val="24"/>
          <w:szCs w:val="24"/>
          <w:lang w:val="en-GB"/>
        </w:rPr>
        <w:t>the applicant since October 2019</w:t>
      </w:r>
      <w:r w:rsidR="00276BEC" w:rsidRPr="00D14F07">
        <w:rPr>
          <w:rFonts w:ascii="Arial" w:hAnsi="Arial" w:cs="Arial"/>
          <w:sz w:val="24"/>
          <w:szCs w:val="24"/>
          <w:lang w:val="en-GB"/>
        </w:rPr>
        <w:t xml:space="preserve"> when transfer of the property was registered.</w:t>
      </w:r>
      <w:r w:rsidR="000F1FAF">
        <w:rPr>
          <w:rFonts w:ascii="Arial" w:hAnsi="Arial" w:cs="Arial"/>
          <w:sz w:val="24"/>
          <w:szCs w:val="24"/>
          <w:lang w:val="en-GB"/>
        </w:rPr>
        <w:t xml:space="preserve"> On that basis, roughly 720 days would have passed and the first respondent has still not paid over the proceeds from the sale to the applicant.</w:t>
      </w:r>
      <w:r w:rsidR="00276BEC" w:rsidRPr="00D14F07">
        <w:rPr>
          <w:rFonts w:ascii="Arial" w:hAnsi="Arial" w:cs="Arial"/>
          <w:sz w:val="24"/>
          <w:szCs w:val="24"/>
          <w:lang w:val="en-GB"/>
        </w:rPr>
        <w:t xml:space="preserve"> </w:t>
      </w:r>
    </w:p>
    <w:p w:rsidR="002D681E" w:rsidRPr="00D14F07" w:rsidRDefault="002D681E" w:rsidP="002D681E">
      <w:pPr>
        <w:pStyle w:val="ListParagraph"/>
        <w:tabs>
          <w:tab w:val="left" w:pos="567"/>
        </w:tabs>
        <w:spacing w:after="0" w:line="360" w:lineRule="auto"/>
        <w:ind w:left="0"/>
        <w:jc w:val="both"/>
        <w:rPr>
          <w:rFonts w:ascii="Arial" w:hAnsi="Arial" w:cs="Arial"/>
          <w:sz w:val="24"/>
          <w:szCs w:val="24"/>
          <w:lang w:val="en-GB"/>
        </w:rPr>
      </w:pPr>
    </w:p>
    <w:p w:rsidR="00173D30" w:rsidRPr="00D14F07" w:rsidRDefault="002D681E" w:rsidP="00D14F07">
      <w:pPr>
        <w:pStyle w:val="ListParagraph"/>
        <w:numPr>
          <w:ilvl w:val="0"/>
          <w:numId w:val="1"/>
        </w:numPr>
        <w:tabs>
          <w:tab w:val="left" w:pos="567"/>
        </w:tabs>
        <w:spacing w:after="0" w:line="360" w:lineRule="auto"/>
        <w:ind w:left="0" w:firstLine="0"/>
        <w:jc w:val="both"/>
        <w:rPr>
          <w:rFonts w:ascii="Arial" w:hAnsi="Arial" w:cs="Arial"/>
          <w:sz w:val="24"/>
          <w:szCs w:val="24"/>
          <w:lang w:val="en-GB"/>
        </w:rPr>
      </w:pPr>
      <w:r w:rsidRPr="00D14F07">
        <w:rPr>
          <w:rFonts w:ascii="Arial" w:hAnsi="Arial" w:cs="Arial"/>
          <w:sz w:val="24"/>
          <w:szCs w:val="24"/>
          <w:lang w:val="en-GB"/>
        </w:rPr>
        <w:t>I</w:t>
      </w:r>
      <w:r w:rsidR="00173D30" w:rsidRPr="00D14F07">
        <w:rPr>
          <w:rFonts w:ascii="Arial" w:hAnsi="Arial" w:cs="Arial"/>
          <w:sz w:val="24"/>
          <w:szCs w:val="24"/>
          <w:lang w:val="en-GB"/>
        </w:rPr>
        <w:t xml:space="preserve">n </w:t>
      </w:r>
      <w:r w:rsidR="00173D30" w:rsidRPr="00D14F07">
        <w:rPr>
          <w:rFonts w:ascii="Arial" w:hAnsi="Arial" w:cs="Arial"/>
          <w:i/>
          <w:sz w:val="24"/>
          <w:szCs w:val="24"/>
          <w:lang w:val="en-GB"/>
        </w:rPr>
        <w:t>Ospoort Boerdery CC and Another v Freyson Attorneys and Another</w:t>
      </w:r>
      <w:r w:rsidR="00173D30" w:rsidRPr="00D14F07">
        <w:rPr>
          <w:rFonts w:ascii="Arial" w:hAnsi="Arial" w:cs="Arial"/>
          <w:sz w:val="24"/>
          <w:szCs w:val="24"/>
          <w:lang w:val="en-GB"/>
        </w:rPr>
        <w:t xml:space="preserve"> (15637/2018) [2018] ZAGPJHC 696 (13 November 2018) </w:t>
      </w:r>
      <w:r w:rsidR="00A007E9" w:rsidRPr="00D14F07">
        <w:rPr>
          <w:rFonts w:ascii="Arial" w:hAnsi="Arial" w:cs="Arial"/>
          <w:sz w:val="24"/>
          <w:szCs w:val="24"/>
          <w:lang w:val="en-GB"/>
        </w:rPr>
        <w:t>the c</w:t>
      </w:r>
      <w:r w:rsidRPr="00D14F07">
        <w:rPr>
          <w:rFonts w:ascii="Arial" w:hAnsi="Arial" w:cs="Arial"/>
          <w:sz w:val="24"/>
          <w:szCs w:val="24"/>
          <w:lang w:val="en-GB"/>
        </w:rPr>
        <w:t xml:space="preserve">ourt </w:t>
      </w:r>
      <w:r w:rsidR="00173D30" w:rsidRPr="00D14F07">
        <w:rPr>
          <w:rFonts w:ascii="Arial" w:hAnsi="Arial" w:cs="Arial"/>
          <w:sz w:val="24"/>
          <w:szCs w:val="24"/>
          <w:lang w:val="en-GB"/>
        </w:rPr>
        <w:t>interpreted s 34 to the effect that a firm of attorneys was found to only be permitted to withhold a deposit of money made to it if the Centre directed it to.</w:t>
      </w:r>
      <w:r w:rsidR="004339A4" w:rsidRPr="00D14F07">
        <w:rPr>
          <w:rFonts w:ascii="Arial" w:hAnsi="Arial" w:cs="Arial"/>
          <w:sz w:val="24"/>
          <w:szCs w:val="24"/>
          <w:lang w:val="en-GB"/>
        </w:rPr>
        <w:t xml:space="preserve"> In that </w:t>
      </w:r>
      <w:r w:rsidRPr="00D14F07">
        <w:rPr>
          <w:rFonts w:ascii="Arial" w:hAnsi="Arial" w:cs="Arial"/>
          <w:sz w:val="24"/>
          <w:szCs w:val="24"/>
          <w:lang w:val="en-GB"/>
        </w:rPr>
        <w:t>case the firm of attorneys refused to repay a d</w:t>
      </w:r>
      <w:r w:rsidR="004339A4" w:rsidRPr="00D14F07">
        <w:rPr>
          <w:rFonts w:ascii="Arial" w:hAnsi="Arial" w:cs="Arial"/>
          <w:sz w:val="24"/>
          <w:szCs w:val="24"/>
          <w:lang w:val="en-GB"/>
        </w:rPr>
        <w:t>eposit to the applicant after it</w:t>
      </w:r>
      <w:r w:rsidRPr="00D14F07">
        <w:rPr>
          <w:rFonts w:ascii="Arial" w:hAnsi="Arial" w:cs="Arial"/>
          <w:sz w:val="24"/>
          <w:szCs w:val="24"/>
          <w:lang w:val="en-GB"/>
        </w:rPr>
        <w:t xml:space="preserve"> reported the matter to the Centre in terms of s</w:t>
      </w:r>
      <w:r w:rsidR="00A007E9" w:rsidRPr="00D14F07">
        <w:rPr>
          <w:rFonts w:ascii="Arial" w:hAnsi="Arial" w:cs="Arial"/>
          <w:sz w:val="24"/>
          <w:szCs w:val="24"/>
          <w:lang w:val="en-GB"/>
        </w:rPr>
        <w:t xml:space="preserve"> </w:t>
      </w:r>
      <w:r w:rsidRPr="00D14F07">
        <w:rPr>
          <w:rFonts w:ascii="Arial" w:hAnsi="Arial" w:cs="Arial"/>
          <w:sz w:val="24"/>
          <w:szCs w:val="24"/>
          <w:lang w:val="en-GB"/>
        </w:rPr>
        <w:t xml:space="preserve">29.  The attorneys maintained that they were entitled to retain the deposit pending a directive issued by the Centre authorising payment to the client.    </w:t>
      </w:r>
      <w:r w:rsidR="00423214" w:rsidRPr="00D14F07">
        <w:rPr>
          <w:rFonts w:ascii="Arial" w:hAnsi="Arial" w:cs="Arial"/>
          <w:sz w:val="24"/>
          <w:szCs w:val="24"/>
          <w:lang w:val="en-GB"/>
        </w:rPr>
        <w:t>One of the purposes of intervention by the Centre is to prevent the dissipation of funds or property which may be the proceeds of unlawful activity.  No such allegation is made by the first respondent in the matter before me.</w:t>
      </w:r>
      <w:r w:rsidR="000F1FAF">
        <w:rPr>
          <w:rFonts w:ascii="Arial" w:hAnsi="Arial" w:cs="Arial"/>
          <w:sz w:val="24"/>
          <w:szCs w:val="24"/>
          <w:lang w:val="en-GB"/>
        </w:rPr>
        <w:t xml:space="preserve"> </w:t>
      </w:r>
      <w:r w:rsidR="00714BF3" w:rsidRPr="00D14F07">
        <w:rPr>
          <w:rFonts w:ascii="Arial" w:hAnsi="Arial" w:cs="Arial"/>
          <w:sz w:val="24"/>
          <w:szCs w:val="24"/>
          <w:lang w:val="en-GB"/>
        </w:rPr>
        <w:t xml:space="preserve">In concluding that the attorneys in </w:t>
      </w:r>
      <w:r w:rsidR="00714BF3" w:rsidRPr="00D14F07">
        <w:rPr>
          <w:rFonts w:ascii="Arial" w:hAnsi="Arial" w:cs="Arial"/>
          <w:i/>
          <w:sz w:val="24"/>
          <w:szCs w:val="24"/>
          <w:lang w:val="en-GB"/>
        </w:rPr>
        <w:t>Ospoort Boerdery</w:t>
      </w:r>
      <w:r w:rsidR="00714BF3" w:rsidRPr="00D14F07">
        <w:rPr>
          <w:rFonts w:ascii="Arial" w:hAnsi="Arial" w:cs="Arial"/>
          <w:sz w:val="24"/>
          <w:szCs w:val="24"/>
          <w:lang w:val="en-GB"/>
        </w:rPr>
        <w:t xml:space="preserve"> had no authority to demand a directive from the Centre to intervene (s</w:t>
      </w:r>
      <w:r w:rsidR="00A007E9" w:rsidRPr="00D14F07">
        <w:rPr>
          <w:rFonts w:ascii="Arial" w:hAnsi="Arial" w:cs="Arial"/>
          <w:sz w:val="24"/>
          <w:szCs w:val="24"/>
          <w:lang w:val="en-GB"/>
        </w:rPr>
        <w:t xml:space="preserve"> </w:t>
      </w:r>
      <w:r w:rsidR="00714BF3" w:rsidRPr="00D14F07">
        <w:rPr>
          <w:rFonts w:ascii="Arial" w:hAnsi="Arial" w:cs="Arial"/>
          <w:sz w:val="24"/>
          <w:szCs w:val="24"/>
          <w:lang w:val="en-GB"/>
        </w:rPr>
        <w:t>34)</w:t>
      </w:r>
      <w:r w:rsidR="004339A4" w:rsidRPr="00D14F07">
        <w:rPr>
          <w:rFonts w:ascii="Arial" w:hAnsi="Arial" w:cs="Arial"/>
          <w:sz w:val="24"/>
          <w:szCs w:val="24"/>
          <w:lang w:val="en-GB"/>
        </w:rPr>
        <w:t>,</w:t>
      </w:r>
      <w:r w:rsidR="00714BF3" w:rsidRPr="00D14F07">
        <w:rPr>
          <w:rFonts w:ascii="Arial" w:hAnsi="Arial" w:cs="Arial"/>
          <w:sz w:val="24"/>
          <w:szCs w:val="24"/>
          <w:lang w:val="en-GB"/>
        </w:rPr>
        <w:t xml:space="preserve"> and that the retention of monies by the attorneys could not be sustained, the court relied on </w:t>
      </w:r>
      <w:r w:rsidR="00173D30" w:rsidRPr="00D14F07">
        <w:rPr>
          <w:rFonts w:ascii="Arial" w:hAnsi="Arial" w:cs="Arial"/>
          <w:i/>
          <w:sz w:val="24"/>
          <w:szCs w:val="24"/>
          <w:lang w:val="en-GB"/>
        </w:rPr>
        <w:t>South African Petroleum Energy Guild (NPC) v RMB Private Bank</w:t>
      </w:r>
      <w:r w:rsidR="00173D30" w:rsidRPr="00D14F07">
        <w:rPr>
          <w:rFonts w:ascii="Arial" w:hAnsi="Arial" w:cs="Arial"/>
          <w:sz w:val="24"/>
          <w:szCs w:val="24"/>
          <w:lang w:val="en-GB"/>
        </w:rPr>
        <w:t xml:space="preserve"> (2014/27890) [2014] ZAGPJHC 368 (5 December 2014), </w:t>
      </w:r>
      <w:r w:rsidR="00714BF3" w:rsidRPr="00D14F07">
        <w:rPr>
          <w:rFonts w:ascii="Arial" w:hAnsi="Arial" w:cs="Arial"/>
          <w:sz w:val="24"/>
          <w:szCs w:val="24"/>
          <w:lang w:val="en-GB"/>
        </w:rPr>
        <w:t xml:space="preserve">where </w:t>
      </w:r>
      <w:r w:rsidR="00173D30" w:rsidRPr="00D14F07">
        <w:rPr>
          <w:rFonts w:ascii="Arial" w:hAnsi="Arial" w:cs="Arial"/>
          <w:sz w:val="24"/>
          <w:szCs w:val="24"/>
          <w:lang w:val="en-GB"/>
        </w:rPr>
        <w:t xml:space="preserve">a </w:t>
      </w:r>
      <w:r w:rsidR="00714BF3" w:rsidRPr="00D14F07">
        <w:rPr>
          <w:rFonts w:ascii="Arial" w:hAnsi="Arial" w:cs="Arial"/>
          <w:sz w:val="24"/>
          <w:szCs w:val="24"/>
          <w:lang w:val="en-GB"/>
        </w:rPr>
        <w:t>b</w:t>
      </w:r>
      <w:r w:rsidR="00173D30" w:rsidRPr="00D14F07">
        <w:rPr>
          <w:rFonts w:ascii="Arial" w:hAnsi="Arial" w:cs="Arial"/>
          <w:sz w:val="24"/>
          <w:szCs w:val="24"/>
          <w:lang w:val="en-GB"/>
        </w:rPr>
        <w:t>ank had frozen funds on suspicion that the funds were the pro</w:t>
      </w:r>
      <w:r w:rsidR="00AA46B4" w:rsidRPr="00D14F07">
        <w:rPr>
          <w:rFonts w:ascii="Arial" w:hAnsi="Arial" w:cs="Arial"/>
          <w:sz w:val="24"/>
          <w:szCs w:val="24"/>
          <w:lang w:val="en-GB"/>
        </w:rPr>
        <w:t>ceeds of illegal activity. The b</w:t>
      </w:r>
      <w:r w:rsidR="00173D30" w:rsidRPr="00D14F07">
        <w:rPr>
          <w:rFonts w:ascii="Arial" w:hAnsi="Arial" w:cs="Arial"/>
          <w:sz w:val="24"/>
          <w:szCs w:val="24"/>
          <w:lang w:val="en-GB"/>
        </w:rPr>
        <w:t xml:space="preserve">ank contended that its right to do so arose from a tacit or implied term </w:t>
      </w:r>
      <w:r w:rsidR="008F600E" w:rsidRPr="00D14F07">
        <w:rPr>
          <w:rFonts w:ascii="Arial" w:hAnsi="Arial" w:cs="Arial"/>
          <w:sz w:val="24"/>
          <w:szCs w:val="24"/>
          <w:lang w:val="en-GB"/>
        </w:rPr>
        <w:t>that it was entitled to freeze funds on</w:t>
      </w:r>
      <w:r w:rsidR="00173D30" w:rsidRPr="00D14F07">
        <w:rPr>
          <w:rFonts w:ascii="Arial" w:hAnsi="Arial" w:cs="Arial"/>
          <w:sz w:val="24"/>
          <w:szCs w:val="24"/>
          <w:lang w:val="en-GB"/>
        </w:rPr>
        <w:t xml:space="preserve"> suspicion</w:t>
      </w:r>
      <w:r w:rsidR="008F600E" w:rsidRPr="00D14F07">
        <w:rPr>
          <w:rFonts w:ascii="Arial" w:hAnsi="Arial" w:cs="Arial"/>
          <w:sz w:val="24"/>
          <w:szCs w:val="24"/>
          <w:lang w:val="en-GB"/>
        </w:rPr>
        <w:t xml:space="preserve"> that the funds were the proceeds</w:t>
      </w:r>
      <w:r w:rsidR="00173D30" w:rsidRPr="00D14F07">
        <w:rPr>
          <w:rFonts w:ascii="Arial" w:hAnsi="Arial" w:cs="Arial"/>
          <w:sz w:val="24"/>
          <w:szCs w:val="24"/>
          <w:lang w:val="en-GB"/>
        </w:rPr>
        <w:t xml:space="preserve"> of </w:t>
      </w:r>
      <w:r w:rsidR="0085685B" w:rsidRPr="00D14F07">
        <w:rPr>
          <w:rFonts w:ascii="Arial" w:hAnsi="Arial" w:cs="Arial"/>
          <w:sz w:val="24"/>
          <w:szCs w:val="24"/>
          <w:lang w:val="en-GB"/>
        </w:rPr>
        <w:t xml:space="preserve">illegal </w:t>
      </w:r>
      <w:r w:rsidR="00173D30" w:rsidRPr="00D14F07">
        <w:rPr>
          <w:rFonts w:ascii="Arial" w:hAnsi="Arial" w:cs="Arial"/>
          <w:sz w:val="24"/>
          <w:szCs w:val="24"/>
          <w:lang w:val="en-GB"/>
        </w:rPr>
        <w:t>activit</w:t>
      </w:r>
      <w:r w:rsidR="008F600E" w:rsidRPr="00D14F07">
        <w:rPr>
          <w:rFonts w:ascii="Arial" w:hAnsi="Arial" w:cs="Arial"/>
          <w:sz w:val="24"/>
          <w:szCs w:val="24"/>
          <w:lang w:val="en-GB"/>
        </w:rPr>
        <w:t>y</w:t>
      </w:r>
      <w:r w:rsidR="00173D30" w:rsidRPr="00D14F07">
        <w:rPr>
          <w:rFonts w:ascii="Arial" w:hAnsi="Arial" w:cs="Arial"/>
          <w:sz w:val="24"/>
          <w:szCs w:val="24"/>
          <w:lang w:val="en-GB"/>
        </w:rPr>
        <w:t xml:space="preserve">, and that it had certain duties that included refraining from allowing its facilities for being used for unlawful means. </w:t>
      </w:r>
      <w:r w:rsidR="004339A4" w:rsidRPr="00D14F07">
        <w:rPr>
          <w:rFonts w:ascii="Arial" w:hAnsi="Arial" w:cs="Arial"/>
          <w:sz w:val="24"/>
          <w:szCs w:val="24"/>
          <w:lang w:val="en-GB"/>
        </w:rPr>
        <w:t xml:space="preserve">Sutherland J </w:t>
      </w:r>
      <w:r w:rsidR="00173D30" w:rsidRPr="00D14F07">
        <w:rPr>
          <w:rFonts w:ascii="Arial" w:hAnsi="Arial" w:cs="Arial"/>
          <w:sz w:val="24"/>
          <w:szCs w:val="24"/>
          <w:lang w:val="en-GB"/>
        </w:rPr>
        <w:t>held th</w:t>
      </w:r>
      <w:r w:rsidR="004339A4" w:rsidRPr="00D14F07">
        <w:rPr>
          <w:rFonts w:ascii="Arial" w:hAnsi="Arial" w:cs="Arial"/>
          <w:sz w:val="24"/>
          <w:szCs w:val="24"/>
          <w:lang w:val="en-GB"/>
        </w:rPr>
        <w:t>at no such duty arose from FICA, and said</w:t>
      </w:r>
      <w:r w:rsidR="00173D30" w:rsidRPr="00D14F07">
        <w:rPr>
          <w:rFonts w:ascii="Arial" w:hAnsi="Arial" w:cs="Arial"/>
          <w:sz w:val="24"/>
          <w:szCs w:val="24"/>
          <w:lang w:val="en-GB"/>
        </w:rPr>
        <w:t>:</w:t>
      </w:r>
    </w:p>
    <w:p w:rsidR="00930218" w:rsidRPr="00D14F07" w:rsidRDefault="00A007E9" w:rsidP="00A007E9">
      <w:pPr>
        <w:shd w:val="clear" w:color="auto" w:fill="FFFFFF"/>
        <w:spacing w:after="0" w:line="360" w:lineRule="auto"/>
        <w:jc w:val="both"/>
        <w:rPr>
          <w:rFonts w:ascii="Arial" w:eastAsia="Times New Roman" w:hAnsi="Arial" w:cs="Arial"/>
          <w:lang w:val="en-GB" w:eastAsia="en-ZA"/>
        </w:rPr>
      </w:pPr>
      <w:r w:rsidRPr="00D14F07">
        <w:rPr>
          <w:rFonts w:ascii="Arial" w:hAnsi="Arial" w:cs="Arial"/>
          <w:lang w:val="en-GB"/>
        </w:rPr>
        <w:t>‘</w:t>
      </w:r>
      <w:r w:rsidR="00173D30" w:rsidRPr="00D14F07">
        <w:rPr>
          <w:rFonts w:ascii="Arial" w:hAnsi="Arial" w:cs="Arial"/>
          <w:lang w:val="en-GB"/>
        </w:rPr>
        <w:t>[28]</w:t>
      </w:r>
      <w:r w:rsidR="00173D30" w:rsidRPr="00D14F07">
        <w:rPr>
          <w:rFonts w:ascii="Arial" w:hAnsi="Arial" w:cs="Arial"/>
          <w:lang w:val="en-GB"/>
        </w:rPr>
        <w:tab/>
      </w:r>
      <w:r w:rsidR="00173D30" w:rsidRPr="00D14F07">
        <w:rPr>
          <w:rFonts w:ascii="Arial" w:eastAsia="Times New Roman" w:hAnsi="Arial" w:cs="Arial"/>
          <w:lang w:val="en-GB" w:eastAsia="en-ZA"/>
        </w:rPr>
        <w:t xml:space="preserve">. . .  the term sought to be imputed and its radical intrusion on the rights of a client far exceed what FICA authorises the Centre to do. What is sometimes overlooked is that even criminals have rights; the more basic of which is to be convicted before being punished. .  . . </w:t>
      </w:r>
    </w:p>
    <w:p w:rsidR="00930218" w:rsidRPr="00D14F07" w:rsidRDefault="00930218" w:rsidP="00A007E9">
      <w:pPr>
        <w:shd w:val="clear" w:color="auto" w:fill="FFFFFF"/>
        <w:spacing w:after="0" w:line="360" w:lineRule="auto"/>
        <w:jc w:val="both"/>
        <w:rPr>
          <w:rFonts w:ascii="Arial" w:eastAsia="Times New Roman" w:hAnsi="Arial" w:cs="Arial"/>
          <w:lang w:val="en-GB" w:eastAsia="en-ZA"/>
        </w:rPr>
      </w:pPr>
      <w:r w:rsidRPr="00D14F07">
        <w:rPr>
          <w:rFonts w:ascii="Arial" w:eastAsia="Times New Roman" w:hAnsi="Arial" w:cs="Arial"/>
          <w:lang w:val="en-GB" w:eastAsia="en-ZA"/>
        </w:rPr>
        <w:lastRenderedPageBreak/>
        <w:t>[29]</w:t>
      </w:r>
      <w:r w:rsidRPr="00D14F07">
        <w:rPr>
          <w:rFonts w:ascii="Arial" w:eastAsia="Times New Roman" w:hAnsi="Arial" w:cs="Arial"/>
          <w:lang w:eastAsia="en-ZA"/>
        </w:rPr>
        <w:tab/>
      </w:r>
      <w:r w:rsidRPr="00D14F07">
        <w:rPr>
          <w:rFonts w:ascii="Arial" w:eastAsia="Times New Roman" w:hAnsi="Arial" w:cs="Arial"/>
          <w:lang w:val="en-GB" w:eastAsia="en-ZA"/>
        </w:rPr>
        <w:t>. . .  the respondent claims a term that entitles it to freeze R5 million of a business for over five months, and further claims it may continue to do so until the applicant convinces a court that the bank’s belief in its wickedness is unreasonable. In my view to imply such a term is untenable.’</w:t>
      </w:r>
    </w:p>
    <w:p w:rsidR="00A007E9" w:rsidRPr="00D14F07" w:rsidRDefault="00A007E9" w:rsidP="00A007E9">
      <w:pPr>
        <w:shd w:val="clear" w:color="auto" w:fill="FFFFFF"/>
        <w:spacing w:after="0" w:line="360" w:lineRule="auto"/>
        <w:jc w:val="both"/>
        <w:rPr>
          <w:rFonts w:ascii="Arial" w:eastAsia="Times New Roman" w:hAnsi="Arial" w:cs="Arial"/>
          <w:lang w:val="en-GB" w:eastAsia="en-ZA"/>
        </w:rPr>
      </w:pPr>
    </w:p>
    <w:p w:rsidR="00AA46B4" w:rsidRPr="00D14F07" w:rsidRDefault="00277C02" w:rsidP="0085685B">
      <w:pPr>
        <w:shd w:val="clear" w:color="auto" w:fill="FFFFFF"/>
        <w:tabs>
          <w:tab w:val="left" w:pos="567"/>
        </w:tabs>
        <w:spacing w:after="0" w:line="360" w:lineRule="auto"/>
        <w:jc w:val="both"/>
        <w:rPr>
          <w:rFonts w:ascii="Arial" w:eastAsia="Times New Roman" w:hAnsi="Arial" w:cs="Arial"/>
          <w:sz w:val="24"/>
          <w:szCs w:val="24"/>
          <w:lang w:val="en-GB" w:eastAsia="en-ZA"/>
        </w:rPr>
      </w:pPr>
      <w:r w:rsidRPr="00D14F07">
        <w:rPr>
          <w:rFonts w:ascii="Arial" w:eastAsia="Times New Roman" w:hAnsi="Arial" w:cs="Arial"/>
          <w:sz w:val="24"/>
          <w:szCs w:val="24"/>
          <w:lang w:val="en-GB" w:eastAsia="en-ZA"/>
        </w:rPr>
        <w:t>[</w:t>
      </w:r>
      <w:r w:rsidR="000B23E7" w:rsidRPr="00D14F07">
        <w:rPr>
          <w:rFonts w:ascii="Arial" w:eastAsia="Times New Roman" w:hAnsi="Arial" w:cs="Arial"/>
          <w:sz w:val="24"/>
          <w:szCs w:val="24"/>
          <w:lang w:val="en-GB" w:eastAsia="en-ZA"/>
        </w:rPr>
        <w:t>23</w:t>
      </w:r>
      <w:r w:rsidRPr="00D14F07">
        <w:rPr>
          <w:rFonts w:ascii="Arial" w:eastAsia="Times New Roman" w:hAnsi="Arial" w:cs="Arial"/>
          <w:sz w:val="24"/>
          <w:szCs w:val="24"/>
          <w:lang w:val="en-GB" w:eastAsia="en-ZA"/>
        </w:rPr>
        <w:t>]</w:t>
      </w:r>
      <w:r w:rsidR="00113600" w:rsidRPr="00D14F07">
        <w:rPr>
          <w:rFonts w:ascii="Arial" w:eastAsia="Times New Roman" w:hAnsi="Arial" w:cs="Arial"/>
          <w:sz w:val="24"/>
          <w:szCs w:val="24"/>
          <w:lang w:val="en-GB" w:eastAsia="en-ZA"/>
        </w:rPr>
        <w:tab/>
        <w:t xml:space="preserve">In </w:t>
      </w:r>
      <w:r w:rsidR="00AA46B4" w:rsidRPr="00D14F07">
        <w:rPr>
          <w:rFonts w:ascii="Arial" w:eastAsia="Times New Roman" w:hAnsi="Arial" w:cs="Arial"/>
          <w:i/>
          <w:sz w:val="24"/>
          <w:szCs w:val="24"/>
          <w:lang w:val="en-GB" w:eastAsia="en-ZA"/>
        </w:rPr>
        <w:t>Houtbosplaas (Pty) Ltd and another v Nedbank Limited</w:t>
      </w:r>
      <w:r w:rsidR="00AA46B4" w:rsidRPr="00D14F07">
        <w:rPr>
          <w:rFonts w:ascii="Arial" w:eastAsia="Times New Roman" w:hAnsi="Arial" w:cs="Arial"/>
          <w:sz w:val="24"/>
          <w:szCs w:val="24"/>
          <w:lang w:val="en-GB" w:eastAsia="en-ZA"/>
        </w:rPr>
        <w:t xml:space="preserve"> [2020] JOL 46663 (GP), Nedbank (which, being a financial institution is also an ‘accountable person’ in terms of </w:t>
      </w:r>
      <w:r w:rsidR="006F6E18" w:rsidRPr="00D14F07">
        <w:rPr>
          <w:rFonts w:ascii="Arial" w:eastAsia="Times New Roman" w:hAnsi="Arial" w:cs="Arial"/>
          <w:sz w:val="24"/>
          <w:szCs w:val="24"/>
          <w:lang w:val="en-GB" w:eastAsia="en-ZA"/>
        </w:rPr>
        <w:t>FICA</w:t>
      </w:r>
      <w:r w:rsidR="00AA46B4" w:rsidRPr="00D14F07">
        <w:rPr>
          <w:rFonts w:ascii="Arial" w:eastAsia="Times New Roman" w:hAnsi="Arial" w:cs="Arial"/>
          <w:sz w:val="24"/>
          <w:szCs w:val="24"/>
          <w:lang w:val="en-GB" w:eastAsia="en-ZA"/>
        </w:rPr>
        <w:t xml:space="preserve">) restricted access to an account on the basis that its client allegedly failed to provide it with the necessary documents to allow the bank to identify it in terms of </w:t>
      </w:r>
      <w:r w:rsidR="00F155C5" w:rsidRPr="00D14F07">
        <w:rPr>
          <w:rFonts w:ascii="Arial" w:eastAsia="Times New Roman" w:hAnsi="Arial" w:cs="Arial"/>
          <w:sz w:val="24"/>
          <w:szCs w:val="24"/>
          <w:lang w:val="en-GB" w:eastAsia="en-ZA"/>
        </w:rPr>
        <w:t>FICA</w:t>
      </w:r>
      <w:r w:rsidR="00AA46B4" w:rsidRPr="00D14F07">
        <w:rPr>
          <w:rFonts w:ascii="Arial" w:eastAsia="Times New Roman" w:hAnsi="Arial" w:cs="Arial"/>
          <w:sz w:val="24"/>
          <w:szCs w:val="24"/>
          <w:lang w:val="en-GB" w:eastAsia="en-ZA"/>
        </w:rPr>
        <w:t>. The court</w:t>
      </w:r>
      <w:r w:rsidR="0085685B" w:rsidRPr="00D14F07">
        <w:rPr>
          <w:rFonts w:ascii="Arial" w:eastAsia="Times New Roman" w:hAnsi="Arial" w:cs="Arial"/>
          <w:sz w:val="24"/>
          <w:szCs w:val="24"/>
          <w:lang w:val="en-GB" w:eastAsia="en-ZA"/>
        </w:rPr>
        <w:t>, in paragraph 21,</w:t>
      </w:r>
      <w:r w:rsidR="00AA46B4" w:rsidRPr="00D14F07">
        <w:rPr>
          <w:rFonts w:ascii="Arial" w:eastAsia="Times New Roman" w:hAnsi="Arial" w:cs="Arial"/>
          <w:sz w:val="24"/>
          <w:szCs w:val="24"/>
          <w:lang w:val="en-GB" w:eastAsia="en-ZA"/>
        </w:rPr>
        <w:t xml:space="preserve"> held that this was simply not permissible:</w:t>
      </w:r>
    </w:p>
    <w:p w:rsidR="00AA46B4" w:rsidRPr="00D14F07" w:rsidRDefault="00AA46B4" w:rsidP="0085685B">
      <w:pPr>
        <w:shd w:val="clear" w:color="auto" w:fill="FFFFFF"/>
        <w:spacing w:after="0" w:line="360" w:lineRule="auto"/>
        <w:jc w:val="both"/>
        <w:rPr>
          <w:rFonts w:ascii="Arial" w:eastAsia="Times New Roman" w:hAnsi="Arial" w:cs="Arial"/>
          <w:lang w:eastAsia="en-ZA"/>
        </w:rPr>
      </w:pPr>
      <w:r w:rsidRPr="00D14F07">
        <w:rPr>
          <w:rFonts w:ascii="Arial" w:eastAsia="Times New Roman" w:hAnsi="Arial" w:cs="Arial"/>
          <w:lang w:eastAsia="en-ZA"/>
        </w:rPr>
        <w:t xml:space="preserve">‘A business relationship between a financial institution and a customer does not entitle the former to restrict or freeze access to the account of the latter, even in instances where there is a suspicion that the transaction involves unlawful activity. Section 29 of FICA provides for suspicious and unusual transactions. That would include transactions relating to offences such as money-laundering or money used to further terrorist activities or those that appear to be involved in unlawful activity. The courts have frowned upon the freezing of accounts </w:t>
      </w:r>
      <w:r w:rsidRPr="00D14F07">
        <w:rPr>
          <w:rFonts w:ascii="Arial" w:eastAsia="Times New Roman" w:hAnsi="Arial" w:cs="Arial"/>
          <w:i/>
          <w:lang w:eastAsia="en-ZA"/>
        </w:rPr>
        <w:t xml:space="preserve">even in more serious cases </w:t>
      </w:r>
      <w:r w:rsidRPr="00D14F07">
        <w:rPr>
          <w:rFonts w:ascii="Arial" w:eastAsia="Times New Roman" w:hAnsi="Arial" w:cs="Arial"/>
          <w:lang w:eastAsia="en-ZA"/>
        </w:rPr>
        <w:t>w</w:t>
      </w:r>
      <w:r w:rsidR="0026308D" w:rsidRPr="00D14F07">
        <w:rPr>
          <w:rFonts w:ascii="Arial" w:eastAsia="Times New Roman" w:hAnsi="Arial" w:cs="Arial"/>
          <w:lang w:eastAsia="en-ZA"/>
        </w:rPr>
        <w:t>[h]</w:t>
      </w:r>
      <w:r w:rsidRPr="00D14F07">
        <w:rPr>
          <w:rFonts w:ascii="Arial" w:eastAsia="Times New Roman" w:hAnsi="Arial" w:cs="Arial"/>
          <w:lang w:eastAsia="en-ZA"/>
        </w:rPr>
        <w:t xml:space="preserve">ere unlawful activities or a suspicion thereof was conducted in those accounts. It is common cause between the parties that </w:t>
      </w:r>
      <w:r w:rsidRPr="00D14F07">
        <w:rPr>
          <w:rFonts w:ascii="Arial" w:eastAsia="Times New Roman" w:hAnsi="Arial" w:cs="Arial"/>
          <w:i/>
          <w:lang w:eastAsia="en-ZA"/>
        </w:rPr>
        <w:t>the identity verification</w:t>
      </w:r>
      <w:r w:rsidRPr="00D14F07">
        <w:rPr>
          <w:rFonts w:ascii="Arial" w:eastAsia="Times New Roman" w:hAnsi="Arial" w:cs="Arial"/>
          <w:lang w:eastAsia="en-ZA"/>
        </w:rPr>
        <w:t xml:space="preserve"> in this case had absolutely nothing to do with unlawful activity or a suspicion thereof conducted in the applicants' accounts.’ (emphasis added).</w:t>
      </w:r>
    </w:p>
    <w:p w:rsidR="00D3057C" w:rsidRPr="00D14F07" w:rsidRDefault="00D3057C" w:rsidP="0085685B">
      <w:pPr>
        <w:shd w:val="clear" w:color="auto" w:fill="FFFFFF"/>
        <w:spacing w:after="0" w:line="360" w:lineRule="auto"/>
        <w:jc w:val="both"/>
        <w:rPr>
          <w:rFonts w:ascii="Arial" w:eastAsia="Times New Roman" w:hAnsi="Arial" w:cs="Arial"/>
          <w:sz w:val="24"/>
          <w:lang w:eastAsia="en-ZA"/>
        </w:rPr>
      </w:pPr>
    </w:p>
    <w:p w:rsidR="0094152E" w:rsidRPr="00D16623" w:rsidRDefault="00277C02" w:rsidP="00D16623">
      <w:pPr>
        <w:shd w:val="clear" w:color="auto" w:fill="FFFFFF"/>
        <w:spacing w:after="0" w:line="360" w:lineRule="auto"/>
        <w:jc w:val="both"/>
        <w:rPr>
          <w:rFonts w:ascii="Verdana" w:eastAsia="Times New Roman" w:hAnsi="Verdana" w:cs="Times New Roman"/>
          <w:sz w:val="27"/>
          <w:szCs w:val="27"/>
          <w:lang w:eastAsia="en-ZA"/>
        </w:rPr>
      </w:pPr>
      <w:r w:rsidRPr="00D14F07">
        <w:rPr>
          <w:rFonts w:ascii="Arial" w:eastAsia="Times New Roman" w:hAnsi="Arial" w:cs="Arial"/>
          <w:sz w:val="24"/>
          <w:szCs w:val="24"/>
          <w:lang w:val="en-GB" w:eastAsia="en-ZA"/>
        </w:rPr>
        <w:t>[24]</w:t>
      </w:r>
      <w:r w:rsidRPr="00D14F07">
        <w:rPr>
          <w:rFonts w:ascii="Arial" w:eastAsia="Times New Roman" w:hAnsi="Arial" w:cs="Arial"/>
          <w:sz w:val="24"/>
          <w:szCs w:val="24"/>
          <w:lang w:val="en-GB" w:eastAsia="en-ZA"/>
        </w:rPr>
        <w:tab/>
      </w:r>
      <w:r w:rsidR="0016183C" w:rsidRPr="00D14F07">
        <w:rPr>
          <w:rFonts w:ascii="Arial" w:eastAsia="Times New Roman" w:hAnsi="Arial" w:cs="Arial"/>
          <w:sz w:val="24"/>
          <w:szCs w:val="24"/>
          <w:lang w:val="en-GB" w:eastAsia="en-ZA"/>
        </w:rPr>
        <w:t xml:space="preserve">The essence of Mr </w:t>
      </w:r>
      <w:r w:rsidR="0016183C" w:rsidRPr="00D16623">
        <w:rPr>
          <w:rFonts w:ascii="Arial" w:eastAsia="Times New Roman" w:hAnsi="Arial" w:cs="Arial"/>
          <w:i/>
          <w:sz w:val="24"/>
          <w:szCs w:val="24"/>
          <w:lang w:val="en-GB" w:eastAsia="en-ZA"/>
        </w:rPr>
        <w:t>van Rooyen’s</w:t>
      </w:r>
      <w:r w:rsidR="0016183C" w:rsidRPr="00D14F07">
        <w:rPr>
          <w:rFonts w:ascii="Arial" w:eastAsia="Times New Roman" w:hAnsi="Arial" w:cs="Arial"/>
          <w:sz w:val="24"/>
          <w:szCs w:val="24"/>
          <w:lang w:val="en-GB" w:eastAsia="en-ZA"/>
        </w:rPr>
        <w:t xml:space="preserve"> argument </w:t>
      </w:r>
      <w:r w:rsidR="00F81444" w:rsidRPr="00D14F07">
        <w:rPr>
          <w:rFonts w:ascii="Arial" w:eastAsia="Times New Roman" w:hAnsi="Arial" w:cs="Arial"/>
          <w:sz w:val="24"/>
          <w:szCs w:val="24"/>
          <w:lang w:val="en-GB" w:eastAsia="en-ZA"/>
        </w:rPr>
        <w:t xml:space="preserve">on behalf of the applicant is </w:t>
      </w:r>
      <w:r w:rsidR="0016183C" w:rsidRPr="00D14F07">
        <w:rPr>
          <w:rFonts w:ascii="Arial" w:eastAsia="Times New Roman" w:hAnsi="Arial" w:cs="Arial"/>
          <w:sz w:val="24"/>
          <w:szCs w:val="24"/>
          <w:lang w:val="en-GB" w:eastAsia="en-ZA"/>
        </w:rPr>
        <w:t xml:space="preserve">that the first respondent has misinterpreted the provisions of FICA as to the extent of his obligations under the statute.  He is not a policing agent assuming responsibility for compliance with the provisions of </w:t>
      </w:r>
      <w:r w:rsidR="0026308D" w:rsidRPr="00D14F07">
        <w:rPr>
          <w:rFonts w:ascii="Arial" w:eastAsia="Times New Roman" w:hAnsi="Arial" w:cs="Arial"/>
          <w:sz w:val="24"/>
          <w:szCs w:val="24"/>
          <w:lang w:val="en-GB" w:eastAsia="en-ZA"/>
        </w:rPr>
        <w:t>FICA</w:t>
      </w:r>
      <w:r w:rsidR="0016183C" w:rsidRPr="00D14F07">
        <w:rPr>
          <w:rFonts w:ascii="Arial" w:eastAsia="Times New Roman" w:hAnsi="Arial" w:cs="Arial"/>
          <w:sz w:val="24"/>
          <w:szCs w:val="24"/>
          <w:lang w:val="en-GB" w:eastAsia="en-ZA"/>
        </w:rPr>
        <w:t xml:space="preserve">. As I have stated earlier, the first respondent’s duty of verification of the personal details of the applicant and </w:t>
      </w:r>
      <w:r w:rsidR="000F1FAF">
        <w:rPr>
          <w:rFonts w:ascii="Arial" w:eastAsia="Times New Roman" w:hAnsi="Arial" w:cs="Arial"/>
          <w:sz w:val="24"/>
          <w:szCs w:val="24"/>
          <w:lang w:val="en-GB" w:eastAsia="en-ZA"/>
        </w:rPr>
        <w:t xml:space="preserve">its </w:t>
      </w:r>
      <w:r w:rsidR="0016183C" w:rsidRPr="00D14F07">
        <w:rPr>
          <w:rFonts w:ascii="Arial" w:eastAsia="Times New Roman" w:hAnsi="Arial" w:cs="Arial"/>
          <w:sz w:val="24"/>
          <w:szCs w:val="24"/>
          <w:lang w:val="en-GB" w:eastAsia="en-ZA"/>
        </w:rPr>
        <w:t xml:space="preserve">members was to take place </w:t>
      </w:r>
      <w:r w:rsidR="0016183C" w:rsidRPr="00D14F07">
        <w:rPr>
          <w:rFonts w:ascii="Arial" w:eastAsia="Times New Roman" w:hAnsi="Arial" w:cs="Arial"/>
          <w:i/>
          <w:sz w:val="24"/>
          <w:szCs w:val="24"/>
          <w:lang w:val="en-GB" w:eastAsia="en-ZA"/>
        </w:rPr>
        <w:t>prior</w:t>
      </w:r>
      <w:r w:rsidR="0016183C" w:rsidRPr="00D14F07">
        <w:rPr>
          <w:rFonts w:ascii="Arial" w:eastAsia="Times New Roman" w:hAnsi="Arial" w:cs="Arial"/>
          <w:sz w:val="24"/>
          <w:szCs w:val="24"/>
          <w:lang w:val="en-GB" w:eastAsia="en-ZA"/>
        </w:rPr>
        <w:t xml:space="preserve"> to accepting the instruction to act as conveyancing attorney. </w:t>
      </w:r>
      <w:r w:rsidR="00BD4B60" w:rsidRPr="00D14F07">
        <w:rPr>
          <w:rFonts w:ascii="Arial" w:eastAsia="Times New Roman" w:hAnsi="Arial" w:cs="Arial"/>
          <w:sz w:val="24"/>
          <w:szCs w:val="24"/>
          <w:lang w:val="en-GB" w:eastAsia="en-ZA"/>
        </w:rPr>
        <w:t xml:space="preserve">At the very least, this verification exercise must be completed </w:t>
      </w:r>
      <w:r w:rsidR="0026308D" w:rsidRPr="00D14F07">
        <w:rPr>
          <w:rFonts w:ascii="Arial" w:eastAsia="Times New Roman" w:hAnsi="Arial" w:cs="Arial"/>
          <w:sz w:val="24"/>
          <w:szCs w:val="24"/>
          <w:lang w:val="en-GB" w:eastAsia="en-ZA"/>
        </w:rPr>
        <w:t>‘</w:t>
      </w:r>
      <w:r w:rsidR="00BD4B60" w:rsidRPr="00D16623">
        <w:rPr>
          <w:rFonts w:ascii="Arial" w:hAnsi="Arial" w:cs="Arial"/>
          <w:sz w:val="24"/>
          <w:szCs w:val="24"/>
        </w:rPr>
        <w:t>in the course of concluding that single transaction or establishing that business relationship</w:t>
      </w:r>
      <w:r w:rsidR="0026308D" w:rsidRPr="00D14F07">
        <w:rPr>
          <w:rFonts w:ascii="Arial" w:hAnsi="Arial" w:cs="Arial"/>
          <w:sz w:val="24"/>
          <w:szCs w:val="24"/>
        </w:rPr>
        <w:t xml:space="preserve">’ </w:t>
      </w:r>
      <w:r w:rsidR="00BD4B60" w:rsidRPr="00D14F07">
        <w:rPr>
          <w:rFonts w:ascii="Arial" w:hAnsi="Arial" w:cs="Arial"/>
          <w:sz w:val="24"/>
          <w:szCs w:val="24"/>
        </w:rPr>
        <w:t>(s</w:t>
      </w:r>
      <w:r w:rsidR="0026308D" w:rsidRPr="00D14F07">
        <w:rPr>
          <w:rFonts w:ascii="Arial" w:hAnsi="Arial" w:cs="Arial"/>
          <w:sz w:val="24"/>
          <w:szCs w:val="24"/>
        </w:rPr>
        <w:t xml:space="preserve"> </w:t>
      </w:r>
      <w:r w:rsidR="00BD4B60" w:rsidRPr="00D16623">
        <w:rPr>
          <w:rFonts w:ascii="Arial" w:hAnsi="Arial" w:cs="Arial"/>
          <w:sz w:val="24"/>
          <w:szCs w:val="24"/>
        </w:rPr>
        <w:t>21)</w:t>
      </w:r>
      <w:r w:rsidR="0094152E" w:rsidRPr="00D16623">
        <w:rPr>
          <w:rFonts w:ascii="Arial" w:hAnsi="Arial" w:cs="Arial"/>
          <w:sz w:val="24"/>
          <w:szCs w:val="24"/>
        </w:rPr>
        <w:t>.</w:t>
      </w:r>
      <w:r w:rsidR="0016183C" w:rsidRPr="00D14F07">
        <w:rPr>
          <w:rFonts w:ascii="Arial" w:eastAsia="Times New Roman" w:hAnsi="Arial" w:cs="Arial"/>
          <w:sz w:val="24"/>
          <w:szCs w:val="24"/>
          <w:lang w:val="en-GB" w:eastAsia="en-ZA"/>
        </w:rPr>
        <w:t xml:space="preserve"> The applicant</w:t>
      </w:r>
      <w:r w:rsidR="0094152E" w:rsidRPr="00D14F07">
        <w:rPr>
          <w:rFonts w:ascii="Arial" w:eastAsia="Times New Roman" w:hAnsi="Arial" w:cs="Arial"/>
          <w:sz w:val="24"/>
          <w:szCs w:val="24"/>
          <w:lang w:val="en-GB" w:eastAsia="en-ZA"/>
        </w:rPr>
        <w:t>’s members</w:t>
      </w:r>
      <w:r w:rsidR="0016183C" w:rsidRPr="00D14F07">
        <w:rPr>
          <w:rFonts w:ascii="Arial" w:eastAsia="Times New Roman" w:hAnsi="Arial" w:cs="Arial"/>
          <w:sz w:val="24"/>
          <w:szCs w:val="24"/>
          <w:lang w:val="en-GB" w:eastAsia="en-ZA"/>
        </w:rPr>
        <w:t xml:space="preserve"> in any event say that they have complied with the FICA requirements</w:t>
      </w:r>
      <w:r w:rsidR="00F81444" w:rsidRPr="00D14F07">
        <w:rPr>
          <w:rFonts w:ascii="Arial" w:eastAsia="Times New Roman" w:hAnsi="Arial" w:cs="Arial"/>
          <w:sz w:val="24"/>
          <w:szCs w:val="24"/>
          <w:lang w:val="en-GB" w:eastAsia="en-ZA"/>
        </w:rPr>
        <w:t>,</w:t>
      </w:r>
      <w:r w:rsidR="0016183C" w:rsidRPr="00D14F07">
        <w:rPr>
          <w:rFonts w:ascii="Arial" w:eastAsia="Times New Roman" w:hAnsi="Arial" w:cs="Arial"/>
          <w:sz w:val="24"/>
          <w:szCs w:val="24"/>
          <w:lang w:val="en-GB" w:eastAsia="en-ZA"/>
        </w:rPr>
        <w:t xml:space="preserve"> asked of them three times over.  </w:t>
      </w:r>
      <w:r w:rsidR="0026308D" w:rsidRPr="00D14F07">
        <w:rPr>
          <w:rFonts w:ascii="Arial" w:eastAsia="Times New Roman" w:hAnsi="Arial" w:cs="Arial"/>
          <w:sz w:val="24"/>
          <w:szCs w:val="24"/>
          <w:lang w:val="en-GB" w:eastAsia="en-ZA"/>
        </w:rPr>
        <w:t>FICA</w:t>
      </w:r>
      <w:r w:rsidR="0016183C" w:rsidRPr="00D14F07">
        <w:rPr>
          <w:rFonts w:ascii="Arial" w:eastAsia="Times New Roman" w:hAnsi="Arial" w:cs="Arial"/>
          <w:sz w:val="24"/>
          <w:szCs w:val="24"/>
          <w:lang w:val="en-GB" w:eastAsia="en-ZA"/>
        </w:rPr>
        <w:t xml:space="preserve"> </w:t>
      </w:r>
      <w:r w:rsidR="00F155C5" w:rsidRPr="00D14F07">
        <w:rPr>
          <w:rFonts w:ascii="Arial" w:eastAsia="Times New Roman" w:hAnsi="Arial" w:cs="Arial"/>
          <w:sz w:val="24"/>
          <w:szCs w:val="24"/>
          <w:lang w:val="en-GB" w:eastAsia="en-ZA"/>
        </w:rPr>
        <w:t>provides that</w:t>
      </w:r>
      <w:r w:rsidR="0016183C" w:rsidRPr="00D14F07">
        <w:rPr>
          <w:rFonts w:ascii="Arial" w:eastAsia="Times New Roman" w:hAnsi="Arial" w:cs="Arial"/>
          <w:sz w:val="24"/>
          <w:szCs w:val="24"/>
          <w:lang w:val="en-GB" w:eastAsia="en-ZA"/>
        </w:rPr>
        <w:t xml:space="preserve"> where a client fails to comply with the requirements </w:t>
      </w:r>
      <w:r w:rsidR="00F155C5" w:rsidRPr="00D14F07">
        <w:rPr>
          <w:rFonts w:ascii="Arial" w:eastAsia="Times New Roman" w:hAnsi="Arial" w:cs="Arial"/>
          <w:sz w:val="24"/>
          <w:szCs w:val="24"/>
          <w:lang w:val="en-GB" w:eastAsia="en-ZA"/>
        </w:rPr>
        <w:t>set out therein</w:t>
      </w:r>
      <w:r w:rsidR="0016183C" w:rsidRPr="00D14F07">
        <w:rPr>
          <w:rFonts w:ascii="Arial" w:eastAsia="Times New Roman" w:hAnsi="Arial" w:cs="Arial"/>
          <w:sz w:val="24"/>
          <w:szCs w:val="24"/>
          <w:lang w:val="en-GB" w:eastAsia="en-ZA"/>
        </w:rPr>
        <w:t>, an accountable institution</w:t>
      </w:r>
      <w:r w:rsidR="000F1FAF">
        <w:rPr>
          <w:rFonts w:ascii="Arial" w:eastAsia="Times New Roman" w:hAnsi="Arial" w:cs="Arial"/>
          <w:sz w:val="24"/>
          <w:szCs w:val="24"/>
          <w:lang w:val="en-GB" w:eastAsia="en-ZA"/>
        </w:rPr>
        <w:t xml:space="preserve"> (such as an attorney) </w:t>
      </w:r>
      <w:r w:rsidR="0016183C" w:rsidRPr="00D14F07">
        <w:rPr>
          <w:rFonts w:ascii="Arial" w:eastAsia="Times New Roman" w:hAnsi="Arial" w:cs="Arial"/>
          <w:sz w:val="24"/>
          <w:szCs w:val="24"/>
          <w:lang w:val="en-GB" w:eastAsia="en-ZA"/>
        </w:rPr>
        <w:t>may refer the matter to the C</w:t>
      </w:r>
      <w:r w:rsidR="001A137B" w:rsidRPr="00D14F07">
        <w:rPr>
          <w:rFonts w:ascii="Arial" w:eastAsia="Times New Roman" w:hAnsi="Arial" w:cs="Arial"/>
          <w:sz w:val="24"/>
          <w:szCs w:val="24"/>
          <w:lang w:val="en-GB" w:eastAsia="en-ZA"/>
        </w:rPr>
        <w:t>entre for further st</w:t>
      </w:r>
      <w:r w:rsidR="0016183C" w:rsidRPr="00D14F07">
        <w:rPr>
          <w:rFonts w:ascii="Arial" w:eastAsia="Times New Roman" w:hAnsi="Arial" w:cs="Arial"/>
          <w:sz w:val="24"/>
          <w:szCs w:val="24"/>
          <w:lang w:val="en-GB" w:eastAsia="en-ZA"/>
        </w:rPr>
        <w:t xml:space="preserve">eps to be taken pursuant to the provisions of </w:t>
      </w:r>
      <w:r w:rsidR="001A137B" w:rsidRPr="00D14F07">
        <w:rPr>
          <w:rFonts w:ascii="Arial" w:eastAsia="Times New Roman" w:hAnsi="Arial" w:cs="Arial"/>
          <w:sz w:val="24"/>
          <w:szCs w:val="24"/>
          <w:lang w:val="en-GB" w:eastAsia="en-ZA"/>
        </w:rPr>
        <w:t xml:space="preserve">Part 3 of FICA.  </w:t>
      </w:r>
      <w:r w:rsidR="0026308D" w:rsidRPr="00D14F07">
        <w:rPr>
          <w:rFonts w:ascii="Arial" w:eastAsia="Times New Roman" w:hAnsi="Arial" w:cs="Arial"/>
          <w:sz w:val="24"/>
          <w:szCs w:val="24"/>
          <w:lang w:val="en-GB" w:eastAsia="en-ZA"/>
        </w:rPr>
        <w:t>FICA</w:t>
      </w:r>
      <w:r w:rsidR="001A137B" w:rsidRPr="00D14F07">
        <w:rPr>
          <w:rFonts w:ascii="Arial" w:eastAsia="Times New Roman" w:hAnsi="Arial" w:cs="Arial"/>
          <w:sz w:val="24"/>
          <w:szCs w:val="24"/>
          <w:lang w:val="en-GB" w:eastAsia="en-ZA"/>
        </w:rPr>
        <w:t xml:space="preserve"> confers no powers on an accountable institution in the face of </w:t>
      </w:r>
      <w:r w:rsidR="001A137B" w:rsidRPr="00D14F07">
        <w:rPr>
          <w:rFonts w:ascii="Arial" w:eastAsia="Times New Roman" w:hAnsi="Arial" w:cs="Arial"/>
          <w:sz w:val="24"/>
          <w:szCs w:val="24"/>
          <w:lang w:val="en-GB" w:eastAsia="en-ZA"/>
        </w:rPr>
        <w:lastRenderedPageBreak/>
        <w:t xml:space="preserve">a recalcitrant client. That duty to ensure compliance is passed on to the Centre.  </w:t>
      </w:r>
      <w:r w:rsidR="0094152E" w:rsidRPr="00D14F07">
        <w:rPr>
          <w:rFonts w:ascii="Arial" w:eastAsia="Times New Roman" w:hAnsi="Arial" w:cs="Arial"/>
          <w:sz w:val="24"/>
          <w:szCs w:val="24"/>
          <w:lang w:eastAsia="en-ZA"/>
        </w:rPr>
        <w:t>Section 33 of FICA provides:</w:t>
      </w:r>
    </w:p>
    <w:p w:rsidR="0094152E" w:rsidRPr="00D14F07" w:rsidRDefault="0094152E" w:rsidP="00D3057C">
      <w:pPr>
        <w:shd w:val="clear" w:color="auto" w:fill="FFFFFF"/>
        <w:spacing w:after="0" w:line="360" w:lineRule="atLeast"/>
        <w:jc w:val="both"/>
        <w:rPr>
          <w:rFonts w:ascii="Arial" w:eastAsia="Times New Roman" w:hAnsi="Arial" w:cs="Arial"/>
          <w:lang w:eastAsia="en-ZA"/>
        </w:rPr>
      </w:pPr>
      <w:r w:rsidRPr="00D14F07">
        <w:rPr>
          <w:rFonts w:ascii="Arial" w:eastAsia="Times New Roman" w:hAnsi="Arial" w:cs="Arial"/>
          <w:lang w:eastAsia="en-ZA"/>
        </w:rPr>
        <w:t xml:space="preserve">‘An accountable institution, reporting institution or person required to make a report to the Centre in terms of sections 28 or 29, may continue with or carry out the transaction in respect of which the report is required to be made </w:t>
      </w:r>
      <w:r w:rsidRPr="00D14F07">
        <w:rPr>
          <w:rFonts w:ascii="Arial" w:eastAsia="Times New Roman" w:hAnsi="Arial" w:cs="Arial"/>
          <w:i/>
          <w:lang w:eastAsia="en-ZA"/>
        </w:rPr>
        <w:t>unless</w:t>
      </w:r>
      <w:r w:rsidRPr="00D14F07">
        <w:rPr>
          <w:rFonts w:ascii="Arial" w:eastAsia="Times New Roman" w:hAnsi="Arial" w:cs="Arial"/>
          <w:lang w:eastAsia="en-ZA"/>
        </w:rPr>
        <w:t xml:space="preserve"> the Centre directs the accountable institution, reporting institution or person in terms of section 34 not to proceed with the transaction.’ (emphasis</w:t>
      </w:r>
      <w:r w:rsidR="00F155C5" w:rsidRPr="00D14F07">
        <w:rPr>
          <w:rFonts w:ascii="Arial" w:eastAsia="Times New Roman" w:hAnsi="Arial" w:cs="Arial"/>
          <w:lang w:eastAsia="en-ZA"/>
        </w:rPr>
        <w:t xml:space="preserve"> added</w:t>
      </w:r>
      <w:r w:rsidRPr="00D14F07">
        <w:rPr>
          <w:rFonts w:ascii="Arial" w:eastAsia="Times New Roman" w:hAnsi="Arial" w:cs="Arial"/>
          <w:lang w:eastAsia="en-ZA"/>
        </w:rPr>
        <w:t>)</w:t>
      </w:r>
    </w:p>
    <w:p w:rsidR="0094152E" w:rsidRPr="00D14F07" w:rsidRDefault="0094152E" w:rsidP="0094152E">
      <w:pPr>
        <w:shd w:val="clear" w:color="auto" w:fill="FFFFFF"/>
        <w:spacing w:before="144" w:after="0" w:line="360" w:lineRule="atLeast"/>
        <w:jc w:val="both"/>
        <w:rPr>
          <w:rFonts w:ascii="Arial" w:eastAsia="Times New Roman" w:hAnsi="Arial" w:cs="Arial"/>
          <w:lang w:eastAsia="en-ZA"/>
        </w:rPr>
      </w:pPr>
    </w:p>
    <w:p w:rsidR="00173D30" w:rsidRPr="00D14F07" w:rsidRDefault="00277C02" w:rsidP="00D14F07">
      <w:pPr>
        <w:spacing w:after="0" w:line="360" w:lineRule="auto"/>
        <w:jc w:val="both"/>
        <w:rPr>
          <w:rFonts w:ascii="Arial" w:eastAsia="Times New Roman" w:hAnsi="Arial" w:cs="Arial"/>
          <w:sz w:val="24"/>
          <w:szCs w:val="24"/>
          <w:lang w:val="en-GB" w:eastAsia="en-ZA"/>
        </w:rPr>
      </w:pPr>
      <w:r w:rsidRPr="00D14F07">
        <w:rPr>
          <w:rFonts w:ascii="Arial" w:eastAsia="Times New Roman" w:hAnsi="Arial" w:cs="Arial"/>
          <w:sz w:val="24"/>
          <w:szCs w:val="24"/>
          <w:lang w:val="en-GB" w:eastAsia="en-ZA"/>
        </w:rPr>
        <w:t>[25]</w:t>
      </w:r>
      <w:r w:rsidR="00B52CF4" w:rsidRPr="00D14F07">
        <w:rPr>
          <w:rFonts w:ascii="Arial" w:eastAsia="Times New Roman" w:hAnsi="Arial" w:cs="Arial"/>
          <w:sz w:val="24"/>
          <w:szCs w:val="24"/>
          <w:lang w:val="en-GB" w:eastAsia="en-ZA"/>
        </w:rPr>
        <w:tab/>
      </w:r>
      <w:r w:rsidR="0094152E" w:rsidRPr="00D14F07">
        <w:rPr>
          <w:rFonts w:ascii="Arial" w:eastAsia="Times New Roman" w:hAnsi="Arial" w:cs="Arial"/>
          <w:sz w:val="24"/>
          <w:szCs w:val="24"/>
          <w:lang w:val="en-GB" w:eastAsia="en-ZA"/>
        </w:rPr>
        <w:t xml:space="preserve">Section 33 makes it clear that it is the Centre and not the accountable institution that determines whether the latter may proceed to continue with the transaction.  See </w:t>
      </w:r>
      <w:r w:rsidR="0094152E" w:rsidRPr="00D14F07">
        <w:rPr>
          <w:rFonts w:ascii="Arial" w:eastAsia="Times New Roman" w:hAnsi="Arial" w:cs="Arial"/>
          <w:sz w:val="24"/>
          <w:szCs w:val="24"/>
          <w:lang w:eastAsia="en-ZA"/>
        </w:rPr>
        <w:t>Guidance Note 4 on Suspicious Transaction Reporting</w:t>
      </w:r>
      <w:r w:rsidR="007A348B" w:rsidRPr="00D14F07">
        <w:rPr>
          <w:rFonts w:ascii="Arial" w:eastAsia="Times New Roman" w:hAnsi="Arial" w:cs="Arial"/>
          <w:sz w:val="24"/>
          <w:szCs w:val="24"/>
          <w:lang w:eastAsia="en-ZA"/>
        </w:rPr>
        <w:t>,</w:t>
      </w:r>
      <w:r w:rsidR="0094152E" w:rsidRPr="00D14F07">
        <w:rPr>
          <w:rFonts w:ascii="Arial" w:eastAsia="Times New Roman" w:hAnsi="Arial" w:cs="Arial"/>
          <w:sz w:val="24"/>
          <w:szCs w:val="24"/>
          <w:lang w:eastAsia="en-ZA"/>
        </w:rPr>
        <w:t xml:space="preserve"> GN 301</w:t>
      </w:r>
      <w:r w:rsidR="007A348B" w:rsidRPr="00D14F07">
        <w:rPr>
          <w:rFonts w:ascii="Arial" w:eastAsia="Times New Roman" w:hAnsi="Arial" w:cs="Arial"/>
          <w:sz w:val="24"/>
          <w:szCs w:val="24"/>
          <w:lang w:eastAsia="en-ZA"/>
        </w:rPr>
        <w:t xml:space="preserve">, </w:t>
      </w:r>
      <w:r w:rsidR="007A348B" w:rsidRPr="00D14F07">
        <w:rPr>
          <w:rFonts w:ascii="Arial" w:eastAsia="Times New Roman" w:hAnsi="Arial" w:cs="Arial"/>
          <w:i/>
          <w:sz w:val="24"/>
          <w:szCs w:val="24"/>
          <w:lang w:eastAsia="en-ZA"/>
        </w:rPr>
        <w:t>GG</w:t>
      </w:r>
      <w:r w:rsidR="0094152E" w:rsidRPr="00D14F07">
        <w:rPr>
          <w:rFonts w:ascii="Arial" w:eastAsia="Times New Roman" w:hAnsi="Arial" w:cs="Arial"/>
          <w:sz w:val="24"/>
          <w:szCs w:val="24"/>
          <w:lang w:eastAsia="en-ZA"/>
        </w:rPr>
        <w:t xml:space="preserve"> </w:t>
      </w:r>
      <w:r w:rsidR="007A348B" w:rsidRPr="00D14F07">
        <w:rPr>
          <w:rFonts w:ascii="Arial" w:eastAsia="Times New Roman" w:hAnsi="Arial" w:cs="Arial"/>
          <w:sz w:val="24"/>
          <w:szCs w:val="24"/>
          <w:lang w:eastAsia="en-ZA"/>
        </w:rPr>
        <w:t xml:space="preserve">30873, </w:t>
      </w:r>
      <w:r w:rsidR="0094152E" w:rsidRPr="00D14F07">
        <w:rPr>
          <w:rFonts w:ascii="Arial" w:eastAsia="Times New Roman" w:hAnsi="Arial" w:cs="Arial"/>
          <w:sz w:val="24"/>
          <w:szCs w:val="24"/>
          <w:lang w:eastAsia="en-ZA"/>
        </w:rPr>
        <w:t xml:space="preserve">14 March 2008 issued by the </w:t>
      </w:r>
      <w:r w:rsidR="00B52CF4" w:rsidRPr="00D14F07">
        <w:rPr>
          <w:rFonts w:ascii="Arial" w:eastAsia="Times New Roman" w:hAnsi="Arial" w:cs="Arial"/>
          <w:sz w:val="24"/>
          <w:szCs w:val="24"/>
          <w:lang w:eastAsia="en-ZA"/>
        </w:rPr>
        <w:t>Centre</w:t>
      </w:r>
      <w:r w:rsidR="0094152E" w:rsidRPr="00D14F07">
        <w:rPr>
          <w:rFonts w:ascii="Arial" w:eastAsia="Times New Roman" w:hAnsi="Arial" w:cs="Arial"/>
          <w:sz w:val="24"/>
          <w:szCs w:val="24"/>
          <w:lang w:eastAsia="en-ZA"/>
        </w:rPr>
        <w:t>.</w:t>
      </w:r>
      <w:r w:rsidR="0094152E" w:rsidRPr="00D14F07">
        <w:rPr>
          <w:rFonts w:ascii="Arial" w:eastAsia="Times New Roman" w:hAnsi="Arial" w:cs="Arial"/>
          <w:sz w:val="24"/>
          <w:szCs w:val="24"/>
          <w:lang w:val="en-GB" w:eastAsia="en-ZA"/>
        </w:rPr>
        <w:t xml:space="preserve"> T</w:t>
      </w:r>
      <w:r w:rsidR="001A137B" w:rsidRPr="00D14F07">
        <w:rPr>
          <w:rFonts w:ascii="Arial" w:eastAsia="Times New Roman" w:hAnsi="Arial" w:cs="Arial"/>
          <w:sz w:val="24"/>
          <w:szCs w:val="24"/>
          <w:lang w:val="en-GB" w:eastAsia="en-ZA"/>
        </w:rPr>
        <w:t>he role of an accountable institution, or attorney as in the present matter, who over</w:t>
      </w:r>
      <w:r w:rsidR="00F81444" w:rsidRPr="00D14F07">
        <w:rPr>
          <w:rFonts w:ascii="Arial" w:eastAsia="Times New Roman" w:hAnsi="Arial" w:cs="Arial"/>
          <w:sz w:val="24"/>
          <w:szCs w:val="24"/>
          <w:lang w:val="en-GB" w:eastAsia="en-ZA"/>
        </w:rPr>
        <w:t>-</w:t>
      </w:r>
      <w:r w:rsidR="001A137B" w:rsidRPr="00D14F07">
        <w:rPr>
          <w:rFonts w:ascii="Arial" w:eastAsia="Times New Roman" w:hAnsi="Arial" w:cs="Arial"/>
          <w:sz w:val="24"/>
          <w:szCs w:val="24"/>
          <w:lang w:val="en-GB" w:eastAsia="en-ZA"/>
        </w:rPr>
        <w:t>steps the mark, is perhaps best describe</w:t>
      </w:r>
      <w:r w:rsidR="005B5445" w:rsidRPr="00D14F07">
        <w:rPr>
          <w:rFonts w:ascii="Arial" w:eastAsia="Times New Roman" w:hAnsi="Arial" w:cs="Arial"/>
          <w:sz w:val="24"/>
          <w:szCs w:val="24"/>
          <w:lang w:val="en-GB" w:eastAsia="en-ZA"/>
        </w:rPr>
        <w:t>d</w:t>
      </w:r>
      <w:r w:rsidR="001A137B" w:rsidRPr="00D14F07">
        <w:rPr>
          <w:rFonts w:ascii="Arial" w:eastAsia="Times New Roman" w:hAnsi="Arial" w:cs="Arial"/>
          <w:sz w:val="24"/>
          <w:szCs w:val="24"/>
          <w:lang w:val="en-GB" w:eastAsia="en-ZA"/>
        </w:rPr>
        <w:t xml:space="preserve"> by Sutherland J in </w:t>
      </w:r>
      <w:r w:rsidR="00D3057C" w:rsidRPr="00D14F07">
        <w:rPr>
          <w:rFonts w:ascii="Arial" w:hAnsi="Arial" w:cs="Arial"/>
          <w:i/>
          <w:sz w:val="24"/>
          <w:szCs w:val="24"/>
          <w:lang w:val="en-GB"/>
        </w:rPr>
        <w:t>South African Petroleum</w:t>
      </w:r>
      <w:r w:rsidR="001A137B" w:rsidRPr="00D14F07">
        <w:rPr>
          <w:rFonts w:ascii="Arial" w:hAnsi="Arial" w:cs="Arial"/>
          <w:sz w:val="24"/>
          <w:szCs w:val="24"/>
          <w:lang w:val="en-GB"/>
        </w:rPr>
        <w:t xml:space="preserve"> </w:t>
      </w:r>
      <w:r w:rsidR="005B5445" w:rsidRPr="00D14F07">
        <w:rPr>
          <w:rFonts w:ascii="Arial" w:hAnsi="Arial" w:cs="Arial"/>
          <w:sz w:val="24"/>
          <w:szCs w:val="24"/>
          <w:lang w:val="en-GB"/>
        </w:rPr>
        <w:t xml:space="preserve">in </w:t>
      </w:r>
      <w:r w:rsidR="007A20AF" w:rsidRPr="00D14F07">
        <w:rPr>
          <w:rFonts w:ascii="Arial" w:hAnsi="Arial" w:cs="Arial"/>
          <w:sz w:val="24"/>
          <w:szCs w:val="24"/>
          <w:lang w:val="en-GB"/>
        </w:rPr>
        <w:t>para</w:t>
      </w:r>
      <w:r w:rsidR="00D3057C" w:rsidRPr="00D14F07">
        <w:rPr>
          <w:rFonts w:ascii="Arial" w:hAnsi="Arial" w:cs="Arial"/>
          <w:sz w:val="24"/>
          <w:szCs w:val="24"/>
          <w:lang w:val="en-GB"/>
        </w:rPr>
        <w:t>graph</w:t>
      </w:r>
      <w:r w:rsidR="007A20AF" w:rsidRPr="00D14F07">
        <w:rPr>
          <w:rFonts w:ascii="Arial" w:hAnsi="Arial" w:cs="Arial"/>
          <w:sz w:val="24"/>
          <w:szCs w:val="24"/>
          <w:lang w:val="en-GB"/>
        </w:rPr>
        <w:t xml:space="preserve"> 27</w:t>
      </w:r>
      <w:r w:rsidR="001A137B" w:rsidRPr="00D14F07">
        <w:rPr>
          <w:rFonts w:ascii="Arial" w:hAnsi="Arial" w:cs="Arial"/>
          <w:sz w:val="24"/>
          <w:szCs w:val="24"/>
          <w:lang w:val="en-GB"/>
        </w:rPr>
        <w:t>:</w:t>
      </w:r>
    </w:p>
    <w:p w:rsidR="007A20AF" w:rsidRPr="00D14F07" w:rsidRDefault="007A20AF" w:rsidP="001B595A">
      <w:pPr>
        <w:shd w:val="clear" w:color="auto" w:fill="FFFFFF"/>
        <w:spacing w:after="0" w:line="360" w:lineRule="auto"/>
        <w:jc w:val="both"/>
        <w:rPr>
          <w:rFonts w:ascii="Arial" w:eastAsia="Times New Roman" w:hAnsi="Arial" w:cs="Arial"/>
          <w:lang w:eastAsia="en-ZA"/>
        </w:rPr>
      </w:pPr>
      <w:r w:rsidRPr="00D14F07">
        <w:rPr>
          <w:rFonts w:ascii="Arial" w:eastAsia="Times New Roman" w:hAnsi="Arial" w:cs="Arial"/>
          <w:lang w:eastAsia="en-ZA"/>
        </w:rPr>
        <w:t>‘It seems to me that the obligations of a bank to initiate action about money laundering are wholly regulated by statute. There is no space, and indeed no need that is discernible in this regard, to imply additional duties on the bank …</w:t>
      </w:r>
      <w:r w:rsidRPr="00D14F07">
        <w:rPr>
          <w:rFonts w:ascii="Arial" w:eastAsia="Times New Roman" w:hAnsi="Arial" w:cs="Arial"/>
          <w:shd w:val="clear" w:color="auto" w:fill="FFFFFF"/>
          <w:lang w:eastAsia="en-ZA"/>
        </w:rPr>
        <w:t> The respondent’s role in combatting money laundering is already spelt out in the legislation: in essence to be vigilant about possible unlawful activity and report it when it is noticed and if lawfully instructed to put a hold on funds, to do so. There is no scope to develop a role for what would be a cousin of the Lex Commissoria to add to the battalions arrayed against rich crooks.’ </w:t>
      </w:r>
    </w:p>
    <w:p w:rsidR="007A20AF" w:rsidRPr="00D14F07" w:rsidRDefault="007A20AF" w:rsidP="001A137B">
      <w:pPr>
        <w:pStyle w:val="ListParagraph"/>
        <w:tabs>
          <w:tab w:val="left" w:pos="567"/>
        </w:tabs>
        <w:spacing w:after="0" w:line="360" w:lineRule="auto"/>
        <w:ind w:left="0"/>
        <w:jc w:val="both"/>
        <w:rPr>
          <w:rFonts w:ascii="Arial" w:eastAsia="Times New Roman" w:hAnsi="Arial" w:cs="Arial"/>
          <w:lang w:eastAsia="en-ZA"/>
        </w:rPr>
      </w:pPr>
    </w:p>
    <w:p w:rsidR="007A20AF" w:rsidRPr="00190A39" w:rsidRDefault="00277C02" w:rsidP="00D14F07">
      <w:pPr>
        <w:spacing w:after="0" w:line="360" w:lineRule="auto"/>
        <w:jc w:val="both"/>
        <w:rPr>
          <w:rFonts w:ascii="Arial" w:eastAsia="Times New Roman" w:hAnsi="Arial" w:cs="Arial"/>
          <w:sz w:val="24"/>
          <w:szCs w:val="24"/>
          <w:lang w:eastAsia="en-ZA"/>
        </w:rPr>
      </w:pPr>
      <w:r w:rsidRPr="00D14F07">
        <w:rPr>
          <w:rFonts w:ascii="Arial" w:eastAsia="Times New Roman" w:hAnsi="Arial" w:cs="Arial"/>
          <w:sz w:val="24"/>
          <w:szCs w:val="24"/>
          <w:lang w:eastAsia="en-ZA"/>
        </w:rPr>
        <w:t>[26]</w:t>
      </w:r>
      <w:r w:rsidRPr="00D14F07">
        <w:rPr>
          <w:rFonts w:ascii="Arial" w:eastAsia="Times New Roman" w:hAnsi="Arial" w:cs="Arial"/>
          <w:sz w:val="24"/>
          <w:szCs w:val="24"/>
          <w:lang w:eastAsia="en-ZA"/>
        </w:rPr>
        <w:tab/>
      </w:r>
      <w:r w:rsidR="007A20AF" w:rsidRPr="00D14F07">
        <w:rPr>
          <w:rFonts w:ascii="Arial" w:eastAsia="Times New Roman" w:hAnsi="Arial" w:cs="Arial"/>
          <w:sz w:val="24"/>
          <w:szCs w:val="24"/>
          <w:lang w:eastAsia="en-ZA"/>
        </w:rPr>
        <w:t xml:space="preserve">Borrowing the phrase used in </w:t>
      </w:r>
      <w:r w:rsidR="00D3057C" w:rsidRPr="00D14F07">
        <w:rPr>
          <w:rFonts w:ascii="Arial" w:hAnsi="Arial" w:cs="Arial"/>
          <w:i/>
          <w:sz w:val="24"/>
          <w:szCs w:val="24"/>
          <w:lang w:val="en-GB"/>
        </w:rPr>
        <w:t xml:space="preserve">South African Petroleum </w:t>
      </w:r>
      <w:r w:rsidR="00D3057C" w:rsidRPr="00D14F07">
        <w:rPr>
          <w:rFonts w:ascii="Arial" w:eastAsia="Times New Roman" w:hAnsi="Arial" w:cs="Arial"/>
          <w:sz w:val="24"/>
          <w:szCs w:val="24"/>
          <w:lang w:eastAsia="en-ZA"/>
        </w:rPr>
        <w:t>in</w:t>
      </w:r>
      <w:r w:rsidR="007A20AF" w:rsidRPr="00D14F07">
        <w:rPr>
          <w:rFonts w:ascii="Arial" w:eastAsia="Times New Roman" w:hAnsi="Arial" w:cs="Arial"/>
          <w:sz w:val="24"/>
          <w:szCs w:val="24"/>
          <w:lang w:eastAsia="en-ZA"/>
        </w:rPr>
        <w:t xml:space="preserve"> para</w:t>
      </w:r>
      <w:r w:rsidR="00D3057C" w:rsidRPr="00D14F07">
        <w:rPr>
          <w:rFonts w:ascii="Arial" w:eastAsia="Times New Roman" w:hAnsi="Arial" w:cs="Arial"/>
          <w:sz w:val="24"/>
          <w:szCs w:val="24"/>
          <w:lang w:eastAsia="en-ZA"/>
        </w:rPr>
        <w:t>graph</w:t>
      </w:r>
      <w:r w:rsidR="007A20AF" w:rsidRPr="00D14F07">
        <w:rPr>
          <w:rFonts w:ascii="Arial" w:eastAsia="Times New Roman" w:hAnsi="Arial" w:cs="Arial"/>
          <w:sz w:val="24"/>
          <w:szCs w:val="24"/>
          <w:lang w:eastAsia="en-ZA"/>
        </w:rPr>
        <w:t xml:space="preserve"> 30, Mr van Rooyen submitted that the reality is that the first respondent </w:t>
      </w:r>
      <w:r w:rsidR="005B5445" w:rsidRPr="00D14F07">
        <w:rPr>
          <w:rFonts w:ascii="Arial" w:eastAsia="Times New Roman" w:hAnsi="Arial" w:cs="Arial"/>
          <w:sz w:val="24"/>
          <w:szCs w:val="24"/>
          <w:lang w:eastAsia="en-ZA"/>
        </w:rPr>
        <w:t>‘</w:t>
      </w:r>
      <w:r w:rsidR="007A20AF" w:rsidRPr="00D14F07">
        <w:rPr>
          <w:rFonts w:ascii="Arial" w:eastAsia="Times New Roman" w:hAnsi="Arial" w:cs="Arial"/>
          <w:sz w:val="24"/>
          <w:szCs w:val="24"/>
          <w:lang w:val="en-GB" w:eastAsia="en-ZA"/>
        </w:rPr>
        <w:t>is not the sheriff in a frontier town.</w:t>
      </w:r>
      <w:r w:rsidR="005B5445" w:rsidRPr="00D14F07">
        <w:rPr>
          <w:rFonts w:ascii="Arial" w:eastAsia="Times New Roman" w:hAnsi="Arial" w:cs="Arial"/>
          <w:sz w:val="24"/>
          <w:szCs w:val="24"/>
          <w:lang w:val="en-GB" w:eastAsia="en-ZA"/>
        </w:rPr>
        <w:t>’</w:t>
      </w:r>
      <w:r w:rsidR="007A20AF" w:rsidRPr="00D14F07">
        <w:rPr>
          <w:rFonts w:ascii="Arial" w:eastAsia="Times New Roman" w:hAnsi="Arial" w:cs="Arial"/>
          <w:sz w:val="24"/>
          <w:szCs w:val="24"/>
          <w:lang w:val="en-GB" w:eastAsia="en-ZA"/>
        </w:rPr>
        <w:t xml:space="preserve">  He has no powers, under the common law or statute, to retain the proceeds of the sale</w:t>
      </w:r>
      <w:r w:rsidR="006F5AE2" w:rsidRPr="00D14F07">
        <w:rPr>
          <w:rFonts w:ascii="Arial" w:eastAsia="Times New Roman" w:hAnsi="Arial" w:cs="Arial"/>
          <w:sz w:val="24"/>
          <w:szCs w:val="24"/>
          <w:lang w:val="en-GB" w:eastAsia="en-ZA"/>
        </w:rPr>
        <w:t xml:space="preserve"> or</w:t>
      </w:r>
      <w:r w:rsidR="00F81444" w:rsidRPr="00D14F07">
        <w:rPr>
          <w:rFonts w:ascii="Arial" w:eastAsia="Times New Roman" w:hAnsi="Arial" w:cs="Arial"/>
          <w:sz w:val="24"/>
          <w:szCs w:val="24"/>
          <w:lang w:val="en-GB" w:eastAsia="en-ZA"/>
        </w:rPr>
        <w:t xml:space="preserve"> </w:t>
      </w:r>
      <w:r w:rsidR="007A20AF" w:rsidRPr="00D14F07">
        <w:rPr>
          <w:rFonts w:ascii="Arial" w:eastAsia="Times New Roman" w:hAnsi="Arial" w:cs="Arial"/>
          <w:sz w:val="24"/>
          <w:szCs w:val="24"/>
          <w:lang w:val="en-GB" w:eastAsia="en-ZA"/>
        </w:rPr>
        <w:t xml:space="preserve">to refuse to account to the applicant where precisely such monies were invested and what rate of interest has accrued thereon.  I am not persuaded by Mr </w:t>
      </w:r>
      <w:r w:rsidR="007A20AF" w:rsidRPr="00D14F07">
        <w:rPr>
          <w:rFonts w:ascii="Arial" w:eastAsia="Times New Roman" w:hAnsi="Arial" w:cs="Arial"/>
          <w:i/>
          <w:sz w:val="24"/>
          <w:szCs w:val="24"/>
          <w:lang w:val="en-GB" w:eastAsia="en-ZA"/>
        </w:rPr>
        <w:t>Naidoo’s</w:t>
      </w:r>
      <w:r w:rsidR="007A20AF" w:rsidRPr="00D14F07">
        <w:rPr>
          <w:rFonts w:ascii="Arial" w:eastAsia="Times New Roman" w:hAnsi="Arial" w:cs="Arial"/>
          <w:sz w:val="24"/>
          <w:szCs w:val="24"/>
          <w:lang w:val="en-GB" w:eastAsia="en-ZA"/>
        </w:rPr>
        <w:t xml:space="preserve"> retreating submission that if I find that the first respondent was not entitled to act as he did, I should nonetheless </w:t>
      </w:r>
      <w:r w:rsidR="000C3C55" w:rsidRPr="00D14F07">
        <w:rPr>
          <w:rFonts w:ascii="Arial" w:eastAsia="Times New Roman" w:hAnsi="Arial" w:cs="Arial"/>
          <w:sz w:val="24"/>
          <w:szCs w:val="24"/>
          <w:lang w:val="en-GB" w:eastAsia="en-ZA"/>
        </w:rPr>
        <w:t xml:space="preserve">find that he acted </w:t>
      </w:r>
      <w:r w:rsidR="0033782C" w:rsidRPr="00D14F07">
        <w:rPr>
          <w:rFonts w:ascii="Arial" w:eastAsia="Times New Roman" w:hAnsi="Arial" w:cs="Arial"/>
          <w:sz w:val="24"/>
          <w:szCs w:val="24"/>
          <w:lang w:val="en-GB" w:eastAsia="en-ZA"/>
        </w:rPr>
        <w:t>‘</w:t>
      </w:r>
      <w:r w:rsidR="000C3C55" w:rsidRPr="00D14F07">
        <w:rPr>
          <w:rFonts w:ascii="Arial" w:eastAsia="Times New Roman" w:hAnsi="Arial" w:cs="Arial"/>
          <w:sz w:val="24"/>
          <w:szCs w:val="24"/>
          <w:lang w:val="en-GB" w:eastAsia="en-ZA"/>
        </w:rPr>
        <w:t>innocently</w:t>
      </w:r>
      <w:r w:rsidR="0033782C" w:rsidRPr="00D14F07">
        <w:rPr>
          <w:rFonts w:ascii="Arial" w:eastAsia="Times New Roman" w:hAnsi="Arial" w:cs="Arial"/>
          <w:sz w:val="24"/>
          <w:szCs w:val="24"/>
          <w:lang w:val="en-GB" w:eastAsia="en-ZA"/>
        </w:rPr>
        <w:t>’</w:t>
      </w:r>
      <w:r w:rsidR="000C3C55" w:rsidRPr="00D14F07">
        <w:rPr>
          <w:rFonts w:ascii="Arial" w:eastAsia="Times New Roman" w:hAnsi="Arial" w:cs="Arial"/>
          <w:sz w:val="24"/>
          <w:szCs w:val="24"/>
          <w:lang w:val="en-GB" w:eastAsia="en-ZA"/>
        </w:rPr>
        <w:t xml:space="preserve"> and this could be traced back to a misinterpretation of </w:t>
      </w:r>
      <w:r w:rsidR="006F6E18" w:rsidRPr="00D14F07">
        <w:rPr>
          <w:rFonts w:ascii="Arial" w:eastAsia="Times New Roman" w:hAnsi="Arial" w:cs="Arial"/>
          <w:sz w:val="24"/>
          <w:szCs w:val="24"/>
          <w:lang w:val="en-GB" w:eastAsia="en-ZA"/>
        </w:rPr>
        <w:t>the provisions of FICA</w:t>
      </w:r>
      <w:r w:rsidR="000C3C55" w:rsidRPr="00190A39">
        <w:rPr>
          <w:rFonts w:ascii="Arial" w:eastAsia="Times New Roman" w:hAnsi="Arial" w:cs="Arial"/>
          <w:sz w:val="24"/>
          <w:szCs w:val="24"/>
          <w:lang w:val="en-GB" w:eastAsia="en-ZA"/>
        </w:rPr>
        <w:t xml:space="preserve">.  The conduct of the first respondent in refusing to pay the proceeds due to the applicant </w:t>
      </w:r>
      <w:r w:rsidR="003367E6" w:rsidRPr="00190A39">
        <w:rPr>
          <w:rFonts w:ascii="Arial" w:eastAsia="Times New Roman" w:hAnsi="Arial" w:cs="Arial"/>
          <w:sz w:val="24"/>
          <w:szCs w:val="24"/>
          <w:lang w:val="en-GB" w:eastAsia="en-ZA"/>
        </w:rPr>
        <w:t xml:space="preserve">is </w:t>
      </w:r>
      <w:r w:rsidR="000C3C55" w:rsidRPr="00190A39">
        <w:rPr>
          <w:rFonts w:ascii="Arial" w:eastAsia="Times New Roman" w:hAnsi="Arial" w:cs="Arial"/>
          <w:sz w:val="24"/>
          <w:szCs w:val="24"/>
          <w:lang w:val="en-GB" w:eastAsia="en-ZA"/>
        </w:rPr>
        <w:t xml:space="preserve">a deliberate and considered act.  He was alerted by the applicant’s attorneys to his misinterpretation of the provisions of FICA.  He was adamant that he was entitled to act as he did.  Even at that </w:t>
      </w:r>
      <w:r w:rsidR="003367E6" w:rsidRPr="00190A39">
        <w:rPr>
          <w:rFonts w:ascii="Arial" w:eastAsia="Times New Roman" w:hAnsi="Arial" w:cs="Arial"/>
          <w:sz w:val="24"/>
          <w:szCs w:val="24"/>
          <w:lang w:val="en-GB" w:eastAsia="en-ZA"/>
        </w:rPr>
        <w:t xml:space="preserve">late </w:t>
      </w:r>
      <w:r w:rsidR="000C3C55" w:rsidRPr="00190A39">
        <w:rPr>
          <w:rFonts w:ascii="Arial" w:eastAsia="Times New Roman" w:hAnsi="Arial" w:cs="Arial"/>
          <w:sz w:val="24"/>
          <w:szCs w:val="24"/>
          <w:lang w:val="en-GB" w:eastAsia="en-ZA"/>
        </w:rPr>
        <w:t xml:space="preserve">stage it would have been open to the first respondent to have sought guidance from the Centre as to whether his </w:t>
      </w:r>
      <w:r w:rsidR="003367E6" w:rsidRPr="00190A39">
        <w:rPr>
          <w:rFonts w:ascii="Arial" w:eastAsia="Times New Roman" w:hAnsi="Arial" w:cs="Arial"/>
          <w:sz w:val="24"/>
          <w:szCs w:val="24"/>
          <w:lang w:val="en-GB" w:eastAsia="en-ZA"/>
        </w:rPr>
        <w:t xml:space="preserve">own </w:t>
      </w:r>
      <w:r w:rsidR="000C3C55" w:rsidRPr="00190A39">
        <w:rPr>
          <w:rFonts w:ascii="Arial" w:eastAsia="Times New Roman" w:hAnsi="Arial" w:cs="Arial"/>
          <w:sz w:val="24"/>
          <w:szCs w:val="24"/>
          <w:lang w:val="en-GB" w:eastAsia="en-ZA"/>
        </w:rPr>
        <w:t>conduct</w:t>
      </w:r>
      <w:r w:rsidR="003367E6" w:rsidRPr="00190A39">
        <w:rPr>
          <w:rFonts w:ascii="Arial" w:eastAsia="Times New Roman" w:hAnsi="Arial" w:cs="Arial"/>
          <w:sz w:val="24"/>
          <w:szCs w:val="24"/>
          <w:lang w:val="en-GB" w:eastAsia="en-ZA"/>
        </w:rPr>
        <w:t xml:space="preserve">, as an </w:t>
      </w:r>
      <w:r w:rsidR="003367E6" w:rsidRPr="00190A39">
        <w:rPr>
          <w:rFonts w:ascii="Arial" w:eastAsia="Times New Roman" w:hAnsi="Arial" w:cs="Arial"/>
          <w:sz w:val="24"/>
          <w:szCs w:val="24"/>
          <w:lang w:val="en-GB" w:eastAsia="en-ZA"/>
        </w:rPr>
        <w:lastRenderedPageBreak/>
        <w:t>accountable institution,</w:t>
      </w:r>
      <w:r w:rsidR="000C3C55" w:rsidRPr="00190A39">
        <w:rPr>
          <w:rFonts w:ascii="Arial" w:eastAsia="Times New Roman" w:hAnsi="Arial" w:cs="Arial"/>
          <w:sz w:val="24"/>
          <w:szCs w:val="24"/>
          <w:lang w:val="en-GB" w:eastAsia="en-ZA"/>
        </w:rPr>
        <w:t xml:space="preserve"> was consistent with </w:t>
      </w:r>
      <w:r w:rsidR="006F5AE2" w:rsidRPr="00D14F07">
        <w:rPr>
          <w:rFonts w:ascii="Arial" w:eastAsia="Times New Roman" w:hAnsi="Arial" w:cs="Arial"/>
          <w:sz w:val="24"/>
          <w:szCs w:val="24"/>
          <w:lang w:val="en-GB" w:eastAsia="en-ZA"/>
        </w:rPr>
        <w:t>FICA</w:t>
      </w:r>
      <w:r w:rsidR="000C3C55" w:rsidRPr="00190A39">
        <w:rPr>
          <w:rFonts w:ascii="Arial" w:eastAsia="Times New Roman" w:hAnsi="Arial" w:cs="Arial"/>
          <w:sz w:val="24"/>
          <w:szCs w:val="24"/>
          <w:lang w:val="en-GB" w:eastAsia="en-ZA"/>
        </w:rPr>
        <w:t xml:space="preserve">.  He did not do so.  Instead, he rode roughshod over the rights of the applicant to receive payment without delay once transfer had been registered into the name of the second respondent.  </w:t>
      </w:r>
      <w:r w:rsidR="00423214">
        <w:rPr>
          <w:rFonts w:ascii="Arial" w:eastAsia="Times New Roman" w:hAnsi="Arial" w:cs="Arial"/>
          <w:sz w:val="24"/>
          <w:szCs w:val="24"/>
          <w:lang w:val="en-GB" w:eastAsia="en-ZA"/>
        </w:rPr>
        <w:t>It is noteworthy that o</w:t>
      </w:r>
      <w:r w:rsidR="00423214" w:rsidRPr="00D14F07">
        <w:rPr>
          <w:rFonts w:ascii="Arial" w:hAnsi="Arial" w:cs="Arial"/>
          <w:sz w:val="24"/>
          <w:szCs w:val="24"/>
          <w:lang w:val="en-GB"/>
        </w:rPr>
        <w:t>ne of the purposes of intervention by the Centre is to prevent the dissipation of funds or property which may be the proceeds of unlawful activity.  No such allegation is made by the first respondent in the matter before me.</w:t>
      </w:r>
      <w:r w:rsidR="00423214">
        <w:rPr>
          <w:rFonts w:ascii="Arial" w:hAnsi="Arial" w:cs="Arial"/>
          <w:sz w:val="24"/>
          <w:szCs w:val="24"/>
          <w:lang w:val="en-GB"/>
        </w:rPr>
        <w:t xml:space="preserve"> </w:t>
      </w:r>
      <w:r w:rsidR="000C3C55" w:rsidRPr="00190A39">
        <w:rPr>
          <w:rFonts w:ascii="Arial" w:eastAsia="Times New Roman" w:hAnsi="Arial" w:cs="Arial"/>
          <w:sz w:val="24"/>
          <w:szCs w:val="24"/>
          <w:lang w:val="en-GB" w:eastAsia="en-ZA"/>
        </w:rPr>
        <w:t xml:space="preserve">The first respondent’s conduct in placing obstacles in the path of the applicant </w:t>
      </w:r>
      <w:r w:rsidR="00BC5BD0" w:rsidRPr="00190A39">
        <w:rPr>
          <w:rFonts w:ascii="Arial" w:eastAsia="Times New Roman" w:hAnsi="Arial" w:cs="Arial"/>
          <w:sz w:val="24"/>
          <w:szCs w:val="24"/>
          <w:lang w:val="en-GB" w:eastAsia="en-ZA"/>
        </w:rPr>
        <w:t xml:space="preserve">from </w:t>
      </w:r>
      <w:r w:rsidR="000C3C55" w:rsidRPr="00190A39">
        <w:rPr>
          <w:rFonts w:ascii="Arial" w:eastAsia="Times New Roman" w:hAnsi="Arial" w:cs="Arial"/>
          <w:sz w:val="24"/>
          <w:szCs w:val="24"/>
          <w:lang w:val="en-GB" w:eastAsia="en-ZA"/>
        </w:rPr>
        <w:t xml:space="preserve">being paid out the proceeds from the sale, ostensibly in the name of compliance with FICA, is worrisome.  It smacks, in my view, of conduct designed to delay payment and accountability by an attorney to its client.  </w:t>
      </w:r>
    </w:p>
    <w:p w:rsidR="00BC5BD0" w:rsidRPr="00D14F07" w:rsidRDefault="00BC5BD0" w:rsidP="00BC5BD0">
      <w:pPr>
        <w:pStyle w:val="ListParagraph"/>
        <w:tabs>
          <w:tab w:val="left" w:pos="567"/>
        </w:tabs>
        <w:spacing w:after="0" w:line="360" w:lineRule="auto"/>
        <w:ind w:left="0"/>
        <w:jc w:val="both"/>
        <w:rPr>
          <w:rFonts w:ascii="Arial" w:eastAsia="Times New Roman" w:hAnsi="Arial" w:cs="Arial"/>
          <w:sz w:val="24"/>
          <w:szCs w:val="24"/>
          <w:lang w:eastAsia="en-ZA"/>
        </w:rPr>
      </w:pPr>
    </w:p>
    <w:p w:rsidR="00004D6C" w:rsidRPr="00D14F07" w:rsidRDefault="00277C02" w:rsidP="00D14F07">
      <w:pPr>
        <w:spacing w:after="0" w:line="360" w:lineRule="auto"/>
        <w:jc w:val="both"/>
        <w:rPr>
          <w:rFonts w:ascii="Arial" w:eastAsia="Times New Roman" w:hAnsi="Arial" w:cs="Arial"/>
          <w:sz w:val="24"/>
          <w:szCs w:val="24"/>
          <w:lang w:eastAsia="en-ZA"/>
        </w:rPr>
      </w:pPr>
      <w:r w:rsidRPr="00D14F07">
        <w:rPr>
          <w:rFonts w:ascii="Arial" w:eastAsia="Times New Roman" w:hAnsi="Arial" w:cs="Arial"/>
          <w:sz w:val="24"/>
          <w:szCs w:val="24"/>
          <w:lang w:eastAsia="en-ZA"/>
        </w:rPr>
        <w:t>[27]</w:t>
      </w:r>
      <w:r w:rsidRPr="00D14F07">
        <w:rPr>
          <w:rFonts w:ascii="Arial" w:eastAsia="Times New Roman" w:hAnsi="Arial" w:cs="Arial"/>
          <w:sz w:val="24"/>
          <w:szCs w:val="24"/>
          <w:lang w:eastAsia="en-ZA"/>
        </w:rPr>
        <w:tab/>
      </w:r>
      <w:r w:rsidR="00BC5BD0" w:rsidRPr="00D14F07">
        <w:rPr>
          <w:rFonts w:ascii="Arial" w:eastAsia="Times New Roman" w:hAnsi="Arial" w:cs="Arial"/>
          <w:sz w:val="24"/>
          <w:szCs w:val="24"/>
          <w:lang w:eastAsia="en-ZA"/>
        </w:rPr>
        <w:t>I turn now to the</w:t>
      </w:r>
      <w:r w:rsidR="00477F85" w:rsidRPr="00D14F07">
        <w:rPr>
          <w:rFonts w:ascii="Arial" w:eastAsia="Times New Roman" w:hAnsi="Arial" w:cs="Arial"/>
          <w:sz w:val="24"/>
          <w:szCs w:val="24"/>
          <w:lang w:eastAsia="en-ZA"/>
        </w:rPr>
        <w:t xml:space="preserve"> involvement of the second respondent in this matter, </w:t>
      </w:r>
      <w:r w:rsidR="00BC5BD0" w:rsidRPr="00D14F07">
        <w:rPr>
          <w:rFonts w:ascii="Arial" w:eastAsia="Times New Roman" w:hAnsi="Arial" w:cs="Arial"/>
          <w:sz w:val="24"/>
          <w:szCs w:val="24"/>
          <w:lang w:eastAsia="en-ZA"/>
        </w:rPr>
        <w:t xml:space="preserve">in circumstances where </w:t>
      </w:r>
      <w:r w:rsidR="00477F85" w:rsidRPr="00D14F07">
        <w:rPr>
          <w:rFonts w:ascii="Arial" w:eastAsia="Times New Roman" w:hAnsi="Arial" w:cs="Arial"/>
          <w:sz w:val="24"/>
          <w:szCs w:val="24"/>
          <w:lang w:eastAsia="en-ZA"/>
        </w:rPr>
        <w:t xml:space="preserve">no relief </w:t>
      </w:r>
      <w:r w:rsidR="00BC5BD0" w:rsidRPr="00D14F07">
        <w:rPr>
          <w:rFonts w:ascii="Arial" w:eastAsia="Times New Roman" w:hAnsi="Arial" w:cs="Arial"/>
          <w:sz w:val="24"/>
          <w:szCs w:val="24"/>
          <w:lang w:eastAsia="en-ZA"/>
        </w:rPr>
        <w:t xml:space="preserve">is </w:t>
      </w:r>
      <w:r w:rsidR="00477F85" w:rsidRPr="00D14F07">
        <w:rPr>
          <w:rFonts w:ascii="Arial" w:eastAsia="Times New Roman" w:hAnsi="Arial" w:cs="Arial"/>
          <w:sz w:val="24"/>
          <w:szCs w:val="24"/>
          <w:lang w:eastAsia="en-ZA"/>
        </w:rPr>
        <w:t xml:space="preserve">sought </w:t>
      </w:r>
      <w:r w:rsidR="006F5AE2" w:rsidRPr="00D14F07">
        <w:rPr>
          <w:rFonts w:ascii="Arial" w:eastAsia="Times New Roman" w:hAnsi="Arial" w:cs="Arial"/>
          <w:sz w:val="24"/>
          <w:szCs w:val="24"/>
          <w:lang w:eastAsia="en-ZA"/>
        </w:rPr>
        <w:t xml:space="preserve">against it </w:t>
      </w:r>
      <w:r w:rsidR="00477F85" w:rsidRPr="00D14F07">
        <w:rPr>
          <w:rFonts w:ascii="Arial" w:eastAsia="Times New Roman" w:hAnsi="Arial" w:cs="Arial"/>
          <w:sz w:val="24"/>
          <w:szCs w:val="24"/>
          <w:lang w:eastAsia="en-ZA"/>
        </w:rPr>
        <w:t xml:space="preserve">by the applicant in its notice of motion. The second respondent was merely cited as an interested party, inasmuch as it was the purchaser of the property which belonged to the applicant. It is not in dispute that the second respondent duly paid the full purchase price for the immovable property, and acted at all times in compliance with the agreement of purchase and sale. Upon receipt of the application papers, the second respondent filed a notice to abide by the decision of the court in respect of the relief sought by the applicant in paragraphs 1 and </w:t>
      </w:r>
      <w:r w:rsidR="00986120" w:rsidRPr="00D14F07">
        <w:rPr>
          <w:rFonts w:ascii="Arial" w:eastAsia="Times New Roman" w:hAnsi="Arial" w:cs="Arial"/>
          <w:sz w:val="24"/>
          <w:szCs w:val="24"/>
          <w:lang w:eastAsia="en-ZA"/>
        </w:rPr>
        <w:t xml:space="preserve">2 </w:t>
      </w:r>
      <w:r w:rsidR="00477F85" w:rsidRPr="00D14F07">
        <w:rPr>
          <w:rFonts w:ascii="Arial" w:eastAsia="Times New Roman" w:hAnsi="Arial" w:cs="Arial"/>
          <w:sz w:val="24"/>
          <w:szCs w:val="24"/>
          <w:lang w:eastAsia="en-ZA"/>
        </w:rPr>
        <w:t xml:space="preserve">of the notice of motion. The second respondent however chose to file a detailed affidavit, ostensibly in order to place </w:t>
      </w:r>
      <w:r w:rsidR="00986120" w:rsidRPr="00D14F07">
        <w:rPr>
          <w:rFonts w:ascii="Arial" w:eastAsia="Times New Roman" w:hAnsi="Arial" w:cs="Arial"/>
          <w:sz w:val="24"/>
          <w:szCs w:val="24"/>
          <w:lang w:eastAsia="en-ZA"/>
        </w:rPr>
        <w:t>‘</w:t>
      </w:r>
      <w:r w:rsidR="00477F85" w:rsidRPr="00D14F07">
        <w:rPr>
          <w:rFonts w:ascii="Arial" w:eastAsia="Times New Roman" w:hAnsi="Arial" w:cs="Arial"/>
          <w:sz w:val="24"/>
          <w:szCs w:val="24"/>
          <w:lang w:eastAsia="en-ZA"/>
        </w:rPr>
        <w:t>all relevant facts before the court</w:t>
      </w:r>
      <w:r w:rsidR="00986120" w:rsidRPr="00D14F07">
        <w:rPr>
          <w:rFonts w:ascii="Arial" w:eastAsia="Times New Roman" w:hAnsi="Arial" w:cs="Arial"/>
          <w:sz w:val="24"/>
          <w:szCs w:val="24"/>
          <w:lang w:eastAsia="en-ZA"/>
        </w:rPr>
        <w:t>’</w:t>
      </w:r>
      <w:r w:rsidR="00477F85" w:rsidRPr="00D14F07">
        <w:rPr>
          <w:rFonts w:ascii="Arial" w:eastAsia="Times New Roman" w:hAnsi="Arial" w:cs="Arial"/>
          <w:sz w:val="24"/>
          <w:szCs w:val="24"/>
          <w:lang w:eastAsia="en-ZA"/>
        </w:rPr>
        <w:t xml:space="preserve">, as it was </w:t>
      </w:r>
      <w:r w:rsidR="00004D6C" w:rsidRPr="00D14F07">
        <w:rPr>
          <w:rFonts w:ascii="Arial" w:eastAsia="Times New Roman" w:hAnsi="Arial" w:cs="Arial"/>
          <w:sz w:val="24"/>
          <w:szCs w:val="24"/>
          <w:lang w:eastAsia="en-ZA"/>
        </w:rPr>
        <w:t>‘</w:t>
      </w:r>
      <w:r w:rsidR="00477F85" w:rsidRPr="00D14F07">
        <w:rPr>
          <w:rFonts w:ascii="Arial" w:eastAsia="Times New Roman" w:hAnsi="Arial" w:cs="Arial"/>
          <w:sz w:val="24"/>
          <w:szCs w:val="24"/>
          <w:lang w:eastAsia="en-ZA"/>
        </w:rPr>
        <w:t>shocked</w:t>
      </w:r>
      <w:r w:rsidR="00004D6C" w:rsidRPr="00D14F07">
        <w:rPr>
          <w:rFonts w:ascii="Arial" w:eastAsia="Times New Roman" w:hAnsi="Arial" w:cs="Arial"/>
          <w:sz w:val="24"/>
          <w:szCs w:val="24"/>
          <w:lang w:eastAsia="en-ZA"/>
        </w:rPr>
        <w:t>’</w:t>
      </w:r>
      <w:r w:rsidR="00477F85" w:rsidRPr="00D14F07">
        <w:rPr>
          <w:rFonts w:ascii="Arial" w:eastAsia="Times New Roman" w:hAnsi="Arial" w:cs="Arial"/>
          <w:sz w:val="24"/>
          <w:szCs w:val="24"/>
          <w:lang w:eastAsia="en-ZA"/>
        </w:rPr>
        <w:t xml:space="preserve"> upon being served with a copy of the papers by the Sheriff of this court.  Propelled by this state of shock, the second respondent proceeded to contact an employee in the office of the first respondent to enquire why the purchase price had still not been paid over to the </w:t>
      </w:r>
      <w:r w:rsidR="00B203A3">
        <w:rPr>
          <w:rFonts w:ascii="Arial" w:eastAsia="Times New Roman" w:hAnsi="Arial" w:cs="Arial"/>
          <w:sz w:val="24"/>
          <w:szCs w:val="24"/>
          <w:lang w:eastAsia="en-ZA"/>
        </w:rPr>
        <w:t xml:space="preserve">applicant. </w:t>
      </w:r>
      <w:r w:rsidR="00477F85" w:rsidRPr="00D14F07">
        <w:rPr>
          <w:rFonts w:ascii="Arial" w:eastAsia="Times New Roman" w:hAnsi="Arial" w:cs="Arial"/>
          <w:sz w:val="24"/>
          <w:szCs w:val="24"/>
          <w:lang w:eastAsia="en-ZA"/>
        </w:rPr>
        <w:t xml:space="preserve"> The second respondent then proceed</w:t>
      </w:r>
      <w:r w:rsidR="00986120" w:rsidRPr="00D14F07">
        <w:rPr>
          <w:rFonts w:ascii="Arial" w:eastAsia="Times New Roman" w:hAnsi="Arial" w:cs="Arial"/>
          <w:sz w:val="24"/>
          <w:szCs w:val="24"/>
          <w:lang w:eastAsia="en-ZA"/>
        </w:rPr>
        <w:t>ed</w:t>
      </w:r>
      <w:r w:rsidR="00477F85" w:rsidRPr="00D14F07">
        <w:rPr>
          <w:rFonts w:ascii="Arial" w:eastAsia="Times New Roman" w:hAnsi="Arial" w:cs="Arial"/>
          <w:sz w:val="24"/>
          <w:szCs w:val="24"/>
          <w:lang w:eastAsia="en-ZA"/>
        </w:rPr>
        <w:t xml:space="preserve"> to offer a commentary on the prejudice w</w:t>
      </w:r>
      <w:r w:rsidR="00B203A3">
        <w:rPr>
          <w:rFonts w:ascii="Arial" w:eastAsia="Times New Roman" w:hAnsi="Arial" w:cs="Arial"/>
          <w:sz w:val="24"/>
          <w:szCs w:val="24"/>
          <w:lang w:eastAsia="en-ZA"/>
        </w:rPr>
        <w:t>hich has befallen the applicant</w:t>
      </w:r>
      <w:r w:rsidR="00477F85" w:rsidRPr="00D14F07">
        <w:rPr>
          <w:rFonts w:ascii="Arial" w:eastAsia="Times New Roman" w:hAnsi="Arial" w:cs="Arial"/>
          <w:sz w:val="24"/>
          <w:szCs w:val="24"/>
          <w:lang w:eastAsia="en-ZA"/>
        </w:rPr>
        <w:t xml:space="preserve">, and laments the conduct of the first respondent in not paying over the proceeds of the sale. </w:t>
      </w:r>
    </w:p>
    <w:p w:rsidR="00004D6C" w:rsidRPr="00D14F07" w:rsidRDefault="00004D6C" w:rsidP="00004D6C">
      <w:pPr>
        <w:pStyle w:val="ListParagraph"/>
        <w:tabs>
          <w:tab w:val="left" w:pos="567"/>
        </w:tabs>
        <w:spacing w:after="0" w:line="360" w:lineRule="auto"/>
        <w:ind w:left="0"/>
        <w:jc w:val="both"/>
        <w:rPr>
          <w:rFonts w:ascii="Arial" w:eastAsia="Times New Roman" w:hAnsi="Arial" w:cs="Arial"/>
          <w:sz w:val="24"/>
          <w:szCs w:val="24"/>
          <w:lang w:eastAsia="en-ZA"/>
        </w:rPr>
      </w:pPr>
    </w:p>
    <w:p w:rsidR="00C03631" w:rsidRPr="00D14F07" w:rsidRDefault="00277C02" w:rsidP="00D14F07">
      <w:pPr>
        <w:spacing w:after="0" w:line="360" w:lineRule="auto"/>
        <w:jc w:val="both"/>
        <w:rPr>
          <w:rFonts w:ascii="Arial" w:eastAsia="Times New Roman" w:hAnsi="Arial" w:cs="Arial"/>
          <w:sz w:val="24"/>
          <w:szCs w:val="24"/>
          <w:lang w:eastAsia="en-ZA"/>
        </w:rPr>
      </w:pPr>
      <w:r w:rsidRPr="00D14F07">
        <w:rPr>
          <w:rFonts w:ascii="Arial" w:eastAsia="Times New Roman" w:hAnsi="Arial" w:cs="Arial"/>
          <w:sz w:val="24"/>
          <w:szCs w:val="24"/>
          <w:lang w:eastAsia="en-ZA"/>
        </w:rPr>
        <w:t>[28]</w:t>
      </w:r>
      <w:r w:rsidRPr="00D14F07">
        <w:rPr>
          <w:rFonts w:ascii="Arial" w:eastAsia="Times New Roman" w:hAnsi="Arial" w:cs="Arial"/>
          <w:sz w:val="24"/>
          <w:szCs w:val="24"/>
          <w:lang w:eastAsia="en-ZA"/>
        </w:rPr>
        <w:tab/>
      </w:r>
      <w:r w:rsidR="00477F85" w:rsidRPr="00D14F07">
        <w:rPr>
          <w:rFonts w:ascii="Arial" w:eastAsia="Times New Roman" w:hAnsi="Arial" w:cs="Arial"/>
          <w:sz w:val="24"/>
          <w:szCs w:val="24"/>
          <w:lang w:eastAsia="en-ZA"/>
        </w:rPr>
        <w:t>I found the content of the affidavit by the second respondent to be mis</w:t>
      </w:r>
      <w:r w:rsidR="00004D6C" w:rsidRPr="00D14F07">
        <w:rPr>
          <w:rFonts w:ascii="Arial" w:eastAsia="Times New Roman" w:hAnsi="Arial" w:cs="Arial"/>
          <w:sz w:val="24"/>
          <w:szCs w:val="24"/>
          <w:lang w:eastAsia="en-ZA"/>
        </w:rPr>
        <w:t xml:space="preserve">placed </w:t>
      </w:r>
      <w:r w:rsidR="00477F85" w:rsidRPr="00D14F07">
        <w:rPr>
          <w:rFonts w:ascii="Arial" w:eastAsia="Times New Roman" w:hAnsi="Arial" w:cs="Arial"/>
          <w:sz w:val="24"/>
          <w:szCs w:val="24"/>
          <w:lang w:eastAsia="en-ZA"/>
        </w:rPr>
        <w:t xml:space="preserve">and simply burdensome </w:t>
      </w:r>
      <w:r w:rsidR="00A20C08" w:rsidRPr="00B203A3">
        <w:rPr>
          <w:rFonts w:ascii="Arial" w:eastAsia="Times New Roman" w:hAnsi="Arial" w:cs="Arial"/>
          <w:sz w:val="24"/>
          <w:szCs w:val="24"/>
          <w:lang w:eastAsia="en-ZA"/>
        </w:rPr>
        <w:t>given</w:t>
      </w:r>
      <w:r w:rsidR="00A20C08" w:rsidRPr="00B203A3">
        <w:rPr>
          <w:rFonts w:ascii="Arial" w:hAnsi="Arial" w:cs="Arial"/>
          <w:sz w:val="24"/>
          <w:szCs w:val="24"/>
          <w:lang w:eastAsia="en-ZA"/>
        </w:rPr>
        <w:t xml:space="preserve"> </w:t>
      </w:r>
      <w:r w:rsidR="00477F85" w:rsidRPr="00B203A3">
        <w:rPr>
          <w:rFonts w:ascii="Arial" w:hAnsi="Arial" w:cs="Arial"/>
          <w:sz w:val="24"/>
          <w:szCs w:val="24"/>
          <w:lang w:eastAsia="en-ZA"/>
        </w:rPr>
        <w:t xml:space="preserve">the length of papers </w:t>
      </w:r>
      <w:r w:rsidR="00A20C08" w:rsidRPr="00B203A3">
        <w:rPr>
          <w:rFonts w:ascii="Arial" w:eastAsia="Times New Roman" w:hAnsi="Arial" w:cs="Arial"/>
          <w:sz w:val="24"/>
          <w:szCs w:val="24"/>
          <w:lang w:eastAsia="en-ZA"/>
        </w:rPr>
        <w:t>that</w:t>
      </w:r>
      <w:r w:rsidR="00A20C08" w:rsidRPr="00D14F07">
        <w:rPr>
          <w:rFonts w:ascii="Arial" w:eastAsia="Times New Roman" w:hAnsi="Arial" w:cs="Arial"/>
          <w:sz w:val="24"/>
          <w:szCs w:val="24"/>
          <w:lang w:eastAsia="en-ZA"/>
        </w:rPr>
        <w:t xml:space="preserve"> had to </w:t>
      </w:r>
      <w:r w:rsidR="00477F85" w:rsidRPr="00D14F07">
        <w:rPr>
          <w:rFonts w:ascii="Arial" w:eastAsia="Times New Roman" w:hAnsi="Arial" w:cs="Arial"/>
          <w:sz w:val="24"/>
          <w:szCs w:val="24"/>
          <w:lang w:eastAsia="en-ZA"/>
        </w:rPr>
        <w:t>be considered by this court in determining the issue between the parties. The second respondent seems to be desirous of involving itself in litigation</w:t>
      </w:r>
      <w:r w:rsidR="00C64D16" w:rsidRPr="00D14F07">
        <w:rPr>
          <w:rFonts w:ascii="Arial" w:eastAsia="Times New Roman" w:hAnsi="Arial" w:cs="Arial"/>
          <w:sz w:val="24"/>
          <w:szCs w:val="24"/>
          <w:lang w:eastAsia="en-ZA"/>
        </w:rPr>
        <w:t xml:space="preserve"> </w:t>
      </w:r>
      <w:r w:rsidR="00986120" w:rsidRPr="00D14F07">
        <w:rPr>
          <w:rFonts w:ascii="Arial" w:eastAsia="Times New Roman" w:hAnsi="Arial" w:cs="Arial"/>
          <w:sz w:val="24"/>
          <w:szCs w:val="24"/>
          <w:lang w:eastAsia="en-ZA"/>
        </w:rPr>
        <w:t>which</w:t>
      </w:r>
      <w:r w:rsidR="00C64D16" w:rsidRPr="00D14F07">
        <w:rPr>
          <w:rFonts w:ascii="Arial" w:eastAsia="Times New Roman" w:hAnsi="Arial" w:cs="Arial"/>
          <w:sz w:val="24"/>
          <w:szCs w:val="24"/>
          <w:lang w:eastAsia="en-ZA"/>
        </w:rPr>
        <w:t xml:space="preserve"> does not concern it.  Mr </w:t>
      </w:r>
      <w:r w:rsidR="00C64D16" w:rsidRPr="00D14F07">
        <w:rPr>
          <w:rFonts w:ascii="Arial" w:eastAsia="Times New Roman" w:hAnsi="Arial" w:cs="Arial"/>
          <w:i/>
          <w:sz w:val="24"/>
          <w:szCs w:val="24"/>
          <w:lang w:eastAsia="en-ZA"/>
        </w:rPr>
        <w:t>Manikam</w:t>
      </w:r>
      <w:r w:rsidR="00C64D16" w:rsidRPr="00D14F07">
        <w:rPr>
          <w:rFonts w:ascii="Arial" w:eastAsia="Times New Roman" w:hAnsi="Arial" w:cs="Arial"/>
          <w:sz w:val="24"/>
          <w:szCs w:val="24"/>
          <w:lang w:eastAsia="en-ZA"/>
        </w:rPr>
        <w:t xml:space="preserve"> who appeared on behalf of the second respondent submitted that the second respondent was surprised when it discovered that the money which it had paid pursuant to the </w:t>
      </w:r>
      <w:r w:rsidR="00C64D16" w:rsidRPr="00D14F07">
        <w:rPr>
          <w:rFonts w:ascii="Arial" w:eastAsia="Times New Roman" w:hAnsi="Arial" w:cs="Arial"/>
          <w:sz w:val="24"/>
          <w:szCs w:val="24"/>
          <w:lang w:eastAsia="en-ZA"/>
        </w:rPr>
        <w:lastRenderedPageBreak/>
        <w:t xml:space="preserve">purchase and sale agreement for the immovable property, had still not been paid over to the sellers (the applicant) despite a significant lapse of time. </w:t>
      </w:r>
    </w:p>
    <w:p w:rsidR="00C03631" w:rsidRPr="00D14F07" w:rsidRDefault="00C03631" w:rsidP="00C03631">
      <w:pPr>
        <w:pStyle w:val="ListParagraph"/>
        <w:rPr>
          <w:rFonts w:ascii="Arial" w:eastAsia="Times New Roman" w:hAnsi="Arial" w:cs="Arial"/>
          <w:sz w:val="24"/>
          <w:szCs w:val="24"/>
          <w:lang w:eastAsia="en-ZA"/>
        </w:rPr>
      </w:pPr>
    </w:p>
    <w:p w:rsidR="008C5316" w:rsidRPr="00D14F07" w:rsidRDefault="00277C02" w:rsidP="00D14F07">
      <w:pPr>
        <w:spacing w:after="0" w:line="360" w:lineRule="auto"/>
        <w:jc w:val="both"/>
        <w:rPr>
          <w:rFonts w:ascii="Arial" w:eastAsia="Times New Roman" w:hAnsi="Arial" w:cs="Arial"/>
          <w:sz w:val="24"/>
          <w:szCs w:val="24"/>
          <w:lang w:eastAsia="en-ZA"/>
        </w:rPr>
      </w:pPr>
      <w:r w:rsidRPr="00D14F07">
        <w:rPr>
          <w:rFonts w:ascii="Arial" w:eastAsia="Times New Roman" w:hAnsi="Arial" w:cs="Arial"/>
          <w:sz w:val="24"/>
          <w:szCs w:val="24"/>
          <w:lang w:eastAsia="en-ZA"/>
        </w:rPr>
        <w:t>[29]</w:t>
      </w:r>
      <w:r w:rsidRPr="00D14F07">
        <w:rPr>
          <w:rFonts w:ascii="Arial" w:eastAsia="Times New Roman" w:hAnsi="Arial" w:cs="Arial"/>
          <w:sz w:val="24"/>
          <w:szCs w:val="24"/>
          <w:lang w:eastAsia="en-ZA"/>
        </w:rPr>
        <w:tab/>
      </w:r>
      <w:r w:rsidR="00C64D16" w:rsidRPr="00D14F07">
        <w:rPr>
          <w:rFonts w:ascii="Arial" w:eastAsia="Times New Roman" w:hAnsi="Arial" w:cs="Arial"/>
          <w:sz w:val="24"/>
          <w:szCs w:val="24"/>
          <w:lang w:eastAsia="en-ZA"/>
        </w:rPr>
        <w:t xml:space="preserve">The first respondent took issue with the allegations levelled against him by the second respondent, contending that </w:t>
      </w:r>
      <w:r w:rsidR="00A20C08" w:rsidRPr="00D14F07">
        <w:rPr>
          <w:rFonts w:ascii="Arial" w:eastAsia="Times New Roman" w:hAnsi="Arial" w:cs="Arial"/>
          <w:sz w:val="24"/>
          <w:szCs w:val="24"/>
          <w:lang w:eastAsia="en-ZA"/>
        </w:rPr>
        <w:t xml:space="preserve">its </w:t>
      </w:r>
      <w:r w:rsidR="00C64D16" w:rsidRPr="00D14F07">
        <w:rPr>
          <w:rFonts w:ascii="Arial" w:eastAsia="Times New Roman" w:hAnsi="Arial" w:cs="Arial"/>
          <w:sz w:val="24"/>
          <w:szCs w:val="24"/>
          <w:lang w:eastAsia="en-ZA"/>
        </w:rPr>
        <w:t xml:space="preserve">affidavit contains averments which are scandalous, vexatious or </w:t>
      </w:r>
      <w:r w:rsidR="00B203A3">
        <w:rPr>
          <w:rFonts w:ascii="Arial" w:eastAsia="Times New Roman" w:hAnsi="Arial" w:cs="Arial"/>
          <w:sz w:val="24"/>
          <w:szCs w:val="24"/>
          <w:lang w:eastAsia="en-ZA"/>
        </w:rPr>
        <w:t>irr</w:t>
      </w:r>
      <w:r w:rsidR="00C64D16" w:rsidRPr="00D14F07">
        <w:rPr>
          <w:rFonts w:ascii="Arial" w:eastAsia="Times New Roman" w:hAnsi="Arial" w:cs="Arial"/>
          <w:sz w:val="24"/>
          <w:szCs w:val="24"/>
          <w:lang w:eastAsia="en-ZA"/>
        </w:rPr>
        <w:t xml:space="preserve">elevant. It is unclear what may have generated the animosity between the first and second respondents. Whatever the cause of that animosity, I am satisfied that it is not a matter which requires this court’s attention, and does not in any way contribute to the resolution of the dispute which is </w:t>
      </w:r>
      <w:r w:rsidR="00C03631" w:rsidRPr="00D14F07">
        <w:rPr>
          <w:rFonts w:ascii="Arial" w:eastAsia="Times New Roman" w:hAnsi="Arial" w:cs="Arial"/>
          <w:sz w:val="24"/>
          <w:szCs w:val="24"/>
          <w:lang w:eastAsia="en-ZA"/>
        </w:rPr>
        <w:t xml:space="preserve">before me.  </w:t>
      </w:r>
      <w:r w:rsidR="00C64D16" w:rsidRPr="00D14F07">
        <w:rPr>
          <w:rFonts w:ascii="Arial" w:eastAsia="Times New Roman" w:hAnsi="Arial" w:cs="Arial"/>
          <w:sz w:val="24"/>
          <w:szCs w:val="24"/>
          <w:lang w:eastAsia="en-ZA"/>
        </w:rPr>
        <w:t xml:space="preserve">The first respondent submits that the affidavit of the second respondent be struck out with costs. Undeterred, the second respondent filed an answering affidavit in response to the affidavit of the first respondent, in circumstances where none was strictly necessary. It appears to me that the second respondent was desperate to </w:t>
      </w:r>
      <w:r w:rsidR="00190A39">
        <w:rPr>
          <w:rFonts w:ascii="Arial" w:eastAsia="Times New Roman" w:hAnsi="Arial" w:cs="Arial"/>
          <w:sz w:val="24"/>
          <w:szCs w:val="24"/>
          <w:lang w:eastAsia="en-ZA"/>
        </w:rPr>
        <w:t xml:space="preserve">immerse </w:t>
      </w:r>
      <w:r w:rsidR="00A20C08" w:rsidRPr="00D14F07">
        <w:rPr>
          <w:rFonts w:ascii="Arial" w:eastAsia="Times New Roman" w:hAnsi="Arial" w:cs="Arial"/>
          <w:sz w:val="24"/>
          <w:szCs w:val="24"/>
          <w:lang w:eastAsia="en-ZA"/>
        </w:rPr>
        <w:t xml:space="preserve">itself </w:t>
      </w:r>
      <w:r w:rsidR="00C64D16" w:rsidRPr="00D14F07">
        <w:rPr>
          <w:rFonts w:ascii="Arial" w:eastAsia="Times New Roman" w:hAnsi="Arial" w:cs="Arial"/>
          <w:sz w:val="24"/>
          <w:szCs w:val="24"/>
          <w:lang w:eastAsia="en-ZA"/>
        </w:rPr>
        <w:t xml:space="preserve">in the litigation between the applicant and the first respondent, even though no relief is sought against it.  The </w:t>
      </w:r>
      <w:r w:rsidR="00986120" w:rsidRPr="00D14F07">
        <w:rPr>
          <w:rFonts w:ascii="Arial" w:eastAsia="Times New Roman" w:hAnsi="Arial" w:cs="Arial"/>
          <w:sz w:val="24"/>
          <w:szCs w:val="24"/>
          <w:lang w:eastAsia="en-ZA"/>
        </w:rPr>
        <w:t xml:space="preserve">deponent </w:t>
      </w:r>
      <w:r w:rsidR="00C64D16" w:rsidRPr="00D14F07">
        <w:rPr>
          <w:rFonts w:ascii="Arial" w:eastAsia="Times New Roman" w:hAnsi="Arial" w:cs="Arial"/>
          <w:sz w:val="24"/>
          <w:szCs w:val="24"/>
          <w:lang w:eastAsia="en-ZA"/>
        </w:rPr>
        <w:t xml:space="preserve">to the second respondent’s affidavit, Dr Naidoo, bemoans the fact that he has been forced to engage attorneys despite his intention not to become involved in the litigation. In my view the second respondent </w:t>
      </w:r>
      <w:r w:rsidR="00B203A3">
        <w:rPr>
          <w:rFonts w:ascii="Arial" w:eastAsia="Times New Roman" w:hAnsi="Arial" w:cs="Arial"/>
          <w:sz w:val="24"/>
          <w:szCs w:val="24"/>
          <w:lang w:eastAsia="en-ZA"/>
        </w:rPr>
        <w:t xml:space="preserve">has shown the propensity to be </w:t>
      </w:r>
      <w:r w:rsidR="00C64D16" w:rsidRPr="00D14F07">
        <w:rPr>
          <w:rFonts w:ascii="Arial" w:eastAsia="Times New Roman" w:hAnsi="Arial" w:cs="Arial"/>
          <w:sz w:val="24"/>
          <w:szCs w:val="24"/>
          <w:lang w:eastAsia="en-ZA"/>
        </w:rPr>
        <w:t xml:space="preserve">a legal busybody. </w:t>
      </w:r>
      <w:r w:rsidR="00986120" w:rsidRPr="00D14F07">
        <w:rPr>
          <w:rFonts w:ascii="Arial" w:eastAsia="Times New Roman" w:hAnsi="Arial" w:cs="Arial"/>
          <w:sz w:val="24"/>
          <w:szCs w:val="24"/>
          <w:lang w:eastAsia="en-ZA"/>
        </w:rPr>
        <w:t xml:space="preserve">It </w:t>
      </w:r>
      <w:r w:rsidR="00C64D16" w:rsidRPr="00D14F07">
        <w:rPr>
          <w:rFonts w:ascii="Arial" w:eastAsia="Times New Roman" w:hAnsi="Arial" w:cs="Arial"/>
          <w:sz w:val="24"/>
          <w:szCs w:val="24"/>
          <w:lang w:eastAsia="en-ZA"/>
        </w:rPr>
        <w:t xml:space="preserve">has no interest in the litigation, and the issues raised </w:t>
      </w:r>
      <w:r w:rsidR="00986120" w:rsidRPr="00D14F07">
        <w:rPr>
          <w:rFonts w:ascii="Arial" w:eastAsia="Times New Roman" w:hAnsi="Arial" w:cs="Arial"/>
          <w:sz w:val="24"/>
          <w:szCs w:val="24"/>
          <w:lang w:eastAsia="en-ZA"/>
        </w:rPr>
        <w:t>its</w:t>
      </w:r>
      <w:r w:rsidR="00C64D16" w:rsidRPr="00D14F07">
        <w:rPr>
          <w:rFonts w:ascii="Arial" w:eastAsia="Times New Roman" w:hAnsi="Arial" w:cs="Arial"/>
          <w:sz w:val="24"/>
          <w:szCs w:val="24"/>
          <w:lang w:eastAsia="en-ZA"/>
        </w:rPr>
        <w:t xml:space="preserve"> affidavits are nothing more </w:t>
      </w:r>
      <w:r w:rsidR="00986120" w:rsidRPr="00D14F07">
        <w:rPr>
          <w:rFonts w:ascii="Arial" w:eastAsia="Times New Roman" w:hAnsi="Arial" w:cs="Arial"/>
          <w:sz w:val="24"/>
          <w:szCs w:val="24"/>
          <w:lang w:eastAsia="en-ZA"/>
        </w:rPr>
        <w:t xml:space="preserve">than </w:t>
      </w:r>
      <w:r w:rsidR="00C64D16" w:rsidRPr="00D14F07">
        <w:rPr>
          <w:rFonts w:ascii="Arial" w:eastAsia="Times New Roman" w:hAnsi="Arial" w:cs="Arial"/>
          <w:sz w:val="24"/>
          <w:szCs w:val="24"/>
          <w:lang w:eastAsia="en-ZA"/>
        </w:rPr>
        <w:t>a sideshow or distraction. Counsel for the second respondent submitted that if the applicant is successful, costs should be awarded in favour of the second respondent, to be paid by the first respondent. Counsel for the applicant submitted that the</w:t>
      </w:r>
      <w:r w:rsidR="00A24D50" w:rsidRPr="00D14F07">
        <w:rPr>
          <w:rFonts w:ascii="Arial" w:eastAsia="Times New Roman" w:hAnsi="Arial" w:cs="Arial"/>
          <w:sz w:val="24"/>
          <w:szCs w:val="24"/>
          <w:lang w:eastAsia="en-ZA"/>
        </w:rPr>
        <w:t xml:space="preserve"> court should not strike out the affidavits of the second respondent, as </w:t>
      </w:r>
      <w:r w:rsidR="00986120" w:rsidRPr="00D14F07">
        <w:rPr>
          <w:rFonts w:ascii="Arial" w:eastAsia="Times New Roman" w:hAnsi="Arial" w:cs="Arial"/>
          <w:sz w:val="24"/>
          <w:szCs w:val="24"/>
          <w:lang w:eastAsia="en-ZA"/>
        </w:rPr>
        <w:t>its</w:t>
      </w:r>
      <w:r w:rsidR="00A24D50" w:rsidRPr="00D14F07">
        <w:rPr>
          <w:rFonts w:ascii="Arial" w:eastAsia="Times New Roman" w:hAnsi="Arial" w:cs="Arial"/>
          <w:sz w:val="24"/>
          <w:szCs w:val="24"/>
          <w:lang w:eastAsia="en-ZA"/>
        </w:rPr>
        <w:t xml:space="preserve"> allegations are </w:t>
      </w:r>
      <w:r w:rsidR="00190A39">
        <w:rPr>
          <w:rFonts w:ascii="Arial" w:eastAsia="Times New Roman" w:hAnsi="Arial" w:cs="Arial"/>
          <w:sz w:val="24"/>
          <w:szCs w:val="24"/>
          <w:lang w:eastAsia="en-ZA"/>
        </w:rPr>
        <w:t>indicative o</w:t>
      </w:r>
      <w:r w:rsidR="00A24D50" w:rsidRPr="00D14F07">
        <w:rPr>
          <w:rFonts w:ascii="Arial" w:eastAsia="Times New Roman" w:hAnsi="Arial" w:cs="Arial"/>
          <w:sz w:val="24"/>
          <w:szCs w:val="24"/>
          <w:lang w:eastAsia="en-ZA"/>
        </w:rPr>
        <w:t xml:space="preserve">f the true facts in the matter, albeit fuelled by some underpinnings of animosity towards the first respondent. As stated earlier, the averments by the second respondent did not contribute anything towards the resolution of the dispute before me, save that in his heads of argument, Mr </w:t>
      </w:r>
      <w:r w:rsidR="00A24D50" w:rsidRPr="00D14F07">
        <w:rPr>
          <w:rFonts w:ascii="Arial" w:eastAsia="Times New Roman" w:hAnsi="Arial" w:cs="Arial"/>
          <w:i/>
          <w:sz w:val="24"/>
          <w:szCs w:val="24"/>
          <w:lang w:eastAsia="en-ZA"/>
        </w:rPr>
        <w:t>Manikam</w:t>
      </w:r>
      <w:r w:rsidR="00A24D50" w:rsidRPr="00D14F07">
        <w:rPr>
          <w:rFonts w:ascii="Arial" w:eastAsia="Times New Roman" w:hAnsi="Arial" w:cs="Arial"/>
          <w:sz w:val="24"/>
          <w:szCs w:val="24"/>
          <w:lang w:eastAsia="en-ZA"/>
        </w:rPr>
        <w:t xml:space="preserve"> referred to the decision of </w:t>
      </w:r>
      <w:r w:rsidR="00986120" w:rsidRPr="00D14F07">
        <w:rPr>
          <w:rFonts w:ascii="Arial" w:eastAsia="Times New Roman" w:hAnsi="Arial" w:cs="Arial"/>
          <w:i/>
          <w:sz w:val="24"/>
          <w:szCs w:val="24"/>
          <w:lang w:val="en-GB" w:eastAsia="en-ZA"/>
        </w:rPr>
        <w:t>Houtbosplaas (Pty) Ltd and another v Nedbank Limited</w:t>
      </w:r>
      <w:r w:rsidR="00986120" w:rsidRPr="00D14F07">
        <w:rPr>
          <w:rFonts w:ascii="Arial" w:eastAsia="Times New Roman" w:hAnsi="Arial" w:cs="Arial"/>
          <w:sz w:val="24"/>
          <w:szCs w:val="24"/>
          <w:lang w:val="en-GB" w:eastAsia="en-ZA"/>
        </w:rPr>
        <w:t xml:space="preserve"> [2020] JOL 46663 (GP) </w:t>
      </w:r>
      <w:r w:rsidR="00A24D50" w:rsidRPr="00D14F07">
        <w:rPr>
          <w:rFonts w:ascii="Arial" w:eastAsia="Times New Roman" w:hAnsi="Arial" w:cs="Arial"/>
          <w:sz w:val="24"/>
          <w:szCs w:val="24"/>
          <w:lang w:eastAsia="en-ZA"/>
        </w:rPr>
        <w:t>as providing guidance for the interpretation of the material provisions of FICA which occup</w:t>
      </w:r>
      <w:r w:rsidR="00C03631" w:rsidRPr="00D14F07">
        <w:rPr>
          <w:rFonts w:ascii="Arial" w:eastAsia="Times New Roman" w:hAnsi="Arial" w:cs="Arial"/>
          <w:sz w:val="24"/>
          <w:szCs w:val="24"/>
          <w:lang w:eastAsia="en-ZA"/>
        </w:rPr>
        <w:t xml:space="preserve">ies </w:t>
      </w:r>
      <w:r w:rsidR="00A24D50" w:rsidRPr="00D14F07">
        <w:rPr>
          <w:rFonts w:ascii="Arial" w:eastAsia="Times New Roman" w:hAnsi="Arial" w:cs="Arial"/>
          <w:sz w:val="24"/>
          <w:szCs w:val="24"/>
          <w:lang w:eastAsia="en-ZA"/>
        </w:rPr>
        <w:t>the attention of this court. The remainder of the written submissions are devoted to supporting the position of the applicant.</w:t>
      </w:r>
    </w:p>
    <w:p w:rsidR="00C03631" w:rsidRPr="00D14F07" w:rsidRDefault="00C03631" w:rsidP="00C03631">
      <w:pPr>
        <w:pStyle w:val="ListParagraph"/>
        <w:tabs>
          <w:tab w:val="left" w:pos="567"/>
        </w:tabs>
        <w:spacing w:after="0" w:line="360" w:lineRule="auto"/>
        <w:ind w:left="0"/>
        <w:jc w:val="both"/>
        <w:rPr>
          <w:rFonts w:ascii="Arial" w:eastAsia="Times New Roman" w:hAnsi="Arial" w:cs="Arial"/>
          <w:sz w:val="24"/>
          <w:szCs w:val="24"/>
          <w:lang w:eastAsia="en-ZA"/>
        </w:rPr>
      </w:pPr>
    </w:p>
    <w:p w:rsidR="00916F65" w:rsidRPr="00D14F07" w:rsidRDefault="00277C02" w:rsidP="00190A39">
      <w:pPr>
        <w:spacing w:after="0" w:line="360" w:lineRule="auto"/>
        <w:jc w:val="both"/>
        <w:rPr>
          <w:rFonts w:ascii="Arial" w:eastAsia="Times New Roman" w:hAnsi="Arial" w:cs="Arial"/>
          <w:sz w:val="24"/>
          <w:szCs w:val="24"/>
          <w:lang w:eastAsia="en-ZA"/>
        </w:rPr>
      </w:pPr>
      <w:r w:rsidRPr="00D14F07">
        <w:rPr>
          <w:rFonts w:ascii="Arial" w:eastAsia="Times New Roman" w:hAnsi="Arial" w:cs="Arial"/>
          <w:sz w:val="24"/>
          <w:szCs w:val="24"/>
          <w:lang w:eastAsia="en-ZA"/>
        </w:rPr>
        <w:lastRenderedPageBreak/>
        <w:t>[30]</w:t>
      </w:r>
      <w:r w:rsidRPr="00D14F07">
        <w:rPr>
          <w:rFonts w:ascii="Arial" w:eastAsia="Times New Roman" w:hAnsi="Arial" w:cs="Arial"/>
          <w:sz w:val="24"/>
          <w:szCs w:val="24"/>
          <w:lang w:eastAsia="en-ZA"/>
        </w:rPr>
        <w:tab/>
      </w:r>
      <w:r w:rsidR="00A24D50" w:rsidRPr="00D14F07">
        <w:rPr>
          <w:rFonts w:ascii="Arial" w:eastAsia="Times New Roman" w:hAnsi="Arial" w:cs="Arial"/>
          <w:sz w:val="24"/>
          <w:szCs w:val="24"/>
          <w:lang w:eastAsia="en-ZA"/>
        </w:rPr>
        <w:t xml:space="preserve">Counsel for the applicant sought attorney-client costs against the first respondent, submitting that the latter has misinterpreted the provisions of FICA, deliberately or otherwise, resulting in a significant delay of </w:t>
      </w:r>
      <w:r w:rsidR="00B203A3">
        <w:rPr>
          <w:rFonts w:ascii="Arial" w:eastAsia="Times New Roman" w:hAnsi="Arial" w:cs="Arial"/>
          <w:sz w:val="24"/>
          <w:szCs w:val="24"/>
          <w:lang w:eastAsia="en-ZA"/>
        </w:rPr>
        <w:t xml:space="preserve">almost two years </w:t>
      </w:r>
      <w:r w:rsidR="00A24D50" w:rsidRPr="00D14F07">
        <w:rPr>
          <w:rFonts w:ascii="Arial" w:eastAsia="Times New Roman" w:hAnsi="Arial" w:cs="Arial"/>
          <w:sz w:val="24"/>
          <w:szCs w:val="24"/>
          <w:lang w:eastAsia="en-ZA"/>
        </w:rPr>
        <w:t xml:space="preserve">for the payment of the proceeds of the sale </w:t>
      </w:r>
      <w:r w:rsidR="00B203A3">
        <w:rPr>
          <w:rFonts w:ascii="Arial" w:eastAsia="Times New Roman" w:hAnsi="Arial" w:cs="Arial"/>
          <w:sz w:val="24"/>
          <w:szCs w:val="24"/>
          <w:lang w:eastAsia="en-ZA"/>
        </w:rPr>
        <w:t xml:space="preserve">to be paid over. </w:t>
      </w:r>
      <w:r w:rsidR="00A24D50" w:rsidRPr="00D14F07">
        <w:rPr>
          <w:rFonts w:ascii="Arial" w:eastAsia="Times New Roman" w:hAnsi="Arial" w:cs="Arial"/>
          <w:sz w:val="24"/>
          <w:szCs w:val="24"/>
          <w:lang w:eastAsia="en-ZA"/>
        </w:rPr>
        <w:t xml:space="preserve">It was submitted by counsel that punitive costs should be awarded against the first respondent based on its intransigent approach to the request made on behalf of the applicant to release the monies flowing from the transaction. Indeed, as set out above, there was no basis in law for the first respondent to have halted payment of the amount due to the applicant. </w:t>
      </w:r>
    </w:p>
    <w:p w:rsidR="00916F65" w:rsidRPr="00D14F07" w:rsidRDefault="00916F65" w:rsidP="00916F65">
      <w:pPr>
        <w:pStyle w:val="ListParagraph"/>
        <w:rPr>
          <w:rFonts w:ascii="Arial" w:eastAsia="Times New Roman" w:hAnsi="Arial" w:cs="Arial"/>
          <w:sz w:val="24"/>
          <w:szCs w:val="24"/>
          <w:lang w:eastAsia="en-ZA"/>
        </w:rPr>
      </w:pPr>
    </w:p>
    <w:p w:rsidR="00A24D50" w:rsidRPr="00190A39" w:rsidRDefault="00277C02" w:rsidP="00190A39">
      <w:pPr>
        <w:spacing w:after="0" w:line="360" w:lineRule="auto"/>
        <w:jc w:val="both"/>
        <w:rPr>
          <w:rFonts w:ascii="Arial" w:eastAsia="Times New Roman" w:hAnsi="Arial" w:cs="Arial"/>
          <w:sz w:val="24"/>
          <w:szCs w:val="24"/>
          <w:lang w:eastAsia="en-ZA"/>
        </w:rPr>
      </w:pPr>
      <w:r w:rsidRPr="00D14F07">
        <w:rPr>
          <w:rFonts w:ascii="Arial" w:eastAsia="Times New Roman" w:hAnsi="Arial" w:cs="Arial"/>
          <w:sz w:val="24"/>
          <w:szCs w:val="24"/>
          <w:lang w:eastAsia="en-ZA"/>
        </w:rPr>
        <w:t>[31]</w:t>
      </w:r>
      <w:r w:rsidRPr="00D14F07">
        <w:rPr>
          <w:rFonts w:ascii="Arial" w:eastAsia="Times New Roman" w:hAnsi="Arial" w:cs="Arial"/>
          <w:sz w:val="24"/>
          <w:szCs w:val="24"/>
          <w:lang w:eastAsia="en-ZA"/>
        </w:rPr>
        <w:tab/>
      </w:r>
      <w:r w:rsidR="00A24D50" w:rsidRPr="00190A39">
        <w:rPr>
          <w:rFonts w:ascii="Arial" w:eastAsia="Times New Roman" w:hAnsi="Arial" w:cs="Arial"/>
          <w:sz w:val="24"/>
          <w:szCs w:val="24"/>
          <w:lang w:eastAsia="en-ZA"/>
        </w:rPr>
        <w:t xml:space="preserve">The extraordinary lengths </w:t>
      </w:r>
      <w:r w:rsidR="00A20C08" w:rsidRPr="00D14F07">
        <w:rPr>
          <w:rFonts w:ascii="Arial" w:eastAsia="Times New Roman" w:hAnsi="Arial" w:cs="Arial"/>
          <w:sz w:val="24"/>
          <w:szCs w:val="24"/>
          <w:lang w:eastAsia="en-ZA"/>
        </w:rPr>
        <w:t>that</w:t>
      </w:r>
      <w:r w:rsidR="00A20C08" w:rsidRPr="00190A39">
        <w:rPr>
          <w:rFonts w:ascii="Arial" w:eastAsia="Times New Roman" w:hAnsi="Arial" w:cs="Arial"/>
          <w:sz w:val="24"/>
          <w:szCs w:val="24"/>
          <w:lang w:eastAsia="en-ZA"/>
        </w:rPr>
        <w:t xml:space="preserve"> </w:t>
      </w:r>
      <w:r w:rsidR="00A24D50" w:rsidRPr="00190A39">
        <w:rPr>
          <w:rFonts w:ascii="Arial" w:eastAsia="Times New Roman" w:hAnsi="Arial" w:cs="Arial"/>
          <w:sz w:val="24"/>
          <w:szCs w:val="24"/>
          <w:lang w:eastAsia="en-ZA"/>
        </w:rPr>
        <w:t xml:space="preserve">the first respondent has put the applicant’s members through, supposedly on the basis of ensuring compliance with FICA, would suggest an element of </w:t>
      </w:r>
      <w:r w:rsidR="00916F65" w:rsidRPr="00190A39">
        <w:rPr>
          <w:rFonts w:ascii="Arial" w:eastAsia="Times New Roman" w:hAnsi="Arial" w:cs="Arial"/>
          <w:sz w:val="24"/>
          <w:szCs w:val="24"/>
          <w:lang w:eastAsia="en-ZA"/>
        </w:rPr>
        <w:t>nastiness</w:t>
      </w:r>
      <w:r w:rsidR="00A24D50" w:rsidRPr="00190A39">
        <w:rPr>
          <w:rFonts w:ascii="Arial" w:eastAsia="Times New Roman" w:hAnsi="Arial" w:cs="Arial"/>
          <w:sz w:val="24"/>
          <w:szCs w:val="24"/>
          <w:lang w:eastAsia="en-ZA"/>
        </w:rPr>
        <w:t>. Its request had no foundation in law and led to unnecessary litigation, which could have been averted. Over and above any of the concerns expressed by the first respondent as to FICA compliance, a significant factor in determining costs is that</w:t>
      </w:r>
      <w:r w:rsidR="00421698" w:rsidRPr="00190A39">
        <w:rPr>
          <w:rFonts w:ascii="Arial" w:eastAsia="Times New Roman" w:hAnsi="Arial" w:cs="Arial"/>
          <w:sz w:val="24"/>
          <w:szCs w:val="24"/>
          <w:lang w:eastAsia="en-ZA"/>
        </w:rPr>
        <w:t xml:space="preserve"> there has been no suggestion whatsoever that the applicant’s members have been engaged in any suspicious conduct which would cause the first respondent to have responded in the manner in which it did. In the circumstances</w:t>
      </w:r>
      <w:r w:rsidR="00916F65" w:rsidRPr="00190A39">
        <w:rPr>
          <w:rFonts w:ascii="Arial" w:eastAsia="Times New Roman" w:hAnsi="Arial" w:cs="Arial"/>
          <w:sz w:val="24"/>
          <w:szCs w:val="24"/>
          <w:lang w:eastAsia="en-ZA"/>
        </w:rPr>
        <w:t>,</w:t>
      </w:r>
      <w:r w:rsidR="00421698" w:rsidRPr="00190A39">
        <w:rPr>
          <w:rFonts w:ascii="Arial" w:eastAsia="Times New Roman" w:hAnsi="Arial" w:cs="Arial"/>
          <w:sz w:val="24"/>
          <w:szCs w:val="24"/>
          <w:lang w:eastAsia="en-ZA"/>
        </w:rPr>
        <w:t xml:space="preserve"> I am satisfied that the conduct of the first respondent warrants a punitive order of costs. I however am not persuaded that the second respondent is entitled to benefit in relation to costs from the applicant’s success.</w:t>
      </w:r>
      <w:r w:rsidR="00916F65" w:rsidRPr="00190A39">
        <w:rPr>
          <w:rFonts w:ascii="Arial" w:eastAsia="Times New Roman" w:hAnsi="Arial" w:cs="Arial"/>
          <w:sz w:val="24"/>
          <w:szCs w:val="24"/>
          <w:lang w:eastAsia="en-ZA"/>
        </w:rPr>
        <w:t xml:space="preserve"> I also am of the view that the conduct of the first respondent warrants the attention of the Legal Practice Council,</w:t>
      </w:r>
      <w:r w:rsidR="006A7F95" w:rsidRPr="00190A39">
        <w:rPr>
          <w:rFonts w:ascii="Arial" w:eastAsia="Times New Roman" w:hAnsi="Arial" w:cs="Arial"/>
          <w:sz w:val="24"/>
          <w:szCs w:val="24"/>
          <w:lang w:eastAsia="en-ZA"/>
        </w:rPr>
        <w:t xml:space="preserve"> </w:t>
      </w:r>
      <w:r w:rsidR="00916F65" w:rsidRPr="00190A39">
        <w:rPr>
          <w:rFonts w:ascii="Arial" w:eastAsia="Times New Roman" w:hAnsi="Arial" w:cs="Arial"/>
          <w:sz w:val="24"/>
          <w:szCs w:val="24"/>
          <w:lang w:eastAsia="en-ZA"/>
        </w:rPr>
        <w:t>KwaZulu-Natal.</w:t>
      </w:r>
    </w:p>
    <w:p w:rsidR="00916F65" w:rsidRPr="00D14F07" w:rsidRDefault="00916F65" w:rsidP="00E20069">
      <w:pPr>
        <w:pStyle w:val="ListParagraph"/>
        <w:tabs>
          <w:tab w:val="left" w:pos="720"/>
        </w:tabs>
        <w:rPr>
          <w:rFonts w:ascii="Arial" w:eastAsia="Times New Roman" w:hAnsi="Arial" w:cs="Arial"/>
          <w:sz w:val="24"/>
          <w:szCs w:val="24"/>
          <w:lang w:eastAsia="en-ZA"/>
        </w:rPr>
      </w:pPr>
    </w:p>
    <w:p w:rsidR="00421698" w:rsidRPr="00D14F07" w:rsidRDefault="00277C02" w:rsidP="00190A39">
      <w:pPr>
        <w:spacing w:after="0" w:line="360" w:lineRule="auto"/>
        <w:jc w:val="both"/>
        <w:rPr>
          <w:rFonts w:ascii="Arial" w:eastAsia="Times New Roman" w:hAnsi="Arial" w:cs="Arial"/>
          <w:sz w:val="24"/>
          <w:szCs w:val="24"/>
          <w:lang w:eastAsia="en-ZA"/>
        </w:rPr>
      </w:pPr>
      <w:r w:rsidRPr="00D14F07">
        <w:rPr>
          <w:rFonts w:ascii="Arial" w:eastAsia="Times New Roman" w:hAnsi="Arial" w:cs="Arial"/>
          <w:sz w:val="24"/>
          <w:szCs w:val="24"/>
          <w:lang w:eastAsia="en-ZA"/>
        </w:rPr>
        <w:t>[32]</w:t>
      </w:r>
      <w:r w:rsidRPr="00D14F07">
        <w:rPr>
          <w:rFonts w:ascii="Arial" w:eastAsia="Times New Roman" w:hAnsi="Arial" w:cs="Arial"/>
          <w:sz w:val="24"/>
          <w:szCs w:val="24"/>
          <w:lang w:eastAsia="en-ZA"/>
        </w:rPr>
        <w:tab/>
      </w:r>
      <w:r w:rsidR="00421698" w:rsidRPr="00D14F07">
        <w:rPr>
          <w:rFonts w:ascii="Arial" w:eastAsia="Times New Roman" w:hAnsi="Arial" w:cs="Arial"/>
          <w:sz w:val="24"/>
          <w:szCs w:val="24"/>
          <w:lang w:eastAsia="en-ZA"/>
        </w:rPr>
        <w:t>In the result I make the following order:</w:t>
      </w:r>
    </w:p>
    <w:p w:rsidR="00421698" w:rsidRPr="00D14F07" w:rsidRDefault="00E20069" w:rsidP="00B203A3">
      <w:pPr>
        <w:spacing w:after="0" w:line="360" w:lineRule="auto"/>
        <w:ind w:left="720"/>
        <w:jc w:val="both"/>
        <w:rPr>
          <w:rFonts w:ascii="Arial" w:eastAsia="Times New Roman" w:hAnsi="Arial" w:cs="Arial"/>
          <w:sz w:val="24"/>
          <w:szCs w:val="24"/>
          <w:lang w:eastAsia="en-ZA"/>
        </w:rPr>
      </w:pPr>
      <w:r w:rsidRPr="00D14F07">
        <w:rPr>
          <w:rFonts w:ascii="Arial" w:eastAsia="Times New Roman" w:hAnsi="Arial" w:cs="Arial"/>
          <w:sz w:val="24"/>
          <w:szCs w:val="24"/>
          <w:lang w:eastAsia="en-ZA"/>
        </w:rPr>
        <w:t xml:space="preserve">(a) </w:t>
      </w:r>
      <w:r w:rsidR="00986120" w:rsidRPr="00D14F07">
        <w:rPr>
          <w:rFonts w:ascii="Arial" w:eastAsia="Times New Roman" w:hAnsi="Arial" w:cs="Arial"/>
          <w:sz w:val="24"/>
          <w:szCs w:val="24"/>
          <w:lang w:eastAsia="en-ZA"/>
        </w:rPr>
        <w:tab/>
      </w:r>
      <w:r w:rsidR="00916F65" w:rsidRPr="00D14F07">
        <w:rPr>
          <w:rFonts w:ascii="Arial" w:eastAsia="Times New Roman" w:hAnsi="Arial" w:cs="Arial"/>
          <w:sz w:val="24"/>
          <w:szCs w:val="24"/>
          <w:lang w:eastAsia="en-ZA"/>
        </w:rPr>
        <w:t>t</w:t>
      </w:r>
      <w:r w:rsidR="00421698" w:rsidRPr="00D14F07">
        <w:rPr>
          <w:rFonts w:ascii="Arial" w:eastAsia="Times New Roman" w:hAnsi="Arial" w:cs="Arial"/>
          <w:sz w:val="24"/>
          <w:szCs w:val="24"/>
          <w:lang w:eastAsia="en-ZA"/>
        </w:rPr>
        <w:t xml:space="preserve">he first respondent is ordered to pay the applicant the sum of R1 556 317.00, together with such interest as may have accrued thereon from such </w:t>
      </w:r>
      <w:r w:rsidR="00986120" w:rsidRPr="00D14F07">
        <w:rPr>
          <w:rFonts w:ascii="Arial" w:eastAsia="Times New Roman" w:hAnsi="Arial" w:cs="Arial"/>
          <w:sz w:val="24"/>
          <w:szCs w:val="24"/>
          <w:lang w:eastAsia="en-ZA"/>
        </w:rPr>
        <w:t xml:space="preserve">sum </w:t>
      </w:r>
      <w:r w:rsidR="00421698" w:rsidRPr="00D14F07">
        <w:rPr>
          <w:rFonts w:ascii="Arial" w:eastAsia="Times New Roman" w:hAnsi="Arial" w:cs="Arial"/>
          <w:sz w:val="24"/>
          <w:szCs w:val="24"/>
          <w:lang w:eastAsia="en-ZA"/>
        </w:rPr>
        <w:t xml:space="preserve">being held in a trust investment banking account for and on behalf of the applicant, together with all interest accruing thereon until date of </w:t>
      </w:r>
      <w:r w:rsidR="00986120" w:rsidRPr="00D14F07">
        <w:rPr>
          <w:rFonts w:ascii="Arial" w:eastAsia="Times New Roman" w:hAnsi="Arial" w:cs="Arial"/>
          <w:sz w:val="24"/>
          <w:szCs w:val="24"/>
          <w:lang w:eastAsia="en-ZA"/>
        </w:rPr>
        <w:t xml:space="preserve">final </w:t>
      </w:r>
      <w:r w:rsidR="00421698" w:rsidRPr="00D14F07">
        <w:rPr>
          <w:rFonts w:ascii="Arial" w:eastAsia="Times New Roman" w:hAnsi="Arial" w:cs="Arial"/>
          <w:sz w:val="24"/>
          <w:szCs w:val="24"/>
          <w:lang w:eastAsia="en-ZA"/>
        </w:rPr>
        <w:t>payment;</w:t>
      </w:r>
    </w:p>
    <w:p w:rsidR="00421698" w:rsidRPr="00D14F07" w:rsidRDefault="00421698" w:rsidP="00B203A3">
      <w:pPr>
        <w:pStyle w:val="ListParagraph"/>
        <w:numPr>
          <w:ilvl w:val="0"/>
          <w:numId w:val="9"/>
        </w:numPr>
        <w:spacing w:after="0" w:line="360" w:lineRule="auto"/>
        <w:ind w:left="567" w:firstLine="0"/>
        <w:jc w:val="both"/>
        <w:rPr>
          <w:rFonts w:ascii="Arial" w:eastAsia="Times New Roman" w:hAnsi="Arial" w:cs="Arial"/>
          <w:sz w:val="24"/>
          <w:szCs w:val="24"/>
          <w:lang w:eastAsia="en-ZA"/>
        </w:rPr>
      </w:pPr>
      <w:r w:rsidRPr="00D14F07">
        <w:rPr>
          <w:rFonts w:ascii="Arial" w:eastAsia="Times New Roman" w:hAnsi="Arial" w:cs="Arial"/>
          <w:sz w:val="24"/>
          <w:szCs w:val="24"/>
          <w:lang w:eastAsia="en-ZA"/>
        </w:rPr>
        <w:t xml:space="preserve">the </w:t>
      </w:r>
      <w:r w:rsidR="00525647">
        <w:rPr>
          <w:rFonts w:ascii="Arial" w:eastAsia="Times New Roman" w:hAnsi="Arial" w:cs="Arial"/>
          <w:sz w:val="24"/>
          <w:szCs w:val="24"/>
          <w:lang w:eastAsia="en-ZA"/>
        </w:rPr>
        <w:t xml:space="preserve">first </w:t>
      </w:r>
      <w:r w:rsidRPr="00D14F07">
        <w:rPr>
          <w:rFonts w:ascii="Arial" w:eastAsia="Times New Roman" w:hAnsi="Arial" w:cs="Arial"/>
          <w:sz w:val="24"/>
          <w:szCs w:val="24"/>
          <w:lang w:eastAsia="en-ZA"/>
        </w:rPr>
        <w:t xml:space="preserve">respondent is directed to pay </w:t>
      </w:r>
      <w:r w:rsidR="00B203A3">
        <w:rPr>
          <w:rFonts w:ascii="Arial" w:eastAsia="Times New Roman" w:hAnsi="Arial" w:cs="Arial"/>
          <w:sz w:val="24"/>
          <w:szCs w:val="24"/>
          <w:lang w:eastAsia="en-ZA"/>
        </w:rPr>
        <w:t xml:space="preserve">the applicant’s </w:t>
      </w:r>
      <w:r w:rsidRPr="00D14F07">
        <w:rPr>
          <w:rFonts w:ascii="Arial" w:eastAsia="Times New Roman" w:hAnsi="Arial" w:cs="Arial"/>
          <w:sz w:val="24"/>
          <w:szCs w:val="24"/>
          <w:lang w:eastAsia="en-ZA"/>
        </w:rPr>
        <w:t>costs of this application on an attorney-client scale;</w:t>
      </w:r>
    </w:p>
    <w:p w:rsidR="00421698" w:rsidRPr="00D14F07" w:rsidRDefault="00421698" w:rsidP="00B203A3">
      <w:pPr>
        <w:pStyle w:val="ListParagraph"/>
        <w:numPr>
          <w:ilvl w:val="0"/>
          <w:numId w:val="9"/>
        </w:numPr>
        <w:spacing w:after="0" w:line="360" w:lineRule="auto"/>
        <w:ind w:left="567" w:firstLine="0"/>
        <w:jc w:val="both"/>
        <w:rPr>
          <w:rFonts w:ascii="Arial" w:eastAsia="Times New Roman" w:hAnsi="Arial" w:cs="Arial"/>
          <w:sz w:val="24"/>
          <w:szCs w:val="24"/>
          <w:lang w:eastAsia="en-ZA"/>
        </w:rPr>
      </w:pPr>
      <w:r w:rsidRPr="00D14F07">
        <w:rPr>
          <w:rFonts w:ascii="Arial" w:eastAsia="Times New Roman" w:hAnsi="Arial" w:cs="Arial"/>
          <w:sz w:val="24"/>
          <w:szCs w:val="24"/>
          <w:lang w:eastAsia="en-ZA"/>
        </w:rPr>
        <w:lastRenderedPageBreak/>
        <w:t>a copy of th</w:t>
      </w:r>
      <w:r w:rsidR="00916F65" w:rsidRPr="00D14F07">
        <w:rPr>
          <w:rFonts w:ascii="Arial" w:eastAsia="Times New Roman" w:hAnsi="Arial" w:cs="Arial"/>
          <w:sz w:val="24"/>
          <w:szCs w:val="24"/>
          <w:lang w:eastAsia="en-ZA"/>
        </w:rPr>
        <w:t>is judgment is referred to the Legal Practice C</w:t>
      </w:r>
      <w:r w:rsidRPr="00D14F07">
        <w:rPr>
          <w:rFonts w:ascii="Arial" w:eastAsia="Times New Roman" w:hAnsi="Arial" w:cs="Arial"/>
          <w:sz w:val="24"/>
          <w:szCs w:val="24"/>
          <w:lang w:eastAsia="en-ZA"/>
        </w:rPr>
        <w:t>ounsel (KwaZulu</w:t>
      </w:r>
      <w:r w:rsidR="00986120" w:rsidRPr="00D14F07">
        <w:rPr>
          <w:rFonts w:ascii="Arial" w:eastAsia="Times New Roman" w:hAnsi="Arial" w:cs="Arial"/>
          <w:sz w:val="24"/>
          <w:szCs w:val="24"/>
          <w:lang w:eastAsia="en-ZA"/>
        </w:rPr>
        <w:t>-</w:t>
      </w:r>
      <w:r w:rsidRPr="00D14F07">
        <w:rPr>
          <w:rFonts w:ascii="Arial" w:eastAsia="Times New Roman" w:hAnsi="Arial" w:cs="Arial"/>
          <w:sz w:val="24"/>
          <w:szCs w:val="24"/>
          <w:lang w:eastAsia="en-ZA"/>
        </w:rPr>
        <w:t>Natal) for consideration insofar as the conduct of the first respondent is concerned.</w:t>
      </w:r>
    </w:p>
    <w:p w:rsidR="007A20AF" w:rsidRDefault="007A20AF" w:rsidP="001A137B">
      <w:pPr>
        <w:pStyle w:val="ListParagraph"/>
        <w:tabs>
          <w:tab w:val="left" w:pos="567"/>
        </w:tabs>
        <w:spacing w:after="0" w:line="360" w:lineRule="auto"/>
        <w:ind w:left="0"/>
        <w:jc w:val="both"/>
        <w:rPr>
          <w:rFonts w:ascii="Arial" w:eastAsia="Times New Roman" w:hAnsi="Arial" w:cs="Arial"/>
          <w:lang w:eastAsia="en-ZA"/>
        </w:rPr>
      </w:pPr>
    </w:p>
    <w:p w:rsidR="00871F40" w:rsidRPr="00D14F07" w:rsidRDefault="00871F40" w:rsidP="001A137B">
      <w:pPr>
        <w:pStyle w:val="ListParagraph"/>
        <w:tabs>
          <w:tab w:val="left" w:pos="567"/>
        </w:tabs>
        <w:spacing w:after="0" w:line="360" w:lineRule="auto"/>
        <w:ind w:left="0"/>
        <w:jc w:val="both"/>
        <w:rPr>
          <w:rFonts w:ascii="Arial" w:eastAsia="Times New Roman" w:hAnsi="Arial" w:cs="Arial"/>
          <w:lang w:eastAsia="en-ZA"/>
        </w:rPr>
      </w:pPr>
    </w:p>
    <w:p w:rsidR="00871F40" w:rsidRPr="001A0219" w:rsidRDefault="00871F40" w:rsidP="00871F40">
      <w:pPr>
        <w:spacing w:after="0" w:line="360" w:lineRule="auto"/>
      </w:pPr>
      <w:r w:rsidRPr="00871F40">
        <w:rPr>
          <w:b/>
          <w:bCs/>
          <w:i/>
          <w:iCs/>
        </w:rPr>
        <w:object w:dxaOrig="12024" w:dyaOrig="10368" w14:anchorId="38968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0.75pt" o:ole="">
            <v:imagedata r:id="rId9" o:title=""/>
          </v:shape>
          <o:OLEObject Type="Embed" ProgID="PictureIt!.Picture" ShapeID="_x0000_i1025" DrawAspect="Content" ObjectID="_1709023719" r:id="rId10"/>
        </w:object>
      </w:r>
    </w:p>
    <w:p w:rsidR="00871F40" w:rsidRPr="001A0219" w:rsidRDefault="00871F40" w:rsidP="00871F40">
      <w:pPr>
        <w:spacing w:line="360" w:lineRule="auto"/>
        <w:ind w:left="720" w:hanging="720"/>
        <w:rPr>
          <w:rFonts w:ascii="Arial" w:hAnsi="Arial" w:cs="Arial"/>
          <w:b/>
        </w:rPr>
      </w:pPr>
      <w:r w:rsidRPr="001A0219">
        <w:rPr>
          <w:rFonts w:ascii="Arial" w:hAnsi="Arial" w:cs="Arial"/>
          <w:b/>
        </w:rPr>
        <w:t>_________________</w:t>
      </w:r>
    </w:p>
    <w:p w:rsidR="00871F40" w:rsidRDefault="00871F40" w:rsidP="00871F40">
      <w:pPr>
        <w:spacing w:line="360" w:lineRule="auto"/>
        <w:ind w:left="720" w:hanging="720"/>
        <w:rPr>
          <w:rFonts w:ascii="Arial" w:hAnsi="Arial" w:cs="Arial"/>
          <w:b/>
        </w:rPr>
      </w:pPr>
      <w:r w:rsidRPr="001A0219">
        <w:rPr>
          <w:rFonts w:ascii="Arial" w:hAnsi="Arial" w:cs="Arial"/>
          <w:b/>
        </w:rPr>
        <w:t>M R C</w:t>
      </w:r>
      <w:r>
        <w:rPr>
          <w:rFonts w:ascii="Arial" w:hAnsi="Arial" w:cs="Arial"/>
          <w:b/>
        </w:rPr>
        <w:t xml:space="preserve">HETTY </w:t>
      </w:r>
    </w:p>
    <w:p w:rsidR="00712453" w:rsidRDefault="00712453" w:rsidP="001A137B">
      <w:pPr>
        <w:pStyle w:val="ListParagraph"/>
        <w:tabs>
          <w:tab w:val="left" w:pos="567"/>
        </w:tabs>
        <w:spacing w:after="0" w:line="360" w:lineRule="auto"/>
        <w:ind w:left="0"/>
        <w:jc w:val="both"/>
        <w:rPr>
          <w:rFonts w:ascii="Arial" w:eastAsia="Times New Roman" w:hAnsi="Arial" w:cs="Arial"/>
          <w:lang w:eastAsia="en-ZA"/>
        </w:rPr>
      </w:pPr>
    </w:p>
    <w:p w:rsidR="00B203A3" w:rsidRPr="00D14F07" w:rsidRDefault="00B203A3" w:rsidP="00871F40">
      <w:pPr>
        <w:pStyle w:val="ListParagraph"/>
        <w:tabs>
          <w:tab w:val="left" w:pos="567"/>
        </w:tabs>
        <w:spacing w:after="0" w:line="360" w:lineRule="auto"/>
        <w:ind w:left="0"/>
        <w:jc w:val="both"/>
        <w:rPr>
          <w:rFonts w:ascii="Arial" w:eastAsia="Times New Roman" w:hAnsi="Arial" w:cs="Arial"/>
          <w:lang w:eastAsia="en-ZA"/>
        </w:rPr>
      </w:pPr>
      <w:bookmarkStart w:id="0" w:name="_GoBack"/>
      <w:bookmarkEnd w:id="0"/>
    </w:p>
    <w:sectPr w:rsidR="00B203A3" w:rsidRPr="00D14F07" w:rsidSect="00D14F07">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A9D" w:rsidRDefault="00150A9D" w:rsidP="000F482B">
      <w:pPr>
        <w:spacing w:after="0" w:line="240" w:lineRule="auto"/>
      </w:pPr>
      <w:r>
        <w:separator/>
      </w:r>
    </w:p>
  </w:endnote>
  <w:endnote w:type="continuationSeparator" w:id="0">
    <w:p w:rsidR="00150A9D" w:rsidRDefault="00150A9D" w:rsidP="000F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A9D" w:rsidRDefault="00150A9D" w:rsidP="000F482B">
      <w:pPr>
        <w:spacing w:after="0" w:line="240" w:lineRule="auto"/>
      </w:pPr>
      <w:r>
        <w:separator/>
      </w:r>
    </w:p>
  </w:footnote>
  <w:footnote w:type="continuationSeparator" w:id="0">
    <w:p w:rsidR="00150A9D" w:rsidRDefault="00150A9D" w:rsidP="000F482B">
      <w:pPr>
        <w:spacing w:after="0" w:line="240" w:lineRule="auto"/>
      </w:pPr>
      <w:r>
        <w:continuationSeparator/>
      </w:r>
    </w:p>
  </w:footnote>
  <w:footnote w:id="1">
    <w:p w:rsidR="004B0235" w:rsidRPr="00D541F3" w:rsidRDefault="004B0235" w:rsidP="00B17674">
      <w:pPr>
        <w:spacing w:after="0" w:line="240" w:lineRule="auto"/>
        <w:jc w:val="both"/>
        <w:rPr>
          <w:rFonts w:ascii="Arial" w:hAnsi="Arial" w:cs="Arial"/>
          <w:sz w:val="20"/>
          <w:szCs w:val="20"/>
        </w:rPr>
      </w:pPr>
      <w:r w:rsidRPr="00D541F3">
        <w:rPr>
          <w:rStyle w:val="FootnoteReference"/>
          <w:rFonts w:ascii="Arial" w:hAnsi="Arial" w:cs="Arial"/>
          <w:sz w:val="20"/>
          <w:szCs w:val="20"/>
        </w:rPr>
        <w:footnoteRef/>
      </w:r>
      <w:r w:rsidRPr="00D541F3">
        <w:rPr>
          <w:rFonts w:ascii="Arial" w:hAnsi="Arial" w:cs="Arial"/>
          <w:sz w:val="20"/>
          <w:szCs w:val="20"/>
        </w:rPr>
        <w:t xml:space="preserve"> </w:t>
      </w:r>
      <w:r w:rsidRPr="00D541F3">
        <w:rPr>
          <w:rFonts w:ascii="Arial" w:hAnsi="Arial" w:cs="Arial"/>
          <w:sz w:val="20"/>
          <w:szCs w:val="20"/>
          <w:lang w:val="en-GB"/>
        </w:rPr>
        <w:t xml:space="preserve">In terms of Schedule 1 an accountable institution includes a ‘practitioner who practices as defined in section 1 of the Attorneys Act, 1979 (Act No. 53 of 1979)’. </w:t>
      </w:r>
    </w:p>
  </w:footnote>
  <w:footnote w:id="2">
    <w:p w:rsidR="004B0235" w:rsidRPr="00D541F3" w:rsidRDefault="004B0235" w:rsidP="00B17674">
      <w:pPr>
        <w:pStyle w:val="ListParagraph"/>
        <w:shd w:val="clear" w:color="auto" w:fill="FFFFFF"/>
        <w:spacing w:after="0" w:line="240" w:lineRule="auto"/>
        <w:ind w:left="0"/>
        <w:jc w:val="both"/>
        <w:rPr>
          <w:rFonts w:ascii="Arial" w:eastAsia="Times New Roman" w:hAnsi="Arial" w:cs="Arial"/>
          <w:color w:val="000000"/>
          <w:sz w:val="20"/>
          <w:szCs w:val="20"/>
          <w:lang w:eastAsia="en-ZA"/>
        </w:rPr>
      </w:pPr>
      <w:r w:rsidRPr="00D541F3">
        <w:rPr>
          <w:rStyle w:val="FootnoteReference"/>
          <w:rFonts w:ascii="Arial" w:hAnsi="Arial" w:cs="Arial"/>
          <w:sz w:val="20"/>
          <w:szCs w:val="20"/>
        </w:rPr>
        <w:footnoteRef/>
      </w:r>
      <w:r w:rsidRPr="00D541F3">
        <w:rPr>
          <w:rFonts w:ascii="Arial" w:hAnsi="Arial" w:cs="Arial"/>
          <w:sz w:val="20"/>
          <w:szCs w:val="20"/>
        </w:rPr>
        <w:t xml:space="preserve"> </w:t>
      </w:r>
      <w:r>
        <w:rPr>
          <w:rFonts w:ascii="Arial" w:hAnsi="Arial" w:cs="Arial"/>
          <w:sz w:val="20"/>
          <w:szCs w:val="20"/>
        </w:rPr>
        <w:t>‘</w:t>
      </w:r>
      <w:r w:rsidRPr="00525647">
        <w:rPr>
          <w:rFonts w:ascii="Arial" w:eastAsia="Times New Roman" w:hAnsi="Arial" w:cs="Arial"/>
          <w:b/>
          <w:bCs/>
          <w:color w:val="000000"/>
          <w:sz w:val="20"/>
          <w:szCs w:val="20"/>
          <w:lang w:eastAsia="en-ZA"/>
        </w:rPr>
        <w:t>21B.   Additional due diligence measures relating to legal persons, trusts and partnerships</w:t>
      </w:r>
      <w:r w:rsidRPr="00D541F3">
        <w:rPr>
          <w:rFonts w:ascii="Arial" w:eastAsia="Times New Roman" w:hAnsi="Arial" w:cs="Arial"/>
          <w:b/>
          <w:bCs/>
          <w:color w:val="000000"/>
          <w:sz w:val="20"/>
          <w:szCs w:val="20"/>
          <w:lang w:eastAsia="en-ZA"/>
        </w:rPr>
        <w:t>.</w:t>
      </w:r>
      <w:r w:rsidRPr="00D541F3">
        <w:rPr>
          <w:rFonts w:ascii="Arial" w:eastAsia="Times New Roman" w:hAnsi="Arial" w:cs="Arial"/>
          <w:color w:val="000000"/>
          <w:sz w:val="20"/>
          <w:szCs w:val="20"/>
          <w:lang w:eastAsia="en-ZA"/>
        </w:rPr>
        <w:t>—(1)  If a client contemplated in section 21 is a legal person or a natural person acting on behalf of a partnership, trust or similar arrangement between natural persons, an accountable institution must, in addition to the steps required under sections 21 and 21A and in accordance with its Risk Management and Compliance Programme establish—</w:t>
      </w:r>
    </w:p>
    <w:p w:rsidR="004B0235" w:rsidRPr="00D541F3" w:rsidRDefault="004B0235" w:rsidP="00C06AE1">
      <w:pPr>
        <w:pStyle w:val="ListParagraph"/>
        <w:shd w:val="clear" w:color="auto" w:fill="FFFFFF"/>
        <w:spacing w:after="0" w:line="240" w:lineRule="auto"/>
        <w:ind w:hanging="720"/>
        <w:jc w:val="both"/>
        <w:rPr>
          <w:rFonts w:ascii="Arial" w:eastAsia="Times New Roman" w:hAnsi="Arial" w:cs="Arial"/>
          <w:color w:val="000000"/>
          <w:sz w:val="20"/>
          <w:szCs w:val="20"/>
          <w:lang w:eastAsia="en-ZA"/>
        </w:rPr>
      </w:pPr>
      <w:r w:rsidRPr="00D541F3">
        <w:rPr>
          <w:rFonts w:ascii="Arial" w:eastAsia="Times New Roman" w:hAnsi="Arial" w:cs="Arial"/>
          <w:color w:val="000000"/>
          <w:sz w:val="20"/>
          <w:szCs w:val="20"/>
          <w:lang w:eastAsia="en-ZA"/>
        </w:rPr>
        <w:t>(a) the nature of the client’s business; and</w:t>
      </w:r>
    </w:p>
    <w:p w:rsidR="004B0235" w:rsidRPr="00D541F3" w:rsidRDefault="004B0235" w:rsidP="00C06AE1">
      <w:pPr>
        <w:pStyle w:val="ListParagraph"/>
        <w:shd w:val="clear" w:color="auto" w:fill="FFFFFF"/>
        <w:spacing w:after="0" w:line="240" w:lineRule="auto"/>
        <w:ind w:hanging="720"/>
        <w:jc w:val="both"/>
        <w:rPr>
          <w:rFonts w:ascii="Arial" w:eastAsia="Times New Roman" w:hAnsi="Arial" w:cs="Arial"/>
          <w:color w:val="000000"/>
          <w:sz w:val="20"/>
          <w:szCs w:val="20"/>
          <w:lang w:eastAsia="en-ZA"/>
        </w:rPr>
      </w:pPr>
      <w:r w:rsidRPr="00D541F3">
        <w:rPr>
          <w:rFonts w:ascii="Arial" w:eastAsia="Times New Roman" w:hAnsi="Arial" w:cs="Arial"/>
          <w:color w:val="000000"/>
          <w:sz w:val="20"/>
          <w:szCs w:val="20"/>
          <w:lang w:eastAsia="en-ZA"/>
        </w:rPr>
        <w:t>(</w:t>
      </w:r>
      <w:r w:rsidRPr="00D541F3">
        <w:rPr>
          <w:rFonts w:ascii="Arial" w:eastAsia="Times New Roman" w:hAnsi="Arial" w:cs="Arial"/>
          <w:i/>
          <w:iCs/>
          <w:color w:val="000000"/>
          <w:sz w:val="20"/>
          <w:szCs w:val="20"/>
          <w:lang w:eastAsia="en-ZA"/>
        </w:rPr>
        <w:t>b</w:t>
      </w:r>
      <w:r w:rsidRPr="00D541F3">
        <w:rPr>
          <w:rFonts w:ascii="Arial" w:eastAsia="Times New Roman" w:hAnsi="Arial" w:cs="Arial"/>
          <w:color w:val="000000"/>
          <w:sz w:val="20"/>
          <w:szCs w:val="20"/>
          <w:lang w:eastAsia="en-ZA"/>
        </w:rPr>
        <w:t>) the ownership and control structure of the client.</w:t>
      </w:r>
    </w:p>
    <w:p w:rsidR="004B0235" w:rsidRPr="00D541F3" w:rsidRDefault="004B0235" w:rsidP="00C06AE1">
      <w:pPr>
        <w:pStyle w:val="ListParagraph"/>
        <w:shd w:val="clear" w:color="auto" w:fill="FFFFFF"/>
        <w:spacing w:after="0" w:line="240" w:lineRule="auto"/>
        <w:ind w:left="0"/>
        <w:jc w:val="both"/>
        <w:rPr>
          <w:rFonts w:ascii="Arial" w:eastAsia="Times New Roman" w:hAnsi="Arial" w:cs="Arial"/>
          <w:color w:val="000000"/>
          <w:sz w:val="20"/>
          <w:szCs w:val="20"/>
          <w:lang w:eastAsia="en-ZA"/>
        </w:rPr>
      </w:pPr>
    </w:p>
    <w:p w:rsidR="004B0235" w:rsidRPr="00D541F3" w:rsidRDefault="004B0235" w:rsidP="00C06AE1">
      <w:pPr>
        <w:pStyle w:val="ListParagraph"/>
        <w:shd w:val="clear" w:color="auto" w:fill="FFFFFF"/>
        <w:spacing w:after="0" w:line="240" w:lineRule="auto"/>
        <w:ind w:left="0"/>
        <w:jc w:val="both"/>
        <w:rPr>
          <w:rFonts w:ascii="Arial" w:eastAsia="Times New Roman" w:hAnsi="Arial" w:cs="Arial"/>
          <w:color w:val="000000"/>
          <w:sz w:val="20"/>
          <w:szCs w:val="20"/>
          <w:lang w:eastAsia="en-ZA"/>
        </w:rPr>
      </w:pPr>
      <w:r w:rsidRPr="00D541F3">
        <w:rPr>
          <w:rFonts w:ascii="Arial" w:eastAsia="Times New Roman" w:hAnsi="Arial" w:cs="Arial"/>
          <w:color w:val="000000"/>
          <w:sz w:val="20"/>
          <w:szCs w:val="20"/>
          <w:lang w:eastAsia="en-ZA"/>
        </w:rPr>
        <w:t xml:space="preserve">(2)  If a client contemplated in section 21 is </w:t>
      </w:r>
      <w:r w:rsidRPr="00D541F3">
        <w:rPr>
          <w:rFonts w:ascii="Arial" w:eastAsia="Times New Roman" w:hAnsi="Arial" w:cs="Arial"/>
          <w:i/>
          <w:color w:val="000000"/>
          <w:sz w:val="20"/>
          <w:szCs w:val="20"/>
          <w:lang w:eastAsia="en-ZA"/>
        </w:rPr>
        <w:t>a legal person</w:t>
      </w:r>
      <w:r w:rsidRPr="00D541F3">
        <w:rPr>
          <w:rFonts w:ascii="Arial" w:eastAsia="Times New Roman" w:hAnsi="Arial" w:cs="Arial"/>
          <w:color w:val="000000"/>
          <w:sz w:val="20"/>
          <w:szCs w:val="20"/>
          <w:lang w:eastAsia="en-ZA"/>
        </w:rPr>
        <w:t>, an accountable institution must, in addition to the steps required under sections 21 and 21A and in accordance with its Risk Management and Compliance Programme—</w:t>
      </w:r>
    </w:p>
    <w:p w:rsidR="004B0235" w:rsidRPr="00D541F3" w:rsidRDefault="004B0235" w:rsidP="00C06AE1">
      <w:pPr>
        <w:pStyle w:val="ListParagraph"/>
        <w:shd w:val="clear" w:color="auto" w:fill="FFFFFF"/>
        <w:spacing w:after="0" w:line="240" w:lineRule="auto"/>
        <w:ind w:hanging="720"/>
        <w:jc w:val="both"/>
        <w:rPr>
          <w:rFonts w:ascii="Arial" w:eastAsia="Times New Roman" w:hAnsi="Arial" w:cs="Arial"/>
          <w:color w:val="000000"/>
          <w:sz w:val="20"/>
          <w:szCs w:val="20"/>
          <w:lang w:eastAsia="en-ZA"/>
        </w:rPr>
      </w:pPr>
      <w:r w:rsidRPr="00D541F3">
        <w:rPr>
          <w:rFonts w:ascii="Arial" w:eastAsia="Times New Roman" w:hAnsi="Arial" w:cs="Arial"/>
          <w:color w:val="000000"/>
          <w:sz w:val="20"/>
          <w:szCs w:val="20"/>
          <w:lang w:eastAsia="en-ZA"/>
        </w:rPr>
        <w:t>(</w:t>
      </w:r>
      <w:r w:rsidRPr="00D541F3">
        <w:rPr>
          <w:rFonts w:ascii="Arial" w:eastAsia="Times New Roman" w:hAnsi="Arial" w:cs="Arial"/>
          <w:i/>
          <w:iCs/>
          <w:color w:val="000000"/>
          <w:sz w:val="20"/>
          <w:szCs w:val="20"/>
          <w:lang w:eastAsia="en-ZA"/>
        </w:rPr>
        <w:t>a</w:t>
      </w:r>
      <w:r w:rsidRPr="00D541F3">
        <w:rPr>
          <w:rFonts w:ascii="Arial" w:eastAsia="Times New Roman" w:hAnsi="Arial" w:cs="Arial"/>
          <w:color w:val="000000"/>
          <w:sz w:val="20"/>
          <w:szCs w:val="20"/>
          <w:lang w:eastAsia="en-ZA"/>
        </w:rPr>
        <w:t>) establish the identity of the beneficial owner of the client by—</w:t>
      </w:r>
    </w:p>
    <w:p w:rsidR="004B0235" w:rsidRDefault="004B0235" w:rsidP="00C06AE1">
      <w:pPr>
        <w:pStyle w:val="ListParagraph"/>
        <w:shd w:val="clear" w:color="auto" w:fill="FFFFFF"/>
        <w:spacing w:after="0" w:line="240" w:lineRule="auto"/>
        <w:ind w:left="0"/>
        <w:rPr>
          <w:rFonts w:ascii="Arial" w:eastAsia="Times New Roman" w:hAnsi="Arial" w:cs="Arial"/>
          <w:color w:val="000000"/>
          <w:sz w:val="20"/>
          <w:szCs w:val="20"/>
          <w:lang w:eastAsia="en-ZA"/>
        </w:rPr>
      </w:pPr>
      <w:r w:rsidRPr="00D541F3">
        <w:rPr>
          <w:rFonts w:ascii="Arial" w:eastAsia="Times New Roman" w:hAnsi="Arial" w:cs="Arial"/>
          <w:color w:val="000000"/>
          <w:sz w:val="20"/>
          <w:szCs w:val="20"/>
          <w:lang w:eastAsia="en-ZA"/>
        </w:rPr>
        <w:t>(i) determining the identity of each natural person who, independently or together with another person, has a controlling ownership interest in the legal person;</w:t>
      </w:r>
    </w:p>
    <w:p w:rsidR="00525647" w:rsidRPr="00D541F3" w:rsidRDefault="00525647" w:rsidP="00C06AE1">
      <w:pPr>
        <w:pStyle w:val="ListParagraph"/>
        <w:shd w:val="clear" w:color="auto" w:fill="FFFFFF"/>
        <w:spacing w:after="0" w:line="240" w:lineRule="auto"/>
        <w:ind w:left="0"/>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w:t>
      </w:r>
    </w:p>
    <w:p w:rsidR="004B0235" w:rsidRPr="00D541F3" w:rsidRDefault="004B0235" w:rsidP="00C06AE1">
      <w:pPr>
        <w:pStyle w:val="ListParagraph"/>
        <w:shd w:val="clear" w:color="auto" w:fill="FFFFFF"/>
        <w:spacing w:after="0" w:line="240" w:lineRule="auto"/>
        <w:ind w:left="0"/>
        <w:jc w:val="both"/>
        <w:rPr>
          <w:rFonts w:ascii="Arial" w:eastAsia="Times New Roman" w:hAnsi="Arial" w:cs="Arial"/>
          <w:color w:val="000000"/>
          <w:sz w:val="20"/>
          <w:szCs w:val="20"/>
          <w:lang w:eastAsia="en-ZA"/>
        </w:rPr>
      </w:pPr>
      <w:r w:rsidRPr="00D541F3">
        <w:rPr>
          <w:rFonts w:ascii="Arial" w:eastAsia="Times New Roman" w:hAnsi="Arial" w:cs="Arial"/>
          <w:color w:val="000000"/>
          <w:sz w:val="20"/>
          <w:szCs w:val="20"/>
          <w:lang w:eastAsia="en-ZA"/>
        </w:rPr>
        <w:t>(</w:t>
      </w:r>
      <w:r w:rsidRPr="00D541F3">
        <w:rPr>
          <w:rFonts w:ascii="Arial" w:eastAsia="Times New Roman" w:hAnsi="Arial" w:cs="Arial"/>
          <w:i/>
          <w:iCs/>
          <w:color w:val="000000"/>
          <w:sz w:val="20"/>
          <w:szCs w:val="20"/>
          <w:lang w:eastAsia="en-ZA"/>
        </w:rPr>
        <w:t>b</w:t>
      </w:r>
      <w:r w:rsidRPr="00D541F3">
        <w:rPr>
          <w:rFonts w:ascii="Arial" w:eastAsia="Times New Roman" w:hAnsi="Arial" w:cs="Arial"/>
          <w:color w:val="000000"/>
          <w:sz w:val="20"/>
          <w:szCs w:val="20"/>
          <w:lang w:eastAsia="en-ZA"/>
        </w:rPr>
        <w:t>) take reasonable steps to verify the identity of the beneficial owner of the client, so that the accountable institution is satisfied that it knows who the beneficial owner is.</w:t>
      </w:r>
    </w:p>
    <w:p w:rsidR="004B0235" w:rsidRPr="00D541F3" w:rsidRDefault="004B0235" w:rsidP="00C06AE1">
      <w:pPr>
        <w:pStyle w:val="ListParagraph"/>
        <w:shd w:val="clear" w:color="auto" w:fill="FFFFFF"/>
        <w:spacing w:after="0" w:line="240" w:lineRule="auto"/>
        <w:ind w:left="0"/>
        <w:jc w:val="both"/>
        <w:rPr>
          <w:rFonts w:ascii="Arial" w:eastAsia="Times New Roman" w:hAnsi="Arial" w:cs="Arial"/>
          <w:color w:val="000000"/>
          <w:sz w:val="20"/>
          <w:szCs w:val="20"/>
          <w:lang w:eastAsia="en-ZA"/>
        </w:rPr>
      </w:pPr>
    </w:p>
    <w:p w:rsidR="004B0235" w:rsidRPr="00D541F3" w:rsidRDefault="004B0235" w:rsidP="00C06AE1">
      <w:pPr>
        <w:pStyle w:val="ListParagraph"/>
        <w:shd w:val="clear" w:color="auto" w:fill="FFFFFF"/>
        <w:spacing w:after="0" w:line="240" w:lineRule="auto"/>
        <w:ind w:left="0"/>
        <w:jc w:val="both"/>
        <w:rPr>
          <w:rFonts w:ascii="Arial" w:eastAsia="Times New Roman" w:hAnsi="Arial" w:cs="Arial"/>
          <w:color w:val="000000"/>
          <w:sz w:val="20"/>
          <w:szCs w:val="20"/>
          <w:lang w:eastAsia="en-ZA"/>
        </w:rPr>
      </w:pPr>
      <w:r w:rsidRPr="00D541F3">
        <w:rPr>
          <w:rFonts w:ascii="Arial" w:eastAsia="Times New Roman" w:hAnsi="Arial" w:cs="Arial"/>
          <w:color w:val="000000"/>
          <w:sz w:val="20"/>
          <w:szCs w:val="20"/>
          <w:lang w:eastAsia="en-ZA"/>
        </w:rPr>
        <w:t>(3)  If a natural person, in entering into a single transaction or establishing a business relationship as contemplated in section 21, is acting on behalf of a partnership between natural persons, an accountable institution must, in addition to the steps required under sections 21 and 21A and in accordance with its Risk Management and Compliance Programme—</w:t>
      </w:r>
    </w:p>
    <w:p w:rsidR="004B0235" w:rsidRPr="00D541F3" w:rsidRDefault="004B0235" w:rsidP="00C06AE1">
      <w:pPr>
        <w:pStyle w:val="ListParagraph"/>
        <w:shd w:val="clear" w:color="auto" w:fill="FFFFFF"/>
        <w:spacing w:after="0" w:line="240" w:lineRule="auto"/>
        <w:ind w:left="0"/>
        <w:jc w:val="both"/>
        <w:rPr>
          <w:rFonts w:ascii="Arial" w:eastAsia="Times New Roman" w:hAnsi="Arial" w:cs="Arial"/>
          <w:color w:val="000000"/>
          <w:sz w:val="20"/>
          <w:szCs w:val="20"/>
          <w:lang w:eastAsia="en-ZA"/>
        </w:rPr>
      </w:pPr>
      <w:r w:rsidRPr="00D541F3">
        <w:rPr>
          <w:rFonts w:ascii="Arial" w:eastAsia="Times New Roman" w:hAnsi="Arial" w:cs="Arial"/>
          <w:color w:val="000000"/>
          <w:sz w:val="20"/>
          <w:szCs w:val="20"/>
          <w:lang w:eastAsia="en-ZA"/>
        </w:rPr>
        <w:t>(</w:t>
      </w:r>
      <w:r w:rsidRPr="00D541F3">
        <w:rPr>
          <w:rFonts w:ascii="Arial" w:eastAsia="Times New Roman" w:hAnsi="Arial" w:cs="Arial"/>
          <w:i/>
          <w:iCs/>
          <w:color w:val="000000"/>
          <w:sz w:val="20"/>
          <w:szCs w:val="20"/>
          <w:lang w:eastAsia="en-ZA"/>
        </w:rPr>
        <w:t>a</w:t>
      </w:r>
      <w:r w:rsidRPr="00D541F3">
        <w:rPr>
          <w:rFonts w:ascii="Arial" w:eastAsia="Times New Roman" w:hAnsi="Arial" w:cs="Arial"/>
          <w:color w:val="000000"/>
          <w:sz w:val="20"/>
          <w:szCs w:val="20"/>
          <w:lang w:eastAsia="en-ZA"/>
        </w:rPr>
        <w:t>) establish the identifying name of the partnership, if applicable;</w:t>
      </w:r>
    </w:p>
    <w:p w:rsidR="004B0235" w:rsidRPr="00D541F3" w:rsidRDefault="004B0235" w:rsidP="00C06AE1">
      <w:pPr>
        <w:pStyle w:val="ListParagraph"/>
        <w:shd w:val="clear" w:color="auto" w:fill="FFFFFF"/>
        <w:spacing w:after="0" w:line="240" w:lineRule="auto"/>
        <w:ind w:left="0"/>
        <w:jc w:val="both"/>
        <w:rPr>
          <w:rFonts w:ascii="Arial" w:eastAsia="Times New Roman" w:hAnsi="Arial" w:cs="Arial"/>
          <w:color w:val="000000"/>
          <w:sz w:val="20"/>
          <w:szCs w:val="20"/>
          <w:lang w:eastAsia="en-ZA"/>
        </w:rPr>
      </w:pPr>
      <w:r w:rsidRPr="00D541F3">
        <w:rPr>
          <w:rFonts w:ascii="Arial" w:eastAsia="Times New Roman" w:hAnsi="Arial" w:cs="Arial"/>
          <w:color w:val="000000"/>
          <w:sz w:val="20"/>
          <w:szCs w:val="20"/>
          <w:lang w:eastAsia="en-ZA"/>
        </w:rPr>
        <w:t>(</w:t>
      </w:r>
      <w:r w:rsidRPr="00D541F3">
        <w:rPr>
          <w:rFonts w:ascii="Arial" w:eastAsia="Times New Roman" w:hAnsi="Arial" w:cs="Arial"/>
          <w:i/>
          <w:iCs/>
          <w:color w:val="000000"/>
          <w:sz w:val="20"/>
          <w:szCs w:val="20"/>
          <w:lang w:eastAsia="en-ZA"/>
        </w:rPr>
        <w:t>b</w:t>
      </w:r>
      <w:r w:rsidRPr="00D541F3">
        <w:rPr>
          <w:rFonts w:ascii="Arial" w:eastAsia="Times New Roman" w:hAnsi="Arial" w:cs="Arial"/>
          <w:color w:val="000000"/>
          <w:sz w:val="20"/>
          <w:szCs w:val="20"/>
          <w:lang w:eastAsia="en-ZA"/>
        </w:rPr>
        <w:t>) establish the identity of every partner, including every member of a partnership </w:t>
      </w:r>
      <w:r w:rsidRPr="00D541F3">
        <w:rPr>
          <w:rFonts w:ascii="Arial" w:eastAsia="Times New Roman" w:hAnsi="Arial" w:cs="Arial"/>
          <w:i/>
          <w:iCs/>
          <w:color w:val="000000"/>
          <w:sz w:val="20"/>
          <w:szCs w:val="20"/>
          <w:lang w:eastAsia="en-ZA"/>
        </w:rPr>
        <w:t>en commandite</w:t>
      </w:r>
      <w:r w:rsidRPr="00D541F3">
        <w:rPr>
          <w:rFonts w:ascii="Arial" w:eastAsia="Times New Roman" w:hAnsi="Arial" w:cs="Arial"/>
          <w:color w:val="000000"/>
          <w:sz w:val="20"/>
          <w:szCs w:val="20"/>
          <w:lang w:eastAsia="en-ZA"/>
        </w:rPr>
        <w:t>, an anonymous partnership or any similar partnership;</w:t>
      </w:r>
    </w:p>
    <w:p w:rsidR="004B0235" w:rsidRPr="00D541F3" w:rsidRDefault="004B0235" w:rsidP="00C06AE1">
      <w:pPr>
        <w:pStyle w:val="ListParagraph"/>
        <w:shd w:val="clear" w:color="auto" w:fill="FFFFFF"/>
        <w:spacing w:after="0" w:line="240" w:lineRule="auto"/>
        <w:ind w:left="0"/>
        <w:jc w:val="both"/>
        <w:rPr>
          <w:rFonts w:ascii="Arial" w:eastAsia="Times New Roman" w:hAnsi="Arial" w:cs="Arial"/>
          <w:color w:val="000000"/>
          <w:sz w:val="20"/>
          <w:szCs w:val="20"/>
          <w:lang w:eastAsia="en-ZA"/>
        </w:rPr>
      </w:pPr>
      <w:r w:rsidRPr="00D541F3">
        <w:rPr>
          <w:rFonts w:ascii="Arial" w:eastAsia="Times New Roman" w:hAnsi="Arial" w:cs="Arial"/>
          <w:color w:val="000000"/>
          <w:sz w:val="20"/>
          <w:szCs w:val="20"/>
          <w:lang w:eastAsia="en-ZA"/>
        </w:rPr>
        <w:t>(</w:t>
      </w:r>
      <w:r w:rsidRPr="00D541F3">
        <w:rPr>
          <w:rFonts w:ascii="Arial" w:eastAsia="Times New Roman" w:hAnsi="Arial" w:cs="Arial"/>
          <w:i/>
          <w:iCs/>
          <w:color w:val="000000"/>
          <w:sz w:val="20"/>
          <w:szCs w:val="20"/>
          <w:lang w:eastAsia="en-ZA"/>
        </w:rPr>
        <w:t>c</w:t>
      </w:r>
      <w:r w:rsidRPr="00D541F3">
        <w:rPr>
          <w:rFonts w:ascii="Arial" w:eastAsia="Times New Roman" w:hAnsi="Arial" w:cs="Arial"/>
          <w:color w:val="000000"/>
          <w:sz w:val="20"/>
          <w:szCs w:val="20"/>
          <w:lang w:eastAsia="en-ZA"/>
        </w:rPr>
        <w:t>) establish the identity of the person who exercises executive control over the partnership;</w:t>
      </w:r>
    </w:p>
    <w:p w:rsidR="004B0235" w:rsidRPr="00D541F3" w:rsidRDefault="004B0235" w:rsidP="00C06AE1">
      <w:pPr>
        <w:pStyle w:val="ListParagraph"/>
        <w:shd w:val="clear" w:color="auto" w:fill="FFFFFF"/>
        <w:spacing w:after="0" w:line="240" w:lineRule="auto"/>
        <w:ind w:left="0"/>
        <w:jc w:val="both"/>
        <w:rPr>
          <w:rFonts w:ascii="Arial" w:eastAsia="Times New Roman" w:hAnsi="Arial" w:cs="Arial"/>
          <w:color w:val="000000"/>
          <w:sz w:val="20"/>
          <w:szCs w:val="20"/>
          <w:lang w:eastAsia="en-ZA"/>
        </w:rPr>
      </w:pPr>
      <w:r w:rsidRPr="00D541F3">
        <w:rPr>
          <w:rFonts w:ascii="Arial" w:eastAsia="Times New Roman" w:hAnsi="Arial" w:cs="Arial"/>
          <w:color w:val="000000"/>
          <w:sz w:val="20"/>
          <w:szCs w:val="20"/>
          <w:lang w:eastAsia="en-ZA"/>
        </w:rPr>
        <w:t>(</w:t>
      </w:r>
      <w:r w:rsidRPr="00D541F3">
        <w:rPr>
          <w:rFonts w:ascii="Arial" w:eastAsia="Times New Roman" w:hAnsi="Arial" w:cs="Arial"/>
          <w:i/>
          <w:iCs/>
          <w:color w:val="000000"/>
          <w:sz w:val="20"/>
          <w:szCs w:val="20"/>
          <w:lang w:eastAsia="en-ZA"/>
        </w:rPr>
        <w:t>d</w:t>
      </w:r>
      <w:r w:rsidRPr="00D541F3">
        <w:rPr>
          <w:rFonts w:ascii="Arial" w:eastAsia="Times New Roman" w:hAnsi="Arial" w:cs="Arial"/>
          <w:color w:val="000000"/>
          <w:sz w:val="20"/>
          <w:szCs w:val="20"/>
          <w:lang w:eastAsia="en-ZA"/>
        </w:rPr>
        <w:t>) establish the identity of each natural person who purports to be authorised to enter into a single transaction or establish a business relationship with the accountable institution on behalf of the partnership;</w:t>
      </w:r>
    </w:p>
    <w:p w:rsidR="004B0235" w:rsidRPr="00D14F07" w:rsidRDefault="004B0235" w:rsidP="00C06AE1">
      <w:pPr>
        <w:pStyle w:val="ListParagraph"/>
        <w:shd w:val="clear" w:color="auto" w:fill="FFFFFF"/>
        <w:spacing w:after="0" w:line="240" w:lineRule="auto"/>
        <w:ind w:left="0"/>
        <w:jc w:val="both"/>
        <w:rPr>
          <w:rFonts w:ascii="Arial" w:eastAsia="Times New Roman" w:hAnsi="Arial" w:cs="Arial"/>
          <w:sz w:val="20"/>
          <w:szCs w:val="20"/>
          <w:lang w:eastAsia="en-ZA"/>
        </w:rPr>
      </w:pPr>
      <w:r w:rsidRPr="00D541F3">
        <w:rPr>
          <w:rFonts w:ascii="Arial" w:eastAsia="Times New Roman" w:hAnsi="Arial" w:cs="Arial"/>
          <w:color w:val="000000"/>
          <w:sz w:val="20"/>
          <w:szCs w:val="20"/>
          <w:lang w:eastAsia="en-ZA"/>
        </w:rPr>
        <w:t>(</w:t>
      </w:r>
      <w:r w:rsidRPr="00D541F3">
        <w:rPr>
          <w:rFonts w:ascii="Arial" w:eastAsia="Times New Roman" w:hAnsi="Arial" w:cs="Arial"/>
          <w:i/>
          <w:iCs/>
          <w:color w:val="000000"/>
          <w:sz w:val="20"/>
          <w:szCs w:val="20"/>
          <w:lang w:eastAsia="en-ZA"/>
        </w:rPr>
        <w:t>e</w:t>
      </w:r>
      <w:r w:rsidRPr="00D541F3">
        <w:rPr>
          <w:rFonts w:ascii="Arial" w:eastAsia="Times New Roman" w:hAnsi="Arial" w:cs="Arial"/>
          <w:color w:val="000000"/>
          <w:sz w:val="20"/>
          <w:szCs w:val="20"/>
          <w:lang w:eastAsia="en-ZA"/>
        </w:rPr>
        <w:t xml:space="preserve">)  take reasonable steps to verify the particulars </w:t>
      </w:r>
      <w:r w:rsidRPr="00D14F07">
        <w:rPr>
          <w:rFonts w:ascii="Arial" w:eastAsia="Times New Roman" w:hAnsi="Arial" w:cs="Arial"/>
          <w:sz w:val="20"/>
          <w:szCs w:val="20"/>
          <w:lang w:eastAsia="en-ZA"/>
        </w:rPr>
        <w:t>obtained in </w:t>
      </w:r>
      <w:hyperlink r:id="rId1" w:anchor="gcb" w:history="1">
        <w:r w:rsidRPr="00D14F07">
          <w:rPr>
            <w:rFonts w:ascii="Arial" w:eastAsia="Times New Roman" w:hAnsi="Arial" w:cs="Arial"/>
            <w:sz w:val="20"/>
            <w:szCs w:val="20"/>
            <w:lang w:eastAsia="en-ZA"/>
          </w:rPr>
          <w:t>paragraph (</w:t>
        </w:r>
        <w:r w:rsidRPr="00D14F07">
          <w:rPr>
            <w:rFonts w:ascii="Arial" w:eastAsia="Times New Roman" w:hAnsi="Arial" w:cs="Arial"/>
            <w:i/>
            <w:iCs/>
            <w:sz w:val="20"/>
            <w:szCs w:val="20"/>
            <w:lang w:eastAsia="en-ZA"/>
          </w:rPr>
          <w:t>a</w:t>
        </w:r>
        <w:r w:rsidRPr="00D14F07">
          <w:rPr>
            <w:rFonts w:ascii="Arial" w:eastAsia="Times New Roman" w:hAnsi="Arial" w:cs="Arial"/>
            <w:sz w:val="20"/>
            <w:szCs w:val="20"/>
            <w:lang w:eastAsia="en-ZA"/>
          </w:rPr>
          <w:t>)</w:t>
        </w:r>
      </w:hyperlink>
      <w:r w:rsidRPr="00D14F07">
        <w:rPr>
          <w:rFonts w:ascii="Arial" w:eastAsia="Times New Roman" w:hAnsi="Arial" w:cs="Arial"/>
          <w:sz w:val="20"/>
          <w:szCs w:val="20"/>
          <w:lang w:eastAsia="en-ZA"/>
        </w:rPr>
        <w:t>; and</w:t>
      </w:r>
    </w:p>
    <w:p w:rsidR="004B0235" w:rsidRPr="00D14F07" w:rsidRDefault="004B0235" w:rsidP="00C06AE1">
      <w:pPr>
        <w:pStyle w:val="ListParagraph"/>
        <w:shd w:val="clear" w:color="auto" w:fill="FFFFFF"/>
        <w:spacing w:after="0" w:line="240" w:lineRule="auto"/>
        <w:ind w:left="0"/>
        <w:jc w:val="both"/>
        <w:rPr>
          <w:rFonts w:ascii="Arial" w:eastAsia="Times New Roman" w:hAnsi="Arial" w:cs="Arial"/>
          <w:sz w:val="20"/>
          <w:szCs w:val="20"/>
          <w:lang w:eastAsia="en-ZA"/>
        </w:rPr>
      </w:pPr>
      <w:r w:rsidRPr="00D14F07">
        <w:rPr>
          <w:rFonts w:ascii="Arial" w:eastAsia="Times New Roman" w:hAnsi="Arial" w:cs="Arial"/>
          <w:sz w:val="20"/>
          <w:szCs w:val="20"/>
          <w:lang w:eastAsia="en-ZA"/>
        </w:rPr>
        <w:t>(</w:t>
      </w:r>
      <w:r w:rsidRPr="00D14F07">
        <w:rPr>
          <w:rFonts w:ascii="Arial" w:eastAsia="Times New Roman" w:hAnsi="Arial" w:cs="Arial"/>
          <w:i/>
          <w:iCs/>
          <w:sz w:val="20"/>
          <w:szCs w:val="20"/>
          <w:lang w:eastAsia="en-ZA"/>
        </w:rPr>
        <w:t> f </w:t>
      </w:r>
      <w:r w:rsidRPr="00D14F07">
        <w:rPr>
          <w:rFonts w:ascii="Arial" w:eastAsia="Times New Roman" w:hAnsi="Arial" w:cs="Arial"/>
          <w:sz w:val="20"/>
          <w:szCs w:val="20"/>
          <w:lang w:eastAsia="en-ZA"/>
        </w:rPr>
        <w:t>) take reasonable steps to verify the identities of the natural persons referred to in </w:t>
      </w:r>
      <w:hyperlink r:id="rId2" w:anchor="gcc" w:history="1">
        <w:r w:rsidRPr="00D14F07">
          <w:rPr>
            <w:rFonts w:ascii="Arial" w:eastAsia="Times New Roman" w:hAnsi="Arial" w:cs="Arial"/>
            <w:sz w:val="20"/>
            <w:szCs w:val="20"/>
            <w:lang w:eastAsia="en-ZA"/>
          </w:rPr>
          <w:t>paragraphs (</w:t>
        </w:r>
        <w:r w:rsidRPr="00D14F07">
          <w:rPr>
            <w:rFonts w:ascii="Arial" w:eastAsia="Times New Roman" w:hAnsi="Arial" w:cs="Arial"/>
            <w:i/>
            <w:iCs/>
            <w:sz w:val="20"/>
            <w:szCs w:val="20"/>
            <w:lang w:eastAsia="en-ZA"/>
          </w:rPr>
          <w:t>b</w:t>
        </w:r>
        <w:r w:rsidRPr="00D14F07">
          <w:rPr>
            <w:rFonts w:ascii="Arial" w:eastAsia="Times New Roman" w:hAnsi="Arial" w:cs="Arial"/>
            <w:sz w:val="20"/>
            <w:szCs w:val="20"/>
            <w:lang w:eastAsia="en-ZA"/>
          </w:rPr>
          <w:t>)</w:t>
        </w:r>
      </w:hyperlink>
      <w:r w:rsidRPr="00D14F07">
        <w:rPr>
          <w:rFonts w:ascii="Arial" w:eastAsia="Times New Roman" w:hAnsi="Arial" w:cs="Arial"/>
          <w:sz w:val="20"/>
          <w:szCs w:val="20"/>
          <w:lang w:eastAsia="en-ZA"/>
        </w:rPr>
        <w:t> to </w:t>
      </w:r>
      <w:hyperlink r:id="rId3" w:anchor="gce" w:history="1">
        <w:r w:rsidRPr="00D14F07">
          <w:rPr>
            <w:rFonts w:ascii="Arial" w:eastAsia="Times New Roman" w:hAnsi="Arial" w:cs="Arial"/>
            <w:sz w:val="20"/>
            <w:szCs w:val="20"/>
            <w:lang w:eastAsia="en-ZA"/>
          </w:rPr>
          <w:t>(</w:t>
        </w:r>
        <w:r w:rsidRPr="00D14F07">
          <w:rPr>
            <w:rFonts w:ascii="Arial" w:eastAsia="Times New Roman" w:hAnsi="Arial" w:cs="Arial"/>
            <w:i/>
            <w:iCs/>
            <w:sz w:val="20"/>
            <w:szCs w:val="20"/>
            <w:lang w:eastAsia="en-ZA"/>
          </w:rPr>
          <w:t>d</w:t>
        </w:r>
        <w:r w:rsidRPr="00D14F07">
          <w:rPr>
            <w:rFonts w:ascii="Arial" w:eastAsia="Times New Roman" w:hAnsi="Arial" w:cs="Arial"/>
            <w:sz w:val="20"/>
            <w:szCs w:val="20"/>
            <w:lang w:eastAsia="en-ZA"/>
          </w:rPr>
          <w:t>)</w:t>
        </w:r>
      </w:hyperlink>
      <w:r w:rsidRPr="00D14F07">
        <w:rPr>
          <w:rFonts w:ascii="Arial" w:eastAsia="Times New Roman" w:hAnsi="Arial" w:cs="Arial"/>
          <w:sz w:val="20"/>
          <w:szCs w:val="20"/>
          <w:lang w:eastAsia="en-ZA"/>
        </w:rPr>
        <w:t> so that the accountable institution is satisfied that it knows the identities of the natural persons concerned.</w:t>
      </w:r>
    </w:p>
    <w:p w:rsidR="004B0235" w:rsidRPr="00D14F07" w:rsidRDefault="004B0235" w:rsidP="00C06AE1">
      <w:pPr>
        <w:pStyle w:val="ListParagraph"/>
        <w:shd w:val="clear" w:color="auto" w:fill="FFFFFF"/>
        <w:spacing w:after="0" w:line="240" w:lineRule="auto"/>
        <w:ind w:left="0"/>
        <w:jc w:val="both"/>
        <w:rPr>
          <w:rFonts w:ascii="Arial" w:eastAsia="Times New Roman" w:hAnsi="Arial" w:cs="Arial"/>
          <w:sz w:val="20"/>
          <w:szCs w:val="20"/>
          <w:lang w:eastAsia="en-ZA"/>
        </w:rPr>
      </w:pPr>
    </w:p>
    <w:p w:rsidR="004B0235" w:rsidRPr="00D541F3" w:rsidRDefault="004B0235" w:rsidP="00C06AE1">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454295"/>
      <w:docPartObj>
        <w:docPartGallery w:val="Page Numbers (Top of Page)"/>
        <w:docPartUnique/>
      </w:docPartObj>
    </w:sdtPr>
    <w:sdtEndPr>
      <w:rPr>
        <w:noProof/>
      </w:rPr>
    </w:sdtEndPr>
    <w:sdtContent>
      <w:p w:rsidR="00D14F07" w:rsidRDefault="00D14F07">
        <w:pPr>
          <w:pStyle w:val="Header"/>
          <w:jc w:val="right"/>
        </w:pPr>
        <w:r>
          <w:fldChar w:fldCharType="begin"/>
        </w:r>
        <w:r>
          <w:instrText xml:space="preserve"> PAGE   \* MERGEFORMAT </w:instrText>
        </w:r>
        <w:r>
          <w:fldChar w:fldCharType="separate"/>
        </w:r>
        <w:r w:rsidR="000806BF">
          <w:rPr>
            <w:noProof/>
          </w:rPr>
          <w:t>17</w:t>
        </w:r>
        <w:r>
          <w:rPr>
            <w:noProof/>
          </w:rPr>
          <w:fldChar w:fldCharType="end"/>
        </w:r>
      </w:p>
    </w:sdtContent>
  </w:sdt>
  <w:p w:rsidR="004B0235" w:rsidRDefault="004B02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AD3"/>
    <w:multiLevelType w:val="hybridMultilevel"/>
    <w:tmpl w:val="B0FC50C2"/>
    <w:lvl w:ilvl="0" w:tplc="3F505D82">
      <w:start w:val="2"/>
      <w:numFmt w:val="lowerLetter"/>
      <w:lvlText w:val="(%1)"/>
      <w:lvlJc w:val="left"/>
      <w:pPr>
        <w:ind w:left="3810" w:hanging="360"/>
      </w:pPr>
      <w:rPr>
        <w:rFonts w:hint="default"/>
      </w:rPr>
    </w:lvl>
    <w:lvl w:ilvl="1" w:tplc="1C090019" w:tentative="1">
      <w:start w:val="1"/>
      <w:numFmt w:val="lowerLetter"/>
      <w:lvlText w:val="%2."/>
      <w:lvlJc w:val="left"/>
      <w:pPr>
        <w:ind w:left="4530" w:hanging="360"/>
      </w:pPr>
    </w:lvl>
    <w:lvl w:ilvl="2" w:tplc="1C09001B" w:tentative="1">
      <w:start w:val="1"/>
      <w:numFmt w:val="lowerRoman"/>
      <w:lvlText w:val="%3."/>
      <w:lvlJc w:val="right"/>
      <w:pPr>
        <w:ind w:left="5250" w:hanging="180"/>
      </w:pPr>
    </w:lvl>
    <w:lvl w:ilvl="3" w:tplc="1C09000F" w:tentative="1">
      <w:start w:val="1"/>
      <w:numFmt w:val="decimal"/>
      <w:lvlText w:val="%4."/>
      <w:lvlJc w:val="left"/>
      <w:pPr>
        <w:ind w:left="5970" w:hanging="360"/>
      </w:pPr>
    </w:lvl>
    <w:lvl w:ilvl="4" w:tplc="1C090019" w:tentative="1">
      <w:start w:val="1"/>
      <w:numFmt w:val="lowerLetter"/>
      <w:lvlText w:val="%5."/>
      <w:lvlJc w:val="left"/>
      <w:pPr>
        <w:ind w:left="6690" w:hanging="360"/>
      </w:pPr>
    </w:lvl>
    <w:lvl w:ilvl="5" w:tplc="1C09001B" w:tentative="1">
      <w:start w:val="1"/>
      <w:numFmt w:val="lowerRoman"/>
      <w:lvlText w:val="%6."/>
      <w:lvlJc w:val="right"/>
      <w:pPr>
        <w:ind w:left="7410" w:hanging="180"/>
      </w:pPr>
    </w:lvl>
    <w:lvl w:ilvl="6" w:tplc="1C09000F" w:tentative="1">
      <w:start w:val="1"/>
      <w:numFmt w:val="decimal"/>
      <w:lvlText w:val="%7."/>
      <w:lvlJc w:val="left"/>
      <w:pPr>
        <w:ind w:left="8130" w:hanging="360"/>
      </w:pPr>
    </w:lvl>
    <w:lvl w:ilvl="7" w:tplc="1C090019" w:tentative="1">
      <w:start w:val="1"/>
      <w:numFmt w:val="lowerLetter"/>
      <w:lvlText w:val="%8."/>
      <w:lvlJc w:val="left"/>
      <w:pPr>
        <w:ind w:left="8850" w:hanging="360"/>
      </w:pPr>
    </w:lvl>
    <w:lvl w:ilvl="8" w:tplc="1C09001B" w:tentative="1">
      <w:start w:val="1"/>
      <w:numFmt w:val="lowerRoman"/>
      <w:lvlText w:val="%9."/>
      <w:lvlJc w:val="right"/>
      <w:pPr>
        <w:ind w:left="9570" w:hanging="180"/>
      </w:pPr>
    </w:lvl>
  </w:abstractNum>
  <w:abstractNum w:abstractNumId="1" w15:restartNumberingAfterBreak="0">
    <w:nsid w:val="11EA6F75"/>
    <w:multiLevelType w:val="hybridMultilevel"/>
    <w:tmpl w:val="1C4261A8"/>
    <w:lvl w:ilvl="0" w:tplc="54FA4E52">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D4D5528"/>
    <w:multiLevelType w:val="hybridMultilevel"/>
    <w:tmpl w:val="A60C898C"/>
    <w:lvl w:ilvl="0" w:tplc="D3A85B1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180701A"/>
    <w:multiLevelType w:val="hybridMultilevel"/>
    <w:tmpl w:val="2EA85D96"/>
    <w:lvl w:ilvl="0" w:tplc="57D022BE">
      <w:start w:val="1"/>
      <w:numFmt w:val="lowerLetter"/>
      <w:lvlText w:val="(%1)"/>
      <w:lvlJc w:val="left"/>
      <w:pPr>
        <w:ind w:left="1288" w:hanging="360"/>
      </w:pPr>
      <w:rPr>
        <w:rFonts w:hint="default"/>
        <w:i/>
      </w:rPr>
    </w:lvl>
    <w:lvl w:ilvl="1" w:tplc="1C090019" w:tentative="1">
      <w:start w:val="1"/>
      <w:numFmt w:val="lowerLetter"/>
      <w:lvlText w:val="%2."/>
      <w:lvlJc w:val="left"/>
      <w:pPr>
        <w:ind w:left="2008" w:hanging="360"/>
      </w:pPr>
    </w:lvl>
    <w:lvl w:ilvl="2" w:tplc="1C09001B" w:tentative="1">
      <w:start w:val="1"/>
      <w:numFmt w:val="lowerRoman"/>
      <w:lvlText w:val="%3."/>
      <w:lvlJc w:val="right"/>
      <w:pPr>
        <w:ind w:left="2728" w:hanging="180"/>
      </w:pPr>
    </w:lvl>
    <w:lvl w:ilvl="3" w:tplc="1C09000F" w:tentative="1">
      <w:start w:val="1"/>
      <w:numFmt w:val="decimal"/>
      <w:lvlText w:val="%4."/>
      <w:lvlJc w:val="left"/>
      <w:pPr>
        <w:ind w:left="3448" w:hanging="360"/>
      </w:pPr>
    </w:lvl>
    <w:lvl w:ilvl="4" w:tplc="1C090019" w:tentative="1">
      <w:start w:val="1"/>
      <w:numFmt w:val="lowerLetter"/>
      <w:lvlText w:val="%5."/>
      <w:lvlJc w:val="left"/>
      <w:pPr>
        <w:ind w:left="4168" w:hanging="360"/>
      </w:pPr>
    </w:lvl>
    <w:lvl w:ilvl="5" w:tplc="1C09001B" w:tentative="1">
      <w:start w:val="1"/>
      <w:numFmt w:val="lowerRoman"/>
      <w:lvlText w:val="%6."/>
      <w:lvlJc w:val="right"/>
      <w:pPr>
        <w:ind w:left="4888" w:hanging="180"/>
      </w:pPr>
    </w:lvl>
    <w:lvl w:ilvl="6" w:tplc="1C09000F" w:tentative="1">
      <w:start w:val="1"/>
      <w:numFmt w:val="decimal"/>
      <w:lvlText w:val="%7."/>
      <w:lvlJc w:val="left"/>
      <w:pPr>
        <w:ind w:left="5608" w:hanging="360"/>
      </w:pPr>
    </w:lvl>
    <w:lvl w:ilvl="7" w:tplc="1C090019" w:tentative="1">
      <w:start w:val="1"/>
      <w:numFmt w:val="lowerLetter"/>
      <w:lvlText w:val="%8."/>
      <w:lvlJc w:val="left"/>
      <w:pPr>
        <w:ind w:left="6328" w:hanging="360"/>
      </w:pPr>
    </w:lvl>
    <w:lvl w:ilvl="8" w:tplc="1C09001B" w:tentative="1">
      <w:start w:val="1"/>
      <w:numFmt w:val="lowerRoman"/>
      <w:lvlText w:val="%9."/>
      <w:lvlJc w:val="right"/>
      <w:pPr>
        <w:ind w:left="7048" w:hanging="180"/>
      </w:pPr>
    </w:lvl>
  </w:abstractNum>
  <w:abstractNum w:abstractNumId="4" w15:restartNumberingAfterBreak="0">
    <w:nsid w:val="53495BDD"/>
    <w:multiLevelType w:val="hybridMultilevel"/>
    <w:tmpl w:val="CDE425D0"/>
    <w:lvl w:ilvl="0" w:tplc="C25A86BE">
      <w:start w:val="22"/>
      <w:numFmt w:val="decimal"/>
      <w:lvlText w:val="%1."/>
      <w:lvlJc w:val="left"/>
      <w:pPr>
        <w:ind w:left="928"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7CB4E2B"/>
    <w:multiLevelType w:val="hybridMultilevel"/>
    <w:tmpl w:val="AFF4BDA4"/>
    <w:lvl w:ilvl="0" w:tplc="C2B4308C">
      <w:start w:val="1"/>
      <w:numFmt w:val="decimal"/>
      <w:lvlText w:val="[%1]"/>
      <w:lvlJc w:val="left"/>
      <w:pPr>
        <w:ind w:left="928"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FD40B51"/>
    <w:multiLevelType w:val="hybridMultilevel"/>
    <w:tmpl w:val="CB726274"/>
    <w:lvl w:ilvl="0" w:tplc="6C743140">
      <w:start w:val="24"/>
      <w:numFmt w:val="decimal"/>
      <w:lvlText w:val="%1."/>
      <w:lvlJc w:val="left"/>
      <w:pPr>
        <w:ind w:left="928"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F5A1C2C"/>
    <w:multiLevelType w:val="hybridMultilevel"/>
    <w:tmpl w:val="8BE8A7BC"/>
    <w:lvl w:ilvl="0" w:tplc="6842345A">
      <w:start w:val="24"/>
      <w:numFmt w:val="decimal"/>
      <w:lvlText w:val="%1."/>
      <w:lvlJc w:val="left"/>
      <w:pPr>
        <w:ind w:left="928"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4AE7D62"/>
    <w:multiLevelType w:val="hybridMultilevel"/>
    <w:tmpl w:val="BFB62EBC"/>
    <w:lvl w:ilvl="0" w:tplc="48DA6374">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85"/>
    <w:rsid w:val="00002488"/>
    <w:rsid w:val="000043DF"/>
    <w:rsid w:val="00004D6C"/>
    <w:rsid w:val="0002588B"/>
    <w:rsid w:val="00035690"/>
    <w:rsid w:val="000806BF"/>
    <w:rsid w:val="000A1D08"/>
    <w:rsid w:val="000B23E7"/>
    <w:rsid w:val="000C3C55"/>
    <w:rsid w:val="000D649E"/>
    <w:rsid w:val="000F1FAF"/>
    <w:rsid w:val="000F482B"/>
    <w:rsid w:val="0011074F"/>
    <w:rsid w:val="00113600"/>
    <w:rsid w:val="00150A9D"/>
    <w:rsid w:val="0016183C"/>
    <w:rsid w:val="00167B56"/>
    <w:rsid w:val="00173D30"/>
    <w:rsid w:val="0018122C"/>
    <w:rsid w:val="00185BEB"/>
    <w:rsid w:val="00190A39"/>
    <w:rsid w:val="001A137B"/>
    <w:rsid w:val="001A46C0"/>
    <w:rsid w:val="001B4E87"/>
    <w:rsid w:val="001B595A"/>
    <w:rsid w:val="00234BB3"/>
    <w:rsid w:val="00243C66"/>
    <w:rsid w:val="0024483E"/>
    <w:rsid w:val="00246C3C"/>
    <w:rsid w:val="002611D1"/>
    <w:rsid w:val="0026308D"/>
    <w:rsid w:val="00276BEC"/>
    <w:rsid w:val="00277C02"/>
    <w:rsid w:val="0028150D"/>
    <w:rsid w:val="002909D0"/>
    <w:rsid w:val="002948F9"/>
    <w:rsid w:val="002D681E"/>
    <w:rsid w:val="002E1930"/>
    <w:rsid w:val="002F2317"/>
    <w:rsid w:val="003367E6"/>
    <w:rsid w:val="0033782C"/>
    <w:rsid w:val="0034732C"/>
    <w:rsid w:val="003522FA"/>
    <w:rsid w:val="00367D58"/>
    <w:rsid w:val="00375D31"/>
    <w:rsid w:val="0037615A"/>
    <w:rsid w:val="003C594E"/>
    <w:rsid w:val="003D7D2C"/>
    <w:rsid w:val="003E6843"/>
    <w:rsid w:val="004161D4"/>
    <w:rsid w:val="00421698"/>
    <w:rsid w:val="00423214"/>
    <w:rsid w:val="004339A4"/>
    <w:rsid w:val="004659AD"/>
    <w:rsid w:val="00477F85"/>
    <w:rsid w:val="00481520"/>
    <w:rsid w:val="004B0235"/>
    <w:rsid w:val="004F4047"/>
    <w:rsid w:val="004F4479"/>
    <w:rsid w:val="00511420"/>
    <w:rsid w:val="00525647"/>
    <w:rsid w:val="00565F3B"/>
    <w:rsid w:val="005668D9"/>
    <w:rsid w:val="005B5445"/>
    <w:rsid w:val="005C01B3"/>
    <w:rsid w:val="005D368F"/>
    <w:rsid w:val="005E0955"/>
    <w:rsid w:val="005E735F"/>
    <w:rsid w:val="005E74F7"/>
    <w:rsid w:val="005F3087"/>
    <w:rsid w:val="006162B8"/>
    <w:rsid w:val="00622880"/>
    <w:rsid w:val="00653673"/>
    <w:rsid w:val="0065381D"/>
    <w:rsid w:val="00660469"/>
    <w:rsid w:val="00695AD4"/>
    <w:rsid w:val="006A7F95"/>
    <w:rsid w:val="006B4F64"/>
    <w:rsid w:val="006F5AE2"/>
    <w:rsid w:val="006F6E18"/>
    <w:rsid w:val="0070166B"/>
    <w:rsid w:val="00710689"/>
    <w:rsid w:val="00712453"/>
    <w:rsid w:val="00714BF3"/>
    <w:rsid w:val="0071510C"/>
    <w:rsid w:val="00716E57"/>
    <w:rsid w:val="007339AF"/>
    <w:rsid w:val="00745CF4"/>
    <w:rsid w:val="00763485"/>
    <w:rsid w:val="007A20AF"/>
    <w:rsid w:val="007A348B"/>
    <w:rsid w:val="007A45FE"/>
    <w:rsid w:val="007C5EC9"/>
    <w:rsid w:val="0084619E"/>
    <w:rsid w:val="0085685B"/>
    <w:rsid w:val="00871F40"/>
    <w:rsid w:val="008753C5"/>
    <w:rsid w:val="0088515E"/>
    <w:rsid w:val="00894691"/>
    <w:rsid w:val="008A6F6B"/>
    <w:rsid w:val="008C5316"/>
    <w:rsid w:val="008D0E8F"/>
    <w:rsid w:val="008F28D8"/>
    <w:rsid w:val="008F600E"/>
    <w:rsid w:val="00912AE6"/>
    <w:rsid w:val="00916F65"/>
    <w:rsid w:val="00930218"/>
    <w:rsid w:val="00933E85"/>
    <w:rsid w:val="0093434B"/>
    <w:rsid w:val="0094152E"/>
    <w:rsid w:val="00977D58"/>
    <w:rsid w:val="00986120"/>
    <w:rsid w:val="009B2C51"/>
    <w:rsid w:val="009D4DC1"/>
    <w:rsid w:val="00A007E9"/>
    <w:rsid w:val="00A06850"/>
    <w:rsid w:val="00A20C08"/>
    <w:rsid w:val="00A24D50"/>
    <w:rsid w:val="00A361D9"/>
    <w:rsid w:val="00A7242F"/>
    <w:rsid w:val="00A83F97"/>
    <w:rsid w:val="00A87C2A"/>
    <w:rsid w:val="00AA46B4"/>
    <w:rsid w:val="00AB5EDF"/>
    <w:rsid w:val="00B17674"/>
    <w:rsid w:val="00B203A3"/>
    <w:rsid w:val="00B51C23"/>
    <w:rsid w:val="00B52CF4"/>
    <w:rsid w:val="00B71F0C"/>
    <w:rsid w:val="00B92D97"/>
    <w:rsid w:val="00BC5BD0"/>
    <w:rsid w:val="00BC79D0"/>
    <w:rsid w:val="00BD4B60"/>
    <w:rsid w:val="00BF31E5"/>
    <w:rsid w:val="00BF57CD"/>
    <w:rsid w:val="00C03631"/>
    <w:rsid w:val="00C06243"/>
    <w:rsid w:val="00C06AE1"/>
    <w:rsid w:val="00C10B67"/>
    <w:rsid w:val="00C13757"/>
    <w:rsid w:val="00C44E5D"/>
    <w:rsid w:val="00C501F2"/>
    <w:rsid w:val="00C64D16"/>
    <w:rsid w:val="00C73C08"/>
    <w:rsid w:val="00C776F7"/>
    <w:rsid w:val="00C80970"/>
    <w:rsid w:val="00C93403"/>
    <w:rsid w:val="00CB2367"/>
    <w:rsid w:val="00CC66D9"/>
    <w:rsid w:val="00CD76F3"/>
    <w:rsid w:val="00CE015E"/>
    <w:rsid w:val="00CE1B85"/>
    <w:rsid w:val="00CF2388"/>
    <w:rsid w:val="00D14F07"/>
    <w:rsid w:val="00D16623"/>
    <w:rsid w:val="00D3057C"/>
    <w:rsid w:val="00D541F3"/>
    <w:rsid w:val="00D57B53"/>
    <w:rsid w:val="00D666C0"/>
    <w:rsid w:val="00D9717C"/>
    <w:rsid w:val="00DA655B"/>
    <w:rsid w:val="00DB645E"/>
    <w:rsid w:val="00DF188B"/>
    <w:rsid w:val="00E20069"/>
    <w:rsid w:val="00E558B3"/>
    <w:rsid w:val="00E90E8D"/>
    <w:rsid w:val="00E92552"/>
    <w:rsid w:val="00EA448D"/>
    <w:rsid w:val="00ED4429"/>
    <w:rsid w:val="00ED6C30"/>
    <w:rsid w:val="00EF3035"/>
    <w:rsid w:val="00F155C5"/>
    <w:rsid w:val="00F17E20"/>
    <w:rsid w:val="00F336BB"/>
    <w:rsid w:val="00F35799"/>
    <w:rsid w:val="00F4214E"/>
    <w:rsid w:val="00F62769"/>
    <w:rsid w:val="00F81444"/>
    <w:rsid w:val="00FA5184"/>
    <w:rsid w:val="00FC1EC9"/>
    <w:rsid w:val="00FE1CC5"/>
    <w:rsid w:val="00FE50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00EC"/>
  <w15:docId w15:val="{6647AD78-0FD1-4131-86D3-A60CD94B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35F"/>
    <w:rPr>
      <w:rFonts w:ascii="Tahoma" w:hAnsi="Tahoma" w:cs="Tahoma"/>
      <w:sz w:val="16"/>
      <w:szCs w:val="16"/>
    </w:rPr>
  </w:style>
  <w:style w:type="paragraph" w:styleId="ListParagraph">
    <w:name w:val="List Paragraph"/>
    <w:basedOn w:val="Normal"/>
    <w:uiPriority w:val="34"/>
    <w:qFormat/>
    <w:rsid w:val="005E735F"/>
    <w:pPr>
      <w:ind w:left="720"/>
      <w:contextualSpacing/>
    </w:pPr>
  </w:style>
  <w:style w:type="paragraph" w:styleId="FootnoteText">
    <w:name w:val="footnote text"/>
    <w:basedOn w:val="Normal"/>
    <w:link w:val="FootnoteTextChar"/>
    <w:uiPriority w:val="99"/>
    <w:semiHidden/>
    <w:unhideWhenUsed/>
    <w:rsid w:val="000F48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82B"/>
    <w:rPr>
      <w:sz w:val="20"/>
      <w:szCs w:val="20"/>
    </w:rPr>
  </w:style>
  <w:style w:type="character" w:styleId="FootnoteReference">
    <w:name w:val="footnote reference"/>
    <w:basedOn w:val="DefaultParagraphFont"/>
    <w:uiPriority w:val="99"/>
    <w:semiHidden/>
    <w:unhideWhenUsed/>
    <w:rsid w:val="000F482B"/>
    <w:rPr>
      <w:vertAlign w:val="superscript"/>
    </w:rPr>
  </w:style>
  <w:style w:type="paragraph" w:customStyle="1" w:styleId="lg-section">
    <w:name w:val="lg-section"/>
    <w:basedOn w:val="Normal"/>
    <w:rsid w:val="002948F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a-1">
    <w:name w:val="lg-a-1"/>
    <w:basedOn w:val="Normal"/>
    <w:rsid w:val="002948F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i-a-1">
    <w:name w:val="lg-i-a-1"/>
    <w:basedOn w:val="Normal"/>
    <w:rsid w:val="002948F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246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C3C"/>
  </w:style>
  <w:style w:type="paragraph" w:styleId="Footer">
    <w:name w:val="footer"/>
    <w:basedOn w:val="Normal"/>
    <w:link w:val="FooterChar"/>
    <w:uiPriority w:val="99"/>
    <w:unhideWhenUsed/>
    <w:rsid w:val="00246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C3C"/>
  </w:style>
  <w:style w:type="paragraph" w:customStyle="1" w:styleId="lg-para3">
    <w:name w:val="lg-para3"/>
    <w:basedOn w:val="Normal"/>
    <w:rsid w:val="00246C3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246C3C"/>
    <w:rPr>
      <w:color w:val="0000FF"/>
      <w:u w:val="single"/>
    </w:rPr>
  </w:style>
  <w:style w:type="paragraph" w:customStyle="1" w:styleId="lg-annotation">
    <w:name w:val="lg-annotation"/>
    <w:basedOn w:val="Normal"/>
    <w:rsid w:val="00246C3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246C3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894691"/>
    <w:rPr>
      <w:sz w:val="16"/>
      <w:szCs w:val="16"/>
    </w:rPr>
  </w:style>
  <w:style w:type="paragraph" w:styleId="CommentText">
    <w:name w:val="annotation text"/>
    <w:basedOn w:val="Normal"/>
    <w:link w:val="CommentTextChar"/>
    <w:uiPriority w:val="99"/>
    <w:semiHidden/>
    <w:unhideWhenUsed/>
    <w:rsid w:val="00894691"/>
    <w:pPr>
      <w:spacing w:line="240" w:lineRule="auto"/>
    </w:pPr>
    <w:rPr>
      <w:sz w:val="20"/>
      <w:szCs w:val="20"/>
    </w:rPr>
  </w:style>
  <w:style w:type="character" w:customStyle="1" w:styleId="CommentTextChar">
    <w:name w:val="Comment Text Char"/>
    <w:basedOn w:val="DefaultParagraphFont"/>
    <w:link w:val="CommentText"/>
    <w:uiPriority w:val="99"/>
    <w:semiHidden/>
    <w:rsid w:val="00894691"/>
    <w:rPr>
      <w:sz w:val="20"/>
      <w:szCs w:val="20"/>
    </w:rPr>
  </w:style>
  <w:style w:type="paragraph" w:styleId="CommentSubject">
    <w:name w:val="annotation subject"/>
    <w:basedOn w:val="CommentText"/>
    <w:next w:val="CommentText"/>
    <w:link w:val="CommentSubjectChar"/>
    <w:uiPriority w:val="99"/>
    <w:semiHidden/>
    <w:unhideWhenUsed/>
    <w:rsid w:val="00894691"/>
    <w:rPr>
      <w:b/>
      <w:bCs/>
    </w:rPr>
  </w:style>
  <w:style w:type="character" w:customStyle="1" w:styleId="CommentSubjectChar">
    <w:name w:val="Comment Subject Char"/>
    <w:basedOn w:val="CommentTextChar"/>
    <w:link w:val="CommentSubject"/>
    <w:uiPriority w:val="99"/>
    <w:semiHidden/>
    <w:rsid w:val="00894691"/>
    <w:rPr>
      <w:b/>
      <w:bCs/>
      <w:sz w:val="20"/>
      <w:szCs w:val="20"/>
    </w:rPr>
  </w:style>
  <w:style w:type="paragraph" w:styleId="Revision">
    <w:name w:val="Revision"/>
    <w:hidden/>
    <w:uiPriority w:val="99"/>
    <w:semiHidden/>
    <w:rsid w:val="00C06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7620">
      <w:bodyDiv w:val="1"/>
      <w:marLeft w:val="0"/>
      <w:marRight w:val="0"/>
      <w:marTop w:val="0"/>
      <w:marBottom w:val="0"/>
      <w:divBdr>
        <w:top w:val="none" w:sz="0" w:space="0" w:color="auto"/>
        <w:left w:val="none" w:sz="0" w:space="0" w:color="auto"/>
        <w:bottom w:val="none" w:sz="0" w:space="0" w:color="auto"/>
        <w:right w:val="none" w:sz="0" w:space="0" w:color="auto"/>
      </w:divBdr>
    </w:div>
    <w:div w:id="182090594">
      <w:bodyDiv w:val="1"/>
      <w:marLeft w:val="0"/>
      <w:marRight w:val="0"/>
      <w:marTop w:val="0"/>
      <w:marBottom w:val="0"/>
      <w:divBdr>
        <w:top w:val="none" w:sz="0" w:space="0" w:color="auto"/>
        <w:left w:val="none" w:sz="0" w:space="0" w:color="auto"/>
        <w:bottom w:val="none" w:sz="0" w:space="0" w:color="auto"/>
        <w:right w:val="none" w:sz="0" w:space="0" w:color="auto"/>
      </w:divBdr>
    </w:div>
    <w:div w:id="279799981">
      <w:bodyDiv w:val="1"/>
      <w:marLeft w:val="0"/>
      <w:marRight w:val="0"/>
      <w:marTop w:val="0"/>
      <w:marBottom w:val="0"/>
      <w:divBdr>
        <w:top w:val="none" w:sz="0" w:space="0" w:color="auto"/>
        <w:left w:val="none" w:sz="0" w:space="0" w:color="auto"/>
        <w:bottom w:val="none" w:sz="0" w:space="0" w:color="auto"/>
        <w:right w:val="none" w:sz="0" w:space="0" w:color="auto"/>
      </w:divBdr>
    </w:div>
    <w:div w:id="967509817">
      <w:bodyDiv w:val="1"/>
      <w:marLeft w:val="0"/>
      <w:marRight w:val="0"/>
      <w:marTop w:val="0"/>
      <w:marBottom w:val="0"/>
      <w:divBdr>
        <w:top w:val="none" w:sz="0" w:space="0" w:color="auto"/>
        <w:left w:val="none" w:sz="0" w:space="0" w:color="auto"/>
        <w:bottom w:val="none" w:sz="0" w:space="0" w:color="auto"/>
        <w:right w:val="none" w:sz="0" w:space="0" w:color="auto"/>
      </w:divBdr>
    </w:div>
    <w:div w:id="1157695251">
      <w:bodyDiv w:val="1"/>
      <w:marLeft w:val="0"/>
      <w:marRight w:val="0"/>
      <w:marTop w:val="0"/>
      <w:marBottom w:val="0"/>
      <w:divBdr>
        <w:top w:val="none" w:sz="0" w:space="0" w:color="auto"/>
        <w:left w:val="none" w:sz="0" w:space="0" w:color="auto"/>
        <w:bottom w:val="none" w:sz="0" w:space="0" w:color="auto"/>
        <w:right w:val="none" w:sz="0" w:space="0" w:color="auto"/>
      </w:divBdr>
    </w:div>
    <w:div w:id="1552033066">
      <w:bodyDiv w:val="1"/>
      <w:marLeft w:val="0"/>
      <w:marRight w:val="0"/>
      <w:marTop w:val="0"/>
      <w:marBottom w:val="0"/>
      <w:divBdr>
        <w:top w:val="none" w:sz="0" w:space="0" w:color="auto"/>
        <w:left w:val="none" w:sz="0" w:space="0" w:color="auto"/>
        <w:bottom w:val="none" w:sz="0" w:space="0" w:color="auto"/>
        <w:right w:val="none" w:sz="0" w:space="0" w:color="auto"/>
      </w:divBdr>
    </w:div>
    <w:div w:id="155499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s://www.mylexisnexis.co.za/Library/IframeContent.aspx?dpath=zb/jilc/kilc/26qg/r8qg/s8qg/zgxqe&amp;ismultiview=False&amp;caAu=" TargetMode="External"/><Relationship Id="rId2" Type="http://schemas.openxmlformats.org/officeDocument/2006/relationships/hyperlink" Target="https://www.mylexisnexis.co.za/Library/IframeContent.aspx?dpath=zb/jilc/kilc/26qg/r8qg/s8qg/zgxqe&amp;ismultiview=False&amp;caAu=" TargetMode="External"/><Relationship Id="rId1" Type="http://schemas.openxmlformats.org/officeDocument/2006/relationships/hyperlink" Target="https://www.mylexisnexis.co.za/Library/IframeContent.aspx?dpath=zb/jilc/kilc/26qg/r8qg/s8qg/zgxqe&amp;ismultiview=False&amp;ca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FC5B-CEE8-44DF-AA96-73C9229F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5615</Words>
  <Characters>32006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 Chetty</dc:creator>
  <cp:lastModifiedBy>Trinisha  Ramharakh</cp:lastModifiedBy>
  <cp:revision>3</cp:revision>
  <cp:lastPrinted>2021-12-02T07:49:00Z</cp:lastPrinted>
  <dcterms:created xsi:type="dcterms:W3CDTF">2022-03-17T10:02:00Z</dcterms:created>
  <dcterms:modified xsi:type="dcterms:W3CDTF">2022-03-17T10:02:00Z</dcterms:modified>
</cp:coreProperties>
</file>