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01087" w14:textId="77777777" w:rsidR="006511D2" w:rsidRPr="008647C8" w:rsidRDefault="006511D2" w:rsidP="006511D2">
      <w:pPr>
        <w:spacing w:line="240" w:lineRule="auto"/>
        <w:jc w:val="both"/>
        <w:rPr>
          <w:rFonts w:ascii="Times New Roman" w:hAnsi="Times New Roman" w:cs="Times New Roman"/>
          <w:sz w:val="28"/>
          <w:szCs w:val="28"/>
        </w:rPr>
      </w:pPr>
      <w:bookmarkStart w:id="0" w:name="_GoBack"/>
      <w:bookmarkEnd w:id="0"/>
      <w:r w:rsidRPr="008647C8">
        <w:rPr>
          <w:rFonts w:ascii="Times New Roman" w:hAnsi="Times New Roman" w:cs="Times New Roman"/>
          <w:sz w:val="28"/>
          <w:szCs w:val="28"/>
        </w:rPr>
        <w:t>IN THE HIGH COURT OF SOUTH AFRICA</w:t>
      </w:r>
    </w:p>
    <w:p w14:paraId="2C96DE11" w14:textId="77777777" w:rsidR="008B5BAD" w:rsidRPr="008647C8" w:rsidRDefault="006511D2" w:rsidP="006511D2">
      <w:pPr>
        <w:spacing w:line="240" w:lineRule="auto"/>
        <w:jc w:val="both"/>
        <w:rPr>
          <w:rFonts w:ascii="Times New Roman" w:hAnsi="Times New Roman" w:cs="Times New Roman"/>
          <w:sz w:val="28"/>
          <w:szCs w:val="28"/>
        </w:rPr>
      </w:pPr>
      <w:r w:rsidRPr="008647C8">
        <w:rPr>
          <w:rFonts w:ascii="Times New Roman" w:hAnsi="Times New Roman" w:cs="Times New Roman"/>
          <w:sz w:val="28"/>
          <w:szCs w:val="28"/>
        </w:rPr>
        <w:t xml:space="preserve">KWAZULU-NATAL </w:t>
      </w:r>
      <w:r w:rsidR="00DC3416" w:rsidRPr="008647C8">
        <w:rPr>
          <w:rFonts w:ascii="Times New Roman" w:hAnsi="Times New Roman" w:cs="Times New Roman"/>
          <w:sz w:val="28"/>
          <w:szCs w:val="28"/>
        </w:rPr>
        <w:t xml:space="preserve">LOCAL </w:t>
      </w:r>
      <w:r w:rsidRPr="008647C8">
        <w:rPr>
          <w:rFonts w:ascii="Times New Roman" w:hAnsi="Times New Roman" w:cs="Times New Roman"/>
          <w:sz w:val="28"/>
          <w:szCs w:val="28"/>
        </w:rPr>
        <w:t>DIVISION</w:t>
      </w:r>
      <w:r w:rsidR="007A78AC" w:rsidRPr="008647C8">
        <w:rPr>
          <w:rFonts w:ascii="Times New Roman" w:hAnsi="Times New Roman" w:cs="Times New Roman"/>
          <w:sz w:val="28"/>
          <w:szCs w:val="28"/>
        </w:rPr>
        <w:t>:</w:t>
      </w:r>
      <w:r w:rsidR="004C07F7" w:rsidRPr="008647C8">
        <w:rPr>
          <w:rFonts w:ascii="Times New Roman" w:hAnsi="Times New Roman" w:cs="Times New Roman"/>
          <w:sz w:val="28"/>
          <w:szCs w:val="28"/>
        </w:rPr>
        <w:t xml:space="preserve"> </w:t>
      </w:r>
      <w:r w:rsidR="00DC3416" w:rsidRPr="008647C8">
        <w:rPr>
          <w:rFonts w:ascii="Times New Roman" w:hAnsi="Times New Roman" w:cs="Times New Roman"/>
          <w:sz w:val="28"/>
          <w:szCs w:val="28"/>
        </w:rPr>
        <w:t>DURBAN</w:t>
      </w:r>
      <w:r w:rsidR="005B4E49" w:rsidRPr="008647C8">
        <w:rPr>
          <w:rFonts w:ascii="Times New Roman" w:hAnsi="Times New Roman" w:cs="Times New Roman"/>
          <w:sz w:val="28"/>
          <w:szCs w:val="28"/>
        </w:rPr>
        <w:tab/>
      </w:r>
    </w:p>
    <w:p w14:paraId="32D1EF8B" w14:textId="77777777" w:rsidR="006511D2" w:rsidRPr="008647C8" w:rsidRDefault="00AF084B" w:rsidP="008B5BAD">
      <w:pPr>
        <w:spacing w:line="240" w:lineRule="auto"/>
        <w:ind w:left="5760"/>
        <w:jc w:val="both"/>
        <w:rPr>
          <w:rFonts w:ascii="Times New Roman" w:hAnsi="Times New Roman" w:cs="Times New Roman"/>
          <w:sz w:val="28"/>
          <w:szCs w:val="28"/>
        </w:rPr>
      </w:pPr>
      <w:r w:rsidRPr="008647C8">
        <w:rPr>
          <w:rFonts w:ascii="Times New Roman" w:hAnsi="Times New Roman" w:cs="Times New Roman"/>
          <w:sz w:val="28"/>
          <w:szCs w:val="28"/>
        </w:rPr>
        <w:t xml:space="preserve">       </w:t>
      </w:r>
      <w:r w:rsidR="00D73A15" w:rsidRPr="008647C8">
        <w:rPr>
          <w:rFonts w:ascii="Times New Roman" w:hAnsi="Times New Roman" w:cs="Times New Roman"/>
          <w:sz w:val="28"/>
          <w:szCs w:val="28"/>
        </w:rPr>
        <w:t>CASE</w:t>
      </w:r>
      <w:r w:rsidRPr="008647C8">
        <w:rPr>
          <w:rFonts w:ascii="Times New Roman" w:hAnsi="Times New Roman" w:cs="Times New Roman"/>
          <w:sz w:val="28"/>
          <w:szCs w:val="28"/>
        </w:rPr>
        <w:t xml:space="preserve"> </w:t>
      </w:r>
      <w:r w:rsidR="006511D2" w:rsidRPr="008647C8">
        <w:rPr>
          <w:rFonts w:ascii="Times New Roman" w:hAnsi="Times New Roman" w:cs="Times New Roman"/>
          <w:sz w:val="28"/>
          <w:szCs w:val="28"/>
        </w:rPr>
        <w:t xml:space="preserve">NO: </w:t>
      </w:r>
      <w:r w:rsidR="00695215" w:rsidRPr="008647C8">
        <w:rPr>
          <w:rFonts w:ascii="Times New Roman" w:hAnsi="Times New Roman" w:cs="Times New Roman"/>
          <w:sz w:val="28"/>
          <w:szCs w:val="28"/>
        </w:rPr>
        <w:t>D3159/2019</w:t>
      </w:r>
    </w:p>
    <w:p w14:paraId="3ADF7845" w14:textId="77777777" w:rsidR="00DC3416" w:rsidRPr="008647C8" w:rsidRDefault="00DC3416" w:rsidP="006511D2">
      <w:pPr>
        <w:spacing w:line="240" w:lineRule="auto"/>
        <w:jc w:val="both"/>
        <w:rPr>
          <w:rFonts w:ascii="Times New Roman" w:hAnsi="Times New Roman" w:cs="Times New Roman"/>
          <w:sz w:val="28"/>
          <w:szCs w:val="28"/>
        </w:rPr>
      </w:pPr>
    </w:p>
    <w:p w14:paraId="2A15C190" w14:textId="77777777" w:rsidR="006511D2" w:rsidRPr="008647C8" w:rsidRDefault="006511D2" w:rsidP="006511D2">
      <w:pPr>
        <w:spacing w:line="240" w:lineRule="auto"/>
        <w:jc w:val="both"/>
        <w:rPr>
          <w:rFonts w:ascii="Times New Roman" w:hAnsi="Times New Roman" w:cs="Times New Roman"/>
          <w:sz w:val="28"/>
          <w:szCs w:val="28"/>
        </w:rPr>
      </w:pPr>
      <w:r w:rsidRPr="008647C8">
        <w:rPr>
          <w:rFonts w:ascii="Times New Roman" w:hAnsi="Times New Roman" w:cs="Times New Roman"/>
          <w:sz w:val="28"/>
          <w:szCs w:val="28"/>
        </w:rPr>
        <w:t>In the matter between:</w:t>
      </w:r>
    </w:p>
    <w:p w14:paraId="1FAF8AA1" w14:textId="77777777" w:rsidR="00E25DBB" w:rsidRPr="008647C8" w:rsidRDefault="00695215" w:rsidP="00E25DBB">
      <w:pPr>
        <w:spacing w:line="240" w:lineRule="auto"/>
        <w:rPr>
          <w:rFonts w:ascii="Times New Roman" w:hAnsi="Times New Roman" w:cs="Times New Roman"/>
          <w:sz w:val="28"/>
          <w:szCs w:val="28"/>
        </w:rPr>
      </w:pPr>
      <w:r w:rsidRPr="008647C8">
        <w:rPr>
          <w:rFonts w:ascii="Times New Roman" w:hAnsi="Times New Roman" w:cs="Times New Roman"/>
          <w:sz w:val="28"/>
          <w:szCs w:val="28"/>
        </w:rPr>
        <w:t>Pengu</w:t>
      </w:r>
      <w:r w:rsidR="00084791" w:rsidRPr="008647C8">
        <w:rPr>
          <w:rFonts w:ascii="Times New Roman" w:hAnsi="Times New Roman" w:cs="Times New Roman"/>
          <w:sz w:val="28"/>
          <w:szCs w:val="28"/>
        </w:rPr>
        <w:t>i</w:t>
      </w:r>
      <w:r w:rsidRPr="008647C8">
        <w:rPr>
          <w:rFonts w:ascii="Times New Roman" w:hAnsi="Times New Roman" w:cs="Times New Roman"/>
          <w:sz w:val="28"/>
          <w:szCs w:val="28"/>
        </w:rPr>
        <w:t>n Random House South Africa (Pty) Limited</w:t>
      </w:r>
      <w:r w:rsidRPr="008647C8">
        <w:rPr>
          <w:rFonts w:ascii="Times New Roman" w:hAnsi="Times New Roman" w:cs="Times New Roman"/>
          <w:sz w:val="28"/>
          <w:szCs w:val="28"/>
        </w:rPr>
        <w:tab/>
      </w:r>
      <w:r w:rsidRPr="008647C8">
        <w:rPr>
          <w:rFonts w:ascii="Times New Roman" w:hAnsi="Times New Roman" w:cs="Times New Roman"/>
          <w:sz w:val="28"/>
          <w:szCs w:val="28"/>
        </w:rPr>
        <w:tab/>
        <w:t xml:space="preserve"> First Applicant</w:t>
      </w:r>
      <w:r w:rsidR="00DC2317" w:rsidRPr="008647C8">
        <w:rPr>
          <w:rFonts w:ascii="Times New Roman" w:hAnsi="Times New Roman" w:cs="Times New Roman"/>
          <w:sz w:val="28"/>
          <w:szCs w:val="28"/>
        </w:rPr>
        <w:t xml:space="preserve"> </w:t>
      </w:r>
    </w:p>
    <w:p w14:paraId="2C6609BF" w14:textId="77777777" w:rsidR="00695215" w:rsidRPr="008647C8" w:rsidRDefault="00695215" w:rsidP="00E25DBB">
      <w:pPr>
        <w:spacing w:line="240" w:lineRule="auto"/>
        <w:rPr>
          <w:rFonts w:ascii="Times New Roman" w:hAnsi="Times New Roman" w:cs="Times New Roman"/>
          <w:sz w:val="28"/>
          <w:szCs w:val="28"/>
        </w:rPr>
      </w:pPr>
      <w:r w:rsidRPr="008647C8">
        <w:rPr>
          <w:rFonts w:ascii="Times New Roman" w:hAnsi="Times New Roman" w:cs="Times New Roman"/>
          <w:sz w:val="28"/>
          <w:szCs w:val="28"/>
        </w:rPr>
        <w:t>Pieter-Louis Myburgh</w:t>
      </w:r>
      <w:r w:rsidRPr="008647C8">
        <w:rPr>
          <w:rFonts w:ascii="Times New Roman" w:hAnsi="Times New Roman" w:cs="Times New Roman"/>
          <w:sz w:val="28"/>
          <w:szCs w:val="28"/>
        </w:rPr>
        <w:tab/>
      </w:r>
      <w:r w:rsidRPr="008647C8">
        <w:rPr>
          <w:rFonts w:ascii="Times New Roman" w:hAnsi="Times New Roman" w:cs="Times New Roman"/>
          <w:sz w:val="28"/>
          <w:szCs w:val="28"/>
        </w:rPr>
        <w:tab/>
      </w:r>
      <w:r w:rsidRPr="008647C8">
        <w:rPr>
          <w:rFonts w:ascii="Times New Roman" w:hAnsi="Times New Roman" w:cs="Times New Roman"/>
          <w:sz w:val="28"/>
          <w:szCs w:val="28"/>
        </w:rPr>
        <w:tab/>
      </w:r>
      <w:r w:rsidRPr="008647C8">
        <w:rPr>
          <w:rFonts w:ascii="Times New Roman" w:hAnsi="Times New Roman" w:cs="Times New Roman"/>
          <w:sz w:val="28"/>
          <w:szCs w:val="28"/>
        </w:rPr>
        <w:tab/>
      </w:r>
      <w:r w:rsidRPr="008647C8">
        <w:rPr>
          <w:rFonts w:ascii="Times New Roman" w:hAnsi="Times New Roman" w:cs="Times New Roman"/>
          <w:sz w:val="28"/>
          <w:szCs w:val="28"/>
        </w:rPr>
        <w:tab/>
      </w:r>
      <w:r w:rsidRPr="008647C8">
        <w:rPr>
          <w:rFonts w:ascii="Times New Roman" w:hAnsi="Times New Roman" w:cs="Times New Roman"/>
          <w:sz w:val="28"/>
          <w:szCs w:val="28"/>
        </w:rPr>
        <w:tab/>
        <w:t xml:space="preserve">       Second Applicant</w:t>
      </w:r>
    </w:p>
    <w:p w14:paraId="6190B442" w14:textId="77777777" w:rsidR="00E25DBB" w:rsidRPr="008647C8" w:rsidRDefault="00E25DBB" w:rsidP="00E25DBB">
      <w:pPr>
        <w:spacing w:line="240" w:lineRule="auto"/>
        <w:rPr>
          <w:rFonts w:ascii="Times New Roman" w:hAnsi="Times New Roman" w:cs="Times New Roman"/>
          <w:sz w:val="28"/>
          <w:szCs w:val="28"/>
        </w:rPr>
      </w:pPr>
      <w:r w:rsidRPr="008647C8">
        <w:rPr>
          <w:rFonts w:ascii="Times New Roman" w:hAnsi="Times New Roman" w:cs="Times New Roman"/>
          <w:sz w:val="28"/>
          <w:szCs w:val="28"/>
        </w:rPr>
        <w:t>and</w:t>
      </w:r>
    </w:p>
    <w:p w14:paraId="076039F2" w14:textId="77777777" w:rsidR="00E25DBB" w:rsidRPr="008647C8" w:rsidRDefault="00695215" w:rsidP="00E25DBB">
      <w:pPr>
        <w:spacing w:line="240" w:lineRule="auto"/>
        <w:rPr>
          <w:rFonts w:ascii="Times New Roman" w:hAnsi="Times New Roman" w:cs="Times New Roman"/>
          <w:sz w:val="28"/>
          <w:szCs w:val="28"/>
        </w:rPr>
      </w:pPr>
      <w:r w:rsidRPr="008647C8">
        <w:rPr>
          <w:rFonts w:ascii="Times New Roman" w:hAnsi="Times New Roman" w:cs="Times New Roman"/>
          <w:sz w:val="28"/>
          <w:szCs w:val="28"/>
        </w:rPr>
        <w:t xml:space="preserve">Nexor 312 (Pty) Limited </w:t>
      </w:r>
      <w:r w:rsidRPr="008647C8">
        <w:rPr>
          <w:rFonts w:ascii="Times New Roman" w:hAnsi="Times New Roman" w:cs="Times New Roman"/>
          <w:sz w:val="28"/>
          <w:szCs w:val="28"/>
        </w:rPr>
        <w:tab/>
      </w:r>
      <w:r w:rsidRPr="008647C8">
        <w:rPr>
          <w:rFonts w:ascii="Times New Roman" w:hAnsi="Times New Roman" w:cs="Times New Roman"/>
          <w:sz w:val="28"/>
          <w:szCs w:val="28"/>
        </w:rPr>
        <w:tab/>
      </w:r>
      <w:r w:rsidRPr="008647C8">
        <w:rPr>
          <w:rFonts w:ascii="Times New Roman" w:hAnsi="Times New Roman" w:cs="Times New Roman"/>
          <w:sz w:val="28"/>
          <w:szCs w:val="28"/>
        </w:rPr>
        <w:tab/>
      </w:r>
      <w:r w:rsidRPr="008647C8">
        <w:rPr>
          <w:rFonts w:ascii="Times New Roman" w:hAnsi="Times New Roman" w:cs="Times New Roman"/>
          <w:sz w:val="28"/>
          <w:szCs w:val="28"/>
        </w:rPr>
        <w:tab/>
      </w:r>
      <w:r w:rsidRPr="008647C8">
        <w:rPr>
          <w:rFonts w:ascii="Times New Roman" w:hAnsi="Times New Roman" w:cs="Times New Roman"/>
          <w:sz w:val="28"/>
          <w:szCs w:val="28"/>
        </w:rPr>
        <w:tab/>
      </w:r>
      <w:r w:rsidRPr="008647C8">
        <w:rPr>
          <w:rFonts w:ascii="Times New Roman" w:hAnsi="Times New Roman" w:cs="Times New Roman"/>
          <w:sz w:val="28"/>
          <w:szCs w:val="28"/>
        </w:rPr>
        <w:tab/>
        <w:t xml:space="preserve">         First Respondent</w:t>
      </w:r>
    </w:p>
    <w:p w14:paraId="119BB6F5" w14:textId="77777777" w:rsidR="00695215" w:rsidRPr="008647C8" w:rsidRDefault="00695215" w:rsidP="00E25DBB">
      <w:pPr>
        <w:spacing w:line="240" w:lineRule="auto"/>
        <w:rPr>
          <w:rFonts w:ascii="Times New Roman" w:hAnsi="Times New Roman" w:cs="Times New Roman"/>
          <w:sz w:val="28"/>
          <w:szCs w:val="28"/>
        </w:rPr>
      </w:pPr>
      <w:r w:rsidRPr="008647C8">
        <w:rPr>
          <w:rFonts w:ascii="Times New Roman" w:hAnsi="Times New Roman" w:cs="Times New Roman"/>
          <w:sz w:val="28"/>
          <w:szCs w:val="28"/>
        </w:rPr>
        <w:t>Vikash Bharathlall Narsai</w:t>
      </w:r>
      <w:r w:rsidRPr="008647C8">
        <w:rPr>
          <w:rFonts w:ascii="Times New Roman" w:hAnsi="Times New Roman" w:cs="Times New Roman"/>
          <w:sz w:val="28"/>
          <w:szCs w:val="28"/>
        </w:rPr>
        <w:tab/>
      </w:r>
      <w:r w:rsidRPr="008647C8">
        <w:rPr>
          <w:rFonts w:ascii="Times New Roman" w:hAnsi="Times New Roman" w:cs="Times New Roman"/>
          <w:sz w:val="28"/>
          <w:szCs w:val="28"/>
        </w:rPr>
        <w:tab/>
      </w:r>
      <w:r w:rsidRPr="008647C8">
        <w:rPr>
          <w:rFonts w:ascii="Times New Roman" w:hAnsi="Times New Roman" w:cs="Times New Roman"/>
          <w:sz w:val="28"/>
          <w:szCs w:val="28"/>
        </w:rPr>
        <w:tab/>
      </w:r>
      <w:r w:rsidRPr="008647C8">
        <w:rPr>
          <w:rFonts w:ascii="Times New Roman" w:hAnsi="Times New Roman" w:cs="Times New Roman"/>
          <w:sz w:val="28"/>
          <w:szCs w:val="28"/>
        </w:rPr>
        <w:tab/>
      </w:r>
      <w:r w:rsidRPr="008647C8">
        <w:rPr>
          <w:rFonts w:ascii="Times New Roman" w:hAnsi="Times New Roman" w:cs="Times New Roman"/>
          <w:sz w:val="28"/>
          <w:szCs w:val="28"/>
        </w:rPr>
        <w:tab/>
        <w:t xml:space="preserve">    Second Respondent</w:t>
      </w:r>
    </w:p>
    <w:p w14:paraId="1DC697C4" w14:textId="77777777" w:rsidR="004642C5" w:rsidRPr="008647C8" w:rsidRDefault="004642C5" w:rsidP="004642C5">
      <w:pPr>
        <w:spacing w:line="240" w:lineRule="auto"/>
        <w:rPr>
          <w:rFonts w:ascii="Times New Roman" w:hAnsi="Times New Roman" w:cs="Times New Roman"/>
          <w:sz w:val="28"/>
          <w:szCs w:val="28"/>
        </w:rPr>
      </w:pPr>
    </w:p>
    <w:p w14:paraId="66B90DF9" w14:textId="77777777" w:rsidR="006511D2" w:rsidRPr="008647C8" w:rsidRDefault="006511D2" w:rsidP="006511D2">
      <w:pPr>
        <w:spacing w:line="240" w:lineRule="auto"/>
        <w:jc w:val="both"/>
        <w:rPr>
          <w:rFonts w:ascii="Times New Roman" w:hAnsi="Times New Roman" w:cs="Times New Roman"/>
          <w:sz w:val="28"/>
          <w:szCs w:val="28"/>
        </w:rPr>
      </w:pPr>
      <w:r w:rsidRPr="008647C8">
        <w:rPr>
          <w:rFonts w:ascii="Times New Roman" w:hAnsi="Times New Roman" w:cs="Times New Roman"/>
          <w:sz w:val="28"/>
          <w:szCs w:val="28"/>
        </w:rPr>
        <w:tab/>
      </w:r>
      <w:r w:rsidR="009F0BD7" w:rsidRPr="008647C8">
        <w:rPr>
          <w:rFonts w:ascii="Times New Roman" w:hAnsi="Times New Roman" w:cs="Times New Roman"/>
          <w:sz w:val="28"/>
          <w:szCs w:val="28"/>
        </w:rPr>
        <w:tab/>
      </w:r>
      <w:r w:rsidR="009F0BD7" w:rsidRPr="008647C8">
        <w:rPr>
          <w:rFonts w:ascii="Times New Roman" w:hAnsi="Times New Roman" w:cs="Times New Roman"/>
          <w:sz w:val="28"/>
          <w:szCs w:val="28"/>
        </w:rPr>
        <w:tab/>
      </w:r>
      <w:r w:rsidR="009F0BD7" w:rsidRPr="008647C8">
        <w:rPr>
          <w:rFonts w:ascii="Times New Roman" w:hAnsi="Times New Roman" w:cs="Times New Roman"/>
          <w:sz w:val="28"/>
          <w:szCs w:val="28"/>
        </w:rPr>
        <w:tab/>
      </w:r>
      <w:r w:rsidR="009F0BD7" w:rsidRPr="008647C8">
        <w:rPr>
          <w:rFonts w:ascii="Times New Roman" w:hAnsi="Times New Roman" w:cs="Times New Roman"/>
          <w:sz w:val="28"/>
          <w:szCs w:val="28"/>
        </w:rPr>
        <w:tab/>
        <w:t xml:space="preserve">                  </w:t>
      </w:r>
    </w:p>
    <w:p w14:paraId="6459E624" w14:textId="77777777" w:rsidR="006511D2" w:rsidRPr="008647C8" w:rsidRDefault="006511D2" w:rsidP="006511D2">
      <w:pPr>
        <w:pBdr>
          <w:top w:val="single" w:sz="12" w:space="1" w:color="auto"/>
          <w:bottom w:val="single" w:sz="12" w:space="1" w:color="auto"/>
        </w:pBdr>
        <w:spacing w:line="240" w:lineRule="auto"/>
        <w:jc w:val="both"/>
        <w:rPr>
          <w:rFonts w:ascii="Times New Roman" w:hAnsi="Times New Roman" w:cs="Times New Roman"/>
          <w:sz w:val="28"/>
          <w:szCs w:val="28"/>
        </w:rPr>
      </w:pPr>
    </w:p>
    <w:p w14:paraId="67DEE75D" w14:textId="04492FFB" w:rsidR="006511D2" w:rsidRPr="008647C8" w:rsidRDefault="001C6EFA" w:rsidP="006511D2">
      <w:pPr>
        <w:pBdr>
          <w:top w:val="single" w:sz="12" w:space="1" w:color="auto"/>
          <w:bottom w:val="single" w:sz="12" w:space="1" w:color="auto"/>
        </w:pBdr>
        <w:spacing w:line="240" w:lineRule="auto"/>
        <w:jc w:val="center"/>
        <w:rPr>
          <w:rFonts w:ascii="Times New Roman" w:hAnsi="Times New Roman" w:cs="Times New Roman"/>
          <w:sz w:val="28"/>
          <w:szCs w:val="28"/>
        </w:rPr>
      </w:pPr>
      <w:r w:rsidRPr="008647C8">
        <w:rPr>
          <w:rFonts w:ascii="Times New Roman" w:hAnsi="Times New Roman" w:cs="Times New Roman"/>
          <w:sz w:val="28"/>
          <w:szCs w:val="28"/>
        </w:rPr>
        <w:t>Judgment</w:t>
      </w:r>
    </w:p>
    <w:p w14:paraId="6D5ED763" w14:textId="77777777" w:rsidR="006511D2" w:rsidRPr="008647C8" w:rsidRDefault="006511D2" w:rsidP="006511D2">
      <w:pPr>
        <w:pBdr>
          <w:top w:val="single" w:sz="12" w:space="1" w:color="auto"/>
          <w:bottom w:val="single" w:sz="12" w:space="1" w:color="auto"/>
        </w:pBdr>
        <w:spacing w:line="240" w:lineRule="auto"/>
        <w:jc w:val="both"/>
        <w:rPr>
          <w:rFonts w:ascii="Times New Roman" w:hAnsi="Times New Roman" w:cs="Times New Roman"/>
          <w:sz w:val="28"/>
          <w:szCs w:val="28"/>
        </w:rPr>
      </w:pPr>
    </w:p>
    <w:p w14:paraId="6A79F3CA" w14:textId="77777777" w:rsidR="00BA1B68" w:rsidRPr="008647C8" w:rsidRDefault="00BA1B68" w:rsidP="006511D2">
      <w:pPr>
        <w:spacing w:line="360" w:lineRule="auto"/>
        <w:jc w:val="both"/>
        <w:rPr>
          <w:rFonts w:ascii="Times New Roman" w:hAnsi="Times New Roman" w:cs="Times New Roman"/>
          <w:sz w:val="28"/>
          <w:szCs w:val="28"/>
        </w:rPr>
      </w:pPr>
    </w:p>
    <w:p w14:paraId="638A6BEA" w14:textId="77777777" w:rsidR="00486850" w:rsidRPr="008647C8" w:rsidRDefault="006511D2" w:rsidP="006511D2">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Lopes J</w:t>
      </w:r>
    </w:p>
    <w:p w14:paraId="505AE08D" w14:textId="6C4B1AB2" w:rsidR="00695215" w:rsidRPr="008647C8" w:rsidRDefault="00695215" w:rsidP="00DC6A04">
      <w:pPr>
        <w:pStyle w:val="ListParagraph"/>
        <w:numPr>
          <w:ilvl w:val="0"/>
          <w:numId w:val="17"/>
        </w:numPr>
        <w:spacing w:line="360" w:lineRule="auto"/>
        <w:ind w:left="0" w:firstLine="0"/>
        <w:jc w:val="both"/>
        <w:rPr>
          <w:rFonts w:ascii="Times New Roman" w:hAnsi="Times New Roman" w:cs="Times New Roman"/>
          <w:sz w:val="28"/>
          <w:szCs w:val="28"/>
        </w:rPr>
      </w:pPr>
      <w:r w:rsidRPr="008647C8">
        <w:rPr>
          <w:rFonts w:ascii="Times New Roman" w:hAnsi="Times New Roman" w:cs="Times New Roman"/>
          <w:sz w:val="28"/>
          <w:szCs w:val="28"/>
        </w:rPr>
        <w:t>On the 16</w:t>
      </w:r>
      <w:r w:rsidRPr="008647C8">
        <w:rPr>
          <w:rFonts w:ascii="Times New Roman" w:hAnsi="Times New Roman" w:cs="Times New Roman"/>
          <w:sz w:val="28"/>
          <w:szCs w:val="28"/>
          <w:vertAlign w:val="superscript"/>
        </w:rPr>
        <w:t>th</w:t>
      </w:r>
      <w:r w:rsidRPr="008647C8">
        <w:rPr>
          <w:rFonts w:ascii="Times New Roman" w:hAnsi="Times New Roman" w:cs="Times New Roman"/>
          <w:sz w:val="28"/>
          <w:szCs w:val="28"/>
        </w:rPr>
        <w:t xml:space="preserve"> April 2019 the </w:t>
      </w:r>
      <w:r w:rsidR="00AE008C" w:rsidRPr="008647C8">
        <w:rPr>
          <w:rFonts w:ascii="Times New Roman" w:hAnsi="Times New Roman" w:cs="Times New Roman"/>
          <w:sz w:val="28"/>
          <w:szCs w:val="28"/>
        </w:rPr>
        <w:t>respondents</w:t>
      </w:r>
      <w:r w:rsidR="00D62685">
        <w:rPr>
          <w:rFonts w:ascii="Times New Roman" w:hAnsi="Times New Roman" w:cs="Times New Roman"/>
          <w:sz w:val="28"/>
          <w:szCs w:val="28"/>
        </w:rPr>
        <w:t xml:space="preserve"> in this application</w:t>
      </w:r>
      <w:r w:rsidR="00AE008C" w:rsidRPr="008647C8">
        <w:rPr>
          <w:rFonts w:ascii="Times New Roman" w:hAnsi="Times New Roman" w:cs="Times New Roman"/>
          <w:sz w:val="28"/>
          <w:szCs w:val="28"/>
        </w:rPr>
        <w:t xml:space="preserve">, </w:t>
      </w:r>
      <w:r w:rsidRPr="008647C8">
        <w:rPr>
          <w:rFonts w:ascii="Times New Roman" w:hAnsi="Times New Roman" w:cs="Times New Roman"/>
          <w:sz w:val="28"/>
          <w:szCs w:val="28"/>
        </w:rPr>
        <w:t xml:space="preserve">Nexor 312 (Pty) Limited and Vikash Bharathlall Narsai </w:t>
      </w:r>
      <w:r w:rsidR="00C754BD">
        <w:rPr>
          <w:rFonts w:ascii="Times New Roman" w:hAnsi="Times New Roman" w:cs="Times New Roman"/>
          <w:sz w:val="28"/>
          <w:szCs w:val="28"/>
        </w:rPr>
        <w:t xml:space="preserve">(‘the plaintiffs’) </w:t>
      </w:r>
      <w:r w:rsidRPr="008647C8">
        <w:rPr>
          <w:rFonts w:ascii="Times New Roman" w:hAnsi="Times New Roman" w:cs="Times New Roman"/>
          <w:sz w:val="28"/>
          <w:szCs w:val="28"/>
        </w:rPr>
        <w:t xml:space="preserve">instituted action out of this court against </w:t>
      </w:r>
      <w:r w:rsidR="00AE008C" w:rsidRPr="008647C8">
        <w:rPr>
          <w:rFonts w:ascii="Times New Roman" w:hAnsi="Times New Roman" w:cs="Times New Roman"/>
          <w:sz w:val="28"/>
          <w:szCs w:val="28"/>
        </w:rPr>
        <w:t>the applicants, P</w:t>
      </w:r>
      <w:r w:rsidRPr="008647C8">
        <w:rPr>
          <w:rFonts w:ascii="Times New Roman" w:hAnsi="Times New Roman" w:cs="Times New Roman"/>
          <w:sz w:val="28"/>
          <w:szCs w:val="28"/>
        </w:rPr>
        <w:t>enguin Random House South</w:t>
      </w:r>
      <w:r w:rsidR="007803FB" w:rsidRPr="008647C8">
        <w:rPr>
          <w:rFonts w:ascii="Times New Roman" w:hAnsi="Times New Roman" w:cs="Times New Roman"/>
          <w:sz w:val="28"/>
          <w:szCs w:val="28"/>
        </w:rPr>
        <w:t xml:space="preserve"> Africa</w:t>
      </w:r>
      <w:r w:rsidRPr="008647C8">
        <w:rPr>
          <w:rFonts w:ascii="Times New Roman" w:hAnsi="Times New Roman" w:cs="Times New Roman"/>
          <w:sz w:val="28"/>
          <w:szCs w:val="28"/>
        </w:rPr>
        <w:t xml:space="preserve"> </w:t>
      </w:r>
      <w:r w:rsidR="00C50077" w:rsidRPr="008647C8">
        <w:rPr>
          <w:rFonts w:ascii="Times New Roman" w:hAnsi="Times New Roman" w:cs="Times New Roman"/>
          <w:sz w:val="28"/>
          <w:szCs w:val="28"/>
        </w:rPr>
        <w:t>(</w:t>
      </w:r>
      <w:r w:rsidRPr="008647C8">
        <w:rPr>
          <w:rFonts w:ascii="Times New Roman" w:hAnsi="Times New Roman" w:cs="Times New Roman"/>
          <w:sz w:val="28"/>
          <w:szCs w:val="28"/>
        </w:rPr>
        <w:t>Pty</w:t>
      </w:r>
      <w:r w:rsidR="00C50077" w:rsidRPr="008647C8">
        <w:rPr>
          <w:rFonts w:ascii="Times New Roman" w:hAnsi="Times New Roman" w:cs="Times New Roman"/>
          <w:sz w:val="28"/>
          <w:szCs w:val="28"/>
        </w:rPr>
        <w:t>)</w:t>
      </w:r>
      <w:r w:rsidRPr="008647C8">
        <w:rPr>
          <w:rFonts w:ascii="Times New Roman" w:hAnsi="Times New Roman" w:cs="Times New Roman"/>
          <w:sz w:val="28"/>
          <w:szCs w:val="28"/>
        </w:rPr>
        <w:t xml:space="preserve"> L</w:t>
      </w:r>
      <w:r w:rsidR="00351B88" w:rsidRPr="008647C8">
        <w:rPr>
          <w:rFonts w:ascii="Times New Roman" w:hAnsi="Times New Roman" w:cs="Times New Roman"/>
          <w:sz w:val="28"/>
          <w:szCs w:val="28"/>
        </w:rPr>
        <w:t>imi</w:t>
      </w:r>
      <w:r w:rsidRPr="008647C8">
        <w:rPr>
          <w:rFonts w:ascii="Times New Roman" w:hAnsi="Times New Roman" w:cs="Times New Roman"/>
          <w:sz w:val="28"/>
          <w:szCs w:val="28"/>
        </w:rPr>
        <w:t>t</w:t>
      </w:r>
      <w:r w:rsidR="00351B88" w:rsidRPr="008647C8">
        <w:rPr>
          <w:rFonts w:ascii="Times New Roman" w:hAnsi="Times New Roman" w:cs="Times New Roman"/>
          <w:sz w:val="28"/>
          <w:szCs w:val="28"/>
        </w:rPr>
        <w:t>e</w:t>
      </w:r>
      <w:r w:rsidRPr="008647C8">
        <w:rPr>
          <w:rFonts w:ascii="Times New Roman" w:hAnsi="Times New Roman" w:cs="Times New Roman"/>
          <w:sz w:val="28"/>
          <w:szCs w:val="28"/>
        </w:rPr>
        <w:t xml:space="preserve">d </w:t>
      </w:r>
      <w:r w:rsidR="006C35C7" w:rsidRPr="008647C8">
        <w:rPr>
          <w:rFonts w:ascii="Times New Roman" w:hAnsi="Times New Roman" w:cs="Times New Roman"/>
          <w:sz w:val="28"/>
          <w:szCs w:val="28"/>
        </w:rPr>
        <w:t xml:space="preserve">(‘Penguin’) </w:t>
      </w:r>
      <w:r w:rsidRPr="008647C8">
        <w:rPr>
          <w:rFonts w:ascii="Times New Roman" w:hAnsi="Times New Roman" w:cs="Times New Roman"/>
          <w:sz w:val="28"/>
          <w:szCs w:val="28"/>
        </w:rPr>
        <w:t>and Pieter-Louis Myburgh</w:t>
      </w:r>
      <w:r w:rsidR="006C35C7" w:rsidRPr="008647C8">
        <w:rPr>
          <w:rFonts w:ascii="Times New Roman" w:hAnsi="Times New Roman" w:cs="Times New Roman"/>
          <w:sz w:val="28"/>
          <w:szCs w:val="28"/>
        </w:rPr>
        <w:t xml:space="preserve"> (‘Mr Myburgh’)</w:t>
      </w:r>
      <w:r w:rsidR="00EA13E8">
        <w:rPr>
          <w:rFonts w:ascii="Times New Roman" w:hAnsi="Times New Roman" w:cs="Times New Roman"/>
          <w:sz w:val="28"/>
          <w:szCs w:val="28"/>
        </w:rPr>
        <w:t xml:space="preserve"> (‘the defendants’)</w:t>
      </w:r>
      <w:r w:rsidRPr="008647C8">
        <w:rPr>
          <w:rFonts w:ascii="Times New Roman" w:hAnsi="Times New Roman" w:cs="Times New Roman"/>
          <w:sz w:val="28"/>
          <w:szCs w:val="28"/>
        </w:rPr>
        <w:t>.</w:t>
      </w:r>
      <w:r w:rsidR="00AE008C" w:rsidRPr="008647C8">
        <w:rPr>
          <w:rFonts w:ascii="Times New Roman" w:hAnsi="Times New Roman" w:cs="Times New Roman"/>
          <w:sz w:val="28"/>
          <w:szCs w:val="28"/>
        </w:rPr>
        <w:t xml:space="preserve"> </w:t>
      </w:r>
    </w:p>
    <w:p w14:paraId="49655451" w14:textId="77777777" w:rsidR="00695215" w:rsidRPr="008647C8" w:rsidRDefault="00695215" w:rsidP="00695215">
      <w:pPr>
        <w:pStyle w:val="ListParagraph"/>
        <w:spacing w:line="360" w:lineRule="auto"/>
        <w:ind w:left="0"/>
        <w:jc w:val="both"/>
        <w:rPr>
          <w:rFonts w:ascii="Times New Roman" w:hAnsi="Times New Roman" w:cs="Times New Roman"/>
          <w:sz w:val="28"/>
          <w:szCs w:val="28"/>
        </w:rPr>
      </w:pPr>
    </w:p>
    <w:p w14:paraId="4F609220" w14:textId="4C83E157" w:rsidR="0039301D" w:rsidRPr="008647C8" w:rsidRDefault="00695215" w:rsidP="00084791">
      <w:pPr>
        <w:pStyle w:val="ListParagraph"/>
        <w:numPr>
          <w:ilvl w:val="0"/>
          <w:numId w:val="17"/>
        </w:numPr>
        <w:spacing w:line="360" w:lineRule="auto"/>
        <w:ind w:left="0" w:firstLine="0"/>
        <w:jc w:val="both"/>
        <w:rPr>
          <w:rFonts w:ascii="Times New Roman" w:hAnsi="Times New Roman" w:cs="Times New Roman"/>
          <w:sz w:val="28"/>
          <w:szCs w:val="28"/>
        </w:rPr>
      </w:pPr>
      <w:r w:rsidRPr="008647C8">
        <w:rPr>
          <w:rFonts w:ascii="Times New Roman" w:hAnsi="Times New Roman" w:cs="Times New Roman"/>
          <w:sz w:val="28"/>
          <w:szCs w:val="28"/>
        </w:rPr>
        <w:t>The plaintiffs</w:t>
      </w:r>
      <w:r w:rsidR="006C35C7" w:rsidRPr="008647C8">
        <w:rPr>
          <w:rFonts w:ascii="Times New Roman" w:hAnsi="Times New Roman" w:cs="Times New Roman"/>
          <w:sz w:val="28"/>
          <w:szCs w:val="28"/>
        </w:rPr>
        <w:t>’</w:t>
      </w:r>
      <w:r w:rsidRPr="008647C8">
        <w:rPr>
          <w:rFonts w:ascii="Times New Roman" w:hAnsi="Times New Roman" w:cs="Times New Roman"/>
          <w:sz w:val="28"/>
          <w:szCs w:val="28"/>
        </w:rPr>
        <w:t xml:space="preserve"> cause of action </w:t>
      </w:r>
      <w:r w:rsidR="00084791" w:rsidRPr="008647C8">
        <w:rPr>
          <w:rFonts w:ascii="Times New Roman" w:hAnsi="Times New Roman" w:cs="Times New Roman"/>
          <w:sz w:val="28"/>
          <w:szCs w:val="28"/>
        </w:rPr>
        <w:t xml:space="preserve">is that during March or April 2019 Penguin </w:t>
      </w:r>
      <w:r w:rsidR="007C0A5A" w:rsidRPr="008647C8">
        <w:rPr>
          <w:rFonts w:ascii="Times New Roman" w:hAnsi="Times New Roman" w:cs="Times New Roman"/>
          <w:sz w:val="28"/>
          <w:szCs w:val="28"/>
        </w:rPr>
        <w:t xml:space="preserve">published </w:t>
      </w:r>
      <w:r w:rsidR="00084791" w:rsidRPr="008647C8">
        <w:rPr>
          <w:rFonts w:ascii="Times New Roman" w:hAnsi="Times New Roman" w:cs="Times New Roman"/>
          <w:sz w:val="28"/>
          <w:szCs w:val="28"/>
        </w:rPr>
        <w:t xml:space="preserve">a book written by Mr Myburgh. The book </w:t>
      </w:r>
      <w:r w:rsidR="006C35C7" w:rsidRPr="008647C8">
        <w:rPr>
          <w:rFonts w:ascii="Times New Roman" w:hAnsi="Times New Roman" w:cs="Times New Roman"/>
          <w:sz w:val="28"/>
          <w:szCs w:val="28"/>
        </w:rPr>
        <w:t>w</w:t>
      </w:r>
      <w:r w:rsidR="00084791" w:rsidRPr="008647C8">
        <w:rPr>
          <w:rFonts w:ascii="Times New Roman" w:hAnsi="Times New Roman" w:cs="Times New Roman"/>
          <w:sz w:val="28"/>
          <w:szCs w:val="28"/>
        </w:rPr>
        <w:t>as published throughout the Republic of South Africa</w:t>
      </w:r>
      <w:r w:rsidR="006C35C7" w:rsidRPr="008647C8">
        <w:rPr>
          <w:rFonts w:ascii="Times New Roman" w:hAnsi="Times New Roman" w:cs="Times New Roman"/>
          <w:sz w:val="28"/>
          <w:szCs w:val="28"/>
        </w:rPr>
        <w:t>,</w:t>
      </w:r>
      <w:r w:rsidR="00084791" w:rsidRPr="008647C8">
        <w:rPr>
          <w:rFonts w:ascii="Times New Roman" w:hAnsi="Times New Roman" w:cs="Times New Roman"/>
          <w:sz w:val="28"/>
          <w:szCs w:val="28"/>
        </w:rPr>
        <w:t xml:space="preserve"> and made available </w:t>
      </w:r>
      <w:r w:rsidR="007C0A5A" w:rsidRPr="008647C8">
        <w:rPr>
          <w:rFonts w:ascii="Times New Roman" w:hAnsi="Times New Roman" w:cs="Times New Roman"/>
          <w:sz w:val="28"/>
          <w:szCs w:val="28"/>
        </w:rPr>
        <w:t xml:space="preserve">in </w:t>
      </w:r>
      <w:r w:rsidR="00084791" w:rsidRPr="008647C8">
        <w:rPr>
          <w:rFonts w:ascii="Times New Roman" w:hAnsi="Times New Roman" w:cs="Times New Roman"/>
          <w:sz w:val="28"/>
          <w:szCs w:val="28"/>
        </w:rPr>
        <w:t>electronic form</w:t>
      </w:r>
      <w:r w:rsidR="005D68F9" w:rsidRPr="008647C8">
        <w:rPr>
          <w:rFonts w:ascii="Times New Roman" w:hAnsi="Times New Roman" w:cs="Times New Roman"/>
          <w:sz w:val="28"/>
          <w:szCs w:val="28"/>
        </w:rPr>
        <w:t>,</w:t>
      </w:r>
      <w:r w:rsidR="00084791" w:rsidRPr="008647C8">
        <w:rPr>
          <w:rFonts w:ascii="Times New Roman" w:hAnsi="Times New Roman" w:cs="Times New Roman"/>
          <w:sz w:val="28"/>
          <w:szCs w:val="28"/>
        </w:rPr>
        <w:t xml:space="preserve"> both </w:t>
      </w:r>
      <w:r w:rsidR="00084791" w:rsidRPr="008647C8">
        <w:rPr>
          <w:rFonts w:ascii="Times New Roman" w:hAnsi="Times New Roman" w:cs="Times New Roman"/>
          <w:sz w:val="28"/>
          <w:szCs w:val="28"/>
        </w:rPr>
        <w:lastRenderedPageBreak/>
        <w:t>nationally and internationally. In the defendants</w:t>
      </w:r>
      <w:r w:rsidR="007C0A5A" w:rsidRPr="008647C8">
        <w:rPr>
          <w:rFonts w:ascii="Times New Roman" w:hAnsi="Times New Roman" w:cs="Times New Roman"/>
          <w:sz w:val="28"/>
          <w:szCs w:val="28"/>
        </w:rPr>
        <w:t>’</w:t>
      </w:r>
      <w:r w:rsidR="00084791" w:rsidRPr="008647C8">
        <w:rPr>
          <w:rFonts w:ascii="Times New Roman" w:hAnsi="Times New Roman" w:cs="Times New Roman"/>
          <w:sz w:val="28"/>
          <w:szCs w:val="28"/>
        </w:rPr>
        <w:t xml:space="preserve"> plea they described the book</w:t>
      </w:r>
      <w:r w:rsidR="006C35C7" w:rsidRPr="008647C8">
        <w:rPr>
          <w:rFonts w:ascii="Times New Roman" w:hAnsi="Times New Roman" w:cs="Times New Roman"/>
          <w:sz w:val="28"/>
          <w:szCs w:val="28"/>
        </w:rPr>
        <w:t xml:space="preserve"> as</w:t>
      </w:r>
      <w:r w:rsidR="00084791" w:rsidRPr="008647C8">
        <w:rPr>
          <w:rFonts w:ascii="Times New Roman" w:hAnsi="Times New Roman" w:cs="Times New Roman"/>
          <w:sz w:val="28"/>
          <w:szCs w:val="28"/>
        </w:rPr>
        <w:t xml:space="preserve"> ‘a work of investigative journalism primarily about the former Premier of the Free State Province </w:t>
      </w:r>
      <w:r w:rsidR="007C0A5A" w:rsidRPr="008647C8">
        <w:rPr>
          <w:rFonts w:ascii="Times New Roman" w:hAnsi="Times New Roman" w:cs="Times New Roman"/>
          <w:sz w:val="28"/>
          <w:szCs w:val="28"/>
        </w:rPr>
        <w:t>and the current Secretary General of the African National Congress, Ace Magashule</w:t>
      </w:r>
      <w:r w:rsidR="00C50077" w:rsidRPr="008647C8">
        <w:rPr>
          <w:rFonts w:ascii="Times New Roman" w:hAnsi="Times New Roman" w:cs="Times New Roman"/>
          <w:sz w:val="28"/>
          <w:szCs w:val="28"/>
        </w:rPr>
        <w:t>’</w:t>
      </w:r>
      <w:r w:rsidR="007C0A5A" w:rsidRPr="008647C8">
        <w:rPr>
          <w:rFonts w:ascii="Times New Roman" w:hAnsi="Times New Roman" w:cs="Times New Roman"/>
          <w:sz w:val="28"/>
          <w:szCs w:val="28"/>
        </w:rPr>
        <w:t>, and the book exposes alleged impropriety</w:t>
      </w:r>
      <w:r w:rsidR="00B25C02" w:rsidRPr="008647C8">
        <w:rPr>
          <w:rFonts w:ascii="Times New Roman" w:hAnsi="Times New Roman" w:cs="Times New Roman"/>
          <w:sz w:val="28"/>
          <w:szCs w:val="28"/>
        </w:rPr>
        <w:t>,</w:t>
      </w:r>
      <w:r w:rsidR="0039301D" w:rsidRPr="008647C8">
        <w:rPr>
          <w:rFonts w:ascii="Times New Roman" w:hAnsi="Times New Roman" w:cs="Times New Roman"/>
          <w:sz w:val="28"/>
          <w:szCs w:val="28"/>
        </w:rPr>
        <w:t xml:space="preserve"> m</w:t>
      </w:r>
      <w:r w:rsidR="006C35C7" w:rsidRPr="008647C8">
        <w:rPr>
          <w:rFonts w:ascii="Times New Roman" w:hAnsi="Times New Roman" w:cs="Times New Roman"/>
          <w:sz w:val="28"/>
          <w:szCs w:val="28"/>
        </w:rPr>
        <w:t>a</w:t>
      </w:r>
      <w:r w:rsidR="0039301D" w:rsidRPr="008647C8">
        <w:rPr>
          <w:rFonts w:ascii="Times New Roman" w:hAnsi="Times New Roman" w:cs="Times New Roman"/>
          <w:sz w:val="28"/>
          <w:szCs w:val="28"/>
        </w:rPr>
        <w:t>ladministration and corruption. The plaintiffs take exception to the contents of chapter 16 of the book w</w:t>
      </w:r>
      <w:r w:rsidR="00382F06" w:rsidRPr="008647C8">
        <w:rPr>
          <w:rFonts w:ascii="Times New Roman" w:hAnsi="Times New Roman" w:cs="Times New Roman"/>
          <w:sz w:val="28"/>
          <w:szCs w:val="28"/>
        </w:rPr>
        <w:t>hich is entitled</w:t>
      </w:r>
      <w:r w:rsidR="005D68F9" w:rsidRPr="008647C8">
        <w:rPr>
          <w:rFonts w:ascii="Times New Roman" w:hAnsi="Times New Roman" w:cs="Times New Roman"/>
          <w:sz w:val="28"/>
          <w:szCs w:val="28"/>
        </w:rPr>
        <w:t>,</w:t>
      </w:r>
      <w:r w:rsidR="00382F06" w:rsidRPr="008647C8">
        <w:rPr>
          <w:rFonts w:ascii="Times New Roman" w:hAnsi="Times New Roman" w:cs="Times New Roman"/>
          <w:sz w:val="28"/>
          <w:szCs w:val="28"/>
        </w:rPr>
        <w:t xml:space="preserve"> ‘Zuma’s Vrede “</w:t>
      </w:r>
      <w:r w:rsidR="0039301D" w:rsidRPr="008647C8">
        <w:rPr>
          <w:rFonts w:ascii="Times New Roman" w:hAnsi="Times New Roman" w:cs="Times New Roman"/>
          <w:sz w:val="28"/>
          <w:szCs w:val="28"/>
        </w:rPr>
        <w:t>Thank you-fee</w:t>
      </w:r>
      <w:r w:rsidR="00382F06" w:rsidRPr="008647C8">
        <w:rPr>
          <w:rFonts w:ascii="Times New Roman" w:hAnsi="Times New Roman" w:cs="Times New Roman"/>
          <w:sz w:val="28"/>
          <w:szCs w:val="28"/>
        </w:rPr>
        <w:t>”</w:t>
      </w:r>
      <w:r w:rsidR="0039301D" w:rsidRPr="008647C8">
        <w:rPr>
          <w:rFonts w:ascii="Times New Roman" w:hAnsi="Times New Roman" w:cs="Times New Roman"/>
          <w:sz w:val="28"/>
          <w:szCs w:val="28"/>
        </w:rPr>
        <w:t xml:space="preserve">’. </w:t>
      </w:r>
    </w:p>
    <w:p w14:paraId="46D2A247" w14:textId="77777777" w:rsidR="0039301D" w:rsidRPr="008647C8" w:rsidRDefault="0039301D" w:rsidP="0024626B">
      <w:pPr>
        <w:pStyle w:val="ListParagraph"/>
        <w:spacing w:before="240" w:line="360" w:lineRule="auto"/>
        <w:rPr>
          <w:rFonts w:ascii="Times New Roman" w:hAnsi="Times New Roman" w:cs="Times New Roman"/>
          <w:sz w:val="28"/>
          <w:szCs w:val="28"/>
        </w:rPr>
      </w:pPr>
    </w:p>
    <w:p w14:paraId="19A850AB" w14:textId="1C42ADBC" w:rsidR="00D54137" w:rsidRPr="008647C8" w:rsidRDefault="0039301D" w:rsidP="00084791">
      <w:pPr>
        <w:pStyle w:val="ListParagraph"/>
        <w:numPr>
          <w:ilvl w:val="0"/>
          <w:numId w:val="17"/>
        </w:numPr>
        <w:spacing w:line="360" w:lineRule="auto"/>
        <w:ind w:left="0" w:firstLine="0"/>
        <w:jc w:val="both"/>
        <w:rPr>
          <w:rFonts w:ascii="Times New Roman" w:hAnsi="Times New Roman" w:cs="Times New Roman"/>
          <w:sz w:val="28"/>
          <w:szCs w:val="28"/>
        </w:rPr>
      </w:pPr>
      <w:r w:rsidRPr="008647C8">
        <w:rPr>
          <w:rFonts w:ascii="Times New Roman" w:hAnsi="Times New Roman" w:cs="Times New Roman"/>
          <w:sz w:val="28"/>
          <w:szCs w:val="28"/>
        </w:rPr>
        <w:t>The plaintiffs a</w:t>
      </w:r>
      <w:r w:rsidR="003D53A1">
        <w:rPr>
          <w:rFonts w:ascii="Times New Roman" w:hAnsi="Times New Roman" w:cs="Times New Roman"/>
          <w:sz w:val="28"/>
          <w:szCs w:val="28"/>
        </w:rPr>
        <w:t>ver</w:t>
      </w:r>
      <w:r w:rsidRPr="008647C8">
        <w:rPr>
          <w:rFonts w:ascii="Times New Roman" w:hAnsi="Times New Roman" w:cs="Times New Roman"/>
          <w:sz w:val="28"/>
          <w:szCs w:val="28"/>
        </w:rPr>
        <w:t xml:space="preserve"> </w:t>
      </w:r>
      <w:r w:rsidR="00EC6F1E" w:rsidRPr="008647C8">
        <w:rPr>
          <w:rFonts w:ascii="Times New Roman" w:hAnsi="Times New Roman" w:cs="Times New Roman"/>
          <w:sz w:val="28"/>
          <w:szCs w:val="28"/>
        </w:rPr>
        <w:t>th</w:t>
      </w:r>
      <w:r w:rsidRPr="008647C8">
        <w:rPr>
          <w:rFonts w:ascii="Times New Roman" w:hAnsi="Times New Roman" w:cs="Times New Roman"/>
          <w:sz w:val="28"/>
          <w:szCs w:val="28"/>
        </w:rPr>
        <w:t>at v</w:t>
      </w:r>
      <w:r w:rsidR="00382F06" w:rsidRPr="008647C8">
        <w:rPr>
          <w:rFonts w:ascii="Times New Roman" w:hAnsi="Times New Roman" w:cs="Times New Roman"/>
          <w:sz w:val="28"/>
          <w:szCs w:val="28"/>
        </w:rPr>
        <w:t xml:space="preserve">arious statements in chapter 16 allege </w:t>
      </w:r>
      <w:r w:rsidRPr="008647C8">
        <w:rPr>
          <w:rFonts w:ascii="Times New Roman" w:hAnsi="Times New Roman" w:cs="Times New Roman"/>
          <w:sz w:val="28"/>
          <w:szCs w:val="28"/>
        </w:rPr>
        <w:t xml:space="preserve">corrupt and dishonest activities </w:t>
      </w:r>
      <w:r w:rsidR="00382F06" w:rsidRPr="008647C8">
        <w:rPr>
          <w:rFonts w:ascii="Times New Roman" w:hAnsi="Times New Roman" w:cs="Times New Roman"/>
          <w:sz w:val="28"/>
          <w:szCs w:val="28"/>
        </w:rPr>
        <w:t>by</w:t>
      </w:r>
      <w:r w:rsidRPr="008647C8">
        <w:rPr>
          <w:rFonts w:ascii="Times New Roman" w:hAnsi="Times New Roman" w:cs="Times New Roman"/>
          <w:sz w:val="28"/>
          <w:szCs w:val="28"/>
        </w:rPr>
        <w:t xml:space="preserve"> the</w:t>
      </w:r>
      <w:r w:rsidR="003D53A1">
        <w:rPr>
          <w:rFonts w:ascii="Times New Roman" w:hAnsi="Times New Roman" w:cs="Times New Roman"/>
          <w:sz w:val="28"/>
          <w:szCs w:val="28"/>
        </w:rPr>
        <w:t>m</w:t>
      </w:r>
      <w:r w:rsidR="00382F06" w:rsidRPr="008647C8">
        <w:rPr>
          <w:rFonts w:ascii="Times New Roman" w:hAnsi="Times New Roman" w:cs="Times New Roman"/>
          <w:sz w:val="28"/>
          <w:szCs w:val="28"/>
        </w:rPr>
        <w:t>,</w:t>
      </w:r>
      <w:r w:rsidRPr="008647C8">
        <w:rPr>
          <w:rFonts w:ascii="Times New Roman" w:hAnsi="Times New Roman" w:cs="Times New Roman"/>
          <w:sz w:val="28"/>
          <w:szCs w:val="28"/>
        </w:rPr>
        <w:t xml:space="preserve"> in their involvement with government contracts. </w:t>
      </w:r>
      <w:r w:rsidR="00B25C02" w:rsidRPr="008647C8">
        <w:rPr>
          <w:rFonts w:ascii="Times New Roman" w:hAnsi="Times New Roman" w:cs="Times New Roman"/>
          <w:sz w:val="28"/>
          <w:szCs w:val="28"/>
        </w:rPr>
        <w:t>In their particulars of claim, t</w:t>
      </w:r>
      <w:r w:rsidRPr="008647C8">
        <w:rPr>
          <w:rFonts w:ascii="Times New Roman" w:hAnsi="Times New Roman" w:cs="Times New Roman"/>
          <w:sz w:val="28"/>
          <w:szCs w:val="28"/>
        </w:rPr>
        <w:t>hey</w:t>
      </w:r>
      <w:r w:rsidR="00C50077" w:rsidRPr="008647C8">
        <w:rPr>
          <w:rFonts w:ascii="Times New Roman" w:hAnsi="Times New Roman" w:cs="Times New Roman"/>
          <w:sz w:val="28"/>
          <w:szCs w:val="28"/>
        </w:rPr>
        <w:t xml:space="preserve"> </w:t>
      </w:r>
      <w:r w:rsidRPr="008647C8">
        <w:rPr>
          <w:rFonts w:ascii="Times New Roman" w:hAnsi="Times New Roman" w:cs="Times New Roman"/>
          <w:sz w:val="28"/>
          <w:szCs w:val="28"/>
        </w:rPr>
        <w:t>identif</w:t>
      </w:r>
      <w:r w:rsidR="00382F06" w:rsidRPr="008647C8">
        <w:rPr>
          <w:rFonts w:ascii="Times New Roman" w:hAnsi="Times New Roman" w:cs="Times New Roman"/>
          <w:sz w:val="28"/>
          <w:szCs w:val="28"/>
        </w:rPr>
        <w:t xml:space="preserve">y </w:t>
      </w:r>
      <w:r w:rsidR="00D62685">
        <w:rPr>
          <w:rFonts w:ascii="Times New Roman" w:hAnsi="Times New Roman" w:cs="Times New Roman"/>
          <w:sz w:val="28"/>
          <w:szCs w:val="28"/>
        </w:rPr>
        <w:t xml:space="preserve">twelve </w:t>
      </w:r>
      <w:r w:rsidR="00EC6F1E" w:rsidRPr="008647C8">
        <w:rPr>
          <w:rFonts w:ascii="Times New Roman" w:hAnsi="Times New Roman" w:cs="Times New Roman"/>
          <w:sz w:val="28"/>
          <w:szCs w:val="28"/>
        </w:rPr>
        <w:t>specific</w:t>
      </w:r>
      <w:r w:rsidRPr="008647C8">
        <w:rPr>
          <w:rFonts w:ascii="Times New Roman" w:hAnsi="Times New Roman" w:cs="Times New Roman"/>
          <w:sz w:val="28"/>
          <w:szCs w:val="28"/>
        </w:rPr>
        <w:t xml:space="preserve"> portions of chapter 16</w:t>
      </w:r>
      <w:r w:rsidR="00B25C02" w:rsidRPr="008647C8">
        <w:rPr>
          <w:rFonts w:ascii="Times New Roman" w:hAnsi="Times New Roman" w:cs="Times New Roman"/>
          <w:sz w:val="28"/>
          <w:szCs w:val="28"/>
        </w:rPr>
        <w:t>,</w:t>
      </w:r>
      <w:r w:rsidRPr="008647C8">
        <w:rPr>
          <w:rFonts w:ascii="Times New Roman" w:hAnsi="Times New Roman" w:cs="Times New Roman"/>
          <w:sz w:val="28"/>
          <w:szCs w:val="28"/>
        </w:rPr>
        <w:t xml:space="preserve"> which they </w:t>
      </w:r>
      <w:r w:rsidR="00C50077" w:rsidRPr="008647C8">
        <w:rPr>
          <w:rFonts w:ascii="Times New Roman" w:hAnsi="Times New Roman" w:cs="Times New Roman"/>
          <w:sz w:val="28"/>
          <w:szCs w:val="28"/>
        </w:rPr>
        <w:t>aver</w:t>
      </w:r>
      <w:r w:rsidRPr="008647C8">
        <w:rPr>
          <w:rFonts w:ascii="Times New Roman" w:hAnsi="Times New Roman" w:cs="Times New Roman"/>
          <w:sz w:val="28"/>
          <w:szCs w:val="28"/>
        </w:rPr>
        <w:t xml:space="preserve"> are defamatory of them, and were intended to convey that</w:t>
      </w:r>
      <w:r w:rsidR="00EC6F1E" w:rsidRPr="008647C8">
        <w:rPr>
          <w:rFonts w:ascii="Times New Roman" w:hAnsi="Times New Roman" w:cs="Times New Roman"/>
          <w:sz w:val="28"/>
          <w:szCs w:val="28"/>
        </w:rPr>
        <w:t>:</w:t>
      </w:r>
      <w:r w:rsidRPr="008647C8">
        <w:rPr>
          <w:rFonts w:ascii="Times New Roman" w:hAnsi="Times New Roman" w:cs="Times New Roman"/>
          <w:sz w:val="28"/>
          <w:szCs w:val="28"/>
        </w:rPr>
        <w:t xml:space="preserve"> they were participants in corrupt activities</w:t>
      </w:r>
      <w:r w:rsidR="00EC6F1E" w:rsidRPr="008647C8">
        <w:rPr>
          <w:rFonts w:ascii="Times New Roman" w:hAnsi="Times New Roman" w:cs="Times New Roman"/>
          <w:sz w:val="28"/>
          <w:szCs w:val="28"/>
        </w:rPr>
        <w:t>;</w:t>
      </w:r>
      <w:r w:rsidRPr="008647C8">
        <w:rPr>
          <w:rFonts w:ascii="Times New Roman" w:hAnsi="Times New Roman" w:cs="Times New Roman"/>
          <w:sz w:val="28"/>
          <w:szCs w:val="28"/>
        </w:rPr>
        <w:t xml:space="preserve"> they paid bribes to secure access to tender work</w:t>
      </w:r>
      <w:r w:rsidR="00EC6F1E" w:rsidRPr="008647C8">
        <w:rPr>
          <w:rFonts w:ascii="Times New Roman" w:hAnsi="Times New Roman" w:cs="Times New Roman"/>
          <w:sz w:val="28"/>
          <w:szCs w:val="28"/>
        </w:rPr>
        <w:t>;</w:t>
      </w:r>
      <w:r w:rsidRPr="008647C8">
        <w:rPr>
          <w:rFonts w:ascii="Times New Roman" w:hAnsi="Times New Roman" w:cs="Times New Roman"/>
          <w:sz w:val="28"/>
          <w:szCs w:val="28"/>
        </w:rPr>
        <w:t xml:space="preserve"> they unlawfully obtained work outside of lawful tender processes by way of corrupting government officials</w:t>
      </w:r>
      <w:r w:rsidR="00EC6F1E" w:rsidRPr="008647C8">
        <w:rPr>
          <w:rFonts w:ascii="Times New Roman" w:hAnsi="Times New Roman" w:cs="Times New Roman"/>
          <w:sz w:val="28"/>
          <w:szCs w:val="28"/>
        </w:rPr>
        <w:t>;</w:t>
      </w:r>
      <w:r w:rsidRPr="008647C8">
        <w:rPr>
          <w:rFonts w:ascii="Times New Roman" w:hAnsi="Times New Roman" w:cs="Times New Roman"/>
          <w:sz w:val="28"/>
          <w:szCs w:val="28"/>
        </w:rPr>
        <w:t xml:space="preserve"> and that they were participant</w:t>
      </w:r>
      <w:r w:rsidR="00EF39C7" w:rsidRPr="008647C8">
        <w:rPr>
          <w:rFonts w:ascii="Times New Roman" w:hAnsi="Times New Roman" w:cs="Times New Roman"/>
          <w:sz w:val="28"/>
          <w:szCs w:val="28"/>
        </w:rPr>
        <w:t>s</w:t>
      </w:r>
      <w:r w:rsidRPr="008647C8">
        <w:rPr>
          <w:rFonts w:ascii="Times New Roman" w:hAnsi="Times New Roman" w:cs="Times New Roman"/>
          <w:sz w:val="28"/>
          <w:szCs w:val="28"/>
        </w:rPr>
        <w:t xml:space="preserve"> in  </w:t>
      </w:r>
      <w:r w:rsidR="00C50077" w:rsidRPr="008647C8">
        <w:rPr>
          <w:rFonts w:ascii="Times New Roman" w:hAnsi="Times New Roman" w:cs="Times New Roman"/>
          <w:sz w:val="28"/>
          <w:szCs w:val="28"/>
        </w:rPr>
        <w:t>sc</w:t>
      </w:r>
      <w:r w:rsidR="00C25C40" w:rsidRPr="008647C8">
        <w:rPr>
          <w:rFonts w:ascii="Times New Roman" w:hAnsi="Times New Roman" w:cs="Times New Roman"/>
          <w:sz w:val="28"/>
          <w:szCs w:val="28"/>
        </w:rPr>
        <w:t>hemes</w:t>
      </w:r>
      <w:r w:rsidRPr="008647C8">
        <w:rPr>
          <w:rFonts w:ascii="Times New Roman" w:hAnsi="Times New Roman" w:cs="Times New Roman"/>
          <w:sz w:val="28"/>
          <w:szCs w:val="28"/>
        </w:rPr>
        <w:t xml:space="preserve"> to defraud the government</w:t>
      </w:r>
      <w:r w:rsidR="00EF39C7" w:rsidRPr="008647C8">
        <w:rPr>
          <w:rFonts w:ascii="Times New Roman" w:hAnsi="Times New Roman" w:cs="Times New Roman"/>
          <w:sz w:val="28"/>
          <w:szCs w:val="28"/>
        </w:rPr>
        <w:t>,</w:t>
      </w:r>
      <w:r w:rsidRPr="008647C8">
        <w:rPr>
          <w:rFonts w:ascii="Times New Roman" w:hAnsi="Times New Roman" w:cs="Times New Roman"/>
          <w:sz w:val="28"/>
          <w:szCs w:val="28"/>
        </w:rPr>
        <w:t xml:space="preserve"> by </w:t>
      </w:r>
      <w:r w:rsidR="00D54137" w:rsidRPr="008647C8">
        <w:rPr>
          <w:rFonts w:ascii="Times New Roman" w:hAnsi="Times New Roman" w:cs="Times New Roman"/>
          <w:sz w:val="28"/>
          <w:szCs w:val="28"/>
        </w:rPr>
        <w:t>siphoning-off funds intended for housing projects</w:t>
      </w:r>
      <w:r w:rsidR="00382F06" w:rsidRPr="008647C8">
        <w:rPr>
          <w:rFonts w:ascii="Times New Roman" w:hAnsi="Times New Roman" w:cs="Times New Roman"/>
          <w:sz w:val="28"/>
          <w:szCs w:val="28"/>
        </w:rPr>
        <w:t>,</w:t>
      </w:r>
      <w:r w:rsidR="00D54137" w:rsidRPr="008647C8">
        <w:rPr>
          <w:rFonts w:ascii="Times New Roman" w:hAnsi="Times New Roman" w:cs="Times New Roman"/>
          <w:sz w:val="28"/>
          <w:szCs w:val="28"/>
        </w:rPr>
        <w:t xml:space="preserve"> </w:t>
      </w:r>
      <w:r w:rsidR="000137FF">
        <w:rPr>
          <w:rFonts w:ascii="Times New Roman" w:hAnsi="Times New Roman" w:cs="Times New Roman"/>
          <w:sz w:val="28"/>
          <w:szCs w:val="28"/>
        </w:rPr>
        <w:t>for</w:t>
      </w:r>
      <w:r w:rsidR="00D54137" w:rsidRPr="008647C8">
        <w:rPr>
          <w:rFonts w:ascii="Times New Roman" w:hAnsi="Times New Roman" w:cs="Times New Roman"/>
          <w:sz w:val="28"/>
          <w:szCs w:val="28"/>
        </w:rPr>
        <w:t xml:space="preserve"> the benefit of corrupt government officials and themselves.  They </w:t>
      </w:r>
      <w:r w:rsidR="00C25C40" w:rsidRPr="008647C8">
        <w:rPr>
          <w:rFonts w:ascii="Times New Roman" w:hAnsi="Times New Roman" w:cs="Times New Roman"/>
          <w:sz w:val="28"/>
          <w:szCs w:val="28"/>
        </w:rPr>
        <w:t xml:space="preserve">also </w:t>
      </w:r>
      <w:r w:rsidR="00D54137" w:rsidRPr="008647C8">
        <w:rPr>
          <w:rFonts w:ascii="Times New Roman" w:hAnsi="Times New Roman" w:cs="Times New Roman"/>
          <w:sz w:val="28"/>
          <w:szCs w:val="28"/>
        </w:rPr>
        <w:t xml:space="preserve">allege that the </w:t>
      </w:r>
      <w:r w:rsidR="00C25C40" w:rsidRPr="008647C8">
        <w:rPr>
          <w:rFonts w:ascii="Times New Roman" w:hAnsi="Times New Roman" w:cs="Times New Roman"/>
          <w:sz w:val="28"/>
          <w:szCs w:val="28"/>
        </w:rPr>
        <w:t>allegations</w:t>
      </w:r>
      <w:r w:rsidR="00D54137" w:rsidRPr="008647C8">
        <w:rPr>
          <w:rFonts w:ascii="Times New Roman" w:hAnsi="Times New Roman" w:cs="Times New Roman"/>
          <w:sz w:val="28"/>
          <w:szCs w:val="28"/>
        </w:rPr>
        <w:t xml:space="preserve"> are false. In the result they claim that they ha</w:t>
      </w:r>
      <w:r w:rsidR="003D53A1">
        <w:rPr>
          <w:rFonts w:ascii="Times New Roman" w:hAnsi="Times New Roman" w:cs="Times New Roman"/>
          <w:sz w:val="28"/>
          <w:szCs w:val="28"/>
        </w:rPr>
        <w:t>ve</w:t>
      </w:r>
      <w:r w:rsidR="00D54137" w:rsidRPr="008647C8">
        <w:rPr>
          <w:rFonts w:ascii="Times New Roman" w:hAnsi="Times New Roman" w:cs="Times New Roman"/>
          <w:sz w:val="28"/>
          <w:szCs w:val="28"/>
        </w:rPr>
        <w:t xml:space="preserve"> each suffered general damages in the sum of R5 million.</w:t>
      </w:r>
    </w:p>
    <w:p w14:paraId="692B5F8C" w14:textId="77777777" w:rsidR="00D54137" w:rsidRPr="008647C8" w:rsidRDefault="00D54137" w:rsidP="00D54137">
      <w:pPr>
        <w:pStyle w:val="ListParagraph"/>
        <w:rPr>
          <w:rFonts w:ascii="Times New Roman" w:hAnsi="Times New Roman" w:cs="Times New Roman"/>
          <w:sz w:val="28"/>
          <w:szCs w:val="28"/>
        </w:rPr>
      </w:pPr>
    </w:p>
    <w:p w14:paraId="3FFD7D3D" w14:textId="25173667" w:rsidR="00D54137" w:rsidRPr="008647C8" w:rsidRDefault="00D54137" w:rsidP="00084791">
      <w:pPr>
        <w:pStyle w:val="ListParagraph"/>
        <w:numPr>
          <w:ilvl w:val="0"/>
          <w:numId w:val="17"/>
        </w:numPr>
        <w:spacing w:line="360" w:lineRule="auto"/>
        <w:ind w:left="0" w:firstLine="0"/>
        <w:jc w:val="both"/>
        <w:rPr>
          <w:rFonts w:ascii="Times New Roman" w:hAnsi="Times New Roman" w:cs="Times New Roman"/>
          <w:sz w:val="28"/>
          <w:szCs w:val="28"/>
        </w:rPr>
      </w:pPr>
      <w:r w:rsidRPr="008647C8">
        <w:rPr>
          <w:rFonts w:ascii="Times New Roman" w:hAnsi="Times New Roman" w:cs="Times New Roman"/>
          <w:sz w:val="28"/>
          <w:szCs w:val="28"/>
        </w:rPr>
        <w:t>On the 19</w:t>
      </w:r>
      <w:r w:rsidRPr="008647C8">
        <w:rPr>
          <w:rFonts w:ascii="Times New Roman" w:hAnsi="Times New Roman" w:cs="Times New Roman"/>
          <w:sz w:val="28"/>
          <w:szCs w:val="28"/>
          <w:vertAlign w:val="superscript"/>
        </w:rPr>
        <w:t>th</w:t>
      </w:r>
      <w:r w:rsidRPr="008647C8">
        <w:rPr>
          <w:rFonts w:ascii="Times New Roman" w:hAnsi="Times New Roman" w:cs="Times New Roman"/>
          <w:sz w:val="28"/>
          <w:szCs w:val="28"/>
        </w:rPr>
        <w:t xml:space="preserve"> November 2020 the defendants applied on notice of motion in this court </w:t>
      </w:r>
      <w:r w:rsidR="00B25371" w:rsidRPr="008647C8">
        <w:rPr>
          <w:rFonts w:ascii="Times New Roman" w:hAnsi="Times New Roman" w:cs="Times New Roman"/>
          <w:sz w:val="28"/>
          <w:szCs w:val="28"/>
        </w:rPr>
        <w:t>for an order</w:t>
      </w:r>
      <w:r w:rsidR="0015353F" w:rsidRPr="008647C8">
        <w:rPr>
          <w:rFonts w:ascii="Times New Roman" w:hAnsi="Times New Roman" w:cs="Times New Roman"/>
          <w:sz w:val="28"/>
          <w:szCs w:val="28"/>
        </w:rPr>
        <w:t xml:space="preserve"> in</w:t>
      </w:r>
      <w:r w:rsidR="00B25371" w:rsidRPr="008647C8">
        <w:rPr>
          <w:rFonts w:ascii="Times New Roman" w:hAnsi="Times New Roman" w:cs="Times New Roman"/>
          <w:sz w:val="28"/>
          <w:szCs w:val="28"/>
        </w:rPr>
        <w:t xml:space="preserve"> terms of r</w:t>
      </w:r>
      <w:r w:rsidR="002B0DA7" w:rsidRPr="008647C8">
        <w:rPr>
          <w:rFonts w:ascii="Times New Roman" w:hAnsi="Times New Roman" w:cs="Times New Roman"/>
          <w:sz w:val="28"/>
          <w:szCs w:val="28"/>
        </w:rPr>
        <w:t>ule 33</w:t>
      </w:r>
      <w:r w:rsidR="00ED6CD3" w:rsidRPr="008647C8">
        <w:rPr>
          <w:rFonts w:ascii="Times New Roman" w:hAnsi="Times New Roman" w:cs="Times New Roman"/>
          <w:sz w:val="28"/>
          <w:szCs w:val="28"/>
        </w:rPr>
        <w:t>(4)</w:t>
      </w:r>
      <w:r w:rsidR="00B25371" w:rsidRPr="008647C8">
        <w:rPr>
          <w:rFonts w:ascii="Times New Roman" w:hAnsi="Times New Roman" w:cs="Times New Roman"/>
          <w:sz w:val="28"/>
          <w:szCs w:val="28"/>
        </w:rPr>
        <w:t xml:space="preserve"> of the Uniform Rules of th</w:t>
      </w:r>
      <w:r w:rsidR="000137FF">
        <w:rPr>
          <w:rFonts w:ascii="Times New Roman" w:hAnsi="Times New Roman" w:cs="Times New Roman"/>
          <w:sz w:val="28"/>
          <w:szCs w:val="28"/>
        </w:rPr>
        <w:t>e High C</w:t>
      </w:r>
      <w:r w:rsidR="00B25371" w:rsidRPr="008647C8">
        <w:rPr>
          <w:rFonts w:ascii="Times New Roman" w:hAnsi="Times New Roman" w:cs="Times New Roman"/>
          <w:sz w:val="28"/>
          <w:szCs w:val="28"/>
        </w:rPr>
        <w:t>ourt</w:t>
      </w:r>
      <w:r w:rsidR="00382F06" w:rsidRPr="008647C8">
        <w:rPr>
          <w:rFonts w:ascii="Times New Roman" w:hAnsi="Times New Roman" w:cs="Times New Roman"/>
          <w:sz w:val="28"/>
          <w:szCs w:val="28"/>
        </w:rPr>
        <w:t>,</w:t>
      </w:r>
      <w:r w:rsidR="00ED6CD3" w:rsidRPr="008647C8">
        <w:rPr>
          <w:rFonts w:ascii="Times New Roman" w:hAnsi="Times New Roman" w:cs="Times New Roman"/>
          <w:sz w:val="28"/>
          <w:szCs w:val="28"/>
        </w:rPr>
        <w:t xml:space="preserve"> for the following issues to be determined separately from the other issues in the trial:</w:t>
      </w:r>
    </w:p>
    <w:p w14:paraId="5AD7CAA3" w14:textId="263F96A9" w:rsidR="00ED6CD3" w:rsidRPr="008647C8" w:rsidRDefault="00382F06" w:rsidP="00ED6CD3">
      <w:pPr>
        <w:pStyle w:val="ListParagraph"/>
        <w:numPr>
          <w:ilvl w:val="0"/>
          <w:numId w:val="21"/>
        </w:numPr>
        <w:spacing w:line="360" w:lineRule="auto"/>
        <w:ind w:hanging="731"/>
        <w:jc w:val="both"/>
        <w:rPr>
          <w:rFonts w:ascii="Times New Roman" w:hAnsi="Times New Roman" w:cs="Times New Roman"/>
          <w:sz w:val="28"/>
          <w:szCs w:val="28"/>
        </w:rPr>
      </w:pPr>
      <w:r w:rsidRPr="008647C8">
        <w:rPr>
          <w:rFonts w:ascii="Times New Roman" w:hAnsi="Times New Roman" w:cs="Times New Roman"/>
          <w:sz w:val="28"/>
          <w:szCs w:val="28"/>
        </w:rPr>
        <w:t>w</w:t>
      </w:r>
      <w:r w:rsidR="00ED6CD3" w:rsidRPr="008647C8">
        <w:rPr>
          <w:rFonts w:ascii="Times New Roman" w:hAnsi="Times New Roman" w:cs="Times New Roman"/>
          <w:sz w:val="28"/>
          <w:szCs w:val="28"/>
        </w:rPr>
        <w:t>hether the contents of chapter 16 are defamatory of the plaintiffs;</w:t>
      </w:r>
      <w:r w:rsidRPr="008647C8">
        <w:rPr>
          <w:rFonts w:ascii="Times New Roman" w:hAnsi="Times New Roman" w:cs="Times New Roman"/>
          <w:sz w:val="28"/>
          <w:szCs w:val="28"/>
        </w:rPr>
        <w:t xml:space="preserve"> and</w:t>
      </w:r>
    </w:p>
    <w:p w14:paraId="5F4B16D5" w14:textId="77777777" w:rsidR="00351B88" w:rsidRPr="008647C8" w:rsidRDefault="00382F06" w:rsidP="00FC1116">
      <w:pPr>
        <w:pStyle w:val="ListParagraph"/>
        <w:numPr>
          <w:ilvl w:val="0"/>
          <w:numId w:val="21"/>
        </w:numPr>
        <w:spacing w:line="360" w:lineRule="auto"/>
        <w:ind w:hanging="731"/>
        <w:jc w:val="both"/>
        <w:rPr>
          <w:rFonts w:ascii="Times New Roman" w:hAnsi="Times New Roman" w:cs="Times New Roman"/>
          <w:sz w:val="28"/>
          <w:szCs w:val="28"/>
        </w:rPr>
      </w:pPr>
      <w:r w:rsidRPr="008647C8">
        <w:rPr>
          <w:rFonts w:ascii="Times New Roman" w:hAnsi="Times New Roman" w:cs="Times New Roman"/>
          <w:sz w:val="28"/>
          <w:szCs w:val="28"/>
        </w:rPr>
        <w:t>i</w:t>
      </w:r>
      <w:r w:rsidR="00ED6CD3" w:rsidRPr="008647C8">
        <w:rPr>
          <w:rFonts w:ascii="Times New Roman" w:hAnsi="Times New Roman" w:cs="Times New Roman"/>
          <w:sz w:val="28"/>
          <w:szCs w:val="28"/>
        </w:rPr>
        <w:t>f so, in what respects the chapter and the statements outlined by the plaintiffs in the</w:t>
      </w:r>
      <w:r w:rsidR="00EF39C7" w:rsidRPr="008647C8">
        <w:rPr>
          <w:rFonts w:ascii="Times New Roman" w:hAnsi="Times New Roman" w:cs="Times New Roman"/>
          <w:sz w:val="28"/>
          <w:szCs w:val="28"/>
        </w:rPr>
        <w:t>ir</w:t>
      </w:r>
      <w:r w:rsidR="00ED6CD3" w:rsidRPr="008647C8">
        <w:rPr>
          <w:rFonts w:ascii="Times New Roman" w:hAnsi="Times New Roman" w:cs="Times New Roman"/>
          <w:sz w:val="28"/>
          <w:szCs w:val="28"/>
        </w:rPr>
        <w:t xml:space="preserve"> particulars of claim ar</w:t>
      </w:r>
      <w:r w:rsidR="00351B88" w:rsidRPr="008647C8">
        <w:rPr>
          <w:rFonts w:ascii="Times New Roman" w:hAnsi="Times New Roman" w:cs="Times New Roman"/>
          <w:sz w:val="28"/>
          <w:szCs w:val="28"/>
        </w:rPr>
        <w:t>e defamatory of the plaintiffs.</w:t>
      </w:r>
    </w:p>
    <w:p w14:paraId="36405D59" w14:textId="56539369" w:rsidR="00EF39C7" w:rsidRPr="008647C8" w:rsidRDefault="00ED6CD3" w:rsidP="00351B88">
      <w:pPr>
        <w:spacing w:line="360" w:lineRule="auto"/>
        <w:ind w:left="709" w:hanging="709"/>
        <w:jc w:val="both"/>
        <w:rPr>
          <w:rFonts w:ascii="Times New Roman" w:hAnsi="Times New Roman" w:cs="Times New Roman"/>
          <w:sz w:val="28"/>
          <w:szCs w:val="28"/>
        </w:rPr>
      </w:pPr>
      <w:r w:rsidRPr="008647C8">
        <w:rPr>
          <w:rFonts w:ascii="Times New Roman" w:hAnsi="Times New Roman" w:cs="Times New Roman"/>
          <w:sz w:val="28"/>
          <w:szCs w:val="28"/>
        </w:rPr>
        <w:t>The application is opposed.</w:t>
      </w:r>
    </w:p>
    <w:p w14:paraId="044DEC83" w14:textId="1FFFA273" w:rsidR="00EF39C7" w:rsidRPr="008647C8" w:rsidRDefault="00382F06" w:rsidP="00382F06">
      <w:pPr>
        <w:spacing w:line="360" w:lineRule="auto"/>
        <w:jc w:val="both"/>
        <w:rPr>
          <w:rFonts w:ascii="Times New Roman" w:hAnsi="Times New Roman" w:cs="Times New Roman"/>
          <w:sz w:val="24"/>
          <w:szCs w:val="24"/>
        </w:rPr>
      </w:pPr>
      <w:r w:rsidRPr="008647C8">
        <w:rPr>
          <w:rFonts w:ascii="Times New Roman" w:hAnsi="Times New Roman" w:cs="Times New Roman"/>
          <w:sz w:val="28"/>
          <w:szCs w:val="28"/>
        </w:rPr>
        <w:lastRenderedPageBreak/>
        <w:t>[5]</w:t>
      </w:r>
      <w:r w:rsidRPr="008647C8">
        <w:rPr>
          <w:rFonts w:ascii="Times New Roman" w:hAnsi="Times New Roman" w:cs="Times New Roman"/>
          <w:sz w:val="28"/>
          <w:szCs w:val="28"/>
        </w:rPr>
        <w:tab/>
        <w:t>Sub-r</w:t>
      </w:r>
      <w:r w:rsidR="00ED6CD3" w:rsidRPr="008647C8">
        <w:rPr>
          <w:rFonts w:ascii="Times New Roman" w:hAnsi="Times New Roman" w:cs="Times New Roman"/>
          <w:sz w:val="28"/>
          <w:szCs w:val="28"/>
        </w:rPr>
        <w:t>ule</w:t>
      </w:r>
      <w:r w:rsidRPr="008647C8">
        <w:rPr>
          <w:rFonts w:ascii="Times New Roman" w:hAnsi="Times New Roman" w:cs="Times New Roman"/>
          <w:sz w:val="28"/>
          <w:szCs w:val="28"/>
        </w:rPr>
        <w:t>s</w:t>
      </w:r>
      <w:r w:rsidR="002B0DA7" w:rsidRPr="008647C8">
        <w:rPr>
          <w:rFonts w:ascii="Times New Roman" w:hAnsi="Times New Roman" w:cs="Times New Roman"/>
          <w:sz w:val="28"/>
          <w:szCs w:val="28"/>
        </w:rPr>
        <w:t xml:space="preserve"> 33</w:t>
      </w:r>
      <w:r w:rsidR="00ED6CD3" w:rsidRPr="008647C8">
        <w:rPr>
          <w:rFonts w:ascii="Times New Roman" w:hAnsi="Times New Roman" w:cs="Times New Roman"/>
          <w:sz w:val="28"/>
          <w:szCs w:val="28"/>
        </w:rPr>
        <w:t>(4)</w:t>
      </w:r>
      <w:r w:rsidRPr="008647C8">
        <w:rPr>
          <w:rFonts w:ascii="Times New Roman" w:hAnsi="Times New Roman" w:cs="Times New Roman"/>
          <w:sz w:val="28"/>
          <w:szCs w:val="28"/>
        </w:rPr>
        <w:t>-</w:t>
      </w:r>
      <w:r w:rsidR="00EF39C7" w:rsidRPr="008647C8">
        <w:rPr>
          <w:rFonts w:ascii="Times New Roman" w:hAnsi="Times New Roman" w:cs="Times New Roman"/>
          <w:sz w:val="28"/>
          <w:szCs w:val="28"/>
        </w:rPr>
        <w:t>(6)</w:t>
      </w:r>
      <w:r w:rsidR="00ED6CD3" w:rsidRPr="008647C8">
        <w:rPr>
          <w:rFonts w:ascii="Times New Roman" w:hAnsi="Times New Roman" w:cs="Times New Roman"/>
          <w:sz w:val="28"/>
          <w:szCs w:val="28"/>
        </w:rPr>
        <w:t xml:space="preserve"> provide:</w:t>
      </w:r>
    </w:p>
    <w:p w14:paraId="5D05B683" w14:textId="406DB89D" w:rsidR="00707975" w:rsidRPr="008647C8" w:rsidRDefault="00C25C40" w:rsidP="007C5D0E">
      <w:pPr>
        <w:pStyle w:val="ListParagraph"/>
        <w:spacing w:line="360" w:lineRule="auto"/>
        <w:ind w:left="1440"/>
        <w:jc w:val="both"/>
        <w:rPr>
          <w:rFonts w:ascii="Times New Roman" w:hAnsi="Times New Roman" w:cs="Times New Roman"/>
          <w:sz w:val="24"/>
          <w:szCs w:val="24"/>
        </w:rPr>
      </w:pPr>
      <w:r w:rsidRPr="008647C8">
        <w:rPr>
          <w:rFonts w:ascii="Times New Roman" w:hAnsi="Times New Roman" w:cs="Times New Roman"/>
          <w:sz w:val="24"/>
          <w:szCs w:val="24"/>
        </w:rPr>
        <w:t>‘</w:t>
      </w:r>
      <w:r w:rsidR="00707975" w:rsidRPr="008647C8">
        <w:rPr>
          <w:rFonts w:ascii="Times New Roman" w:hAnsi="Times New Roman" w:cs="Times New Roman"/>
          <w:sz w:val="24"/>
          <w:szCs w:val="24"/>
        </w:rPr>
        <w:t xml:space="preserve">(4) If, in any pending action, it appears to the court </w:t>
      </w:r>
      <w:r w:rsidR="00707975" w:rsidRPr="008647C8">
        <w:rPr>
          <w:rFonts w:ascii="Times New Roman" w:hAnsi="Times New Roman" w:cs="Times New Roman"/>
          <w:i/>
          <w:sz w:val="24"/>
          <w:szCs w:val="24"/>
        </w:rPr>
        <w:t>mero motu</w:t>
      </w:r>
      <w:r w:rsidR="00707975" w:rsidRPr="008647C8">
        <w:rPr>
          <w:rFonts w:ascii="Times New Roman" w:hAnsi="Times New Roman" w:cs="Times New Roman"/>
          <w:sz w:val="24"/>
          <w:szCs w:val="24"/>
        </w:rPr>
        <w:t xml:space="preserve"> that there is a question of law or fact which may conveniently be decided either before any evidence is led or separately from any other question, the court may make an order directing the disposal of such question in such manner as it may deem fit and may order that all further proceedings be stayed until such question has been disposed of, and the court shall on the application of any party make such order unless it appears that the questions cannot conveniently be decided separately.</w:t>
      </w:r>
    </w:p>
    <w:p w14:paraId="57333286" w14:textId="7B15B1F7" w:rsidR="008210EE" w:rsidRPr="008647C8" w:rsidRDefault="008210EE" w:rsidP="007C5D0E">
      <w:pPr>
        <w:pStyle w:val="ListParagraph"/>
        <w:spacing w:line="360" w:lineRule="auto"/>
        <w:ind w:left="1440"/>
        <w:jc w:val="both"/>
        <w:rPr>
          <w:rFonts w:ascii="Times New Roman" w:hAnsi="Times New Roman" w:cs="Times New Roman"/>
          <w:sz w:val="24"/>
          <w:szCs w:val="24"/>
        </w:rPr>
      </w:pPr>
      <w:r w:rsidRPr="008647C8">
        <w:rPr>
          <w:rFonts w:ascii="Times New Roman" w:hAnsi="Times New Roman" w:cs="Times New Roman"/>
          <w:sz w:val="24"/>
          <w:szCs w:val="24"/>
        </w:rPr>
        <w:t>(5) When giving its decision upon any question in terms of this rule the</w:t>
      </w:r>
      <w:r w:rsidR="007C5D0E" w:rsidRPr="008647C8">
        <w:rPr>
          <w:rFonts w:ascii="Times New Roman" w:hAnsi="Times New Roman" w:cs="Times New Roman"/>
          <w:sz w:val="24"/>
          <w:szCs w:val="24"/>
        </w:rPr>
        <w:t xml:space="preserve"> </w:t>
      </w:r>
      <w:r w:rsidRPr="008647C8">
        <w:rPr>
          <w:rFonts w:ascii="Times New Roman" w:hAnsi="Times New Roman" w:cs="Times New Roman"/>
          <w:sz w:val="24"/>
          <w:szCs w:val="24"/>
        </w:rPr>
        <w:t>court</w:t>
      </w:r>
      <w:r w:rsidR="007C5D0E" w:rsidRPr="008647C8">
        <w:rPr>
          <w:rFonts w:ascii="Times New Roman" w:hAnsi="Times New Roman" w:cs="Times New Roman"/>
          <w:sz w:val="24"/>
          <w:szCs w:val="24"/>
        </w:rPr>
        <w:t xml:space="preserve"> </w:t>
      </w:r>
      <w:r w:rsidRPr="008647C8">
        <w:rPr>
          <w:rFonts w:ascii="Times New Roman" w:hAnsi="Times New Roman" w:cs="Times New Roman"/>
          <w:sz w:val="24"/>
          <w:szCs w:val="24"/>
        </w:rPr>
        <w:t>may give such judgment as may upon such decision be appropriate and may give</w:t>
      </w:r>
      <w:r w:rsidR="00C25C40" w:rsidRPr="008647C8">
        <w:rPr>
          <w:rFonts w:ascii="Times New Roman" w:hAnsi="Times New Roman" w:cs="Times New Roman"/>
          <w:sz w:val="24"/>
          <w:szCs w:val="24"/>
        </w:rPr>
        <w:t xml:space="preserve"> </w:t>
      </w:r>
      <w:r w:rsidRPr="008647C8">
        <w:rPr>
          <w:rFonts w:ascii="Times New Roman" w:hAnsi="Times New Roman" w:cs="Times New Roman"/>
          <w:sz w:val="24"/>
          <w:szCs w:val="24"/>
        </w:rPr>
        <w:t>any direction with regard to the hearing of any other issues in the proceeding which may be necessary for the final disposal thereof.</w:t>
      </w:r>
    </w:p>
    <w:p w14:paraId="6AAFB62D" w14:textId="7391EBCD" w:rsidR="00DC2317" w:rsidRPr="008647C8" w:rsidRDefault="008210EE" w:rsidP="007C5D0E">
      <w:pPr>
        <w:pStyle w:val="ListParagraph"/>
        <w:spacing w:line="360" w:lineRule="auto"/>
        <w:ind w:left="1440"/>
        <w:jc w:val="both"/>
        <w:rPr>
          <w:rFonts w:ascii="Times New Roman" w:hAnsi="Times New Roman" w:cs="Times New Roman"/>
          <w:sz w:val="24"/>
          <w:szCs w:val="24"/>
        </w:rPr>
      </w:pPr>
      <w:r w:rsidRPr="008647C8">
        <w:rPr>
          <w:rFonts w:ascii="Times New Roman" w:hAnsi="Times New Roman" w:cs="Times New Roman"/>
          <w:sz w:val="24"/>
          <w:szCs w:val="24"/>
        </w:rPr>
        <w:t>(6) If the question in dispute is one of law and the parties are agreed upon</w:t>
      </w:r>
      <w:r w:rsidR="007C5D0E" w:rsidRPr="008647C8">
        <w:rPr>
          <w:rFonts w:ascii="Times New Roman" w:hAnsi="Times New Roman" w:cs="Times New Roman"/>
          <w:sz w:val="24"/>
          <w:szCs w:val="24"/>
        </w:rPr>
        <w:t xml:space="preserve"> </w:t>
      </w:r>
      <w:r w:rsidRPr="008647C8">
        <w:rPr>
          <w:rFonts w:ascii="Times New Roman" w:hAnsi="Times New Roman" w:cs="Times New Roman"/>
          <w:sz w:val="24"/>
          <w:szCs w:val="24"/>
        </w:rPr>
        <w:t>the facts, the facts may be admitted and recorded at the trial and the court may give judgment without hearing any evidence.</w:t>
      </w:r>
      <w:r w:rsidR="00BC5535" w:rsidRPr="008647C8">
        <w:rPr>
          <w:rFonts w:ascii="Times New Roman" w:hAnsi="Times New Roman" w:cs="Times New Roman"/>
          <w:sz w:val="24"/>
          <w:szCs w:val="24"/>
        </w:rPr>
        <w:t>’</w:t>
      </w:r>
      <w:r w:rsidR="00707975" w:rsidRPr="008647C8">
        <w:rPr>
          <w:rFonts w:ascii="Times New Roman" w:hAnsi="Times New Roman" w:cs="Times New Roman"/>
          <w:sz w:val="24"/>
          <w:szCs w:val="24"/>
        </w:rPr>
        <w:t xml:space="preserve"> </w:t>
      </w:r>
    </w:p>
    <w:p w14:paraId="0323947C" w14:textId="77777777" w:rsidR="00515715" w:rsidRPr="008647C8" w:rsidRDefault="00515715" w:rsidP="0015353F">
      <w:pPr>
        <w:pStyle w:val="ListParagraph"/>
        <w:spacing w:after="0" w:line="360" w:lineRule="auto"/>
        <w:ind w:left="1440"/>
        <w:jc w:val="both"/>
        <w:rPr>
          <w:rFonts w:ascii="Times New Roman" w:hAnsi="Times New Roman" w:cs="Times New Roman"/>
          <w:sz w:val="24"/>
          <w:szCs w:val="24"/>
        </w:rPr>
      </w:pPr>
    </w:p>
    <w:p w14:paraId="23DF010A" w14:textId="2888AFBC" w:rsidR="008210EE" w:rsidRPr="008647C8" w:rsidRDefault="00515715" w:rsidP="00515715">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[6]</w:t>
      </w:r>
      <w:r w:rsidRPr="008647C8">
        <w:rPr>
          <w:rFonts w:ascii="Times New Roman" w:hAnsi="Times New Roman" w:cs="Times New Roman"/>
          <w:sz w:val="28"/>
          <w:szCs w:val="28"/>
        </w:rPr>
        <w:tab/>
      </w:r>
      <w:r w:rsidR="008210EE" w:rsidRPr="008647C8">
        <w:rPr>
          <w:rFonts w:ascii="Times New Roman" w:hAnsi="Times New Roman" w:cs="Times New Roman"/>
          <w:sz w:val="28"/>
          <w:szCs w:val="28"/>
        </w:rPr>
        <w:t xml:space="preserve">As I understand the </w:t>
      </w:r>
      <w:r w:rsidR="00F014B4">
        <w:rPr>
          <w:rFonts w:ascii="Times New Roman" w:hAnsi="Times New Roman" w:cs="Times New Roman"/>
          <w:sz w:val="28"/>
          <w:szCs w:val="28"/>
        </w:rPr>
        <w:t xml:space="preserve">application of the </w:t>
      </w:r>
      <w:r w:rsidR="008210EE" w:rsidRPr="008647C8">
        <w:rPr>
          <w:rFonts w:ascii="Times New Roman" w:hAnsi="Times New Roman" w:cs="Times New Roman"/>
          <w:sz w:val="28"/>
          <w:szCs w:val="28"/>
        </w:rPr>
        <w:t>rule</w:t>
      </w:r>
      <w:r w:rsidR="00F014B4">
        <w:rPr>
          <w:rFonts w:ascii="Times New Roman" w:hAnsi="Times New Roman" w:cs="Times New Roman"/>
          <w:sz w:val="28"/>
          <w:szCs w:val="28"/>
        </w:rPr>
        <w:t xml:space="preserve"> to</w:t>
      </w:r>
      <w:r w:rsidR="008210EE" w:rsidRPr="008647C8">
        <w:rPr>
          <w:rFonts w:ascii="Times New Roman" w:hAnsi="Times New Roman" w:cs="Times New Roman"/>
          <w:sz w:val="28"/>
          <w:szCs w:val="28"/>
        </w:rPr>
        <w:t xml:space="preserve"> </w:t>
      </w:r>
      <w:r w:rsidR="00F014B4">
        <w:rPr>
          <w:rFonts w:ascii="Times New Roman" w:hAnsi="Times New Roman" w:cs="Times New Roman"/>
          <w:sz w:val="28"/>
          <w:szCs w:val="28"/>
        </w:rPr>
        <w:t>t</w:t>
      </w:r>
      <w:r w:rsidR="007C5D0E" w:rsidRPr="008647C8">
        <w:rPr>
          <w:rFonts w:ascii="Times New Roman" w:hAnsi="Times New Roman" w:cs="Times New Roman"/>
          <w:sz w:val="28"/>
          <w:szCs w:val="28"/>
        </w:rPr>
        <w:t xml:space="preserve">his matter, </w:t>
      </w:r>
      <w:r w:rsidR="008210EE" w:rsidRPr="008647C8">
        <w:rPr>
          <w:rFonts w:ascii="Times New Roman" w:hAnsi="Times New Roman" w:cs="Times New Roman"/>
          <w:sz w:val="28"/>
          <w:szCs w:val="28"/>
        </w:rPr>
        <w:t>I am obliged to make such an order because it is sought by the defendants</w:t>
      </w:r>
      <w:r w:rsidR="00382F06" w:rsidRPr="008647C8">
        <w:rPr>
          <w:rFonts w:ascii="Times New Roman" w:hAnsi="Times New Roman" w:cs="Times New Roman"/>
          <w:sz w:val="28"/>
          <w:szCs w:val="28"/>
        </w:rPr>
        <w:t>,</w:t>
      </w:r>
      <w:r w:rsidR="007C5D0E" w:rsidRPr="008647C8">
        <w:rPr>
          <w:rFonts w:ascii="Times New Roman" w:hAnsi="Times New Roman" w:cs="Times New Roman"/>
          <w:sz w:val="28"/>
          <w:szCs w:val="28"/>
        </w:rPr>
        <w:t xml:space="preserve"> </w:t>
      </w:r>
      <w:r w:rsidR="008210EE" w:rsidRPr="008647C8">
        <w:rPr>
          <w:rFonts w:ascii="Times New Roman" w:hAnsi="Times New Roman" w:cs="Times New Roman"/>
          <w:sz w:val="28"/>
          <w:szCs w:val="28"/>
        </w:rPr>
        <w:t xml:space="preserve">unless </w:t>
      </w:r>
      <w:r w:rsidR="00382F06" w:rsidRPr="008647C8">
        <w:rPr>
          <w:rFonts w:ascii="Times New Roman" w:hAnsi="Times New Roman" w:cs="Times New Roman"/>
          <w:sz w:val="28"/>
          <w:szCs w:val="28"/>
        </w:rPr>
        <w:t xml:space="preserve">I am of the view </w:t>
      </w:r>
      <w:r w:rsidR="00C25C40" w:rsidRPr="008647C8">
        <w:rPr>
          <w:rFonts w:ascii="Times New Roman" w:hAnsi="Times New Roman" w:cs="Times New Roman"/>
          <w:sz w:val="28"/>
          <w:szCs w:val="28"/>
        </w:rPr>
        <w:t xml:space="preserve">that the issues cannot </w:t>
      </w:r>
      <w:r w:rsidR="008210EE" w:rsidRPr="008647C8">
        <w:rPr>
          <w:rFonts w:ascii="Times New Roman" w:hAnsi="Times New Roman" w:cs="Times New Roman"/>
          <w:sz w:val="28"/>
          <w:szCs w:val="28"/>
        </w:rPr>
        <w:t xml:space="preserve">conveniently be decided separately. </w:t>
      </w:r>
    </w:p>
    <w:p w14:paraId="37580968" w14:textId="480F1657" w:rsidR="0047275E" w:rsidRPr="008647C8" w:rsidRDefault="008210EE" w:rsidP="0047275E">
      <w:pPr>
        <w:spacing w:line="360" w:lineRule="auto"/>
        <w:jc w:val="both"/>
        <w:rPr>
          <w:rFonts w:ascii="Times New Roman" w:hAnsi="Times New Roman" w:cs="Times New Roman"/>
          <w:sz w:val="28"/>
          <w:szCs w:val="28"/>
        </w:rPr>
      </w:pPr>
      <w:r w:rsidRPr="008647C8">
        <w:rPr>
          <w:rFonts w:ascii="Times New Roman" w:hAnsi="Times New Roman" w:cs="Times New Roman"/>
          <w:i/>
          <w:sz w:val="28"/>
          <w:szCs w:val="28"/>
        </w:rPr>
        <w:t>See</w:t>
      </w:r>
      <w:r w:rsidRPr="008647C8">
        <w:rPr>
          <w:rFonts w:ascii="Times New Roman" w:hAnsi="Times New Roman" w:cs="Times New Roman"/>
          <w:sz w:val="28"/>
          <w:szCs w:val="28"/>
        </w:rPr>
        <w:t xml:space="preserve">:  </w:t>
      </w:r>
      <w:r w:rsidRPr="008647C8">
        <w:rPr>
          <w:rFonts w:ascii="Times New Roman" w:hAnsi="Times New Roman" w:cs="Times New Roman"/>
          <w:i/>
          <w:sz w:val="28"/>
          <w:szCs w:val="28"/>
        </w:rPr>
        <w:t>Edward L Bateman Ltd v C</w:t>
      </w:r>
      <w:r w:rsidR="00FC5538">
        <w:rPr>
          <w:rFonts w:ascii="Times New Roman" w:hAnsi="Times New Roman" w:cs="Times New Roman"/>
          <w:i/>
          <w:sz w:val="28"/>
          <w:szCs w:val="28"/>
        </w:rPr>
        <w:t xml:space="preserve"> </w:t>
      </w:r>
      <w:r w:rsidRPr="008647C8">
        <w:rPr>
          <w:rFonts w:ascii="Times New Roman" w:hAnsi="Times New Roman" w:cs="Times New Roman"/>
          <w:i/>
          <w:sz w:val="28"/>
          <w:szCs w:val="28"/>
        </w:rPr>
        <w:t>A Brand Projects (Pty) Ltd</w:t>
      </w:r>
      <w:r w:rsidRPr="008647C8">
        <w:rPr>
          <w:rFonts w:ascii="Times New Roman" w:hAnsi="Times New Roman" w:cs="Times New Roman"/>
          <w:sz w:val="28"/>
          <w:szCs w:val="28"/>
        </w:rPr>
        <w:t xml:space="preserve"> 1995 (4) SA 128 (T) at 1</w:t>
      </w:r>
      <w:r w:rsidR="0047275E" w:rsidRPr="008647C8">
        <w:rPr>
          <w:rFonts w:ascii="Times New Roman" w:hAnsi="Times New Roman" w:cs="Times New Roman"/>
          <w:sz w:val="28"/>
          <w:szCs w:val="28"/>
        </w:rPr>
        <w:t>32</w:t>
      </w:r>
      <w:r w:rsidRPr="008647C8">
        <w:rPr>
          <w:rFonts w:ascii="Times New Roman" w:hAnsi="Times New Roman" w:cs="Times New Roman"/>
          <w:sz w:val="28"/>
          <w:szCs w:val="28"/>
        </w:rPr>
        <w:t xml:space="preserve"> C-D.</w:t>
      </w:r>
      <w:r w:rsidR="0047275E" w:rsidRPr="008647C8">
        <w:rPr>
          <w:rFonts w:ascii="Times New Roman" w:hAnsi="Times New Roman" w:cs="Times New Roman"/>
          <w:sz w:val="28"/>
          <w:szCs w:val="28"/>
        </w:rPr>
        <w:t xml:space="preserve"> </w:t>
      </w:r>
    </w:p>
    <w:p w14:paraId="17764879" w14:textId="13E1A3AA" w:rsidR="00E52FEA" w:rsidRDefault="008210EE" w:rsidP="0047275E">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When the rule refers to ‘unless it appears that the question</w:t>
      </w:r>
      <w:r w:rsidR="00351B88" w:rsidRPr="008647C8">
        <w:rPr>
          <w:rFonts w:ascii="Times New Roman" w:hAnsi="Times New Roman" w:cs="Times New Roman"/>
          <w:sz w:val="28"/>
          <w:szCs w:val="28"/>
        </w:rPr>
        <w:t>s</w:t>
      </w:r>
      <w:r w:rsidRPr="008647C8">
        <w:rPr>
          <w:rFonts w:ascii="Times New Roman" w:hAnsi="Times New Roman" w:cs="Times New Roman"/>
          <w:sz w:val="28"/>
          <w:szCs w:val="28"/>
        </w:rPr>
        <w:t xml:space="preserve"> cannot </w:t>
      </w:r>
      <w:r w:rsidR="00FD3AD5" w:rsidRPr="008647C8">
        <w:rPr>
          <w:rFonts w:ascii="Times New Roman" w:hAnsi="Times New Roman" w:cs="Times New Roman"/>
          <w:sz w:val="28"/>
          <w:szCs w:val="28"/>
        </w:rPr>
        <w:t>conveniently</w:t>
      </w:r>
      <w:r w:rsidRPr="008647C8">
        <w:rPr>
          <w:rFonts w:ascii="Times New Roman" w:hAnsi="Times New Roman" w:cs="Times New Roman"/>
          <w:sz w:val="28"/>
          <w:szCs w:val="28"/>
        </w:rPr>
        <w:t xml:space="preserve"> be decided </w:t>
      </w:r>
      <w:r w:rsidR="00FD3AD5" w:rsidRPr="008647C8">
        <w:rPr>
          <w:rFonts w:ascii="Times New Roman" w:hAnsi="Times New Roman" w:cs="Times New Roman"/>
          <w:sz w:val="28"/>
          <w:szCs w:val="28"/>
        </w:rPr>
        <w:t>separately</w:t>
      </w:r>
      <w:r w:rsidRPr="008647C8">
        <w:rPr>
          <w:rFonts w:ascii="Times New Roman" w:hAnsi="Times New Roman" w:cs="Times New Roman"/>
          <w:sz w:val="28"/>
          <w:szCs w:val="28"/>
        </w:rPr>
        <w:t>’ it refers to convenience</w:t>
      </w:r>
      <w:r w:rsidR="0056733F" w:rsidRPr="008647C8">
        <w:rPr>
          <w:rFonts w:ascii="Times New Roman" w:hAnsi="Times New Roman" w:cs="Times New Roman"/>
          <w:sz w:val="28"/>
          <w:szCs w:val="28"/>
        </w:rPr>
        <w:t>,</w:t>
      </w:r>
      <w:r w:rsidRPr="008647C8">
        <w:rPr>
          <w:rFonts w:ascii="Times New Roman" w:hAnsi="Times New Roman" w:cs="Times New Roman"/>
          <w:sz w:val="28"/>
          <w:szCs w:val="28"/>
        </w:rPr>
        <w:t xml:space="preserve"> both </w:t>
      </w:r>
      <w:r w:rsidR="0064296D" w:rsidRPr="008647C8">
        <w:rPr>
          <w:rFonts w:ascii="Times New Roman" w:hAnsi="Times New Roman" w:cs="Times New Roman"/>
          <w:sz w:val="28"/>
          <w:szCs w:val="28"/>
        </w:rPr>
        <w:t xml:space="preserve">to </w:t>
      </w:r>
      <w:r w:rsidR="0056733F" w:rsidRPr="008647C8">
        <w:rPr>
          <w:rFonts w:ascii="Times New Roman" w:hAnsi="Times New Roman" w:cs="Times New Roman"/>
          <w:sz w:val="28"/>
          <w:szCs w:val="28"/>
        </w:rPr>
        <w:t>the court and to the</w:t>
      </w:r>
      <w:r w:rsidRPr="008647C8">
        <w:rPr>
          <w:rFonts w:ascii="Times New Roman" w:hAnsi="Times New Roman" w:cs="Times New Roman"/>
          <w:sz w:val="28"/>
          <w:szCs w:val="28"/>
        </w:rPr>
        <w:t xml:space="preserve"> parties. As set out by King J in </w:t>
      </w:r>
      <w:r w:rsidRPr="008647C8">
        <w:rPr>
          <w:rFonts w:ascii="Times New Roman" w:hAnsi="Times New Roman" w:cs="Times New Roman"/>
          <w:i/>
          <w:sz w:val="28"/>
          <w:szCs w:val="28"/>
        </w:rPr>
        <w:t>Br</w:t>
      </w:r>
      <w:r w:rsidR="00FD3AD5" w:rsidRPr="008647C8">
        <w:rPr>
          <w:rFonts w:ascii="Times New Roman" w:hAnsi="Times New Roman" w:cs="Times New Roman"/>
          <w:i/>
          <w:sz w:val="28"/>
          <w:szCs w:val="28"/>
        </w:rPr>
        <w:t>a</w:t>
      </w:r>
      <w:r w:rsidRPr="008647C8">
        <w:rPr>
          <w:rFonts w:ascii="Times New Roman" w:hAnsi="Times New Roman" w:cs="Times New Roman"/>
          <w:i/>
          <w:sz w:val="28"/>
          <w:szCs w:val="28"/>
        </w:rPr>
        <w:t xml:space="preserve">af v </w:t>
      </w:r>
      <w:r w:rsidR="00FD3AD5" w:rsidRPr="008647C8">
        <w:rPr>
          <w:rFonts w:ascii="Times New Roman" w:hAnsi="Times New Roman" w:cs="Times New Roman"/>
          <w:i/>
          <w:sz w:val="28"/>
          <w:szCs w:val="28"/>
        </w:rPr>
        <w:t>Fedgen</w:t>
      </w:r>
      <w:r w:rsidR="00FD3AD5" w:rsidRPr="008647C8">
        <w:rPr>
          <w:rFonts w:ascii="Times New Roman" w:hAnsi="Times New Roman" w:cs="Times New Roman"/>
          <w:sz w:val="28"/>
          <w:szCs w:val="28"/>
        </w:rPr>
        <w:t xml:space="preserve"> </w:t>
      </w:r>
      <w:r w:rsidR="00B25371" w:rsidRPr="008647C8">
        <w:rPr>
          <w:rFonts w:ascii="Times New Roman" w:hAnsi="Times New Roman" w:cs="Times New Roman"/>
          <w:i/>
          <w:sz w:val="28"/>
          <w:szCs w:val="28"/>
        </w:rPr>
        <w:t>Insurance Ltd</w:t>
      </w:r>
      <w:r w:rsidR="00FD3AD5" w:rsidRPr="008647C8">
        <w:rPr>
          <w:rFonts w:ascii="Times New Roman" w:hAnsi="Times New Roman" w:cs="Times New Roman"/>
          <w:sz w:val="28"/>
          <w:szCs w:val="28"/>
        </w:rPr>
        <w:t xml:space="preserve"> 1995 (3) SA 938 (C) </w:t>
      </w:r>
      <w:r w:rsidR="00E52FEA">
        <w:rPr>
          <w:rFonts w:ascii="Times New Roman" w:hAnsi="Times New Roman" w:cs="Times New Roman"/>
          <w:sz w:val="28"/>
          <w:szCs w:val="28"/>
        </w:rPr>
        <w:t>at page 939Iff:</w:t>
      </w:r>
    </w:p>
    <w:p w14:paraId="5E836E9F" w14:textId="4E4B5DDA" w:rsidR="00E52FEA" w:rsidRDefault="00E52FEA" w:rsidP="0090634A">
      <w:pPr>
        <w:spacing w:line="360" w:lineRule="auto"/>
        <w:ind w:left="720"/>
        <w:jc w:val="both"/>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 xml:space="preserve">There are obvious advantages and disadvantages to the Court and to the parties. As far as concerns the Court, part-heard matters are at the very least a nuisance to the Judge concerned who may, for instance, find that the hearing of the quantum issue has been set down on a date when he is in the middle of hearing another matter. It also adds to </w:t>
      </w:r>
      <w:r>
        <w:rPr>
          <w:rFonts w:ascii="Times New Roman" w:hAnsi="Times New Roman" w:cs="Times New Roman"/>
          <w:sz w:val="24"/>
          <w:szCs w:val="24"/>
        </w:rPr>
        <w:lastRenderedPageBreak/>
        <w:t>the burden of the Judge President (or his delegate) of arranging the roll and allocating Judges.</w:t>
      </w:r>
    </w:p>
    <w:p w14:paraId="3C5C51A2" w14:textId="6790AD28" w:rsidR="00E52FEA" w:rsidRDefault="00E52FEA" w:rsidP="0090634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plaintiff is clearly disadvantaged by reason of the fact that he is kept out of his money (assuming what the plaintiff is entitled to assume, namely that he will achieve eventual success in the action). This can involve a lengthy delay in the event that the plaintiff succeeds on the merits and the defendant takes the decision on appeal, which may be done prior to the hearing on quantum. See </w:t>
      </w:r>
      <w:r>
        <w:rPr>
          <w:rFonts w:ascii="Times New Roman" w:hAnsi="Times New Roman" w:cs="Times New Roman"/>
          <w:i/>
          <w:sz w:val="24"/>
          <w:szCs w:val="24"/>
        </w:rPr>
        <w:t>SA Eagle Versekeringsmaatskappy</w:t>
      </w:r>
      <w:r w:rsidR="00EA4BF9">
        <w:rPr>
          <w:rFonts w:ascii="Times New Roman" w:hAnsi="Times New Roman" w:cs="Times New Roman"/>
          <w:i/>
          <w:sz w:val="24"/>
          <w:szCs w:val="24"/>
        </w:rPr>
        <w:t xml:space="preserve"> Bpk v Harford</w:t>
      </w:r>
      <w:r w:rsidR="00EA4BF9">
        <w:rPr>
          <w:rFonts w:ascii="Times New Roman" w:hAnsi="Times New Roman" w:cs="Times New Roman"/>
          <w:sz w:val="24"/>
          <w:szCs w:val="24"/>
        </w:rPr>
        <w:t xml:space="preserve"> 1992 (2) SA 786 (A). It may also be mentioned in this context that a suggestion made on plaintiff’s behalf that defendant agree to pay interest on the award (assuming plaintiff’s eventual success) from the date of judgment on the merits, did not find favour with defendant.</w:t>
      </w:r>
    </w:p>
    <w:p w14:paraId="344FD70F" w14:textId="200E433A" w:rsidR="00EA4BF9" w:rsidRDefault="00EA4BF9" w:rsidP="0090634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From defendant’s point of view the obvious disadvantage is the incurrence of costs, which I accept will be considerable, involving as it will the evidence of experts of various disciplines, in a matter where plaintiff may well be non-suited.</w:t>
      </w:r>
    </w:p>
    <w:p w14:paraId="063FD32E" w14:textId="70036371" w:rsidR="005328C4" w:rsidRDefault="00EA4BF9" w:rsidP="0090634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“Convenient” connotes not only “facility or ease or expedience”, but also “appropriateness”: the procedure would be convenient if, in all the circumstances, it appeared to be fitting, and fair to the parties concerned. See </w:t>
      </w:r>
      <w:r>
        <w:rPr>
          <w:rFonts w:ascii="Times New Roman" w:hAnsi="Times New Roman" w:cs="Times New Roman"/>
          <w:i/>
          <w:sz w:val="24"/>
          <w:szCs w:val="24"/>
        </w:rPr>
        <w:t>Minister of Agriculture v Tongaat Group Ltd</w:t>
      </w:r>
      <w:r>
        <w:rPr>
          <w:rFonts w:ascii="Times New Roman" w:hAnsi="Times New Roman" w:cs="Times New Roman"/>
          <w:sz w:val="24"/>
          <w:szCs w:val="24"/>
        </w:rPr>
        <w:t xml:space="preserve"> 1976 (2) SA 357 (D) at 363D.’</w:t>
      </w:r>
    </w:p>
    <w:p w14:paraId="4D0ADCE3" w14:textId="77777777" w:rsidR="0090634A" w:rsidRPr="008647C8" w:rsidRDefault="0090634A" w:rsidP="0090634A">
      <w:pPr>
        <w:spacing w:line="360" w:lineRule="auto"/>
        <w:jc w:val="both"/>
        <w:rPr>
          <w:rFonts w:ascii="Times New Roman" w:hAnsi="Times New Roman" w:cs="Times New Roman"/>
          <w:sz w:val="28"/>
          <w:szCs w:val="28"/>
        </w:rPr>
      </w:pPr>
    </w:p>
    <w:p w14:paraId="599550A5" w14:textId="27879428" w:rsidR="005328C4" w:rsidRPr="008647C8" w:rsidRDefault="00515715" w:rsidP="00515715">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[7]</w:t>
      </w:r>
      <w:r w:rsidRPr="008647C8">
        <w:rPr>
          <w:rFonts w:ascii="Times New Roman" w:hAnsi="Times New Roman" w:cs="Times New Roman"/>
          <w:sz w:val="28"/>
          <w:szCs w:val="28"/>
        </w:rPr>
        <w:tab/>
      </w:r>
      <w:r w:rsidR="005328C4" w:rsidRPr="008647C8">
        <w:rPr>
          <w:rFonts w:ascii="Times New Roman" w:hAnsi="Times New Roman" w:cs="Times New Roman"/>
          <w:sz w:val="28"/>
          <w:szCs w:val="28"/>
        </w:rPr>
        <w:t xml:space="preserve">In </w:t>
      </w:r>
      <w:r w:rsidR="005328C4" w:rsidRPr="008647C8">
        <w:rPr>
          <w:rFonts w:ascii="Times New Roman" w:hAnsi="Times New Roman" w:cs="Times New Roman"/>
          <w:i/>
          <w:sz w:val="28"/>
          <w:szCs w:val="28"/>
        </w:rPr>
        <w:t xml:space="preserve">Denel </w:t>
      </w:r>
      <w:r w:rsidR="006F7E1D" w:rsidRPr="008647C8">
        <w:rPr>
          <w:rFonts w:ascii="Times New Roman" w:hAnsi="Times New Roman" w:cs="Times New Roman"/>
          <w:i/>
          <w:sz w:val="28"/>
          <w:szCs w:val="28"/>
        </w:rPr>
        <w:t>(</w:t>
      </w:r>
      <w:r w:rsidR="005328C4" w:rsidRPr="008647C8">
        <w:rPr>
          <w:rFonts w:ascii="Times New Roman" w:hAnsi="Times New Roman" w:cs="Times New Roman"/>
          <w:i/>
          <w:sz w:val="28"/>
          <w:szCs w:val="28"/>
        </w:rPr>
        <w:t>E</w:t>
      </w:r>
      <w:r w:rsidR="00B25371" w:rsidRPr="008647C8">
        <w:rPr>
          <w:rFonts w:ascii="Times New Roman" w:hAnsi="Times New Roman" w:cs="Times New Roman"/>
          <w:i/>
          <w:sz w:val="28"/>
          <w:szCs w:val="28"/>
        </w:rPr>
        <w:t>dms</w:t>
      </w:r>
      <w:r w:rsidR="006F7E1D" w:rsidRPr="008647C8">
        <w:rPr>
          <w:rFonts w:ascii="Times New Roman" w:hAnsi="Times New Roman" w:cs="Times New Roman"/>
          <w:i/>
          <w:sz w:val="28"/>
          <w:szCs w:val="28"/>
        </w:rPr>
        <w:t>)</w:t>
      </w:r>
      <w:r w:rsidR="0064296D" w:rsidRPr="008647C8">
        <w:rPr>
          <w:rFonts w:ascii="Times New Roman" w:hAnsi="Times New Roman" w:cs="Times New Roman"/>
          <w:i/>
          <w:sz w:val="28"/>
          <w:szCs w:val="28"/>
        </w:rPr>
        <w:t xml:space="preserve"> </w:t>
      </w:r>
      <w:r w:rsidR="005328C4" w:rsidRPr="008647C8">
        <w:rPr>
          <w:rFonts w:ascii="Times New Roman" w:hAnsi="Times New Roman" w:cs="Times New Roman"/>
          <w:i/>
          <w:sz w:val="28"/>
          <w:szCs w:val="28"/>
        </w:rPr>
        <w:t>B</w:t>
      </w:r>
      <w:r w:rsidR="00B25371" w:rsidRPr="008647C8">
        <w:rPr>
          <w:rFonts w:ascii="Times New Roman" w:hAnsi="Times New Roman" w:cs="Times New Roman"/>
          <w:i/>
          <w:sz w:val="28"/>
          <w:szCs w:val="28"/>
        </w:rPr>
        <w:t>pk</w:t>
      </w:r>
      <w:r w:rsidR="005328C4" w:rsidRPr="008647C8">
        <w:rPr>
          <w:rFonts w:ascii="Times New Roman" w:hAnsi="Times New Roman" w:cs="Times New Roman"/>
          <w:i/>
          <w:sz w:val="28"/>
          <w:szCs w:val="28"/>
        </w:rPr>
        <w:t xml:space="preserve"> v Vorster</w:t>
      </w:r>
      <w:r w:rsidR="005328C4" w:rsidRPr="008647C8">
        <w:rPr>
          <w:rFonts w:ascii="Times New Roman" w:hAnsi="Times New Roman" w:cs="Times New Roman"/>
          <w:sz w:val="28"/>
          <w:szCs w:val="28"/>
        </w:rPr>
        <w:t xml:space="preserve"> 2004 (4) SA 481 (SCA)</w:t>
      </w:r>
      <w:r w:rsidR="006F7E1D" w:rsidRPr="008647C8">
        <w:rPr>
          <w:rFonts w:ascii="Times New Roman" w:hAnsi="Times New Roman" w:cs="Times New Roman"/>
          <w:sz w:val="28"/>
          <w:szCs w:val="28"/>
        </w:rPr>
        <w:t xml:space="preserve"> para 3, </w:t>
      </w:r>
      <w:r w:rsidR="005328C4" w:rsidRPr="008647C8">
        <w:rPr>
          <w:rFonts w:ascii="Times New Roman" w:hAnsi="Times New Roman" w:cs="Times New Roman"/>
          <w:sz w:val="28"/>
          <w:szCs w:val="28"/>
        </w:rPr>
        <w:t>Nugent JA made the following remarks</w:t>
      </w:r>
      <w:r w:rsidR="004B1226" w:rsidRPr="008647C8">
        <w:rPr>
          <w:rFonts w:ascii="Times New Roman" w:hAnsi="Times New Roman" w:cs="Times New Roman"/>
          <w:sz w:val="28"/>
          <w:szCs w:val="28"/>
        </w:rPr>
        <w:t xml:space="preserve"> about separating issues</w:t>
      </w:r>
      <w:r w:rsidR="005328C4" w:rsidRPr="008647C8">
        <w:rPr>
          <w:rFonts w:ascii="Times New Roman" w:hAnsi="Times New Roman" w:cs="Times New Roman"/>
          <w:sz w:val="28"/>
          <w:szCs w:val="28"/>
        </w:rPr>
        <w:t xml:space="preserve">: </w:t>
      </w:r>
    </w:p>
    <w:p w14:paraId="5043A7FA" w14:textId="0BDAE37F" w:rsidR="008210EE" w:rsidRPr="0090634A" w:rsidRDefault="004B1226" w:rsidP="0090634A">
      <w:pPr>
        <w:spacing w:line="360" w:lineRule="auto"/>
        <w:ind w:left="720"/>
        <w:jc w:val="both"/>
        <w:rPr>
          <w:rFonts w:ascii="Times New Roman" w:hAnsi="Times New Roman" w:cs="Times New Roman"/>
          <w:sz w:val="24"/>
          <w:szCs w:val="24"/>
        </w:rPr>
      </w:pPr>
      <w:r w:rsidRPr="0090634A">
        <w:rPr>
          <w:rFonts w:ascii="Times New Roman" w:hAnsi="Times New Roman" w:cs="Times New Roman"/>
          <w:sz w:val="24"/>
          <w:szCs w:val="24"/>
        </w:rPr>
        <w:t xml:space="preserve">‘Rule 33(4) of the Uniform Rules – which entitles a </w:t>
      </w:r>
      <w:r w:rsidR="007F6FCF" w:rsidRPr="0090634A">
        <w:rPr>
          <w:rFonts w:ascii="Times New Roman" w:hAnsi="Times New Roman" w:cs="Times New Roman"/>
          <w:sz w:val="24"/>
          <w:szCs w:val="24"/>
        </w:rPr>
        <w:t>C</w:t>
      </w:r>
      <w:r w:rsidRPr="0090634A">
        <w:rPr>
          <w:rFonts w:ascii="Times New Roman" w:hAnsi="Times New Roman" w:cs="Times New Roman"/>
          <w:sz w:val="24"/>
          <w:szCs w:val="24"/>
        </w:rPr>
        <w:t>ourt to try issues separately in appropriate circumstances – is aimed at facilitating the convenient and expeditious disposal of litigation. It should not be assumed that that result is always achieved by separating the issues. In many cases, once properly considered, the issues will be found to be inextricably linked</w:t>
      </w:r>
      <w:r w:rsidR="006F7E1D" w:rsidRPr="0090634A">
        <w:rPr>
          <w:rFonts w:ascii="Times New Roman" w:hAnsi="Times New Roman" w:cs="Times New Roman"/>
          <w:sz w:val="24"/>
          <w:szCs w:val="24"/>
        </w:rPr>
        <w:t>,</w:t>
      </w:r>
      <w:r w:rsidRPr="0090634A">
        <w:rPr>
          <w:rFonts w:ascii="Times New Roman" w:hAnsi="Times New Roman" w:cs="Times New Roman"/>
          <w:sz w:val="24"/>
          <w:szCs w:val="24"/>
        </w:rPr>
        <w:t xml:space="preserve"> even though</w:t>
      </w:r>
      <w:r w:rsidR="006F7E1D" w:rsidRPr="0090634A">
        <w:rPr>
          <w:rFonts w:ascii="Times New Roman" w:hAnsi="Times New Roman" w:cs="Times New Roman"/>
          <w:sz w:val="24"/>
          <w:szCs w:val="24"/>
        </w:rPr>
        <w:t>,</w:t>
      </w:r>
      <w:r w:rsidRPr="0090634A">
        <w:rPr>
          <w:rFonts w:ascii="Times New Roman" w:hAnsi="Times New Roman" w:cs="Times New Roman"/>
          <w:sz w:val="24"/>
          <w:szCs w:val="24"/>
        </w:rPr>
        <w:t xml:space="preserve"> at first sight</w:t>
      </w:r>
      <w:r w:rsidR="0064296D" w:rsidRPr="0090634A">
        <w:rPr>
          <w:rFonts w:ascii="Times New Roman" w:hAnsi="Times New Roman" w:cs="Times New Roman"/>
          <w:sz w:val="24"/>
          <w:szCs w:val="24"/>
        </w:rPr>
        <w:t>,</w:t>
      </w:r>
      <w:r w:rsidRPr="0090634A">
        <w:rPr>
          <w:rFonts w:ascii="Times New Roman" w:hAnsi="Times New Roman" w:cs="Times New Roman"/>
          <w:sz w:val="24"/>
          <w:szCs w:val="24"/>
        </w:rPr>
        <w:t xml:space="preserve"> they might appear to be discrete. And even where the issues are discrete</w:t>
      </w:r>
      <w:r w:rsidR="0064296D" w:rsidRPr="0090634A">
        <w:rPr>
          <w:rFonts w:ascii="Times New Roman" w:hAnsi="Times New Roman" w:cs="Times New Roman"/>
          <w:sz w:val="24"/>
          <w:szCs w:val="24"/>
        </w:rPr>
        <w:t>,</w:t>
      </w:r>
      <w:r w:rsidRPr="0090634A">
        <w:rPr>
          <w:rFonts w:ascii="Times New Roman" w:hAnsi="Times New Roman" w:cs="Times New Roman"/>
          <w:sz w:val="24"/>
          <w:szCs w:val="24"/>
        </w:rPr>
        <w:t xml:space="preserve"> the expeditious disposal of the litigation is often best served by ventilating all the issues at one hearing, particularly where there is more than one issue that might be readily dispositive of the matter. It is only after careful thought has been given to the anticipated course of the litigation as a whole that it will </w:t>
      </w:r>
      <w:r w:rsidRPr="0090634A">
        <w:rPr>
          <w:rFonts w:ascii="Times New Roman" w:hAnsi="Times New Roman" w:cs="Times New Roman"/>
          <w:sz w:val="24"/>
          <w:szCs w:val="24"/>
        </w:rPr>
        <w:lastRenderedPageBreak/>
        <w:t>be possible properly to determine whether it is convenient to try an issue separately. But</w:t>
      </w:r>
      <w:r w:rsidR="0064296D" w:rsidRPr="0090634A">
        <w:rPr>
          <w:rFonts w:ascii="Times New Roman" w:hAnsi="Times New Roman" w:cs="Times New Roman"/>
          <w:sz w:val="24"/>
          <w:szCs w:val="24"/>
        </w:rPr>
        <w:t>,</w:t>
      </w:r>
      <w:r w:rsidRPr="0090634A">
        <w:rPr>
          <w:rFonts w:ascii="Times New Roman" w:hAnsi="Times New Roman" w:cs="Times New Roman"/>
          <w:sz w:val="24"/>
          <w:szCs w:val="24"/>
        </w:rPr>
        <w:t xml:space="preserve"> where the trial </w:t>
      </w:r>
      <w:r w:rsidR="00962564" w:rsidRPr="0090634A">
        <w:rPr>
          <w:rFonts w:ascii="Times New Roman" w:hAnsi="Times New Roman" w:cs="Times New Roman"/>
          <w:sz w:val="24"/>
          <w:szCs w:val="24"/>
        </w:rPr>
        <w:t>C</w:t>
      </w:r>
      <w:r w:rsidRPr="0090634A">
        <w:rPr>
          <w:rFonts w:ascii="Times New Roman" w:hAnsi="Times New Roman" w:cs="Times New Roman"/>
          <w:sz w:val="24"/>
          <w:szCs w:val="24"/>
        </w:rPr>
        <w:t>ourt is satisfied that it is proper to make such an order – and</w:t>
      </w:r>
      <w:r w:rsidR="007F6FCF" w:rsidRPr="0090634A">
        <w:rPr>
          <w:rFonts w:ascii="Times New Roman" w:hAnsi="Times New Roman" w:cs="Times New Roman"/>
          <w:sz w:val="24"/>
          <w:szCs w:val="24"/>
        </w:rPr>
        <w:t>,</w:t>
      </w:r>
      <w:r w:rsidRPr="0090634A">
        <w:rPr>
          <w:rFonts w:ascii="Times New Roman" w:hAnsi="Times New Roman" w:cs="Times New Roman"/>
          <w:sz w:val="24"/>
          <w:szCs w:val="24"/>
        </w:rPr>
        <w:t xml:space="preserve"> in all cases</w:t>
      </w:r>
      <w:r w:rsidR="00962564" w:rsidRPr="0090634A">
        <w:rPr>
          <w:rFonts w:ascii="Times New Roman" w:hAnsi="Times New Roman" w:cs="Times New Roman"/>
          <w:sz w:val="24"/>
          <w:szCs w:val="24"/>
        </w:rPr>
        <w:t>,</w:t>
      </w:r>
      <w:r w:rsidRPr="0090634A">
        <w:rPr>
          <w:rFonts w:ascii="Times New Roman" w:hAnsi="Times New Roman" w:cs="Times New Roman"/>
          <w:sz w:val="24"/>
          <w:szCs w:val="24"/>
        </w:rPr>
        <w:t xml:space="preserve"> it must be so satisfied before it does so – it is the d</w:t>
      </w:r>
      <w:r w:rsidR="00962564" w:rsidRPr="0090634A">
        <w:rPr>
          <w:rFonts w:ascii="Times New Roman" w:hAnsi="Times New Roman" w:cs="Times New Roman"/>
          <w:sz w:val="24"/>
          <w:szCs w:val="24"/>
        </w:rPr>
        <w:t>uty of that C</w:t>
      </w:r>
      <w:r w:rsidRPr="0090634A">
        <w:rPr>
          <w:rFonts w:ascii="Times New Roman" w:hAnsi="Times New Roman" w:cs="Times New Roman"/>
          <w:sz w:val="24"/>
          <w:szCs w:val="24"/>
        </w:rPr>
        <w:t xml:space="preserve">ourt to ensure that the issues to be tried are clearly circumscribed in its order so as to avoid confusion. The ambit of terms like the </w:t>
      </w:r>
      <w:r w:rsidR="007F6FCF" w:rsidRPr="0090634A">
        <w:rPr>
          <w:rFonts w:ascii="Times New Roman" w:hAnsi="Times New Roman" w:cs="Times New Roman"/>
          <w:sz w:val="24"/>
          <w:szCs w:val="24"/>
        </w:rPr>
        <w:t>“</w:t>
      </w:r>
      <w:r w:rsidRPr="0090634A">
        <w:rPr>
          <w:rFonts w:ascii="Times New Roman" w:hAnsi="Times New Roman" w:cs="Times New Roman"/>
          <w:sz w:val="24"/>
          <w:szCs w:val="24"/>
        </w:rPr>
        <w:t>merits</w:t>
      </w:r>
      <w:r w:rsidR="007F6FCF" w:rsidRPr="0090634A">
        <w:rPr>
          <w:rFonts w:ascii="Times New Roman" w:hAnsi="Times New Roman" w:cs="Times New Roman"/>
          <w:sz w:val="24"/>
          <w:szCs w:val="24"/>
        </w:rPr>
        <w:t>”</w:t>
      </w:r>
      <w:r w:rsidRPr="0090634A">
        <w:rPr>
          <w:rFonts w:ascii="Times New Roman" w:hAnsi="Times New Roman" w:cs="Times New Roman"/>
          <w:sz w:val="24"/>
          <w:szCs w:val="24"/>
        </w:rPr>
        <w:t xml:space="preserve"> and the </w:t>
      </w:r>
      <w:r w:rsidR="007F6FCF" w:rsidRPr="0090634A">
        <w:rPr>
          <w:rFonts w:ascii="Times New Roman" w:hAnsi="Times New Roman" w:cs="Times New Roman"/>
          <w:sz w:val="24"/>
          <w:szCs w:val="24"/>
        </w:rPr>
        <w:t>“</w:t>
      </w:r>
      <w:r w:rsidRPr="0090634A">
        <w:rPr>
          <w:rFonts w:ascii="Times New Roman" w:hAnsi="Times New Roman" w:cs="Times New Roman"/>
          <w:i/>
          <w:sz w:val="24"/>
          <w:szCs w:val="24"/>
        </w:rPr>
        <w:t>quantum</w:t>
      </w:r>
      <w:r w:rsidR="007F6FCF" w:rsidRPr="0090634A">
        <w:rPr>
          <w:rFonts w:ascii="Times New Roman" w:hAnsi="Times New Roman" w:cs="Times New Roman"/>
          <w:sz w:val="24"/>
          <w:szCs w:val="24"/>
        </w:rPr>
        <w:t>”</w:t>
      </w:r>
      <w:r w:rsidRPr="0090634A">
        <w:rPr>
          <w:rFonts w:ascii="Times New Roman" w:hAnsi="Times New Roman" w:cs="Times New Roman"/>
          <w:sz w:val="24"/>
          <w:szCs w:val="24"/>
        </w:rPr>
        <w:t xml:space="preserve"> is often thought by all the parties to be self-evident at the outset of a trial</w:t>
      </w:r>
      <w:r w:rsidR="00962564" w:rsidRPr="0090634A">
        <w:rPr>
          <w:rFonts w:ascii="Times New Roman" w:hAnsi="Times New Roman" w:cs="Times New Roman"/>
          <w:sz w:val="24"/>
          <w:szCs w:val="24"/>
        </w:rPr>
        <w:t>,</w:t>
      </w:r>
      <w:r w:rsidRPr="0090634A">
        <w:rPr>
          <w:rFonts w:ascii="Times New Roman" w:hAnsi="Times New Roman" w:cs="Times New Roman"/>
          <w:sz w:val="24"/>
          <w:szCs w:val="24"/>
        </w:rPr>
        <w:t xml:space="preserve"> but</w:t>
      </w:r>
      <w:r w:rsidR="00962564" w:rsidRPr="0090634A">
        <w:rPr>
          <w:rFonts w:ascii="Times New Roman" w:hAnsi="Times New Roman" w:cs="Times New Roman"/>
          <w:sz w:val="24"/>
          <w:szCs w:val="24"/>
        </w:rPr>
        <w:t>,</w:t>
      </w:r>
      <w:r w:rsidRPr="0090634A">
        <w:rPr>
          <w:rFonts w:ascii="Times New Roman" w:hAnsi="Times New Roman" w:cs="Times New Roman"/>
          <w:sz w:val="24"/>
          <w:szCs w:val="24"/>
        </w:rPr>
        <w:t xml:space="preserve"> in my experience</w:t>
      </w:r>
      <w:r w:rsidR="00962564" w:rsidRPr="0090634A">
        <w:rPr>
          <w:rFonts w:ascii="Times New Roman" w:hAnsi="Times New Roman" w:cs="Times New Roman"/>
          <w:sz w:val="24"/>
          <w:szCs w:val="24"/>
        </w:rPr>
        <w:t>,</w:t>
      </w:r>
      <w:r w:rsidRPr="0090634A">
        <w:rPr>
          <w:rFonts w:ascii="Times New Roman" w:hAnsi="Times New Roman" w:cs="Times New Roman"/>
          <w:sz w:val="24"/>
          <w:szCs w:val="24"/>
        </w:rPr>
        <w:t xml:space="preserve"> it is only in the simplest of cases that the initial </w:t>
      </w:r>
      <w:r w:rsidRPr="0090634A">
        <w:rPr>
          <w:rFonts w:ascii="Times New Roman" w:hAnsi="Times New Roman" w:cs="Times New Roman"/>
          <w:i/>
          <w:sz w:val="24"/>
          <w:szCs w:val="24"/>
        </w:rPr>
        <w:t>consensus</w:t>
      </w:r>
      <w:r w:rsidRPr="0090634A">
        <w:rPr>
          <w:rFonts w:ascii="Times New Roman" w:hAnsi="Times New Roman" w:cs="Times New Roman"/>
          <w:sz w:val="24"/>
          <w:szCs w:val="24"/>
        </w:rPr>
        <w:t xml:space="preserve"> survives. Both when making rulings in terms of Rule 33(4) and when issuing its orders</w:t>
      </w:r>
      <w:r w:rsidR="00962564" w:rsidRPr="0090634A">
        <w:rPr>
          <w:rFonts w:ascii="Times New Roman" w:hAnsi="Times New Roman" w:cs="Times New Roman"/>
          <w:sz w:val="24"/>
          <w:szCs w:val="24"/>
        </w:rPr>
        <w:t>, a trial C</w:t>
      </w:r>
      <w:r w:rsidRPr="0090634A">
        <w:rPr>
          <w:rFonts w:ascii="Times New Roman" w:hAnsi="Times New Roman" w:cs="Times New Roman"/>
          <w:sz w:val="24"/>
          <w:szCs w:val="24"/>
        </w:rPr>
        <w:t>ourt should ensure that the issues are circumscribed with clarity and precision</w:t>
      </w:r>
      <w:r w:rsidR="00852895" w:rsidRPr="0090634A">
        <w:rPr>
          <w:rFonts w:ascii="Times New Roman" w:hAnsi="Times New Roman" w:cs="Times New Roman"/>
          <w:sz w:val="24"/>
          <w:szCs w:val="24"/>
        </w:rPr>
        <w:t>.</w:t>
      </w:r>
      <w:r w:rsidR="00962564" w:rsidRPr="0090634A">
        <w:rPr>
          <w:rFonts w:ascii="Times New Roman" w:hAnsi="Times New Roman" w:cs="Times New Roman"/>
          <w:sz w:val="24"/>
          <w:szCs w:val="24"/>
        </w:rPr>
        <w:t>’</w:t>
      </w:r>
    </w:p>
    <w:p w14:paraId="4E8FFA16" w14:textId="77777777" w:rsidR="00962564" w:rsidRPr="008647C8" w:rsidRDefault="00962564" w:rsidP="0015353F">
      <w:pPr>
        <w:pStyle w:val="ListParagraph"/>
        <w:spacing w:after="0" w:line="360" w:lineRule="auto"/>
        <w:jc w:val="both"/>
        <w:rPr>
          <w:rFonts w:ascii="Times New Roman" w:hAnsi="Times New Roman" w:cs="Times New Roman"/>
          <w:sz w:val="28"/>
          <w:szCs w:val="28"/>
        </w:rPr>
      </w:pPr>
    </w:p>
    <w:p w14:paraId="0479F6C9" w14:textId="58203E68" w:rsidR="00962564" w:rsidRPr="008647C8" w:rsidRDefault="00515715" w:rsidP="00515715">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[8]</w:t>
      </w:r>
      <w:r w:rsidRPr="008647C8">
        <w:rPr>
          <w:rFonts w:ascii="Times New Roman" w:hAnsi="Times New Roman" w:cs="Times New Roman"/>
          <w:sz w:val="28"/>
          <w:szCs w:val="28"/>
        </w:rPr>
        <w:tab/>
      </w:r>
      <w:r w:rsidR="00962564" w:rsidRPr="008647C8">
        <w:rPr>
          <w:rFonts w:ascii="Times New Roman" w:hAnsi="Times New Roman" w:cs="Times New Roman"/>
          <w:sz w:val="28"/>
          <w:szCs w:val="28"/>
        </w:rPr>
        <w:t xml:space="preserve">What I am </w:t>
      </w:r>
      <w:r w:rsidR="00D855B0" w:rsidRPr="008647C8">
        <w:rPr>
          <w:rFonts w:ascii="Times New Roman" w:hAnsi="Times New Roman" w:cs="Times New Roman"/>
          <w:sz w:val="28"/>
          <w:szCs w:val="28"/>
        </w:rPr>
        <w:t>re</w:t>
      </w:r>
      <w:r w:rsidR="0056733F" w:rsidRPr="008647C8">
        <w:rPr>
          <w:rFonts w:ascii="Times New Roman" w:hAnsi="Times New Roman" w:cs="Times New Roman"/>
          <w:sz w:val="28"/>
          <w:szCs w:val="28"/>
        </w:rPr>
        <w:t>quired to consider the</w:t>
      </w:r>
      <w:r w:rsidR="00962564" w:rsidRPr="008647C8">
        <w:rPr>
          <w:rFonts w:ascii="Times New Roman" w:hAnsi="Times New Roman" w:cs="Times New Roman"/>
          <w:sz w:val="28"/>
          <w:szCs w:val="28"/>
        </w:rPr>
        <w:t>n</w:t>
      </w:r>
      <w:r w:rsidR="0056733F" w:rsidRPr="008647C8">
        <w:rPr>
          <w:rFonts w:ascii="Times New Roman" w:hAnsi="Times New Roman" w:cs="Times New Roman"/>
          <w:sz w:val="28"/>
          <w:szCs w:val="28"/>
        </w:rPr>
        <w:t>,</w:t>
      </w:r>
      <w:r w:rsidR="00962564" w:rsidRPr="008647C8">
        <w:rPr>
          <w:rFonts w:ascii="Times New Roman" w:hAnsi="Times New Roman" w:cs="Times New Roman"/>
          <w:sz w:val="28"/>
          <w:szCs w:val="28"/>
        </w:rPr>
        <w:t xml:space="preserve"> is whether it will be convenient for </w:t>
      </w:r>
      <w:r w:rsidR="00997C7B">
        <w:rPr>
          <w:rFonts w:ascii="Times New Roman" w:hAnsi="Times New Roman" w:cs="Times New Roman"/>
          <w:sz w:val="28"/>
          <w:szCs w:val="28"/>
        </w:rPr>
        <w:t>the</w:t>
      </w:r>
      <w:r w:rsidR="00962564" w:rsidRPr="008647C8">
        <w:rPr>
          <w:rFonts w:ascii="Times New Roman" w:hAnsi="Times New Roman" w:cs="Times New Roman"/>
          <w:sz w:val="28"/>
          <w:szCs w:val="28"/>
        </w:rPr>
        <w:t xml:space="preserve"> court </w:t>
      </w:r>
      <w:r w:rsidR="00997C7B">
        <w:rPr>
          <w:rFonts w:ascii="Times New Roman" w:hAnsi="Times New Roman" w:cs="Times New Roman"/>
          <w:sz w:val="28"/>
          <w:szCs w:val="28"/>
        </w:rPr>
        <w:t xml:space="preserve">hearing the action </w:t>
      </w:r>
      <w:r w:rsidR="00962564" w:rsidRPr="008647C8">
        <w:rPr>
          <w:rFonts w:ascii="Times New Roman" w:hAnsi="Times New Roman" w:cs="Times New Roman"/>
          <w:sz w:val="28"/>
          <w:szCs w:val="28"/>
        </w:rPr>
        <w:t>first</w:t>
      </w:r>
      <w:r w:rsidR="0064296D" w:rsidRPr="008647C8">
        <w:rPr>
          <w:rFonts w:ascii="Times New Roman" w:hAnsi="Times New Roman" w:cs="Times New Roman"/>
          <w:sz w:val="28"/>
          <w:szCs w:val="28"/>
        </w:rPr>
        <w:t>ly</w:t>
      </w:r>
      <w:r w:rsidR="00962564" w:rsidRPr="008647C8">
        <w:rPr>
          <w:rFonts w:ascii="Times New Roman" w:hAnsi="Times New Roman" w:cs="Times New Roman"/>
          <w:sz w:val="28"/>
          <w:szCs w:val="28"/>
        </w:rPr>
        <w:t xml:space="preserve"> to determine whether the content</w:t>
      </w:r>
      <w:r w:rsidR="00D855B0" w:rsidRPr="008647C8">
        <w:rPr>
          <w:rFonts w:ascii="Times New Roman" w:hAnsi="Times New Roman" w:cs="Times New Roman"/>
          <w:sz w:val="28"/>
          <w:szCs w:val="28"/>
        </w:rPr>
        <w:t>s</w:t>
      </w:r>
      <w:r w:rsidR="00962564" w:rsidRPr="008647C8">
        <w:rPr>
          <w:rFonts w:ascii="Times New Roman" w:hAnsi="Times New Roman" w:cs="Times New Roman"/>
          <w:sz w:val="28"/>
          <w:szCs w:val="28"/>
        </w:rPr>
        <w:t xml:space="preserve"> of chapter 16 of the book are defamatory of the plaintiffs, and if so, in what respects the chapter and the statements alleged therein are defamatory of the plaintiffs.</w:t>
      </w:r>
    </w:p>
    <w:p w14:paraId="00066A89" w14:textId="0724CDDE" w:rsidR="00D855B0" w:rsidRPr="008647C8" w:rsidRDefault="00D855B0" w:rsidP="00D855B0">
      <w:pPr>
        <w:spacing w:line="360" w:lineRule="auto"/>
        <w:jc w:val="both"/>
        <w:rPr>
          <w:rFonts w:ascii="Times New Roman" w:hAnsi="Times New Roman" w:cs="Times New Roman"/>
          <w:sz w:val="28"/>
          <w:szCs w:val="28"/>
        </w:rPr>
      </w:pPr>
    </w:p>
    <w:p w14:paraId="6EA199A4" w14:textId="198CE2EC" w:rsidR="00962564" w:rsidRPr="008647C8" w:rsidRDefault="00D855B0" w:rsidP="006D6EBB">
      <w:pPr>
        <w:spacing w:after="0" w:line="360" w:lineRule="auto"/>
        <w:jc w:val="both"/>
        <w:rPr>
          <w:rFonts w:ascii="Times New Roman" w:hAnsi="Times New Roman" w:cs="Times New Roman"/>
          <w:sz w:val="28"/>
          <w:szCs w:val="28"/>
        </w:rPr>
      </w:pPr>
      <w:r w:rsidRPr="008647C8">
        <w:rPr>
          <w:rFonts w:ascii="Times New Roman" w:hAnsi="Times New Roman" w:cs="Times New Roman"/>
          <w:sz w:val="28"/>
          <w:szCs w:val="28"/>
        </w:rPr>
        <w:t>[9]</w:t>
      </w:r>
      <w:r w:rsidRPr="008647C8">
        <w:rPr>
          <w:rFonts w:ascii="Times New Roman" w:hAnsi="Times New Roman" w:cs="Times New Roman"/>
          <w:sz w:val="28"/>
          <w:szCs w:val="28"/>
        </w:rPr>
        <w:tab/>
      </w:r>
      <w:r w:rsidR="00962564" w:rsidRPr="008647C8">
        <w:rPr>
          <w:rFonts w:ascii="Times New Roman" w:hAnsi="Times New Roman" w:cs="Times New Roman"/>
          <w:sz w:val="28"/>
          <w:szCs w:val="28"/>
        </w:rPr>
        <w:t xml:space="preserve">In the </w:t>
      </w:r>
      <w:r w:rsidR="00997C7B">
        <w:rPr>
          <w:rFonts w:ascii="Times New Roman" w:hAnsi="Times New Roman" w:cs="Times New Roman"/>
          <w:sz w:val="28"/>
          <w:szCs w:val="28"/>
        </w:rPr>
        <w:t xml:space="preserve">founding </w:t>
      </w:r>
      <w:r w:rsidR="00962564" w:rsidRPr="008647C8">
        <w:rPr>
          <w:rFonts w:ascii="Times New Roman" w:hAnsi="Times New Roman" w:cs="Times New Roman"/>
          <w:sz w:val="28"/>
          <w:szCs w:val="28"/>
        </w:rPr>
        <w:t xml:space="preserve">affidavit by </w:t>
      </w:r>
      <w:r w:rsidR="00997C7B" w:rsidRPr="008647C8">
        <w:rPr>
          <w:rFonts w:ascii="Times New Roman" w:hAnsi="Times New Roman" w:cs="Times New Roman"/>
          <w:sz w:val="28"/>
          <w:szCs w:val="28"/>
        </w:rPr>
        <w:t>the defendants</w:t>
      </w:r>
      <w:r w:rsidR="00962564" w:rsidRPr="008647C8">
        <w:rPr>
          <w:rFonts w:ascii="Times New Roman" w:hAnsi="Times New Roman" w:cs="Times New Roman"/>
          <w:sz w:val="28"/>
          <w:szCs w:val="28"/>
        </w:rPr>
        <w:t>’</w:t>
      </w:r>
      <w:r w:rsidR="004D5ACD" w:rsidRPr="008647C8">
        <w:rPr>
          <w:rFonts w:ascii="Times New Roman" w:hAnsi="Times New Roman" w:cs="Times New Roman"/>
          <w:sz w:val="28"/>
          <w:szCs w:val="28"/>
        </w:rPr>
        <w:t xml:space="preserve"> </w:t>
      </w:r>
      <w:r w:rsidR="00962564" w:rsidRPr="008647C8">
        <w:rPr>
          <w:rFonts w:ascii="Times New Roman" w:hAnsi="Times New Roman" w:cs="Times New Roman"/>
          <w:sz w:val="28"/>
          <w:szCs w:val="28"/>
        </w:rPr>
        <w:t xml:space="preserve">attorney </w:t>
      </w:r>
      <w:r w:rsidR="0056733F" w:rsidRPr="008647C8">
        <w:rPr>
          <w:rFonts w:ascii="Times New Roman" w:hAnsi="Times New Roman" w:cs="Times New Roman"/>
          <w:sz w:val="28"/>
          <w:szCs w:val="28"/>
        </w:rPr>
        <w:t>(Mr de Klerk)</w:t>
      </w:r>
      <w:r w:rsidR="00962564" w:rsidRPr="008647C8">
        <w:rPr>
          <w:rFonts w:ascii="Times New Roman" w:hAnsi="Times New Roman" w:cs="Times New Roman"/>
          <w:sz w:val="28"/>
          <w:szCs w:val="28"/>
        </w:rPr>
        <w:t>, he states at para</w:t>
      </w:r>
      <w:r w:rsidR="00997C7B">
        <w:rPr>
          <w:rFonts w:ascii="Times New Roman" w:hAnsi="Times New Roman" w:cs="Times New Roman"/>
          <w:sz w:val="28"/>
          <w:szCs w:val="28"/>
        </w:rPr>
        <w:t>graph</w:t>
      </w:r>
      <w:r w:rsidR="00962564" w:rsidRPr="008647C8">
        <w:rPr>
          <w:rFonts w:ascii="Times New Roman" w:hAnsi="Times New Roman" w:cs="Times New Roman"/>
          <w:sz w:val="28"/>
          <w:szCs w:val="28"/>
        </w:rPr>
        <w:t xml:space="preserve"> 7:</w:t>
      </w:r>
    </w:p>
    <w:p w14:paraId="489017EC" w14:textId="77777777" w:rsidR="00962564" w:rsidRPr="008647C8" w:rsidRDefault="00962564" w:rsidP="0015353F">
      <w:pPr>
        <w:pStyle w:val="ListParagraph"/>
        <w:spacing w:after="0" w:line="240" w:lineRule="auto"/>
        <w:rPr>
          <w:rFonts w:ascii="Times New Roman" w:hAnsi="Times New Roman" w:cs="Times New Roman"/>
          <w:sz w:val="28"/>
          <w:szCs w:val="28"/>
        </w:rPr>
      </w:pPr>
    </w:p>
    <w:p w14:paraId="5AF28F93" w14:textId="708E3C20" w:rsidR="00572FB5" w:rsidRPr="0090634A" w:rsidRDefault="00962564" w:rsidP="0090634A">
      <w:pPr>
        <w:spacing w:line="360" w:lineRule="auto"/>
        <w:ind w:left="720"/>
        <w:jc w:val="both"/>
        <w:rPr>
          <w:rFonts w:ascii="Times New Roman" w:hAnsi="Times New Roman" w:cs="Times New Roman"/>
          <w:sz w:val="24"/>
          <w:szCs w:val="24"/>
        </w:rPr>
      </w:pPr>
      <w:r w:rsidRPr="0090634A">
        <w:rPr>
          <w:rFonts w:ascii="Times New Roman" w:hAnsi="Times New Roman" w:cs="Times New Roman"/>
          <w:sz w:val="24"/>
          <w:szCs w:val="24"/>
        </w:rPr>
        <w:t>‘The defendants conten</w:t>
      </w:r>
      <w:r w:rsidR="00D855B0" w:rsidRPr="0090634A">
        <w:rPr>
          <w:rFonts w:ascii="Times New Roman" w:hAnsi="Times New Roman" w:cs="Times New Roman"/>
          <w:sz w:val="24"/>
          <w:szCs w:val="24"/>
        </w:rPr>
        <w:t>d</w:t>
      </w:r>
      <w:r w:rsidRPr="0090634A">
        <w:rPr>
          <w:rFonts w:ascii="Times New Roman" w:hAnsi="Times New Roman" w:cs="Times New Roman"/>
          <w:sz w:val="24"/>
          <w:szCs w:val="24"/>
        </w:rPr>
        <w:t xml:space="preserve"> that the Chapter </w:t>
      </w:r>
      <w:r w:rsidR="004D5ACD" w:rsidRPr="0090634A">
        <w:rPr>
          <w:rFonts w:ascii="Times New Roman" w:hAnsi="Times New Roman" w:cs="Times New Roman"/>
          <w:sz w:val="24"/>
          <w:szCs w:val="24"/>
        </w:rPr>
        <w:t>concerned do not have defamatory meaning in respect of the pl</w:t>
      </w:r>
      <w:r w:rsidR="0056733F" w:rsidRPr="0090634A">
        <w:rPr>
          <w:rFonts w:ascii="Times New Roman" w:hAnsi="Times New Roman" w:cs="Times New Roman"/>
          <w:sz w:val="24"/>
          <w:szCs w:val="24"/>
        </w:rPr>
        <w:t>aintiffs. (sic). This defence is</w:t>
      </w:r>
      <w:r w:rsidR="004D5ACD" w:rsidRPr="0090634A">
        <w:rPr>
          <w:rFonts w:ascii="Times New Roman" w:hAnsi="Times New Roman" w:cs="Times New Roman"/>
          <w:sz w:val="24"/>
          <w:szCs w:val="24"/>
        </w:rPr>
        <w:t xml:space="preserve"> raised seriously and </w:t>
      </w:r>
      <w:r w:rsidR="004D5ACD" w:rsidRPr="0090634A">
        <w:rPr>
          <w:rFonts w:ascii="Times New Roman" w:hAnsi="Times New Roman" w:cs="Times New Roman"/>
          <w:i/>
          <w:sz w:val="24"/>
          <w:szCs w:val="24"/>
        </w:rPr>
        <w:t>bona fide</w:t>
      </w:r>
      <w:r w:rsidR="004D5ACD" w:rsidRPr="0090634A">
        <w:rPr>
          <w:rFonts w:ascii="Times New Roman" w:hAnsi="Times New Roman" w:cs="Times New Roman"/>
          <w:sz w:val="24"/>
          <w:szCs w:val="24"/>
        </w:rPr>
        <w:t xml:space="preserve"> on </w:t>
      </w:r>
      <w:r w:rsidR="00D855B0" w:rsidRPr="0090634A">
        <w:rPr>
          <w:rFonts w:ascii="Times New Roman" w:hAnsi="Times New Roman" w:cs="Times New Roman"/>
          <w:sz w:val="24"/>
          <w:szCs w:val="24"/>
        </w:rPr>
        <w:t xml:space="preserve">the </w:t>
      </w:r>
      <w:r w:rsidR="004D5ACD" w:rsidRPr="0090634A">
        <w:rPr>
          <w:rFonts w:ascii="Times New Roman" w:hAnsi="Times New Roman" w:cs="Times New Roman"/>
          <w:sz w:val="24"/>
          <w:szCs w:val="24"/>
        </w:rPr>
        <w:t>basis of well-established Constitutional Court and Supreme Court of Appeal preceden</w:t>
      </w:r>
      <w:r w:rsidR="00D855B0" w:rsidRPr="0090634A">
        <w:rPr>
          <w:rFonts w:ascii="Times New Roman" w:hAnsi="Times New Roman" w:cs="Times New Roman"/>
          <w:sz w:val="24"/>
          <w:szCs w:val="24"/>
        </w:rPr>
        <w:t>ts</w:t>
      </w:r>
      <w:r w:rsidR="004D5ACD" w:rsidRPr="0090634A">
        <w:rPr>
          <w:rFonts w:ascii="Times New Roman" w:hAnsi="Times New Roman" w:cs="Times New Roman"/>
          <w:sz w:val="24"/>
          <w:szCs w:val="24"/>
        </w:rPr>
        <w:t xml:space="preserve">.  </w:t>
      </w:r>
      <w:r w:rsidR="00572FB5" w:rsidRPr="0090634A">
        <w:rPr>
          <w:rFonts w:ascii="Times New Roman" w:hAnsi="Times New Roman" w:cs="Times New Roman"/>
          <w:sz w:val="24"/>
          <w:szCs w:val="24"/>
        </w:rPr>
        <w:t>In so far as this is necessary, this w</w:t>
      </w:r>
      <w:r w:rsidR="00B73ACA" w:rsidRPr="0090634A">
        <w:rPr>
          <w:rFonts w:ascii="Times New Roman" w:hAnsi="Times New Roman" w:cs="Times New Roman"/>
          <w:sz w:val="24"/>
          <w:szCs w:val="24"/>
        </w:rPr>
        <w:t>ill</w:t>
      </w:r>
      <w:r w:rsidR="00572FB5" w:rsidRPr="0090634A">
        <w:rPr>
          <w:rFonts w:ascii="Times New Roman" w:hAnsi="Times New Roman" w:cs="Times New Roman"/>
          <w:sz w:val="24"/>
          <w:szCs w:val="24"/>
        </w:rPr>
        <w:t xml:space="preserve"> be addressed at the hearing of the matter and it w</w:t>
      </w:r>
      <w:r w:rsidR="00B73ACA" w:rsidRPr="0090634A">
        <w:rPr>
          <w:rFonts w:ascii="Times New Roman" w:hAnsi="Times New Roman" w:cs="Times New Roman"/>
          <w:sz w:val="24"/>
          <w:szCs w:val="24"/>
        </w:rPr>
        <w:t>ill</w:t>
      </w:r>
      <w:r w:rsidR="00572FB5" w:rsidRPr="0090634A">
        <w:rPr>
          <w:rFonts w:ascii="Times New Roman" w:hAnsi="Times New Roman" w:cs="Times New Roman"/>
          <w:sz w:val="24"/>
          <w:szCs w:val="24"/>
        </w:rPr>
        <w:t xml:space="preserve"> be demonstrated that the defence </w:t>
      </w:r>
      <w:r w:rsidR="00B73ACA" w:rsidRPr="0090634A">
        <w:rPr>
          <w:rFonts w:ascii="Times New Roman" w:hAnsi="Times New Roman" w:cs="Times New Roman"/>
          <w:sz w:val="24"/>
          <w:szCs w:val="24"/>
        </w:rPr>
        <w:t>ha</w:t>
      </w:r>
      <w:r w:rsidR="00572FB5" w:rsidRPr="0090634A">
        <w:rPr>
          <w:rFonts w:ascii="Times New Roman" w:hAnsi="Times New Roman" w:cs="Times New Roman"/>
          <w:sz w:val="24"/>
          <w:szCs w:val="24"/>
        </w:rPr>
        <w:t>s very real prospects of succes</w:t>
      </w:r>
      <w:r w:rsidR="00B73ACA" w:rsidRPr="0090634A">
        <w:rPr>
          <w:rFonts w:ascii="Times New Roman" w:hAnsi="Times New Roman" w:cs="Times New Roman"/>
          <w:sz w:val="24"/>
          <w:szCs w:val="24"/>
        </w:rPr>
        <w:t>s.</w:t>
      </w:r>
      <w:r w:rsidR="0056733F" w:rsidRPr="0090634A">
        <w:rPr>
          <w:rFonts w:ascii="Times New Roman" w:hAnsi="Times New Roman" w:cs="Times New Roman"/>
          <w:sz w:val="24"/>
          <w:szCs w:val="24"/>
        </w:rPr>
        <w:t>’</w:t>
      </w:r>
      <w:r w:rsidR="00572FB5" w:rsidRPr="0090634A">
        <w:rPr>
          <w:rFonts w:ascii="Times New Roman" w:hAnsi="Times New Roman" w:cs="Times New Roman"/>
          <w:sz w:val="24"/>
          <w:szCs w:val="24"/>
        </w:rPr>
        <w:t xml:space="preserve"> </w:t>
      </w:r>
    </w:p>
    <w:p w14:paraId="542C9DAA" w14:textId="6CDBF925" w:rsidR="00714989" w:rsidRPr="008647C8" w:rsidRDefault="00572FB5" w:rsidP="00B73ACA">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 xml:space="preserve">Mr </w:t>
      </w:r>
      <w:r w:rsidR="00CA07FF" w:rsidRPr="008647C8">
        <w:rPr>
          <w:rFonts w:ascii="Times New Roman" w:hAnsi="Times New Roman" w:cs="Times New Roman"/>
          <w:sz w:val="28"/>
          <w:szCs w:val="28"/>
        </w:rPr>
        <w:t>d</w:t>
      </w:r>
      <w:r w:rsidRPr="008647C8">
        <w:rPr>
          <w:rFonts w:ascii="Times New Roman" w:hAnsi="Times New Roman" w:cs="Times New Roman"/>
          <w:sz w:val="28"/>
          <w:szCs w:val="28"/>
        </w:rPr>
        <w:t xml:space="preserve">e Klerk then </w:t>
      </w:r>
      <w:r w:rsidR="00B73ACA" w:rsidRPr="008647C8">
        <w:rPr>
          <w:rFonts w:ascii="Times New Roman" w:hAnsi="Times New Roman" w:cs="Times New Roman"/>
          <w:sz w:val="28"/>
          <w:szCs w:val="28"/>
        </w:rPr>
        <w:t xml:space="preserve">refers to </w:t>
      </w:r>
      <w:r w:rsidR="00FC2B2E" w:rsidRPr="008647C8">
        <w:rPr>
          <w:rFonts w:ascii="Times New Roman" w:hAnsi="Times New Roman" w:cs="Times New Roman"/>
          <w:sz w:val="28"/>
          <w:szCs w:val="28"/>
        </w:rPr>
        <w:t>aspects of convenience</w:t>
      </w:r>
      <w:r w:rsidR="0064296D" w:rsidRPr="008647C8">
        <w:rPr>
          <w:rFonts w:ascii="Times New Roman" w:hAnsi="Times New Roman" w:cs="Times New Roman"/>
          <w:sz w:val="28"/>
          <w:szCs w:val="28"/>
        </w:rPr>
        <w:t xml:space="preserve"> in the</w:t>
      </w:r>
      <w:r w:rsidR="00FC2B2E" w:rsidRPr="008647C8">
        <w:rPr>
          <w:rFonts w:ascii="Times New Roman" w:hAnsi="Times New Roman" w:cs="Times New Roman"/>
          <w:sz w:val="28"/>
          <w:szCs w:val="28"/>
        </w:rPr>
        <w:t xml:space="preserve"> interest</w:t>
      </w:r>
      <w:r w:rsidR="001C67B7" w:rsidRPr="008647C8">
        <w:rPr>
          <w:rFonts w:ascii="Times New Roman" w:hAnsi="Times New Roman" w:cs="Times New Roman"/>
          <w:sz w:val="28"/>
          <w:szCs w:val="28"/>
        </w:rPr>
        <w:t>s</w:t>
      </w:r>
      <w:r w:rsidR="00FC2B2E" w:rsidRPr="008647C8">
        <w:rPr>
          <w:rFonts w:ascii="Times New Roman" w:hAnsi="Times New Roman" w:cs="Times New Roman"/>
          <w:sz w:val="28"/>
          <w:szCs w:val="28"/>
        </w:rPr>
        <w:t xml:space="preserve"> of justice</w:t>
      </w:r>
      <w:r w:rsidR="0056733F" w:rsidRPr="008647C8">
        <w:rPr>
          <w:rFonts w:ascii="Times New Roman" w:hAnsi="Times New Roman" w:cs="Times New Roman"/>
          <w:sz w:val="28"/>
          <w:szCs w:val="28"/>
        </w:rPr>
        <w:t>,</w:t>
      </w:r>
      <w:r w:rsidR="00FC2B2E" w:rsidRPr="008647C8">
        <w:rPr>
          <w:rFonts w:ascii="Times New Roman" w:hAnsi="Times New Roman" w:cs="Times New Roman"/>
          <w:sz w:val="28"/>
          <w:szCs w:val="28"/>
        </w:rPr>
        <w:t xml:space="preserve"> a</w:t>
      </w:r>
      <w:r w:rsidR="001C67B7" w:rsidRPr="008647C8">
        <w:rPr>
          <w:rFonts w:ascii="Times New Roman" w:hAnsi="Times New Roman" w:cs="Times New Roman"/>
          <w:sz w:val="28"/>
          <w:szCs w:val="28"/>
        </w:rPr>
        <w:t>nd</w:t>
      </w:r>
      <w:r w:rsidR="00FC2B2E" w:rsidRPr="008647C8">
        <w:rPr>
          <w:rFonts w:ascii="Times New Roman" w:hAnsi="Times New Roman" w:cs="Times New Roman"/>
          <w:sz w:val="28"/>
          <w:szCs w:val="28"/>
        </w:rPr>
        <w:t xml:space="preserve"> deals briefly with the objection</w:t>
      </w:r>
      <w:r w:rsidR="0064296D" w:rsidRPr="008647C8">
        <w:rPr>
          <w:rFonts w:ascii="Times New Roman" w:hAnsi="Times New Roman" w:cs="Times New Roman"/>
          <w:sz w:val="28"/>
          <w:szCs w:val="28"/>
        </w:rPr>
        <w:t>s</w:t>
      </w:r>
      <w:r w:rsidR="00FC2B2E" w:rsidRPr="008647C8">
        <w:rPr>
          <w:rFonts w:ascii="Times New Roman" w:hAnsi="Times New Roman" w:cs="Times New Roman"/>
          <w:sz w:val="28"/>
          <w:szCs w:val="28"/>
        </w:rPr>
        <w:t xml:space="preserve"> by the plaintiff</w:t>
      </w:r>
      <w:r w:rsidR="00714989" w:rsidRPr="008647C8">
        <w:rPr>
          <w:rFonts w:ascii="Times New Roman" w:hAnsi="Times New Roman" w:cs="Times New Roman"/>
          <w:sz w:val="28"/>
          <w:szCs w:val="28"/>
        </w:rPr>
        <w:t>s.</w:t>
      </w:r>
    </w:p>
    <w:p w14:paraId="474CCA8C" w14:textId="68033DD1" w:rsidR="001C67B7" w:rsidRPr="008647C8" w:rsidRDefault="001C67B7" w:rsidP="00DD25ED">
      <w:pPr>
        <w:spacing w:after="0" w:line="240" w:lineRule="auto"/>
        <w:jc w:val="both"/>
        <w:rPr>
          <w:rFonts w:ascii="Times New Roman" w:hAnsi="Times New Roman" w:cs="Times New Roman"/>
          <w:sz w:val="28"/>
          <w:szCs w:val="28"/>
        </w:rPr>
      </w:pPr>
    </w:p>
    <w:p w14:paraId="541576F3" w14:textId="0A04A581" w:rsidR="00962564" w:rsidRPr="008647C8" w:rsidRDefault="001C67B7" w:rsidP="001C67B7">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[10]</w:t>
      </w:r>
      <w:r w:rsidRPr="008647C8">
        <w:rPr>
          <w:rFonts w:ascii="Times New Roman" w:hAnsi="Times New Roman" w:cs="Times New Roman"/>
          <w:sz w:val="28"/>
          <w:szCs w:val="28"/>
        </w:rPr>
        <w:tab/>
      </w:r>
      <w:r w:rsidR="00714989" w:rsidRPr="008647C8">
        <w:rPr>
          <w:rFonts w:ascii="Times New Roman" w:hAnsi="Times New Roman" w:cs="Times New Roman"/>
          <w:sz w:val="28"/>
          <w:szCs w:val="28"/>
        </w:rPr>
        <w:t xml:space="preserve">I </w:t>
      </w:r>
      <w:r w:rsidRPr="008647C8">
        <w:rPr>
          <w:rFonts w:ascii="Times New Roman" w:hAnsi="Times New Roman" w:cs="Times New Roman"/>
          <w:sz w:val="28"/>
          <w:szCs w:val="28"/>
        </w:rPr>
        <w:t>do not</w:t>
      </w:r>
      <w:r w:rsidR="00714989" w:rsidRPr="008647C8">
        <w:rPr>
          <w:rFonts w:ascii="Times New Roman" w:hAnsi="Times New Roman" w:cs="Times New Roman"/>
          <w:sz w:val="28"/>
          <w:szCs w:val="28"/>
        </w:rPr>
        <w:t xml:space="preserve"> intend to </w:t>
      </w:r>
      <w:r w:rsidR="003D53A1">
        <w:rPr>
          <w:rFonts w:ascii="Times New Roman" w:hAnsi="Times New Roman" w:cs="Times New Roman"/>
          <w:sz w:val="28"/>
          <w:szCs w:val="28"/>
        </w:rPr>
        <w:t>opine on</w:t>
      </w:r>
      <w:r w:rsidR="00714989" w:rsidRPr="008647C8">
        <w:rPr>
          <w:rFonts w:ascii="Times New Roman" w:hAnsi="Times New Roman" w:cs="Times New Roman"/>
          <w:sz w:val="28"/>
          <w:szCs w:val="28"/>
        </w:rPr>
        <w:t xml:space="preserve"> whether the content</w:t>
      </w:r>
      <w:r w:rsidR="0064296D" w:rsidRPr="008647C8">
        <w:rPr>
          <w:rFonts w:ascii="Times New Roman" w:hAnsi="Times New Roman" w:cs="Times New Roman"/>
          <w:sz w:val="28"/>
          <w:szCs w:val="28"/>
        </w:rPr>
        <w:t>s</w:t>
      </w:r>
      <w:r w:rsidR="00714989" w:rsidRPr="008647C8">
        <w:rPr>
          <w:rFonts w:ascii="Times New Roman" w:hAnsi="Times New Roman" w:cs="Times New Roman"/>
          <w:sz w:val="28"/>
          <w:szCs w:val="28"/>
        </w:rPr>
        <w:t xml:space="preserve"> of chapter 16</w:t>
      </w:r>
      <w:r w:rsidRPr="008647C8">
        <w:rPr>
          <w:rFonts w:ascii="Times New Roman" w:hAnsi="Times New Roman" w:cs="Times New Roman"/>
          <w:sz w:val="28"/>
          <w:szCs w:val="28"/>
        </w:rPr>
        <w:t>,</w:t>
      </w:r>
      <w:r w:rsidR="00714989" w:rsidRPr="008647C8">
        <w:rPr>
          <w:rFonts w:ascii="Times New Roman" w:hAnsi="Times New Roman" w:cs="Times New Roman"/>
          <w:sz w:val="28"/>
          <w:szCs w:val="28"/>
        </w:rPr>
        <w:t xml:space="preserve"> or any of the individual averment</w:t>
      </w:r>
      <w:r w:rsidRPr="008647C8">
        <w:rPr>
          <w:rFonts w:ascii="Times New Roman" w:hAnsi="Times New Roman" w:cs="Times New Roman"/>
          <w:sz w:val="28"/>
          <w:szCs w:val="28"/>
        </w:rPr>
        <w:t>s</w:t>
      </w:r>
      <w:r w:rsidR="00714989" w:rsidRPr="008647C8">
        <w:rPr>
          <w:rFonts w:ascii="Times New Roman" w:hAnsi="Times New Roman" w:cs="Times New Roman"/>
          <w:sz w:val="28"/>
          <w:szCs w:val="28"/>
        </w:rPr>
        <w:t xml:space="preserve"> therein</w:t>
      </w:r>
      <w:r w:rsidRPr="008647C8">
        <w:rPr>
          <w:rFonts w:ascii="Times New Roman" w:hAnsi="Times New Roman" w:cs="Times New Roman"/>
          <w:sz w:val="28"/>
          <w:szCs w:val="28"/>
        </w:rPr>
        <w:t>,</w:t>
      </w:r>
      <w:r w:rsidR="00714989" w:rsidRPr="008647C8">
        <w:rPr>
          <w:rFonts w:ascii="Times New Roman" w:hAnsi="Times New Roman" w:cs="Times New Roman"/>
          <w:sz w:val="28"/>
          <w:szCs w:val="28"/>
        </w:rPr>
        <w:t xml:space="preserve"> are in fact defamatory of the plaintiffs.  </w:t>
      </w:r>
      <w:r w:rsidR="00997C7B">
        <w:rPr>
          <w:rFonts w:ascii="Times New Roman" w:hAnsi="Times New Roman" w:cs="Times New Roman"/>
          <w:sz w:val="28"/>
          <w:szCs w:val="28"/>
        </w:rPr>
        <w:t>T</w:t>
      </w:r>
      <w:r w:rsidR="00714989" w:rsidRPr="008647C8">
        <w:rPr>
          <w:rFonts w:ascii="Times New Roman" w:hAnsi="Times New Roman" w:cs="Times New Roman"/>
          <w:sz w:val="28"/>
          <w:szCs w:val="28"/>
        </w:rPr>
        <w:t xml:space="preserve">hat is </w:t>
      </w:r>
      <w:r w:rsidR="00714989" w:rsidRPr="008647C8">
        <w:rPr>
          <w:rFonts w:ascii="Times New Roman" w:hAnsi="Times New Roman" w:cs="Times New Roman"/>
          <w:sz w:val="28"/>
          <w:szCs w:val="28"/>
        </w:rPr>
        <w:lastRenderedPageBreak/>
        <w:t>not my function</w:t>
      </w:r>
      <w:r w:rsidR="0056733F" w:rsidRPr="008647C8">
        <w:rPr>
          <w:rFonts w:ascii="Times New Roman" w:hAnsi="Times New Roman" w:cs="Times New Roman"/>
          <w:sz w:val="28"/>
          <w:szCs w:val="28"/>
        </w:rPr>
        <w:t>.</w:t>
      </w:r>
      <w:r w:rsidR="00714989" w:rsidRPr="008647C8">
        <w:rPr>
          <w:rFonts w:ascii="Times New Roman" w:hAnsi="Times New Roman" w:cs="Times New Roman"/>
          <w:sz w:val="28"/>
          <w:szCs w:val="28"/>
        </w:rPr>
        <w:t xml:space="preserve"> I am merely to decide whether </w:t>
      </w:r>
      <w:r w:rsidR="0064296D" w:rsidRPr="008647C8">
        <w:rPr>
          <w:rFonts w:ascii="Times New Roman" w:hAnsi="Times New Roman" w:cs="Times New Roman"/>
          <w:sz w:val="28"/>
          <w:szCs w:val="28"/>
        </w:rPr>
        <w:t>it would be</w:t>
      </w:r>
      <w:r w:rsidR="00714989" w:rsidRPr="008647C8">
        <w:rPr>
          <w:rFonts w:ascii="Times New Roman" w:hAnsi="Times New Roman" w:cs="Times New Roman"/>
          <w:sz w:val="28"/>
          <w:szCs w:val="28"/>
        </w:rPr>
        <w:t xml:space="preserve"> convenient to separate the issues.</w:t>
      </w:r>
    </w:p>
    <w:p w14:paraId="568126D6" w14:textId="77777777" w:rsidR="00714989" w:rsidRPr="008647C8" w:rsidRDefault="00714989" w:rsidP="0046474D">
      <w:pPr>
        <w:pStyle w:val="ListParagraph"/>
        <w:spacing w:after="0" w:line="240" w:lineRule="auto"/>
        <w:rPr>
          <w:rFonts w:ascii="Times New Roman" w:hAnsi="Times New Roman" w:cs="Times New Roman"/>
          <w:sz w:val="28"/>
          <w:szCs w:val="28"/>
        </w:rPr>
      </w:pPr>
    </w:p>
    <w:p w14:paraId="33BBC26C" w14:textId="4D7F6E7F" w:rsidR="00E14EEA" w:rsidRPr="008647C8" w:rsidRDefault="001C67B7" w:rsidP="001C67B7">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[11]</w:t>
      </w:r>
      <w:r w:rsidRPr="008647C8">
        <w:rPr>
          <w:rFonts w:ascii="Times New Roman" w:hAnsi="Times New Roman" w:cs="Times New Roman"/>
          <w:sz w:val="28"/>
          <w:szCs w:val="28"/>
        </w:rPr>
        <w:tab/>
      </w:r>
      <w:r w:rsidR="0056733F" w:rsidRPr="008647C8">
        <w:rPr>
          <w:rFonts w:ascii="Times New Roman" w:hAnsi="Times New Roman" w:cs="Times New Roman"/>
          <w:sz w:val="28"/>
          <w:szCs w:val="28"/>
        </w:rPr>
        <w:t>I</w:t>
      </w:r>
      <w:r w:rsidR="00714989" w:rsidRPr="008647C8">
        <w:rPr>
          <w:rFonts w:ascii="Times New Roman" w:hAnsi="Times New Roman" w:cs="Times New Roman"/>
          <w:sz w:val="28"/>
          <w:szCs w:val="28"/>
        </w:rPr>
        <w:t xml:space="preserve">n the defendants’ plea </w:t>
      </w:r>
      <w:r w:rsidR="00E14EEA" w:rsidRPr="008647C8">
        <w:rPr>
          <w:rFonts w:ascii="Times New Roman" w:hAnsi="Times New Roman" w:cs="Times New Roman"/>
          <w:sz w:val="28"/>
          <w:szCs w:val="28"/>
        </w:rPr>
        <w:t>they den</w:t>
      </w:r>
      <w:r w:rsidR="0056733F" w:rsidRPr="008647C8">
        <w:rPr>
          <w:rFonts w:ascii="Times New Roman" w:hAnsi="Times New Roman" w:cs="Times New Roman"/>
          <w:sz w:val="28"/>
          <w:szCs w:val="28"/>
        </w:rPr>
        <w:t>y</w:t>
      </w:r>
      <w:r w:rsidR="00E14EEA" w:rsidRPr="008647C8">
        <w:rPr>
          <w:rFonts w:ascii="Times New Roman" w:hAnsi="Times New Roman" w:cs="Times New Roman"/>
          <w:sz w:val="28"/>
          <w:szCs w:val="28"/>
        </w:rPr>
        <w:t xml:space="preserve"> that the portions identified by the plaintiffs</w:t>
      </w:r>
      <w:r w:rsidR="0056733F" w:rsidRPr="008647C8">
        <w:rPr>
          <w:rFonts w:ascii="Times New Roman" w:hAnsi="Times New Roman" w:cs="Times New Roman"/>
          <w:sz w:val="28"/>
          <w:szCs w:val="28"/>
        </w:rPr>
        <w:t>,</w:t>
      </w:r>
      <w:r w:rsidR="00E14EEA" w:rsidRPr="008647C8">
        <w:rPr>
          <w:rFonts w:ascii="Times New Roman" w:hAnsi="Times New Roman" w:cs="Times New Roman"/>
          <w:sz w:val="28"/>
          <w:szCs w:val="28"/>
        </w:rPr>
        <w:t xml:space="preserve"> and</w:t>
      </w:r>
      <w:r w:rsidR="00997C7B">
        <w:rPr>
          <w:rFonts w:ascii="Times New Roman" w:hAnsi="Times New Roman" w:cs="Times New Roman"/>
          <w:sz w:val="28"/>
          <w:szCs w:val="28"/>
        </w:rPr>
        <w:t>,</w:t>
      </w:r>
      <w:r w:rsidR="00E14EEA" w:rsidRPr="008647C8">
        <w:rPr>
          <w:rFonts w:ascii="Times New Roman" w:hAnsi="Times New Roman" w:cs="Times New Roman"/>
          <w:sz w:val="28"/>
          <w:szCs w:val="28"/>
        </w:rPr>
        <w:t xml:space="preserve"> indeed</w:t>
      </w:r>
      <w:r w:rsidR="00997C7B">
        <w:rPr>
          <w:rFonts w:ascii="Times New Roman" w:hAnsi="Times New Roman" w:cs="Times New Roman"/>
          <w:sz w:val="28"/>
          <w:szCs w:val="28"/>
        </w:rPr>
        <w:t>,</w:t>
      </w:r>
      <w:r w:rsidR="00E14EEA" w:rsidRPr="008647C8">
        <w:rPr>
          <w:rFonts w:ascii="Times New Roman" w:hAnsi="Times New Roman" w:cs="Times New Roman"/>
          <w:sz w:val="28"/>
          <w:szCs w:val="28"/>
        </w:rPr>
        <w:t xml:space="preserve"> the whole of chapter 16 taken within the context of the book, are </w:t>
      </w:r>
      <w:r w:rsidR="00BF2C9E" w:rsidRPr="00BF2C9E">
        <w:rPr>
          <w:rFonts w:ascii="Times New Roman" w:hAnsi="Times New Roman" w:cs="Times New Roman"/>
          <w:i/>
          <w:iCs/>
          <w:sz w:val="28"/>
          <w:szCs w:val="28"/>
        </w:rPr>
        <w:t>per se</w:t>
      </w:r>
      <w:r w:rsidR="00E14EEA" w:rsidRPr="008647C8">
        <w:rPr>
          <w:rFonts w:ascii="Times New Roman" w:hAnsi="Times New Roman" w:cs="Times New Roman"/>
          <w:sz w:val="28"/>
          <w:szCs w:val="28"/>
        </w:rPr>
        <w:t xml:space="preserve"> defamatory of the plaintiffs. The</w:t>
      </w:r>
      <w:r w:rsidR="00B374AD">
        <w:rPr>
          <w:rFonts w:ascii="Times New Roman" w:hAnsi="Times New Roman" w:cs="Times New Roman"/>
          <w:sz w:val="28"/>
          <w:szCs w:val="28"/>
        </w:rPr>
        <w:t xml:space="preserve"> defendants</w:t>
      </w:r>
      <w:r w:rsidR="00E14EEA" w:rsidRPr="008647C8">
        <w:rPr>
          <w:rFonts w:ascii="Times New Roman" w:hAnsi="Times New Roman" w:cs="Times New Roman"/>
          <w:sz w:val="28"/>
          <w:szCs w:val="28"/>
        </w:rPr>
        <w:t xml:space="preserve"> also den</w:t>
      </w:r>
      <w:r w:rsidR="0056733F" w:rsidRPr="008647C8">
        <w:rPr>
          <w:rFonts w:ascii="Times New Roman" w:hAnsi="Times New Roman" w:cs="Times New Roman"/>
          <w:sz w:val="28"/>
          <w:szCs w:val="28"/>
        </w:rPr>
        <w:t>y</w:t>
      </w:r>
      <w:r w:rsidR="00E14EEA" w:rsidRPr="008647C8">
        <w:rPr>
          <w:rFonts w:ascii="Times New Roman" w:hAnsi="Times New Roman" w:cs="Times New Roman"/>
          <w:sz w:val="28"/>
          <w:szCs w:val="28"/>
        </w:rPr>
        <w:t xml:space="preserve"> the allegations that the statement</w:t>
      </w:r>
      <w:r w:rsidR="0064296D" w:rsidRPr="008647C8">
        <w:rPr>
          <w:rFonts w:ascii="Times New Roman" w:hAnsi="Times New Roman" w:cs="Times New Roman"/>
          <w:sz w:val="28"/>
          <w:szCs w:val="28"/>
        </w:rPr>
        <w:t>s</w:t>
      </w:r>
      <w:r w:rsidR="00E14EEA" w:rsidRPr="008647C8">
        <w:rPr>
          <w:rFonts w:ascii="Times New Roman" w:hAnsi="Times New Roman" w:cs="Times New Roman"/>
          <w:sz w:val="28"/>
          <w:szCs w:val="28"/>
        </w:rPr>
        <w:t xml:space="preserve"> carry the additional sting which, in addition, may define the def</w:t>
      </w:r>
      <w:r w:rsidRPr="008647C8">
        <w:rPr>
          <w:rFonts w:ascii="Times New Roman" w:hAnsi="Times New Roman" w:cs="Times New Roman"/>
          <w:sz w:val="28"/>
          <w:szCs w:val="28"/>
        </w:rPr>
        <w:t>a</w:t>
      </w:r>
      <w:r w:rsidR="00E14EEA" w:rsidRPr="008647C8">
        <w:rPr>
          <w:rFonts w:ascii="Times New Roman" w:hAnsi="Times New Roman" w:cs="Times New Roman"/>
          <w:sz w:val="28"/>
          <w:szCs w:val="28"/>
        </w:rPr>
        <w:t>mation.</w:t>
      </w:r>
    </w:p>
    <w:p w14:paraId="31991DFB" w14:textId="5A1FF528" w:rsidR="001C67B7" w:rsidRPr="008647C8" w:rsidRDefault="001C67B7" w:rsidP="00BB794C">
      <w:pPr>
        <w:spacing w:after="0" w:line="240" w:lineRule="auto"/>
        <w:jc w:val="both"/>
        <w:rPr>
          <w:rFonts w:ascii="Times New Roman" w:hAnsi="Times New Roman" w:cs="Times New Roman"/>
          <w:sz w:val="28"/>
          <w:szCs w:val="28"/>
        </w:rPr>
      </w:pPr>
    </w:p>
    <w:p w14:paraId="3FDC12F6" w14:textId="4D7A2646" w:rsidR="004E1EB0" w:rsidRPr="008647C8" w:rsidRDefault="001C67B7" w:rsidP="001C67B7">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[12]</w:t>
      </w:r>
      <w:r w:rsidRPr="008647C8">
        <w:rPr>
          <w:rFonts w:ascii="Times New Roman" w:hAnsi="Times New Roman" w:cs="Times New Roman"/>
          <w:sz w:val="28"/>
          <w:szCs w:val="28"/>
        </w:rPr>
        <w:tab/>
      </w:r>
      <w:r w:rsidR="00E14EEA" w:rsidRPr="008647C8">
        <w:rPr>
          <w:rFonts w:ascii="Times New Roman" w:hAnsi="Times New Roman" w:cs="Times New Roman"/>
          <w:sz w:val="28"/>
          <w:szCs w:val="28"/>
        </w:rPr>
        <w:t>In addition to the blank</w:t>
      </w:r>
      <w:r w:rsidRPr="008647C8">
        <w:rPr>
          <w:rFonts w:ascii="Times New Roman" w:hAnsi="Times New Roman" w:cs="Times New Roman"/>
          <w:sz w:val="28"/>
          <w:szCs w:val="28"/>
        </w:rPr>
        <w:t xml:space="preserve">et </w:t>
      </w:r>
      <w:r w:rsidR="00E14EEA" w:rsidRPr="008647C8">
        <w:rPr>
          <w:rFonts w:ascii="Times New Roman" w:hAnsi="Times New Roman" w:cs="Times New Roman"/>
          <w:sz w:val="28"/>
          <w:szCs w:val="28"/>
        </w:rPr>
        <w:t>denials</w:t>
      </w:r>
      <w:r w:rsidR="0064296D" w:rsidRPr="008647C8">
        <w:rPr>
          <w:rFonts w:ascii="Times New Roman" w:hAnsi="Times New Roman" w:cs="Times New Roman"/>
          <w:sz w:val="28"/>
          <w:szCs w:val="28"/>
        </w:rPr>
        <w:t>,</w:t>
      </w:r>
      <w:r w:rsidR="00E14EEA" w:rsidRPr="008647C8">
        <w:rPr>
          <w:rFonts w:ascii="Times New Roman" w:hAnsi="Times New Roman" w:cs="Times New Roman"/>
          <w:sz w:val="28"/>
          <w:szCs w:val="28"/>
        </w:rPr>
        <w:t xml:space="preserve"> the defendants maintain</w:t>
      </w:r>
      <w:r w:rsidR="008B0AD8" w:rsidRPr="008647C8">
        <w:rPr>
          <w:rFonts w:ascii="Times New Roman" w:hAnsi="Times New Roman" w:cs="Times New Roman"/>
          <w:sz w:val="28"/>
          <w:szCs w:val="28"/>
        </w:rPr>
        <w:t xml:space="preserve"> in</w:t>
      </w:r>
      <w:r w:rsidR="00E14EEA" w:rsidRPr="008647C8">
        <w:rPr>
          <w:rFonts w:ascii="Times New Roman" w:hAnsi="Times New Roman" w:cs="Times New Roman"/>
          <w:sz w:val="28"/>
          <w:szCs w:val="28"/>
        </w:rPr>
        <w:t xml:space="preserve"> the </w:t>
      </w:r>
      <w:r w:rsidR="008B0AD8" w:rsidRPr="008647C8">
        <w:rPr>
          <w:rFonts w:ascii="Times New Roman" w:hAnsi="Times New Roman" w:cs="Times New Roman"/>
          <w:sz w:val="28"/>
          <w:szCs w:val="28"/>
        </w:rPr>
        <w:t>alternative that the statements constitute statement</w:t>
      </w:r>
      <w:r w:rsidR="0064296D" w:rsidRPr="008647C8">
        <w:rPr>
          <w:rFonts w:ascii="Times New Roman" w:hAnsi="Times New Roman" w:cs="Times New Roman"/>
          <w:sz w:val="28"/>
          <w:szCs w:val="28"/>
        </w:rPr>
        <w:t>s</w:t>
      </w:r>
      <w:r w:rsidR="008B0AD8" w:rsidRPr="008647C8">
        <w:rPr>
          <w:rFonts w:ascii="Times New Roman" w:hAnsi="Times New Roman" w:cs="Times New Roman"/>
          <w:sz w:val="28"/>
          <w:szCs w:val="28"/>
        </w:rPr>
        <w:t xml:space="preserve"> of facts which are true or substantially true</w:t>
      </w:r>
      <w:r w:rsidRPr="008647C8">
        <w:rPr>
          <w:rFonts w:ascii="Times New Roman" w:hAnsi="Times New Roman" w:cs="Times New Roman"/>
          <w:sz w:val="28"/>
          <w:szCs w:val="28"/>
        </w:rPr>
        <w:t>,</w:t>
      </w:r>
      <w:r w:rsidR="008B0AD8" w:rsidRPr="008647C8">
        <w:rPr>
          <w:rFonts w:ascii="Times New Roman" w:hAnsi="Times New Roman" w:cs="Times New Roman"/>
          <w:sz w:val="28"/>
          <w:szCs w:val="28"/>
        </w:rPr>
        <w:t xml:space="preserve"> and that the publication</w:t>
      </w:r>
      <w:r w:rsidR="004E1EB0" w:rsidRPr="008647C8">
        <w:rPr>
          <w:rFonts w:ascii="Times New Roman" w:hAnsi="Times New Roman" w:cs="Times New Roman"/>
          <w:sz w:val="28"/>
          <w:szCs w:val="28"/>
        </w:rPr>
        <w:t xml:space="preserve"> of them </w:t>
      </w:r>
      <w:r w:rsidR="0056733F" w:rsidRPr="008647C8">
        <w:rPr>
          <w:rFonts w:ascii="Times New Roman" w:hAnsi="Times New Roman" w:cs="Times New Roman"/>
          <w:sz w:val="28"/>
          <w:szCs w:val="28"/>
        </w:rPr>
        <w:t>i</w:t>
      </w:r>
      <w:r w:rsidR="004E1EB0" w:rsidRPr="008647C8">
        <w:rPr>
          <w:rFonts w:ascii="Times New Roman" w:hAnsi="Times New Roman" w:cs="Times New Roman"/>
          <w:sz w:val="28"/>
          <w:szCs w:val="28"/>
        </w:rPr>
        <w:t xml:space="preserve">s in the public interest. </w:t>
      </w:r>
      <w:r w:rsidRPr="008647C8">
        <w:rPr>
          <w:rFonts w:ascii="Times New Roman" w:hAnsi="Times New Roman" w:cs="Times New Roman"/>
          <w:sz w:val="28"/>
          <w:szCs w:val="28"/>
        </w:rPr>
        <w:t>T</w:t>
      </w:r>
      <w:r w:rsidR="004E1EB0" w:rsidRPr="008647C8">
        <w:rPr>
          <w:rFonts w:ascii="Times New Roman" w:hAnsi="Times New Roman" w:cs="Times New Roman"/>
          <w:sz w:val="28"/>
          <w:szCs w:val="28"/>
        </w:rPr>
        <w:t xml:space="preserve">hey </w:t>
      </w:r>
      <w:r w:rsidRPr="008647C8">
        <w:rPr>
          <w:rFonts w:ascii="Times New Roman" w:hAnsi="Times New Roman" w:cs="Times New Roman"/>
          <w:sz w:val="28"/>
          <w:szCs w:val="28"/>
        </w:rPr>
        <w:t xml:space="preserve">also aver </w:t>
      </w:r>
      <w:r w:rsidR="004E1EB0" w:rsidRPr="008647C8">
        <w:rPr>
          <w:rFonts w:ascii="Times New Roman" w:hAnsi="Times New Roman" w:cs="Times New Roman"/>
          <w:sz w:val="28"/>
          <w:szCs w:val="28"/>
        </w:rPr>
        <w:t>that insofar as the statement</w:t>
      </w:r>
      <w:r w:rsidRPr="008647C8">
        <w:rPr>
          <w:rFonts w:ascii="Times New Roman" w:hAnsi="Times New Roman" w:cs="Times New Roman"/>
          <w:sz w:val="28"/>
          <w:szCs w:val="28"/>
        </w:rPr>
        <w:t>s</w:t>
      </w:r>
      <w:r w:rsidR="004E1EB0" w:rsidRPr="008647C8">
        <w:rPr>
          <w:rFonts w:ascii="Times New Roman" w:hAnsi="Times New Roman" w:cs="Times New Roman"/>
          <w:sz w:val="28"/>
          <w:szCs w:val="28"/>
        </w:rPr>
        <w:t xml:space="preserve"> constitute comment</w:t>
      </w:r>
      <w:r w:rsidRPr="008647C8">
        <w:rPr>
          <w:rFonts w:ascii="Times New Roman" w:hAnsi="Times New Roman" w:cs="Times New Roman"/>
          <w:sz w:val="28"/>
          <w:szCs w:val="28"/>
        </w:rPr>
        <w:t>s</w:t>
      </w:r>
      <w:r w:rsidR="004E1EB0" w:rsidRPr="008647C8">
        <w:rPr>
          <w:rFonts w:ascii="Times New Roman" w:hAnsi="Times New Roman" w:cs="Times New Roman"/>
          <w:sz w:val="28"/>
          <w:szCs w:val="28"/>
        </w:rPr>
        <w:t xml:space="preserve"> or matters of opinion, th</w:t>
      </w:r>
      <w:r w:rsidRPr="008647C8">
        <w:rPr>
          <w:rFonts w:ascii="Times New Roman" w:hAnsi="Times New Roman" w:cs="Times New Roman"/>
          <w:sz w:val="28"/>
          <w:szCs w:val="28"/>
        </w:rPr>
        <w:t>ose</w:t>
      </w:r>
      <w:r w:rsidR="004E1EB0" w:rsidRPr="008647C8">
        <w:rPr>
          <w:rFonts w:ascii="Times New Roman" w:hAnsi="Times New Roman" w:cs="Times New Roman"/>
          <w:sz w:val="28"/>
          <w:szCs w:val="28"/>
        </w:rPr>
        <w:t xml:space="preserve"> comment</w:t>
      </w:r>
      <w:r w:rsidRPr="008647C8">
        <w:rPr>
          <w:rFonts w:ascii="Times New Roman" w:hAnsi="Times New Roman" w:cs="Times New Roman"/>
          <w:sz w:val="28"/>
          <w:szCs w:val="28"/>
        </w:rPr>
        <w:t>s</w:t>
      </w:r>
      <w:r w:rsidR="00B1372C" w:rsidRPr="008647C8">
        <w:rPr>
          <w:rFonts w:ascii="Times New Roman" w:hAnsi="Times New Roman" w:cs="Times New Roman"/>
          <w:sz w:val="28"/>
          <w:szCs w:val="28"/>
        </w:rPr>
        <w:t xml:space="preserve"> a</w:t>
      </w:r>
      <w:r w:rsidRPr="008647C8">
        <w:rPr>
          <w:rFonts w:ascii="Times New Roman" w:hAnsi="Times New Roman" w:cs="Times New Roman"/>
          <w:sz w:val="28"/>
          <w:szCs w:val="28"/>
        </w:rPr>
        <w:t>re</w:t>
      </w:r>
      <w:r w:rsidR="004E1EB0" w:rsidRPr="008647C8">
        <w:rPr>
          <w:rFonts w:ascii="Times New Roman" w:hAnsi="Times New Roman" w:cs="Times New Roman"/>
          <w:sz w:val="28"/>
          <w:szCs w:val="28"/>
        </w:rPr>
        <w:t xml:space="preserve"> </w:t>
      </w:r>
      <w:r w:rsidR="0064296D" w:rsidRPr="008647C8">
        <w:rPr>
          <w:rFonts w:ascii="Times New Roman" w:hAnsi="Times New Roman" w:cs="Times New Roman"/>
          <w:sz w:val="28"/>
          <w:szCs w:val="28"/>
        </w:rPr>
        <w:t>protected</w:t>
      </w:r>
      <w:r w:rsidR="004E1EB0" w:rsidRPr="008647C8">
        <w:rPr>
          <w:rFonts w:ascii="Times New Roman" w:hAnsi="Times New Roman" w:cs="Times New Roman"/>
          <w:sz w:val="28"/>
          <w:szCs w:val="28"/>
        </w:rPr>
        <w:t xml:space="preserve"> because the comments or opinion</w:t>
      </w:r>
      <w:r w:rsidRPr="008647C8">
        <w:rPr>
          <w:rFonts w:ascii="Times New Roman" w:hAnsi="Times New Roman" w:cs="Times New Roman"/>
          <w:sz w:val="28"/>
          <w:szCs w:val="28"/>
        </w:rPr>
        <w:t>s</w:t>
      </w:r>
      <w:r w:rsidR="004E1EB0" w:rsidRPr="008647C8">
        <w:rPr>
          <w:rFonts w:ascii="Times New Roman" w:hAnsi="Times New Roman" w:cs="Times New Roman"/>
          <w:sz w:val="28"/>
          <w:szCs w:val="28"/>
        </w:rPr>
        <w:t xml:space="preserve"> w</w:t>
      </w:r>
      <w:r w:rsidRPr="008647C8">
        <w:rPr>
          <w:rFonts w:ascii="Times New Roman" w:hAnsi="Times New Roman" w:cs="Times New Roman"/>
          <w:sz w:val="28"/>
          <w:szCs w:val="28"/>
        </w:rPr>
        <w:t>ere</w:t>
      </w:r>
      <w:r w:rsidR="004E1EB0" w:rsidRPr="008647C8">
        <w:rPr>
          <w:rFonts w:ascii="Times New Roman" w:hAnsi="Times New Roman" w:cs="Times New Roman"/>
          <w:sz w:val="28"/>
          <w:szCs w:val="28"/>
        </w:rPr>
        <w:t xml:space="preserve"> honestly expressed, fairly and in good faith</w:t>
      </w:r>
      <w:r w:rsidRPr="008647C8">
        <w:rPr>
          <w:rFonts w:ascii="Times New Roman" w:hAnsi="Times New Roman" w:cs="Times New Roman"/>
          <w:sz w:val="28"/>
          <w:szCs w:val="28"/>
        </w:rPr>
        <w:t>,</w:t>
      </w:r>
      <w:r w:rsidR="004E1EB0" w:rsidRPr="008647C8">
        <w:rPr>
          <w:rFonts w:ascii="Times New Roman" w:hAnsi="Times New Roman" w:cs="Times New Roman"/>
          <w:sz w:val="28"/>
          <w:szCs w:val="28"/>
        </w:rPr>
        <w:t xml:space="preserve"> and on the basis that they </w:t>
      </w:r>
      <w:r w:rsidR="00B1372C" w:rsidRPr="008647C8">
        <w:rPr>
          <w:rFonts w:ascii="Times New Roman" w:hAnsi="Times New Roman" w:cs="Times New Roman"/>
          <w:sz w:val="28"/>
          <w:szCs w:val="28"/>
        </w:rPr>
        <w:t>a</w:t>
      </w:r>
      <w:r w:rsidR="004E1EB0" w:rsidRPr="008647C8">
        <w:rPr>
          <w:rFonts w:ascii="Times New Roman" w:hAnsi="Times New Roman" w:cs="Times New Roman"/>
          <w:sz w:val="28"/>
          <w:szCs w:val="28"/>
        </w:rPr>
        <w:t>re t</w:t>
      </w:r>
      <w:r w:rsidR="00B1372C" w:rsidRPr="008647C8">
        <w:rPr>
          <w:rFonts w:ascii="Times New Roman" w:hAnsi="Times New Roman" w:cs="Times New Roman"/>
          <w:sz w:val="28"/>
          <w:szCs w:val="28"/>
        </w:rPr>
        <w:t>rue or substantially true and a</w:t>
      </w:r>
      <w:r w:rsidR="004E1EB0" w:rsidRPr="008647C8">
        <w:rPr>
          <w:rFonts w:ascii="Times New Roman" w:hAnsi="Times New Roman" w:cs="Times New Roman"/>
          <w:sz w:val="28"/>
          <w:szCs w:val="28"/>
        </w:rPr>
        <w:t>re matters of public interest. There is a further defence that the statements were published without ‘</w:t>
      </w:r>
      <w:r w:rsidR="004E1EB0" w:rsidRPr="008647C8">
        <w:rPr>
          <w:rFonts w:ascii="Times New Roman" w:hAnsi="Times New Roman" w:cs="Times New Roman"/>
          <w:i/>
          <w:sz w:val="28"/>
          <w:szCs w:val="28"/>
        </w:rPr>
        <w:t>animus in</w:t>
      </w:r>
      <w:r w:rsidR="00EC3108" w:rsidRPr="008647C8">
        <w:rPr>
          <w:rFonts w:ascii="Times New Roman" w:hAnsi="Times New Roman" w:cs="Times New Roman"/>
          <w:i/>
          <w:sz w:val="28"/>
          <w:szCs w:val="28"/>
        </w:rPr>
        <w:t>i</w:t>
      </w:r>
      <w:r w:rsidR="004E1EB0" w:rsidRPr="008647C8">
        <w:rPr>
          <w:rFonts w:ascii="Times New Roman" w:hAnsi="Times New Roman" w:cs="Times New Roman"/>
          <w:i/>
          <w:sz w:val="28"/>
          <w:szCs w:val="28"/>
        </w:rPr>
        <w:t>uriandi’</w:t>
      </w:r>
      <w:r w:rsidR="00B374AD">
        <w:rPr>
          <w:rFonts w:ascii="Times New Roman" w:hAnsi="Times New Roman" w:cs="Times New Roman"/>
          <w:i/>
          <w:sz w:val="28"/>
          <w:szCs w:val="28"/>
        </w:rPr>
        <w:t>,</w:t>
      </w:r>
      <w:r w:rsidR="004E1EB0" w:rsidRPr="008647C8">
        <w:rPr>
          <w:rFonts w:ascii="Times New Roman" w:hAnsi="Times New Roman" w:cs="Times New Roman"/>
          <w:sz w:val="28"/>
          <w:szCs w:val="28"/>
        </w:rPr>
        <w:t xml:space="preserve"> or </w:t>
      </w:r>
      <w:r w:rsidR="00573139" w:rsidRPr="008647C8">
        <w:rPr>
          <w:rFonts w:ascii="Times New Roman" w:hAnsi="Times New Roman" w:cs="Times New Roman"/>
          <w:sz w:val="28"/>
          <w:szCs w:val="28"/>
        </w:rPr>
        <w:t>negligent</w:t>
      </w:r>
      <w:r w:rsidR="00EC3108" w:rsidRPr="008647C8">
        <w:rPr>
          <w:rFonts w:ascii="Times New Roman" w:hAnsi="Times New Roman" w:cs="Times New Roman"/>
          <w:sz w:val="28"/>
          <w:szCs w:val="28"/>
        </w:rPr>
        <w:t>ly</w:t>
      </w:r>
      <w:r w:rsidR="004E1EB0" w:rsidRPr="008647C8">
        <w:rPr>
          <w:rFonts w:ascii="Times New Roman" w:hAnsi="Times New Roman" w:cs="Times New Roman"/>
          <w:sz w:val="28"/>
          <w:szCs w:val="28"/>
        </w:rPr>
        <w:t xml:space="preserve"> by reason of the public interest in the exposing </w:t>
      </w:r>
      <w:r w:rsidR="00EC3108" w:rsidRPr="008647C8">
        <w:rPr>
          <w:rFonts w:ascii="Times New Roman" w:hAnsi="Times New Roman" w:cs="Times New Roman"/>
          <w:sz w:val="28"/>
          <w:szCs w:val="28"/>
        </w:rPr>
        <w:t xml:space="preserve">of </w:t>
      </w:r>
      <w:r w:rsidR="004E1EB0" w:rsidRPr="008647C8">
        <w:rPr>
          <w:rFonts w:ascii="Times New Roman" w:hAnsi="Times New Roman" w:cs="Times New Roman"/>
          <w:sz w:val="28"/>
          <w:szCs w:val="28"/>
        </w:rPr>
        <w:t>corruption on the part of senior and powerful politicians. They claim a constitutional entitlement to have published the statements.</w:t>
      </w:r>
    </w:p>
    <w:p w14:paraId="78D03B6F" w14:textId="77777777" w:rsidR="004E1EB0" w:rsidRPr="008647C8" w:rsidRDefault="004E1EB0" w:rsidP="00EC31E6">
      <w:pPr>
        <w:pStyle w:val="ListParagraph"/>
        <w:spacing w:after="0"/>
        <w:rPr>
          <w:rFonts w:ascii="Times New Roman" w:hAnsi="Times New Roman" w:cs="Times New Roman"/>
          <w:sz w:val="28"/>
          <w:szCs w:val="28"/>
        </w:rPr>
      </w:pPr>
    </w:p>
    <w:p w14:paraId="678509E2" w14:textId="11D20729" w:rsidR="001319EA" w:rsidRPr="008647C8" w:rsidRDefault="00EC3108" w:rsidP="00EC3108">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[13]</w:t>
      </w:r>
      <w:r w:rsidRPr="008647C8">
        <w:rPr>
          <w:rFonts w:ascii="Times New Roman" w:hAnsi="Times New Roman" w:cs="Times New Roman"/>
          <w:sz w:val="28"/>
          <w:szCs w:val="28"/>
        </w:rPr>
        <w:tab/>
      </w:r>
      <w:r w:rsidR="003D53A1">
        <w:rPr>
          <w:rFonts w:ascii="Times New Roman" w:hAnsi="Times New Roman" w:cs="Times New Roman"/>
          <w:sz w:val="28"/>
          <w:szCs w:val="28"/>
        </w:rPr>
        <w:t>But would</w:t>
      </w:r>
      <w:r w:rsidR="004E1EB0" w:rsidRPr="008647C8">
        <w:rPr>
          <w:rFonts w:ascii="Times New Roman" w:hAnsi="Times New Roman" w:cs="Times New Roman"/>
          <w:sz w:val="28"/>
          <w:szCs w:val="28"/>
        </w:rPr>
        <w:t xml:space="preserve"> </w:t>
      </w:r>
      <w:r w:rsidR="003D53A1">
        <w:rPr>
          <w:rFonts w:ascii="Times New Roman" w:hAnsi="Times New Roman" w:cs="Times New Roman"/>
          <w:sz w:val="28"/>
          <w:szCs w:val="28"/>
        </w:rPr>
        <w:t xml:space="preserve">it </w:t>
      </w:r>
      <w:r w:rsidR="004E1EB0" w:rsidRPr="008647C8">
        <w:rPr>
          <w:rFonts w:ascii="Times New Roman" w:hAnsi="Times New Roman" w:cs="Times New Roman"/>
          <w:sz w:val="28"/>
          <w:szCs w:val="28"/>
        </w:rPr>
        <w:t>be ‘</w:t>
      </w:r>
      <w:r w:rsidR="009373DB" w:rsidRPr="008647C8">
        <w:rPr>
          <w:rFonts w:ascii="Times New Roman" w:hAnsi="Times New Roman" w:cs="Times New Roman"/>
          <w:sz w:val="28"/>
          <w:szCs w:val="28"/>
        </w:rPr>
        <w:t>convenient</w:t>
      </w:r>
      <w:r w:rsidR="004E1EB0" w:rsidRPr="008647C8">
        <w:rPr>
          <w:rFonts w:ascii="Times New Roman" w:hAnsi="Times New Roman" w:cs="Times New Roman"/>
          <w:sz w:val="28"/>
          <w:szCs w:val="28"/>
        </w:rPr>
        <w:t>’ to determine the issue</w:t>
      </w:r>
      <w:r w:rsidR="00B374AD">
        <w:rPr>
          <w:rFonts w:ascii="Times New Roman" w:hAnsi="Times New Roman" w:cs="Times New Roman"/>
          <w:sz w:val="28"/>
          <w:szCs w:val="28"/>
        </w:rPr>
        <w:t>s</w:t>
      </w:r>
      <w:r w:rsidR="004E1EB0" w:rsidRPr="008647C8">
        <w:rPr>
          <w:rFonts w:ascii="Times New Roman" w:hAnsi="Times New Roman" w:cs="Times New Roman"/>
          <w:sz w:val="28"/>
          <w:szCs w:val="28"/>
        </w:rPr>
        <w:t xml:space="preserve"> of whether the statements </w:t>
      </w:r>
      <w:r w:rsidR="00573139" w:rsidRPr="008647C8">
        <w:rPr>
          <w:rFonts w:ascii="Times New Roman" w:hAnsi="Times New Roman" w:cs="Times New Roman"/>
          <w:sz w:val="28"/>
          <w:szCs w:val="28"/>
        </w:rPr>
        <w:t>are</w:t>
      </w:r>
      <w:r w:rsidR="004E1EB0" w:rsidRPr="008647C8">
        <w:rPr>
          <w:rFonts w:ascii="Times New Roman" w:hAnsi="Times New Roman" w:cs="Times New Roman"/>
          <w:sz w:val="28"/>
          <w:szCs w:val="28"/>
        </w:rPr>
        <w:t xml:space="preserve"> defamatory</w:t>
      </w:r>
      <w:r w:rsidRPr="008647C8">
        <w:rPr>
          <w:rFonts w:ascii="Times New Roman" w:hAnsi="Times New Roman" w:cs="Times New Roman"/>
          <w:sz w:val="28"/>
          <w:szCs w:val="28"/>
        </w:rPr>
        <w:t>,</w:t>
      </w:r>
      <w:r w:rsidR="004E1EB0" w:rsidRPr="008647C8">
        <w:rPr>
          <w:rFonts w:ascii="Times New Roman" w:hAnsi="Times New Roman" w:cs="Times New Roman"/>
          <w:sz w:val="28"/>
          <w:szCs w:val="28"/>
        </w:rPr>
        <w:t xml:space="preserve"> and if so</w:t>
      </w:r>
      <w:r w:rsidRPr="008647C8">
        <w:rPr>
          <w:rFonts w:ascii="Times New Roman" w:hAnsi="Times New Roman" w:cs="Times New Roman"/>
          <w:sz w:val="28"/>
          <w:szCs w:val="28"/>
        </w:rPr>
        <w:t>,</w:t>
      </w:r>
      <w:r w:rsidR="004E1EB0" w:rsidRPr="008647C8">
        <w:rPr>
          <w:rFonts w:ascii="Times New Roman" w:hAnsi="Times New Roman" w:cs="Times New Roman"/>
          <w:sz w:val="28"/>
          <w:szCs w:val="28"/>
        </w:rPr>
        <w:t xml:space="preserve"> in what respect</w:t>
      </w:r>
      <w:r w:rsidRPr="008647C8">
        <w:rPr>
          <w:rFonts w:ascii="Times New Roman" w:hAnsi="Times New Roman" w:cs="Times New Roman"/>
          <w:sz w:val="28"/>
          <w:szCs w:val="28"/>
        </w:rPr>
        <w:t>s</w:t>
      </w:r>
      <w:r w:rsidR="003D53A1">
        <w:rPr>
          <w:rFonts w:ascii="Times New Roman" w:hAnsi="Times New Roman" w:cs="Times New Roman"/>
          <w:sz w:val="28"/>
          <w:szCs w:val="28"/>
        </w:rPr>
        <w:t>?</w:t>
      </w:r>
      <w:r w:rsidR="004E1EB0" w:rsidRPr="008647C8">
        <w:rPr>
          <w:rFonts w:ascii="Times New Roman" w:hAnsi="Times New Roman" w:cs="Times New Roman"/>
          <w:sz w:val="28"/>
          <w:szCs w:val="28"/>
        </w:rPr>
        <w:t xml:space="preserve"> </w:t>
      </w:r>
      <w:r w:rsidR="003D53A1">
        <w:rPr>
          <w:rFonts w:ascii="Times New Roman" w:hAnsi="Times New Roman" w:cs="Times New Roman"/>
          <w:sz w:val="28"/>
          <w:szCs w:val="28"/>
        </w:rPr>
        <w:t>A determination of whether a statement is defamatory, must surely encompass the defences to the defamation as well.</w:t>
      </w:r>
    </w:p>
    <w:p w14:paraId="7885B85B" w14:textId="3CFE82C1" w:rsidR="00EC3108" w:rsidRPr="008647C8" w:rsidRDefault="00EC3108" w:rsidP="00EC31E6">
      <w:pPr>
        <w:spacing w:after="0" w:line="360" w:lineRule="auto"/>
        <w:jc w:val="both"/>
        <w:rPr>
          <w:rFonts w:ascii="Times New Roman" w:hAnsi="Times New Roman" w:cs="Times New Roman"/>
          <w:sz w:val="28"/>
          <w:szCs w:val="28"/>
        </w:rPr>
      </w:pPr>
    </w:p>
    <w:p w14:paraId="649E7521" w14:textId="409FA0DC" w:rsidR="00AD09B9" w:rsidRPr="008647C8" w:rsidRDefault="00EC3108" w:rsidP="00EC3108">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[14]</w:t>
      </w:r>
      <w:r w:rsidRPr="008647C8">
        <w:rPr>
          <w:rFonts w:ascii="Times New Roman" w:hAnsi="Times New Roman" w:cs="Times New Roman"/>
          <w:sz w:val="28"/>
          <w:szCs w:val="28"/>
        </w:rPr>
        <w:tab/>
      </w:r>
      <w:r w:rsidR="001319EA" w:rsidRPr="008647C8">
        <w:rPr>
          <w:rFonts w:ascii="Times New Roman" w:hAnsi="Times New Roman" w:cs="Times New Roman"/>
          <w:sz w:val="28"/>
          <w:szCs w:val="28"/>
        </w:rPr>
        <w:t xml:space="preserve">If a court hearing </w:t>
      </w:r>
      <w:r w:rsidR="001B7364" w:rsidRPr="008647C8">
        <w:rPr>
          <w:rFonts w:ascii="Times New Roman" w:hAnsi="Times New Roman" w:cs="Times New Roman"/>
          <w:sz w:val="28"/>
          <w:szCs w:val="28"/>
        </w:rPr>
        <w:t>the</w:t>
      </w:r>
      <w:r w:rsidR="001319EA" w:rsidRPr="008647C8">
        <w:rPr>
          <w:rFonts w:ascii="Times New Roman" w:hAnsi="Times New Roman" w:cs="Times New Roman"/>
          <w:sz w:val="28"/>
          <w:szCs w:val="28"/>
        </w:rPr>
        <w:t xml:space="preserve"> separated issue</w:t>
      </w:r>
      <w:r w:rsidR="001B7364" w:rsidRPr="008647C8">
        <w:rPr>
          <w:rFonts w:ascii="Times New Roman" w:hAnsi="Times New Roman" w:cs="Times New Roman"/>
          <w:sz w:val="28"/>
          <w:szCs w:val="28"/>
        </w:rPr>
        <w:t>s</w:t>
      </w:r>
      <w:r w:rsidR="001319EA" w:rsidRPr="008647C8">
        <w:rPr>
          <w:rFonts w:ascii="Times New Roman" w:hAnsi="Times New Roman" w:cs="Times New Roman"/>
          <w:sz w:val="28"/>
          <w:szCs w:val="28"/>
        </w:rPr>
        <w:t xml:space="preserve"> as s</w:t>
      </w:r>
      <w:r w:rsidR="001B7364" w:rsidRPr="008647C8">
        <w:rPr>
          <w:rFonts w:ascii="Times New Roman" w:hAnsi="Times New Roman" w:cs="Times New Roman"/>
          <w:sz w:val="28"/>
          <w:szCs w:val="28"/>
        </w:rPr>
        <w:t>ought</w:t>
      </w:r>
      <w:r w:rsidR="001319EA" w:rsidRPr="008647C8">
        <w:rPr>
          <w:rFonts w:ascii="Times New Roman" w:hAnsi="Times New Roman" w:cs="Times New Roman"/>
          <w:sz w:val="28"/>
          <w:szCs w:val="28"/>
        </w:rPr>
        <w:t xml:space="preserve"> in the notice of motion were to decide </w:t>
      </w:r>
      <w:r w:rsidRPr="008647C8">
        <w:rPr>
          <w:rFonts w:ascii="Times New Roman" w:hAnsi="Times New Roman" w:cs="Times New Roman"/>
          <w:sz w:val="28"/>
          <w:szCs w:val="28"/>
        </w:rPr>
        <w:t>that</w:t>
      </w:r>
      <w:r w:rsidR="001319EA" w:rsidRPr="008647C8">
        <w:rPr>
          <w:rFonts w:ascii="Times New Roman" w:hAnsi="Times New Roman" w:cs="Times New Roman"/>
          <w:sz w:val="28"/>
          <w:szCs w:val="28"/>
        </w:rPr>
        <w:t xml:space="preserve"> </w:t>
      </w:r>
      <w:r w:rsidR="00B374AD">
        <w:rPr>
          <w:rFonts w:ascii="Times New Roman" w:hAnsi="Times New Roman" w:cs="Times New Roman"/>
          <w:sz w:val="28"/>
          <w:szCs w:val="28"/>
        </w:rPr>
        <w:t xml:space="preserve">any of the cited statements </w:t>
      </w:r>
      <w:r w:rsidR="001319EA" w:rsidRPr="008647C8">
        <w:rPr>
          <w:rFonts w:ascii="Times New Roman" w:hAnsi="Times New Roman" w:cs="Times New Roman"/>
          <w:sz w:val="28"/>
          <w:szCs w:val="28"/>
        </w:rPr>
        <w:t>were not defamatory</w:t>
      </w:r>
      <w:r w:rsidRPr="008647C8">
        <w:rPr>
          <w:rFonts w:ascii="Times New Roman" w:hAnsi="Times New Roman" w:cs="Times New Roman"/>
          <w:sz w:val="28"/>
          <w:szCs w:val="28"/>
        </w:rPr>
        <w:t>,</w:t>
      </w:r>
      <w:r w:rsidR="001319EA" w:rsidRPr="008647C8">
        <w:rPr>
          <w:rFonts w:ascii="Times New Roman" w:hAnsi="Times New Roman" w:cs="Times New Roman"/>
          <w:sz w:val="28"/>
          <w:szCs w:val="28"/>
        </w:rPr>
        <w:t xml:space="preserve"> that would </w:t>
      </w:r>
      <w:r w:rsidR="001319EA" w:rsidRPr="008647C8">
        <w:rPr>
          <w:rFonts w:ascii="Times New Roman" w:hAnsi="Times New Roman" w:cs="Times New Roman"/>
          <w:sz w:val="28"/>
          <w:szCs w:val="28"/>
        </w:rPr>
        <w:lastRenderedPageBreak/>
        <w:t>be the end of the matter</w:t>
      </w:r>
      <w:r w:rsidR="00B374AD">
        <w:rPr>
          <w:rFonts w:ascii="Times New Roman" w:hAnsi="Times New Roman" w:cs="Times New Roman"/>
          <w:sz w:val="28"/>
          <w:szCs w:val="28"/>
        </w:rPr>
        <w:t xml:space="preserve"> as far as those statements were concerned</w:t>
      </w:r>
      <w:r w:rsidR="001319EA" w:rsidRPr="008647C8">
        <w:rPr>
          <w:rFonts w:ascii="Times New Roman" w:hAnsi="Times New Roman" w:cs="Times New Roman"/>
          <w:sz w:val="28"/>
          <w:szCs w:val="28"/>
        </w:rPr>
        <w:t xml:space="preserve">. </w:t>
      </w:r>
      <w:r w:rsidR="00B374AD">
        <w:rPr>
          <w:rFonts w:ascii="Times New Roman" w:hAnsi="Times New Roman" w:cs="Times New Roman"/>
          <w:sz w:val="28"/>
          <w:szCs w:val="28"/>
        </w:rPr>
        <w:t>In that way,</w:t>
      </w:r>
      <w:r w:rsidRPr="008647C8">
        <w:rPr>
          <w:rFonts w:ascii="Times New Roman" w:hAnsi="Times New Roman" w:cs="Times New Roman"/>
          <w:sz w:val="28"/>
          <w:szCs w:val="28"/>
        </w:rPr>
        <w:t xml:space="preserve"> a separation could </w:t>
      </w:r>
      <w:r w:rsidR="001319EA" w:rsidRPr="008647C8">
        <w:rPr>
          <w:rFonts w:ascii="Times New Roman" w:hAnsi="Times New Roman" w:cs="Times New Roman"/>
          <w:sz w:val="28"/>
          <w:szCs w:val="28"/>
        </w:rPr>
        <w:t>contribute to the ‘convenience’ of the tr</w:t>
      </w:r>
      <w:r w:rsidR="00573139" w:rsidRPr="008647C8">
        <w:rPr>
          <w:rFonts w:ascii="Times New Roman" w:hAnsi="Times New Roman" w:cs="Times New Roman"/>
          <w:sz w:val="28"/>
          <w:szCs w:val="28"/>
        </w:rPr>
        <w:t>i</w:t>
      </w:r>
      <w:r w:rsidR="001319EA" w:rsidRPr="008647C8">
        <w:rPr>
          <w:rFonts w:ascii="Times New Roman" w:hAnsi="Times New Roman" w:cs="Times New Roman"/>
          <w:sz w:val="28"/>
          <w:szCs w:val="28"/>
        </w:rPr>
        <w:t>al, in the sense of contemplating what would be left to be established. As the defences raised by the defendants involve the issues of t</w:t>
      </w:r>
      <w:r w:rsidR="005F02BA" w:rsidRPr="008647C8">
        <w:rPr>
          <w:rFonts w:ascii="Times New Roman" w:hAnsi="Times New Roman" w:cs="Times New Roman"/>
          <w:sz w:val="28"/>
          <w:szCs w:val="28"/>
        </w:rPr>
        <w:t xml:space="preserve">ruth and public interest, </w:t>
      </w:r>
      <w:r w:rsidR="001319EA" w:rsidRPr="008647C8">
        <w:rPr>
          <w:rFonts w:ascii="Times New Roman" w:hAnsi="Times New Roman" w:cs="Times New Roman"/>
          <w:sz w:val="28"/>
          <w:szCs w:val="28"/>
        </w:rPr>
        <w:t>a decision as to whether the statement</w:t>
      </w:r>
      <w:r w:rsidRPr="008647C8">
        <w:rPr>
          <w:rFonts w:ascii="Times New Roman" w:hAnsi="Times New Roman" w:cs="Times New Roman"/>
          <w:sz w:val="28"/>
          <w:szCs w:val="28"/>
        </w:rPr>
        <w:t>s are</w:t>
      </w:r>
      <w:r w:rsidR="005F02BA" w:rsidRPr="008647C8">
        <w:rPr>
          <w:rFonts w:ascii="Times New Roman" w:hAnsi="Times New Roman" w:cs="Times New Roman"/>
          <w:sz w:val="28"/>
          <w:szCs w:val="28"/>
        </w:rPr>
        <w:t xml:space="preserve"> defamatory could not</w:t>
      </w:r>
      <w:r w:rsidR="001319EA" w:rsidRPr="008647C8">
        <w:rPr>
          <w:rFonts w:ascii="Times New Roman" w:hAnsi="Times New Roman" w:cs="Times New Roman"/>
          <w:sz w:val="28"/>
          <w:szCs w:val="28"/>
        </w:rPr>
        <w:t xml:space="preserve"> be made without a proper consideration of truth </w:t>
      </w:r>
      <w:r w:rsidRPr="008647C8">
        <w:rPr>
          <w:rFonts w:ascii="Times New Roman" w:hAnsi="Times New Roman" w:cs="Times New Roman"/>
          <w:sz w:val="28"/>
          <w:szCs w:val="28"/>
        </w:rPr>
        <w:t>and</w:t>
      </w:r>
      <w:r w:rsidR="001319EA" w:rsidRPr="008647C8">
        <w:rPr>
          <w:rFonts w:ascii="Times New Roman" w:hAnsi="Times New Roman" w:cs="Times New Roman"/>
          <w:sz w:val="28"/>
          <w:szCs w:val="28"/>
        </w:rPr>
        <w:t xml:space="preserve"> </w:t>
      </w:r>
      <w:r w:rsidR="00B1372C" w:rsidRPr="008647C8">
        <w:rPr>
          <w:rFonts w:ascii="Times New Roman" w:hAnsi="Times New Roman" w:cs="Times New Roman"/>
          <w:sz w:val="28"/>
          <w:szCs w:val="28"/>
        </w:rPr>
        <w:t xml:space="preserve">public interest.  That means </w:t>
      </w:r>
      <w:r w:rsidR="001319EA" w:rsidRPr="008647C8">
        <w:rPr>
          <w:rFonts w:ascii="Times New Roman" w:hAnsi="Times New Roman" w:cs="Times New Roman"/>
          <w:sz w:val="28"/>
          <w:szCs w:val="28"/>
        </w:rPr>
        <w:t xml:space="preserve">it would be necessary to lead evidence </w:t>
      </w:r>
      <w:r w:rsidR="00195855" w:rsidRPr="008647C8">
        <w:rPr>
          <w:rFonts w:ascii="Times New Roman" w:hAnsi="Times New Roman" w:cs="Times New Roman"/>
          <w:sz w:val="28"/>
          <w:szCs w:val="28"/>
        </w:rPr>
        <w:t xml:space="preserve">on those </w:t>
      </w:r>
      <w:r w:rsidR="00D70469" w:rsidRPr="008647C8">
        <w:rPr>
          <w:rFonts w:ascii="Times New Roman" w:hAnsi="Times New Roman" w:cs="Times New Roman"/>
          <w:sz w:val="28"/>
          <w:szCs w:val="28"/>
        </w:rPr>
        <w:t>issues</w:t>
      </w:r>
      <w:r w:rsidR="00195855" w:rsidRPr="008647C8">
        <w:rPr>
          <w:rFonts w:ascii="Times New Roman" w:hAnsi="Times New Roman" w:cs="Times New Roman"/>
          <w:sz w:val="28"/>
          <w:szCs w:val="28"/>
        </w:rPr>
        <w:t xml:space="preserve">.  </w:t>
      </w:r>
    </w:p>
    <w:p w14:paraId="4C69A061" w14:textId="77777777" w:rsidR="001B7364" w:rsidRPr="008647C8" w:rsidRDefault="001B7364" w:rsidP="002068FC">
      <w:pPr>
        <w:spacing w:after="0" w:line="240" w:lineRule="auto"/>
        <w:jc w:val="both"/>
        <w:rPr>
          <w:rFonts w:ascii="Times New Roman" w:hAnsi="Times New Roman" w:cs="Times New Roman"/>
          <w:sz w:val="28"/>
          <w:szCs w:val="28"/>
        </w:rPr>
      </w:pPr>
    </w:p>
    <w:p w14:paraId="3E489009" w14:textId="32C30BAE" w:rsidR="005F02BA" w:rsidRPr="008647C8" w:rsidRDefault="00AD09B9" w:rsidP="00AD09B9">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[15]</w:t>
      </w:r>
      <w:r w:rsidRPr="008647C8">
        <w:rPr>
          <w:rFonts w:ascii="Times New Roman" w:hAnsi="Times New Roman" w:cs="Times New Roman"/>
          <w:sz w:val="28"/>
          <w:szCs w:val="28"/>
        </w:rPr>
        <w:tab/>
      </w:r>
      <w:r w:rsidR="005F02BA" w:rsidRPr="008647C8">
        <w:rPr>
          <w:rFonts w:ascii="Times New Roman" w:hAnsi="Times New Roman" w:cs="Times New Roman"/>
          <w:sz w:val="28"/>
          <w:szCs w:val="28"/>
        </w:rPr>
        <w:t>I</w:t>
      </w:r>
      <w:r w:rsidR="00D70469" w:rsidRPr="008647C8">
        <w:rPr>
          <w:rFonts w:ascii="Times New Roman" w:hAnsi="Times New Roman" w:cs="Times New Roman"/>
          <w:sz w:val="28"/>
          <w:szCs w:val="28"/>
        </w:rPr>
        <w:t xml:space="preserve">f the issues were to be separated, there is the possibility that the </w:t>
      </w:r>
      <w:r w:rsidRPr="008647C8">
        <w:rPr>
          <w:rFonts w:ascii="Times New Roman" w:hAnsi="Times New Roman" w:cs="Times New Roman"/>
          <w:sz w:val="28"/>
          <w:szCs w:val="28"/>
        </w:rPr>
        <w:t xml:space="preserve">same witnesses who would give evidence regarding the defamation, </w:t>
      </w:r>
      <w:r w:rsidR="00D70469" w:rsidRPr="008647C8">
        <w:rPr>
          <w:rFonts w:ascii="Times New Roman" w:hAnsi="Times New Roman" w:cs="Times New Roman"/>
          <w:sz w:val="28"/>
          <w:szCs w:val="28"/>
        </w:rPr>
        <w:t>would have</w:t>
      </w:r>
      <w:r w:rsidR="00B1372C" w:rsidRPr="008647C8">
        <w:rPr>
          <w:rFonts w:ascii="Times New Roman" w:hAnsi="Times New Roman" w:cs="Times New Roman"/>
          <w:sz w:val="28"/>
          <w:szCs w:val="28"/>
        </w:rPr>
        <w:t xml:space="preserve"> to</w:t>
      </w:r>
      <w:r w:rsidR="00D70469" w:rsidRPr="008647C8">
        <w:rPr>
          <w:rFonts w:ascii="Times New Roman" w:hAnsi="Times New Roman" w:cs="Times New Roman"/>
          <w:sz w:val="28"/>
          <w:szCs w:val="28"/>
        </w:rPr>
        <w:t xml:space="preserve"> testify on the question of the quantum of the damages</w:t>
      </w:r>
      <w:r w:rsidR="001319EA" w:rsidRPr="008647C8">
        <w:rPr>
          <w:rFonts w:ascii="Times New Roman" w:hAnsi="Times New Roman" w:cs="Times New Roman"/>
          <w:sz w:val="28"/>
          <w:szCs w:val="28"/>
        </w:rPr>
        <w:t xml:space="preserve"> </w:t>
      </w:r>
      <w:r w:rsidR="00B1372C" w:rsidRPr="008647C8">
        <w:rPr>
          <w:rFonts w:ascii="Times New Roman" w:hAnsi="Times New Roman" w:cs="Times New Roman"/>
          <w:sz w:val="28"/>
          <w:szCs w:val="28"/>
        </w:rPr>
        <w:t>in any event. T</w:t>
      </w:r>
      <w:r w:rsidR="00D70469" w:rsidRPr="008647C8">
        <w:rPr>
          <w:rFonts w:ascii="Times New Roman" w:hAnsi="Times New Roman" w:cs="Times New Roman"/>
          <w:sz w:val="28"/>
          <w:szCs w:val="28"/>
        </w:rPr>
        <w:t xml:space="preserve">his </w:t>
      </w:r>
      <w:r w:rsidR="00B1372C" w:rsidRPr="008647C8">
        <w:rPr>
          <w:rFonts w:ascii="Times New Roman" w:hAnsi="Times New Roman" w:cs="Times New Roman"/>
          <w:sz w:val="28"/>
          <w:szCs w:val="28"/>
        </w:rPr>
        <w:t>may</w:t>
      </w:r>
      <w:r w:rsidRPr="008647C8">
        <w:rPr>
          <w:rFonts w:ascii="Times New Roman" w:hAnsi="Times New Roman" w:cs="Times New Roman"/>
          <w:sz w:val="28"/>
          <w:szCs w:val="28"/>
        </w:rPr>
        <w:t xml:space="preserve"> entail</w:t>
      </w:r>
      <w:r w:rsidR="00D70469" w:rsidRPr="008647C8">
        <w:rPr>
          <w:rFonts w:ascii="Times New Roman" w:hAnsi="Times New Roman" w:cs="Times New Roman"/>
          <w:sz w:val="28"/>
          <w:szCs w:val="28"/>
        </w:rPr>
        <w:t xml:space="preserve"> an assessment of the</w:t>
      </w:r>
      <w:r w:rsidR="00B1372C" w:rsidRPr="008647C8">
        <w:rPr>
          <w:rFonts w:ascii="Times New Roman" w:hAnsi="Times New Roman" w:cs="Times New Roman"/>
          <w:sz w:val="28"/>
          <w:szCs w:val="28"/>
        </w:rPr>
        <w:t xml:space="preserve"> plaintiffs’</w:t>
      </w:r>
      <w:r w:rsidR="00D70469" w:rsidRPr="008647C8">
        <w:rPr>
          <w:rFonts w:ascii="Times New Roman" w:hAnsi="Times New Roman" w:cs="Times New Roman"/>
          <w:sz w:val="28"/>
          <w:szCs w:val="28"/>
        </w:rPr>
        <w:t xml:space="preserve"> reputation</w:t>
      </w:r>
      <w:r w:rsidR="00B1372C" w:rsidRPr="008647C8">
        <w:rPr>
          <w:rFonts w:ascii="Times New Roman" w:hAnsi="Times New Roman" w:cs="Times New Roman"/>
          <w:sz w:val="28"/>
          <w:szCs w:val="28"/>
        </w:rPr>
        <w:t>s</w:t>
      </w:r>
      <w:r w:rsidR="00D70469" w:rsidRPr="008647C8">
        <w:rPr>
          <w:rFonts w:ascii="Times New Roman" w:hAnsi="Times New Roman" w:cs="Times New Roman"/>
          <w:sz w:val="28"/>
          <w:szCs w:val="28"/>
        </w:rPr>
        <w:t>,</w:t>
      </w:r>
      <w:r w:rsidR="00B1372C" w:rsidRPr="008647C8">
        <w:rPr>
          <w:rFonts w:ascii="Times New Roman" w:hAnsi="Times New Roman" w:cs="Times New Roman"/>
          <w:sz w:val="28"/>
          <w:szCs w:val="28"/>
        </w:rPr>
        <w:t xml:space="preserve"> but much of that would </w:t>
      </w:r>
      <w:r w:rsidR="00D70469" w:rsidRPr="008647C8">
        <w:rPr>
          <w:rFonts w:ascii="Times New Roman" w:hAnsi="Times New Roman" w:cs="Times New Roman"/>
          <w:sz w:val="28"/>
          <w:szCs w:val="28"/>
        </w:rPr>
        <w:t xml:space="preserve">surely be covered in the separated issue anyway.  In those circumstances there would be little utility in separating the issues and having to </w:t>
      </w:r>
      <w:r w:rsidRPr="008647C8">
        <w:rPr>
          <w:rFonts w:ascii="Times New Roman" w:hAnsi="Times New Roman" w:cs="Times New Roman"/>
          <w:sz w:val="28"/>
          <w:szCs w:val="28"/>
        </w:rPr>
        <w:t xml:space="preserve">hold </w:t>
      </w:r>
      <w:r w:rsidR="00D70469" w:rsidRPr="008647C8">
        <w:rPr>
          <w:rFonts w:ascii="Times New Roman" w:hAnsi="Times New Roman" w:cs="Times New Roman"/>
          <w:sz w:val="28"/>
          <w:szCs w:val="28"/>
        </w:rPr>
        <w:t>separate hearings</w:t>
      </w:r>
      <w:r w:rsidRPr="008647C8">
        <w:rPr>
          <w:rFonts w:ascii="Times New Roman" w:hAnsi="Times New Roman" w:cs="Times New Roman"/>
          <w:sz w:val="28"/>
          <w:szCs w:val="28"/>
        </w:rPr>
        <w:t xml:space="preserve">, with the presiding officer having to </w:t>
      </w:r>
      <w:r w:rsidR="001B7364" w:rsidRPr="008647C8">
        <w:rPr>
          <w:rFonts w:ascii="Times New Roman" w:hAnsi="Times New Roman" w:cs="Times New Roman"/>
          <w:sz w:val="28"/>
          <w:szCs w:val="28"/>
        </w:rPr>
        <w:t>deal with the credibility of any</w:t>
      </w:r>
      <w:r w:rsidRPr="008647C8">
        <w:rPr>
          <w:rFonts w:ascii="Times New Roman" w:hAnsi="Times New Roman" w:cs="Times New Roman"/>
          <w:sz w:val="28"/>
          <w:szCs w:val="28"/>
        </w:rPr>
        <w:t xml:space="preserve"> witness more than once</w:t>
      </w:r>
      <w:r w:rsidR="00D70469" w:rsidRPr="008647C8">
        <w:rPr>
          <w:rFonts w:ascii="Times New Roman" w:hAnsi="Times New Roman" w:cs="Times New Roman"/>
          <w:sz w:val="28"/>
          <w:szCs w:val="28"/>
        </w:rPr>
        <w:t>.  That would clearly be undesirable.</w:t>
      </w:r>
    </w:p>
    <w:p w14:paraId="5E70408B" w14:textId="77777777" w:rsidR="005F02BA" w:rsidRPr="008647C8" w:rsidRDefault="005F02BA" w:rsidP="009431A9">
      <w:pPr>
        <w:spacing w:after="0" w:line="240" w:lineRule="auto"/>
        <w:jc w:val="both"/>
        <w:rPr>
          <w:rFonts w:ascii="Times New Roman" w:hAnsi="Times New Roman" w:cs="Times New Roman"/>
          <w:sz w:val="28"/>
          <w:szCs w:val="28"/>
        </w:rPr>
      </w:pPr>
    </w:p>
    <w:p w14:paraId="1BD187DA" w14:textId="100003F4" w:rsidR="005F02BA" w:rsidRPr="008647C8" w:rsidRDefault="005F02BA" w:rsidP="00AD09B9">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[16]</w:t>
      </w:r>
      <w:r w:rsidRPr="008647C8">
        <w:rPr>
          <w:rFonts w:ascii="Times New Roman" w:hAnsi="Times New Roman" w:cs="Times New Roman"/>
          <w:sz w:val="28"/>
          <w:szCs w:val="28"/>
        </w:rPr>
        <w:tab/>
        <w:t xml:space="preserve">I accordingly </w:t>
      </w:r>
      <w:r w:rsidR="007E75AB">
        <w:rPr>
          <w:rFonts w:ascii="Times New Roman" w:hAnsi="Times New Roman" w:cs="Times New Roman"/>
          <w:sz w:val="28"/>
          <w:szCs w:val="28"/>
        </w:rPr>
        <w:t>asked</w:t>
      </w:r>
      <w:r w:rsidRPr="008647C8">
        <w:rPr>
          <w:rFonts w:ascii="Times New Roman" w:hAnsi="Times New Roman" w:cs="Times New Roman"/>
          <w:sz w:val="28"/>
          <w:szCs w:val="28"/>
        </w:rPr>
        <w:t xml:space="preserve"> Mr </w:t>
      </w:r>
      <w:r w:rsidRPr="008647C8">
        <w:rPr>
          <w:rFonts w:ascii="Times New Roman" w:hAnsi="Times New Roman" w:cs="Times New Roman"/>
          <w:i/>
          <w:sz w:val="28"/>
          <w:szCs w:val="28"/>
        </w:rPr>
        <w:t>du Plessis</w:t>
      </w:r>
      <w:r w:rsidRPr="008647C8">
        <w:rPr>
          <w:rFonts w:ascii="Times New Roman" w:hAnsi="Times New Roman" w:cs="Times New Roman"/>
          <w:sz w:val="28"/>
          <w:szCs w:val="28"/>
        </w:rPr>
        <w:t xml:space="preserve"> SC, who appeared for the defendants together with Ms </w:t>
      </w:r>
      <w:r w:rsidRPr="008647C8">
        <w:rPr>
          <w:rFonts w:ascii="Times New Roman" w:hAnsi="Times New Roman" w:cs="Times New Roman"/>
          <w:i/>
          <w:sz w:val="28"/>
          <w:szCs w:val="28"/>
        </w:rPr>
        <w:t>Pudifin-Jones</w:t>
      </w:r>
      <w:r w:rsidRPr="008647C8">
        <w:rPr>
          <w:rFonts w:ascii="Times New Roman" w:hAnsi="Times New Roman" w:cs="Times New Roman"/>
          <w:sz w:val="28"/>
          <w:szCs w:val="28"/>
        </w:rPr>
        <w:t>,</w:t>
      </w:r>
      <w:r w:rsidR="0057673D" w:rsidRPr="008647C8">
        <w:rPr>
          <w:rFonts w:ascii="Times New Roman" w:hAnsi="Times New Roman" w:cs="Times New Roman"/>
          <w:sz w:val="28"/>
          <w:szCs w:val="28"/>
        </w:rPr>
        <w:t xml:space="preserve"> whether they wished to have to have a separated hearing on the issue whether the statements made were </w:t>
      </w:r>
      <w:r w:rsidR="0057673D" w:rsidRPr="008647C8">
        <w:rPr>
          <w:rFonts w:ascii="Times New Roman" w:hAnsi="Times New Roman" w:cs="Times New Roman"/>
          <w:i/>
          <w:sz w:val="28"/>
          <w:szCs w:val="28"/>
        </w:rPr>
        <w:t>prima facie</w:t>
      </w:r>
      <w:r w:rsidRPr="008647C8">
        <w:rPr>
          <w:rFonts w:ascii="Times New Roman" w:hAnsi="Times New Roman" w:cs="Times New Roman"/>
          <w:sz w:val="28"/>
          <w:szCs w:val="28"/>
        </w:rPr>
        <w:t xml:space="preserve"> </w:t>
      </w:r>
      <w:r w:rsidR="0057673D" w:rsidRPr="008647C8">
        <w:rPr>
          <w:rFonts w:ascii="Times New Roman" w:hAnsi="Times New Roman" w:cs="Times New Roman"/>
          <w:sz w:val="28"/>
          <w:szCs w:val="28"/>
        </w:rPr>
        <w:t>defamatory.</w:t>
      </w:r>
      <w:r w:rsidR="002A71E1" w:rsidRPr="008647C8">
        <w:rPr>
          <w:rFonts w:ascii="Times New Roman" w:hAnsi="Times New Roman" w:cs="Times New Roman"/>
          <w:sz w:val="28"/>
          <w:szCs w:val="28"/>
        </w:rPr>
        <w:t xml:space="preserve"> </w:t>
      </w:r>
      <w:r w:rsidR="0057673D" w:rsidRPr="008647C8">
        <w:rPr>
          <w:rFonts w:ascii="Times New Roman" w:hAnsi="Times New Roman" w:cs="Times New Roman"/>
          <w:sz w:val="28"/>
          <w:szCs w:val="28"/>
        </w:rPr>
        <w:t xml:space="preserve">Mr </w:t>
      </w:r>
      <w:r w:rsidR="0057673D" w:rsidRPr="008647C8">
        <w:rPr>
          <w:rFonts w:ascii="Times New Roman" w:hAnsi="Times New Roman" w:cs="Times New Roman"/>
          <w:i/>
          <w:sz w:val="28"/>
          <w:szCs w:val="28"/>
        </w:rPr>
        <w:t>du Plessis</w:t>
      </w:r>
      <w:r w:rsidR="0057673D" w:rsidRPr="008647C8">
        <w:rPr>
          <w:rFonts w:ascii="Times New Roman" w:hAnsi="Times New Roman" w:cs="Times New Roman"/>
          <w:sz w:val="28"/>
          <w:szCs w:val="28"/>
        </w:rPr>
        <w:t xml:space="preserve"> </w:t>
      </w:r>
      <w:r w:rsidR="007E75AB">
        <w:rPr>
          <w:rFonts w:ascii="Times New Roman" w:hAnsi="Times New Roman" w:cs="Times New Roman"/>
          <w:sz w:val="28"/>
          <w:szCs w:val="28"/>
        </w:rPr>
        <w:t xml:space="preserve">did not answer my enquiry, but </w:t>
      </w:r>
      <w:r w:rsidR="0057673D" w:rsidRPr="008647C8">
        <w:rPr>
          <w:rFonts w:ascii="Times New Roman" w:hAnsi="Times New Roman" w:cs="Times New Roman"/>
          <w:sz w:val="28"/>
          <w:szCs w:val="28"/>
        </w:rPr>
        <w:t>submitted that it would be convenient to separate the issues because:</w:t>
      </w:r>
    </w:p>
    <w:p w14:paraId="23EE9229" w14:textId="2CBFDF8A" w:rsidR="0057673D" w:rsidRPr="008647C8" w:rsidRDefault="0057673D" w:rsidP="00AD09B9">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ab/>
        <w:t>(a)</w:t>
      </w:r>
      <w:r w:rsidRPr="008647C8">
        <w:rPr>
          <w:rFonts w:ascii="Times New Roman" w:hAnsi="Times New Roman" w:cs="Times New Roman"/>
          <w:sz w:val="28"/>
          <w:szCs w:val="28"/>
        </w:rPr>
        <w:tab/>
        <w:t>the hearing of a great deal of evidence would be avoided;</w:t>
      </w:r>
    </w:p>
    <w:p w14:paraId="143AA968" w14:textId="14B8C8D8" w:rsidR="0014570D" w:rsidRPr="008647C8" w:rsidRDefault="0057673D" w:rsidP="0057673D">
      <w:pPr>
        <w:spacing w:line="360" w:lineRule="auto"/>
        <w:ind w:left="1440" w:hanging="720"/>
        <w:jc w:val="both"/>
        <w:rPr>
          <w:rFonts w:ascii="Times New Roman" w:hAnsi="Times New Roman" w:cs="Times New Roman"/>
          <w:sz w:val="28"/>
          <w:szCs w:val="28"/>
        </w:rPr>
      </w:pPr>
      <w:r w:rsidRPr="008647C8">
        <w:rPr>
          <w:rFonts w:ascii="Times New Roman" w:hAnsi="Times New Roman" w:cs="Times New Roman"/>
          <w:sz w:val="28"/>
          <w:szCs w:val="28"/>
        </w:rPr>
        <w:t>(b)</w:t>
      </w:r>
      <w:r w:rsidRPr="008647C8">
        <w:rPr>
          <w:rFonts w:ascii="Times New Roman" w:hAnsi="Times New Roman" w:cs="Times New Roman"/>
          <w:sz w:val="28"/>
          <w:szCs w:val="28"/>
        </w:rPr>
        <w:tab/>
        <w:t>the court would only have to decide on the ord</w:t>
      </w:r>
      <w:r w:rsidR="002A71E1" w:rsidRPr="008647C8">
        <w:rPr>
          <w:rFonts w:ascii="Times New Roman" w:hAnsi="Times New Roman" w:cs="Times New Roman"/>
          <w:sz w:val="28"/>
          <w:szCs w:val="28"/>
        </w:rPr>
        <w:t>ina</w:t>
      </w:r>
      <w:r w:rsidRPr="008647C8">
        <w:rPr>
          <w:rFonts w:ascii="Times New Roman" w:hAnsi="Times New Roman" w:cs="Times New Roman"/>
          <w:sz w:val="28"/>
          <w:szCs w:val="28"/>
        </w:rPr>
        <w:t>r</w:t>
      </w:r>
      <w:r w:rsidR="002A71E1" w:rsidRPr="008647C8">
        <w:rPr>
          <w:rFonts w:ascii="Times New Roman" w:hAnsi="Times New Roman" w:cs="Times New Roman"/>
          <w:sz w:val="28"/>
          <w:szCs w:val="28"/>
        </w:rPr>
        <w:t>y</w:t>
      </w:r>
      <w:r w:rsidRPr="008647C8">
        <w:rPr>
          <w:rFonts w:ascii="Times New Roman" w:hAnsi="Times New Roman" w:cs="Times New Roman"/>
          <w:sz w:val="28"/>
          <w:szCs w:val="28"/>
        </w:rPr>
        <w:t xml:space="preserve"> meaning of the words used</w:t>
      </w:r>
      <w:r w:rsidR="002A71E1" w:rsidRPr="008647C8">
        <w:rPr>
          <w:rFonts w:ascii="Times New Roman" w:hAnsi="Times New Roman" w:cs="Times New Roman"/>
          <w:sz w:val="28"/>
          <w:szCs w:val="28"/>
        </w:rPr>
        <w:t>. As the test for whether language is defamatory is an objective one, no evidence could be led at the</w:t>
      </w:r>
      <w:r w:rsidR="005826EE" w:rsidRPr="008647C8">
        <w:rPr>
          <w:rFonts w:ascii="Times New Roman" w:hAnsi="Times New Roman" w:cs="Times New Roman"/>
          <w:sz w:val="28"/>
          <w:szCs w:val="28"/>
        </w:rPr>
        <w:t xml:space="preserve"> hearing of the separated issue</w:t>
      </w:r>
      <w:r w:rsidR="001B7364" w:rsidRPr="008647C8">
        <w:rPr>
          <w:rFonts w:ascii="Times New Roman" w:hAnsi="Times New Roman" w:cs="Times New Roman"/>
          <w:sz w:val="28"/>
          <w:szCs w:val="28"/>
        </w:rPr>
        <w:t xml:space="preserve"> to explain the meaning</w:t>
      </w:r>
      <w:r w:rsidR="005826EE" w:rsidRPr="008647C8">
        <w:rPr>
          <w:rFonts w:ascii="Times New Roman" w:hAnsi="Times New Roman" w:cs="Times New Roman"/>
          <w:sz w:val="28"/>
          <w:szCs w:val="28"/>
        </w:rPr>
        <w:t xml:space="preserve">. </w:t>
      </w:r>
      <w:r w:rsidR="0014570D" w:rsidRPr="008647C8">
        <w:rPr>
          <w:rFonts w:ascii="Times New Roman" w:hAnsi="Times New Roman" w:cs="Times New Roman"/>
          <w:sz w:val="28"/>
          <w:szCs w:val="28"/>
        </w:rPr>
        <w:t xml:space="preserve">In </w:t>
      </w:r>
      <w:r w:rsidR="0014570D" w:rsidRPr="008647C8">
        <w:rPr>
          <w:rFonts w:ascii="Times New Roman" w:hAnsi="Times New Roman" w:cs="Times New Roman"/>
          <w:i/>
          <w:sz w:val="28"/>
          <w:szCs w:val="28"/>
        </w:rPr>
        <w:t xml:space="preserve">Le Roux and others v Dey </w:t>
      </w:r>
      <w:r w:rsidR="0014570D" w:rsidRPr="008647C8">
        <w:rPr>
          <w:rFonts w:ascii="Times New Roman" w:hAnsi="Times New Roman" w:cs="Times New Roman"/>
          <w:i/>
          <w:sz w:val="28"/>
          <w:szCs w:val="28"/>
        </w:rPr>
        <w:lastRenderedPageBreak/>
        <w:t>(Freedom of Expression Institute and Restorative Justice Centre as amici curiae)</w:t>
      </w:r>
      <w:r w:rsidR="0014570D" w:rsidRPr="008647C8">
        <w:rPr>
          <w:rFonts w:ascii="Times New Roman" w:hAnsi="Times New Roman" w:cs="Times New Roman"/>
          <w:sz w:val="28"/>
          <w:szCs w:val="28"/>
        </w:rPr>
        <w:t xml:space="preserve"> 2011 (3) SA 274 (CC) para 90, Brand AJ stated:</w:t>
      </w:r>
    </w:p>
    <w:p w14:paraId="1BA367BE" w14:textId="373549DD" w:rsidR="0057673D" w:rsidRPr="008647C8" w:rsidRDefault="0014570D" w:rsidP="0057673D">
      <w:pPr>
        <w:spacing w:line="360" w:lineRule="auto"/>
        <w:ind w:left="1440" w:hanging="720"/>
        <w:jc w:val="both"/>
        <w:rPr>
          <w:rFonts w:ascii="Times New Roman" w:hAnsi="Times New Roman" w:cs="Times New Roman"/>
          <w:sz w:val="28"/>
          <w:szCs w:val="28"/>
        </w:rPr>
      </w:pPr>
      <w:r w:rsidRPr="008647C8">
        <w:rPr>
          <w:rFonts w:ascii="Times New Roman" w:hAnsi="Times New Roman" w:cs="Times New Roman"/>
          <w:sz w:val="28"/>
          <w:szCs w:val="28"/>
        </w:rPr>
        <w:tab/>
      </w:r>
      <w:r w:rsidR="00852895" w:rsidRPr="008647C8">
        <w:rPr>
          <w:rFonts w:ascii="Times New Roman" w:hAnsi="Times New Roman" w:cs="Times New Roman"/>
          <w:sz w:val="28"/>
          <w:szCs w:val="28"/>
        </w:rPr>
        <w:t>‘</w:t>
      </w:r>
      <w:r w:rsidRPr="008647C8">
        <w:rPr>
          <w:rFonts w:ascii="Times New Roman" w:hAnsi="Times New Roman" w:cs="Times New Roman"/>
          <w:sz w:val="24"/>
          <w:szCs w:val="24"/>
        </w:rPr>
        <w:t>The reasonable reader or observer is thus a legal construct of an individual utilised by the court to establish meaning. Because the test is objective, a court may not hear evidence of the sense in which the statement was understood by the actual reader or observer of the statement or publication in question.’</w:t>
      </w:r>
      <w:r w:rsidRPr="008647C8">
        <w:rPr>
          <w:rFonts w:ascii="Times New Roman" w:hAnsi="Times New Roman" w:cs="Times New Roman"/>
          <w:i/>
          <w:sz w:val="28"/>
          <w:szCs w:val="28"/>
        </w:rPr>
        <w:t xml:space="preserve"> </w:t>
      </w:r>
      <w:r w:rsidR="00852895" w:rsidRPr="008647C8">
        <w:rPr>
          <w:rFonts w:ascii="Times New Roman" w:hAnsi="Times New Roman" w:cs="Times New Roman"/>
          <w:sz w:val="24"/>
          <w:szCs w:val="28"/>
        </w:rPr>
        <w:t>(Footnote omitted.)</w:t>
      </w:r>
    </w:p>
    <w:p w14:paraId="45B3C221" w14:textId="7461BE4E" w:rsidR="002A71E1" w:rsidRPr="008647C8" w:rsidRDefault="002A71E1" w:rsidP="0057673D">
      <w:pPr>
        <w:spacing w:line="360" w:lineRule="auto"/>
        <w:ind w:left="1440" w:hanging="720"/>
        <w:jc w:val="both"/>
        <w:rPr>
          <w:rFonts w:ascii="Times New Roman" w:hAnsi="Times New Roman" w:cs="Times New Roman"/>
          <w:sz w:val="28"/>
          <w:szCs w:val="28"/>
        </w:rPr>
      </w:pPr>
      <w:r w:rsidRPr="008647C8">
        <w:rPr>
          <w:rFonts w:ascii="Times New Roman" w:hAnsi="Times New Roman" w:cs="Times New Roman"/>
          <w:sz w:val="28"/>
          <w:szCs w:val="28"/>
        </w:rPr>
        <w:t>(c)</w:t>
      </w:r>
      <w:r w:rsidRPr="008647C8">
        <w:rPr>
          <w:rFonts w:ascii="Times New Roman" w:hAnsi="Times New Roman" w:cs="Times New Roman"/>
          <w:sz w:val="28"/>
          <w:szCs w:val="28"/>
        </w:rPr>
        <w:tab/>
      </w:r>
      <w:r w:rsidR="00885AFF">
        <w:rPr>
          <w:rFonts w:ascii="Times New Roman" w:hAnsi="Times New Roman" w:cs="Times New Roman"/>
          <w:sz w:val="28"/>
          <w:szCs w:val="28"/>
        </w:rPr>
        <w:t>even though</w:t>
      </w:r>
      <w:r w:rsidRPr="008647C8">
        <w:rPr>
          <w:rFonts w:ascii="Times New Roman" w:hAnsi="Times New Roman" w:cs="Times New Roman"/>
          <w:sz w:val="28"/>
          <w:szCs w:val="28"/>
        </w:rPr>
        <w:t xml:space="preserve"> the plaintiffs suggest that the words have a secondary meaning that is not what they have pleaded, having pleaded only that the words are </w:t>
      </w:r>
      <w:r w:rsidR="00BF2C9E" w:rsidRPr="00BF2C9E">
        <w:rPr>
          <w:rFonts w:ascii="Times New Roman" w:hAnsi="Times New Roman" w:cs="Times New Roman"/>
          <w:i/>
          <w:sz w:val="28"/>
          <w:szCs w:val="28"/>
        </w:rPr>
        <w:t>per se</w:t>
      </w:r>
      <w:r w:rsidRPr="008647C8">
        <w:rPr>
          <w:rFonts w:ascii="Times New Roman" w:hAnsi="Times New Roman" w:cs="Times New Roman"/>
          <w:sz w:val="28"/>
          <w:szCs w:val="28"/>
        </w:rPr>
        <w:t xml:space="preserve"> defamatory</w:t>
      </w:r>
      <w:r w:rsidR="001B7364" w:rsidRPr="008647C8">
        <w:rPr>
          <w:rFonts w:ascii="Times New Roman" w:hAnsi="Times New Roman" w:cs="Times New Roman"/>
          <w:sz w:val="28"/>
          <w:szCs w:val="28"/>
        </w:rPr>
        <w:t xml:space="preserve"> or impliedly defamatory. The le</w:t>
      </w:r>
      <w:r w:rsidRPr="008647C8">
        <w:rPr>
          <w:rFonts w:ascii="Times New Roman" w:hAnsi="Times New Roman" w:cs="Times New Roman"/>
          <w:sz w:val="28"/>
          <w:szCs w:val="28"/>
        </w:rPr>
        <w:t>ading of evidence on any seco</w:t>
      </w:r>
      <w:r w:rsidR="00515715" w:rsidRPr="008647C8">
        <w:rPr>
          <w:rFonts w:ascii="Times New Roman" w:hAnsi="Times New Roman" w:cs="Times New Roman"/>
          <w:sz w:val="28"/>
          <w:szCs w:val="28"/>
        </w:rPr>
        <w:t>ndary meanings would be impermissible</w:t>
      </w:r>
      <w:r w:rsidR="00330CB3" w:rsidRPr="008647C8">
        <w:rPr>
          <w:rFonts w:ascii="Times New Roman" w:hAnsi="Times New Roman" w:cs="Times New Roman"/>
          <w:sz w:val="28"/>
          <w:szCs w:val="28"/>
        </w:rPr>
        <w:t>;</w:t>
      </w:r>
    </w:p>
    <w:p w14:paraId="0FBA9083" w14:textId="67E37F14" w:rsidR="00B74388" w:rsidRPr="008647C8" w:rsidRDefault="002A71E1" w:rsidP="0057673D">
      <w:pPr>
        <w:spacing w:line="360" w:lineRule="auto"/>
        <w:ind w:left="1440" w:hanging="720"/>
        <w:jc w:val="both"/>
        <w:rPr>
          <w:rFonts w:ascii="Times New Roman" w:hAnsi="Times New Roman" w:cs="Times New Roman"/>
          <w:sz w:val="28"/>
          <w:szCs w:val="28"/>
        </w:rPr>
      </w:pPr>
      <w:r w:rsidRPr="008647C8">
        <w:rPr>
          <w:rFonts w:ascii="Times New Roman" w:hAnsi="Times New Roman" w:cs="Times New Roman"/>
          <w:sz w:val="28"/>
          <w:szCs w:val="28"/>
        </w:rPr>
        <w:t>(d)</w:t>
      </w:r>
      <w:r w:rsidRPr="008647C8">
        <w:rPr>
          <w:rFonts w:ascii="Times New Roman" w:hAnsi="Times New Roman" w:cs="Times New Roman"/>
          <w:sz w:val="28"/>
          <w:szCs w:val="28"/>
        </w:rPr>
        <w:tab/>
      </w:r>
      <w:r w:rsidR="00B74388" w:rsidRPr="008647C8">
        <w:rPr>
          <w:rFonts w:ascii="Times New Roman" w:hAnsi="Times New Roman" w:cs="Times New Roman"/>
          <w:sz w:val="28"/>
          <w:szCs w:val="28"/>
        </w:rPr>
        <w:t xml:space="preserve">if there is to be no separated hearing, the defendants would have to </w:t>
      </w:r>
      <w:r w:rsidR="001B7364" w:rsidRPr="008647C8">
        <w:rPr>
          <w:rFonts w:ascii="Times New Roman" w:hAnsi="Times New Roman" w:cs="Times New Roman"/>
          <w:sz w:val="28"/>
          <w:szCs w:val="28"/>
        </w:rPr>
        <w:t>lead evid</w:t>
      </w:r>
      <w:r w:rsidR="00B74388" w:rsidRPr="008647C8">
        <w:rPr>
          <w:rFonts w:ascii="Times New Roman" w:hAnsi="Times New Roman" w:cs="Times New Roman"/>
          <w:sz w:val="28"/>
          <w:szCs w:val="28"/>
        </w:rPr>
        <w:t>ence for ‘days and days’</w:t>
      </w:r>
      <w:r w:rsidR="00501D6B" w:rsidRPr="008647C8">
        <w:rPr>
          <w:rFonts w:ascii="Times New Roman" w:hAnsi="Times New Roman" w:cs="Times New Roman"/>
          <w:sz w:val="28"/>
          <w:szCs w:val="28"/>
        </w:rPr>
        <w:t>. This evidence would relate to the remaining issues which would arise after a court had decided whether the words used were defamatory – truth and public benefit, protected comment and reasonable publication</w:t>
      </w:r>
      <w:r w:rsidR="00B74388" w:rsidRPr="008647C8">
        <w:rPr>
          <w:rFonts w:ascii="Times New Roman" w:hAnsi="Times New Roman" w:cs="Times New Roman"/>
          <w:sz w:val="28"/>
          <w:szCs w:val="28"/>
        </w:rPr>
        <w:t>;</w:t>
      </w:r>
    </w:p>
    <w:p w14:paraId="1427BF60" w14:textId="7EA0AC1B" w:rsidR="00B74388" w:rsidRPr="008647C8" w:rsidRDefault="00B74388" w:rsidP="0057673D">
      <w:pPr>
        <w:spacing w:line="360" w:lineRule="auto"/>
        <w:ind w:left="1440" w:hanging="720"/>
        <w:jc w:val="both"/>
        <w:rPr>
          <w:rFonts w:ascii="Times New Roman" w:hAnsi="Times New Roman" w:cs="Times New Roman"/>
          <w:sz w:val="28"/>
          <w:szCs w:val="28"/>
        </w:rPr>
      </w:pPr>
      <w:r w:rsidRPr="008647C8">
        <w:rPr>
          <w:rFonts w:ascii="Times New Roman" w:hAnsi="Times New Roman" w:cs="Times New Roman"/>
          <w:sz w:val="28"/>
          <w:szCs w:val="28"/>
        </w:rPr>
        <w:t>(e)</w:t>
      </w:r>
      <w:r w:rsidRPr="008647C8">
        <w:rPr>
          <w:rFonts w:ascii="Times New Roman" w:hAnsi="Times New Roman" w:cs="Times New Roman"/>
          <w:sz w:val="28"/>
          <w:szCs w:val="28"/>
        </w:rPr>
        <w:tab/>
      </w:r>
      <w:r w:rsidR="001B7364" w:rsidRPr="008647C8">
        <w:rPr>
          <w:rFonts w:ascii="Times New Roman" w:hAnsi="Times New Roman" w:cs="Times New Roman"/>
          <w:sz w:val="28"/>
          <w:szCs w:val="28"/>
        </w:rPr>
        <w:t xml:space="preserve">if </w:t>
      </w:r>
      <w:r w:rsidRPr="008647C8">
        <w:rPr>
          <w:rFonts w:ascii="Times New Roman" w:hAnsi="Times New Roman" w:cs="Times New Roman"/>
          <w:sz w:val="28"/>
          <w:szCs w:val="28"/>
        </w:rPr>
        <w:t xml:space="preserve">no separate hearing </w:t>
      </w:r>
      <w:r w:rsidR="001B7364" w:rsidRPr="008647C8">
        <w:rPr>
          <w:rFonts w:ascii="Times New Roman" w:hAnsi="Times New Roman" w:cs="Times New Roman"/>
          <w:sz w:val="28"/>
          <w:szCs w:val="28"/>
        </w:rPr>
        <w:t xml:space="preserve">was held, discovery </w:t>
      </w:r>
      <w:r w:rsidRPr="008647C8">
        <w:rPr>
          <w:rFonts w:ascii="Times New Roman" w:hAnsi="Times New Roman" w:cs="Times New Roman"/>
          <w:sz w:val="28"/>
          <w:szCs w:val="28"/>
        </w:rPr>
        <w:t xml:space="preserve">would result in </w:t>
      </w:r>
      <w:r w:rsidR="00E10FD8" w:rsidRPr="008647C8">
        <w:rPr>
          <w:rFonts w:ascii="Times New Roman" w:hAnsi="Times New Roman" w:cs="Times New Roman"/>
          <w:sz w:val="28"/>
          <w:szCs w:val="28"/>
        </w:rPr>
        <w:t xml:space="preserve">many unnecessary </w:t>
      </w:r>
      <w:r w:rsidRPr="008647C8">
        <w:rPr>
          <w:rFonts w:ascii="Times New Roman" w:hAnsi="Times New Roman" w:cs="Times New Roman"/>
          <w:sz w:val="28"/>
          <w:szCs w:val="28"/>
        </w:rPr>
        <w:t>d</w:t>
      </w:r>
      <w:r w:rsidR="00E10FD8" w:rsidRPr="008647C8">
        <w:rPr>
          <w:rFonts w:ascii="Times New Roman" w:hAnsi="Times New Roman" w:cs="Times New Roman"/>
          <w:sz w:val="28"/>
          <w:szCs w:val="28"/>
        </w:rPr>
        <w:t>ocuments be</w:t>
      </w:r>
      <w:r w:rsidR="00CB2812" w:rsidRPr="008647C8">
        <w:rPr>
          <w:rFonts w:ascii="Times New Roman" w:hAnsi="Times New Roman" w:cs="Times New Roman"/>
          <w:sz w:val="28"/>
          <w:szCs w:val="28"/>
        </w:rPr>
        <w:t>ing</w:t>
      </w:r>
      <w:r w:rsidR="00E10FD8" w:rsidRPr="008647C8">
        <w:rPr>
          <w:rFonts w:ascii="Times New Roman" w:hAnsi="Times New Roman" w:cs="Times New Roman"/>
          <w:sz w:val="28"/>
          <w:szCs w:val="28"/>
        </w:rPr>
        <w:t xml:space="preserve"> dealt with, incl</w:t>
      </w:r>
      <w:r w:rsidRPr="008647C8">
        <w:rPr>
          <w:rFonts w:ascii="Times New Roman" w:hAnsi="Times New Roman" w:cs="Times New Roman"/>
          <w:sz w:val="28"/>
          <w:szCs w:val="28"/>
        </w:rPr>
        <w:t>uding, possibly, the State Capture Report.</w:t>
      </w:r>
    </w:p>
    <w:p w14:paraId="5AD1054C" w14:textId="77777777" w:rsidR="00B74388" w:rsidRPr="008647C8" w:rsidRDefault="00B74388" w:rsidP="00EC31E6">
      <w:pPr>
        <w:spacing w:after="0" w:line="240" w:lineRule="auto"/>
        <w:ind w:left="1440" w:hanging="720"/>
        <w:jc w:val="both"/>
        <w:rPr>
          <w:rFonts w:ascii="Times New Roman" w:hAnsi="Times New Roman" w:cs="Times New Roman"/>
          <w:sz w:val="28"/>
          <w:szCs w:val="28"/>
        </w:rPr>
      </w:pPr>
    </w:p>
    <w:p w14:paraId="2BB9C237" w14:textId="2C81412C" w:rsidR="00240C04" w:rsidRPr="008647C8" w:rsidRDefault="00B74388" w:rsidP="00240C04">
      <w:pPr>
        <w:spacing w:before="240" w:line="360" w:lineRule="auto"/>
        <w:jc w:val="both"/>
        <w:rPr>
          <w:rFonts w:ascii="Times New Roman" w:hAnsi="Times New Roman" w:cs="Times New Roman"/>
          <w:sz w:val="28"/>
          <w:szCs w:val="28"/>
        </w:rPr>
      </w:pPr>
      <w:r w:rsidRPr="008647C8">
        <w:rPr>
          <w:rFonts w:ascii="Times New Roman" w:hAnsi="Times New Roman" w:cs="Times New Roman"/>
          <w:sz w:val="28"/>
          <w:szCs w:val="28"/>
        </w:rPr>
        <w:t>[17]</w:t>
      </w:r>
      <w:r w:rsidRPr="008647C8">
        <w:rPr>
          <w:rFonts w:ascii="Times New Roman" w:hAnsi="Times New Roman" w:cs="Times New Roman"/>
          <w:sz w:val="28"/>
          <w:szCs w:val="28"/>
        </w:rPr>
        <w:tab/>
        <w:t xml:space="preserve">Mr </w:t>
      </w:r>
      <w:r w:rsidRPr="008647C8">
        <w:rPr>
          <w:rFonts w:ascii="Times New Roman" w:hAnsi="Times New Roman" w:cs="Times New Roman"/>
          <w:i/>
          <w:sz w:val="28"/>
          <w:szCs w:val="28"/>
        </w:rPr>
        <w:t>du Plessis</w:t>
      </w:r>
      <w:r w:rsidRPr="008647C8">
        <w:rPr>
          <w:rFonts w:ascii="Times New Roman" w:hAnsi="Times New Roman" w:cs="Times New Roman"/>
          <w:sz w:val="28"/>
          <w:szCs w:val="28"/>
        </w:rPr>
        <w:t xml:space="preserve"> also submitted that the practice of holding a separate hearing in defamation cases is confirmed in </w:t>
      </w:r>
      <w:r w:rsidR="00A635EA" w:rsidRPr="008647C8">
        <w:rPr>
          <w:rFonts w:ascii="Times New Roman" w:hAnsi="Times New Roman" w:cs="Times New Roman"/>
          <w:i/>
          <w:sz w:val="28"/>
          <w:szCs w:val="28"/>
        </w:rPr>
        <w:t xml:space="preserve">Sindani v Van </w:t>
      </w:r>
      <w:r w:rsidR="0046474D" w:rsidRPr="008647C8">
        <w:rPr>
          <w:rFonts w:ascii="Times New Roman" w:hAnsi="Times New Roman" w:cs="Times New Roman"/>
          <w:i/>
          <w:sz w:val="28"/>
          <w:szCs w:val="28"/>
        </w:rPr>
        <w:t>d</w:t>
      </w:r>
      <w:r w:rsidR="00A635EA" w:rsidRPr="008647C8">
        <w:rPr>
          <w:rFonts w:ascii="Times New Roman" w:hAnsi="Times New Roman" w:cs="Times New Roman"/>
          <w:i/>
          <w:sz w:val="28"/>
          <w:szCs w:val="28"/>
        </w:rPr>
        <w:t>er Merwe and others</w:t>
      </w:r>
      <w:r w:rsidR="00A635EA" w:rsidRPr="008647C8">
        <w:rPr>
          <w:rFonts w:ascii="Times New Roman" w:hAnsi="Times New Roman" w:cs="Times New Roman"/>
          <w:sz w:val="28"/>
          <w:szCs w:val="28"/>
        </w:rPr>
        <w:t xml:space="preserve"> [2002] </w:t>
      </w:r>
      <w:r w:rsidR="00B83CE2" w:rsidRPr="008647C8">
        <w:rPr>
          <w:rFonts w:ascii="Times New Roman" w:hAnsi="Times New Roman" w:cs="Times New Roman"/>
          <w:sz w:val="28"/>
          <w:szCs w:val="28"/>
        </w:rPr>
        <w:t xml:space="preserve">1 </w:t>
      </w:r>
      <w:r w:rsidR="00A635EA" w:rsidRPr="008647C8">
        <w:rPr>
          <w:rFonts w:ascii="Times New Roman" w:hAnsi="Times New Roman" w:cs="Times New Roman"/>
          <w:sz w:val="28"/>
          <w:szCs w:val="28"/>
        </w:rPr>
        <w:t xml:space="preserve">All SA 311 (SCA), where the court </w:t>
      </w:r>
      <w:r w:rsidR="00A635EA" w:rsidRPr="008647C8">
        <w:rPr>
          <w:rFonts w:ascii="Times New Roman" w:hAnsi="Times New Roman" w:cs="Times New Roman"/>
          <w:i/>
          <w:sz w:val="28"/>
          <w:szCs w:val="28"/>
        </w:rPr>
        <w:t>a quo</w:t>
      </w:r>
      <w:r w:rsidR="00A635EA" w:rsidRPr="008647C8">
        <w:rPr>
          <w:rFonts w:ascii="Times New Roman" w:hAnsi="Times New Roman" w:cs="Times New Roman"/>
          <w:sz w:val="28"/>
          <w:szCs w:val="28"/>
        </w:rPr>
        <w:t xml:space="preserve"> decided, as a first and separate issue, whether the article in question was de</w:t>
      </w:r>
      <w:r w:rsidR="004F04D4" w:rsidRPr="008647C8">
        <w:rPr>
          <w:rFonts w:ascii="Times New Roman" w:hAnsi="Times New Roman" w:cs="Times New Roman"/>
          <w:sz w:val="28"/>
          <w:szCs w:val="28"/>
        </w:rPr>
        <w:t>fa</w:t>
      </w:r>
      <w:r w:rsidR="00A635EA" w:rsidRPr="008647C8">
        <w:rPr>
          <w:rFonts w:ascii="Times New Roman" w:hAnsi="Times New Roman" w:cs="Times New Roman"/>
          <w:sz w:val="28"/>
          <w:szCs w:val="28"/>
        </w:rPr>
        <w:t>matory.</w:t>
      </w:r>
      <w:r w:rsidR="004F04D4" w:rsidRPr="008647C8">
        <w:rPr>
          <w:rFonts w:ascii="Times New Roman" w:hAnsi="Times New Roman" w:cs="Times New Roman"/>
          <w:sz w:val="28"/>
          <w:szCs w:val="28"/>
        </w:rPr>
        <w:t xml:space="preserve"> </w:t>
      </w:r>
      <w:r w:rsidR="00240C04" w:rsidRPr="008647C8">
        <w:rPr>
          <w:rFonts w:ascii="Times New Roman" w:hAnsi="Times New Roman" w:cs="Times New Roman"/>
          <w:sz w:val="28"/>
          <w:szCs w:val="28"/>
        </w:rPr>
        <w:t xml:space="preserve">This approach was also adopted in </w:t>
      </w:r>
      <w:r w:rsidR="00240C04" w:rsidRPr="008647C8">
        <w:rPr>
          <w:rFonts w:ascii="Times New Roman" w:hAnsi="Times New Roman" w:cs="Times New Roman"/>
          <w:i/>
          <w:sz w:val="28"/>
          <w:szCs w:val="28"/>
        </w:rPr>
        <w:t xml:space="preserve">Netshandama v NEHAWU and another </w:t>
      </w:r>
      <w:r w:rsidR="00240C04" w:rsidRPr="008647C8">
        <w:rPr>
          <w:rFonts w:ascii="Times New Roman" w:hAnsi="Times New Roman" w:cs="Times New Roman"/>
          <w:sz w:val="28"/>
          <w:szCs w:val="28"/>
        </w:rPr>
        <w:t>(26096/2014) [2016] ZAG</w:t>
      </w:r>
      <w:r w:rsidR="00330CB3" w:rsidRPr="008647C8">
        <w:rPr>
          <w:rFonts w:ascii="Times New Roman" w:hAnsi="Times New Roman" w:cs="Times New Roman"/>
          <w:sz w:val="28"/>
          <w:szCs w:val="28"/>
        </w:rPr>
        <w:t>P</w:t>
      </w:r>
      <w:r w:rsidR="00240C04" w:rsidRPr="008647C8">
        <w:rPr>
          <w:rFonts w:ascii="Times New Roman" w:hAnsi="Times New Roman" w:cs="Times New Roman"/>
          <w:sz w:val="28"/>
          <w:szCs w:val="28"/>
        </w:rPr>
        <w:t>JHC 330 (9 December 2016)</w:t>
      </w:r>
      <w:r w:rsidR="00330CB3" w:rsidRPr="008647C8">
        <w:rPr>
          <w:rFonts w:ascii="Times New Roman" w:hAnsi="Times New Roman" w:cs="Times New Roman"/>
          <w:sz w:val="28"/>
          <w:szCs w:val="28"/>
        </w:rPr>
        <w:t>,</w:t>
      </w:r>
      <w:r w:rsidR="00240C04" w:rsidRPr="008647C8">
        <w:rPr>
          <w:rFonts w:ascii="Times New Roman" w:hAnsi="Times New Roman" w:cs="Times New Roman"/>
          <w:sz w:val="28"/>
          <w:szCs w:val="28"/>
        </w:rPr>
        <w:t xml:space="preserve"> a judgment of </w:t>
      </w:r>
      <w:r w:rsidR="00330CB3" w:rsidRPr="008647C8">
        <w:rPr>
          <w:rFonts w:ascii="Times New Roman" w:hAnsi="Times New Roman" w:cs="Times New Roman"/>
          <w:sz w:val="28"/>
          <w:szCs w:val="28"/>
        </w:rPr>
        <w:t>V</w:t>
      </w:r>
      <w:r w:rsidR="00240C04" w:rsidRPr="008647C8">
        <w:rPr>
          <w:rFonts w:ascii="Times New Roman" w:hAnsi="Times New Roman" w:cs="Times New Roman"/>
          <w:sz w:val="28"/>
          <w:szCs w:val="28"/>
        </w:rPr>
        <w:t xml:space="preserve">an der Linde J. Although the order was </w:t>
      </w:r>
      <w:r w:rsidR="00240C04" w:rsidRPr="008647C8">
        <w:rPr>
          <w:rFonts w:ascii="Times New Roman" w:hAnsi="Times New Roman" w:cs="Times New Roman"/>
          <w:sz w:val="28"/>
          <w:szCs w:val="28"/>
        </w:rPr>
        <w:lastRenderedPageBreak/>
        <w:t>granted by consent, the learned judge heard the separated issues, and, I have no doubt, would no</w:t>
      </w:r>
      <w:r w:rsidR="00337D5F" w:rsidRPr="008647C8">
        <w:rPr>
          <w:rFonts w:ascii="Times New Roman" w:hAnsi="Times New Roman" w:cs="Times New Roman"/>
          <w:sz w:val="28"/>
          <w:szCs w:val="28"/>
        </w:rPr>
        <w:t>t have agreed to the separation</w:t>
      </w:r>
      <w:r w:rsidR="00240C04" w:rsidRPr="008647C8">
        <w:rPr>
          <w:rFonts w:ascii="Times New Roman" w:hAnsi="Times New Roman" w:cs="Times New Roman"/>
          <w:sz w:val="28"/>
          <w:szCs w:val="28"/>
        </w:rPr>
        <w:t xml:space="preserve"> and later heard the argument, unless he considered it appropriate for him to do so.</w:t>
      </w:r>
    </w:p>
    <w:p w14:paraId="2522E8AA" w14:textId="77777777" w:rsidR="00337D5F" w:rsidRPr="008647C8" w:rsidRDefault="00337D5F" w:rsidP="0046474D">
      <w:pPr>
        <w:spacing w:after="0" w:line="240" w:lineRule="auto"/>
        <w:jc w:val="both"/>
        <w:rPr>
          <w:rFonts w:ascii="Times New Roman" w:hAnsi="Times New Roman" w:cs="Times New Roman"/>
          <w:sz w:val="28"/>
          <w:szCs w:val="28"/>
        </w:rPr>
      </w:pPr>
    </w:p>
    <w:p w14:paraId="1ABB9E2F" w14:textId="7B7265C6" w:rsidR="004F04D4" w:rsidRPr="008647C8" w:rsidRDefault="00515715" w:rsidP="00460F9B">
      <w:pPr>
        <w:pStyle w:val="Heading2"/>
        <w:shd w:val="clear" w:color="auto" w:fill="FFFFFF"/>
        <w:spacing w:before="240" w:beforeAutospacing="0" w:after="180" w:afterAutospacing="0" w:line="360" w:lineRule="auto"/>
        <w:jc w:val="both"/>
        <w:rPr>
          <w:b w:val="0"/>
          <w:bCs w:val="0"/>
          <w:color w:val="64473A"/>
          <w:sz w:val="28"/>
          <w:szCs w:val="28"/>
        </w:rPr>
      </w:pPr>
      <w:r w:rsidRPr="008647C8">
        <w:rPr>
          <w:b w:val="0"/>
          <w:sz w:val="28"/>
          <w:szCs w:val="28"/>
        </w:rPr>
        <w:t>[18]</w:t>
      </w:r>
      <w:r w:rsidRPr="008647C8">
        <w:rPr>
          <w:sz w:val="28"/>
          <w:szCs w:val="28"/>
        </w:rPr>
        <w:tab/>
      </w:r>
      <w:r w:rsidR="00240C04" w:rsidRPr="008647C8">
        <w:rPr>
          <w:b w:val="0"/>
          <w:sz w:val="28"/>
          <w:szCs w:val="28"/>
        </w:rPr>
        <w:t>Reference</w:t>
      </w:r>
      <w:r w:rsidR="004F04D4" w:rsidRPr="008647C8">
        <w:rPr>
          <w:b w:val="0"/>
          <w:sz w:val="28"/>
          <w:szCs w:val="28"/>
        </w:rPr>
        <w:t xml:space="preserve"> was also made to </w:t>
      </w:r>
      <w:r w:rsidR="00C879C6">
        <w:rPr>
          <w:b w:val="0"/>
          <w:i/>
          <w:sz w:val="28"/>
          <w:szCs w:val="28"/>
        </w:rPr>
        <w:t xml:space="preserve">The </w:t>
      </w:r>
      <w:r w:rsidR="00B74388" w:rsidRPr="008647C8">
        <w:rPr>
          <w:b w:val="0"/>
          <w:i/>
          <w:sz w:val="28"/>
          <w:szCs w:val="28"/>
        </w:rPr>
        <w:t>Lord Mc</w:t>
      </w:r>
      <w:r w:rsidR="00C06DB9" w:rsidRPr="008647C8">
        <w:rPr>
          <w:b w:val="0"/>
          <w:i/>
          <w:sz w:val="28"/>
          <w:szCs w:val="28"/>
        </w:rPr>
        <w:t>A</w:t>
      </w:r>
      <w:r w:rsidR="00B74388" w:rsidRPr="008647C8">
        <w:rPr>
          <w:b w:val="0"/>
          <w:i/>
          <w:sz w:val="28"/>
          <w:szCs w:val="28"/>
        </w:rPr>
        <w:t xml:space="preserve">lpine v </w:t>
      </w:r>
      <w:r w:rsidR="00C879C6">
        <w:rPr>
          <w:b w:val="0"/>
          <w:i/>
          <w:sz w:val="28"/>
          <w:szCs w:val="28"/>
        </w:rPr>
        <w:t xml:space="preserve">Sally </w:t>
      </w:r>
      <w:r w:rsidR="00B74388" w:rsidRPr="008647C8">
        <w:rPr>
          <w:b w:val="0"/>
          <w:i/>
          <w:sz w:val="28"/>
          <w:szCs w:val="28"/>
        </w:rPr>
        <w:t>Bercow</w:t>
      </w:r>
      <w:r w:rsidR="00C06DB9" w:rsidRPr="008647C8">
        <w:rPr>
          <w:b w:val="0"/>
          <w:sz w:val="28"/>
          <w:szCs w:val="28"/>
        </w:rPr>
        <w:t xml:space="preserve"> [2013] EWHC 981 (QB)</w:t>
      </w:r>
      <w:r w:rsidR="00B74388" w:rsidRPr="008647C8">
        <w:rPr>
          <w:b w:val="0"/>
          <w:sz w:val="28"/>
          <w:szCs w:val="28"/>
        </w:rPr>
        <w:t>, at least as far as English L</w:t>
      </w:r>
      <w:r w:rsidR="004F04D4" w:rsidRPr="008647C8">
        <w:rPr>
          <w:b w:val="0"/>
          <w:sz w:val="28"/>
          <w:szCs w:val="28"/>
        </w:rPr>
        <w:t>aw is concerned.</w:t>
      </w:r>
      <w:r w:rsidR="00B74388" w:rsidRPr="008647C8">
        <w:rPr>
          <w:b w:val="0"/>
          <w:sz w:val="28"/>
          <w:szCs w:val="28"/>
        </w:rPr>
        <w:t xml:space="preserve"> </w:t>
      </w:r>
      <w:r w:rsidR="004F04D4" w:rsidRPr="008647C8">
        <w:rPr>
          <w:b w:val="0"/>
          <w:sz w:val="28"/>
          <w:szCs w:val="28"/>
        </w:rPr>
        <w:t xml:space="preserve">Mr </w:t>
      </w:r>
      <w:r w:rsidR="004F04D4" w:rsidRPr="008647C8">
        <w:rPr>
          <w:b w:val="0"/>
          <w:i/>
          <w:sz w:val="28"/>
          <w:szCs w:val="28"/>
        </w:rPr>
        <w:t xml:space="preserve">du Plessis </w:t>
      </w:r>
      <w:r w:rsidR="004F04D4" w:rsidRPr="008647C8">
        <w:rPr>
          <w:b w:val="0"/>
          <w:sz w:val="28"/>
          <w:szCs w:val="28"/>
        </w:rPr>
        <w:t xml:space="preserve">submitted that </w:t>
      </w:r>
      <w:r w:rsidR="00B74388" w:rsidRPr="008647C8">
        <w:rPr>
          <w:b w:val="0"/>
          <w:sz w:val="28"/>
          <w:szCs w:val="28"/>
        </w:rPr>
        <w:t xml:space="preserve">our law follows English procedural laws with regard to defamation. The dominant practice is to determine defamation as a primary issue. This involves an objective determination of the meaning of the words used, with no evidence being admissible with regard to the meaning thereof. The Supreme Court of Appeal in </w:t>
      </w:r>
      <w:r w:rsidR="00460F9B" w:rsidRPr="008647C8">
        <w:rPr>
          <w:b w:val="0"/>
          <w:bCs w:val="0"/>
          <w:i/>
          <w:sz w:val="28"/>
          <w:szCs w:val="28"/>
        </w:rPr>
        <w:t>Council for Medical Schemes v Selfmed</w:t>
      </w:r>
      <w:r w:rsidR="00885AFF">
        <w:rPr>
          <w:b w:val="0"/>
          <w:bCs w:val="0"/>
          <w:i/>
          <w:sz w:val="28"/>
          <w:szCs w:val="28"/>
        </w:rPr>
        <w:t xml:space="preserve"> </w:t>
      </w:r>
      <w:r w:rsidR="00460F9B" w:rsidRPr="008647C8">
        <w:rPr>
          <w:b w:val="0"/>
          <w:bCs w:val="0"/>
          <w:sz w:val="28"/>
          <w:szCs w:val="28"/>
        </w:rPr>
        <w:t xml:space="preserve">(561/2010) [2011] ZASCA 207 (25 November 2011) </w:t>
      </w:r>
      <w:r w:rsidR="00B74388" w:rsidRPr="008647C8">
        <w:rPr>
          <w:b w:val="0"/>
          <w:sz w:val="28"/>
          <w:szCs w:val="28"/>
        </w:rPr>
        <w:t xml:space="preserve">confirmed the contextual approach to the interpretation </w:t>
      </w:r>
      <w:r w:rsidR="005826EE" w:rsidRPr="008647C8">
        <w:rPr>
          <w:b w:val="0"/>
          <w:sz w:val="28"/>
          <w:szCs w:val="28"/>
        </w:rPr>
        <w:t>of allegedly defamatory words, and the wisdom of separating issues in this regard</w:t>
      </w:r>
      <w:r w:rsidR="00460F9B" w:rsidRPr="008647C8">
        <w:rPr>
          <w:b w:val="0"/>
          <w:sz w:val="28"/>
          <w:szCs w:val="28"/>
        </w:rPr>
        <w:t xml:space="preserve"> (</w:t>
      </w:r>
      <w:r w:rsidR="009B62D5">
        <w:rPr>
          <w:b w:val="0"/>
          <w:sz w:val="28"/>
          <w:szCs w:val="28"/>
        </w:rPr>
        <w:t xml:space="preserve">Mr </w:t>
      </w:r>
      <w:r w:rsidR="009B62D5">
        <w:rPr>
          <w:b w:val="0"/>
          <w:i/>
          <w:sz w:val="28"/>
          <w:szCs w:val="28"/>
        </w:rPr>
        <w:t xml:space="preserve">du </w:t>
      </w:r>
      <w:r w:rsidR="009B62D5" w:rsidRPr="009B62D5">
        <w:rPr>
          <w:b w:val="0"/>
          <w:i/>
          <w:sz w:val="28"/>
          <w:szCs w:val="28"/>
        </w:rPr>
        <w:t>Plessis</w:t>
      </w:r>
      <w:r w:rsidR="009B62D5">
        <w:rPr>
          <w:b w:val="0"/>
          <w:sz w:val="28"/>
          <w:szCs w:val="28"/>
        </w:rPr>
        <w:t xml:space="preserve"> submitted that separation it was ‘the dominant practice to determine defamation as a primary issue’. </w:t>
      </w:r>
      <w:r w:rsidR="001A3BBD" w:rsidRPr="009B62D5">
        <w:rPr>
          <w:b w:val="0"/>
          <w:sz w:val="28"/>
          <w:szCs w:val="28"/>
        </w:rPr>
        <w:t>What</w:t>
      </w:r>
      <w:r w:rsidR="001A3BBD">
        <w:rPr>
          <w:b w:val="0"/>
          <w:sz w:val="28"/>
          <w:szCs w:val="28"/>
        </w:rPr>
        <w:t xml:space="preserve"> Tugendhat J actually said was ‘</w:t>
      </w:r>
      <w:r w:rsidR="001A3BBD" w:rsidRPr="001A3BBD">
        <w:rPr>
          <w:b w:val="0"/>
          <w:sz w:val="28"/>
          <w:szCs w:val="28"/>
        </w:rPr>
        <w:t>The question of its meaning is being tried separately as a preliminary issue. That is not uncommon in libel actions nowadays, in cases where it is agreed that the trial will be by a judge sitting without a jury.</w:t>
      </w:r>
      <w:r w:rsidR="001A3BBD">
        <w:rPr>
          <w:b w:val="0"/>
        </w:rPr>
        <w:t>’</w:t>
      </w:r>
      <w:r w:rsidR="00460F9B" w:rsidRPr="008647C8">
        <w:rPr>
          <w:b w:val="0"/>
          <w:sz w:val="28"/>
          <w:szCs w:val="28"/>
        </w:rPr>
        <w:t>)</w:t>
      </w:r>
      <w:r w:rsidR="005826EE" w:rsidRPr="008647C8">
        <w:rPr>
          <w:b w:val="0"/>
          <w:sz w:val="28"/>
          <w:szCs w:val="28"/>
        </w:rPr>
        <w:t>.</w:t>
      </w:r>
      <w:r w:rsidR="002A71E1" w:rsidRPr="008647C8">
        <w:rPr>
          <w:b w:val="0"/>
          <w:sz w:val="28"/>
          <w:szCs w:val="28"/>
        </w:rPr>
        <w:t xml:space="preserve"> </w:t>
      </w:r>
      <w:r w:rsidR="00460F9B" w:rsidRPr="008647C8">
        <w:rPr>
          <w:b w:val="0"/>
          <w:sz w:val="28"/>
          <w:szCs w:val="28"/>
        </w:rPr>
        <w:t xml:space="preserve"> </w:t>
      </w:r>
    </w:p>
    <w:p w14:paraId="5CFD8379" w14:textId="38F23370" w:rsidR="004F04D4" w:rsidRPr="008647C8" w:rsidRDefault="004F04D4" w:rsidP="0046474D">
      <w:pPr>
        <w:spacing w:after="0" w:line="240" w:lineRule="auto"/>
        <w:jc w:val="both"/>
        <w:rPr>
          <w:rFonts w:ascii="Times New Roman" w:hAnsi="Times New Roman" w:cs="Times New Roman"/>
          <w:sz w:val="28"/>
          <w:szCs w:val="28"/>
        </w:rPr>
      </w:pPr>
    </w:p>
    <w:p w14:paraId="3EAC2F4C" w14:textId="381053E9" w:rsidR="004F04D4" w:rsidRPr="008647C8" w:rsidRDefault="00515715" w:rsidP="00B74388">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[19</w:t>
      </w:r>
      <w:r w:rsidR="004F04D4" w:rsidRPr="008647C8">
        <w:rPr>
          <w:rFonts w:ascii="Times New Roman" w:hAnsi="Times New Roman" w:cs="Times New Roman"/>
          <w:sz w:val="28"/>
          <w:szCs w:val="28"/>
        </w:rPr>
        <w:t>]</w:t>
      </w:r>
      <w:r w:rsidR="004F04D4" w:rsidRPr="008647C8">
        <w:rPr>
          <w:rFonts w:ascii="Times New Roman" w:hAnsi="Times New Roman" w:cs="Times New Roman"/>
          <w:sz w:val="28"/>
          <w:szCs w:val="28"/>
        </w:rPr>
        <w:tab/>
        <w:t xml:space="preserve">Mr </w:t>
      </w:r>
      <w:r w:rsidR="004F04D4" w:rsidRPr="008647C8">
        <w:rPr>
          <w:rFonts w:ascii="Times New Roman" w:hAnsi="Times New Roman" w:cs="Times New Roman"/>
          <w:i/>
          <w:sz w:val="28"/>
          <w:szCs w:val="28"/>
        </w:rPr>
        <w:t>du Plessis</w:t>
      </w:r>
      <w:r w:rsidR="004F04D4" w:rsidRPr="008647C8">
        <w:rPr>
          <w:rFonts w:ascii="Times New Roman" w:hAnsi="Times New Roman" w:cs="Times New Roman"/>
          <w:sz w:val="28"/>
          <w:szCs w:val="28"/>
        </w:rPr>
        <w:t xml:space="preserve"> pointed out that the plaintiffs </w:t>
      </w:r>
      <w:r w:rsidR="00885AFF" w:rsidRPr="008647C8">
        <w:rPr>
          <w:rFonts w:ascii="Times New Roman" w:hAnsi="Times New Roman" w:cs="Times New Roman"/>
          <w:sz w:val="28"/>
          <w:szCs w:val="28"/>
        </w:rPr>
        <w:t>had raised</w:t>
      </w:r>
      <w:r w:rsidR="004F04D4" w:rsidRPr="008647C8">
        <w:rPr>
          <w:rFonts w:ascii="Times New Roman" w:hAnsi="Times New Roman" w:cs="Times New Roman"/>
          <w:sz w:val="28"/>
          <w:szCs w:val="28"/>
        </w:rPr>
        <w:t xml:space="preserve"> the issue of </w:t>
      </w:r>
      <w:r w:rsidR="001A6321" w:rsidRPr="008647C8">
        <w:rPr>
          <w:rFonts w:ascii="Times New Roman" w:hAnsi="Times New Roman" w:cs="Times New Roman"/>
          <w:sz w:val="28"/>
          <w:szCs w:val="28"/>
        </w:rPr>
        <w:t>a sting in paragraph 16 of their p</w:t>
      </w:r>
      <w:r w:rsidR="00885AFF">
        <w:rPr>
          <w:rFonts w:ascii="Times New Roman" w:hAnsi="Times New Roman" w:cs="Times New Roman"/>
          <w:sz w:val="28"/>
          <w:szCs w:val="28"/>
        </w:rPr>
        <w:t>articulars of claim</w:t>
      </w:r>
      <w:r w:rsidR="00E04CA9">
        <w:rPr>
          <w:rFonts w:ascii="Times New Roman" w:hAnsi="Times New Roman" w:cs="Times New Roman"/>
          <w:sz w:val="28"/>
          <w:szCs w:val="28"/>
        </w:rPr>
        <w:t>,</w:t>
      </w:r>
      <w:r w:rsidR="001A6321" w:rsidRPr="008647C8">
        <w:rPr>
          <w:rFonts w:ascii="Times New Roman" w:hAnsi="Times New Roman" w:cs="Times New Roman"/>
          <w:sz w:val="28"/>
          <w:szCs w:val="28"/>
        </w:rPr>
        <w:t xml:space="preserve"> </w:t>
      </w:r>
      <w:r w:rsidR="00E3700A" w:rsidRPr="008647C8">
        <w:rPr>
          <w:rFonts w:ascii="Times New Roman" w:hAnsi="Times New Roman" w:cs="Times New Roman"/>
          <w:sz w:val="28"/>
          <w:szCs w:val="28"/>
        </w:rPr>
        <w:t xml:space="preserve">and </w:t>
      </w:r>
      <w:r w:rsidR="001A6321" w:rsidRPr="008647C8">
        <w:rPr>
          <w:rFonts w:ascii="Times New Roman" w:hAnsi="Times New Roman" w:cs="Times New Roman"/>
          <w:sz w:val="28"/>
          <w:szCs w:val="28"/>
        </w:rPr>
        <w:t xml:space="preserve">they would have to adduce evidence to prove it. In </w:t>
      </w:r>
      <w:r w:rsidR="001A6321" w:rsidRPr="008647C8">
        <w:rPr>
          <w:rFonts w:ascii="Times New Roman" w:hAnsi="Times New Roman" w:cs="Times New Roman"/>
          <w:i/>
          <w:sz w:val="28"/>
          <w:szCs w:val="28"/>
        </w:rPr>
        <w:t>Le Roux,</w:t>
      </w:r>
      <w:r w:rsidR="001A6321" w:rsidRPr="008647C8">
        <w:rPr>
          <w:rFonts w:ascii="Times New Roman" w:hAnsi="Times New Roman" w:cs="Times New Roman"/>
          <w:sz w:val="28"/>
          <w:szCs w:val="28"/>
        </w:rPr>
        <w:t xml:space="preserve"> Brand AJ had distinguished between primary and secondary meanings of statements – a primary meaning, which is the ordinary meaning given to a statement in its context by a reasonable person, and a secondary meaning, which is a meaning other than the ordinary meaning, also referred to as an innuendo, derived from special circumstances which can be attributed to the statement only by a person who has knowledge of the special circumstances (para 87). </w:t>
      </w:r>
      <w:r w:rsidR="009D6438" w:rsidRPr="008647C8">
        <w:rPr>
          <w:rFonts w:ascii="Times New Roman" w:hAnsi="Times New Roman" w:cs="Times New Roman"/>
          <w:sz w:val="28"/>
          <w:szCs w:val="28"/>
        </w:rPr>
        <w:t xml:space="preserve">An implied meaning is not a secondary meaning or </w:t>
      </w:r>
      <w:r w:rsidR="009D6438" w:rsidRPr="008647C8">
        <w:rPr>
          <w:rFonts w:ascii="Times New Roman" w:hAnsi="Times New Roman" w:cs="Times New Roman"/>
          <w:sz w:val="28"/>
          <w:szCs w:val="28"/>
        </w:rPr>
        <w:lastRenderedPageBreak/>
        <w:t>innuendo, but is part of the ordinary meaning. The special circumstances must be pleaded.</w:t>
      </w:r>
    </w:p>
    <w:p w14:paraId="5DA12807" w14:textId="23278D13" w:rsidR="000B2216" w:rsidRPr="008647C8" w:rsidRDefault="000B2216" w:rsidP="00B74388">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 xml:space="preserve">In </w:t>
      </w:r>
      <w:r w:rsidRPr="008647C8">
        <w:rPr>
          <w:rFonts w:ascii="Times New Roman" w:hAnsi="Times New Roman" w:cs="Times New Roman"/>
          <w:i/>
          <w:sz w:val="28"/>
          <w:szCs w:val="28"/>
        </w:rPr>
        <w:t>Selfmed</w:t>
      </w:r>
      <w:r w:rsidRPr="008647C8">
        <w:rPr>
          <w:rFonts w:ascii="Times New Roman" w:hAnsi="Times New Roman" w:cs="Times New Roman"/>
          <w:sz w:val="28"/>
          <w:szCs w:val="28"/>
        </w:rPr>
        <w:t xml:space="preserve">, </w:t>
      </w:r>
      <w:r w:rsidR="00330CB3" w:rsidRPr="008647C8">
        <w:rPr>
          <w:rFonts w:ascii="Times New Roman" w:hAnsi="Times New Roman" w:cs="Times New Roman"/>
          <w:sz w:val="28"/>
          <w:szCs w:val="28"/>
        </w:rPr>
        <w:t>V</w:t>
      </w:r>
      <w:r w:rsidRPr="008647C8">
        <w:rPr>
          <w:rFonts w:ascii="Times New Roman" w:hAnsi="Times New Roman" w:cs="Times New Roman"/>
          <w:sz w:val="28"/>
          <w:szCs w:val="28"/>
        </w:rPr>
        <w:t>an Heerden JA stated at para 60:</w:t>
      </w:r>
    </w:p>
    <w:p w14:paraId="100B1D22" w14:textId="77777777" w:rsidR="000B2216" w:rsidRPr="008647C8" w:rsidRDefault="000B2216" w:rsidP="000B2216">
      <w:pPr>
        <w:spacing w:line="360" w:lineRule="auto"/>
        <w:ind w:left="720"/>
        <w:jc w:val="both"/>
        <w:rPr>
          <w:rFonts w:ascii="Times New Roman" w:hAnsi="Times New Roman" w:cs="Times New Roman"/>
          <w:sz w:val="24"/>
          <w:szCs w:val="24"/>
        </w:rPr>
      </w:pPr>
      <w:r w:rsidRPr="008647C8">
        <w:rPr>
          <w:rFonts w:ascii="Times New Roman" w:hAnsi="Times New Roman" w:cs="Times New Roman"/>
          <w:sz w:val="24"/>
          <w:szCs w:val="24"/>
        </w:rPr>
        <w:t xml:space="preserve">‘As no secondary meaning is relied upon by the respondents, the question is how a reasonable person of ordinary intelligence forming part of the abovementioned group would construe the statements complained of.’ </w:t>
      </w:r>
    </w:p>
    <w:p w14:paraId="542B3405" w14:textId="2E642DCC" w:rsidR="000B2216" w:rsidRPr="008647C8" w:rsidRDefault="000B2216" w:rsidP="000B2216">
      <w:pPr>
        <w:spacing w:line="360" w:lineRule="auto"/>
        <w:jc w:val="both"/>
        <w:rPr>
          <w:rFonts w:ascii="Times New Roman" w:hAnsi="Times New Roman" w:cs="Times New Roman"/>
          <w:i/>
          <w:sz w:val="28"/>
          <w:szCs w:val="28"/>
        </w:rPr>
      </w:pPr>
      <w:r w:rsidRPr="008647C8">
        <w:rPr>
          <w:rFonts w:ascii="Times New Roman" w:hAnsi="Times New Roman" w:cs="Times New Roman"/>
          <w:sz w:val="28"/>
          <w:szCs w:val="28"/>
        </w:rPr>
        <w:t>The ‘abovementioned group’ referred to was the group of people who would have understood who was being referred to in the writing. In this matter, that would include every reader of the book.</w:t>
      </w:r>
      <w:r w:rsidRPr="008647C8">
        <w:rPr>
          <w:rFonts w:ascii="Times New Roman" w:hAnsi="Times New Roman" w:cs="Times New Roman"/>
          <w:i/>
          <w:sz w:val="28"/>
          <w:szCs w:val="28"/>
        </w:rPr>
        <w:t xml:space="preserve"> </w:t>
      </w:r>
    </w:p>
    <w:p w14:paraId="390F47D5" w14:textId="101F2E65" w:rsidR="009D6438" w:rsidRPr="008647C8" w:rsidRDefault="009D6438" w:rsidP="002C7FFB">
      <w:pPr>
        <w:spacing w:after="0" w:line="240" w:lineRule="auto"/>
        <w:jc w:val="both"/>
        <w:rPr>
          <w:rFonts w:ascii="Times New Roman" w:hAnsi="Times New Roman" w:cs="Times New Roman"/>
          <w:sz w:val="28"/>
          <w:szCs w:val="28"/>
        </w:rPr>
      </w:pPr>
    </w:p>
    <w:p w14:paraId="174380C8" w14:textId="09A3E496" w:rsidR="009D6438" w:rsidRPr="008647C8" w:rsidRDefault="00515715" w:rsidP="00B74388">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[20</w:t>
      </w:r>
      <w:r w:rsidR="009D6438" w:rsidRPr="008647C8">
        <w:rPr>
          <w:rFonts w:ascii="Times New Roman" w:hAnsi="Times New Roman" w:cs="Times New Roman"/>
          <w:sz w:val="28"/>
          <w:szCs w:val="28"/>
        </w:rPr>
        <w:t>]</w:t>
      </w:r>
      <w:r w:rsidR="009D6438" w:rsidRPr="008647C8">
        <w:rPr>
          <w:rFonts w:ascii="Times New Roman" w:hAnsi="Times New Roman" w:cs="Times New Roman"/>
          <w:sz w:val="28"/>
          <w:szCs w:val="28"/>
        </w:rPr>
        <w:tab/>
        <w:t xml:space="preserve">On the other hand, a ‘sting’ </w:t>
      </w:r>
      <w:r w:rsidR="00E04CA9">
        <w:rPr>
          <w:rFonts w:ascii="Times New Roman" w:hAnsi="Times New Roman" w:cs="Times New Roman"/>
          <w:sz w:val="28"/>
          <w:szCs w:val="28"/>
        </w:rPr>
        <w:t>in</w:t>
      </w:r>
      <w:r w:rsidR="009D6438" w:rsidRPr="008647C8">
        <w:rPr>
          <w:rFonts w:ascii="Times New Roman" w:hAnsi="Times New Roman" w:cs="Times New Roman"/>
          <w:sz w:val="28"/>
          <w:szCs w:val="28"/>
        </w:rPr>
        <w:t xml:space="preserve"> a statement may be defamatory </w:t>
      </w:r>
      <w:r w:rsidR="00BF2C9E" w:rsidRPr="00BF2C9E">
        <w:rPr>
          <w:rFonts w:ascii="Times New Roman" w:hAnsi="Times New Roman" w:cs="Times New Roman"/>
          <w:i/>
          <w:sz w:val="28"/>
          <w:szCs w:val="28"/>
        </w:rPr>
        <w:t>per se</w:t>
      </w:r>
      <w:r w:rsidR="009D6438" w:rsidRPr="008647C8">
        <w:rPr>
          <w:rFonts w:ascii="Times New Roman" w:hAnsi="Times New Roman" w:cs="Times New Roman"/>
          <w:sz w:val="28"/>
          <w:szCs w:val="28"/>
        </w:rPr>
        <w:t>. This may be emphasised by paraphrasing the statement, which is referred to as a quasi-innuendo, which does not have to be pleaded, but by which meaning the plaintiff is bound (</w:t>
      </w:r>
      <w:r w:rsidR="003B1C97" w:rsidRPr="008647C8">
        <w:rPr>
          <w:rFonts w:ascii="Times New Roman" w:hAnsi="Times New Roman" w:cs="Times New Roman"/>
          <w:i/>
          <w:sz w:val="28"/>
          <w:szCs w:val="28"/>
        </w:rPr>
        <w:t xml:space="preserve">Le Roux </w:t>
      </w:r>
      <w:r w:rsidR="009D6438" w:rsidRPr="008647C8">
        <w:rPr>
          <w:rFonts w:ascii="Times New Roman" w:hAnsi="Times New Roman" w:cs="Times New Roman"/>
          <w:sz w:val="28"/>
          <w:szCs w:val="28"/>
        </w:rPr>
        <w:t>para 88).</w:t>
      </w:r>
    </w:p>
    <w:p w14:paraId="0F62595B" w14:textId="0AC3F390" w:rsidR="009D6438" w:rsidRPr="008647C8" w:rsidRDefault="007E75AB" w:rsidP="002C7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5AF7A92" w14:textId="29AB0055" w:rsidR="009D6438" w:rsidRPr="008647C8" w:rsidRDefault="00515715" w:rsidP="00B74388">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[21</w:t>
      </w:r>
      <w:r w:rsidR="009D6438" w:rsidRPr="008647C8">
        <w:rPr>
          <w:rFonts w:ascii="Times New Roman" w:hAnsi="Times New Roman" w:cs="Times New Roman"/>
          <w:sz w:val="28"/>
          <w:szCs w:val="28"/>
        </w:rPr>
        <w:t>]</w:t>
      </w:r>
      <w:r w:rsidR="009D6438" w:rsidRPr="008647C8">
        <w:rPr>
          <w:rFonts w:ascii="Times New Roman" w:hAnsi="Times New Roman" w:cs="Times New Roman"/>
          <w:sz w:val="28"/>
          <w:szCs w:val="28"/>
        </w:rPr>
        <w:tab/>
      </w:r>
      <w:r w:rsidR="00BB6089" w:rsidRPr="008647C8">
        <w:rPr>
          <w:rFonts w:ascii="Times New Roman" w:hAnsi="Times New Roman" w:cs="Times New Roman"/>
          <w:sz w:val="28"/>
          <w:szCs w:val="28"/>
        </w:rPr>
        <w:t xml:space="preserve">Mr </w:t>
      </w:r>
      <w:r w:rsidR="00BB6089" w:rsidRPr="008647C8">
        <w:rPr>
          <w:rFonts w:ascii="Times New Roman" w:hAnsi="Times New Roman" w:cs="Times New Roman"/>
          <w:i/>
          <w:sz w:val="28"/>
          <w:szCs w:val="28"/>
        </w:rPr>
        <w:t xml:space="preserve">Kissoon-Singh </w:t>
      </w:r>
      <w:r w:rsidR="00BB6089" w:rsidRPr="008647C8">
        <w:rPr>
          <w:rFonts w:ascii="Times New Roman" w:hAnsi="Times New Roman" w:cs="Times New Roman"/>
          <w:sz w:val="28"/>
          <w:szCs w:val="28"/>
        </w:rPr>
        <w:t xml:space="preserve">SC, who appeared for the plaintiffs, together with Ms </w:t>
      </w:r>
      <w:r w:rsidR="00BB6089" w:rsidRPr="008647C8">
        <w:rPr>
          <w:rFonts w:ascii="Times New Roman" w:hAnsi="Times New Roman" w:cs="Times New Roman"/>
          <w:i/>
          <w:sz w:val="28"/>
          <w:szCs w:val="28"/>
        </w:rPr>
        <w:t>T Palmer</w:t>
      </w:r>
      <w:r w:rsidR="00BB6089" w:rsidRPr="008647C8">
        <w:rPr>
          <w:rFonts w:ascii="Times New Roman" w:hAnsi="Times New Roman" w:cs="Times New Roman"/>
          <w:sz w:val="28"/>
          <w:szCs w:val="28"/>
        </w:rPr>
        <w:t xml:space="preserve">, </w:t>
      </w:r>
      <w:r w:rsidR="001938DA" w:rsidRPr="008647C8">
        <w:rPr>
          <w:rFonts w:ascii="Times New Roman" w:hAnsi="Times New Roman" w:cs="Times New Roman"/>
          <w:sz w:val="28"/>
          <w:szCs w:val="28"/>
        </w:rPr>
        <w:t xml:space="preserve">submitted that the defendants had not clarified what they sought in their </w:t>
      </w:r>
      <w:r w:rsidR="002C7FFB" w:rsidRPr="008647C8">
        <w:rPr>
          <w:rFonts w:ascii="Times New Roman" w:hAnsi="Times New Roman" w:cs="Times New Roman"/>
          <w:sz w:val="28"/>
          <w:szCs w:val="28"/>
        </w:rPr>
        <w:t>n</w:t>
      </w:r>
      <w:r w:rsidR="001938DA" w:rsidRPr="008647C8">
        <w:rPr>
          <w:rFonts w:ascii="Times New Roman" w:hAnsi="Times New Roman" w:cs="Times New Roman"/>
          <w:sz w:val="28"/>
          <w:szCs w:val="28"/>
        </w:rPr>
        <w:t xml:space="preserve">otice of </w:t>
      </w:r>
      <w:r w:rsidR="002C7FFB" w:rsidRPr="008647C8">
        <w:rPr>
          <w:rFonts w:ascii="Times New Roman" w:hAnsi="Times New Roman" w:cs="Times New Roman"/>
          <w:sz w:val="28"/>
          <w:szCs w:val="28"/>
        </w:rPr>
        <w:t>m</w:t>
      </w:r>
      <w:r w:rsidR="001938DA" w:rsidRPr="008647C8">
        <w:rPr>
          <w:rFonts w:ascii="Times New Roman" w:hAnsi="Times New Roman" w:cs="Times New Roman"/>
          <w:sz w:val="28"/>
          <w:szCs w:val="28"/>
        </w:rPr>
        <w:t xml:space="preserve">otion – the reference </w:t>
      </w:r>
      <w:r w:rsidR="0081017C" w:rsidRPr="008647C8">
        <w:rPr>
          <w:rFonts w:ascii="Times New Roman" w:hAnsi="Times New Roman" w:cs="Times New Roman"/>
          <w:sz w:val="28"/>
          <w:szCs w:val="28"/>
        </w:rPr>
        <w:t xml:space="preserve">in the prayers to the notice of motion </w:t>
      </w:r>
      <w:r w:rsidR="001938DA" w:rsidRPr="008647C8">
        <w:rPr>
          <w:rFonts w:ascii="Times New Roman" w:hAnsi="Times New Roman" w:cs="Times New Roman"/>
          <w:sz w:val="28"/>
          <w:szCs w:val="28"/>
        </w:rPr>
        <w:t>to ‘defamatory’ did not state ‘</w:t>
      </w:r>
      <w:r w:rsidR="00BF2C9E" w:rsidRPr="00BF2C9E">
        <w:rPr>
          <w:rFonts w:ascii="Times New Roman" w:hAnsi="Times New Roman" w:cs="Times New Roman"/>
          <w:i/>
          <w:sz w:val="28"/>
          <w:szCs w:val="28"/>
        </w:rPr>
        <w:t>per se</w:t>
      </w:r>
      <w:r w:rsidR="001938DA" w:rsidRPr="008647C8">
        <w:rPr>
          <w:rFonts w:ascii="Times New Roman" w:hAnsi="Times New Roman" w:cs="Times New Roman"/>
          <w:i/>
          <w:sz w:val="28"/>
          <w:szCs w:val="28"/>
        </w:rPr>
        <w:t>’</w:t>
      </w:r>
      <w:r w:rsidR="001938DA" w:rsidRPr="008647C8">
        <w:rPr>
          <w:rFonts w:ascii="Times New Roman" w:hAnsi="Times New Roman" w:cs="Times New Roman"/>
          <w:sz w:val="28"/>
          <w:szCs w:val="28"/>
        </w:rPr>
        <w:t xml:space="preserve"> defamatory, (as I had enquired</w:t>
      </w:r>
      <w:r w:rsidR="007E75AB">
        <w:rPr>
          <w:rFonts w:ascii="Times New Roman" w:hAnsi="Times New Roman" w:cs="Times New Roman"/>
          <w:sz w:val="28"/>
          <w:szCs w:val="28"/>
        </w:rPr>
        <w:t>, and to which question I had received no reply</w:t>
      </w:r>
      <w:r w:rsidR="001938DA" w:rsidRPr="008647C8">
        <w:rPr>
          <w:rFonts w:ascii="Times New Roman" w:hAnsi="Times New Roman" w:cs="Times New Roman"/>
          <w:sz w:val="28"/>
          <w:szCs w:val="28"/>
        </w:rPr>
        <w:t xml:space="preserve">), or whether </w:t>
      </w:r>
      <w:r w:rsidR="002E3313" w:rsidRPr="008647C8">
        <w:rPr>
          <w:rFonts w:ascii="Times New Roman" w:hAnsi="Times New Roman" w:cs="Times New Roman"/>
          <w:sz w:val="28"/>
          <w:szCs w:val="28"/>
        </w:rPr>
        <w:t>the separated issue was to apply</w:t>
      </w:r>
      <w:r w:rsidR="001938DA" w:rsidRPr="008647C8">
        <w:rPr>
          <w:rFonts w:ascii="Times New Roman" w:hAnsi="Times New Roman" w:cs="Times New Roman"/>
          <w:sz w:val="28"/>
          <w:szCs w:val="28"/>
        </w:rPr>
        <w:t xml:space="preserve"> to whether the statements were defamatory in law –</w:t>
      </w:r>
      <w:r w:rsidR="0056751D" w:rsidRPr="008647C8">
        <w:rPr>
          <w:rFonts w:ascii="Times New Roman" w:hAnsi="Times New Roman" w:cs="Times New Roman"/>
          <w:sz w:val="28"/>
          <w:szCs w:val="28"/>
        </w:rPr>
        <w:t xml:space="preserve"> </w:t>
      </w:r>
      <w:r w:rsidR="001938DA" w:rsidRPr="008647C8">
        <w:rPr>
          <w:rFonts w:ascii="Times New Roman" w:hAnsi="Times New Roman" w:cs="Times New Roman"/>
          <w:sz w:val="28"/>
          <w:szCs w:val="28"/>
        </w:rPr>
        <w:t xml:space="preserve">ie, after all defences had been exhausted. If one of the issues involves the leading of evidence, what is the effect of that on the time which will be used for </w:t>
      </w:r>
      <w:r w:rsidR="003D3100" w:rsidRPr="008647C8">
        <w:rPr>
          <w:rFonts w:ascii="Times New Roman" w:hAnsi="Times New Roman" w:cs="Times New Roman"/>
          <w:sz w:val="28"/>
          <w:szCs w:val="28"/>
        </w:rPr>
        <w:t xml:space="preserve">deciding </w:t>
      </w:r>
      <w:r w:rsidR="001938DA" w:rsidRPr="008647C8">
        <w:rPr>
          <w:rFonts w:ascii="Times New Roman" w:hAnsi="Times New Roman" w:cs="Times New Roman"/>
          <w:sz w:val="28"/>
          <w:szCs w:val="28"/>
        </w:rPr>
        <w:t>the separated issue</w:t>
      </w:r>
      <w:r w:rsidR="009D11D9" w:rsidRPr="008647C8">
        <w:rPr>
          <w:rFonts w:ascii="Times New Roman" w:hAnsi="Times New Roman" w:cs="Times New Roman"/>
          <w:sz w:val="28"/>
          <w:szCs w:val="28"/>
        </w:rPr>
        <w:t>s</w:t>
      </w:r>
      <w:r w:rsidR="001938DA" w:rsidRPr="008647C8">
        <w:rPr>
          <w:rFonts w:ascii="Times New Roman" w:hAnsi="Times New Roman" w:cs="Times New Roman"/>
          <w:sz w:val="28"/>
          <w:szCs w:val="28"/>
        </w:rPr>
        <w:t xml:space="preserve">. </w:t>
      </w:r>
    </w:p>
    <w:p w14:paraId="1814AD30" w14:textId="59AB035C" w:rsidR="0081017C" w:rsidRPr="008647C8" w:rsidRDefault="0081017C" w:rsidP="002C7FFB">
      <w:pPr>
        <w:spacing w:after="0" w:line="240" w:lineRule="auto"/>
        <w:jc w:val="both"/>
        <w:rPr>
          <w:rFonts w:ascii="Times New Roman" w:hAnsi="Times New Roman" w:cs="Times New Roman"/>
          <w:sz w:val="28"/>
          <w:szCs w:val="28"/>
        </w:rPr>
      </w:pPr>
    </w:p>
    <w:p w14:paraId="52209CF1" w14:textId="6D62CAF5" w:rsidR="001938DA" w:rsidRPr="008647C8" w:rsidRDefault="0081017C" w:rsidP="00B74388">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[22]</w:t>
      </w:r>
      <w:r w:rsidRPr="008647C8">
        <w:rPr>
          <w:rFonts w:ascii="Times New Roman" w:hAnsi="Times New Roman" w:cs="Times New Roman"/>
          <w:sz w:val="28"/>
          <w:szCs w:val="28"/>
        </w:rPr>
        <w:tab/>
        <w:t xml:space="preserve">Mr </w:t>
      </w:r>
      <w:r w:rsidRPr="008647C8">
        <w:rPr>
          <w:rFonts w:ascii="Times New Roman" w:hAnsi="Times New Roman" w:cs="Times New Roman"/>
          <w:i/>
          <w:sz w:val="28"/>
          <w:szCs w:val="28"/>
        </w:rPr>
        <w:t>Kissoon-Singh</w:t>
      </w:r>
      <w:r w:rsidRPr="008647C8">
        <w:rPr>
          <w:rFonts w:ascii="Times New Roman" w:hAnsi="Times New Roman" w:cs="Times New Roman"/>
          <w:sz w:val="28"/>
          <w:szCs w:val="28"/>
        </w:rPr>
        <w:t xml:space="preserve"> also submitted that:</w:t>
      </w:r>
    </w:p>
    <w:p w14:paraId="2637827A" w14:textId="51A6DEB8" w:rsidR="00D63A48" w:rsidRPr="008647C8" w:rsidRDefault="0081017C" w:rsidP="00D63A48">
      <w:pPr>
        <w:spacing w:line="360" w:lineRule="auto"/>
        <w:ind w:left="1440" w:hanging="720"/>
        <w:jc w:val="both"/>
        <w:rPr>
          <w:rFonts w:ascii="Times New Roman" w:hAnsi="Times New Roman" w:cs="Times New Roman"/>
          <w:sz w:val="28"/>
          <w:szCs w:val="28"/>
        </w:rPr>
      </w:pPr>
      <w:r w:rsidRPr="008647C8">
        <w:rPr>
          <w:rFonts w:ascii="Times New Roman" w:hAnsi="Times New Roman" w:cs="Times New Roman"/>
          <w:sz w:val="28"/>
          <w:szCs w:val="28"/>
        </w:rPr>
        <w:t>(a)</w:t>
      </w:r>
      <w:r w:rsidRPr="008647C8">
        <w:rPr>
          <w:rFonts w:ascii="Times New Roman" w:hAnsi="Times New Roman" w:cs="Times New Roman"/>
          <w:sz w:val="28"/>
          <w:szCs w:val="28"/>
        </w:rPr>
        <w:tab/>
        <w:t>there would be no point in separating any issue unless the decision of the court hearing the issue</w:t>
      </w:r>
      <w:r w:rsidR="00D63A48" w:rsidRPr="008647C8">
        <w:rPr>
          <w:rFonts w:ascii="Times New Roman" w:hAnsi="Times New Roman" w:cs="Times New Roman"/>
          <w:sz w:val="28"/>
          <w:szCs w:val="28"/>
        </w:rPr>
        <w:t xml:space="preserve">, disposed of </w:t>
      </w:r>
      <w:r w:rsidR="007E75AB">
        <w:rPr>
          <w:rFonts w:ascii="Times New Roman" w:hAnsi="Times New Roman" w:cs="Times New Roman"/>
          <w:sz w:val="28"/>
          <w:szCs w:val="28"/>
        </w:rPr>
        <w:t>the issues</w:t>
      </w:r>
      <w:r w:rsidR="00D63A48" w:rsidRPr="008647C8">
        <w:rPr>
          <w:rFonts w:ascii="Times New Roman" w:hAnsi="Times New Roman" w:cs="Times New Roman"/>
          <w:sz w:val="28"/>
          <w:szCs w:val="28"/>
        </w:rPr>
        <w:t xml:space="preserve">. This </w:t>
      </w:r>
      <w:r w:rsidR="00E04CA9">
        <w:rPr>
          <w:rFonts w:ascii="Times New Roman" w:hAnsi="Times New Roman" w:cs="Times New Roman"/>
          <w:sz w:val="28"/>
          <w:szCs w:val="28"/>
        </w:rPr>
        <w:t xml:space="preserve">would not </w:t>
      </w:r>
      <w:r w:rsidR="007E75AB">
        <w:rPr>
          <w:rFonts w:ascii="Times New Roman" w:hAnsi="Times New Roman" w:cs="Times New Roman"/>
          <w:sz w:val="28"/>
          <w:szCs w:val="28"/>
        </w:rPr>
        <w:lastRenderedPageBreak/>
        <w:t xml:space="preserve">necessarily </w:t>
      </w:r>
      <w:r w:rsidR="00E04CA9">
        <w:rPr>
          <w:rFonts w:ascii="Times New Roman" w:hAnsi="Times New Roman" w:cs="Times New Roman"/>
          <w:sz w:val="28"/>
          <w:szCs w:val="28"/>
        </w:rPr>
        <w:t xml:space="preserve">be </w:t>
      </w:r>
      <w:r w:rsidR="00D63A48" w:rsidRPr="008647C8">
        <w:rPr>
          <w:rFonts w:ascii="Times New Roman" w:hAnsi="Times New Roman" w:cs="Times New Roman"/>
          <w:sz w:val="28"/>
          <w:szCs w:val="28"/>
        </w:rPr>
        <w:t xml:space="preserve">the position in this matter, and two hearings may result </w:t>
      </w:r>
      <w:r w:rsidR="00B654A4">
        <w:rPr>
          <w:rFonts w:ascii="Times New Roman" w:hAnsi="Times New Roman" w:cs="Times New Roman"/>
          <w:sz w:val="28"/>
          <w:szCs w:val="28"/>
        </w:rPr>
        <w:t>i</w:t>
      </w:r>
      <w:r w:rsidR="00D63A48" w:rsidRPr="008647C8">
        <w:rPr>
          <w:rFonts w:ascii="Times New Roman" w:hAnsi="Times New Roman" w:cs="Times New Roman"/>
          <w:sz w:val="28"/>
          <w:szCs w:val="28"/>
        </w:rPr>
        <w:t xml:space="preserve">n the same issue </w:t>
      </w:r>
      <w:r w:rsidR="00E04CA9">
        <w:rPr>
          <w:rFonts w:ascii="Times New Roman" w:hAnsi="Times New Roman" w:cs="Times New Roman"/>
          <w:sz w:val="28"/>
          <w:szCs w:val="28"/>
        </w:rPr>
        <w:t xml:space="preserve">having different decisions </w:t>
      </w:r>
      <w:r w:rsidR="00D63A48" w:rsidRPr="008647C8">
        <w:rPr>
          <w:rFonts w:ascii="Times New Roman" w:hAnsi="Times New Roman" w:cs="Times New Roman"/>
          <w:sz w:val="28"/>
          <w:szCs w:val="28"/>
        </w:rPr>
        <w:t>by two different judges;</w:t>
      </w:r>
    </w:p>
    <w:p w14:paraId="4D63396E" w14:textId="77777777" w:rsidR="00D63A48" w:rsidRPr="008647C8" w:rsidRDefault="00D63A48" w:rsidP="00D63A48">
      <w:pPr>
        <w:spacing w:line="360" w:lineRule="auto"/>
        <w:ind w:left="1440" w:hanging="720"/>
        <w:jc w:val="both"/>
        <w:rPr>
          <w:rFonts w:ascii="Times New Roman" w:hAnsi="Times New Roman" w:cs="Times New Roman"/>
          <w:sz w:val="28"/>
          <w:szCs w:val="28"/>
        </w:rPr>
      </w:pPr>
      <w:r w:rsidRPr="008647C8">
        <w:rPr>
          <w:rFonts w:ascii="Times New Roman" w:hAnsi="Times New Roman" w:cs="Times New Roman"/>
          <w:sz w:val="28"/>
          <w:szCs w:val="28"/>
        </w:rPr>
        <w:t>(b)</w:t>
      </w:r>
      <w:r w:rsidRPr="008647C8">
        <w:rPr>
          <w:rFonts w:ascii="Times New Roman" w:hAnsi="Times New Roman" w:cs="Times New Roman"/>
          <w:sz w:val="28"/>
          <w:szCs w:val="28"/>
        </w:rPr>
        <w:tab/>
        <w:t>the background of the book, in which light the allegations must be viewed, deals with corruption, into which allegations the plaintiffs are drawn;</w:t>
      </w:r>
    </w:p>
    <w:p w14:paraId="021113F7" w14:textId="269C9DEB" w:rsidR="0081017C" w:rsidRPr="008647C8" w:rsidRDefault="00D63A48" w:rsidP="00D63A48">
      <w:pPr>
        <w:spacing w:line="360" w:lineRule="auto"/>
        <w:ind w:left="1440" w:hanging="720"/>
        <w:jc w:val="both"/>
        <w:rPr>
          <w:rFonts w:ascii="Times New Roman" w:hAnsi="Times New Roman" w:cs="Times New Roman"/>
          <w:sz w:val="28"/>
          <w:szCs w:val="28"/>
        </w:rPr>
      </w:pPr>
      <w:r w:rsidRPr="008647C8">
        <w:rPr>
          <w:rFonts w:ascii="Times New Roman" w:hAnsi="Times New Roman" w:cs="Times New Roman"/>
          <w:sz w:val="28"/>
          <w:szCs w:val="28"/>
        </w:rPr>
        <w:t>(c)</w:t>
      </w:r>
      <w:r w:rsidRPr="008647C8">
        <w:rPr>
          <w:rFonts w:ascii="Times New Roman" w:hAnsi="Times New Roman" w:cs="Times New Roman"/>
          <w:sz w:val="28"/>
          <w:szCs w:val="28"/>
        </w:rPr>
        <w:tab/>
      </w:r>
      <w:r w:rsidR="00B4091C" w:rsidRPr="008647C8">
        <w:rPr>
          <w:rFonts w:ascii="Times New Roman" w:hAnsi="Times New Roman" w:cs="Times New Roman"/>
          <w:sz w:val="28"/>
          <w:szCs w:val="28"/>
        </w:rPr>
        <w:t xml:space="preserve">the dicta in </w:t>
      </w:r>
      <w:r w:rsidR="00B4091C" w:rsidRPr="008647C8">
        <w:rPr>
          <w:rFonts w:ascii="Times New Roman" w:hAnsi="Times New Roman" w:cs="Times New Roman"/>
          <w:i/>
          <w:sz w:val="28"/>
          <w:szCs w:val="28"/>
        </w:rPr>
        <w:t>Coppermoon Trading 13 (Pty) Ltd v Governm</w:t>
      </w:r>
      <w:r w:rsidR="005D68F9" w:rsidRPr="008647C8">
        <w:rPr>
          <w:rFonts w:ascii="Times New Roman" w:hAnsi="Times New Roman" w:cs="Times New Roman"/>
          <w:i/>
          <w:sz w:val="28"/>
          <w:szCs w:val="28"/>
        </w:rPr>
        <w:t>ent, Eastern Cape Province and a</w:t>
      </w:r>
      <w:r w:rsidR="00B4091C" w:rsidRPr="008647C8">
        <w:rPr>
          <w:rFonts w:ascii="Times New Roman" w:hAnsi="Times New Roman" w:cs="Times New Roman"/>
          <w:i/>
          <w:sz w:val="28"/>
          <w:szCs w:val="28"/>
        </w:rPr>
        <w:t>nother</w:t>
      </w:r>
      <w:r w:rsidR="00B4091C" w:rsidRPr="008647C8">
        <w:rPr>
          <w:rFonts w:ascii="Times New Roman" w:hAnsi="Times New Roman" w:cs="Times New Roman"/>
          <w:sz w:val="28"/>
          <w:szCs w:val="28"/>
        </w:rPr>
        <w:t xml:space="preserve"> 2020 (3) SA 391 (ECB) set out that the court hearing a separation application must have sufficient information before it to be in a position to determine ‘convenience’; that</w:t>
      </w:r>
      <w:r w:rsidR="00B4091C" w:rsidRPr="008647C8">
        <w:rPr>
          <w:rFonts w:ascii="Times New Roman" w:hAnsi="Times New Roman" w:cs="Times New Roman"/>
          <w:i/>
          <w:sz w:val="28"/>
          <w:szCs w:val="28"/>
        </w:rPr>
        <w:t xml:space="preserve"> </w:t>
      </w:r>
      <w:r w:rsidR="00B4091C" w:rsidRPr="008647C8">
        <w:rPr>
          <w:rFonts w:ascii="Times New Roman" w:hAnsi="Times New Roman" w:cs="Times New Roman"/>
          <w:sz w:val="28"/>
          <w:szCs w:val="28"/>
        </w:rPr>
        <w:t>there is a realistic prospect that the separation will result in the curtailment and expeditious disposal of litigation; that there must be a reasonable prospect that the alleged advantages would occur; and that the issues to be heard separately are clearly circumscribed in the order;</w:t>
      </w:r>
    </w:p>
    <w:p w14:paraId="74B3A504" w14:textId="28973C0E" w:rsidR="00B4091C" w:rsidRPr="008647C8" w:rsidRDefault="00B4091C" w:rsidP="00D63A48">
      <w:pPr>
        <w:spacing w:line="360" w:lineRule="auto"/>
        <w:ind w:left="1440" w:hanging="720"/>
        <w:jc w:val="both"/>
        <w:rPr>
          <w:rFonts w:ascii="Times New Roman" w:hAnsi="Times New Roman" w:cs="Times New Roman"/>
          <w:sz w:val="28"/>
          <w:szCs w:val="28"/>
        </w:rPr>
      </w:pPr>
      <w:r w:rsidRPr="008647C8">
        <w:rPr>
          <w:rFonts w:ascii="Times New Roman" w:hAnsi="Times New Roman" w:cs="Times New Roman"/>
          <w:sz w:val="28"/>
          <w:szCs w:val="28"/>
        </w:rPr>
        <w:t>(d)</w:t>
      </w:r>
      <w:r w:rsidRPr="008647C8">
        <w:rPr>
          <w:rFonts w:ascii="Times New Roman" w:hAnsi="Times New Roman" w:cs="Times New Roman"/>
          <w:sz w:val="28"/>
          <w:szCs w:val="28"/>
        </w:rPr>
        <w:tab/>
        <w:t>a duplication of evidence should be avoided.</w:t>
      </w:r>
      <w:r w:rsidR="00330CB3" w:rsidRPr="008647C8">
        <w:rPr>
          <w:rFonts w:ascii="Times New Roman" w:hAnsi="Times New Roman" w:cs="Times New Roman"/>
          <w:sz w:val="28"/>
          <w:szCs w:val="28"/>
        </w:rPr>
        <w:t xml:space="preserve"> </w:t>
      </w:r>
      <w:r w:rsidRPr="008647C8">
        <w:rPr>
          <w:rFonts w:ascii="Times New Roman" w:hAnsi="Times New Roman" w:cs="Times New Roman"/>
          <w:sz w:val="28"/>
          <w:szCs w:val="28"/>
        </w:rPr>
        <w:t>In this application a duplication of evidence was entirely foreseeable.</w:t>
      </w:r>
      <w:r w:rsidR="001E4076" w:rsidRPr="008647C8">
        <w:rPr>
          <w:rFonts w:ascii="Times New Roman" w:hAnsi="Times New Roman" w:cs="Times New Roman"/>
          <w:sz w:val="28"/>
          <w:szCs w:val="28"/>
        </w:rPr>
        <w:t xml:space="preserve"> This is because the plaintiffs have pleaded multiple causes of action and there are several possible defences to each cause of action. Careful thought must be given to how the issues interrelate, and accordingly, whether separation is appropriate. </w:t>
      </w:r>
    </w:p>
    <w:p w14:paraId="1460337D" w14:textId="77777777" w:rsidR="00B4091C" w:rsidRPr="008647C8" w:rsidRDefault="00B4091C" w:rsidP="002C7FFB">
      <w:pPr>
        <w:spacing w:after="0" w:line="240" w:lineRule="auto"/>
        <w:ind w:left="1440" w:hanging="720"/>
        <w:jc w:val="both"/>
        <w:rPr>
          <w:rFonts w:ascii="Times New Roman" w:hAnsi="Times New Roman" w:cs="Times New Roman"/>
          <w:sz w:val="28"/>
          <w:szCs w:val="28"/>
        </w:rPr>
      </w:pPr>
    </w:p>
    <w:p w14:paraId="567443C2" w14:textId="7D91C8A0" w:rsidR="001938DA" w:rsidRPr="008647C8" w:rsidRDefault="001E4076" w:rsidP="00B74388">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[23</w:t>
      </w:r>
      <w:r w:rsidR="001938DA" w:rsidRPr="008647C8">
        <w:rPr>
          <w:rFonts w:ascii="Times New Roman" w:hAnsi="Times New Roman" w:cs="Times New Roman"/>
          <w:sz w:val="28"/>
          <w:szCs w:val="28"/>
        </w:rPr>
        <w:t>]</w:t>
      </w:r>
      <w:r w:rsidR="001938DA" w:rsidRPr="008647C8">
        <w:rPr>
          <w:rFonts w:ascii="Times New Roman" w:hAnsi="Times New Roman" w:cs="Times New Roman"/>
          <w:sz w:val="28"/>
          <w:szCs w:val="28"/>
        </w:rPr>
        <w:tab/>
      </w:r>
      <w:r w:rsidR="002E3313" w:rsidRPr="008647C8">
        <w:rPr>
          <w:rFonts w:ascii="Times New Roman" w:hAnsi="Times New Roman" w:cs="Times New Roman"/>
          <w:sz w:val="28"/>
          <w:szCs w:val="28"/>
        </w:rPr>
        <w:t>In their particulars of claim, there are twelve statements alleged by the plaintiffs to be defamatory of them. They also allege that the chapter, read within the context of the book as a whole, are defamatory of them. They allege that the twelve extracts, in particular, are defamatory of them because:</w:t>
      </w:r>
    </w:p>
    <w:p w14:paraId="3EF071D2" w14:textId="04660814" w:rsidR="002E3313" w:rsidRPr="008647C8" w:rsidRDefault="002E3313" w:rsidP="002E3313">
      <w:pPr>
        <w:spacing w:line="360" w:lineRule="auto"/>
        <w:ind w:left="1440" w:hanging="720"/>
        <w:jc w:val="both"/>
        <w:rPr>
          <w:rFonts w:ascii="Times New Roman" w:hAnsi="Times New Roman" w:cs="Times New Roman"/>
          <w:sz w:val="28"/>
          <w:szCs w:val="28"/>
        </w:rPr>
      </w:pPr>
      <w:r w:rsidRPr="008647C8">
        <w:rPr>
          <w:rFonts w:ascii="Times New Roman" w:hAnsi="Times New Roman" w:cs="Times New Roman"/>
          <w:sz w:val="28"/>
          <w:szCs w:val="28"/>
        </w:rPr>
        <w:lastRenderedPageBreak/>
        <w:t>(a)</w:t>
      </w:r>
      <w:r w:rsidRPr="008647C8">
        <w:rPr>
          <w:rFonts w:ascii="Times New Roman" w:hAnsi="Times New Roman" w:cs="Times New Roman"/>
          <w:sz w:val="28"/>
          <w:szCs w:val="28"/>
        </w:rPr>
        <w:tab/>
        <w:t>the</w:t>
      </w:r>
      <w:r w:rsidR="00AE008C" w:rsidRPr="008647C8">
        <w:rPr>
          <w:rFonts w:ascii="Times New Roman" w:hAnsi="Times New Roman" w:cs="Times New Roman"/>
          <w:sz w:val="28"/>
          <w:szCs w:val="28"/>
        </w:rPr>
        <w:t xml:space="preserve"> statements</w:t>
      </w:r>
      <w:r w:rsidRPr="008647C8">
        <w:rPr>
          <w:rFonts w:ascii="Times New Roman" w:hAnsi="Times New Roman" w:cs="Times New Roman"/>
          <w:sz w:val="28"/>
          <w:szCs w:val="28"/>
        </w:rPr>
        <w:t xml:space="preserve"> suggest that the plaintiffs are guilty of corrupt and dishonest behaviour;</w:t>
      </w:r>
    </w:p>
    <w:p w14:paraId="58F4A804" w14:textId="5CD6F421" w:rsidR="002963AE" w:rsidRPr="008647C8" w:rsidRDefault="002963AE" w:rsidP="002E3313">
      <w:pPr>
        <w:spacing w:line="360" w:lineRule="auto"/>
        <w:ind w:left="1440" w:hanging="720"/>
        <w:jc w:val="both"/>
        <w:rPr>
          <w:rFonts w:ascii="Times New Roman" w:hAnsi="Times New Roman" w:cs="Times New Roman"/>
          <w:sz w:val="28"/>
          <w:szCs w:val="28"/>
        </w:rPr>
      </w:pPr>
      <w:r w:rsidRPr="008647C8">
        <w:rPr>
          <w:rFonts w:ascii="Times New Roman" w:hAnsi="Times New Roman" w:cs="Times New Roman"/>
          <w:sz w:val="28"/>
          <w:szCs w:val="28"/>
        </w:rPr>
        <w:t>(b)</w:t>
      </w:r>
      <w:r w:rsidRPr="008647C8">
        <w:rPr>
          <w:rFonts w:ascii="Times New Roman" w:hAnsi="Times New Roman" w:cs="Times New Roman"/>
          <w:sz w:val="28"/>
          <w:szCs w:val="28"/>
        </w:rPr>
        <w:tab/>
        <w:t>alternatively, the</w:t>
      </w:r>
      <w:r w:rsidR="00AE008C" w:rsidRPr="008647C8">
        <w:rPr>
          <w:rFonts w:ascii="Times New Roman" w:hAnsi="Times New Roman" w:cs="Times New Roman"/>
          <w:sz w:val="28"/>
          <w:szCs w:val="28"/>
        </w:rPr>
        <w:t xml:space="preserve"> statements</w:t>
      </w:r>
      <w:r w:rsidRPr="008647C8">
        <w:rPr>
          <w:rFonts w:ascii="Times New Roman" w:hAnsi="Times New Roman" w:cs="Times New Roman"/>
          <w:sz w:val="28"/>
          <w:szCs w:val="28"/>
        </w:rPr>
        <w:t xml:space="preserve"> impute (expressly or impliedly) dishonest and corrupt activities by the plaintiffs;</w:t>
      </w:r>
      <w:r w:rsidR="002C7FFB" w:rsidRPr="008647C8">
        <w:rPr>
          <w:rFonts w:ascii="Times New Roman" w:hAnsi="Times New Roman" w:cs="Times New Roman"/>
          <w:sz w:val="28"/>
          <w:szCs w:val="28"/>
        </w:rPr>
        <w:t xml:space="preserve"> and</w:t>
      </w:r>
    </w:p>
    <w:p w14:paraId="610B70B5" w14:textId="1314601F" w:rsidR="002963AE" w:rsidRPr="008647C8" w:rsidRDefault="002963AE" w:rsidP="002E3313">
      <w:pPr>
        <w:spacing w:line="360" w:lineRule="auto"/>
        <w:ind w:left="1440" w:hanging="720"/>
        <w:jc w:val="both"/>
        <w:rPr>
          <w:rFonts w:ascii="Times New Roman" w:hAnsi="Times New Roman" w:cs="Times New Roman"/>
          <w:sz w:val="28"/>
          <w:szCs w:val="28"/>
        </w:rPr>
      </w:pPr>
      <w:r w:rsidRPr="008647C8">
        <w:rPr>
          <w:rFonts w:ascii="Times New Roman" w:hAnsi="Times New Roman" w:cs="Times New Roman"/>
          <w:sz w:val="28"/>
          <w:szCs w:val="28"/>
        </w:rPr>
        <w:t>(c)</w:t>
      </w:r>
      <w:r w:rsidRPr="008647C8">
        <w:rPr>
          <w:rFonts w:ascii="Times New Roman" w:hAnsi="Times New Roman" w:cs="Times New Roman"/>
          <w:sz w:val="28"/>
          <w:szCs w:val="28"/>
        </w:rPr>
        <w:tab/>
        <w:t>the chapter carries the additional sting that the</w:t>
      </w:r>
      <w:r w:rsidR="00AE008C" w:rsidRPr="008647C8">
        <w:rPr>
          <w:rFonts w:ascii="Times New Roman" w:hAnsi="Times New Roman" w:cs="Times New Roman"/>
          <w:sz w:val="28"/>
          <w:szCs w:val="28"/>
        </w:rPr>
        <w:t xml:space="preserve"> plaintiffs</w:t>
      </w:r>
      <w:r w:rsidRPr="008647C8">
        <w:rPr>
          <w:rFonts w:ascii="Times New Roman" w:hAnsi="Times New Roman" w:cs="Times New Roman"/>
          <w:sz w:val="28"/>
          <w:szCs w:val="28"/>
        </w:rPr>
        <w:t xml:space="preserve"> are dishonest and corrupt.</w:t>
      </w:r>
    </w:p>
    <w:p w14:paraId="50F4D10D" w14:textId="12DC3C91" w:rsidR="002963AE" w:rsidRPr="008647C8" w:rsidRDefault="002963AE" w:rsidP="00943040">
      <w:pPr>
        <w:spacing w:after="0" w:line="240" w:lineRule="auto"/>
        <w:jc w:val="both"/>
        <w:rPr>
          <w:rFonts w:ascii="Times New Roman" w:hAnsi="Times New Roman" w:cs="Times New Roman"/>
          <w:sz w:val="28"/>
          <w:szCs w:val="28"/>
        </w:rPr>
      </w:pPr>
    </w:p>
    <w:p w14:paraId="260C3967" w14:textId="50CD074E" w:rsidR="002963AE" w:rsidRPr="00FE5F7B" w:rsidRDefault="001E4076" w:rsidP="00762258">
      <w:pPr>
        <w:tabs>
          <w:tab w:val="left" w:pos="709"/>
        </w:tabs>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[24</w:t>
      </w:r>
      <w:r w:rsidR="002963AE" w:rsidRPr="008647C8">
        <w:rPr>
          <w:rFonts w:ascii="Times New Roman" w:hAnsi="Times New Roman" w:cs="Times New Roman"/>
          <w:sz w:val="28"/>
          <w:szCs w:val="28"/>
        </w:rPr>
        <w:t>]</w:t>
      </w:r>
      <w:r w:rsidR="002963AE" w:rsidRPr="008647C8">
        <w:rPr>
          <w:rFonts w:ascii="Times New Roman" w:hAnsi="Times New Roman" w:cs="Times New Roman"/>
          <w:sz w:val="28"/>
          <w:szCs w:val="28"/>
        </w:rPr>
        <w:tab/>
        <w:t xml:space="preserve">The plaintiffs do not plead that are there any circumstances which would have the effect of imputing a secondary meaning </w:t>
      </w:r>
      <w:r w:rsidR="00E3700A" w:rsidRPr="008647C8">
        <w:rPr>
          <w:rFonts w:ascii="Times New Roman" w:hAnsi="Times New Roman" w:cs="Times New Roman"/>
          <w:sz w:val="28"/>
          <w:szCs w:val="28"/>
        </w:rPr>
        <w:t xml:space="preserve">or innuendo </w:t>
      </w:r>
      <w:r w:rsidR="002963AE" w:rsidRPr="008647C8">
        <w:rPr>
          <w:rFonts w:ascii="Times New Roman" w:hAnsi="Times New Roman" w:cs="Times New Roman"/>
          <w:sz w:val="28"/>
          <w:szCs w:val="28"/>
        </w:rPr>
        <w:t>to any of the statements.</w:t>
      </w:r>
      <w:r w:rsidR="00BA2BDE" w:rsidRPr="008647C8">
        <w:rPr>
          <w:rFonts w:ascii="Times New Roman" w:hAnsi="Times New Roman" w:cs="Times New Roman"/>
          <w:sz w:val="28"/>
          <w:szCs w:val="28"/>
        </w:rPr>
        <w:t xml:space="preserve"> </w:t>
      </w:r>
      <w:r w:rsidR="003D3100" w:rsidRPr="008647C8">
        <w:rPr>
          <w:rFonts w:ascii="Times New Roman" w:hAnsi="Times New Roman" w:cs="Times New Roman"/>
          <w:sz w:val="28"/>
          <w:szCs w:val="28"/>
        </w:rPr>
        <w:t>It is only in the plaintiffs’ heads of argument that they record that evidence is necessary when a secondary meaning is pleaded. This submission relies on para</w:t>
      </w:r>
      <w:r w:rsidR="008A313F">
        <w:rPr>
          <w:rFonts w:ascii="Times New Roman" w:hAnsi="Times New Roman" w:cs="Times New Roman"/>
          <w:sz w:val="28"/>
          <w:szCs w:val="28"/>
        </w:rPr>
        <w:t>graph</w:t>
      </w:r>
      <w:r w:rsidR="003D3100" w:rsidRPr="008647C8">
        <w:rPr>
          <w:rFonts w:ascii="Times New Roman" w:hAnsi="Times New Roman" w:cs="Times New Roman"/>
          <w:sz w:val="28"/>
          <w:szCs w:val="28"/>
        </w:rPr>
        <w:t xml:space="preserve"> 11 of the plaintiffs’ answering affidavit which states that ‘it is self-evident that the plaintiffs rely not only on the ordinary meanings of the words used in the offending chapter but also on the secondary meanings thereof in the context of the chapter and of the book as a whole</w:t>
      </w:r>
      <w:r w:rsidR="00F72315" w:rsidRPr="008647C8">
        <w:rPr>
          <w:rFonts w:ascii="Times New Roman" w:hAnsi="Times New Roman" w:cs="Times New Roman"/>
          <w:sz w:val="28"/>
          <w:szCs w:val="28"/>
        </w:rPr>
        <w:t>’</w:t>
      </w:r>
      <w:r w:rsidR="003D3100" w:rsidRPr="008647C8">
        <w:rPr>
          <w:rFonts w:ascii="Times New Roman" w:hAnsi="Times New Roman" w:cs="Times New Roman"/>
          <w:sz w:val="28"/>
          <w:szCs w:val="28"/>
        </w:rPr>
        <w:t>.</w:t>
      </w:r>
      <w:r w:rsidR="001069EE" w:rsidRPr="008647C8">
        <w:rPr>
          <w:rFonts w:ascii="Times New Roman" w:hAnsi="Times New Roman" w:cs="Times New Roman"/>
          <w:sz w:val="28"/>
          <w:szCs w:val="28"/>
        </w:rPr>
        <w:t xml:space="preserve"> The problem is that the</w:t>
      </w:r>
      <w:r w:rsidR="008E4DE3" w:rsidRPr="008647C8">
        <w:rPr>
          <w:rFonts w:ascii="Times New Roman" w:hAnsi="Times New Roman" w:cs="Times New Roman"/>
          <w:sz w:val="28"/>
          <w:szCs w:val="28"/>
        </w:rPr>
        <w:t xml:space="preserve"> plaintiffs</w:t>
      </w:r>
      <w:r w:rsidR="001069EE" w:rsidRPr="008647C8">
        <w:rPr>
          <w:rFonts w:ascii="Times New Roman" w:hAnsi="Times New Roman" w:cs="Times New Roman"/>
          <w:sz w:val="28"/>
          <w:szCs w:val="28"/>
        </w:rPr>
        <w:t xml:space="preserve"> have not pleaded any secondary meanings in their particulars of claim.</w:t>
      </w:r>
      <w:r w:rsidR="003D3100" w:rsidRPr="008647C8">
        <w:rPr>
          <w:rFonts w:ascii="Times New Roman" w:hAnsi="Times New Roman" w:cs="Times New Roman"/>
          <w:sz w:val="28"/>
          <w:szCs w:val="28"/>
        </w:rPr>
        <w:t xml:space="preserve"> </w:t>
      </w:r>
      <w:r w:rsidR="008E4DE3" w:rsidRPr="008647C8">
        <w:rPr>
          <w:rFonts w:ascii="Times New Roman" w:hAnsi="Times New Roman" w:cs="Times New Roman"/>
          <w:sz w:val="28"/>
          <w:szCs w:val="28"/>
        </w:rPr>
        <w:t>Where n</w:t>
      </w:r>
      <w:r w:rsidR="001069EE" w:rsidRPr="008647C8">
        <w:rPr>
          <w:rFonts w:ascii="Times New Roman" w:hAnsi="Times New Roman" w:cs="Times New Roman"/>
          <w:sz w:val="28"/>
          <w:szCs w:val="28"/>
        </w:rPr>
        <w:t>o</w:t>
      </w:r>
      <w:r w:rsidR="008E4DE3" w:rsidRPr="008647C8">
        <w:rPr>
          <w:rFonts w:ascii="Times New Roman" w:hAnsi="Times New Roman" w:cs="Times New Roman"/>
          <w:sz w:val="28"/>
          <w:szCs w:val="28"/>
        </w:rPr>
        <w:t>thing is pleaded to indicate</w:t>
      </w:r>
      <w:r w:rsidR="00BA2BDE" w:rsidRPr="008647C8">
        <w:rPr>
          <w:rFonts w:ascii="Times New Roman" w:hAnsi="Times New Roman" w:cs="Times New Roman"/>
          <w:sz w:val="28"/>
          <w:szCs w:val="28"/>
        </w:rPr>
        <w:t xml:space="preserve"> a secondary meaning or an innuendo, </w:t>
      </w:r>
      <w:r w:rsidR="008E4DE3" w:rsidRPr="008647C8">
        <w:rPr>
          <w:rFonts w:ascii="Times New Roman" w:hAnsi="Times New Roman" w:cs="Times New Roman"/>
          <w:sz w:val="28"/>
          <w:szCs w:val="28"/>
        </w:rPr>
        <w:t xml:space="preserve">the interpretation of the allegedly defamatory statement will be </w:t>
      </w:r>
      <w:r w:rsidR="00BA2BDE" w:rsidRPr="008647C8">
        <w:rPr>
          <w:rFonts w:ascii="Times New Roman" w:hAnsi="Times New Roman" w:cs="Times New Roman"/>
          <w:sz w:val="28"/>
          <w:szCs w:val="28"/>
        </w:rPr>
        <w:t xml:space="preserve">of the ordinary meaning. </w:t>
      </w:r>
      <w:r w:rsidR="00FE5F7B">
        <w:rPr>
          <w:rFonts w:ascii="Times New Roman" w:hAnsi="Times New Roman" w:cs="Times New Roman"/>
          <w:sz w:val="28"/>
          <w:szCs w:val="28"/>
        </w:rPr>
        <w:t xml:space="preserve">However that the pleadings could be amended. Mr </w:t>
      </w:r>
      <w:r w:rsidR="00FE5F7B">
        <w:rPr>
          <w:rFonts w:ascii="Times New Roman" w:hAnsi="Times New Roman" w:cs="Times New Roman"/>
          <w:i/>
          <w:sz w:val="28"/>
          <w:szCs w:val="28"/>
        </w:rPr>
        <w:t>Kissoon-</w:t>
      </w:r>
      <w:r w:rsidR="00FE5F7B" w:rsidRPr="00FE5F7B">
        <w:rPr>
          <w:rFonts w:ascii="Times New Roman" w:hAnsi="Times New Roman" w:cs="Times New Roman"/>
          <w:sz w:val="28"/>
          <w:szCs w:val="28"/>
        </w:rPr>
        <w:t xml:space="preserve">Singh also submitted that </w:t>
      </w:r>
      <w:r w:rsidR="00FE5F7B">
        <w:rPr>
          <w:rFonts w:ascii="Times New Roman" w:hAnsi="Times New Roman" w:cs="Times New Roman"/>
          <w:sz w:val="28"/>
          <w:szCs w:val="28"/>
        </w:rPr>
        <w:t>evidence could be led under the guise of the sting.</w:t>
      </w:r>
    </w:p>
    <w:p w14:paraId="3F3EBD7A" w14:textId="2EC85087" w:rsidR="001E4076" w:rsidRPr="008647C8" w:rsidRDefault="001E4076" w:rsidP="00F72315">
      <w:pPr>
        <w:tabs>
          <w:tab w:val="left" w:pos="709"/>
        </w:tabs>
        <w:spacing w:after="0" w:line="240" w:lineRule="auto"/>
        <w:jc w:val="both"/>
        <w:rPr>
          <w:rFonts w:ascii="Times New Roman" w:hAnsi="Times New Roman" w:cs="Times New Roman"/>
          <w:sz w:val="28"/>
          <w:szCs w:val="28"/>
        </w:rPr>
      </w:pPr>
    </w:p>
    <w:p w14:paraId="55C61E83" w14:textId="5E2E5078" w:rsidR="001E4076" w:rsidRPr="00CF7931" w:rsidRDefault="001E4076" w:rsidP="00762258">
      <w:pPr>
        <w:tabs>
          <w:tab w:val="left" w:pos="709"/>
        </w:tabs>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[25]</w:t>
      </w:r>
      <w:r w:rsidRPr="008647C8">
        <w:rPr>
          <w:rFonts w:ascii="Times New Roman" w:hAnsi="Times New Roman" w:cs="Times New Roman"/>
          <w:sz w:val="28"/>
          <w:szCs w:val="28"/>
        </w:rPr>
        <w:tab/>
      </w:r>
      <w:r w:rsidR="008E4DE3" w:rsidRPr="008647C8">
        <w:rPr>
          <w:rFonts w:ascii="Times New Roman" w:hAnsi="Times New Roman" w:cs="Times New Roman"/>
          <w:sz w:val="28"/>
          <w:szCs w:val="28"/>
        </w:rPr>
        <w:t xml:space="preserve">If some of the twelve allegations of defamation are dealt with </w:t>
      </w:r>
      <w:r w:rsidR="00293034" w:rsidRPr="008647C8">
        <w:rPr>
          <w:rFonts w:ascii="Times New Roman" w:hAnsi="Times New Roman" w:cs="Times New Roman"/>
          <w:sz w:val="28"/>
          <w:szCs w:val="28"/>
        </w:rPr>
        <w:t>in a</w:t>
      </w:r>
      <w:r w:rsidR="008E4DE3" w:rsidRPr="008647C8">
        <w:rPr>
          <w:rFonts w:ascii="Times New Roman" w:hAnsi="Times New Roman" w:cs="Times New Roman"/>
          <w:sz w:val="28"/>
          <w:szCs w:val="28"/>
        </w:rPr>
        <w:t xml:space="preserve"> separated issues</w:t>
      </w:r>
      <w:r w:rsidR="00293034" w:rsidRPr="008647C8">
        <w:rPr>
          <w:rFonts w:ascii="Times New Roman" w:hAnsi="Times New Roman" w:cs="Times New Roman"/>
          <w:sz w:val="28"/>
          <w:szCs w:val="28"/>
        </w:rPr>
        <w:t xml:space="preserve"> hearing</w:t>
      </w:r>
      <w:r w:rsidR="008E4DE3" w:rsidRPr="008647C8">
        <w:rPr>
          <w:rFonts w:ascii="Times New Roman" w:hAnsi="Times New Roman" w:cs="Times New Roman"/>
          <w:sz w:val="28"/>
          <w:szCs w:val="28"/>
        </w:rPr>
        <w:t xml:space="preserve">, the separation will </w:t>
      </w:r>
      <w:r w:rsidR="003B0EFD">
        <w:rPr>
          <w:rFonts w:ascii="Times New Roman" w:hAnsi="Times New Roman" w:cs="Times New Roman"/>
          <w:sz w:val="28"/>
          <w:szCs w:val="28"/>
        </w:rPr>
        <w:t xml:space="preserve">not </w:t>
      </w:r>
      <w:r w:rsidR="008E4DE3" w:rsidRPr="008647C8">
        <w:rPr>
          <w:rFonts w:ascii="Times New Roman" w:hAnsi="Times New Roman" w:cs="Times New Roman"/>
          <w:sz w:val="28"/>
          <w:szCs w:val="28"/>
        </w:rPr>
        <w:t>have achieved the object of shortening the trial.</w:t>
      </w:r>
      <w:r w:rsidR="00293034" w:rsidRPr="008647C8">
        <w:rPr>
          <w:rFonts w:ascii="Times New Roman" w:hAnsi="Times New Roman" w:cs="Times New Roman"/>
          <w:sz w:val="28"/>
          <w:szCs w:val="28"/>
        </w:rPr>
        <w:t xml:space="preserve"> </w:t>
      </w:r>
      <w:r w:rsidR="003B0EFD">
        <w:rPr>
          <w:rFonts w:ascii="Times New Roman" w:hAnsi="Times New Roman" w:cs="Times New Roman"/>
          <w:sz w:val="28"/>
          <w:szCs w:val="28"/>
        </w:rPr>
        <w:t>I</w:t>
      </w:r>
      <w:r w:rsidR="008D063A" w:rsidRPr="008647C8">
        <w:rPr>
          <w:rFonts w:ascii="Times New Roman" w:hAnsi="Times New Roman" w:cs="Times New Roman"/>
          <w:sz w:val="28"/>
          <w:szCs w:val="28"/>
        </w:rPr>
        <w:t xml:space="preserve">f they are not all dealt with in favour of the defendants (as they appear to anticipate), it would seem that the effect will </w:t>
      </w:r>
      <w:r w:rsidR="003B0EFD">
        <w:rPr>
          <w:rFonts w:ascii="Times New Roman" w:hAnsi="Times New Roman" w:cs="Times New Roman"/>
          <w:sz w:val="28"/>
          <w:szCs w:val="28"/>
        </w:rPr>
        <w:t xml:space="preserve">not </w:t>
      </w:r>
      <w:r w:rsidR="008D063A" w:rsidRPr="008647C8">
        <w:rPr>
          <w:rFonts w:ascii="Times New Roman" w:hAnsi="Times New Roman" w:cs="Times New Roman"/>
          <w:sz w:val="28"/>
          <w:szCs w:val="28"/>
        </w:rPr>
        <w:t xml:space="preserve">be a considerable narrowing of the issues, with </w:t>
      </w:r>
      <w:r w:rsidR="007421C9">
        <w:rPr>
          <w:rFonts w:ascii="Times New Roman" w:hAnsi="Times New Roman" w:cs="Times New Roman"/>
          <w:sz w:val="28"/>
          <w:szCs w:val="28"/>
        </w:rPr>
        <w:t>a</w:t>
      </w:r>
      <w:r w:rsidR="008D063A" w:rsidRPr="008647C8">
        <w:rPr>
          <w:rFonts w:ascii="Times New Roman" w:hAnsi="Times New Roman" w:cs="Times New Roman"/>
          <w:sz w:val="28"/>
          <w:szCs w:val="28"/>
        </w:rPr>
        <w:t xml:space="preserve"> consequent saving of costs, particularly with regard to discovery</w:t>
      </w:r>
      <w:r w:rsidR="007E75AB">
        <w:rPr>
          <w:rFonts w:ascii="Times New Roman" w:hAnsi="Times New Roman" w:cs="Times New Roman"/>
          <w:sz w:val="28"/>
          <w:szCs w:val="28"/>
        </w:rPr>
        <w:t>, but rather the converse.</w:t>
      </w:r>
      <w:r w:rsidR="008D063A" w:rsidRPr="008647C8">
        <w:rPr>
          <w:rFonts w:ascii="Times New Roman" w:hAnsi="Times New Roman" w:cs="Times New Roman"/>
          <w:sz w:val="28"/>
          <w:szCs w:val="28"/>
        </w:rPr>
        <w:t xml:space="preserve"> </w:t>
      </w:r>
      <w:r w:rsidR="003B0EFD">
        <w:rPr>
          <w:rFonts w:ascii="Times New Roman" w:hAnsi="Times New Roman" w:cs="Times New Roman"/>
          <w:sz w:val="28"/>
          <w:szCs w:val="28"/>
        </w:rPr>
        <w:t xml:space="preserve">That </w:t>
      </w:r>
      <w:r w:rsidR="007E75AB">
        <w:rPr>
          <w:rFonts w:ascii="Times New Roman" w:hAnsi="Times New Roman" w:cs="Times New Roman"/>
          <w:sz w:val="28"/>
          <w:szCs w:val="28"/>
        </w:rPr>
        <w:t xml:space="preserve">only </w:t>
      </w:r>
      <w:r w:rsidR="003B0EFD">
        <w:rPr>
          <w:rFonts w:ascii="Times New Roman" w:hAnsi="Times New Roman" w:cs="Times New Roman"/>
          <w:sz w:val="28"/>
          <w:szCs w:val="28"/>
        </w:rPr>
        <w:t xml:space="preserve">some findings </w:t>
      </w:r>
      <w:r w:rsidR="007421C9">
        <w:rPr>
          <w:rFonts w:ascii="Times New Roman" w:hAnsi="Times New Roman" w:cs="Times New Roman"/>
          <w:sz w:val="28"/>
          <w:szCs w:val="28"/>
        </w:rPr>
        <w:t xml:space="preserve">are determined, </w:t>
      </w:r>
      <w:r w:rsidR="003B0EFD">
        <w:rPr>
          <w:rFonts w:ascii="Times New Roman" w:hAnsi="Times New Roman" w:cs="Times New Roman"/>
          <w:sz w:val="28"/>
          <w:szCs w:val="28"/>
        </w:rPr>
        <w:t xml:space="preserve">will not narrow the issues, time and effort spent on preparation, because the allegedly </w:t>
      </w:r>
      <w:r w:rsidR="003B0EFD">
        <w:rPr>
          <w:rFonts w:ascii="Times New Roman" w:hAnsi="Times New Roman" w:cs="Times New Roman"/>
          <w:sz w:val="28"/>
          <w:szCs w:val="28"/>
        </w:rPr>
        <w:lastRenderedPageBreak/>
        <w:t xml:space="preserve">defamatory statements all arise out of the same chapter of the book, and deal with a single subject – the housing project. So, even if some of the statements are struck out, but others are not, I do not see that that would result in convenience. What will result is two hearings, instead of one. </w:t>
      </w:r>
      <w:r w:rsidR="00CF7931">
        <w:rPr>
          <w:rFonts w:ascii="Times New Roman" w:hAnsi="Times New Roman" w:cs="Times New Roman"/>
          <w:sz w:val="28"/>
          <w:szCs w:val="28"/>
        </w:rPr>
        <w:t xml:space="preserve">Those hearings could </w:t>
      </w:r>
      <w:r w:rsidR="007421C9">
        <w:rPr>
          <w:rFonts w:ascii="Times New Roman" w:hAnsi="Times New Roman" w:cs="Times New Roman"/>
          <w:sz w:val="28"/>
          <w:szCs w:val="28"/>
        </w:rPr>
        <w:t xml:space="preserve">both </w:t>
      </w:r>
      <w:r w:rsidR="00CF7931">
        <w:rPr>
          <w:rFonts w:ascii="Times New Roman" w:hAnsi="Times New Roman" w:cs="Times New Roman"/>
          <w:sz w:val="28"/>
          <w:szCs w:val="28"/>
        </w:rPr>
        <w:t xml:space="preserve">be protracted because of the manner in which the </w:t>
      </w:r>
      <w:r w:rsidR="00FE5F7B">
        <w:rPr>
          <w:rFonts w:ascii="Times New Roman" w:hAnsi="Times New Roman" w:cs="Times New Roman"/>
          <w:sz w:val="28"/>
          <w:szCs w:val="28"/>
        </w:rPr>
        <w:t>defendants pose their defence</w:t>
      </w:r>
      <w:r w:rsidR="00CF7931">
        <w:rPr>
          <w:rFonts w:ascii="Times New Roman" w:hAnsi="Times New Roman" w:cs="Times New Roman"/>
          <w:sz w:val="28"/>
          <w:szCs w:val="28"/>
        </w:rPr>
        <w:t xml:space="preserve">. </w:t>
      </w:r>
      <w:r w:rsidR="003B0EFD">
        <w:rPr>
          <w:rFonts w:ascii="Times New Roman" w:hAnsi="Times New Roman" w:cs="Times New Roman"/>
          <w:sz w:val="28"/>
          <w:szCs w:val="28"/>
        </w:rPr>
        <w:t xml:space="preserve">This must surely be so because of the fact that the defendants have pleaded numerous defences which they will seek to demonstrate should any of the statements be found to be defamatory. </w:t>
      </w:r>
      <w:r w:rsidR="00CF7931">
        <w:rPr>
          <w:rFonts w:ascii="Times New Roman" w:hAnsi="Times New Roman" w:cs="Times New Roman"/>
          <w:sz w:val="28"/>
          <w:szCs w:val="28"/>
        </w:rPr>
        <w:t xml:space="preserve">In my view, </w:t>
      </w:r>
      <w:r w:rsidR="00CF7931" w:rsidRPr="00CF7931">
        <w:rPr>
          <w:rFonts w:ascii="Times New Roman" w:hAnsi="Times New Roman" w:cs="Times New Roman"/>
          <w:i/>
          <w:sz w:val="28"/>
          <w:szCs w:val="28"/>
        </w:rPr>
        <w:t>Netshandama</w:t>
      </w:r>
      <w:r w:rsidR="00CF7931">
        <w:rPr>
          <w:rFonts w:ascii="Times New Roman" w:hAnsi="Times New Roman" w:cs="Times New Roman"/>
          <w:sz w:val="28"/>
          <w:szCs w:val="28"/>
        </w:rPr>
        <w:t xml:space="preserve"> and </w:t>
      </w:r>
      <w:r w:rsidR="00CF7931">
        <w:rPr>
          <w:rFonts w:ascii="Times New Roman" w:hAnsi="Times New Roman" w:cs="Times New Roman"/>
          <w:i/>
          <w:sz w:val="28"/>
          <w:szCs w:val="28"/>
        </w:rPr>
        <w:t>Sindani</w:t>
      </w:r>
      <w:r w:rsidR="00CF7931">
        <w:rPr>
          <w:rFonts w:ascii="Times New Roman" w:hAnsi="Times New Roman" w:cs="Times New Roman"/>
          <w:sz w:val="28"/>
          <w:szCs w:val="28"/>
        </w:rPr>
        <w:t xml:space="preserve"> are distinguishable.</w:t>
      </w:r>
    </w:p>
    <w:p w14:paraId="3A74D20F" w14:textId="5EE3CBE9" w:rsidR="00BF2C9E" w:rsidRDefault="00BF2C9E" w:rsidP="00762258">
      <w:pPr>
        <w:tabs>
          <w:tab w:val="left" w:pos="709"/>
        </w:tabs>
        <w:spacing w:line="360" w:lineRule="auto"/>
        <w:jc w:val="both"/>
        <w:rPr>
          <w:rFonts w:ascii="Times New Roman" w:hAnsi="Times New Roman" w:cs="Times New Roman"/>
          <w:sz w:val="28"/>
          <w:szCs w:val="28"/>
        </w:rPr>
      </w:pPr>
    </w:p>
    <w:p w14:paraId="64129EC1" w14:textId="2A0C74C2" w:rsidR="00BF2C9E" w:rsidRPr="00BF2C9E" w:rsidRDefault="00BF2C9E" w:rsidP="00762258">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 xml:space="preserve">In </w:t>
      </w:r>
      <w:r>
        <w:rPr>
          <w:rFonts w:ascii="Times New Roman" w:hAnsi="Times New Roman" w:cs="Times New Roman"/>
          <w:i/>
          <w:sz w:val="28"/>
          <w:szCs w:val="28"/>
        </w:rPr>
        <w:t>Sindani</w:t>
      </w:r>
      <w:r>
        <w:rPr>
          <w:rFonts w:ascii="Times New Roman" w:hAnsi="Times New Roman" w:cs="Times New Roman"/>
          <w:sz w:val="28"/>
          <w:szCs w:val="28"/>
        </w:rPr>
        <w:t xml:space="preserve"> the learned judge a quo himself elected to separate the issues, in circumstances where very little evidence was led. Reliance was placed on the fact that the statement in question was </w:t>
      </w:r>
      <w:r w:rsidRPr="00BF2C9E">
        <w:rPr>
          <w:rFonts w:ascii="Times New Roman" w:hAnsi="Times New Roman" w:cs="Times New Roman"/>
          <w:i/>
          <w:sz w:val="28"/>
          <w:szCs w:val="28"/>
        </w:rPr>
        <w:t>per se</w:t>
      </w:r>
      <w:r>
        <w:rPr>
          <w:rFonts w:ascii="Times New Roman" w:hAnsi="Times New Roman" w:cs="Times New Roman"/>
          <w:sz w:val="28"/>
          <w:szCs w:val="28"/>
        </w:rPr>
        <w:t xml:space="preserve"> defamatory, and the learned judge held it was not. The Supreme Court of Appeal tacitly accepted the wisdom of having separated the issues. </w:t>
      </w:r>
    </w:p>
    <w:p w14:paraId="3DF49431" w14:textId="1EB3F3E6" w:rsidR="00D658C6" w:rsidRDefault="00D658C6" w:rsidP="00762258">
      <w:pPr>
        <w:tabs>
          <w:tab w:val="left" w:pos="709"/>
        </w:tabs>
        <w:spacing w:line="360" w:lineRule="auto"/>
        <w:jc w:val="both"/>
        <w:rPr>
          <w:rFonts w:ascii="Times New Roman" w:hAnsi="Times New Roman" w:cs="Times New Roman"/>
          <w:sz w:val="28"/>
          <w:szCs w:val="28"/>
        </w:rPr>
      </w:pPr>
    </w:p>
    <w:p w14:paraId="78A075B3" w14:textId="2D10B119" w:rsidR="00D658C6" w:rsidRDefault="00D658C6" w:rsidP="00762258">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BF2C9E">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In </w:t>
      </w:r>
      <w:r>
        <w:rPr>
          <w:rFonts w:ascii="Times New Roman" w:hAnsi="Times New Roman" w:cs="Times New Roman"/>
          <w:i/>
          <w:sz w:val="28"/>
          <w:szCs w:val="28"/>
        </w:rPr>
        <w:t>Netshandama</w:t>
      </w:r>
      <w:r>
        <w:rPr>
          <w:rFonts w:ascii="Times New Roman" w:hAnsi="Times New Roman" w:cs="Times New Roman"/>
          <w:sz w:val="28"/>
          <w:szCs w:val="28"/>
        </w:rPr>
        <w:t xml:space="preserve"> the issue was separated by van der Linde J, as follows:</w:t>
      </w:r>
    </w:p>
    <w:p w14:paraId="70FAF2B3" w14:textId="17EBCB93" w:rsidR="00D658C6" w:rsidRPr="008F5396" w:rsidRDefault="00D658C6" w:rsidP="00D658C6">
      <w:pPr>
        <w:shd w:val="clear" w:color="auto" w:fill="FFFFFF"/>
        <w:spacing w:before="144" w:after="0" w:line="360" w:lineRule="atLeast"/>
        <w:jc w:val="both"/>
        <w:rPr>
          <w:rFonts w:ascii="Times New Roman" w:eastAsia="Times New Roman" w:hAnsi="Times New Roman" w:cs="Times New Roman"/>
          <w:color w:val="242121"/>
          <w:sz w:val="27"/>
          <w:szCs w:val="27"/>
          <w:lang w:eastAsia="en-ZA"/>
        </w:rPr>
      </w:pPr>
      <w:r w:rsidRPr="008F5396">
        <w:rPr>
          <w:rFonts w:ascii="Times New Roman" w:eastAsia="Times New Roman" w:hAnsi="Times New Roman" w:cs="Times New Roman"/>
          <w:color w:val="242121"/>
          <w:sz w:val="24"/>
          <w:szCs w:val="24"/>
          <w:lang w:eastAsia="en-ZA"/>
        </w:rPr>
        <w:t>‘the order made in terms of rule 33(4) was to separate from the remainder of the issues that arise between the parties on the pleadings, the following issues:</w:t>
      </w:r>
    </w:p>
    <w:p w14:paraId="663DAF37" w14:textId="4217B464" w:rsidR="00D658C6" w:rsidRPr="008F5396" w:rsidRDefault="00D658C6" w:rsidP="00D658C6">
      <w:pPr>
        <w:shd w:val="clear" w:color="auto" w:fill="FFFFFF"/>
        <w:spacing w:before="144" w:after="0" w:line="360" w:lineRule="atLeast"/>
        <w:ind w:left="709"/>
        <w:jc w:val="both"/>
        <w:rPr>
          <w:rFonts w:ascii="Times New Roman" w:eastAsia="Times New Roman" w:hAnsi="Times New Roman" w:cs="Times New Roman"/>
          <w:color w:val="242121"/>
          <w:sz w:val="27"/>
          <w:szCs w:val="27"/>
          <w:lang w:eastAsia="en-ZA"/>
        </w:rPr>
      </w:pPr>
      <w:r w:rsidRPr="008F5396">
        <w:rPr>
          <w:rFonts w:ascii="Times New Roman" w:eastAsia="Times New Roman" w:hAnsi="Times New Roman" w:cs="Times New Roman"/>
          <w:color w:val="242121"/>
          <w:sz w:val="24"/>
          <w:szCs w:val="24"/>
          <w:lang w:eastAsia="en-ZA"/>
        </w:rPr>
        <w:t>(a) Whether the letter dated 29 August 2013 annexed to the particulars of claim at  page 14 of the pleadings bundle is </w:t>
      </w:r>
      <w:r w:rsidR="00BF2C9E" w:rsidRPr="008F5396">
        <w:rPr>
          <w:rFonts w:ascii="Times New Roman" w:eastAsia="Times New Roman" w:hAnsi="Times New Roman" w:cs="Times New Roman"/>
          <w:i/>
          <w:iCs/>
          <w:color w:val="242121"/>
          <w:sz w:val="24"/>
          <w:szCs w:val="24"/>
          <w:lang w:eastAsia="en-ZA"/>
        </w:rPr>
        <w:t>per se</w:t>
      </w:r>
      <w:r w:rsidRPr="008F5396">
        <w:rPr>
          <w:rFonts w:ascii="Times New Roman" w:eastAsia="Times New Roman" w:hAnsi="Times New Roman" w:cs="Times New Roman"/>
          <w:color w:val="242121"/>
          <w:sz w:val="24"/>
          <w:szCs w:val="24"/>
          <w:lang w:eastAsia="en-ZA"/>
        </w:rPr>
        <w:t> defamatory of the plaintiff; and, if so</w:t>
      </w:r>
    </w:p>
    <w:p w14:paraId="6777CA4A" w14:textId="77777777" w:rsidR="00D658C6" w:rsidRPr="008F5396" w:rsidRDefault="00D658C6" w:rsidP="00D658C6">
      <w:pPr>
        <w:shd w:val="clear" w:color="auto" w:fill="FFFFFF"/>
        <w:spacing w:before="144" w:after="0" w:line="360" w:lineRule="atLeast"/>
        <w:ind w:left="709"/>
        <w:jc w:val="both"/>
        <w:rPr>
          <w:rFonts w:ascii="Times New Roman" w:eastAsia="Times New Roman" w:hAnsi="Times New Roman" w:cs="Times New Roman"/>
          <w:color w:val="242121"/>
          <w:sz w:val="27"/>
          <w:szCs w:val="27"/>
          <w:lang w:eastAsia="en-ZA"/>
        </w:rPr>
      </w:pPr>
      <w:r w:rsidRPr="008F5396">
        <w:rPr>
          <w:rFonts w:ascii="Times New Roman" w:eastAsia="Times New Roman" w:hAnsi="Times New Roman" w:cs="Times New Roman"/>
          <w:color w:val="242121"/>
          <w:sz w:val="24"/>
          <w:szCs w:val="24"/>
          <w:lang w:eastAsia="en-ZA"/>
        </w:rPr>
        <w:t>(b) Whether the defence of qualified privilege as pleaded by the defendants at paragraphs 3 to 9 of their plea would, if proved, constitute a defence to the plaintiff’s claim.</w:t>
      </w:r>
    </w:p>
    <w:p w14:paraId="799855A4" w14:textId="6F730417" w:rsidR="00D658C6" w:rsidRPr="00D658C6" w:rsidRDefault="00D658C6" w:rsidP="00D658C6">
      <w:pPr>
        <w:shd w:val="clear" w:color="auto" w:fill="FFFFFF"/>
        <w:spacing w:before="144" w:after="0" w:line="360" w:lineRule="atLeast"/>
        <w:jc w:val="both"/>
        <w:rPr>
          <w:rFonts w:ascii="Verdana" w:eastAsia="Times New Roman" w:hAnsi="Verdana" w:cs="Times New Roman"/>
          <w:color w:val="242121"/>
          <w:sz w:val="27"/>
          <w:szCs w:val="27"/>
          <w:lang w:eastAsia="en-ZA"/>
        </w:rPr>
      </w:pPr>
      <w:r w:rsidRPr="008F5396">
        <w:rPr>
          <w:rFonts w:ascii="Times New Roman" w:eastAsia="Times New Roman" w:hAnsi="Times New Roman" w:cs="Times New Roman"/>
          <w:color w:val="242121"/>
          <w:sz w:val="24"/>
          <w:szCs w:val="24"/>
          <w:lang w:eastAsia="en-ZA"/>
        </w:rPr>
        <w:t>The remainder of the issues that arise between the parties on the pleadings were postponed for later determination, if necessary.’</w:t>
      </w:r>
    </w:p>
    <w:p w14:paraId="77021AF4" w14:textId="63E22305" w:rsidR="00D658C6" w:rsidRDefault="00D658C6" w:rsidP="00762258">
      <w:pPr>
        <w:tabs>
          <w:tab w:val="left" w:pos="709"/>
        </w:tabs>
        <w:spacing w:line="360" w:lineRule="auto"/>
        <w:jc w:val="both"/>
        <w:rPr>
          <w:rFonts w:ascii="Times New Roman" w:hAnsi="Times New Roman" w:cs="Times New Roman"/>
          <w:sz w:val="28"/>
          <w:szCs w:val="28"/>
        </w:rPr>
      </w:pPr>
    </w:p>
    <w:p w14:paraId="756652E6" w14:textId="728BF3C2" w:rsidR="00D658C6" w:rsidRPr="00D658C6" w:rsidRDefault="00D658C6" w:rsidP="00762258">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defamatory matter concerned a letter, the publication of which was very limited. The issues concerned similar issues to this matter, but the scope seems to have been much narrower. In those circumstances, the separation of issues is easier to understand.</w:t>
      </w:r>
    </w:p>
    <w:p w14:paraId="61CB1D39" w14:textId="5A35533F" w:rsidR="00BA2BDE" w:rsidRPr="008647C8" w:rsidRDefault="00BA2BDE" w:rsidP="00F72315">
      <w:pPr>
        <w:spacing w:after="0" w:line="240" w:lineRule="auto"/>
        <w:jc w:val="both"/>
        <w:rPr>
          <w:rFonts w:ascii="Times New Roman" w:hAnsi="Times New Roman" w:cs="Times New Roman"/>
          <w:sz w:val="28"/>
          <w:szCs w:val="28"/>
        </w:rPr>
      </w:pPr>
    </w:p>
    <w:p w14:paraId="4AC77FD0" w14:textId="7C443651" w:rsidR="00BA2BDE" w:rsidRPr="008647C8" w:rsidRDefault="001E4076" w:rsidP="00762258">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[2</w:t>
      </w:r>
      <w:r w:rsidR="008F5396">
        <w:rPr>
          <w:rFonts w:ascii="Times New Roman" w:hAnsi="Times New Roman" w:cs="Times New Roman"/>
          <w:sz w:val="28"/>
          <w:szCs w:val="28"/>
        </w:rPr>
        <w:t>8</w:t>
      </w:r>
      <w:r w:rsidR="00BA2BDE" w:rsidRPr="008647C8">
        <w:rPr>
          <w:rFonts w:ascii="Times New Roman" w:hAnsi="Times New Roman" w:cs="Times New Roman"/>
          <w:sz w:val="28"/>
          <w:szCs w:val="28"/>
        </w:rPr>
        <w:t>]</w:t>
      </w:r>
      <w:r w:rsidR="00BA2BDE" w:rsidRPr="008647C8">
        <w:rPr>
          <w:rFonts w:ascii="Times New Roman" w:hAnsi="Times New Roman" w:cs="Times New Roman"/>
          <w:sz w:val="28"/>
          <w:szCs w:val="28"/>
        </w:rPr>
        <w:tab/>
        <w:t>In th</w:t>
      </w:r>
      <w:r w:rsidR="00FE5F7B">
        <w:rPr>
          <w:rFonts w:ascii="Times New Roman" w:hAnsi="Times New Roman" w:cs="Times New Roman"/>
          <w:sz w:val="28"/>
          <w:szCs w:val="28"/>
        </w:rPr>
        <w:t>is matter</w:t>
      </w:r>
      <w:r w:rsidR="00BA2BDE" w:rsidRPr="008647C8">
        <w:rPr>
          <w:rFonts w:ascii="Times New Roman" w:hAnsi="Times New Roman" w:cs="Times New Roman"/>
          <w:sz w:val="28"/>
          <w:szCs w:val="28"/>
        </w:rPr>
        <w:t xml:space="preserve">, there seems </w:t>
      </w:r>
      <w:r w:rsidR="00CF7931">
        <w:rPr>
          <w:rFonts w:ascii="Times New Roman" w:hAnsi="Times New Roman" w:cs="Times New Roman"/>
          <w:sz w:val="28"/>
          <w:szCs w:val="28"/>
        </w:rPr>
        <w:t>no</w:t>
      </w:r>
      <w:r w:rsidR="00CF7931" w:rsidRPr="008647C8">
        <w:rPr>
          <w:rFonts w:ascii="Times New Roman" w:hAnsi="Times New Roman" w:cs="Times New Roman"/>
          <w:sz w:val="28"/>
          <w:szCs w:val="28"/>
        </w:rPr>
        <w:t xml:space="preserve"> </w:t>
      </w:r>
      <w:r w:rsidR="00BA2BDE" w:rsidRPr="008647C8">
        <w:rPr>
          <w:rFonts w:ascii="Times New Roman" w:hAnsi="Times New Roman" w:cs="Times New Roman"/>
          <w:sz w:val="28"/>
          <w:szCs w:val="28"/>
        </w:rPr>
        <w:t>merit in determining at the outset, whether the twelve statements (and, indeed, any others</w:t>
      </w:r>
      <w:r w:rsidR="008905F2">
        <w:rPr>
          <w:rFonts w:ascii="Times New Roman" w:hAnsi="Times New Roman" w:cs="Times New Roman"/>
          <w:sz w:val="28"/>
          <w:szCs w:val="28"/>
        </w:rPr>
        <w:t>,</w:t>
      </w:r>
      <w:r w:rsidR="00BA2BDE" w:rsidRPr="008647C8">
        <w:rPr>
          <w:rFonts w:ascii="Times New Roman" w:hAnsi="Times New Roman" w:cs="Times New Roman"/>
          <w:sz w:val="28"/>
          <w:szCs w:val="28"/>
        </w:rPr>
        <w:t xml:space="preserve"> alleged to reflect the chapter within the context of the book) are defamatory.</w:t>
      </w:r>
    </w:p>
    <w:p w14:paraId="4AF54695" w14:textId="441374BC" w:rsidR="00BA2BDE" w:rsidRPr="008647C8" w:rsidRDefault="00BA2BDE" w:rsidP="00F72315">
      <w:pPr>
        <w:spacing w:after="0" w:line="240" w:lineRule="auto"/>
        <w:jc w:val="both"/>
        <w:rPr>
          <w:rFonts w:ascii="Times New Roman" w:hAnsi="Times New Roman" w:cs="Times New Roman"/>
          <w:sz w:val="28"/>
          <w:szCs w:val="28"/>
        </w:rPr>
      </w:pPr>
    </w:p>
    <w:p w14:paraId="39722D22" w14:textId="4AA15996" w:rsidR="00BA2BDE" w:rsidRPr="008647C8" w:rsidRDefault="00515715" w:rsidP="002963AE">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[2</w:t>
      </w:r>
      <w:r w:rsidR="008F5396">
        <w:rPr>
          <w:rFonts w:ascii="Times New Roman" w:hAnsi="Times New Roman" w:cs="Times New Roman"/>
          <w:sz w:val="28"/>
          <w:szCs w:val="28"/>
        </w:rPr>
        <w:t>9</w:t>
      </w:r>
      <w:r w:rsidR="00BA2BDE" w:rsidRPr="008647C8">
        <w:rPr>
          <w:rFonts w:ascii="Times New Roman" w:hAnsi="Times New Roman" w:cs="Times New Roman"/>
          <w:sz w:val="28"/>
          <w:szCs w:val="28"/>
        </w:rPr>
        <w:t>]</w:t>
      </w:r>
      <w:r w:rsidR="00BA2BDE" w:rsidRPr="008647C8">
        <w:rPr>
          <w:rFonts w:ascii="Times New Roman" w:hAnsi="Times New Roman" w:cs="Times New Roman"/>
          <w:sz w:val="28"/>
          <w:szCs w:val="28"/>
        </w:rPr>
        <w:tab/>
        <w:t>I accordingly grant the following order:</w:t>
      </w:r>
    </w:p>
    <w:p w14:paraId="2734444D" w14:textId="0F8A52C7" w:rsidR="0090634A" w:rsidRDefault="00BA2BDE" w:rsidP="00BA2BDE">
      <w:pPr>
        <w:spacing w:line="360" w:lineRule="auto"/>
        <w:ind w:left="1440" w:hanging="720"/>
        <w:jc w:val="both"/>
        <w:rPr>
          <w:rFonts w:ascii="Times New Roman" w:hAnsi="Times New Roman" w:cs="Times New Roman"/>
          <w:sz w:val="28"/>
          <w:szCs w:val="28"/>
        </w:rPr>
      </w:pPr>
      <w:r w:rsidRPr="008647C8">
        <w:rPr>
          <w:rFonts w:ascii="Times New Roman" w:hAnsi="Times New Roman" w:cs="Times New Roman"/>
          <w:sz w:val="28"/>
          <w:szCs w:val="28"/>
        </w:rPr>
        <w:t>(a)</w:t>
      </w:r>
      <w:r w:rsidRPr="008647C8">
        <w:rPr>
          <w:rFonts w:ascii="Times New Roman" w:hAnsi="Times New Roman" w:cs="Times New Roman"/>
          <w:sz w:val="28"/>
          <w:szCs w:val="28"/>
        </w:rPr>
        <w:tab/>
        <w:t xml:space="preserve">The </w:t>
      </w:r>
      <w:r w:rsidR="0090634A">
        <w:rPr>
          <w:rFonts w:ascii="Times New Roman" w:hAnsi="Times New Roman" w:cs="Times New Roman"/>
          <w:sz w:val="28"/>
          <w:szCs w:val="28"/>
        </w:rPr>
        <w:t xml:space="preserve">application </w:t>
      </w:r>
      <w:r w:rsidRPr="008647C8">
        <w:rPr>
          <w:rFonts w:ascii="Times New Roman" w:hAnsi="Times New Roman" w:cs="Times New Roman"/>
          <w:sz w:val="28"/>
          <w:szCs w:val="28"/>
        </w:rPr>
        <w:t>in terms of rule 33(4) of the Uniform Rules of this court</w:t>
      </w:r>
      <w:r w:rsidR="0090634A">
        <w:rPr>
          <w:rFonts w:ascii="Times New Roman" w:hAnsi="Times New Roman" w:cs="Times New Roman"/>
          <w:sz w:val="28"/>
          <w:szCs w:val="28"/>
        </w:rPr>
        <w:t xml:space="preserve"> is dismissed.</w:t>
      </w:r>
    </w:p>
    <w:p w14:paraId="18C587DE" w14:textId="02AAE3B7" w:rsidR="00BA2BDE" w:rsidRPr="008647C8" w:rsidRDefault="0090634A" w:rsidP="00BA2BDE">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All questions of costs are reserved for decision by the court hearing the action.</w:t>
      </w:r>
    </w:p>
    <w:p w14:paraId="6F6AD4B1" w14:textId="77777777" w:rsidR="00762258" w:rsidRPr="008647C8" w:rsidRDefault="00762258" w:rsidP="00762258">
      <w:pPr>
        <w:spacing w:line="360" w:lineRule="auto"/>
        <w:ind w:left="709" w:hanging="720"/>
        <w:jc w:val="both"/>
        <w:rPr>
          <w:rFonts w:ascii="Times New Roman" w:hAnsi="Times New Roman" w:cs="Times New Roman"/>
          <w:sz w:val="28"/>
          <w:szCs w:val="28"/>
        </w:rPr>
      </w:pPr>
    </w:p>
    <w:p w14:paraId="0C7E921E" w14:textId="7E145EE7" w:rsidR="002963AE" w:rsidRPr="008647C8" w:rsidRDefault="00817FCB" w:rsidP="00817FCB">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______________</w:t>
      </w:r>
    </w:p>
    <w:p w14:paraId="6E89CA90" w14:textId="75DA584E" w:rsidR="00817FCB" w:rsidRPr="008647C8" w:rsidRDefault="00817FCB" w:rsidP="00817FCB">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Lopes J</w:t>
      </w:r>
    </w:p>
    <w:p w14:paraId="144EBA59" w14:textId="77777777" w:rsidR="002E3313" w:rsidRPr="008647C8" w:rsidRDefault="002E3313" w:rsidP="00B74388">
      <w:pPr>
        <w:spacing w:line="360" w:lineRule="auto"/>
        <w:jc w:val="both"/>
        <w:rPr>
          <w:rFonts w:ascii="Times New Roman" w:hAnsi="Times New Roman" w:cs="Times New Roman"/>
          <w:sz w:val="28"/>
          <w:szCs w:val="28"/>
        </w:rPr>
      </w:pPr>
    </w:p>
    <w:p w14:paraId="23B3E00A" w14:textId="34CB249D" w:rsidR="00817FCB" w:rsidRPr="008647C8" w:rsidRDefault="00817FCB" w:rsidP="00B74388">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Date of hearing:</w:t>
      </w:r>
      <w:r w:rsidRPr="008647C8">
        <w:rPr>
          <w:rFonts w:ascii="Times New Roman" w:hAnsi="Times New Roman" w:cs="Times New Roman"/>
          <w:sz w:val="28"/>
          <w:szCs w:val="28"/>
        </w:rPr>
        <w:tab/>
      </w:r>
      <w:r w:rsidRPr="008647C8">
        <w:rPr>
          <w:rFonts w:ascii="Times New Roman" w:hAnsi="Times New Roman" w:cs="Times New Roman"/>
          <w:sz w:val="28"/>
          <w:szCs w:val="28"/>
        </w:rPr>
        <w:tab/>
        <w:t>26</w:t>
      </w:r>
      <w:r w:rsidRPr="008647C8">
        <w:rPr>
          <w:rFonts w:ascii="Times New Roman" w:hAnsi="Times New Roman" w:cs="Times New Roman"/>
          <w:sz w:val="28"/>
          <w:szCs w:val="28"/>
          <w:vertAlign w:val="superscript"/>
        </w:rPr>
        <w:t>th</w:t>
      </w:r>
      <w:r w:rsidRPr="008647C8">
        <w:rPr>
          <w:rFonts w:ascii="Times New Roman" w:hAnsi="Times New Roman" w:cs="Times New Roman"/>
          <w:sz w:val="28"/>
          <w:szCs w:val="28"/>
        </w:rPr>
        <w:t xml:space="preserve"> January 2022. </w:t>
      </w:r>
    </w:p>
    <w:p w14:paraId="704873E6" w14:textId="246E189E" w:rsidR="00817FCB" w:rsidRPr="008647C8" w:rsidRDefault="00817FCB" w:rsidP="00B74388">
      <w:pPr>
        <w:spacing w:line="360" w:lineRule="auto"/>
        <w:jc w:val="both"/>
        <w:rPr>
          <w:rFonts w:ascii="Times New Roman" w:hAnsi="Times New Roman" w:cs="Times New Roman"/>
          <w:sz w:val="28"/>
          <w:szCs w:val="28"/>
        </w:rPr>
      </w:pPr>
      <w:r w:rsidRPr="008647C8">
        <w:rPr>
          <w:rFonts w:ascii="Times New Roman" w:hAnsi="Times New Roman" w:cs="Times New Roman"/>
          <w:sz w:val="28"/>
          <w:szCs w:val="28"/>
        </w:rPr>
        <w:t>Date of judgment:</w:t>
      </w:r>
      <w:r w:rsidRPr="008647C8">
        <w:rPr>
          <w:rFonts w:ascii="Times New Roman" w:hAnsi="Times New Roman" w:cs="Times New Roman"/>
          <w:sz w:val="28"/>
          <w:szCs w:val="28"/>
        </w:rPr>
        <w:tab/>
      </w:r>
      <w:r w:rsidRPr="008647C8">
        <w:rPr>
          <w:rFonts w:ascii="Times New Roman" w:hAnsi="Times New Roman" w:cs="Times New Roman"/>
          <w:sz w:val="28"/>
          <w:szCs w:val="28"/>
        </w:rPr>
        <w:tab/>
      </w:r>
      <w:r w:rsidR="008E73B1">
        <w:rPr>
          <w:rFonts w:ascii="Times New Roman" w:hAnsi="Times New Roman" w:cs="Times New Roman"/>
          <w:sz w:val="28"/>
          <w:szCs w:val="28"/>
        </w:rPr>
        <w:t>28</w:t>
      </w:r>
      <w:r w:rsidR="008E73B1" w:rsidRPr="008E73B1">
        <w:rPr>
          <w:rFonts w:ascii="Times New Roman" w:hAnsi="Times New Roman" w:cs="Times New Roman"/>
          <w:sz w:val="28"/>
          <w:szCs w:val="28"/>
          <w:vertAlign w:val="superscript"/>
        </w:rPr>
        <w:t>th</w:t>
      </w:r>
      <w:r w:rsidR="008E73B1">
        <w:rPr>
          <w:rFonts w:ascii="Times New Roman" w:hAnsi="Times New Roman" w:cs="Times New Roman"/>
          <w:sz w:val="28"/>
          <w:szCs w:val="28"/>
        </w:rPr>
        <w:t xml:space="preserve"> </w:t>
      </w:r>
      <w:r w:rsidRPr="008647C8">
        <w:rPr>
          <w:rFonts w:ascii="Times New Roman" w:hAnsi="Times New Roman" w:cs="Times New Roman"/>
          <w:sz w:val="28"/>
          <w:szCs w:val="28"/>
        </w:rPr>
        <w:t xml:space="preserve">February 2022. </w:t>
      </w:r>
    </w:p>
    <w:p w14:paraId="06333D15" w14:textId="7DFBFDAD" w:rsidR="00817FCB" w:rsidRPr="008647C8" w:rsidRDefault="00817FCB" w:rsidP="00817FCB">
      <w:pPr>
        <w:spacing w:line="360" w:lineRule="auto"/>
        <w:ind w:left="2880" w:hanging="2880"/>
        <w:jc w:val="both"/>
        <w:rPr>
          <w:rFonts w:ascii="Times New Roman" w:hAnsi="Times New Roman" w:cs="Times New Roman"/>
          <w:sz w:val="28"/>
          <w:szCs w:val="28"/>
        </w:rPr>
      </w:pPr>
      <w:r w:rsidRPr="008647C8">
        <w:rPr>
          <w:rFonts w:ascii="Times New Roman" w:hAnsi="Times New Roman" w:cs="Times New Roman"/>
          <w:sz w:val="28"/>
          <w:szCs w:val="28"/>
        </w:rPr>
        <w:t>For the applicants:</w:t>
      </w:r>
      <w:r w:rsidRPr="008647C8">
        <w:rPr>
          <w:rFonts w:ascii="Times New Roman" w:hAnsi="Times New Roman" w:cs="Times New Roman"/>
          <w:sz w:val="28"/>
          <w:szCs w:val="28"/>
        </w:rPr>
        <w:tab/>
        <w:t>M du Plessis SC, with S Pudifin-Jones (instructed by Willem de Klerk Attorneys).</w:t>
      </w:r>
    </w:p>
    <w:p w14:paraId="23AE850A" w14:textId="6AE33D17" w:rsidR="00817FCB" w:rsidRDefault="00817FCB" w:rsidP="00817FCB">
      <w:pPr>
        <w:spacing w:line="360" w:lineRule="auto"/>
        <w:ind w:left="2880" w:hanging="2880"/>
        <w:jc w:val="both"/>
        <w:rPr>
          <w:rFonts w:ascii="Times New Roman" w:hAnsi="Times New Roman" w:cs="Times New Roman"/>
          <w:sz w:val="28"/>
          <w:szCs w:val="28"/>
        </w:rPr>
      </w:pPr>
      <w:r w:rsidRPr="008647C8">
        <w:rPr>
          <w:rFonts w:ascii="Times New Roman" w:hAnsi="Times New Roman" w:cs="Times New Roman"/>
          <w:sz w:val="28"/>
          <w:szCs w:val="28"/>
        </w:rPr>
        <w:t>For the respondents:</w:t>
      </w:r>
      <w:r w:rsidRPr="008647C8">
        <w:rPr>
          <w:rFonts w:ascii="Times New Roman" w:hAnsi="Times New Roman" w:cs="Times New Roman"/>
          <w:sz w:val="28"/>
          <w:szCs w:val="28"/>
        </w:rPr>
        <w:tab/>
        <w:t>AK Kissoon-Singh SC, with T Palmer (instructed by V Chetty Incorporated).</w:t>
      </w:r>
    </w:p>
    <w:p w14:paraId="01C2FE53" w14:textId="77777777" w:rsidR="009D6438" w:rsidRPr="001A6321" w:rsidRDefault="009D6438" w:rsidP="00B74388">
      <w:pPr>
        <w:spacing w:line="360" w:lineRule="auto"/>
        <w:jc w:val="both"/>
        <w:rPr>
          <w:rFonts w:ascii="Times New Roman" w:hAnsi="Times New Roman" w:cs="Times New Roman"/>
          <w:sz w:val="28"/>
          <w:szCs w:val="28"/>
        </w:rPr>
      </w:pPr>
    </w:p>
    <w:p w14:paraId="299B6F7B" w14:textId="6638805A" w:rsidR="00714989" w:rsidRPr="004D5ACD" w:rsidRDefault="004E1EB0" w:rsidP="00AD09B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0AD8">
        <w:rPr>
          <w:rFonts w:ascii="Times New Roman" w:hAnsi="Times New Roman" w:cs="Times New Roman"/>
          <w:sz w:val="28"/>
          <w:szCs w:val="28"/>
        </w:rPr>
        <w:t xml:space="preserve"> </w:t>
      </w:r>
      <w:r w:rsidR="00E14EEA">
        <w:rPr>
          <w:rFonts w:ascii="Times New Roman" w:hAnsi="Times New Roman" w:cs="Times New Roman"/>
          <w:sz w:val="28"/>
          <w:szCs w:val="28"/>
        </w:rPr>
        <w:t xml:space="preserve"> </w:t>
      </w:r>
      <w:r w:rsidR="00714989">
        <w:rPr>
          <w:rFonts w:ascii="Times New Roman" w:hAnsi="Times New Roman" w:cs="Times New Roman"/>
          <w:sz w:val="28"/>
          <w:szCs w:val="28"/>
        </w:rPr>
        <w:t xml:space="preserve">  </w:t>
      </w:r>
    </w:p>
    <w:p w14:paraId="4B1081E6" w14:textId="77777777" w:rsidR="00962564" w:rsidRPr="008210EE" w:rsidRDefault="00962564" w:rsidP="005328C4">
      <w:pPr>
        <w:pStyle w:val="ListParagraph"/>
        <w:spacing w:line="360" w:lineRule="auto"/>
        <w:jc w:val="both"/>
        <w:rPr>
          <w:rFonts w:ascii="Times New Roman" w:hAnsi="Times New Roman" w:cs="Times New Roman"/>
          <w:sz w:val="28"/>
          <w:szCs w:val="28"/>
        </w:rPr>
      </w:pPr>
    </w:p>
    <w:sectPr w:rsidR="00962564" w:rsidRPr="008210EE" w:rsidSect="00855D7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01B05" w14:textId="77777777" w:rsidR="004B0A79" w:rsidRDefault="004B0A79" w:rsidP="00855D74">
      <w:pPr>
        <w:spacing w:after="0" w:line="240" w:lineRule="auto"/>
      </w:pPr>
      <w:r>
        <w:separator/>
      </w:r>
    </w:p>
  </w:endnote>
  <w:endnote w:type="continuationSeparator" w:id="0">
    <w:p w14:paraId="3A79832C" w14:textId="77777777" w:rsidR="004B0A79" w:rsidRDefault="004B0A79" w:rsidP="0085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19EA5" w14:textId="77777777" w:rsidR="004B0A79" w:rsidRDefault="004B0A79" w:rsidP="00855D74">
      <w:pPr>
        <w:spacing w:after="0" w:line="240" w:lineRule="auto"/>
      </w:pPr>
      <w:r>
        <w:separator/>
      </w:r>
    </w:p>
  </w:footnote>
  <w:footnote w:type="continuationSeparator" w:id="0">
    <w:p w14:paraId="454CD8D8" w14:textId="77777777" w:rsidR="004B0A79" w:rsidRDefault="004B0A79" w:rsidP="00855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61199195"/>
      <w:docPartObj>
        <w:docPartGallery w:val="Page Numbers (Top of Page)"/>
        <w:docPartUnique/>
      </w:docPartObj>
    </w:sdtPr>
    <w:sdtEndPr>
      <w:rPr>
        <w:noProof/>
      </w:rPr>
    </w:sdtEndPr>
    <w:sdtContent>
      <w:p w14:paraId="0C6F3305" w14:textId="0EB75509" w:rsidR="00C50077" w:rsidRPr="00BC5535" w:rsidRDefault="00C50077" w:rsidP="006C0223">
        <w:pPr>
          <w:pStyle w:val="Header"/>
          <w:tabs>
            <w:tab w:val="left" w:pos="8220"/>
          </w:tabs>
          <w:rPr>
            <w:rFonts w:ascii="Times New Roman" w:hAnsi="Times New Roman" w:cs="Times New Roman"/>
          </w:rPr>
        </w:pPr>
        <w:r w:rsidRPr="00BC5535">
          <w:rPr>
            <w:rFonts w:ascii="Times New Roman" w:hAnsi="Times New Roman" w:cs="Times New Roman"/>
          </w:rPr>
          <w:tab/>
        </w:r>
        <w:r w:rsidRPr="00BC5535">
          <w:rPr>
            <w:rFonts w:ascii="Times New Roman" w:hAnsi="Times New Roman" w:cs="Times New Roman"/>
          </w:rPr>
          <w:tab/>
        </w:r>
        <w:r w:rsidRPr="00BC5535">
          <w:rPr>
            <w:rFonts w:ascii="Times New Roman" w:hAnsi="Times New Roman" w:cs="Times New Roman"/>
          </w:rPr>
          <w:tab/>
        </w:r>
        <w:r w:rsidRPr="00BC5535">
          <w:rPr>
            <w:rFonts w:ascii="Times New Roman" w:hAnsi="Times New Roman" w:cs="Times New Roman"/>
          </w:rPr>
          <w:fldChar w:fldCharType="begin"/>
        </w:r>
        <w:r w:rsidRPr="00BC5535">
          <w:rPr>
            <w:rFonts w:ascii="Times New Roman" w:hAnsi="Times New Roman" w:cs="Times New Roman"/>
          </w:rPr>
          <w:instrText xml:space="preserve"> PAGE   \* MERGEFORMAT </w:instrText>
        </w:r>
        <w:r w:rsidRPr="00BC5535">
          <w:rPr>
            <w:rFonts w:ascii="Times New Roman" w:hAnsi="Times New Roman" w:cs="Times New Roman"/>
          </w:rPr>
          <w:fldChar w:fldCharType="separate"/>
        </w:r>
        <w:r w:rsidR="004363CF">
          <w:rPr>
            <w:rFonts w:ascii="Times New Roman" w:hAnsi="Times New Roman" w:cs="Times New Roman"/>
            <w:noProof/>
          </w:rPr>
          <w:t>15</w:t>
        </w:r>
        <w:r w:rsidRPr="00BC5535">
          <w:rPr>
            <w:rFonts w:ascii="Times New Roman" w:hAnsi="Times New Roman" w:cs="Times New Roman"/>
            <w:noProof/>
          </w:rPr>
          <w:fldChar w:fldCharType="end"/>
        </w:r>
      </w:p>
    </w:sdtContent>
  </w:sdt>
  <w:p w14:paraId="21050C0D" w14:textId="77777777" w:rsidR="00C50077" w:rsidRDefault="00C50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16B"/>
    <w:multiLevelType w:val="hybridMultilevel"/>
    <w:tmpl w:val="B6069652"/>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48167B5"/>
    <w:multiLevelType w:val="hybridMultilevel"/>
    <w:tmpl w:val="D1C0548A"/>
    <w:lvl w:ilvl="0" w:tplc="2B4A1DFA">
      <w:start w:val="1"/>
      <w:numFmt w:val="lowerRoman"/>
      <w:lvlText w:val="(%1)"/>
      <w:lvlJc w:val="right"/>
      <w:pPr>
        <w:ind w:left="2705" w:hanging="360"/>
      </w:pPr>
      <w:rPr>
        <w:rFonts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2" w15:restartNumberingAfterBreak="0">
    <w:nsid w:val="05F5314F"/>
    <w:multiLevelType w:val="hybridMultilevel"/>
    <w:tmpl w:val="9FF2B2B2"/>
    <w:lvl w:ilvl="0" w:tplc="C9427CA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EFF35A5"/>
    <w:multiLevelType w:val="hybridMultilevel"/>
    <w:tmpl w:val="B6069652"/>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317E7A79"/>
    <w:multiLevelType w:val="hybridMultilevel"/>
    <w:tmpl w:val="843C4F9C"/>
    <w:lvl w:ilvl="0" w:tplc="2E9C8A2C">
      <w:start w:val="1"/>
      <w:numFmt w:val="lowerLetter"/>
      <w:lvlText w:val="(%1)"/>
      <w:lvlJc w:val="left"/>
      <w:pPr>
        <w:ind w:left="2955" w:hanging="360"/>
      </w:pPr>
      <w:rPr>
        <w:rFonts w:hint="default"/>
      </w:rPr>
    </w:lvl>
    <w:lvl w:ilvl="1" w:tplc="1C090019" w:tentative="1">
      <w:start w:val="1"/>
      <w:numFmt w:val="lowerLetter"/>
      <w:lvlText w:val="%2."/>
      <w:lvlJc w:val="left"/>
      <w:pPr>
        <w:ind w:left="3675" w:hanging="360"/>
      </w:pPr>
    </w:lvl>
    <w:lvl w:ilvl="2" w:tplc="1C09001B" w:tentative="1">
      <w:start w:val="1"/>
      <w:numFmt w:val="lowerRoman"/>
      <w:lvlText w:val="%3."/>
      <w:lvlJc w:val="right"/>
      <w:pPr>
        <w:ind w:left="4395" w:hanging="180"/>
      </w:pPr>
    </w:lvl>
    <w:lvl w:ilvl="3" w:tplc="1C09000F" w:tentative="1">
      <w:start w:val="1"/>
      <w:numFmt w:val="decimal"/>
      <w:lvlText w:val="%4."/>
      <w:lvlJc w:val="left"/>
      <w:pPr>
        <w:ind w:left="5115" w:hanging="360"/>
      </w:pPr>
    </w:lvl>
    <w:lvl w:ilvl="4" w:tplc="1C090019" w:tentative="1">
      <w:start w:val="1"/>
      <w:numFmt w:val="lowerLetter"/>
      <w:lvlText w:val="%5."/>
      <w:lvlJc w:val="left"/>
      <w:pPr>
        <w:ind w:left="5835" w:hanging="360"/>
      </w:pPr>
    </w:lvl>
    <w:lvl w:ilvl="5" w:tplc="1C09001B" w:tentative="1">
      <w:start w:val="1"/>
      <w:numFmt w:val="lowerRoman"/>
      <w:lvlText w:val="%6."/>
      <w:lvlJc w:val="right"/>
      <w:pPr>
        <w:ind w:left="6555" w:hanging="180"/>
      </w:pPr>
    </w:lvl>
    <w:lvl w:ilvl="6" w:tplc="1C09000F" w:tentative="1">
      <w:start w:val="1"/>
      <w:numFmt w:val="decimal"/>
      <w:lvlText w:val="%7."/>
      <w:lvlJc w:val="left"/>
      <w:pPr>
        <w:ind w:left="7275" w:hanging="360"/>
      </w:pPr>
    </w:lvl>
    <w:lvl w:ilvl="7" w:tplc="1C090019" w:tentative="1">
      <w:start w:val="1"/>
      <w:numFmt w:val="lowerLetter"/>
      <w:lvlText w:val="%8."/>
      <w:lvlJc w:val="left"/>
      <w:pPr>
        <w:ind w:left="7995" w:hanging="360"/>
      </w:pPr>
    </w:lvl>
    <w:lvl w:ilvl="8" w:tplc="1C09001B" w:tentative="1">
      <w:start w:val="1"/>
      <w:numFmt w:val="lowerRoman"/>
      <w:lvlText w:val="%9."/>
      <w:lvlJc w:val="right"/>
      <w:pPr>
        <w:ind w:left="8715" w:hanging="180"/>
      </w:pPr>
    </w:lvl>
  </w:abstractNum>
  <w:abstractNum w:abstractNumId="5" w15:restartNumberingAfterBreak="0">
    <w:nsid w:val="33D7027B"/>
    <w:multiLevelType w:val="hybridMultilevel"/>
    <w:tmpl w:val="21923FB8"/>
    <w:lvl w:ilvl="0" w:tplc="A4F62386">
      <w:start w:val="27"/>
      <w:numFmt w:val="lowerLetter"/>
      <w:lvlText w:val="(%1)"/>
      <w:lvlJc w:val="left"/>
      <w:pPr>
        <w:ind w:left="3000" w:hanging="420"/>
      </w:pPr>
      <w:rPr>
        <w:rFonts w:hint="default"/>
      </w:rPr>
    </w:lvl>
    <w:lvl w:ilvl="1" w:tplc="1C090019" w:tentative="1">
      <w:start w:val="1"/>
      <w:numFmt w:val="lowerLetter"/>
      <w:lvlText w:val="%2."/>
      <w:lvlJc w:val="left"/>
      <w:pPr>
        <w:ind w:left="3660" w:hanging="360"/>
      </w:pPr>
    </w:lvl>
    <w:lvl w:ilvl="2" w:tplc="1C09001B" w:tentative="1">
      <w:start w:val="1"/>
      <w:numFmt w:val="lowerRoman"/>
      <w:lvlText w:val="%3."/>
      <w:lvlJc w:val="right"/>
      <w:pPr>
        <w:ind w:left="4380" w:hanging="180"/>
      </w:pPr>
    </w:lvl>
    <w:lvl w:ilvl="3" w:tplc="1C09000F" w:tentative="1">
      <w:start w:val="1"/>
      <w:numFmt w:val="decimal"/>
      <w:lvlText w:val="%4."/>
      <w:lvlJc w:val="left"/>
      <w:pPr>
        <w:ind w:left="5100" w:hanging="360"/>
      </w:pPr>
    </w:lvl>
    <w:lvl w:ilvl="4" w:tplc="1C090019" w:tentative="1">
      <w:start w:val="1"/>
      <w:numFmt w:val="lowerLetter"/>
      <w:lvlText w:val="%5."/>
      <w:lvlJc w:val="left"/>
      <w:pPr>
        <w:ind w:left="5820" w:hanging="360"/>
      </w:pPr>
    </w:lvl>
    <w:lvl w:ilvl="5" w:tplc="1C09001B" w:tentative="1">
      <w:start w:val="1"/>
      <w:numFmt w:val="lowerRoman"/>
      <w:lvlText w:val="%6."/>
      <w:lvlJc w:val="right"/>
      <w:pPr>
        <w:ind w:left="6540" w:hanging="180"/>
      </w:pPr>
    </w:lvl>
    <w:lvl w:ilvl="6" w:tplc="1C09000F" w:tentative="1">
      <w:start w:val="1"/>
      <w:numFmt w:val="decimal"/>
      <w:lvlText w:val="%7."/>
      <w:lvlJc w:val="left"/>
      <w:pPr>
        <w:ind w:left="7260" w:hanging="360"/>
      </w:pPr>
    </w:lvl>
    <w:lvl w:ilvl="7" w:tplc="1C090019" w:tentative="1">
      <w:start w:val="1"/>
      <w:numFmt w:val="lowerLetter"/>
      <w:lvlText w:val="%8."/>
      <w:lvlJc w:val="left"/>
      <w:pPr>
        <w:ind w:left="7980" w:hanging="360"/>
      </w:pPr>
    </w:lvl>
    <w:lvl w:ilvl="8" w:tplc="1C09001B" w:tentative="1">
      <w:start w:val="1"/>
      <w:numFmt w:val="lowerRoman"/>
      <w:lvlText w:val="%9."/>
      <w:lvlJc w:val="right"/>
      <w:pPr>
        <w:ind w:left="8700" w:hanging="180"/>
      </w:pPr>
    </w:lvl>
  </w:abstractNum>
  <w:abstractNum w:abstractNumId="6" w15:restartNumberingAfterBreak="0">
    <w:nsid w:val="34E03108"/>
    <w:multiLevelType w:val="hybridMultilevel"/>
    <w:tmpl w:val="7F60F4A2"/>
    <w:lvl w:ilvl="0" w:tplc="C9762A9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34F304B1"/>
    <w:multiLevelType w:val="hybridMultilevel"/>
    <w:tmpl w:val="4E06CFF4"/>
    <w:lvl w:ilvl="0" w:tplc="2B4A1DFA">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92F7D9C"/>
    <w:multiLevelType w:val="hybridMultilevel"/>
    <w:tmpl w:val="227A13C0"/>
    <w:lvl w:ilvl="0" w:tplc="2B4A1DFA">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3DC979FF"/>
    <w:multiLevelType w:val="hybridMultilevel"/>
    <w:tmpl w:val="F6A0F7FC"/>
    <w:lvl w:ilvl="0" w:tplc="2E9C8A2C">
      <w:start w:val="1"/>
      <w:numFmt w:val="lowerLetter"/>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10" w15:restartNumberingAfterBreak="0">
    <w:nsid w:val="4ABB2977"/>
    <w:multiLevelType w:val="hybridMultilevel"/>
    <w:tmpl w:val="EFF634DC"/>
    <w:lvl w:ilvl="0" w:tplc="2E9C8A2C">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504E7B27"/>
    <w:multiLevelType w:val="hybridMultilevel"/>
    <w:tmpl w:val="CCD2471E"/>
    <w:lvl w:ilvl="0" w:tplc="2B4A1DFA">
      <w:start w:val="1"/>
      <w:numFmt w:val="lowerRoman"/>
      <w:lvlText w:val="(%1)"/>
      <w:lvlJc w:val="right"/>
      <w:pPr>
        <w:ind w:left="2235" w:hanging="360"/>
      </w:pPr>
      <w:rPr>
        <w:rFonts w:hint="default"/>
      </w:rPr>
    </w:lvl>
    <w:lvl w:ilvl="1" w:tplc="1C090019" w:tentative="1">
      <w:start w:val="1"/>
      <w:numFmt w:val="lowerLetter"/>
      <w:lvlText w:val="%2."/>
      <w:lvlJc w:val="left"/>
      <w:pPr>
        <w:ind w:left="2955" w:hanging="360"/>
      </w:pPr>
    </w:lvl>
    <w:lvl w:ilvl="2" w:tplc="1C09001B" w:tentative="1">
      <w:start w:val="1"/>
      <w:numFmt w:val="lowerRoman"/>
      <w:lvlText w:val="%3."/>
      <w:lvlJc w:val="right"/>
      <w:pPr>
        <w:ind w:left="3675" w:hanging="180"/>
      </w:pPr>
    </w:lvl>
    <w:lvl w:ilvl="3" w:tplc="1C09000F" w:tentative="1">
      <w:start w:val="1"/>
      <w:numFmt w:val="decimal"/>
      <w:lvlText w:val="%4."/>
      <w:lvlJc w:val="left"/>
      <w:pPr>
        <w:ind w:left="4395" w:hanging="360"/>
      </w:pPr>
    </w:lvl>
    <w:lvl w:ilvl="4" w:tplc="1C090019" w:tentative="1">
      <w:start w:val="1"/>
      <w:numFmt w:val="lowerLetter"/>
      <w:lvlText w:val="%5."/>
      <w:lvlJc w:val="left"/>
      <w:pPr>
        <w:ind w:left="5115" w:hanging="360"/>
      </w:pPr>
    </w:lvl>
    <w:lvl w:ilvl="5" w:tplc="1C09001B" w:tentative="1">
      <w:start w:val="1"/>
      <w:numFmt w:val="lowerRoman"/>
      <w:lvlText w:val="%6."/>
      <w:lvlJc w:val="right"/>
      <w:pPr>
        <w:ind w:left="5835" w:hanging="180"/>
      </w:pPr>
    </w:lvl>
    <w:lvl w:ilvl="6" w:tplc="1C09000F" w:tentative="1">
      <w:start w:val="1"/>
      <w:numFmt w:val="decimal"/>
      <w:lvlText w:val="%7."/>
      <w:lvlJc w:val="left"/>
      <w:pPr>
        <w:ind w:left="6555" w:hanging="360"/>
      </w:pPr>
    </w:lvl>
    <w:lvl w:ilvl="7" w:tplc="1C090019" w:tentative="1">
      <w:start w:val="1"/>
      <w:numFmt w:val="lowerLetter"/>
      <w:lvlText w:val="%8."/>
      <w:lvlJc w:val="left"/>
      <w:pPr>
        <w:ind w:left="7275" w:hanging="360"/>
      </w:pPr>
    </w:lvl>
    <w:lvl w:ilvl="8" w:tplc="1C09001B" w:tentative="1">
      <w:start w:val="1"/>
      <w:numFmt w:val="lowerRoman"/>
      <w:lvlText w:val="%9."/>
      <w:lvlJc w:val="right"/>
      <w:pPr>
        <w:ind w:left="7995" w:hanging="180"/>
      </w:pPr>
    </w:lvl>
  </w:abstractNum>
  <w:abstractNum w:abstractNumId="12" w15:restartNumberingAfterBreak="0">
    <w:nsid w:val="51AE3D91"/>
    <w:multiLevelType w:val="hybridMultilevel"/>
    <w:tmpl w:val="4C027AEC"/>
    <w:lvl w:ilvl="0" w:tplc="2A00A6E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1CF29E1"/>
    <w:multiLevelType w:val="hybridMultilevel"/>
    <w:tmpl w:val="5B428E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2A976B2"/>
    <w:multiLevelType w:val="hybridMultilevel"/>
    <w:tmpl w:val="7E3AE3CC"/>
    <w:lvl w:ilvl="0" w:tplc="F8E628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5FF6CBC"/>
    <w:multiLevelType w:val="hybridMultilevel"/>
    <w:tmpl w:val="A3AA2890"/>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5B5F19AB"/>
    <w:multiLevelType w:val="hybridMultilevel"/>
    <w:tmpl w:val="D2C2EB54"/>
    <w:lvl w:ilvl="0" w:tplc="2B4A1DFA">
      <w:start w:val="1"/>
      <w:numFmt w:val="lowerRoman"/>
      <w:lvlText w:val="(%1)"/>
      <w:lvlJc w:val="righ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7" w15:restartNumberingAfterBreak="0">
    <w:nsid w:val="6EEC33F8"/>
    <w:multiLevelType w:val="hybridMultilevel"/>
    <w:tmpl w:val="F7CE5EBC"/>
    <w:lvl w:ilvl="0" w:tplc="2E9C8A2C">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720A47DA"/>
    <w:multiLevelType w:val="hybridMultilevel"/>
    <w:tmpl w:val="CC0A1A4E"/>
    <w:lvl w:ilvl="0" w:tplc="8C68D840">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7B9421D"/>
    <w:multiLevelType w:val="hybridMultilevel"/>
    <w:tmpl w:val="6E784FBE"/>
    <w:lvl w:ilvl="0" w:tplc="2E9C8A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7A585BCC"/>
    <w:multiLevelType w:val="hybridMultilevel"/>
    <w:tmpl w:val="0AE0B45C"/>
    <w:lvl w:ilvl="0" w:tplc="797AC04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EE60AE0"/>
    <w:multiLevelType w:val="hybridMultilevel"/>
    <w:tmpl w:val="1A44F2A0"/>
    <w:lvl w:ilvl="0" w:tplc="99969F56">
      <w:start w:val="27"/>
      <w:numFmt w:val="lowerLetter"/>
      <w:lvlText w:val="(%1)"/>
      <w:lvlJc w:val="left"/>
      <w:pPr>
        <w:ind w:left="3300" w:hanging="4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abstractNumId w:val="20"/>
  </w:num>
  <w:num w:numId="2">
    <w:abstractNumId w:val="14"/>
  </w:num>
  <w:num w:numId="3">
    <w:abstractNumId w:val="13"/>
  </w:num>
  <w:num w:numId="4">
    <w:abstractNumId w:val="2"/>
  </w:num>
  <w:num w:numId="5">
    <w:abstractNumId w:val="6"/>
  </w:num>
  <w:num w:numId="6">
    <w:abstractNumId w:val="21"/>
  </w:num>
  <w:num w:numId="7">
    <w:abstractNumId w:val="5"/>
  </w:num>
  <w:num w:numId="8">
    <w:abstractNumId w:val="8"/>
  </w:num>
  <w:num w:numId="9">
    <w:abstractNumId w:val="7"/>
  </w:num>
  <w:num w:numId="10">
    <w:abstractNumId w:val="15"/>
  </w:num>
  <w:num w:numId="11">
    <w:abstractNumId w:val="11"/>
  </w:num>
  <w:num w:numId="12">
    <w:abstractNumId w:val="4"/>
  </w:num>
  <w:num w:numId="13">
    <w:abstractNumId w:val="17"/>
  </w:num>
  <w:num w:numId="14">
    <w:abstractNumId w:val="16"/>
  </w:num>
  <w:num w:numId="15">
    <w:abstractNumId w:val="1"/>
  </w:num>
  <w:num w:numId="16">
    <w:abstractNumId w:val="9"/>
  </w:num>
  <w:num w:numId="17">
    <w:abstractNumId w:val="12"/>
  </w:num>
  <w:num w:numId="18">
    <w:abstractNumId w:val="0"/>
  </w:num>
  <w:num w:numId="19">
    <w:abstractNumId w:val="3"/>
  </w:num>
  <w:num w:numId="20">
    <w:abstractNumId w:val="19"/>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D2"/>
    <w:rsid w:val="00006D48"/>
    <w:rsid w:val="000137FF"/>
    <w:rsid w:val="00013FD1"/>
    <w:rsid w:val="00021444"/>
    <w:rsid w:val="00027153"/>
    <w:rsid w:val="00033EC0"/>
    <w:rsid w:val="00034EC4"/>
    <w:rsid w:val="00042708"/>
    <w:rsid w:val="00047DFD"/>
    <w:rsid w:val="000629B4"/>
    <w:rsid w:val="00064166"/>
    <w:rsid w:val="000652F4"/>
    <w:rsid w:val="00066586"/>
    <w:rsid w:val="00067C59"/>
    <w:rsid w:val="0007090A"/>
    <w:rsid w:val="00075538"/>
    <w:rsid w:val="00077B80"/>
    <w:rsid w:val="00080279"/>
    <w:rsid w:val="00082123"/>
    <w:rsid w:val="00084791"/>
    <w:rsid w:val="00091B46"/>
    <w:rsid w:val="000A6F44"/>
    <w:rsid w:val="000B1FB4"/>
    <w:rsid w:val="000B2216"/>
    <w:rsid w:val="000B741D"/>
    <w:rsid w:val="000C1135"/>
    <w:rsid w:val="000C2272"/>
    <w:rsid w:val="000C4B84"/>
    <w:rsid w:val="000C7AEE"/>
    <w:rsid w:val="000D2E58"/>
    <w:rsid w:val="000D2FD7"/>
    <w:rsid w:val="000D3A0F"/>
    <w:rsid w:val="000D5CEE"/>
    <w:rsid w:val="000D6FAD"/>
    <w:rsid w:val="000E386D"/>
    <w:rsid w:val="000E42D4"/>
    <w:rsid w:val="000E458A"/>
    <w:rsid w:val="000E7940"/>
    <w:rsid w:val="000F7A46"/>
    <w:rsid w:val="00103FD2"/>
    <w:rsid w:val="001069EE"/>
    <w:rsid w:val="00110F8C"/>
    <w:rsid w:val="001141BA"/>
    <w:rsid w:val="0011762B"/>
    <w:rsid w:val="00121A83"/>
    <w:rsid w:val="00123C9B"/>
    <w:rsid w:val="001259C8"/>
    <w:rsid w:val="00127A3D"/>
    <w:rsid w:val="001319EA"/>
    <w:rsid w:val="0014570D"/>
    <w:rsid w:val="0015353F"/>
    <w:rsid w:val="0015750E"/>
    <w:rsid w:val="00161997"/>
    <w:rsid w:val="00163CA4"/>
    <w:rsid w:val="001709A4"/>
    <w:rsid w:val="0017796D"/>
    <w:rsid w:val="00184C01"/>
    <w:rsid w:val="001874F5"/>
    <w:rsid w:val="001938DA"/>
    <w:rsid w:val="00195855"/>
    <w:rsid w:val="0019623C"/>
    <w:rsid w:val="001A22E0"/>
    <w:rsid w:val="001A2463"/>
    <w:rsid w:val="001A3A6D"/>
    <w:rsid w:val="001A3BBD"/>
    <w:rsid w:val="001A6321"/>
    <w:rsid w:val="001A763F"/>
    <w:rsid w:val="001B7364"/>
    <w:rsid w:val="001C228A"/>
    <w:rsid w:val="001C67B7"/>
    <w:rsid w:val="001C6EFA"/>
    <w:rsid w:val="001D7F75"/>
    <w:rsid w:val="001E4076"/>
    <w:rsid w:val="001E6467"/>
    <w:rsid w:val="001E6C6F"/>
    <w:rsid w:val="001F09FB"/>
    <w:rsid w:val="001F18ED"/>
    <w:rsid w:val="001F4403"/>
    <w:rsid w:val="001F619E"/>
    <w:rsid w:val="001F7856"/>
    <w:rsid w:val="0020187F"/>
    <w:rsid w:val="00201A2A"/>
    <w:rsid w:val="002054F7"/>
    <w:rsid w:val="002068FC"/>
    <w:rsid w:val="00210028"/>
    <w:rsid w:val="0021231D"/>
    <w:rsid w:val="00213A52"/>
    <w:rsid w:val="00220DE5"/>
    <w:rsid w:val="00223D31"/>
    <w:rsid w:val="00240C04"/>
    <w:rsid w:val="002420AE"/>
    <w:rsid w:val="00242F38"/>
    <w:rsid w:val="0024626B"/>
    <w:rsid w:val="00246A15"/>
    <w:rsid w:val="00247A33"/>
    <w:rsid w:val="00274620"/>
    <w:rsid w:val="00285E57"/>
    <w:rsid w:val="00290776"/>
    <w:rsid w:val="00292000"/>
    <w:rsid w:val="00293034"/>
    <w:rsid w:val="002954F4"/>
    <w:rsid w:val="002963AE"/>
    <w:rsid w:val="002A0A1D"/>
    <w:rsid w:val="002A71E1"/>
    <w:rsid w:val="002B0DA7"/>
    <w:rsid w:val="002B11E4"/>
    <w:rsid w:val="002B3FF8"/>
    <w:rsid w:val="002C056D"/>
    <w:rsid w:val="002C175A"/>
    <w:rsid w:val="002C4B64"/>
    <w:rsid w:val="002C7FFB"/>
    <w:rsid w:val="002D58CE"/>
    <w:rsid w:val="002E3313"/>
    <w:rsid w:val="00304A80"/>
    <w:rsid w:val="003059A7"/>
    <w:rsid w:val="00307E6D"/>
    <w:rsid w:val="0031458E"/>
    <w:rsid w:val="00323349"/>
    <w:rsid w:val="00330CB3"/>
    <w:rsid w:val="00334F8E"/>
    <w:rsid w:val="00337D5F"/>
    <w:rsid w:val="003439EB"/>
    <w:rsid w:val="003450AE"/>
    <w:rsid w:val="00351B88"/>
    <w:rsid w:val="003646EA"/>
    <w:rsid w:val="00366E0B"/>
    <w:rsid w:val="00372D6A"/>
    <w:rsid w:val="003769F4"/>
    <w:rsid w:val="003772DD"/>
    <w:rsid w:val="00382F06"/>
    <w:rsid w:val="00384A48"/>
    <w:rsid w:val="00386568"/>
    <w:rsid w:val="00390450"/>
    <w:rsid w:val="0039301D"/>
    <w:rsid w:val="003A2076"/>
    <w:rsid w:val="003A57F5"/>
    <w:rsid w:val="003A625E"/>
    <w:rsid w:val="003B0EFD"/>
    <w:rsid w:val="003B1C97"/>
    <w:rsid w:val="003B219E"/>
    <w:rsid w:val="003B7A7E"/>
    <w:rsid w:val="003D3100"/>
    <w:rsid w:val="003D53A1"/>
    <w:rsid w:val="003D5680"/>
    <w:rsid w:val="003E4B69"/>
    <w:rsid w:val="003E79E4"/>
    <w:rsid w:val="003F32C3"/>
    <w:rsid w:val="003F3A58"/>
    <w:rsid w:val="003F46A3"/>
    <w:rsid w:val="003F5034"/>
    <w:rsid w:val="003F5A0E"/>
    <w:rsid w:val="00404488"/>
    <w:rsid w:val="00405B72"/>
    <w:rsid w:val="00406B31"/>
    <w:rsid w:val="004115F9"/>
    <w:rsid w:val="0041597F"/>
    <w:rsid w:val="00423B93"/>
    <w:rsid w:val="00425C22"/>
    <w:rsid w:val="00430A9E"/>
    <w:rsid w:val="00431AB7"/>
    <w:rsid w:val="00433D61"/>
    <w:rsid w:val="00434C8C"/>
    <w:rsid w:val="004363CF"/>
    <w:rsid w:val="0044287B"/>
    <w:rsid w:val="00442AAC"/>
    <w:rsid w:val="00445C14"/>
    <w:rsid w:val="00453739"/>
    <w:rsid w:val="004560E2"/>
    <w:rsid w:val="00460F9B"/>
    <w:rsid w:val="00462DFA"/>
    <w:rsid w:val="004642C5"/>
    <w:rsid w:val="0046474D"/>
    <w:rsid w:val="00465AF3"/>
    <w:rsid w:val="00467FA9"/>
    <w:rsid w:val="00470762"/>
    <w:rsid w:val="00470956"/>
    <w:rsid w:val="0047275E"/>
    <w:rsid w:val="004761F0"/>
    <w:rsid w:val="00481186"/>
    <w:rsid w:val="00484849"/>
    <w:rsid w:val="00486647"/>
    <w:rsid w:val="004866C4"/>
    <w:rsid w:val="0048678D"/>
    <w:rsid w:val="00486850"/>
    <w:rsid w:val="00496F37"/>
    <w:rsid w:val="0049744F"/>
    <w:rsid w:val="0049748F"/>
    <w:rsid w:val="004B0A79"/>
    <w:rsid w:val="004B1226"/>
    <w:rsid w:val="004B4CF0"/>
    <w:rsid w:val="004B5F35"/>
    <w:rsid w:val="004C07F7"/>
    <w:rsid w:val="004C2BD7"/>
    <w:rsid w:val="004C5142"/>
    <w:rsid w:val="004D0062"/>
    <w:rsid w:val="004D5ACD"/>
    <w:rsid w:val="004E1EB0"/>
    <w:rsid w:val="004E5FA7"/>
    <w:rsid w:val="004F04D4"/>
    <w:rsid w:val="004F5F75"/>
    <w:rsid w:val="00501D6B"/>
    <w:rsid w:val="00503920"/>
    <w:rsid w:val="005066FD"/>
    <w:rsid w:val="00507176"/>
    <w:rsid w:val="00513093"/>
    <w:rsid w:val="00515715"/>
    <w:rsid w:val="00515C45"/>
    <w:rsid w:val="005328C4"/>
    <w:rsid w:val="00536676"/>
    <w:rsid w:val="0054025E"/>
    <w:rsid w:val="0055194F"/>
    <w:rsid w:val="00565DA4"/>
    <w:rsid w:val="00565DC1"/>
    <w:rsid w:val="0056733F"/>
    <w:rsid w:val="0056751D"/>
    <w:rsid w:val="00572FB5"/>
    <w:rsid w:val="00573139"/>
    <w:rsid w:val="005739CE"/>
    <w:rsid w:val="0057673D"/>
    <w:rsid w:val="00581BC7"/>
    <w:rsid w:val="005826EE"/>
    <w:rsid w:val="00596EEC"/>
    <w:rsid w:val="00597F26"/>
    <w:rsid w:val="005A116D"/>
    <w:rsid w:val="005B2A7E"/>
    <w:rsid w:val="005B4E49"/>
    <w:rsid w:val="005C7424"/>
    <w:rsid w:val="005D38A1"/>
    <w:rsid w:val="005D3CF6"/>
    <w:rsid w:val="005D68F9"/>
    <w:rsid w:val="005E3EA9"/>
    <w:rsid w:val="005F02BA"/>
    <w:rsid w:val="00607EAB"/>
    <w:rsid w:val="00612146"/>
    <w:rsid w:val="00626BB7"/>
    <w:rsid w:val="00640CD2"/>
    <w:rsid w:val="0064296D"/>
    <w:rsid w:val="006504AA"/>
    <w:rsid w:val="006511D2"/>
    <w:rsid w:val="0065333A"/>
    <w:rsid w:val="00653618"/>
    <w:rsid w:val="00654658"/>
    <w:rsid w:val="00655318"/>
    <w:rsid w:val="00657D43"/>
    <w:rsid w:val="00670211"/>
    <w:rsid w:val="006732BF"/>
    <w:rsid w:val="0068210B"/>
    <w:rsid w:val="006842EC"/>
    <w:rsid w:val="00695215"/>
    <w:rsid w:val="0069576A"/>
    <w:rsid w:val="006A0A9C"/>
    <w:rsid w:val="006A2136"/>
    <w:rsid w:val="006B29FC"/>
    <w:rsid w:val="006B5103"/>
    <w:rsid w:val="006B67E4"/>
    <w:rsid w:val="006C0223"/>
    <w:rsid w:val="006C1680"/>
    <w:rsid w:val="006C35C7"/>
    <w:rsid w:val="006C3F27"/>
    <w:rsid w:val="006D6EBB"/>
    <w:rsid w:val="006D76E2"/>
    <w:rsid w:val="006E5735"/>
    <w:rsid w:val="006F14A3"/>
    <w:rsid w:val="006F4D3C"/>
    <w:rsid w:val="006F7E1D"/>
    <w:rsid w:val="007054C0"/>
    <w:rsid w:val="00705AB7"/>
    <w:rsid w:val="00707975"/>
    <w:rsid w:val="00710713"/>
    <w:rsid w:val="00714989"/>
    <w:rsid w:val="00717EC7"/>
    <w:rsid w:val="00720679"/>
    <w:rsid w:val="00722F46"/>
    <w:rsid w:val="00727B19"/>
    <w:rsid w:val="00735E43"/>
    <w:rsid w:val="007362A2"/>
    <w:rsid w:val="00736CC4"/>
    <w:rsid w:val="007421C9"/>
    <w:rsid w:val="007474A9"/>
    <w:rsid w:val="00753CA4"/>
    <w:rsid w:val="00762258"/>
    <w:rsid w:val="00763904"/>
    <w:rsid w:val="00770CF9"/>
    <w:rsid w:val="00776B62"/>
    <w:rsid w:val="007803FB"/>
    <w:rsid w:val="0078539B"/>
    <w:rsid w:val="00786B55"/>
    <w:rsid w:val="007928A5"/>
    <w:rsid w:val="007934F3"/>
    <w:rsid w:val="00794015"/>
    <w:rsid w:val="007A438F"/>
    <w:rsid w:val="007A5026"/>
    <w:rsid w:val="007A78AC"/>
    <w:rsid w:val="007B24EE"/>
    <w:rsid w:val="007B5D04"/>
    <w:rsid w:val="007C0A5A"/>
    <w:rsid w:val="007C32DC"/>
    <w:rsid w:val="007C384A"/>
    <w:rsid w:val="007C537A"/>
    <w:rsid w:val="007C5D0E"/>
    <w:rsid w:val="007D0E68"/>
    <w:rsid w:val="007D6B01"/>
    <w:rsid w:val="007E0A07"/>
    <w:rsid w:val="007E3C7E"/>
    <w:rsid w:val="007E47EA"/>
    <w:rsid w:val="007E73E4"/>
    <w:rsid w:val="007E75AB"/>
    <w:rsid w:val="007F6FCF"/>
    <w:rsid w:val="0081017C"/>
    <w:rsid w:val="008133B5"/>
    <w:rsid w:val="008149A4"/>
    <w:rsid w:val="00817FCB"/>
    <w:rsid w:val="008210EE"/>
    <w:rsid w:val="008302A8"/>
    <w:rsid w:val="00832E11"/>
    <w:rsid w:val="00833BD0"/>
    <w:rsid w:val="0083530B"/>
    <w:rsid w:val="0083548A"/>
    <w:rsid w:val="008379E1"/>
    <w:rsid w:val="00840F51"/>
    <w:rsid w:val="0084785C"/>
    <w:rsid w:val="008519FF"/>
    <w:rsid w:val="00852895"/>
    <w:rsid w:val="00855D74"/>
    <w:rsid w:val="00855DA6"/>
    <w:rsid w:val="00857F21"/>
    <w:rsid w:val="008647C8"/>
    <w:rsid w:val="00871642"/>
    <w:rsid w:val="00885AFF"/>
    <w:rsid w:val="00886552"/>
    <w:rsid w:val="008905F2"/>
    <w:rsid w:val="008A313F"/>
    <w:rsid w:val="008A4ED3"/>
    <w:rsid w:val="008B0AD8"/>
    <w:rsid w:val="008B5BAD"/>
    <w:rsid w:val="008D063A"/>
    <w:rsid w:val="008E165C"/>
    <w:rsid w:val="008E1B1D"/>
    <w:rsid w:val="008E4DE3"/>
    <w:rsid w:val="008E73B1"/>
    <w:rsid w:val="008F1199"/>
    <w:rsid w:val="008F1659"/>
    <w:rsid w:val="008F39E5"/>
    <w:rsid w:val="008F4826"/>
    <w:rsid w:val="008F5396"/>
    <w:rsid w:val="00901040"/>
    <w:rsid w:val="009049AE"/>
    <w:rsid w:val="0090634A"/>
    <w:rsid w:val="009112B8"/>
    <w:rsid w:val="00913F39"/>
    <w:rsid w:val="00914B21"/>
    <w:rsid w:val="00920FF3"/>
    <w:rsid w:val="009357A7"/>
    <w:rsid w:val="009373DB"/>
    <w:rsid w:val="00943040"/>
    <w:rsid w:val="009431A9"/>
    <w:rsid w:val="00943F10"/>
    <w:rsid w:val="00945238"/>
    <w:rsid w:val="009459CF"/>
    <w:rsid w:val="00946F0D"/>
    <w:rsid w:val="009515B4"/>
    <w:rsid w:val="00962564"/>
    <w:rsid w:val="00970939"/>
    <w:rsid w:val="00972D61"/>
    <w:rsid w:val="00974E19"/>
    <w:rsid w:val="00975411"/>
    <w:rsid w:val="00975602"/>
    <w:rsid w:val="00977A98"/>
    <w:rsid w:val="00977C56"/>
    <w:rsid w:val="00980E93"/>
    <w:rsid w:val="00983778"/>
    <w:rsid w:val="00992047"/>
    <w:rsid w:val="009921C2"/>
    <w:rsid w:val="00997C7B"/>
    <w:rsid w:val="009A309D"/>
    <w:rsid w:val="009A79D9"/>
    <w:rsid w:val="009B125E"/>
    <w:rsid w:val="009B33FF"/>
    <w:rsid w:val="009B62D5"/>
    <w:rsid w:val="009B6325"/>
    <w:rsid w:val="009B75D1"/>
    <w:rsid w:val="009D11D9"/>
    <w:rsid w:val="009D4BA3"/>
    <w:rsid w:val="009D6438"/>
    <w:rsid w:val="009E4A98"/>
    <w:rsid w:val="009E5767"/>
    <w:rsid w:val="009F03A9"/>
    <w:rsid w:val="009F0BD7"/>
    <w:rsid w:val="009F7326"/>
    <w:rsid w:val="00A005F4"/>
    <w:rsid w:val="00A071F2"/>
    <w:rsid w:val="00A154DF"/>
    <w:rsid w:val="00A2171B"/>
    <w:rsid w:val="00A34E0B"/>
    <w:rsid w:val="00A354FD"/>
    <w:rsid w:val="00A43169"/>
    <w:rsid w:val="00A51377"/>
    <w:rsid w:val="00A52F5E"/>
    <w:rsid w:val="00A57A49"/>
    <w:rsid w:val="00A635EA"/>
    <w:rsid w:val="00A64812"/>
    <w:rsid w:val="00A65FBB"/>
    <w:rsid w:val="00A70A57"/>
    <w:rsid w:val="00A861B1"/>
    <w:rsid w:val="00A91B32"/>
    <w:rsid w:val="00A92B3F"/>
    <w:rsid w:val="00A949CD"/>
    <w:rsid w:val="00AA0652"/>
    <w:rsid w:val="00AC3214"/>
    <w:rsid w:val="00AC3334"/>
    <w:rsid w:val="00AC6BAA"/>
    <w:rsid w:val="00AC6F37"/>
    <w:rsid w:val="00AD06DF"/>
    <w:rsid w:val="00AD09B9"/>
    <w:rsid w:val="00AD3BB5"/>
    <w:rsid w:val="00AE008C"/>
    <w:rsid w:val="00AE014C"/>
    <w:rsid w:val="00AE1CB9"/>
    <w:rsid w:val="00AF084B"/>
    <w:rsid w:val="00AF1176"/>
    <w:rsid w:val="00AF360D"/>
    <w:rsid w:val="00AF467D"/>
    <w:rsid w:val="00AF642B"/>
    <w:rsid w:val="00B00CB1"/>
    <w:rsid w:val="00B05A5A"/>
    <w:rsid w:val="00B0625A"/>
    <w:rsid w:val="00B1281B"/>
    <w:rsid w:val="00B1372C"/>
    <w:rsid w:val="00B1440F"/>
    <w:rsid w:val="00B2188F"/>
    <w:rsid w:val="00B25371"/>
    <w:rsid w:val="00B25C02"/>
    <w:rsid w:val="00B374AD"/>
    <w:rsid w:val="00B4091C"/>
    <w:rsid w:val="00B444A6"/>
    <w:rsid w:val="00B47EB9"/>
    <w:rsid w:val="00B50A22"/>
    <w:rsid w:val="00B53B8D"/>
    <w:rsid w:val="00B53E87"/>
    <w:rsid w:val="00B62FA9"/>
    <w:rsid w:val="00B654A4"/>
    <w:rsid w:val="00B72C38"/>
    <w:rsid w:val="00B73ACA"/>
    <w:rsid w:val="00B74388"/>
    <w:rsid w:val="00B7470B"/>
    <w:rsid w:val="00B7772E"/>
    <w:rsid w:val="00B81FF4"/>
    <w:rsid w:val="00B8347D"/>
    <w:rsid w:val="00B83CE2"/>
    <w:rsid w:val="00B84456"/>
    <w:rsid w:val="00B942E7"/>
    <w:rsid w:val="00BA1B68"/>
    <w:rsid w:val="00BA2BDE"/>
    <w:rsid w:val="00BA33E7"/>
    <w:rsid w:val="00BB6089"/>
    <w:rsid w:val="00BB794C"/>
    <w:rsid w:val="00BC5535"/>
    <w:rsid w:val="00BC670A"/>
    <w:rsid w:val="00BC7681"/>
    <w:rsid w:val="00BD1FB1"/>
    <w:rsid w:val="00BD3896"/>
    <w:rsid w:val="00BD7A6F"/>
    <w:rsid w:val="00BF1734"/>
    <w:rsid w:val="00BF2A5F"/>
    <w:rsid w:val="00BF2C9E"/>
    <w:rsid w:val="00BF328C"/>
    <w:rsid w:val="00C06DB9"/>
    <w:rsid w:val="00C116E4"/>
    <w:rsid w:val="00C1495A"/>
    <w:rsid w:val="00C15A42"/>
    <w:rsid w:val="00C25C40"/>
    <w:rsid w:val="00C31598"/>
    <w:rsid w:val="00C33621"/>
    <w:rsid w:val="00C35163"/>
    <w:rsid w:val="00C35CAB"/>
    <w:rsid w:val="00C36660"/>
    <w:rsid w:val="00C37AB7"/>
    <w:rsid w:val="00C41621"/>
    <w:rsid w:val="00C44C99"/>
    <w:rsid w:val="00C46B33"/>
    <w:rsid w:val="00C46C64"/>
    <w:rsid w:val="00C50077"/>
    <w:rsid w:val="00C54679"/>
    <w:rsid w:val="00C55DED"/>
    <w:rsid w:val="00C617BA"/>
    <w:rsid w:val="00C66388"/>
    <w:rsid w:val="00C66A99"/>
    <w:rsid w:val="00C74301"/>
    <w:rsid w:val="00C74331"/>
    <w:rsid w:val="00C7441A"/>
    <w:rsid w:val="00C74694"/>
    <w:rsid w:val="00C754BD"/>
    <w:rsid w:val="00C827CD"/>
    <w:rsid w:val="00C838F5"/>
    <w:rsid w:val="00C870B2"/>
    <w:rsid w:val="00C872C7"/>
    <w:rsid w:val="00C879C6"/>
    <w:rsid w:val="00C907A1"/>
    <w:rsid w:val="00CA07FF"/>
    <w:rsid w:val="00CA16F3"/>
    <w:rsid w:val="00CA5763"/>
    <w:rsid w:val="00CA6815"/>
    <w:rsid w:val="00CA7C02"/>
    <w:rsid w:val="00CB2812"/>
    <w:rsid w:val="00CB51FF"/>
    <w:rsid w:val="00CC05D6"/>
    <w:rsid w:val="00CC4027"/>
    <w:rsid w:val="00CC6F9F"/>
    <w:rsid w:val="00CC7814"/>
    <w:rsid w:val="00CD16B8"/>
    <w:rsid w:val="00CD1886"/>
    <w:rsid w:val="00CE406E"/>
    <w:rsid w:val="00CE612E"/>
    <w:rsid w:val="00CE7127"/>
    <w:rsid w:val="00CF0097"/>
    <w:rsid w:val="00CF25FA"/>
    <w:rsid w:val="00CF2C2E"/>
    <w:rsid w:val="00CF33E7"/>
    <w:rsid w:val="00CF6224"/>
    <w:rsid w:val="00CF7931"/>
    <w:rsid w:val="00D06D98"/>
    <w:rsid w:val="00D13DE4"/>
    <w:rsid w:val="00D14281"/>
    <w:rsid w:val="00D22FCD"/>
    <w:rsid w:val="00D32CA1"/>
    <w:rsid w:val="00D412BC"/>
    <w:rsid w:val="00D4243F"/>
    <w:rsid w:val="00D44531"/>
    <w:rsid w:val="00D54137"/>
    <w:rsid w:val="00D62685"/>
    <w:rsid w:val="00D62B2C"/>
    <w:rsid w:val="00D63232"/>
    <w:rsid w:val="00D63A48"/>
    <w:rsid w:val="00D658C6"/>
    <w:rsid w:val="00D65C23"/>
    <w:rsid w:val="00D70469"/>
    <w:rsid w:val="00D73A15"/>
    <w:rsid w:val="00D77563"/>
    <w:rsid w:val="00D80AFA"/>
    <w:rsid w:val="00D8151D"/>
    <w:rsid w:val="00D83B8D"/>
    <w:rsid w:val="00D8432A"/>
    <w:rsid w:val="00D84A54"/>
    <w:rsid w:val="00D855B0"/>
    <w:rsid w:val="00DA0F78"/>
    <w:rsid w:val="00DA2203"/>
    <w:rsid w:val="00DA6BCB"/>
    <w:rsid w:val="00DB04D3"/>
    <w:rsid w:val="00DB3F55"/>
    <w:rsid w:val="00DB6E08"/>
    <w:rsid w:val="00DC2317"/>
    <w:rsid w:val="00DC3416"/>
    <w:rsid w:val="00DC6A04"/>
    <w:rsid w:val="00DC6F8A"/>
    <w:rsid w:val="00DC771B"/>
    <w:rsid w:val="00DD0AB1"/>
    <w:rsid w:val="00DD25ED"/>
    <w:rsid w:val="00DD7C83"/>
    <w:rsid w:val="00DE38AD"/>
    <w:rsid w:val="00DF78EA"/>
    <w:rsid w:val="00E00C0C"/>
    <w:rsid w:val="00E04CA9"/>
    <w:rsid w:val="00E10FD8"/>
    <w:rsid w:val="00E14EEA"/>
    <w:rsid w:val="00E17010"/>
    <w:rsid w:val="00E23BCC"/>
    <w:rsid w:val="00E25DBB"/>
    <w:rsid w:val="00E32AAC"/>
    <w:rsid w:val="00E34128"/>
    <w:rsid w:val="00E351C5"/>
    <w:rsid w:val="00E3700A"/>
    <w:rsid w:val="00E43F40"/>
    <w:rsid w:val="00E52FEA"/>
    <w:rsid w:val="00E5380D"/>
    <w:rsid w:val="00E74E56"/>
    <w:rsid w:val="00E84DFF"/>
    <w:rsid w:val="00E86C8D"/>
    <w:rsid w:val="00E86D19"/>
    <w:rsid w:val="00E908CB"/>
    <w:rsid w:val="00E90958"/>
    <w:rsid w:val="00E95182"/>
    <w:rsid w:val="00E96B46"/>
    <w:rsid w:val="00EA001D"/>
    <w:rsid w:val="00EA13E8"/>
    <w:rsid w:val="00EA36FC"/>
    <w:rsid w:val="00EA4BF9"/>
    <w:rsid w:val="00EB5175"/>
    <w:rsid w:val="00EB75F7"/>
    <w:rsid w:val="00EC3108"/>
    <w:rsid w:val="00EC313E"/>
    <w:rsid w:val="00EC31E6"/>
    <w:rsid w:val="00EC396D"/>
    <w:rsid w:val="00EC5856"/>
    <w:rsid w:val="00EC6F1E"/>
    <w:rsid w:val="00ED11D4"/>
    <w:rsid w:val="00ED5113"/>
    <w:rsid w:val="00ED6B36"/>
    <w:rsid w:val="00ED6CD3"/>
    <w:rsid w:val="00ED7CD0"/>
    <w:rsid w:val="00EE0877"/>
    <w:rsid w:val="00EE4FB0"/>
    <w:rsid w:val="00EF39C7"/>
    <w:rsid w:val="00EF425E"/>
    <w:rsid w:val="00F014B4"/>
    <w:rsid w:val="00F02F34"/>
    <w:rsid w:val="00F11A52"/>
    <w:rsid w:val="00F13A2C"/>
    <w:rsid w:val="00F201CA"/>
    <w:rsid w:val="00F306F5"/>
    <w:rsid w:val="00F364B0"/>
    <w:rsid w:val="00F376B9"/>
    <w:rsid w:val="00F431AA"/>
    <w:rsid w:val="00F44948"/>
    <w:rsid w:val="00F44E9F"/>
    <w:rsid w:val="00F543DE"/>
    <w:rsid w:val="00F6222B"/>
    <w:rsid w:val="00F647D4"/>
    <w:rsid w:val="00F7223D"/>
    <w:rsid w:val="00F72315"/>
    <w:rsid w:val="00F72794"/>
    <w:rsid w:val="00F841B5"/>
    <w:rsid w:val="00F90C0A"/>
    <w:rsid w:val="00FA3B1C"/>
    <w:rsid w:val="00FA514A"/>
    <w:rsid w:val="00FA574E"/>
    <w:rsid w:val="00FA6491"/>
    <w:rsid w:val="00FB3CF6"/>
    <w:rsid w:val="00FC1BA1"/>
    <w:rsid w:val="00FC2B2E"/>
    <w:rsid w:val="00FC3E94"/>
    <w:rsid w:val="00FC5538"/>
    <w:rsid w:val="00FC68B6"/>
    <w:rsid w:val="00FD0C9F"/>
    <w:rsid w:val="00FD2CFD"/>
    <w:rsid w:val="00FD3AD5"/>
    <w:rsid w:val="00FD7D90"/>
    <w:rsid w:val="00FD7EA1"/>
    <w:rsid w:val="00FE5F7B"/>
    <w:rsid w:val="00FF161F"/>
    <w:rsid w:val="00FF181E"/>
    <w:rsid w:val="00FF212A"/>
    <w:rsid w:val="00FF337A"/>
    <w:rsid w:val="00FF76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3562"/>
  <w15:docId w15:val="{89D4BF4F-1EF3-4BC3-AC4B-42CA3B3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1D2"/>
  </w:style>
  <w:style w:type="paragraph" w:styleId="Heading2">
    <w:name w:val="heading 2"/>
    <w:basedOn w:val="Normal"/>
    <w:link w:val="Heading2Char"/>
    <w:uiPriority w:val="9"/>
    <w:qFormat/>
    <w:rsid w:val="00460F9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D74"/>
  </w:style>
  <w:style w:type="paragraph" w:styleId="Footer">
    <w:name w:val="footer"/>
    <w:basedOn w:val="Normal"/>
    <w:link w:val="FooterChar"/>
    <w:uiPriority w:val="99"/>
    <w:unhideWhenUsed/>
    <w:rsid w:val="00855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D74"/>
  </w:style>
  <w:style w:type="paragraph" w:styleId="BalloonText">
    <w:name w:val="Balloon Text"/>
    <w:basedOn w:val="Normal"/>
    <w:link w:val="BalloonTextChar"/>
    <w:uiPriority w:val="99"/>
    <w:semiHidden/>
    <w:unhideWhenUsed/>
    <w:rsid w:val="00A1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DF"/>
    <w:rPr>
      <w:rFonts w:ascii="Tahoma" w:hAnsi="Tahoma" w:cs="Tahoma"/>
      <w:sz w:val="16"/>
      <w:szCs w:val="16"/>
    </w:rPr>
  </w:style>
  <w:style w:type="paragraph" w:styleId="ListParagraph">
    <w:name w:val="List Paragraph"/>
    <w:basedOn w:val="Normal"/>
    <w:uiPriority w:val="34"/>
    <w:qFormat/>
    <w:rsid w:val="009E4A98"/>
    <w:pPr>
      <w:ind w:left="720"/>
      <w:contextualSpacing/>
    </w:pPr>
  </w:style>
  <w:style w:type="character" w:styleId="Hyperlink">
    <w:name w:val="Hyperlink"/>
    <w:basedOn w:val="DefaultParagraphFont"/>
    <w:uiPriority w:val="99"/>
    <w:unhideWhenUsed/>
    <w:rsid w:val="00FF76CE"/>
    <w:rPr>
      <w:color w:val="0000FF"/>
      <w:u w:val="single"/>
    </w:rPr>
  </w:style>
  <w:style w:type="paragraph" w:styleId="FootnoteText">
    <w:name w:val="footnote text"/>
    <w:basedOn w:val="Normal"/>
    <w:link w:val="FootnoteTextChar"/>
    <w:uiPriority w:val="99"/>
    <w:semiHidden/>
    <w:unhideWhenUsed/>
    <w:rsid w:val="008F3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9E5"/>
    <w:rPr>
      <w:sz w:val="20"/>
      <w:szCs w:val="20"/>
    </w:rPr>
  </w:style>
  <w:style w:type="character" w:styleId="FootnoteReference">
    <w:name w:val="footnote reference"/>
    <w:basedOn w:val="DefaultParagraphFont"/>
    <w:uiPriority w:val="99"/>
    <w:semiHidden/>
    <w:unhideWhenUsed/>
    <w:rsid w:val="008F39E5"/>
    <w:rPr>
      <w:vertAlign w:val="superscript"/>
    </w:rPr>
  </w:style>
  <w:style w:type="paragraph" w:styleId="NormalWeb">
    <w:name w:val="Normal (Web)"/>
    <w:basedOn w:val="Normal"/>
    <w:uiPriority w:val="99"/>
    <w:unhideWhenUsed/>
    <w:rsid w:val="00E909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D6FAD"/>
    <w:rPr>
      <w:sz w:val="16"/>
      <w:szCs w:val="16"/>
    </w:rPr>
  </w:style>
  <w:style w:type="paragraph" w:styleId="CommentText">
    <w:name w:val="annotation text"/>
    <w:basedOn w:val="Normal"/>
    <w:link w:val="CommentTextChar"/>
    <w:uiPriority w:val="99"/>
    <w:semiHidden/>
    <w:unhideWhenUsed/>
    <w:rsid w:val="000D6FAD"/>
    <w:pPr>
      <w:spacing w:line="240" w:lineRule="auto"/>
    </w:pPr>
    <w:rPr>
      <w:sz w:val="20"/>
      <w:szCs w:val="20"/>
    </w:rPr>
  </w:style>
  <w:style w:type="character" w:customStyle="1" w:styleId="CommentTextChar">
    <w:name w:val="Comment Text Char"/>
    <w:basedOn w:val="DefaultParagraphFont"/>
    <w:link w:val="CommentText"/>
    <w:uiPriority w:val="99"/>
    <w:semiHidden/>
    <w:rsid w:val="000D6FAD"/>
    <w:rPr>
      <w:sz w:val="20"/>
      <w:szCs w:val="20"/>
    </w:rPr>
  </w:style>
  <w:style w:type="paragraph" w:styleId="CommentSubject">
    <w:name w:val="annotation subject"/>
    <w:basedOn w:val="CommentText"/>
    <w:next w:val="CommentText"/>
    <w:link w:val="CommentSubjectChar"/>
    <w:uiPriority w:val="99"/>
    <w:semiHidden/>
    <w:unhideWhenUsed/>
    <w:rsid w:val="000D6FAD"/>
    <w:rPr>
      <w:b/>
      <w:bCs/>
    </w:rPr>
  </w:style>
  <w:style w:type="character" w:customStyle="1" w:styleId="CommentSubjectChar">
    <w:name w:val="Comment Subject Char"/>
    <w:basedOn w:val="CommentTextChar"/>
    <w:link w:val="CommentSubject"/>
    <w:uiPriority w:val="99"/>
    <w:semiHidden/>
    <w:rsid w:val="000D6FAD"/>
    <w:rPr>
      <w:b/>
      <w:bCs/>
      <w:sz w:val="20"/>
      <w:szCs w:val="20"/>
    </w:rPr>
  </w:style>
  <w:style w:type="character" w:customStyle="1" w:styleId="Heading2Char">
    <w:name w:val="Heading 2 Char"/>
    <w:basedOn w:val="DefaultParagraphFont"/>
    <w:link w:val="Heading2"/>
    <w:uiPriority w:val="9"/>
    <w:rsid w:val="00460F9B"/>
    <w:rPr>
      <w:rFonts w:ascii="Times New Roman" w:eastAsia="Times New Roman" w:hAnsi="Times New Roman" w:cs="Times New Roman"/>
      <w:b/>
      <w:bCs/>
      <w:sz w:val="36"/>
      <w:szCs w:val="36"/>
      <w:lang w:eastAsia="en-ZA"/>
    </w:rPr>
  </w:style>
  <w:style w:type="paragraph" w:styleId="Revision">
    <w:name w:val="Revision"/>
    <w:hidden/>
    <w:uiPriority w:val="99"/>
    <w:semiHidden/>
    <w:rsid w:val="00EA1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25432">
      <w:bodyDiv w:val="1"/>
      <w:marLeft w:val="0"/>
      <w:marRight w:val="0"/>
      <w:marTop w:val="0"/>
      <w:marBottom w:val="0"/>
      <w:divBdr>
        <w:top w:val="none" w:sz="0" w:space="0" w:color="auto"/>
        <w:left w:val="none" w:sz="0" w:space="0" w:color="auto"/>
        <w:bottom w:val="none" w:sz="0" w:space="0" w:color="auto"/>
        <w:right w:val="none" w:sz="0" w:space="0" w:color="auto"/>
      </w:divBdr>
    </w:div>
    <w:div w:id="1407418360">
      <w:bodyDiv w:val="1"/>
      <w:marLeft w:val="0"/>
      <w:marRight w:val="0"/>
      <w:marTop w:val="0"/>
      <w:marBottom w:val="0"/>
      <w:divBdr>
        <w:top w:val="none" w:sz="0" w:space="0" w:color="auto"/>
        <w:left w:val="none" w:sz="0" w:space="0" w:color="auto"/>
        <w:bottom w:val="none" w:sz="0" w:space="0" w:color="auto"/>
        <w:right w:val="none" w:sz="0" w:space="0" w:color="auto"/>
      </w:divBdr>
    </w:div>
    <w:div w:id="1515071591">
      <w:bodyDiv w:val="1"/>
      <w:marLeft w:val="0"/>
      <w:marRight w:val="0"/>
      <w:marTop w:val="0"/>
      <w:marBottom w:val="0"/>
      <w:divBdr>
        <w:top w:val="none" w:sz="0" w:space="0" w:color="auto"/>
        <w:left w:val="none" w:sz="0" w:space="0" w:color="auto"/>
        <w:bottom w:val="none" w:sz="0" w:space="0" w:color="auto"/>
        <w:right w:val="none" w:sz="0" w:space="0" w:color="auto"/>
      </w:divBdr>
      <w:divsChild>
        <w:div w:id="786969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02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343267">
      <w:bodyDiv w:val="1"/>
      <w:marLeft w:val="0"/>
      <w:marRight w:val="0"/>
      <w:marTop w:val="0"/>
      <w:marBottom w:val="0"/>
      <w:divBdr>
        <w:top w:val="none" w:sz="0" w:space="0" w:color="auto"/>
        <w:left w:val="none" w:sz="0" w:space="0" w:color="auto"/>
        <w:bottom w:val="none" w:sz="0" w:space="0" w:color="auto"/>
        <w:right w:val="none" w:sz="0" w:space="0" w:color="auto"/>
      </w:divBdr>
      <w:divsChild>
        <w:div w:id="103261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555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C6695-2C5C-4DF3-BA78-4E7C640E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3554</Words>
  <Characters>20261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Skead</dc:creator>
  <cp:lastModifiedBy>HOME</cp:lastModifiedBy>
  <cp:revision>2</cp:revision>
  <cp:lastPrinted>2022-02-21T11:47:00Z</cp:lastPrinted>
  <dcterms:created xsi:type="dcterms:W3CDTF">2022-06-16T09:33:00Z</dcterms:created>
  <dcterms:modified xsi:type="dcterms:W3CDTF">2022-06-16T09:33:00Z</dcterms:modified>
</cp:coreProperties>
</file>