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15" w:rsidRPr="005657BE" w:rsidRDefault="00B13715" w:rsidP="00BF0D6B">
      <w:pPr>
        <w:tabs>
          <w:tab w:val="left" w:pos="720"/>
        </w:tabs>
        <w:spacing w:line="360" w:lineRule="auto"/>
        <w:jc w:val="center"/>
        <w:rPr>
          <w:rFonts w:ascii="Arial" w:hAnsi="Arial" w:cs="Arial"/>
        </w:rPr>
      </w:pPr>
      <w:r w:rsidRPr="005657BE">
        <w:rPr>
          <w:rFonts w:ascii="Arial" w:hAnsi="Arial" w:cs="Arial"/>
          <w:noProof/>
          <w:lang w:eastAsia="en-ZA"/>
        </w:rPr>
        <w:drawing>
          <wp:inline distT="0" distB="0" distL="0" distR="0" wp14:anchorId="26BB5063" wp14:editId="7B079D1C">
            <wp:extent cx="1114425" cy="111442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13715" w:rsidRPr="00560C15" w:rsidRDefault="00B13715" w:rsidP="00BF0D6B">
      <w:pPr>
        <w:tabs>
          <w:tab w:val="left" w:pos="720"/>
        </w:tabs>
        <w:spacing w:line="360" w:lineRule="auto"/>
        <w:jc w:val="center"/>
        <w:rPr>
          <w:rFonts w:ascii="Arial" w:hAnsi="Arial" w:cs="Arial"/>
          <w:b/>
          <w:szCs w:val="20"/>
          <w:lang w:val="en-GB"/>
        </w:rPr>
      </w:pPr>
      <w:r w:rsidRPr="00560C15">
        <w:rPr>
          <w:rFonts w:ascii="Arial" w:hAnsi="Arial" w:cs="Arial"/>
          <w:b/>
          <w:szCs w:val="20"/>
          <w:lang w:val="en-GB"/>
        </w:rPr>
        <w:t>IN THE HIGH COURT OF SOUTH AFRICA</w:t>
      </w:r>
    </w:p>
    <w:p w:rsidR="00B13715" w:rsidRPr="00560C15" w:rsidRDefault="00B13715" w:rsidP="00BF0D6B">
      <w:pPr>
        <w:tabs>
          <w:tab w:val="left" w:pos="720"/>
        </w:tabs>
        <w:spacing w:line="360" w:lineRule="auto"/>
        <w:jc w:val="center"/>
        <w:rPr>
          <w:rFonts w:ascii="Arial" w:hAnsi="Arial" w:cs="Arial"/>
          <w:b/>
          <w:szCs w:val="20"/>
          <w:u w:val="single"/>
        </w:rPr>
      </w:pPr>
      <w:r w:rsidRPr="00560C15">
        <w:rPr>
          <w:rFonts w:ascii="Arial" w:hAnsi="Arial" w:cs="Arial"/>
          <w:b/>
          <w:szCs w:val="20"/>
          <w:lang w:val="en-GB"/>
        </w:rPr>
        <w:t>KWAZULU-NATAL LOCAL DIVISION, DURBAN</w:t>
      </w:r>
    </w:p>
    <w:p w:rsidR="00B13715" w:rsidRPr="005657BE" w:rsidRDefault="00B13715" w:rsidP="00BF0D6B">
      <w:pPr>
        <w:tabs>
          <w:tab w:val="left" w:pos="720"/>
        </w:tabs>
        <w:spacing w:line="360" w:lineRule="auto"/>
        <w:jc w:val="both"/>
        <w:rPr>
          <w:rFonts w:ascii="Arial" w:hAnsi="Arial" w:cs="Arial"/>
          <w:highlight w:val="yellow"/>
        </w:rPr>
      </w:pPr>
    </w:p>
    <w:p w:rsidR="00B13715" w:rsidRPr="005657BE" w:rsidRDefault="00B13715" w:rsidP="00BF0D6B">
      <w:pPr>
        <w:tabs>
          <w:tab w:val="left" w:pos="720"/>
        </w:tabs>
        <w:spacing w:line="360" w:lineRule="auto"/>
        <w:jc w:val="both"/>
        <w:rPr>
          <w:rFonts w:ascii="Arial" w:hAnsi="Arial" w:cs="Arial"/>
        </w:rPr>
      </w:pPr>
      <w:r w:rsidRPr="005657BE">
        <w:rPr>
          <w:rFonts w:ascii="Arial" w:hAnsi="Arial" w:cs="Arial"/>
        </w:rPr>
        <w:tab/>
      </w:r>
      <w:r w:rsidRPr="005657BE">
        <w:rPr>
          <w:rFonts w:ascii="Arial" w:hAnsi="Arial" w:cs="Arial"/>
        </w:rPr>
        <w:tab/>
      </w:r>
      <w:r w:rsidRPr="005657BE">
        <w:rPr>
          <w:rFonts w:ascii="Arial" w:hAnsi="Arial" w:cs="Arial"/>
        </w:rPr>
        <w:tab/>
      </w:r>
      <w:r w:rsidRPr="005657BE">
        <w:rPr>
          <w:rFonts w:ascii="Arial" w:hAnsi="Arial" w:cs="Arial"/>
        </w:rPr>
        <w:tab/>
      </w:r>
      <w:r w:rsidRPr="005657BE">
        <w:rPr>
          <w:rFonts w:ascii="Arial" w:hAnsi="Arial" w:cs="Arial"/>
        </w:rPr>
        <w:tab/>
      </w:r>
      <w:r w:rsidRPr="005657BE">
        <w:rPr>
          <w:rFonts w:ascii="Arial" w:hAnsi="Arial" w:cs="Arial"/>
        </w:rPr>
        <w:tab/>
      </w:r>
      <w:r w:rsidRPr="005657BE">
        <w:rPr>
          <w:rFonts w:ascii="Arial" w:hAnsi="Arial" w:cs="Arial"/>
        </w:rPr>
        <w:tab/>
      </w:r>
      <w:r w:rsidRPr="005657BE">
        <w:rPr>
          <w:rFonts w:ascii="Arial" w:hAnsi="Arial" w:cs="Arial"/>
        </w:rPr>
        <w:tab/>
        <w:t xml:space="preserve">            Case No: A10/2020</w:t>
      </w:r>
    </w:p>
    <w:p w:rsidR="00B13715" w:rsidRPr="005657BE" w:rsidRDefault="00B13715" w:rsidP="00BF0D6B">
      <w:pPr>
        <w:tabs>
          <w:tab w:val="left" w:pos="720"/>
        </w:tabs>
        <w:spacing w:line="360" w:lineRule="auto"/>
        <w:jc w:val="both"/>
        <w:rPr>
          <w:rFonts w:ascii="Arial" w:hAnsi="Arial" w:cs="Arial"/>
        </w:rPr>
      </w:pPr>
      <w:r w:rsidRPr="005657BE">
        <w:rPr>
          <w:rFonts w:ascii="Arial" w:hAnsi="Arial" w:cs="Arial"/>
        </w:rPr>
        <w:t>In the matter between:</w:t>
      </w:r>
    </w:p>
    <w:p w:rsidR="00B13715" w:rsidRPr="005657BE" w:rsidRDefault="00B13715" w:rsidP="00BF0D6B">
      <w:pPr>
        <w:tabs>
          <w:tab w:val="left" w:pos="720"/>
        </w:tabs>
        <w:spacing w:line="360" w:lineRule="auto"/>
        <w:jc w:val="both"/>
        <w:rPr>
          <w:rFonts w:ascii="Arial" w:hAnsi="Arial" w:cs="Arial"/>
          <w:b/>
        </w:rPr>
      </w:pPr>
      <w:r w:rsidRPr="005657BE">
        <w:rPr>
          <w:rFonts w:ascii="Arial" w:hAnsi="Arial" w:cs="Arial"/>
          <w:b/>
          <w:color w:val="000000"/>
          <w:lang w:eastAsia="en-ZA"/>
        </w:rPr>
        <w:t>DHL PROJECT &amp; CHARTERING LTD</w:t>
      </w:r>
      <w:r w:rsidRPr="005657BE">
        <w:rPr>
          <w:rFonts w:ascii="Arial" w:hAnsi="Arial" w:cs="Arial"/>
          <w:b/>
          <w:color w:val="000000"/>
          <w:lang w:eastAsia="en-ZA"/>
        </w:rPr>
        <w:tab/>
      </w:r>
      <w:r w:rsidRPr="005657BE">
        <w:rPr>
          <w:rFonts w:ascii="Arial" w:hAnsi="Arial" w:cs="Arial"/>
          <w:b/>
          <w:color w:val="000000"/>
          <w:lang w:eastAsia="en-ZA"/>
        </w:rPr>
        <w:tab/>
      </w:r>
      <w:r w:rsidRPr="005657BE">
        <w:rPr>
          <w:rFonts w:ascii="Arial" w:hAnsi="Arial" w:cs="Arial"/>
          <w:b/>
          <w:color w:val="000000"/>
          <w:lang w:eastAsia="en-ZA"/>
        </w:rPr>
        <w:tab/>
      </w:r>
      <w:r w:rsidRPr="005657BE">
        <w:rPr>
          <w:rFonts w:ascii="Arial" w:hAnsi="Arial" w:cs="Arial"/>
          <w:b/>
          <w:color w:val="000000"/>
          <w:lang w:eastAsia="en-ZA"/>
        </w:rPr>
        <w:tab/>
      </w:r>
      <w:r w:rsidR="007C40D8" w:rsidRPr="005657BE">
        <w:rPr>
          <w:rFonts w:ascii="Arial" w:hAnsi="Arial" w:cs="Arial"/>
          <w:b/>
          <w:color w:val="000000"/>
          <w:lang w:eastAsia="en-ZA"/>
        </w:rPr>
        <w:tab/>
      </w:r>
      <w:r w:rsidR="007C40D8" w:rsidRPr="005657BE">
        <w:rPr>
          <w:rFonts w:ascii="Arial" w:hAnsi="Arial" w:cs="Arial"/>
          <w:b/>
          <w:color w:val="000000"/>
          <w:lang w:eastAsia="en-ZA"/>
        </w:rPr>
        <w:tab/>
        <w:t xml:space="preserve">   </w:t>
      </w:r>
      <w:r w:rsidRPr="005657BE">
        <w:rPr>
          <w:rFonts w:ascii="Arial" w:hAnsi="Arial" w:cs="Arial"/>
          <w:b/>
          <w:color w:val="000000"/>
          <w:lang w:eastAsia="en-ZA"/>
        </w:rPr>
        <w:t>PLAINTIFF</w:t>
      </w:r>
    </w:p>
    <w:p w:rsidR="00B13715" w:rsidRPr="005657BE" w:rsidRDefault="00B13715" w:rsidP="00BF0D6B">
      <w:pPr>
        <w:tabs>
          <w:tab w:val="left" w:pos="720"/>
        </w:tabs>
        <w:spacing w:line="360" w:lineRule="auto"/>
        <w:jc w:val="both"/>
        <w:rPr>
          <w:rFonts w:ascii="Arial" w:hAnsi="Arial" w:cs="Arial"/>
        </w:rPr>
      </w:pPr>
      <w:r w:rsidRPr="005657BE">
        <w:rPr>
          <w:rFonts w:ascii="Arial" w:hAnsi="Arial" w:cs="Arial"/>
        </w:rPr>
        <w:t>and</w:t>
      </w:r>
    </w:p>
    <w:p w:rsidR="00B13715" w:rsidRPr="005657BE" w:rsidRDefault="00B13715" w:rsidP="00BF0D6B">
      <w:pPr>
        <w:tabs>
          <w:tab w:val="left" w:pos="720"/>
        </w:tabs>
        <w:spacing w:line="360" w:lineRule="auto"/>
        <w:rPr>
          <w:rFonts w:ascii="Arial" w:hAnsi="Arial" w:cs="Arial"/>
          <w:b/>
        </w:rPr>
      </w:pPr>
      <w:r w:rsidRPr="005657BE">
        <w:rPr>
          <w:rFonts w:ascii="Arial" w:hAnsi="Arial" w:cs="Arial"/>
          <w:b/>
        </w:rPr>
        <w:t>MV “SHANDONG HAI CHANG”</w:t>
      </w:r>
      <w:r w:rsidRPr="005657BE">
        <w:rPr>
          <w:rFonts w:ascii="Arial" w:hAnsi="Arial" w:cs="Arial"/>
          <w:b/>
        </w:rPr>
        <w:tab/>
      </w:r>
      <w:r w:rsidRPr="005657BE">
        <w:rPr>
          <w:rFonts w:ascii="Arial" w:hAnsi="Arial" w:cs="Arial"/>
          <w:b/>
        </w:rPr>
        <w:tab/>
      </w:r>
      <w:r w:rsidRPr="005657BE">
        <w:rPr>
          <w:rFonts w:ascii="Arial" w:hAnsi="Arial" w:cs="Arial"/>
          <w:b/>
        </w:rPr>
        <w:tab/>
      </w:r>
      <w:r w:rsidRPr="005657BE">
        <w:rPr>
          <w:rFonts w:ascii="Arial" w:hAnsi="Arial" w:cs="Arial"/>
          <w:b/>
        </w:rPr>
        <w:tab/>
      </w:r>
      <w:r w:rsidRPr="005657BE">
        <w:rPr>
          <w:rFonts w:ascii="Arial" w:hAnsi="Arial" w:cs="Arial"/>
          <w:b/>
        </w:rPr>
        <w:tab/>
      </w:r>
      <w:r w:rsidR="007C40D8" w:rsidRPr="005657BE">
        <w:rPr>
          <w:rFonts w:ascii="Arial" w:hAnsi="Arial" w:cs="Arial"/>
          <w:b/>
        </w:rPr>
        <w:tab/>
        <w:t xml:space="preserve">          </w:t>
      </w:r>
      <w:r w:rsidRPr="005657BE">
        <w:rPr>
          <w:rFonts w:ascii="Arial" w:hAnsi="Arial" w:cs="Arial"/>
          <w:b/>
        </w:rPr>
        <w:t>DEFENDANT</w:t>
      </w:r>
    </w:p>
    <w:p w:rsidR="00B13715" w:rsidRPr="005657BE" w:rsidRDefault="00B13715" w:rsidP="00BF0D6B">
      <w:pPr>
        <w:tabs>
          <w:tab w:val="left" w:pos="720"/>
        </w:tabs>
        <w:spacing w:line="360" w:lineRule="auto"/>
        <w:jc w:val="center"/>
        <w:rPr>
          <w:rFonts w:ascii="Arial" w:hAnsi="Arial" w:cs="Arial"/>
          <w:color w:val="000000"/>
          <w:lang w:eastAsia="en-ZA"/>
        </w:rPr>
      </w:pPr>
      <w:r w:rsidRPr="005657BE">
        <w:rPr>
          <w:rFonts w:ascii="Arial" w:hAnsi="Arial" w:cs="Arial"/>
        </w:rPr>
        <w:t xml:space="preserve">Admiralty action </w:t>
      </w:r>
      <w:r w:rsidRPr="005657BE">
        <w:rPr>
          <w:rFonts w:ascii="Arial" w:hAnsi="Arial" w:cs="Arial"/>
          <w:i/>
        </w:rPr>
        <w:t>in rem</w:t>
      </w:r>
    </w:p>
    <w:p w:rsidR="00B13715" w:rsidRPr="005657BE" w:rsidRDefault="00B13715" w:rsidP="00BF0D6B">
      <w:pPr>
        <w:pBdr>
          <w:top w:val="single" w:sz="6" w:space="1" w:color="auto"/>
          <w:bottom w:val="single" w:sz="6" w:space="1" w:color="auto"/>
        </w:pBdr>
        <w:tabs>
          <w:tab w:val="left" w:pos="720"/>
        </w:tabs>
        <w:spacing w:line="360" w:lineRule="auto"/>
        <w:jc w:val="center"/>
        <w:rPr>
          <w:rFonts w:ascii="Arial" w:hAnsi="Arial" w:cs="Arial"/>
          <w:b/>
        </w:rPr>
      </w:pPr>
    </w:p>
    <w:p w:rsidR="00B13715" w:rsidRPr="005657BE" w:rsidRDefault="00B13715" w:rsidP="00BF0D6B">
      <w:pPr>
        <w:pBdr>
          <w:top w:val="single" w:sz="6" w:space="1" w:color="auto"/>
          <w:bottom w:val="single" w:sz="6" w:space="1" w:color="auto"/>
        </w:pBdr>
        <w:tabs>
          <w:tab w:val="left" w:pos="720"/>
        </w:tabs>
        <w:spacing w:line="360" w:lineRule="auto"/>
        <w:jc w:val="center"/>
        <w:rPr>
          <w:rFonts w:ascii="Arial" w:hAnsi="Arial" w:cs="Arial"/>
          <w:b/>
          <w:sz w:val="32"/>
          <w:szCs w:val="32"/>
        </w:rPr>
      </w:pPr>
      <w:r w:rsidRPr="005657BE">
        <w:rPr>
          <w:rFonts w:ascii="Arial" w:hAnsi="Arial" w:cs="Arial"/>
          <w:b/>
          <w:sz w:val="32"/>
          <w:szCs w:val="32"/>
        </w:rPr>
        <w:t>JUDGMENT</w:t>
      </w:r>
    </w:p>
    <w:p w:rsidR="00B13715" w:rsidRPr="005657BE" w:rsidRDefault="00B13715" w:rsidP="00BF0D6B">
      <w:pPr>
        <w:pBdr>
          <w:top w:val="single" w:sz="6" w:space="1" w:color="auto"/>
          <w:bottom w:val="single" w:sz="6" w:space="1" w:color="auto"/>
        </w:pBdr>
        <w:tabs>
          <w:tab w:val="left" w:pos="720"/>
        </w:tabs>
        <w:spacing w:line="360" w:lineRule="auto"/>
        <w:jc w:val="center"/>
        <w:rPr>
          <w:rFonts w:ascii="Arial" w:hAnsi="Arial" w:cs="Arial"/>
          <w:sz w:val="20"/>
          <w:szCs w:val="20"/>
        </w:rPr>
      </w:pPr>
      <w:r w:rsidRPr="005657BE">
        <w:rPr>
          <w:rFonts w:ascii="Arial" w:hAnsi="Arial" w:cs="Arial"/>
        </w:rPr>
        <w:t xml:space="preserve">                                                                                              </w:t>
      </w:r>
    </w:p>
    <w:p w:rsidR="00BD447E" w:rsidRDefault="00B13715" w:rsidP="00BF0D6B">
      <w:pPr>
        <w:tabs>
          <w:tab w:val="left" w:pos="720"/>
        </w:tabs>
        <w:spacing w:line="360" w:lineRule="auto"/>
        <w:rPr>
          <w:rFonts w:ascii="Arial" w:hAnsi="Arial" w:cs="Arial"/>
          <w:b/>
        </w:rPr>
      </w:pPr>
      <w:r w:rsidRPr="005657BE">
        <w:rPr>
          <w:rFonts w:ascii="Arial" w:hAnsi="Arial" w:cs="Arial"/>
          <w:b/>
        </w:rPr>
        <w:t>D Pillay J</w:t>
      </w:r>
    </w:p>
    <w:p w:rsidR="008306AC" w:rsidRPr="00976FFD" w:rsidRDefault="008306AC" w:rsidP="00BF0D6B">
      <w:pPr>
        <w:tabs>
          <w:tab w:val="left" w:pos="720"/>
        </w:tabs>
        <w:spacing w:line="360" w:lineRule="auto"/>
        <w:rPr>
          <w:rFonts w:ascii="Arial" w:hAnsi="Arial" w:cs="Arial"/>
          <w:b/>
        </w:rPr>
      </w:pPr>
    </w:p>
    <w:p w:rsidR="008E299E" w:rsidRPr="00C158D4" w:rsidRDefault="00976FFD" w:rsidP="00BF0D6B">
      <w:pPr>
        <w:pStyle w:val="Heading2"/>
        <w:spacing w:before="0" w:beforeAutospacing="0" w:after="0" w:afterAutospacing="0" w:line="360" w:lineRule="auto"/>
        <w:rPr>
          <w:rFonts w:ascii="Arial" w:hAnsi="Arial" w:cs="Arial"/>
          <w:color w:val="000000" w:themeColor="text1"/>
          <w:sz w:val="24"/>
          <w:szCs w:val="24"/>
        </w:rPr>
      </w:pPr>
      <w:r w:rsidRPr="00C158D4">
        <w:rPr>
          <w:rFonts w:ascii="Arial" w:hAnsi="Arial" w:cs="Arial"/>
          <w:color w:val="000000" w:themeColor="text1"/>
          <w:sz w:val="24"/>
          <w:szCs w:val="24"/>
        </w:rPr>
        <w:t>Introduction</w:t>
      </w:r>
    </w:p>
    <w:p w:rsidR="00976FFD" w:rsidRPr="008E299E" w:rsidRDefault="00976FFD" w:rsidP="00BF0D6B">
      <w:pPr>
        <w:pStyle w:val="Heading2"/>
        <w:numPr>
          <w:ilvl w:val="0"/>
          <w:numId w:val="29"/>
        </w:numPr>
        <w:tabs>
          <w:tab w:val="clear" w:pos="1134"/>
          <w:tab w:val="left" w:pos="567"/>
        </w:tabs>
        <w:spacing w:before="0" w:beforeAutospacing="0" w:after="0" w:afterAutospacing="0" w:line="360" w:lineRule="auto"/>
        <w:jc w:val="both"/>
        <w:rPr>
          <w:rFonts w:ascii="Arial" w:hAnsi="Arial" w:cs="Arial"/>
          <w:b w:val="0"/>
          <w:bCs w:val="0"/>
          <w:sz w:val="24"/>
          <w:szCs w:val="24"/>
        </w:rPr>
      </w:pPr>
      <w:r w:rsidRPr="00976FFD">
        <w:rPr>
          <w:rFonts w:ascii="Arial" w:hAnsi="Arial" w:cs="Arial"/>
          <w:b w:val="0"/>
          <w:bCs w:val="0"/>
          <w:sz w:val="24"/>
          <w:szCs w:val="24"/>
          <w:lang w:val="en-GB"/>
        </w:rPr>
        <w:t>The transnational nature of maritime trade has generated distinct principles of governance</w:t>
      </w:r>
      <w:r w:rsidR="00C158D4">
        <w:rPr>
          <w:rFonts w:ascii="Arial" w:hAnsi="Arial" w:cs="Arial"/>
          <w:b w:val="0"/>
          <w:bCs w:val="0"/>
          <w:sz w:val="24"/>
          <w:szCs w:val="24"/>
          <w:lang w:val="en-GB"/>
        </w:rPr>
        <w:t xml:space="preserve"> for the industry</w:t>
      </w:r>
      <w:r w:rsidRPr="00976FFD">
        <w:rPr>
          <w:rFonts w:ascii="Arial" w:hAnsi="Arial" w:cs="Arial"/>
          <w:b w:val="0"/>
          <w:bCs w:val="0"/>
          <w:sz w:val="24"/>
          <w:szCs w:val="24"/>
          <w:lang w:val="en-GB"/>
        </w:rPr>
        <w:t>.</w:t>
      </w:r>
      <w:r w:rsidRPr="00976FFD">
        <w:rPr>
          <w:rStyle w:val="FootnoteReference"/>
          <w:rFonts w:ascii="Arial" w:hAnsi="Arial" w:cs="Arial"/>
          <w:b w:val="0"/>
          <w:bCs w:val="0"/>
          <w:sz w:val="24"/>
          <w:szCs w:val="24"/>
          <w:lang w:val="en-GB"/>
        </w:rPr>
        <w:footnoteReference w:id="1"/>
      </w:r>
      <w:r w:rsidRPr="00976FFD">
        <w:rPr>
          <w:rFonts w:ascii="Arial" w:hAnsi="Arial" w:cs="Arial"/>
          <w:b w:val="0"/>
          <w:bCs w:val="0"/>
          <w:sz w:val="24"/>
          <w:szCs w:val="24"/>
          <w:lang w:val="en-GB"/>
        </w:rPr>
        <w:t xml:space="preserve"> Those engaged in maritime trade are exposed to the high risk of debtors defaulting on debt repayment; insolvency is a constant concern.  Pinning down debtors to a particular jurisdiction is challenging. The owner could be a company registered in an obscure country with unidentifiable shareholders, untraceable bank accounts and unpaid debt for bunkers in a jurisdiction unrelated to any of the preceding factors.  Given the </w:t>
      </w:r>
      <w:r w:rsidR="00556836">
        <w:rPr>
          <w:rFonts w:ascii="Arial" w:hAnsi="Arial" w:cs="Arial"/>
          <w:b w:val="0"/>
          <w:bCs w:val="0"/>
          <w:sz w:val="24"/>
          <w:szCs w:val="24"/>
          <w:lang w:val="en-GB"/>
        </w:rPr>
        <w:t>‘</w:t>
      </w:r>
      <w:r w:rsidRPr="00976FFD">
        <w:rPr>
          <w:rFonts w:ascii="Arial" w:hAnsi="Arial" w:cs="Arial"/>
          <w:b w:val="0"/>
          <w:bCs w:val="0"/>
          <w:sz w:val="24"/>
          <w:szCs w:val="24"/>
          <w:lang w:val="en-GB"/>
        </w:rPr>
        <w:t>“floating character of maritime debtors and their ability to disappear over the horizon</w:t>
      </w:r>
      <w:r w:rsidR="00556836">
        <w:rPr>
          <w:rFonts w:ascii="Arial" w:hAnsi="Arial" w:cs="Arial"/>
          <w:b w:val="0"/>
          <w:bCs w:val="0"/>
          <w:sz w:val="24"/>
          <w:szCs w:val="24"/>
          <w:lang w:val="en-GB"/>
        </w:rPr>
        <w:t>’</w:t>
      </w:r>
      <w:r w:rsidRPr="00976FFD">
        <w:rPr>
          <w:rFonts w:ascii="Arial" w:hAnsi="Arial" w:cs="Arial"/>
          <w:b w:val="0"/>
          <w:bCs w:val="0"/>
          <w:sz w:val="24"/>
          <w:szCs w:val="24"/>
          <w:lang w:val="en-GB"/>
        </w:rPr>
        <w:t>,</w:t>
      </w:r>
      <w:r w:rsidR="00556836">
        <w:rPr>
          <w:rStyle w:val="FootnoteReference"/>
          <w:rFonts w:ascii="Arial" w:hAnsi="Arial" w:cs="Arial"/>
          <w:b w:val="0"/>
          <w:bCs w:val="0"/>
          <w:sz w:val="24"/>
          <w:szCs w:val="24"/>
          <w:lang w:val="en-GB"/>
        </w:rPr>
        <w:footnoteReference w:id="2"/>
      </w:r>
      <w:r w:rsidRPr="00976FFD">
        <w:rPr>
          <w:rFonts w:ascii="Arial" w:hAnsi="Arial" w:cs="Arial"/>
          <w:b w:val="0"/>
          <w:bCs w:val="0"/>
          <w:sz w:val="24"/>
          <w:szCs w:val="24"/>
          <w:lang w:val="en-GB"/>
        </w:rPr>
        <w:t xml:space="preserve"> creditors would struggle with enforcement but for the facility of a court order to arrest a ship as security for maritime claims.  The </w:t>
      </w:r>
      <w:r w:rsidRPr="00976FFD">
        <w:rPr>
          <w:rFonts w:ascii="Arial" w:hAnsi="Arial" w:cs="Arial"/>
          <w:b w:val="0"/>
          <w:bCs w:val="0"/>
          <w:sz w:val="24"/>
          <w:szCs w:val="24"/>
        </w:rPr>
        <w:t>Admiralty Jurisdiction Regulation Act 105 of 1983 (</w:t>
      </w:r>
      <w:r w:rsidR="00556836">
        <w:rPr>
          <w:rFonts w:ascii="Arial" w:hAnsi="Arial" w:cs="Arial"/>
          <w:b w:val="0"/>
          <w:bCs w:val="0"/>
          <w:sz w:val="24"/>
          <w:szCs w:val="24"/>
        </w:rPr>
        <w:t>‘</w:t>
      </w:r>
      <w:r w:rsidRPr="00976FFD">
        <w:rPr>
          <w:rFonts w:ascii="Arial" w:hAnsi="Arial" w:cs="Arial"/>
          <w:b w:val="0"/>
          <w:bCs w:val="0"/>
          <w:sz w:val="24"/>
          <w:szCs w:val="24"/>
        </w:rPr>
        <w:t>the Act</w:t>
      </w:r>
      <w:r w:rsidR="00556836">
        <w:rPr>
          <w:rFonts w:ascii="Arial" w:hAnsi="Arial" w:cs="Arial"/>
          <w:b w:val="0"/>
          <w:bCs w:val="0"/>
          <w:sz w:val="24"/>
          <w:szCs w:val="24"/>
        </w:rPr>
        <w:t>’</w:t>
      </w:r>
      <w:r w:rsidRPr="00976FFD">
        <w:rPr>
          <w:rFonts w:ascii="Arial" w:hAnsi="Arial" w:cs="Arial"/>
          <w:b w:val="0"/>
          <w:bCs w:val="0"/>
          <w:sz w:val="24"/>
          <w:szCs w:val="24"/>
        </w:rPr>
        <w:t xml:space="preserve">) </w:t>
      </w:r>
      <w:r w:rsidRPr="00976FFD">
        <w:rPr>
          <w:rFonts w:ascii="Arial" w:hAnsi="Arial" w:cs="Arial"/>
          <w:b w:val="0"/>
          <w:bCs w:val="0"/>
          <w:sz w:val="24"/>
          <w:szCs w:val="24"/>
          <w:lang w:val="en-GB"/>
        </w:rPr>
        <w:t xml:space="preserve">fortified the position of creditors by enabling most shipping actions to be actions </w:t>
      </w:r>
      <w:r w:rsidRPr="00976FFD">
        <w:rPr>
          <w:rFonts w:ascii="Arial" w:hAnsi="Arial" w:cs="Arial"/>
          <w:b w:val="0"/>
          <w:bCs w:val="0"/>
          <w:i/>
          <w:iCs/>
          <w:sz w:val="24"/>
          <w:szCs w:val="24"/>
          <w:lang w:val="en-GB"/>
        </w:rPr>
        <w:t>in rem</w:t>
      </w:r>
      <w:r w:rsidRPr="00976FFD">
        <w:rPr>
          <w:rFonts w:ascii="Arial" w:hAnsi="Arial" w:cs="Arial"/>
          <w:b w:val="0"/>
          <w:bCs w:val="0"/>
          <w:sz w:val="24"/>
          <w:szCs w:val="24"/>
          <w:lang w:val="en-GB"/>
        </w:rPr>
        <w:t xml:space="preserve"> (actions against the thing).  Providing for </w:t>
      </w:r>
      <w:r w:rsidR="008306AC">
        <w:rPr>
          <w:rFonts w:ascii="Arial" w:hAnsi="Arial" w:cs="Arial"/>
          <w:b w:val="0"/>
          <w:bCs w:val="0"/>
          <w:sz w:val="24"/>
          <w:szCs w:val="24"/>
          <w:lang w:val="en-GB"/>
        </w:rPr>
        <w:t xml:space="preserve">arrests of </w:t>
      </w:r>
      <w:r w:rsidRPr="00976FFD">
        <w:rPr>
          <w:rFonts w:ascii="Arial" w:hAnsi="Arial" w:cs="Arial"/>
          <w:b w:val="0"/>
          <w:bCs w:val="0"/>
          <w:sz w:val="24"/>
          <w:szCs w:val="24"/>
          <w:lang w:val="en-GB"/>
        </w:rPr>
        <w:t>associated ship</w:t>
      </w:r>
      <w:r w:rsidR="008306AC">
        <w:rPr>
          <w:rFonts w:ascii="Arial" w:hAnsi="Arial" w:cs="Arial"/>
          <w:b w:val="0"/>
          <w:bCs w:val="0"/>
          <w:sz w:val="24"/>
          <w:szCs w:val="24"/>
          <w:lang w:val="en-GB"/>
        </w:rPr>
        <w:t>s</w:t>
      </w:r>
      <w:r w:rsidRPr="00976FFD">
        <w:rPr>
          <w:rFonts w:ascii="Arial" w:hAnsi="Arial" w:cs="Arial"/>
          <w:b w:val="0"/>
          <w:bCs w:val="0"/>
          <w:sz w:val="24"/>
          <w:szCs w:val="24"/>
          <w:lang w:val="en-GB"/>
        </w:rPr>
        <w:t xml:space="preserve"> </w:t>
      </w:r>
      <w:r w:rsidR="00030A03">
        <w:rPr>
          <w:rFonts w:ascii="Arial" w:hAnsi="Arial" w:cs="Arial"/>
          <w:b w:val="0"/>
          <w:bCs w:val="0"/>
          <w:sz w:val="24"/>
          <w:szCs w:val="24"/>
          <w:lang w:val="en-GB"/>
        </w:rPr>
        <w:t>i</w:t>
      </w:r>
      <w:r w:rsidRPr="00976FFD">
        <w:rPr>
          <w:rFonts w:ascii="Arial" w:hAnsi="Arial" w:cs="Arial"/>
          <w:b w:val="0"/>
          <w:bCs w:val="0"/>
          <w:sz w:val="24"/>
          <w:szCs w:val="24"/>
          <w:lang w:val="en-GB"/>
        </w:rPr>
        <w:t>s the Act’s response to address</w:t>
      </w:r>
      <w:r w:rsidR="00C158D4" w:rsidRPr="00C158D4">
        <w:rPr>
          <w:rFonts w:ascii="Arial" w:hAnsi="Arial" w:cs="Arial"/>
          <w:b w:val="0"/>
          <w:bCs w:val="0"/>
          <w:sz w:val="24"/>
          <w:szCs w:val="24"/>
          <w:lang w:val="en-GB"/>
        </w:rPr>
        <w:t xml:space="preserve"> </w:t>
      </w:r>
      <w:r w:rsidR="00C158D4" w:rsidRPr="00976FFD">
        <w:rPr>
          <w:rFonts w:ascii="Arial" w:hAnsi="Arial" w:cs="Arial"/>
          <w:b w:val="0"/>
          <w:bCs w:val="0"/>
          <w:sz w:val="24"/>
          <w:szCs w:val="24"/>
          <w:lang w:val="en-GB"/>
        </w:rPr>
        <w:t>problems created</w:t>
      </w:r>
      <w:r w:rsidR="00C158D4">
        <w:rPr>
          <w:rFonts w:ascii="Arial" w:hAnsi="Arial" w:cs="Arial"/>
          <w:b w:val="0"/>
          <w:bCs w:val="0"/>
          <w:sz w:val="24"/>
          <w:szCs w:val="24"/>
          <w:lang w:val="en-GB"/>
        </w:rPr>
        <w:t xml:space="preserve"> by both</w:t>
      </w:r>
      <w:r w:rsidR="00C158D4" w:rsidRPr="00C158D4">
        <w:rPr>
          <w:rFonts w:ascii="Arial" w:hAnsi="Arial" w:cs="Arial"/>
          <w:b w:val="0"/>
          <w:bCs w:val="0"/>
          <w:sz w:val="24"/>
          <w:szCs w:val="24"/>
          <w:lang w:val="en-GB"/>
        </w:rPr>
        <w:t xml:space="preserve"> </w:t>
      </w:r>
      <w:r w:rsidR="00C158D4" w:rsidRPr="00976FFD">
        <w:rPr>
          <w:rFonts w:ascii="Arial" w:hAnsi="Arial" w:cs="Arial"/>
          <w:b w:val="0"/>
          <w:bCs w:val="0"/>
          <w:sz w:val="24"/>
          <w:szCs w:val="24"/>
          <w:lang w:val="en-GB"/>
        </w:rPr>
        <w:t>offshore registration of vessels</w:t>
      </w:r>
      <w:r w:rsidR="00C158D4">
        <w:rPr>
          <w:rFonts w:ascii="Arial" w:hAnsi="Arial" w:cs="Arial"/>
          <w:b w:val="0"/>
          <w:bCs w:val="0"/>
          <w:sz w:val="24"/>
          <w:szCs w:val="24"/>
          <w:lang w:val="en-GB"/>
        </w:rPr>
        <w:t xml:space="preserve"> and</w:t>
      </w:r>
      <w:r w:rsidRPr="00976FFD">
        <w:rPr>
          <w:rFonts w:ascii="Arial" w:hAnsi="Arial" w:cs="Arial"/>
          <w:b w:val="0"/>
          <w:bCs w:val="0"/>
          <w:sz w:val="24"/>
          <w:szCs w:val="24"/>
          <w:lang w:val="en-GB"/>
        </w:rPr>
        <w:t xml:space="preserve"> </w:t>
      </w:r>
      <w:r w:rsidR="006719AD">
        <w:rPr>
          <w:rFonts w:ascii="Arial" w:hAnsi="Arial" w:cs="Arial"/>
          <w:b w:val="0"/>
          <w:bCs w:val="0"/>
          <w:sz w:val="24"/>
          <w:szCs w:val="24"/>
          <w:lang w:val="en-GB"/>
        </w:rPr>
        <w:t>‘</w:t>
      </w:r>
      <w:r w:rsidRPr="00976FFD">
        <w:rPr>
          <w:rFonts w:ascii="Arial" w:hAnsi="Arial" w:cs="Arial"/>
          <w:b w:val="0"/>
          <w:bCs w:val="0"/>
          <w:sz w:val="24"/>
          <w:szCs w:val="24"/>
          <w:lang w:val="en-GB"/>
        </w:rPr>
        <w:t>one ship</w:t>
      </w:r>
      <w:r w:rsidR="006719AD">
        <w:rPr>
          <w:rFonts w:ascii="Arial" w:hAnsi="Arial" w:cs="Arial"/>
          <w:b w:val="0"/>
          <w:bCs w:val="0"/>
          <w:sz w:val="24"/>
          <w:szCs w:val="24"/>
          <w:lang w:val="en-GB"/>
        </w:rPr>
        <w:t>’</w:t>
      </w:r>
      <w:r w:rsidRPr="00976FFD">
        <w:rPr>
          <w:rFonts w:ascii="Arial" w:hAnsi="Arial" w:cs="Arial"/>
          <w:b w:val="0"/>
          <w:bCs w:val="0"/>
          <w:sz w:val="24"/>
          <w:szCs w:val="24"/>
          <w:lang w:val="en-GB"/>
        </w:rPr>
        <w:t xml:space="preserve"> companies</w:t>
      </w:r>
      <w:r w:rsidR="00C158D4">
        <w:rPr>
          <w:rFonts w:ascii="Arial" w:hAnsi="Arial" w:cs="Arial"/>
          <w:b w:val="0"/>
          <w:bCs w:val="0"/>
          <w:sz w:val="24"/>
          <w:szCs w:val="24"/>
          <w:lang w:val="en-GB"/>
        </w:rPr>
        <w:t xml:space="preserve">.  Companies owning </w:t>
      </w:r>
      <w:r w:rsidR="008306AC">
        <w:rPr>
          <w:rFonts w:ascii="Arial" w:hAnsi="Arial" w:cs="Arial"/>
          <w:b w:val="0"/>
          <w:bCs w:val="0"/>
          <w:sz w:val="24"/>
          <w:szCs w:val="24"/>
          <w:lang w:val="en-GB"/>
        </w:rPr>
        <w:t xml:space="preserve">several </w:t>
      </w:r>
      <w:r w:rsidRPr="00976FFD">
        <w:rPr>
          <w:rFonts w:ascii="Arial" w:hAnsi="Arial" w:cs="Arial"/>
          <w:b w:val="0"/>
          <w:bCs w:val="0"/>
          <w:sz w:val="24"/>
          <w:szCs w:val="24"/>
          <w:lang w:val="en-GB"/>
        </w:rPr>
        <w:t>vessel</w:t>
      </w:r>
      <w:r w:rsidR="008306AC">
        <w:rPr>
          <w:rFonts w:ascii="Arial" w:hAnsi="Arial" w:cs="Arial"/>
          <w:b w:val="0"/>
          <w:bCs w:val="0"/>
          <w:sz w:val="24"/>
          <w:szCs w:val="24"/>
          <w:lang w:val="en-GB"/>
        </w:rPr>
        <w:t>s</w:t>
      </w:r>
      <w:r w:rsidRPr="00976FFD">
        <w:rPr>
          <w:rFonts w:ascii="Arial" w:hAnsi="Arial" w:cs="Arial"/>
          <w:b w:val="0"/>
          <w:bCs w:val="0"/>
          <w:sz w:val="24"/>
          <w:szCs w:val="24"/>
          <w:lang w:val="en-GB"/>
        </w:rPr>
        <w:t xml:space="preserve"> </w:t>
      </w:r>
      <w:r w:rsidR="00C158D4">
        <w:rPr>
          <w:rFonts w:ascii="Arial" w:hAnsi="Arial" w:cs="Arial"/>
          <w:b w:val="0"/>
          <w:bCs w:val="0"/>
          <w:sz w:val="24"/>
          <w:szCs w:val="24"/>
          <w:lang w:val="en-GB"/>
        </w:rPr>
        <w:t xml:space="preserve">each </w:t>
      </w:r>
      <w:r w:rsidRPr="00976FFD">
        <w:rPr>
          <w:rFonts w:ascii="Arial" w:hAnsi="Arial" w:cs="Arial"/>
          <w:b w:val="0"/>
          <w:bCs w:val="0"/>
          <w:sz w:val="24"/>
          <w:szCs w:val="24"/>
          <w:lang w:val="en-GB"/>
        </w:rPr>
        <w:t>in a fleet controlled through a pyramid of companies</w:t>
      </w:r>
      <w:r w:rsidR="00BE7BBC">
        <w:rPr>
          <w:rFonts w:ascii="Arial" w:hAnsi="Arial" w:cs="Arial"/>
          <w:b w:val="0"/>
          <w:bCs w:val="0"/>
          <w:sz w:val="24"/>
          <w:szCs w:val="24"/>
          <w:lang w:val="en-GB"/>
        </w:rPr>
        <w:t xml:space="preserve"> </w:t>
      </w:r>
      <w:r w:rsidR="00030A03">
        <w:rPr>
          <w:rFonts w:ascii="Arial" w:hAnsi="Arial" w:cs="Arial"/>
          <w:b w:val="0"/>
          <w:bCs w:val="0"/>
          <w:sz w:val="24"/>
          <w:szCs w:val="24"/>
          <w:lang w:val="en-GB"/>
        </w:rPr>
        <w:t>do by</w:t>
      </w:r>
      <w:r w:rsidR="00BE7BBC">
        <w:rPr>
          <w:rFonts w:ascii="Arial" w:hAnsi="Arial" w:cs="Arial"/>
          <w:b w:val="0"/>
          <w:bCs w:val="0"/>
          <w:sz w:val="24"/>
          <w:szCs w:val="24"/>
          <w:lang w:val="en-GB"/>
        </w:rPr>
        <w:t xml:space="preserve"> </w:t>
      </w:r>
      <w:r w:rsidRPr="00976FFD">
        <w:rPr>
          <w:rFonts w:ascii="Arial" w:hAnsi="Arial" w:cs="Arial"/>
          <w:b w:val="0"/>
          <w:bCs w:val="0"/>
          <w:sz w:val="24"/>
          <w:szCs w:val="24"/>
          <w:lang w:val="en-GB"/>
        </w:rPr>
        <w:t xml:space="preserve">design obscure the real controlling interests.  </w:t>
      </w:r>
      <w:r w:rsidRPr="00976FFD">
        <w:rPr>
          <w:rFonts w:ascii="Arial" w:hAnsi="Arial" w:cs="Arial"/>
          <w:b w:val="0"/>
          <w:bCs w:val="0"/>
          <w:color w:val="242121"/>
          <w:sz w:val="24"/>
          <w:szCs w:val="24"/>
          <w:shd w:val="clear" w:color="auto" w:fill="FFFFFF"/>
        </w:rPr>
        <w:t xml:space="preserve">The purpose of the Act </w:t>
      </w:r>
      <w:r w:rsidR="00030A03">
        <w:rPr>
          <w:rFonts w:ascii="Arial" w:hAnsi="Arial" w:cs="Arial"/>
          <w:b w:val="0"/>
          <w:bCs w:val="0"/>
          <w:color w:val="242121"/>
          <w:sz w:val="24"/>
          <w:szCs w:val="24"/>
          <w:shd w:val="clear" w:color="auto" w:fill="FFFFFF"/>
        </w:rPr>
        <w:t>i</w:t>
      </w:r>
      <w:r w:rsidRPr="00976FFD">
        <w:rPr>
          <w:rFonts w:ascii="Arial" w:hAnsi="Arial" w:cs="Arial"/>
          <w:b w:val="0"/>
          <w:bCs w:val="0"/>
          <w:color w:val="242121"/>
          <w:sz w:val="24"/>
          <w:szCs w:val="24"/>
          <w:shd w:val="clear" w:color="auto" w:fill="FFFFFF"/>
        </w:rPr>
        <w:t xml:space="preserve">s </w:t>
      </w:r>
      <w:r w:rsidR="006719AD">
        <w:rPr>
          <w:rFonts w:ascii="Arial" w:hAnsi="Arial" w:cs="Arial"/>
          <w:b w:val="0"/>
          <w:bCs w:val="0"/>
          <w:color w:val="242121"/>
          <w:sz w:val="24"/>
          <w:szCs w:val="24"/>
          <w:shd w:val="clear" w:color="auto" w:fill="FFFFFF"/>
        </w:rPr>
        <w:t>‘</w:t>
      </w:r>
      <w:r w:rsidRPr="00976FFD">
        <w:rPr>
          <w:rFonts w:ascii="Arial" w:hAnsi="Arial" w:cs="Arial"/>
          <w:b w:val="0"/>
          <w:bCs w:val="0"/>
          <w:color w:val="242121"/>
          <w:sz w:val="24"/>
          <w:szCs w:val="24"/>
          <w:shd w:val="clear" w:color="auto" w:fill="FFFFFF"/>
        </w:rPr>
        <w:t>to make the loss fall where it belongs by reason of ownership, and in the case of a company, ownership or control of the shares.</w:t>
      </w:r>
      <w:r w:rsidR="006719AD">
        <w:rPr>
          <w:rFonts w:ascii="Arial" w:hAnsi="Arial" w:cs="Arial"/>
          <w:b w:val="0"/>
          <w:bCs w:val="0"/>
          <w:color w:val="242121"/>
          <w:sz w:val="24"/>
          <w:szCs w:val="24"/>
          <w:shd w:val="clear" w:color="auto" w:fill="FFFFFF"/>
        </w:rPr>
        <w:t>’</w:t>
      </w:r>
      <w:r w:rsidRPr="00976FFD">
        <w:rPr>
          <w:rStyle w:val="FootnoteReference"/>
          <w:rFonts w:ascii="Arial" w:hAnsi="Arial" w:cs="Arial"/>
          <w:b w:val="0"/>
          <w:bCs w:val="0"/>
          <w:color w:val="242121"/>
          <w:sz w:val="24"/>
          <w:szCs w:val="24"/>
          <w:shd w:val="clear" w:color="auto" w:fill="FFFFFF"/>
        </w:rPr>
        <w:footnoteReference w:id="3"/>
      </w:r>
    </w:p>
    <w:p w:rsidR="008E299E" w:rsidRPr="00976FFD" w:rsidRDefault="008E299E" w:rsidP="00BF0D6B">
      <w:pPr>
        <w:pStyle w:val="Heading2"/>
        <w:spacing w:before="0" w:beforeAutospacing="0" w:after="0" w:afterAutospacing="0" w:line="360" w:lineRule="auto"/>
        <w:jc w:val="both"/>
        <w:rPr>
          <w:rFonts w:ascii="Arial" w:hAnsi="Arial" w:cs="Arial"/>
          <w:b w:val="0"/>
          <w:bCs w:val="0"/>
          <w:sz w:val="24"/>
          <w:szCs w:val="24"/>
        </w:rPr>
      </w:pPr>
    </w:p>
    <w:p w:rsidR="003C25C1" w:rsidRPr="00E374DC" w:rsidRDefault="0065468B"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GB"/>
        </w:rPr>
        <w:t>A</w:t>
      </w:r>
      <w:r w:rsidR="00AB5F4A" w:rsidRPr="008E299E">
        <w:rPr>
          <w:rFonts w:ascii="Arial" w:eastAsia="Times New Roman" w:hAnsi="Arial" w:cs="Arial"/>
          <w:sz w:val="24"/>
          <w:szCs w:val="24"/>
          <w:lang w:val="en-GB"/>
        </w:rPr>
        <w:t xml:space="preserve">ssociated ships are ships owned separately </w:t>
      </w:r>
      <w:r w:rsidR="000F2102">
        <w:rPr>
          <w:rFonts w:ascii="Arial" w:eastAsia="Times New Roman" w:hAnsi="Arial" w:cs="Arial"/>
          <w:sz w:val="24"/>
          <w:szCs w:val="24"/>
          <w:lang w:val="en-GB"/>
        </w:rPr>
        <w:t>or jointly and</w:t>
      </w:r>
      <w:r w:rsidR="00AB5F4A" w:rsidRPr="008E299E">
        <w:rPr>
          <w:rFonts w:ascii="Arial" w:eastAsia="Times New Roman" w:hAnsi="Arial" w:cs="Arial"/>
          <w:sz w:val="24"/>
          <w:szCs w:val="24"/>
          <w:lang w:val="en-GB"/>
        </w:rPr>
        <w:t xml:space="preserve"> controlled by the same person</w:t>
      </w:r>
      <w:r w:rsidR="006662AC" w:rsidRPr="008E299E">
        <w:rPr>
          <w:rFonts w:ascii="Arial" w:eastAsia="Times New Roman" w:hAnsi="Arial" w:cs="Arial"/>
          <w:sz w:val="24"/>
          <w:szCs w:val="24"/>
          <w:lang w:val="en-GB"/>
        </w:rPr>
        <w:t>, with the emphasis now being on attaching liability to those who control the vessels</w:t>
      </w:r>
      <w:r w:rsidR="00AB5F4A" w:rsidRPr="008E299E">
        <w:rPr>
          <w:rFonts w:ascii="Arial" w:eastAsia="Times New Roman" w:hAnsi="Arial" w:cs="Arial"/>
          <w:sz w:val="24"/>
          <w:szCs w:val="24"/>
          <w:lang w:val="en-GB"/>
        </w:rPr>
        <w:t>.</w:t>
      </w:r>
      <w:r w:rsidR="003B28FC" w:rsidRPr="00976FFD">
        <w:rPr>
          <w:rStyle w:val="FootnoteReference"/>
          <w:rFonts w:ascii="Arial" w:eastAsia="Times New Roman" w:hAnsi="Arial" w:cs="Arial"/>
          <w:sz w:val="24"/>
          <w:szCs w:val="24"/>
          <w:lang w:val="en-GB"/>
        </w:rPr>
        <w:footnoteReference w:id="4"/>
      </w:r>
      <w:r w:rsidR="00CC1229" w:rsidRPr="008E299E">
        <w:rPr>
          <w:rFonts w:ascii="Arial" w:eastAsia="Times New Roman" w:hAnsi="Arial" w:cs="Arial"/>
          <w:sz w:val="24"/>
          <w:szCs w:val="24"/>
          <w:lang w:val="en-GB"/>
        </w:rPr>
        <w:t xml:space="preserve"> </w:t>
      </w:r>
      <w:r w:rsidR="003B28FC" w:rsidRPr="008E299E">
        <w:rPr>
          <w:rFonts w:ascii="Arial" w:eastAsia="Times New Roman" w:hAnsi="Arial" w:cs="Arial"/>
          <w:sz w:val="24"/>
          <w:szCs w:val="24"/>
          <w:lang w:val="en-GB"/>
        </w:rPr>
        <w:t xml:space="preserve"> </w:t>
      </w:r>
      <w:r w:rsidR="00685052" w:rsidRPr="008E299E">
        <w:rPr>
          <w:rFonts w:ascii="Arial" w:eastAsia="Times New Roman" w:hAnsi="Arial" w:cs="Arial"/>
          <w:sz w:val="24"/>
          <w:szCs w:val="24"/>
          <w:lang w:val="en-ZA"/>
        </w:rPr>
        <w:t xml:space="preserve">As for control of a company, </w:t>
      </w:r>
      <w:r w:rsidR="00114D88" w:rsidRPr="008E299E">
        <w:rPr>
          <w:rFonts w:ascii="Arial" w:hAnsi="Arial" w:cs="Arial"/>
          <w:sz w:val="24"/>
          <w:szCs w:val="24"/>
        </w:rPr>
        <w:t>s 3(7)</w:t>
      </w:r>
      <w:r w:rsidR="003C25C1">
        <w:rPr>
          <w:rFonts w:ascii="Arial" w:hAnsi="Arial" w:cs="Arial"/>
          <w:sz w:val="24"/>
          <w:szCs w:val="24"/>
        </w:rPr>
        <w:t>(</w:t>
      </w:r>
      <w:r w:rsidR="003C25C1" w:rsidRPr="00E374DC">
        <w:rPr>
          <w:rFonts w:ascii="Arial" w:hAnsi="Arial" w:cs="Arial"/>
          <w:i/>
          <w:sz w:val="24"/>
          <w:szCs w:val="24"/>
        </w:rPr>
        <w:t>b</w:t>
      </w:r>
      <w:r w:rsidR="003C25C1">
        <w:rPr>
          <w:rFonts w:ascii="Arial" w:hAnsi="Arial" w:cs="Arial"/>
          <w:sz w:val="24"/>
          <w:szCs w:val="24"/>
        </w:rPr>
        <w:t>)(ii)</w:t>
      </w:r>
      <w:r w:rsidR="00114D88" w:rsidRPr="008E299E">
        <w:rPr>
          <w:rFonts w:ascii="Arial" w:hAnsi="Arial" w:cs="Arial"/>
          <w:sz w:val="24"/>
          <w:szCs w:val="24"/>
        </w:rPr>
        <w:t xml:space="preserve"> of </w:t>
      </w:r>
      <w:r w:rsidR="00685052" w:rsidRPr="008E299E">
        <w:rPr>
          <w:rFonts w:ascii="Arial" w:eastAsia="Times New Roman" w:hAnsi="Arial" w:cs="Arial"/>
          <w:sz w:val="24"/>
          <w:szCs w:val="24"/>
          <w:lang w:val="en-ZA"/>
        </w:rPr>
        <w:t xml:space="preserve">the Act provides that </w:t>
      </w:r>
      <w:r w:rsidR="004A12DF">
        <w:rPr>
          <w:rFonts w:ascii="Arial" w:eastAsia="Times New Roman" w:hAnsi="Arial" w:cs="Arial"/>
          <w:sz w:val="24"/>
          <w:szCs w:val="24"/>
          <w:lang w:val="en-ZA"/>
        </w:rPr>
        <w:t>‘</w:t>
      </w:r>
      <w:r w:rsidR="00685052" w:rsidRPr="008E299E">
        <w:rPr>
          <w:rFonts w:ascii="Arial" w:eastAsia="Times New Roman" w:hAnsi="Arial" w:cs="Arial"/>
          <w:sz w:val="24"/>
          <w:szCs w:val="24"/>
          <w:lang w:val="en-ZA"/>
        </w:rPr>
        <w:t>a person shall be deemed to control a company if he has power, directly or indirectly, to control the company.</w:t>
      </w:r>
      <w:r w:rsidR="004A12DF">
        <w:rPr>
          <w:rFonts w:ascii="Arial" w:eastAsia="Times New Roman" w:hAnsi="Arial" w:cs="Arial"/>
          <w:sz w:val="24"/>
          <w:szCs w:val="24"/>
          <w:lang w:val="en-ZA"/>
        </w:rPr>
        <w:t>’</w:t>
      </w:r>
      <w:r w:rsidR="00685052" w:rsidRPr="008E299E">
        <w:rPr>
          <w:rFonts w:ascii="Arial" w:eastAsia="Times New Roman" w:hAnsi="Arial" w:cs="Arial"/>
          <w:sz w:val="24"/>
          <w:szCs w:val="24"/>
          <w:lang w:val="en-ZA"/>
        </w:rPr>
        <w:t xml:space="preserve">  </w:t>
      </w:r>
      <w:r w:rsidR="005E0569" w:rsidRPr="008E299E">
        <w:rPr>
          <w:rFonts w:ascii="Arial" w:eastAsia="Times New Roman" w:hAnsi="Arial" w:cs="Arial"/>
          <w:sz w:val="24"/>
          <w:szCs w:val="24"/>
          <w:lang w:val="en-GB"/>
        </w:rPr>
        <w:t xml:space="preserve">Control is understood in the maritime industry to mean </w:t>
      </w:r>
      <w:r w:rsidR="001D16C9" w:rsidRPr="008E299E">
        <w:rPr>
          <w:rFonts w:ascii="Arial" w:eastAsia="Times New Roman" w:hAnsi="Arial" w:cs="Arial"/>
          <w:sz w:val="24"/>
          <w:szCs w:val="24"/>
          <w:lang w:val="en-GB"/>
        </w:rPr>
        <w:t>that</w:t>
      </w:r>
      <w:r w:rsidR="003C25C1">
        <w:rPr>
          <w:rFonts w:ascii="Arial" w:eastAsia="Times New Roman" w:hAnsi="Arial" w:cs="Arial"/>
          <w:sz w:val="24"/>
          <w:szCs w:val="24"/>
          <w:lang w:val="en-GB"/>
        </w:rPr>
        <w:t>:</w:t>
      </w:r>
    </w:p>
    <w:p w:rsidR="003C25C1" w:rsidRPr="00E374DC" w:rsidRDefault="003C25C1" w:rsidP="00E374DC">
      <w:pPr>
        <w:pStyle w:val="ListParagraph"/>
        <w:tabs>
          <w:tab w:val="left" w:pos="0"/>
          <w:tab w:val="left" w:pos="567"/>
          <w:tab w:val="left" w:pos="990"/>
        </w:tabs>
        <w:spacing w:after="0" w:line="360" w:lineRule="auto"/>
        <w:ind w:left="0"/>
        <w:jc w:val="both"/>
        <w:rPr>
          <w:rFonts w:ascii="Arial" w:eastAsia="Times New Roman" w:hAnsi="Arial" w:cs="Arial"/>
          <w:szCs w:val="24"/>
          <w:lang w:val="en-GB"/>
        </w:rPr>
      </w:pPr>
      <w:r w:rsidRPr="00E374DC">
        <w:rPr>
          <w:rFonts w:ascii="Arial" w:eastAsia="Times New Roman" w:hAnsi="Arial" w:cs="Arial"/>
          <w:szCs w:val="24"/>
          <w:lang w:val="en-GB"/>
        </w:rPr>
        <w:t>‘</w:t>
      </w:r>
      <w:r w:rsidR="000B5E3D">
        <w:rPr>
          <w:rFonts w:ascii="Arial" w:eastAsia="Times New Roman" w:hAnsi="Arial" w:cs="Arial"/>
          <w:szCs w:val="24"/>
          <w:lang w:val="en-GB"/>
        </w:rPr>
        <w:t xml:space="preserve">. . . . </w:t>
      </w:r>
      <w:r w:rsidR="001D16C9" w:rsidRPr="00E374DC">
        <w:rPr>
          <w:rFonts w:ascii="Arial" w:eastAsia="Times New Roman" w:hAnsi="Arial" w:cs="Arial"/>
          <w:szCs w:val="24"/>
          <w:lang w:val="en-GB"/>
        </w:rPr>
        <w:t xml:space="preserve">the person must </w:t>
      </w:r>
      <w:r w:rsidR="005E0569" w:rsidRPr="00E374DC">
        <w:rPr>
          <w:rFonts w:ascii="Arial" w:eastAsia="Times New Roman" w:hAnsi="Arial" w:cs="Arial"/>
          <w:szCs w:val="24"/>
          <w:lang w:val="en-GB"/>
        </w:rPr>
        <w:t xml:space="preserve">control the overall </w:t>
      </w:r>
      <w:r w:rsidR="005E0569" w:rsidRPr="00E374DC">
        <w:rPr>
          <w:rFonts w:ascii="Arial" w:eastAsia="Times New Roman" w:hAnsi="Arial" w:cs="Arial"/>
          <w:szCs w:val="24"/>
          <w:lang w:val="en-ZA"/>
        </w:rPr>
        <w:t xml:space="preserve">destiny of the company and not </w:t>
      </w:r>
      <w:r w:rsidR="005E0569" w:rsidRPr="00E374DC">
        <w:rPr>
          <w:rFonts w:ascii="Arial" w:eastAsia="Times New Roman" w:hAnsi="Arial" w:cs="Arial"/>
          <w:szCs w:val="24"/>
          <w:lang w:val="en-GB"/>
        </w:rPr>
        <w:t>merely control</w:t>
      </w:r>
      <w:r w:rsidR="001D16C9" w:rsidRPr="00E374DC">
        <w:rPr>
          <w:rFonts w:ascii="Arial" w:eastAsia="Times New Roman" w:hAnsi="Arial" w:cs="Arial"/>
          <w:szCs w:val="24"/>
          <w:lang w:val="en-GB"/>
        </w:rPr>
        <w:t xml:space="preserve"> the running of the company’s day to day affairs … Such a person </w:t>
      </w:r>
      <w:r w:rsidR="00455F6D" w:rsidRPr="00E374DC">
        <w:rPr>
          <w:rFonts w:ascii="Arial" w:eastAsia="Times New Roman" w:hAnsi="Arial" w:cs="Arial"/>
          <w:szCs w:val="24"/>
          <w:lang w:val="en-GB"/>
        </w:rPr>
        <w:t>[must]</w:t>
      </w:r>
      <w:r w:rsidR="001D16C9" w:rsidRPr="00E374DC">
        <w:rPr>
          <w:rFonts w:ascii="Arial" w:eastAsia="Times New Roman" w:hAnsi="Arial" w:cs="Arial"/>
          <w:szCs w:val="24"/>
          <w:lang w:val="en-GB"/>
        </w:rPr>
        <w:t xml:space="preserve"> be in</w:t>
      </w:r>
      <w:r w:rsidR="00455F6D" w:rsidRPr="00E374DC">
        <w:rPr>
          <w:rFonts w:ascii="Arial" w:eastAsia="Times New Roman" w:hAnsi="Arial" w:cs="Arial"/>
          <w:szCs w:val="24"/>
          <w:lang w:val="en-GB"/>
        </w:rPr>
        <w:t xml:space="preserve"> </w:t>
      </w:r>
      <w:r w:rsidR="001D16C9" w:rsidRPr="00E374DC">
        <w:rPr>
          <w:rFonts w:ascii="Arial" w:eastAsia="Times New Roman" w:hAnsi="Arial" w:cs="Arial"/>
          <w:szCs w:val="24"/>
          <w:lang w:val="en-GB"/>
        </w:rPr>
        <w:t>effective control directly or indirectly of the affairs of the company … and really be the directing mind and will of the company.</w:t>
      </w:r>
      <w:r w:rsidR="000B5E3D">
        <w:rPr>
          <w:rFonts w:ascii="Arial" w:eastAsia="Times New Roman" w:hAnsi="Arial" w:cs="Arial"/>
          <w:szCs w:val="24"/>
          <w:lang w:val="en-GB"/>
        </w:rPr>
        <w:t>’</w:t>
      </w:r>
      <w:r w:rsidR="00210E2F" w:rsidRPr="00E374DC">
        <w:rPr>
          <w:rStyle w:val="FootnoteReference"/>
          <w:rFonts w:ascii="Arial" w:eastAsia="Times New Roman" w:hAnsi="Arial" w:cs="Arial"/>
          <w:szCs w:val="24"/>
          <w:lang w:val="en-GB"/>
        </w:rPr>
        <w:footnoteReference w:id="5"/>
      </w:r>
      <w:r w:rsidR="005E0569" w:rsidRPr="00E374DC">
        <w:rPr>
          <w:rFonts w:ascii="Arial" w:eastAsia="Times New Roman" w:hAnsi="Arial" w:cs="Arial"/>
          <w:szCs w:val="24"/>
          <w:lang w:val="en-GB"/>
        </w:rPr>
        <w:t xml:space="preserve"> </w:t>
      </w:r>
      <w:r w:rsidR="00CF4B13" w:rsidRPr="00E374DC">
        <w:rPr>
          <w:rFonts w:ascii="Arial" w:eastAsia="Times New Roman" w:hAnsi="Arial" w:cs="Arial"/>
          <w:szCs w:val="24"/>
          <w:lang w:val="en-GB"/>
        </w:rPr>
        <w:t xml:space="preserve"> </w:t>
      </w:r>
    </w:p>
    <w:p w:rsidR="00701128" w:rsidRPr="008E299E" w:rsidRDefault="00114D88" w:rsidP="00E374DC">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r w:rsidRPr="008E299E">
        <w:rPr>
          <w:rFonts w:ascii="Arial" w:hAnsi="Arial" w:cs="Arial"/>
          <w:sz w:val="24"/>
          <w:szCs w:val="24"/>
        </w:rPr>
        <w:t xml:space="preserve">It is </w:t>
      </w:r>
      <w:r w:rsidR="001A79AE">
        <w:rPr>
          <w:rFonts w:ascii="Arial" w:hAnsi="Arial" w:cs="Arial"/>
          <w:sz w:val="24"/>
          <w:szCs w:val="24"/>
          <w:lang w:val="en-GB"/>
        </w:rPr>
        <w:t>‘</w:t>
      </w:r>
      <w:r w:rsidR="00743B7D" w:rsidRPr="008E299E">
        <w:rPr>
          <w:rFonts w:ascii="Arial" w:hAnsi="Arial" w:cs="Arial"/>
          <w:sz w:val="24"/>
          <w:szCs w:val="24"/>
          <w:lang w:val="en-GB"/>
        </w:rPr>
        <w:t>not the power to control a company in the sense of managing its operations</w:t>
      </w:r>
      <w:r w:rsidR="001A79AE">
        <w:rPr>
          <w:rFonts w:ascii="Arial" w:hAnsi="Arial" w:cs="Arial"/>
          <w:sz w:val="24"/>
          <w:szCs w:val="24"/>
          <w:lang w:val="en-GB"/>
        </w:rPr>
        <w:t xml:space="preserve">’ </w:t>
      </w:r>
      <w:r w:rsidR="00743B7D" w:rsidRPr="008E299E">
        <w:rPr>
          <w:rFonts w:ascii="Arial" w:hAnsi="Arial" w:cs="Arial"/>
          <w:sz w:val="24"/>
          <w:szCs w:val="24"/>
          <w:lang w:val="en-GB"/>
        </w:rPr>
        <w:t xml:space="preserve">but </w:t>
      </w:r>
      <w:r w:rsidR="001A79AE">
        <w:rPr>
          <w:rFonts w:ascii="Arial" w:hAnsi="Arial" w:cs="Arial"/>
          <w:sz w:val="24"/>
          <w:szCs w:val="24"/>
          <w:lang w:val="en-GB"/>
        </w:rPr>
        <w:t>‘</w:t>
      </w:r>
      <w:r w:rsidR="00743B7D" w:rsidRPr="008E299E">
        <w:rPr>
          <w:rFonts w:ascii="Arial" w:hAnsi="Arial" w:cs="Arial"/>
          <w:sz w:val="24"/>
          <w:szCs w:val="24"/>
          <w:lang w:val="en-GB"/>
        </w:rPr>
        <w:t xml:space="preserve">the power to determine its </w:t>
      </w:r>
      <w:r w:rsidR="00F9023C">
        <w:rPr>
          <w:rFonts w:ascii="Arial" w:hAnsi="Arial" w:cs="Arial"/>
          <w:sz w:val="24"/>
          <w:szCs w:val="24"/>
          <w:lang w:val="en-GB"/>
        </w:rPr>
        <w:t>“</w:t>
      </w:r>
      <w:r w:rsidR="00743B7D" w:rsidRPr="008E299E">
        <w:rPr>
          <w:rFonts w:ascii="Arial" w:hAnsi="Arial" w:cs="Arial"/>
          <w:sz w:val="24"/>
          <w:szCs w:val="24"/>
          <w:lang w:val="en-GB"/>
        </w:rPr>
        <w:t>direction and fate</w:t>
      </w:r>
      <w:r w:rsidR="00F9023C">
        <w:rPr>
          <w:rFonts w:ascii="Arial" w:hAnsi="Arial" w:cs="Arial"/>
          <w:sz w:val="24"/>
          <w:szCs w:val="24"/>
          <w:lang w:val="en-GB"/>
        </w:rPr>
        <w:t>”</w:t>
      </w:r>
      <w:r w:rsidR="007760C7">
        <w:rPr>
          <w:rFonts w:ascii="Arial" w:hAnsi="Arial" w:cs="Arial"/>
          <w:sz w:val="24"/>
          <w:szCs w:val="24"/>
          <w:lang w:val="en-GB"/>
        </w:rPr>
        <w:t>’</w:t>
      </w:r>
      <w:r w:rsidR="00743B7D" w:rsidRPr="008E299E">
        <w:rPr>
          <w:rFonts w:ascii="Arial" w:hAnsi="Arial" w:cs="Arial"/>
          <w:sz w:val="24"/>
          <w:szCs w:val="24"/>
          <w:lang w:val="en-GB"/>
        </w:rPr>
        <w:t>.</w:t>
      </w:r>
      <w:r w:rsidR="00743B7D" w:rsidRPr="00976FFD">
        <w:rPr>
          <w:rStyle w:val="FootnoteReference"/>
          <w:rFonts w:ascii="Arial" w:hAnsi="Arial" w:cs="Arial"/>
          <w:sz w:val="24"/>
          <w:szCs w:val="24"/>
          <w:lang w:val="en-GB"/>
        </w:rPr>
        <w:footnoteReference w:id="6"/>
      </w:r>
      <w:r w:rsidR="00130234" w:rsidRPr="008E299E">
        <w:rPr>
          <w:rFonts w:ascii="Arial" w:hAnsi="Arial" w:cs="Arial"/>
          <w:sz w:val="24"/>
          <w:szCs w:val="24"/>
          <w:lang w:val="en-GB"/>
        </w:rPr>
        <w:t xml:space="preserve"> </w:t>
      </w:r>
      <w:r w:rsidR="00130234" w:rsidRPr="008E299E">
        <w:rPr>
          <w:rFonts w:ascii="Arial" w:eastAsia="Times New Roman" w:hAnsi="Arial" w:cs="Arial"/>
          <w:sz w:val="24"/>
          <w:szCs w:val="24"/>
          <w:lang w:val="en-ZA"/>
        </w:rPr>
        <w:t xml:space="preserve">  Managing the day-to-day operations of a company for which the board of directors and senior management are answerable to shareholders</w:t>
      </w:r>
      <w:r w:rsidR="00BE7BBC">
        <w:rPr>
          <w:rFonts w:ascii="Arial" w:eastAsia="Times New Roman" w:hAnsi="Arial" w:cs="Arial"/>
          <w:sz w:val="24"/>
          <w:szCs w:val="24"/>
          <w:lang w:val="en-ZA"/>
        </w:rPr>
        <w:t>,</w:t>
      </w:r>
      <w:r w:rsidR="00130234" w:rsidRPr="008E299E">
        <w:rPr>
          <w:rFonts w:ascii="Arial" w:eastAsia="Times New Roman" w:hAnsi="Arial" w:cs="Arial"/>
          <w:sz w:val="24"/>
          <w:szCs w:val="24"/>
          <w:lang w:val="en-ZA"/>
        </w:rPr>
        <w:t xml:space="preserve"> is distinguishable from controlling the fate and destiny of the company</w:t>
      </w:r>
      <w:r w:rsidR="00BE7BBC">
        <w:rPr>
          <w:rFonts w:ascii="Arial" w:eastAsia="Times New Roman" w:hAnsi="Arial" w:cs="Arial"/>
          <w:sz w:val="24"/>
          <w:szCs w:val="24"/>
          <w:lang w:val="en-ZA"/>
        </w:rPr>
        <w:t>,</w:t>
      </w:r>
      <w:r w:rsidR="00130234" w:rsidRPr="008E299E">
        <w:rPr>
          <w:rFonts w:ascii="Arial" w:eastAsia="Times New Roman" w:hAnsi="Arial" w:cs="Arial"/>
          <w:sz w:val="24"/>
          <w:szCs w:val="24"/>
          <w:lang w:val="en-ZA"/>
        </w:rPr>
        <w:t xml:space="preserve"> which is a power vesting in shareholders who hold the majority voting rights.</w:t>
      </w:r>
      <w:r w:rsidR="00130234" w:rsidRPr="00976FFD">
        <w:rPr>
          <w:rStyle w:val="FootnoteReference"/>
          <w:rFonts w:ascii="Arial" w:eastAsia="Times New Roman" w:hAnsi="Arial" w:cs="Arial"/>
          <w:sz w:val="24"/>
          <w:szCs w:val="24"/>
          <w:lang w:val="en-ZA"/>
        </w:rPr>
        <w:footnoteReference w:id="7"/>
      </w:r>
      <w:r w:rsidR="00800C8D" w:rsidRPr="008E299E">
        <w:rPr>
          <w:rFonts w:ascii="Arial" w:eastAsia="Times New Roman" w:hAnsi="Arial" w:cs="Arial"/>
          <w:sz w:val="24"/>
          <w:szCs w:val="24"/>
          <w:lang w:val="en-ZA"/>
        </w:rPr>
        <w:t xml:space="preserve"> </w:t>
      </w:r>
    </w:p>
    <w:p w:rsidR="00701128" w:rsidRPr="00976FFD" w:rsidRDefault="00701128" w:rsidP="00BF0D6B">
      <w:pPr>
        <w:tabs>
          <w:tab w:val="left" w:pos="0"/>
          <w:tab w:val="left" w:pos="567"/>
          <w:tab w:val="left" w:pos="990"/>
        </w:tabs>
        <w:spacing w:line="360" w:lineRule="auto"/>
        <w:contextualSpacing/>
        <w:jc w:val="both"/>
        <w:rPr>
          <w:rFonts w:ascii="Arial" w:hAnsi="Arial" w:cs="Arial"/>
        </w:rPr>
      </w:pPr>
    </w:p>
    <w:p w:rsidR="00CF4B13" w:rsidRPr="008E299E" w:rsidRDefault="00701128"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GB"/>
        </w:rPr>
      </w:pPr>
      <w:r w:rsidRPr="008E299E">
        <w:rPr>
          <w:rFonts w:ascii="Arial" w:eastAsia="Times New Roman" w:hAnsi="Arial" w:cs="Arial"/>
          <w:sz w:val="24"/>
          <w:szCs w:val="24"/>
          <w:lang w:val="en-ZA"/>
        </w:rPr>
        <w:t xml:space="preserve">Fortifying the position of </w:t>
      </w:r>
      <w:r w:rsidR="00800C8D" w:rsidRPr="008E299E">
        <w:rPr>
          <w:rFonts w:ascii="Arial" w:eastAsia="Times New Roman" w:hAnsi="Arial" w:cs="Arial"/>
          <w:sz w:val="24"/>
          <w:szCs w:val="24"/>
          <w:lang w:val="en-ZA"/>
        </w:rPr>
        <w:t>creditors further</w:t>
      </w:r>
      <w:r w:rsidRPr="008E299E">
        <w:rPr>
          <w:rFonts w:ascii="Arial" w:eastAsia="Times New Roman" w:hAnsi="Arial" w:cs="Arial"/>
          <w:sz w:val="24"/>
          <w:szCs w:val="24"/>
          <w:lang w:val="en-ZA"/>
        </w:rPr>
        <w:t xml:space="preserve">, </w:t>
      </w:r>
      <w:r w:rsidR="007A3C28">
        <w:rPr>
          <w:rFonts w:ascii="Arial" w:eastAsia="Times New Roman" w:hAnsi="Arial" w:cs="Arial"/>
          <w:sz w:val="24"/>
          <w:szCs w:val="24"/>
          <w:lang w:val="en-ZA"/>
        </w:rPr>
        <w:t>where</w:t>
      </w:r>
      <w:r w:rsidR="007A3C28" w:rsidRPr="008E299E">
        <w:rPr>
          <w:rFonts w:ascii="Arial" w:eastAsia="Times New Roman" w:hAnsi="Arial" w:cs="Arial"/>
          <w:sz w:val="24"/>
          <w:szCs w:val="24"/>
          <w:lang w:val="en-ZA"/>
        </w:rPr>
        <w:t xml:space="preserve"> </w:t>
      </w:r>
      <w:r w:rsidRPr="008E299E">
        <w:rPr>
          <w:rFonts w:ascii="Arial" w:eastAsia="Times New Roman" w:hAnsi="Arial" w:cs="Arial"/>
          <w:sz w:val="24"/>
          <w:szCs w:val="24"/>
          <w:lang w:val="en-ZA"/>
        </w:rPr>
        <w:t>a claim lies against the charterer and not the owner of the ship, the charter</w:t>
      </w:r>
      <w:r w:rsidR="00800C8D" w:rsidRPr="008E299E">
        <w:rPr>
          <w:rFonts w:ascii="Arial" w:eastAsia="Times New Roman" w:hAnsi="Arial" w:cs="Arial"/>
          <w:sz w:val="24"/>
          <w:szCs w:val="24"/>
          <w:lang w:val="en-ZA"/>
        </w:rPr>
        <w:t>er</w:t>
      </w:r>
      <w:r w:rsidRPr="008E299E">
        <w:rPr>
          <w:rFonts w:ascii="Arial" w:eastAsia="Times New Roman" w:hAnsi="Arial" w:cs="Arial"/>
          <w:sz w:val="24"/>
          <w:szCs w:val="24"/>
          <w:lang w:val="en-ZA"/>
        </w:rPr>
        <w:t xml:space="preserve"> is deemed to be the owner of the ship</w:t>
      </w:r>
      <w:r w:rsidR="00140FFA">
        <w:rPr>
          <w:rFonts w:ascii="Arial" w:eastAsia="Times New Roman" w:hAnsi="Arial" w:cs="Arial"/>
          <w:sz w:val="24"/>
          <w:szCs w:val="24"/>
          <w:lang w:val="en-ZA"/>
        </w:rPr>
        <w:t xml:space="preserve"> for the purposes of the associated ship provisions in the Act</w:t>
      </w:r>
      <w:r w:rsidRPr="008E299E">
        <w:rPr>
          <w:rFonts w:ascii="Arial" w:eastAsia="Times New Roman" w:hAnsi="Arial" w:cs="Arial"/>
          <w:sz w:val="24"/>
          <w:szCs w:val="24"/>
          <w:lang w:val="en-ZA"/>
        </w:rPr>
        <w:t>.</w:t>
      </w:r>
      <w:r w:rsidR="005B0FF3">
        <w:rPr>
          <w:rStyle w:val="FootnoteReference"/>
          <w:rFonts w:ascii="Arial" w:eastAsia="Times New Roman" w:hAnsi="Arial" w:cs="Arial"/>
          <w:sz w:val="24"/>
          <w:szCs w:val="24"/>
          <w:lang w:val="en-ZA"/>
        </w:rPr>
        <w:footnoteReference w:id="8"/>
      </w:r>
      <w:r w:rsidRPr="008E299E">
        <w:rPr>
          <w:rFonts w:ascii="Arial" w:eastAsia="Times New Roman" w:hAnsi="Arial" w:cs="Arial"/>
          <w:sz w:val="24"/>
          <w:szCs w:val="24"/>
          <w:lang w:val="en-ZA"/>
        </w:rPr>
        <w:t xml:space="preserve"> The purpose of the deeming provision is to avail the associated ship provisions to facilitate the arrest of a</w:t>
      </w:r>
      <w:r w:rsidR="00E47897">
        <w:rPr>
          <w:rFonts w:ascii="Arial" w:eastAsia="Times New Roman" w:hAnsi="Arial" w:cs="Arial"/>
          <w:sz w:val="24"/>
          <w:szCs w:val="24"/>
          <w:lang w:val="en-ZA"/>
        </w:rPr>
        <w:t>n associated</w:t>
      </w:r>
      <w:r w:rsidRPr="008E299E">
        <w:rPr>
          <w:rFonts w:ascii="Arial" w:eastAsia="Times New Roman" w:hAnsi="Arial" w:cs="Arial"/>
          <w:sz w:val="24"/>
          <w:szCs w:val="24"/>
          <w:lang w:val="en-ZA"/>
        </w:rPr>
        <w:t xml:space="preserve"> ship owned by a company, which is controlled by the same person as controlled by the charterer of the ship concerned. </w:t>
      </w:r>
    </w:p>
    <w:p w:rsidR="00800C8D" w:rsidRPr="00976FFD" w:rsidRDefault="00800C8D" w:rsidP="00BF0D6B">
      <w:pPr>
        <w:tabs>
          <w:tab w:val="left" w:pos="0"/>
          <w:tab w:val="left" w:pos="567"/>
          <w:tab w:val="left" w:pos="990"/>
        </w:tabs>
        <w:spacing w:line="360" w:lineRule="auto"/>
        <w:contextualSpacing/>
        <w:jc w:val="both"/>
        <w:rPr>
          <w:rFonts w:ascii="Arial" w:hAnsi="Arial" w:cs="Arial"/>
          <w:lang w:val="en-GB"/>
        </w:rPr>
      </w:pPr>
    </w:p>
    <w:p w:rsidR="004C0E32" w:rsidRPr="008E299E" w:rsidRDefault="00DC35E0"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GB"/>
        </w:rPr>
        <w:t>In this way</w:t>
      </w:r>
      <w:r w:rsidR="004A2CA1" w:rsidRPr="008E299E">
        <w:rPr>
          <w:rFonts w:ascii="Arial" w:eastAsia="Times New Roman" w:hAnsi="Arial" w:cs="Arial"/>
          <w:sz w:val="24"/>
          <w:szCs w:val="24"/>
          <w:lang w:val="en-GB"/>
        </w:rPr>
        <w:t xml:space="preserve"> </w:t>
      </w:r>
      <w:r w:rsidR="00A77D9B" w:rsidRPr="008E299E">
        <w:rPr>
          <w:rFonts w:ascii="Arial" w:eastAsia="Times New Roman" w:hAnsi="Arial" w:cs="Arial"/>
          <w:sz w:val="24"/>
          <w:szCs w:val="24"/>
          <w:lang w:val="en-GB"/>
        </w:rPr>
        <w:t>the concept of associated ships</w:t>
      </w:r>
      <w:r w:rsidR="00E47897">
        <w:rPr>
          <w:rFonts w:ascii="Arial" w:eastAsia="Times New Roman" w:hAnsi="Arial" w:cs="Arial"/>
          <w:sz w:val="24"/>
          <w:szCs w:val="24"/>
          <w:lang w:val="en-GB"/>
        </w:rPr>
        <w:t xml:space="preserve"> in the Act</w:t>
      </w:r>
      <w:r w:rsidR="00A77D9B" w:rsidRPr="008E299E">
        <w:rPr>
          <w:rFonts w:ascii="Arial" w:eastAsia="Times New Roman" w:hAnsi="Arial" w:cs="Arial"/>
          <w:sz w:val="24"/>
          <w:szCs w:val="24"/>
          <w:lang w:val="en-GB"/>
        </w:rPr>
        <w:t xml:space="preserve"> enable</w:t>
      </w:r>
      <w:r w:rsidR="0065468B">
        <w:rPr>
          <w:rFonts w:ascii="Arial" w:eastAsia="Times New Roman" w:hAnsi="Arial" w:cs="Arial"/>
          <w:sz w:val="24"/>
          <w:szCs w:val="24"/>
          <w:lang w:val="en-GB"/>
        </w:rPr>
        <w:t>s</w:t>
      </w:r>
      <w:r w:rsidR="00A77D9B" w:rsidRPr="008E299E">
        <w:rPr>
          <w:rFonts w:ascii="Arial" w:eastAsia="Times New Roman" w:hAnsi="Arial" w:cs="Arial"/>
          <w:sz w:val="24"/>
          <w:szCs w:val="24"/>
          <w:lang w:val="en-GB"/>
        </w:rPr>
        <w:t xml:space="preserve"> </w:t>
      </w:r>
      <w:r w:rsidR="004A2CA1" w:rsidRPr="008E299E">
        <w:rPr>
          <w:rFonts w:ascii="Arial" w:eastAsia="Times New Roman" w:hAnsi="Arial" w:cs="Arial"/>
          <w:sz w:val="24"/>
          <w:szCs w:val="24"/>
          <w:lang w:val="en-GB"/>
        </w:rPr>
        <w:t>creditors of one of the vessels in a fleet to enforce their claims against all the vessels in the fleet</w:t>
      </w:r>
      <w:r w:rsidR="003605C4" w:rsidRPr="008E299E">
        <w:rPr>
          <w:rFonts w:ascii="Arial" w:eastAsia="Times New Roman" w:hAnsi="Arial" w:cs="Arial"/>
          <w:sz w:val="24"/>
          <w:szCs w:val="24"/>
          <w:lang w:val="en-GB"/>
        </w:rPr>
        <w:t>,</w:t>
      </w:r>
      <w:r w:rsidR="004A2CA1" w:rsidRPr="008E299E">
        <w:rPr>
          <w:rFonts w:ascii="Arial" w:eastAsia="Times New Roman" w:hAnsi="Arial" w:cs="Arial"/>
          <w:sz w:val="24"/>
          <w:szCs w:val="24"/>
          <w:lang w:val="en-GB"/>
        </w:rPr>
        <w:t xml:space="preserve"> irrespective of where in the world those debts </w:t>
      </w:r>
      <w:r>
        <w:rPr>
          <w:rFonts w:ascii="Arial" w:eastAsia="Times New Roman" w:hAnsi="Arial" w:cs="Arial"/>
          <w:sz w:val="24"/>
          <w:szCs w:val="24"/>
          <w:lang w:val="en-GB"/>
        </w:rPr>
        <w:t>are</w:t>
      </w:r>
      <w:r w:rsidR="004A2CA1" w:rsidRPr="008E299E">
        <w:rPr>
          <w:rFonts w:ascii="Arial" w:eastAsia="Times New Roman" w:hAnsi="Arial" w:cs="Arial"/>
          <w:sz w:val="24"/>
          <w:szCs w:val="24"/>
          <w:lang w:val="en-GB"/>
        </w:rPr>
        <w:t xml:space="preserve"> </w:t>
      </w:r>
      <w:r w:rsidR="00455F6D" w:rsidRPr="008E299E">
        <w:rPr>
          <w:rFonts w:ascii="Arial" w:eastAsia="Times New Roman" w:hAnsi="Arial" w:cs="Arial"/>
          <w:sz w:val="24"/>
          <w:szCs w:val="24"/>
          <w:lang w:val="en-GB"/>
        </w:rPr>
        <w:t>incurred</w:t>
      </w:r>
      <w:r w:rsidR="00BE7BBC">
        <w:rPr>
          <w:rFonts w:ascii="Arial" w:eastAsia="Times New Roman" w:hAnsi="Arial" w:cs="Arial"/>
          <w:sz w:val="24"/>
          <w:szCs w:val="24"/>
          <w:lang w:val="en-GB"/>
        </w:rPr>
        <w:t>,</w:t>
      </w:r>
      <w:r w:rsidR="00455F6D" w:rsidRPr="008E299E">
        <w:rPr>
          <w:rFonts w:ascii="Arial" w:eastAsia="Times New Roman" w:hAnsi="Arial" w:cs="Arial"/>
          <w:sz w:val="24"/>
          <w:szCs w:val="24"/>
          <w:lang w:val="en-GB"/>
        </w:rPr>
        <w:t xml:space="preserve"> if</w:t>
      </w:r>
      <w:r w:rsidR="004A2CA1" w:rsidRPr="008E299E">
        <w:rPr>
          <w:rFonts w:ascii="Arial" w:eastAsia="Times New Roman" w:hAnsi="Arial" w:cs="Arial"/>
          <w:color w:val="000000" w:themeColor="text1"/>
          <w:sz w:val="24"/>
          <w:szCs w:val="24"/>
          <w:lang w:val="en-GB"/>
        </w:rPr>
        <w:t xml:space="preserve"> the</w:t>
      </w:r>
      <w:r w:rsidR="00BE7BBC">
        <w:rPr>
          <w:rFonts w:ascii="Arial" w:eastAsia="Times New Roman" w:hAnsi="Arial" w:cs="Arial"/>
          <w:color w:val="000000" w:themeColor="text1"/>
          <w:sz w:val="24"/>
          <w:szCs w:val="24"/>
          <w:lang w:val="en-GB"/>
        </w:rPr>
        <w:t xml:space="preserve"> vessels</w:t>
      </w:r>
      <w:r w:rsidR="004A2CA1" w:rsidRPr="008E299E">
        <w:rPr>
          <w:rFonts w:ascii="Arial" w:eastAsia="Times New Roman" w:hAnsi="Arial" w:cs="Arial"/>
          <w:color w:val="000000" w:themeColor="text1"/>
          <w:sz w:val="24"/>
          <w:szCs w:val="24"/>
          <w:lang w:val="en-GB"/>
        </w:rPr>
        <w:t xml:space="preserve"> call at a South African port. </w:t>
      </w:r>
      <w:r w:rsidR="00DA01F7" w:rsidRPr="008E299E">
        <w:rPr>
          <w:rFonts w:ascii="Arial" w:eastAsia="Times New Roman" w:hAnsi="Arial" w:cs="Arial"/>
          <w:sz w:val="24"/>
          <w:szCs w:val="24"/>
          <w:lang w:val="en-ZA"/>
        </w:rPr>
        <w:t xml:space="preserve"> </w:t>
      </w:r>
      <w:r w:rsidR="003605C4" w:rsidRPr="008E299E">
        <w:rPr>
          <w:rFonts w:ascii="Arial" w:eastAsia="Times New Roman" w:hAnsi="Arial" w:cs="Arial"/>
          <w:sz w:val="24"/>
          <w:szCs w:val="24"/>
          <w:lang w:val="en-GB"/>
        </w:rPr>
        <w:t>In this case, t</w:t>
      </w:r>
      <w:r w:rsidR="003B28FC" w:rsidRPr="008E299E">
        <w:rPr>
          <w:rFonts w:ascii="Arial" w:eastAsia="Times New Roman" w:hAnsi="Arial" w:cs="Arial"/>
          <w:sz w:val="24"/>
          <w:szCs w:val="24"/>
          <w:lang w:val="en-GB"/>
        </w:rPr>
        <w:t xml:space="preserve">he issue in dispute is not </w:t>
      </w:r>
      <w:r w:rsidR="00BE7BBC">
        <w:rPr>
          <w:rFonts w:ascii="Arial" w:eastAsia="Times New Roman" w:hAnsi="Arial" w:cs="Arial"/>
          <w:sz w:val="24"/>
          <w:szCs w:val="24"/>
          <w:lang w:val="en-GB"/>
        </w:rPr>
        <w:t xml:space="preserve">about </w:t>
      </w:r>
      <w:r w:rsidR="003B28FC" w:rsidRPr="008E299E">
        <w:rPr>
          <w:rFonts w:ascii="Arial" w:eastAsia="Times New Roman" w:hAnsi="Arial" w:cs="Arial"/>
          <w:sz w:val="24"/>
          <w:szCs w:val="24"/>
          <w:lang w:val="en-GB"/>
        </w:rPr>
        <w:t>own</w:t>
      </w:r>
      <w:r w:rsidR="00BE7BBC">
        <w:rPr>
          <w:rFonts w:ascii="Arial" w:eastAsia="Times New Roman" w:hAnsi="Arial" w:cs="Arial"/>
          <w:sz w:val="24"/>
          <w:szCs w:val="24"/>
          <w:lang w:val="en-GB"/>
        </w:rPr>
        <w:t>ership</w:t>
      </w:r>
      <w:r w:rsidR="003B28FC" w:rsidRPr="008E299E">
        <w:rPr>
          <w:rFonts w:ascii="Arial" w:eastAsia="Times New Roman" w:hAnsi="Arial" w:cs="Arial"/>
          <w:sz w:val="24"/>
          <w:szCs w:val="24"/>
          <w:lang w:val="en-GB"/>
        </w:rPr>
        <w:t xml:space="preserve"> but</w:t>
      </w:r>
      <w:r w:rsidR="00BE7BBC">
        <w:rPr>
          <w:rFonts w:ascii="Arial" w:eastAsia="Times New Roman" w:hAnsi="Arial" w:cs="Arial"/>
          <w:sz w:val="24"/>
          <w:szCs w:val="24"/>
          <w:lang w:val="en-GB"/>
        </w:rPr>
        <w:t xml:space="preserve"> about</w:t>
      </w:r>
      <w:r w:rsidR="003B28FC" w:rsidRPr="008E299E">
        <w:rPr>
          <w:rFonts w:ascii="Arial" w:eastAsia="Times New Roman" w:hAnsi="Arial" w:cs="Arial"/>
          <w:sz w:val="24"/>
          <w:szCs w:val="24"/>
          <w:lang w:val="en-GB"/>
        </w:rPr>
        <w:t xml:space="preserve"> control</w:t>
      </w:r>
      <w:r w:rsidR="00BE7BBC">
        <w:rPr>
          <w:rFonts w:ascii="Arial" w:eastAsia="Times New Roman" w:hAnsi="Arial" w:cs="Arial"/>
          <w:sz w:val="24"/>
          <w:szCs w:val="24"/>
          <w:lang w:val="en-GB"/>
        </w:rPr>
        <w:t xml:space="preserve"> of the vessels</w:t>
      </w:r>
      <w:r w:rsidR="003B28FC" w:rsidRPr="008E299E">
        <w:rPr>
          <w:rFonts w:ascii="Arial" w:eastAsia="Times New Roman" w:hAnsi="Arial" w:cs="Arial"/>
          <w:sz w:val="24"/>
          <w:szCs w:val="24"/>
          <w:lang w:val="en-GB"/>
        </w:rPr>
        <w:t>.</w:t>
      </w:r>
      <w:r w:rsidR="003605C4" w:rsidRPr="008E299E">
        <w:rPr>
          <w:rFonts w:ascii="Arial" w:eastAsia="Times New Roman" w:hAnsi="Arial" w:cs="Arial"/>
          <w:sz w:val="24"/>
          <w:szCs w:val="24"/>
          <w:lang w:val="en-GB"/>
        </w:rPr>
        <w:t xml:space="preserve">  </w:t>
      </w:r>
      <w:r w:rsidR="00D11F86" w:rsidRPr="008E299E">
        <w:rPr>
          <w:rFonts w:ascii="Arial" w:eastAsia="Times New Roman" w:hAnsi="Arial" w:cs="Arial"/>
          <w:sz w:val="24"/>
          <w:szCs w:val="24"/>
          <w:lang w:val="en-GB"/>
        </w:rPr>
        <w:t>C</w:t>
      </w:r>
      <w:r w:rsidR="003605C4" w:rsidRPr="008E299E">
        <w:rPr>
          <w:rFonts w:ascii="Arial" w:eastAsia="Times New Roman" w:hAnsi="Arial" w:cs="Arial"/>
          <w:sz w:val="24"/>
          <w:szCs w:val="24"/>
          <w:lang w:val="en-GB"/>
        </w:rPr>
        <w:t xml:space="preserve">ontrol </w:t>
      </w:r>
      <w:r w:rsidR="00526EE9" w:rsidRPr="008E299E">
        <w:rPr>
          <w:rFonts w:ascii="Arial" w:eastAsia="Times New Roman" w:hAnsi="Arial" w:cs="Arial"/>
          <w:sz w:val="24"/>
          <w:szCs w:val="24"/>
          <w:lang w:val="en-GB"/>
        </w:rPr>
        <w:t xml:space="preserve">is a legal question to be determined according to </w:t>
      </w:r>
      <w:r w:rsidR="0016105E" w:rsidRPr="008E299E">
        <w:rPr>
          <w:rFonts w:ascii="Arial" w:eastAsia="Times New Roman" w:hAnsi="Arial" w:cs="Arial"/>
          <w:sz w:val="24"/>
          <w:szCs w:val="24"/>
          <w:lang w:val="en-GB"/>
        </w:rPr>
        <w:t xml:space="preserve">the laws of the Peoples’ Republic of </w:t>
      </w:r>
      <w:r w:rsidR="00526EE9" w:rsidRPr="008E299E">
        <w:rPr>
          <w:rFonts w:ascii="Arial" w:eastAsia="Times New Roman" w:hAnsi="Arial" w:cs="Arial"/>
          <w:sz w:val="24"/>
          <w:szCs w:val="24"/>
          <w:lang w:val="en-GB"/>
        </w:rPr>
        <w:t>Chin</w:t>
      </w:r>
      <w:r w:rsidR="0016105E" w:rsidRPr="008E299E">
        <w:rPr>
          <w:rFonts w:ascii="Arial" w:eastAsia="Times New Roman" w:hAnsi="Arial" w:cs="Arial"/>
          <w:sz w:val="24"/>
          <w:szCs w:val="24"/>
          <w:lang w:val="en-GB"/>
        </w:rPr>
        <w:t>a</w:t>
      </w:r>
      <w:r w:rsidR="00526EE9" w:rsidRPr="008E299E">
        <w:rPr>
          <w:rFonts w:ascii="Arial" w:eastAsia="Times New Roman" w:hAnsi="Arial" w:cs="Arial"/>
          <w:sz w:val="24"/>
          <w:szCs w:val="24"/>
          <w:lang w:val="en-GB"/>
        </w:rPr>
        <w:t>.</w:t>
      </w:r>
      <w:r w:rsidR="003605C4" w:rsidRPr="008E299E">
        <w:rPr>
          <w:rFonts w:ascii="Arial" w:eastAsia="Times New Roman" w:hAnsi="Arial" w:cs="Arial"/>
          <w:sz w:val="24"/>
          <w:szCs w:val="24"/>
          <w:lang w:val="en-GB"/>
        </w:rPr>
        <w:t xml:space="preserve"> </w:t>
      </w:r>
    </w:p>
    <w:p w:rsidR="004D49F5" w:rsidRPr="00976FFD" w:rsidRDefault="004D49F5" w:rsidP="00BF0D6B">
      <w:pPr>
        <w:tabs>
          <w:tab w:val="left" w:pos="0"/>
          <w:tab w:val="left" w:pos="567"/>
          <w:tab w:val="left" w:pos="990"/>
        </w:tabs>
        <w:spacing w:line="360" w:lineRule="auto"/>
        <w:contextualSpacing/>
        <w:jc w:val="both"/>
        <w:rPr>
          <w:rFonts w:ascii="Arial" w:hAnsi="Arial" w:cs="Arial"/>
        </w:rPr>
      </w:pPr>
    </w:p>
    <w:p w:rsidR="00B13715" w:rsidRPr="008E299E" w:rsidRDefault="00B1371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The plaintiff, DHL Projects and Chartering Ltd</w:t>
      </w:r>
      <w:r w:rsidR="0054206A">
        <w:rPr>
          <w:rFonts w:ascii="Arial" w:eastAsia="Times New Roman" w:hAnsi="Arial" w:cs="Arial"/>
          <w:sz w:val="24"/>
          <w:szCs w:val="24"/>
          <w:lang w:val="en-ZA"/>
        </w:rPr>
        <w:t>,</w:t>
      </w:r>
      <w:r w:rsidRPr="008E299E">
        <w:rPr>
          <w:rFonts w:ascii="Arial" w:eastAsia="Times New Roman" w:hAnsi="Arial" w:cs="Arial"/>
          <w:sz w:val="24"/>
          <w:szCs w:val="24"/>
          <w:lang w:val="en-ZA"/>
        </w:rPr>
        <w:t xml:space="preserve"> seeks to enforce the arbitration award dated 30 July 2019 handed down by a Hong Kong arbitration tribunal.  To this end, the plaintiff arrested the </w:t>
      </w:r>
      <w:r w:rsidR="00156DAE" w:rsidRPr="008E299E">
        <w:rPr>
          <w:rFonts w:ascii="Arial" w:eastAsia="Times New Roman" w:hAnsi="Arial" w:cs="Arial"/>
          <w:sz w:val="24"/>
          <w:szCs w:val="24"/>
          <w:lang w:val="en-ZA"/>
        </w:rPr>
        <w:t>defendant, mv</w:t>
      </w:r>
      <w:r w:rsidRPr="008E299E">
        <w:rPr>
          <w:rFonts w:ascii="Arial" w:eastAsia="Times New Roman" w:hAnsi="Arial" w:cs="Arial"/>
          <w:sz w:val="24"/>
          <w:szCs w:val="24"/>
          <w:lang w:val="en-ZA"/>
        </w:rPr>
        <w:t xml:space="preserve"> </w:t>
      </w:r>
      <w:r w:rsidRPr="00D83E5F">
        <w:rPr>
          <w:rFonts w:ascii="Arial" w:eastAsia="Times New Roman" w:hAnsi="Arial" w:cs="Arial"/>
          <w:i/>
          <w:sz w:val="24"/>
          <w:szCs w:val="24"/>
          <w:lang w:val="en-ZA"/>
        </w:rPr>
        <w:t>Shandong Hai Chang</w:t>
      </w:r>
      <w:r w:rsidR="00537641">
        <w:rPr>
          <w:rFonts w:ascii="Arial" w:eastAsia="Times New Roman" w:hAnsi="Arial" w:cs="Arial"/>
          <w:i/>
          <w:sz w:val="24"/>
          <w:szCs w:val="24"/>
          <w:lang w:val="en-ZA"/>
        </w:rPr>
        <w:t>,</w:t>
      </w:r>
      <w:r w:rsidRPr="008E299E">
        <w:rPr>
          <w:rFonts w:ascii="Arial" w:eastAsia="Times New Roman" w:hAnsi="Arial" w:cs="Arial"/>
          <w:sz w:val="24"/>
          <w:szCs w:val="24"/>
          <w:lang w:val="en-ZA"/>
        </w:rPr>
        <w:t xml:space="preserve"> in Richards Bay on 19 February 2020 to enforce a claim </w:t>
      </w:r>
      <w:r w:rsidR="00140FFA">
        <w:rPr>
          <w:rFonts w:ascii="Arial" w:eastAsia="Times New Roman" w:hAnsi="Arial" w:cs="Arial"/>
          <w:i/>
          <w:sz w:val="24"/>
          <w:szCs w:val="24"/>
          <w:lang w:val="en-ZA"/>
        </w:rPr>
        <w:t>in personam</w:t>
      </w:r>
      <w:r w:rsidRPr="008E299E">
        <w:rPr>
          <w:rFonts w:ascii="Arial" w:eastAsia="Times New Roman" w:hAnsi="Arial" w:cs="Arial"/>
          <w:sz w:val="24"/>
          <w:szCs w:val="24"/>
          <w:lang w:val="en-ZA"/>
        </w:rPr>
        <w:t xml:space="preserve"> against Tonkolili Iron Ore Co Ltd (</w:t>
      </w:r>
      <w:r w:rsidR="00BE3E0A">
        <w:rPr>
          <w:rFonts w:ascii="Arial" w:eastAsia="Times New Roman" w:hAnsi="Arial" w:cs="Arial"/>
          <w:sz w:val="24"/>
          <w:szCs w:val="24"/>
          <w:lang w:val="en-ZA"/>
        </w:rPr>
        <w:t>‘</w:t>
      </w:r>
      <w:r w:rsidRPr="008E299E">
        <w:rPr>
          <w:rFonts w:ascii="Arial" w:eastAsia="Times New Roman" w:hAnsi="Arial" w:cs="Arial"/>
          <w:sz w:val="24"/>
          <w:szCs w:val="24"/>
          <w:lang w:val="en-ZA"/>
        </w:rPr>
        <w:t>Tonkolili</w:t>
      </w:r>
      <w:r w:rsidR="00BE3E0A">
        <w:rPr>
          <w:rFonts w:ascii="Arial" w:eastAsia="Times New Roman" w:hAnsi="Arial" w:cs="Arial"/>
          <w:sz w:val="24"/>
          <w:szCs w:val="24"/>
          <w:lang w:val="en-ZA"/>
        </w:rPr>
        <w:t>’</w:t>
      </w:r>
      <w:r w:rsidRPr="008E299E">
        <w:rPr>
          <w:rFonts w:ascii="Arial" w:eastAsia="Times New Roman" w:hAnsi="Arial" w:cs="Arial"/>
          <w:sz w:val="24"/>
          <w:szCs w:val="24"/>
          <w:lang w:val="en-ZA"/>
        </w:rPr>
        <w:t xml:space="preserve">) for the payment of demurrage and costs arising out of the charter by the plaintiff to Tonkolili as </w:t>
      </w:r>
      <w:r w:rsidR="00452132">
        <w:rPr>
          <w:rFonts w:ascii="Arial" w:eastAsia="Times New Roman" w:hAnsi="Arial" w:cs="Arial"/>
          <w:sz w:val="24"/>
          <w:szCs w:val="24"/>
          <w:lang w:val="en-ZA"/>
        </w:rPr>
        <w:t>v</w:t>
      </w:r>
      <w:r w:rsidRPr="008E299E">
        <w:rPr>
          <w:rFonts w:ascii="Arial" w:eastAsia="Times New Roman" w:hAnsi="Arial" w:cs="Arial"/>
          <w:sz w:val="24"/>
          <w:szCs w:val="24"/>
          <w:lang w:val="en-ZA"/>
        </w:rPr>
        <w:t xml:space="preserve">oyage </w:t>
      </w:r>
      <w:r w:rsidR="00452132">
        <w:rPr>
          <w:rFonts w:ascii="Arial" w:eastAsia="Times New Roman" w:hAnsi="Arial" w:cs="Arial"/>
          <w:sz w:val="24"/>
          <w:szCs w:val="24"/>
          <w:lang w:val="en-ZA"/>
        </w:rPr>
        <w:t>c</w:t>
      </w:r>
      <w:r w:rsidRPr="008E299E">
        <w:rPr>
          <w:rFonts w:ascii="Arial" w:eastAsia="Times New Roman" w:hAnsi="Arial" w:cs="Arial"/>
          <w:sz w:val="24"/>
          <w:szCs w:val="24"/>
          <w:lang w:val="en-ZA"/>
        </w:rPr>
        <w:t xml:space="preserve">harterer of the </w:t>
      </w:r>
      <w:r w:rsidR="00156DAE" w:rsidRPr="008E299E">
        <w:rPr>
          <w:rFonts w:ascii="Arial" w:eastAsia="Times New Roman" w:hAnsi="Arial" w:cs="Arial"/>
          <w:sz w:val="24"/>
          <w:szCs w:val="24"/>
          <w:lang w:val="en-ZA"/>
        </w:rPr>
        <w:t>mv</w:t>
      </w:r>
      <w:r w:rsidRPr="008E299E">
        <w:rPr>
          <w:rFonts w:ascii="Arial" w:eastAsia="Times New Roman" w:hAnsi="Arial" w:cs="Arial"/>
          <w:sz w:val="24"/>
          <w:szCs w:val="24"/>
          <w:lang w:val="en-ZA"/>
        </w:rPr>
        <w:t xml:space="preserve"> </w:t>
      </w:r>
      <w:r w:rsidRPr="00D83E5F">
        <w:rPr>
          <w:rFonts w:ascii="Arial" w:eastAsia="Times New Roman" w:hAnsi="Arial" w:cs="Arial"/>
          <w:i/>
          <w:sz w:val="24"/>
          <w:szCs w:val="24"/>
          <w:lang w:val="en-ZA"/>
        </w:rPr>
        <w:t>Zhong Teng Hai</w:t>
      </w:r>
      <w:r w:rsidRPr="008E299E">
        <w:rPr>
          <w:rFonts w:ascii="Arial" w:eastAsia="Times New Roman" w:hAnsi="Arial" w:cs="Arial"/>
          <w:sz w:val="24"/>
          <w:szCs w:val="24"/>
          <w:lang w:val="en-ZA"/>
        </w:rPr>
        <w:t xml:space="preserve">.  The </w:t>
      </w:r>
      <w:r w:rsidR="00620480" w:rsidRPr="008E299E">
        <w:rPr>
          <w:rFonts w:ascii="Arial" w:eastAsia="Times New Roman" w:hAnsi="Arial" w:cs="Arial"/>
          <w:sz w:val="24"/>
          <w:szCs w:val="24"/>
          <w:lang w:val="en-ZA"/>
        </w:rPr>
        <w:t xml:space="preserve">principle </w:t>
      </w:r>
      <w:r w:rsidRPr="008E299E">
        <w:rPr>
          <w:rFonts w:ascii="Arial" w:eastAsia="Times New Roman" w:hAnsi="Arial" w:cs="Arial"/>
          <w:sz w:val="24"/>
          <w:szCs w:val="24"/>
          <w:lang w:val="en-ZA"/>
        </w:rPr>
        <w:t xml:space="preserve">claim </w:t>
      </w:r>
      <w:r w:rsidR="006415BD" w:rsidRPr="008E299E">
        <w:rPr>
          <w:rFonts w:ascii="Arial" w:eastAsia="Times New Roman" w:hAnsi="Arial" w:cs="Arial"/>
          <w:sz w:val="24"/>
          <w:szCs w:val="24"/>
          <w:lang w:val="en-ZA"/>
        </w:rPr>
        <w:t>in the sum of USD</w:t>
      </w:r>
      <w:r w:rsidR="0054206A">
        <w:rPr>
          <w:rFonts w:ascii="Arial" w:eastAsia="Times New Roman" w:hAnsi="Arial" w:cs="Arial"/>
          <w:sz w:val="24"/>
          <w:szCs w:val="24"/>
          <w:lang w:val="en-ZA"/>
        </w:rPr>
        <w:t> </w:t>
      </w:r>
      <w:r w:rsidR="006415BD" w:rsidRPr="008E299E">
        <w:rPr>
          <w:rFonts w:ascii="Arial" w:eastAsia="Times New Roman" w:hAnsi="Arial" w:cs="Arial"/>
          <w:sz w:val="24"/>
          <w:szCs w:val="24"/>
          <w:lang w:val="en-ZA"/>
        </w:rPr>
        <w:t xml:space="preserve">1 325 460.97 </w:t>
      </w:r>
      <w:r w:rsidRPr="008E299E">
        <w:rPr>
          <w:rFonts w:ascii="Arial" w:eastAsia="Times New Roman" w:hAnsi="Arial" w:cs="Arial"/>
          <w:sz w:val="24"/>
          <w:szCs w:val="24"/>
          <w:lang w:val="en-ZA"/>
        </w:rPr>
        <w:t xml:space="preserve">arose during November 2017 to February 2018.  </w:t>
      </w:r>
    </w:p>
    <w:p w:rsidR="00B13715" w:rsidRPr="00976FFD" w:rsidRDefault="00B13715" w:rsidP="00BF0D6B">
      <w:pPr>
        <w:tabs>
          <w:tab w:val="left" w:pos="0"/>
          <w:tab w:val="left" w:pos="567"/>
          <w:tab w:val="left" w:pos="990"/>
        </w:tabs>
        <w:spacing w:line="360" w:lineRule="auto"/>
        <w:contextualSpacing/>
        <w:jc w:val="both"/>
        <w:rPr>
          <w:rFonts w:ascii="Arial" w:hAnsi="Arial" w:cs="Arial"/>
        </w:rPr>
      </w:pPr>
    </w:p>
    <w:p w:rsidR="00B13715" w:rsidRPr="00554BD3" w:rsidRDefault="00B1371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Th</w:t>
      </w:r>
      <w:r w:rsidR="00620480" w:rsidRPr="008E299E">
        <w:rPr>
          <w:rFonts w:ascii="Arial" w:eastAsia="Times New Roman" w:hAnsi="Arial" w:cs="Arial"/>
          <w:sz w:val="24"/>
          <w:szCs w:val="24"/>
          <w:lang w:val="en-ZA"/>
        </w:rPr>
        <w:t>is</w:t>
      </w:r>
      <w:r w:rsidRPr="008E299E">
        <w:rPr>
          <w:rFonts w:ascii="Arial" w:eastAsia="Times New Roman" w:hAnsi="Arial" w:cs="Arial"/>
          <w:sz w:val="24"/>
          <w:szCs w:val="24"/>
          <w:lang w:val="en-ZA"/>
        </w:rPr>
        <w:t xml:space="preserve"> </w:t>
      </w:r>
      <w:r w:rsidRPr="008E299E">
        <w:rPr>
          <w:rFonts w:ascii="Arial" w:eastAsia="Times New Roman" w:hAnsi="Arial" w:cs="Arial"/>
          <w:i/>
          <w:sz w:val="24"/>
          <w:szCs w:val="24"/>
          <w:lang w:val="en-ZA"/>
        </w:rPr>
        <w:t>in rem</w:t>
      </w:r>
      <w:r w:rsidRPr="008E299E">
        <w:rPr>
          <w:rFonts w:ascii="Arial" w:eastAsia="Times New Roman" w:hAnsi="Arial" w:cs="Arial"/>
          <w:sz w:val="24"/>
          <w:szCs w:val="24"/>
          <w:lang w:val="en-ZA"/>
        </w:rPr>
        <w:t xml:space="preserve"> action is brought against the defendant</w:t>
      </w:r>
      <w:r w:rsidR="00E76CA8" w:rsidRPr="008E299E">
        <w:rPr>
          <w:rFonts w:ascii="Arial" w:eastAsia="Times New Roman" w:hAnsi="Arial" w:cs="Arial"/>
          <w:sz w:val="24"/>
          <w:szCs w:val="24"/>
          <w:lang w:val="en-ZA"/>
        </w:rPr>
        <w:t xml:space="preserve"> </w:t>
      </w:r>
      <w:r w:rsidRPr="008E299E">
        <w:rPr>
          <w:rFonts w:ascii="Arial" w:eastAsia="Times New Roman" w:hAnsi="Arial" w:cs="Arial"/>
          <w:sz w:val="24"/>
          <w:szCs w:val="24"/>
          <w:lang w:val="en-ZA"/>
        </w:rPr>
        <w:t xml:space="preserve">under </w:t>
      </w:r>
      <w:r w:rsidR="00DA01F7" w:rsidRPr="008E299E">
        <w:rPr>
          <w:rFonts w:ascii="Arial" w:eastAsia="Times New Roman" w:hAnsi="Arial" w:cs="Arial"/>
          <w:sz w:val="24"/>
          <w:szCs w:val="24"/>
          <w:lang w:val="en-ZA"/>
        </w:rPr>
        <w:t>s</w:t>
      </w:r>
      <w:r w:rsidRPr="008E299E">
        <w:rPr>
          <w:rFonts w:ascii="Arial" w:eastAsia="Times New Roman" w:hAnsi="Arial" w:cs="Arial"/>
          <w:sz w:val="24"/>
          <w:szCs w:val="24"/>
          <w:lang w:val="en-ZA"/>
        </w:rPr>
        <w:t xml:space="preserve"> 3(6) and (7) of th</w:t>
      </w:r>
      <w:r w:rsidR="00D1774F" w:rsidRPr="008E299E">
        <w:rPr>
          <w:rFonts w:ascii="Arial" w:eastAsia="Times New Roman" w:hAnsi="Arial" w:cs="Arial"/>
          <w:sz w:val="24"/>
          <w:szCs w:val="24"/>
          <w:lang w:val="en-ZA"/>
        </w:rPr>
        <w:t>e</w:t>
      </w:r>
      <w:r w:rsidRPr="008E299E">
        <w:rPr>
          <w:rFonts w:ascii="Arial" w:eastAsia="Times New Roman" w:hAnsi="Arial" w:cs="Arial"/>
          <w:sz w:val="24"/>
          <w:szCs w:val="24"/>
        </w:rPr>
        <w:t xml:space="preserve"> Act.  </w:t>
      </w:r>
      <w:r w:rsidR="00E83283" w:rsidRPr="008E299E">
        <w:rPr>
          <w:rFonts w:ascii="Arial" w:eastAsia="Times New Roman" w:hAnsi="Arial" w:cs="Arial"/>
          <w:sz w:val="24"/>
          <w:szCs w:val="24"/>
          <w:lang w:val="en-ZA"/>
        </w:rPr>
        <w:t xml:space="preserve">The plaintiff alleges </w:t>
      </w:r>
      <w:r w:rsidR="00D1774F" w:rsidRPr="008E299E">
        <w:rPr>
          <w:rFonts w:ascii="Arial" w:eastAsia="Times New Roman" w:hAnsi="Arial" w:cs="Arial"/>
          <w:sz w:val="24"/>
          <w:szCs w:val="24"/>
          <w:lang w:val="en-ZA"/>
        </w:rPr>
        <w:t xml:space="preserve">that </w:t>
      </w:r>
      <w:r w:rsidR="00E83283" w:rsidRPr="008E299E">
        <w:rPr>
          <w:rFonts w:ascii="Arial" w:eastAsia="Times New Roman" w:hAnsi="Arial" w:cs="Arial"/>
          <w:sz w:val="24"/>
          <w:szCs w:val="24"/>
          <w:lang w:val="en-ZA"/>
        </w:rPr>
        <w:t xml:space="preserve">the defendant was </w:t>
      </w:r>
      <w:r w:rsidR="00E83283" w:rsidRPr="008E299E">
        <w:rPr>
          <w:rFonts w:ascii="Arial" w:eastAsia="Times New Roman" w:hAnsi="Arial" w:cs="Arial"/>
          <w:sz w:val="24"/>
          <w:szCs w:val="24"/>
        </w:rPr>
        <w:t xml:space="preserve">an associated ship </w:t>
      </w:r>
      <w:r w:rsidR="00D1774F" w:rsidRPr="008E299E">
        <w:rPr>
          <w:rFonts w:ascii="Arial" w:eastAsia="Times New Roman" w:hAnsi="Arial" w:cs="Arial"/>
          <w:sz w:val="24"/>
          <w:szCs w:val="24"/>
        </w:rPr>
        <w:t xml:space="preserve">of </w:t>
      </w:r>
      <w:r w:rsidR="000023A2">
        <w:rPr>
          <w:rFonts w:ascii="Arial" w:eastAsia="Times New Roman" w:hAnsi="Arial" w:cs="Arial"/>
          <w:sz w:val="24"/>
          <w:szCs w:val="24"/>
        </w:rPr>
        <w:t xml:space="preserve">mv </w:t>
      </w:r>
      <w:r w:rsidR="000023A2" w:rsidRPr="00D83E5F">
        <w:rPr>
          <w:rFonts w:ascii="Arial" w:eastAsia="Times New Roman" w:hAnsi="Arial" w:cs="Arial"/>
          <w:i/>
          <w:sz w:val="24"/>
          <w:szCs w:val="24"/>
        </w:rPr>
        <w:t>Zhong Teng Hai</w:t>
      </w:r>
      <w:r w:rsidR="00E83283" w:rsidRPr="008E299E">
        <w:rPr>
          <w:rFonts w:ascii="Arial" w:eastAsia="Times New Roman" w:hAnsi="Arial" w:cs="Arial"/>
          <w:sz w:val="24"/>
          <w:szCs w:val="24"/>
        </w:rPr>
        <w:t xml:space="preserve">. </w:t>
      </w:r>
      <w:r w:rsidRPr="008E299E">
        <w:rPr>
          <w:rFonts w:ascii="Arial" w:eastAsia="Times New Roman" w:hAnsi="Arial" w:cs="Arial"/>
          <w:sz w:val="24"/>
          <w:szCs w:val="24"/>
        </w:rPr>
        <w:t xml:space="preserve">To succeed in its enforcement action </w:t>
      </w:r>
      <w:r w:rsidRPr="008E299E">
        <w:rPr>
          <w:rFonts w:ascii="Arial" w:eastAsia="Times New Roman" w:hAnsi="Arial" w:cs="Arial"/>
          <w:i/>
          <w:sz w:val="24"/>
          <w:szCs w:val="24"/>
        </w:rPr>
        <w:t>in rem</w:t>
      </w:r>
      <w:r w:rsidRPr="008E299E">
        <w:rPr>
          <w:rFonts w:ascii="Arial" w:eastAsia="Times New Roman" w:hAnsi="Arial" w:cs="Arial"/>
          <w:sz w:val="24"/>
          <w:szCs w:val="24"/>
        </w:rPr>
        <w:t xml:space="preserve">, the plaintiff must prove that </w:t>
      </w:r>
      <w:r w:rsidR="00D1774F" w:rsidRPr="008E299E">
        <w:rPr>
          <w:rFonts w:ascii="Arial" w:eastAsia="Times New Roman" w:hAnsi="Arial" w:cs="Arial"/>
          <w:sz w:val="24"/>
          <w:szCs w:val="24"/>
        </w:rPr>
        <w:t xml:space="preserve">the </w:t>
      </w:r>
      <w:r w:rsidR="000023A2">
        <w:rPr>
          <w:rFonts w:ascii="Arial" w:eastAsia="Times New Roman" w:hAnsi="Arial" w:cs="Arial"/>
          <w:sz w:val="24"/>
          <w:szCs w:val="24"/>
        </w:rPr>
        <w:t xml:space="preserve">owner of the </w:t>
      </w:r>
      <w:r w:rsidR="00D1774F" w:rsidRPr="008E299E">
        <w:rPr>
          <w:rFonts w:ascii="Arial" w:eastAsia="Times New Roman" w:hAnsi="Arial" w:cs="Arial"/>
          <w:sz w:val="24"/>
          <w:szCs w:val="24"/>
        </w:rPr>
        <w:t>defendant</w:t>
      </w:r>
      <w:r w:rsidR="000023A2">
        <w:rPr>
          <w:rFonts w:ascii="Arial" w:eastAsia="Times New Roman" w:hAnsi="Arial" w:cs="Arial"/>
          <w:sz w:val="24"/>
          <w:szCs w:val="24"/>
        </w:rPr>
        <w:t xml:space="preserve">, being </w:t>
      </w:r>
      <w:r w:rsidR="000023A2" w:rsidRPr="008E299E">
        <w:rPr>
          <w:rFonts w:ascii="Arial" w:eastAsia="Times New Roman" w:hAnsi="Arial" w:cs="Arial"/>
          <w:sz w:val="24"/>
          <w:szCs w:val="24"/>
        </w:rPr>
        <w:t>Shandong Haiyang Shipping Company Limited</w:t>
      </w:r>
      <w:r w:rsidR="00030A03" w:rsidRPr="00030A03">
        <w:rPr>
          <w:rFonts w:ascii="Arial" w:eastAsia="Times New Roman" w:hAnsi="Arial" w:cs="Arial"/>
          <w:sz w:val="24"/>
          <w:szCs w:val="24"/>
        </w:rPr>
        <w:t xml:space="preserve"> </w:t>
      </w:r>
      <w:r w:rsidR="00030A03">
        <w:rPr>
          <w:rFonts w:ascii="Arial" w:eastAsia="Times New Roman" w:hAnsi="Arial" w:cs="Arial"/>
          <w:sz w:val="24"/>
          <w:szCs w:val="24"/>
        </w:rPr>
        <w:t>(‘</w:t>
      </w:r>
      <w:r w:rsidR="00030A03" w:rsidRPr="008E299E">
        <w:rPr>
          <w:rFonts w:ascii="Arial" w:eastAsia="Times New Roman" w:hAnsi="Arial" w:cs="Arial"/>
          <w:sz w:val="24"/>
          <w:szCs w:val="24"/>
        </w:rPr>
        <w:t>Shandong Haiyang</w:t>
      </w:r>
      <w:r w:rsidR="00030A03">
        <w:rPr>
          <w:rFonts w:ascii="Arial" w:eastAsia="Times New Roman" w:hAnsi="Arial" w:cs="Arial"/>
          <w:sz w:val="24"/>
          <w:szCs w:val="24"/>
        </w:rPr>
        <w:t>’)</w:t>
      </w:r>
      <w:r w:rsidR="000023A2">
        <w:rPr>
          <w:rFonts w:ascii="Arial" w:eastAsia="Times New Roman" w:hAnsi="Arial" w:cs="Arial"/>
          <w:sz w:val="24"/>
          <w:szCs w:val="24"/>
        </w:rPr>
        <w:t>,</w:t>
      </w:r>
      <w:r w:rsidR="00D1774F" w:rsidRPr="008E299E">
        <w:rPr>
          <w:rFonts w:ascii="Arial" w:eastAsia="Times New Roman" w:hAnsi="Arial" w:cs="Arial"/>
          <w:sz w:val="24"/>
          <w:szCs w:val="24"/>
        </w:rPr>
        <w:t xml:space="preserve"> </w:t>
      </w:r>
      <w:r w:rsidR="008729D9" w:rsidRPr="008E299E">
        <w:rPr>
          <w:rFonts w:ascii="Arial" w:eastAsia="Times New Roman" w:hAnsi="Arial" w:cs="Arial"/>
          <w:sz w:val="24"/>
          <w:szCs w:val="24"/>
        </w:rPr>
        <w:t xml:space="preserve">and Tonkolili </w:t>
      </w:r>
      <w:r w:rsidRPr="008E299E">
        <w:rPr>
          <w:rFonts w:ascii="Arial" w:eastAsia="Times New Roman" w:hAnsi="Arial" w:cs="Arial"/>
          <w:sz w:val="24"/>
          <w:szCs w:val="24"/>
        </w:rPr>
        <w:t>w</w:t>
      </w:r>
      <w:r w:rsidR="008729D9" w:rsidRPr="008E299E">
        <w:rPr>
          <w:rFonts w:ascii="Arial" w:eastAsia="Times New Roman" w:hAnsi="Arial" w:cs="Arial"/>
          <w:sz w:val="24"/>
          <w:szCs w:val="24"/>
        </w:rPr>
        <w:t>ere</w:t>
      </w:r>
      <w:r w:rsidRPr="008E299E">
        <w:rPr>
          <w:rFonts w:ascii="Arial" w:eastAsia="Times New Roman" w:hAnsi="Arial" w:cs="Arial"/>
          <w:sz w:val="24"/>
          <w:szCs w:val="24"/>
        </w:rPr>
        <w:t>, when the plaintiff’s claim arose, controlled by Shandong Provincial State-Owned Asset Supervision and Administration Commission (</w:t>
      </w:r>
      <w:r w:rsidR="00537641">
        <w:rPr>
          <w:rFonts w:ascii="Arial" w:eastAsia="Times New Roman" w:hAnsi="Arial" w:cs="Arial"/>
          <w:sz w:val="24"/>
          <w:szCs w:val="24"/>
        </w:rPr>
        <w:t>‘</w:t>
      </w:r>
      <w:r w:rsidRPr="008E299E">
        <w:rPr>
          <w:rFonts w:ascii="Arial" w:eastAsia="Times New Roman" w:hAnsi="Arial" w:cs="Arial"/>
          <w:sz w:val="24"/>
          <w:szCs w:val="24"/>
        </w:rPr>
        <w:t>SASAC</w:t>
      </w:r>
      <w:r w:rsidR="00537641">
        <w:rPr>
          <w:rFonts w:ascii="Arial" w:eastAsia="Times New Roman" w:hAnsi="Arial" w:cs="Arial"/>
          <w:sz w:val="24"/>
          <w:szCs w:val="24"/>
        </w:rPr>
        <w:t>’</w:t>
      </w:r>
      <w:r w:rsidRPr="008E299E">
        <w:rPr>
          <w:rFonts w:ascii="Arial" w:eastAsia="Times New Roman" w:hAnsi="Arial" w:cs="Arial"/>
          <w:sz w:val="24"/>
          <w:szCs w:val="24"/>
        </w:rPr>
        <w:t>)</w:t>
      </w:r>
      <w:r w:rsidR="00283677" w:rsidRPr="008E299E">
        <w:rPr>
          <w:rFonts w:ascii="Arial" w:eastAsia="Times New Roman" w:hAnsi="Arial" w:cs="Arial"/>
          <w:sz w:val="24"/>
          <w:szCs w:val="24"/>
        </w:rPr>
        <w:t>, an agency or arm of the government</w:t>
      </w:r>
      <w:r w:rsidR="00554BD3">
        <w:rPr>
          <w:rFonts w:ascii="Arial" w:eastAsia="Times New Roman" w:hAnsi="Arial" w:cs="Arial"/>
          <w:sz w:val="24"/>
          <w:szCs w:val="24"/>
        </w:rPr>
        <w:t xml:space="preserve"> </w:t>
      </w:r>
      <w:r w:rsidR="00554BD3" w:rsidRPr="008E299E">
        <w:rPr>
          <w:rFonts w:ascii="Arial" w:eastAsia="Times New Roman" w:hAnsi="Arial" w:cs="Arial"/>
          <w:sz w:val="24"/>
          <w:szCs w:val="24"/>
          <w:lang w:val="en-GB"/>
        </w:rPr>
        <w:t xml:space="preserve">of the Peoples’ Republic of China. </w:t>
      </w:r>
      <w:r w:rsidRPr="00554BD3">
        <w:rPr>
          <w:rFonts w:ascii="Arial" w:eastAsia="Times New Roman" w:hAnsi="Arial" w:cs="Arial"/>
          <w:sz w:val="24"/>
          <w:szCs w:val="24"/>
        </w:rPr>
        <w:t xml:space="preserve">  </w:t>
      </w:r>
    </w:p>
    <w:p w:rsidR="00B13715" w:rsidRPr="00976FFD" w:rsidRDefault="00B13715" w:rsidP="00BF0D6B">
      <w:pPr>
        <w:spacing w:line="360" w:lineRule="auto"/>
        <w:contextualSpacing/>
        <w:rPr>
          <w:rFonts w:ascii="Arial" w:hAnsi="Arial" w:cs="Arial"/>
        </w:rPr>
      </w:pPr>
    </w:p>
    <w:p w:rsidR="0041460D" w:rsidRPr="008E299E" w:rsidRDefault="00B1371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rPr>
        <w:t xml:space="preserve">SASAC </w:t>
      </w:r>
      <w:r w:rsidR="00C019A2" w:rsidRPr="008E299E">
        <w:rPr>
          <w:rFonts w:ascii="Arial" w:eastAsia="Times New Roman" w:hAnsi="Arial" w:cs="Arial"/>
          <w:sz w:val="24"/>
          <w:szCs w:val="24"/>
        </w:rPr>
        <w:t>was the majority shareholder of Shandong Shipping Corporation (</w:t>
      </w:r>
      <w:r w:rsidR="00537641">
        <w:rPr>
          <w:rFonts w:ascii="Arial" w:eastAsia="Times New Roman" w:hAnsi="Arial" w:cs="Arial"/>
          <w:sz w:val="24"/>
          <w:szCs w:val="24"/>
        </w:rPr>
        <w:t>‘</w:t>
      </w:r>
      <w:r w:rsidR="00C019A2" w:rsidRPr="008E299E">
        <w:rPr>
          <w:rFonts w:ascii="Arial" w:eastAsia="Times New Roman" w:hAnsi="Arial" w:cs="Arial"/>
          <w:sz w:val="24"/>
          <w:szCs w:val="24"/>
        </w:rPr>
        <w:t>Shandong Shipping</w:t>
      </w:r>
      <w:r w:rsidR="00537641">
        <w:rPr>
          <w:rFonts w:ascii="Arial" w:eastAsia="Times New Roman" w:hAnsi="Arial" w:cs="Arial"/>
          <w:sz w:val="24"/>
          <w:szCs w:val="24"/>
        </w:rPr>
        <w:t>’</w:t>
      </w:r>
      <w:r w:rsidR="00C019A2" w:rsidRPr="008E299E">
        <w:rPr>
          <w:rFonts w:ascii="Arial" w:eastAsia="Times New Roman" w:hAnsi="Arial" w:cs="Arial"/>
          <w:sz w:val="24"/>
          <w:szCs w:val="24"/>
        </w:rPr>
        <w:t>), which owned 100</w:t>
      </w:r>
      <w:r w:rsidR="00537641">
        <w:rPr>
          <w:rFonts w:ascii="Arial" w:eastAsia="Times New Roman" w:hAnsi="Arial" w:cs="Arial"/>
          <w:sz w:val="24"/>
          <w:szCs w:val="24"/>
        </w:rPr>
        <w:t xml:space="preserve"> per cent</w:t>
      </w:r>
      <w:r w:rsidR="00C019A2" w:rsidRPr="008E299E">
        <w:rPr>
          <w:rFonts w:ascii="Arial" w:eastAsia="Times New Roman" w:hAnsi="Arial" w:cs="Arial"/>
          <w:sz w:val="24"/>
          <w:szCs w:val="24"/>
        </w:rPr>
        <w:t xml:space="preserve"> of Shandong Shipping </w:t>
      </w:r>
      <w:r w:rsidR="003410A4" w:rsidRPr="008E299E">
        <w:rPr>
          <w:rFonts w:ascii="Arial" w:eastAsia="Times New Roman" w:hAnsi="Arial" w:cs="Arial"/>
          <w:sz w:val="24"/>
          <w:szCs w:val="24"/>
        </w:rPr>
        <w:t>(Hong Kong) Holdings Limited, which in turn owned 100</w:t>
      </w:r>
      <w:r w:rsidR="00537641">
        <w:rPr>
          <w:rFonts w:ascii="Arial" w:eastAsia="Times New Roman" w:hAnsi="Arial" w:cs="Arial"/>
          <w:sz w:val="24"/>
          <w:szCs w:val="24"/>
        </w:rPr>
        <w:t xml:space="preserve"> per cent</w:t>
      </w:r>
      <w:r w:rsidR="003410A4" w:rsidRPr="008E299E">
        <w:rPr>
          <w:rFonts w:ascii="Arial" w:eastAsia="Times New Roman" w:hAnsi="Arial" w:cs="Arial"/>
          <w:sz w:val="24"/>
          <w:szCs w:val="24"/>
        </w:rPr>
        <w:t xml:space="preserve"> of Shandong Haiyang, </w:t>
      </w:r>
      <w:r w:rsidR="006F565A">
        <w:rPr>
          <w:rFonts w:ascii="Arial" w:eastAsia="Times New Roman" w:hAnsi="Arial" w:cs="Arial"/>
          <w:sz w:val="24"/>
          <w:szCs w:val="24"/>
        </w:rPr>
        <w:t>the registered owner of</w:t>
      </w:r>
      <w:r w:rsidR="003410A4" w:rsidRPr="008E299E">
        <w:rPr>
          <w:rFonts w:ascii="Arial" w:eastAsia="Times New Roman" w:hAnsi="Arial" w:cs="Arial"/>
          <w:sz w:val="24"/>
          <w:szCs w:val="24"/>
        </w:rPr>
        <w:t xml:space="preserve"> the defendant.  SASAC </w:t>
      </w:r>
      <w:r w:rsidRPr="008E299E">
        <w:rPr>
          <w:rFonts w:ascii="Arial" w:eastAsia="Times New Roman" w:hAnsi="Arial" w:cs="Arial"/>
          <w:sz w:val="24"/>
          <w:szCs w:val="24"/>
        </w:rPr>
        <w:t>control</w:t>
      </w:r>
      <w:r w:rsidR="009065B4" w:rsidRPr="008E299E">
        <w:rPr>
          <w:rFonts w:ascii="Arial" w:eastAsia="Times New Roman" w:hAnsi="Arial" w:cs="Arial"/>
          <w:sz w:val="24"/>
          <w:szCs w:val="24"/>
        </w:rPr>
        <w:t>l</w:t>
      </w:r>
      <w:r w:rsidR="00DF1B8D" w:rsidRPr="008E299E">
        <w:rPr>
          <w:rFonts w:ascii="Arial" w:eastAsia="Times New Roman" w:hAnsi="Arial" w:cs="Arial"/>
          <w:sz w:val="24"/>
          <w:szCs w:val="24"/>
        </w:rPr>
        <w:t>ed</w:t>
      </w:r>
      <w:r w:rsidRPr="008E299E">
        <w:rPr>
          <w:rFonts w:ascii="Arial" w:eastAsia="Times New Roman" w:hAnsi="Arial" w:cs="Arial"/>
          <w:sz w:val="24"/>
          <w:szCs w:val="24"/>
        </w:rPr>
        <w:t xml:space="preserve"> the defendant through Shandong Haiyang</w:t>
      </w:r>
      <w:r w:rsidR="003410A4" w:rsidRPr="008E299E">
        <w:rPr>
          <w:rFonts w:ascii="Arial" w:eastAsia="Times New Roman" w:hAnsi="Arial" w:cs="Arial"/>
          <w:sz w:val="24"/>
          <w:szCs w:val="24"/>
        </w:rPr>
        <w:t>.</w:t>
      </w:r>
      <w:r w:rsidRPr="008E299E">
        <w:rPr>
          <w:rFonts w:ascii="Arial" w:eastAsia="Times New Roman" w:hAnsi="Arial" w:cs="Arial"/>
          <w:sz w:val="24"/>
          <w:szCs w:val="24"/>
        </w:rPr>
        <w:t xml:space="preserve"> </w:t>
      </w:r>
    </w:p>
    <w:p w:rsidR="0041460D" w:rsidRPr="00976FFD" w:rsidRDefault="0041460D" w:rsidP="00BF0D6B">
      <w:pPr>
        <w:spacing w:line="360" w:lineRule="auto"/>
        <w:rPr>
          <w:rFonts w:ascii="Arial" w:hAnsi="Arial" w:cs="Arial"/>
        </w:rPr>
      </w:pPr>
    </w:p>
    <w:p w:rsidR="00F92942" w:rsidRPr="008E299E" w:rsidRDefault="00B1371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 xml:space="preserve">SASAC </w:t>
      </w:r>
      <w:r w:rsidR="00DF1B8D" w:rsidRPr="008E299E">
        <w:rPr>
          <w:rFonts w:ascii="Arial" w:eastAsia="Times New Roman" w:hAnsi="Arial" w:cs="Arial"/>
          <w:sz w:val="24"/>
          <w:szCs w:val="24"/>
          <w:lang w:val="en-ZA"/>
        </w:rPr>
        <w:t>wa</w:t>
      </w:r>
      <w:r w:rsidRPr="008E299E">
        <w:rPr>
          <w:rFonts w:ascii="Arial" w:eastAsia="Times New Roman" w:hAnsi="Arial" w:cs="Arial"/>
          <w:sz w:val="24"/>
          <w:szCs w:val="24"/>
          <w:lang w:val="en-ZA"/>
        </w:rPr>
        <w:t xml:space="preserve">s </w:t>
      </w:r>
      <w:r w:rsidR="00FC2A29" w:rsidRPr="008E299E">
        <w:rPr>
          <w:rFonts w:ascii="Arial" w:eastAsia="Times New Roman" w:hAnsi="Arial" w:cs="Arial"/>
          <w:sz w:val="24"/>
          <w:szCs w:val="24"/>
          <w:lang w:val="en-ZA"/>
        </w:rPr>
        <w:t xml:space="preserve">also </w:t>
      </w:r>
      <w:r w:rsidRPr="008E299E">
        <w:rPr>
          <w:rFonts w:ascii="Arial" w:eastAsia="Times New Roman" w:hAnsi="Arial" w:cs="Arial"/>
          <w:sz w:val="24"/>
          <w:szCs w:val="24"/>
          <w:lang w:val="en-ZA"/>
        </w:rPr>
        <w:t>the controlling shareholder of Shandong Iron and Steel Group Company Limited (</w:t>
      </w:r>
      <w:r w:rsidR="00463E59">
        <w:rPr>
          <w:rFonts w:ascii="Arial" w:eastAsia="Times New Roman" w:hAnsi="Arial" w:cs="Arial"/>
          <w:sz w:val="24"/>
          <w:szCs w:val="24"/>
          <w:lang w:val="en-ZA"/>
        </w:rPr>
        <w:t>‘</w:t>
      </w:r>
      <w:r w:rsidRPr="008E299E">
        <w:rPr>
          <w:rFonts w:ascii="Arial" w:eastAsia="Times New Roman" w:hAnsi="Arial" w:cs="Arial"/>
          <w:sz w:val="24"/>
          <w:szCs w:val="24"/>
          <w:lang w:val="en-ZA"/>
        </w:rPr>
        <w:t>SIS</w:t>
      </w:r>
      <w:r w:rsidR="00463E59">
        <w:rPr>
          <w:rFonts w:ascii="Arial" w:eastAsia="Times New Roman" w:hAnsi="Arial" w:cs="Arial"/>
          <w:sz w:val="24"/>
          <w:szCs w:val="24"/>
          <w:lang w:val="en-ZA"/>
        </w:rPr>
        <w:t>’</w:t>
      </w:r>
      <w:r w:rsidRPr="008E299E">
        <w:rPr>
          <w:rFonts w:ascii="Arial" w:eastAsia="Times New Roman" w:hAnsi="Arial" w:cs="Arial"/>
          <w:sz w:val="24"/>
          <w:szCs w:val="24"/>
          <w:lang w:val="en-ZA"/>
        </w:rPr>
        <w:t>).</w:t>
      </w:r>
      <w:r w:rsidR="00D67C1E" w:rsidRPr="008E299E">
        <w:rPr>
          <w:rFonts w:ascii="Arial" w:eastAsia="Times New Roman" w:hAnsi="Arial" w:cs="Arial"/>
          <w:sz w:val="24"/>
          <w:szCs w:val="24"/>
          <w:lang w:val="en-ZA"/>
        </w:rPr>
        <w:t xml:space="preserve">  </w:t>
      </w:r>
      <w:r w:rsidR="0041460D" w:rsidRPr="008E299E">
        <w:rPr>
          <w:rFonts w:ascii="Arial" w:eastAsia="Times New Roman" w:hAnsi="Arial" w:cs="Arial"/>
          <w:sz w:val="24"/>
          <w:szCs w:val="24"/>
          <w:lang w:val="en-ZA"/>
        </w:rPr>
        <w:t>SIS owned 100</w:t>
      </w:r>
      <w:r w:rsidR="00814B09">
        <w:rPr>
          <w:rFonts w:ascii="Arial" w:eastAsia="Times New Roman" w:hAnsi="Arial" w:cs="Arial"/>
          <w:sz w:val="24"/>
          <w:szCs w:val="24"/>
          <w:lang w:val="en-ZA"/>
        </w:rPr>
        <w:t xml:space="preserve"> per cent</w:t>
      </w:r>
      <w:r w:rsidR="0041460D" w:rsidRPr="008E299E">
        <w:rPr>
          <w:rFonts w:ascii="Arial" w:eastAsia="Times New Roman" w:hAnsi="Arial" w:cs="Arial"/>
          <w:sz w:val="24"/>
          <w:szCs w:val="24"/>
          <w:lang w:val="en-ZA"/>
        </w:rPr>
        <w:t xml:space="preserve"> of Tonkoli</w:t>
      </w:r>
      <w:r w:rsidR="00814B09">
        <w:rPr>
          <w:rFonts w:ascii="Arial" w:eastAsia="Times New Roman" w:hAnsi="Arial" w:cs="Arial"/>
          <w:sz w:val="24"/>
          <w:szCs w:val="24"/>
          <w:lang w:val="en-ZA"/>
        </w:rPr>
        <w:t>l</w:t>
      </w:r>
      <w:r w:rsidR="0041460D" w:rsidRPr="008E299E">
        <w:rPr>
          <w:rFonts w:ascii="Arial" w:eastAsia="Times New Roman" w:hAnsi="Arial" w:cs="Arial"/>
          <w:sz w:val="24"/>
          <w:szCs w:val="24"/>
          <w:lang w:val="en-ZA"/>
        </w:rPr>
        <w:t>i</w:t>
      </w:r>
      <w:r w:rsidR="004C0647" w:rsidRPr="008E299E">
        <w:rPr>
          <w:rFonts w:ascii="Arial" w:eastAsia="Times New Roman" w:hAnsi="Arial" w:cs="Arial"/>
          <w:sz w:val="24"/>
          <w:szCs w:val="24"/>
          <w:lang w:val="en-ZA"/>
        </w:rPr>
        <w:t>.  Therefore,</w:t>
      </w:r>
      <w:r w:rsidR="00FC2A29" w:rsidRPr="008E299E">
        <w:rPr>
          <w:rFonts w:ascii="Arial" w:eastAsia="Times New Roman" w:hAnsi="Arial" w:cs="Arial"/>
          <w:sz w:val="24"/>
          <w:szCs w:val="24"/>
          <w:lang w:val="en-ZA"/>
        </w:rPr>
        <w:t xml:space="preserve"> </w:t>
      </w:r>
      <w:r w:rsidRPr="008E299E">
        <w:rPr>
          <w:rFonts w:ascii="Arial" w:eastAsia="Times New Roman" w:hAnsi="Arial" w:cs="Arial"/>
          <w:sz w:val="24"/>
          <w:szCs w:val="24"/>
          <w:lang w:val="en-ZA"/>
        </w:rPr>
        <w:t>SASAC was the parent of the owner</w:t>
      </w:r>
      <w:r w:rsidR="00FC2A29" w:rsidRPr="008E299E">
        <w:rPr>
          <w:rFonts w:ascii="Arial" w:eastAsia="Times New Roman" w:hAnsi="Arial" w:cs="Arial"/>
          <w:sz w:val="24"/>
          <w:szCs w:val="24"/>
          <w:lang w:val="en-ZA"/>
        </w:rPr>
        <w:t>s</w:t>
      </w:r>
      <w:r w:rsidRPr="008E299E">
        <w:rPr>
          <w:rFonts w:ascii="Arial" w:eastAsia="Times New Roman" w:hAnsi="Arial" w:cs="Arial"/>
          <w:sz w:val="24"/>
          <w:szCs w:val="24"/>
          <w:lang w:val="en-ZA"/>
        </w:rPr>
        <w:t xml:space="preserve"> of </w:t>
      </w:r>
      <w:r w:rsidR="00FC2A29" w:rsidRPr="008E299E">
        <w:rPr>
          <w:rFonts w:ascii="Arial" w:eastAsia="Times New Roman" w:hAnsi="Arial" w:cs="Arial"/>
          <w:sz w:val="24"/>
          <w:szCs w:val="24"/>
          <w:lang w:val="en-ZA"/>
        </w:rPr>
        <w:t xml:space="preserve">both </w:t>
      </w:r>
      <w:r w:rsidRPr="008E299E">
        <w:rPr>
          <w:rFonts w:ascii="Arial" w:eastAsia="Times New Roman" w:hAnsi="Arial" w:cs="Arial"/>
          <w:sz w:val="24"/>
          <w:szCs w:val="24"/>
          <w:lang w:val="en-ZA"/>
        </w:rPr>
        <w:t>the defendant and Tonkolili</w:t>
      </w:r>
      <w:r w:rsidR="00CE68D9" w:rsidRPr="00CE68D9">
        <w:rPr>
          <w:rFonts w:ascii="Arial" w:eastAsia="Times New Roman" w:hAnsi="Arial" w:cs="Arial"/>
          <w:sz w:val="24"/>
          <w:szCs w:val="24"/>
          <w:lang w:val="en-ZA"/>
        </w:rPr>
        <w:t xml:space="preserve"> </w:t>
      </w:r>
      <w:r w:rsidR="00CE68D9">
        <w:rPr>
          <w:rFonts w:ascii="Arial" w:eastAsia="Times New Roman" w:hAnsi="Arial" w:cs="Arial"/>
          <w:sz w:val="24"/>
          <w:szCs w:val="24"/>
          <w:lang w:val="en-ZA"/>
        </w:rPr>
        <w:t>as the deemed owner</w:t>
      </w:r>
      <w:r w:rsidR="00CE68D9" w:rsidRPr="00CE68D9">
        <w:rPr>
          <w:rFonts w:ascii="Arial" w:eastAsia="Times New Roman" w:hAnsi="Arial" w:cs="Arial"/>
          <w:sz w:val="24"/>
          <w:szCs w:val="24"/>
          <w:lang w:val="en-ZA"/>
        </w:rPr>
        <w:t xml:space="preserve"> </w:t>
      </w:r>
      <w:r w:rsidR="00CE68D9">
        <w:rPr>
          <w:rFonts w:ascii="Arial" w:eastAsia="Times New Roman" w:hAnsi="Arial" w:cs="Arial"/>
          <w:sz w:val="24"/>
          <w:szCs w:val="24"/>
          <w:lang w:val="en-ZA"/>
        </w:rPr>
        <w:t xml:space="preserve">of the </w:t>
      </w:r>
      <w:r w:rsidR="00CE68D9" w:rsidRPr="008E299E">
        <w:rPr>
          <w:rFonts w:ascii="Arial" w:eastAsia="Times New Roman" w:hAnsi="Arial" w:cs="Arial"/>
          <w:sz w:val="24"/>
          <w:szCs w:val="24"/>
          <w:lang w:val="en-ZA"/>
        </w:rPr>
        <w:t xml:space="preserve">mv </w:t>
      </w:r>
      <w:r w:rsidR="00CE68D9" w:rsidRPr="00533F73">
        <w:rPr>
          <w:rFonts w:ascii="Arial" w:eastAsia="Times New Roman" w:hAnsi="Arial" w:cs="Arial"/>
          <w:i/>
          <w:sz w:val="24"/>
          <w:szCs w:val="24"/>
          <w:lang w:val="en-ZA"/>
        </w:rPr>
        <w:t xml:space="preserve">Zhong Teng </w:t>
      </w:r>
      <w:r w:rsidR="00CE68D9" w:rsidRPr="006B5148">
        <w:rPr>
          <w:rFonts w:ascii="Arial" w:eastAsia="Times New Roman" w:hAnsi="Arial" w:cs="Arial"/>
          <w:i/>
          <w:sz w:val="24"/>
          <w:szCs w:val="24"/>
          <w:lang w:val="en-ZA"/>
        </w:rPr>
        <w:t>Hai</w:t>
      </w:r>
      <w:r w:rsidRPr="008E299E">
        <w:rPr>
          <w:rFonts w:ascii="Arial" w:eastAsia="Times New Roman" w:hAnsi="Arial" w:cs="Arial"/>
          <w:sz w:val="24"/>
          <w:szCs w:val="24"/>
          <w:lang w:val="en-ZA"/>
        </w:rPr>
        <w:t xml:space="preserve">. </w:t>
      </w:r>
      <w:r w:rsidR="005523C4" w:rsidRPr="008E299E">
        <w:rPr>
          <w:rFonts w:ascii="Arial" w:eastAsia="Times New Roman" w:hAnsi="Arial" w:cs="Arial"/>
          <w:sz w:val="24"/>
          <w:szCs w:val="24"/>
          <w:lang w:val="en-ZA"/>
        </w:rPr>
        <w:t xml:space="preserve"> </w:t>
      </w:r>
      <w:r w:rsidR="00AD507C" w:rsidRPr="008E299E">
        <w:rPr>
          <w:rFonts w:ascii="Arial" w:eastAsia="Times New Roman" w:hAnsi="Arial" w:cs="Arial"/>
          <w:sz w:val="24"/>
          <w:szCs w:val="24"/>
          <w:lang w:val="en-ZA"/>
        </w:rPr>
        <w:t xml:space="preserve">Notwithstanding such common parentage, </w:t>
      </w:r>
      <w:r w:rsidR="00EE28A3" w:rsidRPr="008E299E">
        <w:rPr>
          <w:rFonts w:ascii="Arial" w:eastAsia="Times New Roman" w:hAnsi="Arial" w:cs="Arial"/>
          <w:sz w:val="24"/>
          <w:szCs w:val="24"/>
          <w:lang w:val="en-ZA"/>
        </w:rPr>
        <w:t xml:space="preserve">determining </w:t>
      </w:r>
      <w:r w:rsidR="00030A03">
        <w:rPr>
          <w:rFonts w:ascii="Arial" w:eastAsia="Times New Roman" w:hAnsi="Arial" w:cs="Arial"/>
          <w:sz w:val="24"/>
          <w:szCs w:val="24"/>
          <w:lang w:val="en-ZA"/>
        </w:rPr>
        <w:t xml:space="preserve">who </w:t>
      </w:r>
      <w:r w:rsidR="00AD507C" w:rsidRPr="008E299E">
        <w:rPr>
          <w:rFonts w:ascii="Arial" w:eastAsia="Times New Roman" w:hAnsi="Arial" w:cs="Arial"/>
          <w:sz w:val="24"/>
          <w:szCs w:val="24"/>
          <w:lang w:val="en-ZA"/>
        </w:rPr>
        <w:t>control</w:t>
      </w:r>
      <w:r w:rsidR="00030A03">
        <w:rPr>
          <w:rFonts w:ascii="Arial" w:eastAsia="Times New Roman" w:hAnsi="Arial" w:cs="Arial"/>
          <w:sz w:val="24"/>
          <w:szCs w:val="24"/>
          <w:lang w:val="en-ZA"/>
        </w:rPr>
        <w:t>s</w:t>
      </w:r>
      <w:r w:rsidR="00A77D9B" w:rsidRPr="008E299E">
        <w:rPr>
          <w:rFonts w:ascii="Arial" w:eastAsia="Times New Roman" w:hAnsi="Arial" w:cs="Arial"/>
          <w:sz w:val="24"/>
          <w:szCs w:val="24"/>
          <w:lang w:val="en-ZA"/>
        </w:rPr>
        <w:t xml:space="preserve"> of </w:t>
      </w:r>
      <w:r w:rsidR="00EE28A3" w:rsidRPr="008E299E">
        <w:rPr>
          <w:rFonts w:ascii="Arial" w:eastAsia="Times New Roman" w:hAnsi="Arial" w:cs="Arial"/>
          <w:sz w:val="24"/>
          <w:szCs w:val="24"/>
          <w:lang w:val="en-ZA"/>
        </w:rPr>
        <w:t xml:space="preserve">the fate and destiny </w:t>
      </w:r>
      <w:r w:rsidR="00A77D9B" w:rsidRPr="008E299E">
        <w:rPr>
          <w:rFonts w:ascii="Arial" w:eastAsia="Times New Roman" w:hAnsi="Arial" w:cs="Arial"/>
          <w:sz w:val="24"/>
          <w:szCs w:val="24"/>
          <w:lang w:val="en-ZA"/>
        </w:rPr>
        <w:t xml:space="preserve">of the defendant </w:t>
      </w:r>
      <w:r w:rsidR="00E0428C" w:rsidRPr="008E299E">
        <w:rPr>
          <w:rFonts w:ascii="Arial" w:eastAsia="Times New Roman" w:hAnsi="Arial" w:cs="Arial"/>
          <w:sz w:val="24"/>
          <w:szCs w:val="24"/>
          <w:lang w:val="en-ZA"/>
        </w:rPr>
        <w:t>involves</w:t>
      </w:r>
      <w:r w:rsidR="0098518E" w:rsidRPr="008E299E">
        <w:rPr>
          <w:rFonts w:ascii="Arial" w:eastAsia="Times New Roman" w:hAnsi="Arial" w:cs="Arial"/>
          <w:sz w:val="24"/>
          <w:szCs w:val="24"/>
          <w:lang w:val="en-GB"/>
        </w:rPr>
        <w:t xml:space="preserve"> </w:t>
      </w:r>
      <w:r w:rsidR="00A77D9B" w:rsidRPr="008E299E">
        <w:rPr>
          <w:rFonts w:ascii="Arial" w:eastAsia="Times New Roman" w:hAnsi="Arial" w:cs="Arial"/>
          <w:sz w:val="24"/>
          <w:szCs w:val="24"/>
          <w:lang w:val="en-ZA"/>
        </w:rPr>
        <w:t>interpret</w:t>
      </w:r>
      <w:r w:rsidR="0098518E" w:rsidRPr="008E299E">
        <w:rPr>
          <w:rFonts w:ascii="Arial" w:eastAsia="Times New Roman" w:hAnsi="Arial" w:cs="Arial"/>
          <w:sz w:val="24"/>
          <w:szCs w:val="24"/>
          <w:lang w:val="en-ZA"/>
        </w:rPr>
        <w:t>ing</w:t>
      </w:r>
      <w:r w:rsidR="00A77D9B" w:rsidRPr="008E299E">
        <w:rPr>
          <w:rFonts w:ascii="Arial" w:eastAsia="Times New Roman" w:hAnsi="Arial" w:cs="Arial"/>
          <w:sz w:val="24"/>
          <w:szCs w:val="24"/>
          <w:lang w:val="en-ZA"/>
        </w:rPr>
        <w:t xml:space="preserve"> and appl</w:t>
      </w:r>
      <w:r w:rsidR="0098518E" w:rsidRPr="008E299E">
        <w:rPr>
          <w:rFonts w:ascii="Arial" w:eastAsia="Times New Roman" w:hAnsi="Arial" w:cs="Arial"/>
          <w:sz w:val="24"/>
          <w:szCs w:val="24"/>
          <w:lang w:val="en-ZA"/>
        </w:rPr>
        <w:t>ying</w:t>
      </w:r>
      <w:r w:rsidR="00A77D9B" w:rsidRPr="008E299E">
        <w:rPr>
          <w:rFonts w:ascii="Arial" w:eastAsia="Times New Roman" w:hAnsi="Arial" w:cs="Arial"/>
          <w:sz w:val="24"/>
          <w:szCs w:val="24"/>
          <w:lang w:val="en-ZA"/>
        </w:rPr>
        <w:t xml:space="preserve"> of </w:t>
      </w:r>
      <w:r w:rsidR="002D27C7" w:rsidRPr="008E299E">
        <w:rPr>
          <w:rFonts w:ascii="Arial" w:eastAsia="Times New Roman" w:hAnsi="Arial" w:cs="Arial"/>
          <w:sz w:val="24"/>
          <w:szCs w:val="24"/>
          <w:lang w:val="en-GB"/>
        </w:rPr>
        <w:t xml:space="preserve">laws of the Peoples’ Republic of China.  </w:t>
      </w:r>
    </w:p>
    <w:p w:rsidR="00F92942" w:rsidRPr="00976FFD" w:rsidRDefault="00F92942" w:rsidP="00BF0D6B">
      <w:pPr>
        <w:spacing w:line="360" w:lineRule="auto"/>
        <w:rPr>
          <w:rFonts w:ascii="Arial" w:hAnsi="Arial" w:cs="Arial"/>
          <w:lang w:val="en-GB"/>
        </w:rPr>
      </w:pPr>
    </w:p>
    <w:p w:rsidR="00E35015" w:rsidRPr="008E299E" w:rsidRDefault="006F0FEA"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 xml:space="preserve">The plaintiff bears the onus of proving that at the time its claim arose, </w:t>
      </w:r>
      <w:r w:rsidR="002F5A29" w:rsidRPr="008E299E">
        <w:rPr>
          <w:rFonts w:ascii="Arial" w:eastAsia="Times New Roman" w:hAnsi="Arial" w:cs="Arial"/>
          <w:sz w:val="24"/>
          <w:szCs w:val="24"/>
          <w:lang w:val="en-ZA"/>
        </w:rPr>
        <w:t xml:space="preserve">the defendant was an associated ship of </w:t>
      </w:r>
      <w:r w:rsidR="006B5148" w:rsidRPr="008E299E">
        <w:rPr>
          <w:rFonts w:ascii="Arial" w:eastAsia="Times New Roman" w:hAnsi="Arial" w:cs="Arial"/>
          <w:sz w:val="24"/>
          <w:szCs w:val="24"/>
          <w:lang w:val="en-ZA"/>
        </w:rPr>
        <w:t xml:space="preserve">mv </w:t>
      </w:r>
      <w:r w:rsidR="006B5148" w:rsidRPr="00533F73">
        <w:rPr>
          <w:rFonts w:ascii="Arial" w:eastAsia="Times New Roman" w:hAnsi="Arial" w:cs="Arial"/>
          <w:i/>
          <w:sz w:val="24"/>
          <w:szCs w:val="24"/>
          <w:lang w:val="en-ZA"/>
        </w:rPr>
        <w:t xml:space="preserve">Zhong Teng </w:t>
      </w:r>
      <w:r w:rsidR="006B5148" w:rsidRPr="006B5148">
        <w:rPr>
          <w:rFonts w:ascii="Arial" w:eastAsia="Times New Roman" w:hAnsi="Arial" w:cs="Arial"/>
          <w:i/>
          <w:sz w:val="24"/>
          <w:szCs w:val="24"/>
          <w:lang w:val="en-ZA"/>
        </w:rPr>
        <w:t>Hai</w:t>
      </w:r>
      <w:r w:rsidR="006B5148">
        <w:rPr>
          <w:rFonts w:ascii="Arial" w:eastAsia="Times New Roman" w:hAnsi="Arial" w:cs="Arial"/>
          <w:sz w:val="24"/>
          <w:szCs w:val="24"/>
          <w:lang w:val="en-ZA"/>
        </w:rPr>
        <w:t>, in respect of whic</w:t>
      </w:r>
      <w:r w:rsidR="0088387C">
        <w:rPr>
          <w:rFonts w:ascii="Arial" w:eastAsia="Times New Roman" w:hAnsi="Arial" w:cs="Arial"/>
          <w:sz w:val="24"/>
          <w:szCs w:val="24"/>
          <w:lang w:val="en-ZA"/>
        </w:rPr>
        <w:t>h Tonkolili is the deemed owner</w:t>
      </w:r>
      <w:r w:rsidR="002F5A29" w:rsidRPr="008E299E">
        <w:rPr>
          <w:rFonts w:ascii="Arial" w:eastAsia="Times New Roman" w:hAnsi="Arial" w:cs="Arial"/>
          <w:sz w:val="24"/>
          <w:szCs w:val="24"/>
          <w:lang w:val="en-ZA"/>
        </w:rPr>
        <w:t xml:space="preserve">. This involves proving that </w:t>
      </w:r>
      <w:r w:rsidRPr="008E299E">
        <w:rPr>
          <w:rFonts w:ascii="Arial" w:eastAsia="Times New Roman" w:hAnsi="Arial" w:cs="Arial"/>
          <w:sz w:val="24"/>
          <w:szCs w:val="24"/>
          <w:lang w:val="en-ZA"/>
        </w:rPr>
        <w:t>SASAC had the power, directly or indirectly, to control Tonkolili</w:t>
      </w:r>
      <w:r w:rsidR="00E0428C" w:rsidRPr="008E299E">
        <w:rPr>
          <w:rFonts w:ascii="Arial" w:eastAsia="Times New Roman" w:hAnsi="Arial" w:cs="Arial"/>
          <w:sz w:val="24"/>
          <w:szCs w:val="24"/>
          <w:lang w:val="en-ZA"/>
        </w:rPr>
        <w:t xml:space="preserve"> </w:t>
      </w:r>
      <w:r w:rsidRPr="008E299E">
        <w:rPr>
          <w:rFonts w:ascii="Arial" w:eastAsia="Times New Roman" w:hAnsi="Arial" w:cs="Arial"/>
          <w:sz w:val="24"/>
          <w:szCs w:val="24"/>
          <w:lang w:val="en-ZA"/>
        </w:rPr>
        <w:t>in the sense of control</w:t>
      </w:r>
      <w:r w:rsidR="002F5A29" w:rsidRPr="008E299E">
        <w:rPr>
          <w:rFonts w:ascii="Arial" w:eastAsia="Times New Roman" w:hAnsi="Arial" w:cs="Arial"/>
          <w:sz w:val="24"/>
          <w:szCs w:val="24"/>
          <w:lang w:val="en-ZA"/>
        </w:rPr>
        <w:t>ling</w:t>
      </w:r>
      <w:r w:rsidRPr="008E299E">
        <w:rPr>
          <w:rFonts w:ascii="Arial" w:eastAsia="Times New Roman" w:hAnsi="Arial" w:cs="Arial"/>
          <w:sz w:val="24"/>
          <w:szCs w:val="24"/>
          <w:lang w:val="en-ZA"/>
        </w:rPr>
        <w:t xml:space="preserve"> its fate and destiny.  </w:t>
      </w:r>
    </w:p>
    <w:p w:rsidR="00E35015" w:rsidRPr="00976FFD" w:rsidRDefault="00E35015" w:rsidP="00BF0D6B">
      <w:pPr>
        <w:pStyle w:val="ListParagraph"/>
        <w:spacing w:after="0" w:line="360" w:lineRule="auto"/>
        <w:ind w:left="0"/>
        <w:rPr>
          <w:rFonts w:ascii="Arial" w:eastAsia="Times New Roman" w:hAnsi="Arial" w:cs="Arial"/>
          <w:sz w:val="24"/>
          <w:szCs w:val="24"/>
          <w:lang w:val="en-ZA"/>
        </w:rPr>
      </w:pPr>
    </w:p>
    <w:p w:rsidR="00BD447E" w:rsidRPr="008E299E" w:rsidRDefault="00E3501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T</w:t>
      </w:r>
      <w:r w:rsidR="007F78BC" w:rsidRPr="008E299E">
        <w:rPr>
          <w:rFonts w:ascii="Arial" w:eastAsia="Times New Roman" w:hAnsi="Arial" w:cs="Arial"/>
          <w:sz w:val="24"/>
          <w:szCs w:val="24"/>
          <w:lang w:val="en-ZA"/>
        </w:rPr>
        <w:t>he content of f</w:t>
      </w:r>
      <w:r w:rsidR="001F29CA" w:rsidRPr="008E299E">
        <w:rPr>
          <w:rFonts w:ascii="Arial" w:eastAsia="Times New Roman" w:hAnsi="Arial" w:cs="Arial"/>
          <w:sz w:val="24"/>
          <w:szCs w:val="24"/>
          <w:lang w:val="en-ZA"/>
        </w:rPr>
        <w:t>oreign law is a question of fact, which must be proved.</w:t>
      </w:r>
      <w:r w:rsidR="00DD0089" w:rsidRPr="00976FFD">
        <w:rPr>
          <w:rStyle w:val="FootnoteReference"/>
          <w:rFonts w:ascii="Arial" w:eastAsia="Times New Roman" w:hAnsi="Arial" w:cs="Arial"/>
          <w:sz w:val="24"/>
          <w:szCs w:val="24"/>
          <w:lang w:val="en-ZA"/>
        </w:rPr>
        <w:footnoteReference w:id="9"/>
      </w:r>
      <w:r w:rsidRPr="008E299E">
        <w:rPr>
          <w:rFonts w:ascii="Arial" w:eastAsia="Times New Roman" w:hAnsi="Arial" w:cs="Arial"/>
          <w:sz w:val="24"/>
          <w:szCs w:val="24"/>
          <w:lang w:val="en-ZA"/>
        </w:rPr>
        <w:t xml:space="preserve"> </w:t>
      </w:r>
      <w:r w:rsidR="001F29CA" w:rsidRPr="008E299E">
        <w:rPr>
          <w:rFonts w:ascii="Arial" w:eastAsia="Times New Roman" w:hAnsi="Arial" w:cs="Arial"/>
          <w:sz w:val="24"/>
          <w:szCs w:val="24"/>
          <w:lang w:val="en-ZA"/>
        </w:rPr>
        <w:t xml:space="preserve"> </w:t>
      </w:r>
      <w:r w:rsidR="00BD447E" w:rsidRPr="008E299E">
        <w:rPr>
          <w:rFonts w:ascii="Arial" w:eastAsia="Times New Roman" w:hAnsi="Arial" w:cs="Arial"/>
          <w:sz w:val="24"/>
          <w:szCs w:val="24"/>
          <w:lang w:val="en-ZA"/>
        </w:rPr>
        <w:t xml:space="preserve">A party who wishes to make out a case that the law of another country differs significantly from the law of South Africa must adduce evidence to that effect. </w:t>
      </w:r>
      <w:r w:rsidRPr="008E299E">
        <w:rPr>
          <w:rFonts w:ascii="Arial" w:eastAsia="Times New Roman" w:hAnsi="Arial" w:cs="Arial"/>
          <w:sz w:val="24"/>
          <w:szCs w:val="24"/>
          <w:lang w:val="en-ZA"/>
        </w:rPr>
        <w:t>Surmising</w:t>
      </w:r>
      <w:r w:rsidR="00BD447E" w:rsidRPr="008E299E">
        <w:rPr>
          <w:rFonts w:ascii="Arial" w:eastAsia="Times New Roman" w:hAnsi="Arial" w:cs="Arial"/>
          <w:sz w:val="24"/>
          <w:szCs w:val="24"/>
          <w:lang w:val="en-ZA"/>
        </w:rPr>
        <w:t xml:space="preserve"> </w:t>
      </w:r>
      <w:r w:rsidR="00030A03">
        <w:rPr>
          <w:rFonts w:ascii="Arial" w:eastAsia="Times New Roman" w:hAnsi="Arial" w:cs="Arial"/>
          <w:sz w:val="24"/>
          <w:szCs w:val="24"/>
          <w:lang w:val="en-ZA"/>
        </w:rPr>
        <w:t>w</w:t>
      </w:r>
      <w:r w:rsidR="00BD447E" w:rsidRPr="008E299E">
        <w:rPr>
          <w:rFonts w:ascii="Arial" w:eastAsia="Times New Roman" w:hAnsi="Arial" w:cs="Arial"/>
          <w:sz w:val="24"/>
          <w:szCs w:val="24"/>
          <w:lang w:val="en-ZA"/>
        </w:rPr>
        <w:t xml:space="preserve">hat the foreign law </w:t>
      </w:r>
      <w:r w:rsidR="00030A03">
        <w:rPr>
          <w:rFonts w:ascii="Arial" w:eastAsia="Times New Roman" w:hAnsi="Arial" w:cs="Arial"/>
          <w:sz w:val="24"/>
          <w:szCs w:val="24"/>
          <w:lang w:val="en-ZA"/>
        </w:rPr>
        <w:t xml:space="preserve">is and whether it </w:t>
      </w:r>
      <w:r w:rsidR="00BD447E" w:rsidRPr="008E299E">
        <w:rPr>
          <w:rFonts w:ascii="Arial" w:eastAsia="Times New Roman" w:hAnsi="Arial" w:cs="Arial"/>
          <w:sz w:val="24"/>
          <w:szCs w:val="24"/>
          <w:lang w:val="en-ZA"/>
        </w:rPr>
        <w:t>differs materially from that of South Africa</w:t>
      </w:r>
      <w:r w:rsidRPr="008E299E">
        <w:rPr>
          <w:rFonts w:ascii="Arial" w:eastAsia="Times New Roman" w:hAnsi="Arial" w:cs="Arial"/>
          <w:sz w:val="24"/>
          <w:szCs w:val="24"/>
          <w:lang w:val="en-ZA"/>
        </w:rPr>
        <w:t xml:space="preserve"> is impermissible</w:t>
      </w:r>
      <w:r w:rsidR="00BD447E" w:rsidRPr="008E299E">
        <w:rPr>
          <w:rFonts w:ascii="Arial" w:eastAsia="Times New Roman" w:hAnsi="Arial" w:cs="Arial"/>
          <w:sz w:val="24"/>
          <w:szCs w:val="24"/>
          <w:lang w:val="en-ZA"/>
        </w:rPr>
        <w:t>.</w:t>
      </w:r>
      <w:r w:rsidR="00BD447E" w:rsidRPr="00976FFD">
        <w:rPr>
          <w:rStyle w:val="FootnoteReference"/>
          <w:rFonts w:ascii="Arial" w:eastAsia="Times New Roman" w:hAnsi="Arial" w:cs="Arial"/>
          <w:sz w:val="24"/>
          <w:szCs w:val="24"/>
          <w:lang w:val="en-ZA"/>
        </w:rPr>
        <w:footnoteReference w:id="10"/>
      </w:r>
      <w:r w:rsidR="001F29CA" w:rsidRPr="008E299E">
        <w:rPr>
          <w:rFonts w:ascii="Arial" w:eastAsia="Times New Roman" w:hAnsi="Arial" w:cs="Arial"/>
          <w:sz w:val="24"/>
          <w:szCs w:val="24"/>
          <w:lang w:val="en-ZA"/>
        </w:rPr>
        <w:t xml:space="preserve"> </w:t>
      </w:r>
    </w:p>
    <w:p w:rsidR="00BD447E" w:rsidRPr="00976FFD" w:rsidRDefault="00BD447E" w:rsidP="00BF0D6B">
      <w:pPr>
        <w:spacing w:line="360" w:lineRule="auto"/>
        <w:rPr>
          <w:rFonts w:ascii="Arial" w:hAnsi="Arial" w:cs="Arial"/>
          <w:lang w:val="en-GB"/>
        </w:rPr>
      </w:pPr>
    </w:p>
    <w:p w:rsidR="001F29CA" w:rsidRPr="008E299E" w:rsidRDefault="003840F6"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Pr>
          <w:rFonts w:ascii="Arial" w:eastAsia="Times New Roman" w:hAnsi="Arial" w:cs="Arial"/>
          <w:sz w:val="24"/>
          <w:szCs w:val="24"/>
          <w:lang w:val="en-GB"/>
        </w:rPr>
        <w:t>The e</w:t>
      </w:r>
      <w:r w:rsidR="002D27C7" w:rsidRPr="008E299E">
        <w:rPr>
          <w:rFonts w:ascii="Arial" w:eastAsia="Times New Roman" w:hAnsi="Arial" w:cs="Arial"/>
          <w:sz w:val="24"/>
          <w:szCs w:val="24"/>
          <w:lang w:val="en-GB"/>
        </w:rPr>
        <w:t>xpert witnesses</w:t>
      </w:r>
      <w:r>
        <w:rPr>
          <w:rFonts w:ascii="Arial" w:eastAsia="Times New Roman" w:hAnsi="Arial" w:cs="Arial"/>
          <w:sz w:val="24"/>
          <w:szCs w:val="24"/>
          <w:lang w:val="en-GB"/>
        </w:rPr>
        <w:t xml:space="preserve">, </w:t>
      </w:r>
      <w:r w:rsidR="002D27C7" w:rsidRPr="008E299E">
        <w:rPr>
          <w:rFonts w:ascii="Arial" w:eastAsia="Times New Roman" w:hAnsi="Arial" w:cs="Arial"/>
          <w:sz w:val="24"/>
          <w:szCs w:val="24"/>
          <w:lang w:val="en-GB"/>
        </w:rPr>
        <w:t xml:space="preserve">Dr Li </w:t>
      </w:r>
      <w:r w:rsidR="004A32AE" w:rsidRPr="008E299E">
        <w:rPr>
          <w:rFonts w:ascii="Arial" w:eastAsia="Times New Roman" w:hAnsi="Arial" w:cs="Arial"/>
          <w:sz w:val="24"/>
          <w:szCs w:val="24"/>
          <w:lang w:val="en-GB"/>
        </w:rPr>
        <w:t xml:space="preserve">Zhaoliang </w:t>
      </w:r>
      <w:r w:rsidR="002D27C7" w:rsidRPr="008E299E">
        <w:rPr>
          <w:rFonts w:ascii="Arial" w:eastAsia="Times New Roman" w:hAnsi="Arial" w:cs="Arial"/>
          <w:sz w:val="24"/>
          <w:szCs w:val="24"/>
          <w:lang w:val="en-GB"/>
        </w:rPr>
        <w:t xml:space="preserve">for the plaintiff and Mr Peng </w:t>
      </w:r>
      <w:r w:rsidR="004A32AE" w:rsidRPr="008E299E">
        <w:rPr>
          <w:rFonts w:ascii="Arial" w:eastAsia="Times New Roman" w:hAnsi="Arial" w:cs="Arial"/>
          <w:sz w:val="24"/>
          <w:szCs w:val="24"/>
          <w:lang w:val="en-GB"/>
        </w:rPr>
        <w:t xml:space="preserve">Jun </w:t>
      </w:r>
      <w:r w:rsidR="002D27C7" w:rsidRPr="008E299E">
        <w:rPr>
          <w:rFonts w:ascii="Arial" w:eastAsia="Times New Roman" w:hAnsi="Arial" w:cs="Arial"/>
          <w:sz w:val="24"/>
          <w:szCs w:val="24"/>
          <w:lang w:val="en-GB"/>
        </w:rPr>
        <w:t>for the defendant</w:t>
      </w:r>
      <w:r>
        <w:rPr>
          <w:rFonts w:ascii="Arial" w:eastAsia="Times New Roman" w:hAnsi="Arial" w:cs="Arial"/>
          <w:sz w:val="24"/>
          <w:szCs w:val="24"/>
          <w:lang w:val="en-GB"/>
        </w:rPr>
        <w:t xml:space="preserve">, </w:t>
      </w:r>
      <w:r w:rsidR="002D27C7" w:rsidRPr="008E299E">
        <w:rPr>
          <w:rFonts w:ascii="Arial" w:eastAsia="Times New Roman" w:hAnsi="Arial" w:cs="Arial"/>
          <w:sz w:val="24"/>
          <w:szCs w:val="24"/>
          <w:lang w:val="en-GB"/>
        </w:rPr>
        <w:t>assisted the court by identifying the relevant laws, confirming the accuracy of the translations into English, preparing reports of their expert opinion</w:t>
      </w:r>
      <w:r w:rsidR="00A07A3B" w:rsidRPr="008E299E">
        <w:rPr>
          <w:rFonts w:ascii="Arial" w:eastAsia="Times New Roman" w:hAnsi="Arial" w:cs="Arial"/>
          <w:sz w:val="24"/>
          <w:szCs w:val="24"/>
          <w:lang w:val="en-GB"/>
        </w:rPr>
        <w:t>,</w:t>
      </w:r>
      <w:r w:rsidR="002D27C7" w:rsidRPr="008E299E">
        <w:rPr>
          <w:rFonts w:ascii="Arial" w:eastAsia="Times New Roman" w:hAnsi="Arial" w:cs="Arial"/>
          <w:sz w:val="24"/>
          <w:szCs w:val="24"/>
          <w:lang w:val="en-GB"/>
        </w:rPr>
        <w:t xml:space="preserve"> and </w:t>
      </w:r>
      <w:r w:rsidR="00DD0089" w:rsidRPr="008E299E">
        <w:rPr>
          <w:rFonts w:ascii="Arial" w:eastAsia="Times New Roman" w:hAnsi="Arial" w:cs="Arial"/>
          <w:sz w:val="24"/>
          <w:szCs w:val="24"/>
          <w:lang w:val="en-GB"/>
        </w:rPr>
        <w:t xml:space="preserve">submitting </w:t>
      </w:r>
      <w:r w:rsidR="002D27C7" w:rsidRPr="008E299E">
        <w:rPr>
          <w:rFonts w:ascii="Arial" w:eastAsia="Times New Roman" w:hAnsi="Arial" w:cs="Arial"/>
          <w:sz w:val="24"/>
          <w:szCs w:val="24"/>
          <w:lang w:val="en-GB"/>
        </w:rPr>
        <w:t xml:space="preserve">a joint minute of </w:t>
      </w:r>
      <w:r w:rsidR="00F92942" w:rsidRPr="008E299E">
        <w:rPr>
          <w:rFonts w:ascii="Arial" w:eastAsia="Times New Roman" w:hAnsi="Arial" w:cs="Arial"/>
          <w:sz w:val="24"/>
          <w:szCs w:val="24"/>
          <w:lang w:val="en-GB"/>
        </w:rPr>
        <w:t xml:space="preserve">their points of agreement and disagreement.  Whilst their expert opinions are relevant for contextualising the </w:t>
      </w:r>
      <w:r w:rsidR="007A61CF" w:rsidRPr="008E299E">
        <w:rPr>
          <w:rFonts w:ascii="Arial" w:eastAsia="Times New Roman" w:hAnsi="Arial" w:cs="Arial"/>
          <w:sz w:val="24"/>
          <w:szCs w:val="24"/>
          <w:lang w:val="en-GB"/>
        </w:rPr>
        <w:t xml:space="preserve">laws of the Peoples’ Republic of China, interpretation and application of the laws is the responsibility of the court.  </w:t>
      </w:r>
      <w:r w:rsidR="00DD0089" w:rsidRPr="008E299E">
        <w:rPr>
          <w:rFonts w:ascii="Arial" w:eastAsia="Times New Roman" w:hAnsi="Arial" w:cs="Arial"/>
          <w:sz w:val="24"/>
          <w:szCs w:val="24"/>
          <w:lang w:val="en-ZA"/>
        </w:rPr>
        <w:t xml:space="preserve">The </w:t>
      </w:r>
      <w:r w:rsidR="00A07A3B" w:rsidRPr="008E299E">
        <w:rPr>
          <w:rFonts w:ascii="Arial" w:eastAsia="Times New Roman" w:hAnsi="Arial" w:cs="Arial"/>
          <w:sz w:val="24"/>
          <w:szCs w:val="24"/>
          <w:lang w:val="en-ZA"/>
        </w:rPr>
        <w:t>c</w:t>
      </w:r>
      <w:r w:rsidR="00DD0089" w:rsidRPr="008E299E">
        <w:rPr>
          <w:rFonts w:ascii="Arial" w:eastAsia="Times New Roman" w:hAnsi="Arial" w:cs="Arial"/>
          <w:sz w:val="24"/>
          <w:szCs w:val="24"/>
          <w:lang w:val="en-ZA"/>
        </w:rPr>
        <w:t>ourt is not bound to accept the view of the experts and may accept the testimony of one expert against another if they are at odds.</w:t>
      </w:r>
      <w:r w:rsidR="004A32AE" w:rsidRPr="00976FFD">
        <w:rPr>
          <w:rStyle w:val="FootnoteReference"/>
          <w:rFonts w:ascii="Arial" w:eastAsia="Times New Roman" w:hAnsi="Arial" w:cs="Arial"/>
          <w:sz w:val="24"/>
          <w:szCs w:val="24"/>
          <w:lang w:val="en-ZA"/>
        </w:rPr>
        <w:footnoteReference w:id="11"/>
      </w:r>
      <w:r w:rsidR="00DD0089" w:rsidRPr="008E299E">
        <w:rPr>
          <w:rFonts w:ascii="Arial" w:eastAsia="Times New Roman" w:hAnsi="Arial" w:cs="Arial"/>
          <w:sz w:val="24"/>
          <w:szCs w:val="24"/>
          <w:lang w:val="en-ZA"/>
        </w:rPr>
        <w:t xml:space="preserve"> </w:t>
      </w:r>
    </w:p>
    <w:p w:rsidR="001C2A40" w:rsidRPr="00976FFD" w:rsidRDefault="001C2A40" w:rsidP="00BF0D6B">
      <w:pPr>
        <w:spacing w:line="360" w:lineRule="auto"/>
        <w:rPr>
          <w:rFonts w:ascii="Arial" w:hAnsi="Arial" w:cs="Arial"/>
        </w:rPr>
      </w:pPr>
    </w:p>
    <w:p w:rsidR="00257BA7" w:rsidRPr="009D244C" w:rsidRDefault="009D7FC0"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For context, the recent political economic history of the Peoples’ Republic of China is helpful.  </w:t>
      </w:r>
      <w:r w:rsidR="00821016">
        <w:rPr>
          <w:rFonts w:ascii="Arial" w:eastAsia="Times New Roman" w:hAnsi="Arial" w:cs="Arial"/>
          <w:sz w:val="24"/>
          <w:szCs w:val="24"/>
          <w:lang w:val="en-GB"/>
        </w:rPr>
        <w:t>The t</w:t>
      </w:r>
      <w:r w:rsidR="0027748C" w:rsidRPr="008E299E">
        <w:rPr>
          <w:rFonts w:ascii="Arial" w:eastAsia="Times New Roman" w:hAnsi="Arial" w:cs="Arial"/>
          <w:sz w:val="24"/>
          <w:szCs w:val="24"/>
          <w:lang w:val="en-GB"/>
        </w:rPr>
        <w:t xml:space="preserve">ransition from </w:t>
      </w:r>
      <w:r w:rsidR="008916A6" w:rsidRPr="008E299E">
        <w:rPr>
          <w:rFonts w:ascii="Arial" w:eastAsia="Times New Roman" w:hAnsi="Arial" w:cs="Arial"/>
          <w:sz w:val="24"/>
          <w:szCs w:val="24"/>
          <w:lang w:val="en-GB"/>
        </w:rPr>
        <w:t>communism</w:t>
      </w:r>
      <w:r w:rsidR="00DE5C33" w:rsidRPr="008E299E">
        <w:rPr>
          <w:rFonts w:ascii="Arial" w:eastAsia="Times New Roman" w:hAnsi="Arial" w:cs="Arial"/>
          <w:sz w:val="24"/>
          <w:szCs w:val="24"/>
          <w:lang w:val="en-GB"/>
        </w:rPr>
        <w:t xml:space="preserve">, a system of political and economic control in which ownership of </w:t>
      </w:r>
      <w:r w:rsidRPr="008E299E">
        <w:rPr>
          <w:rFonts w:ascii="Arial" w:eastAsia="Times New Roman" w:hAnsi="Arial" w:cs="Arial"/>
          <w:sz w:val="24"/>
          <w:szCs w:val="24"/>
          <w:lang w:val="en-GB"/>
        </w:rPr>
        <w:t xml:space="preserve">the </w:t>
      </w:r>
      <w:r w:rsidR="00DE5C33" w:rsidRPr="008E299E">
        <w:rPr>
          <w:rFonts w:ascii="Arial" w:eastAsia="Times New Roman" w:hAnsi="Arial" w:cs="Arial"/>
          <w:sz w:val="24"/>
          <w:szCs w:val="24"/>
          <w:lang w:val="en-GB"/>
        </w:rPr>
        <w:t xml:space="preserve">major means of production vested in </w:t>
      </w:r>
      <w:r w:rsidR="00345820" w:rsidRPr="008E299E">
        <w:rPr>
          <w:rFonts w:ascii="Arial" w:eastAsia="Times New Roman" w:hAnsi="Arial" w:cs="Arial"/>
          <w:sz w:val="24"/>
          <w:szCs w:val="24"/>
          <w:lang w:val="en-GB"/>
        </w:rPr>
        <w:t xml:space="preserve">the </w:t>
      </w:r>
      <w:r w:rsidR="00257BA7">
        <w:rPr>
          <w:rFonts w:ascii="Arial" w:eastAsia="Times New Roman" w:hAnsi="Arial" w:cs="Arial"/>
          <w:sz w:val="24"/>
          <w:szCs w:val="24"/>
          <w:lang w:val="en-GB"/>
        </w:rPr>
        <w:t>S</w:t>
      </w:r>
      <w:r w:rsidR="00345820" w:rsidRPr="008E299E">
        <w:rPr>
          <w:rFonts w:ascii="Arial" w:eastAsia="Times New Roman" w:hAnsi="Arial" w:cs="Arial"/>
          <w:sz w:val="24"/>
          <w:szCs w:val="24"/>
          <w:lang w:val="en-GB"/>
        </w:rPr>
        <w:t xml:space="preserve">tate, </w:t>
      </w:r>
      <w:r w:rsidR="008916A6" w:rsidRPr="008E299E">
        <w:rPr>
          <w:rFonts w:ascii="Arial" w:eastAsia="Times New Roman" w:hAnsi="Arial" w:cs="Arial"/>
          <w:sz w:val="24"/>
          <w:szCs w:val="24"/>
          <w:lang w:val="en-GB"/>
        </w:rPr>
        <w:t xml:space="preserve">to a socialist market </w:t>
      </w:r>
      <w:r w:rsidR="00345820" w:rsidRPr="008E299E">
        <w:rPr>
          <w:rFonts w:ascii="Arial" w:eastAsia="Times New Roman" w:hAnsi="Arial" w:cs="Arial"/>
          <w:sz w:val="24"/>
          <w:szCs w:val="24"/>
          <w:lang w:val="en-GB"/>
        </w:rPr>
        <w:t>economy is foreshadowed in t</w:t>
      </w:r>
      <w:r w:rsidR="00C66182" w:rsidRPr="008E299E">
        <w:rPr>
          <w:rFonts w:ascii="Arial" w:eastAsia="Times New Roman" w:hAnsi="Arial" w:cs="Arial"/>
          <w:sz w:val="24"/>
          <w:szCs w:val="24"/>
          <w:lang w:val="en-GB"/>
        </w:rPr>
        <w:t>he Preamble to the Constitution of the Peoples’ Republic of China adopted on 4 December 1982</w:t>
      </w:r>
      <w:r w:rsidR="00536086" w:rsidRPr="008E299E">
        <w:rPr>
          <w:rFonts w:ascii="Arial" w:eastAsia="Times New Roman" w:hAnsi="Arial" w:cs="Arial"/>
          <w:sz w:val="24"/>
          <w:szCs w:val="24"/>
          <w:lang w:val="en-GB"/>
        </w:rPr>
        <w:t xml:space="preserve"> (</w:t>
      </w:r>
      <w:r w:rsidR="00257BA7">
        <w:rPr>
          <w:rFonts w:ascii="Arial" w:eastAsia="Times New Roman" w:hAnsi="Arial" w:cs="Arial"/>
          <w:sz w:val="24"/>
          <w:szCs w:val="24"/>
          <w:lang w:val="en-GB"/>
        </w:rPr>
        <w:t>‘</w:t>
      </w:r>
      <w:r w:rsidR="00536086" w:rsidRPr="008E299E">
        <w:rPr>
          <w:rFonts w:ascii="Arial" w:eastAsia="Times New Roman" w:hAnsi="Arial" w:cs="Arial"/>
          <w:sz w:val="24"/>
          <w:szCs w:val="24"/>
          <w:lang w:val="en-GB"/>
        </w:rPr>
        <w:t xml:space="preserve">the </w:t>
      </w:r>
      <w:r w:rsidR="00F71FCE">
        <w:rPr>
          <w:rFonts w:ascii="Arial" w:eastAsia="Times New Roman" w:hAnsi="Arial" w:cs="Arial"/>
          <w:sz w:val="24"/>
          <w:szCs w:val="24"/>
          <w:lang w:val="en-GB"/>
        </w:rPr>
        <w:t xml:space="preserve">PRC </w:t>
      </w:r>
      <w:r w:rsidR="00536086" w:rsidRPr="008E299E">
        <w:rPr>
          <w:rFonts w:ascii="Arial" w:eastAsia="Times New Roman" w:hAnsi="Arial" w:cs="Arial"/>
          <w:sz w:val="24"/>
          <w:szCs w:val="24"/>
          <w:lang w:val="en-GB"/>
        </w:rPr>
        <w:t>Constitution</w:t>
      </w:r>
      <w:r w:rsidR="00257BA7">
        <w:rPr>
          <w:rFonts w:ascii="Arial" w:eastAsia="Times New Roman" w:hAnsi="Arial" w:cs="Arial"/>
          <w:sz w:val="24"/>
          <w:szCs w:val="24"/>
          <w:lang w:val="en-GB"/>
        </w:rPr>
        <w:t>’</w:t>
      </w:r>
      <w:r w:rsidR="00536086" w:rsidRPr="008E299E">
        <w:rPr>
          <w:rFonts w:ascii="Arial" w:eastAsia="Times New Roman" w:hAnsi="Arial" w:cs="Arial"/>
          <w:sz w:val="24"/>
          <w:szCs w:val="24"/>
          <w:lang w:val="en-GB"/>
        </w:rPr>
        <w:t>)</w:t>
      </w:r>
      <w:r w:rsidR="00345820" w:rsidRPr="008E299E">
        <w:rPr>
          <w:rFonts w:ascii="Arial" w:eastAsia="Times New Roman" w:hAnsi="Arial" w:cs="Arial"/>
          <w:sz w:val="24"/>
          <w:szCs w:val="24"/>
          <w:lang w:val="en-GB"/>
        </w:rPr>
        <w:t>.  It</w:t>
      </w:r>
      <w:r w:rsidR="00C66182" w:rsidRPr="008E299E">
        <w:rPr>
          <w:rFonts w:ascii="Arial" w:eastAsia="Times New Roman" w:hAnsi="Arial" w:cs="Arial"/>
          <w:sz w:val="24"/>
          <w:szCs w:val="24"/>
          <w:lang w:val="en-GB"/>
        </w:rPr>
        <w:t xml:space="preserve"> records a commitment by the Chinese people</w:t>
      </w:r>
      <w:r w:rsidR="00257BA7">
        <w:rPr>
          <w:rFonts w:ascii="Arial" w:eastAsia="Times New Roman" w:hAnsi="Arial" w:cs="Arial"/>
          <w:sz w:val="24"/>
          <w:szCs w:val="24"/>
          <w:lang w:val="en-GB"/>
        </w:rPr>
        <w:t>:</w:t>
      </w:r>
    </w:p>
    <w:p w:rsidR="0027748C" w:rsidRPr="009D244C" w:rsidRDefault="00257BA7" w:rsidP="009D244C">
      <w:pPr>
        <w:pStyle w:val="ListParagraph"/>
        <w:tabs>
          <w:tab w:val="left" w:pos="0"/>
          <w:tab w:val="left" w:pos="567"/>
          <w:tab w:val="left" w:pos="990"/>
        </w:tabs>
        <w:spacing w:after="0" w:line="360" w:lineRule="auto"/>
        <w:ind w:left="0"/>
        <w:jc w:val="both"/>
        <w:rPr>
          <w:rFonts w:ascii="Arial" w:eastAsia="Times New Roman" w:hAnsi="Arial" w:cs="Arial"/>
          <w:szCs w:val="24"/>
          <w:lang w:val="en-ZA"/>
        </w:rPr>
      </w:pPr>
      <w:r w:rsidRPr="009D244C">
        <w:rPr>
          <w:rFonts w:ascii="Arial" w:eastAsia="Times New Roman" w:hAnsi="Arial" w:cs="Arial"/>
          <w:szCs w:val="24"/>
          <w:lang w:val="en-GB"/>
        </w:rPr>
        <w:t xml:space="preserve">‘. . .  </w:t>
      </w:r>
      <w:r w:rsidR="00C66182" w:rsidRPr="009D244C">
        <w:rPr>
          <w:rFonts w:ascii="Arial" w:eastAsia="Times New Roman" w:hAnsi="Arial" w:cs="Arial"/>
          <w:szCs w:val="24"/>
          <w:lang w:val="en-GB"/>
        </w:rPr>
        <w:t>to uphold the peoples’ democratic dictatorship, stay on the socialist road, carry out reform and opening up, steadily improve the socialist institutions, develop the socialist market economy and socialist democracy, improve socialist rule of law, apply the new development philosophy, and work hard in a spirit of self</w:t>
      </w:r>
      <w:r w:rsidR="0027748C" w:rsidRPr="009D244C">
        <w:rPr>
          <w:rFonts w:ascii="Arial" w:eastAsia="Times New Roman" w:hAnsi="Arial" w:cs="Arial"/>
          <w:szCs w:val="24"/>
          <w:lang w:val="en-GB"/>
        </w:rPr>
        <w:t>-</w:t>
      </w:r>
      <w:r w:rsidR="00C66182" w:rsidRPr="009D244C">
        <w:rPr>
          <w:rFonts w:ascii="Arial" w:eastAsia="Times New Roman" w:hAnsi="Arial" w:cs="Arial"/>
          <w:szCs w:val="24"/>
          <w:lang w:val="en-GB"/>
        </w:rPr>
        <w:t>reliance to modernise step by step the country's industry</w:t>
      </w:r>
      <w:r w:rsidR="0027748C" w:rsidRPr="009D244C">
        <w:rPr>
          <w:rFonts w:ascii="Arial" w:eastAsia="Times New Roman" w:hAnsi="Arial" w:cs="Arial"/>
          <w:szCs w:val="24"/>
          <w:lang w:val="en-GB"/>
        </w:rPr>
        <w:t xml:space="preserve">, </w:t>
      </w:r>
      <w:r>
        <w:rPr>
          <w:rFonts w:ascii="Arial" w:eastAsia="Times New Roman" w:hAnsi="Arial" w:cs="Arial"/>
          <w:szCs w:val="24"/>
          <w:lang w:val="en-GB"/>
        </w:rPr>
        <w:t xml:space="preserve">. . . </w:t>
      </w:r>
      <w:r w:rsidRPr="009D244C">
        <w:rPr>
          <w:rFonts w:ascii="Arial" w:eastAsia="Times New Roman" w:hAnsi="Arial" w:cs="Arial"/>
          <w:szCs w:val="24"/>
          <w:lang w:val="en-GB"/>
        </w:rPr>
        <w:t xml:space="preserve"> </w:t>
      </w:r>
      <w:r w:rsidR="00C66182" w:rsidRPr="009D244C">
        <w:rPr>
          <w:rFonts w:ascii="Arial" w:eastAsia="Times New Roman" w:hAnsi="Arial" w:cs="Arial"/>
          <w:szCs w:val="24"/>
          <w:lang w:val="en-GB"/>
        </w:rPr>
        <w:t>to build China into a modern socialist country</w:t>
      </w:r>
      <w:r>
        <w:rPr>
          <w:rFonts w:ascii="Arial" w:eastAsia="Times New Roman" w:hAnsi="Arial" w:cs="Arial"/>
          <w:szCs w:val="24"/>
          <w:lang w:val="en-GB"/>
        </w:rPr>
        <w:t xml:space="preserve">. . . </w:t>
      </w:r>
      <w:r w:rsidRPr="009D244C">
        <w:rPr>
          <w:rFonts w:ascii="Arial" w:eastAsia="Times New Roman" w:hAnsi="Arial" w:cs="Arial"/>
          <w:szCs w:val="24"/>
          <w:lang w:val="en-GB"/>
        </w:rPr>
        <w:t>’</w:t>
      </w:r>
      <w:r w:rsidR="00EC010A">
        <w:rPr>
          <w:rStyle w:val="FootnoteReference"/>
          <w:rFonts w:ascii="Arial" w:eastAsia="Times New Roman" w:hAnsi="Arial" w:cs="Arial"/>
          <w:szCs w:val="24"/>
          <w:lang w:val="en-GB"/>
        </w:rPr>
        <w:footnoteReference w:id="12"/>
      </w:r>
    </w:p>
    <w:p w:rsidR="0027748C" w:rsidRPr="00976FFD" w:rsidRDefault="0027748C" w:rsidP="00BF0D6B">
      <w:pPr>
        <w:spacing w:line="360" w:lineRule="auto"/>
        <w:rPr>
          <w:rFonts w:ascii="Arial" w:hAnsi="Arial" w:cs="Arial"/>
          <w:lang w:val="en-GB"/>
        </w:rPr>
      </w:pPr>
    </w:p>
    <w:p w:rsidR="00F75B52" w:rsidRPr="008E299E" w:rsidRDefault="001C2A40" w:rsidP="00455049">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Our courts have already had an opportunity to interpret and apply the </w:t>
      </w:r>
      <w:r w:rsidR="00F71FCE">
        <w:rPr>
          <w:rFonts w:ascii="Arial" w:eastAsia="Times New Roman" w:hAnsi="Arial" w:cs="Arial"/>
          <w:sz w:val="24"/>
          <w:szCs w:val="24"/>
          <w:lang w:val="en-GB"/>
        </w:rPr>
        <w:t xml:space="preserve">PRC </w:t>
      </w:r>
      <w:r w:rsidRPr="008E299E">
        <w:rPr>
          <w:rFonts w:ascii="Arial" w:eastAsia="Times New Roman" w:hAnsi="Arial" w:cs="Arial"/>
          <w:sz w:val="24"/>
          <w:szCs w:val="24"/>
          <w:lang w:val="en-GB"/>
        </w:rPr>
        <w:t xml:space="preserve">Constitution and </w:t>
      </w:r>
      <w:r w:rsidR="00554BD3">
        <w:rPr>
          <w:rFonts w:ascii="Arial" w:eastAsia="Times New Roman" w:hAnsi="Arial" w:cs="Arial"/>
          <w:sz w:val="24"/>
          <w:szCs w:val="24"/>
          <w:lang w:val="en-GB"/>
        </w:rPr>
        <w:t xml:space="preserve">some </w:t>
      </w:r>
      <w:r w:rsidRPr="008E299E">
        <w:rPr>
          <w:rFonts w:ascii="Arial" w:eastAsia="Times New Roman" w:hAnsi="Arial" w:cs="Arial"/>
          <w:sz w:val="24"/>
          <w:szCs w:val="24"/>
          <w:lang w:val="en-GB"/>
        </w:rPr>
        <w:t xml:space="preserve">statutes of the Peoples’ Republic of China in </w:t>
      </w:r>
      <w:r w:rsidR="00455049" w:rsidRPr="004E79B9">
        <w:rPr>
          <w:rFonts w:ascii="Arial" w:eastAsia="Times New Roman" w:hAnsi="Arial" w:cs="Arial"/>
          <w:i/>
          <w:sz w:val="24"/>
          <w:szCs w:val="24"/>
          <w:lang w:val="en-GB"/>
        </w:rPr>
        <w:t xml:space="preserve">International Marine Transport v MV "Le Cong" and Another </w:t>
      </w:r>
      <w:r w:rsidR="00455049" w:rsidRPr="00455049">
        <w:rPr>
          <w:rFonts w:ascii="Arial" w:eastAsia="Times New Roman" w:hAnsi="Arial" w:cs="Arial"/>
          <w:sz w:val="24"/>
          <w:szCs w:val="24"/>
          <w:lang w:val="en-GB"/>
        </w:rPr>
        <w:t>(‘</w:t>
      </w:r>
      <w:r w:rsidR="00455049" w:rsidRPr="004E79B9">
        <w:rPr>
          <w:rFonts w:ascii="Arial" w:eastAsia="Times New Roman" w:hAnsi="Arial" w:cs="Arial"/>
          <w:i/>
          <w:sz w:val="24"/>
          <w:szCs w:val="24"/>
          <w:lang w:val="en-GB"/>
        </w:rPr>
        <w:t>Le Cong</w:t>
      </w:r>
      <w:r w:rsidR="00455049" w:rsidRPr="00455049">
        <w:rPr>
          <w:rFonts w:ascii="Arial" w:eastAsia="Times New Roman" w:hAnsi="Arial" w:cs="Arial"/>
          <w:sz w:val="24"/>
          <w:szCs w:val="24"/>
          <w:lang w:val="en-GB"/>
        </w:rPr>
        <w:t>’)</w:t>
      </w:r>
      <w:r w:rsidRPr="008E299E">
        <w:rPr>
          <w:rFonts w:ascii="Arial" w:eastAsia="Times New Roman" w:hAnsi="Arial" w:cs="Arial"/>
          <w:i/>
          <w:iCs/>
          <w:sz w:val="24"/>
          <w:szCs w:val="24"/>
          <w:lang w:val="en-GB"/>
        </w:rPr>
        <w:t>.</w:t>
      </w:r>
      <w:r w:rsidR="00455049" w:rsidRPr="004E79B9">
        <w:rPr>
          <w:rStyle w:val="FootnoteReference"/>
          <w:rFonts w:ascii="Arial" w:eastAsia="Times New Roman" w:hAnsi="Arial" w:cs="Arial"/>
          <w:iCs/>
          <w:sz w:val="24"/>
          <w:szCs w:val="24"/>
          <w:lang w:val="en-GB"/>
        </w:rPr>
        <w:footnoteReference w:id="13"/>
      </w:r>
      <w:r w:rsidRPr="00C92D88">
        <w:rPr>
          <w:rFonts w:ascii="Arial" w:eastAsia="Times New Roman" w:hAnsi="Arial" w:cs="Arial"/>
          <w:sz w:val="24"/>
          <w:szCs w:val="24"/>
          <w:lang w:val="en-GB"/>
        </w:rPr>
        <w:t xml:space="preserve"> </w:t>
      </w:r>
      <w:r w:rsidRPr="008E299E">
        <w:rPr>
          <w:rFonts w:ascii="Arial" w:eastAsia="Times New Roman" w:hAnsi="Arial" w:cs="Arial"/>
          <w:sz w:val="24"/>
          <w:szCs w:val="24"/>
          <w:lang w:val="en-GB"/>
        </w:rPr>
        <w:t xml:space="preserve"> </w:t>
      </w:r>
      <w:r w:rsidR="00F3326A" w:rsidRPr="008E299E">
        <w:rPr>
          <w:rFonts w:ascii="Arial" w:eastAsia="Times New Roman" w:hAnsi="Arial" w:cs="Arial"/>
          <w:sz w:val="24"/>
          <w:szCs w:val="24"/>
          <w:lang w:val="en-ZA" w:eastAsia="en-GB"/>
        </w:rPr>
        <w:t xml:space="preserve">In </w:t>
      </w:r>
      <w:r w:rsidR="00F3326A" w:rsidRPr="008E299E">
        <w:rPr>
          <w:rFonts w:ascii="Arial" w:eastAsia="Times New Roman" w:hAnsi="Arial" w:cs="Arial"/>
          <w:i/>
          <w:iCs/>
          <w:sz w:val="24"/>
          <w:szCs w:val="24"/>
          <w:lang w:val="en-GB"/>
        </w:rPr>
        <w:t>Le Cong</w:t>
      </w:r>
      <w:r w:rsidR="00F3326A" w:rsidRPr="008E299E">
        <w:rPr>
          <w:rFonts w:ascii="Arial" w:eastAsia="Times New Roman" w:hAnsi="Arial" w:cs="Arial"/>
          <w:sz w:val="24"/>
          <w:szCs w:val="24"/>
          <w:lang w:val="en-GB"/>
        </w:rPr>
        <w:t xml:space="preserve"> both entities, </w:t>
      </w:r>
      <w:r w:rsidR="00F3326A" w:rsidRPr="008E299E">
        <w:rPr>
          <w:rFonts w:ascii="Arial" w:eastAsia="Times New Roman" w:hAnsi="Arial" w:cs="Arial"/>
          <w:sz w:val="24"/>
          <w:szCs w:val="24"/>
          <w:lang w:val="en-ZA" w:eastAsia="en-GB"/>
        </w:rPr>
        <w:t xml:space="preserve">Guangzhou and Shantou Sez, were </w:t>
      </w:r>
      <w:r w:rsidR="00130CA5">
        <w:rPr>
          <w:rFonts w:ascii="Arial" w:eastAsia="Times New Roman" w:hAnsi="Arial" w:cs="Arial"/>
          <w:sz w:val="24"/>
          <w:szCs w:val="24"/>
          <w:lang w:val="en-ZA" w:eastAsia="en-GB"/>
        </w:rPr>
        <w:t>S</w:t>
      </w:r>
      <w:r w:rsidR="00F3326A" w:rsidRPr="008E299E">
        <w:rPr>
          <w:rFonts w:ascii="Arial" w:eastAsia="Times New Roman" w:hAnsi="Arial" w:cs="Arial"/>
          <w:sz w:val="24"/>
          <w:szCs w:val="24"/>
          <w:lang w:val="en-ZA" w:eastAsia="en-GB"/>
        </w:rPr>
        <w:t>tate-owned enterprises.</w:t>
      </w:r>
      <w:r w:rsidR="008C17FE">
        <w:rPr>
          <w:rFonts w:ascii="Arial" w:eastAsia="Times New Roman" w:hAnsi="Arial" w:cs="Arial"/>
          <w:sz w:val="24"/>
          <w:szCs w:val="24"/>
          <w:lang w:val="en-ZA" w:eastAsia="en-GB"/>
        </w:rPr>
        <w:t xml:space="preserve"> </w:t>
      </w:r>
      <w:r w:rsidR="00F3326A" w:rsidRPr="008E299E">
        <w:rPr>
          <w:rFonts w:ascii="Arial" w:eastAsia="Times New Roman" w:hAnsi="Arial" w:cs="Arial"/>
          <w:sz w:val="24"/>
          <w:szCs w:val="24"/>
          <w:lang w:val="en-ZA" w:eastAsia="en-GB"/>
        </w:rPr>
        <w:t xml:space="preserve"> Guangzhou was the owner of the</w:t>
      </w:r>
      <w:r w:rsidR="00F71FCE">
        <w:rPr>
          <w:rFonts w:ascii="Arial" w:eastAsia="Times New Roman" w:hAnsi="Arial" w:cs="Arial"/>
          <w:sz w:val="24"/>
          <w:szCs w:val="24"/>
          <w:lang w:val="en-ZA" w:eastAsia="en-GB"/>
        </w:rPr>
        <w:t xml:space="preserve"> mv</w:t>
      </w:r>
      <w:r w:rsidR="00F3326A" w:rsidRPr="008E299E">
        <w:rPr>
          <w:rFonts w:ascii="Arial" w:eastAsia="Times New Roman" w:hAnsi="Arial" w:cs="Arial"/>
          <w:sz w:val="24"/>
          <w:szCs w:val="24"/>
          <w:lang w:val="en-ZA" w:eastAsia="en-GB"/>
        </w:rPr>
        <w:t xml:space="preserve"> </w:t>
      </w:r>
      <w:r w:rsidR="00F3326A" w:rsidRPr="00960269">
        <w:rPr>
          <w:rFonts w:ascii="Arial" w:eastAsia="Times New Roman" w:hAnsi="Arial" w:cs="Arial"/>
          <w:i/>
          <w:sz w:val="24"/>
          <w:szCs w:val="24"/>
          <w:lang w:val="en-ZA" w:eastAsia="en-GB"/>
        </w:rPr>
        <w:t>Le Cong</w:t>
      </w:r>
      <w:r w:rsidR="00F3326A" w:rsidRPr="008E299E">
        <w:rPr>
          <w:rFonts w:ascii="Arial" w:eastAsia="Times New Roman" w:hAnsi="Arial" w:cs="Arial"/>
          <w:sz w:val="24"/>
          <w:szCs w:val="24"/>
          <w:lang w:val="en-ZA" w:eastAsia="en-GB"/>
        </w:rPr>
        <w:t xml:space="preserve">, while Shantou Sez was deemed to be the owner of the </w:t>
      </w:r>
      <w:r w:rsidR="00F3326A" w:rsidRPr="00960269">
        <w:rPr>
          <w:rFonts w:ascii="Arial" w:eastAsia="Times New Roman" w:hAnsi="Arial" w:cs="Arial"/>
          <w:i/>
          <w:sz w:val="24"/>
          <w:szCs w:val="24"/>
          <w:lang w:val="en-ZA" w:eastAsia="en-GB"/>
        </w:rPr>
        <w:t>Gaz Progress</w:t>
      </w:r>
      <w:r w:rsidR="00F3326A" w:rsidRPr="008C17FE">
        <w:rPr>
          <w:rFonts w:ascii="Arial" w:eastAsia="Times New Roman" w:hAnsi="Arial" w:cs="Arial"/>
          <w:sz w:val="24"/>
          <w:szCs w:val="24"/>
          <w:lang w:val="en-ZA" w:eastAsia="en-GB"/>
        </w:rPr>
        <w:t>.</w:t>
      </w:r>
      <w:r w:rsidR="00620017" w:rsidRPr="008E299E">
        <w:rPr>
          <w:rFonts w:ascii="Arial" w:eastAsia="Times New Roman" w:hAnsi="Arial" w:cs="Arial"/>
          <w:sz w:val="24"/>
          <w:szCs w:val="24"/>
          <w:lang w:val="en-ZA" w:eastAsia="en-GB"/>
        </w:rPr>
        <w:t xml:space="preserve"> </w:t>
      </w:r>
      <w:r w:rsidR="00F3326A" w:rsidRPr="008E299E">
        <w:rPr>
          <w:rFonts w:ascii="Arial" w:eastAsia="Times New Roman" w:hAnsi="Arial" w:cs="Arial"/>
          <w:sz w:val="24"/>
          <w:szCs w:val="24"/>
          <w:lang w:val="en-ZA" w:eastAsia="en-GB"/>
        </w:rPr>
        <w:t xml:space="preserve"> In the absence of a commonality in ownership, establish</w:t>
      </w:r>
      <w:r w:rsidR="00620017" w:rsidRPr="008E299E">
        <w:rPr>
          <w:rFonts w:ascii="Arial" w:eastAsia="Times New Roman" w:hAnsi="Arial" w:cs="Arial"/>
          <w:sz w:val="24"/>
          <w:szCs w:val="24"/>
          <w:lang w:val="en-ZA" w:eastAsia="en-GB"/>
        </w:rPr>
        <w:t>ing</w:t>
      </w:r>
      <w:r w:rsidR="00F3326A" w:rsidRPr="008E299E">
        <w:rPr>
          <w:rFonts w:ascii="Arial" w:eastAsia="Times New Roman" w:hAnsi="Arial" w:cs="Arial"/>
          <w:sz w:val="24"/>
          <w:szCs w:val="24"/>
          <w:lang w:val="en-ZA" w:eastAsia="en-GB"/>
        </w:rPr>
        <w:t xml:space="preserve"> that the vessels were associated ships </w:t>
      </w:r>
      <w:r w:rsidR="00620017" w:rsidRPr="008E299E">
        <w:rPr>
          <w:rFonts w:ascii="Arial" w:eastAsia="Times New Roman" w:hAnsi="Arial" w:cs="Arial"/>
          <w:sz w:val="24"/>
          <w:szCs w:val="24"/>
          <w:lang w:val="en-ZA" w:eastAsia="en-GB"/>
        </w:rPr>
        <w:t xml:space="preserve">involved an </w:t>
      </w:r>
      <w:r w:rsidR="00F3326A" w:rsidRPr="008E299E">
        <w:rPr>
          <w:rFonts w:ascii="Arial" w:eastAsia="Times New Roman" w:hAnsi="Arial" w:cs="Arial"/>
          <w:sz w:val="24"/>
          <w:szCs w:val="24"/>
          <w:lang w:val="en-ZA" w:eastAsia="en-GB"/>
        </w:rPr>
        <w:t xml:space="preserve">enquiry </w:t>
      </w:r>
      <w:r w:rsidR="00A225F1" w:rsidRPr="008E299E">
        <w:rPr>
          <w:rFonts w:ascii="Arial" w:eastAsia="Times New Roman" w:hAnsi="Arial" w:cs="Arial"/>
          <w:sz w:val="24"/>
          <w:szCs w:val="24"/>
          <w:lang w:val="en-ZA" w:eastAsia="en-GB"/>
        </w:rPr>
        <w:t>t</w:t>
      </w:r>
      <w:r w:rsidR="000B1A2E" w:rsidRPr="008E299E">
        <w:rPr>
          <w:rFonts w:ascii="Arial" w:eastAsia="Times New Roman" w:hAnsi="Arial" w:cs="Arial"/>
          <w:sz w:val="24"/>
          <w:szCs w:val="24"/>
          <w:lang w:val="en-ZA" w:eastAsia="en-GB"/>
        </w:rPr>
        <w:t xml:space="preserve">o determine </w:t>
      </w:r>
      <w:r w:rsidR="00F3326A" w:rsidRPr="008E299E">
        <w:rPr>
          <w:rFonts w:ascii="Arial" w:eastAsia="Times New Roman" w:hAnsi="Arial" w:cs="Arial"/>
          <w:sz w:val="24"/>
          <w:szCs w:val="24"/>
          <w:lang w:val="en-ZA" w:eastAsia="en-GB"/>
        </w:rPr>
        <w:t xml:space="preserve">whether both </w:t>
      </w:r>
      <w:r w:rsidR="00F71FCE">
        <w:rPr>
          <w:rFonts w:ascii="Arial" w:eastAsia="Times New Roman" w:hAnsi="Arial" w:cs="Arial"/>
          <w:sz w:val="24"/>
          <w:szCs w:val="24"/>
          <w:lang w:val="en-ZA" w:eastAsia="en-GB"/>
        </w:rPr>
        <w:t>S</w:t>
      </w:r>
      <w:r w:rsidR="00F3326A" w:rsidRPr="008E299E">
        <w:rPr>
          <w:rFonts w:ascii="Arial" w:eastAsia="Times New Roman" w:hAnsi="Arial" w:cs="Arial"/>
          <w:sz w:val="24"/>
          <w:szCs w:val="24"/>
          <w:lang w:val="en-ZA" w:eastAsia="en-GB"/>
        </w:rPr>
        <w:t xml:space="preserve">tate-owned enterprises </w:t>
      </w:r>
      <w:r w:rsidR="000B1A2E" w:rsidRPr="008E299E">
        <w:rPr>
          <w:rFonts w:ascii="Arial" w:eastAsia="Times New Roman" w:hAnsi="Arial" w:cs="Arial"/>
          <w:sz w:val="24"/>
          <w:szCs w:val="24"/>
          <w:lang w:val="en-ZA" w:eastAsia="en-GB"/>
        </w:rPr>
        <w:t>we</w:t>
      </w:r>
      <w:r w:rsidR="00F3326A" w:rsidRPr="008E299E">
        <w:rPr>
          <w:rFonts w:ascii="Arial" w:eastAsia="Times New Roman" w:hAnsi="Arial" w:cs="Arial"/>
          <w:sz w:val="24"/>
          <w:szCs w:val="24"/>
          <w:lang w:val="en-ZA" w:eastAsia="en-GB"/>
        </w:rPr>
        <w:t xml:space="preserve">re controlled by the same person. </w:t>
      </w:r>
      <w:r w:rsidR="00AA4699" w:rsidRPr="008E299E">
        <w:rPr>
          <w:rFonts w:ascii="Arial" w:eastAsia="Times New Roman" w:hAnsi="Arial" w:cs="Arial"/>
          <w:sz w:val="24"/>
          <w:szCs w:val="24"/>
          <w:lang w:val="en-ZA" w:eastAsia="en-GB"/>
        </w:rPr>
        <w:t xml:space="preserve">Guangzhou and Shantou Sez were considered to be owned </w:t>
      </w:r>
      <w:r w:rsidR="00F71FCE">
        <w:rPr>
          <w:rFonts w:ascii="Arial" w:eastAsia="Times New Roman" w:hAnsi="Arial" w:cs="Arial"/>
          <w:sz w:val="24"/>
          <w:szCs w:val="24"/>
          <w:lang w:val="en-ZA" w:eastAsia="en-GB"/>
        </w:rPr>
        <w:t>‘</w:t>
      </w:r>
      <w:r w:rsidR="00AA4699" w:rsidRPr="008E299E">
        <w:rPr>
          <w:rFonts w:ascii="Arial" w:eastAsia="Times New Roman" w:hAnsi="Arial" w:cs="Arial"/>
          <w:sz w:val="24"/>
          <w:szCs w:val="24"/>
          <w:lang w:val="en-ZA" w:eastAsia="en-GB"/>
        </w:rPr>
        <w:t>by the whole people</w:t>
      </w:r>
      <w:r w:rsidR="00F71FCE">
        <w:rPr>
          <w:rFonts w:ascii="Arial" w:eastAsia="Times New Roman" w:hAnsi="Arial" w:cs="Arial"/>
          <w:sz w:val="24"/>
          <w:szCs w:val="24"/>
          <w:lang w:val="en-ZA" w:eastAsia="en-GB"/>
        </w:rPr>
        <w:t>’</w:t>
      </w:r>
      <w:r w:rsidR="00AA4699" w:rsidRPr="008E299E">
        <w:rPr>
          <w:rFonts w:ascii="Arial" w:eastAsia="Times New Roman" w:hAnsi="Arial" w:cs="Arial"/>
          <w:sz w:val="24"/>
          <w:szCs w:val="24"/>
          <w:lang w:val="en-ZA" w:eastAsia="en-GB"/>
        </w:rPr>
        <w:t>. However, Guangzhou was established and funded at the level of the central government; Shantou Sez was established and funded at municipal level</w:t>
      </w:r>
      <w:r w:rsidR="008C03C5" w:rsidRPr="008E299E">
        <w:rPr>
          <w:rFonts w:ascii="Arial" w:eastAsia="Times New Roman" w:hAnsi="Arial" w:cs="Arial"/>
          <w:sz w:val="24"/>
          <w:szCs w:val="24"/>
          <w:lang w:val="en-ZA" w:eastAsia="en-GB"/>
        </w:rPr>
        <w:t>. Consequently, the power to control vested at central and municipal levels of government for each entity respectively</w:t>
      </w:r>
      <w:r w:rsidR="00F71FCE">
        <w:rPr>
          <w:rFonts w:ascii="Arial" w:eastAsia="Times New Roman" w:hAnsi="Arial" w:cs="Arial"/>
          <w:sz w:val="24"/>
          <w:szCs w:val="24"/>
          <w:lang w:val="en-ZA" w:eastAsia="en-GB"/>
        </w:rPr>
        <w:t>, a</w:t>
      </w:r>
      <w:r w:rsidR="008C03C5" w:rsidRPr="008E299E">
        <w:rPr>
          <w:rFonts w:ascii="Arial" w:eastAsia="Times New Roman" w:hAnsi="Arial" w:cs="Arial"/>
          <w:sz w:val="24"/>
          <w:szCs w:val="24"/>
          <w:lang w:val="en-ZA" w:eastAsia="en-GB"/>
        </w:rPr>
        <w:t>nd the central government</w:t>
      </w:r>
      <w:r w:rsidR="00AA4699" w:rsidRPr="008E299E">
        <w:rPr>
          <w:rFonts w:ascii="Arial" w:eastAsia="Times New Roman" w:hAnsi="Arial" w:cs="Arial"/>
          <w:sz w:val="24"/>
          <w:szCs w:val="24"/>
          <w:lang w:val="en-ZA" w:eastAsia="en-GB"/>
        </w:rPr>
        <w:t xml:space="preserve"> </w:t>
      </w:r>
      <w:r w:rsidR="008C03C5" w:rsidRPr="008E299E">
        <w:rPr>
          <w:rFonts w:ascii="Arial" w:eastAsia="Times New Roman" w:hAnsi="Arial" w:cs="Arial"/>
          <w:sz w:val="24"/>
          <w:szCs w:val="24"/>
          <w:lang w:val="en-ZA" w:eastAsia="en-GB"/>
        </w:rPr>
        <w:t xml:space="preserve">was precluded from </w:t>
      </w:r>
      <w:r w:rsidR="00CC5A58" w:rsidRPr="008E299E">
        <w:rPr>
          <w:rFonts w:ascii="Arial" w:eastAsia="Times New Roman" w:hAnsi="Arial" w:cs="Arial"/>
          <w:sz w:val="24"/>
          <w:szCs w:val="24"/>
          <w:lang w:val="en-ZA" w:eastAsia="en-GB"/>
        </w:rPr>
        <w:t>controlling the municipality and its assets.</w:t>
      </w:r>
      <w:r w:rsidR="00CC5A58" w:rsidRPr="00976FFD">
        <w:rPr>
          <w:rStyle w:val="FootnoteReference"/>
          <w:rFonts w:ascii="Arial" w:eastAsia="Times New Roman" w:hAnsi="Arial" w:cs="Arial"/>
          <w:sz w:val="24"/>
          <w:szCs w:val="24"/>
          <w:lang w:val="en-ZA" w:eastAsia="en-GB"/>
        </w:rPr>
        <w:footnoteReference w:id="14"/>
      </w:r>
    </w:p>
    <w:p w:rsidR="00F75B52" w:rsidRPr="00976FFD" w:rsidRDefault="00F75B52" w:rsidP="00BF0D6B">
      <w:pPr>
        <w:spacing w:line="360" w:lineRule="auto"/>
        <w:rPr>
          <w:rFonts w:ascii="Arial" w:hAnsi="Arial" w:cs="Arial"/>
          <w:lang w:val="en-GB"/>
        </w:rPr>
      </w:pPr>
    </w:p>
    <w:p w:rsidR="00566D72" w:rsidRPr="008E299E" w:rsidRDefault="00DE0AF3"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I</w:t>
      </w:r>
      <w:r w:rsidR="00401B4C" w:rsidRPr="008E299E">
        <w:rPr>
          <w:rFonts w:ascii="Arial" w:hAnsi="Arial" w:cs="Arial"/>
          <w:sz w:val="24"/>
          <w:szCs w:val="24"/>
          <w:lang w:val="en-GB"/>
        </w:rPr>
        <w:t xml:space="preserve">n </w:t>
      </w:r>
      <w:r w:rsidR="00401B4C" w:rsidRPr="008E299E">
        <w:rPr>
          <w:rFonts w:ascii="Arial" w:hAnsi="Arial" w:cs="Arial"/>
          <w:i/>
          <w:iCs/>
          <w:sz w:val="24"/>
          <w:szCs w:val="24"/>
          <w:lang w:val="en-GB"/>
        </w:rPr>
        <w:t>Le Cong</w:t>
      </w:r>
      <w:r w:rsidR="00554BD3">
        <w:rPr>
          <w:rFonts w:ascii="Arial" w:hAnsi="Arial" w:cs="Arial"/>
          <w:sz w:val="24"/>
          <w:szCs w:val="24"/>
          <w:lang w:val="en-GB"/>
        </w:rPr>
        <w:t>,</w:t>
      </w:r>
      <w:r w:rsidR="00401B4C" w:rsidRPr="008E299E">
        <w:rPr>
          <w:rFonts w:ascii="Arial" w:hAnsi="Arial" w:cs="Arial"/>
          <w:sz w:val="24"/>
          <w:szCs w:val="24"/>
          <w:lang w:val="en-GB"/>
        </w:rPr>
        <w:t xml:space="preserve"> </w:t>
      </w:r>
      <w:r w:rsidRPr="008E299E">
        <w:rPr>
          <w:rFonts w:ascii="Arial" w:hAnsi="Arial" w:cs="Arial"/>
          <w:sz w:val="24"/>
          <w:szCs w:val="24"/>
          <w:lang w:val="en-GB"/>
        </w:rPr>
        <w:t xml:space="preserve">the court recognised </w:t>
      </w:r>
      <w:r w:rsidR="001C2A40" w:rsidRPr="008E299E">
        <w:rPr>
          <w:rFonts w:ascii="Arial" w:hAnsi="Arial" w:cs="Arial"/>
          <w:sz w:val="24"/>
          <w:szCs w:val="24"/>
          <w:lang w:val="en-GB"/>
        </w:rPr>
        <w:t xml:space="preserve">that the </w:t>
      </w:r>
      <w:r w:rsidR="00401B4C" w:rsidRPr="008E299E">
        <w:rPr>
          <w:rFonts w:ascii="Arial" w:hAnsi="Arial" w:cs="Arial"/>
          <w:sz w:val="24"/>
          <w:szCs w:val="24"/>
          <w:lang w:val="en-GB"/>
        </w:rPr>
        <w:t>P</w:t>
      </w:r>
      <w:r w:rsidR="001C2A40" w:rsidRPr="008E299E">
        <w:rPr>
          <w:rFonts w:ascii="Arial" w:hAnsi="Arial" w:cs="Arial"/>
          <w:sz w:val="24"/>
          <w:szCs w:val="24"/>
          <w:lang w:val="en-GB"/>
        </w:rPr>
        <w:t>eople</w:t>
      </w:r>
      <w:r w:rsidR="00401B4C" w:rsidRPr="008E299E">
        <w:rPr>
          <w:rFonts w:ascii="Arial" w:hAnsi="Arial" w:cs="Arial"/>
          <w:sz w:val="24"/>
          <w:szCs w:val="24"/>
          <w:lang w:val="en-GB"/>
        </w:rPr>
        <w:t>s’</w:t>
      </w:r>
      <w:r w:rsidR="001C2A40" w:rsidRPr="008E299E">
        <w:rPr>
          <w:rFonts w:ascii="Arial" w:hAnsi="Arial" w:cs="Arial"/>
          <w:sz w:val="24"/>
          <w:szCs w:val="24"/>
          <w:lang w:val="en-GB"/>
        </w:rPr>
        <w:t xml:space="preserve"> Republic of China </w:t>
      </w:r>
      <w:r w:rsidR="0020720D">
        <w:rPr>
          <w:rFonts w:ascii="Arial" w:hAnsi="Arial" w:cs="Arial"/>
          <w:sz w:val="24"/>
          <w:szCs w:val="24"/>
          <w:lang w:val="en-GB"/>
        </w:rPr>
        <w:t>‘</w:t>
      </w:r>
      <w:r w:rsidR="001C2A40" w:rsidRPr="008E299E">
        <w:rPr>
          <w:rFonts w:ascii="Arial" w:hAnsi="Arial" w:cs="Arial"/>
          <w:sz w:val="24"/>
          <w:szCs w:val="24"/>
          <w:lang w:val="en-GB"/>
        </w:rPr>
        <w:t>not only has a legal system different from ours but its constitutional and social structures are vastly different</w:t>
      </w:r>
      <w:r w:rsidR="00401B4C" w:rsidRPr="008E299E">
        <w:rPr>
          <w:rFonts w:ascii="Arial" w:hAnsi="Arial" w:cs="Arial"/>
          <w:sz w:val="24"/>
          <w:szCs w:val="24"/>
          <w:lang w:val="en-GB"/>
        </w:rPr>
        <w:t xml:space="preserve">, as is its political philosophy and culture, </w:t>
      </w:r>
      <w:r w:rsidR="00401B4C" w:rsidRPr="008E299E">
        <w:rPr>
          <w:rFonts w:ascii="Arial" w:hAnsi="Arial" w:cs="Arial"/>
          <w:sz w:val="24"/>
          <w:szCs w:val="24"/>
        </w:rPr>
        <w:t>and it is in this context that its laws must be interpreted.</w:t>
      </w:r>
      <w:r w:rsidR="0020720D">
        <w:rPr>
          <w:rFonts w:ascii="Arial" w:hAnsi="Arial" w:cs="Arial"/>
          <w:sz w:val="24"/>
          <w:szCs w:val="24"/>
        </w:rPr>
        <w:t>’</w:t>
      </w:r>
      <w:r w:rsidR="00401B4C" w:rsidRPr="00976FFD">
        <w:rPr>
          <w:rStyle w:val="FootnoteReference"/>
          <w:rFonts w:ascii="Arial" w:hAnsi="Arial" w:cs="Arial"/>
          <w:sz w:val="24"/>
          <w:szCs w:val="24"/>
        </w:rPr>
        <w:footnoteReference w:id="15"/>
      </w:r>
      <w:r w:rsidR="007422C6" w:rsidRPr="008E299E">
        <w:rPr>
          <w:rFonts w:ascii="Arial" w:hAnsi="Arial" w:cs="Arial"/>
          <w:sz w:val="24"/>
          <w:szCs w:val="24"/>
        </w:rPr>
        <w:t xml:space="preserve"> </w:t>
      </w:r>
      <w:r w:rsidR="00401B4C" w:rsidRPr="008E299E">
        <w:rPr>
          <w:rFonts w:ascii="Arial" w:hAnsi="Arial" w:cs="Arial"/>
          <w:sz w:val="24"/>
          <w:szCs w:val="24"/>
        </w:rPr>
        <w:t xml:space="preserve"> </w:t>
      </w:r>
      <w:r w:rsidR="00E423BF" w:rsidRPr="008E299E">
        <w:rPr>
          <w:rFonts w:ascii="Arial" w:hAnsi="Arial" w:cs="Arial"/>
          <w:sz w:val="24"/>
          <w:szCs w:val="24"/>
        </w:rPr>
        <w:t xml:space="preserve">Of particular significance is the </w:t>
      </w:r>
      <w:r w:rsidR="00160119">
        <w:rPr>
          <w:rFonts w:ascii="Arial" w:hAnsi="Arial" w:cs="Arial"/>
          <w:sz w:val="24"/>
          <w:szCs w:val="24"/>
        </w:rPr>
        <w:t>‘</w:t>
      </w:r>
      <w:r w:rsidR="00E423BF" w:rsidRPr="008E299E">
        <w:rPr>
          <w:rFonts w:ascii="Arial" w:hAnsi="Arial" w:cs="Arial"/>
          <w:sz w:val="24"/>
          <w:szCs w:val="24"/>
        </w:rPr>
        <w:t xml:space="preserve">division of functions and powers between the Central Government and the organs of </w:t>
      </w:r>
      <w:r w:rsidR="00130CA5">
        <w:rPr>
          <w:rFonts w:ascii="Arial" w:hAnsi="Arial" w:cs="Arial"/>
          <w:sz w:val="24"/>
          <w:szCs w:val="24"/>
        </w:rPr>
        <w:t>S</w:t>
      </w:r>
      <w:r w:rsidR="00E423BF" w:rsidRPr="008E299E">
        <w:rPr>
          <w:rFonts w:ascii="Arial" w:hAnsi="Arial" w:cs="Arial"/>
          <w:sz w:val="24"/>
          <w:szCs w:val="24"/>
        </w:rPr>
        <w:t>tate administration of provinces, autonomous regions, and municipalities directly under the Central government.</w:t>
      </w:r>
      <w:r w:rsidR="00160119">
        <w:rPr>
          <w:rFonts w:ascii="Arial" w:hAnsi="Arial" w:cs="Arial"/>
          <w:sz w:val="24"/>
          <w:szCs w:val="24"/>
        </w:rPr>
        <w:t>’</w:t>
      </w:r>
      <w:r w:rsidR="00E423BF" w:rsidRPr="00976FFD">
        <w:rPr>
          <w:rStyle w:val="FootnoteReference"/>
          <w:rFonts w:ascii="Arial" w:hAnsi="Arial" w:cs="Arial"/>
          <w:sz w:val="24"/>
          <w:szCs w:val="24"/>
        </w:rPr>
        <w:footnoteReference w:id="16"/>
      </w:r>
      <w:r w:rsidR="006D6370" w:rsidRPr="008E299E">
        <w:rPr>
          <w:rFonts w:ascii="Arial" w:hAnsi="Arial" w:cs="Arial"/>
          <w:sz w:val="24"/>
          <w:szCs w:val="24"/>
        </w:rPr>
        <w:t xml:space="preserve"> </w:t>
      </w:r>
      <w:r w:rsidR="00346333" w:rsidRPr="008E299E">
        <w:rPr>
          <w:rFonts w:ascii="Arial" w:hAnsi="Arial" w:cs="Arial"/>
          <w:sz w:val="24"/>
          <w:szCs w:val="24"/>
        </w:rPr>
        <w:t xml:space="preserve">This division of power was replicated in different ways in the </w:t>
      </w:r>
      <w:r w:rsidR="00160119">
        <w:rPr>
          <w:rFonts w:ascii="Arial" w:hAnsi="Arial" w:cs="Arial"/>
          <w:sz w:val="24"/>
          <w:szCs w:val="24"/>
        </w:rPr>
        <w:t xml:space="preserve">Chinese </w:t>
      </w:r>
      <w:r w:rsidR="00346333" w:rsidRPr="008E299E">
        <w:rPr>
          <w:rFonts w:ascii="Arial" w:hAnsi="Arial" w:cs="Arial"/>
          <w:sz w:val="24"/>
          <w:szCs w:val="24"/>
        </w:rPr>
        <w:t>Budget Law.</w:t>
      </w:r>
      <w:r w:rsidR="00F75B52" w:rsidRPr="008E299E">
        <w:rPr>
          <w:rFonts w:ascii="Arial" w:hAnsi="Arial" w:cs="Arial"/>
          <w:sz w:val="24"/>
          <w:szCs w:val="24"/>
        </w:rPr>
        <w:t xml:space="preserve">  Fortified by the provisions of the Budget Law, the court found that Guangzhou’s version of the law of the </w:t>
      </w:r>
      <w:r w:rsidR="00F75B52" w:rsidRPr="008E299E">
        <w:rPr>
          <w:rFonts w:ascii="Arial" w:eastAsia="Times New Roman" w:hAnsi="Arial" w:cs="Arial"/>
          <w:sz w:val="24"/>
          <w:szCs w:val="24"/>
          <w:lang w:val="en-ZA" w:eastAsia="en-GB"/>
        </w:rPr>
        <w:t>Peoples</w:t>
      </w:r>
      <w:r w:rsidR="003840F6">
        <w:rPr>
          <w:rFonts w:ascii="Arial" w:eastAsia="Times New Roman" w:hAnsi="Arial" w:cs="Arial"/>
          <w:sz w:val="24"/>
          <w:szCs w:val="24"/>
          <w:lang w:val="en-ZA" w:eastAsia="en-GB"/>
        </w:rPr>
        <w:t>’</w:t>
      </w:r>
      <w:r w:rsidR="00F75B52" w:rsidRPr="008E299E">
        <w:rPr>
          <w:rFonts w:ascii="Arial" w:eastAsia="Times New Roman" w:hAnsi="Arial" w:cs="Arial"/>
          <w:sz w:val="24"/>
          <w:szCs w:val="24"/>
          <w:lang w:val="en-ZA" w:eastAsia="en-GB"/>
        </w:rPr>
        <w:t xml:space="preserve"> Republic of China</w:t>
      </w:r>
      <w:r w:rsidR="00F75B52" w:rsidRPr="008E299E">
        <w:rPr>
          <w:rFonts w:ascii="Arial" w:hAnsi="Arial" w:cs="Arial"/>
          <w:sz w:val="24"/>
          <w:szCs w:val="24"/>
        </w:rPr>
        <w:t xml:space="preserve"> had to be accepted as correct</w:t>
      </w:r>
      <w:r w:rsidR="00A95AF2">
        <w:rPr>
          <w:rStyle w:val="FootnoteReference"/>
          <w:rFonts w:ascii="Arial" w:hAnsi="Arial" w:cs="Arial"/>
          <w:sz w:val="24"/>
          <w:szCs w:val="24"/>
        </w:rPr>
        <w:footnoteReference w:id="17"/>
      </w:r>
      <w:r w:rsidR="00F75B52" w:rsidRPr="008E299E">
        <w:rPr>
          <w:rFonts w:ascii="Arial" w:hAnsi="Arial" w:cs="Arial"/>
          <w:sz w:val="24"/>
          <w:szCs w:val="24"/>
        </w:rPr>
        <w:t xml:space="preserve"> on the application of the rule in </w:t>
      </w:r>
      <w:r w:rsidR="00023AA8" w:rsidRPr="005640AA">
        <w:rPr>
          <w:rFonts w:ascii="Arial" w:hAnsi="Arial" w:cs="Arial"/>
          <w:i/>
          <w:sz w:val="24"/>
          <w:szCs w:val="24"/>
        </w:rPr>
        <w:t>Plascon-Evans Paints Ltd v Van Riebeeck Paints (Pty) Ltd</w:t>
      </w:r>
      <w:r w:rsidR="00F75B52" w:rsidRPr="008E299E">
        <w:rPr>
          <w:rFonts w:ascii="Arial" w:hAnsi="Arial" w:cs="Arial"/>
          <w:sz w:val="24"/>
          <w:szCs w:val="24"/>
        </w:rPr>
        <w:t>.</w:t>
      </w:r>
      <w:r w:rsidR="00023AA8">
        <w:rPr>
          <w:rStyle w:val="FootnoteReference"/>
          <w:rFonts w:ascii="Arial" w:hAnsi="Arial" w:cs="Arial"/>
          <w:sz w:val="24"/>
          <w:szCs w:val="24"/>
        </w:rPr>
        <w:footnoteReference w:id="18"/>
      </w:r>
      <w:r w:rsidR="001C4F95" w:rsidRPr="008E299E">
        <w:rPr>
          <w:rFonts w:ascii="Arial" w:hAnsi="Arial" w:cs="Arial"/>
          <w:sz w:val="24"/>
          <w:szCs w:val="24"/>
        </w:rPr>
        <w:t xml:space="preserve">  </w:t>
      </w:r>
    </w:p>
    <w:p w:rsidR="00FB5499" w:rsidRPr="00976FFD" w:rsidRDefault="00FB5499" w:rsidP="00BF0D6B">
      <w:pPr>
        <w:pStyle w:val="ListParagraph"/>
        <w:spacing w:after="0" w:line="360" w:lineRule="auto"/>
        <w:ind w:left="0"/>
        <w:rPr>
          <w:rFonts w:ascii="Arial" w:eastAsia="Times New Roman" w:hAnsi="Arial" w:cs="Arial"/>
          <w:sz w:val="24"/>
          <w:szCs w:val="24"/>
          <w:lang w:val="en-ZA"/>
        </w:rPr>
      </w:pPr>
    </w:p>
    <w:p w:rsidR="00FB5499" w:rsidRPr="008E299E" w:rsidRDefault="00FB5499"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rPr>
        <w:t xml:space="preserve">Although </w:t>
      </w:r>
      <w:r w:rsidRPr="008E299E">
        <w:rPr>
          <w:rFonts w:ascii="Arial" w:hAnsi="Arial" w:cs="Arial"/>
          <w:i/>
          <w:iCs/>
          <w:sz w:val="24"/>
          <w:szCs w:val="24"/>
        </w:rPr>
        <w:t>Le Cong</w:t>
      </w:r>
      <w:r w:rsidRPr="008E299E">
        <w:rPr>
          <w:rFonts w:ascii="Arial" w:eastAsia="Times New Roman" w:hAnsi="Arial" w:cs="Arial"/>
          <w:sz w:val="24"/>
          <w:szCs w:val="24"/>
          <w:lang w:val="en-GB"/>
        </w:rPr>
        <w:t xml:space="preserve"> is distinguishable on the facts and the applicable law, it is a curtain raiser to </w:t>
      </w:r>
      <w:r>
        <w:rPr>
          <w:rFonts w:ascii="Arial" w:eastAsia="Times New Roman" w:hAnsi="Arial" w:cs="Arial"/>
          <w:sz w:val="24"/>
          <w:szCs w:val="24"/>
          <w:lang w:val="en-GB"/>
        </w:rPr>
        <w:t xml:space="preserve">an enquiry into </w:t>
      </w:r>
      <w:r w:rsidRPr="008E299E">
        <w:rPr>
          <w:rFonts w:ascii="Arial" w:eastAsia="Times New Roman" w:hAnsi="Arial" w:cs="Arial"/>
          <w:sz w:val="24"/>
          <w:szCs w:val="24"/>
          <w:lang w:val="en-GB"/>
        </w:rPr>
        <w:t xml:space="preserve">Maritime </w:t>
      </w:r>
      <w:r w:rsidRPr="008E299E">
        <w:rPr>
          <w:rFonts w:ascii="Arial" w:eastAsia="Times New Roman" w:hAnsi="Arial" w:cs="Arial"/>
          <w:sz w:val="24"/>
          <w:szCs w:val="24"/>
          <w:lang w:val="en-ZA" w:eastAsia="en-GB"/>
        </w:rPr>
        <w:t>Law in the Peoples</w:t>
      </w:r>
      <w:r w:rsidR="003840F6">
        <w:rPr>
          <w:rFonts w:ascii="Arial" w:eastAsia="Times New Roman" w:hAnsi="Arial" w:cs="Arial"/>
          <w:sz w:val="24"/>
          <w:szCs w:val="24"/>
          <w:lang w:val="en-ZA" w:eastAsia="en-GB"/>
        </w:rPr>
        <w:t>’</w:t>
      </w:r>
      <w:r w:rsidRPr="008E299E">
        <w:rPr>
          <w:rFonts w:ascii="Arial" w:eastAsia="Times New Roman" w:hAnsi="Arial" w:cs="Arial"/>
          <w:sz w:val="24"/>
          <w:szCs w:val="24"/>
          <w:lang w:val="en-ZA" w:eastAsia="en-GB"/>
        </w:rPr>
        <w:t xml:space="preserve"> Republic of China.  However, </w:t>
      </w:r>
      <w:r w:rsidRPr="008E299E">
        <w:rPr>
          <w:rFonts w:ascii="Arial" w:eastAsia="Times New Roman" w:hAnsi="Arial" w:cs="Arial"/>
          <w:sz w:val="24"/>
          <w:szCs w:val="24"/>
          <w:lang w:val="en-ZA"/>
        </w:rPr>
        <w:t xml:space="preserve">each claim of association must be determined on its own merits.  </w:t>
      </w:r>
    </w:p>
    <w:p w:rsidR="00566D72" w:rsidRPr="00976FFD" w:rsidRDefault="00566D72" w:rsidP="00BF0D6B">
      <w:pPr>
        <w:spacing w:line="360" w:lineRule="auto"/>
        <w:rPr>
          <w:rFonts w:ascii="Arial" w:hAnsi="Arial" w:cs="Arial"/>
        </w:rPr>
      </w:pPr>
    </w:p>
    <w:p w:rsidR="001E5C56" w:rsidRPr="008E299E" w:rsidRDefault="00FB5499"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Pr>
          <w:rFonts w:ascii="Arial" w:hAnsi="Arial" w:cs="Arial"/>
          <w:sz w:val="24"/>
          <w:szCs w:val="24"/>
        </w:rPr>
        <w:t>I</w:t>
      </w:r>
      <w:r w:rsidR="006D6370" w:rsidRPr="008E299E">
        <w:rPr>
          <w:rFonts w:ascii="Arial" w:hAnsi="Arial" w:cs="Arial"/>
          <w:sz w:val="24"/>
          <w:szCs w:val="24"/>
        </w:rPr>
        <w:t>t will become apparent in this case</w:t>
      </w:r>
      <w:r w:rsidR="00467102" w:rsidRPr="008E299E">
        <w:rPr>
          <w:rFonts w:ascii="Arial" w:hAnsi="Arial" w:cs="Arial"/>
          <w:sz w:val="24"/>
          <w:szCs w:val="24"/>
        </w:rPr>
        <w:t>,</w:t>
      </w:r>
      <w:r w:rsidR="006D6370" w:rsidRPr="008E299E">
        <w:rPr>
          <w:rFonts w:ascii="Arial" w:hAnsi="Arial" w:cs="Arial"/>
          <w:sz w:val="24"/>
          <w:szCs w:val="24"/>
        </w:rPr>
        <w:t xml:space="preserve"> as it was in </w:t>
      </w:r>
      <w:r w:rsidR="006D6370" w:rsidRPr="008E299E">
        <w:rPr>
          <w:rFonts w:ascii="Arial" w:hAnsi="Arial" w:cs="Arial"/>
          <w:i/>
          <w:iCs/>
          <w:sz w:val="24"/>
          <w:szCs w:val="24"/>
        </w:rPr>
        <w:t>Le Cong</w:t>
      </w:r>
      <w:r w:rsidR="00467102" w:rsidRPr="008E299E">
        <w:rPr>
          <w:rFonts w:ascii="Arial" w:hAnsi="Arial" w:cs="Arial"/>
          <w:sz w:val="24"/>
          <w:szCs w:val="24"/>
        </w:rPr>
        <w:t>,</w:t>
      </w:r>
      <w:r w:rsidR="006D6370" w:rsidRPr="008E299E">
        <w:rPr>
          <w:rFonts w:ascii="Arial" w:hAnsi="Arial" w:cs="Arial"/>
          <w:sz w:val="24"/>
          <w:szCs w:val="24"/>
        </w:rPr>
        <w:t xml:space="preserve"> that </w:t>
      </w:r>
      <w:r>
        <w:rPr>
          <w:rFonts w:ascii="Arial" w:hAnsi="Arial" w:cs="Arial"/>
          <w:sz w:val="24"/>
          <w:szCs w:val="24"/>
        </w:rPr>
        <w:t xml:space="preserve">a superficial </w:t>
      </w:r>
      <w:r w:rsidR="00712510" w:rsidRPr="008E299E">
        <w:rPr>
          <w:rFonts w:ascii="Arial" w:hAnsi="Arial" w:cs="Arial"/>
          <w:sz w:val="24"/>
          <w:szCs w:val="24"/>
        </w:rPr>
        <w:t xml:space="preserve">reading </w:t>
      </w:r>
      <w:r w:rsidR="006D6370" w:rsidRPr="008E299E">
        <w:rPr>
          <w:rFonts w:ascii="Arial" w:hAnsi="Arial" w:cs="Arial"/>
          <w:sz w:val="24"/>
          <w:szCs w:val="24"/>
        </w:rPr>
        <w:t xml:space="preserve">of the provisions </w:t>
      </w:r>
      <w:r w:rsidR="00712510" w:rsidRPr="008E299E">
        <w:rPr>
          <w:rFonts w:ascii="Arial" w:hAnsi="Arial" w:cs="Arial"/>
          <w:sz w:val="24"/>
          <w:szCs w:val="24"/>
        </w:rPr>
        <w:t>of the foreign law do</w:t>
      </w:r>
      <w:r w:rsidR="00913D36" w:rsidRPr="008E299E">
        <w:rPr>
          <w:rFonts w:ascii="Arial" w:hAnsi="Arial" w:cs="Arial"/>
          <w:sz w:val="24"/>
          <w:szCs w:val="24"/>
        </w:rPr>
        <w:t>es</w:t>
      </w:r>
      <w:r w:rsidR="00712510" w:rsidRPr="008E299E">
        <w:rPr>
          <w:rFonts w:ascii="Arial" w:hAnsi="Arial" w:cs="Arial"/>
          <w:sz w:val="24"/>
          <w:szCs w:val="24"/>
        </w:rPr>
        <w:t xml:space="preserve"> not </w:t>
      </w:r>
      <w:r w:rsidR="004A2B47" w:rsidRPr="008E299E">
        <w:rPr>
          <w:rFonts w:ascii="Arial" w:hAnsi="Arial" w:cs="Arial"/>
          <w:sz w:val="24"/>
          <w:szCs w:val="24"/>
        </w:rPr>
        <w:t>give</w:t>
      </w:r>
      <w:r w:rsidR="006D6370" w:rsidRPr="008E299E">
        <w:rPr>
          <w:rFonts w:ascii="Arial" w:hAnsi="Arial" w:cs="Arial"/>
          <w:sz w:val="24"/>
          <w:szCs w:val="24"/>
        </w:rPr>
        <w:t xml:space="preserve"> a decisive answer to the question</w:t>
      </w:r>
      <w:r w:rsidR="00E423BF" w:rsidRPr="008E299E">
        <w:rPr>
          <w:rFonts w:ascii="Arial" w:hAnsi="Arial" w:cs="Arial"/>
          <w:sz w:val="24"/>
          <w:szCs w:val="24"/>
        </w:rPr>
        <w:t xml:space="preserve"> </w:t>
      </w:r>
      <w:r w:rsidR="004A2B47" w:rsidRPr="008E299E">
        <w:rPr>
          <w:rFonts w:ascii="Arial" w:hAnsi="Arial" w:cs="Arial"/>
          <w:sz w:val="24"/>
          <w:szCs w:val="24"/>
        </w:rPr>
        <w:t xml:space="preserve">about </w:t>
      </w:r>
      <w:r w:rsidR="00467102" w:rsidRPr="008E299E">
        <w:rPr>
          <w:rFonts w:ascii="Arial" w:hAnsi="Arial" w:cs="Arial"/>
          <w:sz w:val="24"/>
          <w:szCs w:val="24"/>
        </w:rPr>
        <w:t xml:space="preserve">where </w:t>
      </w:r>
      <w:r w:rsidR="006D6370" w:rsidRPr="008E299E">
        <w:rPr>
          <w:rFonts w:ascii="Arial" w:eastAsia="Times New Roman" w:hAnsi="Arial" w:cs="Arial"/>
          <w:sz w:val="24"/>
          <w:szCs w:val="24"/>
          <w:lang w:val="en-ZA"/>
        </w:rPr>
        <w:t xml:space="preserve">the power </w:t>
      </w:r>
      <w:r w:rsidR="004A2B47" w:rsidRPr="008E299E">
        <w:rPr>
          <w:rFonts w:ascii="Arial" w:eastAsia="Times New Roman" w:hAnsi="Arial" w:cs="Arial"/>
          <w:sz w:val="24"/>
          <w:szCs w:val="24"/>
          <w:lang w:val="en-ZA"/>
        </w:rPr>
        <w:t>vest</w:t>
      </w:r>
      <w:r w:rsidR="00AA7DAF" w:rsidRPr="008E299E">
        <w:rPr>
          <w:rFonts w:ascii="Arial" w:eastAsia="Times New Roman" w:hAnsi="Arial" w:cs="Arial"/>
          <w:sz w:val="24"/>
          <w:szCs w:val="24"/>
          <w:lang w:val="en-ZA"/>
        </w:rPr>
        <w:t>s</w:t>
      </w:r>
      <w:r w:rsidR="004A2B47" w:rsidRPr="008E299E">
        <w:rPr>
          <w:rFonts w:ascii="Arial" w:eastAsia="Times New Roman" w:hAnsi="Arial" w:cs="Arial"/>
          <w:sz w:val="24"/>
          <w:szCs w:val="24"/>
          <w:lang w:val="en-ZA"/>
        </w:rPr>
        <w:t xml:space="preserve"> </w:t>
      </w:r>
      <w:r w:rsidR="006D6370" w:rsidRPr="008E299E">
        <w:rPr>
          <w:rFonts w:ascii="Arial" w:eastAsia="Times New Roman" w:hAnsi="Arial" w:cs="Arial"/>
          <w:sz w:val="24"/>
          <w:szCs w:val="24"/>
          <w:lang w:val="en-ZA"/>
        </w:rPr>
        <w:t>to control</w:t>
      </w:r>
      <w:r w:rsidR="00913D36" w:rsidRPr="008E299E">
        <w:rPr>
          <w:rFonts w:ascii="Arial" w:eastAsia="Times New Roman" w:hAnsi="Arial" w:cs="Arial"/>
          <w:sz w:val="24"/>
          <w:szCs w:val="24"/>
          <w:lang w:val="en-ZA"/>
        </w:rPr>
        <w:t xml:space="preserve"> the</w:t>
      </w:r>
      <w:r w:rsidR="006D6370" w:rsidRPr="008E299E">
        <w:rPr>
          <w:rFonts w:ascii="Arial" w:eastAsia="Times New Roman" w:hAnsi="Arial" w:cs="Arial"/>
          <w:sz w:val="24"/>
          <w:szCs w:val="24"/>
          <w:lang w:val="en-ZA"/>
        </w:rPr>
        <w:t xml:space="preserve"> </w:t>
      </w:r>
      <w:r w:rsidR="00913D36" w:rsidRPr="008E299E">
        <w:rPr>
          <w:rFonts w:ascii="Arial" w:eastAsia="Times New Roman" w:hAnsi="Arial" w:cs="Arial"/>
          <w:sz w:val="24"/>
          <w:szCs w:val="24"/>
          <w:lang w:val="en-ZA"/>
        </w:rPr>
        <w:t>fate</w:t>
      </w:r>
      <w:r w:rsidR="006D6370" w:rsidRPr="008E299E">
        <w:rPr>
          <w:rFonts w:ascii="Arial" w:eastAsia="Times New Roman" w:hAnsi="Arial" w:cs="Arial"/>
          <w:sz w:val="24"/>
          <w:szCs w:val="24"/>
          <w:lang w:val="en-ZA"/>
        </w:rPr>
        <w:t xml:space="preserve"> and destiny</w:t>
      </w:r>
      <w:r w:rsidR="00467102" w:rsidRPr="008E299E">
        <w:rPr>
          <w:rFonts w:ascii="Arial" w:eastAsia="Times New Roman" w:hAnsi="Arial" w:cs="Arial"/>
          <w:sz w:val="24"/>
          <w:szCs w:val="24"/>
          <w:lang w:val="en-ZA"/>
        </w:rPr>
        <w:t xml:space="preserve"> </w:t>
      </w:r>
      <w:r w:rsidR="00913D36" w:rsidRPr="008E299E">
        <w:rPr>
          <w:rFonts w:ascii="Arial" w:eastAsia="Times New Roman" w:hAnsi="Arial" w:cs="Arial"/>
          <w:sz w:val="24"/>
          <w:szCs w:val="24"/>
          <w:lang w:val="en-ZA"/>
        </w:rPr>
        <w:t xml:space="preserve">of </w:t>
      </w:r>
      <w:r w:rsidR="00AA7DAF" w:rsidRPr="008E299E">
        <w:rPr>
          <w:rFonts w:ascii="Arial" w:eastAsia="Times New Roman" w:hAnsi="Arial" w:cs="Arial"/>
          <w:sz w:val="24"/>
          <w:szCs w:val="24"/>
          <w:lang w:val="en-ZA"/>
        </w:rPr>
        <w:t>a</w:t>
      </w:r>
      <w:r w:rsidR="00913D36" w:rsidRPr="008E299E">
        <w:rPr>
          <w:rFonts w:ascii="Arial" w:eastAsia="Times New Roman" w:hAnsi="Arial" w:cs="Arial"/>
          <w:sz w:val="24"/>
          <w:szCs w:val="24"/>
          <w:lang w:val="en-ZA"/>
        </w:rPr>
        <w:t xml:space="preserve"> vessel</w:t>
      </w:r>
      <w:r w:rsidR="00467102" w:rsidRPr="008E299E">
        <w:rPr>
          <w:rFonts w:ascii="Arial" w:eastAsia="Times New Roman" w:hAnsi="Arial" w:cs="Arial"/>
          <w:sz w:val="24"/>
          <w:szCs w:val="24"/>
          <w:lang w:val="en-ZA"/>
        </w:rPr>
        <w:t>.</w:t>
      </w:r>
      <w:r w:rsidR="00F42C6C" w:rsidRPr="008E299E">
        <w:rPr>
          <w:rFonts w:ascii="Arial" w:eastAsia="Times New Roman" w:hAnsi="Arial" w:cs="Arial"/>
          <w:sz w:val="24"/>
          <w:szCs w:val="24"/>
          <w:lang w:val="en-ZA"/>
        </w:rPr>
        <w:t xml:space="preserve">  </w:t>
      </w:r>
      <w:r w:rsidR="00F93566">
        <w:rPr>
          <w:rFonts w:ascii="Arial" w:eastAsia="Times New Roman" w:hAnsi="Arial" w:cs="Arial"/>
          <w:sz w:val="24"/>
          <w:szCs w:val="24"/>
          <w:lang w:val="en-ZA"/>
        </w:rPr>
        <w:t>For instance, enabling or empowering provisions hedged by the duty to act within the law</w:t>
      </w:r>
      <w:r w:rsidR="00787295">
        <w:rPr>
          <w:rFonts w:ascii="Arial" w:eastAsia="Times New Roman" w:hAnsi="Arial" w:cs="Arial"/>
          <w:sz w:val="24"/>
          <w:szCs w:val="24"/>
          <w:lang w:val="en-ZA"/>
        </w:rPr>
        <w:t xml:space="preserve"> requires recognition of both forces at play</w:t>
      </w:r>
      <w:r w:rsidR="00F93566">
        <w:rPr>
          <w:rFonts w:ascii="Arial" w:eastAsia="Times New Roman" w:hAnsi="Arial" w:cs="Arial"/>
          <w:sz w:val="24"/>
          <w:szCs w:val="24"/>
          <w:lang w:val="en-ZA"/>
        </w:rPr>
        <w:t xml:space="preserve">.  </w:t>
      </w:r>
      <w:r w:rsidR="00891E58">
        <w:rPr>
          <w:rFonts w:ascii="Arial" w:eastAsia="Times New Roman" w:hAnsi="Arial" w:cs="Arial"/>
          <w:sz w:val="24"/>
          <w:szCs w:val="24"/>
          <w:lang w:val="en-ZA"/>
        </w:rPr>
        <w:t xml:space="preserve">It is not enough to establish what the law permits but also what it prohibits and enforces.  </w:t>
      </w:r>
      <w:r w:rsidR="00F42C6C" w:rsidRPr="008E299E">
        <w:rPr>
          <w:rFonts w:ascii="Arial" w:eastAsia="Times New Roman" w:hAnsi="Arial" w:cs="Arial"/>
          <w:sz w:val="24"/>
          <w:szCs w:val="24"/>
          <w:lang w:val="en-ZA"/>
        </w:rPr>
        <w:t xml:space="preserve">A deeper probe is </w:t>
      </w:r>
      <w:r w:rsidR="00712510" w:rsidRPr="008E299E">
        <w:rPr>
          <w:rFonts w:ascii="Arial" w:eastAsia="Times New Roman" w:hAnsi="Arial" w:cs="Arial"/>
          <w:sz w:val="24"/>
          <w:szCs w:val="24"/>
          <w:lang w:val="en-ZA"/>
        </w:rPr>
        <w:t xml:space="preserve">necessary </w:t>
      </w:r>
      <w:r w:rsidR="00F42C6C" w:rsidRPr="008E299E">
        <w:rPr>
          <w:rFonts w:ascii="Arial" w:eastAsia="Times New Roman" w:hAnsi="Arial" w:cs="Arial"/>
          <w:sz w:val="24"/>
          <w:szCs w:val="24"/>
          <w:lang w:val="en-ZA"/>
        </w:rPr>
        <w:t xml:space="preserve">to determine whether the </w:t>
      </w:r>
      <w:r w:rsidR="00536086" w:rsidRPr="008E299E">
        <w:rPr>
          <w:rFonts w:ascii="Arial" w:eastAsia="Times New Roman" w:hAnsi="Arial" w:cs="Arial"/>
          <w:sz w:val="24"/>
          <w:szCs w:val="24"/>
          <w:lang w:val="en-ZA"/>
        </w:rPr>
        <w:t xml:space="preserve">reform foreshadowed in the </w:t>
      </w:r>
      <w:r w:rsidR="000A6573">
        <w:rPr>
          <w:rFonts w:ascii="Arial" w:eastAsia="Times New Roman" w:hAnsi="Arial" w:cs="Arial"/>
          <w:sz w:val="24"/>
          <w:szCs w:val="24"/>
          <w:lang w:val="en-ZA"/>
        </w:rPr>
        <w:t xml:space="preserve">PRC </w:t>
      </w:r>
      <w:r w:rsidR="00536086" w:rsidRPr="008E299E">
        <w:rPr>
          <w:rFonts w:ascii="Arial" w:eastAsia="Times New Roman" w:hAnsi="Arial" w:cs="Arial"/>
          <w:sz w:val="24"/>
          <w:szCs w:val="24"/>
          <w:lang w:val="en-GB"/>
        </w:rPr>
        <w:t>Constitution</w:t>
      </w:r>
      <w:r w:rsidR="00536086" w:rsidRPr="008E299E">
        <w:rPr>
          <w:rFonts w:ascii="Arial" w:eastAsia="Times New Roman" w:hAnsi="Arial" w:cs="Arial"/>
          <w:sz w:val="24"/>
          <w:szCs w:val="24"/>
          <w:lang w:val="en-ZA"/>
        </w:rPr>
        <w:t xml:space="preserve"> ha</w:t>
      </w:r>
      <w:r w:rsidR="00D534BC">
        <w:rPr>
          <w:rFonts w:ascii="Arial" w:eastAsia="Times New Roman" w:hAnsi="Arial" w:cs="Arial"/>
          <w:sz w:val="24"/>
          <w:szCs w:val="24"/>
          <w:lang w:val="en-ZA"/>
        </w:rPr>
        <w:t>s</w:t>
      </w:r>
      <w:r w:rsidR="00536086" w:rsidRPr="008E299E">
        <w:rPr>
          <w:rFonts w:ascii="Arial" w:eastAsia="Times New Roman" w:hAnsi="Arial" w:cs="Arial"/>
          <w:sz w:val="24"/>
          <w:szCs w:val="24"/>
          <w:lang w:val="en-ZA"/>
        </w:rPr>
        <w:t xml:space="preserve"> </w:t>
      </w:r>
      <w:r w:rsidR="00AC64E2" w:rsidRPr="008E299E">
        <w:rPr>
          <w:rFonts w:ascii="Arial" w:eastAsia="Times New Roman" w:hAnsi="Arial" w:cs="Arial"/>
          <w:sz w:val="24"/>
          <w:szCs w:val="24"/>
          <w:lang w:val="en-ZA"/>
        </w:rPr>
        <w:t xml:space="preserve">not only </w:t>
      </w:r>
      <w:r w:rsidR="00536086" w:rsidRPr="008E299E">
        <w:rPr>
          <w:rFonts w:ascii="Arial" w:eastAsia="Times New Roman" w:hAnsi="Arial" w:cs="Arial"/>
          <w:sz w:val="24"/>
          <w:szCs w:val="24"/>
          <w:lang w:val="en-ZA"/>
        </w:rPr>
        <w:t xml:space="preserve">reached the </w:t>
      </w:r>
      <w:r w:rsidR="00F42C6C" w:rsidRPr="008E299E">
        <w:rPr>
          <w:rFonts w:ascii="Arial" w:eastAsia="Times New Roman" w:hAnsi="Arial" w:cs="Arial"/>
          <w:sz w:val="24"/>
          <w:szCs w:val="24"/>
          <w:lang w:val="en-ZA"/>
        </w:rPr>
        <w:t xml:space="preserve">entity concerned </w:t>
      </w:r>
      <w:r w:rsidR="00AC64E2" w:rsidRPr="008E299E">
        <w:rPr>
          <w:rFonts w:ascii="Arial" w:eastAsia="Times New Roman" w:hAnsi="Arial" w:cs="Arial"/>
          <w:sz w:val="24"/>
          <w:szCs w:val="24"/>
          <w:lang w:val="en-ZA"/>
        </w:rPr>
        <w:t xml:space="preserve">but also </w:t>
      </w:r>
      <w:r w:rsidR="00536086" w:rsidRPr="008E299E">
        <w:rPr>
          <w:rFonts w:ascii="Arial" w:eastAsia="Times New Roman" w:hAnsi="Arial" w:cs="Arial"/>
          <w:sz w:val="24"/>
          <w:szCs w:val="24"/>
          <w:lang w:val="en-ZA"/>
        </w:rPr>
        <w:t>confer</w:t>
      </w:r>
      <w:r w:rsidR="00AC64E2" w:rsidRPr="008E299E">
        <w:rPr>
          <w:rFonts w:ascii="Arial" w:eastAsia="Times New Roman" w:hAnsi="Arial" w:cs="Arial"/>
          <w:sz w:val="24"/>
          <w:szCs w:val="24"/>
          <w:lang w:val="en-ZA"/>
        </w:rPr>
        <w:t>s</w:t>
      </w:r>
      <w:r w:rsidR="00536086" w:rsidRPr="008E299E">
        <w:rPr>
          <w:rFonts w:ascii="Arial" w:eastAsia="Times New Roman" w:hAnsi="Arial" w:cs="Arial"/>
          <w:sz w:val="24"/>
          <w:szCs w:val="24"/>
          <w:lang w:val="en-ZA"/>
        </w:rPr>
        <w:t xml:space="preserve"> on it </w:t>
      </w:r>
      <w:r w:rsidR="00F42C6C" w:rsidRPr="008E299E">
        <w:rPr>
          <w:rFonts w:ascii="Arial" w:eastAsia="Times New Roman" w:hAnsi="Arial" w:cs="Arial"/>
          <w:sz w:val="24"/>
          <w:szCs w:val="24"/>
          <w:lang w:val="en-ZA"/>
        </w:rPr>
        <w:t xml:space="preserve">the </w:t>
      </w:r>
      <w:r w:rsidR="00AC64E2" w:rsidRPr="008E299E">
        <w:rPr>
          <w:rFonts w:ascii="Arial" w:eastAsia="Times New Roman" w:hAnsi="Arial" w:cs="Arial"/>
          <w:sz w:val="24"/>
          <w:szCs w:val="24"/>
          <w:lang w:val="en-ZA"/>
        </w:rPr>
        <w:t xml:space="preserve">controlling </w:t>
      </w:r>
      <w:r w:rsidR="00F42C6C" w:rsidRPr="008E299E">
        <w:rPr>
          <w:rFonts w:ascii="Arial" w:eastAsia="Times New Roman" w:hAnsi="Arial" w:cs="Arial"/>
          <w:sz w:val="24"/>
          <w:szCs w:val="24"/>
          <w:lang w:val="en-ZA"/>
        </w:rPr>
        <w:t>power</w:t>
      </w:r>
      <w:r w:rsidR="00712510" w:rsidRPr="008E299E">
        <w:rPr>
          <w:rFonts w:ascii="Arial" w:eastAsia="Times New Roman" w:hAnsi="Arial" w:cs="Arial"/>
          <w:sz w:val="24"/>
          <w:szCs w:val="24"/>
          <w:lang w:val="en-ZA"/>
        </w:rPr>
        <w:t xml:space="preserve"> </w:t>
      </w:r>
      <w:r w:rsidR="00AA7DAF" w:rsidRPr="008E299E">
        <w:rPr>
          <w:rFonts w:ascii="Arial" w:eastAsia="Times New Roman" w:hAnsi="Arial" w:cs="Arial"/>
          <w:sz w:val="24"/>
          <w:szCs w:val="24"/>
          <w:lang w:val="en-ZA"/>
        </w:rPr>
        <w:t xml:space="preserve">required </w:t>
      </w:r>
      <w:r w:rsidR="00A80EE1">
        <w:rPr>
          <w:rFonts w:ascii="Arial" w:eastAsia="Times New Roman" w:hAnsi="Arial" w:cs="Arial"/>
          <w:sz w:val="24"/>
          <w:szCs w:val="24"/>
          <w:lang w:val="en-ZA"/>
        </w:rPr>
        <w:t xml:space="preserve">for the vessel it owns </w:t>
      </w:r>
      <w:r w:rsidR="00712510" w:rsidRPr="008E299E">
        <w:rPr>
          <w:rFonts w:ascii="Arial" w:eastAsia="Times New Roman" w:hAnsi="Arial" w:cs="Arial"/>
          <w:sz w:val="24"/>
          <w:szCs w:val="24"/>
          <w:lang w:val="en-ZA"/>
        </w:rPr>
        <w:t>to be regarded as an associated</w:t>
      </w:r>
      <w:r w:rsidR="00536086" w:rsidRPr="008E299E">
        <w:rPr>
          <w:rFonts w:ascii="Arial" w:eastAsia="Times New Roman" w:hAnsi="Arial" w:cs="Arial"/>
          <w:sz w:val="24"/>
          <w:szCs w:val="24"/>
          <w:lang w:val="en-ZA"/>
        </w:rPr>
        <w:t xml:space="preserve"> ship</w:t>
      </w:r>
      <w:r w:rsidR="00712510" w:rsidRPr="008E299E">
        <w:rPr>
          <w:rFonts w:ascii="Arial" w:eastAsia="Times New Roman" w:hAnsi="Arial" w:cs="Arial"/>
          <w:sz w:val="24"/>
          <w:szCs w:val="24"/>
          <w:lang w:val="en-ZA"/>
        </w:rPr>
        <w:t>.</w:t>
      </w:r>
      <w:r w:rsidR="001E5C56" w:rsidRPr="008E299E">
        <w:rPr>
          <w:rFonts w:ascii="Arial" w:eastAsia="Times New Roman" w:hAnsi="Arial" w:cs="Arial"/>
          <w:sz w:val="24"/>
          <w:szCs w:val="24"/>
          <w:lang w:val="en-ZA"/>
        </w:rPr>
        <w:t xml:space="preserve"> </w:t>
      </w:r>
      <w:r w:rsidR="00F42C6C" w:rsidRPr="008E299E">
        <w:rPr>
          <w:rFonts w:ascii="Arial" w:eastAsia="Times New Roman" w:hAnsi="Arial" w:cs="Arial"/>
          <w:sz w:val="24"/>
          <w:szCs w:val="24"/>
          <w:lang w:val="en-ZA"/>
        </w:rPr>
        <w:t xml:space="preserve"> </w:t>
      </w:r>
      <w:r w:rsidR="001E5C56" w:rsidRPr="008E299E">
        <w:rPr>
          <w:rFonts w:ascii="Arial" w:eastAsia="Times New Roman" w:hAnsi="Arial" w:cs="Arial"/>
          <w:sz w:val="24"/>
          <w:szCs w:val="24"/>
          <w:lang w:val="en-ZA"/>
        </w:rPr>
        <w:t xml:space="preserve">To snatch a phrase here and a sentence there from the legal materials </w:t>
      </w:r>
      <w:r w:rsidR="00692AA9" w:rsidRPr="008E299E">
        <w:rPr>
          <w:rFonts w:ascii="Arial" w:eastAsia="Times New Roman" w:hAnsi="Arial" w:cs="Arial"/>
          <w:sz w:val="24"/>
          <w:szCs w:val="24"/>
          <w:lang w:val="en-ZA"/>
        </w:rPr>
        <w:t xml:space="preserve">in an attempt to prove one’s point </w:t>
      </w:r>
      <w:r w:rsidR="001E5C56" w:rsidRPr="008E299E">
        <w:rPr>
          <w:rFonts w:ascii="Arial" w:eastAsia="Times New Roman" w:hAnsi="Arial" w:cs="Arial"/>
          <w:sz w:val="24"/>
          <w:szCs w:val="24"/>
          <w:lang w:val="en-ZA"/>
        </w:rPr>
        <w:t>w</w:t>
      </w:r>
      <w:r w:rsidR="0012102C" w:rsidRPr="008E299E">
        <w:rPr>
          <w:rFonts w:ascii="Arial" w:eastAsia="Times New Roman" w:hAnsi="Arial" w:cs="Arial"/>
          <w:sz w:val="24"/>
          <w:szCs w:val="24"/>
          <w:lang w:val="en-ZA"/>
        </w:rPr>
        <w:t>ould</w:t>
      </w:r>
      <w:r w:rsidR="001E5C56" w:rsidRPr="008E299E">
        <w:rPr>
          <w:rFonts w:ascii="Arial" w:eastAsia="Times New Roman" w:hAnsi="Arial" w:cs="Arial"/>
          <w:sz w:val="24"/>
          <w:szCs w:val="24"/>
          <w:lang w:val="en-ZA"/>
        </w:rPr>
        <w:t xml:space="preserve"> </w:t>
      </w:r>
      <w:r w:rsidR="00692AA9" w:rsidRPr="008E299E">
        <w:rPr>
          <w:rFonts w:ascii="Arial" w:eastAsia="Times New Roman" w:hAnsi="Arial" w:cs="Arial"/>
          <w:sz w:val="24"/>
          <w:szCs w:val="24"/>
          <w:lang w:val="en-ZA"/>
        </w:rPr>
        <w:t xml:space="preserve">be opportunistic.  More importantly, it would </w:t>
      </w:r>
      <w:r w:rsidR="001E5C56" w:rsidRPr="008E299E">
        <w:rPr>
          <w:rFonts w:ascii="Arial" w:eastAsia="Times New Roman" w:hAnsi="Arial" w:cs="Arial"/>
          <w:sz w:val="24"/>
          <w:szCs w:val="24"/>
          <w:lang w:val="en-ZA"/>
        </w:rPr>
        <w:t xml:space="preserve">not yield the depth of understanding </w:t>
      </w:r>
      <w:r w:rsidR="00DB2CB6" w:rsidRPr="008E299E">
        <w:rPr>
          <w:rFonts w:ascii="Arial" w:eastAsia="Times New Roman" w:hAnsi="Arial" w:cs="Arial"/>
          <w:sz w:val="24"/>
          <w:szCs w:val="24"/>
          <w:lang w:val="en-ZA"/>
        </w:rPr>
        <w:t xml:space="preserve">required </w:t>
      </w:r>
      <w:r w:rsidR="00FB18D7" w:rsidRPr="008E299E">
        <w:rPr>
          <w:rFonts w:ascii="Arial" w:eastAsia="Times New Roman" w:hAnsi="Arial" w:cs="Arial"/>
          <w:sz w:val="24"/>
          <w:szCs w:val="24"/>
          <w:lang w:val="en-ZA"/>
        </w:rPr>
        <w:t>to determine where</w:t>
      </w:r>
      <w:r w:rsidR="00DB2CB6" w:rsidRPr="008E299E">
        <w:rPr>
          <w:rFonts w:ascii="Arial" w:eastAsia="Times New Roman" w:hAnsi="Arial" w:cs="Arial"/>
          <w:sz w:val="24"/>
          <w:szCs w:val="24"/>
          <w:lang w:val="en-ZA"/>
        </w:rPr>
        <w:t xml:space="preserve"> power</w:t>
      </w:r>
      <w:r w:rsidR="00FB18D7" w:rsidRPr="008E299E">
        <w:rPr>
          <w:rFonts w:ascii="Arial" w:eastAsia="Times New Roman" w:hAnsi="Arial" w:cs="Arial"/>
          <w:sz w:val="24"/>
          <w:szCs w:val="24"/>
          <w:lang w:val="en-ZA"/>
        </w:rPr>
        <w:t xml:space="preserve"> lies</w:t>
      </w:r>
      <w:r w:rsidR="00DB2CB6" w:rsidRPr="008E299E">
        <w:rPr>
          <w:rFonts w:ascii="Arial" w:eastAsia="Times New Roman" w:hAnsi="Arial" w:cs="Arial"/>
          <w:sz w:val="24"/>
          <w:szCs w:val="24"/>
          <w:lang w:val="en-ZA"/>
        </w:rPr>
        <w:t xml:space="preserve"> to control enterprises in </w:t>
      </w:r>
      <w:r w:rsidR="00E35015" w:rsidRPr="008E299E">
        <w:rPr>
          <w:rFonts w:ascii="Arial" w:eastAsia="Times New Roman" w:hAnsi="Arial" w:cs="Arial"/>
          <w:sz w:val="24"/>
          <w:szCs w:val="24"/>
          <w:lang w:val="en-ZA"/>
        </w:rPr>
        <w:t xml:space="preserve">a </w:t>
      </w:r>
      <w:r w:rsidR="00DB2CB6" w:rsidRPr="008E299E">
        <w:rPr>
          <w:rFonts w:ascii="Arial" w:eastAsia="Times New Roman" w:hAnsi="Arial" w:cs="Arial"/>
          <w:sz w:val="24"/>
          <w:szCs w:val="24"/>
          <w:lang w:val="en-ZA"/>
        </w:rPr>
        <w:t>socialist market economic system</w:t>
      </w:r>
      <w:r w:rsidR="0042723D">
        <w:rPr>
          <w:rFonts w:ascii="Arial" w:eastAsia="Times New Roman" w:hAnsi="Arial" w:cs="Arial"/>
          <w:sz w:val="24"/>
          <w:szCs w:val="24"/>
          <w:lang w:val="en-ZA"/>
        </w:rPr>
        <w:t xml:space="preserve"> in transition</w:t>
      </w:r>
      <w:r w:rsidR="00DB2CB6" w:rsidRPr="008E299E">
        <w:rPr>
          <w:rFonts w:ascii="Arial" w:eastAsia="Times New Roman" w:hAnsi="Arial" w:cs="Arial"/>
          <w:sz w:val="24"/>
          <w:szCs w:val="24"/>
          <w:lang w:val="en-ZA"/>
        </w:rPr>
        <w:t xml:space="preserve">.  </w:t>
      </w:r>
      <w:r w:rsidR="001C4F95" w:rsidRPr="008E299E">
        <w:rPr>
          <w:rFonts w:ascii="Arial" w:eastAsia="Times New Roman" w:hAnsi="Arial" w:cs="Arial"/>
          <w:sz w:val="24"/>
          <w:szCs w:val="24"/>
          <w:lang w:val="en-ZA"/>
        </w:rPr>
        <w:t xml:space="preserve">The legal materials must be considered holistically and with appreciation that the </w:t>
      </w:r>
      <w:r w:rsidR="001C4F95" w:rsidRPr="008E299E">
        <w:rPr>
          <w:rFonts w:ascii="Arial" w:eastAsia="Times New Roman" w:hAnsi="Arial" w:cs="Arial"/>
          <w:sz w:val="24"/>
          <w:szCs w:val="24"/>
          <w:lang w:val="en-ZA" w:eastAsia="en-GB"/>
        </w:rPr>
        <w:t>Peoples</w:t>
      </w:r>
      <w:r w:rsidR="003840F6">
        <w:rPr>
          <w:rFonts w:ascii="Arial" w:eastAsia="Times New Roman" w:hAnsi="Arial" w:cs="Arial"/>
          <w:sz w:val="24"/>
          <w:szCs w:val="24"/>
          <w:lang w:val="en-ZA" w:eastAsia="en-GB"/>
        </w:rPr>
        <w:t>’</w:t>
      </w:r>
      <w:r w:rsidR="001C4F95" w:rsidRPr="008E299E">
        <w:rPr>
          <w:rFonts w:ascii="Arial" w:eastAsia="Times New Roman" w:hAnsi="Arial" w:cs="Arial"/>
          <w:sz w:val="24"/>
          <w:szCs w:val="24"/>
          <w:lang w:val="en-ZA" w:eastAsia="en-GB"/>
        </w:rPr>
        <w:t xml:space="preserve"> Republic of China was </w:t>
      </w:r>
      <w:r w:rsidR="0012102C" w:rsidRPr="008E299E">
        <w:rPr>
          <w:rFonts w:ascii="Arial" w:eastAsia="Times New Roman" w:hAnsi="Arial" w:cs="Arial"/>
          <w:sz w:val="24"/>
          <w:szCs w:val="24"/>
          <w:lang w:val="en-ZA" w:eastAsia="en-GB"/>
        </w:rPr>
        <w:t xml:space="preserve">constitutionally committed to </w:t>
      </w:r>
      <w:r w:rsidR="001C4F95" w:rsidRPr="008E299E">
        <w:rPr>
          <w:rFonts w:ascii="Arial" w:eastAsia="Times New Roman" w:hAnsi="Arial" w:cs="Arial"/>
          <w:sz w:val="24"/>
          <w:szCs w:val="24"/>
          <w:lang w:val="en-ZA" w:eastAsia="en-GB"/>
        </w:rPr>
        <w:t>the process of reform</w:t>
      </w:r>
      <w:r w:rsidR="0012102C" w:rsidRPr="008E299E">
        <w:rPr>
          <w:rFonts w:ascii="Arial" w:eastAsia="Times New Roman" w:hAnsi="Arial" w:cs="Arial"/>
          <w:sz w:val="24"/>
          <w:szCs w:val="24"/>
          <w:lang w:val="en-ZA" w:eastAsia="en-GB"/>
        </w:rPr>
        <w:t xml:space="preserve"> from a communist to a market economy</w:t>
      </w:r>
      <w:r w:rsidR="001C4F95" w:rsidRPr="008E299E">
        <w:rPr>
          <w:rFonts w:ascii="Arial" w:eastAsia="Times New Roman" w:hAnsi="Arial" w:cs="Arial"/>
          <w:sz w:val="24"/>
          <w:szCs w:val="24"/>
          <w:lang w:val="en-ZA" w:eastAsia="en-GB"/>
        </w:rPr>
        <w:t>.</w:t>
      </w:r>
      <w:r w:rsidR="00566D72" w:rsidRPr="008E299E">
        <w:rPr>
          <w:rFonts w:ascii="Arial" w:eastAsia="Times New Roman" w:hAnsi="Arial" w:cs="Arial"/>
          <w:sz w:val="24"/>
          <w:szCs w:val="24"/>
          <w:lang w:val="en-ZA"/>
        </w:rPr>
        <w:t xml:space="preserve"> </w:t>
      </w:r>
      <w:r w:rsidR="001C4F95" w:rsidRPr="008E299E">
        <w:rPr>
          <w:rFonts w:ascii="Arial" w:eastAsia="Times New Roman" w:hAnsi="Arial" w:cs="Arial"/>
          <w:sz w:val="24"/>
          <w:szCs w:val="24"/>
          <w:lang w:val="en-ZA"/>
        </w:rPr>
        <w:t xml:space="preserve"> </w:t>
      </w:r>
    </w:p>
    <w:p w:rsidR="00BF342F" w:rsidRPr="00976FFD" w:rsidRDefault="00BF342F" w:rsidP="00BF0D6B">
      <w:pPr>
        <w:spacing w:line="360" w:lineRule="auto"/>
        <w:rPr>
          <w:rFonts w:ascii="Arial" w:hAnsi="Arial" w:cs="Arial"/>
          <w:lang w:val="en-GB"/>
        </w:rPr>
      </w:pPr>
    </w:p>
    <w:p w:rsidR="00BF342F" w:rsidRPr="00554BD3" w:rsidRDefault="001E360A" w:rsidP="00BF0D6B">
      <w:pPr>
        <w:tabs>
          <w:tab w:val="left" w:pos="0"/>
          <w:tab w:val="left" w:pos="567"/>
          <w:tab w:val="left" w:pos="990"/>
        </w:tabs>
        <w:spacing w:line="360" w:lineRule="auto"/>
        <w:jc w:val="both"/>
        <w:rPr>
          <w:rFonts w:ascii="Arial" w:hAnsi="Arial" w:cs="Arial"/>
          <w:b/>
          <w:bCs/>
        </w:rPr>
      </w:pPr>
      <w:r w:rsidRPr="00554BD3">
        <w:rPr>
          <w:rFonts w:ascii="Arial" w:hAnsi="Arial" w:cs="Arial"/>
          <w:b/>
          <w:bCs/>
          <w:lang w:val="en-GB"/>
        </w:rPr>
        <w:t>Experts’ opinions</w:t>
      </w:r>
    </w:p>
    <w:p w:rsidR="003D526E" w:rsidRPr="008E299E" w:rsidRDefault="008D4439"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Dr Li is the chief director and partner in a law firm specialising in Maritime Law. He has a bachelor and a masters’ degree in Maritime Law and a PhD </w:t>
      </w:r>
      <w:r w:rsidR="00554BD3">
        <w:rPr>
          <w:rFonts w:ascii="Arial" w:eastAsia="Times New Roman" w:hAnsi="Arial" w:cs="Arial"/>
          <w:sz w:val="24"/>
          <w:szCs w:val="24"/>
          <w:lang w:val="en-GB"/>
        </w:rPr>
        <w:t>in</w:t>
      </w:r>
      <w:r w:rsidRPr="008E299E">
        <w:rPr>
          <w:rFonts w:ascii="Arial" w:eastAsia="Times New Roman" w:hAnsi="Arial" w:cs="Arial"/>
          <w:sz w:val="24"/>
          <w:szCs w:val="24"/>
          <w:lang w:val="en-GB"/>
        </w:rPr>
        <w:t xml:space="preserve"> International Law. </w:t>
      </w:r>
      <w:r w:rsidR="0098487E" w:rsidRPr="008E299E">
        <w:rPr>
          <w:rFonts w:ascii="Arial" w:hAnsi="Arial" w:cs="Arial"/>
          <w:sz w:val="24"/>
          <w:szCs w:val="24"/>
          <w:lang w:val="en-GB"/>
        </w:rPr>
        <w:t>Mr Peng is the external legal counsel for the Chinese government in negotiati</w:t>
      </w:r>
      <w:r w:rsidR="00BF342F" w:rsidRPr="008E299E">
        <w:rPr>
          <w:rFonts w:ascii="Arial" w:hAnsi="Arial" w:cs="Arial"/>
          <w:sz w:val="24"/>
          <w:szCs w:val="24"/>
          <w:lang w:val="en-GB"/>
        </w:rPr>
        <w:t>ng</w:t>
      </w:r>
      <w:r w:rsidR="0098487E" w:rsidRPr="008E299E">
        <w:rPr>
          <w:rFonts w:ascii="Arial" w:hAnsi="Arial" w:cs="Arial"/>
          <w:sz w:val="24"/>
          <w:szCs w:val="24"/>
          <w:lang w:val="en-GB"/>
        </w:rPr>
        <w:t xml:space="preserve"> international rules.</w:t>
      </w:r>
      <w:r w:rsidR="00283677" w:rsidRPr="008E299E">
        <w:rPr>
          <w:rFonts w:ascii="Arial" w:hAnsi="Arial" w:cs="Arial"/>
          <w:sz w:val="24"/>
          <w:szCs w:val="24"/>
          <w:lang w:val="en-GB"/>
        </w:rPr>
        <w:t xml:space="preserve"> </w:t>
      </w:r>
      <w:r w:rsidR="0098487E" w:rsidRPr="008E299E">
        <w:rPr>
          <w:rFonts w:ascii="Arial" w:hAnsi="Arial" w:cs="Arial"/>
          <w:sz w:val="24"/>
          <w:szCs w:val="24"/>
          <w:lang w:val="en-GB"/>
        </w:rPr>
        <w:t xml:space="preserve"> He works </w:t>
      </w:r>
      <w:r w:rsidR="00BF342F" w:rsidRPr="008E299E">
        <w:rPr>
          <w:rFonts w:ascii="Arial" w:hAnsi="Arial" w:cs="Arial"/>
          <w:sz w:val="24"/>
          <w:szCs w:val="24"/>
          <w:lang w:val="en-GB"/>
        </w:rPr>
        <w:t xml:space="preserve">with </w:t>
      </w:r>
      <w:r w:rsidR="0098487E" w:rsidRPr="008E299E">
        <w:rPr>
          <w:rFonts w:ascii="Arial" w:hAnsi="Arial" w:cs="Arial"/>
          <w:sz w:val="24"/>
          <w:szCs w:val="24"/>
          <w:lang w:val="en-GB"/>
        </w:rPr>
        <w:t>the World Trade Organisation and the European Union</w:t>
      </w:r>
      <w:r w:rsidR="00283677" w:rsidRPr="008E299E">
        <w:rPr>
          <w:rFonts w:ascii="Arial" w:hAnsi="Arial" w:cs="Arial"/>
          <w:sz w:val="24"/>
          <w:szCs w:val="24"/>
          <w:lang w:val="en-GB"/>
        </w:rPr>
        <w:t>;</w:t>
      </w:r>
      <w:r w:rsidR="0098487E" w:rsidRPr="008E299E">
        <w:rPr>
          <w:rFonts w:ascii="Arial" w:hAnsi="Arial" w:cs="Arial"/>
          <w:sz w:val="24"/>
          <w:szCs w:val="24"/>
          <w:lang w:val="en-GB"/>
        </w:rPr>
        <w:t xml:space="preserve"> his task is to explain the Chinese legal system </w:t>
      </w:r>
      <w:r w:rsidR="00BF342F" w:rsidRPr="008E299E">
        <w:rPr>
          <w:rFonts w:ascii="Arial" w:hAnsi="Arial" w:cs="Arial"/>
          <w:sz w:val="24"/>
          <w:szCs w:val="24"/>
          <w:lang w:val="en-GB"/>
        </w:rPr>
        <w:t xml:space="preserve">pertaining to </w:t>
      </w:r>
      <w:r w:rsidR="00CD5359">
        <w:rPr>
          <w:rFonts w:ascii="Arial" w:hAnsi="Arial" w:cs="Arial"/>
          <w:sz w:val="24"/>
          <w:szCs w:val="24"/>
          <w:lang w:val="en-GB"/>
        </w:rPr>
        <w:t>S</w:t>
      </w:r>
      <w:r w:rsidR="00BF342F" w:rsidRPr="008E299E">
        <w:rPr>
          <w:rFonts w:ascii="Arial" w:hAnsi="Arial" w:cs="Arial"/>
          <w:sz w:val="24"/>
          <w:szCs w:val="24"/>
          <w:lang w:val="en-GB"/>
        </w:rPr>
        <w:t>tate</w:t>
      </w:r>
      <w:r w:rsidR="00CD5359">
        <w:rPr>
          <w:rFonts w:ascii="Arial" w:hAnsi="Arial" w:cs="Arial"/>
          <w:sz w:val="24"/>
          <w:szCs w:val="24"/>
          <w:lang w:val="en-GB"/>
        </w:rPr>
        <w:t>-</w:t>
      </w:r>
      <w:r w:rsidR="00BF342F" w:rsidRPr="008E299E">
        <w:rPr>
          <w:rFonts w:ascii="Arial" w:hAnsi="Arial" w:cs="Arial"/>
          <w:sz w:val="24"/>
          <w:szCs w:val="24"/>
          <w:lang w:val="en-GB"/>
        </w:rPr>
        <w:t xml:space="preserve">owned enterprises (SOEs) </w:t>
      </w:r>
      <w:r w:rsidR="0098487E" w:rsidRPr="008E299E">
        <w:rPr>
          <w:rFonts w:ascii="Arial" w:hAnsi="Arial" w:cs="Arial"/>
          <w:sz w:val="24"/>
          <w:szCs w:val="24"/>
          <w:lang w:val="en-GB"/>
        </w:rPr>
        <w:t>to his counterparts.</w:t>
      </w:r>
    </w:p>
    <w:p w:rsidR="00E26819" w:rsidRPr="00976FFD" w:rsidRDefault="00E26819" w:rsidP="00BF0D6B">
      <w:pPr>
        <w:tabs>
          <w:tab w:val="left" w:pos="0"/>
          <w:tab w:val="left" w:pos="567"/>
          <w:tab w:val="left" w:pos="990"/>
        </w:tabs>
        <w:spacing w:line="360" w:lineRule="auto"/>
        <w:contextualSpacing/>
        <w:jc w:val="both"/>
        <w:rPr>
          <w:rFonts w:ascii="Arial" w:hAnsi="Arial" w:cs="Arial"/>
        </w:rPr>
      </w:pPr>
    </w:p>
    <w:p w:rsidR="00576753" w:rsidRPr="008E299E" w:rsidRDefault="00E95928"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Factually, t</w:t>
      </w:r>
      <w:r w:rsidR="00E26819" w:rsidRPr="008E299E">
        <w:rPr>
          <w:rFonts w:ascii="Arial" w:eastAsia="Times New Roman" w:hAnsi="Arial" w:cs="Arial"/>
          <w:sz w:val="24"/>
          <w:szCs w:val="24"/>
          <w:lang w:val="en-GB"/>
        </w:rPr>
        <w:t>he experts disagree on whether SASAC is the actual controll</w:t>
      </w:r>
      <w:r w:rsidR="00576753" w:rsidRPr="008E299E">
        <w:rPr>
          <w:rFonts w:ascii="Arial" w:eastAsia="Times New Roman" w:hAnsi="Arial" w:cs="Arial"/>
          <w:sz w:val="24"/>
          <w:szCs w:val="24"/>
          <w:lang w:val="en-GB"/>
        </w:rPr>
        <w:t>er</w:t>
      </w:r>
      <w:r w:rsidR="00E26819" w:rsidRPr="008E299E">
        <w:rPr>
          <w:rFonts w:ascii="Arial" w:eastAsia="Times New Roman" w:hAnsi="Arial" w:cs="Arial"/>
          <w:sz w:val="24"/>
          <w:szCs w:val="24"/>
          <w:lang w:val="en-GB"/>
        </w:rPr>
        <w:t xml:space="preserve"> of </w:t>
      </w:r>
      <w:r w:rsidR="00CA6199" w:rsidRPr="008E299E">
        <w:rPr>
          <w:rFonts w:ascii="Arial" w:eastAsia="Times New Roman" w:hAnsi="Arial" w:cs="Arial"/>
          <w:sz w:val="24"/>
          <w:szCs w:val="24"/>
          <w:lang w:val="en-GB"/>
        </w:rPr>
        <w:t xml:space="preserve">both </w:t>
      </w:r>
      <w:r w:rsidR="00E26819" w:rsidRPr="008E299E">
        <w:rPr>
          <w:rFonts w:ascii="Arial" w:eastAsia="Times New Roman" w:hAnsi="Arial" w:cs="Arial"/>
          <w:sz w:val="24"/>
          <w:szCs w:val="24"/>
          <w:lang w:val="en-GB"/>
        </w:rPr>
        <w:t>Tonkolili</w:t>
      </w:r>
      <w:r w:rsidR="00CA6199" w:rsidRPr="008E299E">
        <w:rPr>
          <w:rFonts w:ascii="Arial" w:eastAsia="Times New Roman" w:hAnsi="Arial" w:cs="Arial"/>
          <w:sz w:val="24"/>
          <w:szCs w:val="24"/>
          <w:lang w:val="en-GB"/>
        </w:rPr>
        <w:t xml:space="preserve"> and Shandong Haiyang.</w:t>
      </w:r>
      <w:r w:rsidR="0042723D">
        <w:rPr>
          <w:rFonts w:ascii="Arial" w:eastAsia="Times New Roman" w:hAnsi="Arial" w:cs="Arial"/>
          <w:sz w:val="24"/>
          <w:szCs w:val="24"/>
          <w:lang w:val="en-GB"/>
        </w:rPr>
        <w:t xml:space="preserve"> </w:t>
      </w:r>
      <w:r w:rsidR="00CA6199" w:rsidRPr="008E299E">
        <w:rPr>
          <w:rFonts w:ascii="Arial" w:eastAsia="Times New Roman" w:hAnsi="Arial" w:cs="Arial"/>
          <w:sz w:val="24"/>
          <w:szCs w:val="24"/>
          <w:lang w:val="en-GB"/>
        </w:rPr>
        <w:t xml:space="preserve"> </w:t>
      </w:r>
      <w:r w:rsidR="00FA1FAC" w:rsidRPr="008E299E">
        <w:rPr>
          <w:rFonts w:ascii="Arial" w:eastAsia="Times New Roman" w:hAnsi="Arial" w:cs="Arial"/>
          <w:sz w:val="24"/>
          <w:szCs w:val="24"/>
          <w:lang w:val="en-ZA"/>
        </w:rPr>
        <w:t>They also disagree</w:t>
      </w:r>
      <w:r w:rsidR="00FA1FAC" w:rsidRPr="008E299E">
        <w:rPr>
          <w:rFonts w:ascii="Arial" w:eastAsia="Times New Roman" w:hAnsi="Arial" w:cs="Arial"/>
          <w:sz w:val="24"/>
          <w:szCs w:val="24"/>
          <w:lang w:val="en-GB"/>
        </w:rPr>
        <w:t xml:space="preserve"> on the objectives and the results of the government-SOE relationship reform. </w:t>
      </w:r>
      <w:r w:rsidR="003F7D65" w:rsidRPr="008E299E">
        <w:rPr>
          <w:rFonts w:ascii="Arial" w:eastAsia="Times New Roman" w:hAnsi="Arial" w:cs="Arial"/>
          <w:sz w:val="24"/>
          <w:szCs w:val="24"/>
          <w:lang w:val="en-ZA"/>
        </w:rPr>
        <w:t xml:space="preserve"> </w:t>
      </w:r>
      <w:r w:rsidR="00E26819" w:rsidRPr="008E299E">
        <w:rPr>
          <w:rFonts w:ascii="Arial" w:eastAsia="Times New Roman" w:hAnsi="Arial" w:cs="Arial"/>
          <w:sz w:val="24"/>
          <w:szCs w:val="24"/>
          <w:lang w:val="en-GB"/>
        </w:rPr>
        <w:t>In Dr Li’s opinion,</w:t>
      </w:r>
      <w:r w:rsidR="00CA6199" w:rsidRPr="008E299E">
        <w:rPr>
          <w:rFonts w:ascii="Arial" w:eastAsia="Times New Roman" w:hAnsi="Arial" w:cs="Arial"/>
          <w:sz w:val="24"/>
          <w:szCs w:val="24"/>
          <w:lang w:val="en-GB"/>
        </w:rPr>
        <w:t xml:space="preserve"> SASAC is the actual controll</w:t>
      </w:r>
      <w:r w:rsidR="0042723D">
        <w:rPr>
          <w:rFonts w:ascii="Arial" w:eastAsia="Times New Roman" w:hAnsi="Arial" w:cs="Arial"/>
          <w:sz w:val="24"/>
          <w:szCs w:val="24"/>
          <w:lang w:val="en-GB"/>
        </w:rPr>
        <w:t>er</w:t>
      </w:r>
      <w:r w:rsidR="00CA6199" w:rsidRPr="008E299E">
        <w:rPr>
          <w:rFonts w:ascii="Arial" w:eastAsia="Times New Roman" w:hAnsi="Arial" w:cs="Arial"/>
          <w:sz w:val="24"/>
          <w:szCs w:val="24"/>
          <w:lang w:val="en-GB"/>
        </w:rPr>
        <w:t xml:space="preserve"> of both Shandong Haiyang and Tonk</w:t>
      </w:r>
      <w:r w:rsidR="00CD5359">
        <w:rPr>
          <w:rFonts w:ascii="Arial" w:eastAsia="Times New Roman" w:hAnsi="Arial" w:cs="Arial"/>
          <w:sz w:val="24"/>
          <w:szCs w:val="24"/>
          <w:lang w:val="en-GB"/>
        </w:rPr>
        <w:t>o</w:t>
      </w:r>
      <w:r w:rsidR="00CA6199" w:rsidRPr="008E299E">
        <w:rPr>
          <w:rFonts w:ascii="Arial" w:eastAsia="Times New Roman" w:hAnsi="Arial" w:cs="Arial"/>
          <w:sz w:val="24"/>
          <w:szCs w:val="24"/>
          <w:lang w:val="en-GB"/>
        </w:rPr>
        <w:t>lili and therefore Tonk</w:t>
      </w:r>
      <w:r w:rsidR="00CD5359">
        <w:rPr>
          <w:rFonts w:ascii="Arial" w:eastAsia="Times New Roman" w:hAnsi="Arial" w:cs="Arial"/>
          <w:sz w:val="24"/>
          <w:szCs w:val="24"/>
          <w:lang w:val="en-GB"/>
        </w:rPr>
        <w:t>o</w:t>
      </w:r>
      <w:r w:rsidR="00CA6199" w:rsidRPr="008E299E">
        <w:rPr>
          <w:rFonts w:ascii="Arial" w:eastAsia="Times New Roman" w:hAnsi="Arial" w:cs="Arial"/>
          <w:sz w:val="24"/>
          <w:szCs w:val="24"/>
          <w:lang w:val="en-GB"/>
        </w:rPr>
        <w:t xml:space="preserve">lili is under common control of SASAC.  </w:t>
      </w:r>
      <w:r w:rsidR="00E26819" w:rsidRPr="008E299E">
        <w:rPr>
          <w:rFonts w:ascii="Arial" w:eastAsia="Times New Roman" w:hAnsi="Arial" w:cs="Arial"/>
          <w:sz w:val="24"/>
          <w:szCs w:val="24"/>
          <w:lang w:val="en-GB"/>
        </w:rPr>
        <w:t xml:space="preserve"> SASAC is the actual controll</w:t>
      </w:r>
      <w:r w:rsidR="0042723D">
        <w:rPr>
          <w:rFonts w:ascii="Arial" w:eastAsia="Times New Roman" w:hAnsi="Arial" w:cs="Arial"/>
          <w:sz w:val="24"/>
          <w:szCs w:val="24"/>
          <w:lang w:val="en-GB"/>
        </w:rPr>
        <w:t>er</w:t>
      </w:r>
      <w:r w:rsidR="00E26819" w:rsidRPr="008E299E">
        <w:rPr>
          <w:rFonts w:ascii="Arial" w:eastAsia="Times New Roman" w:hAnsi="Arial" w:cs="Arial"/>
          <w:sz w:val="24"/>
          <w:szCs w:val="24"/>
          <w:lang w:val="en-GB"/>
        </w:rPr>
        <w:t xml:space="preserve"> because it owns 70</w:t>
      </w:r>
      <w:r w:rsidR="00CD5359">
        <w:rPr>
          <w:rFonts w:ascii="Arial" w:eastAsia="Times New Roman" w:hAnsi="Arial" w:cs="Arial"/>
          <w:sz w:val="24"/>
          <w:szCs w:val="24"/>
          <w:lang w:val="en-GB"/>
        </w:rPr>
        <w:t xml:space="preserve"> per cent</w:t>
      </w:r>
      <w:r w:rsidR="00E26819" w:rsidRPr="008E299E">
        <w:rPr>
          <w:rFonts w:ascii="Arial" w:eastAsia="Times New Roman" w:hAnsi="Arial" w:cs="Arial"/>
          <w:sz w:val="24"/>
          <w:szCs w:val="24"/>
          <w:lang w:val="en-GB"/>
        </w:rPr>
        <w:t xml:space="preserve"> of the equities in SIS which directly owns 100</w:t>
      </w:r>
      <w:r w:rsidR="00CD5359">
        <w:rPr>
          <w:rFonts w:ascii="Arial" w:eastAsia="Times New Roman" w:hAnsi="Arial" w:cs="Arial"/>
          <w:sz w:val="24"/>
          <w:szCs w:val="24"/>
          <w:lang w:val="en-GB"/>
        </w:rPr>
        <w:t xml:space="preserve"> per cent</w:t>
      </w:r>
      <w:r w:rsidR="00E26819" w:rsidRPr="008E299E">
        <w:rPr>
          <w:rFonts w:ascii="Arial" w:eastAsia="Times New Roman" w:hAnsi="Arial" w:cs="Arial"/>
          <w:sz w:val="24"/>
          <w:szCs w:val="24"/>
          <w:lang w:val="en-GB"/>
        </w:rPr>
        <w:t xml:space="preserve"> of the equities in Tonk</w:t>
      </w:r>
      <w:r w:rsidR="00CD5359">
        <w:rPr>
          <w:rFonts w:ascii="Arial" w:eastAsia="Times New Roman" w:hAnsi="Arial" w:cs="Arial"/>
          <w:sz w:val="24"/>
          <w:szCs w:val="24"/>
          <w:lang w:val="en-GB"/>
        </w:rPr>
        <w:t>o</w:t>
      </w:r>
      <w:r w:rsidR="00E26819" w:rsidRPr="008E299E">
        <w:rPr>
          <w:rFonts w:ascii="Arial" w:eastAsia="Times New Roman" w:hAnsi="Arial" w:cs="Arial"/>
          <w:sz w:val="24"/>
          <w:szCs w:val="24"/>
          <w:lang w:val="en-GB"/>
        </w:rPr>
        <w:t>lili</w:t>
      </w:r>
      <w:r w:rsidR="0042723D">
        <w:rPr>
          <w:rFonts w:ascii="Arial" w:eastAsia="Times New Roman" w:hAnsi="Arial" w:cs="Arial"/>
          <w:sz w:val="24"/>
          <w:szCs w:val="24"/>
          <w:lang w:val="en-GB"/>
        </w:rPr>
        <w:t>, he says</w:t>
      </w:r>
      <w:r w:rsidR="00E26819" w:rsidRPr="008E299E">
        <w:rPr>
          <w:rFonts w:ascii="Arial" w:eastAsia="Times New Roman" w:hAnsi="Arial" w:cs="Arial"/>
          <w:sz w:val="24"/>
          <w:szCs w:val="24"/>
          <w:lang w:val="en-GB"/>
        </w:rPr>
        <w:t xml:space="preserve">.  </w:t>
      </w:r>
    </w:p>
    <w:p w:rsidR="00576753" w:rsidRPr="00976FFD" w:rsidRDefault="00576753" w:rsidP="00BF0D6B">
      <w:pPr>
        <w:pStyle w:val="ListParagraph"/>
        <w:spacing w:after="0" w:line="360" w:lineRule="auto"/>
        <w:ind w:left="0"/>
        <w:rPr>
          <w:rFonts w:ascii="Arial" w:eastAsia="Times New Roman" w:hAnsi="Arial" w:cs="Arial"/>
          <w:sz w:val="24"/>
          <w:szCs w:val="24"/>
          <w:lang w:val="en-GB"/>
        </w:rPr>
      </w:pPr>
    </w:p>
    <w:p w:rsidR="00E26819" w:rsidRPr="008E299E" w:rsidRDefault="00576753"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In Mr Peng’s opinion, while SASAC is the actual controller of Shandong Haiyang, SIS rather than SASAC is the actual controller of Tonk</w:t>
      </w:r>
      <w:r w:rsidR="00CD5359">
        <w:rPr>
          <w:rFonts w:ascii="Arial" w:eastAsia="Times New Roman" w:hAnsi="Arial" w:cs="Arial"/>
          <w:sz w:val="24"/>
          <w:szCs w:val="24"/>
          <w:lang w:val="en-GB"/>
        </w:rPr>
        <w:t>o</w:t>
      </w:r>
      <w:r w:rsidRPr="008E299E">
        <w:rPr>
          <w:rFonts w:ascii="Arial" w:eastAsia="Times New Roman" w:hAnsi="Arial" w:cs="Arial"/>
          <w:sz w:val="24"/>
          <w:szCs w:val="24"/>
          <w:lang w:val="en-GB"/>
        </w:rPr>
        <w:t>lili.  M</w:t>
      </w:r>
      <w:r w:rsidR="00E26819" w:rsidRPr="008E299E">
        <w:rPr>
          <w:rFonts w:ascii="Arial" w:eastAsia="Times New Roman" w:hAnsi="Arial" w:cs="Arial"/>
          <w:sz w:val="24"/>
          <w:szCs w:val="24"/>
          <w:lang w:val="en-GB"/>
        </w:rPr>
        <w:t xml:space="preserve">ere indirect shareholding </w:t>
      </w:r>
      <w:r w:rsidR="00CA6199" w:rsidRPr="008E299E">
        <w:rPr>
          <w:rFonts w:ascii="Arial" w:eastAsia="Times New Roman" w:hAnsi="Arial" w:cs="Arial"/>
          <w:sz w:val="24"/>
          <w:szCs w:val="24"/>
          <w:lang w:val="en-GB"/>
        </w:rPr>
        <w:t>by</w:t>
      </w:r>
      <w:r w:rsidR="00E26819" w:rsidRPr="008E299E">
        <w:rPr>
          <w:rFonts w:ascii="Arial" w:eastAsia="Times New Roman" w:hAnsi="Arial" w:cs="Arial"/>
          <w:sz w:val="24"/>
          <w:szCs w:val="24"/>
          <w:lang w:val="en-GB"/>
        </w:rPr>
        <w:t xml:space="preserve"> SASAC of Tonk</w:t>
      </w:r>
      <w:r w:rsidR="00CD5359">
        <w:rPr>
          <w:rFonts w:ascii="Arial" w:eastAsia="Times New Roman" w:hAnsi="Arial" w:cs="Arial"/>
          <w:sz w:val="24"/>
          <w:szCs w:val="24"/>
          <w:lang w:val="en-GB"/>
        </w:rPr>
        <w:t>o</w:t>
      </w:r>
      <w:r w:rsidR="00E26819" w:rsidRPr="008E299E">
        <w:rPr>
          <w:rFonts w:ascii="Arial" w:eastAsia="Times New Roman" w:hAnsi="Arial" w:cs="Arial"/>
          <w:sz w:val="24"/>
          <w:szCs w:val="24"/>
          <w:lang w:val="en-GB"/>
        </w:rPr>
        <w:t>lili is not sufficient for the analysis.  The reform must be considered.  SIS has been reformed and converted into a SOE holding company because of the reform.  SASAC remains the controlling shareholder of SIS, but the control over the fate and destiny of Tonkolili, as a subsidiary of SIS</w:t>
      </w:r>
      <w:r w:rsidR="00C92D88">
        <w:rPr>
          <w:rFonts w:ascii="Arial" w:eastAsia="Times New Roman" w:hAnsi="Arial" w:cs="Arial"/>
          <w:sz w:val="24"/>
          <w:szCs w:val="24"/>
          <w:lang w:val="en-GB"/>
        </w:rPr>
        <w:t>,</w:t>
      </w:r>
      <w:r w:rsidR="00E26819" w:rsidRPr="008E299E">
        <w:rPr>
          <w:rFonts w:ascii="Arial" w:eastAsia="Times New Roman" w:hAnsi="Arial" w:cs="Arial"/>
          <w:sz w:val="24"/>
          <w:szCs w:val="24"/>
          <w:lang w:val="en-GB"/>
        </w:rPr>
        <w:t xml:space="preserve"> has been vested in the hands of SIS.  </w:t>
      </w:r>
      <w:r w:rsidR="00891E58">
        <w:rPr>
          <w:rFonts w:ascii="Arial" w:eastAsia="Times New Roman" w:hAnsi="Arial" w:cs="Arial"/>
          <w:sz w:val="24"/>
          <w:szCs w:val="24"/>
          <w:lang w:val="en-GB"/>
        </w:rPr>
        <w:t>O</w:t>
      </w:r>
      <w:r w:rsidR="00E248AD" w:rsidRPr="008E299E">
        <w:rPr>
          <w:rFonts w:ascii="Arial" w:eastAsia="Times New Roman" w:hAnsi="Arial" w:cs="Arial"/>
          <w:sz w:val="24"/>
          <w:szCs w:val="24"/>
          <w:lang w:val="en-GB"/>
        </w:rPr>
        <w:t xml:space="preserve">n the facts, Mr Peng opines that </w:t>
      </w:r>
      <w:r w:rsidR="00E26819" w:rsidRPr="008E299E">
        <w:rPr>
          <w:rFonts w:ascii="Arial" w:eastAsia="Times New Roman" w:hAnsi="Arial" w:cs="Arial"/>
          <w:sz w:val="24"/>
          <w:szCs w:val="24"/>
          <w:lang w:val="en-GB"/>
        </w:rPr>
        <w:t>it is SIS rather than SASAC, that is the actual controll</w:t>
      </w:r>
      <w:r w:rsidRPr="008E299E">
        <w:rPr>
          <w:rFonts w:ascii="Arial" w:eastAsia="Times New Roman" w:hAnsi="Arial" w:cs="Arial"/>
          <w:sz w:val="24"/>
          <w:szCs w:val="24"/>
          <w:lang w:val="en-GB"/>
        </w:rPr>
        <w:t>er</w:t>
      </w:r>
      <w:r w:rsidR="00E26819" w:rsidRPr="008E299E">
        <w:rPr>
          <w:rFonts w:ascii="Arial" w:eastAsia="Times New Roman" w:hAnsi="Arial" w:cs="Arial"/>
          <w:sz w:val="24"/>
          <w:szCs w:val="24"/>
          <w:lang w:val="en-GB"/>
        </w:rPr>
        <w:t xml:space="preserve"> of Tonkolili.</w:t>
      </w:r>
      <w:r w:rsidRPr="008E299E">
        <w:rPr>
          <w:rFonts w:ascii="Arial" w:eastAsia="Times New Roman" w:hAnsi="Arial" w:cs="Arial"/>
          <w:sz w:val="24"/>
          <w:szCs w:val="24"/>
          <w:lang w:val="en-ZA"/>
        </w:rPr>
        <w:t xml:space="preserve">  </w:t>
      </w:r>
      <w:r w:rsidR="004C2B77">
        <w:rPr>
          <w:rFonts w:ascii="Arial" w:eastAsia="Times New Roman" w:hAnsi="Arial" w:cs="Arial"/>
          <w:sz w:val="24"/>
          <w:szCs w:val="24"/>
          <w:lang w:val="en-GB"/>
        </w:rPr>
        <w:t>Therefore,</w:t>
      </w:r>
      <w:r w:rsidR="00E26819" w:rsidRPr="008E299E">
        <w:rPr>
          <w:rFonts w:ascii="Arial" w:eastAsia="Times New Roman" w:hAnsi="Arial" w:cs="Arial"/>
          <w:sz w:val="24"/>
          <w:szCs w:val="24"/>
          <w:lang w:val="en-GB"/>
        </w:rPr>
        <w:t xml:space="preserve"> </w:t>
      </w:r>
      <w:r w:rsidR="003075C4">
        <w:rPr>
          <w:rFonts w:ascii="Arial" w:eastAsia="Times New Roman" w:hAnsi="Arial" w:cs="Arial"/>
          <w:sz w:val="24"/>
          <w:szCs w:val="24"/>
          <w:lang w:val="en-GB"/>
        </w:rPr>
        <w:t xml:space="preserve">in his view </w:t>
      </w:r>
      <w:r w:rsidR="00E26819" w:rsidRPr="008E299E">
        <w:rPr>
          <w:rFonts w:ascii="Arial" w:eastAsia="Times New Roman" w:hAnsi="Arial" w:cs="Arial"/>
          <w:sz w:val="24"/>
          <w:szCs w:val="24"/>
          <w:lang w:val="en-GB"/>
        </w:rPr>
        <w:t>Shandong Haiyang and Tonk</w:t>
      </w:r>
      <w:r w:rsidR="009D3151">
        <w:rPr>
          <w:rFonts w:ascii="Arial" w:eastAsia="Times New Roman" w:hAnsi="Arial" w:cs="Arial"/>
          <w:sz w:val="24"/>
          <w:szCs w:val="24"/>
          <w:lang w:val="en-GB"/>
        </w:rPr>
        <w:t>o</w:t>
      </w:r>
      <w:r w:rsidR="00E26819" w:rsidRPr="008E299E">
        <w:rPr>
          <w:rFonts w:ascii="Arial" w:eastAsia="Times New Roman" w:hAnsi="Arial" w:cs="Arial"/>
          <w:sz w:val="24"/>
          <w:szCs w:val="24"/>
          <w:lang w:val="en-GB"/>
        </w:rPr>
        <w:t xml:space="preserve">lili are not under </w:t>
      </w:r>
      <w:r w:rsidR="004C2B77">
        <w:rPr>
          <w:rFonts w:ascii="Arial" w:eastAsia="Times New Roman" w:hAnsi="Arial" w:cs="Arial"/>
          <w:sz w:val="24"/>
          <w:szCs w:val="24"/>
          <w:lang w:val="en-GB"/>
        </w:rPr>
        <w:t xml:space="preserve">the </w:t>
      </w:r>
      <w:r w:rsidR="00E26819" w:rsidRPr="008E299E">
        <w:rPr>
          <w:rFonts w:ascii="Arial" w:eastAsia="Times New Roman" w:hAnsi="Arial" w:cs="Arial"/>
          <w:sz w:val="24"/>
          <w:szCs w:val="24"/>
          <w:lang w:val="en-GB"/>
        </w:rPr>
        <w:t>common control of SASAC.</w:t>
      </w:r>
    </w:p>
    <w:p w:rsidR="008D4439" w:rsidRPr="00976FFD" w:rsidRDefault="008D4439" w:rsidP="00BF0D6B">
      <w:pPr>
        <w:tabs>
          <w:tab w:val="left" w:pos="0"/>
          <w:tab w:val="left" w:pos="567"/>
          <w:tab w:val="left" w:pos="990"/>
        </w:tabs>
        <w:spacing w:line="360" w:lineRule="auto"/>
        <w:contextualSpacing/>
        <w:jc w:val="both"/>
        <w:rPr>
          <w:rFonts w:ascii="Arial" w:hAnsi="Arial" w:cs="Arial"/>
        </w:rPr>
      </w:pPr>
    </w:p>
    <w:p w:rsidR="00E248AD" w:rsidRPr="008E299E" w:rsidRDefault="00BF3752"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T</w:t>
      </w:r>
      <w:r w:rsidR="003D526E" w:rsidRPr="008E299E">
        <w:rPr>
          <w:rFonts w:ascii="Arial" w:eastAsia="Times New Roman" w:hAnsi="Arial" w:cs="Arial"/>
          <w:sz w:val="24"/>
          <w:szCs w:val="24"/>
          <w:lang w:val="en-GB"/>
        </w:rPr>
        <w:t xml:space="preserve">he </w:t>
      </w:r>
      <w:r w:rsidR="00E26819" w:rsidRPr="008E299E">
        <w:rPr>
          <w:rFonts w:ascii="Arial" w:eastAsia="Times New Roman" w:hAnsi="Arial" w:cs="Arial"/>
          <w:sz w:val="24"/>
          <w:szCs w:val="24"/>
          <w:lang w:val="en-GB"/>
        </w:rPr>
        <w:t xml:space="preserve">legal basis for the </w:t>
      </w:r>
      <w:r w:rsidR="00E95928" w:rsidRPr="008E299E">
        <w:rPr>
          <w:rFonts w:ascii="Arial" w:eastAsia="Times New Roman" w:hAnsi="Arial" w:cs="Arial"/>
          <w:sz w:val="24"/>
          <w:szCs w:val="24"/>
          <w:lang w:val="en-GB"/>
        </w:rPr>
        <w:t xml:space="preserve">factual disputes above arises from the </w:t>
      </w:r>
      <w:r w:rsidR="003D526E" w:rsidRPr="008E299E">
        <w:rPr>
          <w:rFonts w:ascii="Arial" w:eastAsia="Times New Roman" w:hAnsi="Arial" w:cs="Arial"/>
          <w:sz w:val="24"/>
          <w:szCs w:val="24"/>
          <w:lang w:val="en-GB"/>
        </w:rPr>
        <w:t>experts</w:t>
      </w:r>
      <w:r w:rsidR="00E95928" w:rsidRPr="008E299E">
        <w:rPr>
          <w:rFonts w:ascii="Arial" w:eastAsia="Times New Roman" w:hAnsi="Arial" w:cs="Arial"/>
          <w:sz w:val="24"/>
          <w:szCs w:val="24"/>
          <w:lang w:val="en-GB"/>
        </w:rPr>
        <w:t>’</w:t>
      </w:r>
      <w:r w:rsidR="003D526E" w:rsidRPr="008E299E">
        <w:rPr>
          <w:rFonts w:ascii="Arial" w:eastAsia="Times New Roman" w:hAnsi="Arial" w:cs="Arial"/>
          <w:sz w:val="24"/>
          <w:szCs w:val="24"/>
          <w:lang w:val="en-GB"/>
        </w:rPr>
        <w:t xml:space="preserve"> disagree</w:t>
      </w:r>
      <w:r w:rsidR="00E95928" w:rsidRPr="008E299E">
        <w:rPr>
          <w:rFonts w:ascii="Arial" w:eastAsia="Times New Roman" w:hAnsi="Arial" w:cs="Arial"/>
          <w:sz w:val="24"/>
          <w:szCs w:val="24"/>
          <w:lang w:val="en-GB"/>
        </w:rPr>
        <w:t>ment</w:t>
      </w:r>
      <w:r w:rsidR="003D526E" w:rsidRPr="008E299E">
        <w:rPr>
          <w:rFonts w:ascii="Arial" w:eastAsia="Times New Roman" w:hAnsi="Arial" w:cs="Arial"/>
          <w:sz w:val="24"/>
          <w:szCs w:val="24"/>
          <w:lang w:val="en-GB"/>
        </w:rPr>
        <w:t xml:space="preserve"> </w:t>
      </w:r>
      <w:r w:rsidR="00E95928" w:rsidRPr="008E299E">
        <w:rPr>
          <w:rFonts w:ascii="Arial" w:eastAsia="Times New Roman" w:hAnsi="Arial" w:cs="Arial"/>
          <w:sz w:val="24"/>
          <w:szCs w:val="24"/>
          <w:lang w:val="en-GB"/>
        </w:rPr>
        <w:t>about</w:t>
      </w:r>
      <w:r w:rsidR="003D526E" w:rsidRPr="008E299E">
        <w:rPr>
          <w:rFonts w:ascii="Arial" w:eastAsia="Times New Roman" w:hAnsi="Arial" w:cs="Arial"/>
          <w:sz w:val="24"/>
          <w:szCs w:val="24"/>
          <w:lang w:val="en-GB"/>
        </w:rPr>
        <w:t xml:space="preserve"> the relationship between the </w:t>
      </w:r>
      <w:r w:rsidR="0030757B" w:rsidRPr="008E299E">
        <w:rPr>
          <w:rFonts w:ascii="Arial" w:eastAsia="Times New Roman" w:hAnsi="Arial" w:cs="Arial"/>
          <w:sz w:val="24"/>
          <w:szCs w:val="24"/>
          <w:lang w:val="en-GB"/>
        </w:rPr>
        <w:t>Peoples</w:t>
      </w:r>
      <w:r w:rsidR="003840F6">
        <w:rPr>
          <w:rFonts w:ascii="Arial" w:eastAsia="Times New Roman" w:hAnsi="Arial" w:cs="Arial"/>
          <w:sz w:val="24"/>
          <w:szCs w:val="24"/>
          <w:lang w:val="en-GB"/>
        </w:rPr>
        <w:t>’</w:t>
      </w:r>
      <w:r w:rsidR="0030757B" w:rsidRPr="008E299E">
        <w:rPr>
          <w:rFonts w:ascii="Arial" w:eastAsia="Times New Roman" w:hAnsi="Arial" w:cs="Arial"/>
          <w:sz w:val="24"/>
          <w:szCs w:val="24"/>
          <w:lang w:val="en-GB"/>
        </w:rPr>
        <w:t xml:space="preserve"> Republic of China</w:t>
      </w:r>
      <w:r w:rsidR="003D526E" w:rsidRPr="008E299E">
        <w:rPr>
          <w:rFonts w:ascii="Arial" w:eastAsia="Times New Roman" w:hAnsi="Arial" w:cs="Arial"/>
          <w:sz w:val="24"/>
          <w:szCs w:val="24"/>
          <w:lang w:val="en-GB"/>
        </w:rPr>
        <w:t xml:space="preserve"> </w:t>
      </w:r>
      <w:r w:rsidR="00447740" w:rsidRPr="008E299E">
        <w:rPr>
          <w:rFonts w:ascii="Arial" w:eastAsia="Times New Roman" w:hAnsi="Arial" w:cs="Arial"/>
          <w:sz w:val="24"/>
          <w:szCs w:val="24"/>
          <w:lang w:val="en-GB"/>
        </w:rPr>
        <w:t>L</w:t>
      </w:r>
      <w:r w:rsidR="003D526E" w:rsidRPr="008E299E">
        <w:rPr>
          <w:rFonts w:ascii="Arial" w:eastAsia="Times New Roman" w:hAnsi="Arial" w:cs="Arial"/>
          <w:sz w:val="24"/>
          <w:szCs w:val="24"/>
          <w:lang w:val="en-GB"/>
        </w:rPr>
        <w:t xml:space="preserve">aw on </w:t>
      </w:r>
      <w:r w:rsidR="00447740" w:rsidRPr="008E299E">
        <w:rPr>
          <w:rFonts w:ascii="Arial" w:eastAsia="Times New Roman" w:hAnsi="Arial" w:cs="Arial"/>
          <w:sz w:val="24"/>
          <w:szCs w:val="24"/>
          <w:lang w:val="en-GB"/>
        </w:rPr>
        <w:t>State</w:t>
      </w:r>
      <w:r w:rsidR="00794D80" w:rsidRPr="008E299E">
        <w:rPr>
          <w:rFonts w:ascii="Arial" w:eastAsia="Times New Roman" w:hAnsi="Arial" w:cs="Arial"/>
          <w:sz w:val="24"/>
          <w:szCs w:val="24"/>
          <w:lang w:val="en-GB"/>
        </w:rPr>
        <w:t>-</w:t>
      </w:r>
      <w:r w:rsidR="00447740" w:rsidRPr="008E299E">
        <w:rPr>
          <w:rFonts w:ascii="Arial" w:eastAsia="Times New Roman" w:hAnsi="Arial" w:cs="Arial"/>
          <w:sz w:val="24"/>
          <w:szCs w:val="24"/>
          <w:lang w:val="en-GB"/>
        </w:rPr>
        <w:t>Owned A</w:t>
      </w:r>
      <w:r w:rsidR="003D526E" w:rsidRPr="008E299E">
        <w:rPr>
          <w:rFonts w:ascii="Arial" w:eastAsia="Times New Roman" w:hAnsi="Arial" w:cs="Arial"/>
          <w:sz w:val="24"/>
          <w:szCs w:val="24"/>
          <w:lang w:val="en-GB"/>
        </w:rPr>
        <w:t xml:space="preserve">ssets of </w:t>
      </w:r>
      <w:r w:rsidR="00447740" w:rsidRPr="008E299E">
        <w:rPr>
          <w:rFonts w:ascii="Arial" w:eastAsia="Times New Roman" w:hAnsi="Arial" w:cs="Arial"/>
          <w:sz w:val="24"/>
          <w:szCs w:val="24"/>
          <w:lang w:val="en-GB"/>
        </w:rPr>
        <w:t>E</w:t>
      </w:r>
      <w:r w:rsidR="003D526E" w:rsidRPr="008E299E">
        <w:rPr>
          <w:rFonts w:ascii="Arial" w:eastAsia="Times New Roman" w:hAnsi="Arial" w:cs="Arial"/>
          <w:sz w:val="24"/>
          <w:szCs w:val="24"/>
          <w:lang w:val="en-GB"/>
        </w:rPr>
        <w:t xml:space="preserve">nterprises </w:t>
      </w:r>
      <w:r w:rsidR="0063388C" w:rsidRPr="008E299E">
        <w:rPr>
          <w:rFonts w:ascii="Arial" w:eastAsia="Times New Roman" w:hAnsi="Arial" w:cs="Arial"/>
          <w:sz w:val="24"/>
          <w:szCs w:val="24"/>
          <w:lang w:val="en-GB"/>
        </w:rPr>
        <w:t>(</w:t>
      </w:r>
      <w:r w:rsidR="009D3151">
        <w:rPr>
          <w:rFonts w:ascii="Arial" w:eastAsia="Times New Roman" w:hAnsi="Arial" w:cs="Arial"/>
          <w:sz w:val="24"/>
          <w:szCs w:val="24"/>
          <w:lang w:val="en-GB"/>
        </w:rPr>
        <w:t>‘</w:t>
      </w:r>
      <w:r w:rsidR="0063388C" w:rsidRPr="008E299E">
        <w:rPr>
          <w:rFonts w:ascii="Arial" w:eastAsia="Times New Roman" w:hAnsi="Arial" w:cs="Arial"/>
          <w:sz w:val="24"/>
          <w:szCs w:val="24"/>
          <w:lang w:val="en-GB"/>
        </w:rPr>
        <w:t>PRC Law on SOEs</w:t>
      </w:r>
      <w:r w:rsidR="009D3151">
        <w:rPr>
          <w:rFonts w:ascii="Arial" w:eastAsia="Times New Roman" w:hAnsi="Arial" w:cs="Arial"/>
          <w:sz w:val="24"/>
          <w:szCs w:val="24"/>
          <w:lang w:val="en-GB"/>
        </w:rPr>
        <w:t>’</w:t>
      </w:r>
      <w:r w:rsidR="0063388C" w:rsidRPr="008E299E">
        <w:rPr>
          <w:rFonts w:ascii="Arial" w:eastAsia="Times New Roman" w:hAnsi="Arial" w:cs="Arial"/>
          <w:sz w:val="24"/>
          <w:szCs w:val="24"/>
          <w:lang w:val="en-GB"/>
        </w:rPr>
        <w:t xml:space="preserve">) </w:t>
      </w:r>
      <w:r w:rsidR="003D526E" w:rsidRPr="008E299E">
        <w:rPr>
          <w:rFonts w:ascii="Arial" w:eastAsia="Times New Roman" w:hAnsi="Arial" w:cs="Arial"/>
          <w:sz w:val="24"/>
          <w:szCs w:val="24"/>
          <w:lang w:val="en-GB"/>
        </w:rPr>
        <w:t>and the government</w:t>
      </w:r>
      <w:r w:rsidR="0063388C" w:rsidRPr="008E299E">
        <w:rPr>
          <w:rFonts w:ascii="Arial" w:eastAsia="Times New Roman" w:hAnsi="Arial" w:cs="Arial"/>
          <w:sz w:val="24"/>
          <w:szCs w:val="24"/>
          <w:lang w:val="en-GB"/>
        </w:rPr>
        <w:t>-</w:t>
      </w:r>
      <w:r w:rsidR="003D526E" w:rsidRPr="008E299E">
        <w:rPr>
          <w:rFonts w:ascii="Arial" w:eastAsia="Times New Roman" w:hAnsi="Arial" w:cs="Arial"/>
          <w:sz w:val="24"/>
          <w:szCs w:val="24"/>
          <w:lang w:val="en-GB"/>
        </w:rPr>
        <w:t>S</w:t>
      </w:r>
      <w:r w:rsidR="00447740" w:rsidRPr="008E299E">
        <w:rPr>
          <w:rFonts w:ascii="Arial" w:eastAsia="Times New Roman" w:hAnsi="Arial" w:cs="Arial"/>
          <w:sz w:val="24"/>
          <w:szCs w:val="24"/>
          <w:lang w:val="en-GB"/>
        </w:rPr>
        <w:t>OE</w:t>
      </w:r>
      <w:r w:rsidR="003D526E" w:rsidRPr="008E299E">
        <w:rPr>
          <w:rFonts w:ascii="Arial" w:eastAsia="Times New Roman" w:hAnsi="Arial" w:cs="Arial"/>
          <w:sz w:val="24"/>
          <w:szCs w:val="24"/>
          <w:lang w:val="en-GB"/>
        </w:rPr>
        <w:t xml:space="preserve"> relationship reform measures</w:t>
      </w:r>
      <w:r w:rsidR="0063388C" w:rsidRPr="008E299E">
        <w:rPr>
          <w:rFonts w:ascii="Arial" w:eastAsia="Times New Roman" w:hAnsi="Arial" w:cs="Arial"/>
          <w:sz w:val="24"/>
          <w:szCs w:val="24"/>
          <w:lang w:val="en-GB"/>
        </w:rPr>
        <w:t xml:space="preserve">.  </w:t>
      </w:r>
      <w:r w:rsidR="004C2B77">
        <w:rPr>
          <w:rFonts w:ascii="Arial" w:eastAsia="Times New Roman" w:hAnsi="Arial" w:cs="Arial"/>
          <w:sz w:val="24"/>
          <w:szCs w:val="24"/>
          <w:lang w:val="en-GB"/>
        </w:rPr>
        <w:t xml:space="preserve"> </w:t>
      </w:r>
      <w:r w:rsidR="003075C4">
        <w:rPr>
          <w:rFonts w:ascii="Arial" w:eastAsia="Times New Roman" w:hAnsi="Arial" w:cs="Arial"/>
          <w:sz w:val="24"/>
          <w:szCs w:val="24"/>
          <w:lang w:val="en-GB"/>
        </w:rPr>
        <w:t xml:space="preserve">For the latter, </w:t>
      </w:r>
      <w:r w:rsidR="004C2B77">
        <w:rPr>
          <w:rFonts w:ascii="Arial" w:eastAsia="Times New Roman" w:hAnsi="Arial" w:cs="Arial"/>
          <w:sz w:val="24"/>
          <w:szCs w:val="24"/>
          <w:lang w:val="en-GB"/>
        </w:rPr>
        <w:t xml:space="preserve">Mr Peng relies on several government documents, the authenticity of which </w:t>
      </w:r>
      <w:r w:rsidR="009D3151">
        <w:rPr>
          <w:rFonts w:ascii="Arial" w:eastAsia="Times New Roman" w:hAnsi="Arial" w:cs="Arial"/>
          <w:sz w:val="24"/>
          <w:szCs w:val="24"/>
          <w:lang w:val="en-GB"/>
        </w:rPr>
        <w:t xml:space="preserve">are </w:t>
      </w:r>
      <w:r w:rsidR="004C2B77">
        <w:rPr>
          <w:rFonts w:ascii="Arial" w:eastAsia="Times New Roman" w:hAnsi="Arial" w:cs="Arial"/>
          <w:sz w:val="24"/>
          <w:szCs w:val="24"/>
          <w:lang w:val="en-GB"/>
        </w:rPr>
        <w:t>uncontested.</w:t>
      </w:r>
    </w:p>
    <w:p w:rsidR="00E248AD" w:rsidRPr="00976FFD" w:rsidRDefault="00E248AD" w:rsidP="00BF0D6B">
      <w:pPr>
        <w:tabs>
          <w:tab w:val="left" w:pos="0"/>
          <w:tab w:val="left" w:pos="567"/>
          <w:tab w:val="left" w:pos="990"/>
        </w:tabs>
        <w:spacing w:line="360" w:lineRule="auto"/>
        <w:jc w:val="both"/>
        <w:rPr>
          <w:rFonts w:ascii="Arial" w:hAnsi="Arial" w:cs="Arial"/>
          <w:i/>
          <w:iCs/>
        </w:rPr>
      </w:pPr>
    </w:p>
    <w:p w:rsidR="00E248AD" w:rsidRPr="008B164C" w:rsidRDefault="00E248AD" w:rsidP="00BF0D6B">
      <w:pPr>
        <w:tabs>
          <w:tab w:val="left" w:pos="0"/>
          <w:tab w:val="left" w:pos="567"/>
          <w:tab w:val="left" w:pos="990"/>
        </w:tabs>
        <w:spacing w:line="360" w:lineRule="auto"/>
        <w:jc w:val="both"/>
        <w:rPr>
          <w:rFonts w:ascii="Arial" w:hAnsi="Arial" w:cs="Arial"/>
          <w:b/>
          <w:bCs/>
          <w:i/>
          <w:iCs/>
        </w:rPr>
      </w:pPr>
      <w:r w:rsidRPr="008B164C">
        <w:rPr>
          <w:rFonts w:ascii="Arial" w:hAnsi="Arial" w:cs="Arial"/>
          <w:b/>
          <w:bCs/>
          <w:i/>
          <w:iCs/>
        </w:rPr>
        <w:t>Dr Li</w:t>
      </w:r>
    </w:p>
    <w:p w:rsidR="00E95928" w:rsidRPr="00B45801" w:rsidRDefault="0063388C"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B45801">
        <w:rPr>
          <w:rFonts w:ascii="Arial" w:eastAsia="Times New Roman" w:hAnsi="Arial" w:cs="Arial"/>
          <w:sz w:val="24"/>
          <w:szCs w:val="24"/>
          <w:lang w:val="en-GB"/>
        </w:rPr>
        <w:t>In</w:t>
      </w:r>
      <w:r w:rsidR="003D526E" w:rsidRPr="00B45801">
        <w:rPr>
          <w:rFonts w:ascii="Arial" w:eastAsia="Times New Roman" w:hAnsi="Arial" w:cs="Arial"/>
          <w:sz w:val="24"/>
          <w:szCs w:val="24"/>
          <w:lang w:val="en-GB"/>
        </w:rPr>
        <w:t xml:space="preserve"> </w:t>
      </w:r>
      <w:r w:rsidRPr="00B45801">
        <w:rPr>
          <w:rFonts w:ascii="Arial" w:eastAsia="Times New Roman" w:hAnsi="Arial" w:cs="Arial"/>
          <w:sz w:val="24"/>
          <w:szCs w:val="24"/>
          <w:lang w:val="en-GB"/>
        </w:rPr>
        <w:t>Dr Li’s</w:t>
      </w:r>
      <w:r w:rsidR="003D526E" w:rsidRPr="00B45801">
        <w:rPr>
          <w:rFonts w:ascii="Arial" w:eastAsia="Times New Roman" w:hAnsi="Arial" w:cs="Arial"/>
          <w:sz w:val="24"/>
          <w:szCs w:val="24"/>
          <w:lang w:val="en-GB"/>
        </w:rPr>
        <w:t xml:space="preserve"> opinion</w:t>
      </w:r>
      <w:r w:rsidRPr="00B45801">
        <w:rPr>
          <w:rFonts w:ascii="Arial" w:eastAsia="Times New Roman" w:hAnsi="Arial" w:cs="Arial"/>
          <w:sz w:val="24"/>
          <w:szCs w:val="24"/>
          <w:lang w:val="en-GB"/>
        </w:rPr>
        <w:t>,</w:t>
      </w:r>
      <w:r w:rsidR="003D526E" w:rsidRPr="00B45801">
        <w:rPr>
          <w:rFonts w:ascii="Arial" w:eastAsia="Times New Roman" w:hAnsi="Arial" w:cs="Arial"/>
          <w:sz w:val="24"/>
          <w:szCs w:val="24"/>
          <w:lang w:val="en-GB"/>
        </w:rPr>
        <w:t xml:space="preserve"> </w:t>
      </w:r>
      <w:r w:rsidR="008B164C" w:rsidRPr="00B45801">
        <w:rPr>
          <w:rFonts w:ascii="Arial" w:eastAsia="Times New Roman" w:hAnsi="Arial" w:cs="Arial"/>
          <w:sz w:val="24"/>
          <w:szCs w:val="24"/>
          <w:lang w:val="en-GB"/>
        </w:rPr>
        <w:t xml:space="preserve">the government would </w:t>
      </w:r>
      <w:r w:rsidR="00924146">
        <w:rPr>
          <w:rFonts w:ascii="Arial" w:eastAsia="Times New Roman" w:hAnsi="Arial" w:cs="Arial"/>
          <w:sz w:val="24"/>
          <w:szCs w:val="24"/>
          <w:lang w:val="en-GB"/>
        </w:rPr>
        <w:t>‘</w:t>
      </w:r>
      <w:r w:rsidR="008B164C" w:rsidRPr="00B45801">
        <w:rPr>
          <w:rFonts w:ascii="Arial" w:eastAsia="Times New Roman" w:hAnsi="Arial" w:cs="Arial"/>
          <w:sz w:val="24"/>
          <w:szCs w:val="24"/>
          <w:lang w:val="en-GB"/>
        </w:rPr>
        <w:t>never</w:t>
      </w:r>
      <w:r w:rsidR="00924146">
        <w:rPr>
          <w:rFonts w:ascii="Arial" w:eastAsia="Times New Roman" w:hAnsi="Arial" w:cs="Arial"/>
          <w:sz w:val="24"/>
          <w:szCs w:val="24"/>
          <w:lang w:val="en-GB"/>
        </w:rPr>
        <w:t>’</w:t>
      </w:r>
      <w:r w:rsidR="008B164C" w:rsidRPr="00B45801">
        <w:rPr>
          <w:rFonts w:ascii="Arial" w:eastAsia="Times New Roman" w:hAnsi="Arial" w:cs="Arial"/>
          <w:sz w:val="24"/>
          <w:szCs w:val="24"/>
          <w:lang w:val="en-GB"/>
        </w:rPr>
        <w:t xml:space="preserve"> delegate all rights to SOEs.  T</w:t>
      </w:r>
      <w:r w:rsidR="00314577" w:rsidRPr="00B45801">
        <w:rPr>
          <w:rFonts w:ascii="Arial" w:eastAsia="Times New Roman" w:hAnsi="Arial" w:cs="Arial"/>
          <w:sz w:val="24"/>
          <w:szCs w:val="24"/>
          <w:lang w:val="en-GB"/>
        </w:rPr>
        <w:t>he reform do</w:t>
      </w:r>
      <w:r w:rsidR="008B164C" w:rsidRPr="00B45801">
        <w:rPr>
          <w:rFonts w:ascii="Arial" w:eastAsia="Times New Roman" w:hAnsi="Arial" w:cs="Arial"/>
          <w:sz w:val="24"/>
          <w:szCs w:val="24"/>
          <w:lang w:val="en-GB"/>
        </w:rPr>
        <w:t>es</w:t>
      </w:r>
      <w:r w:rsidR="00314577" w:rsidRPr="00B45801">
        <w:rPr>
          <w:rFonts w:ascii="Arial" w:eastAsia="Times New Roman" w:hAnsi="Arial" w:cs="Arial"/>
          <w:sz w:val="24"/>
          <w:szCs w:val="24"/>
          <w:lang w:val="en-GB"/>
        </w:rPr>
        <w:t xml:space="preserve"> not change ownership through shareholding </w:t>
      </w:r>
      <w:r w:rsidR="00D146BA" w:rsidRPr="00B45801">
        <w:rPr>
          <w:rFonts w:ascii="Arial" w:eastAsia="Times New Roman" w:hAnsi="Arial" w:cs="Arial"/>
          <w:sz w:val="24"/>
          <w:szCs w:val="24"/>
          <w:lang w:val="en-GB"/>
        </w:rPr>
        <w:t xml:space="preserve">of </w:t>
      </w:r>
      <w:r w:rsidR="00314577" w:rsidRPr="00B45801">
        <w:rPr>
          <w:rFonts w:ascii="Arial" w:eastAsia="Times New Roman" w:hAnsi="Arial" w:cs="Arial"/>
          <w:sz w:val="24"/>
          <w:szCs w:val="24"/>
          <w:lang w:val="en-GB"/>
        </w:rPr>
        <w:t>Tonkolili</w:t>
      </w:r>
      <w:r w:rsidR="00D146BA" w:rsidRPr="00B45801">
        <w:rPr>
          <w:rFonts w:ascii="Arial" w:eastAsia="Times New Roman" w:hAnsi="Arial" w:cs="Arial"/>
          <w:sz w:val="24"/>
          <w:szCs w:val="24"/>
          <w:lang w:val="en-GB"/>
        </w:rPr>
        <w:t>, which</w:t>
      </w:r>
      <w:r w:rsidR="00314577" w:rsidRPr="00B45801">
        <w:rPr>
          <w:rFonts w:ascii="Arial" w:eastAsia="Times New Roman" w:hAnsi="Arial" w:cs="Arial"/>
          <w:sz w:val="24"/>
          <w:szCs w:val="24"/>
          <w:lang w:val="en-GB"/>
        </w:rPr>
        <w:t xml:space="preserve"> is strictly controlled by SASAC. </w:t>
      </w:r>
      <w:r w:rsidR="004C2B77">
        <w:rPr>
          <w:rFonts w:ascii="Arial" w:eastAsia="Times New Roman" w:hAnsi="Arial" w:cs="Arial"/>
          <w:sz w:val="24"/>
          <w:szCs w:val="24"/>
          <w:lang w:val="en-GB"/>
        </w:rPr>
        <w:t xml:space="preserve"> </w:t>
      </w:r>
      <w:r w:rsidR="00314577" w:rsidRPr="00B45801">
        <w:rPr>
          <w:rFonts w:ascii="Arial" w:eastAsia="Times New Roman" w:hAnsi="Arial" w:cs="Arial"/>
          <w:sz w:val="24"/>
          <w:szCs w:val="24"/>
          <w:lang w:val="en-GB"/>
        </w:rPr>
        <w:t>As capital contributor and controller</w:t>
      </w:r>
      <w:r w:rsidR="00E248AD" w:rsidRPr="00B45801">
        <w:rPr>
          <w:rFonts w:ascii="Arial" w:eastAsia="Times New Roman" w:hAnsi="Arial" w:cs="Arial"/>
          <w:sz w:val="24"/>
          <w:szCs w:val="24"/>
          <w:lang w:val="en-GB"/>
        </w:rPr>
        <w:t>,</w:t>
      </w:r>
      <w:r w:rsidR="00314577" w:rsidRPr="00B45801">
        <w:rPr>
          <w:rFonts w:ascii="Arial" w:eastAsia="Times New Roman" w:hAnsi="Arial" w:cs="Arial"/>
          <w:sz w:val="24"/>
          <w:szCs w:val="24"/>
          <w:lang w:val="en-GB"/>
        </w:rPr>
        <w:t xml:space="preserve"> it is </w:t>
      </w:r>
      <w:r w:rsidR="00924146">
        <w:rPr>
          <w:rFonts w:ascii="Arial" w:eastAsia="Times New Roman" w:hAnsi="Arial" w:cs="Arial"/>
          <w:sz w:val="24"/>
          <w:szCs w:val="24"/>
          <w:lang w:val="en-GB"/>
        </w:rPr>
        <w:t>‘</w:t>
      </w:r>
      <w:r w:rsidR="00314577" w:rsidRPr="00B45801">
        <w:rPr>
          <w:rFonts w:ascii="Arial" w:eastAsia="Times New Roman" w:hAnsi="Arial" w:cs="Arial"/>
          <w:sz w:val="24"/>
          <w:szCs w:val="24"/>
          <w:lang w:val="en-GB"/>
        </w:rPr>
        <w:t>impossible</w:t>
      </w:r>
      <w:r w:rsidR="00924146">
        <w:rPr>
          <w:rFonts w:ascii="Arial" w:eastAsia="Times New Roman" w:hAnsi="Arial" w:cs="Arial"/>
          <w:sz w:val="24"/>
          <w:szCs w:val="24"/>
          <w:lang w:val="en-GB"/>
        </w:rPr>
        <w:t>’</w:t>
      </w:r>
      <w:r w:rsidR="00314577" w:rsidRPr="00B45801">
        <w:rPr>
          <w:rFonts w:ascii="Arial" w:eastAsia="Times New Roman" w:hAnsi="Arial" w:cs="Arial"/>
          <w:sz w:val="24"/>
          <w:szCs w:val="24"/>
          <w:lang w:val="en-GB"/>
        </w:rPr>
        <w:t xml:space="preserve"> that SASAC would lose its control of power</w:t>
      </w:r>
      <w:r w:rsidR="00D146BA" w:rsidRPr="00B45801">
        <w:rPr>
          <w:rFonts w:ascii="Arial" w:eastAsia="Times New Roman" w:hAnsi="Arial" w:cs="Arial"/>
          <w:sz w:val="24"/>
          <w:szCs w:val="24"/>
          <w:lang w:val="en-GB"/>
        </w:rPr>
        <w:t xml:space="preserve"> </w:t>
      </w:r>
      <w:r w:rsidR="00314577" w:rsidRPr="00B45801">
        <w:rPr>
          <w:rFonts w:ascii="Arial" w:eastAsia="Times New Roman" w:hAnsi="Arial" w:cs="Arial"/>
          <w:sz w:val="24"/>
          <w:szCs w:val="24"/>
          <w:lang w:val="en-GB"/>
        </w:rPr>
        <w:t xml:space="preserve">over Tonkolili.  </w:t>
      </w:r>
      <w:r w:rsidR="00C50CAE" w:rsidRPr="00B45801">
        <w:rPr>
          <w:rFonts w:ascii="Arial" w:eastAsia="Times New Roman" w:hAnsi="Arial" w:cs="Arial"/>
          <w:color w:val="000000" w:themeColor="text1"/>
          <w:sz w:val="24"/>
          <w:szCs w:val="24"/>
          <w:lang w:val="en-GB"/>
        </w:rPr>
        <w:t>T</w:t>
      </w:r>
      <w:r w:rsidR="004E2631" w:rsidRPr="00B45801">
        <w:rPr>
          <w:rFonts w:ascii="Arial" w:eastAsia="Times New Roman" w:hAnsi="Arial" w:cs="Arial"/>
          <w:color w:val="000000" w:themeColor="text1"/>
          <w:sz w:val="24"/>
          <w:szCs w:val="24"/>
          <w:lang w:val="en-GB"/>
        </w:rPr>
        <w:t xml:space="preserve">he investment relationship between the government and the </w:t>
      </w:r>
      <w:r w:rsidR="00130CA5">
        <w:rPr>
          <w:rFonts w:ascii="Arial" w:eastAsia="Times New Roman" w:hAnsi="Arial" w:cs="Arial"/>
          <w:color w:val="000000" w:themeColor="text1"/>
          <w:sz w:val="24"/>
          <w:szCs w:val="24"/>
          <w:lang w:val="en-GB"/>
        </w:rPr>
        <w:t>S</w:t>
      </w:r>
      <w:r w:rsidR="004E2631" w:rsidRPr="00B45801">
        <w:rPr>
          <w:rFonts w:ascii="Arial" w:eastAsia="Times New Roman" w:hAnsi="Arial" w:cs="Arial"/>
          <w:color w:val="000000" w:themeColor="text1"/>
          <w:sz w:val="24"/>
          <w:szCs w:val="24"/>
          <w:lang w:val="en-GB"/>
        </w:rPr>
        <w:t>tate</w:t>
      </w:r>
      <w:r w:rsidR="006334BC" w:rsidRPr="00B45801">
        <w:rPr>
          <w:rFonts w:ascii="Arial" w:eastAsia="Times New Roman" w:hAnsi="Arial" w:cs="Arial"/>
          <w:color w:val="000000" w:themeColor="text1"/>
          <w:sz w:val="24"/>
          <w:szCs w:val="24"/>
          <w:lang w:val="en-GB"/>
        </w:rPr>
        <w:t>-</w:t>
      </w:r>
      <w:r w:rsidR="004E2631" w:rsidRPr="00B45801">
        <w:rPr>
          <w:rFonts w:ascii="Arial" w:eastAsia="Times New Roman" w:hAnsi="Arial" w:cs="Arial"/>
          <w:color w:val="000000" w:themeColor="text1"/>
          <w:sz w:val="24"/>
          <w:szCs w:val="24"/>
          <w:lang w:val="en-GB"/>
        </w:rPr>
        <w:t xml:space="preserve">owned enterprises should be clearly set out. </w:t>
      </w:r>
      <w:r w:rsidR="006334BC" w:rsidRPr="00B45801">
        <w:rPr>
          <w:rFonts w:ascii="Arial" w:eastAsia="Times New Roman" w:hAnsi="Arial" w:cs="Arial"/>
          <w:color w:val="000000" w:themeColor="text1"/>
          <w:sz w:val="24"/>
          <w:szCs w:val="24"/>
          <w:lang w:val="en-GB"/>
        </w:rPr>
        <w:t xml:space="preserve"> If SASAC </w:t>
      </w:r>
      <w:r w:rsidR="004E2631" w:rsidRPr="00B45801">
        <w:rPr>
          <w:rFonts w:ascii="Arial" w:eastAsia="Times New Roman" w:hAnsi="Arial" w:cs="Arial"/>
          <w:color w:val="000000" w:themeColor="text1"/>
          <w:sz w:val="24"/>
          <w:szCs w:val="24"/>
          <w:lang w:val="en-GB"/>
        </w:rPr>
        <w:t xml:space="preserve">authorises other enterprises or institutions to exercise some of </w:t>
      </w:r>
      <w:r w:rsidR="005F1FB6" w:rsidRPr="00B45801">
        <w:rPr>
          <w:rFonts w:ascii="Arial" w:eastAsia="Times New Roman" w:hAnsi="Arial" w:cs="Arial"/>
          <w:color w:val="000000" w:themeColor="text1"/>
          <w:sz w:val="24"/>
          <w:szCs w:val="24"/>
          <w:lang w:val="en-GB"/>
        </w:rPr>
        <w:t xml:space="preserve">its </w:t>
      </w:r>
      <w:r w:rsidR="004E2631" w:rsidRPr="00B45801">
        <w:rPr>
          <w:rFonts w:ascii="Arial" w:eastAsia="Times New Roman" w:hAnsi="Arial" w:cs="Arial"/>
          <w:color w:val="000000" w:themeColor="text1"/>
          <w:sz w:val="24"/>
          <w:szCs w:val="24"/>
          <w:lang w:val="en-GB"/>
        </w:rPr>
        <w:t xml:space="preserve">rights </w:t>
      </w:r>
      <w:r w:rsidR="005F1FB6" w:rsidRPr="00B45801">
        <w:rPr>
          <w:rFonts w:ascii="Arial" w:eastAsia="Times New Roman" w:hAnsi="Arial" w:cs="Arial"/>
          <w:color w:val="000000" w:themeColor="text1"/>
          <w:sz w:val="24"/>
          <w:szCs w:val="24"/>
          <w:lang w:val="en-GB"/>
        </w:rPr>
        <w:t xml:space="preserve">as </w:t>
      </w:r>
      <w:r w:rsidR="004E2631" w:rsidRPr="00B45801">
        <w:rPr>
          <w:rFonts w:ascii="Arial" w:eastAsia="Times New Roman" w:hAnsi="Arial" w:cs="Arial"/>
          <w:color w:val="000000" w:themeColor="text1"/>
          <w:sz w:val="24"/>
          <w:szCs w:val="24"/>
          <w:lang w:val="en-GB"/>
        </w:rPr>
        <w:t xml:space="preserve">a </w:t>
      </w:r>
      <w:r w:rsidR="005F1FB6" w:rsidRPr="00B45801">
        <w:rPr>
          <w:rFonts w:ascii="Arial" w:eastAsia="Times New Roman" w:hAnsi="Arial" w:cs="Arial"/>
          <w:color w:val="000000" w:themeColor="text1"/>
          <w:sz w:val="24"/>
          <w:szCs w:val="24"/>
          <w:lang w:val="en-GB"/>
        </w:rPr>
        <w:t xml:space="preserve">capital </w:t>
      </w:r>
      <w:r w:rsidR="004E2631" w:rsidRPr="00B45801">
        <w:rPr>
          <w:rFonts w:ascii="Arial" w:eastAsia="Times New Roman" w:hAnsi="Arial" w:cs="Arial"/>
          <w:color w:val="000000" w:themeColor="text1"/>
          <w:sz w:val="24"/>
          <w:szCs w:val="24"/>
          <w:lang w:val="en-GB"/>
        </w:rPr>
        <w:t>contributor</w:t>
      </w:r>
      <w:r w:rsidR="00DA466B" w:rsidRPr="00B45801">
        <w:rPr>
          <w:rFonts w:ascii="Arial" w:eastAsia="Times New Roman" w:hAnsi="Arial" w:cs="Arial"/>
          <w:color w:val="000000" w:themeColor="text1"/>
          <w:sz w:val="24"/>
          <w:szCs w:val="24"/>
          <w:lang w:val="en-GB"/>
        </w:rPr>
        <w:t>,</w:t>
      </w:r>
      <w:r w:rsidR="004E2631" w:rsidRPr="00B45801">
        <w:rPr>
          <w:rFonts w:ascii="Arial" w:eastAsia="Times New Roman" w:hAnsi="Arial" w:cs="Arial"/>
          <w:color w:val="000000" w:themeColor="text1"/>
          <w:sz w:val="24"/>
          <w:szCs w:val="24"/>
          <w:lang w:val="en-GB"/>
        </w:rPr>
        <w:t xml:space="preserve"> the status of the party performing the contribut</w:t>
      </w:r>
      <w:r w:rsidR="00E95928" w:rsidRPr="00B45801">
        <w:rPr>
          <w:rFonts w:ascii="Arial" w:eastAsia="Times New Roman" w:hAnsi="Arial" w:cs="Arial"/>
          <w:color w:val="000000" w:themeColor="text1"/>
          <w:sz w:val="24"/>
          <w:szCs w:val="24"/>
          <w:lang w:val="en-GB"/>
        </w:rPr>
        <w:t>or</w:t>
      </w:r>
      <w:r w:rsidR="004E2631" w:rsidRPr="00B45801">
        <w:rPr>
          <w:rFonts w:ascii="Arial" w:eastAsia="Times New Roman" w:hAnsi="Arial" w:cs="Arial"/>
          <w:color w:val="000000" w:themeColor="text1"/>
          <w:sz w:val="24"/>
          <w:szCs w:val="24"/>
          <w:lang w:val="en-GB"/>
        </w:rPr>
        <w:t xml:space="preserve"> functions </w:t>
      </w:r>
      <w:r w:rsidR="00D534BC" w:rsidRPr="00B45801">
        <w:rPr>
          <w:rFonts w:ascii="Arial" w:eastAsia="Times New Roman" w:hAnsi="Arial" w:cs="Arial"/>
          <w:color w:val="000000" w:themeColor="text1"/>
          <w:sz w:val="24"/>
          <w:szCs w:val="24"/>
          <w:lang w:val="en-GB"/>
        </w:rPr>
        <w:t xml:space="preserve">and its power to control </w:t>
      </w:r>
      <w:r w:rsidR="00130CA5">
        <w:rPr>
          <w:rFonts w:ascii="Arial" w:eastAsia="Times New Roman" w:hAnsi="Arial" w:cs="Arial"/>
          <w:color w:val="000000" w:themeColor="text1"/>
          <w:sz w:val="24"/>
          <w:szCs w:val="24"/>
          <w:lang w:val="en-GB"/>
        </w:rPr>
        <w:t>S</w:t>
      </w:r>
      <w:r w:rsidR="00D534BC" w:rsidRPr="00B45801">
        <w:rPr>
          <w:rFonts w:ascii="Arial" w:eastAsia="Times New Roman" w:hAnsi="Arial" w:cs="Arial"/>
          <w:color w:val="000000" w:themeColor="text1"/>
          <w:sz w:val="24"/>
          <w:szCs w:val="24"/>
          <w:lang w:val="en-GB"/>
        </w:rPr>
        <w:t xml:space="preserve">tate investment enterprises </w:t>
      </w:r>
      <w:r w:rsidR="0016584B">
        <w:rPr>
          <w:rFonts w:ascii="Arial" w:eastAsia="Times New Roman" w:hAnsi="Arial" w:cs="Arial"/>
          <w:color w:val="000000" w:themeColor="text1"/>
          <w:sz w:val="24"/>
          <w:szCs w:val="24"/>
          <w:lang w:val="en-GB"/>
        </w:rPr>
        <w:t>remains un</w:t>
      </w:r>
      <w:r w:rsidR="004E2631" w:rsidRPr="00B45801">
        <w:rPr>
          <w:rFonts w:ascii="Arial" w:eastAsia="Times New Roman" w:hAnsi="Arial" w:cs="Arial"/>
          <w:color w:val="000000" w:themeColor="text1"/>
          <w:sz w:val="24"/>
          <w:szCs w:val="24"/>
          <w:lang w:val="en-GB"/>
        </w:rPr>
        <w:t>affected</w:t>
      </w:r>
      <w:r w:rsidR="00B45801">
        <w:rPr>
          <w:rFonts w:ascii="Arial" w:eastAsia="Times New Roman" w:hAnsi="Arial" w:cs="Arial"/>
          <w:color w:val="000000" w:themeColor="text1"/>
          <w:sz w:val="24"/>
          <w:szCs w:val="24"/>
          <w:lang w:val="en-GB"/>
        </w:rPr>
        <w:t>.</w:t>
      </w:r>
    </w:p>
    <w:p w:rsidR="00B45801" w:rsidRPr="00B45801" w:rsidRDefault="00B45801"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3A680B" w:rsidRPr="008E299E" w:rsidRDefault="003F7D65"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Dr Li </w:t>
      </w:r>
      <w:r w:rsidR="00B45801">
        <w:rPr>
          <w:rFonts w:ascii="Arial" w:eastAsia="Times New Roman" w:hAnsi="Arial" w:cs="Arial"/>
          <w:sz w:val="24"/>
          <w:szCs w:val="24"/>
          <w:lang w:val="en-GB"/>
        </w:rPr>
        <w:t>emphasises</w:t>
      </w:r>
      <w:r w:rsidRPr="008E299E">
        <w:rPr>
          <w:rFonts w:ascii="Arial" w:eastAsia="Times New Roman" w:hAnsi="Arial" w:cs="Arial"/>
          <w:sz w:val="24"/>
          <w:szCs w:val="24"/>
          <w:lang w:val="en-GB"/>
        </w:rPr>
        <w:t xml:space="preserve"> that t</w:t>
      </w:r>
      <w:r w:rsidR="003D526E" w:rsidRPr="008E299E">
        <w:rPr>
          <w:rFonts w:ascii="Arial" w:eastAsia="Times New Roman" w:hAnsi="Arial" w:cs="Arial"/>
          <w:sz w:val="24"/>
          <w:szCs w:val="24"/>
          <w:lang w:val="en-GB"/>
        </w:rPr>
        <w:t xml:space="preserve">he PRC </w:t>
      </w:r>
      <w:r w:rsidR="0063388C" w:rsidRPr="008E299E">
        <w:rPr>
          <w:rFonts w:ascii="Arial" w:eastAsia="Times New Roman" w:hAnsi="Arial" w:cs="Arial"/>
          <w:sz w:val="24"/>
          <w:szCs w:val="24"/>
          <w:lang w:val="en-GB"/>
        </w:rPr>
        <w:t>Law on SOEs</w:t>
      </w:r>
      <w:r w:rsidR="003D526E" w:rsidRPr="008E299E">
        <w:rPr>
          <w:rFonts w:ascii="Arial" w:eastAsia="Times New Roman" w:hAnsi="Arial" w:cs="Arial"/>
          <w:sz w:val="24"/>
          <w:szCs w:val="24"/>
          <w:lang w:val="en-GB"/>
        </w:rPr>
        <w:t xml:space="preserve"> is </w:t>
      </w:r>
      <w:r w:rsidR="007374BA" w:rsidRPr="008E299E">
        <w:rPr>
          <w:rFonts w:ascii="Arial" w:eastAsia="Times New Roman" w:hAnsi="Arial" w:cs="Arial"/>
          <w:color w:val="000000" w:themeColor="text1"/>
          <w:sz w:val="24"/>
          <w:szCs w:val="24"/>
          <w:lang w:val="en-GB"/>
        </w:rPr>
        <w:t>the national law</w:t>
      </w:r>
      <w:r w:rsidR="00C50CAE" w:rsidRPr="008E299E">
        <w:rPr>
          <w:rFonts w:ascii="Arial" w:eastAsia="Times New Roman" w:hAnsi="Arial" w:cs="Arial"/>
          <w:color w:val="000000" w:themeColor="text1"/>
          <w:sz w:val="24"/>
          <w:szCs w:val="24"/>
          <w:lang w:val="en-GB"/>
        </w:rPr>
        <w:t>;</w:t>
      </w:r>
      <w:r w:rsidR="007374BA" w:rsidRPr="008E299E">
        <w:rPr>
          <w:rFonts w:ascii="Arial" w:eastAsia="Times New Roman" w:hAnsi="Arial" w:cs="Arial"/>
          <w:color w:val="000000" w:themeColor="text1"/>
          <w:sz w:val="24"/>
          <w:szCs w:val="24"/>
          <w:lang w:val="en-GB"/>
        </w:rPr>
        <w:t xml:space="preserve"> any reform must be in accordance with it.</w:t>
      </w:r>
      <w:r w:rsidR="001517FC">
        <w:rPr>
          <w:rFonts w:ascii="Arial" w:eastAsia="Times New Roman" w:hAnsi="Arial" w:cs="Arial"/>
          <w:color w:val="000000" w:themeColor="text1"/>
          <w:sz w:val="24"/>
          <w:szCs w:val="24"/>
          <w:lang w:val="en-GB"/>
        </w:rPr>
        <w:t xml:space="preserve"> </w:t>
      </w:r>
      <w:r w:rsidR="007374BA" w:rsidRPr="008E299E">
        <w:rPr>
          <w:rFonts w:ascii="Arial" w:eastAsia="Times New Roman" w:hAnsi="Arial" w:cs="Arial"/>
          <w:color w:val="000000" w:themeColor="text1"/>
          <w:sz w:val="24"/>
          <w:szCs w:val="24"/>
          <w:lang w:val="en-GB"/>
        </w:rPr>
        <w:t xml:space="preserve"> It is </w:t>
      </w:r>
      <w:r w:rsidR="00924146">
        <w:rPr>
          <w:rFonts w:ascii="Arial" w:eastAsia="Times New Roman" w:hAnsi="Arial" w:cs="Arial"/>
          <w:sz w:val="24"/>
          <w:szCs w:val="24"/>
          <w:lang w:val="en-GB"/>
        </w:rPr>
        <w:t>‘</w:t>
      </w:r>
      <w:r w:rsidR="003D526E" w:rsidRPr="008E299E">
        <w:rPr>
          <w:rFonts w:ascii="Arial" w:eastAsia="Times New Roman" w:hAnsi="Arial" w:cs="Arial"/>
          <w:sz w:val="24"/>
          <w:szCs w:val="24"/>
          <w:lang w:val="en-GB"/>
        </w:rPr>
        <w:t>effective and of higher authority than the policies</w:t>
      </w:r>
      <w:r w:rsidR="0063388C" w:rsidRPr="008E299E">
        <w:rPr>
          <w:rFonts w:ascii="Arial" w:eastAsia="Times New Roman" w:hAnsi="Arial" w:cs="Arial"/>
          <w:sz w:val="24"/>
          <w:szCs w:val="24"/>
          <w:lang w:val="en-GB"/>
        </w:rPr>
        <w:t>,</w:t>
      </w:r>
      <w:r w:rsidR="003D526E" w:rsidRPr="008E299E">
        <w:rPr>
          <w:rFonts w:ascii="Arial" w:eastAsia="Times New Roman" w:hAnsi="Arial" w:cs="Arial"/>
          <w:sz w:val="24"/>
          <w:szCs w:val="24"/>
          <w:lang w:val="en-GB"/>
        </w:rPr>
        <w:t xml:space="preserve"> plans and opinions</w:t>
      </w:r>
      <w:r w:rsidR="00924146">
        <w:rPr>
          <w:rFonts w:ascii="Arial" w:eastAsia="Times New Roman" w:hAnsi="Arial" w:cs="Arial"/>
          <w:sz w:val="24"/>
          <w:szCs w:val="24"/>
          <w:lang w:val="en-GB"/>
        </w:rPr>
        <w:t>’</w:t>
      </w:r>
      <w:r w:rsidR="003D526E" w:rsidRPr="008E299E">
        <w:rPr>
          <w:rFonts w:ascii="Arial" w:eastAsia="Times New Roman" w:hAnsi="Arial" w:cs="Arial"/>
          <w:sz w:val="24"/>
          <w:szCs w:val="24"/>
          <w:lang w:val="en-GB"/>
        </w:rPr>
        <w:t xml:space="preserve"> on which Mr </w:t>
      </w:r>
      <w:r w:rsidR="003A680B" w:rsidRPr="008E299E">
        <w:rPr>
          <w:rFonts w:ascii="Arial" w:eastAsia="Times New Roman" w:hAnsi="Arial" w:cs="Arial"/>
          <w:sz w:val="24"/>
          <w:szCs w:val="24"/>
          <w:lang w:val="en-GB"/>
        </w:rPr>
        <w:t>Pe</w:t>
      </w:r>
      <w:r w:rsidR="003D526E" w:rsidRPr="008E299E">
        <w:rPr>
          <w:rFonts w:ascii="Arial" w:eastAsia="Times New Roman" w:hAnsi="Arial" w:cs="Arial"/>
          <w:sz w:val="24"/>
          <w:szCs w:val="24"/>
          <w:lang w:val="en-GB"/>
        </w:rPr>
        <w:t>ng r</w:t>
      </w:r>
      <w:r w:rsidR="003A680B" w:rsidRPr="008E299E">
        <w:rPr>
          <w:rFonts w:ascii="Arial" w:eastAsia="Times New Roman" w:hAnsi="Arial" w:cs="Arial"/>
          <w:sz w:val="24"/>
          <w:szCs w:val="24"/>
          <w:lang w:val="en-GB"/>
        </w:rPr>
        <w:t>elies</w:t>
      </w:r>
      <w:r w:rsidR="003D526E" w:rsidRPr="008E299E">
        <w:rPr>
          <w:rFonts w:ascii="Arial" w:eastAsia="Times New Roman" w:hAnsi="Arial" w:cs="Arial"/>
          <w:sz w:val="24"/>
          <w:szCs w:val="24"/>
          <w:lang w:val="en-GB"/>
        </w:rPr>
        <w:t xml:space="preserve"> </w:t>
      </w:r>
      <w:r w:rsidR="00794D80" w:rsidRPr="008E299E">
        <w:rPr>
          <w:rFonts w:ascii="Arial" w:eastAsia="Times New Roman" w:hAnsi="Arial" w:cs="Arial"/>
          <w:sz w:val="24"/>
          <w:szCs w:val="24"/>
          <w:lang w:val="en-GB"/>
        </w:rPr>
        <w:t>for</w:t>
      </w:r>
      <w:r w:rsidR="003D526E" w:rsidRPr="008E299E">
        <w:rPr>
          <w:rFonts w:ascii="Arial" w:eastAsia="Times New Roman" w:hAnsi="Arial" w:cs="Arial"/>
          <w:sz w:val="24"/>
          <w:szCs w:val="24"/>
          <w:lang w:val="en-GB"/>
        </w:rPr>
        <w:t xml:space="preserve"> the government</w:t>
      </w:r>
      <w:r w:rsidR="003A680B" w:rsidRPr="008E299E">
        <w:rPr>
          <w:rFonts w:ascii="Arial" w:eastAsia="Times New Roman" w:hAnsi="Arial" w:cs="Arial"/>
          <w:sz w:val="24"/>
          <w:szCs w:val="24"/>
          <w:lang w:val="en-GB"/>
        </w:rPr>
        <w:t>-SOE</w:t>
      </w:r>
      <w:r w:rsidR="003D526E" w:rsidRPr="008E299E">
        <w:rPr>
          <w:rFonts w:ascii="Arial" w:eastAsia="Times New Roman" w:hAnsi="Arial" w:cs="Arial"/>
          <w:sz w:val="24"/>
          <w:szCs w:val="24"/>
          <w:lang w:val="en-GB"/>
        </w:rPr>
        <w:t xml:space="preserve"> relationship reform measures</w:t>
      </w:r>
      <w:r w:rsidR="00DA466B" w:rsidRPr="008E299E">
        <w:rPr>
          <w:rFonts w:ascii="Arial" w:eastAsia="Times New Roman" w:hAnsi="Arial" w:cs="Arial"/>
          <w:sz w:val="24"/>
          <w:szCs w:val="24"/>
          <w:lang w:val="en-GB"/>
        </w:rPr>
        <w:t>.</w:t>
      </w:r>
      <w:r w:rsidR="003D526E" w:rsidRPr="008E299E">
        <w:rPr>
          <w:rFonts w:ascii="Arial" w:eastAsia="Times New Roman" w:hAnsi="Arial" w:cs="Arial"/>
          <w:sz w:val="24"/>
          <w:szCs w:val="24"/>
          <w:lang w:val="en-GB"/>
        </w:rPr>
        <w:t xml:space="preserve"> </w:t>
      </w:r>
      <w:r w:rsidR="006334BC" w:rsidRPr="008E299E">
        <w:rPr>
          <w:rFonts w:ascii="Arial" w:eastAsia="Times New Roman" w:hAnsi="Arial" w:cs="Arial"/>
          <w:color w:val="000000" w:themeColor="text1"/>
          <w:sz w:val="24"/>
          <w:szCs w:val="24"/>
          <w:lang w:val="en-GB"/>
        </w:rPr>
        <w:t>The State Council documents are expressions of opinion</w:t>
      </w:r>
      <w:r w:rsidR="007374BA" w:rsidRPr="008E299E">
        <w:rPr>
          <w:rFonts w:ascii="Arial" w:eastAsia="Times New Roman" w:hAnsi="Arial" w:cs="Arial"/>
          <w:color w:val="000000" w:themeColor="text1"/>
          <w:sz w:val="24"/>
          <w:szCs w:val="24"/>
          <w:lang w:val="en-GB"/>
        </w:rPr>
        <w:t>,</w:t>
      </w:r>
      <w:r w:rsidR="006334BC" w:rsidRPr="008E299E">
        <w:rPr>
          <w:rFonts w:ascii="Arial" w:eastAsia="Times New Roman" w:hAnsi="Arial" w:cs="Arial"/>
          <w:color w:val="000000" w:themeColor="text1"/>
          <w:sz w:val="24"/>
          <w:szCs w:val="24"/>
          <w:lang w:val="en-GB"/>
        </w:rPr>
        <w:t xml:space="preserve"> suggestion and guidance at the national level.  </w:t>
      </w:r>
      <w:r w:rsidR="0098487E" w:rsidRPr="008E299E">
        <w:rPr>
          <w:rFonts w:ascii="Arial" w:eastAsia="Times New Roman" w:hAnsi="Arial" w:cs="Arial"/>
          <w:color w:val="000000" w:themeColor="text1"/>
          <w:sz w:val="24"/>
          <w:szCs w:val="24"/>
          <w:lang w:val="en-GB"/>
        </w:rPr>
        <w:t>State Council instructions are not peremptory</w:t>
      </w:r>
      <w:r w:rsidR="007374BA" w:rsidRPr="008E299E">
        <w:rPr>
          <w:rFonts w:ascii="Arial" w:eastAsia="Times New Roman" w:hAnsi="Arial" w:cs="Arial"/>
          <w:color w:val="000000" w:themeColor="text1"/>
          <w:sz w:val="24"/>
          <w:szCs w:val="24"/>
          <w:lang w:val="en-GB"/>
        </w:rPr>
        <w:t>;</w:t>
      </w:r>
      <w:r w:rsidR="0098487E" w:rsidRPr="008E299E">
        <w:rPr>
          <w:rFonts w:ascii="Arial" w:eastAsia="Times New Roman" w:hAnsi="Arial" w:cs="Arial"/>
          <w:color w:val="000000" w:themeColor="text1"/>
          <w:sz w:val="24"/>
          <w:szCs w:val="24"/>
          <w:lang w:val="en-GB"/>
        </w:rPr>
        <w:t xml:space="preserve"> they are administrative instructions that must abide the law.</w:t>
      </w:r>
      <w:r w:rsidR="001517FC">
        <w:rPr>
          <w:rFonts w:ascii="Arial" w:eastAsia="Times New Roman" w:hAnsi="Arial" w:cs="Arial"/>
          <w:color w:val="000000" w:themeColor="text1"/>
          <w:sz w:val="24"/>
          <w:szCs w:val="24"/>
          <w:lang w:val="en-GB"/>
        </w:rPr>
        <w:t xml:space="preserve"> </w:t>
      </w:r>
      <w:r w:rsidR="0098487E" w:rsidRPr="008E299E">
        <w:rPr>
          <w:rFonts w:ascii="Arial" w:eastAsia="Times New Roman" w:hAnsi="Arial" w:cs="Arial"/>
          <w:color w:val="000000" w:themeColor="text1"/>
          <w:sz w:val="24"/>
          <w:szCs w:val="24"/>
          <w:lang w:val="en-GB"/>
        </w:rPr>
        <w:t xml:space="preserve"> During implementation</w:t>
      </w:r>
      <w:r w:rsidR="00C50CAE" w:rsidRPr="008E299E">
        <w:rPr>
          <w:rFonts w:ascii="Arial" w:eastAsia="Times New Roman" w:hAnsi="Arial" w:cs="Arial"/>
          <w:color w:val="000000" w:themeColor="text1"/>
          <w:sz w:val="24"/>
          <w:szCs w:val="24"/>
          <w:lang w:val="en-GB"/>
        </w:rPr>
        <w:t>,</w:t>
      </w:r>
      <w:r w:rsidR="0098487E" w:rsidRPr="008E299E">
        <w:rPr>
          <w:rFonts w:ascii="Arial" w:eastAsia="Times New Roman" w:hAnsi="Arial" w:cs="Arial"/>
          <w:color w:val="000000" w:themeColor="text1"/>
          <w:sz w:val="24"/>
          <w:szCs w:val="24"/>
          <w:lang w:val="en-GB"/>
        </w:rPr>
        <w:t xml:space="preserve"> flaws may be found or adjustments </w:t>
      </w:r>
      <w:r w:rsidR="007374BA" w:rsidRPr="008E299E">
        <w:rPr>
          <w:rFonts w:ascii="Arial" w:eastAsia="Times New Roman" w:hAnsi="Arial" w:cs="Arial"/>
          <w:color w:val="000000" w:themeColor="text1"/>
          <w:sz w:val="24"/>
          <w:szCs w:val="24"/>
          <w:lang w:val="en-GB"/>
        </w:rPr>
        <w:t>must</w:t>
      </w:r>
      <w:r w:rsidR="0098487E" w:rsidRPr="008E299E">
        <w:rPr>
          <w:rFonts w:ascii="Arial" w:eastAsia="Times New Roman" w:hAnsi="Arial" w:cs="Arial"/>
          <w:color w:val="000000" w:themeColor="text1"/>
          <w:sz w:val="24"/>
          <w:szCs w:val="24"/>
          <w:lang w:val="en-GB"/>
        </w:rPr>
        <w:t xml:space="preserve"> be made to the State Council instructions.</w:t>
      </w:r>
      <w:r w:rsidR="001517FC">
        <w:rPr>
          <w:rFonts w:ascii="Arial" w:eastAsia="Times New Roman" w:hAnsi="Arial" w:cs="Arial"/>
          <w:color w:val="000000" w:themeColor="text1"/>
          <w:sz w:val="24"/>
          <w:szCs w:val="24"/>
          <w:lang w:val="en-GB"/>
        </w:rPr>
        <w:t xml:space="preserve"> </w:t>
      </w:r>
      <w:r w:rsidR="007374BA" w:rsidRPr="008E299E">
        <w:rPr>
          <w:rFonts w:ascii="Arial" w:eastAsia="Times New Roman" w:hAnsi="Arial" w:cs="Arial"/>
          <w:sz w:val="24"/>
          <w:szCs w:val="24"/>
          <w:lang w:val="en-GB"/>
        </w:rPr>
        <w:t xml:space="preserve"> They </w:t>
      </w:r>
      <w:r w:rsidR="00130CA5">
        <w:rPr>
          <w:rFonts w:ascii="Arial" w:eastAsia="Times New Roman" w:hAnsi="Arial" w:cs="Arial"/>
          <w:sz w:val="24"/>
          <w:szCs w:val="24"/>
          <w:lang w:val="en-GB"/>
        </w:rPr>
        <w:t>‘</w:t>
      </w:r>
      <w:r w:rsidR="007374BA" w:rsidRPr="008E299E">
        <w:rPr>
          <w:rFonts w:ascii="Arial" w:eastAsia="Times New Roman" w:hAnsi="Arial" w:cs="Arial"/>
          <w:sz w:val="24"/>
          <w:szCs w:val="24"/>
          <w:lang w:val="en-GB"/>
        </w:rPr>
        <w:t xml:space="preserve">do not reform the enterprises’ status of </w:t>
      </w:r>
      <w:r w:rsidR="00130CA5">
        <w:rPr>
          <w:rFonts w:ascii="Arial" w:eastAsia="Times New Roman" w:hAnsi="Arial" w:cs="Arial"/>
          <w:sz w:val="24"/>
          <w:szCs w:val="24"/>
          <w:lang w:val="en-GB"/>
        </w:rPr>
        <w:t>“</w:t>
      </w:r>
      <w:r w:rsidR="007374BA" w:rsidRPr="008E299E">
        <w:rPr>
          <w:rFonts w:ascii="Arial" w:eastAsia="Times New Roman" w:hAnsi="Arial" w:cs="Arial"/>
          <w:sz w:val="24"/>
          <w:szCs w:val="24"/>
          <w:lang w:val="en-GB"/>
        </w:rPr>
        <w:t>actually controlled</w:t>
      </w:r>
      <w:r w:rsidR="00130CA5">
        <w:rPr>
          <w:rFonts w:ascii="Arial" w:eastAsia="Times New Roman" w:hAnsi="Arial" w:cs="Arial"/>
          <w:sz w:val="24"/>
          <w:szCs w:val="24"/>
          <w:lang w:val="en-GB"/>
        </w:rPr>
        <w:t>”</w:t>
      </w:r>
      <w:r w:rsidR="007374BA" w:rsidRPr="008E299E">
        <w:rPr>
          <w:rFonts w:ascii="Arial" w:eastAsia="Times New Roman" w:hAnsi="Arial" w:cs="Arial"/>
          <w:sz w:val="24"/>
          <w:szCs w:val="24"/>
          <w:lang w:val="en-GB"/>
        </w:rPr>
        <w:t xml:space="preserve"> by the state.</w:t>
      </w:r>
      <w:r w:rsidR="00130CA5">
        <w:rPr>
          <w:rFonts w:ascii="Arial" w:eastAsia="Times New Roman" w:hAnsi="Arial" w:cs="Arial"/>
          <w:sz w:val="24"/>
          <w:szCs w:val="24"/>
          <w:lang w:val="en-GB"/>
        </w:rPr>
        <w:t>’</w:t>
      </w:r>
      <w:r w:rsidR="00AC3289" w:rsidRPr="008E299E">
        <w:rPr>
          <w:rFonts w:ascii="Arial" w:eastAsia="Times New Roman" w:hAnsi="Arial" w:cs="Arial"/>
          <w:sz w:val="24"/>
          <w:szCs w:val="24"/>
          <w:lang w:val="en-ZA"/>
        </w:rPr>
        <w:t xml:space="preserve">  </w:t>
      </w:r>
      <w:r w:rsidR="00DA466B" w:rsidRPr="008E299E">
        <w:rPr>
          <w:rFonts w:ascii="Arial" w:eastAsia="Times New Roman" w:hAnsi="Arial" w:cs="Arial"/>
          <w:color w:val="000000" w:themeColor="text1"/>
          <w:sz w:val="24"/>
          <w:szCs w:val="24"/>
          <w:lang w:val="en-GB"/>
        </w:rPr>
        <w:t>The reform</w:t>
      </w:r>
      <w:r w:rsidR="00A74B1D" w:rsidRPr="008E299E">
        <w:rPr>
          <w:rFonts w:ascii="Arial" w:eastAsia="Times New Roman" w:hAnsi="Arial" w:cs="Arial"/>
          <w:color w:val="000000" w:themeColor="text1"/>
          <w:sz w:val="24"/>
          <w:szCs w:val="24"/>
          <w:lang w:val="en-GB"/>
        </w:rPr>
        <w:t xml:space="preserve"> </w:t>
      </w:r>
      <w:r w:rsidR="00D534BC">
        <w:rPr>
          <w:rFonts w:ascii="Arial" w:eastAsia="Times New Roman" w:hAnsi="Arial" w:cs="Arial"/>
          <w:color w:val="000000" w:themeColor="text1"/>
          <w:sz w:val="24"/>
          <w:szCs w:val="24"/>
          <w:lang w:val="en-GB"/>
        </w:rPr>
        <w:t>is</w:t>
      </w:r>
      <w:r w:rsidR="00DA466B" w:rsidRPr="008E299E">
        <w:rPr>
          <w:rFonts w:ascii="Arial" w:eastAsia="Times New Roman" w:hAnsi="Arial" w:cs="Arial"/>
          <w:color w:val="000000" w:themeColor="text1"/>
          <w:sz w:val="24"/>
          <w:szCs w:val="24"/>
          <w:lang w:val="en-GB"/>
        </w:rPr>
        <w:t xml:space="preserve"> only about the operations and management </w:t>
      </w:r>
      <w:r w:rsidR="00537599" w:rsidRPr="008E299E">
        <w:rPr>
          <w:rFonts w:ascii="Arial" w:eastAsia="Times New Roman" w:hAnsi="Arial" w:cs="Arial"/>
          <w:color w:val="000000" w:themeColor="text1"/>
          <w:sz w:val="24"/>
          <w:szCs w:val="24"/>
          <w:lang w:val="en-GB"/>
        </w:rPr>
        <w:t xml:space="preserve">of </w:t>
      </w:r>
      <w:r w:rsidR="0098487E" w:rsidRPr="008E299E">
        <w:rPr>
          <w:rFonts w:ascii="Arial" w:eastAsia="Times New Roman" w:hAnsi="Arial" w:cs="Arial"/>
          <w:color w:val="000000" w:themeColor="text1"/>
          <w:sz w:val="24"/>
          <w:szCs w:val="24"/>
          <w:lang w:val="en-GB"/>
        </w:rPr>
        <w:t xml:space="preserve">enterprises. </w:t>
      </w:r>
      <w:r w:rsidR="0098487E" w:rsidRPr="008E299E">
        <w:rPr>
          <w:rFonts w:ascii="Arial" w:eastAsia="Times New Roman" w:hAnsi="Arial" w:cs="Arial"/>
          <w:sz w:val="24"/>
          <w:szCs w:val="24"/>
          <w:lang w:val="en-ZA"/>
        </w:rPr>
        <w:t xml:space="preserve">While </w:t>
      </w:r>
      <w:r w:rsidR="0098487E" w:rsidRPr="008E299E">
        <w:rPr>
          <w:rFonts w:ascii="Arial" w:eastAsia="Times New Roman" w:hAnsi="Arial" w:cs="Arial"/>
          <w:color w:val="000000" w:themeColor="text1"/>
          <w:sz w:val="24"/>
          <w:szCs w:val="24"/>
          <w:lang w:val="en-GB"/>
        </w:rPr>
        <w:t>i</w:t>
      </w:r>
      <w:r w:rsidR="00AA175D" w:rsidRPr="008E299E">
        <w:rPr>
          <w:rFonts w:ascii="Arial" w:eastAsia="Times New Roman" w:hAnsi="Arial" w:cs="Arial"/>
          <w:color w:val="000000" w:themeColor="text1"/>
          <w:sz w:val="24"/>
          <w:szCs w:val="24"/>
          <w:lang w:val="en-GB"/>
        </w:rPr>
        <w:t xml:space="preserve">t is up to </w:t>
      </w:r>
      <w:r w:rsidR="0098487E" w:rsidRPr="008E299E">
        <w:rPr>
          <w:rFonts w:ascii="Arial" w:eastAsia="Times New Roman" w:hAnsi="Arial" w:cs="Arial"/>
          <w:color w:val="000000" w:themeColor="text1"/>
          <w:sz w:val="24"/>
          <w:szCs w:val="24"/>
          <w:lang w:val="en-GB"/>
        </w:rPr>
        <w:t xml:space="preserve">SASAC and </w:t>
      </w:r>
      <w:r w:rsidR="00AA175D" w:rsidRPr="008E299E">
        <w:rPr>
          <w:rFonts w:ascii="Arial" w:eastAsia="Times New Roman" w:hAnsi="Arial" w:cs="Arial"/>
          <w:color w:val="000000" w:themeColor="text1"/>
          <w:sz w:val="24"/>
          <w:szCs w:val="24"/>
          <w:lang w:val="en-GB"/>
        </w:rPr>
        <w:t>the central government to delegate right</w:t>
      </w:r>
      <w:r w:rsidR="0098487E" w:rsidRPr="008E299E">
        <w:rPr>
          <w:rFonts w:ascii="Arial" w:eastAsia="Times New Roman" w:hAnsi="Arial" w:cs="Arial"/>
          <w:color w:val="000000" w:themeColor="text1"/>
          <w:sz w:val="24"/>
          <w:szCs w:val="24"/>
          <w:lang w:val="en-GB"/>
        </w:rPr>
        <w:t>s</w:t>
      </w:r>
      <w:r w:rsidR="00AA175D" w:rsidRPr="008E299E">
        <w:rPr>
          <w:rFonts w:ascii="Arial" w:eastAsia="Times New Roman" w:hAnsi="Arial" w:cs="Arial"/>
          <w:color w:val="000000" w:themeColor="text1"/>
          <w:sz w:val="24"/>
          <w:szCs w:val="24"/>
          <w:lang w:val="en-GB"/>
        </w:rPr>
        <w:t xml:space="preserve"> </w:t>
      </w:r>
      <w:r w:rsidR="0098487E" w:rsidRPr="008E299E">
        <w:rPr>
          <w:rFonts w:ascii="Arial" w:eastAsia="Times New Roman" w:hAnsi="Arial" w:cs="Arial"/>
          <w:color w:val="000000" w:themeColor="text1"/>
          <w:sz w:val="24"/>
          <w:szCs w:val="24"/>
          <w:lang w:val="en-GB"/>
        </w:rPr>
        <w:t>to e</w:t>
      </w:r>
      <w:r w:rsidR="00AA175D" w:rsidRPr="008E299E">
        <w:rPr>
          <w:rFonts w:ascii="Arial" w:eastAsia="Times New Roman" w:hAnsi="Arial" w:cs="Arial"/>
          <w:color w:val="000000" w:themeColor="text1"/>
          <w:sz w:val="24"/>
          <w:szCs w:val="24"/>
          <w:lang w:val="en-GB"/>
        </w:rPr>
        <w:t>nterprises and recall such delegation</w:t>
      </w:r>
      <w:r w:rsidR="0098487E" w:rsidRPr="008E299E">
        <w:rPr>
          <w:rFonts w:ascii="Arial" w:eastAsia="Times New Roman" w:hAnsi="Arial" w:cs="Arial"/>
          <w:color w:val="000000" w:themeColor="text1"/>
          <w:sz w:val="24"/>
          <w:szCs w:val="24"/>
          <w:lang w:val="en-GB"/>
        </w:rPr>
        <w:t>,</w:t>
      </w:r>
      <w:r w:rsidR="00AA175D" w:rsidRPr="008E299E">
        <w:rPr>
          <w:rFonts w:ascii="Arial" w:eastAsia="Times New Roman" w:hAnsi="Arial" w:cs="Arial"/>
          <w:color w:val="000000" w:themeColor="text1"/>
          <w:sz w:val="24"/>
          <w:szCs w:val="24"/>
          <w:lang w:val="en-GB"/>
        </w:rPr>
        <w:t xml:space="preserve"> this does not change the position of the actual controller</w:t>
      </w:r>
      <w:r w:rsidR="00A74B1D" w:rsidRPr="008E299E">
        <w:rPr>
          <w:rFonts w:ascii="Arial" w:eastAsia="Times New Roman" w:hAnsi="Arial" w:cs="Arial"/>
          <w:color w:val="000000" w:themeColor="text1"/>
          <w:sz w:val="24"/>
          <w:szCs w:val="24"/>
          <w:lang w:val="en-GB"/>
        </w:rPr>
        <w:t>.</w:t>
      </w:r>
      <w:r w:rsidR="00AA175D" w:rsidRPr="008E299E">
        <w:rPr>
          <w:rFonts w:ascii="Arial" w:eastAsia="Times New Roman" w:hAnsi="Arial" w:cs="Arial"/>
          <w:color w:val="000000" w:themeColor="text1"/>
          <w:sz w:val="24"/>
          <w:szCs w:val="24"/>
          <w:lang w:val="en-GB"/>
        </w:rPr>
        <w:t xml:space="preserve"> </w:t>
      </w:r>
      <w:r w:rsidR="00C50CAE" w:rsidRPr="008E299E">
        <w:rPr>
          <w:rFonts w:ascii="Arial" w:eastAsia="Times New Roman" w:hAnsi="Arial" w:cs="Arial"/>
          <w:color w:val="000000" w:themeColor="text1"/>
          <w:sz w:val="24"/>
          <w:szCs w:val="24"/>
          <w:lang w:val="en-GB"/>
        </w:rPr>
        <w:t xml:space="preserve"> R</w:t>
      </w:r>
      <w:r w:rsidR="00AA175D" w:rsidRPr="008E299E">
        <w:rPr>
          <w:rFonts w:ascii="Arial" w:eastAsia="Times New Roman" w:hAnsi="Arial" w:cs="Arial"/>
          <w:color w:val="000000" w:themeColor="text1"/>
          <w:sz w:val="24"/>
          <w:szCs w:val="24"/>
          <w:lang w:val="en-GB"/>
        </w:rPr>
        <w:t>eform</w:t>
      </w:r>
      <w:r w:rsidR="00C50CAE" w:rsidRPr="008E299E">
        <w:rPr>
          <w:rFonts w:ascii="Arial" w:eastAsia="Times New Roman" w:hAnsi="Arial" w:cs="Arial"/>
          <w:color w:val="000000" w:themeColor="text1"/>
          <w:sz w:val="24"/>
          <w:szCs w:val="24"/>
          <w:lang w:val="en-GB"/>
        </w:rPr>
        <w:t>s</w:t>
      </w:r>
      <w:r w:rsidR="00AA175D" w:rsidRPr="008E299E">
        <w:rPr>
          <w:rFonts w:ascii="Arial" w:eastAsia="Times New Roman" w:hAnsi="Arial" w:cs="Arial"/>
          <w:color w:val="000000" w:themeColor="text1"/>
          <w:sz w:val="24"/>
          <w:szCs w:val="24"/>
          <w:lang w:val="en-GB"/>
        </w:rPr>
        <w:t xml:space="preserve"> cannot go beyond the law. </w:t>
      </w:r>
    </w:p>
    <w:p w:rsidR="00FA1FAC" w:rsidRPr="00976FFD" w:rsidRDefault="00FA1FAC" w:rsidP="00BF0D6B">
      <w:pPr>
        <w:tabs>
          <w:tab w:val="left" w:pos="0"/>
          <w:tab w:val="left" w:pos="567"/>
          <w:tab w:val="left" w:pos="990"/>
        </w:tabs>
        <w:spacing w:line="360" w:lineRule="auto"/>
        <w:contextualSpacing/>
        <w:jc w:val="both"/>
        <w:rPr>
          <w:rFonts w:ascii="Arial" w:hAnsi="Arial" w:cs="Arial"/>
        </w:rPr>
      </w:pPr>
    </w:p>
    <w:p w:rsidR="00FA1FAC" w:rsidRPr="008E299E" w:rsidRDefault="00FA1FAC"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In Dr Li's opinion, irrespective of the government-SOE relationship reform measures, it will not prevent the government agencies (such as SASAC) from being </w:t>
      </w:r>
      <w:r w:rsidR="001517FC">
        <w:rPr>
          <w:rFonts w:ascii="Arial" w:eastAsia="Times New Roman" w:hAnsi="Arial" w:cs="Arial"/>
          <w:sz w:val="24"/>
          <w:szCs w:val="24"/>
          <w:lang w:val="en-GB"/>
        </w:rPr>
        <w:t xml:space="preserve">the </w:t>
      </w:r>
      <w:r w:rsidRPr="008E299E">
        <w:rPr>
          <w:rFonts w:ascii="Arial" w:eastAsia="Times New Roman" w:hAnsi="Arial" w:cs="Arial"/>
          <w:sz w:val="24"/>
          <w:szCs w:val="24"/>
          <w:lang w:val="en-GB"/>
        </w:rPr>
        <w:t xml:space="preserve">actual controlling shareholder and exercising the power of control in relation to SOEs under them.  Even if SASAC has authorised some </w:t>
      </w:r>
      <w:r w:rsidR="00184800" w:rsidRPr="008E299E">
        <w:rPr>
          <w:rFonts w:ascii="Arial" w:eastAsia="Times New Roman" w:hAnsi="Arial" w:cs="Arial"/>
          <w:sz w:val="24"/>
          <w:szCs w:val="24"/>
          <w:lang w:val="en-GB"/>
        </w:rPr>
        <w:t xml:space="preserve">of its contributor </w:t>
      </w:r>
      <w:r w:rsidRPr="008E299E">
        <w:rPr>
          <w:rFonts w:ascii="Arial" w:eastAsia="Times New Roman" w:hAnsi="Arial" w:cs="Arial"/>
          <w:sz w:val="24"/>
          <w:szCs w:val="24"/>
          <w:lang w:val="en-GB"/>
        </w:rPr>
        <w:t xml:space="preserve">functions to SOE holding companies, it always has the power to recoup such functions and retain the powers and responsibilities to control these SOE holding companies.  </w:t>
      </w:r>
      <w:r w:rsidR="000013F4">
        <w:rPr>
          <w:rFonts w:ascii="Arial" w:eastAsia="Times New Roman" w:hAnsi="Arial" w:cs="Arial"/>
          <w:sz w:val="24"/>
          <w:szCs w:val="24"/>
          <w:lang w:val="en-GB"/>
        </w:rPr>
        <w:t>‘</w:t>
      </w:r>
      <w:r w:rsidRPr="008E299E">
        <w:rPr>
          <w:rFonts w:ascii="Arial" w:eastAsia="Times New Roman" w:hAnsi="Arial" w:cs="Arial"/>
          <w:sz w:val="24"/>
          <w:szCs w:val="24"/>
          <w:lang w:val="en-GB"/>
        </w:rPr>
        <w:t xml:space="preserve">The enterprises’ status of actually controlled by the </w:t>
      </w:r>
      <w:r w:rsidR="00130CA5">
        <w:rPr>
          <w:rFonts w:ascii="Arial" w:eastAsia="Times New Roman" w:hAnsi="Arial" w:cs="Arial"/>
          <w:sz w:val="24"/>
          <w:szCs w:val="24"/>
          <w:lang w:val="en-GB"/>
        </w:rPr>
        <w:t>S</w:t>
      </w:r>
      <w:r w:rsidRPr="008E299E">
        <w:rPr>
          <w:rFonts w:ascii="Arial" w:eastAsia="Times New Roman" w:hAnsi="Arial" w:cs="Arial"/>
          <w:sz w:val="24"/>
          <w:szCs w:val="24"/>
          <w:lang w:val="en-GB"/>
        </w:rPr>
        <w:t>tate i.e., Shandong SASAC, cannot be and has never been reformed and changed.</w:t>
      </w:r>
      <w:r w:rsidR="000013F4">
        <w:rPr>
          <w:rFonts w:ascii="Arial" w:eastAsia="Times New Roman" w:hAnsi="Arial" w:cs="Arial"/>
          <w:sz w:val="24"/>
          <w:szCs w:val="24"/>
          <w:lang w:val="en-GB"/>
        </w:rPr>
        <w:t>’</w:t>
      </w:r>
      <w:r w:rsidR="00320685">
        <w:rPr>
          <w:rStyle w:val="FootnoteReference"/>
          <w:rFonts w:ascii="Arial" w:eastAsia="Times New Roman" w:hAnsi="Arial" w:cs="Arial"/>
          <w:sz w:val="24"/>
          <w:szCs w:val="24"/>
          <w:lang w:val="en-GB"/>
        </w:rPr>
        <w:footnoteReference w:id="19"/>
      </w:r>
    </w:p>
    <w:p w:rsidR="00184800" w:rsidRPr="00976FFD" w:rsidRDefault="00184800" w:rsidP="00BF0D6B">
      <w:pPr>
        <w:pStyle w:val="ListParagraph"/>
        <w:spacing w:after="0" w:line="360" w:lineRule="auto"/>
        <w:ind w:left="0"/>
        <w:rPr>
          <w:rFonts w:ascii="Arial" w:eastAsia="Times New Roman" w:hAnsi="Arial" w:cs="Arial"/>
          <w:sz w:val="24"/>
          <w:szCs w:val="24"/>
          <w:lang w:val="en-ZA"/>
        </w:rPr>
      </w:pPr>
    </w:p>
    <w:p w:rsidR="00184800" w:rsidRPr="008E299E" w:rsidRDefault="00184800"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Therefore, in Dr Li’s opinion</w:t>
      </w:r>
      <w:r w:rsidR="00CB2A90">
        <w:rPr>
          <w:rFonts w:ascii="Arial" w:eastAsia="Times New Roman" w:hAnsi="Arial" w:cs="Arial"/>
          <w:sz w:val="24"/>
          <w:szCs w:val="24"/>
          <w:lang w:val="en-ZA"/>
        </w:rPr>
        <w:t>,</w:t>
      </w:r>
      <w:r w:rsidRPr="008E299E">
        <w:rPr>
          <w:rFonts w:ascii="Arial" w:eastAsia="Times New Roman" w:hAnsi="Arial" w:cs="Arial"/>
          <w:sz w:val="24"/>
          <w:szCs w:val="24"/>
          <w:lang w:val="en-ZA"/>
        </w:rPr>
        <w:t xml:space="preserve"> SASAC controls the fate and destiny of Tonkoli</w:t>
      </w:r>
      <w:r w:rsidR="000013F4">
        <w:rPr>
          <w:rFonts w:ascii="Arial" w:eastAsia="Times New Roman" w:hAnsi="Arial" w:cs="Arial"/>
          <w:sz w:val="24"/>
          <w:szCs w:val="24"/>
          <w:lang w:val="en-ZA"/>
        </w:rPr>
        <w:t>l</w:t>
      </w:r>
      <w:r w:rsidRPr="008E299E">
        <w:rPr>
          <w:rFonts w:ascii="Arial" w:eastAsia="Times New Roman" w:hAnsi="Arial" w:cs="Arial"/>
          <w:sz w:val="24"/>
          <w:szCs w:val="24"/>
          <w:lang w:val="en-ZA"/>
        </w:rPr>
        <w:t>i.  This is so</w:t>
      </w:r>
      <w:r w:rsidR="00B11D80" w:rsidRPr="008E299E">
        <w:rPr>
          <w:rFonts w:ascii="Arial" w:eastAsia="Times New Roman" w:hAnsi="Arial" w:cs="Arial"/>
          <w:sz w:val="24"/>
          <w:szCs w:val="24"/>
          <w:lang w:val="en-ZA"/>
        </w:rPr>
        <w:t xml:space="preserve"> because</w:t>
      </w:r>
      <w:r w:rsidR="003C5D52" w:rsidRPr="008E299E">
        <w:rPr>
          <w:rFonts w:ascii="Arial" w:eastAsia="Times New Roman" w:hAnsi="Arial" w:cs="Arial"/>
          <w:sz w:val="24"/>
          <w:szCs w:val="24"/>
          <w:lang w:val="en-ZA"/>
        </w:rPr>
        <w:t>,</w:t>
      </w:r>
      <w:r w:rsidRPr="008E299E">
        <w:rPr>
          <w:rFonts w:ascii="Arial" w:eastAsia="Times New Roman" w:hAnsi="Arial" w:cs="Arial"/>
          <w:sz w:val="24"/>
          <w:szCs w:val="24"/>
          <w:lang w:val="en-ZA"/>
        </w:rPr>
        <w:t xml:space="preserve"> even if </w:t>
      </w:r>
      <w:r w:rsidR="003C5D52" w:rsidRPr="008E299E">
        <w:rPr>
          <w:rFonts w:ascii="Arial" w:eastAsia="Times New Roman" w:hAnsi="Arial" w:cs="Arial"/>
          <w:sz w:val="24"/>
          <w:szCs w:val="24"/>
          <w:lang w:val="en-ZA"/>
        </w:rPr>
        <w:t>SASAC</w:t>
      </w:r>
      <w:r w:rsidRPr="008E299E">
        <w:rPr>
          <w:rFonts w:ascii="Arial" w:eastAsia="Times New Roman" w:hAnsi="Arial" w:cs="Arial"/>
          <w:sz w:val="24"/>
          <w:szCs w:val="24"/>
          <w:lang w:val="en-ZA"/>
        </w:rPr>
        <w:t xml:space="preserve"> delegated any of its powers to </w:t>
      </w:r>
      <w:r w:rsidR="003C5D52" w:rsidRPr="008E299E">
        <w:rPr>
          <w:rFonts w:ascii="Arial" w:eastAsia="Times New Roman" w:hAnsi="Arial" w:cs="Arial"/>
          <w:sz w:val="24"/>
          <w:szCs w:val="24"/>
          <w:lang w:val="en-ZA"/>
        </w:rPr>
        <w:t>its</w:t>
      </w:r>
      <w:r w:rsidRPr="008E299E">
        <w:rPr>
          <w:rFonts w:ascii="Arial" w:eastAsia="Times New Roman" w:hAnsi="Arial" w:cs="Arial"/>
          <w:sz w:val="24"/>
          <w:szCs w:val="24"/>
          <w:lang w:val="en-ZA"/>
        </w:rPr>
        <w:t xml:space="preserve"> subsidiary</w:t>
      </w:r>
      <w:r w:rsidR="00B11D80" w:rsidRPr="008E299E">
        <w:rPr>
          <w:rFonts w:ascii="Arial" w:eastAsia="Times New Roman" w:hAnsi="Arial" w:cs="Arial"/>
          <w:sz w:val="24"/>
          <w:szCs w:val="24"/>
          <w:lang w:val="en-ZA"/>
        </w:rPr>
        <w:t>, SIS,</w:t>
      </w:r>
      <w:r w:rsidR="003C5D52" w:rsidRPr="008E299E">
        <w:rPr>
          <w:rFonts w:ascii="Arial" w:eastAsia="Times New Roman" w:hAnsi="Arial" w:cs="Arial"/>
          <w:sz w:val="24"/>
          <w:szCs w:val="24"/>
          <w:lang w:val="en-ZA"/>
        </w:rPr>
        <w:t xml:space="preserve"> which he claims SASAC cannot and did not do,</w:t>
      </w:r>
      <w:r w:rsidR="00B11D80" w:rsidRPr="008E299E">
        <w:rPr>
          <w:rFonts w:ascii="Arial" w:eastAsia="Times New Roman" w:hAnsi="Arial" w:cs="Arial"/>
          <w:sz w:val="24"/>
          <w:szCs w:val="24"/>
          <w:lang w:val="en-ZA"/>
        </w:rPr>
        <w:t xml:space="preserve"> SASAC can revoke them.</w:t>
      </w:r>
      <w:r w:rsidRPr="008E299E">
        <w:rPr>
          <w:rFonts w:ascii="Arial" w:eastAsia="Times New Roman" w:hAnsi="Arial" w:cs="Arial"/>
          <w:sz w:val="24"/>
          <w:szCs w:val="24"/>
          <w:lang w:val="en-ZA"/>
        </w:rPr>
        <w:t xml:space="preserve"> </w:t>
      </w:r>
    </w:p>
    <w:p w:rsidR="0098487E" w:rsidRPr="00976FFD" w:rsidRDefault="0098487E" w:rsidP="00BF0D6B">
      <w:pPr>
        <w:tabs>
          <w:tab w:val="left" w:pos="0"/>
          <w:tab w:val="left" w:pos="567"/>
          <w:tab w:val="left" w:pos="990"/>
        </w:tabs>
        <w:spacing w:line="360" w:lineRule="auto"/>
        <w:contextualSpacing/>
        <w:jc w:val="both"/>
        <w:rPr>
          <w:rFonts w:ascii="Arial" w:hAnsi="Arial" w:cs="Arial"/>
        </w:rPr>
      </w:pPr>
    </w:p>
    <w:p w:rsidR="00AC3289" w:rsidRPr="00B45801" w:rsidRDefault="00AC3289" w:rsidP="00BF0D6B">
      <w:pPr>
        <w:tabs>
          <w:tab w:val="left" w:pos="0"/>
          <w:tab w:val="left" w:pos="567"/>
          <w:tab w:val="left" w:pos="990"/>
        </w:tabs>
        <w:spacing w:line="360" w:lineRule="auto"/>
        <w:jc w:val="both"/>
        <w:rPr>
          <w:rFonts w:ascii="Arial" w:hAnsi="Arial" w:cs="Arial"/>
          <w:b/>
          <w:bCs/>
          <w:i/>
          <w:iCs/>
        </w:rPr>
      </w:pPr>
      <w:r w:rsidRPr="00B45801">
        <w:rPr>
          <w:rFonts w:ascii="Arial" w:hAnsi="Arial" w:cs="Arial"/>
          <w:b/>
          <w:bCs/>
          <w:i/>
          <w:iCs/>
        </w:rPr>
        <w:t>Mr Peng</w:t>
      </w:r>
    </w:p>
    <w:p w:rsidR="00C23A77" w:rsidRPr="008E299E" w:rsidRDefault="00412F66"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 xml:space="preserve">In </w:t>
      </w:r>
      <w:r w:rsidR="00B305D3" w:rsidRPr="008E299E">
        <w:rPr>
          <w:rFonts w:ascii="Arial" w:eastAsia="Times New Roman" w:hAnsi="Arial" w:cs="Arial"/>
          <w:sz w:val="24"/>
          <w:szCs w:val="24"/>
          <w:lang w:val="en-ZA"/>
        </w:rPr>
        <w:t>Mr Peng’s</w:t>
      </w:r>
      <w:r w:rsidRPr="008E299E">
        <w:rPr>
          <w:rFonts w:ascii="Arial" w:hAnsi="Arial" w:cs="Arial"/>
          <w:sz w:val="24"/>
          <w:szCs w:val="24"/>
          <w:lang w:val="en-GB"/>
        </w:rPr>
        <w:t xml:space="preserve"> </w:t>
      </w:r>
      <w:r w:rsidR="003A680B" w:rsidRPr="008E299E">
        <w:rPr>
          <w:rFonts w:ascii="Arial" w:eastAsia="Times New Roman" w:hAnsi="Arial" w:cs="Arial"/>
          <w:sz w:val="24"/>
          <w:szCs w:val="24"/>
          <w:lang w:val="en-GB"/>
        </w:rPr>
        <w:t xml:space="preserve">opinion, </w:t>
      </w:r>
      <w:r w:rsidR="0093647F" w:rsidRPr="008E299E">
        <w:rPr>
          <w:rFonts w:ascii="Arial" w:eastAsia="Times New Roman" w:hAnsi="Arial" w:cs="Arial"/>
          <w:sz w:val="24"/>
          <w:szCs w:val="24"/>
          <w:lang w:val="en-GB"/>
        </w:rPr>
        <w:t xml:space="preserve">there is no conflict between </w:t>
      </w:r>
      <w:r w:rsidR="003A680B" w:rsidRPr="008E299E">
        <w:rPr>
          <w:rFonts w:ascii="Arial" w:eastAsia="Times New Roman" w:hAnsi="Arial" w:cs="Arial"/>
          <w:sz w:val="24"/>
          <w:szCs w:val="24"/>
          <w:lang w:val="en-GB"/>
        </w:rPr>
        <w:t>the PRC Law on SOEs</w:t>
      </w:r>
      <w:r w:rsidR="007C6905" w:rsidRPr="008E299E">
        <w:rPr>
          <w:rFonts w:ascii="Arial" w:eastAsia="Times New Roman" w:hAnsi="Arial" w:cs="Arial"/>
          <w:sz w:val="24"/>
          <w:szCs w:val="24"/>
          <w:lang w:val="en-GB"/>
        </w:rPr>
        <w:t>,</w:t>
      </w:r>
      <w:r w:rsidR="0093647F" w:rsidRPr="008E299E">
        <w:rPr>
          <w:rFonts w:ascii="Arial" w:eastAsia="Times New Roman" w:hAnsi="Arial" w:cs="Arial"/>
          <w:sz w:val="24"/>
          <w:szCs w:val="24"/>
          <w:lang w:val="en-GB"/>
        </w:rPr>
        <w:t xml:space="preserve"> which came into effect on 1 May 2009, and the reform measures that were initiated in 2013</w:t>
      </w:r>
      <w:r w:rsidR="00B37E2A" w:rsidRPr="008E299E">
        <w:rPr>
          <w:rFonts w:ascii="Arial" w:eastAsia="Times New Roman" w:hAnsi="Arial" w:cs="Arial"/>
          <w:sz w:val="24"/>
          <w:szCs w:val="24"/>
          <w:lang w:val="en-GB"/>
        </w:rPr>
        <w:t>.</w:t>
      </w:r>
      <w:r w:rsidR="0093647F" w:rsidRPr="008E299E">
        <w:rPr>
          <w:rFonts w:ascii="Arial" w:eastAsia="Times New Roman" w:hAnsi="Arial" w:cs="Arial"/>
          <w:sz w:val="24"/>
          <w:szCs w:val="24"/>
          <w:lang w:val="en-GB"/>
        </w:rPr>
        <w:t xml:space="preserve"> </w:t>
      </w:r>
      <w:r w:rsidR="00B37E2A" w:rsidRPr="008E299E">
        <w:rPr>
          <w:rFonts w:ascii="Arial" w:eastAsia="Times New Roman" w:hAnsi="Arial" w:cs="Arial"/>
          <w:sz w:val="24"/>
          <w:szCs w:val="24"/>
          <w:lang w:val="en-GB"/>
        </w:rPr>
        <w:t xml:space="preserve"> The PRC Law on SOEs </w:t>
      </w:r>
      <w:r w:rsidR="0093647F" w:rsidRPr="008E299E">
        <w:rPr>
          <w:rFonts w:ascii="Arial" w:eastAsia="Times New Roman" w:hAnsi="Arial" w:cs="Arial"/>
          <w:sz w:val="24"/>
          <w:szCs w:val="24"/>
          <w:lang w:val="en-GB"/>
        </w:rPr>
        <w:t>had already foreshadowed</w:t>
      </w:r>
      <w:r w:rsidR="00B37E2A" w:rsidRPr="008E299E">
        <w:rPr>
          <w:rFonts w:ascii="Arial" w:eastAsia="Times New Roman" w:hAnsi="Arial" w:cs="Arial"/>
          <w:sz w:val="24"/>
          <w:szCs w:val="24"/>
          <w:lang w:val="en-GB"/>
        </w:rPr>
        <w:t xml:space="preserve"> the principle of the reform</w:t>
      </w:r>
      <w:r w:rsidRPr="008E299E">
        <w:rPr>
          <w:rFonts w:ascii="Arial" w:eastAsia="Times New Roman" w:hAnsi="Arial" w:cs="Arial"/>
          <w:sz w:val="24"/>
          <w:szCs w:val="24"/>
          <w:lang w:val="en-GB"/>
        </w:rPr>
        <w:t xml:space="preserve"> in</w:t>
      </w:r>
      <w:r w:rsidRPr="008E299E">
        <w:rPr>
          <w:rFonts w:ascii="Arial" w:hAnsi="Arial" w:cs="Arial"/>
          <w:sz w:val="24"/>
          <w:szCs w:val="24"/>
          <w:lang w:val="en-GB"/>
        </w:rPr>
        <w:t xml:space="preserve"> separati</w:t>
      </w:r>
      <w:r w:rsidR="007C6905" w:rsidRPr="008E299E">
        <w:rPr>
          <w:rFonts w:ascii="Arial" w:hAnsi="Arial" w:cs="Arial"/>
          <w:sz w:val="24"/>
          <w:szCs w:val="24"/>
          <w:lang w:val="en-GB"/>
        </w:rPr>
        <w:t>ng the</w:t>
      </w:r>
      <w:r w:rsidRPr="008E299E">
        <w:rPr>
          <w:rFonts w:ascii="Arial" w:hAnsi="Arial" w:cs="Arial"/>
          <w:sz w:val="24"/>
          <w:szCs w:val="24"/>
          <w:lang w:val="en-GB"/>
        </w:rPr>
        <w:t xml:space="preserve"> public management function of the government from </w:t>
      </w:r>
      <w:r w:rsidR="0016584B">
        <w:rPr>
          <w:rFonts w:ascii="Arial" w:hAnsi="Arial" w:cs="Arial"/>
          <w:sz w:val="24"/>
          <w:szCs w:val="24"/>
          <w:lang w:val="en-GB"/>
        </w:rPr>
        <w:t>its</w:t>
      </w:r>
      <w:r w:rsidRPr="008E299E">
        <w:rPr>
          <w:rFonts w:ascii="Arial" w:hAnsi="Arial" w:cs="Arial"/>
          <w:sz w:val="24"/>
          <w:szCs w:val="24"/>
          <w:lang w:val="en-GB"/>
        </w:rPr>
        <w:t xml:space="preserve"> function as the capital contributor of </w:t>
      </w:r>
      <w:r w:rsidR="00130CA5">
        <w:rPr>
          <w:rFonts w:ascii="Arial" w:hAnsi="Arial" w:cs="Arial"/>
          <w:sz w:val="24"/>
          <w:szCs w:val="24"/>
          <w:lang w:val="en-GB"/>
        </w:rPr>
        <w:t>S</w:t>
      </w:r>
      <w:r w:rsidRPr="008E299E">
        <w:rPr>
          <w:rFonts w:ascii="Arial" w:hAnsi="Arial" w:cs="Arial"/>
          <w:sz w:val="24"/>
          <w:szCs w:val="24"/>
          <w:lang w:val="en-GB"/>
        </w:rPr>
        <w:t>tate-owned assets to ensure the independent operation of SOEs.</w:t>
      </w:r>
      <w:r w:rsidR="00B37E2A" w:rsidRPr="008E299E">
        <w:rPr>
          <w:rFonts w:ascii="Arial" w:eastAsia="Times New Roman" w:hAnsi="Arial" w:cs="Arial"/>
          <w:sz w:val="24"/>
          <w:szCs w:val="24"/>
          <w:lang w:val="en-GB"/>
        </w:rPr>
        <w:t xml:space="preserve"> </w:t>
      </w:r>
      <w:r w:rsidRPr="008E299E">
        <w:rPr>
          <w:rFonts w:ascii="Arial" w:eastAsia="Times New Roman" w:hAnsi="Arial" w:cs="Arial"/>
          <w:sz w:val="24"/>
          <w:szCs w:val="24"/>
          <w:lang w:val="en-GB"/>
        </w:rPr>
        <w:t xml:space="preserve"> </w:t>
      </w:r>
      <w:r w:rsidR="00B37E2A" w:rsidRPr="008E299E">
        <w:rPr>
          <w:rFonts w:ascii="Arial" w:eastAsia="Times New Roman" w:hAnsi="Arial" w:cs="Arial"/>
          <w:sz w:val="24"/>
          <w:szCs w:val="24"/>
          <w:lang w:val="en-GB"/>
        </w:rPr>
        <w:t xml:space="preserve">This principle involved </w:t>
      </w:r>
      <w:r w:rsidR="003A60D7">
        <w:rPr>
          <w:rFonts w:ascii="Arial" w:eastAsia="Times New Roman" w:hAnsi="Arial" w:cs="Arial"/>
          <w:sz w:val="24"/>
          <w:szCs w:val="24"/>
          <w:lang w:val="en-GB"/>
        </w:rPr>
        <w:t>‘</w:t>
      </w:r>
      <w:r w:rsidR="00B37E2A" w:rsidRPr="008E299E">
        <w:rPr>
          <w:rFonts w:ascii="Arial" w:eastAsia="Times New Roman" w:hAnsi="Arial" w:cs="Arial"/>
          <w:sz w:val="24"/>
          <w:szCs w:val="24"/>
          <w:lang w:val="en-GB"/>
        </w:rPr>
        <w:t>the decoupling of the hat of the shareholder and the hat of the regulator</w:t>
      </w:r>
      <w:r w:rsidR="003A60D7">
        <w:rPr>
          <w:rFonts w:ascii="Arial" w:eastAsia="Times New Roman" w:hAnsi="Arial" w:cs="Arial"/>
          <w:sz w:val="24"/>
          <w:szCs w:val="24"/>
          <w:lang w:val="en-GB"/>
        </w:rPr>
        <w:t>’</w:t>
      </w:r>
      <w:r w:rsidR="00B37E2A" w:rsidRPr="008E299E">
        <w:rPr>
          <w:rFonts w:ascii="Arial" w:eastAsia="Times New Roman" w:hAnsi="Arial" w:cs="Arial"/>
          <w:sz w:val="24"/>
          <w:szCs w:val="24"/>
          <w:lang w:val="en-GB"/>
        </w:rPr>
        <w:t xml:space="preserve">.  </w:t>
      </w:r>
      <w:r w:rsidR="00332181">
        <w:rPr>
          <w:rFonts w:ascii="Arial" w:eastAsia="Times New Roman" w:hAnsi="Arial" w:cs="Arial"/>
          <w:sz w:val="24"/>
          <w:szCs w:val="24"/>
          <w:lang w:val="en-GB"/>
        </w:rPr>
        <w:t>T</w:t>
      </w:r>
      <w:r w:rsidR="00332181" w:rsidRPr="008E299E">
        <w:rPr>
          <w:rFonts w:ascii="Arial" w:eastAsia="Times New Roman" w:hAnsi="Arial" w:cs="Arial"/>
          <w:sz w:val="24"/>
          <w:szCs w:val="24"/>
          <w:lang w:val="en-GB"/>
        </w:rPr>
        <w:t xml:space="preserve">he objective of the reform is that the government retains the functions of public administration (the ‘hat’ of the regulator) and divests the functions of </w:t>
      </w:r>
      <w:r w:rsidR="000010FC">
        <w:rPr>
          <w:rFonts w:ascii="Arial" w:eastAsia="Times New Roman" w:hAnsi="Arial" w:cs="Arial"/>
          <w:sz w:val="24"/>
          <w:szCs w:val="24"/>
          <w:lang w:val="en-GB"/>
        </w:rPr>
        <w:t>S</w:t>
      </w:r>
      <w:r w:rsidR="00332181" w:rsidRPr="008E299E">
        <w:rPr>
          <w:rFonts w:ascii="Arial" w:eastAsia="Times New Roman" w:hAnsi="Arial" w:cs="Arial"/>
          <w:sz w:val="24"/>
          <w:szCs w:val="24"/>
          <w:lang w:val="en-GB"/>
        </w:rPr>
        <w:t xml:space="preserve">tate-owned capital contributors (the </w:t>
      </w:r>
      <w:r w:rsidR="000222FD">
        <w:rPr>
          <w:rFonts w:ascii="Arial" w:eastAsia="Times New Roman" w:hAnsi="Arial" w:cs="Arial"/>
          <w:sz w:val="24"/>
          <w:szCs w:val="24"/>
          <w:lang w:val="en-GB"/>
        </w:rPr>
        <w:t>‘</w:t>
      </w:r>
      <w:r w:rsidR="00332181" w:rsidRPr="008E299E">
        <w:rPr>
          <w:rFonts w:ascii="Arial" w:eastAsia="Times New Roman" w:hAnsi="Arial" w:cs="Arial"/>
          <w:sz w:val="24"/>
          <w:szCs w:val="24"/>
          <w:lang w:val="en-GB"/>
        </w:rPr>
        <w:t>hat</w:t>
      </w:r>
      <w:r w:rsidR="000222FD">
        <w:rPr>
          <w:rFonts w:ascii="Arial" w:eastAsia="Times New Roman" w:hAnsi="Arial" w:cs="Arial"/>
          <w:sz w:val="24"/>
          <w:szCs w:val="24"/>
          <w:lang w:val="en-GB"/>
        </w:rPr>
        <w:t>’</w:t>
      </w:r>
      <w:r w:rsidR="00332181" w:rsidRPr="008E299E">
        <w:rPr>
          <w:rFonts w:ascii="Arial" w:eastAsia="Times New Roman" w:hAnsi="Arial" w:cs="Arial"/>
          <w:sz w:val="24"/>
          <w:szCs w:val="24"/>
          <w:lang w:val="en-GB"/>
        </w:rPr>
        <w:t xml:space="preserve"> of the shareholder) to SOE holding companies.</w:t>
      </w:r>
    </w:p>
    <w:p w:rsidR="00B45801" w:rsidRPr="00976FFD" w:rsidRDefault="00B45801" w:rsidP="00BF0D6B">
      <w:pPr>
        <w:spacing w:line="360" w:lineRule="auto"/>
        <w:rPr>
          <w:rFonts w:ascii="Arial" w:hAnsi="Arial" w:cs="Arial"/>
          <w:lang w:val="en-GB"/>
        </w:rPr>
      </w:pPr>
    </w:p>
    <w:p w:rsidR="00B45801" w:rsidRPr="008E299E" w:rsidRDefault="00B45801"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Mr Peng</w:t>
      </w:r>
      <w:r w:rsidR="00332181">
        <w:rPr>
          <w:rFonts w:ascii="Arial" w:eastAsia="Times New Roman" w:hAnsi="Arial" w:cs="Arial"/>
          <w:sz w:val="24"/>
          <w:szCs w:val="24"/>
          <w:lang w:val="en-GB"/>
        </w:rPr>
        <w:t xml:space="preserve"> says that</w:t>
      </w:r>
      <w:r w:rsidRPr="008E299E">
        <w:rPr>
          <w:rFonts w:ascii="Arial" w:eastAsia="Times New Roman" w:hAnsi="Arial" w:cs="Arial"/>
          <w:sz w:val="24"/>
          <w:szCs w:val="24"/>
          <w:lang w:val="en-GB"/>
        </w:rPr>
        <w:t xml:space="preserve"> SASAC has established a three-tier system of </w:t>
      </w:r>
      <w:r w:rsidR="00130CA5">
        <w:rPr>
          <w:rFonts w:ascii="Arial" w:eastAsia="Times New Roman" w:hAnsi="Arial" w:cs="Arial"/>
          <w:sz w:val="24"/>
          <w:szCs w:val="24"/>
          <w:lang w:val="en-GB"/>
        </w:rPr>
        <w:t>S</w:t>
      </w:r>
      <w:r w:rsidRPr="008E299E">
        <w:rPr>
          <w:rFonts w:ascii="Arial" w:eastAsia="Times New Roman" w:hAnsi="Arial" w:cs="Arial"/>
          <w:sz w:val="24"/>
          <w:szCs w:val="24"/>
          <w:lang w:val="en-GB"/>
        </w:rPr>
        <w:t xml:space="preserve">tate-owned assets supervision and administration authority with </w:t>
      </w:r>
      <w:r w:rsidRPr="008E299E">
        <w:rPr>
          <w:rFonts w:ascii="Arial" w:hAnsi="Arial" w:cs="Arial"/>
          <w:sz w:val="24"/>
          <w:szCs w:val="24"/>
          <w:lang w:val="en-GB"/>
        </w:rPr>
        <w:t>SASAC at the top, the SOE holding company in the middle and the subsidiaries at the bottom.</w:t>
      </w:r>
      <w:r w:rsidRPr="008E299E">
        <w:rPr>
          <w:rFonts w:ascii="Arial" w:eastAsia="Times New Roman" w:hAnsi="Arial" w:cs="Arial"/>
          <w:sz w:val="24"/>
          <w:szCs w:val="24"/>
          <w:lang w:val="en-GB"/>
        </w:rPr>
        <w:t xml:space="preserve">  </w:t>
      </w:r>
      <w:r w:rsidRPr="008E299E">
        <w:rPr>
          <w:rFonts w:ascii="Arial" w:hAnsi="Arial" w:cs="Arial"/>
          <w:sz w:val="24"/>
          <w:szCs w:val="24"/>
          <w:lang w:val="en-GB"/>
        </w:rPr>
        <w:t xml:space="preserve">After the reform, SASAC remains the controlling shareholder of the SOE holding company, but the control stops at that level.  </w:t>
      </w:r>
      <w:r w:rsidRPr="008E299E">
        <w:rPr>
          <w:rFonts w:ascii="Arial" w:eastAsia="Times New Roman" w:hAnsi="Arial" w:cs="Arial"/>
          <w:sz w:val="24"/>
          <w:szCs w:val="24"/>
          <w:lang w:val="en-GB"/>
        </w:rPr>
        <w:t>The duties of capital contributors (shareholders) have been divested from SASAC and authorised to Shandong SOE holding companies.  As a result of the reform, SASAC is barred from exercising the power to control the fate and destiny of the subsidiaries under Shandong SOE holding companies which have completed the reform.</w:t>
      </w:r>
      <w:r w:rsidRPr="008E299E">
        <w:rPr>
          <w:rFonts w:ascii="Arial" w:eastAsia="Times New Roman" w:hAnsi="Arial" w:cs="Arial"/>
          <w:sz w:val="24"/>
          <w:szCs w:val="24"/>
          <w:lang w:val="en-ZA"/>
        </w:rPr>
        <w:t xml:space="preserve">  </w:t>
      </w:r>
    </w:p>
    <w:p w:rsidR="000E67D2" w:rsidRPr="00976FFD" w:rsidRDefault="000E67D2" w:rsidP="00BF0D6B">
      <w:pPr>
        <w:tabs>
          <w:tab w:val="left" w:pos="0"/>
          <w:tab w:val="left" w:pos="567"/>
          <w:tab w:val="left" w:pos="990"/>
        </w:tabs>
        <w:spacing w:line="360" w:lineRule="auto"/>
        <w:contextualSpacing/>
        <w:jc w:val="both"/>
        <w:rPr>
          <w:rFonts w:ascii="Arial" w:hAnsi="Arial" w:cs="Arial"/>
        </w:rPr>
      </w:pPr>
    </w:p>
    <w:p w:rsidR="00783BAE" w:rsidRPr="004E79B9" w:rsidRDefault="00B305D3" w:rsidP="00BE173F">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ZA"/>
        </w:rPr>
        <w:t xml:space="preserve">Mr Peng bases his opinion about the reform on several State Council </w:t>
      </w:r>
      <w:r w:rsidR="00332181">
        <w:rPr>
          <w:rFonts w:ascii="Arial" w:eastAsia="Times New Roman" w:hAnsi="Arial" w:cs="Arial"/>
          <w:sz w:val="24"/>
          <w:szCs w:val="24"/>
          <w:lang w:val="en-ZA"/>
        </w:rPr>
        <w:t xml:space="preserve">and SASAC </w:t>
      </w:r>
      <w:r w:rsidRPr="008E299E">
        <w:rPr>
          <w:rFonts w:ascii="Arial" w:eastAsia="Times New Roman" w:hAnsi="Arial" w:cs="Arial"/>
          <w:sz w:val="24"/>
          <w:szCs w:val="24"/>
          <w:lang w:val="en-ZA"/>
        </w:rPr>
        <w:t>documents</w:t>
      </w:r>
      <w:r w:rsidR="000E67D2" w:rsidRPr="008E299E">
        <w:rPr>
          <w:rFonts w:ascii="Arial" w:eastAsia="Times New Roman" w:hAnsi="Arial" w:cs="Arial"/>
          <w:sz w:val="24"/>
          <w:szCs w:val="24"/>
          <w:lang w:val="en-ZA"/>
        </w:rPr>
        <w:t>.</w:t>
      </w:r>
      <w:r w:rsidRPr="008E299E">
        <w:rPr>
          <w:rFonts w:ascii="Arial" w:eastAsia="Times New Roman" w:hAnsi="Arial" w:cs="Arial"/>
          <w:sz w:val="24"/>
          <w:szCs w:val="24"/>
          <w:lang w:val="en-ZA"/>
        </w:rPr>
        <w:t xml:space="preserve"> </w:t>
      </w:r>
      <w:r w:rsidR="000E67D2" w:rsidRPr="008E299E">
        <w:rPr>
          <w:rFonts w:ascii="Arial" w:hAnsi="Arial" w:cs="Arial"/>
          <w:sz w:val="24"/>
          <w:szCs w:val="24"/>
          <w:lang w:val="en-GB"/>
        </w:rPr>
        <w:t>T</w:t>
      </w:r>
      <w:r w:rsidRPr="008E299E">
        <w:rPr>
          <w:rFonts w:ascii="Arial" w:hAnsi="Arial" w:cs="Arial"/>
          <w:sz w:val="24"/>
          <w:szCs w:val="24"/>
          <w:lang w:val="en-GB"/>
        </w:rPr>
        <w:t xml:space="preserve">he State Council is the central government. It has the power over the ministries at central, provincial and local levels.  </w:t>
      </w:r>
      <w:r w:rsidR="000E67D2" w:rsidRPr="008E299E">
        <w:rPr>
          <w:rFonts w:ascii="Arial" w:hAnsi="Arial" w:cs="Arial"/>
          <w:sz w:val="24"/>
          <w:szCs w:val="24"/>
          <w:lang w:val="en-GB"/>
        </w:rPr>
        <w:t xml:space="preserve">The </w:t>
      </w:r>
      <w:r w:rsidR="005F06ED" w:rsidRPr="008E299E">
        <w:rPr>
          <w:rFonts w:ascii="Arial" w:hAnsi="Arial" w:cs="Arial"/>
          <w:sz w:val="24"/>
          <w:szCs w:val="24"/>
          <w:lang w:val="en-GB"/>
        </w:rPr>
        <w:t>Several Opinions of the State Council on Reforming and Improving the State-Owned Asset Management System</w:t>
      </w:r>
      <w:r w:rsidR="000E67D2" w:rsidRPr="008E299E">
        <w:rPr>
          <w:rFonts w:ascii="Arial" w:hAnsi="Arial" w:cs="Arial"/>
          <w:sz w:val="24"/>
          <w:szCs w:val="24"/>
          <w:lang w:val="en-GB"/>
        </w:rPr>
        <w:t xml:space="preserve"> </w:t>
      </w:r>
      <w:r w:rsidR="00745813" w:rsidRPr="008E299E">
        <w:rPr>
          <w:rFonts w:ascii="Arial" w:hAnsi="Arial" w:cs="Arial"/>
          <w:sz w:val="24"/>
          <w:szCs w:val="24"/>
          <w:lang w:val="en-GB"/>
        </w:rPr>
        <w:t xml:space="preserve">of </w:t>
      </w:r>
      <w:r w:rsidR="00916124" w:rsidRPr="008E299E">
        <w:rPr>
          <w:rFonts w:ascii="Arial" w:hAnsi="Arial" w:cs="Arial"/>
          <w:sz w:val="24"/>
          <w:szCs w:val="24"/>
          <w:lang w:val="en-GB"/>
        </w:rPr>
        <w:t>2015</w:t>
      </w:r>
      <w:r w:rsidR="00745813" w:rsidRPr="008E299E">
        <w:rPr>
          <w:rFonts w:ascii="Arial" w:hAnsi="Arial" w:cs="Arial"/>
          <w:sz w:val="24"/>
          <w:szCs w:val="24"/>
          <w:lang w:val="en-GB"/>
        </w:rPr>
        <w:t xml:space="preserve"> </w:t>
      </w:r>
      <w:r w:rsidR="000E67D2" w:rsidRPr="008E299E">
        <w:rPr>
          <w:rFonts w:ascii="Arial" w:hAnsi="Arial" w:cs="Arial"/>
          <w:sz w:val="24"/>
          <w:szCs w:val="24"/>
          <w:lang w:val="en-GB"/>
        </w:rPr>
        <w:t xml:space="preserve">urges that </w:t>
      </w:r>
      <w:r w:rsidR="006B51C6">
        <w:rPr>
          <w:rFonts w:ascii="Arial" w:hAnsi="Arial" w:cs="Arial"/>
          <w:sz w:val="24"/>
          <w:szCs w:val="24"/>
          <w:lang w:val="en-GB"/>
        </w:rPr>
        <w:t>‘</w:t>
      </w:r>
      <w:r w:rsidR="000E67D2" w:rsidRPr="008E299E">
        <w:rPr>
          <w:rFonts w:ascii="Arial" w:hAnsi="Arial" w:cs="Arial"/>
          <w:sz w:val="24"/>
          <w:szCs w:val="24"/>
          <w:lang w:val="en-GB"/>
        </w:rPr>
        <w:t>the decisions and arrangements of the CPC [Communist Party of China] Central Committee and the State Council shall be followed</w:t>
      </w:r>
      <w:r w:rsidR="006B51C6">
        <w:rPr>
          <w:rFonts w:ascii="Arial" w:hAnsi="Arial" w:cs="Arial"/>
          <w:sz w:val="24"/>
          <w:szCs w:val="24"/>
          <w:lang w:val="en-GB"/>
        </w:rPr>
        <w:t>’</w:t>
      </w:r>
      <w:r w:rsidR="000E67D2" w:rsidRPr="008E299E">
        <w:rPr>
          <w:rFonts w:ascii="Arial" w:hAnsi="Arial" w:cs="Arial"/>
          <w:sz w:val="24"/>
          <w:szCs w:val="24"/>
          <w:lang w:val="en-GB"/>
        </w:rPr>
        <w:t>. T</w:t>
      </w:r>
      <w:r w:rsidR="00264600" w:rsidRPr="008E299E">
        <w:rPr>
          <w:rFonts w:ascii="Arial" w:hAnsi="Arial" w:cs="Arial"/>
          <w:sz w:val="24"/>
          <w:szCs w:val="24"/>
          <w:lang w:val="en-GB"/>
        </w:rPr>
        <w:t xml:space="preserve">he Notice </w:t>
      </w:r>
      <w:r w:rsidR="000E67D2" w:rsidRPr="008E299E">
        <w:rPr>
          <w:rFonts w:ascii="Arial" w:hAnsi="Arial" w:cs="Arial"/>
          <w:sz w:val="24"/>
          <w:szCs w:val="24"/>
          <w:lang w:val="en-GB"/>
        </w:rPr>
        <w:t>o</w:t>
      </w:r>
      <w:r w:rsidR="00264600" w:rsidRPr="008E299E">
        <w:rPr>
          <w:rFonts w:ascii="Arial" w:hAnsi="Arial" w:cs="Arial"/>
          <w:sz w:val="24"/>
          <w:szCs w:val="24"/>
          <w:lang w:val="en-GB"/>
        </w:rPr>
        <w:t xml:space="preserve">f Shandong SASAC </w:t>
      </w:r>
      <w:r w:rsidR="000E67D2" w:rsidRPr="008E299E">
        <w:rPr>
          <w:rFonts w:ascii="Arial" w:hAnsi="Arial" w:cs="Arial"/>
          <w:sz w:val="24"/>
          <w:szCs w:val="24"/>
          <w:lang w:val="en-GB"/>
        </w:rPr>
        <w:t>o</w:t>
      </w:r>
      <w:r w:rsidR="00264600" w:rsidRPr="008E299E">
        <w:rPr>
          <w:rFonts w:ascii="Arial" w:hAnsi="Arial" w:cs="Arial"/>
          <w:sz w:val="24"/>
          <w:szCs w:val="24"/>
          <w:lang w:val="en-GB"/>
        </w:rPr>
        <w:t xml:space="preserve">n Printing </w:t>
      </w:r>
      <w:r w:rsidR="000E67D2" w:rsidRPr="008E299E">
        <w:rPr>
          <w:rFonts w:ascii="Arial" w:hAnsi="Arial" w:cs="Arial"/>
          <w:sz w:val="24"/>
          <w:szCs w:val="24"/>
          <w:lang w:val="en-GB"/>
        </w:rPr>
        <w:t>a</w:t>
      </w:r>
      <w:r w:rsidR="00264600" w:rsidRPr="008E299E">
        <w:rPr>
          <w:rFonts w:ascii="Arial" w:hAnsi="Arial" w:cs="Arial"/>
          <w:sz w:val="24"/>
          <w:szCs w:val="24"/>
          <w:lang w:val="en-GB"/>
        </w:rPr>
        <w:t xml:space="preserve">nd Distributing </w:t>
      </w:r>
      <w:r w:rsidR="000E67D2" w:rsidRPr="008E299E">
        <w:rPr>
          <w:rFonts w:ascii="Arial" w:hAnsi="Arial" w:cs="Arial"/>
          <w:sz w:val="24"/>
          <w:szCs w:val="24"/>
          <w:lang w:val="en-GB"/>
        </w:rPr>
        <w:t>t</w:t>
      </w:r>
      <w:r w:rsidR="00264600" w:rsidRPr="008E299E">
        <w:rPr>
          <w:rFonts w:ascii="Arial" w:hAnsi="Arial" w:cs="Arial"/>
          <w:sz w:val="24"/>
          <w:szCs w:val="24"/>
          <w:lang w:val="en-GB"/>
        </w:rPr>
        <w:t xml:space="preserve">he Authorization </w:t>
      </w:r>
      <w:r w:rsidR="000E67D2" w:rsidRPr="008E299E">
        <w:rPr>
          <w:rFonts w:ascii="Arial" w:hAnsi="Arial" w:cs="Arial"/>
          <w:sz w:val="24"/>
          <w:szCs w:val="24"/>
          <w:lang w:val="en-GB"/>
        </w:rPr>
        <w:t>a</w:t>
      </w:r>
      <w:r w:rsidR="00264600" w:rsidRPr="008E299E">
        <w:rPr>
          <w:rFonts w:ascii="Arial" w:hAnsi="Arial" w:cs="Arial"/>
          <w:sz w:val="24"/>
          <w:szCs w:val="24"/>
          <w:lang w:val="en-GB"/>
        </w:rPr>
        <w:t>nd Decentralisation List by Shandong SASAC (</w:t>
      </w:r>
      <w:r w:rsidR="000E67D2" w:rsidRPr="008E299E">
        <w:rPr>
          <w:rFonts w:ascii="Arial" w:hAnsi="Arial" w:cs="Arial"/>
          <w:sz w:val="24"/>
          <w:szCs w:val="24"/>
          <w:lang w:val="en-GB"/>
        </w:rPr>
        <w:t>t</w:t>
      </w:r>
      <w:r w:rsidR="00264600" w:rsidRPr="008E299E">
        <w:rPr>
          <w:rFonts w:ascii="Arial" w:hAnsi="Arial" w:cs="Arial"/>
          <w:sz w:val="24"/>
          <w:szCs w:val="24"/>
          <w:lang w:val="en-GB"/>
        </w:rPr>
        <w:t xml:space="preserve">he </w:t>
      </w:r>
      <w:r w:rsidR="006B51C6">
        <w:rPr>
          <w:rFonts w:ascii="Arial" w:hAnsi="Arial" w:cs="Arial"/>
          <w:sz w:val="24"/>
          <w:szCs w:val="24"/>
          <w:lang w:val="en-GB"/>
        </w:rPr>
        <w:t>‘</w:t>
      </w:r>
      <w:r w:rsidR="00264600" w:rsidRPr="008E299E">
        <w:rPr>
          <w:rFonts w:ascii="Arial" w:hAnsi="Arial" w:cs="Arial"/>
          <w:sz w:val="24"/>
          <w:szCs w:val="24"/>
          <w:lang w:val="en-GB"/>
        </w:rPr>
        <w:t>List Notice</w:t>
      </w:r>
      <w:r w:rsidR="006B51C6">
        <w:rPr>
          <w:rFonts w:ascii="Arial" w:hAnsi="Arial" w:cs="Arial"/>
          <w:sz w:val="24"/>
          <w:szCs w:val="24"/>
          <w:lang w:val="en-GB"/>
        </w:rPr>
        <w:t>’</w:t>
      </w:r>
      <w:r w:rsidR="00264600" w:rsidRPr="008E299E">
        <w:rPr>
          <w:rFonts w:ascii="Arial" w:hAnsi="Arial" w:cs="Arial"/>
          <w:sz w:val="24"/>
          <w:szCs w:val="24"/>
          <w:lang w:val="en-GB"/>
        </w:rPr>
        <w:t>)</w:t>
      </w:r>
      <w:r w:rsidR="008B5F3A" w:rsidRPr="00976FFD">
        <w:rPr>
          <w:rStyle w:val="FootnoteReference"/>
          <w:rFonts w:ascii="Arial" w:hAnsi="Arial" w:cs="Arial"/>
          <w:sz w:val="24"/>
          <w:szCs w:val="24"/>
          <w:lang w:val="en-GB"/>
        </w:rPr>
        <w:footnoteReference w:id="20"/>
      </w:r>
      <w:r w:rsidR="00264600" w:rsidRPr="008E299E">
        <w:rPr>
          <w:rFonts w:ascii="Arial" w:hAnsi="Arial" w:cs="Arial"/>
          <w:sz w:val="24"/>
          <w:szCs w:val="24"/>
          <w:lang w:val="en-GB"/>
        </w:rPr>
        <w:t xml:space="preserve"> </w:t>
      </w:r>
      <w:r w:rsidR="00745813" w:rsidRPr="008E299E">
        <w:rPr>
          <w:rFonts w:ascii="Arial" w:hAnsi="Arial" w:cs="Arial"/>
          <w:sz w:val="24"/>
          <w:szCs w:val="24"/>
          <w:lang w:val="en-GB"/>
        </w:rPr>
        <w:t xml:space="preserve">dated </w:t>
      </w:r>
      <w:r w:rsidR="002A7419" w:rsidRPr="008E299E">
        <w:rPr>
          <w:rFonts w:ascii="Arial" w:hAnsi="Arial" w:cs="Arial"/>
          <w:sz w:val="24"/>
          <w:szCs w:val="24"/>
          <w:lang w:val="en-GB"/>
        </w:rPr>
        <w:t>16 December</w:t>
      </w:r>
      <w:r w:rsidR="00745813" w:rsidRPr="008E299E">
        <w:rPr>
          <w:rFonts w:ascii="Arial" w:hAnsi="Arial" w:cs="Arial"/>
          <w:sz w:val="24"/>
          <w:szCs w:val="24"/>
          <w:lang w:val="en-GB"/>
        </w:rPr>
        <w:t xml:space="preserve"> 2019 </w:t>
      </w:r>
      <w:r w:rsidR="00264600" w:rsidRPr="008E299E">
        <w:rPr>
          <w:rFonts w:ascii="Arial" w:hAnsi="Arial" w:cs="Arial"/>
          <w:sz w:val="24"/>
          <w:szCs w:val="24"/>
          <w:lang w:val="en-GB"/>
        </w:rPr>
        <w:t xml:space="preserve">issued by </w:t>
      </w:r>
      <w:r w:rsidR="002A7419" w:rsidRPr="008E299E">
        <w:rPr>
          <w:rFonts w:ascii="Arial" w:hAnsi="Arial" w:cs="Arial"/>
          <w:sz w:val="24"/>
          <w:szCs w:val="24"/>
          <w:lang w:val="en-GB"/>
        </w:rPr>
        <w:t xml:space="preserve">SASAC </w:t>
      </w:r>
      <w:r w:rsidR="00264600" w:rsidRPr="008E299E">
        <w:rPr>
          <w:rFonts w:ascii="Arial" w:hAnsi="Arial" w:cs="Arial"/>
          <w:sz w:val="24"/>
          <w:szCs w:val="24"/>
          <w:lang w:val="en-GB"/>
        </w:rPr>
        <w:t>is not a recommendation; the local governments</w:t>
      </w:r>
      <w:r w:rsidR="002A7419" w:rsidRPr="008E299E">
        <w:rPr>
          <w:rFonts w:ascii="Arial" w:hAnsi="Arial" w:cs="Arial"/>
          <w:sz w:val="24"/>
          <w:szCs w:val="24"/>
          <w:lang w:val="en-GB"/>
        </w:rPr>
        <w:t xml:space="preserve"> must implement it in</w:t>
      </w:r>
      <w:r w:rsidR="00783BAE">
        <w:rPr>
          <w:rFonts w:ascii="Arial" w:hAnsi="Arial" w:cs="Arial"/>
          <w:sz w:val="24"/>
          <w:szCs w:val="24"/>
          <w:lang w:val="en-GB"/>
        </w:rPr>
        <w:t>:</w:t>
      </w:r>
    </w:p>
    <w:p w:rsidR="00783BAE" w:rsidRPr="004E79B9" w:rsidRDefault="00F575D3" w:rsidP="004E79B9">
      <w:pPr>
        <w:pStyle w:val="ListParagraph"/>
        <w:tabs>
          <w:tab w:val="left" w:pos="0"/>
          <w:tab w:val="left" w:pos="567"/>
          <w:tab w:val="left" w:pos="990"/>
        </w:tabs>
        <w:spacing w:after="0" w:line="360" w:lineRule="auto"/>
        <w:ind w:left="0"/>
        <w:jc w:val="both"/>
        <w:rPr>
          <w:rFonts w:ascii="Arial" w:eastAsia="Times New Roman" w:hAnsi="Arial" w:cs="Arial"/>
          <w:szCs w:val="24"/>
          <w:lang w:val="en-ZA"/>
        </w:rPr>
      </w:pPr>
      <w:r w:rsidRPr="004E79B9">
        <w:rPr>
          <w:rFonts w:ascii="Arial" w:hAnsi="Arial" w:cs="Arial"/>
          <w:szCs w:val="24"/>
          <w:lang w:val="en-GB"/>
        </w:rPr>
        <w:t>‘</w:t>
      </w:r>
      <w:r w:rsidR="00783BAE" w:rsidRPr="004E79B9">
        <w:rPr>
          <w:rFonts w:ascii="Arial" w:hAnsi="Arial" w:cs="Arial"/>
          <w:szCs w:val="24"/>
          <w:lang w:val="en-GB"/>
        </w:rPr>
        <w:t xml:space="preserve">. . . </w:t>
      </w:r>
      <w:r w:rsidR="002A7419" w:rsidRPr="004E79B9">
        <w:rPr>
          <w:rFonts w:ascii="Arial" w:hAnsi="Arial" w:cs="Arial"/>
          <w:szCs w:val="24"/>
          <w:lang w:val="en-GB"/>
        </w:rPr>
        <w:t xml:space="preserve">the spirit of the </w:t>
      </w:r>
      <w:r w:rsidR="00D55B72" w:rsidRPr="004E79B9">
        <w:rPr>
          <w:rFonts w:ascii="Arial" w:hAnsi="Arial" w:cs="Arial"/>
          <w:szCs w:val="24"/>
          <w:lang w:val="en-GB"/>
        </w:rPr>
        <w:t>N</w:t>
      </w:r>
      <w:r w:rsidR="002A7419" w:rsidRPr="004E79B9">
        <w:rPr>
          <w:rFonts w:ascii="Arial" w:hAnsi="Arial" w:cs="Arial"/>
          <w:szCs w:val="24"/>
          <w:lang w:val="en-GB"/>
        </w:rPr>
        <w:t xml:space="preserve">otice by the State Council of </w:t>
      </w:r>
      <w:r w:rsidR="002D39FC" w:rsidRPr="004E79B9">
        <w:rPr>
          <w:rFonts w:ascii="Arial" w:hAnsi="Arial" w:cs="Arial"/>
          <w:szCs w:val="24"/>
          <w:lang w:val="en-GB"/>
        </w:rPr>
        <w:t>I</w:t>
      </w:r>
      <w:r w:rsidR="002A7419" w:rsidRPr="004E79B9">
        <w:rPr>
          <w:rFonts w:ascii="Arial" w:hAnsi="Arial" w:cs="Arial"/>
          <w:szCs w:val="24"/>
          <w:lang w:val="en-GB"/>
        </w:rPr>
        <w:t xml:space="preserve">ssuing the </w:t>
      </w:r>
      <w:r w:rsidR="002D39FC" w:rsidRPr="004E79B9">
        <w:rPr>
          <w:rFonts w:ascii="Arial" w:hAnsi="Arial" w:cs="Arial"/>
          <w:szCs w:val="24"/>
          <w:lang w:val="en-GB"/>
        </w:rPr>
        <w:t>P</w:t>
      </w:r>
      <w:r w:rsidR="002A7419" w:rsidRPr="004E79B9">
        <w:rPr>
          <w:rFonts w:ascii="Arial" w:hAnsi="Arial" w:cs="Arial"/>
          <w:szCs w:val="24"/>
          <w:lang w:val="en-GB"/>
        </w:rPr>
        <w:t xml:space="preserve">lan for </w:t>
      </w:r>
      <w:r w:rsidR="002D39FC" w:rsidRPr="004E79B9">
        <w:rPr>
          <w:rFonts w:ascii="Arial" w:hAnsi="Arial" w:cs="Arial"/>
          <w:szCs w:val="24"/>
          <w:lang w:val="en-GB"/>
        </w:rPr>
        <w:t>R</w:t>
      </w:r>
      <w:r w:rsidR="002A7419" w:rsidRPr="004E79B9">
        <w:rPr>
          <w:rFonts w:ascii="Arial" w:hAnsi="Arial" w:cs="Arial"/>
          <w:szCs w:val="24"/>
          <w:lang w:val="en-GB"/>
        </w:rPr>
        <w:t xml:space="preserve">eforming the </w:t>
      </w:r>
      <w:r w:rsidR="002D39FC" w:rsidRPr="004E79B9">
        <w:rPr>
          <w:rFonts w:ascii="Arial" w:hAnsi="Arial" w:cs="Arial"/>
          <w:szCs w:val="24"/>
          <w:lang w:val="en-GB"/>
        </w:rPr>
        <w:t xml:space="preserve">State Owned Capital Authorised Operation System </w:t>
      </w:r>
      <w:r w:rsidR="00BA2D94" w:rsidRPr="004E79B9">
        <w:rPr>
          <w:rFonts w:ascii="Arial" w:hAnsi="Arial" w:cs="Arial"/>
          <w:szCs w:val="24"/>
          <w:lang w:val="en-GB"/>
        </w:rPr>
        <w:t>(</w:t>
      </w:r>
      <w:r w:rsidR="002D39FC" w:rsidRPr="004E79B9">
        <w:rPr>
          <w:rFonts w:ascii="Arial" w:hAnsi="Arial" w:cs="Arial"/>
          <w:szCs w:val="24"/>
          <w:lang w:val="en-GB"/>
        </w:rPr>
        <w:t>[</w:t>
      </w:r>
      <w:r w:rsidR="00444E0F" w:rsidRPr="004E79B9">
        <w:rPr>
          <w:rFonts w:ascii="Arial" w:hAnsi="Arial" w:cs="Arial"/>
          <w:szCs w:val="24"/>
          <w:lang w:val="en-GB"/>
        </w:rPr>
        <w:t xml:space="preserve">19 April </w:t>
      </w:r>
      <w:r w:rsidR="002D39FC" w:rsidRPr="004E79B9">
        <w:rPr>
          <w:rFonts w:ascii="Arial" w:hAnsi="Arial" w:cs="Arial"/>
          <w:szCs w:val="24"/>
          <w:lang w:val="en-GB"/>
        </w:rPr>
        <w:t>2019] of the State Council</w:t>
      </w:r>
      <w:r w:rsidR="00BA2D94" w:rsidRPr="004E79B9">
        <w:rPr>
          <w:rFonts w:ascii="Arial" w:hAnsi="Arial" w:cs="Arial"/>
          <w:szCs w:val="24"/>
          <w:lang w:val="en-GB"/>
        </w:rPr>
        <w:t>)</w:t>
      </w:r>
      <w:r w:rsidR="002D39FC" w:rsidRPr="004E79B9">
        <w:rPr>
          <w:rFonts w:ascii="Arial" w:hAnsi="Arial" w:cs="Arial"/>
          <w:szCs w:val="24"/>
          <w:lang w:val="en-GB"/>
        </w:rPr>
        <w:t xml:space="preserve"> </w:t>
      </w:r>
      <w:r w:rsidR="00D7104F" w:rsidRPr="004E79B9">
        <w:rPr>
          <w:rFonts w:ascii="Arial" w:hAnsi="Arial" w:cs="Arial"/>
          <w:szCs w:val="24"/>
          <w:lang w:val="en-GB"/>
        </w:rPr>
        <w:t>(</w:t>
      </w:r>
      <w:r w:rsidR="00444E0F" w:rsidRPr="004E79B9">
        <w:rPr>
          <w:rFonts w:ascii="Arial" w:hAnsi="Arial" w:cs="Arial"/>
          <w:szCs w:val="24"/>
          <w:lang w:val="en-GB"/>
        </w:rPr>
        <w:t xml:space="preserve">the </w:t>
      </w:r>
      <w:r w:rsidRPr="004E79B9">
        <w:rPr>
          <w:rFonts w:ascii="Arial" w:hAnsi="Arial" w:cs="Arial"/>
          <w:szCs w:val="24"/>
          <w:lang w:val="en-GB"/>
        </w:rPr>
        <w:t>‘</w:t>
      </w:r>
      <w:r w:rsidR="00444E0F" w:rsidRPr="004E79B9">
        <w:rPr>
          <w:rFonts w:ascii="Arial" w:hAnsi="Arial" w:cs="Arial"/>
          <w:szCs w:val="24"/>
          <w:lang w:val="en-GB"/>
        </w:rPr>
        <w:t>Plan</w:t>
      </w:r>
      <w:r w:rsidR="009768AB" w:rsidRPr="004E79B9">
        <w:rPr>
          <w:rFonts w:ascii="Arial" w:hAnsi="Arial" w:cs="Arial"/>
          <w:szCs w:val="24"/>
          <w:lang w:val="en-GB"/>
        </w:rPr>
        <w:t xml:space="preserve"> for System</w:t>
      </w:r>
      <w:r w:rsidRPr="004E79B9">
        <w:rPr>
          <w:rFonts w:ascii="Arial" w:hAnsi="Arial" w:cs="Arial"/>
          <w:szCs w:val="24"/>
          <w:lang w:val="en-GB"/>
        </w:rPr>
        <w:t>’</w:t>
      </w:r>
      <w:r w:rsidR="00444E0F" w:rsidRPr="004E79B9">
        <w:rPr>
          <w:rFonts w:ascii="Arial" w:hAnsi="Arial" w:cs="Arial"/>
          <w:szCs w:val="24"/>
          <w:lang w:val="en-GB"/>
        </w:rPr>
        <w:t xml:space="preserve">) </w:t>
      </w:r>
      <w:r w:rsidR="002D39FC" w:rsidRPr="004E79B9">
        <w:rPr>
          <w:rFonts w:ascii="Arial" w:hAnsi="Arial" w:cs="Arial"/>
          <w:szCs w:val="24"/>
          <w:lang w:val="en-GB"/>
        </w:rPr>
        <w:t xml:space="preserve">and Ten Opinions of Shandong Provincial Party Committee and Shandong Provincial Peoples Government on Accelerating the Reform of State Owned Enterprises </w:t>
      </w:r>
      <w:r w:rsidR="007A3668">
        <w:rPr>
          <w:rFonts w:ascii="Arial" w:hAnsi="Arial" w:cs="Arial"/>
          <w:szCs w:val="24"/>
          <w:lang w:val="en-GB"/>
        </w:rPr>
        <w:t xml:space="preserve">(No. 17 of </w:t>
      </w:r>
      <w:r w:rsidR="002D39FC" w:rsidRPr="004E79B9">
        <w:rPr>
          <w:rFonts w:ascii="Arial" w:hAnsi="Arial" w:cs="Arial"/>
          <w:szCs w:val="24"/>
          <w:lang w:val="en-GB"/>
        </w:rPr>
        <w:t>[2017]</w:t>
      </w:r>
      <w:r w:rsidR="007A3668">
        <w:rPr>
          <w:rFonts w:ascii="Arial" w:hAnsi="Arial" w:cs="Arial"/>
          <w:szCs w:val="24"/>
          <w:lang w:val="en-GB"/>
        </w:rPr>
        <w:t xml:space="preserve"> of the Shandong Provincial Government)</w:t>
      </w:r>
      <w:r w:rsidR="00264600" w:rsidRPr="004E79B9">
        <w:rPr>
          <w:rFonts w:ascii="Arial" w:hAnsi="Arial" w:cs="Arial"/>
          <w:szCs w:val="24"/>
          <w:lang w:val="en-GB"/>
        </w:rPr>
        <w:t>.</w:t>
      </w:r>
      <w:r w:rsidR="00783BAE" w:rsidRPr="004E79B9">
        <w:rPr>
          <w:rFonts w:ascii="Arial" w:hAnsi="Arial" w:cs="Arial"/>
          <w:szCs w:val="24"/>
          <w:lang w:val="en-GB"/>
        </w:rPr>
        <w:t>’</w:t>
      </w:r>
      <w:r w:rsidR="00264600" w:rsidRPr="004E79B9">
        <w:rPr>
          <w:rFonts w:ascii="Arial" w:hAnsi="Arial" w:cs="Arial"/>
          <w:szCs w:val="24"/>
          <w:lang w:val="en-GB"/>
        </w:rPr>
        <w:t xml:space="preserve"> </w:t>
      </w:r>
      <w:r w:rsidR="00444E0F" w:rsidRPr="004E79B9">
        <w:rPr>
          <w:rFonts w:ascii="Arial" w:eastAsia="Times New Roman" w:hAnsi="Arial" w:cs="Arial"/>
          <w:szCs w:val="24"/>
          <w:lang w:val="en-ZA"/>
        </w:rPr>
        <w:t xml:space="preserve">  </w:t>
      </w:r>
    </w:p>
    <w:p w:rsidR="000A1E3B" w:rsidRPr="00783BAE" w:rsidRDefault="00444E0F" w:rsidP="004E79B9">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r w:rsidRPr="00BE173F">
        <w:rPr>
          <w:rFonts w:ascii="Arial" w:eastAsia="Times New Roman" w:hAnsi="Arial" w:cs="Arial"/>
          <w:sz w:val="24"/>
          <w:szCs w:val="24"/>
          <w:lang w:val="en-ZA"/>
        </w:rPr>
        <w:t>The Plan</w:t>
      </w:r>
      <w:r w:rsidR="00463190" w:rsidRPr="00BE173F">
        <w:rPr>
          <w:rFonts w:ascii="Arial" w:eastAsia="Times New Roman" w:hAnsi="Arial" w:cs="Arial"/>
          <w:sz w:val="24"/>
          <w:szCs w:val="24"/>
          <w:lang w:val="en-ZA"/>
        </w:rPr>
        <w:t xml:space="preserve"> for System</w:t>
      </w:r>
      <w:r w:rsidRPr="00BE173F">
        <w:rPr>
          <w:rFonts w:ascii="Arial" w:eastAsia="Times New Roman" w:hAnsi="Arial" w:cs="Arial"/>
          <w:sz w:val="24"/>
          <w:szCs w:val="24"/>
          <w:lang w:val="en-ZA"/>
        </w:rPr>
        <w:t xml:space="preserve"> – </w:t>
      </w:r>
      <w:r w:rsidR="00800F11" w:rsidRPr="00BE173F">
        <w:rPr>
          <w:rFonts w:ascii="Arial" w:hAnsi="Arial" w:cs="Arial"/>
          <w:sz w:val="24"/>
          <w:szCs w:val="24"/>
          <w:lang w:val="en-GB"/>
        </w:rPr>
        <w:t xml:space="preserve">also issued for </w:t>
      </w:r>
      <w:r w:rsidR="00EB001C" w:rsidRPr="00BE173F">
        <w:rPr>
          <w:rFonts w:ascii="Arial" w:hAnsi="Arial" w:cs="Arial"/>
          <w:sz w:val="24"/>
          <w:szCs w:val="24"/>
          <w:lang w:val="en-GB"/>
        </w:rPr>
        <w:t>‘</w:t>
      </w:r>
      <w:r w:rsidR="00800F11" w:rsidRPr="00BE173F">
        <w:rPr>
          <w:rFonts w:ascii="Arial" w:hAnsi="Arial" w:cs="Arial"/>
          <w:sz w:val="24"/>
          <w:szCs w:val="24"/>
          <w:lang w:val="en-GB"/>
        </w:rPr>
        <w:t>diligent implementation</w:t>
      </w:r>
      <w:r w:rsidR="00EB001C" w:rsidRPr="00BE173F">
        <w:rPr>
          <w:rFonts w:ascii="Arial" w:hAnsi="Arial" w:cs="Arial"/>
          <w:sz w:val="24"/>
          <w:szCs w:val="24"/>
          <w:lang w:val="en-GB"/>
        </w:rPr>
        <w:t>’</w:t>
      </w:r>
      <w:r w:rsidR="00800F11" w:rsidRPr="00BE173F">
        <w:rPr>
          <w:rFonts w:ascii="Arial" w:hAnsi="Arial" w:cs="Arial"/>
          <w:sz w:val="24"/>
          <w:szCs w:val="24"/>
          <w:lang w:val="en-GB"/>
        </w:rPr>
        <w:t xml:space="preserve"> – </w:t>
      </w:r>
      <w:r w:rsidR="000A1E3B" w:rsidRPr="00BE173F">
        <w:rPr>
          <w:rFonts w:ascii="Arial" w:hAnsi="Arial" w:cs="Arial"/>
          <w:sz w:val="24"/>
          <w:szCs w:val="24"/>
          <w:lang w:val="en-GB"/>
        </w:rPr>
        <w:t>confirms</w:t>
      </w:r>
      <w:r w:rsidR="007177D0" w:rsidRPr="00BE173F">
        <w:rPr>
          <w:rFonts w:ascii="Arial" w:hAnsi="Arial" w:cs="Arial"/>
          <w:sz w:val="24"/>
          <w:szCs w:val="24"/>
          <w:lang w:val="en-GB"/>
        </w:rPr>
        <w:t xml:space="preserve"> </w:t>
      </w:r>
      <w:r w:rsidR="00B96DBC" w:rsidRPr="00384F6C">
        <w:rPr>
          <w:rFonts w:ascii="Arial" w:hAnsi="Arial" w:cs="Arial"/>
          <w:sz w:val="24"/>
          <w:szCs w:val="24"/>
          <w:lang w:val="en-GB"/>
        </w:rPr>
        <w:t xml:space="preserve">that the </w:t>
      </w:r>
      <w:r w:rsidR="00EB001C" w:rsidRPr="0088387C">
        <w:rPr>
          <w:rFonts w:ascii="Arial" w:hAnsi="Arial" w:cs="Arial"/>
          <w:sz w:val="24"/>
          <w:szCs w:val="24"/>
          <w:lang w:val="en-GB"/>
        </w:rPr>
        <w:t>S</w:t>
      </w:r>
      <w:r w:rsidR="00B96DBC" w:rsidRPr="00C92D88">
        <w:rPr>
          <w:rFonts w:ascii="Arial" w:hAnsi="Arial" w:cs="Arial"/>
          <w:sz w:val="24"/>
          <w:szCs w:val="24"/>
          <w:lang w:val="en-GB"/>
        </w:rPr>
        <w:t>tate</w:t>
      </w:r>
      <w:r w:rsidR="00EB001C" w:rsidRPr="00C92D88">
        <w:rPr>
          <w:rFonts w:ascii="Arial" w:hAnsi="Arial" w:cs="Arial"/>
          <w:sz w:val="24"/>
          <w:szCs w:val="24"/>
          <w:lang w:val="en-GB"/>
        </w:rPr>
        <w:t>-</w:t>
      </w:r>
      <w:r w:rsidR="00B96DBC" w:rsidRPr="00C92D88">
        <w:rPr>
          <w:rFonts w:ascii="Arial" w:hAnsi="Arial" w:cs="Arial"/>
          <w:sz w:val="24"/>
          <w:szCs w:val="24"/>
          <w:lang w:val="en-GB"/>
        </w:rPr>
        <w:t>owned capital investments an</w:t>
      </w:r>
      <w:r w:rsidR="00916124" w:rsidRPr="00130CA5">
        <w:rPr>
          <w:rFonts w:ascii="Arial" w:hAnsi="Arial" w:cs="Arial"/>
          <w:sz w:val="24"/>
          <w:szCs w:val="24"/>
          <w:lang w:val="en-GB"/>
        </w:rPr>
        <w:t>d</w:t>
      </w:r>
      <w:r w:rsidR="00B96DBC" w:rsidRPr="00130CA5">
        <w:rPr>
          <w:rFonts w:ascii="Arial" w:hAnsi="Arial" w:cs="Arial"/>
          <w:sz w:val="24"/>
          <w:szCs w:val="24"/>
          <w:lang w:val="en-GB"/>
        </w:rPr>
        <w:t xml:space="preserve"> operation companies</w:t>
      </w:r>
      <w:r w:rsidR="00800F11" w:rsidRPr="00130CA5">
        <w:rPr>
          <w:rFonts w:ascii="Arial" w:hAnsi="Arial" w:cs="Arial"/>
          <w:sz w:val="24"/>
          <w:szCs w:val="24"/>
          <w:lang w:val="en-GB"/>
        </w:rPr>
        <w:t>,</w:t>
      </w:r>
      <w:r w:rsidR="00B96DBC" w:rsidRPr="00130CA5">
        <w:rPr>
          <w:rFonts w:ascii="Arial" w:hAnsi="Arial" w:cs="Arial"/>
          <w:sz w:val="24"/>
          <w:szCs w:val="24"/>
          <w:lang w:val="en-GB"/>
        </w:rPr>
        <w:t xml:space="preserve"> </w:t>
      </w:r>
      <w:r w:rsidR="00463190" w:rsidRPr="00130CA5">
        <w:rPr>
          <w:rFonts w:ascii="Arial" w:hAnsi="Arial" w:cs="Arial"/>
          <w:sz w:val="24"/>
          <w:szCs w:val="24"/>
          <w:lang w:val="en-GB"/>
        </w:rPr>
        <w:t>that is the</w:t>
      </w:r>
      <w:r w:rsidR="00B96DBC" w:rsidRPr="00130CA5">
        <w:rPr>
          <w:rFonts w:ascii="Arial" w:hAnsi="Arial" w:cs="Arial"/>
          <w:sz w:val="24"/>
          <w:szCs w:val="24"/>
          <w:lang w:val="en-GB"/>
        </w:rPr>
        <w:t xml:space="preserve"> </w:t>
      </w:r>
      <w:r w:rsidR="00916124" w:rsidRPr="00130CA5">
        <w:rPr>
          <w:rFonts w:ascii="Arial" w:hAnsi="Arial" w:cs="Arial"/>
          <w:sz w:val="24"/>
          <w:szCs w:val="24"/>
          <w:lang w:val="en-GB"/>
        </w:rPr>
        <w:t>SOE</w:t>
      </w:r>
      <w:r w:rsidR="00B96DBC" w:rsidRPr="00130CA5">
        <w:rPr>
          <w:rFonts w:ascii="Arial" w:hAnsi="Arial" w:cs="Arial"/>
          <w:sz w:val="24"/>
          <w:szCs w:val="24"/>
          <w:lang w:val="en-GB"/>
        </w:rPr>
        <w:t xml:space="preserve"> holding companies</w:t>
      </w:r>
      <w:r w:rsidR="00800F11" w:rsidRPr="000222FD">
        <w:rPr>
          <w:rFonts w:ascii="Arial" w:hAnsi="Arial" w:cs="Arial"/>
          <w:sz w:val="24"/>
          <w:szCs w:val="24"/>
          <w:lang w:val="en-GB"/>
        </w:rPr>
        <w:t>,</w:t>
      </w:r>
      <w:r w:rsidR="00B96DBC" w:rsidRPr="00783BAE">
        <w:rPr>
          <w:rFonts w:ascii="Arial" w:hAnsi="Arial" w:cs="Arial"/>
          <w:sz w:val="24"/>
          <w:szCs w:val="24"/>
          <w:lang w:val="en-GB"/>
        </w:rPr>
        <w:t xml:space="preserve"> are </w:t>
      </w:r>
      <w:r w:rsidRPr="00783BAE">
        <w:rPr>
          <w:rFonts w:ascii="Arial" w:hAnsi="Arial" w:cs="Arial"/>
          <w:sz w:val="24"/>
          <w:szCs w:val="24"/>
          <w:lang w:val="en-GB"/>
        </w:rPr>
        <w:t>entrusted</w:t>
      </w:r>
      <w:r w:rsidR="00B96DBC" w:rsidRPr="00783BAE">
        <w:rPr>
          <w:rFonts w:ascii="Arial" w:hAnsi="Arial" w:cs="Arial"/>
          <w:sz w:val="24"/>
          <w:szCs w:val="24"/>
          <w:lang w:val="en-GB"/>
        </w:rPr>
        <w:t xml:space="preserve"> with the duties of capital contributors for </w:t>
      </w:r>
      <w:r w:rsidR="007F5699" w:rsidRPr="00783BAE">
        <w:rPr>
          <w:rFonts w:ascii="Arial" w:hAnsi="Arial" w:cs="Arial"/>
          <w:sz w:val="24"/>
          <w:szCs w:val="24"/>
          <w:lang w:val="en-GB"/>
        </w:rPr>
        <w:t>their</w:t>
      </w:r>
      <w:r w:rsidR="00B96DBC" w:rsidRPr="00783BAE">
        <w:rPr>
          <w:rFonts w:ascii="Arial" w:hAnsi="Arial" w:cs="Arial"/>
          <w:sz w:val="24"/>
          <w:szCs w:val="24"/>
          <w:lang w:val="en-GB"/>
        </w:rPr>
        <w:t xml:space="preserve"> subsidiaries</w:t>
      </w:r>
      <w:r w:rsidR="00916124" w:rsidRPr="00783BAE">
        <w:rPr>
          <w:rFonts w:ascii="Arial" w:hAnsi="Arial" w:cs="Arial"/>
          <w:sz w:val="24"/>
          <w:szCs w:val="24"/>
          <w:lang w:val="en-GB"/>
        </w:rPr>
        <w:t xml:space="preserve">. </w:t>
      </w:r>
      <w:r w:rsidR="00B96DBC" w:rsidRPr="00783BAE">
        <w:rPr>
          <w:rFonts w:ascii="Arial" w:hAnsi="Arial" w:cs="Arial"/>
          <w:sz w:val="24"/>
          <w:szCs w:val="24"/>
          <w:lang w:val="en-GB"/>
        </w:rPr>
        <w:t xml:space="preserve"> </w:t>
      </w:r>
    </w:p>
    <w:p w:rsidR="000A1E3B" w:rsidRPr="000A1E3B" w:rsidRDefault="000A1E3B"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B96DBC" w:rsidRPr="008E299E" w:rsidRDefault="004648BE"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Mr Peng agrees with counsel for the plaintiff that direct authori</w:t>
      </w:r>
      <w:r w:rsidR="00BE173F">
        <w:rPr>
          <w:rFonts w:ascii="Arial" w:hAnsi="Arial" w:cs="Arial"/>
          <w:sz w:val="24"/>
          <w:szCs w:val="24"/>
          <w:lang w:val="en-GB"/>
        </w:rPr>
        <w:t>s</w:t>
      </w:r>
      <w:r w:rsidRPr="008E299E">
        <w:rPr>
          <w:rFonts w:ascii="Arial" w:hAnsi="Arial" w:cs="Arial"/>
          <w:sz w:val="24"/>
          <w:szCs w:val="24"/>
          <w:lang w:val="en-GB"/>
        </w:rPr>
        <w:t xml:space="preserve">ation by the government is required to </w:t>
      </w:r>
      <w:r w:rsidR="00320685">
        <w:rPr>
          <w:rFonts w:ascii="Arial" w:hAnsi="Arial" w:cs="Arial"/>
          <w:sz w:val="24"/>
          <w:szCs w:val="24"/>
          <w:lang w:val="en-GB"/>
        </w:rPr>
        <w:t xml:space="preserve">enable SIS to </w:t>
      </w:r>
      <w:r w:rsidRPr="008E299E">
        <w:rPr>
          <w:rFonts w:ascii="Arial" w:hAnsi="Arial" w:cs="Arial"/>
          <w:sz w:val="24"/>
          <w:szCs w:val="24"/>
          <w:lang w:val="en-GB"/>
        </w:rPr>
        <w:t xml:space="preserve">act as a capital contributor.  The List Notice is </w:t>
      </w:r>
      <w:r w:rsidR="000A1E3B">
        <w:rPr>
          <w:rFonts w:ascii="Arial" w:hAnsi="Arial" w:cs="Arial"/>
          <w:sz w:val="24"/>
          <w:szCs w:val="24"/>
          <w:lang w:val="en-GB"/>
        </w:rPr>
        <w:t xml:space="preserve">such </w:t>
      </w:r>
      <w:r w:rsidRPr="008E299E">
        <w:rPr>
          <w:rFonts w:ascii="Arial" w:hAnsi="Arial" w:cs="Arial"/>
          <w:sz w:val="24"/>
          <w:szCs w:val="24"/>
          <w:lang w:val="en-GB"/>
        </w:rPr>
        <w:t>authority for conferring that power and confirming that SASAC implemented th</w:t>
      </w:r>
      <w:r w:rsidR="000A1E3B">
        <w:rPr>
          <w:rFonts w:ascii="Arial" w:hAnsi="Arial" w:cs="Arial"/>
          <w:sz w:val="24"/>
          <w:szCs w:val="24"/>
          <w:lang w:val="en-GB"/>
        </w:rPr>
        <w:t>e</w:t>
      </w:r>
      <w:r w:rsidRPr="008E299E">
        <w:rPr>
          <w:rFonts w:ascii="Arial" w:hAnsi="Arial" w:cs="Arial"/>
          <w:sz w:val="24"/>
          <w:szCs w:val="24"/>
          <w:lang w:val="en-GB"/>
        </w:rPr>
        <w:t xml:space="preserve"> reform.</w:t>
      </w:r>
      <w:r w:rsidRPr="008E299E">
        <w:rPr>
          <w:rFonts w:ascii="Arial" w:eastAsia="Times New Roman" w:hAnsi="Arial" w:cs="Arial"/>
          <w:sz w:val="24"/>
          <w:szCs w:val="24"/>
          <w:lang w:val="en-ZA"/>
        </w:rPr>
        <w:t xml:space="preserve">  </w:t>
      </w:r>
      <w:r w:rsidR="00790F29" w:rsidRPr="008E299E">
        <w:rPr>
          <w:rFonts w:ascii="Arial" w:hAnsi="Arial" w:cs="Arial"/>
          <w:sz w:val="24"/>
          <w:szCs w:val="24"/>
          <w:lang w:val="en-GB"/>
        </w:rPr>
        <w:t xml:space="preserve">SOE holding companies </w:t>
      </w:r>
      <w:r w:rsidR="00B96DBC" w:rsidRPr="008E299E">
        <w:rPr>
          <w:rFonts w:ascii="Arial" w:hAnsi="Arial" w:cs="Arial"/>
          <w:sz w:val="24"/>
          <w:szCs w:val="24"/>
          <w:lang w:val="en-GB"/>
        </w:rPr>
        <w:t>control the fate of the</w:t>
      </w:r>
      <w:r w:rsidR="000A1E3B">
        <w:rPr>
          <w:rFonts w:ascii="Arial" w:hAnsi="Arial" w:cs="Arial"/>
          <w:sz w:val="24"/>
          <w:szCs w:val="24"/>
          <w:lang w:val="en-GB"/>
        </w:rPr>
        <w:t>ir</w:t>
      </w:r>
      <w:r w:rsidR="00B96DBC" w:rsidRPr="008E299E">
        <w:rPr>
          <w:rFonts w:ascii="Arial" w:hAnsi="Arial" w:cs="Arial"/>
          <w:sz w:val="24"/>
          <w:szCs w:val="24"/>
          <w:lang w:val="en-GB"/>
        </w:rPr>
        <w:t xml:space="preserve"> subsidiaries</w:t>
      </w:r>
      <w:r w:rsidR="007177D0" w:rsidRPr="008E299E">
        <w:rPr>
          <w:rFonts w:ascii="Arial" w:hAnsi="Arial" w:cs="Arial"/>
          <w:sz w:val="24"/>
          <w:szCs w:val="24"/>
          <w:lang w:val="en-GB"/>
        </w:rPr>
        <w:t>.</w:t>
      </w:r>
      <w:r w:rsidR="000A1E3B">
        <w:rPr>
          <w:rFonts w:ascii="Arial" w:hAnsi="Arial" w:cs="Arial"/>
          <w:sz w:val="24"/>
          <w:szCs w:val="24"/>
          <w:lang w:val="en-GB"/>
        </w:rPr>
        <w:t xml:space="preserve"> </w:t>
      </w:r>
      <w:r w:rsidR="007177D0" w:rsidRPr="008E299E">
        <w:rPr>
          <w:rFonts w:ascii="Arial" w:hAnsi="Arial" w:cs="Arial"/>
          <w:sz w:val="24"/>
          <w:szCs w:val="24"/>
          <w:lang w:val="en-GB"/>
        </w:rPr>
        <w:t xml:space="preserve"> SASAC, a government agency</w:t>
      </w:r>
      <w:r w:rsidR="000A1E3B">
        <w:rPr>
          <w:rFonts w:ascii="Arial" w:hAnsi="Arial" w:cs="Arial"/>
          <w:sz w:val="24"/>
          <w:szCs w:val="24"/>
          <w:lang w:val="en-GB"/>
        </w:rPr>
        <w:t>,</w:t>
      </w:r>
      <w:r w:rsidR="007177D0" w:rsidRPr="008E299E">
        <w:rPr>
          <w:rFonts w:ascii="Arial" w:hAnsi="Arial" w:cs="Arial"/>
          <w:sz w:val="24"/>
          <w:szCs w:val="24"/>
          <w:lang w:val="en-GB"/>
        </w:rPr>
        <w:t xml:space="preserve"> cannot intervene into the market decision</w:t>
      </w:r>
      <w:r w:rsidR="00F51432">
        <w:rPr>
          <w:rFonts w:ascii="Arial" w:hAnsi="Arial" w:cs="Arial"/>
          <w:sz w:val="24"/>
          <w:szCs w:val="24"/>
          <w:lang w:val="en-GB"/>
        </w:rPr>
        <w:t>-</w:t>
      </w:r>
      <w:r w:rsidR="007177D0" w:rsidRPr="008E299E">
        <w:rPr>
          <w:rFonts w:ascii="Arial" w:hAnsi="Arial" w:cs="Arial"/>
          <w:sz w:val="24"/>
          <w:szCs w:val="24"/>
          <w:lang w:val="en-GB"/>
        </w:rPr>
        <w:t xml:space="preserve">making of the subsidiaries under </w:t>
      </w:r>
      <w:r w:rsidR="00916124" w:rsidRPr="008E299E">
        <w:rPr>
          <w:rFonts w:ascii="Arial" w:hAnsi="Arial" w:cs="Arial"/>
          <w:sz w:val="24"/>
          <w:szCs w:val="24"/>
          <w:lang w:val="en-GB"/>
        </w:rPr>
        <w:t>SIS.</w:t>
      </w:r>
      <w:r w:rsidR="00790F29" w:rsidRPr="008E299E">
        <w:rPr>
          <w:rFonts w:ascii="Arial" w:hAnsi="Arial" w:cs="Arial"/>
          <w:sz w:val="24"/>
          <w:szCs w:val="24"/>
          <w:lang w:val="en-GB"/>
        </w:rPr>
        <w:t xml:space="preserve"> </w:t>
      </w:r>
      <w:r w:rsidR="007177D0" w:rsidRPr="008E299E">
        <w:rPr>
          <w:rFonts w:ascii="Arial" w:hAnsi="Arial" w:cs="Arial"/>
          <w:sz w:val="24"/>
          <w:szCs w:val="24"/>
          <w:lang w:val="en-GB"/>
        </w:rPr>
        <w:t xml:space="preserve"> </w:t>
      </w:r>
      <w:r w:rsidR="00916124" w:rsidRPr="008E299E">
        <w:rPr>
          <w:rFonts w:ascii="Arial" w:hAnsi="Arial" w:cs="Arial"/>
          <w:sz w:val="24"/>
          <w:szCs w:val="24"/>
          <w:lang w:val="en-GB"/>
        </w:rPr>
        <w:t>T</w:t>
      </w:r>
      <w:r w:rsidR="007177D0" w:rsidRPr="008E299E">
        <w:rPr>
          <w:rFonts w:ascii="Arial" w:hAnsi="Arial" w:cs="Arial"/>
          <w:sz w:val="24"/>
          <w:szCs w:val="24"/>
          <w:lang w:val="en-GB"/>
        </w:rPr>
        <w:t>his is market</w:t>
      </w:r>
      <w:r w:rsidR="00916124" w:rsidRPr="008E299E">
        <w:rPr>
          <w:rFonts w:ascii="Arial" w:hAnsi="Arial" w:cs="Arial"/>
          <w:sz w:val="24"/>
          <w:szCs w:val="24"/>
          <w:lang w:val="en-GB"/>
        </w:rPr>
        <w:t>-</w:t>
      </w:r>
      <w:r w:rsidR="007177D0" w:rsidRPr="008E299E">
        <w:rPr>
          <w:rFonts w:ascii="Arial" w:hAnsi="Arial" w:cs="Arial"/>
          <w:sz w:val="24"/>
          <w:szCs w:val="24"/>
          <w:lang w:val="en-GB"/>
        </w:rPr>
        <w:t>oriented reform</w:t>
      </w:r>
      <w:r w:rsidR="00916124" w:rsidRPr="008E299E">
        <w:rPr>
          <w:rFonts w:ascii="Arial" w:hAnsi="Arial" w:cs="Arial"/>
          <w:sz w:val="24"/>
          <w:szCs w:val="24"/>
          <w:lang w:val="en-GB"/>
        </w:rPr>
        <w:t>.</w:t>
      </w:r>
      <w:r w:rsidR="00790F29" w:rsidRPr="008E299E">
        <w:rPr>
          <w:rFonts w:ascii="Arial" w:hAnsi="Arial" w:cs="Arial"/>
          <w:sz w:val="24"/>
          <w:szCs w:val="24"/>
          <w:lang w:val="en-GB"/>
        </w:rPr>
        <w:t xml:space="preserve"> </w:t>
      </w:r>
      <w:r w:rsidR="007177D0" w:rsidRPr="008E299E">
        <w:rPr>
          <w:rFonts w:ascii="Arial" w:hAnsi="Arial" w:cs="Arial"/>
          <w:sz w:val="24"/>
          <w:szCs w:val="24"/>
          <w:lang w:val="en-GB"/>
        </w:rPr>
        <w:t xml:space="preserve"> </w:t>
      </w:r>
      <w:r w:rsidR="00916124" w:rsidRPr="008E299E">
        <w:rPr>
          <w:rFonts w:ascii="Arial" w:hAnsi="Arial" w:cs="Arial"/>
          <w:sz w:val="24"/>
          <w:szCs w:val="24"/>
          <w:lang w:val="en-GB"/>
        </w:rPr>
        <w:t>I</w:t>
      </w:r>
      <w:r w:rsidR="007177D0" w:rsidRPr="008E299E">
        <w:rPr>
          <w:rFonts w:ascii="Arial" w:hAnsi="Arial" w:cs="Arial"/>
          <w:sz w:val="24"/>
          <w:szCs w:val="24"/>
          <w:lang w:val="en-GB"/>
        </w:rPr>
        <w:t xml:space="preserve">t lets those who are sensitive to the market make decisions </w:t>
      </w:r>
      <w:r w:rsidR="00444E0F" w:rsidRPr="008E299E">
        <w:rPr>
          <w:rFonts w:ascii="Arial" w:hAnsi="Arial" w:cs="Arial"/>
          <w:sz w:val="24"/>
          <w:szCs w:val="24"/>
          <w:lang w:val="en-GB"/>
        </w:rPr>
        <w:t>for</w:t>
      </w:r>
      <w:r w:rsidR="007177D0" w:rsidRPr="008E299E">
        <w:rPr>
          <w:rFonts w:ascii="Arial" w:hAnsi="Arial" w:cs="Arial"/>
          <w:sz w:val="24"/>
          <w:szCs w:val="24"/>
          <w:lang w:val="en-GB"/>
        </w:rPr>
        <w:t xml:space="preserve"> their own fate rather than the government agencies.</w:t>
      </w:r>
    </w:p>
    <w:p w:rsidR="00444E0F" w:rsidRPr="00976FFD" w:rsidRDefault="00444E0F" w:rsidP="00BF0D6B">
      <w:pPr>
        <w:tabs>
          <w:tab w:val="left" w:pos="0"/>
          <w:tab w:val="left" w:pos="567"/>
          <w:tab w:val="left" w:pos="990"/>
        </w:tabs>
        <w:spacing w:line="360" w:lineRule="auto"/>
        <w:contextualSpacing/>
        <w:jc w:val="both"/>
        <w:rPr>
          <w:rFonts w:ascii="Arial" w:hAnsi="Arial" w:cs="Arial"/>
        </w:rPr>
      </w:pPr>
    </w:p>
    <w:p w:rsidR="00C23A77" w:rsidRPr="008E299E" w:rsidRDefault="00075FF2"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Pr>
          <w:rFonts w:ascii="Arial" w:hAnsi="Arial" w:cs="Arial"/>
          <w:sz w:val="24"/>
          <w:szCs w:val="24"/>
          <w:lang w:val="en-GB"/>
        </w:rPr>
        <w:t>From November 2016, t</w:t>
      </w:r>
      <w:r w:rsidR="00E975D4" w:rsidRPr="008E299E">
        <w:rPr>
          <w:rFonts w:ascii="Arial" w:hAnsi="Arial" w:cs="Arial"/>
          <w:sz w:val="24"/>
          <w:szCs w:val="24"/>
          <w:lang w:val="en-GB"/>
        </w:rPr>
        <w:t xml:space="preserve">he </w:t>
      </w:r>
      <w:r w:rsidR="004760F0" w:rsidRPr="008E299E">
        <w:rPr>
          <w:rFonts w:ascii="Arial" w:hAnsi="Arial" w:cs="Arial"/>
          <w:sz w:val="24"/>
          <w:szCs w:val="24"/>
          <w:lang w:val="en-GB"/>
        </w:rPr>
        <w:t xml:space="preserve">number of </w:t>
      </w:r>
      <w:r w:rsidR="006B443A" w:rsidRPr="008E299E">
        <w:rPr>
          <w:rFonts w:ascii="Arial" w:hAnsi="Arial" w:cs="Arial"/>
          <w:sz w:val="24"/>
          <w:szCs w:val="24"/>
          <w:lang w:val="en-GB"/>
        </w:rPr>
        <w:t xml:space="preserve">investment and operation companies among provincial enterprises </w:t>
      </w:r>
      <w:r w:rsidR="004760F0" w:rsidRPr="008E299E">
        <w:rPr>
          <w:rFonts w:ascii="Arial" w:hAnsi="Arial" w:cs="Arial"/>
          <w:sz w:val="24"/>
          <w:szCs w:val="24"/>
          <w:lang w:val="en-GB"/>
        </w:rPr>
        <w:t>grew to 13.</w:t>
      </w:r>
      <w:r w:rsidR="00F74963" w:rsidRPr="008E299E">
        <w:rPr>
          <w:rFonts w:ascii="Arial" w:hAnsi="Arial" w:cs="Arial"/>
          <w:sz w:val="24"/>
          <w:szCs w:val="24"/>
          <w:lang w:val="en-GB"/>
        </w:rPr>
        <w:t xml:space="preserve"> </w:t>
      </w:r>
      <w:r w:rsidR="00483B42" w:rsidRPr="008E299E">
        <w:rPr>
          <w:rFonts w:ascii="Arial" w:hAnsi="Arial" w:cs="Arial"/>
          <w:sz w:val="24"/>
          <w:szCs w:val="24"/>
          <w:lang w:val="en-GB"/>
        </w:rPr>
        <w:t xml:space="preserve"> Particulars of t</w:t>
      </w:r>
      <w:r w:rsidR="006B443A" w:rsidRPr="008E299E">
        <w:rPr>
          <w:rFonts w:ascii="Arial" w:hAnsi="Arial" w:cs="Arial"/>
          <w:sz w:val="24"/>
          <w:szCs w:val="24"/>
          <w:lang w:val="en-GB"/>
        </w:rPr>
        <w:t xml:space="preserve">hese 13 </w:t>
      </w:r>
      <w:r w:rsidR="00483B42" w:rsidRPr="008E299E">
        <w:rPr>
          <w:rFonts w:ascii="Arial" w:hAnsi="Arial" w:cs="Arial"/>
          <w:sz w:val="24"/>
          <w:szCs w:val="24"/>
          <w:lang w:val="en-GB"/>
        </w:rPr>
        <w:t>SOE</w:t>
      </w:r>
      <w:r w:rsidR="006B443A" w:rsidRPr="008E299E">
        <w:rPr>
          <w:rFonts w:ascii="Arial" w:hAnsi="Arial" w:cs="Arial"/>
          <w:sz w:val="24"/>
          <w:szCs w:val="24"/>
          <w:lang w:val="en-GB"/>
        </w:rPr>
        <w:t xml:space="preserve"> holding companies </w:t>
      </w:r>
      <w:r>
        <w:rPr>
          <w:rFonts w:ascii="Arial" w:hAnsi="Arial" w:cs="Arial"/>
          <w:sz w:val="24"/>
          <w:szCs w:val="24"/>
          <w:lang w:val="en-GB"/>
        </w:rPr>
        <w:t xml:space="preserve">which </w:t>
      </w:r>
      <w:r w:rsidR="00483B42" w:rsidRPr="008E299E">
        <w:rPr>
          <w:rFonts w:ascii="Arial" w:hAnsi="Arial" w:cs="Arial"/>
          <w:sz w:val="24"/>
          <w:szCs w:val="24"/>
          <w:lang w:val="en-GB"/>
        </w:rPr>
        <w:t>are</w:t>
      </w:r>
      <w:r w:rsidR="006B443A" w:rsidRPr="008E299E">
        <w:rPr>
          <w:rFonts w:ascii="Arial" w:hAnsi="Arial" w:cs="Arial"/>
          <w:sz w:val="24"/>
          <w:szCs w:val="24"/>
          <w:lang w:val="en-GB"/>
        </w:rPr>
        <w:t xml:space="preserve"> published on </w:t>
      </w:r>
      <w:r w:rsidR="00B96DBC" w:rsidRPr="008E299E">
        <w:rPr>
          <w:rFonts w:ascii="Arial" w:hAnsi="Arial" w:cs="Arial"/>
          <w:sz w:val="24"/>
          <w:szCs w:val="24"/>
          <w:lang w:val="en-GB"/>
        </w:rPr>
        <w:t>SASAC</w:t>
      </w:r>
      <w:r w:rsidR="006B443A" w:rsidRPr="008E299E">
        <w:rPr>
          <w:rFonts w:ascii="Arial" w:hAnsi="Arial" w:cs="Arial"/>
          <w:sz w:val="24"/>
          <w:szCs w:val="24"/>
          <w:lang w:val="en-GB"/>
        </w:rPr>
        <w:t xml:space="preserve"> website</w:t>
      </w:r>
      <w:r>
        <w:rPr>
          <w:rFonts w:ascii="Arial" w:hAnsi="Arial" w:cs="Arial"/>
          <w:sz w:val="24"/>
          <w:szCs w:val="24"/>
          <w:lang w:val="en-GB"/>
        </w:rPr>
        <w:t xml:space="preserve"> include SIS</w:t>
      </w:r>
      <w:r w:rsidR="00B96DBC" w:rsidRPr="008E299E">
        <w:rPr>
          <w:rFonts w:ascii="Arial" w:hAnsi="Arial" w:cs="Arial"/>
          <w:sz w:val="24"/>
          <w:szCs w:val="24"/>
          <w:lang w:val="en-GB"/>
        </w:rPr>
        <w:t>.</w:t>
      </w:r>
    </w:p>
    <w:p w:rsidR="00640E8E" w:rsidRPr="00976FFD" w:rsidRDefault="00640E8E" w:rsidP="00BF0D6B">
      <w:pPr>
        <w:spacing w:line="360" w:lineRule="auto"/>
        <w:rPr>
          <w:rFonts w:ascii="Arial" w:hAnsi="Arial" w:cs="Arial"/>
          <w:lang w:val="en-GB"/>
        </w:rPr>
      </w:pPr>
    </w:p>
    <w:p w:rsidR="00950CC4" w:rsidRPr="008E299E" w:rsidRDefault="00640E8E"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 xml:space="preserve">Consequently, </w:t>
      </w:r>
      <w:r w:rsidR="00E657D4" w:rsidRPr="008E299E">
        <w:rPr>
          <w:rFonts w:ascii="Arial" w:hAnsi="Arial" w:cs="Arial"/>
          <w:sz w:val="24"/>
          <w:szCs w:val="24"/>
          <w:lang w:val="en-GB"/>
        </w:rPr>
        <w:t xml:space="preserve">SIS has been reformed into an SOE holding company. </w:t>
      </w:r>
      <w:r w:rsidR="00950CC4" w:rsidRPr="008E299E">
        <w:rPr>
          <w:rFonts w:ascii="Arial" w:hAnsi="Arial" w:cs="Arial"/>
          <w:sz w:val="24"/>
          <w:szCs w:val="24"/>
          <w:lang w:val="en-GB"/>
        </w:rPr>
        <w:t xml:space="preserve">The control of the subsidiaries (Tonkolili) is delegated to the SOE holding company (SIS).  </w:t>
      </w:r>
      <w:r w:rsidRPr="008E299E">
        <w:rPr>
          <w:rFonts w:ascii="Arial" w:hAnsi="Arial" w:cs="Arial"/>
          <w:sz w:val="24"/>
          <w:szCs w:val="24"/>
          <w:lang w:val="en-GB"/>
        </w:rPr>
        <w:t>The p</w:t>
      </w:r>
      <w:r w:rsidR="007F66E5" w:rsidRPr="008E299E">
        <w:rPr>
          <w:rFonts w:ascii="Arial" w:hAnsi="Arial" w:cs="Arial"/>
          <w:sz w:val="24"/>
          <w:szCs w:val="24"/>
          <w:lang w:val="en-GB"/>
        </w:rPr>
        <w:t xml:space="preserve">rovincial enterprises </w:t>
      </w:r>
      <w:r w:rsidR="003D7BAC" w:rsidRPr="008E299E">
        <w:rPr>
          <w:rFonts w:ascii="Arial" w:hAnsi="Arial" w:cs="Arial"/>
          <w:sz w:val="24"/>
          <w:szCs w:val="24"/>
          <w:lang w:val="en-GB"/>
        </w:rPr>
        <w:t>named</w:t>
      </w:r>
      <w:r w:rsidR="00E657D4" w:rsidRPr="008E299E">
        <w:rPr>
          <w:rFonts w:ascii="Arial" w:hAnsi="Arial" w:cs="Arial"/>
          <w:sz w:val="24"/>
          <w:szCs w:val="24"/>
          <w:lang w:val="en-GB"/>
        </w:rPr>
        <w:t xml:space="preserve"> in the List Notice</w:t>
      </w:r>
      <w:r w:rsidR="003D7BAC" w:rsidRPr="008E299E">
        <w:rPr>
          <w:rFonts w:ascii="Arial" w:hAnsi="Arial" w:cs="Arial"/>
          <w:sz w:val="24"/>
          <w:szCs w:val="24"/>
          <w:lang w:val="en-GB"/>
        </w:rPr>
        <w:t xml:space="preserve"> are</w:t>
      </w:r>
      <w:r w:rsidR="007F66E5" w:rsidRPr="008E299E">
        <w:rPr>
          <w:rFonts w:ascii="Arial" w:hAnsi="Arial" w:cs="Arial"/>
          <w:sz w:val="24"/>
          <w:szCs w:val="24"/>
          <w:lang w:val="en-GB"/>
        </w:rPr>
        <w:t xml:space="preserve"> the provincial SOEs directly under SASAC.  </w:t>
      </w:r>
      <w:r w:rsidR="00950CC4" w:rsidRPr="008E299E">
        <w:rPr>
          <w:rFonts w:ascii="Arial" w:hAnsi="Arial" w:cs="Arial"/>
          <w:sz w:val="24"/>
          <w:szCs w:val="24"/>
          <w:lang w:val="en-GB"/>
        </w:rPr>
        <w:t xml:space="preserve">That is the basics of the reform so that the intervention of the government is prevented or minimised through the breaking of the control. </w:t>
      </w:r>
    </w:p>
    <w:p w:rsidR="00950CC4" w:rsidRPr="00976FFD" w:rsidRDefault="00950CC4" w:rsidP="00BF0D6B">
      <w:pPr>
        <w:tabs>
          <w:tab w:val="left" w:pos="0"/>
          <w:tab w:val="left" w:pos="567"/>
          <w:tab w:val="left" w:pos="990"/>
        </w:tabs>
        <w:spacing w:line="360" w:lineRule="auto"/>
        <w:contextualSpacing/>
        <w:jc w:val="both"/>
        <w:rPr>
          <w:rFonts w:ascii="Arial" w:hAnsi="Arial" w:cs="Arial"/>
        </w:rPr>
      </w:pPr>
    </w:p>
    <w:p w:rsidR="00A97F18" w:rsidRPr="008E299E" w:rsidRDefault="00950CC4"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 xml:space="preserve">Mr Peng continues to explain that </w:t>
      </w:r>
      <w:r w:rsidR="00D877BF" w:rsidRPr="008E299E">
        <w:rPr>
          <w:rFonts w:ascii="Arial" w:hAnsi="Arial" w:cs="Arial"/>
          <w:sz w:val="24"/>
          <w:szCs w:val="24"/>
          <w:lang w:val="en-GB"/>
        </w:rPr>
        <w:t>because</w:t>
      </w:r>
      <w:r w:rsidRPr="008E299E">
        <w:rPr>
          <w:rFonts w:ascii="Arial" w:hAnsi="Arial" w:cs="Arial"/>
          <w:sz w:val="24"/>
          <w:szCs w:val="24"/>
          <w:lang w:val="en-GB"/>
        </w:rPr>
        <w:t xml:space="preserve"> SIS has already been reformed and established as the SOE holding company</w:t>
      </w:r>
      <w:r w:rsidR="00D877BF" w:rsidRPr="008E299E">
        <w:rPr>
          <w:rFonts w:ascii="Arial" w:hAnsi="Arial" w:cs="Arial"/>
          <w:sz w:val="24"/>
          <w:szCs w:val="24"/>
          <w:lang w:val="en-GB"/>
        </w:rPr>
        <w:t>,</w:t>
      </w:r>
      <w:r w:rsidRPr="008E299E">
        <w:rPr>
          <w:rFonts w:ascii="Arial" w:hAnsi="Arial" w:cs="Arial"/>
          <w:sz w:val="24"/>
          <w:szCs w:val="24"/>
          <w:lang w:val="en-GB"/>
        </w:rPr>
        <w:t xml:space="preserve"> SASAC can only control the SOE holding companies; it has no power to exercise control over the fate and destiny of the subsidiaries </w:t>
      </w:r>
      <w:r w:rsidR="00D877BF" w:rsidRPr="008E299E">
        <w:rPr>
          <w:rFonts w:ascii="Arial" w:hAnsi="Arial" w:cs="Arial"/>
          <w:sz w:val="24"/>
          <w:szCs w:val="24"/>
          <w:lang w:val="en-GB"/>
        </w:rPr>
        <w:t>of</w:t>
      </w:r>
      <w:r w:rsidRPr="008E299E">
        <w:rPr>
          <w:rFonts w:ascii="Arial" w:hAnsi="Arial" w:cs="Arial"/>
          <w:sz w:val="24"/>
          <w:szCs w:val="24"/>
          <w:lang w:val="en-GB"/>
        </w:rPr>
        <w:t xml:space="preserve"> SIS.</w:t>
      </w:r>
      <w:r w:rsidR="0000410D" w:rsidRPr="008E299E">
        <w:rPr>
          <w:rFonts w:ascii="Arial" w:hAnsi="Arial" w:cs="Arial"/>
          <w:sz w:val="24"/>
          <w:szCs w:val="24"/>
          <w:lang w:val="en-GB"/>
        </w:rPr>
        <w:t xml:space="preserve"> The </w:t>
      </w:r>
      <w:r w:rsidR="00D877BF" w:rsidRPr="008E299E">
        <w:rPr>
          <w:rFonts w:ascii="Arial" w:hAnsi="Arial" w:cs="Arial"/>
          <w:sz w:val="24"/>
          <w:szCs w:val="24"/>
          <w:lang w:val="en-GB"/>
        </w:rPr>
        <w:t>L</w:t>
      </w:r>
      <w:r w:rsidR="0000410D" w:rsidRPr="008E299E">
        <w:rPr>
          <w:rFonts w:ascii="Arial" w:hAnsi="Arial" w:cs="Arial"/>
          <w:sz w:val="24"/>
          <w:szCs w:val="24"/>
          <w:lang w:val="en-GB"/>
        </w:rPr>
        <w:t>ist</w:t>
      </w:r>
      <w:r w:rsidR="00D877BF" w:rsidRPr="008E299E">
        <w:rPr>
          <w:rFonts w:ascii="Arial" w:hAnsi="Arial" w:cs="Arial"/>
          <w:sz w:val="24"/>
          <w:szCs w:val="24"/>
          <w:lang w:val="en-GB"/>
        </w:rPr>
        <w:t xml:space="preserve"> Notice</w:t>
      </w:r>
      <w:r w:rsidR="0000410D" w:rsidRPr="008E299E">
        <w:rPr>
          <w:rFonts w:ascii="Arial" w:hAnsi="Arial" w:cs="Arial"/>
          <w:sz w:val="24"/>
          <w:szCs w:val="24"/>
          <w:lang w:val="en-GB"/>
        </w:rPr>
        <w:t xml:space="preserve"> </w:t>
      </w:r>
      <w:r w:rsidR="00097C00" w:rsidRPr="008E299E">
        <w:rPr>
          <w:rFonts w:ascii="Arial" w:hAnsi="Arial" w:cs="Arial"/>
          <w:sz w:val="24"/>
          <w:szCs w:val="24"/>
          <w:lang w:val="en-GB"/>
        </w:rPr>
        <w:t xml:space="preserve">authorises the delegation of significant powers of control over the subsidiaries, including </w:t>
      </w:r>
      <w:r w:rsidR="003D7BAC" w:rsidRPr="008E299E">
        <w:rPr>
          <w:rFonts w:ascii="Arial" w:hAnsi="Arial" w:cs="Arial"/>
          <w:sz w:val="24"/>
          <w:szCs w:val="24"/>
          <w:lang w:val="en-GB"/>
        </w:rPr>
        <w:t xml:space="preserve">the </w:t>
      </w:r>
      <w:r w:rsidR="00097C00" w:rsidRPr="008E299E">
        <w:rPr>
          <w:rFonts w:ascii="Arial" w:hAnsi="Arial" w:cs="Arial"/>
          <w:sz w:val="24"/>
          <w:szCs w:val="24"/>
          <w:lang w:val="en-GB"/>
        </w:rPr>
        <w:t xml:space="preserve">restructuring and transfer of </w:t>
      </w:r>
      <w:r w:rsidR="00B92F8B">
        <w:rPr>
          <w:rFonts w:ascii="Arial" w:hAnsi="Arial" w:cs="Arial"/>
          <w:sz w:val="24"/>
          <w:szCs w:val="24"/>
          <w:lang w:val="en-GB"/>
        </w:rPr>
        <w:t>S</w:t>
      </w:r>
      <w:r w:rsidR="00097C00" w:rsidRPr="008E299E">
        <w:rPr>
          <w:rFonts w:ascii="Arial" w:hAnsi="Arial" w:cs="Arial"/>
          <w:sz w:val="24"/>
          <w:szCs w:val="24"/>
          <w:lang w:val="en-GB"/>
        </w:rPr>
        <w:t>tate</w:t>
      </w:r>
      <w:r w:rsidR="003D7BAC" w:rsidRPr="008E299E">
        <w:rPr>
          <w:rFonts w:ascii="Arial" w:hAnsi="Arial" w:cs="Arial"/>
          <w:sz w:val="24"/>
          <w:szCs w:val="24"/>
          <w:lang w:val="en-GB"/>
        </w:rPr>
        <w:t>-</w:t>
      </w:r>
      <w:r w:rsidR="00097C00" w:rsidRPr="008E299E">
        <w:rPr>
          <w:rFonts w:ascii="Arial" w:hAnsi="Arial" w:cs="Arial"/>
          <w:sz w:val="24"/>
          <w:szCs w:val="24"/>
          <w:lang w:val="en-GB"/>
        </w:rPr>
        <w:t>owned property rights, merger, dissolution, liquidation and application for bankruptcy.</w:t>
      </w:r>
    </w:p>
    <w:p w:rsidR="005D1C0E" w:rsidRPr="00976FFD" w:rsidRDefault="005D1C0E" w:rsidP="00BF0D6B">
      <w:pPr>
        <w:tabs>
          <w:tab w:val="left" w:pos="0"/>
          <w:tab w:val="left" w:pos="567"/>
          <w:tab w:val="left" w:pos="990"/>
        </w:tabs>
        <w:spacing w:line="360" w:lineRule="auto"/>
        <w:contextualSpacing/>
        <w:jc w:val="both"/>
        <w:rPr>
          <w:rFonts w:ascii="Arial" w:hAnsi="Arial" w:cs="Arial"/>
        </w:rPr>
      </w:pPr>
    </w:p>
    <w:p w:rsidR="00867B7E" w:rsidRDefault="00DB5BD8" w:rsidP="00BF0D6B">
      <w:pPr>
        <w:pStyle w:val="ListParagraph"/>
        <w:numPr>
          <w:ilvl w:val="0"/>
          <w:numId w:val="29"/>
        </w:numPr>
        <w:tabs>
          <w:tab w:val="left" w:pos="0"/>
          <w:tab w:val="left" w:pos="567"/>
          <w:tab w:val="left" w:pos="990"/>
        </w:tabs>
        <w:spacing w:after="0" w:line="360" w:lineRule="auto"/>
        <w:jc w:val="both"/>
        <w:rPr>
          <w:rFonts w:ascii="Arial" w:hAnsi="Arial" w:cs="Arial"/>
          <w:sz w:val="24"/>
          <w:szCs w:val="24"/>
          <w:lang w:val="en-GB"/>
        </w:rPr>
      </w:pPr>
      <w:r w:rsidRPr="00650D7B">
        <w:rPr>
          <w:rFonts w:ascii="Arial" w:hAnsi="Arial" w:cs="Arial"/>
          <w:sz w:val="24"/>
          <w:szCs w:val="24"/>
          <w:lang w:val="en-GB"/>
        </w:rPr>
        <w:t xml:space="preserve">Mr </w:t>
      </w:r>
      <w:r w:rsidR="009063C5" w:rsidRPr="00650D7B">
        <w:rPr>
          <w:rFonts w:ascii="Arial" w:hAnsi="Arial" w:cs="Arial"/>
          <w:sz w:val="24"/>
          <w:szCs w:val="24"/>
          <w:lang w:val="en-GB"/>
        </w:rPr>
        <w:t>Pe</w:t>
      </w:r>
      <w:r w:rsidRPr="00650D7B">
        <w:rPr>
          <w:rFonts w:ascii="Arial" w:hAnsi="Arial" w:cs="Arial"/>
          <w:sz w:val="24"/>
          <w:szCs w:val="24"/>
          <w:lang w:val="en-GB"/>
        </w:rPr>
        <w:t>ng</w:t>
      </w:r>
      <w:r w:rsidR="00932CD9">
        <w:rPr>
          <w:rFonts w:ascii="Arial" w:hAnsi="Arial" w:cs="Arial"/>
          <w:sz w:val="24"/>
          <w:szCs w:val="24"/>
          <w:lang w:val="en-GB"/>
        </w:rPr>
        <w:t xml:space="preserve"> emphasises </w:t>
      </w:r>
      <w:r w:rsidRPr="00650D7B">
        <w:rPr>
          <w:rFonts w:ascii="Arial" w:hAnsi="Arial" w:cs="Arial"/>
          <w:sz w:val="24"/>
          <w:szCs w:val="24"/>
          <w:lang w:val="en-GB"/>
        </w:rPr>
        <w:t xml:space="preserve">that </w:t>
      </w:r>
      <w:r w:rsidR="009063C5" w:rsidRPr="00650D7B">
        <w:rPr>
          <w:rFonts w:ascii="Arial" w:hAnsi="Arial" w:cs="Arial"/>
          <w:sz w:val="24"/>
          <w:szCs w:val="24"/>
          <w:lang w:val="en-GB"/>
        </w:rPr>
        <w:t>SASAC has no power in respect of the decisions of the subsidiaries. If it</w:t>
      </w:r>
      <w:r w:rsidRPr="00650D7B">
        <w:rPr>
          <w:rFonts w:ascii="Arial" w:hAnsi="Arial" w:cs="Arial"/>
          <w:sz w:val="24"/>
          <w:szCs w:val="24"/>
          <w:lang w:val="en-GB"/>
        </w:rPr>
        <w:t xml:space="preserve"> is unhappy with </w:t>
      </w:r>
      <w:r w:rsidR="009063C5" w:rsidRPr="00650D7B">
        <w:rPr>
          <w:rFonts w:ascii="Arial" w:hAnsi="Arial" w:cs="Arial"/>
          <w:sz w:val="24"/>
          <w:szCs w:val="24"/>
          <w:lang w:val="en-GB"/>
        </w:rPr>
        <w:t>a</w:t>
      </w:r>
      <w:r w:rsidRPr="00650D7B">
        <w:rPr>
          <w:rFonts w:ascii="Arial" w:hAnsi="Arial" w:cs="Arial"/>
          <w:sz w:val="24"/>
          <w:szCs w:val="24"/>
          <w:lang w:val="en-GB"/>
        </w:rPr>
        <w:t xml:space="preserve"> report from </w:t>
      </w:r>
      <w:r w:rsidR="009063C5" w:rsidRPr="00650D7B">
        <w:rPr>
          <w:rFonts w:ascii="Arial" w:hAnsi="Arial" w:cs="Arial"/>
          <w:sz w:val="24"/>
          <w:szCs w:val="24"/>
          <w:lang w:val="en-GB"/>
        </w:rPr>
        <w:t xml:space="preserve">SIS or with </w:t>
      </w:r>
      <w:r w:rsidR="009063C5" w:rsidRPr="00650D7B">
        <w:rPr>
          <w:rFonts w:ascii="Arial" w:eastAsia="Times New Roman" w:hAnsi="Arial" w:cs="Arial"/>
          <w:sz w:val="24"/>
          <w:szCs w:val="24"/>
          <w:lang w:val="en-ZA"/>
        </w:rPr>
        <w:t xml:space="preserve">SIS’s </w:t>
      </w:r>
      <w:r w:rsidR="0000410D" w:rsidRPr="00650D7B">
        <w:rPr>
          <w:rFonts w:ascii="Arial" w:eastAsia="Times New Roman" w:hAnsi="Arial" w:cs="Arial"/>
          <w:sz w:val="24"/>
          <w:szCs w:val="24"/>
          <w:lang w:val="en-ZA"/>
        </w:rPr>
        <w:t>decision</w:t>
      </w:r>
      <w:r w:rsidR="009063C5" w:rsidRPr="00650D7B">
        <w:rPr>
          <w:rFonts w:ascii="Arial" w:eastAsia="Times New Roman" w:hAnsi="Arial" w:cs="Arial"/>
          <w:sz w:val="24"/>
          <w:szCs w:val="24"/>
          <w:lang w:val="en-ZA"/>
        </w:rPr>
        <w:t xml:space="preserve"> to </w:t>
      </w:r>
      <w:r w:rsidR="009063C5" w:rsidRPr="00650D7B">
        <w:rPr>
          <w:rFonts w:ascii="Arial" w:hAnsi="Arial" w:cs="Arial"/>
          <w:sz w:val="24"/>
          <w:szCs w:val="24"/>
          <w:lang w:val="en-GB"/>
        </w:rPr>
        <w:t>liquidate Tonkolili,</w:t>
      </w:r>
      <w:r w:rsidRPr="00650D7B">
        <w:rPr>
          <w:rFonts w:ascii="Arial" w:hAnsi="Arial" w:cs="Arial"/>
          <w:sz w:val="24"/>
          <w:szCs w:val="24"/>
          <w:lang w:val="en-GB"/>
        </w:rPr>
        <w:t xml:space="preserve"> </w:t>
      </w:r>
      <w:r w:rsidR="00867B7E" w:rsidRPr="008E299E">
        <w:rPr>
          <w:rFonts w:ascii="Arial" w:hAnsi="Arial" w:cs="Arial"/>
          <w:sz w:val="24"/>
          <w:szCs w:val="24"/>
          <w:lang w:val="en-GB"/>
        </w:rPr>
        <w:t>SASAC can regulate as a government agency and regulator, but SASAC cannot intervene as shareholder in SIS.  So, if SIS decides in the name of Tonkolili to do something illegal SASAC would not be powerless.  SIS has exclusive control over its subsidiary</w:t>
      </w:r>
      <w:r w:rsidR="00EA1213">
        <w:rPr>
          <w:rFonts w:ascii="Arial" w:hAnsi="Arial" w:cs="Arial"/>
          <w:sz w:val="24"/>
          <w:szCs w:val="24"/>
          <w:lang w:val="en-GB"/>
        </w:rPr>
        <w:t xml:space="preserve"> but SASAC retains oversight over the lawfulness of SIS</w:t>
      </w:r>
      <w:r w:rsidR="00867B7E" w:rsidRPr="008E299E">
        <w:rPr>
          <w:rFonts w:ascii="Arial" w:hAnsi="Arial" w:cs="Arial"/>
          <w:sz w:val="24"/>
          <w:szCs w:val="24"/>
          <w:lang w:val="en-GB"/>
        </w:rPr>
        <w:t xml:space="preserve">. </w:t>
      </w:r>
      <w:r w:rsidR="00867B7E">
        <w:rPr>
          <w:rFonts w:ascii="Arial" w:hAnsi="Arial" w:cs="Arial"/>
          <w:sz w:val="24"/>
          <w:szCs w:val="24"/>
          <w:lang w:val="en-GB"/>
        </w:rPr>
        <w:t xml:space="preserve"> </w:t>
      </w:r>
    </w:p>
    <w:p w:rsidR="006E5F1F" w:rsidRPr="006E5F1F" w:rsidRDefault="006E5F1F" w:rsidP="00BF0D6B">
      <w:pPr>
        <w:pStyle w:val="ListParagraph"/>
        <w:spacing w:after="0"/>
        <w:rPr>
          <w:rFonts w:ascii="Arial" w:hAnsi="Arial" w:cs="Arial"/>
          <w:sz w:val="24"/>
          <w:szCs w:val="24"/>
          <w:lang w:val="en-GB"/>
        </w:rPr>
      </w:pPr>
    </w:p>
    <w:p w:rsidR="006E5F1F" w:rsidRDefault="006E5F1F" w:rsidP="00BF0D6B">
      <w:pPr>
        <w:pStyle w:val="ListParagraph"/>
        <w:tabs>
          <w:tab w:val="left" w:pos="0"/>
          <w:tab w:val="left" w:pos="567"/>
          <w:tab w:val="left" w:pos="990"/>
        </w:tabs>
        <w:spacing w:after="0" w:line="360" w:lineRule="auto"/>
        <w:ind w:left="0"/>
        <w:jc w:val="both"/>
        <w:rPr>
          <w:rFonts w:ascii="Arial" w:hAnsi="Arial" w:cs="Arial"/>
          <w:sz w:val="24"/>
          <w:szCs w:val="24"/>
          <w:lang w:val="en-GB"/>
        </w:rPr>
      </w:pPr>
    </w:p>
    <w:p w:rsidR="006E5F1F" w:rsidRPr="008E299E" w:rsidRDefault="006E5F1F"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 xml:space="preserve">SASAC has </w:t>
      </w:r>
      <w:r>
        <w:rPr>
          <w:rFonts w:ascii="Arial" w:hAnsi="Arial" w:cs="Arial"/>
          <w:sz w:val="24"/>
          <w:szCs w:val="24"/>
          <w:lang w:val="en-GB"/>
        </w:rPr>
        <w:t xml:space="preserve">the </w:t>
      </w:r>
      <w:r w:rsidRPr="008E299E">
        <w:rPr>
          <w:rFonts w:ascii="Arial" w:hAnsi="Arial" w:cs="Arial"/>
          <w:sz w:val="24"/>
          <w:szCs w:val="24"/>
          <w:lang w:val="en-GB"/>
        </w:rPr>
        <w:t xml:space="preserve">power to appoint and remove directors of subsidiaries. </w:t>
      </w:r>
      <w:r>
        <w:rPr>
          <w:rFonts w:ascii="Arial" w:hAnsi="Arial" w:cs="Arial"/>
          <w:sz w:val="24"/>
          <w:szCs w:val="24"/>
          <w:lang w:val="en-GB"/>
        </w:rPr>
        <w:t xml:space="preserve"> But in Mr Peng’s view i</w:t>
      </w:r>
      <w:r w:rsidRPr="008E299E">
        <w:rPr>
          <w:rFonts w:ascii="Arial" w:hAnsi="Arial" w:cs="Arial"/>
          <w:sz w:val="24"/>
          <w:szCs w:val="24"/>
          <w:lang w:val="en-GB"/>
        </w:rPr>
        <w:t xml:space="preserve">t would be an abuse of power if </w:t>
      </w:r>
      <w:r>
        <w:rPr>
          <w:rFonts w:ascii="Arial" w:hAnsi="Arial" w:cs="Arial"/>
          <w:sz w:val="24"/>
          <w:szCs w:val="24"/>
          <w:lang w:val="en-GB"/>
        </w:rPr>
        <w:t>SASAC</w:t>
      </w:r>
      <w:r w:rsidRPr="008E299E">
        <w:rPr>
          <w:rFonts w:ascii="Arial" w:hAnsi="Arial" w:cs="Arial"/>
          <w:sz w:val="24"/>
          <w:szCs w:val="24"/>
          <w:lang w:val="en-GB"/>
        </w:rPr>
        <w:t xml:space="preserve"> removed directors because of their decisions about Tonkolili.  Removal and appointment of directors must be within the scope of the law.  It is counter</w:t>
      </w:r>
      <w:r w:rsidR="004B31DA">
        <w:rPr>
          <w:rFonts w:ascii="Arial" w:hAnsi="Arial" w:cs="Arial"/>
          <w:sz w:val="24"/>
          <w:szCs w:val="24"/>
          <w:lang w:val="en-GB"/>
        </w:rPr>
        <w:t>-</w:t>
      </w:r>
      <w:r w:rsidRPr="008E299E">
        <w:rPr>
          <w:rFonts w:ascii="Arial" w:hAnsi="Arial" w:cs="Arial"/>
          <w:sz w:val="24"/>
          <w:szCs w:val="24"/>
          <w:lang w:val="en-GB"/>
        </w:rPr>
        <w:t>intuitive</w:t>
      </w:r>
      <w:r w:rsidR="004B31DA">
        <w:rPr>
          <w:rFonts w:ascii="Arial" w:hAnsi="Arial" w:cs="Arial"/>
          <w:sz w:val="24"/>
          <w:szCs w:val="24"/>
          <w:lang w:val="en-GB"/>
        </w:rPr>
        <w:t>,</w:t>
      </w:r>
      <w:r w:rsidRPr="008E299E">
        <w:rPr>
          <w:rFonts w:ascii="Arial" w:hAnsi="Arial" w:cs="Arial"/>
          <w:sz w:val="24"/>
          <w:szCs w:val="24"/>
          <w:lang w:val="en-GB"/>
        </w:rPr>
        <w:t xml:space="preserve"> but that is the basis for the SOE market-oriented reform; SASAC cannot intervene in market decision</w:t>
      </w:r>
      <w:r w:rsidR="00EA1213">
        <w:rPr>
          <w:rFonts w:ascii="Arial" w:hAnsi="Arial" w:cs="Arial"/>
          <w:sz w:val="24"/>
          <w:szCs w:val="24"/>
          <w:lang w:val="en-GB"/>
        </w:rPr>
        <w:t>-</w:t>
      </w:r>
      <w:r w:rsidRPr="008E299E">
        <w:rPr>
          <w:rFonts w:ascii="Arial" w:hAnsi="Arial" w:cs="Arial"/>
          <w:sz w:val="24"/>
          <w:szCs w:val="24"/>
          <w:lang w:val="en-GB"/>
        </w:rPr>
        <w:t>making.</w:t>
      </w:r>
    </w:p>
    <w:p w:rsidR="00867B7E" w:rsidRDefault="00867B7E" w:rsidP="00BF0D6B">
      <w:pPr>
        <w:pStyle w:val="ListParagraph"/>
        <w:spacing w:after="0"/>
        <w:rPr>
          <w:rFonts w:ascii="Arial" w:hAnsi="Arial" w:cs="Arial"/>
          <w:sz w:val="24"/>
          <w:szCs w:val="24"/>
          <w:lang w:val="en-GB"/>
        </w:rPr>
      </w:pPr>
    </w:p>
    <w:p w:rsidR="006E5F1F" w:rsidRPr="00867B7E" w:rsidRDefault="006E5F1F" w:rsidP="00BF0D6B">
      <w:pPr>
        <w:pStyle w:val="ListParagraph"/>
        <w:spacing w:after="0"/>
        <w:rPr>
          <w:rFonts w:ascii="Arial" w:hAnsi="Arial" w:cs="Arial"/>
          <w:sz w:val="24"/>
          <w:szCs w:val="24"/>
          <w:lang w:val="en-GB"/>
        </w:rPr>
      </w:pPr>
    </w:p>
    <w:p w:rsidR="00EF03D3" w:rsidRPr="00F86468" w:rsidRDefault="0000410D"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650D7B">
        <w:rPr>
          <w:rFonts w:ascii="Arial" w:hAnsi="Arial" w:cs="Arial"/>
          <w:sz w:val="24"/>
          <w:szCs w:val="24"/>
          <w:lang w:val="en-GB"/>
        </w:rPr>
        <w:t xml:space="preserve">That does not mean that SIS can do what it wants.  There are systems in place to prevent abuse of powers. </w:t>
      </w:r>
      <w:r w:rsidR="00650D7B" w:rsidRPr="00650D7B">
        <w:rPr>
          <w:rFonts w:ascii="Arial" w:hAnsi="Arial" w:cs="Arial"/>
          <w:sz w:val="24"/>
          <w:szCs w:val="24"/>
          <w:lang w:val="en-GB"/>
        </w:rPr>
        <w:t xml:space="preserve"> </w:t>
      </w:r>
      <w:r w:rsidR="009275BA" w:rsidRPr="008E299E">
        <w:rPr>
          <w:rFonts w:ascii="Arial" w:hAnsi="Arial" w:cs="Arial"/>
          <w:sz w:val="24"/>
          <w:szCs w:val="24"/>
          <w:lang w:val="en-GB"/>
        </w:rPr>
        <w:t xml:space="preserve">Article </w:t>
      </w:r>
      <w:r w:rsidR="009275BA" w:rsidRPr="00867B7E">
        <w:rPr>
          <w:rFonts w:ascii="Arial" w:hAnsi="Arial" w:cs="Arial"/>
          <w:sz w:val="24"/>
          <w:szCs w:val="24"/>
          <w:lang w:val="en-GB"/>
        </w:rPr>
        <w:t>12</w:t>
      </w:r>
      <w:r w:rsidR="009275BA" w:rsidRPr="008E299E">
        <w:rPr>
          <w:rFonts w:ascii="Arial" w:hAnsi="Arial" w:cs="Arial"/>
          <w:sz w:val="24"/>
          <w:szCs w:val="24"/>
          <w:lang w:val="en-GB"/>
        </w:rPr>
        <w:t xml:space="preserve"> </w:t>
      </w:r>
      <w:r w:rsidR="009275BA">
        <w:rPr>
          <w:rFonts w:ascii="Arial" w:hAnsi="Arial" w:cs="Arial"/>
          <w:sz w:val="24"/>
          <w:szCs w:val="24"/>
          <w:lang w:val="en-GB"/>
        </w:rPr>
        <w:t xml:space="preserve">of the PRC Law on SOEs equates </w:t>
      </w:r>
      <w:r w:rsidR="009275BA" w:rsidRPr="008E299E">
        <w:rPr>
          <w:rFonts w:ascii="Arial" w:hAnsi="Arial" w:cs="Arial"/>
          <w:sz w:val="24"/>
          <w:szCs w:val="24"/>
          <w:lang w:val="en-GB"/>
        </w:rPr>
        <w:t xml:space="preserve">the capital contributor’s right </w:t>
      </w:r>
      <w:r w:rsidR="009275BA">
        <w:rPr>
          <w:rFonts w:ascii="Arial" w:hAnsi="Arial" w:cs="Arial"/>
          <w:sz w:val="24"/>
          <w:szCs w:val="24"/>
          <w:lang w:val="en-GB"/>
        </w:rPr>
        <w:t>to that of a</w:t>
      </w:r>
      <w:r w:rsidR="009275BA" w:rsidRPr="008E299E">
        <w:rPr>
          <w:rFonts w:ascii="Arial" w:hAnsi="Arial" w:cs="Arial"/>
          <w:sz w:val="24"/>
          <w:szCs w:val="24"/>
          <w:lang w:val="en-GB"/>
        </w:rPr>
        <w:t xml:space="preserve"> majority shareholder.</w:t>
      </w:r>
      <w:r w:rsidR="009275BA">
        <w:rPr>
          <w:rFonts w:ascii="Arial" w:hAnsi="Arial" w:cs="Arial"/>
          <w:sz w:val="24"/>
          <w:szCs w:val="24"/>
          <w:lang w:val="en-GB"/>
        </w:rPr>
        <w:t xml:space="preserve"> </w:t>
      </w:r>
      <w:r w:rsidR="009275BA" w:rsidRPr="008E299E">
        <w:rPr>
          <w:rFonts w:ascii="Arial" w:hAnsi="Arial" w:cs="Arial"/>
          <w:sz w:val="24"/>
          <w:szCs w:val="24"/>
          <w:lang w:val="en-GB"/>
        </w:rPr>
        <w:t xml:space="preserve"> If Tonkolili does anything illegal the government power of regulation is there to regulate and rectify illegal activities.  </w:t>
      </w:r>
    </w:p>
    <w:p w:rsidR="00F86468" w:rsidRPr="00EF03D3" w:rsidRDefault="00F86468"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F86468" w:rsidRPr="008E299E" w:rsidRDefault="00F86468"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 xml:space="preserve">Mr Peng agrees that the establishment of the </w:t>
      </w:r>
      <w:r w:rsidR="004B31DA">
        <w:rPr>
          <w:rFonts w:ascii="Arial" w:hAnsi="Arial" w:cs="Arial"/>
          <w:sz w:val="24"/>
          <w:szCs w:val="24"/>
          <w:lang w:val="en-GB"/>
        </w:rPr>
        <w:t>‘</w:t>
      </w:r>
      <w:r w:rsidRPr="008E299E">
        <w:rPr>
          <w:rFonts w:ascii="Arial" w:hAnsi="Arial" w:cs="Arial"/>
          <w:sz w:val="24"/>
          <w:szCs w:val="24"/>
          <w:lang w:val="en-GB"/>
        </w:rPr>
        <w:t>dynamic adjustment mechanism for authorised matters</w:t>
      </w:r>
      <w:r w:rsidR="004B31DA">
        <w:rPr>
          <w:rFonts w:ascii="Arial" w:hAnsi="Arial" w:cs="Arial"/>
          <w:sz w:val="24"/>
          <w:szCs w:val="24"/>
          <w:lang w:val="en-GB"/>
        </w:rPr>
        <w:t>’</w:t>
      </w:r>
      <w:r w:rsidRPr="008E299E">
        <w:rPr>
          <w:rFonts w:ascii="Arial" w:hAnsi="Arial" w:cs="Arial"/>
          <w:sz w:val="24"/>
          <w:szCs w:val="24"/>
          <w:lang w:val="en-GB"/>
        </w:rPr>
        <w:t xml:space="preserve"> in the List Notice and the authority to regularly evaluate the implementation and its effect suggest that SASAC as a regulator has the power to withdraw authority in respect of those items on the </w:t>
      </w:r>
      <w:r>
        <w:rPr>
          <w:rFonts w:ascii="Arial" w:hAnsi="Arial" w:cs="Arial"/>
          <w:sz w:val="24"/>
          <w:szCs w:val="24"/>
          <w:lang w:val="en-GB"/>
        </w:rPr>
        <w:t>Notice L</w:t>
      </w:r>
      <w:r w:rsidRPr="008E299E">
        <w:rPr>
          <w:rFonts w:ascii="Arial" w:hAnsi="Arial" w:cs="Arial"/>
          <w:sz w:val="24"/>
          <w:szCs w:val="24"/>
          <w:lang w:val="en-GB"/>
        </w:rPr>
        <w:t xml:space="preserve">ist. </w:t>
      </w:r>
      <w:r>
        <w:rPr>
          <w:rFonts w:ascii="Arial" w:hAnsi="Arial" w:cs="Arial"/>
          <w:sz w:val="24"/>
          <w:szCs w:val="24"/>
          <w:lang w:val="en-GB"/>
        </w:rPr>
        <w:t xml:space="preserve"> </w:t>
      </w:r>
      <w:r w:rsidRPr="008E299E">
        <w:rPr>
          <w:rFonts w:ascii="Arial" w:hAnsi="Arial" w:cs="Arial"/>
          <w:sz w:val="24"/>
          <w:szCs w:val="24"/>
          <w:lang w:val="en-GB"/>
        </w:rPr>
        <w:t>But Mr P</w:t>
      </w:r>
      <w:r>
        <w:rPr>
          <w:rFonts w:ascii="Arial" w:hAnsi="Arial" w:cs="Arial"/>
          <w:sz w:val="24"/>
          <w:szCs w:val="24"/>
          <w:lang w:val="en-GB"/>
        </w:rPr>
        <w:t>eng</w:t>
      </w:r>
      <w:r w:rsidRPr="008E299E">
        <w:rPr>
          <w:rFonts w:ascii="Arial" w:hAnsi="Arial" w:cs="Arial"/>
          <w:sz w:val="24"/>
          <w:szCs w:val="24"/>
          <w:lang w:val="en-GB"/>
        </w:rPr>
        <w:t xml:space="preserve"> suggests </w:t>
      </w:r>
      <w:r>
        <w:rPr>
          <w:rFonts w:ascii="Arial" w:hAnsi="Arial" w:cs="Arial"/>
          <w:sz w:val="24"/>
          <w:szCs w:val="24"/>
          <w:lang w:val="en-GB"/>
        </w:rPr>
        <w:t xml:space="preserve">that </w:t>
      </w:r>
      <w:r w:rsidRPr="008E299E">
        <w:rPr>
          <w:rFonts w:ascii="Arial" w:hAnsi="Arial" w:cs="Arial"/>
          <w:sz w:val="24"/>
          <w:szCs w:val="24"/>
          <w:lang w:val="en-GB"/>
        </w:rPr>
        <w:t>these powers are not unfettered.</w:t>
      </w:r>
    </w:p>
    <w:p w:rsidR="00EF03D3" w:rsidRPr="00EF03D3" w:rsidRDefault="00EF03D3" w:rsidP="00BF0D6B">
      <w:pPr>
        <w:pStyle w:val="ListParagraph"/>
        <w:spacing w:after="0"/>
        <w:rPr>
          <w:rFonts w:ascii="Arial" w:hAnsi="Arial" w:cs="Arial"/>
          <w:sz w:val="24"/>
          <w:szCs w:val="24"/>
          <w:lang w:val="en-GB"/>
        </w:rPr>
      </w:pPr>
    </w:p>
    <w:p w:rsidR="00650D7B" w:rsidRPr="009275BA" w:rsidRDefault="009275BA"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Th</w:t>
      </w:r>
      <w:r w:rsidR="00EF03D3">
        <w:rPr>
          <w:rFonts w:ascii="Arial" w:hAnsi="Arial" w:cs="Arial"/>
          <w:sz w:val="24"/>
          <w:szCs w:val="24"/>
          <w:lang w:val="en-GB"/>
        </w:rPr>
        <w:t>e reform</w:t>
      </w:r>
      <w:r w:rsidRPr="008E299E">
        <w:rPr>
          <w:rFonts w:ascii="Arial" w:hAnsi="Arial" w:cs="Arial"/>
          <w:sz w:val="24"/>
          <w:szCs w:val="24"/>
          <w:lang w:val="en-GB"/>
        </w:rPr>
        <w:t xml:space="preserve"> is different from association. Otherwise, </w:t>
      </w:r>
      <w:r>
        <w:rPr>
          <w:rFonts w:ascii="Arial" w:hAnsi="Arial" w:cs="Arial"/>
          <w:sz w:val="24"/>
          <w:szCs w:val="24"/>
          <w:lang w:val="en-GB"/>
        </w:rPr>
        <w:t xml:space="preserve">Mr Peng points out, </w:t>
      </w:r>
      <w:r w:rsidRPr="008E299E">
        <w:rPr>
          <w:rFonts w:ascii="Arial" w:hAnsi="Arial" w:cs="Arial"/>
          <w:sz w:val="24"/>
          <w:szCs w:val="24"/>
          <w:lang w:val="en-GB"/>
        </w:rPr>
        <w:t>all companies in China would be deemed to be associated because they are all subject to government power of regulation.</w:t>
      </w:r>
      <w:r>
        <w:rPr>
          <w:rFonts w:ascii="Arial" w:eastAsia="Times New Roman" w:hAnsi="Arial" w:cs="Arial"/>
          <w:sz w:val="24"/>
          <w:szCs w:val="24"/>
          <w:lang w:val="en-ZA"/>
        </w:rPr>
        <w:t xml:space="preserve">  </w:t>
      </w:r>
      <w:r w:rsidR="00E55C6E" w:rsidRPr="009275BA">
        <w:rPr>
          <w:rFonts w:ascii="Arial" w:hAnsi="Arial" w:cs="Arial"/>
          <w:sz w:val="24"/>
          <w:szCs w:val="24"/>
          <w:lang w:val="en-GB"/>
        </w:rPr>
        <w:t xml:space="preserve">SASAC being a direct controlling shareholder of SIS has the power of capital contributor over SIS but SASAC has no power of control over the subsidiaries under SIS. </w:t>
      </w:r>
      <w:r w:rsidR="00D67720" w:rsidRPr="009275BA">
        <w:rPr>
          <w:rFonts w:ascii="Arial" w:hAnsi="Arial" w:cs="Arial"/>
          <w:sz w:val="24"/>
          <w:szCs w:val="24"/>
          <w:lang w:val="en-GB"/>
        </w:rPr>
        <w:t xml:space="preserve"> </w:t>
      </w:r>
      <w:r w:rsidR="00E55C6E" w:rsidRPr="009275BA">
        <w:rPr>
          <w:rFonts w:ascii="Arial" w:hAnsi="Arial" w:cs="Arial"/>
          <w:sz w:val="24"/>
          <w:szCs w:val="24"/>
          <w:lang w:val="en-GB"/>
        </w:rPr>
        <w:t>Th</w:t>
      </w:r>
      <w:r w:rsidR="004648BE" w:rsidRPr="009275BA">
        <w:rPr>
          <w:rFonts w:ascii="Arial" w:hAnsi="Arial" w:cs="Arial"/>
          <w:sz w:val="24"/>
          <w:szCs w:val="24"/>
          <w:lang w:val="en-GB"/>
        </w:rPr>
        <w:t>at</w:t>
      </w:r>
      <w:r w:rsidR="00E55C6E" w:rsidRPr="009275BA">
        <w:rPr>
          <w:rFonts w:ascii="Arial" w:hAnsi="Arial" w:cs="Arial"/>
          <w:sz w:val="24"/>
          <w:szCs w:val="24"/>
          <w:lang w:val="en-GB"/>
        </w:rPr>
        <w:t xml:space="preserve"> is logical because </w:t>
      </w:r>
      <w:r w:rsidR="0083012F" w:rsidRPr="009275BA">
        <w:rPr>
          <w:rFonts w:ascii="Arial" w:hAnsi="Arial" w:cs="Arial"/>
          <w:sz w:val="24"/>
          <w:szCs w:val="24"/>
          <w:lang w:val="en-GB"/>
        </w:rPr>
        <w:t xml:space="preserve">that is </w:t>
      </w:r>
      <w:r w:rsidR="00E55C6E" w:rsidRPr="009275BA">
        <w:rPr>
          <w:rFonts w:ascii="Arial" w:hAnsi="Arial" w:cs="Arial"/>
          <w:sz w:val="24"/>
          <w:szCs w:val="24"/>
          <w:lang w:val="en-GB"/>
        </w:rPr>
        <w:t>the very purpose of SOE reform</w:t>
      </w:r>
      <w:r w:rsidR="00D67720" w:rsidRPr="009275BA">
        <w:rPr>
          <w:rFonts w:ascii="Arial" w:hAnsi="Arial" w:cs="Arial"/>
          <w:sz w:val="24"/>
          <w:szCs w:val="24"/>
          <w:lang w:val="en-GB"/>
        </w:rPr>
        <w:t xml:space="preserve">.  </w:t>
      </w:r>
      <w:r w:rsidR="006E5F1F">
        <w:rPr>
          <w:rFonts w:ascii="Arial" w:hAnsi="Arial" w:cs="Arial"/>
          <w:sz w:val="24"/>
          <w:szCs w:val="24"/>
          <w:lang w:val="en-GB"/>
        </w:rPr>
        <w:t>But i</w:t>
      </w:r>
      <w:r w:rsidR="00D67720" w:rsidRPr="009275BA">
        <w:rPr>
          <w:rFonts w:ascii="Arial" w:hAnsi="Arial" w:cs="Arial"/>
          <w:sz w:val="24"/>
          <w:szCs w:val="24"/>
          <w:lang w:val="en-GB"/>
        </w:rPr>
        <w:t>t</w:t>
      </w:r>
      <w:r w:rsidR="00E55C6E" w:rsidRPr="009275BA">
        <w:rPr>
          <w:rFonts w:ascii="Arial" w:hAnsi="Arial" w:cs="Arial"/>
          <w:sz w:val="24"/>
          <w:szCs w:val="24"/>
          <w:lang w:val="en-GB"/>
        </w:rPr>
        <w:t xml:space="preserve"> is </w:t>
      </w:r>
      <w:r w:rsidR="00EA1213" w:rsidRPr="009275BA">
        <w:rPr>
          <w:rFonts w:ascii="Arial" w:hAnsi="Arial" w:cs="Arial"/>
          <w:sz w:val="24"/>
          <w:szCs w:val="24"/>
          <w:lang w:val="en-GB"/>
        </w:rPr>
        <w:t>counter</w:t>
      </w:r>
      <w:r w:rsidR="00EA1213">
        <w:rPr>
          <w:rFonts w:ascii="Arial" w:hAnsi="Arial" w:cs="Arial"/>
          <w:sz w:val="24"/>
          <w:szCs w:val="24"/>
          <w:lang w:val="en-GB"/>
        </w:rPr>
        <w:t xml:space="preserve"> intuitive</w:t>
      </w:r>
      <w:r w:rsidR="0083012F" w:rsidRPr="009275BA">
        <w:rPr>
          <w:rFonts w:ascii="Arial" w:hAnsi="Arial" w:cs="Arial"/>
          <w:sz w:val="24"/>
          <w:szCs w:val="24"/>
          <w:lang w:val="en-GB"/>
        </w:rPr>
        <w:t xml:space="preserve">. </w:t>
      </w:r>
      <w:r w:rsidR="00E55C6E" w:rsidRPr="009275BA">
        <w:rPr>
          <w:rFonts w:ascii="Arial" w:hAnsi="Arial" w:cs="Arial"/>
          <w:sz w:val="24"/>
          <w:szCs w:val="24"/>
          <w:lang w:val="en-GB"/>
        </w:rPr>
        <w:t xml:space="preserve"> </w:t>
      </w:r>
    </w:p>
    <w:p w:rsidR="00950CC4" w:rsidRPr="00976FFD" w:rsidRDefault="00950CC4" w:rsidP="00BF0D6B">
      <w:pPr>
        <w:tabs>
          <w:tab w:val="left" w:pos="0"/>
          <w:tab w:val="left" w:pos="567"/>
          <w:tab w:val="left" w:pos="990"/>
        </w:tabs>
        <w:spacing w:line="360" w:lineRule="auto"/>
        <w:contextualSpacing/>
        <w:jc w:val="both"/>
        <w:rPr>
          <w:rFonts w:ascii="Arial" w:hAnsi="Arial" w:cs="Arial"/>
        </w:rPr>
      </w:pPr>
    </w:p>
    <w:p w:rsidR="006C31E1" w:rsidRPr="008E299E" w:rsidRDefault="00950CC4"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hAnsi="Arial" w:cs="Arial"/>
          <w:sz w:val="24"/>
          <w:szCs w:val="24"/>
          <w:lang w:val="en-GB"/>
        </w:rPr>
        <w:t xml:space="preserve">The reform started as early as 2013 and is more than eight years in progress.  </w:t>
      </w:r>
      <w:r w:rsidR="000A27D3">
        <w:rPr>
          <w:rFonts w:ascii="Arial" w:hAnsi="Arial" w:cs="Arial"/>
          <w:sz w:val="24"/>
          <w:szCs w:val="24"/>
          <w:lang w:val="en-GB"/>
        </w:rPr>
        <w:t>I</w:t>
      </w:r>
      <w:r w:rsidRPr="008E299E">
        <w:rPr>
          <w:rFonts w:ascii="Arial" w:hAnsi="Arial" w:cs="Arial"/>
          <w:sz w:val="24"/>
          <w:szCs w:val="24"/>
          <w:lang w:val="en-GB"/>
        </w:rPr>
        <w:t xml:space="preserve">n Mr Peng’s view </w:t>
      </w:r>
      <w:r w:rsidR="000A27D3">
        <w:rPr>
          <w:rFonts w:ascii="Arial" w:hAnsi="Arial" w:cs="Arial"/>
          <w:sz w:val="24"/>
          <w:szCs w:val="24"/>
          <w:lang w:val="en-GB"/>
        </w:rPr>
        <w:t>t</w:t>
      </w:r>
      <w:r w:rsidRPr="008E299E">
        <w:rPr>
          <w:rFonts w:ascii="Arial" w:hAnsi="Arial" w:cs="Arial"/>
          <w:sz w:val="24"/>
          <w:szCs w:val="24"/>
          <w:lang w:val="en-GB"/>
        </w:rPr>
        <w:t xml:space="preserve">he reform cannot be wished away by simple assertions.  As for reversing the reform </w:t>
      </w:r>
      <w:r w:rsidR="00A67BD2">
        <w:rPr>
          <w:rFonts w:ascii="Arial" w:hAnsi="Arial" w:cs="Arial"/>
          <w:sz w:val="24"/>
          <w:szCs w:val="24"/>
          <w:lang w:val="en-GB"/>
        </w:rPr>
        <w:t xml:space="preserve">so that </w:t>
      </w:r>
      <w:r w:rsidRPr="008E299E">
        <w:rPr>
          <w:rFonts w:ascii="Arial" w:hAnsi="Arial" w:cs="Arial"/>
          <w:sz w:val="24"/>
          <w:szCs w:val="24"/>
          <w:lang w:val="en-GB"/>
        </w:rPr>
        <w:t>the powers</w:t>
      </w:r>
      <w:r w:rsidR="00921C50" w:rsidRPr="008E299E">
        <w:rPr>
          <w:rFonts w:ascii="Arial" w:hAnsi="Arial" w:cs="Arial"/>
          <w:sz w:val="24"/>
          <w:szCs w:val="24"/>
          <w:lang w:val="en-GB"/>
        </w:rPr>
        <w:t xml:space="preserve"> </w:t>
      </w:r>
      <w:r w:rsidRPr="008E299E">
        <w:rPr>
          <w:rFonts w:ascii="Arial" w:hAnsi="Arial" w:cs="Arial"/>
          <w:sz w:val="24"/>
          <w:szCs w:val="24"/>
          <w:lang w:val="en-GB"/>
        </w:rPr>
        <w:t>revert to SASAC</w:t>
      </w:r>
      <w:r w:rsidR="00921C50" w:rsidRPr="008E299E">
        <w:rPr>
          <w:rFonts w:ascii="Arial" w:hAnsi="Arial" w:cs="Arial"/>
          <w:sz w:val="24"/>
          <w:szCs w:val="24"/>
          <w:lang w:val="en-GB"/>
        </w:rPr>
        <w:t>,</w:t>
      </w:r>
      <w:r w:rsidRPr="008E299E">
        <w:rPr>
          <w:rFonts w:ascii="Arial" w:hAnsi="Arial" w:cs="Arial"/>
          <w:sz w:val="24"/>
          <w:szCs w:val="24"/>
          <w:lang w:val="en-GB"/>
        </w:rPr>
        <w:t xml:space="preserve"> </w:t>
      </w:r>
      <w:r w:rsidR="00921C50" w:rsidRPr="008E299E">
        <w:rPr>
          <w:rFonts w:ascii="Arial" w:hAnsi="Arial" w:cs="Arial"/>
          <w:sz w:val="24"/>
          <w:szCs w:val="24"/>
          <w:lang w:val="en-GB"/>
        </w:rPr>
        <w:t>SASAC</w:t>
      </w:r>
      <w:r w:rsidRPr="008E299E">
        <w:rPr>
          <w:rFonts w:ascii="Arial" w:hAnsi="Arial" w:cs="Arial"/>
          <w:sz w:val="24"/>
          <w:szCs w:val="24"/>
          <w:lang w:val="en-GB"/>
        </w:rPr>
        <w:t xml:space="preserve"> would have to persuade central government to publish new decrees or instructions to revoke or supersede what has been done </w:t>
      </w:r>
      <w:r w:rsidR="00DB5BD8" w:rsidRPr="008E299E">
        <w:rPr>
          <w:rFonts w:ascii="Arial" w:hAnsi="Arial" w:cs="Arial"/>
          <w:sz w:val="24"/>
          <w:szCs w:val="24"/>
          <w:lang w:val="en-GB"/>
        </w:rPr>
        <w:t xml:space="preserve">over </w:t>
      </w:r>
      <w:r w:rsidRPr="008E299E">
        <w:rPr>
          <w:rFonts w:ascii="Arial" w:hAnsi="Arial" w:cs="Arial"/>
          <w:sz w:val="24"/>
          <w:szCs w:val="24"/>
          <w:lang w:val="en-GB"/>
        </w:rPr>
        <w:t>the last eight or nine years</w:t>
      </w:r>
      <w:r w:rsidR="00DB5BD8" w:rsidRPr="008E299E">
        <w:rPr>
          <w:rFonts w:ascii="Arial" w:hAnsi="Arial" w:cs="Arial"/>
          <w:sz w:val="24"/>
          <w:szCs w:val="24"/>
          <w:lang w:val="en-GB"/>
        </w:rPr>
        <w:t>.</w:t>
      </w:r>
      <w:r w:rsidRPr="008E299E">
        <w:rPr>
          <w:rFonts w:ascii="Arial" w:hAnsi="Arial" w:cs="Arial"/>
          <w:sz w:val="24"/>
          <w:szCs w:val="24"/>
          <w:lang w:val="en-GB"/>
        </w:rPr>
        <w:t xml:space="preserve"> </w:t>
      </w:r>
      <w:r w:rsidR="00DB5BD8" w:rsidRPr="008E299E">
        <w:rPr>
          <w:rFonts w:ascii="Arial" w:hAnsi="Arial" w:cs="Arial"/>
          <w:sz w:val="24"/>
          <w:szCs w:val="24"/>
          <w:lang w:val="en-GB"/>
        </w:rPr>
        <w:t>O</w:t>
      </w:r>
      <w:r w:rsidRPr="008E299E">
        <w:rPr>
          <w:rFonts w:ascii="Arial" w:hAnsi="Arial" w:cs="Arial"/>
          <w:sz w:val="24"/>
          <w:szCs w:val="24"/>
          <w:lang w:val="en-GB"/>
        </w:rPr>
        <w:t>therwise</w:t>
      </w:r>
      <w:r w:rsidR="00DB5BD8" w:rsidRPr="008E299E">
        <w:rPr>
          <w:rFonts w:ascii="Arial" w:hAnsi="Arial" w:cs="Arial"/>
          <w:sz w:val="24"/>
          <w:szCs w:val="24"/>
          <w:lang w:val="en-GB"/>
        </w:rPr>
        <w:t>,</w:t>
      </w:r>
      <w:r w:rsidRPr="008E299E">
        <w:rPr>
          <w:rFonts w:ascii="Arial" w:hAnsi="Arial" w:cs="Arial"/>
          <w:sz w:val="24"/>
          <w:szCs w:val="24"/>
          <w:lang w:val="en-GB"/>
        </w:rPr>
        <w:t xml:space="preserve"> it is not legal</w:t>
      </w:r>
      <w:r w:rsidR="00DB5BD8" w:rsidRPr="008E299E">
        <w:rPr>
          <w:rFonts w:ascii="Arial" w:hAnsi="Arial" w:cs="Arial"/>
          <w:sz w:val="24"/>
          <w:szCs w:val="24"/>
          <w:lang w:val="en-GB"/>
        </w:rPr>
        <w:t>.</w:t>
      </w:r>
    </w:p>
    <w:p w:rsidR="00DB5BD8" w:rsidRPr="00976FFD" w:rsidRDefault="00DB5BD8" w:rsidP="00BF0D6B">
      <w:pPr>
        <w:tabs>
          <w:tab w:val="left" w:pos="0"/>
          <w:tab w:val="left" w:pos="567"/>
          <w:tab w:val="left" w:pos="990"/>
        </w:tabs>
        <w:spacing w:line="360" w:lineRule="auto"/>
        <w:contextualSpacing/>
        <w:jc w:val="both"/>
        <w:rPr>
          <w:rFonts w:ascii="Arial" w:hAnsi="Arial" w:cs="Arial"/>
        </w:rPr>
      </w:pPr>
    </w:p>
    <w:p w:rsidR="00E95C43" w:rsidRPr="00E95C43" w:rsidRDefault="000A27D3"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8E299E">
        <w:rPr>
          <w:rFonts w:ascii="Arial" w:eastAsia="Times New Roman" w:hAnsi="Arial" w:cs="Arial"/>
          <w:sz w:val="24"/>
          <w:szCs w:val="24"/>
          <w:lang w:val="en-GB"/>
        </w:rPr>
        <w:t>Regarding</w:t>
      </w:r>
      <w:r w:rsidR="004210ED" w:rsidRPr="008E299E">
        <w:rPr>
          <w:rFonts w:ascii="Arial" w:eastAsia="Times New Roman" w:hAnsi="Arial" w:cs="Arial"/>
          <w:sz w:val="24"/>
          <w:szCs w:val="24"/>
          <w:lang w:val="en-GB"/>
        </w:rPr>
        <w:t xml:space="preserve"> the defendant, </w:t>
      </w:r>
      <w:r w:rsidR="00176964" w:rsidRPr="008E299E">
        <w:rPr>
          <w:rFonts w:ascii="Arial" w:eastAsia="Times New Roman" w:hAnsi="Arial" w:cs="Arial"/>
          <w:sz w:val="24"/>
          <w:szCs w:val="24"/>
          <w:lang w:val="en-GB"/>
        </w:rPr>
        <w:t>Mr Peng clarifies</w:t>
      </w:r>
      <w:r w:rsidR="00176964" w:rsidRPr="008E299E">
        <w:rPr>
          <w:rFonts w:ascii="Arial" w:eastAsia="Times New Roman" w:hAnsi="Arial" w:cs="Arial"/>
          <w:sz w:val="24"/>
          <w:szCs w:val="24"/>
          <w:lang w:val="en-ZA"/>
        </w:rPr>
        <w:t xml:space="preserve"> that he </w:t>
      </w:r>
      <w:r w:rsidR="006C31E1" w:rsidRPr="008E299E">
        <w:rPr>
          <w:rFonts w:ascii="Arial" w:eastAsia="Times New Roman" w:hAnsi="Arial" w:cs="Arial"/>
          <w:sz w:val="24"/>
          <w:szCs w:val="24"/>
          <w:lang w:val="en-ZA"/>
        </w:rPr>
        <w:t>agree</w:t>
      </w:r>
      <w:r w:rsidR="00176964" w:rsidRPr="008E299E">
        <w:rPr>
          <w:rFonts w:ascii="Arial" w:eastAsia="Times New Roman" w:hAnsi="Arial" w:cs="Arial"/>
          <w:sz w:val="24"/>
          <w:szCs w:val="24"/>
          <w:lang w:val="en-ZA"/>
        </w:rPr>
        <w:t>s</w:t>
      </w:r>
      <w:r w:rsidR="006C31E1" w:rsidRPr="008E299E">
        <w:rPr>
          <w:rFonts w:ascii="Arial" w:eastAsia="Times New Roman" w:hAnsi="Arial" w:cs="Arial"/>
          <w:sz w:val="24"/>
          <w:szCs w:val="24"/>
          <w:lang w:val="en-ZA"/>
        </w:rPr>
        <w:t xml:space="preserve"> with Dr Li that </w:t>
      </w:r>
      <w:r w:rsidR="006C31E1" w:rsidRPr="008E299E">
        <w:rPr>
          <w:rFonts w:ascii="Arial" w:eastAsia="Times New Roman" w:hAnsi="Arial" w:cs="Arial"/>
          <w:sz w:val="24"/>
          <w:szCs w:val="24"/>
          <w:lang w:val="en-GB"/>
        </w:rPr>
        <w:t>SASAC is the actual controlling party of Shandong</w:t>
      </w:r>
      <w:r w:rsidR="00176964" w:rsidRPr="008E299E">
        <w:rPr>
          <w:rFonts w:ascii="Arial" w:eastAsia="Times New Roman" w:hAnsi="Arial" w:cs="Arial"/>
          <w:sz w:val="24"/>
          <w:szCs w:val="24"/>
          <w:lang w:val="en-GB"/>
        </w:rPr>
        <w:t xml:space="preserve"> Haiyang because he (Dr Peng) finds no evidence to prove that the SOE holding company of Shandong Haiyang completed the reform. </w:t>
      </w:r>
      <w:r w:rsidR="00535C78" w:rsidRPr="008E299E">
        <w:rPr>
          <w:rFonts w:ascii="Arial" w:eastAsia="Times New Roman" w:hAnsi="Arial" w:cs="Arial"/>
          <w:sz w:val="24"/>
          <w:szCs w:val="24"/>
          <w:lang w:val="en-GB"/>
        </w:rPr>
        <w:t xml:space="preserve"> </w:t>
      </w:r>
      <w:r w:rsidR="004210ED" w:rsidRPr="008E299E">
        <w:rPr>
          <w:rFonts w:ascii="Arial" w:eastAsia="Times New Roman" w:hAnsi="Arial" w:cs="Arial"/>
          <w:sz w:val="24"/>
          <w:szCs w:val="24"/>
          <w:lang w:val="en-GB"/>
        </w:rPr>
        <w:t>In contrast,</w:t>
      </w:r>
      <w:r w:rsidR="00535C78" w:rsidRPr="008E299E">
        <w:rPr>
          <w:rFonts w:ascii="Arial" w:eastAsia="Times New Roman" w:hAnsi="Arial" w:cs="Arial"/>
          <w:sz w:val="24"/>
          <w:szCs w:val="24"/>
          <w:lang w:val="en-GB"/>
        </w:rPr>
        <w:t xml:space="preserve"> he c</w:t>
      </w:r>
      <w:r w:rsidR="004210ED" w:rsidRPr="008E299E">
        <w:rPr>
          <w:rFonts w:ascii="Arial" w:eastAsia="Times New Roman" w:hAnsi="Arial" w:cs="Arial"/>
          <w:sz w:val="24"/>
          <w:szCs w:val="24"/>
          <w:lang w:val="en-GB"/>
        </w:rPr>
        <w:t>oncludes</w:t>
      </w:r>
      <w:r w:rsidR="00535C78" w:rsidRPr="008E299E">
        <w:rPr>
          <w:rFonts w:ascii="Arial" w:eastAsia="Times New Roman" w:hAnsi="Arial" w:cs="Arial"/>
          <w:sz w:val="24"/>
          <w:szCs w:val="24"/>
          <w:lang w:val="en-GB"/>
        </w:rPr>
        <w:t xml:space="preserve"> </w:t>
      </w:r>
      <w:r w:rsidR="00DB5BD8" w:rsidRPr="008E299E">
        <w:rPr>
          <w:rFonts w:ascii="Arial" w:eastAsia="Times New Roman" w:hAnsi="Arial" w:cs="Arial"/>
          <w:sz w:val="24"/>
          <w:szCs w:val="24"/>
          <w:lang w:val="en-GB"/>
        </w:rPr>
        <w:t xml:space="preserve">that the </w:t>
      </w:r>
      <w:r w:rsidR="00535C78" w:rsidRPr="008E299E">
        <w:rPr>
          <w:rFonts w:ascii="Arial" w:eastAsia="Times New Roman" w:hAnsi="Arial" w:cs="Arial"/>
          <w:sz w:val="24"/>
          <w:szCs w:val="24"/>
          <w:lang w:val="en-GB"/>
        </w:rPr>
        <w:t xml:space="preserve">evidence </w:t>
      </w:r>
      <w:r w:rsidR="00DB5BD8" w:rsidRPr="008E299E">
        <w:rPr>
          <w:rFonts w:ascii="Arial" w:eastAsia="Times New Roman" w:hAnsi="Arial" w:cs="Arial"/>
          <w:sz w:val="24"/>
          <w:szCs w:val="24"/>
          <w:lang w:val="en-GB"/>
        </w:rPr>
        <w:t xml:space="preserve">proves </w:t>
      </w:r>
      <w:r w:rsidR="00535C78" w:rsidRPr="008E299E">
        <w:rPr>
          <w:rFonts w:ascii="Arial" w:eastAsia="Times New Roman" w:hAnsi="Arial" w:cs="Arial"/>
          <w:sz w:val="24"/>
          <w:szCs w:val="24"/>
          <w:lang w:val="en-GB"/>
        </w:rPr>
        <w:t xml:space="preserve">that the reform </w:t>
      </w:r>
      <w:r w:rsidR="008B164C">
        <w:rPr>
          <w:rFonts w:ascii="Arial" w:eastAsia="Times New Roman" w:hAnsi="Arial" w:cs="Arial"/>
          <w:sz w:val="24"/>
          <w:szCs w:val="24"/>
          <w:lang w:val="en-GB"/>
        </w:rPr>
        <w:t>is</w:t>
      </w:r>
      <w:r w:rsidR="00535C78" w:rsidRPr="008E299E">
        <w:rPr>
          <w:rFonts w:ascii="Arial" w:eastAsia="Times New Roman" w:hAnsi="Arial" w:cs="Arial"/>
          <w:sz w:val="24"/>
          <w:szCs w:val="24"/>
          <w:lang w:val="en-GB"/>
        </w:rPr>
        <w:t xml:space="preserve"> completed for SIS.</w:t>
      </w:r>
    </w:p>
    <w:p w:rsidR="00E95C43" w:rsidRPr="00E95C43" w:rsidRDefault="00E95C43" w:rsidP="00BF0D6B">
      <w:pPr>
        <w:pStyle w:val="ListParagraph"/>
        <w:spacing w:after="0"/>
        <w:rPr>
          <w:rFonts w:ascii="Arial" w:eastAsia="Times New Roman" w:hAnsi="Arial" w:cs="Arial"/>
          <w:b/>
          <w:bCs/>
          <w:sz w:val="24"/>
          <w:szCs w:val="24"/>
          <w:lang w:val="en-ZA"/>
        </w:rPr>
      </w:pPr>
    </w:p>
    <w:p w:rsidR="00E95C43" w:rsidRPr="00E95C43" w:rsidRDefault="00E95C43" w:rsidP="005640AA">
      <w:pPr>
        <w:tabs>
          <w:tab w:val="left" w:pos="0"/>
          <w:tab w:val="left" w:pos="567"/>
          <w:tab w:val="left" w:pos="990"/>
        </w:tabs>
        <w:spacing w:line="360" w:lineRule="auto"/>
        <w:jc w:val="both"/>
        <w:rPr>
          <w:rFonts w:ascii="Arial" w:hAnsi="Arial" w:cs="Arial"/>
        </w:rPr>
      </w:pPr>
      <w:r w:rsidRPr="00E95C43">
        <w:rPr>
          <w:rFonts w:ascii="Arial" w:hAnsi="Arial" w:cs="Arial"/>
          <w:b/>
          <w:bCs/>
        </w:rPr>
        <w:t>S</w:t>
      </w:r>
      <w:r w:rsidR="00A76B8D" w:rsidRPr="00E95C43">
        <w:rPr>
          <w:rFonts w:ascii="Arial" w:hAnsi="Arial" w:cs="Arial"/>
          <w:b/>
          <w:bCs/>
        </w:rPr>
        <w:t>ubmissions</w:t>
      </w:r>
    </w:p>
    <w:p w:rsidR="00E95C43" w:rsidRDefault="00E95C43"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E95C43">
        <w:rPr>
          <w:rFonts w:ascii="Arial" w:eastAsia="Times New Roman" w:hAnsi="Arial" w:cs="Arial"/>
          <w:sz w:val="24"/>
          <w:szCs w:val="24"/>
          <w:lang w:val="en-ZA"/>
        </w:rPr>
        <w:t>T</w:t>
      </w:r>
      <w:r w:rsidR="00A76B8D" w:rsidRPr="00E95C43">
        <w:rPr>
          <w:rFonts w:ascii="Arial" w:eastAsia="Times New Roman" w:hAnsi="Arial" w:cs="Arial"/>
          <w:sz w:val="24"/>
          <w:szCs w:val="24"/>
          <w:lang w:val="en-ZA"/>
        </w:rPr>
        <w:t>he plaintiff submits that SASAC exercises both direct and indirect control over Tonkolili, sufficient to satisfy the requirements for establishing the association contemplated in the Act.</w:t>
      </w:r>
      <w:r>
        <w:rPr>
          <w:rFonts w:ascii="Arial" w:eastAsia="Times New Roman" w:hAnsi="Arial" w:cs="Arial"/>
          <w:sz w:val="24"/>
          <w:szCs w:val="24"/>
          <w:lang w:val="en-ZA"/>
        </w:rPr>
        <w:t xml:space="preserve">  The reform has not resulted in control of the destiny of Tonkolili being delegated to SIS.</w:t>
      </w:r>
    </w:p>
    <w:p w:rsidR="00E95C43" w:rsidRDefault="00E95C43"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A76B8D" w:rsidRPr="00E95C43" w:rsidRDefault="00A76B8D" w:rsidP="00BF0D6B">
      <w:pPr>
        <w:pStyle w:val="ListParagraph"/>
        <w:numPr>
          <w:ilvl w:val="0"/>
          <w:numId w:val="29"/>
        </w:numPr>
        <w:tabs>
          <w:tab w:val="left" w:pos="0"/>
          <w:tab w:val="left" w:pos="567"/>
          <w:tab w:val="left" w:pos="990"/>
        </w:tabs>
        <w:spacing w:after="0" w:line="360" w:lineRule="auto"/>
        <w:jc w:val="both"/>
        <w:rPr>
          <w:rFonts w:ascii="Arial" w:eastAsia="Times New Roman" w:hAnsi="Arial" w:cs="Arial"/>
          <w:sz w:val="24"/>
          <w:szCs w:val="24"/>
          <w:lang w:val="en-ZA"/>
        </w:rPr>
      </w:pPr>
      <w:r w:rsidRPr="00E95C43">
        <w:rPr>
          <w:rFonts w:ascii="Arial" w:eastAsia="Times New Roman" w:hAnsi="Arial" w:cs="Arial"/>
          <w:sz w:val="24"/>
          <w:szCs w:val="24"/>
          <w:lang w:val="en-ZA"/>
        </w:rPr>
        <w:t>To resist the claim, the defendant contends that, following the reforms which began around 2013, SIS was a newly constructed SOE holding company that took over the role of capital contributor from SASAC in respect of Tonkolili</w:t>
      </w:r>
      <w:r w:rsidR="00F86468">
        <w:rPr>
          <w:rFonts w:ascii="Arial" w:eastAsia="Times New Roman" w:hAnsi="Arial" w:cs="Arial"/>
          <w:sz w:val="24"/>
          <w:szCs w:val="24"/>
          <w:lang w:val="en-ZA"/>
        </w:rPr>
        <w:t>.</w:t>
      </w:r>
      <w:r w:rsidRPr="00E95C43">
        <w:rPr>
          <w:rFonts w:ascii="Arial" w:eastAsia="Times New Roman" w:hAnsi="Arial" w:cs="Arial"/>
          <w:sz w:val="24"/>
          <w:szCs w:val="24"/>
          <w:lang w:val="en-ZA"/>
        </w:rPr>
        <w:t xml:space="preserve"> </w:t>
      </w:r>
      <w:r w:rsidR="00F86468">
        <w:rPr>
          <w:rFonts w:ascii="Arial" w:eastAsia="Times New Roman" w:hAnsi="Arial" w:cs="Arial"/>
          <w:sz w:val="24"/>
          <w:szCs w:val="24"/>
          <w:lang w:val="en-ZA"/>
        </w:rPr>
        <w:t>T</w:t>
      </w:r>
      <w:r w:rsidRPr="00E95C43">
        <w:rPr>
          <w:rFonts w:ascii="Arial" w:eastAsia="Times New Roman" w:hAnsi="Arial" w:cs="Arial"/>
          <w:sz w:val="24"/>
          <w:szCs w:val="24"/>
          <w:lang w:val="en-ZA"/>
        </w:rPr>
        <w:t xml:space="preserve">herefore SIS controlled Tonkolili under </w:t>
      </w:r>
      <w:r w:rsidR="00033281">
        <w:rPr>
          <w:rFonts w:ascii="Arial" w:eastAsia="Times New Roman" w:hAnsi="Arial" w:cs="Arial"/>
          <w:sz w:val="24"/>
          <w:szCs w:val="24"/>
          <w:lang w:val="en-ZA"/>
        </w:rPr>
        <w:t>s</w:t>
      </w:r>
      <w:r w:rsidR="00033281" w:rsidRPr="00E95C43">
        <w:rPr>
          <w:rFonts w:ascii="Arial" w:eastAsia="Times New Roman" w:hAnsi="Arial" w:cs="Arial"/>
          <w:sz w:val="24"/>
          <w:szCs w:val="24"/>
          <w:lang w:val="en-ZA"/>
        </w:rPr>
        <w:t xml:space="preserve"> </w:t>
      </w:r>
      <w:r w:rsidRPr="00E95C43">
        <w:rPr>
          <w:rFonts w:ascii="Arial" w:eastAsia="Times New Roman" w:hAnsi="Arial" w:cs="Arial"/>
          <w:sz w:val="24"/>
          <w:szCs w:val="24"/>
          <w:lang w:val="en-ZA"/>
        </w:rPr>
        <w:t>3(6) and (7) of the Act.</w:t>
      </w:r>
    </w:p>
    <w:p w:rsidR="00695E35" w:rsidRPr="00976FFD" w:rsidRDefault="00695E35" w:rsidP="00BF0D6B">
      <w:pPr>
        <w:pStyle w:val="ListParagraph"/>
        <w:spacing w:after="0" w:line="360" w:lineRule="auto"/>
        <w:ind w:left="0"/>
        <w:rPr>
          <w:rFonts w:ascii="Arial" w:eastAsia="Times New Roman" w:hAnsi="Arial" w:cs="Arial"/>
          <w:sz w:val="24"/>
          <w:szCs w:val="24"/>
          <w:lang w:val="en-ZA"/>
        </w:rPr>
      </w:pPr>
    </w:p>
    <w:p w:rsidR="00B61933" w:rsidRDefault="00B61933" w:rsidP="00BF0D6B">
      <w:pPr>
        <w:tabs>
          <w:tab w:val="left" w:pos="0"/>
          <w:tab w:val="left" w:pos="567"/>
          <w:tab w:val="left" w:pos="990"/>
        </w:tabs>
        <w:spacing w:line="360" w:lineRule="auto"/>
        <w:jc w:val="both"/>
        <w:rPr>
          <w:rFonts w:ascii="Arial" w:hAnsi="Arial" w:cs="Arial"/>
          <w:b/>
          <w:bCs/>
        </w:rPr>
      </w:pPr>
      <w:r>
        <w:rPr>
          <w:rFonts w:ascii="Arial" w:hAnsi="Arial" w:cs="Arial"/>
          <w:b/>
          <w:bCs/>
        </w:rPr>
        <w:t>Analysis</w:t>
      </w:r>
    </w:p>
    <w:p w:rsidR="00675D4D" w:rsidRPr="00675D4D" w:rsidRDefault="00D50168" w:rsidP="00BF0D6B">
      <w:pPr>
        <w:tabs>
          <w:tab w:val="left" w:pos="0"/>
          <w:tab w:val="left" w:pos="567"/>
          <w:tab w:val="left" w:pos="990"/>
        </w:tabs>
        <w:spacing w:line="360" w:lineRule="auto"/>
        <w:jc w:val="both"/>
        <w:rPr>
          <w:rFonts w:ascii="Arial" w:hAnsi="Arial" w:cs="Arial"/>
        </w:rPr>
      </w:pPr>
      <w:r>
        <w:rPr>
          <w:rFonts w:ascii="Arial" w:hAnsi="Arial" w:cs="Arial"/>
          <w:lang w:val="en-GB"/>
        </w:rPr>
        <w:t>[41]</w:t>
      </w:r>
      <w:r>
        <w:rPr>
          <w:rFonts w:ascii="Arial" w:hAnsi="Arial" w:cs="Arial"/>
          <w:lang w:val="en-GB"/>
        </w:rPr>
        <w:tab/>
      </w:r>
      <w:r w:rsidR="00075ADC" w:rsidRPr="008E299E">
        <w:rPr>
          <w:rFonts w:ascii="Arial" w:hAnsi="Arial" w:cs="Arial"/>
          <w:lang w:val="en-GB"/>
        </w:rPr>
        <w:t xml:space="preserve">The reason for the </w:t>
      </w:r>
      <w:r w:rsidR="00675D4D">
        <w:rPr>
          <w:rFonts w:ascii="Arial" w:hAnsi="Arial" w:cs="Arial"/>
          <w:lang w:val="en-GB"/>
        </w:rPr>
        <w:t xml:space="preserve">constitutionally </w:t>
      </w:r>
      <w:r w:rsidR="00874EDA">
        <w:rPr>
          <w:rFonts w:ascii="Arial" w:hAnsi="Arial" w:cs="Arial"/>
          <w:lang w:val="en-GB"/>
        </w:rPr>
        <w:t xml:space="preserve">induced </w:t>
      </w:r>
      <w:r w:rsidR="00075ADC" w:rsidRPr="008E299E">
        <w:rPr>
          <w:rFonts w:ascii="Arial" w:hAnsi="Arial" w:cs="Arial"/>
          <w:lang w:val="en-GB"/>
        </w:rPr>
        <w:t xml:space="preserve">reform </w:t>
      </w:r>
      <w:r w:rsidR="00675D4D" w:rsidRPr="008E299E">
        <w:rPr>
          <w:rFonts w:ascii="Arial" w:hAnsi="Arial" w:cs="Arial"/>
          <w:lang w:val="en-GB"/>
        </w:rPr>
        <w:t xml:space="preserve">from a communist to a socialist market economy </w:t>
      </w:r>
      <w:r w:rsidR="00075ADC" w:rsidRPr="008E299E">
        <w:rPr>
          <w:rFonts w:ascii="Arial" w:hAnsi="Arial" w:cs="Arial"/>
          <w:lang w:val="en-GB"/>
        </w:rPr>
        <w:t xml:space="preserve">was for enterprises to be modernised, autonomous and responsive to market conditions, to ensure that </w:t>
      </w:r>
      <w:r w:rsidR="004210ED" w:rsidRPr="008E299E">
        <w:rPr>
          <w:rFonts w:ascii="Arial" w:hAnsi="Arial" w:cs="Arial"/>
          <w:lang w:val="en-GB"/>
        </w:rPr>
        <w:t xml:space="preserve">the </w:t>
      </w:r>
      <w:r w:rsidR="00075ADC" w:rsidRPr="008E299E">
        <w:rPr>
          <w:rFonts w:ascii="Arial" w:hAnsi="Arial" w:cs="Arial"/>
          <w:lang w:val="en-GB"/>
        </w:rPr>
        <w:t xml:space="preserve">quality of </w:t>
      </w:r>
      <w:r w:rsidR="00033281">
        <w:rPr>
          <w:rFonts w:ascii="Arial" w:hAnsi="Arial" w:cs="Arial"/>
          <w:lang w:val="en-GB"/>
        </w:rPr>
        <w:t>S</w:t>
      </w:r>
      <w:r w:rsidR="00075ADC" w:rsidRPr="008E299E">
        <w:rPr>
          <w:rFonts w:ascii="Arial" w:hAnsi="Arial" w:cs="Arial"/>
          <w:lang w:val="en-GB"/>
        </w:rPr>
        <w:t>tate-owned assets improved.</w:t>
      </w:r>
      <w:r w:rsidR="00075ADC" w:rsidRPr="008E299E">
        <w:rPr>
          <w:rFonts w:ascii="Arial" w:hAnsi="Arial" w:cs="Arial"/>
        </w:rPr>
        <w:t xml:space="preserve"> </w:t>
      </w:r>
      <w:r w:rsidR="00675D4D" w:rsidRPr="00C3580D">
        <w:rPr>
          <w:rFonts w:ascii="Arial" w:hAnsi="Arial" w:cs="Arial"/>
          <w:lang w:val="en-GB"/>
        </w:rPr>
        <w:t xml:space="preserve">The experts agree that the reform is </w:t>
      </w:r>
      <w:r w:rsidR="00AA5A13">
        <w:rPr>
          <w:rFonts w:ascii="Arial" w:hAnsi="Arial" w:cs="Arial"/>
          <w:lang w:val="en-GB"/>
        </w:rPr>
        <w:t>gradual</w:t>
      </w:r>
      <w:r w:rsidR="00675D4D" w:rsidRPr="00C3580D">
        <w:rPr>
          <w:rFonts w:ascii="Arial" w:hAnsi="Arial" w:cs="Arial"/>
          <w:lang w:val="en-GB"/>
        </w:rPr>
        <w:t xml:space="preserve"> in the </w:t>
      </w:r>
      <w:r w:rsidR="00675D4D">
        <w:rPr>
          <w:rFonts w:ascii="Arial" w:hAnsi="Arial" w:cs="Arial"/>
          <w:lang w:val="en-GB"/>
        </w:rPr>
        <w:t>P</w:t>
      </w:r>
      <w:r w:rsidR="00675D4D" w:rsidRPr="00C3580D">
        <w:rPr>
          <w:rFonts w:ascii="Arial" w:hAnsi="Arial" w:cs="Arial"/>
          <w:lang w:val="en-GB"/>
        </w:rPr>
        <w:t>eoples</w:t>
      </w:r>
      <w:r w:rsidR="003840F6">
        <w:rPr>
          <w:rFonts w:ascii="Arial" w:hAnsi="Arial" w:cs="Arial"/>
          <w:lang w:val="en-GB"/>
        </w:rPr>
        <w:t>’</w:t>
      </w:r>
      <w:r w:rsidR="00675D4D" w:rsidRPr="00C3580D">
        <w:rPr>
          <w:rFonts w:ascii="Arial" w:hAnsi="Arial" w:cs="Arial"/>
          <w:lang w:val="en-GB"/>
        </w:rPr>
        <w:t xml:space="preserve"> Republic of China.</w:t>
      </w:r>
      <w:r w:rsidR="00D95BA5">
        <w:rPr>
          <w:rFonts w:ascii="Arial" w:hAnsi="Arial" w:cs="Arial"/>
          <w:lang w:val="en-GB"/>
        </w:rPr>
        <w:t xml:space="preserve"> </w:t>
      </w:r>
      <w:r w:rsidR="00675D4D" w:rsidRPr="00C3580D">
        <w:rPr>
          <w:rFonts w:ascii="Arial" w:hAnsi="Arial" w:cs="Arial"/>
          <w:lang w:val="en-GB"/>
        </w:rPr>
        <w:t xml:space="preserve"> Mr </w:t>
      </w:r>
      <w:r w:rsidR="00675D4D">
        <w:rPr>
          <w:rFonts w:ascii="Arial" w:hAnsi="Arial" w:cs="Arial"/>
          <w:lang w:val="en-GB"/>
        </w:rPr>
        <w:t>Pe</w:t>
      </w:r>
      <w:r w:rsidR="00675D4D" w:rsidRPr="00C3580D">
        <w:rPr>
          <w:rFonts w:ascii="Arial" w:hAnsi="Arial" w:cs="Arial"/>
          <w:lang w:val="en-GB"/>
        </w:rPr>
        <w:t>ng is explicit about what reform</w:t>
      </w:r>
      <w:r w:rsidR="00D95BA5">
        <w:rPr>
          <w:rFonts w:ascii="Arial" w:hAnsi="Arial" w:cs="Arial"/>
          <w:lang w:val="en-GB"/>
        </w:rPr>
        <w:t xml:space="preserve">s </w:t>
      </w:r>
      <w:r w:rsidR="00874EDA">
        <w:rPr>
          <w:rFonts w:ascii="Arial" w:hAnsi="Arial" w:cs="Arial"/>
          <w:lang w:val="en-GB"/>
        </w:rPr>
        <w:t>are</w:t>
      </w:r>
      <w:r w:rsidR="00D95BA5">
        <w:rPr>
          <w:rFonts w:ascii="Arial" w:hAnsi="Arial" w:cs="Arial"/>
          <w:lang w:val="en-GB"/>
        </w:rPr>
        <w:t xml:space="preserve"> implemented. </w:t>
      </w:r>
      <w:r w:rsidR="00F86468">
        <w:rPr>
          <w:rFonts w:ascii="Arial" w:hAnsi="Arial" w:cs="Arial"/>
          <w:lang w:val="en-GB"/>
        </w:rPr>
        <w:t xml:space="preserve"> </w:t>
      </w:r>
      <w:r w:rsidR="00AA5A13">
        <w:rPr>
          <w:rFonts w:ascii="Arial" w:hAnsi="Arial" w:cs="Arial"/>
          <w:lang w:val="en-GB"/>
        </w:rPr>
        <w:t xml:space="preserve">He advanced his </w:t>
      </w:r>
      <w:r w:rsidR="00BA702C">
        <w:rPr>
          <w:rFonts w:ascii="Arial" w:hAnsi="Arial" w:cs="Arial"/>
          <w:lang w:val="en-GB"/>
        </w:rPr>
        <w:t>‘</w:t>
      </w:r>
      <w:r w:rsidR="00AA5A13">
        <w:rPr>
          <w:rFonts w:ascii="Arial" w:hAnsi="Arial" w:cs="Arial"/>
          <w:lang w:val="en-GB"/>
        </w:rPr>
        <w:t>regulator hat</w:t>
      </w:r>
      <w:r w:rsidR="00BA702C">
        <w:rPr>
          <w:rFonts w:ascii="Arial" w:hAnsi="Arial" w:cs="Arial"/>
          <w:lang w:val="en-GB"/>
        </w:rPr>
        <w:t>’</w:t>
      </w:r>
      <w:r w:rsidR="00AA5A13">
        <w:rPr>
          <w:rFonts w:ascii="Arial" w:hAnsi="Arial" w:cs="Arial"/>
          <w:lang w:val="en-GB"/>
        </w:rPr>
        <w:t xml:space="preserve"> and </w:t>
      </w:r>
      <w:r w:rsidR="00BA702C">
        <w:rPr>
          <w:rFonts w:ascii="Arial" w:hAnsi="Arial" w:cs="Arial"/>
          <w:lang w:val="en-GB"/>
        </w:rPr>
        <w:t>‘</w:t>
      </w:r>
      <w:r w:rsidR="00AA5A13">
        <w:rPr>
          <w:rFonts w:ascii="Arial" w:hAnsi="Arial" w:cs="Arial"/>
          <w:lang w:val="en-GB"/>
        </w:rPr>
        <w:t>investor-contributor hat</w:t>
      </w:r>
      <w:r w:rsidR="00BA702C">
        <w:rPr>
          <w:rFonts w:ascii="Arial" w:hAnsi="Arial" w:cs="Arial"/>
          <w:lang w:val="en-GB"/>
        </w:rPr>
        <w:t>’</w:t>
      </w:r>
      <w:r w:rsidR="00AA5A13">
        <w:rPr>
          <w:rFonts w:ascii="Arial" w:hAnsi="Arial" w:cs="Arial"/>
          <w:lang w:val="en-GB"/>
        </w:rPr>
        <w:t xml:space="preserve"> theory</w:t>
      </w:r>
      <w:r w:rsidR="00B61933">
        <w:rPr>
          <w:rFonts w:ascii="Arial" w:hAnsi="Arial" w:cs="Arial"/>
          <w:lang w:val="en-GB"/>
        </w:rPr>
        <w:t xml:space="preserve"> of reform</w:t>
      </w:r>
      <w:r w:rsidR="00AA5A13">
        <w:rPr>
          <w:rFonts w:ascii="Arial" w:hAnsi="Arial" w:cs="Arial"/>
          <w:lang w:val="en-GB"/>
        </w:rPr>
        <w:t>.</w:t>
      </w:r>
      <w:r w:rsidR="00675D4D" w:rsidRPr="00C3580D">
        <w:rPr>
          <w:rFonts w:ascii="Arial" w:hAnsi="Arial" w:cs="Arial"/>
          <w:lang w:val="en-GB"/>
        </w:rPr>
        <w:t xml:space="preserve"> </w:t>
      </w:r>
      <w:r w:rsidR="00AA5A13">
        <w:rPr>
          <w:rFonts w:ascii="Arial" w:hAnsi="Arial" w:cs="Arial"/>
          <w:lang w:val="en-GB"/>
        </w:rPr>
        <w:t xml:space="preserve"> For Dr Li, the </w:t>
      </w:r>
      <w:r w:rsidR="00EA1213">
        <w:rPr>
          <w:rFonts w:ascii="Arial" w:hAnsi="Arial" w:cs="Arial"/>
          <w:lang w:val="en-GB"/>
        </w:rPr>
        <w:t>reform</w:t>
      </w:r>
      <w:r w:rsidR="00AA5A13">
        <w:rPr>
          <w:rFonts w:ascii="Arial" w:hAnsi="Arial" w:cs="Arial"/>
          <w:lang w:val="en-GB"/>
        </w:rPr>
        <w:t xml:space="preserve"> </w:t>
      </w:r>
      <w:r w:rsidR="00EA1213">
        <w:rPr>
          <w:rFonts w:ascii="Arial" w:hAnsi="Arial" w:cs="Arial"/>
          <w:lang w:val="en-GB"/>
        </w:rPr>
        <w:t>is</w:t>
      </w:r>
      <w:r w:rsidR="00AA5A13">
        <w:rPr>
          <w:rFonts w:ascii="Arial" w:hAnsi="Arial" w:cs="Arial"/>
          <w:lang w:val="en-GB"/>
        </w:rPr>
        <w:t xml:space="preserve"> not </w:t>
      </w:r>
      <w:r w:rsidR="00EA1213">
        <w:rPr>
          <w:rFonts w:ascii="Arial" w:hAnsi="Arial" w:cs="Arial"/>
          <w:lang w:val="en-GB"/>
        </w:rPr>
        <w:t>about</w:t>
      </w:r>
      <w:r w:rsidR="00AA5A13">
        <w:rPr>
          <w:rFonts w:ascii="Arial" w:hAnsi="Arial" w:cs="Arial"/>
          <w:lang w:val="en-GB"/>
        </w:rPr>
        <w:t xml:space="preserve"> control but of operational and management powers.  </w:t>
      </w:r>
    </w:p>
    <w:p w:rsidR="00675D4D" w:rsidRPr="00675D4D" w:rsidRDefault="00675D4D"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675D4D" w:rsidRPr="00D50168" w:rsidRDefault="00D50168" w:rsidP="00BF0D6B">
      <w:pPr>
        <w:tabs>
          <w:tab w:val="left" w:pos="0"/>
          <w:tab w:val="left" w:pos="567"/>
          <w:tab w:val="left" w:pos="990"/>
        </w:tabs>
        <w:spacing w:line="360" w:lineRule="auto"/>
        <w:jc w:val="both"/>
        <w:rPr>
          <w:rFonts w:ascii="Arial" w:hAnsi="Arial" w:cs="Arial"/>
        </w:rPr>
      </w:pPr>
      <w:r>
        <w:rPr>
          <w:rFonts w:ascii="Arial" w:hAnsi="Arial" w:cs="Arial"/>
        </w:rPr>
        <w:t>[42]</w:t>
      </w:r>
      <w:r w:rsidR="00075ADC" w:rsidRPr="00D50168">
        <w:rPr>
          <w:rFonts w:ascii="Arial" w:hAnsi="Arial" w:cs="Arial"/>
        </w:rPr>
        <w:t xml:space="preserve"> </w:t>
      </w:r>
      <w:r w:rsidR="00075ADC" w:rsidRPr="00D50168">
        <w:rPr>
          <w:rFonts w:ascii="Arial" w:hAnsi="Arial" w:cs="Arial"/>
          <w:lang w:val="en-GB"/>
        </w:rPr>
        <w:t xml:space="preserve">In this case, </w:t>
      </w:r>
      <w:r w:rsidR="00675D4D" w:rsidRPr="00D50168">
        <w:rPr>
          <w:rFonts w:ascii="Arial" w:hAnsi="Arial" w:cs="Arial"/>
        </w:rPr>
        <w:t>the plaintiff must demonstrate that the power to control the fate of the companies vested in the same entity, that is SASAC:</w:t>
      </w:r>
    </w:p>
    <w:p w:rsidR="00675D4D" w:rsidRPr="005640AA" w:rsidRDefault="00BF0D6B" w:rsidP="005640AA">
      <w:pPr>
        <w:tabs>
          <w:tab w:val="left" w:pos="0"/>
          <w:tab w:val="left" w:pos="567"/>
          <w:tab w:val="left" w:pos="990"/>
        </w:tabs>
        <w:spacing w:line="360" w:lineRule="auto"/>
        <w:jc w:val="both"/>
        <w:rPr>
          <w:rFonts w:ascii="Arial" w:hAnsi="Arial" w:cs="Arial"/>
        </w:rPr>
      </w:pPr>
      <w:r>
        <w:rPr>
          <w:rFonts w:ascii="Arial" w:hAnsi="Arial" w:cs="Arial"/>
        </w:rPr>
        <w:t>(a)</w:t>
      </w:r>
      <w:r w:rsidR="00675D4D" w:rsidRPr="005640AA">
        <w:rPr>
          <w:rFonts w:ascii="Arial" w:hAnsi="Arial" w:cs="Arial"/>
        </w:rPr>
        <w:t xml:space="preserve">    in relation to Tonkolili, when the claims arose, that is during November 2017 and February 2018; and</w:t>
      </w:r>
    </w:p>
    <w:p w:rsidR="00675D4D" w:rsidRPr="005640AA" w:rsidRDefault="00BF0D6B" w:rsidP="005640AA">
      <w:pPr>
        <w:tabs>
          <w:tab w:val="left" w:pos="0"/>
          <w:tab w:val="left" w:pos="567"/>
          <w:tab w:val="left" w:pos="990"/>
        </w:tabs>
        <w:spacing w:line="360" w:lineRule="auto"/>
        <w:jc w:val="both"/>
        <w:rPr>
          <w:rFonts w:ascii="Arial" w:hAnsi="Arial" w:cs="Arial"/>
        </w:rPr>
      </w:pPr>
      <w:r>
        <w:rPr>
          <w:rFonts w:ascii="Arial" w:hAnsi="Arial" w:cs="Arial"/>
        </w:rPr>
        <w:t>(b)</w:t>
      </w:r>
      <w:r w:rsidR="00675D4D" w:rsidRPr="005640AA">
        <w:rPr>
          <w:rFonts w:ascii="Arial" w:hAnsi="Arial" w:cs="Arial"/>
        </w:rPr>
        <w:t xml:space="preserve">    in relation to </w:t>
      </w:r>
      <w:r w:rsidR="000023A2" w:rsidRPr="000023A2">
        <w:rPr>
          <w:rFonts w:ascii="Arial" w:hAnsi="Arial" w:cs="Arial"/>
        </w:rPr>
        <w:t>Shandong Haiyang</w:t>
      </w:r>
      <w:r w:rsidR="00616DC9" w:rsidRPr="005640AA">
        <w:rPr>
          <w:rFonts w:ascii="Arial" w:hAnsi="Arial" w:cs="Arial"/>
        </w:rPr>
        <w:t>,</w:t>
      </w:r>
      <w:r w:rsidR="00675D4D" w:rsidRPr="005640AA">
        <w:rPr>
          <w:rFonts w:ascii="Arial" w:hAnsi="Arial" w:cs="Arial"/>
        </w:rPr>
        <w:t xml:space="preserve"> when the action commenced</w:t>
      </w:r>
      <w:r w:rsidR="00616DC9" w:rsidRPr="005640AA">
        <w:rPr>
          <w:rFonts w:ascii="Arial" w:hAnsi="Arial" w:cs="Arial"/>
        </w:rPr>
        <w:t xml:space="preserve">, that is </w:t>
      </w:r>
      <w:r w:rsidR="00675D4D" w:rsidRPr="005640AA">
        <w:rPr>
          <w:rFonts w:ascii="Arial" w:hAnsi="Arial" w:cs="Arial"/>
        </w:rPr>
        <w:t>when the arrest was effected on 19 February 2020.</w:t>
      </w:r>
    </w:p>
    <w:p w:rsidR="00675D4D" w:rsidRPr="000A27D3" w:rsidRDefault="00675D4D" w:rsidP="00BF0D6B">
      <w:pPr>
        <w:pStyle w:val="ListParagraph"/>
        <w:tabs>
          <w:tab w:val="left" w:pos="0"/>
          <w:tab w:val="left" w:pos="567"/>
          <w:tab w:val="left" w:pos="990"/>
        </w:tabs>
        <w:spacing w:after="0" w:line="360" w:lineRule="auto"/>
        <w:ind w:left="792"/>
        <w:jc w:val="both"/>
        <w:rPr>
          <w:rFonts w:ascii="Arial" w:eastAsia="Times New Roman" w:hAnsi="Arial" w:cs="Arial"/>
          <w:sz w:val="24"/>
          <w:szCs w:val="24"/>
          <w:lang w:val="en-ZA"/>
        </w:rPr>
      </w:pPr>
    </w:p>
    <w:p w:rsidR="00BB36D3" w:rsidRPr="00696377" w:rsidRDefault="00696377" w:rsidP="00BF0D6B">
      <w:pPr>
        <w:tabs>
          <w:tab w:val="left" w:pos="0"/>
          <w:tab w:val="left" w:pos="567"/>
          <w:tab w:val="left" w:pos="990"/>
        </w:tabs>
        <w:spacing w:line="360" w:lineRule="auto"/>
        <w:jc w:val="both"/>
        <w:rPr>
          <w:rFonts w:ascii="Arial" w:hAnsi="Arial" w:cs="Arial"/>
        </w:rPr>
      </w:pPr>
      <w:r>
        <w:rPr>
          <w:rFonts w:ascii="Arial" w:hAnsi="Arial" w:cs="Arial"/>
          <w:lang w:val="en-GB"/>
        </w:rPr>
        <w:t>[43]</w:t>
      </w:r>
      <w:r>
        <w:rPr>
          <w:rFonts w:ascii="Arial" w:hAnsi="Arial" w:cs="Arial"/>
          <w:lang w:val="en-GB"/>
        </w:rPr>
        <w:tab/>
      </w:r>
      <w:r w:rsidR="00BB36D3" w:rsidRPr="00696377">
        <w:rPr>
          <w:rFonts w:ascii="Arial" w:hAnsi="Arial" w:cs="Arial"/>
          <w:lang w:val="en-GB"/>
        </w:rPr>
        <w:t>Having regard to Mr Peng’s concession above that SASAC is the actual controlling party of</w:t>
      </w:r>
      <w:r w:rsidR="00EC7DD0" w:rsidRPr="00696377">
        <w:rPr>
          <w:rFonts w:ascii="Arial" w:hAnsi="Arial" w:cs="Arial"/>
          <w:lang w:val="en-GB"/>
        </w:rPr>
        <w:t xml:space="preserve"> the defendant</w:t>
      </w:r>
      <w:r w:rsidR="00BB36D3" w:rsidRPr="00696377">
        <w:rPr>
          <w:rFonts w:ascii="Arial" w:hAnsi="Arial" w:cs="Arial"/>
          <w:lang w:val="en-GB"/>
        </w:rPr>
        <w:t xml:space="preserve"> </w:t>
      </w:r>
      <w:r w:rsidR="00B61933" w:rsidRPr="00696377">
        <w:rPr>
          <w:rFonts w:ascii="Arial" w:hAnsi="Arial" w:cs="Arial"/>
          <w:lang w:val="en-GB"/>
        </w:rPr>
        <w:t xml:space="preserve">as that reform </w:t>
      </w:r>
      <w:r w:rsidR="00F64894" w:rsidRPr="00696377">
        <w:rPr>
          <w:rFonts w:ascii="Arial" w:hAnsi="Arial" w:cs="Arial"/>
          <w:lang w:val="en-GB"/>
        </w:rPr>
        <w:t>appears to be</w:t>
      </w:r>
      <w:r w:rsidR="00BB36D3" w:rsidRPr="00696377">
        <w:rPr>
          <w:rFonts w:ascii="Arial" w:hAnsi="Arial" w:cs="Arial"/>
          <w:lang w:val="en-GB"/>
        </w:rPr>
        <w:t xml:space="preserve"> </w:t>
      </w:r>
      <w:r w:rsidR="00F64894" w:rsidRPr="00696377">
        <w:rPr>
          <w:rFonts w:ascii="Arial" w:hAnsi="Arial" w:cs="Arial"/>
          <w:lang w:val="en-GB"/>
        </w:rPr>
        <w:t>in</w:t>
      </w:r>
      <w:r w:rsidR="00BB36D3" w:rsidRPr="00696377">
        <w:rPr>
          <w:rFonts w:ascii="Arial" w:hAnsi="Arial" w:cs="Arial"/>
          <w:lang w:val="en-GB"/>
        </w:rPr>
        <w:t>complete</w:t>
      </w:r>
      <w:r w:rsidR="00F64894" w:rsidRPr="00696377">
        <w:rPr>
          <w:rFonts w:ascii="Arial" w:hAnsi="Arial" w:cs="Arial"/>
          <w:lang w:val="en-GB"/>
        </w:rPr>
        <w:t xml:space="preserve">, </w:t>
      </w:r>
      <w:r w:rsidR="00EC7DD0" w:rsidRPr="00696377">
        <w:rPr>
          <w:rFonts w:ascii="Arial" w:hAnsi="Arial" w:cs="Arial"/>
          <w:lang w:val="en-GB"/>
        </w:rPr>
        <w:t xml:space="preserve">the focus </w:t>
      </w:r>
      <w:r w:rsidR="00EA1213">
        <w:rPr>
          <w:rFonts w:ascii="Arial" w:hAnsi="Arial" w:cs="Arial"/>
          <w:lang w:val="en-GB"/>
        </w:rPr>
        <w:t>is</w:t>
      </w:r>
      <w:r w:rsidR="00EC7DD0" w:rsidRPr="00696377">
        <w:rPr>
          <w:rFonts w:ascii="Arial" w:hAnsi="Arial" w:cs="Arial"/>
          <w:lang w:val="en-GB"/>
        </w:rPr>
        <w:t xml:space="preserve"> on whether SASAC controls the destiny of Tonkolili</w:t>
      </w:r>
      <w:r w:rsidR="00BB36D3" w:rsidRPr="00696377">
        <w:rPr>
          <w:rFonts w:ascii="Arial" w:hAnsi="Arial" w:cs="Arial"/>
          <w:lang w:val="en-GB"/>
        </w:rPr>
        <w:t xml:space="preserve">.  </w:t>
      </w:r>
    </w:p>
    <w:p w:rsidR="00F64894" w:rsidRPr="00BB36D3" w:rsidRDefault="00F64894"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075ADC" w:rsidRPr="00696377" w:rsidRDefault="00696377" w:rsidP="00BF0D6B">
      <w:pPr>
        <w:tabs>
          <w:tab w:val="left" w:pos="0"/>
          <w:tab w:val="left" w:pos="567"/>
          <w:tab w:val="left" w:pos="990"/>
        </w:tabs>
        <w:spacing w:line="360" w:lineRule="auto"/>
        <w:jc w:val="both"/>
        <w:rPr>
          <w:rFonts w:ascii="Arial" w:hAnsi="Arial" w:cs="Arial"/>
        </w:rPr>
      </w:pPr>
      <w:r>
        <w:rPr>
          <w:rFonts w:ascii="Arial" w:hAnsi="Arial" w:cs="Arial"/>
          <w:lang w:val="en-GB"/>
        </w:rPr>
        <w:t>[44]</w:t>
      </w:r>
      <w:r>
        <w:rPr>
          <w:rFonts w:ascii="Arial" w:hAnsi="Arial" w:cs="Arial"/>
          <w:lang w:val="en-GB"/>
        </w:rPr>
        <w:tab/>
      </w:r>
      <w:r w:rsidR="00E675B7" w:rsidRPr="00696377">
        <w:rPr>
          <w:rFonts w:ascii="Arial" w:hAnsi="Arial" w:cs="Arial"/>
          <w:lang w:val="en-GB"/>
        </w:rPr>
        <w:t>Prior to the reform</w:t>
      </w:r>
      <w:r w:rsidR="00B61933" w:rsidRPr="00696377">
        <w:rPr>
          <w:rFonts w:ascii="Arial" w:hAnsi="Arial" w:cs="Arial"/>
          <w:lang w:val="en-GB"/>
        </w:rPr>
        <w:t>,</w:t>
      </w:r>
      <w:r w:rsidR="00E675B7" w:rsidRPr="00696377">
        <w:rPr>
          <w:rFonts w:ascii="Arial" w:hAnsi="Arial" w:cs="Arial"/>
          <w:lang w:val="en-GB"/>
        </w:rPr>
        <w:t xml:space="preserve"> SASAC controlled Tonkolili.  </w:t>
      </w:r>
      <w:r w:rsidR="00675D4D" w:rsidRPr="00696377">
        <w:rPr>
          <w:rFonts w:ascii="Arial" w:hAnsi="Arial" w:cs="Arial"/>
          <w:lang w:val="en-GB"/>
        </w:rPr>
        <w:t>T</w:t>
      </w:r>
      <w:r w:rsidR="00075ADC" w:rsidRPr="00696377">
        <w:rPr>
          <w:rFonts w:ascii="Arial" w:hAnsi="Arial" w:cs="Arial"/>
          <w:lang w:val="en-GB"/>
        </w:rPr>
        <w:t>o determine whether SASAC or SIS control</w:t>
      </w:r>
      <w:r w:rsidR="00675D4D" w:rsidRPr="00696377">
        <w:rPr>
          <w:rFonts w:ascii="Arial" w:hAnsi="Arial" w:cs="Arial"/>
          <w:lang w:val="en-GB"/>
        </w:rPr>
        <w:t>led</w:t>
      </w:r>
      <w:r w:rsidR="00075ADC" w:rsidRPr="00696377">
        <w:rPr>
          <w:rFonts w:ascii="Arial" w:hAnsi="Arial" w:cs="Arial"/>
          <w:lang w:val="en-GB"/>
        </w:rPr>
        <w:t xml:space="preserve"> the</w:t>
      </w:r>
      <w:r w:rsidR="00075ADC" w:rsidRPr="00696377">
        <w:rPr>
          <w:rFonts w:ascii="Arial" w:hAnsi="Arial" w:cs="Arial"/>
        </w:rPr>
        <w:t xml:space="preserve"> fate and destiny</w:t>
      </w:r>
      <w:r w:rsidR="00075ADC" w:rsidRPr="00696377">
        <w:rPr>
          <w:rFonts w:ascii="Arial" w:hAnsi="Arial" w:cs="Arial"/>
          <w:lang w:val="en-GB"/>
        </w:rPr>
        <w:t xml:space="preserve"> </w:t>
      </w:r>
      <w:r w:rsidR="00D373ED" w:rsidRPr="00696377">
        <w:rPr>
          <w:rFonts w:ascii="Arial" w:hAnsi="Arial" w:cs="Arial"/>
          <w:lang w:val="en-GB"/>
        </w:rPr>
        <w:t xml:space="preserve">of </w:t>
      </w:r>
      <w:r w:rsidR="00075ADC" w:rsidRPr="00696377">
        <w:rPr>
          <w:rFonts w:ascii="Arial" w:hAnsi="Arial" w:cs="Arial"/>
          <w:lang w:val="en-GB"/>
        </w:rPr>
        <w:t>Tonkoli</w:t>
      </w:r>
      <w:r w:rsidR="000C5B1D" w:rsidRPr="00696377">
        <w:rPr>
          <w:rFonts w:ascii="Arial" w:hAnsi="Arial" w:cs="Arial"/>
          <w:lang w:val="en-GB"/>
        </w:rPr>
        <w:t>l</w:t>
      </w:r>
      <w:r w:rsidR="00075ADC" w:rsidRPr="00696377">
        <w:rPr>
          <w:rFonts w:ascii="Arial" w:hAnsi="Arial" w:cs="Arial"/>
          <w:lang w:val="en-GB"/>
        </w:rPr>
        <w:t>i</w:t>
      </w:r>
      <w:r w:rsidR="00675D4D" w:rsidRPr="00696377">
        <w:rPr>
          <w:rFonts w:ascii="Arial" w:hAnsi="Arial" w:cs="Arial"/>
          <w:lang w:val="en-GB"/>
        </w:rPr>
        <w:t xml:space="preserve"> </w:t>
      </w:r>
      <w:r w:rsidR="00675D4D" w:rsidRPr="00696377">
        <w:rPr>
          <w:rFonts w:ascii="Arial" w:hAnsi="Arial" w:cs="Arial"/>
        </w:rPr>
        <w:t>during November 2017 and February 2018</w:t>
      </w:r>
      <w:r w:rsidR="00D373ED" w:rsidRPr="00696377">
        <w:rPr>
          <w:rFonts w:ascii="Arial" w:hAnsi="Arial" w:cs="Arial"/>
          <w:lang w:val="en-GB"/>
        </w:rPr>
        <w:t>,</w:t>
      </w:r>
      <w:r w:rsidR="00075ADC" w:rsidRPr="00696377">
        <w:rPr>
          <w:rFonts w:ascii="Arial" w:hAnsi="Arial" w:cs="Arial"/>
          <w:lang w:val="en-GB"/>
        </w:rPr>
        <w:t xml:space="preserve"> the court must determine what the reform </w:t>
      </w:r>
      <w:r w:rsidR="000C5B1D" w:rsidRPr="00696377">
        <w:rPr>
          <w:rFonts w:ascii="Arial" w:hAnsi="Arial" w:cs="Arial"/>
          <w:lang w:val="en-GB"/>
        </w:rPr>
        <w:t>wa</w:t>
      </w:r>
      <w:r w:rsidR="00D534BC" w:rsidRPr="00696377">
        <w:rPr>
          <w:rFonts w:ascii="Arial" w:hAnsi="Arial" w:cs="Arial"/>
          <w:lang w:val="en-GB"/>
        </w:rPr>
        <w:t>s</w:t>
      </w:r>
      <w:r w:rsidR="00D373ED" w:rsidRPr="00696377">
        <w:rPr>
          <w:rFonts w:ascii="Arial" w:hAnsi="Arial" w:cs="Arial"/>
          <w:lang w:val="en-GB"/>
        </w:rPr>
        <w:t>;</w:t>
      </w:r>
      <w:r w:rsidR="00075ADC" w:rsidRPr="00696377">
        <w:rPr>
          <w:rFonts w:ascii="Arial" w:hAnsi="Arial" w:cs="Arial"/>
          <w:lang w:val="en-GB"/>
        </w:rPr>
        <w:t xml:space="preserve"> whether </w:t>
      </w:r>
      <w:r w:rsidR="00D534BC" w:rsidRPr="00696377">
        <w:rPr>
          <w:rFonts w:ascii="Arial" w:hAnsi="Arial" w:cs="Arial"/>
          <w:lang w:val="en-GB"/>
        </w:rPr>
        <w:t>it</w:t>
      </w:r>
      <w:r w:rsidR="00075ADC" w:rsidRPr="00696377">
        <w:rPr>
          <w:rFonts w:ascii="Arial" w:hAnsi="Arial" w:cs="Arial"/>
          <w:lang w:val="en-GB"/>
        </w:rPr>
        <w:t xml:space="preserve"> resulted in a de</w:t>
      </w:r>
      <w:r w:rsidR="00EA1213">
        <w:rPr>
          <w:rFonts w:ascii="Arial" w:hAnsi="Arial" w:cs="Arial"/>
          <w:lang w:val="en-GB"/>
        </w:rPr>
        <w:t>volution</w:t>
      </w:r>
      <w:r w:rsidR="00075ADC" w:rsidRPr="00696377">
        <w:rPr>
          <w:rFonts w:ascii="Arial" w:hAnsi="Arial" w:cs="Arial"/>
          <w:lang w:val="en-GB"/>
        </w:rPr>
        <w:t xml:space="preserve"> of authority</w:t>
      </w:r>
      <w:r w:rsidR="00D373ED" w:rsidRPr="00696377">
        <w:rPr>
          <w:rFonts w:ascii="Arial" w:hAnsi="Arial" w:cs="Arial"/>
          <w:lang w:val="en-GB"/>
        </w:rPr>
        <w:t>; if so,</w:t>
      </w:r>
      <w:r w:rsidR="00075ADC" w:rsidRPr="00696377">
        <w:rPr>
          <w:rFonts w:ascii="Arial" w:hAnsi="Arial" w:cs="Arial"/>
          <w:lang w:val="en-GB"/>
        </w:rPr>
        <w:t xml:space="preserve"> what authority </w:t>
      </w:r>
      <w:r w:rsidR="00883625">
        <w:rPr>
          <w:rFonts w:ascii="Arial" w:hAnsi="Arial" w:cs="Arial"/>
          <w:lang w:val="en-GB"/>
        </w:rPr>
        <w:t>devolved</w:t>
      </w:r>
      <w:r w:rsidR="00B4006F" w:rsidRPr="00696377">
        <w:rPr>
          <w:rFonts w:ascii="Arial" w:hAnsi="Arial" w:cs="Arial"/>
          <w:lang w:val="en-GB"/>
        </w:rPr>
        <w:t xml:space="preserve"> and when</w:t>
      </w:r>
      <w:r w:rsidR="00D373ED" w:rsidRPr="00696377">
        <w:rPr>
          <w:rFonts w:ascii="Arial" w:hAnsi="Arial" w:cs="Arial"/>
          <w:lang w:val="en-GB"/>
        </w:rPr>
        <w:t>;</w:t>
      </w:r>
      <w:r w:rsidR="00075ADC" w:rsidRPr="00696377">
        <w:rPr>
          <w:rFonts w:ascii="Arial" w:hAnsi="Arial" w:cs="Arial"/>
          <w:lang w:val="en-GB"/>
        </w:rPr>
        <w:t xml:space="preserve"> whether the </w:t>
      </w:r>
      <w:r w:rsidR="00883625">
        <w:rPr>
          <w:rFonts w:ascii="Arial" w:hAnsi="Arial" w:cs="Arial"/>
          <w:lang w:val="en-GB"/>
        </w:rPr>
        <w:t>devolution</w:t>
      </w:r>
      <w:r w:rsidR="00883625" w:rsidRPr="00696377">
        <w:rPr>
          <w:rFonts w:ascii="Arial" w:hAnsi="Arial" w:cs="Arial"/>
          <w:lang w:val="en-GB"/>
        </w:rPr>
        <w:t xml:space="preserve"> </w:t>
      </w:r>
      <w:r w:rsidR="00075ADC" w:rsidRPr="00696377">
        <w:rPr>
          <w:rFonts w:ascii="Arial" w:hAnsi="Arial" w:cs="Arial"/>
          <w:lang w:val="en-GB"/>
        </w:rPr>
        <w:t>confer</w:t>
      </w:r>
      <w:r w:rsidR="000C5B1D" w:rsidRPr="00696377">
        <w:rPr>
          <w:rFonts w:ascii="Arial" w:hAnsi="Arial" w:cs="Arial"/>
          <w:lang w:val="en-GB"/>
        </w:rPr>
        <w:t>red</w:t>
      </w:r>
      <w:r w:rsidR="00075ADC" w:rsidRPr="00696377">
        <w:rPr>
          <w:rFonts w:ascii="Arial" w:hAnsi="Arial" w:cs="Arial"/>
          <w:lang w:val="en-GB"/>
        </w:rPr>
        <w:t xml:space="preserve"> the power to control the destiny of Tonk</w:t>
      </w:r>
      <w:r w:rsidR="007E1E56" w:rsidRPr="00696377">
        <w:rPr>
          <w:rFonts w:ascii="Arial" w:hAnsi="Arial" w:cs="Arial"/>
          <w:lang w:val="en-GB"/>
        </w:rPr>
        <w:t>o</w:t>
      </w:r>
      <w:r w:rsidR="00075ADC" w:rsidRPr="00696377">
        <w:rPr>
          <w:rFonts w:ascii="Arial" w:hAnsi="Arial" w:cs="Arial"/>
          <w:lang w:val="en-GB"/>
        </w:rPr>
        <w:t>lili</w:t>
      </w:r>
      <w:r w:rsidR="00D534BC" w:rsidRPr="00696377">
        <w:rPr>
          <w:rFonts w:ascii="Arial" w:hAnsi="Arial" w:cs="Arial"/>
          <w:lang w:val="en-GB"/>
        </w:rPr>
        <w:t>;</w:t>
      </w:r>
      <w:r w:rsidR="00075ADC" w:rsidRPr="00696377">
        <w:rPr>
          <w:rFonts w:ascii="Arial" w:hAnsi="Arial" w:cs="Arial"/>
          <w:lang w:val="en-GB"/>
        </w:rPr>
        <w:t xml:space="preserve"> </w:t>
      </w:r>
      <w:r w:rsidR="007E1E56" w:rsidRPr="00696377">
        <w:rPr>
          <w:rFonts w:ascii="Arial" w:hAnsi="Arial" w:cs="Arial"/>
          <w:lang w:val="en-GB"/>
        </w:rPr>
        <w:t xml:space="preserve">and </w:t>
      </w:r>
      <w:r w:rsidR="00075ADC" w:rsidRPr="00696377">
        <w:rPr>
          <w:rFonts w:ascii="Arial" w:hAnsi="Arial" w:cs="Arial"/>
          <w:lang w:val="en-GB"/>
        </w:rPr>
        <w:t xml:space="preserve">whether the </w:t>
      </w:r>
      <w:r w:rsidR="00883625">
        <w:rPr>
          <w:rFonts w:ascii="Arial" w:hAnsi="Arial" w:cs="Arial"/>
          <w:lang w:val="en-GB"/>
        </w:rPr>
        <w:t>devolution</w:t>
      </w:r>
      <w:r w:rsidR="00075ADC" w:rsidRPr="00696377">
        <w:rPr>
          <w:rFonts w:ascii="Arial" w:hAnsi="Arial" w:cs="Arial"/>
          <w:lang w:val="en-GB"/>
        </w:rPr>
        <w:t xml:space="preserve"> </w:t>
      </w:r>
      <w:r w:rsidR="000C5B1D" w:rsidRPr="00696377">
        <w:rPr>
          <w:rFonts w:ascii="Arial" w:hAnsi="Arial" w:cs="Arial"/>
          <w:lang w:val="en-GB"/>
        </w:rPr>
        <w:t>wa</w:t>
      </w:r>
      <w:r w:rsidR="00075ADC" w:rsidRPr="00696377">
        <w:rPr>
          <w:rFonts w:ascii="Arial" w:hAnsi="Arial" w:cs="Arial"/>
          <w:lang w:val="en-GB"/>
        </w:rPr>
        <w:t>s revocable</w:t>
      </w:r>
      <w:r w:rsidR="00B4006F" w:rsidRPr="00696377">
        <w:rPr>
          <w:rFonts w:ascii="Arial" w:hAnsi="Arial" w:cs="Arial"/>
          <w:lang w:val="en-GB"/>
        </w:rPr>
        <w:t xml:space="preserve">.  </w:t>
      </w:r>
      <w:r w:rsidR="00286EAA" w:rsidRPr="00696377">
        <w:rPr>
          <w:rFonts w:ascii="Arial" w:hAnsi="Arial" w:cs="Arial"/>
          <w:lang w:val="en-GB"/>
        </w:rPr>
        <w:t xml:space="preserve">Chronologically traversing the legislation and State Council documents </w:t>
      </w:r>
      <w:r w:rsidR="00D32434" w:rsidRPr="00696377">
        <w:rPr>
          <w:rFonts w:ascii="Arial" w:hAnsi="Arial" w:cs="Arial"/>
          <w:lang w:val="en-GB"/>
        </w:rPr>
        <w:t xml:space="preserve">would </w:t>
      </w:r>
      <w:r w:rsidR="00286EAA" w:rsidRPr="00696377">
        <w:rPr>
          <w:rFonts w:ascii="Arial" w:hAnsi="Arial" w:cs="Arial"/>
          <w:lang w:val="en-GB"/>
        </w:rPr>
        <w:t>clarif</w:t>
      </w:r>
      <w:r w:rsidR="00D32434" w:rsidRPr="00696377">
        <w:rPr>
          <w:rFonts w:ascii="Arial" w:hAnsi="Arial" w:cs="Arial"/>
          <w:lang w:val="en-GB"/>
        </w:rPr>
        <w:t>y</w:t>
      </w:r>
      <w:r w:rsidR="00286EAA" w:rsidRPr="00696377">
        <w:rPr>
          <w:rFonts w:ascii="Arial" w:hAnsi="Arial" w:cs="Arial"/>
          <w:lang w:val="en-GB"/>
        </w:rPr>
        <w:t xml:space="preserve"> the evolution of the reform.</w:t>
      </w:r>
    </w:p>
    <w:p w:rsidR="00A5317F" w:rsidRPr="00976FFD" w:rsidRDefault="00A5317F" w:rsidP="00BF0D6B">
      <w:pPr>
        <w:tabs>
          <w:tab w:val="left" w:pos="0"/>
          <w:tab w:val="left" w:pos="567"/>
          <w:tab w:val="left" w:pos="990"/>
        </w:tabs>
        <w:spacing w:line="360" w:lineRule="auto"/>
        <w:contextualSpacing/>
        <w:jc w:val="both"/>
        <w:rPr>
          <w:rFonts w:ascii="Arial" w:hAnsi="Arial" w:cs="Arial"/>
        </w:rPr>
      </w:pPr>
    </w:p>
    <w:p w:rsidR="006E1953" w:rsidRPr="00696377" w:rsidRDefault="00696377" w:rsidP="00BF0D6B">
      <w:pPr>
        <w:tabs>
          <w:tab w:val="left" w:pos="0"/>
          <w:tab w:val="left" w:pos="567"/>
          <w:tab w:val="left" w:pos="990"/>
        </w:tabs>
        <w:spacing w:line="360" w:lineRule="auto"/>
        <w:jc w:val="both"/>
        <w:rPr>
          <w:rFonts w:ascii="Arial" w:hAnsi="Arial" w:cs="Arial"/>
        </w:rPr>
      </w:pPr>
      <w:r>
        <w:rPr>
          <w:rFonts w:ascii="Arial" w:hAnsi="Arial" w:cs="Arial"/>
          <w:lang w:val="en-GB"/>
        </w:rPr>
        <w:t>[45]</w:t>
      </w:r>
      <w:r>
        <w:rPr>
          <w:rFonts w:ascii="Arial" w:hAnsi="Arial" w:cs="Arial"/>
          <w:lang w:val="en-GB"/>
        </w:rPr>
        <w:tab/>
      </w:r>
      <w:r w:rsidR="007E1E56" w:rsidRPr="00696377">
        <w:rPr>
          <w:rFonts w:ascii="Arial" w:hAnsi="Arial" w:cs="Arial"/>
          <w:lang w:val="en-GB"/>
        </w:rPr>
        <w:t xml:space="preserve">The </w:t>
      </w:r>
      <w:r w:rsidR="00A5317F" w:rsidRPr="00696377">
        <w:rPr>
          <w:rFonts w:ascii="Arial" w:hAnsi="Arial" w:cs="Arial"/>
          <w:lang w:val="en-GB"/>
        </w:rPr>
        <w:t>Decision of the First Session of the Tenth National People’s Congress on the Plan for Restructuring the State Council (effective date 10 March 2003)</w:t>
      </w:r>
      <w:r w:rsidR="00F00BB0">
        <w:rPr>
          <w:rFonts w:ascii="Arial" w:hAnsi="Arial" w:cs="Arial"/>
          <w:lang w:val="en-GB"/>
        </w:rPr>
        <w:t xml:space="preserve"> (‘the Decision’)</w:t>
      </w:r>
      <w:r w:rsidR="00A5317F" w:rsidRPr="00696377">
        <w:rPr>
          <w:rFonts w:ascii="Arial" w:hAnsi="Arial" w:cs="Arial"/>
          <w:lang w:val="en-GB"/>
        </w:rPr>
        <w:t xml:space="preserve"> records that:</w:t>
      </w:r>
    </w:p>
    <w:p w:rsidR="007E1E56" w:rsidRPr="00D32434" w:rsidRDefault="005022D6" w:rsidP="00BF0D6B">
      <w:pPr>
        <w:pStyle w:val="ListParagraph"/>
        <w:tabs>
          <w:tab w:val="left" w:pos="0"/>
          <w:tab w:val="left" w:pos="990"/>
        </w:tabs>
        <w:spacing w:after="0" w:line="360" w:lineRule="auto"/>
        <w:ind w:left="0"/>
        <w:jc w:val="both"/>
        <w:rPr>
          <w:rFonts w:ascii="Arial" w:eastAsia="Times New Roman" w:hAnsi="Arial" w:cs="Arial"/>
          <w:lang w:val="en-GB"/>
        </w:rPr>
      </w:pPr>
      <w:r>
        <w:rPr>
          <w:rFonts w:ascii="Arial" w:eastAsia="Times New Roman" w:hAnsi="Arial" w:cs="Arial"/>
          <w:lang w:val="en-GB"/>
        </w:rPr>
        <w:t>‘</w:t>
      </w:r>
      <w:r w:rsidR="00A5317F" w:rsidRPr="007E1E56">
        <w:rPr>
          <w:rFonts w:ascii="Arial" w:eastAsia="Times New Roman" w:hAnsi="Arial" w:cs="Arial"/>
          <w:lang w:val="en-GB"/>
        </w:rPr>
        <w:t>[T]he current tasks of the State Council for restructuring are chiefly … [t]o deepen the structural reform of State-owned assets administr</w:t>
      </w:r>
      <w:r>
        <w:rPr>
          <w:rFonts w:ascii="Arial" w:eastAsia="Times New Roman" w:hAnsi="Arial" w:cs="Arial"/>
          <w:lang w:val="en-GB"/>
        </w:rPr>
        <w:t>ation, by establishing a State-</w:t>
      </w:r>
      <w:r w:rsidR="00A5317F" w:rsidRPr="007E1E56">
        <w:rPr>
          <w:rFonts w:ascii="Arial" w:eastAsia="Times New Roman" w:hAnsi="Arial" w:cs="Arial"/>
          <w:lang w:val="en-GB"/>
        </w:rPr>
        <w:t>owned Assets Supervision and Administration Com</w:t>
      </w:r>
      <w:r>
        <w:rPr>
          <w:rFonts w:ascii="Arial" w:eastAsia="Times New Roman" w:hAnsi="Arial" w:cs="Arial"/>
          <w:lang w:val="en-GB"/>
        </w:rPr>
        <w:t>mission under the State Council.’</w:t>
      </w:r>
      <w:r w:rsidR="00A5317F" w:rsidRPr="007E1E56">
        <w:rPr>
          <w:rStyle w:val="FootnoteReference"/>
          <w:rFonts w:ascii="Arial" w:eastAsia="Times New Roman" w:hAnsi="Arial" w:cs="Arial"/>
          <w:lang w:val="en-GB"/>
        </w:rPr>
        <w:footnoteReference w:id="21"/>
      </w:r>
      <w:r w:rsidR="00A5317F" w:rsidRPr="007E1E56">
        <w:rPr>
          <w:rFonts w:ascii="Arial" w:eastAsia="Times New Roman" w:hAnsi="Arial" w:cs="Arial"/>
          <w:lang w:val="en-GB"/>
        </w:rPr>
        <w:t xml:space="preserve"> </w:t>
      </w:r>
    </w:p>
    <w:p w:rsidR="00A5317F" w:rsidRPr="007E1E56" w:rsidRDefault="006E1953"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r w:rsidRPr="007E1E56">
        <w:rPr>
          <w:rFonts w:ascii="Arial" w:eastAsia="Times New Roman" w:hAnsi="Arial" w:cs="Arial"/>
          <w:sz w:val="24"/>
          <w:szCs w:val="24"/>
          <w:lang w:val="en-GB"/>
        </w:rPr>
        <w:t xml:space="preserve">At </w:t>
      </w:r>
      <w:r w:rsidR="00D32434">
        <w:rPr>
          <w:rFonts w:ascii="Arial" w:eastAsia="Times New Roman" w:hAnsi="Arial" w:cs="Arial"/>
          <w:sz w:val="24"/>
          <w:szCs w:val="24"/>
          <w:lang w:val="en-GB"/>
        </w:rPr>
        <w:t xml:space="preserve">the </w:t>
      </w:r>
      <w:r w:rsidRPr="007E1E56">
        <w:rPr>
          <w:rFonts w:ascii="Arial" w:eastAsia="Times New Roman" w:hAnsi="Arial" w:cs="Arial"/>
          <w:sz w:val="24"/>
          <w:szCs w:val="24"/>
          <w:lang w:val="en-GB"/>
        </w:rPr>
        <w:t>national level of reform, t</w:t>
      </w:r>
      <w:r w:rsidR="00A5317F" w:rsidRPr="007E1E56">
        <w:rPr>
          <w:rFonts w:ascii="Arial" w:eastAsia="Times New Roman" w:hAnsi="Arial" w:cs="Arial"/>
          <w:sz w:val="24"/>
          <w:szCs w:val="24"/>
          <w:lang w:val="en-GB"/>
        </w:rPr>
        <w:t xml:space="preserve">his </w:t>
      </w:r>
      <w:r w:rsidR="00D32434">
        <w:rPr>
          <w:rFonts w:ascii="Arial" w:eastAsia="Times New Roman" w:hAnsi="Arial" w:cs="Arial"/>
          <w:sz w:val="24"/>
          <w:szCs w:val="24"/>
          <w:lang w:val="en-GB"/>
        </w:rPr>
        <w:t xml:space="preserve">Decision </w:t>
      </w:r>
      <w:r w:rsidRPr="007E1E56">
        <w:rPr>
          <w:rFonts w:ascii="Arial" w:eastAsia="Times New Roman" w:hAnsi="Arial" w:cs="Arial"/>
          <w:sz w:val="24"/>
          <w:szCs w:val="24"/>
          <w:lang w:val="en-GB"/>
        </w:rPr>
        <w:t>lays the ground for establishing</w:t>
      </w:r>
      <w:r w:rsidR="00A5317F" w:rsidRPr="007E1E56">
        <w:rPr>
          <w:rFonts w:ascii="Arial" w:eastAsia="Times New Roman" w:hAnsi="Arial" w:cs="Arial"/>
          <w:sz w:val="24"/>
          <w:szCs w:val="24"/>
          <w:lang w:val="en-GB"/>
        </w:rPr>
        <w:t xml:space="preserve"> SASAC.</w:t>
      </w:r>
    </w:p>
    <w:p w:rsidR="00A5317F" w:rsidRPr="00976FFD" w:rsidRDefault="00A5317F" w:rsidP="00BF0D6B">
      <w:pPr>
        <w:tabs>
          <w:tab w:val="left" w:pos="0"/>
          <w:tab w:val="left" w:pos="990"/>
        </w:tabs>
        <w:spacing w:line="360" w:lineRule="auto"/>
        <w:contextualSpacing/>
        <w:jc w:val="both"/>
        <w:rPr>
          <w:rFonts w:ascii="Arial" w:hAnsi="Arial" w:cs="Arial"/>
          <w:lang w:val="en-GB"/>
        </w:rPr>
      </w:pPr>
    </w:p>
    <w:p w:rsidR="006C3B0A" w:rsidRPr="00696377" w:rsidRDefault="00696377" w:rsidP="00BF0D6B">
      <w:pPr>
        <w:tabs>
          <w:tab w:val="left" w:pos="0"/>
          <w:tab w:val="left" w:pos="567"/>
        </w:tabs>
        <w:spacing w:line="360" w:lineRule="auto"/>
        <w:jc w:val="both"/>
        <w:rPr>
          <w:rFonts w:ascii="Arial" w:hAnsi="Arial" w:cs="Arial"/>
          <w:lang w:val="en-GB"/>
        </w:rPr>
      </w:pPr>
      <w:r>
        <w:rPr>
          <w:rFonts w:ascii="Arial" w:hAnsi="Arial" w:cs="Arial"/>
          <w:lang w:val="en-GB"/>
        </w:rPr>
        <w:t>[46]</w:t>
      </w:r>
      <w:r>
        <w:rPr>
          <w:rFonts w:ascii="Arial" w:hAnsi="Arial" w:cs="Arial"/>
          <w:lang w:val="en-GB"/>
        </w:rPr>
        <w:tab/>
      </w:r>
      <w:r w:rsidR="008A4AE6" w:rsidRPr="00696377">
        <w:rPr>
          <w:rFonts w:ascii="Arial" w:hAnsi="Arial" w:cs="Arial"/>
          <w:lang w:val="en-GB"/>
        </w:rPr>
        <w:t>In 2009</w:t>
      </w:r>
      <w:r w:rsidR="006E1953" w:rsidRPr="00696377">
        <w:rPr>
          <w:rFonts w:ascii="Arial" w:hAnsi="Arial" w:cs="Arial"/>
          <w:lang w:val="en-GB"/>
        </w:rPr>
        <w:t>,</w:t>
      </w:r>
      <w:r w:rsidR="008A4AE6" w:rsidRPr="00696377">
        <w:rPr>
          <w:rFonts w:ascii="Arial" w:hAnsi="Arial" w:cs="Arial"/>
          <w:lang w:val="en-GB"/>
        </w:rPr>
        <w:t xml:space="preserve"> t</w:t>
      </w:r>
      <w:r w:rsidR="00A5317F" w:rsidRPr="00696377">
        <w:rPr>
          <w:rFonts w:ascii="Arial" w:hAnsi="Arial" w:cs="Arial"/>
          <w:lang w:val="en-GB"/>
        </w:rPr>
        <w:t xml:space="preserve">he </w:t>
      </w:r>
      <w:r w:rsidR="008A4AE6" w:rsidRPr="00696377">
        <w:rPr>
          <w:rFonts w:ascii="Arial" w:hAnsi="Arial" w:cs="Arial"/>
          <w:lang w:val="en-GB"/>
        </w:rPr>
        <w:t xml:space="preserve">Central Committee </w:t>
      </w:r>
      <w:r w:rsidR="00A5317F" w:rsidRPr="00696377">
        <w:rPr>
          <w:rFonts w:ascii="Arial" w:hAnsi="Arial" w:cs="Arial"/>
          <w:lang w:val="en-GB"/>
        </w:rPr>
        <w:t xml:space="preserve">of the Chinese Communist </w:t>
      </w:r>
      <w:r w:rsidR="008A4AE6" w:rsidRPr="00696377">
        <w:rPr>
          <w:rFonts w:ascii="Arial" w:hAnsi="Arial" w:cs="Arial"/>
          <w:lang w:val="en-GB"/>
        </w:rPr>
        <w:t>P</w:t>
      </w:r>
      <w:r w:rsidR="00A5317F" w:rsidRPr="00696377">
        <w:rPr>
          <w:rFonts w:ascii="Arial" w:hAnsi="Arial" w:cs="Arial"/>
          <w:lang w:val="en-GB"/>
        </w:rPr>
        <w:t xml:space="preserve">arty and the State Council approved the </w:t>
      </w:r>
      <w:r w:rsidR="008A4AE6" w:rsidRPr="00696377">
        <w:rPr>
          <w:rFonts w:ascii="Arial" w:hAnsi="Arial" w:cs="Arial"/>
          <w:lang w:val="en-GB"/>
        </w:rPr>
        <w:t>P</w:t>
      </w:r>
      <w:r w:rsidR="00A5317F" w:rsidRPr="00696377">
        <w:rPr>
          <w:rFonts w:ascii="Arial" w:hAnsi="Arial" w:cs="Arial"/>
          <w:lang w:val="en-GB"/>
        </w:rPr>
        <w:t xml:space="preserve">lan for </w:t>
      </w:r>
      <w:r w:rsidR="008A4AE6" w:rsidRPr="00696377">
        <w:rPr>
          <w:rFonts w:ascii="Arial" w:hAnsi="Arial" w:cs="Arial"/>
          <w:lang w:val="en-GB"/>
        </w:rPr>
        <w:t>R</w:t>
      </w:r>
      <w:r w:rsidR="00A5317F" w:rsidRPr="00696377">
        <w:rPr>
          <w:rFonts w:ascii="Arial" w:hAnsi="Arial" w:cs="Arial"/>
          <w:lang w:val="en-GB"/>
        </w:rPr>
        <w:t xml:space="preserve">estructuring the Shandong </w:t>
      </w:r>
      <w:r w:rsidR="008A4AE6" w:rsidRPr="00696377">
        <w:rPr>
          <w:rFonts w:ascii="Arial" w:hAnsi="Arial" w:cs="Arial"/>
          <w:lang w:val="en-GB"/>
        </w:rPr>
        <w:t>Provincial People's Go</w:t>
      </w:r>
      <w:r w:rsidR="00A5317F" w:rsidRPr="00696377">
        <w:rPr>
          <w:rFonts w:ascii="Arial" w:hAnsi="Arial" w:cs="Arial"/>
          <w:lang w:val="en-GB"/>
        </w:rPr>
        <w:t>vernment</w:t>
      </w:r>
      <w:r w:rsidR="00E43C3A">
        <w:rPr>
          <w:rFonts w:ascii="Arial" w:hAnsi="Arial" w:cs="Arial"/>
          <w:lang w:val="en-GB"/>
        </w:rPr>
        <w:t xml:space="preserve"> (the ‘</w:t>
      </w:r>
      <w:r w:rsidR="007E1E56" w:rsidRPr="00696377">
        <w:rPr>
          <w:rFonts w:ascii="Arial" w:hAnsi="Arial" w:cs="Arial"/>
          <w:lang w:val="en-GB"/>
        </w:rPr>
        <w:t xml:space="preserve">Plan for </w:t>
      </w:r>
      <w:r w:rsidR="009768AB" w:rsidRPr="00696377">
        <w:rPr>
          <w:rFonts w:ascii="Arial" w:hAnsi="Arial" w:cs="Arial"/>
          <w:lang w:val="en-GB"/>
        </w:rPr>
        <w:t>Province</w:t>
      </w:r>
      <w:r w:rsidR="00E43C3A">
        <w:rPr>
          <w:rFonts w:ascii="Arial" w:hAnsi="Arial" w:cs="Arial"/>
          <w:lang w:val="en-GB"/>
        </w:rPr>
        <w:t>’</w:t>
      </w:r>
      <w:r w:rsidR="007E1E56" w:rsidRPr="00696377">
        <w:rPr>
          <w:rFonts w:ascii="Arial" w:hAnsi="Arial" w:cs="Arial"/>
          <w:lang w:val="en-GB"/>
        </w:rPr>
        <w:t>)</w:t>
      </w:r>
      <w:r w:rsidR="008A4AE6" w:rsidRPr="00696377">
        <w:rPr>
          <w:rFonts w:ascii="Arial" w:hAnsi="Arial" w:cs="Arial"/>
          <w:lang w:val="en-GB"/>
        </w:rPr>
        <w:t>.</w:t>
      </w:r>
      <w:r w:rsidR="007E1E56" w:rsidRPr="00696377">
        <w:rPr>
          <w:rFonts w:ascii="Arial" w:hAnsi="Arial" w:cs="Arial"/>
          <w:lang w:val="en-GB"/>
        </w:rPr>
        <w:t xml:space="preserve"> </w:t>
      </w:r>
      <w:r w:rsidR="008A4AE6" w:rsidRPr="00696377">
        <w:rPr>
          <w:rFonts w:ascii="Arial" w:hAnsi="Arial" w:cs="Arial"/>
          <w:lang w:val="en-GB"/>
        </w:rPr>
        <w:t xml:space="preserve"> </w:t>
      </w:r>
      <w:r w:rsidR="009768AB" w:rsidRPr="00696377">
        <w:rPr>
          <w:rFonts w:ascii="Arial" w:hAnsi="Arial" w:cs="Arial"/>
          <w:lang w:val="en-GB"/>
        </w:rPr>
        <w:t xml:space="preserve">It records that </w:t>
      </w:r>
      <w:r w:rsidR="00A5317F" w:rsidRPr="00696377">
        <w:rPr>
          <w:rFonts w:ascii="Arial" w:hAnsi="Arial" w:cs="Arial"/>
          <w:lang w:val="en-GB"/>
        </w:rPr>
        <w:t xml:space="preserve">SASAC was established under the Provincial Peoples’ Government. </w:t>
      </w:r>
      <w:r w:rsidR="00D32434" w:rsidRPr="00696377">
        <w:rPr>
          <w:rFonts w:ascii="Arial" w:hAnsi="Arial" w:cs="Arial"/>
          <w:lang w:val="en-GB"/>
        </w:rPr>
        <w:t xml:space="preserve"> </w:t>
      </w:r>
      <w:r w:rsidR="009768AB" w:rsidRPr="00696377">
        <w:rPr>
          <w:rFonts w:ascii="Arial" w:hAnsi="Arial" w:cs="Arial"/>
          <w:lang w:val="en-GB"/>
        </w:rPr>
        <w:t>Furthermore, t</w:t>
      </w:r>
      <w:r w:rsidR="00A5317F" w:rsidRPr="00696377">
        <w:rPr>
          <w:rFonts w:ascii="Arial" w:hAnsi="Arial" w:cs="Arial"/>
          <w:lang w:val="en-GB"/>
        </w:rPr>
        <w:t xml:space="preserve">he </w:t>
      </w:r>
      <w:r w:rsidR="0045767E" w:rsidRPr="00696377">
        <w:rPr>
          <w:rFonts w:ascii="Arial" w:hAnsi="Arial" w:cs="Arial"/>
          <w:lang w:val="en-GB"/>
        </w:rPr>
        <w:t>Party C</w:t>
      </w:r>
      <w:r w:rsidR="00A5317F" w:rsidRPr="00696377">
        <w:rPr>
          <w:rFonts w:ascii="Arial" w:hAnsi="Arial" w:cs="Arial"/>
          <w:lang w:val="en-GB"/>
        </w:rPr>
        <w:t xml:space="preserve">ommittee of </w:t>
      </w:r>
      <w:r w:rsidR="0045767E" w:rsidRPr="00696377">
        <w:rPr>
          <w:rFonts w:ascii="Arial" w:hAnsi="Arial" w:cs="Arial"/>
          <w:lang w:val="en-GB"/>
        </w:rPr>
        <w:t>SASAC</w:t>
      </w:r>
      <w:r w:rsidR="00A5317F" w:rsidRPr="00696377">
        <w:rPr>
          <w:rFonts w:ascii="Arial" w:hAnsi="Arial" w:cs="Arial"/>
          <w:lang w:val="en-GB"/>
        </w:rPr>
        <w:t xml:space="preserve"> performs the duties prescribed by the </w:t>
      </w:r>
      <w:r w:rsidR="0045767E" w:rsidRPr="00696377">
        <w:rPr>
          <w:rFonts w:ascii="Arial" w:hAnsi="Arial" w:cs="Arial"/>
          <w:lang w:val="en-GB"/>
        </w:rPr>
        <w:t>Provincial Party Committee</w:t>
      </w:r>
      <w:r w:rsidR="00A5317F" w:rsidRPr="00696377">
        <w:rPr>
          <w:rFonts w:ascii="Arial" w:hAnsi="Arial" w:cs="Arial"/>
          <w:lang w:val="en-GB"/>
        </w:rPr>
        <w:t>.</w:t>
      </w:r>
      <w:r w:rsidR="00C83657">
        <w:rPr>
          <w:rStyle w:val="FootnoteReference"/>
          <w:rFonts w:ascii="Arial" w:hAnsi="Arial" w:cs="Arial"/>
          <w:lang w:val="en-GB"/>
        </w:rPr>
        <w:footnoteReference w:id="22"/>
      </w:r>
      <w:r w:rsidR="00A5317F" w:rsidRPr="00696377">
        <w:rPr>
          <w:rFonts w:ascii="Arial" w:hAnsi="Arial" w:cs="Arial"/>
          <w:lang w:val="en-GB"/>
        </w:rPr>
        <w:t xml:space="preserve"> </w:t>
      </w:r>
    </w:p>
    <w:p w:rsidR="006C3B0A" w:rsidRDefault="006C3B0A"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p>
    <w:p w:rsidR="000D1F03" w:rsidRPr="00696377" w:rsidRDefault="00696377" w:rsidP="00BF0D6B">
      <w:pPr>
        <w:tabs>
          <w:tab w:val="left" w:pos="0"/>
        </w:tabs>
        <w:spacing w:line="360" w:lineRule="auto"/>
        <w:jc w:val="both"/>
        <w:rPr>
          <w:rFonts w:ascii="Arial" w:hAnsi="Arial" w:cs="Arial"/>
          <w:lang w:val="en-GB"/>
        </w:rPr>
      </w:pPr>
      <w:r>
        <w:rPr>
          <w:rFonts w:ascii="Arial" w:hAnsi="Arial" w:cs="Arial"/>
          <w:lang w:val="en-GB"/>
        </w:rPr>
        <w:t>[47]</w:t>
      </w:r>
      <w:r>
        <w:rPr>
          <w:rFonts w:ascii="Arial" w:hAnsi="Arial" w:cs="Arial"/>
          <w:lang w:val="en-GB"/>
        </w:rPr>
        <w:tab/>
      </w:r>
      <w:r w:rsidR="006C3B0A" w:rsidRPr="00696377">
        <w:rPr>
          <w:rFonts w:ascii="Arial" w:hAnsi="Arial" w:cs="Arial"/>
          <w:lang w:val="en-GB"/>
        </w:rPr>
        <w:t>Article 6 of the PRC Law on SOEs effective from 1 January 2009</w:t>
      </w:r>
      <w:r w:rsidR="00E43C3A">
        <w:rPr>
          <w:rFonts w:ascii="Arial" w:hAnsi="Arial" w:cs="Arial"/>
          <w:lang w:val="en-GB"/>
        </w:rPr>
        <w:t>:</w:t>
      </w:r>
    </w:p>
    <w:p w:rsidR="000D1F03" w:rsidRDefault="00E43C3A" w:rsidP="00BF0D6B">
      <w:pPr>
        <w:tabs>
          <w:tab w:val="left" w:pos="0"/>
          <w:tab w:val="left" w:pos="990"/>
        </w:tabs>
        <w:spacing w:line="360" w:lineRule="auto"/>
        <w:jc w:val="both"/>
        <w:rPr>
          <w:rFonts w:ascii="Arial" w:hAnsi="Arial" w:cs="Arial"/>
          <w:lang w:val="en-GB"/>
        </w:rPr>
      </w:pPr>
      <w:r>
        <w:rPr>
          <w:rFonts w:ascii="Arial" w:hAnsi="Arial" w:cs="Arial"/>
          <w:lang w:val="en-GB"/>
        </w:rPr>
        <w:t xml:space="preserve">‘. . . </w:t>
      </w:r>
      <w:r w:rsidR="006C3B0A" w:rsidRPr="000D1F03">
        <w:rPr>
          <w:rFonts w:ascii="Arial" w:hAnsi="Arial" w:cs="Arial"/>
          <w:lang w:val="en-GB"/>
        </w:rPr>
        <w:t>requires government to perform the duties of a contributor in acco</w:t>
      </w:r>
      <w:r w:rsidR="003C3058">
        <w:rPr>
          <w:rFonts w:ascii="Arial" w:hAnsi="Arial" w:cs="Arial"/>
          <w:lang w:val="en-GB"/>
        </w:rPr>
        <w:t>rdance with the principles of “</w:t>
      </w:r>
      <w:r w:rsidR="006C3B0A" w:rsidRPr="000D1F03">
        <w:rPr>
          <w:rFonts w:ascii="Arial" w:hAnsi="Arial" w:cs="Arial"/>
          <w:lang w:val="en-GB"/>
        </w:rPr>
        <w:t>the separation of the functions of the government from those of enterprises, and the separation of public administrative functions from the functions of state-owned ass</w:t>
      </w:r>
      <w:r>
        <w:rPr>
          <w:rFonts w:ascii="Arial" w:hAnsi="Arial" w:cs="Arial"/>
          <w:lang w:val="en-GB"/>
        </w:rPr>
        <w:t>et investors.</w:t>
      </w:r>
      <w:r w:rsidR="003C3058">
        <w:rPr>
          <w:rFonts w:ascii="Arial" w:hAnsi="Arial" w:cs="Arial"/>
          <w:lang w:val="en-GB"/>
        </w:rPr>
        <w:t>”’</w:t>
      </w:r>
    </w:p>
    <w:p w:rsidR="00075ADC" w:rsidRPr="000D1F03" w:rsidRDefault="006C3B0A" w:rsidP="00BF0D6B">
      <w:pPr>
        <w:tabs>
          <w:tab w:val="left" w:pos="0"/>
          <w:tab w:val="left" w:pos="990"/>
        </w:tabs>
        <w:spacing w:line="360" w:lineRule="auto"/>
        <w:jc w:val="both"/>
        <w:rPr>
          <w:rFonts w:ascii="Arial" w:hAnsi="Arial" w:cs="Arial"/>
          <w:lang w:val="en-GB"/>
        </w:rPr>
      </w:pPr>
      <w:r w:rsidRPr="000D1F03">
        <w:rPr>
          <w:rFonts w:ascii="Arial" w:hAnsi="Arial" w:cs="Arial"/>
          <w:lang w:val="en-GB"/>
        </w:rPr>
        <w:t xml:space="preserve">Effectively, Article 6 lays the </w:t>
      </w:r>
      <w:r w:rsidR="00C41EE5" w:rsidRPr="000D1F03">
        <w:rPr>
          <w:rFonts w:ascii="Arial" w:hAnsi="Arial" w:cs="Arial"/>
          <w:lang w:val="en-GB"/>
        </w:rPr>
        <w:t>statutory ground for decoupling administrative functions from investor functions.</w:t>
      </w:r>
    </w:p>
    <w:p w:rsidR="006C3B0A" w:rsidRPr="006C3B0A" w:rsidRDefault="006C3B0A"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p>
    <w:p w:rsidR="00BD1EE2" w:rsidRPr="00696377" w:rsidRDefault="00696377" w:rsidP="00BF0D6B">
      <w:pPr>
        <w:tabs>
          <w:tab w:val="left" w:pos="0"/>
        </w:tabs>
        <w:spacing w:line="360" w:lineRule="auto"/>
        <w:jc w:val="both"/>
        <w:rPr>
          <w:rFonts w:ascii="Arial" w:hAnsi="Arial" w:cs="Arial"/>
          <w:lang w:val="en-GB"/>
        </w:rPr>
      </w:pPr>
      <w:r>
        <w:rPr>
          <w:rFonts w:ascii="Arial" w:hAnsi="Arial" w:cs="Arial"/>
          <w:lang w:val="en-GB"/>
        </w:rPr>
        <w:t>[48]</w:t>
      </w:r>
      <w:r>
        <w:rPr>
          <w:rFonts w:ascii="Arial" w:hAnsi="Arial" w:cs="Arial"/>
          <w:lang w:val="en-GB"/>
        </w:rPr>
        <w:tab/>
      </w:r>
      <w:r w:rsidR="00695E35" w:rsidRPr="00696377">
        <w:rPr>
          <w:rFonts w:ascii="Arial" w:hAnsi="Arial" w:cs="Arial"/>
          <w:lang w:val="en-GB"/>
        </w:rPr>
        <w:t xml:space="preserve">Article 11 of the </w:t>
      </w:r>
      <w:r w:rsidR="008948CC" w:rsidRPr="00696377">
        <w:rPr>
          <w:rFonts w:ascii="Arial" w:hAnsi="Arial" w:cs="Arial"/>
          <w:lang w:val="en-GB"/>
        </w:rPr>
        <w:t xml:space="preserve">PRC Law on SOEs </w:t>
      </w:r>
      <w:r w:rsidR="006F5E0A" w:rsidRPr="00696377">
        <w:rPr>
          <w:rFonts w:ascii="Arial" w:hAnsi="Arial" w:cs="Arial"/>
          <w:lang w:val="en-GB"/>
        </w:rPr>
        <w:t xml:space="preserve">advances the decoupling by </w:t>
      </w:r>
      <w:r w:rsidR="00C41EE5" w:rsidRPr="00696377">
        <w:rPr>
          <w:rFonts w:ascii="Arial" w:hAnsi="Arial" w:cs="Arial"/>
          <w:lang w:val="en-GB"/>
        </w:rPr>
        <w:t>anticipat</w:t>
      </w:r>
      <w:r w:rsidR="006F5E0A" w:rsidRPr="00696377">
        <w:rPr>
          <w:rFonts w:ascii="Arial" w:hAnsi="Arial" w:cs="Arial"/>
          <w:lang w:val="en-GB"/>
        </w:rPr>
        <w:t>ing</w:t>
      </w:r>
      <w:r w:rsidR="00C41EE5" w:rsidRPr="00696377">
        <w:rPr>
          <w:rFonts w:ascii="Arial" w:hAnsi="Arial" w:cs="Arial"/>
          <w:lang w:val="en-GB"/>
        </w:rPr>
        <w:t xml:space="preserve"> a delegation of contributor’s functions</w:t>
      </w:r>
      <w:r w:rsidR="00CD38A6" w:rsidRPr="00696377">
        <w:rPr>
          <w:rFonts w:ascii="Arial" w:hAnsi="Arial" w:cs="Arial"/>
          <w:lang w:val="en-GB"/>
        </w:rPr>
        <w:t xml:space="preserve"> as follows: </w:t>
      </w:r>
    </w:p>
    <w:p w:rsidR="000E488B" w:rsidRDefault="00575D0C"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GB"/>
        </w:rPr>
      </w:pPr>
      <w:r>
        <w:rPr>
          <w:rFonts w:ascii="Arial" w:eastAsia="Times New Roman" w:hAnsi="Arial" w:cs="Arial"/>
          <w:lang w:val="en-GB"/>
        </w:rPr>
        <w:t>‘</w:t>
      </w:r>
      <w:r w:rsidR="009D37CA" w:rsidRPr="000D1F03">
        <w:rPr>
          <w:rFonts w:ascii="Arial" w:eastAsia="Times New Roman" w:hAnsi="Arial" w:cs="Arial"/>
          <w:lang w:val="en-GB"/>
        </w:rPr>
        <w:t>T</w:t>
      </w:r>
      <w:r w:rsidR="00695E35" w:rsidRPr="000D1F03">
        <w:rPr>
          <w:rFonts w:ascii="Arial" w:eastAsia="Times New Roman" w:hAnsi="Arial" w:cs="Arial"/>
          <w:lang w:val="en-GB"/>
        </w:rPr>
        <w:t>he state</w:t>
      </w:r>
      <w:r w:rsidR="009D37CA" w:rsidRPr="000D1F03">
        <w:rPr>
          <w:rFonts w:ascii="Arial" w:eastAsia="Times New Roman" w:hAnsi="Arial" w:cs="Arial"/>
          <w:lang w:val="en-GB"/>
        </w:rPr>
        <w:t>-</w:t>
      </w:r>
      <w:r w:rsidR="00695E35" w:rsidRPr="000D1F03">
        <w:rPr>
          <w:rFonts w:ascii="Arial" w:eastAsia="Times New Roman" w:hAnsi="Arial" w:cs="Arial"/>
          <w:lang w:val="en-GB"/>
        </w:rPr>
        <w:t>owned assets supervision and administration body under the State Council and the state</w:t>
      </w:r>
      <w:r w:rsidR="009D37CA" w:rsidRPr="000D1F03">
        <w:rPr>
          <w:rFonts w:ascii="Arial" w:eastAsia="Times New Roman" w:hAnsi="Arial" w:cs="Arial"/>
          <w:lang w:val="en-GB"/>
        </w:rPr>
        <w:t>-</w:t>
      </w:r>
      <w:r w:rsidR="00695E35" w:rsidRPr="000D1F03">
        <w:rPr>
          <w:rFonts w:ascii="Arial" w:eastAsia="Times New Roman" w:hAnsi="Arial" w:cs="Arial"/>
          <w:lang w:val="en-GB"/>
        </w:rPr>
        <w:t>owned assets supervision and administration bodies established by the local people's governments according to the provisions of the State Council shall perform the contributor</w:t>
      </w:r>
      <w:r w:rsidR="00753EED" w:rsidRPr="000D1F03">
        <w:rPr>
          <w:rFonts w:ascii="Arial" w:eastAsia="Times New Roman" w:hAnsi="Arial" w:cs="Arial"/>
          <w:lang w:val="en-GB"/>
        </w:rPr>
        <w:t>’</w:t>
      </w:r>
      <w:r w:rsidR="00695E35" w:rsidRPr="000D1F03">
        <w:rPr>
          <w:rFonts w:ascii="Arial" w:eastAsia="Times New Roman" w:hAnsi="Arial" w:cs="Arial"/>
          <w:lang w:val="en-GB"/>
        </w:rPr>
        <w:t>s functions for state</w:t>
      </w:r>
      <w:r w:rsidR="009D37CA" w:rsidRPr="000D1F03">
        <w:rPr>
          <w:rFonts w:ascii="Arial" w:eastAsia="Times New Roman" w:hAnsi="Arial" w:cs="Arial"/>
          <w:lang w:val="en-GB"/>
        </w:rPr>
        <w:t>-</w:t>
      </w:r>
      <w:r w:rsidR="00695E35" w:rsidRPr="000D1F03">
        <w:rPr>
          <w:rFonts w:ascii="Arial" w:eastAsia="Times New Roman" w:hAnsi="Arial" w:cs="Arial"/>
          <w:lang w:val="en-GB"/>
        </w:rPr>
        <w:t>invested enterprises on behalf of and upon the authorization of the corresponding people</w:t>
      </w:r>
      <w:r w:rsidR="00BD1EE2" w:rsidRPr="000D1F03">
        <w:rPr>
          <w:rFonts w:ascii="Arial" w:eastAsia="Times New Roman" w:hAnsi="Arial" w:cs="Arial"/>
          <w:lang w:val="en-GB"/>
        </w:rPr>
        <w:t>’</w:t>
      </w:r>
      <w:r w:rsidR="00695E35" w:rsidRPr="000D1F03">
        <w:rPr>
          <w:rFonts w:ascii="Arial" w:eastAsia="Times New Roman" w:hAnsi="Arial" w:cs="Arial"/>
          <w:lang w:val="en-GB"/>
        </w:rPr>
        <w:t xml:space="preserve">s government. The State Council and the local people's governments may, when necessary, </w:t>
      </w:r>
      <w:r w:rsidR="00695E35" w:rsidRPr="00575D0C">
        <w:rPr>
          <w:rFonts w:ascii="Arial" w:eastAsia="Times New Roman" w:hAnsi="Arial" w:cs="Arial"/>
          <w:i/>
          <w:lang w:val="en-GB"/>
        </w:rPr>
        <w:t>authorise other departments or bodies to perform the contributor</w:t>
      </w:r>
      <w:r w:rsidR="009D37CA" w:rsidRPr="00575D0C">
        <w:rPr>
          <w:rFonts w:ascii="Arial" w:eastAsia="Times New Roman" w:hAnsi="Arial" w:cs="Arial"/>
          <w:i/>
          <w:lang w:val="en-GB"/>
        </w:rPr>
        <w:t>’</w:t>
      </w:r>
      <w:r w:rsidR="00695E35" w:rsidRPr="00575D0C">
        <w:rPr>
          <w:rFonts w:ascii="Arial" w:eastAsia="Times New Roman" w:hAnsi="Arial" w:cs="Arial"/>
          <w:i/>
          <w:lang w:val="en-GB"/>
        </w:rPr>
        <w:t>s functions</w:t>
      </w:r>
      <w:r w:rsidR="00695E35" w:rsidRPr="00575D0C">
        <w:rPr>
          <w:rFonts w:ascii="Arial" w:eastAsia="Times New Roman" w:hAnsi="Arial" w:cs="Arial"/>
          <w:lang w:val="en-GB"/>
        </w:rPr>
        <w:t xml:space="preserve"> </w:t>
      </w:r>
      <w:r w:rsidR="00695E35" w:rsidRPr="000D1F03">
        <w:rPr>
          <w:rFonts w:ascii="Arial" w:eastAsia="Times New Roman" w:hAnsi="Arial" w:cs="Arial"/>
          <w:lang w:val="en-GB"/>
        </w:rPr>
        <w:t>for state</w:t>
      </w:r>
      <w:r w:rsidR="009D37CA" w:rsidRPr="000D1F03">
        <w:rPr>
          <w:rFonts w:ascii="Arial" w:eastAsia="Times New Roman" w:hAnsi="Arial" w:cs="Arial"/>
          <w:lang w:val="en-GB"/>
        </w:rPr>
        <w:t>-</w:t>
      </w:r>
      <w:r w:rsidR="00695E35" w:rsidRPr="000D1F03">
        <w:rPr>
          <w:rFonts w:ascii="Arial" w:eastAsia="Times New Roman" w:hAnsi="Arial" w:cs="Arial"/>
          <w:lang w:val="en-GB"/>
        </w:rPr>
        <w:t>invested enterprises on behalf of the corresponding people</w:t>
      </w:r>
      <w:r w:rsidR="002932B8" w:rsidRPr="000D1F03">
        <w:rPr>
          <w:rFonts w:ascii="Arial" w:eastAsia="Times New Roman" w:hAnsi="Arial" w:cs="Arial"/>
          <w:lang w:val="en-GB"/>
        </w:rPr>
        <w:t>’</w:t>
      </w:r>
      <w:r w:rsidR="001C2186">
        <w:rPr>
          <w:rFonts w:ascii="Arial" w:eastAsia="Times New Roman" w:hAnsi="Arial" w:cs="Arial"/>
          <w:lang w:val="en-GB"/>
        </w:rPr>
        <w:t>s government.’</w:t>
      </w:r>
      <w:r w:rsidR="009D37CA" w:rsidRPr="000D1F03">
        <w:rPr>
          <w:rStyle w:val="FootnoteReference"/>
          <w:rFonts w:ascii="Arial" w:eastAsia="Times New Roman" w:hAnsi="Arial" w:cs="Arial"/>
          <w:lang w:val="en-GB"/>
        </w:rPr>
        <w:footnoteReference w:id="23"/>
      </w:r>
      <w:r w:rsidR="00BD1EE2" w:rsidRPr="00760161">
        <w:rPr>
          <w:rFonts w:ascii="Arial" w:eastAsia="Times New Roman" w:hAnsi="Arial" w:cs="Arial"/>
          <w:lang w:val="en-GB"/>
        </w:rPr>
        <w:t xml:space="preserve"> (</w:t>
      </w:r>
      <w:r w:rsidR="00CD38A6" w:rsidRPr="00760161">
        <w:rPr>
          <w:rFonts w:ascii="Arial" w:eastAsia="Times New Roman" w:hAnsi="Arial" w:cs="Arial"/>
          <w:lang w:val="en-GB"/>
        </w:rPr>
        <w:t>Emphasis added)</w:t>
      </w:r>
      <w:r w:rsidR="00695E35" w:rsidRPr="00760161">
        <w:rPr>
          <w:rFonts w:ascii="Arial" w:eastAsia="Times New Roman" w:hAnsi="Arial" w:cs="Arial"/>
          <w:lang w:val="en-GB"/>
        </w:rPr>
        <w:t xml:space="preserve"> </w:t>
      </w:r>
    </w:p>
    <w:p w:rsidR="00CD38A6" w:rsidRPr="008E299E" w:rsidRDefault="00CD38A6"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CD38A6" w:rsidRPr="00696377" w:rsidRDefault="00696377" w:rsidP="00BF0D6B">
      <w:pPr>
        <w:tabs>
          <w:tab w:val="left" w:pos="0"/>
        </w:tabs>
        <w:spacing w:line="360" w:lineRule="auto"/>
        <w:jc w:val="both"/>
        <w:rPr>
          <w:rFonts w:ascii="Arial" w:hAnsi="Arial" w:cs="Arial"/>
        </w:rPr>
      </w:pPr>
      <w:r>
        <w:rPr>
          <w:rFonts w:ascii="Arial" w:hAnsi="Arial" w:cs="Arial"/>
          <w:lang w:val="en-GB"/>
        </w:rPr>
        <w:t>[49]</w:t>
      </w:r>
      <w:r>
        <w:rPr>
          <w:rFonts w:ascii="Arial" w:hAnsi="Arial" w:cs="Arial"/>
          <w:lang w:val="en-GB"/>
        </w:rPr>
        <w:tab/>
      </w:r>
      <w:r w:rsidR="006F5E0A" w:rsidRPr="00696377">
        <w:rPr>
          <w:rFonts w:ascii="Arial" w:hAnsi="Arial" w:cs="Arial"/>
          <w:lang w:val="en-GB"/>
        </w:rPr>
        <w:t xml:space="preserve">Essentially, </w:t>
      </w:r>
      <w:r w:rsidR="00CD38A6" w:rsidRPr="00696377">
        <w:rPr>
          <w:rFonts w:ascii="Arial" w:hAnsi="Arial" w:cs="Arial"/>
          <w:lang w:val="en-GB"/>
        </w:rPr>
        <w:t xml:space="preserve">Article 11 empowers </w:t>
      </w:r>
      <w:r w:rsidR="00CD38A6" w:rsidRPr="00696377">
        <w:rPr>
          <w:rFonts w:ascii="Arial" w:hAnsi="Arial" w:cs="Arial"/>
        </w:rPr>
        <w:t>SASAC to perform the contributors’ functions</w:t>
      </w:r>
      <w:r w:rsidR="006F62B2" w:rsidRPr="00696377">
        <w:rPr>
          <w:rFonts w:ascii="Arial" w:hAnsi="Arial" w:cs="Arial"/>
        </w:rPr>
        <w:t xml:space="preserve"> in relation to its SOEs, such as SIS</w:t>
      </w:r>
      <w:r w:rsidR="00CD38A6" w:rsidRPr="00696377">
        <w:rPr>
          <w:rFonts w:ascii="Arial" w:hAnsi="Arial" w:cs="Arial"/>
        </w:rPr>
        <w:t xml:space="preserve">. </w:t>
      </w:r>
      <w:r w:rsidR="006F62B2" w:rsidRPr="00696377">
        <w:rPr>
          <w:rFonts w:ascii="Arial" w:hAnsi="Arial" w:cs="Arial"/>
        </w:rPr>
        <w:t xml:space="preserve"> </w:t>
      </w:r>
      <w:r w:rsidR="00603068" w:rsidRPr="00696377">
        <w:rPr>
          <w:rFonts w:ascii="Arial" w:hAnsi="Arial" w:cs="Arial"/>
        </w:rPr>
        <w:t xml:space="preserve">However, </w:t>
      </w:r>
      <w:r w:rsidR="00603068" w:rsidRPr="00696377">
        <w:rPr>
          <w:rFonts w:ascii="Arial" w:hAnsi="Arial" w:cs="Arial"/>
          <w:lang w:val="en-GB"/>
        </w:rPr>
        <w:t>t</w:t>
      </w:r>
      <w:r w:rsidR="00CD38A6" w:rsidRPr="00696377">
        <w:rPr>
          <w:rFonts w:ascii="Arial" w:hAnsi="Arial" w:cs="Arial"/>
          <w:lang w:val="en-GB"/>
        </w:rPr>
        <w:t xml:space="preserve">he </w:t>
      </w:r>
      <w:r w:rsidR="00CD38A6" w:rsidRPr="00696377">
        <w:rPr>
          <w:rFonts w:ascii="Arial" w:hAnsi="Arial" w:cs="Arial"/>
        </w:rPr>
        <w:t>State Council and the local people’s governments may also authorise other departments or bodies to perform the contributors’ functions</w:t>
      </w:r>
      <w:r w:rsidR="006F62B2" w:rsidRPr="00696377">
        <w:rPr>
          <w:rFonts w:ascii="Arial" w:hAnsi="Arial" w:cs="Arial"/>
        </w:rPr>
        <w:t>.</w:t>
      </w:r>
      <w:r w:rsidR="00CD38A6" w:rsidRPr="00696377">
        <w:rPr>
          <w:rFonts w:ascii="Arial" w:hAnsi="Arial" w:cs="Arial"/>
          <w:lang w:val="en-GB"/>
        </w:rPr>
        <w:t xml:space="preserve"> </w:t>
      </w:r>
    </w:p>
    <w:p w:rsidR="00DE4962" w:rsidRPr="00976FFD" w:rsidRDefault="00DE4962" w:rsidP="00BF0D6B">
      <w:pPr>
        <w:tabs>
          <w:tab w:val="left" w:pos="0"/>
          <w:tab w:val="left" w:pos="567"/>
          <w:tab w:val="left" w:pos="990"/>
        </w:tabs>
        <w:spacing w:line="360" w:lineRule="auto"/>
        <w:contextualSpacing/>
        <w:jc w:val="both"/>
        <w:rPr>
          <w:rFonts w:ascii="Arial" w:hAnsi="Arial" w:cs="Arial"/>
        </w:rPr>
      </w:pPr>
    </w:p>
    <w:p w:rsidR="00AA57A7" w:rsidRPr="00696377" w:rsidRDefault="00696377" w:rsidP="00BF0D6B">
      <w:pPr>
        <w:tabs>
          <w:tab w:val="left" w:pos="0"/>
          <w:tab w:val="left" w:pos="567"/>
          <w:tab w:val="left" w:pos="990"/>
        </w:tabs>
        <w:spacing w:line="360" w:lineRule="auto"/>
        <w:jc w:val="both"/>
        <w:rPr>
          <w:rFonts w:ascii="Arial" w:hAnsi="Arial" w:cs="Arial"/>
          <w:lang w:val="en-GB"/>
        </w:rPr>
      </w:pPr>
      <w:r>
        <w:rPr>
          <w:rFonts w:ascii="Arial" w:hAnsi="Arial" w:cs="Arial"/>
          <w:lang w:val="en-GB"/>
        </w:rPr>
        <w:t>[50]</w:t>
      </w:r>
      <w:r>
        <w:rPr>
          <w:rFonts w:ascii="Arial" w:hAnsi="Arial" w:cs="Arial"/>
          <w:lang w:val="en-GB"/>
        </w:rPr>
        <w:tab/>
      </w:r>
      <w:r w:rsidR="00695E35" w:rsidRPr="00696377">
        <w:rPr>
          <w:rFonts w:ascii="Arial" w:hAnsi="Arial" w:cs="Arial"/>
          <w:lang w:val="en-GB"/>
        </w:rPr>
        <w:t>Article 12</w:t>
      </w:r>
      <w:r w:rsidR="00DE4962" w:rsidRPr="00696377">
        <w:rPr>
          <w:rFonts w:ascii="Arial" w:hAnsi="Arial" w:cs="Arial"/>
          <w:lang w:val="en-GB"/>
        </w:rPr>
        <w:t xml:space="preserve"> of the PRC Law on</w:t>
      </w:r>
      <w:r w:rsidR="008948CC" w:rsidRPr="00696377">
        <w:rPr>
          <w:rFonts w:ascii="Arial" w:hAnsi="Arial" w:cs="Arial"/>
          <w:lang w:val="en-GB"/>
        </w:rPr>
        <w:t xml:space="preserve"> SOEs</w:t>
      </w:r>
      <w:r w:rsidR="00DE4962" w:rsidRPr="00696377">
        <w:rPr>
          <w:rFonts w:ascii="Arial" w:hAnsi="Arial" w:cs="Arial"/>
          <w:lang w:val="en-GB"/>
        </w:rPr>
        <w:t xml:space="preserve"> </w:t>
      </w:r>
      <w:r w:rsidR="00AA57A7" w:rsidRPr="00696377">
        <w:rPr>
          <w:rFonts w:ascii="Arial" w:hAnsi="Arial" w:cs="Arial"/>
          <w:lang w:val="en-GB"/>
        </w:rPr>
        <w:t>gives contributors the right to participate in major decisions and the duty to report to the government for approval:</w:t>
      </w:r>
    </w:p>
    <w:p w:rsidR="00695E35" w:rsidRPr="000D1F03" w:rsidRDefault="00760161" w:rsidP="00BF0D6B">
      <w:pPr>
        <w:pStyle w:val="ListParagraph"/>
        <w:tabs>
          <w:tab w:val="left" w:pos="0"/>
          <w:tab w:val="left" w:pos="567"/>
          <w:tab w:val="left" w:pos="990"/>
        </w:tabs>
        <w:spacing w:after="0" w:line="360" w:lineRule="auto"/>
        <w:ind w:left="0"/>
        <w:jc w:val="both"/>
        <w:rPr>
          <w:rFonts w:ascii="Arial" w:eastAsia="Times New Roman" w:hAnsi="Arial" w:cs="Arial"/>
          <w:lang w:val="en-GB"/>
        </w:rPr>
      </w:pPr>
      <w:r>
        <w:rPr>
          <w:rFonts w:ascii="Arial" w:eastAsia="Times New Roman" w:hAnsi="Arial" w:cs="Arial"/>
          <w:lang w:val="en-GB"/>
        </w:rPr>
        <w:t>‘</w:t>
      </w:r>
      <w:r w:rsidR="00695E35" w:rsidRPr="000D1F03">
        <w:rPr>
          <w:rFonts w:ascii="Arial" w:eastAsia="Times New Roman" w:hAnsi="Arial" w:cs="Arial"/>
          <w:lang w:val="en-GB"/>
        </w:rPr>
        <w:t>A body performing the contributor</w:t>
      </w:r>
      <w:r w:rsidR="00AA57A7" w:rsidRPr="000D1F03">
        <w:rPr>
          <w:rFonts w:ascii="Arial" w:eastAsia="Times New Roman" w:hAnsi="Arial" w:cs="Arial"/>
          <w:lang w:val="en-GB"/>
        </w:rPr>
        <w:t>’</w:t>
      </w:r>
      <w:r w:rsidR="00695E35" w:rsidRPr="000D1F03">
        <w:rPr>
          <w:rFonts w:ascii="Arial" w:eastAsia="Times New Roman" w:hAnsi="Arial" w:cs="Arial"/>
          <w:lang w:val="en-GB"/>
        </w:rPr>
        <w:t xml:space="preserve">s functions on behalf of the </w:t>
      </w:r>
      <w:r w:rsidR="00AA57A7" w:rsidRPr="000D1F03">
        <w:rPr>
          <w:rFonts w:ascii="Arial" w:eastAsia="Times New Roman" w:hAnsi="Arial" w:cs="Arial"/>
          <w:lang w:val="en-GB"/>
        </w:rPr>
        <w:t>c</w:t>
      </w:r>
      <w:r w:rsidR="00695E35" w:rsidRPr="000D1F03">
        <w:rPr>
          <w:rFonts w:ascii="Arial" w:eastAsia="Times New Roman" w:hAnsi="Arial" w:cs="Arial"/>
          <w:lang w:val="en-GB"/>
        </w:rPr>
        <w:t>orresponding people</w:t>
      </w:r>
      <w:r w:rsidR="00AA57A7" w:rsidRPr="000D1F03">
        <w:rPr>
          <w:rFonts w:ascii="Arial" w:eastAsia="Times New Roman" w:hAnsi="Arial" w:cs="Arial"/>
          <w:lang w:val="en-GB"/>
        </w:rPr>
        <w:t>’</w:t>
      </w:r>
      <w:r w:rsidR="00695E35" w:rsidRPr="000D1F03">
        <w:rPr>
          <w:rFonts w:ascii="Arial" w:eastAsia="Times New Roman" w:hAnsi="Arial" w:cs="Arial"/>
          <w:lang w:val="en-GB"/>
        </w:rPr>
        <w:t>s government shall enjoy the return on assets, participation in major decision-making, selection of managers and other contributor</w:t>
      </w:r>
      <w:r w:rsidR="00AA345D" w:rsidRPr="000D1F03">
        <w:rPr>
          <w:rFonts w:ascii="Arial" w:eastAsia="Times New Roman" w:hAnsi="Arial" w:cs="Arial"/>
          <w:lang w:val="en-GB"/>
        </w:rPr>
        <w:t>’</w:t>
      </w:r>
      <w:r w:rsidR="00695E35" w:rsidRPr="000D1F03">
        <w:rPr>
          <w:rFonts w:ascii="Arial" w:eastAsia="Times New Roman" w:hAnsi="Arial" w:cs="Arial"/>
          <w:lang w:val="en-GB"/>
        </w:rPr>
        <w:t>s rights to the state</w:t>
      </w:r>
      <w:r w:rsidR="00AA345D" w:rsidRPr="000D1F03">
        <w:rPr>
          <w:rFonts w:ascii="Arial" w:eastAsia="Times New Roman" w:hAnsi="Arial" w:cs="Arial"/>
          <w:lang w:val="en-GB"/>
        </w:rPr>
        <w:t>-</w:t>
      </w:r>
      <w:r w:rsidR="00695E35" w:rsidRPr="000D1F03">
        <w:rPr>
          <w:rFonts w:ascii="Arial" w:eastAsia="Times New Roman" w:hAnsi="Arial" w:cs="Arial"/>
          <w:lang w:val="en-GB"/>
        </w:rPr>
        <w:t xml:space="preserve">invested enterprises </w:t>
      </w:r>
      <w:r w:rsidR="00695E35" w:rsidRPr="00477138">
        <w:rPr>
          <w:rFonts w:ascii="Arial" w:eastAsia="Times New Roman" w:hAnsi="Arial" w:cs="Arial"/>
          <w:i/>
          <w:lang w:val="en-GB"/>
        </w:rPr>
        <w:t>according to law</w:t>
      </w:r>
      <w:r w:rsidR="00AA345D" w:rsidRPr="000D1F03">
        <w:rPr>
          <w:rFonts w:ascii="Arial" w:eastAsia="Times New Roman" w:hAnsi="Arial" w:cs="Arial"/>
          <w:lang w:val="en-GB"/>
        </w:rPr>
        <w:t xml:space="preserve">. </w:t>
      </w:r>
      <w:r w:rsidR="00695E35" w:rsidRPr="000D1F03">
        <w:rPr>
          <w:rFonts w:ascii="Arial" w:eastAsia="Times New Roman" w:hAnsi="Arial" w:cs="Arial"/>
          <w:lang w:val="en-GB"/>
        </w:rPr>
        <w:t xml:space="preserve"> </w:t>
      </w:r>
      <w:r w:rsidR="00AA345D" w:rsidRPr="000D1F03">
        <w:rPr>
          <w:rFonts w:ascii="Arial" w:eastAsia="Times New Roman" w:hAnsi="Arial" w:cs="Arial"/>
          <w:lang w:val="en-GB"/>
        </w:rPr>
        <w:t>A</w:t>
      </w:r>
      <w:r w:rsidR="00695E35" w:rsidRPr="000D1F03">
        <w:rPr>
          <w:rFonts w:ascii="Arial" w:eastAsia="Times New Roman" w:hAnsi="Arial" w:cs="Arial"/>
          <w:lang w:val="en-GB"/>
        </w:rPr>
        <w:t xml:space="preserve"> b</w:t>
      </w:r>
      <w:r w:rsidR="00AA345D" w:rsidRPr="000D1F03">
        <w:rPr>
          <w:rFonts w:ascii="Arial" w:eastAsia="Times New Roman" w:hAnsi="Arial" w:cs="Arial"/>
          <w:lang w:val="en-GB"/>
        </w:rPr>
        <w:t>ody</w:t>
      </w:r>
      <w:r w:rsidR="00695E35" w:rsidRPr="000D1F03">
        <w:rPr>
          <w:rFonts w:ascii="Arial" w:eastAsia="Times New Roman" w:hAnsi="Arial" w:cs="Arial"/>
          <w:lang w:val="en-GB"/>
        </w:rPr>
        <w:t xml:space="preserve"> performing the contributor</w:t>
      </w:r>
      <w:r w:rsidR="00AA345D" w:rsidRPr="000D1F03">
        <w:rPr>
          <w:rFonts w:ascii="Arial" w:eastAsia="Times New Roman" w:hAnsi="Arial" w:cs="Arial"/>
          <w:lang w:val="en-GB"/>
        </w:rPr>
        <w:t>’</w:t>
      </w:r>
      <w:r w:rsidR="00695E35" w:rsidRPr="000D1F03">
        <w:rPr>
          <w:rFonts w:ascii="Arial" w:eastAsia="Times New Roman" w:hAnsi="Arial" w:cs="Arial"/>
          <w:lang w:val="en-GB"/>
        </w:rPr>
        <w:t>s functions shall formulate or participate in the formulation of the bylaws of state</w:t>
      </w:r>
      <w:r w:rsidR="00AA345D" w:rsidRPr="000D1F03">
        <w:rPr>
          <w:rFonts w:ascii="Arial" w:eastAsia="Times New Roman" w:hAnsi="Arial" w:cs="Arial"/>
          <w:lang w:val="en-GB"/>
        </w:rPr>
        <w:t>-</w:t>
      </w:r>
      <w:r w:rsidR="00695E35" w:rsidRPr="000D1F03">
        <w:rPr>
          <w:rFonts w:ascii="Arial" w:eastAsia="Times New Roman" w:hAnsi="Arial" w:cs="Arial"/>
          <w:lang w:val="en-GB"/>
        </w:rPr>
        <w:t xml:space="preserve">invested enterprises </w:t>
      </w:r>
      <w:r w:rsidR="00695E35" w:rsidRPr="00477138">
        <w:rPr>
          <w:rFonts w:ascii="Arial" w:eastAsia="Times New Roman" w:hAnsi="Arial" w:cs="Arial"/>
          <w:i/>
          <w:lang w:val="en-GB"/>
        </w:rPr>
        <w:t>according to the provisions of laws and administrative regulations</w:t>
      </w:r>
      <w:r w:rsidR="00AA345D" w:rsidRPr="00477138">
        <w:rPr>
          <w:rFonts w:ascii="Arial" w:eastAsia="Times New Roman" w:hAnsi="Arial" w:cs="Arial"/>
          <w:lang w:val="en-GB"/>
        </w:rPr>
        <w:t xml:space="preserve">. </w:t>
      </w:r>
      <w:r w:rsidR="00695E35" w:rsidRPr="00477138">
        <w:rPr>
          <w:rFonts w:ascii="Arial" w:eastAsia="Times New Roman" w:hAnsi="Arial" w:cs="Arial"/>
          <w:lang w:val="en-GB"/>
        </w:rPr>
        <w:t xml:space="preserve"> </w:t>
      </w:r>
      <w:r w:rsidR="00AA345D" w:rsidRPr="000D1F03">
        <w:rPr>
          <w:rFonts w:ascii="Arial" w:eastAsia="Times New Roman" w:hAnsi="Arial" w:cs="Arial"/>
          <w:lang w:val="en-GB"/>
        </w:rPr>
        <w:t>F</w:t>
      </w:r>
      <w:r w:rsidR="00695E35" w:rsidRPr="000D1F03">
        <w:rPr>
          <w:rFonts w:ascii="Arial" w:eastAsia="Times New Roman" w:hAnsi="Arial" w:cs="Arial"/>
          <w:lang w:val="en-GB"/>
        </w:rPr>
        <w:t>or the major matters on the performance of the contributor</w:t>
      </w:r>
      <w:r w:rsidR="00AA345D" w:rsidRPr="000D1F03">
        <w:rPr>
          <w:rFonts w:ascii="Arial" w:eastAsia="Times New Roman" w:hAnsi="Arial" w:cs="Arial"/>
          <w:lang w:val="en-GB"/>
        </w:rPr>
        <w:t>’</w:t>
      </w:r>
      <w:r w:rsidR="00695E35" w:rsidRPr="000D1F03">
        <w:rPr>
          <w:rFonts w:ascii="Arial" w:eastAsia="Times New Roman" w:hAnsi="Arial" w:cs="Arial"/>
          <w:lang w:val="en-GB"/>
        </w:rPr>
        <w:t>s functions that are subject to the approval of the corresponding people</w:t>
      </w:r>
      <w:r w:rsidR="0094481B" w:rsidRPr="000D1F03">
        <w:rPr>
          <w:rFonts w:ascii="Arial" w:eastAsia="Times New Roman" w:hAnsi="Arial" w:cs="Arial"/>
          <w:lang w:val="en-GB"/>
        </w:rPr>
        <w:t>’</w:t>
      </w:r>
      <w:r w:rsidR="00695E35" w:rsidRPr="000D1F03">
        <w:rPr>
          <w:rFonts w:ascii="Arial" w:eastAsia="Times New Roman" w:hAnsi="Arial" w:cs="Arial"/>
          <w:lang w:val="en-GB"/>
        </w:rPr>
        <w:t>s government as prescribed by laws, administrative regulations and the corresponding people</w:t>
      </w:r>
      <w:r w:rsidR="006F62B2" w:rsidRPr="000D1F03">
        <w:rPr>
          <w:rFonts w:ascii="Arial" w:eastAsia="Times New Roman" w:hAnsi="Arial" w:cs="Arial"/>
          <w:lang w:val="en-GB"/>
        </w:rPr>
        <w:t>’</w:t>
      </w:r>
      <w:r w:rsidR="00695E35" w:rsidRPr="000D1F03">
        <w:rPr>
          <w:rFonts w:ascii="Arial" w:eastAsia="Times New Roman" w:hAnsi="Arial" w:cs="Arial"/>
          <w:lang w:val="en-GB"/>
        </w:rPr>
        <w:t>s government, a b</w:t>
      </w:r>
      <w:r w:rsidR="00AA345D" w:rsidRPr="000D1F03">
        <w:rPr>
          <w:rFonts w:ascii="Arial" w:eastAsia="Times New Roman" w:hAnsi="Arial" w:cs="Arial"/>
          <w:lang w:val="en-GB"/>
        </w:rPr>
        <w:t>o</w:t>
      </w:r>
      <w:r w:rsidR="00695E35" w:rsidRPr="000D1F03">
        <w:rPr>
          <w:rFonts w:ascii="Arial" w:eastAsia="Times New Roman" w:hAnsi="Arial" w:cs="Arial"/>
          <w:lang w:val="en-GB"/>
        </w:rPr>
        <w:t>dy performing the contributor</w:t>
      </w:r>
      <w:r w:rsidR="00AA345D" w:rsidRPr="000D1F03">
        <w:rPr>
          <w:rFonts w:ascii="Arial" w:eastAsia="Times New Roman" w:hAnsi="Arial" w:cs="Arial"/>
          <w:lang w:val="en-GB"/>
        </w:rPr>
        <w:t>’</w:t>
      </w:r>
      <w:r w:rsidR="00695E35" w:rsidRPr="000D1F03">
        <w:rPr>
          <w:rFonts w:ascii="Arial" w:eastAsia="Times New Roman" w:hAnsi="Arial" w:cs="Arial"/>
          <w:lang w:val="en-GB"/>
        </w:rPr>
        <w:t>s functions shall report such matters to the corresponding people</w:t>
      </w:r>
      <w:r w:rsidR="000059A9" w:rsidRPr="000D1F03">
        <w:rPr>
          <w:rFonts w:ascii="Arial" w:eastAsia="Times New Roman" w:hAnsi="Arial" w:cs="Arial"/>
          <w:lang w:val="en-GB"/>
        </w:rPr>
        <w:t>’</w:t>
      </w:r>
      <w:r w:rsidR="00695E35" w:rsidRPr="000D1F03">
        <w:rPr>
          <w:rFonts w:ascii="Arial" w:eastAsia="Times New Roman" w:hAnsi="Arial" w:cs="Arial"/>
          <w:lang w:val="en-GB"/>
        </w:rPr>
        <w:t>s government for approval.</w:t>
      </w:r>
      <w:r>
        <w:rPr>
          <w:rFonts w:ascii="Arial" w:eastAsia="Times New Roman" w:hAnsi="Arial" w:cs="Arial"/>
          <w:lang w:val="en-GB"/>
        </w:rPr>
        <w:t xml:space="preserve">’ </w:t>
      </w:r>
      <w:r w:rsidR="007968C4" w:rsidRPr="00760161">
        <w:rPr>
          <w:rFonts w:ascii="Arial" w:eastAsia="Times New Roman" w:hAnsi="Arial" w:cs="Arial"/>
          <w:szCs w:val="24"/>
          <w:lang w:val="en-GB"/>
        </w:rPr>
        <w:t>(Emphasis added)</w:t>
      </w:r>
    </w:p>
    <w:p w:rsidR="0094481B" w:rsidRPr="00976FFD" w:rsidRDefault="0094481B" w:rsidP="00BF0D6B">
      <w:pPr>
        <w:pStyle w:val="ListParagraph"/>
        <w:spacing w:after="0" w:line="360" w:lineRule="auto"/>
        <w:ind w:left="0"/>
        <w:rPr>
          <w:rFonts w:ascii="Arial" w:eastAsia="Times New Roman" w:hAnsi="Arial" w:cs="Arial"/>
          <w:sz w:val="24"/>
          <w:szCs w:val="24"/>
          <w:lang w:val="en-GB"/>
        </w:rPr>
      </w:pPr>
    </w:p>
    <w:p w:rsidR="000D1F03" w:rsidRPr="00696377" w:rsidRDefault="00696377" w:rsidP="00BF0D6B">
      <w:pPr>
        <w:tabs>
          <w:tab w:val="left" w:pos="0"/>
          <w:tab w:val="left" w:pos="567"/>
          <w:tab w:val="left" w:pos="990"/>
        </w:tabs>
        <w:spacing w:line="360" w:lineRule="auto"/>
        <w:jc w:val="both"/>
        <w:rPr>
          <w:rFonts w:ascii="Arial" w:hAnsi="Arial" w:cs="Arial"/>
          <w:lang w:val="en-GB"/>
        </w:rPr>
      </w:pPr>
      <w:r>
        <w:rPr>
          <w:rFonts w:ascii="Arial" w:hAnsi="Arial" w:cs="Arial"/>
          <w:lang w:val="en-GB"/>
        </w:rPr>
        <w:t>[51]</w:t>
      </w:r>
      <w:r>
        <w:rPr>
          <w:rFonts w:ascii="Arial" w:hAnsi="Arial" w:cs="Arial"/>
          <w:lang w:val="en-GB"/>
        </w:rPr>
        <w:tab/>
      </w:r>
      <w:r w:rsidR="0094481B" w:rsidRPr="00696377">
        <w:rPr>
          <w:rFonts w:ascii="Arial" w:hAnsi="Arial" w:cs="Arial"/>
          <w:lang w:val="en-GB"/>
        </w:rPr>
        <w:t xml:space="preserve">Significantly, </w:t>
      </w:r>
      <w:r w:rsidR="00477138">
        <w:rPr>
          <w:rFonts w:ascii="Arial" w:hAnsi="Arial" w:cs="Arial"/>
          <w:lang w:val="en-GB"/>
        </w:rPr>
        <w:t>‘</w:t>
      </w:r>
      <w:r w:rsidR="0094481B" w:rsidRPr="00696377">
        <w:rPr>
          <w:rFonts w:ascii="Arial" w:hAnsi="Arial" w:cs="Arial"/>
          <w:lang w:val="en-GB"/>
        </w:rPr>
        <w:t>a body performing the contributor’s functions</w:t>
      </w:r>
      <w:r w:rsidR="00477138">
        <w:rPr>
          <w:rFonts w:ascii="Arial" w:hAnsi="Arial" w:cs="Arial"/>
          <w:lang w:val="en-GB"/>
        </w:rPr>
        <w:t>’</w:t>
      </w:r>
      <w:r w:rsidR="0094481B" w:rsidRPr="00696377">
        <w:rPr>
          <w:rFonts w:ascii="Arial" w:hAnsi="Arial" w:cs="Arial"/>
          <w:lang w:val="en-GB"/>
        </w:rPr>
        <w:t xml:space="preserve"> implies that the function is not restricted to SASAC.</w:t>
      </w:r>
      <w:r w:rsidR="000D1F03" w:rsidRPr="00696377">
        <w:rPr>
          <w:rFonts w:ascii="Arial" w:hAnsi="Arial" w:cs="Arial"/>
          <w:lang w:val="en-GB"/>
        </w:rPr>
        <w:t xml:space="preserve"> </w:t>
      </w:r>
      <w:r w:rsidR="0094481B" w:rsidRPr="00696377">
        <w:rPr>
          <w:rFonts w:ascii="Arial" w:hAnsi="Arial" w:cs="Arial"/>
          <w:lang w:val="en-GB"/>
        </w:rPr>
        <w:t xml:space="preserve"> Furthermore, </w:t>
      </w:r>
      <w:r w:rsidR="000059A9" w:rsidRPr="00696377">
        <w:rPr>
          <w:rFonts w:ascii="Arial" w:hAnsi="Arial" w:cs="Arial"/>
          <w:lang w:val="en-GB"/>
        </w:rPr>
        <w:t xml:space="preserve">the duty to report is limited to </w:t>
      </w:r>
      <w:r w:rsidR="0094481B" w:rsidRPr="00696377">
        <w:rPr>
          <w:rFonts w:ascii="Arial" w:hAnsi="Arial" w:cs="Arial"/>
          <w:lang w:val="en-GB"/>
        </w:rPr>
        <w:t xml:space="preserve">matters subject to the approval of the corresponding people’s government.  </w:t>
      </w:r>
      <w:r w:rsidR="000059A9" w:rsidRPr="00696377">
        <w:rPr>
          <w:rFonts w:ascii="Arial" w:hAnsi="Arial" w:cs="Arial"/>
          <w:lang w:val="en-GB"/>
        </w:rPr>
        <w:t>And t</w:t>
      </w:r>
      <w:r w:rsidR="0094481B" w:rsidRPr="00696377">
        <w:rPr>
          <w:rFonts w:ascii="Arial" w:hAnsi="Arial" w:cs="Arial"/>
          <w:lang w:val="en-GB"/>
        </w:rPr>
        <w:t>he report is made to the appropriate level of government.</w:t>
      </w:r>
      <w:r w:rsidR="00891602" w:rsidRPr="00696377">
        <w:rPr>
          <w:rFonts w:ascii="Arial" w:hAnsi="Arial" w:cs="Arial"/>
          <w:lang w:val="en-GB"/>
        </w:rPr>
        <w:t xml:space="preserve">  Major decisions are not defined</w:t>
      </w:r>
      <w:r w:rsidR="000059A9" w:rsidRPr="00696377">
        <w:rPr>
          <w:rFonts w:ascii="Arial" w:hAnsi="Arial" w:cs="Arial"/>
          <w:lang w:val="en-GB"/>
        </w:rPr>
        <w:t xml:space="preserve"> </w:t>
      </w:r>
      <w:r w:rsidR="000D1F03" w:rsidRPr="00696377">
        <w:rPr>
          <w:rFonts w:ascii="Arial" w:hAnsi="Arial" w:cs="Arial"/>
          <w:lang w:val="en-GB"/>
        </w:rPr>
        <w:t xml:space="preserve">in </w:t>
      </w:r>
      <w:r w:rsidR="000059A9" w:rsidRPr="00696377">
        <w:rPr>
          <w:rFonts w:ascii="Arial" w:hAnsi="Arial" w:cs="Arial"/>
          <w:lang w:val="en-GB"/>
        </w:rPr>
        <w:t>the PRC Law on SOEs</w:t>
      </w:r>
      <w:r w:rsidR="00891602" w:rsidRPr="00696377">
        <w:rPr>
          <w:rFonts w:ascii="Arial" w:hAnsi="Arial" w:cs="Arial"/>
          <w:lang w:val="en-GB"/>
        </w:rPr>
        <w:t>.</w:t>
      </w:r>
      <w:r w:rsidR="00FD4251" w:rsidRPr="00696377">
        <w:rPr>
          <w:rFonts w:ascii="Arial" w:hAnsi="Arial" w:cs="Arial"/>
          <w:lang w:val="en-GB"/>
        </w:rPr>
        <w:t xml:space="preserve">  Importantly, all that is done must be </w:t>
      </w:r>
      <w:r w:rsidR="00BE5FCE">
        <w:rPr>
          <w:rFonts w:ascii="Arial" w:hAnsi="Arial" w:cs="Arial"/>
          <w:lang w:val="en-GB"/>
        </w:rPr>
        <w:t>‘</w:t>
      </w:r>
      <w:r w:rsidR="00FD4251" w:rsidRPr="00696377">
        <w:rPr>
          <w:rFonts w:ascii="Arial" w:hAnsi="Arial" w:cs="Arial"/>
          <w:lang w:val="en-GB"/>
        </w:rPr>
        <w:t>according to law</w:t>
      </w:r>
      <w:r w:rsidR="00BE5FCE">
        <w:rPr>
          <w:rFonts w:ascii="Arial" w:hAnsi="Arial" w:cs="Arial"/>
          <w:lang w:val="en-GB"/>
        </w:rPr>
        <w:t>’</w:t>
      </w:r>
      <w:r w:rsidR="00A87C59" w:rsidRPr="00696377">
        <w:rPr>
          <w:rFonts w:ascii="Arial" w:hAnsi="Arial" w:cs="Arial"/>
          <w:lang w:val="en-GB"/>
        </w:rPr>
        <w:t xml:space="preserve">, which anticipates </w:t>
      </w:r>
      <w:r w:rsidR="00BB7019" w:rsidRPr="00696377">
        <w:rPr>
          <w:rFonts w:ascii="Arial" w:hAnsi="Arial" w:cs="Arial"/>
          <w:lang w:val="en-GB"/>
        </w:rPr>
        <w:t>t</w:t>
      </w:r>
      <w:r w:rsidR="007968C4" w:rsidRPr="00696377">
        <w:rPr>
          <w:rFonts w:ascii="Arial" w:hAnsi="Arial" w:cs="Arial"/>
          <w:lang w:val="en-GB"/>
        </w:rPr>
        <w:t>hat</w:t>
      </w:r>
      <w:r w:rsidR="00A87C59" w:rsidRPr="00696377">
        <w:rPr>
          <w:rFonts w:ascii="Arial" w:hAnsi="Arial" w:cs="Arial"/>
          <w:lang w:val="en-GB"/>
        </w:rPr>
        <w:t xml:space="preserve"> law</w:t>
      </w:r>
      <w:r w:rsidR="00FD4251" w:rsidRPr="00696377">
        <w:rPr>
          <w:rFonts w:ascii="Arial" w:hAnsi="Arial" w:cs="Arial"/>
          <w:lang w:val="en-GB"/>
        </w:rPr>
        <w:t xml:space="preserve"> would prohibit abuse of these enabl</w:t>
      </w:r>
      <w:r w:rsidR="007968C4" w:rsidRPr="00696377">
        <w:rPr>
          <w:rFonts w:ascii="Arial" w:hAnsi="Arial" w:cs="Arial"/>
          <w:lang w:val="en-GB"/>
        </w:rPr>
        <w:t>ing provisions</w:t>
      </w:r>
      <w:r w:rsidR="00FD4251" w:rsidRPr="00696377">
        <w:rPr>
          <w:rFonts w:ascii="Arial" w:hAnsi="Arial" w:cs="Arial"/>
          <w:lang w:val="en-GB"/>
        </w:rPr>
        <w:t>.</w:t>
      </w:r>
    </w:p>
    <w:p w:rsidR="000D1F03" w:rsidRDefault="000D1F03"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GB"/>
        </w:rPr>
      </w:pPr>
    </w:p>
    <w:p w:rsidR="00A87C59" w:rsidRPr="00696377" w:rsidRDefault="00696377" w:rsidP="00BF0D6B">
      <w:pPr>
        <w:tabs>
          <w:tab w:val="left" w:pos="0"/>
          <w:tab w:val="left" w:pos="567"/>
          <w:tab w:val="left" w:pos="990"/>
        </w:tabs>
        <w:spacing w:line="360" w:lineRule="auto"/>
        <w:jc w:val="both"/>
        <w:rPr>
          <w:rFonts w:ascii="Arial" w:hAnsi="Arial" w:cs="Arial"/>
          <w:lang w:val="en-GB"/>
        </w:rPr>
      </w:pPr>
      <w:r>
        <w:rPr>
          <w:rFonts w:ascii="Arial" w:hAnsi="Arial" w:cs="Arial"/>
          <w:lang w:val="en-GB"/>
        </w:rPr>
        <w:t>[52]</w:t>
      </w:r>
      <w:r>
        <w:rPr>
          <w:rFonts w:ascii="Arial" w:hAnsi="Arial" w:cs="Arial"/>
          <w:lang w:val="en-GB"/>
        </w:rPr>
        <w:tab/>
      </w:r>
      <w:r w:rsidR="008940A2" w:rsidRPr="00696377">
        <w:rPr>
          <w:rFonts w:ascii="Arial" w:hAnsi="Arial" w:cs="Arial"/>
          <w:lang w:val="en-GB"/>
        </w:rPr>
        <w:t xml:space="preserve">Additionally, the Progress of Reconstruction and New Construction of State-Owned Capital Investment and Operation Companies in our Province issued on 30 November 2016 (the </w:t>
      </w:r>
      <w:r w:rsidR="00BE5FCE">
        <w:rPr>
          <w:rFonts w:ascii="Arial" w:hAnsi="Arial" w:cs="Arial"/>
          <w:lang w:val="en-GB"/>
        </w:rPr>
        <w:t>‘</w:t>
      </w:r>
      <w:r w:rsidR="008940A2" w:rsidRPr="00696377">
        <w:rPr>
          <w:rFonts w:ascii="Arial" w:hAnsi="Arial" w:cs="Arial"/>
          <w:lang w:val="en-GB"/>
        </w:rPr>
        <w:t>Progress Report</w:t>
      </w:r>
      <w:r w:rsidR="00BE5FCE">
        <w:rPr>
          <w:rFonts w:ascii="Arial" w:hAnsi="Arial" w:cs="Arial"/>
          <w:lang w:val="en-GB"/>
        </w:rPr>
        <w:t>’) records that with ‘</w:t>
      </w:r>
      <w:r w:rsidR="008940A2" w:rsidRPr="00696377">
        <w:rPr>
          <w:rFonts w:ascii="Arial" w:hAnsi="Arial" w:cs="Arial"/>
          <w:lang w:val="en-GB"/>
        </w:rPr>
        <w:t>the consent of the provincial government, the provincial SASAC approved the reconstruction plans of</w:t>
      </w:r>
      <w:r w:rsidR="00BE5FCE">
        <w:rPr>
          <w:rFonts w:ascii="Arial" w:hAnsi="Arial" w:cs="Arial"/>
          <w:lang w:val="en-GB"/>
        </w:rPr>
        <w:t xml:space="preserve"> 9 enterprises including… [SIS]’</w:t>
      </w:r>
      <w:r w:rsidR="008940A2" w:rsidRPr="00696377">
        <w:rPr>
          <w:rFonts w:ascii="Arial" w:hAnsi="Arial" w:cs="Arial"/>
          <w:lang w:val="en-GB"/>
        </w:rPr>
        <w:t xml:space="preserve">.  As the Progress Report is </w:t>
      </w:r>
      <w:r w:rsidR="00F32B48" w:rsidRPr="00696377">
        <w:rPr>
          <w:rFonts w:ascii="Arial" w:hAnsi="Arial" w:cs="Arial"/>
          <w:lang w:val="en-GB"/>
        </w:rPr>
        <w:t xml:space="preserve">drawn from the website of SASAC, and its </w:t>
      </w:r>
      <w:r w:rsidR="008940A2" w:rsidRPr="00696377">
        <w:rPr>
          <w:rFonts w:ascii="Arial" w:hAnsi="Arial" w:cs="Arial"/>
          <w:lang w:val="en-GB"/>
        </w:rPr>
        <w:t>authenticity is unchallenged</w:t>
      </w:r>
      <w:r w:rsidR="00F32B48" w:rsidRPr="00696377">
        <w:rPr>
          <w:rFonts w:ascii="Arial" w:hAnsi="Arial" w:cs="Arial"/>
          <w:lang w:val="en-GB"/>
        </w:rPr>
        <w:t xml:space="preserve">, the court must accept that it is official information of a government agency issued with the approval of the provincial government. </w:t>
      </w:r>
      <w:r w:rsidR="00A87C59" w:rsidRPr="00696377">
        <w:rPr>
          <w:rFonts w:ascii="Arial" w:hAnsi="Arial" w:cs="Arial"/>
          <w:lang w:val="en-GB"/>
        </w:rPr>
        <w:t xml:space="preserve"> Consequently, the plaintiff’s contention that the Progress Report and relatedly the List Notice are not direct authority from the government must be rejected.</w:t>
      </w:r>
    </w:p>
    <w:p w:rsidR="00A87C59" w:rsidRPr="00A87C59" w:rsidRDefault="00A87C59" w:rsidP="00BF0D6B">
      <w:pPr>
        <w:pStyle w:val="ListParagraph"/>
        <w:spacing w:after="0"/>
        <w:rPr>
          <w:rFonts w:ascii="Arial" w:hAnsi="Arial" w:cs="Arial"/>
          <w:sz w:val="24"/>
          <w:szCs w:val="24"/>
          <w:lang w:val="en-GB"/>
        </w:rPr>
      </w:pPr>
    </w:p>
    <w:p w:rsidR="00516D77" w:rsidRDefault="00696377" w:rsidP="00BF0D6B">
      <w:pPr>
        <w:tabs>
          <w:tab w:val="left" w:pos="0"/>
        </w:tabs>
        <w:spacing w:line="360" w:lineRule="auto"/>
        <w:jc w:val="both"/>
        <w:rPr>
          <w:rFonts w:ascii="Arial" w:hAnsi="Arial" w:cs="Arial"/>
          <w:lang w:val="en-GB"/>
        </w:rPr>
      </w:pPr>
      <w:r>
        <w:rPr>
          <w:rFonts w:ascii="Arial" w:hAnsi="Arial" w:cs="Arial"/>
          <w:lang w:val="en-GB"/>
        </w:rPr>
        <w:t>[53]</w:t>
      </w:r>
      <w:r>
        <w:rPr>
          <w:rFonts w:ascii="Arial" w:hAnsi="Arial" w:cs="Arial"/>
          <w:lang w:val="en-GB"/>
        </w:rPr>
        <w:tab/>
      </w:r>
      <w:r w:rsidR="00A87C59" w:rsidRPr="00696377">
        <w:rPr>
          <w:rFonts w:ascii="Arial" w:hAnsi="Arial" w:cs="Arial"/>
          <w:lang w:val="en-GB"/>
        </w:rPr>
        <w:t xml:space="preserve">The reform must be subject to the PRC Law on SOEs and other </w:t>
      </w:r>
      <w:r w:rsidR="00356481" w:rsidRPr="00696377">
        <w:rPr>
          <w:rFonts w:ascii="Arial" w:hAnsi="Arial" w:cs="Arial"/>
          <w:lang w:val="en-GB"/>
        </w:rPr>
        <w:t>government directives</w:t>
      </w:r>
      <w:r w:rsidR="00A87C59" w:rsidRPr="00696377">
        <w:rPr>
          <w:rFonts w:ascii="Arial" w:hAnsi="Arial" w:cs="Arial"/>
          <w:lang w:val="en-GB"/>
        </w:rPr>
        <w:t xml:space="preserve">.  The PRC Law on SOEs authorises a separation of functions between government and enterprises.  It attributes public administration and regulatory functions to government and investor functions to enterprises. The State Council instructions are peremptory.  They are not recommendations but binding instructions that must be implemented diligently.  </w:t>
      </w:r>
    </w:p>
    <w:p w:rsidR="00BE5FCE" w:rsidRPr="00696377" w:rsidRDefault="00BE5FCE" w:rsidP="00BF0D6B">
      <w:pPr>
        <w:tabs>
          <w:tab w:val="left" w:pos="0"/>
        </w:tabs>
        <w:spacing w:line="360" w:lineRule="auto"/>
        <w:jc w:val="both"/>
        <w:rPr>
          <w:rFonts w:ascii="Arial" w:hAnsi="Arial" w:cs="Arial"/>
        </w:rPr>
      </w:pPr>
    </w:p>
    <w:p w:rsidR="00516D77" w:rsidRPr="00696377" w:rsidRDefault="00696377" w:rsidP="00BF0D6B">
      <w:pPr>
        <w:tabs>
          <w:tab w:val="left" w:pos="0"/>
          <w:tab w:val="left" w:pos="567"/>
        </w:tabs>
        <w:spacing w:line="360" w:lineRule="auto"/>
        <w:jc w:val="both"/>
        <w:rPr>
          <w:rFonts w:ascii="Arial" w:hAnsi="Arial" w:cs="Arial"/>
        </w:rPr>
      </w:pPr>
      <w:r>
        <w:rPr>
          <w:rFonts w:ascii="Arial" w:hAnsi="Arial" w:cs="Arial"/>
          <w:lang w:val="en-GB"/>
        </w:rPr>
        <w:t>[54]</w:t>
      </w:r>
      <w:r>
        <w:rPr>
          <w:rFonts w:ascii="Arial" w:hAnsi="Arial" w:cs="Arial"/>
          <w:lang w:val="en-GB"/>
        </w:rPr>
        <w:tab/>
      </w:r>
      <w:r w:rsidR="00516D77" w:rsidRPr="00696377">
        <w:rPr>
          <w:rFonts w:ascii="Arial" w:hAnsi="Arial" w:cs="Arial"/>
          <w:lang w:val="en-GB"/>
        </w:rPr>
        <w:t>Extracted from the website of SIS, its Notes for Consolidated Financial Statement for Year 2017</w:t>
      </w:r>
      <w:r w:rsidR="00516D77" w:rsidRPr="00696377">
        <w:rPr>
          <w:rFonts w:ascii="Arial" w:hAnsi="Arial" w:cs="Arial"/>
        </w:rPr>
        <w:t xml:space="preserve">, </w:t>
      </w:r>
      <w:r w:rsidR="00711F06" w:rsidRPr="00696377">
        <w:rPr>
          <w:rFonts w:ascii="Arial" w:hAnsi="Arial" w:cs="Arial"/>
        </w:rPr>
        <w:t xml:space="preserve">is also an official public document.  It </w:t>
      </w:r>
      <w:r w:rsidR="00516D77" w:rsidRPr="00696377">
        <w:rPr>
          <w:rFonts w:ascii="Arial" w:hAnsi="Arial" w:cs="Arial"/>
        </w:rPr>
        <w:t xml:space="preserve">records that </w:t>
      </w:r>
      <w:r w:rsidR="00516D77" w:rsidRPr="00696377">
        <w:rPr>
          <w:rFonts w:ascii="Arial" w:hAnsi="Arial" w:cs="Arial"/>
          <w:lang w:val="en-GB"/>
        </w:rPr>
        <w:t>SASAC funded and established SIS.</w:t>
      </w:r>
      <w:r w:rsidR="00516D77" w:rsidRPr="00976FFD">
        <w:rPr>
          <w:rStyle w:val="FootnoteReference"/>
          <w:rFonts w:ascii="Arial" w:hAnsi="Arial" w:cs="Arial"/>
          <w:lang w:val="en-GB"/>
        </w:rPr>
        <w:footnoteReference w:id="24"/>
      </w:r>
      <w:r w:rsidR="00516D77" w:rsidRPr="00696377">
        <w:rPr>
          <w:rFonts w:ascii="Arial" w:hAnsi="Arial" w:cs="Arial"/>
          <w:lang w:val="en-GB"/>
        </w:rPr>
        <w:t xml:space="preserve"> </w:t>
      </w:r>
      <w:r w:rsidR="00711F06" w:rsidRPr="00696377">
        <w:rPr>
          <w:rFonts w:ascii="Arial" w:hAnsi="Arial" w:cs="Arial"/>
          <w:lang w:val="en-GB"/>
        </w:rPr>
        <w:t>Therefore, i</w:t>
      </w:r>
      <w:r w:rsidR="00516D77" w:rsidRPr="00696377">
        <w:rPr>
          <w:rFonts w:ascii="Arial" w:hAnsi="Arial" w:cs="Arial"/>
          <w:lang w:val="en-GB"/>
        </w:rPr>
        <w:t>n 2017, SASAC was the capital contributor of SIS.</w:t>
      </w:r>
    </w:p>
    <w:p w:rsidR="00BC573C" w:rsidRPr="00C76959" w:rsidRDefault="00BC573C"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BC573C" w:rsidRPr="00696377" w:rsidRDefault="00696377" w:rsidP="00BF0D6B">
      <w:pPr>
        <w:tabs>
          <w:tab w:val="left" w:pos="0"/>
          <w:tab w:val="left" w:pos="567"/>
          <w:tab w:val="left" w:pos="990"/>
        </w:tabs>
        <w:spacing w:line="360" w:lineRule="auto"/>
        <w:jc w:val="both"/>
        <w:rPr>
          <w:rFonts w:ascii="Arial" w:hAnsi="Arial" w:cs="Arial"/>
          <w:lang w:val="en-GB"/>
        </w:rPr>
      </w:pPr>
      <w:r>
        <w:rPr>
          <w:rFonts w:ascii="Arial" w:hAnsi="Arial" w:cs="Arial"/>
          <w:lang w:val="en-GB"/>
        </w:rPr>
        <w:t>[55]</w:t>
      </w:r>
      <w:r>
        <w:rPr>
          <w:rFonts w:ascii="Arial" w:hAnsi="Arial" w:cs="Arial"/>
          <w:lang w:val="en-GB"/>
        </w:rPr>
        <w:tab/>
      </w:r>
      <w:r w:rsidR="00BC573C" w:rsidRPr="00696377">
        <w:rPr>
          <w:rFonts w:ascii="Arial" w:hAnsi="Arial" w:cs="Arial"/>
          <w:lang w:val="en-GB"/>
        </w:rPr>
        <w:t>The Plan for System dated 19 April 2019 issued by the State Council states:</w:t>
      </w:r>
    </w:p>
    <w:p w:rsidR="00BC573C" w:rsidRPr="000D3E1F" w:rsidRDefault="00BE5FCE" w:rsidP="00BF0D6B">
      <w:pPr>
        <w:pStyle w:val="ListParagraph"/>
        <w:tabs>
          <w:tab w:val="left" w:pos="0"/>
          <w:tab w:val="left" w:pos="990"/>
        </w:tabs>
        <w:spacing w:after="0" w:line="360" w:lineRule="auto"/>
        <w:ind w:left="0"/>
        <w:jc w:val="both"/>
        <w:rPr>
          <w:rFonts w:ascii="Arial" w:hAnsi="Arial" w:cs="Arial"/>
          <w:lang w:val="en-GB"/>
        </w:rPr>
      </w:pPr>
      <w:r>
        <w:rPr>
          <w:rFonts w:ascii="Arial" w:hAnsi="Arial" w:cs="Arial"/>
          <w:lang w:val="en-GB"/>
        </w:rPr>
        <w:t>‘</w:t>
      </w:r>
      <w:r w:rsidR="00BC573C" w:rsidRPr="000D3E1F">
        <w:rPr>
          <w:rFonts w:ascii="Arial" w:hAnsi="Arial" w:cs="Arial"/>
          <w:lang w:val="en-GB"/>
        </w:rPr>
        <w:t>State-owned capital investment and operation companies directly authori</w:t>
      </w:r>
      <w:r w:rsidR="00967B5F">
        <w:rPr>
          <w:rFonts w:ascii="Arial" w:hAnsi="Arial" w:cs="Arial"/>
          <w:lang w:val="en-GB"/>
        </w:rPr>
        <w:t>z</w:t>
      </w:r>
      <w:r w:rsidR="00BC573C" w:rsidRPr="000D3E1F">
        <w:rPr>
          <w:rFonts w:ascii="Arial" w:hAnsi="Arial" w:cs="Arial"/>
          <w:lang w:val="en-GB"/>
        </w:rPr>
        <w:t xml:space="preserve">ed by the government shall perform the duties of capital contributors with respect to state-owned capital within the scope of authorization in accordance with relevant provisions, and conduct the operation of state-owned capital </w:t>
      </w:r>
      <w:r w:rsidR="00BC573C" w:rsidRPr="00534982">
        <w:rPr>
          <w:rFonts w:ascii="Arial" w:hAnsi="Arial" w:cs="Arial"/>
          <w:i/>
          <w:lang w:val="en-GB"/>
        </w:rPr>
        <w:t>in accordance with the relevant laws</w:t>
      </w:r>
      <w:r w:rsidR="00BC573C" w:rsidRPr="000D3E1F">
        <w:rPr>
          <w:rFonts w:ascii="Arial" w:hAnsi="Arial" w:cs="Arial"/>
          <w:lang w:val="en-GB"/>
        </w:rPr>
        <w:t xml:space="preserve"> and provisions on the superv</w:t>
      </w:r>
      <w:r>
        <w:rPr>
          <w:rFonts w:ascii="Arial" w:hAnsi="Arial" w:cs="Arial"/>
          <w:lang w:val="en-GB"/>
        </w:rPr>
        <w:t>ision of the securities market.’</w:t>
      </w:r>
      <w:r w:rsidR="00BC573C" w:rsidRPr="006C66D9">
        <w:rPr>
          <w:rFonts w:ascii="Arial" w:eastAsia="Times New Roman" w:hAnsi="Arial" w:cs="Arial"/>
          <w:sz w:val="24"/>
          <w:szCs w:val="24"/>
          <w:lang w:val="en-GB"/>
        </w:rPr>
        <w:t xml:space="preserve"> </w:t>
      </w:r>
      <w:r w:rsidR="00BC573C" w:rsidRPr="00BE5FCE">
        <w:rPr>
          <w:rFonts w:ascii="Arial" w:eastAsia="Times New Roman" w:hAnsi="Arial" w:cs="Arial"/>
          <w:szCs w:val="24"/>
          <w:lang w:val="en-GB"/>
        </w:rPr>
        <w:t>(Emphasis added)</w:t>
      </w:r>
    </w:p>
    <w:p w:rsidR="00BC573C" w:rsidRDefault="00BC573C" w:rsidP="00BF0D6B">
      <w:pPr>
        <w:pStyle w:val="ListParagraph"/>
        <w:tabs>
          <w:tab w:val="left" w:pos="0"/>
          <w:tab w:val="left" w:pos="990"/>
        </w:tabs>
        <w:spacing w:after="0" w:line="360" w:lineRule="auto"/>
        <w:ind w:left="0"/>
        <w:jc w:val="both"/>
        <w:rPr>
          <w:rFonts w:ascii="Arial" w:hAnsi="Arial" w:cs="Arial"/>
          <w:sz w:val="24"/>
          <w:szCs w:val="24"/>
          <w:lang w:val="en-GB"/>
        </w:rPr>
      </w:pPr>
    </w:p>
    <w:p w:rsidR="00BC573C" w:rsidRPr="00696377" w:rsidRDefault="00696377" w:rsidP="00BF0D6B">
      <w:pPr>
        <w:tabs>
          <w:tab w:val="left" w:pos="0"/>
          <w:tab w:val="left" w:pos="709"/>
        </w:tabs>
        <w:spacing w:line="360" w:lineRule="auto"/>
        <w:jc w:val="both"/>
        <w:rPr>
          <w:rFonts w:ascii="Arial" w:hAnsi="Arial" w:cs="Arial"/>
          <w:lang w:val="en-GB"/>
        </w:rPr>
      </w:pPr>
      <w:r>
        <w:rPr>
          <w:rFonts w:ascii="Arial" w:hAnsi="Arial" w:cs="Arial"/>
          <w:lang w:val="en-GB"/>
        </w:rPr>
        <w:t>[56]</w:t>
      </w:r>
      <w:r>
        <w:rPr>
          <w:rFonts w:ascii="Arial" w:hAnsi="Arial" w:cs="Arial"/>
          <w:lang w:val="en-GB"/>
        </w:rPr>
        <w:tab/>
      </w:r>
      <w:r w:rsidR="00BC573C" w:rsidRPr="00696377">
        <w:rPr>
          <w:rFonts w:ascii="Arial" w:hAnsi="Arial" w:cs="Arial"/>
          <w:lang w:val="en-GB"/>
        </w:rPr>
        <w:t xml:space="preserve">Consistent with Article 6 of the PRC Law on SOEs, the Plan for System vests SASAC with the power to delegate its capital contributor rights to the SOE holding company (SIS) in relation to its subsidiaries (Tonkolili) while SASAC remains the shareholder in the holding company (SIS).  </w:t>
      </w:r>
    </w:p>
    <w:p w:rsidR="00C76959" w:rsidRPr="008E299E" w:rsidRDefault="00C76959" w:rsidP="00BF0D6B">
      <w:pPr>
        <w:pStyle w:val="ListParagraph"/>
        <w:tabs>
          <w:tab w:val="left" w:pos="0"/>
          <w:tab w:val="left" w:pos="567"/>
          <w:tab w:val="left" w:pos="990"/>
        </w:tabs>
        <w:spacing w:after="0" w:line="360" w:lineRule="auto"/>
        <w:ind w:left="0"/>
        <w:jc w:val="both"/>
        <w:rPr>
          <w:rFonts w:ascii="Arial" w:eastAsia="Times New Roman" w:hAnsi="Arial" w:cs="Arial"/>
          <w:sz w:val="24"/>
          <w:szCs w:val="24"/>
          <w:lang w:val="en-ZA"/>
        </w:rPr>
      </w:pPr>
    </w:p>
    <w:p w:rsidR="00711F06" w:rsidRPr="00696377" w:rsidRDefault="00696377" w:rsidP="00BF0D6B">
      <w:pPr>
        <w:tabs>
          <w:tab w:val="left" w:pos="0"/>
          <w:tab w:val="left" w:pos="567"/>
          <w:tab w:val="left" w:pos="990"/>
        </w:tabs>
        <w:spacing w:line="360" w:lineRule="auto"/>
        <w:jc w:val="both"/>
        <w:rPr>
          <w:rFonts w:ascii="Arial" w:hAnsi="Arial" w:cs="Arial"/>
        </w:rPr>
      </w:pPr>
      <w:r>
        <w:rPr>
          <w:rFonts w:ascii="Arial" w:hAnsi="Arial" w:cs="Arial"/>
          <w:lang w:val="en-GB"/>
        </w:rPr>
        <w:t>[57]</w:t>
      </w:r>
      <w:r>
        <w:rPr>
          <w:rFonts w:ascii="Arial" w:hAnsi="Arial" w:cs="Arial"/>
          <w:lang w:val="en-GB"/>
        </w:rPr>
        <w:tab/>
      </w:r>
      <w:r w:rsidR="00BC573C" w:rsidRPr="00696377">
        <w:rPr>
          <w:rFonts w:ascii="Arial" w:hAnsi="Arial" w:cs="Arial"/>
          <w:lang w:val="en-GB"/>
        </w:rPr>
        <w:t>T</w:t>
      </w:r>
      <w:r w:rsidR="00C76959" w:rsidRPr="00696377">
        <w:rPr>
          <w:rFonts w:ascii="Arial" w:hAnsi="Arial" w:cs="Arial"/>
          <w:lang w:val="en-GB"/>
        </w:rPr>
        <w:t>he List Notice was effective from</w:t>
      </w:r>
      <w:r w:rsidR="00402223">
        <w:rPr>
          <w:rFonts w:ascii="Arial" w:hAnsi="Arial" w:cs="Arial"/>
          <w:lang w:val="en-GB"/>
        </w:rPr>
        <w:t xml:space="preserve"> </w:t>
      </w:r>
      <w:r w:rsidR="00C76959" w:rsidRPr="00696377">
        <w:rPr>
          <w:rFonts w:ascii="Arial" w:hAnsi="Arial" w:cs="Arial"/>
          <w:lang w:val="en-GB"/>
        </w:rPr>
        <w:t>16 December 2019</w:t>
      </w:r>
      <w:r w:rsidR="00BC573C" w:rsidRPr="00696377">
        <w:rPr>
          <w:rFonts w:ascii="Arial" w:hAnsi="Arial" w:cs="Arial"/>
          <w:lang w:val="en-GB"/>
        </w:rPr>
        <w:t>.</w:t>
      </w:r>
      <w:r w:rsidR="00C76959" w:rsidRPr="00696377">
        <w:rPr>
          <w:rFonts w:ascii="Arial" w:hAnsi="Arial" w:cs="Arial"/>
          <w:lang w:val="en-GB"/>
        </w:rPr>
        <w:t xml:space="preserve"> </w:t>
      </w:r>
      <w:r w:rsidR="00BC573C" w:rsidRPr="00696377">
        <w:rPr>
          <w:rFonts w:ascii="Arial" w:hAnsi="Arial" w:cs="Arial"/>
          <w:lang w:val="en-GB"/>
        </w:rPr>
        <w:t xml:space="preserve"> However, it is a historical record of </w:t>
      </w:r>
      <w:r w:rsidR="00C76959" w:rsidRPr="00696377">
        <w:rPr>
          <w:rFonts w:ascii="Arial" w:hAnsi="Arial" w:cs="Arial"/>
          <w:lang w:val="en-GB"/>
        </w:rPr>
        <w:t xml:space="preserve">the relevant dates </w:t>
      </w:r>
      <w:r w:rsidR="005F4782" w:rsidRPr="00696377">
        <w:rPr>
          <w:rFonts w:ascii="Arial" w:hAnsi="Arial" w:cs="Arial"/>
          <w:lang w:val="en-GB"/>
        </w:rPr>
        <w:t xml:space="preserve">for </w:t>
      </w:r>
      <w:r w:rsidR="00C76959" w:rsidRPr="00696377">
        <w:rPr>
          <w:rFonts w:ascii="Arial" w:hAnsi="Arial" w:cs="Arial"/>
          <w:lang w:val="en-GB"/>
        </w:rPr>
        <w:t xml:space="preserve">specific </w:t>
      </w:r>
      <w:r w:rsidR="00883625">
        <w:rPr>
          <w:rFonts w:ascii="Arial" w:hAnsi="Arial" w:cs="Arial"/>
          <w:lang w:val="en-GB"/>
        </w:rPr>
        <w:t>devolution</w:t>
      </w:r>
      <w:r w:rsidR="00C76959" w:rsidRPr="00696377">
        <w:rPr>
          <w:rFonts w:ascii="Arial" w:hAnsi="Arial" w:cs="Arial"/>
          <w:lang w:val="en-GB"/>
        </w:rPr>
        <w:t xml:space="preserve"> for different types of entities. </w:t>
      </w:r>
      <w:r w:rsidR="005F4782" w:rsidRPr="00696377">
        <w:rPr>
          <w:rFonts w:ascii="Arial" w:hAnsi="Arial" w:cs="Arial"/>
          <w:lang w:val="en-GB"/>
        </w:rPr>
        <w:t>Those dates appear alongside</w:t>
      </w:r>
      <w:r w:rsidR="00C76959" w:rsidRPr="00696377">
        <w:rPr>
          <w:rFonts w:ascii="Arial" w:hAnsi="Arial" w:cs="Arial"/>
          <w:lang w:val="en-GB"/>
        </w:rPr>
        <w:t xml:space="preserve"> </w:t>
      </w:r>
      <w:r w:rsidR="005F4782" w:rsidRPr="00696377">
        <w:rPr>
          <w:rFonts w:ascii="Arial" w:hAnsi="Arial" w:cs="Arial"/>
          <w:lang w:val="en-GB"/>
        </w:rPr>
        <w:t xml:space="preserve">the </w:t>
      </w:r>
      <w:r w:rsidR="00883625">
        <w:rPr>
          <w:rFonts w:ascii="Arial" w:hAnsi="Arial" w:cs="Arial"/>
          <w:lang w:val="en-GB"/>
        </w:rPr>
        <w:t>devolution</w:t>
      </w:r>
      <w:r w:rsidR="005F4782" w:rsidRPr="00696377">
        <w:rPr>
          <w:rFonts w:ascii="Arial" w:hAnsi="Arial" w:cs="Arial"/>
          <w:lang w:val="en-GB"/>
        </w:rPr>
        <w:t xml:space="preserve">.  </w:t>
      </w:r>
      <w:r w:rsidR="00C76959" w:rsidRPr="00696377">
        <w:rPr>
          <w:rFonts w:ascii="Arial" w:hAnsi="Arial" w:cs="Arial"/>
          <w:lang w:val="en-GB"/>
        </w:rPr>
        <w:t xml:space="preserve">For SIS, the </w:t>
      </w:r>
      <w:r w:rsidR="00883625">
        <w:rPr>
          <w:rFonts w:ascii="Arial" w:hAnsi="Arial" w:cs="Arial"/>
          <w:lang w:val="en-GB"/>
        </w:rPr>
        <w:t>devolution</w:t>
      </w:r>
      <w:r w:rsidR="00C76959" w:rsidRPr="00696377">
        <w:rPr>
          <w:rFonts w:ascii="Arial" w:hAnsi="Arial" w:cs="Arial"/>
          <w:lang w:val="en-GB"/>
        </w:rPr>
        <w:t xml:space="preserve"> could only have occurred after its establishment by 30 November 2016 and before January 2018.  </w:t>
      </w:r>
      <w:r w:rsidR="005F4782" w:rsidRPr="00696377">
        <w:rPr>
          <w:rFonts w:ascii="Arial" w:hAnsi="Arial" w:cs="Arial"/>
          <w:lang w:val="en-GB"/>
        </w:rPr>
        <w:t>This deduction is fortified by the fact that</w:t>
      </w:r>
      <w:r w:rsidR="00C76959" w:rsidRPr="00696377">
        <w:rPr>
          <w:rFonts w:ascii="Arial" w:hAnsi="Arial" w:cs="Arial"/>
          <w:lang w:val="en-GB"/>
        </w:rPr>
        <w:t xml:space="preserve"> </w:t>
      </w:r>
      <w:r w:rsidR="005F4782" w:rsidRPr="00696377">
        <w:rPr>
          <w:rFonts w:ascii="Arial" w:hAnsi="Arial" w:cs="Arial"/>
          <w:lang w:val="en-GB"/>
        </w:rPr>
        <w:t>by 2017, SASAC was already the capital contributor of SIS.</w:t>
      </w:r>
      <w:r w:rsidR="005F4782" w:rsidRPr="00696377">
        <w:rPr>
          <w:rFonts w:ascii="Arial" w:hAnsi="Arial" w:cs="Arial"/>
        </w:rPr>
        <w:t xml:space="preserve">  </w:t>
      </w:r>
      <w:r w:rsidR="00711F06" w:rsidRPr="00696377">
        <w:rPr>
          <w:rFonts w:ascii="Arial" w:hAnsi="Arial" w:cs="Arial"/>
        </w:rPr>
        <w:t>The</w:t>
      </w:r>
      <w:r w:rsidR="005F4782" w:rsidRPr="00696377">
        <w:rPr>
          <w:rFonts w:ascii="Arial" w:hAnsi="Arial" w:cs="Arial"/>
        </w:rPr>
        <w:t>refore, the</w:t>
      </w:r>
      <w:r w:rsidR="00711F06" w:rsidRPr="00696377">
        <w:rPr>
          <w:rFonts w:ascii="Arial" w:hAnsi="Arial" w:cs="Arial"/>
        </w:rPr>
        <w:t xml:space="preserve"> List Notice do</w:t>
      </w:r>
      <w:r w:rsidR="005F4782" w:rsidRPr="00696377">
        <w:rPr>
          <w:rFonts w:ascii="Arial" w:hAnsi="Arial" w:cs="Arial"/>
        </w:rPr>
        <w:t>es</w:t>
      </w:r>
      <w:r w:rsidR="00711F06" w:rsidRPr="00696377">
        <w:rPr>
          <w:rFonts w:ascii="Arial" w:hAnsi="Arial" w:cs="Arial"/>
        </w:rPr>
        <w:t xml:space="preserve"> not support the p</w:t>
      </w:r>
      <w:r w:rsidR="00B00594" w:rsidRPr="00696377">
        <w:rPr>
          <w:rFonts w:ascii="Arial" w:hAnsi="Arial" w:cs="Arial"/>
        </w:rPr>
        <w:t>l</w:t>
      </w:r>
      <w:r w:rsidR="00711F06" w:rsidRPr="00696377">
        <w:rPr>
          <w:rFonts w:ascii="Arial" w:hAnsi="Arial" w:cs="Arial"/>
        </w:rPr>
        <w:t xml:space="preserve">aintiff’s submission </w:t>
      </w:r>
      <w:r w:rsidR="00665E7E" w:rsidRPr="00696377">
        <w:rPr>
          <w:rFonts w:ascii="Arial" w:hAnsi="Arial" w:cs="Arial"/>
        </w:rPr>
        <w:t xml:space="preserve">that the claim against Tonkolili </w:t>
      </w:r>
      <w:r w:rsidR="005D3C0D" w:rsidRPr="00696377">
        <w:rPr>
          <w:rFonts w:ascii="Arial" w:hAnsi="Arial" w:cs="Arial"/>
        </w:rPr>
        <w:t>preceded the reform.</w:t>
      </w:r>
      <w:r w:rsidR="005F4782" w:rsidRPr="00696377">
        <w:rPr>
          <w:rFonts w:ascii="Arial" w:hAnsi="Arial" w:cs="Arial"/>
        </w:rPr>
        <w:t xml:space="preserve">  </w:t>
      </w:r>
      <w:r w:rsidR="005D3C0D" w:rsidRPr="00696377">
        <w:rPr>
          <w:rFonts w:ascii="Arial" w:hAnsi="Arial" w:cs="Arial"/>
          <w:lang w:val="en-GB"/>
        </w:rPr>
        <w:t>Manifestly, the reform preceded the claim.</w:t>
      </w:r>
    </w:p>
    <w:p w:rsidR="005D3C0D" w:rsidRPr="00711F06" w:rsidRDefault="005D3C0D"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p>
    <w:p w:rsidR="00412FCE" w:rsidRPr="00696377" w:rsidRDefault="00696377" w:rsidP="00BF0D6B">
      <w:pPr>
        <w:tabs>
          <w:tab w:val="left" w:pos="0"/>
          <w:tab w:val="left" w:pos="709"/>
        </w:tabs>
        <w:spacing w:line="360" w:lineRule="auto"/>
        <w:jc w:val="both"/>
        <w:rPr>
          <w:rFonts w:ascii="Arial" w:hAnsi="Arial" w:cs="Arial"/>
        </w:rPr>
      </w:pPr>
      <w:r>
        <w:rPr>
          <w:rFonts w:ascii="Arial" w:hAnsi="Arial" w:cs="Arial"/>
          <w:lang w:val="en-GB"/>
        </w:rPr>
        <w:t>[58]</w:t>
      </w:r>
      <w:r>
        <w:rPr>
          <w:rFonts w:ascii="Arial" w:hAnsi="Arial" w:cs="Arial"/>
          <w:lang w:val="en-GB"/>
        </w:rPr>
        <w:tab/>
      </w:r>
      <w:r w:rsidR="00412FCE" w:rsidRPr="00696377">
        <w:rPr>
          <w:rFonts w:ascii="Arial" w:hAnsi="Arial" w:cs="Arial"/>
          <w:lang w:val="en-GB"/>
        </w:rPr>
        <w:t>The List Notice authorises SASAC to delegate its capital contributor functions to its provincial en</w:t>
      </w:r>
      <w:r w:rsidR="00B92526">
        <w:rPr>
          <w:rFonts w:ascii="Arial" w:hAnsi="Arial" w:cs="Arial"/>
          <w:lang w:val="en-GB"/>
        </w:rPr>
        <w:t>terprises, Shandong SOEs, State-</w:t>
      </w:r>
      <w:r w:rsidR="00412FCE" w:rsidRPr="00696377">
        <w:rPr>
          <w:rFonts w:ascii="Arial" w:hAnsi="Arial" w:cs="Arial"/>
          <w:lang w:val="en-GB"/>
        </w:rPr>
        <w:t xml:space="preserve">owned capital investment and operating companies and </w:t>
      </w:r>
      <w:r w:rsidR="00402223">
        <w:rPr>
          <w:rFonts w:ascii="Arial" w:hAnsi="Arial" w:cs="Arial"/>
          <w:lang w:val="en-GB"/>
        </w:rPr>
        <w:t>‘</w:t>
      </w:r>
      <w:r w:rsidR="00412FCE" w:rsidRPr="00696377">
        <w:rPr>
          <w:rFonts w:ascii="Arial" w:hAnsi="Arial" w:cs="Arial"/>
          <w:lang w:val="en-GB"/>
        </w:rPr>
        <w:t>double hundred enterprises</w:t>
      </w:r>
      <w:r w:rsidR="00402223">
        <w:rPr>
          <w:rFonts w:ascii="Arial" w:hAnsi="Arial" w:cs="Arial"/>
          <w:lang w:val="en-GB"/>
        </w:rPr>
        <w:t>’</w:t>
      </w:r>
      <w:r w:rsidR="00412FCE" w:rsidRPr="00696377">
        <w:rPr>
          <w:rFonts w:ascii="Arial" w:hAnsi="Arial" w:cs="Arial"/>
          <w:lang w:val="en-GB"/>
        </w:rPr>
        <w:t xml:space="preserve">.  Whatever the differences </w:t>
      </w:r>
      <w:r w:rsidR="00883625">
        <w:rPr>
          <w:rFonts w:ascii="Arial" w:hAnsi="Arial" w:cs="Arial"/>
          <w:lang w:val="en-GB"/>
        </w:rPr>
        <w:t>a</w:t>
      </w:r>
      <w:r w:rsidR="00412FCE" w:rsidRPr="00696377">
        <w:rPr>
          <w:rFonts w:ascii="Arial" w:hAnsi="Arial" w:cs="Arial"/>
          <w:lang w:val="en-GB"/>
        </w:rPr>
        <w:t>re amongst these entities</w:t>
      </w:r>
      <w:r w:rsidR="00B92526">
        <w:rPr>
          <w:rFonts w:ascii="Arial" w:hAnsi="Arial" w:cs="Arial"/>
          <w:lang w:val="en-GB"/>
        </w:rPr>
        <w:t>,</w:t>
      </w:r>
      <w:r w:rsidR="00665E7E" w:rsidRPr="00696377">
        <w:rPr>
          <w:rFonts w:ascii="Arial" w:hAnsi="Arial" w:cs="Arial"/>
          <w:lang w:val="en-GB"/>
        </w:rPr>
        <w:t xml:space="preserve"> they</w:t>
      </w:r>
      <w:r w:rsidR="00412FCE" w:rsidRPr="00696377">
        <w:rPr>
          <w:rFonts w:ascii="Arial" w:hAnsi="Arial" w:cs="Arial"/>
          <w:lang w:val="en-GB"/>
        </w:rPr>
        <w:t xml:space="preserve"> </w:t>
      </w:r>
      <w:r w:rsidR="00665E7E" w:rsidRPr="00696377">
        <w:rPr>
          <w:rFonts w:ascii="Arial" w:hAnsi="Arial" w:cs="Arial"/>
          <w:lang w:val="en-GB"/>
        </w:rPr>
        <w:t>are</w:t>
      </w:r>
      <w:r w:rsidR="00412FCE" w:rsidRPr="00696377">
        <w:rPr>
          <w:rFonts w:ascii="Arial" w:hAnsi="Arial" w:cs="Arial"/>
          <w:lang w:val="en-GB"/>
        </w:rPr>
        <w:t xml:space="preserve"> immaterial.  Contrary to the plaintiff’s contentions, the court is not concerned about every provincial enterprise and SOE, or </w:t>
      </w:r>
      <w:r w:rsidR="00B92526">
        <w:rPr>
          <w:rFonts w:ascii="Arial" w:hAnsi="Arial" w:cs="Arial"/>
          <w:lang w:val="en-GB"/>
        </w:rPr>
        <w:t>whether they were pre-existing S</w:t>
      </w:r>
      <w:r w:rsidR="00412FCE" w:rsidRPr="00696377">
        <w:rPr>
          <w:rFonts w:ascii="Arial" w:hAnsi="Arial" w:cs="Arial"/>
          <w:lang w:val="en-GB"/>
        </w:rPr>
        <w:t>tate-owned companies or SOE holding companies.   This case is about the status</w:t>
      </w:r>
      <w:r w:rsidR="00136C65">
        <w:rPr>
          <w:rFonts w:ascii="Arial" w:hAnsi="Arial" w:cs="Arial"/>
          <w:lang w:val="en-GB"/>
        </w:rPr>
        <w:t xml:space="preserve"> of</w:t>
      </w:r>
      <w:r w:rsidR="00412FCE" w:rsidRPr="00696377">
        <w:rPr>
          <w:rFonts w:ascii="Arial" w:hAnsi="Arial" w:cs="Arial"/>
          <w:lang w:val="en-GB"/>
        </w:rPr>
        <w:t xml:space="preserve"> SASAC, SIS and Tonkolili during November 2017 and February 2018.</w:t>
      </w:r>
      <w:r w:rsidR="000C6692" w:rsidRPr="00696377">
        <w:rPr>
          <w:rFonts w:ascii="Arial" w:hAnsi="Arial" w:cs="Arial"/>
        </w:rPr>
        <w:t xml:space="preserve"> The plaintiff’s contention that there is no evidence of any delegation to SIS of the functions of SASAC as a capital contributor by the authorising body which is People’s Government, is unsupported by the evidence.</w:t>
      </w:r>
    </w:p>
    <w:p w:rsidR="000C6692" w:rsidRPr="000C6692" w:rsidRDefault="000C6692" w:rsidP="00BF0D6B">
      <w:pPr>
        <w:pStyle w:val="ListParagraph"/>
        <w:spacing w:after="0"/>
        <w:rPr>
          <w:rFonts w:ascii="Arial" w:eastAsia="Times New Roman" w:hAnsi="Arial" w:cs="Arial"/>
          <w:sz w:val="24"/>
          <w:szCs w:val="24"/>
          <w:lang w:val="en-ZA"/>
        </w:rPr>
      </w:pPr>
    </w:p>
    <w:p w:rsidR="000C6692" w:rsidRPr="000C6692" w:rsidRDefault="000C6692" w:rsidP="00BF0D6B">
      <w:pPr>
        <w:pStyle w:val="ListParagraph"/>
        <w:tabs>
          <w:tab w:val="left" w:pos="0"/>
          <w:tab w:val="left" w:pos="990"/>
        </w:tabs>
        <w:spacing w:after="0" w:line="360" w:lineRule="auto"/>
        <w:ind w:left="0"/>
        <w:jc w:val="both"/>
        <w:rPr>
          <w:rFonts w:ascii="Arial" w:eastAsia="Times New Roman" w:hAnsi="Arial" w:cs="Arial"/>
          <w:sz w:val="24"/>
          <w:szCs w:val="24"/>
          <w:lang w:val="en-ZA"/>
        </w:rPr>
      </w:pPr>
    </w:p>
    <w:p w:rsidR="000C6692" w:rsidRPr="00825F99" w:rsidRDefault="00696377" w:rsidP="00B92526">
      <w:pPr>
        <w:tabs>
          <w:tab w:val="left" w:pos="0"/>
          <w:tab w:val="left" w:pos="709"/>
        </w:tabs>
        <w:spacing w:line="360" w:lineRule="auto"/>
        <w:jc w:val="both"/>
        <w:rPr>
          <w:rFonts w:ascii="Arial" w:hAnsi="Arial" w:cs="Arial"/>
          <w:lang w:val="en-GB"/>
        </w:rPr>
      </w:pPr>
      <w:r>
        <w:rPr>
          <w:rFonts w:ascii="Arial" w:hAnsi="Arial" w:cs="Arial"/>
        </w:rPr>
        <w:t>[59]</w:t>
      </w:r>
      <w:r>
        <w:rPr>
          <w:rFonts w:ascii="Arial" w:hAnsi="Arial" w:cs="Arial"/>
        </w:rPr>
        <w:tab/>
      </w:r>
      <w:r w:rsidR="007F471A" w:rsidRPr="00696377">
        <w:rPr>
          <w:rFonts w:ascii="Arial" w:hAnsi="Arial" w:cs="Arial"/>
        </w:rPr>
        <w:t xml:space="preserve">The plaintiff submits that SASAC can withdraw its power to perform its function of a capital contributor given to SIS and </w:t>
      </w:r>
      <w:r w:rsidR="00883625">
        <w:rPr>
          <w:rFonts w:ascii="Arial" w:hAnsi="Arial" w:cs="Arial"/>
        </w:rPr>
        <w:t xml:space="preserve">it </w:t>
      </w:r>
      <w:r w:rsidR="007F471A" w:rsidRPr="00696377">
        <w:rPr>
          <w:rFonts w:ascii="Arial" w:hAnsi="Arial" w:cs="Arial"/>
        </w:rPr>
        <w:t>has the power to appoint executive and external directors of SIS, which implies the power to remove directors. This</w:t>
      </w:r>
      <w:r w:rsidR="00883625">
        <w:rPr>
          <w:rFonts w:ascii="Arial" w:hAnsi="Arial" w:cs="Arial"/>
        </w:rPr>
        <w:t>, the plaintiff suggests,</w:t>
      </w:r>
      <w:r w:rsidR="007F471A" w:rsidRPr="00696377">
        <w:rPr>
          <w:rFonts w:ascii="Arial" w:hAnsi="Arial" w:cs="Arial"/>
        </w:rPr>
        <w:t xml:space="preserve"> means that SASAC controls Tonkolili. It </w:t>
      </w:r>
      <w:r w:rsidR="000C6692" w:rsidRPr="00696377">
        <w:rPr>
          <w:rFonts w:ascii="Arial" w:hAnsi="Arial" w:cs="Arial"/>
          <w:lang w:val="en-GB"/>
        </w:rPr>
        <w:t xml:space="preserve">points to Article 22 </w:t>
      </w:r>
      <w:r w:rsidR="00AB1EC8">
        <w:rPr>
          <w:rFonts w:ascii="Arial" w:hAnsi="Arial" w:cs="Arial"/>
          <w:lang w:val="en-GB"/>
        </w:rPr>
        <w:t xml:space="preserve">of the PRC Law on SOEs </w:t>
      </w:r>
      <w:r w:rsidR="000C6692" w:rsidRPr="00696377">
        <w:rPr>
          <w:rFonts w:ascii="Arial" w:hAnsi="Arial" w:cs="Arial"/>
          <w:lang w:val="en-GB"/>
        </w:rPr>
        <w:t xml:space="preserve">as a driver for </w:t>
      </w:r>
      <w:r w:rsidR="0028461F" w:rsidRPr="00696377">
        <w:rPr>
          <w:rFonts w:ascii="Arial" w:hAnsi="Arial" w:cs="Arial"/>
          <w:lang w:val="en-GB"/>
        </w:rPr>
        <w:t>SASAC controlling Tonkolili</w:t>
      </w:r>
      <w:r w:rsidR="007F471A" w:rsidRPr="00696377">
        <w:rPr>
          <w:rFonts w:ascii="Arial" w:hAnsi="Arial" w:cs="Arial"/>
          <w:lang w:val="en-GB"/>
        </w:rPr>
        <w:t xml:space="preserve"> in this way</w:t>
      </w:r>
      <w:r w:rsidR="0028461F" w:rsidRPr="00696377">
        <w:rPr>
          <w:rFonts w:ascii="Arial" w:hAnsi="Arial" w:cs="Arial"/>
          <w:lang w:val="en-GB"/>
        </w:rPr>
        <w:t xml:space="preserve">.  Article 22 </w:t>
      </w:r>
      <w:r w:rsidR="000C6692" w:rsidRPr="00696377">
        <w:rPr>
          <w:rFonts w:ascii="Arial" w:hAnsi="Arial" w:cs="Arial"/>
          <w:lang w:val="en-GB"/>
        </w:rPr>
        <w:t xml:space="preserve">provides: </w:t>
      </w:r>
    </w:p>
    <w:p w:rsidR="000C6692" w:rsidRDefault="00B92526"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r>
        <w:rPr>
          <w:rFonts w:ascii="Arial" w:eastAsia="Times New Roman" w:hAnsi="Arial" w:cs="Arial"/>
          <w:lang w:val="en-GB"/>
        </w:rPr>
        <w:t>‘</w:t>
      </w:r>
      <w:r w:rsidR="000C6692" w:rsidRPr="00825F99">
        <w:rPr>
          <w:rFonts w:ascii="Arial" w:eastAsia="Times New Roman" w:hAnsi="Arial" w:cs="Arial"/>
          <w:lang w:val="en-GB"/>
        </w:rPr>
        <w:t>A body performing the contributor</w:t>
      </w:r>
      <w:r w:rsidR="0028461F">
        <w:rPr>
          <w:rFonts w:ascii="Arial" w:eastAsia="Times New Roman" w:hAnsi="Arial" w:cs="Arial"/>
          <w:lang w:val="en-GB"/>
        </w:rPr>
        <w:t>’</w:t>
      </w:r>
      <w:r w:rsidR="000C6692" w:rsidRPr="00825F99">
        <w:rPr>
          <w:rFonts w:ascii="Arial" w:eastAsia="Times New Roman" w:hAnsi="Arial" w:cs="Arial"/>
          <w:lang w:val="en-GB"/>
        </w:rPr>
        <w:t xml:space="preserve">s functions shall, </w:t>
      </w:r>
      <w:r w:rsidR="000C6692" w:rsidRPr="00B92526">
        <w:rPr>
          <w:rFonts w:ascii="Arial" w:eastAsia="Times New Roman" w:hAnsi="Arial" w:cs="Arial"/>
          <w:i/>
          <w:lang w:val="en-GB"/>
        </w:rPr>
        <w:t>according to laws, administrative regulations and enterprise bylaws,</w:t>
      </w:r>
      <w:r w:rsidR="000C6692" w:rsidRPr="00825F99">
        <w:rPr>
          <w:rFonts w:ascii="Arial" w:eastAsia="Times New Roman" w:hAnsi="Arial" w:cs="Arial"/>
          <w:lang w:val="en-GB"/>
        </w:rPr>
        <w:t xml:space="preserve"> appoint or remove, or suggest the appointment or removal of the following personnel of a state-invested enterprise</w:t>
      </w:r>
      <w:r w:rsidR="000C6692" w:rsidRPr="00B92526">
        <w:rPr>
          <w:rFonts w:ascii="Arial" w:eastAsia="Times New Roman" w:hAnsi="Arial" w:cs="Arial"/>
          <w:lang w:val="en-GB"/>
        </w:rPr>
        <w:t>:</w:t>
      </w:r>
      <w:r w:rsidR="00790A43">
        <w:rPr>
          <w:rFonts w:ascii="Arial" w:eastAsia="Times New Roman" w:hAnsi="Arial" w:cs="Arial"/>
          <w:lang w:val="en-GB"/>
        </w:rPr>
        <w:t xml:space="preserve"> . . . .</w:t>
      </w:r>
      <w:r w:rsidRPr="00B92526">
        <w:rPr>
          <w:rFonts w:ascii="Arial" w:eastAsia="Times New Roman" w:hAnsi="Arial" w:cs="Arial"/>
          <w:lang w:val="en-GB"/>
        </w:rPr>
        <w:t>’</w:t>
      </w:r>
      <w:r w:rsidR="000C6692" w:rsidRPr="00B92526">
        <w:rPr>
          <w:rFonts w:ascii="Arial" w:eastAsia="Times New Roman" w:hAnsi="Arial" w:cs="Arial"/>
          <w:lang w:val="en-GB"/>
        </w:rPr>
        <w:t xml:space="preserve"> </w:t>
      </w:r>
      <w:r w:rsidR="0028461F" w:rsidRPr="00B92526">
        <w:rPr>
          <w:rFonts w:ascii="Arial" w:eastAsia="Times New Roman" w:hAnsi="Arial" w:cs="Arial"/>
          <w:lang w:val="en-GB"/>
        </w:rPr>
        <w:t>(Emphasis added)</w:t>
      </w:r>
    </w:p>
    <w:p w:rsidR="0028461F" w:rsidRPr="0028461F" w:rsidRDefault="000C6692"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r w:rsidRPr="008E299E">
        <w:rPr>
          <w:rFonts w:ascii="Arial" w:eastAsia="Times New Roman" w:hAnsi="Arial" w:cs="Arial"/>
          <w:sz w:val="24"/>
          <w:szCs w:val="24"/>
          <w:lang w:val="en-GB"/>
        </w:rPr>
        <w:t>The</w:t>
      </w:r>
      <w:r w:rsidR="0028461F">
        <w:rPr>
          <w:rFonts w:ascii="Arial" w:eastAsia="Times New Roman" w:hAnsi="Arial" w:cs="Arial"/>
          <w:sz w:val="24"/>
          <w:szCs w:val="24"/>
          <w:lang w:val="en-GB"/>
        </w:rPr>
        <w:t xml:space="preserve"> personnel</w:t>
      </w:r>
      <w:r w:rsidRPr="008E299E">
        <w:rPr>
          <w:rFonts w:ascii="Arial" w:eastAsia="Times New Roman" w:hAnsi="Arial" w:cs="Arial"/>
          <w:sz w:val="24"/>
          <w:szCs w:val="24"/>
          <w:lang w:val="en-GB"/>
        </w:rPr>
        <w:t xml:space="preserve"> include the president and vice presidents, persons in charge of finance and other senior managers of a wholly state-owned enterprise, the chairman and vice chairman of the board of directors, directors, chairman of the board of supervisors and supervisors.  </w:t>
      </w:r>
    </w:p>
    <w:p w:rsidR="005D3C0D" w:rsidRDefault="005D3C0D" w:rsidP="00BF0D6B">
      <w:pPr>
        <w:pStyle w:val="ListParagraph"/>
        <w:tabs>
          <w:tab w:val="left" w:pos="0"/>
          <w:tab w:val="left" w:pos="990"/>
        </w:tabs>
        <w:spacing w:after="0" w:line="360" w:lineRule="auto"/>
        <w:ind w:left="0"/>
        <w:jc w:val="both"/>
        <w:rPr>
          <w:rFonts w:ascii="Arial" w:hAnsi="Arial" w:cs="Arial"/>
          <w:sz w:val="24"/>
          <w:szCs w:val="24"/>
          <w:lang w:val="en-GB"/>
        </w:rPr>
      </w:pPr>
    </w:p>
    <w:p w:rsidR="0028461F" w:rsidRPr="00696377" w:rsidRDefault="00696377" w:rsidP="00BF0D6B">
      <w:pPr>
        <w:tabs>
          <w:tab w:val="left" w:pos="0"/>
          <w:tab w:val="left" w:pos="709"/>
        </w:tabs>
        <w:spacing w:line="360" w:lineRule="auto"/>
        <w:jc w:val="both"/>
        <w:rPr>
          <w:rFonts w:ascii="Arial" w:hAnsi="Arial" w:cs="Arial"/>
        </w:rPr>
      </w:pPr>
      <w:r>
        <w:rPr>
          <w:rFonts w:ascii="Arial" w:hAnsi="Arial" w:cs="Arial"/>
        </w:rPr>
        <w:t>[60]</w:t>
      </w:r>
      <w:r>
        <w:rPr>
          <w:rFonts w:ascii="Arial" w:hAnsi="Arial" w:cs="Arial"/>
        </w:rPr>
        <w:tab/>
      </w:r>
      <w:r w:rsidR="0028461F" w:rsidRPr="00696377">
        <w:rPr>
          <w:rFonts w:ascii="Arial" w:hAnsi="Arial" w:cs="Arial"/>
        </w:rPr>
        <w:t>Having found above that SASAC</w:t>
      </w:r>
      <w:r w:rsidR="00883625">
        <w:rPr>
          <w:rFonts w:ascii="Arial" w:hAnsi="Arial" w:cs="Arial"/>
        </w:rPr>
        <w:t>’</w:t>
      </w:r>
      <w:r w:rsidR="0028461F" w:rsidRPr="00696377">
        <w:rPr>
          <w:rFonts w:ascii="Arial" w:hAnsi="Arial" w:cs="Arial"/>
        </w:rPr>
        <w:t xml:space="preserve">s contributor functions </w:t>
      </w:r>
      <w:r w:rsidR="00883625">
        <w:rPr>
          <w:rFonts w:ascii="Arial" w:hAnsi="Arial" w:cs="Arial"/>
          <w:lang w:val="en-GB"/>
        </w:rPr>
        <w:t xml:space="preserve">devolved </w:t>
      </w:r>
      <w:r w:rsidR="0028461F" w:rsidRPr="00696377">
        <w:rPr>
          <w:rFonts w:ascii="Arial" w:hAnsi="Arial" w:cs="Arial"/>
        </w:rPr>
        <w:t xml:space="preserve">to SIS, and </w:t>
      </w:r>
      <w:r w:rsidR="0028559C">
        <w:rPr>
          <w:rFonts w:ascii="Arial" w:hAnsi="Arial" w:cs="Arial"/>
        </w:rPr>
        <w:t xml:space="preserve">with </w:t>
      </w:r>
      <w:r w:rsidR="0028461F" w:rsidRPr="00696377">
        <w:rPr>
          <w:rFonts w:ascii="Arial" w:hAnsi="Arial" w:cs="Arial"/>
        </w:rPr>
        <w:t>the emphasis</w:t>
      </w:r>
      <w:r w:rsidR="0028559C">
        <w:rPr>
          <w:rFonts w:ascii="Arial" w:hAnsi="Arial" w:cs="Arial"/>
        </w:rPr>
        <w:t xml:space="preserve"> being</w:t>
      </w:r>
      <w:r w:rsidR="0028461F" w:rsidRPr="00696377">
        <w:rPr>
          <w:rFonts w:ascii="Arial" w:hAnsi="Arial" w:cs="Arial"/>
        </w:rPr>
        <w:t xml:space="preserve"> on acti</w:t>
      </w:r>
      <w:r w:rsidR="00A75B91">
        <w:rPr>
          <w:rFonts w:ascii="Arial" w:hAnsi="Arial" w:cs="Arial"/>
        </w:rPr>
        <w:t>ng ‘according to the laws’</w:t>
      </w:r>
      <w:r w:rsidR="0028461F" w:rsidRPr="00696377">
        <w:rPr>
          <w:rFonts w:ascii="Arial" w:hAnsi="Arial" w:cs="Arial"/>
        </w:rPr>
        <w:t xml:space="preserve">, SIS and not SASAC </w:t>
      </w:r>
      <w:r w:rsidR="00DE004A" w:rsidRPr="00696377">
        <w:rPr>
          <w:rFonts w:ascii="Arial" w:hAnsi="Arial" w:cs="Arial"/>
        </w:rPr>
        <w:t>appoints and removes the personnel of Tonkolili.  SASAC cannot abuse its control over SIS to manipulate SIS’s decisions regarding Tonkolili.  The plaintiff’s submission in this regard must be rejected.</w:t>
      </w:r>
    </w:p>
    <w:p w:rsidR="00DE004A" w:rsidRPr="0028461F" w:rsidRDefault="00DE004A" w:rsidP="00BF0D6B">
      <w:pPr>
        <w:pStyle w:val="ListParagraph"/>
        <w:tabs>
          <w:tab w:val="left" w:pos="0"/>
          <w:tab w:val="left" w:pos="990"/>
        </w:tabs>
        <w:spacing w:after="0" w:line="360" w:lineRule="auto"/>
        <w:ind w:left="0"/>
        <w:jc w:val="both"/>
        <w:rPr>
          <w:rFonts w:ascii="Arial" w:eastAsia="Times New Roman" w:hAnsi="Arial" w:cs="Arial"/>
          <w:sz w:val="24"/>
          <w:szCs w:val="24"/>
          <w:lang w:val="en-ZA"/>
        </w:rPr>
      </w:pPr>
    </w:p>
    <w:p w:rsidR="00356481" w:rsidRPr="00696377" w:rsidRDefault="00696377" w:rsidP="00BF0D6B">
      <w:pPr>
        <w:tabs>
          <w:tab w:val="left" w:pos="0"/>
          <w:tab w:val="left" w:pos="709"/>
        </w:tabs>
        <w:spacing w:line="360" w:lineRule="auto"/>
        <w:jc w:val="both"/>
        <w:rPr>
          <w:rFonts w:ascii="Arial" w:hAnsi="Arial" w:cs="Arial"/>
        </w:rPr>
      </w:pPr>
      <w:r>
        <w:rPr>
          <w:rFonts w:ascii="Arial" w:hAnsi="Arial" w:cs="Arial"/>
          <w:lang w:val="en-GB"/>
        </w:rPr>
        <w:t>[61]</w:t>
      </w:r>
      <w:r>
        <w:rPr>
          <w:rFonts w:ascii="Arial" w:hAnsi="Arial" w:cs="Arial"/>
          <w:lang w:val="en-GB"/>
        </w:rPr>
        <w:tab/>
      </w:r>
      <w:r w:rsidR="00356481" w:rsidRPr="00696377">
        <w:rPr>
          <w:rFonts w:ascii="Arial" w:hAnsi="Arial" w:cs="Arial"/>
          <w:lang w:val="en-GB"/>
        </w:rPr>
        <w:t xml:space="preserve">The Plan for Systems entrusted the SOE holding companies with the duties of capital contributors for the subsidiaries.  Duly authorised, SASAC approved the reform of SIS into a SOE holding company exercising capital contributor functions over its subsidiary Tonkolili. SASAC’s control is limited to regulating SIS.  This limitation is in furtherance of the aims of the reform to prevent or minimise government interference in subsidiaries.  Considering that the nature of the powers include </w:t>
      </w:r>
      <w:r w:rsidR="00356481" w:rsidRPr="00696377">
        <w:rPr>
          <w:rFonts w:ascii="Arial" w:hAnsi="Arial" w:cs="Arial"/>
        </w:rPr>
        <w:t xml:space="preserve">deciding </w:t>
      </w:r>
      <w:r w:rsidR="00952F4F">
        <w:rPr>
          <w:rFonts w:ascii="Arial" w:hAnsi="Arial" w:cs="Arial"/>
        </w:rPr>
        <w:t>on ‘</w:t>
      </w:r>
      <w:r w:rsidR="00356481" w:rsidRPr="00696377">
        <w:rPr>
          <w:rFonts w:ascii="Arial" w:hAnsi="Arial" w:cs="Arial"/>
        </w:rPr>
        <w:t xml:space="preserve">the restructuring, transfer of </w:t>
      </w:r>
      <w:r w:rsidR="00130CA5">
        <w:rPr>
          <w:rFonts w:ascii="Arial" w:hAnsi="Arial" w:cs="Arial"/>
        </w:rPr>
        <w:t>S</w:t>
      </w:r>
      <w:r w:rsidR="00356481" w:rsidRPr="00696377">
        <w:rPr>
          <w:rFonts w:ascii="Arial" w:hAnsi="Arial" w:cs="Arial"/>
        </w:rPr>
        <w:t>tate-owned property rights, merger, division, dissolution, liquidation and application for bankruptcy of provincial</w:t>
      </w:r>
      <w:r w:rsidR="00952F4F">
        <w:rPr>
          <w:rFonts w:ascii="Arial" w:hAnsi="Arial" w:cs="Arial"/>
        </w:rPr>
        <w:t xml:space="preserve"> level II and below enterprises’</w:t>
      </w:r>
      <w:r w:rsidR="00356481" w:rsidRPr="00696377">
        <w:rPr>
          <w:rFonts w:ascii="Arial" w:hAnsi="Arial" w:cs="Arial"/>
        </w:rPr>
        <w:t xml:space="preserve">, </w:t>
      </w:r>
      <w:r w:rsidR="00356481" w:rsidRPr="00696377">
        <w:rPr>
          <w:rFonts w:ascii="Arial" w:hAnsi="Arial" w:cs="Arial"/>
          <w:lang w:val="en-GB"/>
        </w:rPr>
        <w:t xml:space="preserve">they extend beyond the day to day management of the subsidiaries.  Indeed, the powers are sufficient to determine the fate and destiny of the subsidiary Tonkolili. </w:t>
      </w:r>
    </w:p>
    <w:p w:rsidR="00356481" w:rsidRDefault="00356481" w:rsidP="00BF0D6B">
      <w:pPr>
        <w:pStyle w:val="ListParagraph"/>
        <w:tabs>
          <w:tab w:val="left" w:pos="0"/>
          <w:tab w:val="left" w:pos="990"/>
        </w:tabs>
        <w:spacing w:after="0" w:line="360" w:lineRule="auto"/>
        <w:ind w:left="0"/>
        <w:jc w:val="both"/>
        <w:rPr>
          <w:rFonts w:ascii="Arial" w:hAnsi="Arial" w:cs="Arial"/>
          <w:sz w:val="24"/>
          <w:szCs w:val="24"/>
          <w:lang w:val="en-GB"/>
        </w:rPr>
      </w:pPr>
    </w:p>
    <w:p w:rsidR="00E27452" w:rsidRPr="00696377" w:rsidRDefault="00696377" w:rsidP="00BF0D6B">
      <w:pPr>
        <w:tabs>
          <w:tab w:val="left" w:pos="0"/>
          <w:tab w:val="left" w:pos="709"/>
        </w:tabs>
        <w:spacing w:line="360" w:lineRule="auto"/>
        <w:jc w:val="both"/>
        <w:rPr>
          <w:rFonts w:ascii="Arial" w:hAnsi="Arial" w:cs="Arial"/>
          <w:lang w:val="en-GB"/>
        </w:rPr>
      </w:pPr>
      <w:r>
        <w:rPr>
          <w:rFonts w:ascii="Arial" w:hAnsi="Arial" w:cs="Arial"/>
          <w:lang w:val="en-GB"/>
        </w:rPr>
        <w:t>[62]</w:t>
      </w:r>
      <w:r>
        <w:rPr>
          <w:rFonts w:ascii="Arial" w:hAnsi="Arial" w:cs="Arial"/>
          <w:lang w:val="en-GB"/>
        </w:rPr>
        <w:tab/>
      </w:r>
      <w:r w:rsidR="002B42C3" w:rsidRPr="00696377">
        <w:rPr>
          <w:rFonts w:ascii="Arial" w:hAnsi="Arial" w:cs="Arial"/>
          <w:lang w:val="en-GB"/>
        </w:rPr>
        <w:t xml:space="preserve">The </w:t>
      </w:r>
      <w:r w:rsidR="0014624E">
        <w:rPr>
          <w:rFonts w:ascii="Arial" w:hAnsi="Arial" w:cs="Arial"/>
          <w:lang w:val="en-GB"/>
        </w:rPr>
        <w:t>W</w:t>
      </w:r>
      <w:r w:rsidR="002B42C3" w:rsidRPr="00696377">
        <w:rPr>
          <w:rFonts w:ascii="Arial" w:hAnsi="Arial" w:cs="Arial"/>
          <w:lang w:val="en-GB"/>
        </w:rPr>
        <w:t>estern world might find the alienation of control by sh</w:t>
      </w:r>
      <w:r w:rsidR="005D07BA">
        <w:rPr>
          <w:rFonts w:ascii="Arial" w:hAnsi="Arial" w:cs="Arial"/>
          <w:lang w:val="en-GB"/>
        </w:rPr>
        <w:t>areholders illogical or counter-</w:t>
      </w:r>
      <w:r w:rsidR="002B42C3" w:rsidRPr="00696377">
        <w:rPr>
          <w:rFonts w:ascii="Arial" w:hAnsi="Arial" w:cs="Arial"/>
          <w:lang w:val="en-GB"/>
        </w:rPr>
        <w:t xml:space="preserve">intuitive.  That is, until one recognises that the direction of the reform is from </w:t>
      </w:r>
      <w:r w:rsidR="00D633EA" w:rsidRPr="00696377">
        <w:rPr>
          <w:rFonts w:ascii="Arial" w:hAnsi="Arial" w:cs="Arial"/>
          <w:lang w:val="en-GB"/>
        </w:rPr>
        <w:t>co</w:t>
      </w:r>
      <w:r w:rsidR="005D07BA">
        <w:rPr>
          <w:rFonts w:ascii="Arial" w:hAnsi="Arial" w:cs="Arial"/>
          <w:lang w:val="en-GB"/>
        </w:rPr>
        <w:t>mmunism, a system in which the State</w:t>
      </w:r>
      <w:r w:rsidR="0014624E">
        <w:rPr>
          <w:rFonts w:ascii="Arial" w:hAnsi="Arial" w:cs="Arial"/>
          <w:lang w:val="en-GB"/>
        </w:rPr>
        <w:t xml:space="preserve"> </w:t>
      </w:r>
      <w:r w:rsidR="00D633EA" w:rsidRPr="00696377">
        <w:rPr>
          <w:rFonts w:ascii="Arial" w:hAnsi="Arial" w:cs="Arial"/>
          <w:lang w:val="en-GB"/>
        </w:rPr>
        <w:t xml:space="preserve">owned </w:t>
      </w:r>
      <w:r w:rsidR="000D3E1F" w:rsidRPr="00696377">
        <w:rPr>
          <w:rFonts w:ascii="Arial" w:hAnsi="Arial" w:cs="Arial"/>
          <w:lang w:val="en-GB"/>
        </w:rPr>
        <w:t>major</w:t>
      </w:r>
      <w:r w:rsidR="00D633EA" w:rsidRPr="00696377">
        <w:rPr>
          <w:rFonts w:ascii="Arial" w:hAnsi="Arial" w:cs="Arial"/>
          <w:lang w:val="en-GB"/>
        </w:rPr>
        <w:t xml:space="preserve"> enterprises</w:t>
      </w:r>
      <w:r w:rsidR="00825F99" w:rsidRPr="00696377">
        <w:rPr>
          <w:rFonts w:ascii="Arial" w:hAnsi="Arial" w:cs="Arial"/>
          <w:lang w:val="en-GB"/>
        </w:rPr>
        <w:t>,</w:t>
      </w:r>
      <w:r w:rsidR="00D633EA" w:rsidRPr="00696377">
        <w:rPr>
          <w:rFonts w:ascii="Arial" w:hAnsi="Arial" w:cs="Arial"/>
          <w:lang w:val="en-GB"/>
        </w:rPr>
        <w:t xml:space="preserve"> towards a market economy. </w:t>
      </w:r>
      <w:r w:rsidR="002B42C3" w:rsidRPr="00696377">
        <w:rPr>
          <w:rFonts w:ascii="Arial" w:hAnsi="Arial" w:cs="Arial"/>
          <w:lang w:val="en-GB"/>
        </w:rPr>
        <w:t xml:space="preserve"> </w:t>
      </w:r>
      <w:r w:rsidR="00D633EA" w:rsidRPr="00696377">
        <w:rPr>
          <w:rFonts w:ascii="Arial" w:hAnsi="Arial" w:cs="Arial"/>
          <w:lang w:val="en-GB"/>
        </w:rPr>
        <w:t>To accompl</w:t>
      </w:r>
      <w:r w:rsidR="00E81481">
        <w:rPr>
          <w:rFonts w:ascii="Arial" w:hAnsi="Arial" w:cs="Arial"/>
          <w:lang w:val="en-GB"/>
        </w:rPr>
        <w:t>ish this dramatic journey, the S</w:t>
      </w:r>
      <w:r w:rsidR="00D633EA" w:rsidRPr="00696377">
        <w:rPr>
          <w:rFonts w:ascii="Arial" w:hAnsi="Arial" w:cs="Arial"/>
          <w:lang w:val="en-GB"/>
        </w:rPr>
        <w:t>tate must relinquish its control o</w:t>
      </w:r>
      <w:r w:rsidR="00E77C9A" w:rsidRPr="00696377">
        <w:rPr>
          <w:rFonts w:ascii="Arial" w:hAnsi="Arial" w:cs="Arial"/>
          <w:lang w:val="en-GB"/>
        </w:rPr>
        <w:t>f the rei</w:t>
      </w:r>
      <w:r w:rsidR="00790A43">
        <w:rPr>
          <w:rFonts w:ascii="Arial" w:hAnsi="Arial" w:cs="Arial"/>
          <w:lang w:val="en-GB"/>
        </w:rPr>
        <w:t>n</w:t>
      </w:r>
      <w:r w:rsidR="00E77C9A" w:rsidRPr="00696377">
        <w:rPr>
          <w:rFonts w:ascii="Arial" w:hAnsi="Arial" w:cs="Arial"/>
          <w:lang w:val="en-GB"/>
        </w:rPr>
        <w:t xml:space="preserve">s to its enterprises.  </w:t>
      </w:r>
      <w:r w:rsidR="003F3AF3" w:rsidRPr="00696377">
        <w:rPr>
          <w:rFonts w:ascii="Arial" w:hAnsi="Arial" w:cs="Arial"/>
          <w:lang w:val="en-GB"/>
        </w:rPr>
        <w:t xml:space="preserve">With the opening of the economy to the </w:t>
      </w:r>
      <w:r w:rsidR="00790A43">
        <w:rPr>
          <w:rFonts w:ascii="Arial" w:hAnsi="Arial" w:cs="Arial"/>
          <w:lang w:val="en-GB"/>
        </w:rPr>
        <w:t>W</w:t>
      </w:r>
      <w:r w:rsidR="003F3AF3" w:rsidRPr="00696377">
        <w:rPr>
          <w:rFonts w:ascii="Arial" w:hAnsi="Arial" w:cs="Arial"/>
          <w:lang w:val="en-GB"/>
        </w:rPr>
        <w:t>estern world, f</w:t>
      </w:r>
      <w:r w:rsidR="00E81481">
        <w:rPr>
          <w:rFonts w:ascii="Arial" w:hAnsi="Arial" w:cs="Arial"/>
          <w:lang w:val="en-GB"/>
        </w:rPr>
        <w:t>or as long as the S</w:t>
      </w:r>
      <w:r w:rsidR="00E77C9A" w:rsidRPr="00696377">
        <w:rPr>
          <w:rFonts w:ascii="Arial" w:hAnsi="Arial" w:cs="Arial"/>
          <w:lang w:val="en-GB"/>
        </w:rPr>
        <w:t xml:space="preserve">tate controlled the destiny of </w:t>
      </w:r>
      <w:r w:rsidR="00E81481">
        <w:rPr>
          <w:rFonts w:ascii="Arial" w:hAnsi="Arial" w:cs="Arial"/>
          <w:lang w:val="en-GB"/>
        </w:rPr>
        <w:t>all its enterprises, the People</w:t>
      </w:r>
      <w:r w:rsidR="00E77C9A" w:rsidRPr="00696377">
        <w:rPr>
          <w:rFonts w:ascii="Arial" w:hAnsi="Arial" w:cs="Arial"/>
          <w:lang w:val="en-GB"/>
        </w:rPr>
        <w:t>s</w:t>
      </w:r>
      <w:r w:rsidR="00E81481">
        <w:rPr>
          <w:rFonts w:ascii="Arial" w:hAnsi="Arial" w:cs="Arial"/>
          <w:lang w:val="en-GB"/>
        </w:rPr>
        <w:t>’</w:t>
      </w:r>
      <w:r w:rsidR="00E77C9A" w:rsidRPr="00696377">
        <w:rPr>
          <w:rFonts w:ascii="Arial" w:hAnsi="Arial" w:cs="Arial"/>
          <w:lang w:val="en-GB"/>
        </w:rPr>
        <w:t xml:space="preserve"> Republic of China w</w:t>
      </w:r>
      <w:r w:rsidR="003F3AF3" w:rsidRPr="00696377">
        <w:rPr>
          <w:rFonts w:ascii="Arial" w:hAnsi="Arial" w:cs="Arial"/>
          <w:lang w:val="en-GB"/>
        </w:rPr>
        <w:t>ould</w:t>
      </w:r>
      <w:r w:rsidR="00E77C9A" w:rsidRPr="00696377">
        <w:rPr>
          <w:rFonts w:ascii="Arial" w:hAnsi="Arial" w:cs="Arial"/>
          <w:lang w:val="en-GB"/>
        </w:rPr>
        <w:t xml:space="preserve"> be rich pickings for claims of associat</w:t>
      </w:r>
      <w:r w:rsidR="0008781D" w:rsidRPr="00696377">
        <w:rPr>
          <w:rFonts w:ascii="Arial" w:hAnsi="Arial" w:cs="Arial"/>
          <w:lang w:val="en-GB"/>
        </w:rPr>
        <w:t>ion</w:t>
      </w:r>
      <w:r w:rsidR="00C254F8">
        <w:rPr>
          <w:rFonts w:ascii="Arial" w:hAnsi="Arial" w:cs="Arial"/>
          <w:lang w:val="en-GB"/>
        </w:rPr>
        <w:t>.  The reform would bring the S</w:t>
      </w:r>
      <w:r w:rsidR="003F3AF3" w:rsidRPr="00696377">
        <w:rPr>
          <w:rFonts w:ascii="Arial" w:hAnsi="Arial" w:cs="Arial"/>
          <w:lang w:val="en-GB"/>
        </w:rPr>
        <w:t>tate ownership of enterprises by the Peopl</w:t>
      </w:r>
      <w:r w:rsidR="00C254F8">
        <w:rPr>
          <w:rFonts w:ascii="Arial" w:hAnsi="Arial" w:cs="Arial"/>
          <w:lang w:val="en-GB"/>
        </w:rPr>
        <w:t>e</w:t>
      </w:r>
      <w:r w:rsidR="003F3AF3" w:rsidRPr="00696377">
        <w:rPr>
          <w:rFonts w:ascii="Arial" w:hAnsi="Arial" w:cs="Arial"/>
          <w:lang w:val="en-GB"/>
        </w:rPr>
        <w:t>s</w:t>
      </w:r>
      <w:r w:rsidR="00C254F8">
        <w:rPr>
          <w:rFonts w:ascii="Arial" w:hAnsi="Arial" w:cs="Arial"/>
          <w:lang w:val="en-GB"/>
        </w:rPr>
        <w:t>’</w:t>
      </w:r>
      <w:r w:rsidR="003F3AF3" w:rsidRPr="00696377">
        <w:rPr>
          <w:rFonts w:ascii="Arial" w:hAnsi="Arial" w:cs="Arial"/>
          <w:lang w:val="en-GB"/>
        </w:rPr>
        <w:t xml:space="preserve"> Republic of China in line with </w:t>
      </w:r>
      <w:r w:rsidR="0014624E">
        <w:rPr>
          <w:rFonts w:ascii="Arial" w:hAnsi="Arial" w:cs="Arial"/>
          <w:lang w:val="en-GB"/>
        </w:rPr>
        <w:t>W</w:t>
      </w:r>
      <w:r w:rsidR="003F3AF3" w:rsidRPr="00696377">
        <w:rPr>
          <w:rFonts w:ascii="Arial" w:hAnsi="Arial" w:cs="Arial"/>
          <w:lang w:val="en-GB"/>
        </w:rPr>
        <w:t>estern market economies</w:t>
      </w:r>
      <w:r w:rsidR="002D60AB" w:rsidRPr="00696377">
        <w:rPr>
          <w:rFonts w:ascii="Arial" w:hAnsi="Arial" w:cs="Arial"/>
          <w:lang w:val="en-GB"/>
        </w:rPr>
        <w:t>, whilst maintaining a socialist agenda.</w:t>
      </w:r>
    </w:p>
    <w:p w:rsidR="0008781D" w:rsidRPr="0008781D" w:rsidRDefault="0008781D" w:rsidP="00BF0D6B">
      <w:pPr>
        <w:pStyle w:val="ListParagraph"/>
        <w:spacing w:after="0"/>
        <w:rPr>
          <w:rFonts w:ascii="Arial" w:hAnsi="Arial" w:cs="Arial"/>
          <w:sz w:val="24"/>
          <w:szCs w:val="24"/>
          <w:lang w:val="en-GB"/>
        </w:rPr>
      </w:pPr>
    </w:p>
    <w:p w:rsidR="0008781D" w:rsidRPr="0008781D" w:rsidRDefault="0008781D" w:rsidP="00BF0D6B">
      <w:pPr>
        <w:pStyle w:val="ListParagraph"/>
        <w:tabs>
          <w:tab w:val="left" w:pos="0"/>
          <w:tab w:val="left" w:pos="990"/>
        </w:tabs>
        <w:spacing w:after="0" w:line="360" w:lineRule="auto"/>
        <w:ind w:left="0"/>
        <w:jc w:val="both"/>
        <w:rPr>
          <w:rFonts w:ascii="Arial" w:hAnsi="Arial" w:cs="Arial"/>
          <w:sz w:val="24"/>
          <w:szCs w:val="24"/>
          <w:lang w:val="en-GB"/>
        </w:rPr>
      </w:pPr>
    </w:p>
    <w:p w:rsidR="007A75FD" w:rsidRPr="00696377" w:rsidRDefault="00696377" w:rsidP="00BF0D6B">
      <w:pPr>
        <w:tabs>
          <w:tab w:val="left" w:pos="0"/>
          <w:tab w:val="left" w:pos="709"/>
        </w:tabs>
        <w:spacing w:line="360" w:lineRule="auto"/>
        <w:jc w:val="both"/>
        <w:rPr>
          <w:rFonts w:ascii="Arial" w:hAnsi="Arial" w:cs="Arial"/>
          <w:lang w:val="en-GB"/>
        </w:rPr>
      </w:pPr>
      <w:r>
        <w:rPr>
          <w:rFonts w:ascii="Arial" w:hAnsi="Arial" w:cs="Arial"/>
          <w:lang w:val="en-GB"/>
        </w:rPr>
        <w:t>[63]</w:t>
      </w:r>
      <w:r>
        <w:rPr>
          <w:rFonts w:ascii="Arial" w:hAnsi="Arial" w:cs="Arial"/>
          <w:lang w:val="en-GB"/>
        </w:rPr>
        <w:tab/>
      </w:r>
      <w:r w:rsidR="004E261A" w:rsidRPr="00696377">
        <w:rPr>
          <w:rFonts w:ascii="Arial" w:hAnsi="Arial" w:cs="Arial"/>
          <w:lang w:val="en-GB"/>
        </w:rPr>
        <w:t>S</w:t>
      </w:r>
      <w:r w:rsidR="009254C4" w:rsidRPr="00696377">
        <w:rPr>
          <w:rFonts w:ascii="Arial" w:hAnsi="Arial" w:cs="Arial"/>
          <w:lang w:val="en-GB"/>
        </w:rPr>
        <w:t>ASAC</w:t>
      </w:r>
      <w:r w:rsidR="004E261A" w:rsidRPr="00696377">
        <w:rPr>
          <w:rFonts w:ascii="Arial" w:hAnsi="Arial" w:cs="Arial"/>
          <w:lang w:val="en-GB"/>
        </w:rPr>
        <w:t xml:space="preserve"> exercises its regulatory powers to hold</w:t>
      </w:r>
      <w:r w:rsidR="009254C4" w:rsidRPr="00696377">
        <w:rPr>
          <w:rFonts w:ascii="Arial" w:hAnsi="Arial" w:cs="Arial"/>
          <w:lang w:val="en-GB"/>
        </w:rPr>
        <w:t xml:space="preserve"> SIS </w:t>
      </w:r>
      <w:r w:rsidR="004E261A" w:rsidRPr="00696377">
        <w:rPr>
          <w:rFonts w:ascii="Arial" w:hAnsi="Arial" w:cs="Arial"/>
          <w:lang w:val="en-GB"/>
        </w:rPr>
        <w:t>to the co</w:t>
      </w:r>
      <w:r w:rsidR="00707370" w:rsidRPr="00696377">
        <w:rPr>
          <w:rFonts w:ascii="Arial" w:hAnsi="Arial" w:cs="Arial"/>
          <w:lang w:val="en-GB"/>
        </w:rPr>
        <w:t>urse</w:t>
      </w:r>
      <w:r w:rsidR="004E261A" w:rsidRPr="00696377">
        <w:rPr>
          <w:rFonts w:ascii="Arial" w:hAnsi="Arial" w:cs="Arial"/>
          <w:lang w:val="en-GB"/>
        </w:rPr>
        <w:t xml:space="preserve"> of conducting itself lawfully</w:t>
      </w:r>
      <w:r w:rsidR="00707370" w:rsidRPr="00696377">
        <w:rPr>
          <w:rFonts w:ascii="Arial" w:hAnsi="Arial" w:cs="Arial"/>
          <w:lang w:val="en-GB"/>
        </w:rPr>
        <w:t xml:space="preserve">. </w:t>
      </w:r>
      <w:r w:rsidR="004E261A" w:rsidRPr="00696377">
        <w:rPr>
          <w:rFonts w:ascii="Arial" w:hAnsi="Arial" w:cs="Arial"/>
          <w:lang w:val="en-GB"/>
        </w:rPr>
        <w:t xml:space="preserve"> </w:t>
      </w:r>
      <w:r w:rsidR="00707370" w:rsidRPr="00696377">
        <w:rPr>
          <w:rFonts w:ascii="Arial" w:hAnsi="Arial" w:cs="Arial"/>
          <w:lang w:val="en-GB"/>
        </w:rPr>
        <w:t>C</w:t>
      </w:r>
      <w:r w:rsidR="004E261A" w:rsidRPr="00696377">
        <w:rPr>
          <w:rFonts w:ascii="Arial" w:hAnsi="Arial" w:cs="Arial"/>
          <w:lang w:val="en-GB"/>
        </w:rPr>
        <w:t>onversely</w:t>
      </w:r>
      <w:r w:rsidR="00707370" w:rsidRPr="00696377">
        <w:rPr>
          <w:rFonts w:ascii="Arial" w:hAnsi="Arial" w:cs="Arial"/>
          <w:lang w:val="en-GB"/>
        </w:rPr>
        <w:t>, SASAC</w:t>
      </w:r>
      <w:r w:rsidR="004E261A" w:rsidRPr="00696377">
        <w:rPr>
          <w:rFonts w:ascii="Arial" w:hAnsi="Arial" w:cs="Arial"/>
          <w:lang w:val="en-GB"/>
        </w:rPr>
        <w:t xml:space="preserve"> cannot overstep its boundaries and interfere in the investor</w:t>
      </w:r>
      <w:r w:rsidR="00707370" w:rsidRPr="00696377">
        <w:rPr>
          <w:rFonts w:ascii="Arial" w:hAnsi="Arial" w:cs="Arial"/>
          <w:lang w:val="en-GB"/>
        </w:rPr>
        <w:t>-</w:t>
      </w:r>
      <w:r w:rsidR="004E261A" w:rsidRPr="00696377">
        <w:rPr>
          <w:rFonts w:ascii="Arial" w:hAnsi="Arial" w:cs="Arial"/>
          <w:lang w:val="en-GB"/>
        </w:rPr>
        <w:t xml:space="preserve">shareholder decisions of </w:t>
      </w:r>
      <w:r w:rsidR="00707370" w:rsidRPr="00696377">
        <w:rPr>
          <w:rFonts w:ascii="Arial" w:hAnsi="Arial" w:cs="Arial"/>
          <w:lang w:val="en-GB"/>
        </w:rPr>
        <w:t xml:space="preserve">SIS. </w:t>
      </w:r>
      <w:r w:rsidR="00E27452" w:rsidRPr="00696377">
        <w:rPr>
          <w:rFonts w:ascii="Arial" w:hAnsi="Arial" w:cs="Arial"/>
          <w:lang w:val="en-GB"/>
        </w:rPr>
        <w:t xml:space="preserve"> </w:t>
      </w:r>
      <w:r w:rsidR="00551D2F" w:rsidRPr="00696377">
        <w:rPr>
          <w:rFonts w:ascii="Arial" w:hAnsi="Arial" w:cs="Arial"/>
          <w:lang w:val="en-GB"/>
        </w:rPr>
        <w:t xml:space="preserve">Predictably, </w:t>
      </w:r>
      <w:r w:rsidR="00AE5AB9" w:rsidRPr="00696377">
        <w:rPr>
          <w:rFonts w:ascii="Arial" w:hAnsi="Arial" w:cs="Arial"/>
          <w:lang w:val="en-GB"/>
        </w:rPr>
        <w:t xml:space="preserve">relinquishing control entrenched in the political economy </w:t>
      </w:r>
      <w:r w:rsidR="004A4C3C" w:rsidRPr="00696377">
        <w:rPr>
          <w:rFonts w:ascii="Arial" w:hAnsi="Arial" w:cs="Arial"/>
          <w:lang w:val="en-GB"/>
        </w:rPr>
        <w:t xml:space="preserve">over decades </w:t>
      </w:r>
      <w:r w:rsidR="000F2FFA">
        <w:rPr>
          <w:rFonts w:ascii="Arial" w:hAnsi="Arial" w:cs="Arial"/>
          <w:lang w:val="en-GB"/>
        </w:rPr>
        <w:t>and having ‘</w:t>
      </w:r>
      <w:r w:rsidR="009312F3" w:rsidRPr="00696377">
        <w:rPr>
          <w:rFonts w:ascii="Arial" w:hAnsi="Arial" w:cs="Arial"/>
          <w:lang w:val="en-GB"/>
        </w:rPr>
        <w:t>the courage</w:t>
      </w:r>
      <w:r w:rsidR="000F2FFA">
        <w:rPr>
          <w:rFonts w:ascii="Arial" w:hAnsi="Arial" w:cs="Arial"/>
          <w:lang w:val="en-GB"/>
        </w:rPr>
        <w:t xml:space="preserve"> to cut into their own “cheese”’</w:t>
      </w:r>
      <w:r w:rsidR="009312F3" w:rsidRPr="00696377">
        <w:rPr>
          <w:rFonts w:ascii="Arial" w:hAnsi="Arial" w:cs="Arial"/>
          <w:lang w:val="en-GB"/>
        </w:rPr>
        <w:t xml:space="preserve"> as the Progress Report describes, </w:t>
      </w:r>
      <w:r w:rsidR="00AE5AB9" w:rsidRPr="00696377">
        <w:rPr>
          <w:rFonts w:ascii="Arial" w:hAnsi="Arial" w:cs="Arial"/>
          <w:lang w:val="en-GB"/>
        </w:rPr>
        <w:t xml:space="preserve">is no easy </w:t>
      </w:r>
      <w:r w:rsidR="00551D2F" w:rsidRPr="00696377">
        <w:rPr>
          <w:rFonts w:ascii="Arial" w:hAnsi="Arial" w:cs="Arial"/>
          <w:lang w:val="en-GB"/>
        </w:rPr>
        <w:t>transition</w:t>
      </w:r>
      <w:r w:rsidR="00AE5AB9" w:rsidRPr="00696377">
        <w:rPr>
          <w:rFonts w:ascii="Arial" w:hAnsi="Arial" w:cs="Arial"/>
          <w:lang w:val="en-GB"/>
        </w:rPr>
        <w:t>.  The State Council and SASAC documents are littered with the lament</w:t>
      </w:r>
      <w:r w:rsidR="00961BC4" w:rsidRPr="00696377">
        <w:rPr>
          <w:rFonts w:ascii="Arial" w:hAnsi="Arial" w:cs="Arial"/>
          <w:lang w:val="en-GB"/>
        </w:rPr>
        <w:t xml:space="preserve"> that</w:t>
      </w:r>
      <w:r w:rsidR="007A75FD" w:rsidRPr="00696377">
        <w:rPr>
          <w:rFonts w:ascii="Arial" w:hAnsi="Arial" w:cs="Arial"/>
          <w:lang w:val="en-GB"/>
        </w:rPr>
        <w:t>:</w:t>
      </w:r>
    </w:p>
    <w:p w:rsidR="007A75FD" w:rsidRDefault="00920110"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r>
        <w:rPr>
          <w:rFonts w:ascii="Arial" w:eastAsia="Times New Roman" w:hAnsi="Arial" w:cs="Arial"/>
          <w:lang w:val="en-GB"/>
        </w:rPr>
        <w:t>‘</w:t>
      </w:r>
      <w:r w:rsidR="009312F3" w:rsidRPr="004A4C3C">
        <w:rPr>
          <w:rFonts w:ascii="Arial" w:eastAsia="Times New Roman" w:hAnsi="Arial" w:cs="Arial"/>
          <w:lang w:val="en-GB"/>
        </w:rPr>
        <w:t xml:space="preserve">there remain the </w:t>
      </w:r>
      <w:r w:rsidR="009312F3" w:rsidRPr="00920110">
        <w:rPr>
          <w:rFonts w:ascii="Arial" w:eastAsia="Times New Roman" w:hAnsi="Arial" w:cs="Arial"/>
          <w:i/>
          <w:lang w:val="en-GB"/>
        </w:rPr>
        <w:t>problems</w:t>
      </w:r>
      <w:r w:rsidR="00961BC4" w:rsidRPr="00920110">
        <w:rPr>
          <w:rFonts w:ascii="Arial" w:eastAsia="Times New Roman" w:hAnsi="Arial" w:cs="Arial"/>
          <w:i/>
          <w:lang w:val="en-GB"/>
        </w:rPr>
        <w:t xml:space="preserve"> of non-separation</w:t>
      </w:r>
      <w:r w:rsidR="00961BC4" w:rsidRPr="004A4C3C">
        <w:rPr>
          <w:rFonts w:ascii="Arial" w:eastAsia="Times New Roman" w:hAnsi="Arial" w:cs="Arial"/>
          <w:lang w:val="en-GB"/>
        </w:rPr>
        <w:t xml:space="preserve"> of government administration and enterprise management and </w:t>
      </w:r>
      <w:r w:rsidR="00961BC4" w:rsidRPr="00920110">
        <w:rPr>
          <w:rFonts w:ascii="Arial" w:eastAsia="Times New Roman" w:hAnsi="Arial" w:cs="Arial"/>
          <w:i/>
          <w:lang w:val="en-GB"/>
        </w:rPr>
        <w:t>non-separation</w:t>
      </w:r>
      <w:r w:rsidR="00961BC4" w:rsidRPr="004A4C3C">
        <w:rPr>
          <w:rFonts w:ascii="Arial" w:eastAsia="Times New Roman" w:hAnsi="Arial" w:cs="Arial"/>
          <w:lang w:val="en-GB"/>
        </w:rPr>
        <w:t xml:space="preserve"> of government socioeconomic management function from its function as the owner of state-owned assets in the stat</w:t>
      </w:r>
      <w:r>
        <w:rPr>
          <w:rFonts w:ascii="Arial" w:eastAsia="Times New Roman" w:hAnsi="Arial" w:cs="Arial"/>
          <w:lang w:val="en-GB"/>
        </w:rPr>
        <w:t>e-owned asset management system’</w:t>
      </w:r>
      <w:r w:rsidR="007A75FD" w:rsidRPr="004A4C3C">
        <w:rPr>
          <w:rFonts w:ascii="Arial" w:eastAsia="Times New Roman" w:hAnsi="Arial" w:cs="Arial"/>
          <w:lang w:val="en-GB"/>
        </w:rPr>
        <w:t>.</w:t>
      </w:r>
      <w:r w:rsidR="0028559C">
        <w:rPr>
          <w:rStyle w:val="FootnoteReference"/>
          <w:rFonts w:ascii="Arial" w:eastAsia="Times New Roman" w:hAnsi="Arial" w:cs="Arial"/>
          <w:sz w:val="24"/>
          <w:szCs w:val="24"/>
          <w:lang w:val="en-GB"/>
        </w:rPr>
        <w:footnoteReference w:id="25"/>
      </w:r>
      <w:r w:rsidR="00085DCF">
        <w:rPr>
          <w:rFonts w:ascii="Arial" w:eastAsia="Times New Roman" w:hAnsi="Arial" w:cs="Arial"/>
          <w:sz w:val="24"/>
          <w:szCs w:val="24"/>
          <w:lang w:val="en-GB"/>
        </w:rPr>
        <w:t xml:space="preserve"> </w:t>
      </w:r>
      <w:r w:rsidR="007A75FD" w:rsidRPr="000E5F36">
        <w:rPr>
          <w:rFonts w:ascii="Arial" w:eastAsia="Times New Roman" w:hAnsi="Arial" w:cs="Arial"/>
          <w:szCs w:val="24"/>
          <w:lang w:val="en-GB"/>
        </w:rPr>
        <w:t xml:space="preserve">(Emphasis added) </w:t>
      </w:r>
    </w:p>
    <w:p w:rsidR="007A75FD" w:rsidRPr="004A4C3C" w:rsidRDefault="00085DCF"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r>
        <w:rPr>
          <w:rFonts w:ascii="Arial" w:eastAsia="Times New Roman" w:hAnsi="Arial" w:cs="Arial"/>
          <w:sz w:val="24"/>
          <w:szCs w:val="24"/>
          <w:lang w:val="en-GB"/>
        </w:rPr>
        <w:t>Unsurprising</w:t>
      </w:r>
      <w:r w:rsidR="007A75FD">
        <w:rPr>
          <w:rFonts w:ascii="Arial" w:eastAsia="Times New Roman" w:hAnsi="Arial" w:cs="Arial"/>
          <w:sz w:val="24"/>
          <w:szCs w:val="24"/>
          <w:lang w:val="en-GB"/>
        </w:rPr>
        <w:t xml:space="preserve">ly, the problems are not about separation but the opposite. </w:t>
      </w:r>
    </w:p>
    <w:p w:rsidR="007A75FD" w:rsidRPr="007A75FD" w:rsidRDefault="007A75FD" w:rsidP="00BF0D6B">
      <w:pPr>
        <w:pStyle w:val="ListParagraph"/>
        <w:tabs>
          <w:tab w:val="left" w:pos="0"/>
          <w:tab w:val="left" w:pos="990"/>
        </w:tabs>
        <w:spacing w:after="0" w:line="360" w:lineRule="auto"/>
        <w:ind w:left="0"/>
        <w:jc w:val="both"/>
        <w:rPr>
          <w:rFonts w:ascii="Arial" w:eastAsia="Times New Roman" w:hAnsi="Arial" w:cs="Arial"/>
          <w:sz w:val="24"/>
          <w:szCs w:val="24"/>
          <w:lang w:val="en-GB"/>
        </w:rPr>
      </w:pPr>
    </w:p>
    <w:p w:rsidR="00707370" w:rsidRPr="00696377" w:rsidRDefault="00696377" w:rsidP="00BF0D6B">
      <w:pPr>
        <w:tabs>
          <w:tab w:val="left" w:pos="0"/>
          <w:tab w:val="left" w:pos="709"/>
        </w:tabs>
        <w:spacing w:line="360" w:lineRule="auto"/>
        <w:jc w:val="both"/>
        <w:rPr>
          <w:rFonts w:ascii="Arial" w:hAnsi="Arial" w:cs="Arial"/>
        </w:rPr>
      </w:pPr>
      <w:r>
        <w:rPr>
          <w:rFonts w:ascii="Arial" w:hAnsi="Arial" w:cs="Arial"/>
          <w:lang w:val="en-GB"/>
        </w:rPr>
        <w:t>[64]</w:t>
      </w:r>
      <w:r w:rsidR="00AE5AB9" w:rsidRPr="00696377">
        <w:rPr>
          <w:rFonts w:ascii="Arial" w:hAnsi="Arial" w:cs="Arial"/>
          <w:lang w:val="en-GB"/>
        </w:rPr>
        <w:t xml:space="preserve"> </w:t>
      </w:r>
      <w:r w:rsidR="00085DCF">
        <w:rPr>
          <w:rFonts w:ascii="Arial" w:hAnsi="Arial" w:cs="Arial"/>
          <w:lang w:val="en-GB"/>
        </w:rPr>
        <w:t xml:space="preserve">  </w:t>
      </w:r>
      <w:r w:rsidR="007A75FD" w:rsidRPr="00696377">
        <w:rPr>
          <w:rFonts w:ascii="Arial" w:hAnsi="Arial" w:cs="Arial"/>
          <w:lang w:val="en-GB"/>
        </w:rPr>
        <w:t xml:space="preserve">The views expounded by </w:t>
      </w:r>
      <w:r w:rsidR="007F471A" w:rsidRPr="00696377">
        <w:rPr>
          <w:rFonts w:ascii="Arial" w:hAnsi="Arial" w:cs="Arial"/>
          <w:lang w:val="en-GB"/>
        </w:rPr>
        <w:t xml:space="preserve">the plaintiff supported by </w:t>
      </w:r>
      <w:r w:rsidR="007A75FD" w:rsidRPr="00696377">
        <w:rPr>
          <w:rFonts w:ascii="Arial" w:hAnsi="Arial" w:cs="Arial"/>
          <w:lang w:val="en-GB"/>
        </w:rPr>
        <w:t xml:space="preserve">Dr Li compound the problem of non-separation.  </w:t>
      </w:r>
      <w:r w:rsidR="007F471A" w:rsidRPr="00696377">
        <w:rPr>
          <w:rFonts w:ascii="Arial" w:hAnsi="Arial" w:cs="Arial"/>
          <w:lang w:val="en-GB"/>
        </w:rPr>
        <w:t xml:space="preserve">Essentially, the </w:t>
      </w:r>
      <w:r w:rsidR="0003369D" w:rsidRPr="00696377">
        <w:rPr>
          <w:rFonts w:ascii="Arial" w:hAnsi="Arial" w:cs="Arial"/>
        </w:rPr>
        <w:t>submission</w:t>
      </w:r>
      <w:r w:rsidR="007F471A" w:rsidRPr="00696377">
        <w:rPr>
          <w:rFonts w:ascii="Arial" w:hAnsi="Arial" w:cs="Arial"/>
        </w:rPr>
        <w:t xml:space="preserve"> </w:t>
      </w:r>
      <w:r w:rsidR="00782C14" w:rsidRPr="00696377">
        <w:rPr>
          <w:rFonts w:ascii="Arial" w:hAnsi="Arial" w:cs="Arial"/>
        </w:rPr>
        <w:t xml:space="preserve">is that irrespective of the </w:t>
      </w:r>
      <w:r w:rsidR="000E5F36">
        <w:rPr>
          <w:rFonts w:ascii="Arial" w:hAnsi="Arial" w:cs="Arial"/>
        </w:rPr>
        <w:t>stated intention of the People</w:t>
      </w:r>
      <w:r w:rsidR="00782C14" w:rsidRPr="00696377">
        <w:rPr>
          <w:rFonts w:ascii="Arial" w:hAnsi="Arial" w:cs="Arial"/>
        </w:rPr>
        <w:t>s</w:t>
      </w:r>
      <w:r w:rsidR="000E5F36">
        <w:rPr>
          <w:rFonts w:ascii="Arial" w:hAnsi="Arial" w:cs="Arial"/>
        </w:rPr>
        <w:t>’</w:t>
      </w:r>
      <w:r w:rsidR="00782C14" w:rsidRPr="00696377">
        <w:rPr>
          <w:rFonts w:ascii="Arial" w:hAnsi="Arial" w:cs="Arial"/>
        </w:rPr>
        <w:t xml:space="preserve"> Republic of China to reform economically, the will to reform is lacking because those entities that hold shareholder or capital contributor power will not relinquish their hold.  This view</w:t>
      </w:r>
      <w:r w:rsidR="005E6F85">
        <w:rPr>
          <w:rFonts w:ascii="Arial" w:hAnsi="Arial" w:cs="Arial"/>
        </w:rPr>
        <w:t xml:space="preserve"> is</w:t>
      </w:r>
      <w:r w:rsidR="00E212C9" w:rsidRPr="00696377">
        <w:rPr>
          <w:rFonts w:ascii="Arial" w:hAnsi="Arial" w:cs="Arial"/>
        </w:rPr>
        <w:t xml:space="preserve"> disrespectful and</w:t>
      </w:r>
      <w:r w:rsidR="0026691C" w:rsidRPr="00696377">
        <w:rPr>
          <w:rFonts w:ascii="Arial" w:hAnsi="Arial" w:cs="Arial"/>
        </w:rPr>
        <w:t xml:space="preserve"> </w:t>
      </w:r>
      <w:r w:rsidR="00E212C9" w:rsidRPr="00696377">
        <w:rPr>
          <w:rFonts w:ascii="Arial" w:hAnsi="Arial" w:cs="Arial"/>
        </w:rPr>
        <w:t>misanthropi</w:t>
      </w:r>
      <w:r w:rsidR="000E5F36">
        <w:rPr>
          <w:rFonts w:ascii="Arial" w:hAnsi="Arial" w:cs="Arial"/>
        </w:rPr>
        <w:t>c of the reform that the People</w:t>
      </w:r>
      <w:r w:rsidR="00E212C9" w:rsidRPr="00696377">
        <w:rPr>
          <w:rFonts w:ascii="Arial" w:hAnsi="Arial" w:cs="Arial"/>
        </w:rPr>
        <w:t>s</w:t>
      </w:r>
      <w:r w:rsidR="000E5F36">
        <w:rPr>
          <w:rFonts w:ascii="Arial" w:hAnsi="Arial" w:cs="Arial"/>
        </w:rPr>
        <w:t>’</w:t>
      </w:r>
      <w:r w:rsidR="00E212C9" w:rsidRPr="00696377">
        <w:rPr>
          <w:rFonts w:ascii="Arial" w:hAnsi="Arial" w:cs="Arial"/>
        </w:rPr>
        <w:t xml:space="preserve"> Republic of China is constitutionally committed to undergo.  It </w:t>
      </w:r>
      <w:r w:rsidR="0026691C" w:rsidRPr="00696377">
        <w:rPr>
          <w:rFonts w:ascii="Arial" w:hAnsi="Arial" w:cs="Arial"/>
        </w:rPr>
        <w:t xml:space="preserve">is </w:t>
      </w:r>
      <w:r w:rsidR="00067BCF" w:rsidRPr="00696377">
        <w:rPr>
          <w:rFonts w:ascii="Arial" w:hAnsi="Arial" w:cs="Arial"/>
        </w:rPr>
        <w:t>tarnished</w:t>
      </w:r>
      <w:r w:rsidR="0026691C" w:rsidRPr="00696377">
        <w:rPr>
          <w:rFonts w:ascii="Arial" w:hAnsi="Arial" w:cs="Arial"/>
        </w:rPr>
        <w:t xml:space="preserve"> by the unwholesome tendenc</w:t>
      </w:r>
      <w:r w:rsidR="00A84F0D" w:rsidRPr="00696377">
        <w:rPr>
          <w:rFonts w:ascii="Arial" w:hAnsi="Arial" w:cs="Arial"/>
        </w:rPr>
        <w:t>y of violations of the rule of law being treated as inconsequential</w:t>
      </w:r>
      <w:r w:rsidR="00B131D1" w:rsidRPr="00696377">
        <w:rPr>
          <w:rFonts w:ascii="Arial" w:hAnsi="Arial" w:cs="Arial"/>
        </w:rPr>
        <w:t xml:space="preserve">.  </w:t>
      </w:r>
      <w:r w:rsidR="000E5F36">
        <w:rPr>
          <w:rFonts w:ascii="Arial" w:hAnsi="Arial" w:cs="Arial"/>
        </w:rPr>
        <w:t>Constitutionally, the People</w:t>
      </w:r>
      <w:r w:rsidR="00E212C9" w:rsidRPr="00696377">
        <w:rPr>
          <w:rFonts w:ascii="Arial" w:hAnsi="Arial" w:cs="Arial"/>
        </w:rPr>
        <w:t>s</w:t>
      </w:r>
      <w:r w:rsidR="000E5F36">
        <w:rPr>
          <w:rFonts w:ascii="Arial" w:hAnsi="Arial" w:cs="Arial"/>
        </w:rPr>
        <w:t>’ Republic of China remains a ‘</w:t>
      </w:r>
      <w:r w:rsidR="000E5F36">
        <w:rPr>
          <w:rFonts w:ascii="Arial" w:hAnsi="Arial" w:cs="Arial"/>
          <w:lang w:val="en-GB"/>
        </w:rPr>
        <w:t>democratic dictatorship’</w:t>
      </w:r>
      <w:r w:rsidR="00E212C9" w:rsidRPr="00696377">
        <w:rPr>
          <w:rFonts w:ascii="Arial" w:hAnsi="Arial" w:cs="Arial"/>
          <w:lang w:val="en-GB"/>
        </w:rPr>
        <w:t xml:space="preserve">. </w:t>
      </w:r>
      <w:r w:rsidR="00EC2262" w:rsidRPr="00696377">
        <w:rPr>
          <w:rFonts w:ascii="Arial" w:hAnsi="Arial" w:cs="Arial"/>
          <w:lang w:val="en-GB"/>
        </w:rPr>
        <w:t xml:space="preserve"> Imputing cynicism about compliance with the ru</w:t>
      </w:r>
      <w:r w:rsidR="000E5F36">
        <w:rPr>
          <w:rFonts w:ascii="Arial" w:hAnsi="Arial" w:cs="Arial"/>
          <w:lang w:val="en-GB"/>
        </w:rPr>
        <w:t>le of law to another sovereign S</w:t>
      </w:r>
      <w:r w:rsidR="00EC2262" w:rsidRPr="00696377">
        <w:rPr>
          <w:rFonts w:ascii="Arial" w:hAnsi="Arial" w:cs="Arial"/>
          <w:lang w:val="en-GB"/>
        </w:rPr>
        <w:t>tate would be a distortion.</w:t>
      </w:r>
    </w:p>
    <w:p w:rsidR="0004491D" w:rsidRDefault="0004491D" w:rsidP="00BF0D6B">
      <w:pPr>
        <w:pStyle w:val="ListParagraph"/>
        <w:tabs>
          <w:tab w:val="left" w:pos="0"/>
          <w:tab w:val="left" w:pos="990"/>
        </w:tabs>
        <w:spacing w:after="0" w:line="360" w:lineRule="auto"/>
        <w:ind w:left="0"/>
        <w:jc w:val="both"/>
        <w:rPr>
          <w:rFonts w:ascii="Arial" w:eastAsia="Times New Roman" w:hAnsi="Arial" w:cs="Arial"/>
          <w:sz w:val="24"/>
          <w:szCs w:val="24"/>
          <w:lang w:val="en-ZA"/>
        </w:rPr>
      </w:pPr>
    </w:p>
    <w:p w:rsidR="00C83A9D" w:rsidRPr="00696377" w:rsidRDefault="00696377" w:rsidP="00BF0D6B">
      <w:pPr>
        <w:tabs>
          <w:tab w:val="left" w:pos="0"/>
          <w:tab w:val="left" w:pos="567"/>
        </w:tabs>
        <w:spacing w:line="360" w:lineRule="auto"/>
        <w:jc w:val="both"/>
        <w:rPr>
          <w:rFonts w:ascii="Arial" w:hAnsi="Arial" w:cs="Arial"/>
        </w:rPr>
      </w:pPr>
      <w:r>
        <w:rPr>
          <w:rFonts w:ascii="Arial" w:hAnsi="Arial" w:cs="Arial"/>
        </w:rPr>
        <w:t>[65]</w:t>
      </w:r>
      <w:r>
        <w:rPr>
          <w:rFonts w:ascii="Arial" w:hAnsi="Arial" w:cs="Arial"/>
        </w:rPr>
        <w:tab/>
      </w:r>
      <w:r w:rsidR="0004491D" w:rsidRPr="00696377">
        <w:rPr>
          <w:rFonts w:ascii="Arial" w:hAnsi="Arial" w:cs="Arial"/>
        </w:rPr>
        <w:t xml:space="preserve">Although the </w:t>
      </w:r>
      <w:r w:rsidR="00057CD7" w:rsidRPr="00696377">
        <w:rPr>
          <w:rFonts w:ascii="Arial" w:hAnsi="Arial" w:cs="Arial"/>
        </w:rPr>
        <w:t>d</w:t>
      </w:r>
      <w:r w:rsidR="0004491D" w:rsidRPr="00696377">
        <w:rPr>
          <w:rFonts w:ascii="Arial" w:hAnsi="Arial" w:cs="Arial"/>
        </w:rPr>
        <w:t xml:space="preserve">efendant </w:t>
      </w:r>
      <w:r w:rsidR="00AB2D99">
        <w:rPr>
          <w:rFonts w:ascii="Arial" w:hAnsi="Arial" w:cs="Arial"/>
        </w:rPr>
        <w:t>bears</w:t>
      </w:r>
      <w:r w:rsidR="00AB2D99" w:rsidRPr="00696377">
        <w:rPr>
          <w:rFonts w:ascii="Arial" w:hAnsi="Arial" w:cs="Arial"/>
        </w:rPr>
        <w:t xml:space="preserve"> </w:t>
      </w:r>
      <w:r w:rsidR="0004491D" w:rsidRPr="00696377">
        <w:rPr>
          <w:rFonts w:ascii="Arial" w:hAnsi="Arial" w:cs="Arial"/>
        </w:rPr>
        <w:t>no onus, it has</w:t>
      </w:r>
      <w:r w:rsidR="00057CD7" w:rsidRPr="00696377">
        <w:rPr>
          <w:rFonts w:ascii="Arial" w:hAnsi="Arial" w:cs="Arial"/>
        </w:rPr>
        <w:t xml:space="preserve"> not only</w:t>
      </w:r>
      <w:r w:rsidR="0004491D" w:rsidRPr="00696377">
        <w:rPr>
          <w:rFonts w:ascii="Arial" w:hAnsi="Arial" w:cs="Arial"/>
        </w:rPr>
        <w:t xml:space="preserve"> led sufficient evidence to rebut the </w:t>
      </w:r>
      <w:r w:rsidR="00EC2262" w:rsidRPr="00696377">
        <w:rPr>
          <w:rFonts w:ascii="Arial" w:hAnsi="Arial" w:cs="Arial"/>
        </w:rPr>
        <w:t>p</w:t>
      </w:r>
      <w:r w:rsidR="0004491D" w:rsidRPr="00696377">
        <w:rPr>
          <w:rFonts w:ascii="Arial" w:hAnsi="Arial" w:cs="Arial"/>
        </w:rPr>
        <w:t xml:space="preserve">laintiff’s proposition that the relevant reforms did not extend to </w:t>
      </w:r>
      <w:r w:rsidR="00EC2262" w:rsidRPr="00696377">
        <w:rPr>
          <w:rFonts w:ascii="Arial" w:hAnsi="Arial" w:cs="Arial"/>
        </w:rPr>
        <w:t>SIS</w:t>
      </w:r>
      <w:r w:rsidR="00057CD7" w:rsidRPr="00696377">
        <w:rPr>
          <w:rFonts w:ascii="Arial" w:hAnsi="Arial" w:cs="Arial"/>
        </w:rPr>
        <w:t xml:space="preserve">; it has </w:t>
      </w:r>
      <w:r w:rsidR="00085DCF">
        <w:rPr>
          <w:rFonts w:ascii="Arial" w:hAnsi="Arial" w:cs="Arial"/>
        </w:rPr>
        <w:t xml:space="preserve">also </w:t>
      </w:r>
      <w:r w:rsidR="00057CD7" w:rsidRPr="00696377">
        <w:rPr>
          <w:rFonts w:ascii="Arial" w:hAnsi="Arial" w:cs="Arial"/>
        </w:rPr>
        <w:t xml:space="preserve">proven that there is </w:t>
      </w:r>
      <w:r w:rsidR="0004491D" w:rsidRPr="00696377">
        <w:rPr>
          <w:rFonts w:ascii="Arial" w:hAnsi="Arial" w:cs="Arial"/>
        </w:rPr>
        <w:t xml:space="preserve">strong probability that they did. </w:t>
      </w:r>
    </w:p>
    <w:p w:rsidR="00057CD7" w:rsidRPr="00057CD7" w:rsidRDefault="00057CD7" w:rsidP="00BF0D6B">
      <w:pPr>
        <w:pStyle w:val="ListParagraph"/>
        <w:tabs>
          <w:tab w:val="left" w:pos="0"/>
          <w:tab w:val="left" w:pos="990"/>
        </w:tabs>
        <w:spacing w:after="0" w:line="360" w:lineRule="auto"/>
        <w:ind w:left="0"/>
        <w:jc w:val="both"/>
        <w:rPr>
          <w:rFonts w:ascii="Arial" w:eastAsia="Times New Roman" w:hAnsi="Arial" w:cs="Arial"/>
          <w:sz w:val="24"/>
          <w:szCs w:val="24"/>
          <w:lang w:val="en-ZA"/>
        </w:rPr>
      </w:pPr>
    </w:p>
    <w:p w:rsidR="00E53CAD" w:rsidRPr="00E53CAD" w:rsidRDefault="00E53CAD" w:rsidP="00BF0D6B">
      <w:pPr>
        <w:pStyle w:val="ListParagraph"/>
        <w:tabs>
          <w:tab w:val="left" w:pos="0"/>
          <w:tab w:val="left" w:pos="990"/>
        </w:tabs>
        <w:spacing w:after="0" w:line="360" w:lineRule="auto"/>
        <w:ind w:left="0"/>
        <w:jc w:val="both"/>
        <w:rPr>
          <w:rFonts w:ascii="Arial" w:eastAsia="Times New Roman" w:hAnsi="Arial" w:cs="Arial"/>
          <w:b/>
          <w:bCs/>
          <w:sz w:val="24"/>
          <w:szCs w:val="24"/>
          <w:lang w:val="en-ZA"/>
        </w:rPr>
      </w:pPr>
      <w:r w:rsidRPr="00E53CAD">
        <w:rPr>
          <w:rFonts w:ascii="Arial" w:eastAsia="Times New Roman" w:hAnsi="Arial" w:cs="Arial"/>
          <w:b/>
          <w:bCs/>
          <w:sz w:val="24"/>
          <w:szCs w:val="24"/>
          <w:lang w:val="en-ZA"/>
        </w:rPr>
        <w:t>Order</w:t>
      </w:r>
    </w:p>
    <w:p w:rsidR="00A00A97" w:rsidRPr="00696377" w:rsidRDefault="00696377" w:rsidP="00BF0D6B">
      <w:pPr>
        <w:tabs>
          <w:tab w:val="left" w:pos="0"/>
          <w:tab w:val="left" w:pos="567"/>
        </w:tabs>
        <w:spacing w:line="360" w:lineRule="auto"/>
        <w:jc w:val="both"/>
        <w:rPr>
          <w:rFonts w:ascii="Arial" w:hAnsi="Arial" w:cs="Arial"/>
        </w:rPr>
      </w:pPr>
      <w:r>
        <w:rPr>
          <w:rFonts w:ascii="Arial" w:hAnsi="Arial" w:cs="Arial"/>
        </w:rPr>
        <w:t>[66]</w:t>
      </w:r>
      <w:r>
        <w:rPr>
          <w:rFonts w:ascii="Arial" w:hAnsi="Arial" w:cs="Arial"/>
        </w:rPr>
        <w:tab/>
      </w:r>
      <w:r w:rsidR="00FC5C22" w:rsidRPr="00696377">
        <w:rPr>
          <w:rFonts w:ascii="Arial" w:hAnsi="Arial" w:cs="Arial"/>
        </w:rPr>
        <w:t xml:space="preserve">Plaintiff’s claim </w:t>
      </w:r>
      <w:r w:rsidR="00E53CAD" w:rsidRPr="00696377">
        <w:rPr>
          <w:rFonts w:ascii="Arial" w:hAnsi="Arial" w:cs="Arial"/>
        </w:rPr>
        <w:t>is</w:t>
      </w:r>
      <w:r w:rsidR="00FC5C22" w:rsidRPr="00696377">
        <w:rPr>
          <w:rFonts w:ascii="Arial" w:hAnsi="Arial" w:cs="Arial"/>
        </w:rPr>
        <w:t xml:space="preserve"> dismissed with costs, such costs </w:t>
      </w:r>
      <w:r w:rsidR="006F7E68">
        <w:rPr>
          <w:rFonts w:ascii="Arial" w:hAnsi="Arial" w:cs="Arial"/>
        </w:rPr>
        <w:t xml:space="preserve">to </w:t>
      </w:r>
      <w:r w:rsidR="00FC5C22" w:rsidRPr="00696377">
        <w:rPr>
          <w:rFonts w:ascii="Arial" w:hAnsi="Arial" w:cs="Arial"/>
        </w:rPr>
        <w:t>include the costs of the qualifying fees of the expert witness, Mr Peng.</w:t>
      </w:r>
    </w:p>
    <w:p w:rsidR="00437435" w:rsidRDefault="00437435" w:rsidP="00437435">
      <w:pPr>
        <w:spacing w:line="360" w:lineRule="auto"/>
        <w:rPr>
          <w:rFonts w:ascii="Arial" w:hAnsi="Arial" w:cs="Arial"/>
        </w:rPr>
      </w:pPr>
    </w:p>
    <w:p w:rsidR="00437435" w:rsidRDefault="00437435" w:rsidP="00437435">
      <w:pPr>
        <w:spacing w:line="360" w:lineRule="auto"/>
        <w:rPr>
          <w:rFonts w:ascii="Arial" w:hAnsi="Arial" w:cs="Arial"/>
        </w:rPr>
      </w:pPr>
    </w:p>
    <w:p w:rsidR="00437435" w:rsidRDefault="00437435" w:rsidP="00437435">
      <w:pPr>
        <w:spacing w:line="360" w:lineRule="auto"/>
        <w:rPr>
          <w:rFonts w:ascii="Arial" w:hAnsi="Arial" w:cs="Arial"/>
        </w:rPr>
      </w:pPr>
    </w:p>
    <w:p w:rsidR="005B46C2" w:rsidRDefault="005B46C2" w:rsidP="005B46C2">
      <w:r>
        <w:fldChar w:fldCharType="begin"/>
      </w:r>
      <w:r w:rsidR="00EF50F9">
        <w:instrText xml:space="preserve"> INCLUDEPICTURE "C:\\var\\folders\\wg\\d9_ynzxx2t94b2qmv6wbfq6w0000gn\\T\\com.microsoft.Word\\WebArchiveCopyPasteTempFiles\\page1image37982144" \* MERGEFORMAT </w:instrText>
      </w:r>
      <w:r>
        <w:fldChar w:fldCharType="separate"/>
      </w:r>
      <w:r>
        <w:rPr>
          <w:noProof/>
          <w:lang w:eastAsia="en-ZA"/>
        </w:rPr>
        <w:drawing>
          <wp:inline distT="0" distB="0" distL="0" distR="0" wp14:anchorId="31C12598" wp14:editId="4B917829">
            <wp:extent cx="1243965" cy="937550"/>
            <wp:effectExtent l="0" t="0" r="635" b="2540"/>
            <wp:docPr id="2" name="Picture 2" descr="page1image3798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7982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5121" cy="953495"/>
                    </a:xfrm>
                    <a:prstGeom prst="rect">
                      <a:avLst/>
                    </a:prstGeom>
                    <a:noFill/>
                    <a:ln>
                      <a:noFill/>
                    </a:ln>
                  </pic:spPr>
                </pic:pic>
              </a:graphicData>
            </a:graphic>
          </wp:inline>
        </w:drawing>
      </w:r>
      <w:r>
        <w:fldChar w:fldCharType="end"/>
      </w:r>
    </w:p>
    <w:p w:rsidR="00437435" w:rsidRDefault="005B46C2" w:rsidP="00437435">
      <w:pPr>
        <w:spacing w:line="360" w:lineRule="auto"/>
        <w:rPr>
          <w:rFonts w:ascii="Arial" w:hAnsi="Arial" w:cs="Arial"/>
        </w:rPr>
      </w:pPr>
      <w:r>
        <w:rPr>
          <w:rFonts w:ascii="Arial" w:hAnsi="Arial" w:cs="Arial"/>
        </w:rPr>
        <w:t>Judge D Pillay</w:t>
      </w: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8C0CA9" w:rsidRDefault="008C0CA9" w:rsidP="00437435">
      <w:pPr>
        <w:spacing w:line="360" w:lineRule="auto"/>
        <w:rPr>
          <w:rFonts w:ascii="Arial" w:hAnsi="Arial" w:cs="Arial"/>
        </w:rPr>
      </w:pPr>
    </w:p>
    <w:p w:rsidR="008C0CA9" w:rsidRDefault="008C0CA9" w:rsidP="00437435">
      <w:pPr>
        <w:spacing w:line="360" w:lineRule="auto"/>
        <w:rPr>
          <w:rFonts w:ascii="Arial" w:hAnsi="Arial" w:cs="Arial"/>
        </w:rPr>
      </w:pPr>
    </w:p>
    <w:p w:rsidR="008C0CA9" w:rsidRDefault="008C0CA9" w:rsidP="00437435">
      <w:pPr>
        <w:spacing w:line="360" w:lineRule="auto"/>
        <w:rPr>
          <w:rFonts w:ascii="Arial" w:hAnsi="Arial" w:cs="Arial"/>
        </w:rPr>
      </w:pPr>
    </w:p>
    <w:p w:rsidR="008C0CA9" w:rsidRDefault="008C0CA9" w:rsidP="00437435">
      <w:pPr>
        <w:spacing w:line="360" w:lineRule="auto"/>
        <w:rPr>
          <w:rFonts w:ascii="Arial" w:hAnsi="Arial" w:cs="Arial"/>
        </w:rPr>
      </w:pPr>
    </w:p>
    <w:p w:rsidR="008C0CA9" w:rsidRDefault="008C0CA9"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8C0CA9" w:rsidRDefault="008C0CA9" w:rsidP="00437435">
      <w:pPr>
        <w:spacing w:line="360" w:lineRule="auto"/>
        <w:rPr>
          <w:rFonts w:ascii="Arial" w:hAnsi="Arial" w:cs="Arial"/>
        </w:rPr>
      </w:pPr>
    </w:p>
    <w:p w:rsidR="00A2045C" w:rsidRDefault="00A2045C"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EF50F9" w:rsidRDefault="00EF50F9" w:rsidP="00437435">
      <w:pPr>
        <w:spacing w:line="360" w:lineRule="auto"/>
        <w:rPr>
          <w:rFonts w:ascii="Arial" w:hAnsi="Arial" w:cs="Arial"/>
        </w:rPr>
      </w:pPr>
    </w:p>
    <w:p w:rsidR="00A2045C" w:rsidRPr="00A2045C" w:rsidRDefault="00A2045C" w:rsidP="00A2045C">
      <w:pPr>
        <w:spacing w:line="360" w:lineRule="auto"/>
        <w:jc w:val="center"/>
        <w:rPr>
          <w:rFonts w:ascii="Arial" w:hAnsi="Arial" w:cs="Arial"/>
          <w:b/>
          <w:u w:val="single"/>
          <w:lang w:val="en-GB" w:eastAsia="en-US"/>
        </w:rPr>
      </w:pPr>
      <w:r w:rsidRPr="00A2045C">
        <w:rPr>
          <w:rFonts w:ascii="Arial" w:hAnsi="Arial" w:cs="Arial"/>
          <w:b/>
          <w:u w:val="single"/>
          <w:lang w:val="en-GB" w:eastAsia="en-US"/>
        </w:rPr>
        <w:t>CASE INFORMATION</w:t>
      </w:r>
    </w:p>
    <w:p w:rsidR="00A2045C" w:rsidRPr="00A2045C" w:rsidRDefault="00A2045C" w:rsidP="00A2045C">
      <w:pPr>
        <w:rPr>
          <w:rFonts w:ascii="Arial" w:eastAsia="Calibri" w:hAnsi="Arial" w:cs="Arial"/>
          <w:u w:val="single"/>
          <w:lang w:val="en-GB" w:eastAsia="en-US"/>
        </w:rPr>
      </w:pPr>
      <w:r w:rsidRPr="00A2045C">
        <w:rPr>
          <w:rFonts w:ascii="Arial" w:eastAsia="Calibri" w:hAnsi="Arial" w:cs="Arial"/>
          <w:u w:val="single"/>
          <w:lang w:val="en-GB" w:eastAsia="en-US"/>
        </w:rPr>
        <w:t>APPEARANCES</w:t>
      </w:r>
    </w:p>
    <w:p w:rsidR="00A2045C" w:rsidRPr="00A2045C" w:rsidRDefault="00A2045C" w:rsidP="00A2045C">
      <w:pPr>
        <w:rPr>
          <w:rFonts w:ascii="Arial" w:eastAsia="Calibri" w:hAnsi="Arial" w:cs="Arial"/>
          <w:u w:val="single"/>
          <w:lang w:val="en-GB" w:eastAsia="en-US"/>
        </w:rPr>
      </w:pPr>
    </w:p>
    <w:p w:rsidR="00A2045C" w:rsidRPr="00A2045C" w:rsidRDefault="00A2045C" w:rsidP="00A2045C">
      <w:pPr>
        <w:ind w:right="-82"/>
        <w:contextualSpacing/>
        <w:rPr>
          <w:rFonts w:ascii="Arial" w:eastAsia="Calibri" w:hAnsi="Arial" w:cs="Arial"/>
          <w:lang w:val="en-GB"/>
        </w:rPr>
      </w:pPr>
      <w:r w:rsidRPr="00A2045C">
        <w:rPr>
          <w:rFonts w:ascii="Arial" w:hAnsi="Arial" w:cs="Arial"/>
          <w:lang w:val="en-GB"/>
        </w:rPr>
        <w:t xml:space="preserve">Counsel for the Applicant  </w:t>
      </w:r>
      <w:r w:rsidRPr="00A2045C">
        <w:rPr>
          <w:rFonts w:ascii="Arial" w:hAnsi="Arial" w:cs="Arial"/>
          <w:lang w:val="en-GB"/>
        </w:rPr>
        <w:tab/>
      </w:r>
      <w:r w:rsidRPr="00A2045C">
        <w:rPr>
          <w:rFonts w:ascii="Arial" w:hAnsi="Arial" w:cs="Arial"/>
          <w:lang w:val="en-GB"/>
        </w:rPr>
        <w:tab/>
        <w:t xml:space="preserve">:  </w:t>
      </w:r>
      <w:r w:rsidRPr="00A2045C">
        <w:rPr>
          <w:rFonts w:ascii="Arial" w:hAnsi="Arial" w:cs="Arial"/>
          <w:lang w:val="en-GB"/>
        </w:rPr>
        <w:tab/>
        <w:t>MR M FITZGERALD SC</w:t>
      </w:r>
    </w:p>
    <w:p w:rsidR="00A2045C" w:rsidRPr="00A2045C" w:rsidRDefault="00A2045C" w:rsidP="00A2045C">
      <w:pPr>
        <w:rPr>
          <w:rFonts w:ascii="Arial" w:hAnsi="Arial" w:cs="Arial"/>
          <w:lang w:val="en-GB"/>
        </w:rPr>
      </w:pPr>
    </w:p>
    <w:p w:rsidR="00A2045C" w:rsidRPr="00A2045C" w:rsidRDefault="00A2045C" w:rsidP="00A2045C">
      <w:pPr>
        <w:rPr>
          <w:rFonts w:ascii="Arial" w:hAnsi="Arial" w:cs="Arial"/>
          <w:lang w:val="en-GB"/>
        </w:rPr>
      </w:pPr>
      <w:r w:rsidRPr="00A2045C">
        <w:rPr>
          <w:rFonts w:ascii="Arial" w:hAnsi="Arial" w:cs="Arial"/>
          <w:lang w:val="en-GB"/>
        </w:rPr>
        <w:t>Instructed by</w:t>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w:t>
      </w:r>
      <w:r w:rsidRPr="00A2045C">
        <w:rPr>
          <w:rFonts w:ascii="Arial" w:hAnsi="Arial" w:cs="Arial"/>
          <w:lang w:val="en-GB"/>
        </w:rPr>
        <w:tab/>
        <w:t>Bowman Gilfillan Inc.</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22 Bree Street</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CAPE TOWN</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p>
    <w:p w:rsidR="00A2045C" w:rsidRPr="00A2045C" w:rsidRDefault="00A2045C" w:rsidP="00A2045C">
      <w:pPr>
        <w:ind w:left="3600" w:firstLine="720"/>
        <w:contextualSpacing/>
        <w:rPr>
          <w:rFonts w:ascii="Arial" w:hAnsi="Arial" w:cs="Arial"/>
          <w:lang w:val="en-GB"/>
        </w:rPr>
      </w:pPr>
      <w:r w:rsidRPr="00A2045C">
        <w:rPr>
          <w:rFonts w:ascii="Arial" w:hAnsi="Arial" w:cs="Arial"/>
          <w:lang w:val="en-GB"/>
        </w:rPr>
        <w:t>c/o Bowman Gilfillan Inc.</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Ground Floor</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Compendium House</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5 The Crescent</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Westway Office Park</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Harry Gwala Road</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WESTVILLE</w:t>
      </w:r>
    </w:p>
    <w:p w:rsidR="00A2045C" w:rsidRPr="00A2045C" w:rsidRDefault="00A2045C" w:rsidP="00A2045C">
      <w:pPr>
        <w:rPr>
          <w:rFonts w:ascii="Arial" w:hAnsi="Arial" w:cs="Arial"/>
          <w:lang w:val="en-GB"/>
        </w:rPr>
      </w:pP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Ref: Lana Stockton/6193395</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Tel: 021 480 7800</w:t>
      </w: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t xml:space="preserve">Email: </w:t>
      </w:r>
      <w:hyperlink r:id="rId11" w:history="1">
        <w:r w:rsidRPr="00A2045C">
          <w:rPr>
            <w:rFonts w:ascii="Arial" w:hAnsi="Arial" w:cs="Arial"/>
            <w:color w:val="0000FF"/>
            <w:u w:val="single"/>
            <w:lang w:val="en-GB"/>
          </w:rPr>
          <w:t>mjf@capebar.co.za</w:t>
        </w:r>
      </w:hyperlink>
    </w:p>
    <w:p w:rsidR="00A2045C" w:rsidRPr="00A2045C" w:rsidRDefault="00242CB7" w:rsidP="00A2045C">
      <w:pPr>
        <w:ind w:left="4320" w:firstLine="720"/>
        <w:contextualSpacing/>
        <w:rPr>
          <w:rFonts w:ascii="Arial" w:hAnsi="Arial" w:cs="Arial"/>
          <w:lang w:val="en-GB"/>
        </w:rPr>
      </w:pPr>
      <w:hyperlink r:id="rId12" w:history="1">
        <w:r w:rsidR="00A2045C" w:rsidRPr="00A2045C">
          <w:rPr>
            <w:rFonts w:ascii="Arial" w:hAnsi="Arial" w:cs="Arial"/>
            <w:color w:val="0000FF"/>
            <w:u w:val="single"/>
            <w:lang w:val="en-GB"/>
          </w:rPr>
          <w:t>lana.stockton@bowmanslaw.com</w:t>
        </w:r>
      </w:hyperlink>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hyperlink r:id="rId13" w:history="1">
        <w:r w:rsidRPr="00A2045C">
          <w:rPr>
            <w:rFonts w:ascii="Arial" w:hAnsi="Arial" w:cs="Arial"/>
            <w:color w:val="0000FF"/>
            <w:u w:val="single"/>
            <w:lang w:val="en-GB"/>
          </w:rPr>
          <w:t>Craig.cunningham@bowmanslaw.com</w:t>
        </w:r>
      </w:hyperlink>
    </w:p>
    <w:p w:rsidR="00A2045C" w:rsidRPr="00A2045C" w:rsidRDefault="00A2045C" w:rsidP="00A2045C">
      <w:pPr>
        <w:rPr>
          <w:rFonts w:ascii="Arial" w:hAnsi="Arial" w:cs="Arial"/>
          <w:lang w:val="en-GB"/>
        </w:rPr>
      </w:pPr>
    </w:p>
    <w:p w:rsidR="00A2045C" w:rsidRPr="00A2045C" w:rsidRDefault="00A2045C" w:rsidP="00A2045C">
      <w:pPr>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p>
    <w:p w:rsidR="00A2045C" w:rsidRPr="00A2045C" w:rsidRDefault="00A2045C" w:rsidP="00A2045C">
      <w:pPr>
        <w:rPr>
          <w:rFonts w:ascii="Arial" w:hAnsi="Arial" w:cs="Arial"/>
          <w:lang w:val="en-GB"/>
        </w:rPr>
      </w:pPr>
      <w:r w:rsidRPr="00A2045C">
        <w:rPr>
          <w:rFonts w:ascii="Arial" w:hAnsi="Arial" w:cs="Arial"/>
          <w:lang w:val="en-GB"/>
        </w:rPr>
        <w:t>Counsel for the Respondents</w:t>
      </w:r>
      <w:r w:rsidRPr="00A2045C">
        <w:rPr>
          <w:rFonts w:ascii="Arial" w:hAnsi="Arial" w:cs="Arial"/>
          <w:lang w:val="en-GB"/>
        </w:rPr>
        <w:tab/>
        <w:t>:</w:t>
      </w:r>
      <w:r w:rsidRPr="00A2045C">
        <w:rPr>
          <w:rFonts w:ascii="Arial" w:hAnsi="Arial" w:cs="Arial"/>
          <w:lang w:val="en-GB"/>
        </w:rPr>
        <w:tab/>
        <w:t>MR S R MULLING SC</w:t>
      </w:r>
    </w:p>
    <w:p w:rsidR="00A2045C" w:rsidRPr="00A2045C" w:rsidRDefault="00A2045C" w:rsidP="00A2045C">
      <w:pPr>
        <w:rPr>
          <w:rFonts w:ascii="Arial" w:hAnsi="Arial" w:cs="Arial"/>
          <w:lang w:val="en-GB"/>
        </w:rPr>
      </w:pP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 xml:space="preserve">Instructed by </w:t>
      </w:r>
      <w:r w:rsidRPr="00A2045C">
        <w:rPr>
          <w:rFonts w:ascii="Arial" w:hAnsi="Arial" w:cs="Arial"/>
          <w:lang w:val="en-GB"/>
        </w:rPr>
        <w:tab/>
        <w:t>:</w:t>
      </w:r>
      <w:r w:rsidRPr="00A2045C">
        <w:rPr>
          <w:rFonts w:ascii="Arial" w:hAnsi="Arial" w:cs="Arial"/>
          <w:lang w:val="en-GB"/>
        </w:rPr>
        <w:tab/>
        <w:t>Shepstone &amp; Wylie Attorneys</w:t>
      </w: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24 Richefond Circle</w:t>
      </w: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Ridgeside Office Park</w:t>
      </w:r>
      <w:r w:rsidRPr="00A2045C">
        <w:rPr>
          <w:rFonts w:ascii="Arial" w:hAnsi="Arial" w:cs="Arial"/>
          <w:lang w:val="en-GB"/>
        </w:rPr>
        <w:tab/>
      </w:r>
      <w:r w:rsidRPr="00A2045C">
        <w:rPr>
          <w:rFonts w:ascii="Arial" w:hAnsi="Arial" w:cs="Arial"/>
          <w:lang w:val="en-GB"/>
        </w:rPr>
        <w:tab/>
      </w: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UMHLANGA ROCKS</w:t>
      </w:r>
    </w:p>
    <w:p w:rsidR="00A2045C" w:rsidRPr="00A2045C" w:rsidRDefault="00A2045C" w:rsidP="00A2045C">
      <w:pPr>
        <w:ind w:left="3600" w:hanging="3600"/>
        <w:contextualSpacing/>
        <w:rPr>
          <w:rFonts w:ascii="Arial" w:hAnsi="Arial" w:cs="Arial"/>
          <w:lang w:val="en-GB"/>
        </w:rPr>
      </w:pP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Ref: TE/WJR/CHIN11.3</w:t>
      </w: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Tel: 031 575 7000</w:t>
      </w:r>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t xml:space="preserve">Email: </w:t>
      </w:r>
      <w:hyperlink r:id="rId14" w:history="1">
        <w:r w:rsidRPr="00A2045C">
          <w:rPr>
            <w:rFonts w:ascii="Arial" w:hAnsi="Arial" w:cs="Arial"/>
            <w:color w:val="0000FF"/>
            <w:u w:val="single"/>
            <w:lang w:val="en-GB"/>
          </w:rPr>
          <w:t>smullins@law.co.za</w:t>
        </w:r>
      </w:hyperlink>
    </w:p>
    <w:p w:rsidR="00A2045C" w:rsidRPr="00A2045C" w:rsidRDefault="00242CB7" w:rsidP="00A2045C">
      <w:pPr>
        <w:ind w:left="4320" w:firstLine="720"/>
        <w:contextualSpacing/>
        <w:rPr>
          <w:rFonts w:ascii="Arial" w:hAnsi="Arial" w:cs="Arial"/>
          <w:lang w:val="en-GB"/>
        </w:rPr>
      </w:pPr>
      <w:hyperlink r:id="rId15" w:history="1">
        <w:r w:rsidR="00A2045C" w:rsidRPr="00A2045C">
          <w:rPr>
            <w:rFonts w:ascii="Arial" w:hAnsi="Arial" w:cs="Arial"/>
            <w:color w:val="0000FF"/>
            <w:u w:val="single"/>
            <w:lang w:val="en-GB"/>
          </w:rPr>
          <w:t>edwards@wylie.co.za</w:t>
        </w:r>
      </w:hyperlink>
    </w:p>
    <w:p w:rsidR="00A2045C" w:rsidRPr="00A2045C" w:rsidRDefault="00A2045C" w:rsidP="00A2045C">
      <w:pPr>
        <w:ind w:left="3600" w:hanging="3600"/>
        <w:contextualSpacing/>
        <w:rPr>
          <w:rFonts w:ascii="Arial" w:hAnsi="Arial" w:cs="Arial"/>
          <w:lang w:val="en-GB"/>
        </w:rPr>
      </w:pPr>
      <w:r w:rsidRPr="00A2045C">
        <w:rPr>
          <w:rFonts w:ascii="Arial" w:hAnsi="Arial" w:cs="Arial"/>
          <w:lang w:val="en-GB"/>
        </w:rPr>
        <w:tab/>
      </w:r>
      <w:r w:rsidRPr="00A2045C">
        <w:rPr>
          <w:rFonts w:ascii="Arial" w:hAnsi="Arial" w:cs="Arial"/>
          <w:lang w:val="en-GB"/>
        </w:rPr>
        <w:tab/>
      </w:r>
      <w:r w:rsidRPr="00A2045C">
        <w:rPr>
          <w:rFonts w:ascii="Arial" w:hAnsi="Arial" w:cs="Arial"/>
          <w:lang w:val="en-GB"/>
        </w:rPr>
        <w:tab/>
      </w:r>
      <w:hyperlink r:id="rId16" w:history="1">
        <w:r w:rsidRPr="00A2045C">
          <w:rPr>
            <w:rFonts w:ascii="Arial" w:hAnsi="Arial" w:cs="Arial"/>
            <w:color w:val="0000FF"/>
            <w:u w:val="single"/>
            <w:lang w:val="en-GB"/>
          </w:rPr>
          <w:t>Wesley.rajbansi@wylie.co.za</w:t>
        </w:r>
      </w:hyperlink>
    </w:p>
    <w:p w:rsidR="00A2045C" w:rsidRPr="00A2045C" w:rsidRDefault="00A2045C" w:rsidP="00A2045C">
      <w:pPr>
        <w:ind w:left="3600" w:hanging="3600"/>
        <w:contextualSpacing/>
        <w:rPr>
          <w:rFonts w:ascii="Arial" w:hAnsi="Arial" w:cs="Arial"/>
          <w:lang w:val="en-GB"/>
        </w:rPr>
      </w:pPr>
    </w:p>
    <w:p w:rsidR="00A2045C" w:rsidRPr="00A2045C" w:rsidRDefault="00A2045C" w:rsidP="00A2045C">
      <w:pPr>
        <w:tabs>
          <w:tab w:val="left" w:pos="5103"/>
        </w:tabs>
        <w:rPr>
          <w:rFonts w:ascii="Arial" w:hAnsi="Arial" w:cs="Arial"/>
          <w:lang w:val="en-GB"/>
        </w:rPr>
      </w:pPr>
      <w:r w:rsidRPr="00A2045C">
        <w:rPr>
          <w:rFonts w:ascii="Arial" w:hAnsi="Arial" w:cs="Arial"/>
          <w:lang w:val="en-GB"/>
        </w:rPr>
        <w:tab/>
      </w:r>
      <w:r w:rsidRPr="00A2045C">
        <w:rPr>
          <w:rFonts w:ascii="Arial" w:hAnsi="Arial" w:cs="Arial"/>
          <w:lang w:val="en-GB"/>
        </w:rPr>
        <w:tab/>
        <w:t xml:space="preserve">                                                               </w:t>
      </w:r>
    </w:p>
    <w:p w:rsidR="00A2045C" w:rsidRPr="00A2045C" w:rsidRDefault="00A2045C" w:rsidP="008C0CA9">
      <w:pPr>
        <w:rPr>
          <w:rFonts w:ascii="Arial" w:eastAsia="Calibri" w:hAnsi="Arial" w:cs="Arial"/>
          <w:lang w:val="en-GB" w:eastAsia="en-US"/>
        </w:rPr>
      </w:pPr>
      <w:r w:rsidRPr="00A2045C">
        <w:rPr>
          <w:rFonts w:ascii="Arial" w:eastAsia="Calibri" w:hAnsi="Arial" w:cs="Arial"/>
          <w:lang w:val="en-GB" w:eastAsia="en-US"/>
        </w:rPr>
        <w:t xml:space="preserve">Date of Hearing  </w:t>
      </w:r>
      <w:r w:rsidRPr="00A2045C">
        <w:rPr>
          <w:rFonts w:ascii="Arial" w:eastAsia="Calibri" w:hAnsi="Arial" w:cs="Arial"/>
          <w:lang w:val="en-GB" w:eastAsia="en-US"/>
        </w:rPr>
        <w:tab/>
      </w:r>
      <w:r w:rsidRPr="00A2045C">
        <w:rPr>
          <w:rFonts w:ascii="Arial" w:eastAsia="Calibri" w:hAnsi="Arial" w:cs="Arial"/>
          <w:lang w:val="en-GB" w:eastAsia="en-US"/>
        </w:rPr>
        <w:tab/>
      </w:r>
      <w:r w:rsidRPr="00A2045C">
        <w:rPr>
          <w:rFonts w:ascii="Arial" w:eastAsia="Calibri" w:hAnsi="Arial" w:cs="Arial"/>
          <w:lang w:val="en-GB" w:eastAsia="en-US"/>
        </w:rPr>
        <w:tab/>
        <w:t>:</w:t>
      </w:r>
      <w:r w:rsidRPr="00A2045C">
        <w:rPr>
          <w:rFonts w:ascii="Arial" w:eastAsia="Calibri" w:hAnsi="Arial" w:cs="Arial"/>
          <w:lang w:val="en-GB" w:eastAsia="en-US"/>
        </w:rPr>
        <w:tab/>
        <w:t>8 March 2022</w:t>
      </w:r>
    </w:p>
    <w:p w:rsidR="00A2045C" w:rsidRPr="00A2045C" w:rsidRDefault="00A2045C" w:rsidP="00A2045C">
      <w:pPr>
        <w:ind w:left="3544" w:hanging="3544"/>
        <w:contextualSpacing/>
        <w:rPr>
          <w:rFonts w:ascii="Arial" w:eastAsia="Calibri" w:hAnsi="Arial" w:cs="Arial"/>
          <w:lang w:val="en-GB" w:eastAsia="en-US"/>
        </w:rPr>
      </w:pPr>
    </w:p>
    <w:p w:rsidR="008C0CA9" w:rsidRDefault="00A2045C" w:rsidP="00A2045C">
      <w:pPr>
        <w:tabs>
          <w:tab w:val="left" w:pos="3544"/>
        </w:tabs>
        <w:rPr>
          <w:rFonts w:ascii="Arial" w:eastAsia="Calibri" w:hAnsi="Arial" w:cs="Arial"/>
          <w:lang w:val="en-GB" w:eastAsia="en-US"/>
        </w:rPr>
      </w:pPr>
      <w:r w:rsidRPr="00A2045C">
        <w:rPr>
          <w:rFonts w:ascii="Arial" w:eastAsia="Calibri" w:hAnsi="Arial" w:cs="Arial"/>
          <w:lang w:val="en-GB" w:eastAsia="en-US"/>
        </w:rPr>
        <w:t xml:space="preserve">Date of Judgment </w:t>
      </w:r>
      <w:r w:rsidRPr="00A2045C">
        <w:rPr>
          <w:rFonts w:ascii="Arial" w:eastAsia="Calibri" w:hAnsi="Arial" w:cs="Arial"/>
          <w:lang w:val="en-GB" w:eastAsia="en-US"/>
        </w:rPr>
        <w:tab/>
        <w:t>:</w:t>
      </w:r>
      <w:r w:rsidR="00450371">
        <w:rPr>
          <w:rFonts w:ascii="Arial" w:eastAsia="Calibri" w:hAnsi="Arial" w:cs="Arial"/>
          <w:lang w:val="en-GB" w:eastAsia="en-US"/>
        </w:rPr>
        <w:tab/>
        <w:t>30 May 2022</w:t>
      </w:r>
    </w:p>
    <w:p w:rsidR="00A2045C" w:rsidRPr="00A2045C" w:rsidRDefault="00A2045C" w:rsidP="00A2045C">
      <w:pPr>
        <w:tabs>
          <w:tab w:val="left" w:pos="3544"/>
        </w:tabs>
        <w:rPr>
          <w:rFonts w:ascii="Arial" w:hAnsi="Arial" w:cs="Arial"/>
          <w:lang w:val="en-GB" w:eastAsia="en-US"/>
        </w:rPr>
      </w:pPr>
      <w:r w:rsidRPr="00A2045C">
        <w:rPr>
          <w:rFonts w:ascii="Arial" w:eastAsia="Calibri" w:hAnsi="Arial" w:cs="Arial"/>
          <w:lang w:val="en-GB" w:eastAsia="en-US"/>
        </w:rPr>
        <w:tab/>
        <w:t xml:space="preserve">  </w:t>
      </w:r>
    </w:p>
    <w:p w:rsidR="00EF50F9" w:rsidRPr="00437435" w:rsidRDefault="008C0CA9" w:rsidP="008C0CA9">
      <w:pPr>
        <w:tabs>
          <w:tab w:val="right" w:pos="8910"/>
        </w:tabs>
        <w:spacing w:line="360" w:lineRule="auto"/>
        <w:jc w:val="both"/>
        <w:rPr>
          <w:rFonts w:ascii="Arial" w:hAnsi="Arial" w:cs="Arial"/>
        </w:rPr>
      </w:pPr>
      <w:r w:rsidRPr="00A2045C">
        <w:rPr>
          <w:rFonts w:ascii="Arial" w:hAnsi="Arial" w:cs="Arial"/>
        </w:rPr>
        <w:t>The judgment was handed down electronically by circulation to the parties’ legal representatives by email and released to SAFLII. The dat</w:t>
      </w:r>
      <w:r w:rsidR="00450371">
        <w:rPr>
          <w:rFonts w:ascii="Arial" w:hAnsi="Arial" w:cs="Arial"/>
        </w:rPr>
        <w:t>e for hand down is deemed to be 30 May 2022</w:t>
      </w:r>
      <w:r w:rsidR="00357CD5">
        <w:rPr>
          <w:rFonts w:ascii="Arial" w:hAnsi="Arial" w:cs="Arial"/>
        </w:rPr>
        <w:t>.</w:t>
      </w:r>
    </w:p>
    <w:sectPr w:rsidR="00EF50F9" w:rsidRPr="00437435" w:rsidSect="008C0CA9">
      <w:headerReference w:type="default" r:id="rId17"/>
      <w:footerReference w:type="default" r:id="rId1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CB7" w:rsidRDefault="00242CB7" w:rsidP="00B23AE3">
      <w:r>
        <w:separator/>
      </w:r>
    </w:p>
  </w:endnote>
  <w:endnote w:type="continuationSeparator" w:id="0">
    <w:p w:rsidR="00242CB7" w:rsidRDefault="00242CB7" w:rsidP="00B2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A5" w:rsidRDefault="00130CA5" w:rsidP="00B23A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CB7" w:rsidRDefault="00242CB7" w:rsidP="00B23AE3">
      <w:r>
        <w:separator/>
      </w:r>
    </w:p>
  </w:footnote>
  <w:footnote w:type="continuationSeparator" w:id="0">
    <w:p w:rsidR="00242CB7" w:rsidRDefault="00242CB7" w:rsidP="00B23AE3">
      <w:r>
        <w:continuationSeparator/>
      </w:r>
    </w:p>
  </w:footnote>
  <w:footnote w:id="1">
    <w:p w:rsidR="00130CA5" w:rsidRPr="008E299E" w:rsidRDefault="00130CA5" w:rsidP="00E374DC">
      <w:pPr>
        <w:tabs>
          <w:tab w:val="left" w:pos="0"/>
          <w:tab w:val="left" w:pos="567"/>
          <w:tab w:val="left" w:pos="990"/>
        </w:tabs>
        <w:contextualSpacing/>
        <w:jc w:val="both"/>
        <w:rPr>
          <w:rFonts w:ascii="Arial" w:hAnsi="Arial" w:cs="Arial"/>
          <w:color w:val="000000" w:themeColor="text1"/>
        </w:rPr>
      </w:pPr>
      <w:r w:rsidRPr="008E299E">
        <w:rPr>
          <w:rStyle w:val="FootnoteReference"/>
          <w:rFonts w:ascii="Arial" w:hAnsi="Arial" w:cs="Arial"/>
          <w:color w:val="000000" w:themeColor="text1"/>
          <w:sz w:val="20"/>
          <w:szCs w:val="20"/>
        </w:rPr>
        <w:footnoteRef/>
      </w:r>
      <w:r w:rsidRPr="008E299E">
        <w:rPr>
          <w:rFonts w:ascii="Arial" w:hAnsi="Arial" w:cs="Arial"/>
          <w:color w:val="000000" w:themeColor="text1"/>
          <w:sz w:val="20"/>
          <w:szCs w:val="20"/>
        </w:rPr>
        <w:t xml:space="preserve"> </w:t>
      </w:r>
      <w:r>
        <w:rPr>
          <w:rFonts w:ascii="Arial" w:hAnsi="Arial" w:cs="Arial"/>
          <w:color w:val="000000" w:themeColor="text1"/>
          <w:sz w:val="20"/>
          <w:szCs w:val="20"/>
          <w:lang w:val="en-GB"/>
        </w:rPr>
        <w:t>Malcolm Wallis ‘</w:t>
      </w:r>
      <w:r w:rsidRPr="008E299E">
        <w:rPr>
          <w:rFonts w:ascii="Arial" w:hAnsi="Arial" w:cs="Arial"/>
          <w:color w:val="000000" w:themeColor="text1"/>
          <w:sz w:val="20"/>
          <w:szCs w:val="20"/>
          <w:lang w:val="en-GB"/>
        </w:rPr>
        <w:t xml:space="preserve">Recovery of Maritime Debts and </w:t>
      </w:r>
      <w:r>
        <w:rPr>
          <w:rFonts w:ascii="Arial" w:hAnsi="Arial" w:cs="Arial"/>
          <w:color w:val="000000" w:themeColor="text1"/>
          <w:sz w:val="20"/>
          <w:szCs w:val="20"/>
          <w:lang w:val="en-GB"/>
        </w:rPr>
        <w:t>the Role of the Associated Ship’ (November 2012) 28.1</w:t>
      </w:r>
      <w:r w:rsidRPr="00F853A7">
        <w:rPr>
          <w:rFonts w:ascii="Arial" w:hAnsi="Arial" w:cs="Arial"/>
          <w:i/>
          <w:color w:val="000000" w:themeColor="text1"/>
          <w:sz w:val="20"/>
          <w:szCs w:val="20"/>
          <w:lang w:val="en-GB"/>
        </w:rPr>
        <w:t xml:space="preserve"> Banking &amp; Finance Law Review (B.F.L.R.)</w:t>
      </w:r>
      <w:r>
        <w:rPr>
          <w:rFonts w:ascii="Arial" w:hAnsi="Arial" w:cs="Arial"/>
          <w:color w:val="000000" w:themeColor="text1"/>
          <w:sz w:val="20"/>
          <w:szCs w:val="20"/>
          <w:lang w:val="en-GB"/>
        </w:rPr>
        <w:t xml:space="preserve"> </w:t>
      </w:r>
      <w:r w:rsidRPr="008E299E">
        <w:rPr>
          <w:rFonts w:ascii="Arial" w:hAnsi="Arial" w:cs="Arial"/>
          <w:color w:val="000000" w:themeColor="text1"/>
          <w:sz w:val="20"/>
          <w:szCs w:val="20"/>
          <w:lang w:val="en-GB"/>
        </w:rPr>
        <w:t>103 at 104</w:t>
      </w:r>
      <w:r>
        <w:rPr>
          <w:rFonts w:ascii="Arial" w:hAnsi="Arial" w:cs="Arial"/>
          <w:color w:val="000000" w:themeColor="text1"/>
          <w:sz w:val="20"/>
          <w:szCs w:val="20"/>
          <w:lang w:val="en-GB"/>
        </w:rPr>
        <w:t>;</w:t>
      </w:r>
      <w:r w:rsidRPr="008E299E">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James</w:t>
      </w:r>
      <w:r w:rsidRPr="008E299E">
        <w:rPr>
          <w:rFonts w:ascii="Arial" w:hAnsi="Arial" w:cs="Arial"/>
          <w:color w:val="000000" w:themeColor="text1"/>
          <w:sz w:val="20"/>
          <w:szCs w:val="20"/>
          <w:lang w:val="en-GB"/>
        </w:rPr>
        <w:t xml:space="preserve"> Allsop </w:t>
      </w:r>
      <w:r>
        <w:rPr>
          <w:rFonts w:ascii="Arial" w:hAnsi="Arial" w:cs="Arial"/>
          <w:color w:val="000000" w:themeColor="text1"/>
          <w:sz w:val="20"/>
          <w:szCs w:val="20"/>
          <w:lang w:val="en-GB"/>
        </w:rPr>
        <w:t>‘</w:t>
      </w:r>
      <w:r w:rsidRPr="008E299E">
        <w:rPr>
          <w:rFonts w:ascii="Arial" w:hAnsi="Arial" w:cs="Arial"/>
          <w:color w:val="000000" w:themeColor="text1"/>
          <w:sz w:val="20"/>
          <w:szCs w:val="20"/>
          <w:lang w:val="en-GB"/>
        </w:rPr>
        <w:t>Maritime Law: The Nature and Importance of Its International Character</w:t>
      </w:r>
      <w:r>
        <w:rPr>
          <w:rFonts w:ascii="Arial" w:hAnsi="Arial" w:cs="Arial"/>
          <w:color w:val="000000" w:themeColor="text1"/>
          <w:sz w:val="20"/>
          <w:szCs w:val="20"/>
          <w:lang w:val="en-GB"/>
        </w:rPr>
        <w:t>’</w:t>
      </w:r>
      <w:r w:rsidRPr="008E299E">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w:t>
      </w:r>
      <w:r w:rsidRPr="008E299E">
        <w:rPr>
          <w:rFonts w:ascii="Arial" w:hAnsi="Arial" w:cs="Arial"/>
          <w:color w:val="000000" w:themeColor="text1"/>
          <w:sz w:val="20"/>
          <w:szCs w:val="20"/>
          <w:lang w:val="en-GB"/>
        </w:rPr>
        <w:t>2010</w:t>
      </w:r>
      <w:r>
        <w:rPr>
          <w:rFonts w:ascii="Arial" w:hAnsi="Arial" w:cs="Arial"/>
          <w:color w:val="000000" w:themeColor="text1"/>
          <w:sz w:val="20"/>
          <w:szCs w:val="20"/>
          <w:lang w:val="en-GB"/>
        </w:rPr>
        <w:t>)</w:t>
      </w:r>
      <w:r w:rsidRPr="008E299E">
        <w:rPr>
          <w:rFonts w:ascii="Arial" w:hAnsi="Arial" w:cs="Arial"/>
          <w:color w:val="000000" w:themeColor="text1"/>
          <w:sz w:val="20"/>
          <w:szCs w:val="20"/>
          <w:lang w:val="en-GB"/>
        </w:rPr>
        <w:t xml:space="preserve"> </w:t>
      </w:r>
      <w:r>
        <w:rPr>
          <w:rFonts w:ascii="Arial" w:hAnsi="Arial" w:cs="Arial"/>
          <w:color w:val="000000" w:themeColor="text1"/>
          <w:sz w:val="20"/>
          <w:szCs w:val="20"/>
          <w:lang w:val="en-GB"/>
        </w:rPr>
        <w:t xml:space="preserve">34 </w:t>
      </w:r>
      <w:r w:rsidRPr="00E374DC">
        <w:rPr>
          <w:rFonts w:ascii="Arial" w:hAnsi="Arial" w:cs="Arial"/>
          <w:i/>
          <w:color w:val="000000" w:themeColor="text1"/>
          <w:sz w:val="20"/>
          <w:szCs w:val="20"/>
          <w:lang w:val="en-GB"/>
        </w:rPr>
        <w:t>Tulane Maritime Law Journal</w:t>
      </w:r>
      <w:r>
        <w:rPr>
          <w:rFonts w:ascii="Arial" w:hAnsi="Arial" w:cs="Arial"/>
          <w:color w:val="000000" w:themeColor="text1"/>
          <w:sz w:val="20"/>
          <w:szCs w:val="20"/>
          <w:lang w:val="en-GB"/>
        </w:rPr>
        <w:t xml:space="preserve"> 555. </w:t>
      </w:r>
    </w:p>
  </w:footnote>
  <w:footnote w:id="2">
    <w:p w:rsidR="00130CA5" w:rsidRPr="00E374DC" w:rsidRDefault="00130CA5">
      <w:pPr>
        <w:pStyle w:val="FootnoteText"/>
        <w:rPr>
          <w:lang w:val="en-GB"/>
        </w:rPr>
      </w:pPr>
      <w:r>
        <w:rPr>
          <w:rStyle w:val="FootnoteReference"/>
        </w:rPr>
        <w:footnoteRef/>
      </w:r>
      <w:r>
        <w:t xml:space="preserve"> </w:t>
      </w:r>
      <w:r w:rsidRPr="00556836">
        <w:rPr>
          <w:rFonts w:ascii="Arial" w:hAnsi="Arial" w:cs="Arial"/>
        </w:rPr>
        <w:t>Wallis at 105</w:t>
      </w:r>
      <w:r>
        <w:rPr>
          <w:rFonts w:ascii="Arial" w:hAnsi="Arial" w:cs="Arial"/>
        </w:rPr>
        <w:t>.</w:t>
      </w:r>
    </w:p>
  </w:footnote>
  <w:footnote w:id="3">
    <w:p w:rsidR="00130CA5" w:rsidRPr="008E299E" w:rsidRDefault="00130CA5" w:rsidP="00976FFD">
      <w:pPr>
        <w:pStyle w:val="Heading2"/>
        <w:spacing w:before="0" w:beforeAutospacing="0" w:after="0" w:afterAutospacing="0"/>
        <w:contextualSpacing/>
        <w:rPr>
          <w:rFonts w:ascii="Arial" w:hAnsi="Arial" w:cs="Arial"/>
          <w:b w:val="0"/>
          <w:bCs w:val="0"/>
          <w:color w:val="000000" w:themeColor="text1"/>
          <w:sz w:val="20"/>
          <w:szCs w:val="20"/>
        </w:rPr>
      </w:pPr>
      <w:r w:rsidRPr="00E374DC">
        <w:rPr>
          <w:rStyle w:val="FootnoteReference"/>
          <w:rFonts w:ascii="Arial" w:hAnsi="Arial" w:cs="Arial"/>
          <w:b w:val="0"/>
          <w:color w:val="000000" w:themeColor="text1"/>
          <w:sz w:val="20"/>
          <w:szCs w:val="20"/>
        </w:rPr>
        <w:footnoteRef/>
      </w:r>
      <w:r w:rsidRPr="00E374DC">
        <w:rPr>
          <w:rFonts w:ascii="Arial" w:hAnsi="Arial" w:cs="Arial"/>
          <w:b w:val="0"/>
          <w:color w:val="000000" w:themeColor="text1"/>
          <w:sz w:val="20"/>
          <w:szCs w:val="20"/>
        </w:rPr>
        <w:t xml:space="preserve"> </w:t>
      </w:r>
      <w:r w:rsidRPr="00E374DC">
        <w:rPr>
          <w:rFonts w:ascii="Arial" w:hAnsi="Arial" w:cs="Arial"/>
          <w:b w:val="0"/>
          <w:i/>
          <w:color w:val="000000" w:themeColor="text1"/>
          <w:sz w:val="20"/>
          <w:szCs w:val="20"/>
        </w:rPr>
        <w:t>MV Silver Star</w:t>
      </w:r>
      <w:r>
        <w:rPr>
          <w:rFonts w:ascii="Arial" w:hAnsi="Arial" w:cs="Arial"/>
          <w:b w:val="0"/>
          <w:i/>
          <w:color w:val="000000" w:themeColor="text1"/>
          <w:sz w:val="20"/>
          <w:szCs w:val="20"/>
        </w:rPr>
        <w:t>:</w:t>
      </w:r>
      <w:r w:rsidRPr="00E374DC">
        <w:rPr>
          <w:rFonts w:ascii="Arial" w:hAnsi="Arial" w:cs="Arial"/>
          <w:b w:val="0"/>
          <w:i/>
          <w:color w:val="000000" w:themeColor="text1"/>
          <w:sz w:val="20"/>
          <w:szCs w:val="20"/>
        </w:rPr>
        <w:t xml:space="preserve"> </w:t>
      </w:r>
      <w:r w:rsidRPr="008E299E">
        <w:rPr>
          <w:rFonts w:ascii="Arial" w:hAnsi="Arial" w:cs="Arial"/>
          <w:b w:val="0"/>
          <w:bCs w:val="0"/>
          <w:i/>
          <w:iCs/>
          <w:color w:val="000000" w:themeColor="text1"/>
          <w:sz w:val="20"/>
          <w:szCs w:val="20"/>
        </w:rPr>
        <w:t>Owners of the MV Silver Star v Hilane Limited</w:t>
      </w:r>
      <w:r w:rsidRPr="008E299E">
        <w:rPr>
          <w:rFonts w:ascii="Arial" w:hAnsi="Arial" w:cs="Arial"/>
          <w:b w:val="0"/>
          <w:bCs w:val="0"/>
          <w:color w:val="000000" w:themeColor="text1"/>
          <w:sz w:val="20"/>
          <w:szCs w:val="20"/>
        </w:rPr>
        <w:t xml:space="preserve"> [2014] ZASCA 194; [2015] 1 All SA 410 (SCA); 2015 (2) SA 331 (SCA)</w:t>
      </w:r>
      <w:r>
        <w:rPr>
          <w:rFonts w:ascii="Arial" w:hAnsi="Arial" w:cs="Arial"/>
          <w:b w:val="0"/>
          <w:bCs w:val="0"/>
          <w:color w:val="000000" w:themeColor="text1"/>
          <w:sz w:val="20"/>
          <w:szCs w:val="20"/>
        </w:rPr>
        <w:t>.</w:t>
      </w:r>
    </w:p>
  </w:footnote>
  <w:footnote w:id="4">
    <w:p w:rsidR="00130CA5" w:rsidRPr="008E299E" w:rsidRDefault="00130CA5" w:rsidP="006852DC">
      <w:pPr>
        <w:pStyle w:val="FootnoteText"/>
        <w:contextualSpacing/>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Wallis </w:t>
      </w:r>
      <w:r>
        <w:rPr>
          <w:rFonts w:ascii="Arial" w:hAnsi="Arial" w:cs="Arial"/>
          <w:color w:val="000000" w:themeColor="text1"/>
        </w:rPr>
        <w:t xml:space="preserve">at </w:t>
      </w:r>
      <w:r w:rsidRPr="008E299E">
        <w:rPr>
          <w:rFonts w:ascii="Arial" w:hAnsi="Arial" w:cs="Arial"/>
          <w:color w:val="000000" w:themeColor="text1"/>
        </w:rPr>
        <w:t>103-111.</w:t>
      </w:r>
    </w:p>
  </w:footnote>
  <w:footnote w:id="5">
    <w:p w:rsidR="00130CA5" w:rsidRPr="008E299E" w:rsidRDefault="00130CA5" w:rsidP="006852DC">
      <w:pPr>
        <w:pStyle w:val="FootnoteText"/>
        <w:contextualSpacing/>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Wallis </w:t>
      </w:r>
      <w:r>
        <w:rPr>
          <w:rFonts w:ascii="Arial" w:hAnsi="Arial" w:cs="Arial"/>
          <w:color w:val="000000" w:themeColor="text1"/>
        </w:rPr>
        <w:t xml:space="preserve">at </w:t>
      </w:r>
      <w:r w:rsidRPr="008E299E">
        <w:rPr>
          <w:rFonts w:ascii="Arial" w:hAnsi="Arial" w:cs="Arial"/>
          <w:color w:val="000000" w:themeColor="text1"/>
        </w:rPr>
        <w:t xml:space="preserve">115 fn 34 citing </w:t>
      </w:r>
      <w:r w:rsidRPr="008E299E">
        <w:rPr>
          <w:rFonts w:ascii="Arial" w:hAnsi="Arial" w:cs="Arial"/>
          <w:i/>
          <w:iCs/>
          <w:color w:val="000000" w:themeColor="text1"/>
        </w:rPr>
        <w:t>The Kadirga Five (no I) JA Chapman &amp; Co v Kardiga Denizcilik ve Ticaret AS</w:t>
      </w:r>
      <w:r w:rsidRPr="008E299E">
        <w:rPr>
          <w:rFonts w:ascii="Arial" w:hAnsi="Arial" w:cs="Arial"/>
          <w:color w:val="000000" w:themeColor="text1"/>
        </w:rPr>
        <w:t>, Shipping Cases of South Africa C12 at C14E-G.</w:t>
      </w:r>
    </w:p>
  </w:footnote>
  <w:footnote w:id="6">
    <w:p w:rsidR="00130CA5" w:rsidRPr="008E299E" w:rsidRDefault="00130CA5" w:rsidP="006852DC">
      <w:pPr>
        <w:pStyle w:val="Heading2"/>
        <w:spacing w:before="0" w:beforeAutospacing="0" w:after="0" w:afterAutospacing="0"/>
        <w:contextualSpacing/>
        <w:rPr>
          <w:rFonts w:ascii="Arial" w:hAnsi="Arial" w:cs="Arial"/>
          <w:b w:val="0"/>
          <w:bCs w:val="0"/>
          <w:color w:val="000000" w:themeColor="text1"/>
          <w:sz w:val="20"/>
          <w:szCs w:val="20"/>
        </w:rPr>
      </w:pPr>
      <w:r w:rsidRPr="00E374DC">
        <w:rPr>
          <w:rStyle w:val="FootnoteReference"/>
          <w:rFonts w:ascii="Arial" w:hAnsi="Arial" w:cs="Arial"/>
          <w:b w:val="0"/>
          <w:color w:val="000000" w:themeColor="text1"/>
          <w:sz w:val="20"/>
          <w:szCs w:val="20"/>
        </w:rPr>
        <w:footnoteRef/>
      </w:r>
      <w:r w:rsidRPr="00E374DC">
        <w:rPr>
          <w:rFonts w:ascii="Arial" w:hAnsi="Arial" w:cs="Arial"/>
          <w:b w:val="0"/>
          <w:color w:val="000000" w:themeColor="text1"/>
          <w:sz w:val="20"/>
          <w:szCs w:val="20"/>
        </w:rPr>
        <w:t xml:space="preserve"> </w:t>
      </w:r>
      <w:r w:rsidRPr="008E299E">
        <w:rPr>
          <w:rFonts w:ascii="Arial" w:hAnsi="Arial" w:cs="Arial"/>
          <w:b w:val="0"/>
          <w:bCs w:val="0"/>
          <w:i/>
          <w:iCs/>
          <w:color w:val="000000" w:themeColor="text1"/>
          <w:sz w:val="20"/>
          <w:szCs w:val="20"/>
        </w:rPr>
        <w:t>International Marine Transport v MV "Le Cong" and Another</w:t>
      </w:r>
      <w:r w:rsidRPr="008E299E">
        <w:rPr>
          <w:rFonts w:ascii="Arial" w:hAnsi="Arial" w:cs="Arial"/>
          <w:b w:val="0"/>
          <w:bCs w:val="0"/>
          <w:color w:val="000000" w:themeColor="text1"/>
          <w:sz w:val="20"/>
          <w:szCs w:val="20"/>
        </w:rPr>
        <w:t xml:space="preserve"> [2005] ZASCA 106 </w:t>
      </w:r>
      <w:r>
        <w:rPr>
          <w:rFonts w:ascii="Arial" w:hAnsi="Arial" w:cs="Arial"/>
          <w:b w:val="0"/>
          <w:bCs w:val="0"/>
          <w:color w:val="000000" w:themeColor="text1"/>
          <w:sz w:val="20"/>
          <w:szCs w:val="20"/>
        </w:rPr>
        <w:t>(‘</w:t>
      </w:r>
      <w:r w:rsidRPr="00E374DC">
        <w:rPr>
          <w:rFonts w:ascii="Arial" w:hAnsi="Arial" w:cs="Arial"/>
          <w:b w:val="0"/>
          <w:bCs w:val="0"/>
          <w:i/>
          <w:color w:val="000000" w:themeColor="text1"/>
          <w:sz w:val="20"/>
          <w:szCs w:val="20"/>
        </w:rPr>
        <w:t>Le Cong</w:t>
      </w:r>
      <w:r>
        <w:rPr>
          <w:rFonts w:ascii="Arial" w:hAnsi="Arial" w:cs="Arial"/>
          <w:b w:val="0"/>
          <w:bCs w:val="0"/>
          <w:color w:val="000000" w:themeColor="text1"/>
          <w:sz w:val="20"/>
          <w:szCs w:val="20"/>
        </w:rPr>
        <w:t xml:space="preserve">’) </w:t>
      </w:r>
      <w:r w:rsidRPr="008E299E">
        <w:rPr>
          <w:rFonts w:ascii="Arial" w:hAnsi="Arial" w:cs="Arial"/>
          <w:b w:val="0"/>
          <w:bCs w:val="0"/>
          <w:color w:val="000000" w:themeColor="text1"/>
          <w:sz w:val="20"/>
          <w:szCs w:val="20"/>
        </w:rPr>
        <w:t xml:space="preserve">para </w:t>
      </w:r>
      <w:r>
        <w:rPr>
          <w:rFonts w:ascii="Arial" w:hAnsi="Arial" w:cs="Arial"/>
          <w:b w:val="0"/>
          <w:bCs w:val="0"/>
          <w:color w:val="000000" w:themeColor="text1"/>
          <w:sz w:val="20"/>
          <w:szCs w:val="20"/>
        </w:rPr>
        <w:t>7</w:t>
      </w:r>
      <w:r w:rsidRPr="008E299E">
        <w:rPr>
          <w:rFonts w:ascii="Arial" w:hAnsi="Arial" w:cs="Arial"/>
          <w:b w:val="0"/>
          <w:bCs w:val="0"/>
          <w:color w:val="000000" w:themeColor="text1"/>
          <w:sz w:val="20"/>
          <w:szCs w:val="20"/>
        </w:rPr>
        <w:t xml:space="preserve"> citing</w:t>
      </w:r>
      <w:r w:rsidRPr="008E299E">
        <w:rPr>
          <w:rFonts w:ascii="Arial" w:hAnsi="Arial" w:cs="Arial"/>
          <w:b w:val="0"/>
          <w:bCs w:val="0"/>
          <w:color w:val="000000" w:themeColor="text1"/>
          <w:sz w:val="20"/>
          <w:szCs w:val="20"/>
          <w:lang w:val="en-GB"/>
        </w:rPr>
        <w:t xml:space="preserve"> </w:t>
      </w:r>
      <w:r>
        <w:rPr>
          <w:rFonts w:ascii="Arial" w:hAnsi="Arial" w:cs="Arial"/>
          <w:b w:val="0"/>
          <w:bCs w:val="0"/>
          <w:i/>
          <w:iCs/>
          <w:color w:val="000000" w:themeColor="text1"/>
          <w:sz w:val="20"/>
          <w:szCs w:val="20"/>
        </w:rPr>
        <w:t>MV</w:t>
      </w:r>
      <w:r w:rsidRPr="008E299E">
        <w:rPr>
          <w:rFonts w:ascii="Arial" w:hAnsi="Arial" w:cs="Arial"/>
          <w:b w:val="0"/>
          <w:bCs w:val="0"/>
          <w:i/>
          <w:iCs/>
          <w:color w:val="000000" w:themeColor="text1"/>
          <w:sz w:val="20"/>
          <w:szCs w:val="20"/>
        </w:rPr>
        <w:t xml:space="preserve"> Heavy Metal: Belfry Marine Ltd v Palm Base Maritime SDN BHD </w:t>
      </w:r>
      <w:r w:rsidRPr="00E374DC">
        <w:rPr>
          <w:rFonts w:ascii="Arial" w:hAnsi="Arial" w:cs="Arial"/>
          <w:b w:val="0"/>
          <w:bCs w:val="0"/>
          <w:iCs/>
          <w:color w:val="000000" w:themeColor="text1"/>
          <w:sz w:val="20"/>
          <w:szCs w:val="20"/>
        </w:rPr>
        <w:t>[1999] ZASCA 44</w:t>
      </w:r>
      <w:r>
        <w:rPr>
          <w:rFonts w:ascii="Arial" w:hAnsi="Arial" w:cs="Arial"/>
          <w:b w:val="0"/>
          <w:bCs w:val="0"/>
          <w:iCs/>
          <w:color w:val="000000" w:themeColor="text1"/>
          <w:sz w:val="20"/>
          <w:szCs w:val="20"/>
        </w:rPr>
        <w:t xml:space="preserve">; </w:t>
      </w:r>
      <w:r w:rsidRPr="00197164">
        <w:rPr>
          <w:rFonts w:ascii="Arial" w:hAnsi="Arial" w:cs="Arial"/>
          <w:b w:val="0"/>
          <w:bCs w:val="0"/>
          <w:iCs/>
          <w:color w:val="000000" w:themeColor="text1"/>
          <w:sz w:val="20"/>
          <w:szCs w:val="20"/>
        </w:rPr>
        <w:t>[1999] 3 All SA 337 (A)</w:t>
      </w:r>
      <w:r>
        <w:rPr>
          <w:rFonts w:ascii="Arial" w:hAnsi="Arial" w:cs="Arial"/>
          <w:b w:val="0"/>
          <w:bCs w:val="0"/>
          <w:iCs/>
          <w:color w:val="000000" w:themeColor="text1"/>
          <w:sz w:val="20"/>
          <w:szCs w:val="20"/>
        </w:rPr>
        <w:t>;</w:t>
      </w:r>
      <w:r>
        <w:rPr>
          <w:rFonts w:ascii="Arial" w:hAnsi="Arial" w:cs="Arial"/>
          <w:b w:val="0"/>
          <w:bCs w:val="0"/>
          <w:i/>
          <w:iCs/>
          <w:color w:val="000000" w:themeColor="text1"/>
          <w:sz w:val="20"/>
          <w:szCs w:val="20"/>
        </w:rPr>
        <w:t xml:space="preserve"> </w:t>
      </w:r>
      <w:r w:rsidRPr="008E299E">
        <w:rPr>
          <w:rFonts w:ascii="Arial" w:hAnsi="Arial" w:cs="Arial"/>
          <w:b w:val="0"/>
          <w:bCs w:val="0"/>
          <w:color w:val="000000" w:themeColor="text1"/>
          <w:sz w:val="20"/>
          <w:szCs w:val="20"/>
        </w:rPr>
        <w:t xml:space="preserve">1999 (3) SA 1083 (SCA) </w:t>
      </w:r>
      <w:r>
        <w:rPr>
          <w:rFonts w:ascii="Arial" w:hAnsi="Arial" w:cs="Arial"/>
          <w:b w:val="0"/>
          <w:bCs w:val="0"/>
          <w:color w:val="000000" w:themeColor="text1"/>
          <w:sz w:val="20"/>
          <w:szCs w:val="20"/>
        </w:rPr>
        <w:t>(‘</w:t>
      </w:r>
      <w:r w:rsidRPr="00E374DC">
        <w:rPr>
          <w:rFonts w:ascii="Arial" w:hAnsi="Arial" w:cs="Arial"/>
          <w:b w:val="0"/>
          <w:bCs w:val="0"/>
          <w:i/>
          <w:color w:val="000000" w:themeColor="text1"/>
          <w:sz w:val="20"/>
          <w:szCs w:val="20"/>
        </w:rPr>
        <w:t>MV Heavy Metal</w:t>
      </w:r>
      <w:r>
        <w:rPr>
          <w:rFonts w:ascii="Arial" w:hAnsi="Arial" w:cs="Arial"/>
          <w:b w:val="0"/>
          <w:bCs w:val="0"/>
          <w:color w:val="000000" w:themeColor="text1"/>
          <w:sz w:val="20"/>
          <w:szCs w:val="20"/>
        </w:rPr>
        <w:t xml:space="preserve">’) </w:t>
      </w:r>
      <w:r w:rsidRPr="008E299E">
        <w:rPr>
          <w:rFonts w:ascii="Arial" w:hAnsi="Arial" w:cs="Arial"/>
          <w:b w:val="0"/>
          <w:bCs w:val="0"/>
          <w:color w:val="000000" w:themeColor="text1"/>
          <w:sz w:val="20"/>
          <w:szCs w:val="20"/>
        </w:rPr>
        <w:t xml:space="preserve">para </w:t>
      </w:r>
      <w:r>
        <w:rPr>
          <w:rFonts w:ascii="Arial" w:hAnsi="Arial" w:cs="Arial"/>
          <w:b w:val="0"/>
          <w:bCs w:val="0"/>
          <w:color w:val="000000" w:themeColor="text1"/>
          <w:sz w:val="20"/>
          <w:szCs w:val="20"/>
        </w:rPr>
        <w:t>12</w:t>
      </w:r>
      <w:r w:rsidRPr="008E299E">
        <w:rPr>
          <w:rFonts w:ascii="Arial" w:hAnsi="Arial" w:cs="Arial"/>
          <w:b w:val="0"/>
          <w:bCs w:val="0"/>
          <w:color w:val="000000" w:themeColor="text1"/>
          <w:sz w:val="20"/>
          <w:szCs w:val="20"/>
        </w:rPr>
        <w:t>.</w:t>
      </w:r>
    </w:p>
  </w:footnote>
  <w:footnote w:id="7">
    <w:p w:rsidR="00130CA5" w:rsidRPr="005B0FF3" w:rsidRDefault="00130CA5">
      <w:pPr>
        <w:pStyle w:val="FootnoteText"/>
        <w:rPr>
          <w:rFonts w:ascii="Arial" w:hAnsi="Arial" w:cs="Arial"/>
          <w:color w:val="000000" w:themeColor="text1"/>
        </w:rPr>
      </w:pPr>
      <w:r w:rsidRPr="008E299E">
        <w:rPr>
          <w:rStyle w:val="FootnoteReference"/>
          <w:rFonts w:ascii="Arial" w:hAnsi="Arial" w:cs="Arial"/>
          <w:color w:val="000000" w:themeColor="text1"/>
        </w:rPr>
        <w:footnoteRef/>
      </w:r>
      <w:r w:rsidRPr="00E374DC">
        <w:rPr>
          <w:rFonts w:ascii="Arial" w:hAnsi="Arial" w:cs="Arial"/>
          <w:i/>
          <w:color w:val="000000" w:themeColor="text1"/>
        </w:rPr>
        <w:t xml:space="preserve"> MV </w:t>
      </w:r>
      <w:r w:rsidRPr="005B0FF3">
        <w:rPr>
          <w:rFonts w:ascii="Arial" w:eastAsia="Times New Roman" w:hAnsi="Arial" w:cs="Arial"/>
          <w:i/>
          <w:color w:val="000000" w:themeColor="text1"/>
          <w:lang w:val="en-ZA"/>
        </w:rPr>
        <w:t xml:space="preserve">Heavy Metal </w:t>
      </w:r>
      <w:r w:rsidRPr="005B0FF3">
        <w:rPr>
          <w:rFonts w:ascii="Arial" w:hAnsi="Arial" w:cs="Arial"/>
          <w:color w:val="000000" w:themeColor="text1"/>
          <w:lang w:val="en-GB"/>
        </w:rPr>
        <w:t>at 1105-1106.</w:t>
      </w:r>
    </w:p>
  </w:footnote>
  <w:footnote w:id="8">
    <w:p w:rsidR="00130CA5" w:rsidRPr="00E374DC" w:rsidRDefault="00130CA5" w:rsidP="005B0FF3">
      <w:pPr>
        <w:pStyle w:val="FootnoteText"/>
        <w:rPr>
          <w:rFonts w:ascii="Arial" w:hAnsi="Arial" w:cs="Arial"/>
          <w:lang w:val="en-GB"/>
        </w:rPr>
      </w:pPr>
      <w:r w:rsidRPr="00E374DC">
        <w:rPr>
          <w:rStyle w:val="FootnoteReference"/>
          <w:rFonts w:ascii="Arial" w:hAnsi="Arial" w:cs="Arial"/>
        </w:rPr>
        <w:footnoteRef/>
      </w:r>
      <w:r>
        <w:rPr>
          <w:rFonts w:ascii="Arial" w:hAnsi="Arial" w:cs="Arial"/>
        </w:rPr>
        <w:t xml:space="preserve"> In terms of</w:t>
      </w:r>
      <w:r w:rsidRPr="00E374DC">
        <w:rPr>
          <w:rFonts w:ascii="Arial" w:hAnsi="Arial" w:cs="Arial"/>
        </w:rPr>
        <w:t xml:space="preserve"> </w:t>
      </w:r>
      <w:r>
        <w:rPr>
          <w:rFonts w:ascii="Arial" w:hAnsi="Arial" w:cs="Arial"/>
          <w:lang w:val="en-GB"/>
        </w:rPr>
        <w:t>s</w:t>
      </w:r>
      <w:r w:rsidRPr="00E374DC">
        <w:rPr>
          <w:rFonts w:ascii="Arial" w:hAnsi="Arial" w:cs="Arial"/>
          <w:lang w:val="en-GB"/>
        </w:rPr>
        <w:t xml:space="preserve"> 3(7)(</w:t>
      </w:r>
      <w:r w:rsidRPr="00E374DC">
        <w:rPr>
          <w:rFonts w:ascii="Arial" w:hAnsi="Arial" w:cs="Arial"/>
          <w:i/>
          <w:lang w:val="en-GB"/>
        </w:rPr>
        <w:t>c</w:t>
      </w:r>
      <w:r w:rsidRPr="00E374DC">
        <w:rPr>
          <w:rFonts w:ascii="Arial" w:hAnsi="Arial" w:cs="Arial"/>
          <w:lang w:val="en-GB"/>
        </w:rPr>
        <w:t>) of the Admiralty Jurisdiction Regulation Act 105 of 1983.</w:t>
      </w:r>
    </w:p>
  </w:footnote>
  <w:footnote w:id="9">
    <w:p w:rsidR="00130CA5" w:rsidRPr="008E299E" w:rsidRDefault="00130CA5" w:rsidP="007A3C28">
      <w:pPr>
        <w:pStyle w:val="NormalWeb"/>
        <w:spacing w:before="0" w:beforeAutospacing="0" w:after="0" w:afterAutospacing="0"/>
        <w:contextualSpacing/>
        <w:jc w:val="both"/>
        <w:rPr>
          <w:rFonts w:ascii="Arial" w:hAnsi="Arial" w:cs="Arial"/>
          <w:color w:val="000000" w:themeColor="text1"/>
          <w:sz w:val="20"/>
          <w:szCs w:val="20"/>
        </w:rPr>
      </w:pPr>
      <w:r w:rsidRPr="008E299E">
        <w:rPr>
          <w:rStyle w:val="FootnoteReference"/>
          <w:rFonts w:ascii="Arial" w:hAnsi="Arial" w:cs="Arial"/>
          <w:color w:val="000000" w:themeColor="text1"/>
          <w:sz w:val="20"/>
          <w:szCs w:val="20"/>
        </w:rPr>
        <w:footnoteRef/>
      </w:r>
      <w:r w:rsidRPr="008E299E">
        <w:rPr>
          <w:rFonts w:ascii="Arial" w:hAnsi="Arial" w:cs="Arial"/>
          <w:color w:val="000000" w:themeColor="text1"/>
          <w:sz w:val="20"/>
          <w:szCs w:val="20"/>
        </w:rPr>
        <w:t xml:space="preserve"> </w:t>
      </w:r>
      <w:r w:rsidRPr="00D973D5">
        <w:rPr>
          <w:rFonts w:ascii="Arial" w:hAnsi="Arial" w:cs="Arial"/>
          <w:i/>
          <w:color w:val="000000" w:themeColor="text1"/>
          <w:sz w:val="20"/>
          <w:szCs w:val="20"/>
        </w:rPr>
        <w:t>The Asphalt Venture</w:t>
      </w:r>
      <w:r>
        <w:rPr>
          <w:rFonts w:ascii="Arial" w:hAnsi="Arial" w:cs="Arial"/>
          <w:i/>
          <w:color w:val="000000" w:themeColor="text1"/>
          <w:sz w:val="20"/>
          <w:szCs w:val="20"/>
        </w:rPr>
        <w:t xml:space="preserve">: </w:t>
      </w:r>
      <w:r w:rsidRPr="00D973D5">
        <w:rPr>
          <w:rFonts w:ascii="Arial" w:hAnsi="Arial" w:cs="Arial"/>
          <w:i/>
          <w:color w:val="000000" w:themeColor="text1"/>
          <w:sz w:val="20"/>
          <w:szCs w:val="20"/>
        </w:rPr>
        <w:t xml:space="preserve">Windrush Intercontinental </w:t>
      </w:r>
      <w:r>
        <w:rPr>
          <w:rFonts w:ascii="Arial" w:hAnsi="Arial" w:cs="Arial"/>
          <w:i/>
          <w:color w:val="000000" w:themeColor="text1"/>
          <w:sz w:val="20"/>
          <w:szCs w:val="20"/>
        </w:rPr>
        <w:t>SA a</w:t>
      </w:r>
      <w:r w:rsidRPr="00D973D5">
        <w:rPr>
          <w:rFonts w:ascii="Arial" w:hAnsi="Arial" w:cs="Arial"/>
          <w:i/>
          <w:color w:val="000000" w:themeColor="text1"/>
          <w:sz w:val="20"/>
          <w:szCs w:val="20"/>
        </w:rPr>
        <w:t xml:space="preserve">nd Another </w:t>
      </w:r>
      <w:r>
        <w:rPr>
          <w:rFonts w:ascii="Arial" w:hAnsi="Arial" w:cs="Arial"/>
          <w:i/>
          <w:color w:val="000000" w:themeColor="text1"/>
          <w:sz w:val="20"/>
          <w:szCs w:val="20"/>
        </w:rPr>
        <w:t>v</w:t>
      </w:r>
      <w:r w:rsidRPr="00D973D5">
        <w:rPr>
          <w:rFonts w:ascii="Arial" w:hAnsi="Arial" w:cs="Arial"/>
          <w:i/>
          <w:color w:val="000000" w:themeColor="text1"/>
          <w:sz w:val="20"/>
          <w:szCs w:val="20"/>
        </w:rPr>
        <w:t xml:space="preserve"> </w:t>
      </w:r>
      <w:r>
        <w:rPr>
          <w:rFonts w:ascii="Arial" w:hAnsi="Arial" w:cs="Arial"/>
          <w:i/>
          <w:color w:val="000000" w:themeColor="text1"/>
          <w:sz w:val="20"/>
          <w:szCs w:val="20"/>
        </w:rPr>
        <w:t>UACC</w:t>
      </w:r>
      <w:r w:rsidRPr="00D973D5">
        <w:rPr>
          <w:rFonts w:ascii="Arial" w:hAnsi="Arial" w:cs="Arial"/>
          <w:i/>
          <w:color w:val="000000" w:themeColor="text1"/>
          <w:sz w:val="20"/>
          <w:szCs w:val="20"/>
        </w:rPr>
        <w:t xml:space="preserve"> Bergshav Tankers </w:t>
      </w:r>
      <w:r>
        <w:rPr>
          <w:rFonts w:ascii="Arial" w:hAnsi="Arial" w:cs="Arial"/>
          <w:i/>
          <w:color w:val="000000" w:themeColor="text1"/>
          <w:sz w:val="20"/>
          <w:szCs w:val="20"/>
        </w:rPr>
        <w:t>AS</w:t>
      </w:r>
      <w:r w:rsidRPr="00D973D5">
        <w:rPr>
          <w:rFonts w:ascii="Arial" w:hAnsi="Arial" w:cs="Arial"/>
          <w:i/>
          <w:color w:val="000000" w:themeColor="text1"/>
          <w:sz w:val="20"/>
          <w:szCs w:val="20"/>
        </w:rPr>
        <w:t xml:space="preserve"> </w:t>
      </w:r>
      <w:r w:rsidRPr="007A3C28">
        <w:rPr>
          <w:rFonts w:ascii="Arial" w:hAnsi="Arial" w:cs="Arial"/>
          <w:color w:val="000000" w:themeColor="text1"/>
          <w:sz w:val="20"/>
          <w:szCs w:val="20"/>
        </w:rPr>
        <w:t>[2016] ZASCA 199</w:t>
      </w:r>
      <w:r>
        <w:rPr>
          <w:rFonts w:ascii="Arial" w:hAnsi="Arial" w:cs="Arial"/>
          <w:color w:val="000000" w:themeColor="text1"/>
          <w:sz w:val="20"/>
          <w:szCs w:val="20"/>
        </w:rPr>
        <w:t>;</w:t>
      </w:r>
      <w:r w:rsidRPr="007A3C28">
        <w:rPr>
          <w:rFonts w:ascii="Arial" w:hAnsi="Arial" w:cs="Arial"/>
          <w:color w:val="000000" w:themeColor="text1"/>
          <w:sz w:val="20"/>
          <w:szCs w:val="20"/>
        </w:rPr>
        <w:t xml:space="preserve"> </w:t>
      </w:r>
      <w:r w:rsidRPr="00DA7781">
        <w:rPr>
          <w:rFonts w:ascii="Arial" w:hAnsi="Arial" w:cs="Arial"/>
          <w:color w:val="000000" w:themeColor="text1"/>
          <w:sz w:val="20"/>
          <w:szCs w:val="20"/>
        </w:rPr>
        <w:t>2017</w:t>
      </w:r>
      <w:r w:rsidRPr="008E299E">
        <w:rPr>
          <w:rFonts w:ascii="Arial" w:hAnsi="Arial" w:cs="Arial"/>
          <w:color w:val="000000" w:themeColor="text1"/>
          <w:sz w:val="20"/>
          <w:szCs w:val="20"/>
        </w:rPr>
        <w:t xml:space="preserve"> (3) SA 1 </w:t>
      </w:r>
      <w:r>
        <w:rPr>
          <w:rFonts w:ascii="Arial" w:hAnsi="Arial" w:cs="Arial"/>
          <w:color w:val="000000" w:themeColor="text1"/>
          <w:sz w:val="20"/>
          <w:szCs w:val="20"/>
        </w:rPr>
        <w:t>(SCA) (‘</w:t>
      </w:r>
      <w:r w:rsidRPr="007A3C28">
        <w:rPr>
          <w:rFonts w:ascii="Arial" w:hAnsi="Arial" w:cs="Arial"/>
          <w:i/>
          <w:color w:val="000000" w:themeColor="text1"/>
          <w:sz w:val="20"/>
          <w:szCs w:val="20"/>
        </w:rPr>
        <w:t>The Asphalt Venture</w:t>
      </w:r>
      <w:r>
        <w:rPr>
          <w:rFonts w:ascii="Arial" w:hAnsi="Arial" w:cs="Arial"/>
          <w:color w:val="000000" w:themeColor="text1"/>
          <w:sz w:val="20"/>
          <w:szCs w:val="20"/>
        </w:rPr>
        <w:t xml:space="preserve">’) </w:t>
      </w:r>
      <w:r w:rsidRPr="008E299E">
        <w:rPr>
          <w:rFonts w:ascii="Arial" w:hAnsi="Arial" w:cs="Arial"/>
          <w:color w:val="000000" w:themeColor="text1"/>
          <w:sz w:val="20"/>
          <w:szCs w:val="20"/>
        </w:rPr>
        <w:t>para</w:t>
      </w:r>
      <w:r>
        <w:rPr>
          <w:rFonts w:ascii="Arial" w:hAnsi="Arial" w:cs="Arial"/>
          <w:color w:val="000000" w:themeColor="text1"/>
          <w:sz w:val="20"/>
          <w:szCs w:val="20"/>
        </w:rPr>
        <w:t xml:space="preserve"> </w:t>
      </w:r>
      <w:r w:rsidRPr="008E299E">
        <w:rPr>
          <w:rFonts w:ascii="Arial" w:hAnsi="Arial" w:cs="Arial"/>
          <w:color w:val="000000" w:themeColor="text1"/>
          <w:sz w:val="20"/>
          <w:szCs w:val="20"/>
        </w:rPr>
        <w:t xml:space="preserve">31; </w:t>
      </w:r>
      <w:r w:rsidRPr="007A3C28">
        <w:rPr>
          <w:rFonts w:ascii="Arial" w:hAnsi="Arial" w:cs="Arial"/>
          <w:i/>
          <w:color w:val="000000" w:themeColor="text1"/>
          <w:sz w:val="20"/>
          <w:szCs w:val="20"/>
        </w:rPr>
        <w:t>Le Cong</w:t>
      </w:r>
      <w:r w:rsidRPr="008E299E">
        <w:rPr>
          <w:rFonts w:ascii="Arial" w:hAnsi="Arial" w:cs="Arial"/>
          <w:color w:val="000000" w:themeColor="text1"/>
          <w:sz w:val="20"/>
          <w:szCs w:val="20"/>
        </w:rPr>
        <w:t xml:space="preserve"> </w:t>
      </w:r>
      <w:r>
        <w:rPr>
          <w:rFonts w:ascii="Arial" w:hAnsi="Arial" w:cs="Arial"/>
          <w:color w:val="000000" w:themeColor="text1"/>
          <w:sz w:val="20"/>
          <w:szCs w:val="20"/>
        </w:rPr>
        <w:t>para</w:t>
      </w:r>
      <w:r w:rsidRPr="008E299E">
        <w:rPr>
          <w:rFonts w:ascii="Arial" w:hAnsi="Arial" w:cs="Arial"/>
          <w:color w:val="000000" w:themeColor="text1"/>
          <w:sz w:val="20"/>
          <w:szCs w:val="20"/>
        </w:rPr>
        <w:t xml:space="preserve"> 12 citing </w:t>
      </w:r>
      <w:r w:rsidRPr="008E299E">
        <w:rPr>
          <w:rFonts w:ascii="Arial" w:hAnsi="Arial" w:cs="Arial"/>
          <w:i/>
          <w:iCs/>
          <w:color w:val="000000" w:themeColor="text1"/>
          <w:sz w:val="20"/>
          <w:szCs w:val="20"/>
        </w:rPr>
        <w:t xml:space="preserve">Standard Bank of </w:t>
      </w:r>
      <w:r>
        <w:rPr>
          <w:rFonts w:ascii="Arial" w:hAnsi="Arial" w:cs="Arial"/>
          <w:i/>
          <w:iCs/>
          <w:color w:val="000000" w:themeColor="text1"/>
          <w:sz w:val="20"/>
          <w:szCs w:val="20"/>
        </w:rPr>
        <w:t>South Africa</w:t>
      </w:r>
      <w:r w:rsidRPr="008E299E">
        <w:rPr>
          <w:rFonts w:ascii="Arial" w:hAnsi="Arial" w:cs="Arial"/>
          <w:i/>
          <w:iCs/>
          <w:color w:val="000000" w:themeColor="text1"/>
          <w:sz w:val="20"/>
          <w:szCs w:val="20"/>
        </w:rPr>
        <w:t xml:space="preserve"> Ltd </w:t>
      </w:r>
      <w:r>
        <w:rPr>
          <w:rFonts w:ascii="Arial" w:hAnsi="Arial" w:cs="Arial"/>
          <w:i/>
          <w:iCs/>
          <w:color w:val="000000" w:themeColor="text1"/>
          <w:sz w:val="20"/>
          <w:szCs w:val="20"/>
        </w:rPr>
        <w:t xml:space="preserve">and Another </w:t>
      </w:r>
      <w:r w:rsidRPr="008E299E">
        <w:rPr>
          <w:rFonts w:ascii="Arial" w:hAnsi="Arial" w:cs="Arial"/>
          <w:i/>
          <w:iCs/>
          <w:color w:val="000000" w:themeColor="text1"/>
          <w:sz w:val="20"/>
          <w:szCs w:val="20"/>
        </w:rPr>
        <w:t>v Ocean Commodities Inc</w:t>
      </w:r>
      <w:r>
        <w:rPr>
          <w:rFonts w:ascii="Arial" w:hAnsi="Arial" w:cs="Arial"/>
          <w:i/>
          <w:iCs/>
          <w:color w:val="000000" w:themeColor="text1"/>
          <w:sz w:val="20"/>
          <w:szCs w:val="20"/>
        </w:rPr>
        <w:t xml:space="preserve"> and Others</w:t>
      </w:r>
      <w:r w:rsidRPr="008E299E">
        <w:rPr>
          <w:rFonts w:ascii="Arial" w:hAnsi="Arial" w:cs="Arial"/>
          <w:i/>
          <w:iCs/>
          <w:color w:val="000000" w:themeColor="text1"/>
          <w:sz w:val="20"/>
          <w:szCs w:val="20"/>
        </w:rPr>
        <w:t xml:space="preserve"> </w:t>
      </w:r>
      <w:r w:rsidRPr="009D244C">
        <w:rPr>
          <w:rFonts w:ascii="Arial" w:hAnsi="Arial" w:cs="Arial"/>
          <w:iCs/>
          <w:color w:val="000000" w:themeColor="text1"/>
          <w:sz w:val="20"/>
          <w:szCs w:val="20"/>
        </w:rPr>
        <w:t>[1983] 1 All SA 145 (A);</w:t>
      </w:r>
      <w:r>
        <w:rPr>
          <w:rFonts w:ascii="Arial" w:hAnsi="Arial" w:cs="Arial"/>
          <w:i/>
          <w:iCs/>
          <w:color w:val="000000" w:themeColor="text1"/>
          <w:sz w:val="20"/>
          <w:szCs w:val="20"/>
        </w:rPr>
        <w:t xml:space="preserve"> </w:t>
      </w:r>
      <w:r w:rsidRPr="008E299E">
        <w:rPr>
          <w:rFonts w:ascii="Arial" w:hAnsi="Arial" w:cs="Arial"/>
          <w:color w:val="000000" w:themeColor="text1"/>
          <w:sz w:val="20"/>
          <w:szCs w:val="20"/>
        </w:rPr>
        <w:t xml:space="preserve">1983 (1) SA 276 (A) </w:t>
      </w:r>
      <w:r w:rsidR="00B5404F">
        <w:rPr>
          <w:rFonts w:ascii="Arial" w:hAnsi="Arial" w:cs="Arial"/>
          <w:color w:val="000000" w:themeColor="text1"/>
          <w:sz w:val="20"/>
          <w:szCs w:val="20"/>
        </w:rPr>
        <w:t>(‘</w:t>
      </w:r>
      <w:r w:rsidR="00B5404F" w:rsidRPr="00D83E5F">
        <w:rPr>
          <w:rFonts w:ascii="Arial" w:hAnsi="Arial" w:cs="Arial"/>
          <w:i/>
          <w:color w:val="000000" w:themeColor="text1"/>
          <w:sz w:val="20"/>
          <w:szCs w:val="20"/>
        </w:rPr>
        <w:t>Standard Bank</w:t>
      </w:r>
      <w:r w:rsidR="00B5404F">
        <w:rPr>
          <w:rFonts w:ascii="Arial" w:hAnsi="Arial" w:cs="Arial"/>
          <w:color w:val="000000" w:themeColor="text1"/>
          <w:sz w:val="20"/>
          <w:szCs w:val="20"/>
        </w:rPr>
        <w:t xml:space="preserve">’) </w:t>
      </w:r>
      <w:r w:rsidRPr="008E299E">
        <w:rPr>
          <w:rFonts w:ascii="Arial" w:hAnsi="Arial" w:cs="Arial"/>
          <w:color w:val="000000" w:themeColor="text1"/>
          <w:sz w:val="20"/>
          <w:szCs w:val="20"/>
        </w:rPr>
        <w:t>at 294G.</w:t>
      </w:r>
    </w:p>
  </w:footnote>
  <w:footnote w:id="10">
    <w:p w:rsidR="00130CA5" w:rsidRPr="008E299E" w:rsidRDefault="00130CA5" w:rsidP="00D973D5">
      <w:pPr>
        <w:pStyle w:val="FootnoteText"/>
        <w:contextualSpacing/>
        <w:jc w:val="both"/>
        <w:rPr>
          <w:rFonts w:ascii="Arial" w:hAnsi="Arial" w:cs="Arial"/>
          <w:color w:val="000000" w:themeColor="text1"/>
          <w:lang w:val="en-GB"/>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sidRPr="007A3C28">
        <w:rPr>
          <w:rFonts w:ascii="Arial" w:hAnsi="Arial" w:cs="Arial"/>
          <w:i/>
          <w:color w:val="000000" w:themeColor="text1"/>
        </w:rPr>
        <w:t>MV</w:t>
      </w:r>
      <w:r>
        <w:rPr>
          <w:rFonts w:ascii="Arial" w:hAnsi="Arial" w:cs="Arial"/>
          <w:color w:val="000000" w:themeColor="text1"/>
        </w:rPr>
        <w:t xml:space="preserve"> </w:t>
      </w:r>
      <w:r w:rsidRPr="008E299E">
        <w:rPr>
          <w:rFonts w:ascii="Arial" w:hAnsi="Arial" w:cs="Arial"/>
          <w:i/>
          <w:color w:val="000000" w:themeColor="text1"/>
          <w:lang w:val="en-GB"/>
        </w:rPr>
        <w:t xml:space="preserve">Heavy Metal </w:t>
      </w:r>
      <w:r>
        <w:rPr>
          <w:rFonts w:ascii="Arial" w:hAnsi="Arial" w:cs="Arial"/>
          <w:color w:val="000000" w:themeColor="text1"/>
          <w:lang w:val="en-GB"/>
        </w:rPr>
        <w:t>para 8.</w:t>
      </w:r>
    </w:p>
  </w:footnote>
  <w:footnote w:id="11">
    <w:p w:rsidR="00130CA5" w:rsidRPr="008E299E" w:rsidRDefault="00130CA5" w:rsidP="006852DC">
      <w:pPr>
        <w:pStyle w:val="NormalWeb"/>
        <w:spacing w:before="0" w:beforeAutospacing="0" w:after="0" w:afterAutospacing="0"/>
        <w:contextualSpacing/>
        <w:rPr>
          <w:rFonts w:ascii="Arial" w:hAnsi="Arial" w:cs="Arial"/>
          <w:color w:val="000000" w:themeColor="text1"/>
          <w:sz w:val="20"/>
          <w:szCs w:val="20"/>
        </w:rPr>
      </w:pPr>
      <w:r w:rsidRPr="008E299E">
        <w:rPr>
          <w:rStyle w:val="FootnoteReference"/>
          <w:rFonts w:ascii="Arial" w:hAnsi="Arial" w:cs="Arial"/>
          <w:color w:val="000000" w:themeColor="text1"/>
          <w:sz w:val="20"/>
          <w:szCs w:val="20"/>
        </w:rPr>
        <w:footnoteRef/>
      </w:r>
      <w:r w:rsidRPr="008E299E">
        <w:rPr>
          <w:rFonts w:ascii="Arial" w:hAnsi="Arial" w:cs="Arial"/>
          <w:color w:val="000000" w:themeColor="text1"/>
          <w:sz w:val="20"/>
          <w:szCs w:val="20"/>
        </w:rPr>
        <w:t xml:space="preserve"> </w:t>
      </w:r>
      <w:r w:rsidRPr="007A3C28">
        <w:rPr>
          <w:rFonts w:ascii="Arial" w:hAnsi="Arial" w:cs="Arial"/>
          <w:color w:val="000000" w:themeColor="text1"/>
          <w:sz w:val="20"/>
          <w:szCs w:val="20"/>
        </w:rPr>
        <w:t>The</w:t>
      </w:r>
      <w:r>
        <w:rPr>
          <w:rFonts w:ascii="Arial" w:hAnsi="Arial" w:cs="Arial"/>
          <w:color w:val="000000" w:themeColor="text1"/>
          <w:sz w:val="20"/>
          <w:szCs w:val="20"/>
        </w:rPr>
        <w:t xml:space="preserve"> </w:t>
      </w:r>
      <w:r w:rsidRPr="008E299E">
        <w:rPr>
          <w:rFonts w:ascii="Arial" w:hAnsi="Arial" w:cs="Arial"/>
          <w:i/>
          <w:color w:val="000000" w:themeColor="text1"/>
          <w:sz w:val="20"/>
          <w:szCs w:val="20"/>
        </w:rPr>
        <w:t>Asphalt Ventur</w:t>
      </w:r>
      <w:r w:rsidRPr="007A3C28">
        <w:rPr>
          <w:rFonts w:ascii="Arial" w:hAnsi="Arial" w:cs="Arial"/>
          <w:i/>
          <w:color w:val="000000" w:themeColor="text1"/>
          <w:sz w:val="20"/>
          <w:szCs w:val="20"/>
        </w:rPr>
        <w:t>e</w:t>
      </w:r>
      <w:r w:rsidRPr="008E299E">
        <w:rPr>
          <w:rFonts w:ascii="Arial" w:hAnsi="Arial" w:cs="Arial"/>
          <w:i/>
          <w:color w:val="000000" w:themeColor="text1"/>
          <w:sz w:val="20"/>
          <w:szCs w:val="20"/>
        </w:rPr>
        <w:t xml:space="preserve"> </w:t>
      </w:r>
      <w:r>
        <w:rPr>
          <w:rFonts w:ascii="Arial" w:hAnsi="Arial" w:cs="Arial"/>
          <w:color w:val="000000" w:themeColor="text1"/>
          <w:sz w:val="20"/>
          <w:szCs w:val="20"/>
        </w:rPr>
        <w:t>para</w:t>
      </w:r>
      <w:r w:rsidRPr="008E299E">
        <w:rPr>
          <w:rFonts w:ascii="Arial" w:hAnsi="Arial" w:cs="Arial"/>
          <w:color w:val="000000" w:themeColor="text1"/>
          <w:sz w:val="20"/>
          <w:szCs w:val="20"/>
        </w:rPr>
        <w:t xml:space="preserve"> 31; </w:t>
      </w:r>
      <w:r w:rsidRPr="007A3C28">
        <w:rPr>
          <w:rFonts w:ascii="Arial" w:hAnsi="Arial" w:cs="Arial"/>
          <w:i/>
          <w:color w:val="000000" w:themeColor="text1"/>
          <w:sz w:val="20"/>
          <w:szCs w:val="20"/>
        </w:rPr>
        <w:t>Le Cong</w:t>
      </w:r>
      <w:r w:rsidRPr="007A3C28">
        <w:rPr>
          <w:rFonts w:ascii="Arial" w:hAnsi="Arial" w:cs="Arial"/>
          <w:color w:val="000000" w:themeColor="text1"/>
          <w:sz w:val="20"/>
          <w:szCs w:val="20"/>
        </w:rPr>
        <w:t xml:space="preserve"> at 12 citing </w:t>
      </w:r>
      <w:r w:rsidRPr="007A3C28">
        <w:rPr>
          <w:rFonts w:ascii="Arial" w:hAnsi="Arial" w:cs="Arial"/>
          <w:i/>
          <w:iCs/>
          <w:color w:val="000000" w:themeColor="text1"/>
          <w:sz w:val="20"/>
          <w:szCs w:val="20"/>
        </w:rPr>
        <w:t xml:space="preserve">Standard Bank </w:t>
      </w:r>
      <w:r w:rsidRPr="007A3C28">
        <w:rPr>
          <w:rFonts w:ascii="Arial" w:hAnsi="Arial" w:cs="Arial"/>
          <w:color w:val="000000" w:themeColor="text1"/>
          <w:sz w:val="20"/>
          <w:szCs w:val="20"/>
        </w:rPr>
        <w:t>at 294G.</w:t>
      </w:r>
    </w:p>
  </w:footnote>
  <w:footnote w:id="12">
    <w:p w:rsidR="00EC010A" w:rsidRDefault="00EC010A">
      <w:pPr>
        <w:pStyle w:val="FootnoteText"/>
      </w:pPr>
      <w:r>
        <w:rPr>
          <w:rStyle w:val="FootnoteReference"/>
        </w:rPr>
        <w:footnoteRef/>
      </w:r>
      <w:r>
        <w:t xml:space="preserve"> </w:t>
      </w:r>
      <w:r>
        <w:rPr>
          <w:rFonts w:ascii="Helvetica Neue" w:hAnsi="Helvetica Neue" w:cs="Helvetica Neue"/>
          <w:color w:val="000000"/>
          <w:sz w:val="26"/>
          <w:szCs w:val="26"/>
          <w:lang w:val="en-GB"/>
        </w:rPr>
        <w:t xml:space="preserve">Constitution of the People's Republic of China; </w:t>
      </w:r>
      <w:hyperlink r:id="rId1" w:history="1">
        <w:r>
          <w:rPr>
            <w:rFonts w:ascii="Helvetica Neue" w:hAnsi="Helvetica Neue" w:cs="Helvetica Neue"/>
            <w:color w:val="094FD1"/>
            <w:sz w:val="26"/>
            <w:szCs w:val="26"/>
            <w:u w:val="single" w:color="094FD1"/>
            <w:lang w:val="en-GB"/>
          </w:rPr>
          <w:t>http://www.npc.gov.cn/englishnpc/constitution2019/201911/1f65146fb6104dd3a2793875d19b5b29.shtml</w:t>
        </w:r>
      </w:hyperlink>
      <w:r>
        <w:rPr>
          <w:rFonts w:ascii="Helvetica Neue" w:hAnsi="Helvetica Neue" w:cs="Helvetica Neue"/>
          <w:color w:val="000000"/>
          <w:sz w:val="26"/>
          <w:szCs w:val="26"/>
          <w:lang w:val="en-GB"/>
        </w:rPr>
        <w:t>, last accessed on 27 May 2022.</w:t>
      </w:r>
    </w:p>
  </w:footnote>
  <w:footnote w:id="13">
    <w:p w:rsidR="00130CA5" w:rsidRPr="004E79B9" w:rsidRDefault="00130CA5">
      <w:pPr>
        <w:pStyle w:val="FootnoteText"/>
        <w:rPr>
          <w:lang w:val="en-GB"/>
        </w:rPr>
      </w:pPr>
      <w:r>
        <w:rPr>
          <w:rStyle w:val="FootnoteReference"/>
        </w:rPr>
        <w:footnoteRef/>
      </w:r>
      <w:r>
        <w:t xml:space="preserve"> </w:t>
      </w:r>
      <w:r w:rsidRPr="008E299E">
        <w:rPr>
          <w:rFonts w:ascii="Arial" w:hAnsi="Arial" w:cs="Arial"/>
          <w:i/>
          <w:iCs/>
          <w:color w:val="000000" w:themeColor="text1"/>
        </w:rPr>
        <w:t>International Marine Transport v MV "Le Cong" and Another</w:t>
      </w:r>
      <w:r w:rsidRPr="008E299E">
        <w:rPr>
          <w:rFonts w:ascii="Arial" w:hAnsi="Arial" w:cs="Arial"/>
          <w:color w:val="000000" w:themeColor="text1"/>
        </w:rPr>
        <w:t xml:space="preserve"> [2005] ZASCA 106</w:t>
      </w:r>
      <w:r>
        <w:rPr>
          <w:rFonts w:ascii="Arial" w:hAnsi="Arial" w:cs="Arial"/>
          <w:color w:val="000000" w:themeColor="text1"/>
        </w:rPr>
        <w:t>.</w:t>
      </w:r>
    </w:p>
  </w:footnote>
  <w:footnote w:id="14">
    <w:p w:rsidR="00130CA5" w:rsidRPr="008E299E" w:rsidRDefault="00130CA5" w:rsidP="006852DC">
      <w:pPr>
        <w:pStyle w:val="FootnoteText"/>
        <w:contextualSpacing/>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sidRPr="00960269">
        <w:rPr>
          <w:rFonts w:ascii="Arial" w:hAnsi="Arial" w:cs="Arial"/>
          <w:i/>
          <w:color w:val="000000" w:themeColor="text1"/>
        </w:rPr>
        <w:t>Le Cong</w:t>
      </w:r>
      <w:r w:rsidRPr="008E299E">
        <w:rPr>
          <w:rFonts w:ascii="Arial" w:hAnsi="Arial" w:cs="Arial"/>
          <w:color w:val="000000" w:themeColor="text1"/>
        </w:rPr>
        <w:t xml:space="preserve"> </w:t>
      </w:r>
      <w:r>
        <w:rPr>
          <w:rFonts w:ascii="Arial" w:hAnsi="Arial" w:cs="Arial"/>
          <w:color w:val="000000" w:themeColor="text1"/>
        </w:rPr>
        <w:t>para</w:t>
      </w:r>
      <w:r w:rsidRPr="008E299E">
        <w:rPr>
          <w:rFonts w:ascii="Arial" w:hAnsi="Arial" w:cs="Arial"/>
          <w:color w:val="000000" w:themeColor="text1"/>
        </w:rPr>
        <w:t xml:space="preserve"> 9.</w:t>
      </w:r>
    </w:p>
  </w:footnote>
  <w:footnote w:id="15">
    <w:p w:rsidR="00130CA5" w:rsidRPr="008E299E" w:rsidRDefault="00130CA5" w:rsidP="006852DC">
      <w:pPr>
        <w:pStyle w:val="FootnoteText"/>
        <w:contextualSpacing/>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sidRPr="005640AA">
        <w:rPr>
          <w:rFonts w:ascii="Arial" w:hAnsi="Arial" w:cs="Arial"/>
          <w:i/>
          <w:color w:val="000000" w:themeColor="text1"/>
        </w:rPr>
        <w:t>Le Cong</w:t>
      </w:r>
      <w:r w:rsidRPr="008E299E">
        <w:rPr>
          <w:rFonts w:ascii="Arial" w:hAnsi="Arial" w:cs="Arial"/>
          <w:color w:val="000000" w:themeColor="text1"/>
        </w:rPr>
        <w:t xml:space="preserve"> </w:t>
      </w:r>
      <w:r>
        <w:rPr>
          <w:rFonts w:ascii="Arial" w:hAnsi="Arial" w:cs="Arial"/>
          <w:color w:val="000000" w:themeColor="text1"/>
        </w:rPr>
        <w:t>para</w:t>
      </w:r>
      <w:r w:rsidRPr="008E299E">
        <w:rPr>
          <w:rFonts w:ascii="Arial" w:hAnsi="Arial" w:cs="Arial"/>
          <w:color w:val="000000" w:themeColor="text1"/>
        </w:rPr>
        <w:t xml:space="preserve"> 13.</w:t>
      </w:r>
    </w:p>
  </w:footnote>
  <w:footnote w:id="16">
    <w:p w:rsidR="00130CA5" w:rsidRPr="008E299E" w:rsidRDefault="00130CA5" w:rsidP="006852DC">
      <w:pPr>
        <w:pStyle w:val="FootnoteText"/>
        <w:contextualSpacing/>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sidRPr="005640AA">
        <w:rPr>
          <w:rFonts w:ascii="Arial" w:hAnsi="Arial" w:cs="Arial"/>
          <w:i/>
          <w:color w:val="000000" w:themeColor="text1"/>
        </w:rPr>
        <w:t>Le Cong</w:t>
      </w:r>
      <w:r w:rsidRPr="008E299E">
        <w:rPr>
          <w:rFonts w:ascii="Arial" w:hAnsi="Arial" w:cs="Arial"/>
          <w:color w:val="000000" w:themeColor="text1"/>
        </w:rPr>
        <w:t xml:space="preserve"> </w:t>
      </w:r>
      <w:r>
        <w:rPr>
          <w:rFonts w:ascii="Arial" w:hAnsi="Arial" w:cs="Arial"/>
          <w:color w:val="000000" w:themeColor="text1"/>
        </w:rPr>
        <w:t>para</w:t>
      </w:r>
      <w:r w:rsidRPr="008E299E">
        <w:rPr>
          <w:rFonts w:ascii="Arial" w:hAnsi="Arial" w:cs="Arial"/>
          <w:color w:val="000000" w:themeColor="text1"/>
        </w:rPr>
        <w:t xml:space="preserve"> 15 citing article 89 of the Constitution</w:t>
      </w:r>
      <w:r w:rsidRPr="008E299E">
        <w:rPr>
          <w:rFonts w:ascii="Arial" w:eastAsia="Times New Roman" w:hAnsi="Arial" w:cs="Arial"/>
          <w:color w:val="000000" w:themeColor="text1"/>
          <w:lang w:val="en-GB"/>
        </w:rPr>
        <w:t xml:space="preserve"> of the Peoples’ the Republic of China</w:t>
      </w:r>
      <w:r w:rsidRPr="008E299E">
        <w:rPr>
          <w:rFonts w:ascii="Arial" w:hAnsi="Arial" w:cs="Arial"/>
          <w:color w:val="000000" w:themeColor="text1"/>
        </w:rPr>
        <w:t>.</w:t>
      </w:r>
    </w:p>
  </w:footnote>
  <w:footnote w:id="17">
    <w:p w:rsidR="00130CA5" w:rsidRPr="00533F73" w:rsidRDefault="00130CA5" w:rsidP="00A95AF2">
      <w:pPr>
        <w:pStyle w:val="FootnoteText"/>
        <w:rPr>
          <w:rFonts w:ascii="Arial" w:hAnsi="Arial" w:cs="Arial"/>
        </w:rPr>
      </w:pPr>
      <w:r w:rsidRPr="00533F73">
        <w:rPr>
          <w:rStyle w:val="FootnoteReference"/>
          <w:rFonts w:ascii="Arial" w:hAnsi="Arial" w:cs="Arial"/>
        </w:rPr>
        <w:footnoteRef/>
      </w:r>
      <w:r w:rsidRPr="00533F73">
        <w:rPr>
          <w:rFonts w:ascii="Arial" w:hAnsi="Arial" w:cs="Arial"/>
        </w:rPr>
        <w:t xml:space="preserve"> </w:t>
      </w:r>
      <w:r w:rsidRPr="00533F73">
        <w:rPr>
          <w:rFonts w:ascii="Arial" w:hAnsi="Arial" w:cs="Arial"/>
          <w:i/>
          <w:color w:val="000000" w:themeColor="text1"/>
        </w:rPr>
        <w:t>Le Cong</w:t>
      </w:r>
      <w:r w:rsidRPr="00533F73">
        <w:rPr>
          <w:rFonts w:ascii="Arial" w:hAnsi="Arial" w:cs="Arial"/>
          <w:color w:val="000000" w:themeColor="text1"/>
        </w:rPr>
        <w:t xml:space="preserve"> para 17. </w:t>
      </w:r>
    </w:p>
  </w:footnote>
  <w:footnote w:id="18">
    <w:p w:rsidR="00130CA5" w:rsidRPr="00E374DC" w:rsidRDefault="00130CA5" w:rsidP="00023AA8">
      <w:pPr>
        <w:pStyle w:val="FootnoteText"/>
      </w:pPr>
      <w:r w:rsidRPr="005640AA">
        <w:rPr>
          <w:rStyle w:val="FootnoteReference"/>
          <w:rFonts w:ascii="Arial" w:hAnsi="Arial" w:cs="Arial"/>
        </w:rPr>
        <w:footnoteRef/>
      </w:r>
      <w:r w:rsidRPr="005640AA">
        <w:rPr>
          <w:rFonts w:ascii="Arial" w:hAnsi="Arial" w:cs="Arial"/>
        </w:rPr>
        <w:t xml:space="preserve"> </w:t>
      </w:r>
      <w:r w:rsidRPr="005640AA">
        <w:rPr>
          <w:rFonts w:ascii="Arial" w:hAnsi="Arial" w:cs="Arial"/>
          <w:i/>
        </w:rPr>
        <w:t xml:space="preserve">Plascon-Evans Paints Ltd v Van Riebeeck Paints (Pty) Ltd </w:t>
      </w:r>
      <w:r w:rsidRPr="005640AA">
        <w:rPr>
          <w:rFonts w:ascii="Arial" w:hAnsi="Arial" w:cs="Arial"/>
        </w:rPr>
        <w:t xml:space="preserve">[1984] ZASCA 51; </w:t>
      </w:r>
      <w:r w:rsidRPr="00040F20">
        <w:rPr>
          <w:rFonts w:ascii="Arial" w:hAnsi="Arial" w:cs="Arial"/>
        </w:rPr>
        <w:t>[1984] 2 All SA 366 (A)</w:t>
      </w:r>
      <w:r>
        <w:rPr>
          <w:rFonts w:ascii="Arial" w:hAnsi="Arial" w:cs="Arial"/>
        </w:rPr>
        <w:t xml:space="preserve">; </w:t>
      </w:r>
      <w:r w:rsidRPr="005640AA">
        <w:rPr>
          <w:rFonts w:ascii="Arial" w:hAnsi="Arial" w:cs="Arial"/>
        </w:rPr>
        <w:t>1984 (3) SA 623 (A).</w:t>
      </w:r>
    </w:p>
  </w:footnote>
  <w:footnote w:id="19">
    <w:p w:rsidR="00320685" w:rsidRDefault="00320685">
      <w:pPr>
        <w:pStyle w:val="FootnoteText"/>
      </w:pPr>
      <w:r>
        <w:rPr>
          <w:rStyle w:val="FootnoteReference"/>
        </w:rPr>
        <w:footnoteRef/>
      </w:r>
      <w:r>
        <w:t xml:space="preserve"> </w:t>
      </w:r>
      <w:r w:rsidR="004E33EF">
        <w:t>Joint Minute of Experts para 13.</w:t>
      </w:r>
    </w:p>
  </w:footnote>
  <w:footnote w:id="20">
    <w:p w:rsidR="00130CA5" w:rsidRPr="008E299E" w:rsidRDefault="00130CA5">
      <w:pPr>
        <w:pStyle w:val="FootnoteText"/>
        <w:rPr>
          <w:rFonts w:ascii="Arial" w:hAnsi="Arial" w:cs="Arial"/>
          <w:color w:val="000000" w:themeColor="text1"/>
        </w:rPr>
      </w:pPr>
      <w:r w:rsidRPr="008E299E">
        <w:rPr>
          <w:rStyle w:val="FootnoteReference"/>
          <w:rFonts w:ascii="Arial" w:hAnsi="Arial" w:cs="Arial"/>
          <w:color w:val="000000" w:themeColor="text1"/>
        </w:rPr>
        <w:footnoteRef/>
      </w:r>
      <w:r>
        <w:rPr>
          <w:rFonts w:ascii="Arial" w:hAnsi="Arial" w:cs="Arial"/>
          <w:color w:val="000000" w:themeColor="text1"/>
        </w:rPr>
        <w:t xml:space="preserve"> </w:t>
      </w:r>
      <w:r w:rsidRPr="008E299E">
        <w:rPr>
          <w:rFonts w:ascii="Arial" w:hAnsi="Arial" w:cs="Arial"/>
          <w:color w:val="000000" w:themeColor="text1"/>
        </w:rPr>
        <w:t>This document (</w:t>
      </w:r>
      <w:r>
        <w:rPr>
          <w:rFonts w:ascii="Arial" w:hAnsi="Arial" w:cs="Arial"/>
          <w:color w:val="000000" w:themeColor="text1"/>
        </w:rPr>
        <w:t>Annexure ‘</w:t>
      </w:r>
      <w:r w:rsidRPr="008E299E">
        <w:rPr>
          <w:rFonts w:ascii="Arial" w:hAnsi="Arial" w:cs="Arial"/>
          <w:color w:val="000000" w:themeColor="text1"/>
        </w:rPr>
        <w:t>PJ</w:t>
      </w:r>
      <w:r>
        <w:rPr>
          <w:rFonts w:ascii="Arial" w:hAnsi="Arial" w:cs="Arial"/>
          <w:color w:val="000000" w:themeColor="text1"/>
        </w:rPr>
        <w:t xml:space="preserve"> </w:t>
      </w:r>
      <w:r w:rsidRPr="008E299E">
        <w:rPr>
          <w:rFonts w:ascii="Arial" w:hAnsi="Arial" w:cs="Arial"/>
          <w:color w:val="000000" w:themeColor="text1"/>
        </w:rPr>
        <w:t>12</w:t>
      </w:r>
      <w:r>
        <w:rPr>
          <w:rFonts w:ascii="Arial" w:hAnsi="Arial" w:cs="Arial"/>
          <w:color w:val="000000" w:themeColor="text1"/>
        </w:rPr>
        <w:t>’</w:t>
      </w:r>
      <w:r w:rsidRPr="008E299E">
        <w:rPr>
          <w:rFonts w:ascii="Arial" w:hAnsi="Arial" w:cs="Arial"/>
          <w:color w:val="000000" w:themeColor="text1"/>
        </w:rPr>
        <w:t xml:space="preserve"> of record) is also indexed as </w:t>
      </w:r>
      <w:r>
        <w:rPr>
          <w:rFonts w:ascii="Arial" w:hAnsi="Arial" w:cs="Arial"/>
          <w:color w:val="000000" w:themeColor="text1"/>
        </w:rPr>
        <w:t>‘</w:t>
      </w:r>
      <w:r w:rsidRPr="008E299E">
        <w:rPr>
          <w:rFonts w:ascii="Arial" w:hAnsi="Arial" w:cs="Arial"/>
          <w:color w:val="000000" w:themeColor="text1"/>
          <w:lang w:val="en-GB"/>
        </w:rPr>
        <w:t>List of Authorizations and Divestiture issued by Shandong SASAC on 17 December 2019.</w:t>
      </w:r>
      <w:r>
        <w:rPr>
          <w:rFonts w:ascii="Arial" w:hAnsi="Arial" w:cs="Arial"/>
          <w:color w:val="000000" w:themeColor="text1"/>
          <w:lang w:val="en-GB"/>
        </w:rPr>
        <w:t>’</w:t>
      </w:r>
    </w:p>
  </w:footnote>
  <w:footnote w:id="21">
    <w:p w:rsidR="00130CA5" w:rsidRPr="00BF0D6B" w:rsidRDefault="00130CA5" w:rsidP="00A5317F">
      <w:pPr>
        <w:pStyle w:val="FootnoteText"/>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Pr>
          <w:rFonts w:ascii="Arial" w:hAnsi="Arial" w:cs="Arial"/>
          <w:color w:val="000000" w:themeColor="text1"/>
        </w:rPr>
        <w:t>Annexure ‘</w:t>
      </w:r>
      <w:r w:rsidRPr="00BF0D6B">
        <w:rPr>
          <w:rFonts w:ascii="Arial" w:eastAsia="Times New Roman" w:hAnsi="Arial" w:cs="Arial"/>
          <w:color w:val="000000" w:themeColor="text1"/>
          <w:lang w:val="en-GB"/>
        </w:rPr>
        <w:t>GL4</w:t>
      </w:r>
      <w:r>
        <w:rPr>
          <w:rFonts w:ascii="Arial" w:eastAsia="Times New Roman" w:hAnsi="Arial" w:cs="Arial"/>
          <w:color w:val="000000" w:themeColor="text1"/>
          <w:lang w:val="en-GB"/>
        </w:rPr>
        <w:t>’</w:t>
      </w:r>
      <w:r w:rsidRPr="00BF0D6B">
        <w:rPr>
          <w:rFonts w:ascii="Arial" w:eastAsia="Times New Roman" w:hAnsi="Arial" w:cs="Arial"/>
          <w:color w:val="000000" w:themeColor="text1"/>
          <w:lang w:val="en-GB"/>
        </w:rPr>
        <w:t xml:space="preserve"> </w:t>
      </w:r>
      <w:r>
        <w:rPr>
          <w:rFonts w:ascii="Arial" w:eastAsia="Times New Roman" w:hAnsi="Arial" w:cs="Arial"/>
          <w:color w:val="000000" w:themeColor="text1"/>
          <w:lang w:val="en-GB"/>
        </w:rPr>
        <w:t>at</w:t>
      </w:r>
      <w:r w:rsidRPr="00BF0D6B">
        <w:rPr>
          <w:rFonts w:ascii="Arial" w:eastAsia="Times New Roman" w:hAnsi="Arial" w:cs="Arial"/>
          <w:color w:val="000000" w:themeColor="text1"/>
          <w:lang w:val="en-GB"/>
        </w:rPr>
        <w:t xml:space="preserve"> 43.</w:t>
      </w:r>
    </w:p>
  </w:footnote>
  <w:footnote w:id="22">
    <w:p w:rsidR="00130CA5" w:rsidRDefault="00130CA5">
      <w:pPr>
        <w:pStyle w:val="FootnoteText"/>
      </w:pPr>
      <w:r w:rsidRPr="00BF0D6B">
        <w:rPr>
          <w:rStyle w:val="FootnoteReference"/>
          <w:rFonts w:ascii="Arial" w:hAnsi="Arial" w:cs="Arial"/>
        </w:rPr>
        <w:footnoteRef/>
      </w:r>
      <w:r>
        <w:rPr>
          <w:rFonts w:ascii="Arial" w:hAnsi="Arial" w:cs="Arial"/>
        </w:rPr>
        <w:t xml:space="preserve"> Annexure</w:t>
      </w:r>
      <w:r w:rsidRPr="00BF0D6B">
        <w:rPr>
          <w:rFonts w:ascii="Arial" w:hAnsi="Arial" w:cs="Arial"/>
        </w:rPr>
        <w:t xml:space="preserve"> </w:t>
      </w:r>
      <w:r>
        <w:rPr>
          <w:rFonts w:ascii="Arial" w:hAnsi="Arial" w:cs="Arial"/>
        </w:rPr>
        <w:t>‘</w:t>
      </w:r>
      <w:r w:rsidRPr="00BF0D6B">
        <w:rPr>
          <w:rFonts w:ascii="Arial" w:hAnsi="Arial" w:cs="Arial"/>
        </w:rPr>
        <w:t>GL6</w:t>
      </w:r>
      <w:r>
        <w:rPr>
          <w:rFonts w:ascii="Arial" w:hAnsi="Arial" w:cs="Arial"/>
        </w:rPr>
        <w:t>’</w:t>
      </w:r>
      <w:r w:rsidRPr="00BF0D6B">
        <w:rPr>
          <w:rFonts w:ascii="Arial" w:hAnsi="Arial" w:cs="Arial"/>
        </w:rPr>
        <w:t xml:space="preserve"> </w:t>
      </w:r>
      <w:r>
        <w:rPr>
          <w:rFonts w:ascii="Arial" w:hAnsi="Arial" w:cs="Arial"/>
        </w:rPr>
        <w:t xml:space="preserve">at </w:t>
      </w:r>
      <w:r w:rsidRPr="00BF0D6B">
        <w:rPr>
          <w:rFonts w:ascii="Arial" w:hAnsi="Arial" w:cs="Arial"/>
        </w:rPr>
        <w:t>63.</w:t>
      </w:r>
    </w:p>
  </w:footnote>
  <w:footnote w:id="23">
    <w:p w:rsidR="00130CA5" w:rsidRPr="008E299E" w:rsidRDefault="00130CA5">
      <w:pPr>
        <w:pStyle w:val="FootnoteText"/>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Pr>
          <w:rFonts w:ascii="Arial" w:hAnsi="Arial" w:cs="Arial"/>
          <w:color w:val="000000" w:themeColor="text1"/>
        </w:rPr>
        <w:t>Annexure ‘</w:t>
      </w:r>
      <w:r w:rsidRPr="008E299E">
        <w:rPr>
          <w:rFonts w:ascii="Arial" w:eastAsia="Times New Roman" w:hAnsi="Arial" w:cs="Arial"/>
          <w:color w:val="000000" w:themeColor="text1"/>
          <w:lang w:val="en-GB"/>
        </w:rPr>
        <w:t>GL5</w:t>
      </w:r>
      <w:r>
        <w:rPr>
          <w:rFonts w:ascii="Arial" w:eastAsia="Times New Roman" w:hAnsi="Arial" w:cs="Arial"/>
          <w:color w:val="000000" w:themeColor="text1"/>
          <w:lang w:val="en-GB"/>
        </w:rPr>
        <w:t>’</w:t>
      </w:r>
      <w:r w:rsidRPr="008E299E">
        <w:rPr>
          <w:rFonts w:ascii="Arial" w:eastAsia="Times New Roman" w:hAnsi="Arial" w:cs="Arial"/>
          <w:color w:val="000000" w:themeColor="text1"/>
          <w:lang w:val="en-GB"/>
        </w:rPr>
        <w:t xml:space="preserve"> </w:t>
      </w:r>
      <w:r>
        <w:rPr>
          <w:rFonts w:ascii="Arial" w:eastAsia="Times New Roman" w:hAnsi="Arial" w:cs="Arial"/>
          <w:color w:val="000000" w:themeColor="text1"/>
          <w:lang w:val="en-GB"/>
        </w:rPr>
        <w:t xml:space="preserve">at </w:t>
      </w:r>
      <w:r w:rsidRPr="008E299E">
        <w:rPr>
          <w:rFonts w:ascii="Arial" w:eastAsia="Times New Roman" w:hAnsi="Arial" w:cs="Arial"/>
          <w:color w:val="000000" w:themeColor="text1"/>
          <w:lang w:val="en-GB"/>
        </w:rPr>
        <w:t>48.</w:t>
      </w:r>
    </w:p>
  </w:footnote>
  <w:footnote w:id="24">
    <w:p w:rsidR="00130CA5" w:rsidRPr="008E299E" w:rsidRDefault="00130CA5" w:rsidP="00516D77">
      <w:pPr>
        <w:pStyle w:val="FootnoteText"/>
        <w:rPr>
          <w:rFonts w:ascii="Arial" w:hAnsi="Arial" w:cs="Arial"/>
          <w:color w:val="000000" w:themeColor="text1"/>
        </w:rPr>
      </w:pPr>
      <w:r w:rsidRPr="008E299E">
        <w:rPr>
          <w:rStyle w:val="FootnoteReference"/>
          <w:rFonts w:ascii="Arial" w:hAnsi="Arial" w:cs="Arial"/>
          <w:color w:val="000000" w:themeColor="text1"/>
        </w:rPr>
        <w:footnoteRef/>
      </w:r>
      <w:r w:rsidRPr="008E299E">
        <w:rPr>
          <w:rFonts w:ascii="Arial" w:hAnsi="Arial" w:cs="Arial"/>
          <w:color w:val="000000" w:themeColor="text1"/>
        </w:rPr>
        <w:t xml:space="preserve"> </w:t>
      </w:r>
      <w:r>
        <w:rPr>
          <w:rFonts w:ascii="Arial" w:hAnsi="Arial" w:cs="Arial"/>
          <w:color w:val="000000" w:themeColor="text1"/>
        </w:rPr>
        <w:t>Annexure ‘</w:t>
      </w:r>
      <w:r w:rsidRPr="008E299E">
        <w:rPr>
          <w:rFonts w:ascii="Arial" w:eastAsia="Times New Roman" w:hAnsi="Arial" w:cs="Arial"/>
          <w:color w:val="000000" w:themeColor="text1"/>
          <w:lang w:val="en-GB"/>
        </w:rPr>
        <w:t>GL8</w:t>
      </w:r>
      <w:r>
        <w:rPr>
          <w:rFonts w:ascii="Arial" w:eastAsia="Times New Roman" w:hAnsi="Arial" w:cs="Arial"/>
          <w:color w:val="000000" w:themeColor="text1"/>
          <w:lang w:val="en-GB"/>
        </w:rPr>
        <w:t>’</w:t>
      </w:r>
      <w:r w:rsidRPr="008E299E">
        <w:rPr>
          <w:rFonts w:ascii="Arial" w:eastAsia="Times New Roman" w:hAnsi="Arial" w:cs="Arial"/>
          <w:color w:val="000000" w:themeColor="text1"/>
          <w:lang w:val="en-GB"/>
        </w:rPr>
        <w:t xml:space="preserve"> at 108.</w:t>
      </w:r>
    </w:p>
  </w:footnote>
  <w:footnote w:id="25">
    <w:p w:rsidR="0028559C" w:rsidRDefault="0028559C">
      <w:pPr>
        <w:pStyle w:val="FootnoteText"/>
      </w:pPr>
      <w:r>
        <w:rPr>
          <w:rStyle w:val="FootnoteReference"/>
        </w:rPr>
        <w:footnoteRef/>
      </w:r>
      <w:r>
        <w:t xml:space="preserve"> </w:t>
      </w:r>
      <w:r w:rsidR="00403582" w:rsidRPr="00403582">
        <w:rPr>
          <w:lang w:val="en-GB"/>
        </w:rPr>
        <w:t xml:space="preserve">Several Opinions of the State Council on </w:t>
      </w:r>
      <w:r w:rsidR="00403582">
        <w:rPr>
          <w:lang w:val="en-GB"/>
        </w:rPr>
        <w:t>R</w:t>
      </w:r>
      <w:r w:rsidR="00403582" w:rsidRPr="00403582">
        <w:rPr>
          <w:lang w:val="en-GB"/>
        </w:rPr>
        <w:t xml:space="preserve">eforming and </w:t>
      </w:r>
      <w:r w:rsidR="00403582">
        <w:rPr>
          <w:lang w:val="en-GB"/>
        </w:rPr>
        <w:t>I</w:t>
      </w:r>
      <w:r w:rsidR="00403582" w:rsidRPr="00403582">
        <w:rPr>
          <w:lang w:val="en-GB"/>
        </w:rPr>
        <w:t xml:space="preserve">mproving the State Owned Asset Management System </w:t>
      </w:r>
      <w:r w:rsidR="00403582">
        <w:rPr>
          <w:lang w:val="en-GB"/>
        </w:rPr>
        <w:t>(No.</w:t>
      </w:r>
      <w:r w:rsidR="00403582" w:rsidRPr="00403582">
        <w:rPr>
          <w:lang w:val="en-GB"/>
        </w:rPr>
        <w:t xml:space="preserve">63 </w:t>
      </w:r>
      <w:r w:rsidR="00403582">
        <w:rPr>
          <w:lang w:val="en-GB"/>
        </w:rPr>
        <w:t>[</w:t>
      </w:r>
      <w:r w:rsidR="00403582" w:rsidRPr="00403582">
        <w:rPr>
          <w:lang w:val="en-GB"/>
        </w:rPr>
        <w:t>2015</w:t>
      </w:r>
      <w:r w:rsidR="00403582">
        <w:rPr>
          <w:lang w:val="en-GB"/>
        </w:rPr>
        <w:t>]</w:t>
      </w:r>
      <w:r w:rsidR="00403582" w:rsidRPr="00403582">
        <w:rPr>
          <w:lang w:val="en-GB"/>
        </w:rPr>
        <w:t xml:space="preserve"> of the State Council</w:t>
      </w:r>
      <w:r w:rsidR="00403582">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30109"/>
      <w:docPartObj>
        <w:docPartGallery w:val="Page Numbers (Top of Page)"/>
        <w:docPartUnique/>
      </w:docPartObj>
    </w:sdtPr>
    <w:sdtEndPr>
      <w:rPr>
        <w:noProof/>
      </w:rPr>
    </w:sdtEndPr>
    <w:sdtContent>
      <w:p w:rsidR="00130CA5" w:rsidRDefault="00130CA5">
        <w:pPr>
          <w:pStyle w:val="Header"/>
          <w:jc w:val="right"/>
        </w:pPr>
        <w:r>
          <w:fldChar w:fldCharType="begin"/>
        </w:r>
        <w:r>
          <w:instrText xml:space="preserve"> PAGE   \* MERGEFORMAT </w:instrText>
        </w:r>
        <w:r>
          <w:fldChar w:fldCharType="separate"/>
        </w:r>
        <w:r w:rsidR="00FD2090">
          <w:rPr>
            <w:noProof/>
          </w:rPr>
          <w:t>21</w:t>
        </w:r>
        <w:r>
          <w:rPr>
            <w:noProof/>
          </w:rPr>
          <w:fldChar w:fldCharType="end"/>
        </w:r>
      </w:p>
    </w:sdtContent>
  </w:sdt>
  <w:p w:rsidR="00130CA5" w:rsidRDefault="00130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D61"/>
    <w:multiLevelType w:val="hybridMultilevel"/>
    <w:tmpl w:val="9C56091E"/>
    <w:lvl w:ilvl="0" w:tplc="02D04B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04A1AFF"/>
    <w:multiLevelType w:val="hybridMultilevel"/>
    <w:tmpl w:val="32C07A82"/>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DB59DE"/>
    <w:multiLevelType w:val="hybridMultilevel"/>
    <w:tmpl w:val="51E4145A"/>
    <w:lvl w:ilvl="0" w:tplc="077C5F04">
      <w:start w:val="1"/>
      <w:numFmt w:val="decimal"/>
      <w:lvlText w:val="[%1]"/>
      <w:lvlJc w:val="left"/>
      <w:pPr>
        <w:ind w:left="720" w:hanging="360"/>
      </w:pPr>
      <w:rPr>
        <w:rFonts w:ascii="Arial" w:hAnsi="Arial" w:cs="Arial"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72327"/>
    <w:multiLevelType w:val="hybridMultilevel"/>
    <w:tmpl w:val="2A4CEBAC"/>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AE4502D"/>
    <w:multiLevelType w:val="hybridMultilevel"/>
    <w:tmpl w:val="66A2CC12"/>
    <w:lvl w:ilvl="0" w:tplc="EE2A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42C57"/>
    <w:multiLevelType w:val="hybridMultilevel"/>
    <w:tmpl w:val="3108599A"/>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5CE015B"/>
    <w:multiLevelType w:val="hybridMultilevel"/>
    <w:tmpl w:val="F76EB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8081C"/>
    <w:multiLevelType w:val="hybridMultilevel"/>
    <w:tmpl w:val="B2145756"/>
    <w:lvl w:ilvl="0" w:tplc="D63C7590">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2B6A4EF4"/>
    <w:multiLevelType w:val="hybridMultilevel"/>
    <w:tmpl w:val="23666E28"/>
    <w:lvl w:ilvl="0" w:tplc="704C8230">
      <w:start w:val="1"/>
      <w:numFmt w:val="lowerLetter"/>
      <w:lvlText w:val="(%1)"/>
      <w:lvlJc w:val="left"/>
      <w:pPr>
        <w:ind w:left="7803" w:hanging="360"/>
      </w:pPr>
      <w:rPr>
        <w:rFonts w:ascii="Arial" w:eastAsia="Times New Roman" w:hAnsi="Arial" w:cs="Arial"/>
      </w:rPr>
    </w:lvl>
    <w:lvl w:ilvl="1" w:tplc="1C090019" w:tentative="1">
      <w:start w:val="1"/>
      <w:numFmt w:val="lowerLetter"/>
      <w:lvlText w:val="%2."/>
      <w:lvlJc w:val="left"/>
      <w:pPr>
        <w:ind w:left="8523" w:hanging="360"/>
      </w:pPr>
    </w:lvl>
    <w:lvl w:ilvl="2" w:tplc="1C09001B" w:tentative="1">
      <w:start w:val="1"/>
      <w:numFmt w:val="lowerRoman"/>
      <w:lvlText w:val="%3."/>
      <w:lvlJc w:val="right"/>
      <w:pPr>
        <w:ind w:left="9243" w:hanging="180"/>
      </w:pPr>
    </w:lvl>
    <w:lvl w:ilvl="3" w:tplc="1C09000F" w:tentative="1">
      <w:start w:val="1"/>
      <w:numFmt w:val="decimal"/>
      <w:lvlText w:val="%4."/>
      <w:lvlJc w:val="left"/>
      <w:pPr>
        <w:ind w:left="9963" w:hanging="360"/>
      </w:pPr>
    </w:lvl>
    <w:lvl w:ilvl="4" w:tplc="1C090019" w:tentative="1">
      <w:start w:val="1"/>
      <w:numFmt w:val="lowerLetter"/>
      <w:lvlText w:val="%5."/>
      <w:lvlJc w:val="left"/>
      <w:pPr>
        <w:ind w:left="10683" w:hanging="360"/>
      </w:pPr>
    </w:lvl>
    <w:lvl w:ilvl="5" w:tplc="1C09001B" w:tentative="1">
      <w:start w:val="1"/>
      <w:numFmt w:val="lowerRoman"/>
      <w:lvlText w:val="%6."/>
      <w:lvlJc w:val="right"/>
      <w:pPr>
        <w:ind w:left="11403" w:hanging="180"/>
      </w:pPr>
    </w:lvl>
    <w:lvl w:ilvl="6" w:tplc="1C09000F" w:tentative="1">
      <w:start w:val="1"/>
      <w:numFmt w:val="decimal"/>
      <w:lvlText w:val="%7."/>
      <w:lvlJc w:val="left"/>
      <w:pPr>
        <w:ind w:left="12123" w:hanging="360"/>
      </w:pPr>
    </w:lvl>
    <w:lvl w:ilvl="7" w:tplc="1C090019" w:tentative="1">
      <w:start w:val="1"/>
      <w:numFmt w:val="lowerLetter"/>
      <w:lvlText w:val="%8."/>
      <w:lvlJc w:val="left"/>
      <w:pPr>
        <w:ind w:left="12843" w:hanging="360"/>
      </w:pPr>
    </w:lvl>
    <w:lvl w:ilvl="8" w:tplc="1C09001B" w:tentative="1">
      <w:start w:val="1"/>
      <w:numFmt w:val="lowerRoman"/>
      <w:lvlText w:val="%9."/>
      <w:lvlJc w:val="right"/>
      <w:pPr>
        <w:ind w:left="13563" w:hanging="180"/>
      </w:pPr>
    </w:lvl>
  </w:abstractNum>
  <w:abstractNum w:abstractNumId="9" w15:restartNumberingAfterBreak="0">
    <w:nsid w:val="2D83440E"/>
    <w:multiLevelType w:val="multilevel"/>
    <w:tmpl w:val="E18C6FEA"/>
    <w:lvl w:ilvl="0">
      <w:start w:val="1"/>
      <w:numFmt w:val="lowerLetter"/>
      <w:lvlText w:val="(%1)"/>
      <w:lvlJc w:val="right"/>
      <w:pPr>
        <w:ind w:left="6521" w:hanging="1134"/>
      </w:pPr>
      <w:rPr>
        <w:rFonts w:ascii="Arial" w:eastAsiaTheme="minorHAnsi" w:hAnsi="Arial" w:cs="Arial" w:hint="default"/>
        <w:b w:val="0"/>
        <w:bCs w:val="0"/>
        <w:color w:val="auto"/>
      </w:rPr>
    </w:lvl>
    <w:lvl w:ilvl="1">
      <w:start w:val="1"/>
      <w:numFmt w:val="lowerRoman"/>
      <w:lvlText w:val="(%2)"/>
      <w:lvlJc w:val="left"/>
      <w:pPr>
        <w:ind w:left="7655" w:hanging="1134"/>
      </w:pPr>
      <w:rPr>
        <w:rFonts w:ascii="Arial" w:eastAsia="Times New Roman" w:hAnsi="Arial" w:cs="Arial"/>
      </w:rPr>
    </w:lvl>
    <w:lvl w:ilvl="2">
      <w:start w:val="1"/>
      <w:numFmt w:val="decimal"/>
      <w:lvlText w:val="%1.%2.%3"/>
      <w:lvlJc w:val="left"/>
      <w:pPr>
        <w:tabs>
          <w:tab w:val="num" w:pos="7655"/>
        </w:tabs>
        <w:ind w:left="8789" w:hanging="113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10" w15:restartNumberingAfterBreak="0">
    <w:nsid w:val="2ECE4CEE"/>
    <w:multiLevelType w:val="hybridMultilevel"/>
    <w:tmpl w:val="BA9EE6A6"/>
    <w:lvl w:ilvl="0" w:tplc="D26E4A04">
      <w:start w:val="1"/>
      <w:numFmt w:val="decimal"/>
      <w:lvlText w:val="[%1]"/>
      <w:lvlJc w:val="left"/>
      <w:pPr>
        <w:ind w:left="720" w:hanging="360"/>
      </w:pPr>
      <w:rPr>
        <w:rFonts w:ascii="Arial" w:hAnsi="Arial" w:cs="Arial" w:hint="default"/>
        <w:b w:val="0"/>
        <w:i w:val="0"/>
        <w:sz w:val="26"/>
        <w:szCs w:val="26"/>
      </w:rPr>
    </w:lvl>
    <w:lvl w:ilvl="1" w:tplc="6CCADE0A">
      <w:start w:val="1"/>
      <w:numFmt w:val="lowerLetter"/>
      <w:lvlText w:val="(%2)"/>
      <w:lvlJc w:val="righ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11242"/>
    <w:multiLevelType w:val="multilevel"/>
    <w:tmpl w:val="189092C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F92662"/>
    <w:multiLevelType w:val="hybridMultilevel"/>
    <w:tmpl w:val="26E8EB98"/>
    <w:lvl w:ilvl="0" w:tplc="BCB27C2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404D2"/>
    <w:multiLevelType w:val="hybridMultilevel"/>
    <w:tmpl w:val="ED7C3236"/>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9022372"/>
    <w:multiLevelType w:val="hybridMultilevel"/>
    <w:tmpl w:val="60EA6996"/>
    <w:lvl w:ilvl="0" w:tplc="FB1044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1032620"/>
    <w:multiLevelType w:val="hybridMultilevel"/>
    <w:tmpl w:val="A7781794"/>
    <w:lvl w:ilvl="0" w:tplc="02BAF8BA">
      <w:start w:val="2"/>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7326027"/>
    <w:multiLevelType w:val="hybridMultilevel"/>
    <w:tmpl w:val="603898C4"/>
    <w:lvl w:ilvl="0" w:tplc="29A890D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FE057A"/>
    <w:multiLevelType w:val="hybridMultilevel"/>
    <w:tmpl w:val="63FC156E"/>
    <w:lvl w:ilvl="0" w:tplc="DE28462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D9F7849"/>
    <w:multiLevelType w:val="hybridMultilevel"/>
    <w:tmpl w:val="3C562DC0"/>
    <w:lvl w:ilvl="0" w:tplc="A790F05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11BD5"/>
    <w:multiLevelType w:val="hybridMultilevel"/>
    <w:tmpl w:val="E61EB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16D4C76"/>
    <w:multiLevelType w:val="hybridMultilevel"/>
    <w:tmpl w:val="706AF55C"/>
    <w:lvl w:ilvl="0" w:tplc="37D4252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49564EB"/>
    <w:multiLevelType w:val="multilevel"/>
    <w:tmpl w:val="7D9A2462"/>
    <w:lvl w:ilvl="0">
      <w:start w:val="1"/>
      <w:numFmt w:val="decimal"/>
      <w:lvlText w:val="[%1]"/>
      <w:lvlJc w:val="left"/>
      <w:pPr>
        <w:tabs>
          <w:tab w:val="num" w:pos="1134"/>
        </w:tabs>
        <w:ind w:left="0" w:firstLine="0"/>
      </w:pPr>
      <w:rPr>
        <w:rFonts w:hint="default"/>
      </w:rPr>
    </w:lvl>
    <w:lvl w:ilvl="1">
      <w:start w:val="1"/>
      <w:numFmt w:val="lowerLetter"/>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C81EC2"/>
    <w:multiLevelType w:val="hybridMultilevel"/>
    <w:tmpl w:val="439E724A"/>
    <w:lvl w:ilvl="0" w:tplc="01BABD62">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A07DC0"/>
    <w:multiLevelType w:val="hybridMultilevel"/>
    <w:tmpl w:val="FE3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01E41"/>
    <w:multiLevelType w:val="hybridMultilevel"/>
    <w:tmpl w:val="7E0C2118"/>
    <w:lvl w:ilvl="0" w:tplc="9CEED1F0">
      <w:start w:val="9"/>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3014EBC"/>
    <w:multiLevelType w:val="hybridMultilevel"/>
    <w:tmpl w:val="DA0CB33C"/>
    <w:lvl w:ilvl="0" w:tplc="307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138D7"/>
    <w:multiLevelType w:val="hybridMultilevel"/>
    <w:tmpl w:val="3CAE5538"/>
    <w:lvl w:ilvl="0" w:tplc="0809000F">
      <w:start w:val="1"/>
      <w:numFmt w:val="decimal"/>
      <w:lvlText w:val="%1."/>
      <w:lvlJc w:val="left"/>
      <w:pPr>
        <w:ind w:left="720" w:hanging="360"/>
      </w:pPr>
    </w:lvl>
    <w:lvl w:ilvl="1" w:tplc="C84217DC">
      <w:start w:val="1"/>
      <w:numFmt w:val="lowerLetter"/>
      <w:lvlText w:val="(%2)"/>
      <w:lvlJc w:val="left"/>
      <w:pPr>
        <w:ind w:left="1640" w:hanging="5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0C2507"/>
    <w:multiLevelType w:val="hybridMultilevel"/>
    <w:tmpl w:val="499690A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11DF3"/>
    <w:multiLevelType w:val="hybridMultilevel"/>
    <w:tmpl w:val="02549F60"/>
    <w:lvl w:ilvl="0" w:tplc="CE1EFD60">
      <w:start w:val="1"/>
      <w:numFmt w:val="lowerLetter"/>
      <w:lvlText w:val="(%1)"/>
      <w:lvlJc w:val="left"/>
      <w:pPr>
        <w:ind w:left="930" w:hanging="57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27"/>
  </w:num>
  <w:num w:numId="5">
    <w:abstractNumId w:val="0"/>
  </w:num>
  <w:num w:numId="6">
    <w:abstractNumId w:val="16"/>
  </w:num>
  <w:num w:numId="7">
    <w:abstractNumId w:val="18"/>
  </w:num>
  <w:num w:numId="8">
    <w:abstractNumId w:val="25"/>
  </w:num>
  <w:num w:numId="9">
    <w:abstractNumId w:val="4"/>
  </w:num>
  <w:num w:numId="10">
    <w:abstractNumId w:val="23"/>
  </w:num>
  <w:num w:numId="11">
    <w:abstractNumId w:val="1"/>
  </w:num>
  <w:num w:numId="12">
    <w:abstractNumId w:val="5"/>
  </w:num>
  <w:num w:numId="13">
    <w:abstractNumId w:val="28"/>
  </w:num>
  <w:num w:numId="14">
    <w:abstractNumId w:val="13"/>
  </w:num>
  <w:num w:numId="15">
    <w:abstractNumId w:val="14"/>
  </w:num>
  <w:num w:numId="16">
    <w:abstractNumId w:val="19"/>
  </w:num>
  <w:num w:numId="17">
    <w:abstractNumId w:val="22"/>
  </w:num>
  <w:num w:numId="18">
    <w:abstractNumId w:val="3"/>
  </w:num>
  <w:num w:numId="19">
    <w:abstractNumId w:val="17"/>
  </w:num>
  <w:num w:numId="20">
    <w:abstractNumId w:val="7"/>
  </w:num>
  <w:num w:numId="21">
    <w:abstractNumId w:val="9"/>
  </w:num>
  <w:num w:numId="22">
    <w:abstractNumId w:val="11"/>
  </w:num>
  <w:num w:numId="23">
    <w:abstractNumId w:val="24"/>
  </w:num>
  <w:num w:numId="24">
    <w:abstractNumId w:val="15"/>
  </w:num>
  <w:num w:numId="25">
    <w:abstractNumId w:val="20"/>
  </w:num>
  <w:num w:numId="26">
    <w:abstractNumId w:val="12"/>
  </w:num>
  <w:num w:numId="27">
    <w:abstractNumId w:val="8"/>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7"/>
    <w:rsid w:val="000010FC"/>
    <w:rsid w:val="000013F4"/>
    <w:rsid w:val="00001922"/>
    <w:rsid w:val="000023A2"/>
    <w:rsid w:val="00003C75"/>
    <w:rsid w:val="00003C8E"/>
    <w:rsid w:val="0000410D"/>
    <w:rsid w:val="00005413"/>
    <w:rsid w:val="000059A9"/>
    <w:rsid w:val="00007E3B"/>
    <w:rsid w:val="00010F3B"/>
    <w:rsid w:val="00017163"/>
    <w:rsid w:val="000222FD"/>
    <w:rsid w:val="00023AA8"/>
    <w:rsid w:val="000274DD"/>
    <w:rsid w:val="00030A03"/>
    <w:rsid w:val="00031D23"/>
    <w:rsid w:val="00033281"/>
    <w:rsid w:val="0003369D"/>
    <w:rsid w:val="000336DD"/>
    <w:rsid w:val="00035989"/>
    <w:rsid w:val="00036976"/>
    <w:rsid w:val="00040F20"/>
    <w:rsid w:val="00042467"/>
    <w:rsid w:val="000424CC"/>
    <w:rsid w:val="0004448F"/>
    <w:rsid w:val="0004491D"/>
    <w:rsid w:val="00044D80"/>
    <w:rsid w:val="00054FF6"/>
    <w:rsid w:val="000550D3"/>
    <w:rsid w:val="00057265"/>
    <w:rsid w:val="00057CD7"/>
    <w:rsid w:val="00057DB7"/>
    <w:rsid w:val="00064735"/>
    <w:rsid w:val="00067963"/>
    <w:rsid w:val="00067BCF"/>
    <w:rsid w:val="000708EB"/>
    <w:rsid w:val="00070BD1"/>
    <w:rsid w:val="0007124A"/>
    <w:rsid w:val="00072191"/>
    <w:rsid w:val="00073A95"/>
    <w:rsid w:val="00074C67"/>
    <w:rsid w:val="00075ADC"/>
    <w:rsid w:val="00075FF2"/>
    <w:rsid w:val="00076D3E"/>
    <w:rsid w:val="00077D7A"/>
    <w:rsid w:val="00083894"/>
    <w:rsid w:val="00085DCF"/>
    <w:rsid w:val="0008781D"/>
    <w:rsid w:val="00092414"/>
    <w:rsid w:val="00097C00"/>
    <w:rsid w:val="000A1E3B"/>
    <w:rsid w:val="000A27D3"/>
    <w:rsid w:val="000A6573"/>
    <w:rsid w:val="000B1A2E"/>
    <w:rsid w:val="000B5E3D"/>
    <w:rsid w:val="000C5B1D"/>
    <w:rsid w:val="000C5E7B"/>
    <w:rsid w:val="000C6692"/>
    <w:rsid w:val="000D1A9A"/>
    <w:rsid w:val="000D1F03"/>
    <w:rsid w:val="000D3225"/>
    <w:rsid w:val="000D325A"/>
    <w:rsid w:val="000D3DE2"/>
    <w:rsid w:val="000D3E1F"/>
    <w:rsid w:val="000D6614"/>
    <w:rsid w:val="000E3B26"/>
    <w:rsid w:val="000E488B"/>
    <w:rsid w:val="000E5F36"/>
    <w:rsid w:val="000E67D2"/>
    <w:rsid w:val="000F2102"/>
    <w:rsid w:val="000F2D01"/>
    <w:rsid w:val="000F2FFA"/>
    <w:rsid w:val="00101CEA"/>
    <w:rsid w:val="00102E9A"/>
    <w:rsid w:val="00104CE0"/>
    <w:rsid w:val="001052B7"/>
    <w:rsid w:val="00106132"/>
    <w:rsid w:val="001062DA"/>
    <w:rsid w:val="00110BA8"/>
    <w:rsid w:val="00111FF9"/>
    <w:rsid w:val="00114D88"/>
    <w:rsid w:val="00115B05"/>
    <w:rsid w:val="0012102C"/>
    <w:rsid w:val="00130234"/>
    <w:rsid w:val="00130C8E"/>
    <w:rsid w:val="00130CA5"/>
    <w:rsid w:val="00133679"/>
    <w:rsid w:val="00133E44"/>
    <w:rsid w:val="00136979"/>
    <w:rsid w:val="00136C65"/>
    <w:rsid w:val="00140FFA"/>
    <w:rsid w:val="00144A6D"/>
    <w:rsid w:val="00145608"/>
    <w:rsid w:val="0014624E"/>
    <w:rsid w:val="00146C7C"/>
    <w:rsid w:val="001517FC"/>
    <w:rsid w:val="00151AB3"/>
    <w:rsid w:val="00156DAE"/>
    <w:rsid w:val="00160119"/>
    <w:rsid w:val="0016105E"/>
    <w:rsid w:val="0016127A"/>
    <w:rsid w:val="00162B28"/>
    <w:rsid w:val="00162D21"/>
    <w:rsid w:val="0016490F"/>
    <w:rsid w:val="0016584B"/>
    <w:rsid w:val="001659F8"/>
    <w:rsid w:val="00170C91"/>
    <w:rsid w:val="00175112"/>
    <w:rsid w:val="001761B0"/>
    <w:rsid w:val="00176964"/>
    <w:rsid w:val="001771DD"/>
    <w:rsid w:val="00184800"/>
    <w:rsid w:val="00184B8F"/>
    <w:rsid w:val="00192B2F"/>
    <w:rsid w:val="00196539"/>
    <w:rsid w:val="00196CC6"/>
    <w:rsid w:val="00197164"/>
    <w:rsid w:val="001A16DA"/>
    <w:rsid w:val="001A1DB6"/>
    <w:rsid w:val="001A252E"/>
    <w:rsid w:val="001A37EF"/>
    <w:rsid w:val="001A69DD"/>
    <w:rsid w:val="001A79AE"/>
    <w:rsid w:val="001B1403"/>
    <w:rsid w:val="001B6CF0"/>
    <w:rsid w:val="001B7D61"/>
    <w:rsid w:val="001C2186"/>
    <w:rsid w:val="001C2A40"/>
    <w:rsid w:val="001C4F95"/>
    <w:rsid w:val="001C764D"/>
    <w:rsid w:val="001D16C9"/>
    <w:rsid w:val="001E1F9D"/>
    <w:rsid w:val="001E2378"/>
    <w:rsid w:val="001E360A"/>
    <w:rsid w:val="001E5C56"/>
    <w:rsid w:val="001E6FA4"/>
    <w:rsid w:val="001F0877"/>
    <w:rsid w:val="001F2283"/>
    <w:rsid w:val="001F29CA"/>
    <w:rsid w:val="001F3CBF"/>
    <w:rsid w:val="001F7E03"/>
    <w:rsid w:val="002028AB"/>
    <w:rsid w:val="00203285"/>
    <w:rsid w:val="0020552A"/>
    <w:rsid w:val="00205842"/>
    <w:rsid w:val="002058DF"/>
    <w:rsid w:val="0020720D"/>
    <w:rsid w:val="00210407"/>
    <w:rsid w:val="0021073C"/>
    <w:rsid w:val="00210E2F"/>
    <w:rsid w:val="00220E14"/>
    <w:rsid w:val="002215CC"/>
    <w:rsid w:val="0022231B"/>
    <w:rsid w:val="00230720"/>
    <w:rsid w:val="0023461D"/>
    <w:rsid w:val="00236994"/>
    <w:rsid w:val="00242CB7"/>
    <w:rsid w:val="002453FA"/>
    <w:rsid w:val="002456B5"/>
    <w:rsid w:val="00246C41"/>
    <w:rsid w:val="00257BA7"/>
    <w:rsid w:val="00261E54"/>
    <w:rsid w:val="00264600"/>
    <w:rsid w:val="0026691C"/>
    <w:rsid w:val="002716E5"/>
    <w:rsid w:val="0027748C"/>
    <w:rsid w:val="00282557"/>
    <w:rsid w:val="00282871"/>
    <w:rsid w:val="00283677"/>
    <w:rsid w:val="0028461F"/>
    <w:rsid w:val="0028559C"/>
    <w:rsid w:val="00286EAA"/>
    <w:rsid w:val="0029005F"/>
    <w:rsid w:val="00290EBC"/>
    <w:rsid w:val="00292B7E"/>
    <w:rsid w:val="002932B8"/>
    <w:rsid w:val="00294B56"/>
    <w:rsid w:val="002A0704"/>
    <w:rsid w:val="002A35EF"/>
    <w:rsid w:val="002A7419"/>
    <w:rsid w:val="002B42C3"/>
    <w:rsid w:val="002B5AFD"/>
    <w:rsid w:val="002C57D7"/>
    <w:rsid w:val="002C71DE"/>
    <w:rsid w:val="002D27C7"/>
    <w:rsid w:val="002D39FC"/>
    <w:rsid w:val="002D60AB"/>
    <w:rsid w:val="002E112A"/>
    <w:rsid w:val="002E576C"/>
    <w:rsid w:val="002E6E5B"/>
    <w:rsid w:val="002F5A29"/>
    <w:rsid w:val="002F72DB"/>
    <w:rsid w:val="00300733"/>
    <w:rsid w:val="00301676"/>
    <w:rsid w:val="00305BFF"/>
    <w:rsid w:val="00306084"/>
    <w:rsid w:val="0030670E"/>
    <w:rsid w:val="00306BF3"/>
    <w:rsid w:val="0030757B"/>
    <w:rsid w:val="003075C4"/>
    <w:rsid w:val="00314577"/>
    <w:rsid w:val="00320685"/>
    <w:rsid w:val="00332181"/>
    <w:rsid w:val="003379F4"/>
    <w:rsid w:val="003410A4"/>
    <w:rsid w:val="00344377"/>
    <w:rsid w:val="00345820"/>
    <w:rsid w:val="00346333"/>
    <w:rsid w:val="003479A3"/>
    <w:rsid w:val="00350668"/>
    <w:rsid w:val="00355668"/>
    <w:rsid w:val="00355B80"/>
    <w:rsid w:val="00356481"/>
    <w:rsid w:val="00357CD5"/>
    <w:rsid w:val="003605C4"/>
    <w:rsid w:val="00362A46"/>
    <w:rsid w:val="0036306C"/>
    <w:rsid w:val="00363E4E"/>
    <w:rsid w:val="003704A2"/>
    <w:rsid w:val="0037228D"/>
    <w:rsid w:val="00373D41"/>
    <w:rsid w:val="003803D6"/>
    <w:rsid w:val="003840F6"/>
    <w:rsid w:val="00384F6C"/>
    <w:rsid w:val="003858EA"/>
    <w:rsid w:val="0038718D"/>
    <w:rsid w:val="00393AAF"/>
    <w:rsid w:val="00394559"/>
    <w:rsid w:val="00394CDE"/>
    <w:rsid w:val="00395AB9"/>
    <w:rsid w:val="003A60D7"/>
    <w:rsid w:val="003A680B"/>
    <w:rsid w:val="003B28FC"/>
    <w:rsid w:val="003B47BD"/>
    <w:rsid w:val="003B6E26"/>
    <w:rsid w:val="003C25C1"/>
    <w:rsid w:val="003C3058"/>
    <w:rsid w:val="003C4365"/>
    <w:rsid w:val="003C5D52"/>
    <w:rsid w:val="003C682C"/>
    <w:rsid w:val="003D2555"/>
    <w:rsid w:val="003D526E"/>
    <w:rsid w:val="003D7094"/>
    <w:rsid w:val="003D74FC"/>
    <w:rsid w:val="003D7BAC"/>
    <w:rsid w:val="003E1ED4"/>
    <w:rsid w:val="003F3AF3"/>
    <w:rsid w:val="003F72D6"/>
    <w:rsid w:val="003F7D65"/>
    <w:rsid w:val="00401B4C"/>
    <w:rsid w:val="00402223"/>
    <w:rsid w:val="0040247D"/>
    <w:rsid w:val="00403582"/>
    <w:rsid w:val="00412F66"/>
    <w:rsid w:val="00412FCE"/>
    <w:rsid w:val="0041460D"/>
    <w:rsid w:val="004210ED"/>
    <w:rsid w:val="00426059"/>
    <w:rsid w:val="0042723D"/>
    <w:rsid w:val="004328B8"/>
    <w:rsid w:val="00433CC0"/>
    <w:rsid w:val="00437435"/>
    <w:rsid w:val="00444E0F"/>
    <w:rsid w:val="00446D48"/>
    <w:rsid w:val="00447740"/>
    <w:rsid w:val="00450371"/>
    <w:rsid w:val="00450884"/>
    <w:rsid w:val="00452132"/>
    <w:rsid w:val="004531B0"/>
    <w:rsid w:val="00453DA6"/>
    <w:rsid w:val="00454A70"/>
    <w:rsid w:val="00455049"/>
    <w:rsid w:val="00455F6D"/>
    <w:rsid w:val="00456654"/>
    <w:rsid w:val="004566A0"/>
    <w:rsid w:val="0045767E"/>
    <w:rsid w:val="004602E7"/>
    <w:rsid w:val="00463190"/>
    <w:rsid w:val="00463D1F"/>
    <w:rsid w:val="00463D69"/>
    <w:rsid w:val="00463E59"/>
    <w:rsid w:val="004648BE"/>
    <w:rsid w:val="00465485"/>
    <w:rsid w:val="00467102"/>
    <w:rsid w:val="00467329"/>
    <w:rsid w:val="00470BD9"/>
    <w:rsid w:val="00471173"/>
    <w:rsid w:val="00473A0C"/>
    <w:rsid w:val="004760F0"/>
    <w:rsid w:val="0047654C"/>
    <w:rsid w:val="00477138"/>
    <w:rsid w:val="0048181B"/>
    <w:rsid w:val="00481A66"/>
    <w:rsid w:val="00483B42"/>
    <w:rsid w:val="00484258"/>
    <w:rsid w:val="004848D3"/>
    <w:rsid w:val="0048738A"/>
    <w:rsid w:val="00491BCC"/>
    <w:rsid w:val="00492FC4"/>
    <w:rsid w:val="004942E3"/>
    <w:rsid w:val="00494D6F"/>
    <w:rsid w:val="004977B7"/>
    <w:rsid w:val="004A12DF"/>
    <w:rsid w:val="004A2B47"/>
    <w:rsid w:val="004A2CA1"/>
    <w:rsid w:val="004A32AE"/>
    <w:rsid w:val="004A4C3C"/>
    <w:rsid w:val="004A621C"/>
    <w:rsid w:val="004B151C"/>
    <w:rsid w:val="004B27D0"/>
    <w:rsid w:val="004B29E8"/>
    <w:rsid w:val="004B31DA"/>
    <w:rsid w:val="004B71A1"/>
    <w:rsid w:val="004B759B"/>
    <w:rsid w:val="004B7F22"/>
    <w:rsid w:val="004C0647"/>
    <w:rsid w:val="004C0B26"/>
    <w:rsid w:val="004C0E32"/>
    <w:rsid w:val="004C2B77"/>
    <w:rsid w:val="004C30A3"/>
    <w:rsid w:val="004C3BDF"/>
    <w:rsid w:val="004D1D21"/>
    <w:rsid w:val="004D49F5"/>
    <w:rsid w:val="004E261A"/>
    <w:rsid w:val="004E2631"/>
    <w:rsid w:val="004E33BF"/>
    <w:rsid w:val="004E33EF"/>
    <w:rsid w:val="004E5938"/>
    <w:rsid w:val="004E79B9"/>
    <w:rsid w:val="004F0A7D"/>
    <w:rsid w:val="004F2D11"/>
    <w:rsid w:val="004F4852"/>
    <w:rsid w:val="005022D6"/>
    <w:rsid w:val="00505337"/>
    <w:rsid w:val="00505A8B"/>
    <w:rsid w:val="005102F4"/>
    <w:rsid w:val="00512C1B"/>
    <w:rsid w:val="005150B8"/>
    <w:rsid w:val="005165C7"/>
    <w:rsid w:val="00516D77"/>
    <w:rsid w:val="00520336"/>
    <w:rsid w:val="005229A3"/>
    <w:rsid w:val="00526EE9"/>
    <w:rsid w:val="00526FB5"/>
    <w:rsid w:val="0052733D"/>
    <w:rsid w:val="00527464"/>
    <w:rsid w:val="005339A2"/>
    <w:rsid w:val="00534982"/>
    <w:rsid w:val="00535C78"/>
    <w:rsid w:val="00536086"/>
    <w:rsid w:val="00537599"/>
    <w:rsid w:val="00537641"/>
    <w:rsid w:val="00540559"/>
    <w:rsid w:val="0054123D"/>
    <w:rsid w:val="0054206A"/>
    <w:rsid w:val="00547DD1"/>
    <w:rsid w:val="00551D2F"/>
    <w:rsid w:val="005523C4"/>
    <w:rsid w:val="00554BD3"/>
    <w:rsid w:val="00556836"/>
    <w:rsid w:val="00560A18"/>
    <w:rsid w:val="00560C15"/>
    <w:rsid w:val="005620DD"/>
    <w:rsid w:val="005640AA"/>
    <w:rsid w:val="005641E1"/>
    <w:rsid w:val="0056554F"/>
    <w:rsid w:val="005657BE"/>
    <w:rsid w:val="00566D72"/>
    <w:rsid w:val="00571DAC"/>
    <w:rsid w:val="00572218"/>
    <w:rsid w:val="00572949"/>
    <w:rsid w:val="00575BC8"/>
    <w:rsid w:val="00575D0C"/>
    <w:rsid w:val="00576753"/>
    <w:rsid w:val="005770C5"/>
    <w:rsid w:val="00581AE1"/>
    <w:rsid w:val="0058232B"/>
    <w:rsid w:val="0058774D"/>
    <w:rsid w:val="00591B23"/>
    <w:rsid w:val="0059310E"/>
    <w:rsid w:val="005A6087"/>
    <w:rsid w:val="005A65A1"/>
    <w:rsid w:val="005A6A17"/>
    <w:rsid w:val="005B073B"/>
    <w:rsid w:val="005B0FF3"/>
    <w:rsid w:val="005B1531"/>
    <w:rsid w:val="005B2B55"/>
    <w:rsid w:val="005B46C2"/>
    <w:rsid w:val="005B7C34"/>
    <w:rsid w:val="005C2373"/>
    <w:rsid w:val="005C43B0"/>
    <w:rsid w:val="005D07BA"/>
    <w:rsid w:val="005D1C0E"/>
    <w:rsid w:val="005D3C0D"/>
    <w:rsid w:val="005D439F"/>
    <w:rsid w:val="005D6B1C"/>
    <w:rsid w:val="005E0569"/>
    <w:rsid w:val="005E6F85"/>
    <w:rsid w:val="005F06ED"/>
    <w:rsid w:val="005F1FB6"/>
    <w:rsid w:val="005F3682"/>
    <w:rsid w:val="005F4782"/>
    <w:rsid w:val="00600443"/>
    <w:rsid w:val="00600A84"/>
    <w:rsid w:val="0060240F"/>
    <w:rsid w:val="00603068"/>
    <w:rsid w:val="006044AB"/>
    <w:rsid w:val="00605A49"/>
    <w:rsid w:val="006101F0"/>
    <w:rsid w:val="00610F38"/>
    <w:rsid w:val="006148BC"/>
    <w:rsid w:val="00615D6E"/>
    <w:rsid w:val="00616DC9"/>
    <w:rsid w:val="00620017"/>
    <w:rsid w:val="00620480"/>
    <w:rsid w:val="0062132D"/>
    <w:rsid w:val="006217C7"/>
    <w:rsid w:val="006219AB"/>
    <w:rsid w:val="0062314C"/>
    <w:rsid w:val="006248E2"/>
    <w:rsid w:val="00624E62"/>
    <w:rsid w:val="006334BC"/>
    <w:rsid w:val="0063388C"/>
    <w:rsid w:val="00635C53"/>
    <w:rsid w:val="00640E8E"/>
    <w:rsid w:val="006415BD"/>
    <w:rsid w:val="00642F79"/>
    <w:rsid w:val="00646DD2"/>
    <w:rsid w:val="00650D7B"/>
    <w:rsid w:val="00650F1D"/>
    <w:rsid w:val="0065468B"/>
    <w:rsid w:val="0065609C"/>
    <w:rsid w:val="00656D48"/>
    <w:rsid w:val="00660C40"/>
    <w:rsid w:val="00661576"/>
    <w:rsid w:val="0066403D"/>
    <w:rsid w:val="00665E7E"/>
    <w:rsid w:val="006662AC"/>
    <w:rsid w:val="00666BBD"/>
    <w:rsid w:val="006719AD"/>
    <w:rsid w:val="00675D4D"/>
    <w:rsid w:val="00685052"/>
    <w:rsid w:val="006852DC"/>
    <w:rsid w:val="00690872"/>
    <w:rsid w:val="00690F1A"/>
    <w:rsid w:val="00692AA9"/>
    <w:rsid w:val="006942E9"/>
    <w:rsid w:val="00694E6C"/>
    <w:rsid w:val="00695E35"/>
    <w:rsid w:val="00696377"/>
    <w:rsid w:val="00697FF5"/>
    <w:rsid w:val="006A1172"/>
    <w:rsid w:val="006A1D88"/>
    <w:rsid w:val="006B443A"/>
    <w:rsid w:val="006B4444"/>
    <w:rsid w:val="006B5148"/>
    <w:rsid w:val="006B51C6"/>
    <w:rsid w:val="006B5304"/>
    <w:rsid w:val="006C1410"/>
    <w:rsid w:val="006C31E1"/>
    <w:rsid w:val="006C35FF"/>
    <w:rsid w:val="006C3B0A"/>
    <w:rsid w:val="006C4586"/>
    <w:rsid w:val="006C66D9"/>
    <w:rsid w:val="006D06B3"/>
    <w:rsid w:val="006D5DFB"/>
    <w:rsid w:val="006D6370"/>
    <w:rsid w:val="006D7D54"/>
    <w:rsid w:val="006E06CD"/>
    <w:rsid w:val="006E1953"/>
    <w:rsid w:val="006E400F"/>
    <w:rsid w:val="006E5F1F"/>
    <w:rsid w:val="006E78DF"/>
    <w:rsid w:val="006F0FEA"/>
    <w:rsid w:val="006F3136"/>
    <w:rsid w:val="006F565A"/>
    <w:rsid w:val="006F5E0A"/>
    <w:rsid w:val="006F62B2"/>
    <w:rsid w:val="006F7E68"/>
    <w:rsid w:val="00701128"/>
    <w:rsid w:val="00702119"/>
    <w:rsid w:val="00702C97"/>
    <w:rsid w:val="00704814"/>
    <w:rsid w:val="007050CC"/>
    <w:rsid w:val="007063C7"/>
    <w:rsid w:val="00707370"/>
    <w:rsid w:val="00711F06"/>
    <w:rsid w:val="00712510"/>
    <w:rsid w:val="00714973"/>
    <w:rsid w:val="007161B3"/>
    <w:rsid w:val="007177D0"/>
    <w:rsid w:val="00723BE9"/>
    <w:rsid w:val="00724895"/>
    <w:rsid w:val="00725143"/>
    <w:rsid w:val="0072733F"/>
    <w:rsid w:val="00733F56"/>
    <w:rsid w:val="00734F34"/>
    <w:rsid w:val="00735ED3"/>
    <w:rsid w:val="007374BA"/>
    <w:rsid w:val="007422C6"/>
    <w:rsid w:val="00743B7D"/>
    <w:rsid w:val="00744BAA"/>
    <w:rsid w:val="00745813"/>
    <w:rsid w:val="00746650"/>
    <w:rsid w:val="00752208"/>
    <w:rsid w:val="00753EED"/>
    <w:rsid w:val="00755E17"/>
    <w:rsid w:val="00757C86"/>
    <w:rsid w:val="00760161"/>
    <w:rsid w:val="00766288"/>
    <w:rsid w:val="00771BB5"/>
    <w:rsid w:val="007720B6"/>
    <w:rsid w:val="00772B1C"/>
    <w:rsid w:val="007760C7"/>
    <w:rsid w:val="00780659"/>
    <w:rsid w:val="00780D4C"/>
    <w:rsid w:val="00781C13"/>
    <w:rsid w:val="00782C14"/>
    <w:rsid w:val="00783433"/>
    <w:rsid w:val="00783BAE"/>
    <w:rsid w:val="00784A98"/>
    <w:rsid w:val="00785AF0"/>
    <w:rsid w:val="00787295"/>
    <w:rsid w:val="00790A43"/>
    <w:rsid w:val="00790F29"/>
    <w:rsid w:val="00791D56"/>
    <w:rsid w:val="007927E1"/>
    <w:rsid w:val="00794D80"/>
    <w:rsid w:val="007968C4"/>
    <w:rsid w:val="007A2272"/>
    <w:rsid w:val="007A3668"/>
    <w:rsid w:val="007A3C28"/>
    <w:rsid w:val="007A61CF"/>
    <w:rsid w:val="007A6E1B"/>
    <w:rsid w:val="007A75FD"/>
    <w:rsid w:val="007C0DF3"/>
    <w:rsid w:val="007C3889"/>
    <w:rsid w:val="007C40D8"/>
    <w:rsid w:val="007C42C3"/>
    <w:rsid w:val="007C6905"/>
    <w:rsid w:val="007C76B6"/>
    <w:rsid w:val="007D224F"/>
    <w:rsid w:val="007D419E"/>
    <w:rsid w:val="007E1E56"/>
    <w:rsid w:val="007E1F10"/>
    <w:rsid w:val="007E2072"/>
    <w:rsid w:val="007E2F23"/>
    <w:rsid w:val="007F0762"/>
    <w:rsid w:val="007F0B43"/>
    <w:rsid w:val="007F471A"/>
    <w:rsid w:val="007F5699"/>
    <w:rsid w:val="007F5CAB"/>
    <w:rsid w:val="007F5ED0"/>
    <w:rsid w:val="007F66E5"/>
    <w:rsid w:val="007F78BC"/>
    <w:rsid w:val="00800C8D"/>
    <w:rsid w:val="00800F11"/>
    <w:rsid w:val="00801E8C"/>
    <w:rsid w:val="00803E69"/>
    <w:rsid w:val="00813AC8"/>
    <w:rsid w:val="00814B09"/>
    <w:rsid w:val="00820413"/>
    <w:rsid w:val="00821016"/>
    <w:rsid w:val="00825762"/>
    <w:rsid w:val="00825F99"/>
    <w:rsid w:val="00827A87"/>
    <w:rsid w:val="0083012F"/>
    <w:rsid w:val="008306AC"/>
    <w:rsid w:val="0083530B"/>
    <w:rsid w:val="008366C4"/>
    <w:rsid w:val="0084623E"/>
    <w:rsid w:val="00852EC4"/>
    <w:rsid w:val="0086308C"/>
    <w:rsid w:val="00864705"/>
    <w:rsid w:val="0086707E"/>
    <w:rsid w:val="00867B7E"/>
    <w:rsid w:val="00870D5A"/>
    <w:rsid w:val="00870E86"/>
    <w:rsid w:val="008729D9"/>
    <w:rsid w:val="00874EDA"/>
    <w:rsid w:val="0087679C"/>
    <w:rsid w:val="0088126E"/>
    <w:rsid w:val="00883625"/>
    <w:rsid w:val="0088387C"/>
    <w:rsid w:val="00884DF7"/>
    <w:rsid w:val="00891602"/>
    <w:rsid w:val="008916A6"/>
    <w:rsid w:val="00891E58"/>
    <w:rsid w:val="008940A2"/>
    <w:rsid w:val="008948CC"/>
    <w:rsid w:val="008954DA"/>
    <w:rsid w:val="008A301D"/>
    <w:rsid w:val="008A4AE6"/>
    <w:rsid w:val="008A72AE"/>
    <w:rsid w:val="008B164C"/>
    <w:rsid w:val="008B2A49"/>
    <w:rsid w:val="008B5F3A"/>
    <w:rsid w:val="008B6A45"/>
    <w:rsid w:val="008C03C5"/>
    <w:rsid w:val="008C0CA9"/>
    <w:rsid w:val="008C165A"/>
    <w:rsid w:val="008C17FE"/>
    <w:rsid w:val="008C23F6"/>
    <w:rsid w:val="008C5862"/>
    <w:rsid w:val="008D4439"/>
    <w:rsid w:val="008D4AEE"/>
    <w:rsid w:val="008D5018"/>
    <w:rsid w:val="008D5B03"/>
    <w:rsid w:val="008E16FA"/>
    <w:rsid w:val="008E299E"/>
    <w:rsid w:val="008E7F19"/>
    <w:rsid w:val="008F79EF"/>
    <w:rsid w:val="00900CEE"/>
    <w:rsid w:val="009060DC"/>
    <w:rsid w:val="009063C5"/>
    <w:rsid w:val="009065B4"/>
    <w:rsid w:val="009079EC"/>
    <w:rsid w:val="00913C26"/>
    <w:rsid w:val="00913D36"/>
    <w:rsid w:val="00913E86"/>
    <w:rsid w:val="00916124"/>
    <w:rsid w:val="00917192"/>
    <w:rsid w:val="00920110"/>
    <w:rsid w:val="009210D2"/>
    <w:rsid w:val="00921C50"/>
    <w:rsid w:val="00923015"/>
    <w:rsid w:val="00924146"/>
    <w:rsid w:val="00924CFD"/>
    <w:rsid w:val="00924F1F"/>
    <w:rsid w:val="009254C4"/>
    <w:rsid w:val="009275BA"/>
    <w:rsid w:val="009312F3"/>
    <w:rsid w:val="0093162F"/>
    <w:rsid w:val="0093266D"/>
    <w:rsid w:val="009326F4"/>
    <w:rsid w:val="00932808"/>
    <w:rsid w:val="00932CD9"/>
    <w:rsid w:val="0093647F"/>
    <w:rsid w:val="009436EA"/>
    <w:rsid w:val="0094481B"/>
    <w:rsid w:val="00950CC4"/>
    <w:rsid w:val="00951986"/>
    <w:rsid w:val="00952F4F"/>
    <w:rsid w:val="00953DA3"/>
    <w:rsid w:val="00954C8C"/>
    <w:rsid w:val="00956C40"/>
    <w:rsid w:val="00956C75"/>
    <w:rsid w:val="00960269"/>
    <w:rsid w:val="00961BC4"/>
    <w:rsid w:val="00962B02"/>
    <w:rsid w:val="00963AAD"/>
    <w:rsid w:val="00964BB0"/>
    <w:rsid w:val="00967B5F"/>
    <w:rsid w:val="009768AB"/>
    <w:rsid w:val="00976FFD"/>
    <w:rsid w:val="0098487E"/>
    <w:rsid w:val="0098518E"/>
    <w:rsid w:val="00986BC1"/>
    <w:rsid w:val="0099109C"/>
    <w:rsid w:val="00991998"/>
    <w:rsid w:val="0099457C"/>
    <w:rsid w:val="00994A9F"/>
    <w:rsid w:val="00996562"/>
    <w:rsid w:val="00996937"/>
    <w:rsid w:val="009969D3"/>
    <w:rsid w:val="009A15FF"/>
    <w:rsid w:val="009A4E47"/>
    <w:rsid w:val="009B2AF2"/>
    <w:rsid w:val="009B325E"/>
    <w:rsid w:val="009B4913"/>
    <w:rsid w:val="009B4C12"/>
    <w:rsid w:val="009B6983"/>
    <w:rsid w:val="009C2CA2"/>
    <w:rsid w:val="009C3179"/>
    <w:rsid w:val="009C4095"/>
    <w:rsid w:val="009C4B59"/>
    <w:rsid w:val="009D244C"/>
    <w:rsid w:val="009D3151"/>
    <w:rsid w:val="009D37CA"/>
    <w:rsid w:val="009D3D8C"/>
    <w:rsid w:val="009D40D2"/>
    <w:rsid w:val="009D7DB5"/>
    <w:rsid w:val="009D7FC0"/>
    <w:rsid w:val="009E5B3E"/>
    <w:rsid w:val="009E7916"/>
    <w:rsid w:val="009E7EB5"/>
    <w:rsid w:val="009F2FD2"/>
    <w:rsid w:val="00A00394"/>
    <w:rsid w:val="00A00A97"/>
    <w:rsid w:val="00A029DD"/>
    <w:rsid w:val="00A032F8"/>
    <w:rsid w:val="00A044BF"/>
    <w:rsid w:val="00A07A3B"/>
    <w:rsid w:val="00A10CE3"/>
    <w:rsid w:val="00A14C78"/>
    <w:rsid w:val="00A2045C"/>
    <w:rsid w:val="00A21286"/>
    <w:rsid w:val="00A225F1"/>
    <w:rsid w:val="00A34BAF"/>
    <w:rsid w:val="00A36B1E"/>
    <w:rsid w:val="00A37469"/>
    <w:rsid w:val="00A43AB7"/>
    <w:rsid w:val="00A47C7D"/>
    <w:rsid w:val="00A50E89"/>
    <w:rsid w:val="00A52806"/>
    <w:rsid w:val="00A5317F"/>
    <w:rsid w:val="00A538B7"/>
    <w:rsid w:val="00A56CAD"/>
    <w:rsid w:val="00A60AA0"/>
    <w:rsid w:val="00A63F7A"/>
    <w:rsid w:val="00A65574"/>
    <w:rsid w:val="00A6718D"/>
    <w:rsid w:val="00A67BD2"/>
    <w:rsid w:val="00A72155"/>
    <w:rsid w:val="00A74475"/>
    <w:rsid w:val="00A74B1D"/>
    <w:rsid w:val="00A75B91"/>
    <w:rsid w:val="00A76B8D"/>
    <w:rsid w:val="00A77D9B"/>
    <w:rsid w:val="00A80E0C"/>
    <w:rsid w:val="00A80EE1"/>
    <w:rsid w:val="00A830EB"/>
    <w:rsid w:val="00A849A3"/>
    <w:rsid w:val="00A84F0D"/>
    <w:rsid w:val="00A87C59"/>
    <w:rsid w:val="00A95AF2"/>
    <w:rsid w:val="00A97F18"/>
    <w:rsid w:val="00AA0606"/>
    <w:rsid w:val="00AA07D3"/>
    <w:rsid w:val="00AA175D"/>
    <w:rsid w:val="00AA345D"/>
    <w:rsid w:val="00AA4699"/>
    <w:rsid w:val="00AA57A7"/>
    <w:rsid w:val="00AA5A13"/>
    <w:rsid w:val="00AA5FC8"/>
    <w:rsid w:val="00AA7DAF"/>
    <w:rsid w:val="00AB1872"/>
    <w:rsid w:val="00AB1EC8"/>
    <w:rsid w:val="00AB2D99"/>
    <w:rsid w:val="00AB304F"/>
    <w:rsid w:val="00AB5235"/>
    <w:rsid w:val="00AB5F4A"/>
    <w:rsid w:val="00AC3289"/>
    <w:rsid w:val="00AC64E2"/>
    <w:rsid w:val="00AD507C"/>
    <w:rsid w:val="00AE150F"/>
    <w:rsid w:val="00AE5AB9"/>
    <w:rsid w:val="00AF0F0E"/>
    <w:rsid w:val="00AF72A3"/>
    <w:rsid w:val="00B00594"/>
    <w:rsid w:val="00B02589"/>
    <w:rsid w:val="00B06874"/>
    <w:rsid w:val="00B06E12"/>
    <w:rsid w:val="00B11D80"/>
    <w:rsid w:val="00B131D1"/>
    <w:rsid w:val="00B13715"/>
    <w:rsid w:val="00B15B32"/>
    <w:rsid w:val="00B2042A"/>
    <w:rsid w:val="00B22BB4"/>
    <w:rsid w:val="00B23AE3"/>
    <w:rsid w:val="00B24189"/>
    <w:rsid w:val="00B252FC"/>
    <w:rsid w:val="00B25CE2"/>
    <w:rsid w:val="00B25EF3"/>
    <w:rsid w:val="00B305D3"/>
    <w:rsid w:val="00B30E53"/>
    <w:rsid w:val="00B31506"/>
    <w:rsid w:val="00B324E2"/>
    <w:rsid w:val="00B37E2A"/>
    <w:rsid w:val="00B4006F"/>
    <w:rsid w:val="00B43C06"/>
    <w:rsid w:val="00B43C12"/>
    <w:rsid w:val="00B44B44"/>
    <w:rsid w:val="00B45801"/>
    <w:rsid w:val="00B46EE5"/>
    <w:rsid w:val="00B472B5"/>
    <w:rsid w:val="00B52B3C"/>
    <w:rsid w:val="00B53E20"/>
    <w:rsid w:val="00B5404F"/>
    <w:rsid w:val="00B60216"/>
    <w:rsid w:val="00B61933"/>
    <w:rsid w:val="00B66D2F"/>
    <w:rsid w:val="00B71BE4"/>
    <w:rsid w:val="00B73248"/>
    <w:rsid w:val="00B77194"/>
    <w:rsid w:val="00B77E87"/>
    <w:rsid w:val="00B818ED"/>
    <w:rsid w:val="00B84182"/>
    <w:rsid w:val="00B92526"/>
    <w:rsid w:val="00B92F8B"/>
    <w:rsid w:val="00B96DBC"/>
    <w:rsid w:val="00BA1E15"/>
    <w:rsid w:val="00BA2161"/>
    <w:rsid w:val="00BA2D94"/>
    <w:rsid w:val="00BA5413"/>
    <w:rsid w:val="00BA702C"/>
    <w:rsid w:val="00BA7E4B"/>
    <w:rsid w:val="00BB1811"/>
    <w:rsid w:val="00BB36D3"/>
    <w:rsid w:val="00BB7019"/>
    <w:rsid w:val="00BC409E"/>
    <w:rsid w:val="00BC4FC1"/>
    <w:rsid w:val="00BC573C"/>
    <w:rsid w:val="00BD1EE2"/>
    <w:rsid w:val="00BD447E"/>
    <w:rsid w:val="00BE00B6"/>
    <w:rsid w:val="00BE173F"/>
    <w:rsid w:val="00BE3BA2"/>
    <w:rsid w:val="00BE3E0A"/>
    <w:rsid w:val="00BE491B"/>
    <w:rsid w:val="00BE5FCE"/>
    <w:rsid w:val="00BE7BBC"/>
    <w:rsid w:val="00BE7F96"/>
    <w:rsid w:val="00BF0D6B"/>
    <w:rsid w:val="00BF342F"/>
    <w:rsid w:val="00BF3752"/>
    <w:rsid w:val="00BF469C"/>
    <w:rsid w:val="00BF5D22"/>
    <w:rsid w:val="00C00214"/>
    <w:rsid w:val="00C019A2"/>
    <w:rsid w:val="00C0545F"/>
    <w:rsid w:val="00C05AD8"/>
    <w:rsid w:val="00C06204"/>
    <w:rsid w:val="00C13502"/>
    <w:rsid w:val="00C158D4"/>
    <w:rsid w:val="00C207C1"/>
    <w:rsid w:val="00C23A77"/>
    <w:rsid w:val="00C24D81"/>
    <w:rsid w:val="00C254F8"/>
    <w:rsid w:val="00C32203"/>
    <w:rsid w:val="00C3580D"/>
    <w:rsid w:val="00C361CE"/>
    <w:rsid w:val="00C368A0"/>
    <w:rsid w:val="00C41EE5"/>
    <w:rsid w:val="00C42E72"/>
    <w:rsid w:val="00C50CAE"/>
    <w:rsid w:val="00C52023"/>
    <w:rsid w:val="00C52D37"/>
    <w:rsid w:val="00C5301B"/>
    <w:rsid w:val="00C65031"/>
    <w:rsid w:val="00C66182"/>
    <w:rsid w:val="00C664E0"/>
    <w:rsid w:val="00C71BEB"/>
    <w:rsid w:val="00C72581"/>
    <w:rsid w:val="00C73F6D"/>
    <w:rsid w:val="00C76561"/>
    <w:rsid w:val="00C76959"/>
    <w:rsid w:val="00C771E8"/>
    <w:rsid w:val="00C77C18"/>
    <w:rsid w:val="00C83657"/>
    <w:rsid w:val="00C83A9D"/>
    <w:rsid w:val="00C855EA"/>
    <w:rsid w:val="00C870F4"/>
    <w:rsid w:val="00C90ED7"/>
    <w:rsid w:val="00C92D88"/>
    <w:rsid w:val="00C94343"/>
    <w:rsid w:val="00C9615F"/>
    <w:rsid w:val="00C961E7"/>
    <w:rsid w:val="00C96B97"/>
    <w:rsid w:val="00CA1A79"/>
    <w:rsid w:val="00CA6199"/>
    <w:rsid w:val="00CA62B1"/>
    <w:rsid w:val="00CA78C5"/>
    <w:rsid w:val="00CB2A90"/>
    <w:rsid w:val="00CB2C17"/>
    <w:rsid w:val="00CB3048"/>
    <w:rsid w:val="00CB3C1C"/>
    <w:rsid w:val="00CB748C"/>
    <w:rsid w:val="00CC1229"/>
    <w:rsid w:val="00CC1D4C"/>
    <w:rsid w:val="00CC5A58"/>
    <w:rsid w:val="00CC7DA1"/>
    <w:rsid w:val="00CD38A6"/>
    <w:rsid w:val="00CD3DD8"/>
    <w:rsid w:val="00CD5359"/>
    <w:rsid w:val="00CE04BA"/>
    <w:rsid w:val="00CE2B26"/>
    <w:rsid w:val="00CE458F"/>
    <w:rsid w:val="00CE68D9"/>
    <w:rsid w:val="00CE6FDB"/>
    <w:rsid w:val="00CF1FCD"/>
    <w:rsid w:val="00CF2602"/>
    <w:rsid w:val="00CF4B13"/>
    <w:rsid w:val="00CF51AF"/>
    <w:rsid w:val="00D04F37"/>
    <w:rsid w:val="00D11F86"/>
    <w:rsid w:val="00D146BA"/>
    <w:rsid w:val="00D1774F"/>
    <w:rsid w:val="00D20AAF"/>
    <w:rsid w:val="00D2171B"/>
    <w:rsid w:val="00D21750"/>
    <w:rsid w:val="00D22136"/>
    <w:rsid w:val="00D32434"/>
    <w:rsid w:val="00D36E07"/>
    <w:rsid w:val="00D373ED"/>
    <w:rsid w:val="00D43D1B"/>
    <w:rsid w:val="00D459E0"/>
    <w:rsid w:val="00D50168"/>
    <w:rsid w:val="00D50C22"/>
    <w:rsid w:val="00D534BC"/>
    <w:rsid w:val="00D55B72"/>
    <w:rsid w:val="00D5678F"/>
    <w:rsid w:val="00D6158E"/>
    <w:rsid w:val="00D63138"/>
    <w:rsid w:val="00D633EA"/>
    <w:rsid w:val="00D65685"/>
    <w:rsid w:val="00D672D6"/>
    <w:rsid w:val="00D67720"/>
    <w:rsid w:val="00D67C1E"/>
    <w:rsid w:val="00D7104F"/>
    <w:rsid w:val="00D73631"/>
    <w:rsid w:val="00D8323B"/>
    <w:rsid w:val="00D83E5F"/>
    <w:rsid w:val="00D877BF"/>
    <w:rsid w:val="00D95BA5"/>
    <w:rsid w:val="00D968BD"/>
    <w:rsid w:val="00D96EB1"/>
    <w:rsid w:val="00D973D5"/>
    <w:rsid w:val="00DA01F7"/>
    <w:rsid w:val="00DA24AE"/>
    <w:rsid w:val="00DA466B"/>
    <w:rsid w:val="00DA7781"/>
    <w:rsid w:val="00DB134A"/>
    <w:rsid w:val="00DB2CB6"/>
    <w:rsid w:val="00DB5BD8"/>
    <w:rsid w:val="00DC35E0"/>
    <w:rsid w:val="00DC3AF2"/>
    <w:rsid w:val="00DD0089"/>
    <w:rsid w:val="00DD152D"/>
    <w:rsid w:val="00DD230C"/>
    <w:rsid w:val="00DE004A"/>
    <w:rsid w:val="00DE0AF3"/>
    <w:rsid w:val="00DE4962"/>
    <w:rsid w:val="00DE5C33"/>
    <w:rsid w:val="00DF0578"/>
    <w:rsid w:val="00DF1B8D"/>
    <w:rsid w:val="00E01951"/>
    <w:rsid w:val="00E0428C"/>
    <w:rsid w:val="00E06481"/>
    <w:rsid w:val="00E103F9"/>
    <w:rsid w:val="00E12C20"/>
    <w:rsid w:val="00E14146"/>
    <w:rsid w:val="00E17594"/>
    <w:rsid w:val="00E17925"/>
    <w:rsid w:val="00E212C9"/>
    <w:rsid w:val="00E248AD"/>
    <w:rsid w:val="00E25F51"/>
    <w:rsid w:val="00E26819"/>
    <w:rsid w:val="00E26F08"/>
    <w:rsid w:val="00E27452"/>
    <w:rsid w:val="00E3444C"/>
    <w:rsid w:val="00E35015"/>
    <w:rsid w:val="00E374DC"/>
    <w:rsid w:val="00E423BF"/>
    <w:rsid w:val="00E43C3A"/>
    <w:rsid w:val="00E47897"/>
    <w:rsid w:val="00E50364"/>
    <w:rsid w:val="00E53405"/>
    <w:rsid w:val="00E53CAD"/>
    <w:rsid w:val="00E55C6E"/>
    <w:rsid w:val="00E63170"/>
    <w:rsid w:val="00E6485D"/>
    <w:rsid w:val="00E64B74"/>
    <w:rsid w:val="00E657D4"/>
    <w:rsid w:val="00E675B7"/>
    <w:rsid w:val="00E67EDB"/>
    <w:rsid w:val="00E730F4"/>
    <w:rsid w:val="00E764A7"/>
    <w:rsid w:val="00E7696D"/>
    <w:rsid w:val="00E76CA8"/>
    <w:rsid w:val="00E77C9A"/>
    <w:rsid w:val="00E81481"/>
    <w:rsid w:val="00E83283"/>
    <w:rsid w:val="00E86F66"/>
    <w:rsid w:val="00E87719"/>
    <w:rsid w:val="00E87B70"/>
    <w:rsid w:val="00E94B9D"/>
    <w:rsid w:val="00E95060"/>
    <w:rsid w:val="00E95928"/>
    <w:rsid w:val="00E95C43"/>
    <w:rsid w:val="00E975D4"/>
    <w:rsid w:val="00EA1213"/>
    <w:rsid w:val="00EB001C"/>
    <w:rsid w:val="00EB4A02"/>
    <w:rsid w:val="00EC010A"/>
    <w:rsid w:val="00EC0D92"/>
    <w:rsid w:val="00EC2262"/>
    <w:rsid w:val="00EC2A0F"/>
    <w:rsid w:val="00EC3CA8"/>
    <w:rsid w:val="00EC7DD0"/>
    <w:rsid w:val="00EE0224"/>
    <w:rsid w:val="00EE2159"/>
    <w:rsid w:val="00EE26BC"/>
    <w:rsid w:val="00EE28A3"/>
    <w:rsid w:val="00EE57FC"/>
    <w:rsid w:val="00EF03D3"/>
    <w:rsid w:val="00EF0470"/>
    <w:rsid w:val="00EF250B"/>
    <w:rsid w:val="00EF3398"/>
    <w:rsid w:val="00EF38B3"/>
    <w:rsid w:val="00EF50F9"/>
    <w:rsid w:val="00F00BB0"/>
    <w:rsid w:val="00F01289"/>
    <w:rsid w:val="00F11A33"/>
    <w:rsid w:val="00F23502"/>
    <w:rsid w:val="00F25EC8"/>
    <w:rsid w:val="00F31C14"/>
    <w:rsid w:val="00F32B48"/>
    <w:rsid w:val="00F3326A"/>
    <w:rsid w:val="00F42C6C"/>
    <w:rsid w:val="00F51432"/>
    <w:rsid w:val="00F517B8"/>
    <w:rsid w:val="00F526EE"/>
    <w:rsid w:val="00F54E0E"/>
    <w:rsid w:val="00F54E48"/>
    <w:rsid w:val="00F56FF0"/>
    <w:rsid w:val="00F575D3"/>
    <w:rsid w:val="00F578EB"/>
    <w:rsid w:val="00F64894"/>
    <w:rsid w:val="00F66564"/>
    <w:rsid w:val="00F7056D"/>
    <w:rsid w:val="00F7099B"/>
    <w:rsid w:val="00F70D14"/>
    <w:rsid w:val="00F71FCE"/>
    <w:rsid w:val="00F74963"/>
    <w:rsid w:val="00F75872"/>
    <w:rsid w:val="00F75B52"/>
    <w:rsid w:val="00F77EA8"/>
    <w:rsid w:val="00F81A79"/>
    <w:rsid w:val="00F81E84"/>
    <w:rsid w:val="00F82AA1"/>
    <w:rsid w:val="00F85654"/>
    <w:rsid w:val="00F86468"/>
    <w:rsid w:val="00F9023C"/>
    <w:rsid w:val="00F9029A"/>
    <w:rsid w:val="00F90693"/>
    <w:rsid w:val="00F92942"/>
    <w:rsid w:val="00F93566"/>
    <w:rsid w:val="00F94D85"/>
    <w:rsid w:val="00F97047"/>
    <w:rsid w:val="00FA1D7C"/>
    <w:rsid w:val="00FA1FAC"/>
    <w:rsid w:val="00FA4D4B"/>
    <w:rsid w:val="00FA4E2A"/>
    <w:rsid w:val="00FA5CC8"/>
    <w:rsid w:val="00FB0947"/>
    <w:rsid w:val="00FB18D7"/>
    <w:rsid w:val="00FB5499"/>
    <w:rsid w:val="00FB585C"/>
    <w:rsid w:val="00FC1D92"/>
    <w:rsid w:val="00FC2A29"/>
    <w:rsid w:val="00FC3688"/>
    <w:rsid w:val="00FC5C22"/>
    <w:rsid w:val="00FC702C"/>
    <w:rsid w:val="00FC7274"/>
    <w:rsid w:val="00FD2090"/>
    <w:rsid w:val="00FD3D95"/>
    <w:rsid w:val="00FD4251"/>
    <w:rsid w:val="00FD4504"/>
    <w:rsid w:val="00FD608A"/>
    <w:rsid w:val="00FE2DF6"/>
    <w:rsid w:val="00FE76E8"/>
    <w:rsid w:val="00FF1A6F"/>
    <w:rsid w:val="00FF2031"/>
    <w:rsid w:val="00FF28D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EFF2"/>
  <w15:chartTrackingRefBased/>
  <w15:docId w15:val="{194F1871-D3A7-42DC-AD69-5404148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C2"/>
    <w:pPr>
      <w:spacing w:after="0" w:line="240" w:lineRule="auto"/>
    </w:pPr>
    <w:rPr>
      <w:rFonts w:ascii="Times New Roman" w:eastAsia="Times New Roman" w:hAnsi="Times New Roman" w:cs="Times New Roman"/>
      <w:sz w:val="24"/>
      <w:szCs w:val="24"/>
      <w:lang w:val="en-ZA" w:eastAsia="en-GB"/>
    </w:rPr>
  </w:style>
  <w:style w:type="paragraph" w:styleId="Heading2">
    <w:name w:val="heading 2"/>
    <w:basedOn w:val="Normal"/>
    <w:link w:val="Heading2Char"/>
    <w:uiPriority w:val="9"/>
    <w:qFormat/>
    <w:rsid w:val="00C73F6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77"/>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B23AE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23AE3"/>
  </w:style>
  <w:style w:type="paragraph" w:styleId="Footer">
    <w:name w:val="footer"/>
    <w:basedOn w:val="Normal"/>
    <w:link w:val="FooterChar"/>
    <w:uiPriority w:val="99"/>
    <w:unhideWhenUsed/>
    <w:rsid w:val="00B23AE3"/>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23AE3"/>
  </w:style>
  <w:style w:type="paragraph" w:styleId="BalloonText">
    <w:name w:val="Balloon Text"/>
    <w:basedOn w:val="Normal"/>
    <w:link w:val="BalloonTextChar"/>
    <w:uiPriority w:val="99"/>
    <w:semiHidden/>
    <w:unhideWhenUsed/>
    <w:rsid w:val="00F51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B8"/>
    <w:rPr>
      <w:rFonts w:ascii="Segoe UI" w:hAnsi="Segoe UI" w:cs="Segoe UI"/>
      <w:sz w:val="18"/>
      <w:szCs w:val="18"/>
    </w:rPr>
  </w:style>
  <w:style w:type="paragraph" w:styleId="FootnoteText">
    <w:name w:val="footnote text"/>
    <w:aliases w:val="Char Char Char,Char Char, Char Char Char, Char Char,Footnote Text Char Char Char,Footnote Text Char2,Footnote Text Char1 Char Char,Footnote Text Char2 Char1 Char Char Char,Footnote Text Char1 Char1 Char1 Char Char Char,FA Fu,FOOTNOTES,fn,f"/>
    <w:basedOn w:val="Normal"/>
    <w:link w:val="FootnoteTextChar"/>
    <w:uiPriority w:val="99"/>
    <w:unhideWhenUsed/>
    <w:rsid w:val="000424CC"/>
    <w:rPr>
      <w:rFonts w:asciiTheme="minorHAnsi" w:eastAsiaTheme="minorHAnsi" w:hAnsiTheme="minorHAnsi" w:cstheme="minorBidi"/>
      <w:sz w:val="20"/>
      <w:szCs w:val="20"/>
      <w:lang w:val="en-US" w:eastAsia="en-US"/>
    </w:rPr>
  </w:style>
  <w:style w:type="character" w:customStyle="1" w:styleId="FootnoteTextChar">
    <w:name w:val="Footnote Text Char"/>
    <w:aliases w:val="Char Char Char Char,Char Char Char1, Char Char Char Char, Char Char Char1,Footnote Text Char Char Char Char,Footnote Text Char2 Char,Footnote Text Char1 Char Char Char,Footnote Text Char2 Char1 Char Char Char Char,FA Fu Char,fn Char"/>
    <w:basedOn w:val="DefaultParagraphFont"/>
    <w:link w:val="FootnoteText"/>
    <w:uiPriority w:val="99"/>
    <w:rsid w:val="000424CC"/>
    <w:rPr>
      <w:sz w:val="20"/>
      <w:szCs w:val="20"/>
    </w:rPr>
  </w:style>
  <w:style w:type="character" w:styleId="FootnoteReference">
    <w:name w:val="footnote reference"/>
    <w:aliases w:val="Appel note de bas de page,Ref,de nota al pie,註腳內容,Footnotes refss,(NECG) Footnote Reference"/>
    <w:basedOn w:val="DefaultParagraphFont"/>
    <w:unhideWhenUsed/>
    <w:rsid w:val="000424CC"/>
    <w:rPr>
      <w:vertAlign w:val="superscript"/>
    </w:rPr>
  </w:style>
  <w:style w:type="table" w:styleId="TableGrid">
    <w:name w:val="Table Grid"/>
    <w:basedOn w:val="TableNormal"/>
    <w:uiPriority w:val="39"/>
    <w:rsid w:val="0077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C8C"/>
    <w:rPr>
      <w:color w:val="0563C1" w:themeColor="hyperlink"/>
      <w:u w:val="single"/>
    </w:rPr>
  </w:style>
  <w:style w:type="paragraph" w:customStyle="1" w:styleId="LEGAL">
    <w:name w:val="LEGAL"/>
    <w:basedOn w:val="Normal"/>
    <w:qFormat/>
    <w:rsid w:val="00D2171B"/>
    <w:pPr>
      <w:tabs>
        <w:tab w:val="left" w:pos="1134"/>
        <w:tab w:val="left" w:pos="2268"/>
        <w:tab w:val="left" w:pos="3402"/>
        <w:tab w:val="left" w:pos="4536"/>
        <w:tab w:val="right" w:pos="7655"/>
      </w:tabs>
      <w:spacing w:line="480" w:lineRule="auto"/>
      <w:jc w:val="both"/>
    </w:pPr>
    <w:rPr>
      <w:rFonts w:ascii="Univers" w:hAnsi="Univers" w:cs="Arial"/>
      <w:snapToGrid w:val="0"/>
      <w:lang w:val="en-GB" w:eastAsia="en-US"/>
    </w:rPr>
  </w:style>
  <w:style w:type="paragraph" w:customStyle="1" w:styleId="M3">
    <w:name w:val="M3"/>
    <w:basedOn w:val="Normal"/>
    <w:link w:val="M3Char"/>
    <w:qFormat/>
    <w:rsid w:val="00D04F37"/>
    <w:pPr>
      <w:widowControl w:val="0"/>
      <w:spacing w:before="240" w:after="120" w:line="480" w:lineRule="auto"/>
      <w:jc w:val="both"/>
    </w:pPr>
    <w:rPr>
      <w:rFonts w:ascii="Arial" w:hAnsi="Arial"/>
      <w:szCs w:val="20"/>
      <w:lang w:val="en-GB" w:eastAsia="en-US"/>
    </w:rPr>
  </w:style>
  <w:style w:type="character" w:customStyle="1" w:styleId="M3Char">
    <w:name w:val="M3 Char"/>
    <w:link w:val="M3"/>
    <w:rsid w:val="00D04F37"/>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4D1D21"/>
    <w:rPr>
      <w:sz w:val="16"/>
      <w:szCs w:val="16"/>
    </w:rPr>
  </w:style>
  <w:style w:type="paragraph" w:styleId="CommentText">
    <w:name w:val="annotation text"/>
    <w:basedOn w:val="Normal"/>
    <w:link w:val="CommentTextChar"/>
    <w:uiPriority w:val="99"/>
    <w:semiHidden/>
    <w:unhideWhenUsed/>
    <w:rsid w:val="004D1D21"/>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4D1D21"/>
    <w:rPr>
      <w:sz w:val="20"/>
      <w:szCs w:val="20"/>
    </w:rPr>
  </w:style>
  <w:style w:type="paragraph" w:styleId="CommentSubject">
    <w:name w:val="annotation subject"/>
    <w:basedOn w:val="CommentText"/>
    <w:next w:val="CommentText"/>
    <w:link w:val="CommentSubjectChar"/>
    <w:uiPriority w:val="99"/>
    <w:semiHidden/>
    <w:unhideWhenUsed/>
    <w:rsid w:val="004D1D21"/>
    <w:rPr>
      <w:b/>
      <w:bCs/>
    </w:rPr>
  </w:style>
  <w:style w:type="character" w:customStyle="1" w:styleId="CommentSubjectChar">
    <w:name w:val="Comment Subject Char"/>
    <w:basedOn w:val="CommentTextChar"/>
    <w:link w:val="CommentSubject"/>
    <w:uiPriority w:val="99"/>
    <w:semiHidden/>
    <w:rsid w:val="004D1D21"/>
    <w:rPr>
      <w:b/>
      <w:bCs/>
      <w:sz w:val="20"/>
      <w:szCs w:val="20"/>
    </w:rPr>
  </w:style>
  <w:style w:type="paragraph" w:styleId="Revision">
    <w:name w:val="Revision"/>
    <w:hidden/>
    <w:uiPriority w:val="99"/>
    <w:semiHidden/>
    <w:rsid w:val="001E6FA4"/>
    <w:pPr>
      <w:spacing w:after="0" w:line="240" w:lineRule="auto"/>
    </w:pPr>
  </w:style>
  <w:style w:type="character" w:styleId="Emphasis">
    <w:name w:val="Emphasis"/>
    <w:basedOn w:val="DefaultParagraphFont"/>
    <w:uiPriority w:val="20"/>
    <w:qFormat/>
    <w:rsid w:val="00BF469C"/>
    <w:rPr>
      <w:i/>
      <w:iCs/>
    </w:rPr>
  </w:style>
  <w:style w:type="paragraph" w:styleId="EndnoteText">
    <w:name w:val="endnote text"/>
    <w:basedOn w:val="Normal"/>
    <w:link w:val="EndnoteTextChar"/>
    <w:uiPriority w:val="99"/>
    <w:unhideWhenUsed/>
    <w:rsid w:val="00F94D85"/>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F94D85"/>
    <w:rPr>
      <w:sz w:val="20"/>
      <w:szCs w:val="20"/>
    </w:rPr>
  </w:style>
  <w:style w:type="character" w:styleId="EndnoteReference">
    <w:name w:val="endnote reference"/>
    <w:basedOn w:val="DefaultParagraphFont"/>
    <w:uiPriority w:val="99"/>
    <w:semiHidden/>
    <w:unhideWhenUsed/>
    <w:rsid w:val="00F94D85"/>
    <w:rPr>
      <w:vertAlign w:val="superscript"/>
    </w:rPr>
  </w:style>
  <w:style w:type="paragraph" w:styleId="NormalWeb">
    <w:name w:val="Normal (Web)"/>
    <w:basedOn w:val="Normal"/>
    <w:uiPriority w:val="99"/>
    <w:unhideWhenUsed/>
    <w:rsid w:val="00CF4B13"/>
    <w:pPr>
      <w:spacing w:before="100" w:beforeAutospacing="1" w:after="100" w:afterAutospacing="1"/>
    </w:pPr>
  </w:style>
  <w:style w:type="character" w:customStyle="1" w:styleId="Heading2Char">
    <w:name w:val="Heading 2 Char"/>
    <w:basedOn w:val="DefaultParagraphFont"/>
    <w:link w:val="Heading2"/>
    <w:uiPriority w:val="9"/>
    <w:rsid w:val="00C73F6D"/>
    <w:rPr>
      <w:rFonts w:ascii="Times New Roman" w:eastAsia="Times New Roman" w:hAnsi="Times New Roman" w:cs="Times New Roman"/>
      <w:b/>
      <w:bCs/>
      <w:sz w:val="36"/>
      <w:szCs w:val="36"/>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213">
      <w:bodyDiv w:val="1"/>
      <w:marLeft w:val="0"/>
      <w:marRight w:val="0"/>
      <w:marTop w:val="0"/>
      <w:marBottom w:val="0"/>
      <w:divBdr>
        <w:top w:val="none" w:sz="0" w:space="0" w:color="auto"/>
        <w:left w:val="none" w:sz="0" w:space="0" w:color="auto"/>
        <w:bottom w:val="none" w:sz="0" w:space="0" w:color="auto"/>
        <w:right w:val="none" w:sz="0" w:space="0" w:color="auto"/>
      </w:divBdr>
      <w:divsChild>
        <w:div w:id="1783843562">
          <w:marLeft w:val="0"/>
          <w:marRight w:val="0"/>
          <w:marTop w:val="0"/>
          <w:marBottom w:val="0"/>
          <w:divBdr>
            <w:top w:val="none" w:sz="0" w:space="0" w:color="auto"/>
            <w:left w:val="none" w:sz="0" w:space="0" w:color="auto"/>
            <w:bottom w:val="none" w:sz="0" w:space="0" w:color="auto"/>
            <w:right w:val="none" w:sz="0" w:space="0" w:color="auto"/>
          </w:divBdr>
          <w:divsChild>
            <w:div w:id="72315007">
              <w:marLeft w:val="0"/>
              <w:marRight w:val="0"/>
              <w:marTop w:val="0"/>
              <w:marBottom w:val="0"/>
              <w:divBdr>
                <w:top w:val="none" w:sz="0" w:space="0" w:color="auto"/>
                <w:left w:val="none" w:sz="0" w:space="0" w:color="auto"/>
                <w:bottom w:val="none" w:sz="0" w:space="0" w:color="auto"/>
                <w:right w:val="none" w:sz="0" w:space="0" w:color="auto"/>
              </w:divBdr>
              <w:divsChild>
                <w:div w:id="9834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7124">
      <w:bodyDiv w:val="1"/>
      <w:marLeft w:val="0"/>
      <w:marRight w:val="0"/>
      <w:marTop w:val="0"/>
      <w:marBottom w:val="0"/>
      <w:divBdr>
        <w:top w:val="none" w:sz="0" w:space="0" w:color="auto"/>
        <w:left w:val="none" w:sz="0" w:space="0" w:color="auto"/>
        <w:bottom w:val="none" w:sz="0" w:space="0" w:color="auto"/>
        <w:right w:val="none" w:sz="0" w:space="0" w:color="auto"/>
      </w:divBdr>
      <w:divsChild>
        <w:div w:id="1870021099">
          <w:marLeft w:val="0"/>
          <w:marRight w:val="0"/>
          <w:marTop w:val="0"/>
          <w:marBottom w:val="0"/>
          <w:divBdr>
            <w:top w:val="none" w:sz="0" w:space="0" w:color="auto"/>
            <w:left w:val="none" w:sz="0" w:space="0" w:color="auto"/>
            <w:bottom w:val="none" w:sz="0" w:space="0" w:color="auto"/>
            <w:right w:val="none" w:sz="0" w:space="0" w:color="auto"/>
          </w:divBdr>
          <w:divsChild>
            <w:div w:id="1468359223">
              <w:marLeft w:val="0"/>
              <w:marRight w:val="0"/>
              <w:marTop w:val="0"/>
              <w:marBottom w:val="0"/>
              <w:divBdr>
                <w:top w:val="none" w:sz="0" w:space="0" w:color="auto"/>
                <w:left w:val="none" w:sz="0" w:space="0" w:color="auto"/>
                <w:bottom w:val="none" w:sz="0" w:space="0" w:color="auto"/>
                <w:right w:val="none" w:sz="0" w:space="0" w:color="auto"/>
              </w:divBdr>
              <w:divsChild>
                <w:div w:id="4089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978">
      <w:bodyDiv w:val="1"/>
      <w:marLeft w:val="0"/>
      <w:marRight w:val="0"/>
      <w:marTop w:val="0"/>
      <w:marBottom w:val="0"/>
      <w:divBdr>
        <w:top w:val="none" w:sz="0" w:space="0" w:color="auto"/>
        <w:left w:val="none" w:sz="0" w:space="0" w:color="auto"/>
        <w:bottom w:val="none" w:sz="0" w:space="0" w:color="auto"/>
        <w:right w:val="none" w:sz="0" w:space="0" w:color="auto"/>
      </w:divBdr>
    </w:div>
    <w:div w:id="253976527">
      <w:bodyDiv w:val="1"/>
      <w:marLeft w:val="0"/>
      <w:marRight w:val="0"/>
      <w:marTop w:val="0"/>
      <w:marBottom w:val="0"/>
      <w:divBdr>
        <w:top w:val="none" w:sz="0" w:space="0" w:color="auto"/>
        <w:left w:val="none" w:sz="0" w:space="0" w:color="auto"/>
        <w:bottom w:val="none" w:sz="0" w:space="0" w:color="auto"/>
        <w:right w:val="none" w:sz="0" w:space="0" w:color="auto"/>
      </w:divBdr>
      <w:divsChild>
        <w:div w:id="1742561180">
          <w:marLeft w:val="0"/>
          <w:marRight w:val="0"/>
          <w:marTop w:val="0"/>
          <w:marBottom w:val="0"/>
          <w:divBdr>
            <w:top w:val="none" w:sz="0" w:space="0" w:color="auto"/>
            <w:left w:val="none" w:sz="0" w:space="0" w:color="auto"/>
            <w:bottom w:val="none" w:sz="0" w:space="0" w:color="auto"/>
            <w:right w:val="none" w:sz="0" w:space="0" w:color="auto"/>
          </w:divBdr>
          <w:divsChild>
            <w:div w:id="1046104999">
              <w:marLeft w:val="0"/>
              <w:marRight w:val="0"/>
              <w:marTop w:val="0"/>
              <w:marBottom w:val="0"/>
              <w:divBdr>
                <w:top w:val="none" w:sz="0" w:space="0" w:color="auto"/>
                <w:left w:val="none" w:sz="0" w:space="0" w:color="auto"/>
                <w:bottom w:val="none" w:sz="0" w:space="0" w:color="auto"/>
                <w:right w:val="none" w:sz="0" w:space="0" w:color="auto"/>
              </w:divBdr>
              <w:divsChild>
                <w:div w:id="1722434233">
                  <w:marLeft w:val="0"/>
                  <w:marRight w:val="0"/>
                  <w:marTop w:val="0"/>
                  <w:marBottom w:val="0"/>
                  <w:divBdr>
                    <w:top w:val="none" w:sz="0" w:space="0" w:color="auto"/>
                    <w:left w:val="none" w:sz="0" w:space="0" w:color="auto"/>
                    <w:bottom w:val="none" w:sz="0" w:space="0" w:color="auto"/>
                    <w:right w:val="none" w:sz="0" w:space="0" w:color="auto"/>
                  </w:divBdr>
                </w:div>
              </w:divsChild>
            </w:div>
            <w:div w:id="670259235">
              <w:marLeft w:val="0"/>
              <w:marRight w:val="0"/>
              <w:marTop w:val="0"/>
              <w:marBottom w:val="0"/>
              <w:divBdr>
                <w:top w:val="none" w:sz="0" w:space="0" w:color="auto"/>
                <w:left w:val="none" w:sz="0" w:space="0" w:color="auto"/>
                <w:bottom w:val="none" w:sz="0" w:space="0" w:color="auto"/>
                <w:right w:val="none" w:sz="0" w:space="0" w:color="auto"/>
              </w:divBdr>
              <w:divsChild>
                <w:div w:id="14137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2609">
      <w:bodyDiv w:val="1"/>
      <w:marLeft w:val="0"/>
      <w:marRight w:val="0"/>
      <w:marTop w:val="0"/>
      <w:marBottom w:val="0"/>
      <w:divBdr>
        <w:top w:val="none" w:sz="0" w:space="0" w:color="auto"/>
        <w:left w:val="none" w:sz="0" w:space="0" w:color="auto"/>
        <w:bottom w:val="none" w:sz="0" w:space="0" w:color="auto"/>
        <w:right w:val="none" w:sz="0" w:space="0" w:color="auto"/>
      </w:divBdr>
    </w:div>
    <w:div w:id="310257965">
      <w:bodyDiv w:val="1"/>
      <w:marLeft w:val="0"/>
      <w:marRight w:val="0"/>
      <w:marTop w:val="0"/>
      <w:marBottom w:val="0"/>
      <w:divBdr>
        <w:top w:val="none" w:sz="0" w:space="0" w:color="auto"/>
        <w:left w:val="none" w:sz="0" w:space="0" w:color="auto"/>
        <w:bottom w:val="none" w:sz="0" w:space="0" w:color="auto"/>
        <w:right w:val="none" w:sz="0" w:space="0" w:color="auto"/>
      </w:divBdr>
      <w:divsChild>
        <w:div w:id="1082987742">
          <w:marLeft w:val="0"/>
          <w:marRight w:val="0"/>
          <w:marTop w:val="0"/>
          <w:marBottom w:val="0"/>
          <w:divBdr>
            <w:top w:val="none" w:sz="0" w:space="0" w:color="auto"/>
            <w:left w:val="none" w:sz="0" w:space="0" w:color="auto"/>
            <w:bottom w:val="none" w:sz="0" w:space="0" w:color="auto"/>
            <w:right w:val="none" w:sz="0" w:space="0" w:color="auto"/>
          </w:divBdr>
          <w:divsChild>
            <w:div w:id="1113405249">
              <w:marLeft w:val="0"/>
              <w:marRight w:val="0"/>
              <w:marTop w:val="0"/>
              <w:marBottom w:val="0"/>
              <w:divBdr>
                <w:top w:val="none" w:sz="0" w:space="0" w:color="auto"/>
                <w:left w:val="none" w:sz="0" w:space="0" w:color="auto"/>
                <w:bottom w:val="none" w:sz="0" w:space="0" w:color="auto"/>
                <w:right w:val="none" w:sz="0" w:space="0" w:color="auto"/>
              </w:divBdr>
              <w:divsChild>
                <w:div w:id="9819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31901">
      <w:bodyDiv w:val="1"/>
      <w:marLeft w:val="0"/>
      <w:marRight w:val="0"/>
      <w:marTop w:val="0"/>
      <w:marBottom w:val="0"/>
      <w:divBdr>
        <w:top w:val="none" w:sz="0" w:space="0" w:color="auto"/>
        <w:left w:val="none" w:sz="0" w:space="0" w:color="auto"/>
        <w:bottom w:val="none" w:sz="0" w:space="0" w:color="auto"/>
        <w:right w:val="none" w:sz="0" w:space="0" w:color="auto"/>
      </w:divBdr>
      <w:divsChild>
        <w:div w:id="2102871272">
          <w:marLeft w:val="0"/>
          <w:marRight w:val="0"/>
          <w:marTop w:val="0"/>
          <w:marBottom w:val="0"/>
          <w:divBdr>
            <w:top w:val="none" w:sz="0" w:space="0" w:color="auto"/>
            <w:left w:val="none" w:sz="0" w:space="0" w:color="auto"/>
            <w:bottom w:val="none" w:sz="0" w:space="0" w:color="auto"/>
            <w:right w:val="none" w:sz="0" w:space="0" w:color="auto"/>
          </w:divBdr>
          <w:divsChild>
            <w:div w:id="1554997531">
              <w:marLeft w:val="0"/>
              <w:marRight w:val="0"/>
              <w:marTop w:val="0"/>
              <w:marBottom w:val="0"/>
              <w:divBdr>
                <w:top w:val="none" w:sz="0" w:space="0" w:color="auto"/>
                <w:left w:val="none" w:sz="0" w:space="0" w:color="auto"/>
                <w:bottom w:val="none" w:sz="0" w:space="0" w:color="auto"/>
                <w:right w:val="none" w:sz="0" w:space="0" w:color="auto"/>
              </w:divBdr>
              <w:divsChild>
                <w:div w:id="20560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2161">
      <w:bodyDiv w:val="1"/>
      <w:marLeft w:val="0"/>
      <w:marRight w:val="0"/>
      <w:marTop w:val="0"/>
      <w:marBottom w:val="0"/>
      <w:divBdr>
        <w:top w:val="none" w:sz="0" w:space="0" w:color="auto"/>
        <w:left w:val="none" w:sz="0" w:space="0" w:color="auto"/>
        <w:bottom w:val="none" w:sz="0" w:space="0" w:color="auto"/>
        <w:right w:val="none" w:sz="0" w:space="0" w:color="auto"/>
      </w:divBdr>
      <w:divsChild>
        <w:div w:id="1122646588">
          <w:marLeft w:val="0"/>
          <w:marRight w:val="0"/>
          <w:marTop w:val="0"/>
          <w:marBottom w:val="0"/>
          <w:divBdr>
            <w:top w:val="none" w:sz="0" w:space="0" w:color="auto"/>
            <w:left w:val="none" w:sz="0" w:space="0" w:color="auto"/>
            <w:bottom w:val="none" w:sz="0" w:space="0" w:color="auto"/>
            <w:right w:val="none" w:sz="0" w:space="0" w:color="auto"/>
          </w:divBdr>
          <w:divsChild>
            <w:div w:id="1221865180">
              <w:marLeft w:val="0"/>
              <w:marRight w:val="0"/>
              <w:marTop w:val="0"/>
              <w:marBottom w:val="0"/>
              <w:divBdr>
                <w:top w:val="none" w:sz="0" w:space="0" w:color="auto"/>
                <w:left w:val="none" w:sz="0" w:space="0" w:color="auto"/>
                <w:bottom w:val="none" w:sz="0" w:space="0" w:color="auto"/>
                <w:right w:val="none" w:sz="0" w:space="0" w:color="auto"/>
              </w:divBdr>
              <w:divsChild>
                <w:div w:id="6143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0433">
      <w:bodyDiv w:val="1"/>
      <w:marLeft w:val="0"/>
      <w:marRight w:val="0"/>
      <w:marTop w:val="0"/>
      <w:marBottom w:val="0"/>
      <w:divBdr>
        <w:top w:val="none" w:sz="0" w:space="0" w:color="auto"/>
        <w:left w:val="none" w:sz="0" w:space="0" w:color="auto"/>
        <w:bottom w:val="none" w:sz="0" w:space="0" w:color="auto"/>
        <w:right w:val="none" w:sz="0" w:space="0" w:color="auto"/>
      </w:divBdr>
      <w:divsChild>
        <w:div w:id="1344285660">
          <w:marLeft w:val="0"/>
          <w:marRight w:val="0"/>
          <w:marTop w:val="0"/>
          <w:marBottom w:val="0"/>
          <w:divBdr>
            <w:top w:val="none" w:sz="0" w:space="0" w:color="auto"/>
            <w:left w:val="none" w:sz="0" w:space="0" w:color="auto"/>
            <w:bottom w:val="none" w:sz="0" w:space="0" w:color="auto"/>
            <w:right w:val="none" w:sz="0" w:space="0" w:color="auto"/>
          </w:divBdr>
          <w:divsChild>
            <w:div w:id="801772317">
              <w:marLeft w:val="0"/>
              <w:marRight w:val="0"/>
              <w:marTop w:val="0"/>
              <w:marBottom w:val="0"/>
              <w:divBdr>
                <w:top w:val="none" w:sz="0" w:space="0" w:color="auto"/>
                <w:left w:val="none" w:sz="0" w:space="0" w:color="auto"/>
                <w:bottom w:val="none" w:sz="0" w:space="0" w:color="auto"/>
                <w:right w:val="none" w:sz="0" w:space="0" w:color="auto"/>
              </w:divBdr>
              <w:divsChild>
                <w:div w:id="1991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5274">
      <w:bodyDiv w:val="1"/>
      <w:marLeft w:val="0"/>
      <w:marRight w:val="0"/>
      <w:marTop w:val="0"/>
      <w:marBottom w:val="0"/>
      <w:divBdr>
        <w:top w:val="none" w:sz="0" w:space="0" w:color="auto"/>
        <w:left w:val="none" w:sz="0" w:space="0" w:color="auto"/>
        <w:bottom w:val="none" w:sz="0" w:space="0" w:color="auto"/>
        <w:right w:val="none" w:sz="0" w:space="0" w:color="auto"/>
      </w:divBdr>
    </w:div>
    <w:div w:id="961032548">
      <w:bodyDiv w:val="1"/>
      <w:marLeft w:val="0"/>
      <w:marRight w:val="0"/>
      <w:marTop w:val="0"/>
      <w:marBottom w:val="0"/>
      <w:divBdr>
        <w:top w:val="none" w:sz="0" w:space="0" w:color="auto"/>
        <w:left w:val="none" w:sz="0" w:space="0" w:color="auto"/>
        <w:bottom w:val="none" w:sz="0" w:space="0" w:color="auto"/>
        <w:right w:val="none" w:sz="0" w:space="0" w:color="auto"/>
      </w:divBdr>
      <w:divsChild>
        <w:div w:id="1863740261">
          <w:marLeft w:val="0"/>
          <w:marRight w:val="0"/>
          <w:marTop w:val="0"/>
          <w:marBottom w:val="0"/>
          <w:divBdr>
            <w:top w:val="none" w:sz="0" w:space="0" w:color="auto"/>
            <w:left w:val="none" w:sz="0" w:space="0" w:color="auto"/>
            <w:bottom w:val="none" w:sz="0" w:space="0" w:color="auto"/>
            <w:right w:val="none" w:sz="0" w:space="0" w:color="auto"/>
          </w:divBdr>
          <w:divsChild>
            <w:div w:id="1041438895">
              <w:marLeft w:val="0"/>
              <w:marRight w:val="0"/>
              <w:marTop w:val="0"/>
              <w:marBottom w:val="0"/>
              <w:divBdr>
                <w:top w:val="none" w:sz="0" w:space="0" w:color="auto"/>
                <w:left w:val="none" w:sz="0" w:space="0" w:color="auto"/>
                <w:bottom w:val="none" w:sz="0" w:space="0" w:color="auto"/>
                <w:right w:val="none" w:sz="0" w:space="0" w:color="auto"/>
              </w:divBdr>
              <w:divsChild>
                <w:div w:id="13703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722625">
      <w:bodyDiv w:val="1"/>
      <w:marLeft w:val="0"/>
      <w:marRight w:val="0"/>
      <w:marTop w:val="0"/>
      <w:marBottom w:val="0"/>
      <w:divBdr>
        <w:top w:val="none" w:sz="0" w:space="0" w:color="auto"/>
        <w:left w:val="none" w:sz="0" w:space="0" w:color="auto"/>
        <w:bottom w:val="none" w:sz="0" w:space="0" w:color="auto"/>
        <w:right w:val="none" w:sz="0" w:space="0" w:color="auto"/>
      </w:divBdr>
      <w:divsChild>
        <w:div w:id="1736662578">
          <w:marLeft w:val="0"/>
          <w:marRight w:val="0"/>
          <w:marTop w:val="0"/>
          <w:marBottom w:val="0"/>
          <w:divBdr>
            <w:top w:val="none" w:sz="0" w:space="0" w:color="auto"/>
            <w:left w:val="none" w:sz="0" w:space="0" w:color="auto"/>
            <w:bottom w:val="none" w:sz="0" w:space="0" w:color="auto"/>
            <w:right w:val="none" w:sz="0" w:space="0" w:color="auto"/>
          </w:divBdr>
          <w:divsChild>
            <w:div w:id="1550725072">
              <w:marLeft w:val="0"/>
              <w:marRight w:val="0"/>
              <w:marTop w:val="0"/>
              <w:marBottom w:val="0"/>
              <w:divBdr>
                <w:top w:val="none" w:sz="0" w:space="0" w:color="auto"/>
                <w:left w:val="none" w:sz="0" w:space="0" w:color="auto"/>
                <w:bottom w:val="none" w:sz="0" w:space="0" w:color="auto"/>
                <w:right w:val="none" w:sz="0" w:space="0" w:color="auto"/>
              </w:divBdr>
              <w:divsChild>
                <w:div w:id="8412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5674">
      <w:bodyDiv w:val="1"/>
      <w:marLeft w:val="0"/>
      <w:marRight w:val="0"/>
      <w:marTop w:val="0"/>
      <w:marBottom w:val="0"/>
      <w:divBdr>
        <w:top w:val="none" w:sz="0" w:space="0" w:color="auto"/>
        <w:left w:val="none" w:sz="0" w:space="0" w:color="auto"/>
        <w:bottom w:val="none" w:sz="0" w:space="0" w:color="auto"/>
        <w:right w:val="none" w:sz="0" w:space="0" w:color="auto"/>
      </w:divBdr>
    </w:div>
    <w:div w:id="1190803112">
      <w:bodyDiv w:val="1"/>
      <w:marLeft w:val="0"/>
      <w:marRight w:val="0"/>
      <w:marTop w:val="0"/>
      <w:marBottom w:val="0"/>
      <w:divBdr>
        <w:top w:val="none" w:sz="0" w:space="0" w:color="auto"/>
        <w:left w:val="none" w:sz="0" w:space="0" w:color="auto"/>
        <w:bottom w:val="none" w:sz="0" w:space="0" w:color="auto"/>
        <w:right w:val="none" w:sz="0" w:space="0" w:color="auto"/>
      </w:divBdr>
    </w:div>
    <w:div w:id="1226528149">
      <w:bodyDiv w:val="1"/>
      <w:marLeft w:val="0"/>
      <w:marRight w:val="0"/>
      <w:marTop w:val="0"/>
      <w:marBottom w:val="0"/>
      <w:divBdr>
        <w:top w:val="none" w:sz="0" w:space="0" w:color="auto"/>
        <w:left w:val="none" w:sz="0" w:space="0" w:color="auto"/>
        <w:bottom w:val="none" w:sz="0" w:space="0" w:color="auto"/>
        <w:right w:val="none" w:sz="0" w:space="0" w:color="auto"/>
      </w:divBdr>
      <w:divsChild>
        <w:div w:id="1114859552">
          <w:marLeft w:val="0"/>
          <w:marRight w:val="0"/>
          <w:marTop w:val="0"/>
          <w:marBottom w:val="0"/>
          <w:divBdr>
            <w:top w:val="none" w:sz="0" w:space="0" w:color="auto"/>
            <w:left w:val="none" w:sz="0" w:space="0" w:color="auto"/>
            <w:bottom w:val="none" w:sz="0" w:space="0" w:color="auto"/>
            <w:right w:val="none" w:sz="0" w:space="0" w:color="auto"/>
          </w:divBdr>
          <w:divsChild>
            <w:div w:id="1455708902">
              <w:marLeft w:val="0"/>
              <w:marRight w:val="0"/>
              <w:marTop w:val="0"/>
              <w:marBottom w:val="0"/>
              <w:divBdr>
                <w:top w:val="none" w:sz="0" w:space="0" w:color="auto"/>
                <w:left w:val="none" w:sz="0" w:space="0" w:color="auto"/>
                <w:bottom w:val="none" w:sz="0" w:space="0" w:color="auto"/>
                <w:right w:val="none" w:sz="0" w:space="0" w:color="auto"/>
              </w:divBdr>
              <w:divsChild>
                <w:div w:id="616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1328">
      <w:bodyDiv w:val="1"/>
      <w:marLeft w:val="0"/>
      <w:marRight w:val="0"/>
      <w:marTop w:val="0"/>
      <w:marBottom w:val="0"/>
      <w:divBdr>
        <w:top w:val="none" w:sz="0" w:space="0" w:color="auto"/>
        <w:left w:val="none" w:sz="0" w:space="0" w:color="auto"/>
        <w:bottom w:val="none" w:sz="0" w:space="0" w:color="auto"/>
        <w:right w:val="none" w:sz="0" w:space="0" w:color="auto"/>
      </w:divBdr>
      <w:divsChild>
        <w:div w:id="300310493">
          <w:marLeft w:val="0"/>
          <w:marRight w:val="0"/>
          <w:marTop w:val="0"/>
          <w:marBottom w:val="0"/>
          <w:divBdr>
            <w:top w:val="none" w:sz="0" w:space="0" w:color="auto"/>
            <w:left w:val="none" w:sz="0" w:space="0" w:color="auto"/>
            <w:bottom w:val="none" w:sz="0" w:space="0" w:color="auto"/>
            <w:right w:val="none" w:sz="0" w:space="0" w:color="auto"/>
          </w:divBdr>
          <w:divsChild>
            <w:div w:id="1225263932">
              <w:marLeft w:val="0"/>
              <w:marRight w:val="0"/>
              <w:marTop w:val="0"/>
              <w:marBottom w:val="0"/>
              <w:divBdr>
                <w:top w:val="none" w:sz="0" w:space="0" w:color="auto"/>
                <w:left w:val="none" w:sz="0" w:space="0" w:color="auto"/>
                <w:bottom w:val="none" w:sz="0" w:space="0" w:color="auto"/>
                <w:right w:val="none" w:sz="0" w:space="0" w:color="auto"/>
              </w:divBdr>
              <w:divsChild>
                <w:div w:id="5823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6764">
      <w:bodyDiv w:val="1"/>
      <w:marLeft w:val="0"/>
      <w:marRight w:val="0"/>
      <w:marTop w:val="0"/>
      <w:marBottom w:val="0"/>
      <w:divBdr>
        <w:top w:val="none" w:sz="0" w:space="0" w:color="auto"/>
        <w:left w:val="none" w:sz="0" w:space="0" w:color="auto"/>
        <w:bottom w:val="none" w:sz="0" w:space="0" w:color="auto"/>
        <w:right w:val="none" w:sz="0" w:space="0" w:color="auto"/>
      </w:divBdr>
    </w:div>
    <w:div w:id="1362121960">
      <w:bodyDiv w:val="1"/>
      <w:marLeft w:val="0"/>
      <w:marRight w:val="0"/>
      <w:marTop w:val="0"/>
      <w:marBottom w:val="0"/>
      <w:divBdr>
        <w:top w:val="none" w:sz="0" w:space="0" w:color="auto"/>
        <w:left w:val="none" w:sz="0" w:space="0" w:color="auto"/>
        <w:bottom w:val="none" w:sz="0" w:space="0" w:color="auto"/>
        <w:right w:val="none" w:sz="0" w:space="0" w:color="auto"/>
      </w:divBdr>
      <w:divsChild>
        <w:div w:id="1427992656">
          <w:marLeft w:val="0"/>
          <w:marRight w:val="0"/>
          <w:marTop w:val="0"/>
          <w:marBottom w:val="0"/>
          <w:divBdr>
            <w:top w:val="none" w:sz="0" w:space="0" w:color="auto"/>
            <w:left w:val="none" w:sz="0" w:space="0" w:color="auto"/>
            <w:bottom w:val="none" w:sz="0" w:space="0" w:color="auto"/>
            <w:right w:val="none" w:sz="0" w:space="0" w:color="auto"/>
          </w:divBdr>
        </w:div>
      </w:divsChild>
    </w:div>
    <w:div w:id="1592204109">
      <w:bodyDiv w:val="1"/>
      <w:marLeft w:val="0"/>
      <w:marRight w:val="0"/>
      <w:marTop w:val="0"/>
      <w:marBottom w:val="0"/>
      <w:divBdr>
        <w:top w:val="none" w:sz="0" w:space="0" w:color="auto"/>
        <w:left w:val="none" w:sz="0" w:space="0" w:color="auto"/>
        <w:bottom w:val="none" w:sz="0" w:space="0" w:color="auto"/>
        <w:right w:val="none" w:sz="0" w:space="0" w:color="auto"/>
      </w:divBdr>
      <w:divsChild>
        <w:div w:id="1340695885">
          <w:marLeft w:val="0"/>
          <w:marRight w:val="0"/>
          <w:marTop w:val="0"/>
          <w:marBottom w:val="0"/>
          <w:divBdr>
            <w:top w:val="none" w:sz="0" w:space="0" w:color="auto"/>
            <w:left w:val="none" w:sz="0" w:space="0" w:color="auto"/>
            <w:bottom w:val="none" w:sz="0" w:space="0" w:color="auto"/>
            <w:right w:val="none" w:sz="0" w:space="0" w:color="auto"/>
          </w:divBdr>
          <w:divsChild>
            <w:div w:id="1166746091">
              <w:marLeft w:val="0"/>
              <w:marRight w:val="0"/>
              <w:marTop w:val="0"/>
              <w:marBottom w:val="0"/>
              <w:divBdr>
                <w:top w:val="none" w:sz="0" w:space="0" w:color="auto"/>
                <w:left w:val="none" w:sz="0" w:space="0" w:color="auto"/>
                <w:bottom w:val="none" w:sz="0" w:space="0" w:color="auto"/>
                <w:right w:val="none" w:sz="0" w:space="0" w:color="auto"/>
              </w:divBdr>
              <w:divsChild>
                <w:div w:id="9528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38748">
      <w:bodyDiv w:val="1"/>
      <w:marLeft w:val="0"/>
      <w:marRight w:val="0"/>
      <w:marTop w:val="0"/>
      <w:marBottom w:val="0"/>
      <w:divBdr>
        <w:top w:val="none" w:sz="0" w:space="0" w:color="auto"/>
        <w:left w:val="none" w:sz="0" w:space="0" w:color="auto"/>
        <w:bottom w:val="none" w:sz="0" w:space="0" w:color="auto"/>
        <w:right w:val="none" w:sz="0" w:space="0" w:color="auto"/>
      </w:divBdr>
      <w:divsChild>
        <w:div w:id="1015232695">
          <w:marLeft w:val="0"/>
          <w:marRight w:val="0"/>
          <w:marTop w:val="0"/>
          <w:marBottom w:val="0"/>
          <w:divBdr>
            <w:top w:val="none" w:sz="0" w:space="0" w:color="auto"/>
            <w:left w:val="none" w:sz="0" w:space="0" w:color="auto"/>
            <w:bottom w:val="none" w:sz="0" w:space="0" w:color="auto"/>
            <w:right w:val="none" w:sz="0" w:space="0" w:color="auto"/>
          </w:divBdr>
          <w:divsChild>
            <w:div w:id="1619330750">
              <w:marLeft w:val="0"/>
              <w:marRight w:val="0"/>
              <w:marTop w:val="0"/>
              <w:marBottom w:val="0"/>
              <w:divBdr>
                <w:top w:val="none" w:sz="0" w:space="0" w:color="auto"/>
                <w:left w:val="none" w:sz="0" w:space="0" w:color="auto"/>
                <w:bottom w:val="none" w:sz="0" w:space="0" w:color="auto"/>
                <w:right w:val="none" w:sz="0" w:space="0" w:color="auto"/>
              </w:divBdr>
              <w:divsChild>
                <w:div w:id="17860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1379">
      <w:bodyDiv w:val="1"/>
      <w:marLeft w:val="0"/>
      <w:marRight w:val="0"/>
      <w:marTop w:val="0"/>
      <w:marBottom w:val="0"/>
      <w:divBdr>
        <w:top w:val="none" w:sz="0" w:space="0" w:color="auto"/>
        <w:left w:val="none" w:sz="0" w:space="0" w:color="auto"/>
        <w:bottom w:val="none" w:sz="0" w:space="0" w:color="auto"/>
        <w:right w:val="none" w:sz="0" w:space="0" w:color="auto"/>
      </w:divBdr>
    </w:div>
    <w:div w:id="1993098431">
      <w:bodyDiv w:val="1"/>
      <w:marLeft w:val="0"/>
      <w:marRight w:val="0"/>
      <w:marTop w:val="0"/>
      <w:marBottom w:val="0"/>
      <w:divBdr>
        <w:top w:val="none" w:sz="0" w:space="0" w:color="auto"/>
        <w:left w:val="none" w:sz="0" w:space="0" w:color="auto"/>
        <w:bottom w:val="none" w:sz="0" w:space="0" w:color="auto"/>
        <w:right w:val="none" w:sz="0" w:space="0" w:color="auto"/>
      </w:divBdr>
      <w:divsChild>
        <w:div w:id="87510108">
          <w:marLeft w:val="0"/>
          <w:marRight w:val="0"/>
          <w:marTop w:val="0"/>
          <w:marBottom w:val="0"/>
          <w:divBdr>
            <w:top w:val="none" w:sz="0" w:space="0" w:color="auto"/>
            <w:left w:val="none" w:sz="0" w:space="0" w:color="auto"/>
            <w:bottom w:val="none" w:sz="0" w:space="0" w:color="auto"/>
            <w:right w:val="none" w:sz="0" w:space="0" w:color="auto"/>
          </w:divBdr>
          <w:divsChild>
            <w:div w:id="622686726">
              <w:marLeft w:val="0"/>
              <w:marRight w:val="0"/>
              <w:marTop w:val="0"/>
              <w:marBottom w:val="0"/>
              <w:divBdr>
                <w:top w:val="none" w:sz="0" w:space="0" w:color="auto"/>
                <w:left w:val="none" w:sz="0" w:space="0" w:color="auto"/>
                <w:bottom w:val="none" w:sz="0" w:space="0" w:color="auto"/>
                <w:right w:val="none" w:sz="0" w:space="0" w:color="auto"/>
              </w:divBdr>
              <w:divsChild>
                <w:div w:id="13198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8237">
      <w:bodyDiv w:val="1"/>
      <w:marLeft w:val="0"/>
      <w:marRight w:val="0"/>
      <w:marTop w:val="0"/>
      <w:marBottom w:val="0"/>
      <w:divBdr>
        <w:top w:val="none" w:sz="0" w:space="0" w:color="auto"/>
        <w:left w:val="none" w:sz="0" w:space="0" w:color="auto"/>
        <w:bottom w:val="none" w:sz="0" w:space="0" w:color="auto"/>
        <w:right w:val="none" w:sz="0" w:space="0" w:color="auto"/>
      </w:divBdr>
      <w:divsChild>
        <w:div w:id="1477457883">
          <w:marLeft w:val="0"/>
          <w:marRight w:val="0"/>
          <w:marTop w:val="0"/>
          <w:marBottom w:val="0"/>
          <w:divBdr>
            <w:top w:val="none" w:sz="0" w:space="0" w:color="auto"/>
            <w:left w:val="none" w:sz="0" w:space="0" w:color="auto"/>
            <w:bottom w:val="none" w:sz="0" w:space="0" w:color="auto"/>
            <w:right w:val="none" w:sz="0" w:space="0" w:color="auto"/>
          </w:divBdr>
          <w:divsChild>
            <w:div w:id="465971275">
              <w:marLeft w:val="0"/>
              <w:marRight w:val="0"/>
              <w:marTop w:val="0"/>
              <w:marBottom w:val="0"/>
              <w:divBdr>
                <w:top w:val="none" w:sz="0" w:space="0" w:color="auto"/>
                <w:left w:val="none" w:sz="0" w:space="0" w:color="auto"/>
                <w:bottom w:val="none" w:sz="0" w:space="0" w:color="auto"/>
                <w:right w:val="none" w:sz="0" w:space="0" w:color="auto"/>
              </w:divBdr>
              <w:divsChild>
                <w:div w:id="10085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aig.cunningham@bowmanslaw.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a.stockton@bowmanslaw.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esley.rajbansi@wyli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f@capebar.co.za" TargetMode="External"/><Relationship Id="rId5" Type="http://schemas.openxmlformats.org/officeDocument/2006/relationships/webSettings" Target="webSettings.xml"/><Relationship Id="rId15" Type="http://schemas.openxmlformats.org/officeDocument/2006/relationships/hyperlink" Target="mailto:edwards@wylie.co.z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yperlink" Target="mailto:smullins@law.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pc.gov.cn/englishnpc/constitution2019/201911/1f65146fb6104dd3a2793875d19b5b2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C064-AAED-4FC0-BF51-5597657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5948</Words>
  <Characters>33907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Coetser</dc:creator>
  <cp:keywords/>
  <dc:description/>
  <cp:lastModifiedBy>Juanita Pieterse</cp:lastModifiedBy>
  <cp:revision>3</cp:revision>
  <cp:lastPrinted>2022-05-30T06:56:00Z</cp:lastPrinted>
  <dcterms:created xsi:type="dcterms:W3CDTF">2022-05-30T13:37:00Z</dcterms:created>
  <dcterms:modified xsi:type="dcterms:W3CDTF">2022-06-10T13:04:00Z</dcterms:modified>
</cp:coreProperties>
</file>