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97" w:rsidRPr="00096EE5" w:rsidRDefault="00C51297" w:rsidP="00C42E08">
      <w:pPr>
        <w:spacing w:after="0" w:line="360" w:lineRule="auto"/>
        <w:ind w:right="-153"/>
        <w:jc w:val="both"/>
        <w:rPr>
          <w:rFonts w:ascii="Arial" w:eastAsia="Times New Roman" w:hAnsi="Arial" w:cs="Arial"/>
          <w:sz w:val="28"/>
          <w:szCs w:val="28"/>
          <w:lang w:eastAsia="en-ZA"/>
        </w:rPr>
      </w:pPr>
      <w:bookmarkStart w:id="0" w:name="_GoBack"/>
      <w:bookmarkEnd w:id="0"/>
      <w:r w:rsidRPr="00096EE5">
        <w:rPr>
          <w:rFonts w:ascii="Arial" w:eastAsia="Times New Roman" w:hAnsi="Arial" w:cs="Arial"/>
          <w:noProof/>
          <w:sz w:val="24"/>
          <w:szCs w:val="24"/>
          <w:lang w:eastAsia="en-ZA"/>
        </w:rPr>
        <w:drawing>
          <wp:anchor distT="0" distB="0" distL="114300" distR="114300" simplePos="0" relativeHeight="251659264" behindDoc="0" locked="0" layoutInCell="1" allowOverlap="1" wp14:anchorId="5A3513D9" wp14:editId="41475E9F">
            <wp:simplePos x="0" y="0"/>
            <wp:positionH relativeFrom="column">
              <wp:posOffset>2496820</wp:posOffset>
            </wp:positionH>
            <wp:positionV relativeFrom="paragraph">
              <wp:posOffset>171450</wp:posOffset>
            </wp:positionV>
            <wp:extent cx="1045845" cy="9715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584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297" w:rsidRPr="00096EE5" w:rsidRDefault="00C51297" w:rsidP="00C42E08">
      <w:pPr>
        <w:spacing w:after="0" w:line="360" w:lineRule="auto"/>
        <w:jc w:val="both"/>
        <w:rPr>
          <w:rFonts w:ascii="Arial" w:eastAsia="Times New Roman" w:hAnsi="Arial" w:cs="Arial"/>
          <w:b/>
          <w:sz w:val="24"/>
          <w:szCs w:val="24"/>
          <w:lang w:eastAsia="en-ZA"/>
        </w:rPr>
      </w:pPr>
    </w:p>
    <w:p w:rsidR="00C51297" w:rsidRPr="00096EE5" w:rsidRDefault="00C51297" w:rsidP="00C42E08">
      <w:pPr>
        <w:spacing w:after="0" w:line="360" w:lineRule="auto"/>
        <w:jc w:val="both"/>
        <w:rPr>
          <w:rFonts w:ascii="Arial" w:eastAsia="Times New Roman" w:hAnsi="Arial" w:cs="Arial"/>
          <w:b/>
          <w:sz w:val="24"/>
          <w:szCs w:val="24"/>
          <w:lang w:eastAsia="en-ZA"/>
        </w:rPr>
      </w:pPr>
    </w:p>
    <w:p w:rsidR="00C51297" w:rsidRPr="00096EE5" w:rsidRDefault="00C51297" w:rsidP="00C42E08">
      <w:pPr>
        <w:spacing w:after="0" w:line="360" w:lineRule="auto"/>
        <w:jc w:val="both"/>
        <w:rPr>
          <w:rFonts w:ascii="Arial" w:eastAsia="Times New Roman" w:hAnsi="Arial" w:cs="Arial"/>
          <w:b/>
          <w:sz w:val="24"/>
          <w:szCs w:val="24"/>
          <w:lang w:eastAsia="en-ZA"/>
        </w:rPr>
      </w:pPr>
    </w:p>
    <w:p w:rsidR="00C51297" w:rsidRPr="00096EE5" w:rsidRDefault="00C51297" w:rsidP="00C42E08">
      <w:pPr>
        <w:spacing w:after="0" w:line="360" w:lineRule="auto"/>
        <w:jc w:val="both"/>
        <w:rPr>
          <w:rFonts w:ascii="Arial" w:eastAsia="Times New Roman" w:hAnsi="Arial" w:cs="Arial"/>
          <w:b/>
          <w:sz w:val="24"/>
          <w:szCs w:val="24"/>
          <w:lang w:eastAsia="en-ZA"/>
        </w:rPr>
      </w:pPr>
    </w:p>
    <w:p w:rsidR="00C51297" w:rsidRPr="00096EE5" w:rsidRDefault="00C51297" w:rsidP="00C42E08">
      <w:pPr>
        <w:spacing w:after="0" w:line="360" w:lineRule="auto"/>
        <w:jc w:val="center"/>
        <w:rPr>
          <w:rFonts w:ascii="Arial" w:eastAsia="Times New Roman" w:hAnsi="Arial" w:cs="Arial"/>
          <w:b/>
          <w:sz w:val="24"/>
          <w:szCs w:val="24"/>
          <w:lang w:eastAsia="en-ZA"/>
        </w:rPr>
      </w:pPr>
      <w:r w:rsidRPr="00096EE5">
        <w:rPr>
          <w:rFonts w:ascii="Arial" w:eastAsia="Times New Roman" w:hAnsi="Arial" w:cs="Arial"/>
          <w:b/>
          <w:sz w:val="24"/>
          <w:szCs w:val="24"/>
          <w:lang w:eastAsia="en-ZA"/>
        </w:rPr>
        <w:t>IN THE HIGH COURT OF SOUTH AFRICA</w:t>
      </w:r>
    </w:p>
    <w:p w:rsidR="00C51297" w:rsidRPr="00096EE5" w:rsidRDefault="00C51297" w:rsidP="00C42E08">
      <w:pPr>
        <w:tabs>
          <w:tab w:val="left" w:pos="6090"/>
        </w:tabs>
        <w:spacing w:after="0" w:line="360" w:lineRule="auto"/>
        <w:jc w:val="center"/>
        <w:rPr>
          <w:rFonts w:ascii="Arial" w:eastAsia="Times New Roman" w:hAnsi="Arial" w:cs="Arial"/>
          <w:b/>
          <w:sz w:val="24"/>
          <w:szCs w:val="24"/>
          <w:lang w:eastAsia="en-ZA"/>
        </w:rPr>
      </w:pPr>
      <w:r w:rsidRPr="00096EE5">
        <w:rPr>
          <w:rFonts w:ascii="Arial" w:eastAsia="Times New Roman" w:hAnsi="Arial" w:cs="Arial"/>
          <w:b/>
          <w:sz w:val="24"/>
          <w:szCs w:val="24"/>
          <w:lang w:eastAsia="en-ZA"/>
        </w:rPr>
        <w:t>KWAZULU-NATAL LOCAL DIVISION, DURBAN</w:t>
      </w:r>
    </w:p>
    <w:p w:rsidR="00C51297" w:rsidRPr="00096EE5" w:rsidRDefault="00C51297" w:rsidP="00C42E08">
      <w:pPr>
        <w:tabs>
          <w:tab w:val="left" w:pos="6090"/>
        </w:tabs>
        <w:spacing w:after="0" w:line="360" w:lineRule="auto"/>
        <w:jc w:val="both"/>
        <w:rPr>
          <w:rFonts w:ascii="Arial" w:eastAsia="Times New Roman" w:hAnsi="Arial" w:cs="Arial"/>
          <w:sz w:val="24"/>
          <w:szCs w:val="24"/>
          <w:lang w:eastAsia="en-ZA"/>
        </w:rPr>
      </w:pPr>
      <w:r w:rsidRPr="00096EE5">
        <w:rPr>
          <w:rFonts w:ascii="Arial" w:eastAsia="Times New Roman" w:hAnsi="Arial" w:cs="Arial"/>
          <w:sz w:val="24"/>
          <w:szCs w:val="24"/>
          <w:lang w:eastAsia="en-ZA"/>
        </w:rPr>
        <w:tab/>
      </w:r>
      <w:r w:rsidRPr="00096EE5">
        <w:rPr>
          <w:rFonts w:ascii="Arial" w:eastAsia="Times New Roman" w:hAnsi="Arial" w:cs="Arial"/>
          <w:sz w:val="24"/>
          <w:szCs w:val="24"/>
          <w:lang w:eastAsia="en-ZA"/>
        </w:rPr>
        <w:tab/>
      </w:r>
    </w:p>
    <w:p w:rsidR="00C51297" w:rsidRPr="00096EE5" w:rsidRDefault="00C51297" w:rsidP="00C42E08">
      <w:pPr>
        <w:tabs>
          <w:tab w:val="left" w:pos="6090"/>
        </w:tabs>
        <w:spacing w:after="0" w:line="360" w:lineRule="auto"/>
        <w:jc w:val="both"/>
        <w:rPr>
          <w:rFonts w:ascii="Arial" w:eastAsia="Times New Roman" w:hAnsi="Arial" w:cs="Arial"/>
          <w:sz w:val="24"/>
          <w:szCs w:val="24"/>
          <w:lang w:eastAsia="en-ZA"/>
        </w:rPr>
      </w:pPr>
      <w:r w:rsidRPr="00096EE5">
        <w:rPr>
          <w:rFonts w:ascii="Arial" w:eastAsia="Times New Roman" w:hAnsi="Arial" w:cs="Arial"/>
          <w:sz w:val="24"/>
          <w:szCs w:val="24"/>
          <w:lang w:eastAsia="en-ZA"/>
        </w:rPr>
        <w:tab/>
      </w:r>
      <w:r w:rsidR="00950AE0" w:rsidRPr="00096EE5">
        <w:rPr>
          <w:rFonts w:ascii="Arial" w:eastAsia="Times New Roman" w:hAnsi="Arial" w:cs="Arial"/>
          <w:sz w:val="24"/>
          <w:szCs w:val="24"/>
          <w:lang w:eastAsia="en-ZA"/>
        </w:rPr>
        <w:t xml:space="preserve">      </w:t>
      </w:r>
      <w:r w:rsidR="0021088C" w:rsidRPr="00096EE5">
        <w:rPr>
          <w:rFonts w:ascii="Arial" w:eastAsia="Times New Roman" w:hAnsi="Arial" w:cs="Arial"/>
          <w:sz w:val="24"/>
          <w:szCs w:val="24"/>
          <w:lang w:eastAsia="en-ZA"/>
        </w:rPr>
        <w:t xml:space="preserve">  </w:t>
      </w:r>
      <w:r w:rsidRPr="00096EE5">
        <w:rPr>
          <w:rFonts w:ascii="Arial" w:eastAsia="Times New Roman" w:hAnsi="Arial" w:cs="Arial"/>
          <w:sz w:val="24"/>
          <w:szCs w:val="24"/>
          <w:lang w:eastAsia="en-ZA"/>
        </w:rPr>
        <w:t>CASE NO: D</w:t>
      </w:r>
      <w:r w:rsidR="00350C37" w:rsidRPr="00096EE5">
        <w:rPr>
          <w:rFonts w:ascii="Arial" w:eastAsia="Times New Roman" w:hAnsi="Arial" w:cs="Arial"/>
          <w:sz w:val="24"/>
          <w:szCs w:val="24"/>
          <w:lang w:eastAsia="en-ZA"/>
        </w:rPr>
        <w:t>531/2023</w:t>
      </w:r>
    </w:p>
    <w:p w:rsidR="00C51297" w:rsidRPr="00096EE5" w:rsidRDefault="00C51297" w:rsidP="00C42E08">
      <w:pPr>
        <w:tabs>
          <w:tab w:val="left" w:pos="6090"/>
        </w:tabs>
        <w:spacing w:after="0" w:line="360" w:lineRule="auto"/>
        <w:jc w:val="both"/>
        <w:rPr>
          <w:rFonts w:ascii="Arial" w:eastAsia="Times New Roman" w:hAnsi="Arial" w:cs="Arial"/>
          <w:sz w:val="24"/>
          <w:szCs w:val="24"/>
          <w:lang w:eastAsia="en-ZA"/>
        </w:rPr>
      </w:pPr>
      <w:r w:rsidRPr="00096EE5">
        <w:rPr>
          <w:rFonts w:ascii="Arial" w:eastAsia="Times New Roman" w:hAnsi="Arial" w:cs="Arial"/>
          <w:sz w:val="24"/>
          <w:szCs w:val="24"/>
          <w:lang w:eastAsia="en-ZA"/>
        </w:rPr>
        <w:t xml:space="preserve">In the </w:t>
      </w:r>
      <w:r w:rsidR="00350C37" w:rsidRPr="00096EE5">
        <w:rPr>
          <w:rFonts w:ascii="Arial" w:eastAsia="Times New Roman" w:hAnsi="Arial" w:cs="Arial"/>
          <w:sz w:val="24"/>
          <w:szCs w:val="24"/>
          <w:lang w:eastAsia="en-ZA"/>
        </w:rPr>
        <w:t xml:space="preserve">application </w:t>
      </w:r>
      <w:r w:rsidR="00783E9E">
        <w:rPr>
          <w:rFonts w:ascii="Arial" w:eastAsia="Times New Roman" w:hAnsi="Arial" w:cs="Arial"/>
          <w:sz w:val="24"/>
          <w:szCs w:val="24"/>
          <w:lang w:eastAsia="en-ZA"/>
        </w:rPr>
        <w:t xml:space="preserve">for leave </w:t>
      </w:r>
      <w:r w:rsidR="00350C37" w:rsidRPr="00096EE5">
        <w:rPr>
          <w:rFonts w:ascii="Arial" w:eastAsia="Times New Roman" w:hAnsi="Arial" w:cs="Arial"/>
          <w:sz w:val="24"/>
          <w:szCs w:val="24"/>
          <w:lang w:eastAsia="en-ZA"/>
        </w:rPr>
        <w:t xml:space="preserve">to intervene by: </w:t>
      </w:r>
    </w:p>
    <w:p w:rsidR="00B92D10" w:rsidRPr="00096EE5" w:rsidRDefault="00B92D10" w:rsidP="00C42E08">
      <w:pPr>
        <w:spacing w:after="0" w:line="360" w:lineRule="auto"/>
        <w:jc w:val="both"/>
        <w:rPr>
          <w:rFonts w:ascii="Arial" w:eastAsia="Times New Roman" w:hAnsi="Arial" w:cs="Arial"/>
          <w:b/>
          <w:bCs/>
          <w:sz w:val="24"/>
          <w:szCs w:val="24"/>
          <w:lang w:eastAsia="en-ZA"/>
        </w:rPr>
      </w:pPr>
    </w:p>
    <w:p w:rsidR="00C51297" w:rsidRPr="00096EE5" w:rsidRDefault="00350C37" w:rsidP="00C42E08">
      <w:pPr>
        <w:spacing w:after="0" w:line="360" w:lineRule="auto"/>
        <w:jc w:val="both"/>
        <w:rPr>
          <w:rFonts w:ascii="Arial" w:eastAsia="Times New Roman" w:hAnsi="Arial" w:cs="Arial"/>
          <w:b/>
          <w:bCs/>
          <w:sz w:val="24"/>
          <w:szCs w:val="24"/>
          <w:lang w:eastAsia="en-ZA"/>
        </w:rPr>
      </w:pPr>
      <w:r w:rsidRPr="00096EE5">
        <w:rPr>
          <w:rFonts w:ascii="Arial" w:eastAsia="Times New Roman" w:hAnsi="Arial" w:cs="Arial"/>
          <w:b/>
          <w:bCs/>
          <w:sz w:val="24"/>
          <w:szCs w:val="24"/>
          <w:lang w:eastAsia="en-ZA"/>
        </w:rPr>
        <w:t xml:space="preserve">NATIONAL UNION OF MINEWORKERS </w:t>
      </w:r>
      <w:r w:rsidRPr="00096EE5">
        <w:rPr>
          <w:rFonts w:ascii="Arial" w:eastAsia="Times New Roman" w:hAnsi="Arial" w:cs="Arial"/>
          <w:b/>
          <w:bCs/>
          <w:sz w:val="24"/>
          <w:szCs w:val="24"/>
          <w:lang w:eastAsia="en-ZA"/>
        </w:rPr>
        <w:tab/>
      </w:r>
      <w:r w:rsidRPr="00096EE5">
        <w:rPr>
          <w:rFonts w:ascii="Arial" w:eastAsia="Times New Roman" w:hAnsi="Arial" w:cs="Arial"/>
          <w:b/>
          <w:bCs/>
          <w:sz w:val="24"/>
          <w:szCs w:val="24"/>
          <w:lang w:eastAsia="en-ZA"/>
        </w:rPr>
        <w:tab/>
      </w:r>
      <w:r w:rsidRPr="00096EE5">
        <w:rPr>
          <w:rFonts w:ascii="Arial" w:eastAsia="Times New Roman" w:hAnsi="Arial" w:cs="Arial"/>
          <w:b/>
          <w:bCs/>
          <w:sz w:val="24"/>
          <w:szCs w:val="24"/>
          <w:lang w:eastAsia="en-ZA"/>
        </w:rPr>
        <w:tab/>
      </w:r>
      <w:r w:rsidR="0021088C" w:rsidRPr="00096EE5">
        <w:rPr>
          <w:rFonts w:ascii="Arial" w:eastAsia="Times New Roman" w:hAnsi="Arial" w:cs="Arial"/>
          <w:b/>
          <w:bCs/>
          <w:sz w:val="24"/>
          <w:szCs w:val="24"/>
          <w:lang w:eastAsia="en-ZA"/>
        </w:rPr>
        <w:t xml:space="preserve">        </w:t>
      </w:r>
      <w:r w:rsidRPr="00096EE5">
        <w:rPr>
          <w:rFonts w:ascii="Arial" w:eastAsia="Times New Roman" w:hAnsi="Arial" w:cs="Arial"/>
          <w:b/>
          <w:bCs/>
          <w:sz w:val="24"/>
          <w:szCs w:val="24"/>
          <w:lang w:eastAsia="en-ZA"/>
        </w:rPr>
        <w:t>Intervening Party</w:t>
      </w:r>
      <w:r w:rsidR="00C51297" w:rsidRPr="00096EE5">
        <w:rPr>
          <w:rFonts w:ascii="Arial" w:eastAsia="Times New Roman" w:hAnsi="Arial" w:cs="Arial"/>
          <w:b/>
          <w:sz w:val="24"/>
          <w:szCs w:val="24"/>
          <w:lang w:eastAsia="en-ZA"/>
        </w:rPr>
        <w:t xml:space="preserve">                                  </w:t>
      </w:r>
      <w:r w:rsidR="00950AE0" w:rsidRPr="00096EE5">
        <w:rPr>
          <w:rFonts w:ascii="Arial" w:eastAsia="Times New Roman" w:hAnsi="Arial" w:cs="Arial"/>
          <w:b/>
          <w:sz w:val="24"/>
          <w:szCs w:val="24"/>
          <w:lang w:eastAsia="en-ZA"/>
        </w:rPr>
        <w:t xml:space="preserve">      </w:t>
      </w:r>
      <w:r w:rsidRPr="00096EE5">
        <w:rPr>
          <w:rFonts w:ascii="Arial" w:eastAsia="Times New Roman" w:hAnsi="Arial" w:cs="Arial"/>
          <w:b/>
          <w:sz w:val="24"/>
          <w:szCs w:val="24"/>
          <w:lang w:eastAsia="en-ZA"/>
        </w:rPr>
        <w:t xml:space="preserve"> </w:t>
      </w:r>
    </w:p>
    <w:p w:rsidR="00350C37" w:rsidRPr="00096EE5" w:rsidRDefault="00350C37" w:rsidP="00C42E08">
      <w:pPr>
        <w:spacing w:after="0" w:line="360" w:lineRule="auto"/>
        <w:jc w:val="both"/>
        <w:rPr>
          <w:rFonts w:ascii="Arial" w:eastAsia="Times New Roman" w:hAnsi="Arial" w:cs="Arial"/>
          <w:b/>
          <w:bCs/>
          <w:sz w:val="24"/>
          <w:szCs w:val="24"/>
          <w:lang w:eastAsia="en-ZA"/>
        </w:rPr>
      </w:pPr>
    </w:p>
    <w:p w:rsidR="00C51297" w:rsidRPr="00096EE5" w:rsidRDefault="00350C37" w:rsidP="00C42E08">
      <w:pPr>
        <w:spacing w:after="0" w:line="360" w:lineRule="auto"/>
        <w:jc w:val="both"/>
        <w:rPr>
          <w:rFonts w:ascii="Arial" w:eastAsia="Times New Roman" w:hAnsi="Arial" w:cs="Arial"/>
          <w:bCs/>
          <w:sz w:val="24"/>
          <w:szCs w:val="24"/>
          <w:lang w:eastAsia="en-ZA"/>
        </w:rPr>
      </w:pPr>
      <w:r w:rsidRPr="00096EE5">
        <w:rPr>
          <w:rFonts w:ascii="Arial" w:eastAsia="Times New Roman" w:hAnsi="Arial" w:cs="Arial"/>
          <w:bCs/>
          <w:sz w:val="24"/>
          <w:szCs w:val="24"/>
          <w:lang w:eastAsia="en-ZA"/>
        </w:rPr>
        <w:t>In re:</w:t>
      </w:r>
    </w:p>
    <w:p w:rsidR="00350C37" w:rsidRPr="00096EE5" w:rsidRDefault="00350C37" w:rsidP="00C42E08">
      <w:pPr>
        <w:spacing w:after="0" w:line="360" w:lineRule="auto"/>
        <w:jc w:val="both"/>
        <w:rPr>
          <w:rFonts w:ascii="Arial" w:eastAsia="Times New Roman" w:hAnsi="Arial" w:cs="Arial"/>
          <w:bCs/>
          <w:sz w:val="24"/>
          <w:szCs w:val="24"/>
          <w:lang w:eastAsia="en-ZA"/>
        </w:rPr>
      </w:pPr>
      <w:r w:rsidRPr="00096EE5">
        <w:rPr>
          <w:rFonts w:ascii="Arial" w:eastAsia="Times New Roman" w:hAnsi="Arial" w:cs="Arial"/>
          <w:bCs/>
          <w:sz w:val="24"/>
          <w:szCs w:val="24"/>
          <w:lang w:eastAsia="en-ZA"/>
        </w:rPr>
        <w:t>The matter between:</w:t>
      </w:r>
    </w:p>
    <w:p w:rsidR="00350C37" w:rsidRPr="00096EE5" w:rsidRDefault="00350C37" w:rsidP="00C42E08">
      <w:pPr>
        <w:spacing w:after="0" w:line="360" w:lineRule="auto"/>
        <w:jc w:val="both"/>
        <w:rPr>
          <w:rFonts w:ascii="Arial" w:eastAsia="Times New Roman" w:hAnsi="Arial" w:cs="Arial"/>
          <w:b/>
          <w:bCs/>
          <w:sz w:val="24"/>
          <w:szCs w:val="24"/>
          <w:lang w:eastAsia="en-ZA"/>
        </w:rPr>
      </w:pPr>
    </w:p>
    <w:p w:rsidR="00350C37" w:rsidRPr="00096EE5" w:rsidRDefault="00350C37" w:rsidP="00C42E08">
      <w:pPr>
        <w:spacing w:after="0" w:line="360" w:lineRule="auto"/>
        <w:jc w:val="both"/>
        <w:rPr>
          <w:rFonts w:ascii="Arial" w:eastAsia="Times New Roman" w:hAnsi="Arial" w:cs="Arial"/>
          <w:b/>
          <w:bCs/>
          <w:sz w:val="24"/>
          <w:szCs w:val="24"/>
          <w:lang w:eastAsia="en-ZA"/>
        </w:rPr>
      </w:pPr>
      <w:r w:rsidRPr="00096EE5">
        <w:rPr>
          <w:rFonts w:ascii="Arial" w:eastAsia="Times New Roman" w:hAnsi="Arial" w:cs="Arial"/>
          <w:b/>
          <w:bCs/>
          <w:sz w:val="24"/>
          <w:szCs w:val="24"/>
          <w:lang w:eastAsia="en-ZA"/>
        </w:rPr>
        <w:t xml:space="preserve">OPTIMUM COAL TERMINAL (PTY) LIMITED </w:t>
      </w:r>
      <w:r w:rsidRPr="00096EE5">
        <w:rPr>
          <w:rFonts w:ascii="Arial" w:eastAsia="Times New Roman" w:hAnsi="Arial" w:cs="Arial"/>
          <w:b/>
          <w:bCs/>
          <w:sz w:val="24"/>
          <w:szCs w:val="24"/>
          <w:lang w:eastAsia="en-ZA"/>
        </w:rPr>
        <w:tab/>
      </w:r>
      <w:r w:rsidRPr="00096EE5">
        <w:rPr>
          <w:rFonts w:ascii="Arial" w:eastAsia="Times New Roman" w:hAnsi="Arial" w:cs="Arial"/>
          <w:b/>
          <w:bCs/>
          <w:sz w:val="24"/>
          <w:szCs w:val="24"/>
          <w:lang w:eastAsia="en-ZA"/>
        </w:rPr>
        <w:tab/>
      </w:r>
      <w:r w:rsidRPr="00096EE5">
        <w:rPr>
          <w:rFonts w:ascii="Arial" w:eastAsia="Times New Roman" w:hAnsi="Arial" w:cs="Arial"/>
          <w:b/>
          <w:bCs/>
          <w:sz w:val="24"/>
          <w:szCs w:val="24"/>
          <w:lang w:eastAsia="en-ZA"/>
        </w:rPr>
        <w:tab/>
      </w:r>
      <w:r w:rsidR="0021088C" w:rsidRPr="00096EE5">
        <w:rPr>
          <w:rFonts w:ascii="Arial" w:eastAsia="Times New Roman" w:hAnsi="Arial" w:cs="Arial"/>
          <w:b/>
          <w:bCs/>
          <w:sz w:val="24"/>
          <w:szCs w:val="24"/>
          <w:lang w:eastAsia="en-ZA"/>
        </w:rPr>
        <w:t xml:space="preserve">            </w:t>
      </w:r>
      <w:r w:rsidRPr="00096EE5">
        <w:rPr>
          <w:rFonts w:ascii="Arial" w:eastAsia="Times New Roman" w:hAnsi="Arial" w:cs="Arial"/>
          <w:b/>
          <w:bCs/>
          <w:sz w:val="24"/>
          <w:szCs w:val="24"/>
          <w:lang w:eastAsia="en-ZA"/>
        </w:rPr>
        <w:t>First Applicant</w:t>
      </w:r>
    </w:p>
    <w:p w:rsidR="00350C37" w:rsidRPr="00096EE5" w:rsidRDefault="00350C37" w:rsidP="00C42E08">
      <w:pPr>
        <w:spacing w:after="0" w:line="360" w:lineRule="auto"/>
        <w:jc w:val="both"/>
        <w:rPr>
          <w:rFonts w:ascii="Arial" w:eastAsia="Times New Roman" w:hAnsi="Arial" w:cs="Arial"/>
          <w:b/>
          <w:bCs/>
          <w:sz w:val="24"/>
          <w:szCs w:val="24"/>
          <w:lang w:eastAsia="en-ZA"/>
        </w:rPr>
      </w:pPr>
      <w:r w:rsidRPr="00096EE5">
        <w:rPr>
          <w:rFonts w:ascii="Arial" w:eastAsia="Times New Roman" w:hAnsi="Arial" w:cs="Arial"/>
          <w:b/>
          <w:bCs/>
          <w:sz w:val="24"/>
          <w:szCs w:val="24"/>
          <w:lang w:eastAsia="en-ZA"/>
        </w:rPr>
        <w:t>(in business rescue)</w:t>
      </w:r>
    </w:p>
    <w:p w:rsidR="00350C37" w:rsidRPr="00096EE5" w:rsidRDefault="00350C37" w:rsidP="00C42E08">
      <w:pPr>
        <w:spacing w:after="0" w:line="360" w:lineRule="auto"/>
        <w:jc w:val="both"/>
        <w:rPr>
          <w:rFonts w:ascii="Arial" w:eastAsia="Times New Roman" w:hAnsi="Arial" w:cs="Arial"/>
          <w:b/>
          <w:bCs/>
          <w:sz w:val="24"/>
          <w:szCs w:val="24"/>
          <w:lang w:eastAsia="en-ZA"/>
        </w:rPr>
      </w:pPr>
    </w:p>
    <w:p w:rsidR="00350C37" w:rsidRPr="00096EE5" w:rsidRDefault="00350C37" w:rsidP="00C42E08">
      <w:pPr>
        <w:spacing w:after="0" w:line="360" w:lineRule="auto"/>
        <w:jc w:val="both"/>
        <w:rPr>
          <w:rFonts w:ascii="Arial" w:eastAsia="Times New Roman" w:hAnsi="Arial" w:cs="Arial"/>
          <w:b/>
          <w:bCs/>
          <w:sz w:val="24"/>
          <w:szCs w:val="24"/>
          <w:lang w:eastAsia="en-ZA"/>
        </w:rPr>
      </w:pPr>
      <w:r w:rsidRPr="00096EE5">
        <w:rPr>
          <w:rFonts w:ascii="Arial" w:eastAsia="Times New Roman" w:hAnsi="Arial" w:cs="Arial"/>
          <w:b/>
          <w:bCs/>
          <w:sz w:val="24"/>
          <w:szCs w:val="24"/>
          <w:lang w:eastAsia="en-ZA"/>
        </w:rPr>
        <w:t xml:space="preserve">OPTIMUM COAL MINE (PTY) LIMITED </w:t>
      </w:r>
      <w:r w:rsidRPr="00096EE5">
        <w:rPr>
          <w:rFonts w:ascii="Arial" w:eastAsia="Times New Roman" w:hAnsi="Arial" w:cs="Arial"/>
          <w:b/>
          <w:bCs/>
          <w:sz w:val="24"/>
          <w:szCs w:val="24"/>
          <w:lang w:eastAsia="en-ZA"/>
        </w:rPr>
        <w:tab/>
      </w:r>
      <w:r w:rsidRPr="00096EE5">
        <w:rPr>
          <w:rFonts w:ascii="Arial" w:eastAsia="Times New Roman" w:hAnsi="Arial" w:cs="Arial"/>
          <w:b/>
          <w:bCs/>
          <w:sz w:val="24"/>
          <w:szCs w:val="24"/>
          <w:lang w:eastAsia="en-ZA"/>
        </w:rPr>
        <w:tab/>
      </w:r>
      <w:r w:rsidRPr="00096EE5">
        <w:rPr>
          <w:rFonts w:ascii="Arial" w:eastAsia="Times New Roman" w:hAnsi="Arial" w:cs="Arial"/>
          <w:b/>
          <w:bCs/>
          <w:sz w:val="24"/>
          <w:szCs w:val="24"/>
          <w:lang w:eastAsia="en-ZA"/>
        </w:rPr>
        <w:tab/>
      </w:r>
      <w:r w:rsidR="0021088C" w:rsidRPr="00096EE5">
        <w:rPr>
          <w:rFonts w:ascii="Arial" w:eastAsia="Times New Roman" w:hAnsi="Arial" w:cs="Arial"/>
          <w:b/>
          <w:bCs/>
          <w:sz w:val="24"/>
          <w:szCs w:val="24"/>
          <w:lang w:eastAsia="en-ZA"/>
        </w:rPr>
        <w:t xml:space="preserve">       </w:t>
      </w:r>
      <w:r w:rsidRPr="00096EE5">
        <w:rPr>
          <w:rFonts w:ascii="Arial" w:eastAsia="Times New Roman" w:hAnsi="Arial" w:cs="Arial"/>
          <w:b/>
          <w:bCs/>
          <w:sz w:val="24"/>
          <w:szCs w:val="24"/>
          <w:lang w:eastAsia="en-ZA"/>
        </w:rPr>
        <w:t>Second Applicant</w:t>
      </w:r>
    </w:p>
    <w:p w:rsidR="00350C37" w:rsidRPr="00096EE5" w:rsidRDefault="00350C37" w:rsidP="00C42E08">
      <w:pPr>
        <w:spacing w:after="0" w:line="360" w:lineRule="auto"/>
        <w:jc w:val="both"/>
        <w:rPr>
          <w:rFonts w:ascii="Arial" w:eastAsia="Times New Roman" w:hAnsi="Arial" w:cs="Arial"/>
          <w:b/>
          <w:bCs/>
          <w:sz w:val="24"/>
          <w:szCs w:val="24"/>
          <w:lang w:eastAsia="en-ZA"/>
        </w:rPr>
      </w:pPr>
      <w:r w:rsidRPr="00096EE5">
        <w:rPr>
          <w:rFonts w:ascii="Arial" w:eastAsia="Times New Roman" w:hAnsi="Arial" w:cs="Arial"/>
          <w:b/>
          <w:bCs/>
          <w:sz w:val="24"/>
          <w:szCs w:val="24"/>
          <w:lang w:eastAsia="en-ZA"/>
        </w:rPr>
        <w:t>(in business rescue)</w:t>
      </w:r>
    </w:p>
    <w:p w:rsidR="00350C37" w:rsidRPr="00096EE5" w:rsidRDefault="00350C37" w:rsidP="00C42E08">
      <w:pPr>
        <w:spacing w:after="0" w:line="360" w:lineRule="auto"/>
        <w:jc w:val="both"/>
        <w:rPr>
          <w:rFonts w:ascii="Arial" w:eastAsia="Times New Roman" w:hAnsi="Arial" w:cs="Arial"/>
          <w:b/>
          <w:bCs/>
          <w:sz w:val="24"/>
          <w:szCs w:val="24"/>
          <w:lang w:eastAsia="en-ZA"/>
        </w:rPr>
      </w:pPr>
    </w:p>
    <w:p w:rsidR="00C51297" w:rsidRPr="00096EE5" w:rsidRDefault="00C51297" w:rsidP="00C42E08">
      <w:pPr>
        <w:spacing w:after="0" w:line="360" w:lineRule="auto"/>
        <w:jc w:val="both"/>
        <w:rPr>
          <w:rFonts w:ascii="Arial" w:eastAsia="Times New Roman" w:hAnsi="Arial" w:cs="Arial"/>
          <w:sz w:val="24"/>
          <w:szCs w:val="24"/>
          <w:lang w:eastAsia="en-ZA"/>
        </w:rPr>
      </w:pPr>
      <w:r w:rsidRPr="00096EE5">
        <w:rPr>
          <w:rFonts w:ascii="Arial" w:eastAsia="Times New Roman" w:hAnsi="Arial" w:cs="Arial"/>
          <w:sz w:val="24"/>
          <w:szCs w:val="24"/>
          <w:lang w:eastAsia="en-ZA"/>
        </w:rPr>
        <w:t>and</w:t>
      </w:r>
    </w:p>
    <w:p w:rsidR="00C51297" w:rsidRPr="00096EE5" w:rsidRDefault="00C51297" w:rsidP="00C42E08">
      <w:pPr>
        <w:spacing w:after="0" w:line="360" w:lineRule="auto"/>
        <w:jc w:val="both"/>
        <w:rPr>
          <w:rFonts w:ascii="Arial" w:eastAsia="Times New Roman" w:hAnsi="Arial" w:cs="Arial"/>
          <w:sz w:val="24"/>
          <w:szCs w:val="24"/>
          <w:lang w:eastAsia="en-ZA"/>
        </w:rPr>
      </w:pPr>
    </w:p>
    <w:p w:rsidR="00350C37" w:rsidRPr="00096EE5" w:rsidRDefault="00350C37" w:rsidP="00C42E08">
      <w:pPr>
        <w:spacing w:after="0" w:line="360" w:lineRule="auto"/>
        <w:jc w:val="both"/>
        <w:rPr>
          <w:rFonts w:ascii="Arial" w:eastAsia="Times New Roman" w:hAnsi="Arial" w:cs="Arial"/>
          <w:b/>
          <w:bCs/>
          <w:sz w:val="24"/>
          <w:szCs w:val="24"/>
          <w:lang w:eastAsia="en-ZA"/>
        </w:rPr>
      </w:pPr>
      <w:r w:rsidRPr="00096EE5">
        <w:rPr>
          <w:rFonts w:ascii="Arial" w:eastAsia="Times New Roman" w:hAnsi="Arial" w:cs="Arial"/>
          <w:b/>
          <w:bCs/>
          <w:sz w:val="24"/>
          <w:szCs w:val="24"/>
          <w:lang w:eastAsia="en-ZA"/>
        </w:rPr>
        <w:t xml:space="preserve">RICHARDS BAY COAL TERMINAL (PTY) LIMITED </w:t>
      </w:r>
      <w:r w:rsidRPr="00096EE5">
        <w:rPr>
          <w:rFonts w:ascii="Arial" w:eastAsia="Times New Roman" w:hAnsi="Arial" w:cs="Arial"/>
          <w:b/>
          <w:bCs/>
          <w:sz w:val="24"/>
          <w:szCs w:val="24"/>
          <w:lang w:eastAsia="en-ZA"/>
        </w:rPr>
        <w:tab/>
      </w:r>
      <w:r w:rsidRPr="00096EE5">
        <w:rPr>
          <w:rFonts w:ascii="Arial" w:eastAsia="Times New Roman" w:hAnsi="Arial" w:cs="Arial"/>
          <w:b/>
          <w:bCs/>
          <w:sz w:val="24"/>
          <w:szCs w:val="24"/>
          <w:lang w:eastAsia="en-ZA"/>
        </w:rPr>
        <w:tab/>
      </w:r>
      <w:r w:rsidR="0021088C" w:rsidRPr="00096EE5">
        <w:rPr>
          <w:rFonts w:ascii="Arial" w:eastAsia="Times New Roman" w:hAnsi="Arial" w:cs="Arial"/>
          <w:b/>
          <w:bCs/>
          <w:sz w:val="24"/>
          <w:szCs w:val="24"/>
          <w:lang w:eastAsia="en-ZA"/>
        </w:rPr>
        <w:t xml:space="preserve">        </w:t>
      </w:r>
      <w:r w:rsidRPr="00096EE5">
        <w:rPr>
          <w:rFonts w:ascii="Arial" w:eastAsia="Times New Roman" w:hAnsi="Arial" w:cs="Arial"/>
          <w:b/>
          <w:bCs/>
          <w:sz w:val="24"/>
          <w:szCs w:val="24"/>
          <w:lang w:eastAsia="en-ZA"/>
        </w:rPr>
        <w:t>First Respondent</w:t>
      </w:r>
    </w:p>
    <w:p w:rsidR="00350C37" w:rsidRPr="00096EE5" w:rsidRDefault="00350C37" w:rsidP="00C42E08">
      <w:pPr>
        <w:spacing w:after="0" w:line="360" w:lineRule="auto"/>
        <w:jc w:val="both"/>
        <w:rPr>
          <w:rFonts w:ascii="Arial" w:eastAsia="Times New Roman" w:hAnsi="Arial" w:cs="Arial"/>
          <w:b/>
          <w:bCs/>
          <w:sz w:val="24"/>
          <w:szCs w:val="24"/>
          <w:lang w:eastAsia="en-ZA"/>
        </w:rPr>
      </w:pPr>
    </w:p>
    <w:p w:rsidR="00350C37" w:rsidRPr="00096EE5" w:rsidRDefault="00350C37" w:rsidP="00C42E08">
      <w:pPr>
        <w:spacing w:after="0" w:line="360" w:lineRule="auto"/>
        <w:jc w:val="both"/>
        <w:rPr>
          <w:rFonts w:ascii="Arial" w:eastAsia="Times New Roman" w:hAnsi="Arial" w:cs="Arial"/>
          <w:b/>
          <w:bCs/>
          <w:sz w:val="24"/>
          <w:szCs w:val="24"/>
          <w:lang w:eastAsia="en-ZA"/>
        </w:rPr>
      </w:pPr>
      <w:r w:rsidRPr="00096EE5">
        <w:rPr>
          <w:rFonts w:ascii="Arial" w:eastAsia="Times New Roman" w:hAnsi="Arial" w:cs="Arial"/>
          <w:b/>
          <w:bCs/>
          <w:sz w:val="24"/>
          <w:szCs w:val="24"/>
          <w:lang w:eastAsia="en-ZA"/>
        </w:rPr>
        <w:t xml:space="preserve">TEMPLAR CAPITAL LIMITED </w:t>
      </w:r>
      <w:r w:rsidRPr="00096EE5">
        <w:rPr>
          <w:rFonts w:ascii="Arial" w:eastAsia="Times New Roman" w:hAnsi="Arial" w:cs="Arial"/>
          <w:b/>
          <w:bCs/>
          <w:sz w:val="24"/>
          <w:szCs w:val="24"/>
          <w:lang w:eastAsia="en-ZA"/>
        </w:rPr>
        <w:tab/>
      </w:r>
      <w:r w:rsidRPr="00096EE5">
        <w:rPr>
          <w:rFonts w:ascii="Arial" w:eastAsia="Times New Roman" w:hAnsi="Arial" w:cs="Arial"/>
          <w:b/>
          <w:bCs/>
          <w:sz w:val="24"/>
          <w:szCs w:val="24"/>
          <w:lang w:eastAsia="en-ZA"/>
        </w:rPr>
        <w:tab/>
      </w:r>
      <w:r w:rsidRPr="00096EE5">
        <w:rPr>
          <w:rFonts w:ascii="Arial" w:eastAsia="Times New Roman" w:hAnsi="Arial" w:cs="Arial"/>
          <w:b/>
          <w:bCs/>
          <w:sz w:val="24"/>
          <w:szCs w:val="24"/>
          <w:lang w:eastAsia="en-ZA"/>
        </w:rPr>
        <w:tab/>
      </w:r>
      <w:r w:rsidRPr="00096EE5">
        <w:rPr>
          <w:rFonts w:ascii="Arial" w:eastAsia="Times New Roman" w:hAnsi="Arial" w:cs="Arial"/>
          <w:b/>
          <w:bCs/>
          <w:sz w:val="24"/>
          <w:szCs w:val="24"/>
          <w:lang w:eastAsia="en-ZA"/>
        </w:rPr>
        <w:tab/>
      </w:r>
      <w:r w:rsidRPr="00096EE5">
        <w:rPr>
          <w:rFonts w:ascii="Arial" w:eastAsia="Times New Roman" w:hAnsi="Arial" w:cs="Arial"/>
          <w:b/>
          <w:bCs/>
          <w:sz w:val="24"/>
          <w:szCs w:val="24"/>
          <w:lang w:eastAsia="en-ZA"/>
        </w:rPr>
        <w:tab/>
      </w:r>
      <w:r w:rsidR="0021088C" w:rsidRPr="00096EE5">
        <w:rPr>
          <w:rFonts w:ascii="Arial" w:eastAsia="Times New Roman" w:hAnsi="Arial" w:cs="Arial"/>
          <w:b/>
          <w:bCs/>
          <w:sz w:val="24"/>
          <w:szCs w:val="24"/>
          <w:lang w:eastAsia="en-ZA"/>
        </w:rPr>
        <w:t xml:space="preserve">   </w:t>
      </w:r>
      <w:r w:rsidRPr="00096EE5">
        <w:rPr>
          <w:rFonts w:ascii="Arial" w:eastAsia="Times New Roman" w:hAnsi="Arial" w:cs="Arial"/>
          <w:b/>
          <w:bCs/>
          <w:sz w:val="24"/>
          <w:szCs w:val="24"/>
          <w:lang w:eastAsia="en-ZA"/>
        </w:rPr>
        <w:t>Second Respondent</w:t>
      </w:r>
    </w:p>
    <w:p w:rsidR="00350C37" w:rsidRPr="00096EE5" w:rsidRDefault="00350C37" w:rsidP="00C42E08">
      <w:pPr>
        <w:spacing w:after="0" w:line="360" w:lineRule="auto"/>
        <w:jc w:val="both"/>
        <w:rPr>
          <w:rFonts w:ascii="Arial" w:eastAsia="Times New Roman" w:hAnsi="Arial" w:cs="Arial"/>
          <w:b/>
          <w:bCs/>
          <w:sz w:val="24"/>
          <w:szCs w:val="24"/>
          <w:lang w:eastAsia="en-ZA"/>
        </w:rPr>
      </w:pPr>
    </w:p>
    <w:p w:rsidR="00350C37" w:rsidRDefault="00350C37" w:rsidP="00C42E08">
      <w:pPr>
        <w:spacing w:after="0" w:line="360" w:lineRule="auto"/>
        <w:jc w:val="both"/>
        <w:rPr>
          <w:rFonts w:ascii="Arial" w:eastAsia="Times New Roman" w:hAnsi="Arial" w:cs="Arial"/>
          <w:b/>
          <w:bCs/>
          <w:sz w:val="24"/>
          <w:szCs w:val="24"/>
          <w:lang w:eastAsia="en-ZA"/>
        </w:rPr>
      </w:pPr>
      <w:r w:rsidRPr="00096EE5">
        <w:rPr>
          <w:rFonts w:ascii="Arial" w:eastAsia="Times New Roman" w:hAnsi="Arial" w:cs="Arial"/>
          <w:b/>
          <w:bCs/>
          <w:sz w:val="24"/>
          <w:szCs w:val="24"/>
          <w:lang w:eastAsia="en-ZA"/>
        </w:rPr>
        <w:t xml:space="preserve">LIBERTY </w:t>
      </w:r>
      <w:r w:rsidR="00125E99" w:rsidRPr="00096EE5">
        <w:rPr>
          <w:rFonts w:ascii="Arial" w:eastAsia="Times New Roman" w:hAnsi="Arial" w:cs="Arial"/>
          <w:b/>
          <w:bCs/>
          <w:sz w:val="24"/>
          <w:szCs w:val="24"/>
          <w:lang w:eastAsia="en-ZA"/>
        </w:rPr>
        <w:t>COAL (</w:t>
      </w:r>
      <w:r w:rsidRPr="00096EE5">
        <w:rPr>
          <w:rFonts w:ascii="Arial" w:eastAsia="Times New Roman" w:hAnsi="Arial" w:cs="Arial"/>
          <w:b/>
          <w:bCs/>
          <w:sz w:val="24"/>
          <w:szCs w:val="24"/>
          <w:lang w:eastAsia="en-ZA"/>
        </w:rPr>
        <w:t>PTY) LIMITED</w:t>
      </w:r>
      <w:r w:rsidRPr="00096EE5">
        <w:rPr>
          <w:rFonts w:ascii="Arial" w:eastAsia="Times New Roman" w:hAnsi="Arial" w:cs="Arial"/>
          <w:b/>
          <w:bCs/>
          <w:sz w:val="24"/>
          <w:szCs w:val="24"/>
          <w:lang w:eastAsia="en-ZA"/>
        </w:rPr>
        <w:tab/>
      </w:r>
      <w:r w:rsidRPr="00096EE5">
        <w:rPr>
          <w:rFonts w:ascii="Arial" w:eastAsia="Times New Roman" w:hAnsi="Arial" w:cs="Arial"/>
          <w:b/>
          <w:bCs/>
          <w:sz w:val="24"/>
          <w:szCs w:val="24"/>
          <w:lang w:eastAsia="en-ZA"/>
        </w:rPr>
        <w:tab/>
      </w:r>
      <w:r w:rsidRPr="00096EE5">
        <w:rPr>
          <w:rFonts w:ascii="Arial" w:eastAsia="Times New Roman" w:hAnsi="Arial" w:cs="Arial"/>
          <w:b/>
          <w:bCs/>
          <w:sz w:val="24"/>
          <w:szCs w:val="24"/>
          <w:lang w:eastAsia="en-ZA"/>
        </w:rPr>
        <w:tab/>
      </w:r>
      <w:r w:rsidRPr="00096EE5">
        <w:rPr>
          <w:rFonts w:ascii="Arial" w:eastAsia="Times New Roman" w:hAnsi="Arial" w:cs="Arial"/>
          <w:b/>
          <w:bCs/>
          <w:sz w:val="24"/>
          <w:szCs w:val="24"/>
          <w:lang w:eastAsia="en-ZA"/>
        </w:rPr>
        <w:tab/>
      </w:r>
      <w:r w:rsidRPr="00096EE5">
        <w:rPr>
          <w:rFonts w:ascii="Arial" w:eastAsia="Times New Roman" w:hAnsi="Arial" w:cs="Arial"/>
          <w:b/>
          <w:bCs/>
          <w:sz w:val="24"/>
          <w:szCs w:val="24"/>
          <w:lang w:eastAsia="en-ZA"/>
        </w:rPr>
        <w:tab/>
      </w:r>
      <w:r w:rsidR="0021088C" w:rsidRPr="00096EE5">
        <w:rPr>
          <w:rFonts w:ascii="Arial" w:eastAsia="Times New Roman" w:hAnsi="Arial" w:cs="Arial"/>
          <w:b/>
          <w:bCs/>
          <w:sz w:val="24"/>
          <w:szCs w:val="24"/>
          <w:lang w:eastAsia="en-ZA"/>
        </w:rPr>
        <w:t xml:space="preserve">       </w:t>
      </w:r>
      <w:r w:rsidRPr="00096EE5">
        <w:rPr>
          <w:rFonts w:ascii="Arial" w:eastAsia="Times New Roman" w:hAnsi="Arial" w:cs="Arial"/>
          <w:b/>
          <w:bCs/>
          <w:sz w:val="24"/>
          <w:szCs w:val="24"/>
          <w:lang w:eastAsia="en-ZA"/>
        </w:rPr>
        <w:t>Third Respondent</w:t>
      </w:r>
    </w:p>
    <w:p w:rsidR="00D86A33" w:rsidRDefault="00D86A33" w:rsidP="00C42E08">
      <w:pPr>
        <w:spacing w:after="0" w:line="360" w:lineRule="auto"/>
        <w:jc w:val="both"/>
        <w:rPr>
          <w:rFonts w:ascii="Arial" w:eastAsia="Times New Roman" w:hAnsi="Arial" w:cs="Arial"/>
          <w:b/>
          <w:bCs/>
          <w:sz w:val="24"/>
          <w:szCs w:val="24"/>
          <w:lang w:eastAsia="en-ZA"/>
        </w:rPr>
      </w:pPr>
      <w:r>
        <w:rPr>
          <w:rFonts w:ascii="Arial" w:eastAsia="Times New Roman" w:hAnsi="Arial" w:cs="Arial"/>
          <w:b/>
          <w:bCs/>
          <w:sz w:val="24"/>
          <w:szCs w:val="24"/>
          <w:lang w:eastAsia="en-ZA"/>
        </w:rPr>
        <w:t>___________________________________________________________________</w:t>
      </w:r>
    </w:p>
    <w:p w:rsidR="00350C37" w:rsidRDefault="00D86A33" w:rsidP="00D86A33">
      <w:pPr>
        <w:spacing w:line="360" w:lineRule="auto"/>
        <w:jc w:val="both"/>
        <w:rPr>
          <w:sz w:val="20"/>
          <w:szCs w:val="20"/>
        </w:rPr>
      </w:pPr>
      <w:r w:rsidRPr="00CD12D9">
        <w:rPr>
          <w:sz w:val="20"/>
          <w:szCs w:val="20"/>
        </w:rPr>
        <w:t xml:space="preserve">This judgment was handed down electronically by circulation to the parties’ representatives by email, and released to SAFLII. The date for hand down is deemed to be </w:t>
      </w:r>
      <w:r>
        <w:rPr>
          <w:sz w:val="20"/>
          <w:szCs w:val="20"/>
        </w:rPr>
        <w:t>01 March 2023 (Wednesday) at 10:30am</w:t>
      </w:r>
      <w:r w:rsidRPr="00CD12D9">
        <w:rPr>
          <w:sz w:val="20"/>
          <w:szCs w:val="20"/>
        </w:rPr>
        <w:t xml:space="preserve"> </w:t>
      </w:r>
    </w:p>
    <w:p w:rsidR="00D86A33" w:rsidRPr="00D86A33" w:rsidRDefault="00D86A33" w:rsidP="00D86A33">
      <w:pPr>
        <w:spacing w:line="360" w:lineRule="auto"/>
        <w:jc w:val="both"/>
        <w:rPr>
          <w:sz w:val="20"/>
          <w:szCs w:val="20"/>
        </w:rPr>
      </w:pPr>
    </w:p>
    <w:p w:rsidR="00ED499D" w:rsidRPr="00096EE5" w:rsidRDefault="00ED499D" w:rsidP="00C42E08">
      <w:pPr>
        <w:pBdr>
          <w:top w:val="single" w:sz="12" w:space="1" w:color="auto"/>
          <w:bottom w:val="single" w:sz="12" w:space="1" w:color="auto"/>
        </w:pBdr>
        <w:spacing w:after="0" w:line="360" w:lineRule="auto"/>
        <w:jc w:val="both"/>
        <w:rPr>
          <w:rFonts w:ascii="Arial" w:eastAsia="Times New Roman" w:hAnsi="Arial" w:cs="Arial"/>
          <w:b/>
          <w:sz w:val="24"/>
          <w:szCs w:val="24"/>
          <w:lang w:eastAsia="en-ZA"/>
        </w:rPr>
      </w:pPr>
    </w:p>
    <w:p w:rsidR="00ED499D" w:rsidRPr="00096EE5" w:rsidRDefault="00ED499D" w:rsidP="00C42E08">
      <w:pPr>
        <w:pBdr>
          <w:top w:val="single" w:sz="12" w:space="1" w:color="auto"/>
          <w:bottom w:val="single" w:sz="12" w:space="1" w:color="auto"/>
        </w:pBdr>
        <w:spacing w:after="0" w:line="360" w:lineRule="auto"/>
        <w:jc w:val="center"/>
        <w:rPr>
          <w:rFonts w:ascii="Arial" w:eastAsia="Times New Roman" w:hAnsi="Arial" w:cs="Arial"/>
          <w:b/>
          <w:sz w:val="24"/>
          <w:szCs w:val="24"/>
          <w:lang w:eastAsia="en-ZA"/>
        </w:rPr>
      </w:pPr>
      <w:r w:rsidRPr="00096EE5">
        <w:rPr>
          <w:rFonts w:ascii="Arial" w:eastAsia="Times New Roman" w:hAnsi="Arial" w:cs="Arial"/>
          <w:b/>
          <w:sz w:val="24"/>
          <w:szCs w:val="24"/>
          <w:lang w:eastAsia="en-ZA"/>
        </w:rPr>
        <w:t>ORDER</w:t>
      </w:r>
    </w:p>
    <w:p w:rsidR="00ED499D" w:rsidRPr="00096EE5" w:rsidRDefault="00ED499D" w:rsidP="00C42E08">
      <w:pPr>
        <w:pBdr>
          <w:top w:val="single" w:sz="12" w:space="1" w:color="auto"/>
          <w:bottom w:val="single" w:sz="12" w:space="1" w:color="auto"/>
        </w:pBdr>
        <w:spacing w:line="360" w:lineRule="auto"/>
        <w:jc w:val="both"/>
        <w:rPr>
          <w:rFonts w:ascii="Arial" w:eastAsia="Times New Roman" w:hAnsi="Arial" w:cs="Arial"/>
          <w:b/>
          <w:sz w:val="24"/>
          <w:szCs w:val="24"/>
          <w:lang w:eastAsia="en-ZA"/>
        </w:rPr>
      </w:pPr>
    </w:p>
    <w:p w:rsidR="00ED499D" w:rsidRPr="00096EE5" w:rsidRDefault="00ED499D" w:rsidP="00C42E08">
      <w:pPr>
        <w:spacing w:line="360" w:lineRule="auto"/>
        <w:jc w:val="both"/>
        <w:rPr>
          <w:rFonts w:ascii="Arial" w:hAnsi="Arial" w:cs="Arial"/>
          <w:sz w:val="24"/>
          <w:szCs w:val="24"/>
        </w:rPr>
      </w:pPr>
      <w:r w:rsidRPr="00096EE5">
        <w:rPr>
          <w:rFonts w:ascii="Arial" w:hAnsi="Arial" w:cs="Arial"/>
          <w:sz w:val="24"/>
          <w:szCs w:val="24"/>
        </w:rPr>
        <w:t>The following order shall issue:</w:t>
      </w:r>
    </w:p>
    <w:p w:rsidR="00B42689" w:rsidRPr="006C26D5" w:rsidRDefault="006C26D5" w:rsidP="006C26D5">
      <w:pPr>
        <w:spacing w:line="360" w:lineRule="auto"/>
        <w:ind w:left="1080" w:hanging="360"/>
        <w:jc w:val="both"/>
        <w:rPr>
          <w:rFonts w:ascii="Arial" w:eastAsia="Times New Roman" w:hAnsi="Arial" w:cs="Arial"/>
          <w:b/>
          <w:sz w:val="24"/>
          <w:szCs w:val="24"/>
          <w:lang w:eastAsia="en-ZA"/>
        </w:rPr>
      </w:pPr>
      <w:r w:rsidRPr="00096EE5">
        <w:rPr>
          <w:rFonts w:ascii="Arial" w:eastAsia="Times New Roman" w:hAnsi="Arial" w:cs="Arial"/>
          <w:sz w:val="24"/>
          <w:szCs w:val="24"/>
          <w:lang w:eastAsia="en-ZA"/>
        </w:rPr>
        <w:t>1.</w:t>
      </w:r>
      <w:r w:rsidRPr="00096EE5">
        <w:rPr>
          <w:rFonts w:ascii="Arial" w:eastAsia="Times New Roman" w:hAnsi="Arial" w:cs="Arial"/>
          <w:sz w:val="24"/>
          <w:szCs w:val="24"/>
          <w:lang w:eastAsia="en-ZA"/>
        </w:rPr>
        <w:tab/>
      </w:r>
      <w:r w:rsidR="00125E99" w:rsidRPr="006C26D5">
        <w:rPr>
          <w:rFonts w:ascii="Arial" w:hAnsi="Arial" w:cs="Arial"/>
          <w:sz w:val="24"/>
          <w:szCs w:val="24"/>
        </w:rPr>
        <w:t>The application by NUM for urgent interim relief in paragraph 4(a)</w:t>
      </w:r>
      <w:r w:rsidR="00783E9E" w:rsidRPr="006C26D5">
        <w:rPr>
          <w:rFonts w:ascii="Arial" w:hAnsi="Arial" w:cs="Arial"/>
          <w:sz w:val="24"/>
          <w:szCs w:val="24"/>
        </w:rPr>
        <w:t>, (b) and</w:t>
      </w:r>
      <w:r w:rsidR="00125E99" w:rsidRPr="006C26D5">
        <w:rPr>
          <w:rFonts w:ascii="Arial" w:hAnsi="Arial" w:cs="Arial"/>
          <w:sz w:val="24"/>
          <w:szCs w:val="24"/>
        </w:rPr>
        <w:t xml:space="preserve"> (c) of the </w:t>
      </w:r>
      <w:r w:rsidR="005D1001" w:rsidRPr="006C26D5">
        <w:rPr>
          <w:rFonts w:ascii="Arial" w:hAnsi="Arial" w:cs="Arial"/>
          <w:sz w:val="24"/>
          <w:szCs w:val="24"/>
        </w:rPr>
        <w:t>n</w:t>
      </w:r>
      <w:r w:rsidR="00125E99" w:rsidRPr="006C26D5">
        <w:rPr>
          <w:rFonts w:ascii="Arial" w:hAnsi="Arial" w:cs="Arial"/>
          <w:sz w:val="24"/>
          <w:szCs w:val="24"/>
        </w:rPr>
        <w:t xml:space="preserve">otice of </w:t>
      </w:r>
      <w:r w:rsidR="005D1001" w:rsidRPr="006C26D5">
        <w:rPr>
          <w:rFonts w:ascii="Arial" w:hAnsi="Arial" w:cs="Arial"/>
          <w:sz w:val="24"/>
          <w:szCs w:val="24"/>
        </w:rPr>
        <w:t>m</w:t>
      </w:r>
      <w:r w:rsidR="00125E99" w:rsidRPr="006C26D5">
        <w:rPr>
          <w:rFonts w:ascii="Arial" w:hAnsi="Arial" w:cs="Arial"/>
          <w:sz w:val="24"/>
          <w:szCs w:val="24"/>
        </w:rPr>
        <w:t xml:space="preserve">otion is dismissed with costs, including the costs of two counsel where so employed. </w:t>
      </w:r>
    </w:p>
    <w:p w:rsidR="0021088C" w:rsidRPr="00096EE5" w:rsidRDefault="0021088C" w:rsidP="00C42E08">
      <w:pPr>
        <w:pBdr>
          <w:top w:val="single" w:sz="12" w:space="1" w:color="auto"/>
          <w:bottom w:val="single" w:sz="12" w:space="1" w:color="auto"/>
        </w:pBdr>
        <w:spacing w:after="0" w:line="360" w:lineRule="auto"/>
        <w:jc w:val="both"/>
        <w:rPr>
          <w:rFonts w:ascii="Arial" w:eastAsia="Times New Roman" w:hAnsi="Arial" w:cs="Arial"/>
          <w:b/>
          <w:sz w:val="24"/>
          <w:szCs w:val="24"/>
          <w:highlight w:val="yellow"/>
          <w:lang w:eastAsia="en-ZA"/>
        </w:rPr>
      </w:pPr>
    </w:p>
    <w:p w:rsidR="00ED499D" w:rsidRPr="00096EE5" w:rsidRDefault="00ED499D" w:rsidP="00C42E08">
      <w:pPr>
        <w:pBdr>
          <w:top w:val="single" w:sz="12" w:space="1" w:color="auto"/>
          <w:bottom w:val="single" w:sz="12" w:space="1" w:color="auto"/>
        </w:pBdr>
        <w:spacing w:after="0" w:line="360" w:lineRule="auto"/>
        <w:jc w:val="center"/>
        <w:rPr>
          <w:rFonts w:ascii="Arial" w:eastAsia="Times New Roman" w:hAnsi="Arial" w:cs="Arial"/>
          <w:b/>
          <w:sz w:val="24"/>
          <w:szCs w:val="24"/>
          <w:lang w:eastAsia="en-ZA"/>
        </w:rPr>
      </w:pPr>
      <w:r w:rsidRPr="00096EE5">
        <w:rPr>
          <w:rFonts w:ascii="Arial" w:eastAsia="Times New Roman" w:hAnsi="Arial" w:cs="Arial"/>
          <w:b/>
          <w:sz w:val="24"/>
          <w:szCs w:val="24"/>
          <w:lang w:eastAsia="en-ZA"/>
        </w:rPr>
        <w:t>JUDGMENT</w:t>
      </w:r>
    </w:p>
    <w:p w:rsidR="00ED499D" w:rsidRPr="00096EE5" w:rsidRDefault="00ED499D" w:rsidP="00C42E08">
      <w:pPr>
        <w:pBdr>
          <w:top w:val="single" w:sz="12" w:space="1" w:color="auto"/>
          <w:bottom w:val="single" w:sz="12" w:space="1" w:color="auto"/>
        </w:pBdr>
        <w:spacing w:line="360" w:lineRule="auto"/>
        <w:jc w:val="both"/>
        <w:rPr>
          <w:rFonts w:ascii="Arial" w:eastAsia="Times New Roman" w:hAnsi="Arial" w:cs="Arial"/>
          <w:b/>
          <w:sz w:val="24"/>
          <w:szCs w:val="24"/>
          <w:highlight w:val="yellow"/>
          <w:lang w:eastAsia="en-ZA"/>
        </w:rPr>
      </w:pPr>
    </w:p>
    <w:p w:rsidR="00C51297" w:rsidRPr="00096EE5" w:rsidRDefault="00C51297" w:rsidP="00C42E08">
      <w:pPr>
        <w:spacing w:after="0" w:line="360" w:lineRule="auto"/>
        <w:jc w:val="both"/>
        <w:rPr>
          <w:rFonts w:ascii="Arial" w:eastAsia="Times New Roman" w:hAnsi="Arial" w:cs="Arial"/>
          <w:b/>
          <w:sz w:val="24"/>
          <w:szCs w:val="24"/>
          <w:lang w:eastAsia="en-ZA"/>
        </w:rPr>
      </w:pPr>
      <w:r w:rsidRPr="00096EE5">
        <w:rPr>
          <w:rFonts w:ascii="Arial" w:eastAsia="Times New Roman" w:hAnsi="Arial" w:cs="Arial"/>
          <w:b/>
          <w:sz w:val="24"/>
          <w:szCs w:val="24"/>
          <w:lang w:eastAsia="en-ZA"/>
        </w:rPr>
        <w:t>Chetty J</w:t>
      </w:r>
      <w:r w:rsidR="00192B97" w:rsidRPr="00096EE5">
        <w:rPr>
          <w:rFonts w:ascii="Arial" w:eastAsia="Times New Roman" w:hAnsi="Arial" w:cs="Arial"/>
          <w:b/>
          <w:sz w:val="24"/>
          <w:szCs w:val="24"/>
          <w:lang w:eastAsia="en-ZA"/>
        </w:rPr>
        <w:t>:</w:t>
      </w:r>
      <w:r w:rsidRPr="00096EE5">
        <w:rPr>
          <w:rFonts w:ascii="Arial" w:eastAsia="Times New Roman" w:hAnsi="Arial" w:cs="Arial"/>
          <w:sz w:val="28"/>
          <w:szCs w:val="28"/>
          <w:lang w:eastAsia="en-ZA"/>
        </w:rPr>
        <w:t xml:space="preserve"> </w:t>
      </w:r>
    </w:p>
    <w:p w:rsidR="001C7444" w:rsidRPr="00096EE5" w:rsidRDefault="00B93060" w:rsidP="00C42E08">
      <w:pPr>
        <w:pStyle w:val="ListParagraph"/>
        <w:spacing w:line="360" w:lineRule="auto"/>
        <w:ind w:left="0"/>
        <w:jc w:val="both"/>
        <w:rPr>
          <w:rFonts w:ascii="Arial" w:hAnsi="Arial" w:cs="Arial"/>
          <w:sz w:val="24"/>
          <w:szCs w:val="24"/>
        </w:rPr>
      </w:pPr>
      <w:r w:rsidRPr="00096EE5">
        <w:rPr>
          <w:rFonts w:ascii="Arial" w:hAnsi="Arial" w:cs="Arial"/>
          <w:sz w:val="24"/>
          <w:szCs w:val="24"/>
        </w:rPr>
        <w:t>[1]</w:t>
      </w:r>
      <w:r w:rsidRPr="00096EE5">
        <w:rPr>
          <w:rFonts w:ascii="Arial" w:hAnsi="Arial" w:cs="Arial"/>
          <w:sz w:val="24"/>
          <w:szCs w:val="24"/>
        </w:rPr>
        <w:tab/>
      </w:r>
      <w:r w:rsidR="00FB29E7" w:rsidRPr="00096EE5">
        <w:rPr>
          <w:rFonts w:ascii="Arial" w:hAnsi="Arial" w:cs="Arial"/>
          <w:sz w:val="24"/>
          <w:szCs w:val="24"/>
        </w:rPr>
        <w:t xml:space="preserve">The applicant in this matter, the National Union of Mineworkers (NUM) launched an urgent application </w:t>
      </w:r>
      <w:r w:rsidR="007A414F">
        <w:rPr>
          <w:rFonts w:ascii="Arial" w:hAnsi="Arial" w:cs="Arial"/>
          <w:sz w:val="24"/>
          <w:szCs w:val="24"/>
        </w:rPr>
        <w:t xml:space="preserve">to intervene in the main dispute between </w:t>
      </w:r>
      <w:r w:rsidR="007A414F" w:rsidRPr="00096EE5">
        <w:rPr>
          <w:rFonts w:ascii="Arial" w:hAnsi="Arial" w:cs="Arial"/>
          <w:sz w:val="24"/>
          <w:szCs w:val="24"/>
        </w:rPr>
        <w:t>Optimum Coal Mine (OCM), Optimum Coal Terminal (OCT)</w:t>
      </w:r>
      <w:r w:rsidR="007A414F">
        <w:rPr>
          <w:rFonts w:ascii="Arial" w:hAnsi="Arial" w:cs="Arial"/>
          <w:sz w:val="24"/>
          <w:szCs w:val="24"/>
        </w:rPr>
        <w:t xml:space="preserve"> and Richards Bay Coal Terminal (RBCT) and in which it sought interim relief pending the determination of the main application.  This application was issued on </w:t>
      </w:r>
      <w:r w:rsidR="007324F8" w:rsidRPr="00096EE5">
        <w:rPr>
          <w:rFonts w:ascii="Arial" w:hAnsi="Arial" w:cs="Arial"/>
          <w:sz w:val="24"/>
          <w:szCs w:val="24"/>
        </w:rPr>
        <w:t>Thursday, 2 February 2023</w:t>
      </w:r>
      <w:r w:rsidR="007A414F">
        <w:rPr>
          <w:rFonts w:ascii="Arial" w:hAnsi="Arial" w:cs="Arial"/>
          <w:sz w:val="24"/>
          <w:szCs w:val="24"/>
        </w:rPr>
        <w:t xml:space="preserve"> and </w:t>
      </w:r>
      <w:r w:rsidR="007324F8" w:rsidRPr="00096EE5">
        <w:rPr>
          <w:rFonts w:ascii="Arial" w:hAnsi="Arial" w:cs="Arial"/>
          <w:sz w:val="24"/>
          <w:szCs w:val="24"/>
        </w:rPr>
        <w:t>set down for hearing on Monday, 6 February 2023. The papers were served on the first respondent</w:t>
      </w:r>
      <w:r w:rsidR="007A414F">
        <w:rPr>
          <w:rFonts w:ascii="Arial" w:hAnsi="Arial" w:cs="Arial"/>
          <w:sz w:val="24"/>
          <w:szCs w:val="24"/>
        </w:rPr>
        <w:t xml:space="preserve"> (RBCT) on 2 February 2023.  RBCT was </w:t>
      </w:r>
      <w:r w:rsidR="007324F8" w:rsidRPr="00096EE5">
        <w:rPr>
          <w:rFonts w:ascii="Arial" w:hAnsi="Arial" w:cs="Arial"/>
          <w:sz w:val="24"/>
          <w:szCs w:val="24"/>
        </w:rPr>
        <w:t>the only entity that opposed th</w:t>
      </w:r>
      <w:r w:rsidR="007A414F">
        <w:rPr>
          <w:rFonts w:ascii="Arial" w:hAnsi="Arial" w:cs="Arial"/>
          <w:sz w:val="24"/>
          <w:szCs w:val="24"/>
        </w:rPr>
        <w:t>e</w:t>
      </w:r>
      <w:r w:rsidR="007324F8" w:rsidRPr="00096EE5">
        <w:rPr>
          <w:rFonts w:ascii="Arial" w:hAnsi="Arial" w:cs="Arial"/>
          <w:sz w:val="24"/>
          <w:szCs w:val="24"/>
        </w:rPr>
        <w:t xml:space="preserve"> application. At the same time, various other voluminous affidavits were filed in the main application </w:t>
      </w:r>
      <w:r w:rsidR="007A414F">
        <w:rPr>
          <w:rFonts w:ascii="Arial" w:hAnsi="Arial" w:cs="Arial"/>
          <w:sz w:val="24"/>
          <w:szCs w:val="24"/>
        </w:rPr>
        <w:t xml:space="preserve">involving </w:t>
      </w:r>
      <w:r w:rsidR="007324F8" w:rsidRPr="00096EE5">
        <w:rPr>
          <w:rFonts w:ascii="Arial" w:hAnsi="Arial" w:cs="Arial"/>
          <w:sz w:val="24"/>
          <w:szCs w:val="24"/>
        </w:rPr>
        <w:t>OCM</w:t>
      </w:r>
      <w:r w:rsidR="00263C92" w:rsidRPr="00096EE5">
        <w:rPr>
          <w:rFonts w:ascii="Arial" w:hAnsi="Arial" w:cs="Arial"/>
          <w:sz w:val="24"/>
          <w:szCs w:val="24"/>
        </w:rPr>
        <w:t>,</w:t>
      </w:r>
      <w:r w:rsidR="007324F8" w:rsidRPr="00096EE5">
        <w:rPr>
          <w:rFonts w:ascii="Arial" w:hAnsi="Arial" w:cs="Arial"/>
          <w:sz w:val="24"/>
          <w:szCs w:val="24"/>
        </w:rPr>
        <w:t xml:space="preserve"> OCT</w:t>
      </w:r>
      <w:r w:rsidR="007A414F">
        <w:rPr>
          <w:rFonts w:ascii="Arial" w:hAnsi="Arial" w:cs="Arial"/>
          <w:sz w:val="24"/>
          <w:szCs w:val="24"/>
        </w:rPr>
        <w:t xml:space="preserve">, </w:t>
      </w:r>
      <w:r w:rsidR="007324F8" w:rsidRPr="00096EE5">
        <w:rPr>
          <w:rFonts w:ascii="Arial" w:hAnsi="Arial" w:cs="Arial"/>
          <w:sz w:val="24"/>
          <w:szCs w:val="24"/>
        </w:rPr>
        <w:t>the National Prosecuting Authority (NPA)</w:t>
      </w:r>
      <w:r w:rsidR="007A414F">
        <w:rPr>
          <w:rFonts w:ascii="Arial" w:hAnsi="Arial" w:cs="Arial"/>
          <w:sz w:val="24"/>
          <w:szCs w:val="24"/>
        </w:rPr>
        <w:t xml:space="preserve"> as well as </w:t>
      </w:r>
      <w:r w:rsidR="007324F8" w:rsidRPr="00096EE5">
        <w:rPr>
          <w:rFonts w:ascii="Arial" w:hAnsi="Arial" w:cs="Arial"/>
          <w:sz w:val="24"/>
          <w:szCs w:val="24"/>
        </w:rPr>
        <w:t xml:space="preserve">the second and third respondents, </w:t>
      </w:r>
      <w:r w:rsidR="007A414F">
        <w:rPr>
          <w:rFonts w:ascii="Arial" w:hAnsi="Arial" w:cs="Arial"/>
          <w:sz w:val="24"/>
          <w:szCs w:val="24"/>
        </w:rPr>
        <w:t xml:space="preserve">being </w:t>
      </w:r>
      <w:r w:rsidR="007324F8" w:rsidRPr="00096EE5">
        <w:rPr>
          <w:rFonts w:ascii="Arial" w:hAnsi="Arial" w:cs="Arial"/>
          <w:sz w:val="24"/>
          <w:szCs w:val="24"/>
        </w:rPr>
        <w:t xml:space="preserve">Templar </w:t>
      </w:r>
      <w:r w:rsidR="007A414F">
        <w:rPr>
          <w:rFonts w:ascii="Arial" w:hAnsi="Arial" w:cs="Arial"/>
          <w:sz w:val="24"/>
          <w:szCs w:val="24"/>
        </w:rPr>
        <w:t xml:space="preserve">Capital </w:t>
      </w:r>
      <w:r w:rsidR="007324F8" w:rsidRPr="00096EE5">
        <w:rPr>
          <w:rFonts w:ascii="Arial" w:hAnsi="Arial" w:cs="Arial"/>
          <w:sz w:val="24"/>
          <w:szCs w:val="24"/>
        </w:rPr>
        <w:t>and Liberty</w:t>
      </w:r>
      <w:r w:rsidR="007A414F">
        <w:rPr>
          <w:rFonts w:ascii="Arial" w:hAnsi="Arial" w:cs="Arial"/>
          <w:sz w:val="24"/>
          <w:szCs w:val="24"/>
        </w:rPr>
        <w:t xml:space="preserve"> Coal</w:t>
      </w:r>
      <w:r w:rsidR="003D51E2" w:rsidRPr="00096EE5">
        <w:rPr>
          <w:rFonts w:ascii="Arial" w:hAnsi="Arial" w:cs="Arial"/>
          <w:sz w:val="24"/>
          <w:szCs w:val="24"/>
        </w:rPr>
        <w:t xml:space="preserve"> respectively</w:t>
      </w:r>
      <w:r w:rsidR="007324F8" w:rsidRPr="00096EE5">
        <w:rPr>
          <w:rFonts w:ascii="Arial" w:hAnsi="Arial" w:cs="Arial"/>
          <w:sz w:val="24"/>
          <w:szCs w:val="24"/>
        </w:rPr>
        <w:t xml:space="preserve">. </w:t>
      </w:r>
      <w:r w:rsidR="007A414F">
        <w:rPr>
          <w:rFonts w:ascii="Arial" w:hAnsi="Arial" w:cs="Arial"/>
          <w:sz w:val="24"/>
          <w:szCs w:val="24"/>
        </w:rPr>
        <w:t xml:space="preserve">When </w:t>
      </w:r>
      <w:r w:rsidR="007324F8" w:rsidRPr="00096EE5">
        <w:rPr>
          <w:rFonts w:ascii="Arial" w:hAnsi="Arial" w:cs="Arial"/>
          <w:sz w:val="24"/>
          <w:szCs w:val="24"/>
        </w:rPr>
        <w:t>the matter came before my colleague</w:t>
      </w:r>
      <w:r w:rsidR="00862DD8" w:rsidRPr="00096EE5">
        <w:rPr>
          <w:rFonts w:ascii="Arial" w:hAnsi="Arial" w:cs="Arial"/>
          <w:sz w:val="24"/>
          <w:szCs w:val="24"/>
        </w:rPr>
        <w:t>,</w:t>
      </w:r>
      <w:r w:rsidR="007324F8" w:rsidRPr="00096EE5">
        <w:rPr>
          <w:rFonts w:ascii="Arial" w:hAnsi="Arial" w:cs="Arial"/>
          <w:sz w:val="24"/>
          <w:szCs w:val="24"/>
        </w:rPr>
        <w:t xml:space="preserve"> Balton J</w:t>
      </w:r>
      <w:r w:rsidR="00862DD8" w:rsidRPr="00096EE5">
        <w:rPr>
          <w:rFonts w:ascii="Arial" w:hAnsi="Arial" w:cs="Arial"/>
          <w:sz w:val="24"/>
          <w:szCs w:val="24"/>
        </w:rPr>
        <w:t>,</w:t>
      </w:r>
      <w:r w:rsidR="007324F8" w:rsidRPr="00096EE5">
        <w:rPr>
          <w:rFonts w:ascii="Arial" w:hAnsi="Arial" w:cs="Arial"/>
          <w:sz w:val="24"/>
          <w:szCs w:val="24"/>
        </w:rPr>
        <w:t xml:space="preserve"> in the motion court</w:t>
      </w:r>
      <w:r w:rsidR="007A414F">
        <w:rPr>
          <w:rFonts w:ascii="Arial" w:hAnsi="Arial" w:cs="Arial"/>
          <w:sz w:val="24"/>
          <w:szCs w:val="24"/>
        </w:rPr>
        <w:t xml:space="preserve"> on 6 February 2023</w:t>
      </w:r>
      <w:r w:rsidR="007324F8" w:rsidRPr="00096EE5">
        <w:rPr>
          <w:rFonts w:ascii="Arial" w:hAnsi="Arial" w:cs="Arial"/>
          <w:sz w:val="24"/>
          <w:szCs w:val="24"/>
        </w:rPr>
        <w:t xml:space="preserve">, the papers had </w:t>
      </w:r>
      <w:r w:rsidR="001C7444" w:rsidRPr="00096EE5">
        <w:rPr>
          <w:rFonts w:ascii="Arial" w:hAnsi="Arial" w:cs="Arial"/>
          <w:sz w:val="24"/>
          <w:szCs w:val="24"/>
        </w:rPr>
        <w:t xml:space="preserve">expanded </w:t>
      </w:r>
      <w:r w:rsidR="007324F8" w:rsidRPr="00096EE5">
        <w:rPr>
          <w:rFonts w:ascii="Arial" w:hAnsi="Arial" w:cs="Arial"/>
          <w:sz w:val="24"/>
          <w:szCs w:val="24"/>
        </w:rPr>
        <w:t xml:space="preserve">to </w:t>
      </w:r>
      <w:r w:rsidR="00BC041B" w:rsidRPr="00096EE5">
        <w:rPr>
          <w:rFonts w:ascii="Arial" w:hAnsi="Arial" w:cs="Arial"/>
          <w:sz w:val="24"/>
          <w:szCs w:val="24"/>
        </w:rPr>
        <w:t xml:space="preserve">being </w:t>
      </w:r>
      <w:r w:rsidR="001C7444" w:rsidRPr="00096EE5">
        <w:rPr>
          <w:rFonts w:ascii="Arial" w:hAnsi="Arial" w:cs="Arial"/>
          <w:sz w:val="24"/>
          <w:szCs w:val="24"/>
        </w:rPr>
        <w:t>in excess of 6</w:t>
      </w:r>
      <w:r w:rsidR="00B36833" w:rsidRPr="00096EE5">
        <w:rPr>
          <w:rFonts w:ascii="Arial" w:hAnsi="Arial" w:cs="Arial"/>
          <w:sz w:val="24"/>
          <w:szCs w:val="24"/>
        </w:rPr>
        <w:t xml:space="preserve"> </w:t>
      </w:r>
      <w:r w:rsidR="001C7444" w:rsidRPr="00096EE5">
        <w:rPr>
          <w:rFonts w:ascii="Arial" w:hAnsi="Arial" w:cs="Arial"/>
          <w:sz w:val="24"/>
          <w:szCs w:val="24"/>
        </w:rPr>
        <w:t xml:space="preserve">000 pages. It was impossible for all of these papers to have been read over the weekend, and the application was accordingly adjourned by consent of the parties, who were able to secure an earlier date </w:t>
      </w:r>
      <w:r w:rsidR="007A414F">
        <w:rPr>
          <w:rFonts w:ascii="Arial" w:hAnsi="Arial" w:cs="Arial"/>
          <w:sz w:val="24"/>
          <w:szCs w:val="24"/>
        </w:rPr>
        <w:t xml:space="preserve">of 16 February 2023 </w:t>
      </w:r>
      <w:r w:rsidR="001C7444" w:rsidRPr="00096EE5">
        <w:rPr>
          <w:rFonts w:ascii="Arial" w:hAnsi="Arial" w:cs="Arial"/>
          <w:sz w:val="24"/>
          <w:szCs w:val="24"/>
        </w:rPr>
        <w:t xml:space="preserve">for the hearing of the matter on the opposed roll. </w:t>
      </w:r>
    </w:p>
    <w:p w:rsidR="001C7444" w:rsidRPr="00096EE5" w:rsidRDefault="001C7444" w:rsidP="00C42E08">
      <w:pPr>
        <w:pStyle w:val="ListParagraph"/>
        <w:spacing w:line="360" w:lineRule="auto"/>
        <w:ind w:left="0"/>
        <w:jc w:val="both"/>
        <w:rPr>
          <w:rFonts w:ascii="Arial" w:hAnsi="Arial" w:cs="Arial"/>
          <w:sz w:val="24"/>
          <w:szCs w:val="24"/>
          <w:highlight w:val="yellow"/>
        </w:rPr>
      </w:pPr>
    </w:p>
    <w:p w:rsidR="003C4DBC" w:rsidRPr="00096EE5" w:rsidRDefault="0021088C" w:rsidP="00C42E08">
      <w:pPr>
        <w:pStyle w:val="ListParagraph"/>
        <w:spacing w:line="360" w:lineRule="auto"/>
        <w:ind w:left="0"/>
        <w:jc w:val="both"/>
        <w:rPr>
          <w:rFonts w:ascii="Arial" w:hAnsi="Arial" w:cs="Arial"/>
          <w:sz w:val="24"/>
          <w:szCs w:val="24"/>
          <w:highlight w:val="yellow"/>
        </w:rPr>
      </w:pPr>
      <w:r w:rsidRPr="00096EE5">
        <w:rPr>
          <w:rFonts w:ascii="Arial" w:hAnsi="Arial" w:cs="Arial"/>
          <w:sz w:val="24"/>
          <w:szCs w:val="24"/>
        </w:rPr>
        <w:t>[2]</w:t>
      </w:r>
      <w:r w:rsidRPr="00096EE5">
        <w:rPr>
          <w:rFonts w:ascii="Arial" w:hAnsi="Arial" w:cs="Arial"/>
          <w:sz w:val="24"/>
          <w:szCs w:val="24"/>
        </w:rPr>
        <w:tab/>
      </w:r>
      <w:r w:rsidR="001C7444" w:rsidRPr="00096EE5">
        <w:rPr>
          <w:rFonts w:ascii="Arial" w:hAnsi="Arial" w:cs="Arial"/>
          <w:sz w:val="24"/>
          <w:szCs w:val="24"/>
        </w:rPr>
        <w:t xml:space="preserve">It is perhaps prudent at the outset to </w:t>
      </w:r>
      <w:r w:rsidR="00E904F9">
        <w:rPr>
          <w:rFonts w:ascii="Arial" w:hAnsi="Arial" w:cs="Arial"/>
          <w:sz w:val="24"/>
          <w:szCs w:val="24"/>
        </w:rPr>
        <w:t xml:space="preserve">record </w:t>
      </w:r>
      <w:r w:rsidR="001C7444" w:rsidRPr="00096EE5">
        <w:rPr>
          <w:rFonts w:ascii="Arial" w:hAnsi="Arial" w:cs="Arial"/>
          <w:sz w:val="24"/>
          <w:szCs w:val="24"/>
        </w:rPr>
        <w:t xml:space="preserve">that while access to the </w:t>
      </w:r>
      <w:r w:rsidR="000E79FA" w:rsidRPr="00096EE5">
        <w:rPr>
          <w:rFonts w:ascii="Arial" w:hAnsi="Arial" w:cs="Arial"/>
          <w:sz w:val="24"/>
          <w:szCs w:val="24"/>
        </w:rPr>
        <w:t>c</w:t>
      </w:r>
      <w:r w:rsidR="001C7444" w:rsidRPr="00096EE5">
        <w:rPr>
          <w:rFonts w:ascii="Arial" w:hAnsi="Arial" w:cs="Arial"/>
          <w:sz w:val="24"/>
          <w:szCs w:val="24"/>
        </w:rPr>
        <w:t xml:space="preserve">ourts </w:t>
      </w:r>
      <w:r w:rsidR="00426AEF" w:rsidRPr="00096EE5">
        <w:rPr>
          <w:rFonts w:ascii="Arial" w:hAnsi="Arial" w:cs="Arial"/>
          <w:sz w:val="24"/>
          <w:szCs w:val="24"/>
        </w:rPr>
        <w:t>is</w:t>
      </w:r>
      <w:r w:rsidR="001C7444" w:rsidRPr="00096EE5">
        <w:rPr>
          <w:rFonts w:ascii="Arial" w:hAnsi="Arial" w:cs="Arial"/>
          <w:sz w:val="24"/>
          <w:szCs w:val="24"/>
        </w:rPr>
        <w:t xml:space="preserve"> </w:t>
      </w:r>
      <w:r w:rsidR="003C4DBC" w:rsidRPr="00096EE5">
        <w:rPr>
          <w:rFonts w:ascii="Arial" w:hAnsi="Arial" w:cs="Arial"/>
          <w:sz w:val="24"/>
          <w:szCs w:val="24"/>
        </w:rPr>
        <w:t xml:space="preserve">guaranteed to all to have their </w:t>
      </w:r>
      <w:r w:rsidR="001C7444" w:rsidRPr="00096EE5">
        <w:rPr>
          <w:rFonts w:ascii="Arial" w:hAnsi="Arial" w:cs="Arial"/>
          <w:sz w:val="24"/>
          <w:szCs w:val="24"/>
        </w:rPr>
        <w:t>disputes</w:t>
      </w:r>
      <w:r w:rsidR="003C4DBC" w:rsidRPr="00096EE5">
        <w:rPr>
          <w:rFonts w:ascii="Arial" w:hAnsi="Arial" w:cs="Arial"/>
          <w:sz w:val="24"/>
          <w:szCs w:val="24"/>
        </w:rPr>
        <w:t xml:space="preserve"> adjudicated</w:t>
      </w:r>
      <w:r w:rsidR="001C7444" w:rsidRPr="00096EE5">
        <w:rPr>
          <w:rFonts w:ascii="Arial" w:hAnsi="Arial" w:cs="Arial"/>
          <w:sz w:val="24"/>
          <w:szCs w:val="24"/>
        </w:rPr>
        <w:t xml:space="preserve">, courts are not to be abused by </w:t>
      </w:r>
      <w:r w:rsidR="001C7444" w:rsidRPr="00096EE5">
        <w:rPr>
          <w:rFonts w:ascii="Arial" w:hAnsi="Arial" w:cs="Arial"/>
          <w:sz w:val="24"/>
          <w:szCs w:val="24"/>
        </w:rPr>
        <w:lastRenderedPageBreak/>
        <w:t>litigants with a deluge of papers</w:t>
      </w:r>
      <w:r w:rsidR="003C4DBC" w:rsidRPr="00096EE5">
        <w:rPr>
          <w:rFonts w:ascii="Arial" w:hAnsi="Arial" w:cs="Arial"/>
          <w:sz w:val="24"/>
          <w:szCs w:val="24"/>
        </w:rPr>
        <w:t xml:space="preserve"> at short notice</w:t>
      </w:r>
      <w:r w:rsidR="001C7444" w:rsidRPr="00096EE5">
        <w:rPr>
          <w:rFonts w:ascii="Arial" w:hAnsi="Arial" w:cs="Arial"/>
          <w:sz w:val="24"/>
          <w:szCs w:val="24"/>
        </w:rPr>
        <w:t>, only for the legal representatives to conclude amongst themselves that it would not be possible</w:t>
      </w:r>
      <w:r w:rsidR="003C4DBC" w:rsidRPr="00096EE5">
        <w:rPr>
          <w:rFonts w:ascii="Arial" w:hAnsi="Arial" w:cs="Arial"/>
          <w:sz w:val="24"/>
          <w:szCs w:val="24"/>
        </w:rPr>
        <w:t xml:space="preserve"> for the </w:t>
      </w:r>
      <w:r w:rsidR="000E79FA" w:rsidRPr="00096EE5">
        <w:rPr>
          <w:rFonts w:ascii="Arial" w:hAnsi="Arial" w:cs="Arial"/>
          <w:sz w:val="24"/>
          <w:szCs w:val="24"/>
        </w:rPr>
        <w:t>c</w:t>
      </w:r>
      <w:r w:rsidR="001C7444" w:rsidRPr="00096EE5">
        <w:rPr>
          <w:rFonts w:ascii="Arial" w:hAnsi="Arial" w:cs="Arial"/>
          <w:sz w:val="24"/>
          <w:szCs w:val="24"/>
        </w:rPr>
        <w:t xml:space="preserve">ourt to hear the matter on the </w:t>
      </w:r>
      <w:r w:rsidR="003C4DBC" w:rsidRPr="00096EE5">
        <w:rPr>
          <w:rFonts w:ascii="Arial" w:hAnsi="Arial" w:cs="Arial"/>
          <w:sz w:val="24"/>
          <w:szCs w:val="24"/>
        </w:rPr>
        <w:t xml:space="preserve">allocated </w:t>
      </w:r>
      <w:r w:rsidR="001C7444" w:rsidRPr="00096EE5">
        <w:rPr>
          <w:rFonts w:ascii="Arial" w:hAnsi="Arial" w:cs="Arial"/>
          <w:sz w:val="24"/>
          <w:szCs w:val="24"/>
        </w:rPr>
        <w:t>date when it was originally set down</w:t>
      </w:r>
      <w:r w:rsidR="003C4DBC" w:rsidRPr="00096EE5">
        <w:rPr>
          <w:rFonts w:ascii="Arial" w:hAnsi="Arial" w:cs="Arial"/>
          <w:sz w:val="24"/>
          <w:szCs w:val="24"/>
        </w:rPr>
        <w:t xml:space="preserve">. </w:t>
      </w:r>
      <w:r w:rsidR="0042325B" w:rsidRPr="00096EE5">
        <w:rPr>
          <w:rFonts w:ascii="Arial" w:hAnsi="Arial" w:cs="Arial"/>
          <w:sz w:val="24"/>
          <w:szCs w:val="24"/>
        </w:rPr>
        <w:t xml:space="preserve">Litigants are to be mindful of the case load of </w:t>
      </w:r>
      <w:r w:rsidR="0089788A" w:rsidRPr="00096EE5">
        <w:rPr>
          <w:rFonts w:ascii="Arial" w:hAnsi="Arial" w:cs="Arial"/>
          <w:sz w:val="24"/>
          <w:szCs w:val="24"/>
        </w:rPr>
        <w:t>j</w:t>
      </w:r>
      <w:r w:rsidR="0042325B" w:rsidRPr="00096EE5">
        <w:rPr>
          <w:rFonts w:ascii="Arial" w:hAnsi="Arial" w:cs="Arial"/>
          <w:sz w:val="24"/>
          <w:szCs w:val="24"/>
        </w:rPr>
        <w:t xml:space="preserve">udges, particularly where it is expected that apart from other matters on the motion court roll, attention should also be given to reading several thousand pages at short notice. Convenience to the </w:t>
      </w:r>
      <w:r w:rsidR="000E79FA" w:rsidRPr="00096EE5">
        <w:rPr>
          <w:rFonts w:ascii="Arial" w:hAnsi="Arial" w:cs="Arial"/>
          <w:sz w:val="24"/>
          <w:szCs w:val="24"/>
        </w:rPr>
        <w:t>c</w:t>
      </w:r>
      <w:r w:rsidR="0042325B" w:rsidRPr="00096EE5">
        <w:rPr>
          <w:rFonts w:ascii="Arial" w:hAnsi="Arial" w:cs="Arial"/>
          <w:sz w:val="24"/>
          <w:szCs w:val="24"/>
        </w:rPr>
        <w:t xml:space="preserve">ourt and the </w:t>
      </w:r>
      <w:r w:rsidR="000E79FA" w:rsidRPr="00096EE5">
        <w:rPr>
          <w:rFonts w:ascii="Arial" w:hAnsi="Arial" w:cs="Arial"/>
          <w:sz w:val="24"/>
          <w:szCs w:val="24"/>
        </w:rPr>
        <w:t>j</w:t>
      </w:r>
      <w:r w:rsidR="0042325B" w:rsidRPr="00096EE5">
        <w:rPr>
          <w:rFonts w:ascii="Arial" w:hAnsi="Arial" w:cs="Arial"/>
          <w:sz w:val="24"/>
          <w:szCs w:val="24"/>
        </w:rPr>
        <w:t xml:space="preserve">udges presiding is an important consideration when deciding to launch urgent litigation of this nature.  The failure to </w:t>
      </w:r>
      <w:r w:rsidR="00664B67" w:rsidRPr="00096EE5">
        <w:rPr>
          <w:rFonts w:ascii="Arial" w:hAnsi="Arial" w:cs="Arial"/>
          <w:sz w:val="24"/>
          <w:szCs w:val="24"/>
        </w:rPr>
        <w:t xml:space="preserve">do so, </w:t>
      </w:r>
      <w:r w:rsidR="00582B6B" w:rsidRPr="00096EE5">
        <w:rPr>
          <w:rFonts w:ascii="Arial" w:hAnsi="Arial" w:cs="Arial"/>
          <w:sz w:val="24"/>
          <w:szCs w:val="24"/>
        </w:rPr>
        <w:t>in my view,</w:t>
      </w:r>
      <w:r w:rsidR="003C4DBC" w:rsidRPr="00096EE5">
        <w:rPr>
          <w:rFonts w:ascii="Arial" w:hAnsi="Arial" w:cs="Arial"/>
          <w:sz w:val="24"/>
          <w:szCs w:val="24"/>
        </w:rPr>
        <w:t xml:space="preserve"> is tantamount to an abuse of the </w:t>
      </w:r>
      <w:r w:rsidR="000E79FA" w:rsidRPr="00096EE5">
        <w:rPr>
          <w:rFonts w:ascii="Arial" w:hAnsi="Arial" w:cs="Arial"/>
          <w:sz w:val="24"/>
          <w:szCs w:val="24"/>
        </w:rPr>
        <w:t>c</w:t>
      </w:r>
      <w:r w:rsidR="003C4DBC" w:rsidRPr="00096EE5">
        <w:rPr>
          <w:rFonts w:ascii="Arial" w:hAnsi="Arial" w:cs="Arial"/>
          <w:sz w:val="24"/>
          <w:szCs w:val="24"/>
        </w:rPr>
        <w:t>ourt process.</w:t>
      </w:r>
      <w:r w:rsidR="00752825" w:rsidRPr="00096EE5">
        <w:rPr>
          <w:rFonts w:ascii="Arial" w:hAnsi="Arial" w:cs="Arial"/>
          <w:sz w:val="24"/>
          <w:szCs w:val="24"/>
        </w:rPr>
        <w:t xml:space="preserve"> </w:t>
      </w:r>
    </w:p>
    <w:p w:rsidR="003C4DBC" w:rsidRPr="00096EE5" w:rsidRDefault="003C4DBC" w:rsidP="00C42E08">
      <w:pPr>
        <w:pStyle w:val="ListParagraph"/>
        <w:spacing w:line="360" w:lineRule="auto"/>
        <w:ind w:left="0"/>
        <w:jc w:val="both"/>
        <w:rPr>
          <w:rFonts w:ascii="Arial" w:hAnsi="Arial" w:cs="Arial"/>
          <w:sz w:val="24"/>
          <w:szCs w:val="24"/>
          <w:highlight w:val="yellow"/>
        </w:rPr>
      </w:pPr>
    </w:p>
    <w:p w:rsidR="006F4182" w:rsidRPr="00096EE5" w:rsidRDefault="0021088C" w:rsidP="00C42E08">
      <w:pPr>
        <w:pStyle w:val="ListParagraph"/>
        <w:tabs>
          <w:tab w:val="left" w:pos="567"/>
        </w:tabs>
        <w:spacing w:line="360" w:lineRule="auto"/>
        <w:ind w:left="0"/>
        <w:jc w:val="both"/>
        <w:rPr>
          <w:rFonts w:ascii="Arial" w:hAnsi="Arial" w:cs="Arial"/>
          <w:sz w:val="24"/>
          <w:szCs w:val="24"/>
          <w:highlight w:val="yellow"/>
        </w:rPr>
      </w:pPr>
      <w:r w:rsidRPr="00096EE5">
        <w:rPr>
          <w:rFonts w:ascii="Arial" w:hAnsi="Arial" w:cs="Arial"/>
          <w:sz w:val="24"/>
          <w:szCs w:val="24"/>
        </w:rPr>
        <w:t>[3]</w:t>
      </w:r>
      <w:r w:rsidRPr="00096EE5">
        <w:rPr>
          <w:rFonts w:ascii="Arial" w:hAnsi="Arial" w:cs="Arial"/>
          <w:sz w:val="24"/>
          <w:szCs w:val="24"/>
        </w:rPr>
        <w:tab/>
      </w:r>
      <w:r w:rsidR="007A414F">
        <w:rPr>
          <w:rFonts w:ascii="Arial" w:hAnsi="Arial" w:cs="Arial"/>
          <w:sz w:val="24"/>
          <w:szCs w:val="24"/>
        </w:rPr>
        <w:t xml:space="preserve">As stated </w:t>
      </w:r>
      <w:r w:rsidR="00625CFE">
        <w:rPr>
          <w:rFonts w:ascii="Arial" w:hAnsi="Arial" w:cs="Arial"/>
          <w:sz w:val="24"/>
          <w:szCs w:val="24"/>
        </w:rPr>
        <w:t>earlier, t</w:t>
      </w:r>
      <w:r w:rsidR="006F4182" w:rsidRPr="00096EE5">
        <w:rPr>
          <w:rFonts w:ascii="Arial" w:hAnsi="Arial" w:cs="Arial"/>
          <w:sz w:val="24"/>
          <w:szCs w:val="24"/>
        </w:rPr>
        <w:t>he urgent relief sought by NUM was for it to be granted leave to intervene as a ‘third party’ in the main application between OCT and OC</w:t>
      </w:r>
      <w:r w:rsidR="00EF3DAF" w:rsidRPr="00096EE5">
        <w:rPr>
          <w:rFonts w:ascii="Arial" w:hAnsi="Arial" w:cs="Arial"/>
          <w:sz w:val="24"/>
          <w:szCs w:val="24"/>
        </w:rPr>
        <w:t>M</w:t>
      </w:r>
      <w:r w:rsidR="006F4182" w:rsidRPr="00096EE5">
        <w:rPr>
          <w:rFonts w:ascii="Arial" w:hAnsi="Arial" w:cs="Arial"/>
          <w:sz w:val="24"/>
          <w:szCs w:val="24"/>
        </w:rPr>
        <w:t xml:space="preserve"> against RBCT. The main application </w:t>
      </w:r>
      <w:r w:rsidR="00625CFE">
        <w:rPr>
          <w:rFonts w:ascii="Arial" w:hAnsi="Arial" w:cs="Arial"/>
          <w:sz w:val="24"/>
          <w:szCs w:val="24"/>
        </w:rPr>
        <w:t xml:space="preserve">in essence </w:t>
      </w:r>
      <w:r w:rsidR="006F4182" w:rsidRPr="00096EE5">
        <w:rPr>
          <w:rFonts w:ascii="Arial" w:hAnsi="Arial" w:cs="Arial"/>
          <w:sz w:val="24"/>
          <w:szCs w:val="24"/>
        </w:rPr>
        <w:t>concerns a contractual dispute in which RBCT terminated, on 31 January 2023,</w:t>
      </w:r>
      <w:r w:rsidR="00D97CF6" w:rsidRPr="00096EE5">
        <w:rPr>
          <w:rFonts w:ascii="Arial" w:hAnsi="Arial" w:cs="Arial"/>
          <w:sz w:val="24"/>
          <w:szCs w:val="24"/>
        </w:rPr>
        <w:t xml:space="preserve"> OCM and OCT’s </w:t>
      </w:r>
      <w:r w:rsidR="006F4182" w:rsidRPr="00096EE5">
        <w:rPr>
          <w:rFonts w:ascii="Arial" w:hAnsi="Arial" w:cs="Arial"/>
          <w:sz w:val="24"/>
          <w:szCs w:val="24"/>
        </w:rPr>
        <w:t xml:space="preserve">entitlement to use the facilities at the coal terminal in Richards Bay for the purpose of exporting coal. </w:t>
      </w:r>
      <w:r w:rsidR="00E904F9">
        <w:rPr>
          <w:rFonts w:ascii="Arial" w:hAnsi="Arial" w:cs="Arial"/>
          <w:sz w:val="24"/>
          <w:szCs w:val="24"/>
        </w:rPr>
        <w:t>On 6 February 2023</w:t>
      </w:r>
      <w:r w:rsidR="006F4182" w:rsidRPr="00096EE5">
        <w:rPr>
          <w:rFonts w:ascii="Arial" w:hAnsi="Arial" w:cs="Arial"/>
          <w:sz w:val="24"/>
          <w:szCs w:val="24"/>
        </w:rPr>
        <w:t xml:space="preserve"> an order was taken by consent in terms of which NUM was granted leave to intervene as an applicant in the main application and that </w:t>
      </w:r>
      <w:r w:rsidR="00125E99" w:rsidRPr="00096EE5">
        <w:rPr>
          <w:rFonts w:ascii="Arial" w:hAnsi="Arial" w:cs="Arial"/>
          <w:sz w:val="24"/>
          <w:szCs w:val="24"/>
        </w:rPr>
        <w:t>its</w:t>
      </w:r>
      <w:r w:rsidR="006F4182" w:rsidRPr="00096EE5">
        <w:rPr>
          <w:rFonts w:ascii="Arial" w:hAnsi="Arial" w:cs="Arial"/>
          <w:sz w:val="24"/>
          <w:szCs w:val="24"/>
        </w:rPr>
        <w:t xml:space="preserve"> founding affidavit in the intervening application, be admitted as part of the papers in the main application. The parties, subject to other procedural issues concerning the exchange of further affidavits, agreed to have </w:t>
      </w:r>
      <w:r w:rsidR="00625CFE">
        <w:rPr>
          <w:rFonts w:ascii="Arial" w:hAnsi="Arial" w:cs="Arial"/>
          <w:sz w:val="24"/>
          <w:szCs w:val="24"/>
        </w:rPr>
        <w:t xml:space="preserve">NUM’s interim application for a status </w:t>
      </w:r>
      <w:r w:rsidR="00E904F9">
        <w:rPr>
          <w:rFonts w:ascii="Arial" w:hAnsi="Arial" w:cs="Arial"/>
          <w:sz w:val="24"/>
          <w:szCs w:val="24"/>
        </w:rPr>
        <w:t xml:space="preserve">quo </w:t>
      </w:r>
      <w:r w:rsidR="00625CFE">
        <w:rPr>
          <w:rFonts w:ascii="Arial" w:hAnsi="Arial" w:cs="Arial"/>
          <w:sz w:val="24"/>
          <w:szCs w:val="24"/>
        </w:rPr>
        <w:t xml:space="preserve">order </w:t>
      </w:r>
      <w:r w:rsidR="006F4182" w:rsidRPr="00096EE5">
        <w:rPr>
          <w:rFonts w:ascii="Arial" w:hAnsi="Arial" w:cs="Arial"/>
          <w:sz w:val="24"/>
          <w:szCs w:val="24"/>
        </w:rPr>
        <w:t>argued on 16 February 2023. Accordingly</w:t>
      </w:r>
      <w:r w:rsidRPr="00096EE5">
        <w:rPr>
          <w:rFonts w:ascii="Arial" w:hAnsi="Arial" w:cs="Arial"/>
          <w:sz w:val="24"/>
          <w:szCs w:val="24"/>
        </w:rPr>
        <w:t>,</w:t>
      </w:r>
      <w:r w:rsidR="006F4182" w:rsidRPr="00096EE5">
        <w:rPr>
          <w:rFonts w:ascii="Arial" w:hAnsi="Arial" w:cs="Arial"/>
          <w:sz w:val="24"/>
          <w:szCs w:val="24"/>
        </w:rPr>
        <w:t xml:space="preserve"> the issue for determination was that set out in paragraph 4 of the notice of motion, which reads as follows:</w:t>
      </w:r>
    </w:p>
    <w:p w:rsidR="006F4182" w:rsidRPr="00096EE5" w:rsidRDefault="0021088C" w:rsidP="00C42E08">
      <w:pPr>
        <w:pStyle w:val="ListParagraph"/>
        <w:tabs>
          <w:tab w:val="left" w:pos="567"/>
        </w:tabs>
        <w:spacing w:line="360" w:lineRule="auto"/>
        <w:ind w:left="0"/>
        <w:jc w:val="both"/>
        <w:rPr>
          <w:rFonts w:ascii="Arial" w:hAnsi="Arial" w:cs="Arial"/>
        </w:rPr>
      </w:pPr>
      <w:r w:rsidRPr="00096EE5">
        <w:rPr>
          <w:rFonts w:ascii="Arial" w:hAnsi="Arial" w:cs="Arial"/>
        </w:rPr>
        <w:t>‘</w:t>
      </w:r>
      <w:r w:rsidR="006F4182" w:rsidRPr="00096EE5">
        <w:rPr>
          <w:rFonts w:ascii="Arial" w:hAnsi="Arial" w:cs="Arial"/>
        </w:rPr>
        <w:t>4. That the status quo (as it existed before 31 January 2023) be preserved by interdicting RBCT with immediate effect from doing any of the following</w:t>
      </w:r>
      <w:r w:rsidR="007A0C17" w:rsidRPr="00096EE5">
        <w:rPr>
          <w:rFonts w:ascii="Arial" w:hAnsi="Arial" w:cs="Arial"/>
        </w:rPr>
        <w:t xml:space="preserve"> until this court finally determines the urgent relief claimed in the main application by the first and second applicants :</w:t>
      </w:r>
    </w:p>
    <w:p w:rsidR="007A0C17" w:rsidRPr="006C26D5" w:rsidRDefault="006C26D5" w:rsidP="006C26D5">
      <w:pPr>
        <w:tabs>
          <w:tab w:val="left" w:pos="567"/>
        </w:tabs>
        <w:spacing w:line="360" w:lineRule="auto"/>
        <w:ind w:left="930" w:hanging="360"/>
        <w:jc w:val="both"/>
        <w:rPr>
          <w:rFonts w:ascii="Arial" w:hAnsi="Arial" w:cs="Arial"/>
        </w:rPr>
      </w:pPr>
      <w:r w:rsidRPr="00096EE5">
        <w:rPr>
          <w:rFonts w:ascii="Arial" w:hAnsi="Arial" w:cs="Arial"/>
        </w:rPr>
        <w:t>a.</w:t>
      </w:r>
      <w:r w:rsidRPr="00096EE5">
        <w:rPr>
          <w:rFonts w:ascii="Arial" w:hAnsi="Arial" w:cs="Arial"/>
        </w:rPr>
        <w:tab/>
      </w:r>
      <w:r w:rsidR="007A0C17" w:rsidRPr="006C26D5">
        <w:rPr>
          <w:rFonts w:ascii="Arial" w:hAnsi="Arial" w:cs="Arial"/>
        </w:rPr>
        <w:t xml:space="preserve">interfering with or preventing the first applicant’s use of the Richards Bay Coal Terminal (‘the Terminal’) and the land, buildings, machinery, plant, equipment, and installations as they exist at the terminal in the same way as first applicant or its nominees or agents have been using these facilities at all material times before 31 January 2023, for the exportation of coal </w:t>
      </w:r>
      <w:r w:rsidR="00AE5324" w:rsidRPr="006C26D5">
        <w:rPr>
          <w:rFonts w:ascii="Arial" w:hAnsi="Arial" w:cs="Arial"/>
        </w:rPr>
        <w:t>through</w:t>
      </w:r>
      <w:r w:rsidR="007A0C17" w:rsidRPr="006C26D5">
        <w:rPr>
          <w:rFonts w:ascii="Arial" w:hAnsi="Arial" w:cs="Arial"/>
        </w:rPr>
        <w:t xml:space="preserve"> the terminal;</w:t>
      </w:r>
    </w:p>
    <w:p w:rsidR="007A0C17" w:rsidRPr="006C26D5" w:rsidRDefault="006C26D5" w:rsidP="006C26D5">
      <w:pPr>
        <w:tabs>
          <w:tab w:val="left" w:pos="567"/>
        </w:tabs>
        <w:spacing w:line="360" w:lineRule="auto"/>
        <w:ind w:left="930" w:hanging="360"/>
        <w:jc w:val="both"/>
        <w:rPr>
          <w:rFonts w:ascii="Arial" w:hAnsi="Arial" w:cs="Arial"/>
        </w:rPr>
      </w:pPr>
      <w:r w:rsidRPr="00096EE5">
        <w:rPr>
          <w:rFonts w:ascii="Arial" w:hAnsi="Arial" w:cs="Arial"/>
        </w:rPr>
        <w:t>b.</w:t>
      </w:r>
      <w:r w:rsidRPr="00096EE5">
        <w:rPr>
          <w:rFonts w:ascii="Arial" w:hAnsi="Arial" w:cs="Arial"/>
        </w:rPr>
        <w:tab/>
      </w:r>
      <w:r w:rsidR="007A0C17" w:rsidRPr="006C26D5">
        <w:rPr>
          <w:rFonts w:ascii="Arial" w:hAnsi="Arial" w:cs="Arial"/>
        </w:rPr>
        <w:t xml:space="preserve">transferring or terminating the first applicant’s right to use the Terminal and the land, buildings, machinery, plant, equipment, and installations as they exist at the terminal in the same way as first applicant or its nominees or agents have been using these facilities at all material times before 31 January 2023, for the exportation of coal </w:t>
      </w:r>
      <w:r w:rsidR="00AE5324" w:rsidRPr="006C26D5">
        <w:rPr>
          <w:rFonts w:ascii="Arial" w:hAnsi="Arial" w:cs="Arial"/>
        </w:rPr>
        <w:t>through</w:t>
      </w:r>
      <w:r w:rsidR="007A0C17" w:rsidRPr="006C26D5">
        <w:rPr>
          <w:rFonts w:ascii="Arial" w:hAnsi="Arial" w:cs="Arial"/>
        </w:rPr>
        <w:t xml:space="preserve"> the </w:t>
      </w:r>
      <w:r w:rsidR="00AE5324" w:rsidRPr="006C26D5">
        <w:rPr>
          <w:rFonts w:ascii="Arial" w:hAnsi="Arial" w:cs="Arial"/>
        </w:rPr>
        <w:t>t</w:t>
      </w:r>
      <w:r w:rsidR="007A0C17" w:rsidRPr="006C26D5">
        <w:rPr>
          <w:rFonts w:ascii="Arial" w:hAnsi="Arial" w:cs="Arial"/>
        </w:rPr>
        <w:t xml:space="preserve">erminal; </w:t>
      </w:r>
      <w:r w:rsidR="00AE5324" w:rsidRPr="006C26D5">
        <w:rPr>
          <w:rFonts w:ascii="Arial" w:hAnsi="Arial" w:cs="Arial"/>
        </w:rPr>
        <w:t>and</w:t>
      </w:r>
    </w:p>
    <w:p w:rsidR="007A0C17" w:rsidRPr="006C26D5" w:rsidRDefault="006C26D5" w:rsidP="006C26D5">
      <w:pPr>
        <w:tabs>
          <w:tab w:val="left" w:pos="567"/>
        </w:tabs>
        <w:spacing w:line="360" w:lineRule="auto"/>
        <w:ind w:left="930" w:hanging="360"/>
        <w:jc w:val="both"/>
        <w:rPr>
          <w:rFonts w:ascii="Arial" w:hAnsi="Arial" w:cs="Arial"/>
        </w:rPr>
      </w:pPr>
      <w:r w:rsidRPr="00096EE5">
        <w:rPr>
          <w:rFonts w:ascii="Arial" w:hAnsi="Arial" w:cs="Arial"/>
        </w:rPr>
        <w:lastRenderedPageBreak/>
        <w:t>c.</w:t>
      </w:r>
      <w:r w:rsidRPr="00096EE5">
        <w:rPr>
          <w:rFonts w:ascii="Arial" w:hAnsi="Arial" w:cs="Arial"/>
        </w:rPr>
        <w:tab/>
      </w:r>
      <w:r w:rsidR="007A0C17" w:rsidRPr="006C26D5">
        <w:rPr>
          <w:rFonts w:ascii="Arial" w:hAnsi="Arial" w:cs="Arial"/>
        </w:rPr>
        <w:t>initiating a transfer of ownership of the first applicant’s shareholder interest (as defined in clause 1.1.52 of the Shareholders Agreement</w:t>
      </w:r>
      <w:r w:rsidR="00AE5324" w:rsidRPr="006C26D5">
        <w:rPr>
          <w:rFonts w:ascii="Arial" w:hAnsi="Arial" w:cs="Arial"/>
        </w:rPr>
        <w:t>)</w:t>
      </w:r>
      <w:r w:rsidR="007A0C17" w:rsidRPr="006C26D5">
        <w:rPr>
          <w:rFonts w:ascii="Arial" w:hAnsi="Arial" w:cs="Arial"/>
        </w:rPr>
        <w:t>.</w:t>
      </w:r>
      <w:r w:rsidR="0021088C" w:rsidRPr="006C26D5">
        <w:rPr>
          <w:rFonts w:ascii="Arial" w:hAnsi="Arial" w:cs="Arial"/>
        </w:rPr>
        <w:t>’</w:t>
      </w:r>
    </w:p>
    <w:p w:rsidR="00525AA5" w:rsidRPr="00096EE5" w:rsidRDefault="0021088C" w:rsidP="00C42E08">
      <w:pPr>
        <w:pStyle w:val="ListParagraph"/>
        <w:tabs>
          <w:tab w:val="left" w:pos="567"/>
        </w:tabs>
        <w:spacing w:line="360" w:lineRule="auto"/>
        <w:ind w:left="0"/>
        <w:jc w:val="both"/>
        <w:rPr>
          <w:rFonts w:ascii="Arial" w:hAnsi="Arial" w:cs="Arial"/>
          <w:sz w:val="24"/>
          <w:szCs w:val="24"/>
        </w:rPr>
      </w:pPr>
      <w:r w:rsidRPr="00096EE5">
        <w:rPr>
          <w:rFonts w:ascii="Arial" w:hAnsi="Arial" w:cs="Arial"/>
          <w:sz w:val="24"/>
          <w:szCs w:val="24"/>
        </w:rPr>
        <w:t>[4]</w:t>
      </w:r>
      <w:r w:rsidRPr="00096EE5">
        <w:rPr>
          <w:rFonts w:ascii="Arial" w:hAnsi="Arial" w:cs="Arial"/>
          <w:sz w:val="24"/>
          <w:szCs w:val="24"/>
        </w:rPr>
        <w:tab/>
      </w:r>
      <w:r w:rsidR="00AB6BA1" w:rsidRPr="00096EE5">
        <w:rPr>
          <w:rFonts w:ascii="Arial" w:hAnsi="Arial" w:cs="Arial"/>
          <w:sz w:val="24"/>
          <w:szCs w:val="24"/>
        </w:rPr>
        <w:t xml:space="preserve">By the time the matter came before me, NUM had whittled down the papers to just over 800 pages, which it contended were relevant to the determination of the relief it sought. RBCT on the other hand contended both in </w:t>
      </w:r>
      <w:r w:rsidR="00A51C4B" w:rsidRPr="00096EE5">
        <w:rPr>
          <w:rFonts w:ascii="Arial" w:hAnsi="Arial" w:cs="Arial"/>
          <w:sz w:val="24"/>
          <w:szCs w:val="24"/>
        </w:rPr>
        <w:t xml:space="preserve">its </w:t>
      </w:r>
      <w:r w:rsidR="00AB6BA1" w:rsidRPr="00096EE5">
        <w:rPr>
          <w:rFonts w:ascii="Arial" w:hAnsi="Arial" w:cs="Arial"/>
          <w:sz w:val="24"/>
          <w:szCs w:val="24"/>
        </w:rPr>
        <w:t xml:space="preserve">answering affidavit and in </w:t>
      </w:r>
      <w:r w:rsidR="00A51C4B" w:rsidRPr="00096EE5">
        <w:rPr>
          <w:rFonts w:ascii="Arial" w:hAnsi="Arial" w:cs="Arial"/>
          <w:sz w:val="24"/>
          <w:szCs w:val="24"/>
        </w:rPr>
        <w:t>its</w:t>
      </w:r>
      <w:r w:rsidR="00AB6BA1" w:rsidRPr="00096EE5">
        <w:rPr>
          <w:rFonts w:ascii="Arial" w:hAnsi="Arial" w:cs="Arial"/>
          <w:sz w:val="24"/>
          <w:szCs w:val="24"/>
        </w:rPr>
        <w:t xml:space="preserve"> heads of argument that the relief sought by NUM could not be determined in a silo, and divorced from the main application. For that reason</w:t>
      </w:r>
      <w:r w:rsidR="00BA7DBD" w:rsidRPr="00096EE5">
        <w:rPr>
          <w:rFonts w:ascii="Arial" w:hAnsi="Arial" w:cs="Arial"/>
          <w:sz w:val="24"/>
          <w:szCs w:val="24"/>
        </w:rPr>
        <w:t>,</w:t>
      </w:r>
      <w:r w:rsidR="00AB6BA1" w:rsidRPr="00096EE5">
        <w:rPr>
          <w:rFonts w:ascii="Arial" w:hAnsi="Arial" w:cs="Arial"/>
          <w:sz w:val="24"/>
          <w:szCs w:val="24"/>
        </w:rPr>
        <w:t xml:space="preserve"> RBCT contends that the application </w:t>
      </w:r>
      <w:r w:rsidR="0042325B" w:rsidRPr="00096EE5">
        <w:rPr>
          <w:rFonts w:ascii="Arial" w:hAnsi="Arial" w:cs="Arial"/>
          <w:sz w:val="24"/>
          <w:szCs w:val="24"/>
        </w:rPr>
        <w:t>is intrinsically linked to the main application pursued by Optimum</w:t>
      </w:r>
      <w:r w:rsidR="00625CFE">
        <w:rPr>
          <w:rStyle w:val="FootnoteReference"/>
          <w:rFonts w:ascii="Arial" w:hAnsi="Arial" w:cs="Arial"/>
          <w:sz w:val="24"/>
          <w:szCs w:val="24"/>
        </w:rPr>
        <w:footnoteReference w:id="1"/>
      </w:r>
      <w:r w:rsidR="0055273C" w:rsidRPr="00096EE5">
        <w:rPr>
          <w:rFonts w:ascii="Arial" w:hAnsi="Arial" w:cs="Arial"/>
          <w:sz w:val="24"/>
          <w:szCs w:val="24"/>
        </w:rPr>
        <w:t>,</w:t>
      </w:r>
      <w:r w:rsidR="0042325B" w:rsidRPr="00096EE5">
        <w:rPr>
          <w:rFonts w:ascii="Arial" w:hAnsi="Arial" w:cs="Arial"/>
          <w:sz w:val="24"/>
          <w:szCs w:val="24"/>
        </w:rPr>
        <w:t xml:space="preserve"> and therefore this application by NUM </w:t>
      </w:r>
      <w:r w:rsidR="00AB6BA1" w:rsidRPr="00096EE5">
        <w:rPr>
          <w:rFonts w:ascii="Arial" w:hAnsi="Arial" w:cs="Arial"/>
          <w:sz w:val="24"/>
          <w:szCs w:val="24"/>
        </w:rPr>
        <w:t xml:space="preserve">is either to be dismissed or adjourned for determination at the time of the main application being heard. </w:t>
      </w:r>
      <w:r w:rsidR="00F63384" w:rsidRPr="00096EE5">
        <w:rPr>
          <w:rFonts w:ascii="Arial" w:hAnsi="Arial" w:cs="Arial"/>
          <w:sz w:val="24"/>
          <w:szCs w:val="24"/>
        </w:rPr>
        <w:t>At the request of RBCT</w:t>
      </w:r>
      <w:r w:rsidR="0055273C" w:rsidRPr="00096EE5">
        <w:rPr>
          <w:rFonts w:ascii="Arial" w:hAnsi="Arial" w:cs="Arial"/>
          <w:sz w:val="24"/>
          <w:szCs w:val="24"/>
        </w:rPr>
        <w:t>’s</w:t>
      </w:r>
      <w:r w:rsidR="00F63384" w:rsidRPr="00096EE5">
        <w:rPr>
          <w:rFonts w:ascii="Arial" w:hAnsi="Arial" w:cs="Arial"/>
          <w:sz w:val="24"/>
          <w:szCs w:val="24"/>
        </w:rPr>
        <w:t xml:space="preserve"> legal representatives, a further </w:t>
      </w:r>
      <w:r w:rsidR="00FF5BA9" w:rsidRPr="00096EE5">
        <w:rPr>
          <w:rFonts w:ascii="Arial" w:hAnsi="Arial" w:cs="Arial"/>
          <w:sz w:val="24"/>
          <w:szCs w:val="24"/>
        </w:rPr>
        <w:t>set of documents was filed, increasing the volume of documents in excess of 2</w:t>
      </w:r>
      <w:r w:rsidR="001F50CE" w:rsidRPr="00096EE5">
        <w:rPr>
          <w:rFonts w:ascii="Arial" w:hAnsi="Arial" w:cs="Arial"/>
          <w:sz w:val="24"/>
          <w:szCs w:val="24"/>
        </w:rPr>
        <w:t xml:space="preserve"> </w:t>
      </w:r>
      <w:r w:rsidR="00FF5BA9" w:rsidRPr="00096EE5">
        <w:rPr>
          <w:rFonts w:ascii="Arial" w:hAnsi="Arial" w:cs="Arial"/>
          <w:sz w:val="24"/>
          <w:szCs w:val="24"/>
        </w:rPr>
        <w:t xml:space="preserve">500 pages. </w:t>
      </w:r>
      <w:r w:rsidR="00625CFE">
        <w:rPr>
          <w:rFonts w:ascii="Arial" w:hAnsi="Arial" w:cs="Arial"/>
          <w:sz w:val="24"/>
          <w:szCs w:val="24"/>
        </w:rPr>
        <w:t xml:space="preserve"> </w:t>
      </w:r>
      <w:r w:rsidR="00AB6BA1" w:rsidRPr="00096EE5">
        <w:rPr>
          <w:rFonts w:ascii="Arial" w:hAnsi="Arial" w:cs="Arial"/>
          <w:sz w:val="24"/>
          <w:szCs w:val="24"/>
        </w:rPr>
        <w:t>In either eventuality</w:t>
      </w:r>
      <w:r w:rsidR="0055273C" w:rsidRPr="00096EE5">
        <w:rPr>
          <w:rFonts w:ascii="Arial" w:hAnsi="Arial" w:cs="Arial"/>
          <w:sz w:val="24"/>
          <w:szCs w:val="24"/>
        </w:rPr>
        <w:t xml:space="preserve"> (of the application being dismissed or adjourned to be heard with the main application)</w:t>
      </w:r>
      <w:r w:rsidR="00AB6BA1" w:rsidRPr="00096EE5">
        <w:rPr>
          <w:rFonts w:ascii="Arial" w:hAnsi="Arial" w:cs="Arial"/>
          <w:sz w:val="24"/>
          <w:szCs w:val="24"/>
        </w:rPr>
        <w:t xml:space="preserve">, RBCT contends that it should be awarded its costs in opposing the application. NUM on the other hand contends that the relief which it seeks, described as </w:t>
      </w:r>
      <w:r w:rsidR="00A51C4B" w:rsidRPr="00096EE5">
        <w:rPr>
          <w:rFonts w:ascii="Arial" w:hAnsi="Arial" w:cs="Arial"/>
          <w:sz w:val="24"/>
          <w:szCs w:val="24"/>
        </w:rPr>
        <w:t>‘</w:t>
      </w:r>
      <w:r w:rsidR="00AB6BA1" w:rsidRPr="00096EE5">
        <w:rPr>
          <w:rFonts w:ascii="Arial" w:hAnsi="Arial" w:cs="Arial"/>
          <w:sz w:val="24"/>
          <w:szCs w:val="24"/>
        </w:rPr>
        <w:t>interim interim relief</w:t>
      </w:r>
      <w:r w:rsidR="00A51C4B" w:rsidRPr="00096EE5">
        <w:rPr>
          <w:rFonts w:ascii="Arial" w:hAnsi="Arial" w:cs="Arial"/>
          <w:sz w:val="24"/>
          <w:szCs w:val="24"/>
        </w:rPr>
        <w:t>’</w:t>
      </w:r>
      <w:r w:rsidR="00AB6BA1" w:rsidRPr="00096EE5">
        <w:rPr>
          <w:rFonts w:ascii="Arial" w:hAnsi="Arial" w:cs="Arial"/>
          <w:sz w:val="24"/>
          <w:szCs w:val="24"/>
        </w:rPr>
        <w:t xml:space="preserve"> </w:t>
      </w:r>
      <w:r w:rsidR="00CD799D" w:rsidRPr="00096EE5">
        <w:rPr>
          <w:rFonts w:ascii="Arial" w:hAnsi="Arial" w:cs="Arial"/>
          <w:sz w:val="24"/>
          <w:szCs w:val="24"/>
        </w:rPr>
        <w:t>is</w:t>
      </w:r>
      <w:r w:rsidR="00AB6BA1" w:rsidRPr="00096EE5">
        <w:rPr>
          <w:rFonts w:ascii="Arial" w:hAnsi="Arial" w:cs="Arial"/>
          <w:sz w:val="24"/>
          <w:szCs w:val="24"/>
        </w:rPr>
        <w:t xml:space="preserve"> urgent in light of the impact that the contractual dispute between the parties in the main application</w:t>
      </w:r>
      <w:r w:rsidR="00525AA5" w:rsidRPr="00096EE5">
        <w:rPr>
          <w:rFonts w:ascii="Arial" w:hAnsi="Arial" w:cs="Arial"/>
          <w:sz w:val="24"/>
          <w:szCs w:val="24"/>
        </w:rPr>
        <w:t>,</w:t>
      </w:r>
      <w:r w:rsidR="00AB6BA1" w:rsidRPr="00096EE5">
        <w:rPr>
          <w:rFonts w:ascii="Arial" w:hAnsi="Arial" w:cs="Arial"/>
          <w:sz w:val="24"/>
          <w:szCs w:val="24"/>
        </w:rPr>
        <w:t xml:space="preserve"> ha</w:t>
      </w:r>
      <w:r w:rsidR="00FB4752" w:rsidRPr="00096EE5">
        <w:rPr>
          <w:rFonts w:ascii="Arial" w:hAnsi="Arial" w:cs="Arial"/>
          <w:sz w:val="24"/>
          <w:szCs w:val="24"/>
        </w:rPr>
        <w:t>s</w:t>
      </w:r>
      <w:r w:rsidR="00AB6BA1" w:rsidRPr="00096EE5">
        <w:rPr>
          <w:rFonts w:ascii="Arial" w:hAnsi="Arial" w:cs="Arial"/>
          <w:sz w:val="24"/>
          <w:szCs w:val="24"/>
        </w:rPr>
        <w:t xml:space="preserve"> for their members, and the adverse impact on their right to earn a livelihood. </w:t>
      </w:r>
    </w:p>
    <w:p w:rsidR="00525AA5" w:rsidRPr="00096EE5" w:rsidRDefault="00525AA5" w:rsidP="00C42E08">
      <w:pPr>
        <w:pStyle w:val="ListParagraph"/>
        <w:tabs>
          <w:tab w:val="left" w:pos="567"/>
        </w:tabs>
        <w:spacing w:line="360" w:lineRule="auto"/>
        <w:ind w:left="0"/>
        <w:jc w:val="both"/>
        <w:rPr>
          <w:rFonts w:ascii="Arial" w:hAnsi="Arial" w:cs="Arial"/>
          <w:sz w:val="24"/>
          <w:szCs w:val="24"/>
          <w:highlight w:val="yellow"/>
        </w:rPr>
      </w:pPr>
    </w:p>
    <w:p w:rsidR="007554DF" w:rsidRPr="00096EE5" w:rsidRDefault="0021088C" w:rsidP="00C42E08">
      <w:pPr>
        <w:pStyle w:val="ListParagraph"/>
        <w:tabs>
          <w:tab w:val="left" w:pos="567"/>
        </w:tabs>
        <w:spacing w:line="360" w:lineRule="auto"/>
        <w:ind w:left="0"/>
        <w:jc w:val="both"/>
        <w:rPr>
          <w:rFonts w:ascii="Arial" w:hAnsi="Arial" w:cs="Arial"/>
          <w:sz w:val="24"/>
          <w:szCs w:val="24"/>
        </w:rPr>
      </w:pPr>
      <w:r w:rsidRPr="00096EE5">
        <w:rPr>
          <w:rFonts w:ascii="Arial" w:hAnsi="Arial" w:cs="Arial"/>
          <w:sz w:val="24"/>
          <w:szCs w:val="24"/>
        </w:rPr>
        <w:t>[5]</w:t>
      </w:r>
      <w:r w:rsidRPr="00096EE5">
        <w:rPr>
          <w:rFonts w:ascii="Arial" w:hAnsi="Arial" w:cs="Arial"/>
          <w:sz w:val="24"/>
          <w:szCs w:val="24"/>
        </w:rPr>
        <w:tab/>
      </w:r>
      <w:r w:rsidR="00AB6BA1" w:rsidRPr="00096EE5">
        <w:rPr>
          <w:rFonts w:ascii="Arial" w:hAnsi="Arial" w:cs="Arial"/>
          <w:sz w:val="24"/>
          <w:szCs w:val="24"/>
        </w:rPr>
        <w:t>At the hearing on 16 February 2023, counsel for the applicants in the main application as well as those appearing on behalf of the business rescue practitioners</w:t>
      </w:r>
      <w:r w:rsidR="00525AA5" w:rsidRPr="00096EE5">
        <w:rPr>
          <w:rFonts w:ascii="Arial" w:hAnsi="Arial" w:cs="Arial"/>
          <w:sz w:val="24"/>
          <w:szCs w:val="24"/>
        </w:rPr>
        <w:t xml:space="preserve"> were present, but did not participate in the merits of the application.</w:t>
      </w:r>
      <w:r w:rsidR="0042325B" w:rsidRPr="00096EE5">
        <w:rPr>
          <w:rFonts w:ascii="Arial" w:hAnsi="Arial" w:cs="Arial"/>
          <w:sz w:val="24"/>
          <w:szCs w:val="24"/>
        </w:rPr>
        <w:t xml:space="preserve"> Conspicuously, there was no appearance for the NPA</w:t>
      </w:r>
      <w:r w:rsidR="00001C1B" w:rsidRPr="00096EE5">
        <w:rPr>
          <w:rFonts w:ascii="Arial" w:hAnsi="Arial" w:cs="Arial"/>
          <w:sz w:val="24"/>
          <w:szCs w:val="24"/>
        </w:rPr>
        <w:t>,</w:t>
      </w:r>
      <w:r w:rsidR="0042325B" w:rsidRPr="00096EE5">
        <w:rPr>
          <w:rFonts w:ascii="Arial" w:hAnsi="Arial" w:cs="Arial"/>
          <w:sz w:val="24"/>
          <w:szCs w:val="24"/>
        </w:rPr>
        <w:t xml:space="preserve"> which had secured an order in the Gauteng High Court</w:t>
      </w:r>
      <w:r w:rsidR="00C70597" w:rsidRPr="00096EE5">
        <w:rPr>
          <w:rFonts w:ascii="Arial" w:hAnsi="Arial" w:cs="Arial"/>
          <w:sz w:val="24"/>
          <w:szCs w:val="24"/>
        </w:rPr>
        <w:t>, Pretoria on 23 March 2022</w:t>
      </w:r>
      <w:r w:rsidR="00001C1B" w:rsidRPr="00096EE5">
        <w:rPr>
          <w:rFonts w:ascii="Arial" w:hAnsi="Arial" w:cs="Arial"/>
          <w:sz w:val="24"/>
          <w:szCs w:val="24"/>
        </w:rPr>
        <w:t>,</w:t>
      </w:r>
      <w:r w:rsidR="00C70597" w:rsidRPr="00096EE5">
        <w:rPr>
          <w:rFonts w:ascii="Arial" w:hAnsi="Arial" w:cs="Arial"/>
          <w:sz w:val="24"/>
          <w:szCs w:val="24"/>
        </w:rPr>
        <w:t xml:space="preserve"> in terms of which all shares held in the OC</w:t>
      </w:r>
      <w:r w:rsidR="008617CC">
        <w:rPr>
          <w:rFonts w:ascii="Arial" w:hAnsi="Arial" w:cs="Arial"/>
          <w:sz w:val="24"/>
          <w:szCs w:val="24"/>
        </w:rPr>
        <w:t>T</w:t>
      </w:r>
      <w:r w:rsidR="00625CFE">
        <w:rPr>
          <w:rFonts w:ascii="Arial" w:hAnsi="Arial" w:cs="Arial"/>
          <w:sz w:val="24"/>
          <w:szCs w:val="24"/>
        </w:rPr>
        <w:t xml:space="preserve"> </w:t>
      </w:r>
      <w:r w:rsidR="00C70597" w:rsidRPr="00096EE5">
        <w:rPr>
          <w:rFonts w:ascii="Arial" w:hAnsi="Arial" w:cs="Arial"/>
          <w:sz w:val="24"/>
          <w:szCs w:val="24"/>
        </w:rPr>
        <w:t xml:space="preserve">as well as the business of </w:t>
      </w:r>
      <w:r w:rsidR="008617CC">
        <w:rPr>
          <w:rFonts w:ascii="Arial" w:hAnsi="Arial" w:cs="Arial"/>
          <w:sz w:val="24"/>
          <w:szCs w:val="24"/>
        </w:rPr>
        <w:t xml:space="preserve">OCM </w:t>
      </w:r>
      <w:r w:rsidR="00C70597" w:rsidRPr="00096EE5">
        <w:rPr>
          <w:rFonts w:ascii="Arial" w:hAnsi="Arial" w:cs="Arial"/>
          <w:sz w:val="24"/>
          <w:szCs w:val="24"/>
        </w:rPr>
        <w:t xml:space="preserve">were preserved in terms of s 38 of the Prevention of Organised Crime Act 121 of 1998.  </w:t>
      </w:r>
    </w:p>
    <w:p w:rsidR="007554DF" w:rsidRPr="00096EE5" w:rsidRDefault="007554DF" w:rsidP="00C42E08">
      <w:pPr>
        <w:pStyle w:val="ListParagraph"/>
        <w:spacing w:line="360" w:lineRule="auto"/>
        <w:jc w:val="both"/>
        <w:rPr>
          <w:rFonts w:ascii="Arial" w:hAnsi="Arial" w:cs="Arial"/>
          <w:sz w:val="24"/>
          <w:szCs w:val="24"/>
          <w:highlight w:val="yellow"/>
        </w:rPr>
      </w:pPr>
    </w:p>
    <w:p w:rsidR="007554DF" w:rsidRDefault="0021088C" w:rsidP="00C42E08">
      <w:pPr>
        <w:pStyle w:val="ListParagraph"/>
        <w:tabs>
          <w:tab w:val="left" w:pos="567"/>
        </w:tabs>
        <w:spacing w:line="360" w:lineRule="auto"/>
        <w:ind w:left="0"/>
        <w:jc w:val="both"/>
        <w:rPr>
          <w:rFonts w:ascii="Arial" w:hAnsi="Arial" w:cs="Arial"/>
          <w:sz w:val="24"/>
          <w:szCs w:val="24"/>
        </w:rPr>
      </w:pPr>
      <w:r w:rsidRPr="00096EE5">
        <w:rPr>
          <w:rFonts w:ascii="Arial" w:hAnsi="Arial" w:cs="Arial"/>
          <w:sz w:val="24"/>
          <w:szCs w:val="24"/>
        </w:rPr>
        <w:t>[6]</w:t>
      </w:r>
      <w:r w:rsidRPr="00096EE5">
        <w:rPr>
          <w:rFonts w:ascii="Arial" w:hAnsi="Arial" w:cs="Arial"/>
          <w:sz w:val="24"/>
          <w:szCs w:val="24"/>
        </w:rPr>
        <w:tab/>
      </w:r>
      <w:r w:rsidR="00C70597" w:rsidRPr="00096EE5">
        <w:rPr>
          <w:rFonts w:ascii="Arial" w:hAnsi="Arial" w:cs="Arial"/>
          <w:sz w:val="24"/>
          <w:szCs w:val="24"/>
        </w:rPr>
        <w:t xml:space="preserve">The judgment of the </w:t>
      </w:r>
      <w:r w:rsidR="00125E99" w:rsidRPr="00096EE5">
        <w:rPr>
          <w:rFonts w:ascii="Arial" w:hAnsi="Arial" w:cs="Arial"/>
          <w:sz w:val="24"/>
          <w:szCs w:val="24"/>
        </w:rPr>
        <w:t>Gauteng</w:t>
      </w:r>
      <w:r w:rsidR="00C70597" w:rsidRPr="00096EE5">
        <w:rPr>
          <w:rFonts w:ascii="Arial" w:hAnsi="Arial" w:cs="Arial"/>
          <w:sz w:val="24"/>
          <w:szCs w:val="24"/>
        </w:rPr>
        <w:t xml:space="preserve"> High Court by Justices Fourie and Mbon</w:t>
      </w:r>
      <w:r w:rsidR="00125E99" w:rsidRPr="00096EE5">
        <w:rPr>
          <w:rFonts w:ascii="Arial" w:hAnsi="Arial" w:cs="Arial"/>
          <w:sz w:val="24"/>
          <w:szCs w:val="24"/>
        </w:rPr>
        <w:t>g</w:t>
      </w:r>
      <w:r w:rsidR="00C70597" w:rsidRPr="00096EE5">
        <w:rPr>
          <w:rFonts w:ascii="Arial" w:hAnsi="Arial" w:cs="Arial"/>
          <w:sz w:val="24"/>
          <w:szCs w:val="24"/>
        </w:rPr>
        <w:t>we</w:t>
      </w:r>
      <w:r w:rsidR="007A386B" w:rsidRPr="00096EE5">
        <w:rPr>
          <w:rFonts w:ascii="Arial" w:hAnsi="Arial" w:cs="Arial"/>
          <w:sz w:val="24"/>
          <w:szCs w:val="24"/>
        </w:rPr>
        <w:t xml:space="preserve"> further prevented the disposal of the business of OCM unless the curator bonis appointed by the court (Mr P F van den Steen) and the business rescue practitioners in respect of OCM and OCT agreed to do so in writing, or where the </w:t>
      </w:r>
      <w:r w:rsidR="000E79FA" w:rsidRPr="00096EE5">
        <w:rPr>
          <w:rFonts w:ascii="Arial" w:hAnsi="Arial" w:cs="Arial"/>
          <w:sz w:val="24"/>
          <w:szCs w:val="24"/>
        </w:rPr>
        <w:t>c</w:t>
      </w:r>
      <w:r w:rsidR="007A386B" w:rsidRPr="00096EE5">
        <w:rPr>
          <w:rFonts w:ascii="Arial" w:hAnsi="Arial" w:cs="Arial"/>
          <w:sz w:val="24"/>
          <w:szCs w:val="24"/>
        </w:rPr>
        <w:t xml:space="preserve">ourt has issued </w:t>
      </w:r>
      <w:r w:rsidR="007A386B" w:rsidRPr="00096EE5">
        <w:rPr>
          <w:rFonts w:ascii="Arial" w:hAnsi="Arial" w:cs="Arial"/>
          <w:sz w:val="24"/>
          <w:szCs w:val="24"/>
        </w:rPr>
        <w:lastRenderedPageBreak/>
        <w:t xml:space="preserve">an order authorising such disposal. Importantly, in terms of the </w:t>
      </w:r>
      <w:r w:rsidR="000E79FA" w:rsidRPr="00096EE5">
        <w:rPr>
          <w:rFonts w:ascii="Arial" w:hAnsi="Arial" w:cs="Arial"/>
          <w:sz w:val="24"/>
          <w:szCs w:val="24"/>
        </w:rPr>
        <w:t>o</w:t>
      </w:r>
      <w:r w:rsidR="007A386B" w:rsidRPr="00096EE5">
        <w:rPr>
          <w:rFonts w:ascii="Arial" w:hAnsi="Arial" w:cs="Arial"/>
          <w:sz w:val="24"/>
          <w:szCs w:val="24"/>
        </w:rPr>
        <w:t>rder referred to above, the curator bonis</w:t>
      </w:r>
      <w:r w:rsidR="007A386B" w:rsidRPr="00096EE5">
        <w:rPr>
          <w:rFonts w:ascii="Arial" w:hAnsi="Arial" w:cs="Arial"/>
          <w:i/>
          <w:sz w:val="24"/>
          <w:szCs w:val="24"/>
        </w:rPr>
        <w:t xml:space="preserve"> </w:t>
      </w:r>
      <w:r w:rsidR="007A386B" w:rsidRPr="00096EE5">
        <w:rPr>
          <w:rFonts w:ascii="Arial" w:hAnsi="Arial" w:cs="Arial"/>
          <w:sz w:val="24"/>
          <w:szCs w:val="24"/>
        </w:rPr>
        <w:t>was authorised to ‘assume control of the property</w:t>
      </w:r>
      <w:r w:rsidR="000E79FA" w:rsidRPr="00096EE5">
        <w:rPr>
          <w:rFonts w:ascii="Arial" w:hAnsi="Arial" w:cs="Arial"/>
          <w:sz w:val="24"/>
          <w:szCs w:val="24"/>
        </w:rPr>
        <w:t>’</w:t>
      </w:r>
      <w:r w:rsidR="007A386B" w:rsidRPr="00096EE5">
        <w:rPr>
          <w:rFonts w:ascii="Arial" w:hAnsi="Arial" w:cs="Arial"/>
          <w:sz w:val="24"/>
          <w:szCs w:val="24"/>
        </w:rPr>
        <w:t xml:space="preserve">. To the extent that the curator was clothed with the necessary authority with regard to the </w:t>
      </w:r>
      <w:r w:rsidR="00125E99" w:rsidRPr="00096EE5">
        <w:rPr>
          <w:rFonts w:ascii="Arial" w:hAnsi="Arial" w:cs="Arial"/>
          <w:sz w:val="24"/>
          <w:szCs w:val="24"/>
        </w:rPr>
        <w:t>shares</w:t>
      </w:r>
      <w:r w:rsidR="007A386B" w:rsidRPr="00096EE5">
        <w:rPr>
          <w:rFonts w:ascii="Arial" w:hAnsi="Arial" w:cs="Arial"/>
          <w:sz w:val="24"/>
          <w:szCs w:val="24"/>
        </w:rPr>
        <w:t xml:space="preserve"> and shareholding forming part of OCT and OCM, the order directed that the curator </w:t>
      </w:r>
      <w:r w:rsidR="000E79FA" w:rsidRPr="00096EE5">
        <w:rPr>
          <w:rFonts w:ascii="Arial" w:hAnsi="Arial" w:cs="Arial"/>
          <w:sz w:val="24"/>
          <w:szCs w:val="24"/>
        </w:rPr>
        <w:t>‘</w:t>
      </w:r>
      <w:r w:rsidR="007A386B" w:rsidRPr="00096EE5">
        <w:rPr>
          <w:rFonts w:ascii="Arial" w:hAnsi="Arial" w:cs="Arial"/>
          <w:sz w:val="24"/>
          <w:szCs w:val="24"/>
        </w:rPr>
        <w:t>act as shareholder in place and stead of the relevant owners</w:t>
      </w:r>
      <w:r w:rsidR="000E79FA" w:rsidRPr="00096EE5">
        <w:rPr>
          <w:rFonts w:ascii="Arial" w:hAnsi="Arial" w:cs="Arial"/>
          <w:sz w:val="24"/>
          <w:szCs w:val="24"/>
        </w:rPr>
        <w:t>’</w:t>
      </w:r>
      <w:r w:rsidR="007A386B" w:rsidRPr="00096EE5">
        <w:rPr>
          <w:rFonts w:ascii="Arial" w:hAnsi="Arial" w:cs="Arial"/>
          <w:sz w:val="24"/>
          <w:szCs w:val="24"/>
        </w:rPr>
        <w:t>.</w:t>
      </w:r>
      <w:r w:rsidR="000B199F" w:rsidRPr="00096EE5">
        <w:rPr>
          <w:rFonts w:ascii="Arial" w:hAnsi="Arial" w:cs="Arial"/>
          <w:sz w:val="24"/>
          <w:szCs w:val="24"/>
        </w:rPr>
        <w:t xml:space="preserve">  </w:t>
      </w:r>
    </w:p>
    <w:p w:rsidR="00FD2807" w:rsidRPr="00096EE5" w:rsidRDefault="00FD2807" w:rsidP="00C42E08">
      <w:pPr>
        <w:pStyle w:val="ListParagraph"/>
        <w:tabs>
          <w:tab w:val="left" w:pos="567"/>
        </w:tabs>
        <w:spacing w:line="360" w:lineRule="auto"/>
        <w:ind w:left="0"/>
        <w:jc w:val="both"/>
        <w:rPr>
          <w:rFonts w:ascii="Arial" w:hAnsi="Arial" w:cs="Arial"/>
          <w:sz w:val="24"/>
          <w:szCs w:val="24"/>
        </w:rPr>
      </w:pPr>
    </w:p>
    <w:p w:rsidR="007554DF" w:rsidRPr="00096EE5" w:rsidRDefault="0021088C" w:rsidP="00C42E08">
      <w:pPr>
        <w:pStyle w:val="ListParagraph"/>
        <w:shd w:val="clear" w:color="auto" w:fill="FFFFFF"/>
        <w:tabs>
          <w:tab w:val="left" w:pos="567"/>
        </w:tabs>
        <w:spacing w:before="144" w:after="0" w:line="360" w:lineRule="auto"/>
        <w:ind w:left="0"/>
        <w:jc w:val="both"/>
        <w:rPr>
          <w:rFonts w:ascii="Arial" w:hAnsi="Arial" w:cs="Arial"/>
          <w:sz w:val="27"/>
          <w:szCs w:val="27"/>
        </w:rPr>
      </w:pPr>
      <w:r w:rsidRPr="00096EE5">
        <w:rPr>
          <w:rFonts w:ascii="Arial" w:hAnsi="Arial" w:cs="Arial"/>
          <w:sz w:val="24"/>
          <w:szCs w:val="24"/>
        </w:rPr>
        <w:t>[7]</w:t>
      </w:r>
      <w:r w:rsidRPr="00096EE5">
        <w:rPr>
          <w:rFonts w:ascii="Arial" w:hAnsi="Arial" w:cs="Arial"/>
          <w:sz w:val="24"/>
          <w:szCs w:val="24"/>
        </w:rPr>
        <w:tab/>
      </w:r>
      <w:r w:rsidR="008617CC">
        <w:rPr>
          <w:rFonts w:ascii="Arial" w:hAnsi="Arial" w:cs="Arial"/>
          <w:sz w:val="24"/>
          <w:szCs w:val="24"/>
        </w:rPr>
        <w:t xml:space="preserve">In their opposing affidavit, </w:t>
      </w:r>
      <w:r w:rsidR="00D928F4" w:rsidRPr="00096EE5">
        <w:rPr>
          <w:rFonts w:ascii="Arial" w:hAnsi="Arial" w:cs="Arial"/>
          <w:sz w:val="24"/>
          <w:szCs w:val="24"/>
        </w:rPr>
        <w:t>RBCT</w:t>
      </w:r>
      <w:r w:rsidR="008617CC">
        <w:rPr>
          <w:rFonts w:ascii="Arial" w:hAnsi="Arial" w:cs="Arial"/>
          <w:sz w:val="24"/>
          <w:szCs w:val="24"/>
        </w:rPr>
        <w:t xml:space="preserve"> pointed out that </w:t>
      </w:r>
      <w:r w:rsidR="00125E99" w:rsidRPr="00096EE5">
        <w:rPr>
          <w:rFonts w:ascii="Arial" w:hAnsi="Arial" w:cs="Arial"/>
          <w:sz w:val="24"/>
          <w:szCs w:val="24"/>
        </w:rPr>
        <w:t>neither the NPA nor</w:t>
      </w:r>
      <w:r w:rsidR="000B199F" w:rsidRPr="00096EE5">
        <w:rPr>
          <w:rFonts w:ascii="Arial" w:hAnsi="Arial" w:cs="Arial"/>
          <w:sz w:val="24"/>
          <w:szCs w:val="24"/>
        </w:rPr>
        <w:t xml:space="preserve"> the </w:t>
      </w:r>
      <w:r w:rsidR="00125E99" w:rsidRPr="00096EE5">
        <w:rPr>
          <w:rFonts w:ascii="Arial" w:hAnsi="Arial" w:cs="Arial"/>
          <w:sz w:val="24"/>
          <w:szCs w:val="24"/>
        </w:rPr>
        <w:t>curator w</w:t>
      </w:r>
      <w:r w:rsidR="00695408" w:rsidRPr="00096EE5">
        <w:rPr>
          <w:rFonts w:ascii="Arial" w:hAnsi="Arial" w:cs="Arial"/>
          <w:sz w:val="24"/>
          <w:szCs w:val="24"/>
        </w:rPr>
        <w:t>ere</w:t>
      </w:r>
      <w:r w:rsidR="000B199F" w:rsidRPr="00096EE5">
        <w:rPr>
          <w:rFonts w:ascii="Arial" w:hAnsi="Arial" w:cs="Arial"/>
          <w:sz w:val="24"/>
          <w:szCs w:val="24"/>
        </w:rPr>
        <w:t xml:space="preserve"> joined as parties in the application brought by NUM. To this end, it was contended by RBCT’s counsel that the </w:t>
      </w:r>
      <w:r w:rsidR="000E79FA" w:rsidRPr="00096EE5">
        <w:rPr>
          <w:rFonts w:ascii="Arial" w:hAnsi="Arial" w:cs="Arial"/>
          <w:sz w:val="24"/>
          <w:szCs w:val="24"/>
        </w:rPr>
        <w:t>c</w:t>
      </w:r>
      <w:r w:rsidR="000B199F" w:rsidRPr="00096EE5">
        <w:rPr>
          <w:rFonts w:ascii="Arial" w:hAnsi="Arial" w:cs="Arial"/>
          <w:sz w:val="24"/>
          <w:szCs w:val="24"/>
        </w:rPr>
        <w:t xml:space="preserve">ourt is entitled to take into account what the NPA (who have been granted leave to intervene as a party </w:t>
      </w:r>
      <w:r w:rsidR="00D54FDD" w:rsidRPr="00096EE5">
        <w:rPr>
          <w:rFonts w:ascii="Arial" w:hAnsi="Arial" w:cs="Arial"/>
          <w:sz w:val="24"/>
          <w:szCs w:val="24"/>
        </w:rPr>
        <w:t xml:space="preserve">in the </w:t>
      </w:r>
      <w:r w:rsidR="000B199F" w:rsidRPr="00096EE5">
        <w:rPr>
          <w:rFonts w:ascii="Arial" w:hAnsi="Arial" w:cs="Arial"/>
          <w:sz w:val="24"/>
          <w:szCs w:val="24"/>
        </w:rPr>
        <w:t>main application</w:t>
      </w:r>
      <w:r w:rsidR="00D1799A" w:rsidRPr="00096EE5">
        <w:rPr>
          <w:rFonts w:ascii="Arial" w:hAnsi="Arial" w:cs="Arial"/>
          <w:sz w:val="24"/>
          <w:szCs w:val="24"/>
        </w:rPr>
        <w:t xml:space="preserve">) stated in </w:t>
      </w:r>
      <w:r w:rsidR="006149DD" w:rsidRPr="00096EE5">
        <w:rPr>
          <w:rFonts w:ascii="Arial" w:hAnsi="Arial" w:cs="Arial"/>
          <w:sz w:val="24"/>
          <w:szCs w:val="24"/>
        </w:rPr>
        <w:t>its</w:t>
      </w:r>
      <w:r w:rsidR="00D1799A" w:rsidRPr="00096EE5">
        <w:rPr>
          <w:rFonts w:ascii="Arial" w:hAnsi="Arial" w:cs="Arial"/>
          <w:sz w:val="24"/>
          <w:szCs w:val="24"/>
        </w:rPr>
        <w:t xml:space="preserve"> affidavits in the main application. Similarly</w:t>
      </w:r>
      <w:r w:rsidRPr="00096EE5">
        <w:rPr>
          <w:rFonts w:ascii="Arial" w:hAnsi="Arial" w:cs="Arial"/>
          <w:sz w:val="24"/>
          <w:szCs w:val="24"/>
        </w:rPr>
        <w:t>,</w:t>
      </w:r>
      <w:r w:rsidR="00D1799A" w:rsidRPr="00096EE5">
        <w:rPr>
          <w:rFonts w:ascii="Arial" w:hAnsi="Arial" w:cs="Arial"/>
          <w:sz w:val="24"/>
          <w:szCs w:val="24"/>
        </w:rPr>
        <w:t xml:space="preserve"> it was contended that regard could be had to the report filed by the curator pursuant to the order of the Gauteng High Court.</w:t>
      </w:r>
      <w:r w:rsidR="000B199F" w:rsidRPr="00096EE5">
        <w:rPr>
          <w:rFonts w:ascii="Arial" w:hAnsi="Arial" w:cs="Arial"/>
          <w:sz w:val="24"/>
          <w:szCs w:val="24"/>
        </w:rPr>
        <w:t xml:space="preserve"> </w:t>
      </w:r>
      <w:r w:rsidR="00D1799A" w:rsidRPr="00096EE5">
        <w:rPr>
          <w:rFonts w:ascii="Arial" w:hAnsi="Arial" w:cs="Arial"/>
          <w:sz w:val="24"/>
          <w:szCs w:val="24"/>
        </w:rPr>
        <w:t xml:space="preserve">During the course of his argument, counsel for NUM </w:t>
      </w:r>
      <w:r w:rsidR="00D928F4" w:rsidRPr="00096EE5">
        <w:rPr>
          <w:rFonts w:ascii="Arial" w:hAnsi="Arial" w:cs="Arial"/>
          <w:sz w:val="24"/>
          <w:szCs w:val="24"/>
        </w:rPr>
        <w:t>referred</w:t>
      </w:r>
      <w:r w:rsidR="00D1799A" w:rsidRPr="00096EE5">
        <w:rPr>
          <w:rFonts w:ascii="Arial" w:hAnsi="Arial" w:cs="Arial"/>
          <w:sz w:val="24"/>
          <w:szCs w:val="24"/>
        </w:rPr>
        <w:t xml:space="preserve"> to extracts from the</w:t>
      </w:r>
      <w:r w:rsidR="005C7FD6" w:rsidRPr="00096EE5">
        <w:rPr>
          <w:rFonts w:ascii="Arial" w:hAnsi="Arial" w:cs="Arial"/>
          <w:sz w:val="24"/>
          <w:szCs w:val="24"/>
        </w:rPr>
        <w:t xml:space="preserve"> NPA’s</w:t>
      </w:r>
      <w:r w:rsidR="00D1799A" w:rsidRPr="00096EE5">
        <w:rPr>
          <w:rFonts w:ascii="Arial" w:hAnsi="Arial" w:cs="Arial"/>
          <w:sz w:val="24"/>
          <w:szCs w:val="24"/>
        </w:rPr>
        <w:t xml:space="preserve"> affidavit, which it submitted supported NUM’s claim </w:t>
      </w:r>
      <w:r w:rsidR="0055273C" w:rsidRPr="00096EE5">
        <w:rPr>
          <w:rFonts w:ascii="Arial" w:hAnsi="Arial" w:cs="Arial"/>
          <w:sz w:val="24"/>
          <w:szCs w:val="24"/>
        </w:rPr>
        <w:t xml:space="preserve">to the </w:t>
      </w:r>
      <w:r w:rsidR="00D1799A" w:rsidRPr="00096EE5">
        <w:rPr>
          <w:rFonts w:ascii="Arial" w:hAnsi="Arial" w:cs="Arial"/>
          <w:sz w:val="24"/>
          <w:szCs w:val="24"/>
        </w:rPr>
        <w:t xml:space="preserve">relief it seeks in this application. That was disputed by </w:t>
      </w:r>
      <w:r w:rsidR="00D928F4" w:rsidRPr="00096EE5">
        <w:rPr>
          <w:rFonts w:ascii="Arial" w:hAnsi="Arial" w:cs="Arial"/>
          <w:sz w:val="24"/>
          <w:szCs w:val="24"/>
        </w:rPr>
        <w:t>RBCT</w:t>
      </w:r>
      <w:r w:rsidR="00D1799A" w:rsidRPr="00096EE5">
        <w:rPr>
          <w:rFonts w:ascii="Arial" w:hAnsi="Arial" w:cs="Arial"/>
          <w:sz w:val="24"/>
          <w:szCs w:val="24"/>
        </w:rPr>
        <w:t>. Reference will be made below to those particular aspects of the</w:t>
      </w:r>
      <w:r w:rsidR="006149DD" w:rsidRPr="00096EE5">
        <w:rPr>
          <w:rFonts w:ascii="Arial" w:hAnsi="Arial" w:cs="Arial"/>
          <w:sz w:val="24"/>
          <w:szCs w:val="24"/>
        </w:rPr>
        <w:t xml:space="preserve"> NPA’s</w:t>
      </w:r>
      <w:r w:rsidR="00D1799A" w:rsidRPr="00096EE5">
        <w:rPr>
          <w:rFonts w:ascii="Arial" w:hAnsi="Arial" w:cs="Arial"/>
          <w:sz w:val="24"/>
          <w:szCs w:val="24"/>
        </w:rPr>
        <w:t xml:space="preserve"> affidavit.</w:t>
      </w:r>
      <w:r w:rsidR="007554DF" w:rsidRPr="00096EE5">
        <w:rPr>
          <w:rFonts w:ascii="Arial" w:hAnsi="Arial" w:cs="Arial"/>
          <w:sz w:val="24"/>
          <w:szCs w:val="24"/>
        </w:rPr>
        <w:t xml:space="preserve"> </w:t>
      </w:r>
    </w:p>
    <w:p w:rsidR="007554DF" w:rsidRPr="00096EE5" w:rsidRDefault="007554DF" w:rsidP="00C42E08">
      <w:pPr>
        <w:pStyle w:val="ListParagraph"/>
        <w:spacing w:line="360" w:lineRule="auto"/>
        <w:jc w:val="both"/>
        <w:rPr>
          <w:rFonts w:ascii="Arial" w:hAnsi="Arial" w:cs="Arial"/>
          <w:sz w:val="24"/>
          <w:szCs w:val="24"/>
        </w:rPr>
      </w:pPr>
    </w:p>
    <w:p w:rsidR="007554DF" w:rsidRPr="00096EE5" w:rsidRDefault="0021088C" w:rsidP="00C42E08">
      <w:pPr>
        <w:pStyle w:val="ListParagraph"/>
        <w:shd w:val="clear" w:color="auto" w:fill="FFFFFF"/>
        <w:tabs>
          <w:tab w:val="left" w:pos="567"/>
        </w:tabs>
        <w:spacing w:before="144" w:after="0" w:line="360" w:lineRule="auto"/>
        <w:ind w:left="0"/>
        <w:jc w:val="both"/>
        <w:rPr>
          <w:rFonts w:ascii="Arial" w:hAnsi="Arial" w:cs="Arial"/>
          <w:sz w:val="27"/>
          <w:szCs w:val="27"/>
        </w:rPr>
      </w:pPr>
      <w:r w:rsidRPr="00096EE5">
        <w:rPr>
          <w:rFonts w:ascii="Arial" w:hAnsi="Arial" w:cs="Arial"/>
          <w:sz w:val="24"/>
          <w:szCs w:val="24"/>
        </w:rPr>
        <w:t>[8]</w:t>
      </w:r>
      <w:r w:rsidRPr="00096EE5">
        <w:rPr>
          <w:rFonts w:ascii="Arial" w:hAnsi="Arial" w:cs="Arial"/>
          <w:sz w:val="24"/>
          <w:szCs w:val="24"/>
        </w:rPr>
        <w:tab/>
      </w:r>
      <w:r w:rsidR="00D1799A" w:rsidRPr="00096EE5">
        <w:rPr>
          <w:rFonts w:ascii="Arial" w:hAnsi="Arial" w:cs="Arial"/>
          <w:sz w:val="24"/>
          <w:szCs w:val="24"/>
        </w:rPr>
        <w:t xml:space="preserve">Prior to the commencement of the hearing RBCT filed an application in terms of </w:t>
      </w:r>
      <w:r w:rsidR="000055BC" w:rsidRPr="00096EE5">
        <w:rPr>
          <w:rFonts w:ascii="Arial" w:hAnsi="Arial" w:cs="Arial"/>
          <w:sz w:val="24"/>
          <w:szCs w:val="24"/>
        </w:rPr>
        <w:t>U</w:t>
      </w:r>
      <w:r w:rsidR="00D1799A" w:rsidRPr="00096EE5">
        <w:rPr>
          <w:rFonts w:ascii="Arial" w:hAnsi="Arial" w:cs="Arial"/>
          <w:sz w:val="24"/>
          <w:szCs w:val="24"/>
        </w:rPr>
        <w:t>niform rule 7</w:t>
      </w:r>
      <w:r w:rsidR="00A02F00">
        <w:rPr>
          <w:rFonts w:ascii="Arial" w:hAnsi="Arial" w:cs="Arial"/>
          <w:sz w:val="24"/>
          <w:szCs w:val="24"/>
        </w:rPr>
        <w:t>(1)</w:t>
      </w:r>
      <w:r w:rsidR="00D1799A" w:rsidRPr="00096EE5">
        <w:rPr>
          <w:rFonts w:ascii="Arial" w:hAnsi="Arial" w:cs="Arial"/>
          <w:sz w:val="24"/>
          <w:szCs w:val="24"/>
        </w:rPr>
        <w:t xml:space="preserve"> challenging the authority of those representing NUM to bring the present proceedings. In this regard </w:t>
      </w:r>
      <w:r w:rsidR="00A02F00">
        <w:rPr>
          <w:rFonts w:ascii="Arial" w:hAnsi="Arial" w:cs="Arial"/>
          <w:sz w:val="24"/>
          <w:szCs w:val="24"/>
        </w:rPr>
        <w:t xml:space="preserve">a </w:t>
      </w:r>
      <w:r w:rsidR="00D1799A" w:rsidRPr="00096EE5">
        <w:rPr>
          <w:rFonts w:ascii="Arial" w:hAnsi="Arial" w:cs="Arial"/>
          <w:sz w:val="24"/>
          <w:szCs w:val="24"/>
        </w:rPr>
        <w:t>supporting affidavit to the challenge contended that on the basis of a newspaper article, the deponent to the affidavit filed by NUM, namely Mr Richard Zenzile Mguzulu</w:t>
      </w:r>
      <w:r w:rsidR="00A954BE" w:rsidRPr="00096EE5">
        <w:rPr>
          <w:rFonts w:ascii="Arial" w:hAnsi="Arial" w:cs="Arial"/>
          <w:sz w:val="24"/>
          <w:szCs w:val="24"/>
        </w:rPr>
        <w:t xml:space="preserve"> (Mr Mguzulu)</w:t>
      </w:r>
      <w:r w:rsidR="00D1799A" w:rsidRPr="00096EE5">
        <w:rPr>
          <w:rFonts w:ascii="Arial" w:hAnsi="Arial" w:cs="Arial"/>
          <w:sz w:val="24"/>
          <w:szCs w:val="24"/>
        </w:rPr>
        <w:t xml:space="preserve">, did not have the necessary authority to launch the application to intervene, particularly as the branch which he purports to represent, no longer exists. </w:t>
      </w:r>
      <w:r w:rsidR="007554DF" w:rsidRPr="00096EE5">
        <w:rPr>
          <w:rFonts w:ascii="Arial" w:hAnsi="Arial" w:cs="Arial"/>
          <w:sz w:val="24"/>
          <w:szCs w:val="24"/>
        </w:rPr>
        <w:t xml:space="preserve">In </w:t>
      </w:r>
      <w:r w:rsidR="007554DF" w:rsidRPr="00096EE5">
        <w:rPr>
          <w:rFonts w:ascii="Arial" w:hAnsi="Arial" w:cs="Arial"/>
          <w:i/>
          <w:sz w:val="24"/>
          <w:szCs w:val="24"/>
          <w:shd w:val="clear" w:color="auto" w:fill="FFFFFF"/>
        </w:rPr>
        <w:t xml:space="preserve">Ganes and </w:t>
      </w:r>
      <w:r w:rsidRPr="00096EE5">
        <w:rPr>
          <w:rFonts w:ascii="Arial" w:hAnsi="Arial" w:cs="Arial"/>
          <w:i/>
          <w:sz w:val="24"/>
          <w:szCs w:val="24"/>
          <w:shd w:val="clear" w:color="auto" w:fill="FFFFFF"/>
        </w:rPr>
        <w:t>a</w:t>
      </w:r>
      <w:r w:rsidR="007554DF" w:rsidRPr="00096EE5">
        <w:rPr>
          <w:rFonts w:ascii="Arial" w:hAnsi="Arial" w:cs="Arial"/>
          <w:i/>
          <w:sz w:val="24"/>
          <w:szCs w:val="24"/>
          <w:shd w:val="clear" w:color="auto" w:fill="FFFFFF"/>
        </w:rPr>
        <w:t>nother v Telecom Namibia Ltd</w:t>
      </w:r>
      <w:r w:rsidR="007554DF" w:rsidRPr="00096EE5">
        <w:rPr>
          <w:rFonts w:ascii="Arial" w:hAnsi="Arial" w:cs="Arial"/>
          <w:sz w:val="24"/>
          <w:szCs w:val="24"/>
          <w:shd w:val="clear" w:color="auto" w:fill="FFFFFF"/>
        </w:rPr>
        <w:t> </w:t>
      </w:r>
      <w:hyperlink r:id="rId9" w:tooltip="View LawCiteRecord" w:history="1">
        <w:r w:rsidR="007554DF" w:rsidRPr="00096EE5">
          <w:rPr>
            <w:rStyle w:val="Hyperlink"/>
            <w:rFonts w:ascii="Arial" w:hAnsi="Arial" w:cs="Arial"/>
            <w:bCs/>
            <w:color w:val="auto"/>
            <w:sz w:val="24"/>
            <w:szCs w:val="24"/>
            <w:u w:val="none"/>
            <w:shd w:val="clear" w:color="auto" w:fill="FFFFFF"/>
          </w:rPr>
          <w:t>2004 (3) SA 615</w:t>
        </w:r>
      </w:hyperlink>
      <w:r w:rsidR="007554DF" w:rsidRPr="00096EE5">
        <w:rPr>
          <w:rFonts w:ascii="Arial" w:hAnsi="Arial" w:cs="Arial"/>
          <w:sz w:val="24"/>
          <w:szCs w:val="24"/>
          <w:shd w:val="clear" w:color="auto" w:fill="FFFFFF"/>
        </w:rPr>
        <w:t> (SCA) para 19 the court held:</w:t>
      </w:r>
      <w:r w:rsidR="007554DF" w:rsidRPr="00096EE5">
        <w:rPr>
          <w:rFonts w:ascii="Arial" w:hAnsi="Arial" w:cs="Arial"/>
          <w:sz w:val="27"/>
          <w:szCs w:val="27"/>
          <w:shd w:val="clear" w:color="auto" w:fill="FFFFFF"/>
        </w:rPr>
        <w:t xml:space="preserve"> </w:t>
      </w:r>
    </w:p>
    <w:p w:rsidR="007554DF" w:rsidRPr="00096EE5" w:rsidRDefault="007554DF" w:rsidP="00C42E08">
      <w:pPr>
        <w:pStyle w:val="NormalWeb"/>
        <w:shd w:val="clear" w:color="auto" w:fill="FFFFFF"/>
        <w:spacing w:before="0" w:beforeAutospacing="0" w:after="0" w:afterAutospacing="0" w:line="360" w:lineRule="auto"/>
        <w:jc w:val="both"/>
        <w:rPr>
          <w:rFonts w:ascii="Arial" w:hAnsi="Arial" w:cs="Arial"/>
          <w:sz w:val="20"/>
          <w:szCs w:val="20"/>
        </w:rPr>
      </w:pPr>
      <w:r w:rsidRPr="00096EE5">
        <w:rPr>
          <w:rFonts w:ascii="Arial" w:hAnsi="Arial" w:cs="Arial"/>
          <w:sz w:val="22"/>
          <w:szCs w:val="22"/>
        </w:rPr>
        <w:t>‘</w:t>
      </w:r>
      <w:r w:rsidR="0021088C" w:rsidRPr="00096EE5">
        <w:rPr>
          <w:rFonts w:ascii="Arial" w:hAnsi="Arial" w:cs="Arial"/>
          <w:sz w:val="22"/>
          <w:szCs w:val="22"/>
        </w:rPr>
        <w:t>. . .</w:t>
      </w:r>
      <w:r w:rsidRPr="00096EE5">
        <w:rPr>
          <w:rFonts w:ascii="Arial" w:hAnsi="Arial" w:cs="Arial"/>
          <w:sz w:val="22"/>
          <w:szCs w:val="22"/>
        </w:rPr>
        <w:t>The deponent to an affidavit in motion proceedings need not be authorised by the party concerned to depose to the affidavit. It is the institution of the proceedings and the prosecution thereof which must be authorised</w:t>
      </w:r>
      <w:r w:rsidRPr="00096EE5">
        <w:rPr>
          <w:rFonts w:ascii="Arial" w:hAnsi="Arial" w:cs="Arial"/>
          <w:sz w:val="20"/>
          <w:szCs w:val="20"/>
        </w:rPr>
        <w:t>.’</w:t>
      </w:r>
    </w:p>
    <w:p w:rsidR="00D562F4" w:rsidRPr="00096EE5" w:rsidRDefault="0021088C" w:rsidP="00C42E08">
      <w:pPr>
        <w:pStyle w:val="ListParagraph"/>
        <w:shd w:val="clear" w:color="auto" w:fill="FFFFFF"/>
        <w:tabs>
          <w:tab w:val="left" w:pos="567"/>
        </w:tabs>
        <w:spacing w:before="240" w:after="180" w:line="360" w:lineRule="auto"/>
        <w:ind w:left="0"/>
        <w:jc w:val="both"/>
        <w:rPr>
          <w:rFonts w:ascii="Arial" w:hAnsi="Arial" w:cs="Arial"/>
          <w:sz w:val="24"/>
          <w:szCs w:val="24"/>
        </w:rPr>
      </w:pPr>
      <w:r w:rsidRPr="00096EE5">
        <w:rPr>
          <w:rFonts w:ascii="Arial" w:hAnsi="Arial" w:cs="Arial"/>
          <w:sz w:val="24"/>
          <w:szCs w:val="24"/>
        </w:rPr>
        <w:t>[9]</w:t>
      </w:r>
      <w:r w:rsidRPr="00096EE5">
        <w:rPr>
          <w:rFonts w:ascii="Arial" w:hAnsi="Arial" w:cs="Arial"/>
          <w:sz w:val="24"/>
          <w:szCs w:val="24"/>
        </w:rPr>
        <w:tab/>
      </w:r>
      <w:r w:rsidR="00D1799A" w:rsidRPr="00096EE5">
        <w:rPr>
          <w:rFonts w:ascii="Arial" w:hAnsi="Arial" w:cs="Arial"/>
          <w:sz w:val="24"/>
          <w:szCs w:val="24"/>
        </w:rPr>
        <w:t>A resolution taken by the leadership of NUM</w:t>
      </w:r>
      <w:r w:rsidR="00A954BE" w:rsidRPr="00096EE5">
        <w:rPr>
          <w:rFonts w:ascii="Arial" w:hAnsi="Arial" w:cs="Arial"/>
          <w:sz w:val="24"/>
          <w:szCs w:val="24"/>
        </w:rPr>
        <w:t>,</w:t>
      </w:r>
      <w:r w:rsidR="00D1799A" w:rsidRPr="00096EE5">
        <w:rPr>
          <w:rFonts w:ascii="Arial" w:hAnsi="Arial" w:cs="Arial"/>
          <w:sz w:val="24"/>
          <w:szCs w:val="24"/>
        </w:rPr>
        <w:t xml:space="preserve"> however</w:t>
      </w:r>
      <w:r w:rsidR="00A954BE" w:rsidRPr="00096EE5">
        <w:rPr>
          <w:rFonts w:ascii="Arial" w:hAnsi="Arial" w:cs="Arial"/>
          <w:sz w:val="24"/>
          <w:szCs w:val="24"/>
        </w:rPr>
        <w:t>,</w:t>
      </w:r>
      <w:r w:rsidR="00D1799A" w:rsidRPr="00096EE5">
        <w:rPr>
          <w:rFonts w:ascii="Arial" w:hAnsi="Arial" w:cs="Arial"/>
          <w:sz w:val="24"/>
          <w:szCs w:val="24"/>
        </w:rPr>
        <w:t xml:space="preserve"> confirmed that Mr Mguzulu was </w:t>
      </w:r>
      <w:r w:rsidR="007554DF" w:rsidRPr="00096EE5">
        <w:rPr>
          <w:rFonts w:ascii="Arial" w:hAnsi="Arial" w:cs="Arial"/>
          <w:sz w:val="24"/>
          <w:szCs w:val="24"/>
        </w:rPr>
        <w:t xml:space="preserve">indeed </w:t>
      </w:r>
      <w:r w:rsidR="00D1799A" w:rsidRPr="00096EE5">
        <w:rPr>
          <w:rFonts w:ascii="Arial" w:hAnsi="Arial" w:cs="Arial"/>
          <w:sz w:val="24"/>
          <w:szCs w:val="24"/>
        </w:rPr>
        <w:t xml:space="preserve">duly authorised, and that the attorneys acting in the present application, were </w:t>
      </w:r>
      <w:r w:rsidR="005C7FD6" w:rsidRPr="00096EE5">
        <w:rPr>
          <w:rFonts w:ascii="Arial" w:hAnsi="Arial" w:cs="Arial"/>
          <w:sz w:val="24"/>
          <w:szCs w:val="24"/>
        </w:rPr>
        <w:t xml:space="preserve">also </w:t>
      </w:r>
      <w:r w:rsidR="00D1799A" w:rsidRPr="00096EE5">
        <w:rPr>
          <w:rFonts w:ascii="Arial" w:hAnsi="Arial" w:cs="Arial"/>
          <w:sz w:val="24"/>
          <w:szCs w:val="24"/>
        </w:rPr>
        <w:t xml:space="preserve">duly authorised to do so. After considering the proof of authority, I was satisfied that the challenge in terms of </w:t>
      </w:r>
      <w:r w:rsidR="00A954BE" w:rsidRPr="00096EE5">
        <w:rPr>
          <w:rFonts w:ascii="Arial" w:hAnsi="Arial" w:cs="Arial"/>
          <w:sz w:val="24"/>
          <w:szCs w:val="24"/>
        </w:rPr>
        <w:t xml:space="preserve">Uniform </w:t>
      </w:r>
      <w:r w:rsidR="00D1799A" w:rsidRPr="00096EE5">
        <w:rPr>
          <w:rFonts w:ascii="Arial" w:hAnsi="Arial" w:cs="Arial"/>
          <w:sz w:val="24"/>
          <w:szCs w:val="24"/>
        </w:rPr>
        <w:t>rule 7</w:t>
      </w:r>
      <w:r w:rsidR="00A02F00">
        <w:rPr>
          <w:rFonts w:ascii="Arial" w:hAnsi="Arial" w:cs="Arial"/>
          <w:sz w:val="24"/>
          <w:szCs w:val="24"/>
        </w:rPr>
        <w:t>(1)</w:t>
      </w:r>
      <w:r w:rsidR="00D1799A" w:rsidRPr="00096EE5">
        <w:rPr>
          <w:rFonts w:ascii="Arial" w:hAnsi="Arial" w:cs="Arial"/>
          <w:sz w:val="24"/>
          <w:szCs w:val="24"/>
        </w:rPr>
        <w:t xml:space="preserve"> had been </w:t>
      </w:r>
      <w:r w:rsidR="0055273C" w:rsidRPr="00096EE5">
        <w:rPr>
          <w:rFonts w:ascii="Arial" w:hAnsi="Arial" w:cs="Arial"/>
          <w:sz w:val="24"/>
          <w:szCs w:val="24"/>
        </w:rPr>
        <w:t>properly</w:t>
      </w:r>
      <w:r w:rsidR="00D1799A" w:rsidRPr="00096EE5">
        <w:rPr>
          <w:rFonts w:ascii="Arial" w:hAnsi="Arial" w:cs="Arial"/>
          <w:sz w:val="24"/>
          <w:szCs w:val="24"/>
        </w:rPr>
        <w:t xml:space="preserve"> met.</w:t>
      </w:r>
      <w:r w:rsidR="00D562F4" w:rsidRPr="00096EE5">
        <w:rPr>
          <w:rFonts w:ascii="Arial" w:hAnsi="Arial" w:cs="Arial"/>
          <w:sz w:val="24"/>
          <w:szCs w:val="24"/>
        </w:rPr>
        <w:t xml:space="preserve"> </w:t>
      </w:r>
    </w:p>
    <w:p w:rsidR="00D562F4" w:rsidRPr="00096EE5" w:rsidRDefault="00D562F4" w:rsidP="00C42E08">
      <w:pPr>
        <w:pStyle w:val="ListParagraph"/>
        <w:shd w:val="clear" w:color="auto" w:fill="FFFFFF"/>
        <w:tabs>
          <w:tab w:val="left" w:pos="567"/>
        </w:tabs>
        <w:spacing w:before="240" w:after="180" w:line="360" w:lineRule="auto"/>
        <w:ind w:left="0"/>
        <w:jc w:val="both"/>
        <w:rPr>
          <w:rFonts w:ascii="Arial" w:hAnsi="Arial" w:cs="Arial"/>
          <w:sz w:val="24"/>
          <w:szCs w:val="24"/>
          <w:highlight w:val="yellow"/>
        </w:rPr>
      </w:pPr>
    </w:p>
    <w:p w:rsidR="000437BA" w:rsidRDefault="0021088C" w:rsidP="000E311F">
      <w:pPr>
        <w:pStyle w:val="ListParagraph"/>
        <w:shd w:val="clear" w:color="auto" w:fill="FFFFFF"/>
        <w:tabs>
          <w:tab w:val="left" w:pos="567"/>
        </w:tabs>
        <w:spacing w:before="240" w:after="180" w:line="360" w:lineRule="auto"/>
        <w:ind w:left="0"/>
        <w:jc w:val="both"/>
        <w:rPr>
          <w:rFonts w:ascii="Arial" w:hAnsi="Arial" w:cs="Arial"/>
          <w:sz w:val="24"/>
          <w:szCs w:val="24"/>
        </w:rPr>
      </w:pPr>
      <w:r w:rsidRPr="00096EE5">
        <w:rPr>
          <w:rFonts w:ascii="Arial" w:hAnsi="Arial" w:cs="Arial"/>
          <w:sz w:val="24"/>
          <w:szCs w:val="24"/>
        </w:rPr>
        <w:lastRenderedPageBreak/>
        <w:t>[10]</w:t>
      </w:r>
      <w:r w:rsidRPr="00096EE5">
        <w:rPr>
          <w:rFonts w:ascii="Arial" w:hAnsi="Arial" w:cs="Arial"/>
          <w:sz w:val="24"/>
          <w:szCs w:val="24"/>
        </w:rPr>
        <w:tab/>
      </w:r>
      <w:r w:rsidR="000437BA" w:rsidRPr="000437BA">
        <w:rPr>
          <w:rFonts w:ascii="Arial" w:hAnsi="Arial" w:cs="Arial"/>
          <w:sz w:val="24"/>
          <w:szCs w:val="24"/>
        </w:rPr>
        <w:t xml:space="preserve">It is not necessary to set out in any great detail the interrelated web of the Optimum business entities, save to record that both OCT and OCM have been placed into business rescue. OCM operates a mine while OCT is a shareholder and derives an entitlement to use the RBCT facility to export coal, on the assumption that it is not </w:t>
      </w:r>
      <w:r w:rsidR="000437BA">
        <w:rPr>
          <w:rFonts w:ascii="Arial" w:hAnsi="Arial" w:cs="Arial"/>
          <w:sz w:val="24"/>
          <w:szCs w:val="24"/>
        </w:rPr>
        <w:t xml:space="preserve">in breach </w:t>
      </w:r>
      <w:r w:rsidR="000437BA" w:rsidRPr="000437BA">
        <w:rPr>
          <w:rFonts w:ascii="Arial" w:hAnsi="Arial" w:cs="Arial"/>
          <w:sz w:val="24"/>
          <w:szCs w:val="24"/>
        </w:rPr>
        <w:t xml:space="preserve">of any provision of the Shareholders Agreement. Since being placed into business rescue, OCM has effectively outsourced the mining activities to mini-pit operators, who employ miners, the latter being members of NUM. It is in this context that NUM essentially contends that the actions by RBCT have a ‘knock-on’ effect for its members, depriving them of their right to a livelihood. The founding affidavit goes a step further, contending that the conduct of RBCT ‘directly and irreversibly affects the rights and interests of thousands of NUM members’. Of particular importance is that the business rescue practitioners </w:t>
      </w:r>
      <w:r w:rsidR="00454736">
        <w:rPr>
          <w:rFonts w:ascii="Arial" w:hAnsi="Arial" w:cs="Arial"/>
          <w:sz w:val="24"/>
          <w:szCs w:val="24"/>
        </w:rPr>
        <w:t xml:space="preserve">(BRPs) </w:t>
      </w:r>
      <w:r w:rsidR="000437BA" w:rsidRPr="000437BA">
        <w:rPr>
          <w:rFonts w:ascii="Arial" w:hAnsi="Arial" w:cs="Arial"/>
          <w:sz w:val="24"/>
          <w:szCs w:val="24"/>
        </w:rPr>
        <w:t xml:space="preserve">of OCM have agreed to pay outstanding salaries and retrenchment packages owing to NUM’s members on an ongoing basis. In this respect it is contended that the mini-pit operators pay a royalty to OCM, with the remuneration </w:t>
      </w:r>
      <w:r w:rsidR="00E904F9">
        <w:rPr>
          <w:rFonts w:ascii="Arial" w:hAnsi="Arial" w:cs="Arial"/>
          <w:sz w:val="24"/>
          <w:szCs w:val="24"/>
        </w:rPr>
        <w:t xml:space="preserve">earned </w:t>
      </w:r>
      <w:r w:rsidR="000437BA" w:rsidRPr="000437BA">
        <w:rPr>
          <w:rFonts w:ascii="Arial" w:hAnsi="Arial" w:cs="Arial"/>
          <w:sz w:val="24"/>
          <w:szCs w:val="24"/>
        </w:rPr>
        <w:t xml:space="preserve">in this process enabling the BRPs to pay the former employees approximately R10 000 per month. If the status quo order is not granted, </w:t>
      </w:r>
      <w:r w:rsidR="00E904F9">
        <w:rPr>
          <w:rFonts w:ascii="Arial" w:hAnsi="Arial" w:cs="Arial"/>
          <w:sz w:val="24"/>
          <w:szCs w:val="24"/>
        </w:rPr>
        <w:t xml:space="preserve">so it was contended, </w:t>
      </w:r>
      <w:r w:rsidR="000437BA" w:rsidRPr="000437BA">
        <w:rPr>
          <w:rFonts w:ascii="Arial" w:hAnsi="Arial" w:cs="Arial"/>
          <w:sz w:val="24"/>
          <w:szCs w:val="24"/>
        </w:rPr>
        <w:t>this impedes on the business of the pit operators to export their coal using RBCT’s facilities, effectively placing in jeopardy the ability of the BRPs to continue paying the monthly retrenchment tranches to NUM’s members. It is further contended that the area in which the miners reside is economically depleted, with no alternatives to earn a livelihood.</w:t>
      </w:r>
    </w:p>
    <w:p w:rsidR="00454736" w:rsidRPr="000437BA" w:rsidRDefault="00454736" w:rsidP="000437BA">
      <w:pPr>
        <w:pStyle w:val="ListParagraph"/>
        <w:shd w:val="clear" w:color="auto" w:fill="FFFFFF"/>
        <w:tabs>
          <w:tab w:val="left" w:pos="567"/>
        </w:tabs>
        <w:spacing w:before="240" w:after="180" w:line="360" w:lineRule="auto"/>
        <w:ind w:left="0"/>
        <w:jc w:val="both"/>
        <w:rPr>
          <w:rFonts w:ascii="Arial" w:hAnsi="Arial" w:cs="Arial"/>
          <w:b/>
          <w:bCs/>
          <w:sz w:val="24"/>
          <w:szCs w:val="24"/>
        </w:rPr>
      </w:pPr>
    </w:p>
    <w:p w:rsidR="000437BA" w:rsidRDefault="00454736" w:rsidP="000437BA">
      <w:pPr>
        <w:pStyle w:val="ListParagraph"/>
        <w:shd w:val="clear" w:color="auto" w:fill="FFFFFF"/>
        <w:tabs>
          <w:tab w:val="left" w:pos="567"/>
        </w:tabs>
        <w:spacing w:before="240" w:after="180" w:line="360" w:lineRule="auto"/>
        <w:ind w:left="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437BA" w:rsidRPr="00096EE5">
        <w:rPr>
          <w:rFonts w:ascii="Arial" w:hAnsi="Arial" w:cs="Arial"/>
          <w:sz w:val="24"/>
          <w:szCs w:val="24"/>
        </w:rPr>
        <w:t xml:space="preserve">The main application between Optimum and RBCT (with the NPA and NUM being granted leave to intervene) relates to the entitlement of Optimum to export coal through the use of the facility at RBCT. According to </w:t>
      </w:r>
      <w:r w:rsidR="000437BA">
        <w:rPr>
          <w:rFonts w:ascii="Arial" w:hAnsi="Arial" w:cs="Arial"/>
          <w:sz w:val="24"/>
          <w:szCs w:val="24"/>
        </w:rPr>
        <w:t xml:space="preserve">RBCT, </w:t>
      </w:r>
      <w:r w:rsidR="000437BA" w:rsidRPr="00096EE5">
        <w:rPr>
          <w:rFonts w:ascii="Arial" w:hAnsi="Arial" w:cs="Arial"/>
          <w:sz w:val="24"/>
          <w:szCs w:val="24"/>
        </w:rPr>
        <w:t xml:space="preserve">Optimum’s entitlement came to an end on 31 January 2023 and therefore no basis exists in law for a contract to be created by the court to reinstate </w:t>
      </w:r>
      <w:r w:rsidR="000437BA">
        <w:rPr>
          <w:rFonts w:ascii="Arial" w:hAnsi="Arial" w:cs="Arial"/>
          <w:sz w:val="24"/>
          <w:szCs w:val="24"/>
        </w:rPr>
        <w:t xml:space="preserve">one </w:t>
      </w:r>
      <w:r w:rsidR="000437BA" w:rsidRPr="00096EE5">
        <w:rPr>
          <w:rFonts w:ascii="Arial" w:hAnsi="Arial" w:cs="Arial"/>
          <w:sz w:val="24"/>
          <w:szCs w:val="24"/>
        </w:rPr>
        <w:t xml:space="preserve">which has come to an end by effluxion of time. See </w:t>
      </w:r>
      <w:r w:rsidR="000437BA" w:rsidRPr="00096EE5">
        <w:rPr>
          <w:rFonts w:ascii="Arial" w:hAnsi="Arial" w:cs="Arial"/>
          <w:i/>
          <w:sz w:val="24"/>
          <w:szCs w:val="24"/>
        </w:rPr>
        <w:t>Absa Ltd v Moore and another</w:t>
      </w:r>
      <w:r w:rsidR="000437BA" w:rsidRPr="00096EE5">
        <w:rPr>
          <w:rFonts w:ascii="Arial" w:hAnsi="Arial" w:cs="Arial"/>
          <w:sz w:val="24"/>
          <w:szCs w:val="24"/>
        </w:rPr>
        <w:t xml:space="preserve"> 2016 (3) SA 97 (SCA) para 42.</w:t>
      </w:r>
    </w:p>
    <w:p w:rsidR="000E311F" w:rsidRDefault="000E311F" w:rsidP="00C42E08">
      <w:pPr>
        <w:pStyle w:val="ListParagraph"/>
        <w:tabs>
          <w:tab w:val="left" w:pos="567"/>
        </w:tabs>
        <w:spacing w:after="0" w:line="360" w:lineRule="auto"/>
        <w:ind w:left="0"/>
        <w:jc w:val="both"/>
        <w:rPr>
          <w:rFonts w:ascii="Arial" w:hAnsi="Arial" w:cs="Arial"/>
          <w:sz w:val="24"/>
          <w:szCs w:val="24"/>
        </w:rPr>
      </w:pPr>
    </w:p>
    <w:p w:rsidR="00D1799A" w:rsidRPr="00096EE5" w:rsidRDefault="000E311F" w:rsidP="00C42E08">
      <w:pPr>
        <w:pStyle w:val="ListParagraph"/>
        <w:tabs>
          <w:tab w:val="left" w:pos="567"/>
        </w:tabs>
        <w:spacing w:after="0" w:line="360" w:lineRule="auto"/>
        <w:ind w:left="0"/>
        <w:jc w:val="both"/>
        <w:rPr>
          <w:rFonts w:ascii="Arial" w:hAnsi="Arial" w:cs="Arial"/>
          <w:sz w:val="24"/>
          <w:szCs w:val="24"/>
        </w:rPr>
      </w:pPr>
      <w:r>
        <w:rPr>
          <w:rFonts w:ascii="Arial" w:hAnsi="Arial" w:cs="Arial"/>
          <w:sz w:val="24"/>
          <w:szCs w:val="24"/>
        </w:rPr>
        <w:t>[12]</w:t>
      </w:r>
      <w:r w:rsidR="0021088C" w:rsidRPr="00096EE5">
        <w:rPr>
          <w:rFonts w:ascii="Arial" w:hAnsi="Arial" w:cs="Arial"/>
          <w:sz w:val="24"/>
          <w:szCs w:val="24"/>
        </w:rPr>
        <w:tab/>
      </w:r>
      <w:r w:rsidR="00255B49" w:rsidRPr="00096EE5">
        <w:rPr>
          <w:rFonts w:ascii="Arial" w:hAnsi="Arial" w:cs="Arial"/>
          <w:sz w:val="24"/>
          <w:szCs w:val="24"/>
        </w:rPr>
        <w:t xml:space="preserve">Moreover, the relief which NUM seeks in this interim application in paragraph 4 of the </w:t>
      </w:r>
      <w:r w:rsidR="00A954BE" w:rsidRPr="00096EE5">
        <w:rPr>
          <w:rFonts w:ascii="Arial" w:hAnsi="Arial" w:cs="Arial"/>
          <w:sz w:val="24"/>
          <w:szCs w:val="24"/>
        </w:rPr>
        <w:t>n</w:t>
      </w:r>
      <w:r w:rsidR="00255B49" w:rsidRPr="00096EE5">
        <w:rPr>
          <w:rFonts w:ascii="Arial" w:hAnsi="Arial" w:cs="Arial"/>
          <w:sz w:val="24"/>
          <w:szCs w:val="24"/>
        </w:rPr>
        <w:t xml:space="preserve">otice of </w:t>
      </w:r>
      <w:r w:rsidR="00A954BE" w:rsidRPr="00096EE5">
        <w:rPr>
          <w:rFonts w:ascii="Arial" w:hAnsi="Arial" w:cs="Arial"/>
          <w:sz w:val="24"/>
          <w:szCs w:val="24"/>
        </w:rPr>
        <w:t>m</w:t>
      </w:r>
      <w:r w:rsidR="00255B49" w:rsidRPr="00096EE5">
        <w:rPr>
          <w:rFonts w:ascii="Arial" w:hAnsi="Arial" w:cs="Arial"/>
          <w:sz w:val="24"/>
          <w:szCs w:val="24"/>
        </w:rPr>
        <w:t xml:space="preserve">otion essentially mirrors the relief which Optimum seeks in the main application. It is for this reason that RBCT contends that there is no </w:t>
      </w:r>
      <w:r w:rsidR="0055273C" w:rsidRPr="00096EE5">
        <w:rPr>
          <w:rFonts w:ascii="Arial" w:hAnsi="Arial" w:cs="Arial"/>
          <w:sz w:val="24"/>
          <w:szCs w:val="24"/>
        </w:rPr>
        <w:t xml:space="preserve">self-standing </w:t>
      </w:r>
      <w:r w:rsidR="00255B49" w:rsidRPr="00096EE5">
        <w:rPr>
          <w:rFonts w:ascii="Arial" w:hAnsi="Arial" w:cs="Arial"/>
          <w:sz w:val="24"/>
          <w:szCs w:val="24"/>
        </w:rPr>
        <w:t xml:space="preserve">relief which NUM seeks in this application in its own right, and that it has no real and </w:t>
      </w:r>
      <w:r w:rsidR="00255B49" w:rsidRPr="00096EE5">
        <w:rPr>
          <w:rFonts w:ascii="Arial" w:hAnsi="Arial" w:cs="Arial"/>
          <w:sz w:val="24"/>
          <w:szCs w:val="24"/>
        </w:rPr>
        <w:lastRenderedPageBreak/>
        <w:t xml:space="preserve">substantial interest in the relief sought in the </w:t>
      </w:r>
      <w:r w:rsidR="00475772" w:rsidRPr="00096EE5">
        <w:rPr>
          <w:rFonts w:ascii="Arial" w:hAnsi="Arial" w:cs="Arial"/>
          <w:sz w:val="24"/>
          <w:szCs w:val="24"/>
        </w:rPr>
        <w:t>main applicatio</w:t>
      </w:r>
      <w:r w:rsidR="00255B49" w:rsidRPr="00096EE5">
        <w:rPr>
          <w:rFonts w:ascii="Arial" w:hAnsi="Arial" w:cs="Arial"/>
          <w:sz w:val="24"/>
          <w:szCs w:val="24"/>
        </w:rPr>
        <w:t xml:space="preserve">n. </w:t>
      </w:r>
      <w:r w:rsidR="00475772" w:rsidRPr="00096EE5">
        <w:rPr>
          <w:rFonts w:ascii="Arial" w:hAnsi="Arial" w:cs="Arial"/>
          <w:sz w:val="24"/>
          <w:szCs w:val="24"/>
        </w:rPr>
        <w:t>It was</w:t>
      </w:r>
      <w:r w:rsidR="005C7FD6" w:rsidRPr="00096EE5">
        <w:rPr>
          <w:rFonts w:ascii="Arial" w:hAnsi="Arial" w:cs="Arial"/>
          <w:sz w:val="24"/>
          <w:szCs w:val="24"/>
        </w:rPr>
        <w:t xml:space="preserve"> further</w:t>
      </w:r>
      <w:r w:rsidR="00475772" w:rsidRPr="00096EE5">
        <w:rPr>
          <w:rFonts w:ascii="Arial" w:hAnsi="Arial" w:cs="Arial"/>
          <w:sz w:val="24"/>
          <w:szCs w:val="24"/>
        </w:rPr>
        <w:t xml:space="preserve"> contended on behalf of </w:t>
      </w:r>
      <w:r w:rsidR="00A9672C" w:rsidRPr="00096EE5">
        <w:rPr>
          <w:rFonts w:ascii="Arial" w:hAnsi="Arial" w:cs="Arial"/>
          <w:sz w:val="24"/>
          <w:szCs w:val="24"/>
        </w:rPr>
        <w:t xml:space="preserve">RBCT </w:t>
      </w:r>
      <w:r w:rsidR="00475772" w:rsidRPr="00096EE5">
        <w:rPr>
          <w:rFonts w:ascii="Arial" w:hAnsi="Arial" w:cs="Arial"/>
          <w:sz w:val="24"/>
          <w:szCs w:val="24"/>
        </w:rPr>
        <w:t xml:space="preserve">that NUM is not a party to the contractual relationship between Optimum and RBCT. It is not disputed that NUM </w:t>
      </w:r>
      <w:r w:rsidR="00F93B80" w:rsidRPr="00096EE5">
        <w:rPr>
          <w:rFonts w:ascii="Arial" w:hAnsi="Arial" w:cs="Arial"/>
          <w:sz w:val="24"/>
          <w:szCs w:val="24"/>
        </w:rPr>
        <w:t>is</w:t>
      </w:r>
      <w:r w:rsidR="00475772" w:rsidRPr="00096EE5">
        <w:rPr>
          <w:rFonts w:ascii="Arial" w:hAnsi="Arial" w:cs="Arial"/>
          <w:sz w:val="24"/>
          <w:szCs w:val="24"/>
        </w:rPr>
        <w:t xml:space="preserve"> not a shareholder in RBCT. Ordinarily, it would follow that NUM would have no entitlement of its own to demand performance by RBCT. RBCT relies in this regard on </w:t>
      </w:r>
      <w:r w:rsidR="00475772" w:rsidRPr="00096EE5">
        <w:rPr>
          <w:rFonts w:ascii="Arial" w:hAnsi="Arial" w:cs="Arial"/>
          <w:i/>
          <w:sz w:val="24"/>
          <w:szCs w:val="24"/>
        </w:rPr>
        <w:t xml:space="preserve">National Gambling Board v Premier of KwaZulu-Natal and </w:t>
      </w:r>
      <w:r w:rsidR="00076500" w:rsidRPr="00096EE5">
        <w:rPr>
          <w:rFonts w:ascii="Arial" w:hAnsi="Arial" w:cs="Arial"/>
          <w:i/>
          <w:sz w:val="24"/>
          <w:szCs w:val="24"/>
        </w:rPr>
        <w:t>o</w:t>
      </w:r>
      <w:r w:rsidR="00475772" w:rsidRPr="00096EE5">
        <w:rPr>
          <w:rFonts w:ascii="Arial" w:hAnsi="Arial" w:cs="Arial"/>
          <w:i/>
          <w:sz w:val="24"/>
          <w:szCs w:val="24"/>
        </w:rPr>
        <w:t>thers</w:t>
      </w:r>
      <w:r w:rsidR="00475772" w:rsidRPr="00096EE5">
        <w:rPr>
          <w:rFonts w:ascii="Arial" w:hAnsi="Arial" w:cs="Arial"/>
          <w:sz w:val="24"/>
          <w:szCs w:val="24"/>
        </w:rPr>
        <w:t xml:space="preserve"> 2002 (2) BCLR 156 (CC) para 41 where the </w:t>
      </w:r>
      <w:r w:rsidR="000E79FA" w:rsidRPr="00096EE5">
        <w:rPr>
          <w:rFonts w:ascii="Arial" w:hAnsi="Arial" w:cs="Arial"/>
          <w:sz w:val="24"/>
          <w:szCs w:val="24"/>
        </w:rPr>
        <w:t>c</w:t>
      </w:r>
      <w:r w:rsidR="00475772" w:rsidRPr="00096EE5">
        <w:rPr>
          <w:rFonts w:ascii="Arial" w:hAnsi="Arial" w:cs="Arial"/>
          <w:sz w:val="24"/>
          <w:szCs w:val="24"/>
        </w:rPr>
        <w:t>ourt held</w:t>
      </w:r>
      <w:r w:rsidR="000E79FA" w:rsidRPr="00096EE5">
        <w:rPr>
          <w:rFonts w:ascii="Arial" w:hAnsi="Arial" w:cs="Arial"/>
          <w:sz w:val="24"/>
          <w:szCs w:val="24"/>
        </w:rPr>
        <w:t>:</w:t>
      </w:r>
      <w:r w:rsidR="00475772" w:rsidRPr="00096EE5">
        <w:rPr>
          <w:rFonts w:ascii="Arial" w:hAnsi="Arial" w:cs="Arial"/>
          <w:sz w:val="24"/>
          <w:szCs w:val="24"/>
        </w:rPr>
        <w:t xml:space="preserve"> </w:t>
      </w:r>
    </w:p>
    <w:p w:rsidR="00645AF7" w:rsidRPr="00096EE5" w:rsidRDefault="00076500" w:rsidP="00C42E08">
      <w:pPr>
        <w:spacing w:line="360" w:lineRule="auto"/>
        <w:jc w:val="both"/>
        <w:rPr>
          <w:rFonts w:ascii="Arial" w:hAnsi="Arial" w:cs="Arial"/>
          <w:sz w:val="24"/>
          <w:szCs w:val="24"/>
          <w:shd w:val="clear" w:color="auto" w:fill="FFFFFF"/>
        </w:rPr>
      </w:pPr>
      <w:r w:rsidRPr="00096EE5">
        <w:rPr>
          <w:rFonts w:ascii="Arial" w:hAnsi="Arial" w:cs="Arial"/>
          <w:shd w:val="clear" w:color="auto" w:fill="FFFFFF"/>
        </w:rPr>
        <w:t>‘</w:t>
      </w:r>
      <w:r w:rsidR="00475772" w:rsidRPr="00096EE5">
        <w:rPr>
          <w:rFonts w:ascii="Arial" w:hAnsi="Arial" w:cs="Arial"/>
          <w:shd w:val="clear" w:color="auto" w:fill="FFFFFF"/>
        </w:rPr>
        <w:t>An applicant for an interim interdict must show a </w:t>
      </w:r>
      <w:r w:rsidR="00475772" w:rsidRPr="00096EE5">
        <w:rPr>
          <w:rFonts w:ascii="Arial" w:hAnsi="Arial" w:cs="Arial"/>
          <w:i/>
          <w:iCs/>
          <w:shd w:val="clear" w:color="auto" w:fill="FFFFFF"/>
        </w:rPr>
        <w:t>prima facie</w:t>
      </w:r>
      <w:r w:rsidR="00475772" w:rsidRPr="00096EE5">
        <w:rPr>
          <w:rFonts w:ascii="Arial" w:hAnsi="Arial" w:cs="Arial"/>
          <w:shd w:val="clear" w:color="auto" w:fill="FFFFFF"/>
        </w:rPr>
        <w:t xml:space="preserve"> right </w:t>
      </w:r>
      <w:r w:rsidR="00475772" w:rsidRPr="00096EE5">
        <w:rPr>
          <w:rFonts w:ascii="Arial" w:hAnsi="Arial" w:cs="Arial"/>
          <w:u w:val="single"/>
          <w:shd w:val="clear" w:color="auto" w:fill="FFFFFF"/>
        </w:rPr>
        <w:t>to the main relief pending which the interim interdict is sought</w:t>
      </w:r>
      <w:r w:rsidR="00475772" w:rsidRPr="00096EE5">
        <w:rPr>
          <w:rFonts w:ascii="Arial" w:hAnsi="Arial" w:cs="Arial"/>
          <w:shd w:val="clear" w:color="auto" w:fill="FFFFFF"/>
        </w:rPr>
        <w:t>.</w:t>
      </w:r>
      <w:r w:rsidRPr="00096EE5">
        <w:rPr>
          <w:rFonts w:ascii="Arial" w:hAnsi="Arial" w:cs="Arial"/>
          <w:shd w:val="clear" w:color="auto" w:fill="FFFFFF"/>
        </w:rPr>
        <w:t>’</w:t>
      </w:r>
      <w:r w:rsidR="00475772" w:rsidRPr="00096EE5">
        <w:rPr>
          <w:rFonts w:ascii="Arial" w:hAnsi="Arial" w:cs="Arial"/>
          <w:shd w:val="clear" w:color="auto" w:fill="FFFFFF"/>
        </w:rPr>
        <w:t> </w:t>
      </w:r>
      <w:r w:rsidRPr="00096EE5">
        <w:rPr>
          <w:rFonts w:ascii="Arial" w:hAnsi="Arial" w:cs="Arial"/>
          <w:shd w:val="clear" w:color="auto" w:fill="FFFFFF"/>
        </w:rPr>
        <w:t>(Footnote omitted, my underlining</w:t>
      </w:r>
      <w:r w:rsidR="00E47393" w:rsidRPr="00096EE5">
        <w:rPr>
          <w:rFonts w:ascii="Arial" w:hAnsi="Arial" w:cs="Arial"/>
          <w:shd w:val="clear" w:color="auto" w:fill="FFFFFF"/>
        </w:rPr>
        <w:t>.</w:t>
      </w:r>
      <w:r w:rsidRPr="00096EE5">
        <w:rPr>
          <w:rFonts w:ascii="Arial" w:hAnsi="Arial" w:cs="Arial"/>
          <w:shd w:val="clear" w:color="auto" w:fill="FFFFFF"/>
        </w:rPr>
        <w:t>)</w:t>
      </w:r>
    </w:p>
    <w:p w:rsidR="00645AF7" w:rsidRPr="00096EE5" w:rsidRDefault="000E311F" w:rsidP="00C42E08">
      <w:pPr>
        <w:pStyle w:val="Heading2"/>
        <w:shd w:val="clear" w:color="auto" w:fill="FFFFFF"/>
        <w:spacing w:before="240" w:beforeAutospacing="0" w:after="0" w:afterAutospacing="0" w:line="360" w:lineRule="auto"/>
        <w:jc w:val="both"/>
        <w:rPr>
          <w:rFonts w:ascii="Arial" w:hAnsi="Arial" w:cs="Arial"/>
          <w:b w:val="0"/>
          <w:bCs w:val="0"/>
          <w:sz w:val="24"/>
          <w:szCs w:val="24"/>
        </w:rPr>
      </w:pPr>
      <w:r>
        <w:rPr>
          <w:rFonts w:ascii="Arial" w:hAnsi="Arial" w:cs="Arial"/>
          <w:b w:val="0"/>
          <w:sz w:val="24"/>
          <w:szCs w:val="24"/>
          <w:shd w:val="clear" w:color="auto" w:fill="FFFFFF"/>
        </w:rPr>
        <w:t>[13</w:t>
      </w:r>
      <w:r w:rsidR="0021088C" w:rsidRPr="00096EE5">
        <w:rPr>
          <w:rFonts w:ascii="Arial" w:hAnsi="Arial" w:cs="Arial"/>
          <w:b w:val="0"/>
          <w:sz w:val="24"/>
          <w:szCs w:val="24"/>
          <w:shd w:val="clear" w:color="auto" w:fill="FFFFFF"/>
        </w:rPr>
        <w:t>]</w:t>
      </w:r>
      <w:r w:rsidR="0021088C" w:rsidRPr="00096EE5">
        <w:rPr>
          <w:rFonts w:ascii="Arial" w:hAnsi="Arial" w:cs="Arial"/>
          <w:b w:val="0"/>
          <w:sz w:val="24"/>
          <w:szCs w:val="24"/>
          <w:shd w:val="clear" w:color="auto" w:fill="FFFFFF"/>
        </w:rPr>
        <w:tab/>
      </w:r>
      <w:r w:rsidR="00645AF7" w:rsidRPr="00096EE5">
        <w:rPr>
          <w:rFonts w:ascii="Arial" w:hAnsi="Arial" w:cs="Arial"/>
          <w:b w:val="0"/>
          <w:sz w:val="24"/>
          <w:szCs w:val="24"/>
          <w:shd w:val="clear" w:color="auto" w:fill="FFFFFF"/>
        </w:rPr>
        <w:t xml:space="preserve">The same point </w:t>
      </w:r>
      <w:r w:rsidR="00E47393" w:rsidRPr="00096EE5">
        <w:rPr>
          <w:rFonts w:ascii="Arial" w:hAnsi="Arial" w:cs="Arial"/>
          <w:b w:val="0"/>
          <w:sz w:val="24"/>
          <w:szCs w:val="24"/>
          <w:shd w:val="clear" w:color="auto" w:fill="FFFFFF"/>
        </w:rPr>
        <w:t>was</w:t>
      </w:r>
      <w:r w:rsidR="00645AF7" w:rsidRPr="00096EE5">
        <w:rPr>
          <w:rFonts w:ascii="Arial" w:hAnsi="Arial" w:cs="Arial"/>
          <w:b w:val="0"/>
          <w:sz w:val="24"/>
          <w:szCs w:val="24"/>
          <w:shd w:val="clear" w:color="auto" w:fill="FFFFFF"/>
        </w:rPr>
        <w:t xml:space="preserve"> stressed in </w:t>
      </w:r>
      <w:r w:rsidR="00645AF7" w:rsidRPr="00096EE5">
        <w:rPr>
          <w:rFonts w:ascii="Arial" w:hAnsi="Arial" w:cs="Arial"/>
          <w:b w:val="0"/>
          <w:bCs w:val="0"/>
          <w:i/>
          <w:sz w:val="24"/>
          <w:szCs w:val="24"/>
        </w:rPr>
        <w:t xml:space="preserve">Eskom Holdings SOC Ltd v Vaal River Development Association (Pty) Ltd and </w:t>
      </w:r>
      <w:r w:rsidR="00076500" w:rsidRPr="00096EE5">
        <w:rPr>
          <w:rFonts w:ascii="Arial" w:hAnsi="Arial" w:cs="Arial"/>
          <w:b w:val="0"/>
          <w:bCs w:val="0"/>
          <w:i/>
          <w:sz w:val="24"/>
          <w:szCs w:val="24"/>
        </w:rPr>
        <w:t>o</w:t>
      </w:r>
      <w:r w:rsidR="00645AF7" w:rsidRPr="00096EE5">
        <w:rPr>
          <w:rFonts w:ascii="Arial" w:hAnsi="Arial" w:cs="Arial"/>
          <w:b w:val="0"/>
          <w:bCs w:val="0"/>
          <w:i/>
          <w:sz w:val="24"/>
          <w:szCs w:val="24"/>
        </w:rPr>
        <w:t xml:space="preserve">thers </w:t>
      </w:r>
      <w:r w:rsidR="00645AF7" w:rsidRPr="00096EE5">
        <w:rPr>
          <w:rFonts w:ascii="Arial" w:hAnsi="Arial" w:cs="Arial"/>
          <w:b w:val="0"/>
          <w:bCs w:val="0"/>
          <w:sz w:val="24"/>
          <w:szCs w:val="24"/>
        </w:rPr>
        <w:t>[2022] ZACC 44 where in the minority judgment, Unterhalter AJ</w:t>
      </w:r>
      <w:r w:rsidR="00076500" w:rsidRPr="00096EE5">
        <w:rPr>
          <w:rFonts w:ascii="Arial" w:hAnsi="Arial" w:cs="Arial"/>
          <w:b w:val="0"/>
          <w:bCs w:val="0"/>
          <w:sz w:val="24"/>
          <w:szCs w:val="24"/>
        </w:rPr>
        <w:t>,</w:t>
      </w:r>
      <w:r w:rsidR="00645AF7" w:rsidRPr="00096EE5">
        <w:rPr>
          <w:rFonts w:ascii="Arial" w:hAnsi="Arial" w:cs="Arial"/>
          <w:b w:val="0"/>
          <w:bCs w:val="0"/>
          <w:sz w:val="24"/>
          <w:szCs w:val="24"/>
        </w:rPr>
        <w:t xml:space="preserve"> states the following with regard to the approach in determining whether to grant interim relief:</w:t>
      </w:r>
    </w:p>
    <w:p w:rsidR="00645AF7" w:rsidRPr="00096EE5" w:rsidRDefault="00076500" w:rsidP="00C42E08">
      <w:pPr>
        <w:pStyle w:val="NormalWeb"/>
        <w:shd w:val="clear" w:color="auto" w:fill="FFFFFF"/>
        <w:spacing w:before="0" w:beforeAutospacing="0" w:after="0" w:afterAutospacing="0" w:line="360" w:lineRule="auto"/>
        <w:jc w:val="both"/>
        <w:rPr>
          <w:rFonts w:ascii="Arial" w:hAnsi="Arial" w:cs="Arial"/>
          <w:sz w:val="22"/>
          <w:szCs w:val="22"/>
        </w:rPr>
      </w:pPr>
      <w:r w:rsidRPr="00096EE5">
        <w:rPr>
          <w:rFonts w:ascii="Arial" w:hAnsi="Arial" w:cs="Arial"/>
          <w:sz w:val="22"/>
          <w:szCs w:val="22"/>
          <w:lang w:val="en-US"/>
        </w:rPr>
        <w:t>‘</w:t>
      </w:r>
      <w:r w:rsidR="00645AF7" w:rsidRPr="00096EE5">
        <w:rPr>
          <w:rFonts w:ascii="Arial" w:hAnsi="Arial" w:cs="Arial"/>
          <w:sz w:val="22"/>
          <w:szCs w:val="22"/>
          <w:lang w:val="en-US"/>
        </w:rPr>
        <w:t>[64] A very long line of cases, stretching back to the authoritative pronouncement of our modern law in </w:t>
      </w:r>
      <w:r w:rsidR="00645AF7" w:rsidRPr="00096EE5">
        <w:rPr>
          <w:rFonts w:ascii="Arial" w:hAnsi="Arial" w:cs="Arial"/>
          <w:i/>
          <w:iCs/>
          <w:sz w:val="22"/>
          <w:szCs w:val="22"/>
          <w:lang w:val="en-US"/>
        </w:rPr>
        <w:t>Setlogelo</w:t>
      </w:r>
      <w:r w:rsidR="00645AF7" w:rsidRPr="00096EE5">
        <w:rPr>
          <w:rFonts w:ascii="Arial" w:hAnsi="Arial" w:cs="Arial"/>
          <w:sz w:val="22"/>
          <w:szCs w:val="22"/>
          <w:lang w:val="en-US"/>
        </w:rPr>
        <w:t>, has made it plain that a </w:t>
      </w:r>
      <w:r w:rsidR="00645AF7" w:rsidRPr="00096EE5">
        <w:rPr>
          <w:rFonts w:ascii="Arial" w:hAnsi="Arial" w:cs="Arial"/>
          <w:i/>
          <w:iCs/>
          <w:sz w:val="22"/>
          <w:szCs w:val="22"/>
          <w:lang w:val="en-US"/>
        </w:rPr>
        <w:t>prima facie</w:t>
      </w:r>
      <w:r w:rsidR="00645AF7" w:rsidRPr="00096EE5">
        <w:rPr>
          <w:rFonts w:ascii="Arial" w:hAnsi="Arial" w:cs="Arial"/>
          <w:sz w:val="22"/>
          <w:szCs w:val="22"/>
          <w:lang w:val="en-US"/>
        </w:rPr>
        <w:t> right, though open to some doubt, is the standard used to assess the applicant’s prospects of success in obtaining final relief. The enquiry is of necessity provisional because the available evidence is usually incomplete, untested under cross-examination (where there are disputes of fact), and the case may yet be more fully developed.</w:t>
      </w:r>
    </w:p>
    <w:p w:rsidR="00645AF7" w:rsidRPr="00096EE5" w:rsidRDefault="00645AF7" w:rsidP="00C42E08">
      <w:pPr>
        <w:pStyle w:val="NormalWeb"/>
        <w:shd w:val="clear" w:color="auto" w:fill="FFFFFF"/>
        <w:spacing w:before="0" w:beforeAutospacing="0" w:after="0" w:afterAutospacing="0" w:line="360" w:lineRule="auto"/>
        <w:jc w:val="both"/>
        <w:rPr>
          <w:rFonts w:ascii="Arial" w:hAnsi="Arial" w:cs="Arial"/>
          <w:sz w:val="22"/>
          <w:szCs w:val="22"/>
        </w:rPr>
      </w:pPr>
      <w:bookmarkStart w:id="1" w:name="_Ref122634634"/>
      <w:bookmarkStart w:id="2" w:name="_Ref122444397"/>
      <w:bookmarkStart w:id="3" w:name="_Ref122444375"/>
      <w:bookmarkStart w:id="4" w:name="_Ref122635164"/>
      <w:bookmarkEnd w:id="1"/>
      <w:bookmarkEnd w:id="2"/>
      <w:bookmarkEnd w:id="3"/>
      <w:bookmarkEnd w:id="4"/>
      <w:r w:rsidRPr="00096EE5">
        <w:rPr>
          <w:rFonts w:ascii="Arial" w:hAnsi="Arial" w:cs="Arial"/>
          <w:sz w:val="22"/>
          <w:szCs w:val="22"/>
        </w:rPr>
        <w:t>[65] </w:t>
      </w:r>
      <w:r w:rsidRPr="00096EE5">
        <w:rPr>
          <w:rFonts w:ascii="Arial" w:hAnsi="Arial" w:cs="Arial"/>
          <w:sz w:val="22"/>
          <w:szCs w:val="22"/>
          <w:lang w:val="en-US"/>
        </w:rPr>
        <w:t>What the standard requires has given rise to no small measure of difference. According to </w:t>
      </w:r>
      <w:r w:rsidRPr="00096EE5">
        <w:rPr>
          <w:rFonts w:ascii="Arial" w:hAnsi="Arial" w:cs="Arial"/>
          <w:i/>
          <w:iCs/>
          <w:sz w:val="22"/>
          <w:szCs w:val="22"/>
          <w:lang w:val="en-US"/>
        </w:rPr>
        <w:t>Webster v Mitchell</w:t>
      </w:r>
      <w:r w:rsidRPr="00096EE5">
        <w:rPr>
          <w:rFonts w:ascii="Arial" w:hAnsi="Arial" w:cs="Arial"/>
          <w:sz w:val="22"/>
          <w:szCs w:val="22"/>
          <w:lang w:val="en-US"/>
        </w:rPr>
        <w:t>, as qualified in </w:t>
      </w:r>
      <w:r w:rsidRPr="00096EE5">
        <w:rPr>
          <w:rFonts w:ascii="Arial" w:hAnsi="Arial" w:cs="Arial"/>
          <w:i/>
          <w:iCs/>
          <w:sz w:val="22"/>
          <w:szCs w:val="22"/>
          <w:lang w:val="en-US"/>
        </w:rPr>
        <w:t>Gool</w:t>
      </w:r>
      <w:r w:rsidRPr="00096EE5">
        <w:rPr>
          <w:rFonts w:ascii="Arial" w:hAnsi="Arial" w:cs="Arial"/>
          <w:sz w:val="22"/>
          <w:szCs w:val="22"/>
          <w:lang w:val="en-US"/>
        </w:rPr>
        <w:t xml:space="preserve">, the test is whether the applicant has furnished proof which, if uncontradicted at trial (here in the review), </w:t>
      </w:r>
      <w:r w:rsidRPr="00096EE5">
        <w:rPr>
          <w:rFonts w:ascii="Arial" w:hAnsi="Arial" w:cs="Arial"/>
          <w:sz w:val="22"/>
          <w:szCs w:val="22"/>
          <w:u w:val="single"/>
          <w:lang w:val="en-US"/>
        </w:rPr>
        <w:t>would entitle the applicant to final relief</w:t>
      </w:r>
      <w:r w:rsidRPr="00096EE5">
        <w:rPr>
          <w:rFonts w:ascii="Arial" w:hAnsi="Arial" w:cs="Arial"/>
          <w:sz w:val="22"/>
          <w:szCs w:val="22"/>
          <w:lang w:val="en-US"/>
        </w:rPr>
        <w:t>. The Court will then consider the case of the respondent to decide whether it casts serious doubt on the case of the applicant. If it does, the standard is not met. In </w:t>
      </w:r>
      <w:r w:rsidRPr="00096EE5">
        <w:rPr>
          <w:rFonts w:ascii="Arial" w:hAnsi="Arial" w:cs="Arial"/>
          <w:i/>
          <w:iCs/>
          <w:sz w:val="22"/>
          <w:szCs w:val="22"/>
          <w:lang w:val="en-US"/>
        </w:rPr>
        <w:t>Ferreira</w:t>
      </w:r>
      <w:r w:rsidRPr="00096EE5">
        <w:rPr>
          <w:rFonts w:ascii="Arial" w:hAnsi="Arial" w:cs="Arial"/>
          <w:sz w:val="22"/>
          <w:szCs w:val="22"/>
          <w:lang w:val="en-US"/>
        </w:rPr>
        <w:t>, a majority of a Full Court considered this test to be too exacting. It held that the prospects of success of the claim for the principal relief, albeit weak, may nevertheless suffice. This is so because other requirements for the grant of an interim interdict may be strongly grounded and hence compensate for the weakness as to prospects. This, it was thought better chimed with the holding in </w:t>
      </w:r>
      <w:r w:rsidRPr="00096EE5">
        <w:rPr>
          <w:rFonts w:ascii="Arial" w:hAnsi="Arial" w:cs="Arial"/>
          <w:i/>
          <w:iCs/>
          <w:sz w:val="22"/>
          <w:szCs w:val="22"/>
          <w:lang w:val="en-US"/>
        </w:rPr>
        <w:t>Eriksen Motors</w:t>
      </w:r>
      <w:r w:rsidRPr="00096EE5">
        <w:rPr>
          <w:rFonts w:ascii="Arial" w:hAnsi="Arial" w:cs="Arial"/>
          <w:sz w:val="22"/>
          <w:szCs w:val="22"/>
          <w:lang w:val="en-US"/>
        </w:rPr>
        <w:t>.</w:t>
      </w:r>
      <w:r w:rsidR="00076500" w:rsidRPr="00096EE5">
        <w:rPr>
          <w:rFonts w:ascii="Arial" w:hAnsi="Arial" w:cs="Arial"/>
          <w:sz w:val="22"/>
          <w:szCs w:val="22"/>
          <w:lang w:val="en-US"/>
        </w:rPr>
        <w:t xml:space="preserve"> </w:t>
      </w:r>
      <w:r w:rsidRPr="00096EE5">
        <w:rPr>
          <w:rFonts w:ascii="Arial" w:hAnsi="Arial" w:cs="Arial"/>
          <w:sz w:val="22"/>
          <w:szCs w:val="22"/>
          <w:lang w:val="en-US"/>
        </w:rPr>
        <w:t>More recently,</w:t>
      </w:r>
      <w:r w:rsidRPr="00096EE5">
        <w:rPr>
          <w:rFonts w:ascii="Arial" w:hAnsi="Arial" w:cs="Arial"/>
          <w:sz w:val="22"/>
          <w:szCs w:val="22"/>
        </w:rPr>
        <w:t> this Court, in </w:t>
      </w:r>
      <w:r w:rsidRPr="00096EE5">
        <w:rPr>
          <w:rFonts w:ascii="Arial" w:hAnsi="Arial" w:cs="Arial"/>
          <w:i/>
          <w:iCs/>
          <w:sz w:val="22"/>
          <w:szCs w:val="22"/>
        </w:rPr>
        <w:t>Economic Freedom Fighters</w:t>
      </w:r>
      <w:r w:rsidRPr="00096EE5">
        <w:rPr>
          <w:rFonts w:ascii="Arial" w:hAnsi="Arial" w:cs="Arial"/>
          <w:sz w:val="22"/>
          <w:szCs w:val="22"/>
        </w:rPr>
        <w:t> held that—</w:t>
      </w:r>
    </w:p>
    <w:p w:rsidR="00645AF7" w:rsidRPr="00096EE5" w:rsidRDefault="00645AF7" w:rsidP="00C42E08">
      <w:pPr>
        <w:pStyle w:val="NormalWeb"/>
        <w:shd w:val="clear" w:color="auto" w:fill="FFFFFF"/>
        <w:spacing w:before="0" w:beforeAutospacing="0" w:after="0" w:afterAutospacing="0" w:line="360" w:lineRule="auto"/>
        <w:jc w:val="both"/>
        <w:rPr>
          <w:rFonts w:ascii="Arial" w:hAnsi="Arial" w:cs="Arial"/>
          <w:sz w:val="22"/>
          <w:szCs w:val="22"/>
        </w:rPr>
      </w:pPr>
      <w:r w:rsidRPr="00096EE5">
        <w:rPr>
          <w:rFonts w:ascii="Arial" w:hAnsi="Arial" w:cs="Arial"/>
          <w:sz w:val="22"/>
          <w:szCs w:val="22"/>
        </w:rPr>
        <w:t>“</w:t>
      </w:r>
      <w:r w:rsidRPr="00096EE5">
        <w:rPr>
          <w:rFonts w:ascii="Arial" w:hAnsi="Arial" w:cs="Arial"/>
          <w:i/>
          <w:iCs/>
          <w:sz w:val="22"/>
          <w:szCs w:val="22"/>
          <w:lang w:val="en-US"/>
        </w:rPr>
        <w:t xml:space="preserve">before a court may grant an interim interdict, it must be satisfied that the </w:t>
      </w:r>
      <w:r w:rsidRPr="00096EE5">
        <w:rPr>
          <w:rFonts w:ascii="Arial" w:hAnsi="Arial" w:cs="Arial"/>
          <w:i/>
          <w:iCs/>
          <w:sz w:val="22"/>
          <w:szCs w:val="22"/>
          <w:u w:val="single"/>
          <w:lang w:val="en-US"/>
        </w:rPr>
        <w:t>applicant for an interdict has good prospects of success in the main review</w:t>
      </w:r>
      <w:r w:rsidRPr="00096EE5">
        <w:rPr>
          <w:rFonts w:ascii="Arial" w:hAnsi="Arial" w:cs="Arial"/>
          <w:sz w:val="22"/>
          <w:szCs w:val="22"/>
          <w:lang w:val="en-US"/>
        </w:rPr>
        <w:t>. The claim for review must be based on </w:t>
      </w:r>
      <w:r w:rsidRPr="00096EE5">
        <w:rPr>
          <w:rFonts w:ascii="Arial" w:hAnsi="Arial" w:cs="Arial"/>
          <w:i/>
          <w:iCs/>
          <w:sz w:val="22"/>
          <w:szCs w:val="22"/>
          <w:lang w:val="en-US"/>
        </w:rPr>
        <w:t>strong grounds</w:t>
      </w:r>
      <w:r w:rsidRPr="00096EE5">
        <w:rPr>
          <w:rFonts w:ascii="Arial" w:hAnsi="Arial" w:cs="Arial"/>
          <w:sz w:val="22"/>
          <w:szCs w:val="22"/>
          <w:lang w:val="en-US"/>
        </w:rPr>
        <w:t> which are likely to succeed. This requires the court adjudicating the interdict application to </w:t>
      </w:r>
      <w:r w:rsidRPr="00096EE5">
        <w:rPr>
          <w:rFonts w:ascii="Arial" w:hAnsi="Arial" w:cs="Arial"/>
          <w:i/>
          <w:iCs/>
          <w:sz w:val="22"/>
          <w:szCs w:val="22"/>
          <w:lang w:val="en-US"/>
        </w:rPr>
        <w:t xml:space="preserve">peek into the grounds of review raised in the main review application </w:t>
      </w:r>
      <w:r w:rsidRPr="00096EE5">
        <w:rPr>
          <w:rFonts w:ascii="Arial" w:hAnsi="Arial" w:cs="Arial"/>
          <w:i/>
          <w:iCs/>
          <w:sz w:val="22"/>
          <w:szCs w:val="22"/>
          <w:lang w:val="en-US"/>
        </w:rPr>
        <w:lastRenderedPageBreak/>
        <w:t>and assess their strength</w:t>
      </w:r>
      <w:r w:rsidRPr="00096EE5">
        <w:rPr>
          <w:rFonts w:ascii="Arial" w:hAnsi="Arial" w:cs="Arial"/>
          <w:sz w:val="22"/>
          <w:szCs w:val="22"/>
          <w:lang w:val="en-US"/>
        </w:rPr>
        <w:t>. It is </w:t>
      </w:r>
      <w:r w:rsidRPr="00096EE5">
        <w:rPr>
          <w:rFonts w:ascii="Arial" w:hAnsi="Arial" w:cs="Arial"/>
          <w:i/>
          <w:iCs/>
          <w:sz w:val="22"/>
          <w:szCs w:val="22"/>
          <w:lang w:val="en-US"/>
        </w:rPr>
        <w:t>only if a court is convinced that the review is likely to succeed that it may appropriately grant the interdict</w:t>
      </w:r>
      <w:r w:rsidRPr="00096EE5">
        <w:rPr>
          <w:rFonts w:ascii="Arial" w:hAnsi="Arial" w:cs="Arial"/>
          <w:sz w:val="22"/>
          <w:szCs w:val="22"/>
          <w:lang w:val="en-US"/>
        </w:rPr>
        <w:t>.”</w:t>
      </w:r>
      <w:r w:rsidR="005C6BDC" w:rsidRPr="00096EE5">
        <w:rPr>
          <w:rFonts w:ascii="Arial" w:hAnsi="Arial" w:cs="Arial"/>
          <w:sz w:val="22"/>
          <w:szCs w:val="22"/>
          <w:lang w:val="en-US"/>
        </w:rPr>
        <w:t xml:space="preserve"> </w:t>
      </w:r>
      <w:r w:rsidRPr="00096EE5">
        <w:rPr>
          <w:rFonts w:ascii="Arial" w:hAnsi="Arial" w:cs="Arial"/>
          <w:sz w:val="22"/>
          <w:szCs w:val="22"/>
          <w:lang w:val="en-US"/>
        </w:rPr>
        <w:t>Emphasis added.)</w:t>
      </w:r>
      <w:r w:rsidR="005C6BDC" w:rsidRPr="00096EE5">
        <w:rPr>
          <w:rFonts w:ascii="Arial" w:hAnsi="Arial" w:cs="Arial"/>
          <w:sz w:val="22"/>
          <w:szCs w:val="22"/>
          <w:lang w:val="en-US"/>
        </w:rPr>
        <w:t>.</w:t>
      </w:r>
      <w:r w:rsidR="00076500" w:rsidRPr="00096EE5">
        <w:rPr>
          <w:rFonts w:ascii="Arial" w:hAnsi="Arial" w:cs="Arial"/>
          <w:sz w:val="22"/>
          <w:szCs w:val="22"/>
          <w:lang w:val="en-US"/>
        </w:rPr>
        <w:t xml:space="preserve">’ </w:t>
      </w:r>
      <w:r w:rsidR="005C6BDC" w:rsidRPr="00096EE5">
        <w:rPr>
          <w:rFonts w:ascii="Arial" w:hAnsi="Arial" w:cs="Arial"/>
          <w:sz w:val="22"/>
          <w:szCs w:val="22"/>
          <w:lang w:val="en-US"/>
        </w:rPr>
        <w:t>(Footnotes omitted</w:t>
      </w:r>
      <w:r w:rsidR="00AC7018" w:rsidRPr="00096EE5">
        <w:rPr>
          <w:rFonts w:ascii="Arial" w:hAnsi="Arial" w:cs="Arial"/>
          <w:sz w:val="22"/>
          <w:szCs w:val="22"/>
          <w:lang w:val="en-US"/>
        </w:rPr>
        <w:t>, m</w:t>
      </w:r>
      <w:r w:rsidR="005C6BDC" w:rsidRPr="00096EE5">
        <w:rPr>
          <w:rFonts w:ascii="Arial" w:hAnsi="Arial" w:cs="Arial"/>
          <w:sz w:val="22"/>
          <w:szCs w:val="22"/>
          <w:lang w:val="en-US"/>
        </w:rPr>
        <w:t>y underlining</w:t>
      </w:r>
      <w:r w:rsidR="00AC7018" w:rsidRPr="00096EE5">
        <w:rPr>
          <w:rFonts w:ascii="Arial" w:hAnsi="Arial" w:cs="Arial"/>
          <w:sz w:val="22"/>
          <w:szCs w:val="22"/>
          <w:lang w:val="en-US"/>
        </w:rPr>
        <w:t>.</w:t>
      </w:r>
      <w:r w:rsidR="005C6BDC" w:rsidRPr="00096EE5">
        <w:rPr>
          <w:rFonts w:ascii="Arial" w:hAnsi="Arial" w:cs="Arial"/>
          <w:sz w:val="22"/>
          <w:szCs w:val="22"/>
          <w:lang w:val="en-US"/>
        </w:rPr>
        <w:t>)</w:t>
      </w:r>
    </w:p>
    <w:p w:rsidR="00645AF7" w:rsidRPr="00096EE5" w:rsidRDefault="000E311F" w:rsidP="00C42E08">
      <w:pPr>
        <w:pStyle w:val="Heading2"/>
        <w:shd w:val="clear" w:color="auto" w:fill="FFFFFF"/>
        <w:spacing w:before="240" w:beforeAutospacing="0" w:after="180" w:afterAutospacing="0" w:line="360" w:lineRule="auto"/>
        <w:jc w:val="both"/>
        <w:rPr>
          <w:rFonts w:ascii="Arial" w:hAnsi="Arial" w:cs="Arial"/>
          <w:b w:val="0"/>
          <w:bCs w:val="0"/>
          <w:sz w:val="24"/>
          <w:szCs w:val="24"/>
        </w:rPr>
      </w:pPr>
      <w:r>
        <w:rPr>
          <w:rFonts w:ascii="Arial" w:hAnsi="Arial" w:cs="Arial"/>
          <w:b w:val="0"/>
          <w:bCs w:val="0"/>
          <w:sz w:val="24"/>
          <w:szCs w:val="24"/>
        </w:rPr>
        <w:t>[14</w:t>
      </w:r>
      <w:r w:rsidR="0021088C" w:rsidRPr="00096EE5">
        <w:rPr>
          <w:rFonts w:ascii="Arial" w:hAnsi="Arial" w:cs="Arial"/>
          <w:b w:val="0"/>
          <w:bCs w:val="0"/>
          <w:sz w:val="24"/>
          <w:szCs w:val="24"/>
        </w:rPr>
        <w:t>]</w:t>
      </w:r>
      <w:r w:rsidR="0021088C" w:rsidRPr="00096EE5">
        <w:rPr>
          <w:rFonts w:ascii="Arial" w:hAnsi="Arial" w:cs="Arial"/>
          <w:b w:val="0"/>
          <w:bCs w:val="0"/>
          <w:sz w:val="24"/>
          <w:szCs w:val="24"/>
        </w:rPr>
        <w:tab/>
      </w:r>
      <w:r w:rsidR="005C6BDC" w:rsidRPr="00096EE5">
        <w:rPr>
          <w:rFonts w:ascii="Arial" w:hAnsi="Arial" w:cs="Arial"/>
          <w:b w:val="0"/>
          <w:bCs w:val="0"/>
          <w:sz w:val="24"/>
          <w:szCs w:val="24"/>
        </w:rPr>
        <w:t>Counsel for NUM correctly pointed out</w:t>
      </w:r>
      <w:r w:rsidR="00280C87" w:rsidRPr="00096EE5">
        <w:rPr>
          <w:rFonts w:ascii="Arial" w:hAnsi="Arial" w:cs="Arial"/>
          <w:b w:val="0"/>
          <w:bCs w:val="0"/>
          <w:sz w:val="24"/>
          <w:szCs w:val="24"/>
        </w:rPr>
        <w:t xml:space="preserve"> that</w:t>
      </w:r>
      <w:r w:rsidR="005C6BDC" w:rsidRPr="00096EE5">
        <w:rPr>
          <w:rFonts w:ascii="Arial" w:hAnsi="Arial" w:cs="Arial"/>
          <w:b w:val="0"/>
          <w:bCs w:val="0"/>
          <w:sz w:val="24"/>
          <w:szCs w:val="24"/>
        </w:rPr>
        <w:t xml:space="preserve"> the point of departure between the judgement of Unterhalter AJ and Madlanga J </w:t>
      </w:r>
      <w:r w:rsidR="009B7E56" w:rsidRPr="00096EE5">
        <w:rPr>
          <w:rFonts w:ascii="Arial" w:hAnsi="Arial" w:cs="Arial"/>
          <w:b w:val="0"/>
          <w:bCs w:val="0"/>
          <w:sz w:val="24"/>
          <w:szCs w:val="24"/>
        </w:rPr>
        <w:t>(</w:t>
      </w:r>
      <w:r w:rsidR="005C6BDC" w:rsidRPr="00096EE5">
        <w:rPr>
          <w:rFonts w:ascii="Arial" w:hAnsi="Arial" w:cs="Arial"/>
          <w:b w:val="0"/>
          <w:bCs w:val="0"/>
          <w:sz w:val="24"/>
          <w:szCs w:val="24"/>
        </w:rPr>
        <w:t>who wrote for the majority</w:t>
      </w:r>
      <w:r w:rsidR="009B7E56" w:rsidRPr="00096EE5">
        <w:rPr>
          <w:rFonts w:ascii="Arial" w:hAnsi="Arial" w:cs="Arial"/>
          <w:b w:val="0"/>
          <w:bCs w:val="0"/>
          <w:sz w:val="24"/>
          <w:szCs w:val="24"/>
        </w:rPr>
        <w:t>)</w:t>
      </w:r>
      <w:r w:rsidR="005C6BDC" w:rsidRPr="00096EE5">
        <w:rPr>
          <w:rFonts w:ascii="Arial" w:hAnsi="Arial" w:cs="Arial"/>
          <w:b w:val="0"/>
          <w:bCs w:val="0"/>
          <w:sz w:val="24"/>
          <w:szCs w:val="24"/>
        </w:rPr>
        <w:t xml:space="preserve"> was whether the residents</w:t>
      </w:r>
      <w:r w:rsidR="00BB39B0" w:rsidRPr="00096EE5">
        <w:rPr>
          <w:rFonts w:ascii="Arial" w:hAnsi="Arial" w:cs="Arial"/>
          <w:b w:val="0"/>
          <w:bCs w:val="0"/>
          <w:sz w:val="24"/>
          <w:szCs w:val="24"/>
        </w:rPr>
        <w:t>’</w:t>
      </w:r>
      <w:r w:rsidR="005C6BDC" w:rsidRPr="00096EE5">
        <w:rPr>
          <w:rFonts w:ascii="Arial" w:hAnsi="Arial" w:cs="Arial"/>
          <w:b w:val="0"/>
          <w:bCs w:val="0"/>
          <w:sz w:val="24"/>
          <w:szCs w:val="24"/>
        </w:rPr>
        <w:t xml:space="preserve"> associations were able to show some right which they could assert against Eskom, despite there being no privity of contract between the residents</w:t>
      </w:r>
      <w:r w:rsidR="00A954BE" w:rsidRPr="00096EE5">
        <w:rPr>
          <w:rFonts w:ascii="Arial" w:hAnsi="Arial" w:cs="Arial"/>
          <w:b w:val="0"/>
          <w:bCs w:val="0"/>
          <w:sz w:val="24"/>
          <w:szCs w:val="24"/>
        </w:rPr>
        <w:t>’</w:t>
      </w:r>
      <w:r w:rsidR="005C6BDC" w:rsidRPr="00096EE5">
        <w:rPr>
          <w:rFonts w:ascii="Arial" w:hAnsi="Arial" w:cs="Arial"/>
          <w:b w:val="0"/>
          <w:bCs w:val="0"/>
          <w:sz w:val="24"/>
          <w:szCs w:val="24"/>
        </w:rPr>
        <w:t xml:space="preserve"> association</w:t>
      </w:r>
      <w:r w:rsidR="009B7E56" w:rsidRPr="00096EE5">
        <w:rPr>
          <w:rFonts w:ascii="Arial" w:hAnsi="Arial" w:cs="Arial"/>
          <w:b w:val="0"/>
          <w:bCs w:val="0"/>
          <w:sz w:val="24"/>
          <w:szCs w:val="24"/>
        </w:rPr>
        <w:t>s</w:t>
      </w:r>
      <w:r w:rsidR="005C6BDC" w:rsidRPr="00096EE5">
        <w:rPr>
          <w:rFonts w:ascii="Arial" w:hAnsi="Arial" w:cs="Arial"/>
          <w:b w:val="0"/>
          <w:bCs w:val="0"/>
          <w:sz w:val="24"/>
          <w:szCs w:val="24"/>
        </w:rPr>
        <w:t xml:space="preserve"> </w:t>
      </w:r>
      <w:r w:rsidR="009B7E56" w:rsidRPr="00096EE5">
        <w:rPr>
          <w:rFonts w:ascii="Arial" w:hAnsi="Arial" w:cs="Arial"/>
          <w:b w:val="0"/>
          <w:bCs w:val="0"/>
          <w:sz w:val="24"/>
          <w:szCs w:val="24"/>
        </w:rPr>
        <w:t xml:space="preserve">and Eskom. On the contrary, it was common cause that the residents were paying for the provision of electricity. The problem arose where the municipalities failed in paying for the supply of electricity to them by Eskom, resulting in Eskom reducing the supply of electricity to the municipalities, thereby causing serious harm to the residents – described by Madlanga J </w:t>
      </w:r>
      <w:r w:rsidR="00390FD5" w:rsidRPr="00096EE5">
        <w:rPr>
          <w:rFonts w:ascii="Arial" w:hAnsi="Arial" w:cs="Arial"/>
          <w:b w:val="0"/>
          <w:bCs w:val="0"/>
          <w:sz w:val="24"/>
          <w:szCs w:val="24"/>
        </w:rPr>
        <w:t xml:space="preserve">at para 191 </w:t>
      </w:r>
      <w:r w:rsidR="009B7E56" w:rsidRPr="00096EE5">
        <w:rPr>
          <w:rFonts w:ascii="Arial" w:hAnsi="Arial" w:cs="Arial"/>
          <w:b w:val="0"/>
          <w:bCs w:val="0"/>
          <w:sz w:val="24"/>
          <w:szCs w:val="24"/>
        </w:rPr>
        <w:t xml:space="preserve">as being </w:t>
      </w:r>
      <w:r w:rsidR="00A954BE" w:rsidRPr="00096EE5">
        <w:rPr>
          <w:rFonts w:ascii="Arial" w:hAnsi="Arial" w:cs="Arial"/>
          <w:b w:val="0"/>
          <w:bCs w:val="0"/>
          <w:sz w:val="24"/>
          <w:szCs w:val="24"/>
        </w:rPr>
        <w:t>‘</w:t>
      </w:r>
      <w:r w:rsidR="009B7E56" w:rsidRPr="00096EE5">
        <w:rPr>
          <w:rFonts w:ascii="Arial" w:hAnsi="Arial" w:cs="Arial"/>
          <w:b w:val="0"/>
          <w:sz w:val="24"/>
          <w:szCs w:val="24"/>
          <w:shd w:val="clear" w:color="auto" w:fill="FFFFFF"/>
        </w:rPr>
        <w:t>subjected to such abject misery and horrendous violation of fundamental rights</w:t>
      </w:r>
      <w:r w:rsidR="00390FD5" w:rsidRPr="00096EE5">
        <w:rPr>
          <w:rFonts w:ascii="Arial" w:hAnsi="Arial" w:cs="Arial"/>
          <w:b w:val="0"/>
          <w:sz w:val="24"/>
          <w:szCs w:val="24"/>
          <w:shd w:val="clear" w:color="auto" w:fill="FFFFFF"/>
        </w:rPr>
        <w:t>’</w:t>
      </w:r>
      <w:r w:rsidR="009B7E56" w:rsidRPr="00096EE5">
        <w:rPr>
          <w:rFonts w:ascii="Arial" w:hAnsi="Arial" w:cs="Arial"/>
          <w:b w:val="0"/>
          <w:sz w:val="24"/>
          <w:szCs w:val="24"/>
          <w:shd w:val="clear" w:color="auto" w:fill="FFFFFF"/>
        </w:rPr>
        <w:t xml:space="preserve">. </w:t>
      </w:r>
      <w:r w:rsidR="009B7E56" w:rsidRPr="00096EE5">
        <w:rPr>
          <w:rFonts w:ascii="Arial" w:hAnsi="Arial" w:cs="Arial"/>
          <w:b w:val="0"/>
          <w:bCs w:val="0"/>
          <w:sz w:val="24"/>
          <w:szCs w:val="24"/>
        </w:rPr>
        <w:t xml:space="preserve"> </w:t>
      </w:r>
    </w:p>
    <w:p w:rsidR="002D5616" w:rsidRPr="00096EE5" w:rsidRDefault="000E311F" w:rsidP="00C42E08">
      <w:pPr>
        <w:pStyle w:val="Heading2"/>
        <w:shd w:val="clear" w:color="auto" w:fill="FFFFFF"/>
        <w:spacing w:before="240" w:beforeAutospacing="0" w:after="0" w:afterAutospacing="0" w:line="360" w:lineRule="auto"/>
        <w:jc w:val="both"/>
        <w:rPr>
          <w:rFonts w:ascii="Arial" w:hAnsi="Arial" w:cs="Arial"/>
          <w:b w:val="0"/>
          <w:bCs w:val="0"/>
          <w:sz w:val="24"/>
          <w:szCs w:val="24"/>
        </w:rPr>
      </w:pPr>
      <w:r>
        <w:rPr>
          <w:rFonts w:ascii="Arial" w:hAnsi="Arial" w:cs="Arial"/>
          <w:b w:val="0"/>
          <w:bCs w:val="0"/>
          <w:sz w:val="24"/>
          <w:szCs w:val="24"/>
        </w:rPr>
        <w:t>[15</w:t>
      </w:r>
      <w:r w:rsidR="002D5616" w:rsidRPr="00096EE5">
        <w:rPr>
          <w:rFonts w:ascii="Arial" w:hAnsi="Arial" w:cs="Arial"/>
          <w:b w:val="0"/>
          <w:bCs w:val="0"/>
          <w:sz w:val="24"/>
          <w:szCs w:val="24"/>
        </w:rPr>
        <w:t>]</w:t>
      </w:r>
      <w:r w:rsidR="002D5616" w:rsidRPr="00096EE5">
        <w:rPr>
          <w:rFonts w:ascii="Arial" w:hAnsi="Arial" w:cs="Arial"/>
          <w:b w:val="0"/>
          <w:bCs w:val="0"/>
          <w:sz w:val="24"/>
          <w:szCs w:val="24"/>
        </w:rPr>
        <w:tab/>
        <w:t>In a powerful retort to the judgment of Unterhalter AJ, the majority judgment expressed itself thus:</w:t>
      </w:r>
    </w:p>
    <w:p w:rsidR="002D5616" w:rsidRPr="00096EE5" w:rsidRDefault="00AC7018" w:rsidP="00C42E08">
      <w:pPr>
        <w:pStyle w:val="NormalWeb"/>
        <w:shd w:val="clear" w:color="auto" w:fill="FFFFFF"/>
        <w:spacing w:before="0" w:beforeAutospacing="0" w:after="0" w:afterAutospacing="0" w:line="360" w:lineRule="auto"/>
        <w:jc w:val="both"/>
        <w:rPr>
          <w:rFonts w:ascii="Arial" w:hAnsi="Arial" w:cs="Arial"/>
          <w:sz w:val="22"/>
          <w:szCs w:val="22"/>
        </w:rPr>
      </w:pPr>
      <w:r w:rsidRPr="00096EE5">
        <w:rPr>
          <w:rFonts w:ascii="Arial" w:hAnsi="Arial" w:cs="Arial"/>
          <w:sz w:val="22"/>
          <w:szCs w:val="22"/>
        </w:rPr>
        <w:t>‘</w:t>
      </w:r>
      <w:r w:rsidR="002D5616" w:rsidRPr="00096EE5">
        <w:rPr>
          <w:rFonts w:ascii="Arial" w:hAnsi="Arial" w:cs="Arial"/>
          <w:sz w:val="22"/>
          <w:szCs w:val="22"/>
        </w:rPr>
        <w:t>[283]</w:t>
      </w:r>
      <w:r w:rsidR="002D5616" w:rsidRPr="00096EE5">
        <w:rPr>
          <w:rFonts w:ascii="Arial" w:hAnsi="Arial" w:cs="Arial"/>
          <w:sz w:val="22"/>
          <w:szCs w:val="22"/>
        </w:rPr>
        <w:tab/>
        <w:t xml:space="preserve">I am satisfied that the residents put up enough for purposes of showing a decision that has had an adverse impact on their rights. I do not understand the difficulty the first judgment has with that, especially since it accepts that the residents have pleaded an infringement of the right to life, the right to human dignity, the right of access to water, the right to basic education and the right to an environment that is not harmful to health or well-being. </w:t>
      </w:r>
    </w:p>
    <w:p w:rsidR="002D5616" w:rsidRPr="00096EE5" w:rsidRDefault="002D5616" w:rsidP="00C42E08">
      <w:pPr>
        <w:pStyle w:val="NormalWeb"/>
        <w:shd w:val="clear" w:color="auto" w:fill="FFFFFF"/>
        <w:spacing w:before="144" w:beforeAutospacing="0" w:after="0" w:afterAutospacing="0" w:line="360" w:lineRule="auto"/>
        <w:jc w:val="both"/>
        <w:rPr>
          <w:rFonts w:ascii="Arial" w:hAnsi="Arial" w:cs="Arial"/>
          <w:sz w:val="22"/>
          <w:szCs w:val="22"/>
        </w:rPr>
      </w:pPr>
      <w:r w:rsidRPr="00096EE5">
        <w:rPr>
          <w:rFonts w:ascii="Arial" w:hAnsi="Arial" w:cs="Arial"/>
          <w:sz w:val="22"/>
          <w:szCs w:val="22"/>
        </w:rPr>
        <w:t>[284]     Let us strip all this to its bare essentials. A decision substantially reducing the supply of electricity was taken. That decision resulted in a “human catastrophe” characterised by gross violations of the residents’ fundamental rights. The residents were not given notice before the decision was taken. No fair process of whatever nature preceded the decision. On first principles, the residents have shown that they have a viable case in the intended PAJA review; a case founded on section 6(2)(c) read with section 4(1) of PAJA. Why the first judgment does not see that escapes me. This is a far cry from the first judgment’s suggestion that my judgment relies on nothing more than “</w:t>
      </w:r>
      <w:r w:rsidRPr="00096EE5">
        <w:rPr>
          <w:rFonts w:ascii="Arial" w:hAnsi="Arial" w:cs="Arial"/>
          <w:sz w:val="22"/>
          <w:szCs w:val="22"/>
          <w:lang w:val="en-US"/>
        </w:rPr>
        <w:t>deplorable social and economic effects” that leave a judicial lacuna</w:t>
      </w:r>
      <w:r w:rsidRPr="00096EE5">
        <w:rPr>
          <w:rFonts w:ascii="Arial" w:hAnsi="Arial" w:cs="Arial"/>
          <w:sz w:val="22"/>
          <w:szCs w:val="22"/>
        </w:rPr>
        <w:t>.</w:t>
      </w:r>
      <w:r w:rsidR="00AC7018" w:rsidRPr="00096EE5">
        <w:rPr>
          <w:rFonts w:ascii="Arial" w:hAnsi="Arial" w:cs="Arial"/>
          <w:sz w:val="22"/>
          <w:szCs w:val="22"/>
        </w:rPr>
        <w:t>’ (Footnote omitted.)</w:t>
      </w:r>
    </w:p>
    <w:p w:rsidR="002D5616" w:rsidRPr="00096EE5" w:rsidRDefault="000E311F" w:rsidP="00C42E08">
      <w:pPr>
        <w:pStyle w:val="Heading2"/>
        <w:shd w:val="clear" w:color="auto" w:fill="FFFFFF"/>
        <w:spacing w:before="240" w:beforeAutospacing="0" w:after="180" w:afterAutospacing="0" w:line="360" w:lineRule="auto"/>
        <w:jc w:val="both"/>
        <w:rPr>
          <w:rFonts w:ascii="Arial" w:hAnsi="Arial" w:cs="Arial"/>
          <w:b w:val="0"/>
          <w:bCs w:val="0"/>
          <w:sz w:val="24"/>
          <w:szCs w:val="24"/>
          <w:highlight w:val="yellow"/>
        </w:rPr>
      </w:pPr>
      <w:r>
        <w:rPr>
          <w:rFonts w:ascii="Arial" w:hAnsi="Arial" w:cs="Arial"/>
          <w:b w:val="0"/>
          <w:bCs w:val="0"/>
          <w:sz w:val="24"/>
          <w:szCs w:val="24"/>
        </w:rPr>
        <w:t>[16</w:t>
      </w:r>
      <w:r w:rsidR="002D5616" w:rsidRPr="00096EE5">
        <w:rPr>
          <w:rFonts w:ascii="Arial" w:hAnsi="Arial" w:cs="Arial"/>
          <w:b w:val="0"/>
          <w:bCs w:val="0"/>
          <w:sz w:val="24"/>
          <w:szCs w:val="24"/>
        </w:rPr>
        <w:t>]</w:t>
      </w:r>
      <w:r w:rsidR="002D5616" w:rsidRPr="00096EE5">
        <w:rPr>
          <w:rFonts w:ascii="Arial" w:hAnsi="Arial" w:cs="Arial"/>
          <w:b w:val="0"/>
          <w:bCs w:val="0"/>
          <w:sz w:val="24"/>
          <w:szCs w:val="24"/>
        </w:rPr>
        <w:tab/>
        <w:t xml:space="preserve">I am bound by the decision of the majority in </w:t>
      </w:r>
      <w:r w:rsidR="002D5616" w:rsidRPr="00096EE5">
        <w:rPr>
          <w:rFonts w:ascii="Arial" w:hAnsi="Arial" w:cs="Arial"/>
          <w:b w:val="0"/>
          <w:bCs w:val="0"/>
          <w:i/>
          <w:sz w:val="24"/>
          <w:szCs w:val="24"/>
        </w:rPr>
        <w:t>Eskom Holdings</w:t>
      </w:r>
      <w:r w:rsidR="002D5616" w:rsidRPr="00096EE5">
        <w:rPr>
          <w:rFonts w:ascii="Arial" w:hAnsi="Arial" w:cs="Arial"/>
          <w:b w:val="0"/>
          <w:bCs w:val="0"/>
          <w:sz w:val="24"/>
          <w:szCs w:val="24"/>
        </w:rPr>
        <w:t xml:space="preserve">. However, I do not consider the majority’s reasoning to be on all fours with the facts of this particular case. In </w:t>
      </w:r>
      <w:r w:rsidR="002D5616" w:rsidRPr="00096EE5">
        <w:rPr>
          <w:rFonts w:ascii="Arial" w:hAnsi="Arial" w:cs="Arial"/>
          <w:b w:val="0"/>
          <w:bCs w:val="0"/>
          <w:i/>
          <w:sz w:val="24"/>
          <w:szCs w:val="24"/>
        </w:rPr>
        <w:t xml:space="preserve">Eskom Holdings </w:t>
      </w:r>
      <w:r w:rsidR="002D5616" w:rsidRPr="00096EE5">
        <w:rPr>
          <w:rFonts w:ascii="Arial" w:hAnsi="Arial" w:cs="Arial"/>
          <w:b w:val="0"/>
          <w:bCs w:val="0"/>
          <w:sz w:val="24"/>
          <w:szCs w:val="24"/>
        </w:rPr>
        <w:t xml:space="preserve">the decision to reduce the supply of electricity to the residents </w:t>
      </w:r>
      <w:r w:rsidR="002D5616" w:rsidRPr="00096EE5">
        <w:rPr>
          <w:rFonts w:ascii="Arial" w:hAnsi="Arial" w:cs="Arial"/>
          <w:b w:val="0"/>
          <w:bCs w:val="0"/>
          <w:sz w:val="24"/>
          <w:szCs w:val="24"/>
        </w:rPr>
        <w:lastRenderedPageBreak/>
        <w:t xml:space="preserve">of the two townships resulted in what the </w:t>
      </w:r>
      <w:r w:rsidR="000E79FA" w:rsidRPr="00096EE5">
        <w:rPr>
          <w:rFonts w:ascii="Arial" w:hAnsi="Arial" w:cs="Arial"/>
          <w:b w:val="0"/>
          <w:bCs w:val="0"/>
          <w:sz w:val="24"/>
          <w:szCs w:val="24"/>
        </w:rPr>
        <w:t>c</w:t>
      </w:r>
      <w:r w:rsidR="002D5616" w:rsidRPr="00096EE5">
        <w:rPr>
          <w:rFonts w:ascii="Arial" w:hAnsi="Arial" w:cs="Arial"/>
          <w:b w:val="0"/>
          <w:bCs w:val="0"/>
          <w:sz w:val="24"/>
          <w:szCs w:val="24"/>
        </w:rPr>
        <w:t>ourt described as a ‘human catastrophe</w:t>
      </w:r>
      <w:r w:rsidR="00BB39B0" w:rsidRPr="00096EE5">
        <w:rPr>
          <w:rFonts w:ascii="Arial" w:hAnsi="Arial" w:cs="Arial"/>
          <w:b w:val="0"/>
          <w:bCs w:val="0"/>
          <w:sz w:val="24"/>
          <w:szCs w:val="24"/>
        </w:rPr>
        <w:t>’</w:t>
      </w:r>
      <w:r w:rsidR="002D5616" w:rsidRPr="00096EE5">
        <w:rPr>
          <w:rFonts w:ascii="Arial" w:hAnsi="Arial" w:cs="Arial"/>
          <w:b w:val="0"/>
          <w:bCs w:val="0"/>
          <w:sz w:val="24"/>
          <w:szCs w:val="24"/>
        </w:rPr>
        <w:t>.  The actions taken by Eskom against the municipalities was intended to extract from them payment of overdue debts. It was part of a debt collection strategy. In the present case there is no evidence of ulterior motive behind RBCT’s</w:t>
      </w:r>
      <w:r w:rsidR="0063229B">
        <w:rPr>
          <w:rFonts w:ascii="Arial" w:hAnsi="Arial" w:cs="Arial"/>
          <w:b w:val="0"/>
          <w:bCs w:val="0"/>
          <w:sz w:val="24"/>
          <w:szCs w:val="24"/>
        </w:rPr>
        <w:t xml:space="preserve"> termination of the export entitlement</w:t>
      </w:r>
      <w:r w:rsidR="002D5616" w:rsidRPr="00096EE5">
        <w:rPr>
          <w:rFonts w:ascii="Arial" w:hAnsi="Arial" w:cs="Arial"/>
          <w:b w:val="0"/>
          <w:bCs w:val="0"/>
          <w:sz w:val="24"/>
          <w:szCs w:val="24"/>
        </w:rPr>
        <w:t xml:space="preserve">, although it was contended by NUM that RBCT’s actions have the effect of driving OCT and OCM into liquidation.  </w:t>
      </w:r>
    </w:p>
    <w:p w:rsidR="002D5616" w:rsidRPr="00096EE5" w:rsidRDefault="000E311F" w:rsidP="00C42E08">
      <w:pPr>
        <w:pStyle w:val="Heading2"/>
        <w:shd w:val="clear" w:color="auto" w:fill="FFFFFF"/>
        <w:spacing w:before="240" w:beforeAutospacing="0" w:after="180" w:afterAutospacing="0" w:line="360" w:lineRule="auto"/>
        <w:jc w:val="both"/>
        <w:rPr>
          <w:rFonts w:ascii="Arial" w:hAnsi="Arial" w:cs="Arial"/>
          <w:b w:val="0"/>
          <w:bCs w:val="0"/>
          <w:sz w:val="24"/>
          <w:szCs w:val="24"/>
        </w:rPr>
      </w:pPr>
      <w:r>
        <w:rPr>
          <w:rFonts w:ascii="Arial" w:hAnsi="Arial" w:cs="Arial"/>
          <w:b w:val="0"/>
          <w:bCs w:val="0"/>
          <w:sz w:val="24"/>
          <w:szCs w:val="24"/>
        </w:rPr>
        <w:t>[17</w:t>
      </w:r>
      <w:r w:rsidR="002D5616" w:rsidRPr="00096EE5">
        <w:rPr>
          <w:rFonts w:ascii="Arial" w:hAnsi="Arial" w:cs="Arial"/>
          <w:b w:val="0"/>
          <w:bCs w:val="0"/>
          <w:sz w:val="24"/>
          <w:szCs w:val="24"/>
        </w:rPr>
        <w:t>]</w:t>
      </w:r>
      <w:r w:rsidR="002D5616" w:rsidRPr="00096EE5">
        <w:rPr>
          <w:rFonts w:ascii="Arial" w:hAnsi="Arial" w:cs="Arial"/>
          <w:b w:val="0"/>
          <w:bCs w:val="0"/>
          <w:sz w:val="24"/>
          <w:szCs w:val="24"/>
        </w:rPr>
        <w:tab/>
      </w:r>
      <w:r w:rsidR="00943637" w:rsidRPr="00096EE5">
        <w:rPr>
          <w:rFonts w:ascii="Arial" w:hAnsi="Arial" w:cs="Arial"/>
          <w:b w:val="0"/>
          <w:bCs w:val="0"/>
          <w:sz w:val="24"/>
          <w:szCs w:val="24"/>
        </w:rPr>
        <w:t>Further i</w:t>
      </w:r>
      <w:r w:rsidR="002D5616" w:rsidRPr="00096EE5">
        <w:rPr>
          <w:rFonts w:ascii="Arial" w:hAnsi="Arial" w:cs="Arial"/>
          <w:b w:val="0"/>
          <w:bCs w:val="0"/>
          <w:sz w:val="24"/>
          <w:szCs w:val="24"/>
        </w:rPr>
        <w:t xml:space="preserve">n </w:t>
      </w:r>
      <w:r w:rsidR="002D5616" w:rsidRPr="00096EE5">
        <w:rPr>
          <w:rFonts w:ascii="Arial" w:hAnsi="Arial" w:cs="Arial"/>
          <w:b w:val="0"/>
          <w:bCs w:val="0"/>
          <w:i/>
          <w:sz w:val="24"/>
          <w:szCs w:val="24"/>
        </w:rPr>
        <w:t>Eskom Holdings</w:t>
      </w:r>
      <w:r w:rsidR="002D5616" w:rsidRPr="00096EE5">
        <w:rPr>
          <w:rFonts w:ascii="Arial" w:hAnsi="Arial" w:cs="Arial"/>
          <w:b w:val="0"/>
          <w:bCs w:val="0"/>
          <w:sz w:val="24"/>
          <w:szCs w:val="24"/>
        </w:rPr>
        <w:t xml:space="preserve">, the residents based their claim against Eskom on the infringement of various rights - </w:t>
      </w:r>
      <w:r w:rsidR="002D5616" w:rsidRPr="00096EE5">
        <w:rPr>
          <w:rFonts w:ascii="Arial" w:hAnsi="Arial" w:cs="Arial"/>
          <w:b w:val="0"/>
          <w:sz w:val="24"/>
          <w:szCs w:val="24"/>
        </w:rPr>
        <w:t>right to life, to human dignity, access to water, basic education and the right to a healthy environment. In the present case, NUM bases its case speciously on the right to fair labour practices under s 23</w:t>
      </w:r>
      <w:r w:rsidR="005C7FD6" w:rsidRPr="00096EE5">
        <w:rPr>
          <w:rFonts w:ascii="Arial" w:hAnsi="Arial" w:cs="Arial"/>
          <w:b w:val="0"/>
          <w:sz w:val="24"/>
          <w:szCs w:val="24"/>
        </w:rPr>
        <w:t xml:space="preserve"> of the Constitution</w:t>
      </w:r>
      <w:r w:rsidR="002D5616" w:rsidRPr="00096EE5">
        <w:rPr>
          <w:rFonts w:ascii="Arial" w:hAnsi="Arial" w:cs="Arial"/>
          <w:b w:val="0"/>
          <w:sz w:val="24"/>
          <w:szCs w:val="24"/>
        </w:rPr>
        <w:t xml:space="preserve"> in circumstances where RBCT is far divorced from being an ‘employer’ to the miners purportedly affected by RBCT’s decision of 31 January 2023. In </w:t>
      </w:r>
      <w:r w:rsidR="002D5616" w:rsidRPr="00096EE5">
        <w:rPr>
          <w:rFonts w:ascii="Arial" w:hAnsi="Arial" w:cs="Arial"/>
          <w:b w:val="0"/>
          <w:i/>
          <w:sz w:val="24"/>
          <w:szCs w:val="24"/>
        </w:rPr>
        <w:t>Eskom Holdings</w:t>
      </w:r>
      <w:r w:rsidR="002D5616" w:rsidRPr="00096EE5">
        <w:rPr>
          <w:rFonts w:ascii="Arial" w:hAnsi="Arial" w:cs="Arial"/>
          <w:b w:val="0"/>
          <w:sz w:val="24"/>
          <w:szCs w:val="24"/>
        </w:rPr>
        <w:t>, the residents had constitutionally protected rights, which they contend could be enforced against Eskom, even if there was no direct contractual relationship between the parties.</w:t>
      </w:r>
      <w:r w:rsidR="002D5616" w:rsidRPr="00096EE5">
        <w:rPr>
          <w:rStyle w:val="FootnoteReference"/>
          <w:rFonts w:ascii="Arial" w:hAnsi="Arial" w:cs="Arial"/>
          <w:b w:val="0"/>
          <w:sz w:val="24"/>
          <w:szCs w:val="24"/>
        </w:rPr>
        <w:footnoteReference w:id="2"/>
      </w:r>
    </w:p>
    <w:p w:rsidR="002D5616" w:rsidRPr="00096EE5" w:rsidRDefault="002D5616" w:rsidP="00D21B4C">
      <w:pPr>
        <w:pStyle w:val="Heading2"/>
        <w:shd w:val="clear" w:color="auto" w:fill="FFFFFF"/>
        <w:spacing w:before="240" w:beforeAutospacing="0" w:after="180" w:afterAutospacing="0" w:line="360" w:lineRule="auto"/>
        <w:jc w:val="both"/>
        <w:rPr>
          <w:rFonts w:ascii="Arial" w:hAnsi="Arial" w:cs="Arial"/>
          <w:b w:val="0"/>
          <w:bCs w:val="0"/>
          <w:sz w:val="24"/>
          <w:szCs w:val="24"/>
          <w:highlight w:val="yellow"/>
        </w:rPr>
      </w:pPr>
      <w:r w:rsidRPr="00096EE5">
        <w:rPr>
          <w:rFonts w:ascii="Arial" w:hAnsi="Arial" w:cs="Arial"/>
          <w:b w:val="0"/>
          <w:sz w:val="24"/>
          <w:szCs w:val="24"/>
        </w:rPr>
        <w:t>[1</w:t>
      </w:r>
      <w:r w:rsidR="000E311F">
        <w:rPr>
          <w:rFonts w:ascii="Arial" w:hAnsi="Arial" w:cs="Arial"/>
          <w:b w:val="0"/>
          <w:sz w:val="24"/>
          <w:szCs w:val="24"/>
        </w:rPr>
        <w:t>8</w:t>
      </w:r>
      <w:r w:rsidRPr="00096EE5">
        <w:rPr>
          <w:rFonts w:ascii="Arial" w:hAnsi="Arial" w:cs="Arial"/>
          <w:b w:val="0"/>
          <w:sz w:val="24"/>
          <w:szCs w:val="24"/>
        </w:rPr>
        <w:t>]</w:t>
      </w:r>
      <w:r w:rsidRPr="00096EE5">
        <w:rPr>
          <w:rFonts w:ascii="Arial" w:hAnsi="Arial" w:cs="Arial"/>
          <w:b w:val="0"/>
          <w:sz w:val="24"/>
          <w:szCs w:val="24"/>
        </w:rPr>
        <w:tab/>
        <w:t xml:space="preserve"> Of relevance to this debate is the decision of the Constitutional Court in </w:t>
      </w:r>
      <w:r w:rsidRPr="00096EE5">
        <w:rPr>
          <w:rFonts w:ascii="Arial" w:hAnsi="Arial" w:cs="Arial"/>
          <w:b w:val="0"/>
          <w:i/>
          <w:sz w:val="24"/>
          <w:szCs w:val="24"/>
        </w:rPr>
        <w:t>Pretorius and another v Transport Pension Fund and others</w:t>
      </w:r>
      <w:r w:rsidRPr="00096EE5">
        <w:rPr>
          <w:rFonts w:ascii="Arial" w:hAnsi="Arial" w:cs="Arial"/>
          <w:b w:val="0"/>
          <w:sz w:val="24"/>
          <w:szCs w:val="24"/>
        </w:rPr>
        <w:t xml:space="preserve"> </w:t>
      </w:r>
      <w:r w:rsidR="00D21B4C" w:rsidRPr="00D21B4C">
        <w:rPr>
          <w:rFonts w:ascii="Arial" w:hAnsi="Arial" w:cs="Arial"/>
          <w:b w:val="0"/>
          <w:bCs w:val="0"/>
          <w:sz w:val="24"/>
          <w:szCs w:val="24"/>
        </w:rPr>
        <w:t>2019 (2) SA 37 (CC) </w:t>
      </w:r>
      <w:r w:rsidRPr="00096EE5">
        <w:rPr>
          <w:rFonts w:ascii="Arial" w:hAnsi="Arial" w:cs="Arial"/>
          <w:b w:val="0"/>
          <w:sz w:val="24"/>
          <w:szCs w:val="24"/>
        </w:rPr>
        <w:t xml:space="preserve">where Froneman J, writing for the </w:t>
      </w:r>
      <w:r w:rsidR="000E79FA" w:rsidRPr="00096EE5">
        <w:rPr>
          <w:rFonts w:ascii="Arial" w:hAnsi="Arial" w:cs="Arial"/>
          <w:b w:val="0"/>
          <w:sz w:val="24"/>
          <w:szCs w:val="24"/>
        </w:rPr>
        <w:t>c</w:t>
      </w:r>
      <w:r w:rsidRPr="00096EE5">
        <w:rPr>
          <w:rFonts w:ascii="Arial" w:hAnsi="Arial" w:cs="Arial"/>
          <w:b w:val="0"/>
          <w:sz w:val="24"/>
          <w:szCs w:val="24"/>
        </w:rPr>
        <w:t xml:space="preserve">ourt, noted that contemporary labour law takes a broader view of the fair labour rights </w:t>
      </w:r>
      <w:r w:rsidR="00D21B4C">
        <w:rPr>
          <w:rFonts w:ascii="Arial" w:hAnsi="Arial" w:cs="Arial"/>
          <w:b w:val="0"/>
          <w:sz w:val="24"/>
          <w:szCs w:val="24"/>
        </w:rPr>
        <w:t xml:space="preserve">provision </w:t>
      </w:r>
      <w:r w:rsidRPr="00096EE5">
        <w:rPr>
          <w:rFonts w:ascii="Arial" w:hAnsi="Arial" w:cs="Arial"/>
          <w:b w:val="0"/>
          <w:sz w:val="24"/>
          <w:szCs w:val="24"/>
        </w:rPr>
        <w:t>in s 23(1) of the Constitution, noting that fewer people are now in ‘formal employment relationships</w:t>
      </w:r>
      <w:r w:rsidR="00D21B4C">
        <w:rPr>
          <w:rFonts w:ascii="Arial" w:hAnsi="Arial" w:cs="Arial"/>
          <w:b w:val="0"/>
          <w:sz w:val="24"/>
          <w:szCs w:val="24"/>
        </w:rPr>
        <w:t>”</w:t>
      </w:r>
      <w:r w:rsidRPr="00096EE5">
        <w:rPr>
          <w:rFonts w:ascii="Arial" w:hAnsi="Arial" w:cs="Arial"/>
          <w:b w:val="0"/>
          <w:sz w:val="24"/>
          <w:szCs w:val="24"/>
        </w:rPr>
        <w:t xml:space="preserve">. The </w:t>
      </w:r>
      <w:r w:rsidR="000E79FA" w:rsidRPr="00096EE5">
        <w:rPr>
          <w:rFonts w:ascii="Arial" w:hAnsi="Arial" w:cs="Arial"/>
          <w:b w:val="0"/>
          <w:sz w:val="24"/>
          <w:szCs w:val="24"/>
        </w:rPr>
        <w:t>c</w:t>
      </w:r>
      <w:r w:rsidRPr="00096EE5">
        <w:rPr>
          <w:rFonts w:ascii="Arial" w:hAnsi="Arial" w:cs="Arial"/>
          <w:b w:val="0"/>
          <w:sz w:val="24"/>
          <w:szCs w:val="24"/>
        </w:rPr>
        <w:t xml:space="preserve">ourt found compelling reasons not to restrict the protection of </w:t>
      </w:r>
      <w:r w:rsidR="000F2EE4" w:rsidRPr="00096EE5">
        <w:rPr>
          <w:rFonts w:ascii="Arial" w:hAnsi="Arial" w:cs="Arial"/>
          <w:b w:val="0"/>
          <w:sz w:val="24"/>
          <w:szCs w:val="24"/>
        </w:rPr>
        <w:t>s</w:t>
      </w:r>
      <w:r w:rsidRPr="00096EE5">
        <w:rPr>
          <w:rFonts w:ascii="Arial" w:hAnsi="Arial" w:cs="Arial"/>
          <w:b w:val="0"/>
          <w:sz w:val="24"/>
          <w:szCs w:val="24"/>
        </w:rPr>
        <w:t xml:space="preserve"> 23 only to those who have contracts of employment. The focus in that case was whether there were </w:t>
      </w:r>
      <w:r w:rsidRPr="00096EE5">
        <w:rPr>
          <w:rFonts w:ascii="Arial" w:hAnsi="Arial" w:cs="Arial"/>
          <w:b w:val="0"/>
          <w:i/>
          <w:sz w:val="24"/>
          <w:szCs w:val="24"/>
        </w:rPr>
        <w:t>contracts</w:t>
      </w:r>
      <w:r w:rsidRPr="00096EE5">
        <w:rPr>
          <w:rFonts w:ascii="Arial" w:hAnsi="Arial" w:cs="Arial"/>
          <w:b w:val="0"/>
          <w:sz w:val="24"/>
          <w:szCs w:val="24"/>
        </w:rPr>
        <w:t xml:space="preserve"> of employment which formed the underpinning to rely on </w:t>
      </w:r>
      <w:r w:rsidR="00D21B4C">
        <w:rPr>
          <w:rFonts w:ascii="Arial" w:hAnsi="Arial" w:cs="Arial"/>
          <w:b w:val="0"/>
          <w:sz w:val="24"/>
          <w:szCs w:val="24"/>
        </w:rPr>
        <w:t xml:space="preserve">a </w:t>
      </w:r>
      <w:r w:rsidRPr="00096EE5">
        <w:rPr>
          <w:rFonts w:ascii="Arial" w:hAnsi="Arial" w:cs="Arial"/>
          <w:b w:val="0"/>
          <w:sz w:val="24"/>
          <w:szCs w:val="24"/>
        </w:rPr>
        <w:t xml:space="preserve">s 23(1) right. In the present matter, NUM contends that the employment relationship matters not. NUM’s members have no relationship </w:t>
      </w:r>
      <w:r w:rsidRPr="00096EE5">
        <w:rPr>
          <w:rFonts w:ascii="Arial" w:hAnsi="Arial" w:cs="Arial"/>
          <w:b w:val="0"/>
          <w:i/>
          <w:sz w:val="24"/>
          <w:szCs w:val="24"/>
        </w:rPr>
        <w:t>whatsoever</w:t>
      </w:r>
      <w:r w:rsidRPr="00096EE5">
        <w:rPr>
          <w:rFonts w:ascii="Arial" w:hAnsi="Arial" w:cs="Arial"/>
          <w:b w:val="0"/>
          <w:sz w:val="24"/>
          <w:szCs w:val="24"/>
        </w:rPr>
        <w:t xml:space="preserve"> with RBCT, other than that they work for mini-pit operators who utilise OCT’s export entitlement.  </w:t>
      </w:r>
    </w:p>
    <w:p w:rsidR="002D5616" w:rsidRPr="00096EE5" w:rsidRDefault="000E311F" w:rsidP="00C42E08">
      <w:pPr>
        <w:pStyle w:val="Heading2"/>
        <w:shd w:val="clear" w:color="auto" w:fill="FFFFFF"/>
        <w:spacing w:before="240" w:beforeAutospacing="0" w:after="180" w:afterAutospacing="0" w:line="360" w:lineRule="auto"/>
        <w:jc w:val="both"/>
        <w:rPr>
          <w:rFonts w:ascii="Arial" w:hAnsi="Arial" w:cs="Arial"/>
          <w:b w:val="0"/>
          <w:bCs w:val="0"/>
          <w:sz w:val="24"/>
          <w:szCs w:val="24"/>
        </w:rPr>
      </w:pPr>
      <w:r>
        <w:rPr>
          <w:rFonts w:ascii="Arial" w:hAnsi="Arial" w:cs="Arial"/>
          <w:b w:val="0"/>
          <w:sz w:val="24"/>
          <w:szCs w:val="24"/>
        </w:rPr>
        <w:lastRenderedPageBreak/>
        <w:t>[19</w:t>
      </w:r>
      <w:r w:rsidR="002D5616" w:rsidRPr="00096EE5">
        <w:rPr>
          <w:rFonts w:ascii="Arial" w:hAnsi="Arial" w:cs="Arial"/>
          <w:b w:val="0"/>
          <w:sz w:val="24"/>
          <w:szCs w:val="24"/>
        </w:rPr>
        <w:t>]</w:t>
      </w:r>
      <w:r w:rsidR="002D5616" w:rsidRPr="00096EE5">
        <w:rPr>
          <w:rFonts w:ascii="Arial" w:hAnsi="Arial" w:cs="Arial"/>
          <w:b w:val="0"/>
          <w:sz w:val="24"/>
          <w:szCs w:val="24"/>
        </w:rPr>
        <w:tab/>
        <w:t xml:space="preserve">In summary, I do not read </w:t>
      </w:r>
      <w:r w:rsidR="002D5616" w:rsidRPr="00096EE5">
        <w:rPr>
          <w:rFonts w:ascii="Arial" w:hAnsi="Arial" w:cs="Arial"/>
          <w:b w:val="0"/>
          <w:i/>
          <w:sz w:val="24"/>
          <w:szCs w:val="24"/>
        </w:rPr>
        <w:t>Eskom Holdings</w:t>
      </w:r>
      <w:r w:rsidR="002D5616" w:rsidRPr="00096EE5">
        <w:rPr>
          <w:rFonts w:ascii="Arial" w:hAnsi="Arial" w:cs="Arial"/>
          <w:b w:val="0"/>
          <w:sz w:val="24"/>
          <w:szCs w:val="24"/>
        </w:rPr>
        <w:t xml:space="preserve"> as supporting NUM’s claim that even in the absence of any relationship to a party – contractual or otherwise – that you are entitled to claim enforcement of a right, which was never in existence prior to a particular act or specific conduct. Moreover, Madlanga J did not suggest that Eskom is not entitled to act in a particular manner to avert, for example, the collapse of the electricity grid. But, it </w:t>
      </w:r>
      <w:r w:rsidR="00D21B4C">
        <w:rPr>
          <w:rFonts w:ascii="Arial" w:hAnsi="Arial" w:cs="Arial"/>
          <w:b w:val="0"/>
          <w:sz w:val="24"/>
          <w:szCs w:val="24"/>
        </w:rPr>
        <w:t xml:space="preserve">(Eskom) </w:t>
      </w:r>
      <w:r w:rsidR="002D5616" w:rsidRPr="00096EE5">
        <w:rPr>
          <w:rFonts w:ascii="Arial" w:hAnsi="Arial" w:cs="Arial"/>
          <w:b w:val="0"/>
          <w:sz w:val="24"/>
          <w:szCs w:val="24"/>
        </w:rPr>
        <w:t xml:space="preserve">is not a law unto itself – it has to act in accordance with </w:t>
      </w:r>
      <w:r w:rsidR="00775556" w:rsidRPr="00096EE5">
        <w:rPr>
          <w:rFonts w:ascii="Arial" w:hAnsi="Arial" w:cs="Arial"/>
          <w:b w:val="0"/>
          <w:sz w:val="24"/>
          <w:szCs w:val="24"/>
        </w:rPr>
        <w:t>the</w:t>
      </w:r>
      <w:r w:rsidR="002D5616" w:rsidRPr="00096EE5">
        <w:rPr>
          <w:rFonts w:ascii="Arial" w:hAnsi="Arial" w:cs="Arial"/>
          <w:b w:val="0"/>
          <w:sz w:val="24"/>
          <w:szCs w:val="24"/>
        </w:rPr>
        <w:t xml:space="preserve"> Constitution and the law. </w:t>
      </w:r>
      <w:r w:rsidR="00D21B4C">
        <w:rPr>
          <w:rFonts w:ascii="Arial" w:hAnsi="Arial" w:cs="Arial"/>
          <w:b w:val="0"/>
          <w:sz w:val="24"/>
          <w:szCs w:val="24"/>
        </w:rPr>
        <w:t>In my view</w:t>
      </w:r>
      <w:r w:rsidR="00E904F9">
        <w:rPr>
          <w:rFonts w:ascii="Arial" w:hAnsi="Arial" w:cs="Arial"/>
          <w:b w:val="0"/>
          <w:sz w:val="24"/>
          <w:szCs w:val="24"/>
        </w:rPr>
        <w:t xml:space="preserve">, at a </w:t>
      </w:r>
      <w:r w:rsidR="00E904F9" w:rsidRPr="00E904F9">
        <w:rPr>
          <w:rFonts w:ascii="Arial" w:hAnsi="Arial" w:cs="Arial"/>
          <w:b w:val="0"/>
          <w:i/>
          <w:sz w:val="24"/>
          <w:szCs w:val="24"/>
        </w:rPr>
        <w:t>prima facie</w:t>
      </w:r>
      <w:r w:rsidR="00E904F9">
        <w:rPr>
          <w:rFonts w:ascii="Arial" w:hAnsi="Arial" w:cs="Arial"/>
          <w:b w:val="0"/>
          <w:sz w:val="24"/>
          <w:szCs w:val="24"/>
        </w:rPr>
        <w:t xml:space="preserve"> level, </w:t>
      </w:r>
      <w:r w:rsidR="00D21B4C">
        <w:rPr>
          <w:rFonts w:ascii="Arial" w:hAnsi="Arial" w:cs="Arial"/>
          <w:b w:val="0"/>
          <w:sz w:val="24"/>
          <w:szCs w:val="24"/>
        </w:rPr>
        <w:t>n</w:t>
      </w:r>
      <w:r w:rsidR="002D5616" w:rsidRPr="00096EE5">
        <w:rPr>
          <w:rFonts w:ascii="Arial" w:hAnsi="Arial" w:cs="Arial"/>
          <w:b w:val="0"/>
          <w:sz w:val="24"/>
          <w:szCs w:val="24"/>
        </w:rPr>
        <w:t>o constitutional obligations to remote third parties can be said to arise from a contractual termination by RBCT of OCT’s export entitlement.</w:t>
      </w:r>
    </w:p>
    <w:p w:rsidR="00C26184" w:rsidRPr="00096EE5" w:rsidRDefault="000E311F" w:rsidP="00C42E08">
      <w:pPr>
        <w:pStyle w:val="Heading2"/>
        <w:shd w:val="clear" w:color="auto" w:fill="FFFFFF"/>
        <w:spacing w:before="240" w:beforeAutospacing="0" w:after="180" w:afterAutospacing="0" w:line="360" w:lineRule="auto"/>
        <w:jc w:val="both"/>
        <w:rPr>
          <w:rFonts w:ascii="Arial" w:hAnsi="Arial" w:cs="Arial"/>
          <w:b w:val="0"/>
          <w:bCs w:val="0"/>
          <w:sz w:val="24"/>
          <w:szCs w:val="24"/>
        </w:rPr>
      </w:pPr>
      <w:r>
        <w:rPr>
          <w:rFonts w:ascii="Arial" w:hAnsi="Arial" w:cs="Arial"/>
          <w:b w:val="0"/>
          <w:bCs w:val="0"/>
          <w:sz w:val="24"/>
          <w:szCs w:val="24"/>
        </w:rPr>
        <w:t>[20</w:t>
      </w:r>
      <w:r w:rsidR="0021088C" w:rsidRPr="00096EE5">
        <w:rPr>
          <w:rFonts w:ascii="Arial" w:hAnsi="Arial" w:cs="Arial"/>
          <w:b w:val="0"/>
          <w:bCs w:val="0"/>
          <w:sz w:val="24"/>
          <w:szCs w:val="24"/>
        </w:rPr>
        <w:t>]</w:t>
      </w:r>
      <w:r w:rsidR="0021088C" w:rsidRPr="00096EE5">
        <w:rPr>
          <w:rFonts w:ascii="Arial" w:hAnsi="Arial" w:cs="Arial"/>
          <w:b w:val="0"/>
          <w:bCs w:val="0"/>
          <w:sz w:val="24"/>
          <w:szCs w:val="24"/>
        </w:rPr>
        <w:tab/>
      </w:r>
      <w:r w:rsidR="00086E65" w:rsidRPr="00096EE5">
        <w:rPr>
          <w:rFonts w:ascii="Arial" w:hAnsi="Arial" w:cs="Arial"/>
          <w:b w:val="0"/>
          <w:bCs w:val="0"/>
          <w:sz w:val="24"/>
          <w:szCs w:val="24"/>
        </w:rPr>
        <w:t>The crucial enquiry in this application</w:t>
      </w:r>
      <w:r w:rsidR="00D21B4C">
        <w:rPr>
          <w:rFonts w:ascii="Arial" w:hAnsi="Arial" w:cs="Arial"/>
          <w:b w:val="0"/>
          <w:bCs w:val="0"/>
          <w:sz w:val="24"/>
          <w:szCs w:val="24"/>
        </w:rPr>
        <w:t xml:space="preserve"> </w:t>
      </w:r>
      <w:r w:rsidR="00086E65" w:rsidRPr="00096EE5">
        <w:rPr>
          <w:rFonts w:ascii="Arial" w:hAnsi="Arial" w:cs="Arial"/>
          <w:b w:val="0"/>
          <w:bCs w:val="0"/>
          <w:sz w:val="24"/>
          <w:szCs w:val="24"/>
        </w:rPr>
        <w:t xml:space="preserve">is the right which NUM contends is deserving of protection at an interim level, pending the determination of the main Optimum application, which itself is concerned with interim relief pending arbitration proceedings into the contractual dispute between the parties. </w:t>
      </w:r>
    </w:p>
    <w:p w:rsidR="00086E65" w:rsidRPr="00096EE5" w:rsidRDefault="0021088C" w:rsidP="00C42E08">
      <w:pPr>
        <w:pStyle w:val="Heading2"/>
        <w:shd w:val="clear" w:color="auto" w:fill="FFFFFF"/>
        <w:spacing w:before="240" w:beforeAutospacing="0" w:after="180" w:afterAutospacing="0" w:line="360" w:lineRule="auto"/>
        <w:jc w:val="both"/>
        <w:rPr>
          <w:rFonts w:ascii="Arial" w:hAnsi="Arial" w:cs="Arial"/>
          <w:b w:val="0"/>
          <w:bCs w:val="0"/>
          <w:sz w:val="24"/>
          <w:szCs w:val="24"/>
        </w:rPr>
      </w:pPr>
      <w:r w:rsidRPr="00096EE5">
        <w:rPr>
          <w:rFonts w:ascii="Arial" w:hAnsi="Arial" w:cs="Arial"/>
          <w:b w:val="0"/>
          <w:bCs w:val="0"/>
          <w:sz w:val="24"/>
          <w:szCs w:val="24"/>
        </w:rPr>
        <w:t>[</w:t>
      </w:r>
      <w:r w:rsidR="000E311F">
        <w:rPr>
          <w:rFonts w:ascii="Arial" w:hAnsi="Arial" w:cs="Arial"/>
          <w:b w:val="0"/>
          <w:bCs w:val="0"/>
          <w:sz w:val="24"/>
          <w:szCs w:val="24"/>
        </w:rPr>
        <w:t>21</w:t>
      </w:r>
      <w:r w:rsidRPr="00096EE5">
        <w:rPr>
          <w:rFonts w:ascii="Arial" w:hAnsi="Arial" w:cs="Arial"/>
          <w:b w:val="0"/>
          <w:bCs w:val="0"/>
          <w:sz w:val="24"/>
          <w:szCs w:val="24"/>
        </w:rPr>
        <w:t>]</w:t>
      </w:r>
      <w:r w:rsidRPr="00096EE5">
        <w:rPr>
          <w:rFonts w:ascii="Arial" w:hAnsi="Arial" w:cs="Arial"/>
          <w:b w:val="0"/>
          <w:bCs w:val="0"/>
          <w:sz w:val="24"/>
          <w:szCs w:val="24"/>
        </w:rPr>
        <w:tab/>
      </w:r>
      <w:r w:rsidR="00B61F7C" w:rsidRPr="00096EE5">
        <w:rPr>
          <w:rFonts w:ascii="Arial" w:hAnsi="Arial" w:cs="Arial"/>
          <w:b w:val="0"/>
          <w:bCs w:val="0"/>
          <w:sz w:val="24"/>
          <w:szCs w:val="24"/>
        </w:rPr>
        <w:t xml:space="preserve">It is further contended </w:t>
      </w:r>
      <w:r w:rsidR="00D21B4C">
        <w:rPr>
          <w:rFonts w:ascii="Arial" w:hAnsi="Arial" w:cs="Arial"/>
          <w:b w:val="0"/>
          <w:bCs w:val="0"/>
          <w:sz w:val="24"/>
          <w:szCs w:val="24"/>
        </w:rPr>
        <w:t xml:space="preserve">by NUM </w:t>
      </w:r>
      <w:r w:rsidR="00B61F7C" w:rsidRPr="00096EE5">
        <w:rPr>
          <w:rFonts w:ascii="Arial" w:hAnsi="Arial" w:cs="Arial"/>
          <w:b w:val="0"/>
          <w:bCs w:val="0"/>
          <w:sz w:val="24"/>
          <w:szCs w:val="24"/>
        </w:rPr>
        <w:t xml:space="preserve">that the actions of RBCT in terminating the entitlement to export </w:t>
      </w:r>
      <w:r w:rsidR="00D21B4C">
        <w:rPr>
          <w:rFonts w:ascii="Arial" w:hAnsi="Arial" w:cs="Arial"/>
          <w:b w:val="0"/>
          <w:bCs w:val="0"/>
          <w:sz w:val="24"/>
          <w:szCs w:val="24"/>
        </w:rPr>
        <w:t xml:space="preserve">coal </w:t>
      </w:r>
      <w:r w:rsidR="00B61F7C" w:rsidRPr="00096EE5">
        <w:rPr>
          <w:rFonts w:ascii="Arial" w:hAnsi="Arial" w:cs="Arial"/>
          <w:b w:val="0"/>
          <w:bCs w:val="0"/>
          <w:sz w:val="24"/>
          <w:szCs w:val="24"/>
        </w:rPr>
        <w:t xml:space="preserve">as of </w:t>
      </w:r>
      <w:r w:rsidR="0055273C" w:rsidRPr="00096EE5">
        <w:rPr>
          <w:rFonts w:ascii="Arial" w:hAnsi="Arial" w:cs="Arial"/>
          <w:b w:val="0"/>
          <w:bCs w:val="0"/>
          <w:sz w:val="24"/>
          <w:szCs w:val="24"/>
        </w:rPr>
        <w:t>31</w:t>
      </w:r>
      <w:r w:rsidR="00B61F7C" w:rsidRPr="00096EE5">
        <w:rPr>
          <w:rFonts w:ascii="Arial" w:hAnsi="Arial" w:cs="Arial"/>
          <w:b w:val="0"/>
          <w:bCs w:val="0"/>
          <w:sz w:val="24"/>
          <w:szCs w:val="24"/>
        </w:rPr>
        <w:t xml:space="preserve"> January 2023 will likely plummet Optimum into liquidation, in circumstances where neither the creditors </w:t>
      </w:r>
      <w:r w:rsidR="0055273C" w:rsidRPr="00096EE5">
        <w:rPr>
          <w:rFonts w:ascii="Arial" w:hAnsi="Arial" w:cs="Arial"/>
          <w:b w:val="0"/>
          <w:bCs w:val="0"/>
          <w:sz w:val="24"/>
          <w:szCs w:val="24"/>
        </w:rPr>
        <w:t>nor</w:t>
      </w:r>
      <w:r w:rsidR="00B61F7C" w:rsidRPr="00096EE5">
        <w:rPr>
          <w:rFonts w:ascii="Arial" w:hAnsi="Arial" w:cs="Arial"/>
          <w:b w:val="0"/>
          <w:bCs w:val="0"/>
          <w:sz w:val="24"/>
          <w:szCs w:val="24"/>
        </w:rPr>
        <w:t xml:space="preserve"> employees of </w:t>
      </w:r>
      <w:r w:rsidR="0055273C" w:rsidRPr="00096EE5">
        <w:rPr>
          <w:rFonts w:ascii="Arial" w:hAnsi="Arial" w:cs="Arial"/>
          <w:b w:val="0"/>
          <w:bCs w:val="0"/>
          <w:sz w:val="24"/>
          <w:szCs w:val="24"/>
        </w:rPr>
        <w:t>O</w:t>
      </w:r>
      <w:r w:rsidR="00B61F7C" w:rsidRPr="00096EE5">
        <w:rPr>
          <w:rFonts w:ascii="Arial" w:hAnsi="Arial" w:cs="Arial"/>
          <w:b w:val="0"/>
          <w:bCs w:val="0"/>
          <w:sz w:val="24"/>
          <w:szCs w:val="24"/>
        </w:rPr>
        <w:t>ptimum would be paid. Moreover</w:t>
      </w:r>
      <w:r w:rsidR="003228B4" w:rsidRPr="00096EE5">
        <w:rPr>
          <w:rFonts w:ascii="Arial" w:hAnsi="Arial" w:cs="Arial"/>
          <w:b w:val="0"/>
          <w:bCs w:val="0"/>
          <w:sz w:val="24"/>
          <w:szCs w:val="24"/>
        </w:rPr>
        <w:t>,</w:t>
      </w:r>
      <w:r w:rsidR="00B61F7C" w:rsidRPr="00096EE5">
        <w:rPr>
          <w:rFonts w:ascii="Arial" w:hAnsi="Arial" w:cs="Arial"/>
          <w:b w:val="0"/>
          <w:bCs w:val="0"/>
          <w:sz w:val="24"/>
          <w:szCs w:val="24"/>
        </w:rPr>
        <w:t xml:space="preserve"> the founding affidavit paints a picture that in the event of a status quo order (restoring matters to the position as it existed prior to 31 January 2023) not be</w:t>
      </w:r>
      <w:r w:rsidR="0055273C" w:rsidRPr="00096EE5">
        <w:rPr>
          <w:rFonts w:ascii="Arial" w:hAnsi="Arial" w:cs="Arial"/>
          <w:b w:val="0"/>
          <w:bCs w:val="0"/>
          <w:sz w:val="24"/>
          <w:szCs w:val="24"/>
        </w:rPr>
        <w:t>ing</w:t>
      </w:r>
      <w:r w:rsidR="00B61F7C" w:rsidRPr="00096EE5">
        <w:rPr>
          <w:rFonts w:ascii="Arial" w:hAnsi="Arial" w:cs="Arial"/>
          <w:b w:val="0"/>
          <w:bCs w:val="0"/>
          <w:sz w:val="24"/>
          <w:szCs w:val="24"/>
        </w:rPr>
        <w:t xml:space="preserve"> granted, it’s members who number approximately 2</w:t>
      </w:r>
      <w:r w:rsidR="00BE6471" w:rsidRPr="00096EE5">
        <w:rPr>
          <w:rFonts w:ascii="Arial" w:hAnsi="Arial" w:cs="Arial"/>
          <w:b w:val="0"/>
          <w:bCs w:val="0"/>
          <w:sz w:val="24"/>
          <w:szCs w:val="24"/>
        </w:rPr>
        <w:t xml:space="preserve"> </w:t>
      </w:r>
      <w:r w:rsidR="00B61F7C" w:rsidRPr="00096EE5">
        <w:rPr>
          <w:rFonts w:ascii="Arial" w:hAnsi="Arial" w:cs="Arial"/>
          <w:b w:val="0"/>
          <w:bCs w:val="0"/>
          <w:sz w:val="24"/>
          <w:szCs w:val="24"/>
        </w:rPr>
        <w:t>000, would be severely impacted</w:t>
      </w:r>
      <w:r w:rsidR="008C12F1" w:rsidRPr="00096EE5">
        <w:rPr>
          <w:rFonts w:ascii="Arial" w:hAnsi="Arial" w:cs="Arial"/>
          <w:b w:val="0"/>
          <w:bCs w:val="0"/>
          <w:sz w:val="24"/>
          <w:szCs w:val="24"/>
        </w:rPr>
        <w:t xml:space="preserve"> as their livelihoods will be </w:t>
      </w:r>
      <w:r w:rsidR="00411B11" w:rsidRPr="00096EE5">
        <w:rPr>
          <w:rFonts w:ascii="Arial" w:hAnsi="Arial" w:cs="Arial"/>
          <w:b w:val="0"/>
          <w:bCs w:val="0"/>
          <w:sz w:val="24"/>
          <w:szCs w:val="24"/>
        </w:rPr>
        <w:t>affected</w:t>
      </w:r>
      <w:r w:rsidR="008C12F1" w:rsidRPr="00096EE5">
        <w:rPr>
          <w:rFonts w:ascii="Arial" w:hAnsi="Arial" w:cs="Arial"/>
          <w:b w:val="0"/>
          <w:bCs w:val="0"/>
          <w:sz w:val="24"/>
          <w:szCs w:val="24"/>
        </w:rPr>
        <w:t>. NUM contends that in so far as a weighing up of competing interests (the balance of convenience test) RBCT is not likely to suffer any prejudice in the event of the order being granted. Conversely, if the order is not granted, the impact on the union’s members and their extended families w</w:t>
      </w:r>
      <w:r w:rsidR="0055273C" w:rsidRPr="00096EE5">
        <w:rPr>
          <w:rFonts w:ascii="Arial" w:hAnsi="Arial" w:cs="Arial"/>
          <w:b w:val="0"/>
          <w:bCs w:val="0"/>
          <w:sz w:val="24"/>
          <w:szCs w:val="24"/>
        </w:rPr>
        <w:t>ho</w:t>
      </w:r>
      <w:r w:rsidR="008C12F1" w:rsidRPr="00096EE5">
        <w:rPr>
          <w:rFonts w:ascii="Arial" w:hAnsi="Arial" w:cs="Arial"/>
          <w:b w:val="0"/>
          <w:bCs w:val="0"/>
          <w:sz w:val="24"/>
          <w:szCs w:val="24"/>
        </w:rPr>
        <w:t xml:space="preserve"> rely on them for support, will be calamitous.</w:t>
      </w:r>
    </w:p>
    <w:p w:rsidR="006E4DAB" w:rsidRDefault="0021088C" w:rsidP="00C42E08">
      <w:pPr>
        <w:pStyle w:val="Heading2"/>
        <w:shd w:val="clear" w:color="auto" w:fill="FFFFFF"/>
        <w:spacing w:before="240" w:beforeAutospacing="0" w:after="180" w:afterAutospacing="0" w:line="360" w:lineRule="auto"/>
        <w:jc w:val="both"/>
        <w:rPr>
          <w:rFonts w:ascii="Arial" w:hAnsi="Arial" w:cs="Arial"/>
          <w:b w:val="0"/>
          <w:bCs w:val="0"/>
          <w:sz w:val="24"/>
          <w:szCs w:val="24"/>
        </w:rPr>
      </w:pPr>
      <w:r w:rsidRPr="00096EE5">
        <w:rPr>
          <w:rFonts w:ascii="Arial" w:hAnsi="Arial" w:cs="Arial"/>
          <w:b w:val="0"/>
          <w:bCs w:val="0"/>
          <w:sz w:val="24"/>
          <w:szCs w:val="24"/>
        </w:rPr>
        <w:t>[</w:t>
      </w:r>
      <w:r w:rsidR="005C01C7">
        <w:rPr>
          <w:rFonts w:ascii="Arial" w:hAnsi="Arial" w:cs="Arial"/>
          <w:b w:val="0"/>
          <w:bCs w:val="0"/>
          <w:sz w:val="24"/>
          <w:szCs w:val="24"/>
        </w:rPr>
        <w:t>2</w:t>
      </w:r>
      <w:r w:rsidR="000E311F">
        <w:rPr>
          <w:rFonts w:ascii="Arial" w:hAnsi="Arial" w:cs="Arial"/>
          <w:b w:val="0"/>
          <w:bCs w:val="0"/>
          <w:sz w:val="24"/>
          <w:szCs w:val="24"/>
        </w:rPr>
        <w:t>2</w:t>
      </w:r>
      <w:r w:rsidRPr="00096EE5">
        <w:rPr>
          <w:rFonts w:ascii="Arial" w:hAnsi="Arial" w:cs="Arial"/>
          <w:b w:val="0"/>
          <w:bCs w:val="0"/>
          <w:sz w:val="24"/>
          <w:szCs w:val="24"/>
        </w:rPr>
        <w:t>]</w:t>
      </w:r>
      <w:r w:rsidRPr="00096EE5">
        <w:rPr>
          <w:rFonts w:ascii="Arial" w:hAnsi="Arial" w:cs="Arial"/>
          <w:b w:val="0"/>
          <w:bCs w:val="0"/>
          <w:sz w:val="24"/>
          <w:szCs w:val="24"/>
        </w:rPr>
        <w:tab/>
      </w:r>
      <w:r w:rsidR="00BF2E49" w:rsidRPr="00096EE5">
        <w:rPr>
          <w:rFonts w:ascii="Arial" w:hAnsi="Arial" w:cs="Arial"/>
          <w:b w:val="0"/>
          <w:bCs w:val="0"/>
          <w:sz w:val="24"/>
          <w:szCs w:val="24"/>
        </w:rPr>
        <w:t xml:space="preserve">As set out above, the relief which NUM seeks in this application is identical to that which Optimum seeks as an interim measure in the main application. During the course of the hearing I enquired from NUM’s counsel of the precise nature of the right which NUM was asserting against RBCT. In response, Mr </w:t>
      </w:r>
      <w:r w:rsidR="00BF2E49" w:rsidRPr="00096EE5">
        <w:rPr>
          <w:rFonts w:ascii="Arial" w:hAnsi="Arial" w:cs="Arial"/>
          <w:b w:val="0"/>
          <w:bCs w:val="0"/>
          <w:i/>
          <w:sz w:val="24"/>
          <w:szCs w:val="24"/>
        </w:rPr>
        <w:t>Badenhorst SC</w:t>
      </w:r>
      <w:r w:rsidR="00BF2E49" w:rsidRPr="00096EE5">
        <w:rPr>
          <w:rFonts w:ascii="Arial" w:hAnsi="Arial" w:cs="Arial"/>
          <w:b w:val="0"/>
          <w:bCs w:val="0"/>
          <w:sz w:val="24"/>
          <w:szCs w:val="24"/>
        </w:rPr>
        <w:t xml:space="preserve"> who appeared on behalf of NUM, submitted that the rights at risk are those foreshadowed </w:t>
      </w:r>
      <w:r w:rsidR="00A9096D" w:rsidRPr="00096EE5">
        <w:rPr>
          <w:rFonts w:ascii="Arial" w:hAnsi="Arial" w:cs="Arial"/>
          <w:b w:val="0"/>
          <w:bCs w:val="0"/>
          <w:sz w:val="24"/>
          <w:szCs w:val="24"/>
        </w:rPr>
        <w:t>in</w:t>
      </w:r>
      <w:r w:rsidR="00BF2E49" w:rsidRPr="00096EE5">
        <w:rPr>
          <w:rFonts w:ascii="Arial" w:hAnsi="Arial" w:cs="Arial"/>
          <w:b w:val="0"/>
          <w:bCs w:val="0"/>
          <w:sz w:val="24"/>
          <w:szCs w:val="24"/>
        </w:rPr>
        <w:t xml:space="preserve"> paragraph 22 of the founding affidavit, which makes reference to RBCT’s </w:t>
      </w:r>
      <w:r w:rsidR="00660CF7" w:rsidRPr="00096EE5">
        <w:rPr>
          <w:rFonts w:ascii="Arial" w:hAnsi="Arial" w:cs="Arial"/>
          <w:b w:val="0"/>
          <w:bCs w:val="0"/>
          <w:sz w:val="24"/>
          <w:szCs w:val="24"/>
        </w:rPr>
        <w:t>‘</w:t>
      </w:r>
      <w:r w:rsidR="00BF2E49" w:rsidRPr="00096EE5">
        <w:rPr>
          <w:rFonts w:ascii="Arial" w:hAnsi="Arial" w:cs="Arial"/>
          <w:b w:val="0"/>
          <w:bCs w:val="0"/>
          <w:sz w:val="24"/>
          <w:szCs w:val="24"/>
        </w:rPr>
        <w:t>unconscionable conduct</w:t>
      </w:r>
      <w:r w:rsidR="00660CF7" w:rsidRPr="00096EE5">
        <w:rPr>
          <w:rFonts w:ascii="Arial" w:hAnsi="Arial" w:cs="Arial"/>
          <w:b w:val="0"/>
          <w:bCs w:val="0"/>
          <w:sz w:val="24"/>
          <w:szCs w:val="24"/>
        </w:rPr>
        <w:t>’</w:t>
      </w:r>
      <w:r w:rsidR="00BF2E49" w:rsidRPr="00096EE5">
        <w:rPr>
          <w:rFonts w:ascii="Arial" w:hAnsi="Arial" w:cs="Arial"/>
          <w:b w:val="0"/>
          <w:bCs w:val="0"/>
          <w:sz w:val="24"/>
          <w:szCs w:val="24"/>
        </w:rPr>
        <w:t xml:space="preserve"> which </w:t>
      </w:r>
      <w:r w:rsidR="00F95AFA" w:rsidRPr="00454736">
        <w:rPr>
          <w:rFonts w:ascii="Arial" w:hAnsi="Arial" w:cs="Arial"/>
          <w:b w:val="0"/>
          <w:bCs w:val="0"/>
          <w:sz w:val="24"/>
          <w:szCs w:val="24"/>
        </w:rPr>
        <w:t>‘</w:t>
      </w:r>
      <w:r w:rsidR="00BF2E49" w:rsidRPr="00454736">
        <w:rPr>
          <w:rFonts w:ascii="Arial" w:hAnsi="Arial" w:cs="Arial"/>
          <w:b w:val="0"/>
          <w:bCs w:val="0"/>
          <w:sz w:val="24"/>
          <w:szCs w:val="24"/>
        </w:rPr>
        <w:t>will</w:t>
      </w:r>
      <w:r w:rsidR="00C67A73" w:rsidRPr="00454736">
        <w:rPr>
          <w:rFonts w:ascii="Arial" w:hAnsi="Arial" w:cs="Arial"/>
          <w:b w:val="0"/>
          <w:bCs w:val="0"/>
          <w:sz w:val="24"/>
          <w:szCs w:val="24"/>
        </w:rPr>
        <w:t xml:space="preserve"> infringe</w:t>
      </w:r>
      <w:r w:rsidR="00E904F9">
        <w:rPr>
          <w:rFonts w:ascii="Arial" w:hAnsi="Arial" w:cs="Arial"/>
          <w:b w:val="0"/>
          <w:bCs w:val="0"/>
          <w:sz w:val="24"/>
          <w:szCs w:val="24"/>
        </w:rPr>
        <w:t xml:space="preserve"> the employees’ rights to fair l</w:t>
      </w:r>
      <w:r w:rsidR="00C67A73" w:rsidRPr="00454736">
        <w:rPr>
          <w:rFonts w:ascii="Arial" w:hAnsi="Arial" w:cs="Arial"/>
          <w:b w:val="0"/>
          <w:bCs w:val="0"/>
          <w:sz w:val="24"/>
          <w:szCs w:val="24"/>
        </w:rPr>
        <w:t xml:space="preserve">abour </w:t>
      </w:r>
      <w:r w:rsidR="00C67A73" w:rsidRPr="00454736">
        <w:rPr>
          <w:rFonts w:ascii="Arial" w:hAnsi="Arial" w:cs="Arial"/>
          <w:b w:val="0"/>
          <w:bCs w:val="0"/>
          <w:sz w:val="24"/>
          <w:szCs w:val="24"/>
        </w:rPr>
        <w:lastRenderedPageBreak/>
        <w:t>practices as e</w:t>
      </w:r>
      <w:r w:rsidR="00E904F9">
        <w:rPr>
          <w:rFonts w:ascii="Arial" w:hAnsi="Arial" w:cs="Arial"/>
          <w:b w:val="0"/>
          <w:bCs w:val="0"/>
          <w:sz w:val="24"/>
          <w:szCs w:val="24"/>
        </w:rPr>
        <w:t>ntrenched in section 23 of the C</w:t>
      </w:r>
      <w:r w:rsidR="00C67A73" w:rsidRPr="00454736">
        <w:rPr>
          <w:rFonts w:ascii="Arial" w:hAnsi="Arial" w:cs="Arial"/>
          <w:b w:val="0"/>
          <w:bCs w:val="0"/>
          <w:sz w:val="24"/>
          <w:szCs w:val="24"/>
        </w:rPr>
        <w:t>onstitution and those contained in the BCEA to payment of other remuneration, and the LRA, including the right to be the employed and the right to fair labour practices</w:t>
      </w:r>
      <w:r w:rsidR="00F95AFA" w:rsidRPr="00454736">
        <w:rPr>
          <w:rFonts w:ascii="Arial" w:hAnsi="Arial" w:cs="Arial"/>
          <w:b w:val="0"/>
          <w:bCs w:val="0"/>
          <w:sz w:val="24"/>
          <w:szCs w:val="24"/>
        </w:rPr>
        <w:t>’</w:t>
      </w:r>
      <w:r w:rsidR="005A571A" w:rsidRPr="00096EE5">
        <w:rPr>
          <w:rFonts w:ascii="Arial" w:hAnsi="Arial" w:cs="Arial"/>
          <w:b w:val="0"/>
          <w:bCs w:val="0"/>
          <w:sz w:val="24"/>
          <w:szCs w:val="24"/>
        </w:rPr>
        <w:t xml:space="preserve">. </w:t>
      </w:r>
    </w:p>
    <w:p w:rsidR="00BF2E49" w:rsidRPr="00096EE5" w:rsidRDefault="006E4DAB" w:rsidP="00C42E08">
      <w:pPr>
        <w:pStyle w:val="Heading2"/>
        <w:shd w:val="clear" w:color="auto" w:fill="FFFFFF"/>
        <w:spacing w:before="240" w:beforeAutospacing="0" w:after="180" w:afterAutospacing="0" w:line="360" w:lineRule="auto"/>
        <w:jc w:val="both"/>
        <w:rPr>
          <w:rFonts w:ascii="Arial" w:hAnsi="Arial" w:cs="Arial"/>
          <w:b w:val="0"/>
          <w:bCs w:val="0"/>
          <w:sz w:val="24"/>
          <w:szCs w:val="24"/>
        </w:rPr>
      </w:pPr>
      <w:r>
        <w:rPr>
          <w:rFonts w:ascii="Arial" w:hAnsi="Arial" w:cs="Arial"/>
          <w:b w:val="0"/>
          <w:bCs w:val="0"/>
          <w:sz w:val="24"/>
          <w:szCs w:val="24"/>
        </w:rPr>
        <w:t>[2</w:t>
      </w:r>
      <w:r w:rsidR="000E311F">
        <w:rPr>
          <w:rFonts w:ascii="Arial" w:hAnsi="Arial" w:cs="Arial"/>
          <w:b w:val="0"/>
          <w:bCs w:val="0"/>
          <w:sz w:val="24"/>
          <w:szCs w:val="24"/>
        </w:rPr>
        <w:t>3</w:t>
      </w:r>
      <w:r>
        <w:rPr>
          <w:rFonts w:ascii="Arial" w:hAnsi="Arial" w:cs="Arial"/>
          <w:b w:val="0"/>
          <w:bCs w:val="0"/>
          <w:sz w:val="24"/>
          <w:szCs w:val="24"/>
        </w:rPr>
        <w:t>]</w:t>
      </w:r>
      <w:r>
        <w:rPr>
          <w:rFonts w:ascii="Arial" w:hAnsi="Arial" w:cs="Arial"/>
          <w:b w:val="0"/>
          <w:bCs w:val="0"/>
          <w:sz w:val="24"/>
          <w:szCs w:val="24"/>
        </w:rPr>
        <w:tab/>
      </w:r>
      <w:r w:rsidR="00660CF7" w:rsidRPr="00096EE5">
        <w:rPr>
          <w:rFonts w:ascii="Arial" w:hAnsi="Arial" w:cs="Arial"/>
          <w:b w:val="0"/>
          <w:bCs w:val="0"/>
          <w:sz w:val="24"/>
          <w:szCs w:val="24"/>
        </w:rPr>
        <w:t>In response</w:t>
      </w:r>
      <w:r w:rsidR="00A9096D" w:rsidRPr="00096EE5">
        <w:rPr>
          <w:rFonts w:ascii="Arial" w:hAnsi="Arial" w:cs="Arial"/>
          <w:b w:val="0"/>
          <w:bCs w:val="0"/>
          <w:sz w:val="24"/>
          <w:szCs w:val="24"/>
        </w:rPr>
        <w:t>,</w:t>
      </w:r>
      <w:r w:rsidR="00660CF7" w:rsidRPr="00096EE5">
        <w:rPr>
          <w:rFonts w:ascii="Arial" w:hAnsi="Arial" w:cs="Arial"/>
          <w:b w:val="0"/>
          <w:bCs w:val="0"/>
          <w:sz w:val="24"/>
          <w:szCs w:val="24"/>
        </w:rPr>
        <w:t xml:space="preserve"> Mr </w:t>
      </w:r>
      <w:r w:rsidR="00660CF7" w:rsidRPr="00096EE5">
        <w:rPr>
          <w:rFonts w:ascii="Arial" w:hAnsi="Arial" w:cs="Arial"/>
          <w:b w:val="0"/>
          <w:bCs w:val="0"/>
          <w:i/>
          <w:sz w:val="24"/>
          <w:szCs w:val="24"/>
        </w:rPr>
        <w:t>Voormolen SC</w:t>
      </w:r>
      <w:r w:rsidR="00660CF7" w:rsidRPr="00096EE5">
        <w:rPr>
          <w:rFonts w:ascii="Arial" w:hAnsi="Arial" w:cs="Arial"/>
          <w:b w:val="0"/>
          <w:bCs w:val="0"/>
          <w:sz w:val="24"/>
          <w:szCs w:val="24"/>
        </w:rPr>
        <w:t xml:space="preserve"> on behalf of RBCT</w:t>
      </w:r>
      <w:r w:rsidR="00BE6471" w:rsidRPr="00096EE5">
        <w:rPr>
          <w:rFonts w:ascii="Arial" w:hAnsi="Arial" w:cs="Arial"/>
          <w:b w:val="0"/>
          <w:bCs w:val="0"/>
          <w:sz w:val="24"/>
          <w:szCs w:val="24"/>
        </w:rPr>
        <w:t>,</w:t>
      </w:r>
      <w:r w:rsidR="00660CF7" w:rsidRPr="00096EE5">
        <w:rPr>
          <w:rFonts w:ascii="Arial" w:hAnsi="Arial" w:cs="Arial"/>
          <w:b w:val="0"/>
          <w:bCs w:val="0"/>
          <w:sz w:val="24"/>
          <w:szCs w:val="24"/>
        </w:rPr>
        <w:t xml:space="preserve"> submitted that there can be no basis for NUM asserting or attempting to enforce rights under s 23 of the Constitution against RBCT in the absence of an employment relationship between RBCT and NUM’s members.  For this reason</w:t>
      </w:r>
      <w:r w:rsidR="000E79FA" w:rsidRPr="00096EE5">
        <w:rPr>
          <w:rFonts w:ascii="Arial" w:hAnsi="Arial" w:cs="Arial"/>
          <w:b w:val="0"/>
          <w:bCs w:val="0"/>
          <w:sz w:val="24"/>
          <w:szCs w:val="24"/>
        </w:rPr>
        <w:t>,</w:t>
      </w:r>
      <w:r w:rsidR="00660CF7" w:rsidRPr="00096EE5">
        <w:rPr>
          <w:rFonts w:ascii="Arial" w:hAnsi="Arial" w:cs="Arial"/>
          <w:b w:val="0"/>
          <w:bCs w:val="0"/>
          <w:sz w:val="24"/>
          <w:szCs w:val="24"/>
        </w:rPr>
        <w:t xml:space="preserve"> it was argued that there </w:t>
      </w:r>
      <w:r w:rsidR="00BE6471" w:rsidRPr="00096EE5">
        <w:rPr>
          <w:rFonts w:ascii="Arial" w:hAnsi="Arial" w:cs="Arial"/>
          <w:b w:val="0"/>
          <w:bCs w:val="0"/>
          <w:sz w:val="24"/>
          <w:szCs w:val="24"/>
        </w:rPr>
        <w:t xml:space="preserve">is </w:t>
      </w:r>
      <w:r w:rsidR="00660CF7" w:rsidRPr="00096EE5">
        <w:rPr>
          <w:rFonts w:ascii="Arial" w:hAnsi="Arial" w:cs="Arial"/>
          <w:b w:val="0"/>
          <w:bCs w:val="0"/>
          <w:sz w:val="24"/>
          <w:szCs w:val="24"/>
        </w:rPr>
        <w:t>no basis in law for NUM to seek relief against RBCT, as to do so would require the assumption of an employment relationship between the parties</w:t>
      </w:r>
      <w:r w:rsidR="00BD7BF6" w:rsidRPr="00096EE5">
        <w:rPr>
          <w:rFonts w:ascii="Arial" w:hAnsi="Arial" w:cs="Arial"/>
          <w:b w:val="0"/>
          <w:bCs w:val="0"/>
          <w:sz w:val="24"/>
          <w:szCs w:val="24"/>
        </w:rPr>
        <w:t>, alternatively</w:t>
      </w:r>
      <w:r w:rsidR="00BE6471" w:rsidRPr="00096EE5">
        <w:rPr>
          <w:rFonts w:ascii="Arial" w:hAnsi="Arial" w:cs="Arial"/>
          <w:b w:val="0"/>
          <w:bCs w:val="0"/>
          <w:sz w:val="24"/>
          <w:szCs w:val="24"/>
        </w:rPr>
        <w:t>,</w:t>
      </w:r>
      <w:r w:rsidR="00BD7BF6" w:rsidRPr="00096EE5">
        <w:rPr>
          <w:rFonts w:ascii="Arial" w:hAnsi="Arial" w:cs="Arial"/>
          <w:b w:val="0"/>
          <w:bCs w:val="0"/>
          <w:sz w:val="24"/>
          <w:szCs w:val="24"/>
        </w:rPr>
        <w:t xml:space="preserve"> creating a contract between the parties where none exist</w:t>
      </w:r>
      <w:r w:rsidR="00454736">
        <w:rPr>
          <w:rFonts w:ascii="Arial" w:hAnsi="Arial" w:cs="Arial"/>
          <w:b w:val="0"/>
          <w:bCs w:val="0"/>
          <w:sz w:val="24"/>
          <w:szCs w:val="24"/>
        </w:rPr>
        <w:t>s</w:t>
      </w:r>
      <w:r w:rsidR="00BD7BF6" w:rsidRPr="00096EE5">
        <w:rPr>
          <w:rFonts w:ascii="Arial" w:hAnsi="Arial" w:cs="Arial"/>
          <w:b w:val="0"/>
          <w:bCs w:val="0"/>
          <w:sz w:val="24"/>
          <w:szCs w:val="24"/>
        </w:rPr>
        <w:t>.</w:t>
      </w:r>
      <w:r w:rsidR="00660CF7" w:rsidRPr="00096EE5">
        <w:rPr>
          <w:rFonts w:ascii="Arial" w:hAnsi="Arial" w:cs="Arial"/>
          <w:b w:val="0"/>
          <w:bCs w:val="0"/>
          <w:sz w:val="24"/>
          <w:szCs w:val="24"/>
        </w:rPr>
        <w:t xml:space="preserve"> If NUM’s members do have a right, it </w:t>
      </w:r>
      <w:r w:rsidR="00BD7BF6" w:rsidRPr="00096EE5">
        <w:rPr>
          <w:rFonts w:ascii="Arial" w:hAnsi="Arial" w:cs="Arial"/>
          <w:b w:val="0"/>
          <w:bCs w:val="0"/>
          <w:sz w:val="24"/>
          <w:szCs w:val="24"/>
        </w:rPr>
        <w:t xml:space="preserve">was submitted, this </w:t>
      </w:r>
      <w:r w:rsidR="00660CF7" w:rsidRPr="00096EE5">
        <w:rPr>
          <w:rFonts w:ascii="Arial" w:hAnsi="Arial" w:cs="Arial"/>
          <w:b w:val="0"/>
          <w:bCs w:val="0"/>
          <w:sz w:val="24"/>
          <w:szCs w:val="24"/>
        </w:rPr>
        <w:t xml:space="preserve">must be asserted against the mini-pit operators. </w:t>
      </w:r>
      <w:r w:rsidR="000A621D" w:rsidRPr="00096EE5">
        <w:rPr>
          <w:rFonts w:ascii="Arial" w:hAnsi="Arial" w:cs="Arial"/>
          <w:b w:val="0"/>
          <w:bCs w:val="0"/>
          <w:sz w:val="24"/>
          <w:szCs w:val="24"/>
        </w:rPr>
        <w:t xml:space="preserve">Moreover, if any parties are to assert a contractual right against RBCT it would be a party to the Shareholder Agreement. NUM does not fall into this category. </w:t>
      </w:r>
      <w:r w:rsidR="00BD7BF6" w:rsidRPr="00096EE5">
        <w:rPr>
          <w:rFonts w:ascii="Arial" w:hAnsi="Arial" w:cs="Arial"/>
          <w:b w:val="0"/>
          <w:bCs w:val="0"/>
          <w:sz w:val="24"/>
          <w:szCs w:val="24"/>
        </w:rPr>
        <w:t>For this reason, amongst others, it was contended that NUM has failed to make out a prima facie case for interim relief.</w:t>
      </w:r>
    </w:p>
    <w:p w:rsidR="00002442" w:rsidRPr="00096EE5" w:rsidRDefault="0021088C" w:rsidP="00C42E08">
      <w:pPr>
        <w:pStyle w:val="Heading2"/>
        <w:shd w:val="clear" w:color="auto" w:fill="FFFFFF"/>
        <w:spacing w:before="240" w:beforeAutospacing="0" w:after="180" w:afterAutospacing="0" w:line="360" w:lineRule="auto"/>
        <w:jc w:val="both"/>
        <w:rPr>
          <w:rFonts w:ascii="Arial" w:hAnsi="Arial" w:cs="Arial"/>
          <w:b w:val="0"/>
          <w:bCs w:val="0"/>
          <w:sz w:val="24"/>
          <w:szCs w:val="24"/>
        </w:rPr>
      </w:pPr>
      <w:r w:rsidRPr="00096EE5">
        <w:rPr>
          <w:rFonts w:ascii="Arial" w:hAnsi="Arial" w:cs="Arial"/>
          <w:b w:val="0"/>
          <w:bCs w:val="0"/>
          <w:sz w:val="24"/>
          <w:szCs w:val="24"/>
        </w:rPr>
        <w:t>[</w:t>
      </w:r>
      <w:r w:rsidR="002D5616" w:rsidRPr="00096EE5">
        <w:rPr>
          <w:rFonts w:ascii="Arial" w:hAnsi="Arial" w:cs="Arial"/>
          <w:b w:val="0"/>
          <w:bCs w:val="0"/>
          <w:sz w:val="24"/>
          <w:szCs w:val="24"/>
        </w:rPr>
        <w:t>2</w:t>
      </w:r>
      <w:r w:rsidR="000E311F">
        <w:rPr>
          <w:rFonts w:ascii="Arial" w:hAnsi="Arial" w:cs="Arial"/>
          <w:b w:val="0"/>
          <w:bCs w:val="0"/>
          <w:sz w:val="24"/>
          <w:szCs w:val="24"/>
        </w:rPr>
        <w:t>4</w:t>
      </w:r>
      <w:r w:rsidRPr="00096EE5">
        <w:rPr>
          <w:rFonts w:ascii="Arial" w:hAnsi="Arial" w:cs="Arial"/>
          <w:b w:val="0"/>
          <w:bCs w:val="0"/>
          <w:sz w:val="24"/>
          <w:szCs w:val="24"/>
        </w:rPr>
        <w:t>]</w:t>
      </w:r>
      <w:r w:rsidRPr="00096EE5">
        <w:rPr>
          <w:rFonts w:ascii="Arial" w:hAnsi="Arial" w:cs="Arial"/>
          <w:b w:val="0"/>
          <w:bCs w:val="0"/>
          <w:sz w:val="24"/>
          <w:szCs w:val="24"/>
        </w:rPr>
        <w:tab/>
      </w:r>
      <w:r w:rsidR="00F37C53" w:rsidRPr="00096EE5">
        <w:rPr>
          <w:rFonts w:ascii="Arial" w:hAnsi="Arial" w:cs="Arial"/>
          <w:b w:val="0"/>
          <w:bCs w:val="0"/>
          <w:sz w:val="24"/>
          <w:szCs w:val="24"/>
        </w:rPr>
        <w:t xml:space="preserve">In so far as NUM is required to show that it will suffer irreparable harm if the ‘status </w:t>
      </w:r>
      <w:r w:rsidR="00454736">
        <w:rPr>
          <w:rFonts w:ascii="Arial" w:hAnsi="Arial" w:cs="Arial"/>
          <w:b w:val="0"/>
          <w:bCs w:val="0"/>
          <w:sz w:val="24"/>
          <w:szCs w:val="24"/>
        </w:rPr>
        <w:t xml:space="preserve">quo </w:t>
      </w:r>
      <w:r w:rsidR="00F37C53" w:rsidRPr="00096EE5">
        <w:rPr>
          <w:rFonts w:ascii="Arial" w:hAnsi="Arial" w:cs="Arial"/>
          <w:b w:val="0"/>
          <w:bCs w:val="0"/>
          <w:sz w:val="24"/>
          <w:szCs w:val="24"/>
        </w:rPr>
        <w:t xml:space="preserve">order’ is not granted, it bears </w:t>
      </w:r>
      <w:r w:rsidR="00E904F9">
        <w:rPr>
          <w:rFonts w:ascii="Arial" w:hAnsi="Arial" w:cs="Arial"/>
          <w:b w:val="0"/>
          <w:bCs w:val="0"/>
          <w:sz w:val="24"/>
          <w:szCs w:val="24"/>
        </w:rPr>
        <w:t xml:space="preserve">noting </w:t>
      </w:r>
      <w:r w:rsidR="00F37C53" w:rsidRPr="00096EE5">
        <w:rPr>
          <w:rFonts w:ascii="Arial" w:hAnsi="Arial" w:cs="Arial"/>
          <w:b w:val="0"/>
          <w:bCs w:val="0"/>
          <w:sz w:val="24"/>
          <w:szCs w:val="24"/>
        </w:rPr>
        <w:t>that the parties intend</w:t>
      </w:r>
      <w:r w:rsidR="00E904F9">
        <w:rPr>
          <w:rFonts w:ascii="Arial" w:hAnsi="Arial" w:cs="Arial"/>
          <w:b w:val="0"/>
          <w:bCs w:val="0"/>
          <w:sz w:val="24"/>
          <w:szCs w:val="24"/>
        </w:rPr>
        <w:t>ed</w:t>
      </w:r>
      <w:r w:rsidR="00F37C53" w:rsidRPr="00096EE5">
        <w:rPr>
          <w:rFonts w:ascii="Arial" w:hAnsi="Arial" w:cs="Arial"/>
          <w:b w:val="0"/>
          <w:bCs w:val="0"/>
          <w:sz w:val="24"/>
          <w:szCs w:val="24"/>
        </w:rPr>
        <w:t xml:space="preserve"> approaching the </w:t>
      </w:r>
      <w:r w:rsidR="00454736">
        <w:rPr>
          <w:rFonts w:ascii="Arial" w:hAnsi="Arial" w:cs="Arial"/>
          <w:b w:val="0"/>
          <w:bCs w:val="0"/>
          <w:sz w:val="24"/>
          <w:szCs w:val="24"/>
        </w:rPr>
        <w:t>J</w:t>
      </w:r>
      <w:r w:rsidR="00F37C53" w:rsidRPr="00096EE5">
        <w:rPr>
          <w:rFonts w:ascii="Arial" w:hAnsi="Arial" w:cs="Arial"/>
          <w:b w:val="0"/>
          <w:bCs w:val="0"/>
          <w:sz w:val="24"/>
          <w:szCs w:val="24"/>
        </w:rPr>
        <w:t xml:space="preserve">udge </w:t>
      </w:r>
      <w:r w:rsidR="00454736">
        <w:rPr>
          <w:rFonts w:ascii="Arial" w:hAnsi="Arial" w:cs="Arial"/>
          <w:b w:val="0"/>
          <w:bCs w:val="0"/>
          <w:sz w:val="24"/>
          <w:szCs w:val="24"/>
        </w:rPr>
        <w:t>P</w:t>
      </w:r>
      <w:r w:rsidR="00F37C53" w:rsidRPr="00096EE5">
        <w:rPr>
          <w:rFonts w:ascii="Arial" w:hAnsi="Arial" w:cs="Arial"/>
          <w:b w:val="0"/>
          <w:bCs w:val="0"/>
          <w:sz w:val="24"/>
          <w:szCs w:val="24"/>
        </w:rPr>
        <w:t xml:space="preserve">resident for an allocation </w:t>
      </w:r>
      <w:r w:rsidR="00A9096D" w:rsidRPr="00096EE5">
        <w:rPr>
          <w:rFonts w:ascii="Arial" w:hAnsi="Arial" w:cs="Arial"/>
          <w:b w:val="0"/>
          <w:bCs w:val="0"/>
          <w:sz w:val="24"/>
          <w:szCs w:val="24"/>
        </w:rPr>
        <w:t>of a</w:t>
      </w:r>
      <w:r w:rsidR="00F37C53" w:rsidRPr="00096EE5">
        <w:rPr>
          <w:rFonts w:ascii="Arial" w:hAnsi="Arial" w:cs="Arial"/>
          <w:b w:val="0"/>
          <w:bCs w:val="0"/>
          <w:sz w:val="24"/>
          <w:szCs w:val="24"/>
        </w:rPr>
        <w:t xml:space="preserve"> </w:t>
      </w:r>
      <w:r w:rsidR="00454736" w:rsidRPr="00096EE5">
        <w:rPr>
          <w:rFonts w:ascii="Arial" w:hAnsi="Arial" w:cs="Arial"/>
          <w:b w:val="0"/>
          <w:bCs w:val="0"/>
          <w:sz w:val="24"/>
          <w:szCs w:val="24"/>
        </w:rPr>
        <w:t>preferment</w:t>
      </w:r>
      <w:r w:rsidR="00F37C53" w:rsidRPr="00096EE5">
        <w:rPr>
          <w:rFonts w:ascii="Arial" w:hAnsi="Arial" w:cs="Arial"/>
          <w:b w:val="0"/>
          <w:bCs w:val="0"/>
          <w:sz w:val="24"/>
          <w:szCs w:val="24"/>
        </w:rPr>
        <w:t xml:space="preserve"> date for the hearing of the main application, possibly </w:t>
      </w:r>
      <w:r w:rsidR="003D144E" w:rsidRPr="00096EE5">
        <w:rPr>
          <w:rFonts w:ascii="Arial" w:hAnsi="Arial" w:cs="Arial"/>
          <w:b w:val="0"/>
          <w:bCs w:val="0"/>
          <w:sz w:val="24"/>
          <w:szCs w:val="24"/>
        </w:rPr>
        <w:t xml:space="preserve">in </w:t>
      </w:r>
      <w:r w:rsidR="00F37C53" w:rsidRPr="00096EE5">
        <w:rPr>
          <w:rFonts w:ascii="Arial" w:hAnsi="Arial" w:cs="Arial"/>
          <w:b w:val="0"/>
          <w:bCs w:val="0"/>
          <w:sz w:val="24"/>
          <w:szCs w:val="24"/>
        </w:rPr>
        <w:t>early March 2023. The proceedings in the main application were launched</w:t>
      </w:r>
      <w:r w:rsidR="003D144E" w:rsidRPr="00096EE5">
        <w:rPr>
          <w:rFonts w:ascii="Arial" w:hAnsi="Arial" w:cs="Arial"/>
          <w:b w:val="0"/>
          <w:bCs w:val="0"/>
          <w:sz w:val="24"/>
          <w:szCs w:val="24"/>
        </w:rPr>
        <w:t xml:space="preserve"> in</w:t>
      </w:r>
      <w:r w:rsidR="00F37C53" w:rsidRPr="00096EE5">
        <w:rPr>
          <w:rFonts w:ascii="Arial" w:hAnsi="Arial" w:cs="Arial"/>
          <w:b w:val="0"/>
          <w:bCs w:val="0"/>
          <w:sz w:val="24"/>
          <w:szCs w:val="24"/>
        </w:rPr>
        <w:t xml:space="preserve"> late January 2023. Th</w:t>
      </w:r>
      <w:r w:rsidR="00092C7F" w:rsidRPr="00096EE5">
        <w:rPr>
          <w:rFonts w:ascii="Arial" w:hAnsi="Arial" w:cs="Arial"/>
          <w:b w:val="0"/>
          <w:bCs w:val="0"/>
          <w:sz w:val="24"/>
          <w:szCs w:val="24"/>
        </w:rPr>
        <w:t>ose proceedings, similarly to this instituted by NUM, seek interim relief pending an arbitration. The question which arises is what material prejudice will NUM suffer between 1</w:t>
      </w:r>
      <w:r w:rsidR="00454736">
        <w:rPr>
          <w:rFonts w:ascii="Arial" w:hAnsi="Arial" w:cs="Arial"/>
          <w:b w:val="0"/>
          <w:bCs w:val="0"/>
          <w:sz w:val="24"/>
          <w:szCs w:val="24"/>
        </w:rPr>
        <w:t>6</w:t>
      </w:r>
      <w:r w:rsidR="00092C7F" w:rsidRPr="00096EE5">
        <w:rPr>
          <w:rFonts w:ascii="Arial" w:hAnsi="Arial" w:cs="Arial"/>
          <w:b w:val="0"/>
          <w:bCs w:val="0"/>
          <w:sz w:val="24"/>
          <w:szCs w:val="24"/>
        </w:rPr>
        <w:t xml:space="preserve"> February 2023 (when this matter was heard) and early March 2023 when the main application is set to be heard? Counsel for NUM submitted that </w:t>
      </w:r>
      <w:r w:rsidR="00E904F9">
        <w:rPr>
          <w:rFonts w:ascii="Arial" w:hAnsi="Arial" w:cs="Arial"/>
          <w:b w:val="0"/>
          <w:bCs w:val="0"/>
          <w:sz w:val="24"/>
          <w:szCs w:val="24"/>
        </w:rPr>
        <w:t xml:space="preserve">its </w:t>
      </w:r>
      <w:r w:rsidR="00092C7F" w:rsidRPr="00096EE5">
        <w:rPr>
          <w:rFonts w:ascii="Arial" w:hAnsi="Arial" w:cs="Arial"/>
          <w:b w:val="0"/>
          <w:bCs w:val="0"/>
          <w:sz w:val="24"/>
          <w:szCs w:val="24"/>
        </w:rPr>
        <w:t xml:space="preserve">members are suffering continuing prejudice by not earning an income following the termination of export facilities at RBCT as at 31 January 2023. However, if this is the case, it would follow that the plight of the </w:t>
      </w:r>
      <w:r w:rsidR="00002442" w:rsidRPr="00096EE5">
        <w:rPr>
          <w:rFonts w:ascii="Arial" w:hAnsi="Arial" w:cs="Arial"/>
          <w:b w:val="0"/>
          <w:bCs w:val="0"/>
          <w:sz w:val="24"/>
          <w:szCs w:val="24"/>
        </w:rPr>
        <w:t>affected miners</w:t>
      </w:r>
      <w:r w:rsidR="00092C7F" w:rsidRPr="00096EE5">
        <w:rPr>
          <w:rFonts w:ascii="Arial" w:hAnsi="Arial" w:cs="Arial"/>
          <w:b w:val="0"/>
          <w:bCs w:val="0"/>
          <w:sz w:val="24"/>
          <w:szCs w:val="24"/>
        </w:rPr>
        <w:t xml:space="preserve"> is no different from that of any employee who has been visited by an unfair labour practice</w:t>
      </w:r>
      <w:r w:rsidR="00002442" w:rsidRPr="00096EE5">
        <w:rPr>
          <w:rFonts w:ascii="Arial" w:hAnsi="Arial" w:cs="Arial"/>
          <w:b w:val="0"/>
          <w:bCs w:val="0"/>
          <w:sz w:val="24"/>
          <w:szCs w:val="24"/>
        </w:rPr>
        <w:t xml:space="preserve">. There is nothing unique that escalates the urgency in this matter compared to any other labour dispute. In any event, NUM has failed to show the irreparable harm that its members would suffer between the date when this application was heard and the date when the main application is to be heard. As stated earlier, the difference in time between the two is probably three weeks.  </w:t>
      </w:r>
    </w:p>
    <w:p w:rsidR="001D2E16" w:rsidRPr="00096EE5" w:rsidRDefault="0021088C" w:rsidP="00C42E08">
      <w:pPr>
        <w:pStyle w:val="Heading2"/>
        <w:shd w:val="clear" w:color="auto" w:fill="FFFFFF"/>
        <w:spacing w:before="240" w:beforeAutospacing="0" w:after="180" w:afterAutospacing="0" w:line="360" w:lineRule="auto"/>
        <w:jc w:val="both"/>
        <w:rPr>
          <w:rFonts w:ascii="Arial" w:hAnsi="Arial" w:cs="Arial"/>
          <w:b w:val="0"/>
          <w:bCs w:val="0"/>
          <w:sz w:val="24"/>
          <w:szCs w:val="24"/>
        </w:rPr>
      </w:pPr>
      <w:r w:rsidRPr="00096EE5">
        <w:rPr>
          <w:rFonts w:ascii="Arial" w:hAnsi="Arial" w:cs="Arial"/>
          <w:b w:val="0"/>
          <w:bCs w:val="0"/>
          <w:sz w:val="24"/>
          <w:szCs w:val="24"/>
        </w:rPr>
        <w:lastRenderedPageBreak/>
        <w:t>[</w:t>
      </w:r>
      <w:r w:rsidR="000E311F">
        <w:rPr>
          <w:rFonts w:ascii="Arial" w:hAnsi="Arial" w:cs="Arial"/>
          <w:b w:val="0"/>
          <w:bCs w:val="0"/>
          <w:sz w:val="24"/>
          <w:szCs w:val="24"/>
        </w:rPr>
        <w:t>25</w:t>
      </w:r>
      <w:r w:rsidRPr="00096EE5">
        <w:rPr>
          <w:rFonts w:ascii="Arial" w:hAnsi="Arial" w:cs="Arial"/>
          <w:b w:val="0"/>
          <w:bCs w:val="0"/>
          <w:sz w:val="24"/>
          <w:szCs w:val="24"/>
        </w:rPr>
        <w:t>]</w:t>
      </w:r>
      <w:r w:rsidRPr="00096EE5">
        <w:rPr>
          <w:rFonts w:ascii="Arial" w:hAnsi="Arial" w:cs="Arial"/>
          <w:b w:val="0"/>
          <w:bCs w:val="0"/>
          <w:sz w:val="24"/>
          <w:szCs w:val="24"/>
        </w:rPr>
        <w:tab/>
      </w:r>
      <w:r w:rsidR="00002442" w:rsidRPr="00096EE5">
        <w:rPr>
          <w:rFonts w:ascii="Arial" w:hAnsi="Arial" w:cs="Arial"/>
          <w:b w:val="0"/>
          <w:bCs w:val="0"/>
          <w:sz w:val="24"/>
          <w:szCs w:val="24"/>
        </w:rPr>
        <w:t xml:space="preserve">As to whether NUM’s members have no alternate relief other than to have approached the court on an urgent basis, there is a dispute between the versions of the parties. NUM states that its members are in desperate circumstances, as many of them support extended families. Almost all reside in an area where there </w:t>
      </w:r>
      <w:r w:rsidR="00975623" w:rsidRPr="00096EE5">
        <w:rPr>
          <w:rFonts w:ascii="Arial" w:hAnsi="Arial" w:cs="Arial"/>
          <w:b w:val="0"/>
          <w:bCs w:val="0"/>
          <w:sz w:val="24"/>
          <w:szCs w:val="24"/>
        </w:rPr>
        <w:t xml:space="preserve">are </w:t>
      </w:r>
      <w:r w:rsidR="00002442" w:rsidRPr="00096EE5">
        <w:rPr>
          <w:rFonts w:ascii="Arial" w:hAnsi="Arial" w:cs="Arial"/>
          <w:b w:val="0"/>
          <w:bCs w:val="0"/>
          <w:sz w:val="24"/>
          <w:szCs w:val="24"/>
        </w:rPr>
        <w:t>no alternate employment opportunities available. On the other hand</w:t>
      </w:r>
      <w:r w:rsidR="003228B4" w:rsidRPr="00096EE5">
        <w:rPr>
          <w:rFonts w:ascii="Arial" w:hAnsi="Arial" w:cs="Arial"/>
          <w:b w:val="0"/>
          <w:bCs w:val="0"/>
          <w:sz w:val="24"/>
          <w:szCs w:val="24"/>
        </w:rPr>
        <w:t>,</w:t>
      </w:r>
      <w:r w:rsidR="00975623" w:rsidRPr="00096EE5">
        <w:rPr>
          <w:rFonts w:ascii="Arial" w:hAnsi="Arial" w:cs="Arial"/>
          <w:b w:val="0"/>
          <w:bCs w:val="0"/>
          <w:sz w:val="24"/>
          <w:szCs w:val="24"/>
        </w:rPr>
        <w:t xml:space="preserve"> RBCT dispute</w:t>
      </w:r>
      <w:r w:rsidR="000A4455" w:rsidRPr="00096EE5">
        <w:rPr>
          <w:rFonts w:ascii="Arial" w:hAnsi="Arial" w:cs="Arial"/>
          <w:b w:val="0"/>
          <w:bCs w:val="0"/>
          <w:sz w:val="24"/>
          <w:szCs w:val="24"/>
        </w:rPr>
        <w:t>s</w:t>
      </w:r>
      <w:r w:rsidR="00975623" w:rsidRPr="00096EE5">
        <w:rPr>
          <w:rFonts w:ascii="Arial" w:hAnsi="Arial" w:cs="Arial"/>
          <w:b w:val="0"/>
          <w:bCs w:val="0"/>
          <w:sz w:val="24"/>
          <w:szCs w:val="24"/>
        </w:rPr>
        <w:t xml:space="preserve"> this contention, relying on an investigation which it conducted in November 2022 into the operations of OCT and OCM. In this regard RBCT states in its answering affidavit that it commissioned a technical assessment by Isandla Coal Consulting</w:t>
      </w:r>
      <w:r w:rsidR="000A4455" w:rsidRPr="00096EE5">
        <w:rPr>
          <w:rFonts w:ascii="Arial" w:hAnsi="Arial" w:cs="Arial"/>
          <w:b w:val="0"/>
          <w:bCs w:val="0"/>
          <w:sz w:val="24"/>
          <w:szCs w:val="24"/>
        </w:rPr>
        <w:t>,</w:t>
      </w:r>
      <w:r w:rsidR="00975623" w:rsidRPr="00096EE5">
        <w:rPr>
          <w:rFonts w:ascii="Arial" w:hAnsi="Arial" w:cs="Arial"/>
          <w:b w:val="0"/>
          <w:bCs w:val="0"/>
          <w:sz w:val="24"/>
          <w:szCs w:val="24"/>
        </w:rPr>
        <w:t xml:space="preserve"> an independent consultant, into the operations of OCM and the current </w:t>
      </w:r>
      <w:r w:rsidR="00411B11" w:rsidRPr="00096EE5">
        <w:rPr>
          <w:rFonts w:ascii="Arial" w:hAnsi="Arial" w:cs="Arial"/>
          <w:b w:val="0"/>
          <w:bCs w:val="0"/>
          <w:sz w:val="24"/>
          <w:szCs w:val="24"/>
        </w:rPr>
        <w:t>m</w:t>
      </w:r>
      <w:r w:rsidR="00975623" w:rsidRPr="00096EE5">
        <w:rPr>
          <w:rFonts w:ascii="Arial" w:hAnsi="Arial" w:cs="Arial"/>
          <w:b w:val="0"/>
          <w:bCs w:val="0"/>
          <w:sz w:val="24"/>
          <w:szCs w:val="24"/>
        </w:rPr>
        <w:t>ini-</w:t>
      </w:r>
      <w:r w:rsidR="00411B11" w:rsidRPr="00096EE5">
        <w:rPr>
          <w:rFonts w:ascii="Arial" w:hAnsi="Arial" w:cs="Arial"/>
          <w:b w:val="0"/>
          <w:bCs w:val="0"/>
          <w:sz w:val="24"/>
          <w:szCs w:val="24"/>
        </w:rPr>
        <w:t>p</w:t>
      </w:r>
      <w:r w:rsidR="00975623" w:rsidRPr="00096EE5">
        <w:rPr>
          <w:rFonts w:ascii="Arial" w:hAnsi="Arial" w:cs="Arial"/>
          <w:b w:val="0"/>
          <w:bCs w:val="0"/>
          <w:sz w:val="24"/>
          <w:szCs w:val="24"/>
        </w:rPr>
        <w:t xml:space="preserve">it </w:t>
      </w:r>
      <w:r w:rsidR="00F95AFA" w:rsidRPr="00096EE5">
        <w:rPr>
          <w:rFonts w:ascii="Arial" w:hAnsi="Arial" w:cs="Arial"/>
          <w:b w:val="0"/>
          <w:bCs w:val="0"/>
          <w:sz w:val="24"/>
          <w:szCs w:val="24"/>
        </w:rPr>
        <w:t>o</w:t>
      </w:r>
      <w:r w:rsidR="00975623" w:rsidRPr="00096EE5">
        <w:rPr>
          <w:rFonts w:ascii="Arial" w:hAnsi="Arial" w:cs="Arial"/>
          <w:b w:val="0"/>
          <w:bCs w:val="0"/>
          <w:sz w:val="24"/>
          <w:szCs w:val="24"/>
        </w:rPr>
        <w:t>perat</w:t>
      </w:r>
      <w:r w:rsidR="00EE5D1B" w:rsidRPr="00096EE5">
        <w:rPr>
          <w:rFonts w:ascii="Arial" w:hAnsi="Arial" w:cs="Arial"/>
          <w:b w:val="0"/>
          <w:bCs w:val="0"/>
          <w:sz w:val="24"/>
          <w:szCs w:val="24"/>
        </w:rPr>
        <w:t>ors</w:t>
      </w:r>
      <w:r w:rsidR="00975623" w:rsidRPr="00096EE5">
        <w:rPr>
          <w:rFonts w:ascii="Arial" w:hAnsi="Arial" w:cs="Arial"/>
          <w:b w:val="0"/>
          <w:bCs w:val="0"/>
          <w:sz w:val="24"/>
          <w:szCs w:val="24"/>
        </w:rPr>
        <w:t>. The aim of the assessment was to verify the existence of and the scale of various mining operations, as well as the output of coal. According to the assessment, OCM enables coal mining activities by five mini</w:t>
      </w:r>
      <w:r w:rsidR="00411B11" w:rsidRPr="00096EE5">
        <w:rPr>
          <w:rFonts w:ascii="Arial" w:hAnsi="Arial" w:cs="Arial"/>
          <w:b w:val="0"/>
          <w:bCs w:val="0"/>
          <w:sz w:val="24"/>
          <w:szCs w:val="24"/>
        </w:rPr>
        <w:t>-</w:t>
      </w:r>
      <w:r w:rsidR="00975623" w:rsidRPr="00096EE5">
        <w:rPr>
          <w:rFonts w:ascii="Arial" w:hAnsi="Arial" w:cs="Arial"/>
          <w:b w:val="0"/>
          <w:bCs w:val="0"/>
          <w:sz w:val="24"/>
          <w:szCs w:val="24"/>
        </w:rPr>
        <w:t>pit mining contractors from sites, producing approximately 910</w:t>
      </w:r>
      <w:r w:rsidR="00EE5D1B" w:rsidRPr="00096EE5">
        <w:rPr>
          <w:rFonts w:ascii="Arial" w:hAnsi="Arial" w:cs="Arial"/>
          <w:b w:val="0"/>
          <w:bCs w:val="0"/>
          <w:sz w:val="24"/>
          <w:szCs w:val="24"/>
        </w:rPr>
        <w:t xml:space="preserve"> </w:t>
      </w:r>
      <w:r w:rsidR="00975623" w:rsidRPr="00096EE5">
        <w:rPr>
          <w:rFonts w:ascii="Arial" w:hAnsi="Arial" w:cs="Arial"/>
          <w:b w:val="0"/>
          <w:bCs w:val="0"/>
          <w:sz w:val="24"/>
          <w:szCs w:val="24"/>
        </w:rPr>
        <w:t>000 tonnes per month. In contrast, according to RBCT’s records, prior to 31 January 2023, approximately only 300</w:t>
      </w:r>
      <w:r w:rsidR="00EE5D1B" w:rsidRPr="00096EE5">
        <w:rPr>
          <w:rFonts w:ascii="Arial" w:hAnsi="Arial" w:cs="Arial"/>
          <w:b w:val="0"/>
          <w:bCs w:val="0"/>
          <w:sz w:val="24"/>
          <w:szCs w:val="24"/>
        </w:rPr>
        <w:t xml:space="preserve"> 000 </w:t>
      </w:r>
      <w:r w:rsidR="00975623" w:rsidRPr="00096EE5">
        <w:rPr>
          <w:rFonts w:ascii="Arial" w:hAnsi="Arial" w:cs="Arial"/>
          <w:b w:val="0"/>
          <w:bCs w:val="0"/>
          <w:sz w:val="24"/>
          <w:szCs w:val="24"/>
        </w:rPr>
        <w:t>tonnes of coal per month were exported through its facility, utilising OCT’s entitlement.</w:t>
      </w:r>
      <w:r w:rsidR="00347EA1" w:rsidRPr="00096EE5">
        <w:rPr>
          <w:rFonts w:ascii="Arial" w:hAnsi="Arial" w:cs="Arial"/>
          <w:b w:val="0"/>
          <w:bCs w:val="0"/>
          <w:sz w:val="24"/>
          <w:szCs w:val="24"/>
        </w:rPr>
        <w:t xml:space="preserve"> This raises the spectre that a significant amount of coal is being extracted from OCM mining sites, but which is not making its way through RBCT</w:t>
      </w:r>
      <w:r w:rsidR="004C0702" w:rsidRPr="00096EE5">
        <w:rPr>
          <w:rFonts w:ascii="Arial" w:hAnsi="Arial" w:cs="Arial"/>
          <w:b w:val="0"/>
          <w:bCs w:val="0"/>
          <w:sz w:val="24"/>
          <w:szCs w:val="24"/>
        </w:rPr>
        <w:t>’s</w:t>
      </w:r>
      <w:r w:rsidR="00347EA1" w:rsidRPr="00096EE5">
        <w:rPr>
          <w:rFonts w:ascii="Arial" w:hAnsi="Arial" w:cs="Arial"/>
          <w:b w:val="0"/>
          <w:bCs w:val="0"/>
          <w:sz w:val="24"/>
          <w:szCs w:val="24"/>
        </w:rPr>
        <w:t xml:space="preserve"> export facility. It follows then that </w:t>
      </w:r>
      <w:r w:rsidR="00A9096D" w:rsidRPr="00096EE5">
        <w:rPr>
          <w:rFonts w:ascii="Arial" w:hAnsi="Arial" w:cs="Arial"/>
          <w:b w:val="0"/>
          <w:bCs w:val="0"/>
          <w:sz w:val="24"/>
          <w:szCs w:val="24"/>
        </w:rPr>
        <w:t>t</w:t>
      </w:r>
      <w:r w:rsidR="00347EA1" w:rsidRPr="00096EE5">
        <w:rPr>
          <w:rFonts w:ascii="Arial" w:hAnsi="Arial" w:cs="Arial"/>
          <w:b w:val="0"/>
          <w:bCs w:val="0"/>
          <w:sz w:val="24"/>
          <w:szCs w:val="24"/>
        </w:rPr>
        <w:t xml:space="preserve">he mini-pit operators, and by necessary implication the NUM members who are employed at these sites, are able to secure alternate sources of income other than </w:t>
      </w:r>
      <w:r w:rsidR="00E904F9">
        <w:rPr>
          <w:rFonts w:ascii="Arial" w:hAnsi="Arial" w:cs="Arial"/>
          <w:b w:val="0"/>
          <w:bCs w:val="0"/>
          <w:sz w:val="24"/>
          <w:szCs w:val="24"/>
        </w:rPr>
        <w:t xml:space="preserve">through </w:t>
      </w:r>
      <w:r w:rsidR="00347EA1" w:rsidRPr="00096EE5">
        <w:rPr>
          <w:rFonts w:ascii="Arial" w:hAnsi="Arial" w:cs="Arial"/>
          <w:b w:val="0"/>
          <w:bCs w:val="0"/>
          <w:sz w:val="24"/>
          <w:szCs w:val="24"/>
        </w:rPr>
        <w:t xml:space="preserve">the export of coal </w:t>
      </w:r>
      <w:r w:rsidR="00E904F9">
        <w:rPr>
          <w:rFonts w:ascii="Arial" w:hAnsi="Arial" w:cs="Arial"/>
          <w:b w:val="0"/>
          <w:bCs w:val="0"/>
          <w:sz w:val="24"/>
          <w:szCs w:val="24"/>
        </w:rPr>
        <w:t xml:space="preserve">via </w:t>
      </w:r>
      <w:r w:rsidR="00347EA1" w:rsidRPr="00096EE5">
        <w:rPr>
          <w:rFonts w:ascii="Arial" w:hAnsi="Arial" w:cs="Arial"/>
          <w:b w:val="0"/>
          <w:bCs w:val="0"/>
          <w:sz w:val="24"/>
          <w:szCs w:val="24"/>
        </w:rPr>
        <w:t xml:space="preserve">RBCT. </w:t>
      </w:r>
      <w:r w:rsidR="00E904F9">
        <w:rPr>
          <w:rFonts w:ascii="Arial" w:hAnsi="Arial" w:cs="Arial"/>
          <w:b w:val="0"/>
          <w:bCs w:val="0"/>
          <w:sz w:val="24"/>
          <w:szCs w:val="24"/>
        </w:rPr>
        <w:t>The miners have, it would seem from the independent report, a significant source of income on which to rely, other than revenue earned from coal exported through RBCT.</w:t>
      </w:r>
    </w:p>
    <w:p w:rsidR="00086E65" w:rsidRPr="00096EE5" w:rsidRDefault="0021088C" w:rsidP="00C42E08">
      <w:pPr>
        <w:pStyle w:val="Heading2"/>
        <w:shd w:val="clear" w:color="auto" w:fill="FFFFFF"/>
        <w:spacing w:before="0" w:beforeAutospacing="0" w:after="0" w:afterAutospacing="0" w:line="360" w:lineRule="auto"/>
        <w:jc w:val="both"/>
        <w:rPr>
          <w:rFonts w:ascii="Arial" w:hAnsi="Arial" w:cs="Arial"/>
          <w:b w:val="0"/>
          <w:bCs w:val="0"/>
          <w:sz w:val="24"/>
          <w:szCs w:val="24"/>
        </w:rPr>
      </w:pPr>
      <w:r w:rsidRPr="00096EE5">
        <w:rPr>
          <w:rFonts w:ascii="Arial" w:hAnsi="Arial" w:cs="Arial"/>
          <w:b w:val="0"/>
          <w:bCs w:val="0"/>
          <w:sz w:val="24"/>
          <w:szCs w:val="24"/>
        </w:rPr>
        <w:t>[2</w:t>
      </w:r>
      <w:r w:rsidR="000E311F">
        <w:rPr>
          <w:rFonts w:ascii="Arial" w:hAnsi="Arial" w:cs="Arial"/>
          <w:b w:val="0"/>
          <w:bCs w:val="0"/>
          <w:sz w:val="24"/>
          <w:szCs w:val="24"/>
        </w:rPr>
        <w:t>6</w:t>
      </w:r>
      <w:r w:rsidRPr="00096EE5">
        <w:rPr>
          <w:rFonts w:ascii="Arial" w:hAnsi="Arial" w:cs="Arial"/>
          <w:b w:val="0"/>
          <w:bCs w:val="0"/>
          <w:sz w:val="24"/>
          <w:szCs w:val="24"/>
        </w:rPr>
        <w:t>]</w:t>
      </w:r>
      <w:r w:rsidRPr="00096EE5">
        <w:rPr>
          <w:rFonts w:ascii="Arial" w:hAnsi="Arial" w:cs="Arial"/>
          <w:b w:val="0"/>
          <w:bCs w:val="0"/>
          <w:sz w:val="24"/>
          <w:szCs w:val="24"/>
        </w:rPr>
        <w:tab/>
      </w:r>
      <w:r w:rsidR="001D2E16" w:rsidRPr="00096EE5">
        <w:rPr>
          <w:rFonts w:ascii="Arial" w:hAnsi="Arial" w:cs="Arial"/>
          <w:b w:val="0"/>
          <w:bCs w:val="0"/>
          <w:sz w:val="24"/>
          <w:szCs w:val="24"/>
        </w:rPr>
        <w:t xml:space="preserve">A dispute of fact arises on the papers in that NUM contends that its members will lose their </w:t>
      </w:r>
      <w:r w:rsidR="001D2E16" w:rsidRPr="00454736">
        <w:rPr>
          <w:rFonts w:ascii="Arial" w:hAnsi="Arial" w:cs="Arial"/>
          <w:b w:val="0"/>
          <w:bCs w:val="0"/>
          <w:sz w:val="24"/>
          <w:szCs w:val="24"/>
        </w:rPr>
        <w:t xml:space="preserve">jobs </w:t>
      </w:r>
      <w:r w:rsidR="00D00DB5" w:rsidRPr="00454736">
        <w:rPr>
          <w:rFonts w:ascii="Arial" w:hAnsi="Arial" w:cs="Arial"/>
          <w:b w:val="0"/>
          <w:bCs w:val="0"/>
          <w:sz w:val="24"/>
          <w:szCs w:val="24"/>
        </w:rPr>
        <w:t>‘</w:t>
      </w:r>
      <w:r w:rsidR="001D2E16" w:rsidRPr="00454736">
        <w:rPr>
          <w:rFonts w:ascii="Arial" w:hAnsi="Arial" w:cs="Arial"/>
          <w:b w:val="0"/>
          <w:bCs w:val="0"/>
          <w:sz w:val="24"/>
          <w:szCs w:val="24"/>
        </w:rPr>
        <w:t>if OCM is precluded one day longer from exporting its coal through the Richards Bay terminal access to which is wholly controlled by RBCT</w:t>
      </w:r>
      <w:r w:rsidR="00D00DB5" w:rsidRPr="00454736">
        <w:rPr>
          <w:rFonts w:ascii="Arial" w:hAnsi="Arial" w:cs="Arial"/>
          <w:b w:val="0"/>
          <w:bCs w:val="0"/>
          <w:sz w:val="24"/>
          <w:szCs w:val="24"/>
        </w:rPr>
        <w:t>’</w:t>
      </w:r>
      <w:r w:rsidR="001D2E16" w:rsidRPr="00454736">
        <w:rPr>
          <w:rFonts w:ascii="Arial" w:hAnsi="Arial" w:cs="Arial"/>
          <w:b w:val="0"/>
          <w:bCs w:val="0"/>
          <w:sz w:val="24"/>
          <w:szCs w:val="24"/>
        </w:rPr>
        <w:t xml:space="preserve">. It further contends that the </w:t>
      </w:r>
      <w:r w:rsidR="00D00DB5" w:rsidRPr="00454736">
        <w:rPr>
          <w:rFonts w:ascii="Arial" w:hAnsi="Arial" w:cs="Arial"/>
          <w:b w:val="0"/>
          <w:bCs w:val="0"/>
          <w:sz w:val="24"/>
          <w:szCs w:val="24"/>
        </w:rPr>
        <w:t>‘</w:t>
      </w:r>
      <w:r w:rsidR="001D2E16" w:rsidRPr="00454736">
        <w:rPr>
          <w:rFonts w:ascii="Arial" w:hAnsi="Arial" w:cs="Arial"/>
          <w:b w:val="0"/>
          <w:bCs w:val="0"/>
          <w:sz w:val="24"/>
          <w:szCs w:val="24"/>
        </w:rPr>
        <w:t>affected workers (who are innocent victims) should not have to endure such extreme hardship merely because the main application has not yet been accommodated by the court as a result of scarce judicial resources</w:t>
      </w:r>
      <w:r w:rsidR="00D00DB5" w:rsidRPr="00454736">
        <w:rPr>
          <w:rFonts w:ascii="Arial" w:hAnsi="Arial" w:cs="Arial"/>
          <w:b w:val="0"/>
          <w:bCs w:val="0"/>
          <w:sz w:val="24"/>
          <w:szCs w:val="24"/>
        </w:rPr>
        <w:t>’</w:t>
      </w:r>
      <w:r w:rsidR="001D2E16" w:rsidRPr="00096EE5">
        <w:rPr>
          <w:rFonts w:ascii="Arial" w:hAnsi="Arial" w:cs="Arial"/>
          <w:b w:val="0"/>
          <w:bCs w:val="0"/>
          <w:sz w:val="24"/>
          <w:szCs w:val="24"/>
        </w:rPr>
        <w:t xml:space="preserve">. </w:t>
      </w:r>
      <w:r w:rsidR="001443CD" w:rsidRPr="00096EE5">
        <w:rPr>
          <w:rFonts w:ascii="Arial" w:hAnsi="Arial" w:cs="Arial"/>
          <w:b w:val="0"/>
          <w:bCs w:val="0"/>
          <w:sz w:val="24"/>
          <w:szCs w:val="24"/>
        </w:rPr>
        <w:t xml:space="preserve">Counsel for NUM placed heavy reliance on the </w:t>
      </w:r>
      <w:r w:rsidR="00BF5AC9" w:rsidRPr="00096EE5">
        <w:rPr>
          <w:rFonts w:ascii="Arial" w:hAnsi="Arial" w:cs="Arial"/>
          <w:b w:val="0"/>
          <w:bCs w:val="0"/>
          <w:sz w:val="24"/>
          <w:szCs w:val="24"/>
        </w:rPr>
        <w:t xml:space="preserve">English </w:t>
      </w:r>
      <w:r w:rsidR="001443CD" w:rsidRPr="00096EE5">
        <w:rPr>
          <w:rFonts w:ascii="Arial" w:hAnsi="Arial" w:cs="Arial"/>
          <w:b w:val="0"/>
          <w:bCs w:val="0"/>
          <w:sz w:val="24"/>
          <w:szCs w:val="24"/>
        </w:rPr>
        <w:t xml:space="preserve">decision </w:t>
      </w:r>
      <w:r w:rsidR="00BF5AC9" w:rsidRPr="00096EE5">
        <w:rPr>
          <w:rFonts w:ascii="Arial" w:hAnsi="Arial" w:cs="Arial"/>
          <w:b w:val="0"/>
          <w:bCs w:val="0"/>
          <w:sz w:val="24"/>
          <w:szCs w:val="24"/>
        </w:rPr>
        <w:t xml:space="preserve">of </w:t>
      </w:r>
      <w:r w:rsidR="00BF5AC9" w:rsidRPr="00096EE5">
        <w:rPr>
          <w:rFonts w:ascii="Arial" w:hAnsi="Arial" w:cs="Arial"/>
          <w:b w:val="0"/>
          <w:bCs w:val="0"/>
          <w:i/>
          <w:sz w:val="24"/>
          <w:szCs w:val="24"/>
        </w:rPr>
        <w:t>American Cyanamid v Ethicon Ltd</w:t>
      </w:r>
      <w:r w:rsidR="004C6FB0" w:rsidRPr="00096EE5">
        <w:rPr>
          <w:rFonts w:ascii="Arial" w:hAnsi="Arial" w:cs="Arial"/>
          <w:b w:val="0"/>
          <w:bCs w:val="0"/>
          <w:sz w:val="24"/>
          <w:szCs w:val="24"/>
        </w:rPr>
        <w:t xml:space="preserve"> [1975] 1 All ER 504 (HL) </w:t>
      </w:r>
      <w:r w:rsidR="00B92D10" w:rsidRPr="00096EE5">
        <w:rPr>
          <w:rFonts w:ascii="Arial" w:hAnsi="Arial" w:cs="Arial"/>
          <w:b w:val="0"/>
          <w:bCs w:val="0"/>
          <w:sz w:val="24"/>
          <w:szCs w:val="24"/>
        </w:rPr>
        <w:t xml:space="preserve">at 511b-c </w:t>
      </w:r>
      <w:r w:rsidR="004C6FB0" w:rsidRPr="00096EE5">
        <w:rPr>
          <w:rFonts w:ascii="Arial" w:hAnsi="Arial" w:cs="Arial"/>
          <w:b w:val="0"/>
          <w:bCs w:val="0"/>
          <w:sz w:val="24"/>
          <w:szCs w:val="24"/>
        </w:rPr>
        <w:t xml:space="preserve">where the </w:t>
      </w:r>
      <w:r w:rsidR="000E79FA" w:rsidRPr="00096EE5">
        <w:rPr>
          <w:rFonts w:ascii="Arial" w:hAnsi="Arial" w:cs="Arial"/>
          <w:b w:val="0"/>
          <w:bCs w:val="0"/>
          <w:sz w:val="24"/>
          <w:szCs w:val="24"/>
        </w:rPr>
        <w:t>c</w:t>
      </w:r>
      <w:r w:rsidR="004C6FB0" w:rsidRPr="00096EE5">
        <w:rPr>
          <w:rFonts w:ascii="Arial" w:hAnsi="Arial" w:cs="Arial"/>
          <w:b w:val="0"/>
          <w:bCs w:val="0"/>
          <w:sz w:val="24"/>
          <w:szCs w:val="24"/>
        </w:rPr>
        <w:t xml:space="preserve">ourt </w:t>
      </w:r>
      <w:r w:rsidR="00125E99" w:rsidRPr="00096EE5">
        <w:rPr>
          <w:rFonts w:ascii="Arial" w:hAnsi="Arial" w:cs="Arial"/>
          <w:b w:val="0"/>
          <w:bCs w:val="0"/>
          <w:sz w:val="24"/>
          <w:szCs w:val="24"/>
        </w:rPr>
        <w:t>stated:</w:t>
      </w:r>
      <w:r w:rsidR="004C6FB0" w:rsidRPr="00096EE5">
        <w:rPr>
          <w:rFonts w:ascii="Arial" w:hAnsi="Arial" w:cs="Arial"/>
          <w:b w:val="0"/>
          <w:bCs w:val="0"/>
          <w:sz w:val="24"/>
          <w:szCs w:val="24"/>
        </w:rPr>
        <w:t xml:space="preserve"> </w:t>
      </w:r>
    </w:p>
    <w:p w:rsidR="004C6FB0" w:rsidRPr="00096EE5" w:rsidRDefault="002D5616" w:rsidP="00C42E08">
      <w:pPr>
        <w:spacing w:line="360" w:lineRule="auto"/>
        <w:jc w:val="both"/>
        <w:rPr>
          <w:rFonts w:ascii="Arial" w:hAnsi="Arial" w:cs="Arial"/>
        </w:rPr>
      </w:pPr>
      <w:r w:rsidRPr="00096EE5">
        <w:rPr>
          <w:rFonts w:ascii="Arial" w:hAnsi="Arial" w:cs="Arial"/>
        </w:rPr>
        <w:t>‘</w:t>
      </w:r>
      <w:r w:rsidR="004C6FB0" w:rsidRPr="00096EE5">
        <w:rPr>
          <w:rFonts w:ascii="Arial" w:hAnsi="Arial" w:cs="Arial"/>
        </w:rPr>
        <w:t xml:space="preserve">Where other factors appear to be evenly balanced it is a counsel of prudence to take such measures as are calculated to preserve the status quo. If the defendant is enjoined temporarily from doing something that he has not done before, the only effect of the interlocutory injunction </w:t>
      </w:r>
      <w:r w:rsidR="004C6FB0" w:rsidRPr="00096EE5">
        <w:rPr>
          <w:rFonts w:ascii="Arial" w:hAnsi="Arial" w:cs="Arial"/>
        </w:rPr>
        <w:lastRenderedPageBreak/>
        <w:t>in the event of his succeeding at the trial is to postpone the date at which he is able to embark on a course of action which he has not previously found it necessary to undertake; whereas to interrupt him in the conduct of an established enterprise would cause much greater inconvenience to him since he would have to start again to establish it in the event of his succeeding at the trial.</w:t>
      </w:r>
      <w:r w:rsidRPr="00096EE5">
        <w:rPr>
          <w:rFonts w:ascii="Arial" w:hAnsi="Arial" w:cs="Arial"/>
        </w:rPr>
        <w:t>’</w:t>
      </w:r>
    </w:p>
    <w:p w:rsidR="00BF5AC9" w:rsidRPr="00096EE5" w:rsidRDefault="00BF5AC9" w:rsidP="00C42E08">
      <w:pPr>
        <w:spacing w:line="360" w:lineRule="auto"/>
        <w:jc w:val="both"/>
        <w:rPr>
          <w:rFonts w:ascii="Arial" w:eastAsia="Times New Roman" w:hAnsi="Arial" w:cs="Arial"/>
          <w:vanish/>
          <w:highlight w:val="yellow"/>
        </w:rPr>
      </w:pPr>
    </w:p>
    <w:tbl>
      <w:tblPr>
        <w:tblW w:w="100" w:type="pct"/>
        <w:tblCellSpacing w:w="0" w:type="dxa"/>
        <w:tblCellMar>
          <w:left w:w="0" w:type="dxa"/>
          <w:right w:w="0" w:type="dxa"/>
        </w:tblCellMar>
        <w:tblLook w:val="04A0" w:firstRow="1" w:lastRow="0" w:firstColumn="1" w:lastColumn="0" w:noHBand="0" w:noVBand="1"/>
      </w:tblPr>
      <w:tblGrid>
        <w:gridCol w:w="181"/>
      </w:tblGrid>
      <w:tr w:rsidR="002D5616" w:rsidRPr="00096EE5" w:rsidTr="004C6FB0">
        <w:trPr>
          <w:tblCellSpacing w:w="0" w:type="dxa"/>
        </w:trPr>
        <w:tc>
          <w:tcPr>
            <w:tcW w:w="5000" w:type="pct"/>
            <w:hideMark/>
          </w:tcPr>
          <w:p w:rsidR="004C6FB0" w:rsidRPr="00096EE5" w:rsidRDefault="004C6FB0" w:rsidP="00C42E08">
            <w:pPr>
              <w:spacing w:line="360" w:lineRule="auto"/>
              <w:jc w:val="both"/>
              <w:rPr>
                <w:rFonts w:ascii="Arial" w:eastAsia="Times New Roman" w:hAnsi="Arial" w:cs="Arial"/>
                <w:sz w:val="20"/>
                <w:szCs w:val="20"/>
                <w:highlight w:val="yellow"/>
              </w:rPr>
            </w:pPr>
          </w:p>
        </w:tc>
      </w:tr>
    </w:tbl>
    <w:p w:rsidR="00DA15D7" w:rsidRPr="00096EE5" w:rsidRDefault="0021088C" w:rsidP="00C42E08">
      <w:pPr>
        <w:pStyle w:val="ListParagraph"/>
        <w:spacing w:line="360" w:lineRule="auto"/>
        <w:ind w:left="0"/>
        <w:jc w:val="both"/>
        <w:rPr>
          <w:rFonts w:ascii="Arial" w:hAnsi="Arial" w:cs="Arial"/>
          <w:sz w:val="24"/>
          <w:szCs w:val="24"/>
        </w:rPr>
      </w:pPr>
      <w:r w:rsidRPr="00096EE5">
        <w:rPr>
          <w:rFonts w:ascii="Arial" w:hAnsi="Arial" w:cs="Arial"/>
          <w:sz w:val="24"/>
          <w:szCs w:val="24"/>
        </w:rPr>
        <w:t>[2</w:t>
      </w:r>
      <w:r w:rsidR="000E311F">
        <w:rPr>
          <w:rFonts w:ascii="Arial" w:hAnsi="Arial" w:cs="Arial"/>
          <w:sz w:val="24"/>
          <w:szCs w:val="24"/>
        </w:rPr>
        <w:t>7</w:t>
      </w:r>
      <w:r w:rsidRPr="00096EE5">
        <w:rPr>
          <w:rFonts w:ascii="Arial" w:hAnsi="Arial" w:cs="Arial"/>
          <w:sz w:val="24"/>
          <w:szCs w:val="24"/>
        </w:rPr>
        <w:t>]</w:t>
      </w:r>
      <w:r w:rsidRPr="00096EE5">
        <w:rPr>
          <w:rFonts w:ascii="Arial" w:hAnsi="Arial" w:cs="Arial"/>
          <w:sz w:val="24"/>
          <w:szCs w:val="24"/>
        </w:rPr>
        <w:tab/>
      </w:r>
      <w:r w:rsidR="004C6FB0" w:rsidRPr="00096EE5">
        <w:rPr>
          <w:rFonts w:ascii="Arial" w:hAnsi="Arial" w:cs="Arial"/>
          <w:sz w:val="24"/>
          <w:szCs w:val="24"/>
        </w:rPr>
        <w:t>I am not persuaded on the papers before me that</w:t>
      </w:r>
      <w:r w:rsidR="002A58AC" w:rsidRPr="00096EE5">
        <w:rPr>
          <w:rFonts w:ascii="Arial" w:hAnsi="Arial" w:cs="Arial"/>
          <w:sz w:val="24"/>
          <w:szCs w:val="24"/>
        </w:rPr>
        <w:t xml:space="preserve"> the factors to be taken into account in determining whether to grant an urgent interim interdict are indeed </w:t>
      </w:r>
      <w:r w:rsidR="00B92D10" w:rsidRPr="00096EE5">
        <w:rPr>
          <w:rFonts w:ascii="Arial" w:hAnsi="Arial" w:cs="Arial"/>
          <w:sz w:val="24"/>
          <w:szCs w:val="24"/>
        </w:rPr>
        <w:t>‘</w:t>
      </w:r>
      <w:r w:rsidR="002A58AC" w:rsidRPr="00096EE5">
        <w:rPr>
          <w:rFonts w:ascii="Arial" w:hAnsi="Arial" w:cs="Arial"/>
          <w:sz w:val="24"/>
          <w:szCs w:val="24"/>
        </w:rPr>
        <w:t>evenly balanced</w:t>
      </w:r>
      <w:r w:rsidR="00B92D10" w:rsidRPr="00096EE5">
        <w:rPr>
          <w:rFonts w:ascii="Arial" w:hAnsi="Arial" w:cs="Arial"/>
          <w:sz w:val="24"/>
          <w:szCs w:val="24"/>
        </w:rPr>
        <w:t>’</w:t>
      </w:r>
      <w:r w:rsidR="002A58AC" w:rsidRPr="00096EE5">
        <w:rPr>
          <w:rFonts w:ascii="Arial" w:hAnsi="Arial" w:cs="Arial"/>
          <w:sz w:val="24"/>
          <w:szCs w:val="24"/>
        </w:rPr>
        <w:t>. As stated earlier the</w:t>
      </w:r>
      <w:r w:rsidR="00FE10C4" w:rsidRPr="00096EE5">
        <w:rPr>
          <w:rFonts w:ascii="Arial" w:hAnsi="Arial" w:cs="Arial"/>
          <w:sz w:val="24"/>
          <w:szCs w:val="24"/>
        </w:rPr>
        <w:t xml:space="preserve">re </w:t>
      </w:r>
      <w:r w:rsidR="002A58AC" w:rsidRPr="00096EE5">
        <w:rPr>
          <w:rFonts w:ascii="Arial" w:hAnsi="Arial" w:cs="Arial"/>
          <w:sz w:val="24"/>
          <w:szCs w:val="24"/>
        </w:rPr>
        <w:t>is a dispute of fact on the papers as to whether NUM’s members will suffer irreparable harm if an interdict is not granted in their favour. There is no direct response from NUM to the allegations made by RBCT of almost 600</w:t>
      </w:r>
      <w:r w:rsidR="00EE5D1B" w:rsidRPr="00096EE5">
        <w:rPr>
          <w:rFonts w:ascii="Arial" w:hAnsi="Arial" w:cs="Arial"/>
          <w:sz w:val="24"/>
          <w:szCs w:val="24"/>
        </w:rPr>
        <w:t xml:space="preserve"> </w:t>
      </w:r>
      <w:r w:rsidR="002A58AC" w:rsidRPr="00096EE5">
        <w:rPr>
          <w:rFonts w:ascii="Arial" w:hAnsi="Arial" w:cs="Arial"/>
          <w:sz w:val="24"/>
          <w:szCs w:val="24"/>
        </w:rPr>
        <w:t xml:space="preserve">000 tonnes of coal being unaccounted for in terms of its point of final destination, and obviously the revenue derived from such production. </w:t>
      </w:r>
      <w:r w:rsidR="00747D27" w:rsidRPr="00096EE5">
        <w:rPr>
          <w:rFonts w:ascii="Arial" w:hAnsi="Arial" w:cs="Arial"/>
          <w:sz w:val="24"/>
          <w:szCs w:val="24"/>
        </w:rPr>
        <w:t>In my view, t</w:t>
      </w:r>
      <w:r w:rsidR="00FE10C4" w:rsidRPr="00096EE5">
        <w:rPr>
          <w:rFonts w:ascii="Arial" w:hAnsi="Arial" w:cs="Arial"/>
          <w:sz w:val="24"/>
          <w:szCs w:val="24"/>
        </w:rPr>
        <w:t xml:space="preserve">his throws a shadow over the </w:t>
      </w:r>
      <w:r w:rsidR="00747D27" w:rsidRPr="00096EE5">
        <w:rPr>
          <w:rFonts w:ascii="Arial" w:hAnsi="Arial" w:cs="Arial"/>
          <w:sz w:val="24"/>
          <w:szCs w:val="24"/>
        </w:rPr>
        <w:t xml:space="preserve">allegations of the </w:t>
      </w:r>
      <w:r w:rsidR="00FE10C4" w:rsidRPr="00096EE5">
        <w:rPr>
          <w:rFonts w:ascii="Arial" w:hAnsi="Arial" w:cs="Arial"/>
          <w:sz w:val="24"/>
          <w:szCs w:val="24"/>
        </w:rPr>
        <w:t>dire circumstances facing NUM’s members</w:t>
      </w:r>
      <w:r w:rsidR="00747D27" w:rsidRPr="00096EE5">
        <w:rPr>
          <w:rFonts w:ascii="Arial" w:hAnsi="Arial" w:cs="Arial"/>
          <w:sz w:val="24"/>
          <w:szCs w:val="24"/>
        </w:rPr>
        <w:t xml:space="preserve"> should this interim relief not be granted</w:t>
      </w:r>
      <w:r w:rsidR="00FE10C4" w:rsidRPr="00096EE5">
        <w:rPr>
          <w:rFonts w:ascii="Arial" w:hAnsi="Arial" w:cs="Arial"/>
          <w:sz w:val="24"/>
          <w:szCs w:val="24"/>
        </w:rPr>
        <w:t xml:space="preserve">. </w:t>
      </w:r>
      <w:r w:rsidR="00FC3B84" w:rsidRPr="00096EE5">
        <w:rPr>
          <w:rFonts w:ascii="Arial" w:hAnsi="Arial" w:cs="Arial"/>
          <w:sz w:val="24"/>
          <w:szCs w:val="24"/>
        </w:rPr>
        <w:t xml:space="preserve">This aspect of irreparable harm is also linked, in no small measure, to the issue of the urgency in </w:t>
      </w:r>
      <w:r w:rsidR="00FE10C4" w:rsidRPr="00096EE5">
        <w:rPr>
          <w:rFonts w:ascii="Arial" w:hAnsi="Arial" w:cs="Arial"/>
          <w:sz w:val="24"/>
          <w:szCs w:val="24"/>
        </w:rPr>
        <w:t xml:space="preserve">launching this application.  </w:t>
      </w:r>
    </w:p>
    <w:p w:rsidR="00DA15D7" w:rsidRPr="00096EE5" w:rsidRDefault="00DA15D7" w:rsidP="00C42E08">
      <w:pPr>
        <w:pStyle w:val="ListParagraph"/>
        <w:spacing w:line="360" w:lineRule="auto"/>
        <w:ind w:left="0"/>
        <w:jc w:val="both"/>
        <w:rPr>
          <w:rFonts w:ascii="Arial" w:hAnsi="Arial" w:cs="Arial"/>
          <w:sz w:val="24"/>
          <w:szCs w:val="24"/>
          <w:highlight w:val="yellow"/>
        </w:rPr>
      </w:pPr>
    </w:p>
    <w:p w:rsidR="00DA15D7" w:rsidRDefault="0021088C" w:rsidP="00C42E08">
      <w:pPr>
        <w:pStyle w:val="ListParagraph"/>
        <w:spacing w:line="360" w:lineRule="auto"/>
        <w:ind w:left="0"/>
        <w:jc w:val="both"/>
        <w:rPr>
          <w:rFonts w:ascii="Arial" w:hAnsi="Arial" w:cs="Arial"/>
          <w:sz w:val="24"/>
          <w:szCs w:val="24"/>
        </w:rPr>
      </w:pPr>
      <w:r w:rsidRPr="00096EE5">
        <w:rPr>
          <w:rFonts w:ascii="Arial" w:hAnsi="Arial" w:cs="Arial"/>
          <w:sz w:val="24"/>
          <w:szCs w:val="24"/>
        </w:rPr>
        <w:t>[2</w:t>
      </w:r>
      <w:r w:rsidR="000E311F">
        <w:rPr>
          <w:rFonts w:ascii="Arial" w:hAnsi="Arial" w:cs="Arial"/>
          <w:sz w:val="24"/>
          <w:szCs w:val="24"/>
        </w:rPr>
        <w:t>8</w:t>
      </w:r>
      <w:r w:rsidRPr="00096EE5">
        <w:rPr>
          <w:rFonts w:ascii="Arial" w:hAnsi="Arial" w:cs="Arial"/>
          <w:sz w:val="24"/>
          <w:szCs w:val="24"/>
        </w:rPr>
        <w:t>]</w:t>
      </w:r>
      <w:r w:rsidRPr="00096EE5">
        <w:rPr>
          <w:rFonts w:ascii="Arial" w:hAnsi="Arial" w:cs="Arial"/>
          <w:sz w:val="24"/>
          <w:szCs w:val="24"/>
        </w:rPr>
        <w:tab/>
      </w:r>
      <w:r w:rsidR="00747D27" w:rsidRPr="00096EE5">
        <w:rPr>
          <w:rFonts w:ascii="Arial" w:hAnsi="Arial" w:cs="Arial"/>
          <w:sz w:val="24"/>
          <w:szCs w:val="24"/>
        </w:rPr>
        <w:t>The founding papers are at best ‘thin’ when dealing with the issu</w:t>
      </w:r>
      <w:r w:rsidR="00454736">
        <w:rPr>
          <w:rFonts w:ascii="Arial" w:hAnsi="Arial" w:cs="Arial"/>
          <w:sz w:val="24"/>
          <w:szCs w:val="24"/>
        </w:rPr>
        <w:t xml:space="preserve">e </w:t>
      </w:r>
      <w:r w:rsidR="00747D27" w:rsidRPr="00096EE5">
        <w:rPr>
          <w:rFonts w:ascii="Arial" w:hAnsi="Arial" w:cs="Arial"/>
          <w:sz w:val="24"/>
          <w:szCs w:val="24"/>
        </w:rPr>
        <w:t xml:space="preserve">of urgency.  I am mindful that the papers sketch out the plight of communities and members attributed to RBCT’s conduct in terminating the coal export entitlement of OCT.  Inevitably, most litigants who approach the </w:t>
      </w:r>
      <w:r w:rsidR="000E79FA" w:rsidRPr="00096EE5">
        <w:rPr>
          <w:rFonts w:ascii="Arial" w:hAnsi="Arial" w:cs="Arial"/>
          <w:sz w:val="24"/>
          <w:szCs w:val="24"/>
        </w:rPr>
        <w:t>c</w:t>
      </w:r>
      <w:r w:rsidR="00747D27" w:rsidRPr="00096EE5">
        <w:rPr>
          <w:rFonts w:ascii="Arial" w:hAnsi="Arial" w:cs="Arial"/>
          <w:sz w:val="24"/>
          <w:szCs w:val="24"/>
        </w:rPr>
        <w:t>ourt seek relief to redress a wrong</w:t>
      </w:r>
      <w:r w:rsidR="00B37147" w:rsidRPr="00096EE5">
        <w:rPr>
          <w:rFonts w:ascii="Arial" w:hAnsi="Arial" w:cs="Arial"/>
          <w:sz w:val="24"/>
          <w:szCs w:val="24"/>
        </w:rPr>
        <w:t xml:space="preserve"> and this is </w:t>
      </w:r>
      <w:r w:rsidR="00E904F9">
        <w:rPr>
          <w:rFonts w:ascii="Arial" w:hAnsi="Arial" w:cs="Arial"/>
          <w:sz w:val="24"/>
          <w:szCs w:val="24"/>
        </w:rPr>
        <w:t xml:space="preserve">generally </w:t>
      </w:r>
      <w:r w:rsidR="00B37147" w:rsidRPr="00096EE5">
        <w:rPr>
          <w:rFonts w:ascii="Arial" w:hAnsi="Arial" w:cs="Arial"/>
          <w:sz w:val="24"/>
          <w:szCs w:val="24"/>
        </w:rPr>
        <w:t>accompanied by levels of anxiety for a speedy adjudication</w:t>
      </w:r>
      <w:r w:rsidR="00747D27" w:rsidRPr="00096EE5">
        <w:rPr>
          <w:rFonts w:ascii="Arial" w:hAnsi="Arial" w:cs="Arial"/>
          <w:sz w:val="24"/>
          <w:szCs w:val="24"/>
        </w:rPr>
        <w:t>.</w:t>
      </w:r>
      <w:r w:rsidR="00B37147" w:rsidRPr="00096EE5">
        <w:rPr>
          <w:rFonts w:ascii="Arial" w:hAnsi="Arial" w:cs="Arial"/>
          <w:sz w:val="24"/>
          <w:szCs w:val="24"/>
        </w:rPr>
        <w:t xml:space="preserve"> </w:t>
      </w:r>
      <w:r w:rsidR="00747D27" w:rsidRPr="00096EE5">
        <w:rPr>
          <w:rFonts w:ascii="Arial" w:hAnsi="Arial" w:cs="Arial"/>
          <w:sz w:val="24"/>
          <w:szCs w:val="24"/>
        </w:rPr>
        <w:t xml:space="preserve">However, the authorities are explicit that </w:t>
      </w:r>
      <w:r w:rsidR="000D7A04" w:rsidRPr="00096EE5">
        <w:rPr>
          <w:rFonts w:ascii="Arial" w:hAnsi="Arial" w:cs="Arial"/>
          <w:sz w:val="24"/>
          <w:szCs w:val="24"/>
        </w:rPr>
        <w:t>Uniform r</w:t>
      </w:r>
      <w:r w:rsidR="00747D27" w:rsidRPr="00096EE5">
        <w:rPr>
          <w:rFonts w:ascii="Arial" w:hAnsi="Arial" w:cs="Arial"/>
          <w:sz w:val="24"/>
          <w:szCs w:val="24"/>
        </w:rPr>
        <w:t>ule 6(12</w:t>
      </w:r>
      <w:r w:rsidR="000D7A04" w:rsidRPr="00096EE5">
        <w:rPr>
          <w:rFonts w:ascii="Arial" w:hAnsi="Arial" w:cs="Arial"/>
          <w:sz w:val="24"/>
          <w:szCs w:val="24"/>
        </w:rPr>
        <w:t>)</w:t>
      </w:r>
      <w:r w:rsidR="00747D27" w:rsidRPr="00096EE5">
        <w:rPr>
          <w:rFonts w:ascii="Arial" w:hAnsi="Arial" w:cs="Arial"/>
          <w:i/>
          <w:sz w:val="24"/>
          <w:szCs w:val="24"/>
        </w:rPr>
        <w:t>(b)</w:t>
      </w:r>
      <w:r w:rsidR="00747D27" w:rsidRPr="00096EE5">
        <w:rPr>
          <w:rFonts w:ascii="Arial" w:hAnsi="Arial" w:cs="Arial"/>
          <w:sz w:val="24"/>
          <w:szCs w:val="24"/>
        </w:rPr>
        <w:t xml:space="preserve"> requires an applicant to specifically make out a case for urgency in the founding affidavit. </w:t>
      </w:r>
      <w:r w:rsidR="00B37147" w:rsidRPr="00096EE5">
        <w:rPr>
          <w:rFonts w:ascii="Arial" w:hAnsi="Arial" w:cs="Arial"/>
          <w:sz w:val="24"/>
          <w:szCs w:val="24"/>
        </w:rPr>
        <w:t xml:space="preserve">The applicant must also satisfy the </w:t>
      </w:r>
      <w:r w:rsidR="000E79FA" w:rsidRPr="00096EE5">
        <w:rPr>
          <w:rFonts w:ascii="Arial" w:hAnsi="Arial" w:cs="Arial"/>
          <w:sz w:val="24"/>
          <w:szCs w:val="24"/>
        </w:rPr>
        <w:t>c</w:t>
      </w:r>
      <w:r w:rsidR="00B37147" w:rsidRPr="00096EE5">
        <w:rPr>
          <w:rFonts w:ascii="Arial" w:hAnsi="Arial" w:cs="Arial"/>
          <w:sz w:val="24"/>
          <w:szCs w:val="24"/>
        </w:rPr>
        <w:t xml:space="preserve">ourt that it will not be afforded substantial redress at the hearing in due course. </w:t>
      </w:r>
      <w:r w:rsidR="00AD3963" w:rsidRPr="00096EE5">
        <w:rPr>
          <w:rFonts w:ascii="Arial" w:hAnsi="Arial" w:cs="Arial"/>
          <w:sz w:val="24"/>
          <w:szCs w:val="24"/>
        </w:rPr>
        <w:t xml:space="preserve">See </w:t>
      </w:r>
      <w:r w:rsidR="00B37147" w:rsidRPr="00096EE5">
        <w:rPr>
          <w:rFonts w:ascii="Arial" w:hAnsi="Arial" w:cs="Arial"/>
          <w:i/>
          <w:sz w:val="24"/>
          <w:szCs w:val="24"/>
        </w:rPr>
        <w:t xml:space="preserve">New Nation Movement NPC </w:t>
      </w:r>
      <w:r w:rsidR="00B92D10" w:rsidRPr="00096EE5">
        <w:rPr>
          <w:rFonts w:ascii="Arial" w:hAnsi="Arial" w:cs="Arial"/>
          <w:i/>
          <w:sz w:val="24"/>
          <w:szCs w:val="24"/>
        </w:rPr>
        <w:t>and</w:t>
      </w:r>
      <w:r w:rsidR="00B37147" w:rsidRPr="00096EE5">
        <w:rPr>
          <w:rFonts w:ascii="Arial" w:hAnsi="Arial" w:cs="Arial"/>
          <w:i/>
          <w:sz w:val="24"/>
          <w:szCs w:val="24"/>
        </w:rPr>
        <w:t xml:space="preserve"> others v President of the Republic of South Africa </w:t>
      </w:r>
      <w:r w:rsidR="00B92D10" w:rsidRPr="00096EE5">
        <w:rPr>
          <w:rFonts w:ascii="Arial" w:hAnsi="Arial" w:cs="Arial"/>
          <w:i/>
          <w:sz w:val="24"/>
          <w:szCs w:val="24"/>
        </w:rPr>
        <w:t>and</w:t>
      </w:r>
      <w:r w:rsidR="00B37147" w:rsidRPr="00096EE5">
        <w:rPr>
          <w:rFonts w:ascii="Arial" w:hAnsi="Arial" w:cs="Arial"/>
          <w:i/>
          <w:sz w:val="24"/>
          <w:szCs w:val="24"/>
        </w:rPr>
        <w:t xml:space="preserve"> others</w:t>
      </w:r>
      <w:r w:rsidR="00B37147" w:rsidRPr="00096EE5">
        <w:rPr>
          <w:rFonts w:ascii="Arial" w:hAnsi="Arial" w:cs="Arial"/>
          <w:sz w:val="24"/>
          <w:szCs w:val="24"/>
        </w:rPr>
        <w:t xml:space="preserve"> 2019 (9) BCLR 1104 (CC) para 8</w:t>
      </w:r>
      <w:r w:rsidR="003228B4" w:rsidRPr="00096EE5">
        <w:rPr>
          <w:rFonts w:ascii="Arial" w:hAnsi="Arial" w:cs="Arial"/>
          <w:sz w:val="24"/>
          <w:szCs w:val="24"/>
        </w:rPr>
        <w:t>.</w:t>
      </w:r>
      <w:r w:rsidR="00B37147" w:rsidRPr="00096EE5">
        <w:rPr>
          <w:rFonts w:ascii="Arial" w:hAnsi="Arial" w:cs="Arial"/>
          <w:sz w:val="24"/>
          <w:szCs w:val="24"/>
        </w:rPr>
        <w:t xml:space="preserve"> In this case, it involves a delay of a few weeks</w:t>
      </w:r>
      <w:r w:rsidR="00EE5D1B" w:rsidRPr="00096EE5">
        <w:rPr>
          <w:rFonts w:ascii="Arial" w:hAnsi="Arial" w:cs="Arial"/>
          <w:sz w:val="24"/>
          <w:szCs w:val="24"/>
        </w:rPr>
        <w:t xml:space="preserve"> until the main application is heard dealing with essentially the same issues</w:t>
      </w:r>
      <w:r w:rsidR="00B37147" w:rsidRPr="00096EE5">
        <w:rPr>
          <w:rFonts w:ascii="Arial" w:hAnsi="Arial" w:cs="Arial"/>
          <w:sz w:val="24"/>
          <w:szCs w:val="24"/>
        </w:rPr>
        <w:t>. Nothing has been placed before me to indicate the irreparable harm that NUM members will suffer between 16 February 2023 when the matter was argued and the hearing of the main application</w:t>
      </w:r>
      <w:r w:rsidR="003E713C" w:rsidRPr="00096EE5">
        <w:rPr>
          <w:rFonts w:ascii="Arial" w:hAnsi="Arial" w:cs="Arial"/>
          <w:sz w:val="24"/>
          <w:szCs w:val="24"/>
        </w:rPr>
        <w:t xml:space="preserve">, </w:t>
      </w:r>
      <w:r w:rsidR="00E904F9">
        <w:rPr>
          <w:rFonts w:ascii="Arial" w:hAnsi="Arial" w:cs="Arial"/>
          <w:sz w:val="24"/>
          <w:szCs w:val="24"/>
        </w:rPr>
        <w:t xml:space="preserve">alternatively prejudice suffered </w:t>
      </w:r>
      <w:r w:rsidR="003E713C" w:rsidRPr="00096EE5">
        <w:rPr>
          <w:rFonts w:ascii="Arial" w:hAnsi="Arial" w:cs="Arial"/>
          <w:sz w:val="24"/>
          <w:szCs w:val="24"/>
        </w:rPr>
        <w:t>between 6 and 16 February 2023 when the matter was adjourned</w:t>
      </w:r>
      <w:r w:rsidR="00B37147" w:rsidRPr="00096EE5">
        <w:rPr>
          <w:rFonts w:ascii="Arial" w:hAnsi="Arial" w:cs="Arial"/>
          <w:sz w:val="24"/>
          <w:szCs w:val="24"/>
        </w:rPr>
        <w:t xml:space="preserve">. </w:t>
      </w:r>
    </w:p>
    <w:p w:rsidR="00E904F9" w:rsidRPr="00096EE5" w:rsidRDefault="00E904F9" w:rsidP="00C42E08">
      <w:pPr>
        <w:pStyle w:val="ListParagraph"/>
        <w:spacing w:line="360" w:lineRule="auto"/>
        <w:ind w:left="0"/>
        <w:jc w:val="both"/>
        <w:rPr>
          <w:rFonts w:ascii="Arial" w:hAnsi="Arial" w:cs="Arial"/>
          <w:sz w:val="24"/>
          <w:szCs w:val="24"/>
          <w:highlight w:val="yellow"/>
        </w:rPr>
      </w:pPr>
    </w:p>
    <w:p w:rsidR="006F4182" w:rsidRPr="00096EE5" w:rsidRDefault="0021088C" w:rsidP="00C42E08">
      <w:pPr>
        <w:pStyle w:val="ListParagraph"/>
        <w:spacing w:line="360" w:lineRule="auto"/>
        <w:ind w:left="0"/>
        <w:jc w:val="both"/>
        <w:rPr>
          <w:rFonts w:ascii="Arial" w:hAnsi="Arial" w:cs="Arial"/>
          <w:sz w:val="24"/>
          <w:szCs w:val="24"/>
        </w:rPr>
      </w:pPr>
      <w:r w:rsidRPr="00096EE5">
        <w:rPr>
          <w:rFonts w:ascii="Arial" w:hAnsi="Arial" w:cs="Arial"/>
          <w:sz w:val="24"/>
          <w:szCs w:val="24"/>
        </w:rPr>
        <w:t>[2</w:t>
      </w:r>
      <w:r w:rsidR="000E311F">
        <w:rPr>
          <w:rFonts w:ascii="Arial" w:hAnsi="Arial" w:cs="Arial"/>
          <w:sz w:val="24"/>
          <w:szCs w:val="24"/>
        </w:rPr>
        <w:t>9</w:t>
      </w:r>
      <w:r w:rsidRPr="00096EE5">
        <w:rPr>
          <w:rFonts w:ascii="Arial" w:hAnsi="Arial" w:cs="Arial"/>
          <w:sz w:val="24"/>
          <w:szCs w:val="24"/>
        </w:rPr>
        <w:t>]</w:t>
      </w:r>
      <w:r w:rsidRPr="00096EE5">
        <w:rPr>
          <w:rFonts w:ascii="Arial" w:hAnsi="Arial" w:cs="Arial"/>
          <w:sz w:val="24"/>
          <w:szCs w:val="24"/>
        </w:rPr>
        <w:tab/>
      </w:r>
      <w:r w:rsidR="00B37147" w:rsidRPr="00096EE5">
        <w:rPr>
          <w:rFonts w:ascii="Arial" w:hAnsi="Arial" w:cs="Arial"/>
          <w:sz w:val="24"/>
          <w:szCs w:val="24"/>
        </w:rPr>
        <w:t xml:space="preserve">In my view, the arguments which NUM raises before me can no doubt be advanced at the main application in the dispute between Optimum and RBCT. There is no compelling </w:t>
      </w:r>
      <w:r w:rsidR="003E713C" w:rsidRPr="00096EE5">
        <w:rPr>
          <w:rFonts w:ascii="Arial" w:hAnsi="Arial" w:cs="Arial"/>
          <w:sz w:val="24"/>
          <w:szCs w:val="24"/>
        </w:rPr>
        <w:t xml:space="preserve">reason why NUM could not wait its turn in the queue, or better still, have its views ventilated at the main application. The latter course is one of the options which the </w:t>
      </w:r>
      <w:r w:rsidR="00454736">
        <w:rPr>
          <w:rFonts w:ascii="Arial" w:hAnsi="Arial" w:cs="Arial"/>
          <w:sz w:val="24"/>
          <w:szCs w:val="24"/>
        </w:rPr>
        <w:t xml:space="preserve">first </w:t>
      </w:r>
      <w:r w:rsidR="003E713C" w:rsidRPr="00096EE5">
        <w:rPr>
          <w:rFonts w:ascii="Arial" w:hAnsi="Arial" w:cs="Arial"/>
          <w:sz w:val="24"/>
          <w:szCs w:val="24"/>
        </w:rPr>
        <w:t>respondent’s (RBCT) submitted would be proper in this case in as much as the interim application is inter</w:t>
      </w:r>
      <w:r w:rsidR="00DA15D7" w:rsidRPr="00096EE5">
        <w:rPr>
          <w:rFonts w:ascii="Arial" w:hAnsi="Arial" w:cs="Arial"/>
          <w:sz w:val="24"/>
          <w:szCs w:val="24"/>
        </w:rPr>
        <w:t>-t</w:t>
      </w:r>
      <w:r w:rsidR="003E713C" w:rsidRPr="00096EE5">
        <w:rPr>
          <w:rFonts w:ascii="Arial" w:hAnsi="Arial" w:cs="Arial"/>
          <w:sz w:val="24"/>
          <w:szCs w:val="24"/>
        </w:rPr>
        <w:t xml:space="preserve">wined with the facts of the main application. </w:t>
      </w:r>
      <w:r w:rsidR="00DA15D7" w:rsidRPr="00096EE5">
        <w:rPr>
          <w:rFonts w:ascii="Arial" w:hAnsi="Arial" w:cs="Arial"/>
          <w:sz w:val="24"/>
          <w:szCs w:val="24"/>
        </w:rPr>
        <w:t xml:space="preserve">For these reasons, I am not satisfied that the matter warranted being set down on the extremely shortened notice to RBCT and for it to </w:t>
      </w:r>
      <w:r w:rsidR="00A9096D" w:rsidRPr="00096EE5">
        <w:rPr>
          <w:rFonts w:ascii="Arial" w:hAnsi="Arial" w:cs="Arial"/>
          <w:sz w:val="24"/>
          <w:szCs w:val="24"/>
        </w:rPr>
        <w:t xml:space="preserve">have </w:t>
      </w:r>
      <w:r w:rsidR="00DA15D7" w:rsidRPr="00096EE5">
        <w:rPr>
          <w:rFonts w:ascii="Arial" w:hAnsi="Arial" w:cs="Arial"/>
          <w:sz w:val="24"/>
          <w:szCs w:val="24"/>
        </w:rPr>
        <w:t>be</w:t>
      </w:r>
      <w:r w:rsidR="00A9096D" w:rsidRPr="00096EE5">
        <w:rPr>
          <w:rFonts w:ascii="Arial" w:hAnsi="Arial" w:cs="Arial"/>
          <w:sz w:val="24"/>
          <w:szCs w:val="24"/>
        </w:rPr>
        <w:t>en</w:t>
      </w:r>
      <w:r w:rsidR="00DA15D7" w:rsidRPr="00096EE5">
        <w:rPr>
          <w:rFonts w:ascii="Arial" w:hAnsi="Arial" w:cs="Arial"/>
          <w:sz w:val="24"/>
          <w:szCs w:val="24"/>
        </w:rPr>
        <w:t xml:space="preserve"> placed on the motion court roll on 6 February 2023. Although the matter was adjourned to 16 February 2023, it ought not to have been catapulted ahead of other litigants to be given preference. Absent any other considerations, I would have ordinarily struck </w:t>
      </w:r>
      <w:r w:rsidR="00C42213" w:rsidRPr="00096EE5">
        <w:rPr>
          <w:rFonts w:ascii="Arial" w:hAnsi="Arial" w:cs="Arial"/>
          <w:sz w:val="24"/>
          <w:szCs w:val="24"/>
        </w:rPr>
        <w:t xml:space="preserve">it </w:t>
      </w:r>
      <w:r w:rsidR="00DA15D7" w:rsidRPr="00096EE5">
        <w:rPr>
          <w:rFonts w:ascii="Arial" w:hAnsi="Arial" w:cs="Arial"/>
          <w:sz w:val="24"/>
          <w:szCs w:val="24"/>
        </w:rPr>
        <w:t xml:space="preserve">from the </w:t>
      </w:r>
      <w:r w:rsidR="00C42213" w:rsidRPr="00096EE5">
        <w:rPr>
          <w:rFonts w:ascii="Arial" w:hAnsi="Arial" w:cs="Arial"/>
          <w:sz w:val="24"/>
          <w:szCs w:val="24"/>
        </w:rPr>
        <w:t>r</w:t>
      </w:r>
      <w:r w:rsidR="00DA15D7" w:rsidRPr="00096EE5">
        <w:rPr>
          <w:rFonts w:ascii="Arial" w:hAnsi="Arial" w:cs="Arial"/>
          <w:sz w:val="24"/>
          <w:szCs w:val="24"/>
        </w:rPr>
        <w:t>oll with costs on 6 February 2023. In light of the parties having agreed to argue the matter as an opposed motion on 16 February 2023, it was incumbent on me to consider the merits of the application.</w:t>
      </w:r>
    </w:p>
    <w:p w:rsidR="00DA15D7" w:rsidRPr="00096EE5" w:rsidRDefault="00DA15D7" w:rsidP="00C42E08">
      <w:pPr>
        <w:pStyle w:val="ListParagraph"/>
        <w:spacing w:line="360" w:lineRule="auto"/>
        <w:ind w:left="0"/>
        <w:jc w:val="both"/>
        <w:rPr>
          <w:rFonts w:ascii="Arial" w:hAnsi="Arial" w:cs="Arial"/>
          <w:sz w:val="24"/>
          <w:szCs w:val="24"/>
          <w:highlight w:val="yellow"/>
        </w:rPr>
      </w:pPr>
    </w:p>
    <w:p w:rsidR="002D5616" w:rsidRPr="00096EE5" w:rsidRDefault="0021088C" w:rsidP="00C42E08">
      <w:pPr>
        <w:pStyle w:val="ListParagraph"/>
        <w:spacing w:after="0" w:line="360" w:lineRule="auto"/>
        <w:ind w:left="0"/>
        <w:jc w:val="both"/>
        <w:rPr>
          <w:rFonts w:ascii="Arial" w:hAnsi="Arial" w:cs="Arial"/>
          <w:sz w:val="24"/>
          <w:szCs w:val="24"/>
        </w:rPr>
      </w:pPr>
      <w:r w:rsidRPr="00096EE5">
        <w:rPr>
          <w:rFonts w:ascii="Arial" w:hAnsi="Arial" w:cs="Arial"/>
          <w:sz w:val="24"/>
          <w:szCs w:val="24"/>
        </w:rPr>
        <w:t>[</w:t>
      </w:r>
      <w:r w:rsidR="000E311F">
        <w:rPr>
          <w:rFonts w:ascii="Arial" w:hAnsi="Arial" w:cs="Arial"/>
          <w:sz w:val="24"/>
          <w:szCs w:val="24"/>
        </w:rPr>
        <w:t>30</w:t>
      </w:r>
      <w:r w:rsidRPr="00096EE5">
        <w:rPr>
          <w:rFonts w:ascii="Arial" w:hAnsi="Arial" w:cs="Arial"/>
          <w:sz w:val="24"/>
          <w:szCs w:val="24"/>
        </w:rPr>
        <w:t>]</w:t>
      </w:r>
      <w:r w:rsidRPr="00096EE5">
        <w:rPr>
          <w:rFonts w:ascii="Arial" w:hAnsi="Arial" w:cs="Arial"/>
          <w:sz w:val="24"/>
          <w:szCs w:val="24"/>
        </w:rPr>
        <w:tab/>
      </w:r>
      <w:r w:rsidR="00226928" w:rsidRPr="00096EE5">
        <w:rPr>
          <w:rFonts w:ascii="Arial" w:hAnsi="Arial" w:cs="Arial"/>
          <w:sz w:val="24"/>
          <w:szCs w:val="24"/>
        </w:rPr>
        <w:t xml:space="preserve">A further factor which, in my view, militates against the granting of interim relief sought by NUM is the views expressed by the NPA in </w:t>
      </w:r>
      <w:r w:rsidR="00A9096D" w:rsidRPr="00096EE5">
        <w:rPr>
          <w:rFonts w:ascii="Arial" w:hAnsi="Arial" w:cs="Arial"/>
          <w:sz w:val="24"/>
          <w:szCs w:val="24"/>
        </w:rPr>
        <w:t>its</w:t>
      </w:r>
      <w:r w:rsidR="00226928" w:rsidRPr="00096EE5">
        <w:rPr>
          <w:rFonts w:ascii="Arial" w:hAnsi="Arial" w:cs="Arial"/>
          <w:sz w:val="24"/>
          <w:szCs w:val="24"/>
        </w:rPr>
        <w:t xml:space="preserve"> </w:t>
      </w:r>
      <w:r w:rsidR="00D00DB5" w:rsidRPr="00096EE5">
        <w:rPr>
          <w:rFonts w:ascii="Arial" w:hAnsi="Arial" w:cs="Arial"/>
          <w:sz w:val="24"/>
          <w:szCs w:val="24"/>
        </w:rPr>
        <w:t>i</w:t>
      </w:r>
      <w:r w:rsidR="00226928" w:rsidRPr="00096EE5">
        <w:rPr>
          <w:rFonts w:ascii="Arial" w:hAnsi="Arial" w:cs="Arial"/>
          <w:sz w:val="24"/>
          <w:szCs w:val="24"/>
        </w:rPr>
        <w:t xml:space="preserve">ntervening </w:t>
      </w:r>
      <w:r w:rsidR="00D00DB5" w:rsidRPr="00096EE5">
        <w:rPr>
          <w:rFonts w:ascii="Arial" w:hAnsi="Arial" w:cs="Arial"/>
          <w:sz w:val="24"/>
          <w:szCs w:val="24"/>
        </w:rPr>
        <w:t>a</w:t>
      </w:r>
      <w:r w:rsidR="00226928" w:rsidRPr="00096EE5">
        <w:rPr>
          <w:rFonts w:ascii="Arial" w:hAnsi="Arial" w:cs="Arial"/>
          <w:sz w:val="24"/>
          <w:szCs w:val="24"/>
        </w:rPr>
        <w:t xml:space="preserve">pplication. Of particular importance </w:t>
      </w:r>
      <w:r w:rsidR="002D5616" w:rsidRPr="00096EE5">
        <w:rPr>
          <w:rFonts w:ascii="Arial" w:hAnsi="Arial" w:cs="Arial"/>
          <w:sz w:val="24"/>
          <w:szCs w:val="24"/>
        </w:rPr>
        <w:t>is the affidavit by Ms Rabaji-Rasethaba, the Deputy National Director of Public Prosecutions and Head of the Asset Forfeiture Unit of the NPA. The NPA have sought leave for the affidavit to form part of the papers in the main application. I am uncertain whether such leave has been consent</w:t>
      </w:r>
      <w:r w:rsidR="00D00DB5" w:rsidRPr="00096EE5">
        <w:rPr>
          <w:rFonts w:ascii="Arial" w:hAnsi="Arial" w:cs="Arial"/>
          <w:sz w:val="24"/>
          <w:szCs w:val="24"/>
        </w:rPr>
        <w:t>ed</w:t>
      </w:r>
      <w:r w:rsidR="002D5616" w:rsidRPr="00096EE5">
        <w:rPr>
          <w:rFonts w:ascii="Arial" w:hAnsi="Arial" w:cs="Arial"/>
          <w:sz w:val="24"/>
          <w:szCs w:val="24"/>
        </w:rPr>
        <w:t xml:space="preserve"> to by Optimum.  Whatever the position, the affidavit forms part of the papers before me and different extracts were relied upon by both NUM and RBCT, as will appear below. The approach of the NPA to the main application, which relief mirrors that sought by NUM in this application, is evident in paragraph 27 of the affidavit of Ms Rabaji-Rasethaba. It states the following:</w:t>
      </w:r>
    </w:p>
    <w:p w:rsidR="002D5616" w:rsidRPr="00096EE5" w:rsidRDefault="002D5616" w:rsidP="006E4DAB">
      <w:pPr>
        <w:spacing w:line="360" w:lineRule="auto"/>
        <w:jc w:val="both"/>
        <w:rPr>
          <w:rFonts w:ascii="Arial" w:hAnsi="Arial" w:cs="Arial"/>
        </w:rPr>
      </w:pPr>
      <w:r w:rsidRPr="00096EE5">
        <w:rPr>
          <w:rFonts w:ascii="Arial" w:hAnsi="Arial" w:cs="Arial"/>
        </w:rPr>
        <w:t xml:space="preserve">‘. . .The NPA support the </w:t>
      </w:r>
      <w:r w:rsidR="00EE5D1B" w:rsidRPr="00096EE5">
        <w:rPr>
          <w:rFonts w:ascii="Arial" w:hAnsi="Arial" w:cs="Arial"/>
        </w:rPr>
        <w:t>resolu</w:t>
      </w:r>
      <w:r w:rsidRPr="00096EE5">
        <w:rPr>
          <w:rFonts w:ascii="Arial" w:hAnsi="Arial" w:cs="Arial"/>
        </w:rPr>
        <w:t xml:space="preserve">tion of RBCT to suspend the export allocation of OCT. At present, that allocation is being used, not for the benefit of OCM or its creditors, but rather to dissipate value from OCM at the expense of its creditors. Thus, the current use of the allocation subverts the purpose of both the preservation order and of the business rescue process itself. Until such time as Mr Knoop and his fellow business rescue practitioners have made new arrangements which ensure that the export allocation of OCT is used for the benefit of OCM, </w:t>
      </w:r>
      <w:r w:rsidRPr="00096EE5">
        <w:rPr>
          <w:rFonts w:ascii="Arial" w:hAnsi="Arial" w:cs="Arial"/>
        </w:rPr>
        <w:lastRenderedPageBreak/>
        <w:t>the public interest requires that steps be taken to prevent that allocation being used to effect further dissipation of value from OCM.’</w:t>
      </w:r>
    </w:p>
    <w:p w:rsidR="002D5616" w:rsidRPr="00096EE5" w:rsidRDefault="002D5616" w:rsidP="00C42E08">
      <w:pPr>
        <w:pStyle w:val="ListParagraph"/>
        <w:spacing w:line="360" w:lineRule="auto"/>
        <w:ind w:left="0"/>
        <w:jc w:val="both"/>
        <w:rPr>
          <w:rFonts w:ascii="Arial" w:hAnsi="Arial" w:cs="Arial"/>
          <w:sz w:val="24"/>
          <w:szCs w:val="24"/>
        </w:rPr>
      </w:pPr>
      <w:r w:rsidRPr="00096EE5">
        <w:rPr>
          <w:rFonts w:ascii="Arial" w:hAnsi="Arial" w:cs="Arial"/>
          <w:sz w:val="24"/>
          <w:szCs w:val="24"/>
        </w:rPr>
        <w:t>[3</w:t>
      </w:r>
      <w:r w:rsidR="000E311F">
        <w:rPr>
          <w:rFonts w:ascii="Arial" w:hAnsi="Arial" w:cs="Arial"/>
          <w:sz w:val="24"/>
          <w:szCs w:val="24"/>
        </w:rPr>
        <w:t>1</w:t>
      </w:r>
      <w:r w:rsidRPr="00096EE5">
        <w:rPr>
          <w:rFonts w:ascii="Arial" w:hAnsi="Arial" w:cs="Arial"/>
          <w:sz w:val="24"/>
          <w:szCs w:val="24"/>
        </w:rPr>
        <w:t>]</w:t>
      </w:r>
      <w:r w:rsidRPr="00096EE5">
        <w:rPr>
          <w:rFonts w:ascii="Arial" w:hAnsi="Arial" w:cs="Arial"/>
          <w:sz w:val="24"/>
          <w:szCs w:val="24"/>
        </w:rPr>
        <w:tab/>
        <w:t>Ms Rabaji-Rasethaba proceeds to set out a range of options, presented by the curator, allowing the use of the OCT allocation, but based on a pre-requisite that the contracts with the mini</w:t>
      </w:r>
      <w:r w:rsidR="00411B11" w:rsidRPr="00096EE5">
        <w:rPr>
          <w:rFonts w:ascii="Arial" w:hAnsi="Arial" w:cs="Arial"/>
          <w:sz w:val="24"/>
          <w:szCs w:val="24"/>
        </w:rPr>
        <w:t>-</w:t>
      </w:r>
      <w:r w:rsidRPr="00096EE5">
        <w:rPr>
          <w:rFonts w:ascii="Arial" w:hAnsi="Arial" w:cs="Arial"/>
          <w:sz w:val="24"/>
          <w:szCs w:val="24"/>
        </w:rPr>
        <w:t xml:space="preserve">pit operators come to an end. This proposal from the curator resulted in him receiving death threats, leading to him requesting the court to terminate his appointment. The affidavit of the NPA is clear that it supports the position adopted by RBCT as a necessary measure to prevent the dissipation of value from OCM.  </w:t>
      </w:r>
    </w:p>
    <w:p w:rsidR="002D5616" w:rsidRPr="00096EE5" w:rsidRDefault="002D5616" w:rsidP="00C42E08">
      <w:pPr>
        <w:pStyle w:val="ListParagraph"/>
        <w:spacing w:line="360" w:lineRule="auto"/>
        <w:ind w:left="0"/>
        <w:jc w:val="both"/>
        <w:rPr>
          <w:rFonts w:ascii="Arial" w:hAnsi="Arial" w:cs="Arial"/>
          <w:sz w:val="24"/>
          <w:szCs w:val="24"/>
        </w:rPr>
      </w:pPr>
    </w:p>
    <w:p w:rsidR="00411B11" w:rsidRPr="00096EE5" w:rsidRDefault="000E311F" w:rsidP="00C42E08">
      <w:pPr>
        <w:pStyle w:val="ListParagraph"/>
        <w:spacing w:line="360" w:lineRule="auto"/>
        <w:ind w:left="0"/>
        <w:jc w:val="both"/>
        <w:rPr>
          <w:rFonts w:ascii="Arial" w:hAnsi="Arial" w:cs="Arial"/>
          <w:sz w:val="24"/>
          <w:szCs w:val="24"/>
        </w:rPr>
      </w:pPr>
      <w:r>
        <w:rPr>
          <w:rFonts w:ascii="Arial" w:hAnsi="Arial" w:cs="Arial"/>
          <w:sz w:val="24"/>
          <w:szCs w:val="24"/>
        </w:rPr>
        <w:t>[32</w:t>
      </w:r>
      <w:r w:rsidR="002D5616" w:rsidRPr="00096EE5">
        <w:rPr>
          <w:rFonts w:ascii="Arial" w:hAnsi="Arial" w:cs="Arial"/>
          <w:sz w:val="24"/>
          <w:szCs w:val="24"/>
        </w:rPr>
        <w:t>]</w:t>
      </w:r>
      <w:r w:rsidR="002D5616" w:rsidRPr="00096EE5">
        <w:rPr>
          <w:rFonts w:ascii="Arial" w:hAnsi="Arial" w:cs="Arial"/>
          <w:sz w:val="24"/>
          <w:szCs w:val="24"/>
        </w:rPr>
        <w:tab/>
        <w:t>On the other hand, counsel for NUM submitted that the contents of paragraph 31 of Ms Rabaji-Rasethaba</w:t>
      </w:r>
      <w:r w:rsidR="00A2348B" w:rsidRPr="00096EE5">
        <w:rPr>
          <w:rFonts w:ascii="Arial" w:hAnsi="Arial" w:cs="Arial"/>
          <w:sz w:val="24"/>
          <w:szCs w:val="24"/>
        </w:rPr>
        <w:t xml:space="preserve">’s affidavit </w:t>
      </w:r>
      <w:r w:rsidR="002D5616" w:rsidRPr="00096EE5">
        <w:rPr>
          <w:rFonts w:ascii="Arial" w:hAnsi="Arial" w:cs="Arial"/>
          <w:sz w:val="24"/>
          <w:szCs w:val="24"/>
        </w:rPr>
        <w:t xml:space="preserve">paints the opposite picture, where </w:t>
      </w:r>
      <w:r w:rsidR="00A2348B" w:rsidRPr="00096EE5">
        <w:rPr>
          <w:rFonts w:ascii="Arial" w:hAnsi="Arial" w:cs="Arial"/>
          <w:sz w:val="24"/>
          <w:szCs w:val="24"/>
        </w:rPr>
        <w:t>she</w:t>
      </w:r>
      <w:r w:rsidR="002D5616" w:rsidRPr="00096EE5">
        <w:rPr>
          <w:rFonts w:ascii="Arial" w:hAnsi="Arial" w:cs="Arial"/>
          <w:sz w:val="24"/>
          <w:szCs w:val="24"/>
        </w:rPr>
        <w:t xml:space="preserve"> says that</w:t>
      </w:r>
      <w:r w:rsidR="00411B11" w:rsidRPr="00096EE5">
        <w:rPr>
          <w:rFonts w:ascii="Arial" w:hAnsi="Arial" w:cs="Arial"/>
          <w:sz w:val="24"/>
          <w:szCs w:val="24"/>
        </w:rPr>
        <w:t>:</w:t>
      </w:r>
      <w:r w:rsidR="002D5616" w:rsidRPr="00096EE5">
        <w:rPr>
          <w:rFonts w:ascii="Arial" w:hAnsi="Arial" w:cs="Arial"/>
          <w:sz w:val="24"/>
          <w:szCs w:val="24"/>
        </w:rPr>
        <w:t xml:space="preserve"> </w:t>
      </w:r>
    </w:p>
    <w:p w:rsidR="002D5616" w:rsidRPr="00096EE5" w:rsidRDefault="00411B11" w:rsidP="006E4DAB">
      <w:pPr>
        <w:pStyle w:val="ListParagraph"/>
        <w:spacing w:line="360" w:lineRule="auto"/>
        <w:ind w:left="0"/>
        <w:jc w:val="both"/>
        <w:rPr>
          <w:rFonts w:ascii="Arial" w:hAnsi="Arial" w:cs="Arial"/>
          <w:szCs w:val="24"/>
        </w:rPr>
      </w:pPr>
      <w:r w:rsidRPr="00096EE5">
        <w:rPr>
          <w:rFonts w:ascii="Arial" w:hAnsi="Arial" w:cs="Arial"/>
          <w:szCs w:val="24"/>
        </w:rPr>
        <w:t>‘</w:t>
      </w:r>
      <w:r w:rsidR="002D5616" w:rsidRPr="00096EE5">
        <w:rPr>
          <w:rFonts w:ascii="Arial" w:hAnsi="Arial" w:cs="Arial"/>
          <w:szCs w:val="24"/>
        </w:rPr>
        <w:t>while the NDPP supports the imminent suspension of the OCT allocation, it would not support any steps by RBCT to terminate that entitlement in perpetuity. Any determination of the OCT allocation would cause the loss of billions of rands of value from OCT and OCM and may well be a breach of the preservation order for that reason.</w:t>
      </w:r>
      <w:r w:rsidRPr="00096EE5">
        <w:rPr>
          <w:rFonts w:ascii="Arial" w:hAnsi="Arial" w:cs="Arial"/>
          <w:szCs w:val="24"/>
        </w:rPr>
        <w:t>’</w:t>
      </w:r>
      <w:r w:rsidR="002D5616" w:rsidRPr="00096EE5">
        <w:rPr>
          <w:rFonts w:ascii="Arial" w:hAnsi="Arial" w:cs="Arial"/>
          <w:szCs w:val="24"/>
        </w:rPr>
        <w:t xml:space="preserve">  </w:t>
      </w:r>
    </w:p>
    <w:p w:rsidR="002D5616" w:rsidRPr="00096EE5" w:rsidRDefault="002D5616" w:rsidP="00C42E08">
      <w:pPr>
        <w:pStyle w:val="ListParagraph"/>
        <w:spacing w:line="360" w:lineRule="auto"/>
        <w:jc w:val="both"/>
        <w:rPr>
          <w:rFonts w:ascii="Arial" w:hAnsi="Arial" w:cs="Arial"/>
          <w:sz w:val="24"/>
          <w:szCs w:val="24"/>
        </w:rPr>
      </w:pPr>
    </w:p>
    <w:p w:rsidR="002D5616" w:rsidRPr="00096EE5" w:rsidRDefault="002D5616" w:rsidP="00C42E08">
      <w:pPr>
        <w:pStyle w:val="ListParagraph"/>
        <w:spacing w:line="360" w:lineRule="auto"/>
        <w:ind w:left="0"/>
        <w:jc w:val="both"/>
        <w:rPr>
          <w:rFonts w:ascii="Arial" w:hAnsi="Arial" w:cs="Arial"/>
          <w:sz w:val="24"/>
          <w:szCs w:val="24"/>
        </w:rPr>
      </w:pPr>
      <w:r w:rsidRPr="00096EE5">
        <w:rPr>
          <w:rFonts w:ascii="Arial" w:hAnsi="Arial" w:cs="Arial"/>
          <w:sz w:val="24"/>
          <w:szCs w:val="24"/>
        </w:rPr>
        <w:t>[3</w:t>
      </w:r>
      <w:r w:rsidR="000E311F">
        <w:rPr>
          <w:rFonts w:ascii="Arial" w:hAnsi="Arial" w:cs="Arial"/>
          <w:sz w:val="24"/>
          <w:szCs w:val="24"/>
        </w:rPr>
        <w:t>3</w:t>
      </w:r>
      <w:r w:rsidRPr="00096EE5">
        <w:rPr>
          <w:rFonts w:ascii="Arial" w:hAnsi="Arial" w:cs="Arial"/>
          <w:sz w:val="24"/>
          <w:szCs w:val="24"/>
        </w:rPr>
        <w:t>]</w:t>
      </w:r>
      <w:r w:rsidRPr="00096EE5">
        <w:rPr>
          <w:rFonts w:ascii="Arial" w:hAnsi="Arial" w:cs="Arial"/>
          <w:sz w:val="24"/>
          <w:szCs w:val="24"/>
        </w:rPr>
        <w:tab/>
        <w:t xml:space="preserve">I do not interpret the contents of paragraph 31 of the </w:t>
      </w:r>
      <w:r w:rsidR="00F140F1" w:rsidRPr="00096EE5">
        <w:rPr>
          <w:rFonts w:ascii="Arial" w:hAnsi="Arial" w:cs="Arial"/>
          <w:sz w:val="24"/>
          <w:szCs w:val="24"/>
        </w:rPr>
        <w:t xml:space="preserve">NPA’s </w:t>
      </w:r>
      <w:r w:rsidRPr="00096EE5">
        <w:rPr>
          <w:rFonts w:ascii="Arial" w:hAnsi="Arial" w:cs="Arial"/>
          <w:sz w:val="24"/>
          <w:szCs w:val="24"/>
        </w:rPr>
        <w:t>affidavit as supporting the case of NUM (or by implication OCT). On the contrary</w:t>
      </w:r>
      <w:r w:rsidR="00A2348B" w:rsidRPr="00096EE5">
        <w:rPr>
          <w:rFonts w:ascii="Arial" w:hAnsi="Arial" w:cs="Arial"/>
          <w:sz w:val="24"/>
          <w:szCs w:val="24"/>
        </w:rPr>
        <w:t>,</w:t>
      </w:r>
      <w:r w:rsidRPr="00096EE5">
        <w:rPr>
          <w:rFonts w:ascii="Arial" w:hAnsi="Arial" w:cs="Arial"/>
          <w:sz w:val="24"/>
          <w:szCs w:val="24"/>
        </w:rPr>
        <w:t xml:space="preserve"> the overriding picture that emerges is that the N</w:t>
      </w:r>
      <w:r w:rsidR="005C01C7">
        <w:rPr>
          <w:rFonts w:ascii="Arial" w:hAnsi="Arial" w:cs="Arial"/>
          <w:sz w:val="24"/>
          <w:szCs w:val="24"/>
        </w:rPr>
        <w:t>PA</w:t>
      </w:r>
      <w:r w:rsidRPr="00096EE5">
        <w:rPr>
          <w:rFonts w:ascii="Arial" w:hAnsi="Arial" w:cs="Arial"/>
          <w:sz w:val="24"/>
          <w:szCs w:val="24"/>
        </w:rPr>
        <w:t xml:space="preserve"> supports the position adopted by RBCT to suspend OCT’s export allocation through Richards Bay. In any event, this being interim proceedings, it is not for this court to make definitive findings in relation to the main application which is to be heard in due course.</w:t>
      </w:r>
    </w:p>
    <w:p w:rsidR="002D5616" w:rsidRPr="00096EE5" w:rsidRDefault="002D5616" w:rsidP="00C42E08">
      <w:pPr>
        <w:pStyle w:val="ListParagraph"/>
        <w:spacing w:line="360" w:lineRule="auto"/>
        <w:jc w:val="both"/>
        <w:rPr>
          <w:rFonts w:ascii="Arial" w:hAnsi="Arial" w:cs="Arial"/>
          <w:sz w:val="24"/>
          <w:szCs w:val="24"/>
        </w:rPr>
      </w:pPr>
    </w:p>
    <w:p w:rsidR="002D5616" w:rsidRPr="00096EE5" w:rsidRDefault="000E311F" w:rsidP="00C42E08">
      <w:pPr>
        <w:pStyle w:val="ListParagraph"/>
        <w:spacing w:after="0" w:line="360" w:lineRule="auto"/>
        <w:ind w:left="0"/>
        <w:jc w:val="both"/>
        <w:rPr>
          <w:rFonts w:ascii="Arial" w:hAnsi="Arial" w:cs="Arial"/>
          <w:sz w:val="24"/>
          <w:szCs w:val="24"/>
        </w:rPr>
      </w:pPr>
      <w:r>
        <w:rPr>
          <w:rFonts w:ascii="Arial" w:hAnsi="Arial" w:cs="Arial"/>
          <w:sz w:val="24"/>
          <w:szCs w:val="24"/>
        </w:rPr>
        <w:t>[34</w:t>
      </w:r>
      <w:r w:rsidR="002D5616" w:rsidRPr="00096EE5">
        <w:rPr>
          <w:rFonts w:ascii="Arial" w:hAnsi="Arial" w:cs="Arial"/>
          <w:sz w:val="24"/>
          <w:szCs w:val="24"/>
        </w:rPr>
        <w:t>]</w:t>
      </w:r>
      <w:r w:rsidR="002D5616" w:rsidRPr="00096EE5">
        <w:rPr>
          <w:rFonts w:ascii="Arial" w:hAnsi="Arial" w:cs="Arial"/>
          <w:sz w:val="24"/>
          <w:szCs w:val="24"/>
        </w:rPr>
        <w:tab/>
        <w:t xml:space="preserve">In light of what has been stated above, I am of the view that </w:t>
      </w:r>
      <w:r w:rsidR="00142855">
        <w:rPr>
          <w:rFonts w:ascii="Arial" w:hAnsi="Arial" w:cs="Arial"/>
          <w:sz w:val="24"/>
          <w:szCs w:val="24"/>
        </w:rPr>
        <w:t>NUM</w:t>
      </w:r>
      <w:r w:rsidR="002D5616" w:rsidRPr="00096EE5">
        <w:rPr>
          <w:rFonts w:ascii="Arial" w:hAnsi="Arial" w:cs="Arial"/>
          <w:sz w:val="24"/>
          <w:szCs w:val="24"/>
        </w:rPr>
        <w:t xml:space="preserve"> has failed to make out a case for the urgent interim relief it seeks. </w:t>
      </w:r>
      <w:r w:rsidR="00142855">
        <w:rPr>
          <w:rFonts w:ascii="Arial" w:hAnsi="Arial" w:cs="Arial"/>
          <w:sz w:val="24"/>
          <w:szCs w:val="24"/>
        </w:rPr>
        <w:t xml:space="preserve">I am not persuaded that the matter was so urgent that it could not wait to take its turn to be argued together with the main application.  Moreover, as I have pointed out above, the application for struggles to get out of the starting blocks in satisfying the pre-requisites for interim relief.  </w:t>
      </w:r>
      <w:r w:rsidR="002D5616" w:rsidRPr="00096EE5">
        <w:rPr>
          <w:rFonts w:ascii="Arial" w:hAnsi="Arial" w:cs="Arial"/>
          <w:sz w:val="24"/>
          <w:szCs w:val="24"/>
        </w:rPr>
        <w:t xml:space="preserve">Even though the facts in this urgent application and the main application are intertwined, I do not think that this is a case where a decision </w:t>
      </w:r>
      <w:r w:rsidR="005F6C1F">
        <w:rPr>
          <w:rFonts w:ascii="Arial" w:hAnsi="Arial" w:cs="Arial"/>
          <w:sz w:val="24"/>
          <w:szCs w:val="24"/>
        </w:rPr>
        <w:t xml:space="preserve">as to whether the applicant has established a </w:t>
      </w:r>
      <w:r w:rsidR="002D5616" w:rsidRPr="00E904F9">
        <w:rPr>
          <w:rFonts w:ascii="Arial" w:hAnsi="Arial" w:cs="Arial"/>
          <w:i/>
          <w:sz w:val="24"/>
          <w:szCs w:val="24"/>
        </w:rPr>
        <w:t xml:space="preserve">prima facie </w:t>
      </w:r>
      <w:r w:rsidR="002D5616" w:rsidRPr="00096EE5">
        <w:rPr>
          <w:rFonts w:ascii="Arial" w:hAnsi="Arial" w:cs="Arial"/>
          <w:sz w:val="24"/>
          <w:szCs w:val="24"/>
        </w:rPr>
        <w:t>to interim relief</w:t>
      </w:r>
      <w:r w:rsidR="005F6C1F">
        <w:rPr>
          <w:rFonts w:ascii="Arial" w:hAnsi="Arial" w:cs="Arial"/>
          <w:sz w:val="24"/>
          <w:szCs w:val="24"/>
        </w:rPr>
        <w:t>,</w:t>
      </w:r>
      <w:r w:rsidR="002D5616" w:rsidRPr="00096EE5">
        <w:rPr>
          <w:rFonts w:ascii="Arial" w:hAnsi="Arial" w:cs="Arial"/>
          <w:sz w:val="24"/>
          <w:szCs w:val="24"/>
        </w:rPr>
        <w:t xml:space="preserve"> should be deferred to some other </w:t>
      </w:r>
      <w:r w:rsidR="000E79FA" w:rsidRPr="00096EE5">
        <w:rPr>
          <w:rFonts w:ascii="Arial" w:hAnsi="Arial" w:cs="Arial"/>
          <w:sz w:val="24"/>
          <w:szCs w:val="24"/>
        </w:rPr>
        <w:t>c</w:t>
      </w:r>
      <w:r w:rsidR="002D5616" w:rsidRPr="00096EE5">
        <w:rPr>
          <w:rFonts w:ascii="Arial" w:hAnsi="Arial" w:cs="Arial"/>
          <w:sz w:val="24"/>
          <w:szCs w:val="24"/>
        </w:rPr>
        <w:t xml:space="preserve">ourt. As Madlanga J </w:t>
      </w:r>
      <w:r w:rsidR="009D179E" w:rsidRPr="00096EE5">
        <w:rPr>
          <w:rFonts w:ascii="Arial" w:hAnsi="Arial" w:cs="Arial"/>
          <w:sz w:val="24"/>
          <w:szCs w:val="24"/>
        </w:rPr>
        <w:t xml:space="preserve">said </w:t>
      </w:r>
      <w:r w:rsidR="002D5616" w:rsidRPr="00096EE5">
        <w:rPr>
          <w:rFonts w:ascii="Arial" w:hAnsi="Arial" w:cs="Arial"/>
          <w:sz w:val="24"/>
          <w:szCs w:val="24"/>
        </w:rPr>
        <w:t xml:space="preserve">in </w:t>
      </w:r>
      <w:r w:rsidR="002D5616" w:rsidRPr="00096EE5">
        <w:rPr>
          <w:rFonts w:ascii="Arial" w:hAnsi="Arial" w:cs="Arial"/>
          <w:i/>
          <w:sz w:val="24"/>
          <w:szCs w:val="24"/>
        </w:rPr>
        <w:t>Eskom Holdings</w:t>
      </w:r>
      <w:r w:rsidR="002D5616" w:rsidRPr="00096EE5">
        <w:rPr>
          <w:rFonts w:ascii="Arial" w:hAnsi="Arial" w:cs="Arial"/>
          <w:sz w:val="24"/>
          <w:szCs w:val="24"/>
        </w:rPr>
        <w:t xml:space="preserve"> para 251</w:t>
      </w:r>
      <w:r w:rsidR="00732136" w:rsidRPr="00096EE5">
        <w:rPr>
          <w:rFonts w:ascii="Arial" w:hAnsi="Arial" w:cs="Arial"/>
          <w:sz w:val="24"/>
          <w:szCs w:val="24"/>
        </w:rPr>
        <w:t>:</w:t>
      </w:r>
      <w:r w:rsidR="002D5616" w:rsidRPr="00096EE5">
        <w:rPr>
          <w:rFonts w:ascii="Arial" w:hAnsi="Arial" w:cs="Arial"/>
          <w:sz w:val="24"/>
          <w:szCs w:val="24"/>
        </w:rPr>
        <w:t xml:space="preserve"> </w:t>
      </w:r>
    </w:p>
    <w:p w:rsidR="002D5616" w:rsidRPr="005C01C7" w:rsidRDefault="00732136" w:rsidP="00C42E08">
      <w:pPr>
        <w:spacing w:line="360" w:lineRule="auto"/>
        <w:jc w:val="both"/>
        <w:rPr>
          <w:rFonts w:ascii="Arial" w:hAnsi="Arial" w:cs="Arial"/>
          <w:sz w:val="24"/>
          <w:szCs w:val="24"/>
          <w:shd w:val="clear" w:color="auto" w:fill="FFFFFF"/>
          <w:lang w:val="en-US"/>
        </w:rPr>
      </w:pPr>
      <w:r w:rsidRPr="00142855">
        <w:rPr>
          <w:rFonts w:ascii="Arial" w:hAnsi="Arial" w:cs="Arial"/>
          <w:shd w:val="clear" w:color="auto" w:fill="FFFFFF"/>
          <w:lang w:val="en-US"/>
        </w:rPr>
        <w:lastRenderedPageBreak/>
        <w:t>‘</w:t>
      </w:r>
      <w:r w:rsidR="002D5616" w:rsidRPr="00142855">
        <w:rPr>
          <w:rFonts w:ascii="Arial" w:hAnsi="Arial" w:cs="Arial"/>
          <w:shd w:val="clear" w:color="auto" w:fill="FFFFFF"/>
          <w:lang w:val="en-US"/>
        </w:rPr>
        <w:t>There are legal questions that are capable of easy resolution to any judge worth their salt. Those must be decided definitively. If, as a matter of </w:t>
      </w:r>
      <w:r w:rsidR="002D5616" w:rsidRPr="00142855">
        <w:rPr>
          <w:rFonts w:ascii="Arial" w:hAnsi="Arial" w:cs="Arial"/>
          <w:shd w:val="clear" w:color="auto" w:fill="FFFFFF"/>
        </w:rPr>
        <w:t>law</w:t>
      </w:r>
      <w:r w:rsidR="002D5616" w:rsidRPr="00142855">
        <w:rPr>
          <w:rFonts w:ascii="Arial" w:hAnsi="Arial" w:cs="Arial"/>
          <w:shd w:val="clear" w:color="auto" w:fill="FFFFFF"/>
          <w:lang w:val="en-US"/>
        </w:rPr>
        <w:t>, the right asserted by the applicant for interim relief is held not to exist at all, that will be the end of the matter</w:t>
      </w:r>
      <w:r w:rsidR="002D5616" w:rsidRPr="005C01C7">
        <w:rPr>
          <w:rFonts w:ascii="Arial" w:hAnsi="Arial" w:cs="Arial"/>
          <w:sz w:val="24"/>
          <w:szCs w:val="24"/>
          <w:shd w:val="clear" w:color="auto" w:fill="FFFFFF"/>
          <w:lang w:val="en-US"/>
        </w:rPr>
        <w:t>.</w:t>
      </w:r>
      <w:r w:rsidRPr="005C01C7">
        <w:rPr>
          <w:rFonts w:ascii="Arial" w:hAnsi="Arial" w:cs="Arial"/>
          <w:sz w:val="24"/>
          <w:szCs w:val="24"/>
          <w:shd w:val="clear" w:color="auto" w:fill="FFFFFF"/>
          <w:lang w:val="en-US"/>
        </w:rPr>
        <w:t>’</w:t>
      </w:r>
    </w:p>
    <w:p w:rsidR="00EE5D1B" w:rsidRPr="005C01C7" w:rsidRDefault="000E311F" w:rsidP="005C01C7">
      <w:pPr>
        <w:pStyle w:val="FootnoteText"/>
        <w:spacing w:line="360" w:lineRule="auto"/>
        <w:jc w:val="both"/>
        <w:rPr>
          <w:rFonts w:ascii="Arial" w:hAnsi="Arial" w:cs="Arial"/>
          <w:sz w:val="24"/>
          <w:szCs w:val="24"/>
        </w:rPr>
      </w:pPr>
      <w:r>
        <w:rPr>
          <w:rFonts w:ascii="Arial" w:hAnsi="Arial" w:cs="Arial"/>
          <w:sz w:val="24"/>
          <w:szCs w:val="24"/>
        </w:rPr>
        <w:t>[35</w:t>
      </w:r>
      <w:r w:rsidR="00EE5D1B" w:rsidRPr="005C01C7">
        <w:rPr>
          <w:rFonts w:ascii="Arial" w:hAnsi="Arial" w:cs="Arial"/>
          <w:sz w:val="24"/>
          <w:szCs w:val="24"/>
        </w:rPr>
        <w:t>]</w:t>
      </w:r>
      <w:r w:rsidR="00EE5D1B" w:rsidRPr="005C01C7">
        <w:rPr>
          <w:rFonts w:ascii="Arial" w:hAnsi="Arial" w:cs="Arial"/>
          <w:sz w:val="24"/>
          <w:szCs w:val="24"/>
        </w:rPr>
        <w:tab/>
        <w:t xml:space="preserve">Counsel for NUM submitted that in the event that the </w:t>
      </w:r>
      <w:r w:rsidR="0097033E" w:rsidRPr="005C01C7">
        <w:rPr>
          <w:rFonts w:ascii="Arial" w:hAnsi="Arial" w:cs="Arial"/>
          <w:sz w:val="24"/>
          <w:szCs w:val="24"/>
        </w:rPr>
        <w:t>c</w:t>
      </w:r>
      <w:r w:rsidR="00EE5D1B" w:rsidRPr="005C01C7">
        <w:rPr>
          <w:rFonts w:ascii="Arial" w:hAnsi="Arial" w:cs="Arial"/>
          <w:sz w:val="24"/>
          <w:szCs w:val="24"/>
        </w:rPr>
        <w:t xml:space="preserve">ourt was disposed to dismiss the application, the principles in </w:t>
      </w:r>
      <w:r w:rsidR="00EE5D1B" w:rsidRPr="005C01C7">
        <w:rPr>
          <w:rFonts w:ascii="Arial" w:hAnsi="Arial" w:cs="Arial"/>
          <w:i/>
          <w:sz w:val="24"/>
          <w:szCs w:val="24"/>
        </w:rPr>
        <w:t>Biowatch</w:t>
      </w:r>
      <w:r w:rsidR="0097033E" w:rsidRPr="005C01C7">
        <w:rPr>
          <w:rFonts w:ascii="Arial" w:hAnsi="Arial" w:cs="Arial"/>
          <w:i/>
          <w:sz w:val="24"/>
          <w:szCs w:val="24"/>
        </w:rPr>
        <w:t xml:space="preserve"> </w:t>
      </w:r>
      <w:r w:rsidR="0097033E" w:rsidRPr="005C01C7">
        <w:rPr>
          <w:rFonts w:ascii="Arial" w:hAnsi="Arial" w:cs="Arial"/>
          <w:i/>
          <w:iCs/>
          <w:sz w:val="24"/>
          <w:szCs w:val="24"/>
          <w:shd w:val="clear" w:color="auto" w:fill="FFFFFF"/>
          <w:lang w:val="en-US"/>
        </w:rPr>
        <w:t>Trust v Registrar, Genetic Resources</w:t>
      </w:r>
      <w:r w:rsidR="008C16CE" w:rsidRPr="005C01C7">
        <w:rPr>
          <w:rFonts w:ascii="Arial" w:hAnsi="Arial" w:cs="Arial"/>
          <w:i/>
          <w:iCs/>
          <w:sz w:val="24"/>
          <w:szCs w:val="24"/>
          <w:shd w:val="clear" w:color="auto" w:fill="FFFFFF"/>
          <w:lang w:val="en-US"/>
        </w:rPr>
        <w:t>,</w:t>
      </w:r>
      <w:r w:rsidR="0097033E" w:rsidRPr="005C01C7">
        <w:rPr>
          <w:rFonts w:ascii="Arial" w:hAnsi="Arial" w:cs="Arial"/>
          <w:i/>
          <w:iCs/>
          <w:sz w:val="24"/>
          <w:szCs w:val="24"/>
          <w:shd w:val="clear" w:color="auto" w:fill="FFFFFF"/>
          <w:lang w:val="en-US"/>
        </w:rPr>
        <w:t xml:space="preserve"> and </w:t>
      </w:r>
      <w:r w:rsidR="009379B1" w:rsidRPr="005C01C7">
        <w:rPr>
          <w:rFonts w:ascii="Arial" w:hAnsi="Arial" w:cs="Arial"/>
          <w:i/>
          <w:iCs/>
          <w:sz w:val="24"/>
          <w:szCs w:val="24"/>
          <w:shd w:val="clear" w:color="auto" w:fill="FFFFFF"/>
          <w:lang w:val="en-US"/>
        </w:rPr>
        <w:t>o</w:t>
      </w:r>
      <w:r w:rsidR="0097033E" w:rsidRPr="005C01C7">
        <w:rPr>
          <w:rFonts w:ascii="Arial" w:hAnsi="Arial" w:cs="Arial"/>
          <w:i/>
          <w:iCs/>
          <w:sz w:val="24"/>
          <w:szCs w:val="24"/>
          <w:shd w:val="clear" w:color="auto" w:fill="FFFFFF"/>
          <w:lang w:val="en-US"/>
        </w:rPr>
        <w:t>thers</w:t>
      </w:r>
      <w:r w:rsidR="005C01C7">
        <w:rPr>
          <w:rFonts w:ascii="Arial" w:hAnsi="Arial" w:cs="Arial"/>
          <w:i/>
          <w:iCs/>
          <w:sz w:val="24"/>
          <w:szCs w:val="24"/>
          <w:shd w:val="clear" w:color="auto" w:fill="FFFFFF"/>
          <w:lang w:val="en-US"/>
        </w:rPr>
        <w:t xml:space="preserve"> </w:t>
      </w:r>
      <w:hyperlink r:id="rId10" w:tooltip="View LawCiteRecord" w:history="1">
        <w:r w:rsidR="005C01C7" w:rsidRPr="005C01C7">
          <w:rPr>
            <w:rStyle w:val="Hyperlink"/>
            <w:rFonts w:ascii="Arial" w:hAnsi="Arial" w:cs="Arial"/>
            <w:bCs/>
            <w:color w:val="auto"/>
            <w:sz w:val="24"/>
            <w:szCs w:val="24"/>
            <w:u w:val="none"/>
            <w:shd w:val="clear" w:color="auto" w:fill="FFFFFF"/>
            <w:lang w:val="en-US"/>
          </w:rPr>
          <w:t>2009 (6) SA 232</w:t>
        </w:r>
      </w:hyperlink>
      <w:r w:rsidR="005C01C7" w:rsidRPr="005C01C7">
        <w:rPr>
          <w:rFonts w:ascii="Arial" w:hAnsi="Arial" w:cs="Arial"/>
          <w:sz w:val="24"/>
          <w:szCs w:val="24"/>
          <w:shd w:val="clear" w:color="auto" w:fill="FFFFFF"/>
          <w:lang w:val="en-US"/>
        </w:rPr>
        <w:t>; </w:t>
      </w:r>
      <w:hyperlink r:id="rId11" w:tooltip="View LawCiteRecord" w:history="1">
        <w:r w:rsidR="005C01C7" w:rsidRPr="005C01C7">
          <w:rPr>
            <w:rStyle w:val="Hyperlink"/>
            <w:rFonts w:ascii="Arial" w:hAnsi="Arial" w:cs="Arial"/>
            <w:bCs/>
            <w:color w:val="auto"/>
            <w:sz w:val="24"/>
            <w:szCs w:val="24"/>
            <w:u w:val="none"/>
            <w:shd w:val="clear" w:color="auto" w:fill="FFFFFF"/>
            <w:lang w:val="en-US"/>
          </w:rPr>
          <w:t>2009 (10) BCLR 1014</w:t>
        </w:r>
      </w:hyperlink>
      <w:r w:rsidR="005C01C7" w:rsidRPr="005C01C7">
        <w:rPr>
          <w:rFonts w:ascii="Arial" w:hAnsi="Arial" w:cs="Arial"/>
          <w:sz w:val="24"/>
          <w:szCs w:val="24"/>
          <w:shd w:val="clear" w:color="auto" w:fill="FFFFFF"/>
          <w:lang w:val="en-US"/>
        </w:rPr>
        <w:t> (CC).</w:t>
      </w:r>
      <w:r w:rsidR="005C01C7">
        <w:rPr>
          <w:rFonts w:ascii="Arial" w:hAnsi="Arial" w:cs="Arial"/>
          <w:sz w:val="24"/>
          <w:szCs w:val="24"/>
          <w:shd w:val="clear" w:color="auto" w:fill="FFFFFF"/>
          <w:lang w:val="en-US"/>
        </w:rPr>
        <w:t xml:space="preserve"> </w:t>
      </w:r>
      <w:r w:rsidR="00EE5D1B" w:rsidRPr="005C01C7">
        <w:rPr>
          <w:rFonts w:ascii="Arial" w:hAnsi="Arial" w:cs="Arial"/>
          <w:sz w:val="24"/>
          <w:szCs w:val="24"/>
        </w:rPr>
        <w:t xml:space="preserve">should apply and no order of costs should be made. I disagree as there is no </w:t>
      </w:r>
      <w:r w:rsidR="009379B1" w:rsidRPr="005C01C7">
        <w:rPr>
          <w:rFonts w:ascii="Arial" w:hAnsi="Arial" w:cs="Arial"/>
          <w:sz w:val="24"/>
          <w:szCs w:val="24"/>
        </w:rPr>
        <w:t>‘</w:t>
      </w:r>
      <w:r w:rsidR="00EE5D1B" w:rsidRPr="005C01C7">
        <w:rPr>
          <w:rFonts w:ascii="Arial" w:hAnsi="Arial" w:cs="Arial"/>
          <w:sz w:val="24"/>
          <w:szCs w:val="24"/>
          <w:shd w:val="clear" w:color="auto" w:fill="FFFFFF"/>
        </w:rPr>
        <w:t>challenge to the constitutionality of a law or of State conduct</w:t>
      </w:r>
      <w:r w:rsidR="009379B1" w:rsidRPr="005C01C7">
        <w:rPr>
          <w:rFonts w:ascii="Arial" w:hAnsi="Arial" w:cs="Arial"/>
          <w:sz w:val="24"/>
          <w:szCs w:val="24"/>
          <w:shd w:val="clear" w:color="auto" w:fill="FFFFFF"/>
        </w:rPr>
        <w:t>’</w:t>
      </w:r>
      <w:r w:rsidR="00EE5D1B" w:rsidRPr="005C01C7">
        <w:rPr>
          <w:rFonts w:ascii="Arial" w:hAnsi="Arial" w:cs="Arial"/>
          <w:sz w:val="24"/>
          <w:szCs w:val="24"/>
          <w:shd w:val="clear" w:color="auto" w:fill="FFFFFF"/>
        </w:rPr>
        <w:t xml:space="preserve"> present in this matter. Even if this application could be described as involving constitutional issues, the </w:t>
      </w:r>
      <w:r w:rsidR="00EE5D1B" w:rsidRPr="005C01C7">
        <w:rPr>
          <w:rFonts w:ascii="Arial" w:hAnsi="Arial" w:cs="Arial"/>
          <w:sz w:val="24"/>
          <w:szCs w:val="24"/>
          <w:lang w:val="en-US"/>
        </w:rPr>
        <w:t>Constitutional Court in </w:t>
      </w:r>
      <w:r w:rsidR="00EE5D1B" w:rsidRPr="005C01C7">
        <w:rPr>
          <w:rFonts w:ascii="Arial" w:hAnsi="Arial" w:cs="Arial"/>
          <w:i/>
          <w:iCs/>
          <w:sz w:val="24"/>
          <w:szCs w:val="24"/>
          <w:lang w:val="en-US"/>
        </w:rPr>
        <w:t xml:space="preserve">Lawyers for Human Rights v Minister in the Presidency and </w:t>
      </w:r>
      <w:r w:rsidR="008C16CE" w:rsidRPr="005C01C7">
        <w:rPr>
          <w:rFonts w:ascii="Arial" w:hAnsi="Arial" w:cs="Arial"/>
          <w:i/>
          <w:iCs/>
          <w:sz w:val="24"/>
          <w:szCs w:val="24"/>
          <w:lang w:val="en-US"/>
        </w:rPr>
        <w:t>o</w:t>
      </w:r>
      <w:r w:rsidR="00EE5D1B" w:rsidRPr="005C01C7">
        <w:rPr>
          <w:rFonts w:ascii="Arial" w:hAnsi="Arial" w:cs="Arial"/>
          <w:i/>
          <w:iCs/>
          <w:sz w:val="24"/>
          <w:szCs w:val="24"/>
          <w:lang w:val="en-US"/>
        </w:rPr>
        <w:t>thers</w:t>
      </w:r>
      <w:bookmarkStart w:id="5" w:name="_ftnref6"/>
      <w:r w:rsidR="005C01C7" w:rsidRPr="005C01C7">
        <w:fldChar w:fldCharType="begin"/>
      </w:r>
      <w:r w:rsidR="005C01C7" w:rsidRPr="005C01C7">
        <w:rPr>
          <w:rFonts w:ascii="Arial" w:hAnsi="Arial" w:cs="Arial"/>
          <w:sz w:val="24"/>
          <w:szCs w:val="24"/>
        </w:rPr>
        <w:instrText xml:space="preserve"> HYPERLINK "http://www.saflii.org/cgi-bin/LawCite?cit=2017%20%281%29%20SA%20645" \o "View LawCiteRecord" </w:instrText>
      </w:r>
      <w:r w:rsidR="005C01C7" w:rsidRPr="005C01C7">
        <w:fldChar w:fldCharType="separate"/>
      </w:r>
      <w:r w:rsidR="005C01C7" w:rsidRPr="005C01C7">
        <w:rPr>
          <w:rStyle w:val="Hyperlink"/>
          <w:rFonts w:ascii="Arial" w:hAnsi="Arial" w:cs="Arial"/>
          <w:bCs/>
          <w:color w:val="auto"/>
          <w:sz w:val="24"/>
          <w:szCs w:val="24"/>
          <w:u w:val="none"/>
          <w:shd w:val="clear" w:color="auto" w:fill="FFFFFF"/>
          <w:lang w:val="en-US"/>
        </w:rPr>
        <w:t>2017 (1) SA 645</w:t>
      </w:r>
      <w:r w:rsidR="005C01C7" w:rsidRPr="005C01C7">
        <w:rPr>
          <w:rStyle w:val="Hyperlink"/>
          <w:rFonts w:ascii="Arial" w:hAnsi="Arial" w:cs="Arial"/>
          <w:bCs/>
          <w:color w:val="auto"/>
          <w:sz w:val="24"/>
          <w:szCs w:val="24"/>
          <w:u w:val="none"/>
          <w:shd w:val="clear" w:color="auto" w:fill="FFFFFF"/>
          <w:lang w:val="en-US"/>
        </w:rPr>
        <w:fldChar w:fldCharType="end"/>
      </w:r>
      <w:r w:rsidR="005C01C7" w:rsidRPr="005C01C7">
        <w:rPr>
          <w:rFonts w:ascii="Arial" w:hAnsi="Arial" w:cs="Arial"/>
          <w:sz w:val="24"/>
          <w:szCs w:val="24"/>
          <w:shd w:val="clear" w:color="auto" w:fill="FFFFFF"/>
          <w:lang w:val="en-US"/>
        </w:rPr>
        <w:t>; </w:t>
      </w:r>
      <w:hyperlink r:id="rId12" w:tooltip="View LawCiteRecord" w:history="1">
        <w:r w:rsidR="005C01C7" w:rsidRPr="005C01C7">
          <w:rPr>
            <w:rStyle w:val="Hyperlink"/>
            <w:rFonts w:ascii="Arial" w:hAnsi="Arial" w:cs="Arial"/>
            <w:bCs/>
            <w:color w:val="auto"/>
            <w:sz w:val="24"/>
            <w:szCs w:val="24"/>
            <w:u w:val="none"/>
            <w:shd w:val="clear" w:color="auto" w:fill="FFFFFF"/>
            <w:lang w:val="en-US"/>
          </w:rPr>
          <w:t>2017 (4) BCLR 445</w:t>
        </w:r>
      </w:hyperlink>
      <w:r w:rsidR="005C01C7" w:rsidRPr="005C01C7">
        <w:rPr>
          <w:rFonts w:ascii="Arial" w:hAnsi="Arial" w:cs="Arial"/>
          <w:sz w:val="24"/>
          <w:szCs w:val="24"/>
          <w:shd w:val="clear" w:color="auto" w:fill="FFFFFF"/>
          <w:lang w:val="en-US"/>
        </w:rPr>
        <w:t> </w:t>
      </w:r>
      <w:r w:rsidR="005C01C7">
        <w:rPr>
          <w:rFonts w:ascii="Arial" w:hAnsi="Arial" w:cs="Arial"/>
          <w:sz w:val="24"/>
          <w:szCs w:val="24"/>
          <w:shd w:val="clear" w:color="auto" w:fill="FFFFFF"/>
          <w:lang w:val="en-US"/>
        </w:rPr>
        <w:t xml:space="preserve">(CC) para 18 </w:t>
      </w:r>
      <w:r w:rsidR="00EE5D1B" w:rsidRPr="005C01C7">
        <w:rPr>
          <w:rFonts w:ascii="Arial" w:hAnsi="Arial" w:cs="Arial"/>
          <w:sz w:val="24"/>
          <w:szCs w:val="24"/>
          <w:lang w:val="en-US"/>
        </w:rPr>
        <w:t xml:space="preserve">warned that </w:t>
      </w:r>
      <w:bookmarkEnd w:id="5"/>
      <w:r w:rsidR="00EE5D1B" w:rsidRPr="005C01C7">
        <w:rPr>
          <w:rFonts w:ascii="Arial" w:hAnsi="Arial" w:cs="Arial"/>
          <w:sz w:val="24"/>
          <w:szCs w:val="24"/>
          <w:lang w:val="en-US"/>
        </w:rPr>
        <w:t>t</w:t>
      </w:r>
      <w:r w:rsidR="00EE5D1B" w:rsidRPr="005C01C7">
        <w:rPr>
          <w:rFonts w:ascii="Arial" w:hAnsi="Arial" w:cs="Arial"/>
          <w:sz w:val="24"/>
          <w:szCs w:val="24"/>
        </w:rPr>
        <w:t>he </w:t>
      </w:r>
      <w:r w:rsidR="00EE5D1B" w:rsidRPr="005C01C7">
        <w:rPr>
          <w:rFonts w:ascii="Arial" w:hAnsi="Arial" w:cs="Arial"/>
          <w:i/>
          <w:iCs/>
          <w:sz w:val="24"/>
          <w:szCs w:val="24"/>
        </w:rPr>
        <w:t>Biowatch </w:t>
      </w:r>
      <w:r w:rsidR="00EE5D1B" w:rsidRPr="005C01C7">
        <w:rPr>
          <w:rFonts w:ascii="Arial" w:hAnsi="Arial" w:cs="Arial"/>
          <w:sz w:val="24"/>
          <w:szCs w:val="24"/>
        </w:rPr>
        <w:t xml:space="preserve">rule does not mean risk-free constitutional litigation. Having regard to the character of the litigation, I am of the view that </w:t>
      </w:r>
      <w:r w:rsidR="00EE5D1B" w:rsidRPr="005C01C7">
        <w:rPr>
          <w:rFonts w:ascii="Arial" w:hAnsi="Arial" w:cs="Arial"/>
          <w:i/>
          <w:sz w:val="24"/>
          <w:szCs w:val="24"/>
        </w:rPr>
        <w:t>Biowatch</w:t>
      </w:r>
      <w:r w:rsidR="00EE5D1B" w:rsidRPr="005C01C7">
        <w:rPr>
          <w:rFonts w:ascii="Arial" w:hAnsi="Arial" w:cs="Arial"/>
          <w:sz w:val="24"/>
          <w:szCs w:val="24"/>
        </w:rPr>
        <w:t xml:space="preserve"> does not apply to this case, nor is the losing party to be shielded from costs consequen</w:t>
      </w:r>
      <w:r w:rsidR="00A2348B" w:rsidRPr="005C01C7">
        <w:rPr>
          <w:rFonts w:ascii="Arial" w:hAnsi="Arial" w:cs="Arial"/>
          <w:sz w:val="24"/>
          <w:szCs w:val="24"/>
        </w:rPr>
        <w:t>t</w:t>
      </w:r>
      <w:r w:rsidR="00EE5D1B" w:rsidRPr="005C01C7">
        <w:rPr>
          <w:rFonts w:ascii="Arial" w:hAnsi="Arial" w:cs="Arial"/>
          <w:sz w:val="24"/>
          <w:szCs w:val="24"/>
        </w:rPr>
        <w:t xml:space="preserve"> of its failure.</w:t>
      </w:r>
    </w:p>
    <w:p w:rsidR="00B93060" w:rsidRPr="00096EE5" w:rsidRDefault="00B93060" w:rsidP="00C42E08">
      <w:pPr>
        <w:pStyle w:val="ListParagraph"/>
        <w:spacing w:before="240" w:line="360" w:lineRule="auto"/>
        <w:ind w:left="0"/>
        <w:jc w:val="both"/>
        <w:rPr>
          <w:rFonts w:ascii="Arial" w:hAnsi="Arial" w:cs="Arial"/>
          <w:b/>
          <w:sz w:val="24"/>
          <w:szCs w:val="24"/>
        </w:rPr>
      </w:pPr>
      <w:r w:rsidRPr="00096EE5">
        <w:rPr>
          <w:rFonts w:ascii="Arial" w:hAnsi="Arial" w:cs="Arial"/>
          <w:b/>
          <w:sz w:val="24"/>
          <w:szCs w:val="24"/>
        </w:rPr>
        <w:t>Order</w:t>
      </w:r>
    </w:p>
    <w:p w:rsidR="00325E96" w:rsidRPr="00096EE5" w:rsidRDefault="00B93060" w:rsidP="00C42E08">
      <w:pPr>
        <w:spacing w:line="360" w:lineRule="auto"/>
        <w:jc w:val="both"/>
        <w:rPr>
          <w:rFonts w:ascii="Arial" w:hAnsi="Arial" w:cs="Arial"/>
          <w:sz w:val="24"/>
          <w:szCs w:val="24"/>
        </w:rPr>
      </w:pPr>
      <w:r w:rsidRPr="00096EE5">
        <w:rPr>
          <w:rFonts w:ascii="Arial" w:hAnsi="Arial" w:cs="Arial"/>
          <w:sz w:val="24"/>
          <w:szCs w:val="24"/>
        </w:rPr>
        <w:t>[</w:t>
      </w:r>
      <w:r w:rsidR="002D5616" w:rsidRPr="00096EE5">
        <w:rPr>
          <w:rFonts w:ascii="Arial" w:hAnsi="Arial" w:cs="Arial"/>
          <w:sz w:val="24"/>
          <w:szCs w:val="24"/>
        </w:rPr>
        <w:t>3</w:t>
      </w:r>
      <w:r w:rsidR="000E311F">
        <w:rPr>
          <w:rFonts w:ascii="Arial" w:hAnsi="Arial" w:cs="Arial"/>
          <w:sz w:val="24"/>
          <w:szCs w:val="24"/>
        </w:rPr>
        <w:t>6</w:t>
      </w:r>
      <w:r w:rsidRPr="00096EE5">
        <w:rPr>
          <w:rFonts w:ascii="Arial" w:hAnsi="Arial" w:cs="Arial"/>
          <w:sz w:val="24"/>
          <w:szCs w:val="24"/>
        </w:rPr>
        <w:t>]</w:t>
      </w:r>
      <w:r w:rsidRPr="00096EE5">
        <w:rPr>
          <w:rFonts w:ascii="Arial" w:hAnsi="Arial" w:cs="Arial"/>
          <w:sz w:val="24"/>
          <w:szCs w:val="24"/>
        </w:rPr>
        <w:tab/>
      </w:r>
      <w:r w:rsidR="00387D27" w:rsidRPr="00096EE5">
        <w:rPr>
          <w:rFonts w:ascii="Arial" w:hAnsi="Arial" w:cs="Arial"/>
          <w:sz w:val="24"/>
          <w:szCs w:val="24"/>
        </w:rPr>
        <w:t>I make the following order:</w:t>
      </w:r>
    </w:p>
    <w:p w:rsidR="00A9096D" w:rsidRPr="006C26D5" w:rsidRDefault="006C26D5" w:rsidP="006C26D5">
      <w:pPr>
        <w:spacing w:line="360" w:lineRule="auto"/>
        <w:ind w:left="1080" w:hanging="360"/>
        <w:jc w:val="both"/>
        <w:rPr>
          <w:rFonts w:ascii="Arial" w:eastAsia="Times New Roman" w:hAnsi="Arial" w:cs="Arial"/>
          <w:b/>
          <w:sz w:val="24"/>
          <w:szCs w:val="24"/>
          <w:lang w:eastAsia="en-ZA"/>
        </w:rPr>
      </w:pPr>
      <w:r w:rsidRPr="00D86A33">
        <w:rPr>
          <w:rFonts w:ascii="Arial" w:eastAsia="Times New Roman" w:hAnsi="Arial" w:cs="Arial"/>
          <w:sz w:val="24"/>
          <w:szCs w:val="24"/>
          <w:lang w:eastAsia="en-ZA"/>
        </w:rPr>
        <w:t>1.</w:t>
      </w:r>
      <w:r w:rsidRPr="00D86A33">
        <w:rPr>
          <w:rFonts w:ascii="Arial" w:eastAsia="Times New Roman" w:hAnsi="Arial" w:cs="Arial"/>
          <w:sz w:val="24"/>
          <w:szCs w:val="24"/>
          <w:lang w:eastAsia="en-ZA"/>
        </w:rPr>
        <w:tab/>
      </w:r>
      <w:r w:rsidR="00125E99" w:rsidRPr="006C26D5">
        <w:rPr>
          <w:rFonts w:ascii="Arial" w:hAnsi="Arial" w:cs="Arial"/>
          <w:sz w:val="24"/>
          <w:szCs w:val="24"/>
        </w:rPr>
        <w:t xml:space="preserve">The application by NUM for urgent interim relief in paragraph 4(a) to (c) of the </w:t>
      </w:r>
      <w:r w:rsidR="005D1001" w:rsidRPr="006C26D5">
        <w:rPr>
          <w:rFonts w:ascii="Arial" w:hAnsi="Arial" w:cs="Arial"/>
          <w:sz w:val="24"/>
          <w:szCs w:val="24"/>
        </w:rPr>
        <w:t>n</w:t>
      </w:r>
      <w:r w:rsidR="00125E99" w:rsidRPr="006C26D5">
        <w:rPr>
          <w:rFonts w:ascii="Arial" w:hAnsi="Arial" w:cs="Arial"/>
          <w:sz w:val="24"/>
          <w:szCs w:val="24"/>
        </w:rPr>
        <w:t xml:space="preserve">otice of </w:t>
      </w:r>
      <w:r w:rsidR="005D1001" w:rsidRPr="006C26D5">
        <w:rPr>
          <w:rFonts w:ascii="Arial" w:hAnsi="Arial" w:cs="Arial"/>
          <w:sz w:val="24"/>
          <w:szCs w:val="24"/>
        </w:rPr>
        <w:t>m</w:t>
      </w:r>
      <w:r w:rsidR="00125E99" w:rsidRPr="006C26D5">
        <w:rPr>
          <w:rFonts w:ascii="Arial" w:hAnsi="Arial" w:cs="Arial"/>
          <w:sz w:val="24"/>
          <w:szCs w:val="24"/>
        </w:rPr>
        <w:t xml:space="preserve">otion is dismissed with costs, including the costs of two counsel where so employed. </w:t>
      </w:r>
    </w:p>
    <w:p w:rsidR="00142855" w:rsidRPr="00096EE5" w:rsidRDefault="00142855" w:rsidP="00C42E08">
      <w:pPr>
        <w:pStyle w:val="ListParagraph"/>
        <w:spacing w:line="360" w:lineRule="auto"/>
        <w:ind w:left="1080"/>
        <w:jc w:val="both"/>
        <w:rPr>
          <w:rFonts w:ascii="Arial" w:hAnsi="Arial" w:cs="Arial"/>
          <w:sz w:val="24"/>
          <w:szCs w:val="24"/>
          <w:highlight w:val="yellow"/>
        </w:rPr>
      </w:pPr>
    </w:p>
    <w:p w:rsidR="00387D27" w:rsidRPr="00096EE5" w:rsidRDefault="00387D27" w:rsidP="008C3184">
      <w:pPr>
        <w:pStyle w:val="ListParagraph"/>
        <w:spacing w:line="360" w:lineRule="auto"/>
        <w:ind w:left="5760"/>
        <w:jc w:val="right"/>
        <w:rPr>
          <w:rFonts w:ascii="Arial" w:hAnsi="Arial" w:cs="Arial"/>
          <w:sz w:val="24"/>
          <w:szCs w:val="24"/>
        </w:rPr>
      </w:pPr>
      <w:r w:rsidRPr="00096EE5">
        <w:rPr>
          <w:rFonts w:ascii="Arial" w:hAnsi="Arial" w:cs="Arial"/>
          <w:sz w:val="24"/>
          <w:szCs w:val="24"/>
        </w:rPr>
        <w:t>_______________________</w:t>
      </w:r>
    </w:p>
    <w:p w:rsidR="00387D27" w:rsidRPr="00096EE5" w:rsidRDefault="00387D27" w:rsidP="008C3184">
      <w:pPr>
        <w:spacing w:line="360" w:lineRule="auto"/>
        <w:jc w:val="right"/>
        <w:rPr>
          <w:rFonts w:ascii="Arial" w:hAnsi="Arial" w:cs="Arial"/>
          <w:b/>
          <w:sz w:val="24"/>
          <w:szCs w:val="24"/>
        </w:rPr>
      </w:pPr>
      <w:r w:rsidRPr="00096EE5">
        <w:rPr>
          <w:rFonts w:ascii="Arial" w:hAnsi="Arial" w:cs="Arial"/>
          <w:sz w:val="24"/>
          <w:szCs w:val="24"/>
        </w:rPr>
        <w:tab/>
      </w:r>
      <w:r w:rsidRPr="00096EE5">
        <w:rPr>
          <w:rFonts w:ascii="Arial" w:hAnsi="Arial" w:cs="Arial"/>
          <w:sz w:val="24"/>
          <w:szCs w:val="24"/>
        </w:rPr>
        <w:tab/>
      </w:r>
      <w:r w:rsidRPr="00096EE5">
        <w:rPr>
          <w:rFonts w:ascii="Arial" w:hAnsi="Arial" w:cs="Arial"/>
          <w:sz w:val="24"/>
          <w:szCs w:val="24"/>
        </w:rPr>
        <w:tab/>
      </w:r>
      <w:r w:rsidRPr="00096EE5">
        <w:rPr>
          <w:rFonts w:ascii="Arial" w:hAnsi="Arial" w:cs="Arial"/>
          <w:sz w:val="24"/>
          <w:szCs w:val="24"/>
        </w:rPr>
        <w:tab/>
      </w:r>
      <w:r w:rsidRPr="00096EE5">
        <w:rPr>
          <w:rFonts w:ascii="Arial" w:hAnsi="Arial" w:cs="Arial"/>
          <w:sz w:val="24"/>
          <w:szCs w:val="24"/>
        </w:rPr>
        <w:tab/>
      </w:r>
      <w:r w:rsidRPr="00096EE5">
        <w:rPr>
          <w:rFonts w:ascii="Arial" w:hAnsi="Arial" w:cs="Arial"/>
          <w:sz w:val="24"/>
          <w:szCs w:val="24"/>
        </w:rPr>
        <w:tab/>
      </w:r>
      <w:r w:rsidRPr="00096EE5">
        <w:rPr>
          <w:rFonts w:ascii="Arial" w:hAnsi="Arial" w:cs="Arial"/>
          <w:sz w:val="24"/>
          <w:szCs w:val="24"/>
        </w:rPr>
        <w:tab/>
      </w:r>
      <w:r w:rsidRPr="00096EE5">
        <w:rPr>
          <w:rFonts w:ascii="Arial" w:hAnsi="Arial" w:cs="Arial"/>
          <w:sz w:val="24"/>
          <w:szCs w:val="24"/>
        </w:rPr>
        <w:tab/>
      </w:r>
      <w:r w:rsidR="00C72654" w:rsidRPr="00C72654">
        <w:rPr>
          <w:rFonts w:ascii="Arial" w:hAnsi="Arial" w:cs="Arial"/>
          <w:b/>
          <w:sz w:val="24"/>
          <w:szCs w:val="24"/>
        </w:rPr>
        <w:t>M R</w:t>
      </w:r>
      <w:r w:rsidR="00C72654">
        <w:rPr>
          <w:rFonts w:ascii="Arial" w:hAnsi="Arial" w:cs="Arial"/>
          <w:sz w:val="24"/>
          <w:szCs w:val="24"/>
        </w:rPr>
        <w:t xml:space="preserve"> </w:t>
      </w:r>
      <w:r w:rsidRPr="00096EE5">
        <w:rPr>
          <w:rFonts w:ascii="Arial" w:hAnsi="Arial" w:cs="Arial"/>
          <w:b/>
          <w:sz w:val="24"/>
          <w:szCs w:val="24"/>
        </w:rPr>
        <w:t>C</w:t>
      </w:r>
      <w:r w:rsidR="00B93060" w:rsidRPr="00096EE5">
        <w:rPr>
          <w:rFonts w:ascii="Arial" w:hAnsi="Arial" w:cs="Arial"/>
          <w:b/>
          <w:sz w:val="24"/>
          <w:szCs w:val="24"/>
        </w:rPr>
        <w:t xml:space="preserve">hetty </w:t>
      </w:r>
    </w:p>
    <w:p w:rsidR="00387D27" w:rsidRPr="00096EE5" w:rsidRDefault="00387D27" w:rsidP="00C42E08">
      <w:pPr>
        <w:spacing w:line="360" w:lineRule="auto"/>
        <w:jc w:val="both"/>
        <w:rPr>
          <w:rFonts w:ascii="Arial" w:hAnsi="Arial" w:cs="Arial"/>
          <w:b/>
          <w:sz w:val="24"/>
          <w:szCs w:val="24"/>
          <w:u w:val="single"/>
        </w:rPr>
      </w:pPr>
    </w:p>
    <w:p w:rsidR="00D86A33" w:rsidRPr="00E9378B" w:rsidRDefault="00D86A33" w:rsidP="00D86A33">
      <w:pPr>
        <w:rPr>
          <w:rFonts w:ascii="Arial" w:hAnsi="Arial" w:cs="Arial"/>
          <w:sz w:val="24"/>
          <w:szCs w:val="24"/>
          <w:u w:val="single"/>
        </w:rPr>
      </w:pPr>
      <w:r w:rsidRPr="00E9378B">
        <w:rPr>
          <w:rFonts w:ascii="Arial" w:hAnsi="Arial" w:cs="Arial"/>
          <w:sz w:val="24"/>
          <w:szCs w:val="24"/>
          <w:u w:val="single"/>
        </w:rPr>
        <w:t xml:space="preserve">Appearances </w:t>
      </w:r>
    </w:p>
    <w:p w:rsidR="00D86A33" w:rsidRDefault="00D86A33" w:rsidP="00D86A33">
      <w:pPr>
        <w:rPr>
          <w:rFonts w:ascii="Arial" w:hAnsi="Arial" w:cs="Arial"/>
          <w:sz w:val="24"/>
          <w:szCs w:val="24"/>
        </w:rPr>
      </w:pPr>
    </w:p>
    <w:p w:rsidR="00D86A33" w:rsidRDefault="00D86A33" w:rsidP="00D86A33">
      <w:pPr>
        <w:rPr>
          <w:rFonts w:ascii="Arial" w:hAnsi="Arial" w:cs="Arial"/>
          <w:sz w:val="24"/>
          <w:szCs w:val="24"/>
        </w:rPr>
      </w:pPr>
      <w:r>
        <w:rPr>
          <w:rFonts w:ascii="Arial" w:hAnsi="Arial" w:cs="Arial"/>
          <w:sz w:val="24"/>
          <w:szCs w:val="24"/>
        </w:rPr>
        <w:t xml:space="preserve">For the applicant (NUM) </w:t>
      </w:r>
      <w:r>
        <w:rPr>
          <w:rFonts w:ascii="Arial" w:hAnsi="Arial" w:cs="Arial"/>
          <w:sz w:val="24"/>
          <w:szCs w:val="24"/>
        </w:rPr>
        <w:tab/>
      </w:r>
      <w:r>
        <w:rPr>
          <w:rFonts w:ascii="Arial" w:hAnsi="Arial" w:cs="Arial"/>
          <w:sz w:val="24"/>
          <w:szCs w:val="24"/>
        </w:rPr>
        <w:tab/>
        <w:t>C Badenhorst SC and M Desai</w:t>
      </w:r>
    </w:p>
    <w:p w:rsidR="00D86A33" w:rsidRDefault="00D86A33" w:rsidP="00D86A33">
      <w:pPr>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Ulrich Roux and associates</w:t>
      </w:r>
    </w:p>
    <w:p w:rsidR="00D86A33" w:rsidRDefault="00D86A33" w:rsidP="00D86A33">
      <w:pPr>
        <w:rPr>
          <w:rFonts w:ascii="Arial" w:hAnsi="Arial" w:cs="Arial"/>
          <w:sz w:val="24"/>
          <w:szCs w:val="24"/>
        </w:rPr>
      </w:pPr>
      <w:r>
        <w:rPr>
          <w:rFonts w:ascii="Arial" w:hAnsi="Arial" w:cs="Arial"/>
          <w:sz w:val="24"/>
          <w:szCs w:val="24"/>
        </w:rPr>
        <w:t>Address: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 Chaplin Road, Sandton</w:t>
      </w:r>
    </w:p>
    <w:p w:rsidR="00D86A33" w:rsidRDefault="00D86A33" w:rsidP="00D86A33">
      <w:pPr>
        <w:rPr>
          <w:rFonts w:ascii="Arial" w:hAnsi="Arial" w:cs="Arial"/>
          <w:sz w:val="24"/>
          <w:szCs w:val="24"/>
        </w:rPr>
      </w:pPr>
      <w:r>
        <w:rPr>
          <w:rFonts w:ascii="Arial" w:hAnsi="Arial" w:cs="Arial"/>
          <w:sz w:val="24"/>
          <w:szCs w:val="24"/>
        </w:rPr>
        <w:lastRenderedPageBreak/>
        <w:t>Tel: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011 455 4640</w:t>
      </w:r>
    </w:p>
    <w:p w:rsidR="00D86A33" w:rsidRDefault="00D86A33" w:rsidP="00D86A33">
      <w:pPr>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3" w:history="1">
        <w:r w:rsidRPr="001C69CC">
          <w:rPr>
            <w:rStyle w:val="Hyperlink"/>
            <w:rFonts w:ascii="Arial" w:hAnsi="Arial" w:cs="Arial"/>
            <w:sz w:val="24"/>
            <w:szCs w:val="24"/>
          </w:rPr>
          <w:t>Ulrich@rouxlegal.com</w:t>
        </w:r>
      </w:hyperlink>
      <w:r>
        <w:rPr>
          <w:rFonts w:ascii="Arial" w:hAnsi="Arial" w:cs="Arial"/>
          <w:sz w:val="24"/>
          <w:szCs w:val="24"/>
        </w:rPr>
        <w:t xml:space="preserve"> </w:t>
      </w:r>
    </w:p>
    <w:p w:rsidR="00D86A33" w:rsidRDefault="00D86A33" w:rsidP="00D86A3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4" w:history="1">
        <w:r w:rsidRPr="001C69CC">
          <w:rPr>
            <w:rStyle w:val="Hyperlink"/>
            <w:rFonts w:ascii="Arial" w:hAnsi="Arial" w:cs="Arial"/>
            <w:sz w:val="24"/>
            <w:szCs w:val="24"/>
          </w:rPr>
          <w:t>casper@rouxlegal.com</w:t>
        </w:r>
      </w:hyperlink>
      <w:r>
        <w:rPr>
          <w:rFonts w:ascii="Arial" w:hAnsi="Arial" w:cs="Arial"/>
          <w:sz w:val="24"/>
          <w:szCs w:val="24"/>
        </w:rPr>
        <w:t xml:space="preserve"> </w:t>
      </w:r>
    </w:p>
    <w:p w:rsidR="00D86A33" w:rsidRDefault="00D86A33" w:rsidP="00D86A33">
      <w:pPr>
        <w:rPr>
          <w:rFonts w:ascii="Arial" w:hAnsi="Arial" w:cs="Arial"/>
          <w:sz w:val="24"/>
          <w:szCs w:val="24"/>
        </w:rPr>
      </w:pPr>
      <w:r>
        <w:rPr>
          <w:rFonts w:ascii="Arial" w:hAnsi="Arial" w:cs="Arial"/>
          <w:sz w:val="24"/>
          <w:szCs w:val="24"/>
        </w:rPr>
        <w:t xml:space="preserve">Ref: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UR/CB/MU2147</w:t>
      </w:r>
    </w:p>
    <w:p w:rsidR="00D86A33" w:rsidRDefault="00D86A33" w:rsidP="00D86A33">
      <w:pPr>
        <w:rPr>
          <w:rFonts w:ascii="Arial" w:hAnsi="Arial" w:cs="Arial"/>
          <w:sz w:val="24"/>
          <w:szCs w:val="24"/>
        </w:rPr>
      </w:pPr>
      <w:r>
        <w:rPr>
          <w:rFonts w:ascii="Arial" w:hAnsi="Arial" w:cs="Arial"/>
          <w:sz w:val="24"/>
          <w:szCs w:val="24"/>
        </w:rPr>
        <w:t>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RVB INC Attorneys </w:t>
      </w:r>
    </w:p>
    <w:p w:rsidR="00D86A33" w:rsidRDefault="00D86A33" w:rsidP="00D86A3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Glass House Office Park </w:t>
      </w:r>
    </w:p>
    <w:p w:rsidR="00D86A33" w:rsidRDefault="00D86A33" w:rsidP="00D86A3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Umhlanga</w:t>
      </w:r>
    </w:p>
    <w:p w:rsidR="00D86A33" w:rsidRDefault="00D86A33" w:rsidP="00D86A33">
      <w:pPr>
        <w:rPr>
          <w:rFonts w:ascii="Arial" w:hAnsi="Arial" w:cs="Arial"/>
          <w:sz w:val="24"/>
          <w:szCs w:val="24"/>
        </w:rPr>
      </w:pPr>
      <w:r>
        <w:rPr>
          <w:rFonts w:ascii="Arial" w:hAnsi="Arial" w:cs="Arial"/>
          <w:sz w:val="24"/>
          <w:szCs w:val="24"/>
        </w:rPr>
        <w:t>Tel: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082 853 9714</w:t>
      </w:r>
    </w:p>
    <w:p w:rsidR="00D86A33" w:rsidRDefault="00D86A33" w:rsidP="00D86A33">
      <w:pPr>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5" w:history="1">
        <w:r w:rsidRPr="001C69CC">
          <w:rPr>
            <w:rStyle w:val="Hyperlink"/>
            <w:rFonts w:ascii="Arial" w:hAnsi="Arial" w:cs="Arial"/>
            <w:sz w:val="24"/>
            <w:szCs w:val="24"/>
          </w:rPr>
          <w:t>ramnanan@rvbinc.co.za</w:t>
        </w:r>
      </w:hyperlink>
    </w:p>
    <w:p w:rsidR="00D86A33" w:rsidRDefault="00D86A33" w:rsidP="00D86A3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6" w:history="1">
        <w:r w:rsidRPr="001C69CC">
          <w:rPr>
            <w:rStyle w:val="Hyperlink"/>
            <w:rFonts w:ascii="Arial" w:hAnsi="Arial" w:cs="Arial"/>
            <w:sz w:val="24"/>
            <w:szCs w:val="24"/>
          </w:rPr>
          <w:t>govender@rvbinc.co.za</w:t>
        </w:r>
      </w:hyperlink>
      <w:r>
        <w:rPr>
          <w:rFonts w:ascii="Arial" w:hAnsi="Arial" w:cs="Arial"/>
          <w:sz w:val="24"/>
          <w:szCs w:val="24"/>
        </w:rPr>
        <w:t xml:space="preserve"> </w:t>
      </w:r>
    </w:p>
    <w:p w:rsidR="00D86A33" w:rsidRPr="00220026" w:rsidRDefault="00D86A33" w:rsidP="00D86A33">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D86A33" w:rsidRDefault="00D86A33" w:rsidP="00D86A33">
      <w:pPr>
        <w:rPr>
          <w:rFonts w:ascii="Arial" w:hAnsi="Arial" w:cs="Arial"/>
          <w:sz w:val="24"/>
          <w:szCs w:val="24"/>
        </w:rPr>
      </w:pPr>
      <w:r w:rsidRPr="00220026">
        <w:rPr>
          <w:rFonts w:ascii="Arial" w:hAnsi="Arial" w:cs="Arial"/>
          <w:sz w:val="24"/>
          <w:szCs w:val="24"/>
        </w:rPr>
        <w:t xml:space="preserve">For the </w:t>
      </w:r>
      <w:r>
        <w:rPr>
          <w:rFonts w:ascii="Arial" w:hAnsi="Arial" w:cs="Arial"/>
          <w:sz w:val="24"/>
          <w:szCs w:val="24"/>
        </w:rPr>
        <w:t>First Respondent (RBCT)</w:t>
      </w:r>
      <w:r>
        <w:rPr>
          <w:rFonts w:ascii="Arial" w:hAnsi="Arial" w:cs="Arial"/>
          <w:sz w:val="24"/>
          <w:szCs w:val="24"/>
        </w:rPr>
        <w:tab/>
        <w:t xml:space="preserve">V Voormolen SC and S Pudifin-Jones </w:t>
      </w:r>
    </w:p>
    <w:p w:rsidR="00D86A33" w:rsidRDefault="00D86A33" w:rsidP="00D86A33">
      <w:pPr>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Lawtons Attorneys</w:t>
      </w:r>
    </w:p>
    <w:p w:rsidR="00D86A33" w:rsidRDefault="00D86A33" w:rsidP="00D86A33">
      <w:pPr>
        <w:rPr>
          <w:rFonts w:ascii="Arial" w:hAnsi="Arial" w:cs="Arial"/>
          <w:sz w:val="24"/>
          <w:szCs w:val="24"/>
        </w:rPr>
      </w:pPr>
      <w:r>
        <w:rPr>
          <w:rFonts w:ascii="Arial" w:hAnsi="Arial" w:cs="Arial"/>
          <w:sz w:val="24"/>
          <w:szCs w:val="24"/>
        </w:rPr>
        <w:t>Address: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140 West Street, Sandown</w:t>
      </w:r>
    </w:p>
    <w:p w:rsidR="00D86A33" w:rsidRDefault="00D86A33" w:rsidP="00D86A3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Johannesburg </w:t>
      </w:r>
    </w:p>
    <w:p w:rsidR="00D86A33" w:rsidRDefault="00D86A33" w:rsidP="00D86A33">
      <w:pPr>
        <w:rPr>
          <w:rFonts w:ascii="Arial" w:hAnsi="Arial" w:cs="Arial"/>
          <w:sz w:val="24"/>
          <w:szCs w:val="24"/>
        </w:rPr>
      </w:pPr>
      <w:r>
        <w:rPr>
          <w:rFonts w:ascii="Arial" w:hAnsi="Arial" w:cs="Arial"/>
          <w:sz w:val="24"/>
          <w:szCs w:val="24"/>
        </w:rPr>
        <w:t>Tel: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011 286 6900</w:t>
      </w:r>
    </w:p>
    <w:p w:rsidR="00D86A33" w:rsidRDefault="00D86A33" w:rsidP="00D86A33">
      <w:pPr>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7" w:history="1">
        <w:r w:rsidRPr="001C69CC">
          <w:rPr>
            <w:rStyle w:val="Hyperlink"/>
            <w:rFonts w:ascii="Arial" w:hAnsi="Arial" w:cs="Arial"/>
            <w:sz w:val="24"/>
            <w:szCs w:val="24"/>
          </w:rPr>
          <w:t>jeff.buckland@lawtonsafrica.com</w:t>
        </w:r>
      </w:hyperlink>
      <w:r>
        <w:rPr>
          <w:rFonts w:ascii="Arial" w:hAnsi="Arial" w:cs="Arial"/>
          <w:sz w:val="24"/>
          <w:szCs w:val="24"/>
        </w:rPr>
        <w:t xml:space="preserve"> </w:t>
      </w:r>
    </w:p>
    <w:p w:rsidR="00D86A33" w:rsidRDefault="00D86A33" w:rsidP="00D86A3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8" w:history="1">
        <w:r w:rsidRPr="001C69CC">
          <w:rPr>
            <w:rStyle w:val="Hyperlink"/>
            <w:rFonts w:ascii="Arial" w:hAnsi="Arial" w:cs="Arial"/>
            <w:sz w:val="24"/>
            <w:szCs w:val="24"/>
          </w:rPr>
          <w:t>Veronica.vurgarellis@lawtonsafrica.com</w:t>
        </w:r>
      </w:hyperlink>
    </w:p>
    <w:p w:rsidR="00D86A33" w:rsidRDefault="00D86A33" w:rsidP="00D86A3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9" w:history="1">
        <w:r w:rsidRPr="001C69CC">
          <w:rPr>
            <w:rStyle w:val="Hyperlink"/>
            <w:rFonts w:ascii="Arial" w:hAnsi="Arial" w:cs="Arial"/>
            <w:sz w:val="24"/>
            <w:szCs w:val="24"/>
          </w:rPr>
          <w:t>Bradley.frolick@lawtonsafrica.com</w:t>
        </w:r>
      </w:hyperlink>
    </w:p>
    <w:p w:rsidR="00D86A33" w:rsidRDefault="00D86A33" w:rsidP="00D86A33">
      <w:pPr>
        <w:rPr>
          <w:rFonts w:ascii="Arial" w:hAnsi="Arial" w:cs="Arial"/>
          <w:sz w:val="24"/>
          <w:szCs w:val="24"/>
        </w:rPr>
      </w:pPr>
      <w:r>
        <w:rPr>
          <w:rFonts w:ascii="Arial" w:hAnsi="Arial" w:cs="Arial"/>
          <w:sz w:val="24"/>
          <w:szCs w:val="24"/>
        </w:rPr>
        <w:t>Ref: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 Buckland/ V V Vurgarells/ 2101-0009</w:t>
      </w:r>
    </w:p>
    <w:p w:rsidR="00D86A33" w:rsidRDefault="00D86A33" w:rsidP="00D86A33">
      <w:pPr>
        <w:rPr>
          <w:rFonts w:ascii="Arial" w:hAnsi="Arial" w:cs="Arial"/>
          <w:sz w:val="24"/>
          <w:szCs w:val="24"/>
        </w:rPr>
      </w:pPr>
      <w:r>
        <w:rPr>
          <w:rFonts w:ascii="Arial" w:hAnsi="Arial" w:cs="Arial"/>
          <w:sz w:val="24"/>
          <w:szCs w:val="24"/>
        </w:rPr>
        <w:t>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Sheptone &amp; Wylie Attorneys </w:t>
      </w:r>
    </w:p>
    <w:p w:rsidR="00D86A33" w:rsidRDefault="00D86A33" w:rsidP="00D86A33">
      <w:pPr>
        <w:rPr>
          <w:rFonts w:ascii="Arial" w:hAnsi="Arial" w:cs="Arial"/>
          <w:sz w:val="24"/>
          <w:szCs w:val="24"/>
        </w:rPr>
      </w:pPr>
      <w:r>
        <w:rPr>
          <w:rFonts w:ascii="Arial" w:hAnsi="Arial" w:cs="Arial"/>
          <w:sz w:val="24"/>
          <w:szCs w:val="24"/>
        </w:rPr>
        <w:t>Tel: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031 575 7000</w:t>
      </w:r>
    </w:p>
    <w:p w:rsidR="00D86A33" w:rsidRDefault="00D86A33" w:rsidP="00D86A33">
      <w:pPr>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20" w:history="1">
        <w:r w:rsidRPr="001C69CC">
          <w:rPr>
            <w:rStyle w:val="Hyperlink"/>
            <w:rFonts w:ascii="Arial" w:hAnsi="Arial" w:cs="Arial"/>
            <w:sz w:val="24"/>
            <w:szCs w:val="24"/>
          </w:rPr>
          <w:t>raman@wylie.co.za</w:t>
        </w:r>
      </w:hyperlink>
      <w:r>
        <w:rPr>
          <w:rFonts w:ascii="Arial" w:hAnsi="Arial" w:cs="Arial"/>
          <w:sz w:val="24"/>
          <w:szCs w:val="24"/>
        </w:rPr>
        <w:t xml:space="preserve"> </w:t>
      </w:r>
    </w:p>
    <w:p w:rsidR="00D86A33" w:rsidRDefault="00D86A33" w:rsidP="00D86A33">
      <w:pPr>
        <w:rPr>
          <w:rFonts w:ascii="Arial" w:hAnsi="Arial" w:cs="Arial"/>
          <w:sz w:val="24"/>
          <w:szCs w:val="24"/>
        </w:rPr>
      </w:pPr>
    </w:p>
    <w:p w:rsidR="00D86A33" w:rsidRDefault="00D86A33" w:rsidP="00D86A33">
      <w:pPr>
        <w:rPr>
          <w:rFonts w:ascii="Arial" w:hAnsi="Arial" w:cs="Arial"/>
          <w:sz w:val="24"/>
          <w:szCs w:val="24"/>
        </w:rPr>
      </w:pPr>
    </w:p>
    <w:p w:rsidR="00D86A33" w:rsidRDefault="00D86A33" w:rsidP="00D86A33">
      <w:pPr>
        <w:rPr>
          <w:rFonts w:ascii="Arial" w:hAnsi="Arial" w:cs="Arial"/>
          <w:sz w:val="24"/>
          <w:szCs w:val="24"/>
        </w:rPr>
      </w:pPr>
      <w:r>
        <w:rPr>
          <w:rFonts w:ascii="Arial" w:hAnsi="Arial" w:cs="Arial"/>
          <w:sz w:val="24"/>
          <w:szCs w:val="24"/>
        </w:rPr>
        <w:t xml:space="preserve">For First and Second Applicants </w:t>
      </w:r>
    </w:p>
    <w:p w:rsidR="00D86A33" w:rsidRDefault="00D86A33" w:rsidP="00D86A33">
      <w:pPr>
        <w:rPr>
          <w:rFonts w:ascii="Arial" w:hAnsi="Arial" w:cs="Arial"/>
          <w:sz w:val="24"/>
          <w:szCs w:val="24"/>
        </w:rPr>
      </w:pPr>
      <w:r>
        <w:rPr>
          <w:rFonts w:ascii="Arial" w:hAnsi="Arial" w:cs="Arial"/>
          <w:sz w:val="24"/>
          <w:szCs w:val="24"/>
        </w:rPr>
        <w:lastRenderedPageBreak/>
        <w:t>(OCT) and (OCM)</w:t>
      </w:r>
      <w:r>
        <w:rPr>
          <w:rFonts w:ascii="Arial" w:hAnsi="Arial" w:cs="Arial"/>
          <w:sz w:val="24"/>
          <w:szCs w:val="24"/>
        </w:rPr>
        <w:tab/>
      </w:r>
      <w:r>
        <w:rPr>
          <w:rFonts w:ascii="Arial" w:hAnsi="Arial" w:cs="Arial"/>
          <w:sz w:val="24"/>
          <w:szCs w:val="24"/>
        </w:rPr>
        <w:tab/>
      </w:r>
      <w:r>
        <w:rPr>
          <w:rFonts w:ascii="Arial" w:hAnsi="Arial" w:cs="Arial"/>
          <w:sz w:val="24"/>
          <w:szCs w:val="24"/>
        </w:rPr>
        <w:tab/>
        <w:t>DG Wickins SC</w:t>
      </w:r>
    </w:p>
    <w:p w:rsidR="00D86A33" w:rsidRDefault="00D86A33" w:rsidP="00D86A33">
      <w:pPr>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Smit Sewgoolam Incorporated</w:t>
      </w:r>
    </w:p>
    <w:p w:rsidR="00D86A33" w:rsidRDefault="00D86A33" w:rsidP="00D86A33">
      <w:pPr>
        <w:rPr>
          <w:rFonts w:ascii="Arial" w:hAnsi="Arial" w:cs="Arial"/>
          <w:sz w:val="24"/>
          <w:szCs w:val="24"/>
        </w:rPr>
      </w:pPr>
      <w:r>
        <w:rPr>
          <w:rFonts w:ascii="Arial" w:hAnsi="Arial" w:cs="Arial"/>
          <w:sz w:val="24"/>
          <w:szCs w:val="24"/>
        </w:rPr>
        <w:t>Address: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 Avonwold Road, Cnr. Jan Smuts Avenue</w:t>
      </w:r>
    </w:p>
    <w:p w:rsidR="00D86A33" w:rsidRDefault="00D86A33" w:rsidP="00D86A3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Saxonworld 2132</w:t>
      </w:r>
    </w:p>
    <w:p w:rsidR="00D86A33" w:rsidRDefault="00D86A33" w:rsidP="00D86A33">
      <w:pPr>
        <w:rPr>
          <w:rFonts w:ascii="Arial" w:hAnsi="Arial" w:cs="Arial"/>
          <w:sz w:val="24"/>
          <w:szCs w:val="24"/>
        </w:rPr>
      </w:pPr>
      <w:r>
        <w:rPr>
          <w:rFonts w:ascii="Arial" w:hAnsi="Arial" w:cs="Arial"/>
          <w:sz w:val="24"/>
          <w:szCs w:val="24"/>
        </w:rPr>
        <w:t>Tel: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011 646 0006</w:t>
      </w:r>
    </w:p>
    <w:p w:rsidR="00D86A33" w:rsidRDefault="00D86A33" w:rsidP="00D86A33">
      <w:pPr>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21" w:history="1">
        <w:r w:rsidRPr="001C69CC">
          <w:rPr>
            <w:rStyle w:val="Hyperlink"/>
            <w:rFonts w:ascii="Arial" w:hAnsi="Arial" w:cs="Arial"/>
            <w:sz w:val="24"/>
            <w:szCs w:val="24"/>
          </w:rPr>
          <w:t>bouwer@smitsew.co.za</w:t>
        </w:r>
      </w:hyperlink>
      <w:r>
        <w:rPr>
          <w:rFonts w:ascii="Arial" w:hAnsi="Arial" w:cs="Arial"/>
          <w:sz w:val="24"/>
          <w:szCs w:val="24"/>
        </w:rPr>
        <w:t xml:space="preserve"> </w:t>
      </w:r>
    </w:p>
    <w:p w:rsidR="00D86A33" w:rsidRDefault="00D86A33" w:rsidP="00D86A3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22" w:history="1">
        <w:r w:rsidRPr="001C69CC">
          <w:rPr>
            <w:rStyle w:val="Hyperlink"/>
            <w:rFonts w:ascii="Arial" w:hAnsi="Arial" w:cs="Arial"/>
            <w:sz w:val="24"/>
            <w:szCs w:val="24"/>
          </w:rPr>
          <w:t>parveen@smitsew.co.za</w:t>
        </w:r>
      </w:hyperlink>
    </w:p>
    <w:p w:rsidR="00D86A33" w:rsidRDefault="00D86A33" w:rsidP="00D86A33">
      <w:pPr>
        <w:rPr>
          <w:rFonts w:ascii="Arial" w:hAnsi="Arial" w:cs="Arial"/>
          <w:sz w:val="24"/>
          <w:szCs w:val="24"/>
        </w:rPr>
      </w:pPr>
      <w:r>
        <w:rPr>
          <w:rFonts w:ascii="Arial" w:hAnsi="Arial" w:cs="Arial"/>
          <w:sz w:val="24"/>
          <w:szCs w:val="24"/>
        </w:rPr>
        <w:t>Ref: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BVN/ZJVR/MAT44056 </w:t>
      </w:r>
    </w:p>
    <w:p w:rsidR="00D86A33" w:rsidRDefault="00D86A33" w:rsidP="00D86A33">
      <w:pPr>
        <w:rPr>
          <w:rFonts w:ascii="Arial" w:hAnsi="Arial" w:cs="Arial"/>
          <w:sz w:val="24"/>
          <w:szCs w:val="24"/>
        </w:rPr>
      </w:pPr>
      <w:r>
        <w:rPr>
          <w:rFonts w:ascii="Arial" w:hAnsi="Arial" w:cs="Arial"/>
          <w:sz w:val="24"/>
          <w:szCs w:val="24"/>
        </w:rPr>
        <w:t>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Johnston &amp; Partners </w:t>
      </w:r>
    </w:p>
    <w:p w:rsidR="00D86A33" w:rsidRDefault="00D86A33" w:rsidP="00D86A33">
      <w:pPr>
        <w:rPr>
          <w:rFonts w:ascii="Arial" w:hAnsi="Arial" w:cs="Arial"/>
          <w:sz w:val="24"/>
          <w:szCs w:val="24"/>
        </w:rPr>
      </w:pPr>
      <w:r>
        <w:rPr>
          <w:rFonts w:ascii="Arial" w:hAnsi="Arial" w:cs="Arial"/>
          <w:sz w:val="24"/>
          <w:szCs w:val="24"/>
        </w:rPr>
        <w:t>Address: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81 Richefond Circle, Umhlanga Rocks</w:t>
      </w:r>
    </w:p>
    <w:p w:rsidR="00D86A33" w:rsidRDefault="00D86A33" w:rsidP="00D86A33">
      <w:pPr>
        <w:rPr>
          <w:rFonts w:ascii="Arial" w:hAnsi="Arial" w:cs="Arial"/>
          <w:sz w:val="24"/>
          <w:szCs w:val="24"/>
        </w:rPr>
      </w:pPr>
      <w:r>
        <w:rPr>
          <w:rFonts w:ascii="Arial" w:hAnsi="Arial" w:cs="Arial"/>
          <w:sz w:val="24"/>
          <w:szCs w:val="24"/>
        </w:rPr>
        <w:t>Tel: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031 536 9700</w:t>
      </w:r>
    </w:p>
    <w:p w:rsidR="00D86A33" w:rsidRDefault="00D86A33" w:rsidP="00D86A33">
      <w:pPr>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23" w:history="1">
        <w:r w:rsidRPr="001C69CC">
          <w:rPr>
            <w:rStyle w:val="Hyperlink"/>
            <w:rFonts w:ascii="Arial" w:hAnsi="Arial" w:cs="Arial"/>
            <w:sz w:val="24"/>
            <w:szCs w:val="24"/>
          </w:rPr>
          <w:t>andrew@johnstonstonkzn.co.za</w:t>
        </w:r>
      </w:hyperlink>
      <w:r>
        <w:rPr>
          <w:rFonts w:ascii="Arial" w:hAnsi="Arial" w:cs="Arial"/>
          <w:sz w:val="24"/>
          <w:szCs w:val="24"/>
        </w:rPr>
        <w:t xml:space="preserve"> </w:t>
      </w:r>
    </w:p>
    <w:p w:rsidR="00D86A33" w:rsidRDefault="00D86A33" w:rsidP="00D86A33">
      <w:pPr>
        <w:rPr>
          <w:rFonts w:ascii="Arial" w:hAnsi="Arial" w:cs="Arial"/>
          <w:sz w:val="24"/>
          <w:szCs w:val="24"/>
        </w:rPr>
      </w:pPr>
      <w:r>
        <w:rPr>
          <w:rFonts w:ascii="Arial" w:hAnsi="Arial" w:cs="Arial"/>
          <w:sz w:val="24"/>
          <w:szCs w:val="24"/>
        </w:rPr>
        <w:t>Ref: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Johnston</w:t>
      </w:r>
    </w:p>
    <w:p w:rsidR="00D86A33" w:rsidRDefault="00D86A33" w:rsidP="00D86A33">
      <w:pPr>
        <w:rPr>
          <w:rFonts w:ascii="Arial" w:hAnsi="Arial" w:cs="Arial"/>
          <w:sz w:val="24"/>
          <w:szCs w:val="24"/>
        </w:rPr>
      </w:pPr>
    </w:p>
    <w:p w:rsidR="00D86A33" w:rsidRDefault="00D86A33" w:rsidP="00D86A33">
      <w:pPr>
        <w:rPr>
          <w:rFonts w:ascii="Arial" w:hAnsi="Arial" w:cs="Arial"/>
          <w:sz w:val="24"/>
          <w:szCs w:val="24"/>
        </w:rPr>
      </w:pPr>
      <w:r>
        <w:rPr>
          <w:rFonts w:ascii="Arial" w:hAnsi="Arial" w:cs="Arial"/>
          <w:sz w:val="24"/>
          <w:szCs w:val="24"/>
        </w:rPr>
        <w:t>For the 2</w:t>
      </w:r>
      <w:r w:rsidRPr="009D6FD6">
        <w:rPr>
          <w:rFonts w:ascii="Arial" w:hAnsi="Arial" w:cs="Arial"/>
          <w:sz w:val="24"/>
          <w:szCs w:val="24"/>
          <w:vertAlign w:val="superscript"/>
        </w:rPr>
        <w:t>nd</w:t>
      </w:r>
      <w:r>
        <w:rPr>
          <w:rFonts w:ascii="Arial" w:hAnsi="Arial" w:cs="Arial"/>
          <w:sz w:val="24"/>
          <w:szCs w:val="24"/>
        </w:rPr>
        <w:t xml:space="preserve"> and 3</w:t>
      </w:r>
      <w:r w:rsidRPr="009D6FD6">
        <w:rPr>
          <w:rFonts w:ascii="Arial" w:hAnsi="Arial" w:cs="Arial"/>
          <w:sz w:val="24"/>
          <w:szCs w:val="24"/>
          <w:vertAlign w:val="superscript"/>
        </w:rPr>
        <w:t>rd</w:t>
      </w:r>
      <w:r>
        <w:rPr>
          <w:rFonts w:ascii="Arial" w:hAnsi="Arial" w:cs="Arial"/>
          <w:sz w:val="24"/>
          <w:szCs w:val="24"/>
        </w:rPr>
        <w:t xml:space="preserve"> respondents:</w:t>
      </w:r>
      <w:r>
        <w:rPr>
          <w:rFonts w:ascii="Arial" w:hAnsi="Arial" w:cs="Arial"/>
          <w:sz w:val="24"/>
          <w:szCs w:val="24"/>
        </w:rPr>
        <w:tab/>
        <w:t xml:space="preserve">P Stais SC </w:t>
      </w:r>
    </w:p>
    <w:p w:rsidR="00D86A33" w:rsidRDefault="00D86A33" w:rsidP="00D86A33">
      <w:pPr>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Mervyn Taback Incorporated </w:t>
      </w:r>
    </w:p>
    <w:p w:rsidR="00D86A33" w:rsidRDefault="00D86A33" w:rsidP="00D86A33">
      <w:pPr>
        <w:rPr>
          <w:rFonts w:ascii="Arial" w:hAnsi="Arial" w:cs="Arial"/>
          <w:sz w:val="24"/>
          <w:szCs w:val="24"/>
        </w:rPr>
      </w:pPr>
      <w:r>
        <w:rPr>
          <w:rFonts w:ascii="Arial" w:hAnsi="Arial" w:cs="Arial"/>
          <w:sz w:val="24"/>
          <w:szCs w:val="24"/>
        </w:rPr>
        <w:t>Address: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 Eton Road, Pinetown</w:t>
      </w:r>
    </w:p>
    <w:p w:rsidR="00D86A33" w:rsidRDefault="00D86A33" w:rsidP="00D86A33">
      <w:pPr>
        <w:rPr>
          <w:rFonts w:ascii="Arial" w:hAnsi="Arial" w:cs="Arial"/>
          <w:sz w:val="24"/>
          <w:szCs w:val="24"/>
        </w:rPr>
      </w:pPr>
      <w:r>
        <w:rPr>
          <w:rFonts w:ascii="Arial" w:hAnsi="Arial" w:cs="Arial"/>
          <w:sz w:val="24"/>
          <w:szCs w:val="24"/>
        </w:rPr>
        <w:t>Tel: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011 358 7700</w:t>
      </w:r>
    </w:p>
    <w:p w:rsidR="00D86A33" w:rsidRDefault="00D86A33" w:rsidP="00D86A33">
      <w:pPr>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24" w:history="1">
        <w:r w:rsidRPr="001C69CC">
          <w:rPr>
            <w:rStyle w:val="Hyperlink"/>
            <w:rFonts w:ascii="Arial" w:hAnsi="Arial" w:cs="Arial"/>
            <w:sz w:val="24"/>
            <w:szCs w:val="24"/>
          </w:rPr>
          <w:t>BT@Tabacks.com</w:t>
        </w:r>
      </w:hyperlink>
    </w:p>
    <w:p w:rsidR="00D86A33" w:rsidRDefault="00D86A33" w:rsidP="00D86A3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25" w:history="1">
        <w:r w:rsidRPr="001C69CC">
          <w:rPr>
            <w:rStyle w:val="Hyperlink"/>
            <w:rFonts w:ascii="Arial" w:hAnsi="Arial" w:cs="Arial"/>
            <w:sz w:val="24"/>
            <w:szCs w:val="24"/>
          </w:rPr>
          <w:t>MM@tabacks.com</w:t>
        </w:r>
      </w:hyperlink>
    </w:p>
    <w:p w:rsidR="00D86A33" w:rsidRDefault="00D86A33" w:rsidP="00D86A3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26" w:history="1">
        <w:r w:rsidRPr="001C69CC">
          <w:rPr>
            <w:rStyle w:val="Hyperlink"/>
            <w:rFonts w:ascii="Arial" w:hAnsi="Arial" w:cs="Arial"/>
            <w:sz w:val="24"/>
            <w:szCs w:val="24"/>
          </w:rPr>
          <w:t>CM@Tabacks.com</w:t>
        </w:r>
      </w:hyperlink>
      <w:r>
        <w:rPr>
          <w:rFonts w:ascii="Arial" w:hAnsi="Arial" w:cs="Arial"/>
          <w:sz w:val="24"/>
          <w:szCs w:val="24"/>
        </w:rPr>
        <w:t xml:space="preserve"> </w:t>
      </w:r>
    </w:p>
    <w:p w:rsidR="00D86A33" w:rsidRDefault="00D86A33" w:rsidP="00D86A33">
      <w:pPr>
        <w:rPr>
          <w:rFonts w:ascii="Arial" w:hAnsi="Arial" w:cs="Arial"/>
          <w:sz w:val="24"/>
          <w:szCs w:val="24"/>
        </w:rPr>
      </w:pPr>
    </w:p>
    <w:p w:rsidR="00D86A33" w:rsidRDefault="00D86A33" w:rsidP="00D86A33">
      <w:pPr>
        <w:rPr>
          <w:rFonts w:ascii="Arial" w:hAnsi="Arial" w:cs="Arial"/>
          <w:sz w:val="24"/>
          <w:szCs w:val="24"/>
        </w:rPr>
      </w:pPr>
      <w:r>
        <w:rPr>
          <w:rFonts w:ascii="Arial" w:hAnsi="Arial" w:cs="Arial"/>
          <w:sz w:val="24"/>
          <w:szCs w:val="24"/>
        </w:rPr>
        <w:t>Date reserved:</w:t>
      </w:r>
      <w:r>
        <w:rPr>
          <w:rFonts w:ascii="Arial" w:hAnsi="Arial" w:cs="Arial"/>
          <w:sz w:val="24"/>
          <w:szCs w:val="24"/>
        </w:rPr>
        <w:tab/>
      </w:r>
      <w:r>
        <w:rPr>
          <w:rFonts w:ascii="Arial" w:hAnsi="Arial" w:cs="Arial"/>
          <w:sz w:val="24"/>
          <w:szCs w:val="24"/>
        </w:rPr>
        <w:tab/>
      </w:r>
      <w:r>
        <w:rPr>
          <w:rFonts w:ascii="Arial" w:hAnsi="Arial" w:cs="Arial"/>
          <w:sz w:val="24"/>
          <w:szCs w:val="24"/>
        </w:rPr>
        <w:tab/>
        <w:t>16 February 2023</w:t>
      </w:r>
    </w:p>
    <w:p w:rsidR="00D86A33" w:rsidRDefault="00D86A33" w:rsidP="00D86A33">
      <w:pPr>
        <w:rPr>
          <w:rFonts w:ascii="Arial" w:hAnsi="Arial" w:cs="Arial"/>
          <w:sz w:val="24"/>
          <w:szCs w:val="24"/>
        </w:rPr>
      </w:pPr>
      <w:r>
        <w:rPr>
          <w:rFonts w:ascii="Arial" w:hAnsi="Arial" w:cs="Arial"/>
          <w:sz w:val="24"/>
          <w:szCs w:val="24"/>
        </w:rPr>
        <w:t>Date of delivery: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 March 2023</w:t>
      </w:r>
    </w:p>
    <w:p w:rsidR="00D86A33" w:rsidRDefault="00D86A33" w:rsidP="00D86A33">
      <w:pPr>
        <w:rPr>
          <w:rFonts w:ascii="Arial" w:hAnsi="Arial" w:cs="Arial"/>
          <w:sz w:val="24"/>
          <w:szCs w:val="24"/>
        </w:rPr>
      </w:pPr>
    </w:p>
    <w:p w:rsidR="00D86A33" w:rsidRDefault="00D86A33" w:rsidP="00D86A33">
      <w:pPr>
        <w:rPr>
          <w:rFonts w:ascii="Arial" w:hAnsi="Arial" w:cs="Arial"/>
          <w:sz w:val="24"/>
          <w:szCs w:val="24"/>
        </w:rPr>
      </w:pPr>
      <w:r>
        <w:rPr>
          <w:rFonts w:ascii="Arial" w:hAnsi="Arial" w:cs="Arial"/>
          <w:sz w:val="24"/>
          <w:szCs w:val="24"/>
        </w:rPr>
        <w:t xml:space="preserve">Judgment handed down electronically to all parties. </w:t>
      </w:r>
    </w:p>
    <w:p w:rsidR="00EE5D1B" w:rsidRDefault="00EE5D1B" w:rsidP="00C42E08">
      <w:pPr>
        <w:spacing w:line="360" w:lineRule="auto"/>
        <w:jc w:val="both"/>
        <w:rPr>
          <w:rFonts w:ascii="Arial" w:hAnsi="Arial" w:cs="Arial"/>
          <w:b/>
          <w:sz w:val="24"/>
          <w:szCs w:val="24"/>
          <w:u w:val="single"/>
        </w:rPr>
      </w:pPr>
    </w:p>
    <w:p w:rsidR="00142855" w:rsidRPr="00096EE5" w:rsidRDefault="00142855" w:rsidP="00C42E08">
      <w:pPr>
        <w:spacing w:line="360" w:lineRule="auto"/>
        <w:jc w:val="both"/>
        <w:rPr>
          <w:rFonts w:ascii="Arial" w:hAnsi="Arial" w:cs="Arial"/>
          <w:b/>
          <w:sz w:val="24"/>
          <w:szCs w:val="24"/>
          <w:u w:val="single"/>
        </w:rPr>
      </w:pPr>
    </w:p>
    <w:p w:rsidR="001E00B4" w:rsidRPr="00096EE5" w:rsidRDefault="001E00B4" w:rsidP="00C42E08">
      <w:pPr>
        <w:spacing w:line="360" w:lineRule="auto"/>
        <w:jc w:val="both"/>
        <w:rPr>
          <w:rFonts w:ascii="Arial" w:hAnsi="Arial" w:cs="Arial"/>
          <w:sz w:val="24"/>
          <w:szCs w:val="24"/>
        </w:rPr>
      </w:pPr>
    </w:p>
    <w:sectPr w:rsidR="001E00B4" w:rsidRPr="00096EE5" w:rsidSect="00950AE0">
      <w:headerReference w:type="default" r:id="rId27"/>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819097" w16cid:durableId="27A83C00"/>
  <w16cid:commentId w16cid:paraId="4D9D403E" w16cid:durableId="27A84F9A"/>
  <w16cid:commentId w16cid:paraId="264390B5" w16cid:durableId="27A85525"/>
  <w16cid:commentId w16cid:paraId="5ABAFC50" w16cid:durableId="27A88797"/>
  <w16cid:commentId w16cid:paraId="6C08ABD5" w16cid:durableId="27A89391"/>
  <w16cid:commentId w16cid:paraId="4D12D1EA" w16cid:durableId="27A83DAB"/>
  <w16cid:commentId w16cid:paraId="14B50905" w16cid:durableId="27A87E50"/>
  <w16cid:commentId w16cid:paraId="44240ECB" w16cid:durableId="27A83DEA"/>
  <w16cid:commentId w16cid:paraId="1195805B" w16cid:durableId="27A87ECA"/>
  <w16cid:commentId w16cid:paraId="469E68B9" w16cid:durableId="27A887F5"/>
  <w16cid:commentId w16cid:paraId="1600F9B7" w16cid:durableId="27A85569"/>
  <w16cid:commentId w16cid:paraId="1EEB2E55" w16cid:durableId="27A88853"/>
  <w16cid:commentId w16cid:paraId="003E3ABF" w16cid:durableId="27A888D2"/>
  <w16cid:commentId w16cid:paraId="1296C10A" w16cid:durableId="27A855CE"/>
  <w16cid:commentId w16cid:paraId="24F38448" w16cid:durableId="27A8601F"/>
  <w16cid:commentId w16cid:paraId="6E780048" w16cid:durableId="27A8951C"/>
  <w16cid:commentId w16cid:paraId="7BA767A1" w16cid:durableId="27A8564C"/>
  <w16cid:commentId w16cid:paraId="1F33FF5D" w16cid:durableId="27A86324"/>
  <w16cid:commentId w16cid:paraId="145FE6A2" w16cid:durableId="27A85804"/>
  <w16cid:commentId w16cid:paraId="4CC1CBB0" w16cid:durableId="27A841DB"/>
  <w16cid:commentId w16cid:paraId="5E65B04E" w16cid:durableId="27A89652"/>
  <w16cid:commentId w16cid:paraId="747E4B76" w16cid:durableId="27A85A9E"/>
  <w16cid:commentId w16cid:paraId="54A98CDF" w16cid:durableId="27A85AAF"/>
  <w16cid:commentId w16cid:paraId="0EA90F4E" w16cid:durableId="27A836E4"/>
  <w16cid:commentId w16cid:paraId="6A05DE17" w16cid:durableId="27A8364E"/>
  <w16cid:commentId w16cid:paraId="46CD9503" w16cid:durableId="27A8806B"/>
  <w16cid:commentId w16cid:paraId="029FEE9A" w16cid:durableId="27A849B5"/>
  <w16cid:commentId w16cid:paraId="16FACAEE" w16cid:durableId="27A85C60"/>
  <w16cid:commentId w16cid:paraId="6F416B34" w16cid:durableId="27A864C6"/>
  <w16cid:commentId w16cid:paraId="24BFF31D" w16cid:durableId="27A865E2"/>
  <w16cid:commentId w16cid:paraId="1B1A5326" w16cid:durableId="27A84A18"/>
  <w16cid:commentId w16cid:paraId="1F2C3029" w16cid:durableId="27A88F30"/>
  <w16cid:commentId w16cid:paraId="5EC19A74" w16cid:durableId="27A865FC"/>
  <w16cid:commentId w16cid:paraId="4EBB0986" w16cid:durableId="27A85C9A"/>
  <w16cid:commentId w16cid:paraId="558F1E9F" w16cid:durableId="27A88FA4"/>
  <w16cid:commentId w16cid:paraId="15D190F1" w16cid:durableId="27A84648"/>
  <w16cid:commentId w16cid:paraId="623A9D21" w16cid:durableId="27A88122"/>
  <w16cid:commentId w16cid:paraId="65779B46" w16cid:durableId="27A8901E"/>
  <w16cid:commentId w16cid:paraId="40426903" w16cid:durableId="27A844D0"/>
  <w16cid:commentId w16cid:paraId="0A9C4C98" w16cid:durableId="27A881BD"/>
  <w16cid:commentId w16cid:paraId="124B71DC" w16cid:durableId="27A881DC"/>
  <w16cid:commentId w16cid:paraId="536B65E7" w16cid:durableId="27A891A4"/>
  <w16cid:commentId w16cid:paraId="02A4D0DC" w16cid:durableId="27A89256"/>
  <w16cid:commentId w16cid:paraId="000925A5" w16cid:durableId="27A88224"/>
  <w16cid:commentId w16cid:paraId="3FA26469" w16cid:durableId="27A85CF8"/>
  <w16cid:commentId w16cid:paraId="160A893E" w16cid:durableId="27A8848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B55" w:rsidRDefault="00CE3B55" w:rsidP="00B0772D">
      <w:pPr>
        <w:spacing w:after="0" w:line="240" w:lineRule="auto"/>
      </w:pPr>
      <w:r>
        <w:separator/>
      </w:r>
    </w:p>
  </w:endnote>
  <w:endnote w:type="continuationSeparator" w:id="0">
    <w:p w:rsidR="00CE3B55" w:rsidRDefault="00CE3B55" w:rsidP="00B0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B55" w:rsidRDefault="00CE3B55" w:rsidP="00B0772D">
      <w:pPr>
        <w:spacing w:after="0" w:line="240" w:lineRule="auto"/>
      </w:pPr>
      <w:r>
        <w:separator/>
      </w:r>
    </w:p>
  </w:footnote>
  <w:footnote w:type="continuationSeparator" w:id="0">
    <w:p w:rsidR="00CE3B55" w:rsidRDefault="00CE3B55" w:rsidP="00B0772D">
      <w:pPr>
        <w:spacing w:after="0" w:line="240" w:lineRule="auto"/>
      </w:pPr>
      <w:r>
        <w:continuationSeparator/>
      </w:r>
    </w:p>
  </w:footnote>
  <w:footnote w:id="1">
    <w:p w:rsidR="00625CFE" w:rsidRPr="00625CFE" w:rsidRDefault="00625CFE">
      <w:pPr>
        <w:pStyle w:val="FootnoteText"/>
      </w:pPr>
      <w:r w:rsidRPr="00625CFE">
        <w:rPr>
          <w:rStyle w:val="FootnoteReference"/>
        </w:rPr>
        <w:footnoteRef/>
      </w:r>
      <w:r w:rsidRPr="00625CFE">
        <w:t xml:space="preserve"> I use the term ‘Optimum’ to refer to both Optimum Coal Mine (OCT) and Optimum Coal Terminal</w:t>
      </w:r>
    </w:p>
  </w:footnote>
  <w:footnote w:id="2">
    <w:p w:rsidR="002D5616" w:rsidRPr="00AA1CFC" w:rsidRDefault="002D5616" w:rsidP="00EE5D1B">
      <w:pPr>
        <w:pStyle w:val="FootnoteText"/>
        <w:jc w:val="both"/>
        <w:rPr>
          <w:rFonts w:ascii="Arial" w:hAnsi="Arial" w:cs="Arial"/>
          <w:bCs/>
        </w:rPr>
      </w:pPr>
      <w:r w:rsidRPr="00AA1CFC">
        <w:rPr>
          <w:rStyle w:val="FootnoteReference"/>
          <w:rFonts w:ascii="Arial" w:hAnsi="Arial" w:cs="Arial"/>
        </w:rPr>
        <w:footnoteRef/>
      </w:r>
      <w:r w:rsidRPr="00AA1CFC">
        <w:rPr>
          <w:rFonts w:ascii="Arial" w:hAnsi="Arial" w:cs="Arial"/>
        </w:rPr>
        <w:t xml:space="preserve"> See </w:t>
      </w:r>
      <w:r w:rsidRPr="00AA1CFC">
        <w:rPr>
          <w:rFonts w:ascii="Arial" w:hAnsi="Arial" w:cs="Arial"/>
          <w:bCs/>
          <w:i/>
        </w:rPr>
        <w:t xml:space="preserve">Eskom Holdings </w:t>
      </w:r>
      <w:r w:rsidRPr="00AA1CFC">
        <w:rPr>
          <w:rFonts w:ascii="Arial" w:hAnsi="Arial" w:cs="Arial"/>
          <w:bCs/>
        </w:rPr>
        <w:t xml:space="preserve">para 192 where the </w:t>
      </w:r>
      <w:r w:rsidR="000E79FA" w:rsidRPr="00AA1CFC">
        <w:rPr>
          <w:rFonts w:ascii="Arial" w:hAnsi="Arial" w:cs="Arial"/>
          <w:bCs/>
        </w:rPr>
        <w:t>c</w:t>
      </w:r>
      <w:r w:rsidRPr="00AA1CFC">
        <w:rPr>
          <w:rFonts w:ascii="Arial" w:hAnsi="Arial" w:cs="Arial"/>
          <w:bCs/>
        </w:rPr>
        <w:t>ourt says:</w:t>
      </w:r>
    </w:p>
    <w:p w:rsidR="002D5616" w:rsidRPr="00EE5D1B" w:rsidRDefault="000F2EE4" w:rsidP="00EE5D1B">
      <w:pPr>
        <w:pStyle w:val="FootnoteText"/>
        <w:jc w:val="both"/>
        <w:rPr>
          <w:rFonts w:ascii="Arial" w:hAnsi="Arial" w:cs="Arial"/>
        </w:rPr>
      </w:pPr>
      <w:r w:rsidRPr="00EE5D1B">
        <w:rPr>
          <w:rFonts w:ascii="Arial" w:hAnsi="Arial" w:cs="Arial"/>
          <w:bCs/>
        </w:rPr>
        <w:t>‘. . .</w:t>
      </w:r>
      <w:r w:rsidR="002D5616" w:rsidRPr="00EE5D1B">
        <w:rPr>
          <w:rFonts w:ascii="Arial" w:hAnsi="Arial" w:cs="Arial"/>
          <w:bCs/>
        </w:rPr>
        <w:t xml:space="preserve">I do so because a </w:t>
      </w:r>
      <w:r w:rsidR="002D5616" w:rsidRPr="00EE5D1B">
        <w:rPr>
          <w:rFonts w:ascii="Arial" w:hAnsi="Arial" w:cs="Arial"/>
          <w:shd w:val="clear" w:color="auto" w:fill="FFFFFF"/>
        </w:rPr>
        <w:t>fundamental flaw permeates the first judgment and is central to the conclusion my colleague reaches on the </w:t>
      </w:r>
      <w:r w:rsidR="002D5616" w:rsidRPr="00EE5D1B">
        <w:rPr>
          <w:rFonts w:ascii="Arial" w:hAnsi="Arial" w:cs="Arial"/>
          <w:shd w:val="clear" w:color="auto" w:fill="FFFFFF"/>
          <w:lang w:val="en-US"/>
        </w:rPr>
        <w:t>merits</w:t>
      </w:r>
      <w:r w:rsidR="002D5616" w:rsidRPr="00EE5D1B">
        <w:rPr>
          <w:rFonts w:ascii="Arial" w:hAnsi="Arial" w:cs="Arial"/>
          <w:shd w:val="clear" w:color="auto" w:fill="FFFFFF"/>
        </w:rPr>
        <w:t>. That flaw is the idea in the first judgment that the residents should have asserted and proved the existence of a specific constitutional right to be supplied with electricity by Eskom. As I demonstrate more fully later, that idea is mistaken. The residents do not have to rely on any such constitutional right. They assert several other rights protected by the Bill of Rights, which I highlight above. Without question, the residents do enjoy constitutional protection of those rights.</w:t>
      </w:r>
      <w:r w:rsidRPr="00EE5D1B">
        <w:rPr>
          <w:rFonts w:ascii="Arial" w:hAnsi="Arial" w:cs="Arial"/>
          <w:shd w:val="clear" w:color="auto" w:fill="FFFFFF"/>
        </w:rPr>
        <w:t>’</w:t>
      </w:r>
      <w:r w:rsidR="002D5616" w:rsidRPr="00EE5D1B">
        <w:rPr>
          <w:rFonts w:ascii="Arial" w:hAnsi="Arial" w:cs="Arial"/>
          <w:shd w:val="clear" w:color="auto" w:fill="FFFFFF"/>
        </w:rPr>
        <w: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217434"/>
      <w:docPartObj>
        <w:docPartGallery w:val="Page Numbers (Top of Page)"/>
        <w:docPartUnique/>
      </w:docPartObj>
    </w:sdtPr>
    <w:sdtEndPr>
      <w:rPr>
        <w:noProof/>
      </w:rPr>
    </w:sdtEndPr>
    <w:sdtContent>
      <w:p w:rsidR="00DA15D7" w:rsidRDefault="00DA15D7">
        <w:pPr>
          <w:pStyle w:val="Header"/>
          <w:jc w:val="right"/>
        </w:pPr>
        <w:r w:rsidRPr="00950AE0">
          <w:rPr>
            <w:rFonts w:ascii="Arial" w:hAnsi="Arial" w:cs="Arial"/>
          </w:rPr>
          <w:fldChar w:fldCharType="begin"/>
        </w:r>
        <w:r w:rsidRPr="00950AE0">
          <w:rPr>
            <w:rFonts w:ascii="Arial" w:hAnsi="Arial" w:cs="Arial"/>
          </w:rPr>
          <w:instrText xml:space="preserve"> PAGE   \* MERGEFORMAT </w:instrText>
        </w:r>
        <w:r w:rsidRPr="00950AE0">
          <w:rPr>
            <w:rFonts w:ascii="Arial" w:hAnsi="Arial" w:cs="Arial"/>
          </w:rPr>
          <w:fldChar w:fldCharType="separate"/>
        </w:r>
        <w:r w:rsidR="006C26D5">
          <w:rPr>
            <w:rFonts w:ascii="Arial" w:hAnsi="Arial" w:cs="Arial"/>
            <w:noProof/>
          </w:rPr>
          <w:t>2</w:t>
        </w:r>
        <w:r w:rsidRPr="00950AE0">
          <w:rPr>
            <w:rFonts w:ascii="Arial" w:hAnsi="Arial" w:cs="Arial"/>
            <w:noProof/>
          </w:rPr>
          <w:fldChar w:fldCharType="end"/>
        </w:r>
      </w:p>
    </w:sdtContent>
  </w:sdt>
  <w:p w:rsidR="00DA15D7" w:rsidRDefault="00DA15D7">
    <w:pPr>
      <w:pStyle w:val="Header"/>
    </w:pPr>
  </w:p>
  <w:p w:rsidR="00DA15D7" w:rsidRDefault="00DA15D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7D1E"/>
    <w:multiLevelType w:val="hybridMultilevel"/>
    <w:tmpl w:val="E624B694"/>
    <w:lvl w:ilvl="0" w:tplc="BB7622DA">
      <w:start w:val="1"/>
      <w:numFmt w:val="decimal"/>
      <w:lvlText w:val="%1."/>
      <w:lvlJc w:val="left"/>
      <w:pPr>
        <w:ind w:left="1080" w:hanging="360"/>
      </w:pPr>
      <w:rPr>
        <w:rFonts w:ascii="Arial" w:hAnsi="Arial" w:cs="Arial" w:hint="default"/>
        <w:b w:val="0"/>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DCE2705"/>
    <w:multiLevelType w:val="hybridMultilevel"/>
    <w:tmpl w:val="E2E05334"/>
    <w:lvl w:ilvl="0" w:tplc="851261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09F4CC3"/>
    <w:multiLevelType w:val="hybridMultilevel"/>
    <w:tmpl w:val="63AEA2B8"/>
    <w:lvl w:ilvl="0" w:tplc="FBB88628">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437C2617"/>
    <w:multiLevelType w:val="hybridMultilevel"/>
    <w:tmpl w:val="598A59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0256015"/>
    <w:multiLevelType w:val="hybridMultilevel"/>
    <w:tmpl w:val="8B98C33E"/>
    <w:lvl w:ilvl="0" w:tplc="DDA24AF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5" w15:restartNumberingAfterBreak="0">
    <w:nsid w:val="6A6A1F73"/>
    <w:multiLevelType w:val="hybridMultilevel"/>
    <w:tmpl w:val="AEFC831E"/>
    <w:lvl w:ilvl="0" w:tplc="1C09000F">
      <w:start w:val="1"/>
      <w:numFmt w:val="decimal"/>
      <w:lvlText w:val="%1."/>
      <w:lvlJc w:val="left"/>
      <w:pPr>
        <w:ind w:left="92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FDE8F52-6AF9-4BF2-B076-9F7BEB36BB7C}"/>
    <w:docVar w:name="dgnword-eventsink" w:val="170584920"/>
  </w:docVars>
  <w:rsids>
    <w:rsidRoot w:val="00690C0A"/>
    <w:rsid w:val="00001C1B"/>
    <w:rsid w:val="00002442"/>
    <w:rsid w:val="000055BC"/>
    <w:rsid w:val="00014B6A"/>
    <w:rsid w:val="00017ADC"/>
    <w:rsid w:val="000277C6"/>
    <w:rsid w:val="000437BA"/>
    <w:rsid w:val="00047452"/>
    <w:rsid w:val="000515CC"/>
    <w:rsid w:val="00053DBA"/>
    <w:rsid w:val="00055811"/>
    <w:rsid w:val="00071563"/>
    <w:rsid w:val="00076500"/>
    <w:rsid w:val="00076764"/>
    <w:rsid w:val="00080FF1"/>
    <w:rsid w:val="0008228A"/>
    <w:rsid w:val="00086E65"/>
    <w:rsid w:val="00092C7F"/>
    <w:rsid w:val="00096EE5"/>
    <w:rsid w:val="000975FC"/>
    <w:rsid w:val="000A4084"/>
    <w:rsid w:val="000A4455"/>
    <w:rsid w:val="000A621D"/>
    <w:rsid w:val="000B199F"/>
    <w:rsid w:val="000D7A04"/>
    <w:rsid w:val="000E311F"/>
    <w:rsid w:val="000E79FA"/>
    <w:rsid w:val="000F2EE4"/>
    <w:rsid w:val="000F750C"/>
    <w:rsid w:val="00101BD2"/>
    <w:rsid w:val="00103A4E"/>
    <w:rsid w:val="001170D1"/>
    <w:rsid w:val="00125E99"/>
    <w:rsid w:val="00142855"/>
    <w:rsid w:val="001443CD"/>
    <w:rsid w:val="001519A5"/>
    <w:rsid w:val="00151E3E"/>
    <w:rsid w:val="0015654E"/>
    <w:rsid w:val="001625D2"/>
    <w:rsid w:val="001704A2"/>
    <w:rsid w:val="00183184"/>
    <w:rsid w:val="00183CBA"/>
    <w:rsid w:val="00192B97"/>
    <w:rsid w:val="001976F2"/>
    <w:rsid w:val="001C25CF"/>
    <w:rsid w:val="001C7444"/>
    <w:rsid w:val="001D1E8A"/>
    <w:rsid w:val="001D2E16"/>
    <w:rsid w:val="001E00B4"/>
    <w:rsid w:val="001F1356"/>
    <w:rsid w:val="001F50CE"/>
    <w:rsid w:val="0021088C"/>
    <w:rsid w:val="00225817"/>
    <w:rsid w:val="00225853"/>
    <w:rsid w:val="00226928"/>
    <w:rsid w:val="002467BF"/>
    <w:rsid w:val="00255B49"/>
    <w:rsid w:val="00261C47"/>
    <w:rsid w:val="00263C92"/>
    <w:rsid w:val="00277FCB"/>
    <w:rsid w:val="00280C87"/>
    <w:rsid w:val="00292A47"/>
    <w:rsid w:val="0029460B"/>
    <w:rsid w:val="002A4CC2"/>
    <w:rsid w:val="002A58AC"/>
    <w:rsid w:val="002A67AD"/>
    <w:rsid w:val="002B1209"/>
    <w:rsid w:val="002D5616"/>
    <w:rsid w:val="002E3179"/>
    <w:rsid w:val="002F0790"/>
    <w:rsid w:val="00305B39"/>
    <w:rsid w:val="00320932"/>
    <w:rsid w:val="003228B4"/>
    <w:rsid w:val="00325E96"/>
    <w:rsid w:val="003411A7"/>
    <w:rsid w:val="00347EA1"/>
    <w:rsid w:val="00350C37"/>
    <w:rsid w:val="003550DF"/>
    <w:rsid w:val="00362C3E"/>
    <w:rsid w:val="00372B1E"/>
    <w:rsid w:val="00374A3B"/>
    <w:rsid w:val="00387D27"/>
    <w:rsid w:val="00390FD5"/>
    <w:rsid w:val="003A3E03"/>
    <w:rsid w:val="003C4DBC"/>
    <w:rsid w:val="003D144E"/>
    <w:rsid w:val="003D51E2"/>
    <w:rsid w:val="003E3570"/>
    <w:rsid w:val="003E713C"/>
    <w:rsid w:val="00406EFA"/>
    <w:rsid w:val="00411B11"/>
    <w:rsid w:val="004168A0"/>
    <w:rsid w:val="00421FBD"/>
    <w:rsid w:val="0042325B"/>
    <w:rsid w:val="00426AEF"/>
    <w:rsid w:val="00454736"/>
    <w:rsid w:val="0046541F"/>
    <w:rsid w:val="00475772"/>
    <w:rsid w:val="00480EE9"/>
    <w:rsid w:val="00496A26"/>
    <w:rsid w:val="004A138C"/>
    <w:rsid w:val="004B0E59"/>
    <w:rsid w:val="004B2B1B"/>
    <w:rsid w:val="004B64FE"/>
    <w:rsid w:val="004C0702"/>
    <w:rsid w:val="004C54A8"/>
    <w:rsid w:val="004C6FB0"/>
    <w:rsid w:val="004D6638"/>
    <w:rsid w:val="004E2DD8"/>
    <w:rsid w:val="004F67DA"/>
    <w:rsid w:val="0050035E"/>
    <w:rsid w:val="00525AA5"/>
    <w:rsid w:val="0055273C"/>
    <w:rsid w:val="00582B6B"/>
    <w:rsid w:val="00592700"/>
    <w:rsid w:val="00597E5F"/>
    <w:rsid w:val="005A571A"/>
    <w:rsid w:val="005A7C78"/>
    <w:rsid w:val="005B419B"/>
    <w:rsid w:val="005C01C7"/>
    <w:rsid w:val="005C6BDC"/>
    <w:rsid w:val="005C7FD6"/>
    <w:rsid w:val="005D1001"/>
    <w:rsid w:val="005D2B33"/>
    <w:rsid w:val="005F6C1F"/>
    <w:rsid w:val="00610A60"/>
    <w:rsid w:val="00611DF5"/>
    <w:rsid w:val="006149DD"/>
    <w:rsid w:val="00617519"/>
    <w:rsid w:val="00625CFE"/>
    <w:rsid w:val="00626F45"/>
    <w:rsid w:val="0063229B"/>
    <w:rsid w:val="00645AF7"/>
    <w:rsid w:val="0065042D"/>
    <w:rsid w:val="0065097F"/>
    <w:rsid w:val="00660CF7"/>
    <w:rsid w:val="00664B67"/>
    <w:rsid w:val="00666F1B"/>
    <w:rsid w:val="006706B0"/>
    <w:rsid w:val="0068581F"/>
    <w:rsid w:val="00690C0A"/>
    <w:rsid w:val="00695408"/>
    <w:rsid w:val="006A1BB3"/>
    <w:rsid w:val="006B149D"/>
    <w:rsid w:val="006C26D5"/>
    <w:rsid w:val="006C2D8D"/>
    <w:rsid w:val="006C662E"/>
    <w:rsid w:val="006D3FA6"/>
    <w:rsid w:val="006E1CC3"/>
    <w:rsid w:val="006E4DAB"/>
    <w:rsid w:val="006F4182"/>
    <w:rsid w:val="00717BCC"/>
    <w:rsid w:val="00732136"/>
    <w:rsid w:val="007324F8"/>
    <w:rsid w:val="00747D27"/>
    <w:rsid w:val="00752825"/>
    <w:rsid w:val="007554DF"/>
    <w:rsid w:val="00762C06"/>
    <w:rsid w:val="0076521B"/>
    <w:rsid w:val="007722EF"/>
    <w:rsid w:val="00775556"/>
    <w:rsid w:val="00783E9E"/>
    <w:rsid w:val="00783F56"/>
    <w:rsid w:val="007A0C17"/>
    <w:rsid w:val="007A386B"/>
    <w:rsid w:val="007A414F"/>
    <w:rsid w:val="007B6E85"/>
    <w:rsid w:val="00803E47"/>
    <w:rsid w:val="00805924"/>
    <w:rsid w:val="0081741B"/>
    <w:rsid w:val="0083173F"/>
    <w:rsid w:val="00847AF5"/>
    <w:rsid w:val="0085245C"/>
    <w:rsid w:val="0085374E"/>
    <w:rsid w:val="008577FC"/>
    <w:rsid w:val="00857C35"/>
    <w:rsid w:val="008617CC"/>
    <w:rsid w:val="00862DD8"/>
    <w:rsid w:val="008638FB"/>
    <w:rsid w:val="008921C4"/>
    <w:rsid w:val="0089788A"/>
    <w:rsid w:val="008A0FD6"/>
    <w:rsid w:val="008A168F"/>
    <w:rsid w:val="008B53DB"/>
    <w:rsid w:val="008B763D"/>
    <w:rsid w:val="008C12F1"/>
    <w:rsid w:val="008C16CE"/>
    <w:rsid w:val="008C3184"/>
    <w:rsid w:val="009379B1"/>
    <w:rsid w:val="0094167C"/>
    <w:rsid w:val="00943637"/>
    <w:rsid w:val="00950AE0"/>
    <w:rsid w:val="0097033E"/>
    <w:rsid w:val="00975623"/>
    <w:rsid w:val="00976210"/>
    <w:rsid w:val="00997A3C"/>
    <w:rsid w:val="009A66B0"/>
    <w:rsid w:val="009A6EFD"/>
    <w:rsid w:val="009B7E56"/>
    <w:rsid w:val="009C58D7"/>
    <w:rsid w:val="009C6EAC"/>
    <w:rsid w:val="009D179E"/>
    <w:rsid w:val="009F0DEE"/>
    <w:rsid w:val="00A02F00"/>
    <w:rsid w:val="00A16E3F"/>
    <w:rsid w:val="00A2348B"/>
    <w:rsid w:val="00A242B4"/>
    <w:rsid w:val="00A51C4B"/>
    <w:rsid w:val="00A52293"/>
    <w:rsid w:val="00A53016"/>
    <w:rsid w:val="00A60074"/>
    <w:rsid w:val="00A60670"/>
    <w:rsid w:val="00A9096D"/>
    <w:rsid w:val="00A954BE"/>
    <w:rsid w:val="00A9672C"/>
    <w:rsid w:val="00AA1CFC"/>
    <w:rsid w:val="00AA6BEE"/>
    <w:rsid w:val="00AA6EFF"/>
    <w:rsid w:val="00AB170A"/>
    <w:rsid w:val="00AB40FE"/>
    <w:rsid w:val="00AB4BBF"/>
    <w:rsid w:val="00AB6BA1"/>
    <w:rsid w:val="00AC53BC"/>
    <w:rsid w:val="00AC7018"/>
    <w:rsid w:val="00AD3963"/>
    <w:rsid w:val="00AD3E5A"/>
    <w:rsid w:val="00AE3947"/>
    <w:rsid w:val="00AE5324"/>
    <w:rsid w:val="00AE7E14"/>
    <w:rsid w:val="00B0772D"/>
    <w:rsid w:val="00B16960"/>
    <w:rsid w:val="00B176BB"/>
    <w:rsid w:val="00B17EF3"/>
    <w:rsid w:val="00B22D67"/>
    <w:rsid w:val="00B356A6"/>
    <w:rsid w:val="00B36119"/>
    <w:rsid w:val="00B36833"/>
    <w:rsid w:val="00B37147"/>
    <w:rsid w:val="00B42689"/>
    <w:rsid w:val="00B52553"/>
    <w:rsid w:val="00B5513A"/>
    <w:rsid w:val="00B61F7C"/>
    <w:rsid w:val="00B63913"/>
    <w:rsid w:val="00B644D3"/>
    <w:rsid w:val="00B92D10"/>
    <w:rsid w:val="00B93060"/>
    <w:rsid w:val="00BA7DBD"/>
    <w:rsid w:val="00BB39B0"/>
    <w:rsid w:val="00BC041B"/>
    <w:rsid w:val="00BD7BF6"/>
    <w:rsid w:val="00BE201E"/>
    <w:rsid w:val="00BE6471"/>
    <w:rsid w:val="00BF1A45"/>
    <w:rsid w:val="00BF2E49"/>
    <w:rsid w:val="00BF5AC9"/>
    <w:rsid w:val="00C12E0F"/>
    <w:rsid w:val="00C13A15"/>
    <w:rsid w:val="00C1498C"/>
    <w:rsid w:val="00C14E47"/>
    <w:rsid w:val="00C26184"/>
    <w:rsid w:val="00C37666"/>
    <w:rsid w:val="00C42213"/>
    <w:rsid w:val="00C42E08"/>
    <w:rsid w:val="00C51297"/>
    <w:rsid w:val="00C52DA1"/>
    <w:rsid w:val="00C67A73"/>
    <w:rsid w:val="00C70597"/>
    <w:rsid w:val="00C72654"/>
    <w:rsid w:val="00C81865"/>
    <w:rsid w:val="00C9386F"/>
    <w:rsid w:val="00CC2E83"/>
    <w:rsid w:val="00CD321A"/>
    <w:rsid w:val="00CD54EE"/>
    <w:rsid w:val="00CD799D"/>
    <w:rsid w:val="00CE2225"/>
    <w:rsid w:val="00CE3B55"/>
    <w:rsid w:val="00CE4DD1"/>
    <w:rsid w:val="00D00DB5"/>
    <w:rsid w:val="00D027A1"/>
    <w:rsid w:val="00D1529B"/>
    <w:rsid w:val="00D1799A"/>
    <w:rsid w:val="00D21B4C"/>
    <w:rsid w:val="00D22FEE"/>
    <w:rsid w:val="00D54FDD"/>
    <w:rsid w:val="00D55702"/>
    <w:rsid w:val="00D560AC"/>
    <w:rsid w:val="00D562F4"/>
    <w:rsid w:val="00D86A33"/>
    <w:rsid w:val="00D90F38"/>
    <w:rsid w:val="00D928F4"/>
    <w:rsid w:val="00D97CF6"/>
    <w:rsid w:val="00DA15D7"/>
    <w:rsid w:val="00DB6DD2"/>
    <w:rsid w:val="00DE75CD"/>
    <w:rsid w:val="00DF4EAC"/>
    <w:rsid w:val="00E27B8D"/>
    <w:rsid w:val="00E47393"/>
    <w:rsid w:val="00E904F9"/>
    <w:rsid w:val="00EB1DA4"/>
    <w:rsid w:val="00EC6031"/>
    <w:rsid w:val="00ED499D"/>
    <w:rsid w:val="00ED6C79"/>
    <w:rsid w:val="00EE5D1B"/>
    <w:rsid w:val="00EF3DAF"/>
    <w:rsid w:val="00F06243"/>
    <w:rsid w:val="00F140F1"/>
    <w:rsid w:val="00F314C0"/>
    <w:rsid w:val="00F37C53"/>
    <w:rsid w:val="00F61B68"/>
    <w:rsid w:val="00F63384"/>
    <w:rsid w:val="00F6673B"/>
    <w:rsid w:val="00F70410"/>
    <w:rsid w:val="00F71E84"/>
    <w:rsid w:val="00F85029"/>
    <w:rsid w:val="00F93B80"/>
    <w:rsid w:val="00F95AFA"/>
    <w:rsid w:val="00F96C6A"/>
    <w:rsid w:val="00FA3DDE"/>
    <w:rsid w:val="00FB29E7"/>
    <w:rsid w:val="00FB451B"/>
    <w:rsid w:val="00FB4752"/>
    <w:rsid w:val="00FC3B84"/>
    <w:rsid w:val="00FD2807"/>
    <w:rsid w:val="00FD61DC"/>
    <w:rsid w:val="00FD6623"/>
    <w:rsid w:val="00FD73B0"/>
    <w:rsid w:val="00FE10C4"/>
    <w:rsid w:val="00FE7C2C"/>
    <w:rsid w:val="00FF1068"/>
    <w:rsid w:val="00FF5B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48880-005C-4FEE-A5F9-E6FAC54E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C37"/>
  </w:style>
  <w:style w:type="paragraph" w:styleId="Heading2">
    <w:name w:val="heading 2"/>
    <w:basedOn w:val="Normal"/>
    <w:link w:val="Heading2Char"/>
    <w:uiPriority w:val="9"/>
    <w:qFormat/>
    <w:rsid w:val="00645AF7"/>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C0A"/>
    <w:pPr>
      <w:ind w:left="720"/>
      <w:contextualSpacing/>
    </w:pPr>
  </w:style>
  <w:style w:type="paragraph" w:styleId="Header">
    <w:name w:val="header"/>
    <w:basedOn w:val="Normal"/>
    <w:link w:val="HeaderChar"/>
    <w:uiPriority w:val="99"/>
    <w:unhideWhenUsed/>
    <w:rsid w:val="00B07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72D"/>
  </w:style>
  <w:style w:type="paragraph" w:styleId="Footer">
    <w:name w:val="footer"/>
    <w:basedOn w:val="Normal"/>
    <w:link w:val="FooterChar"/>
    <w:uiPriority w:val="99"/>
    <w:unhideWhenUsed/>
    <w:rsid w:val="00B07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72D"/>
  </w:style>
  <w:style w:type="paragraph" w:styleId="FootnoteText">
    <w:name w:val="footnote text"/>
    <w:basedOn w:val="Normal"/>
    <w:link w:val="FootnoteTextChar"/>
    <w:uiPriority w:val="99"/>
    <w:unhideWhenUsed/>
    <w:rsid w:val="001976F2"/>
    <w:pPr>
      <w:spacing w:after="0" w:line="240" w:lineRule="auto"/>
    </w:pPr>
    <w:rPr>
      <w:sz w:val="20"/>
      <w:szCs w:val="20"/>
    </w:rPr>
  </w:style>
  <w:style w:type="character" w:customStyle="1" w:styleId="FootnoteTextChar">
    <w:name w:val="Footnote Text Char"/>
    <w:basedOn w:val="DefaultParagraphFont"/>
    <w:link w:val="FootnoteText"/>
    <w:uiPriority w:val="99"/>
    <w:rsid w:val="001976F2"/>
    <w:rPr>
      <w:sz w:val="20"/>
      <w:szCs w:val="20"/>
    </w:rPr>
  </w:style>
  <w:style w:type="character" w:styleId="FootnoteReference">
    <w:name w:val="footnote reference"/>
    <w:basedOn w:val="DefaultParagraphFont"/>
    <w:uiPriority w:val="99"/>
    <w:semiHidden/>
    <w:unhideWhenUsed/>
    <w:rsid w:val="001976F2"/>
    <w:rPr>
      <w:vertAlign w:val="superscript"/>
    </w:rPr>
  </w:style>
  <w:style w:type="paragraph" w:styleId="NormalWeb">
    <w:name w:val="Normal (Web)"/>
    <w:basedOn w:val="Normal"/>
    <w:uiPriority w:val="99"/>
    <w:unhideWhenUsed/>
    <w:rsid w:val="001976F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1704A2"/>
    <w:rPr>
      <w:color w:val="0000FF"/>
      <w:u w:val="single"/>
    </w:rPr>
  </w:style>
  <w:style w:type="character" w:styleId="CommentReference">
    <w:name w:val="annotation reference"/>
    <w:basedOn w:val="DefaultParagraphFont"/>
    <w:uiPriority w:val="99"/>
    <w:semiHidden/>
    <w:unhideWhenUsed/>
    <w:rsid w:val="009F0DEE"/>
    <w:rPr>
      <w:sz w:val="16"/>
      <w:szCs w:val="16"/>
    </w:rPr>
  </w:style>
  <w:style w:type="paragraph" w:styleId="CommentText">
    <w:name w:val="annotation text"/>
    <w:basedOn w:val="Normal"/>
    <w:link w:val="CommentTextChar"/>
    <w:uiPriority w:val="99"/>
    <w:semiHidden/>
    <w:unhideWhenUsed/>
    <w:rsid w:val="009F0DEE"/>
    <w:pPr>
      <w:spacing w:line="240" w:lineRule="auto"/>
    </w:pPr>
    <w:rPr>
      <w:sz w:val="20"/>
      <w:szCs w:val="20"/>
    </w:rPr>
  </w:style>
  <w:style w:type="character" w:customStyle="1" w:styleId="CommentTextChar">
    <w:name w:val="Comment Text Char"/>
    <w:basedOn w:val="DefaultParagraphFont"/>
    <w:link w:val="CommentText"/>
    <w:uiPriority w:val="99"/>
    <w:semiHidden/>
    <w:rsid w:val="009F0DEE"/>
    <w:rPr>
      <w:sz w:val="20"/>
      <w:szCs w:val="20"/>
    </w:rPr>
  </w:style>
  <w:style w:type="paragraph" w:styleId="CommentSubject">
    <w:name w:val="annotation subject"/>
    <w:basedOn w:val="CommentText"/>
    <w:next w:val="CommentText"/>
    <w:link w:val="CommentSubjectChar"/>
    <w:uiPriority w:val="99"/>
    <w:semiHidden/>
    <w:unhideWhenUsed/>
    <w:rsid w:val="009F0DEE"/>
    <w:rPr>
      <w:b/>
      <w:bCs/>
    </w:rPr>
  </w:style>
  <w:style w:type="character" w:customStyle="1" w:styleId="CommentSubjectChar">
    <w:name w:val="Comment Subject Char"/>
    <w:basedOn w:val="CommentTextChar"/>
    <w:link w:val="CommentSubject"/>
    <w:uiPriority w:val="99"/>
    <w:semiHidden/>
    <w:rsid w:val="009F0DEE"/>
    <w:rPr>
      <w:b/>
      <w:bCs/>
      <w:sz w:val="20"/>
      <w:szCs w:val="20"/>
    </w:rPr>
  </w:style>
  <w:style w:type="paragraph" w:styleId="BalloonText">
    <w:name w:val="Balloon Text"/>
    <w:basedOn w:val="Normal"/>
    <w:link w:val="BalloonTextChar"/>
    <w:uiPriority w:val="99"/>
    <w:semiHidden/>
    <w:unhideWhenUsed/>
    <w:rsid w:val="009F0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DEE"/>
    <w:rPr>
      <w:rFonts w:ascii="Segoe UI" w:hAnsi="Segoe UI" w:cs="Segoe UI"/>
      <w:sz w:val="18"/>
      <w:szCs w:val="18"/>
    </w:rPr>
  </w:style>
  <w:style w:type="character" w:customStyle="1" w:styleId="Heading2Char">
    <w:name w:val="Heading 2 Char"/>
    <w:basedOn w:val="DefaultParagraphFont"/>
    <w:link w:val="Heading2"/>
    <w:uiPriority w:val="9"/>
    <w:rsid w:val="00645AF7"/>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653">
      <w:bodyDiv w:val="1"/>
      <w:marLeft w:val="0"/>
      <w:marRight w:val="0"/>
      <w:marTop w:val="0"/>
      <w:marBottom w:val="0"/>
      <w:divBdr>
        <w:top w:val="none" w:sz="0" w:space="0" w:color="auto"/>
        <w:left w:val="none" w:sz="0" w:space="0" w:color="auto"/>
        <w:bottom w:val="none" w:sz="0" w:space="0" w:color="auto"/>
        <w:right w:val="none" w:sz="0" w:space="0" w:color="auto"/>
      </w:divBdr>
    </w:div>
    <w:div w:id="66810004">
      <w:bodyDiv w:val="1"/>
      <w:marLeft w:val="0"/>
      <w:marRight w:val="0"/>
      <w:marTop w:val="0"/>
      <w:marBottom w:val="0"/>
      <w:divBdr>
        <w:top w:val="none" w:sz="0" w:space="0" w:color="auto"/>
        <w:left w:val="none" w:sz="0" w:space="0" w:color="auto"/>
        <w:bottom w:val="none" w:sz="0" w:space="0" w:color="auto"/>
        <w:right w:val="none" w:sz="0" w:space="0" w:color="auto"/>
      </w:divBdr>
    </w:div>
    <w:div w:id="79447492">
      <w:bodyDiv w:val="1"/>
      <w:marLeft w:val="0"/>
      <w:marRight w:val="0"/>
      <w:marTop w:val="0"/>
      <w:marBottom w:val="0"/>
      <w:divBdr>
        <w:top w:val="none" w:sz="0" w:space="0" w:color="auto"/>
        <w:left w:val="none" w:sz="0" w:space="0" w:color="auto"/>
        <w:bottom w:val="none" w:sz="0" w:space="0" w:color="auto"/>
        <w:right w:val="none" w:sz="0" w:space="0" w:color="auto"/>
      </w:divBdr>
    </w:div>
    <w:div w:id="585000095">
      <w:bodyDiv w:val="1"/>
      <w:marLeft w:val="0"/>
      <w:marRight w:val="0"/>
      <w:marTop w:val="0"/>
      <w:marBottom w:val="0"/>
      <w:divBdr>
        <w:top w:val="none" w:sz="0" w:space="0" w:color="auto"/>
        <w:left w:val="none" w:sz="0" w:space="0" w:color="auto"/>
        <w:bottom w:val="none" w:sz="0" w:space="0" w:color="auto"/>
        <w:right w:val="none" w:sz="0" w:space="0" w:color="auto"/>
      </w:divBdr>
    </w:div>
    <w:div w:id="734428628">
      <w:bodyDiv w:val="1"/>
      <w:marLeft w:val="0"/>
      <w:marRight w:val="0"/>
      <w:marTop w:val="0"/>
      <w:marBottom w:val="0"/>
      <w:divBdr>
        <w:top w:val="none" w:sz="0" w:space="0" w:color="auto"/>
        <w:left w:val="none" w:sz="0" w:space="0" w:color="auto"/>
        <w:bottom w:val="none" w:sz="0" w:space="0" w:color="auto"/>
        <w:right w:val="none" w:sz="0" w:space="0" w:color="auto"/>
      </w:divBdr>
    </w:div>
    <w:div w:id="813984836">
      <w:bodyDiv w:val="1"/>
      <w:marLeft w:val="0"/>
      <w:marRight w:val="0"/>
      <w:marTop w:val="0"/>
      <w:marBottom w:val="0"/>
      <w:divBdr>
        <w:top w:val="none" w:sz="0" w:space="0" w:color="auto"/>
        <w:left w:val="none" w:sz="0" w:space="0" w:color="auto"/>
        <w:bottom w:val="none" w:sz="0" w:space="0" w:color="auto"/>
        <w:right w:val="none" w:sz="0" w:space="0" w:color="auto"/>
      </w:divBdr>
    </w:div>
    <w:div w:id="859584023">
      <w:bodyDiv w:val="1"/>
      <w:marLeft w:val="0"/>
      <w:marRight w:val="0"/>
      <w:marTop w:val="0"/>
      <w:marBottom w:val="0"/>
      <w:divBdr>
        <w:top w:val="none" w:sz="0" w:space="0" w:color="auto"/>
        <w:left w:val="none" w:sz="0" w:space="0" w:color="auto"/>
        <w:bottom w:val="none" w:sz="0" w:space="0" w:color="auto"/>
        <w:right w:val="none" w:sz="0" w:space="0" w:color="auto"/>
      </w:divBdr>
    </w:div>
    <w:div w:id="1176649667">
      <w:bodyDiv w:val="1"/>
      <w:marLeft w:val="0"/>
      <w:marRight w:val="0"/>
      <w:marTop w:val="0"/>
      <w:marBottom w:val="0"/>
      <w:divBdr>
        <w:top w:val="none" w:sz="0" w:space="0" w:color="auto"/>
        <w:left w:val="none" w:sz="0" w:space="0" w:color="auto"/>
        <w:bottom w:val="none" w:sz="0" w:space="0" w:color="auto"/>
        <w:right w:val="none" w:sz="0" w:space="0" w:color="auto"/>
      </w:divBdr>
    </w:div>
    <w:div w:id="1562642778">
      <w:bodyDiv w:val="1"/>
      <w:marLeft w:val="0"/>
      <w:marRight w:val="0"/>
      <w:marTop w:val="0"/>
      <w:marBottom w:val="0"/>
      <w:divBdr>
        <w:top w:val="none" w:sz="0" w:space="0" w:color="auto"/>
        <w:left w:val="none" w:sz="0" w:space="0" w:color="auto"/>
        <w:bottom w:val="none" w:sz="0" w:space="0" w:color="auto"/>
        <w:right w:val="none" w:sz="0" w:space="0" w:color="auto"/>
      </w:divBdr>
    </w:div>
    <w:div w:id="1628586491">
      <w:bodyDiv w:val="1"/>
      <w:marLeft w:val="0"/>
      <w:marRight w:val="0"/>
      <w:marTop w:val="0"/>
      <w:marBottom w:val="0"/>
      <w:divBdr>
        <w:top w:val="none" w:sz="0" w:space="0" w:color="auto"/>
        <w:left w:val="none" w:sz="0" w:space="0" w:color="auto"/>
        <w:bottom w:val="none" w:sz="0" w:space="0" w:color="auto"/>
        <w:right w:val="none" w:sz="0" w:space="0" w:color="auto"/>
      </w:divBdr>
    </w:div>
    <w:div w:id="1876649350">
      <w:bodyDiv w:val="1"/>
      <w:marLeft w:val="0"/>
      <w:marRight w:val="0"/>
      <w:marTop w:val="0"/>
      <w:marBottom w:val="0"/>
      <w:divBdr>
        <w:top w:val="none" w:sz="0" w:space="0" w:color="auto"/>
        <w:left w:val="none" w:sz="0" w:space="0" w:color="auto"/>
        <w:bottom w:val="none" w:sz="0" w:space="0" w:color="auto"/>
        <w:right w:val="none" w:sz="0" w:space="0" w:color="auto"/>
      </w:divBdr>
    </w:div>
    <w:div w:id="2048948654">
      <w:bodyDiv w:val="1"/>
      <w:marLeft w:val="0"/>
      <w:marRight w:val="0"/>
      <w:marTop w:val="0"/>
      <w:marBottom w:val="0"/>
      <w:divBdr>
        <w:top w:val="none" w:sz="0" w:space="0" w:color="auto"/>
        <w:left w:val="none" w:sz="0" w:space="0" w:color="auto"/>
        <w:bottom w:val="none" w:sz="0" w:space="0" w:color="auto"/>
        <w:right w:val="none" w:sz="0" w:space="0" w:color="auto"/>
      </w:divBdr>
    </w:div>
    <w:div w:id="205962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lrich@rouxlegal.com" TargetMode="External"/><Relationship Id="rId18" Type="http://schemas.openxmlformats.org/officeDocument/2006/relationships/hyperlink" Target="mailto:Veronica.vurgarellis@lawtonsafrica.com" TargetMode="External"/><Relationship Id="rId26" Type="http://schemas.openxmlformats.org/officeDocument/2006/relationships/hyperlink" Target="mailto:CM@Tabacks.com" TargetMode="External"/><Relationship Id="rId3" Type="http://schemas.openxmlformats.org/officeDocument/2006/relationships/styles" Target="styles.xml"/><Relationship Id="rId21" Type="http://schemas.openxmlformats.org/officeDocument/2006/relationships/hyperlink" Target="mailto:bouwer@smitsew.co.za" TargetMode="External"/><Relationship Id="rId7" Type="http://schemas.openxmlformats.org/officeDocument/2006/relationships/endnotes" Target="endnotes.xml"/><Relationship Id="rId12" Type="http://schemas.openxmlformats.org/officeDocument/2006/relationships/hyperlink" Target="http://www.saflii.org/cgi-bin/LawCite?cit=2017%20%284%29%20BCLR%20445" TargetMode="External"/><Relationship Id="rId17" Type="http://schemas.openxmlformats.org/officeDocument/2006/relationships/hyperlink" Target="mailto:jeff.buckland@lawtonsafrica.com" TargetMode="External"/><Relationship Id="rId25" Type="http://schemas.openxmlformats.org/officeDocument/2006/relationships/hyperlink" Target="mailto:MM@tabacks.com" TargetMode="External"/><Relationship Id="rId2" Type="http://schemas.openxmlformats.org/officeDocument/2006/relationships/numbering" Target="numbering.xml"/><Relationship Id="rId16" Type="http://schemas.openxmlformats.org/officeDocument/2006/relationships/hyperlink" Target="mailto:govender@rvbinc.co.za" TargetMode="External"/><Relationship Id="rId20" Type="http://schemas.openxmlformats.org/officeDocument/2006/relationships/hyperlink" Target="mailto:raman@wylie.co.z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LawCite?cit=2009%20%2810%29%20BCLR%201014" TargetMode="External"/><Relationship Id="rId24" Type="http://schemas.openxmlformats.org/officeDocument/2006/relationships/hyperlink" Target="mailto:BT@Tabacks.com" TargetMode="External"/><Relationship Id="rId5" Type="http://schemas.openxmlformats.org/officeDocument/2006/relationships/webSettings" Target="webSettings.xml"/><Relationship Id="rId15" Type="http://schemas.openxmlformats.org/officeDocument/2006/relationships/hyperlink" Target="mailto:ramnanan@rvbinc.co.za" TargetMode="External"/><Relationship Id="rId23" Type="http://schemas.openxmlformats.org/officeDocument/2006/relationships/hyperlink" Target="mailto:andrew@johnstonstonkzn.co.za" TargetMode="External"/><Relationship Id="rId28" Type="http://schemas.openxmlformats.org/officeDocument/2006/relationships/fontTable" Target="fontTable.xml"/><Relationship Id="rId10" Type="http://schemas.openxmlformats.org/officeDocument/2006/relationships/hyperlink" Target="http://www.saflii.org/cgi-bin/LawCite?cit=2009%20%286%29%20SA%20232" TargetMode="External"/><Relationship Id="rId19" Type="http://schemas.openxmlformats.org/officeDocument/2006/relationships/hyperlink" Target="mailto:Bradley.frolick@lawtonsafrica.com" TargetMode="External"/><Relationship Id="rId4" Type="http://schemas.openxmlformats.org/officeDocument/2006/relationships/settings" Target="settings.xml"/><Relationship Id="rId9" Type="http://schemas.openxmlformats.org/officeDocument/2006/relationships/hyperlink" Target="https://www.saflii.org/cgi-bin/LawCite?cit=2004%20%283%29%20SA%20615" TargetMode="External"/><Relationship Id="rId14" Type="http://schemas.openxmlformats.org/officeDocument/2006/relationships/hyperlink" Target="mailto:casper@rouxlegal.com" TargetMode="External"/><Relationship Id="rId22" Type="http://schemas.openxmlformats.org/officeDocument/2006/relationships/hyperlink" Target="mailto:parveen@smitsew.co.za" TargetMode="External"/><Relationship Id="rId27" Type="http://schemas.openxmlformats.org/officeDocument/2006/relationships/header" Target="header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2D8F3-F55B-4C5C-A28D-4C1142C9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5868</Words>
  <Characters>33453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Mahen Chetty</dc:creator>
  <cp:lastModifiedBy>Mary Bruce</cp:lastModifiedBy>
  <cp:revision>3</cp:revision>
  <cp:lastPrinted>2023-03-01T07:55:00Z</cp:lastPrinted>
  <dcterms:created xsi:type="dcterms:W3CDTF">2023-03-01T08:08:00Z</dcterms:created>
  <dcterms:modified xsi:type="dcterms:W3CDTF">2023-03-01T09:07:00Z</dcterms:modified>
</cp:coreProperties>
</file>