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52164" w14:textId="77777777" w:rsidR="008A30EA" w:rsidRPr="00C367E5" w:rsidRDefault="008A30EA" w:rsidP="008A30EA">
      <w:pPr>
        <w:jc w:val="both"/>
        <w:outlineLvl w:val="0"/>
        <w:rPr>
          <w:rFonts w:cs="Arial"/>
          <w:u w:val="single"/>
        </w:rPr>
      </w:pPr>
      <w:bookmarkStart w:id="0" w:name="_Hlk4159271"/>
    </w:p>
    <w:p w14:paraId="48CEA935" w14:textId="77777777" w:rsidR="008A30EA" w:rsidRPr="00C367E5" w:rsidRDefault="008A30EA" w:rsidP="008A30EA">
      <w:pPr>
        <w:spacing w:line="360" w:lineRule="auto"/>
        <w:contextualSpacing/>
        <w:jc w:val="center"/>
        <w:rPr>
          <w:rFonts w:cs="Arial"/>
          <w:b/>
        </w:rPr>
      </w:pPr>
      <w:r w:rsidRPr="00C367E5">
        <w:rPr>
          <w:noProof/>
          <w:lang w:val="en-US"/>
        </w:rPr>
        <w:drawing>
          <wp:inline distT="0" distB="0" distL="0" distR="0" wp14:anchorId="49971EAC" wp14:editId="45807B75">
            <wp:extent cx="1323975" cy="11620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162050"/>
                    </a:xfrm>
                    <a:prstGeom prst="rect">
                      <a:avLst/>
                    </a:prstGeom>
                    <a:noFill/>
                    <a:ln>
                      <a:noFill/>
                    </a:ln>
                  </pic:spPr>
                </pic:pic>
              </a:graphicData>
            </a:graphic>
          </wp:inline>
        </w:drawing>
      </w:r>
    </w:p>
    <w:p w14:paraId="3B3E32B7" w14:textId="77777777" w:rsidR="008A30EA" w:rsidRPr="00C367E5" w:rsidRDefault="008A30EA" w:rsidP="008A30EA">
      <w:pPr>
        <w:spacing w:line="360" w:lineRule="auto"/>
        <w:jc w:val="both"/>
        <w:outlineLvl w:val="0"/>
        <w:rPr>
          <w:rFonts w:cs="Arial"/>
          <w:b/>
        </w:rPr>
      </w:pPr>
    </w:p>
    <w:p w14:paraId="5C2C75DD" w14:textId="77777777" w:rsidR="008A30EA" w:rsidRPr="00C367E5" w:rsidRDefault="008A30EA" w:rsidP="008A30EA">
      <w:pPr>
        <w:spacing w:line="360" w:lineRule="auto"/>
        <w:jc w:val="center"/>
        <w:outlineLvl w:val="0"/>
        <w:rPr>
          <w:rFonts w:cs="Arial"/>
          <w:b/>
        </w:rPr>
      </w:pPr>
      <w:bookmarkStart w:id="1" w:name="OLE_LINK5"/>
      <w:bookmarkStart w:id="2" w:name="OLE_LINK6"/>
      <w:r w:rsidRPr="00C367E5">
        <w:rPr>
          <w:rFonts w:cs="Arial"/>
          <w:b/>
        </w:rPr>
        <w:t>IN THE HIGH COURT OF SOUTH AFRICA</w:t>
      </w:r>
    </w:p>
    <w:p w14:paraId="30B281E4" w14:textId="77777777" w:rsidR="008A30EA" w:rsidRPr="00C367E5" w:rsidRDefault="008A30EA" w:rsidP="008A30EA">
      <w:pPr>
        <w:spacing w:line="360" w:lineRule="auto"/>
        <w:jc w:val="center"/>
        <w:outlineLvl w:val="0"/>
        <w:rPr>
          <w:rFonts w:cs="Arial"/>
          <w:b/>
        </w:rPr>
      </w:pPr>
      <w:r w:rsidRPr="00C367E5">
        <w:rPr>
          <w:rFonts w:cs="Arial"/>
          <w:b/>
        </w:rPr>
        <w:t>KWAZULU-NATAL LOCAL DIVISION, DURBAN</w:t>
      </w:r>
    </w:p>
    <w:p w14:paraId="3A70AC35" w14:textId="77777777" w:rsidR="008A30EA" w:rsidRPr="00C367E5" w:rsidRDefault="008A30EA" w:rsidP="008A30EA">
      <w:pPr>
        <w:spacing w:line="276" w:lineRule="auto"/>
        <w:ind w:left="4320" w:firstLine="720"/>
        <w:jc w:val="both"/>
        <w:outlineLvl w:val="0"/>
        <w:rPr>
          <w:rFonts w:cs="Arial"/>
        </w:rPr>
      </w:pPr>
    </w:p>
    <w:bookmarkEnd w:id="1"/>
    <w:bookmarkEnd w:id="2"/>
    <w:p w14:paraId="0F8B40F4" w14:textId="49202ABE" w:rsidR="008A30EA" w:rsidRPr="00C367E5" w:rsidRDefault="008A30EA" w:rsidP="008A30EA">
      <w:pPr>
        <w:spacing w:line="276" w:lineRule="auto"/>
        <w:jc w:val="right"/>
        <w:rPr>
          <w:rFonts w:cs="Arial"/>
          <w:b/>
        </w:rPr>
      </w:pPr>
      <w:r w:rsidRPr="00C367E5">
        <w:rPr>
          <w:rFonts w:cs="Arial"/>
          <w:b/>
        </w:rPr>
        <w:t xml:space="preserve">CASE NO: </w:t>
      </w:r>
      <w:r w:rsidR="006F79DD" w:rsidRPr="00C367E5">
        <w:rPr>
          <w:rFonts w:cs="Arial"/>
          <w:b/>
        </w:rPr>
        <w:t>D8841/2022</w:t>
      </w:r>
    </w:p>
    <w:p w14:paraId="6C477FFE" w14:textId="77777777" w:rsidR="008A30EA" w:rsidRPr="00C367E5" w:rsidRDefault="008A30EA" w:rsidP="008A30EA">
      <w:pPr>
        <w:spacing w:line="276" w:lineRule="auto"/>
        <w:jc w:val="both"/>
        <w:rPr>
          <w:rFonts w:cs="Arial"/>
        </w:rPr>
      </w:pPr>
    </w:p>
    <w:p w14:paraId="0E062BB0" w14:textId="21D83E09" w:rsidR="008A30EA" w:rsidRPr="00C367E5" w:rsidRDefault="008A30EA" w:rsidP="008A30EA">
      <w:pPr>
        <w:spacing w:line="276" w:lineRule="auto"/>
        <w:jc w:val="both"/>
        <w:rPr>
          <w:rFonts w:cs="Arial"/>
        </w:rPr>
      </w:pPr>
      <w:r w:rsidRPr="00C367E5">
        <w:rPr>
          <w:rFonts w:cs="Arial"/>
        </w:rPr>
        <w:t>In the matter between:</w:t>
      </w:r>
    </w:p>
    <w:p w14:paraId="7FD0ACBE" w14:textId="77777777" w:rsidR="00C136B9" w:rsidRPr="00C367E5" w:rsidRDefault="00C136B9" w:rsidP="008A30EA">
      <w:pPr>
        <w:spacing w:line="276" w:lineRule="auto"/>
        <w:jc w:val="both"/>
        <w:rPr>
          <w:rFonts w:cs="Arial"/>
        </w:rPr>
      </w:pPr>
    </w:p>
    <w:p w14:paraId="6A21E4E7" w14:textId="5D916DC1" w:rsidR="008A30EA" w:rsidRPr="00C367E5" w:rsidRDefault="006F79DD" w:rsidP="008A30EA">
      <w:pPr>
        <w:tabs>
          <w:tab w:val="right" w:pos="8505"/>
        </w:tabs>
        <w:spacing w:line="276" w:lineRule="auto"/>
        <w:jc w:val="both"/>
        <w:rPr>
          <w:rFonts w:cs="Arial"/>
          <w:b/>
        </w:rPr>
      </w:pPr>
      <w:r w:rsidRPr="00C367E5">
        <w:rPr>
          <w:rFonts w:cs="Arial"/>
          <w:b/>
        </w:rPr>
        <w:t>MAKAZIWE NQOBILE NDLOVU</w:t>
      </w:r>
      <w:r w:rsidR="008A30EA" w:rsidRPr="00C367E5">
        <w:rPr>
          <w:rFonts w:cs="Arial"/>
          <w:b/>
        </w:rPr>
        <w:tab/>
      </w:r>
      <w:r w:rsidR="00E81C93" w:rsidRPr="00C367E5">
        <w:rPr>
          <w:rFonts w:cs="Arial"/>
          <w:b/>
        </w:rPr>
        <w:t>First Applicant</w:t>
      </w:r>
    </w:p>
    <w:p w14:paraId="2E0A2BAF" w14:textId="573AAD8B" w:rsidR="00E81C93" w:rsidRPr="00C367E5" w:rsidRDefault="00E81C93" w:rsidP="008A30EA">
      <w:pPr>
        <w:tabs>
          <w:tab w:val="right" w:pos="8505"/>
        </w:tabs>
        <w:spacing w:line="276" w:lineRule="auto"/>
        <w:jc w:val="both"/>
        <w:rPr>
          <w:rFonts w:cs="Arial"/>
          <w:b/>
        </w:rPr>
      </w:pPr>
    </w:p>
    <w:p w14:paraId="01208697" w14:textId="7AD2524A" w:rsidR="00E81C93" w:rsidRPr="00C367E5" w:rsidRDefault="006F79DD" w:rsidP="008A30EA">
      <w:pPr>
        <w:tabs>
          <w:tab w:val="right" w:pos="8505"/>
        </w:tabs>
        <w:spacing w:line="276" w:lineRule="auto"/>
        <w:jc w:val="both"/>
        <w:rPr>
          <w:rFonts w:cs="Arial"/>
          <w:b/>
        </w:rPr>
      </w:pPr>
      <w:r w:rsidRPr="00C367E5">
        <w:rPr>
          <w:rFonts w:cs="Arial"/>
          <w:b/>
        </w:rPr>
        <w:t xml:space="preserve">SMANGALISO KHUMALO </w:t>
      </w:r>
      <w:r w:rsidR="00E81C93" w:rsidRPr="00C367E5">
        <w:rPr>
          <w:rFonts w:cs="Arial"/>
          <w:b/>
        </w:rPr>
        <w:tab/>
        <w:t>Second Applicant</w:t>
      </w:r>
    </w:p>
    <w:p w14:paraId="0A917501" w14:textId="0942701F" w:rsidR="00E81C93" w:rsidRPr="00C367E5" w:rsidRDefault="00E81C93" w:rsidP="008A30EA">
      <w:pPr>
        <w:tabs>
          <w:tab w:val="right" w:pos="8505"/>
        </w:tabs>
        <w:spacing w:line="276" w:lineRule="auto"/>
        <w:jc w:val="both"/>
        <w:rPr>
          <w:rFonts w:cs="Arial"/>
          <w:b/>
        </w:rPr>
      </w:pPr>
    </w:p>
    <w:p w14:paraId="54D4170C" w14:textId="3F6024AE" w:rsidR="00E81C93" w:rsidRPr="00C367E5" w:rsidRDefault="006F79DD" w:rsidP="008A30EA">
      <w:pPr>
        <w:tabs>
          <w:tab w:val="right" w:pos="8505"/>
        </w:tabs>
        <w:spacing w:line="276" w:lineRule="auto"/>
        <w:jc w:val="both"/>
        <w:rPr>
          <w:rFonts w:cs="Arial"/>
          <w:b/>
        </w:rPr>
      </w:pPr>
      <w:r w:rsidRPr="00C367E5">
        <w:rPr>
          <w:rFonts w:cs="Arial"/>
          <w:b/>
        </w:rPr>
        <w:t>S</w:t>
      </w:r>
      <w:r w:rsidR="00047A1C" w:rsidRPr="00C367E5">
        <w:rPr>
          <w:rFonts w:cs="Arial"/>
          <w:b/>
        </w:rPr>
        <w:t>I</w:t>
      </w:r>
      <w:r w:rsidRPr="00C367E5">
        <w:rPr>
          <w:rFonts w:cs="Arial"/>
          <w:b/>
        </w:rPr>
        <w:t>BONELO FANELE THABE</w:t>
      </w:r>
      <w:r w:rsidR="00047A1C" w:rsidRPr="00C367E5">
        <w:rPr>
          <w:rFonts w:cs="Arial"/>
          <w:b/>
        </w:rPr>
        <w:t>THE</w:t>
      </w:r>
      <w:r w:rsidR="00E81C93" w:rsidRPr="00C367E5">
        <w:rPr>
          <w:rFonts w:cs="Arial"/>
          <w:b/>
        </w:rPr>
        <w:tab/>
        <w:t xml:space="preserve">Third Applicant </w:t>
      </w:r>
    </w:p>
    <w:p w14:paraId="0E2EA3F6" w14:textId="2E54DA20" w:rsidR="006F79DD" w:rsidRPr="00C367E5" w:rsidRDefault="006F79DD" w:rsidP="008A30EA">
      <w:pPr>
        <w:tabs>
          <w:tab w:val="right" w:pos="8505"/>
        </w:tabs>
        <w:spacing w:line="276" w:lineRule="auto"/>
        <w:jc w:val="both"/>
        <w:rPr>
          <w:rFonts w:cs="Arial"/>
          <w:b/>
        </w:rPr>
      </w:pPr>
    </w:p>
    <w:p w14:paraId="5A820999" w14:textId="371C0E4F" w:rsidR="00047A1C" w:rsidRPr="00C367E5" w:rsidRDefault="006F79DD" w:rsidP="008A30EA">
      <w:pPr>
        <w:tabs>
          <w:tab w:val="right" w:pos="8505"/>
        </w:tabs>
        <w:spacing w:line="276" w:lineRule="auto"/>
        <w:jc w:val="both"/>
        <w:rPr>
          <w:rFonts w:cs="Arial"/>
          <w:b/>
        </w:rPr>
      </w:pPr>
      <w:r w:rsidRPr="00C367E5">
        <w:rPr>
          <w:rFonts w:cs="Arial"/>
          <w:b/>
        </w:rPr>
        <w:t xml:space="preserve">SISEKELO JONA </w:t>
      </w:r>
      <w:r w:rsidR="00047A1C" w:rsidRPr="00C367E5">
        <w:rPr>
          <w:rFonts w:cs="Arial"/>
          <w:b/>
        </w:rPr>
        <w:tab/>
        <w:t>Fourth Applicant</w:t>
      </w:r>
    </w:p>
    <w:p w14:paraId="0FAC0E2B" w14:textId="77777777" w:rsidR="00047A1C" w:rsidRPr="00C367E5" w:rsidRDefault="00047A1C" w:rsidP="008A30EA">
      <w:pPr>
        <w:tabs>
          <w:tab w:val="right" w:pos="8505"/>
        </w:tabs>
        <w:spacing w:line="276" w:lineRule="auto"/>
        <w:jc w:val="both"/>
        <w:rPr>
          <w:rFonts w:cs="Arial"/>
          <w:b/>
        </w:rPr>
      </w:pPr>
    </w:p>
    <w:p w14:paraId="0840DB97" w14:textId="3F33EEB9" w:rsidR="006F79DD" w:rsidRPr="00C367E5" w:rsidRDefault="006F79DD" w:rsidP="008A30EA">
      <w:pPr>
        <w:tabs>
          <w:tab w:val="right" w:pos="8505"/>
        </w:tabs>
        <w:spacing w:line="276" w:lineRule="auto"/>
        <w:jc w:val="both"/>
        <w:rPr>
          <w:rFonts w:cs="Arial"/>
          <w:b/>
        </w:rPr>
      </w:pPr>
      <w:r w:rsidRPr="00C367E5">
        <w:rPr>
          <w:rFonts w:cs="Arial"/>
          <w:b/>
        </w:rPr>
        <w:t>THEMBINKOSI NGOBESE</w:t>
      </w:r>
      <w:r w:rsidRPr="00C367E5">
        <w:rPr>
          <w:rFonts w:cs="Arial"/>
          <w:b/>
        </w:rPr>
        <w:tab/>
      </w:r>
      <w:r w:rsidR="00047A1C" w:rsidRPr="00C367E5">
        <w:rPr>
          <w:rFonts w:cs="Arial"/>
          <w:b/>
        </w:rPr>
        <w:t>Fifth</w:t>
      </w:r>
      <w:r w:rsidRPr="00C367E5">
        <w:rPr>
          <w:rFonts w:cs="Arial"/>
          <w:b/>
        </w:rPr>
        <w:t xml:space="preserve"> Applicant</w:t>
      </w:r>
    </w:p>
    <w:p w14:paraId="74499478" w14:textId="45D1C14B" w:rsidR="006F79DD" w:rsidRPr="00C367E5" w:rsidRDefault="006F79DD" w:rsidP="008A30EA">
      <w:pPr>
        <w:tabs>
          <w:tab w:val="right" w:pos="8505"/>
        </w:tabs>
        <w:spacing w:line="276" w:lineRule="auto"/>
        <w:jc w:val="both"/>
        <w:rPr>
          <w:rFonts w:cs="Arial"/>
          <w:b/>
        </w:rPr>
      </w:pPr>
    </w:p>
    <w:p w14:paraId="667E0887" w14:textId="15D1DC16" w:rsidR="006F79DD" w:rsidRPr="00C367E5" w:rsidRDefault="006F79DD" w:rsidP="008A30EA">
      <w:pPr>
        <w:tabs>
          <w:tab w:val="right" w:pos="8505"/>
        </w:tabs>
        <w:spacing w:line="276" w:lineRule="auto"/>
        <w:jc w:val="both"/>
        <w:rPr>
          <w:rFonts w:cs="Arial"/>
          <w:b/>
        </w:rPr>
      </w:pPr>
      <w:r w:rsidRPr="00C367E5">
        <w:rPr>
          <w:rFonts w:cs="Arial"/>
          <w:b/>
        </w:rPr>
        <w:t>SISEKELO JIYANE</w:t>
      </w:r>
      <w:r w:rsidRPr="00C367E5">
        <w:rPr>
          <w:rFonts w:cs="Arial"/>
          <w:b/>
        </w:rPr>
        <w:tab/>
      </w:r>
      <w:r w:rsidR="00047A1C" w:rsidRPr="00C367E5">
        <w:rPr>
          <w:rFonts w:cs="Arial"/>
          <w:b/>
        </w:rPr>
        <w:t>Sixth</w:t>
      </w:r>
      <w:r w:rsidRPr="00C367E5">
        <w:rPr>
          <w:rFonts w:cs="Arial"/>
          <w:b/>
        </w:rPr>
        <w:t xml:space="preserve"> Applicant</w:t>
      </w:r>
    </w:p>
    <w:p w14:paraId="094528DF" w14:textId="3D3D98C7" w:rsidR="006F79DD" w:rsidRPr="00C367E5" w:rsidRDefault="006F79DD" w:rsidP="008A30EA">
      <w:pPr>
        <w:tabs>
          <w:tab w:val="right" w:pos="8505"/>
        </w:tabs>
        <w:spacing w:line="276" w:lineRule="auto"/>
        <w:jc w:val="both"/>
        <w:rPr>
          <w:rFonts w:cs="Arial"/>
          <w:b/>
        </w:rPr>
      </w:pPr>
    </w:p>
    <w:p w14:paraId="7F1AD2BF" w14:textId="07C71FBE" w:rsidR="006F79DD" w:rsidRPr="00C367E5" w:rsidRDefault="006F79DD" w:rsidP="008A30EA">
      <w:pPr>
        <w:tabs>
          <w:tab w:val="right" w:pos="8505"/>
        </w:tabs>
        <w:spacing w:line="276" w:lineRule="auto"/>
        <w:jc w:val="both"/>
        <w:rPr>
          <w:rFonts w:cs="Arial"/>
          <w:b/>
        </w:rPr>
      </w:pPr>
      <w:r w:rsidRPr="00C367E5">
        <w:rPr>
          <w:rFonts w:cs="Arial"/>
          <w:b/>
        </w:rPr>
        <w:t>THULASIZWE MDLETSHE</w:t>
      </w:r>
      <w:r w:rsidRPr="00C367E5">
        <w:rPr>
          <w:rFonts w:cs="Arial"/>
          <w:b/>
        </w:rPr>
        <w:tab/>
        <w:t>S</w:t>
      </w:r>
      <w:r w:rsidR="00047A1C" w:rsidRPr="00C367E5">
        <w:rPr>
          <w:rFonts w:cs="Arial"/>
          <w:b/>
        </w:rPr>
        <w:t xml:space="preserve">eventh </w:t>
      </w:r>
      <w:r w:rsidRPr="00C367E5">
        <w:rPr>
          <w:rFonts w:cs="Arial"/>
          <w:b/>
        </w:rPr>
        <w:t>Applicant</w:t>
      </w:r>
    </w:p>
    <w:p w14:paraId="7271A13C" w14:textId="0C43607A" w:rsidR="006F79DD" w:rsidRPr="00C367E5" w:rsidRDefault="006F79DD" w:rsidP="008A30EA">
      <w:pPr>
        <w:tabs>
          <w:tab w:val="right" w:pos="8505"/>
        </w:tabs>
        <w:spacing w:line="276" w:lineRule="auto"/>
        <w:jc w:val="both"/>
        <w:rPr>
          <w:rFonts w:cs="Arial"/>
          <w:b/>
        </w:rPr>
      </w:pPr>
    </w:p>
    <w:p w14:paraId="69665A33" w14:textId="02BA7AA3" w:rsidR="006F79DD" w:rsidRPr="00C367E5" w:rsidRDefault="006F79DD" w:rsidP="008A30EA">
      <w:pPr>
        <w:tabs>
          <w:tab w:val="right" w:pos="8505"/>
        </w:tabs>
        <w:spacing w:line="276" w:lineRule="auto"/>
        <w:jc w:val="both"/>
        <w:rPr>
          <w:rFonts w:cs="Arial"/>
          <w:b/>
        </w:rPr>
      </w:pPr>
      <w:r w:rsidRPr="00C367E5">
        <w:rPr>
          <w:rFonts w:cs="Arial"/>
          <w:b/>
        </w:rPr>
        <w:t>LANGALETHU M</w:t>
      </w:r>
      <w:r w:rsidR="009D3AE4">
        <w:rPr>
          <w:rFonts w:cs="Arial"/>
          <w:b/>
        </w:rPr>
        <w:t>c</w:t>
      </w:r>
      <w:r w:rsidRPr="00C367E5">
        <w:rPr>
          <w:rFonts w:cs="Arial"/>
          <w:b/>
        </w:rPr>
        <w:t>DONALD MAL</w:t>
      </w:r>
      <w:r w:rsidR="00047A1C" w:rsidRPr="00C367E5">
        <w:rPr>
          <w:rFonts w:cs="Arial"/>
          <w:b/>
        </w:rPr>
        <w:t>A</w:t>
      </w:r>
      <w:r w:rsidRPr="00C367E5">
        <w:rPr>
          <w:rFonts w:cs="Arial"/>
          <w:b/>
        </w:rPr>
        <w:t xml:space="preserve">NDA </w:t>
      </w:r>
      <w:r w:rsidR="00047A1C" w:rsidRPr="00C367E5">
        <w:rPr>
          <w:rFonts w:cs="Arial"/>
          <w:b/>
        </w:rPr>
        <w:tab/>
        <w:t>Eighth Applicant</w:t>
      </w:r>
    </w:p>
    <w:p w14:paraId="5190DC85" w14:textId="77777777" w:rsidR="00047A1C" w:rsidRPr="00C367E5" w:rsidRDefault="00047A1C" w:rsidP="008A30EA">
      <w:pPr>
        <w:tabs>
          <w:tab w:val="right" w:pos="8505"/>
        </w:tabs>
        <w:spacing w:line="276" w:lineRule="auto"/>
        <w:jc w:val="both"/>
        <w:rPr>
          <w:rFonts w:cs="Arial"/>
          <w:b/>
        </w:rPr>
      </w:pPr>
    </w:p>
    <w:p w14:paraId="0B5624B7" w14:textId="72D500B3" w:rsidR="006F79DD" w:rsidRPr="00C367E5" w:rsidRDefault="006F79DD" w:rsidP="008A30EA">
      <w:pPr>
        <w:tabs>
          <w:tab w:val="right" w:pos="8505"/>
        </w:tabs>
        <w:spacing w:line="276" w:lineRule="auto"/>
        <w:jc w:val="both"/>
        <w:rPr>
          <w:rFonts w:cs="Arial"/>
          <w:b/>
        </w:rPr>
      </w:pPr>
      <w:r w:rsidRPr="00C367E5">
        <w:rPr>
          <w:rFonts w:cs="Arial"/>
          <w:b/>
        </w:rPr>
        <w:t>ZAMILE FUNDA</w:t>
      </w:r>
      <w:r w:rsidRPr="00C367E5">
        <w:rPr>
          <w:rFonts w:cs="Arial"/>
          <w:b/>
        </w:rPr>
        <w:tab/>
      </w:r>
      <w:r w:rsidR="00047A1C" w:rsidRPr="00C367E5">
        <w:rPr>
          <w:rFonts w:cs="Arial"/>
          <w:b/>
        </w:rPr>
        <w:t>Ninth</w:t>
      </w:r>
      <w:r w:rsidRPr="00C367E5">
        <w:rPr>
          <w:rFonts w:cs="Arial"/>
          <w:b/>
        </w:rPr>
        <w:t xml:space="preserve"> Applicant</w:t>
      </w:r>
    </w:p>
    <w:p w14:paraId="761A8048" w14:textId="71B834C7" w:rsidR="006F79DD" w:rsidRPr="00C367E5" w:rsidRDefault="006F79DD" w:rsidP="008A30EA">
      <w:pPr>
        <w:tabs>
          <w:tab w:val="right" w:pos="8505"/>
        </w:tabs>
        <w:spacing w:line="276" w:lineRule="auto"/>
        <w:jc w:val="both"/>
        <w:rPr>
          <w:rFonts w:cs="Arial"/>
          <w:b/>
        </w:rPr>
      </w:pPr>
    </w:p>
    <w:p w14:paraId="42CDA26A" w14:textId="59AC6326" w:rsidR="006F79DD" w:rsidRPr="00C367E5" w:rsidRDefault="006F79DD" w:rsidP="008A30EA">
      <w:pPr>
        <w:tabs>
          <w:tab w:val="right" w:pos="8505"/>
        </w:tabs>
        <w:spacing w:line="276" w:lineRule="auto"/>
        <w:jc w:val="both"/>
        <w:rPr>
          <w:rFonts w:cs="Arial"/>
          <w:b/>
        </w:rPr>
      </w:pPr>
      <w:r w:rsidRPr="00C367E5">
        <w:rPr>
          <w:rFonts w:cs="Arial"/>
          <w:b/>
        </w:rPr>
        <w:t>MTHOKOZISI ERIC GUMEDE</w:t>
      </w:r>
      <w:r w:rsidRPr="00C367E5">
        <w:rPr>
          <w:rFonts w:cs="Arial"/>
          <w:b/>
        </w:rPr>
        <w:tab/>
      </w:r>
      <w:r w:rsidR="00047A1C" w:rsidRPr="00C367E5">
        <w:rPr>
          <w:rFonts w:cs="Arial"/>
          <w:b/>
        </w:rPr>
        <w:t>Tenth</w:t>
      </w:r>
      <w:r w:rsidRPr="00C367E5">
        <w:rPr>
          <w:rFonts w:cs="Arial"/>
          <w:b/>
        </w:rPr>
        <w:t xml:space="preserve"> Applicant</w:t>
      </w:r>
    </w:p>
    <w:p w14:paraId="77EFE5E4" w14:textId="49534E65" w:rsidR="006F79DD" w:rsidRPr="00C367E5" w:rsidRDefault="006F79DD" w:rsidP="008A30EA">
      <w:pPr>
        <w:tabs>
          <w:tab w:val="right" w:pos="8505"/>
        </w:tabs>
        <w:spacing w:line="276" w:lineRule="auto"/>
        <w:jc w:val="both"/>
        <w:rPr>
          <w:rFonts w:cs="Arial"/>
          <w:b/>
        </w:rPr>
      </w:pPr>
    </w:p>
    <w:p w14:paraId="1BF35F1F" w14:textId="384D2240" w:rsidR="006F79DD" w:rsidRPr="00C367E5" w:rsidRDefault="006F79DD" w:rsidP="008A30EA">
      <w:pPr>
        <w:tabs>
          <w:tab w:val="right" w:pos="8505"/>
        </w:tabs>
        <w:spacing w:line="276" w:lineRule="auto"/>
        <w:jc w:val="both"/>
        <w:rPr>
          <w:rFonts w:cs="Arial"/>
          <w:b/>
        </w:rPr>
      </w:pPr>
      <w:r w:rsidRPr="00C367E5">
        <w:rPr>
          <w:rFonts w:cs="Arial"/>
          <w:b/>
        </w:rPr>
        <w:t>SINDISWA ANAID MTHEMBU</w:t>
      </w:r>
      <w:r w:rsidRPr="00C367E5">
        <w:rPr>
          <w:rFonts w:cs="Arial"/>
          <w:b/>
        </w:rPr>
        <w:tab/>
      </w:r>
      <w:r w:rsidR="00047A1C" w:rsidRPr="00C367E5">
        <w:rPr>
          <w:rFonts w:cs="Arial"/>
          <w:b/>
        </w:rPr>
        <w:t>Eleventh</w:t>
      </w:r>
      <w:r w:rsidRPr="00C367E5">
        <w:rPr>
          <w:rFonts w:cs="Arial"/>
          <w:b/>
        </w:rPr>
        <w:t xml:space="preserve"> Applicant</w:t>
      </w:r>
    </w:p>
    <w:p w14:paraId="592E95A5" w14:textId="6B2FCA6F" w:rsidR="006F79DD" w:rsidRPr="00C367E5" w:rsidRDefault="006F79DD" w:rsidP="008A30EA">
      <w:pPr>
        <w:tabs>
          <w:tab w:val="right" w:pos="8505"/>
        </w:tabs>
        <w:spacing w:line="276" w:lineRule="auto"/>
        <w:jc w:val="both"/>
        <w:rPr>
          <w:rFonts w:cs="Arial"/>
          <w:b/>
        </w:rPr>
      </w:pPr>
    </w:p>
    <w:p w14:paraId="2375E8F4" w14:textId="11E8FE7D" w:rsidR="006F79DD" w:rsidRPr="00C367E5" w:rsidRDefault="006F79DD" w:rsidP="008A30EA">
      <w:pPr>
        <w:tabs>
          <w:tab w:val="right" w:pos="8505"/>
        </w:tabs>
        <w:spacing w:line="276" w:lineRule="auto"/>
        <w:jc w:val="both"/>
        <w:rPr>
          <w:rFonts w:cs="Arial"/>
          <w:b/>
        </w:rPr>
      </w:pPr>
      <w:r w:rsidRPr="00C367E5">
        <w:rPr>
          <w:rFonts w:cs="Arial"/>
          <w:b/>
        </w:rPr>
        <w:t>SIBONISO SICELO NTSHABA</w:t>
      </w:r>
      <w:r w:rsidRPr="00C367E5">
        <w:rPr>
          <w:rFonts w:cs="Arial"/>
          <w:b/>
        </w:rPr>
        <w:tab/>
      </w:r>
      <w:r w:rsidR="00047A1C" w:rsidRPr="00C367E5">
        <w:rPr>
          <w:rFonts w:cs="Arial"/>
          <w:b/>
        </w:rPr>
        <w:t>Twelfth</w:t>
      </w:r>
      <w:r w:rsidRPr="00C367E5">
        <w:rPr>
          <w:rFonts w:cs="Arial"/>
          <w:b/>
        </w:rPr>
        <w:t xml:space="preserve"> Applicant</w:t>
      </w:r>
    </w:p>
    <w:p w14:paraId="0740EC9C" w14:textId="60C1DD8F" w:rsidR="006F79DD" w:rsidRPr="00C367E5" w:rsidRDefault="006F79DD" w:rsidP="008A30EA">
      <w:pPr>
        <w:tabs>
          <w:tab w:val="right" w:pos="8505"/>
        </w:tabs>
        <w:spacing w:line="276" w:lineRule="auto"/>
        <w:jc w:val="both"/>
        <w:rPr>
          <w:rFonts w:cs="Arial"/>
          <w:b/>
        </w:rPr>
      </w:pPr>
    </w:p>
    <w:p w14:paraId="085D9C55" w14:textId="71E27E78" w:rsidR="006F79DD" w:rsidRPr="00C367E5" w:rsidRDefault="006F79DD" w:rsidP="008A30EA">
      <w:pPr>
        <w:tabs>
          <w:tab w:val="right" w:pos="8505"/>
        </w:tabs>
        <w:spacing w:line="276" w:lineRule="auto"/>
        <w:jc w:val="both"/>
        <w:rPr>
          <w:rFonts w:cs="Arial"/>
          <w:b/>
        </w:rPr>
      </w:pPr>
      <w:r w:rsidRPr="00C367E5">
        <w:rPr>
          <w:rFonts w:cs="Arial"/>
          <w:b/>
        </w:rPr>
        <w:t xml:space="preserve">LUNGELO SHEZI </w:t>
      </w:r>
      <w:r w:rsidRPr="00C367E5">
        <w:rPr>
          <w:rFonts w:cs="Arial"/>
          <w:b/>
        </w:rPr>
        <w:tab/>
      </w:r>
      <w:r w:rsidR="00047A1C" w:rsidRPr="00C367E5">
        <w:rPr>
          <w:rFonts w:cs="Arial"/>
          <w:b/>
        </w:rPr>
        <w:t>Thirteenth</w:t>
      </w:r>
      <w:r w:rsidRPr="00C367E5">
        <w:rPr>
          <w:rFonts w:cs="Arial"/>
          <w:b/>
        </w:rPr>
        <w:t xml:space="preserve"> Applicant</w:t>
      </w:r>
    </w:p>
    <w:p w14:paraId="02ED888F" w14:textId="6D9C7A70" w:rsidR="006F79DD" w:rsidRPr="00C367E5" w:rsidRDefault="006F79DD" w:rsidP="008A30EA">
      <w:pPr>
        <w:tabs>
          <w:tab w:val="right" w:pos="8505"/>
        </w:tabs>
        <w:spacing w:line="276" w:lineRule="auto"/>
        <w:jc w:val="both"/>
        <w:rPr>
          <w:rFonts w:cs="Arial"/>
          <w:b/>
        </w:rPr>
      </w:pPr>
    </w:p>
    <w:p w14:paraId="27120624" w14:textId="4B08B089" w:rsidR="006F79DD" w:rsidRPr="00C367E5" w:rsidRDefault="00047A1C" w:rsidP="008A30EA">
      <w:pPr>
        <w:tabs>
          <w:tab w:val="right" w:pos="8505"/>
        </w:tabs>
        <w:spacing w:line="276" w:lineRule="auto"/>
        <w:jc w:val="both"/>
        <w:rPr>
          <w:rFonts w:cs="Arial"/>
          <w:b/>
        </w:rPr>
      </w:pPr>
      <w:r w:rsidRPr="00C367E5">
        <w:rPr>
          <w:rFonts w:cs="Arial"/>
          <w:b/>
        </w:rPr>
        <w:lastRenderedPageBreak/>
        <w:t xml:space="preserve">BANDILE </w:t>
      </w:r>
      <w:r w:rsidR="006F79DD" w:rsidRPr="00C367E5">
        <w:rPr>
          <w:rFonts w:cs="Arial"/>
          <w:b/>
        </w:rPr>
        <w:t xml:space="preserve">LUNGANI </w:t>
      </w:r>
      <w:r w:rsidRPr="00C367E5">
        <w:rPr>
          <w:rFonts w:cs="Arial"/>
          <w:b/>
        </w:rPr>
        <w:t>N</w:t>
      </w:r>
      <w:r w:rsidR="006F79DD" w:rsidRPr="00C367E5">
        <w:rPr>
          <w:rFonts w:cs="Arial"/>
          <w:b/>
        </w:rPr>
        <w:t>YANDENI</w:t>
      </w:r>
      <w:r w:rsidR="006F79DD" w:rsidRPr="00C367E5">
        <w:rPr>
          <w:rFonts w:cs="Arial"/>
          <w:b/>
        </w:rPr>
        <w:tab/>
      </w:r>
      <w:r w:rsidRPr="00C367E5">
        <w:rPr>
          <w:rFonts w:cs="Arial"/>
          <w:b/>
        </w:rPr>
        <w:t>Fourteenth</w:t>
      </w:r>
      <w:r w:rsidR="006F79DD" w:rsidRPr="00C367E5">
        <w:rPr>
          <w:rFonts w:cs="Arial"/>
          <w:b/>
        </w:rPr>
        <w:t xml:space="preserve"> Applicant</w:t>
      </w:r>
    </w:p>
    <w:p w14:paraId="762D95ED" w14:textId="4DDDA500" w:rsidR="006F79DD" w:rsidRPr="00C367E5" w:rsidRDefault="006F79DD" w:rsidP="008A30EA">
      <w:pPr>
        <w:tabs>
          <w:tab w:val="right" w:pos="8505"/>
        </w:tabs>
        <w:spacing w:line="276" w:lineRule="auto"/>
        <w:jc w:val="both"/>
        <w:rPr>
          <w:rFonts w:cs="Arial"/>
          <w:b/>
        </w:rPr>
      </w:pPr>
    </w:p>
    <w:p w14:paraId="4B0FCD3D" w14:textId="5E41FEE7" w:rsidR="006F79DD" w:rsidRPr="00C367E5" w:rsidRDefault="006F79DD" w:rsidP="008A30EA">
      <w:pPr>
        <w:tabs>
          <w:tab w:val="right" w:pos="8505"/>
        </w:tabs>
        <w:spacing w:line="276" w:lineRule="auto"/>
        <w:jc w:val="both"/>
        <w:rPr>
          <w:rFonts w:cs="Arial"/>
          <w:b/>
        </w:rPr>
      </w:pPr>
      <w:r w:rsidRPr="00C367E5">
        <w:rPr>
          <w:rFonts w:cs="Arial"/>
          <w:b/>
        </w:rPr>
        <w:t>MTHOBISI MAVUNDLA</w:t>
      </w:r>
      <w:r w:rsidRPr="00C367E5">
        <w:rPr>
          <w:rFonts w:cs="Arial"/>
          <w:b/>
        </w:rPr>
        <w:tab/>
      </w:r>
      <w:r w:rsidR="00047A1C" w:rsidRPr="00C367E5">
        <w:rPr>
          <w:rFonts w:cs="Arial"/>
          <w:b/>
        </w:rPr>
        <w:t>Fifteenth</w:t>
      </w:r>
      <w:r w:rsidRPr="00C367E5">
        <w:rPr>
          <w:rFonts w:cs="Arial"/>
          <w:b/>
        </w:rPr>
        <w:t xml:space="preserve"> Applicant</w:t>
      </w:r>
    </w:p>
    <w:p w14:paraId="0D92292D" w14:textId="77777777" w:rsidR="00047A1C" w:rsidRPr="00C367E5" w:rsidRDefault="00047A1C" w:rsidP="008A30EA">
      <w:pPr>
        <w:tabs>
          <w:tab w:val="right" w:pos="8505"/>
        </w:tabs>
        <w:spacing w:line="276" w:lineRule="auto"/>
        <w:jc w:val="both"/>
        <w:rPr>
          <w:rFonts w:cs="Arial"/>
          <w:b/>
        </w:rPr>
      </w:pPr>
    </w:p>
    <w:p w14:paraId="1AE03461" w14:textId="23C0463F" w:rsidR="006F79DD" w:rsidRPr="00C367E5" w:rsidRDefault="006F79DD" w:rsidP="008A30EA">
      <w:pPr>
        <w:tabs>
          <w:tab w:val="right" w:pos="8505"/>
        </w:tabs>
        <w:spacing w:line="276" w:lineRule="auto"/>
        <w:jc w:val="both"/>
        <w:rPr>
          <w:rFonts w:cs="Arial"/>
          <w:b/>
        </w:rPr>
      </w:pPr>
      <w:r w:rsidRPr="00C367E5">
        <w:rPr>
          <w:rFonts w:cs="Arial"/>
          <w:b/>
        </w:rPr>
        <w:t xml:space="preserve">BANDILE KHAMBULE </w:t>
      </w:r>
      <w:r w:rsidRPr="00C367E5">
        <w:rPr>
          <w:rFonts w:cs="Arial"/>
          <w:b/>
        </w:rPr>
        <w:tab/>
      </w:r>
      <w:r w:rsidR="00047A1C" w:rsidRPr="00C367E5">
        <w:rPr>
          <w:rFonts w:cs="Arial"/>
          <w:b/>
        </w:rPr>
        <w:t>Sixteenth</w:t>
      </w:r>
      <w:r w:rsidRPr="00C367E5">
        <w:rPr>
          <w:rFonts w:cs="Arial"/>
          <w:b/>
        </w:rPr>
        <w:t xml:space="preserve"> Applicant</w:t>
      </w:r>
    </w:p>
    <w:p w14:paraId="5AB328C2" w14:textId="262F913D" w:rsidR="006F79DD" w:rsidRPr="00C367E5" w:rsidRDefault="006F79DD" w:rsidP="008A30EA">
      <w:pPr>
        <w:tabs>
          <w:tab w:val="right" w:pos="8505"/>
        </w:tabs>
        <w:spacing w:line="276" w:lineRule="auto"/>
        <w:jc w:val="both"/>
        <w:rPr>
          <w:rFonts w:cs="Arial"/>
          <w:b/>
        </w:rPr>
      </w:pPr>
    </w:p>
    <w:p w14:paraId="09E3A72E" w14:textId="790F51E6" w:rsidR="006F79DD" w:rsidRPr="00C367E5" w:rsidRDefault="006F79DD" w:rsidP="008A30EA">
      <w:pPr>
        <w:tabs>
          <w:tab w:val="right" w:pos="8505"/>
        </w:tabs>
        <w:spacing w:line="276" w:lineRule="auto"/>
        <w:jc w:val="both"/>
        <w:rPr>
          <w:rFonts w:cs="Arial"/>
          <w:b/>
        </w:rPr>
      </w:pPr>
      <w:r w:rsidRPr="00C367E5">
        <w:rPr>
          <w:rFonts w:cs="Arial"/>
          <w:b/>
        </w:rPr>
        <w:t>MTHOKOZISI SIBIYA</w:t>
      </w:r>
      <w:r w:rsidRPr="00C367E5">
        <w:rPr>
          <w:rFonts w:cs="Arial"/>
          <w:b/>
        </w:rPr>
        <w:tab/>
      </w:r>
      <w:r w:rsidR="00047A1C" w:rsidRPr="00C367E5">
        <w:rPr>
          <w:rFonts w:cs="Arial"/>
          <w:b/>
        </w:rPr>
        <w:t>Seventeenth</w:t>
      </w:r>
      <w:r w:rsidRPr="00C367E5">
        <w:rPr>
          <w:rFonts w:cs="Arial"/>
          <w:b/>
        </w:rPr>
        <w:t xml:space="preserve"> Applicant</w:t>
      </w:r>
    </w:p>
    <w:p w14:paraId="198CE061" w14:textId="4C88B178" w:rsidR="006F79DD" w:rsidRPr="00C367E5" w:rsidRDefault="006F79DD" w:rsidP="008A30EA">
      <w:pPr>
        <w:tabs>
          <w:tab w:val="right" w:pos="8505"/>
        </w:tabs>
        <w:spacing w:line="276" w:lineRule="auto"/>
        <w:jc w:val="both"/>
        <w:rPr>
          <w:rFonts w:cs="Arial"/>
          <w:b/>
        </w:rPr>
      </w:pPr>
    </w:p>
    <w:p w14:paraId="330D2655" w14:textId="42050829" w:rsidR="006F79DD" w:rsidRPr="00C367E5" w:rsidRDefault="006F79DD" w:rsidP="008A30EA">
      <w:pPr>
        <w:tabs>
          <w:tab w:val="right" w:pos="8505"/>
        </w:tabs>
        <w:spacing w:line="276" w:lineRule="auto"/>
        <w:jc w:val="both"/>
        <w:rPr>
          <w:rFonts w:cs="Arial"/>
          <w:b/>
        </w:rPr>
      </w:pPr>
      <w:r w:rsidRPr="00C367E5">
        <w:rPr>
          <w:rFonts w:cs="Arial"/>
          <w:b/>
        </w:rPr>
        <w:t xml:space="preserve">CODESA </w:t>
      </w:r>
      <w:r w:rsidR="006958AB">
        <w:rPr>
          <w:rFonts w:cs="Arial"/>
          <w:b/>
        </w:rPr>
        <w:t>C</w:t>
      </w:r>
      <w:r w:rsidRPr="00C367E5">
        <w:rPr>
          <w:rFonts w:cs="Arial"/>
          <w:b/>
        </w:rPr>
        <w:t>YRIL GWALA</w:t>
      </w:r>
      <w:r w:rsidRPr="00C367E5">
        <w:rPr>
          <w:rFonts w:cs="Arial"/>
          <w:b/>
        </w:rPr>
        <w:tab/>
      </w:r>
      <w:r w:rsidR="00047A1C" w:rsidRPr="00C367E5">
        <w:rPr>
          <w:rFonts w:cs="Arial"/>
          <w:b/>
        </w:rPr>
        <w:t>Eighteenth</w:t>
      </w:r>
      <w:r w:rsidRPr="00C367E5">
        <w:rPr>
          <w:rFonts w:cs="Arial"/>
          <w:b/>
        </w:rPr>
        <w:t xml:space="preserve"> Applicant</w:t>
      </w:r>
    </w:p>
    <w:p w14:paraId="133512CD" w14:textId="761F096D" w:rsidR="006F79DD" w:rsidRPr="00C367E5" w:rsidRDefault="006F79DD" w:rsidP="008A30EA">
      <w:pPr>
        <w:tabs>
          <w:tab w:val="right" w:pos="8505"/>
        </w:tabs>
        <w:spacing w:line="276" w:lineRule="auto"/>
        <w:jc w:val="both"/>
        <w:rPr>
          <w:rFonts w:cs="Arial"/>
          <w:b/>
        </w:rPr>
      </w:pPr>
    </w:p>
    <w:p w14:paraId="1FB99B54" w14:textId="63E1287B" w:rsidR="006F79DD" w:rsidRPr="00C367E5" w:rsidRDefault="006F79DD" w:rsidP="008A30EA">
      <w:pPr>
        <w:tabs>
          <w:tab w:val="right" w:pos="8505"/>
        </w:tabs>
        <w:spacing w:line="276" w:lineRule="auto"/>
        <w:jc w:val="both"/>
        <w:rPr>
          <w:rFonts w:cs="Arial"/>
          <w:b/>
        </w:rPr>
      </w:pPr>
      <w:r w:rsidRPr="00C367E5">
        <w:rPr>
          <w:rFonts w:cs="Arial"/>
          <w:b/>
        </w:rPr>
        <w:t>SABELO INNOCENT MAGOSO</w:t>
      </w:r>
      <w:r w:rsidRPr="00C367E5">
        <w:rPr>
          <w:rFonts w:cs="Arial"/>
          <w:b/>
        </w:rPr>
        <w:tab/>
      </w:r>
      <w:r w:rsidR="00047A1C" w:rsidRPr="00C367E5">
        <w:rPr>
          <w:rFonts w:cs="Arial"/>
          <w:b/>
        </w:rPr>
        <w:t>Nineteenth</w:t>
      </w:r>
      <w:r w:rsidRPr="00C367E5">
        <w:rPr>
          <w:rFonts w:cs="Arial"/>
          <w:b/>
        </w:rPr>
        <w:t xml:space="preserve"> Applicant</w:t>
      </w:r>
    </w:p>
    <w:p w14:paraId="1FD37182" w14:textId="0DB65555" w:rsidR="006F79DD" w:rsidRPr="00C367E5" w:rsidRDefault="006F79DD" w:rsidP="008A30EA">
      <w:pPr>
        <w:tabs>
          <w:tab w:val="right" w:pos="8505"/>
        </w:tabs>
        <w:spacing w:line="276" w:lineRule="auto"/>
        <w:jc w:val="both"/>
        <w:rPr>
          <w:rFonts w:cs="Arial"/>
          <w:b/>
        </w:rPr>
      </w:pPr>
    </w:p>
    <w:p w14:paraId="004F3D21" w14:textId="77777777" w:rsidR="008A30EA" w:rsidRPr="00C367E5" w:rsidRDefault="008A30EA" w:rsidP="008A30EA">
      <w:pPr>
        <w:tabs>
          <w:tab w:val="right" w:pos="8364"/>
        </w:tabs>
        <w:spacing w:line="276" w:lineRule="auto"/>
        <w:jc w:val="both"/>
        <w:rPr>
          <w:rFonts w:cs="Arial"/>
        </w:rPr>
      </w:pPr>
      <w:r w:rsidRPr="00C367E5">
        <w:rPr>
          <w:rFonts w:cs="Arial"/>
        </w:rPr>
        <w:t>and</w:t>
      </w:r>
    </w:p>
    <w:p w14:paraId="7AE8DE0C" w14:textId="77777777" w:rsidR="008A30EA" w:rsidRPr="00C367E5" w:rsidRDefault="008A30EA" w:rsidP="008A30EA">
      <w:pPr>
        <w:tabs>
          <w:tab w:val="right" w:pos="8364"/>
        </w:tabs>
        <w:spacing w:line="276" w:lineRule="auto"/>
        <w:jc w:val="both"/>
        <w:rPr>
          <w:rFonts w:cs="Arial"/>
        </w:rPr>
      </w:pPr>
    </w:p>
    <w:p w14:paraId="529B6201" w14:textId="2E423EA1" w:rsidR="008A30EA" w:rsidRPr="00C367E5" w:rsidRDefault="006F79DD" w:rsidP="00E81C93">
      <w:pPr>
        <w:tabs>
          <w:tab w:val="right" w:pos="8505"/>
        </w:tabs>
        <w:spacing w:line="276" w:lineRule="auto"/>
        <w:jc w:val="both"/>
        <w:rPr>
          <w:rFonts w:cs="Arial"/>
          <w:b/>
        </w:rPr>
      </w:pPr>
      <w:r w:rsidRPr="00C367E5">
        <w:rPr>
          <w:rFonts w:cs="Arial"/>
          <w:b/>
        </w:rPr>
        <w:t>MANGOSUTHU UNIVERSITY OF TECHNOLOGY</w:t>
      </w:r>
      <w:r w:rsidR="008A30EA" w:rsidRPr="00C367E5">
        <w:rPr>
          <w:rFonts w:cs="Arial"/>
          <w:b/>
          <w:color w:val="000000"/>
          <w:lang w:val="en-US"/>
        </w:rPr>
        <w:tab/>
      </w:r>
      <w:r w:rsidRPr="00C367E5">
        <w:rPr>
          <w:rFonts w:cs="Arial"/>
          <w:b/>
          <w:color w:val="000000"/>
          <w:lang w:val="en-US"/>
        </w:rPr>
        <w:t>First</w:t>
      </w:r>
      <w:r w:rsidR="00E81C93" w:rsidRPr="00C367E5">
        <w:rPr>
          <w:rFonts w:cs="Arial"/>
          <w:b/>
        </w:rPr>
        <w:t xml:space="preserve"> Respondent</w:t>
      </w:r>
    </w:p>
    <w:p w14:paraId="3E696A4C" w14:textId="6D1FCE35" w:rsidR="006F79DD" w:rsidRPr="00C367E5" w:rsidRDefault="006F79DD" w:rsidP="00E81C93">
      <w:pPr>
        <w:tabs>
          <w:tab w:val="right" w:pos="8505"/>
        </w:tabs>
        <w:spacing w:line="276" w:lineRule="auto"/>
        <w:jc w:val="both"/>
        <w:rPr>
          <w:rFonts w:cs="Arial"/>
          <w:b/>
        </w:rPr>
      </w:pPr>
    </w:p>
    <w:p w14:paraId="7836B6F8" w14:textId="5842D9F0" w:rsidR="006F79DD" w:rsidRPr="00C367E5" w:rsidRDefault="006F79DD" w:rsidP="00E81C93">
      <w:pPr>
        <w:tabs>
          <w:tab w:val="right" w:pos="8505"/>
        </w:tabs>
        <w:spacing w:line="276" w:lineRule="auto"/>
        <w:jc w:val="both"/>
        <w:rPr>
          <w:rFonts w:cs="Arial"/>
          <w:b/>
        </w:rPr>
      </w:pPr>
      <w:r w:rsidRPr="00C367E5">
        <w:rPr>
          <w:rFonts w:cs="Arial"/>
          <w:b/>
        </w:rPr>
        <w:t>MINISTER OF HIGHER EDUCATION</w:t>
      </w:r>
    </w:p>
    <w:p w14:paraId="6A1C5A95" w14:textId="712CF08C" w:rsidR="006F79DD" w:rsidRPr="00C367E5" w:rsidRDefault="006F79DD" w:rsidP="00E81C93">
      <w:pPr>
        <w:tabs>
          <w:tab w:val="right" w:pos="8505"/>
        </w:tabs>
        <w:spacing w:line="276" w:lineRule="auto"/>
        <w:jc w:val="both"/>
        <w:rPr>
          <w:rFonts w:cs="Arial"/>
          <w:b/>
        </w:rPr>
      </w:pPr>
      <w:r w:rsidRPr="00C367E5">
        <w:rPr>
          <w:rFonts w:cs="Arial"/>
          <w:b/>
        </w:rPr>
        <w:t>AND TRAINING</w:t>
      </w:r>
      <w:r w:rsidRPr="00C367E5">
        <w:rPr>
          <w:rFonts w:cs="Arial"/>
          <w:b/>
        </w:rPr>
        <w:tab/>
        <w:t>Second Respondent</w:t>
      </w:r>
    </w:p>
    <w:p w14:paraId="58BC79FB" w14:textId="77777777" w:rsidR="006F79DD" w:rsidRPr="00C367E5" w:rsidRDefault="006F79DD" w:rsidP="00E81C93">
      <w:pPr>
        <w:tabs>
          <w:tab w:val="right" w:pos="8505"/>
        </w:tabs>
        <w:spacing w:line="276" w:lineRule="auto"/>
        <w:jc w:val="both"/>
        <w:rPr>
          <w:rFonts w:cs="Arial"/>
          <w:b/>
        </w:rPr>
      </w:pPr>
    </w:p>
    <w:p w14:paraId="044910FE" w14:textId="60DEA147" w:rsidR="006F79DD" w:rsidRPr="00C367E5" w:rsidRDefault="006F79DD" w:rsidP="00E81C93">
      <w:pPr>
        <w:tabs>
          <w:tab w:val="right" w:pos="8505"/>
        </w:tabs>
        <w:spacing w:line="276" w:lineRule="auto"/>
        <w:jc w:val="both"/>
        <w:rPr>
          <w:rFonts w:cs="Arial"/>
          <w:b/>
        </w:rPr>
      </w:pPr>
      <w:r w:rsidRPr="00C367E5">
        <w:rPr>
          <w:rFonts w:cs="Arial"/>
          <w:b/>
        </w:rPr>
        <w:t>NATIONAL STUDENT FINANCIAL AID SCHEME</w:t>
      </w:r>
      <w:r w:rsidRPr="00C367E5">
        <w:rPr>
          <w:rFonts w:cs="Arial"/>
          <w:b/>
        </w:rPr>
        <w:tab/>
        <w:t>Third Respondent</w:t>
      </w:r>
    </w:p>
    <w:p w14:paraId="57DE1AA0" w14:textId="7EB0534C" w:rsidR="006F79DD" w:rsidRPr="00C367E5" w:rsidRDefault="006F79DD" w:rsidP="00E81C93">
      <w:pPr>
        <w:tabs>
          <w:tab w:val="right" w:pos="8505"/>
        </w:tabs>
        <w:spacing w:line="276" w:lineRule="auto"/>
        <w:jc w:val="both"/>
        <w:rPr>
          <w:rFonts w:cs="Arial"/>
          <w:b/>
        </w:rPr>
      </w:pPr>
    </w:p>
    <w:p w14:paraId="4D788F62" w14:textId="5616ECF4" w:rsidR="006F79DD" w:rsidRPr="00C367E5" w:rsidRDefault="006F79DD" w:rsidP="00E81C93">
      <w:pPr>
        <w:tabs>
          <w:tab w:val="right" w:pos="8505"/>
        </w:tabs>
        <w:spacing w:line="276" w:lineRule="auto"/>
        <w:jc w:val="both"/>
        <w:rPr>
          <w:rFonts w:cs="Arial"/>
          <w:b/>
        </w:rPr>
      </w:pPr>
      <w:r w:rsidRPr="00C367E5">
        <w:rPr>
          <w:rFonts w:cs="Arial"/>
          <w:b/>
        </w:rPr>
        <w:t>ACTING</w:t>
      </w:r>
      <w:r w:rsidR="007A0903">
        <w:rPr>
          <w:rFonts w:cs="Arial"/>
          <w:b/>
        </w:rPr>
        <w:t>-</w:t>
      </w:r>
      <w:r w:rsidRPr="00C367E5">
        <w:rPr>
          <w:rFonts w:cs="Arial"/>
          <w:b/>
        </w:rPr>
        <w:t>VICE CHANCELLOR AND PRINCIPAL</w:t>
      </w:r>
    </w:p>
    <w:p w14:paraId="06E9FCEC" w14:textId="38EBB55F" w:rsidR="006F79DD" w:rsidRPr="00C367E5" w:rsidRDefault="00687A24" w:rsidP="00E81C93">
      <w:pPr>
        <w:tabs>
          <w:tab w:val="right" w:pos="8505"/>
        </w:tabs>
        <w:spacing w:line="276" w:lineRule="auto"/>
        <w:jc w:val="both"/>
        <w:rPr>
          <w:rFonts w:cs="Arial"/>
          <w:b/>
        </w:rPr>
      </w:pPr>
      <w:r w:rsidRPr="00C367E5">
        <w:rPr>
          <w:rFonts w:cs="Arial"/>
          <w:b/>
        </w:rPr>
        <w:t>PROF M</w:t>
      </w:r>
      <w:r w:rsidR="008F5AF3" w:rsidRPr="00C367E5">
        <w:rPr>
          <w:rFonts w:cs="Arial"/>
          <w:b/>
        </w:rPr>
        <w:t>.</w:t>
      </w:r>
      <w:r w:rsidR="00047A1C" w:rsidRPr="00C367E5">
        <w:rPr>
          <w:rFonts w:cs="Arial"/>
          <w:b/>
        </w:rPr>
        <w:t xml:space="preserve"> </w:t>
      </w:r>
      <w:r w:rsidRPr="00C367E5">
        <w:rPr>
          <w:rFonts w:cs="Arial"/>
          <w:b/>
        </w:rPr>
        <w:t>M</w:t>
      </w:r>
      <w:r w:rsidR="008F5AF3" w:rsidRPr="00C367E5">
        <w:rPr>
          <w:rFonts w:cs="Arial"/>
          <w:b/>
        </w:rPr>
        <w:t>.</w:t>
      </w:r>
      <w:r w:rsidRPr="00C367E5">
        <w:rPr>
          <w:rFonts w:cs="Arial"/>
          <w:b/>
        </w:rPr>
        <w:t xml:space="preserve"> RAMOGALE</w:t>
      </w:r>
      <w:r w:rsidRPr="00C367E5">
        <w:rPr>
          <w:rFonts w:cs="Arial"/>
          <w:b/>
        </w:rPr>
        <w:tab/>
        <w:t>Fourth Respondent</w:t>
      </w:r>
    </w:p>
    <w:p w14:paraId="255DEC5F" w14:textId="1F41C671" w:rsidR="00687A24" w:rsidRPr="00C367E5" w:rsidRDefault="00687A24" w:rsidP="00E81C93">
      <w:pPr>
        <w:tabs>
          <w:tab w:val="right" w:pos="8505"/>
        </w:tabs>
        <w:spacing w:line="276" w:lineRule="auto"/>
        <w:jc w:val="both"/>
        <w:rPr>
          <w:rFonts w:cs="Arial"/>
          <w:b/>
        </w:rPr>
      </w:pPr>
    </w:p>
    <w:p w14:paraId="6A94D71E" w14:textId="5887215C" w:rsidR="00687A24" w:rsidRPr="00C367E5" w:rsidRDefault="00687A24" w:rsidP="00E81C93">
      <w:pPr>
        <w:tabs>
          <w:tab w:val="right" w:pos="8505"/>
        </w:tabs>
        <w:spacing w:line="276" w:lineRule="auto"/>
        <w:jc w:val="both"/>
        <w:rPr>
          <w:rFonts w:cs="Arial"/>
          <w:b/>
        </w:rPr>
      </w:pPr>
      <w:r w:rsidRPr="00C367E5">
        <w:rPr>
          <w:rFonts w:cs="Arial"/>
          <w:b/>
        </w:rPr>
        <w:t>STUDENT</w:t>
      </w:r>
      <w:r w:rsidR="008F5AF3" w:rsidRPr="00C367E5">
        <w:rPr>
          <w:rFonts w:cs="Arial"/>
          <w:b/>
        </w:rPr>
        <w:t>’</w:t>
      </w:r>
      <w:r w:rsidRPr="00C367E5">
        <w:rPr>
          <w:rFonts w:cs="Arial"/>
          <w:b/>
        </w:rPr>
        <w:t>S DISCIPLINARY COMMITTEE</w:t>
      </w:r>
      <w:r w:rsidRPr="00C367E5">
        <w:rPr>
          <w:rFonts w:cs="Arial"/>
          <w:b/>
        </w:rPr>
        <w:tab/>
        <w:t>Fifth Respondent</w:t>
      </w:r>
    </w:p>
    <w:p w14:paraId="4C5D8527" w14:textId="3ACA033B" w:rsidR="00687A24" w:rsidRPr="00C367E5" w:rsidRDefault="00687A24" w:rsidP="00E81C93">
      <w:pPr>
        <w:tabs>
          <w:tab w:val="right" w:pos="8505"/>
        </w:tabs>
        <w:spacing w:line="276" w:lineRule="auto"/>
        <w:jc w:val="both"/>
        <w:rPr>
          <w:rFonts w:cs="Arial"/>
          <w:b/>
        </w:rPr>
      </w:pPr>
    </w:p>
    <w:p w14:paraId="59DC51A7" w14:textId="77777777" w:rsidR="008F5AF3" w:rsidRPr="00C367E5" w:rsidRDefault="00687A24" w:rsidP="00E81C93">
      <w:pPr>
        <w:tabs>
          <w:tab w:val="right" w:pos="8505"/>
        </w:tabs>
        <w:spacing w:line="276" w:lineRule="auto"/>
        <w:jc w:val="both"/>
        <w:rPr>
          <w:rFonts w:cs="Arial"/>
          <w:b/>
        </w:rPr>
      </w:pPr>
      <w:r w:rsidRPr="00C367E5">
        <w:rPr>
          <w:rFonts w:cs="Arial"/>
          <w:b/>
        </w:rPr>
        <w:t>CHAIRPERSON OF THE STUDENT</w:t>
      </w:r>
      <w:r w:rsidR="008F5AF3" w:rsidRPr="00C367E5">
        <w:rPr>
          <w:rFonts w:cs="Arial"/>
          <w:b/>
        </w:rPr>
        <w:t>’</w:t>
      </w:r>
      <w:r w:rsidRPr="00C367E5">
        <w:rPr>
          <w:rFonts w:cs="Arial"/>
          <w:b/>
        </w:rPr>
        <w:t xml:space="preserve">S DISCIPLINARY </w:t>
      </w:r>
    </w:p>
    <w:p w14:paraId="72EAD502" w14:textId="403EDF5F" w:rsidR="00687A24" w:rsidRDefault="00687A24" w:rsidP="00E81C93">
      <w:pPr>
        <w:tabs>
          <w:tab w:val="right" w:pos="8505"/>
        </w:tabs>
        <w:spacing w:line="276" w:lineRule="auto"/>
        <w:jc w:val="both"/>
        <w:rPr>
          <w:rFonts w:cs="Arial"/>
          <w:b/>
        </w:rPr>
      </w:pPr>
      <w:r w:rsidRPr="00C367E5">
        <w:rPr>
          <w:rFonts w:cs="Arial"/>
          <w:b/>
        </w:rPr>
        <w:t>COMMITTEE: DEAN OF</w:t>
      </w:r>
      <w:r w:rsidR="008F5AF3" w:rsidRPr="00C367E5">
        <w:rPr>
          <w:rFonts w:cs="Arial"/>
          <w:b/>
        </w:rPr>
        <w:t xml:space="preserve"> </w:t>
      </w:r>
      <w:r w:rsidRPr="00C367E5">
        <w:rPr>
          <w:rFonts w:cs="Arial"/>
          <w:b/>
        </w:rPr>
        <w:t>STUDENTS</w:t>
      </w:r>
      <w:r w:rsidR="00E67E7E">
        <w:rPr>
          <w:rFonts w:cs="Arial"/>
          <w:b/>
        </w:rPr>
        <w:t xml:space="preserve"> </w:t>
      </w:r>
      <w:r w:rsidR="007A0903">
        <w:rPr>
          <w:rFonts w:cs="Arial"/>
          <w:b/>
        </w:rPr>
        <w:t xml:space="preserve">- </w:t>
      </w:r>
      <w:r w:rsidR="007A0903" w:rsidRPr="00C367E5">
        <w:rPr>
          <w:rFonts w:cs="Arial"/>
          <w:b/>
        </w:rPr>
        <w:t>DR</w:t>
      </w:r>
      <w:r w:rsidRPr="00C367E5">
        <w:rPr>
          <w:rFonts w:cs="Arial"/>
          <w:b/>
        </w:rPr>
        <w:t xml:space="preserve"> </w:t>
      </w:r>
      <w:r w:rsidR="00E67E7E">
        <w:rPr>
          <w:rFonts w:cs="Arial"/>
          <w:b/>
        </w:rPr>
        <w:t xml:space="preserve">T </w:t>
      </w:r>
      <w:r w:rsidRPr="00C367E5">
        <w:rPr>
          <w:rFonts w:cs="Arial"/>
          <w:b/>
        </w:rPr>
        <w:t>KWEYAMA Sixth Respondent</w:t>
      </w:r>
    </w:p>
    <w:p w14:paraId="47FD4828" w14:textId="5AC612BA" w:rsidR="00EF08A7" w:rsidRDefault="00EF08A7" w:rsidP="00E81C93">
      <w:pPr>
        <w:tabs>
          <w:tab w:val="right" w:pos="8505"/>
        </w:tabs>
        <w:spacing w:line="276" w:lineRule="auto"/>
        <w:jc w:val="both"/>
        <w:rPr>
          <w:rFonts w:cs="Arial"/>
          <w:b/>
        </w:rPr>
      </w:pPr>
    </w:p>
    <w:p w14:paraId="74D551AC" w14:textId="77777777" w:rsidR="00EF08A7" w:rsidRPr="00C367E5" w:rsidRDefault="00EF08A7" w:rsidP="00EF08A7">
      <w:pPr>
        <w:tabs>
          <w:tab w:val="right" w:pos="8220"/>
        </w:tabs>
        <w:rPr>
          <w:rFonts w:cs="Arial"/>
          <w:b/>
          <w:u w:val="single"/>
          <w:lang w:val="en-US"/>
        </w:rPr>
      </w:pPr>
      <w:r w:rsidRPr="00C367E5">
        <w:rPr>
          <w:rFonts w:cs="Arial"/>
          <w:b/>
          <w:u w:val="single"/>
          <w:lang w:val="en-US"/>
        </w:rPr>
        <w:tab/>
      </w:r>
    </w:p>
    <w:p w14:paraId="36AB3749" w14:textId="77777777" w:rsidR="00EF08A7" w:rsidRPr="00C367E5" w:rsidRDefault="00EF08A7" w:rsidP="00EF08A7">
      <w:pPr>
        <w:tabs>
          <w:tab w:val="right" w:pos="7938"/>
        </w:tabs>
        <w:rPr>
          <w:rFonts w:cs="Arial"/>
          <w:b/>
          <w:u w:val="single"/>
          <w:lang w:val="en-US"/>
        </w:rPr>
      </w:pPr>
    </w:p>
    <w:p w14:paraId="6174B27A" w14:textId="67FD8954" w:rsidR="00EF08A7" w:rsidRPr="00C367E5" w:rsidRDefault="00EF08A7" w:rsidP="00EF08A7">
      <w:pPr>
        <w:tabs>
          <w:tab w:val="right" w:pos="7938"/>
        </w:tabs>
        <w:jc w:val="center"/>
        <w:rPr>
          <w:rFonts w:cs="Arial"/>
          <w:b/>
          <w:lang w:val="en-US"/>
        </w:rPr>
      </w:pPr>
      <w:r>
        <w:rPr>
          <w:rFonts w:cs="Arial"/>
          <w:b/>
          <w:lang w:val="en-US"/>
        </w:rPr>
        <w:t>ORDER</w:t>
      </w:r>
    </w:p>
    <w:p w14:paraId="54EFCCAF" w14:textId="77777777" w:rsidR="00EF08A7" w:rsidRPr="00C367E5" w:rsidRDefault="00EF08A7" w:rsidP="00EF08A7">
      <w:pPr>
        <w:tabs>
          <w:tab w:val="right" w:pos="8220"/>
        </w:tabs>
        <w:jc w:val="both"/>
        <w:rPr>
          <w:rFonts w:cs="Arial"/>
          <w:lang w:val="en-US"/>
        </w:rPr>
      </w:pPr>
      <w:r w:rsidRPr="00C367E5">
        <w:rPr>
          <w:rFonts w:cs="Arial"/>
          <w:b/>
          <w:u w:val="single"/>
          <w:lang w:val="en-US"/>
        </w:rPr>
        <w:tab/>
      </w:r>
    </w:p>
    <w:p w14:paraId="0F451DD5" w14:textId="77777777" w:rsidR="0047323E" w:rsidRDefault="0047323E" w:rsidP="0047323E">
      <w:pPr>
        <w:spacing w:line="360" w:lineRule="auto"/>
        <w:ind w:right="-46"/>
        <w:jc w:val="both"/>
        <w:rPr>
          <w:b/>
        </w:rPr>
      </w:pPr>
    </w:p>
    <w:p w14:paraId="2059691B" w14:textId="789BE24A" w:rsidR="0047323E" w:rsidRDefault="0047323E" w:rsidP="0047323E">
      <w:pPr>
        <w:spacing w:line="360" w:lineRule="auto"/>
        <w:ind w:right="-46"/>
        <w:jc w:val="both"/>
        <w:rPr>
          <w:b/>
          <w:lang w:eastAsia="en-ZA"/>
        </w:rPr>
      </w:pPr>
      <w:r>
        <w:rPr>
          <w:b/>
        </w:rPr>
        <w:t>The following order shall issue:</w:t>
      </w:r>
    </w:p>
    <w:p w14:paraId="7BC94E7F" w14:textId="77777777" w:rsidR="00EF08A7" w:rsidRPr="00C367E5" w:rsidRDefault="00EF08A7" w:rsidP="00E81C93">
      <w:pPr>
        <w:tabs>
          <w:tab w:val="right" w:pos="8505"/>
        </w:tabs>
        <w:spacing w:line="276" w:lineRule="auto"/>
        <w:jc w:val="both"/>
        <w:rPr>
          <w:rFonts w:cs="Arial"/>
          <w:b/>
        </w:rPr>
      </w:pPr>
    </w:p>
    <w:p w14:paraId="15B7EC37" w14:textId="0E15347C" w:rsidR="00CA429F" w:rsidRPr="00800158" w:rsidRDefault="00800158" w:rsidP="00800158">
      <w:pPr>
        <w:tabs>
          <w:tab w:val="left" w:pos="851"/>
        </w:tabs>
        <w:spacing w:line="360" w:lineRule="auto"/>
        <w:ind w:left="405" w:hanging="405"/>
        <w:jc w:val="both"/>
        <w:rPr>
          <w:rFonts w:cs="Arial"/>
        </w:rPr>
      </w:pPr>
      <w:r w:rsidRPr="0047323E">
        <w:rPr>
          <w:rFonts w:cs="Arial"/>
        </w:rPr>
        <w:t>1.</w:t>
      </w:r>
      <w:r w:rsidRPr="0047323E">
        <w:rPr>
          <w:rFonts w:cs="Arial"/>
        </w:rPr>
        <w:tab/>
      </w:r>
      <w:r w:rsidR="00CA429F" w:rsidRPr="00800158">
        <w:rPr>
          <w:rFonts w:cs="Arial"/>
        </w:rPr>
        <w:t>Part A of the application is dismissed.</w:t>
      </w:r>
    </w:p>
    <w:p w14:paraId="06AABDFD" w14:textId="741B68CE" w:rsidR="00CA429F" w:rsidRPr="00800158" w:rsidRDefault="00800158" w:rsidP="00800158">
      <w:pPr>
        <w:tabs>
          <w:tab w:val="left" w:pos="851"/>
        </w:tabs>
        <w:spacing w:line="360" w:lineRule="auto"/>
        <w:ind w:left="405" w:hanging="405"/>
        <w:jc w:val="both"/>
        <w:rPr>
          <w:rFonts w:cs="Arial"/>
          <w:b/>
        </w:rPr>
      </w:pPr>
      <w:r>
        <w:rPr>
          <w:rFonts w:cs="Arial"/>
        </w:rPr>
        <w:t>2.</w:t>
      </w:r>
      <w:r>
        <w:rPr>
          <w:rFonts w:cs="Arial"/>
        </w:rPr>
        <w:tab/>
      </w:r>
      <w:r w:rsidR="00CA429F" w:rsidRPr="00800158">
        <w:rPr>
          <w:rFonts w:cs="Arial"/>
        </w:rPr>
        <w:t>No order as to costs.</w:t>
      </w:r>
      <w:r w:rsidR="00CA429F" w:rsidRPr="00800158">
        <w:rPr>
          <w:rFonts w:cs="Arial"/>
          <w:b/>
        </w:rPr>
        <w:tab/>
      </w:r>
    </w:p>
    <w:p w14:paraId="79D7D4EC" w14:textId="77777777" w:rsidR="009D3AE4" w:rsidRDefault="009D3AE4" w:rsidP="009D3AE4">
      <w:pPr>
        <w:tabs>
          <w:tab w:val="left" w:pos="851"/>
        </w:tabs>
        <w:spacing w:line="360" w:lineRule="auto"/>
        <w:jc w:val="both"/>
        <w:rPr>
          <w:rFonts w:cs="Arial"/>
          <w:b/>
        </w:rPr>
      </w:pPr>
    </w:p>
    <w:p w14:paraId="4B41ABFA" w14:textId="77777777" w:rsidR="009D3AE4" w:rsidRDefault="009D3AE4" w:rsidP="009D3AE4">
      <w:pPr>
        <w:tabs>
          <w:tab w:val="left" w:pos="851"/>
        </w:tabs>
        <w:spacing w:line="360" w:lineRule="auto"/>
        <w:jc w:val="both"/>
        <w:rPr>
          <w:rFonts w:cs="Arial"/>
          <w:b/>
        </w:rPr>
      </w:pPr>
    </w:p>
    <w:p w14:paraId="1D3D9F7F" w14:textId="77777777" w:rsidR="009D3AE4" w:rsidRPr="009D3AE4" w:rsidRDefault="009D3AE4" w:rsidP="009D3AE4">
      <w:pPr>
        <w:tabs>
          <w:tab w:val="left" w:pos="851"/>
        </w:tabs>
        <w:spacing w:line="360" w:lineRule="auto"/>
        <w:jc w:val="both"/>
        <w:rPr>
          <w:rFonts w:cs="Arial"/>
          <w:b/>
        </w:rPr>
      </w:pPr>
    </w:p>
    <w:p w14:paraId="0E444D46" w14:textId="77777777" w:rsidR="00D542F2" w:rsidRPr="00C367E5" w:rsidRDefault="00D542F2" w:rsidP="000C55EC">
      <w:pPr>
        <w:tabs>
          <w:tab w:val="right" w:pos="8220"/>
        </w:tabs>
        <w:rPr>
          <w:rFonts w:cs="Arial"/>
          <w:b/>
          <w:u w:val="single"/>
          <w:lang w:val="en-US"/>
        </w:rPr>
      </w:pPr>
      <w:r w:rsidRPr="00C367E5">
        <w:rPr>
          <w:rFonts w:cs="Arial"/>
          <w:b/>
          <w:u w:val="single"/>
          <w:lang w:val="en-US"/>
        </w:rPr>
        <w:lastRenderedPageBreak/>
        <w:tab/>
      </w:r>
    </w:p>
    <w:p w14:paraId="6D55269B" w14:textId="77777777" w:rsidR="00D542F2" w:rsidRPr="00C367E5" w:rsidRDefault="00D542F2" w:rsidP="00D542F2">
      <w:pPr>
        <w:tabs>
          <w:tab w:val="right" w:pos="7938"/>
        </w:tabs>
        <w:rPr>
          <w:rFonts w:cs="Arial"/>
          <w:b/>
          <w:u w:val="single"/>
          <w:lang w:val="en-US"/>
        </w:rPr>
      </w:pPr>
    </w:p>
    <w:p w14:paraId="5AB44406" w14:textId="2F615AE3" w:rsidR="00D542F2" w:rsidRPr="00C367E5" w:rsidRDefault="00B97620" w:rsidP="0051210E">
      <w:pPr>
        <w:tabs>
          <w:tab w:val="right" w:pos="7938"/>
        </w:tabs>
        <w:jc w:val="center"/>
        <w:rPr>
          <w:rFonts w:cs="Arial"/>
          <w:b/>
          <w:lang w:val="en-US"/>
        </w:rPr>
      </w:pPr>
      <w:r w:rsidRPr="00C367E5">
        <w:rPr>
          <w:rFonts w:cs="Arial"/>
          <w:b/>
          <w:lang w:val="en-US"/>
        </w:rPr>
        <w:t>JUDGMENT</w:t>
      </w:r>
    </w:p>
    <w:p w14:paraId="06F5AB34" w14:textId="4652B086" w:rsidR="00FF0C26" w:rsidRPr="00CA429F" w:rsidRDefault="00D542F2" w:rsidP="00CA429F">
      <w:pPr>
        <w:tabs>
          <w:tab w:val="right" w:pos="8220"/>
        </w:tabs>
        <w:jc w:val="both"/>
        <w:rPr>
          <w:rFonts w:cs="Arial"/>
          <w:lang w:val="en-US"/>
        </w:rPr>
      </w:pPr>
      <w:r w:rsidRPr="00C367E5">
        <w:rPr>
          <w:rFonts w:cs="Arial"/>
          <w:b/>
          <w:u w:val="single"/>
          <w:lang w:val="en-US"/>
        </w:rPr>
        <w:tab/>
      </w:r>
    </w:p>
    <w:p w14:paraId="4384F86D" w14:textId="77777777" w:rsidR="009D3AE4" w:rsidRDefault="009D3AE4" w:rsidP="0019035A">
      <w:pPr>
        <w:spacing w:line="360" w:lineRule="auto"/>
        <w:jc w:val="both"/>
        <w:outlineLvl w:val="0"/>
        <w:rPr>
          <w:rFonts w:cs="Arial"/>
          <w:b/>
        </w:rPr>
      </w:pPr>
    </w:p>
    <w:p w14:paraId="77237AE2" w14:textId="601C94CA" w:rsidR="006F79DD" w:rsidRPr="0019035A" w:rsidRDefault="00E81C93" w:rsidP="0019035A">
      <w:pPr>
        <w:spacing w:line="360" w:lineRule="auto"/>
        <w:jc w:val="both"/>
        <w:outlineLvl w:val="0"/>
        <w:rPr>
          <w:rFonts w:cs="Arial"/>
          <w:b/>
        </w:rPr>
      </w:pPr>
      <w:r w:rsidRPr="0019035A">
        <w:rPr>
          <w:rFonts w:cs="Arial"/>
          <w:b/>
        </w:rPr>
        <w:t>Nicholson</w:t>
      </w:r>
      <w:r w:rsidR="001D0024" w:rsidRPr="0019035A">
        <w:rPr>
          <w:rFonts w:cs="Arial"/>
          <w:b/>
        </w:rPr>
        <w:t xml:space="preserve"> AJ:</w:t>
      </w:r>
    </w:p>
    <w:p w14:paraId="72090DE1" w14:textId="459B1410" w:rsidR="006F79DD" w:rsidRDefault="00800158" w:rsidP="00800158">
      <w:pPr>
        <w:tabs>
          <w:tab w:val="left" w:pos="851"/>
        </w:tabs>
        <w:spacing w:line="360" w:lineRule="auto"/>
        <w:jc w:val="both"/>
        <w:rPr>
          <w:rFonts w:cs="Arial"/>
        </w:rPr>
      </w:pPr>
      <w:r>
        <w:rPr>
          <w:rFonts w:cs="Arial"/>
        </w:rPr>
        <w:t>[1]</w:t>
      </w:r>
      <w:r>
        <w:rPr>
          <w:rFonts w:cs="Arial"/>
        </w:rPr>
        <w:tab/>
      </w:r>
      <w:r w:rsidR="00687A24" w:rsidRPr="0019035A">
        <w:rPr>
          <w:rFonts w:cs="Arial"/>
        </w:rPr>
        <w:t>Th</w:t>
      </w:r>
      <w:r w:rsidR="00047A1C" w:rsidRPr="0019035A">
        <w:rPr>
          <w:rFonts w:cs="Arial"/>
        </w:rPr>
        <w:t>is is a review application where the Applicants</w:t>
      </w:r>
      <w:r w:rsidR="00931B1A" w:rsidRPr="0019035A">
        <w:rPr>
          <w:rFonts w:cs="Arial"/>
        </w:rPr>
        <w:t>,</w:t>
      </w:r>
      <w:r w:rsidR="00047A1C" w:rsidRPr="0019035A">
        <w:rPr>
          <w:rFonts w:cs="Arial"/>
        </w:rPr>
        <w:t xml:space="preserve"> being students at the Mangosuthu University of Technology (“the university”), the First Respondent herein, </w:t>
      </w:r>
      <w:r w:rsidR="00931B1A" w:rsidRPr="0019035A">
        <w:rPr>
          <w:rFonts w:cs="Arial"/>
        </w:rPr>
        <w:t>were</w:t>
      </w:r>
      <w:r w:rsidR="00047A1C" w:rsidRPr="0019035A">
        <w:rPr>
          <w:rFonts w:cs="Arial"/>
        </w:rPr>
        <w:t xml:space="preserve"> suspended, </w:t>
      </w:r>
      <w:r w:rsidR="00887EAB" w:rsidRPr="0019035A">
        <w:rPr>
          <w:rFonts w:cs="Arial"/>
        </w:rPr>
        <w:t>disciplined,</w:t>
      </w:r>
      <w:r w:rsidR="00047A1C" w:rsidRPr="0019035A">
        <w:rPr>
          <w:rFonts w:cs="Arial"/>
        </w:rPr>
        <w:t xml:space="preserve"> and expelled for contravention of the </w:t>
      </w:r>
      <w:r w:rsidR="00BA3B45" w:rsidRPr="0019035A">
        <w:rPr>
          <w:rFonts w:cs="Arial"/>
        </w:rPr>
        <w:t>university</w:t>
      </w:r>
      <w:r w:rsidR="00047A1C" w:rsidRPr="0019035A">
        <w:rPr>
          <w:rFonts w:cs="Arial"/>
        </w:rPr>
        <w:t>’s disciplinary code</w:t>
      </w:r>
      <w:r w:rsidR="0069714E" w:rsidRPr="0019035A">
        <w:rPr>
          <w:rFonts w:cs="Arial"/>
        </w:rPr>
        <w:t xml:space="preserve">, and seek to review and set aside the decisions. </w:t>
      </w:r>
    </w:p>
    <w:p w14:paraId="0EFED44C" w14:textId="77777777" w:rsidR="0019035A" w:rsidRPr="0019035A" w:rsidRDefault="0019035A" w:rsidP="0019035A">
      <w:pPr>
        <w:tabs>
          <w:tab w:val="left" w:pos="851"/>
        </w:tabs>
        <w:spacing w:line="360" w:lineRule="auto"/>
        <w:jc w:val="both"/>
        <w:rPr>
          <w:rFonts w:cs="Arial"/>
        </w:rPr>
      </w:pPr>
    </w:p>
    <w:p w14:paraId="271365A5" w14:textId="413FBF4F" w:rsidR="00047A1C" w:rsidRPr="009D3AE4" w:rsidRDefault="00800158" w:rsidP="00800158">
      <w:pPr>
        <w:tabs>
          <w:tab w:val="left" w:pos="851"/>
        </w:tabs>
        <w:spacing w:line="360" w:lineRule="auto"/>
        <w:jc w:val="both"/>
        <w:rPr>
          <w:rFonts w:cs="Arial"/>
        </w:rPr>
      </w:pPr>
      <w:r w:rsidRPr="009D3AE4">
        <w:rPr>
          <w:rFonts w:cs="Arial"/>
        </w:rPr>
        <w:t>[2]</w:t>
      </w:r>
      <w:r w:rsidRPr="009D3AE4">
        <w:rPr>
          <w:rFonts w:cs="Arial"/>
        </w:rPr>
        <w:tab/>
      </w:r>
      <w:r w:rsidR="00047A1C" w:rsidRPr="0019035A">
        <w:rPr>
          <w:rFonts w:cs="Arial"/>
        </w:rPr>
        <w:t>The application is brought in</w:t>
      </w:r>
      <w:r w:rsidR="009D3AE4">
        <w:rPr>
          <w:rFonts w:cs="Arial"/>
        </w:rPr>
        <w:t xml:space="preserve"> two parts, namely </w:t>
      </w:r>
      <w:r w:rsidR="00483DFF">
        <w:rPr>
          <w:rFonts w:cs="Arial"/>
        </w:rPr>
        <w:t>P</w:t>
      </w:r>
      <w:r w:rsidR="00047A1C" w:rsidRPr="0019035A">
        <w:rPr>
          <w:rFonts w:cs="Arial"/>
        </w:rPr>
        <w:t xml:space="preserve">art A and </w:t>
      </w:r>
      <w:r w:rsidR="00483DFF">
        <w:rPr>
          <w:rFonts w:cs="Arial"/>
        </w:rPr>
        <w:t>P</w:t>
      </w:r>
      <w:r w:rsidR="00047A1C" w:rsidRPr="0019035A">
        <w:rPr>
          <w:rFonts w:cs="Arial"/>
        </w:rPr>
        <w:t xml:space="preserve">art B. </w:t>
      </w:r>
      <w:r w:rsidR="00047A1C" w:rsidRPr="009D3AE4">
        <w:rPr>
          <w:rFonts w:cs="Arial"/>
        </w:rPr>
        <w:t xml:space="preserve">In </w:t>
      </w:r>
      <w:r w:rsidR="00483DFF" w:rsidRPr="009D3AE4">
        <w:rPr>
          <w:rFonts w:cs="Arial"/>
        </w:rPr>
        <w:t>P</w:t>
      </w:r>
      <w:r w:rsidR="00047A1C" w:rsidRPr="009D3AE4">
        <w:rPr>
          <w:rFonts w:cs="Arial"/>
        </w:rPr>
        <w:t xml:space="preserve">art A, Applicants seek an order declaring various sections of the university’s 2022 </w:t>
      </w:r>
      <w:r w:rsidR="0047323E" w:rsidRPr="009D3AE4">
        <w:rPr>
          <w:rFonts w:cs="Arial"/>
        </w:rPr>
        <w:t>G</w:t>
      </w:r>
      <w:r w:rsidR="00047A1C" w:rsidRPr="009D3AE4">
        <w:rPr>
          <w:rFonts w:cs="Arial"/>
        </w:rPr>
        <w:t xml:space="preserve">eneral </w:t>
      </w:r>
      <w:r w:rsidR="0047323E" w:rsidRPr="009D3AE4">
        <w:rPr>
          <w:rFonts w:cs="Arial"/>
        </w:rPr>
        <w:t>R</w:t>
      </w:r>
      <w:r w:rsidR="00047A1C" w:rsidRPr="009D3AE4">
        <w:rPr>
          <w:rFonts w:cs="Arial"/>
        </w:rPr>
        <w:t xml:space="preserve">ules and </w:t>
      </w:r>
      <w:r w:rsidR="0047323E" w:rsidRPr="009D3AE4">
        <w:rPr>
          <w:rFonts w:cs="Arial"/>
        </w:rPr>
        <w:t>R</w:t>
      </w:r>
      <w:r w:rsidR="00047A1C" w:rsidRPr="009D3AE4">
        <w:rPr>
          <w:rFonts w:cs="Arial"/>
        </w:rPr>
        <w:t xml:space="preserve">egulations for </w:t>
      </w:r>
      <w:r w:rsidR="0047323E" w:rsidRPr="009D3AE4">
        <w:rPr>
          <w:rFonts w:cs="Arial"/>
        </w:rPr>
        <w:t>S</w:t>
      </w:r>
      <w:r w:rsidR="00047A1C" w:rsidRPr="009D3AE4">
        <w:rPr>
          <w:rFonts w:cs="Arial"/>
        </w:rPr>
        <w:t xml:space="preserve">tudents </w:t>
      </w:r>
      <w:r w:rsidR="00DC5D39" w:rsidRPr="009D3AE4">
        <w:rPr>
          <w:rFonts w:cs="Arial"/>
        </w:rPr>
        <w:t>(“general rules”)</w:t>
      </w:r>
      <w:r w:rsidR="00047A1C" w:rsidRPr="009D3AE4">
        <w:rPr>
          <w:rFonts w:cs="Arial"/>
        </w:rPr>
        <w:t>, to be unlawful, invalid and unconstitutional. Further</w:t>
      </w:r>
      <w:r w:rsidR="00BA3B45" w:rsidRPr="009D3AE4">
        <w:rPr>
          <w:rFonts w:cs="Arial"/>
        </w:rPr>
        <w:t>,</w:t>
      </w:r>
      <w:r w:rsidR="00047A1C" w:rsidRPr="009D3AE4">
        <w:rPr>
          <w:rFonts w:cs="Arial"/>
        </w:rPr>
        <w:t xml:space="preserve"> Applicants seek an interim order for </w:t>
      </w:r>
      <w:r w:rsidR="00047A1C" w:rsidRPr="009D3AE4">
        <w:rPr>
          <w:rFonts w:cs="Arial"/>
          <w:iCs/>
        </w:rPr>
        <w:t>inter alia</w:t>
      </w:r>
      <w:r w:rsidR="00047A1C" w:rsidRPr="009D3AE4">
        <w:rPr>
          <w:rFonts w:cs="Arial"/>
        </w:rPr>
        <w:t xml:space="preserve"> the reinstatement of the Sixteenth, Eighteenth and Nineteen</w:t>
      </w:r>
      <w:r w:rsidR="00C367E5" w:rsidRPr="009D3AE4">
        <w:rPr>
          <w:rFonts w:cs="Arial"/>
        </w:rPr>
        <w:t>th Applicants and the consideration of those Applicants by the National Students</w:t>
      </w:r>
      <w:r w:rsidR="00BA3B45" w:rsidRPr="009D3AE4">
        <w:rPr>
          <w:rFonts w:cs="Arial"/>
        </w:rPr>
        <w:t>’</w:t>
      </w:r>
      <w:r w:rsidR="00C367E5" w:rsidRPr="009D3AE4">
        <w:rPr>
          <w:rFonts w:cs="Arial"/>
        </w:rPr>
        <w:t xml:space="preserve"> Financial Aid Scheme (“NSFAS”) </w:t>
      </w:r>
      <w:r w:rsidR="00931B1A" w:rsidRPr="009D3AE4">
        <w:rPr>
          <w:rFonts w:cs="Arial"/>
        </w:rPr>
        <w:t>for financial aid</w:t>
      </w:r>
      <w:r w:rsidR="00483DFF" w:rsidRPr="009D3AE4">
        <w:rPr>
          <w:rFonts w:cs="Arial"/>
        </w:rPr>
        <w:t>,</w:t>
      </w:r>
      <w:r w:rsidR="00C367E5" w:rsidRPr="0019035A">
        <w:rPr>
          <w:rStyle w:val="FootnoteReference"/>
          <w:rFonts w:cs="Arial"/>
        </w:rPr>
        <w:footnoteReference w:id="1"/>
      </w:r>
      <w:r w:rsidR="00A45661" w:rsidRPr="009D3AE4">
        <w:rPr>
          <w:rFonts w:cs="Arial"/>
        </w:rPr>
        <w:t xml:space="preserve"> pending the outcome of</w:t>
      </w:r>
      <w:r w:rsidR="009D3AE4">
        <w:rPr>
          <w:rFonts w:cs="Arial"/>
        </w:rPr>
        <w:t xml:space="preserve"> both Part A and </w:t>
      </w:r>
      <w:r w:rsidR="00A45661" w:rsidRPr="009D3AE4">
        <w:rPr>
          <w:rFonts w:cs="Arial"/>
        </w:rPr>
        <w:t>Part B.</w:t>
      </w:r>
    </w:p>
    <w:p w14:paraId="547248CB" w14:textId="77777777" w:rsidR="00C367E5" w:rsidRPr="0019035A" w:rsidRDefault="00C367E5" w:rsidP="0019035A">
      <w:pPr>
        <w:tabs>
          <w:tab w:val="left" w:pos="851"/>
        </w:tabs>
        <w:spacing w:line="360" w:lineRule="auto"/>
        <w:jc w:val="both"/>
        <w:rPr>
          <w:rFonts w:cs="Arial"/>
        </w:rPr>
      </w:pPr>
    </w:p>
    <w:p w14:paraId="3B71FFF9" w14:textId="04476023" w:rsidR="00C367E5" w:rsidRPr="0019035A" w:rsidRDefault="00800158" w:rsidP="00800158">
      <w:pPr>
        <w:tabs>
          <w:tab w:val="left" w:pos="851"/>
        </w:tabs>
        <w:spacing w:line="360" w:lineRule="auto"/>
        <w:jc w:val="both"/>
        <w:rPr>
          <w:rFonts w:cs="Arial"/>
        </w:rPr>
      </w:pPr>
      <w:r w:rsidRPr="0019035A">
        <w:rPr>
          <w:rFonts w:cs="Arial"/>
        </w:rPr>
        <w:t>[3]</w:t>
      </w:r>
      <w:r w:rsidRPr="0019035A">
        <w:rPr>
          <w:rFonts w:cs="Arial"/>
        </w:rPr>
        <w:tab/>
      </w:r>
      <w:r w:rsidR="00C367E5" w:rsidRPr="0019035A">
        <w:rPr>
          <w:rFonts w:cs="Arial"/>
        </w:rPr>
        <w:t xml:space="preserve">Initially, this matter was enrolled </w:t>
      </w:r>
      <w:r w:rsidR="00BA3B45" w:rsidRPr="0019035A">
        <w:rPr>
          <w:rFonts w:cs="Arial"/>
        </w:rPr>
        <w:t>as</w:t>
      </w:r>
      <w:r w:rsidR="00C367E5" w:rsidRPr="0019035A">
        <w:rPr>
          <w:rFonts w:cs="Arial"/>
        </w:rPr>
        <w:t xml:space="preserve"> an urgent to be heard on </w:t>
      </w:r>
      <w:r w:rsidR="00C367E5" w:rsidRPr="0019035A">
        <w:rPr>
          <w:rFonts w:cs="Arial"/>
        </w:rPr>
        <w:br/>
        <w:t xml:space="preserve">2 September 2022 on less than three days’ notice; however, on </w:t>
      </w:r>
      <w:r w:rsidR="00887EAB" w:rsidRPr="0019035A">
        <w:rPr>
          <w:rFonts w:cs="Arial"/>
        </w:rPr>
        <w:t xml:space="preserve">that </w:t>
      </w:r>
      <w:r w:rsidR="00C367E5" w:rsidRPr="0019035A">
        <w:rPr>
          <w:rFonts w:cs="Arial"/>
        </w:rPr>
        <w:t>day it was adjourned to 9 September 2022</w:t>
      </w:r>
      <w:r w:rsidR="00F07204" w:rsidRPr="0019035A">
        <w:rPr>
          <w:rFonts w:cs="Arial"/>
        </w:rPr>
        <w:t>,</w:t>
      </w:r>
      <w:r w:rsidR="00C367E5" w:rsidRPr="0019035A">
        <w:rPr>
          <w:rFonts w:cs="Arial"/>
        </w:rPr>
        <w:t xml:space="preserve"> whe</w:t>
      </w:r>
      <w:r w:rsidR="00F07204" w:rsidRPr="0019035A">
        <w:rPr>
          <w:rFonts w:cs="Arial"/>
        </w:rPr>
        <w:t>n</w:t>
      </w:r>
      <w:r w:rsidR="00C367E5" w:rsidRPr="0019035A">
        <w:rPr>
          <w:rFonts w:cs="Arial"/>
        </w:rPr>
        <w:t xml:space="preserve"> the urgent interlocutory relief was refused.</w:t>
      </w:r>
      <w:r w:rsidR="00931B1A" w:rsidRPr="0019035A">
        <w:rPr>
          <w:rFonts w:cs="Arial"/>
        </w:rPr>
        <w:t xml:space="preserve"> Before me, </w:t>
      </w:r>
      <w:r w:rsidR="00483DFF">
        <w:rPr>
          <w:rFonts w:cs="Arial"/>
        </w:rPr>
        <w:t>A</w:t>
      </w:r>
      <w:r w:rsidR="00C367E5" w:rsidRPr="0019035A">
        <w:rPr>
          <w:rFonts w:cs="Arial"/>
        </w:rPr>
        <w:t>pplicant</w:t>
      </w:r>
      <w:r w:rsidR="00931B1A" w:rsidRPr="0019035A">
        <w:rPr>
          <w:rFonts w:cs="Arial"/>
        </w:rPr>
        <w:t>s</w:t>
      </w:r>
      <w:r w:rsidR="00C367E5" w:rsidRPr="0019035A">
        <w:rPr>
          <w:rFonts w:cs="Arial"/>
        </w:rPr>
        <w:t xml:space="preserve"> persist with the interim interlocutory relief, albeit on a less urgent basis.</w:t>
      </w:r>
    </w:p>
    <w:p w14:paraId="4B3EB7A7" w14:textId="77777777" w:rsidR="00C367E5" w:rsidRPr="0019035A" w:rsidRDefault="00C367E5" w:rsidP="0019035A">
      <w:pPr>
        <w:pStyle w:val="ListParagraph"/>
        <w:spacing w:line="360" w:lineRule="auto"/>
        <w:rPr>
          <w:rFonts w:cs="Arial"/>
        </w:rPr>
      </w:pPr>
    </w:p>
    <w:p w14:paraId="4D7AAFF8" w14:textId="6F6EAF48" w:rsidR="009D3AE4" w:rsidRDefault="00800158" w:rsidP="00800158">
      <w:pPr>
        <w:tabs>
          <w:tab w:val="left" w:pos="851"/>
        </w:tabs>
        <w:spacing w:line="360" w:lineRule="auto"/>
        <w:jc w:val="both"/>
        <w:rPr>
          <w:rFonts w:cs="Arial"/>
        </w:rPr>
      </w:pPr>
      <w:r>
        <w:rPr>
          <w:rFonts w:cs="Arial"/>
        </w:rPr>
        <w:t>[4]</w:t>
      </w:r>
      <w:r>
        <w:rPr>
          <w:rFonts w:cs="Arial"/>
        </w:rPr>
        <w:tab/>
      </w:r>
      <w:r w:rsidR="009D3AE4" w:rsidRPr="009D3AE4">
        <w:rPr>
          <w:rFonts w:cs="Arial"/>
        </w:rPr>
        <w:t xml:space="preserve">In </w:t>
      </w:r>
      <w:r w:rsidR="00867153">
        <w:rPr>
          <w:rFonts w:cs="Arial"/>
        </w:rPr>
        <w:t>p</w:t>
      </w:r>
      <w:r w:rsidR="00C367E5" w:rsidRPr="009D3AE4">
        <w:rPr>
          <w:rFonts w:cs="Arial"/>
        </w:rPr>
        <w:t xml:space="preserve">art B, </w:t>
      </w:r>
      <w:r w:rsidR="00CB5FB3" w:rsidRPr="009D3AE4">
        <w:rPr>
          <w:rFonts w:cs="Arial"/>
        </w:rPr>
        <w:t xml:space="preserve">the </w:t>
      </w:r>
      <w:r w:rsidR="00C367E5" w:rsidRPr="009D3AE4">
        <w:rPr>
          <w:rFonts w:cs="Arial"/>
        </w:rPr>
        <w:t xml:space="preserve">Applicants seek an order to review and set aside the decision of the Fourth Respondent to </w:t>
      </w:r>
      <w:r w:rsidR="00CB5FB3" w:rsidRPr="009D3AE4">
        <w:rPr>
          <w:rFonts w:cs="Arial"/>
        </w:rPr>
        <w:t xml:space="preserve">suspend </w:t>
      </w:r>
      <w:r w:rsidR="00C367E5" w:rsidRPr="009D3AE4">
        <w:rPr>
          <w:rFonts w:cs="Arial"/>
        </w:rPr>
        <w:t>and/or expel</w:t>
      </w:r>
      <w:r w:rsidR="009D3AE4" w:rsidRPr="009D3AE4">
        <w:rPr>
          <w:rFonts w:cs="Arial"/>
        </w:rPr>
        <w:t xml:space="preserve"> some of the </w:t>
      </w:r>
      <w:r w:rsidR="00C367E5" w:rsidRPr="009D3AE4">
        <w:rPr>
          <w:rFonts w:cs="Arial"/>
        </w:rPr>
        <w:t>Applicants.</w:t>
      </w:r>
      <w:r w:rsidR="00C367E5" w:rsidRPr="0019035A">
        <w:rPr>
          <w:rStyle w:val="FootnoteReference"/>
          <w:rFonts w:cs="Arial"/>
        </w:rPr>
        <w:footnoteReference w:id="2"/>
      </w:r>
      <w:r w:rsidR="00931B1A" w:rsidRPr="009D3AE4">
        <w:rPr>
          <w:rFonts w:cs="Arial"/>
        </w:rPr>
        <w:t xml:space="preserve"> The review in </w:t>
      </w:r>
      <w:r w:rsidR="00483DFF" w:rsidRPr="009D3AE4">
        <w:rPr>
          <w:rFonts w:cs="Arial"/>
        </w:rPr>
        <w:t>P</w:t>
      </w:r>
      <w:r w:rsidR="00931B1A" w:rsidRPr="009D3AE4">
        <w:rPr>
          <w:rFonts w:cs="Arial"/>
        </w:rPr>
        <w:t xml:space="preserve">art B, </w:t>
      </w:r>
      <w:r w:rsidR="00CB5FB3" w:rsidRPr="009D3AE4">
        <w:rPr>
          <w:rFonts w:cs="Arial"/>
        </w:rPr>
        <w:t>is</w:t>
      </w:r>
      <w:r w:rsidR="00C367E5" w:rsidRPr="009D3AE4">
        <w:rPr>
          <w:rFonts w:cs="Arial"/>
        </w:rPr>
        <w:t xml:space="preserve"> in terms of the Promotion of Administrative Justice Act 3 of 200</w:t>
      </w:r>
      <w:r w:rsidR="00B42C3A" w:rsidRPr="009D3AE4">
        <w:rPr>
          <w:rFonts w:cs="Arial"/>
        </w:rPr>
        <w:t>0</w:t>
      </w:r>
      <w:r w:rsidR="00C367E5" w:rsidRPr="009D3AE4">
        <w:rPr>
          <w:rFonts w:cs="Arial"/>
        </w:rPr>
        <w:t xml:space="preserve"> (“PAJA”)</w:t>
      </w:r>
      <w:r w:rsidR="00931B1A" w:rsidRPr="009D3AE4">
        <w:rPr>
          <w:rFonts w:cs="Arial"/>
        </w:rPr>
        <w:t xml:space="preserve">; accordingly, </w:t>
      </w:r>
      <w:r w:rsidR="00483DFF" w:rsidRPr="009D3AE4">
        <w:rPr>
          <w:rFonts w:cs="Arial"/>
        </w:rPr>
        <w:t>P</w:t>
      </w:r>
      <w:r w:rsidR="00C367E5" w:rsidRPr="009D3AE4">
        <w:rPr>
          <w:rFonts w:cs="Arial"/>
        </w:rPr>
        <w:t xml:space="preserve">art B may only be prosecuted once the reasons in terms of </w:t>
      </w:r>
      <w:r w:rsidR="00483DFF" w:rsidRPr="009D3AE4">
        <w:rPr>
          <w:rFonts w:cs="Arial"/>
        </w:rPr>
        <w:t>Uniform r</w:t>
      </w:r>
      <w:r w:rsidR="00C367E5" w:rsidRPr="009D3AE4">
        <w:rPr>
          <w:rFonts w:cs="Arial"/>
        </w:rPr>
        <w:t xml:space="preserve">ule 53 have been filed by the university. </w:t>
      </w:r>
      <w:r w:rsidR="00931B1A" w:rsidRPr="009D3AE4">
        <w:rPr>
          <w:rFonts w:cs="Arial"/>
        </w:rPr>
        <w:t xml:space="preserve">Both parties agree that </w:t>
      </w:r>
      <w:r w:rsidR="00483DFF" w:rsidRPr="009D3AE4">
        <w:rPr>
          <w:rFonts w:cs="Arial"/>
        </w:rPr>
        <w:t>P</w:t>
      </w:r>
      <w:r w:rsidR="00931B1A" w:rsidRPr="009D3AE4">
        <w:rPr>
          <w:rFonts w:cs="Arial"/>
        </w:rPr>
        <w:t>art B is not ripe for hearing</w:t>
      </w:r>
      <w:r w:rsidR="00483DFF" w:rsidRPr="009D3AE4">
        <w:rPr>
          <w:rFonts w:cs="Arial"/>
        </w:rPr>
        <w:t>.</w:t>
      </w:r>
    </w:p>
    <w:p w14:paraId="27842463" w14:textId="77777777" w:rsidR="009D3AE4" w:rsidRDefault="009D3AE4" w:rsidP="009D3AE4">
      <w:pPr>
        <w:pStyle w:val="ListParagraph"/>
        <w:spacing w:line="360" w:lineRule="auto"/>
        <w:rPr>
          <w:rFonts w:cs="Arial"/>
        </w:rPr>
      </w:pPr>
    </w:p>
    <w:p w14:paraId="7498B4BE" w14:textId="54021865" w:rsidR="00C367E5" w:rsidRPr="009D3AE4" w:rsidRDefault="00800158" w:rsidP="00800158">
      <w:pPr>
        <w:tabs>
          <w:tab w:val="left" w:pos="851"/>
        </w:tabs>
        <w:spacing w:line="360" w:lineRule="auto"/>
        <w:jc w:val="both"/>
        <w:rPr>
          <w:rFonts w:cs="Arial"/>
        </w:rPr>
      </w:pPr>
      <w:r w:rsidRPr="009D3AE4">
        <w:rPr>
          <w:rFonts w:cs="Arial"/>
        </w:rPr>
        <w:t>[5]</w:t>
      </w:r>
      <w:r w:rsidRPr="009D3AE4">
        <w:rPr>
          <w:rFonts w:cs="Arial"/>
        </w:rPr>
        <w:tab/>
      </w:r>
      <w:r w:rsidR="00C367E5" w:rsidRPr="009D3AE4">
        <w:rPr>
          <w:rFonts w:cs="Arial"/>
        </w:rPr>
        <w:t xml:space="preserve">In the premises, the matter before me only deals with </w:t>
      </w:r>
      <w:r w:rsidR="00483DFF" w:rsidRPr="009D3AE4">
        <w:rPr>
          <w:rFonts w:cs="Arial"/>
        </w:rPr>
        <w:t>P</w:t>
      </w:r>
      <w:r w:rsidR="00C367E5" w:rsidRPr="009D3AE4">
        <w:rPr>
          <w:rFonts w:cs="Arial"/>
        </w:rPr>
        <w:t>art A.</w:t>
      </w:r>
    </w:p>
    <w:p w14:paraId="6A76F9FB" w14:textId="77777777" w:rsidR="00C367E5" w:rsidRPr="0019035A" w:rsidRDefault="00C367E5" w:rsidP="0019035A">
      <w:pPr>
        <w:spacing w:line="360" w:lineRule="auto"/>
        <w:rPr>
          <w:rFonts w:cs="Arial"/>
        </w:rPr>
      </w:pPr>
    </w:p>
    <w:p w14:paraId="3178EF41" w14:textId="2D7FF087" w:rsidR="00C367E5" w:rsidRPr="002D62A8" w:rsidRDefault="00C367E5" w:rsidP="0019035A">
      <w:pPr>
        <w:spacing w:line="360" w:lineRule="auto"/>
        <w:rPr>
          <w:rFonts w:cs="Arial"/>
          <w:b/>
          <w:bCs/>
        </w:rPr>
      </w:pPr>
      <w:r w:rsidRPr="0019035A">
        <w:rPr>
          <w:rFonts w:cs="Arial"/>
          <w:b/>
          <w:bCs/>
        </w:rPr>
        <w:t>F</w:t>
      </w:r>
      <w:r w:rsidR="0019035A" w:rsidRPr="0019035A">
        <w:rPr>
          <w:rFonts w:cs="Arial"/>
          <w:b/>
          <w:bCs/>
        </w:rPr>
        <w:t>actual Background</w:t>
      </w:r>
    </w:p>
    <w:p w14:paraId="3D6CD63A" w14:textId="76BD375E" w:rsidR="00C367E5" w:rsidRPr="0019035A" w:rsidRDefault="00800158" w:rsidP="00800158">
      <w:pPr>
        <w:tabs>
          <w:tab w:val="left" w:pos="851"/>
        </w:tabs>
        <w:spacing w:line="360" w:lineRule="auto"/>
        <w:jc w:val="both"/>
        <w:rPr>
          <w:rFonts w:cs="Arial"/>
        </w:rPr>
      </w:pPr>
      <w:r w:rsidRPr="0019035A">
        <w:rPr>
          <w:rFonts w:cs="Arial"/>
        </w:rPr>
        <w:t>[6]</w:t>
      </w:r>
      <w:r w:rsidRPr="0019035A">
        <w:rPr>
          <w:rFonts w:cs="Arial"/>
        </w:rPr>
        <w:tab/>
      </w:r>
      <w:r w:rsidR="00C367E5" w:rsidRPr="0019035A">
        <w:rPr>
          <w:rFonts w:cs="Arial"/>
        </w:rPr>
        <w:t>On 31 January 2022,</w:t>
      </w:r>
      <w:r w:rsidR="009D3AE4">
        <w:rPr>
          <w:rFonts w:cs="Arial"/>
        </w:rPr>
        <w:t xml:space="preserve"> </w:t>
      </w:r>
      <w:r w:rsidR="00C367E5" w:rsidRPr="0019035A">
        <w:rPr>
          <w:rFonts w:cs="Arial"/>
        </w:rPr>
        <w:t xml:space="preserve">the Second Respondent (who I shall refer to as the </w:t>
      </w:r>
      <w:r w:rsidR="00952C76" w:rsidRPr="0019035A">
        <w:rPr>
          <w:rFonts w:cs="Arial"/>
        </w:rPr>
        <w:t>Minister from hereon) approved various foundation programmes which were designed to assist students who did not meet the minimum admission criteria for particular courses</w:t>
      </w:r>
      <w:r w:rsidR="0069714E" w:rsidRPr="0019035A">
        <w:rPr>
          <w:rFonts w:cs="Arial"/>
        </w:rPr>
        <w:t xml:space="preserve"> at the university</w:t>
      </w:r>
      <w:r w:rsidR="00952C76" w:rsidRPr="0019035A">
        <w:rPr>
          <w:rFonts w:cs="Arial"/>
        </w:rPr>
        <w:t xml:space="preserve">. In as far as the Department of Accounting is concerned, the </w:t>
      </w:r>
      <w:r w:rsidR="006B051E">
        <w:rPr>
          <w:rFonts w:cs="Arial"/>
        </w:rPr>
        <w:t>u</w:t>
      </w:r>
      <w:r w:rsidR="00D25D01" w:rsidRPr="0019035A">
        <w:rPr>
          <w:rFonts w:cs="Arial"/>
        </w:rPr>
        <w:t xml:space="preserve">niversity </w:t>
      </w:r>
      <w:r w:rsidR="00952C76" w:rsidRPr="0019035A">
        <w:rPr>
          <w:rFonts w:cs="Arial"/>
        </w:rPr>
        <w:t>has an Extended Curriculum Programme (“ECP”) to assist students w</w:t>
      </w:r>
      <w:r w:rsidR="007B5E67">
        <w:rPr>
          <w:rFonts w:cs="Arial"/>
        </w:rPr>
        <w:t>ho</w:t>
      </w:r>
      <w:r w:rsidR="00952C76" w:rsidRPr="0019035A">
        <w:rPr>
          <w:rFonts w:cs="Arial"/>
        </w:rPr>
        <w:t xml:space="preserve"> did not meet the minimum criteria for mainstream courses at the Department of Accounting.</w:t>
      </w:r>
      <w:r w:rsidR="00952C76" w:rsidRPr="0019035A">
        <w:rPr>
          <w:rStyle w:val="FootnoteReference"/>
          <w:rFonts w:cs="Arial"/>
        </w:rPr>
        <w:footnoteReference w:id="3"/>
      </w:r>
    </w:p>
    <w:p w14:paraId="6B6FFB28" w14:textId="77777777" w:rsidR="00C367E5" w:rsidRPr="0019035A" w:rsidRDefault="00C367E5" w:rsidP="0019035A">
      <w:pPr>
        <w:pStyle w:val="ListParagraph"/>
        <w:spacing w:line="360" w:lineRule="auto"/>
        <w:rPr>
          <w:rFonts w:cs="Arial"/>
        </w:rPr>
      </w:pPr>
    </w:p>
    <w:p w14:paraId="333DF86B" w14:textId="2F51F8A9" w:rsidR="00C367E5" w:rsidRPr="0019035A" w:rsidRDefault="00800158" w:rsidP="00800158">
      <w:pPr>
        <w:tabs>
          <w:tab w:val="left" w:pos="851"/>
        </w:tabs>
        <w:spacing w:line="360" w:lineRule="auto"/>
        <w:jc w:val="both"/>
        <w:rPr>
          <w:rFonts w:cs="Arial"/>
        </w:rPr>
      </w:pPr>
      <w:r w:rsidRPr="0019035A">
        <w:rPr>
          <w:rFonts w:cs="Arial"/>
        </w:rPr>
        <w:t>[7]</w:t>
      </w:r>
      <w:r w:rsidRPr="0019035A">
        <w:rPr>
          <w:rFonts w:cs="Arial"/>
        </w:rPr>
        <w:tab/>
      </w:r>
      <w:r w:rsidR="00C367E5" w:rsidRPr="0019035A">
        <w:rPr>
          <w:rFonts w:cs="Arial"/>
        </w:rPr>
        <w:t>Th</w:t>
      </w:r>
      <w:r w:rsidR="00952C76" w:rsidRPr="0019035A">
        <w:rPr>
          <w:rFonts w:cs="Arial"/>
        </w:rPr>
        <w:t xml:space="preserve">e effect of these programmes is that an extra year of study is added to the study duration for that particular diploma i.e. a </w:t>
      </w:r>
      <w:r w:rsidR="00CB5FB3" w:rsidRPr="0019035A">
        <w:rPr>
          <w:rFonts w:cs="Arial"/>
        </w:rPr>
        <w:t xml:space="preserve">National Diploma </w:t>
      </w:r>
      <w:r w:rsidR="006B051E" w:rsidRPr="0019035A">
        <w:rPr>
          <w:rFonts w:cs="Arial"/>
        </w:rPr>
        <w:t>in</w:t>
      </w:r>
      <w:r w:rsidR="00CB5FB3" w:rsidRPr="0019035A">
        <w:rPr>
          <w:rFonts w:cs="Arial"/>
        </w:rPr>
        <w:t xml:space="preserve"> Accounting </w:t>
      </w:r>
      <w:r w:rsidR="00952C76" w:rsidRPr="0019035A">
        <w:rPr>
          <w:rFonts w:cs="Arial"/>
        </w:rPr>
        <w:t>is normally three years</w:t>
      </w:r>
      <w:r w:rsidR="008B44BB" w:rsidRPr="0019035A">
        <w:rPr>
          <w:rFonts w:cs="Arial"/>
        </w:rPr>
        <w:t>.</w:t>
      </w:r>
      <w:r w:rsidR="009D3AE4">
        <w:rPr>
          <w:rFonts w:cs="Arial"/>
        </w:rPr>
        <w:t xml:space="preserve"> </w:t>
      </w:r>
      <w:r w:rsidR="008B44BB" w:rsidRPr="0019035A">
        <w:rPr>
          <w:rFonts w:cs="Arial"/>
        </w:rPr>
        <w:t>H</w:t>
      </w:r>
      <w:r w:rsidR="00952C76" w:rsidRPr="0019035A">
        <w:rPr>
          <w:rFonts w:cs="Arial"/>
        </w:rPr>
        <w:t>owever</w:t>
      </w:r>
      <w:r w:rsidR="008B44BB" w:rsidRPr="0019035A">
        <w:rPr>
          <w:rFonts w:cs="Arial"/>
        </w:rPr>
        <w:t>,</w:t>
      </w:r>
      <w:r w:rsidR="00952C76" w:rsidRPr="0019035A">
        <w:rPr>
          <w:rFonts w:cs="Arial"/>
        </w:rPr>
        <w:t xml:space="preserve"> students who enter that programme through the ECP,</w:t>
      </w:r>
      <w:r w:rsidR="008B44BB" w:rsidRPr="0019035A">
        <w:rPr>
          <w:rFonts w:cs="Arial"/>
        </w:rPr>
        <w:t xml:space="preserve"> would</w:t>
      </w:r>
      <w:r w:rsidR="00952C76" w:rsidRPr="0019035A">
        <w:rPr>
          <w:rFonts w:cs="Arial"/>
        </w:rPr>
        <w:t xml:space="preserve"> </w:t>
      </w:r>
      <w:r w:rsidR="00DA50A5" w:rsidRPr="0019035A">
        <w:rPr>
          <w:rFonts w:cs="Arial"/>
        </w:rPr>
        <w:t xml:space="preserve">take </w:t>
      </w:r>
      <w:r w:rsidR="00952C76" w:rsidRPr="0019035A">
        <w:rPr>
          <w:rFonts w:cs="Arial"/>
        </w:rPr>
        <w:t>four years</w:t>
      </w:r>
      <w:r w:rsidR="008B44BB" w:rsidRPr="0019035A">
        <w:rPr>
          <w:rFonts w:cs="Arial"/>
        </w:rPr>
        <w:t xml:space="preserve"> to complete the </w:t>
      </w:r>
      <w:r w:rsidR="0069714E" w:rsidRPr="0019035A">
        <w:rPr>
          <w:rFonts w:cs="Arial"/>
        </w:rPr>
        <w:t>Diploma</w:t>
      </w:r>
      <w:r w:rsidR="008B44BB" w:rsidRPr="0019035A">
        <w:rPr>
          <w:rFonts w:cs="Arial"/>
        </w:rPr>
        <w:t>,</w:t>
      </w:r>
      <w:r w:rsidR="00952C76" w:rsidRPr="0019035A">
        <w:rPr>
          <w:rFonts w:cs="Arial"/>
        </w:rPr>
        <w:t xml:space="preserve"> </w:t>
      </w:r>
      <w:r w:rsidR="009D3AE4">
        <w:rPr>
          <w:rFonts w:cs="Arial"/>
        </w:rPr>
        <w:t xml:space="preserve">should </w:t>
      </w:r>
      <w:r w:rsidR="00952C76" w:rsidRPr="0019035A">
        <w:rPr>
          <w:rFonts w:cs="Arial"/>
        </w:rPr>
        <w:t xml:space="preserve">they pass </w:t>
      </w:r>
      <w:r w:rsidR="00CB5FB3" w:rsidRPr="0019035A">
        <w:rPr>
          <w:rFonts w:cs="Arial"/>
        </w:rPr>
        <w:t xml:space="preserve">every </w:t>
      </w:r>
      <w:r w:rsidR="00952C76" w:rsidRPr="0019035A">
        <w:rPr>
          <w:rFonts w:cs="Arial"/>
        </w:rPr>
        <w:t>year.</w:t>
      </w:r>
      <w:r w:rsidR="002830E0" w:rsidRPr="0019035A">
        <w:rPr>
          <w:rFonts w:cs="Arial"/>
        </w:rPr>
        <w:t xml:space="preserve"> </w:t>
      </w:r>
    </w:p>
    <w:p w14:paraId="7A4017F8" w14:textId="77777777" w:rsidR="00952C76" w:rsidRPr="0019035A" w:rsidRDefault="00952C76" w:rsidP="0019035A">
      <w:pPr>
        <w:pStyle w:val="ListParagraph"/>
        <w:spacing w:line="360" w:lineRule="auto"/>
        <w:rPr>
          <w:rFonts w:cs="Arial"/>
        </w:rPr>
      </w:pPr>
    </w:p>
    <w:p w14:paraId="0E2D486C" w14:textId="4DE04208" w:rsidR="00952C76" w:rsidRPr="0019035A" w:rsidRDefault="00800158" w:rsidP="00800158">
      <w:pPr>
        <w:tabs>
          <w:tab w:val="left" w:pos="851"/>
        </w:tabs>
        <w:spacing w:line="360" w:lineRule="auto"/>
        <w:jc w:val="both"/>
        <w:rPr>
          <w:rFonts w:cs="Arial"/>
        </w:rPr>
      </w:pPr>
      <w:r w:rsidRPr="0019035A">
        <w:rPr>
          <w:rFonts w:cs="Arial"/>
        </w:rPr>
        <w:t>[8]</w:t>
      </w:r>
      <w:r w:rsidRPr="0019035A">
        <w:rPr>
          <w:rFonts w:cs="Arial"/>
        </w:rPr>
        <w:tab/>
      </w:r>
      <w:r w:rsidR="00952C76" w:rsidRPr="0019035A">
        <w:rPr>
          <w:rFonts w:cs="Arial"/>
        </w:rPr>
        <w:t xml:space="preserve">In terms of NSFAS, students are not funded beyond an additional year of studying. However, since the ECP and the foundation programme is not recognised by NSFAS, students are either unable to pay for the </w:t>
      </w:r>
      <w:r w:rsidR="00181735">
        <w:rPr>
          <w:rFonts w:cs="Arial"/>
        </w:rPr>
        <w:t>ECP</w:t>
      </w:r>
      <w:r w:rsidR="00952C76" w:rsidRPr="0019035A">
        <w:rPr>
          <w:rFonts w:cs="Arial"/>
        </w:rPr>
        <w:t xml:space="preserve"> or foundation programme or if their study progresses beyond an additional year of study, NSFAS would not fund them.</w:t>
      </w:r>
      <w:r w:rsidR="008B44BB" w:rsidRPr="0019035A">
        <w:rPr>
          <w:rFonts w:cs="Arial"/>
        </w:rPr>
        <w:t xml:space="preserve"> This is known as the N+</w:t>
      </w:r>
      <w:r w:rsidR="00181735">
        <w:rPr>
          <w:rFonts w:cs="Arial"/>
        </w:rPr>
        <w:t>1</w:t>
      </w:r>
      <w:r w:rsidR="008B44BB" w:rsidRPr="0019035A">
        <w:rPr>
          <w:rFonts w:cs="Arial"/>
        </w:rPr>
        <w:t xml:space="preserve"> Rule</w:t>
      </w:r>
      <w:r w:rsidR="00181735">
        <w:rPr>
          <w:rFonts w:cs="Arial"/>
        </w:rPr>
        <w:t xml:space="preserve"> or N+ Rule. </w:t>
      </w:r>
    </w:p>
    <w:p w14:paraId="17DDEF4B" w14:textId="77777777" w:rsidR="00952C76" w:rsidRPr="0019035A" w:rsidRDefault="00952C76" w:rsidP="0019035A">
      <w:pPr>
        <w:pStyle w:val="ListParagraph"/>
        <w:spacing w:line="360" w:lineRule="auto"/>
        <w:rPr>
          <w:rFonts w:cs="Arial"/>
        </w:rPr>
      </w:pPr>
    </w:p>
    <w:p w14:paraId="2EC4F155" w14:textId="4164AA26" w:rsidR="00952C76" w:rsidRDefault="00800158" w:rsidP="00800158">
      <w:pPr>
        <w:tabs>
          <w:tab w:val="left" w:pos="851"/>
        </w:tabs>
        <w:spacing w:line="360" w:lineRule="auto"/>
        <w:jc w:val="both"/>
        <w:rPr>
          <w:rFonts w:cs="Arial"/>
        </w:rPr>
      </w:pPr>
      <w:r>
        <w:rPr>
          <w:rFonts w:cs="Arial"/>
        </w:rPr>
        <w:t>[9]</w:t>
      </w:r>
      <w:r>
        <w:rPr>
          <w:rFonts w:cs="Arial"/>
        </w:rPr>
        <w:tab/>
      </w:r>
      <w:r w:rsidR="00952C76" w:rsidRPr="0019035A">
        <w:rPr>
          <w:rFonts w:cs="Arial"/>
        </w:rPr>
        <w:t>Applicants assert that between 31 January 2022 and 27 May 2022, in light of the university’s failure to compile the requisite reports for NSFAS, students which include the Applicants, did not receive their student allowances</w:t>
      </w:r>
      <w:r w:rsidR="008B44BB" w:rsidRPr="0019035A">
        <w:rPr>
          <w:rFonts w:cs="Arial"/>
        </w:rPr>
        <w:t xml:space="preserve"> from NSFAS</w:t>
      </w:r>
      <w:r w:rsidR="00952C76" w:rsidRPr="0019035A">
        <w:rPr>
          <w:rFonts w:cs="Arial"/>
        </w:rPr>
        <w:t xml:space="preserve"> timeously which resulted in their inability to acquire study material, food and other basic necessities. </w:t>
      </w:r>
    </w:p>
    <w:p w14:paraId="092738E6" w14:textId="77777777" w:rsidR="00840B50" w:rsidRPr="001C0894" w:rsidRDefault="00840B50" w:rsidP="00840B50">
      <w:pPr>
        <w:tabs>
          <w:tab w:val="left" w:pos="851"/>
        </w:tabs>
        <w:spacing w:line="360" w:lineRule="auto"/>
        <w:jc w:val="both"/>
        <w:rPr>
          <w:rFonts w:cs="Arial"/>
        </w:rPr>
      </w:pPr>
    </w:p>
    <w:p w14:paraId="6A46C8D0" w14:textId="61C443AA" w:rsidR="00952C76" w:rsidRPr="0019035A" w:rsidRDefault="00800158" w:rsidP="00800158">
      <w:pPr>
        <w:tabs>
          <w:tab w:val="left" w:pos="851"/>
        </w:tabs>
        <w:spacing w:line="360" w:lineRule="auto"/>
        <w:jc w:val="both"/>
        <w:rPr>
          <w:rFonts w:cs="Arial"/>
        </w:rPr>
      </w:pPr>
      <w:r w:rsidRPr="0019035A">
        <w:rPr>
          <w:rFonts w:cs="Arial"/>
        </w:rPr>
        <w:t>[10]</w:t>
      </w:r>
      <w:r w:rsidRPr="0019035A">
        <w:rPr>
          <w:rFonts w:cs="Arial"/>
        </w:rPr>
        <w:tab/>
      </w:r>
      <w:r w:rsidR="003A2110" w:rsidRPr="0019035A">
        <w:rPr>
          <w:rFonts w:cs="Arial"/>
        </w:rPr>
        <w:t xml:space="preserve">On 1 June 2022, </w:t>
      </w:r>
      <w:r w:rsidR="00073334" w:rsidRPr="0019035A">
        <w:rPr>
          <w:rFonts w:cs="Arial"/>
        </w:rPr>
        <w:t xml:space="preserve">in light of the N+ Rule, </w:t>
      </w:r>
      <w:r w:rsidR="003A2110" w:rsidRPr="0019035A">
        <w:rPr>
          <w:rFonts w:cs="Arial"/>
        </w:rPr>
        <w:t xml:space="preserve">NSFAS had </w:t>
      </w:r>
      <w:r w:rsidR="00073334" w:rsidRPr="0019035A">
        <w:rPr>
          <w:rFonts w:cs="Arial"/>
        </w:rPr>
        <w:t xml:space="preserve">still </w:t>
      </w:r>
      <w:r w:rsidR="003A2110" w:rsidRPr="0019035A">
        <w:rPr>
          <w:rFonts w:cs="Arial"/>
        </w:rPr>
        <w:t>not funded</w:t>
      </w:r>
      <w:r w:rsidR="00073334" w:rsidRPr="0019035A">
        <w:rPr>
          <w:rFonts w:cs="Arial"/>
        </w:rPr>
        <w:t xml:space="preserve"> any </w:t>
      </w:r>
      <w:r w:rsidR="003A2110" w:rsidRPr="0019035A">
        <w:rPr>
          <w:rFonts w:cs="Arial"/>
        </w:rPr>
        <w:t>students in their fifth year</w:t>
      </w:r>
      <w:r w:rsidR="002830E0" w:rsidRPr="0019035A">
        <w:rPr>
          <w:rFonts w:cs="Arial"/>
        </w:rPr>
        <w:t xml:space="preserve">; </w:t>
      </w:r>
      <w:r w:rsidR="00F07204" w:rsidRPr="0019035A">
        <w:rPr>
          <w:rFonts w:cs="Arial"/>
        </w:rPr>
        <w:t xml:space="preserve">notwithstanding, </w:t>
      </w:r>
      <w:r w:rsidR="003A2110" w:rsidRPr="0019035A">
        <w:rPr>
          <w:rFonts w:cs="Arial"/>
        </w:rPr>
        <w:t>between 25 January 2022 and 1 June 2022</w:t>
      </w:r>
      <w:r w:rsidR="00F07204" w:rsidRPr="0019035A">
        <w:rPr>
          <w:rFonts w:cs="Arial"/>
        </w:rPr>
        <w:t>,</w:t>
      </w:r>
      <w:r w:rsidR="003A2110" w:rsidRPr="0019035A">
        <w:rPr>
          <w:rFonts w:cs="Arial"/>
        </w:rPr>
        <w:t xml:space="preserve"> </w:t>
      </w:r>
      <w:r w:rsidR="00073334" w:rsidRPr="0019035A">
        <w:rPr>
          <w:rFonts w:cs="Arial"/>
        </w:rPr>
        <w:t xml:space="preserve">various correspondence </w:t>
      </w:r>
      <w:r w:rsidR="00F07204" w:rsidRPr="0019035A">
        <w:rPr>
          <w:rFonts w:cs="Arial"/>
        </w:rPr>
        <w:t xml:space="preserve">being </w:t>
      </w:r>
      <w:r w:rsidR="00073334" w:rsidRPr="0019035A">
        <w:rPr>
          <w:rFonts w:cs="Arial"/>
        </w:rPr>
        <w:t xml:space="preserve">exchanged between the Applicant and the </w:t>
      </w:r>
      <w:r w:rsidR="00306B12">
        <w:rPr>
          <w:rFonts w:cs="Arial"/>
        </w:rPr>
        <w:t>u</w:t>
      </w:r>
      <w:r w:rsidR="00073334" w:rsidRPr="0019035A">
        <w:rPr>
          <w:rFonts w:cs="Arial"/>
        </w:rPr>
        <w:t xml:space="preserve">niversity, </w:t>
      </w:r>
      <w:r w:rsidR="00F07204" w:rsidRPr="0019035A">
        <w:rPr>
          <w:rFonts w:cs="Arial"/>
        </w:rPr>
        <w:t xml:space="preserve">wherein </w:t>
      </w:r>
      <w:r w:rsidR="003A2110" w:rsidRPr="0019035A">
        <w:rPr>
          <w:rFonts w:cs="Arial"/>
        </w:rPr>
        <w:t xml:space="preserve">the university </w:t>
      </w:r>
      <w:r w:rsidR="00F07204" w:rsidRPr="0019035A">
        <w:rPr>
          <w:rFonts w:cs="Arial"/>
        </w:rPr>
        <w:t xml:space="preserve">was requested </w:t>
      </w:r>
      <w:r w:rsidR="003A2110" w:rsidRPr="0019035A">
        <w:rPr>
          <w:rFonts w:cs="Arial"/>
        </w:rPr>
        <w:t>to upload the</w:t>
      </w:r>
      <w:r w:rsidR="00D25D01" w:rsidRPr="0019035A">
        <w:rPr>
          <w:rFonts w:cs="Arial"/>
        </w:rPr>
        <w:t xml:space="preserve"> requisite </w:t>
      </w:r>
      <w:r w:rsidR="003A2110" w:rsidRPr="0019035A">
        <w:rPr>
          <w:rFonts w:cs="Arial"/>
        </w:rPr>
        <w:t>information to NSFAS.</w:t>
      </w:r>
    </w:p>
    <w:p w14:paraId="12C59BE1" w14:textId="77777777" w:rsidR="003A2110" w:rsidRPr="0019035A" w:rsidRDefault="003A2110" w:rsidP="0019035A">
      <w:pPr>
        <w:pStyle w:val="ListParagraph"/>
        <w:spacing w:line="360" w:lineRule="auto"/>
        <w:rPr>
          <w:rFonts w:cs="Arial"/>
        </w:rPr>
      </w:pPr>
    </w:p>
    <w:p w14:paraId="3F03E06D" w14:textId="720C6D26" w:rsidR="003A2110" w:rsidRPr="0019035A" w:rsidRDefault="00800158" w:rsidP="00800158">
      <w:pPr>
        <w:tabs>
          <w:tab w:val="left" w:pos="851"/>
        </w:tabs>
        <w:spacing w:line="360" w:lineRule="auto"/>
        <w:jc w:val="both"/>
        <w:rPr>
          <w:rFonts w:cs="Arial"/>
        </w:rPr>
      </w:pPr>
      <w:r w:rsidRPr="0019035A">
        <w:rPr>
          <w:rFonts w:cs="Arial"/>
        </w:rPr>
        <w:t>[11]</w:t>
      </w:r>
      <w:r w:rsidRPr="0019035A">
        <w:rPr>
          <w:rFonts w:cs="Arial"/>
        </w:rPr>
        <w:tab/>
      </w:r>
      <w:r w:rsidR="003A2110" w:rsidRPr="0019035A">
        <w:rPr>
          <w:rFonts w:cs="Arial"/>
        </w:rPr>
        <w:t xml:space="preserve">Between 1 June </w:t>
      </w:r>
      <w:r w:rsidR="0043130D">
        <w:rPr>
          <w:rFonts w:cs="Arial"/>
        </w:rPr>
        <w:t xml:space="preserve">2022 </w:t>
      </w:r>
      <w:r w:rsidR="003A2110" w:rsidRPr="0019035A">
        <w:rPr>
          <w:rFonts w:cs="Arial"/>
        </w:rPr>
        <w:t>and 10 June 2022, various emails were exchanged between the SRC Secretary General</w:t>
      </w:r>
      <w:r w:rsidR="00867153">
        <w:rPr>
          <w:rFonts w:cs="Arial"/>
        </w:rPr>
        <w:t>,</w:t>
      </w:r>
      <w:r w:rsidR="003A2110" w:rsidRPr="0019035A">
        <w:rPr>
          <w:rFonts w:cs="Arial"/>
        </w:rPr>
        <w:t xml:space="preserve"> Mr Khumalo and the </w:t>
      </w:r>
      <w:r w:rsidR="00887EAB" w:rsidRPr="0019035A">
        <w:rPr>
          <w:rFonts w:cs="Arial"/>
        </w:rPr>
        <w:t>university</w:t>
      </w:r>
      <w:r w:rsidR="00867153">
        <w:rPr>
          <w:rFonts w:cs="Arial"/>
        </w:rPr>
        <w:t>,</w:t>
      </w:r>
      <w:r w:rsidR="00887EAB" w:rsidRPr="0019035A">
        <w:rPr>
          <w:rFonts w:cs="Arial"/>
        </w:rPr>
        <w:t xml:space="preserve"> </w:t>
      </w:r>
      <w:r w:rsidR="003A2110" w:rsidRPr="0019035A">
        <w:rPr>
          <w:rFonts w:cs="Arial"/>
        </w:rPr>
        <w:t>requesting their assistance. However, the issue was not resolved.</w:t>
      </w:r>
      <w:r w:rsidR="003A2110" w:rsidRPr="0019035A">
        <w:rPr>
          <w:rStyle w:val="FootnoteReference"/>
          <w:rFonts w:cs="Arial"/>
        </w:rPr>
        <w:footnoteReference w:id="4"/>
      </w:r>
    </w:p>
    <w:p w14:paraId="61DF90B7" w14:textId="77777777" w:rsidR="003A2110" w:rsidRPr="0019035A" w:rsidRDefault="003A2110" w:rsidP="0019035A">
      <w:pPr>
        <w:pStyle w:val="ListParagraph"/>
        <w:spacing w:line="360" w:lineRule="auto"/>
        <w:rPr>
          <w:rFonts w:cs="Arial"/>
        </w:rPr>
      </w:pPr>
    </w:p>
    <w:p w14:paraId="01BA446C" w14:textId="50E165D5" w:rsidR="003A2110" w:rsidRPr="0019035A" w:rsidRDefault="00800158" w:rsidP="00800158">
      <w:pPr>
        <w:tabs>
          <w:tab w:val="left" w:pos="851"/>
        </w:tabs>
        <w:spacing w:line="360" w:lineRule="auto"/>
        <w:jc w:val="both"/>
        <w:rPr>
          <w:rFonts w:cs="Arial"/>
        </w:rPr>
      </w:pPr>
      <w:r w:rsidRPr="0019035A">
        <w:rPr>
          <w:rFonts w:cs="Arial"/>
        </w:rPr>
        <w:t>[12]</w:t>
      </w:r>
      <w:r w:rsidRPr="0019035A">
        <w:rPr>
          <w:rFonts w:cs="Arial"/>
        </w:rPr>
        <w:tab/>
      </w:r>
      <w:r w:rsidR="003A2110" w:rsidRPr="0019035A">
        <w:rPr>
          <w:rFonts w:cs="Arial"/>
        </w:rPr>
        <w:t xml:space="preserve">On 10 June 2022, the </w:t>
      </w:r>
      <w:r w:rsidR="00306B12">
        <w:rPr>
          <w:rFonts w:cs="Arial"/>
        </w:rPr>
        <w:t>u</w:t>
      </w:r>
      <w:r w:rsidR="00DA50A5" w:rsidRPr="0019035A">
        <w:rPr>
          <w:rFonts w:cs="Arial"/>
        </w:rPr>
        <w:t xml:space="preserve">niversity </w:t>
      </w:r>
      <w:r w:rsidR="003A2110" w:rsidRPr="0019035A">
        <w:rPr>
          <w:rFonts w:cs="Arial"/>
        </w:rPr>
        <w:t xml:space="preserve">published the examination timetable where examinations were scheduled to commence on Monday, </w:t>
      </w:r>
      <w:r w:rsidR="003A2110" w:rsidRPr="0019035A">
        <w:rPr>
          <w:rFonts w:cs="Arial"/>
        </w:rPr>
        <w:br/>
        <w:t>13 June 2022.</w:t>
      </w:r>
    </w:p>
    <w:p w14:paraId="3CA1C0B3" w14:textId="77777777" w:rsidR="003A2110" w:rsidRPr="0019035A" w:rsidRDefault="003A2110" w:rsidP="0019035A">
      <w:pPr>
        <w:pStyle w:val="ListParagraph"/>
        <w:spacing w:line="360" w:lineRule="auto"/>
        <w:rPr>
          <w:rFonts w:cs="Arial"/>
        </w:rPr>
      </w:pPr>
    </w:p>
    <w:p w14:paraId="53A6AF59" w14:textId="3F8AF4E2" w:rsidR="003A2110" w:rsidRPr="0019035A" w:rsidRDefault="00800158" w:rsidP="00800158">
      <w:pPr>
        <w:tabs>
          <w:tab w:val="left" w:pos="851"/>
        </w:tabs>
        <w:spacing w:line="360" w:lineRule="auto"/>
        <w:jc w:val="both"/>
        <w:rPr>
          <w:rFonts w:cs="Arial"/>
        </w:rPr>
      </w:pPr>
      <w:r w:rsidRPr="0019035A">
        <w:rPr>
          <w:rFonts w:cs="Arial"/>
        </w:rPr>
        <w:t>[13]</w:t>
      </w:r>
      <w:r w:rsidRPr="0019035A">
        <w:rPr>
          <w:rFonts w:cs="Arial"/>
        </w:rPr>
        <w:tab/>
      </w:r>
      <w:r w:rsidR="003A2110" w:rsidRPr="0019035A">
        <w:rPr>
          <w:rFonts w:cs="Arial"/>
        </w:rPr>
        <w:t xml:space="preserve">On Sunday, 12 June 2022, the SRC sent a memorandum of grievances to the Fourth Respondent </w:t>
      </w:r>
      <w:r w:rsidR="00A111B7" w:rsidRPr="0019035A">
        <w:rPr>
          <w:rFonts w:cs="Arial"/>
        </w:rPr>
        <w:t xml:space="preserve">noting various grievances and </w:t>
      </w:r>
      <w:r w:rsidR="00A111B7" w:rsidRPr="00306B12">
        <w:rPr>
          <w:rFonts w:cs="Arial"/>
          <w:iCs/>
        </w:rPr>
        <w:t>inter alia</w:t>
      </w:r>
      <w:r w:rsidR="00A111B7" w:rsidRPr="0019035A">
        <w:rPr>
          <w:rFonts w:cs="Arial"/>
        </w:rPr>
        <w:t xml:space="preserve"> the non-payment of NSFAS which results in the unpreparedness of students to write exams. The memorandum requested that the examinations be rescheduled </w:t>
      </w:r>
      <w:r w:rsidR="00887EAB" w:rsidRPr="0019035A">
        <w:rPr>
          <w:rFonts w:cs="Arial"/>
        </w:rPr>
        <w:t xml:space="preserve">to </w:t>
      </w:r>
      <w:r w:rsidR="00A111B7" w:rsidRPr="0019035A">
        <w:rPr>
          <w:rFonts w:cs="Arial"/>
        </w:rPr>
        <w:t>20</w:t>
      </w:r>
      <w:r w:rsidR="00887EAB" w:rsidRPr="0019035A">
        <w:rPr>
          <w:rFonts w:cs="Arial"/>
          <w:vertAlign w:val="superscript"/>
        </w:rPr>
        <w:t xml:space="preserve"> </w:t>
      </w:r>
      <w:r w:rsidR="00A111B7" w:rsidRPr="0019035A">
        <w:rPr>
          <w:rFonts w:cs="Arial"/>
        </w:rPr>
        <w:t>June 2022.</w:t>
      </w:r>
      <w:r w:rsidR="00A111B7" w:rsidRPr="0019035A">
        <w:rPr>
          <w:rStyle w:val="FootnoteReference"/>
          <w:rFonts w:cs="Arial"/>
        </w:rPr>
        <w:footnoteReference w:id="5"/>
      </w:r>
    </w:p>
    <w:p w14:paraId="4BE260A5" w14:textId="77777777" w:rsidR="00A111B7" w:rsidRPr="0019035A" w:rsidRDefault="00A111B7" w:rsidP="0019035A">
      <w:pPr>
        <w:pStyle w:val="ListParagraph"/>
        <w:spacing w:line="360" w:lineRule="auto"/>
        <w:rPr>
          <w:rFonts w:cs="Arial"/>
        </w:rPr>
      </w:pPr>
    </w:p>
    <w:p w14:paraId="6D1B503F" w14:textId="73DB4FA2" w:rsidR="00A111B7" w:rsidRPr="0019035A" w:rsidRDefault="00800158" w:rsidP="00800158">
      <w:pPr>
        <w:tabs>
          <w:tab w:val="left" w:pos="851"/>
        </w:tabs>
        <w:spacing w:line="360" w:lineRule="auto"/>
        <w:jc w:val="both"/>
        <w:rPr>
          <w:rFonts w:cs="Arial"/>
        </w:rPr>
      </w:pPr>
      <w:r w:rsidRPr="0019035A">
        <w:rPr>
          <w:rFonts w:cs="Arial"/>
        </w:rPr>
        <w:t>[14]</w:t>
      </w:r>
      <w:r w:rsidRPr="0019035A">
        <w:rPr>
          <w:rFonts w:cs="Arial"/>
        </w:rPr>
        <w:tab/>
      </w:r>
      <w:r w:rsidR="00A111B7" w:rsidRPr="0019035A">
        <w:rPr>
          <w:rFonts w:cs="Arial"/>
        </w:rPr>
        <w:t>On 13 June 2022</w:t>
      </w:r>
      <w:r w:rsidR="00047B68" w:rsidRPr="0019035A">
        <w:rPr>
          <w:rStyle w:val="FootnoteReference"/>
          <w:rFonts w:cs="Arial"/>
        </w:rPr>
        <w:footnoteReference w:id="6"/>
      </w:r>
      <w:r w:rsidR="00A111B7" w:rsidRPr="0019035A">
        <w:rPr>
          <w:rFonts w:cs="Arial"/>
        </w:rPr>
        <w:t xml:space="preserve"> when the examination was meant to commence, students clad in balaclavas</w:t>
      </w:r>
      <w:r w:rsidR="00306B12">
        <w:rPr>
          <w:rFonts w:cs="Arial"/>
        </w:rPr>
        <w:t>,</w:t>
      </w:r>
      <w:r w:rsidR="00A111B7" w:rsidRPr="0019035A">
        <w:rPr>
          <w:rFonts w:cs="Arial"/>
        </w:rPr>
        <w:t xml:space="preserve"> masks and face shields vented their frustration by dragging SRC members out of their rooms in protest of the scheduled examination. </w:t>
      </w:r>
    </w:p>
    <w:p w14:paraId="3EF95B21" w14:textId="77777777" w:rsidR="00A111B7" w:rsidRPr="0019035A" w:rsidRDefault="00A111B7" w:rsidP="0019035A">
      <w:pPr>
        <w:pStyle w:val="ListParagraph"/>
        <w:spacing w:line="360" w:lineRule="auto"/>
        <w:rPr>
          <w:rFonts w:cs="Arial"/>
        </w:rPr>
      </w:pPr>
    </w:p>
    <w:p w14:paraId="2FCBF817" w14:textId="64217D93" w:rsidR="00A111B7" w:rsidRPr="0019035A" w:rsidRDefault="00800158" w:rsidP="00800158">
      <w:pPr>
        <w:tabs>
          <w:tab w:val="left" w:pos="851"/>
        </w:tabs>
        <w:spacing w:line="360" w:lineRule="auto"/>
        <w:jc w:val="both"/>
        <w:rPr>
          <w:rFonts w:cs="Arial"/>
        </w:rPr>
      </w:pPr>
      <w:r w:rsidRPr="0019035A">
        <w:rPr>
          <w:rFonts w:cs="Arial"/>
        </w:rPr>
        <w:t>[15]</w:t>
      </w:r>
      <w:r w:rsidRPr="0019035A">
        <w:rPr>
          <w:rFonts w:cs="Arial"/>
        </w:rPr>
        <w:tab/>
      </w:r>
      <w:r w:rsidR="00CD15AB" w:rsidRPr="0019035A">
        <w:rPr>
          <w:rFonts w:cs="Arial"/>
        </w:rPr>
        <w:t>The protest action</w:t>
      </w:r>
      <w:r w:rsidR="00A111B7" w:rsidRPr="0019035A">
        <w:rPr>
          <w:rFonts w:cs="Arial"/>
        </w:rPr>
        <w:t xml:space="preserve"> involved the torching of parts of the university premises which include</w:t>
      </w:r>
      <w:r w:rsidR="00134DDE">
        <w:rPr>
          <w:rFonts w:cs="Arial"/>
        </w:rPr>
        <w:t>d</w:t>
      </w:r>
      <w:r w:rsidR="00A111B7" w:rsidRPr="0019035A">
        <w:rPr>
          <w:rFonts w:cs="Arial"/>
        </w:rPr>
        <w:t xml:space="preserve"> the guardroom</w:t>
      </w:r>
      <w:r w:rsidR="00CD15AB" w:rsidRPr="0019035A">
        <w:rPr>
          <w:rFonts w:cs="Arial"/>
        </w:rPr>
        <w:t xml:space="preserve"> - with the security still inside - </w:t>
      </w:r>
      <w:r w:rsidR="00A111B7" w:rsidRPr="0019035A">
        <w:rPr>
          <w:rFonts w:cs="Arial"/>
        </w:rPr>
        <w:t xml:space="preserve">located in the main entrance, </w:t>
      </w:r>
      <w:r w:rsidR="0089127D" w:rsidRPr="0019035A">
        <w:rPr>
          <w:rFonts w:cs="Arial"/>
        </w:rPr>
        <w:t xml:space="preserve">the senate chamber, examination office, academic affairs office, </w:t>
      </w:r>
      <w:r w:rsidR="00A111B7" w:rsidRPr="0019035A">
        <w:rPr>
          <w:rFonts w:cs="Arial"/>
        </w:rPr>
        <w:t>the mobile toilets and the torching of two university vehicles.</w:t>
      </w:r>
      <w:r w:rsidR="00A111B7" w:rsidRPr="0019035A">
        <w:rPr>
          <w:rStyle w:val="FootnoteReference"/>
          <w:rFonts w:cs="Arial"/>
        </w:rPr>
        <w:footnoteReference w:id="7"/>
      </w:r>
      <w:r w:rsidR="00CD15AB" w:rsidRPr="0019035A">
        <w:rPr>
          <w:rFonts w:cs="Arial"/>
        </w:rPr>
        <w:t xml:space="preserve"> The damage caused by the protest action is in the region of</w:t>
      </w:r>
      <w:r w:rsidR="0089127D" w:rsidRPr="0019035A">
        <w:rPr>
          <w:rFonts w:cs="Arial"/>
        </w:rPr>
        <w:t xml:space="preserve"> </w:t>
      </w:r>
      <w:r w:rsidR="00181735">
        <w:rPr>
          <w:rFonts w:cs="Arial"/>
        </w:rPr>
        <w:t>R 2 million</w:t>
      </w:r>
      <w:r w:rsidR="00306B12">
        <w:rPr>
          <w:rFonts w:cs="Arial"/>
        </w:rPr>
        <w:t>.</w:t>
      </w:r>
      <w:r w:rsidR="00CD15AB" w:rsidRPr="0019035A">
        <w:rPr>
          <w:rStyle w:val="FootnoteReference"/>
          <w:rFonts w:cs="Arial"/>
        </w:rPr>
        <w:footnoteReference w:id="8"/>
      </w:r>
    </w:p>
    <w:p w14:paraId="56DBA8E1" w14:textId="77777777" w:rsidR="00047B68" w:rsidRPr="0019035A" w:rsidRDefault="00047B68" w:rsidP="0019035A">
      <w:pPr>
        <w:pStyle w:val="ListParagraph"/>
        <w:spacing w:line="360" w:lineRule="auto"/>
        <w:rPr>
          <w:rFonts w:cs="Arial"/>
        </w:rPr>
      </w:pPr>
    </w:p>
    <w:p w14:paraId="5F262EBB" w14:textId="7AFD57E2" w:rsidR="00047B68" w:rsidRPr="0019035A" w:rsidRDefault="00800158" w:rsidP="00800158">
      <w:pPr>
        <w:tabs>
          <w:tab w:val="left" w:pos="851"/>
        </w:tabs>
        <w:spacing w:line="360" w:lineRule="auto"/>
        <w:jc w:val="both"/>
        <w:rPr>
          <w:rFonts w:cs="Arial"/>
        </w:rPr>
      </w:pPr>
      <w:r w:rsidRPr="0019035A">
        <w:rPr>
          <w:rFonts w:cs="Arial"/>
        </w:rPr>
        <w:t>[16]</w:t>
      </w:r>
      <w:r w:rsidRPr="0019035A">
        <w:rPr>
          <w:rFonts w:cs="Arial"/>
        </w:rPr>
        <w:tab/>
      </w:r>
      <w:r w:rsidR="00047B68" w:rsidRPr="0019035A">
        <w:rPr>
          <w:rFonts w:cs="Arial"/>
        </w:rPr>
        <w:t xml:space="preserve">It is instructive to mention that while </w:t>
      </w:r>
      <w:r w:rsidR="0024590C">
        <w:rPr>
          <w:rFonts w:cs="Arial"/>
        </w:rPr>
        <w:t>A</w:t>
      </w:r>
      <w:r w:rsidR="00047B68" w:rsidRPr="0019035A">
        <w:rPr>
          <w:rFonts w:cs="Arial"/>
        </w:rPr>
        <w:t>pplicant</w:t>
      </w:r>
      <w:r w:rsidR="0024590C">
        <w:rPr>
          <w:rFonts w:cs="Arial"/>
        </w:rPr>
        <w:t>s</w:t>
      </w:r>
      <w:r w:rsidR="00047B68" w:rsidRPr="0019035A">
        <w:rPr>
          <w:rFonts w:cs="Arial"/>
        </w:rPr>
        <w:t xml:space="preserve"> </w:t>
      </w:r>
      <w:r w:rsidR="00073334" w:rsidRPr="0019035A">
        <w:rPr>
          <w:rFonts w:cs="Arial"/>
        </w:rPr>
        <w:t>describe only</w:t>
      </w:r>
      <w:r w:rsidR="00047B68" w:rsidRPr="0019035A">
        <w:rPr>
          <w:rFonts w:cs="Arial"/>
        </w:rPr>
        <w:t xml:space="preserve"> one protest</w:t>
      </w:r>
      <w:r w:rsidR="007E4126" w:rsidRPr="0019035A">
        <w:rPr>
          <w:rFonts w:cs="Arial"/>
        </w:rPr>
        <w:t xml:space="preserve"> on 13 June 2022, in the joint answering affidavit of the First and Fourth to Sixth Respondents, whom for convenience I refer to as Respondents from hereon, refer to two </w:t>
      </w:r>
      <w:r w:rsidR="007C3486" w:rsidRPr="0019035A">
        <w:rPr>
          <w:rFonts w:cs="Arial"/>
        </w:rPr>
        <w:t>protes</w:t>
      </w:r>
      <w:r w:rsidR="007C3486">
        <w:rPr>
          <w:rFonts w:cs="Arial"/>
        </w:rPr>
        <w:t>ts</w:t>
      </w:r>
      <w:r w:rsidR="007E4126" w:rsidRPr="0019035A">
        <w:rPr>
          <w:rFonts w:cs="Arial"/>
        </w:rPr>
        <w:t>, one being on 13 June 2022, which they refer to as ‘student disruptions’</w:t>
      </w:r>
      <w:r w:rsidR="00A813F3">
        <w:rPr>
          <w:rFonts w:cs="Arial"/>
        </w:rPr>
        <w:t xml:space="preserve"> and ‘violent protests’</w:t>
      </w:r>
      <w:r w:rsidR="007E4126" w:rsidRPr="0019035A">
        <w:rPr>
          <w:rFonts w:cs="Arial"/>
        </w:rPr>
        <w:t>, and another being on 23 June 2022.</w:t>
      </w:r>
    </w:p>
    <w:p w14:paraId="31E6476E" w14:textId="77777777" w:rsidR="007E4126" w:rsidRPr="0019035A" w:rsidRDefault="007E4126" w:rsidP="0019035A">
      <w:pPr>
        <w:pStyle w:val="ListParagraph"/>
        <w:spacing w:line="360" w:lineRule="auto"/>
        <w:rPr>
          <w:rFonts w:cs="Arial"/>
        </w:rPr>
      </w:pPr>
    </w:p>
    <w:p w14:paraId="249CA1F9" w14:textId="67B73872" w:rsidR="00DA50A5" w:rsidRPr="00A813F3" w:rsidRDefault="00800158" w:rsidP="00800158">
      <w:pPr>
        <w:tabs>
          <w:tab w:val="left" w:pos="851"/>
        </w:tabs>
        <w:spacing w:line="360" w:lineRule="auto"/>
        <w:jc w:val="both"/>
        <w:rPr>
          <w:rFonts w:cs="Arial"/>
        </w:rPr>
      </w:pPr>
      <w:r w:rsidRPr="00A813F3">
        <w:rPr>
          <w:rFonts w:cs="Arial"/>
        </w:rPr>
        <w:t>[17]</w:t>
      </w:r>
      <w:r w:rsidRPr="00A813F3">
        <w:rPr>
          <w:rFonts w:cs="Arial"/>
        </w:rPr>
        <w:tab/>
      </w:r>
      <w:r w:rsidR="007E4126" w:rsidRPr="0019035A">
        <w:rPr>
          <w:rFonts w:cs="Arial"/>
        </w:rPr>
        <w:t xml:space="preserve">While </w:t>
      </w:r>
      <w:r w:rsidR="0024590C">
        <w:rPr>
          <w:rFonts w:cs="Arial"/>
        </w:rPr>
        <w:t>A</w:t>
      </w:r>
      <w:r w:rsidR="007E4126" w:rsidRPr="0019035A">
        <w:rPr>
          <w:rFonts w:cs="Arial"/>
        </w:rPr>
        <w:t>pplicant</w:t>
      </w:r>
      <w:r w:rsidR="0024590C">
        <w:rPr>
          <w:rFonts w:cs="Arial"/>
        </w:rPr>
        <w:t>s</w:t>
      </w:r>
      <w:r w:rsidR="007E4126" w:rsidRPr="0019035A">
        <w:rPr>
          <w:rFonts w:cs="Arial"/>
        </w:rPr>
        <w:t xml:space="preserve"> </w:t>
      </w:r>
      <w:r w:rsidR="0024590C">
        <w:rPr>
          <w:rFonts w:cs="Arial"/>
        </w:rPr>
        <w:t>a</w:t>
      </w:r>
      <w:r w:rsidR="0024590C" w:rsidRPr="0019035A">
        <w:rPr>
          <w:rFonts w:cs="Arial"/>
        </w:rPr>
        <w:t>ssert</w:t>
      </w:r>
      <w:r w:rsidR="007E4126" w:rsidRPr="0019035A">
        <w:rPr>
          <w:rFonts w:cs="Arial"/>
        </w:rPr>
        <w:t xml:space="preserve"> that the damage to property took place on 13 June 2022, on </w:t>
      </w:r>
      <w:r w:rsidR="00306B12">
        <w:rPr>
          <w:rFonts w:cs="Arial"/>
        </w:rPr>
        <w:t>R</w:t>
      </w:r>
      <w:r w:rsidR="0089127D" w:rsidRPr="0019035A">
        <w:rPr>
          <w:rFonts w:cs="Arial"/>
        </w:rPr>
        <w:t>espondents’</w:t>
      </w:r>
      <w:r w:rsidR="007E4126" w:rsidRPr="0019035A">
        <w:rPr>
          <w:rFonts w:cs="Arial"/>
        </w:rPr>
        <w:t xml:space="preserve"> version, 13 June 2022 </w:t>
      </w:r>
      <w:r w:rsidR="00A813F3">
        <w:rPr>
          <w:rFonts w:cs="Arial"/>
        </w:rPr>
        <w:t xml:space="preserve">involved </w:t>
      </w:r>
      <w:r w:rsidR="007E4126" w:rsidRPr="0019035A">
        <w:rPr>
          <w:rFonts w:cs="Arial"/>
        </w:rPr>
        <w:t>disruptions</w:t>
      </w:r>
      <w:r w:rsidR="003B49AB" w:rsidRPr="0019035A">
        <w:rPr>
          <w:rFonts w:cs="Arial"/>
        </w:rPr>
        <w:t>,</w:t>
      </w:r>
      <w:r w:rsidR="007E4126" w:rsidRPr="0019035A">
        <w:rPr>
          <w:rFonts w:cs="Arial"/>
        </w:rPr>
        <w:t xml:space="preserve"> </w:t>
      </w:r>
      <w:r w:rsidR="003B49AB" w:rsidRPr="0019035A">
        <w:rPr>
          <w:rFonts w:cs="Arial"/>
        </w:rPr>
        <w:t xml:space="preserve">with </w:t>
      </w:r>
      <w:r w:rsidR="0089127D" w:rsidRPr="0019035A">
        <w:rPr>
          <w:rFonts w:cs="Arial"/>
        </w:rPr>
        <w:t>the damage</w:t>
      </w:r>
      <w:r w:rsidR="003B49AB" w:rsidRPr="0019035A">
        <w:rPr>
          <w:rFonts w:cs="Arial"/>
        </w:rPr>
        <w:t xml:space="preserve">, described above, </w:t>
      </w:r>
      <w:r w:rsidR="0089127D" w:rsidRPr="0019035A">
        <w:rPr>
          <w:rFonts w:cs="Arial"/>
        </w:rPr>
        <w:t>taking place on 23 June 2022</w:t>
      </w:r>
      <w:r w:rsidR="00306B12">
        <w:rPr>
          <w:rFonts w:cs="Arial"/>
        </w:rPr>
        <w:t>.</w:t>
      </w:r>
      <w:r w:rsidR="0089127D" w:rsidRPr="0019035A">
        <w:rPr>
          <w:rStyle w:val="FootnoteReference"/>
          <w:rFonts w:cs="Arial"/>
        </w:rPr>
        <w:footnoteReference w:id="9"/>
      </w:r>
      <w:r w:rsidR="00A813F3">
        <w:rPr>
          <w:rFonts w:cs="Arial"/>
        </w:rPr>
        <w:t xml:space="preserve"> </w:t>
      </w:r>
      <w:r w:rsidR="00DA50A5" w:rsidRPr="00A813F3">
        <w:rPr>
          <w:rFonts w:cs="Arial"/>
        </w:rPr>
        <w:t xml:space="preserve">Nothing turns on this contradiction. </w:t>
      </w:r>
    </w:p>
    <w:p w14:paraId="6E77031C" w14:textId="14750895" w:rsidR="000B6D0E" w:rsidRPr="0019035A" w:rsidRDefault="000B6D0E" w:rsidP="0019035A">
      <w:pPr>
        <w:spacing w:line="360" w:lineRule="auto"/>
        <w:rPr>
          <w:rFonts w:cs="Arial"/>
        </w:rPr>
      </w:pPr>
    </w:p>
    <w:p w14:paraId="46C55AEA" w14:textId="0B3F4C97" w:rsidR="000B6D0E" w:rsidRPr="002D62A8" w:rsidRDefault="00042ADD" w:rsidP="0019035A">
      <w:pPr>
        <w:spacing w:line="360" w:lineRule="auto"/>
        <w:rPr>
          <w:rFonts w:cs="Arial"/>
          <w:b/>
          <w:bCs/>
        </w:rPr>
      </w:pPr>
      <w:r w:rsidRPr="0019035A">
        <w:rPr>
          <w:rFonts w:cs="Arial"/>
          <w:b/>
          <w:bCs/>
        </w:rPr>
        <w:t>S</w:t>
      </w:r>
      <w:r w:rsidR="0019035A" w:rsidRPr="0019035A">
        <w:rPr>
          <w:rFonts w:cs="Arial"/>
          <w:b/>
          <w:bCs/>
        </w:rPr>
        <w:t>uspensions/ Disciplinary hearing/ Expulsion</w:t>
      </w:r>
    </w:p>
    <w:p w14:paraId="18A0DE25" w14:textId="512DDE55" w:rsidR="000B6D0E" w:rsidRPr="0019035A" w:rsidRDefault="00800158" w:rsidP="00800158">
      <w:pPr>
        <w:tabs>
          <w:tab w:val="left" w:pos="851"/>
        </w:tabs>
        <w:spacing w:line="360" w:lineRule="auto"/>
        <w:jc w:val="both"/>
        <w:rPr>
          <w:rFonts w:cs="Arial"/>
        </w:rPr>
      </w:pPr>
      <w:r w:rsidRPr="0019035A">
        <w:rPr>
          <w:rFonts w:cs="Arial"/>
        </w:rPr>
        <w:t>[18]</w:t>
      </w:r>
      <w:r w:rsidRPr="0019035A">
        <w:rPr>
          <w:rFonts w:cs="Arial"/>
        </w:rPr>
        <w:tab/>
      </w:r>
      <w:r w:rsidR="000B6D0E" w:rsidRPr="0019035A">
        <w:rPr>
          <w:rFonts w:cs="Arial"/>
        </w:rPr>
        <w:t xml:space="preserve">In light of the protests, the Applicants were suspended. According to the Applicants, they came to know of their suspensions because their names and </w:t>
      </w:r>
      <w:r w:rsidR="002830E0" w:rsidRPr="0019035A">
        <w:rPr>
          <w:rFonts w:cs="Arial"/>
        </w:rPr>
        <w:t xml:space="preserve">photo </w:t>
      </w:r>
      <w:r w:rsidR="000B6D0E" w:rsidRPr="0019035A">
        <w:rPr>
          <w:rFonts w:cs="Arial"/>
        </w:rPr>
        <w:t>images were pasted on the notice board reserved for suspended students. It is instructive that the issue of both the suspensions and the disciplinary hearings which I shall deal with hereinbelow are not dealt with by the Applicants in any detail but merely dealt with in general terms.</w:t>
      </w:r>
    </w:p>
    <w:p w14:paraId="072CFC3B" w14:textId="77777777" w:rsidR="00CD15AB" w:rsidRPr="0019035A" w:rsidRDefault="00CD15AB" w:rsidP="0019035A">
      <w:pPr>
        <w:tabs>
          <w:tab w:val="left" w:pos="851"/>
        </w:tabs>
        <w:spacing w:line="360" w:lineRule="auto"/>
        <w:jc w:val="both"/>
        <w:rPr>
          <w:rFonts w:cs="Arial"/>
        </w:rPr>
      </w:pPr>
    </w:p>
    <w:p w14:paraId="0BBF4A5A" w14:textId="3FBD0321" w:rsidR="008161D4" w:rsidRPr="0019035A" w:rsidRDefault="00800158" w:rsidP="00800158">
      <w:pPr>
        <w:tabs>
          <w:tab w:val="left" w:pos="851"/>
        </w:tabs>
        <w:spacing w:line="360" w:lineRule="auto"/>
        <w:jc w:val="both"/>
        <w:rPr>
          <w:rFonts w:cs="Arial"/>
        </w:rPr>
      </w:pPr>
      <w:r w:rsidRPr="0019035A">
        <w:rPr>
          <w:rFonts w:cs="Arial"/>
        </w:rPr>
        <w:t>[19]</w:t>
      </w:r>
      <w:r w:rsidRPr="0019035A">
        <w:rPr>
          <w:rFonts w:cs="Arial"/>
        </w:rPr>
        <w:tab/>
      </w:r>
      <w:r w:rsidR="00047B68" w:rsidRPr="0019035A">
        <w:rPr>
          <w:rFonts w:cs="Arial"/>
        </w:rPr>
        <w:t xml:space="preserve">The </w:t>
      </w:r>
      <w:r w:rsidR="00306B12">
        <w:rPr>
          <w:rFonts w:cs="Arial"/>
        </w:rPr>
        <w:t>R</w:t>
      </w:r>
      <w:r w:rsidR="00047B68" w:rsidRPr="0019035A">
        <w:rPr>
          <w:rFonts w:cs="Arial"/>
        </w:rPr>
        <w:t>espondents</w:t>
      </w:r>
      <w:r w:rsidR="000B6D0E" w:rsidRPr="0019035A">
        <w:rPr>
          <w:rFonts w:cs="Arial"/>
        </w:rPr>
        <w:t xml:space="preserve"> went into laborious detail to explain their suspensions, the evidence, the charges and the outcome </w:t>
      </w:r>
      <w:r w:rsidR="004456CB" w:rsidRPr="0019035A">
        <w:rPr>
          <w:rFonts w:cs="Arial"/>
        </w:rPr>
        <w:t>of the disciplinary hearing of each Applicant.</w:t>
      </w:r>
    </w:p>
    <w:p w14:paraId="35D56A3C" w14:textId="77777777" w:rsidR="008161D4" w:rsidRPr="0019035A" w:rsidRDefault="008161D4" w:rsidP="0019035A">
      <w:pPr>
        <w:tabs>
          <w:tab w:val="left" w:pos="851"/>
        </w:tabs>
        <w:spacing w:line="360" w:lineRule="auto"/>
        <w:jc w:val="both"/>
        <w:rPr>
          <w:rFonts w:cs="Arial"/>
        </w:rPr>
      </w:pPr>
    </w:p>
    <w:p w14:paraId="6F81CAD2" w14:textId="6CF9A1B1" w:rsidR="008161D4" w:rsidRPr="0019035A" w:rsidRDefault="00800158" w:rsidP="00800158">
      <w:pPr>
        <w:tabs>
          <w:tab w:val="left" w:pos="851"/>
        </w:tabs>
        <w:spacing w:line="360" w:lineRule="auto"/>
        <w:jc w:val="both"/>
        <w:rPr>
          <w:rFonts w:cs="Arial"/>
        </w:rPr>
      </w:pPr>
      <w:r w:rsidRPr="0019035A">
        <w:rPr>
          <w:rFonts w:cs="Arial"/>
        </w:rPr>
        <w:t>[20]</w:t>
      </w:r>
      <w:r w:rsidRPr="0019035A">
        <w:rPr>
          <w:rFonts w:cs="Arial"/>
        </w:rPr>
        <w:tab/>
      </w:r>
      <w:r w:rsidR="008161D4" w:rsidRPr="0019035A">
        <w:rPr>
          <w:rFonts w:cs="Arial"/>
        </w:rPr>
        <w:t xml:space="preserve">The disciplinary hearings took place between July </w:t>
      </w:r>
      <w:r w:rsidR="00F00991">
        <w:rPr>
          <w:rFonts w:cs="Arial"/>
        </w:rPr>
        <w:t xml:space="preserve">2022 </w:t>
      </w:r>
      <w:r w:rsidR="008161D4" w:rsidRPr="0019035A">
        <w:rPr>
          <w:rFonts w:cs="Arial"/>
        </w:rPr>
        <w:t>and September 2022 and the notices of suspension were served on the Applicants in June 2022.</w:t>
      </w:r>
      <w:r w:rsidR="008161D4" w:rsidRPr="0019035A">
        <w:rPr>
          <w:rStyle w:val="FootnoteReference"/>
          <w:rFonts w:cs="Arial"/>
        </w:rPr>
        <w:footnoteReference w:id="10"/>
      </w:r>
    </w:p>
    <w:p w14:paraId="36BC7833" w14:textId="77777777" w:rsidR="0019035A" w:rsidRDefault="0019035A" w:rsidP="0019035A">
      <w:pPr>
        <w:tabs>
          <w:tab w:val="left" w:pos="851"/>
        </w:tabs>
        <w:spacing w:line="360" w:lineRule="auto"/>
        <w:jc w:val="both"/>
        <w:rPr>
          <w:rFonts w:cs="Arial"/>
        </w:rPr>
      </w:pPr>
    </w:p>
    <w:p w14:paraId="61F68FF8" w14:textId="1669EC5D" w:rsidR="005D5C68" w:rsidRPr="002D62A8" w:rsidRDefault="005D5C68" w:rsidP="0019035A">
      <w:pPr>
        <w:tabs>
          <w:tab w:val="left" w:pos="851"/>
        </w:tabs>
        <w:spacing w:line="360" w:lineRule="auto"/>
        <w:jc w:val="both"/>
        <w:rPr>
          <w:rFonts w:cs="Arial"/>
          <w:b/>
          <w:bCs/>
        </w:rPr>
      </w:pPr>
      <w:r w:rsidRPr="0019035A">
        <w:rPr>
          <w:rFonts w:cs="Arial"/>
          <w:b/>
          <w:bCs/>
        </w:rPr>
        <w:t>T</w:t>
      </w:r>
      <w:r w:rsidR="0019035A" w:rsidRPr="0019035A">
        <w:rPr>
          <w:rFonts w:cs="Arial"/>
          <w:b/>
          <w:bCs/>
        </w:rPr>
        <w:t>he Law</w:t>
      </w:r>
    </w:p>
    <w:p w14:paraId="4AFE0FF5" w14:textId="41A834AD" w:rsidR="005D5C68" w:rsidRPr="0019035A" w:rsidRDefault="00800158" w:rsidP="00800158">
      <w:pPr>
        <w:tabs>
          <w:tab w:val="left" w:pos="851"/>
        </w:tabs>
        <w:spacing w:line="360" w:lineRule="auto"/>
        <w:jc w:val="both"/>
        <w:rPr>
          <w:rFonts w:cs="Arial"/>
        </w:rPr>
      </w:pPr>
      <w:r w:rsidRPr="0019035A">
        <w:rPr>
          <w:rFonts w:cs="Arial"/>
        </w:rPr>
        <w:t>[21]</w:t>
      </w:r>
      <w:r w:rsidRPr="0019035A">
        <w:rPr>
          <w:rFonts w:cs="Arial"/>
        </w:rPr>
        <w:tab/>
      </w:r>
      <w:r w:rsidR="005D5C68" w:rsidRPr="0019035A">
        <w:rPr>
          <w:rFonts w:cs="Arial"/>
        </w:rPr>
        <w:t xml:space="preserve">The </w:t>
      </w:r>
      <w:r w:rsidR="00306B12">
        <w:rPr>
          <w:rFonts w:cs="Arial"/>
        </w:rPr>
        <w:t>A</w:t>
      </w:r>
      <w:r w:rsidR="005D5C68" w:rsidRPr="0019035A">
        <w:rPr>
          <w:rFonts w:cs="Arial"/>
        </w:rPr>
        <w:t>pplicants assert that the application is based on s</w:t>
      </w:r>
      <w:r w:rsidR="002D62A8">
        <w:rPr>
          <w:rFonts w:cs="Arial"/>
        </w:rPr>
        <w:t xml:space="preserve"> </w:t>
      </w:r>
      <w:r w:rsidR="005D5C68" w:rsidRPr="0019035A">
        <w:rPr>
          <w:rFonts w:cs="Arial"/>
        </w:rPr>
        <w:t>3(1), s</w:t>
      </w:r>
      <w:r w:rsidR="002D62A8">
        <w:rPr>
          <w:rFonts w:cs="Arial"/>
        </w:rPr>
        <w:t xml:space="preserve"> </w:t>
      </w:r>
      <w:r w:rsidR="00A813F3" w:rsidRPr="00A813F3">
        <w:rPr>
          <w:rFonts w:cs="Arial"/>
        </w:rPr>
        <w:t>3(2)(b)(i) and(ii)</w:t>
      </w:r>
      <w:r w:rsidR="005D5C68" w:rsidRPr="0019035A">
        <w:rPr>
          <w:rFonts w:cs="Arial"/>
        </w:rPr>
        <w:t>, 3(3)(</w:t>
      </w:r>
      <w:r w:rsidR="005D5C68" w:rsidRPr="00711F4E">
        <w:rPr>
          <w:rFonts w:cs="Arial"/>
          <w:i/>
        </w:rPr>
        <w:t>a</w:t>
      </w:r>
      <w:r w:rsidR="005D5C68" w:rsidRPr="0019035A">
        <w:rPr>
          <w:rFonts w:cs="Arial"/>
        </w:rPr>
        <w:t>) and (</w:t>
      </w:r>
      <w:r w:rsidR="005D5C68" w:rsidRPr="00711F4E">
        <w:rPr>
          <w:rFonts w:cs="Arial"/>
          <w:i/>
        </w:rPr>
        <w:t>b</w:t>
      </w:r>
      <w:r w:rsidR="005D5C68" w:rsidRPr="0019035A">
        <w:rPr>
          <w:rFonts w:cs="Arial"/>
        </w:rPr>
        <w:t xml:space="preserve">) of PAJA and </w:t>
      </w:r>
      <w:r w:rsidR="005D5C68" w:rsidRPr="009F7EC4">
        <w:rPr>
          <w:rFonts w:cs="Arial"/>
        </w:rPr>
        <w:t>s</w:t>
      </w:r>
      <w:r w:rsidR="002D62A8" w:rsidRPr="009F7EC4">
        <w:rPr>
          <w:rFonts w:cs="Arial"/>
        </w:rPr>
        <w:t xml:space="preserve"> </w:t>
      </w:r>
      <w:r w:rsidR="005D5C68" w:rsidRPr="009F7EC4">
        <w:rPr>
          <w:rFonts w:cs="Arial"/>
        </w:rPr>
        <w:t>1(c) of the Constitution</w:t>
      </w:r>
      <w:r w:rsidR="002D62A8">
        <w:rPr>
          <w:rFonts w:cs="Arial"/>
        </w:rPr>
        <w:t>.</w:t>
      </w:r>
      <w:r w:rsidR="005D5C68" w:rsidRPr="0019035A">
        <w:rPr>
          <w:rStyle w:val="FootnoteReference"/>
          <w:rFonts w:cs="Arial"/>
        </w:rPr>
        <w:footnoteReference w:id="11"/>
      </w:r>
    </w:p>
    <w:p w14:paraId="0FB7154E" w14:textId="77777777" w:rsidR="005D5C68" w:rsidRPr="0019035A" w:rsidRDefault="005D5C68" w:rsidP="0019035A">
      <w:pPr>
        <w:tabs>
          <w:tab w:val="left" w:pos="851"/>
        </w:tabs>
        <w:spacing w:line="360" w:lineRule="auto"/>
        <w:jc w:val="both"/>
        <w:rPr>
          <w:rFonts w:cs="Arial"/>
        </w:rPr>
      </w:pPr>
    </w:p>
    <w:p w14:paraId="3E9B69FE" w14:textId="7F0D70AA" w:rsidR="005D5C68" w:rsidRPr="0019035A" w:rsidRDefault="00800158" w:rsidP="00800158">
      <w:pPr>
        <w:tabs>
          <w:tab w:val="left" w:pos="851"/>
        </w:tabs>
        <w:spacing w:line="360" w:lineRule="auto"/>
        <w:jc w:val="both"/>
        <w:rPr>
          <w:rFonts w:cs="Arial"/>
        </w:rPr>
      </w:pPr>
      <w:r w:rsidRPr="0019035A">
        <w:rPr>
          <w:rFonts w:cs="Arial"/>
        </w:rPr>
        <w:t>[22]</w:t>
      </w:r>
      <w:r w:rsidRPr="0019035A">
        <w:rPr>
          <w:rFonts w:cs="Arial"/>
        </w:rPr>
        <w:tab/>
      </w:r>
      <w:r w:rsidR="005D5C68" w:rsidRPr="0019035A">
        <w:rPr>
          <w:rFonts w:cs="Arial"/>
        </w:rPr>
        <w:t>The</w:t>
      </w:r>
      <w:r w:rsidR="00156B70" w:rsidRPr="0019035A">
        <w:rPr>
          <w:rFonts w:cs="Arial"/>
        </w:rPr>
        <w:t>se</w:t>
      </w:r>
      <w:r w:rsidR="005D5C68" w:rsidRPr="0019035A">
        <w:rPr>
          <w:rFonts w:cs="Arial"/>
        </w:rPr>
        <w:t xml:space="preserve"> sections of PAJA read:</w:t>
      </w:r>
    </w:p>
    <w:p w14:paraId="296848E8" w14:textId="77777777" w:rsidR="00711F4E" w:rsidRDefault="0019035A" w:rsidP="0019035A">
      <w:pPr>
        <w:tabs>
          <w:tab w:val="left" w:pos="851"/>
        </w:tabs>
        <w:spacing w:line="360" w:lineRule="auto"/>
        <w:jc w:val="both"/>
        <w:rPr>
          <w:rFonts w:cs="Arial"/>
          <w:sz w:val="22"/>
          <w:szCs w:val="22"/>
        </w:rPr>
      </w:pPr>
      <w:r>
        <w:rPr>
          <w:rFonts w:cs="Arial"/>
          <w:b/>
          <w:bCs/>
          <w:sz w:val="22"/>
          <w:szCs w:val="22"/>
        </w:rPr>
        <w:t>‘</w:t>
      </w:r>
      <w:r w:rsidR="005D5C68" w:rsidRPr="0019035A">
        <w:rPr>
          <w:rFonts w:cs="Arial"/>
          <w:b/>
          <w:bCs/>
          <w:sz w:val="22"/>
          <w:szCs w:val="22"/>
        </w:rPr>
        <w:t xml:space="preserve">3 </w:t>
      </w:r>
      <w:r w:rsidR="005D5C68" w:rsidRPr="0019035A">
        <w:rPr>
          <w:rFonts w:cs="Arial"/>
          <w:b/>
          <w:bCs/>
          <w:sz w:val="22"/>
          <w:szCs w:val="22"/>
        </w:rPr>
        <w:tab/>
        <w:t>Procedurally fair administrative action affecting any person</w:t>
      </w:r>
      <w:r w:rsidR="005D5C68" w:rsidRPr="0019035A">
        <w:rPr>
          <w:rFonts w:cs="Arial"/>
          <w:sz w:val="22"/>
          <w:szCs w:val="22"/>
        </w:rPr>
        <w:t xml:space="preserve"> – </w:t>
      </w:r>
    </w:p>
    <w:p w14:paraId="6B3E0E36" w14:textId="2F5D4D39" w:rsidR="005D5C68" w:rsidRPr="0019035A" w:rsidRDefault="005D5C68" w:rsidP="0019035A">
      <w:pPr>
        <w:tabs>
          <w:tab w:val="left" w:pos="851"/>
        </w:tabs>
        <w:spacing w:line="360" w:lineRule="auto"/>
        <w:jc w:val="both"/>
        <w:rPr>
          <w:rFonts w:cs="Arial"/>
          <w:sz w:val="22"/>
          <w:szCs w:val="22"/>
        </w:rPr>
      </w:pPr>
      <w:r w:rsidRPr="0019035A">
        <w:rPr>
          <w:rFonts w:cs="Arial"/>
          <w:sz w:val="22"/>
          <w:szCs w:val="22"/>
        </w:rPr>
        <w:t>(1) Administrative action which materially and adversely affects the rights or legitimate expectations of any person must be procedurally fair.</w:t>
      </w:r>
    </w:p>
    <w:p w14:paraId="46B41EC2" w14:textId="77777777" w:rsidR="005D5C68" w:rsidRPr="0019035A" w:rsidRDefault="005D5C68" w:rsidP="0019035A">
      <w:pPr>
        <w:tabs>
          <w:tab w:val="left" w:pos="851"/>
        </w:tabs>
        <w:spacing w:line="360" w:lineRule="auto"/>
        <w:jc w:val="both"/>
        <w:rPr>
          <w:rFonts w:cs="Arial"/>
          <w:sz w:val="22"/>
          <w:szCs w:val="22"/>
        </w:rPr>
      </w:pPr>
      <w:r w:rsidRPr="0019035A">
        <w:rPr>
          <w:rFonts w:cs="Arial"/>
          <w:sz w:val="22"/>
          <w:szCs w:val="22"/>
        </w:rPr>
        <w:t>(2) (</w:t>
      </w:r>
      <w:r w:rsidRPr="00711F4E">
        <w:rPr>
          <w:rFonts w:cs="Arial"/>
          <w:i/>
          <w:sz w:val="22"/>
          <w:szCs w:val="22"/>
        </w:rPr>
        <w:t>a</w:t>
      </w:r>
      <w:r w:rsidRPr="0019035A">
        <w:rPr>
          <w:rFonts w:cs="Arial"/>
          <w:sz w:val="22"/>
          <w:szCs w:val="22"/>
        </w:rPr>
        <w:t>) A fair administrative procedure depends on the circumstances of each case.</w:t>
      </w:r>
    </w:p>
    <w:p w14:paraId="070CDD1C" w14:textId="77777777" w:rsidR="005D5C68" w:rsidRPr="0019035A" w:rsidRDefault="005D5C68" w:rsidP="0019035A">
      <w:pPr>
        <w:tabs>
          <w:tab w:val="left" w:pos="851"/>
        </w:tabs>
        <w:spacing w:line="360" w:lineRule="auto"/>
        <w:jc w:val="both"/>
        <w:rPr>
          <w:rFonts w:cs="Arial"/>
          <w:sz w:val="22"/>
          <w:szCs w:val="22"/>
        </w:rPr>
      </w:pPr>
      <w:r w:rsidRPr="0019035A">
        <w:rPr>
          <w:rFonts w:cs="Arial"/>
          <w:sz w:val="22"/>
          <w:szCs w:val="22"/>
        </w:rPr>
        <w:t>(</w:t>
      </w:r>
      <w:r w:rsidRPr="00711F4E">
        <w:rPr>
          <w:rFonts w:cs="Arial"/>
          <w:i/>
          <w:sz w:val="22"/>
          <w:szCs w:val="22"/>
        </w:rPr>
        <w:t>b</w:t>
      </w:r>
      <w:r w:rsidRPr="0019035A">
        <w:rPr>
          <w:rFonts w:cs="Arial"/>
          <w:sz w:val="22"/>
          <w:szCs w:val="22"/>
        </w:rPr>
        <w:t>) In order to give effect to the right to procedurally fair administrative action, an administrator, subject to subsection (4), must give a person referred to in subsection</w:t>
      </w:r>
    </w:p>
    <w:p w14:paraId="408366EB" w14:textId="77777777" w:rsidR="00711F4E" w:rsidRDefault="005D5C68" w:rsidP="0019035A">
      <w:pPr>
        <w:tabs>
          <w:tab w:val="left" w:pos="851"/>
        </w:tabs>
        <w:spacing w:line="360" w:lineRule="auto"/>
        <w:jc w:val="both"/>
        <w:rPr>
          <w:rFonts w:cs="Arial"/>
          <w:sz w:val="22"/>
          <w:szCs w:val="22"/>
        </w:rPr>
      </w:pPr>
      <w:r w:rsidRPr="0019035A">
        <w:rPr>
          <w:rFonts w:cs="Arial"/>
          <w:sz w:val="22"/>
          <w:szCs w:val="22"/>
        </w:rPr>
        <w:t>(1)-</w:t>
      </w:r>
    </w:p>
    <w:p w14:paraId="138B2C7A" w14:textId="0EC9CED4" w:rsidR="005D5C68" w:rsidRPr="0019035A" w:rsidRDefault="00711F4E" w:rsidP="00711F4E">
      <w:pPr>
        <w:tabs>
          <w:tab w:val="left" w:pos="851"/>
        </w:tabs>
        <w:spacing w:line="360" w:lineRule="auto"/>
        <w:ind w:left="1440" w:hanging="1440"/>
        <w:jc w:val="both"/>
        <w:rPr>
          <w:rFonts w:cs="Arial"/>
          <w:sz w:val="22"/>
          <w:szCs w:val="22"/>
        </w:rPr>
      </w:pPr>
      <w:r>
        <w:rPr>
          <w:rFonts w:cs="Arial"/>
          <w:sz w:val="22"/>
          <w:szCs w:val="22"/>
        </w:rPr>
        <w:tab/>
      </w:r>
      <w:r w:rsidR="005D5C68" w:rsidRPr="0019035A">
        <w:rPr>
          <w:rFonts w:cs="Arial"/>
          <w:sz w:val="22"/>
          <w:szCs w:val="22"/>
        </w:rPr>
        <w:t>(i)</w:t>
      </w:r>
      <w:r>
        <w:rPr>
          <w:rFonts w:cs="Arial"/>
          <w:sz w:val="22"/>
          <w:szCs w:val="22"/>
        </w:rPr>
        <w:tab/>
      </w:r>
      <w:r w:rsidR="005D5C68" w:rsidRPr="0019035A">
        <w:rPr>
          <w:rFonts w:cs="Arial"/>
          <w:sz w:val="22"/>
          <w:szCs w:val="22"/>
        </w:rPr>
        <w:t>adequate notice of the nature and purpose of the proposed administrative action;</w:t>
      </w:r>
    </w:p>
    <w:p w14:paraId="5D360BBA" w14:textId="4C9ED7EE" w:rsidR="005D5C68" w:rsidRPr="0019035A" w:rsidRDefault="00711F4E" w:rsidP="0019035A">
      <w:pPr>
        <w:tabs>
          <w:tab w:val="left" w:pos="851"/>
        </w:tabs>
        <w:spacing w:line="360" w:lineRule="auto"/>
        <w:jc w:val="both"/>
        <w:rPr>
          <w:rFonts w:cs="Arial"/>
          <w:sz w:val="22"/>
          <w:szCs w:val="22"/>
        </w:rPr>
      </w:pPr>
      <w:r>
        <w:rPr>
          <w:rFonts w:cs="Arial"/>
          <w:sz w:val="22"/>
          <w:szCs w:val="22"/>
        </w:rPr>
        <w:tab/>
      </w:r>
      <w:r w:rsidR="005D5C68" w:rsidRPr="0019035A">
        <w:rPr>
          <w:rFonts w:cs="Arial"/>
          <w:sz w:val="22"/>
          <w:szCs w:val="22"/>
        </w:rPr>
        <w:t>(ii)</w:t>
      </w:r>
      <w:r>
        <w:rPr>
          <w:rFonts w:cs="Arial"/>
          <w:sz w:val="22"/>
          <w:szCs w:val="22"/>
        </w:rPr>
        <w:tab/>
      </w:r>
      <w:r w:rsidR="005D5C68" w:rsidRPr="0019035A">
        <w:rPr>
          <w:rFonts w:cs="Arial"/>
          <w:sz w:val="22"/>
          <w:szCs w:val="22"/>
        </w:rPr>
        <w:t>a reasonable opportunity to make representations;</w:t>
      </w:r>
    </w:p>
    <w:p w14:paraId="7D6CBC61" w14:textId="31E2270D" w:rsidR="005D5C68" w:rsidRPr="0019035A" w:rsidRDefault="00B42C3A" w:rsidP="0019035A">
      <w:pPr>
        <w:tabs>
          <w:tab w:val="left" w:pos="851"/>
        </w:tabs>
        <w:spacing w:line="360" w:lineRule="auto"/>
        <w:jc w:val="both"/>
        <w:rPr>
          <w:rFonts w:cs="Arial"/>
          <w:sz w:val="22"/>
          <w:szCs w:val="22"/>
        </w:rPr>
      </w:pPr>
      <w:r>
        <w:rPr>
          <w:rFonts w:cs="Arial"/>
          <w:sz w:val="22"/>
          <w:szCs w:val="22"/>
        </w:rPr>
        <w:tab/>
      </w:r>
      <w:r w:rsidR="005D5C68" w:rsidRPr="0019035A">
        <w:rPr>
          <w:rFonts w:cs="Arial"/>
          <w:sz w:val="22"/>
          <w:szCs w:val="22"/>
        </w:rPr>
        <w:t>…</w:t>
      </w:r>
    </w:p>
    <w:p w14:paraId="4F83BEF6" w14:textId="77777777" w:rsidR="005D5C68" w:rsidRPr="0019035A" w:rsidRDefault="005D5C68" w:rsidP="0019035A">
      <w:pPr>
        <w:tabs>
          <w:tab w:val="left" w:pos="851"/>
        </w:tabs>
        <w:spacing w:line="360" w:lineRule="auto"/>
        <w:jc w:val="both"/>
        <w:rPr>
          <w:rFonts w:cs="Arial"/>
          <w:sz w:val="22"/>
          <w:szCs w:val="22"/>
        </w:rPr>
      </w:pPr>
      <w:r w:rsidRPr="0019035A">
        <w:rPr>
          <w:rFonts w:cs="Arial"/>
          <w:sz w:val="22"/>
          <w:szCs w:val="22"/>
        </w:rPr>
        <w:t>(3) In order to give effect to the right to procedurally fair administrative action, an administrator may, in his or her or its discretion, also give a person referred to in subsection (1) an opportunity to-</w:t>
      </w:r>
    </w:p>
    <w:p w14:paraId="0C41C899" w14:textId="52B6734C" w:rsidR="005D5C68" w:rsidRPr="0019035A" w:rsidRDefault="00711F4E" w:rsidP="00711F4E">
      <w:pPr>
        <w:tabs>
          <w:tab w:val="left" w:pos="851"/>
        </w:tabs>
        <w:spacing w:line="360" w:lineRule="auto"/>
        <w:ind w:left="1440" w:hanging="1440"/>
        <w:jc w:val="both"/>
        <w:rPr>
          <w:rFonts w:cs="Arial"/>
          <w:sz w:val="22"/>
          <w:szCs w:val="22"/>
        </w:rPr>
      </w:pPr>
      <w:r>
        <w:rPr>
          <w:rFonts w:cs="Arial"/>
          <w:sz w:val="22"/>
          <w:szCs w:val="22"/>
        </w:rPr>
        <w:tab/>
      </w:r>
      <w:r w:rsidR="005D5C68" w:rsidRPr="0019035A">
        <w:rPr>
          <w:rFonts w:cs="Arial"/>
          <w:sz w:val="22"/>
          <w:szCs w:val="22"/>
        </w:rPr>
        <w:t>(</w:t>
      </w:r>
      <w:r w:rsidR="005D5C68" w:rsidRPr="00711F4E">
        <w:rPr>
          <w:rFonts w:cs="Arial"/>
          <w:i/>
          <w:sz w:val="22"/>
          <w:szCs w:val="22"/>
        </w:rPr>
        <w:t>a</w:t>
      </w:r>
      <w:r w:rsidR="005D5C68" w:rsidRPr="0019035A">
        <w:rPr>
          <w:rFonts w:cs="Arial"/>
          <w:sz w:val="22"/>
          <w:szCs w:val="22"/>
        </w:rPr>
        <w:t>)</w:t>
      </w:r>
      <w:r>
        <w:rPr>
          <w:rFonts w:cs="Arial"/>
          <w:sz w:val="22"/>
          <w:szCs w:val="22"/>
        </w:rPr>
        <w:tab/>
      </w:r>
      <w:r w:rsidR="005D5C68" w:rsidRPr="0019035A">
        <w:rPr>
          <w:rFonts w:cs="Arial"/>
          <w:sz w:val="22"/>
          <w:szCs w:val="22"/>
        </w:rPr>
        <w:t>obtain assistanc</w:t>
      </w:r>
      <w:r w:rsidR="00B42C3A">
        <w:rPr>
          <w:rFonts w:cs="Arial"/>
          <w:sz w:val="22"/>
          <w:szCs w:val="22"/>
        </w:rPr>
        <w:t xml:space="preserve">e </w:t>
      </w:r>
      <w:r w:rsidR="005D5C68" w:rsidRPr="0019035A">
        <w:rPr>
          <w:rFonts w:cs="Arial"/>
          <w:sz w:val="22"/>
          <w:szCs w:val="22"/>
        </w:rPr>
        <w:t>and, in serious or complex cases, legal representation;</w:t>
      </w:r>
    </w:p>
    <w:p w14:paraId="52B95844" w14:textId="396EE16D" w:rsidR="005D5C68" w:rsidRPr="0019035A" w:rsidRDefault="00711F4E" w:rsidP="0019035A">
      <w:pPr>
        <w:tabs>
          <w:tab w:val="left" w:pos="851"/>
        </w:tabs>
        <w:spacing w:line="360" w:lineRule="auto"/>
        <w:jc w:val="both"/>
        <w:rPr>
          <w:rFonts w:cs="Arial"/>
          <w:sz w:val="22"/>
          <w:szCs w:val="22"/>
        </w:rPr>
      </w:pPr>
      <w:r>
        <w:rPr>
          <w:rFonts w:cs="Arial"/>
          <w:sz w:val="22"/>
          <w:szCs w:val="22"/>
        </w:rPr>
        <w:tab/>
      </w:r>
      <w:r w:rsidR="005D5C68" w:rsidRPr="0019035A">
        <w:rPr>
          <w:rFonts w:cs="Arial"/>
          <w:sz w:val="22"/>
          <w:szCs w:val="22"/>
        </w:rPr>
        <w:t>(</w:t>
      </w:r>
      <w:r w:rsidR="005D5C68" w:rsidRPr="00711F4E">
        <w:rPr>
          <w:rFonts w:cs="Arial"/>
          <w:i/>
          <w:sz w:val="22"/>
          <w:szCs w:val="22"/>
        </w:rPr>
        <w:t>b</w:t>
      </w:r>
      <w:r w:rsidR="005D5C68" w:rsidRPr="0019035A">
        <w:rPr>
          <w:rFonts w:cs="Arial"/>
          <w:sz w:val="22"/>
          <w:szCs w:val="22"/>
        </w:rPr>
        <w:t>)</w:t>
      </w:r>
      <w:r>
        <w:rPr>
          <w:rFonts w:cs="Arial"/>
          <w:sz w:val="22"/>
          <w:szCs w:val="22"/>
        </w:rPr>
        <w:tab/>
      </w:r>
      <w:r w:rsidR="005D5C68" w:rsidRPr="0019035A">
        <w:rPr>
          <w:rFonts w:cs="Arial"/>
          <w:sz w:val="22"/>
          <w:szCs w:val="22"/>
        </w:rPr>
        <w:t>present and dispute information and arguments; and</w:t>
      </w:r>
    </w:p>
    <w:p w14:paraId="2B7C1BDF" w14:textId="4CB8C294" w:rsidR="005D5C68" w:rsidRPr="0019035A" w:rsidRDefault="00711F4E" w:rsidP="0019035A">
      <w:pPr>
        <w:tabs>
          <w:tab w:val="left" w:pos="851"/>
        </w:tabs>
        <w:spacing w:line="360" w:lineRule="auto"/>
        <w:jc w:val="both"/>
        <w:rPr>
          <w:rFonts w:cs="Arial"/>
          <w:sz w:val="22"/>
          <w:szCs w:val="22"/>
        </w:rPr>
      </w:pPr>
      <w:r>
        <w:rPr>
          <w:rFonts w:cs="Arial"/>
          <w:sz w:val="22"/>
          <w:szCs w:val="22"/>
        </w:rPr>
        <w:tab/>
      </w:r>
      <w:r w:rsidR="005D5C68" w:rsidRPr="0019035A">
        <w:rPr>
          <w:rFonts w:cs="Arial"/>
          <w:sz w:val="22"/>
          <w:szCs w:val="22"/>
        </w:rPr>
        <w:t>(c)</w:t>
      </w:r>
      <w:r>
        <w:rPr>
          <w:rFonts w:cs="Arial"/>
          <w:sz w:val="22"/>
          <w:szCs w:val="22"/>
        </w:rPr>
        <w:tab/>
        <w:t>…</w:t>
      </w:r>
    </w:p>
    <w:p w14:paraId="5345F474" w14:textId="670D83ED" w:rsidR="005D5C68" w:rsidRPr="0019035A" w:rsidRDefault="005D5C68" w:rsidP="0019035A">
      <w:pPr>
        <w:tabs>
          <w:tab w:val="left" w:pos="851"/>
        </w:tabs>
        <w:spacing w:line="360" w:lineRule="auto"/>
        <w:jc w:val="both"/>
        <w:rPr>
          <w:rFonts w:cs="Arial"/>
          <w:sz w:val="22"/>
          <w:szCs w:val="22"/>
        </w:rPr>
      </w:pPr>
      <w:r w:rsidRPr="0019035A">
        <w:rPr>
          <w:rFonts w:cs="Arial"/>
          <w:sz w:val="22"/>
          <w:szCs w:val="22"/>
        </w:rPr>
        <w:t>(4)(</w:t>
      </w:r>
      <w:r w:rsidRPr="00711F4E">
        <w:rPr>
          <w:rFonts w:cs="Arial"/>
          <w:i/>
          <w:sz w:val="22"/>
          <w:szCs w:val="22"/>
        </w:rPr>
        <w:t>a</w:t>
      </w:r>
      <w:r w:rsidRPr="0019035A">
        <w:rPr>
          <w:rFonts w:cs="Arial"/>
          <w:sz w:val="22"/>
          <w:szCs w:val="22"/>
        </w:rPr>
        <w:t>) If it is reasonable and justifiable in the circumstances, an administrator may depart from any of the requirements referred to in subsection (2).</w:t>
      </w:r>
    </w:p>
    <w:p w14:paraId="3DBFFA0E" w14:textId="77777777" w:rsidR="005D5C68" w:rsidRPr="0019035A" w:rsidRDefault="005D5C68" w:rsidP="0019035A">
      <w:pPr>
        <w:tabs>
          <w:tab w:val="left" w:pos="851"/>
        </w:tabs>
        <w:spacing w:line="360" w:lineRule="auto"/>
        <w:jc w:val="both"/>
        <w:rPr>
          <w:rFonts w:cs="Arial"/>
          <w:sz w:val="22"/>
          <w:szCs w:val="22"/>
        </w:rPr>
      </w:pPr>
      <w:r w:rsidRPr="00711F4E">
        <w:rPr>
          <w:rFonts w:cs="Arial"/>
          <w:i/>
          <w:sz w:val="22"/>
          <w:szCs w:val="22"/>
        </w:rPr>
        <w:t>(b</w:t>
      </w:r>
      <w:r w:rsidRPr="0019035A">
        <w:rPr>
          <w:rFonts w:cs="Arial"/>
          <w:sz w:val="22"/>
          <w:szCs w:val="22"/>
        </w:rPr>
        <w:t>) In determining whether a departure as contemplated in paragraph (</w:t>
      </w:r>
      <w:r w:rsidRPr="00711F4E">
        <w:rPr>
          <w:rFonts w:cs="Arial"/>
          <w:i/>
          <w:sz w:val="22"/>
          <w:szCs w:val="22"/>
        </w:rPr>
        <w:t>a</w:t>
      </w:r>
      <w:r w:rsidRPr="0019035A">
        <w:rPr>
          <w:rFonts w:cs="Arial"/>
          <w:sz w:val="22"/>
          <w:szCs w:val="22"/>
        </w:rPr>
        <w:t>) is reasonable and justifiable, an administrator must take into account all relevant factors, including-</w:t>
      </w:r>
    </w:p>
    <w:p w14:paraId="08E8C4DB" w14:textId="4BC5DB2F" w:rsidR="005D5C68" w:rsidRPr="0019035A" w:rsidRDefault="00711F4E" w:rsidP="0019035A">
      <w:pPr>
        <w:tabs>
          <w:tab w:val="left" w:pos="851"/>
        </w:tabs>
        <w:spacing w:line="360" w:lineRule="auto"/>
        <w:jc w:val="both"/>
        <w:rPr>
          <w:rFonts w:cs="Arial"/>
          <w:sz w:val="22"/>
          <w:szCs w:val="22"/>
        </w:rPr>
      </w:pPr>
      <w:r>
        <w:rPr>
          <w:rFonts w:cs="Arial"/>
          <w:sz w:val="22"/>
          <w:szCs w:val="22"/>
        </w:rPr>
        <w:tab/>
      </w:r>
      <w:r w:rsidR="005D5C68" w:rsidRPr="0019035A">
        <w:rPr>
          <w:rFonts w:cs="Arial"/>
          <w:sz w:val="22"/>
          <w:szCs w:val="22"/>
        </w:rPr>
        <w:t>(i)</w:t>
      </w:r>
      <w:r>
        <w:rPr>
          <w:rFonts w:cs="Arial"/>
          <w:sz w:val="22"/>
          <w:szCs w:val="22"/>
        </w:rPr>
        <w:tab/>
      </w:r>
      <w:r w:rsidR="005D5C68" w:rsidRPr="0019035A">
        <w:rPr>
          <w:rFonts w:cs="Arial"/>
          <w:sz w:val="22"/>
          <w:szCs w:val="22"/>
        </w:rPr>
        <w:t>the objects of the empowering provision;</w:t>
      </w:r>
    </w:p>
    <w:p w14:paraId="64D4A9E6" w14:textId="3B9AE1DC" w:rsidR="005D5C68" w:rsidRPr="0019035A" w:rsidRDefault="00711F4E" w:rsidP="00711F4E">
      <w:pPr>
        <w:tabs>
          <w:tab w:val="left" w:pos="851"/>
        </w:tabs>
        <w:spacing w:line="360" w:lineRule="auto"/>
        <w:ind w:left="1440" w:hanging="1440"/>
        <w:jc w:val="both"/>
        <w:rPr>
          <w:rFonts w:cs="Arial"/>
          <w:sz w:val="22"/>
          <w:szCs w:val="22"/>
        </w:rPr>
      </w:pPr>
      <w:r>
        <w:rPr>
          <w:rFonts w:cs="Arial"/>
          <w:sz w:val="22"/>
          <w:szCs w:val="22"/>
        </w:rPr>
        <w:tab/>
      </w:r>
      <w:r w:rsidR="005D5C68" w:rsidRPr="0019035A">
        <w:rPr>
          <w:rFonts w:cs="Arial"/>
          <w:sz w:val="22"/>
          <w:szCs w:val="22"/>
        </w:rPr>
        <w:t>(ii)</w:t>
      </w:r>
      <w:r>
        <w:rPr>
          <w:rFonts w:cs="Arial"/>
          <w:sz w:val="22"/>
          <w:szCs w:val="22"/>
        </w:rPr>
        <w:tab/>
      </w:r>
      <w:r w:rsidR="005D5C68" w:rsidRPr="0019035A">
        <w:rPr>
          <w:rFonts w:cs="Arial"/>
          <w:sz w:val="22"/>
          <w:szCs w:val="22"/>
        </w:rPr>
        <w:t>the nature and purpose of, and the need to take, the administrative action;</w:t>
      </w:r>
    </w:p>
    <w:p w14:paraId="4D86BA11" w14:textId="1CCC0870" w:rsidR="005D5C68" w:rsidRPr="0019035A" w:rsidRDefault="00711F4E" w:rsidP="0019035A">
      <w:pPr>
        <w:tabs>
          <w:tab w:val="left" w:pos="851"/>
        </w:tabs>
        <w:spacing w:line="360" w:lineRule="auto"/>
        <w:jc w:val="both"/>
        <w:rPr>
          <w:rFonts w:cs="Arial"/>
          <w:sz w:val="22"/>
          <w:szCs w:val="22"/>
        </w:rPr>
      </w:pPr>
      <w:r>
        <w:rPr>
          <w:rFonts w:cs="Arial"/>
          <w:sz w:val="22"/>
          <w:szCs w:val="22"/>
        </w:rPr>
        <w:tab/>
      </w:r>
      <w:r w:rsidR="005D5C68" w:rsidRPr="0019035A">
        <w:rPr>
          <w:rFonts w:cs="Arial"/>
          <w:sz w:val="22"/>
          <w:szCs w:val="22"/>
        </w:rPr>
        <w:t>(iii)</w:t>
      </w:r>
      <w:r>
        <w:rPr>
          <w:rFonts w:cs="Arial"/>
          <w:sz w:val="22"/>
          <w:szCs w:val="22"/>
        </w:rPr>
        <w:tab/>
      </w:r>
      <w:r w:rsidR="005D5C68" w:rsidRPr="0019035A">
        <w:rPr>
          <w:rFonts w:cs="Arial"/>
          <w:sz w:val="22"/>
          <w:szCs w:val="22"/>
        </w:rPr>
        <w:t>the likely effect of the administrative action;</w:t>
      </w:r>
    </w:p>
    <w:p w14:paraId="449CEC07" w14:textId="46105A29" w:rsidR="005D5C68" w:rsidRPr="0019035A" w:rsidRDefault="00711F4E" w:rsidP="00711F4E">
      <w:pPr>
        <w:tabs>
          <w:tab w:val="left" w:pos="851"/>
        </w:tabs>
        <w:spacing w:line="360" w:lineRule="auto"/>
        <w:ind w:left="1440" w:hanging="1440"/>
        <w:jc w:val="both"/>
        <w:rPr>
          <w:rFonts w:cs="Arial"/>
          <w:sz w:val="22"/>
          <w:szCs w:val="22"/>
        </w:rPr>
      </w:pPr>
      <w:r>
        <w:rPr>
          <w:rFonts w:cs="Arial"/>
          <w:sz w:val="22"/>
          <w:szCs w:val="22"/>
        </w:rPr>
        <w:tab/>
      </w:r>
      <w:r w:rsidR="005D5C68" w:rsidRPr="0019035A">
        <w:rPr>
          <w:rFonts w:cs="Arial"/>
          <w:sz w:val="22"/>
          <w:szCs w:val="22"/>
        </w:rPr>
        <w:t>(iv)</w:t>
      </w:r>
      <w:r>
        <w:rPr>
          <w:rFonts w:cs="Arial"/>
          <w:sz w:val="22"/>
          <w:szCs w:val="22"/>
        </w:rPr>
        <w:tab/>
      </w:r>
      <w:r w:rsidR="005D5C68" w:rsidRPr="0019035A">
        <w:rPr>
          <w:rFonts w:cs="Arial"/>
          <w:sz w:val="22"/>
          <w:szCs w:val="22"/>
        </w:rPr>
        <w:t>the urgency of taking the administrative action or the urgency of the matter; and</w:t>
      </w:r>
    </w:p>
    <w:p w14:paraId="4B280D82" w14:textId="2A86656E" w:rsidR="005D5C68" w:rsidRPr="0019035A" w:rsidRDefault="00711F4E" w:rsidP="0019035A">
      <w:pPr>
        <w:tabs>
          <w:tab w:val="left" w:pos="851"/>
        </w:tabs>
        <w:spacing w:line="360" w:lineRule="auto"/>
        <w:jc w:val="both"/>
        <w:rPr>
          <w:rFonts w:cs="Arial"/>
          <w:sz w:val="22"/>
          <w:szCs w:val="22"/>
        </w:rPr>
      </w:pPr>
      <w:r>
        <w:rPr>
          <w:rFonts w:cs="Arial"/>
          <w:sz w:val="22"/>
          <w:szCs w:val="22"/>
        </w:rPr>
        <w:tab/>
      </w:r>
      <w:r w:rsidR="005D5C68" w:rsidRPr="0019035A">
        <w:rPr>
          <w:rFonts w:cs="Arial"/>
          <w:sz w:val="22"/>
          <w:szCs w:val="22"/>
        </w:rPr>
        <w:t>(v)</w:t>
      </w:r>
      <w:r>
        <w:rPr>
          <w:rFonts w:cs="Arial"/>
          <w:sz w:val="22"/>
          <w:szCs w:val="22"/>
        </w:rPr>
        <w:tab/>
      </w:r>
      <w:r w:rsidR="005D5C68" w:rsidRPr="0019035A">
        <w:rPr>
          <w:rFonts w:cs="Arial"/>
          <w:sz w:val="22"/>
          <w:szCs w:val="22"/>
        </w:rPr>
        <w:t>the need to promote an efficient administration and good governance.</w:t>
      </w:r>
      <w:r w:rsidR="0019035A">
        <w:rPr>
          <w:rFonts w:cs="Arial"/>
          <w:sz w:val="22"/>
          <w:szCs w:val="22"/>
        </w:rPr>
        <w:t>’</w:t>
      </w:r>
    </w:p>
    <w:p w14:paraId="5A9B133C" w14:textId="77777777" w:rsidR="005D5C68" w:rsidRPr="0019035A" w:rsidRDefault="005D5C68" w:rsidP="0019035A">
      <w:pPr>
        <w:tabs>
          <w:tab w:val="left" w:pos="851"/>
        </w:tabs>
        <w:spacing w:line="360" w:lineRule="auto"/>
        <w:jc w:val="both"/>
        <w:rPr>
          <w:rFonts w:cs="Arial"/>
        </w:rPr>
      </w:pPr>
    </w:p>
    <w:p w14:paraId="0A3DCAEE" w14:textId="20628823" w:rsidR="005D5C68" w:rsidRPr="0019035A" w:rsidRDefault="00800158" w:rsidP="00800158">
      <w:pPr>
        <w:tabs>
          <w:tab w:val="left" w:pos="851"/>
        </w:tabs>
        <w:spacing w:line="360" w:lineRule="auto"/>
        <w:jc w:val="both"/>
        <w:rPr>
          <w:rFonts w:cs="Arial"/>
        </w:rPr>
      </w:pPr>
      <w:r w:rsidRPr="0019035A">
        <w:rPr>
          <w:rFonts w:cs="Arial"/>
        </w:rPr>
        <w:t>[23]</w:t>
      </w:r>
      <w:r w:rsidRPr="0019035A">
        <w:rPr>
          <w:rFonts w:cs="Arial"/>
        </w:rPr>
        <w:tab/>
      </w:r>
      <w:r w:rsidR="0019035A">
        <w:rPr>
          <w:rFonts w:cs="Arial"/>
        </w:rPr>
        <w:t xml:space="preserve">Section </w:t>
      </w:r>
      <w:r w:rsidR="005D5C68" w:rsidRPr="0019035A">
        <w:rPr>
          <w:rFonts w:cs="Arial"/>
        </w:rPr>
        <w:t xml:space="preserve">1(c) of the Constitution reads: </w:t>
      </w:r>
    </w:p>
    <w:p w14:paraId="11467735" w14:textId="77777777" w:rsidR="00DC5D39" w:rsidRDefault="0019035A" w:rsidP="0019035A">
      <w:pPr>
        <w:tabs>
          <w:tab w:val="left" w:pos="851"/>
        </w:tabs>
        <w:spacing w:line="360" w:lineRule="auto"/>
        <w:jc w:val="both"/>
        <w:rPr>
          <w:rFonts w:cs="Arial"/>
          <w:sz w:val="22"/>
          <w:szCs w:val="22"/>
        </w:rPr>
      </w:pPr>
      <w:r>
        <w:rPr>
          <w:rFonts w:cs="Arial"/>
          <w:sz w:val="22"/>
          <w:szCs w:val="22"/>
        </w:rPr>
        <w:t>‘</w:t>
      </w:r>
      <w:r w:rsidR="005D5C68" w:rsidRPr="0019035A">
        <w:rPr>
          <w:rFonts w:cs="Arial"/>
          <w:sz w:val="22"/>
          <w:szCs w:val="22"/>
        </w:rPr>
        <w:t>(1) Everyone has the right to freedom and security of the person, which includes the right</w:t>
      </w:r>
      <w:r w:rsidR="00DC5D39">
        <w:rPr>
          <w:rFonts w:cs="Arial"/>
          <w:sz w:val="22"/>
          <w:szCs w:val="22"/>
        </w:rPr>
        <w:t>-</w:t>
      </w:r>
    </w:p>
    <w:p w14:paraId="2D2341AC" w14:textId="41637A95" w:rsidR="00DC5D39" w:rsidRPr="00800158" w:rsidRDefault="00800158" w:rsidP="00800158">
      <w:pPr>
        <w:tabs>
          <w:tab w:val="left" w:pos="851"/>
        </w:tabs>
        <w:spacing w:line="360" w:lineRule="auto"/>
        <w:ind w:left="720" w:hanging="360"/>
        <w:jc w:val="both"/>
        <w:rPr>
          <w:rFonts w:cs="Arial"/>
          <w:sz w:val="22"/>
          <w:szCs w:val="22"/>
        </w:rPr>
      </w:pPr>
      <w:r w:rsidRPr="00DC5D39">
        <w:rPr>
          <w:rFonts w:cs="Arial"/>
          <w:sz w:val="22"/>
          <w:szCs w:val="22"/>
        </w:rPr>
        <w:t>(a)</w:t>
      </w:r>
      <w:r w:rsidRPr="00DC5D39">
        <w:rPr>
          <w:rFonts w:cs="Arial"/>
          <w:sz w:val="22"/>
          <w:szCs w:val="22"/>
        </w:rPr>
        <w:tab/>
      </w:r>
      <w:r w:rsidR="00DC5D39" w:rsidRPr="00800158">
        <w:rPr>
          <w:rFonts w:cs="Arial"/>
          <w:sz w:val="22"/>
          <w:szCs w:val="22"/>
        </w:rPr>
        <w:t>…</w:t>
      </w:r>
    </w:p>
    <w:p w14:paraId="1D714E24" w14:textId="7FA0C01C" w:rsidR="00DC5D39" w:rsidRPr="00800158" w:rsidRDefault="00800158" w:rsidP="00800158">
      <w:pPr>
        <w:tabs>
          <w:tab w:val="left" w:pos="851"/>
        </w:tabs>
        <w:spacing w:line="360" w:lineRule="auto"/>
        <w:ind w:left="720" w:hanging="360"/>
        <w:jc w:val="both"/>
        <w:rPr>
          <w:rFonts w:cs="Arial"/>
          <w:sz w:val="22"/>
          <w:szCs w:val="22"/>
        </w:rPr>
      </w:pPr>
      <w:r w:rsidRPr="00DC5D39">
        <w:rPr>
          <w:rFonts w:cs="Arial"/>
          <w:sz w:val="22"/>
          <w:szCs w:val="22"/>
        </w:rPr>
        <w:t>(b)</w:t>
      </w:r>
      <w:r w:rsidRPr="00DC5D39">
        <w:rPr>
          <w:rFonts w:cs="Arial"/>
          <w:sz w:val="22"/>
          <w:szCs w:val="22"/>
        </w:rPr>
        <w:tab/>
      </w:r>
      <w:r w:rsidR="00DC5D39" w:rsidRPr="00800158">
        <w:rPr>
          <w:rFonts w:cs="Arial"/>
          <w:sz w:val="22"/>
          <w:szCs w:val="22"/>
        </w:rPr>
        <w:tab/>
      </w:r>
    </w:p>
    <w:p w14:paraId="74C96D83" w14:textId="176FAF33" w:rsidR="00DC5D39" w:rsidRPr="00800158" w:rsidRDefault="00800158" w:rsidP="00800158">
      <w:pPr>
        <w:tabs>
          <w:tab w:val="left" w:pos="851"/>
        </w:tabs>
        <w:spacing w:line="360" w:lineRule="auto"/>
        <w:ind w:left="720" w:hanging="360"/>
        <w:jc w:val="both"/>
        <w:rPr>
          <w:rFonts w:cs="Arial"/>
          <w:sz w:val="22"/>
          <w:szCs w:val="22"/>
        </w:rPr>
      </w:pPr>
      <w:r>
        <w:rPr>
          <w:rFonts w:cs="Arial"/>
          <w:sz w:val="22"/>
          <w:szCs w:val="22"/>
        </w:rPr>
        <w:t>(c)</w:t>
      </w:r>
      <w:r>
        <w:rPr>
          <w:rFonts w:cs="Arial"/>
          <w:sz w:val="22"/>
          <w:szCs w:val="22"/>
        </w:rPr>
        <w:tab/>
      </w:r>
      <w:r w:rsidR="005D5C68" w:rsidRPr="00800158">
        <w:rPr>
          <w:rFonts w:cs="Arial"/>
          <w:sz w:val="22"/>
          <w:szCs w:val="22"/>
        </w:rPr>
        <w:t xml:space="preserve"> to be free from all forms of violence from either public or private sources; </w:t>
      </w:r>
    </w:p>
    <w:p w14:paraId="05C667ED" w14:textId="40C90135" w:rsidR="005D5C68" w:rsidRPr="00800158" w:rsidRDefault="00800158" w:rsidP="00800158">
      <w:pPr>
        <w:tabs>
          <w:tab w:val="left" w:pos="851"/>
        </w:tabs>
        <w:spacing w:line="360" w:lineRule="auto"/>
        <w:ind w:left="720" w:hanging="360"/>
        <w:jc w:val="both"/>
        <w:rPr>
          <w:rFonts w:cs="Arial"/>
          <w:sz w:val="22"/>
          <w:szCs w:val="22"/>
        </w:rPr>
      </w:pPr>
      <w:r w:rsidRPr="0019035A">
        <w:rPr>
          <w:rFonts w:cs="Arial"/>
          <w:sz w:val="22"/>
          <w:szCs w:val="22"/>
        </w:rPr>
        <w:t>(d)</w:t>
      </w:r>
      <w:r w:rsidRPr="0019035A">
        <w:rPr>
          <w:rFonts w:cs="Arial"/>
          <w:sz w:val="22"/>
          <w:szCs w:val="22"/>
        </w:rPr>
        <w:tab/>
      </w:r>
      <w:r w:rsidR="00DC5D39" w:rsidRPr="00800158">
        <w:rPr>
          <w:rFonts w:cs="Arial"/>
          <w:sz w:val="22"/>
          <w:szCs w:val="22"/>
        </w:rPr>
        <w:t>…’</w:t>
      </w:r>
    </w:p>
    <w:p w14:paraId="278DAE1D" w14:textId="77777777" w:rsidR="005D5C68" w:rsidRPr="0019035A" w:rsidRDefault="005D5C68" w:rsidP="0019035A">
      <w:pPr>
        <w:tabs>
          <w:tab w:val="left" w:pos="851"/>
        </w:tabs>
        <w:spacing w:line="360" w:lineRule="auto"/>
        <w:jc w:val="both"/>
        <w:rPr>
          <w:rFonts w:cs="Arial"/>
        </w:rPr>
      </w:pPr>
    </w:p>
    <w:p w14:paraId="015D5F2A" w14:textId="505D54DF" w:rsidR="005D5C68" w:rsidRPr="0019035A" w:rsidRDefault="00800158" w:rsidP="00800158">
      <w:pPr>
        <w:tabs>
          <w:tab w:val="left" w:pos="851"/>
        </w:tabs>
        <w:spacing w:line="360" w:lineRule="auto"/>
        <w:jc w:val="both"/>
        <w:rPr>
          <w:rFonts w:cs="Arial"/>
        </w:rPr>
      </w:pPr>
      <w:r w:rsidRPr="0019035A">
        <w:rPr>
          <w:rFonts w:cs="Arial"/>
        </w:rPr>
        <w:t>[24]</w:t>
      </w:r>
      <w:r w:rsidRPr="0019035A">
        <w:rPr>
          <w:rFonts w:cs="Arial"/>
        </w:rPr>
        <w:tab/>
      </w:r>
      <w:r w:rsidR="005D5C68" w:rsidRPr="0019035A">
        <w:rPr>
          <w:rFonts w:cs="Arial"/>
        </w:rPr>
        <w:t xml:space="preserve">The </w:t>
      </w:r>
      <w:r w:rsidR="00306B12">
        <w:rPr>
          <w:rFonts w:cs="Arial"/>
        </w:rPr>
        <w:t>A</w:t>
      </w:r>
      <w:r w:rsidR="005D5C68" w:rsidRPr="0019035A">
        <w:rPr>
          <w:rFonts w:cs="Arial"/>
        </w:rPr>
        <w:t xml:space="preserve">pplicants aver </w:t>
      </w:r>
      <w:r w:rsidR="00260B5A">
        <w:rPr>
          <w:rFonts w:cs="Arial"/>
        </w:rPr>
        <w:t xml:space="preserve">that </w:t>
      </w:r>
      <w:r w:rsidR="005D5C68" w:rsidRPr="0019035A">
        <w:rPr>
          <w:rFonts w:cs="Arial"/>
        </w:rPr>
        <w:t xml:space="preserve">their rights in terms of the </w:t>
      </w:r>
      <w:r w:rsidR="002D62A8">
        <w:rPr>
          <w:rFonts w:cs="Arial"/>
        </w:rPr>
        <w:t>C</w:t>
      </w:r>
      <w:r w:rsidR="005D5C68" w:rsidRPr="0019035A">
        <w:rPr>
          <w:rFonts w:cs="Arial"/>
        </w:rPr>
        <w:t>onstitution, which I refer to hereunder, have been infringed:</w:t>
      </w:r>
    </w:p>
    <w:p w14:paraId="22057FB3" w14:textId="2B258F5B" w:rsidR="005D5C68" w:rsidRPr="0077457A" w:rsidRDefault="0077457A" w:rsidP="0077457A">
      <w:pPr>
        <w:tabs>
          <w:tab w:val="left" w:pos="851"/>
        </w:tabs>
        <w:spacing w:line="360" w:lineRule="auto"/>
        <w:ind w:left="720" w:hanging="720"/>
        <w:jc w:val="both"/>
        <w:rPr>
          <w:rFonts w:cs="Arial"/>
        </w:rPr>
      </w:pPr>
      <w:r w:rsidRPr="0077457A">
        <w:rPr>
          <w:rFonts w:cs="Arial"/>
        </w:rPr>
        <w:t>(a)</w:t>
      </w:r>
      <w:r w:rsidRPr="0077457A">
        <w:rPr>
          <w:rFonts w:cs="Arial"/>
        </w:rPr>
        <w:tab/>
      </w:r>
      <w:r w:rsidR="005D5C68" w:rsidRPr="0077457A">
        <w:rPr>
          <w:rFonts w:cs="Arial"/>
        </w:rPr>
        <w:t>s</w:t>
      </w:r>
      <w:r w:rsidRPr="0077457A">
        <w:rPr>
          <w:rFonts w:cs="Arial"/>
        </w:rPr>
        <w:t xml:space="preserve"> </w:t>
      </w:r>
      <w:r w:rsidR="005D5C68" w:rsidRPr="0077457A">
        <w:rPr>
          <w:rFonts w:cs="Arial"/>
        </w:rPr>
        <w:t xml:space="preserve">10 - </w:t>
      </w:r>
      <w:r w:rsidR="00306B12">
        <w:rPr>
          <w:rFonts w:cs="Arial"/>
        </w:rPr>
        <w:t>e</w:t>
      </w:r>
      <w:r w:rsidR="005D5C68" w:rsidRPr="0077457A">
        <w:rPr>
          <w:rFonts w:cs="Arial"/>
        </w:rPr>
        <w:t>veryone has inherent dignity and the right to have their dignity respected and protected</w:t>
      </w:r>
      <w:r w:rsidR="00DC5D39">
        <w:rPr>
          <w:rFonts w:cs="Arial"/>
        </w:rPr>
        <w:t>;</w:t>
      </w:r>
    </w:p>
    <w:p w14:paraId="610856C5" w14:textId="4755BF43" w:rsidR="005D5C68" w:rsidRPr="0077457A" w:rsidRDefault="0077457A" w:rsidP="0077457A">
      <w:pPr>
        <w:tabs>
          <w:tab w:val="left" w:pos="851"/>
        </w:tabs>
        <w:spacing w:line="360" w:lineRule="auto"/>
        <w:ind w:left="720" w:hanging="720"/>
        <w:jc w:val="both"/>
        <w:rPr>
          <w:rFonts w:cs="Arial"/>
        </w:rPr>
      </w:pPr>
      <w:r w:rsidRPr="0077457A">
        <w:rPr>
          <w:rFonts w:cs="Arial"/>
        </w:rPr>
        <w:t>(b)</w:t>
      </w:r>
      <w:r w:rsidRPr="0077457A">
        <w:rPr>
          <w:rFonts w:cs="Arial"/>
        </w:rPr>
        <w:tab/>
      </w:r>
      <w:r w:rsidR="005D5C68" w:rsidRPr="0077457A">
        <w:rPr>
          <w:rFonts w:cs="Arial"/>
        </w:rPr>
        <w:t>s</w:t>
      </w:r>
      <w:r w:rsidRPr="0077457A">
        <w:rPr>
          <w:rFonts w:cs="Arial"/>
        </w:rPr>
        <w:t xml:space="preserve"> </w:t>
      </w:r>
      <w:r w:rsidR="005D5C68" w:rsidRPr="0077457A">
        <w:rPr>
          <w:rFonts w:cs="Arial"/>
        </w:rPr>
        <w:t xml:space="preserve">17 - </w:t>
      </w:r>
      <w:r w:rsidR="00306B12">
        <w:rPr>
          <w:rFonts w:cs="Arial"/>
        </w:rPr>
        <w:t>e</w:t>
      </w:r>
      <w:r w:rsidR="005D5C68" w:rsidRPr="0077457A">
        <w:rPr>
          <w:rFonts w:cs="Arial"/>
        </w:rPr>
        <w:t>veryone has the right, peacefully and unarmed, to assemble, to demonstrate, to picket and to present petitions</w:t>
      </w:r>
      <w:r w:rsidR="00DC5D39">
        <w:rPr>
          <w:rFonts w:cs="Arial"/>
        </w:rPr>
        <w:t>; and</w:t>
      </w:r>
    </w:p>
    <w:p w14:paraId="459025D9" w14:textId="1961843E" w:rsidR="005D5C68" w:rsidRPr="0077457A" w:rsidRDefault="0077457A" w:rsidP="0077457A">
      <w:pPr>
        <w:tabs>
          <w:tab w:val="left" w:pos="851"/>
        </w:tabs>
        <w:spacing w:line="360" w:lineRule="auto"/>
        <w:ind w:left="720" w:hanging="720"/>
        <w:jc w:val="both"/>
        <w:rPr>
          <w:rFonts w:cs="Arial"/>
        </w:rPr>
      </w:pPr>
      <w:r w:rsidRPr="0077457A">
        <w:rPr>
          <w:rFonts w:cs="Arial"/>
        </w:rPr>
        <w:t>(c)</w:t>
      </w:r>
      <w:r w:rsidRPr="0077457A">
        <w:rPr>
          <w:rFonts w:cs="Arial"/>
        </w:rPr>
        <w:tab/>
      </w:r>
      <w:r w:rsidR="005D5C68" w:rsidRPr="0077457A">
        <w:rPr>
          <w:rFonts w:cs="Arial"/>
        </w:rPr>
        <w:t>s</w:t>
      </w:r>
      <w:r w:rsidR="00306B12">
        <w:rPr>
          <w:rFonts w:cs="Arial"/>
        </w:rPr>
        <w:t xml:space="preserve"> </w:t>
      </w:r>
      <w:r w:rsidR="005D5C68" w:rsidRPr="0077457A">
        <w:rPr>
          <w:rFonts w:cs="Arial"/>
        </w:rPr>
        <w:t>29(1)(</w:t>
      </w:r>
      <w:r w:rsidR="005D5C68" w:rsidRPr="00260B5A">
        <w:rPr>
          <w:rFonts w:cs="Arial"/>
          <w:i/>
        </w:rPr>
        <w:t>b</w:t>
      </w:r>
      <w:r w:rsidR="005D5C68" w:rsidRPr="0077457A">
        <w:rPr>
          <w:rFonts w:cs="Arial"/>
        </w:rPr>
        <w:t xml:space="preserve">) - </w:t>
      </w:r>
      <w:r w:rsidR="00306B12">
        <w:rPr>
          <w:rFonts w:cs="Arial"/>
        </w:rPr>
        <w:t>e</w:t>
      </w:r>
      <w:r w:rsidR="005D5C68" w:rsidRPr="0077457A">
        <w:rPr>
          <w:rFonts w:cs="Arial"/>
        </w:rPr>
        <w:t>veryone has the right</w:t>
      </w:r>
      <w:r w:rsidR="00DC5D39">
        <w:rPr>
          <w:rFonts w:cs="Arial"/>
        </w:rPr>
        <w:t xml:space="preserve"> </w:t>
      </w:r>
      <w:r w:rsidR="005D5C68" w:rsidRPr="0077457A">
        <w:rPr>
          <w:rFonts w:cs="Arial"/>
        </w:rPr>
        <w:t>to further education, which the state, through reasonable measures, must make progressively available and accessible.</w:t>
      </w:r>
    </w:p>
    <w:p w14:paraId="2562F180" w14:textId="77777777" w:rsidR="005D5C68" w:rsidRPr="0019035A" w:rsidRDefault="005D5C68" w:rsidP="0019035A">
      <w:pPr>
        <w:tabs>
          <w:tab w:val="left" w:pos="851"/>
        </w:tabs>
        <w:spacing w:line="360" w:lineRule="auto"/>
        <w:jc w:val="both"/>
        <w:rPr>
          <w:rFonts w:cs="Arial"/>
        </w:rPr>
      </w:pPr>
    </w:p>
    <w:p w14:paraId="646EE311" w14:textId="02FBC8C9" w:rsidR="00C1025E" w:rsidRPr="0019035A" w:rsidRDefault="00C1025E" w:rsidP="0019035A">
      <w:pPr>
        <w:tabs>
          <w:tab w:val="left" w:pos="851"/>
        </w:tabs>
        <w:spacing w:line="360" w:lineRule="auto"/>
        <w:jc w:val="both"/>
        <w:rPr>
          <w:rFonts w:cs="Arial"/>
          <w:b/>
          <w:bCs/>
        </w:rPr>
      </w:pPr>
      <w:r w:rsidRPr="0019035A">
        <w:rPr>
          <w:rFonts w:cs="Arial"/>
          <w:b/>
          <w:bCs/>
        </w:rPr>
        <w:t>Clauses to be declared unconstitutional</w:t>
      </w:r>
    </w:p>
    <w:p w14:paraId="24027F14" w14:textId="08B9862E" w:rsidR="008161D4" w:rsidRPr="0019035A" w:rsidRDefault="00800158" w:rsidP="00800158">
      <w:pPr>
        <w:tabs>
          <w:tab w:val="left" w:pos="851"/>
        </w:tabs>
        <w:spacing w:line="360" w:lineRule="auto"/>
        <w:jc w:val="both"/>
        <w:rPr>
          <w:rFonts w:cs="Arial"/>
        </w:rPr>
      </w:pPr>
      <w:r w:rsidRPr="0019035A">
        <w:rPr>
          <w:rFonts w:cs="Arial"/>
        </w:rPr>
        <w:t>[25]</w:t>
      </w:r>
      <w:r w:rsidRPr="0019035A">
        <w:rPr>
          <w:rFonts w:cs="Arial"/>
        </w:rPr>
        <w:tab/>
      </w:r>
      <w:r w:rsidR="003B49AB" w:rsidRPr="0019035A">
        <w:rPr>
          <w:rFonts w:cs="Arial"/>
        </w:rPr>
        <w:t xml:space="preserve">The </w:t>
      </w:r>
      <w:r w:rsidR="00DC5D39">
        <w:rPr>
          <w:rFonts w:cs="Arial"/>
        </w:rPr>
        <w:t>A</w:t>
      </w:r>
      <w:r w:rsidR="008161D4" w:rsidRPr="0019035A">
        <w:rPr>
          <w:rFonts w:cs="Arial"/>
        </w:rPr>
        <w:t>pplicant</w:t>
      </w:r>
      <w:r w:rsidR="003B49AB" w:rsidRPr="0019035A">
        <w:rPr>
          <w:rFonts w:cs="Arial"/>
        </w:rPr>
        <w:t>s</w:t>
      </w:r>
      <w:r w:rsidR="008161D4" w:rsidRPr="0019035A">
        <w:rPr>
          <w:rFonts w:cs="Arial"/>
        </w:rPr>
        <w:t xml:space="preserve"> seek an order that </w:t>
      </w:r>
      <w:r w:rsidR="00A813F3">
        <w:rPr>
          <w:rFonts w:cs="Arial"/>
        </w:rPr>
        <w:t xml:space="preserve">the following sections </w:t>
      </w:r>
      <w:r w:rsidR="008161D4" w:rsidRPr="0019035A">
        <w:rPr>
          <w:rFonts w:cs="Arial"/>
        </w:rPr>
        <w:t>of the general rules</w:t>
      </w:r>
      <w:r w:rsidR="00122148" w:rsidRPr="0019035A">
        <w:rPr>
          <w:rStyle w:val="FootnoteReference"/>
          <w:rFonts w:cs="Arial"/>
        </w:rPr>
        <w:footnoteReference w:id="12"/>
      </w:r>
      <w:r w:rsidR="008161D4" w:rsidRPr="0019035A">
        <w:rPr>
          <w:rFonts w:cs="Arial"/>
        </w:rPr>
        <w:t xml:space="preserve"> be declared unlawful, invalid and unconstitutional:</w:t>
      </w:r>
    </w:p>
    <w:p w14:paraId="170A52AB" w14:textId="303F7DE4" w:rsidR="00965ADF" w:rsidRPr="002D62A8" w:rsidRDefault="002D62A8" w:rsidP="002D62A8">
      <w:pPr>
        <w:tabs>
          <w:tab w:val="left" w:pos="851"/>
        </w:tabs>
        <w:spacing w:line="360" w:lineRule="auto"/>
        <w:jc w:val="both"/>
        <w:rPr>
          <w:rFonts w:cs="Arial"/>
        </w:rPr>
      </w:pPr>
      <w:r>
        <w:rPr>
          <w:rFonts w:cs="Arial"/>
        </w:rPr>
        <w:t>(a)</w:t>
      </w:r>
      <w:r>
        <w:rPr>
          <w:rFonts w:cs="Arial"/>
        </w:rPr>
        <w:tab/>
      </w:r>
      <w:r w:rsidR="00DC5D39">
        <w:rPr>
          <w:rFonts w:cs="Arial"/>
        </w:rPr>
        <w:t>S</w:t>
      </w:r>
      <w:r w:rsidR="008161D4" w:rsidRPr="002D62A8">
        <w:rPr>
          <w:rFonts w:cs="Arial"/>
        </w:rPr>
        <w:t>ection G.26.1(e) which reads as follows</w:t>
      </w:r>
      <w:r w:rsidR="00965ADF" w:rsidRPr="002D62A8">
        <w:rPr>
          <w:rFonts w:cs="Arial"/>
        </w:rPr>
        <w:t>:</w:t>
      </w:r>
    </w:p>
    <w:p w14:paraId="1EBB5747" w14:textId="0C7F46A6" w:rsidR="00965ADF" w:rsidRPr="0019035A" w:rsidRDefault="00965ADF" w:rsidP="00DC5D39">
      <w:pPr>
        <w:spacing w:line="360" w:lineRule="auto"/>
        <w:ind w:left="720" w:hanging="720"/>
        <w:jc w:val="both"/>
        <w:rPr>
          <w:rFonts w:cs="Arial"/>
          <w:sz w:val="22"/>
        </w:rPr>
      </w:pPr>
      <w:r w:rsidRPr="0019035A">
        <w:rPr>
          <w:rFonts w:cs="Arial"/>
          <w:sz w:val="22"/>
        </w:rPr>
        <w:t>‘</w:t>
      </w:r>
      <w:r w:rsidR="005D1D9C" w:rsidRPr="0019035A">
        <w:rPr>
          <w:rFonts w:cs="Arial"/>
          <w:sz w:val="22"/>
        </w:rPr>
        <w:t>e</w:t>
      </w:r>
      <w:r w:rsidRPr="0019035A">
        <w:rPr>
          <w:rFonts w:cs="Arial"/>
          <w:sz w:val="22"/>
        </w:rPr>
        <w:t>.</w:t>
      </w:r>
      <w:r w:rsidRPr="0019035A">
        <w:rPr>
          <w:rFonts w:cs="Arial"/>
          <w:sz w:val="22"/>
        </w:rPr>
        <w:tab/>
      </w:r>
      <w:r w:rsidR="00153D75" w:rsidRPr="0019035A">
        <w:rPr>
          <w:rFonts w:cs="Arial"/>
          <w:sz w:val="22"/>
        </w:rPr>
        <w:t>T</w:t>
      </w:r>
      <w:r w:rsidRPr="0019035A">
        <w:rPr>
          <w:rFonts w:cs="Arial"/>
          <w:sz w:val="22"/>
        </w:rPr>
        <w:t xml:space="preserve">he </w:t>
      </w:r>
      <w:r w:rsidR="00260B5A">
        <w:rPr>
          <w:rFonts w:cs="Arial"/>
          <w:sz w:val="22"/>
        </w:rPr>
        <w:t>P</w:t>
      </w:r>
      <w:r w:rsidRPr="0019035A">
        <w:rPr>
          <w:rFonts w:cs="Arial"/>
          <w:sz w:val="22"/>
        </w:rPr>
        <w:t xml:space="preserve">rincipal or any person authorised by him may, when he regards </w:t>
      </w:r>
      <w:r w:rsidR="00DC5D39">
        <w:rPr>
          <w:rFonts w:cs="Arial"/>
          <w:sz w:val="22"/>
        </w:rPr>
        <w:t>it</w:t>
      </w:r>
      <w:r w:rsidRPr="0019035A">
        <w:rPr>
          <w:rFonts w:cs="Arial"/>
          <w:sz w:val="22"/>
        </w:rPr>
        <w:t xml:space="preserve"> appropriate, suspend a student against whom a charge, accusation or allegation has been instituted for a period determined by him, i.e. he may prohibit the student to:</w:t>
      </w:r>
    </w:p>
    <w:p w14:paraId="5EF2E02D" w14:textId="77777777" w:rsidR="00965ADF" w:rsidRPr="0019035A" w:rsidRDefault="00965ADF" w:rsidP="0019035A">
      <w:pPr>
        <w:spacing w:line="360" w:lineRule="auto"/>
        <w:ind w:left="2880" w:hanging="720"/>
        <w:jc w:val="both"/>
        <w:rPr>
          <w:rFonts w:cs="Arial"/>
          <w:sz w:val="22"/>
        </w:rPr>
      </w:pPr>
    </w:p>
    <w:p w14:paraId="00A35A8A" w14:textId="3E2B3B19" w:rsidR="00965ADF" w:rsidRPr="0019035A" w:rsidRDefault="00BB2F2A" w:rsidP="00DC5D39">
      <w:pPr>
        <w:spacing w:line="360" w:lineRule="auto"/>
        <w:ind w:firstLine="720"/>
        <w:jc w:val="both"/>
        <w:rPr>
          <w:rFonts w:cs="Arial"/>
          <w:sz w:val="22"/>
        </w:rPr>
      </w:pPr>
      <w:r>
        <w:rPr>
          <w:rFonts w:cs="Arial"/>
          <w:sz w:val="22"/>
        </w:rPr>
        <w:t>i.</w:t>
      </w:r>
      <w:r>
        <w:rPr>
          <w:rFonts w:cs="Arial"/>
          <w:sz w:val="22"/>
        </w:rPr>
        <w:tab/>
      </w:r>
      <w:r w:rsidR="00965ADF" w:rsidRPr="00BB2F2A">
        <w:rPr>
          <w:rFonts w:cs="Arial"/>
          <w:sz w:val="22"/>
        </w:rPr>
        <w:t xml:space="preserve">enter any premises or residence of the </w:t>
      </w:r>
      <w:r w:rsidR="00DC5D39">
        <w:rPr>
          <w:rFonts w:cs="Arial"/>
          <w:sz w:val="22"/>
        </w:rPr>
        <w:t>U</w:t>
      </w:r>
      <w:r w:rsidR="00965ADF" w:rsidRPr="00BB2F2A">
        <w:rPr>
          <w:rFonts w:cs="Arial"/>
          <w:sz w:val="22"/>
        </w:rPr>
        <w:t>niversity, or any part thereof;</w:t>
      </w:r>
    </w:p>
    <w:p w14:paraId="5D4D959C" w14:textId="7F415728" w:rsidR="00965ADF" w:rsidRPr="00800158" w:rsidRDefault="00800158" w:rsidP="00800158">
      <w:pPr>
        <w:spacing w:line="360" w:lineRule="auto"/>
        <w:ind w:left="1440" w:hanging="720"/>
        <w:jc w:val="both"/>
        <w:rPr>
          <w:rFonts w:cs="Arial"/>
          <w:sz w:val="22"/>
        </w:rPr>
      </w:pPr>
      <w:r w:rsidRPr="00BB2F2A">
        <w:rPr>
          <w:rFonts w:cs="Arial"/>
          <w:sz w:val="22"/>
        </w:rPr>
        <w:t>ii.</w:t>
      </w:r>
      <w:r w:rsidRPr="00BB2F2A">
        <w:rPr>
          <w:rFonts w:cs="Arial"/>
          <w:sz w:val="22"/>
        </w:rPr>
        <w:tab/>
      </w:r>
      <w:r w:rsidR="00965ADF" w:rsidRPr="00800158">
        <w:rPr>
          <w:rFonts w:cs="Arial"/>
          <w:sz w:val="22"/>
        </w:rPr>
        <w:t>exercise any right or privilege which he as registered student enjoys.’</w:t>
      </w:r>
    </w:p>
    <w:p w14:paraId="5E995352" w14:textId="77777777" w:rsidR="00965ADF" w:rsidRPr="0019035A" w:rsidRDefault="00965ADF" w:rsidP="0019035A">
      <w:pPr>
        <w:pStyle w:val="ListParagraph"/>
        <w:tabs>
          <w:tab w:val="left" w:pos="851"/>
        </w:tabs>
        <w:spacing w:line="360" w:lineRule="auto"/>
        <w:ind w:left="1701"/>
        <w:jc w:val="both"/>
        <w:rPr>
          <w:rFonts w:cs="Arial"/>
          <w:sz w:val="22"/>
        </w:rPr>
      </w:pPr>
    </w:p>
    <w:p w14:paraId="47417B23" w14:textId="377A310F" w:rsidR="00965ADF" w:rsidRPr="002D62A8" w:rsidRDefault="002D62A8" w:rsidP="002D62A8">
      <w:pPr>
        <w:tabs>
          <w:tab w:val="left" w:pos="851"/>
        </w:tabs>
        <w:spacing w:line="360" w:lineRule="auto"/>
        <w:jc w:val="both"/>
        <w:rPr>
          <w:rFonts w:cs="Arial"/>
        </w:rPr>
      </w:pPr>
      <w:r>
        <w:rPr>
          <w:rFonts w:cs="Arial"/>
        </w:rPr>
        <w:t>(b)</w:t>
      </w:r>
      <w:r>
        <w:rPr>
          <w:rFonts w:cs="Arial"/>
        </w:rPr>
        <w:tab/>
      </w:r>
      <w:r w:rsidR="00965ADF" w:rsidRPr="002D62A8">
        <w:rPr>
          <w:rFonts w:cs="Arial"/>
        </w:rPr>
        <w:t>Section</w:t>
      </w:r>
      <w:r w:rsidR="00260B5A">
        <w:rPr>
          <w:rFonts w:cs="Arial"/>
        </w:rPr>
        <w:t>s</w:t>
      </w:r>
      <w:r w:rsidR="00965ADF" w:rsidRPr="002D62A8">
        <w:rPr>
          <w:rFonts w:cs="Arial"/>
        </w:rPr>
        <w:t xml:space="preserve"> G.26.5.4(b)(i) and (ii) which reads:</w:t>
      </w:r>
    </w:p>
    <w:p w14:paraId="38647B9E" w14:textId="41DD6F14" w:rsidR="00965ADF" w:rsidRPr="00BB2F2A" w:rsidRDefault="00965ADF" w:rsidP="00BB2F2A">
      <w:pPr>
        <w:tabs>
          <w:tab w:val="left" w:pos="851"/>
        </w:tabs>
        <w:spacing w:line="360" w:lineRule="auto"/>
        <w:jc w:val="both"/>
        <w:rPr>
          <w:rFonts w:cs="Arial"/>
          <w:b/>
          <w:bCs/>
          <w:sz w:val="22"/>
        </w:rPr>
      </w:pPr>
      <w:r w:rsidRPr="00BB2F2A">
        <w:rPr>
          <w:rFonts w:cs="Arial"/>
          <w:sz w:val="22"/>
        </w:rPr>
        <w:t>‘</w:t>
      </w:r>
      <w:r w:rsidRPr="00BB2F2A">
        <w:rPr>
          <w:rFonts w:cs="Arial"/>
          <w:b/>
          <w:bCs/>
          <w:sz w:val="22"/>
        </w:rPr>
        <w:t xml:space="preserve">PROCEDURE OF STUDENTS’ ACADEMIC DISCIPLINARY COMMITTEE AND THE STUDENTS’ DISCIPLINARY COMMITTEE – </w:t>
      </w:r>
    </w:p>
    <w:p w14:paraId="66FB377E" w14:textId="77777777" w:rsidR="00965ADF" w:rsidRPr="0019035A" w:rsidRDefault="00965ADF" w:rsidP="0019035A">
      <w:pPr>
        <w:pStyle w:val="ListParagraph"/>
        <w:tabs>
          <w:tab w:val="left" w:pos="851"/>
        </w:tabs>
        <w:spacing w:line="360" w:lineRule="auto"/>
        <w:ind w:left="2160"/>
        <w:jc w:val="both"/>
        <w:rPr>
          <w:rFonts w:cs="Arial"/>
          <w:b/>
          <w:bCs/>
          <w:sz w:val="22"/>
        </w:rPr>
      </w:pPr>
    </w:p>
    <w:p w14:paraId="0DE73F2A" w14:textId="18B48DB0" w:rsidR="00965ADF" w:rsidRPr="00BB2F2A" w:rsidRDefault="00BB2F2A" w:rsidP="00260B5A">
      <w:pPr>
        <w:spacing w:line="360" w:lineRule="auto"/>
        <w:jc w:val="both"/>
        <w:rPr>
          <w:rFonts w:cs="Arial"/>
          <w:sz w:val="22"/>
        </w:rPr>
      </w:pPr>
      <w:r>
        <w:rPr>
          <w:rFonts w:cs="Arial"/>
          <w:sz w:val="22"/>
        </w:rPr>
        <w:t>a</w:t>
      </w:r>
      <w:r w:rsidR="005D1D9C" w:rsidRPr="00BB2F2A">
        <w:rPr>
          <w:rFonts w:cs="Arial"/>
          <w:sz w:val="22"/>
        </w:rPr>
        <w:t>…</w:t>
      </w:r>
    </w:p>
    <w:p w14:paraId="6B162FF2" w14:textId="77777777" w:rsidR="00965ADF" w:rsidRPr="0019035A" w:rsidRDefault="00965ADF" w:rsidP="0019035A">
      <w:pPr>
        <w:spacing w:line="360" w:lineRule="auto"/>
        <w:ind w:left="2160"/>
        <w:jc w:val="both"/>
        <w:rPr>
          <w:rFonts w:cs="Arial"/>
          <w:sz w:val="22"/>
        </w:rPr>
      </w:pPr>
    </w:p>
    <w:p w14:paraId="4C927D5E" w14:textId="208A364F" w:rsidR="00965ADF" w:rsidRPr="00260B5A" w:rsidRDefault="00260B5A" w:rsidP="00260B5A">
      <w:pPr>
        <w:spacing w:line="360" w:lineRule="auto"/>
        <w:jc w:val="both"/>
        <w:rPr>
          <w:rFonts w:cs="Arial"/>
          <w:sz w:val="22"/>
        </w:rPr>
      </w:pPr>
      <w:r w:rsidRPr="00260B5A">
        <w:rPr>
          <w:rFonts w:cs="Arial"/>
          <w:sz w:val="22"/>
        </w:rPr>
        <w:t>b.</w:t>
      </w:r>
      <w:r>
        <w:rPr>
          <w:rFonts w:cs="Arial"/>
          <w:b/>
          <w:sz w:val="22"/>
        </w:rPr>
        <w:tab/>
      </w:r>
      <w:r w:rsidR="00965ADF" w:rsidRPr="00260B5A">
        <w:rPr>
          <w:rFonts w:cs="Arial"/>
          <w:b/>
          <w:sz w:val="22"/>
        </w:rPr>
        <w:t>Procedure during the hearing of serious misconduct</w:t>
      </w:r>
    </w:p>
    <w:p w14:paraId="2EEF8A40" w14:textId="77777777" w:rsidR="00965ADF" w:rsidRPr="0019035A" w:rsidRDefault="00965ADF" w:rsidP="0019035A">
      <w:pPr>
        <w:pStyle w:val="ListParagraph"/>
        <w:spacing w:line="360" w:lineRule="auto"/>
        <w:rPr>
          <w:rFonts w:cs="Arial"/>
          <w:sz w:val="22"/>
        </w:rPr>
      </w:pPr>
    </w:p>
    <w:p w14:paraId="1758C41B" w14:textId="09C60A67" w:rsidR="00965ADF" w:rsidRPr="007C6954" w:rsidRDefault="007C6954" w:rsidP="007C6954">
      <w:pPr>
        <w:spacing w:line="360" w:lineRule="auto"/>
        <w:ind w:left="1440" w:hanging="720"/>
        <w:jc w:val="both"/>
        <w:rPr>
          <w:rFonts w:cs="Arial"/>
          <w:sz w:val="22"/>
        </w:rPr>
      </w:pPr>
      <w:r>
        <w:rPr>
          <w:rFonts w:cs="Arial"/>
          <w:sz w:val="22"/>
        </w:rPr>
        <w:t>i.</w:t>
      </w:r>
      <w:r>
        <w:rPr>
          <w:rFonts w:cs="Arial"/>
          <w:sz w:val="22"/>
        </w:rPr>
        <w:tab/>
      </w:r>
      <w:r w:rsidR="00153D75" w:rsidRPr="007C6954">
        <w:rPr>
          <w:rFonts w:cs="Arial"/>
          <w:sz w:val="22"/>
        </w:rPr>
        <w:t>A</w:t>
      </w:r>
      <w:r w:rsidR="00965ADF" w:rsidRPr="007C6954">
        <w:rPr>
          <w:rFonts w:cs="Arial"/>
          <w:sz w:val="22"/>
        </w:rPr>
        <w:t xml:space="preserve"> charge of serious misconduct </w:t>
      </w:r>
      <w:r w:rsidR="00D8592C" w:rsidRPr="007C6954">
        <w:rPr>
          <w:rFonts w:cs="Arial"/>
          <w:sz w:val="22"/>
        </w:rPr>
        <w:t xml:space="preserve">shall be </w:t>
      </w:r>
      <w:r w:rsidR="00260B5A">
        <w:rPr>
          <w:rFonts w:cs="Arial"/>
          <w:sz w:val="22"/>
        </w:rPr>
        <w:t xml:space="preserve">instituted </w:t>
      </w:r>
      <w:r w:rsidR="00D8592C" w:rsidRPr="007C6954">
        <w:rPr>
          <w:rFonts w:cs="Arial"/>
          <w:sz w:val="22"/>
        </w:rPr>
        <w:t>by the Registrar/Dean of Students.</w:t>
      </w:r>
    </w:p>
    <w:p w14:paraId="6D7BD563" w14:textId="77777777" w:rsidR="00D8592C" w:rsidRPr="0019035A" w:rsidRDefault="00D8592C" w:rsidP="0019035A">
      <w:pPr>
        <w:spacing w:line="360" w:lineRule="auto"/>
        <w:ind w:left="2880"/>
        <w:jc w:val="both"/>
        <w:rPr>
          <w:rFonts w:cs="Arial"/>
          <w:sz w:val="22"/>
        </w:rPr>
      </w:pPr>
    </w:p>
    <w:p w14:paraId="6523B923" w14:textId="2ACC2169" w:rsidR="005D1D9C" w:rsidRDefault="007C6954" w:rsidP="007C6954">
      <w:pPr>
        <w:spacing w:line="360" w:lineRule="auto"/>
        <w:ind w:left="1440" w:hanging="720"/>
        <w:jc w:val="both"/>
        <w:rPr>
          <w:rFonts w:cs="Arial"/>
          <w:sz w:val="22"/>
        </w:rPr>
      </w:pPr>
      <w:r>
        <w:rPr>
          <w:rFonts w:cs="Arial"/>
          <w:sz w:val="22"/>
        </w:rPr>
        <w:t>ii.</w:t>
      </w:r>
      <w:r>
        <w:rPr>
          <w:rFonts w:cs="Arial"/>
          <w:sz w:val="22"/>
        </w:rPr>
        <w:tab/>
      </w:r>
      <w:r w:rsidR="00153D75" w:rsidRPr="0019035A">
        <w:rPr>
          <w:rFonts w:cs="Arial"/>
          <w:sz w:val="22"/>
        </w:rPr>
        <w:t>I</w:t>
      </w:r>
      <w:r w:rsidR="00D8592C" w:rsidRPr="0019035A">
        <w:rPr>
          <w:rFonts w:cs="Arial"/>
          <w:sz w:val="22"/>
        </w:rPr>
        <w:t xml:space="preserve">f the Deputy Registrar/Dean of Students is of the opinion that there are reasonable grounds for a charge of misconduct against </w:t>
      </w:r>
      <w:r w:rsidR="00DC5D39">
        <w:rPr>
          <w:rFonts w:cs="Arial"/>
          <w:sz w:val="22"/>
        </w:rPr>
        <w:t xml:space="preserve">a </w:t>
      </w:r>
      <w:r w:rsidR="00D8592C" w:rsidRPr="0019035A">
        <w:rPr>
          <w:rFonts w:cs="Arial"/>
          <w:sz w:val="22"/>
        </w:rPr>
        <w:t>student and that the misconduct of the student concerned is apparently of a serious nature, s/he shall formulate a writ</w:t>
      </w:r>
      <w:r w:rsidR="005D1D9C" w:rsidRPr="0019035A">
        <w:rPr>
          <w:rFonts w:cs="Arial"/>
          <w:sz w:val="22"/>
        </w:rPr>
        <w:t xml:space="preserve">ten charge and convene a hearing by the </w:t>
      </w:r>
      <w:r w:rsidR="00DC5D39">
        <w:rPr>
          <w:rFonts w:cs="Arial"/>
          <w:sz w:val="22"/>
        </w:rPr>
        <w:t>A</w:t>
      </w:r>
      <w:r w:rsidR="005D1D9C" w:rsidRPr="0019035A">
        <w:rPr>
          <w:rFonts w:cs="Arial"/>
          <w:sz w:val="22"/>
        </w:rPr>
        <w:t xml:space="preserve">cademic </w:t>
      </w:r>
      <w:r w:rsidR="00DC5D39">
        <w:rPr>
          <w:rFonts w:cs="Arial"/>
          <w:sz w:val="22"/>
        </w:rPr>
        <w:t>D</w:t>
      </w:r>
      <w:r w:rsidR="005D1D9C" w:rsidRPr="0019035A">
        <w:rPr>
          <w:rFonts w:cs="Arial"/>
          <w:sz w:val="22"/>
        </w:rPr>
        <w:t xml:space="preserve">isciplinary </w:t>
      </w:r>
      <w:r w:rsidR="00DC5D39">
        <w:rPr>
          <w:rFonts w:cs="Arial"/>
          <w:sz w:val="22"/>
        </w:rPr>
        <w:t>C</w:t>
      </w:r>
      <w:r w:rsidR="005D1D9C" w:rsidRPr="0019035A">
        <w:rPr>
          <w:rFonts w:cs="Arial"/>
          <w:sz w:val="22"/>
        </w:rPr>
        <w:t>ommittee when the charge has a bearing on the student</w:t>
      </w:r>
      <w:r w:rsidR="00DC5D39">
        <w:rPr>
          <w:rFonts w:cs="Arial"/>
          <w:sz w:val="22"/>
        </w:rPr>
        <w:t>’</w:t>
      </w:r>
      <w:r w:rsidR="005D1D9C" w:rsidRPr="0019035A">
        <w:rPr>
          <w:rFonts w:cs="Arial"/>
          <w:sz w:val="22"/>
        </w:rPr>
        <w:t xml:space="preserve">s studies, or a </w:t>
      </w:r>
      <w:r w:rsidR="00DC5D39">
        <w:rPr>
          <w:rFonts w:cs="Arial"/>
          <w:sz w:val="22"/>
        </w:rPr>
        <w:t>h</w:t>
      </w:r>
      <w:r w:rsidR="005D1D9C" w:rsidRPr="0019035A">
        <w:rPr>
          <w:rFonts w:cs="Arial"/>
          <w:sz w:val="22"/>
        </w:rPr>
        <w:t xml:space="preserve">earing by the </w:t>
      </w:r>
      <w:r w:rsidR="00DC5D39">
        <w:rPr>
          <w:rFonts w:cs="Arial"/>
          <w:sz w:val="22"/>
        </w:rPr>
        <w:t>S</w:t>
      </w:r>
      <w:r w:rsidR="005D1D9C" w:rsidRPr="0019035A">
        <w:rPr>
          <w:rFonts w:cs="Arial"/>
          <w:sz w:val="22"/>
        </w:rPr>
        <w:t xml:space="preserve">tudents’ </w:t>
      </w:r>
      <w:r w:rsidR="00DC5D39">
        <w:rPr>
          <w:rFonts w:cs="Arial"/>
          <w:sz w:val="22"/>
        </w:rPr>
        <w:t>D</w:t>
      </w:r>
      <w:r w:rsidR="005D1D9C" w:rsidRPr="0019035A">
        <w:rPr>
          <w:rFonts w:cs="Arial"/>
          <w:sz w:val="22"/>
        </w:rPr>
        <w:t xml:space="preserve">isciplinary </w:t>
      </w:r>
      <w:r w:rsidR="00DC5D39">
        <w:rPr>
          <w:rFonts w:cs="Arial"/>
          <w:sz w:val="22"/>
        </w:rPr>
        <w:t>C</w:t>
      </w:r>
      <w:r w:rsidR="005D1D9C" w:rsidRPr="0019035A">
        <w:rPr>
          <w:rFonts w:cs="Arial"/>
          <w:sz w:val="22"/>
        </w:rPr>
        <w:t xml:space="preserve">ommittee, when the charge does not have a </w:t>
      </w:r>
      <w:r w:rsidR="00F07204" w:rsidRPr="0019035A">
        <w:rPr>
          <w:rFonts w:cs="Arial"/>
          <w:sz w:val="22"/>
        </w:rPr>
        <w:t>b</w:t>
      </w:r>
      <w:r w:rsidR="005D1D9C" w:rsidRPr="0019035A">
        <w:rPr>
          <w:rFonts w:cs="Arial"/>
          <w:sz w:val="22"/>
        </w:rPr>
        <w:t>earing on the student</w:t>
      </w:r>
      <w:r w:rsidR="00DC5D39">
        <w:rPr>
          <w:rFonts w:cs="Arial"/>
          <w:sz w:val="22"/>
        </w:rPr>
        <w:t>’</w:t>
      </w:r>
      <w:r w:rsidR="005D1D9C" w:rsidRPr="0019035A">
        <w:rPr>
          <w:rFonts w:cs="Arial"/>
          <w:sz w:val="22"/>
        </w:rPr>
        <w:t>s</w:t>
      </w:r>
      <w:r w:rsidR="000C1877">
        <w:rPr>
          <w:rFonts w:cs="Arial"/>
          <w:sz w:val="22"/>
        </w:rPr>
        <w:t xml:space="preserve"> </w:t>
      </w:r>
      <w:r w:rsidR="005D1D9C" w:rsidRPr="0019035A">
        <w:rPr>
          <w:rFonts w:cs="Arial"/>
          <w:sz w:val="22"/>
        </w:rPr>
        <w:t>studies.’</w:t>
      </w:r>
    </w:p>
    <w:p w14:paraId="0735FF53" w14:textId="77777777" w:rsidR="007C6954" w:rsidRPr="002D62A8" w:rsidRDefault="007C6954" w:rsidP="007C6954">
      <w:pPr>
        <w:spacing w:line="360" w:lineRule="auto"/>
        <w:ind w:left="1440" w:hanging="720"/>
        <w:jc w:val="both"/>
        <w:rPr>
          <w:rFonts w:cs="Arial"/>
          <w:sz w:val="22"/>
        </w:rPr>
      </w:pPr>
    </w:p>
    <w:p w14:paraId="34D23A17" w14:textId="5379606D" w:rsidR="005D1D9C" w:rsidRPr="002D62A8" w:rsidRDefault="002D62A8" w:rsidP="002D62A8">
      <w:pPr>
        <w:tabs>
          <w:tab w:val="left" w:pos="851"/>
        </w:tabs>
        <w:spacing w:line="360" w:lineRule="auto"/>
        <w:jc w:val="both"/>
        <w:rPr>
          <w:rFonts w:cs="Arial"/>
        </w:rPr>
      </w:pPr>
      <w:r>
        <w:rPr>
          <w:rFonts w:cs="Arial"/>
        </w:rPr>
        <w:t>(c)</w:t>
      </w:r>
      <w:r>
        <w:rPr>
          <w:rFonts w:cs="Arial"/>
        </w:rPr>
        <w:tab/>
      </w:r>
      <w:r w:rsidR="000C1877">
        <w:rPr>
          <w:rFonts w:cs="Arial"/>
        </w:rPr>
        <w:t>S</w:t>
      </w:r>
      <w:r w:rsidR="005D1D9C" w:rsidRPr="002D62A8">
        <w:rPr>
          <w:rFonts w:cs="Arial"/>
        </w:rPr>
        <w:t>ection</w:t>
      </w:r>
      <w:r w:rsidR="00260B5A">
        <w:rPr>
          <w:rFonts w:cs="Arial"/>
        </w:rPr>
        <w:t>s</w:t>
      </w:r>
      <w:r w:rsidR="005D1D9C" w:rsidRPr="002D62A8">
        <w:rPr>
          <w:rFonts w:cs="Arial"/>
        </w:rPr>
        <w:t xml:space="preserve"> G.27.15(a) and (b)</w:t>
      </w:r>
      <w:r w:rsidR="00DA50A5" w:rsidRPr="002D62A8">
        <w:rPr>
          <w:rFonts w:cs="Arial"/>
        </w:rPr>
        <w:t xml:space="preserve"> </w:t>
      </w:r>
      <w:r w:rsidR="005D1D9C" w:rsidRPr="002D62A8">
        <w:rPr>
          <w:rFonts w:cs="Arial"/>
        </w:rPr>
        <w:t>reads:</w:t>
      </w:r>
    </w:p>
    <w:p w14:paraId="6C3B2CE5" w14:textId="61BA36EF" w:rsidR="005D1D9C" w:rsidRPr="0019035A" w:rsidRDefault="005D1D9C" w:rsidP="007C6954">
      <w:pPr>
        <w:spacing w:line="360" w:lineRule="auto"/>
        <w:jc w:val="both"/>
        <w:rPr>
          <w:rFonts w:cs="Arial"/>
          <w:b/>
          <w:bCs/>
          <w:sz w:val="22"/>
        </w:rPr>
      </w:pPr>
      <w:r w:rsidRPr="0019035A">
        <w:rPr>
          <w:rFonts w:cs="Arial"/>
          <w:sz w:val="22"/>
        </w:rPr>
        <w:t>‘</w:t>
      </w:r>
      <w:r w:rsidRPr="0019035A">
        <w:rPr>
          <w:rFonts w:cs="Arial"/>
          <w:b/>
          <w:bCs/>
          <w:sz w:val="22"/>
        </w:rPr>
        <w:t xml:space="preserve">MEETINGS - </w:t>
      </w:r>
    </w:p>
    <w:p w14:paraId="35362D7A" w14:textId="77777777" w:rsidR="005D1D9C" w:rsidRPr="0019035A" w:rsidRDefault="005D1D9C" w:rsidP="0019035A">
      <w:pPr>
        <w:spacing w:line="360" w:lineRule="auto"/>
        <w:ind w:left="2160"/>
        <w:jc w:val="both"/>
        <w:rPr>
          <w:rFonts w:cs="Arial"/>
          <w:sz w:val="22"/>
        </w:rPr>
      </w:pPr>
    </w:p>
    <w:p w14:paraId="7A7B7011" w14:textId="537A196C" w:rsidR="005D1D9C" w:rsidRPr="007C6954" w:rsidRDefault="007C6954" w:rsidP="007C6954">
      <w:pPr>
        <w:spacing w:line="360" w:lineRule="auto"/>
        <w:ind w:left="720" w:hanging="720"/>
        <w:jc w:val="both"/>
        <w:rPr>
          <w:rFonts w:cs="Arial"/>
          <w:sz w:val="22"/>
        </w:rPr>
      </w:pPr>
      <w:r>
        <w:rPr>
          <w:rFonts w:cs="Arial"/>
          <w:sz w:val="22"/>
        </w:rPr>
        <w:t>a.</w:t>
      </w:r>
      <w:r>
        <w:rPr>
          <w:rFonts w:cs="Arial"/>
          <w:sz w:val="22"/>
        </w:rPr>
        <w:tab/>
      </w:r>
      <w:r w:rsidR="005D1D9C" w:rsidRPr="007C6954">
        <w:rPr>
          <w:rFonts w:cs="Arial"/>
          <w:sz w:val="22"/>
        </w:rPr>
        <w:t>No meeting or activity involving more than five students may</w:t>
      </w:r>
      <w:r w:rsidR="00153D75" w:rsidRPr="007C6954">
        <w:rPr>
          <w:rFonts w:cs="Arial"/>
          <w:sz w:val="22"/>
        </w:rPr>
        <w:t xml:space="preserve"> </w:t>
      </w:r>
      <w:r w:rsidR="005D1D9C" w:rsidRPr="007C6954">
        <w:rPr>
          <w:rFonts w:cs="Arial"/>
          <w:sz w:val="22"/>
        </w:rPr>
        <w:t>be held on the residence premises after 20:00 without the consent of the Superintendent</w:t>
      </w:r>
      <w:r w:rsidR="00153D75" w:rsidRPr="007C6954">
        <w:rPr>
          <w:rFonts w:cs="Arial"/>
          <w:sz w:val="22"/>
        </w:rPr>
        <w:t>.</w:t>
      </w:r>
    </w:p>
    <w:p w14:paraId="6AEDA564" w14:textId="77777777" w:rsidR="005D1D9C" w:rsidRPr="0019035A" w:rsidRDefault="005D1D9C" w:rsidP="0019035A">
      <w:pPr>
        <w:spacing w:line="360" w:lineRule="auto"/>
        <w:ind w:left="2160"/>
        <w:jc w:val="both"/>
        <w:rPr>
          <w:rFonts w:cs="Arial"/>
          <w:sz w:val="22"/>
        </w:rPr>
      </w:pPr>
    </w:p>
    <w:p w14:paraId="5564B251" w14:textId="19188D3F" w:rsidR="008161D4" w:rsidRDefault="007C6954" w:rsidP="007C6954">
      <w:pPr>
        <w:spacing w:line="360" w:lineRule="auto"/>
        <w:ind w:left="720" w:hanging="720"/>
        <w:jc w:val="both"/>
        <w:rPr>
          <w:rFonts w:cs="Arial"/>
          <w:sz w:val="22"/>
        </w:rPr>
      </w:pPr>
      <w:r>
        <w:rPr>
          <w:rFonts w:cs="Arial"/>
          <w:sz w:val="22"/>
        </w:rPr>
        <w:t>b.</w:t>
      </w:r>
      <w:r>
        <w:rPr>
          <w:rFonts w:cs="Arial"/>
          <w:sz w:val="22"/>
        </w:rPr>
        <w:tab/>
      </w:r>
      <w:r w:rsidR="00153D75" w:rsidRPr="0019035A">
        <w:rPr>
          <w:rFonts w:cs="Arial"/>
          <w:sz w:val="22"/>
        </w:rPr>
        <w:t>N</w:t>
      </w:r>
      <w:r w:rsidR="005D1D9C" w:rsidRPr="0019035A">
        <w:rPr>
          <w:rFonts w:cs="Arial"/>
          <w:sz w:val="22"/>
        </w:rPr>
        <w:t>o party – political meeting</w:t>
      </w:r>
      <w:r w:rsidR="00153D75" w:rsidRPr="0019035A">
        <w:rPr>
          <w:rFonts w:cs="Arial"/>
          <w:sz w:val="22"/>
        </w:rPr>
        <w:t>s</w:t>
      </w:r>
      <w:r w:rsidR="005D1D9C" w:rsidRPr="0019035A">
        <w:rPr>
          <w:rFonts w:cs="Arial"/>
          <w:sz w:val="22"/>
        </w:rPr>
        <w:t xml:space="preserve"> are permitted on the residence</w:t>
      </w:r>
      <w:r w:rsidR="000C1877">
        <w:rPr>
          <w:rFonts w:cs="Arial"/>
          <w:sz w:val="22"/>
        </w:rPr>
        <w:t xml:space="preserve"> premises</w:t>
      </w:r>
      <w:r w:rsidR="005D1D9C" w:rsidRPr="0019035A">
        <w:rPr>
          <w:rFonts w:cs="Arial"/>
          <w:sz w:val="22"/>
        </w:rPr>
        <w:t>.’</w:t>
      </w:r>
    </w:p>
    <w:p w14:paraId="3ACAEAFB" w14:textId="77777777" w:rsidR="000C1877" w:rsidRPr="007C6954" w:rsidRDefault="000C1877" w:rsidP="007C6954">
      <w:pPr>
        <w:spacing w:line="360" w:lineRule="auto"/>
        <w:ind w:left="720" w:hanging="720"/>
        <w:jc w:val="both"/>
        <w:rPr>
          <w:rFonts w:cs="Arial"/>
          <w:sz w:val="22"/>
        </w:rPr>
      </w:pPr>
    </w:p>
    <w:p w14:paraId="2A799690" w14:textId="58669380" w:rsidR="00FF44C5" w:rsidRPr="0019035A" w:rsidRDefault="00800158" w:rsidP="00800158">
      <w:pPr>
        <w:tabs>
          <w:tab w:val="left" w:pos="851"/>
        </w:tabs>
        <w:spacing w:line="360" w:lineRule="auto"/>
        <w:jc w:val="both"/>
        <w:rPr>
          <w:rFonts w:cs="Arial"/>
        </w:rPr>
      </w:pPr>
      <w:r w:rsidRPr="0019035A">
        <w:rPr>
          <w:rFonts w:cs="Arial"/>
        </w:rPr>
        <w:t>[26]</w:t>
      </w:r>
      <w:r w:rsidRPr="0019035A">
        <w:rPr>
          <w:rFonts w:cs="Arial"/>
        </w:rPr>
        <w:tab/>
      </w:r>
      <w:r w:rsidR="005D1D9C" w:rsidRPr="0019035A">
        <w:rPr>
          <w:rFonts w:cs="Arial"/>
        </w:rPr>
        <w:t>Applicants further seek an order that the general rules be declared unlawful and unconstitutional</w:t>
      </w:r>
      <w:r w:rsidR="00ED0703" w:rsidRPr="0019035A">
        <w:rPr>
          <w:rFonts w:cs="Arial"/>
        </w:rPr>
        <w:t>:</w:t>
      </w:r>
      <w:r w:rsidR="005D1D9C" w:rsidRPr="0019035A">
        <w:rPr>
          <w:rFonts w:cs="Arial"/>
        </w:rPr>
        <w:t xml:space="preserve"> to the extent that no provision is made for the minimum period within which a student may be disciplined from the date of the alleged offence or the date upon which the First </w:t>
      </w:r>
      <w:r w:rsidR="00153D75" w:rsidRPr="0019035A">
        <w:rPr>
          <w:rFonts w:cs="Arial"/>
        </w:rPr>
        <w:t>or</w:t>
      </w:r>
      <w:r w:rsidR="005D1D9C" w:rsidRPr="0019035A">
        <w:rPr>
          <w:rFonts w:cs="Arial"/>
        </w:rPr>
        <w:t xml:space="preserve"> Fourth </w:t>
      </w:r>
      <w:r w:rsidR="00153D75" w:rsidRPr="0019035A">
        <w:rPr>
          <w:rFonts w:cs="Arial"/>
        </w:rPr>
        <w:t>to</w:t>
      </w:r>
      <w:r w:rsidR="005D1D9C" w:rsidRPr="0019035A">
        <w:rPr>
          <w:rFonts w:cs="Arial"/>
        </w:rPr>
        <w:t xml:space="preserve"> Sixth Respondents ought reasonably to have </w:t>
      </w:r>
      <w:r w:rsidR="00C1025E" w:rsidRPr="0019035A">
        <w:rPr>
          <w:rFonts w:cs="Arial"/>
        </w:rPr>
        <w:t>become</w:t>
      </w:r>
      <w:r w:rsidR="005D1D9C" w:rsidRPr="0019035A">
        <w:rPr>
          <w:rFonts w:cs="Arial"/>
        </w:rPr>
        <w:t xml:space="preserve"> aware of the alleged offence, and to the extent that the general rules disallow the students to employ external legal representations of their choice where they face serious misconduct.</w:t>
      </w:r>
    </w:p>
    <w:p w14:paraId="27F179FE" w14:textId="77777777" w:rsidR="005D1D9C" w:rsidRPr="0019035A" w:rsidRDefault="005D1D9C" w:rsidP="0019035A">
      <w:pPr>
        <w:tabs>
          <w:tab w:val="left" w:pos="851"/>
        </w:tabs>
        <w:spacing w:line="360" w:lineRule="auto"/>
        <w:jc w:val="both"/>
        <w:rPr>
          <w:rFonts w:cs="Arial"/>
        </w:rPr>
      </w:pPr>
    </w:p>
    <w:p w14:paraId="53B8B8C2" w14:textId="71E76E3A" w:rsidR="00A111B7" w:rsidRPr="0019035A" w:rsidRDefault="00C1025E" w:rsidP="0019035A">
      <w:pPr>
        <w:tabs>
          <w:tab w:val="left" w:pos="851"/>
        </w:tabs>
        <w:spacing w:line="360" w:lineRule="auto"/>
        <w:jc w:val="both"/>
        <w:rPr>
          <w:rFonts w:cs="Arial"/>
          <w:b/>
          <w:bCs/>
        </w:rPr>
      </w:pPr>
      <w:r w:rsidRPr="0019035A">
        <w:rPr>
          <w:rFonts w:cs="Arial"/>
          <w:b/>
          <w:bCs/>
        </w:rPr>
        <w:t>Argument</w:t>
      </w:r>
    </w:p>
    <w:p w14:paraId="4338D4A1" w14:textId="49338448" w:rsidR="005F6385" w:rsidRPr="0019035A" w:rsidRDefault="00800158" w:rsidP="00800158">
      <w:pPr>
        <w:tabs>
          <w:tab w:val="left" w:pos="851"/>
        </w:tabs>
        <w:spacing w:line="360" w:lineRule="auto"/>
        <w:jc w:val="both"/>
        <w:rPr>
          <w:rFonts w:cs="Arial"/>
        </w:rPr>
      </w:pPr>
      <w:r w:rsidRPr="0019035A">
        <w:rPr>
          <w:rFonts w:cs="Arial"/>
        </w:rPr>
        <w:t>[27]</w:t>
      </w:r>
      <w:r w:rsidRPr="0019035A">
        <w:rPr>
          <w:rFonts w:cs="Arial"/>
        </w:rPr>
        <w:tab/>
      </w:r>
      <w:r w:rsidR="00D6650F" w:rsidRPr="0019035A">
        <w:rPr>
          <w:rFonts w:cs="Arial"/>
        </w:rPr>
        <w:t xml:space="preserve">It is </w:t>
      </w:r>
      <w:r w:rsidR="00DA6A0C" w:rsidRPr="0019035A">
        <w:rPr>
          <w:rFonts w:cs="Arial"/>
        </w:rPr>
        <w:t xml:space="preserve">unclear in both </w:t>
      </w:r>
      <w:r w:rsidR="00D6650F" w:rsidRPr="0019035A">
        <w:rPr>
          <w:rFonts w:cs="Arial"/>
        </w:rPr>
        <w:t xml:space="preserve">the </w:t>
      </w:r>
      <w:r w:rsidR="006B12D7">
        <w:rPr>
          <w:rFonts w:cs="Arial"/>
        </w:rPr>
        <w:t xml:space="preserve">Applicants’ </w:t>
      </w:r>
      <w:r w:rsidR="00D6650F" w:rsidRPr="0019035A">
        <w:rPr>
          <w:rFonts w:cs="Arial"/>
        </w:rPr>
        <w:t xml:space="preserve">founding affidavit </w:t>
      </w:r>
      <w:r w:rsidR="00DA6A0C" w:rsidRPr="0019035A">
        <w:rPr>
          <w:rFonts w:cs="Arial"/>
        </w:rPr>
        <w:t xml:space="preserve">and </w:t>
      </w:r>
      <w:r w:rsidR="00D6650F" w:rsidRPr="0019035A">
        <w:rPr>
          <w:rFonts w:cs="Arial"/>
        </w:rPr>
        <w:t xml:space="preserve">heads of argument, the reason that </w:t>
      </w:r>
      <w:r w:rsidR="006B12D7">
        <w:rPr>
          <w:rFonts w:cs="Arial"/>
        </w:rPr>
        <w:t>they</w:t>
      </w:r>
      <w:r w:rsidR="006B12D7" w:rsidRPr="0019035A">
        <w:rPr>
          <w:rFonts w:cs="Arial"/>
        </w:rPr>
        <w:t xml:space="preserve"> </w:t>
      </w:r>
      <w:r w:rsidR="00D6650F" w:rsidRPr="0019035A">
        <w:rPr>
          <w:rFonts w:cs="Arial"/>
        </w:rPr>
        <w:t xml:space="preserve">assert that the application </w:t>
      </w:r>
      <w:r w:rsidR="005F6385" w:rsidRPr="0019035A">
        <w:rPr>
          <w:rFonts w:cs="Arial"/>
        </w:rPr>
        <w:t>is based on s</w:t>
      </w:r>
      <w:r w:rsidR="002D62A8">
        <w:rPr>
          <w:rFonts w:cs="Arial"/>
        </w:rPr>
        <w:t xml:space="preserve"> </w:t>
      </w:r>
      <w:r w:rsidR="005F6385" w:rsidRPr="0019035A">
        <w:rPr>
          <w:rFonts w:cs="Arial"/>
        </w:rPr>
        <w:t xml:space="preserve">1(c) of the Constitution because nowhere in the founding affidavit or in the heads of argument has it been inferred that Applicants were subjected to any form of violence. On the contrary, the Respondents aver that the Municipality, its employees and students were subjected to violence. Accordingly, I shall not deal with this issue any further. </w:t>
      </w:r>
    </w:p>
    <w:p w14:paraId="712F762C" w14:textId="77777777" w:rsidR="005F6385" w:rsidRPr="0019035A" w:rsidRDefault="005F6385" w:rsidP="0019035A">
      <w:pPr>
        <w:tabs>
          <w:tab w:val="left" w:pos="851"/>
        </w:tabs>
        <w:spacing w:line="360" w:lineRule="auto"/>
        <w:jc w:val="both"/>
        <w:rPr>
          <w:rFonts w:cs="Arial"/>
        </w:rPr>
      </w:pPr>
    </w:p>
    <w:p w14:paraId="42EE8543" w14:textId="7128E704" w:rsidR="005F6385" w:rsidRPr="0019035A" w:rsidRDefault="00800158" w:rsidP="00800158">
      <w:pPr>
        <w:tabs>
          <w:tab w:val="left" w:pos="851"/>
        </w:tabs>
        <w:spacing w:line="360" w:lineRule="auto"/>
        <w:jc w:val="both"/>
        <w:rPr>
          <w:rFonts w:cs="Arial"/>
        </w:rPr>
      </w:pPr>
      <w:r w:rsidRPr="0019035A">
        <w:rPr>
          <w:rFonts w:cs="Arial"/>
        </w:rPr>
        <w:t>[28]</w:t>
      </w:r>
      <w:r w:rsidRPr="0019035A">
        <w:rPr>
          <w:rFonts w:cs="Arial"/>
        </w:rPr>
        <w:tab/>
      </w:r>
      <w:r w:rsidR="005F6385" w:rsidRPr="0019035A">
        <w:rPr>
          <w:rFonts w:cs="Arial"/>
        </w:rPr>
        <w:t xml:space="preserve">With regard to </w:t>
      </w:r>
      <w:r w:rsidR="00491FD1" w:rsidRPr="0019035A">
        <w:rPr>
          <w:rFonts w:cs="Arial"/>
        </w:rPr>
        <w:t xml:space="preserve">‘the </w:t>
      </w:r>
      <w:r w:rsidR="005F6385" w:rsidRPr="0019035A">
        <w:rPr>
          <w:rFonts w:cs="Arial"/>
        </w:rPr>
        <w:t>right to human dignity</w:t>
      </w:r>
      <w:r w:rsidR="00491FD1" w:rsidRPr="0019035A">
        <w:rPr>
          <w:rFonts w:cs="Arial"/>
        </w:rPr>
        <w:t>’</w:t>
      </w:r>
      <w:r w:rsidR="005F6385" w:rsidRPr="0019035A">
        <w:rPr>
          <w:rFonts w:cs="Arial"/>
        </w:rPr>
        <w:t xml:space="preserve"> as </w:t>
      </w:r>
      <w:r w:rsidR="00491FD1" w:rsidRPr="0019035A">
        <w:rPr>
          <w:rFonts w:cs="Arial"/>
        </w:rPr>
        <w:t xml:space="preserve">guaranteed in </w:t>
      </w:r>
      <w:r w:rsidR="005F6385" w:rsidRPr="0019035A">
        <w:rPr>
          <w:rFonts w:cs="Arial"/>
        </w:rPr>
        <w:t>s</w:t>
      </w:r>
      <w:r w:rsidR="007C6954">
        <w:rPr>
          <w:rFonts w:cs="Arial"/>
        </w:rPr>
        <w:t xml:space="preserve"> </w:t>
      </w:r>
      <w:r w:rsidR="005F6385" w:rsidRPr="0019035A">
        <w:rPr>
          <w:rFonts w:cs="Arial"/>
        </w:rPr>
        <w:t xml:space="preserve">10 of the Constitution, I </w:t>
      </w:r>
      <w:r w:rsidR="00491FD1" w:rsidRPr="0019035A">
        <w:rPr>
          <w:rFonts w:cs="Arial"/>
        </w:rPr>
        <w:t xml:space="preserve">am unable to </w:t>
      </w:r>
      <w:r w:rsidR="005F6385" w:rsidRPr="0019035A">
        <w:rPr>
          <w:rFonts w:cs="Arial"/>
        </w:rPr>
        <w:t>find any facts that demonstrate that the Applicants right to human dignity has been violated. In the</w:t>
      </w:r>
      <w:r w:rsidR="007C3486">
        <w:rPr>
          <w:rFonts w:cs="Arial"/>
        </w:rPr>
        <w:t>ir</w:t>
      </w:r>
      <w:r w:rsidR="005F6385" w:rsidRPr="0019035A">
        <w:rPr>
          <w:rFonts w:cs="Arial"/>
        </w:rPr>
        <w:t xml:space="preserve"> heads of argument, Applicants describe the right to human dignity in very broad terms.</w:t>
      </w:r>
      <w:r w:rsidR="005F6385" w:rsidRPr="0019035A">
        <w:rPr>
          <w:rStyle w:val="FootnoteReference"/>
          <w:rFonts w:cs="Arial"/>
        </w:rPr>
        <w:footnoteReference w:id="13"/>
      </w:r>
      <w:r w:rsidR="005F6385" w:rsidRPr="0019035A">
        <w:rPr>
          <w:rFonts w:cs="Arial"/>
        </w:rPr>
        <w:t xml:space="preserve"> The closest Applicant</w:t>
      </w:r>
      <w:r w:rsidR="007C3486">
        <w:rPr>
          <w:rFonts w:cs="Arial"/>
        </w:rPr>
        <w:t>s</w:t>
      </w:r>
      <w:r w:rsidR="005F6385" w:rsidRPr="0019035A">
        <w:rPr>
          <w:rFonts w:cs="Arial"/>
        </w:rPr>
        <w:t xml:space="preserve"> come to making out a case that their human dignity has been violated, is at paragraph 10 of </w:t>
      </w:r>
      <w:r w:rsidR="007C3486">
        <w:rPr>
          <w:rFonts w:cs="Arial"/>
        </w:rPr>
        <w:t>their</w:t>
      </w:r>
      <w:r w:rsidR="007C3486" w:rsidRPr="0019035A">
        <w:rPr>
          <w:rFonts w:cs="Arial"/>
        </w:rPr>
        <w:t xml:space="preserve"> </w:t>
      </w:r>
      <w:r w:rsidR="005F6385" w:rsidRPr="0019035A">
        <w:rPr>
          <w:rFonts w:cs="Arial"/>
        </w:rPr>
        <w:t>heads of argument that reads:</w:t>
      </w:r>
    </w:p>
    <w:p w14:paraId="136A4708" w14:textId="72984100" w:rsidR="005F6385" w:rsidRPr="0019035A" w:rsidRDefault="0019035A" w:rsidP="0019035A">
      <w:pPr>
        <w:tabs>
          <w:tab w:val="left" w:pos="851"/>
        </w:tabs>
        <w:spacing w:line="360" w:lineRule="auto"/>
        <w:jc w:val="both"/>
        <w:rPr>
          <w:rFonts w:cs="Arial"/>
          <w:sz w:val="22"/>
        </w:rPr>
      </w:pPr>
      <w:r>
        <w:rPr>
          <w:rFonts w:cs="Arial"/>
          <w:sz w:val="22"/>
        </w:rPr>
        <w:t>‘</w:t>
      </w:r>
      <w:r w:rsidR="005F6385" w:rsidRPr="0019035A">
        <w:rPr>
          <w:rFonts w:cs="Arial"/>
          <w:sz w:val="22"/>
        </w:rPr>
        <w:t xml:space="preserve">The </w:t>
      </w:r>
      <w:r w:rsidR="00AD157B" w:rsidRPr="0019035A">
        <w:rPr>
          <w:rFonts w:cs="Arial"/>
          <w:sz w:val="22"/>
        </w:rPr>
        <w:t>lawless</w:t>
      </w:r>
      <w:r w:rsidR="005F6385" w:rsidRPr="0019035A">
        <w:rPr>
          <w:rFonts w:cs="Arial"/>
          <w:sz w:val="22"/>
        </w:rPr>
        <w:t xml:space="preserve"> suspension</w:t>
      </w:r>
      <w:r w:rsidR="00F965BB" w:rsidRPr="0019035A">
        <w:rPr>
          <w:rFonts w:cs="Arial"/>
          <w:sz w:val="22"/>
        </w:rPr>
        <w:t>s</w:t>
      </w:r>
      <w:r w:rsidR="005F6385" w:rsidRPr="0019035A">
        <w:rPr>
          <w:rFonts w:cs="Arial"/>
          <w:sz w:val="22"/>
        </w:rPr>
        <w:t xml:space="preserve"> and expulsions of the Applicants in this matter ring a stark reminder of the history of exclusion and </w:t>
      </w:r>
      <w:r w:rsidR="006B12D7">
        <w:rPr>
          <w:rFonts w:cs="Arial"/>
          <w:sz w:val="22"/>
        </w:rPr>
        <w:t xml:space="preserve">the </w:t>
      </w:r>
      <w:r w:rsidR="005F6385" w:rsidRPr="0019035A">
        <w:rPr>
          <w:rFonts w:cs="Arial"/>
          <w:sz w:val="22"/>
        </w:rPr>
        <w:t>deliberate retardation of the potential of black and African people in particular. This has restored the br</w:t>
      </w:r>
      <w:r w:rsidR="006B12D7">
        <w:rPr>
          <w:rFonts w:cs="Arial"/>
          <w:sz w:val="22"/>
        </w:rPr>
        <w:t>idge</w:t>
      </w:r>
      <w:r w:rsidR="005F6385" w:rsidRPr="0019035A">
        <w:rPr>
          <w:rFonts w:cs="Arial"/>
          <w:sz w:val="22"/>
        </w:rPr>
        <w:t>, which the Constitution sought to part with and destroy, between our egregious past and the hope of the new constitutional order.</w:t>
      </w:r>
      <w:r>
        <w:rPr>
          <w:rFonts w:cs="Arial"/>
          <w:sz w:val="22"/>
        </w:rPr>
        <w:t>’</w:t>
      </w:r>
    </w:p>
    <w:p w14:paraId="7835A0E2" w14:textId="77777777" w:rsidR="00491FD1" w:rsidRPr="0019035A" w:rsidRDefault="00491FD1" w:rsidP="0019035A">
      <w:pPr>
        <w:tabs>
          <w:tab w:val="left" w:pos="851"/>
        </w:tabs>
        <w:spacing w:line="360" w:lineRule="auto"/>
        <w:jc w:val="both"/>
        <w:rPr>
          <w:rFonts w:cs="Arial"/>
        </w:rPr>
      </w:pPr>
    </w:p>
    <w:p w14:paraId="1363F685" w14:textId="68B1341B" w:rsidR="005F6385" w:rsidRPr="0019035A" w:rsidRDefault="00800158" w:rsidP="00800158">
      <w:pPr>
        <w:tabs>
          <w:tab w:val="left" w:pos="851"/>
        </w:tabs>
        <w:spacing w:line="360" w:lineRule="auto"/>
        <w:jc w:val="both"/>
        <w:rPr>
          <w:rFonts w:cs="Arial"/>
        </w:rPr>
      </w:pPr>
      <w:r w:rsidRPr="0019035A">
        <w:rPr>
          <w:rFonts w:cs="Arial"/>
        </w:rPr>
        <w:t>[29]</w:t>
      </w:r>
      <w:r w:rsidRPr="0019035A">
        <w:rPr>
          <w:rFonts w:cs="Arial"/>
        </w:rPr>
        <w:tab/>
      </w:r>
      <w:r w:rsidR="005F6385" w:rsidRPr="0019035A">
        <w:rPr>
          <w:rFonts w:cs="Arial"/>
        </w:rPr>
        <w:t xml:space="preserve">The suspensions cannot be described as lawless because the </w:t>
      </w:r>
      <w:r w:rsidR="001D38EA" w:rsidRPr="0019035A">
        <w:rPr>
          <w:rFonts w:cs="Arial"/>
        </w:rPr>
        <w:t>disciplinary</w:t>
      </w:r>
      <w:r w:rsidR="005F6385" w:rsidRPr="0019035A">
        <w:rPr>
          <w:rFonts w:cs="Arial"/>
        </w:rPr>
        <w:t xml:space="preserve"> </w:t>
      </w:r>
      <w:r w:rsidR="001D38EA" w:rsidRPr="0019035A">
        <w:rPr>
          <w:rFonts w:cs="Arial"/>
        </w:rPr>
        <w:t xml:space="preserve">code of the university </w:t>
      </w:r>
      <w:r w:rsidR="00491FD1" w:rsidRPr="0019035A">
        <w:rPr>
          <w:rFonts w:cs="Arial"/>
        </w:rPr>
        <w:t xml:space="preserve">makes </w:t>
      </w:r>
      <w:r w:rsidR="001D38EA" w:rsidRPr="0019035A">
        <w:rPr>
          <w:rFonts w:cs="Arial"/>
        </w:rPr>
        <w:t>allowance</w:t>
      </w:r>
      <w:r w:rsidR="00491FD1" w:rsidRPr="0019035A">
        <w:rPr>
          <w:rFonts w:cs="Arial"/>
        </w:rPr>
        <w:t>s</w:t>
      </w:r>
      <w:r w:rsidR="001D38EA" w:rsidRPr="0019035A">
        <w:rPr>
          <w:rFonts w:cs="Arial"/>
        </w:rPr>
        <w:t xml:space="preserve"> for both the suspensions and expulsions. Applicants have not provided any information as to which part of the suspensions and expulsions should be regarded as an indignity.</w:t>
      </w:r>
    </w:p>
    <w:p w14:paraId="620DB3F8" w14:textId="77777777" w:rsidR="001D38EA" w:rsidRPr="0019035A" w:rsidRDefault="001D38EA" w:rsidP="0019035A">
      <w:pPr>
        <w:tabs>
          <w:tab w:val="left" w:pos="851"/>
        </w:tabs>
        <w:spacing w:line="360" w:lineRule="auto"/>
        <w:jc w:val="both"/>
        <w:rPr>
          <w:rFonts w:cs="Arial"/>
        </w:rPr>
      </w:pPr>
    </w:p>
    <w:p w14:paraId="2739D144" w14:textId="630F9AC4" w:rsidR="00E61367" w:rsidRPr="0019035A" w:rsidRDefault="00800158" w:rsidP="00800158">
      <w:pPr>
        <w:tabs>
          <w:tab w:val="left" w:pos="851"/>
        </w:tabs>
        <w:spacing w:line="360" w:lineRule="auto"/>
        <w:jc w:val="both"/>
        <w:rPr>
          <w:rFonts w:cs="Arial"/>
        </w:rPr>
      </w:pPr>
      <w:r w:rsidRPr="0019035A">
        <w:rPr>
          <w:rFonts w:cs="Arial"/>
        </w:rPr>
        <w:t>[30]</w:t>
      </w:r>
      <w:r w:rsidRPr="0019035A">
        <w:rPr>
          <w:rFonts w:cs="Arial"/>
        </w:rPr>
        <w:tab/>
      </w:r>
      <w:r w:rsidR="001D38EA" w:rsidRPr="0019035A">
        <w:rPr>
          <w:rFonts w:cs="Arial"/>
        </w:rPr>
        <w:t xml:space="preserve">In Applicants’ heads of argument, under the heading ‘The </w:t>
      </w:r>
      <w:r w:rsidR="006B12D7">
        <w:rPr>
          <w:rFonts w:cs="Arial"/>
        </w:rPr>
        <w:t>r</w:t>
      </w:r>
      <w:r w:rsidR="001D38EA" w:rsidRPr="0019035A">
        <w:rPr>
          <w:rFonts w:cs="Arial"/>
        </w:rPr>
        <w:t xml:space="preserve">ight to </w:t>
      </w:r>
      <w:r w:rsidR="006B12D7">
        <w:rPr>
          <w:rFonts w:cs="Arial"/>
        </w:rPr>
        <w:t>p</w:t>
      </w:r>
      <w:r w:rsidR="001D38EA" w:rsidRPr="0019035A">
        <w:rPr>
          <w:rFonts w:cs="Arial"/>
        </w:rPr>
        <w:t xml:space="preserve">eaceful and </w:t>
      </w:r>
      <w:r w:rsidR="006B12D7">
        <w:rPr>
          <w:rFonts w:cs="Arial"/>
        </w:rPr>
        <w:t>u</w:t>
      </w:r>
      <w:r w:rsidR="001D38EA" w:rsidRPr="0019035A">
        <w:rPr>
          <w:rFonts w:cs="Arial"/>
        </w:rPr>
        <w:t xml:space="preserve">narmed </w:t>
      </w:r>
      <w:r w:rsidR="006B12D7">
        <w:rPr>
          <w:rFonts w:cs="Arial"/>
        </w:rPr>
        <w:t>p</w:t>
      </w:r>
      <w:r w:rsidR="001D38EA" w:rsidRPr="0019035A">
        <w:rPr>
          <w:rFonts w:cs="Arial"/>
        </w:rPr>
        <w:t xml:space="preserve">rotest </w:t>
      </w:r>
      <w:r w:rsidR="006B12D7">
        <w:rPr>
          <w:rFonts w:cs="Arial"/>
        </w:rPr>
        <w:t>h</w:t>
      </w:r>
      <w:r w:rsidR="001D38EA" w:rsidRPr="0019035A">
        <w:rPr>
          <w:rFonts w:cs="Arial"/>
        </w:rPr>
        <w:t xml:space="preserve">as </w:t>
      </w:r>
      <w:r w:rsidR="006B12D7">
        <w:rPr>
          <w:rFonts w:cs="Arial"/>
        </w:rPr>
        <w:t>b</w:t>
      </w:r>
      <w:r w:rsidR="001D38EA" w:rsidRPr="0019035A">
        <w:rPr>
          <w:rFonts w:cs="Arial"/>
        </w:rPr>
        <w:t xml:space="preserve">een </w:t>
      </w:r>
      <w:r w:rsidR="006B12D7">
        <w:rPr>
          <w:rFonts w:cs="Arial"/>
        </w:rPr>
        <w:t>v</w:t>
      </w:r>
      <w:r w:rsidR="001D38EA" w:rsidRPr="0019035A">
        <w:rPr>
          <w:rFonts w:cs="Arial"/>
        </w:rPr>
        <w:t xml:space="preserve">iolated’, it appears that the Applicants aver that </w:t>
      </w:r>
      <w:r w:rsidR="007C799B" w:rsidRPr="0019035A">
        <w:rPr>
          <w:rFonts w:cs="Arial"/>
        </w:rPr>
        <w:t>s</w:t>
      </w:r>
      <w:r w:rsidR="0019035A">
        <w:rPr>
          <w:rFonts w:cs="Arial"/>
        </w:rPr>
        <w:t xml:space="preserve"> </w:t>
      </w:r>
      <w:r w:rsidR="007C799B" w:rsidRPr="0019035A">
        <w:rPr>
          <w:rFonts w:cs="Arial"/>
        </w:rPr>
        <w:t xml:space="preserve">17 of the Constitution has been </w:t>
      </w:r>
      <w:r w:rsidR="00156B70" w:rsidRPr="0019035A">
        <w:rPr>
          <w:rFonts w:cs="Arial"/>
        </w:rPr>
        <w:t>contravened</w:t>
      </w:r>
      <w:r w:rsidR="007C799B" w:rsidRPr="0019035A">
        <w:rPr>
          <w:rFonts w:cs="Arial"/>
        </w:rPr>
        <w:t>. Applicants confirm that indeed, an emergency meeting was held to address the urgent matters affecting students where it was agreed that they would embark upon protest action. In the circumstances</w:t>
      </w:r>
      <w:r w:rsidR="00DA6A0C" w:rsidRPr="0019035A">
        <w:rPr>
          <w:rFonts w:cs="Arial"/>
        </w:rPr>
        <w:t xml:space="preserve">, so argued by </w:t>
      </w:r>
      <w:r w:rsidR="007C3486">
        <w:rPr>
          <w:rFonts w:cs="Arial"/>
        </w:rPr>
        <w:t>A</w:t>
      </w:r>
      <w:r w:rsidR="00DA6A0C" w:rsidRPr="0019035A">
        <w:rPr>
          <w:rFonts w:cs="Arial"/>
        </w:rPr>
        <w:t>pplicants,</w:t>
      </w:r>
      <w:r w:rsidR="007C799B" w:rsidRPr="0019035A">
        <w:rPr>
          <w:rFonts w:cs="Arial"/>
        </w:rPr>
        <w:t xml:space="preserve"> and in light of the fact that the university does not have a mechanism to embark on a legitimised process, the university’s policies and/or rules are unconstitutional.</w:t>
      </w:r>
      <w:r w:rsidR="007C799B" w:rsidRPr="0019035A">
        <w:rPr>
          <w:rStyle w:val="FootnoteReference"/>
          <w:rFonts w:cs="Arial"/>
        </w:rPr>
        <w:footnoteReference w:id="14"/>
      </w:r>
    </w:p>
    <w:p w14:paraId="35F47F81" w14:textId="77777777" w:rsidR="005F6385" w:rsidRPr="0019035A" w:rsidRDefault="005F6385" w:rsidP="0019035A">
      <w:pPr>
        <w:pStyle w:val="ListParagraph"/>
        <w:spacing w:line="360" w:lineRule="auto"/>
        <w:rPr>
          <w:rFonts w:cs="Arial"/>
        </w:rPr>
      </w:pPr>
    </w:p>
    <w:p w14:paraId="781946A5" w14:textId="4A2AB286" w:rsidR="00435528" w:rsidRPr="0019035A" w:rsidRDefault="00800158" w:rsidP="00800158">
      <w:pPr>
        <w:tabs>
          <w:tab w:val="left" w:pos="851"/>
        </w:tabs>
        <w:spacing w:line="360" w:lineRule="auto"/>
        <w:jc w:val="both"/>
        <w:rPr>
          <w:rFonts w:cs="Arial"/>
        </w:rPr>
      </w:pPr>
      <w:r w:rsidRPr="0019035A">
        <w:rPr>
          <w:rFonts w:cs="Arial"/>
        </w:rPr>
        <w:t>[31]</w:t>
      </w:r>
      <w:r w:rsidRPr="0019035A">
        <w:rPr>
          <w:rFonts w:cs="Arial"/>
        </w:rPr>
        <w:tab/>
      </w:r>
      <w:r w:rsidR="00435528" w:rsidRPr="0019035A">
        <w:rPr>
          <w:rFonts w:cs="Arial"/>
        </w:rPr>
        <w:t>In considering G</w:t>
      </w:r>
      <w:r w:rsidR="00E2682D">
        <w:rPr>
          <w:rFonts w:cs="Arial"/>
        </w:rPr>
        <w:t>.</w:t>
      </w:r>
      <w:r w:rsidR="00435528" w:rsidRPr="0019035A">
        <w:rPr>
          <w:rFonts w:cs="Arial"/>
        </w:rPr>
        <w:t xml:space="preserve">27.15(a) and (b) of the </w:t>
      </w:r>
      <w:r w:rsidR="00A813F3">
        <w:rPr>
          <w:rFonts w:cs="Arial"/>
        </w:rPr>
        <w:t>general rules</w:t>
      </w:r>
      <w:r w:rsidR="00435528" w:rsidRPr="0019035A">
        <w:rPr>
          <w:rFonts w:cs="Arial"/>
        </w:rPr>
        <w:t>, Respondent</w:t>
      </w:r>
      <w:r w:rsidR="007C3486">
        <w:rPr>
          <w:rFonts w:cs="Arial"/>
        </w:rPr>
        <w:t>s</w:t>
      </w:r>
      <w:r w:rsidR="00435528" w:rsidRPr="0019035A">
        <w:rPr>
          <w:rFonts w:cs="Arial"/>
        </w:rPr>
        <w:t xml:space="preserve"> aver</w:t>
      </w:r>
      <w:r w:rsidR="00435528" w:rsidRPr="0019035A">
        <w:rPr>
          <w:rStyle w:val="FootnoteReference"/>
          <w:rFonts w:cs="Arial"/>
        </w:rPr>
        <w:footnoteReference w:id="15"/>
      </w:r>
      <w:r w:rsidR="002D62A8">
        <w:rPr>
          <w:rFonts w:cs="Arial"/>
        </w:rPr>
        <w:t xml:space="preserve"> </w:t>
      </w:r>
      <w:r w:rsidR="00435528" w:rsidRPr="0019035A">
        <w:rPr>
          <w:rFonts w:cs="Arial"/>
        </w:rPr>
        <w:t xml:space="preserve">that the </w:t>
      </w:r>
      <w:r w:rsidR="00A813F3">
        <w:rPr>
          <w:rFonts w:cs="Arial"/>
        </w:rPr>
        <w:t xml:space="preserve">rules </w:t>
      </w:r>
      <w:r w:rsidR="00435528" w:rsidRPr="0019035A">
        <w:rPr>
          <w:rFonts w:cs="Arial"/>
        </w:rPr>
        <w:t>merely prohibits meetings after 20</w:t>
      </w:r>
      <w:r w:rsidR="007C3486">
        <w:rPr>
          <w:rFonts w:cs="Arial"/>
        </w:rPr>
        <w:t>h</w:t>
      </w:r>
      <w:r w:rsidR="00435528" w:rsidRPr="0019035A">
        <w:rPr>
          <w:rFonts w:cs="Arial"/>
        </w:rPr>
        <w:t xml:space="preserve">00 </w:t>
      </w:r>
      <w:r w:rsidR="00156B70" w:rsidRPr="0019035A">
        <w:rPr>
          <w:rFonts w:cs="Arial"/>
        </w:rPr>
        <w:t xml:space="preserve">at </w:t>
      </w:r>
      <w:r w:rsidR="00435528" w:rsidRPr="0019035A">
        <w:rPr>
          <w:rFonts w:cs="Arial"/>
        </w:rPr>
        <w:t>night and political meetings in the residence. The rule is justifiable because it controls both the numbers and the noise in the residence and the rest of the university campus is available for political meetings if need be.</w:t>
      </w:r>
    </w:p>
    <w:p w14:paraId="1F4012AD" w14:textId="77777777" w:rsidR="00435528" w:rsidRPr="0019035A" w:rsidRDefault="00435528" w:rsidP="0019035A">
      <w:pPr>
        <w:tabs>
          <w:tab w:val="left" w:pos="851"/>
        </w:tabs>
        <w:spacing w:line="360" w:lineRule="auto"/>
        <w:jc w:val="both"/>
        <w:rPr>
          <w:rFonts w:cs="Arial"/>
        </w:rPr>
      </w:pPr>
    </w:p>
    <w:p w14:paraId="54D62273" w14:textId="7F0A534D" w:rsidR="005F6385" w:rsidRPr="0019035A" w:rsidRDefault="00800158" w:rsidP="00800158">
      <w:pPr>
        <w:tabs>
          <w:tab w:val="left" w:pos="851"/>
        </w:tabs>
        <w:spacing w:line="360" w:lineRule="auto"/>
        <w:jc w:val="both"/>
        <w:rPr>
          <w:rFonts w:cs="Arial"/>
        </w:rPr>
      </w:pPr>
      <w:r w:rsidRPr="0019035A">
        <w:rPr>
          <w:rFonts w:cs="Arial"/>
        </w:rPr>
        <w:t>[32]</w:t>
      </w:r>
      <w:r w:rsidRPr="0019035A">
        <w:rPr>
          <w:rFonts w:cs="Arial"/>
        </w:rPr>
        <w:tab/>
      </w:r>
      <w:r w:rsidR="007C799B" w:rsidRPr="0019035A">
        <w:rPr>
          <w:rFonts w:cs="Arial"/>
        </w:rPr>
        <w:t xml:space="preserve">Applicants have been charged for holding a meeting in the residence after </w:t>
      </w:r>
      <w:r w:rsidR="00491FD1" w:rsidRPr="0019035A">
        <w:rPr>
          <w:rFonts w:cs="Arial"/>
        </w:rPr>
        <w:t>20</w:t>
      </w:r>
      <w:r w:rsidR="007C799B" w:rsidRPr="0019035A">
        <w:rPr>
          <w:rFonts w:cs="Arial"/>
        </w:rPr>
        <w:t xml:space="preserve">h00 in the evening and for damaging university property together with other harmful practices during the protests. There is nothing </w:t>
      </w:r>
      <w:r w:rsidR="000C0BDE" w:rsidRPr="0019035A">
        <w:rPr>
          <w:rFonts w:cs="Arial"/>
        </w:rPr>
        <w:t xml:space="preserve">in </w:t>
      </w:r>
      <w:r w:rsidR="007C799B" w:rsidRPr="0019035A">
        <w:rPr>
          <w:rFonts w:cs="Arial"/>
        </w:rPr>
        <w:t xml:space="preserve">the papers before me that suggest that the university is attempting to disregard the Applicants’ </w:t>
      </w:r>
      <w:r w:rsidR="00491FD1" w:rsidRPr="0019035A">
        <w:rPr>
          <w:rFonts w:cs="Arial"/>
        </w:rPr>
        <w:t xml:space="preserve">rights </w:t>
      </w:r>
      <w:r w:rsidR="007C799B" w:rsidRPr="0019035A">
        <w:rPr>
          <w:rFonts w:cs="Arial"/>
        </w:rPr>
        <w:t>in terms of s</w:t>
      </w:r>
      <w:r w:rsidR="002D62A8">
        <w:rPr>
          <w:rFonts w:cs="Arial"/>
        </w:rPr>
        <w:t xml:space="preserve"> </w:t>
      </w:r>
      <w:r w:rsidR="007C799B" w:rsidRPr="0019035A">
        <w:rPr>
          <w:rFonts w:cs="Arial"/>
        </w:rPr>
        <w:t>17</w:t>
      </w:r>
      <w:r w:rsidR="00156B70" w:rsidRPr="0019035A">
        <w:rPr>
          <w:rFonts w:cs="Arial"/>
        </w:rPr>
        <w:t xml:space="preserve">, because the limitation on </w:t>
      </w:r>
      <w:r w:rsidR="007C3486">
        <w:rPr>
          <w:rFonts w:cs="Arial"/>
        </w:rPr>
        <w:t>A</w:t>
      </w:r>
      <w:r w:rsidR="0019035A" w:rsidRPr="0019035A">
        <w:rPr>
          <w:rFonts w:cs="Arial"/>
        </w:rPr>
        <w:t>pplicants’</w:t>
      </w:r>
      <w:r w:rsidR="00156B70" w:rsidRPr="0019035A">
        <w:rPr>
          <w:rFonts w:cs="Arial"/>
        </w:rPr>
        <w:t xml:space="preserve"> rights are justifiable in the circumstances.</w:t>
      </w:r>
    </w:p>
    <w:p w14:paraId="055566BC" w14:textId="77777777" w:rsidR="007C799B" w:rsidRPr="0019035A" w:rsidRDefault="007C799B" w:rsidP="0019035A">
      <w:pPr>
        <w:pStyle w:val="ListParagraph"/>
        <w:spacing w:line="360" w:lineRule="auto"/>
        <w:rPr>
          <w:rFonts w:cs="Arial"/>
        </w:rPr>
      </w:pPr>
    </w:p>
    <w:p w14:paraId="61228BAD" w14:textId="4BD68071" w:rsidR="007C799B" w:rsidRDefault="00800158" w:rsidP="00800158">
      <w:pPr>
        <w:tabs>
          <w:tab w:val="left" w:pos="851"/>
        </w:tabs>
        <w:spacing w:line="360" w:lineRule="auto"/>
        <w:jc w:val="both"/>
        <w:rPr>
          <w:rFonts w:cs="Arial"/>
        </w:rPr>
      </w:pPr>
      <w:r>
        <w:rPr>
          <w:rFonts w:cs="Arial"/>
        </w:rPr>
        <w:t>[33]</w:t>
      </w:r>
      <w:r>
        <w:rPr>
          <w:rFonts w:cs="Arial"/>
        </w:rPr>
        <w:tab/>
      </w:r>
      <w:r w:rsidR="007C799B" w:rsidRPr="0019035A">
        <w:rPr>
          <w:rFonts w:cs="Arial"/>
        </w:rPr>
        <w:t>With regard to Applicants’</w:t>
      </w:r>
      <w:r w:rsidR="000C0BDE" w:rsidRPr="0019035A">
        <w:rPr>
          <w:rFonts w:cs="Arial"/>
        </w:rPr>
        <w:t xml:space="preserve"> rights</w:t>
      </w:r>
      <w:r w:rsidR="007C799B" w:rsidRPr="0019035A">
        <w:rPr>
          <w:rFonts w:cs="Arial"/>
        </w:rPr>
        <w:t xml:space="preserve"> in terms of s</w:t>
      </w:r>
      <w:r w:rsidR="002D62A8">
        <w:rPr>
          <w:rFonts w:cs="Arial"/>
        </w:rPr>
        <w:t xml:space="preserve"> </w:t>
      </w:r>
      <w:r w:rsidR="007C799B" w:rsidRPr="0019035A">
        <w:rPr>
          <w:rFonts w:cs="Arial"/>
        </w:rPr>
        <w:t>29(1)(</w:t>
      </w:r>
      <w:r w:rsidR="007C799B" w:rsidRPr="006B12D7">
        <w:rPr>
          <w:rFonts w:cs="Arial"/>
          <w:i/>
        </w:rPr>
        <w:t>b</w:t>
      </w:r>
      <w:r w:rsidR="007C799B" w:rsidRPr="0019035A">
        <w:rPr>
          <w:rFonts w:cs="Arial"/>
        </w:rPr>
        <w:t>) of the Constitution where the right to education is enshrined, the Applicants assert that their right to education has been violated by firstly, their inability to obtain financial aid from NSFAS and secondly, the</w:t>
      </w:r>
      <w:r w:rsidR="00E2682D">
        <w:rPr>
          <w:rFonts w:cs="Arial"/>
        </w:rPr>
        <w:t>ir</w:t>
      </w:r>
      <w:r w:rsidR="007C799B" w:rsidRPr="0019035A">
        <w:rPr>
          <w:rFonts w:cs="Arial"/>
        </w:rPr>
        <w:t xml:space="preserve"> expulsions from the institution which would </w:t>
      </w:r>
      <w:r w:rsidR="00BF060B" w:rsidRPr="0019035A">
        <w:rPr>
          <w:rFonts w:cs="Arial"/>
        </w:rPr>
        <w:t>hamper any further chances from studying at other institutions.</w:t>
      </w:r>
      <w:r w:rsidR="00BF060B" w:rsidRPr="0019035A">
        <w:rPr>
          <w:rStyle w:val="FootnoteReference"/>
          <w:rFonts w:cs="Arial"/>
        </w:rPr>
        <w:footnoteReference w:id="16"/>
      </w:r>
    </w:p>
    <w:p w14:paraId="7B2A387D" w14:textId="77777777" w:rsidR="0019035A" w:rsidRPr="0019035A" w:rsidRDefault="0019035A" w:rsidP="0019035A">
      <w:pPr>
        <w:tabs>
          <w:tab w:val="left" w:pos="851"/>
        </w:tabs>
        <w:spacing w:line="360" w:lineRule="auto"/>
        <w:jc w:val="both"/>
        <w:rPr>
          <w:rFonts w:cs="Arial"/>
        </w:rPr>
      </w:pPr>
    </w:p>
    <w:p w14:paraId="595A9582" w14:textId="31CACAE5" w:rsidR="00BF060B" w:rsidRPr="0019035A" w:rsidRDefault="00800158" w:rsidP="00800158">
      <w:pPr>
        <w:tabs>
          <w:tab w:val="left" w:pos="851"/>
        </w:tabs>
        <w:spacing w:line="360" w:lineRule="auto"/>
        <w:jc w:val="both"/>
        <w:rPr>
          <w:rFonts w:cs="Arial"/>
        </w:rPr>
      </w:pPr>
      <w:r w:rsidRPr="0019035A">
        <w:rPr>
          <w:rFonts w:cs="Arial"/>
        </w:rPr>
        <w:t>[34]</w:t>
      </w:r>
      <w:r w:rsidRPr="0019035A">
        <w:rPr>
          <w:rFonts w:cs="Arial"/>
        </w:rPr>
        <w:tab/>
      </w:r>
      <w:r w:rsidR="00BF060B" w:rsidRPr="0019035A">
        <w:rPr>
          <w:rFonts w:cs="Arial"/>
        </w:rPr>
        <w:t xml:space="preserve">Bearing in mind that I am adjudicating upon </w:t>
      </w:r>
      <w:r w:rsidR="007C5C14">
        <w:rPr>
          <w:rFonts w:cs="Arial"/>
        </w:rPr>
        <w:t>P</w:t>
      </w:r>
      <w:r w:rsidR="00BF060B" w:rsidRPr="0019035A">
        <w:rPr>
          <w:rFonts w:cs="Arial"/>
        </w:rPr>
        <w:t xml:space="preserve">art A of the application, which seeks to set aside certain </w:t>
      </w:r>
      <w:r w:rsidR="00A813F3">
        <w:rPr>
          <w:rFonts w:cs="Arial"/>
        </w:rPr>
        <w:t xml:space="preserve">sections </w:t>
      </w:r>
      <w:r w:rsidR="00BF060B" w:rsidRPr="0019035A">
        <w:rPr>
          <w:rFonts w:cs="Arial"/>
        </w:rPr>
        <w:t xml:space="preserve">of the university’s </w:t>
      </w:r>
      <w:r w:rsidR="00A813F3">
        <w:rPr>
          <w:rFonts w:cs="Arial"/>
        </w:rPr>
        <w:t>general rules</w:t>
      </w:r>
      <w:r w:rsidR="00BF060B" w:rsidRPr="0019035A">
        <w:rPr>
          <w:rFonts w:cs="Arial"/>
        </w:rPr>
        <w:t xml:space="preserve">, there appears to be no incongruency between the Applicants’ right to education and the university’s </w:t>
      </w:r>
      <w:r w:rsidR="00A813F3">
        <w:rPr>
          <w:rFonts w:cs="Arial"/>
        </w:rPr>
        <w:t>rules</w:t>
      </w:r>
      <w:r w:rsidR="00BF060B" w:rsidRPr="0019035A">
        <w:rPr>
          <w:rFonts w:cs="Arial"/>
        </w:rPr>
        <w:t>. Given the fact that on Applicants’ own version, the protests were violent, which not only destroyed property but threatened human life, the allegations if properly proved against Applicants, in my view, would attract a sanction of expulsion.</w:t>
      </w:r>
    </w:p>
    <w:p w14:paraId="6EF2F147" w14:textId="77777777" w:rsidR="00BF060B" w:rsidRPr="0019035A" w:rsidRDefault="00BF060B" w:rsidP="0019035A">
      <w:pPr>
        <w:pStyle w:val="ListParagraph"/>
        <w:spacing w:line="360" w:lineRule="auto"/>
        <w:rPr>
          <w:rFonts w:cs="Arial"/>
        </w:rPr>
      </w:pPr>
    </w:p>
    <w:p w14:paraId="5AD9C1F6" w14:textId="706019CD" w:rsidR="00BF060B" w:rsidRPr="0019035A" w:rsidRDefault="00800158" w:rsidP="00800158">
      <w:pPr>
        <w:tabs>
          <w:tab w:val="left" w:pos="851"/>
        </w:tabs>
        <w:spacing w:line="360" w:lineRule="auto"/>
        <w:jc w:val="both"/>
        <w:rPr>
          <w:rFonts w:cs="Arial"/>
        </w:rPr>
      </w:pPr>
      <w:r w:rsidRPr="0019035A">
        <w:rPr>
          <w:rFonts w:cs="Arial"/>
        </w:rPr>
        <w:t>[35]</w:t>
      </w:r>
      <w:r w:rsidRPr="0019035A">
        <w:rPr>
          <w:rFonts w:cs="Arial"/>
        </w:rPr>
        <w:tab/>
      </w:r>
      <w:r w:rsidR="00BF060B" w:rsidRPr="0019035A">
        <w:rPr>
          <w:rFonts w:cs="Arial"/>
        </w:rPr>
        <w:t xml:space="preserve">Further, the Applicants </w:t>
      </w:r>
      <w:r w:rsidR="00C8638E" w:rsidRPr="0019035A">
        <w:rPr>
          <w:rFonts w:cs="Arial"/>
        </w:rPr>
        <w:t>aver that NSFAS does not recognise the ECP programme.</w:t>
      </w:r>
      <w:r w:rsidR="00C8638E" w:rsidRPr="0019035A">
        <w:rPr>
          <w:rStyle w:val="FootnoteReference"/>
          <w:rFonts w:cs="Arial"/>
        </w:rPr>
        <w:footnoteReference w:id="17"/>
      </w:r>
      <w:r w:rsidR="00C8638E" w:rsidRPr="0019035A">
        <w:rPr>
          <w:rFonts w:cs="Arial"/>
        </w:rPr>
        <w:t xml:space="preserve"> In the circumstances, it strikes me as odd that despite this insight, the Applicants embarked on a protest directed at the university when in fact,</w:t>
      </w:r>
      <w:r w:rsidR="00491FD1" w:rsidRPr="0019035A">
        <w:rPr>
          <w:rFonts w:cs="Arial"/>
        </w:rPr>
        <w:t xml:space="preserve"> their grievance</w:t>
      </w:r>
      <w:r w:rsidR="0095190A">
        <w:rPr>
          <w:rFonts w:cs="Arial"/>
        </w:rPr>
        <w:t xml:space="preserve"> was </w:t>
      </w:r>
      <w:r w:rsidR="00491FD1" w:rsidRPr="0019035A">
        <w:rPr>
          <w:rFonts w:cs="Arial"/>
        </w:rPr>
        <w:t>with</w:t>
      </w:r>
      <w:r w:rsidR="00E013E5" w:rsidRPr="0019035A">
        <w:rPr>
          <w:rFonts w:cs="Arial"/>
        </w:rPr>
        <w:t xml:space="preserve"> NSFAS. </w:t>
      </w:r>
    </w:p>
    <w:p w14:paraId="11AC02DE" w14:textId="77777777" w:rsidR="00827470" w:rsidRPr="0019035A" w:rsidRDefault="00827470" w:rsidP="0019035A">
      <w:pPr>
        <w:tabs>
          <w:tab w:val="left" w:pos="851"/>
        </w:tabs>
        <w:spacing w:line="360" w:lineRule="auto"/>
        <w:jc w:val="both"/>
        <w:rPr>
          <w:rFonts w:cs="Arial"/>
        </w:rPr>
      </w:pPr>
    </w:p>
    <w:p w14:paraId="3FB0A7B7" w14:textId="0C7B4704" w:rsidR="0073369F" w:rsidRDefault="00800158" w:rsidP="00800158">
      <w:pPr>
        <w:tabs>
          <w:tab w:val="left" w:pos="851"/>
        </w:tabs>
        <w:spacing w:line="360" w:lineRule="auto"/>
        <w:jc w:val="both"/>
        <w:rPr>
          <w:rFonts w:cs="Arial"/>
        </w:rPr>
      </w:pPr>
      <w:r>
        <w:rPr>
          <w:rFonts w:cs="Arial"/>
        </w:rPr>
        <w:t>[36]</w:t>
      </w:r>
      <w:r>
        <w:rPr>
          <w:rFonts w:cs="Arial"/>
        </w:rPr>
        <w:tab/>
      </w:r>
      <w:r w:rsidR="000378F6" w:rsidRPr="0019035A">
        <w:rPr>
          <w:rFonts w:cs="Arial"/>
        </w:rPr>
        <w:t xml:space="preserve">In their </w:t>
      </w:r>
      <w:r w:rsidR="002D62A8">
        <w:rPr>
          <w:rFonts w:cs="Arial"/>
        </w:rPr>
        <w:t>h</w:t>
      </w:r>
      <w:r w:rsidR="000378F6" w:rsidRPr="0019035A">
        <w:rPr>
          <w:rFonts w:cs="Arial"/>
        </w:rPr>
        <w:t xml:space="preserve">eads of </w:t>
      </w:r>
      <w:r w:rsidR="002D62A8">
        <w:rPr>
          <w:rFonts w:cs="Arial"/>
        </w:rPr>
        <w:t>a</w:t>
      </w:r>
      <w:r w:rsidR="000378F6" w:rsidRPr="0019035A">
        <w:rPr>
          <w:rFonts w:cs="Arial"/>
        </w:rPr>
        <w:t xml:space="preserve">rgument, </w:t>
      </w:r>
      <w:r w:rsidR="00AD157B" w:rsidRPr="0019035A">
        <w:rPr>
          <w:rFonts w:cs="Arial"/>
        </w:rPr>
        <w:t>Applicants</w:t>
      </w:r>
      <w:r w:rsidR="00D929A5" w:rsidRPr="0019035A">
        <w:rPr>
          <w:rFonts w:cs="Arial"/>
        </w:rPr>
        <w:t xml:space="preserve"> focused on </w:t>
      </w:r>
      <w:r w:rsidR="007C3486">
        <w:rPr>
          <w:rFonts w:cs="Arial"/>
        </w:rPr>
        <w:t xml:space="preserve">13 </w:t>
      </w:r>
      <w:r w:rsidR="00D929A5" w:rsidRPr="0019035A">
        <w:rPr>
          <w:rFonts w:cs="Arial"/>
        </w:rPr>
        <w:t>issues, which it deemed common cause</w:t>
      </w:r>
      <w:r w:rsidR="0073369F" w:rsidRPr="0019035A">
        <w:rPr>
          <w:rFonts w:cs="Arial"/>
        </w:rPr>
        <w:t>.</w:t>
      </w:r>
      <w:r w:rsidR="0073369F" w:rsidRPr="0019035A">
        <w:rPr>
          <w:rStyle w:val="FootnoteReference"/>
          <w:rFonts w:cs="Arial"/>
        </w:rPr>
        <w:footnoteReference w:id="18"/>
      </w:r>
      <w:r w:rsidR="0073369F" w:rsidRPr="0019035A">
        <w:rPr>
          <w:rFonts w:cs="Arial"/>
        </w:rPr>
        <w:t xml:space="preserve"> These </w:t>
      </w:r>
      <w:r w:rsidR="004943A1" w:rsidRPr="0019035A">
        <w:rPr>
          <w:rFonts w:cs="Arial"/>
        </w:rPr>
        <w:t>so-called</w:t>
      </w:r>
      <w:r w:rsidR="0073369F" w:rsidRPr="0019035A">
        <w:rPr>
          <w:rFonts w:cs="Arial"/>
        </w:rPr>
        <w:t xml:space="preserve"> common cause facts went to great length to demonstrate that the Respondents did not deny being in breach of the general rules when either suspending</w:t>
      </w:r>
      <w:r w:rsidR="000378F6" w:rsidRPr="0019035A">
        <w:rPr>
          <w:rFonts w:cs="Arial"/>
        </w:rPr>
        <w:t xml:space="preserve">, </w:t>
      </w:r>
      <w:r w:rsidR="0073369F" w:rsidRPr="0019035A">
        <w:rPr>
          <w:rFonts w:cs="Arial"/>
        </w:rPr>
        <w:t>disciplining or expelling the Applicants.</w:t>
      </w:r>
    </w:p>
    <w:p w14:paraId="0B57EB19" w14:textId="77777777" w:rsidR="007C6954" w:rsidRPr="0019035A" w:rsidRDefault="007C6954" w:rsidP="007C6954">
      <w:pPr>
        <w:tabs>
          <w:tab w:val="left" w:pos="851"/>
        </w:tabs>
        <w:spacing w:line="360" w:lineRule="auto"/>
        <w:jc w:val="both"/>
        <w:rPr>
          <w:rFonts w:cs="Arial"/>
        </w:rPr>
      </w:pPr>
    </w:p>
    <w:p w14:paraId="3DEF99AC" w14:textId="028D9434" w:rsidR="0073369F" w:rsidRPr="0019035A" w:rsidRDefault="00800158" w:rsidP="00800158">
      <w:pPr>
        <w:tabs>
          <w:tab w:val="left" w:pos="851"/>
        </w:tabs>
        <w:spacing w:line="360" w:lineRule="auto"/>
        <w:jc w:val="both"/>
        <w:rPr>
          <w:rFonts w:cs="Arial"/>
        </w:rPr>
      </w:pPr>
      <w:r w:rsidRPr="0019035A">
        <w:rPr>
          <w:rFonts w:cs="Arial"/>
        </w:rPr>
        <w:t>[37]</w:t>
      </w:r>
      <w:r w:rsidRPr="0019035A">
        <w:rPr>
          <w:rFonts w:cs="Arial"/>
        </w:rPr>
        <w:tab/>
      </w:r>
      <w:r w:rsidR="0073369F" w:rsidRPr="0019035A">
        <w:rPr>
          <w:rFonts w:cs="Arial"/>
        </w:rPr>
        <w:t xml:space="preserve">Applicants argued that </w:t>
      </w:r>
      <w:r w:rsidR="007C3486">
        <w:rPr>
          <w:rFonts w:cs="Arial"/>
        </w:rPr>
        <w:t>they</w:t>
      </w:r>
      <w:r w:rsidR="0073369F" w:rsidRPr="0019035A">
        <w:rPr>
          <w:rFonts w:cs="Arial"/>
        </w:rPr>
        <w:t xml:space="preserve"> were </w:t>
      </w:r>
      <w:r w:rsidR="0095190A">
        <w:rPr>
          <w:rFonts w:cs="Arial"/>
        </w:rPr>
        <w:t xml:space="preserve">denied </w:t>
      </w:r>
      <w:r w:rsidR="0073369F" w:rsidRPr="0019035A">
        <w:rPr>
          <w:rFonts w:cs="Arial"/>
        </w:rPr>
        <w:t xml:space="preserve">access to education which although a constitutional imperative is also a vehicle for improving the lives of </w:t>
      </w:r>
      <w:r w:rsidR="000378F6" w:rsidRPr="0019035A">
        <w:rPr>
          <w:rFonts w:cs="Arial"/>
        </w:rPr>
        <w:t xml:space="preserve">the </w:t>
      </w:r>
      <w:r w:rsidR="0073369F" w:rsidRPr="0019035A">
        <w:rPr>
          <w:rFonts w:cs="Arial"/>
        </w:rPr>
        <w:t xml:space="preserve">masses. </w:t>
      </w:r>
    </w:p>
    <w:p w14:paraId="6F62FA3C" w14:textId="77777777" w:rsidR="0073369F" w:rsidRPr="0019035A" w:rsidRDefault="0073369F" w:rsidP="0019035A">
      <w:pPr>
        <w:pStyle w:val="ListParagraph"/>
        <w:spacing w:line="360" w:lineRule="auto"/>
        <w:rPr>
          <w:rFonts w:cs="Arial"/>
        </w:rPr>
      </w:pPr>
    </w:p>
    <w:p w14:paraId="43601114" w14:textId="4AF3B5AD" w:rsidR="004943A1" w:rsidRPr="007C6954" w:rsidRDefault="00800158" w:rsidP="00800158">
      <w:pPr>
        <w:tabs>
          <w:tab w:val="left" w:pos="851"/>
        </w:tabs>
        <w:spacing w:line="360" w:lineRule="auto"/>
        <w:jc w:val="both"/>
        <w:rPr>
          <w:rFonts w:cs="Arial"/>
        </w:rPr>
      </w:pPr>
      <w:r w:rsidRPr="007C6954">
        <w:rPr>
          <w:rFonts w:cs="Arial"/>
        </w:rPr>
        <w:t>[38]</w:t>
      </w:r>
      <w:r w:rsidRPr="007C6954">
        <w:rPr>
          <w:rFonts w:cs="Arial"/>
        </w:rPr>
        <w:tab/>
      </w:r>
      <w:r w:rsidR="0073369F" w:rsidRPr="0019035A">
        <w:rPr>
          <w:rFonts w:cs="Arial"/>
        </w:rPr>
        <w:t>The Applicants also view the policies of NSFAS and the fact that the university did not send the requisite information to NSFAS as a failure by NSFAS and/or the university to advance the Applicants’</w:t>
      </w:r>
      <w:r w:rsidR="00E42965" w:rsidRPr="0019035A">
        <w:rPr>
          <w:rFonts w:cs="Arial"/>
        </w:rPr>
        <w:t xml:space="preserve"> right to education.</w:t>
      </w:r>
    </w:p>
    <w:p w14:paraId="3B1A7457" w14:textId="2605E375" w:rsidR="00E42965" w:rsidRPr="0019035A" w:rsidRDefault="00800158" w:rsidP="00800158">
      <w:pPr>
        <w:tabs>
          <w:tab w:val="left" w:pos="851"/>
        </w:tabs>
        <w:spacing w:line="360" w:lineRule="auto"/>
        <w:jc w:val="both"/>
        <w:rPr>
          <w:rFonts w:cs="Arial"/>
        </w:rPr>
      </w:pPr>
      <w:r w:rsidRPr="0019035A">
        <w:rPr>
          <w:rFonts w:cs="Arial"/>
        </w:rPr>
        <w:t>[39]</w:t>
      </w:r>
      <w:r w:rsidRPr="0019035A">
        <w:rPr>
          <w:rFonts w:cs="Arial"/>
        </w:rPr>
        <w:tab/>
      </w:r>
      <w:r w:rsidR="00E42965" w:rsidRPr="0019035A">
        <w:rPr>
          <w:rFonts w:cs="Arial"/>
        </w:rPr>
        <w:t xml:space="preserve">With regard to the unlawful suspensions, Applicants assert that the Seventeenth, Eighteenth and Nineteenth Applicants were suspended without being given an opportunity to make representations which is </w:t>
      </w:r>
      <w:r w:rsidR="000832BA" w:rsidRPr="0019035A">
        <w:rPr>
          <w:rFonts w:cs="Arial"/>
        </w:rPr>
        <w:t xml:space="preserve">in </w:t>
      </w:r>
      <w:r w:rsidR="00E42965" w:rsidRPr="0019035A">
        <w:rPr>
          <w:rFonts w:cs="Arial"/>
        </w:rPr>
        <w:t>contravention of s 3(2)(</w:t>
      </w:r>
      <w:r w:rsidR="00E42965" w:rsidRPr="007C6954">
        <w:rPr>
          <w:rFonts w:cs="Arial"/>
          <w:i/>
        </w:rPr>
        <w:t>b</w:t>
      </w:r>
      <w:r w:rsidR="00E42965" w:rsidRPr="0019035A">
        <w:rPr>
          <w:rFonts w:cs="Arial"/>
        </w:rPr>
        <w:t>)(ii) of PAJA.</w:t>
      </w:r>
    </w:p>
    <w:p w14:paraId="6A0653D4" w14:textId="77777777" w:rsidR="00E42965" w:rsidRPr="0019035A" w:rsidRDefault="00E42965" w:rsidP="0019035A">
      <w:pPr>
        <w:pStyle w:val="ListParagraph"/>
        <w:spacing w:line="360" w:lineRule="auto"/>
        <w:rPr>
          <w:rFonts w:cs="Arial"/>
        </w:rPr>
      </w:pPr>
    </w:p>
    <w:p w14:paraId="029A06DF" w14:textId="7C0D51BE" w:rsidR="00E42965" w:rsidRPr="0019035A" w:rsidRDefault="00800158" w:rsidP="00800158">
      <w:pPr>
        <w:tabs>
          <w:tab w:val="left" w:pos="851"/>
        </w:tabs>
        <w:spacing w:line="360" w:lineRule="auto"/>
        <w:jc w:val="both"/>
        <w:rPr>
          <w:rFonts w:cs="Arial"/>
        </w:rPr>
      </w:pPr>
      <w:r w:rsidRPr="0019035A">
        <w:rPr>
          <w:rFonts w:cs="Arial"/>
        </w:rPr>
        <w:t>[40]</w:t>
      </w:r>
      <w:r w:rsidRPr="0019035A">
        <w:rPr>
          <w:rFonts w:cs="Arial"/>
        </w:rPr>
        <w:tab/>
      </w:r>
      <w:r w:rsidR="00E42965" w:rsidRPr="0019035A">
        <w:rPr>
          <w:rFonts w:cs="Arial"/>
        </w:rPr>
        <w:t>On the other hand, Respondents assert that the suspensions were not punitive in nature but merely precautionary and justified in the circumstances.</w:t>
      </w:r>
      <w:r w:rsidR="00DA6A0C" w:rsidRPr="0019035A">
        <w:rPr>
          <w:rFonts w:cs="Arial"/>
        </w:rPr>
        <w:t xml:space="preserve"> Respondents aver</w:t>
      </w:r>
      <w:r w:rsidR="00DA6A0C" w:rsidRPr="0019035A">
        <w:rPr>
          <w:rStyle w:val="FootnoteReference"/>
          <w:rFonts w:cs="Arial"/>
        </w:rPr>
        <w:footnoteReference w:id="19"/>
      </w:r>
      <w:r w:rsidR="00DA6A0C" w:rsidRPr="0019035A">
        <w:rPr>
          <w:rFonts w:cs="Arial"/>
        </w:rPr>
        <w:t xml:space="preserve"> that s</w:t>
      </w:r>
      <w:r w:rsidR="00A83A08">
        <w:rPr>
          <w:rFonts w:cs="Arial"/>
        </w:rPr>
        <w:t xml:space="preserve">ection </w:t>
      </w:r>
      <w:r w:rsidR="00DA6A0C" w:rsidRPr="0019035A">
        <w:rPr>
          <w:rFonts w:cs="Arial"/>
        </w:rPr>
        <w:t>G</w:t>
      </w:r>
      <w:r w:rsidR="00047F19">
        <w:rPr>
          <w:rFonts w:cs="Arial"/>
        </w:rPr>
        <w:t>.</w:t>
      </w:r>
      <w:r w:rsidR="00DA6A0C" w:rsidRPr="0019035A">
        <w:rPr>
          <w:rFonts w:cs="Arial"/>
        </w:rPr>
        <w:t>26</w:t>
      </w:r>
      <w:r w:rsidR="00047F19">
        <w:rPr>
          <w:rFonts w:cs="Arial"/>
        </w:rPr>
        <w:t>.1</w:t>
      </w:r>
      <w:r w:rsidR="00DA6A0C" w:rsidRPr="0019035A">
        <w:rPr>
          <w:rFonts w:cs="Arial"/>
        </w:rPr>
        <w:t xml:space="preserve">(e) refers to the power afforded to the </w:t>
      </w:r>
      <w:r w:rsidR="007C5C14">
        <w:rPr>
          <w:rFonts w:cs="Arial"/>
        </w:rPr>
        <w:t>P</w:t>
      </w:r>
      <w:r w:rsidR="00DA6A0C" w:rsidRPr="0019035A">
        <w:rPr>
          <w:rFonts w:cs="Arial"/>
        </w:rPr>
        <w:t>rincipal to impose precautionary suspensions which is not punitive in nature. In support of that proposition, Respondents refer</w:t>
      </w:r>
      <w:r w:rsidR="007C3486">
        <w:rPr>
          <w:rFonts w:cs="Arial"/>
        </w:rPr>
        <w:t>red</w:t>
      </w:r>
      <w:r w:rsidR="00DA6A0C" w:rsidRPr="0019035A">
        <w:rPr>
          <w:rFonts w:cs="Arial"/>
        </w:rPr>
        <w:t xml:space="preserve"> me to </w:t>
      </w:r>
      <w:r w:rsidR="00DA6A0C" w:rsidRPr="0019035A">
        <w:rPr>
          <w:rFonts w:cs="Arial"/>
          <w:i/>
          <w:iCs/>
        </w:rPr>
        <w:t xml:space="preserve">Long v </w:t>
      </w:r>
      <w:r w:rsidR="00047F19">
        <w:rPr>
          <w:rFonts w:cs="Arial"/>
          <w:i/>
          <w:iCs/>
        </w:rPr>
        <w:t xml:space="preserve">SA </w:t>
      </w:r>
      <w:r w:rsidR="00DA6A0C" w:rsidRPr="0019035A">
        <w:rPr>
          <w:rFonts w:cs="Arial"/>
          <w:i/>
          <w:iCs/>
        </w:rPr>
        <w:t>Breweries (Pty) Ltd and Others</w:t>
      </w:r>
      <w:r w:rsidR="00DA6A0C" w:rsidRPr="0019035A">
        <w:rPr>
          <w:rStyle w:val="FootnoteReference"/>
          <w:rFonts w:cs="Arial"/>
        </w:rPr>
        <w:footnoteReference w:id="20"/>
      </w:r>
      <w:r w:rsidR="00DA6A0C" w:rsidRPr="0019035A">
        <w:rPr>
          <w:rFonts w:cs="Arial"/>
        </w:rPr>
        <w:t xml:space="preserve"> where in the context of labour law, the </w:t>
      </w:r>
      <w:r w:rsidR="00932DCD">
        <w:rPr>
          <w:rFonts w:cs="Arial"/>
        </w:rPr>
        <w:t xml:space="preserve">Constitutional </w:t>
      </w:r>
      <w:r w:rsidR="00DA6A0C" w:rsidRPr="0019035A">
        <w:rPr>
          <w:rFonts w:cs="Arial"/>
        </w:rPr>
        <w:t xml:space="preserve">Court confirmed that there is no requirement to afford the employee an opportunity to make representations prior to implementation of his/her precautionary suspension by an employer. </w:t>
      </w:r>
    </w:p>
    <w:p w14:paraId="76F82C9F" w14:textId="77777777" w:rsidR="00E42965" w:rsidRPr="0019035A" w:rsidRDefault="00E42965" w:rsidP="0019035A">
      <w:pPr>
        <w:pStyle w:val="ListParagraph"/>
        <w:spacing w:line="360" w:lineRule="auto"/>
        <w:rPr>
          <w:rFonts w:cs="Arial"/>
        </w:rPr>
      </w:pPr>
    </w:p>
    <w:p w14:paraId="3EDE7340" w14:textId="3BA9CC3F" w:rsidR="00E42965" w:rsidRPr="0019035A" w:rsidRDefault="00800158" w:rsidP="00800158">
      <w:pPr>
        <w:tabs>
          <w:tab w:val="left" w:pos="851"/>
        </w:tabs>
        <w:spacing w:line="360" w:lineRule="auto"/>
        <w:jc w:val="both"/>
        <w:rPr>
          <w:rFonts w:cs="Arial"/>
        </w:rPr>
      </w:pPr>
      <w:r w:rsidRPr="0019035A">
        <w:rPr>
          <w:rFonts w:cs="Arial"/>
        </w:rPr>
        <w:t>[41]</w:t>
      </w:r>
      <w:r w:rsidRPr="0019035A">
        <w:rPr>
          <w:rFonts w:cs="Arial"/>
        </w:rPr>
        <w:tab/>
      </w:r>
      <w:r w:rsidR="00561362" w:rsidRPr="0019035A">
        <w:rPr>
          <w:rFonts w:cs="Arial"/>
        </w:rPr>
        <w:t xml:space="preserve">Considering </w:t>
      </w:r>
      <w:r w:rsidR="00561362" w:rsidRPr="0019035A">
        <w:rPr>
          <w:rFonts w:cs="Arial"/>
          <w:i/>
          <w:iCs/>
        </w:rPr>
        <w:t>Long</w:t>
      </w:r>
      <w:r w:rsidR="00561362" w:rsidRPr="0019035A">
        <w:rPr>
          <w:rFonts w:cs="Arial"/>
        </w:rPr>
        <w:t xml:space="preserve">, section G.26.1(e) of the </w:t>
      </w:r>
      <w:r w:rsidR="00E42965" w:rsidRPr="0019035A">
        <w:rPr>
          <w:rFonts w:cs="Arial"/>
        </w:rPr>
        <w:t>general rules</w:t>
      </w:r>
      <w:r w:rsidR="0095190A">
        <w:rPr>
          <w:rFonts w:cs="Arial"/>
        </w:rPr>
        <w:t xml:space="preserve"> is </w:t>
      </w:r>
      <w:r w:rsidR="00561362" w:rsidRPr="0019035A">
        <w:rPr>
          <w:rFonts w:cs="Arial"/>
        </w:rPr>
        <w:t xml:space="preserve">not unconstitutional. </w:t>
      </w:r>
    </w:p>
    <w:p w14:paraId="3ABF04C3" w14:textId="77777777" w:rsidR="00E42965" w:rsidRPr="0019035A" w:rsidRDefault="00E42965" w:rsidP="0019035A">
      <w:pPr>
        <w:pStyle w:val="ListParagraph"/>
        <w:spacing w:line="360" w:lineRule="auto"/>
        <w:rPr>
          <w:rFonts w:cs="Arial"/>
        </w:rPr>
      </w:pPr>
    </w:p>
    <w:p w14:paraId="7B4C5753" w14:textId="7BDBD5E6" w:rsidR="00E42965" w:rsidRPr="0019035A" w:rsidRDefault="00800158" w:rsidP="00800158">
      <w:pPr>
        <w:tabs>
          <w:tab w:val="left" w:pos="851"/>
        </w:tabs>
        <w:spacing w:line="360" w:lineRule="auto"/>
        <w:jc w:val="both"/>
        <w:rPr>
          <w:rFonts w:cs="Arial"/>
        </w:rPr>
      </w:pPr>
      <w:r w:rsidRPr="0019035A">
        <w:rPr>
          <w:rFonts w:cs="Arial"/>
        </w:rPr>
        <w:t>[42]</w:t>
      </w:r>
      <w:r w:rsidRPr="0019035A">
        <w:rPr>
          <w:rFonts w:cs="Arial"/>
        </w:rPr>
        <w:tab/>
      </w:r>
      <w:r w:rsidR="00E42965" w:rsidRPr="0019035A">
        <w:rPr>
          <w:rFonts w:cs="Arial"/>
        </w:rPr>
        <w:t>With regard to the expulsions, the Applicants aver that the Fifth to the Sixth, Eighth to the Fifteenth and Seventeenth to the Nineteenth Applicants were expelled from the university pursuant to disciplinary proceedings that took place between 25 July 2022 and 28 July 2022 following upon their suspensions.</w:t>
      </w:r>
      <w:r w:rsidR="00E42965" w:rsidRPr="0019035A">
        <w:rPr>
          <w:rStyle w:val="FootnoteReference"/>
          <w:rFonts w:cs="Arial"/>
        </w:rPr>
        <w:footnoteReference w:id="21"/>
      </w:r>
    </w:p>
    <w:p w14:paraId="1E8D6EDE" w14:textId="77777777" w:rsidR="00153D75" w:rsidRPr="0019035A" w:rsidRDefault="00153D75" w:rsidP="0019035A">
      <w:pPr>
        <w:pStyle w:val="ListParagraph"/>
        <w:spacing w:line="360" w:lineRule="auto"/>
        <w:rPr>
          <w:rFonts w:cs="Arial"/>
        </w:rPr>
      </w:pPr>
    </w:p>
    <w:p w14:paraId="7A976F15" w14:textId="1840752C" w:rsidR="00153D75" w:rsidRPr="0019035A" w:rsidRDefault="00800158" w:rsidP="00800158">
      <w:pPr>
        <w:tabs>
          <w:tab w:val="left" w:pos="851"/>
        </w:tabs>
        <w:spacing w:line="360" w:lineRule="auto"/>
        <w:jc w:val="both"/>
        <w:rPr>
          <w:rFonts w:cs="Arial"/>
        </w:rPr>
      </w:pPr>
      <w:r w:rsidRPr="0019035A">
        <w:rPr>
          <w:rFonts w:cs="Arial"/>
        </w:rPr>
        <w:t>[43]</w:t>
      </w:r>
      <w:r w:rsidRPr="0019035A">
        <w:rPr>
          <w:rFonts w:cs="Arial"/>
        </w:rPr>
        <w:tab/>
      </w:r>
      <w:r w:rsidR="009F5302" w:rsidRPr="0019035A">
        <w:rPr>
          <w:rFonts w:cs="Arial"/>
        </w:rPr>
        <w:t xml:space="preserve">Applicants aver that while </w:t>
      </w:r>
      <w:r w:rsidR="0095190A">
        <w:rPr>
          <w:rFonts w:cs="Arial"/>
        </w:rPr>
        <w:t xml:space="preserve">section </w:t>
      </w:r>
      <w:r w:rsidR="003C3D01" w:rsidRPr="0019035A">
        <w:rPr>
          <w:rFonts w:cs="Arial"/>
        </w:rPr>
        <w:t>G</w:t>
      </w:r>
      <w:r w:rsidR="009F5302" w:rsidRPr="0019035A">
        <w:rPr>
          <w:rFonts w:cs="Arial"/>
        </w:rPr>
        <w:t xml:space="preserve">.26.4 of the general rules provide that students charged with misconduct should be provided with written notification of such allegations for misconduct in writing within </w:t>
      </w:r>
      <w:r w:rsidR="007C3486">
        <w:rPr>
          <w:rFonts w:cs="Arial"/>
        </w:rPr>
        <w:t>14</w:t>
      </w:r>
      <w:r w:rsidR="007C3486" w:rsidRPr="0019035A">
        <w:rPr>
          <w:rFonts w:cs="Arial"/>
        </w:rPr>
        <w:t xml:space="preserve"> </w:t>
      </w:r>
      <w:r w:rsidR="009F5302" w:rsidRPr="0019035A">
        <w:rPr>
          <w:rFonts w:cs="Arial"/>
        </w:rPr>
        <w:t>days before the hearing</w:t>
      </w:r>
      <w:r w:rsidR="00561362" w:rsidRPr="0019035A">
        <w:rPr>
          <w:rFonts w:cs="Arial"/>
        </w:rPr>
        <w:t>;</w:t>
      </w:r>
      <w:r w:rsidR="009F5302" w:rsidRPr="0019035A">
        <w:rPr>
          <w:rFonts w:cs="Arial"/>
        </w:rPr>
        <w:t xml:space="preserve"> in consequence of the Applicants not being given adequate notice, the general rules were contravened together with s 3(2)(</w:t>
      </w:r>
      <w:r w:rsidR="009F5302" w:rsidRPr="00516386">
        <w:rPr>
          <w:rFonts w:cs="Arial"/>
          <w:i/>
        </w:rPr>
        <w:t>b</w:t>
      </w:r>
      <w:r w:rsidR="009F5302" w:rsidRPr="0019035A">
        <w:rPr>
          <w:rFonts w:cs="Arial"/>
        </w:rPr>
        <w:t xml:space="preserve">)(i) of PAJA. </w:t>
      </w:r>
    </w:p>
    <w:p w14:paraId="00865B5E" w14:textId="77777777" w:rsidR="009F5302" w:rsidRPr="0019035A" w:rsidRDefault="009F5302" w:rsidP="0019035A">
      <w:pPr>
        <w:pStyle w:val="ListParagraph"/>
        <w:spacing w:line="360" w:lineRule="auto"/>
        <w:rPr>
          <w:rFonts w:cs="Arial"/>
        </w:rPr>
      </w:pPr>
    </w:p>
    <w:p w14:paraId="7260A427" w14:textId="67CF56C3" w:rsidR="009F5302" w:rsidRPr="0019035A" w:rsidRDefault="00800158" w:rsidP="00800158">
      <w:pPr>
        <w:tabs>
          <w:tab w:val="left" w:pos="851"/>
        </w:tabs>
        <w:spacing w:line="360" w:lineRule="auto"/>
        <w:jc w:val="both"/>
        <w:rPr>
          <w:rFonts w:cs="Arial"/>
        </w:rPr>
      </w:pPr>
      <w:r w:rsidRPr="0019035A">
        <w:rPr>
          <w:rFonts w:cs="Arial"/>
        </w:rPr>
        <w:t>[44]</w:t>
      </w:r>
      <w:r w:rsidRPr="0019035A">
        <w:rPr>
          <w:rFonts w:cs="Arial"/>
        </w:rPr>
        <w:tab/>
      </w:r>
      <w:r w:rsidR="009F5302" w:rsidRPr="0019035A">
        <w:rPr>
          <w:rFonts w:cs="Arial"/>
        </w:rPr>
        <w:t xml:space="preserve">Again, this submission does not advance any ground for </w:t>
      </w:r>
      <w:r w:rsidR="0027706A">
        <w:rPr>
          <w:rFonts w:cs="Arial"/>
        </w:rPr>
        <w:t xml:space="preserve">the </w:t>
      </w:r>
      <w:r w:rsidR="009F5302" w:rsidRPr="0019035A">
        <w:rPr>
          <w:rFonts w:cs="Arial"/>
        </w:rPr>
        <w:t xml:space="preserve">granting of any relief in </w:t>
      </w:r>
      <w:r w:rsidR="007C3486">
        <w:rPr>
          <w:rFonts w:cs="Arial"/>
        </w:rPr>
        <w:t>P</w:t>
      </w:r>
      <w:r w:rsidR="009F5302" w:rsidRPr="0019035A">
        <w:rPr>
          <w:rFonts w:cs="Arial"/>
        </w:rPr>
        <w:t>art A</w:t>
      </w:r>
      <w:r w:rsidR="00AD157B" w:rsidRPr="0019035A">
        <w:rPr>
          <w:rFonts w:cs="Arial"/>
        </w:rPr>
        <w:t>;</w:t>
      </w:r>
      <w:r w:rsidR="009F5302" w:rsidRPr="0019035A">
        <w:rPr>
          <w:rFonts w:cs="Arial"/>
        </w:rPr>
        <w:t xml:space="preserve"> because </w:t>
      </w:r>
      <w:r w:rsidR="007C3486">
        <w:rPr>
          <w:rFonts w:cs="Arial"/>
        </w:rPr>
        <w:t>P</w:t>
      </w:r>
      <w:r w:rsidR="009F5302" w:rsidRPr="0019035A">
        <w:rPr>
          <w:rFonts w:cs="Arial"/>
        </w:rPr>
        <w:t xml:space="preserve">art A deals with a constitutional invalidity while the grounds advanced here suggest that the </w:t>
      </w:r>
      <w:r w:rsidR="00491FD1" w:rsidRPr="0019035A">
        <w:rPr>
          <w:rFonts w:cs="Arial"/>
        </w:rPr>
        <w:t xml:space="preserve">university </w:t>
      </w:r>
      <w:r w:rsidR="009F5302" w:rsidRPr="0019035A">
        <w:rPr>
          <w:rFonts w:cs="Arial"/>
        </w:rPr>
        <w:t xml:space="preserve">has failed to follow its own rules and not that the rules are unconstitutional. </w:t>
      </w:r>
    </w:p>
    <w:p w14:paraId="118D5E01" w14:textId="77777777" w:rsidR="009F5302" w:rsidRPr="0019035A" w:rsidRDefault="009F5302" w:rsidP="0019035A">
      <w:pPr>
        <w:spacing w:line="360" w:lineRule="auto"/>
        <w:rPr>
          <w:rFonts w:cs="Arial"/>
        </w:rPr>
      </w:pPr>
    </w:p>
    <w:p w14:paraId="415FC174" w14:textId="090A363C" w:rsidR="009F5302" w:rsidRPr="0019035A" w:rsidRDefault="00800158" w:rsidP="00800158">
      <w:pPr>
        <w:tabs>
          <w:tab w:val="left" w:pos="851"/>
        </w:tabs>
        <w:spacing w:line="360" w:lineRule="auto"/>
        <w:jc w:val="both"/>
        <w:rPr>
          <w:rFonts w:cs="Arial"/>
        </w:rPr>
      </w:pPr>
      <w:r w:rsidRPr="0019035A">
        <w:rPr>
          <w:rFonts w:cs="Arial"/>
        </w:rPr>
        <w:t>[45]</w:t>
      </w:r>
      <w:r w:rsidRPr="0019035A">
        <w:rPr>
          <w:rFonts w:cs="Arial"/>
        </w:rPr>
        <w:tab/>
      </w:r>
      <w:r w:rsidR="009F5302" w:rsidRPr="0019035A">
        <w:rPr>
          <w:rFonts w:cs="Arial"/>
        </w:rPr>
        <w:t xml:space="preserve">Applicants takes issue with the composition of the students’ disciplinary committee which is composed in terms of </w:t>
      </w:r>
      <w:r w:rsidR="0027706A">
        <w:rPr>
          <w:rFonts w:cs="Arial"/>
        </w:rPr>
        <w:t>section</w:t>
      </w:r>
      <w:r w:rsidR="0027706A" w:rsidRPr="0019035A">
        <w:rPr>
          <w:rFonts w:cs="Arial"/>
        </w:rPr>
        <w:t xml:space="preserve"> </w:t>
      </w:r>
      <w:r w:rsidR="0024041F" w:rsidRPr="0019035A">
        <w:rPr>
          <w:rFonts w:cs="Arial"/>
        </w:rPr>
        <w:t>G</w:t>
      </w:r>
      <w:r w:rsidR="009F5302" w:rsidRPr="0019035A">
        <w:rPr>
          <w:rFonts w:cs="Arial"/>
        </w:rPr>
        <w:t>.26.5.2</w:t>
      </w:r>
      <w:r w:rsidR="0096681C">
        <w:rPr>
          <w:rFonts w:cs="Arial"/>
        </w:rPr>
        <w:t>(a)</w:t>
      </w:r>
      <w:r w:rsidR="009F5302" w:rsidRPr="0019035A">
        <w:rPr>
          <w:rFonts w:cs="Arial"/>
        </w:rPr>
        <w:t>.</w:t>
      </w:r>
      <w:r w:rsidR="009F5302" w:rsidRPr="0019035A">
        <w:rPr>
          <w:rStyle w:val="FootnoteReference"/>
          <w:rFonts w:cs="Arial"/>
        </w:rPr>
        <w:footnoteReference w:id="22"/>
      </w:r>
      <w:r w:rsidR="009F5302" w:rsidRPr="0019035A">
        <w:rPr>
          <w:rFonts w:cs="Arial"/>
        </w:rPr>
        <w:t xml:space="preserve"> The Applicants assert that the said rule was not complied with because there was no person with </w:t>
      </w:r>
      <w:r w:rsidR="0096681C">
        <w:rPr>
          <w:rFonts w:cs="Arial"/>
        </w:rPr>
        <w:t>a</w:t>
      </w:r>
      <w:r w:rsidR="0096681C" w:rsidRPr="0019035A">
        <w:rPr>
          <w:rFonts w:cs="Arial"/>
        </w:rPr>
        <w:t xml:space="preserve"> </w:t>
      </w:r>
      <w:r w:rsidR="009F5302" w:rsidRPr="0019035A">
        <w:rPr>
          <w:rFonts w:cs="Arial"/>
        </w:rPr>
        <w:t>legal background present and the SRC members who formed part of the composition of the committee were not designated by the SRC</w:t>
      </w:r>
      <w:r w:rsidR="00561362" w:rsidRPr="0019035A">
        <w:rPr>
          <w:rFonts w:cs="Arial"/>
        </w:rPr>
        <w:t xml:space="preserve"> as prescribed by the general rules</w:t>
      </w:r>
      <w:r w:rsidR="009F5302" w:rsidRPr="0019035A">
        <w:rPr>
          <w:rFonts w:cs="Arial"/>
        </w:rPr>
        <w:t>.</w:t>
      </w:r>
      <w:r w:rsidR="009F5302" w:rsidRPr="0019035A">
        <w:rPr>
          <w:rStyle w:val="FootnoteReference"/>
          <w:rFonts w:cs="Arial"/>
        </w:rPr>
        <w:footnoteReference w:id="23"/>
      </w:r>
    </w:p>
    <w:p w14:paraId="5D1989B1" w14:textId="77777777" w:rsidR="00153D75" w:rsidRPr="0019035A" w:rsidRDefault="00153D75" w:rsidP="0019035A">
      <w:pPr>
        <w:pStyle w:val="ListParagraph"/>
        <w:spacing w:line="360" w:lineRule="auto"/>
        <w:rPr>
          <w:rFonts w:cs="Arial"/>
        </w:rPr>
      </w:pPr>
    </w:p>
    <w:p w14:paraId="1647D741" w14:textId="515D72CE" w:rsidR="00153D75" w:rsidRPr="0019035A" w:rsidRDefault="00800158" w:rsidP="00800158">
      <w:pPr>
        <w:tabs>
          <w:tab w:val="left" w:pos="851"/>
        </w:tabs>
        <w:spacing w:line="360" w:lineRule="auto"/>
        <w:jc w:val="both"/>
        <w:rPr>
          <w:rFonts w:cs="Arial"/>
        </w:rPr>
      </w:pPr>
      <w:r w:rsidRPr="0019035A">
        <w:rPr>
          <w:rFonts w:cs="Arial"/>
        </w:rPr>
        <w:t>[46]</w:t>
      </w:r>
      <w:r w:rsidRPr="0019035A">
        <w:rPr>
          <w:rFonts w:cs="Arial"/>
        </w:rPr>
        <w:tab/>
      </w:r>
      <w:r w:rsidR="009F5302" w:rsidRPr="0019035A">
        <w:rPr>
          <w:rFonts w:cs="Arial"/>
        </w:rPr>
        <w:t xml:space="preserve">Again, this issue is pertinent to </w:t>
      </w:r>
      <w:r w:rsidR="007C6954">
        <w:rPr>
          <w:rFonts w:cs="Arial"/>
        </w:rPr>
        <w:t>P</w:t>
      </w:r>
      <w:r w:rsidR="009F5302" w:rsidRPr="0019035A">
        <w:rPr>
          <w:rFonts w:cs="Arial"/>
        </w:rPr>
        <w:t>art B of the application because it refers to non-compliance with the rules as opposed to a constitutional invalidity.</w:t>
      </w:r>
    </w:p>
    <w:p w14:paraId="090B7996" w14:textId="77777777" w:rsidR="009F5302" w:rsidRPr="0019035A" w:rsidRDefault="009F5302" w:rsidP="0019035A">
      <w:pPr>
        <w:pStyle w:val="ListParagraph"/>
        <w:spacing w:line="360" w:lineRule="auto"/>
        <w:rPr>
          <w:rFonts w:cs="Arial"/>
        </w:rPr>
      </w:pPr>
    </w:p>
    <w:p w14:paraId="07A611F4" w14:textId="67E4D8C9" w:rsidR="009F5302" w:rsidRPr="0019035A" w:rsidRDefault="00800158" w:rsidP="00800158">
      <w:pPr>
        <w:tabs>
          <w:tab w:val="left" w:pos="851"/>
        </w:tabs>
        <w:spacing w:line="360" w:lineRule="auto"/>
        <w:jc w:val="both"/>
        <w:rPr>
          <w:rFonts w:cs="Arial"/>
        </w:rPr>
      </w:pPr>
      <w:r w:rsidRPr="0019035A">
        <w:rPr>
          <w:rFonts w:cs="Arial"/>
        </w:rPr>
        <w:t>[47]</w:t>
      </w:r>
      <w:r w:rsidRPr="0019035A">
        <w:rPr>
          <w:rFonts w:cs="Arial"/>
        </w:rPr>
        <w:tab/>
      </w:r>
      <w:r w:rsidR="009F5302" w:rsidRPr="0019035A">
        <w:rPr>
          <w:rFonts w:cs="Arial"/>
        </w:rPr>
        <w:t>Applicants further aver that the First to the Sixth, the Eighth to the Fifteenth and the Seventeenth Applicants’ right to a fair hearing were violated because they were denied an opportunity</w:t>
      </w:r>
      <w:r w:rsidR="003B6241" w:rsidRPr="0019035A">
        <w:rPr>
          <w:rFonts w:cs="Arial"/>
        </w:rPr>
        <w:t>:</w:t>
      </w:r>
      <w:r w:rsidR="009F5302" w:rsidRPr="0019035A">
        <w:rPr>
          <w:rStyle w:val="FootnoteReference"/>
          <w:rFonts w:cs="Arial"/>
        </w:rPr>
        <w:footnoteReference w:id="24"/>
      </w:r>
    </w:p>
    <w:p w14:paraId="7BB9CE6F" w14:textId="11A9DA8B" w:rsidR="003B6241" w:rsidRPr="0019035A" w:rsidRDefault="003B6241" w:rsidP="00A83A08">
      <w:pPr>
        <w:pStyle w:val="FootnoteText"/>
        <w:spacing w:line="360" w:lineRule="auto"/>
        <w:jc w:val="both"/>
        <w:rPr>
          <w:rFonts w:cs="Arial"/>
          <w:sz w:val="22"/>
          <w:lang w:val="en-US"/>
        </w:rPr>
      </w:pPr>
      <w:r w:rsidRPr="0019035A">
        <w:rPr>
          <w:rFonts w:cs="Arial"/>
          <w:lang w:val="en-US"/>
        </w:rPr>
        <w:t>‘</w:t>
      </w:r>
      <w:r w:rsidRPr="0019035A">
        <w:rPr>
          <w:rFonts w:cs="Arial"/>
          <w:sz w:val="22"/>
          <w:lang w:val="en-US"/>
        </w:rPr>
        <w:t>41.1.</w:t>
      </w:r>
      <w:r w:rsidRPr="0019035A">
        <w:rPr>
          <w:rFonts w:cs="Arial"/>
          <w:sz w:val="22"/>
          <w:lang w:val="en-US"/>
        </w:rPr>
        <w:tab/>
        <w:t xml:space="preserve">to give evidence in their </w:t>
      </w:r>
      <w:r w:rsidR="0096681C">
        <w:rPr>
          <w:rFonts w:cs="Arial"/>
          <w:sz w:val="22"/>
          <w:lang w:val="en-US"/>
        </w:rPr>
        <w:t xml:space="preserve">own </w:t>
      </w:r>
      <w:r w:rsidRPr="0019035A">
        <w:rPr>
          <w:rFonts w:cs="Arial"/>
          <w:sz w:val="22"/>
          <w:lang w:val="en-US"/>
        </w:rPr>
        <w:t>defen</w:t>
      </w:r>
      <w:r w:rsidR="0027706A">
        <w:rPr>
          <w:rFonts w:cs="Arial"/>
          <w:sz w:val="22"/>
          <w:lang w:val="en-US"/>
        </w:rPr>
        <w:t>s</w:t>
      </w:r>
      <w:r w:rsidRPr="0019035A">
        <w:rPr>
          <w:rFonts w:cs="Arial"/>
          <w:sz w:val="22"/>
          <w:lang w:val="en-US"/>
        </w:rPr>
        <w:t xml:space="preserve">e either adequately or at all; </w:t>
      </w:r>
    </w:p>
    <w:p w14:paraId="50AFD0D3" w14:textId="77777777" w:rsidR="003B6241" w:rsidRPr="0019035A" w:rsidRDefault="003B6241" w:rsidP="00A83A08">
      <w:pPr>
        <w:pStyle w:val="FootnoteText"/>
        <w:spacing w:line="360" w:lineRule="auto"/>
        <w:ind w:firstLine="720"/>
        <w:jc w:val="both"/>
        <w:rPr>
          <w:rFonts w:cs="Arial"/>
          <w:sz w:val="22"/>
          <w:lang w:val="en-US"/>
        </w:rPr>
      </w:pPr>
    </w:p>
    <w:p w14:paraId="223179E1" w14:textId="5C6412B1" w:rsidR="003B6241" w:rsidRPr="0019035A" w:rsidRDefault="003B6241" w:rsidP="00A83A08">
      <w:pPr>
        <w:pStyle w:val="FootnoteText"/>
        <w:spacing w:line="360" w:lineRule="auto"/>
        <w:jc w:val="both"/>
        <w:rPr>
          <w:rFonts w:cs="Arial"/>
          <w:sz w:val="22"/>
          <w:lang w:val="en-US"/>
        </w:rPr>
      </w:pPr>
      <w:r w:rsidRPr="0019035A">
        <w:rPr>
          <w:rFonts w:cs="Arial"/>
          <w:sz w:val="22"/>
          <w:lang w:val="en-US"/>
        </w:rPr>
        <w:t xml:space="preserve">41.2. </w:t>
      </w:r>
      <w:r w:rsidRPr="0019035A">
        <w:rPr>
          <w:rFonts w:cs="Arial"/>
          <w:sz w:val="22"/>
          <w:lang w:val="en-US"/>
        </w:rPr>
        <w:tab/>
        <w:t>to call witnesses in support of their version;</w:t>
      </w:r>
    </w:p>
    <w:p w14:paraId="062E0771" w14:textId="77777777" w:rsidR="003B6241" w:rsidRPr="0019035A" w:rsidRDefault="003B6241" w:rsidP="00A83A08">
      <w:pPr>
        <w:pStyle w:val="FootnoteText"/>
        <w:spacing w:line="360" w:lineRule="auto"/>
        <w:ind w:firstLine="720"/>
        <w:jc w:val="both"/>
        <w:rPr>
          <w:rFonts w:cs="Arial"/>
          <w:sz w:val="22"/>
          <w:lang w:val="en-US"/>
        </w:rPr>
      </w:pPr>
    </w:p>
    <w:p w14:paraId="5F1D6276" w14:textId="2DA598C4" w:rsidR="003B6241" w:rsidRPr="0019035A" w:rsidRDefault="003B6241" w:rsidP="0096681C">
      <w:pPr>
        <w:pStyle w:val="FootnoteText"/>
        <w:spacing w:line="360" w:lineRule="auto"/>
        <w:ind w:left="720" w:hanging="720"/>
        <w:jc w:val="both"/>
        <w:rPr>
          <w:rFonts w:cs="Arial"/>
          <w:sz w:val="22"/>
          <w:lang w:val="en-US"/>
        </w:rPr>
      </w:pPr>
      <w:r w:rsidRPr="0019035A">
        <w:rPr>
          <w:rFonts w:cs="Arial"/>
          <w:sz w:val="22"/>
          <w:lang w:val="en-US"/>
        </w:rPr>
        <w:t>41.3.</w:t>
      </w:r>
      <w:r w:rsidRPr="0019035A">
        <w:rPr>
          <w:rFonts w:cs="Arial"/>
          <w:sz w:val="22"/>
          <w:lang w:val="en-US"/>
        </w:rPr>
        <w:tab/>
        <w:t>to be represented by either a personal member or external legal representation;</w:t>
      </w:r>
    </w:p>
    <w:p w14:paraId="44E273BD" w14:textId="77777777" w:rsidR="003B6241" w:rsidRPr="0019035A" w:rsidRDefault="003B6241" w:rsidP="00A83A08">
      <w:pPr>
        <w:pStyle w:val="FootnoteText"/>
        <w:spacing w:line="360" w:lineRule="auto"/>
        <w:ind w:left="1440" w:hanging="720"/>
        <w:jc w:val="both"/>
        <w:rPr>
          <w:rFonts w:cs="Arial"/>
          <w:sz w:val="22"/>
          <w:lang w:val="en-US"/>
        </w:rPr>
      </w:pPr>
    </w:p>
    <w:p w14:paraId="05572BC7" w14:textId="5C10B506" w:rsidR="003B6241" w:rsidRPr="0019035A" w:rsidRDefault="003B6241" w:rsidP="0096681C">
      <w:pPr>
        <w:pStyle w:val="FootnoteText"/>
        <w:spacing w:line="360" w:lineRule="auto"/>
        <w:ind w:left="720" w:hanging="720"/>
        <w:jc w:val="both"/>
        <w:rPr>
          <w:rFonts w:cs="Arial"/>
          <w:sz w:val="22"/>
          <w:lang w:val="en-US"/>
        </w:rPr>
      </w:pPr>
      <w:r w:rsidRPr="0019035A">
        <w:rPr>
          <w:rFonts w:cs="Arial"/>
          <w:sz w:val="22"/>
          <w:lang w:val="en-US"/>
        </w:rPr>
        <w:t>41.4.</w:t>
      </w:r>
      <w:r w:rsidRPr="0019035A">
        <w:rPr>
          <w:rFonts w:cs="Arial"/>
          <w:sz w:val="22"/>
          <w:lang w:val="en-US"/>
        </w:rPr>
        <w:tab/>
        <w:t>to cross examine the witnesses who testified against them or have them cross examined;</w:t>
      </w:r>
    </w:p>
    <w:p w14:paraId="6A8576D0" w14:textId="77777777" w:rsidR="003B6241" w:rsidRPr="0019035A" w:rsidRDefault="003B6241" w:rsidP="00A83A08">
      <w:pPr>
        <w:pStyle w:val="FootnoteText"/>
        <w:spacing w:line="360" w:lineRule="auto"/>
        <w:ind w:left="1440" w:hanging="720"/>
        <w:jc w:val="both"/>
        <w:rPr>
          <w:rFonts w:cs="Arial"/>
          <w:sz w:val="22"/>
          <w:lang w:val="en-US"/>
        </w:rPr>
      </w:pPr>
    </w:p>
    <w:p w14:paraId="645D8ABE" w14:textId="39E96953" w:rsidR="003B6241" w:rsidRDefault="003B6241" w:rsidP="00AA62E2">
      <w:pPr>
        <w:pStyle w:val="FootnoteText"/>
        <w:spacing w:line="360" w:lineRule="auto"/>
        <w:jc w:val="both"/>
        <w:rPr>
          <w:rFonts w:cs="Arial"/>
          <w:sz w:val="22"/>
          <w:lang w:val="en-US"/>
        </w:rPr>
      </w:pPr>
      <w:r w:rsidRPr="0019035A">
        <w:rPr>
          <w:rFonts w:cs="Arial"/>
          <w:sz w:val="22"/>
          <w:lang w:val="en-US"/>
        </w:rPr>
        <w:t>41.5.</w:t>
      </w:r>
      <w:r w:rsidRPr="0019035A">
        <w:rPr>
          <w:rFonts w:cs="Arial"/>
          <w:sz w:val="22"/>
          <w:lang w:val="en-US"/>
        </w:rPr>
        <w:tab/>
        <w:t xml:space="preserve">to re-examine their </w:t>
      </w:r>
      <w:r w:rsidR="006953BB" w:rsidRPr="0019035A">
        <w:rPr>
          <w:rFonts w:cs="Arial"/>
          <w:sz w:val="22"/>
          <w:lang w:val="en-US"/>
        </w:rPr>
        <w:t xml:space="preserve">own </w:t>
      </w:r>
      <w:r w:rsidRPr="0019035A">
        <w:rPr>
          <w:rFonts w:cs="Arial"/>
          <w:sz w:val="22"/>
          <w:lang w:val="en-US"/>
        </w:rPr>
        <w:t>witnesses or have them re-examined;</w:t>
      </w:r>
    </w:p>
    <w:p w14:paraId="4A7A5DC2" w14:textId="77777777" w:rsidR="0096681C" w:rsidRPr="0019035A" w:rsidRDefault="0096681C" w:rsidP="00AA62E2">
      <w:pPr>
        <w:pStyle w:val="FootnoteText"/>
        <w:spacing w:line="360" w:lineRule="auto"/>
        <w:jc w:val="both"/>
        <w:rPr>
          <w:rFonts w:cs="Arial"/>
          <w:sz w:val="22"/>
          <w:lang w:val="en-US"/>
        </w:rPr>
      </w:pPr>
    </w:p>
    <w:p w14:paraId="69317AC1" w14:textId="1F3F1AC6" w:rsidR="003B6241" w:rsidRPr="0019035A" w:rsidRDefault="003B6241" w:rsidP="00A83A08">
      <w:pPr>
        <w:pStyle w:val="FootnoteText"/>
        <w:spacing w:line="360" w:lineRule="auto"/>
        <w:jc w:val="both"/>
        <w:rPr>
          <w:rFonts w:cs="Arial"/>
          <w:sz w:val="22"/>
          <w:lang w:val="en-US"/>
        </w:rPr>
      </w:pPr>
      <w:r w:rsidRPr="0019035A">
        <w:rPr>
          <w:rFonts w:cs="Arial"/>
          <w:sz w:val="22"/>
          <w:lang w:val="en-US"/>
        </w:rPr>
        <w:t>41.6.</w:t>
      </w:r>
      <w:r w:rsidRPr="0019035A">
        <w:rPr>
          <w:rFonts w:cs="Arial"/>
          <w:sz w:val="22"/>
          <w:lang w:val="en-US"/>
        </w:rPr>
        <w:tab/>
        <w:t>after all evidence had been given, to argue their case in their own defen</w:t>
      </w:r>
      <w:r w:rsidR="0096681C">
        <w:rPr>
          <w:rFonts w:cs="Arial"/>
          <w:sz w:val="22"/>
          <w:lang w:val="en-US"/>
        </w:rPr>
        <w:t>s</w:t>
      </w:r>
      <w:r w:rsidRPr="0019035A">
        <w:rPr>
          <w:rFonts w:cs="Arial"/>
          <w:sz w:val="22"/>
          <w:lang w:val="en-US"/>
        </w:rPr>
        <w:t>e;</w:t>
      </w:r>
    </w:p>
    <w:p w14:paraId="0298745C" w14:textId="77777777" w:rsidR="003B6241" w:rsidRPr="0019035A" w:rsidRDefault="003B6241" w:rsidP="00A83A08">
      <w:pPr>
        <w:pStyle w:val="FootnoteText"/>
        <w:spacing w:line="360" w:lineRule="auto"/>
        <w:ind w:left="1440" w:hanging="720"/>
        <w:jc w:val="both"/>
        <w:rPr>
          <w:rFonts w:cs="Arial"/>
          <w:sz w:val="22"/>
          <w:lang w:val="en-US"/>
        </w:rPr>
      </w:pPr>
    </w:p>
    <w:p w14:paraId="2A3F39D2" w14:textId="3800CD06" w:rsidR="003B6241" w:rsidRPr="0019035A" w:rsidRDefault="003B6241" w:rsidP="00A83A08">
      <w:pPr>
        <w:pStyle w:val="FootnoteText"/>
        <w:spacing w:line="360" w:lineRule="auto"/>
        <w:jc w:val="both"/>
        <w:rPr>
          <w:rFonts w:cs="Arial"/>
          <w:sz w:val="22"/>
          <w:lang w:val="en-US"/>
        </w:rPr>
      </w:pPr>
      <w:r w:rsidRPr="0019035A">
        <w:rPr>
          <w:rFonts w:cs="Arial"/>
          <w:sz w:val="22"/>
          <w:lang w:val="en-US"/>
        </w:rPr>
        <w:t>41.7.</w:t>
      </w:r>
      <w:r w:rsidRPr="0019035A">
        <w:rPr>
          <w:rFonts w:cs="Arial"/>
          <w:sz w:val="22"/>
          <w:lang w:val="en-US"/>
        </w:rPr>
        <w:tab/>
        <w:t>after conviction, to present evidence in mitigation of punishment</w:t>
      </w:r>
      <w:r w:rsidR="00A83A08">
        <w:rPr>
          <w:rFonts w:cs="Arial"/>
          <w:sz w:val="22"/>
          <w:lang w:val="en-US"/>
        </w:rPr>
        <w:t>.</w:t>
      </w:r>
      <w:r w:rsidR="0096681C">
        <w:rPr>
          <w:rFonts w:cs="Arial"/>
          <w:sz w:val="22"/>
          <w:lang w:val="en-US"/>
        </w:rPr>
        <w:t>’</w:t>
      </w:r>
    </w:p>
    <w:p w14:paraId="7EFDA25C" w14:textId="77777777" w:rsidR="00B80308" w:rsidRPr="0019035A" w:rsidRDefault="00B80308" w:rsidP="0019035A">
      <w:pPr>
        <w:tabs>
          <w:tab w:val="left" w:pos="851"/>
        </w:tabs>
        <w:spacing w:line="360" w:lineRule="auto"/>
        <w:jc w:val="both"/>
        <w:rPr>
          <w:rFonts w:cs="Arial"/>
        </w:rPr>
      </w:pPr>
    </w:p>
    <w:p w14:paraId="37CE26C1" w14:textId="727404B0" w:rsidR="00153D75" w:rsidRPr="0019035A" w:rsidRDefault="00800158" w:rsidP="00800158">
      <w:pPr>
        <w:tabs>
          <w:tab w:val="left" w:pos="851"/>
        </w:tabs>
        <w:spacing w:line="360" w:lineRule="auto"/>
        <w:jc w:val="both"/>
        <w:rPr>
          <w:rFonts w:cs="Arial"/>
        </w:rPr>
      </w:pPr>
      <w:r w:rsidRPr="0019035A">
        <w:rPr>
          <w:rFonts w:cs="Arial"/>
        </w:rPr>
        <w:t>[48]</w:t>
      </w:r>
      <w:r w:rsidRPr="0019035A">
        <w:rPr>
          <w:rFonts w:cs="Arial"/>
        </w:rPr>
        <w:tab/>
      </w:r>
      <w:r w:rsidR="003B6241" w:rsidRPr="0019035A">
        <w:rPr>
          <w:rFonts w:cs="Arial"/>
        </w:rPr>
        <w:t>It is instructive that Respondents</w:t>
      </w:r>
      <w:r w:rsidR="005068FA" w:rsidRPr="0019035A">
        <w:rPr>
          <w:rFonts w:cs="Arial"/>
        </w:rPr>
        <w:t xml:space="preserve"> deny these averments</w:t>
      </w:r>
      <w:r w:rsidR="005068FA" w:rsidRPr="0019035A">
        <w:rPr>
          <w:rStyle w:val="FootnoteReference"/>
          <w:rFonts w:cs="Arial"/>
        </w:rPr>
        <w:footnoteReference w:id="25"/>
      </w:r>
      <w:r w:rsidR="005068FA" w:rsidRPr="0019035A">
        <w:rPr>
          <w:rFonts w:cs="Arial"/>
        </w:rPr>
        <w:t xml:space="preserve"> and has taken the time to explain the suspensions</w:t>
      </w:r>
      <w:r w:rsidR="00561362" w:rsidRPr="0019035A">
        <w:rPr>
          <w:rFonts w:cs="Arial"/>
        </w:rPr>
        <w:t>, the</w:t>
      </w:r>
      <w:r w:rsidR="005068FA" w:rsidRPr="0019035A">
        <w:rPr>
          <w:rFonts w:cs="Arial"/>
        </w:rPr>
        <w:t xml:space="preserve"> evidence led at the disciplinary enquiry and the expulsion</w:t>
      </w:r>
      <w:r w:rsidR="00561362" w:rsidRPr="0019035A">
        <w:rPr>
          <w:rFonts w:cs="Arial"/>
        </w:rPr>
        <w:t xml:space="preserve">s of each </w:t>
      </w:r>
      <w:r w:rsidR="00AA62E2">
        <w:rPr>
          <w:rFonts w:cs="Arial"/>
        </w:rPr>
        <w:t>A</w:t>
      </w:r>
      <w:r w:rsidR="00561362" w:rsidRPr="0019035A">
        <w:rPr>
          <w:rFonts w:cs="Arial"/>
        </w:rPr>
        <w:t>pplicant</w:t>
      </w:r>
      <w:r w:rsidR="005068FA" w:rsidRPr="0019035A">
        <w:rPr>
          <w:rFonts w:cs="Arial"/>
        </w:rPr>
        <w:t xml:space="preserve"> in laborious detail</w:t>
      </w:r>
      <w:r w:rsidR="0096681C">
        <w:rPr>
          <w:rFonts w:cs="Arial"/>
        </w:rPr>
        <w:t>,</w:t>
      </w:r>
      <w:r w:rsidR="00561362" w:rsidRPr="0019035A">
        <w:rPr>
          <w:rStyle w:val="FootnoteReference"/>
          <w:rFonts w:cs="Arial"/>
        </w:rPr>
        <w:footnoteReference w:id="26"/>
      </w:r>
      <w:r w:rsidR="0096681C">
        <w:rPr>
          <w:rFonts w:cs="Arial"/>
        </w:rPr>
        <w:t xml:space="preserve"> </w:t>
      </w:r>
      <w:r w:rsidR="00561362" w:rsidRPr="0019035A">
        <w:rPr>
          <w:rFonts w:cs="Arial"/>
        </w:rPr>
        <w:t xml:space="preserve">while </w:t>
      </w:r>
      <w:r w:rsidR="00AA62E2">
        <w:rPr>
          <w:rFonts w:cs="Arial"/>
        </w:rPr>
        <w:t>A</w:t>
      </w:r>
      <w:r w:rsidR="00561362" w:rsidRPr="0019035A">
        <w:rPr>
          <w:rFonts w:cs="Arial"/>
        </w:rPr>
        <w:t xml:space="preserve">pplicants dealt with these issues in general terms. </w:t>
      </w:r>
      <w:r w:rsidR="005068FA" w:rsidRPr="0019035A">
        <w:rPr>
          <w:rFonts w:cs="Arial"/>
        </w:rPr>
        <w:t xml:space="preserve">In the circumstances, this issue cannot be determined without having regard to the record; accordingly, this issue can only be determined with </w:t>
      </w:r>
      <w:r w:rsidR="007C6954">
        <w:rPr>
          <w:rFonts w:cs="Arial"/>
        </w:rPr>
        <w:t>P</w:t>
      </w:r>
      <w:r w:rsidR="005068FA" w:rsidRPr="0019035A">
        <w:rPr>
          <w:rFonts w:cs="Arial"/>
        </w:rPr>
        <w:t>art B of the application.</w:t>
      </w:r>
    </w:p>
    <w:p w14:paraId="657C6A47" w14:textId="77777777" w:rsidR="005068FA" w:rsidRPr="0019035A" w:rsidRDefault="005068FA" w:rsidP="0019035A">
      <w:pPr>
        <w:tabs>
          <w:tab w:val="left" w:pos="851"/>
        </w:tabs>
        <w:spacing w:line="360" w:lineRule="auto"/>
        <w:jc w:val="both"/>
        <w:rPr>
          <w:rFonts w:cs="Arial"/>
        </w:rPr>
      </w:pPr>
    </w:p>
    <w:p w14:paraId="48DF2EC4" w14:textId="0A582444" w:rsidR="005068FA" w:rsidRPr="0019035A" w:rsidRDefault="00800158" w:rsidP="00800158">
      <w:pPr>
        <w:tabs>
          <w:tab w:val="left" w:pos="851"/>
        </w:tabs>
        <w:spacing w:line="360" w:lineRule="auto"/>
        <w:jc w:val="both"/>
        <w:rPr>
          <w:rFonts w:cs="Arial"/>
        </w:rPr>
      </w:pPr>
      <w:r w:rsidRPr="0019035A">
        <w:rPr>
          <w:rFonts w:cs="Arial"/>
        </w:rPr>
        <w:t>[49]</w:t>
      </w:r>
      <w:r w:rsidRPr="0019035A">
        <w:rPr>
          <w:rFonts w:cs="Arial"/>
        </w:rPr>
        <w:tab/>
      </w:r>
      <w:r w:rsidR="005068FA" w:rsidRPr="0019035A">
        <w:rPr>
          <w:rFonts w:cs="Arial"/>
        </w:rPr>
        <w:t>Applicants further asserts that the sanction</w:t>
      </w:r>
      <w:r w:rsidR="0095190A">
        <w:rPr>
          <w:rFonts w:cs="Arial"/>
        </w:rPr>
        <w:t>s</w:t>
      </w:r>
      <w:r w:rsidR="005068FA" w:rsidRPr="0019035A">
        <w:rPr>
          <w:rFonts w:cs="Arial"/>
        </w:rPr>
        <w:t xml:space="preserve"> imposed on the Applicants </w:t>
      </w:r>
      <w:r w:rsidR="0095190A">
        <w:rPr>
          <w:rFonts w:cs="Arial"/>
        </w:rPr>
        <w:t xml:space="preserve">was </w:t>
      </w:r>
      <w:r w:rsidR="005068FA" w:rsidRPr="0019035A">
        <w:rPr>
          <w:rFonts w:cs="Arial"/>
        </w:rPr>
        <w:t>too harsh because it effectively put an end to their academic career.</w:t>
      </w:r>
      <w:r w:rsidR="005068FA" w:rsidRPr="0019035A">
        <w:rPr>
          <w:rStyle w:val="FootnoteReference"/>
          <w:rFonts w:cs="Arial"/>
        </w:rPr>
        <w:footnoteReference w:id="27"/>
      </w:r>
      <w:r w:rsidR="005068FA" w:rsidRPr="0019035A">
        <w:rPr>
          <w:rFonts w:cs="Arial"/>
        </w:rPr>
        <w:t xml:space="preserve"> Applicants aver that the procedural irregularity was made worse by the fact that </w:t>
      </w:r>
      <w:r w:rsidR="009B7E0E">
        <w:rPr>
          <w:rFonts w:cs="Arial"/>
        </w:rPr>
        <w:t>they were</w:t>
      </w:r>
      <w:r w:rsidR="005068FA" w:rsidRPr="0019035A">
        <w:rPr>
          <w:rFonts w:cs="Arial"/>
        </w:rPr>
        <w:t xml:space="preserve"> only able to view the charges, statements and other evidence on the morning of the hearing.</w:t>
      </w:r>
      <w:r w:rsidR="005068FA" w:rsidRPr="0019035A">
        <w:rPr>
          <w:rStyle w:val="FootnoteReference"/>
          <w:rFonts w:cs="Arial"/>
        </w:rPr>
        <w:footnoteReference w:id="28"/>
      </w:r>
      <w:r w:rsidR="00B81936" w:rsidRPr="0019035A">
        <w:rPr>
          <w:rFonts w:cs="Arial"/>
        </w:rPr>
        <w:t xml:space="preserve"> Further, Applicants aver that despite facing expulsion they were denied their right of legal representation which rendered the disciplinary process unfair and a </w:t>
      </w:r>
      <w:r w:rsidR="00852673" w:rsidRPr="0019035A">
        <w:rPr>
          <w:rFonts w:cs="Arial"/>
        </w:rPr>
        <w:t>violation of s 3(2)(</w:t>
      </w:r>
      <w:r w:rsidR="00852673" w:rsidRPr="007C6954">
        <w:rPr>
          <w:rFonts w:cs="Arial"/>
          <w:i/>
        </w:rPr>
        <w:t>b</w:t>
      </w:r>
      <w:r w:rsidR="00852673" w:rsidRPr="0019035A">
        <w:rPr>
          <w:rFonts w:cs="Arial"/>
        </w:rPr>
        <w:t>)(ii) of PAJA.</w:t>
      </w:r>
      <w:r w:rsidR="00852673" w:rsidRPr="0019035A">
        <w:rPr>
          <w:rStyle w:val="FootnoteReference"/>
          <w:rFonts w:cs="Arial"/>
        </w:rPr>
        <w:footnoteReference w:id="29"/>
      </w:r>
      <w:r w:rsidR="00CC3417">
        <w:rPr>
          <w:rFonts w:cs="Arial"/>
        </w:rPr>
        <w:t xml:space="preserve"> </w:t>
      </w:r>
      <w:r w:rsidR="00852673" w:rsidRPr="0019035A">
        <w:rPr>
          <w:rFonts w:cs="Arial"/>
        </w:rPr>
        <w:t>In support of the submission, Applicants direct</w:t>
      </w:r>
      <w:r w:rsidR="00AA62E2">
        <w:rPr>
          <w:rFonts w:cs="Arial"/>
        </w:rPr>
        <w:t>ed</w:t>
      </w:r>
      <w:r w:rsidR="00852673" w:rsidRPr="0019035A">
        <w:rPr>
          <w:rFonts w:cs="Arial"/>
        </w:rPr>
        <w:t xml:space="preserve"> me to </w:t>
      </w:r>
      <w:r w:rsidR="00852673" w:rsidRPr="0019035A">
        <w:rPr>
          <w:rFonts w:cs="Arial"/>
          <w:i/>
          <w:iCs/>
        </w:rPr>
        <w:t>State Information Technology Agency SOC Ltd v Gijima Holdings (Pty) Ltd</w:t>
      </w:r>
      <w:r w:rsidR="00A83A08" w:rsidRPr="00A83A08">
        <w:rPr>
          <w:rStyle w:val="FootnoteReference"/>
          <w:rFonts w:cs="Arial"/>
          <w:iCs/>
        </w:rPr>
        <w:footnoteReference w:id="30"/>
      </w:r>
      <w:r w:rsidR="00852673" w:rsidRPr="00A83A08">
        <w:rPr>
          <w:rFonts w:cs="Arial"/>
          <w:iCs/>
        </w:rPr>
        <w:t xml:space="preserve"> </w:t>
      </w:r>
      <w:r w:rsidR="00852673" w:rsidRPr="0019035A">
        <w:rPr>
          <w:rFonts w:cs="Arial"/>
        </w:rPr>
        <w:t>that stated:</w:t>
      </w:r>
    </w:p>
    <w:p w14:paraId="09706EBD" w14:textId="75C34651" w:rsidR="00852673" w:rsidRPr="0019035A" w:rsidRDefault="00852673" w:rsidP="00A83A08">
      <w:pPr>
        <w:tabs>
          <w:tab w:val="left" w:pos="851"/>
        </w:tabs>
        <w:spacing w:line="360" w:lineRule="auto"/>
        <w:jc w:val="both"/>
        <w:rPr>
          <w:rFonts w:cs="Arial"/>
          <w:sz w:val="22"/>
        </w:rPr>
      </w:pPr>
      <w:r w:rsidRPr="0019035A">
        <w:rPr>
          <w:rFonts w:cs="Arial"/>
          <w:sz w:val="22"/>
        </w:rPr>
        <w:t>‘</w:t>
      </w:r>
      <w:r w:rsidR="0096681C">
        <w:rPr>
          <w:rFonts w:cs="Arial"/>
          <w:sz w:val="22"/>
        </w:rPr>
        <w:t xml:space="preserve">[40] </w:t>
      </w:r>
      <w:r w:rsidRPr="0019035A">
        <w:rPr>
          <w:rFonts w:cs="Arial"/>
          <w:sz w:val="22"/>
        </w:rPr>
        <w:t>What we glean from this is that the exercise of public power which is at varian</w:t>
      </w:r>
      <w:r w:rsidR="0096681C">
        <w:rPr>
          <w:rFonts w:cs="Arial"/>
          <w:sz w:val="22"/>
        </w:rPr>
        <w:t>ce</w:t>
      </w:r>
      <w:r w:rsidRPr="0019035A">
        <w:rPr>
          <w:rFonts w:cs="Arial"/>
          <w:sz w:val="22"/>
        </w:rPr>
        <w:t xml:space="preserve"> with the principal of legality is inconsistent with the </w:t>
      </w:r>
      <w:r w:rsidR="0096681C">
        <w:rPr>
          <w:rFonts w:cs="Arial"/>
          <w:sz w:val="22"/>
        </w:rPr>
        <w:t>C</w:t>
      </w:r>
      <w:r w:rsidRPr="0019035A">
        <w:rPr>
          <w:rFonts w:cs="Arial"/>
          <w:sz w:val="22"/>
        </w:rPr>
        <w:t>onstitution itself. In short, it is invalid</w:t>
      </w:r>
      <w:r w:rsidR="006953BB" w:rsidRPr="0019035A">
        <w:rPr>
          <w:rFonts w:cs="Arial"/>
          <w:sz w:val="22"/>
        </w:rPr>
        <w:t>.</w:t>
      </w:r>
      <w:r w:rsidR="0096681C">
        <w:rPr>
          <w:rFonts w:cs="Arial"/>
          <w:sz w:val="22"/>
        </w:rPr>
        <w:t>…</w:t>
      </w:r>
      <w:r w:rsidRPr="0019035A">
        <w:rPr>
          <w:rFonts w:cs="Arial"/>
          <w:sz w:val="22"/>
        </w:rPr>
        <w:t>’</w:t>
      </w:r>
    </w:p>
    <w:p w14:paraId="7E9D3320" w14:textId="77777777" w:rsidR="00153D75" w:rsidRPr="0019035A" w:rsidRDefault="00153D75" w:rsidP="0019035A">
      <w:pPr>
        <w:pStyle w:val="ListParagraph"/>
        <w:spacing w:line="360" w:lineRule="auto"/>
        <w:rPr>
          <w:rFonts w:cs="Arial"/>
        </w:rPr>
      </w:pPr>
    </w:p>
    <w:p w14:paraId="1CB95A34" w14:textId="58713702" w:rsidR="00684084" w:rsidRPr="0019035A" w:rsidRDefault="00800158" w:rsidP="00800158">
      <w:pPr>
        <w:tabs>
          <w:tab w:val="left" w:pos="851"/>
        </w:tabs>
        <w:spacing w:line="360" w:lineRule="auto"/>
        <w:jc w:val="both"/>
        <w:rPr>
          <w:rFonts w:cs="Arial"/>
        </w:rPr>
      </w:pPr>
      <w:r w:rsidRPr="0019035A">
        <w:rPr>
          <w:rFonts w:cs="Arial"/>
        </w:rPr>
        <w:t>[50]</w:t>
      </w:r>
      <w:r w:rsidRPr="0019035A">
        <w:rPr>
          <w:rFonts w:cs="Arial"/>
        </w:rPr>
        <w:tab/>
      </w:r>
      <w:r w:rsidR="00852673" w:rsidRPr="0019035A">
        <w:rPr>
          <w:rFonts w:cs="Arial"/>
        </w:rPr>
        <w:t xml:space="preserve">I am not certain that </w:t>
      </w:r>
      <w:r w:rsidR="00852673" w:rsidRPr="0019035A">
        <w:rPr>
          <w:rFonts w:cs="Arial"/>
          <w:i/>
          <w:iCs/>
        </w:rPr>
        <w:t>Gijima</w:t>
      </w:r>
      <w:r w:rsidR="00852673" w:rsidRPr="0019035A">
        <w:rPr>
          <w:rFonts w:cs="Arial"/>
        </w:rPr>
        <w:t xml:space="preserve"> supports </w:t>
      </w:r>
      <w:r w:rsidR="00EE0C51" w:rsidRPr="0019035A">
        <w:rPr>
          <w:rFonts w:cs="Arial"/>
        </w:rPr>
        <w:t xml:space="preserve">Applicants’ </w:t>
      </w:r>
      <w:r w:rsidR="00852673" w:rsidRPr="0019035A">
        <w:rPr>
          <w:rFonts w:cs="Arial"/>
        </w:rPr>
        <w:t>argument</w:t>
      </w:r>
      <w:r w:rsidR="00EE0C51" w:rsidRPr="0019035A">
        <w:rPr>
          <w:rFonts w:cs="Arial"/>
        </w:rPr>
        <w:t xml:space="preserve">, </w:t>
      </w:r>
      <w:r w:rsidR="00852673" w:rsidRPr="0019035A">
        <w:rPr>
          <w:rFonts w:cs="Arial"/>
        </w:rPr>
        <w:t xml:space="preserve">because </w:t>
      </w:r>
      <w:r w:rsidR="00852673" w:rsidRPr="007C6954">
        <w:rPr>
          <w:rFonts w:cs="Arial"/>
          <w:i/>
        </w:rPr>
        <w:t>Gijima</w:t>
      </w:r>
      <w:r w:rsidR="00852673" w:rsidRPr="0019035A">
        <w:rPr>
          <w:rFonts w:cs="Arial"/>
        </w:rPr>
        <w:t xml:space="preserve"> referred to the non-compliance of s 217 of the </w:t>
      </w:r>
      <w:r w:rsidR="007C6954">
        <w:rPr>
          <w:rFonts w:cs="Arial"/>
        </w:rPr>
        <w:t>C</w:t>
      </w:r>
      <w:r w:rsidR="00852673" w:rsidRPr="0019035A">
        <w:rPr>
          <w:rFonts w:cs="Arial"/>
        </w:rPr>
        <w:t xml:space="preserve">onstitution which rendered </w:t>
      </w:r>
      <w:r w:rsidR="00A05C98">
        <w:rPr>
          <w:rFonts w:cs="Arial"/>
        </w:rPr>
        <w:t>a decision to award a public tender invalid</w:t>
      </w:r>
      <w:r w:rsidR="00852673" w:rsidRPr="0019035A">
        <w:rPr>
          <w:rFonts w:cs="Arial"/>
        </w:rPr>
        <w:t xml:space="preserve">, while Applicants are attempting to assert the right to legal representation being a constitutional right. The only constitutional right to legal representation in the </w:t>
      </w:r>
      <w:r w:rsidR="009B7E0E">
        <w:rPr>
          <w:rFonts w:cs="Arial"/>
        </w:rPr>
        <w:t>C</w:t>
      </w:r>
      <w:r w:rsidR="00852673" w:rsidRPr="0019035A">
        <w:rPr>
          <w:rFonts w:cs="Arial"/>
        </w:rPr>
        <w:t xml:space="preserve">onstitution is s 35 where the right is afforded to arrested, detained and accused persons. There is no blanket constitutional right to legal representation at disciplinary hearings. </w:t>
      </w:r>
    </w:p>
    <w:p w14:paraId="0B144B77" w14:textId="77777777" w:rsidR="00684084" w:rsidRPr="0019035A" w:rsidRDefault="00684084" w:rsidP="0019035A">
      <w:pPr>
        <w:tabs>
          <w:tab w:val="left" w:pos="851"/>
        </w:tabs>
        <w:spacing w:line="360" w:lineRule="auto"/>
        <w:jc w:val="both"/>
        <w:rPr>
          <w:rFonts w:cs="Arial"/>
        </w:rPr>
      </w:pPr>
    </w:p>
    <w:p w14:paraId="7DC01A16" w14:textId="2407C083" w:rsidR="00852673" w:rsidRPr="0019035A" w:rsidRDefault="00800158" w:rsidP="00800158">
      <w:pPr>
        <w:tabs>
          <w:tab w:val="left" w:pos="851"/>
        </w:tabs>
        <w:spacing w:line="360" w:lineRule="auto"/>
        <w:jc w:val="both"/>
        <w:rPr>
          <w:rFonts w:cs="Arial"/>
        </w:rPr>
      </w:pPr>
      <w:r w:rsidRPr="0019035A">
        <w:rPr>
          <w:rFonts w:cs="Arial"/>
        </w:rPr>
        <w:t>[51]</w:t>
      </w:r>
      <w:r w:rsidRPr="0019035A">
        <w:rPr>
          <w:rFonts w:cs="Arial"/>
        </w:rPr>
        <w:tab/>
      </w:r>
      <w:r w:rsidR="00852673" w:rsidRPr="0019035A">
        <w:rPr>
          <w:rFonts w:cs="Arial"/>
        </w:rPr>
        <w:t>Applicants aver further that they were not provide</w:t>
      </w:r>
      <w:r w:rsidR="00684084" w:rsidRPr="0019035A">
        <w:rPr>
          <w:rFonts w:cs="Arial"/>
        </w:rPr>
        <w:t>d</w:t>
      </w:r>
      <w:r w:rsidR="00852673" w:rsidRPr="0019035A">
        <w:rPr>
          <w:rFonts w:cs="Arial"/>
        </w:rPr>
        <w:t xml:space="preserve"> with reasons when found guilty of the charges in the charge sheet despite making a request for the reasons.</w:t>
      </w:r>
      <w:r w:rsidR="00852673" w:rsidRPr="0019035A">
        <w:rPr>
          <w:rStyle w:val="FootnoteReference"/>
          <w:rFonts w:cs="Arial"/>
        </w:rPr>
        <w:footnoteReference w:id="31"/>
      </w:r>
      <w:r w:rsidR="00684084" w:rsidRPr="0019035A">
        <w:rPr>
          <w:rFonts w:cs="Arial"/>
        </w:rPr>
        <w:t xml:space="preserve"> </w:t>
      </w:r>
      <w:r w:rsidR="00852673" w:rsidRPr="0019035A">
        <w:rPr>
          <w:rFonts w:cs="Arial"/>
        </w:rPr>
        <w:t>Respondents deny that the</w:t>
      </w:r>
      <w:r w:rsidR="009B7E0E">
        <w:rPr>
          <w:rFonts w:cs="Arial"/>
        </w:rPr>
        <w:t xml:space="preserve"> Applicants</w:t>
      </w:r>
      <w:r w:rsidR="00852673" w:rsidRPr="0019035A">
        <w:rPr>
          <w:rFonts w:cs="Arial"/>
        </w:rPr>
        <w:t xml:space="preserve"> were not provided reasons by stating that reasons were provided in the answering affidavit.</w:t>
      </w:r>
      <w:r w:rsidR="00852673" w:rsidRPr="0019035A">
        <w:rPr>
          <w:rStyle w:val="FootnoteReference"/>
          <w:rFonts w:cs="Arial"/>
        </w:rPr>
        <w:footnoteReference w:id="32"/>
      </w:r>
    </w:p>
    <w:p w14:paraId="0B7793B4" w14:textId="77777777" w:rsidR="00153D75" w:rsidRPr="0019035A" w:rsidRDefault="00153D75" w:rsidP="0019035A">
      <w:pPr>
        <w:spacing w:line="360" w:lineRule="auto"/>
        <w:rPr>
          <w:rFonts w:cs="Arial"/>
        </w:rPr>
      </w:pPr>
    </w:p>
    <w:p w14:paraId="43C8DA9D" w14:textId="109E4D4A" w:rsidR="00153D75" w:rsidRPr="0019035A" w:rsidRDefault="00800158" w:rsidP="00800158">
      <w:pPr>
        <w:tabs>
          <w:tab w:val="left" w:pos="851"/>
        </w:tabs>
        <w:spacing w:line="360" w:lineRule="auto"/>
        <w:jc w:val="both"/>
        <w:rPr>
          <w:rFonts w:cs="Arial"/>
        </w:rPr>
      </w:pPr>
      <w:r w:rsidRPr="0019035A">
        <w:rPr>
          <w:rFonts w:cs="Arial"/>
        </w:rPr>
        <w:t>[52]</w:t>
      </w:r>
      <w:r w:rsidRPr="0019035A">
        <w:rPr>
          <w:rFonts w:cs="Arial"/>
        </w:rPr>
        <w:tab/>
      </w:r>
      <w:r w:rsidR="00852673" w:rsidRPr="0019035A">
        <w:rPr>
          <w:rFonts w:cs="Arial"/>
        </w:rPr>
        <w:t xml:space="preserve">Again, this is another issue that can best be ventilated with the benefit of the record. Accordingly, the issue can be best determined at </w:t>
      </w:r>
      <w:r w:rsidR="007C6954">
        <w:rPr>
          <w:rFonts w:cs="Arial"/>
        </w:rPr>
        <w:t>P</w:t>
      </w:r>
      <w:r w:rsidR="00852673" w:rsidRPr="0019035A">
        <w:rPr>
          <w:rFonts w:cs="Arial"/>
        </w:rPr>
        <w:t>art B.</w:t>
      </w:r>
    </w:p>
    <w:p w14:paraId="446ED487" w14:textId="77777777" w:rsidR="00852673" w:rsidRPr="0019035A" w:rsidRDefault="00852673" w:rsidP="0019035A">
      <w:pPr>
        <w:pStyle w:val="ListParagraph"/>
        <w:spacing w:line="360" w:lineRule="auto"/>
        <w:rPr>
          <w:rFonts w:cs="Arial"/>
        </w:rPr>
      </w:pPr>
    </w:p>
    <w:p w14:paraId="3156AFB4" w14:textId="42B0B862" w:rsidR="00F02341" w:rsidRPr="0019035A" w:rsidRDefault="00800158" w:rsidP="00800158">
      <w:pPr>
        <w:tabs>
          <w:tab w:val="left" w:pos="851"/>
        </w:tabs>
        <w:spacing w:line="360" w:lineRule="auto"/>
        <w:jc w:val="both"/>
        <w:rPr>
          <w:rFonts w:cs="Arial"/>
        </w:rPr>
      </w:pPr>
      <w:r w:rsidRPr="0019035A">
        <w:rPr>
          <w:rFonts w:cs="Arial"/>
        </w:rPr>
        <w:t>[53]</w:t>
      </w:r>
      <w:r w:rsidRPr="0019035A">
        <w:rPr>
          <w:rFonts w:cs="Arial"/>
        </w:rPr>
        <w:tab/>
      </w:r>
      <w:r w:rsidR="00852673" w:rsidRPr="0019035A">
        <w:rPr>
          <w:rFonts w:cs="Arial"/>
        </w:rPr>
        <w:t xml:space="preserve">Having regard to the </w:t>
      </w:r>
      <w:r w:rsidR="0095190A">
        <w:rPr>
          <w:rFonts w:cs="Arial"/>
        </w:rPr>
        <w:t xml:space="preserve">section </w:t>
      </w:r>
      <w:r w:rsidR="00852673" w:rsidRPr="0019035A">
        <w:rPr>
          <w:rFonts w:cs="Arial"/>
        </w:rPr>
        <w:t xml:space="preserve">that Applicants seek to be declared unconstitutional, the only contentious </w:t>
      </w:r>
      <w:r w:rsidR="0095190A">
        <w:rPr>
          <w:rFonts w:cs="Arial"/>
        </w:rPr>
        <w:t xml:space="preserve">section is </w:t>
      </w:r>
      <w:r w:rsidR="00E61035" w:rsidRPr="0019035A">
        <w:rPr>
          <w:rFonts w:cs="Arial"/>
        </w:rPr>
        <w:t>G</w:t>
      </w:r>
      <w:r w:rsidR="00852673" w:rsidRPr="0019035A">
        <w:rPr>
          <w:rFonts w:cs="Arial"/>
        </w:rPr>
        <w:t>.26.5.4(c)(i) and (ii) which on perusal does not appear to allow legal representation. While I</w:t>
      </w:r>
      <w:r w:rsidR="00F02341" w:rsidRPr="0019035A">
        <w:rPr>
          <w:rFonts w:cs="Arial"/>
        </w:rPr>
        <w:t xml:space="preserve"> have already stated that there is no absolute right to legal representation other than</w:t>
      </w:r>
      <w:r w:rsidR="009B7E0E">
        <w:rPr>
          <w:rFonts w:cs="Arial"/>
        </w:rPr>
        <w:t xml:space="preserve"> to</w:t>
      </w:r>
      <w:r w:rsidR="00F02341" w:rsidRPr="0019035A">
        <w:rPr>
          <w:rFonts w:cs="Arial"/>
        </w:rPr>
        <w:t xml:space="preserve"> those persons stated in s 35 of the </w:t>
      </w:r>
      <w:r w:rsidR="002D62A8">
        <w:rPr>
          <w:rFonts w:cs="Arial"/>
        </w:rPr>
        <w:t>C</w:t>
      </w:r>
      <w:r w:rsidR="00F02341" w:rsidRPr="0019035A">
        <w:rPr>
          <w:rFonts w:cs="Arial"/>
        </w:rPr>
        <w:t>onstitution</w:t>
      </w:r>
      <w:r w:rsidR="0095190A">
        <w:rPr>
          <w:rFonts w:cs="Arial"/>
        </w:rPr>
        <w:t>, in</w:t>
      </w:r>
      <w:r w:rsidR="00F02341" w:rsidRPr="0019035A">
        <w:rPr>
          <w:rFonts w:cs="Arial"/>
        </w:rPr>
        <w:t xml:space="preserve"> </w:t>
      </w:r>
      <w:r w:rsidR="00F02341" w:rsidRPr="0019035A">
        <w:rPr>
          <w:rFonts w:cs="Arial"/>
          <w:i/>
          <w:iCs/>
        </w:rPr>
        <w:t>Dyant</w:t>
      </w:r>
      <w:r w:rsidR="00F32CBB" w:rsidRPr="0019035A">
        <w:rPr>
          <w:rFonts w:cs="Arial"/>
          <w:i/>
          <w:iCs/>
        </w:rPr>
        <w:t>y</w:t>
      </w:r>
      <w:r w:rsidR="00F02341" w:rsidRPr="0019035A">
        <w:rPr>
          <w:rFonts w:cs="Arial"/>
          <w:i/>
          <w:iCs/>
        </w:rPr>
        <w:t>i v Rhodes University and Others</w:t>
      </w:r>
      <w:r w:rsidR="00F02341" w:rsidRPr="0019035A">
        <w:rPr>
          <w:rFonts w:cs="Arial"/>
        </w:rPr>
        <w:t>,</w:t>
      </w:r>
      <w:r w:rsidR="00F02341" w:rsidRPr="0019035A">
        <w:rPr>
          <w:rStyle w:val="FootnoteReference"/>
          <w:rFonts w:cs="Arial"/>
        </w:rPr>
        <w:footnoteReference w:id="33"/>
      </w:r>
      <w:r w:rsidR="00F02341" w:rsidRPr="0019035A">
        <w:rPr>
          <w:rFonts w:cs="Arial"/>
        </w:rPr>
        <w:t xml:space="preserve"> </w:t>
      </w:r>
      <w:r w:rsidR="00F02341" w:rsidRPr="0019035A">
        <w:rPr>
          <w:rFonts w:cs="Arial"/>
          <w:lang w:val="en-US"/>
        </w:rPr>
        <w:t>the Court held that the right to legal representation extends to serious or complex cases.</w:t>
      </w:r>
    </w:p>
    <w:p w14:paraId="44090313" w14:textId="77777777" w:rsidR="00153D75" w:rsidRPr="0019035A" w:rsidRDefault="00153D75" w:rsidP="0019035A">
      <w:pPr>
        <w:pStyle w:val="ListParagraph"/>
        <w:spacing w:line="360" w:lineRule="auto"/>
        <w:rPr>
          <w:rFonts w:cs="Arial"/>
        </w:rPr>
      </w:pPr>
    </w:p>
    <w:p w14:paraId="62175E67" w14:textId="15E664AB" w:rsidR="00761864" w:rsidRDefault="00800158" w:rsidP="00800158">
      <w:pPr>
        <w:tabs>
          <w:tab w:val="left" w:pos="851"/>
        </w:tabs>
        <w:spacing w:line="360" w:lineRule="auto"/>
        <w:jc w:val="both"/>
        <w:rPr>
          <w:rFonts w:cs="Arial"/>
        </w:rPr>
      </w:pPr>
      <w:r>
        <w:rPr>
          <w:rFonts w:cs="Arial"/>
        </w:rPr>
        <w:t>[54]</w:t>
      </w:r>
      <w:r>
        <w:rPr>
          <w:rFonts w:cs="Arial"/>
        </w:rPr>
        <w:tab/>
      </w:r>
      <w:r w:rsidR="003C0A9C" w:rsidRPr="0019035A">
        <w:rPr>
          <w:rFonts w:cs="Arial"/>
        </w:rPr>
        <w:t>T</w:t>
      </w:r>
      <w:r w:rsidR="00E61035" w:rsidRPr="0019035A">
        <w:rPr>
          <w:rFonts w:cs="Arial"/>
        </w:rPr>
        <w:t xml:space="preserve">he Respondents assert that there is no </w:t>
      </w:r>
      <w:r w:rsidR="00A05C98">
        <w:rPr>
          <w:rFonts w:cs="Arial"/>
        </w:rPr>
        <w:t xml:space="preserve">general </w:t>
      </w:r>
      <w:r w:rsidR="00E61035" w:rsidRPr="0019035A">
        <w:rPr>
          <w:rFonts w:cs="Arial"/>
        </w:rPr>
        <w:t>right to legal representation</w:t>
      </w:r>
      <w:r w:rsidR="00A05C98">
        <w:rPr>
          <w:rFonts w:cs="Arial"/>
        </w:rPr>
        <w:t xml:space="preserve"> by a legal practitioner but legal representation by a practitioner may be afforded in complex cases</w:t>
      </w:r>
      <w:r w:rsidR="00E61035" w:rsidRPr="0019035A">
        <w:rPr>
          <w:rFonts w:cs="Arial"/>
        </w:rPr>
        <w:t xml:space="preserve">. For authority </w:t>
      </w:r>
      <w:r w:rsidR="009B7E0E">
        <w:rPr>
          <w:rFonts w:cs="Arial"/>
        </w:rPr>
        <w:t>I was referred</w:t>
      </w:r>
      <w:r w:rsidR="00E61035" w:rsidRPr="0019035A">
        <w:rPr>
          <w:rFonts w:cs="Arial"/>
        </w:rPr>
        <w:t xml:space="preserve"> to </w:t>
      </w:r>
      <w:r w:rsidR="00E61035" w:rsidRPr="0019035A">
        <w:rPr>
          <w:rFonts w:cs="Arial"/>
          <w:i/>
          <w:iCs/>
        </w:rPr>
        <w:t xml:space="preserve">Dyantyi </w:t>
      </w:r>
      <w:r w:rsidR="00E61035" w:rsidRPr="0019035A">
        <w:rPr>
          <w:rFonts w:cs="Arial"/>
        </w:rPr>
        <w:t>and</w:t>
      </w:r>
      <w:r w:rsidR="00684084" w:rsidRPr="0019035A">
        <w:rPr>
          <w:rFonts w:cs="Arial"/>
          <w:i/>
          <w:iCs/>
        </w:rPr>
        <w:t xml:space="preserve"> </w:t>
      </w:r>
      <w:r w:rsidR="00E61035" w:rsidRPr="0019035A">
        <w:rPr>
          <w:rFonts w:cs="Arial"/>
          <w:i/>
          <w:iCs/>
        </w:rPr>
        <w:t>Hamata and Another v Chairperson, Peninsula Techni</w:t>
      </w:r>
      <w:r w:rsidR="00761864">
        <w:rPr>
          <w:rFonts w:cs="Arial"/>
          <w:i/>
          <w:iCs/>
        </w:rPr>
        <w:t>k</w:t>
      </w:r>
      <w:r w:rsidR="00E61035" w:rsidRPr="0019035A">
        <w:rPr>
          <w:rFonts w:cs="Arial"/>
          <w:i/>
          <w:iCs/>
        </w:rPr>
        <w:t>on Internal Disciplinary Committee</w:t>
      </w:r>
      <w:r w:rsidR="00761864">
        <w:rPr>
          <w:rFonts w:cs="Arial"/>
          <w:i/>
          <w:iCs/>
        </w:rPr>
        <w:t>,</w:t>
      </w:r>
      <w:r w:rsidR="00E61035" w:rsidRPr="0019035A">
        <w:rPr>
          <w:rFonts w:cs="Arial"/>
          <w:i/>
          <w:iCs/>
        </w:rPr>
        <w:t xml:space="preserve"> and Others</w:t>
      </w:r>
      <w:r w:rsidR="00A83A08" w:rsidRPr="00A83A08">
        <w:rPr>
          <w:rStyle w:val="FootnoteReference"/>
          <w:rFonts w:cs="Arial"/>
          <w:iCs/>
        </w:rPr>
        <w:footnoteReference w:id="34"/>
      </w:r>
      <w:r w:rsidR="00867153">
        <w:rPr>
          <w:rFonts w:cs="Arial"/>
          <w:iCs/>
        </w:rPr>
        <w:t xml:space="preserve">, </w:t>
      </w:r>
      <w:r w:rsidR="00867153" w:rsidRPr="00867153">
        <w:rPr>
          <w:rFonts w:cs="Arial"/>
        </w:rPr>
        <w:t>where the court in considering</w:t>
      </w:r>
      <w:r w:rsidR="00E61035" w:rsidRPr="0019035A">
        <w:rPr>
          <w:rFonts w:cs="Arial"/>
        </w:rPr>
        <w:t xml:space="preserve"> a similar rule of the </w:t>
      </w:r>
      <w:r w:rsidR="00E61035" w:rsidRPr="00381580">
        <w:rPr>
          <w:rFonts w:cs="Arial"/>
          <w:iCs/>
        </w:rPr>
        <w:t>Peninsula Techni</w:t>
      </w:r>
      <w:r w:rsidR="00E90BDA">
        <w:rPr>
          <w:rFonts w:cs="Arial"/>
          <w:iCs/>
        </w:rPr>
        <w:t>k</w:t>
      </w:r>
      <w:r w:rsidR="00E61035" w:rsidRPr="00381580">
        <w:rPr>
          <w:rFonts w:cs="Arial"/>
          <w:iCs/>
        </w:rPr>
        <w:t>on Internal Disciplinary Committee</w:t>
      </w:r>
      <w:r w:rsidR="00E61035" w:rsidRPr="00381580">
        <w:rPr>
          <w:rFonts w:cs="Arial"/>
        </w:rPr>
        <w:t>,</w:t>
      </w:r>
      <w:r w:rsidR="00E61035" w:rsidRPr="0019035A">
        <w:rPr>
          <w:rFonts w:cs="Arial"/>
        </w:rPr>
        <w:t xml:space="preserve"> held that despite the wording, taking s</w:t>
      </w:r>
      <w:r w:rsidR="00A83A08">
        <w:rPr>
          <w:rFonts w:cs="Arial"/>
        </w:rPr>
        <w:t xml:space="preserve"> </w:t>
      </w:r>
      <w:r w:rsidR="00E61035" w:rsidRPr="0019035A">
        <w:rPr>
          <w:rFonts w:cs="Arial"/>
        </w:rPr>
        <w:t>3(</w:t>
      </w:r>
      <w:r w:rsidR="00336412" w:rsidRPr="0019035A">
        <w:rPr>
          <w:rFonts w:cs="Arial"/>
        </w:rPr>
        <w:t>3</w:t>
      </w:r>
      <w:r w:rsidR="00E61035" w:rsidRPr="0019035A">
        <w:rPr>
          <w:rFonts w:cs="Arial"/>
        </w:rPr>
        <w:t>)(</w:t>
      </w:r>
      <w:r w:rsidR="00336412" w:rsidRPr="0019035A">
        <w:rPr>
          <w:rFonts w:cs="Arial"/>
        </w:rPr>
        <w:t>a</w:t>
      </w:r>
      <w:r w:rsidR="00E61035" w:rsidRPr="0019035A">
        <w:rPr>
          <w:rFonts w:cs="Arial"/>
        </w:rPr>
        <w:t xml:space="preserve">) of PAJA into account, the </w:t>
      </w:r>
      <w:r w:rsidR="007C6954">
        <w:rPr>
          <w:rFonts w:cs="Arial"/>
        </w:rPr>
        <w:t>p</w:t>
      </w:r>
      <w:r w:rsidR="00E61035" w:rsidRPr="0019035A">
        <w:rPr>
          <w:rFonts w:cs="Arial"/>
        </w:rPr>
        <w:t xml:space="preserve">residing </w:t>
      </w:r>
      <w:r w:rsidR="007C6954">
        <w:rPr>
          <w:rFonts w:cs="Arial"/>
        </w:rPr>
        <w:t>o</w:t>
      </w:r>
      <w:r w:rsidR="00E61035" w:rsidRPr="0019035A">
        <w:rPr>
          <w:rFonts w:cs="Arial"/>
        </w:rPr>
        <w:t>fficer would have a discretion</w:t>
      </w:r>
      <w:r w:rsidR="00E61035" w:rsidRPr="0019035A">
        <w:rPr>
          <w:rStyle w:val="FootnoteReference"/>
          <w:rFonts w:cs="Arial"/>
        </w:rPr>
        <w:footnoteReference w:id="35"/>
      </w:r>
      <w:r w:rsidR="00E61035" w:rsidRPr="0019035A">
        <w:rPr>
          <w:rFonts w:cs="Arial"/>
        </w:rPr>
        <w:t xml:space="preserve"> to allow legal representation. </w:t>
      </w:r>
    </w:p>
    <w:p w14:paraId="166C4663" w14:textId="77777777" w:rsidR="008A1939" w:rsidRDefault="008A1939" w:rsidP="008A1939">
      <w:pPr>
        <w:pStyle w:val="ListParagraph"/>
        <w:spacing w:line="360" w:lineRule="auto"/>
        <w:rPr>
          <w:rFonts w:cs="Arial"/>
        </w:rPr>
      </w:pPr>
    </w:p>
    <w:p w14:paraId="3ABEC7F0" w14:textId="090B69CC" w:rsidR="00153D75" w:rsidRPr="008A1939" w:rsidRDefault="00800158" w:rsidP="00800158">
      <w:pPr>
        <w:tabs>
          <w:tab w:val="left" w:pos="851"/>
        </w:tabs>
        <w:spacing w:line="360" w:lineRule="auto"/>
        <w:jc w:val="both"/>
        <w:rPr>
          <w:rFonts w:cs="Arial"/>
        </w:rPr>
      </w:pPr>
      <w:r w:rsidRPr="008A1939">
        <w:rPr>
          <w:rFonts w:cs="Arial"/>
        </w:rPr>
        <w:t>[55]</w:t>
      </w:r>
      <w:r w:rsidRPr="008A1939">
        <w:rPr>
          <w:rFonts w:cs="Arial"/>
        </w:rPr>
        <w:tab/>
      </w:r>
      <w:r w:rsidR="003C0A9C" w:rsidRPr="008A1939">
        <w:rPr>
          <w:rFonts w:cs="Arial"/>
        </w:rPr>
        <w:t>It is either common cause or axiomatic that there is no general right to legal representation</w:t>
      </w:r>
      <w:r w:rsidR="002D62A8" w:rsidRPr="008A1939">
        <w:rPr>
          <w:rFonts w:cs="Arial"/>
        </w:rPr>
        <w:t>.</w:t>
      </w:r>
      <w:r w:rsidR="003C0A9C" w:rsidRPr="0019035A">
        <w:rPr>
          <w:rStyle w:val="FootnoteReference"/>
          <w:rFonts w:cs="Arial"/>
        </w:rPr>
        <w:footnoteReference w:id="36"/>
      </w:r>
      <w:r w:rsidR="0082077D" w:rsidRPr="008A1939">
        <w:rPr>
          <w:rFonts w:cs="Arial"/>
        </w:rPr>
        <w:t xml:space="preserve"> Accordingly, the students would have had to motivate for legal representation. There is neither an indication</w:t>
      </w:r>
      <w:r w:rsidR="00A05C98">
        <w:rPr>
          <w:rFonts w:cs="Arial"/>
        </w:rPr>
        <w:t>,</w:t>
      </w:r>
      <w:r w:rsidR="0082077D" w:rsidRPr="008A1939">
        <w:rPr>
          <w:rFonts w:cs="Arial"/>
        </w:rPr>
        <w:t xml:space="preserve"> </w:t>
      </w:r>
      <w:r w:rsidR="00A05C98">
        <w:rPr>
          <w:rFonts w:cs="Arial"/>
        </w:rPr>
        <w:t>n</w:t>
      </w:r>
      <w:r w:rsidR="0082077D" w:rsidRPr="008A1939">
        <w:rPr>
          <w:rFonts w:cs="Arial"/>
        </w:rPr>
        <w:t>or any averments in the papers</w:t>
      </w:r>
      <w:r w:rsidR="00A05C98">
        <w:rPr>
          <w:rFonts w:cs="Arial"/>
        </w:rPr>
        <w:t xml:space="preserve">, </w:t>
      </w:r>
      <w:r w:rsidR="0082077D" w:rsidRPr="008A1939">
        <w:rPr>
          <w:rFonts w:cs="Arial"/>
        </w:rPr>
        <w:t xml:space="preserve">that </w:t>
      </w:r>
      <w:r w:rsidR="009B7E0E" w:rsidRPr="008A1939">
        <w:rPr>
          <w:rFonts w:cs="Arial"/>
        </w:rPr>
        <w:t>A</w:t>
      </w:r>
      <w:r w:rsidR="00F02341" w:rsidRPr="008A1939">
        <w:rPr>
          <w:rFonts w:cs="Arial"/>
        </w:rPr>
        <w:t>pplicants requested legal representation and w</w:t>
      </w:r>
      <w:r w:rsidR="00A05C98">
        <w:rPr>
          <w:rFonts w:cs="Arial"/>
        </w:rPr>
        <w:t>ere</w:t>
      </w:r>
      <w:r w:rsidR="00F02341" w:rsidRPr="008A1939">
        <w:rPr>
          <w:rFonts w:cs="Arial"/>
        </w:rPr>
        <w:t xml:space="preserve"> refused. Accordingly, it is uncertain that if </w:t>
      </w:r>
      <w:r w:rsidR="008A1939" w:rsidRPr="008A1939">
        <w:rPr>
          <w:rFonts w:cs="Arial"/>
        </w:rPr>
        <w:t>a</w:t>
      </w:r>
      <w:r w:rsidR="00F02341" w:rsidRPr="008A1939">
        <w:rPr>
          <w:rFonts w:cs="Arial"/>
        </w:rPr>
        <w:t>pplicants had made the application</w:t>
      </w:r>
      <w:r w:rsidR="008A1939" w:rsidRPr="008A1939">
        <w:rPr>
          <w:rFonts w:cs="Arial"/>
        </w:rPr>
        <w:t xml:space="preserve"> for legal representation in terms of section </w:t>
      </w:r>
      <w:r w:rsidR="00684084" w:rsidRPr="008A1939">
        <w:rPr>
          <w:rFonts w:cs="Arial"/>
        </w:rPr>
        <w:t>G</w:t>
      </w:r>
      <w:r w:rsidR="00F02341" w:rsidRPr="008A1939">
        <w:rPr>
          <w:rFonts w:cs="Arial"/>
        </w:rPr>
        <w:t>.26.5.4(c)</w:t>
      </w:r>
      <w:r w:rsidR="00F02341" w:rsidRPr="008A1939">
        <w:rPr>
          <w:rFonts w:cs="Arial"/>
          <w:i/>
          <w:iCs/>
        </w:rPr>
        <w:t xml:space="preserve">, </w:t>
      </w:r>
      <w:r w:rsidR="00F02341" w:rsidRPr="008A1939">
        <w:rPr>
          <w:rFonts w:cs="Arial"/>
        </w:rPr>
        <w:t xml:space="preserve">the Applicants would </w:t>
      </w:r>
      <w:r w:rsidR="0082077D" w:rsidRPr="008A1939">
        <w:rPr>
          <w:rFonts w:cs="Arial"/>
        </w:rPr>
        <w:t xml:space="preserve">not </w:t>
      </w:r>
      <w:r w:rsidR="00F02341" w:rsidRPr="008A1939">
        <w:rPr>
          <w:rFonts w:cs="Arial"/>
        </w:rPr>
        <w:t xml:space="preserve">have been afforded legal representation. </w:t>
      </w:r>
    </w:p>
    <w:p w14:paraId="6C5BFF64" w14:textId="77777777" w:rsidR="0082077D" w:rsidRPr="0019035A" w:rsidRDefault="0082077D" w:rsidP="0019035A">
      <w:pPr>
        <w:pStyle w:val="ListParagraph"/>
        <w:spacing w:line="360" w:lineRule="auto"/>
        <w:rPr>
          <w:rFonts w:cs="Arial"/>
        </w:rPr>
      </w:pPr>
    </w:p>
    <w:p w14:paraId="506C789D" w14:textId="4743A485" w:rsidR="0082077D" w:rsidRPr="0019035A" w:rsidRDefault="00800158" w:rsidP="00800158">
      <w:pPr>
        <w:tabs>
          <w:tab w:val="left" w:pos="851"/>
        </w:tabs>
        <w:spacing w:line="360" w:lineRule="auto"/>
        <w:jc w:val="both"/>
        <w:rPr>
          <w:rFonts w:cs="Arial"/>
        </w:rPr>
      </w:pPr>
      <w:r w:rsidRPr="0019035A">
        <w:rPr>
          <w:rFonts w:cs="Arial"/>
        </w:rPr>
        <w:t>[56]</w:t>
      </w:r>
      <w:r w:rsidRPr="0019035A">
        <w:rPr>
          <w:rFonts w:cs="Arial"/>
        </w:rPr>
        <w:tab/>
      </w:r>
      <w:r w:rsidR="0082077D" w:rsidRPr="0019035A">
        <w:rPr>
          <w:rFonts w:cs="Arial"/>
        </w:rPr>
        <w:t xml:space="preserve">In any event, it is clear from </w:t>
      </w:r>
      <w:r w:rsidR="0082077D" w:rsidRPr="0019035A">
        <w:rPr>
          <w:rFonts w:cs="Arial"/>
          <w:i/>
          <w:iCs/>
        </w:rPr>
        <w:t>Hamata</w:t>
      </w:r>
      <w:r w:rsidR="0082077D" w:rsidRPr="0019035A">
        <w:rPr>
          <w:rFonts w:cs="Arial"/>
        </w:rPr>
        <w:t xml:space="preserve"> that the</w:t>
      </w:r>
      <w:r w:rsidR="008A1939">
        <w:rPr>
          <w:rFonts w:cs="Arial"/>
        </w:rPr>
        <w:t xml:space="preserve"> section </w:t>
      </w:r>
      <w:r w:rsidR="0082077D" w:rsidRPr="0019035A">
        <w:rPr>
          <w:rFonts w:cs="Arial"/>
        </w:rPr>
        <w:t xml:space="preserve">must be interpreted with </w:t>
      </w:r>
      <w:r w:rsidR="00336412" w:rsidRPr="0019035A">
        <w:rPr>
          <w:rFonts w:cs="Arial"/>
        </w:rPr>
        <w:t>s</w:t>
      </w:r>
      <w:r w:rsidR="00A83A08">
        <w:rPr>
          <w:rFonts w:cs="Arial"/>
        </w:rPr>
        <w:t xml:space="preserve"> </w:t>
      </w:r>
      <w:r w:rsidR="00336412" w:rsidRPr="0019035A">
        <w:rPr>
          <w:rFonts w:cs="Arial"/>
        </w:rPr>
        <w:t xml:space="preserve">3(3) of PAJA, to give a discretion to a presiding officer to </w:t>
      </w:r>
      <w:r w:rsidR="00DA6A0C" w:rsidRPr="0019035A">
        <w:rPr>
          <w:rFonts w:cs="Arial"/>
        </w:rPr>
        <w:t>allow legal representation</w:t>
      </w:r>
      <w:r w:rsidR="00EE0C51" w:rsidRPr="0019035A">
        <w:rPr>
          <w:rFonts w:cs="Arial"/>
        </w:rPr>
        <w:t>. In the premises</w:t>
      </w:r>
      <w:r w:rsidR="00DA6A0C" w:rsidRPr="0019035A">
        <w:rPr>
          <w:rFonts w:cs="Arial"/>
        </w:rPr>
        <w:t xml:space="preserve">, the said section is not unconstitutional. </w:t>
      </w:r>
    </w:p>
    <w:p w14:paraId="3A893470" w14:textId="77777777" w:rsidR="00F02341" w:rsidRPr="0019035A" w:rsidRDefault="00F02341" w:rsidP="0019035A">
      <w:pPr>
        <w:pStyle w:val="ListParagraph"/>
        <w:spacing w:line="360" w:lineRule="auto"/>
        <w:rPr>
          <w:rFonts w:cs="Arial"/>
        </w:rPr>
      </w:pPr>
    </w:p>
    <w:p w14:paraId="4E473492" w14:textId="7FD91D3D" w:rsidR="00791957" w:rsidRPr="008A1939" w:rsidRDefault="00800158" w:rsidP="00800158">
      <w:pPr>
        <w:tabs>
          <w:tab w:val="left" w:pos="851"/>
        </w:tabs>
        <w:spacing w:line="360" w:lineRule="auto"/>
        <w:jc w:val="both"/>
        <w:rPr>
          <w:rFonts w:cs="Arial"/>
        </w:rPr>
      </w:pPr>
      <w:r w:rsidRPr="008A1939">
        <w:rPr>
          <w:rFonts w:cs="Arial"/>
        </w:rPr>
        <w:t>[5</w:t>
      </w:r>
      <w:bookmarkStart w:id="3" w:name="_GoBack"/>
      <w:bookmarkEnd w:id="3"/>
      <w:r w:rsidRPr="008A1939">
        <w:rPr>
          <w:rFonts w:cs="Arial"/>
        </w:rPr>
        <w:t>7]</w:t>
      </w:r>
      <w:r w:rsidRPr="008A1939">
        <w:rPr>
          <w:rFonts w:cs="Arial"/>
        </w:rPr>
        <w:tab/>
      </w:r>
      <w:r w:rsidR="008A1939">
        <w:rPr>
          <w:rFonts w:cs="Arial"/>
        </w:rPr>
        <w:t>In m</w:t>
      </w:r>
      <w:r w:rsidR="00EE0C51" w:rsidRPr="0019035A">
        <w:rPr>
          <w:rFonts w:cs="Arial"/>
        </w:rPr>
        <w:t>y view,</w:t>
      </w:r>
      <w:r w:rsidR="008A1939">
        <w:rPr>
          <w:rFonts w:cs="Arial"/>
        </w:rPr>
        <w:t xml:space="preserve"> upon</w:t>
      </w:r>
      <w:r w:rsidR="00EE0C51" w:rsidRPr="0019035A">
        <w:rPr>
          <w:rFonts w:cs="Arial"/>
        </w:rPr>
        <w:t xml:space="preserve"> a plain reading of G</w:t>
      </w:r>
      <w:r w:rsidR="00010949">
        <w:rPr>
          <w:rFonts w:cs="Arial"/>
        </w:rPr>
        <w:t>.</w:t>
      </w:r>
      <w:r w:rsidR="00EE0C51" w:rsidRPr="0019035A">
        <w:rPr>
          <w:rFonts w:cs="Arial"/>
        </w:rPr>
        <w:t>26.5.4(b)(i) and (ii) of the general rules</w:t>
      </w:r>
      <w:r w:rsidR="008A1939">
        <w:rPr>
          <w:rFonts w:cs="Arial"/>
        </w:rPr>
        <w:t>, it</w:t>
      </w:r>
      <w:r w:rsidR="00EE0C51" w:rsidRPr="0019035A">
        <w:rPr>
          <w:rFonts w:cs="Arial"/>
        </w:rPr>
        <w:t xml:space="preserve"> is</w:t>
      </w:r>
      <w:r w:rsidR="00887EAB" w:rsidRPr="0019035A">
        <w:rPr>
          <w:rFonts w:cs="Arial"/>
        </w:rPr>
        <w:t xml:space="preserve"> not unconstitutional. </w:t>
      </w:r>
      <w:r w:rsidR="008A1939">
        <w:rPr>
          <w:rFonts w:cs="Arial"/>
        </w:rPr>
        <w:t xml:space="preserve"> </w:t>
      </w:r>
      <w:r w:rsidR="00791957" w:rsidRPr="008A1939">
        <w:rPr>
          <w:rFonts w:cs="Arial"/>
        </w:rPr>
        <w:t xml:space="preserve">In the premises, Part A of this application must fail in its entirety. </w:t>
      </w:r>
    </w:p>
    <w:p w14:paraId="10CBE779" w14:textId="77777777" w:rsidR="00E013E5" w:rsidRPr="0019035A" w:rsidRDefault="00E013E5" w:rsidP="0019035A">
      <w:pPr>
        <w:pStyle w:val="ListParagraph"/>
        <w:spacing w:line="360" w:lineRule="auto"/>
        <w:rPr>
          <w:rFonts w:cs="Arial"/>
        </w:rPr>
      </w:pPr>
    </w:p>
    <w:p w14:paraId="7CCF670D" w14:textId="77777777" w:rsidR="00791957" w:rsidRPr="0019035A" w:rsidRDefault="00791957" w:rsidP="0019035A">
      <w:pPr>
        <w:pStyle w:val="ListParagraph"/>
        <w:spacing w:line="360" w:lineRule="auto"/>
        <w:ind w:left="0"/>
        <w:rPr>
          <w:rFonts w:cs="Arial"/>
        </w:rPr>
      </w:pPr>
      <w:r w:rsidRPr="0019035A">
        <w:rPr>
          <w:rFonts w:cs="Arial"/>
          <w:b/>
          <w:bCs/>
        </w:rPr>
        <w:t>Costs</w:t>
      </w:r>
    </w:p>
    <w:p w14:paraId="33F7F513" w14:textId="33B9F42C" w:rsidR="009B7E0E" w:rsidRPr="00FB04B3" w:rsidRDefault="00800158" w:rsidP="00800158">
      <w:pPr>
        <w:spacing w:line="360" w:lineRule="auto"/>
        <w:jc w:val="both"/>
        <w:rPr>
          <w:rFonts w:cs="Arial"/>
        </w:rPr>
      </w:pPr>
      <w:r w:rsidRPr="00FB04B3">
        <w:rPr>
          <w:rFonts w:cs="Arial"/>
        </w:rPr>
        <w:t>[58]</w:t>
      </w:r>
      <w:r w:rsidRPr="00FB04B3">
        <w:rPr>
          <w:rFonts w:cs="Arial"/>
        </w:rPr>
        <w:tab/>
      </w:r>
      <w:r w:rsidR="00FB04B3" w:rsidRPr="0019035A">
        <w:rPr>
          <w:rFonts w:cs="Arial"/>
        </w:rPr>
        <w:t>It is trite that courts have a wide discretion in the awarding of costs and that discretion must be exercised judicially.</w:t>
      </w:r>
      <w:r w:rsidR="00FB04B3">
        <w:rPr>
          <w:rFonts w:cs="Arial"/>
        </w:rPr>
        <w:t xml:space="preserve"> </w:t>
      </w:r>
      <w:r w:rsidR="00791957" w:rsidRPr="00FB04B3">
        <w:rPr>
          <w:rFonts w:cs="Arial"/>
        </w:rPr>
        <w:t xml:space="preserve">Applicants did not seek costs in the event of their success, while </w:t>
      </w:r>
      <w:r w:rsidR="009B7E0E" w:rsidRPr="00FB04B3">
        <w:rPr>
          <w:rFonts w:cs="Arial"/>
        </w:rPr>
        <w:t>R</w:t>
      </w:r>
      <w:r w:rsidR="00791957" w:rsidRPr="00FB04B3">
        <w:rPr>
          <w:rFonts w:cs="Arial"/>
        </w:rPr>
        <w:t>espondents sought costs in the event of their success</w:t>
      </w:r>
      <w:r w:rsidR="007C6954" w:rsidRPr="00FB04B3">
        <w:rPr>
          <w:rFonts w:cs="Arial"/>
        </w:rPr>
        <w:t>.</w:t>
      </w:r>
    </w:p>
    <w:p w14:paraId="5D363D9D" w14:textId="77777777" w:rsidR="008A1939" w:rsidRDefault="008A1939" w:rsidP="008A1939">
      <w:pPr>
        <w:pStyle w:val="ListParagraph"/>
        <w:rPr>
          <w:rFonts w:cs="Arial"/>
        </w:rPr>
      </w:pPr>
    </w:p>
    <w:p w14:paraId="15F48BAD" w14:textId="77777777" w:rsidR="00FB04B3" w:rsidRDefault="00FB04B3" w:rsidP="008A1939">
      <w:pPr>
        <w:pStyle w:val="ListParagraph"/>
        <w:rPr>
          <w:rFonts w:cs="Arial"/>
        </w:rPr>
      </w:pPr>
    </w:p>
    <w:p w14:paraId="30480769" w14:textId="77777777" w:rsidR="00FB04B3" w:rsidRDefault="00FB04B3" w:rsidP="008A1939">
      <w:pPr>
        <w:pStyle w:val="ListParagraph"/>
        <w:rPr>
          <w:rFonts w:cs="Arial"/>
        </w:rPr>
      </w:pPr>
    </w:p>
    <w:p w14:paraId="3BB16232" w14:textId="532E5684" w:rsidR="00791957" w:rsidRPr="008A1939" w:rsidRDefault="00800158" w:rsidP="00800158">
      <w:pPr>
        <w:spacing w:line="360" w:lineRule="auto"/>
        <w:jc w:val="both"/>
        <w:rPr>
          <w:rFonts w:cs="Arial"/>
        </w:rPr>
      </w:pPr>
      <w:r w:rsidRPr="008A1939">
        <w:rPr>
          <w:rFonts w:cs="Arial"/>
        </w:rPr>
        <w:t>[59]</w:t>
      </w:r>
      <w:r w:rsidRPr="008A1939">
        <w:rPr>
          <w:rFonts w:cs="Arial"/>
        </w:rPr>
        <w:tab/>
      </w:r>
      <w:r w:rsidR="00261427" w:rsidRPr="008A1939">
        <w:rPr>
          <w:rFonts w:cs="Arial"/>
        </w:rPr>
        <w:t>In</w:t>
      </w:r>
      <w:r w:rsidR="00791957" w:rsidRPr="008A1939">
        <w:rPr>
          <w:rFonts w:cs="Arial"/>
        </w:rPr>
        <w:t xml:space="preserve"> </w:t>
      </w:r>
      <w:r w:rsidR="00791957" w:rsidRPr="008A1939">
        <w:rPr>
          <w:rFonts w:cs="Arial"/>
          <w:i/>
        </w:rPr>
        <w:t>Biowatch Trust v Registrar, Genetic Resources, and Others</w:t>
      </w:r>
      <w:r w:rsidR="00A83A08" w:rsidRPr="00A83A08">
        <w:rPr>
          <w:rStyle w:val="FootnoteReference"/>
          <w:rFonts w:cs="Arial"/>
        </w:rPr>
        <w:footnoteReference w:id="37"/>
      </w:r>
      <w:r w:rsidR="00791957" w:rsidRPr="008A1939">
        <w:rPr>
          <w:rFonts w:cs="Arial"/>
          <w:i/>
        </w:rPr>
        <w:t xml:space="preserve"> </w:t>
      </w:r>
      <w:r w:rsidR="00261427" w:rsidRPr="008A1939">
        <w:rPr>
          <w:rFonts w:cs="Arial"/>
        </w:rPr>
        <w:t xml:space="preserve">the </w:t>
      </w:r>
      <w:r w:rsidR="0094628B" w:rsidRPr="008A1939">
        <w:rPr>
          <w:rFonts w:cs="Arial"/>
        </w:rPr>
        <w:t>Constitutional Court</w:t>
      </w:r>
      <w:r w:rsidR="00261427" w:rsidRPr="008A1939">
        <w:rPr>
          <w:rFonts w:cs="Arial"/>
        </w:rPr>
        <w:t xml:space="preserve"> adopted the approach that applicants litigating for the public benefit in constitution</w:t>
      </w:r>
      <w:r w:rsidR="00D32162" w:rsidRPr="008A1939">
        <w:rPr>
          <w:rFonts w:cs="Arial"/>
        </w:rPr>
        <w:t>al</w:t>
      </w:r>
      <w:r w:rsidR="00261427" w:rsidRPr="008A1939">
        <w:rPr>
          <w:rFonts w:cs="Arial"/>
        </w:rPr>
        <w:t xml:space="preserve"> ma</w:t>
      </w:r>
      <w:r w:rsidR="009D34D4" w:rsidRPr="008A1939">
        <w:rPr>
          <w:rFonts w:cs="Arial"/>
        </w:rPr>
        <w:t>t</w:t>
      </w:r>
      <w:r w:rsidR="00261427" w:rsidRPr="008A1939">
        <w:rPr>
          <w:rFonts w:cs="Arial"/>
        </w:rPr>
        <w:t xml:space="preserve">ters should not be burdened with costs in the event that they are unsuccessful. </w:t>
      </w:r>
      <w:r w:rsidR="00791957" w:rsidRPr="008A1939">
        <w:rPr>
          <w:rFonts w:cs="Arial"/>
        </w:rPr>
        <w:t xml:space="preserve"> </w:t>
      </w:r>
    </w:p>
    <w:p w14:paraId="1F10F766" w14:textId="77777777" w:rsidR="00791957" w:rsidRPr="0019035A" w:rsidRDefault="00791957" w:rsidP="0019035A">
      <w:pPr>
        <w:spacing w:line="360" w:lineRule="auto"/>
        <w:jc w:val="both"/>
        <w:rPr>
          <w:rFonts w:cs="Arial"/>
        </w:rPr>
      </w:pPr>
    </w:p>
    <w:p w14:paraId="606E7122" w14:textId="21263E3C" w:rsidR="00791957" w:rsidRPr="0019035A" w:rsidRDefault="00800158" w:rsidP="00800158">
      <w:pPr>
        <w:spacing w:line="360" w:lineRule="auto"/>
        <w:jc w:val="both"/>
        <w:rPr>
          <w:rFonts w:cs="Arial"/>
        </w:rPr>
      </w:pPr>
      <w:r w:rsidRPr="0019035A">
        <w:rPr>
          <w:rFonts w:cs="Arial"/>
        </w:rPr>
        <w:t>[60]</w:t>
      </w:r>
      <w:r w:rsidRPr="0019035A">
        <w:rPr>
          <w:rFonts w:cs="Arial"/>
        </w:rPr>
        <w:tab/>
      </w:r>
      <w:r w:rsidR="00791957" w:rsidRPr="0019035A">
        <w:rPr>
          <w:rFonts w:cs="Arial"/>
        </w:rPr>
        <w:t xml:space="preserve">In </w:t>
      </w:r>
      <w:r w:rsidR="00791957" w:rsidRPr="00A83A08">
        <w:rPr>
          <w:rFonts w:cs="Arial"/>
          <w:i/>
        </w:rPr>
        <w:t>Harrielall v University of KwaZulu-Natal</w:t>
      </w:r>
      <w:r w:rsidR="008A1939" w:rsidRPr="008A1939">
        <w:rPr>
          <w:rFonts w:cs="Arial"/>
          <w:iCs/>
        </w:rPr>
        <w:t>, the following was stated:</w:t>
      </w:r>
      <w:r w:rsidR="00A83A08" w:rsidRPr="008A1939">
        <w:rPr>
          <w:rStyle w:val="FootnoteReference"/>
          <w:rFonts w:cs="Arial"/>
          <w:iCs/>
        </w:rPr>
        <w:footnoteReference w:id="38"/>
      </w:r>
    </w:p>
    <w:p w14:paraId="07F702B7" w14:textId="661B4C61" w:rsidR="00791957" w:rsidRPr="0019035A" w:rsidRDefault="00791957" w:rsidP="0019035A">
      <w:pPr>
        <w:spacing w:line="360" w:lineRule="auto"/>
        <w:jc w:val="both"/>
        <w:rPr>
          <w:rFonts w:cs="Arial"/>
          <w:sz w:val="22"/>
          <w:szCs w:val="22"/>
        </w:rPr>
      </w:pPr>
      <w:r w:rsidRPr="0019035A">
        <w:rPr>
          <w:rFonts w:cs="Arial"/>
          <w:sz w:val="22"/>
          <w:szCs w:val="22"/>
        </w:rPr>
        <w:t xml:space="preserve">‘[16] With regard to costs, the Supreme Court of Appeal here held that the </w:t>
      </w:r>
      <w:r w:rsidRPr="0035621B">
        <w:rPr>
          <w:rFonts w:cs="Arial"/>
          <w:i/>
          <w:sz w:val="22"/>
          <w:szCs w:val="22"/>
        </w:rPr>
        <w:t xml:space="preserve">Biowatch </w:t>
      </w:r>
      <w:r w:rsidRPr="0019035A">
        <w:rPr>
          <w:rFonts w:cs="Arial"/>
          <w:sz w:val="22"/>
          <w:szCs w:val="22"/>
        </w:rPr>
        <w:t>principle did not apply because “no constitutional issues were implicated”</w:t>
      </w:r>
      <w:r w:rsidR="0035621B">
        <w:rPr>
          <w:rFonts w:cs="Arial"/>
          <w:sz w:val="22"/>
          <w:szCs w:val="22"/>
        </w:rPr>
        <w:t>.</w:t>
      </w:r>
      <w:r w:rsidRPr="0019035A">
        <w:rPr>
          <w:rFonts w:cs="Arial"/>
          <w:sz w:val="22"/>
          <w:szCs w:val="22"/>
        </w:rPr>
        <w:t xml:space="preserve"> </w:t>
      </w:r>
      <w:r w:rsidR="0035621B">
        <w:rPr>
          <w:rFonts w:cs="Arial"/>
          <w:sz w:val="22"/>
          <w:szCs w:val="22"/>
        </w:rPr>
        <w:t>A</w:t>
      </w:r>
      <w:r w:rsidRPr="0019035A">
        <w:rPr>
          <w:rFonts w:cs="Arial"/>
          <w:sz w:val="22"/>
          <w:szCs w:val="22"/>
        </w:rPr>
        <w:t xml:space="preserve">nd that the case was simply a review under the Promotion of Administrative Justice Act (PAJA) of an administrative decision of the university. This is not correct. </w:t>
      </w:r>
    </w:p>
    <w:p w14:paraId="0AA68836" w14:textId="7963FD2E" w:rsidR="00791957" w:rsidRDefault="00791957" w:rsidP="0019035A">
      <w:pPr>
        <w:spacing w:line="360" w:lineRule="auto"/>
        <w:jc w:val="both"/>
        <w:rPr>
          <w:rFonts w:cs="Arial"/>
          <w:sz w:val="22"/>
          <w:szCs w:val="22"/>
        </w:rPr>
      </w:pPr>
      <w:r w:rsidRPr="0019035A">
        <w:rPr>
          <w:rFonts w:cs="Arial"/>
          <w:sz w:val="22"/>
          <w:szCs w:val="22"/>
        </w:rPr>
        <w:t>[17] The constitutional issues raised by the case are two-fold. First, a review of administrative action under PAJA constitutes a constitutional issue. This is so because PAJA was passed specifically to give effect to administrative justice rights guaranteed by section 33 of the Constitution. Moreover when the University determined the application for admission, it exercised a public power.’</w:t>
      </w:r>
      <w:r w:rsidR="0035621B">
        <w:rPr>
          <w:rFonts w:cs="Arial"/>
          <w:sz w:val="22"/>
          <w:szCs w:val="22"/>
        </w:rPr>
        <w:t xml:space="preserve"> (Footnotes omitted.)</w:t>
      </w:r>
    </w:p>
    <w:p w14:paraId="2326B5C9" w14:textId="77777777" w:rsidR="009B7E0E" w:rsidRPr="002D62A8" w:rsidRDefault="009B7E0E" w:rsidP="0019035A">
      <w:pPr>
        <w:spacing w:line="360" w:lineRule="auto"/>
        <w:jc w:val="both"/>
        <w:rPr>
          <w:rFonts w:cs="Arial"/>
          <w:sz w:val="22"/>
          <w:szCs w:val="22"/>
        </w:rPr>
      </w:pPr>
    </w:p>
    <w:p w14:paraId="0C8F2337" w14:textId="2A0872BB" w:rsidR="00A83A08" w:rsidRPr="00A83A08" w:rsidRDefault="00800158" w:rsidP="00800158">
      <w:pPr>
        <w:spacing w:line="360" w:lineRule="auto"/>
        <w:jc w:val="both"/>
        <w:rPr>
          <w:rFonts w:cs="Arial"/>
          <w:sz w:val="22"/>
          <w:szCs w:val="22"/>
        </w:rPr>
      </w:pPr>
      <w:r w:rsidRPr="00A83A08">
        <w:rPr>
          <w:rFonts w:cs="Arial"/>
        </w:rPr>
        <w:t>[61]</w:t>
      </w:r>
      <w:r w:rsidRPr="00A83A08">
        <w:rPr>
          <w:rFonts w:cs="Arial"/>
        </w:rPr>
        <w:tab/>
      </w:r>
      <w:r w:rsidR="00791957" w:rsidRPr="0019035A">
        <w:rPr>
          <w:rFonts w:cs="Arial"/>
        </w:rPr>
        <w:t xml:space="preserve">In </w:t>
      </w:r>
      <w:r w:rsidR="008B5DB6" w:rsidRPr="00A83A08">
        <w:rPr>
          <w:rFonts w:cs="Arial"/>
          <w:i/>
        </w:rPr>
        <w:t>E</w:t>
      </w:r>
      <w:r w:rsidR="008B5DB6">
        <w:rPr>
          <w:rFonts w:cs="Arial"/>
          <w:i/>
        </w:rPr>
        <w:t xml:space="preserve">conomic </w:t>
      </w:r>
      <w:r w:rsidR="008B5DB6" w:rsidRPr="00A83A08">
        <w:rPr>
          <w:rFonts w:cs="Arial"/>
          <w:i/>
        </w:rPr>
        <w:t>F</w:t>
      </w:r>
      <w:r w:rsidR="008B5DB6">
        <w:rPr>
          <w:rFonts w:cs="Arial"/>
          <w:i/>
        </w:rPr>
        <w:t xml:space="preserve">reedom </w:t>
      </w:r>
      <w:r w:rsidR="008B5DB6" w:rsidRPr="00A83A08">
        <w:rPr>
          <w:rFonts w:cs="Arial"/>
          <w:i/>
        </w:rPr>
        <w:t>F</w:t>
      </w:r>
      <w:r w:rsidR="008B5DB6">
        <w:rPr>
          <w:rFonts w:cs="Arial"/>
          <w:i/>
        </w:rPr>
        <w:t>ighters</w:t>
      </w:r>
      <w:r w:rsidR="008B5DB6" w:rsidRPr="00A83A08">
        <w:rPr>
          <w:rFonts w:cs="Arial"/>
          <w:i/>
        </w:rPr>
        <w:t xml:space="preserve"> </w:t>
      </w:r>
      <w:r w:rsidR="008B5DB6" w:rsidRPr="008B5DB6">
        <w:rPr>
          <w:rFonts w:cs="Arial"/>
          <w:i/>
        </w:rPr>
        <w:t>v</w:t>
      </w:r>
      <w:r w:rsidR="00791957" w:rsidRPr="00A83A08">
        <w:rPr>
          <w:rFonts w:cs="Arial"/>
          <w:i/>
        </w:rPr>
        <w:t xml:space="preserve"> v Gordhan</w:t>
      </w:r>
      <w:r w:rsidR="008B5DB6">
        <w:rPr>
          <w:rFonts w:cs="Arial"/>
          <w:i/>
        </w:rPr>
        <w:t xml:space="preserve"> and Others</w:t>
      </w:r>
      <w:r w:rsidR="00A83A08" w:rsidRPr="00A83A08">
        <w:rPr>
          <w:rFonts w:cs="Arial"/>
        </w:rPr>
        <w:t>,</w:t>
      </w:r>
      <w:r w:rsidR="00A83A08">
        <w:rPr>
          <w:rStyle w:val="FootnoteReference"/>
          <w:rFonts w:cs="Arial"/>
        </w:rPr>
        <w:footnoteReference w:id="39"/>
      </w:r>
      <w:r w:rsidR="00791957" w:rsidRPr="0019035A">
        <w:rPr>
          <w:rFonts w:cs="Arial"/>
        </w:rPr>
        <w:t xml:space="preserve"> the Constitutional Court at para</w:t>
      </w:r>
      <w:r w:rsidR="006F17A6">
        <w:rPr>
          <w:rFonts w:cs="Arial"/>
        </w:rPr>
        <w:t>graph</w:t>
      </w:r>
      <w:r w:rsidR="00791957" w:rsidRPr="0019035A">
        <w:rPr>
          <w:rFonts w:cs="Arial"/>
        </w:rPr>
        <w:t xml:space="preserve">s 82 to 83, criticised the High Court’s decision not to apply </w:t>
      </w:r>
      <w:r w:rsidR="00791957" w:rsidRPr="00A83A08">
        <w:rPr>
          <w:rFonts w:cs="Arial"/>
          <w:i/>
        </w:rPr>
        <w:t>Biowatch</w:t>
      </w:r>
      <w:r w:rsidR="0095190A">
        <w:rPr>
          <w:rFonts w:cs="Arial"/>
        </w:rPr>
        <w:t xml:space="preserve"> and stated as follows:</w:t>
      </w:r>
    </w:p>
    <w:p w14:paraId="31C43917" w14:textId="031472E7" w:rsidR="00791957" w:rsidRPr="0019035A" w:rsidRDefault="00791957" w:rsidP="00A83A08">
      <w:pPr>
        <w:spacing w:line="360" w:lineRule="auto"/>
        <w:jc w:val="both"/>
        <w:rPr>
          <w:rFonts w:cs="Arial"/>
          <w:sz w:val="22"/>
          <w:szCs w:val="22"/>
        </w:rPr>
      </w:pPr>
      <w:r w:rsidRPr="00654DB4">
        <w:rPr>
          <w:rFonts w:cs="Arial"/>
          <w:sz w:val="22"/>
          <w:szCs w:val="22"/>
        </w:rPr>
        <w:t>‘</w:t>
      </w:r>
      <w:r w:rsidR="008B5DB6" w:rsidRPr="00654DB4">
        <w:rPr>
          <w:rFonts w:cs="Arial"/>
          <w:sz w:val="22"/>
          <w:szCs w:val="22"/>
        </w:rPr>
        <w:t xml:space="preserve">[83] </w:t>
      </w:r>
      <w:r w:rsidRPr="00654DB4">
        <w:rPr>
          <w:rFonts w:cs="Arial"/>
          <w:sz w:val="22"/>
          <w:szCs w:val="22"/>
        </w:rPr>
        <w:t xml:space="preserve">Regardless of the EFF's motivation to involve itself in these proceedings, as a private party acting seemingly in the public interest, it pursued arguments of genuine constitutional concern. Although those arguments have been unsuccessful in both the High Court and on appeal before this court, it would be parsimonious to contend that the constitutional arguments the EFF raised were of a specious or opportunistic calibre. The EFF therefore should have received the benefit of the </w:t>
      </w:r>
      <w:r w:rsidRPr="009D3AE4">
        <w:rPr>
          <w:rFonts w:cs="Arial"/>
          <w:i/>
          <w:sz w:val="22"/>
          <w:szCs w:val="22"/>
        </w:rPr>
        <w:t>Biowatch</w:t>
      </w:r>
      <w:r w:rsidRPr="00654DB4">
        <w:rPr>
          <w:rFonts w:cs="Arial"/>
          <w:sz w:val="22"/>
          <w:szCs w:val="22"/>
        </w:rPr>
        <w:t xml:space="preserve"> principle and should not have had costs awarded against it.’</w:t>
      </w:r>
    </w:p>
    <w:p w14:paraId="4FCEE70B" w14:textId="77777777" w:rsidR="00791957" w:rsidRPr="0019035A" w:rsidRDefault="00791957" w:rsidP="0019035A">
      <w:pPr>
        <w:spacing w:line="360" w:lineRule="auto"/>
        <w:jc w:val="both"/>
        <w:rPr>
          <w:rFonts w:cs="Arial"/>
        </w:rPr>
      </w:pPr>
    </w:p>
    <w:p w14:paraId="41F232F2" w14:textId="530973E0" w:rsidR="00791957" w:rsidRDefault="00800158" w:rsidP="00800158">
      <w:pPr>
        <w:spacing w:line="360" w:lineRule="auto"/>
        <w:jc w:val="both"/>
        <w:rPr>
          <w:rFonts w:cs="Arial"/>
        </w:rPr>
      </w:pPr>
      <w:r>
        <w:rPr>
          <w:rFonts w:cs="Arial"/>
        </w:rPr>
        <w:t>[62]</w:t>
      </w:r>
      <w:r>
        <w:rPr>
          <w:rFonts w:cs="Arial"/>
        </w:rPr>
        <w:tab/>
      </w:r>
      <w:r w:rsidR="009D34D4" w:rsidRPr="0019035A">
        <w:rPr>
          <w:rFonts w:cs="Arial"/>
        </w:rPr>
        <w:t xml:space="preserve">In the circumstances, I am of the view that the </w:t>
      </w:r>
      <w:r w:rsidR="009B7E0E">
        <w:rPr>
          <w:rFonts w:cs="Arial"/>
        </w:rPr>
        <w:t>A</w:t>
      </w:r>
      <w:r w:rsidR="009D34D4" w:rsidRPr="0019035A">
        <w:rPr>
          <w:rFonts w:cs="Arial"/>
        </w:rPr>
        <w:t xml:space="preserve">pplicants should not be burdened with costs. </w:t>
      </w:r>
    </w:p>
    <w:p w14:paraId="42C9C497" w14:textId="77777777" w:rsidR="00E04479" w:rsidRPr="00173E73" w:rsidRDefault="00E04479" w:rsidP="00E04479">
      <w:pPr>
        <w:spacing w:line="360" w:lineRule="auto"/>
        <w:jc w:val="both"/>
        <w:rPr>
          <w:rFonts w:cs="Arial"/>
        </w:rPr>
      </w:pPr>
    </w:p>
    <w:p w14:paraId="78F9DD81" w14:textId="7FFC0466" w:rsidR="00F02341" w:rsidRPr="00A83A08" w:rsidRDefault="00F02341" w:rsidP="0019035A">
      <w:pPr>
        <w:spacing w:line="360" w:lineRule="auto"/>
        <w:rPr>
          <w:rFonts w:cs="Arial"/>
          <w:b/>
          <w:bCs/>
        </w:rPr>
      </w:pPr>
      <w:r w:rsidRPr="0019035A">
        <w:rPr>
          <w:rFonts w:cs="Arial"/>
          <w:b/>
          <w:bCs/>
        </w:rPr>
        <w:t>O</w:t>
      </w:r>
      <w:r w:rsidR="0019035A" w:rsidRPr="0019035A">
        <w:rPr>
          <w:rFonts w:cs="Arial"/>
          <w:b/>
          <w:bCs/>
        </w:rPr>
        <w:t>rder</w:t>
      </w:r>
    </w:p>
    <w:p w14:paraId="549C028E" w14:textId="4442D59B" w:rsidR="00153D75" w:rsidRPr="0019035A" w:rsidRDefault="00800158" w:rsidP="00800158">
      <w:pPr>
        <w:tabs>
          <w:tab w:val="left" w:pos="851"/>
        </w:tabs>
        <w:spacing w:line="360" w:lineRule="auto"/>
        <w:jc w:val="both"/>
        <w:rPr>
          <w:rFonts w:cs="Arial"/>
        </w:rPr>
      </w:pPr>
      <w:r w:rsidRPr="0019035A">
        <w:rPr>
          <w:rFonts w:cs="Arial"/>
        </w:rPr>
        <w:t>[63]</w:t>
      </w:r>
      <w:r w:rsidRPr="0019035A">
        <w:rPr>
          <w:rFonts w:cs="Arial"/>
        </w:rPr>
        <w:tab/>
      </w:r>
      <w:r w:rsidR="00F02341" w:rsidRPr="0019035A">
        <w:rPr>
          <w:rFonts w:cs="Arial"/>
        </w:rPr>
        <w:t>In the result, I make the following order:</w:t>
      </w:r>
    </w:p>
    <w:p w14:paraId="07B3FA1D" w14:textId="1B763EE0" w:rsidR="00F02341" w:rsidRPr="00E04479" w:rsidRDefault="00E04479" w:rsidP="00E04479">
      <w:pPr>
        <w:tabs>
          <w:tab w:val="left" w:pos="851"/>
        </w:tabs>
        <w:spacing w:line="360" w:lineRule="auto"/>
        <w:jc w:val="both"/>
        <w:rPr>
          <w:rFonts w:cs="Arial"/>
        </w:rPr>
      </w:pPr>
      <w:r>
        <w:rPr>
          <w:rFonts w:cs="Arial"/>
        </w:rPr>
        <w:tab/>
      </w:r>
      <w:r w:rsidRPr="00E04479">
        <w:rPr>
          <w:rFonts w:cs="Arial"/>
        </w:rPr>
        <w:t>1.</w:t>
      </w:r>
      <w:r w:rsidRPr="00E04479">
        <w:rPr>
          <w:rFonts w:cs="Arial"/>
        </w:rPr>
        <w:tab/>
      </w:r>
      <w:r w:rsidR="00791957" w:rsidRPr="00E04479">
        <w:rPr>
          <w:rFonts w:cs="Arial"/>
        </w:rPr>
        <w:t>P</w:t>
      </w:r>
      <w:r w:rsidR="00F02341" w:rsidRPr="00E04479">
        <w:rPr>
          <w:rFonts w:cs="Arial"/>
        </w:rPr>
        <w:t>art A of the application is dismissed</w:t>
      </w:r>
      <w:r w:rsidR="009D34D4" w:rsidRPr="00E04479">
        <w:rPr>
          <w:rFonts w:cs="Arial"/>
        </w:rPr>
        <w:t>.</w:t>
      </w:r>
    </w:p>
    <w:p w14:paraId="56AB3334" w14:textId="141541BA" w:rsidR="00F02341" w:rsidRPr="00E04479" w:rsidRDefault="00E04479" w:rsidP="00E04479">
      <w:pPr>
        <w:tabs>
          <w:tab w:val="left" w:pos="851"/>
        </w:tabs>
        <w:spacing w:line="360" w:lineRule="auto"/>
        <w:jc w:val="both"/>
        <w:rPr>
          <w:rFonts w:cs="Arial"/>
        </w:rPr>
      </w:pPr>
      <w:r>
        <w:rPr>
          <w:rFonts w:cs="Arial"/>
        </w:rPr>
        <w:tab/>
      </w:r>
      <w:r w:rsidRPr="00E04479">
        <w:rPr>
          <w:rFonts w:cs="Arial"/>
        </w:rPr>
        <w:t>2.</w:t>
      </w:r>
      <w:r w:rsidRPr="00E04479">
        <w:rPr>
          <w:rFonts w:cs="Arial"/>
        </w:rPr>
        <w:tab/>
      </w:r>
      <w:r w:rsidR="00791957" w:rsidRPr="00E04479">
        <w:rPr>
          <w:rFonts w:cs="Arial"/>
        </w:rPr>
        <w:t>N</w:t>
      </w:r>
      <w:r w:rsidR="00F02341" w:rsidRPr="00E04479">
        <w:rPr>
          <w:rFonts w:cs="Arial"/>
        </w:rPr>
        <w:t>o order as to costs.</w:t>
      </w:r>
    </w:p>
    <w:p w14:paraId="672C911A" w14:textId="3F6F40B5" w:rsidR="00F02341" w:rsidRPr="0019035A" w:rsidRDefault="00F02341" w:rsidP="0019035A">
      <w:pPr>
        <w:pStyle w:val="ListParagraph"/>
        <w:spacing w:line="360" w:lineRule="auto"/>
        <w:rPr>
          <w:rFonts w:cs="Arial"/>
        </w:rPr>
      </w:pPr>
    </w:p>
    <w:p w14:paraId="34B7F0C2" w14:textId="77777777" w:rsidR="009D481D" w:rsidRPr="0019035A" w:rsidRDefault="009D481D" w:rsidP="0019035A">
      <w:pPr>
        <w:pStyle w:val="ListParagraph"/>
        <w:spacing w:line="360" w:lineRule="auto"/>
        <w:rPr>
          <w:rFonts w:cs="Arial"/>
        </w:rPr>
      </w:pPr>
    </w:p>
    <w:p w14:paraId="2A1247C2" w14:textId="32E0989E" w:rsidR="00F32CBB" w:rsidRPr="00D32162" w:rsidRDefault="00791957" w:rsidP="00173E73">
      <w:pPr>
        <w:pStyle w:val="ListParagraph"/>
        <w:spacing w:line="360" w:lineRule="auto"/>
        <w:ind w:left="6379"/>
        <w:jc w:val="right"/>
        <w:rPr>
          <w:rFonts w:cs="Arial"/>
          <w:b/>
        </w:rPr>
      </w:pPr>
      <w:r w:rsidRPr="00D32162">
        <w:rPr>
          <w:rFonts w:cs="Arial"/>
          <w:b/>
        </w:rPr>
        <w:t>_____________</w:t>
      </w:r>
    </w:p>
    <w:bookmarkEnd w:id="0"/>
    <w:p w14:paraId="5EEAB518" w14:textId="6D84D027" w:rsidR="001C143E" w:rsidRPr="0019035A" w:rsidRDefault="005B2A5F" w:rsidP="00173E73">
      <w:pPr>
        <w:tabs>
          <w:tab w:val="left" w:pos="851"/>
        </w:tabs>
        <w:spacing w:line="360" w:lineRule="auto"/>
        <w:jc w:val="right"/>
        <w:rPr>
          <w:rFonts w:cs="Arial"/>
          <w:b/>
        </w:rPr>
      </w:pPr>
      <w:r w:rsidRPr="0019035A">
        <w:rPr>
          <w:rFonts w:cs="Arial"/>
          <w:b/>
        </w:rPr>
        <w:t>N</w:t>
      </w:r>
      <w:r w:rsidR="00A83A08">
        <w:rPr>
          <w:rFonts w:cs="Arial"/>
          <w:b/>
        </w:rPr>
        <w:t>icholson</w:t>
      </w:r>
      <w:r w:rsidR="001C143E" w:rsidRPr="0019035A">
        <w:rPr>
          <w:rFonts w:cs="Arial"/>
          <w:b/>
        </w:rPr>
        <w:t xml:space="preserve"> AJ</w:t>
      </w:r>
    </w:p>
    <w:p w14:paraId="1161520D" w14:textId="77777777" w:rsidR="00FB04B3" w:rsidRDefault="00FB04B3" w:rsidP="0019035A">
      <w:pPr>
        <w:spacing w:line="360" w:lineRule="auto"/>
        <w:jc w:val="both"/>
        <w:rPr>
          <w:rFonts w:cs="Arial"/>
        </w:rPr>
      </w:pPr>
    </w:p>
    <w:p w14:paraId="40D3823D" w14:textId="4A509B44" w:rsidR="004D30FA" w:rsidRPr="0019035A" w:rsidRDefault="004D30FA" w:rsidP="0019035A">
      <w:pPr>
        <w:spacing w:line="360" w:lineRule="auto"/>
        <w:jc w:val="both"/>
        <w:rPr>
          <w:rFonts w:cs="Arial"/>
        </w:rPr>
      </w:pPr>
      <w:r w:rsidRPr="0019035A">
        <w:rPr>
          <w:rFonts w:cs="Arial"/>
        </w:rPr>
        <w:t>Date heard:</w:t>
      </w:r>
      <w:r w:rsidRPr="0019035A">
        <w:rPr>
          <w:rFonts w:cs="Arial"/>
        </w:rPr>
        <w:tab/>
      </w:r>
      <w:r w:rsidRPr="0019035A">
        <w:rPr>
          <w:rFonts w:cs="Arial"/>
        </w:rPr>
        <w:tab/>
      </w:r>
      <w:r w:rsidRPr="0019035A">
        <w:rPr>
          <w:rFonts w:cs="Arial"/>
        </w:rPr>
        <w:tab/>
      </w:r>
      <w:r w:rsidR="00684084" w:rsidRPr="0019035A">
        <w:rPr>
          <w:rFonts w:cs="Arial"/>
        </w:rPr>
        <w:t>24 March 202</w:t>
      </w:r>
      <w:r w:rsidR="00867153">
        <w:rPr>
          <w:rFonts w:cs="Arial"/>
        </w:rPr>
        <w:t>3</w:t>
      </w:r>
      <w:r w:rsidRPr="0019035A">
        <w:rPr>
          <w:rFonts w:cs="Arial"/>
        </w:rPr>
        <w:tab/>
      </w:r>
    </w:p>
    <w:p w14:paraId="7DCE6C32" w14:textId="77777777" w:rsidR="00684084" w:rsidRPr="0019035A" w:rsidRDefault="00684084" w:rsidP="0019035A">
      <w:pPr>
        <w:spacing w:line="360" w:lineRule="auto"/>
        <w:jc w:val="both"/>
        <w:rPr>
          <w:rFonts w:cs="Arial"/>
        </w:rPr>
      </w:pPr>
    </w:p>
    <w:p w14:paraId="2A703160" w14:textId="495A5AD8" w:rsidR="001C143E" w:rsidRPr="0019035A" w:rsidRDefault="004D30FA" w:rsidP="0019035A">
      <w:pPr>
        <w:spacing w:line="360" w:lineRule="auto"/>
        <w:jc w:val="both"/>
        <w:rPr>
          <w:rFonts w:cs="Arial"/>
        </w:rPr>
      </w:pPr>
      <w:r w:rsidRPr="0019035A">
        <w:rPr>
          <w:rFonts w:cs="Arial"/>
        </w:rPr>
        <w:t>Handed down on:</w:t>
      </w:r>
      <w:r w:rsidRPr="0019035A">
        <w:rPr>
          <w:rFonts w:cs="Arial"/>
        </w:rPr>
        <w:tab/>
      </w:r>
      <w:r w:rsidRPr="0019035A">
        <w:rPr>
          <w:rFonts w:cs="Arial"/>
        </w:rPr>
        <w:tab/>
      </w:r>
      <w:r w:rsidR="009D34D4" w:rsidRPr="0019035A">
        <w:rPr>
          <w:rFonts w:cs="Arial"/>
        </w:rPr>
        <w:t>28 April 202</w:t>
      </w:r>
      <w:r w:rsidR="00867153">
        <w:rPr>
          <w:rFonts w:cs="Arial"/>
        </w:rPr>
        <w:t>3</w:t>
      </w:r>
      <w:r w:rsidRPr="0019035A">
        <w:rPr>
          <w:rFonts w:cs="Arial"/>
        </w:rPr>
        <w:tab/>
      </w:r>
      <w:r w:rsidR="00AB2CBD" w:rsidRPr="0019035A">
        <w:rPr>
          <w:rFonts w:cs="Arial"/>
        </w:rPr>
        <w:t xml:space="preserve"> </w:t>
      </w:r>
    </w:p>
    <w:p w14:paraId="6E735410" w14:textId="77777777" w:rsidR="00684084" w:rsidRPr="0019035A" w:rsidRDefault="00684084" w:rsidP="0019035A">
      <w:pPr>
        <w:spacing w:before="240" w:line="360" w:lineRule="auto"/>
        <w:rPr>
          <w:rFonts w:cs="Arial"/>
        </w:rPr>
      </w:pPr>
    </w:p>
    <w:p w14:paraId="3DD9C123" w14:textId="27141DAF" w:rsidR="00684084" w:rsidRPr="0019035A" w:rsidRDefault="00684084" w:rsidP="0019035A">
      <w:pPr>
        <w:spacing w:line="360" w:lineRule="auto"/>
        <w:rPr>
          <w:rFonts w:cs="Arial"/>
        </w:rPr>
      </w:pPr>
      <w:r w:rsidRPr="0019035A">
        <w:rPr>
          <w:rFonts w:cs="Arial"/>
        </w:rPr>
        <w:t xml:space="preserve">Appearances: </w:t>
      </w:r>
    </w:p>
    <w:p w14:paraId="01AF1A39" w14:textId="77777777" w:rsidR="00684084" w:rsidRPr="0019035A" w:rsidRDefault="00684084" w:rsidP="0019035A">
      <w:pPr>
        <w:spacing w:line="360" w:lineRule="auto"/>
        <w:rPr>
          <w:rFonts w:cs="Arial"/>
        </w:rPr>
      </w:pPr>
    </w:p>
    <w:p w14:paraId="3404C57B" w14:textId="207D4AE6" w:rsidR="001C143E" w:rsidRPr="0019035A" w:rsidRDefault="004D30FA" w:rsidP="0019035A">
      <w:pPr>
        <w:spacing w:line="360" w:lineRule="auto"/>
        <w:rPr>
          <w:rFonts w:cs="Arial"/>
        </w:rPr>
      </w:pPr>
      <w:r w:rsidRPr="0019035A">
        <w:rPr>
          <w:rFonts w:cs="Arial"/>
        </w:rPr>
        <w:t xml:space="preserve">For </w:t>
      </w:r>
      <w:r w:rsidR="002D1DAE" w:rsidRPr="0019035A">
        <w:rPr>
          <w:rFonts w:cs="Arial"/>
        </w:rPr>
        <w:t>Applicants</w:t>
      </w:r>
      <w:r w:rsidR="001C143E" w:rsidRPr="0019035A">
        <w:rPr>
          <w:rFonts w:cs="Arial"/>
        </w:rPr>
        <w:t>:</w:t>
      </w:r>
      <w:r w:rsidR="001C143E" w:rsidRPr="0019035A">
        <w:rPr>
          <w:rFonts w:cs="Arial"/>
        </w:rPr>
        <w:tab/>
      </w:r>
      <w:r w:rsidRPr="0019035A">
        <w:rPr>
          <w:rFonts w:cs="Arial"/>
        </w:rPr>
        <w:tab/>
      </w:r>
      <w:r w:rsidRPr="0019035A">
        <w:rPr>
          <w:rFonts w:cs="Arial"/>
        </w:rPr>
        <w:tab/>
      </w:r>
      <w:r w:rsidR="00C634DA" w:rsidRPr="0019035A">
        <w:rPr>
          <w:rFonts w:cs="Arial"/>
        </w:rPr>
        <w:tab/>
      </w:r>
      <w:r w:rsidR="00924C58" w:rsidRPr="0019035A">
        <w:rPr>
          <w:rFonts w:cs="Arial"/>
        </w:rPr>
        <w:t xml:space="preserve">Advocate </w:t>
      </w:r>
      <w:r w:rsidR="00687A24" w:rsidRPr="0019035A">
        <w:rPr>
          <w:rFonts w:cs="Arial"/>
        </w:rPr>
        <w:t>S Luthuli</w:t>
      </w:r>
    </w:p>
    <w:p w14:paraId="5DB0C1C4" w14:textId="25B004D8" w:rsidR="004D30FA" w:rsidRPr="0019035A" w:rsidRDefault="001C143E" w:rsidP="0019035A">
      <w:pPr>
        <w:spacing w:line="360" w:lineRule="auto"/>
        <w:rPr>
          <w:rFonts w:cs="Arial"/>
        </w:rPr>
      </w:pPr>
      <w:bookmarkStart w:id="4" w:name="_Hlk536432197"/>
      <w:r w:rsidRPr="0019035A">
        <w:rPr>
          <w:rFonts w:cs="Arial"/>
        </w:rPr>
        <w:t>Instructed by:</w:t>
      </w:r>
      <w:r w:rsidRPr="0019035A">
        <w:rPr>
          <w:rFonts w:cs="Arial"/>
        </w:rPr>
        <w:tab/>
      </w:r>
      <w:r w:rsidRPr="0019035A">
        <w:rPr>
          <w:rFonts w:cs="Arial"/>
        </w:rPr>
        <w:tab/>
      </w:r>
      <w:r w:rsidRPr="0019035A">
        <w:rPr>
          <w:rFonts w:cs="Arial"/>
        </w:rPr>
        <w:tab/>
      </w:r>
      <w:bookmarkEnd w:id="4"/>
      <w:r w:rsidR="00C634DA" w:rsidRPr="0019035A">
        <w:rPr>
          <w:rFonts w:cs="Arial"/>
        </w:rPr>
        <w:tab/>
      </w:r>
      <w:r w:rsidR="00687A24" w:rsidRPr="0019035A">
        <w:rPr>
          <w:rFonts w:cs="Arial"/>
        </w:rPr>
        <w:t>T</w:t>
      </w:r>
      <w:r w:rsidR="00584AE0" w:rsidRPr="0019035A">
        <w:rPr>
          <w:rFonts w:cs="Arial"/>
        </w:rPr>
        <w:t xml:space="preserve"> </w:t>
      </w:r>
      <w:r w:rsidR="00687A24" w:rsidRPr="0019035A">
        <w:rPr>
          <w:rFonts w:cs="Arial"/>
        </w:rPr>
        <w:t>L Mbili Attorneys</w:t>
      </w:r>
    </w:p>
    <w:p w14:paraId="36CD511D" w14:textId="6E831BBB" w:rsidR="00687A24" w:rsidRPr="0019035A" w:rsidRDefault="00687A24" w:rsidP="0019035A">
      <w:pPr>
        <w:spacing w:line="360" w:lineRule="auto"/>
        <w:rPr>
          <w:rFonts w:cs="Arial"/>
        </w:rPr>
      </w:pPr>
      <w:r w:rsidRPr="0019035A">
        <w:rPr>
          <w:rFonts w:cs="Arial"/>
        </w:rPr>
        <w:tab/>
      </w:r>
      <w:r w:rsidRPr="0019035A">
        <w:rPr>
          <w:rFonts w:cs="Arial"/>
        </w:rPr>
        <w:tab/>
      </w:r>
      <w:r w:rsidRPr="0019035A">
        <w:rPr>
          <w:rFonts w:cs="Arial"/>
        </w:rPr>
        <w:tab/>
      </w:r>
      <w:r w:rsidRPr="0019035A">
        <w:rPr>
          <w:rFonts w:cs="Arial"/>
        </w:rPr>
        <w:tab/>
      </w:r>
      <w:r w:rsidRPr="0019035A">
        <w:rPr>
          <w:rFonts w:cs="Arial"/>
        </w:rPr>
        <w:tab/>
      </w:r>
      <w:r w:rsidR="00C634DA" w:rsidRPr="0019035A">
        <w:rPr>
          <w:rFonts w:cs="Arial"/>
        </w:rPr>
        <w:tab/>
      </w:r>
      <w:r w:rsidRPr="0019035A">
        <w:rPr>
          <w:rFonts w:cs="Arial"/>
        </w:rPr>
        <w:t>Suite 9C, Tinsley House</w:t>
      </w:r>
    </w:p>
    <w:p w14:paraId="00E1E7A4" w14:textId="77901BB0" w:rsidR="00687A24" w:rsidRPr="0019035A" w:rsidRDefault="00687A24" w:rsidP="0019035A">
      <w:pPr>
        <w:spacing w:line="360" w:lineRule="auto"/>
        <w:rPr>
          <w:rFonts w:cs="Arial"/>
        </w:rPr>
      </w:pPr>
      <w:r w:rsidRPr="0019035A">
        <w:rPr>
          <w:rFonts w:cs="Arial"/>
        </w:rPr>
        <w:tab/>
      </w:r>
      <w:r w:rsidRPr="0019035A">
        <w:rPr>
          <w:rFonts w:cs="Arial"/>
        </w:rPr>
        <w:tab/>
      </w:r>
      <w:r w:rsidRPr="0019035A">
        <w:rPr>
          <w:rFonts w:cs="Arial"/>
        </w:rPr>
        <w:tab/>
      </w:r>
      <w:r w:rsidRPr="0019035A">
        <w:rPr>
          <w:rFonts w:cs="Arial"/>
        </w:rPr>
        <w:tab/>
      </w:r>
      <w:r w:rsidRPr="0019035A">
        <w:rPr>
          <w:rFonts w:cs="Arial"/>
        </w:rPr>
        <w:tab/>
      </w:r>
      <w:r w:rsidR="00C634DA" w:rsidRPr="0019035A">
        <w:rPr>
          <w:rFonts w:cs="Arial"/>
        </w:rPr>
        <w:tab/>
      </w:r>
      <w:r w:rsidRPr="0019035A">
        <w:rPr>
          <w:rFonts w:cs="Arial"/>
        </w:rPr>
        <w:t>225 Musgrave Road</w:t>
      </w:r>
    </w:p>
    <w:p w14:paraId="00338EBC" w14:textId="4D7E0B9B" w:rsidR="00687A24" w:rsidRPr="0019035A" w:rsidRDefault="00687A24" w:rsidP="0019035A">
      <w:pPr>
        <w:spacing w:line="360" w:lineRule="auto"/>
        <w:rPr>
          <w:rFonts w:cs="Arial"/>
        </w:rPr>
      </w:pPr>
      <w:r w:rsidRPr="0019035A">
        <w:rPr>
          <w:rFonts w:cs="Arial"/>
        </w:rPr>
        <w:tab/>
      </w:r>
      <w:r w:rsidRPr="0019035A">
        <w:rPr>
          <w:rFonts w:cs="Arial"/>
        </w:rPr>
        <w:tab/>
      </w:r>
      <w:r w:rsidRPr="0019035A">
        <w:rPr>
          <w:rFonts w:cs="Arial"/>
        </w:rPr>
        <w:tab/>
      </w:r>
      <w:r w:rsidRPr="0019035A">
        <w:rPr>
          <w:rFonts w:cs="Arial"/>
        </w:rPr>
        <w:tab/>
      </w:r>
      <w:r w:rsidRPr="0019035A">
        <w:rPr>
          <w:rFonts w:cs="Arial"/>
        </w:rPr>
        <w:tab/>
      </w:r>
      <w:r w:rsidR="00C634DA" w:rsidRPr="0019035A">
        <w:rPr>
          <w:rFonts w:cs="Arial"/>
        </w:rPr>
        <w:tab/>
      </w:r>
      <w:r w:rsidRPr="0019035A">
        <w:rPr>
          <w:rFonts w:cs="Arial"/>
        </w:rPr>
        <w:t>Durban</w:t>
      </w:r>
    </w:p>
    <w:p w14:paraId="0F2C2654" w14:textId="77777777" w:rsidR="00684084" w:rsidRPr="0019035A" w:rsidRDefault="00684084" w:rsidP="0019035A">
      <w:pPr>
        <w:spacing w:line="360" w:lineRule="auto"/>
        <w:rPr>
          <w:rFonts w:cs="Arial"/>
        </w:rPr>
      </w:pPr>
    </w:p>
    <w:p w14:paraId="659DDF6E" w14:textId="1695E2D8" w:rsidR="004D30FA" w:rsidRPr="0019035A" w:rsidRDefault="00687A24" w:rsidP="0019035A">
      <w:pPr>
        <w:spacing w:line="360" w:lineRule="auto"/>
        <w:rPr>
          <w:rFonts w:cs="Arial"/>
        </w:rPr>
      </w:pPr>
      <w:r w:rsidRPr="0019035A">
        <w:rPr>
          <w:rFonts w:cs="Arial"/>
        </w:rPr>
        <w:t>First, Fourth to Sixth Respondents:</w:t>
      </w:r>
      <w:r w:rsidRPr="0019035A">
        <w:rPr>
          <w:rFonts w:cs="Arial"/>
        </w:rPr>
        <w:tab/>
        <w:t>Advocate J</w:t>
      </w:r>
      <w:r w:rsidR="00BA3B45" w:rsidRPr="0019035A">
        <w:rPr>
          <w:rFonts w:cs="Arial"/>
        </w:rPr>
        <w:t xml:space="preserve"> P </w:t>
      </w:r>
      <w:r w:rsidRPr="0019035A">
        <w:rPr>
          <w:rFonts w:cs="Arial"/>
        </w:rPr>
        <w:t>Broster</w:t>
      </w:r>
    </w:p>
    <w:p w14:paraId="1E42CD7C" w14:textId="5461AE60" w:rsidR="001C143E" w:rsidRPr="0019035A" w:rsidRDefault="004D30FA" w:rsidP="0019035A">
      <w:pPr>
        <w:spacing w:line="360" w:lineRule="auto"/>
        <w:rPr>
          <w:rFonts w:cs="Arial"/>
        </w:rPr>
      </w:pPr>
      <w:r w:rsidRPr="0019035A">
        <w:rPr>
          <w:rFonts w:cs="Arial"/>
        </w:rPr>
        <w:t>Instructed by:</w:t>
      </w:r>
      <w:r w:rsidRPr="0019035A">
        <w:rPr>
          <w:rFonts w:cs="Arial"/>
        </w:rPr>
        <w:tab/>
      </w:r>
      <w:r w:rsidRPr="0019035A">
        <w:rPr>
          <w:rFonts w:cs="Arial"/>
        </w:rPr>
        <w:tab/>
      </w:r>
      <w:r w:rsidRPr="0019035A">
        <w:rPr>
          <w:rFonts w:cs="Arial"/>
        </w:rPr>
        <w:tab/>
      </w:r>
      <w:r w:rsidR="00C634DA" w:rsidRPr="0019035A">
        <w:rPr>
          <w:rFonts w:cs="Arial"/>
        </w:rPr>
        <w:tab/>
      </w:r>
      <w:r w:rsidR="00687A24" w:rsidRPr="0019035A">
        <w:rPr>
          <w:rFonts w:cs="Arial"/>
        </w:rPr>
        <w:t>Seanego Attorneys</w:t>
      </w:r>
    </w:p>
    <w:p w14:paraId="5169CF08" w14:textId="26231FE2" w:rsidR="00687A24" w:rsidRPr="0019035A" w:rsidRDefault="00687A24" w:rsidP="0019035A">
      <w:pPr>
        <w:spacing w:line="360" w:lineRule="auto"/>
        <w:rPr>
          <w:rFonts w:cs="Arial"/>
        </w:rPr>
      </w:pPr>
      <w:r w:rsidRPr="0019035A">
        <w:rPr>
          <w:rFonts w:cs="Arial"/>
        </w:rPr>
        <w:tab/>
      </w:r>
      <w:r w:rsidRPr="0019035A">
        <w:rPr>
          <w:rFonts w:cs="Arial"/>
        </w:rPr>
        <w:tab/>
      </w:r>
      <w:r w:rsidRPr="0019035A">
        <w:rPr>
          <w:rFonts w:cs="Arial"/>
        </w:rPr>
        <w:tab/>
      </w:r>
      <w:r w:rsidRPr="0019035A">
        <w:rPr>
          <w:rFonts w:cs="Arial"/>
        </w:rPr>
        <w:tab/>
      </w:r>
      <w:r w:rsidRPr="0019035A">
        <w:rPr>
          <w:rFonts w:cs="Arial"/>
        </w:rPr>
        <w:tab/>
      </w:r>
      <w:r w:rsidR="00C634DA" w:rsidRPr="0019035A">
        <w:rPr>
          <w:rFonts w:cs="Arial"/>
        </w:rPr>
        <w:tab/>
      </w:r>
      <w:r w:rsidRPr="0019035A">
        <w:rPr>
          <w:rFonts w:cs="Arial"/>
        </w:rPr>
        <w:t>10</w:t>
      </w:r>
      <w:r w:rsidRPr="0019035A">
        <w:rPr>
          <w:rFonts w:cs="Arial"/>
          <w:vertAlign w:val="superscript"/>
        </w:rPr>
        <w:t>th</w:t>
      </w:r>
      <w:r w:rsidRPr="0019035A">
        <w:rPr>
          <w:rFonts w:cs="Arial"/>
        </w:rPr>
        <w:t xml:space="preserve"> Floor, Musgrave Towers</w:t>
      </w:r>
    </w:p>
    <w:p w14:paraId="65E23FBC" w14:textId="2C8AEFA1" w:rsidR="00687A24" w:rsidRPr="0019035A" w:rsidRDefault="00C634DA" w:rsidP="0019035A">
      <w:pPr>
        <w:spacing w:line="360" w:lineRule="auto"/>
        <w:rPr>
          <w:rFonts w:cs="Arial"/>
        </w:rPr>
      </w:pPr>
      <w:r w:rsidRPr="0019035A">
        <w:rPr>
          <w:rFonts w:cs="Arial"/>
        </w:rPr>
        <w:tab/>
      </w:r>
      <w:r w:rsidR="00687A24" w:rsidRPr="0019035A">
        <w:rPr>
          <w:rFonts w:cs="Arial"/>
        </w:rPr>
        <w:tab/>
      </w:r>
      <w:r w:rsidR="00687A24" w:rsidRPr="0019035A">
        <w:rPr>
          <w:rFonts w:cs="Arial"/>
        </w:rPr>
        <w:tab/>
      </w:r>
      <w:r w:rsidR="00687A24" w:rsidRPr="0019035A">
        <w:rPr>
          <w:rFonts w:cs="Arial"/>
        </w:rPr>
        <w:tab/>
      </w:r>
      <w:r w:rsidR="00687A24" w:rsidRPr="0019035A">
        <w:rPr>
          <w:rFonts w:cs="Arial"/>
        </w:rPr>
        <w:tab/>
      </w:r>
      <w:r w:rsidR="00687A24" w:rsidRPr="0019035A">
        <w:rPr>
          <w:rFonts w:cs="Arial"/>
        </w:rPr>
        <w:tab/>
        <w:t>115 Musgrave Road</w:t>
      </w:r>
    </w:p>
    <w:p w14:paraId="2B9E74F4" w14:textId="6917B4C0" w:rsidR="00687A24" w:rsidRPr="0019035A" w:rsidRDefault="00687A24" w:rsidP="0019035A">
      <w:pPr>
        <w:spacing w:line="360" w:lineRule="auto"/>
        <w:rPr>
          <w:rFonts w:cs="Arial"/>
        </w:rPr>
      </w:pPr>
      <w:r w:rsidRPr="0019035A">
        <w:rPr>
          <w:rFonts w:cs="Arial"/>
        </w:rPr>
        <w:tab/>
      </w:r>
      <w:r w:rsidR="00C634DA" w:rsidRPr="0019035A">
        <w:rPr>
          <w:rFonts w:cs="Arial"/>
        </w:rPr>
        <w:tab/>
      </w:r>
      <w:r w:rsidRPr="0019035A">
        <w:rPr>
          <w:rFonts w:cs="Arial"/>
        </w:rPr>
        <w:tab/>
      </w:r>
      <w:r w:rsidRPr="0019035A">
        <w:rPr>
          <w:rFonts w:cs="Arial"/>
        </w:rPr>
        <w:tab/>
      </w:r>
      <w:r w:rsidRPr="0019035A">
        <w:rPr>
          <w:rFonts w:cs="Arial"/>
        </w:rPr>
        <w:tab/>
      </w:r>
      <w:r w:rsidRPr="0019035A">
        <w:rPr>
          <w:rFonts w:cs="Arial"/>
        </w:rPr>
        <w:tab/>
        <w:t>Berea</w:t>
      </w:r>
    </w:p>
    <w:sectPr w:rsidR="00687A24" w:rsidRPr="0019035A" w:rsidSect="00D252F6">
      <w:headerReference w:type="default" r:id="rId9"/>
      <w:pgSz w:w="11906" w:h="16838"/>
      <w:pgMar w:top="1701" w:right="1701" w:bottom="1701" w:left="1985" w:header="62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737EE" w14:textId="77777777" w:rsidR="00FB5C17" w:rsidRDefault="00FB5C17" w:rsidP="008674D3">
      <w:r>
        <w:separator/>
      </w:r>
    </w:p>
  </w:endnote>
  <w:endnote w:type="continuationSeparator" w:id="0">
    <w:p w14:paraId="4C3EF7CE" w14:textId="77777777" w:rsidR="00FB5C17" w:rsidRDefault="00FB5C17" w:rsidP="00867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59794" w14:textId="77777777" w:rsidR="00FB5C17" w:rsidRDefault="00FB5C17" w:rsidP="008674D3">
      <w:r>
        <w:separator/>
      </w:r>
    </w:p>
  </w:footnote>
  <w:footnote w:type="continuationSeparator" w:id="0">
    <w:p w14:paraId="5F142A10" w14:textId="77777777" w:rsidR="00FB5C17" w:rsidRDefault="00FB5C17" w:rsidP="008674D3">
      <w:r>
        <w:continuationSeparator/>
      </w:r>
    </w:p>
  </w:footnote>
  <w:footnote w:id="1">
    <w:p w14:paraId="4FA1B2DA" w14:textId="0DD1DA63" w:rsidR="00FB5C17" w:rsidRPr="00C367E5" w:rsidRDefault="00FB5C17" w:rsidP="002D62A8">
      <w:pPr>
        <w:pStyle w:val="FootnoteText"/>
        <w:jc w:val="both"/>
        <w:rPr>
          <w:lang w:val="en-US"/>
        </w:rPr>
      </w:pPr>
      <w:r>
        <w:rPr>
          <w:rStyle w:val="FootnoteReference"/>
        </w:rPr>
        <w:footnoteRef/>
      </w:r>
      <w:r>
        <w:t xml:space="preserve"> </w:t>
      </w:r>
      <w:r>
        <w:rPr>
          <w:lang w:val="en-US"/>
        </w:rPr>
        <w:t>Volume 1: notice of motion, prayer 4 at page 9.</w:t>
      </w:r>
    </w:p>
  </w:footnote>
  <w:footnote w:id="2">
    <w:p w14:paraId="2700699A" w14:textId="75392CFE" w:rsidR="00FB5C17" w:rsidRPr="00C367E5" w:rsidRDefault="00FB5C17" w:rsidP="002D62A8">
      <w:pPr>
        <w:pStyle w:val="FootnoteText"/>
        <w:jc w:val="both"/>
        <w:rPr>
          <w:lang w:val="en-US"/>
        </w:rPr>
      </w:pPr>
      <w:r>
        <w:rPr>
          <w:rStyle w:val="FootnoteReference"/>
        </w:rPr>
        <w:footnoteRef/>
      </w:r>
      <w:r>
        <w:t xml:space="preserve"> </w:t>
      </w:r>
      <w:r>
        <w:rPr>
          <w:lang w:val="en-US"/>
        </w:rPr>
        <w:t>Applicants’ heads of argument para 3.2.</w:t>
      </w:r>
    </w:p>
  </w:footnote>
  <w:footnote w:id="3">
    <w:p w14:paraId="39486692" w14:textId="64E6D431" w:rsidR="00FB5C17" w:rsidRPr="00952C76" w:rsidRDefault="00FB5C17" w:rsidP="002D62A8">
      <w:pPr>
        <w:pStyle w:val="FootnoteText"/>
        <w:jc w:val="both"/>
        <w:rPr>
          <w:lang w:val="en-US"/>
        </w:rPr>
      </w:pPr>
      <w:r>
        <w:rPr>
          <w:rStyle w:val="FootnoteReference"/>
        </w:rPr>
        <w:footnoteRef/>
      </w:r>
      <w:r>
        <w:t xml:space="preserve"> </w:t>
      </w:r>
      <w:r>
        <w:rPr>
          <w:lang w:val="en-US"/>
        </w:rPr>
        <w:t>Ibid paras 49-51 at page 40.</w:t>
      </w:r>
    </w:p>
  </w:footnote>
  <w:footnote w:id="4">
    <w:p w14:paraId="2D9720F7" w14:textId="5A487F9E" w:rsidR="00FB5C17" w:rsidRPr="003A2110" w:rsidRDefault="00FB5C17" w:rsidP="0019035A">
      <w:pPr>
        <w:pStyle w:val="FootnoteText"/>
        <w:jc w:val="both"/>
        <w:rPr>
          <w:lang w:val="en-US"/>
        </w:rPr>
      </w:pPr>
      <w:r>
        <w:rPr>
          <w:rStyle w:val="FootnoteReference"/>
        </w:rPr>
        <w:footnoteRef/>
      </w:r>
      <w:r>
        <w:t xml:space="preserve"> </w:t>
      </w:r>
      <w:r>
        <w:rPr>
          <w:lang w:val="en-US"/>
        </w:rPr>
        <w:t>Ibid paras 57-59 at pages 42-43.</w:t>
      </w:r>
    </w:p>
  </w:footnote>
  <w:footnote w:id="5">
    <w:p w14:paraId="18E56A73" w14:textId="1285400E" w:rsidR="00FB5C17" w:rsidRPr="00A111B7" w:rsidRDefault="00FB5C17" w:rsidP="0019035A">
      <w:pPr>
        <w:pStyle w:val="FootnoteText"/>
        <w:jc w:val="both"/>
        <w:rPr>
          <w:lang w:val="en-US"/>
        </w:rPr>
      </w:pPr>
      <w:r>
        <w:rPr>
          <w:rStyle w:val="FootnoteReference"/>
        </w:rPr>
        <w:footnoteRef/>
      </w:r>
      <w:r>
        <w:t xml:space="preserve"> </w:t>
      </w:r>
      <w:r>
        <w:rPr>
          <w:lang w:val="en-US"/>
        </w:rPr>
        <w:t>Ibid para 59 at page 43.</w:t>
      </w:r>
    </w:p>
  </w:footnote>
  <w:footnote w:id="6">
    <w:p w14:paraId="17971249" w14:textId="044DA729" w:rsidR="00FB5C17" w:rsidRDefault="00FB5C17" w:rsidP="0019035A">
      <w:pPr>
        <w:pStyle w:val="FootnoteText"/>
        <w:jc w:val="both"/>
      </w:pPr>
      <w:r>
        <w:rPr>
          <w:rStyle w:val="FootnoteReference"/>
        </w:rPr>
        <w:footnoteRef/>
      </w:r>
      <w:r>
        <w:t xml:space="preserve"> Ibid para 60 at page 43.</w:t>
      </w:r>
    </w:p>
  </w:footnote>
  <w:footnote w:id="7">
    <w:p w14:paraId="6E53CD9C" w14:textId="73B3A83D" w:rsidR="00FB5C17" w:rsidRPr="00A111B7" w:rsidRDefault="00FB5C17" w:rsidP="0019035A">
      <w:pPr>
        <w:pStyle w:val="FootnoteText"/>
        <w:jc w:val="both"/>
        <w:rPr>
          <w:lang w:val="en-US"/>
        </w:rPr>
      </w:pPr>
      <w:r>
        <w:rPr>
          <w:rStyle w:val="FootnoteReference"/>
        </w:rPr>
        <w:footnoteRef/>
      </w:r>
      <w:r>
        <w:t xml:space="preserve"> </w:t>
      </w:r>
      <w:r>
        <w:rPr>
          <w:lang w:val="en-US"/>
        </w:rPr>
        <w:t>Ibid para 60 at page 43; Volume 3: answering affidavit para 7 at page 271.</w:t>
      </w:r>
    </w:p>
  </w:footnote>
  <w:footnote w:id="8">
    <w:p w14:paraId="343604FD" w14:textId="03B08D9E" w:rsidR="00FB5C17" w:rsidRDefault="00FB5C17" w:rsidP="0019035A">
      <w:pPr>
        <w:pStyle w:val="FootnoteText"/>
        <w:jc w:val="both"/>
      </w:pPr>
      <w:r>
        <w:rPr>
          <w:rStyle w:val="FootnoteReference"/>
        </w:rPr>
        <w:footnoteRef/>
      </w:r>
      <w:r>
        <w:t xml:space="preserve"> Volume 3: answering affidavit para 9 at page 272.</w:t>
      </w:r>
    </w:p>
  </w:footnote>
  <w:footnote w:id="9">
    <w:p w14:paraId="17157332" w14:textId="2F43E5E6" w:rsidR="00FB5C17" w:rsidRDefault="00FB5C17" w:rsidP="0019035A">
      <w:pPr>
        <w:pStyle w:val="FootnoteText"/>
        <w:jc w:val="both"/>
      </w:pPr>
      <w:r>
        <w:rPr>
          <w:rStyle w:val="FootnoteReference"/>
        </w:rPr>
        <w:footnoteRef/>
      </w:r>
      <w:r>
        <w:t xml:space="preserve"> Ibid p</w:t>
      </w:r>
      <w:r w:rsidRPr="0089127D">
        <w:t>ara 7 at page 271</w:t>
      </w:r>
      <w:r>
        <w:t>; Respondents’ heads of argument para 3.2.</w:t>
      </w:r>
    </w:p>
  </w:footnote>
  <w:footnote w:id="10">
    <w:p w14:paraId="49223E4E" w14:textId="09452096" w:rsidR="00FB5C17" w:rsidRPr="008161D4" w:rsidRDefault="00FB5C17" w:rsidP="008657FD">
      <w:pPr>
        <w:pStyle w:val="FootnoteText"/>
        <w:jc w:val="both"/>
        <w:rPr>
          <w:lang w:val="en-US"/>
        </w:rPr>
      </w:pPr>
      <w:r>
        <w:rPr>
          <w:rStyle w:val="FootnoteReference"/>
        </w:rPr>
        <w:footnoteRef/>
      </w:r>
      <w:r>
        <w:t xml:space="preserve"> </w:t>
      </w:r>
      <w:r>
        <w:rPr>
          <w:lang w:val="en-US"/>
        </w:rPr>
        <w:t>Volume 3: answering affidavit paras 17-119 at pages 275-298.</w:t>
      </w:r>
    </w:p>
  </w:footnote>
  <w:footnote w:id="11">
    <w:p w14:paraId="4608D690" w14:textId="23587E8C" w:rsidR="00FB5C17" w:rsidRDefault="00FB5C17" w:rsidP="008657FD">
      <w:pPr>
        <w:pStyle w:val="FootnoteText"/>
        <w:jc w:val="both"/>
      </w:pPr>
      <w:r>
        <w:rPr>
          <w:rStyle w:val="FootnoteReference"/>
        </w:rPr>
        <w:footnoteRef/>
      </w:r>
      <w:r>
        <w:t xml:space="preserve"> Applicants’ heads of argument para 4.</w:t>
      </w:r>
    </w:p>
  </w:footnote>
  <w:footnote w:id="12">
    <w:p w14:paraId="7296A78E" w14:textId="73B10DB4" w:rsidR="00FB5C17" w:rsidRDefault="00FB5C17" w:rsidP="008657FD">
      <w:pPr>
        <w:pStyle w:val="FootnoteText"/>
        <w:jc w:val="both"/>
      </w:pPr>
      <w:r>
        <w:rPr>
          <w:rStyle w:val="FootnoteReference"/>
        </w:rPr>
        <w:footnoteRef/>
      </w:r>
      <w:r>
        <w:t xml:space="preserve"> Volume 1: notice of motion, prayers 2.1-2.7.</w:t>
      </w:r>
    </w:p>
  </w:footnote>
  <w:footnote w:id="13">
    <w:p w14:paraId="2BD91B02" w14:textId="0C11A823" w:rsidR="00FB5C17" w:rsidRPr="005F6385" w:rsidRDefault="00FB5C17" w:rsidP="0019035A">
      <w:pPr>
        <w:pStyle w:val="FootnoteText"/>
        <w:jc w:val="both"/>
        <w:rPr>
          <w:lang w:val="en-US"/>
        </w:rPr>
      </w:pPr>
      <w:r>
        <w:rPr>
          <w:rStyle w:val="FootnoteReference"/>
        </w:rPr>
        <w:footnoteRef/>
      </w:r>
      <w:r>
        <w:t xml:space="preserve"> </w:t>
      </w:r>
      <w:r>
        <w:rPr>
          <w:lang w:val="en-US"/>
        </w:rPr>
        <w:t>Applicants’ heads of argument, paras 9-11.</w:t>
      </w:r>
    </w:p>
  </w:footnote>
  <w:footnote w:id="14">
    <w:p w14:paraId="1771E53B" w14:textId="1CEC84E5" w:rsidR="00FB5C17" w:rsidRPr="00AD157B" w:rsidRDefault="00FB5C17" w:rsidP="008657FD">
      <w:pPr>
        <w:pStyle w:val="FootnoteText"/>
        <w:jc w:val="both"/>
        <w:rPr>
          <w:lang w:val="en-US"/>
        </w:rPr>
      </w:pPr>
      <w:r>
        <w:rPr>
          <w:rStyle w:val="FootnoteReference"/>
        </w:rPr>
        <w:footnoteRef/>
      </w:r>
      <w:r>
        <w:t xml:space="preserve"> </w:t>
      </w:r>
      <w:r w:rsidRPr="00AD157B">
        <w:rPr>
          <w:lang w:val="en-US"/>
        </w:rPr>
        <w:t>Applicants’ heads of argument</w:t>
      </w:r>
      <w:r>
        <w:rPr>
          <w:lang w:val="en-US"/>
        </w:rPr>
        <w:t xml:space="preserve"> </w:t>
      </w:r>
      <w:r w:rsidRPr="00AD157B">
        <w:rPr>
          <w:lang w:val="en-US"/>
        </w:rPr>
        <w:t>para</w:t>
      </w:r>
      <w:r>
        <w:rPr>
          <w:lang w:val="en-US"/>
        </w:rPr>
        <w:t>s</w:t>
      </w:r>
      <w:r w:rsidRPr="00AD157B">
        <w:rPr>
          <w:lang w:val="en-US"/>
        </w:rPr>
        <w:t xml:space="preserve"> 16</w:t>
      </w:r>
      <w:r>
        <w:rPr>
          <w:lang w:val="en-US"/>
        </w:rPr>
        <w:t>-</w:t>
      </w:r>
      <w:r w:rsidRPr="00AD157B">
        <w:rPr>
          <w:lang w:val="en-US"/>
        </w:rPr>
        <w:t>18</w:t>
      </w:r>
      <w:r>
        <w:rPr>
          <w:lang w:val="en-US"/>
        </w:rPr>
        <w:t>.</w:t>
      </w:r>
    </w:p>
  </w:footnote>
  <w:footnote w:id="15">
    <w:p w14:paraId="2662E409" w14:textId="58773475" w:rsidR="00FB5C17" w:rsidRDefault="00FB5C17" w:rsidP="008657FD">
      <w:pPr>
        <w:pStyle w:val="FootnoteText"/>
        <w:jc w:val="both"/>
      </w:pPr>
      <w:r w:rsidRPr="00AD157B">
        <w:rPr>
          <w:rStyle w:val="FootnoteReference"/>
        </w:rPr>
        <w:footnoteRef/>
      </w:r>
      <w:r w:rsidRPr="00AD157B">
        <w:t xml:space="preserve"> Respondents</w:t>
      </w:r>
      <w:r>
        <w:t>’</w:t>
      </w:r>
      <w:r w:rsidRPr="00AD157B">
        <w:t xml:space="preserve"> heads of argument para 4.4</w:t>
      </w:r>
      <w:r>
        <w:t>.</w:t>
      </w:r>
    </w:p>
  </w:footnote>
  <w:footnote w:id="16">
    <w:p w14:paraId="798DC0E7" w14:textId="606CD92E" w:rsidR="00FB5C17" w:rsidRPr="00BF060B" w:rsidRDefault="00FB5C17" w:rsidP="0019035A">
      <w:pPr>
        <w:pStyle w:val="FootnoteText"/>
        <w:jc w:val="both"/>
        <w:rPr>
          <w:lang w:val="en-US"/>
        </w:rPr>
      </w:pPr>
      <w:r>
        <w:rPr>
          <w:rStyle w:val="FootnoteReference"/>
        </w:rPr>
        <w:footnoteRef/>
      </w:r>
      <w:r>
        <w:t xml:space="preserve"> </w:t>
      </w:r>
      <w:r>
        <w:rPr>
          <w:lang w:val="en-US"/>
        </w:rPr>
        <w:t>Applicants’ heads of argument paras 19-24.</w:t>
      </w:r>
    </w:p>
  </w:footnote>
  <w:footnote w:id="17">
    <w:p w14:paraId="7EB2FEED" w14:textId="43E3F4F3" w:rsidR="00FB5C17" w:rsidRPr="00C8638E" w:rsidRDefault="00FB5C17" w:rsidP="0019035A">
      <w:pPr>
        <w:pStyle w:val="FootnoteText"/>
        <w:jc w:val="both"/>
        <w:rPr>
          <w:lang w:val="en-US"/>
        </w:rPr>
      </w:pPr>
      <w:r>
        <w:rPr>
          <w:rStyle w:val="FootnoteReference"/>
        </w:rPr>
        <w:footnoteRef/>
      </w:r>
      <w:r>
        <w:t xml:space="preserve"> </w:t>
      </w:r>
      <w:r>
        <w:rPr>
          <w:lang w:val="en-US"/>
        </w:rPr>
        <w:t>Volume 1: founding affidavit para 56 at page 42.</w:t>
      </w:r>
    </w:p>
  </w:footnote>
  <w:footnote w:id="18">
    <w:p w14:paraId="6678C99E" w14:textId="58279A27" w:rsidR="00FB5C17" w:rsidRPr="0073369F" w:rsidRDefault="00FB5C17" w:rsidP="0019035A">
      <w:pPr>
        <w:pStyle w:val="FootnoteText"/>
        <w:jc w:val="both"/>
        <w:rPr>
          <w:lang w:val="en-US"/>
        </w:rPr>
      </w:pPr>
      <w:r>
        <w:rPr>
          <w:rStyle w:val="FootnoteReference"/>
        </w:rPr>
        <w:footnoteRef/>
      </w:r>
      <w:r>
        <w:t xml:space="preserve"> </w:t>
      </w:r>
      <w:r>
        <w:rPr>
          <w:lang w:val="en-US"/>
        </w:rPr>
        <w:t>Applicants’ heads of argument paras 8.1-8.13.</w:t>
      </w:r>
    </w:p>
  </w:footnote>
  <w:footnote w:id="19">
    <w:p w14:paraId="0FFF2C49" w14:textId="03D4B056" w:rsidR="00FB5C17" w:rsidRPr="00E013E5" w:rsidRDefault="00FB5C17" w:rsidP="008657FD">
      <w:pPr>
        <w:pStyle w:val="FootnoteText"/>
        <w:jc w:val="both"/>
        <w:rPr>
          <w:lang w:val="en-US"/>
        </w:rPr>
      </w:pPr>
      <w:r>
        <w:rPr>
          <w:rStyle w:val="FootnoteReference"/>
        </w:rPr>
        <w:footnoteRef/>
      </w:r>
      <w:r>
        <w:t xml:space="preserve"> </w:t>
      </w:r>
      <w:r>
        <w:rPr>
          <w:lang w:val="en-US"/>
        </w:rPr>
        <w:t>Respondents’ heads of argument para 4.</w:t>
      </w:r>
    </w:p>
  </w:footnote>
  <w:footnote w:id="20">
    <w:p w14:paraId="4B529A73" w14:textId="2A54B46E" w:rsidR="00FB5C17" w:rsidRPr="00A972AC" w:rsidRDefault="00FB5C17" w:rsidP="008657FD">
      <w:pPr>
        <w:pStyle w:val="FootnoteText"/>
        <w:jc w:val="both"/>
        <w:rPr>
          <w:lang w:val="en-US"/>
        </w:rPr>
      </w:pPr>
      <w:r>
        <w:rPr>
          <w:rStyle w:val="FootnoteReference"/>
        </w:rPr>
        <w:footnoteRef/>
      </w:r>
      <w:r>
        <w:t xml:space="preserve"> </w:t>
      </w:r>
      <w:r w:rsidRPr="0019035A">
        <w:rPr>
          <w:rFonts w:cs="Arial"/>
          <w:i/>
          <w:iCs/>
        </w:rPr>
        <w:t xml:space="preserve">Long v </w:t>
      </w:r>
      <w:r>
        <w:rPr>
          <w:rFonts w:cs="Arial"/>
          <w:i/>
          <w:iCs/>
        </w:rPr>
        <w:t>SA</w:t>
      </w:r>
      <w:r w:rsidRPr="0019035A">
        <w:rPr>
          <w:rFonts w:cs="Arial"/>
          <w:i/>
          <w:iCs/>
        </w:rPr>
        <w:t xml:space="preserve"> Breweries (Pty) Ltd and Others </w:t>
      </w:r>
      <w:r w:rsidRPr="0019035A">
        <w:rPr>
          <w:rFonts w:cs="Arial"/>
        </w:rPr>
        <w:t>(2019) 40 (ILJ) 965 (CC)</w:t>
      </w:r>
      <w:r>
        <w:rPr>
          <w:lang w:val="en-US"/>
        </w:rPr>
        <w:t xml:space="preserve"> para 25.</w:t>
      </w:r>
    </w:p>
  </w:footnote>
  <w:footnote w:id="21">
    <w:p w14:paraId="5B96988F" w14:textId="293CFEA5" w:rsidR="00FB5C17" w:rsidRPr="00E42965" w:rsidRDefault="00FB5C17" w:rsidP="008657FD">
      <w:pPr>
        <w:pStyle w:val="FootnoteText"/>
        <w:jc w:val="both"/>
        <w:rPr>
          <w:lang w:val="en-US"/>
        </w:rPr>
      </w:pPr>
      <w:r>
        <w:rPr>
          <w:rStyle w:val="FootnoteReference"/>
        </w:rPr>
        <w:footnoteRef/>
      </w:r>
      <w:r>
        <w:t xml:space="preserve"> </w:t>
      </w:r>
      <w:r>
        <w:rPr>
          <w:lang w:val="en-US"/>
        </w:rPr>
        <w:t>Applicants’ heads of argument para 32.</w:t>
      </w:r>
    </w:p>
  </w:footnote>
  <w:footnote w:id="22">
    <w:p w14:paraId="4B7D76C7" w14:textId="4D787BD8" w:rsidR="00FB5C17" w:rsidRPr="009F5302" w:rsidRDefault="00FB5C17" w:rsidP="008657FD">
      <w:pPr>
        <w:pStyle w:val="FootnoteText"/>
        <w:jc w:val="both"/>
        <w:rPr>
          <w:lang w:val="en-US"/>
        </w:rPr>
      </w:pPr>
      <w:r>
        <w:rPr>
          <w:rStyle w:val="FootnoteReference"/>
        </w:rPr>
        <w:footnoteRef/>
      </w:r>
      <w:r>
        <w:t xml:space="preserve"> Ibid </w:t>
      </w:r>
      <w:r>
        <w:rPr>
          <w:lang w:val="en-US"/>
        </w:rPr>
        <w:t>para 37.</w:t>
      </w:r>
    </w:p>
  </w:footnote>
  <w:footnote w:id="23">
    <w:p w14:paraId="56F8FD3E" w14:textId="7B61D557" w:rsidR="00FB5C17" w:rsidRPr="009F5302" w:rsidRDefault="00FB5C17" w:rsidP="008657FD">
      <w:pPr>
        <w:pStyle w:val="FootnoteText"/>
        <w:jc w:val="both"/>
        <w:rPr>
          <w:lang w:val="en-US"/>
        </w:rPr>
      </w:pPr>
      <w:r>
        <w:rPr>
          <w:rStyle w:val="FootnoteReference"/>
        </w:rPr>
        <w:footnoteRef/>
      </w:r>
      <w:r>
        <w:t xml:space="preserve"> Ibid </w:t>
      </w:r>
      <w:r>
        <w:rPr>
          <w:lang w:val="en-US"/>
        </w:rPr>
        <w:t>para 38.</w:t>
      </w:r>
    </w:p>
  </w:footnote>
  <w:footnote w:id="24">
    <w:p w14:paraId="3EBD6D94" w14:textId="0D58BAFD" w:rsidR="00FB5C17" w:rsidRDefault="00FB5C17" w:rsidP="008657FD">
      <w:pPr>
        <w:pStyle w:val="FootnoteText"/>
        <w:jc w:val="both"/>
        <w:rPr>
          <w:lang w:val="en-US"/>
        </w:rPr>
      </w:pPr>
      <w:r>
        <w:rPr>
          <w:rStyle w:val="FootnoteReference"/>
        </w:rPr>
        <w:footnoteRef/>
      </w:r>
      <w:r>
        <w:t xml:space="preserve"> Ibid </w:t>
      </w:r>
      <w:r>
        <w:rPr>
          <w:lang w:val="en-US"/>
        </w:rPr>
        <w:t>para 41.</w:t>
      </w:r>
    </w:p>
    <w:p w14:paraId="5FB69340" w14:textId="77777777" w:rsidR="00FB5C17" w:rsidRPr="009F5302" w:rsidRDefault="00FB5C17" w:rsidP="003B6241">
      <w:pPr>
        <w:pStyle w:val="FootnoteText"/>
        <w:ind w:left="1440" w:hanging="720"/>
        <w:rPr>
          <w:lang w:val="en-US"/>
        </w:rPr>
      </w:pPr>
    </w:p>
  </w:footnote>
  <w:footnote w:id="25">
    <w:p w14:paraId="6E165628" w14:textId="6A6796DE" w:rsidR="00FB5C17" w:rsidRPr="005068FA" w:rsidRDefault="00FB5C17" w:rsidP="008657FD">
      <w:pPr>
        <w:pStyle w:val="FootnoteText"/>
        <w:jc w:val="both"/>
        <w:rPr>
          <w:lang w:val="en-US"/>
        </w:rPr>
      </w:pPr>
      <w:r>
        <w:rPr>
          <w:rStyle w:val="FootnoteReference"/>
        </w:rPr>
        <w:footnoteRef/>
      </w:r>
      <w:r>
        <w:t xml:space="preserve"> </w:t>
      </w:r>
      <w:r>
        <w:rPr>
          <w:lang w:val="en-US"/>
        </w:rPr>
        <w:t>Volume 4: answering affidavit para 162 at page 307.</w:t>
      </w:r>
    </w:p>
  </w:footnote>
  <w:footnote w:id="26">
    <w:p w14:paraId="36F145F3" w14:textId="2313B2D1" w:rsidR="00FB5C17" w:rsidRPr="005068FA" w:rsidRDefault="00FB5C17" w:rsidP="008657FD">
      <w:pPr>
        <w:pStyle w:val="FootnoteText"/>
        <w:jc w:val="both"/>
        <w:rPr>
          <w:lang w:val="en-US"/>
        </w:rPr>
      </w:pPr>
      <w:r>
        <w:rPr>
          <w:rStyle w:val="FootnoteReference"/>
        </w:rPr>
        <w:footnoteRef/>
      </w:r>
      <w:r>
        <w:t xml:space="preserve"> </w:t>
      </w:r>
      <w:r>
        <w:rPr>
          <w:lang w:val="en-US"/>
        </w:rPr>
        <w:t>Volume 3: answering affidavit paras 14-119 at pages 273-298.</w:t>
      </w:r>
    </w:p>
  </w:footnote>
  <w:footnote w:id="27">
    <w:p w14:paraId="045955CD" w14:textId="22FF5A9D" w:rsidR="00FB5C17" w:rsidRPr="005068FA" w:rsidRDefault="00FB5C17" w:rsidP="008657FD">
      <w:pPr>
        <w:pStyle w:val="FootnoteText"/>
        <w:jc w:val="both"/>
        <w:rPr>
          <w:lang w:val="en-US"/>
        </w:rPr>
      </w:pPr>
      <w:r>
        <w:rPr>
          <w:rStyle w:val="FootnoteReference"/>
        </w:rPr>
        <w:footnoteRef/>
      </w:r>
      <w:r>
        <w:rPr>
          <w:lang w:val="en-US"/>
        </w:rPr>
        <w:t xml:space="preserve"> Applicants’ heads of argument</w:t>
      </w:r>
      <w:r>
        <w:t xml:space="preserve"> </w:t>
      </w:r>
      <w:r>
        <w:rPr>
          <w:lang w:val="en-US"/>
        </w:rPr>
        <w:t>para 46.</w:t>
      </w:r>
    </w:p>
  </w:footnote>
  <w:footnote w:id="28">
    <w:p w14:paraId="3A82B29C" w14:textId="017B1132" w:rsidR="00FB5C17" w:rsidRPr="005068FA" w:rsidRDefault="00FB5C17" w:rsidP="008657FD">
      <w:pPr>
        <w:pStyle w:val="FootnoteText"/>
        <w:jc w:val="both"/>
        <w:rPr>
          <w:lang w:val="en-US"/>
        </w:rPr>
      </w:pPr>
      <w:r>
        <w:rPr>
          <w:rStyle w:val="FootnoteReference"/>
        </w:rPr>
        <w:footnoteRef/>
      </w:r>
      <w:r>
        <w:t xml:space="preserve"> Ibid </w:t>
      </w:r>
      <w:r>
        <w:rPr>
          <w:lang w:val="en-US"/>
        </w:rPr>
        <w:t>paras 47 and 48.</w:t>
      </w:r>
    </w:p>
  </w:footnote>
  <w:footnote w:id="29">
    <w:p w14:paraId="297A19AF" w14:textId="1E754297" w:rsidR="00FB5C17" w:rsidRPr="00852673" w:rsidRDefault="00FB5C17" w:rsidP="008657FD">
      <w:pPr>
        <w:pStyle w:val="FootnoteText"/>
        <w:jc w:val="both"/>
        <w:rPr>
          <w:lang w:val="en-US"/>
        </w:rPr>
      </w:pPr>
      <w:r>
        <w:rPr>
          <w:rStyle w:val="FootnoteReference"/>
        </w:rPr>
        <w:footnoteRef/>
      </w:r>
      <w:r>
        <w:t xml:space="preserve"> </w:t>
      </w:r>
      <w:r>
        <w:rPr>
          <w:lang w:val="en-US"/>
        </w:rPr>
        <w:t>Ibid para 50.</w:t>
      </w:r>
    </w:p>
  </w:footnote>
  <w:footnote w:id="30">
    <w:p w14:paraId="4FBEACBD" w14:textId="0E9AA63F" w:rsidR="00FB5C17" w:rsidRPr="00A83A08" w:rsidRDefault="00FB5C17" w:rsidP="008657FD">
      <w:pPr>
        <w:pStyle w:val="FootnoteText"/>
        <w:jc w:val="both"/>
        <w:rPr>
          <w:lang w:val="en-GB"/>
        </w:rPr>
      </w:pPr>
      <w:r>
        <w:rPr>
          <w:rStyle w:val="FootnoteReference"/>
        </w:rPr>
        <w:footnoteRef/>
      </w:r>
      <w:r>
        <w:t xml:space="preserve"> </w:t>
      </w:r>
      <w:r w:rsidRPr="0019035A">
        <w:rPr>
          <w:rFonts w:cs="Arial"/>
          <w:i/>
          <w:iCs/>
        </w:rPr>
        <w:t xml:space="preserve">State Information Technology Agency SOC Ltd v Gijima Holdings (Pty) Ltd </w:t>
      </w:r>
      <w:r w:rsidRPr="0096681C">
        <w:rPr>
          <w:lang w:val="en-US"/>
        </w:rPr>
        <w:t>2018 (2) SA 23 (CC)</w:t>
      </w:r>
      <w:r>
        <w:rPr>
          <w:rFonts w:cs="Arial"/>
        </w:rPr>
        <w:t>.</w:t>
      </w:r>
    </w:p>
  </w:footnote>
  <w:footnote w:id="31">
    <w:p w14:paraId="6A05247A" w14:textId="5DE880E6" w:rsidR="00FB5C17" w:rsidRPr="00852673" w:rsidRDefault="00FB5C17" w:rsidP="00E90BDA">
      <w:pPr>
        <w:pStyle w:val="FootnoteText"/>
        <w:jc w:val="both"/>
        <w:rPr>
          <w:lang w:val="en-US"/>
        </w:rPr>
      </w:pPr>
      <w:r>
        <w:rPr>
          <w:rStyle w:val="FootnoteReference"/>
        </w:rPr>
        <w:footnoteRef/>
      </w:r>
      <w:r>
        <w:t xml:space="preserve"> </w:t>
      </w:r>
      <w:r>
        <w:rPr>
          <w:lang w:val="en-US"/>
        </w:rPr>
        <w:t>Applicants heads of argument para 52.</w:t>
      </w:r>
    </w:p>
  </w:footnote>
  <w:footnote w:id="32">
    <w:p w14:paraId="53A3F04D" w14:textId="6BD13D22" w:rsidR="00FB5C17" w:rsidRPr="00852673" w:rsidRDefault="00FB5C17" w:rsidP="00E90BDA">
      <w:pPr>
        <w:pStyle w:val="FootnoteText"/>
        <w:jc w:val="both"/>
        <w:rPr>
          <w:lang w:val="en-US"/>
        </w:rPr>
      </w:pPr>
      <w:r>
        <w:rPr>
          <w:rStyle w:val="FootnoteReference"/>
        </w:rPr>
        <w:footnoteRef/>
      </w:r>
      <w:r>
        <w:t xml:space="preserve"> </w:t>
      </w:r>
      <w:r>
        <w:rPr>
          <w:lang w:val="en-US"/>
        </w:rPr>
        <w:t>Volume 4: answering affidavit para 167 at page 308.</w:t>
      </w:r>
    </w:p>
  </w:footnote>
  <w:footnote w:id="33">
    <w:p w14:paraId="61BCFE2F" w14:textId="09204D36" w:rsidR="00FB5C17" w:rsidRPr="00F02341" w:rsidRDefault="00FB5C17" w:rsidP="00E90BDA">
      <w:pPr>
        <w:pStyle w:val="FootnoteText"/>
        <w:jc w:val="both"/>
        <w:rPr>
          <w:lang w:val="en-US"/>
        </w:rPr>
      </w:pPr>
      <w:r>
        <w:rPr>
          <w:rStyle w:val="FootnoteReference"/>
        </w:rPr>
        <w:footnoteRef/>
      </w:r>
      <w:r>
        <w:t xml:space="preserve"> </w:t>
      </w:r>
      <w:r w:rsidRPr="0019035A">
        <w:rPr>
          <w:rFonts w:cs="Arial"/>
          <w:i/>
          <w:iCs/>
        </w:rPr>
        <w:t xml:space="preserve">Dyantyi v Rhodes University and Others </w:t>
      </w:r>
      <w:r>
        <w:rPr>
          <w:rFonts w:cs="Arial"/>
        </w:rPr>
        <w:t xml:space="preserve">2023 (1) SA 32 (SCA) </w:t>
      </w:r>
      <w:r>
        <w:rPr>
          <w:lang w:val="en-US"/>
        </w:rPr>
        <w:t>paras 22 and 23.</w:t>
      </w:r>
    </w:p>
  </w:footnote>
  <w:footnote w:id="34">
    <w:p w14:paraId="21D6DD16" w14:textId="1F90DC9E" w:rsidR="00FB5C17" w:rsidRPr="00E90BDA" w:rsidRDefault="00FB5C17" w:rsidP="00E90BDA">
      <w:pPr>
        <w:pStyle w:val="FootnoteText"/>
        <w:jc w:val="both"/>
        <w:rPr>
          <w:rFonts w:ascii="Verdana" w:hAnsi="Verdana"/>
          <w:b/>
          <w:bCs/>
          <w:color w:val="000000"/>
          <w:lang w:eastAsia="en-ZA"/>
        </w:rPr>
      </w:pPr>
      <w:r>
        <w:rPr>
          <w:rStyle w:val="FootnoteReference"/>
        </w:rPr>
        <w:footnoteRef/>
      </w:r>
      <w:r>
        <w:t xml:space="preserve"> </w:t>
      </w:r>
      <w:r w:rsidRPr="00E90BDA">
        <w:rPr>
          <w:rFonts w:cs="Arial"/>
          <w:i/>
          <w:iCs/>
        </w:rPr>
        <w:t>Hamata and Another v Chairperson, Peninsula Technikon Internal Disciplinary Committee, and Others</w:t>
      </w:r>
      <w:r>
        <w:rPr>
          <w:rFonts w:ascii="Verdana" w:hAnsi="Verdana"/>
          <w:b/>
          <w:bCs/>
          <w:color w:val="000000"/>
        </w:rPr>
        <w:t> </w:t>
      </w:r>
      <w:r w:rsidRPr="00E90BDA">
        <w:t>2002 (5) SA 449 (SCA)</w:t>
      </w:r>
      <w:r>
        <w:t xml:space="preserve"> </w:t>
      </w:r>
      <w:r w:rsidRPr="00E90BDA">
        <w:t xml:space="preserve">paras </w:t>
      </w:r>
      <w:r w:rsidR="00867153">
        <w:t xml:space="preserve">8-13 and </w:t>
      </w:r>
      <w:r w:rsidRPr="00E90BDA">
        <w:t>20-22.</w:t>
      </w:r>
    </w:p>
  </w:footnote>
  <w:footnote w:id="35">
    <w:p w14:paraId="11D1FAE7" w14:textId="7ACAD788" w:rsidR="00FB5C17" w:rsidRPr="00A83A08" w:rsidRDefault="00FB5C17" w:rsidP="00E90BDA">
      <w:pPr>
        <w:pStyle w:val="FootnoteText"/>
        <w:jc w:val="both"/>
        <w:rPr>
          <w:rFonts w:cs="Arial"/>
        </w:rPr>
      </w:pPr>
      <w:r>
        <w:rPr>
          <w:rStyle w:val="FootnoteReference"/>
        </w:rPr>
        <w:footnoteRef/>
      </w:r>
      <w:r>
        <w:t xml:space="preserve"> </w:t>
      </w:r>
      <w:r>
        <w:rPr>
          <w:lang w:val="en-US"/>
        </w:rPr>
        <w:t xml:space="preserve">Ibid </w:t>
      </w:r>
      <w:r w:rsidRPr="00A972AC">
        <w:rPr>
          <w:rFonts w:cs="Arial"/>
        </w:rPr>
        <w:t xml:space="preserve">paras </w:t>
      </w:r>
      <w:r>
        <w:rPr>
          <w:rFonts w:cs="Arial"/>
        </w:rPr>
        <w:t>9-11.</w:t>
      </w:r>
    </w:p>
  </w:footnote>
  <w:footnote w:id="36">
    <w:p w14:paraId="0F961A69" w14:textId="4C8100CF" w:rsidR="00FB5C17" w:rsidRDefault="00FB5C17" w:rsidP="008657FD">
      <w:pPr>
        <w:pStyle w:val="FootnoteText"/>
        <w:jc w:val="both"/>
      </w:pPr>
      <w:r>
        <w:rPr>
          <w:rStyle w:val="FootnoteReference"/>
        </w:rPr>
        <w:footnoteRef/>
      </w:r>
      <w:r>
        <w:t xml:space="preserve"> See </w:t>
      </w:r>
      <w:r w:rsidRPr="00173E73">
        <w:rPr>
          <w:i/>
        </w:rPr>
        <w:t>Dabner v S</w:t>
      </w:r>
      <w:r>
        <w:rPr>
          <w:i/>
        </w:rPr>
        <w:t xml:space="preserve">outh </w:t>
      </w:r>
      <w:r w:rsidRPr="00173E73">
        <w:rPr>
          <w:i/>
        </w:rPr>
        <w:t>A</w:t>
      </w:r>
      <w:r>
        <w:rPr>
          <w:i/>
        </w:rPr>
        <w:t>frican</w:t>
      </w:r>
      <w:r w:rsidRPr="00173E73">
        <w:rPr>
          <w:i/>
        </w:rPr>
        <w:t xml:space="preserve"> Railways and Harbours</w:t>
      </w:r>
      <w:r>
        <w:t xml:space="preserve"> 1920 AD 583 at 598 (quoted in </w:t>
      </w:r>
      <w:r w:rsidRPr="00A83A08">
        <w:rPr>
          <w:i/>
        </w:rPr>
        <w:t>Hamata</w:t>
      </w:r>
      <w:r>
        <w:t xml:space="preserve"> para 5).</w:t>
      </w:r>
    </w:p>
  </w:footnote>
  <w:footnote w:id="37">
    <w:p w14:paraId="30EDBC86" w14:textId="2328C342" w:rsidR="00FB5C17" w:rsidRPr="00A83A08" w:rsidRDefault="00FB5C17" w:rsidP="008657FD">
      <w:pPr>
        <w:pStyle w:val="FootnoteText"/>
        <w:jc w:val="both"/>
        <w:rPr>
          <w:lang w:val="en-GB"/>
        </w:rPr>
      </w:pPr>
      <w:r>
        <w:rPr>
          <w:rStyle w:val="FootnoteReference"/>
        </w:rPr>
        <w:footnoteRef/>
      </w:r>
      <w:r>
        <w:t xml:space="preserve"> </w:t>
      </w:r>
      <w:r w:rsidRPr="0019035A">
        <w:rPr>
          <w:rFonts w:cs="Arial"/>
          <w:i/>
        </w:rPr>
        <w:t xml:space="preserve">Biowatch Trust v Registrar, Genetic Resources, and Others </w:t>
      </w:r>
      <w:r w:rsidRPr="0019035A">
        <w:rPr>
          <w:rFonts w:cs="Arial"/>
        </w:rPr>
        <w:t>2009 (6) SA 232 (CC)</w:t>
      </w:r>
      <w:r>
        <w:rPr>
          <w:rFonts w:cs="Arial"/>
        </w:rPr>
        <w:t>.</w:t>
      </w:r>
    </w:p>
  </w:footnote>
  <w:footnote w:id="38">
    <w:p w14:paraId="760DA048" w14:textId="462DD236" w:rsidR="00FB5C17" w:rsidRPr="00A83A08" w:rsidRDefault="00FB5C17" w:rsidP="008657FD">
      <w:pPr>
        <w:pStyle w:val="FootnoteText"/>
        <w:jc w:val="both"/>
        <w:rPr>
          <w:lang w:val="en-GB"/>
        </w:rPr>
      </w:pPr>
      <w:r>
        <w:rPr>
          <w:rStyle w:val="FootnoteReference"/>
        </w:rPr>
        <w:footnoteRef/>
      </w:r>
      <w:r>
        <w:t xml:space="preserve"> </w:t>
      </w:r>
      <w:r w:rsidRPr="00E90BDA">
        <w:rPr>
          <w:rFonts w:cs="Arial"/>
          <w:i/>
        </w:rPr>
        <w:t>Harrielall v University of KwaZulu-Natal</w:t>
      </w:r>
      <w:r w:rsidRPr="00E90BDA">
        <w:rPr>
          <w:rFonts w:cs="Arial"/>
        </w:rPr>
        <w:t xml:space="preserve"> </w:t>
      </w:r>
      <w:r>
        <w:rPr>
          <w:rFonts w:cs="Arial"/>
        </w:rPr>
        <w:t>2018 (1) BCLR 12 (CC)</w:t>
      </w:r>
      <w:r w:rsidRPr="00E90BDA">
        <w:rPr>
          <w:rFonts w:cs="Arial"/>
        </w:rPr>
        <w:t>.</w:t>
      </w:r>
    </w:p>
  </w:footnote>
  <w:footnote w:id="39">
    <w:p w14:paraId="26F67096" w14:textId="018B4B57" w:rsidR="00FB5C17" w:rsidRPr="00A83A08" w:rsidRDefault="00FB5C17" w:rsidP="008657FD">
      <w:pPr>
        <w:pStyle w:val="FootnoteText"/>
        <w:jc w:val="both"/>
        <w:rPr>
          <w:lang w:val="en-GB"/>
        </w:rPr>
      </w:pPr>
      <w:r>
        <w:rPr>
          <w:rStyle w:val="FootnoteReference"/>
        </w:rPr>
        <w:footnoteRef/>
      </w:r>
      <w:r>
        <w:t xml:space="preserve"> </w:t>
      </w:r>
      <w:r w:rsidRPr="00A83A08">
        <w:rPr>
          <w:rFonts w:cs="Arial"/>
          <w:i/>
        </w:rPr>
        <w:t>E</w:t>
      </w:r>
      <w:r>
        <w:rPr>
          <w:rFonts w:cs="Arial"/>
          <w:i/>
        </w:rPr>
        <w:t xml:space="preserve">conomic </w:t>
      </w:r>
      <w:r w:rsidRPr="00A83A08">
        <w:rPr>
          <w:rFonts w:cs="Arial"/>
          <w:i/>
        </w:rPr>
        <w:t>F</w:t>
      </w:r>
      <w:r>
        <w:rPr>
          <w:rFonts w:cs="Arial"/>
          <w:i/>
        </w:rPr>
        <w:t xml:space="preserve">reedom </w:t>
      </w:r>
      <w:r w:rsidRPr="00A83A08">
        <w:rPr>
          <w:rFonts w:cs="Arial"/>
          <w:i/>
        </w:rPr>
        <w:t>F</w:t>
      </w:r>
      <w:r>
        <w:rPr>
          <w:rFonts w:cs="Arial"/>
          <w:i/>
        </w:rPr>
        <w:t>ighters</w:t>
      </w:r>
      <w:r w:rsidRPr="00A83A08">
        <w:rPr>
          <w:rFonts w:cs="Arial"/>
          <w:i/>
        </w:rPr>
        <w:t xml:space="preserve"> </w:t>
      </w:r>
      <w:r w:rsidRPr="008B5DB6">
        <w:rPr>
          <w:rFonts w:cs="Arial"/>
          <w:i/>
        </w:rPr>
        <w:t>v Gordhan and Others</w:t>
      </w:r>
      <w:r>
        <w:rPr>
          <w:rFonts w:cs="Arial"/>
        </w:rPr>
        <w:t xml:space="preserve"> </w:t>
      </w:r>
      <w:r w:rsidRPr="0019035A">
        <w:rPr>
          <w:rFonts w:cs="Arial"/>
        </w:rPr>
        <w:t>2020 (6) SA 325 (CC)</w:t>
      </w:r>
      <w:r>
        <w:rPr>
          <w:rFonts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156867"/>
      <w:docPartObj>
        <w:docPartGallery w:val="Page Numbers (Top of Page)"/>
        <w:docPartUnique/>
      </w:docPartObj>
    </w:sdtPr>
    <w:sdtEndPr>
      <w:rPr>
        <w:noProof/>
      </w:rPr>
    </w:sdtEndPr>
    <w:sdtContent>
      <w:p w14:paraId="1E4C5BA4" w14:textId="12C3F508" w:rsidR="00FB5C17" w:rsidRDefault="00FB5C17">
        <w:pPr>
          <w:pStyle w:val="Header"/>
          <w:jc w:val="right"/>
        </w:pPr>
        <w:r>
          <w:fldChar w:fldCharType="begin"/>
        </w:r>
        <w:r>
          <w:instrText xml:space="preserve"> PAGE   \* MERGEFORMAT </w:instrText>
        </w:r>
        <w:r>
          <w:fldChar w:fldCharType="separate"/>
        </w:r>
        <w:r w:rsidR="006D01CE">
          <w:rPr>
            <w:noProof/>
          </w:rPr>
          <w:t>18</w:t>
        </w:r>
        <w:r>
          <w:rPr>
            <w:noProof/>
          </w:rPr>
          <w:fldChar w:fldCharType="end"/>
        </w:r>
      </w:p>
    </w:sdtContent>
  </w:sdt>
  <w:p w14:paraId="69A225F0" w14:textId="77777777" w:rsidR="00FB5C17" w:rsidRDefault="00FB5C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96D39"/>
    <w:multiLevelType w:val="hybridMultilevel"/>
    <w:tmpl w:val="1BA051A4"/>
    <w:lvl w:ilvl="0" w:tplc="8B5CB6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0471747"/>
    <w:multiLevelType w:val="hybridMultilevel"/>
    <w:tmpl w:val="4DBE085E"/>
    <w:lvl w:ilvl="0" w:tplc="25046CDA">
      <w:start w:val="1"/>
      <w:numFmt w:val="decimal"/>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2">
    <w:nsid w:val="12741569"/>
    <w:multiLevelType w:val="multilevel"/>
    <w:tmpl w:val="CFEAC16E"/>
    <w:lvl w:ilvl="0">
      <w:start w:val="1"/>
      <w:numFmt w:val="decimal"/>
      <w:lvlText w:val="[%1]"/>
      <w:lvlJc w:val="left"/>
      <w:pPr>
        <w:ind w:left="785"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12870820"/>
    <w:multiLevelType w:val="hybridMultilevel"/>
    <w:tmpl w:val="654461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420524B"/>
    <w:multiLevelType w:val="hybridMultilevel"/>
    <w:tmpl w:val="444A4D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6B7F78"/>
    <w:multiLevelType w:val="hybridMultilevel"/>
    <w:tmpl w:val="B2587C26"/>
    <w:lvl w:ilvl="0" w:tplc="4F7A75F4">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6">
    <w:nsid w:val="14F414CC"/>
    <w:multiLevelType w:val="multilevel"/>
    <w:tmpl w:val="0666DC08"/>
    <w:lvl w:ilvl="0">
      <w:start w:val="1"/>
      <w:numFmt w:val="decimal"/>
      <w:lvlText w:val="%1"/>
      <w:lvlJc w:val="left"/>
      <w:pPr>
        <w:ind w:left="405" w:hanging="405"/>
      </w:pPr>
      <w:rPr>
        <w:rFonts w:hint="default"/>
      </w:rPr>
    </w:lvl>
    <w:lvl w:ilvl="1">
      <w:start w:val="1"/>
      <w:numFmt w:val="decimal"/>
      <w:lvlText w:val="%2."/>
      <w:lvlJc w:val="left"/>
      <w:pPr>
        <w:ind w:left="405" w:hanging="405"/>
      </w:pPr>
      <w:rPr>
        <w:rFonts w:ascii="Arial" w:eastAsia="Times New Roman" w:hAnsi="Arial" w:cs="Arial"/>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A490840"/>
    <w:multiLevelType w:val="hybridMultilevel"/>
    <w:tmpl w:val="05FABA8A"/>
    <w:lvl w:ilvl="0" w:tplc="9D0EBF7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AA56171"/>
    <w:multiLevelType w:val="hybridMultilevel"/>
    <w:tmpl w:val="2F7C1D62"/>
    <w:lvl w:ilvl="0" w:tplc="58368FE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35645D"/>
    <w:multiLevelType w:val="multilevel"/>
    <w:tmpl w:val="1002679C"/>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1BA673C7"/>
    <w:multiLevelType w:val="hybridMultilevel"/>
    <w:tmpl w:val="E0968A4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1543B54"/>
    <w:multiLevelType w:val="hybridMultilevel"/>
    <w:tmpl w:val="6C6857FC"/>
    <w:lvl w:ilvl="0" w:tplc="ECBC9854">
      <w:start w:val="1"/>
      <w:numFmt w:val="upp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2">
    <w:nsid w:val="25026F94"/>
    <w:multiLevelType w:val="multilevel"/>
    <w:tmpl w:val="92F401E8"/>
    <w:lvl w:ilvl="0">
      <w:start w:val="1"/>
      <w:numFmt w:val="decimal"/>
      <w:pStyle w:val="Heading1"/>
      <w:isLgl/>
      <w:suff w:val="space"/>
      <w:lvlText w:val="%1."/>
      <w:lvlJc w:val="center"/>
      <w:pPr>
        <w:ind w:left="0" w:firstLine="0"/>
      </w:pPr>
      <w:rPr>
        <w:rFonts w:ascii="Arial" w:hAnsi="Arial" w:hint="default"/>
        <w:b w:val="0"/>
        <w:i w:val="0"/>
        <w:sz w:val="24"/>
        <w:szCs w:val="24"/>
      </w:rPr>
    </w:lvl>
    <w:lvl w:ilvl="1">
      <w:start w:val="1"/>
      <w:numFmt w:val="decimal"/>
      <w:pStyle w:val="Heading2"/>
      <w:isLgl/>
      <w:lvlText w:val="%1.%2"/>
      <w:lvlJc w:val="left"/>
      <w:pPr>
        <w:tabs>
          <w:tab w:val="num" w:pos="851"/>
        </w:tabs>
        <w:ind w:left="851" w:hanging="851"/>
      </w:pPr>
      <w:rPr>
        <w:rFonts w:ascii="Arial" w:hAnsi="Arial" w:hint="default"/>
        <w:b w:val="0"/>
        <w:i w:val="0"/>
        <w:sz w:val="24"/>
        <w:szCs w:val="24"/>
      </w:rPr>
    </w:lvl>
    <w:lvl w:ilvl="2">
      <w:start w:val="1"/>
      <w:numFmt w:val="decimal"/>
      <w:pStyle w:val="Heading3"/>
      <w:isLgl/>
      <w:lvlText w:val="%1.%2.%3"/>
      <w:lvlJc w:val="left"/>
      <w:pPr>
        <w:tabs>
          <w:tab w:val="num" w:pos="1701"/>
        </w:tabs>
        <w:ind w:left="1701" w:hanging="850"/>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68B4F53"/>
    <w:multiLevelType w:val="multilevel"/>
    <w:tmpl w:val="F38E586A"/>
    <w:lvl w:ilvl="0">
      <w:start w:val="1"/>
      <w:numFmt w:val="decimal"/>
      <w:lvlText w:val="[%1]"/>
      <w:lvlJc w:val="left"/>
      <w:pPr>
        <w:ind w:left="3229" w:hanging="360"/>
      </w:pPr>
      <w:rPr>
        <w:rFonts w:hint="default"/>
        <w:b w:val="0"/>
        <w:color w:val="auto"/>
        <w:sz w:val="24"/>
        <w:szCs w:val="24"/>
      </w:rPr>
    </w:lvl>
    <w:lvl w:ilvl="1">
      <w:start w:val="1"/>
      <w:numFmt w:val="decimal"/>
      <w:isLgl/>
      <w:lvlText w:val="%1.%2"/>
      <w:lvlJc w:val="left"/>
      <w:pPr>
        <w:ind w:left="324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200" w:hanging="1800"/>
      </w:pPr>
      <w:rPr>
        <w:rFonts w:hint="default"/>
      </w:rPr>
    </w:lvl>
  </w:abstractNum>
  <w:abstractNum w:abstractNumId="14">
    <w:nsid w:val="2E03578C"/>
    <w:multiLevelType w:val="multilevel"/>
    <w:tmpl w:val="1002679C"/>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330C0679"/>
    <w:multiLevelType w:val="hybridMultilevel"/>
    <w:tmpl w:val="326A7F6C"/>
    <w:lvl w:ilvl="0" w:tplc="95BCC07E">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6">
    <w:nsid w:val="34D46C47"/>
    <w:multiLevelType w:val="hybridMultilevel"/>
    <w:tmpl w:val="257693C6"/>
    <w:lvl w:ilvl="0" w:tplc="B7DCE5E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37BF4A81"/>
    <w:multiLevelType w:val="hybridMultilevel"/>
    <w:tmpl w:val="82022598"/>
    <w:lvl w:ilvl="0" w:tplc="98744466">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38460962"/>
    <w:multiLevelType w:val="multilevel"/>
    <w:tmpl w:val="957E7B06"/>
    <w:lvl w:ilvl="0">
      <w:start w:val="1"/>
      <w:numFmt w:val="decimal"/>
      <w:lvlText w:val="%1."/>
      <w:lvlJc w:val="left"/>
      <w:pPr>
        <w:ind w:left="502" w:hanging="360"/>
      </w:pPr>
      <w:rPr>
        <w:rFonts w:ascii="Arial" w:hAnsi="Arial" w:cs="Arial" w:hint="default"/>
        <w:b w:val="0"/>
        <w:color w:val="auto"/>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38A95F9F"/>
    <w:multiLevelType w:val="multilevel"/>
    <w:tmpl w:val="CFEAC16E"/>
    <w:lvl w:ilvl="0">
      <w:start w:val="1"/>
      <w:numFmt w:val="decimal"/>
      <w:lvlText w:val="[%1]"/>
      <w:lvlJc w:val="left"/>
      <w:pPr>
        <w:ind w:left="785"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3BA31495"/>
    <w:multiLevelType w:val="hybridMultilevel"/>
    <w:tmpl w:val="614E5A70"/>
    <w:lvl w:ilvl="0" w:tplc="2BBC2CE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3C182D7E"/>
    <w:multiLevelType w:val="hybridMultilevel"/>
    <w:tmpl w:val="3B769FF4"/>
    <w:lvl w:ilvl="0" w:tplc="6CDC8C4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E7255E4"/>
    <w:multiLevelType w:val="multilevel"/>
    <w:tmpl w:val="CFEAC16E"/>
    <w:lvl w:ilvl="0">
      <w:start w:val="1"/>
      <w:numFmt w:val="decimal"/>
      <w:lvlText w:val="[%1]"/>
      <w:lvlJc w:val="left"/>
      <w:pPr>
        <w:ind w:left="785"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nsid w:val="44971A19"/>
    <w:multiLevelType w:val="multilevel"/>
    <w:tmpl w:val="F38E586A"/>
    <w:styleLink w:val="CurrentList1"/>
    <w:lvl w:ilvl="0">
      <w:start w:val="1"/>
      <w:numFmt w:val="decimal"/>
      <w:lvlText w:val="[%1]"/>
      <w:lvlJc w:val="left"/>
      <w:pPr>
        <w:ind w:left="3229" w:hanging="360"/>
      </w:pPr>
      <w:rPr>
        <w:rFonts w:hint="default"/>
        <w:b w:val="0"/>
        <w:color w:val="auto"/>
        <w:sz w:val="24"/>
        <w:szCs w:val="24"/>
      </w:rPr>
    </w:lvl>
    <w:lvl w:ilvl="1">
      <w:start w:val="1"/>
      <w:numFmt w:val="decimal"/>
      <w:isLgl/>
      <w:lvlText w:val="%1.%2"/>
      <w:lvlJc w:val="left"/>
      <w:pPr>
        <w:ind w:left="324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200" w:hanging="1800"/>
      </w:pPr>
      <w:rPr>
        <w:rFonts w:hint="default"/>
      </w:rPr>
    </w:lvl>
  </w:abstractNum>
  <w:abstractNum w:abstractNumId="24">
    <w:nsid w:val="48D66D0F"/>
    <w:multiLevelType w:val="hybridMultilevel"/>
    <w:tmpl w:val="79A2B90E"/>
    <w:lvl w:ilvl="0" w:tplc="05ACD1AE">
      <w:start w:val="1"/>
      <w:numFmt w:val="lowerLetter"/>
      <w:lvlText w:val="(%1)"/>
      <w:lvlJc w:val="left"/>
      <w:pPr>
        <w:ind w:left="3523" w:hanging="360"/>
      </w:pPr>
      <w:rPr>
        <w:rFonts w:hint="default"/>
      </w:rPr>
    </w:lvl>
    <w:lvl w:ilvl="1" w:tplc="1C090019" w:tentative="1">
      <w:start w:val="1"/>
      <w:numFmt w:val="lowerLetter"/>
      <w:lvlText w:val="%2."/>
      <w:lvlJc w:val="left"/>
      <w:pPr>
        <w:ind w:left="4243" w:hanging="360"/>
      </w:pPr>
    </w:lvl>
    <w:lvl w:ilvl="2" w:tplc="1C09001B" w:tentative="1">
      <w:start w:val="1"/>
      <w:numFmt w:val="lowerRoman"/>
      <w:lvlText w:val="%3."/>
      <w:lvlJc w:val="right"/>
      <w:pPr>
        <w:ind w:left="4963" w:hanging="180"/>
      </w:pPr>
    </w:lvl>
    <w:lvl w:ilvl="3" w:tplc="1C09000F" w:tentative="1">
      <w:start w:val="1"/>
      <w:numFmt w:val="decimal"/>
      <w:lvlText w:val="%4."/>
      <w:lvlJc w:val="left"/>
      <w:pPr>
        <w:ind w:left="5683" w:hanging="360"/>
      </w:pPr>
    </w:lvl>
    <w:lvl w:ilvl="4" w:tplc="1C090019" w:tentative="1">
      <w:start w:val="1"/>
      <w:numFmt w:val="lowerLetter"/>
      <w:lvlText w:val="%5."/>
      <w:lvlJc w:val="left"/>
      <w:pPr>
        <w:ind w:left="6403" w:hanging="360"/>
      </w:pPr>
    </w:lvl>
    <w:lvl w:ilvl="5" w:tplc="1C09001B" w:tentative="1">
      <w:start w:val="1"/>
      <w:numFmt w:val="lowerRoman"/>
      <w:lvlText w:val="%6."/>
      <w:lvlJc w:val="right"/>
      <w:pPr>
        <w:ind w:left="7123" w:hanging="180"/>
      </w:pPr>
    </w:lvl>
    <w:lvl w:ilvl="6" w:tplc="1C09000F" w:tentative="1">
      <w:start w:val="1"/>
      <w:numFmt w:val="decimal"/>
      <w:lvlText w:val="%7."/>
      <w:lvlJc w:val="left"/>
      <w:pPr>
        <w:ind w:left="7843" w:hanging="360"/>
      </w:pPr>
    </w:lvl>
    <w:lvl w:ilvl="7" w:tplc="1C090019" w:tentative="1">
      <w:start w:val="1"/>
      <w:numFmt w:val="lowerLetter"/>
      <w:lvlText w:val="%8."/>
      <w:lvlJc w:val="left"/>
      <w:pPr>
        <w:ind w:left="8563" w:hanging="360"/>
      </w:pPr>
    </w:lvl>
    <w:lvl w:ilvl="8" w:tplc="1C09001B" w:tentative="1">
      <w:start w:val="1"/>
      <w:numFmt w:val="lowerRoman"/>
      <w:lvlText w:val="%9."/>
      <w:lvlJc w:val="right"/>
      <w:pPr>
        <w:ind w:left="9283" w:hanging="180"/>
      </w:pPr>
    </w:lvl>
  </w:abstractNum>
  <w:abstractNum w:abstractNumId="25">
    <w:nsid w:val="48D72E03"/>
    <w:multiLevelType w:val="hybridMultilevel"/>
    <w:tmpl w:val="B8D6A1BA"/>
    <w:lvl w:ilvl="0" w:tplc="3540243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F966315"/>
    <w:multiLevelType w:val="hybridMultilevel"/>
    <w:tmpl w:val="44000F3E"/>
    <w:lvl w:ilvl="0" w:tplc="189EEA0C">
      <w:start w:val="1"/>
      <w:numFmt w:val="lowerLetter"/>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54116826"/>
    <w:multiLevelType w:val="hybridMultilevel"/>
    <w:tmpl w:val="9408959A"/>
    <w:lvl w:ilvl="0" w:tplc="A0042D8A">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8">
    <w:nsid w:val="58B8586F"/>
    <w:multiLevelType w:val="hybridMultilevel"/>
    <w:tmpl w:val="03B6D7A4"/>
    <w:lvl w:ilvl="0" w:tplc="2BBC2CE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58ED539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9107514"/>
    <w:multiLevelType w:val="multilevel"/>
    <w:tmpl w:val="1002679C"/>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nsid w:val="5BAA5621"/>
    <w:multiLevelType w:val="hybridMultilevel"/>
    <w:tmpl w:val="1D7449FE"/>
    <w:lvl w:ilvl="0" w:tplc="54B065E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5F0637B3"/>
    <w:multiLevelType w:val="hybridMultilevel"/>
    <w:tmpl w:val="B2587C26"/>
    <w:lvl w:ilvl="0" w:tplc="FFFFFFFF">
      <w:start w:val="1"/>
      <w:numFmt w:val="lowerLetter"/>
      <w:lvlText w:val="%1."/>
      <w:lvlJc w:val="left"/>
      <w:pPr>
        <w:ind w:left="2520" w:hanging="36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3">
    <w:nsid w:val="612C2E66"/>
    <w:multiLevelType w:val="hybridMultilevel"/>
    <w:tmpl w:val="DFD0C870"/>
    <w:lvl w:ilvl="0" w:tplc="FFFFFFFF">
      <w:start w:val="1"/>
      <w:numFmt w:val="lowerRoman"/>
      <w:lvlText w:val="%1."/>
      <w:lvlJc w:val="left"/>
      <w:pPr>
        <w:ind w:left="3600" w:hanging="720"/>
      </w:pPr>
      <w:rPr>
        <w:rFonts w:hint="default"/>
      </w:r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34">
    <w:nsid w:val="65DD10B1"/>
    <w:multiLevelType w:val="hybridMultilevel"/>
    <w:tmpl w:val="F3C674D4"/>
    <w:lvl w:ilvl="0" w:tplc="3E7C994E">
      <w:start w:val="1"/>
      <w:numFmt w:val="upp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5">
    <w:nsid w:val="686955E5"/>
    <w:multiLevelType w:val="hybridMultilevel"/>
    <w:tmpl w:val="DFD0C870"/>
    <w:lvl w:ilvl="0" w:tplc="FFFFFFFF">
      <w:start w:val="1"/>
      <w:numFmt w:val="lowerRoman"/>
      <w:lvlText w:val="%1."/>
      <w:lvlJc w:val="left"/>
      <w:pPr>
        <w:ind w:left="3600" w:hanging="720"/>
      </w:pPr>
      <w:rPr>
        <w:rFonts w:hint="default"/>
      </w:r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36">
    <w:nsid w:val="68F0139F"/>
    <w:multiLevelType w:val="hybridMultilevel"/>
    <w:tmpl w:val="BD029D06"/>
    <w:lvl w:ilvl="0" w:tplc="1C090017">
      <w:start w:val="1"/>
      <w:numFmt w:val="lowerLetter"/>
      <w:lvlText w:val="%1)"/>
      <w:lvlJc w:val="left"/>
      <w:pPr>
        <w:ind w:left="1344" w:hanging="360"/>
      </w:pPr>
    </w:lvl>
    <w:lvl w:ilvl="1" w:tplc="1C090019" w:tentative="1">
      <w:start w:val="1"/>
      <w:numFmt w:val="lowerLetter"/>
      <w:lvlText w:val="%2."/>
      <w:lvlJc w:val="left"/>
      <w:pPr>
        <w:ind w:left="2064" w:hanging="360"/>
      </w:pPr>
    </w:lvl>
    <w:lvl w:ilvl="2" w:tplc="1C09001B" w:tentative="1">
      <w:start w:val="1"/>
      <w:numFmt w:val="lowerRoman"/>
      <w:lvlText w:val="%3."/>
      <w:lvlJc w:val="right"/>
      <w:pPr>
        <w:ind w:left="2784" w:hanging="180"/>
      </w:pPr>
    </w:lvl>
    <w:lvl w:ilvl="3" w:tplc="1C09000F" w:tentative="1">
      <w:start w:val="1"/>
      <w:numFmt w:val="decimal"/>
      <w:lvlText w:val="%4."/>
      <w:lvlJc w:val="left"/>
      <w:pPr>
        <w:ind w:left="3504" w:hanging="360"/>
      </w:pPr>
    </w:lvl>
    <w:lvl w:ilvl="4" w:tplc="1C090019" w:tentative="1">
      <w:start w:val="1"/>
      <w:numFmt w:val="lowerLetter"/>
      <w:lvlText w:val="%5."/>
      <w:lvlJc w:val="left"/>
      <w:pPr>
        <w:ind w:left="4224" w:hanging="360"/>
      </w:pPr>
    </w:lvl>
    <w:lvl w:ilvl="5" w:tplc="1C09001B" w:tentative="1">
      <w:start w:val="1"/>
      <w:numFmt w:val="lowerRoman"/>
      <w:lvlText w:val="%6."/>
      <w:lvlJc w:val="right"/>
      <w:pPr>
        <w:ind w:left="4944" w:hanging="180"/>
      </w:pPr>
    </w:lvl>
    <w:lvl w:ilvl="6" w:tplc="1C09000F" w:tentative="1">
      <w:start w:val="1"/>
      <w:numFmt w:val="decimal"/>
      <w:lvlText w:val="%7."/>
      <w:lvlJc w:val="left"/>
      <w:pPr>
        <w:ind w:left="5664" w:hanging="360"/>
      </w:pPr>
    </w:lvl>
    <w:lvl w:ilvl="7" w:tplc="1C090019" w:tentative="1">
      <w:start w:val="1"/>
      <w:numFmt w:val="lowerLetter"/>
      <w:lvlText w:val="%8."/>
      <w:lvlJc w:val="left"/>
      <w:pPr>
        <w:ind w:left="6384" w:hanging="360"/>
      </w:pPr>
    </w:lvl>
    <w:lvl w:ilvl="8" w:tplc="1C09001B" w:tentative="1">
      <w:start w:val="1"/>
      <w:numFmt w:val="lowerRoman"/>
      <w:lvlText w:val="%9."/>
      <w:lvlJc w:val="right"/>
      <w:pPr>
        <w:ind w:left="7104" w:hanging="180"/>
      </w:pPr>
    </w:lvl>
  </w:abstractNum>
  <w:abstractNum w:abstractNumId="37">
    <w:nsid w:val="6B100F8E"/>
    <w:multiLevelType w:val="hybridMultilevel"/>
    <w:tmpl w:val="DE68F0C0"/>
    <w:lvl w:ilvl="0" w:tplc="B7D8632C">
      <w:start w:val="1"/>
      <w:numFmt w:val="upperLetter"/>
      <w:lvlText w:val="%1."/>
      <w:lvlJc w:val="left"/>
      <w:pPr>
        <w:ind w:left="720" w:hanging="360"/>
      </w:pPr>
      <w:rPr>
        <w:rFonts w:hint="default"/>
      </w:rPr>
    </w:lvl>
    <w:lvl w:ilvl="1" w:tplc="EC90EDE4" w:tentative="1">
      <w:start w:val="1"/>
      <w:numFmt w:val="lowerLetter"/>
      <w:lvlText w:val="%2."/>
      <w:lvlJc w:val="left"/>
      <w:pPr>
        <w:ind w:left="1440" w:hanging="360"/>
      </w:pPr>
    </w:lvl>
    <w:lvl w:ilvl="2" w:tplc="C33EC37A" w:tentative="1">
      <w:start w:val="1"/>
      <w:numFmt w:val="lowerRoman"/>
      <w:lvlText w:val="%3."/>
      <w:lvlJc w:val="right"/>
      <w:pPr>
        <w:ind w:left="2160" w:hanging="180"/>
      </w:pPr>
    </w:lvl>
    <w:lvl w:ilvl="3" w:tplc="B13CEEC2" w:tentative="1">
      <w:start w:val="1"/>
      <w:numFmt w:val="decimal"/>
      <w:lvlText w:val="%4."/>
      <w:lvlJc w:val="left"/>
      <w:pPr>
        <w:ind w:left="2880" w:hanging="360"/>
      </w:pPr>
    </w:lvl>
    <w:lvl w:ilvl="4" w:tplc="14766154" w:tentative="1">
      <w:start w:val="1"/>
      <w:numFmt w:val="lowerLetter"/>
      <w:lvlText w:val="%5."/>
      <w:lvlJc w:val="left"/>
      <w:pPr>
        <w:ind w:left="3600" w:hanging="360"/>
      </w:pPr>
    </w:lvl>
    <w:lvl w:ilvl="5" w:tplc="5E509C78" w:tentative="1">
      <w:start w:val="1"/>
      <w:numFmt w:val="lowerRoman"/>
      <w:lvlText w:val="%6."/>
      <w:lvlJc w:val="right"/>
      <w:pPr>
        <w:ind w:left="4320" w:hanging="180"/>
      </w:pPr>
    </w:lvl>
    <w:lvl w:ilvl="6" w:tplc="140EA1CA" w:tentative="1">
      <w:start w:val="1"/>
      <w:numFmt w:val="decimal"/>
      <w:lvlText w:val="%7."/>
      <w:lvlJc w:val="left"/>
      <w:pPr>
        <w:ind w:left="5040" w:hanging="360"/>
      </w:pPr>
    </w:lvl>
    <w:lvl w:ilvl="7" w:tplc="2CF4ECB8" w:tentative="1">
      <w:start w:val="1"/>
      <w:numFmt w:val="lowerLetter"/>
      <w:lvlText w:val="%8."/>
      <w:lvlJc w:val="left"/>
      <w:pPr>
        <w:ind w:left="5760" w:hanging="360"/>
      </w:pPr>
    </w:lvl>
    <w:lvl w:ilvl="8" w:tplc="F8B49320" w:tentative="1">
      <w:start w:val="1"/>
      <w:numFmt w:val="lowerRoman"/>
      <w:lvlText w:val="%9."/>
      <w:lvlJc w:val="right"/>
      <w:pPr>
        <w:ind w:left="6480" w:hanging="180"/>
      </w:pPr>
    </w:lvl>
  </w:abstractNum>
  <w:abstractNum w:abstractNumId="38">
    <w:nsid w:val="6DB34422"/>
    <w:multiLevelType w:val="hybridMultilevel"/>
    <w:tmpl w:val="16F05620"/>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39">
    <w:nsid w:val="6E7E2865"/>
    <w:multiLevelType w:val="hybridMultilevel"/>
    <w:tmpl w:val="7EF02296"/>
    <w:lvl w:ilvl="0" w:tplc="436E452E">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4093E7D"/>
    <w:multiLevelType w:val="hybridMultilevel"/>
    <w:tmpl w:val="3F76EA82"/>
    <w:lvl w:ilvl="0" w:tplc="1C090019">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6ED271B"/>
    <w:multiLevelType w:val="hybridMultilevel"/>
    <w:tmpl w:val="8FD8DA92"/>
    <w:lvl w:ilvl="0" w:tplc="0CBA7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AA31B7F"/>
    <w:multiLevelType w:val="hybridMultilevel"/>
    <w:tmpl w:val="B3DA2D28"/>
    <w:lvl w:ilvl="0" w:tplc="2BBC2CE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7E4031C9"/>
    <w:multiLevelType w:val="hybridMultilevel"/>
    <w:tmpl w:val="DFD0C870"/>
    <w:lvl w:ilvl="0" w:tplc="0B54DC66">
      <w:start w:val="1"/>
      <w:numFmt w:val="lowerRoman"/>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num w:numId="1">
    <w:abstractNumId w:val="12"/>
  </w:num>
  <w:num w:numId="2">
    <w:abstractNumId w:val="41"/>
  </w:num>
  <w:num w:numId="3">
    <w:abstractNumId w:val="13"/>
  </w:num>
  <w:num w:numId="4">
    <w:abstractNumId w:val="24"/>
  </w:num>
  <w:num w:numId="5">
    <w:abstractNumId w:val="0"/>
  </w:num>
  <w:num w:numId="6">
    <w:abstractNumId w:val="31"/>
  </w:num>
  <w:num w:numId="7">
    <w:abstractNumId w:val="8"/>
  </w:num>
  <w:num w:numId="8">
    <w:abstractNumId w:val="26"/>
  </w:num>
  <w:num w:numId="9">
    <w:abstractNumId w:val="22"/>
  </w:num>
  <w:num w:numId="10">
    <w:abstractNumId w:val="2"/>
  </w:num>
  <w:num w:numId="11">
    <w:abstractNumId w:val="19"/>
  </w:num>
  <w:num w:numId="12">
    <w:abstractNumId w:val="37"/>
  </w:num>
  <w:num w:numId="13">
    <w:abstractNumId w:val="14"/>
  </w:num>
  <w:num w:numId="14">
    <w:abstractNumId w:val="36"/>
  </w:num>
  <w:num w:numId="15">
    <w:abstractNumId w:val="38"/>
  </w:num>
  <w:num w:numId="16">
    <w:abstractNumId w:val="10"/>
  </w:num>
  <w:num w:numId="17">
    <w:abstractNumId w:val="30"/>
  </w:num>
  <w:num w:numId="18">
    <w:abstractNumId w:val="29"/>
  </w:num>
  <w:num w:numId="19">
    <w:abstractNumId w:val="9"/>
  </w:num>
  <w:num w:numId="20">
    <w:abstractNumId w:val="18"/>
  </w:num>
  <w:num w:numId="21">
    <w:abstractNumId w:val="16"/>
  </w:num>
  <w:num w:numId="22">
    <w:abstractNumId w:val="21"/>
  </w:num>
  <w:num w:numId="23">
    <w:abstractNumId w:val="25"/>
  </w:num>
  <w:num w:numId="24">
    <w:abstractNumId w:val="39"/>
  </w:num>
  <w:num w:numId="25">
    <w:abstractNumId w:val="3"/>
  </w:num>
  <w:num w:numId="26">
    <w:abstractNumId w:val="4"/>
  </w:num>
  <w:num w:numId="27">
    <w:abstractNumId w:val="28"/>
  </w:num>
  <w:num w:numId="28">
    <w:abstractNumId w:val="20"/>
  </w:num>
  <w:num w:numId="29">
    <w:abstractNumId w:val="42"/>
  </w:num>
  <w:num w:numId="30">
    <w:abstractNumId w:val="15"/>
  </w:num>
  <w:num w:numId="31">
    <w:abstractNumId w:val="23"/>
  </w:num>
  <w:num w:numId="32">
    <w:abstractNumId w:val="43"/>
  </w:num>
  <w:num w:numId="33">
    <w:abstractNumId w:val="34"/>
  </w:num>
  <w:num w:numId="34">
    <w:abstractNumId w:val="11"/>
  </w:num>
  <w:num w:numId="35">
    <w:abstractNumId w:val="1"/>
  </w:num>
  <w:num w:numId="36">
    <w:abstractNumId w:val="35"/>
  </w:num>
  <w:num w:numId="37">
    <w:abstractNumId w:val="5"/>
  </w:num>
  <w:num w:numId="38">
    <w:abstractNumId w:val="32"/>
  </w:num>
  <w:num w:numId="39">
    <w:abstractNumId w:val="27"/>
  </w:num>
  <w:num w:numId="40">
    <w:abstractNumId w:val="33"/>
  </w:num>
  <w:num w:numId="41">
    <w:abstractNumId w:val="6"/>
  </w:num>
  <w:num w:numId="42">
    <w:abstractNumId w:val="17"/>
  </w:num>
  <w:num w:numId="43">
    <w:abstractNumId w:val="40"/>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4D"/>
    <w:rsid w:val="00000B4E"/>
    <w:rsid w:val="00005A77"/>
    <w:rsid w:val="000064DA"/>
    <w:rsid w:val="00010474"/>
    <w:rsid w:val="00010949"/>
    <w:rsid w:val="00011F9F"/>
    <w:rsid w:val="0001372D"/>
    <w:rsid w:val="00015D62"/>
    <w:rsid w:val="00016CA3"/>
    <w:rsid w:val="00017E9D"/>
    <w:rsid w:val="00017EC6"/>
    <w:rsid w:val="00022562"/>
    <w:rsid w:val="00027035"/>
    <w:rsid w:val="00030276"/>
    <w:rsid w:val="00033308"/>
    <w:rsid w:val="00033C9C"/>
    <w:rsid w:val="0003496B"/>
    <w:rsid w:val="0003543D"/>
    <w:rsid w:val="000378F6"/>
    <w:rsid w:val="00042ADD"/>
    <w:rsid w:val="000433FC"/>
    <w:rsid w:val="00045086"/>
    <w:rsid w:val="00047010"/>
    <w:rsid w:val="00047A1C"/>
    <w:rsid w:val="00047B68"/>
    <w:rsid w:val="00047F19"/>
    <w:rsid w:val="000517EF"/>
    <w:rsid w:val="00054C93"/>
    <w:rsid w:val="00070EC5"/>
    <w:rsid w:val="000731F6"/>
    <w:rsid w:val="00073334"/>
    <w:rsid w:val="00073412"/>
    <w:rsid w:val="00075030"/>
    <w:rsid w:val="0007568A"/>
    <w:rsid w:val="0007697F"/>
    <w:rsid w:val="00080A2D"/>
    <w:rsid w:val="000832BA"/>
    <w:rsid w:val="000929C2"/>
    <w:rsid w:val="00094553"/>
    <w:rsid w:val="000A4BCB"/>
    <w:rsid w:val="000A5E48"/>
    <w:rsid w:val="000A7191"/>
    <w:rsid w:val="000A7E7F"/>
    <w:rsid w:val="000B15D7"/>
    <w:rsid w:val="000B6D0E"/>
    <w:rsid w:val="000B753E"/>
    <w:rsid w:val="000C0BDE"/>
    <w:rsid w:val="000C0C37"/>
    <w:rsid w:val="000C1877"/>
    <w:rsid w:val="000C199A"/>
    <w:rsid w:val="000C2646"/>
    <w:rsid w:val="000C2BC2"/>
    <w:rsid w:val="000C5487"/>
    <w:rsid w:val="000C55EC"/>
    <w:rsid w:val="000D1CDB"/>
    <w:rsid w:val="000D5403"/>
    <w:rsid w:val="000E31A0"/>
    <w:rsid w:val="00104251"/>
    <w:rsid w:val="00104542"/>
    <w:rsid w:val="00106246"/>
    <w:rsid w:val="00111DBF"/>
    <w:rsid w:val="0011554D"/>
    <w:rsid w:val="00115E6B"/>
    <w:rsid w:val="00120835"/>
    <w:rsid w:val="00122148"/>
    <w:rsid w:val="00123A46"/>
    <w:rsid w:val="00127005"/>
    <w:rsid w:val="00134DDE"/>
    <w:rsid w:val="00134F3C"/>
    <w:rsid w:val="0014038F"/>
    <w:rsid w:val="00141C2F"/>
    <w:rsid w:val="001448F5"/>
    <w:rsid w:val="00144939"/>
    <w:rsid w:val="00150DE3"/>
    <w:rsid w:val="00153D75"/>
    <w:rsid w:val="001562D3"/>
    <w:rsid w:val="001567C1"/>
    <w:rsid w:val="00156B70"/>
    <w:rsid w:val="0016449C"/>
    <w:rsid w:val="00170250"/>
    <w:rsid w:val="00170617"/>
    <w:rsid w:val="00173E73"/>
    <w:rsid w:val="00176A78"/>
    <w:rsid w:val="00177F93"/>
    <w:rsid w:val="00181735"/>
    <w:rsid w:val="00182F4A"/>
    <w:rsid w:val="00184FF0"/>
    <w:rsid w:val="00185320"/>
    <w:rsid w:val="001871C2"/>
    <w:rsid w:val="0019035A"/>
    <w:rsid w:val="001A353D"/>
    <w:rsid w:val="001A49FF"/>
    <w:rsid w:val="001A5840"/>
    <w:rsid w:val="001A6B83"/>
    <w:rsid w:val="001B3741"/>
    <w:rsid w:val="001B4947"/>
    <w:rsid w:val="001B4C0D"/>
    <w:rsid w:val="001B7390"/>
    <w:rsid w:val="001C0894"/>
    <w:rsid w:val="001C143E"/>
    <w:rsid w:val="001C55ED"/>
    <w:rsid w:val="001D0024"/>
    <w:rsid w:val="001D14DA"/>
    <w:rsid w:val="001D38EA"/>
    <w:rsid w:val="001D5708"/>
    <w:rsid w:val="001E0AB2"/>
    <w:rsid w:val="001E34AF"/>
    <w:rsid w:val="001E5D55"/>
    <w:rsid w:val="001E61F9"/>
    <w:rsid w:val="001E689F"/>
    <w:rsid w:val="001F424D"/>
    <w:rsid w:val="00200B0C"/>
    <w:rsid w:val="00206349"/>
    <w:rsid w:val="002161E2"/>
    <w:rsid w:val="002255FB"/>
    <w:rsid w:val="002307D1"/>
    <w:rsid w:val="00233028"/>
    <w:rsid w:val="00234E67"/>
    <w:rsid w:val="00235239"/>
    <w:rsid w:val="00236276"/>
    <w:rsid w:val="0024041F"/>
    <w:rsid w:val="00241CD0"/>
    <w:rsid w:val="00244EBC"/>
    <w:rsid w:val="002458F1"/>
    <w:rsid w:val="0024590C"/>
    <w:rsid w:val="0025413A"/>
    <w:rsid w:val="00260B5A"/>
    <w:rsid w:val="00261427"/>
    <w:rsid w:val="00264D7A"/>
    <w:rsid w:val="0027209E"/>
    <w:rsid w:val="0027706A"/>
    <w:rsid w:val="002813BE"/>
    <w:rsid w:val="0028230E"/>
    <w:rsid w:val="002830E0"/>
    <w:rsid w:val="00286244"/>
    <w:rsid w:val="00287C70"/>
    <w:rsid w:val="00291CD1"/>
    <w:rsid w:val="002B4A3C"/>
    <w:rsid w:val="002B79C1"/>
    <w:rsid w:val="002C143A"/>
    <w:rsid w:val="002C3074"/>
    <w:rsid w:val="002C4017"/>
    <w:rsid w:val="002D1A91"/>
    <w:rsid w:val="002D1DAE"/>
    <w:rsid w:val="002D3891"/>
    <w:rsid w:val="002D62A8"/>
    <w:rsid w:val="002E46A7"/>
    <w:rsid w:val="002F138A"/>
    <w:rsid w:val="002F267E"/>
    <w:rsid w:val="002F4568"/>
    <w:rsid w:val="0030161B"/>
    <w:rsid w:val="00306B12"/>
    <w:rsid w:val="00311641"/>
    <w:rsid w:val="00313022"/>
    <w:rsid w:val="00316704"/>
    <w:rsid w:val="00317851"/>
    <w:rsid w:val="00317C78"/>
    <w:rsid w:val="00322598"/>
    <w:rsid w:val="003258B0"/>
    <w:rsid w:val="00336412"/>
    <w:rsid w:val="00337979"/>
    <w:rsid w:val="00345847"/>
    <w:rsid w:val="00355A13"/>
    <w:rsid w:val="0035621B"/>
    <w:rsid w:val="00356F94"/>
    <w:rsid w:val="00362826"/>
    <w:rsid w:val="0036365D"/>
    <w:rsid w:val="003772F9"/>
    <w:rsid w:val="00380E04"/>
    <w:rsid w:val="0038132A"/>
    <w:rsid w:val="00381580"/>
    <w:rsid w:val="00381707"/>
    <w:rsid w:val="003817B8"/>
    <w:rsid w:val="00386002"/>
    <w:rsid w:val="00393DB1"/>
    <w:rsid w:val="00394527"/>
    <w:rsid w:val="0039533D"/>
    <w:rsid w:val="003A0BDC"/>
    <w:rsid w:val="003A2110"/>
    <w:rsid w:val="003A441E"/>
    <w:rsid w:val="003A7450"/>
    <w:rsid w:val="003B1C5D"/>
    <w:rsid w:val="003B21A2"/>
    <w:rsid w:val="003B49AB"/>
    <w:rsid w:val="003B5A47"/>
    <w:rsid w:val="003B6241"/>
    <w:rsid w:val="003C0A9C"/>
    <w:rsid w:val="003C3D01"/>
    <w:rsid w:val="003C6F2E"/>
    <w:rsid w:val="003C7C9E"/>
    <w:rsid w:val="003D57E1"/>
    <w:rsid w:val="003E5A70"/>
    <w:rsid w:val="003F0C8A"/>
    <w:rsid w:val="003F169C"/>
    <w:rsid w:val="003F36D9"/>
    <w:rsid w:val="003F3E0E"/>
    <w:rsid w:val="0040418A"/>
    <w:rsid w:val="00405A02"/>
    <w:rsid w:val="00411C8D"/>
    <w:rsid w:val="004120D1"/>
    <w:rsid w:val="004121D6"/>
    <w:rsid w:val="004143C2"/>
    <w:rsid w:val="00421D02"/>
    <w:rsid w:val="004222B5"/>
    <w:rsid w:val="00422EE5"/>
    <w:rsid w:val="00423067"/>
    <w:rsid w:val="0043130D"/>
    <w:rsid w:val="00434987"/>
    <w:rsid w:val="00435528"/>
    <w:rsid w:val="00435CC9"/>
    <w:rsid w:val="00435D4C"/>
    <w:rsid w:val="004404D1"/>
    <w:rsid w:val="00440A70"/>
    <w:rsid w:val="00440CC4"/>
    <w:rsid w:val="00444241"/>
    <w:rsid w:val="00444372"/>
    <w:rsid w:val="004456CB"/>
    <w:rsid w:val="004476C6"/>
    <w:rsid w:val="004523E8"/>
    <w:rsid w:val="004570FE"/>
    <w:rsid w:val="00462543"/>
    <w:rsid w:val="004645DA"/>
    <w:rsid w:val="00467091"/>
    <w:rsid w:val="0047323E"/>
    <w:rsid w:val="00476948"/>
    <w:rsid w:val="0048082A"/>
    <w:rsid w:val="00483DFF"/>
    <w:rsid w:val="00483E82"/>
    <w:rsid w:val="00485D3D"/>
    <w:rsid w:val="00491FD1"/>
    <w:rsid w:val="00492B59"/>
    <w:rsid w:val="004935EC"/>
    <w:rsid w:val="004943A1"/>
    <w:rsid w:val="004A1E29"/>
    <w:rsid w:val="004A6571"/>
    <w:rsid w:val="004C0F38"/>
    <w:rsid w:val="004C16FD"/>
    <w:rsid w:val="004C2501"/>
    <w:rsid w:val="004D30FA"/>
    <w:rsid w:val="004D5999"/>
    <w:rsid w:val="004E1573"/>
    <w:rsid w:val="004E7100"/>
    <w:rsid w:val="004E7EC7"/>
    <w:rsid w:val="004F11D9"/>
    <w:rsid w:val="004F24F3"/>
    <w:rsid w:val="004F4074"/>
    <w:rsid w:val="004F5683"/>
    <w:rsid w:val="0050112C"/>
    <w:rsid w:val="00501A1B"/>
    <w:rsid w:val="0050239D"/>
    <w:rsid w:val="005040FD"/>
    <w:rsid w:val="00504FFA"/>
    <w:rsid w:val="005068FA"/>
    <w:rsid w:val="0051210E"/>
    <w:rsid w:val="00516386"/>
    <w:rsid w:val="0051653D"/>
    <w:rsid w:val="005231C6"/>
    <w:rsid w:val="00527F88"/>
    <w:rsid w:val="00531EFC"/>
    <w:rsid w:val="005337B3"/>
    <w:rsid w:val="00536D9C"/>
    <w:rsid w:val="00541A46"/>
    <w:rsid w:val="00542A8E"/>
    <w:rsid w:val="00543F82"/>
    <w:rsid w:val="00552070"/>
    <w:rsid w:val="00552B84"/>
    <w:rsid w:val="00552C6E"/>
    <w:rsid w:val="00553094"/>
    <w:rsid w:val="00561362"/>
    <w:rsid w:val="005620A9"/>
    <w:rsid w:val="00562EC3"/>
    <w:rsid w:val="00563E8C"/>
    <w:rsid w:val="00564878"/>
    <w:rsid w:val="00566060"/>
    <w:rsid w:val="00571731"/>
    <w:rsid w:val="00572697"/>
    <w:rsid w:val="00575206"/>
    <w:rsid w:val="0057524A"/>
    <w:rsid w:val="00575E63"/>
    <w:rsid w:val="00577A4D"/>
    <w:rsid w:val="00580EFC"/>
    <w:rsid w:val="00581D30"/>
    <w:rsid w:val="00581D42"/>
    <w:rsid w:val="005849C7"/>
    <w:rsid w:val="00584AE0"/>
    <w:rsid w:val="005906CB"/>
    <w:rsid w:val="0059189F"/>
    <w:rsid w:val="00592814"/>
    <w:rsid w:val="005A28E7"/>
    <w:rsid w:val="005B0C81"/>
    <w:rsid w:val="005B2A5F"/>
    <w:rsid w:val="005B31FA"/>
    <w:rsid w:val="005B32F1"/>
    <w:rsid w:val="005C27D1"/>
    <w:rsid w:val="005C2939"/>
    <w:rsid w:val="005C54E4"/>
    <w:rsid w:val="005C7F06"/>
    <w:rsid w:val="005D1D9C"/>
    <w:rsid w:val="005D3127"/>
    <w:rsid w:val="005D5C68"/>
    <w:rsid w:val="005D7654"/>
    <w:rsid w:val="005E00C5"/>
    <w:rsid w:val="005E4796"/>
    <w:rsid w:val="005F1268"/>
    <w:rsid w:val="005F6385"/>
    <w:rsid w:val="005F6AB1"/>
    <w:rsid w:val="00600CF4"/>
    <w:rsid w:val="00606116"/>
    <w:rsid w:val="00616272"/>
    <w:rsid w:val="00617142"/>
    <w:rsid w:val="0064379B"/>
    <w:rsid w:val="00647511"/>
    <w:rsid w:val="0065119A"/>
    <w:rsid w:val="006537E4"/>
    <w:rsid w:val="00653DC0"/>
    <w:rsid w:val="00654DB4"/>
    <w:rsid w:val="00655DCA"/>
    <w:rsid w:val="00657020"/>
    <w:rsid w:val="006573FD"/>
    <w:rsid w:val="00657693"/>
    <w:rsid w:val="006622AD"/>
    <w:rsid w:val="00664B01"/>
    <w:rsid w:val="006663B9"/>
    <w:rsid w:val="0067758F"/>
    <w:rsid w:val="0067784C"/>
    <w:rsid w:val="00684084"/>
    <w:rsid w:val="00686D06"/>
    <w:rsid w:val="00687A24"/>
    <w:rsid w:val="006953BB"/>
    <w:rsid w:val="006958AB"/>
    <w:rsid w:val="00695C4C"/>
    <w:rsid w:val="00695E42"/>
    <w:rsid w:val="0069714E"/>
    <w:rsid w:val="006A04EB"/>
    <w:rsid w:val="006B051E"/>
    <w:rsid w:val="006B12D7"/>
    <w:rsid w:val="006B2F21"/>
    <w:rsid w:val="006B3368"/>
    <w:rsid w:val="006B3C85"/>
    <w:rsid w:val="006B5FA8"/>
    <w:rsid w:val="006B6BF4"/>
    <w:rsid w:val="006C564A"/>
    <w:rsid w:val="006D01CE"/>
    <w:rsid w:val="006D794A"/>
    <w:rsid w:val="006D7D8D"/>
    <w:rsid w:val="006E227A"/>
    <w:rsid w:val="006F17A6"/>
    <w:rsid w:val="006F79DD"/>
    <w:rsid w:val="00700249"/>
    <w:rsid w:val="007012F9"/>
    <w:rsid w:val="00704172"/>
    <w:rsid w:val="00704194"/>
    <w:rsid w:val="007041BA"/>
    <w:rsid w:val="00704D2D"/>
    <w:rsid w:val="00711F4E"/>
    <w:rsid w:val="0071334E"/>
    <w:rsid w:val="00713463"/>
    <w:rsid w:val="0071420A"/>
    <w:rsid w:val="00714875"/>
    <w:rsid w:val="00714E0E"/>
    <w:rsid w:val="00714F66"/>
    <w:rsid w:val="007167F8"/>
    <w:rsid w:val="00717C17"/>
    <w:rsid w:val="00722CEC"/>
    <w:rsid w:val="0073369F"/>
    <w:rsid w:val="00734D6D"/>
    <w:rsid w:val="00745B2F"/>
    <w:rsid w:val="007538D1"/>
    <w:rsid w:val="00753B76"/>
    <w:rsid w:val="00754938"/>
    <w:rsid w:val="00757B60"/>
    <w:rsid w:val="00761864"/>
    <w:rsid w:val="00761995"/>
    <w:rsid w:val="00767FAF"/>
    <w:rsid w:val="00773AC1"/>
    <w:rsid w:val="0077457A"/>
    <w:rsid w:val="00783F76"/>
    <w:rsid w:val="00787178"/>
    <w:rsid w:val="00791957"/>
    <w:rsid w:val="00795423"/>
    <w:rsid w:val="00795776"/>
    <w:rsid w:val="0079606B"/>
    <w:rsid w:val="007A0153"/>
    <w:rsid w:val="007A0903"/>
    <w:rsid w:val="007A4ACB"/>
    <w:rsid w:val="007A532B"/>
    <w:rsid w:val="007B02EF"/>
    <w:rsid w:val="007B0739"/>
    <w:rsid w:val="007B0BFF"/>
    <w:rsid w:val="007B2E78"/>
    <w:rsid w:val="007B5E67"/>
    <w:rsid w:val="007C2BCA"/>
    <w:rsid w:val="007C3486"/>
    <w:rsid w:val="007C527E"/>
    <w:rsid w:val="007C5C14"/>
    <w:rsid w:val="007C6954"/>
    <w:rsid w:val="007C799B"/>
    <w:rsid w:val="007D5B37"/>
    <w:rsid w:val="007E4126"/>
    <w:rsid w:val="007E7071"/>
    <w:rsid w:val="007F5323"/>
    <w:rsid w:val="007F6417"/>
    <w:rsid w:val="007F7BA8"/>
    <w:rsid w:val="007F7E2A"/>
    <w:rsid w:val="00800078"/>
    <w:rsid w:val="00800158"/>
    <w:rsid w:val="00803382"/>
    <w:rsid w:val="00804162"/>
    <w:rsid w:val="00804C05"/>
    <w:rsid w:val="00812B93"/>
    <w:rsid w:val="00814113"/>
    <w:rsid w:val="008161D4"/>
    <w:rsid w:val="0082077D"/>
    <w:rsid w:val="008245D7"/>
    <w:rsid w:val="00824AB5"/>
    <w:rsid w:val="00827470"/>
    <w:rsid w:val="00830484"/>
    <w:rsid w:val="008347B9"/>
    <w:rsid w:val="00837530"/>
    <w:rsid w:val="00840B50"/>
    <w:rsid w:val="00842E7C"/>
    <w:rsid w:val="00852673"/>
    <w:rsid w:val="008570B4"/>
    <w:rsid w:val="00865151"/>
    <w:rsid w:val="008657FD"/>
    <w:rsid w:val="00867153"/>
    <w:rsid w:val="008674D3"/>
    <w:rsid w:val="00883363"/>
    <w:rsid w:val="00887EAB"/>
    <w:rsid w:val="0089127D"/>
    <w:rsid w:val="0089181B"/>
    <w:rsid w:val="00891A91"/>
    <w:rsid w:val="00896A51"/>
    <w:rsid w:val="008A1939"/>
    <w:rsid w:val="008A30EA"/>
    <w:rsid w:val="008B001C"/>
    <w:rsid w:val="008B06DB"/>
    <w:rsid w:val="008B09CC"/>
    <w:rsid w:val="008B15B4"/>
    <w:rsid w:val="008B277F"/>
    <w:rsid w:val="008B414C"/>
    <w:rsid w:val="008B44BB"/>
    <w:rsid w:val="008B5DB6"/>
    <w:rsid w:val="008D4F97"/>
    <w:rsid w:val="008E1BF3"/>
    <w:rsid w:val="008E1E48"/>
    <w:rsid w:val="008E2028"/>
    <w:rsid w:val="008E3F52"/>
    <w:rsid w:val="008E6400"/>
    <w:rsid w:val="008E6931"/>
    <w:rsid w:val="008E6DE7"/>
    <w:rsid w:val="008E7156"/>
    <w:rsid w:val="008E73D5"/>
    <w:rsid w:val="008F0FC0"/>
    <w:rsid w:val="008F5AF3"/>
    <w:rsid w:val="008F7702"/>
    <w:rsid w:val="009024E0"/>
    <w:rsid w:val="00907793"/>
    <w:rsid w:val="00917DEF"/>
    <w:rsid w:val="0092368D"/>
    <w:rsid w:val="00923949"/>
    <w:rsid w:val="00923FFC"/>
    <w:rsid w:val="00924C58"/>
    <w:rsid w:val="00931B1A"/>
    <w:rsid w:val="00932DCD"/>
    <w:rsid w:val="009340BF"/>
    <w:rsid w:val="009355C5"/>
    <w:rsid w:val="0093674F"/>
    <w:rsid w:val="009376D4"/>
    <w:rsid w:val="00943755"/>
    <w:rsid w:val="0094628B"/>
    <w:rsid w:val="0095190A"/>
    <w:rsid w:val="00951E23"/>
    <w:rsid w:val="00952C76"/>
    <w:rsid w:val="0095368E"/>
    <w:rsid w:val="00953E20"/>
    <w:rsid w:val="00954931"/>
    <w:rsid w:val="009556D4"/>
    <w:rsid w:val="00965ADF"/>
    <w:rsid w:val="0096681C"/>
    <w:rsid w:val="0097286C"/>
    <w:rsid w:val="00974DF6"/>
    <w:rsid w:val="00975702"/>
    <w:rsid w:val="009809E9"/>
    <w:rsid w:val="00981D61"/>
    <w:rsid w:val="00982DDC"/>
    <w:rsid w:val="00987D10"/>
    <w:rsid w:val="009906FA"/>
    <w:rsid w:val="009967BD"/>
    <w:rsid w:val="009A17C1"/>
    <w:rsid w:val="009B7E0E"/>
    <w:rsid w:val="009C198C"/>
    <w:rsid w:val="009C282C"/>
    <w:rsid w:val="009C5822"/>
    <w:rsid w:val="009C7949"/>
    <w:rsid w:val="009D2BBF"/>
    <w:rsid w:val="009D34D4"/>
    <w:rsid w:val="009D3AE4"/>
    <w:rsid w:val="009D481D"/>
    <w:rsid w:val="009E223A"/>
    <w:rsid w:val="009E653E"/>
    <w:rsid w:val="009F02B2"/>
    <w:rsid w:val="009F5302"/>
    <w:rsid w:val="009F64C3"/>
    <w:rsid w:val="009F7EC4"/>
    <w:rsid w:val="00A01A44"/>
    <w:rsid w:val="00A04AF6"/>
    <w:rsid w:val="00A05C98"/>
    <w:rsid w:val="00A06849"/>
    <w:rsid w:val="00A111B7"/>
    <w:rsid w:val="00A13396"/>
    <w:rsid w:val="00A1455E"/>
    <w:rsid w:val="00A163E8"/>
    <w:rsid w:val="00A20CD4"/>
    <w:rsid w:val="00A272A7"/>
    <w:rsid w:val="00A33B7E"/>
    <w:rsid w:val="00A34DA5"/>
    <w:rsid w:val="00A34FCF"/>
    <w:rsid w:val="00A35E99"/>
    <w:rsid w:val="00A45661"/>
    <w:rsid w:val="00A456ED"/>
    <w:rsid w:val="00A47D65"/>
    <w:rsid w:val="00A541FD"/>
    <w:rsid w:val="00A5662E"/>
    <w:rsid w:val="00A62D71"/>
    <w:rsid w:val="00A63105"/>
    <w:rsid w:val="00A65233"/>
    <w:rsid w:val="00A708B6"/>
    <w:rsid w:val="00A7506E"/>
    <w:rsid w:val="00A80E92"/>
    <w:rsid w:val="00A813F3"/>
    <w:rsid w:val="00A81775"/>
    <w:rsid w:val="00A834AF"/>
    <w:rsid w:val="00A83A08"/>
    <w:rsid w:val="00A842BC"/>
    <w:rsid w:val="00A972AC"/>
    <w:rsid w:val="00AA02AF"/>
    <w:rsid w:val="00AA1FF8"/>
    <w:rsid w:val="00AA3E50"/>
    <w:rsid w:val="00AA4296"/>
    <w:rsid w:val="00AA4E67"/>
    <w:rsid w:val="00AA62E2"/>
    <w:rsid w:val="00AA78FD"/>
    <w:rsid w:val="00AB2CBD"/>
    <w:rsid w:val="00AB7452"/>
    <w:rsid w:val="00AC029E"/>
    <w:rsid w:val="00AC1688"/>
    <w:rsid w:val="00AC4DE0"/>
    <w:rsid w:val="00AD157B"/>
    <w:rsid w:val="00AE7CCF"/>
    <w:rsid w:val="00AF6280"/>
    <w:rsid w:val="00AF6D32"/>
    <w:rsid w:val="00AF7B0F"/>
    <w:rsid w:val="00B01B83"/>
    <w:rsid w:val="00B0518C"/>
    <w:rsid w:val="00B14C76"/>
    <w:rsid w:val="00B21CC7"/>
    <w:rsid w:val="00B2439C"/>
    <w:rsid w:val="00B30BF6"/>
    <w:rsid w:val="00B41AB0"/>
    <w:rsid w:val="00B42C3A"/>
    <w:rsid w:val="00B46EFB"/>
    <w:rsid w:val="00B5218D"/>
    <w:rsid w:val="00B53715"/>
    <w:rsid w:val="00B55D34"/>
    <w:rsid w:val="00B56E63"/>
    <w:rsid w:val="00B60819"/>
    <w:rsid w:val="00B60ED3"/>
    <w:rsid w:val="00B6180A"/>
    <w:rsid w:val="00B61B3A"/>
    <w:rsid w:val="00B658E5"/>
    <w:rsid w:val="00B80308"/>
    <w:rsid w:val="00B81936"/>
    <w:rsid w:val="00B92202"/>
    <w:rsid w:val="00B9474A"/>
    <w:rsid w:val="00B96E19"/>
    <w:rsid w:val="00B97620"/>
    <w:rsid w:val="00BA23C7"/>
    <w:rsid w:val="00BA3B45"/>
    <w:rsid w:val="00BA4B3E"/>
    <w:rsid w:val="00BA534E"/>
    <w:rsid w:val="00BB1F7B"/>
    <w:rsid w:val="00BB2113"/>
    <w:rsid w:val="00BB2F2A"/>
    <w:rsid w:val="00BB4758"/>
    <w:rsid w:val="00BC7374"/>
    <w:rsid w:val="00BD1FBE"/>
    <w:rsid w:val="00BD3D24"/>
    <w:rsid w:val="00BD681C"/>
    <w:rsid w:val="00BE238C"/>
    <w:rsid w:val="00BE2909"/>
    <w:rsid w:val="00BE7879"/>
    <w:rsid w:val="00BF060B"/>
    <w:rsid w:val="00BF35B0"/>
    <w:rsid w:val="00BF58CC"/>
    <w:rsid w:val="00C05CB4"/>
    <w:rsid w:val="00C06BC3"/>
    <w:rsid w:val="00C07453"/>
    <w:rsid w:val="00C1025E"/>
    <w:rsid w:val="00C10762"/>
    <w:rsid w:val="00C1149F"/>
    <w:rsid w:val="00C136B9"/>
    <w:rsid w:val="00C200C5"/>
    <w:rsid w:val="00C26DC6"/>
    <w:rsid w:val="00C307A5"/>
    <w:rsid w:val="00C30B99"/>
    <w:rsid w:val="00C31795"/>
    <w:rsid w:val="00C367E5"/>
    <w:rsid w:val="00C479AB"/>
    <w:rsid w:val="00C47E6A"/>
    <w:rsid w:val="00C51896"/>
    <w:rsid w:val="00C60D25"/>
    <w:rsid w:val="00C634DA"/>
    <w:rsid w:val="00C701F9"/>
    <w:rsid w:val="00C731F3"/>
    <w:rsid w:val="00C73AC7"/>
    <w:rsid w:val="00C749EB"/>
    <w:rsid w:val="00C805E1"/>
    <w:rsid w:val="00C84693"/>
    <w:rsid w:val="00C8638E"/>
    <w:rsid w:val="00C86BD3"/>
    <w:rsid w:val="00C930E6"/>
    <w:rsid w:val="00CA05D5"/>
    <w:rsid w:val="00CA38F0"/>
    <w:rsid w:val="00CA429F"/>
    <w:rsid w:val="00CA617F"/>
    <w:rsid w:val="00CB168A"/>
    <w:rsid w:val="00CB5FB3"/>
    <w:rsid w:val="00CB774A"/>
    <w:rsid w:val="00CC3417"/>
    <w:rsid w:val="00CC7172"/>
    <w:rsid w:val="00CD0391"/>
    <w:rsid w:val="00CD15AB"/>
    <w:rsid w:val="00CD1CB0"/>
    <w:rsid w:val="00CD1DAA"/>
    <w:rsid w:val="00CD3E7B"/>
    <w:rsid w:val="00CD5F4E"/>
    <w:rsid w:val="00CF02AB"/>
    <w:rsid w:val="00CF2812"/>
    <w:rsid w:val="00CF3C93"/>
    <w:rsid w:val="00CF402A"/>
    <w:rsid w:val="00CF4799"/>
    <w:rsid w:val="00D06603"/>
    <w:rsid w:val="00D07396"/>
    <w:rsid w:val="00D115B1"/>
    <w:rsid w:val="00D13504"/>
    <w:rsid w:val="00D17F7C"/>
    <w:rsid w:val="00D21D44"/>
    <w:rsid w:val="00D2491C"/>
    <w:rsid w:val="00D252F6"/>
    <w:rsid w:val="00D25D01"/>
    <w:rsid w:val="00D26283"/>
    <w:rsid w:val="00D3026B"/>
    <w:rsid w:val="00D32162"/>
    <w:rsid w:val="00D353EB"/>
    <w:rsid w:val="00D36748"/>
    <w:rsid w:val="00D411DE"/>
    <w:rsid w:val="00D45E9C"/>
    <w:rsid w:val="00D50B6C"/>
    <w:rsid w:val="00D52F72"/>
    <w:rsid w:val="00D54237"/>
    <w:rsid w:val="00D542F2"/>
    <w:rsid w:val="00D5458F"/>
    <w:rsid w:val="00D55AA9"/>
    <w:rsid w:val="00D6650F"/>
    <w:rsid w:val="00D66774"/>
    <w:rsid w:val="00D70C2C"/>
    <w:rsid w:val="00D70D43"/>
    <w:rsid w:val="00D7356A"/>
    <w:rsid w:val="00D735AB"/>
    <w:rsid w:val="00D74754"/>
    <w:rsid w:val="00D75581"/>
    <w:rsid w:val="00D76B9A"/>
    <w:rsid w:val="00D817CD"/>
    <w:rsid w:val="00D81AAB"/>
    <w:rsid w:val="00D81DB3"/>
    <w:rsid w:val="00D8592C"/>
    <w:rsid w:val="00D9236B"/>
    <w:rsid w:val="00D929A5"/>
    <w:rsid w:val="00DA084E"/>
    <w:rsid w:val="00DA50A5"/>
    <w:rsid w:val="00DA580F"/>
    <w:rsid w:val="00DA5BF4"/>
    <w:rsid w:val="00DA6A0C"/>
    <w:rsid w:val="00DB6CC6"/>
    <w:rsid w:val="00DC06D8"/>
    <w:rsid w:val="00DC441B"/>
    <w:rsid w:val="00DC5D39"/>
    <w:rsid w:val="00DC7921"/>
    <w:rsid w:val="00DD09F2"/>
    <w:rsid w:val="00DD26C4"/>
    <w:rsid w:val="00DE1542"/>
    <w:rsid w:val="00DE2220"/>
    <w:rsid w:val="00DE3FE8"/>
    <w:rsid w:val="00DE65AB"/>
    <w:rsid w:val="00DE6E73"/>
    <w:rsid w:val="00DE6F0C"/>
    <w:rsid w:val="00DE7B22"/>
    <w:rsid w:val="00DF56CE"/>
    <w:rsid w:val="00DF67F3"/>
    <w:rsid w:val="00E013E5"/>
    <w:rsid w:val="00E02BA7"/>
    <w:rsid w:val="00E03216"/>
    <w:rsid w:val="00E04479"/>
    <w:rsid w:val="00E141FD"/>
    <w:rsid w:val="00E206D1"/>
    <w:rsid w:val="00E2682D"/>
    <w:rsid w:val="00E27609"/>
    <w:rsid w:val="00E31542"/>
    <w:rsid w:val="00E33E8E"/>
    <w:rsid w:val="00E36594"/>
    <w:rsid w:val="00E41A65"/>
    <w:rsid w:val="00E42965"/>
    <w:rsid w:val="00E471AA"/>
    <w:rsid w:val="00E53EF0"/>
    <w:rsid w:val="00E564FA"/>
    <w:rsid w:val="00E60C8E"/>
    <w:rsid w:val="00E61035"/>
    <w:rsid w:val="00E61367"/>
    <w:rsid w:val="00E616B0"/>
    <w:rsid w:val="00E650B6"/>
    <w:rsid w:val="00E67A68"/>
    <w:rsid w:val="00E67E7E"/>
    <w:rsid w:val="00E70BBB"/>
    <w:rsid w:val="00E80962"/>
    <w:rsid w:val="00E81C93"/>
    <w:rsid w:val="00E82626"/>
    <w:rsid w:val="00E90BDA"/>
    <w:rsid w:val="00E9298F"/>
    <w:rsid w:val="00EA16AD"/>
    <w:rsid w:val="00EA6CD6"/>
    <w:rsid w:val="00EB5C23"/>
    <w:rsid w:val="00EC56A1"/>
    <w:rsid w:val="00ED0703"/>
    <w:rsid w:val="00ED1C4A"/>
    <w:rsid w:val="00ED697B"/>
    <w:rsid w:val="00ED7BFC"/>
    <w:rsid w:val="00EE0C51"/>
    <w:rsid w:val="00EE42E8"/>
    <w:rsid w:val="00EE54DA"/>
    <w:rsid w:val="00EE5C23"/>
    <w:rsid w:val="00EE7A6B"/>
    <w:rsid w:val="00EF08A7"/>
    <w:rsid w:val="00EF193B"/>
    <w:rsid w:val="00EF249F"/>
    <w:rsid w:val="00EF2584"/>
    <w:rsid w:val="00EF2EA1"/>
    <w:rsid w:val="00F00991"/>
    <w:rsid w:val="00F02341"/>
    <w:rsid w:val="00F02BA4"/>
    <w:rsid w:val="00F05EE1"/>
    <w:rsid w:val="00F06A6A"/>
    <w:rsid w:val="00F07204"/>
    <w:rsid w:val="00F10511"/>
    <w:rsid w:val="00F116E0"/>
    <w:rsid w:val="00F1436B"/>
    <w:rsid w:val="00F145D4"/>
    <w:rsid w:val="00F16905"/>
    <w:rsid w:val="00F25452"/>
    <w:rsid w:val="00F273C3"/>
    <w:rsid w:val="00F307BB"/>
    <w:rsid w:val="00F32CBB"/>
    <w:rsid w:val="00F34D07"/>
    <w:rsid w:val="00F35989"/>
    <w:rsid w:val="00F40068"/>
    <w:rsid w:val="00F41AE7"/>
    <w:rsid w:val="00F5639D"/>
    <w:rsid w:val="00F661DB"/>
    <w:rsid w:val="00F670DD"/>
    <w:rsid w:val="00F71552"/>
    <w:rsid w:val="00F73C8C"/>
    <w:rsid w:val="00F75420"/>
    <w:rsid w:val="00F75D50"/>
    <w:rsid w:val="00F815B5"/>
    <w:rsid w:val="00F829BC"/>
    <w:rsid w:val="00F87D59"/>
    <w:rsid w:val="00F900D3"/>
    <w:rsid w:val="00F9185F"/>
    <w:rsid w:val="00F9213B"/>
    <w:rsid w:val="00F965BB"/>
    <w:rsid w:val="00F971FE"/>
    <w:rsid w:val="00FA5B88"/>
    <w:rsid w:val="00FB04B3"/>
    <w:rsid w:val="00FB0676"/>
    <w:rsid w:val="00FB12C4"/>
    <w:rsid w:val="00FB1B07"/>
    <w:rsid w:val="00FB2BED"/>
    <w:rsid w:val="00FB2D23"/>
    <w:rsid w:val="00FB5C17"/>
    <w:rsid w:val="00FC3B5C"/>
    <w:rsid w:val="00FC662B"/>
    <w:rsid w:val="00FD1A48"/>
    <w:rsid w:val="00FD32B1"/>
    <w:rsid w:val="00FD3FE2"/>
    <w:rsid w:val="00FE1B00"/>
    <w:rsid w:val="00FE3688"/>
    <w:rsid w:val="00FF09F7"/>
    <w:rsid w:val="00FF0C26"/>
    <w:rsid w:val="00FF18AE"/>
    <w:rsid w:val="00FF24A9"/>
    <w:rsid w:val="00FF44C5"/>
    <w:rsid w:val="00FF6F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F5FEB"/>
  <w15:docId w15:val="{95EED9B7-6A40-47D9-992C-6158FD0E5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54D"/>
    <w:rPr>
      <w:rFonts w:eastAsia="Times New Roman"/>
      <w:sz w:val="24"/>
      <w:szCs w:val="24"/>
      <w:lang w:eastAsia="en-US"/>
    </w:rPr>
  </w:style>
  <w:style w:type="paragraph" w:styleId="Heading1">
    <w:name w:val="heading 1"/>
    <w:basedOn w:val="Normal"/>
    <w:next w:val="Normal"/>
    <w:link w:val="Heading1Char"/>
    <w:qFormat/>
    <w:rsid w:val="00D542F2"/>
    <w:pPr>
      <w:keepNext/>
      <w:numPr>
        <w:numId w:val="1"/>
      </w:numPr>
      <w:spacing w:before="240" w:after="60" w:line="480" w:lineRule="auto"/>
      <w:jc w:val="center"/>
      <w:outlineLvl w:val="0"/>
    </w:pPr>
    <w:rPr>
      <w:rFonts w:cs="Arial"/>
      <w:bCs/>
      <w:kern w:val="32"/>
      <w:szCs w:val="32"/>
    </w:rPr>
  </w:style>
  <w:style w:type="paragraph" w:styleId="Heading2">
    <w:name w:val="heading 2"/>
    <w:basedOn w:val="Normal"/>
    <w:next w:val="Normal"/>
    <w:link w:val="Heading2Char"/>
    <w:qFormat/>
    <w:rsid w:val="00D542F2"/>
    <w:pPr>
      <w:keepNext/>
      <w:numPr>
        <w:ilvl w:val="1"/>
        <w:numId w:val="1"/>
      </w:numPr>
      <w:spacing w:line="480" w:lineRule="auto"/>
      <w:jc w:val="both"/>
      <w:outlineLvl w:val="1"/>
    </w:pPr>
    <w:rPr>
      <w:rFonts w:cs="Arial"/>
      <w:bCs/>
      <w:iCs/>
      <w:szCs w:val="28"/>
    </w:rPr>
  </w:style>
  <w:style w:type="paragraph" w:styleId="Heading3">
    <w:name w:val="heading 3"/>
    <w:basedOn w:val="Normal"/>
    <w:next w:val="Normal"/>
    <w:link w:val="Heading3Char"/>
    <w:qFormat/>
    <w:rsid w:val="00D542F2"/>
    <w:pPr>
      <w:keepNext/>
      <w:numPr>
        <w:ilvl w:val="2"/>
        <w:numId w:val="1"/>
      </w:numPr>
      <w:spacing w:line="480" w:lineRule="auto"/>
      <w:jc w:val="both"/>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542F2"/>
    <w:rPr>
      <w:rFonts w:eastAsia="Times New Roman" w:cs="Arial"/>
      <w:bCs/>
      <w:kern w:val="32"/>
      <w:szCs w:val="32"/>
    </w:rPr>
  </w:style>
  <w:style w:type="character" w:customStyle="1" w:styleId="Heading2Char">
    <w:name w:val="Heading 2 Char"/>
    <w:link w:val="Heading2"/>
    <w:rsid w:val="00D542F2"/>
    <w:rPr>
      <w:rFonts w:eastAsia="Times New Roman" w:cs="Arial"/>
      <w:bCs/>
      <w:iCs/>
      <w:szCs w:val="28"/>
    </w:rPr>
  </w:style>
  <w:style w:type="character" w:customStyle="1" w:styleId="Heading3Char">
    <w:name w:val="Heading 3 Char"/>
    <w:link w:val="Heading3"/>
    <w:rsid w:val="00D542F2"/>
    <w:rPr>
      <w:rFonts w:eastAsia="Times New Roman" w:cs="Arial"/>
      <w:bCs/>
      <w:szCs w:val="26"/>
    </w:rPr>
  </w:style>
  <w:style w:type="paragraph" w:styleId="BodyText2">
    <w:name w:val="Body Text 2"/>
    <w:basedOn w:val="Normal"/>
    <w:link w:val="BodyText2Char"/>
    <w:rsid w:val="00D542F2"/>
    <w:pPr>
      <w:spacing w:after="120" w:line="480" w:lineRule="auto"/>
    </w:pPr>
  </w:style>
  <w:style w:type="character" w:customStyle="1" w:styleId="BodyText2Char">
    <w:name w:val="Body Text 2 Char"/>
    <w:link w:val="BodyText2"/>
    <w:rsid w:val="00D542F2"/>
    <w:rPr>
      <w:rFonts w:eastAsia="Times New Roman" w:cs="Times New Roman"/>
      <w:szCs w:val="24"/>
    </w:rPr>
  </w:style>
  <w:style w:type="paragraph" w:styleId="ListParagraph">
    <w:name w:val="List Paragraph"/>
    <w:basedOn w:val="Normal"/>
    <w:uiPriority w:val="34"/>
    <w:qFormat/>
    <w:rsid w:val="00B97620"/>
    <w:pPr>
      <w:ind w:left="720"/>
    </w:pPr>
  </w:style>
  <w:style w:type="paragraph" w:styleId="Header">
    <w:name w:val="header"/>
    <w:basedOn w:val="Normal"/>
    <w:link w:val="HeaderChar"/>
    <w:uiPriority w:val="99"/>
    <w:unhideWhenUsed/>
    <w:rsid w:val="008674D3"/>
    <w:pPr>
      <w:tabs>
        <w:tab w:val="center" w:pos="4513"/>
        <w:tab w:val="right" w:pos="9026"/>
      </w:tabs>
    </w:pPr>
  </w:style>
  <w:style w:type="character" w:customStyle="1" w:styleId="HeaderChar">
    <w:name w:val="Header Char"/>
    <w:link w:val="Header"/>
    <w:uiPriority w:val="99"/>
    <w:rsid w:val="008674D3"/>
    <w:rPr>
      <w:rFonts w:eastAsia="Times New Roman"/>
      <w:sz w:val="24"/>
      <w:szCs w:val="24"/>
      <w:lang w:eastAsia="en-US"/>
    </w:rPr>
  </w:style>
  <w:style w:type="paragraph" w:styleId="Footer">
    <w:name w:val="footer"/>
    <w:basedOn w:val="Normal"/>
    <w:link w:val="FooterChar"/>
    <w:uiPriority w:val="99"/>
    <w:unhideWhenUsed/>
    <w:rsid w:val="008674D3"/>
    <w:pPr>
      <w:tabs>
        <w:tab w:val="center" w:pos="4513"/>
        <w:tab w:val="right" w:pos="9026"/>
      </w:tabs>
    </w:pPr>
  </w:style>
  <w:style w:type="character" w:customStyle="1" w:styleId="FooterChar">
    <w:name w:val="Footer Char"/>
    <w:link w:val="Footer"/>
    <w:uiPriority w:val="99"/>
    <w:rsid w:val="008674D3"/>
    <w:rPr>
      <w:rFonts w:eastAsia="Times New Roman"/>
      <w:sz w:val="24"/>
      <w:szCs w:val="24"/>
      <w:lang w:eastAsia="en-US"/>
    </w:rPr>
  </w:style>
  <w:style w:type="paragraph" w:styleId="FootnoteText">
    <w:name w:val="footnote text"/>
    <w:basedOn w:val="Normal"/>
    <w:link w:val="FootnoteTextChar"/>
    <w:uiPriority w:val="99"/>
    <w:unhideWhenUsed/>
    <w:rsid w:val="001B7390"/>
    <w:rPr>
      <w:sz w:val="20"/>
      <w:szCs w:val="20"/>
    </w:rPr>
  </w:style>
  <w:style w:type="character" w:customStyle="1" w:styleId="FootnoteTextChar">
    <w:name w:val="Footnote Text Char"/>
    <w:link w:val="FootnoteText"/>
    <w:uiPriority w:val="99"/>
    <w:rsid w:val="001B7390"/>
    <w:rPr>
      <w:rFonts w:eastAsia="Times New Roman"/>
      <w:lang w:eastAsia="en-US"/>
    </w:rPr>
  </w:style>
  <w:style w:type="character" w:styleId="FootnoteReference">
    <w:name w:val="footnote reference"/>
    <w:uiPriority w:val="99"/>
    <w:semiHidden/>
    <w:unhideWhenUsed/>
    <w:rsid w:val="001B7390"/>
    <w:rPr>
      <w:vertAlign w:val="superscript"/>
    </w:rPr>
  </w:style>
  <w:style w:type="paragraph" w:styleId="BalloonText">
    <w:name w:val="Balloon Text"/>
    <w:basedOn w:val="Normal"/>
    <w:link w:val="BalloonTextChar"/>
    <w:uiPriority w:val="99"/>
    <w:semiHidden/>
    <w:unhideWhenUsed/>
    <w:rsid w:val="001D0024"/>
    <w:rPr>
      <w:rFonts w:ascii="Segoe UI" w:hAnsi="Segoe UI" w:cs="Segoe UI"/>
      <w:sz w:val="18"/>
      <w:szCs w:val="18"/>
    </w:rPr>
  </w:style>
  <w:style w:type="character" w:customStyle="1" w:styleId="BalloonTextChar">
    <w:name w:val="Balloon Text Char"/>
    <w:link w:val="BalloonText"/>
    <w:uiPriority w:val="99"/>
    <w:semiHidden/>
    <w:rsid w:val="001D0024"/>
    <w:rPr>
      <w:rFonts w:ascii="Segoe UI" w:eastAsia="Times New Roman" w:hAnsi="Segoe UI" w:cs="Segoe UI"/>
      <w:sz w:val="18"/>
      <w:szCs w:val="18"/>
      <w:lang w:eastAsia="en-US"/>
    </w:rPr>
  </w:style>
  <w:style w:type="paragraph" w:styleId="NormalWeb">
    <w:name w:val="Normal (Web)"/>
    <w:basedOn w:val="Normal"/>
    <w:uiPriority w:val="99"/>
    <w:semiHidden/>
    <w:unhideWhenUsed/>
    <w:rsid w:val="004645DA"/>
    <w:pPr>
      <w:spacing w:before="100" w:beforeAutospacing="1" w:after="100" w:afterAutospacing="1"/>
    </w:pPr>
    <w:rPr>
      <w:rFonts w:ascii="Times New Roman" w:hAnsi="Times New Roman"/>
      <w:lang w:eastAsia="en-ZA"/>
    </w:rPr>
  </w:style>
  <w:style w:type="paragraph" w:customStyle="1" w:styleId="Default">
    <w:name w:val="Default"/>
    <w:rsid w:val="008A30EA"/>
    <w:pPr>
      <w:autoSpaceDE w:val="0"/>
      <w:autoSpaceDN w:val="0"/>
      <w:adjustRightInd w:val="0"/>
    </w:pPr>
    <w:rPr>
      <w:rFonts w:eastAsia="Times New Roman" w:cs="Arial"/>
      <w:color w:val="000000"/>
      <w:sz w:val="24"/>
      <w:szCs w:val="24"/>
    </w:rPr>
  </w:style>
  <w:style w:type="numbering" w:customStyle="1" w:styleId="CurrentList1">
    <w:name w:val="Current List1"/>
    <w:uiPriority w:val="99"/>
    <w:rsid w:val="00435CC9"/>
    <w:pPr>
      <w:numPr>
        <w:numId w:val="31"/>
      </w:numPr>
    </w:pPr>
  </w:style>
  <w:style w:type="paragraph" w:styleId="EndnoteText">
    <w:name w:val="endnote text"/>
    <w:basedOn w:val="Normal"/>
    <w:link w:val="EndnoteTextChar"/>
    <w:uiPriority w:val="99"/>
    <w:semiHidden/>
    <w:unhideWhenUsed/>
    <w:rsid w:val="0073369F"/>
    <w:rPr>
      <w:sz w:val="20"/>
      <w:szCs w:val="20"/>
    </w:rPr>
  </w:style>
  <w:style w:type="character" w:customStyle="1" w:styleId="EndnoteTextChar">
    <w:name w:val="Endnote Text Char"/>
    <w:basedOn w:val="DefaultParagraphFont"/>
    <w:link w:val="EndnoteText"/>
    <w:uiPriority w:val="99"/>
    <w:semiHidden/>
    <w:rsid w:val="0073369F"/>
    <w:rPr>
      <w:rFonts w:eastAsia="Times New Roman"/>
      <w:lang w:eastAsia="en-US"/>
    </w:rPr>
  </w:style>
  <w:style w:type="character" w:styleId="EndnoteReference">
    <w:name w:val="endnote reference"/>
    <w:basedOn w:val="DefaultParagraphFont"/>
    <w:uiPriority w:val="99"/>
    <w:semiHidden/>
    <w:unhideWhenUsed/>
    <w:rsid w:val="0073369F"/>
    <w:rPr>
      <w:vertAlign w:val="superscript"/>
    </w:rPr>
  </w:style>
  <w:style w:type="character" w:styleId="CommentReference">
    <w:name w:val="annotation reference"/>
    <w:basedOn w:val="DefaultParagraphFont"/>
    <w:uiPriority w:val="99"/>
    <w:semiHidden/>
    <w:unhideWhenUsed/>
    <w:rsid w:val="006B051E"/>
    <w:rPr>
      <w:sz w:val="16"/>
      <w:szCs w:val="16"/>
    </w:rPr>
  </w:style>
  <w:style w:type="paragraph" w:styleId="CommentText">
    <w:name w:val="annotation text"/>
    <w:basedOn w:val="Normal"/>
    <w:link w:val="CommentTextChar"/>
    <w:uiPriority w:val="99"/>
    <w:semiHidden/>
    <w:unhideWhenUsed/>
    <w:rsid w:val="006B051E"/>
    <w:rPr>
      <w:sz w:val="20"/>
      <w:szCs w:val="20"/>
    </w:rPr>
  </w:style>
  <w:style w:type="character" w:customStyle="1" w:styleId="CommentTextChar">
    <w:name w:val="Comment Text Char"/>
    <w:basedOn w:val="DefaultParagraphFont"/>
    <w:link w:val="CommentText"/>
    <w:uiPriority w:val="99"/>
    <w:semiHidden/>
    <w:rsid w:val="006B051E"/>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6B051E"/>
    <w:rPr>
      <w:b/>
      <w:bCs/>
    </w:rPr>
  </w:style>
  <w:style w:type="character" w:customStyle="1" w:styleId="CommentSubjectChar">
    <w:name w:val="Comment Subject Char"/>
    <w:basedOn w:val="CommentTextChar"/>
    <w:link w:val="CommentSubject"/>
    <w:uiPriority w:val="99"/>
    <w:semiHidden/>
    <w:rsid w:val="006B051E"/>
    <w:rPr>
      <w:rFonts w:eastAsia="Times New Roman"/>
      <w:b/>
      <w:bCs/>
      <w:lang w:eastAsia="en-US"/>
    </w:rPr>
  </w:style>
  <w:style w:type="paragraph" w:styleId="Revision">
    <w:name w:val="Revision"/>
    <w:hidden/>
    <w:uiPriority w:val="99"/>
    <w:semiHidden/>
    <w:rsid w:val="00306B12"/>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97910">
      <w:bodyDiv w:val="1"/>
      <w:marLeft w:val="0"/>
      <w:marRight w:val="0"/>
      <w:marTop w:val="0"/>
      <w:marBottom w:val="0"/>
      <w:divBdr>
        <w:top w:val="none" w:sz="0" w:space="0" w:color="auto"/>
        <w:left w:val="none" w:sz="0" w:space="0" w:color="auto"/>
        <w:bottom w:val="none" w:sz="0" w:space="0" w:color="auto"/>
        <w:right w:val="none" w:sz="0" w:space="0" w:color="auto"/>
      </w:divBdr>
      <w:divsChild>
        <w:div w:id="925266364">
          <w:marLeft w:val="0"/>
          <w:marRight w:val="0"/>
          <w:marTop w:val="0"/>
          <w:marBottom w:val="0"/>
          <w:divBdr>
            <w:top w:val="none" w:sz="0" w:space="0" w:color="auto"/>
            <w:left w:val="none" w:sz="0" w:space="0" w:color="auto"/>
            <w:bottom w:val="none" w:sz="0" w:space="0" w:color="auto"/>
            <w:right w:val="none" w:sz="0" w:space="0" w:color="auto"/>
          </w:divBdr>
        </w:div>
      </w:divsChild>
    </w:div>
    <w:div w:id="415399083">
      <w:bodyDiv w:val="1"/>
      <w:marLeft w:val="0"/>
      <w:marRight w:val="0"/>
      <w:marTop w:val="0"/>
      <w:marBottom w:val="0"/>
      <w:divBdr>
        <w:top w:val="none" w:sz="0" w:space="0" w:color="auto"/>
        <w:left w:val="none" w:sz="0" w:space="0" w:color="auto"/>
        <w:bottom w:val="none" w:sz="0" w:space="0" w:color="auto"/>
        <w:right w:val="none" w:sz="0" w:space="0" w:color="auto"/>
      </w:divBdr>
      <w:divsChild>
        <w:div w:id="1192840038">
          <w:marLeft w:val="0"/>
          <w:marRight w:val="0"/>
          <w:marTop w:val="120"/>
          <w:marBottom w:val="0"/>
          <w:divBdr>
            <w:top w:val="none" w:sz="0" w:space="0" w:color="auto"/>
            <w:left w:val="none" w:sz="0" w:space="0" w:color="auto"/>
            <w:bottom w:val="none" w:sz="0" w:space="0" w:color="auto"/>
            <w:right w:val="none" w:sz="0" w:space="0" w:color="auto"/>
          </w:divBdr>
        </w:div>
      </w:divsChild>
    </w:div>
    <w:div w:id="687484058">
      <w:bodyDiv w:val="1"/>
      <w:marLeft w:val="0"/>
      <w:marRight w:val="0"/>
      <w:marTop w:val="0"/>
      <w:marBottom w:val="0"/>
      <w:divBdr>
        <w:top w:val="none" w:sz="0" w:space="0" w:color="auto"/>
        <w:left w:val="none" w:sz="0" w:space="0" w:color="auto"/>
        <w:bottom w:val="none" w:sz="0" w:space="0" w:color="auto"/>
        <w:right w:val="none" w:sz="0" w:space="0" w:color="auto"/>
      </w:divBdr>
    </w:div>
    <w:div w:id="930158385">
      <w:bodyDiv w:val="1"/>
      <w:marLeft w:val="0"/>
      <w:marRight w:val="0"/>
      <w:marTop w:val="0"/>
      <w:marBottom w:val="0"/>
      <w:divBdr>
        <w:top w:val="none" w:sz="0" w:space="0" w:color="auto"/>
        <w:left w:val="none" w:sz="0" w:space="0" w:color="auto"/>
        <w:bottom w:val="none" w:sz="0" w:space="0" w:color="auto"/>
        <w:right w:val="none" w:sz="0" w:space="0" w:color="auto"/>
      </w:divBdr>
    </w:div>
    <w:div w:id="999501784">
      <w:bodyDiv w:val="1"/>
      <w:marLeft w:val="0"/>
      <w:marRight w:val="0"/>
      <w:marTop w:val="0"/>
      <w:marBottom w:val="0"/>
      <w:divBdr>
        <w:top w:val="none" w:sz="0" w:space="0" w:color="auto"/>
        <w:left w:val="none" w:sz="0" w:space="0" w:color="auto"/>
        <w:bottom w:val="none" w:sz="0" w:space="0" w:color="auto"/>
        <w:right w:val="none" w:sz="0" w:space="0" w:color="auto"/>
      </w:divBdr>
    </w:div>
    <w:div w:id="1384016317">
      <w:bodyDiv w:val="1"/>
      <w:marLeft w:val="0"/>
      <w:marRight w:val="0"/>
      <w:marTop w:val="0"/>
      <w:marBottom w:val="0"/>
      <w:divBdr>
        <w:top w:val="none" w:sz="0" w:space="0" w:color="auto"/>
        <w:left w:val="none" w:sz="0" w:space="0" w:color="auto"/>
        <w:bottom w:val="none" w:sz="0" w:space="0" w:color="auto"/>
        <w:right w:val="none" w:sz="0" w:space="0" w:color="auto"/>
      </w:divBdr>
    </w:div>
    <w:div w:id="1923877602">
      <w:bodyDiv w:val="1"/>
      <w:marLeft w:val="0"/>
      <w:marRight w:val="0"/>
      <w:marTop w:val="0"/>
      <w:marBottom w:val="0"/>
      <w:divBdr>
        <w:top w:val="none" w:sz="0" w:space="0" w:color="auto"/>
        <w:left w:val="none" w:sz="0" w:space="0" w:color="auto"/>
        <w:bottom w:val="none" w:sz="0" w:space="0" w:color="auto"/>
        <w:right w:val="none" w:sz="0" w:space="0" w:color="auto"/>
      </w:divBdr>
    </w:div>
    <w:div w:id="1960214448">
      <w:bodyDiv w:val="1"/>
      <w:marLeft w:val="0"/>
      <w:marRight w:val="0"/>
      <w:marTop w:val="0"/>
      <w:marBottom w:val="0"/>
      <w:divBdr>
        <w:top w:val="none" w:sz="0" w:space="0" w:color="auto"/>
        <w:left w:val="none" w:sz="0" w:space="0" w:color="auto"/>
        <w:bottom w:val="none" w:sz="0" w:space="0" w:color="auto"/>
        <w:right w:val="none" w:sz="0" w:space="0" w:color="auto"/>
      </w:divBdr>
    </w:div>
    <w:div w:id="2081554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CB3E3-6FA5-4CA9-AE0F-9CA5024A1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4145</Words>
  <Characters>23631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advocate_g</dc:creator>
  <cp:keywords/>
  <dc:description/>
  <cp:lastModifiedBy>Mokone</cp:lastModifiedBy>
  <cp:revision>2</cp:revision>
  <cp:lastPrinted>2019-03-30T14:36:00Z</cp:lastPrinted>
  <dcterms:created xsi:type="dcterms:W3CDTF">2023-05-03T07:52:00Z</dcterms:created>
  <dcterms:modified xsi:type="dcterms:W3CDTF">2023-05-03T07:52:00Z</dcterms:modified>
</cp:coreProperties>
</file>