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52164" w14:textId="77777777" w:rsidR="008A30EA" w:rsidRPr="000C5487" w:rsidRDefault="008A30EA" w:rsidP="008A30EA">
      <w:pPr>
        <w:jc w:val="both"/>
        <w:outlineLvl w:val="0"/>
        <w:rPr>
          <w:rFonts w:cs="Arial"/>
          <w:u w:val="single"/>
        </w:rPr>
      </w:pPr>
      <w:bookmarkStart w:id="0" w:name="_Hlk4159271"/>
      <w:bookmarkStart w:id="1" w:name="_GoBack"/>
      <w:bookmarkEnd w:id="1"/>
    </w:p>
    <w:p w14:paraId="48CEA935" w14:textId="77777777" w:rsidR="008A30EA" w:rsidRPr="000C5487" w:rsidRDefault="008A30EA" w:rsidP="008A30EA">
      <w:pPr>
        <w:spacing w:line="360" w:lineRule="auto"/>
        <w:contextualSpacing/>
        <w:jc w:val="center"/>
        <w:rPr>
          <w:rFonts w:cs="Arial"/>
          <w:b/>
        </w:rPr>
      </w:pPr>
      <w:r w:rsidRPr="000C5487">
        <w:rPr>
          <w:noProof/>
          <w:lang w:val="en-US"/>
        </w:rPr>
        <w:drawing>
          <wp:inline distT="0" distB="0" distL="0" distR="0" wp14:anchorId="49971EAC" wp14:editId="45807B75">
            <wp:extent cx="1323975" cy="1162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inline>
        </w:drawing>
      </w:r>
    </w:p>
    <w:p w14:paraId="3B3E32B7" w14:textId="77777777" w:rsidR="008A30EA" w:rsidRPr="000C5487" w:rsidRDefault="008A30EA" w:rsidP="008A30EA">
      <w:pPr>
        <w:spacing w:line="360" w:lineRule="auto"/>
        <w:jc w:val="both"/>
        <w:outlineLvl w:val="0"/>
        <w:rPr>
          <w:rFonts w:cs="Arial"/>
          <w:b/>
        </w:rPr>
      </w:pPr>
    </w:p>
    <w:p w14:paraId="5C2C75DD" w14:textId="77777777" w:rsidR="008A30EA" w:rsidRPr="000C5487" w:rsidRDefault="008A30EA" w:rsidP="008A30EA">
      <w:pPr>
        <w:spacing w:line="360" w:lineRule="auto"/>
        <w:jc w:val="center"/>
        <w:outlineLvl w:val="0"/>
        <w:rPr>
          <w:rFonts w:cs="Arial"/>
          <w:b/>
        </w:rPr>
      </w:pPr>
      <w:bookmarkStart w:id="2" w:name="OLE_LINK5"/>
      <w:bookmarkStart w:id="3" w:name="OLE_LINK6"/>
      <w:r w:rsidRPr="000C5487">
        <w:rPr>
          <w:rFonts w:cs="Arial"/>
          <w:b/>
        </w:rPr>
        <w:t>IN THE HIGH COURT OF SOUTH AFRICA</w:t>
      </w:r>
    </w:p>
    <w:p w14:paraId="30B281E4" w14:textId="77777777" w:rsidR="008A30EA" w:rsidRPr="000C5487" w:rsidRDefault="008A30EA" w:rsidP="008A30EA">
      <w:pPr>
        <w:spacing w:line="360" w:lineRule="auto"/>
        <w:jc w:val="center"/>
        <w:outlineLvl w:val="0"/>
        <w:rPr>
          <w:rFonts w:cs="Arial"/>
          <w:b/>
        </w:rPr>
      </w:pPr>
      <w:r w:rsidRPr="000C5487">
        <w:rPr>
          <w:rFonts w:cs="Arial"/>
          <w:b/>
        </w:rPr>
        <w:t>KWAZULU-NATAL LOCAL DIVISION, DURBAN</w:t>
      </w:r>
    </w:p>
    <w:p w14:paraId="3A70AC35" w14:textId="77777777" w:rsidR="008A30EA" w:rsidRPr="000C5487" w:rsidRDefault="008A30EA" w:rsidP="008A30EA">
      <w:pPr>
        <w:spacing w:line="276" w:lineRule="auto"/>
        <w:ind w:left="4320" w:firstLine="720"/>
        <w:jc w:val="both"/>
        <w:outlineLvl w:val="0"/>
        <w:rPr>
          <w:rFonts w:cs="Arial"/>
        </w:rPr>
      </w:pPr>
    </w:p>
    <w:bookmarkEnd w:id="2"/>
    <w:bookmarkEnd w:id="3"/>
    <w:p w14:paraId="6F92CC9A" w14:textId="76B99D73" w:rsidR="00046926" w:rsidRPr="000C5487" w:rsidRDefault="00046926" w:rsidP="00046926">
      <w:pPr>
        <w:spacing w:line="276" w:lineRule="auto"/>
        <w:jc w:val="right"/>
        <w:rPr>
          <w:rFonts w:cs="Arial"/>
          <w:b/>
        </w:rPr>
      </w:pPr>
      <w:r w:rsidRPr="000C5487">
        <w:rPr>
          <w:rFonts w:cs="Arial"/>
          <w:b/>
        </w:rPr>
        <w:t xml:space="preserve">CASE NO: </w:t>
      </w:r>
      <w:r w:rsidR="00BB2C4F">
        <w:rPr>
          <w:rFonts w:cs="Arial"/>
          <w:b/>
        </w:rPr>
        <w:t>9313/2020</w:t>
      </w:r>
    </w:p>
    <w:p w14:paraId="6DC01120" w14:textId="77777777" w:rsidR="00046926" w:rsidRPr="000C5487" w:rsidRDefault="00046926" w:rsidP="00046926">
      <w:pPr>
        <w:spacing w:line="276" w:lineRule="auto"/>
        <w:jc w:val="both"/>
        <w:rPr>
          <w:rFonts w:cs="Arial"/>
        </w:rPr>
      </w:pPr>
    </w:p>
    <w:p w14:paraId="7C5DE917" w14:textId="77777777" w:rsidR="00046926" w:rsidRPr="000C5487" w:rsidRDefault="00046926" w:rsidP="00046926">
      <w:pPr>
        <w:spacing w:line="276" w:lineRule="auto"/>
        <w:jc w:val="both"/>
        <w:rPr>
          <w:rFonts w:cs="Arial"/>
        </w:rPr>
      </w:pPr>
      <w:r w:rsidRPr="000C5487">
        <w:rPr>
          <w:rFonts w:cs="Arial"/>
        </w:rPr>
        <w:t>In the matter between:</w:t>
      </w:r>
    </w:p>
    <w:p w14:paraId="39C409EC" w14:textId="77777777" w:rsidR="00046926" w:rsidRPr="000C5487" w:rsidRDefault="00046926" w:rsidP="00046926">
      <w:pPr>
        <w:tabs>
          <w:tab w:val="right" w:pos="8364"/>
        </w:tabs>
        <w:spacing w:line="276" w:lineRule="auto"/>
        <w:jc w:val="both"/>
        <w:rPr>
          <w:rFonts w:cs="Arial"/>
        </w:rPr>
      </w:pPr>
    </w:p>
    <w:p w14:paraId="30BD723C" w14:textId="491CA9C7" w:rsidR="00046926" w:rsidRPr="000C5487" w:rsidRDefault="00BB2C4F" w:rsidP="00046926">
      <w:pPr>
        <w:tabs>
          <w:tab w:val="right" w:pos="8505"/>
        </w:tabs>
        <w:spacing w:line="276" w:lineRule="auto"/>
        <w:jc w:val="both"/>
        <w:rPr>
          <w:rFonts w:cs="Arial"/>
          <w:b/>
        </w:rPr>
      </w:pPr>
      <w:r>
        <w:rPr>
          <w:rFonts w:cs="Arial"/>
          <w:b/>
        </w:rPr>
        <w:t>MAFOKO SECURITY PATROLS (PTY) LTD</w:t>
      </w:r>
      <w:r w:rsidR="00046926" w:rsidRPr="000C5487">
        <w:rPr>
          <w:rFonts w:cs="Arial"/>
          <w:b/>
        </w:rPr>
        <w:tab/>
      </w:r>
      <w:r w:rsidR="00AD3C35">
        <w:rPr>
          <w:rFonts w:cs="Arial"/>
          <w:b/>
        </w:rPr>
        <w:t>A</w:t>
      </w:r>
      <w:r w:rsidR="00AD3C35" w:rsidRPr="000C5487">
        <w:rPr>
          <w:rFonts w:cs="Arial"/>
          <w:b/>
        </w:rPr>
        <w:t>PPLICANT</w:t>
      </w:r>
    </w:p>
    <w:p w14:paraId="6ED436EB" w14:textId="77777777" w:rsidR="00046926" w:rsidRPr="000C5487" w:rsidRDefault="00046926" w:rsidP="00046926">
      <w:pPr>
        <w:tabs>
          <w:tab w:val="right" w:pos="8505"/>
        </w:tabs>
        <w:spacing w:line="276" w:lineRule="auto"/>
        <w:jc w:val="both"/>
        <w:rPr>
          <w:rFonts w:cs="Arial"/>
          <w:b/>
        </w:rPr>
      </w:pPr>
    </w:p>
    <w:p w14:paraId="5E4BCE61" w14:textId="77777777" w:rsidR="00046926" w:rsidRPr="000C5487" w:rsidRDefault="00046926" w:rsidP="00046926">
      <w:pPr>
        <w:tabs>
          <w:tab w:val="right" w:pos="8505"/>
        </w:tabs>
        <w:spacing w:line="276" w:lineRule="auto"/>
        <w:jc w:val="both"/>
        <w:rPr>
          <w:rFonts w:cs="Arial"/>
          <w:b/>
        </w:rPr>
      </w:pPr>
    </w:p>
    <w:p w14:paraId="1D394691" w14:textId="77777777" w:rsidR="00046926" w:rsidRPr="000C5487" w:rsidRDefault="00046926" w:rsidP="00046926">
      <w:pPr>
        <w:tabs>
          <w:tab w:val="right" w:pos="8364"/>
        </w:tabs>
        <w:spacing w:line="276" w:lineRule="auto"/>
        <w:jc w:val="both"/>
        <w:rPr>
          <w:rFonts w:cs="Arial"/>
        </w:rPr>
      </w:pPr>
      <w:r w:rsidRPr="000C5487">
        <w:rPr>
          <w:rFonts w:cs="Arial"/>
        </w:rPr>
        <w:t>and</w:t>
      </w:r>
    </w:p>
    <w:p w14:paraId="3954EEA9" w14:textId="77777777" w:rsidR="00046926" w:rsidRPr="000C5487" w:rsidRDefault="00046926" w:rsidP="00046926">
      <w:pPr>
        <w:tabs>
          <w:tab w:val="right" w:pos="8364"/>
        </w:tabs>
        <w:spacing w:line="276" w:lineRule="auto"/>
        <w:jc w:val="both"/>
        <w:rPr>
          <w:rFonts w:cs="Arial"/>
        </w:rPr>
      </w:pPr>
    </w:p>
    <w:p w14:paraId="0A5495E6" w14:textId="786D0829" w:rsidR="00046926" w:rsidRPr="000C5487" w:rsidRDefault="00BB2C4F" w:rsidP="00046926">
      <w:pPr>
        <w:tabs>
          <w:tab w:val="right" w:pos="8505"/>
        </w:tabs>
        <w:spacing w:line="276" w:lineRule="auto"/>
        <w:jc w:val="both"/>
        <w:rPr>
          <w:rFonts w:cs="Arial"/>
          <w:b/>
        </w:rPr>
      </w:pPr>
      <w:r>
        <w:rPr>
          <w:rFonts w:cs="Arial"/>
          <w:b/>
        </w:rPr>
        <w:t>UNIVERSITY OF KWAZULU-NATAL</w:t>
      </w:r>
      <w:r w:rsidR="00046926" w:rsidRPr="000C5487">
        <w:rPr>
          <w:rFonts w:cs="Arial"/>
          <w:b/>
          <w:color w:val="000000"/>
          <w:lang w:val="en-US"/>
        </w:rPr>
        <w:tab/>
      </w:r>
      <w:r w:rsidR="00AD3C35" w:rsidRPr="000C5487">
        <w:rPr>
          <w:rFonts w:cs="Arial"/>
          <w:b/>
        </w:rPr>
        <w:t>FIRST RESPONDENT</w:t>
      </w:r>
    </w:p>
    <w:p w14:paraId="6A075D7D" w14:textId="77777777" w:rsidR="00046926" w:rsidRPr="000C5487" w:rsidRDefault="00046926" w:rsidP="00046926">
      <w:pPr>
        <w:tabs>
          <w:tab w:val="right" w:pos="8505"/>
        </w:tabs>
        <w:spacing w:line="276" w:lineRule="auto"/>
        <w:jc w:val="both"/>
        <w:rPr>
          <w:rFonts w:cs="Arial"/>
          <w:b/>
        </w:rPr>
      </w:pPr>
    </w:p>
    <w:p w14:paraId="168D1C86" w14:textId="1E988FA2" w:rsidR="00DB59A9" w:rsidRDefault="00BB2C4F" w:rsidP="00046926">
      <w:pPr>
        <w:tabs>
          <w:tab w:val="right" w:pos="8505"/>
        </w:tabs>
        <w:spacing w:line="276" w:lineRule="auto"/>
        <w:jc w:val="both"/>
        <w:rPr>
          <w:rFonts w:cs="Arial"/>
          <w:b/>
        </w:rPr>
      </w:pPr>
      <w:r>
        <w:rPr>
          <w:rFonts w:cs="Arial"/>
          <w:b/>
        </w:rPr>
        <w:t>FIDELITY SECURITY SERVICES</w:t>
      </w:r>
      <w:r w:rsidR="00046926" w:rsidRPr="000C5487">
        <w:rPr>
          <w:rFonts w:cs="Arial"/>
          <w:b/>
        </w:rPr>
        <w:tab/>
      </w:r>
      <w:r w:rsidR="00AD3C35" w:rsidRPr="000C5487">
        <w:rPr>
          <w:rFonts w:cs="Arial"/>
          <w:b/>
        </w:rPr>
        <w:t>SECOND RESPONDENT</w:t>
      </w:r>
    </w:p>
    <w:p w14:paraId="5DCB035B" w14:textId="504C9B2A" w:rsidR="00DB59A9" w:rsidRDefault="00DB59A9" w:rsidP="00046926">
      <w:pPr>
        <w:tabs>
          <w:tab w:val="right" w:pos="8505"/>
        </w:tabs>
        <w:spacing w:line="276" w:lineRule="auto"/>
        <w:jc w:val="both"/>
        <w:rPr>
          <w:rFonts w:cs="Arial"/>
          <w:b/>
        </w:rPr>
      </w:pPr>
    </w:p>
    <w:p w14:paraId="4BF122DC" w14:textId="77777777" w:rsidR="00DB59A9" w:rsidRPr="000C5487" w:rsidRDefault="00DB59A9" w:rsidP="00DB59A9">
      <w:pPr>
        <w:tabs>
          <w:tab w:val="right" w:pos="8220"/>
        </w:tabs>
        <w:rPr>
          <w:rFonts w:cs="Arial"/>
          <w:b/>
          <w:u w:val="single"/>
          <w:lang w:val="en-US"/>
        </w:rPr>
      </w:pPr>
      <w:r w:rsidRPr="000C5487">
        <w:rPr>
          <w:rFonts w:cs="Arial"/>
          <w:b/>
          <w:u w:val="single"/>
          <w:lang w:val="en-US"/>
        </w:rPr>
        <w:tab/>
      </w:r>
    </w:p>
    <w:p w14:paraId="7CD328B0" w14:textId="77777777" w:rsidR="00DB59A9" w:rsidRPr="000C5487" w:rsidRDefault="00DB59A9" w:rsidP="00DB59A9">
      <w:pPr>
        <w:tabs>
          <w:tab w:val="right" w:pos="7938"/>
        </w:tabs>
        <w:rPr>
          <w:rFonts w:cs="Arial"/>
          <w:b/>
          <w:u w:val="single"/>
          <w:lang w:val="en-US"/>
        </w:rPr>
      </w:pPr>
    </w:p>
    <w:p w14:paraId="4BCCDA47" w14:textId="375697F4" w:rsidR="00DB59A9" w:rsidRPr="000C5487" w:rsidRDefault="00DB59A9" w:rsidP="00DB59A9">
      <w:pPr>
        <w:tabs>
          <w:tab w:val="right" w:pos="7938"/>
        </w:tabs>
        <w:jc w:val="center"/>
        <w:rPr>
          <w:rFonts w:cs="Arial"/>
          <w:b/>
          <w:lang w:val="en-US"/>
        </w:rPr>
      </w:pPr>
      <w:r>
        <w:rPr>
          <w:rFonts w:cs="Arial"/>
          <w:b/>
          <w:lang w:val="en-US"/>
        </w:rPr>
        <w:t>ORDER</w:t>
      </w:r>
    </w:p>
    <w:p w14:paraId="0CDEB6D4" w14:textId="77777777" w:rsidR="00DB59A9" w:rsidRPr="000C5487" w:rsidRDefault="00DB59A9" w:rsidP="00DB59A9">
      <w:pPr>
        <w:tabs>
          <w:tab w:val="right" w:pos="8220"/>
        </w:tabs>
        <w:jc w:val="both"/>
        <w:rPr>
          <w:rFonts w:cs="Arial"/>
          <w:lang w:val="en-US"/>
        </w:rPr>
      </w:pPr>
      <w:r w:rsidRPr="000C5487">
        <w:rPr>
          <w:rFonts w:cs="Arial"/>
          <w:b/>
          <w:u w:val="single"/>
          <w:lang w:val="en-US"/>
        </w:rPr>
        <w:tab/>
      </w:r>
    </w:p>
    <w:p w14:paraId="0C57D45B" w14:textId="77777777" w:rsidR="00DB59A9" w:rsidRDefault="00DB59A9" w:rsidP="00DB59A9">
      <w:pPr>
        <w:spacing w:line="360" w:lineRule="auto"/>
        <w:jc w:val="both"/>
        <w:rPr>
          <w:rFonts w:cs="Arial"/>
        </w:rPr>
      </w:pPr>
    </w:p>
    <w:p w14:paraId="34CAC71C" w14:textId="10104D47" w:rsidR="00DB59A9" w:rsidRPr="00DB59A9" w:rsidRDefault="00DB59A9" w:rsidP="00DB59A9">
      <w:pPr>
        <w:spacing w:line="360" w:lineRule="auto"/>
        <w:jc w:val="both"/>
        <w:rPr>
          <w:rFonts w:cs="Arial"/>
          <w:b/>
        </w:rPr>
      </w:pPr>
      <w:r w:rsidRPr="00DB59A9">
        <w:rPr>
          <w:rFonts w:cs="Arial"/>
          <w:b/>
        </w:rPr>
        <w:t>I make the following order:</w:t>
      </w:r>
    </w:p>
    <w:p w14:paraId="62455643" w14:textId="77777777" w:rsidR="00DB59A9" w:rsidRDefault="00DB59A9" w:rsidP="00DB59A9">
      <w:pPr>
        <w:spacing w:line="360" w:lineRule="auto"/>
        <w:jc w:val="both"/>
        <w:rPr>
          <w:rFonts w:cs="Arial"/>
        </w:rPr>
      </w:pPr>
    </w:p>
    <w:p w14:paraId="190B210F" w14:textId="5E6A178C" w:rsidR="00DB59A9" w:rsidRDefault="00AD283C" w:rsidP="00AD283C">
      <w:pPr>
        <w:spacing w:line="360" w:lineRule="auto"/>
        <w:ind w:left="720" w:hanging="720"/>
        <w:jc w:val="both"/>
        <w:rPr>
          <w:rFonts w:cs="Arial"/>
        </w:rPr>
      </w:pPr>
      <w:r>
        <w:rPr>
          <w:rFonts w:cs="Arial"/>
        </w:rPr>
        <w:t>(a)</w:t>
      </w:r>
      <w:r>
        <w:rPr>
          <w:rFonts w:cs="Arial"/>
        </w:rPr>
        <w:tab/>
      </w:r>
      <w:r w:rsidR="00DB59A9">
        <w:rPr>
          <w:rFonts w:cs="Arial"/>
        </w:rPr>
        <w:t xml:space="preserve">Items 19, 28, 53, 55, 57, 59, 61, 63, 65, 67, 76, 78, 83, 87, 89, 96, 98, 100, 104, 106, 108, 110, 112, 114, 116, 118, 120, 122, 124, 126, 148 and 152 </w:t>
      </w:r>
      <w:r w:rsidR="00FB4436">
        <w:rPr>
          <w:rFonts w:cs="Arial"/>
        </w:rPr>
        <w:t xml:space="preserve">of the </w:t>
      </w:r>
      <w:r w:rsidR="00DB59A9">
        <w:rPr>
          <w:rFonts w:cs="Arial"/>
        </w:rPr>
        <w:t xml:space="preserve">instructing attorney’s bill of costs, is allowed on the amended tariff. </w:t>
      </w:r>
    </w:p>
    <w:p w14:paraId="5AFFF252" w14:textId="77777777" w:rsidR="00DB59A9" w:rsidRDefault="00DB59A9" w:rsidP="00DB59A9">
      <w:pPr>
        <w:pStyle w:val="ListParagraph"/>
        <w:spacing w:line="360" w:lineRule="auto"/>
        <w:ind w:left="0"/>
        <w:jc w:val="both"/>
        <w:rPr>
          <w:rFonts w:cs="Arial"/>
        </w:rPr>
      </w:pPr>
    </w:p>
    <w:p w14:paraId="280024A2" w14:textId="0DACB756" w:rsidR="00DB59A9" w:rsidRDefault="00AD283C" w:rsidP="00AD283C">
      <w:pPr>
        <w:spacing w:line="360" w:lineRule="auto"/>
        <w:ind w:left="720" w:hanging="720"/>
        <w:jc w:val="both"/>
        <w:rPr>
          <w:rFonts w:cs="Arial"/>
        </w:rPr>
      </w:pPr>
      <w:r>
        <w:rPr>
          <w:rFonts w:cs="Arial"/>
        </w:rPr>
        <w:t>(b)</w:t>
      </w:r>
      <w:r>
        <w:rPr>
          <w:rFonts w:cs="Arial"/>
        </w:rPr>
        <w:tab/>
      </w:r>
      <w:r w:rsidR="00DB59A9">
        <w:rPr>
          <w:rFonts w:cs="Arial"/>
        </w:rPr>
        <w:t>The taxing master’s decision in respect of item</w:t>
      </w:r>
      <w:r w:rsidR="00E04170">
        <w:rPr>
          <w:rFonts w:cs="Arial"/>
        </w:rPr>
        <w:t>s</w:t>
      </w:r>
      <w:r w:rsidR="00DB59A9">
        <w:rPr>
          <w:rFonts w:cs="Arial"/>
        </w:rPr>
        <w:t xml:space="preserve"> 90 and 101 </w:t>
      </w:r>
      <w:r w:rsidR="00FB4436">
        <w:rPr>
          <w:rFonts w:cs="Arial"/>
        </w:rPr>
        <w:t xml:space="preserve">of the </w:t>
      </w:r>
      <w:r w:rsidR="00DB59A9">
        <w:rPr>
          <w:rFonts w:cs="Arial"/>
        </w:rPr>
        <w:t>instructing attorney’s bill of costs, is reviewed and set aside.</w:t>
      </w:r>
    </w:p>
    <w:p w14:paraId="288A2375" w14:textId="77777777" w:rsidR="00DB59A9" w:rsidRPr="00DF2AE7" w:rsidRDefault="00DB59A9" w:rsidP="00DB59A9">
      <w:pPr>
        <w:rPr>
          <w:rFonts w:cs="Arial"/>
        </w:rPr>
      </w:pPr>
    </w:p>
    <w:p w14:paraId="567F19B7" w14:textId="19BE1E86" w:rsidR="00DB59A9" w:rsidRDefault="00AD283C" w:rsidP="00AD283C">
      <w:pPr>
        <w:spacing w:line="360" w:lineRule="auto"/>
        <w:ind w:left="720" w:hanging="720"/>
        <w:jc w:val="both"/>
        <w:rPr>
          <w:rFonts w:cs="Arial"/>
        </w:rPr>
      </w:pPr>
      <w:r>
        <w:rPr>
          <w:rFonts w:cs="Arial"/>
        </w:rPr>
        <w:t>(c)</w:t>
      </w:r>
      <w:r>
        <w:rPr>
          <w:rFonts w:cs="Arial"/>
        </w:rPr>
        <w:tab/>
      </w:r>
      <w:r w:rsidR="00DB59A9">
        <w:rPr>
          <w:rFonts w:cs="Arial"/>
        </w:rPr>
        <w:t>With regard to items 157 and 159</w:t>
      </w:r>
      <w:r w:rsidR="00DB59A9" w:rsidRPr="00C418E0">
        <w:rPr>
          <w:rFonts w:cs="Arial"/>
        </w:rPr>
        <w:t xml:space="preserve"> </w:t>
      </w:r>
      <w:r w:rsidR="00DB59A9">
        <w:rPr>
          <w:rFonts w:cs="Arial"/>
        </w:rPr>
        <w:t>of the instructing attorney’s bill of costs, the taxing master’s ruling is upheld.</w:t>
      </w:r>
    </w:p>
    <w:p w14:paraId="650A75FE" w14:textId="77777777" w:rsidR="00DB59A9" w:rsidRPr="00DF2AE7" w:rsidRDefault="00DB59A9" w:rsidP="00A40C17">
      <w:pPr>
        <w:pStyle w:val="ListParagraph"/>
        <w:spacing w:line="360" w:lineRule="auto"/>
        <w:rPr>
          <w:rFonts w:cs="Arial"/>
        </w:rPr>
      </w:pPr>
    </w:p>
    <w:p w14:paraId="5D5D7C6B" w14:textId="5E50CAD7" w:rsidR="00DB59A9" w:rsidRDefault="00AD283C" w:rsidP="00AD283C">
      <w:pPr>
        <w:spacing w:line="360" w:lineRule="auto"/>
        <w:ind w:left="720" w:hanging="720"/>
        <w:jc w:val="both"/>
        <w:rPr>
          <w:rFonts w:cs="Arial"/>
        </w:rPr>
      </w:pPr>
      <w:r>
        <w:rPr>
          <w:rFonts w:cs="Arial"/>
        </w:rPr>
        <w:t>(d)</w:t>
      </w:r>
      <w:r>
        <w:rPr>
          <w:rFonts w:cs="Arial"/>
        </w:rPr>
        <w:tab/>
      </w:r>
      <w:r w:rsidR="00DB59A9">
        <w:rPr>
          <w:rFonts w:cs="Arial"/>
        </w:rPr>
        <w:t>With regard to item 163, the taxing master’s is set aside</w:t>
      </w:r>
      <w:r w:rsidR="00A94E2A">
        <w:rPr>
          <w:rFonts w:cs="Arial"/>
        </w:rPr>
        <w:t>,</w:t>
      </w:r>
      <w:r w:rsidR="00DB59A9">
        <w:rPr>
          <w:rFonts w:cs="Arial"/>
        </w:rPr>
        <w:t xml:space="preserve"> and </w:t>
      </w:r>
      <w:r w:rsidR="00A94E2A">
        <w:rPr>
          <w:rFonts w:cs="Arial"/>
        </w:rPr>
        <w:t xml:space="preserve">only </w:t>
      </w:r>
      <w:r w:rsidR="00DB59A9">
        <w:rPr>
          <w:rFonts w:cs="Arial"/>
        </w:rPr>
        <w:t>an amount of R60</w:t>
      </w:r>
      <w:r w:rsidR="00A94E2A">
        <w:rPr>
          <w:rFonts w:cs="Arial"/>
        </w:rPr>
        <w:t> </w:t>
      </w:r>
      <w:r w:rsidR="00DB59A9">
        <w:rPr>
          <w:rFonts w:cs="Arial"/>
        </w:rPr>
        <w:t>000</w:t>
      </w:r>
      <w:r w:rsidR="00A94E2A">
        <w:rPr>
          <w:rFonts w:cs="Arial"/>
        </w:rPr>
        <w:t xml:space="preserve"> </w:t>
      </w:r>
      <w:r w:rsidR="00DB59A9">
        <w:rPr>
          <w:rFonts w:cs="Arial"/>
        </w:rPr>
        <w:t>is taxed off. Accordingly, an amount of R</w:t>
      </w:r>
      <w:r w:rsidR="00A94E2A">
        <w:rPr>
          <w:rFonts w:cs="Arial"/>
        </w:rPr>
        <w:t>90</w:t>
      </w:r>
      <w:r w:rsidR="00DB59A9">
        <w:rPr>
          <w:rFonts w:cs="Arial"/>
        </w:rPr>
        <w:t xml:space="preserve"> 000 plus VAT in total is allowed for counsel’s fee note dated 30 September 2021. </w:t>
      </w:r>
    </w:p>
    <w:p w14:paraId="667B0B55" w14:textId="77777777" w:rsidR="00DB59A9" w:rsidRPr="00DF2AE7" w:rsidRDefault="00DB59A9" w:rsidP="00A40C17">
      <w:pPr>
        <w:pStyle w:val="ListParagraph"/>
        <w:spacing w:line="360" w:lineRule="auto"/>
        <w:rPr>
          <w:rFonts w:cs="Arial"/>
        </w:rPr>
      </w:pPr>
    </w:p>
    <w:p w14:paraId="196E9C64" w14:textId="06088EB2" w:rsidR="00DB59A9" w:rsidRDefault="00AD283C" w:rsidP="00AD283C">
      <w:pPr>
        <w:spacing w:line="360" w:lineRule="auto"/>
        <w:ind w:left="720" w:hanging="720"/>
        <w:jc w:val="both"/>
        <w:rPr>
          <w:rFonts w:cs="Arial"/>
        </w:rPr>
      </w:pPr>
      <w:r>
        <w:rPr>
          <w:rFonts w:cs="Arial"/>
        </w:rPr>
        <w:t>(e)</w:t>
      </w:r>
      <w:r>
        <w:rPr>
          <w:rFonts w:cs="Arial"/>
        </w:rPr>
        <w:tab/>
      </w:r>
      <w:r w:rsidR="00DB59A9">
        <w:rPr>
          <w:rFonts w:cs="Arial"/>
        </w:rPr>
        <w:t>With regard to the correspondent attorney’s bill of costs, the taxing master’s decision to either disallow the costs and/or reduce any of the items in the said bill of costs are reviewed and set aside; accordingly, all the costs in the said bill are allowed.</w:t>
      </w:r>
    </w:p>
    <w:p w14:paraId="43725A01" w14:textId="77777777" w:rsidR="00DB59A9" w:rsidRPr="0062304A" w:rsidRDefault="00DB59A9" w:rsidP="00A40C17">
      <w:pPr>
        <w:pStyle w:val="ListParagraph"/>
        <w:spacing w:line="360" w:lineRule="auto"/>
        <w:rPr>
          <w:rFonts w:cs="Arial"/>
        </w:rPr>
      </w:pPr>
    </w:p>
    <w:p w14:paraId="14F3C29D" w14:textId="503ED3F9" w:rsidR="00DB59A9" w:rsidRPr="00AD283C" w:rsidRDefault="00AD283C" w:rsidP="00AD283C">
      <w:pPr>
        <w:spacing w:line="360" w:lineRule="auto"/>
        <w:ind w:left="720" w:hanging="720"/>
        <w:jc w:val="both"/>
        <w:rPr>
          <w:rFonts w:cs="Arial"/>
        </w:rPr>
      </w:pPr>
      <w:r>
        <w:rPr>
          <w:rFonts w:cs="Arial"/>
        </w:rPr>
        <w:t>(f)</w:t>
      </w:r>
      <w:r>
        <w:rPr>
          <w:rFonts w:cs="Arial"/>
        </w:rPr>
        <w:tab/>
      </w:r>
      <w:r w:rsidR="00DB59A9" w:rsidRPr="00AD283C">
        <w:rPr>
          <w:rFonts w:cs="Arial"/>
        </w:rPr>
        <w:t>The allocatur of the taxing master is referred back to her to be calculated in accordance with the charges allowed on review.</w:t>
      </w:r>
    </w:p>
    <w:p w14:paraId="667DCA3D" w14:textId="77777777" w:rsidR="00DB59A9" w:rsidRPr="00C418E0" w:rsidRDefault="00DB59A9" w:rsidP="00A40C17">
      <w:pPr>
        <w:pStyle w:val="ListParagraph"/>
        <w:spacing w:line="360" w:lineRule="auto"/>
        <w:rPr>
          <w:rFonts w:cs="Arial"/>
        </w:rPr>
      </w:pPr>
    </w:p>
    <w:p w14:paraId="02C471C3" w14:textId="52F60CCF" w:rsidR="00DB59A9" w:rsidRPr="00AD283C" w:rsidRDefault="00AD283C" w:rsidP="00AD283C">
      <w:pPr>
        <w:spacing w:line="360" w:lineRule="auto"/>
        <w:ind w:left="720" w:hanging="720"/>
        <w:jc w:val="both"/>
        <w:rPr>
          <w:rFonts w:cs="Arial"/>
        </w:rPr>
      </w:pPr>
      <w:r>
        <w:rPr>
          <w:rFonts w:cs="Arial"/>
        </w:rPr>
        <w:t>(g)</w:t>
      </w:r>
      <w:r>
        <w:rPr>
          <w:rFonts w:cs="Arial"/>
        </w:rPr>
        <w:tab/>
      </w:r>
      <w:r w:rsidR="00DB59A9" w:rsidRPr="00AD283C">
        <w:rPr>
          <w:rFonts w:cs="Arial"/>
        </w:rPr>
        <w:t xml:space="preserve">No order as to costs. </w:t>
      </w:r>
    </w:p>
    <w:p w14:paraId="1A75D075" w14:textId="77777777" w:rsidR="00DB59A9" w:rsidRPr="000C5487" w:rsidRDefault="00DB59A9" w:rsidP="00046926">
      <w:pPr>
        <w:tabs>
          <w:tab w:val="right" w:pos="8505"/>
        </w:tabs>
        <w:spacing w:line="276" w:lineRule="auto"/>
        <w:jc w:val="both"/>
        <w:rPr>
          <w:rFonts w:cs="Arial"/>
          <w:b/>
        </w:rPr>
      </w:pPr>
    </w:p>
    <w:p w14:paraId="2E0B9AF4" w14:textId="77777777" w:rsidR="005337B3" w:rsidRPr="000C5487" w:rsidRDefault="005337B3" w:rsidP="005337B3">
      <w:pPr>
        <w:tabs>
          <w:tab w:val="right" w:pos="8220"/>
          <w:tab w:val="right" w:pos="8820"/>
        </w:tabs>
        <w:jc w:val="both"/>
        <w:rPr>
          <w:rFonts w:cs="Arial"/>
          <w:b/>
        </w:rPr>
      </w:pPr>
    </w:p>
    <w:p w14:paraId="0E444D46" w14:textId="77777777" w:rsidR="00D542F2" w:rsidRPr="000C5487" w:rsidRDefault="00D542F2" w:rsidP="000C55EC">
      <w:pPr>
        <w:tabs>
          <w:tab w:val="right" w:pos="8220"/>
        </w:tabs>
        <w:rPr>
          <w:rFonts w:cs="Arial"/>
          <w:b/>
          <w:u w:val="single"/>
          <w:lang w:val="en-US"/>
        </w:rPr>
      </w:pPr>
      <w:r w:rsidRPr="000C5487">
        <w:rPr>
          <w:rFonts w:cs="Arial"/>
          <w:b/>
          <w:u w:val="single"/>
          <w:lang w:val="en-US"/>
        </w:rPr>
        <w:tab/>
      </w:r>
    </w:p>
    <w:p w14:paraId="6D55269B" w14:textId="77777777" w:rsidR="00D542F2" w:rsidRPr="000C5487" w:rsidRDefault="00D542F2" w:rsidP="00D542F2">
      <w:pPr>
        <w:tabs>
          <w:tab w:val="right" w:pos="7938"/>
        </w:tabs>
        <w:rPr>
          <w:rFonts w:cs="Arial"/>
          <w:b/>
          <w:u w:val="single"/>
          <w:lang w:val="en-US"/>
        </w:rPr>
      </w:pPr>
    </w:p>
    <w:p w14:paraId="5AB44406" w14:textId="2F615AE3" w:rsidR="00D542F2" w:rsidRPr="000C5487" w:rsidRDefault="00B97620" w:rsidP="0051210E">
      <w:pPr>
        <w:tabs>
          <w:tab w:val="right" w:pos="7938"/>
        </w:tabs>
        <w:jc w:val="center"/>
        <w:rPr>
          <w:rFonts w:cs="Arial"/>
          <w:b/>
          <w:lang w:val="en-US"/>
        </w:rPr>
      </w:pPr>
      <w:r w:rsidRPr="000C5487">
        <w:rPr>
          <w:rFonts w:cs="Arial"/>
          <w:b/>
          <w:lang w:val="en-US"/>
        </w:rPr>
        <w:t>JUDGMENT</w:t>
      </w:r>
    </w:p>
    <w:p w14:paraId="50A28C85" w14:textId="77777777" w:rsidR="00D542F2" w:rsidRPr="000C5487" w:rsidRDefault="00D542F2" w:rsidP="000C55EC">
      <w:pPr>
        <w:tabs>
          <w:tab w:val="right" w:pos="8220"/>
        </w:tabs>
        <w:jc w:val="both"/>
        <w:rPr>
          <w:rFonts w:cs="Arial"/>
          <w:lang w:val="en-US"/>
        </w:rPr>
      </w:pPr>
      <w:r w:rsidRPr="000C5487">
        <w:rPr>
          <w:rFonts w:cs="Arial"/>
          <w:b/>
          <w:u w:val="single"/>
          <w:lang w:val="en-US"/>
        </w:rPr>
        <w:tab/>
      </w:r>
    </w:p>
    <w:p w14:paraId="06F5AB34" w14:textId="47146A55" w:rsidR="00FF0C26" w:rsidRDefault="00FF0C26" w:rsidP="00987D10">
      <w:pPr>
        <w:spacing w:line="360" w:lineRule="auto"/>
        <w:jc w:val="both"/>
        <w:outlineLvl w:val="0"/>
        <w:rPr>
          <w:rFonts w:cs="Arial"/>
          <w:b/>
        </w:rPr>
      </w:pPr>
    </w:p>
    <w:p w14:paraId="55F8F171" w14:textId="0F1FD28D" w:rsidR="004217AB" w:rsidRDefault="00E81C93" w:rsidP="003C729E">
      <w:pPr>
        <w:spacing w:line="360" w:lineRule="auto"/>
        <w:jc w:val="both"/>
        <w:rPr>
          <w:rFonts w:cs="Arial"/>
          <w:b/>
        </w:rPr>
      </w:pPr>
      <w:r w:rsidRPr="000C5487">
        <w:rPr>
          <w:rFonts w:cs="Arial"/>
          <w:b/>
        </w:rPr>
        <w:t>Nicholson</w:t>
      </w:r>
      <w:r w:rsidR="001D0024" w:rsidRPr="000C5487">
        <w:rPr>
          <w:rFonts w:cs="Arial"/>
          <w:b/>
        </w:rPr>
        <w:t xml:space="preserve"> AJ</w:t>
      </w:r>
    </w:p>
    <w:p w14:paraId="52DD2285" w14:textId="77777777" w:rsidR="003C729E" w:rsidRPr="000C5487" w:rsidRDefault="003C729E" w:rsidP="00A40C17">
      <w:pPr>
        <w:jc w:val="both"/>
        <w:rPr>
          <w:rFonts w:cs="Arial"/>
          <w:b/>
        </w:rPr>
      </w:pPr>
    </w:p>
    <w:bookmarkEnd w:id="0"/>
    <w:p w14:paraId="68C9AFAD" w14:textId="768B9754" w:rsidR="00B53CBD" w:rsidRDefault="00BB2C4F" w:rsidP="00FD39D3">
      <w:pPr>
        <w:numPr>
          <w:ilvl w:val="0"/>
          <w:numId w:val="3"/>
        </w:numPr>
        <w:spacing w:line="360" w:lineRule="auto"/>
        <w:ind w:left="0" w:firstLine="0"/>
        <w:jc w:val="both"/>
        <w:rPr>
          <w:rFonts w:cs="Arial"/>
        </w:rPr>
      </w:pPr>
      <w:r>
        <w:rPr>
          <w:rFonts w:cs="Arial"/>
        </w:rPr>
        <w:t>The matter that serves before me is a review of the taxing master’s allo</w:t>
      </w:r>
      <w:r w:rsidR="00FC2DD5">
        <w:rPr>
          <w:rFonts w:cs="Arial"/>
        </w:rPr>
        <w:t>c</w:t>
      </w:r>
      <w:r>
        <w:rPr>
          <w:rFonts w:cs="Arial"/>
        </w:rPr>
        <w:t xml:space="preserve">atur dated 29 August 2022 by the Second Respondent, Fidelity Security Services (“Fidelity”) in terms of </w:t>
      </w:r>
      <w:r w:rsidR="005C23E1">
        <w:rPr>
          <w:rFonts w:cs="Arial"/>
        </w:rPr>
        <w:t xml:space="preserve">Uniform </w:t>
      </w:r>
      <w:r w:rsidR="002B50BE">
        <w:rPr>
          <w:rFonts w:cs="Arial"/>
        </w:rPr>
        <w:t>r</w:t>
      </w:r>
      <w:r>
        <w:rPr>
          <w:rFonts w:cs="Arial"/>
        </w:rPr>
        <w:t>ule 48(1).</w:t>
      </w:r>
    </w:p>
    <w:p w14:paraId="75E91BF7" w14:textId="77777777" w:rsidR="00BB2C4F" w:rsidRDefault="00BB2C4F" w:rsidP="00A40C17">
      <w:pPr>
        <w:spacing w:line="360" w:lineRule="auto"/>
        <w:jc w:val="both"/>
        <w:rPr>
          <w:rFonts w:cs="Arial"/>
        </w:rPr>
      </w:pPr>
    </w:p>
    <w:p w14:paraId="6DFEF51B" w14:textId="15EFD1F7" w:rsidR="00587868" w:rsidRPr="00587868" w:rsidRDefault="00587868" w:rsidP="00587868">
      <w:pPr>
        <w:spacing w:line="360" w:lineRule="auto"/>
        <w:jc w:val="both"/>
        <w:rPr>
          <w:rFonts w:cs="Arial"/>
          <w:b/>
          <w:bCs/>
        </w:rPr>
      </w:pPr>
      <w:r w:rsidRPr="00587868">
        <w:rPr>
          <w:rFonts w:cs="Arial"/>
          <w:b/>
          <w:bCs/>
        </w:rPr>
        <w:t xml:space="preserve">Brief </w:t>
      </w:r>
      <w:r w:rsidR="00F1221A">
        <w:rPr>
          <w:rFonts w:cs="Arial"/>
          <w:b/>
          <w:bCs/>
        </w:rPr>
        <w:t>ba</w:t>
      </w:r>
      <w:r w:rsidRPr="00587868">
        <w:rPr>
          <w:rFonts w:cs="Arial"/>
          <w:b/>
          <w:bCs/>
        </w:rPr>
        <w:t>ckground</w:t>
      </w:r>
    </w:p>
    <w:p w14:paraId="1E3850AD" w14:textId="05B3FD00" w:rsidR="00BB2C4F" w:rsidRPr="009A65F8" w:rsidRDefault="00BB2C4F" w:rsidP="009A65F8">
      <w:pPr>
        <w:numPr>
          <w:ilvl w:val="0"/>
          <w:numId w:val="3"/>
        </w:numPr>
        <w:spacing w:line="360" w:lineRule="auto"/>
        <w:ind w:left="0" w:firstLine="0"/>
        <w:jc w:val="both"/>
        <w:rPr>
          <w:rFonts w:cs="Arial"/>
        </w:rPr>
      </w:pPr>
      <w:r>
        <w:rPr>
          <w:rFonts w:cs="Arial"/>
        </w:rPr>
        <w:t xml:space="preserve">Fidelity seeks to review various items in what it has </w:t>
      </w:r>
      <w:r w:rsidR="00B70FF0">
        <w:rPr>
          <w:rFonts w:cs="Arial"/>
        </w:rPr>
        <w:t>characterized as; ‘</w:t>
      </w:r>
      <w:r>
        <w:rPr>
          <w:rFonts w:cs="Arial"/>
        </w:rPr>
        <w:t>instructing attorney</w:t>
      </w:r>
      <w:r w:rsidR="002C0C0A">
        <w:rPr>
          <w:rFonts w:cs="Arial"/>
        </w:rPr>
        <w:t>’</w:t>
      </w:r>
      <w:r>
        <w:rPr>
          <w:rFonts w:cs="Arial"/>
        </w:rPr>
        <w:t>s bill of costs</w:t>
      </w:r>
      <w:r w:rsidR="00B70FF0">
        <w:rPr>
          <w:rFonts w:cs="Arial"/>
        </w:rPr>
        <w:t>’</w:t>
      </w:r>
      <w:r>
        <w:rPr>
          <w:rFonts w:cs="Arial"/>
        </w:rPr>
        <w:t xml:space="preserve"> and </w:t>
      </w:r>
      <w:r w:rsidR="00B70FF0">
        <w:rPr>
          <w:rFonts w:cs="Arial"/>
        </w:rPr>
        <w:t>‘</w:t>
      </w:r>
      <w:r>
        <w:rPr>
          <w:rFonts w:cs="Arial"/>
        </w:rPr>
        <w:t>correspondent attorney</w:t>
      </w:r>
      <w:r w:rsidR="002C0C0A">
        <w:rPr>
          <w:rFonts w:cs="Arial"/>
        </w:rPr>
        <w:t>’</w:t>
      </w:r>
      <w:r>
        <w:rPr>
          <w:rFonts w:cs="Arial"/>
        </w:rPr>
        <w:t>s bill of costs</w:t>
      </w:r>
      <w:r w:rsidR="00B70FF0">
        <w:rPr>
          <w:rFonts w:cs="Arial"/>
        </w:rPr>
        <w:t>’</w:t>
      </w:r>
      <w:r>
        <w:rPr>
          <w:rFonts w:cs="Arial"/>
        </w:rPr>
        <w:t>.</w:t>
      </w:r>
      <w:r w:rsidR="009A65F8">
        <w:rPr>
          <w:rFonts w:cs="Arial"/>
        </w:rPr>
        <w:t xml:space="preserve"> </w:t>
      </w:r>
      <w:r w:rsidRPr="009A65F8">
        <w:rPr>
          <w:rFonts w:cs="Arial"/>
        </w:rPr>
        <w:t xml:space="preserve">This matter </w:t>
      </w:r>
      <w:r w:rsidR="00587868">
        <w:rPr>
          <w:rFonts w:cs="Arial"/>
        </w:rPr>
        <w:t xml:space="preserve">previously </w:t>
      </w:r>
      <w:r w:rsidRPr="009A65F8">
        <w:rPr>
          <w:rFonts w:cs="Arial"/>
        </w:rPr>
        <w:t xml:space="preserve">served before the High Court on 14 September 2021 when the Applicant was granted leave to withdraw </w:t>
      </w:r>
      <w:r w:rsidR="00D906AB">
        <w:rPr>
          <w:rFonts w:cs="Arial"/>
        </w:rPr>
        <w:t xml:space="preserve">its </w:t>
      </w:r>
      <w:r w:rsidRPr="009A65F8">
        <w:rPr>
          <w:rFonts w:cs="Arial"/>
        </w:rPr>
        <w:t xml:space="preserve">application in its entirety </w:t>
      </w:r>
      <w:r w:rsidRPr="009A65F8">
        <w:rPr>
          <w:rFonts w:cs="Arial"/>
        </w:rPr>
        <w:lastRenderedPageBreak/>
        <w:t xml:space="preserve">and ordered to pay the costs of the application. Accordingly, </w:t>
      </w:r>
      <w:r w:rsidR="00173010">
        <w:rPr>
          <w:rFonts w:cs="Arial"/>
        </w:rPr>
        <w:t xml:space="preserve">the </w:t>
      </w:r>
      <w:r w:rsidRPr="009A65F8">
        <w:rPr>
          <w:rFonts w:cs="Arial"/>
        </w:rPr>
        <w:t xml:space="preserve">First and Second Respondents were awarded costs on a party and party scale. </w:t>
      </w:r>
    </w:p>
    <w:p w14:paraId="496BF5B4" w14:textId="00349476" w:rsidR="00BB2C4F" w:rsidRDefault="00BB2C4F" w:rsidP="00A40C17">
      <w:pPr>
        <w:spacing w:line="360" w:lineRule="auto"/>
        <w:rPr>
          <w:rFonts w:cs="Arial"/>
        </w:rPr>
      </w:pPr>
    </w:p>
    <w:p w14:paraId="7C301B1A" w14:textId="1492A3A9" w:rsidR="00BB2C4F" w:rsidRPr="00BB2C4F" w:rsidRDefault="00BB2C4F" w:rsidP="00BB2C4F">
      <w:pPr>
        <w:spacing w:line="360" w:lineRule="auto"/>
        <w:rPr>
          <w:rFonts w:cs="Arial"/>
          <w:b/>
          <w:bCs/>
        </w:rPr>
      </w:pPr>
      <w:r w:rsidRPr="00BB2C4F">
        <w:rPr>
          <w:rFonts w:cs="Arial"/>
          <w:b/>
          <w:bCs/>
        </w:rPr>
        <w:t xml:space="preserve">General </w:t>
      </w:r>
      <w:r w:rsidR="00F1221A">
        <w:rPr>
          <w:rFonts w:cs="Arial"/>
          <w:b/>
          <w:bCs/>
        </w:rPr>
        <w:t>p</w:t>
      </w:r>
      <w:r w:rsidRPr="00BB2C4F">
        <w:rPr>
          <w:rFonts w:cs="Arial"/>
          <w:b/>
          <w:bCs/>
        </w:rPr>
        <w:t>rinciples</w:t>
      </w:r>
    </w:p>
    <w:p w14:paraId="20D5461F" w14:textId="3B5F826E" w:rsidR="00EF019A" w:rsidRPr="00EF019A" w:rsidRDefault="00EF019A" w:rsidP="00EF019A">
      <w:pPr>
        <w:numPr>
          <w:ilvl w:val="0"/>
          <w:numId w:val="3"/>
        </w:numPr>
        <w:spacing w:line="360" w:lineRule="auto"/>
        <w:ind w:left="0" w:firstLine="0"/>
        <w:jc w:val="both"/>
        <w:rPr>
          <w:rFonts w:cs="Arial"/>
        </w:rPr>
      </w:pPr>
      <w:r w:rsidRPr="00EF019A">
        <w:rPr>
          <w:rFonts w:cs="Arial"/>
        </w:rPr>
        <w:t xml:space="preserve">Advocates’ fees, which are usually reflected as disbursements in the attorney’s bill of costs, are taxed in accordance with </w:t>
      </w:r>
      <w:r w:rsidR="00DB59A9">
        <w:rPr>
          <w:rFonts w:cs="Arial"/>
        </w:rPr>
        <w:t>r</w:t>
      </w:r>
      <w:r w:rsidRPr="00EF019A">
        <w:rPr>
          <w:rFonts w:cs="Arial"/>
        </w:rPr>
        <w:t>ule 69(5)</w:t>
      </w:r>
      <w:r w:rsidR="00DF786D">
        <w:rPr>
          <w:rFonts w:cs="Arial"/>
        </w:rPr>
        <w:t xml:space="preserve"> </w:t>
      </w:r>
      <w:r w:rsidR="006300CB">
        <w:rPr>
          <w:rFonts w:cs="Arial"/>
        </w:rPr>
        <w:t xml:space="preserve">which </w:t>
      </w:r>
      <w:r w:rsidRPr="00EF019A">
        <w:rPr>
          <w:rFonts w:cs="Arial"/>
        </w:rPr>
        <w:t>provides:</w:t>
      </w:r>
    </w:p>
    <w:p w14:paraId="063A03C8" w14:textId="791E6AC9" w:rsidR="00EF019A" w:rsidRPr="00EF019A" w:rsidRDefault="00EF019A" w:rsidP="00EF019A">
      <w:pPr>
        <w:spacing w:line="360" w:lineRule="auto"/>
        <w:jc w:val="both"/>
        <w:rPr>
          <w:rFonts w:cs="Arial"/>
          <w:sz w:val="22"/>
          <w:szCs w:val="22"/>
        </w:rPr>
      </w:pPr>
      <w:r w:rsidRPr="00EF019A">
        <w:rPr>
          <w:rFonts w:cs="Arial"/>
          <w:sz w:val="22"/>
          <w:szCs w:val="22"/>
        </w:rPr>
        <w:t xml:space="preserve">‘The taxation of advocates’ fees as between party and party shall be effected by the taxing master in accordance with this rule and, where applicable, the tariff. Where the tariff does not apply, he shall allow such fees (not necessarily in excess thereof) as he considers reasonable.’   </w:t>
      </w:r>
    </w:p>
    <w:p w14:paraId="4514330E" w14:textId="77777777" w:rsidR="00EF019A" w:rsidRDefault="00EF019A" w:rsidP="00A40C17">
      <w:pPr>
        <w:spacing w:line="360" w:lineRule="auto"/>
        <w:jc w:val="both"/>
        <w:rPr>
          <w:rFonts w:cs="Arial"/>
        </w:rPr>
      </w:pPr>
    </w:p>
    <w:p w14:paraId="0DC7EA16" w14:textId="2824E475" w:rsidR="00BB2C4F" w:rsidRDefault="00BB2C4F" w:rsidP="00FD39D3">
      <w:pPr>
        <w:numPr>
          <w:ilvl w:val="0"/>
          <w:numId w:val="3"/>
        </w:numPr>
        <w:spacing w:line="360" w:lineRule="auto"/>
        <w:ind w:left="0" w:firstLine="0"/>
        <w:jc w:val="both"/>
        <w:rPr>
          <w:rFonts w:cs="Arial"/>
        </w:rPr>
      </w:pPr>
      <w:r>
        <w:rPr>
          <w:rFonts w:cs="Arial"/>
        </w:rPr>
        <w:t xml:space="preserve">The rule that </w:t>
      </w:r>
      <w:r w:rsidR="00CA6B00">
        <w:rPr>
          <w:rFonts w:cs="Arial"/>
        </w:rPr>
        <w:t>governs taxation of attorneys</w:t>
      </w:r>
      <w:r w:rsidR="00587868">
        <w:rPr>
          <w:rFonts w:cs="Arial"/>
        </w:rPr>
        <w:t>’</w:t>
      </w:r>
      <w:r w:rsidR="00CA6B00">
        <w:rPr>
          <w:rFonts w:cs="Arial"/>
        </w:rPr>
        <w:t xml:space="preserve"> fees is </w:t>
      </w:r>
      <w:r w:rsidR="00F1221A">
        <w:rPr>
          <w:rFonts w:cs="Arial"/>
        </w:rPr>
        <w:t>r</w:t>
      </w:r>
      <w:r w:rsidR="00CA6B00">
        <w:rPr>
          <w:rFonts w:cs="Arial"/>
        </w:rPr>
        <w:t xml:space="preserve">ule </w:t>
      </w:r>
      <w:r w:rsidR="00DB59A9">
        <w:rPr>
          <w:rFonts w:cs="Arial"/>
        </w:rPr>
        <w:t>70. The</w:t>
      </w:r>
      <w:r w:rsidR="00CA6B00">
        <w:rPr>
          <w:rFonts w:cs="Arial"/>
        </w:rPr>
        <w:t xml:space="preserve"> relevant portion of the rule reads:</w:t>
      </w:r>
    </w:p>
    <w:p w14:paraId="5C2E0A9E" w14:textId="77777777" w:rsidR="00FC2DD5" w:rsidRDefault="00CA6B00" w:rsidP="00CA6B00">
      <w:pPr>
        <w:spacing w:line="360" w:lineRule="auto"/>
        <w:jc w:val="both"/>
        <w:rPr>
          <w:rFonts w:cs="Arial"/>
          <w:sz w:val="22"/>
          <w:szCs w:val="22"/>
        </w:rPr>
      </w:pPr>
      <w:r>
        <w:rPr>
          <w:rFonts w:cs="Arial"/>
          <w:sz w:val="22"/>
          <w:szCs w:val="22"/>
        </w:rPr>
        <w:t>‘</w:t>
      </w:r>
      <w:r>
        <w:rPr>
          <w:rFonts w:cs="Arial"/>
          <w:b/>
          <w:sz w:val="22"/>
          <w:szCs w:val="22"/>
        </w:rPr>
        <w:t>70</w:t>
      </w:r>
      <w:r w:rsidRPr="007F07CF">
        <w:rPr>
          <w:rFonts w:cs="Arial"/>
          <w:b/>
          <w:sz w:val="22"/>
          <w:szCs w:val="22"/>
        </w:rPr>
        <w:t xml:space="preserve">. </w:t>
      </w:r>
      <w:r>
        <w:rPr>
          <w:rFonts w:cs="Arial"/>
          <w:b/>
          <w:sz w:val="22"/>
          <w:szCs w:val="22"/>
        </w:rPr>
        <w:t>Taxation and tariff of fees of attorneys</w:t>
      </w:r>
      <w:r w:rsidRPr="007F07CF">
        <w:rPr>
          <w:rFonts w:cs="Arial"/>
          <w:b/>
          <w:sz w:val="22"/>
          <w:szCs w:val="22"/>
        </w:rPr>
        <w:t xml:space="preserve"> </w:t>
      </w:r>
      <w:r>
        <w:rPr>
          <w:rFonts w:cs="Arial"/>
          <w:sz w:val="22"/>
          <w:szCs w:val="22"/>
        </w:rPr>
        <w:t xml:space="preserve"> </w:t>
      </w:r>
    </w:p>
    <w:p w14:paraId="426C5A85" w14:textId="7B3590BC" w:rsidR="00CA6B00" w:rsidRDefault="00CA6B00" w:rsidP="00CA6B00">
      <w:pPr>
        <w:spacing w:line="360" w:lineRule="auto"/>
        <w:jc w:val="both"/>
        <w:rPr>
          <w:rFonts w:cs="Arial"/>
          <w:sz w:val="22"/>
          <w:szCs w:val="22"/>
        </w:rPr>
      </w:pPr>
      <w:r w:rsidRPr="00853EE6">
        <w:rPr>
          <w:rFonts w:cs="Arial"/>
          <w:sz w:val="22"/>
          <w:szCs w:val="22"/>
        </w:rPr>
        <w:t>(1)</w:t>
      </w:r>
      <w:r w:rsidR="00FC2DD5" w:rsidRPr="00FC2DD5">
        <w:rPr>
          <w:rFonts w:cs="Arial"/>
          <w:i/>
          <w:sz w:val="22"/>
          <w:szCs w:val="22"/>
        </w:rPr>
        <w:t>(a)</w:t>
      </w:r>
      <w:r w:rsidR="00FC2DD5">
        <w:rPr>
          <w:rFonts w:cs="Arial"/>
          <w:sz w:val="22"/>
          <w:szCs w:val="22"/>
        </w:rPr>
        <w:tab/>
      </w:r>
      <w:r w:rsidR="002301B0" w:rsidRPr="002301B0">
        <w:rPr>
          <w:rFonts w:cs="Arial"/>
          <w:sz w:val="22"/>
          <w:szCs w:val="22"/>
        </w:rPr>
        <w:t xml:space="preserve">The taxing master shall be competent to tax any bill of costs for services actually rendered by an attorney in his capacity as such in connection with litigious work and such bill shall be taxed subject to the provisions of subrule (5), in accordance with the provisions of the appended </w:t>
      </w:r>
      <w:r w:rsidR="00FC2DD5" w:rsidRPr="002301B0">
        <w:rPr>
          <w:rFonts w:cs="Arial"/>
          <w:sz w:val="22"/>
          <w:szCs w:val="22"/>
        </w:rPr>
        <w:t>tariff; ...</w:t>
      </w:r>
    </w:p>
    <w:p w14:paraId="460F3B6E" w14:textId="5167B61D" w:rsidR="00FC2DD5" w:rsidRDefault="00FC2DD5" w:rsidP="00CA6B00">
      <w:pPr>
        <w:spacing w:line="360" w:lineRule="auto"/>
        <w:jc w:val="both"/>
        <w:rPr>
          <w:rFonts w:cs="Arial"/>
          <w:sz w:val="22"/>
          <w:szCs w:val="22"/>
        </w:rPr>
      </w:pPr>
      <w:r>
        <w:rPr>
          <w:rFonts w:cs="Arial"/>
          <w:sz w:val="22"/>
          <w:szCs w:val="22"/>
        </w:rPr>
        <w:t>…</w:t>
      </w:r>
    </w:p>
    <w:p w14:paraId="06A24755" w14:textId="7BE9ECF0" w:rsidR="002301B0" w:rsidRDefault="00CA6B00" w:rsidP="00CA6B00">
      <w:pPr>
        <w:spacing w:line="360" w:lineRule="auto"/>
        <w:jc w:val="both"/>
        <w:rPr>
          <w:rFonts w:cs="Arial"/>
          <w:sz w:val="22"/>
          <w:szCs w:val="22"/>
        </w:rPr>
      </w:pPr>
      <w:r>
        <w:rPr>
          <w:rFonts w:cs="Arial"/>
          <w:sz w:val="22"/>
          <w:szCs w:val="22"/>
        </w:rPr>
        <w:t>(3)</w:t>
      </w:r>
      <w:r>
        <w:rPr>
          <w:rFonts w:cs="Arial"/>
          <w:sz w:val="22"/>
          <w:szCs w:val="22"/>
        </w:rPr>
        <w:tab/>
      </w:r>
      <w:r w:rsidR="00FC2DD5">
        <w:rPr>
          <w:rFonts w:cs="Arial"/>
          <w:sz w:val="22"/>
          <w:szCs w:val="22"/>
        </w:rPr>
        <w:t>W</w:t>
      </w:r>
      <w:r>
        <w:rPr>
          <w:rFonts w:cs="Arial"/>
          <w:sz w:val="22"/>
          <w:szCs w:val="22"/>
        </w:rPr>
        <w:t>ith a view to affording the party who has been awarded an order for costs</w:t>
      </w:r>
      <w:r w:rsidR="00FC2DD5">
        <w:rPr>
          <w:rFonts w:cs="Arial"/>
          <w:sz w:val="22"/>
          <w:szCs w:val="22"/>
        </w:rPr>
        <w:t xml:space="preserve"> </w:t>
      </w:r>
      <w:r>
        <w:rPr>
          <w:rFonts w:cs="Arial"/>
          <w:sz w:val="22"/>
          <w:szCs w:val="22"/>
        </w:rPr>
        <w:t>a full indemnity for all costs reasonably incurred by him in relation to his claim or defence and to ensure that all such costs shall be borne by the party against whom such order has been awarded, the taxing master shall, on every taxation, allow all such costs, charges and expenses as appear to him to have been necessar</w:t>
      </w:r>
      <w:r w:rsidR="00FC2DD5">
        <w:rPr>
          <w:rFonts w:cs="Arial"/>
          <w:sz w:val="22"/>
          <w:szCs w:val="22"/>
        </w:rPr>
        <w:t>y</w:t>
      </w:r>
      <w:r>
        <w:rPr>
          <w:rFonts w:cs="Arial"/>
          <w:sz w:val="22"/>
          <w:szCs w:val="22"/>
        </w:rPr>
        <w:t xml:space="preserve"> or proper for the attainment of justice or for defending the rights of any party, but save as against </w:t>
      </w:r>
      <w:r w:rsidR="002536B0">
        <w:rPr>
          <w:rFonts w:cs="Arial"/>
          <w:sz w:val="22"/>
          <w:szCs w:val="22"/>
        </w:rPr>
        <w:t>the party who incurred the same, no costs shall be allowed which appear to the taxing master to have</w:t>
      </w:r>
      <w:r w:rsidR="00FC2DD5">
        <w:rPr>
          <w:rFonts w:cs="Arial"/>
          <w:sz w:val="22"/>
          <w:szCs w:val="22"/>
        </w:rPr>
        <w:t xml:space="preserve"> been</w:t>
      </w:r>
      <w:r w:rsidR="002536B0">
        <w:rPr>
          <w:rFonts w:cs="Arial"/>
          <w:sz w:val="22"/>
          <w:szCs w:val="22"/>
        </w:rPr>
        <w:t xml:space="preserve"> incurred or increased through over-caution, negligence or mistake, or by payment of a special fee to an advocate, or special charges and expenses to witnesses or to other persons or by other unusual expenses.</w:t>
      </w:r>
    </w:p>
    <w:p w14:paraId="17BEA30D" w14:textId="0781D842" w:rsidR="00FC2DD5" w:rsidRDefault="00FC2DD5" w:rsidP="00CA6B00">
      <w:pPr>
        <w:spacing w:line="360" w:lineRule="auto"/>
        <w:jc w:val="both"/>
        <w:rPr>
          <w:rFonts w:cs="Arial"/>
          <w:sz w:val="22"/>
          <w:szCs w:val="22"/>
        </w:rPr>
      </w:pPr>
      <w:r>
        <w:rPr>
          <w:rFonts w:cs="Arial"/>
          <w:sz w:val="22"/>
          <w:szCs w:val="22"/>
        </w:rPr>
        <w:t>…</w:t>
      </w:r>
    </w:p>
    <w:p w14:paraId="438AE05A" w14:textId="421066FF" w:rsidR="00CA6B00" w:rsidRPr="00853EE6" w:rsidRDefault="002301B0" w:rsidP="002301B0">
      <w:pPr>
        <w:spacing w:line="360" w:lineRule="auto"/>
        <w:jc w:val="both"/>
        <w:rPr>
          <w:rFonts w:cs="Arial"/>
          <w:sz w:val="22"/>
          <w:szCs w:val="22"/>
        </w:rPr>
      </w:pPr>
      <w:r w:rsidRPr="002301B0">
        <w:rPr>
          <w:rFonts w:cs="Arial"/>
          <w:sz w:val="22"/>
          <w:szCs w:val="22"/>
        </w:rPr>
        <w:t>(5)</w:t>
      </w:r>
      <w:r w:rsidRPr="00FC2DD5">
        <w:rPr>
          <w:rFonts w:cs="Arial"/>
          <w:i/>
          <w:sz w:val="22"/>
          <w:szCs w:val="22"/>
        </w:rPr>
        <w:t>(a)</w:t>
      </w:r>
      <w:r w:rsidR="009971FC">
        <w:rPr>
          <w:rFonts w:cs="Arial"/>
          <w:sz w:val="22"/>
          <w:szCs w:val="22"/>
        </w:rPr>
        <w:t xml:space="preserve"> </w:t>
      </w:r>
      <w:r w:rsidRPr="002301B0">
        <w:rPr>
          <w:rFonts w:cs="Arial"/>
          <w:sz w:val="22"/>
          <w:szCs w:val="22"/>
        </w:rPr>
        <w:t>The taxing master shall be entitled, in his discretion, at any time to depart from any of the provisions of this tariff in extraordinary or exceptional cases, where strict adherence to such provisions would be inequitable.’</w:t>
      </w:r>
    </w:p>
    <w:p w14:paraId="7F4358C6" w14:textId="55B1A21C" w:rsidR="00CA6B00" w:rsidRDefault="00CA6B00" w:rsidP="00CA6B00">
      <w:pPr>
        <w:spacing w:line="360" w:lineRule="auto"/>
        <w:jc w:val="both"/>
        <w:rPr>
          <w:rFonts w:cs="Arial"/>
        </w:rPr>
      </w:pPr>
    </w:p>
    <w:p w14:paraId="7618396F" w14:textId="622924E4" w:rsidR="00CA6B00" w:rsidRPr="002536B0" w:rsidRDefault="002536B0" w:rsidP="00FD39D3">
      <w:pPr>
        <w:numPr>
          <w:ilvl w:val="0"/>
          <w:numId w:val="3"/>
        </w:numPr>
        <w:spacing w:line="360" w:lineRule="auto"/>
        <w:ind w:left="0" w:firstLine="0"/>
        <w:jc w:val="both"/>
        <w:rPr>
          <w:rFonts w:cs="Arial"/>
        </w:rPr>
      </w:pPr>
      <w:r>
        <w:rPr>
          <w:rFonts w:cs="Arial"/>
        </w:rPr>
        <w:lastRenderedPageBreak/>
        <w:t xml:space="preserve">It is trite that a taxing master enjoys a wide discretion to allow, reduce or reject any items in a bill of costs. It is axiomatic that such discretion must be exercised judicially. The taxing master’s discretion was </w:t>
      </w:r>
      <w:r w:rsidR="009A65F8">
        <w:rPr>
          <w:rFonts w:cs="Arial"/>
        </w:rPr>
        <w:t xml:space="preserve">aptly </w:t>
      </w:r>
      <w:r>
        <w:rPr>
          <w:rFonts w:cs="Arial"/>
        </w:rPr>
        <w:t>described in C</w:t>
      </w:r>
      <w:r>
        <w:rPr>
          <w:rFonts w:cs="Arial"/>
          <w:i/>
          <w:iCs/>
        </w:rPr>
        <w:t>ity of Cape Town v Arun Property Development (Pty) Ltd and Another</w:t>
      </w:r>
      <w:r w:rsidR="003776AA" w:rsidRPr="003776AA">
        <w:rPr>
          <w:rStyle w:val="FootnoteReference"/>
          <w:rFonts w:cs="Arial"/>
          <w:iCs/>
        </w:rPr>
        <w:footnoteReference w:id="1"/>
      </w:r>
      <w:r>
        <w:rPr>
          <w:rFonts w:cs="Arial"/>
          <w:i/>
          <w:iCs/>
        </w:rPr>
        <w:t xml:space="preserve"> </w:t>
      </w:r>
      <w:r w:rsidR="009A65F8">
        <w:t>where the court held</w:t>
      </w:r>
      <w:r>
        <w:t>:</w:t>
      </w:r>
    </w:p>
    <w:p w14:paraId="6C8E1DE3" w14:textId="244E41CE" w:rsidR="002536B0" w:rsidRDefault="002536B0" w:rsidP="002536B0">
      <w:pPr>
        <w:spacing w:line="360" w:lineRule="auto"/>
        <w:jc w:val="both"/>
        <w:rPr>
          <w:rFonts w:cs="Arial"/>
          <w:sz w:val="22"/>
        </w:rPr>
      </w:pPr>
      <w:r w:rsidRPr="002536B0">
        <w:rPr>
          <w:rFonts w:cs="Arial"/>
          <w:sz w:val="22"/>
        </w:rPr>
        <w:t>‘</w:t>
      </w:r>
      <w:r w:rsidR="003776AA">
        <w:rPr>
          <w:rFonts w:cs="Arial"/>
          <w:sz w:val="22"/>
        </w:rPr>
        <w:t xml:space="preserve">[17] </w:t>
      </w:r>
      <w:r>
        <w:rPr>
          <w:rFonts w:cs="Arial"/>
          <w:sz w:val="22"/>
        </w:rPr>
        <w:t>T</w:t>
      </w:r>
      <w:r w:rsidRPr="002536B0">
        <w:rPr>
          <w:rFonts w:cs="Arial"/>
          <w:sz w:val="22"/>
        </w:rPr>
        <w:t xml:space="preserve">he </w:t>
      </w:r>
      <w:r>
        <w:rPr>
          <w:rFonts w:cs="Arial"/>
          <w:sz w:val="22"/>
        </w:rPr>
        <w:t xml:space="preserve">taxing master has discretion to allow, reduce or reject items in a bill of costs. She must exercise this discretion judicially in the sense that she must act reasonably, justly </w:t>
      </w:r>
      <w:r w:rsidR="00FC2DD5">
        <w:rPr>
          <w:rFonts w:cs="Arial"/>
          <w:sz w:val="22"/>
        </w:rPr>
        <w:t xml:space="preserve">and </w:t>
      </w:r>
      <w:r>
        <w:rPr>
          <w:rFonts w:cs="Arial"/>
          <w:sz w:val="22"/>
        </w:rPr>
        <w:t>on the basis of sound principles with due regard to all the circumstances of th</w:t>
      </w:r>
      <w:r w:rsidR="003776AA">
        <w:rPr>
          <w:rFonts w:cs="Arial"/>
          <w:sz w:val="22"/>
        </w:rPr>
        <w:t>e</w:t>
      </w:r>
      <w:r>
        <w:rPr>
          <w:rFonts w:cs="Arial"/>
          <w:sz w:val="22"/>
        </w:rPr>
        <w:t xml:space="preserve"> case. Where the discretion is not </w:t>
      </w:r>
      <w:r w:rsidR="003776AA">
        <w:rPr>
          <w:rFonts w:cs="Arial"/>
          <w:sz w:val="22"/>
        </w:rPr>
        <w:t xml:space="preserve">so </w:t>
      </w:r>
      <w:r>
        <w:rPr>
          <w:rFonts w:cs="Arial"/>
          <w:sz w:val="22"/>
        </w:rPr>
        <w:t xml:space="preserve">exercised, </w:t>
      </w:r>
      <w:r w:rsidR="003776AA">
        <w:rPr>
          <w:rFonts w:cs="Arial"/>
          <w:sz w:val="22"/>
        </w:rPr>
        <w:t>her</w:t>
      </w:r>
      <w:r>
        <w:rPr>
          <w:rFonts w:cs="Arial"/>
          <w:sz w:val="22"/>
        </w:rPr>
        <w:t xml:space="preserve"> decision will be subject to review. In addition, even where she has exercised </w:t>
      </w:r>
      <w:r w:rsidR="003776AA">
        <w:rPr>
          <w:rFonts w:cs="Arial"/>
          <w:sz w:val="22"/>
        </w:rPr>
        <w:t>her</w:t>
      </w:r>
      <w:r>
        <w:rPr>
          <w:rFonts w:cs="Arial"/>
          <w:sz w:val="22"/>
        </w:rPr>
        <w:t xml:space="preserve"> discretion properly, a </w:t>
      </w:r>
      <w:r w:rsidR="003776AA">
        <w:rPr>
          <w:rFonts w:cs="Arial"/>
          <w:sz w:val="22"/>
        </w:rPr>
        <w:t>c</w:t>
      </w:r>
      <w:r>
        <w:rPr>
          <w:rFonts w:cs="Arial"/>
          <w:sz w:val="22"/>
        </w:rPr>
        <w:t xml:space="preserve">ourt on review will be entitled to interfere where </w:t>
      </w:r>
      <w:r w:rsidR="003776AA">
        <w:rPr>
          <w:rFonts w:cs="Arial"/>
          <w:sz w:val="22"/>
        </w:rPr>
        <w:t>her</w:t>
      </w:r>
      <w:r>
        <w:rPr>
          <w:rFonts w:cs="Arial"/>
          <w:sz w:val="22"/>
        </w:rPr>
        <w:t xml:space="preserve"> decision is based on a misinterpretation of </w:t>
      </w:r>
      <w:r w:rsidR="003776AA">
        <w:rPr>
          <w:rFonts w:cs="Arial"/>
          <w:sz w:val="22"/>
        </w:rPr>
        <w:t xml:space="preserve">the </w:t>
      </w:r>
      <w:r>
        <w:rPr>
          <w:rFonts w:cs="Arial"/>
          <w:sz w:val="22"/>
        </w:rPr>
        <w:t xml:space="preserve">law or </w:t>
      </w:r>
      <w:r w:rsidR="003776AA">
        <w:rPr>
          <w:rFonts w:cs="Arial"/>
          <w:sz w:val="22"/>
        </w:rPr>
        <w:t xml:space="preserve">on </w:t>
      </w:r>
      <w:r>
        <w:rPr>
          <w:rFonts w:cs="Arial"/>
          <w:sz w:val="22"/>
        </w:rPr>
        <w:t xml:space="preserve">a misconception as to the facts and circumstances, or as </w:t>
      </w:r>
      <w:r w:rsidR="00E170BE">
        <w:rPr>
          <w:rFonts w:cs="Arial"/>
          <w:sz w:val="22"/>
        </w:rPr>
        <w:t xml:space="preserve">to </w:t>
      </w:r>
      <w:r>
        <w:rPr>
          <w:rFonts w:cs="Arial"/>
          <w:sz w:val="22"/>
        </w:rPr>
        <w:t xml:space="preserve">the practice of the </w:t>
      </w:r>
      <w:r w:rsidR="003776AA">
        <w:rPr>
          <w:rFonts w:cs="Arial"/>
          <w:sz w:val="22"/>
        </w:rPr>
        <w:t>c</w:t>
      </w:r>
      <w:r>
        <w:rPr>
          <w:rFonts w:cs="Arial"/>
          <w:sz w:val="22"/>
        </w:rPr>
        <w:t>ourt.’</w:t>
      </w:r>
    </w:p>
    <w:p w14:paraId="055D52BC" w14:textId="77777777" w:rsidR="009A65F8" w:rsidRPr="00A40C17" w:rsidRDefault="009A65F8" w:rsidP="00A40C17">
      <w:pPr>
        <w:spacing w:line="360" w:lineRule="auto"/>
        <w:jc w:val="both"/>
        <w:rPr>
          <w:rFonts w:cs="Arial"/>
        </w:rPr>
      </w:pPr>
    </w:p>
    <w:p w14:paraId="0232DAAC" w14:textId="28BCCA09" w:rsidR="00BB2C4F" w:rsidRPr="003776AA" w:rsidRDefault="003776AA" w:rsidP="003776AA">
      <w:pPr>
        <w:pStyle w:val="FootnoteText"/>
        <w:spacing w:line="360" w:lineRule="auto"/>
        <w:jc w:val="both"/>
        <w:rPr>
          <w:i/>
          <w:iCs/>
          <w:sz w:val="24"/>
          <w:szCs w:val="24"/>
          <w:lang w:val="en-US"/>
        </w:rPr>
      </w:pPr>
      <w:r w:rsidRPr="003776AA">
        <w:rPr>
          <w:rFonts w:cs="Arial"/>
          <w:sz w:val="24"/>
          <w:szCs w:val="24"/>
        </w:rPr>
        <w:t>[6]</w:t>
      </w:r>
      <w:r w:rsidRPr="003776AA">
        <w:rPr>
          <w:rFonts w:cs="Arial"/>
          <w:sz w:val="24"/>
          <w:szCs w:val="24"/>
        </w:rPr>
        <w:tab/>
      </w:r>
      <w:r w:rsidR="002536B0" w:rsidRPr="003776AA">
        <w:rPr>
          <w:rFonts w:cs="Arial"/>
          <w:sz w:val="24"/>
          <w:szCs w:val="24"/>
        </w:rPr>
        <w:t xml:space="preserve">In </w:t>
      </w:r>
      <w:r w:rsidRPr="003776AA">
        <w:rPr>
          <w:i/>
          <w:iCs/>
          <w:sz w:val="24"/>
          <w:szCs w:val="24"/>
          <w:lang w:val="en-US"/>
        </w:rPr>
        <w:t>Naidoo v MEC for Health, KwaZulu-Natal, Naidoo v MEC for Health, KwaZulu-Natal, Phewa v MEC for Health, KwaZulu-Natal, Govender v MEC for Health, KwaZulu-Natal, Nthombela v MEC for Health</w:t>
      </w:r>
      <w:r w:rsidR="00F1221A" w:rsidRPr="003776AA">
        <w:rPr>
          <w:rFonts w:cs="Arial"/>
          <w:iCs/>
          <w:sz w:val="24"/>
          <w:szCs w:val="24"/>
        </w:rPr>
        <w:t>,</w:t>
      </w:r>
      <w:r w:rsidR="002536B0" w:rsidRPr="003776AA">
        <w:rPr>
          <w:rStyle w:val="FootnoteReference"/>
          <w:rFonts w:cs="Arial"/>
          <w:iCs/>
          <w:sz w:val="24"/>
          <w:szCs w:val="24"/>
        </w:rPr>
        <w:footnoteReference w:id="2"/>
      </w:r>
      <w:r w:rsidR="009A65F8" w:rsidRPr="003776AA">
        <w:rPr>
          <w:rFonts w:cs="Arial"/>
          <w:sz w:val="24"/>
          <w:szCs w:val="24"/>
        </w:rPr>
        <w:t xml:space="preserve"> </w:t>
      </w:r>
      <w:r w:rsidR="002536B0" w:rsidRPr="003776AA">
        <w:rPr>
          <w:rFonts w:cs="Arial"/>
          <w:sz w:val="24"/>
          <w:szCs w:val="24"/>
        </w:rPr>
        <w:t xml:space="preserve">the </w:t>
      </w:r>
      <w:r w:rsidR="00F1221A" w:rsidRPr="003776AA">
        <w:rPr>
          <w:rFonts w:cs="Arial"/>
          <w:sz w:val="24"/>
          <w:szCs w:val="24"/>
        </w:rPr>
        <w:t>c</w:t>
      </w:r>
      <w:r w:rsidR="002536B0" w:rsidRPr="003776AA">
        <w:rPr>
          <w:rFonts w:cs="Arial"/>
          <w:sz w:val="24"/>
          <w:szCs w:val="24"/>
        </w:rPr>
        <w:t>ourt stated:</w:t>
      </w:r>
    </w:p>
    <w:p w14:paraId="1EA431E2" w14:textId="47EFD2E7" w:rsidR="00917FD8" w:rsidRPr="000023DF" w:rsidRDefault="002536B0" w:rsidP="00917FD8">
      <w:pPr>
        <w:spacing w:line="360" w:lineRule="auto"/>
        <w:jc w:val="both"/>
        <w:rPr>
          <w:rFonts w:cs="Arial"/>
          <w:sz w:val="22"/>
          <w:szCs w:val="22"/>
        </w:rPr>
      </w:pPr>
      <w:r w:rsidRPr="000023DF">
        <w:rPr>
          <w:rFonts w:cs="Arial"/>
          <w:sz w:val="22"/>
          <w:szCs w:val="22"/>
        </w:rPr>
        <w:t>‘</w:t>
      </w:r>
      <w:r w:rsidR="00917FD8" w:rsidRPr="000023DF">
        <w:rPr>
          <w:rFonts w:cs="Arial"/>
          <w:sz w:val="22"/>
          <w:szCs w:val="22"/>
        </w:rPr>
        <w:t>[17] It is not in dispute that the costs to be considered in these matters are party and party costs. These are described as reasonable and necessary fees or disbursements that the other side should contribute to the winning party.</w:t>
      </w:r>
      <w:r w:rsidR="000023DF" w:rsidRPr="000023DF">
        <w:rPr>
          <w:rFonts w:cs="Arial"/>
          <w:sz w:val="22"/>
          <w:szCs w:val="22"/>
        </w:rPr>
        <w:t xml:space="preserve"> </w:t>
      </w:r>
      <w:r w:rsidR="00917FD8" w:rsidRPr="000023DF">
        <w:rPr>
          <w:rFonts w:cs="Arial"/>
          <w:sz w:val="22"/>
          <w:szCs w:val="22"/>
        </w:rPr>
        <w:t>It is not a full indemnity in respect of all costs but only those reasonably and necessarily incurred in the course of litigation.</w:t>
      </w:r>
    </w:p>
    <w:p w14:paraId="4201253C" w14:textId="2DBFD628" w:rsidR="00917FD8" w:rsidRPr="000023DF" w:rsidRDefault="00917FD8" w:rsidP="00917FD8">
      <w:pPr>
        <w:spacing w:line="360" w:lineRule="auto"/>
        <w:jc w:val="both"/>
        <w:rPr>
          <w:rFonts w:cs="Arial"/>
          <w:sz w:val="22"/>
          <w:szCs w:val="22"/>
        </w:rPr>
      </w:pPr>
      <w:r w:rsidRPr="000023DF">
        <w:rPr>
          <w:rFonts w:cs="Arial"/>
          <w:sz w:val="22"/>
          <w:szCs w:val="22"/>
        </w:rPr>
        <w:t xml:space="preserve">[18] It remains important for purposes of this judgment to be mindful of the fact that party and party costs are distinct from attorney and client costs and that the taxing master was concerned with party and party costs, since that is what the applicants were entitled to in terms of the orders. Kriegler J’s definition of party and party costs in </w:t>
      </w:r>
      <w:r w:rsidRPr="003776AA">
        <w:rPr>
          <w:rFonts w:cs="Arial"/>
          <w:i/>
          <w:sz w:val="22"/>
          <w:szCs w:val="22"/>
        </w:rPr>
        <w:t>President of the Republic of South Africa v Gauteng</w:t>
      </w:r>
      <w:r w:rsidRPr="000023DF">
        <w:rPr>
          <w:rFonts w:cs="Arial"/>
          <w:sz w:val="22"/>
          <w:szCs w:val="22"/>
        </w:rPr>
        <w:t xml:space="preserve"> </w:t>
      </w:r>
      <w:r w:rsidRPr="000F6488">
        <w:rPr>
          <w:rFonts w:cs="Arial"/>
          <w:i/>
          <w:sz w:val="22"/>
          <w:szCs w:val="22"/>
        </w:rPr>
        <w:t xml:space="preserve">supra </w:t>
      </w:r>
      <w:r w:rsidRPr="000023DF">
        <w:rPr>
          <w:rFonts w:cs="Arial"/>
          <w:sz w:val="22"/>
          <w:szCs w:val="22"/>
        </w:rPr>
        <w:t>remains valid and should be applied in assessing party and party costs.</w:t>
      </w:r>
    </w:p>
    <w:p w14:paraId="09D9B20D" w14:textId="693F4B7C" w:rsidR="002536B0" w:rsidRPr="000023DF" w:rsidRDefault="002536B0" w:rsidP="002536B0">
      <w:pPr>
        <w:spacing w:line="360" w:lineRule="auto"/>
        <w:jc w:val="both"/>
        <w:rPr>
          <w:rFonts w:cs="Arial"/>
          <w:sz w:val="22"/>
          <w:szCs w:val="22"/>
        </w:rPr>
      </w:pPr>
      <w:r w:rsidRPr="000023DF">
        <w:rPr>
          <w:rFonts w:cs="Arial"/>
          <w:sz w:val="22"/>
          <w:szCs w:val="22"/>
        </w:rPr>
        <w:t>[19]</w:t>
      </w:r>
      <w:r w:rsidR="003776AA">
        <w:rPr>
          <w:rFonts w:cs="Arial"/>
          <w:sz w:val="22"/>
          <w:szCs w:val="22"/>
        </w:rPr>
        <w:t xml:space="preserve"> </w:t>
      </w:r>
      <w:r w:rsidRPr="000023DF">
        <w:rPr>
          <w:rFonts w:cs="Arial"/>
          <w:sz w:val="22"/>
          <w:szCs w:val="22"/>
        </w:rPr>
        <w:t xml:space="preserve">Rule 70 entrusts the taxing master with the authority to tax </w:t>
      </w:r>
      <w:r w:rsidR="003776AA">
        <w:rPr>
          <w:rFonts w:cs="Arial"/>
          <w:sz w:val="22"/>
          <w:szCs w:val="22"/>
        </w:rPr>
        <w:t>any</w:t>
      </w:r>
      <w:r w:rsidR="003776AA" w:rsidRPr="000023DF">
        <w:rPr>
          <w:rFonts w:cs="Arial"/>
          <w:sz w:val="22"/>
          <w:szCs w:val="22"/>
        </w:rPr>
        <w:t xml:space="preserve"> </w:t>
      </w:r>
      <w:r w:rsidRPr="000023DF">
        <w:rPr>
          <w:rFonts w:cs="Arial"/>
          <w:sz w:val="22"/>
          <w:szCs w:val="22"/>
        </w:rPr>
        <w:t>bill of costs for services actually rendered by an attorney or advocate in litigious matters…</w:t>
      </w:r>
    </w:p>
    <w:p w14:paraId="10DE293C" w14:textId="7B07A874" w:rsidR="00A00B6F" w:rsidRPr="000023DF" w:rsidRDefault="002536B0" w:rsidP="002536B0">
      <w:pPr>
        <w:spacing w:line="360" w:lineRule="auto"/>
        <w:jc w:val="both"/>
        <w:rPr>
          <w:rFonts w:cs="Arial"/>
          <w:sz w:val="22"/>
          <w:szCs w:val="22"/>
        </w:rPr>
      </w:pPr>
      <w:r w:rsidRPr="000023DF">
        <w:rPr>
          <w:rFonts w:cs="Arial"/>
          <w:sz w:val="22"/>
          <w:szCs w:val="22"/>
        </w:rPr>
        <w:t>[20]</w:t>
      </w:r>
      <w:r w:rsidR="003776AA">
        <w:rPr>
          <w:rFonts w:cs="Arial"/>
          <w:sz w:val="22"/>
          <w:szCs w:val="22"/>
        </w:rPr>
        <w:t xml:space="preserve"> </w:t>
      </w:r>
      <w:r w:rsidR="00DF786D" w:rsidRPr="000023DF">
        <w:rPr>
          <w:rFonts w:cs="Arial"/>
          <w:sz w:val="22"/>
          <w:szCs w:val="22"/>
        </w:rPr>
        <w:t>The taxing master is tasked to enquire into the reasonableness and necessity of the costs so charged or incurred. Reasonable costs have been equated with such costs as are necessary or proper for the attainment of justice or for defending the rights of any party.</w:t>
      </w:r>
      <w:r w:rsidR="00917FD8" w:rsidRPr="000023DF">
        <w:rPr>
          <w:rFonts w:cs="Arial"/>
          <w:sz w:val="22"/>
          <w:szCs w:val="22"/>
        </w:rPr>
        <w:t xml:space="preserve"> </w:t>
      </w:r>
      <w:r w:rsidR="00DF786D" w:rsidRPr="000023DF">
        <w:rPr>
          <w:rFonts w:cs="Arial"/>
          <w:sz w:val="22"/>
          <w:szCs w:val="22"/>
        </w:rPr>
        <w:t>With all of that background and conscious of the fact that this court must not usurp the taxing master’s functions,</w:t>
      </w:r>
      <w:r w:rsidR="00917FD8" w:rsidRPr="000023DF">
        <w:rPr>
          <w:rFonts w:cs="Arial"/>
          <w:sz w:val="22"/>
          <w:szCs w:val="22"/>
        </w:rPr>
        <w:t xml:space="preserve"> </w:t>
      </w:r>
      <w:r w:rsidR="00DF786D" w:rsidRPr="000023DF">
        <w:rPr>
          <w:rFonts w:cs="Arial"/>
          <w:sz w:val="22"/>
          <w:szCs w:val="22"/>
        </w:rPr>
        <w:t>we now deal with the disputed categories of costs.</w:t>
      </w:r>
      <w:r w:rsidR="00A00B6F" w:rsidRPr="000023DF">
        <w:rPr>
          <w:rFonts w:cs="Arial"/>
          <w:sz w:val="22"/>
          <w:szCs w:val="22"/>
        </w:rPr>
        <w:t xml:space="preserve">’ </w:t>
      </w:r>
      <w:r w:rsidR="003776AA">
        <w:rPr>
          <w:rFonts w:cs="Arial"/>
          <w:sz w:val="22"/>
          <w:szCs w:val="22"/>
        </w:rPr>
        <w:t>(F</w:t>
      </w:r>
      <w:r w:rsidR="00A00B6F" w:rsidRPr="000023DF">
        <w:rPr>
          <w:rFonts w:cs="Arial"/>
          <w:sz w:val="22"/>
          <w:szCs w:val="22"/>
        </w:rPr>
        <w:t>ootnotes omitted.</w:t>
      </w:r>
      <w:r w:rsidR="003776AA">
        <w:rPr>
          <w:rFonts w:cs="Arial"/>
          <w:sz w:val="22"/>
          <w:szCs w:val="22"/>
        </w:rPr>
        <w:t>)</w:t>
      </w:r>
    </w:p>
    <w:p w14:paraId="39048361" w14:textId="77777777" w:rsidR="002536B0" w:rsidRDefault="002536B0" w:rsidP="002536B0">
      <w:pPr>
        <w:spacing w:line="360" w:lineRule="auto"/>
        <w:jc w:val="both"/>
        <w:rPr>
          <w:rFonts w:cs="Arial"/>
        </w:rPr>
      </w:pPr>
    </w:p>
    <w:p w14:paraId="37EDB80A" w14:textId="3C3FB11C" w:rsidR="00917FD8" w:rsidRPr="00917FD8" w:rsidRDefault="00BB6040" w:rsidP="00BB6040">
      <w:pPr>
        <w:spacing w:line="360" w:lineRule="auto"/>
        <w:jc w:val="both"/>
        <w:rPr>
          <w:rFonts w:cs="Arial"/>
        </w:rPr>
      </w:pPr>
      <w:r w:rsidRPr="00BB6040">
        <w:rPr>
          <w:rFonts w:cs="Arial"/>
          <w:iCs/>
        </w:rPr>
        <w:t>[7]</w:t>
      </w:r>
      <w:r>
        <w:rPr>
          <w:rFonts w:cs="Arial"/>
          <w:i/>
          <w:iCs/>
        </w:rPr>
        <w:tab/>
      </w:r>
      <w:r w:rsidR="00917FD8" w:rsidRPr="00917FD8">
        <w:rPr>
          <w:rFonts w:cs="Arial"/>
          <w:i/>
          <w:iCs/>
        </w:rPr>
        <w:t>Naidoo v MEC for Health</w:t>
      </w:r>
      <w:r w:rsidR="00917FD8" w:rsidRPr="00917FD8">
        <w:rPr>
          <w:rFonts w:cs="Arial"/>
        </w:rPr>
        <w:t xml:space="preserve"> at footnote 15 refers to the following passage </w:t>
      </w:r>
      <w:r w:rsidR="0081299F">
        <w:rPr>
          <w:rFonts w:cs="Arial"/>
        </w:rPr>
        <w:t>from</w:t>
      </w:r>
      <w:r w:rsidR="0081299F" w:rsidRPr="00917FD8">
        <w:rPr>
          <w:rFonts w:cs="Arial"/>
        </w:rPr>
        <w:t xml:space="preserve"> </w:t>
      </w:r>
      <w:r w:rsidR="00917FD8" w:rsidRPr="00F1221A">
        <w:rPr>
          <w:rFonts w:cs="Arial"/>
          <w:i/>
        </w:rPr>
        <w:t xml:space="preserve">President of the Republic of South Africa </w:t>
      </w:r>
      <w:r w:rsidR="00F1221A">
        <w:rPr>
          <w:rFonts w:cs="Arial"/>
          <w:i/>
        </w:rPr>
        <w:t>and</w:t>
      </w:r>
      <w:r w:rsidR="00917FD8" w:rsidRPr="00F1221A">
        <w:rPr>
          <w:rFonts w:cs="Arial"/>
          <w:i/>
        </w:rPr>
        <w:t xml:space="preserve"> </w:t>
      </w:r>
      <w:r w:rsidR="00F1221A">
        <w:rPr>
          <w:rFonts w:cs="Arial"/>
          <w:i/>
        </w:rPr>
        <w:t>O</w:t>
      </w:r>
      <w:r w:rsidR="00917FD8" w:rsidRPr="00F1221A">
        <w:rPr>
          <w:rFonts w:cs="Arial"/>
          <w:i/>
        </w:rPr>
        <w:t xml:space="preserve">thers v Gauteng Lions Rugby Union </w:t>
      </w:r>
      <w:r w:rsidR="00F1221A">
        <w:rPr>
          <w:rFonts w:cs="Arial"/>
          <w:i/>
        </w:rPr>
        <w:t>and</w:t>
      </w:r>
      <w:r w:rsidR="00917FD8" w:rsidRPr="00F1221A">
        <w:rPr>
          <w:rFonts w:cs="Arial"/>
          <w:i/>
        </w:rPr>
        <w:t xml:space="preserve"> </w:t>
      </w:r>
      <w:r w:rsidR="00F1221A">
        <w:rPr>
          <w:rFonts w:cs="Arial"/>
          <w:i/>
        </w:rPr>
        <w:t>A</w:t>
      </w:r>
      <w:r w:rsidR="00917FD8" w:rsidRPr="00F1221A">
        <w:rPr>
          <w:rFonts w:cs="Arial"/>
          <w:i/>
        </w:rPr>
        <w:t>nother</w:t>
      </w:r>
      <w:r w:rsidR="0081299F">
        <w:rPr>
          <w:rStyle w:val="FootnoteReference"/>
          <w:rFonts w:cs="Arial"/>
        </w:rPr>
        <w:footnoteReference w:id="3"/>
      </w:r>
      <w:r w:rsidR="00917FD8" w:rsidRPr="00917FD8">
        <w:rPr>
          <w:rFonts w:cs="Arial"/>
        </w:rPr>
        <w:t xml:space="preserve"> para 47:</w:t>
      </w:r>
    </w:p>
    <w:p w14:paraId="0AC4C70E" w14:textId="269EE3D3" w:rsidR="00917FD8" w:rsidRPr="00917FD8" w:rsidRDefault="00917FD8" w:rsidP="00917FD8">
      <w:pPr>
        <w:spacing w:line="360" w:lineRule="auto"/>
        <w:jc w:val="both"/>
        <w:rPr>
          <w:rFonts w:cs="Arial"/>
          <w:sz w:val="22"/>
          <w:szCs w:val="22"/>
        </w:rPr>
      </w:pPr>
      <w:r w:rsidRPr="00917FD8">
        <w:rPr>
          <w:rFonts w:cs="Arial"/>
          <w:sz w:val="22"/>
          <w:szCs w:val="22"/>
        </w:rPr>
        <w:t>‘In addition it should be remembered that although a rate per unit of time worked can be a useful measure of what would be fair remuneration for work necessarily done and although the need for written submissions in this Court may permit this method more readily than in the SCA, the overall balance between the interests of the parties should be maintained. The rate may be reasonable enough and the time spent may be reasonable enough but in the ultimate assessment of the amount or amounts to be allowed on a party and party basis a reasonable balance must still be struck.  Here the inherent anomaly of assessing party and party costs should be borne in mind.  One is not primarily determining what are proper fees for counsel to charge their client for the work they did.  That is mainly an attorney and client issue and when dealing with a party and party situation it is only the first step.  When taxing a party and party bill of costs the object of the exercise is to ascertain how much the other side should contribute to the reasonable fees the winning party has paid or has to pay on her or his own side.  Or, to put it differently, how much of the client’s disbursement in respect of her or his own counsel’s fees would it be fair to make recoverable from the other side?’</w:t>
      </w:r>
    </w:p>
    <w:p w14:paraId="55136E0C" w14:textId="77777777" w:rsidR="00917FD8" w:rsidRDefault="00917FD8" w:rsidP="00917FD8">
      <w:pPr>
        <w:spacing w:line="360" w:lineRule="auto"/>
        <w:jc w:val="both"/>
        <w:rPr>
          <w:rFonts w:cs="Arial"/>
        </w:rPr>
      </w:pPr>
    </w:p>
    <w:p w14:paraId="20A420E5" w14:textId="5B643CE1" w:rsidR="00A00B6F" w:rsidRDefault="00BB6040" w:rsidP="00BB6040">
      <w:pPr>
        <w:spacing w:line="360" w:lineRule="auto"/>
        <w:jc w:val="both"/>
        <w:rPr>
          <w:rFonts w:cs="Arial"/>
        </w:rPr>
      </w:pPr>
      <w:r>
        <w:rPr>
          <w:rFonts w:cs="Arial"/>
        </w:rPr>
        <w:t>[8]</w:t>
      </w:r>
      <w:r>
        <w:rPr>
          <w:rFonts w:cs="Arial"/>
        </w:rPr>
        <w:tab/>
      </w:r>
      <w:r w:rsidR="00A00B6F">
        <w:rPr>
          <w:rFonts w:cs="Arial"/>
        </w:rPr>
        <w:t xml:space="preserve">In </w:t>
      </w:r>
      <w:r w:rsidR="00A00B6F">
        <w:rPr>
          <w:rFonts w:cs="Arial"/>
          <w:i/>
          <w:iCs/>
        </w:rPr>
        <w:t>Price Waterhouse M</w:t>
      </w:r>
      <w:r w:rsidR="00252B9F">
        <w:rPr>
          <w:rFonts w:cs="Arial"/>
          <w:i/>
          <w:iCs/>
        </w:rPr>
        <w:t>e</w:t>
      </w:r>
      <w:r w:rsidR="00A00B6F">
        <w:rPr>
          <w:rFonts w:cs="Arial"/>
          <w:i/>
          <w:iCs/>
        </w:rPr>
        <w:t>yernel v Thoroughbred Bre</w:t>
      </w:r>
      <w:r w:rsidR="000023DF">
        <w:rPr>
          <w:rFonts w:cs="Arial"/>
          <w:i/>
          <w:iCs/>
        </w:rPr>
        <w:t>e</w:t>
      </w:r>
      <w:r w:rsidR="00A00B6F">
        <w:rPr>
          <w:rFonts w:cs="Arial"/>
          <w:i/>
          <w:iCs/>
        </w:rPr>
        <w:t>ders’ Association of South Africa</w:t>
      </w:r>
      <w:r w:rsidR="00252B9F" w:rsidRPr="00252B9F">
        <w:rPr>
          <w:rStyle w:val="FootnoteReference"/>
          <w:rFonts w:cs="Arial"/>
          <w:iCs/>
        </w:rPr>
        <w:footnoteReference w:id="4"/>
      </w:r>
      <w:r w:rsidR="00A00B6F" w:rsidRPr="00252B9F">
        <w:rPr>
          <w:rFonts w:cs="Arial"/>
          <w:iCs/>
        </w:rPr>
        <w:t xml:space="preserve"> </w:t>
      </w:r>
      <w:r w:rsidR="00A00B6F">
        <w:rPr>
          <w:rFonts w:cs="Arial"/>
        </w:rPr>
        <w:t xml:space="preserve">the </w:t>
      </w:r>
      <w:r w:rsidR="00F1221A">
        <w:rPr>
          <w:rFonts w:cs="Arial"/>
        </w:rPr>
        <w:t xml:space="preserve">Supreme Court of </w:t>
      </w:r>
      <w:r w:rsidR="00252B9F">
        <w:rPr>
          <w:rFonts w:cs="Arial"/>
        </w:rPr>
        <w:t>Appeal held</w:t>
      </w:r>
      <w:r w:rsidR="00A00B6F">
        <w:rPr>
          <w:rFonts w:cs="Arial"/>
        </w:rPr>
        <w:t>:</w:t>
      </w:r>
    </w:p>
    <w:p w14:paraId="34BDE6FA" w14:textId="32BEBA0F" w:rsidR="00A00B6F" w:rsidRDefault="00A00B6F" w:rsidP="00A00B6F">
      <w:pPr>
        <w:spacing w:line="360" w:lineRule="auto"/>
        <w:jc w:val="both"/>
        <w:rPr>
          <w:rFonts w:cs="Arial"/>
          <w:sz w:val="22"/>
          <w:szCs w:val="22"/>
        </w:rPr>
      </w:pPr>
      <w:r>
        <w:rPr>
          <w:rFonts w:cs="Arial"/>
          <w:sz w:val="22"/>
          <w:szCs w:val="22"/>
        </w:rPr>
        <w:t>‘</w:t>
      </w:r>
      <w:r w:rsidR="00252B9F">
        <w:rPr>
          <w:rFonts w:cs="Arial"/>
          <w:sz w:val="22"/>
          <w:szCs w:val="22"/>
        </w:rPr>
        <w:t>[18] …</w:t>
      </w:r>
      <w:r>
        <w:rPr>
          <w:rFonts w:cs="Arial"/>
          <w:sz w:val="22"/>
          <w:szCs w:val="22"/>
        </w:rPr>
        <w:t xml:space="preserve">A </w:t>
      </w:r>
      <w:r w:rsidR="00252B9F">
        <w:rPr>
          <w:rFonts w:cs="Arial"/>
          <w:sz w:val="22"/>
          <w:szCs w:val="22"/>
        </w:rPr>
        <w:t xml:space="preserve">costs </w:t>
      </w:r>
      <w:r>
        <w:rPr>
          <w:rFonts w:cs="Arial"/>
          <w:sz w:val="22"/>
          <w:szCs w:val="22"/>
        </w:rPr>
        <w:t xml:space="preserve">order – it is trite to say – is intended to indemnify the winner (subject to the limitations of the party and party costs scale) to the extent that it is out of pocket as a result of pursuing the litigation to </w:t>
      </w:r>
      <w:r w:rsidRPr="000023DF">
        <w:rPr>
          <w:rFonts w:cs="Arial"/>
          <w:sz w:val="22"/>
          <w:szCs w:val="22"/>
        </w:rPr>
        <w:t xml:space="preserve">a successful conclusion. It follows that what the winner has to show </w:t>
      </w:r>
      <w:r w:rsidR="007F2ABA">
        <w:rPr>
          <w:rFonts w:cs="Arial"/>
          <w:sz w:val="22"/>
          <w:szCs w:val="22"/>
        </w:rPr>
        <w:t xml:space="preserve">- </w:t>
      </w:r>
      <w:r w:rsidRPr="000023DF">
        <w:rPr>
          <w:rFonts w:cs="Arial"/>
          <w:sz w:val="22"/>
          <w:szCs w:val="22"/>
        </w:rPr>
        <w:t xml:space="preserve">and the </w:t>
      </w:r>
      <w:r w:rsidR="00252B9F">
        <w:rPr>
          <w:rFonts w:cs="Arial"/>
          <w:sz w:val="22"/>
          <w:szCs w:val="22"/>
        </w:rPr>
        <w:t>T</w:t>
      </w:r>
      <w:r w:rsidRPr="000023DF">
        <w:rPr>
          <w:rFonts w:cs="Arial"/>
          <w:sz w:val="22"/>
          <w:szCs w:val="22"/>
        </w:rPr>
        <w:t xml:space="preserve">axing </w:t>
      </w:r>
      <w:r w:rsidR="00252B9F">
        <w:rPr>
          <w:rFonts w:cs="Arial"/>
          <w:sz w:val="22"/>
          <w:szCs w:val="22"/>
        </w:rPr>
        <w:t>M</w:t>
      </w:r>
      <w:r w:rsidRPr="000023DF">
        <w:rPr>
          <w:rFonts w:cs="Arial"/>
          <w:sz w:val="22"/>
          <w:szCs w:val="22"/>
        </w:rPr>
        <w:t xml:space="preserve">aster has to be satisfied about – is that the item in the bill </w:t>
      </w:r>
      <w:r w:rsidR="00252B9F">
        <w:rPr>
          <w:rFonts w:cs="Arial"/>
          <w:sz w:val="22"/>
          <w:szCs w:val="22"/>
        </w:rPr>
        <w:t>are</w:t>
      </w:r>
      <w:r w:rsidRPr="000023DF">
        <w:rPr>
          <w:rFonts w:cs="Arial"/>
          <w:sz w:val="22"/>
          <w:szCs w:val="22"/>
        </w:rPr>
        <w:t xml:space="preserve"> costs in the true sense, </w:t>
      </w:r>
      <w:r w:rsidR="00252B9F">
        <w:rPr>
          <w:rFonts w:cs="Arial"/>
          <w:sz w:val="22"/>
          <w:szCs w:val="22"/>
        </w:rPr>
        <w:t xml:space="preserve">that is to say, </w:t>
      </w:r>
      <w:r w:rsidRPr="000023DF">
        <w:rPr>
          <w:rFonts w:cs="Arial"/>
          <w:sz w:val="22"/>
          <w:szCs w:val="22"/>
        </w:rPr>
        <w:t>expenses which actually leave the winner out of pocket.’</w:t>
      </w:r>
    </w:p>
    <w:p w14:paraId="28F640E3" w14:textId="77777777" w:rsidR="00A00B6F" w:rsidRDefault="00A00B6F" w:rsidP="00A00B6F">
      <w:pPr>
        <w:spacing w:line="360" w:lineRule="auto"/>
        <w:jc w:val="both"/>
        <w:rPr>
          <w:rFonts w:cs="Arial"/>
        </w:rPr>
      </w:pPr>
    </w:p>
    <w:p w14:paraId="6E5B7F28" w14:textId="59F4A0B9" w:rsidR="00A00B6F" w:rsidRDefault="00BB6040" w:rsidP="00BB6040">
      <w:pPr>
        <w:spacing w:line="360" w:lineRule="auto"/>
        <w:jc w:val="both"/>
        <w:rPr>
          <w:rFonts w:cs="Arial"/>
        </w:rPr>
      </w:pPr>
      <w:r>
        <w:rPr>
          <w:rFonts w:cs="Arial"/>
        </w:rPr>
        <w:t>[9]</w:t>
      </w:r>
      <w:r>
        <w:rPr>
          <w:rFonts w:cs="Arial"/>
        </w:rPr>
        <w:tab/>
      </w:r>
      <w:r w:rsidR="00A00B6F">
        <w:rPr>
          <w:rFonts w:cs="Arial"/>
        </w:rPr>
        <w:t xml:space="preserve">In </w:t>
      </w:r>
      <w:r w:rsidR="00A00B6F">
        <w:rPr>
          <w:rFonts w:cs="Arial"/>
          <w:i/>
          <w:iCs/>
        </w:rPr>
        <w:t>Findlater v M</w:t>
      </w:r>
      <w:r w:rsidR="00252B9F">
        <w:rPr>
          <w:rFonts w:cs="Arial"/>
          <w:i/>
          <w:iCs/>
        </w:rPr>
        <w:t xml:space="preserve"> B</w:t>
      </w:r>
      <w:r w:rsidR="00A00B6F">
        <w:rPr>
          <w:rFonts w:cs="Arial"/>
          <w:i/>
          <w:iCs/>
        </w:rPr>
        <w:t xml:space="preserve"> Morton Estate</w:t>
      </w:r>
      <w:r w:rsidR="00252B9F">
        <w:rPr>
          <w:rFonts w:cs="Arial"/>
          <w:i/>
          <w:iCs/>
        </w:rPr>
        <w:t>s</w:t>
      </w:r>
      <w:r w:rsidR="00A00B6F" w:rsidRPr="00A00B6F">
        <w:rPr>
          <w:rFonts w:cs="Arial"/>
          <w:i/>
          <w:iCs/>
        </w:rPr>
        <w:t xml:space="preserve"> (Pty) Ltd</w:t>
      </w:r>
      <w:r w:rsidR="00252B9F" w:rsidRPr="00252B9F">
        <w:rPr>
          <w:rStyle w:val="FootnoteReference"/>
          <w:rFonts w:cs="Arial"/>
          <w:iCs/>
        </w:rPr>
        <w:footnoteReference w:id="5"/>
      </w:r>
      <w:r w:rsidR="00252B9F" w:rsidRPr="00A00B6F">
        <w:rPr>
          <w:rFonts w:cs="Arial"/>
          <w:i/>
          <w:iCs/>
        </w:rPr>
        <w:t xml:space="preserve"> </w:t>
      </w:r>
      <w:r w:rsidR="00A00B6F" w:rsidRPr="00A00B6F">
        <w:rPr>
          <w:rFonts w:cs="Arial"/>
          <w:i/>
          <w:iCs/>
        </w:rPr>
        <w:t xml:space="preserve"> </w:t>
      </w:r>
      <w:r w:rsidR="00A00B6F">
        <w:rPr>
          <w:rFonts w:cs="Arial"/>
        </w:rPr>
        <w:t>it was held</w:t>
      </w:r>
      <w:r w:rsidR="00296F88">
        <w:rPr>
          <w:rFonts w:cs="Arial"/>
        </w:rPr>
        <w:t>:</w:t>
      </w:r>
    </w:p>
    <w:p w14:paraId="7C92A42E" w14:textId="18C6B9CB" w:rsidR="00296F88" w:rsidRDefault="00252B9F" w:rsidP="00296F88">
      <w:pPr>
        <w:spacing w:line="360" w:lineRule="auto"/>
        <w:jc w:val="both"/>
        <w:rPr>
          <w:rFonts w:cs="Arial"/>
          <w:sz w:val="22"/>
          <w:szCs w:val="22"/>
        </w:rPr>
      </w:pPr>
      <w:r>
        <w:rPr>
          <w:rFonts w:cs="Arial"/>
          <w:sz w:val="22"/>
          <w:szCs w:val="22"/>
        </w:rPr>
        <w:t xml:space="preserve">‘[13] </w:t>
      </w:r>
      <w:r w:rsidR="00296F88">
        <w:rPr>
          <w:rFonts w:cs="Arial"/>
          <w:sz w:val="22"/>
          <w:szCs w:val="22"/>
        </w:rPr>
        <w:t xml:space="preserve">Accordingly, a court will only interfere with a taxing master’s decision if it was </w:t>
      </w:r>
      <w:r w:rsidR="00F1221A">
        <w:rPr>
          <w:rFonts w:cs="Arial"/>
          <w:sz w:val="22"/>
          <w:szCs w:val="22"/>
        </w:rPr>
        <w:t>“</w:t>
      </w:r>
      <w:r w:rsidR="00296F88" w:rsidRPr="00252B9F">
        <w:rPr>
          <w:rFonts w:cs="Arial"/>
          <w:iCs/>
          <w:sz w:val="22"/>
          <w:szCs w:val="22"/>
        </w:rPr>
        <w:t>mala fide</w:t>
      </w:r>
      <w:r w:rsidR="00296F88" w:rsidRPr="00252B9F">
        <w:rPr>
          <w:rFonts w:cs="Arial"/>
          <w:sz w:val="22"/>
          <w:szCs w:val="22"/>
        </w:rPr>
        <w:t>;</w:t>
      </w:r>
      <w:r w:rsidR="00296F88" w:rsidRPr="00296F88">
        <w:rPr>
          <w:rFonts w:cs="Arial"/>
          <w:sz w:val="22"/>
          <w:szCs w:val="22"/>
        </w:rPr>
        <w:t xml:space="preserve"> </w:t>
      </w:r>
      <w:r w:rsidR="00296F88">
        <w:rPr>
          <w:rFonts w:cs="Arial"/>
          <w:sz w:val="22"/>
          <w:szCs w:val="22"/>
        </w:rPr>
        <w:t>or from ulterior purpose or improper motives; or has not applied his mind to the matter or exercised his discretion at all; or if he disregarded regulatory prescripts</w:t>
      </w:r>
      <w:r w:rsidR="00CB1C97">
        <w:rPr>
          <w:rFonts w:cs="Arial"/>
          <w:sz w:val="22"/>
          <w:szCs w:val="22"/>
        </w:rPr>
        <w:t>”</w:t>
      </w:r>
      <w:r w:rsidR="00296F88">
        <w:rPr>
          <w:rFonts w:cs="Arial"/>
          <w:sz w:val="22"/>
          <w:szCs w:val="22"/>
        </w:rPr>
        <w:t xml:space="preserve">. A court must be satisfied that the taxing master’s decision was </w:t>
      </w:r>
      <w:r w:rsidR="00F1221A">
        <w:rPr>
          <w:rFonts w:cs="Arial"/>
          <w:sz w:val="22"/>
          <w:szCs w:val="22"/>
        </w:rPr>
        <w:t>“</w:t>
      </w:r>
      <w:r w:rsidR="00296F88">
        <w:rPr>
          <w:rFonts w:cs="Arial"/>
          <w:sz w:val="22"/>
          <w:szCs w:val="22"/>
        </w:rPr>
        <w:t>clearly wrong’’.</w:t>
      </w:r>
      <w:r w:rsidR="00F1221A">
        <w:rPr>
          <w:rFonts w:cs="Arial"/>
          <w:sz w:val="22"/>
          <w:szCs w:val="22"/>
        </w:rPr>
        <w:t>’ (</w:t>
      </w:r>
      <w:r w:rsidR="00296F88">
        <w:rPr>
          <w:rFonts w:cs="Arial"/>
          <w:sz w:val="22"/>
          <w:szCs w:val="22"/>
        </w:rPr>
        <w:t>Footnotes omitted</w:t>
      </w:r>
      <w:r w:rsidR="00F1221A">
        <w:rPr>
          <w:rFonts w:cs="Arial"/>
          <w:sz w:val="22"/>
          <w:szCs w:val="22"/>
        </w:rPr>
        <w:t>.)</w:t>
      </w:r>
    </w:p>
    <w:p w14:paraId="357257C3" w14:textId="77777777" w:rsidR="00296F88" w:rsidRPr="00296F88" w:rsidRDefault="00296F88" w:rsidP="00296F88">
      <w:pPr>
        <w:spacing w:line="360" w:lineRule="auto"/>
        <w:jc w:val="both"/>
        <w:rPr>
          <w:rFonts w:cs="Arial"/>
          <w:sz w:val="22"/>
          <w:szCs w:val="22"/>
        </w:rPr>
      </w:pPr>
    </w:p>
    <w:p w14:paraId="5065CAF7" w14:textId="384DAAAA" w:rsidR="00E44D8D" w:rsidRPr="00E44D8D" w:rsidRDefault="00416066" w:rsidP="00416066">
      <w:pPr>
        <w:spacing w:line="360" w:lineRule="auto"/>
        <w:jc w:val="both"/>
        <w:rPr>
          <w:rFonts w:cs="Arial"/>
        </w:rPr>
      </w:pPr>
      <w:r>
        <w:rPr>
          <w:rFonts w:cs="Arial"/>
        </w:rPr>
        <w:t>[10]</w:t>
      </w:r>
      <w:r>
        <w:rPr>
          <w:rFonts w:cs="Arial"/>
        </w:rPr>
        <w:tab/>
      </w:r>
      <w:r w:rsidR="00E44D8D" w:rsidRPr="00E44D8D">
        <w:rPr>
          <w:rFonts w:cs="Arial"/>
        </w:rPr>
        <w:t xml:space="preserve">In </w:t>
      </w:r>
      <w:r w:rsidR="00E44D8D" w:rsidRPr="00F1221A">
        <w:rPr>
          <w:rFonts w:cs="Arial"/>
          <w:i/>
        </w:rPr>
        <w:t>Society of Advocates of KwaZulu</w:t>
      </w:r>
      <w:r w:rsidR="00F1221A" w:rsidRPr="00F1221A">
        <w:rPr>
          <w:rFonts w:cs="Arial"/>
          <w:i/>
        </w:rPr>
        <w:t>-</w:t>
      </w:r>
      <w:r w:rsidR="00E44D8D" w:rsidRPr="00F1221A">
        <w:rPr>
          <w:rFonts w:cs="Arial"/>
          <w:i/>
        </w:rPr>
        <w:t>Natal v Levin</w:t>
      </w:r>
      <w:r w:rsidR="0041192D">
        <w:rPr>
          <w:rStyle w:val="FootnoteReference"/>
          <w:rFonts w:cs="Arial"/>
        </w:rPr>
        <w:footnoteReference w:id="6"/>
      </w:r>
      <w:r w:rsidR="0041192D">
        <w:rPr>
          <w:rFonts w:cs="Arial"/>
        </w:rPr>
        <w:t xml:space="preserve"> </w:t>
      </w:r>
      <w:r w:rsidR="00E44D8D" w:rsidRPr="00E44D8D">
        <w:rPr>
          <w:rFonts w:cs="Arial"/>
        </w:rPr>
        <w:t xml:space="preserve">it was held: </w:t>
      </w:r>
    </w:p>
    <w:p w14:paraId="4EC44842" w14:textId="29501425" w:rsidR="006300CB" w:rsidRPr="006300CB" w:rsidRDefault="00F1221A" w:rsidP="006300CB">
      <w:pPr>
        <w:spacing w:line="360" w:lineRule="auto"/>
        <w:jc w:val="both"/>
        <w:rPr>
          <w:rFonts w:cs="Arial"/>
          <w:sz w:val="22"/>
          <w:szCs w:val="22"/>
        </w:rPr>
      </w:pPr>
      <w:r>
        <w:rPr>
          <w:rFonts w:cs="Arial"/>
          <w:sz w:val="22"/>
          <w:szCs w:val="22"/>
        </w:rPr>
        <w:t>‘</w:t>
      </w:r>
      <w:r w:rsidR="006300CB" w:rsidRPr="006300CB">
        <w:rPr>
          <w:rFonts w:cs="Arial"/>
          <w:sz w:val="22"/>
          <w:szCs w:val="22"/>
        </w:rPr>
        <w:t>[13]</w:t>
      </w:r>
      <w:r w:rsidR="006300CB" w:rsidRPr="006300CB">
        <w:rPr>
          <w:rFonts w:cs="Arial"/>
          <w:sz w:val="22"/>
          <w:szCs w:val="22"/>
        </w:rPr>
        <w:tab/>
        <w:t xml:space="preserve">Consequently the assessment of </w:t>
      </w:r>
      <w:r w:rsidR="0041192D">
        <w:rPr>
          <w:rFonts w:cs="Arial"/>
          <w:sz w:val="22"/>
          <w:szCs w:val="22"/>
        </w:rPr>
        <w:t>c</w:t>
      </w:r>
      <w:r w:rsidR="006300CB" w:rsidRPr="006300CB">
        <w:rPr>
          <w:rFonts w:cs="Arial"/>
          <w:sz w:val="22"/>
          <w:szCs w:val="22"/>
        </w:rPr>
        <w:t>ounsel’s fees have become contentious at taxations because the taxing master is called upon to exercise a discretion in respect of matters in which the scope and complexity of the issues</w:t>
      </w:r>
      <w:r w:rsidR="002638D2">
        <w:rPr>
          <w:rFonts w:cs="Arial"/>
          <w:sz w:val="22"/>
          <w:szCs w:val="22"/>
        </w:rPr>
        <w:t>,</w:t>
      </w:r>
      <w:r w:rsidR="006300CB" w:rsidRPr="006300CB">
        <w:rPr>
          <w:rFonts w:cs="Arial"/>
          <w:sz w:val="22"/>
          <w:szCs w:val="22"/>
        </w:rPr>
        <w:t xml:space="preserve"> and the work necessarily and reasonably done in connection therewith, may not be apparent to a person who was not involved in the matter or who is unable to grasp the issues in the matter from a mere inspection of the file.</w:t>
      </w:r>
      <w:r w:rsidR="002638D2">
        <w:rPr>
          <w:rFonts w:cs="Arial"/>
          <w:sz w:val="22"/>
          <w:szCs w:val="22"/>
        </w:rPr>
        <w:t xml:space="preserve"> </w:t>
      </w:r>
      <w:r w:rsidR="006300CB" w:rsidRPr="006300CB">
        <w:rPr>
          <w:rFonts w:cs="Arial"/>
          <w:sz w:val="22"/>
          <w:szCs w:val="22"/>
        </w:rPr>
        <w:t>The difficulty that then arises is that the taxing master cannot correlate the complexity and the time necessarily spent on preparation</w:t>
      </w:r>
      <w:r w:rsidR="002638D2">
        <w:rPr>
          <w:rFonts w:cs="Arial"/>
          <w:sz w:val="22"/>
          <w:szCs w:val="22"/>
        </w:rPr>
        <w:t>,</w:t>
      </w:r>
      <w:r w:rsidR="006300CB" w:rsidRPr="006300CB">
        <w:rPr>
          <w:rFonts w:cs="Arial"/>
          <w:sz w:val="22"/>
          <w:szCs w:val="22"/>
        </w:rPr>
        <w:t xml:space="preserve"> before a pleading is drafted or the matter argued</w:t>
      </w:r>
      <w:r w:rsidR="002638D2">
        <w:rPr>
          <w:rFonts w:cs="Arial"/>
          <w:sz w:val="22"/>
          <w:szCs w:val="22"/>
        </w:rPr>
        <w:t>,</w:t>
      </w:r>
      <w:r w:rsidR="006300CB" w:rsidRPr="006300CB">
        <w:rPr>
          <w:rFonts w:cs="Arial"/>
          <w:sz w:val="22"/>
          <w:szCs w:val="22"/>
        </w:rPr>
        <w:t xml:space="preserve"> with the fee debited by counsel, particularly on a time</w:t>
      </w:r>
      <w:r w:rsidR="00FB4436">
        <w:rPr>
          <w:rFonts w:cs="Arial"/>
          <w:sz w:val="22"/>
          <w:szCs w:val="22"/>
        </w:rPr>
        <w:t>-s</w:t>
      </w:r>
      <w:r w:rsidR="006300CB" w:rsidRPr="006300CB">
        <w:rPr>
          <w:rFonts w:cs="Arial"/>
          <w:sz w:val="22"/>
          <w:szCs w:val="22"/>
        </w:rPr>
        <w:t>pent basis.</w:t>
      </w:r>
      <w:r w:rsidR="007F2ABA">
        <w:rPr>
          <w:rFonts w:cs="Arial"/>
          <w:sz w:val="22"/>
          <w:szCs w:val="22"/>
        </w:rPr>
        <w:t xml:space="preserve"> </w:t>
      </w:r>
      <w:r w:rsidR="006300CB" w:rsidRPr="006300CB">
        <w:rPr>
          <w:rFonts w:cs="Arial"/>
          <w:sz w:val="22"/>
          <w:szCs w:val="22"/>
        </w:rPr>
        <w:t xml:space="preserve">The result is a ruling in accordance with what appears </w:t>
      </w:r>
      <w:r w:rsidR="002638D2">
        <w:rPr>
          <w:rFonts w:cs="Arial"/>
          <w:sz w:val="22"/>
          <w:szCs w:val="22"/>
        </w:rPr>
        <w:t>“</w:t>
      </w:r>
      <w:r w:rsidR="006300CB" w:rsidRPr="006300CB">
        <w:rPr>
          <w:rFonts w:cs="Arial"/>
          <w:sz w:val="22"/>
          <w:szCs w:val="22"/>
        </w:rPr>
        <w:t>reasonable’ to the taxing master, but is disputed by the parties to the taxation.</w:t>
      </w:r>
    </w:p>
    <w:p w14:paraId="5B14F540" w14:textId="77777777" w:rsidR="006300CB" w:rsidRPr="00F1221A" w:rsidRDefault="006300CB" w:rsidP="006300CB">
      <w:pPr>
        <w:spacing w:line="360" w:lineRule="auto"/>
        <w:jc w:val="both"/>
        <w:rPr>
          <w:rFonts w:cs="Arial"/>
          <w:sz w:val="22"/>
          <w:szCs w:val="22"/>
        </w:rPr>
      </w:pPr>
      <w:r w:rsidRPr="00F1221A">
        <w:rPr>
          <w:rFonts w:cs="Arial"/>
          <w:sz w:val="22"/>
          <w:szCs w:val="22"/>
        </w:rPr>
        <w:t>[14]</w:t>
      </w:r>
      <w:r w:rsidRPr="00F1221A">
        <w:rPr>
          <w:rFonts w:cs="Arial"/>
          <w:sz w:val="22"/>
          <w:szCs w:val="22"/>
        </w:rPr>
        <w:tab/>
      </w:r>
      <w:r w:rsidRPr="00F1221A">
        <w:rPr>
          <w:rFonts w:cs="Arial"/>
          <w:i/>
          <w:sz w:val="22"/>
          <w:szCs w:val="22"/>
        </w:rPr>
        <w:t>Therefore in order to assist the taxing master, counsel should provide a detailed report of the work done in preparation. The taxing master should also be apprised of the experience of counsel and the importance and complexity of the matter, as factors relevant to the assessment of counsel’s fees.</w:t>
      </w:r>
    </w:p>
    <w:p w14:paraId="4FBAEA4D" w14:textId="4656BED5" w:rsidR="006300CB" w:rsidRPr="003732BA" w:rsidRDefault="006300CB" w:rsidP="006300CB">
      <w:pPr>
        <w:spacing w:line="360" w:lineRule="auto"/>
        <w:jc w:val="both"/>
        <w:rPr>
          <w:rFonts w:cs="Arial"/>
        </w:rPr>
      </w:pPr>
      <w:r w:rsidRPr="00F1221A">
        <w:rPr>
          <w:rFonts w:cs="Arial"/>
          <w:sz w:val="22"/>
          <w:szCs w:val="22"/>
        </w:rPr>
        <w:t>[15]</w:t>
      </w:r>
      <w:r w:rsidRPr="00F1221A">
        <w:rPr>
          <w:rFonts w:cs="Arial"/>
          <w:sz w:val="22"/>
          <w:szCs w:val="22"/>
        </w:rPr>
        <w:tab/>
      </w:r>
      <w:r w:rsidRPr="00F1221A">
        <w:rPr>
          <w:rFonts w:cs="Arial"/>
          <w:i/>
          <w:sz w:val="22"/>
          <w:szCs w:val="22"/>
        </w:rPr>
        <w:t>These factors are significant because the taxing master is also constrained to consider whether the volume of the matter in which the bill is taxed has been unnecessarily increased through over-caution, negligence or mistake. Further, unnecessary or duplicate copies of documents, notices and correspondence frequently burden a file unduly, but are nevertheless included in the bill of costs presented for taxation, and may be disallowed even in an attorney and client bill as unreasonable.</w:t>
      </w:r>
      <w:r w:rsidR="000023DF" w:rsidRPr="00F1221A">
        <w:rPr>
          <w:rFonts w:cs="Arial"/>
          <w:sz w:val="22"/>
          <w:szCs w:val="22"/>
        </w:rPr>
        <w:t>’</w:t>
      </w:r>
      <w:r w:rsidR="003732BA" w:rsidRPr="00F1221A">
        <w:rPr>
          <w:rFonts w:cs="Arial"/>
          <w:sz w:val="22"/>
          <w:szCs w:val="22"/>
        </w:rPr>
        <w:t xml:space="preserve"> </w:t>
      </w:r>
      <w:r w:rsidR="00F1221A">
        <w:rPr>
          <w:rFonts w:cs="Arial"/>
          <w:sz w:val="22"/>
          <w:szCs w:val="22"/>
        </w:rPr>
        <w:t>(My</w:t>
      </w:r>
      <w:r w:rsidR="003732BA">
        <w:rPr>
          <w:rFonts w:cs="Arial"/>
          <w:sz w:val="22"/>
          <w:szCs w:val="22"/>
        </w:rPr>
        <w:t xml:space="preserve"> emphasis</w:t>
      </w:r>
      <w:r w:rsidR="00F1221A">
        <w:rPr>
          <w:rFonts w:cs="Arial"/>
          <w:sz w:val="22"/>
          <w:szCs w:val="22"/>
        </w:rPr>
        <w:t>.)</w:t>
      </w:r>
    </w:p>
    <w:p w14:paraId="3F12BBAF" w14:textId="77777777" w:rsidR="006300CB" w:rsidRDefault="006300CB" w:rsidP="006300CB">
      <w:pPr>
        <w:spacing w:line="360" w:lineRule="auto"/>
        <w:jc w:val="both"/>
        <w:rPr>
          <w:rFonts w:cs="Arial"/>
        </w:rPr>
      </w:pPr>
    </w:p>
    <w:p w14:paraId="326088E1" w14:textId="6BCB5EB5" w:rsidR="00A00B6F" w:rsidRDefault="00416066" w:rsidP="00416066">
      <w:pPr>
        <w:spacing w:line="360" w:lineRule="auto"/>
        <w:jc w:val="both"/>
        <w:rPr>
          <w:rFonts w:cs="Arial"/>
        </w:rPr>
      </w:pPr>
      <w:r>
        <w:rPr>
          <w:rFonts w:cs="Arial"/>
        </w:rPr>
        <w:t>[11]</w:t>
      </w:r>
      <w:r>
        <w:rPr>
          <w:rFonts w:cs="Arial"/>
        </w:rPr>
        <w:tab/>
      </w:r>
      <w:r w:rsidR="00296F88">
        <w:rPr>
          <w:rFonts w:cs="Arial"/>
        </w:rPr>
        <w:t xml:space="preserve">With those principles in mind, I now turn to the review. </w:t>
      </w:r>
    </w:p>
    <w:p w14:paraId="416D5DC3" w14:textId="77777777" w:rsidR="00296F88" w:rsidRDefault="00296F88" w:rsidP="00296F88">
      <w:pPr>
        <w:spacing w:line="360" w:lineRule="auto"/>
        <w:jc w:val="both"/>
        <w:rPr>
          <w:rFonts w:cs="Arial"/>
        </w:rPr>
      </w:pPr>
    </w:p>
    <w:p w14:paraId="3B42109F" w14:textId="42A78A5C" w:rsidR="00296F88" w:rsidRDefault="00416066" w:rsidP="00416066">
      <w:pPr>
        <w:spacing w:line="360" w:lineRule="auto"/>
        <w:jc w:val="both"/>
        <w:rPr>
          <w:rFonts w:cs="Arial"/>
        </w:rPr>
      </w:pPr>
      <w:r>
        <w:rPr>
          <w:rFonts w:cs="Arial"/>
        </w:rPr>
        <w:t>[12]</w:t>
      </w:r>
      <w:r>
        <w:rPr>
          <w:rFonts w:cs="Arial"/>
        </w:rPr>
        <w:tab/>
      </w:r>
      <w:r w:rsidR="00296F88">
        <w:rPr>
          <w:rFonts w:cs="Arial"/>
        </w:rPr>
        <w:t xml:space="preserve">The parties submitted a stated case; accordingly, Fidelity submitted its submissions in terms of </w:t>
      </w:r>
      <w:r w:rsidR="00F1221A">
        <w:rPr>
          <w:rFonts w:cs="Arial"/>
        </w:rPr>
        <w:t>r</w:t>
      </w:r>
      <w:r w:rsidR="00296F88">
        <w:rPr>
          <w:rFonts w:cs="Arial"/>
        </w:rPr>
        <w:t>ule 48(5)</w:t>
      </w:r>
      <w:r w:rsidR="00296F88" w:rsidRPr="002638D2">
        <w:rPr>
          <w:rFonts w:cs="Arial"/>
          <w:i/>
        </w:rPr>
        <w:t>(a),</w:t>
      </w:r>
      <w:r w:rsidR="00296F88">
        <w:rPr>
          <w:rFonts w:cs="Arial"/>
        </w:rPr>
        <w:t xml:space="preserve"> the taxing master furnished a report in terms of </w:t>
      </w:r>
      <w:r w:rsidR="00F1221A">
        <w:rPr>
          <w:rFonts w:cs="Arial"/>
        </w:rPr>
        <w:t>r</w:t>
      </w:r>
      <w:r w:rsidR="00296F88">
        <w:rPr>
          <w:rFonts w:cs="Arial"/>
        </w:rPr>
        <w:t>ule 48(5)</w:t>
      </w:r>
      <w:r w:rsidR="00296F88" w:rsidRPr="002638D2">
        <w:rPr>
          <w:rFonts w:cs="Arial"/>
          <w:i/>
        </w:rPr>
        <w:t>(b</w:t>
      </w:r>
      <w:r w:rsidR="00296F88">
        <w:rPr>
          <w:rFonts w:cs="Arial"/>
        </w:rPr>
        <w:t xml:space="preserve">) and Fidelity again submitted submissions to the taxing master’s stated case in terms of </w:t>
      </w:r>
      <w:r w:rsidR="00F1221A">
        <w:rPr>
          <w:rFonts w:cs="Arial"/>
        </w:rPr>
        <w:t>r</w:t>
      </w:r>
      <w:r w:rsidR="00296F88">
        <w:rPr>
          <w:rFonts w:cs="Arial"/>
        </w:rPr>
        <w:t>ule 48(5)</w:t>
      </w:r>
      <w:r w:rsidR="00296F88" w:rsidRPr="002638D2">
        <w:rPr>
          <w:rFonts w:cs="Arial"/>
          <w:i/>
        </w:rPr>
        <w:t>(</w:t>
      </w:r>
      <w:r w:rsidR="00D906AB">
        <w:rPr>
          <w:rFonts w:cs="Arial"/>
          <w:i/>
        </w:rPr>
        <w:t>c</w:t>
      </w:r>
      <w:r w:rsidR="00296F88" w:rsidRPr="002638D2">
        <w:rPr>
          <w:rFonts w:cs="Arial"/>
          <w:i/>
        </w:rPr>
        <w:t>)</w:t>
      </w:r>
      <w:r w:rsidR="00296F88">
        <w:rPr>
          <w:rFonts w:cs="Arial"/>
        </w:rPr>
        <w:t xml:space="preserve">. The matter was then placed before me in terms of </w:t>
      </w:r>
      <w:r w:rsidR="00F1221A">
        <w:rPr>
          <w:rFonts w:cs="Arial"/>
        </w:rPr>
        <w:t>r</w:t>
      </w:r>
      <w:r w:rsidR="00296F88">
        <w:rPr>
          <w:rFonts w:cs="Arial"/>
        </w:rPr>
        <w:t>ule 48(5)</w:t>
      </w:r>
      <w:r w:rsidR="00296F88" w:rsidRPr="002638D2">
        <w:rPr>
          <w:rFonts w:cs="Arial"/>
          <w:i/>
        </w:rPr>
        <w:t>(c)</w:t>
      </w:r>
      <w:r w:rsidR="00296F88">
        <w:rPr>
          <w:rFonts w:cs="Arial"/>
        </w:rPr>
        <w:t xml:space="preserve"> for a determination in terms of </w:t>
      </w:r>
      <w:r w:rsidR="00F1221A">
        <w:rPr>
          <w:rFonts w:cs="Arial"/>
        </w:rPr>
        <w:t>r</w:t>
      </w:r>
      <w:r w:rsidR="00296F88">
        <w:rPr>
          <w:rFonts w:cs="Arial"/>
        </w:rPr>
        <w:t>ule 48(6).</w:t>
      </w:r>
    </w:p>
    <w:p w14:paraId="4D4F2DFE" w14:textId="77777777" w:rsidR="00296F88" w:rsidRDefault="00296F88" w:rsidP="00A40C17">
      <w:pPr>
        <w:pStyle w:val="ListParagraph"/>
        <w:spacing w:line="360" w:lineRule="auto"/>
        <w:rPr>
          <w:rFonts w:cs="Arial"/>
        </w:rPr>
      </w:pPr>
    </w:p>
    <w:p w14:paraId="7E5CE878" w14:textId="2A694314" w:rsidR="00296F88" w:rsidRDefault="00416066" w:rsidP="00416066">
      <w:pPr>
        <w:spacing w:line="360" w:lineRule="auto"/>
        <w:jc w:val="both"/>
        <w:rPr>
          <w:rFonts w:cs="Arial"/>
        </w:rPr>
      </w:pPr>
      <w:r>
        <w:rPr>
          <w:rFonts w:cs="Arial"/>
        </w:rPr>
        <w:t>[13]</w:t>
      </w:r>
      <w:r>
        <w:rPr>
          <w:rFonts w:cs="Arial"/>
        </w:rPr>
        <w:tab/>
      </w:r>
      <w:r w:rsidR="00296F88">
        <w:rPr>
          <w:rFonts w:cs="Arial"/>
        </w:rPr>
        <w:t xml:space="preserve">As mentioned previously, </w:t>
      </w:r>
      <w:r w:rsidR="00336E68">
        <w:rPr>
          <w:rFonts w:cs="Arial"/>
        </w:rPr>
        <w:t>Applicant seek</w:t>
      </w:r>
      <w:r w:rsidR="00D906AB">
        <w:rPr>
          <w:rFonts w:cs="Arial"/>
        </w:rPr>
        <w:t xml:space="preserve">s the review of </w:t>
      </w:r>
      <w:r w:rsidR="00336E68">
        <w:rPr>
          <w:rFonts w:cs="Arial"/>
        </w:rPr>
        <w:t>various items</w:t>
      </w:r>
      <w:r w:rsidR="00D906AB">
        <w:rPr>
          <w:rFonts w:cs="Arial"/>
        </w:rPr>
        <w:t>,</w:t>
      </w:r>
      <w:r w:rsidR="00336E68">
        <w:rPr>
          <w:rFonts w:cs="Arial"/>
        </w:rPr>
        <w:t xml:space="preserve"> that </w:t>
      </w:r>
      <w:r w:rsidR="00D906AB">
        <w:rPr>
          <w:rFonts w:cs="Arial"/>
        </w:rPr>
        <w:t xml:space="preserve">were </w:t>
      </w:r>
      <w:r w:rsidR="00336E68">
        <w:rPr>
          <w:rFonts w:cs="Arial"/>
        </w:rPr>
        <w:t>either</w:t>
      </w:r>
      <w:r w:rsidR="00D906AB">
        <w:rPr>
          <w:rFonts w:cs="Arial"/>
        </w:rPr>
        <w:t xml:space="preserve"> </w:t>
      </w:r>
      <w:r w:rsidR="00336E68">
        <w:rPr>
          <w:rFonts w:cs="Arial"/>
        </w:rPr>
        <w:t>reduced or taxed off</w:t>
      </w:r>
      <w:r w:rsidR="00D906AB">
        <w:rPr>
          <w:rFonts w:cs="Arial"/>
        </w:rPr>
        <w:t xml:space="preserve"> its Bill</w:t>
      </w:r>
      <w:r w:rsidR="00336E68">
        <w:rPr>
          <w:rFonts w:cs="Arial"/>
        </w:rPr>
        <w:t xml:space="preserve"> complete</w:t>
      </w:r>
      <w:r w:rsidR="009A65F8">
        <w:rPr>
          <w:rFonts w:cs="Arial"/>
        </w:rPr>
        <w:t>ly</w:t>
      </w:r>
      <w:r w:rsidR="00D906AB">
        <w:rPr>
          <w:rFonts w:cs="Arial"/>
        </w:rPr>
        <w:t>,</w:t>
      </w:r>
      <w:r w:rsidR="00336E68">
        <w:rPr>
          <w:rFonts w:cs="Arial"/>
        </w:rPr>
        <w:t xml:space="preserve"> in both the instructing attorney</w:t>
      </w:r>
      <w:r w:rsidR="00A63B83">
        <w:rPr>
          <w:rFonts w:cs="Arial"/>
        </w:rPr>
        <w:t>’</w:t>
      </w:r>
      <w:r w:rsidR="00336E68">
        <w:rPr>
          <w:rFonts w:cs="Arial"/>
        </w:rPr>
        <w:t>s bill of costs and correspondent attorney</w:t>
      </w:r>
      <w:r w:rsidR="00A63B83">
        <w:rPr>
          <w:rFonts w:cs="Arial"/>
        </w:rPr>
        <w:t>’</w:t>
      </w:r>
      <w:r w:rsidR="00336E68">
        <w:rPr>
          <w:rFonts w:cs="Arial"/>
        </w:rPr>
        <w:t>s bill of costs. I deal first with the instructing attorney</w:t>
      </w:r>
      <w:r w:rsidR="00A63B83">
        <w:rPr>
          <w:rFonts w:cs="Arial"/>
        </w:rPr>
        <w:t>’</w:t>
      </w:r>
      <w:r w:rsidR="00336E68">
        <w:rPr>
          <w:rFonts w:cs="Arial"/>
        </w:rPr>
        <w:t>s bill of costs.</w:t>
      </w:r>
    </w:p>
    <w:p w14:paraId="58DAEA43" w14:textId="77777777" w:rsidR="00A63B83" w:rsidRPr="00A63B83" w:rsidRDefault="00A63B83" w:rsidP="00A63B83">
      <w:pPr>
        <w:spacing w:line="360" w:lineRule="auto"/>
        <w:rPr>
          <w:rFonts w:cs="Arial"/>
          <w:b/>
          <w:i/>
        </w:rPr>
      </w:pPr>
    </w:p>
    <w:p w14:paraId="6164904A" w14:textId="28A206B5" w:rsidR="00336E68" w:rsidRDefault="00A63B83" w:rsidP="00A63B83">
      <w:pPr>
        <w:spacing w:line="360" w:lineRule="auto"/>
        <w:rPr>
          <w:rFonts w:cs="Arial"/>
          <w:b/>
        </w:rPr>
      </w:pPr>
      <w:r w:rsidRPr="00A63B83">
        <w:rPr>
          <w:rFonts w:cs="Arial"/>
          <w:b/>
        </w:rPr>
        <w:t>Instructing attorney’s bill of costs</w:t>
      </w:r>
    </w:p>
    <w:p w14:paraId="6547EC0A" w14:textId="77777777" w:rsidR="00A63B83" w:rsidRPr="00A63B83" w:rsidRDefault="00A63B83" w:rsidP="00A40C17">
      <w:pPr>
        <w:rPr>
          <w:rFonts w:cs="Arial"/>
          <w:b/>
        </w:rPr>
      </w:pPr>
    </w:p>
    <w:p w14:paraId="2B93D345" w14:textId="16C3455F" w:rsidR="00336E68" w:rsidRPr="00A63B83" w:rsidRDefault="00336E68" w:rsidP="00336E68">
      <w:pPr>
        <w:spacing w:line="360" w:lineRule="auto"/>
        <w:rPr>
          <w:rFonts w:cs="Arial"/>
          <w:b/>
          <w:bCs/>
          <w:i/>
        </w:rPr>
      </w:pPr>
      <w:r w:rsidRPr="00A63B83">
        <w:rPr>
          <w:rFonts w:cs="Arial"/>
          <w:b/>
          <w:bCs/>
          <w:i/>
        </w:rPr>
        <w:t xml:space="preserve">Disallowing the making of copies </w:t>
      </w:r>
    </w:p>
    <w:p w14:paraId="37D42A39" w14:textId="4F122C58" w:rsidR="00336E68" w:rsidRDefault="00416066" w:rsidP="00416066">
      <w:pPr>
        <w:spacing w:line="360" w:lineRule="auto"/>
        <w:jc w:val="both"/>
        <w:rPr>
          <w:rFonts w:cs="Arial"/>
        </w:rPr>
      </w:pPr>
      <w:r>
        <w:rPr>
          <w:rFonts w:cs="Arial"/>
        </w:rPr>
        <w:t>[14]</w:t>
      </w:r>
      <w:r>
        <w:rPr>
          <w:rFonts w:cs="Arial"/>
        </w:rPr>
        <w:tab/>
      </w:r>
      <w:r w:rsidR="00336E68">
        <w:rPr>
          <w:rFonts w:cs="Arial"/>
        </w:rPr>
        <w:t xml:space="preserve">Fidelity seeks a decision and/or ruling in respect of all items pertaining to the making of copies which I list hereafter, where Fidelity attended to the drawing of documents. These items are: 19, 28, 53, 55, 57, 59, 61, 63, 65, 67, 76, 78, 83, 87, 89, 96, 98, 100, 104, 106, 108, 110, 112, 114, 116, 118, 120, 122, 124, 126, 148 and 152. In the taxing master’s stated case, </w:t>
      </w:r>
      <w:r w:rsidR="00B934BB">
        <w:rPr>
          <w:rFonts w:cs="Arial"/>
        </w:rPr>
        <w:t xml:space="preserve">the taxing master concedes </w:t>
      </w:r>
      <w:r w:rsidR="00436497">
        <w:rPr>
          <w:rFonts w:cs="Arial"/>
        </w:rPr>
        <w:t xml:space="preserve">these </w:t>
      </w:r>
      <w:r w:rsidR="00B934BB">
        <w:rPr>
          <w:rFonts w:cs="Arial"/>
        </w:rPr>
        <w:t xml:space="preserve">items as per amended tariff. Accordingly, these items will be allowed </w:t>
      </w:r>
      <w:r w:rsidR="00B934BB" w:rsidRPr="003732BA">
        <w:rPr>
          <w:rFonts w:cs="Arial"/>
        </w:rPr>
        <w:t xml:space="preserve">on </w:t>
      </w:r>
      <w:r w:rsidR="00A63B83">
        <w:rPr>
          <w:rFonts w:cs="Arial"/>
        </w:rPr>
        <w:t>the</w:t>
      </w:r>
      <w:r w:rsidR="00B934BB" w:rsidRPr="003732BA">
        <w:rPr>
          <w:rFonts w:cs="Arial"/>
        </w:rPr>
        <w:t xml:space="preserve"> amended tariff.</w:t>
      </w:r>
    </w:p>
    <w:p w14:paraId="3E2A8117" w14:textId="7FA73747" w:rsidR="00B934BB" w:rsidRDefault="00B934BB" w:rsidP="00B934BB">
      <w:pPr>
        <w:spacing w:line="360" w:lineRule="auto"/>
        <w:jc w:val="both"/>
        <w:rPr>
          <w:rFonts w:cs="Arial"/>
        </w:rPr>
      </w:pPr>
    </w:p>
    <w:p w14:paraId="4D009C86" w14:textId="38197B2D" w:rsidR="00B934BB" w:rsidRPr="00A63B83" w:rsidRDefault="00B934BB" w:rsidP="00B934BB">
      <w:pPr>
        <w:spacing w:line="360" w:lineRule="auto"/>
        <w:jc w:val="both"/>
        <w:rPr>
          <w:rFonts w:cs="Arial"/>
          <w:b/>
          <w:bCs/>
          <w:i/>
        </w:rPr>
      </w:pPr>
      <w:r w:rsidRPr="00A63B83">
        <w:rPr>
          <w:rFonts w:cs="Arial"/>
          <w:b/>
          <w:bCs/>
          <w:i/>
        </w:rPr>
        <w:t xml:space="preserve">Counsel’s invoice for reading </w:t>
      </w:r>
      <w:r w:rsidR="00A63B83" w:rsidRPr="00A63B83">
        <w:rPr>
          <w:rFonts w:cs="Arial"/>
          <w:b/>
          <w:bCs/>
          <w:i/>
        </w:rPr>
        <w:t>r</w:t>
      </w:r>
      <w:r w:rsidRPr="00A63B83">
        <w:rPr>
          <w:rFonts w:cs="Arial"/>
          <w:b/>
          <w:bCs/>
          <w:i/>
        </w:rPr>
        <w:t>ule 53 record and settling the answering affidavit</w:t>
      </w:r>
    </w:p>
    <w:p w14:paraId="63668ADE" w14:textId="042ABA1E" w:rsidR="003732BA" w:rsidRDefault="00416066" w:rsidP="00416066">
      <w:pPr>
        <w:spacing w:line="360" w:lineRule="auto"/>
        <w:jc w:val="both"/>
        <w:rPr>
          <w:rFonts w:cs="Arial"/>
        </w:rPr>
      </w:pPr>
      <w:r>
        <w:rPr>
          <w:rFonts w:cs="Arial"/>
        </w:rPr>
        <w:t>[15]</w:t>
      </w:r>
      <w:r>
        <w:rPr>
          <w:rFonts w:cs="Arial"/>
        </w:rPr>
        <w:tab/>
      </w:r>
      <w:r w:rsidR="009A401B">
        <w:rPr>
          <w:rFonts w:cs="Arial"/>
        </w:rPr>
        <w:t>Upon p</w:t>
      </w:r>
      <w:r w:rsidR="003732BA">
        <w:rPr>
          <w:rFonts w:cs="Arial"/>
        </w:rPr>
        <w:t xml:space="preserve">erusing the wide body of case law dealing </w:t>
      </w:r>
      <w:r w:rsidR="009A401B">
        <w:rPr>
          <w:rFonts w:cs="Arial"/>
        </w:rPr>
        <w:t xml:space="preserve">with </w:t>
      </w:r>
      <w:r w:rsidR="003732BA">
        <w:rPr>
          <w:rFonts w:cs="Arial"/>
        </w:rPr>
        <w:t xml:space="preserve">taxation, it is apparent that counsel’s fees are dealt with differently in the various </w:t>
      </w:r>
      <w:r w:rsidR="00334D9A">
        <w:rPr>
          <w:rFonts w:cs="Arial"/>
        </w:rPr>
        <w:t>divisions</w:t>
      </w:r>
      <w:r w:rsidR="003732BA">
        <w:rPr>
          <w:rFonts w:cs="Arial"/>
        </w:rPr>
        <w:t>. For example, in KwaZulu</w:t>
      </w:r>
      <w:r w:rsidR="00C4340C">
        <w:rPr>
          <w:rFonts w:cs="Arial"/>
        </w:rPr>
        <w:t>-</w:t>
      </w:r>
      <w:r w:rsidR="003732BA">
        <w:rPr>
          <w:rFonts w:cs="Arial"/>
        </w:rPr>
        <w:t xml:space="preserve">Natal, it appears that </w:t>
      </w:r>
      <w:r w:rsidR="002638D2">
        <w:rPr>
          <w:rFonts w:cs="Arial"/>
        </w:rPr>
        <w:t>c</w:t>
      </w:r>
      <w:r w:rsidR="003732BA">
        <w:rPr>
          <w:rFonts w:cs="Arial"/>
        </w:rPr>
        <w:t>ounsel’s fees</w:t>
      </w:r>
      <w:r w:rsidR="00334D9A">
        <w:rPr>
          <w:rFonts w:cs="Arial"/>
        </w:rPr>
        <w:t xml:space="preserve"> in respect of </w:t>
      </w:r>
      <w:r w:rsidR="009A401B">
        <w:rPr>
          <w:rFonts w:cs="Arial"/>
        </w:rPr>
        <w:t>drafting, are</w:t>
      </w:r>
      <w:r w:rsidR="00092282">
        <w:rPr>
          <w:rFonts w:cs="Arial"/>
        </w:rPr>
        <w:t xml:space="preserve"> </w:t>
      </w:r>
      <w:r w:rsidR="009A401B">
        <w:rPr>
          <w:rFonts w:cs="Arial"/>
        </w:rPr>
        <w:t>bill</w:t>
      </w:r>
      <w:r w:rsidR="00092282">
        <w:rPr>
          <w:rFonts w:cs="Arial"/>
        </w:rPr>
        <w:t>ed</w:t>
      </w:r>
      <w:r w:rsidR="009A401B">
        <w:rPr>
          <w:rFonts w:cs="Arial"/>
        </w:rPr>
        <w:t xml:space="preserve"> </w:t>
      </w:r>
      <w:r w:rsidR="00334D9A">
        <w:rPr>
          <w:rFonts w:cs="Arial"/>
        </w:rPr>
        <w:t>per page</w:t>
      </w:r>
      <w:r w:rsidR="00F1221A">
        <w:rPr>
          <w:rFonts w:cs="Arial"/>
        </w:rPr>
        <w:t>,</w:t>
      </w:r>
      <w:r w:rsidR="009A401B">
        <w:rPr>
          <w:rStyle w:val="FootnoteReference"/>
          <w:rFonts w:cs="Arial"/>
        </w:rPr>
        <w:footnoteReference w:id="7"/>
      </w:r>
      <w:r w:rsidR="00334D9A">
        <w:rPr>
          <w:rFonts w:cs="Arial"/>
        </w:rPr>
        <w:t xml:space="preserve"> while in other jurisdictions all of counsel’s fees are time based. </w:t>
      </w:r>
      <w:r w:rsidR="009A401B">
        <w:rPr>
          <w:rFonts w:cs="Arial"/>
        </w:rPr>
        <w:t>While it appears that the time-based approach is preferred</w:t>
      </w:r>
      <w:r w:rsidR="002638D2">
        <w:rPr>
          <w:rFonts w:cs="Arial"/>
        </w:rPr>
        <w:t>,</w:t>
      </w:r>
      <w:r w:rsidR="009A401B">
        <w:rPr>
          <w:rStyle w:val="FootnoteReference"/>
          <w:rFonts w:cs="Arial"/>
        </w:rPr>
        <w:footnoteReference w:id="8"/>
      </w:r>
      <w:r w:rsidR="009A401B">
        <w:rPr>
          <w:rFonts w:cs="Arial"/>
        </w:rPr>
        <w:t xml:space="preserve"> i</w:t>
      </w:r>
      <w:r w:rsidR="00334D9A">
        <w:rPr>
          <w:rFonts w:cs="Arial"/>
        </w:rPr>
        <w:t xml:space="preserve">t is axiomatic that a </w:t>
      </w:r>
      <w:r w:rsidR="009A401B">
        <w:rPr>
          <w:rFonts w:cs="Arial"/>
        </w:rPr>
        <w:t>time-based</w:t>
      </w:r>
      <w:r w:rsidR="00334D9A">
        <w:rPr>
          <w:rFonts w:cs="Arial"/>
        </w:rPr>
        <w:t xml:space="preserve"> fee will favour slower drafters. However, a fee per page may not be a true reflection of counsel’s consideration and input of the matter.</w:t>
      </w:r>
    </w:p>
    <w:p w14:paraId="3D8EFBF9" w14:textId="3E4D73AE" w:rsidR="00334D9A" w:rsidRDefault="00334D9A" w:rsidP="00334D9A">
      <w:pPr>
        <w:spacing w:line="360" w:lineRule="auto"/>
        <w:jc w:val="both"/>
        <w:rPr>
          <w:rFonts w:cs="Arial"/>
        </w:rPr>
      </w:pPr>
    </w:p>
    <w:p w14:paraId="24F37C47" w14:textId="48BCFEA7" w:rsidR="00334D9A" w:rsidRDefault="00416066" w:rsidP="00416066">
      <w:pPr>
        <w:spacing w:line="360" w:lineRule="auto"/>
        <w:jc w:val="both"/>
        <w:rPr>
          <w:rFonts w:cs="Arial"/>
        </w:rPr>
      </w:pPr>
      <w:r>
        <w:rPr>
          <w:rFonts w:cs="Arial"/>
        </w:rPr>
        <w:t>[16]</w:t>
      </w:r>
      <w:r>
        <w:rPr>
          <w:rFonts w:cs="Arial"/>
        </w:rPr>
        <w:tab/>
      </w:r>
      <w:r w:rsidR="00334D9A">
        <w:rPr>
          <w:rFonts w:cs="Arial"/>
        </w:rPr>
        <w:t xml:space="preserve">In the circumstances, </w:t>
      </w:r>
      <w:r w:rsidR="009A401B">
        <w:rPr>
          <w:rFonts w:cs="Arial"/>
        </w:rPr>
        <w:t xml:space="preserve">in considering </w:t>
      </w:r>
      <w:r w:rsidR="009D0A52">
        <w:rPr>
          <w:rFonts w:cs="Arial"/>
        </w:rPr>
        <w:t xml:space="preserve">the general principles, to assess </w:t>
      </w:r>
      <w:r w:rsidR="009A401B">
        <w:rPr>
          <w:rFonts w:cs="Arial"/>
        </w:rPr>
        <w:t>the all</w:t>
      </w:r>
      <w:r w:rsidR="009D0A52">
        <w:rPr>
          <w:rFonts w:cs="Arial"/>
        </w:rPr>
        <w:t>o</w:t>
      </w:r>
      <w:r w:rsidR="00F1221A">
        <w:rPr>
          <w:rFonts w:cs="Arial"/>
        </w:rPr>
        <w:t>c</w:t>
      </w:r>
      <w:r w:rsidR="009A401B">
        <w:rPr>
          <w:rFonts w:cs="Arial"/>
        </w:rPr>
        <w:t>at</w:t>
      </w:r>
      <w:r w:rsidR="009D0A52">
        <w:rPr>
          <w:rFonts w:cs="Arial"/>
        </w:rPr>
        <w:t>u</w:t>
      </w:r>
      <w:r w:rsidR="009A401B">
        <w:rPr>
          <w:rFonts w:cs="Arial"/>
        </w:rPr>
        <w:t>r, it is necessary for me to have cognisance of the following</w:t>
      </w:r>
      <w:r w:rsidR="00092282">
        <w:rPr>
          <w:rFonts w:cs="Arial"/>
        </w:rPr>
        <w:t xml:space="preserve"> issues</w:t>
      </w:r>
      <w:r w:rsidR="009A401B">
        <w:rPr>
          <w:rFonts w:cs="Arial"/>
        </w:rPr>
        <w:t xml:space="preserve">: </w:t>
      </w:r>
      <w:r w:rsidR="00C4340C">
        <w:rPr>
          <w:rFonts w:cs="Arial"/>
        </w:rPr>
        <w:t>c</w:t>
      </w:r>
      <w:r w:rsidR="009A401B">
        <w:rPr>
          <w:rFonts w:cs="Arial"/>
        </w:rPr>
        <w:t xml:space="preserve">ounsel’s </w:t>
      </w:r>
      <w:r w:rsidR="0009354A">
        <w:rPr>
          <w:rFonts w:cs="Arial"/>
        </w:rPr>
        <w:t xml:space="preserve">calling to </w:t>
      </w:r>
      <w:r w:rsidR="009A401B">
        <w:rPr>
          <w:rFonts w:cs="Arial"/>
        </w:rPr>
        <w:t xml:space="preserve">the </w:t>
      </w:r>
      <w:r w:rsidR="0009354A">
        <w:rPr>
          <w:rFonts w:cs="Arial"/>
        </w:rPr>
        <w:t>Bar, the complexity of the matter, the volume of the matter and</w:t>
      </w:r>
      <w:r w:rsidR="009D0A52">
        <w:rPr>
          <w:rFonts w:cs="Arial"/>
        </w:rPr>
        <w:t>,</w:t>
      </w:r>
      <w:r w:rsidR="0009354A">
        <w:rPr>
          <w:rFonts w:cs="Arial"/>
        </w:rPr>
        <w:t xml:space="preserve"> to a lesser extent</w:t>
      </w:r>
      <w:r w:rsidR="009D0A52">
        <w:rPr>
          <w:rFonts w:cs="Arial"/>
        </w:rPr>
        <w:t>,</w:t>
      </w:r>
      <w:r w:rsidR="0009354A">
        <w:rPr>
          <w:rFonts w:cs="Arial"/>
        </w:rPr>
        <w:t xml:space="preserve"> the importance of the matter to </w:t>
      </w:r>
      <w:r w:rsidR="00C4340C">
        <w:rPr>
          <w:rFonts w:cs="Arial"/>
        </w:rPr>
        <w:t xml:space="preserve">the </w:t>
      </w:r>
      <w:r w:rsidR="0009354A">
        <w:rPr>
          <w:rFonts w:cs="Arial"/>
        </w:rPr>
        <w:t xml:space="preserve">client. </w:t>
      </w:r>
    </w:p>
    <w:p w14:paraId="0B1A31AB" w14:textId="77777777" w:rsidR="003732BA" w:rsidRDefault="003732BA" w:rsidP="003732BA">
      <w:pPr>
        <w:spacing w:line="360" w:lineRule="auto"/>
        <w:jc w:val="both"/>
        <w:rPr>
          <w:rFonts w:cs="Arial"/>
        </w:rPr>
      </w:pPr>
    </w:p>
    <w:p w14:paraId="73CB320D" w14:textId="0413F326" w:rsidR="0009354A" w:rsidRDefault="00416066" w:rsidP="00416066">
      <w:pPr>
        <w:spacing w:line="360" w:lineRule="auto"/>
        <w:jc w:val="both"/>
        <w:rPr>
          <w:rFonts w:cs="Arial"/>
        </w:rPr>
      </w:pPr>
      <w:r>
        <w:rPr>
          <w:rFonts w:cs="Arial"/>
        </w:rPr>
        <w:t>[17]</w:t>
      </w:r>
      <w:r>
        <w:rPr>
          <w:rFonts w:cs="Arial"/>
        </w:rPr>
        <w:tab/>
      </w:r>
      <w:r w:rsidR="0009354A">
        <w:rPr>
          <w:rFonts w:cs="Arial"/>
        </w:rPr>
        <w:t xml:space="preserve">Neither </w:t>
      </w:r>
      <w:r w:rsidR="007949D3">
        <w:rPr>
          <w:rFonts w:cs="Arial"/>
        </w:rPr>
        <w:t>has c</w:t>
      </w:r>
      <w:r w:rsidR="0009354A">
        <w:rPr>
          <w:rFonts w:cs="Arial"/>
        </w:rPr>
        <w:t xml:space="preserve">ounsel’s rate, nor </w:t>
      </w:r>
      <w:r w:rsidR="00C032F2">
        <w:rPr>
          <w:rFonts w:cs="Arial"/>
        </w:rPr>
        <w:t xml:space="preserve">his </w:t>
      </w:r>
      <w:r w:rsidR="0009354A">
        <w:rPr>
          <w:rFonts w:cs="Arial"/>
        </w:rPr>
        <w:t xml:space="preserve">seniority has been called into question. Accordingly, I shall proceed on the basis that these are common cause. In as far as the volume is concerned, this too appears common cause because </w:t>
      </w:r>
      <w:r w:rsidR="007949D3">
        <w:rPr>
          <w:rFonts w:cs="Arial"/>
        </w:rPr>
        <w:t xml:space="preserve">it is </w:t>
      </w:r>
      <w:r w:rsidR="0009354A">
        <w:rPr>
          <w:rFonts w:cs="Arial"/>
        </w:rPr>
        <w:t xml:space="preserve">Fidelity’s allegation that the </w:t>
      </w:r>
      <w:r w:rsidR="002638D2">
        <w:rPr>
          <w:rFonts w:cs="Arial"/>
        </w:rPr>
        <w:t>r</w:t>
      </w:r>
      <w:r w:rsidR="0009354A">
        <w:rPr>
          <w:rFonts w:cs="Arial"/>
        </w:rPr>
        <w:t>ule 53 record</w:t>
      </w:r>
      <w:r w:rsidR="00A07A7F">
        <w:rPr>
          <w:rFonts w:cs="Arial"/>
        </w:rPr>
        <w:t>,</w:t>
      </w:r>
      <w:r w:rsidR="0009354A">
        <w:rPr>
          <w:rFonts w:cs="Arial"/>
        </w:rPr>
        <w:t xml:space="preserve"> </w:t>
      </w:r>
      <w:r w:rsidR="00A07A7F">
        <w:rPr>
          <w:rFonts w:cs="Arial"/>
        </w:rPr>
        <w:t>which -</w:t>
      </w:r>
      <w:r w:rsidR="0009354A">
        <w:rPr>
          <w:rFonts w:cs="Arial"/>
        </w:rPr>
        <w:t xml:space="preserve"> apart from the pleadings, heads of argument and practise notes being in excess of 400 pages </w:t>
      </w:r>
      <w:r w:rsidR="00A07A7F">
        <w:rPr>
          <w:rFonts w:cs="Arial"/>
        </w:rPr>
        <w:t>- is 1714</w:t>
      </w:r>
      <w:r w:rsidR="0009354A">
        <w:rPr>
          <w:rFonts w:cs="Arial"/>
        </w:rPr>
        <w:t xml:space="preserve"> pages</w:t>
      </w:r>
      <w:r w:rsidR="002638D2">
        <w:rPr>
          <w:rFonts w:cs="Arial"/>
        </w:rPr>
        <w:t>.</w:t>
      </w:r>
      <w:r w:rsidR="0009354A">
        <w:rPr>
          <w:rStyle w:val="FootnoteReference"/>
          <w:rFonts w:cs="Arial"/>
        </w:rPr>
        <w:footnoteReference w:id="9"/>
      </w:r>
      <w:r w:rsidR="0009354A">
        <w:rPr>
          <w:rFonts w:cs="Arial"/>
        </w:rPr>
        <w:t xml:space="preserve"> </w:t>
      </w:r>
      <w:r w:rsidR="00A07A7F">
        <w:rPr>
          <w:rFonts w:cs="Arial"/>
        </w:rPr>
        <w:t xml:space="preserve">Accordingly, the matter is </w:t>
      </w:r>
      <w:r w:rsidR="00E95BE5" w:rsidRPr="00E95BE5">
        <w:rPr>
          <w:rFonts w:cs="Arial"/>
        </w:rPr>
        <w:t>voluminous</w:t>
      </w:r>
      <w:r w:rsidR="00A07A7F">
        <w:rPr>
          <w:rFonts w:cs="Arial"/>
        </w:rPr>
        <w:t xml:space="preserve">. </w:t>
      </w:r>
    </w:p>
    <w:p w14:paraId="554C18CE" w14:textId="77777777" w:rsidR="0009354A" w:rsidRDefault="0009354A" w:rsidP="00A40C17">
      <w:pPr>
        <w:pStyle w:val="ListParagraph"/>
        <w:spacing w:line="360" w:lineRule="auto"/>
        <w:rPr>
          <w:rFonts w:cs="Arial"/>
        </w:rPr>
      </w:pPr>
    </w:p>
    <w:p w14:paraId="05D57E34" w14:textId="6DEB28A5" w:rsidR="00A07A7F" w:rsidRDefault="00416066" w:rsidP="00416066">
      <w:pPr>
        <w:spacing w:line="360" w:lineRule="auto"/>
        <w:jc w:val="both"/>
        <w:rPr>
          <w:rFonts w:cs="Arial"/>
        </w:rPr>
      </w:pPr>
      <w:r>
        <w:rPr>
          <w:rFonts w:cs="Arial"/>
        </w:rPr>
        <w:t>[18]</w:t>
      </w:r>
      <w:r>
        <w:rPr>
          <w:rFonts w:cs="Arial"/>
        </w:rPr>
        <w:tab/>
      </w:r>
      <w:r w:rsidR="00A07A7F">
        <w:rPr>
          <w:rFonts w:cs="Arial"/>
        </w:rPr>
        <w:t>In as far as the complexity of the matter</w:t>
      </w:r>
      <w:r w:rsidR="009D0A52">
        <w:rPr>
          <w:rFonts w:cs="Arial"/>
        </w:rPr>
        <w:t xml:space="preserve"> is concerned; </w:t>
      </w:r>
      <w:r w:rsidR="00A07A7F">
        <w:rPr>
          <w:rFonts w:cs="Arial"/>
        </w:rPr>
        <w:t>neither party makes any pronunciations on</w:t>
      </w:r>
      <w:r w:rsidR="00092282">
        <w:rPr>
          <w:rFonts w:cs="Arial"/>
        </w:rPr>
        <w:t xml:space="preserve"> the</w:t>
      </w:r>
      <w:r w:rsidR="00A07A7F">
        <w:rPr>
          <w:rFonts w:cs="Arial"/>
        </w:rPr>
        <w:t xml:space="preserve"> issue. Accordingly, I shall peruse the file and make a value judgment. The main application is a PAJA review, where the applicant sought on </w:t>
      </w:r>
      <w:r w:rsidR="00092282">
        <w:rPr>
          <w:rFonts w:cs="Arial"/>
        </w:rPr>
        <w:t>an</w:t>
      </w:r>
      <w:r w:rsidR="00A07A7F">
        <w:rPr>
          <w:rFonts w:cs="Arial"/>
        </w:rPr>
        <w:t xml:space="preserve"> urgent basis to obtain an interim interdict, to maintain the status quo, while attempting </w:t>
      </w:r>
      <w:r w:rsidR="00092282">
        <w:rPr>
          <w:rFonts w:cs="Arial"/>
        </w:rPr>
        <w:t xml:space="preserve">to </w:t>
      </w:r>
      <w:r w:rsidR="00A07A7F">
        <w:rPr>
          <w:rFonts w:cs="Arial"/>
        </w:rPr>
        <w:t xml:space="preserve">review and set aside a </w:t>
      </w:r>
      <w:r w:rsidR="009D0A52">
        <w:rPr>
          <w:rFonts w:cs="Arial"/>
        </w:rPr>
        <w:t xml:space="preserve">tender which </w:t>
      </w:r>
      <w:r w:rsidR="007949D3">
        <w:rPr>
          <w:rFonts w:cs="Arial"/>
        </w:rPr>
        <w:t xml:space="preserve">the First Respondent </w:t>
      </w:r>
      <w:r w:rsidR="009D0A52">
        <w:rPr>
          <w:rFonts w:cs="Arial"/>
        </w:rPr>
        <w:t xml:space="preserve">had </w:t>
      </w:r>
      <w:r w:rsidR="00A07A7F">
        <w:rPr>
          <w:rFonts w:cs="Arial"/>
        </w:rPr>
        <w:t>awarded to Fidelity</w:t>
      </w:r>
      <w:r w:rsidR="009D0A52">
        <w:rPr>
          <w:rFonts w:cs="Arial"/>
        </w:rPr>
        <w:t xml:space="preserve">, after a procurement process. </w:t>
      </w:r>
    </w:p>
    <w:p w14:paraId="5D933934" w14:textId="77777777" w:rsidR="00092282" w:rsidRDefault="00092282" w:rsidP="00A40C17">
      <w:pPr>
        <w:pStyle w:val="ListParagraph"/>
        <w:spacing w:line="360" w:lineRule="auto"/>
        <w:rPr>
          <w:rFonts w:cs="Arial"/>
        </w:rPr>
      </w:pPr>
    </w:p>
    <w:p w14:paraId="77E18333" w14:textId="71832E36" w:rsidR="00092282" w:rsidRDefault="00416066" w:rsidP="00416066">
      <w:pPr>
        <w:spacing w:line="360" w:lineRule="auto"/>
        <w:jc w:val="both"/>
        <w:rPr>
          <w:rFonts w:cs="Arial"/>
        </w:rPr>
      </w:pPr>
      <w:r>
        <w:rPr>
          <w:rFonts w:cs="Arial"/>
        </w:rPr>
        <w:t>[19]</w:t>
      </w:r>
      <w:r>
        <w:rPr>
          <w:rFonts w:cs="Arial"/>
        </w:rPr>
        <w:tab/>
      </w:r>
      <w:r w:rsidR="00092282">
        <w:rPr>
          <w:rFonts w:cs="Arial"/>
        </w:rPr>
        <w:t>The matter was eventually disposed of where the applicant withdrew the application. Fidelity, apart from a defence on the merits, took a special plea of material misjoinder. Given that the matter was withdrawn on the day, while the matter being ripe for hearing, it may have been suggested by the presiding officer that the special plea will be upheld.</w:t>
      </w:r>
    </w:p>
    <w:p w14:paraId="21733F7A" w14:textId="77777777" w:rsidR="00092282" w:rsidRDefault="00092282" w:rsidP="00092282">
      <w:pPr>
        <w:pStyle w:val="ListParagraph"/>
        <w:rPr>
          <w:rFonts w:cs="Arial"/>
        </w:rPr>
      </w:pPr>
    </w:p>
    <w:p w14:paraId="711F6C86" w14:textId="02EF4088" w:rsidR="00092282" w:rsidRDefault="00416066" w:rsidP="00416066">
      <w:pPr>
        <w:spacing w:line="360" w:lineRule="auto"/>
        <w:jc w:val="both"/>
        <w:rPr>
          <w:rFonts w:cs="Arial"/>
        </w:rPr>
      </w:pPr>
      <w:r>
        <w:rPr>
          <w:rFonts w:cs="Arial"/>
        </w:rPr>
        <w:t>[20]</w:t>
      </w:r>
      <w:r>
        <w:rPr>
          <w:rFonts w:cs="Arial"/>
        </w:rPr>
        <w:tab/>
      </w:r>
      <w:r w:rsidR="00092282">
        <w:rPr>
          <w:rFonts w:cs="Arial"/>
        </w:rPr>
        <w:t xml:space="preserve">It is axiomatic that review applications are complex by its very nature, and given that this matter dealt with a complex area of law being Administrative Law, I shall proceed from this point that the matter was complex.  </w:t>
      </w:r>
    </w:p>
    <w:p w14:paraId="6A573EF8" w14:textId="77777777" w:rsidR="00A07A7F" w:rsidRDefault="00A07A7F" w:rsidP="00A40C17">
      <w:pPr>
        <w:pStyle w:val="ListParagraph"/>
        <w:spacing w:line="360" w:lineRule="auto"/>
        <w:rPr>
          <w:rFonts w:cs="Arial"/>
        </w:rPr>
      </w:pPr>
    </w:p>
    <w:p w14:paraId="2F7B8C4B" w14:textId="0E0BDE25" w:rsidR="00A00B6F" w:rsidRDefault="00416066" w:rsidP="00416066">
      <w:pPr>
        <w:spacing w:line="360" w:lineRule="auto"/>
        <w:jc w:val="both"/>
        <w:rPr>
          <w:rFonts w:cs="Arial"/>
        </w:rPr>
      </w:pPr>
      <w:r>
        <w:rPr>
          <w:rFonts w:cs="Arial"/>
        </w:rPr>
        <w:t>[21]</w:t>
      </w:r>
      <w:r>
        <w:rPr>
          <w:rFonts w:cs="Arial"/>
        </w:rPr>
        <w:tab/>
      </w:r>
      <w:r w:rsidR="00B934BB">
        <w:rPr>
          <w:rFonts w:cs="Arial"/>
        </w:rPr>
        <w:t xml:space="preserve">Fidelity is dissatisfied with the taxing master’s decision in respect of item 90 where counsel’s fees for the reading of the </w:t>
      </w:r>
      <w:r w:rsidR="002638D2">
        <w:rPr>
          <w:rFonts w:cs="Arial"/>
        </w:rPr>
        <w:t>r</w:t>
      </w:r>
      <w:r w:rsidR="00B934BB">
        <w:rPr>
          <w:rFonts w:cs="Arial"/>
        </w:rPr>
        <w:t>ule 53 record and settling of the answering affidavit had been reduced to R48 300</w:t>
      </w:r>
      <w:r w:rsidR="00B934BB">
        <w:rPr>
          <w:rStyle w:val="FootnoteReference"/>
          <w:rFonts w:cs="Arial"/>
        </w:rPr>
        <w:footnoteReference w:id="10"/>
      </w:r>
      <w:r w:rsidR="00B934BB">
        <w:rPr>
          <w:rFonts w:cs="Arial"/>
        </w:rPr>
        <w:t xml:space="preserve"> from R75 900.</w:t>
      </w:r>
      <w:r w:rsidR="00B934BB">
        <w:rPr>
          <w:rStyle w:val="FootnoteReference"/>
          <w:rFonts w:cs="Arial"/>
        </w:rPr>
        <w:footnoteReference w:id="11"/>
      </w:r>
    </w:p>
    <w:p w14:paraId="46BD2E4A" w14:textId="77777777" w:rsidR="00B934BB" w:rsidRDefault="00B934BB" w:rsidP="00B934BB">
      <w:pPr>
        <w:spacing w:line="360" w:lineRule="auto"/>
        <w:jc w:val="both"/>
        <w:rPr>
          <w:rFonts w:cs="Arial"/>
        </w:rPr>
      </w:pPr>
    </w:p>
    <w:p w14:paraId="65041971" w14:textId="1F37D772" w:rsidR="00B934BB" w:rsidRDefault="00416066" w:rsidP="00416066">
      <w:pPr>
        <w:spacing w:line="360" w:lineRule="auto"/>
        <w:jc w:val="both"/>
        <w:rPr>
          <w:rFonts w:cs="Arial"/>
        </w:rPr>
      </w:pPr>
      <w:r>
        <w:rPr>
          <w:rFonts w:cs="Arial"/>
        </w:rPr>
        <w:t>[22]</w:t>
      </w:r>
      <w:r>
        <w:rPr>
          <w:rFonts w:cs="Arial"/>
        </w:rPr>
        <w:tab/>
      </w:r>
      <w:r w:rsidR="00B934BB">
        <w:rPr>
          <w:rFonts w:cs="Arial"/>
        </w:rPr>
        <w:t xml:space="preserve">Fidelity avers that the taxing master failed to take into account that the record consisted of 1 714 pages and perusal of the pages at 20 pages per hour would be 85 hours while counsel only charged for 22 hours. In support for that proposition, Fidelity refers me to the </w:t>
      </w:r>
      <w:r w:rsidR="0082771D" w:rsidRPr="009A0D35">
        <w:rPr>
          <w:rFonts w:cs="Arial"/>
          <w:i/>
        </w:rPr>
        <w:t>C</w:t>
      </w:r>
      <w:r w:rsidR="0082771D" w:rsidRPr="009A0D35">
        <w:rPr>
          <w:rFonts w:cs="Arial"/>
          <w:i/>
          <w:iCs/>
        </w:rPr>
        <w:t>i</w:t>
      </w:r>
      <w:r w:rsidR="0082771D">
        <w:rPr>
          <w:rFonts w:cs="Arial"/>
          <w:i/>
          <w:iCs/>
        </w:rPr>
        <w:t>ty of Cape Town v Arun Property Development (Pty) Ltd and Another</w:t>
      </w:r>
      <w:r w:rsidR="0082771D" w:rsidRPr="0082771D">
        <w:rPr>
          <w:rStyle w:val="FootnoteReference"/>
          <w:rFonts w:cs="Arial"/>
          <w:iCs/>
        </w:rPr>
        <w:t xml:space="preserve"> </w:t>
      </w:r>
      <w:r w:rsidR="0082771D" w:rsidRPr="0082771D">
        <w:rPr>
          <w:rStyle w:val="FootnoteReference"/>
          <w:rFonts w:cs="Arial"/>
          <w:iCs/>
        </w:rPr>
        <w:footnoteReference w:id="12"/>
      </w:r>
      <w:r w:rsidR="00B934BB">
        <w:rPr>
          <w:rFonts w:cs="Arial"/>
          <w:i/>
          <w:iCs/>
        </w:rPr>
        <w:t xml:space="preserve"> </w:t>
      </w:r>
      <w:r w:rsidR="00B934BB">
        <w:rPr>
          <w:rFonts w:cs="Arial"/>
        </w:rPr>
        <w:t xml:space="preserve">where it was held that the taxing master must consider the work done by counsel and consider what is reasonable. </w:t>
      </w:r>
    </w:p>
    <w:p w14:paraId="46B6815F" w14:textId="77777777" w:rsidR="00F1221A" w:rsidRDefault="00F1221A" w:rsidP="00F1221A">
      <w:pPr>
        <w:spacing w:line="360" w:lineRule="auto"/>
        <w:jc w:val="both"/>
        <w:rPr>
          <w:rFonts w:cs="Arial"/>
        </w:rPr>
      </w:pPr>
    </w:p>
    <w:p w14:paraId="6A9F424D" w14:textId="62D4F371" w:rsidR="00B934BB" w:rsidRDefault="00416066" w:rsidP="00416066">
      <w:pPr>
        <w:spacing w:line="360" w:lineRule="auto"/>
        <w:jc w:val="both"/>
        <w:rPr>
          <w:rFonts w:cs="Arial"/>
        </w:rPr>
      </w:pPr>
      <w:r>
        <w:rPr>
          <w:rFonts w:cs="Arial"/>
        </w:rPr>
        <w:t>[23]</w:t>
      </w:r>
      <w:r>
        <w:rPr>
          <w:rFonts w:cs="Arial"/>
        </w:rPr>
        <w:tab/>
      </w:r>
      <w:r w:rsidR="00AB67E1">
        <w:rPr>
          <w:rFonts w:cs="Arial"/>
        </w:rPr>
        <w:t xml:space="preserve">In </w:t>
      </w:r>
      <w:r w:rsidR="00F1221A">
        <w:rPr>
          <w:rFonts w:cs="Arial"/>
          <w:i/>
          <w:iCs/>
        </w:rPr>
        <w:t>City of Cape Town v Arun Property</w:t>
      </w:r>
      <w:r w:rsidR="0082771D" w:rsidRPr="009A0D35">
        <w:rPr>
          <w:rStyle w:val="FootnoteReference"/>
          <w:rFonts w:cs="Arial"/>
          <w:iCs/>
        </w:rPr>
        <w:footnoteReference w:id="13"/>
      </w:r>
      <w:r w:rsidR="00F1221A">
        <w:rPr>
          <w:rFonts w:cs="Arial"/>
          <w:i/>
          <w:iCs/>
        </w:rPr>
        <w:t xml:space="preserve"> </w:t>
      </w:r>
      <w:r w:rsidR="00AB67E1">
        <w:rPr>
          <w:rFonts w:cs="Arial"/>
        </w:rPr>
        <w:t xml:space="preserve">the </w:t>
      </w:r>
      <w:r w:rsidR="00F1221A">
        <w:rPr>
          <w:rFonts w:cs="Arial"/>
        </w:rPr>
        <w:t>c</w:t>
      </w:r>
      <w:r w:rsidR="00AB67E1">
        <w:rPr>
          <w:rFonts w:cs="Arial"/>
        </w:rPr>
        <w:t>ourt held:</w:t>
      </w:r>
    </w:p>
    <w:p w14:paraId="53527120" w14:textId="5090B997" w:rsidR="00AB67E1" w:rsidRDefault="00AB67E1" w:rsidP="00AB67E1">
      <w:pPr>
        <w:spacing w:line="360" w:lineRule="auto"/>
        <w:jc w:val="both"/>
        <w:rPr>
          <w:rFonts w:cs="Arial"/>
          <w:sz w:val="22"/>
          <w:szCs w:val="22"/>
        </w:rPr>
      </w:pPr>
      <w:r>
        <w:rPr>
          <w:rFonts w:cs="Arial"/>
          <w:sz w:val="22"/>
          <w:szCs w:val="22"/>
        </w:rPr>
        <w:t>‘[25]</w:t>
      </w:r>
      <w:r w:rsidR="002C0949">
        <w:rPr>
          <w:rFonts w:cs="Arial"/>
          <w:sz w:val="22"/>
          <w:szCs w:val="22"/>
        </w:rPr>
        <w:t xml:space="preserve"> </w:t>
      </w:r>
      <w:r>
        <w:rPr>
          <w:rFonts w:cs="Arial"/>
          <w:sz w:val="22"/>
          <w:szCs w:val="22"/>
        </w:rPr>
        <w:t>…In some cases certain of these issues will not arise; in others there will be other factors which should be taken into account. Nonetheless, the list will probabl</w:t>
      </w:r>
      <w:r w:rsidR="0082771D">
        <w:rPr>
          <w:rFonts w:cs="Arial"/>
          <w:sz w:val="22"/>
          <w:szCs w:val="22"/>
        </w:rPr>
        <w:t>y</w:t>
      </w:r>
      <w:r>
        <w:rPr>
          <w:rFonts w:cs="Arial"/>
          <w:sz w:val="22"/>
          <w:szCs w:val="22"/>
        </w:rPr>
        <w:t xml:space="preserve"> serve as a reasonable guide in most cases. As I see it, the taxing master ought to have </w:t>
      </w:r>
      <w:r w:rsidR="00151B2C">
        <w:rPr>
          <w:rFonts w:cs="Arial"/>
          <w:sz w:val="22"/>
          <w:szCs w:val="22"/>
        </w:rPr>
        <w:t xml:space="preserve">approached the taxation of the bill of costs in this matter </w:t>
      </w:r>
      <w:r w:rsidR="00A85176">
        <w:rPr>
          <w:rFonts w:cs="Arial"/>
          <w:sz w:val="22"/>
          <w:szCs w:val="22"/>
        </w:rPr>
        <w:t>along the following lines:</w:t>
      </w:r>
    </w:p>
    <w:p w14:paraId="6EAD572A" w14:textId="5AE76226" w:rsidR="00A85176" w:rsidRPr="00853EE6" w:rsidRDefault="00A85176" w:rsidP="0082771D">
      <w:pPr>
        <w:spacing w:line="360" w:lineRule="auto"/>
        <w:ind w:left="720" w:hanging="720"/>
        <w:jc w:val="both"/>
        <w:rPr>
          <w:rFonts w:cs="Arial"/>
          <w:sz w:val="22"/>
          <w:szCs w:val="22"/>
        </w:rPr>
      </w:pPr>
      <w:r w:rsidRPr="0082771D">
        <w:rPr>
          <w:rFonts w:cs="Arial"/>
          <w:i/>
          <w:sz w:val="22"/>
          <w:szCs w:val="22"/>
        </w:rPr>
        <w:t>(a)</w:t>
      </w:r>
      <w:r>
        <w:rPr>
          <w:rFonts w:cs="Arial"/>
          <w:sz w:val="22"/>
          <w:szCs w:val="22"/>
        </w:rPr>
        <w:tab/>
      </w:r>
      <w:r w:rsidR="0082771D">
        <w:rPr>
          <w:rFonts w:cs="Arial"/>
          <w:sz w:val="22"/>
          <w:szCs w:val="22"/>
        </w:rPr>
        <w:t>C</w:t>
      </w:r>
      <w:r>
        <w:rPr>
          <w:rFonts w:cs="Arial"/>
          <w:sz w:val="22"/>
          <w:szCs w:val="22"/>
        </w:rPr>
        <w:t>onsideration should have been given to the importance of the matter, its financial value to the part</w:t>
      </w:r>
      <w:r w:rsidR="0082771D">
        <w:rPr>
          <w:rFonts w:cs="Arial"/>
          <w:sz w:val="22"/>
          <w:szCs w:val="22"/>
        </w:rPr>
        <w:t>ies</w:t>
      </w:r>
      <w:r>
        <w:rPr>
          <w:rFonts w:cs="Arial"/>
          <w:sz w:val="22"/>
          <w:szCs w:val="22"/>
        </w:rPr>
        <w:t xml:space="preserve"> and the complexity of the issues raised and/or require</w:t>
      </w:r>
      <w:r w:rsidR="0082771D">
        <w:rPr>
          <w:rFonts w:cs="Arial"/>
          <w:sz w:val="22"/>
          <w:szCs w:val="22"/>
        </w:rPr>
        <w:t>d</w:t>
      </w:r>
      <w:r>
        <w:rPr>
          <w:rFonts w:cs="Arial"/>
          <w:sz w:val="22"/>
          <w:szCs w:val="22"/>
        </w:rPr>
        <w:t xml:space="preserve"> to be canvassed. In this regard the taxing master should have had regard to the nature of the matter, the issues in dispute, the volume of the record and such other factors as may have assisted her in obtaining an impression of the matter relevant to assessing its importance and complexity. The taxing master may have been assisted by the submission</w:t>
      </w:r>
      <w:r w:rsidR="0082771D">
        <w:rPr>
          <w:rFonts w:cs="Arial"/>
          <w:sz w:val="22"/>
          <w:szCs w:val="22"/>
        </w:rPr>
        <w:t>s</w:t>
      </w:r>
      <w:r>
        <w:rPr>
          <w:rFonts w:cs="Arial"/>
          <w:sz w:val="22"/>
          <w:szCs w:val="22"/>
        </w:rPr>
        <w:t xml:space="preserve"> made by the representatives of the parties attending taxation</w:t>
      </w:r>
      <w:r w:rsidR="002C0949">
        <w:rPr>
          <w:rFonts w:cs="Arial"/>
          <w:sz w:val="22"/>
          <w:szCs w:val="22"/>
        </w:rPr>
        <w:t>.</w:t>
      </w:r>
    </w:p>
    <w:p w14:paraId="0AF5C8F1" w14:textId="5D6E2755" w:rsidR="00A85176" w:rsidRPr="00A85176" w:rsidRDefault="00A85176" w:rsidP="0082771D">
      <w:pPr>
        <w:spacing w:line="360" w:lineRule="auto"/>
        <w:ind w:left="720" w:hanging="720"/>
        <w:jc w:val="both"/>
        <w:rPr>
          <w:rFonts w:cs="Arial"/>
          <w:sz w:val="22"/>
          <w:szCs w:val="22"/>
        </w:rPr>
      </w:pPr>
      <w:r w:rsidRPr="0082771D">
        <w:rPr>
          <w:rFonts w:cs="Arial"/>
          <w:i/>
          <w:sz w:val="22"/>
          <w:szCs w:val="22"/>
        </w:rPr>
        <w:t>(b)</w:t>
      </w:r>
      <w:r>
        <w:rPr>
          <w:rFonts w:cs="Arial"/>
          <w:sz w:val="22"/>
          <w:szCs w:val="22"/>
        </w:rPr>
        <w:tab/>
        <w:t xml:space="preserve">The work actually done by counsel and the rate at which he charged should have been considered. </w:t>
      </w:r>
      <w:r w:rsidR="0082771D">
        <w:rPr>
          <w:rFonts w:cs="Arial"/>
          <w:sz w:val="22"/>
          <w:szCs w:val="22"/>
        </w:rPr>
        <w:t>A</w:t>
      </w:r>
      <w:r>
        <w:rPr>
          <w:rFonts w:cs="Arial"/>
          <w:sz w:val="22"/>
          <w:szCs w:val="22"/>
        </w:rPr>
        <w:t xml:space="preserve"> comparison between the rate charged and the </w:t>
      </w:r>
      <w:r w:rsidRPr="00A85176">
        <w:rPr>
          <w:rFonts w:cs="Arial"/>
          <w:sz w:val="22"/>
          <w:szCs w:val="22"/>
        </w:rPr>
        <w:t xml:space="preserve">Cape Bar </w:t>
      </w:r>
      <w:r w:rsidR="0082771D">
        <w:rPr>
          <w:rFonts w:cs="Arial"/>
          <w:sz w:val="22"/>
          <w:szCs w:val="22"/>
        </w:rPr>
        <w:t>Council’s</w:t>
      </w:r>
      <w:r w:rsidR="0082771D" w:rsidRPr="00A85176">
        <w:rPr>
          <w:rFonts w:cs="Arial"/>
          <w:sz w:val="22"/>
          <w:szCs w:val="22"/>
        </w:rPr>
        <w:t xml:space="preserve"> </w:t>
      </w:r>
      <w:r w:rsidRPr="00A85176">
        <w:rPr>
          <w:rFonts w:cs="Arial"/>
          <w:sz w:val="22"/>
          <w:szCs w:val="22"/>
        </w:rPr>
        <w:t>fee parameters o</w:t>
      </w:r>
      <w:r w:rsidR="0082771D">
        <w:rPr>
          <w:rFonts w:cs="Arial"/>
          <w:sz w:val="22"/>
          <w:szCs w:val="22"/>
        </w:rPr>
        <w:t>ught</w:t>
      </w:r>
      <w:r w:rsidRPr="00A85176">
        <w:rPr>
          <w:rFonts w:cs="Arial"/>
          <w:sz w:val="22"/>
          <w:szCs w:val="22"/>
        </w:rPr>
        <w:t xml:space="preserve"> to provide a sound basis for determining the reasonableness of the rate charged by counsel, and, as long as regard is had to the fee parameters for the appropriate period, the question of inflation ought not to play any significant role, if it arises at all</w:t>
      </w:r>
      <w:r>
        <w:rPr>
          <w:rFonts w:cs="Arial"/>
          <w:sz w:val="22"/>
          <w:szCs w:val="22"/>
        </w:rPr>
        <w:t>;</w:t>
      </w:r>
    </w:p>
    <w:p w14:paraId="5B36CE2C" w14:textId="2FA25513" w:rsidR="00A85176" w:rsidRPr="00A85176" w:rsidRDefault="00A85176" w:rsidP="0082771D">
      <w:pPr>
        <w:spacing w:line="360" w:lineRule="auto"/>
        <w:ind w:left="720" w:hanging="720"/>
        <w:jc w:val="both"/>
        <w:rPr>
          <w:rFonts w:cs="Arial"/>
          <w:sz w:val="22"/>
          <w:szCs w:val="22"/>
        </w:rPr>
      </w:pPr>
      <w:r w:rsidRPr="00A85176">
        <w:rPr>
          <w:rFonts w:cs="Arial"/>
          <w:sz w:val="22"/>
          <w:szCs w:val="22"/>
        </w:rPr>
        <w:t>(c)</w:t>
      </w:r>
      <w:r>
        <w:rPr>
          <w:rFonts w:cs="Arial"/>
          <w:sz w:val="22"/>
          <w:szCs w:val="22"/>
        </w:rPr>
        <w:tab/>
      </w:r>
      <w:r w:rsidR="0082771D">
        <w:rPr>
          <w:rFonts w:cs="Arial"/>
          <w:sz w:val="22"/>
          <w:szCs w:val="22"/>
        </w:rPr>
        <w:t>A</w:t>
      </w:r>
      <w:r>
        <w:rPr>
          <w:rFonts w:cs="Arial"/>
          <w:sz w:val="22"/>
          <w:szCs w:val="22"/>
        </w:rPr>
        <w:t xml:space="preserve">n assessment should have been made </w:t>
      </w:r>
      <w:r w:rsidR="0082771D">
        <w:rPr>
          <w:rFonts w:cs="Arial"/>
          <w:sz w:val="22"/>
          <w:szCs w:val="22"/>
        </w:rPr>
        <w:t xml:space="preserve">as </w:t>
      </w:r>
      <w:r>
        <w:rPr>
          <w:rFonts w:cs="Arial"/>
          <w:sz w:val="22"/>
          <w:szCs w:val="22"/>
        </w:rPr>
        <w:t>to the reasonableness of counsel’s fees.’</w:t>
      </w:r>
    </w:p>
    <w:p w14:paraId="076B30C4" w14:textId="77777777" w:rsidR="00B934BB" w:rsidRDefault="00B934BB" w:rsidP="00B934BB">
      <w:pPr>
        <w:pStyle w:val="ListParagraph"/>
        <w:rPr>
          <w:rFonts w:cs="Arial"/>
        </w:rPr>
      </w:pPr>
    </w:p>
    <w:p w14:paraId="280675ED" w14:textId="705BF7DC" w:rsidR="00E95BE5" w:rsidRPr="000E6575" w:rsidRDefault="00416066" w:rsidP="00416066">
      <w:pPr>
        <w:spacing w:line="360" w:lineRule="auto"/>
        <w:jc w:val="both"/>
        <w:rPr>
          <w:rFonts w:cs="Arial"/>
        </w:rPr>
      </w:pPr>
      <w:r>
        <w:rPr>
          <w:rFonts w:cs="Arial"/>
        </w:rPr>
        <w:t>[24]</w:t>
      </w:r>
      <w:r>
        <w:rPr>
          <w:rFonts w:cs="Arial"/>
        </w:rPr>
        <w:tab/>
      </w:r>
      <w:r w:rsidR="00E95BE5">
        <w:rPr>
          <w:rFonts w:cs="Arial"/>
        </w:rPr>
        <w:t xml:space="preserve">In </w:t>
      </w:r>
      <w:r w:rsidR="00E95BE5" w:rsidRPr="000E6575">
        <w:rPr>
          <w:rFonts w:cs="Arial"/>
          <w:i/>
          <w:iCs/>
        </w:rPr>
        <w:t>Levin</w:t>
      </w:r>
      <w:r w:rsidR="00F1221A" w:rsidRPr="00100B58">
        <w:rPr>
          <w:rFonts w:cs="Arial"/>
          <w:iCs/>
        </w:rPr>
        <w:t>,</w:t>
      </w:r>
      <w:r w:rsidR="00E95BE5" w:rsidRPr="00100B58">
        <w:rPr>
          <w:rStyle w:val="FootnoteReference"/>
          <w:rFonts w:cs="Arial"/>
          <w:iCs/>
        </w:rPr>
        <w:footnoteReference w:id="14"/>
      </w:r>
      <w:r w:rsidR="00E95BE5">
        <w:rPr>
          <w:rFonts w:cs="Arial"/>
        </w:rPr>
        <w:t xml:space="preserve"> it was held: </w:t>
      </w:r>
    </w:p>
    <w:p w14:paraId="1AE6D1FA" w14:textId="0D83940E" w:rsidR="00E95BE5" w:rsidRPr="000E6575" w:rsidRDefault="00E95BE5" w:rsidP="00E95BE5">
      <w:pPr>
        <w:spacing w:line="360" w:lineRule="auto"/>
        <w:jc w:val="both"/>
        <w:rPr>
          <w:rFonts w:cs="Arial"/>
          <w:sz w:val="22"/>
          <w:szCs w:val="22"/>
        </w:rPr>
      </w:pPr>
      <w:r>
        <w:rPr>
          <w:rFonts w:cs="Arial"/>
          <w:sz w:val="22"/>
          <w:szCs w:val="22"/>
        </w:rPr>
        <w:t>‘</w:t>
      </w:r>
      <w:r w:rsidRPr="000E6575">
        <w:rPr>
          <w:rFonts w:cs="Arial"/>
          <w:sz w:val="22"/>
          <w:szCs w:val="22"/>
        </w:rPr>
        <w:t>[18]</w:t>
      </w:r>
      <w:r w:rsidR="002C0949">
        <w:rPr>
          <w:rFonts w:cs="Arial"/>
          <w:sz w:val="22"/>
          <w:szCs w:val="22"/>
        </w:rPr>
        <w:t xml:space="preserve"> </w:t>
      </w:r>
      <w:r w:rsidRPr="000E6575">
        <w:rPr>
          <w:rFonts w:cs="Arial"/>
          <w:sz w:val="22"/>
          <w:szCs w:val="22"/>
        </w:rPr>
        <w:t>But while the time spent by counsel may not always be a reliable indication of the value of the services rendered, the recompense allowed to counsel must be fair, with due regard to all the relevant factors and the fact that counsel must be fairly compensated for preparation and presentation of argument.</w:t>
      </w:r>
      <w:r>
        <w:rPr>
          <w:rFonts w:cs="Arial"/>
          <w:sz w:val="22"/>
          <w:szCs w:val="22"/>
        </w:rPr>
        <w:t>’</w:t>
      </w:r>
    </w:p>
    <w:p w14:paraId="0018E337" w14:textId="77777777" w:rsidR="00E95BE5" w:rsidRDefault="00E95BE5" w:rsidP="00E95BE5">
      <w:pPr>
        <w:spacing w:line="360" w:lineRule="auto"/>
        <w:jc w:val="both"/>
        <w:rPr>
          <w:rFonts w:cs="Arial"/>
        </w:rPr>
      </w:pPr>
    </w:p>
    <w:p w14:paraId="020B38ED" w14:textId="063775FF" w:rsidR="00EA20AC" w:rsidRDefault="00416066" w:rsidP="00416066">
      <w:pPr>
        <w:spacing w:line="360" w:lineRule="auto"/>
        <w:jc w:val="both"/>
        <w:rPr>
          <w:rFonts w:cs="Arial"/>
        </w:rPr>
      </w:pPr>
      <w:r>
        <w:rPr>
          <w:rFonts w:cs="Arial"/>
        </w:rPr>
        <w:t>[25]</w:t>
      </w:r>
      <w:r>
        <w:rPr>
          <w:rFonts w:cs="Arial"/>
        </w:rPr>
        <w:tab/>
      </w:r>
      <w:r w:rsidR="00A85176">
        <w:rPr>
          <w:rFonts w:cs="Arial"/>
        </w:rPr>
        <w:t xml:space="preserve">In response to Fidelity, the taxing master indicates that she exercised her discretion to determine not only the quantum of counsel’s fees but also whether such fees </w:t>
      </w:r>
      <w:r w:rsidR="00EA20AC">
        <w:rPr>
          <w:rFonts w:cs="Arial"/>
        </w:rPr>
        <w:t xml:space="preserve">should be allowed at all. </w:t>
      </w:r>
      <w:r w:rsidR="003676DE">
        <w:rPr>
          <w:rFonts w:cs="Arial"/>
        </w:rPr>
        <w:t>In that regard she states</w:t>
      </w:r>
      <w:r w:rsidR="00F1221A">
        <w:rPr>
          <w:rFonts w:cs="Arial"/>
        </w:rPr>
        <w:t>:</w:t>
      </w:r>
      <w:r w:rsidR="009A65F8" w:rsidRPr="00654971">
        <w:rPr>
          <w:rStyle w:val="FootnoteReference"/>
          <w:rFonts w:cs="Arial"/>
        </w:rPr>
        <w:footnoteReference w:id="15"/>
      </w:r>
    </w:p>
    <w:p w14:paraId="0B6B0FB4" w14:textId="7F1AACD8" w:rsidR="00EA20AC" w:rsidRDefault="00EA20AC" w:rsidP="00F1221A">
      <w:pPr>
        <w:spacing w:line="360" w:lineRule="auto"/>
        <w:jc w:val="both"/>
        <w:rPr>
          <w:rFonts w:cs="Arial"/>
          <w:sz w:val="22"/>
        </w:rPr>
      </w:pPr>
      <w:r w:rsidRPr="00EA20AC">
        <w:rPr>
          <w:rFonts w:cs="Arial"/>
          <w:sz w:val="22"/>
        </w:rPr>
        <w:t>‘In determining the reasonable fee</w:t>
      </w:r>
      <w:r>
        <w:rPr>
          <w:rFonts w:cs="Arial"/>
          <w:sz w:val="22"/>
        </w:rPr>
        <w:t xml:space="preserve"> she must consider among</w:t>
      </w:r>
      <w:r w:rsidR="00100B58">
        <w:rPr>
          <w:rFonts w:cs="Arial"/>
          <w:sz w:val="22"/>
        </w:rPr>
        <w:t>st</w:t>
      </w:r>
      <w:r>
        <w:rPr>
          <w:rFonts w:cs="Arial"/>
          <w:sz w:val="22"/>
        </w:rPr>
        <w:t xml:space="preserve"> other things, the nature and complexity of the matter, how voluminous were the papers, were there  difficult areas of law involved or was the claim of  particular importance to </w:t>
      </w:r>
      <w:r w:rsidR="00B02AC1">
        <w:rPr>
          <w:rFonts w:cs="Arial"/>
          <w:sz w:val="22"/>
        </w:rPr>
        <w:t xml:space="preserve">the </w:t>
      </w:r>
      <w:r>
        <w:rPr>
          <w:rFonts w:cs="Arial"/>
          <w:sz w:val="22"/>
        </w:rPr>
        <w:t xml:space="preserve">parties and also consider what is reasonable, in this regard the consideration that </w:t>
      </w:r>
      <w:r w:rsidR="00B02AC1">
        <w:rPr>
          <w:rFonts w:cs="Arial"/>
          <w:sz w:val="22"/>
        </w:rPr>
        <w:t xml:space="preserve">the </w:t>
      </w:r>
      <w:r>
        <w:rPr>
          <w:rFonts w:cs="Arial"/>
          <w:sz w:val="22"/>
        </w:rPr>
        <w:t>litigant must not be out of pocket in respect of party and party fees charged by counsel must be taken into account.’</w:t>
      </w:r>
    </w:p>
    <w:p w14:paraId="098A0EBE" w14:textId="77777777" w:rsidR="00EA20AC" w:rsidRPr="00EA20AC" w:rsidRDefault="00EA20AC" w:rsidP="00EA20AC">
      <w:pPr>
        <w:spacing w:line="360" w:lineRule="auto"/>
        <w:ind w:firstLine="720"/>
        <w:jc w:val="both"/>
        <w:rPr>
          <w:rFonts w:cs="Arial"/>
          <w:sz w:val="22"/>
        </w:rPr>
      </w:pPr>
    </w:p>
    <w:p w14:paraId="7DF0D261" w14:textId="144ECD1A" w:rsidR="00EA20AC" w:rsidRPr="00B02AC1" w:rsidRDefault="00416066" w:rsidP="00416066">
      <w:pPr>
        <w:spacing w:line="360" w:lineRule="auto"/>
        <w:jc w:val="both"/>
        <w:rPr>
          <w:rFonts w:cs="Arial"/>
        </w:rPr>
      </w:pPr>
      <w:r>
        <w:rPr>
          <w:rFonts w:cs="Arial"/>
        </w:rPr>
        <w:t>[26]</w:t>
      </w:r>
      <w:r>
        <w:rPr>
          <w:rFonts w:cs="Arial"/>
        </w:rPr>
        <w:tab/>
      </w:r>
      <w:r w:rsidR="00EA20AC">
        <w:rPr>
          <w:rFonts w:cs="Arial"/>
        </w:rPr>
        <w:t>It is apparent from the taxing master’s response that an issue is not the parameter of counsel’s fee but the reasonableness thereof. While the taxing master properly articulates the principles that ought to be engaged when exercising a discretion, she appears to pay mere lip service there</w:t>
      </w:r>
      <w:r w:rsidR="00654971">
        <w:rPr>
          <w:rFonts w:cs="Arial"/>
        </w:rPr>
        <w:t>to</w:t>
      </w:r>
      <w:r w:rsidR="00EA20AC">
        <w:rPr>
          <w:rFonts w:cs="Arial"/>
        </w:rPr>
        <w:t xml:space="preserve">, because it does not appear that she has taken cognizance of the fact that the </w:t>
      </w:r>
      <w:r w:rsidR="00F1221A">
        <w:rPr>
          <w:rFonts w:cs="Arial"/>
        </w:rPr>
        <w:t>r</w:t>
      </w:r>
      <w:r w:rsidR="00EA20AC">
        <w:rPr>
          <w:rFonts w:cs="Arial"/>
        </w:rPr>
        <w:t>ule 53 record consisted of 1 714 pages which was necessary to consider when sett</w:t>
      </w:r>
      <w:r w:rsidR="00654971">
        <w:rPr>
          <w:rFonts w:cs="Arial"/>
        </w:rPr>
        <w:t>l</w:t>
      </w:r>
      <w:r w:rsidR="00EA20AC">
        <w:rPr>
          <w:rFonts w:cs="Arial"/>
        </w:rPr>
        <w:t>ing the answering affidavit.</w:t>
      </w:r>
    </w:p>
    <w:p w14:paraId="1402830C" w14:textId="60A1E8DA" w:rsidR="00EA20AC" w:rsidRDefault="00416066" w:rsidP="00416066">
      <w:pPr>
        <w:spacing w:line="360" w:lineRule="auto"/>
        <w:jc w:val="both"/>
        <w:rPr>
          <w:rFonts w:cs="Arial"/>
        </w:rPr>
      </w:pPr>
      <w:r>
        <w:rPr>
          <w:rFonts w:cs="Arial"/>
        </w:rPr>
        <w:t>[27]</w:t>
      </w:r>
      <w:r>
        <w:rPr>
          <w:rFonts w:cs="Arial"/>
        </w:rPr>
        <w:tab/>
      </w:r>
      <w:r w:rsidR="00EA20AC">
        <w:rPr>
          <w:rFonts w:cs="Arial"/>
        </w:rPr>
        <w:t>In the premises, the decision to reduce item 90</w:t>
      </w:r>
      <w:r w:rsidR="00E95BE5">
        <w:rPr>
          <w:rFonts w:cs="Arial"/>
        </w:rPr>
        <w:t>, was based on a</w:t>
      </w:r>
      <w:r w:rsidR="00E95BE5" w:rsidRPr="00E95BE5">
        <w:rPr>
          <w:rFonts w:cs="Arial"/>
        </w:rPr>
        <w:t xml:space="preserve"> misconception as to the facts</w:t>
      </w:r>
      <w:r w:rsidR="00E95BE5">
        <w:rPr>
          <w:rFonts w:cs="Arial"/>
        </w:rPr>
        <w:t xml:space="preserve"> </w:t>
      </w:r>
      <w:r w:rsidR="00E95BE5" w:rsidRPr="00E95BE5">
        <w:rPr>
          <w:rFonts w:cs="Arial"/>
        </w:rPr>
        <w:t>and circumstances</w:t>
      </w:r>
      <w:r w:rsidR="00E95BE5">
        <w:rPr>
          <w:rFonts w:cs="Arial"/>
        </w:rPr>
        <w:t xml:space="preserve"> of the matter, and </w:t>
      </w:r>
      <w:r w:rsidR="00EA20AC">
        <w:rPr>
          <w:rFonts w:cs="Arial"/>
        </w:rPr>
        <w:t>is</w:t>
      </w:r>
      <w:r w:rsidR="00E95BE5">
        <w:rPr>
          <w:rFonts w:cs="Arial"/>
        </w:rPr>
        <w:t xml:space="preserve">; accordingly, </w:t>
      </w:r>
      <w:r w:rsidR="00EA20AC">
        <w:rPr>
          <w:rFonts w:cs="Arial"/>
        </w:rPr>
        <w:t>set aside.</w:t>
      </w:r>
    </w:p>
    <w:p w14:paraId="4433A48E" w14:textId="778C79B4" w:rsidR="00EA20AC" w:rsidRPr="00A63B83" w:rsidRDefault="00EA20AC" w:rsidP="00EA20AC">
      <w:pPr>
        <w:spacing w:line="360" w:lineRule="auto"/>
        <w:rPr>
          <w:rFonts w:cs="Arial"/>
          <w:i/>
        </w:rPr>
      </w:pPr>
    </w:p>
    <w:p w14:paraId="6325DE2F" w14:textId="785B41F1" w:rsidR="00EA20AC" w:rsidRPr="00A63B83" w:rsidRDefault="00EA20AC" w:rsidP="00EA20AC">
      <w:pPr>
        <w:spacing w:line="360" w:lineRule="auto"/>
        <w:rPr>
          <w:rFonts w:cs="Arial"/>
          <w:b/>
          <w:bCs/>
          <w:i/>
        </w:rPr>
      </w:pPr>
      <w:r w:rsidRPr="00A63B83">
        <w:rPr>
          <w:rFonts w:cs="Arial"/>
          <w:b/>
          <w:bCs/>
          <w:i/>
        </w:rPr>
        <w:t>Index and pagination of attorney’s file and counsel’s file</w:t>
      </w:r>
    </w:p>
    <w:p w14:paraId="7812F239" w14:textId="090118F6" w:rsidR="003676DE" w:rsidRDefault="00416066" w:rsidP="00416066">
      <w:pPr>
        <w:spacing w:line="360" w:lineRule="auto"/>
        <w:jc w:val="both"/>
        <w:rPr>
          <w:rFonts w:cs="Arial"/>
        </w:rPr>
      </w:pPr>
      <w:r>
        <w:rPr>
          <w:rFonts w:cs="Arial"/>
        </w:rPr>
        <w:t>[28]</w:t>
      </w:r>
      <w:r>
        <w:rPr>
          <w:rFonts w:cs="Arial"/>
        </w:rPr>
        <w:tab/>
      </w:r>
      <w:r w:rsidR="00EA20AC">
        <w:rPr>
          <w:rFonts w:cs="Arial"/>
        </w:rPr>
        <w:t>Fidelity is dissatisfied with the taxing master’s decision to tax off item 101 of its bill of costs which relates to the indexing and pagination of both the attorney</w:t>
      </w:r>
      <w:r w:rsidR="0058332E">
        <w:rPr>
          <w:rFonts w:cs="Arial"/>
        </w:rPr>
        <w:t xml:space="preserve"> </w:t>
      </w:r>
      <w:r w:rsidR="00EA20AC">
        <w:rPr>
          <w:rFonts w:cs="Arial"/>
        </w:rPr>
        <w:t>and counsel’s file in circumstances where the Applicant (in the main application) failed to do same, notwithstanding repeated requests, and no further indexing/pagination fee had been billed. The taxing master stated that in allowing a reasonable cost, items 94 and 10</w:t>
      </w:r>
      <w:r w:rsidR="0058332E">
        <w:rPr>
          <w:rFonts w:cs="Arial"/>
        </w:rPr>
        <w:t>1</w:t>
      </w:r>
      <w:r w:rsidR="00EA20AC">
        <w:rPr>
          <w:rFonts w:cs="Arial"/>
        </w:rPr>
        <w:t xml:space="preserve"> were reduced </w:t>
      </w:r>
      <w:r w:rsidR="003676DE">
        <w:rPr>
          <w:rFonts w:cs="Arial"/>
        </w:rPr>
        <w:t>from 11 hours 30 minutes</w:t>
      </w:r>
      <w:r w:rsidR="00EA20AC">
        <w:rPr>
          <w:rFonts w:cs="Arial"/>
        </w:rPr>
        <w:t xml:space="preserve"> to 7 hours 30 minutes. </w:t>
      </w:r>
    </w:p>
    <w:p w14:paraId="76C0D81D" w14:textId="77777777" w:rsidR="003676DE" w:rsidRDefault="003676DE" w:rsidP="003676DE">
      <w:pPr>
        <w:spacing w:line="360" w:lineRule="auto"/>
        <w:jc w:val="both"/>
        <w:rPr>
          <w:rFonts w:cs="Arial"/>
        </w:rPr>
      </w:pPr>
    </w:p>
    <w:p w14:paraId="007FDC50" w14:textId="0A273D62" w:rsidR="00EA20AC" w:rsidRDefault="00416066" w:rsidP="00416066">
      <w:pPr>
        <w:spacing w:line="360" w:lineRule="auto"/>
        <w:jc w:val="both"/>
        <w:rPr>
          <w:rFonts w:cs="Arial"/>
        </w:rPr>
      </w:pPr>
      <w:r>
        <w:rPr>
          <w:rFonts w:cs="Arial"/>
        </w:rPr>
        <w:t>[29]</w:t>
      </w:r>
      <w:r>
        <w:rPr>
          <w:rFonts w:cs="Arial"/>
        </w:rPr>
        <w:tab/>
      </w:r>
      <w:r w:rsidR="00EA20AC">
        <w:rPr>
          <w:rFonts w:cs="Arial"/>
        </w:rPr>
        <w:t xml:space="preserve">In reply, Fidelity states that item 94 relates to the index and pagination of the indexed bundles which made three volumes in total while item 101 relates to the index and pagination of the Applicant’s tender documents which made </w:t>
      </w:r>
      <w:r w:rsidR="0058332E">
        <w:rPr>
          <w:rFonts w:cs="Arial"/>
        </w:rPr>
        <w:t xml:space="preserve">12 </w:t>
      </w:r>
      <w:r w:rsidR="00EA20AC">
        <w:rPr>
          <w:rFonts w:cs="Arial"/>
        </w:rPr>
        <w:t xml:space="preserve">volumes in total. Fidelity reasons that the taxing master erred in disallowing this item in its entirety. </w:t>
      </w:r>
    </w:p>
    <w:p w14:paraId="4B3A82F8" w14:textId="77777777" w:rsidR="00270439" w:rsidRDefault="00270439" w:rsidP="00270439">
      <w:pPr>
        <w:spacing w:line="360" w:lineRule="auto"/>
        <w:jc w:val="both"/>
        <w:rPr>
          <w:rFonts w:cs="Arial"/>
        </w:rPr>
      </w:pPr>
    </w:p>
    <w:p w14:paraId="01493780" w14:textId="5B200975" w:rsidR="00EA20AC" w:rsidRDefault="00416066" w:rsidP="00416066">
      <w:pPr>
        <w:spacing w:line="360" w:lineRule="auto"/>
        <w:jc w:val="both"/>
        <w:rPr>
          <w:rFonts w:cs="Arial"/>
        </w:rPr>
      </w:pPr>
      <w:r>
        <w:rPr>
          <w:rFonts w:cs="Arial"/>
        </w:rPr>
        <w:t>[30]</w:t>
      </w:r>
      <w:r>
        <w:rPr>
          <w:rFonts w:cs="Arial"/>
        </w:rPr>
        <w:tab/>
      </w:r>
      <w:r w:rsidR="00EA20AC">
        <w:rPr>
          <w:rFonts w:cs="Arial"/>
        </w:rPr>
        <w:t xml:space="preserve">I agree with </w:t>
      </w:r>
      <w:r w:rsidR="00270439">
        <w:rPr>
          <w:rFonts w:cs="Arial"/>
        </w:rPr>
        <w:t xml:space="preserve">Fidelity given that the index and pagination of the bundles both on the tender documents and the pleadings is a necessary step for having the matter heard. Accordingly, item 101 should be allowed. </w:t>
      </w:r>
    </w:p>
    <w:p w14:paraId="11C2D5CF" w14:textId="4781CBF0" w:rsidR="00270439" w:rsidRDefault="00270439" w:rsidP="00270439">
      <w:pPr>
        <w:rPr>
          <w:rFonts w:cs="Arial"/>
        </w:rPr>
      </w:pPr>
    </w:p>
    <w:p w14:paraId="25F9DF05" w14:textId="5E5A5ECE" w:rsidR="00270439" w:rsidRPr="00A63B83" w:rsidRDefault="00270439" w:rsidP="00270439">
      <w:pPr>
        <w:spacing w:line="360" w:lineRule="auto"/>
        <w:rPr>
          <w:rFonts w:cs="Arial"/>
          <w:b/>
          <w:bCs/>
          <w:i/>
        </w:rPr>
      </w:pPr>
      <w:r w:rsidRPr="00A63B83">
        <w:rPr>
          <w:rFonts w:cs="Arial"/>
          <w:b/>
          <w:bCs/>
          <w:i/>
        </w:rPr>
        <w:t>Travelling</w:t>
      </w:r>
      <w:r w:rsidR="002E0903" w:rsidRPr="00A63B83">
        <w:rPr>
          <w:rFonts w:cs="Arial"/>
          <w:b/>
          <w:bCs/>
          <w:i/>
        </w:rPr>
        <w:t>/Accommodation vouchers</w:t>
      </w:r>
    </w:p>
    <w:p w14:paraId="0A2A3F16" w14:textId="7886ED31" w:rsidR="00270439" w:rsidRDefault="00416066" w:rsidP="00416066">
      <w:pPr>
        <w:spacing w:line="360" w:lineRule="auto"/>
        <w:jc w:val="both"/>
        <w:rPr>
          <w:rFonts w:cs="Arial"/>
        </w:rPr>
      </w:pPr>
      <w:r>
        <w:rPr>
          <w:rFonts w:cs="Arial"/>
        </w:rPr>
        <w:t>[31]</w:t>
      </w:r>
      <w:r>
        <w:rPr>
          <w:rFonts w:cs="Arial"/>
        </w:rPr>
        <w:tab/>
      </w:r>
      <w:r w:rsidR="00270439">
        <w:rPr>
          <w:rFonts w:cs="Arial"/>
        </w:rPr>
        <w:t xml:space="preserve">Fidelity states that it is dissatisfied with the taxing master’s decision in respect of items 157 and 159 because those were the actual times spent by </w:t>
      </w:r>
      <w:r w:rsidR="0058332E">
        <w:rPr>
          <w:rFonts w:cs="Arial"/>
        </w:rPr>
        <w:t>its attorney</w:t>
      </w:r>
      <w:r w:rsidR="00270439">
        <w:rPr>
          <w:rFonts w:cs="Arial"/>
        </w:rPr>
        <w:t xml:space="preserve"> in travelling from Roodepoort</w:t>
      </w:r>
      <w:r w:rsidR="0058332E">
        <w:rPr>
          <w:rFonts w:cs="Arial"/>
        </w:rPr>
        <w:t xml:space="preserve"> (where Fidelity is based)</w:t>
      </w:r>
      <w:r w:rsidR="00270439">
        <w:rPr>
          <w:rFonts w:cs="Arial"/>
        </w:rPr>
        <w:t xml:space="preserve"> to Durban and back to Johannesburg. </w:t>
      </w:r>
    </w:p>
    <w:p w14:paraId="10078CAA" w14:textId="77777777" w:rsidR="00270439" w:rsidRDefault="00270439" w:rsidP="00270439">
      <w:pPr>
        <w:spacing w:line="360" w:lineRule="auto"/>
        <w:jc w:val="both"/>
        <w:rPr>
          <w:rFonts w:cs="Arial"/>
        </w:rPr>
      </w:pPr>
    </w:p>
    <w:p w14:paraId="0EE4B0CF" w14:textId="7CD5A529" w:rsidR="00270439" w:rsidRDefault="00416066" w:rsidP="00416066">
      <w:pPr>
        <w:spacing w:line="360" w:lineRule="auto"/>
        <w:jc w:val="both"/>
        <w:rPr>
          <w:rFonts w:cs="Arial"/>
        </w:rPr>
      </w:pPr>
      <w:r>
        <w:rPr>
          <w:rFonts w:cs="Arial"/>
        </w:rPr>
        <w:t>[32]</w:t>
      </w:r>
      <w:r>
        <w:rPr>
          <w:rFonts w:cs="Arial"/>
        </w:rPr>
        <w:tab/>
      </w:r>
      <w:r w:rsidR="00270439">
        <w:rPr>
          <w:rFonts w:cs="Arial"/>
        </w:rPr>
        <w:t xml:space="preserve">Fidelity reasons that travelling is a necessary step taken by the legal practitioner to render professional services. In support for that contention, Fidelity refers me to </w:t>
      </w:r>
      <w:r w:rsidR="00270439">
        <w:rPr>
          <w:rFonts w:cs="Arial"/>
          <w:i/>
          <w:iCs/>
        </w:rPr>
        <w:t>City Real Estate Co v Ground Investment Group (Natal) (Pty) Ltd</w:t>
      </w:r>
      <w:r w:rsidR="00B02AC1">
        <w:rPr>
          <w:rFonts w:cs="Arial"/>
          <w:i/>
          <w:iCs/>
        </w:rPr>
        <w:t xml:space="preserve"> and Another</w:t>
      </w:r>
      <w:r w:rsidR="00B02AC1" w:rsidRPr="00B02AC1">
        <w:rPr>
          <w:rFonts w:cs="Arial"/>
          <w:iCs/>
        </w:rPr>
        <w:t>.</w:t>
      </w:r>
      <w:r w:rsidR="00B02AC1" w:rsidRPr="00B02AC1">
        <w:rPr>
          <w:rStyle w:val="FootnoteReference"/>
          <w:rFonts w:cs="Arial"/>
          <w:iCs/>
        </w:rPr>
        <w:footnoteReference w:id="16"/>
      </w:r>
      <w:r w:rsidR="00270439" w:rsidRPr="00B02AC1">
        <w:rPr>
          <w:rFonts w:cs="Arial"/>
          <w:iCs/>
        </w:rPr>
        <w:t xml:space="preserve"> </w:t>
      </w:r>
    </w:p>
    <w:p w14:paraId="195DBBA1" w14:textId="77777777" w:rsidR="00270439" w:rsidRDefault="00270439" w:rsidP="00270439">
      <w:pPr>
        <w:pStyle w:val="ListParagraph"/>
        <w:rPr>
          <w:rFonts w:cs="Arial"/>
        </w:rPr>
      </w:pPr>
    </w:p>
    <w:p w14:paraId="6681B731" w14:textId="7E4754D5" w:rsidR="00270439" w:rsidRDefault="00416066" w:rsidP="00416066">
      <w:pPr>
        <w:spacing w:line="360" w:lineRule="auto"/>
        <w:jc w:val="both"/>
        <w:rPr>
          <w:rFonts w:cs="Arial"/>
        </w:rPr>
      </w:pPr>
      <w:r>
        <w:rPr>
          <w:rFonts w:cs="Arial"/>
        </w:rPr>
        <w:t>[33]</w:t>
      </w:r>
      <w:r>
        <w:rPr>
          <w:rFonts w:cs="Arial"/>
        </w:rPr>
        <w:tab/>
      </w:r>
      <w:r w:rsidR="00270439">
        <w:rPr>
          <w:rFonts w:cs="Arial"/>
        </w:rPr>
        <w:t>I have perused the case; however, I do not find any support for Fidelity’s contentions in the</w:t>
      </w:r>
      <w:r w:rsidR="00E95BE5">
        <w:rPr>
          <w:rFonts w:cs="Arial"/>
        </w:rPr>
        <w:t xml:space="preserve"> </w:t>
      </w:r>
      <w:r w:rsidR="00270439">
        <w:rPr>
          <w:rFonts w:cs="Arial"/>
        </w:rPr>
        <w:t>case. In fact, on my reading of the case, it was held that travelling costs are not professional service</w:t>
      </w:r>
      <w:r w:rsidR="003676DE">
        <w:rPr>
          <w:rFonts w:cs="Arial"/>
        </w:rPr>
        <w:t>s</w:t>
      </w:r>
      <w:r w:rsidR="00F1221A">
        <w:rPr>
          <w:rFonts w:cs="Arial"/>
        </w:rPr>
        <w:t>.</w:t>
      </w:r>
      <w:r w:rsidR="00270439">
        <w:rPr>
          <w:rStyle w:val="FootnoteReference"/>
          <w:rFonts w:cs="Arial"/>
        </w:rPr>
        <w:footnoteReference w:id="17"/>
      </w:r>
      <w:r w:rsidR="00FA3141">
        <w:rPr>
          <w:rFonts w:cs="Arial"/>
        </w:rPr>
        <w:t xml:space="preserve"> </w:t>
      </w:r>
      <w:r w:rsidR="00270439">
        <w:rPr>
          <w:rFonts w:cs="Arial"/>
        </w:rPr>
        <w:t xml:space="preserve">Further, the case is distinguishable from this case because that case </w:t>
      </w:r>
      <w:r w:rsidR="00C032F2">
        <w:rPr>
          <w:rFonts w:cs="Arial"/>
        </w:rPr>
        <w:t xml:space="preserve">death with an </w:t>
      </w:r>
      <w:r w:rsidR="00270439">
        <w:rPr>
          <w:rFonts w:cs="Arial"/>
        </w:rPr>
        <w:t>attorney and own client cost</w:t>
      </w:r>
      <w:r w:rsidR="00B02AC1">
        <w:rPr>
          <w:rFonts w:cs="Arial"/>
        </w:rPr>
        <w:t>s</w:t>
      </w:r>
      <w:r w:rsidR="00F1221A">
        <w:rPr>
          <w:rFonts w:cs="Arial"/>
        </w:rPr>
        <w:t>,</w:t>
      </w:r>
      <w:r w:rsidR="00C032F2">
        <w:rPr>
          <w:rFonts w:cs="Arial"/>
        </w:rPr>
        <w:t xml:space="preserve"> a</w:t>
      </w:r>
      <w:r w:rsidR="00270439">
        <w:rPr>
          <w:rFonts w:cs="Arial"/>
        </w:rPr>
        <w:t>nd</w:t>
      </w:r>
      <w:r w:rsidR="003676DE">
        <w:rPr>
          <w:rFonts w:cs="Arial"/>
        </w:rPr>
        <w:t xml:space="preserve"> </w:t>
      </w:r>
      <w:r w:rsidR="00270439">
        <w:rPr>
          <w:rFonts w:cs="Arial"/>
        </w:rPr>
        <w:t>the attorneys both litigated and lived in Durban.</w:t>
      </w:r>
      <w:r w:rsidR="00C032F2">
        <w:rPr>
          <w:rFonts w:cs="Arial"/>
        </w:rPr>
        <w:t xml:space="preserve"> </w:t>
      </w:r>
    </w:p>
    <w:p w14:paraId="5514D069" w14:textId="77777777" w:rsidR="00270439" w:rsidRDefault="00270439" w:rsidP="00A40C17">
      <w:pPr>
        <w:pStyle w:val="ListParagraph"/>
        <w:spacing w:line="360" w:lineRule="auto"/>
        <w:rPr>
          <w:rFonts w:cs="Arial"/>
        </w:rPr>
      </w:pPr>
    </w:p>
    <w:p w14:paraId="286C12AA" w14:textId="6B4678CB" w:rsidR="00270439" w:rsidRDefault="00416066" w:rsidP="00416066">
      <w:pPr>
        <w:spacing w:line="360" w:lineRule="auto"/>
        <w:jc w:val="both"/>
        <w:rPr>
          <w:rFonts w:cs="Arial"/>
        </w:rPr>
      </w:pPr>
      <w:r>
        <w:rPr>
          <w:rFonts w:cs="Arial"/>
        </w:rPr>
        <w:t>[34]</w:t>
      </w:r>
      <w:r>
        <w:rPr>
          <w:rFonts w:cs="Arial"/>
        </w:rPr>
        <w:tab/>
      </w:r>
      <w:r w:rsidR="00270439">
        <w:rPr>
          <w:rFonts w:cs="Arial"/>
        </w:rPr>
        <w:t xml:space="preserve">In </w:t>
      </w:r>
      <w:r w:rsidR="003676DE">
        <w:rPr>
          <w:rFonts w:cs="Arial"/>
        </w:rPr>
        <w:t xml:space="preserve">her </w:t>
      </w:r>
      <w:r w:rsidR="00270439">
        <w:rPr>
          <w:rFonts w:cs="Arial"/>
        </w:rPr>
        <w:t xml:space="preserve">stated case, the taxing master states that the principle to disallow these costs is that costs, charges and expenses as are reasonably necessary for the proper attainment of justice or defending the rights of any party should be allowed. Further, litigants should take the most expeditious course to bringing the litigation and the losing party should not be saddled with additional, excessive and luxurious expenses occasioned by the engagement of </w:t>
      </w:r>
      <w:r w:rsidR="00023902">
        <w:rPr>
          <w:rFonts w:cs="Arial"/>
        </w:rPr>
        <w:t xml:space="preserve">an attorney from </w:t>
      </w:r>
      <w:r w:rsidR="00270439">
        <w:rPr>
          <w:rFonts w:cs="Arial"/>
        </w:rPr>
        <w:t>Johannesburg attorney.</w:t>
      </w:r>
    </w:p>
    <w:p w14:paraId="0C3679AA" w14:textId="77777777" w:rsidR="00270439" w:rsidRDefault="00270439" w:rsidP="00A40C17">
      <w:pPr>
        <w:pStyle w:val="ListParagraph"/>
        <w:spacing w:line="360" w:lineRule="auto"/>
        <w:rPr>
          <w:rFonts w:cs="Arial"/>
        </w:rPr>
      </w:pPr>
    </w:p>
    <w:p w14:paraId="7E6F3AFA" w14:textId="06CA1782" w:rsidR="00270439" w:rsidRDefault="00416066" w:rsidP="00416066">
      <w:pPr>
        <w:spacing w:line="360" w:lineRule="auto"/>
        <w:jc w:val="both"/>
        <w:rPr>
          <w:rFonts w:cs="Arial"/>
        </w:rPr>
      </w:pPr>
      <w:r>
        <w:rPr>
          <w:rFonts w:cs="Arial"/>
        </w:rPr>
        <w:t>[35]</w:t>
      </w:r>
      <w:r>
        <w:rPr>
          <w:rFonts w:cs="Arial"/>
        </w:rPr>
        <w:tab/>
      </w:r>
      <w:r w:rsidR="00270439">
        <w:rPr>
          <w:rFonts w:cs="Arial"/>
        </w:rPr>
        <w:t>In reply, Fidelity indicated that they do not have any further submissions.</w:t>
      </w:r>
    </w:p>
    <w:p w14:paraId="3D287D9D" w14:textId="77777777" w:rsidR="00270439" w:rsidRDefault="00270439" w:rsidP="00A40C17">
      <w:pPr>
        <w:pStyle w:val="ListParagraph"/>
        <w:spacing w:line="360" w:lineRule="auto"/>
        <w:rPr>
          <w:rFonts w:cs="Arial"/>
        </w:rPr>
      </w:pPr>
    </w:p>
    <w:p w14:paraId="295F03FB" w14:textId="785C6B7B" w:rsidR="00270439" w:rsidRPr="00270439" w:rsidRDefault="00416066" w:rsidP="00416066">
      <w:pPr>
        <w:spacing w:line="360" w:lineRule="auto"/>
        <w:jc w:val="both"/>
        <w:rPr>
          <w:rFonts w:cs="Arial"/>
        </w:rPr>
      </w:pPr>
      <w:r>
        <w:rPr>
          <w:rFonts w:cs="Arial"/>
        </w:rPr>
        <w:t>[36]</w:t>
      </w:r>
      <w:r>
        <w:rPr>
          <w:rFonts w:cs="Arial"/>
        </w:rPr>
        <w:tab/>
      </w:r>
      <w:r w:rsidR="00270439" w:rsidRPr="000730B1">
        <w:rPr>
          <w:rFonts w:cs="Arial"/>
        </w:rPr>
        <w:t>In</w:t>
      </w:r>
      <w:r w:rsidR="00270439" w:rsidRPr="000730B1">
        <w:t xml:space="preserve"> </w:t>
      </w:r>
      <w:r w:rsidR="00270439" w:rsidRPr="000730B1">
        <w:rPr>
          <w:i/>
          <w:iCs/>
        </w:rPr>
        <w:t>Naidoo v MEC for Health</w:t>
      </w:r>
      <w:r w:rsidR="00270439" w:rsidRPr="000730B1">
        <w:t>,</w:t>
      </w:r>
      <w:r w:rsidR="0090521F" w:rsidRPr="000730B1">
        <w:rPr>
          <w:rStyle w:val="FootnoteReference"/>
        </w:rPr>
        <w:footnoteReference w:id="18"/>
      </w:r>
      <w:r w:rsidR="00270439" w:rsidRPr="00270439">
        <w:t xml:space="preserve"> the </w:t>
      </w:r>
      <w:r w:rsidR="00F1221A">
        <w:t>c</w:t>
      </w:r>
      <w:r w:rsidR="00270439">
        <w:t>ourt held that:</w:t>
      </w:r>
    </w:p>
    <w:p w14:paraId="21077B07" w14:textId="67D82FFB" w:rsidR="00EA20AC" w:rsidRDefault="003676DE" w:rsidP="003676DE">
      <w:pPr>
        <w:spacing w:line="360" w:lineRule="auto"/>
        <w:jc w:val="both"/>
        <w:rPr>
          <w:rFonts w:cs="Arial"/>
          <w:sz w:val="22"/>
        </w:rPr>
      </w:pPr>
      <w:r>
        <w:rPr>
          <w:rFonts w:cs="Arial"/>
          <w:sz w:val="22"/>
        </w:rPr>
        <w:t>‘</w:t>
      </w:r>
      <w:r w:rsidR="0076717C">
        <w:rPr>
          <w:rFonts w:cs="Arial"/>
          <w:sz w:val="22"/>
        </w:rPr>
        <w:t>[21]</w:t>
      </w:r>
      <w:r w:rsidR="00B02AC1">
        <w:rPr>
          <w:rFonts w:cs="Arial"/>
          <w:sz w:val="22"/>
        </w:rPr>
        <w:t xml:space="preserve"> </w:t>
      </w:r>
      <w:r w:rsidR="0076717C">
        <w:rPr>
          <w:rFonts w:cs="Arial"/>
          <w:sz w:val="22"/>
        </w:rPr>
        <w:t xml:space="preserve">…There is no reasonable explanation as to why experts or attorneys and counsel outside of the </w:t>
      </w:r>
      <w:r w:rsidR="00B02AC1">
        <w:rPr>
          <w:rFonts w:cs="Arial"/>
          <w:sz w:val="22"/>
        </w:rPr>
        <w:t>P</w:t>
      </w:r>
      <w:r w:rsidR="0076717C">
        <w:rPr>
          <w:rFonts w:cs="Arial"/>
          <w:sz w:val="22"/>
        </w:rPr>
        <w:t xml:space="preserve">rovince had to be used instead of those that are within the </w:t>
      </w:r>
      <w:r w:rsidR="00B02AC1">
        <w:rPr>
          <w:rFonts w:cs="Arial"/>
          <w:sz w:val="22"/>
        </w:rPr>
        <w:t>P</w:t>
      </w:r>
      <w:r w:rsidR="0076717C">
        <w:rPr>
          <w:rFonts w:cs="Arial"/>
          <w:sz w:val="22"/>
        </w:rPr>
        <w:t xml:space="preserve">rovince. We are mindful of the fact that the </w:t>
      </w:r>
      <w:r w:rsidR="00B02AC1">
        <w:rPr>
          <w:rFonts w:cs="Arial"/>
          <w:sz w:val="22"/>
        </w:rPr>
        <w:t>a</w:t>
      </w:r>
      <w:r w:rsidR="0076717C">
        <w:rPr>
          <w:rFonts w:cs="Arial"/>
          <w:sz w:val="22"/>
        </w:rPr>
        <w:t xml:space="preserve">pplicants or any party for that matter can instruct any expert or counsel in the country. However, this must be regarded as a luxury that they can afford and the unsuccessful party should not be burdened with such costs. Nothing has been shown that the specific experts that were instructed were the only ones who could be of assistance in the </w:t>
      </w:r>
      <w:r w:rsidR="00B02AC1">
        <w:rPr>
          <w:rFonts w:cs="Arial"/>
          <w:sz w:val="22"/>
        </w:rPr>
        <w:t>a</w:t>
      </w:r>
      <w:r w:rsidR="0076717C">
        <w:rPr>
          <w:rFonts w:cs="Arial"/>
          <w:sz w:val="22"/>
        </w:rPr>
        <w:t>pplicant’s pursuance of justice</w:t>
      </w:r>
      <w:r w:rsidR="00F1221A">
        <w:rPr>
          <w:rFonts w:cs="Arial"/>
          <w:sz w:val="22"/>
        </w:rPr>
        <w:t>….</w:t>
      </w:r>
    </w:p>
    <w:p w14:paraId="25F74F60" w14:textId="77777777" w:rsidR="00B02AC1" w:rsidRDefault="00B02AC1" w:rsidP="000E6575">
      <w:pPr>
        <w:spacing w:line="360" w:lineRule="auto"/>
        <w:jc w:val="both"/>
        <w:rPr>
          <w:rFonts w:cs="Arial"/>
          <w:sz w:val="22"/>
        </w:rPr>
      </w:pPr>
      <w:r>
        <w:rPr>
          <w:rFonts w:cs="Arial"/>
          <w:sz w:val="22"/>
        </w:rPr>
        <w:t>…</w:t>
      </w:r>
    </w:p>
    <w:p w14:paraId="25B77BAD" w14:textId="149E9643" w:rsidR="0076717C" w:rsidRDefault="0076717C" w:rsidP="000E6575">
      <w:pPr>
        <w:spacing w:line="360" w:lineRule="auto"/>
        <w:jc w:val="both"/>
        <w:rPr>
          <w:rFonts w:cs="Arial"/>
          <w:sz w:val="22"/>
        </w:rPr>
      </w:pPr>
      <w:r>
        <w:rPr>
          <w:rFonts w:cs="Arial"/>
          <w:sz w:val="22"/>
        </w:rPr>
        <w:t>[24]</w:t>
      </w:r>
      <w:r w:rsidR="00B02AC1">
        <w:rPr>
          <w:rFonts w:cs="Arial"/>
          <w:sz w:val="22"/>
        </w:rPr>
        <w:t xml:space="preserve"> </w:t>
      </w:r>
      <w:r>
        <w:rPr>
          <w:rFonts w:cs="Arial"/>
          <w:sz w:val="22"/>
        </w:rPr>
        <w:t>Th</w:t>
      </w:r>
      <w:r w:rsidR="00B02AC1">
        <w:rPr>
          <w:rFonts w:cs="Arial"/>
          <w:sz w:val="22"/>
        </w:rPr>
        <w:t>is</w:t>
      </w:r>
      <w:r>
        <w:rPr>
          <w:rFonts w:cs="Arial"/>
          <w:sz w:val="22"/>
        </w:rPr>
        <w:t xml:space="preserve"> principle also applies to travelling costs of an attorney and</w:t>
      </w:r>
      <w:r w:rsidR="00B02AC1">
        <w:rPr>
          <w:rFonts w:cs="Arial"/>
          <w:sz w:val="22"/>
        </w:rPr>
        <w:t xml:space="preserve"> </w:t>
      </w:r>
      <w:r>
        <w:rPr>
          <w:rFonts w:cs="Arial"/>
          <w:sz w:val="22"/>
        </w:rPr>
        <w:t xml:space="preserve">or counsel from outside this </w:t>
      </w:r>
      <w:r w:rsidR="00B02AC1">
        <w:rPr>
          <w:rFonts w:cs="Arial"/>
          <w:sz w:val="22"/>
        </w:rPr>
        <w:t>P</w:t>
      </w:r>
      <w:r>
        <w:rPr>
          <w:rFonts w:cs="Arial"/>
          <w:sz w:val="22"/>
        </w:rPr>
        <w:t>rovince as there is no evidence before us o</w:t>
      </w:r>
      <w:r w:rsidR="003676DE">
        <w:rPr>
          <w:rFonts w:cs="Arial"/>
          <w:sz w:val="22"/>
        </w:rPr>
        <w:t>r</w:t>
      </w:r>
      <w:r>
        <w:rPr>
          <w:rFonts w:cs="Arial"/>
          <w:sz w:val="22"/>
        </w:rPr>
        <w:t xml:space="preserve"> placed before the taxing master that the </w:t>
      </w:r>
      <w:r w:rsidR="00B02AC1">
        <w:rPr>
          <w:rFonts w:cs="Arial"/>
          <w:sz w:val="22"/>
        </w:rPr>
        <w:t>a</w:t>
      </w:r>
      <w:r>
        <w:rPr>
          <w:rFonts w:cs="Arial"/>
          <w:sz w:val="22"/>
        </w:rPr>
        <w:t xml:space="preserve">pplicants’ rights could only be enforced by lawyers from outside the </w:t>
      </w:r>
      <w:r w:rsidR="00B02AC1">
        <w:rPr>
          <w:rFonts w:cs="Arial"/>
          <w:sz w:val="22"/>
        </w:rPr>
        <w:t>P</w:t>
      </w:r>
      <w:r>
        <w:rPr>
          <w:rFonts w:cs="Arial"/>
          <w:sz w:val="22"/>
        </w:rPr>
        <w:t xml:space="preserve">rovince of KwaZulu-Natal. Put differently, there was no suggestion that there are no competent lawyers from KwaZulu-Natal that could have assisted the </w:t>
      </w:r>
      <w:r w:rsidR="00B02AC1">
        <w:rPr>
          <w:rFonts w:cs="Arial"/>
          <w:sz w:val="22"/>
        </w:rPr>
        <w:t>a</w:t>
      </w:r>
      <w:r>
        <w:rPr>
          <w:rFonts w:cs="Arial"/>
          <w:sz w:val="22"/>
        </w:rPr>
        <w:t xml:space="preserve">pplicants to attain justice in these matters or that they would have suffered a substantial injustice. No evidence was placed before us that the </w:t>
      </w:r>
      <w:r w:rsidR="00B02AC1">
        <w:rPr>
          <w:rFonts w:cs="Arial"/>
          <w:sz w:val="22"/>
        </w:rPr>
        <w:t>a</w:t>
      </w:r>
      <w:r>
        <w:rPr>
          <w:rFonts w:cs="Arial"/>
          <w:sz w:val="22"/>
        </w:rPr>
        <w:t xml:space="preserve">pplicants could not find a competent firm in this </w:t>
      </w:r>
      <w:r w:rsidR="00B02AC1">
        <w:rPr>
          <w:rFonts w:cs="Arial"/>
          <w:sz w:val="22"/>
        </w:rPr>
        <w:t>P</w:t>
      </w:r>
      <w:r>
        <w:rPr>
          <w:rFonts w:cs="Arial"/>
          <w:sz w:val="22"/>
        </w:rPr>
        <w:t>rovince to act on a contingency basis. There is therefore no reason for our interference with these costs. The underlying principle in th</w:t>
      </w:r>
      <w:r w:rsidR="00654971">
        <w:rPr>
          <w:rFonts w:cs="Arial"/>
          <w:sz w:val="22"/>
        </w:rPr>
        <w:t>is</w:t>
      </w:r>
      <w:r>
        <w:rPr>
          <w:rFonts w:cs="Arial"/>
          <w:sz w:val="22"/>
        </w:rPr>
        <w:t xml:space="preserve"> regard is that unless </w:t>
      </w:r>
      <w:r w:rsidR="004473CB">
        <w:rPr>
          <w:rFonts w:cs="Arial"/>
          <w:sz w:val="22"/>
        </w:rPr>
        <w:t>it can be shown that there were no competent attorneys or advocates and experts of a similar standing in KwaZulu-Natal, only the</w:t>
      </w:r>
      <w:r w:rsidR="003676DE">
        <w:rPr>
          <w:rFonts w:cs="Arial"/>
          <w:sz w:val="22"/>
        </w:rPr>
        <w:t>n</w:t>
      </w:r>
      <w:r w:rsidR="004473CB">
        <w:rPr>
          <w:rFonts w:cs="Arial"/>
          <w:sz w:val="22"/>
        </w:rPr>
        <w:t xml:space="preserve"> should such costs be allowed.’</w:t>
      </w:r>
      <w:r w:rsidR="00B02AC1">
        <w:rPr>
          <w:rFonts w:cs="Arial"/>
          <w:sz w:val="22"/>
        </w:rPr>
        <w:t xml:space="preserve"> (Footnotes omitted.)</w:t>
      </w:r>
    </w:p>
    <w:p w14:paraId="56081FC4" w14:textId="77777777" w:rsidR="004473CB" w:rsidRDefault="004473CB" w:rsidP="0076717C">
      <w:pPr>
        <w:spacing w:line="360" w:lineRule="auto"/>
        <w:ind w:firstLine="720"/>
        <w:jc w:val="both"/>
        <w:rPr>
          <w:rFonts w:cs="Arial"/>
        </w:rPr>
      </w:pPr>
    </w:p>
    <w:p w14:paraId="377C5379" w14:textId="7F05B5DB" w:rsidR="00EA20AC" w:rsidRDefault="00416066" w:rsidP="00416066">
      <w:pPr>
        <w:spacing w:line="360" w:lineRule="auto"/>
        <w:jc w:val="both"/>
        <w:rPr>
          <w:rFonts w:cs="Arial"/>
        </w:rPr>
      </w:pPr>
      <w:r>
        <w:rPr>
          <w:rFonts w:cs="Arial"/>
        </w:rPr>
        <w:t>[37]</w:t>
      </w:r>
      <w:r>
        <w:rPr>
          <w:rFonts w:cs="Arial"/>
        </w:rPr>
        <w:tab/>
      </w:r>
      <w:r w:rsidR="004473CB">
        <w:rPr>
          <w:rFonts w:cs="Arial"/>
        </w:rPr>
        <w:t xml:space="preserve">There is nothing in the </w:t>
      </w:r>
      <w:r w:rsidR="00B02AC1">
        <w:rPr>
          <w:rFonts w:cs="Arial"/>
        </w:rPr>
        <w:t>c</w:t>
      </w:r>
      <w:r w:rsidR="004473CB">
        <w:rPr>
          <w:rFonts w:cs="Arial"/>
        </w:rPr>
        <w:t xml:space="preserve">ourt file </w:t>
      </w:r>
      <w:r w:rsidR="002E0903">
        <w:rPr>
          <w:rFonts w:cs="Arial"/>
        </w:rPr>
        <w:t>or in the notice of review to indicate that this matter was of such an extraordinary nature that warranted counsel from outside the province or that attorneys from outside the province should be engaged.</w:t>
      </w:r>
    </w:p>
    <w:p w14:paraId="19390529" w14:textId="77777777" w:rsidR="002E0903" w:rsidRDefault="002E0903" w:rsidP="002E0903">
      <w:pPr>
        <w:spacing w:line="360" w:lineRule="auto"/>
        <w:jc w:val="both"/>
        <w:rPr>
          <w:rFonts w:cs="Arial"/>
        </w:rPr>
      </w:pPr>
    </w:p>
    <w:p w14:paraId="626DC0AB" w14:textId="30E81935" w:rsidR="002E0903" w:rsidRDefault="00416066" w:rsidP="00416066">
      <w:pPr>
        <w:spacing w:line="360" w:lineRule="auto"/>
        <w:jc w:val="both"/>
        <w:rPr>
          <w:rFonts w:cs="Arial"/>
        </w:rPr>
      </w:pPr>
      <w:r>
        <w:rPr>
          <w:rFonts w:cs="Arial"/>
        </w:rPr>
        <w:t>[38]</w:t>
      </w:r>
      <w:r>
        <w:rPr>
          <w:rFonts w:cs="Arial"/>
        </w:rPr>
        <w:tab/>
      </w:r>
      <w:r w:rsidR="002E0903">
        <w:rPr>
          <w:rFonts w:cs="Arial"/>
        </w:rPr>
        <w:t>In the circumstances, the taxing master correctly disallowed both the travelling and accommodation costs.</w:t>
      </w:r>
    </w:p>
    <w:p w14:paraId="1A10E9B7" w14:textId="77777777" w:rsidR="002C5807" w:rsidRDefault="002C5807" w:rsidP="00A40C17">
      <w:pPr>
        <w:pStyle w:val="ListParagraph"/>
        <w:spacing w:line="360" w:lineRule="auto"/>
        <w:rPr>
          <w:rFonts w:cs="Arial"/>
        </w:rPr>
      </w:pPr>
    </w:p>
    <w:p w14:paraId="0193B199" w14:textId="1B62D680" w:rsidR="002C5807" w:rsidRPr="00A63B83" w:rsidRDefault="002C5807" w:rsidP="002C5807">
      <w:pPr>
        <w:spacing w:line="360" w:lineRule="auto"/>
        <w:jc w:val="both"/>
        <w:rPr>
          <w:rFonts w:cs="Arial"/>
          <w:b/>
          <w:bCs/>
          <w:i/>
        </w:rPr>
      </w:pPr>
      <w:r w:rsidRPr="00A63B83">
        <w:rPr>
          <w:rFonts w:cs="Arial"/>
          <w:b/>
          <w:bCs/>
          <w:i/>
        </w:rPr>
        <w:t>Counsel’s invoice for preparation and appearance</w:t>
      </w:r>
    </w:p>
    <w:p w14:paraId="287541E8" w14:textId="5675A618" w:rsidR="00353E5E" w:rsidRDefault="00416066" w:rsidP="00416066">
      <w:pPr>
        <w:spacing w:line="360" w:lineRule="auto"/>
        <w:jc w:val="both"/>
        <w:rPr>
          <w:rFonts w:cs="Arial"/>
        </w:rPr>
      </w:pPr>
      <w:r>
        <w:rPr>
          <w:rFonts w:cs="Arial"/>
        </w:rPr>
        <w:t>[39]</w:t>
      </w:r>
      <w:r>
        <w:rPr>
          <w:rFonts w:cs="Arial"/>
        </w:rPr>
        <w:tab/>
      </w:r>
      <w:r w:rsidR="00353E5E">
        <w:rPr>
          <w:rFonts w:cs="Arial"/>
        </w:rPr>
        <w:t xml:space="preserve">Fidelity states that it is dissatisfied with the taxing master’s decision in respect of item 163 where an amount of R132 250 had been taxed off. </w:t>
      </w:r>
      <w:r w:rsidR="00FF2660">
        <w:rPr>
          <w:rFonts w:cs="Arial"/>
        </w:rPr>
        <w:t>Counsel charged an amount of R150 000 plus VAT</w:t>
      </w:r>
      <w:r w:rsidR="00353E5E">
        <w:rPr>
          <w:rFonts w:cs="Arial"/>
        </w:rPr>
        <w:t>,</w:t>
      </w:r>
      <w:r w:rsidR="00FF2660">
        <w:rPr>
          <w:rFonts w:cs="Arial"/>
        </w:rPr>
        <w:t xml:space="preserve"> as follows: two days for research and drafting heads of argument at R30 000 per day,</w:t>
      </w:r>
      <w:r w:rsidR="00733B24">
        <w:rPr>
          <w:rFonts w:cs="Arial"/>
        </w:rPr>
        <w:t xml:space="preserve"> </w:t>
      </w:r>
      <w:r w:rsidR="00FF2660">
        <w:rPr>
          <w:rFonts w:cs="Arial"/>
        </w:rPr>
        <w:t>two days of preparation at R30 000 per day</w:t>
      </w:r>
      <w:r w:rsidR="00C032F2">
        <w:rPr>
          <w:rFonts w:cs="Arial"/>
        </w:rPr>
        <w:t xml:space="preserve">, and one day </w:t>
      </w:r>
      <w:r w:rsidR="00733B24">
        <w:rPr>
          <w:rFonts w:cs="Arial"/>
        </w:rPr>
        <w:t xml:space="preserve">for </w:t>
      </w:r>
      <w:r w:rsidR="00C032F2">
        <w:rPr>
          <w:rFonts w:cs="Arial"/>
        </w:rPr>
        <w:t xml:space="preserve">appearance at R30 000. </w:t>
      </w:r>
    </w:p>
    <w:p w14:paraId="5D6C6DA3" w14:textId="77777777" w:rsidR="00353E5E" w:rsidRDefault="00353E5E" w:rsidP="00353E5E">
      <w:pPr>
        <w:spacing w:line="360" w:lineRule="auto"/>
        <w:jc w:val="both"/>
        <w:rPr>
          <w:rFonts w:cs="Arial"/>
        </w:rPr>
      </w:pPr>
    </w:p>
    <w:p w14:paraId="57280B8C" w14:textId="069E5FA8" w:rsidR="00EA20AC" w:rsidRDefault="00416066" w:rsidP="00416066">
      <w:pPr>
        <w:spacing w:line="360" w:lineRule="auto"/>
        <w:jc w:val="both"/>
        <w:rPr>
          <w:rFonts w:cs="Arial"/>
        </w:rPr>
      </w:pPr>
      <w:r>
        <w:rPr>
          <w:rFonts w:cs="Arial"/>
        </w:rPr>
        <w:t>[40]</w:t>
      </w:r>
      <w:r>
        <w:rPr>
          <w:rFonts w:cs="Arial"/>
        </w:rPr>
        <w:tab/>
      </w:r>
      <w:r w:rsidR="002C5807">
        <w:rPr>
          <w:rFonts w:cs="Arial"/>
        </w:rPr>
        <w:t xml:space="preserve">Fidelity avers that the heads of argument were 36 pages and the reasonable time to draft </w:t>
      </w:r>
      <w:r w:rsidR="00AD283C">
        <w:rPr>
          <w:rFonts w:cs="Arial"/>
        </w:rPr>
        <w:t>four</w:t>
      </w:r>
      <w:r w:rsidR="002C5807">
        <w:rPr>
          <w:rFonts w:cs="Arial"/>
        </w:rPr>
        <w:t xml:space="preserve"> pages will be 1 hour which equates to </w:t>
      </w:r>
      <w:r w:rsidR="00AD283C">
        <w:rPr>
          <w:rFonts w:cs="Arial"/>
        </w:rPr>
        <w:t>nine</w:t>
      </w:r>
      <w:r w:rsidR="002C5807">
        <w:rPr>
          <w:rFonts w:cs="Arial"/>
        </w:rPr>
        <w:t xml:space="preserve"> hours</w:t>
      </w:r>
      <w:r w:rsidR="00A94E2A">
        <w:rPr>
          <w:rFonts w:cs="Arial"/>
        </w:rPr>
        <w:t xml:space="preserve">; </w:t>
      </w:r>
      <w:r w:rsidR="002C5807">
        <w:rPr>
          <w:rFonts w:cs="Arial"/>
        </w:rPr>
        <w:t xml:space="preserve"> </w:t>
      </w:r>
      <w:r w:rsidR="00A94E2A">
        <w:rPr>
          <w:rFonts w:cs="Arial"/>
        </w:rPr>
        <w:t xml:space="preserve">considering </w:t>
      </w:r>
      <w:r w:rsidR="002C5807">
        <w:rPr>
          <w:rFonts w:cs="Arial"/>
        </w:rPr>
        <w:t>the counsel’s fee of R2 100 per hour</w:t>
      </w:r>
      <w:r w:rsidR="00A94E2A">
        <w:rPr>
          <w:rFonts w:cs="Arial"/>
        </w:rPr>
        <w:t>, it</w:t>
      </w:r>
      <w:r w:rsidR="002C5807">
        <w:rPr>
          <w:rFonts w:cs="Arial"/>
        </w:rPr>
        <w:t xml:space="preserve"> equates to R18 900. Further, a re-perusal of the tender documents being 1 714 pages at 40 pages her hour will be 42.5 hours at a rate of R2 100 per hour </w:t>
      </w:r>
      <w:r w:rsidR="00C12079">
        <w:rPr>
          <w:rFonts w:cs="Arial"/>
        </w:rPr>
        <w:t xml:space="preserve">which </w:t>
      </w:r>
      <w:r w:rsidR="002C5807">
        <w:rPr>
          <w:rFonts w:cs="Arial"/>
        </w:rPr>
        <w:t xml:space="preserve">equates to R89 250. Accordingly, the taxing master erred in disallowing the amount in </w:t>
      </w:r>
      <w:r w:rsidR="00AD283C">
        <w:rPr>
          <w:rFonts w:cs="Arial"/>
        </w:rPr>
        <w:t xml:space="preserve">item </w:t>
      </w:r>
      <w:r w:rsidR="002C5807" w:rsidRPr="00AD283C">
        <w:rPr>
          <w:rFonts w:cs="Arial"/>
        </w:rPr>
        <w:t>163(a)</w:t>
      </w:r>
      <w:r w:rsidR="002C5807" w:rsidRPr="00AD283C">
        <w:rPr>
          <w:rStyle w:val="FootnoteReference"/>
          <w:rFonts w:cs="Arial"/>
        </w:rPr>
        <w:footnoteReference w:id="19"/>
      </w:r>
      <w:r w:rsidR="002C5807">
        <w:rPr>
          <w:rFonts w:cs="Arial"/>
        </w:rPr>
        <w:t xml:space="preserve"> which equates to R60 000 for two days. </w:t>
      </w:r>
    </w:p>
    <w:p w14:paraId="0796FA14" w14:textId="77777777" w:rsidR="002C5807" w:rsidRDefault="002C5807" w:rsidP="002C5807">
      <w:pPr>
        <w:spacing w:line="360" w:lineRule="auto"/>
        <w:jc w:val="both"/>
        <w:rPr>
          <w:rFonts w:cs="Arial"/>
        </w:rPr>
      </w:pPr>
    </w:p>
    <w:p w14:paraId="6FDEC2BE" w14:textId="30D47D8D" w:rsidR="000E6575" w:rsidRDefault="00416066" w:rsidP="00416066">
      <w:pPr>
        <w:spacing w:line="360" w:lineRule="auto"/>
        <w:jc w:val="both"/>
        <w:rPr>
          <w:rFonts w:cs="Arial"/>
        </w:rPr>
      </w:pPr>
      <w:r>
        <w:rPr>
          <w:rFonts w:cs="Arial"/>
        </w:rPr>
        <w:t>[41]</w:t>
      </w:r>
      <w:r>
        <w:rPr>
          <w:rFonts w:cs="Arial"/>
        </w:rPr>
        <w:tab/>
      </w:r>
      <w:r w:rsidR="002C5807">
        <w:rPr>
          <w:rFonts w:cs="Arial"/>
        </w:rPr>
        <w:t xml:space="preserve">The taxing master stated that she deemed an amount of </w:t>
      </w:r>
      <w:r w:rsidR="001B294D">
        <w:rPr>
          <w:rFonts w:cs="Arial"/>
        </w:rPr>
        <w:t xml:space="preserve">R57 500 for preparation </w:t>
      </w:r>
      <w:r w:rsidR="00C12079">
        <w:rPr>
          <w:rFonts w:cs="Arial"/>
        </w:rPr>
        <w:t xml:space="preserve">and drafting </w:t>
      </w:r>
      <w:r w:rsidR="001B294D">
        <w:rPr>
          <w:rFonts w:cs="Arial"/>
        </w:rPr>
        <w:t xml:space="preserve">of heads of argument and appearance in Court to be reasonable after taking into consideration the nature and complexity of the matter, the work done by counsel and the fee charged. The taxing master avers that the heads of argument is nothing more than an aid and therefore should be seen </w:t>
      </w:r>
      <w:r w:rsidR="003676DE">
        <w:rPr>
          <w:rFonts w:cs="Arial"/>
        </w:rPr>
        <w:t xml:space="preserve">as </w:t>
      </w:r>
      <w:r w:rsidR="001B294D">
        <w:rPr>
          <w:rFonts w:cs="Arial"/>
        </w:rPr>
        <w:t xml:space="preserve">part of the preparation. </w:t>
      </w:r>
    </w:p>
    <w:p w14:paraId="4FE1F805" w14:textId="77777777" w:rsidR="000E6575" w:rsidRDefault="000E6575" w:rsidP="00A40C17">
      <w:pPr>
        <w:pStyle w:val="ListParagraph"/>
        <w:spacing w:line="360" w:lineRule="auto"/>
        <w:rPr>
          <w:rFonts w:cs="Arial"/>
        </w:rPr>
      </w:pPr>
    </w:p>
    <w:p w14:paraId="0B85B1F5" w14:textId="7566E31A" w:rsidR="009D6107" w:rsidRDefault="00416066" w:rsidP="00416066">
      <w:pPr>
        <w:spacing w:line="360" w:lineRule="auto"/>
        <w:jc w:val="both"/>
        <w:rPr>
          <w:rFonts w:cs="Arial"/>
        </w:rPr>
      </w:pPr>
      <w:r>
        <w:rPr>
          <w:rFonts w:cs="Arial"/>
        </w:rPr>
        <w:t>[42]</w:t>
      </w:r>
      <w:r>
        <w:rPr>
          <w:rFonts w:cs="Arial"/>
        </w:rPr>
        <w:tab/>
      </w:r>
      <w:r w:rsidR="009D6107">
        <w:rPr>
          <w:rFonts w:cs="Arial"/>
        </w:rPr>
        <w:t xml:space="preserve">I pause to mention at this point that I was unable to discern from the taxing master’s stated case, the manner </w:t>
      </w:r>
      <w:r w:rsidR="00C12079">
        <w:rPr>
          <w:rFonts w:cs="Arial"/>
        </w:rPr>
        <w:t xml:space="preserve">that </w:t>
      </w:r>
      <w:r w:rsidR="009D6107">
        <w:rPr>
          <w:rFonts w:cs="Arial"/>
        </w:rPr>
        <w:t xml:space="preserve">she had arrived at that figure. Again she rehashed the principles, without applying them. Accordingly, the taxing master erred by simply reducing these amounts without providing a proper basis for doing so. </w:t>
      </w:r>
    </w:p>
    <w:p w14:paraId="2308ABCB" w14:textId="77777777" w:rsidR="009D6107" w:rsidRDefault="009D6107" w:rsidP="00A40C17">
      <w:pPr>
        <w:pStyle w:val="ListParagraph"/>
        <w:spacing w:line="360" w:lineRule="auto"/>
        <w:rPr>
          <w:rFonts w:cs="Arial"/>
        </w:rPr>
      </w:pPr>
    </w:p>
    <w:p w14:paraId="3F1FA38E" w14:textId="22F74E06" w:rsidR="00C418E0" w:rsidRDefault="00416066" w:rsidP="00416066">
      <w:pPr>
        <w:spacing w:line="360" w:lineRule="auto"/>
        <w:jc w:val="both"/>
        <w:rPr>
          <w:rFonts w:cs="Arial"/>
        </w:rPr>
      </w:pPr>
      <w:r>
        <w:rPr>
          <w:rFonts w:cs="Arial"/>
        </w:rPr>
        <w:t>[43]</w:t>
      </w:r>
      <w:r>
        <w:rPr>
          <w:rFonts w:cs="Arial"/>
        </w:rPr>
        <w:tab/>
      </w:r>
      <w:r w:rsidR="00C418E0">
        <w:rPr>
          <w:rFonts w:cs="Arial"/>
        </w:rPr>
        <w:t xml:space="preserve">It is apposite that Fidelity neither provides authority for the assertion that a reasonable rate of drafting heads of argument is </w:t>
      </w:r>
      <w:r w:rsidR="00B02AC1">
        <w:rPr>
          <w:rFonts w:cs="Arial"/>
        </w:rPr>
        <w:t xml:space="preserve">four </w:t>
      </w:r>
      <w:r w:rsidR="00C418E0">
        <w:rPr>
          <w:rFonts w:cs="Arial"/>
        </w:rPr>
        <w:t xml:space="preserve">pages per hour, nor for the assertion that a reasonable re-perusal rate is 40 pages per hour. Further, </w:t>
      </w:r>
      <w:r w:rsidR="00C12079">
        <w:rPr>
          <w:rFonts w:cs="Arial"/>
        </w:rPr>
        <w:t>c</w:t>
      </w:r>
      <w:r w:rsidR="00C418E0">
        <w:rPr>
          <w:rFonts w:cs="Arial"/>
        </w:rPr>
        <w:t xml:space="preserve">ounsel billed two days for preparation in addition to, and after the </w:t>
      </w:r>
      <w:r w:rsidR="00B02AC1">
        <w:rPr>
          <w:rFonts w:cs="Arial"/>
        </w:rPr>
        <w:t>h</w:t>
      </w:r>
      <w:r w:rsidR="00C418E0">
        <w:rPr>
          <w:rFonts w:cs="Arial"/>
        </w:rPr>
        <w:t xml:space="preserve">eads of </w:t>
      </w:r>
      <w:r w:rsidR="00B02AC1">
        <w:rPr>
          <w:rFonts w:cs="Arial"/>
        </w:rPr>
        <w:t>a</w:t>
      </w:r>
      <w:r w:rsidR="00C418E0">
        <w:rPr>
          <w:rFonts w:cs="Arial"/>
        </w:rPr>
        <w:t xml:space="preserve">rgument, were drafted. Innately, one would expect that preparation is concluded with the drafting of the heads of argument. </w:t>
      </w:r>
    </w:p>
    <w:p w14:paraId="0EBF88F9" w14:textId="77777777" w:rsidR="00C418E0" w:rsidRDefault="00C418E0" w:rsidP="00C418E0">
      <w:pPr>
        <w:spacing w:line="360" w:lineRule="auto"/>
        <w:jc w:val="both"/>
        <w:rPr>
          <w:rFonts w:cs="Arial"/>
        </w:rPr>
      </w:pPr>
    </w:p>
    <w:p w14:paraId="09D94C7B" w14:textId="32308A65" w:rsidR="00E906B6" w:rsidRDefault="00416066" w:rsidP="00416066">
      <w:pPr>
        <w:spacing w:line="360" w:lineRule="auto"/>
        <w:jc w:val="both"/>
        <w:rPr>
          <w:rFonts w:cs="Arial"/>
        </w:rPr>
      </w:pPr>
      <w:r>
        <w:rPr>
          <w:rFonts w:cs="Arial"/>
        </w:rPr>
        <w:t>[44]</w:t>
      </w:r>
      <w:r>
        <w:rPr>
          <w:rFonts w:cs="Arial"/>
        </w:rPr>
        <w:tab/>
      </w:r>
      <w:r w:rsidR="000E6575">
        <w:rPr>
          <w:rFonts w:cs="Arial"/>
        </w:rPr>
        <w:t xml:space="preserve">Considering </w:t>
      </w:r>
      <w:r w:rsidR="000E6575" w:rsidRPr="00201043">
        <w:rPr>
          <w:rFonts w:cs="Arial"/>
          <w:i/>
          <w:iCs/>
        </w:rPr>
        <w:t>Levin</w:t>
      </w:r>
      <w:r w:rsidR="000E6575">
        <w:rPr>
          <w:rFonts w:cs="Arial"/>
        </w:rPr>
        <w:t xml:space="preserve"> and the general principles articulated herein above, </w:t>
      </w:r>
      <w:r w:rsidR="001B294D">
        <w:rPr>
          <w:rFonts w:cs="Arial"/>
        </w:rPr>
        <w:t xml:space="preserve">I am not </w:t>
      </w:r>
      <w:r w:rsidR="000E6575">
        <w:rPr>
          <w:rFonts w:cs="Arial"/>
        </w:rPr>
        <w:t>persuaded that “heads of argument” are merely part of preparation; because</w:t>
      </w:r>
      <w:r w:rsidR="00FA618B">
        <w:rPr>
          <w:rFonts w:cs="Arial"/>
        </w:rPr>
        <w:t xml:space="preserve"> heads of argument </w:t>
      </w:r>
      <w:r w:rsidR="000E6575">
        <w:rPr>
          <w:rFonts w:cs="Arial"/>
        </w:rPr>
        <w:t xml:space="preserve">are meant to </w:t>
      </w:r>
      <w:r w:rsidR="00FA618B">
        <w:rPr>
          <w:rFonts w:cs="Arial"/>
        </w:rPr>
        <w:t>marry both the law and the facts</w:t>
      </w:r>
      <w:r w:rsidR="000E6575">
        <w:rPr>
          <w:rFonts w:cs="Arial"/>
        </w:rPr>
        <w:t xml:space="preserve"> into one document, which has various consequences that include the shortening of the hearing</w:t>
      </w:r>
      <w:r w:rsidR="00AE5D48">
        <w:rPr>
          <w:rFonts w:cs="Arial"/>
        </w:rPr>
        <w:t xml:space="preserve">. </w:t>
      </w:r>
    </w:p>
    <w:p w14:paraId="70F33EE4" w14:textId="77777777" w:rsidR="00E906B6" w:rsidRDefault="00E906B6" w:rsidP="00E906B6">
      <w:pPr>
        <w:spacing w:line="360" w:lineRule="auto"/>
        <w:jc w:val="both"/>
        <w:rPr>
          <w:rFonts w:cs="Arial"/>
        </w:rPr>
      </w:pPr>
    </w:p>
    <w:p w14:paraId="6D2C50CD" w14:textId="31F11AE2" w:rsidR="002C5807" w:rsidRDefault="00416066" w:rsidP="00416066">
      <w:pPr>
        <w:spacing w:line="360" w:lineRule="auto"/>
        <w:jc w:val="both"/>
        <w:rPr>
          <w:rFonts w:cs="Arial"/>
        </w:rPr>
      </w:pPr>
      <w:r>
        <w:rPr>
          <w:rFonts w:cs="Arial"/>
        </w:rPr>
        <w:t>[45]</w:t>
      </w:r>
      <w:r>
        <w:rPr>
          <w:rFonts w:cs="Arial"/>
        </w:rPr>
        <w:tab/>
      </w:r>
      <w:r w:rsidR="00AE5D48">
        <w:rPr>
          <w:rFonts w:cs="Arial"/>
        </w:rPr>
        <w:t xml:space="preserve">However, </w:t>
      </w:r>
      <w:r w:rsidR="00804748">
        <w:rPr>
          <w:rFonts w:cs="Arial"/>
        </w:rPr>
        <w:t xml:space="preserve">it is noted from counsel’s bill that counsel had charged </w:t>
      </w:r>
      <w:r w:rsidR="00B02AC1">
        <w:rPr>
          <w:rFonts w:cs="Arial"/>
        </w:rPr>
        <w:t>four</w:t>
      </w:r>
      <w:r w:rsidR="00804748">
        <w:rPr>
          <w:rFonts w:cs="Arial"/>
        </w:rPr>
        <w:t xml:space="preserve"> days in total for preparation</w:t>
      </w:r>
      <w:r w:rsidR="00934F66">
        <w:rPr>
          <w:rFonts w:cs="Arial"/>
        </w:rPr>
        <w:t xml:space="preserve">, which includes the drafting of heads of argument. Considering that I have already allowed an amount of R75 900 for perusal; </w:t>
      </w:r>
      <w:r w:rsidR="00AD283C">
        <w:rPr>
          <w:rFonts w:cs="Arial"/>
        </w:rPr>
        <w:t>four</w:t>
      </w:r>
      <w:r w:rsidR="00934F66">
        <w:rPr>
          <w:rFonts w:cs="Arial"/>
        </w:rPr>
        <w:t xml:space="preserve"> days for preparation, in my view, is unreasonable </w:t>
      </w:r>
      <w:r w:rsidR="00201043">
        <w:rPr>
          <w:rFonts w:cs="Arial"/>
        </w:rPr>
        <w:t xml:space="preserve">and/or over-cautious, </w:t>
      </w:r>
      <w:r w:rsidR="00934F66">
        <w:rPr>
          <w:rFonts w:cs="Arial"/>
        </w:rPr>
        <w:t>and two days for both preparation and the drafting of heads of argument</w:t>
      </w:r>
      <w:r w:rsidR="00201043">
        <w:rPr>
          <w:rFonts w:cs="Arial"/>
        </w:rPr>
        <w:t xml:space="preserve"> should be allowed. Accordingly, a fee of R90 000 plus VAT should </w:t>
      </w:r>
      <w:r w:rsidR="00C418E0">
        <w:rPr>
          <w:rFonts w:cs="Arial"/>
        </w:rPr>
        <w:t xml:space="preserve">be </w:t>
      </w:r>
      <w:r w:rsidR="00201043">
        <w:rPr>
          <w:rFonts w:cs="Arial"/>
        </w:rPr>
        <w:t xml:space="preserve">allowed for preparation, drafting heads of argument and appearance. </w:t>
      </w:r>
    </w:p>
    <w:p w14:paraId="0365F602" w14:textId="3EE47B6F" w:rsidR="00DF2AE7" w:rsidRDefault="00DF2AE7" w:rsidP="00A40C17">
      <w:pPr>
        <w:spacing w:line="360" w:lineRule="auto"/>
        <w:rPr>
          <w:rFonts w:cs="Arial"/>
        </w:rPr>
      </w:pPr>
    </w:p>
    <w:p w14:paraId="5E6030DB" w14:textId="6D4B60B3" w:rsidR="00DF2AE7" w:rsidRPr="00DF2AE7" w:rsidRDefault="00DF2AE7" w:rsidP="00DF2AE7">
      <w:pPr>
        <w:spacing w:line="360" w:lineRule="auto"/>
        <w:rPr>
          <w:rFonts w:cs="Arial"/>
          <w:b/>
          <w:bCs/>
        </w:rPr>
      </w:pPr>
      <w:r>
        <w:rPr>
          <w:rFonts w:cs="Arial"/>
          <w:b/>
          <w:bCs/>
        </w:rPr>
        <w:t>Correspondent attorney’s bill of costs</w:t>
      </w:r>
    </w:p>
    <w:p w14:paraId="672BFBB1" w14:textId="04766D80" w:rsidR="00DF2AE7" w:rsidRPr="00DF2AE7" w:rsidRDefault="00416066" w:rsidP="00416066">
      <w:pPr>
        <w:spacing w:line="360" w:lineRule="auto"/>
        <w:jc w:val="both"/>
        <w:rPr>
          <w:rFonts w:cs="Arial"/>
        </w:rPr>
      </w:pPr>
      <w:r>
        <w:rPr>
          <w:rFonts w:cs="Arial"/>
        </w:rPr>
        <w:t>[46]</w:t>
      </w:r>
      <w:r>
        <w:rPr>
          <w:rFonts w:cs="Arial"/>
        </w:rPr>
        <w:tab/>
      </w:r>
      <w:r w:rsidR="00DF2AE7" w:rsidRPr="00DF2AE7">
        <w:rPr>
          <w:rFonts w:cs="Arial"/>
        </w:rPr>
        <w:t>The taxing master has conceded that the disputed items should be allowed</w:t>
      </w:r>
      <w:r w:rsidR="00E906B6">
        <w:rPr>
          <w:rFonts w:cs="Arial"/>
        </w:rPr>
        <w:t>.</w:t>
      </w:r>
      <w:r w:rsidR="00DF2AE7">
        <w:rPr>
          <w:rStyle w:val="FootnoteReference"/>
          <w:rFonts w:cs="Arial"/>
        </w:rPr>
        <w:footnoteReference w:id="20"/>
      </w:r>
      <w:r w:rsidR="00010358">
        <w:rPr>
          <w:rFonts w:cs="Arial"/>
        </w:rPr>
        <w:t xml:space="preserve"> </w:t>
      </w:r>
      <w:r w:rsidR="00E906B6">
        <w:rPr>
          <w:rFonts w:cs="Arial"/>
        </w:rPr>
        <w:t xml:space="preserve">In the circumstances, </w:t>
      </w:r>
      <w:r w:rsidR="00DF2AE7">
        <w:rPr>
          <w:rFonts w:cs="Arial"/>
        </w:rPr>
        <w:t xml:space="preserve">it is unnecessary for me to deal with this issue save to say these amounts should be allowed. </w:t>
      </w:r>
    </w:p>
    <w:p w14:paraId="6E2E13BC" w14:textId="77777777" w:rsidR="00E31D2D" w:rsidRDefault="00E31D2D" w:rsidP="00FD39D3">
      <w:pPr>
        <w:pStyle w:val="ListParagraph"/>
        <w:spacing w:line="360" w:lineRule="auto"/>
        <w:ind w:left="0"/>
        <w:rPr>
          <w:rFonts w:cs="Arial"/>
        </w:rPr>
      </w:pPr>
    </w:p>
    <w:p w14:paraId="0ACB31E4" w14:textId="4F8744BC" w:rsidR="001F7091" w:rsidRPr="001F7091" w:rsidRDefault="001F7091" w:rsidP="001F7091">
      <w:pPr>
        <w:spacing w:line="360" w:lineRule="auto"/>
        <w:rPr>
          <w:rFonts w:cs="Arial"/>
          <w:b/>
          <w:bCs/>
        </w:rPr>
      </w:pPr>
      <w:r w:rsidRPr="001F7091">
        <w:rPr>
          <w:rFonts w:cs="Arial"/>
          <w:b/>
          <w:bCs/>
        </w:rPr>
        <w:t>Costs</w:t>
      </w:r>
    </w:p>
    <w:p w14:paraId="3045BEDD" w14:textId="17AF5958" w:rsidR="001F7091" w:rsidRPr="001F7091" w:rsidRDefault="00416066" w:rsidP="00416066">
      <w:pPr>
        <w:pStyle w:val="ListParagraph"/>
        <w:spacing w:line="360" w:lineRule="auto"/>
        <w:ind w:left="0"/>
        <w:jc w:val="both"/>
        <w:rPr>
          <w:rFonts w:cs="Arial"/>
        </w:rPr>
      </w:pPr>
      <w:r>
        <w:rPr>
          <w:rFonts w:cs="Arial"/>
        </w:rPr>
        <w:t>[47]</w:t>
      </w:r>
      <w:r>
        <w:rPr>
          <w:rFonts w:cs="Arial"/>
        </w:rPr>
        <w:tab/>
      </w:r>
      <w:r w:rsidR="00173010">
        <w:rPr>
          <w:rFonts w:cs="Arial"/>
        </w:rPr>
        <w:t>Rule</w:t>
      </w:r>
      <w:r w:rsidR="001F7091" w:rsidRPr="001F7091">
        <w:rPr>
          <w:rFonts w:cs="Arial"/>
        </w:rPr>
        <w:t xml:space="preserve"> 48(7) states: </w:t>
      </w:r>
    </w:p>
    <w:p w14:paraId="54B70BA2" w14:textId="7EB7DF40" w:rsidR="001F7091" w:rsidRPr="001F7091" w:rsidRDefault="001F7091" w:rsidP="00DB59A9">
      <w:pPr>
        <w:pStyle w:val="ListParagraph"/>
        <w:spacing w:line="360" w:lineRule="auto"/>
        <w:ind w:left="0"/>
        <w:jc w:val="both"/>
        <w:rPr>
          <w:rFonts w:cs="Arial"/>
          <w:sz w:val="22"/>
          <w:szCs w:val="22"/>
        </w:rPr>
      </w:pPr>
      <w:r w:rsidRPr="001F7091">
        <w:rPr>
          <w:rFonts w:cs="Arial"/>
          <w:sz w:val="22"/>
          <w:szCs w:val="22"/>
        </w:rPr>
        <w:t>‘The judge or court deciding the matter may make such order as to costs of the case as he or she or it may deem fit, including an order that the unsuccessful party pay to the successful party the costs of review in a sum fixed by the judge or court.’</w:t>
      </w:r>
    </w:p>
    <w:p w14:paraId="178C7B79" w14:textId="77777777" w:rsidR="001F7091" w:rsidRPr="001F7091" w:rsidRDefault="001F7091" w:rsidP="00DB59A9">
      <w:pPr>
        <w:pStyle w:val="ListParagraph"/>
        <w:spacing w:line="360" w:lineRule="auto"/>
        <w:ind w:left="0"/>
        <w:jc w:val="both"/>
        <w:rPr>
          <w:rFonts w:cs="Arial"/>
        </w:rPr>
      </w:pPr>
    </w:p>
    <w:p w14:paraId="33BE75A2" w14:textId="181AFD98" w:rsidR="001F7091" w:rsidRPr="001F7091" w:rsidRDefault="00416066" w:rsidP="00416066">
      <w:pPr>
        <w:pStyle w:val="ListParagraph"/>
        <w:spacing w:line="360" w:lineRule="auto"/>
        <w:ind w:left="0"/>
        <w:jc w:val="both"/>
        <w:rPr>
          <w:rFonts w:cs="Arial"/>
        </w:rPr>
      </w:pPr>
      <w:r>
        <w:rPr>
          <w:rFonts w:cs="Arial"/>
        </w:rPr>
        <w:t>[48]</w:t>
      </w:r>
      <w:r>
        <w:rPr>
          <w:rFonts w:cs="Arial"/>
        </w:rPr>
        <w:tab/>
      </w:r>
      <w:r w:rsidR="001F7091">
        <w:rPr>
          <w:rFonts w:cs="Arial"/>
        </w:rPr>
        <w:t xml:space="preserve">While </w:t>
      </w:r>
      <w:r w:rsidR="00EA6985">
        <w:rPr>
          <w:rFonts w:cs="Arial"/>
        </w:rPr>
        <w:t>Fidelity</w:t>
      </w:r>
      <w:r w:rsidR="001F7091">
        <w:rPr>
          <w:rFonts w:cs="Arial"/>
        </w:rPr>
        <w:t xml:space="preserve"> was </w:t>
      </w:r>
      <w:r w:rsidR="00EA6985">
        <w:rPr>
          <w:rFonts w:cs="Arial"/>
        </w:rPr>
        <w:t xml:space="preserve">largely </w:t>
      </w:r>
      <w:r w:rsidR="001F7091">
        <w:rPr>
          <w:rFonts w:cs="Arial"/>
        </w:rPr>
        <w:t xml:space="preserve">successful </w:t>
      </w:r>
      <w:r w:rsidR="00EA6985">
        <w:rPr>
          <w:rFonts w:cs="Arial"/>
        </w:rPr>
        <w:t>in this matter, the review was not opposed. Accordingly, it would not be in the interest of justice to make a</w:t>
      </w:r>
      <w:r w:rsidR="00DB59A9">
        <w:rPr>
          <w:rFonts w:cs="Arial"/>
        </w:rPr>
        <w:t xml:space="preserve"> </w:t>
      </w:r>
      <w:r w:rsidR="00EA6985">
        <w:rPr>
          <w:rFonts w:cs="Arial"/>
        </w:rPr>
        <w:t xml:space="preserve">further costs order. </w:t>
      </w:r>
    </w:p>
    <w:p w14:paraId="03294B26" w14:textId="77777777" w:rsidR="001F7091" w:rsidRDefault="001F7091" w:rsidP="00FD39D3">
      <w:pPr>
        <w:pStyle w:val="ListParagraph"/>
        <w:spacing w:line="360" w:lineRule="auto"/>
        <w:ind w:left="0"/>
        <w:rPr>
          <w:rFonts w:cs="Arial"/>
          <w:b/>
          <w:bCs/>
        </w:rPr>
      </w:pPr>
    </w:p>
    <w:p w14:paraId="127BD117" w14:textId="77B82345" w:rsidR="004D4101" w:rsidRPr="00BF2A77" w:rsidRDefault="00581207" w:rsidP="00FD39D3">
      <w:pPr>
        <w:pStyle w:val="ListParagraph"/>
        <w:spacing w:line="360" w:lineRule="auto"/>
        <w:ind w:left="0"/>
        <w:rPr>
          <w:rFonts w:cs="Arial"/>
          <w:b/>
          <w:bCs/>
        </w:rPr>
      </w:pPr>
      <w:r w:rsidRPr="00BF2A77">
        <w:rPr>
          <w:rFonts w:cs="Arial"/>
          <w:b/>
          <w:bCs/>
        </w:rPr>
        <w:t>Order</w:t>
      </w:r>
    </w:p>
    <w:p w14:paraId="0ACA6B1C" w14:textId="7B32CFE2" w:rsidR="004D4101" w:rsidRDefault="00416066" w:rsidP="00416066">
      <w:pPr>
        <w:spacing w:line="360" w:lineRule="auto"/>
        <w:jc w:val="both"/>
        <w:rPr>
          <w:rFonts w:cs="Arial"/>
        </w:rPr>
      </w:pPr>
      <w:r>
        <w:rPr>
          <w:rFonts w:cs="Arial"/>
        </w:rPr>
        <w:t>[49]</w:t>
      </w:r>
      <w:r>
        <w:rPr>
          <w:rFonts w:cs="Arial"/>
        </w:rPr>
        <w:tab/>
      </w:r>
      <w:r w:rsidR="00545B1A">
        <w:rPr>
          <w:rFonts w:cs="Arial"/>
        </w:rPr>
        <w:t>In the result</w:t>
      </w:r>
      <w:r w:rsidR="00581207">
        <w:rPr>
          <w:rFonts w:cs="Arial"/>
        </w:rPr>
        <w:t>, I make the following order</w:t>
      </w:r>
      <w:r w:rsidR="00545B1A">
        <w:rPr>
          <w:rFonts w:cs="Arial"/>
        </w:rPr>
        <w:t>:</w:t>
      </w:r>
    </w:p>
    <w:p w14:paraId="6F111E92" w14:textId="77777777" w:rsidR="00AD283C" w:rsidRDefault="00AD283C" w:rsidP="00A40C17">
      <w:pPr>
        <w:pStyle w:val="ListParagraph"/>
        <w:ind w:left="0"/>
        <w:jc w:val="both"/>
        <w:rPr>
          <w:rFonts w:cs="Arial"/>
        </w:rPr>
      </w:pPr>
    </w:p>
    <w:p w14:paraId="4CC86362" w14:textId="06233E1F" w:rsidR="00581207" w:rsidRDefault="00AD283C" w:rsidP="00AD283C">
      <w:pPr>
        <w:pStyle w:val="ListParagraph"/>
        <w:spacing w:line="360" w:lineRule="auto"/>
        <w:ind w:hanging="720"/>
        <w:jc w:val="both"/>
        <w:rPr>
          <w:rFonts w:cs="Arial"/>
        </w:rPr>
      </w:pPr>
      <w:r>
        <w:rPr>
          <w:rFonts w:cs="Arial"/>
        </w:rPr>
        <w:t>(a)</w:t>
      </w:r>
      <w:r>
        <w:rPr>
          <w:rFonts w:cs="Arial"/>
        </w:rPr>
        <w:tab/>
      </w:r>
      <w:r w:rsidR="00DF2AE7">
        <w:rPr>
          <w:rFonts w:cs="Arial"/>
        </w:rPr>
        <w:t>Items 19, 28, 53, 55, 57, 59, 61, 63, 65, 67, 76, 78, 83, 87, 89, 96, 98, 100, 104, 106, 108, 110, 112, 114, 116, 118, 120, 122, 124, 126, 148 and 152</w:t>
      </w:r>
      <w:r w:rsidR="007B13F4">
        <w:rPr>
          <w:rFonts w:cs="Arial"/>
        </w:rPr>
        <w:t xml:space="preserve"> of the</w:t>
      </w:r>
      <w:r w:rsidR="00DF2AE7">
        <w:rPr>
          <w:rFonts w:cs="Arial"/>
        </w:rPr>
        <w:t xml:space="preserve"> </w:t>
      </w:r>
      <w:r w:rsidR="00C418E0">
        <w:rPr>
          <w:rFonts w:cs="Arial"/>
        </w:rPr>
        <w:t xml:space="preserve">instructing attorney’s bill of costs, is </w:t>
      </w:r>
      <w:r w:rsidR="00DF2AE7">
        <w:rPr>
          <w:rFonts w:cs="Arial"/>
        </w:rPr>
        <w:t>allowed</w:t>
      </w:r>
      <w:r w:rsidR="00206661">
        <w:rPr>
          <w:rFonts w:cs="Arial"/>
        </w:rPr>
        <w:t xml:space="preserve"> on the amended tariff. </w:t>
      </w:r>
    </w:p>
    <w:p w14:paraId="4B21F554" w14:textId="088E5E7C" w:rsidR="00545B1A" w:rsidRDefault="00545B1A" w:rsidP="00545B1A">
      <w:pPr>
        <w:pStyle w:val="ListParagraph"/>
        <w:spacing w:line="360" w:lineRule="auto"/>
        <w:ind w:left="0"/>
        <w:jc w:val="both"/>
        <w:rPr>
          <w:rFonts w:cs="Arial"/>
        </w:rPr>
      </w:pPr>
    </w:p>
    <w:p w14:paraId="6BB1BB3A" w14:textId="36020F52" w:rsidR="00545B1A" w:rsidRDefault="00AD283C" w:rsidP="00AD283C">
      <w:pPr>
        <w:pStyle w:val="ListParagraph"/>
        <w:spacing w:line="360" w:lineRule="auto"/>
        <w:ind w:hanging="720"/>
        <w:jc w:val="both"/>
        <w:rPr>
          <w:rFonts w:cs="Arial"/>
        </w:rPr>
      </w:pPr>
      <w:r>
        <w:rPr>
          <w:rFonts w:cs="Arial"/>
        </w:rPr>
        <w:t>(b)</w:t>
      </w:r>
      <w:r>
        <w:rPr>
          <w:rFonts w:cs="Arial"/>
        </w:rPr>
        <w:tab/>
      </w:r>
      <w:r w:rsidR="00DF2AE7">
        <w:rPr>
          <w:rFonts w:cs="Arial"/>
        </w:rPr>
        <w:t>The taxing master’s decision in respect of item</w:t>
      </w:r>
      <w:r w:rsidR="00E04170">
        <w:rPr>
          <w:rFonts w:cs="Arial"/>
        </w:rPr>
        <w:t>s</w:t>
      </w:r>
      <w:r w:rsidR="00DF2AE7">
        <w:rPr>
          <w:rFonts w:cs="Arial"/>
        </w:rPr>
        <w:t xml:space="preserve"> 90 and 101 </w:t>
      </w:r>
      <w:r w:rsidR="007B13F4">
        <w:rPr>
          <w:rFonts w:cs="Arial"/>
        </w:rPr>
        <w:t xml:space="preserve">of the </w:t>
      </w:r>
      <w:r w:rsidR="00C418E0">
        <w:rPr>
          <w:rFonts w:cs="Arial"/>
        </w:rPr>
        <w:t xml:space="preserve">instructing attorney’s bill of costs, </w:t>
      </w:r>
      <w:r w:rsidR="00DF2AE7">
        <w:rPr>
          <w:rFonts w:cs="Arial"/>
        </w:rPr>
        <w:t>is reviewed and set aside</w:t>
      </w:r>
      <w:r w:rsidR="00E906B6">
        <w:rPr>
          <w:rFonts w:cs="Arial"/>
        </w:rPr>
        <w:t>.</w:t>
      </w:r>
    </w:p>
    <w:p w14:paraId="49040B1F" w14:textId="77777777" w:rsidR="00DF2AE7" w:rsidRPr="00DF2AE7" w:rsidRDefault="00DF2AE7" w:rsidP="00A40C17">
      <w:pPr>
        <w:spacing w:line="360" w:lineRule="auto"/>
        <w:rPr>
          <w:rFonts w:cs="Arial"/>
        </w:rPr>
      </w:pPr>
    </w:p>
    <w:p w14:paraId="42155FAB" w14:textId="154E55DD" w:rsidR="00DF2AE7" w:rsidRDefault="00AD283C" w:rsidP="00AD283C">
      <w:pPr>
        <w:pStyle w:val="ListParagraph"/>
        <w:spacing w:line="360" w:lineRule="auto"/>
        <w:ind w:hanging="720"/>
        <w:jc w:val="both"/>
        <w:rPr>
          <w:rFonts w:cs="Arial"/>
        </w:rPr>
      </w:pPr>
      <w:r>
        <w:rPr>
          <w:rFonts w:cs="Arial"/>
        </w:rPr>
        <w:t>(c)</w:t>
      </w:r>
      <w:r>
        <w:rPr>
          <w:rFonts w:cs="Arial"/>
        </w:rPr>
        <w:tab/>
      </w:r>
      <w:r w:rsidR="00E906B6">
        <w:rPr>
          <w:rFonts w:cs="Arial"/>
        </w:rPr>
        <w:t xml:space="preserve">With regard to </w:t>
      </w:r>
      <w:r w:rsidR="00DF2AE7">
        <w:rPr>
          <w:rFonts w:cs="Arial"/>
        </w:rPr>
        <w:t>items 157 and 159</w:t>
      </w:r>
      <w:r w:rsidR="00C418E0" w:rsidRPr="00C418E0">
        <w:rPr>
          <w:rFonts w:cs="Arial"/>
        </w:rPr>
        <w:t xml:space="preserve"> </w:t>
      </w:r>
      <w:r w:rsidR="00C418E0">
        <w:rPr>
          <w:rFonts w:cs="Arial"/>
        </w:rPr>
        <w:t>of the instructing attorney’s bill of costs</w:t>
      </w:r>
      <w:r w:rsidR="00E906B6">
        <w:rPr>
          <w:rFonts w:cs="Arial"/>
        </w:rPr>
        <w:t xml:space="preserve">, the </w:t>
      </w:r>
      <w:r w:rsidR="00DF2AE7">
        <w:rPr>
          <w:rFonts w:cs="Arial"/>
        </w:rPr>
        <w:t>taxing master’s ruling is upheld.</w:t>
      </w:r>
    </w:p>
    <w:p w14:paraId="0BEBC36D" w14:textId="77777777" w:rsidR="00DF2AE7" w:rsidRPr="00DF2AE7" w:rsidRDefault="00DF2AE7" w:rsidP="00A40C17">
      <w:pPr>
        <w:pStyle w:val="ListParagraph"/>
        <w:spacing w:line="360" w:lineRule="auto"/>
        <w:rPr>
          <w:rFonts w:cs="Arial"/>
        </w:rPr>
      </w:pPr>
    </w:p>
    <w:p w14:paraId="2910FDF7" w14:textId="5681C070" w:rsidR="00DF2AE7" w:rsidRDefault="00AD283C" w:rsidP="00AD283C">
      <w:pPr>
        <w:pStyle w:val="ListParagraph"/>
        <w:spacing w:line="360" w:lineRule="auto"/>
        <w:ind w:hanging="720"/>
        <w:jc w:val="both"/>
        <w:rPr>
          <w:rFonts w:cs="Arial"/>
        </w:rPr>
      </w:pPr>
      <w:r>
        <w:rPr>
          <w:rFonts w:cs="Arial"/>
        </w:rPr>
        <w:t>(d)</w:t>
      </w:r>
      <w:r>
        <w:rPr>
          <w:rFonts w:cs="Arial"/>
        </w:rPr>
        <w:tab/>
      </w:r>
      <w:r w:rsidR="00A94E2A">
        <w:rPr>
          <w:rFonts w:cs="Arial"/>
        </w:rPr>
        <w:t>With regard to item 163, the taxing master’s is set aside, and only an amount of R60 000 is taxed off. Accordingly, an amount of R90 000 plus VAT in total is allowed for counsel’s fee note dated 30 September 2021.</w:t>
      </w:r>
    </w:p>
    <w:p w14:paraId="56250204" w14:textId="77777777" w:rsidR="00DF2AE7" w:rsidRPr="00DF2AE7" w:rsidRDefault="00DF2AE7" w:rsidP="00A40C17">
      <w:pPr>
        <w:pStyle w:val="ListParagraph"/>
        <w:spacing w:line="360" w:lineRule="auto"/>
        <w:rPr>
          <w:rFonts w:cs="Arial"/>
        </w:rPr>
      </w:pPr>
    </w:p>
    <w:p w14:paraId="6127FD15" w14:textId="1794BA4D" w:rsidR="00DF2AE7" w:rsidRDefault="00AD283C" w:rsidP="00AD283C">
      <w:pPr>
        <w:pStyle w:val="ListParagraph"/>
        <w:spacing w:line="360" w:lineRule="auto"/>
        <w:ind w:hanging="720"/>
        <w:jc w:val="both"/>
        <w:rPr>
          <w:rFonts w:cs="Arial"/>
        </w:rPr>
      </w:pPr>
      <w:r>
        <w:rPr>
          <w:rFonts w:cs="Arial"/>
        </w:rPr>
        <w:t>(e)</w:t>
      </w:r>
      <w:r>
        <w:rPr>
          <w:rFonts w:cs="Arial"/>
        </w:rPr>
        <w:tab/>
      </w:r>
      <w:r w:rsidR="00DF2AE7">
        <w:rPr>
          <w:rFonts w:cs="Arial"/>
        </w:rPr>
        <w:t xml:space="preserve">With regard to the correspondent attorney’s bill of costs, the taxing master’s decision to either disallow the costs and/or reduce any of the items in the said bill of costs are reviewed and set aside; accordingly, all the costs in the said bill </w:t>
      </w:r>
      <w:r w:rsidR="00C418E0">
        <w:rPr>
          <w:rFonts w:cs="Arial"/>
        </w:rPr>
        <w:t>are</w:t>
      </w:r>
      <w:r w:rsidR="00DF2AE7">
        <w:rPr>
          <w:rFonts w:cs="Arial"/>
        </w:rPr>
        <w:t xml:space="preserve"> allowed.</w:t>
      </w:r>
    </w:p>
    <w:p w14:paraId="7BE70D12" w14:textId="77777777" w:rsidR="0062304A" w:rsidRPr="0062304A" w:rsidRDefault="0062304A" w:rsidP="00A40C17">
      <w:pPr>
        <w:pStyle w:val="ListParagraph"/>
        <w:spacing w:line="360" w:lineRule="auto"/>
        <w:rPr>
          <w:rFonts w:cs="Arial"/>
        </w:rPr>
      </w:pPr>
    </w:p>
    <w:p w14:paraId="29FD7577" w14:textId="6DACD33D" w:rsidR="0062304A" w:rsidRPr="0062304A" w:rsidRDefault="00AD283C" w:rsidP="00AD283C">
      <w:pPr>
        <w:pStyle w:val="ListParagraph"/>
        <w:spacing w:line="360" w:lineRule="auto"/>
        <w:ind w:hanging="720"/>
        <w:jc w:val="both"/>
        <w:rPr>
          <w:rFonts w:cs="Arial"/>
        </w:rPr>
      </w:pPr>
      <w:r>
        <w:rPr>
          <w:rFonts w:cs="Arial"/>
        </w:rPr>
        <w:t>(f)</w:t>
      </w:r>
      <w:r>
        <w:rPr>
          <w:rFonts w:cs="Arial"/>
        </w:rPr>
        <w:tab/>
      </w:r>
      <w:r w:rsidR="0062304A" w:rsidRPr="0062304A">
        <w:rPr>
          <w:rFonts w:cs="Arial"/>
        </w:rPr>
        <w:t xml:space="preserve">The allocatur of the </w:t>
      </w:r>
      <w:r w:rsidR="0062304A">
        <w:rPr>
          <w:rFonts w:cs="Arial"/>
        </w:rPr>
        <w:t xml:space="preserve">taxing master is </w:t>
      </w:r>
      <w:r w:rsidR="0062304A" w:rsidRPr="0062304A">
        <w:rPr>
          <w:rFonts w:cs="Arial"/>
        </w:rPr>
        <w:t>referred back to her to be calculated in accordance with the charges allowed on review.</w:t>
      </w:r>
    </w:p>
    <w:p w14:paraId="6A61350E" w14:textId="77777777" w:rsidR="00C418E0" w:rsidRPr="00C418E0" w:rsidRDefault="00C418E0" w:rsidP="00A40C17">
      <w:pPr>
        <w:pStyle w:val="ListParagraph"/>
        <w:spacing w:line="360" w:lineRule="auto"/>
        <w:rPr>
          <w:rFonts w:cs="Arial"/>
        </w:rPr>
      </w:pPr>
    </w:p>
    <w:p w14:paraId="31E2F1C1" w14:textId="0783FD4A" w:rsidR="00C418E0" w:rsidRPr="00581207" w:rsidRDefault="00AD283C" w:rsidP="00AD283C">
      <w:pPr>
        <w:pStyle w:val="ListParagraph"/>
        <w:spacing w:line="360" w:lineRule="auto"/>
        <w:ind w:hanging="720"/>
        <w:jc w:val="both"/>
        <w:rPr>
          <w:rFonts w:cs="Arial"/>
        </w:rPr>
      </w:pPr>
      <w:r>
        <w:rPr>
          <w:rFonts w:cs="Arial"/>
        </w:rPr>
        <w:t>(g)</w:t>
      </w:r>
      <w:r>
        <w:rPr>
          <w:rFonts w:cs="Arial"/>
        </w:rPr>
        <w:tab/>
      </w:r>
      <w:r w:rsidR="00C418E0">
        <w:rPr>
          <w:rFonts w:cs="Arial"/>
        </w:rPr>
        <w:t xml:space="preserve">No order as to costs. </w:t>
      </w:r>
    </w:p>
    <w:p w14:paraId="0458B9C0" w14:textId="77777777" w:rsidR="00E25150" w:rsidRDefault="00E25150" w:rsidP="001C143E">
      <w:pPr>
        <w:jc w:val="right"/>
        <w:rPr>
          <w:rFonts w:cs="Arial"/>
          <w:b/>
        </w:rPr>
      </w:pPr>
    </w:p>
    <w:p w14:paraId="12CDB392" w14:textId="77777777" w:rsidR="00E25150" w:rsidRDefault="00E25150" w:rsidP="001C143E">
      <w:pPr>
        <w:jc w:val="right"/>
        <w:rPr>
          <w:rFonts w:cs="Arial"/>
          <w:b/>
        </w:rPr>
      </w:pPr>
    </w:p>
    <w:p w14:paraId="4A4A7AD8" w14:textId="77777777" w:rsidR="00E25150" w:rsidRDefault="00E25150" w:rsidP="001C143E">
      <w:pPr>
        <w:jc w:val="right"/>
        <w:rPr>
          <w:rFonts w:cs="Arial"/>
          <w:b/>
        </w:rPr>
      </w:pPr>
    </w:p>
    <w:p w14:paraId="07284CF6" w14:textId="77777777" w:rsidR="00E25150" w:rsidRDefault="00E25150" w:rsidP="001C143E">
      <w:pPr>
        <w:jc w:val="right"/>
        <w:rPr>
          <w:rFonts w:cs="Arial"/>
          <w:b/>
        </w:rPr>
      </w:pPr>
    </w:p>
    <w:p w14:paraId="2E3268C9" w14:textId="265788D0" w:rsidR="001C143E" w:rsidRPr="000C5487" w:rsidRDefault="001C143E" w:rsidP="001C143E">
      <w:pPr>
        <w:jc w:val="right"/>
        <w:rPr>
          <w:rFonts w:cs="Arial"/>
          <w:b/>
        </w:rPr>
      </w:pPr>
      <w:r w:rsidRPr="000C5487">
        <w:rPr>
          <w:rFonts w:cs="Arial"/>
          <w:b/>
        </w:rPr>
        <w:t>________</w:t>
      </w:r>
      <w:r w:rsidR="005B2A5F" w:rsidRPr="000C5487">
        <w:rPr>
          <w:rFonts w:cs="Arial"/>
          <w:b/>
        </w:rPr>
        <w:t>___</w:t>
      </w:r>
      <w:r w:rsidRPr="000C5487">
        <w:rPr>
          <w:rFonts w:cs="Arial"/>
          <w:b/>
        </w:rPr>
        <w:t>___</w:t>
      </w:r>
    </w:p>
    <w:p w14:paraId="5EEAB518" w14:textId="771AA95F" w:rsidR="001C143E" w:rsidRPr="000C5487" w:rsidRDefault="005B2A5F" w:rsidP="001C143E">
      <w:pPr>
        <w:jc w:val="right"/>
        <w:rPr>
          <w:rFonts w:cs="Arial"/>
          <w:b/>
        </w:rPr>
      </w:pPr>
      <w:r w:rsidRPr="000C5487">
        <w:rPr>
          <w:rFonts w:cs="Arial"/>
          <w:b/>
        </w:rPr>
        <w:t>N</w:t>
      </w:r>
      <w:r w:rsidR="00DB59A9">
        <w:rPr>
          <w:rFonts w:cs="Arial"/>
          <w:b/>
        </w:rPr>
        <w:t>icholson</w:t>
      </w:r>
      <w:r w:rsidR="001C143E" w:rsidRPr="000C5487">
        <w:rPr>
          <w:rFonts w:cs="Arial"/>
          <w:b/>
        </w:rPr>
        <w:t xml:space="preserve"> AJ</w:t>
      </w:r>
    </w:p>
    <w:p w14:paraId="72A35485" w14:textId="54E0AA68" w:rsidR="00206661" w:rsidRDefault="00206661" w:rsidP="001C143E">
      <w:pPr>
        <w:spacing w:before="240" w:after="240" w:line="360" w:lineRule="auto"/>
        <w:rPr>
          <w:rFonts w:cs="Arial"/>
        </w:rPr>
      </w:pPr>
    </w:p>
    <w:p w14:paraId="49F62C3A" w14:textId="040B7BC0" w:rsidR="00DB59A9" w:rsidRDefault="00DB59A9" w:rsidP="001C143E">
      <w:pPr>
        <w:spacing w:before="240" w:after="240" w:line="360" w:lineRule="auto"/>
        <w:rPr>
          <w:rFonts w:cs="Arial"/>
        </w:rPr>
      </w:pPr>
    </w:p>
    <w:p w14:paraId="47971D96" w14:textId="0B56DD1C" w:rsidR="00DB59A9" w:rsidRDefault="00DB59A9" w:rsidP="001C143E">
      <w:pPr>
        <w:spacing w:before="240" w:after="240" w:line="360" w:lineRule="auto"/>
        <w:rPr>
          <w:rFonts w:cs="Arial"/>
        </w:rPr>
      </w:pPr>
    </w:p>
    <w:p w14:paraId="1E6D37F1" w14:textId="5F07D7F0" w:rsidR="00DB59A9" w:rsidRDefault="00DB59A9" w:rsidP="001C143E">
      <w:pPr>
        <w:spacing w:before="240" w:after="240" w:line="360" w:lineRule="auto"/>
        <w:rPr>
          <w:rFonts w:cs="Arial"/>
        </w:rPr>
      </w:pPr>
    </w:p>
    <w:p w14:paraId="4AF405A7" w14:textId="0E89ADFD" w:rsidR="00DB59A9" w:rsidRDefault="00DB59A9" w:rsidP="001C143E">
      <w:pPr>
        <w:spacing w:before="240" w:after="240" w:line="360" w:lineRule="auto"/>
        <w:rPr>
          <w:rFonts w:cs="Arial"/>
        </w:rPr>
      </w:pPr>
    </w:p>
    <w:p w14:paraId="294E3DA3" w14:textId="08974461" w:rsidR="00206661" w:rsidRDefault="00206661" w:rsidP="00206661">
      <w:pPr>
        <w:spacing w:line="360" w:lineRule="auto"/>
        <w:rPr>
          <w:rFonts w:cs="Arial"/>
        </w:rPr>
      </w:pPr>
      <w:r>
        <w:rPr>
          <w:rFonts w:cs="Arial"/>
        </w:rPr>
        <w:t>Handed down:</w:t>
      </w:r>
      <w:r>
        <w:rPr>
          <w:rFonts w:cs="Arial"/>
        </w:rPr>
        <w:tab/>
      </w:r>
      <w:r>
        <w:rPr>
          <w:rFonts w:cs="Arial"/>
        </w:rPr>
        <w:tab/>
      </w:r>
      <w:r>
        <w:rPr>
          <w:rFonts w:cs="Arial"/>
        </w:rPr>
        <w:tab/>
      </w:r>
      <w:r>
        <w:rPr>
          <w:rFonts w:cs="Arial"/>
        </w:rPr>
        <w:tab/>
      </w:r>
      <w:r w:rsidR="00733B24">
        <w:rPr>
          <w:rFonts w:cs="Arial"/>
        </w:rPr>
        <w:t>12 May 2023</w:t>
      </w:r>
    </w:p>
    <w:p w14:paraId="30730A9C" w14:textId="77777777" w:rsidR="00206661" w:rsidRDefault="00206661" w:rsidP="001C143E">
      <w:pPr>
        <w:spacing w:before="240" w:after="240" w:line="360" w:lineRule="auto"/>
        <w:rPr>
          <w:rFonts w:cs="Arial"/>
        </w:rPr>
      </w:pPr>
    </w:p>
    <w:p w14:paraId="382DD4B5" w14:textId="399F5455" w:rsidR="00581207" w:rsidRDefault="00581207" w:rsidP="001C143E">
      <w:pPr>
        <w:spacing w:before="240" w:after="240" w:line="360" w:lineRule="auto"/>
        <w:rPr>
          <w:rFonts w:cs="Arial"/>
        </w:rPr>
      </w:pPr>
      <w:r>
        <w:rPr>
          <w:rFonts w:cs="Arial"/>
        </w:rPr>
        <w:t>Appearances</w:t>
      </w:r>
    </w:p>
    <w:p w14:paraId="2F7BB3B2" w14:textId="29F2FE25" w:rsidR="001C143E" w:rsidRDefault="00DF2AE7" w:rsidP="005C5AB8">
      <w:pPr>
        <w:spacing w:line="360" w:lineRule="auto"/>
        <w:rPr>
          <w:rFonts w:cs="Arial"/>
        </w:rPr>
      </w:pPr>
      <w:bookmarkStart w:id="4" w:name="_Hlk536432197"/>
      <w:r>
        <w:rPr>
          <w:rFonts w:cs="Arial"/>
        </w:rPr>
        <w:t>Applicant’s Attorneys</w:t>
      </w:r>
      <w:r w:rsidR="001C143E" w:rsidRPr="00664B01">
        <w:rPr>
          <w:rFonts w:cs="Arial"/>
        </w:rPr>
        <w:t>:</w:t>
      </w:r>
      <w:r w:rsidR="001C143E" w:rsidRPr="00664B01">
        <w:rPr>
          <w:rFonts w:cs="Arial"/>
        </w:rPr>
        <w:tab/>
      </w:r>
      <w:bookmarkEnd w:id="4"/>
      <w:r w:rsidR="00350E57">
        <w:rPr>
          <w:rFonts w:cs="Arial"/>
        </w:rPr>
        <w:tab/>
      </w:r>
      <w:r w:rsidR="00350E57">
        <w:rPr>
          <w:rFonts w:cs="Arial"/>
        </w:rPr>
        <w:tab/>
      </w:r>
      <w:r>
        <w:rPr>
          <w:rFonts w:cs="Arial"/>
        </w:rPr>
        <w:t>Blake Bester De Wet and Jordaan</w:t>
      </w:r>
    </w:p>
    <w:p w14:paraId="6A67FFF2" w14:textId="7224E104" w:rsidR="005C5AB8" w:rsidRDefault="00DF2AE7" w:rsidP="005C5AB8">
      <w:pPr>
        <w:spacing w:line="360" w:lineRule="auto"/>
        <w:ind w:left="4320"/>
        <w:rPr>
          <w:rFonts w:cs="Arial"/>
        </w:rPr>
      </w:pPr>
      <w:r>
        <w:rPr>
          <w:rFonts w:cs="Arial"/>
        </w:rPr>
        <w:t>c/o LJ Rogerson and Associates</w:t>
      </w:r>
    </w:p>
    <w:p w14:paraId="0BD938FD" w14:textId="22C1C2E5" w:rsidR="00DF2AE7" w:rsidRDefault="00DF2AE7" w:rsidP="005C5AB8">
      <w:pPr>
        <w:spacing w:line="360" w:lineRule="auto"/>
        <w:ind w:left="4320"/>
        <w:rPr>
          <w:rFonts w:cs="Arial"/>
        </w:rPr>
      </w:pPr>
      <w:r>
        <w:rPr>
          <w:rFonts w:cs="Arial"/>
        </w:rPr>
        <w:t>23 The Drive (Off Lonsdale Road)</w:t>
      </w:r>
    </w:p>
    <w:p w14:paraId="7E5E9DD5" w14:textId="469E767C" w:rsidR="00DF2AE7" w:rsidRDefault="00DF2AE7" w:rsidP="005C5AB8">
      <w:pPr>
        <w:spacing w:line="360" w:lineRule="auto"/>
        <w:ind w:left="4320"/>
        <w:rPr>
          <w:rFonts w:cs="Arial"/>
        </w:rPr>
      </w:pPr>
      <w:r>
        <w:rPr>
          <w:rFonts w:cs="Arial"/>
        </w:rPr>
        <w:t>Durban North, Durban</w:t>
      </w:r>
    </w:p>
    <w:p w14:paraId="483456A0" w14:textId="77777777" w:rsidR="00DF2AE7" w:rsidRDefault="00DF2AE7" w:rsidP="005C5AB8">
      <w:pPr>
        <w:spacing w:line="360" w:lineRule="auto"/>
        <w:ind w:left="4320"/>
        <w:rPr>
          <w:rFonts w:cs="Arial"/>
        </w:rPr>
      </w:pPr>
    </w:p>
    <w:p w14:paraId="68F37308" w14:textId="226F2830" w:rsidR="00DF2AE7" w:rsidRDefault="00DF2AE7" w:rsidP="00DF2AE7">
      <w:pPr>
        <w:spacing w:line="360" w:lineRule="auto"/>
        <w:rPr>
          <w:rFonts w:cs="Arial"/>
        </w:rPr>
      </w:pPr>
      <w:r>
        <w:rPr>
          <w:rFonts w:cs="Arial"/>
        </w:rPr>
        <w:t>Taxing Master:</w:t>
      </w:r>
      <w:r>
        <w:rPr>
          <w:rFonts w:cs="Arial"/>
        </w:rPr>
        <w:tab/>
      </w:r>
      <w:r>
        <w:rPr>
          <w:rFonts w:cs="Arial"/>
        </w:rPr>
        <w:tab/>
      </w:r>
      <w:r>
        <w:rPr>
          <w:rFonts w:cs="Arial"/>
        </w:rPr>
        <w:tab/>
      </w:r>
      <w:r>
        <w:rPr>
          <w:rFonts w:cs="Arial"/>
        </w:rPr>
        <w:tab/>
        <w:t>R Hlongwane</w:t>
      </w:r>
    </w:p>
    <w:p w14:paraId="185EFF04" w14:textId="77777777" w:rsidR="00206661" w:rsidRDefault="00206661">
      <w:pPr>
        <w:spacing w:line="360" w:lineRule="auto"/>
        <w:rPr>
          <w:rFonts w:cs="Arial"/>
        </w:rPr>
      </w:pPr>
    </w:p>
    <w:sectPr w:rsidR="00206661" w:rsidSect="00D252F6">
      <w:headerReference w:type="default" r:id="rId12"/>
      <w:pgSz w:w="11906" w:h="16838"/>
      <w:pgMar w:top="1701" w:right="1701" w:bottom="1701" w:left="1985"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0922" w14:textId="77777777" w:rsidR="002B50BE" w:rsidRDefault="002B50BE" w:rsidP="008674D3">
      <w:r>
        <w:separator/>
      </w:r>
    </w:p>
  </w:endnote>
  <w:endnote w:type="continuationSeparator" w:id="0">
    <w:p w14:paraId="1E2AC4F4" w14:textId="77777777" w:rsidR="002B50BE" w:rsidRDefault="002B50BE" w:rsidP="008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62A20" w14:textId="77777777" w:rsidR="002B50BE" w:rsidRDefault="002B50BE" w:rsidP="008674D3">
      <w:r>
        <w:separator/>
      </w:r>
    </w:p>
  </w:footnote>
  <w:footnote w:type="continuationSeparator" w:id="0">
    <w:p w14:paraId="04D171C7" w14:textId="77777777" w:rsidR="002B50BE" w:rsidRDefault="002B50BE" w:rsidP="008674D3">
      <w:r>
        <w:continuationSeparator/>
      </w:r>
    </w:p>
  </w:footnote>
  <w:footnote w:id="1">
    <w:p w14:paraId="2BAFED42" w14:textId="3BA2732C" w:rsidR="002B50BE" w:rsidRDefault="002B50BE" w:rsidP="003776AA">
      <w:pPr>
        <w:pStyle w:val="FootnoteText"/>
        <w:jc w:val="both"/>
      </w:pPr>
      <w:r>
        <w:rPr>
          <w:rStyle w:val="FootnoteReference"/>
        </w:rPr>
        <w:footnoteRef/>
      </w:r>
      <w:r>
        <w:t xml:space="preserve"> </w:t>
      </w:r>
      <w:r w:rsidRPr="002C0C0A">
        <w:rPr>
          <w:rFonts w:cs="Arial"/>
          <w:i/>
        </w:rPr>
        <w:t>C</w:t>
      </w:r>
      <w:r w:rsidRPr="002C0C0A">
        <w:rPr>
          <w:rFonts w:cs="Arial"/>
          <w:i/>
          <w:iCs/>
        </w:rPr>
        <w:t>ity of Cape Town v</w:t>
      </w:r>
      <w:r>
        <w:rPr>
          <w:rFonts w:cs="Arial"/>
          <w:i/>
          <w:iCs/>
        </w:rPr>
        <w:t xml:space="preserve"> Arun Property Development (Pty) Ltd and Another </w:t>
      </w:r>
      <w:r>
        <w:rPr>
          <w:rFonts w:cs="Arial"/>
        </w:rPr>
        <w:t>2009 (5) SA 227 (C)</w:t>
      </w:r>
      <w:r>
        <w:t>.</w:t>
      </w:r>
    </w:p>
  </w:footnote>
  <w:footnote w:id="2">
    <w:p w14:paraId="1966BFAC" w14:textId="35206FE8" w:rsidR="002B50BE" w:rsidRDefault="002B50BE" w:rsidP="00F1221A">
      <w:pPr>
        <w:pStyle w:val="FootnoteText"/>
        <w:jc w:val="both"/>
        <w:rPr>
          <w:i/>
          <w:iCs/>
          <w:lang w:val="en-US"/>
        </w:rPr>
      </w:pPr>
      <w:r>
        <w:rPr>
          <w:rStyle w:val="FootnoteReference"/>
        </w:rPr>
        <w:footnoteRef/>
      </w:r>
      <w:r>
        <w:t xml:space="preserve"> </w:t>
      </w:r>
      <w:r>
        <w:rPr>
          <w:i/>
          <w:iCs/>
          <w:lang w:val="en-US"/>
        </w:rPr>
        <w:t xml:space="preserve">Naidoo v MEC for Health, KwaZulu-Natal, Naidoo v MEC for Health, KwaZulu-Natal, </w:t>
      </w:r>
    </w:p>
    <w:p w14:paraId="65834408" w14:textId="712F5DDE" w:rsidR="002B50BE" w:rsidRPr="002536B0" w:rsidRDefault="002B50BE" w:rsidP="00F1221A">
      <w:pPr>
        <w:pStyle w:val="FootnoteText"/>
        <w:jc w:val="both"/>
        <w:rPr>
          <w:lang w:val="en-US"/>
        </w:rPr>
      </w:pPr>
      <w:r>
        <w:rPr>
          <w:i/>
          <w:iCs/>
          <w:lang w:val="en-US"/>
        </w:rPr>
        <w:t xml:space="preserve">Phewa v MEC for Health, KwaZulu-Natal, Govender v MEC for Health, KwaZulu-Natal, Nthombela v MEC for Health, KwaZulu-Natal </w:t>
      </w:r>
      <w:r>
        <w:rPr>
          <w:lang w:val="en-US"/>
        </w:rPr>
        <w:t>(5787/16P) [2018] ZAKZPHC 6 (14 March 2018).</w:t>
      </w:r>
    </w:p>
  </w:footnote>
  <w:footnote w:id="3">
    <w:p w14:paraId="65D4E444" w14:textId="0500EDFF" w:rsidR="002B50BE" w:rsidRDefault="002B50BE" w:rsidP="00252B9F">
      <w:pPr>
        <w:pStyle w:val="FootnoteText"/>
        <w:jc w:val="both"/>
      </w:pPr>
      <w:r>
        <w:rPr>
          <w:rStyle w:val="FootnoteReference"/>
        </w:rPr>
        <w:footnoteRef/>
      </w:r>
      <w:r>
        <w:t xml:space="preserve"> </w:t>
      </w:r>
      <w:r w:rsidRPr="00F1221A">
        <w:rPr>
          <w:rFonts w:cs="Arial"/>
          <w:i/>
        </w:rPr>
        <w:t xml:space="preserve">President of the Republic of South Africa </w:t>
      </w:r>
      <w:r>
        <w:rPr>
          <w:rFonts w:cs="Arial"/>
          <w:i/>
        </w:rPr>
        <w:t>and</w:t>
      </w:r>
      <w:r w:rsidRPr="00F1221A">
        <w:rPr>
          <w:rFonts w:cs="Arial"/>
          <w:i/>
        </w:rPr>
        <w:t xml:space="preserve"> </w:t>
      </w:r>
      <w:r>
        <w:rPr>
          <w:rFonts w:cs="Arial"/>
          <w:i/>
        </w:rPr>
        <w:t>O</w:t>
      </w:r>
      <w:r w:rsidRPr="00F1221A">
        <w:rPr>
          <w:rFonts w:cs="Arial"/>
          <w:i/>
        </w:rPr>
        <w:t xml:space="preserve">thers v Gauteng Lions Rugby Union </w:t>
      </w:r>
      <w:r>
        <w:rPr>
          <w:rFonts w:cs="Arial"/>
          <w:i/>
        </w:rPr>
        <w:t>and</w:t>
      </w:r>
      <w:r w:rsidRPr="00F1221A">
        <w:rPr>
          <w:rFonts w:cs="Arial"/>
          <w:i/>
        </w:rPr>
        <w:t xml:space="preserve"> </w:t>
      </w:r>
      <w:r>
        <w:rPr>
          <w:rFonts w:cs="Arial"/>
          <w:i/>
        </w:rPr>
        <w:t>A</w:t>
      </w:r>
      <w:r w:rsidRPr="00F1221A">
        <w:rPr>
          <w:rFonts w:cs="Arial"/>
          <w:i/>
        </w:rPr>
        <w:t>nother</w:t>
      </w:r>
      <w:r w:rsidRPr="00917FD8">
        <w:rPr>
          <w:rFonts w:cs="Arial"/>
        </w:rPr>
        <w:t xml:space="preserve"> 2002 (2) SA 64 (CC)</w:t>
      </w:r>
      <w:r>
        <w:rPr>
          <w:rFonts w:cs="Arial"/>
        </w:rPr>
        <w:t>.</w:t>
      </w:r>
    </w:p>
  </w:footnote>
  <w:footnote w:id="4">
    <w:p w14:paraId="432D141A" w14:textId="324661F9" w:rsidR="002B50BE" w:rsidRDefault="002B50BE" w:rsidP="00252B9F">
      <w:pPr>
        <w:pStyle w:val="FootnoteText"/>
        <w:jc w:val="both"/>
      </w:pPr>
      <w:r>
        <w:rPr>
          <w:rStyle w:val="FootnoteReference"/>
        </w:rPr>
        <w:footnoteRef/>
      </w:r>
      <w:r>
        <w:t xml:space="preserve"> </w:t>
      </w:r>
      <w:r>
        <w:rPr>
          <w:rFonts w:cs="Arial"/>
          <w:i/>
          <w:iCs/>
        </w:rPr>
        <w:t xml:space="preserve">Price Waterhouse Meyernel v Thoroughbred Breeders’ Association of South Africa </w:t>
      </w:r>
      <w:r>
        <w:rPr>
          <w:rFonts w:cs="Arial"/>
        </w:rPr>
        <w:t>2003 (3) SA 54 (SCA).</w:t>
      </w:r>
    </w:p>
  </w:footnote>
  <w:footnote w:id="5">
    <w:p w14:paraId="07B07807" w14:textId="0479132D" w:rsidR="002B50BE" w:rsidRDefault="002B50BE" w:rsidP="0041192D">
      <w:pPr>
        <w:pStyle w:val="FootnoteText"/>
        <w:jc w:val="both"/>
      </w:pPr>
      <w:r>
        <w:rPr>
          <w:rStyle w:val="FootnoteReference"/>
        </w:rPr>
        <w:footnoteRef/>
      </w:r>
      <w:r>
        <w:t xml:space="preserve"> </w:t>
      </w:r>
      <w:r>
        <w:rPr>
          <w:rFonts w:cs="Arial"/>
          <w:i/>
          <w:iCs/>
        </w:rPr>
        <w:t>Findlater v M B Morton Estate</w:t>
      </w:r>
      <w:r w:rsidRPr="00A00B6F">
        <w:rPr>
          <w:rFonts w:cs="Arial"/>
          <w:i/>
          <w:iCs/>
        </w:rPr>
        <w:t xml:space="preserve">s (Pty) Ltd </w:t>
      </w:r>
      <w:r>
        <w:rPr>
          <w:rFonts w:cs="Arial"/>
        </w:rPr>
        <w:t>2002 JDR 3615 (KZP).</w:t>
      </w:r>
    </w:p>
  </w:footnote>
  <w:footnote w:id="6">
    <w:p w14:paraId="6F9BAA22" w14:textId="2D5F2B08" w:rsidR="002B50BE" w:rsidRDefault="002B50BE" w:rsidP="0041192D">
      <w:pPr>
        <w:pStyle w:val="FootnoteText"/>
        <w:jc w:val="both"/>
      </w:pPr>
      <w:r>
        <w:rPr>
          <w:rStyle w:val="FootnoteReference"/>
        </w:rPr>
        <w:footnoteRef/>
      </w:r>
      <w:r>
        <w:t xml:space="preserve"> </w:t>
      </w:r>
      <w:r w:rsidRPr="00F1221A">
        <w:rPr>
          <w:rFonts w:cs="Arial"/>
          <w:i/>
        </w:rPr>
        <w:t>Society of Advocates of KwaZulu-Natal v Levin</w:t>
      </w:r>
      <w:r w:rsidRPr="00E44D8D">
        <w:rPr>
          <w:rFonts w:cs="Arial"/>
        </w:rPr>
        <w:t xml:space="preserve"> 2015 (6) SA 50 (KZP)</w:t>
      </w:r>
      <w:r>
        <w:rPr>
          <w:rFonts w:cs="Arial"/>
        </w:rPr>
        <w:t>.</w:t>
      </w:r>
    </w:p>
  </w:footnote>
  <w:footnote w:id="7">
    <w:p w14:paraId="0C456C7D" w14:textId="2D5BDD6C" w:rsidR="002B50BE" w:rsidRDefault="002B50BE">
      <w:pPr>
        <w:pStyle w:val="FootnoteText"/>
      </w:pPr>
      <w:r>
        <w:rPr>
          <w:rStyle w:val="FootnoteReference"/>
        </w:rPr>
        <w:footnoteRef/>
      </w:r>
      <w:r>
        <w:t xml:space="preserve"> </w:t>
      </w:r>
      <w:r w:rsidRPr="002638D2">
        <w:t>Ibid para</w:t>
      </w:r>
      <w:r>
        <w:t xml:space="preserve"> 31.</w:t>
      </w:r>
    </w:p>
  </w:footnote>
  <w:footnote w:id="8">
    <w:p w14:paraId="292E2C76" w14:textId="369116B8" w:rsidR="002B50BE" w:rsidRDefault="002B50BE">
      <w:pPr>
        <w:pStyle w:val="FootnoteText"/>
      </w:pPr>
      <w:r>
        <w:rPr>
          <w:rStyle w:val="FootnoteReference"/>
        </w:rPr>
        <w:footnoteRef/>
      </w:r>
      <w:r>
        <w:t xml:space="preserve"> </w:t>
      </w:r>
      <w:r w:rsidRPr="00F1221A">
        <w:t>Ibid para 39.</w:t>
      </w:r>
    </w:p>
  </w:footnote>
  <w:footnote w:id="9">
    <w:p w14:paraId="72CE620F" w14:textId="77B5F927" w:rsidR="002B50BE" w:rsidRDefault="002B50BE">
      <w:pPr>
        <w:pStyle w:val="FootnoteText"/>
      </w:pPr>
      <w:r>
        <w:rPr>
          <w:rStyle w:val="FootnoteReference"/>
        </w:rPr>
        <w:footnoteRef/>
      </w:r>
      <w:r>
        <w:t xml:space="preserve"> Notice of review, para 6, page 5; </w:t>
      </w:r>
      <w:r w:rsidR="00010358">
        <w:t>t</w:t>
      </w:r>
      <w:r>
        <w:t xml:space="preserve">axing </w:t>
      </w:r>
      <w:r w:rsidR="00010358">
        <w:t>m</w:t>
      </w:r>
      <w:r>
        <w:t>aster’s stated case, para 6 at indexed page 39.</w:t>
      </w:r>
    </w:p>
  </w:footnote>
  <w:footnote w:id="10">
    <w:p w14:paraId="379136C3" w14:textId="3A47E680" w:rsidR="002B50BE" w:rsidRPr="00B934BB" w:rsidRDefault="002B50BE" w:rsidP="0082771D">
      <w:pPr>
        <w:pStyle w:val="FootnoteText"/>
        <w:jc w:val="both"/>
        <w:rPr>
          <w:lang w:val="en-US"/>
        </w:rPr>
      </w:pPr>
      <w:r>
        <w:rPr>
          <w:rStyle w:val="FootnoteReference"/>
        </w:rPr>
        <w:footnoteRef/>
      </w:r>
      <w:r>
        <w:t xml:space="preserve"> </w:t>
      </w:r>
      <w:r>
        <w:rPr>
          <w:lang w:val="en-US"/>
        </w:rPr>
        <w:t>Indexed page 3, para 2(b); indexed page 17, item 90.</w:t>
      </w:r>
    </w:p>
  </w:footnote>
  <w:footnote w:id="11">
    <w:p w14:paraId="1D4B0DA0" w14:textId="7636C969" w:rsidR="002B50BE" w:rsidRPr="00B934BB" w:rsidRDefault="002B50BE" w:rsidP="0082771D">
      <w:pPr>
        <w:pStyle w:val="FootnoteText"/>
        <w:jc w:val="both"/>
        <w:rPr>
          <w:lang w:val="en-US"/>
        </w:rPr>
      </w:pPr>
      <w:r>
        <w:rPr>
          <w:rStyle w:val="FootnoteReference"/>
        </w:rPr>
        <w:footnoteRef/>
      </w:r>
      <w:r>
        <w:t xml:space="preserve"> </w:t>
      </w:r>
      <w:r>
        <w:rPr>
          <w:lang w:val="en-US"/>
        </w:rPr>
        <w:t>Indexed page 17, item 90; annexure “RA3”.</w:t>
      </w:r>
    </w:p>
  </w:footnote>
  <w:footnote w:id="12">
    <w:p w14:paraId="44BF591A" w14:textId="42DC9E6D" w:rsidR="002B50BE" w:rsidRDefault="002B50BE" w:rsidP="0082771D">
      <w:pPr>
        <w:pStyle w:val="FootnoteText"/>
        <w:jc w:val="both"/>
      </w:pPr>
      <w:r>
        <w:rPr>
          <w:rStyle w:val="FootnoteReference"/>
        </w:rPr>
        <w:footnoteRef/>
      </w:r>
      <w:r>
        <w:t xml:space="preserve"> </w:t>
      </w:r>
      <w:r>
        <w:rPr>
          <w:rFonts w:cs="Arial"/>
          <w:i/>
          <w:iCs/>
        </w:rPr>
        <w:t xml:space="preserve">City of Cape Town v Arun Property Development (Pty) Ltd and Another </w:t>
      </w:r>
      <w:r>
        <w:rPr>
          <w:rFonts w:cs="Arial"/>
        </w:rPr>
        <w:t>2009 (5) SA 227 (C).</w:t>
      </w:r>
    </w:p>
  </w:footnote>
  <w:footnote w:id="13">
    <w:p w14:paraId="71654D88" w14:textId="153BCCB5" w:rsidR="002B50BE" w:rsidRDefault="002B50BE" w:rsidP="0082771D">
      <w:pPr>
        <w:pStyle w:val="FootnoteText"/>
        <w:jc w:val="both"/>
      </w:pPr>
      <w:r>
        <w:rPr>
          <w:rStyle w:val="FootnoteReference"/>
        </w:rPr>
        <w:footnoteRef/>
      </w:r>
      <w:r>
        <w:t xml:space="preserve"> Ibid.</w:t>
      </w:r>
    </w:p>
  </w:footnote>
  <w:footnote w:id="14">
    <w:p w14:paraId="2412253C" w14:textId="2D5022C7" w:rsidR="002B50BE" w:rsidRDefault="002B50BE" w:rsidP="00E95BE5">
      <w:pPr>
        <w:pStyle w:val="FootnoteText"/>
      </w:pPr>
      <w:r>
        <w:rPr>
          <w:rStyle w:val="FootnoteReference"/>
        </w:rPr>
        <w:footnoteRef/>
      </w:r>
      <w:r>
        <w:t xml:space="preserve"> </w:t>
      </w:r>
      <w:r w:rsidRPr="00F1221A">
        <w:rPr>
          <w:rFonts w:cs="Arial"/>
          <w:i/>
        </w:rPr>
        <w:t>Society of Advocates of KwaZulu-Natal v Levin</w:t>
      </w:r>
      <w:r w:rsidRPr="00E44D8D">
        <w:rPr>
          <w:rFonts w:cs="Arial"/>
        </w:rPr>
        <w:t xml:space="preserve"> 2015 (6) SA 50 (KZP)</w:t>
      </w:r>
      <w:r>
        <w:rPr>
          <w:rFonts w:cs="Arial"/>
        </w:rPr>
        <w:t>.</w:t>
      </w:r>
    </w:p>
  </w:footnote>
  <w:footnote w:id="15">
    <w:p w14:paraId="3E4AE9D4" w14:textId="4234F89C" w:rsidR="002B50BE" w:rsidRPr="00EA20AC" w:rsidRDefault="002B50BE" w:rsidP="009A65F8">
      <w:pPr>
        <w:pStyle w:val="FootnoteText"/>
        <w:rPr>
          <w:lang w:val="en-US"/>
        </w:rPr>
      </w:pPr>
      <w:r>
        <w:rPr>
          <w:rStyle w:val="FootnoteReference"/>
        </w:rPr>
        <w:footnoteRef/>
      </w:r>
      <w:r>
        <w:t xml:space="preserve"> </w:t>
      </w:r>
      <w:r>
        <w:rPr>
          <w:lang w:val="en-US"/>
        </w:rPr>
        <w:t xml:space="preserve">Paragraph 2, </w:t>
      </w:r>
      <w:r w:rsidR="00010358">
        <w:rPr>
          <w:lang w:val="en-US"/>
        </w:rPr>
        <w:t xml:space="preserve">indexed </w:t>
      </w:r>
      <w:r>
        <w:rPr>
          <w:lang w:val="en-US"/>
        </w:rPr>
        <w:t>page 37</w:t>
      </w:r>
      <w:r w:rsidR="00010358">
        <w:rPr>
          <w:lang w:val="en-US"/>
        </w:rPr>
        <w:t>.</w:t>
      </w:r>
    </w:p>
  </w:footnote>
  <w:footnote w:id="16">
    <w:p w14:paraId="2176F732" w14:textId="68698919" w:rsidR="002B50BE" w:rsidRDefault="002B50BE" w:rsidP="00010358">
      <w:pPr>
        <w:pStyle w:val="FootnoteText"/>
        <w:jc w:val="both"/>
      </w:pPr>
      <w:r>
        <w:rPr>
          <w:rStyle w:val="FootnoteReference"/>
        </w:rPr>
        <w:footnoteRef/>
      </w:r>
      <w:r>
        <w:t xml:space="preserve"> </w:t>
      </w:r>
      <w:r>
        <w:rPr>
          <w:rFonts w:cs="Arial"/>
          <w:i/>
          <w:iCs/>
        </w:rPr>
        <w:t xml:space="preserve">City Real Estate Co v Ground Investment Group (Natal) (Pty) Ltd and Another </w:t>
      </w:r>
      <w:r>
        <w:rPr>
          <w:rFonts w:cs="Arial"/>
        </w:rPr>
        <w:t>1973 (1) SA 93 (N).</w:t>
      </w:r>
    </w:p>
  </w:footnote>
  <w:footnote w:id="17">
    <w:p w14:paraId="50F506B7" w14:textId="33E15467" w:rsidR="002B50BE" w:rsidRPr="00270439" w:rsidRDefault="002B50BE" w:rsidP="00010358">
      <w:pPr>
        <w:pStyle w:val="FootnoteText"/>
        <w:jc w:val="both"/>
        <w:rPr>
          <w:lang w:val="en-US"/>
        </w:rPr>
      </w:pPr>
      <w:r>
        <w:rPr>
          <w:rStyle w:val="FootnoteReference"/>
        </w:rPr>
        <w:footnoteRef/>
      </w:r>
      <w:r>
        <w:t xml:space="preserve"> </w:t>
      </w:r>
      <w:r w:rsidRPr="00B02AC1">
        <w:rPr>
          <w:rFonts w:cs="Arial"/>
          <w:iCs/>
        </w:rPr>
        <w:t>Ibid</w:t>
      </w:r>
      <w:r w:rsidRPr="00B02AC1">
        <w:rPr>
          <w:rFonts w:cs="Arial"/>
        </w:rPr>
        <w:t xml:space="preserve"> </w:t>
      </w:r>
      <w:r w:rsidRPr="00B02AC1">
        <w:rPr>
          <w:lang w:val="en-US"/>
        </w:rPr>
        <w:t xml:space="preserve">at </w:t>
      </w:r>
      <w:r>
        <w:rPr>
          <w:lang w:val="en-US"/>
        </w:rPr>
        <w:t>97F-98F.</w:t>
      </w:r>
    </w:p>
  </w:footnote>
  <w:footnote w:id="18">
    <w:p w14:paraId="11612E6B" w14:textId="3E8493D7" w:rsidR="002B50BE" w:rsidRPr="0090521F" w:rsidRDefault="002B50BE" w:rsidP="00010358">
      <w:pPr>
        <w:pStyle w:val="FootnoteText"/>
        <w:jc w:val="both"/>
      </w:pPr>
      <w:r w:rsidRPr="0090521F">
        <w:rPr>
          <w:rStyle w:val="FootnoteReference"/>
        </w:rPr>
        <w:footnoteRef/>
      </w:r>
      <w:r w:rsidRPr="0090521F">
        <w:t xml:space="preserve"> </w:t>
      </w:r>
      <w:r w:rsidRPr="0090521F">
        <w:rPr>
          <w:i/>
          <w:iCs/>
          <w:lang w:val="en-US"/>
        </w:rPr>
        <w:t>Naidoo v MEC for Health, KwaZulu-Natal, Naidoo v MEC for Health, KwaZulu-Natal, Phewa v MEC for Health, KwaZulu-Natal, Govender v MEC for Health, KwaZulu-Natal, Nthombela v MEC for Health</w:t>
      </w:r>
      <w:r>
        <w:rPr>
          <w:i/>
          <w:iCs/>
          <w:lang w:val="en-US"/>
        </w:rPr>
        <w:t xml:space="preserve"> </w:t>
      </w:r>
      <w:r>
        <w:rPr>
          <w:lang w:val="en-US"/>
        </w:rPr>
        <w:t>(5787/16P) [2018] ZAKZPHC 6 (14 March 2018).</w:t>
      </w:r>
    </w:p>
  </w:footnote>
  <w:footnote w:id="19">
    <w:p w14:paraId="65927475" w14:textId="478017F4" w:rsidR="002B50BE" w:rsidRPr="002C5807" w:rsidRDefault="002B50BE" w:rsidP="00F1221A">
      <w:pPr>
        <w:pStyle w:val="FootnoteText"/>
        <w:jc w:val="both"/>
        <w:rPr>
          <w:lang w:val="en-US"/>
        </w:rPr>
      </w:pPr>
      <w:r>
        <w:rPr>
          <w:rStyle w:val="FootnoteReference"/>
        </w:rPr>
        <w:footnoteRef/>
      </w:r>
      <w:r>
        <w:t xml:space="preserve"> Annexure “RA4”, p</w:t>
      </w:r>
      <w:r>
        <w:rPr>
          <w:lang w:val="en-US"/>
        </w:rPr>
        <w:t>age 23 of the indexed papers.</w:t>
      </w:r>
    </w:p>
  </w:footnote>
  <w:footnote w:id="20">
    <w:p w14:paraId="28932A5D" w14:textId="7F951CB0" w:rsidR="002B50BE" w:rsidRPr="00DF2AE7" w:rsidRDefault="002B50BE">
      <w:pPr>
        <w:pStyle w:val="FootnoteText"/>
        <w:rPr>
          <w:lang w:val="en-US"/>
        </w:rPr>
      </w:pPr>
      <w:r>
        <w:rPr>
          <w:rStyle w:val="FootnoteReference"/>
        </w:rPr>
        <w:footnoteRef/>
      </w:r>
      <w:r>
        <w:t xml:space="preserve"> </w:t>
      </w:r>
      <w:r>
        <w:rPr>
          <w:lang w:val="en-US"/>
        </w:rPr>
        <w:t>Page 40 of indexed papers, paras 7 and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404971"/>
      <w:docPartObj>
        <w:docPartGallery w:val="Page Numbers (Top of Page)"/>
        <w:docPartUnique/>
      </w:docPartObj>
    </w:sdtPr>
    <w:sdtEndPr>
      <w:rPr>
        <w:noProof/>
      </w:rPr>
    </w:sdtEndPr>
    <w:sdtContent>
      <w:p w14:paraId="6C4AA791" w14:textId="585C3C6C" w:rsidR="002B50BE" w:rsidRDefault="002B50BE">
        <w:pPr>
          <w:pStyle w:val="Header"/>
          <w:jc w:val="right"/>
        </w:pPr>
        <w:r>
          <w:fldChar w:fldCharType="begin"/>
        </w:r>
        <w:r>
          <w:instrText xml:space="preserve"> PAGE   \* MERGEFORMAT </w:instrText>
        </w:r>
        <w:r>
          <w:fldChar w:fldCharType="separate"/>
        </w:r>
        <w:r w:rsidR="006F4AC8">
          <w:rPr>
            <w:noProof/>
          </w:rPr>
          <w:t>2</w:t>
        </w:r>
        <w:r>
          <w:rPr>
            <w:noProof/>
          </w:rPr>
          <w:fldChar w:fldCharType="end"/>
        </w:r>
      </w:p>
    </w:sdtContent>
  </w:sdt>
  <w:p w14:paraId="1DA0374B" w14:textId="77777777" w:rsidR="002B50BE" w:rsidRDefault="002B5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D39"/>
    <w:multiLevelType w:val="hybridMultilevel"/>
    <w:tmpl w:val="1BA051A4"/>
    <w:lvl w:ilvl="0" w:tplc="8B5CB6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077A87"/>
    <w:multiLevelType w:val="hybridMultilevel"/>
    <w:tmpl w:val="DD22FB4E"/>
    <w:lvl w:ilvl="0" w:tplc="3CDADC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741569"/>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2870820"/>
    <w:multiLevelType w:val="hybridMultilevel"/>
    <w:tmpl w:val="654461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20524B"/>
    <w:multiLevelType w:val="hybridMultilevel"/>
    <w:tmpl w:val="444A4D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A56171"/>
    <w:multiLevelType w:val="hybridMultilevel"/>
    <w:tmpl w:val="2F7C1D62"/>
    <w:lvl w:ilvl="0" w:tplc="58368F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B35645D"/>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1BA673C7"/>
    <w:multiLevelType w:val="hybridMultilevel"/>
    <w:tmpl w:val="E0968A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EF4573"/>
    <w:multiLevelType w:val="hybridMultilevel"/>
    <w:tmpl w:val="363884A4"/>
    <w:lvl w:ilvl="0" w:tplc="2BBC2CE2">
      <w:start w:val="1"/>
      <w:numFmt w:val="lowerLetter"/>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9">
    <w:nsid w:val="249C250F"/>
    <w:multiLevelType w:val="hybridMultilevel"/>
    <w:tmpl w:val="C12E7D0C"/>
    <w:lvl w:ilvl="0" w:tplc="3CDADC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5026F94"/>
    <w:multiLevelType w:val="multilevel"/>
    <w:tmpl w:val="92F401E8"/>
    <w:lvl w:ilvl="0">
      <w:start w:val="1"/>
      <w:numFmt w:val="decimal"/>
      <w:pStyle w:val="Heading1"/>
      <w:isLgl/>
      <w:suff w:val="space"/>
      <w:lvlText w:val="%1."/>
      <w:lvlJc w:val="center"/>
      <w:pPr>
        <w:ind w:left="0" w:firstLine="0"/>
      </w:pPr>
      <w:rPr>
        <w:rFonts w:ascii="Arial" w:hAnsi="Arial" w:hint="default"/>
        <w:b w:val="0"/>
        <w:i w:val="0"/>
        <w:sz w:val="24"/>
        <w:szCs w:val="24"/>
      </w:rPr>
    </w:lvl>
    <w:lvl w:ilvl="1">
      <w:start w:val="1"/>
      <w:numFmt w:val="decimal"/>
      <w:pStyle w:val="Heading2"/>
      <w:isLgl/>
      <w:lvlText w:val="%1.%2"/>
      <w:lvlJc w:val="left"/>
      <w:pPr>
        <w:tabs>
          <w:tab w:val="num" w:pos="851"/>
        </w:tabs>
        <w:ind w:left="851" w:hanging="851"/>
      </w:pPr>
      <w:rPr>
        <w:rFonts w:ascii="Arial" w:hAnsi="Arial" w:hint="default"/>
        <w:b w:val="0"/>
        <w:i w:val="0"/>
        <w:sz w:val="24"/>
        <w:szCs w:val="24"/>
      </w:rPr>
    </w:lvl>
    <w:lvl w:ilvl="2">
      <w:start w:val="1"/>
      <w:numFmt w:val="decimal"/>
      <w:pStyle w:val="Heading3"/>
      <w:isLgl/>
      <w:lvlText w:val="%1.%2.%3"/>
      <w:lvlJc w:val="left"/>
      <w:pPr>
        <w:tabs>
          <w:tab w:val="num" w:pos="1701"/>
        </w:tabs>
        <w:ind w:left="1701" w:hanging="85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68B4F53"/>
    <w:multiLevelType w:val="multilevel"/>
    <w:tmpl w:val="E6FE3556"/>
    <w:lvl w:ilvl="0">
      <w:start w:val="1"/>
      <w:numFmt w:val="decimal"/>
      <w:lvlText w:val="[%1]"/>
      <w:lvlJc w:val="left"/>
      <w:pPr>
        <w:ind w:left="3229" w:hanging="360"/>
      </w:pPr>
      <w:rPr>
        <w:rFonts w:hint="default"/>
        <w:b w:val="0"/>
        <w:i w:val="0"/>
        <w:iCs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12">
    <w:nsid w:val="2E03578C"/>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30C0679"/>
    <w:multiLevelType w:val="hybridMultilevel"/>
    <w:tmpl w:val="326A7F6C"/>
    <w:lvl w:ilvl="0" w:tplc="95BCC07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34D46C47"/>
    <w:multiLevelType w:val="hybridMultilevel"/>
    <w:tmpl w:val="257693C6"/>
    <w:lvl w:ilvl="0" w:tplc="B7DCE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8460962"/>
    <w:multiLevelType w:val="multilevel"/>
    <w:tmpl w:val="957E7B06"/>
    <w:lvl w:ilvl="0">
      <w:start w:val="1"/>
      <w:numFmt w:val="decimal"/>
      <w:lvlText w:val="%1."/>
      <w:lvlJc w:val="left"/>
      <w:pPr>
        <w:ind w:left="502" w:hanging="360"/>
      </w:pPr>
      <w:rPr>
        <w:rFonts w:ascii="Arial" w:hAnsi="Arial" w:cs="Arial" w:hint="default"/>
        <w:b w:val="0"/>
        <w:color w:val="auto"/>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8A95F9F"/>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3BA31495"/>
    <w:multiLevelType w:val="hybridMultilevel"/>
    <w:tmpl w:val="614E5A70"/>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182D7E"/>
    <w:multiLevelType w:val="hybridMultilevel"/>
    <w:tmpl w:val="3B769FF4"/>
    <w:lvl w:ilvl="0" w:tplc="6CDC8C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7255E4"/>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4971A19"/>
    <w:multiLevelType w:val="multilevel"/>
    <w:tmpl w:val="F38E586A"/>
    <w:styleLink w:val="CurrentList1"/>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21">
    <w:nsid w:val="48D66D0F"/>
    <w:multiLevelType w:val="hybridMultilevel"/>
    <w:tmpl w:val="79A2B90E"/>
    <w:lvl w:ilvl="0" w:tplc="05ACD1AE">
      <w:start w:val="1"/>
      <w:numFmt w:val="lowerLetter"/>
      <w:lvlText w:val="(%1)"/>
      <w:lvlJc w:val="left"/>
      <w:pPr>
        <w:ind w:left="3523" w:hanging="360"/>
      </w:pPr>
      <w:rPr>
        <w:rFonts w:hint="default"/>
      </w:rPr>
    </w:lvl>
    <w:lvl w:ilvl="1" w:tplc="1C090019" w:tentative="1">
      <w:start w:val="1"/>
      <w:numFmt w:val="lowerLetter"/>
      <w:lvlText w:val="%2."/>
      <w:lvlJc w:val="left"/>
      <w:pPr>
        <w:ind w:left="4243" w:hanging="360"/>
      </w:pPr>
    </w:lvl>
    <w:lvl w:ilvl="2" w:tplc="1C09001B" w:tentative="1">
      <w:start w:val="1"/>
      <w:numFmt w:val="lowerRoman"/>
      <w:lvlText w:val="%3."/>
      <w:lvlJc w:val="right"/>
      <w:pPr>
        <w:ind w:left="4963" w:hanging="180"/>
      </w:pPr>
    </w:lvl>
    <w:lvl w:ilvl="3" w:tplc="1C09000F" w:tentative="1">
      <w:start w:val="1"/>
      <w:numFmt w:val="decimal"/>
      <w:lvlText w:val="%4."/>
      <w:lvlJc w:val="left"/>
      <w:pPr>
        <w:ind w:left="5683" w:hanging="360"/>
      </w:pPr>
    </w:lvl>
    <w:lvl w:ilvl="4" w:tplc="1C090019" w:tentative="1">
      <w:start w:val="1"/>
      <w:numFmt w:val="lowerLetter"/>
      <w:lvlText w:val="%5."/>
      <w:lvlJc w:val="left"/>
      <w:pPr>
        <w:ind w:left="6403" w:hanging="360"/>
      </w:pPr>
    </w:lvl>
    <w:lvl w:ilvl="5" w:tplc="1C09001B" w:tentative="1">
      <w:start w:val="1"/>
      <w:numFmt w:val="lowerRoman"/>
      <w:lvlText w:val="%6."/>
      <w:lvlJc w:val="right"/>
      <w:pPr>
        <w:ind w:left="7123" w:hanging="180"/>
      </w:pPr>
    </w:lvl>
    <w:lvl w:ilvl="6" w:tplc="1C09000F" w:tentative="1">
      <w:start w:val="1"/>
      <w:numFmt w:val="decimal"/>
      <w:lvlText w:val="%7."/>
      <w:lvlJc w:val="left"/>
      <w:pPr>
        <w:ind w:left="7843" w:hanging="360"/>
      </w:pPr>
    </w:lvl>
    <w:lvl w:ilvl="7" w:tplc="1C090019" w:tentative="1">
      <w:start w:val="1"/>
      <w:numFmt w:val="lowerLetter"/>
      <w:lvlText w:val="%8."/>
      <w:lvlJc w:val="left"/>
      <w:pPr>
        <w:ind w:left="8563" w:hanging="360"/>
      </w:pPr>
    </w:lvl>
    <w:lvl w:ilvl="8" w:tplc="1C09001B" w:tentative="1">
      <w:start w:val="1"/>
      <w:numFmt w:val="lowerRoman"/>
      <w:lvlText w:val="%9."/>
      <w:lvlJc w:val="right"/>
      <w:pPr>
        <w:ind w:left="9283" w:hanging="180"/>
      </w:pPr>
    </w:lvl>
  </w:abstractNum>
  <w:abstractNum w:abstractNumId="22">
    <w:nsid w:val="48D72E03"/>
    <w:multiLevelType w:val="hybridMultilevel"/>
    <w:tmpl w:val="B8D6A1BA"/>
    <w:lvl w:ilvl="0" w:tplc="354024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966315"/>
    <w:multiLevelType w:val="hybridMultilevel"/>
    <w:tmpl w:val="44000F3E"/>
    <w:lvl w:ilvl="0" w:tplc="189EEA0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8B8586F"/>
    <w:multiLevelType w:val="hybridMultilevel"/>
    <w:tmpl w:val="03B6D7A4"/>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8ED53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107514"/>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BAA5621"/>
    <w:multiLevelType w:val="hybridMultilevel"/>
    <w:tmpl w:val="1D7449FE"/>
    <w:lvl w:ilvl="0" w:tplc="54B065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8F0139F"/>
    <w:multiLevelType w:val="hybridMultilevel"/>
    <w:tmpl w:val="BD029D06"/>
    <w:lvl w:ilvl="0" w:tplc="1C090017">
      <w:start w:val="1"/>
      <w:numFmt w:val="lowerLetter"/>
      <w:lvlText w:val="%1)"/>
      <w:lvlJc w:val="left"/>
      <w:pPr>
        <w:ind w:left="1344" w:hanging="360"/>
      </w:p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29">
    <w:nsid w:val="6B100F8E"/>
    <w:multiLevelType w:val="hybridMultilevel"/>
    <w:tmpl w:val="DE68F0C0"/>
    <w:lvl w:ilvl="0" w:tplc="B7D8632C">
      <w:start w:val="1"/>
      <w:numFmt w:val="upperLetter"/>
      <w:lvlText w:val="%1."/>
      <w:lvlJc w:val="left"/>
      <w:pPr>
        <w:ind w:left="720" w:hanging="360"/>
      </w:pPr>
      <w:rPr>
        <w:rFonts w:hint="default"/>
      </w:rPr>
    </w:lvl>
    <w:lvl w:ilvl="1" w:tplc="EC90EDE4" w:tentative="1">
      <w:start w:val="1"/>
      <w:numFmt w:val="lowerLetter"/>
      <w:lvlText w:val="%2."/>
      <w:lvlJc w:val="left"/>
      <w:pPr>
        <w:ind w:left="1440" w:hanging="360"/>
      </w:pPr>
    </w:lvl>
    <w:lvl w:ilvl="2" w:tplc="C33EC37A" w:tentative="1">
      <w:start w:val="1"/>
      <w:numFmt w:val="lowerRoman"/>
      <w:lvlText w:val="%3."/>
      <w:lvlJc w:val="right"/>
      <w:pPr>
        <w:ind w:left="2160" w:hanging="180"/>
      </w:pPr>
    </w:lvl>
    <w:lvl w:ilvl="3" w:tplc="B13CEEC2" w:tentative="1">
      <w:start w:val="1"/>
      <w:numFmt w:val="decimal"/>
      <w:lvlText w:val="%4."/>
      <w:lvlJc w:val="left"/>
      <w:pPr>
        <w:ind w:left="2880" w:hanging="360"/>
      </w:pPr>
    </w:lvl>
    <w:lvl w:ilvl="4" w:tplc="14766154" w:tentative="1">
      <w:start w:val="1"/>
      <w:numFmt w:val="lowerLetter"/>
      <w:lvlText w:val="%5."/>
      <w:lvlJc w:val="left"/>
      <w:pPr>
        <w:ind w:left="3600" w:hanging="360"/>
      </w:pPr>
    </w:lvl>
    <w:lvl w:ilvl="5" w:tplc="5E509C78" w:tentative="1">
      <w:start w:val="1"/>
      <w:numFmt w:val="lowerRoman"/>
      <w:lvlText w:val="%6."/>
      <w:lvlJc w:val="right"/>
      <w:pPr>
        <w:ind w:left="4320" w:hanging="180"/>
      </w:pPr>
    </w:lvl>
    <w:lvl w:ilvl="6" w:tplc="140EA1CA" w:tentative="1">
      <w:start w:val="1"/>
      <w:numFmt w:val="decimal"/>
      <w:lvlText w:val="%7."/>
      <w:lvlJc w:val="left"/>
      <w:pPr>
        <w:ind w:left="5040" w:hanging="360"/>
      </w:pPr>
    </w:lvl>
    <w:lvl w:ilvl="7" w:tplc="2CF4ECB8" w:tentative="1">
      <w:start w:val="1"/>
      <w:numFmt w:val="lowerLetter"/>
      <w:lvlText w:val="%8."/>
      <w:lvlJc w:val="left"/>
      <w:pPr>
        <w:ind w:left="5760" w:hanging="360"/>
      </w:pPr>
    </w:lvl>
    <w:lvl w:ilvl="8" w:tplc="F8B49320" w:tentative="1">
      <w:start w:val="1"/>
      <w:numFmt w:val="lowerRoman"/>
      <w:lvlText w:val="%9."/>
      <w:lvlJc w:val="right"/>
      <w:pPr>
        <w:ind w:left="6480" w:hanging="180"/>
      </w:pPr>
    </w:lvl>
  </w:abstractNum>
  <w:abstractNum w:abstractNumId="30">
    <w:nsid w:val="6DB34422"/>
    <w:multiLevelType w:val="hybridMultilevel"/>
    <w:tmpl w:val="16F05620"/>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1">
    <w:nsid w:val="6E7E2865"/>
    <w:multiLevelType w:val="hybridMultilevel"/>
    <w:tmpl w:val="7EF02296"/>
    <w:lvl w:ilvl="0" w:tplc="436E452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6ED271B"/>
    <w:multiLevelType w:val="hybridMultilevel"/>
    <w:tmpl w:val="8FD8DA92"/>
    <w:lvl w:ilvl="0" w:tplc="0CBA7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AA31B7F"/>
    <w:multiLevelType w:val="hybridMultilevel"/>
    <w:tmpl w:val="B3DA2D28"/>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32"/>
  </w:num>
  <w:num w:numId="3">
    <w:abstractNumId w:val="11"/>
  </w:num>
  <w:num w:numId="4">
    <w:abstractNumId w:val="21"/>
  </w:num>
  <w:num w:numId="5">
    <w:abstractNumId w:val="0"/>
  </w:num>
  <w:num w:numId="6">
    <w:abstractNumId w:val="27"/>
  </w:num>
  <w:num w:numId="7">
    <w:abstractNumId w:val="5"/>
  </w:num>
  <w:num w:numId="8">
    <w:abstractNumId w:val="23"/>
  </w:num>
  <w:num w:numId="9">
    <w:abstractNumId w:val="19"/>
  </w:num>
  <w:num w:numId="10">
    <w:abstractNumId w:val="2"/>
  </w:num>
  <w:num w:numId="11">
    <w:abstractNumId w:val="16"/>
  </w:num>
  <w:num w:numId="12">
    <w:abstractNumId w:val="29"/>
  </w:num>
  <w:num w:numId="13">
    <w:abstractNumId w:val="12"/>
  </w:num>
  <w:num w:numId="14">
    <w:abstractNumId w:val="28"/>
  </w:num>
  <w:num w:numId="15">
    <w:abstractNumId w:val="30"/>
  </w:num>
  <w:num w:numId="16">
    <w:abstractNumId w:val="7"/>
  </w:num>
  <w:num w:numId="17">
    <w:abstractNumId w:val="26"/>
  </w:num>
  <w:num w:numId="18">
    <w:abstractNumId w:val="25"/>
  </w:num>
  <w:num w:numId="19">
    <w:abstractNumId w:val="6"/>
  </w:num>
  <w:num w:numId="20">
    <w:abstractNumId w:val="15"/>
  </w:num>
  <w:num w:numId="21">
    <w:abstractNumId w:val="14"/>
  </w:num>
  <w:num w:numId="22">
    <w:abstractNumId w:val="18"/>
  </w:num>
  <w:num w:numId="23">
    <w:abstractNumId w:val="22"/>
  </w:num>
  <w:num w:numId="24">
    <w:abstractNumId w:val="31"/>
  </w:num>
  <w:num w:numId="25">
    <w:abstractNumId w:val="3"/>
  </w:num>
  <w:num w:numId="26">
    <w:abstractNumId w:val="4"/>
  </w:num>
  <w:num w:numId="27">
    <w:abstractNumId w:val="24"/>
  </w:num>
  <w:num w:numId="28">
    <w:abstractNumId w:val="17"/>
  </w:num>
  <w:num w:numId="29">
    <w:abstractNumId w:val="33"/>
  </w:num>
  <w:num w:numId="30">
    <w:abstractNumId w:val="13"/>
  </w:num>
  <w:num w:numId="31">
    <w:abstractNumId w:val="20"/>
  </w:num>
  <w:num w:numId="32">
    <w:abstractNumId w:val="8"/>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D"/>
    <w:rsid w:val="00000B4E"/>
    <w:rsid w:val="000023DF"/>
    <w:rsid w:val="00005A77"/>
    <w:rsid w:val="000064DA"/>
    <w:rsid w:val="000100BA"/>
    <w:rsid w:val="00010358"/>
    <w:rsid w:val="00010474"/>
    <w:rsid w:val="00010928"/>
    <w:rsid w:val="00011F9F"/>
    <w:rsid w:val="0001372D"/>
    <w:rsid w:val="00015D62"/>
    <w:rsid w:val="00016CA3"/>
    <w:rsid w:val="00017E9D"/>
    <w:rsid w:val="00017EC6"/>
    <w:rsid w:val="000211F5"/>
    <w:rsid w:val="00022562"/>
    <w:rsid w:val="00023902"/>
    <w:rsid w:val="00027035"/>
    <w:rsid w:val="00030276"/>
    <w:rsid w:val="00033308"/>
    <w:rsid w:val="00033C9C"/>
    <w:rsid w:val="0003496B"/>
    <w:rsid w:val="0003543D"/>
    <w:rsid w:val="0004097D"/>
    <w:rsid w:val="00042C45"/>
    <w:rsid w:val="000433FC"/>
    <w:rsid w:val="00044A12"/>
    <w:rsid w:val="00045086"/>
    <w:rsid w:val="00046926"/>
    <w:rsid w:val="000517EF"/>
    <w:rsid w:val="00060170"/>
    <w:rsid w:val="00070EC5"/>
    <w:rsid w:val="00072979"/>
    <w:rsid w:val="000730B1"/>
    <w:rsid w:val="000731F6"/>
    <w:rsid w:val="00073412"/>
    <w:rsid w:val="00074DE0"/>
    <w:rsid w:val="00075030"/>
    <w:rsid w:val="0007697F"/>
    <w:rsid w:val="00080A2D"/>
    <w:rsid w:val="0008744D"/>
    <w:rsid w:val="00092043"/>
    <w:rsid w:val="00092282"/>
    <w:rsid w:val="000929C2"/>
    <w:rsid w:val="0009354A"/>
    <w:rsid w:val="00094553"/>
    <w:rsid w:val="000A4BCB"/>
    <w:rsid w:val="000A6AC1"/>
    <w:rsid w:val="000A7191"/>
    <w:rsid w:val="000A7E7F"/>
    <w:rsid w:val="000B15D7"/>
    <w:rsid w:val="000B27B4"/>
    <w:rsid w:val="000B50CA"/>
    <w:rsid w:val="000C0C25"/>
    <w:rsid w:val="000C0C37"/>
    <w:rsid w:val="000C199A"/>
    <w:rsid w:val="000C2646"/>
    <w:rsid w:val="000C2BC2"/>
    <w:rsid w:val="000C478D"/>
    <w:rsid w:val="000C5487"/>
    <w:rsid w:val="000C55EC"/>
    <w:rsid w:val="000D1CDB"/>
    <w:rsid w:val="000D5403"/>
    <w:rsid w:val="000E31A0"/>
    <w:rsid w:val="000E6575"/>
    <w:rsid w:val="000F2F4E"/>
    <w:rsid w:val="000F6488"/>
    <w:rsid w:val="00100B58"/>
    <w:rsid w:val="001014F8"/>
    <w:rsid w:val="00104251"/>
    <w:rsid w:val="00104542"/>
    <w:rsid w:val="00106246"/>
    <w:rsid w:val="00111DBF"/>
    <w:rsid w:val="0011554D"/>
    <w:rsid w:val="00115E6B"/>
    <w:rsid w:val="0012056C"/>
    <w:rsid w:val="00120835"/>
    <w:rsid w:val="00123A46"/>
    <w:rsid w:val="00127005"/>
    <w:rsid w:val="001334CA"/>
    <w:rsid w:val="00134F3C"/>
    <w:rsid w:val="00141C2F"/>
    <w:rsid w:val="00142B5A"/>
    <w:rsid w:val="001448F5"/>
    <w:rsid w:val="00144939"/>
    <w:rsid w:val="00151B2C"/>
    <w:rsid w:val="001562D3"/>
    <w:rsid w:val="001567C1"/>
    <w:rsid w:val="00163018"/>
    <w:rsid w:val="0016449C"/>
    <w:rsid w:val="00164FF2"/>
    <w:rsid w:val="00166596"/>
    <w:rsid w:val="00166A29"/>
    <w:rsid w:val="00170250"/>
    <w:rsid w:val="00170617"/>
    <w:rsid w:val="00173010"/>
    <w:rsid w:val="00175305"/>
    <w:rsid w:val="00176A78"/>
    <w:rsid w:val="00177F93"/>
    <w:rsid w:val="00182F4A"/>
    <w:rsid w:val="00184FF0"/>
    <w:rsid w:val="00185320"/>
    <w:rsid w:val="00186A88"/>
    <w:rsid w:val="001871C2"/>
    <w:rsid w:val="00192FA4"/>
    <w:rsid w:val="001A3346"/>
    <w:rsid w:val="001A353D"/>
    <w:rsid w:val="001A49FF"/>
    <w:rsid w:val="001A5840"/>
    <w:rsid w:val="001A6B83"/>
    <w:rsid w:val="001A7088"/>
    <w:rsid w:val="001B294D"/>
    <w:rsid w:val="001B3741"/>
    <w:rsid w:val="001B4947"/>
    <w:rsid w:val="001B5FF9"/>
    <w:rsid w:val="001B7390"/>
    <w:rsid w:val="001C143E"/>
    <w:rsid w:val="001C36AA"/>
    <w:rsid w:val="001C55ED"/>
    <w:rsid w:val="001C5FC6"/>
    <w:rsid w:val="001C758C"/>
    <w:rsid w:val="001D0024"/>
    <w:rsid w:val="001D14DA"/>
    <w:rsid w:val="001D5708"/>
    <w:rsid w:val="001D7CF6"/>
    <w:rsid w:val="001E0AB2"/>
    <w:rsid w:val="001E34AF"/>
    <w:rsid w:val="001E5D55"/>
    <w:rsid w:val="001E61F9"/>
    <w:rsid w:val="001E689F"/>
    <w:rsid w:val="001F23AC"/>
    <w:rsid w:val="001F424D"/>
    <w:rsid w:val="001F4E1A"/>
    <w:rsid w:val="001F7091"/>
    <w:rsid w:val="002009B6"/>
    <w:rsid w:val="00200B0C"/>
    <w:rsid w:val="00201043"/>
    <w:rsid w:val="00206349"/>
    <w:rsid w:val="00206661"/>
    <w:rsid w:val="00206947"/>
    <w:rsid w:val="002161E2"/>
    <w:rsid w:val="00216B8D"/>
    <w:rsid w:val="00223346"/>
    <w:rsid w:val="002255FB"/>
    <w:rsid w:val="002301B0"/>
    <w:rsid w:val="0023258F"/>
    <w:rsid w:val="00232BE0"/>
    <w:rsid w:val="00233028"/>
    <w:rsid w:val="00234E67"/>
    <w:rsid w:val="00235239"/>
    <w:rsid w:val="00236276"/>
    <w:rsid w:val="00241CD0"/>
    <w:rsid w:val="00244EBC"/>
    <w:rsid w:val="002458F1"/>
    <w:rsid w:val="00246192"/>
    <w:rsid w:val="00252B9F"/>
    <w:rsid w:val="002536B0"/>
    <w:rsid w:val="0025413A"/>
    <w:rsid w:val="002638D2"/>
    <w:rsid w:val="00264D7A"/>
    <w:rsid w:val="00270439"/>
    <w:rsid w:val="0027209E"/>
    <w:rsid w:val="00274629"/>
    <w:rsid w:val="00275CC4"/>
    <w:rsid w:val="002813BE"/>
    <w:rsid w:val="0028230E"/>
    <w:rsid w:val="00282664"/>
    <w:rsid w:val="00286244"/>
    <w:rsid w:val="00286678"/>
    <w:rsid w:val="00287C70"/>
    <w:rsid w:val="00291CD1"/>
    <w:rsid w:val="002938DC"/>
    <w:rsid w:val="00296F88"/>
    <w:rsid w:val="002B4A3C"/>
    <w:rsid w:val="002B50BE"/>
    <w:rsid w:val="002B79C1"/>
    <w:rsid w:val="002B7E90"/>
    <w:rsid w:val="002C0691"/>
    <w:rsid w:val="002C08C0"/>
    <w:rsid w:val="002C0949"/>
    <w:rsid w:val="002C0C0A"/>
    <w:rsid w:val="002C143A"/>
    <w:rsid w:val="002C3074"/>
    <w:rsid w:val="002C4017"/>
    <w:rsid w:val="002C5807"/>
    <w:rsid w:val="002D1A91"/>
    <w:rsid w:val="002D1DAE"/>
    <w:rsid w:val="002D3891"/>
    <w:rsid w:val="002D5B3E"/>
    <w:rsid w:val="002E0885"/>
    <w:rsid w:val="002E0903"/>
    <w:rsid w:val="002F138A"/>
    <w:rsid w:val="002F267E"/>
    <w:rsid w:val="002F3B9C"/>
    <w:rsid w:val="002F4568"/>
    <w:rsid w:val="002F6134"/>
    <w:rsid w:val="0030161B"/>
    <w:rsid w:val="00305F6E"/>
    <w:rsid w:val="00313022"/>
    <w:rsid w:val="00314386"/>
    <w:rsid w:val="00316704"/>
    <w:rsid w:val="00317C78"/>
    <w:rsid w:val="00322598"/>
    <w:rsid w:val="00323243"/>
    <w:rsid w:val="003243E0"/>
    <w:rsid w:val="003258B0"/>
    <w:rsid w:val="003278A3"/>
    <w:rsid w:val="00334D9A"/>
    <w:rsid w:val="003355D8"/>
    <w:rsid w:val="00336E68"/>
    <w:rsid w:val="00337979"/>
    <w:rsid w:val="00345847"/>
    <w:rsid w:val="00350E57"/>
    <w:rsid w:val="00353E5E"/>
    <w:rsid w:val="00355A13"/>
    <w:rsid w:val="00356F94"/>
    <w:rsid w:val="00362826"/>
    <w:rsid w:val="0036365D"/>
    <w:rsid w:val="003645E7"/>
    <w:rsid w:val="003676DE"/>
    <w:rsid w:val="00367ED4"/>
    <w:rsid w:val="003732BA"/>
    <w:rsid w:val="003772F9"/>
    <w:rsid w:val="003776AA"/>
    <w:rsid w:val="00380E04"/>
    <w:rsid w:val="0038132A"/>
    <w:rsid w:val="00381707"/>
    <w:rsid w:val="003817B8"/>
    <w:rsid w:val="00381D47"/>
    <w:rsid w:val="00393DB1"/>
    <w:rsid w:val="00394527"/>
    <w:rsid w:val="003951F5"/>
    <w:rsid w:val="0039533D"/>
    <w:rsid w:val="0039582E"/>
    <w:rsid w:val="003A0BDC"/>
    <w:rsid w:val="003A441E"/>
    <w:rsid w:val="003A7450"/>
    <w:rsid w:val="003B1613"/>
    <w:rsid w:val="003B1C5D"/>
    <w:rsid w:val="003B21A2"/>
    <w:rsid w:val="003B37FF"/>
    <w:rsid w:val="003B3B1C"/>
    <w:rsid w:val="003B5A47"/>
    <w:rsid w:val="003C21F1"/>
    <w:rsid w:val="003C2358"/>
    <w:rsid w:val="003C6F2E"/>
    <w:rsid w:val="003C729E"/>
    <w:rsid w:val="003C7C9E"/>
    <w:rsid w:val="003D57E1"/>
    <w:rsid w:val="003E20C1"/>
    <w:rsid w:val="003E362A"/>
    <w:rsid w:val="003E5A70"/>
    <w:rsid w:val="003F0C8A"/>
    <w:rsid w:val="003F169C"/>
    <w:rsid w:val="003F2151"/>
    <w:rsid w:val="003F36D9"/>
    <w:rsid w:val="003F3E0E"/>
    <w:rsid w:val="0040110D"/>
    <w:rsid w:val="0040418A"/>
    <w:rsid w:val="00407E66"/>
    <w:rsid w:val="0041192D"/>
    <w:rsid w:val="00411C8D"/>
    <w:rsid w:val="004120D1"/>
    <w:rsid w:val="004121D6"/>
    <w:rsid w:val="004143C2"/>
    <w:rsid w:val="00416066"/>
    <w:rsid w:val="004217AB"/>
    <w:rsid w:val="004222B5"/>
    <w:rsid w:val="00422EE5"/>
    <w:rsid w:val="00423067"/>
    <w:rsid w:val="00433478"/>
    <w:rsid w:val="00434987"/>
    <w:rsid w:val="00435CC9"/>
    <w:rsid w:val="00435D4C"/>
    <w:rsid w:val="00436497"/>
    <w:rsid w:val="004404D1"/>
    <w:rsid w:val="00440A70"/>
    <w:rsid w:val="00440CC4"/>
    <w:rsid w:val="00444241"/>
    <w:rsid w:val="004473CB"/>
    <w:rsid w:val="004476C6"/>
    <w:rsid w:val="004523E8"/>
    <w:rsid w:val="004570FE"/>
    <w:rsid w:val="004623D0"/>
    <w:rsid w:val="00462543"/>
    <w:rsid w:val="004645DA"/>
    <w:rsid w:val="004650EF"/>
    <w:rsid w:val="00467091"/>
    <w:rsid w:val="00467287"/>
    <w:rsid w:val="00475E28"/>
    <w:rsid w:val="00476948"/>
    <w:rsid w:val="0048082A"/>
    <w:rsid w:val="00485D3D"/>
    <w:rsid w:val="00487939"/>
    <w:rsid w:val="004935EC"/>
    <w:rsid w:val="004A1321"/>
    <w:rsid w:val="004A1597"/>
    <w:rsid w:val="004A1E29"/>
    <w:rsid w:val="004A5AA1"/>
    <w:rsid w:val="004B0454"/>
    <w:rsid w:val="004C0F38"/>
    <w:rsid w:val="004C2501"/>
    <w:rsid w:val="004D30FA"/>
    <w:rsid w:val="004D4101"/>
    <w:rsid w:val="004D5999"/>
    <w:rsid w:val="004D6C8B"/>
    <w:rsid w:val="004E1573"/>
    <w:rsid w:val="004E7100"/>
    <w:rsid w:val="004E7EC7"/>
    <w:rsid w:val="004F11D9"/>
    <w:rsid w:val="004F24F3"/>
    <w:rsid w:val="004F4074"/>
    <w:rsid w:val="004F5683"/>
    <w:rsid w:val="004F6968"/>
    <w:rsid w:val="0050112C"/>
    <w:rsid w:val="00501A1B"/>
    <w:rsid w:val="0050239D"/>
    <w:rsid w:val="005040FD"/>
    <w:rsid w:val="00504FFA"/>
    <w:rsid w:val="005057DE"/>
    <w:rsid w:val="0051210E"/>
    <w:rsid w:val="0051653D"/>
    <w:rsid w:val="00520B7F"/>
    <w:rsid w:val="005231C6"/>
    <w:rsid w:val="00523726"/>
    <w:rsid w:val="00523CB9"/>
    <w:rsid w:val="00527F88"/>
    <w:rsid w:val="0053365B"/>
    <w:rsid w:val="005337B3"/>
    <w:rsid w:val="00536D9C"/>
    <w:rsid w:val="00541A46"/>
    <w:rsid w:val="00542A8E"/>
    <w:rsid w:val="00543B5D"/>
    <w:rsid w:val="00543F82"/>
    <w:rsid w:val="00545B1A"/>
    <w:rsid w:val="005515E9"/>
    <w:rsid w:val="00552070"/>
    <w:rsid w:val="00552B84"/>
    <w:rsid w:val="00552C6E"/>
    <w:rsid w:val="005620A9"/>
    <w:rsid w:val="00562EC3"/>
    <w:rsid w:val="00563E8C"/>
    <w:rsid w:val="00564878"/>
    <w:rsid w:val="00566060"/>
    <w:rsid w:val="00571731"/>
    <w:rsid w:val="00572697"/>
    <w:rsid w:val="00575206"/>
    <w:rsid w:val="0057524A"/>
    <w:rsid w:val="00575E63"/>
    <w:rsid w:val="00577A4D"/>
    <w:rsid w:val="00580EFC"/>
    <w:rsid w:val="00581207"/>
    <w:rsid w:val="00581D30"/>
    <w:rsid w:val="0058332E"/>
    <w:rsid w:val="005849C7"/>
    <w:rsid w:val="00587868"/>
    <w:rsid w:val="005906CB"/>
    <w:rsid w:val="0059189F"/>
    <w:rsid w:val="00592124"/>
    <w:rsid w:val="00592814"/>
    <w:rsid w:val="005A1669"/>
    <w:rsid w:val="005A28E7"/>
    <w:rsid w:val="005A6500"/>
    <w:rsid w:val="005B0C81"/>
    <w:rsid w:val="005B2A5F"/>
    <w:rsid w:val="005B31FA"/>
    <w:rsid w:val="005B32F1"/>
    <w:rsid w:val="005C23E1"/>
    <w:rsid w:val="005C27D1"/>
    <w:rsid w:val="005C2939"/>
    <w:rsid w:val="005C54E4"/>
    <w:rsid w:val="005C5AB8"/>
    <w:rsid w:val="005C7F06"/>
    <w:rsid w:val="005D067B"/>
    <w:rsid w:val="005D3127"/>
    <w:rsid w:val="005D6AFD"/>
    <w:rsid w:val="005D7654"/>
    <w:rsid w:val="005E00C5"/>
    <w:rsid w:val="005E4796"/>
    <w:rsid w:val="005F1268"/>
    <w:rsid w:val="005F1D56"/>
    <w:rsid w:val="005F6AB1"/>
    <w:rsid w:val="005F71D5"/>
    <w:rsid w:val="00600CF4"/>
    <w:rsid w:val="00602CCD"/>
    <w:rsid w:val="00603DE9"/>
    <w:rsid w:val="00605095"/>
    <w:rsid w:val="00606116"/>
    <w:rsid w:val="00606967"/>
    <w:rsid w:val="0060783C"/>
    <w:rsid w:val="006119BF"/>
    <w:rsid w:val="00616272"/>
    <w:rsid w:val="00617142"/>
    <w:rsid w:val="0062304A"/>
    <w:rsid w:val="00625CFE"/>
    <w:rsid w:val="006300CB"/>
    <w:rsid w:val="0064379B"/>
    <w:rsid w:val="00647511"/>
    <w:rsid w:val="0065119A"/>
    <w:rsid w:val="006537E4"/>
    <w:rsid w:val="00653DC0"/>
    <w:rsid w:val="00654971"/>
    <w:rsid w:val="00655DCA"/>
    <w:rsid w:val="00657020"/>
    <w:rsid w:val="006573FD"/>
    <w:rsid w:val="006622AD"/>
    <w:rsid w:val="00664B01"/>
    <w:rsid w:val="006663B9"/>
    <w:rsid w:val="006771D6"/>
    <w:rsid w:val="0067758F"/>
    <w:rsid w:val="0067784C"/>
    <w:rsid w:val="00680CB7"/>
    <w:rsid w:val="00681194"/>
    <w:rsid w:val="00686D06"/>
    <w:rsid w:val="00695E42"/>
    <w:rsid w:val="006B02B9"/>
    <w:rsid w:val="006B2F21"/>
    <w:rsid w:val="006B325B"/>
    <w:rsid w:val="006B3368"/>
    <w:rsid w:val="006B3C85"/>
    <w:rsid w:val="006B5FA8"/>
    <w:rsid w:val="006B6BF4"/>
    <w:rsid w:val="006C2EBA"/>
    <w:rsid w:val="006C564A"/>
    <w:rsid w:val="006D25AF"/>
    <w:rsid w:val="006D794A"/>
    <w:rsid w:val="006E227A"/>
    <w:rsid w:val="006F09DE"/>
    <w:rsid w:val="006F4AC8"/>
    <w:rsid w:val="006F6E66"/>
    <w:rsid w:val="00700249"/>
    <w:rsid w:val="007012F9"/>
    <w:rsid w:val="00704172"/>
    <w:rsid w:val="007041BA"/>
    <w:rsid w:val="00704D2D"/>
    <w:rsid w:val="00712A03"/>
    <w:rsid w:val="00713463"/>
    <w:rsid w:val="0071420A"/>
    <w:rsid w:val="00714875"/>
    <w:rsid w:val="00714E0E"/>
    <w:rsid w:val="00714F66"/>
    <w:rsid w:val="007167F8"/>
    <w:rsid w:val="00717C17"/>
    <w:rsid w:val="00722CEC"/>
    <w:rsid w:val="00733B24"/>
    <w:rsid w:val="00734D6D"/>
    <w:rsid w:val="00745B2F"/>
    <w:rsid w:val="00747B87"/>
    <w:rsid w:val="007538D1"/>
    <w:rsid w:val="00753B76"/>
    <w:rsid w:val="007572A9"/>
    <w:rsid w:val="00757B60"/>
    <w:rsid w:val="00761995"/>
    <w:rsid w:val="0076717C"/>
    <w:rsid w:val="00767FAF"/>
    <w:rsid w:val="00773AC1"/>
    <w:rsid w:val="00776AA1"/>
    <w:rsid w:val="00783F76"/>
    <w:rsid w:val="00787178"/>
    <w:rsid w:val="00790F1A"/>
    <w:rsid w:val="007943E1"/>
    <w:rsid w:val="007949D3"/>
    <w:rsid w:val="00795776"/>
    <w:rsid w:val="0079606B"/>
    <w:rsid w:val="0079726A"/>
    <w:rsid w:val="007A0153"/>
    <w:rsid w:val="007A4ACB"/>
    <w:rsid w:val="007A532B"/>
    <w:rsid w:val="007B02EF"/>
    <w:rsid w:val="007B0739"/>
    <w:rsid w:val="007B0BFF"/>
    <w:rsid w:val="007B13F4"/>
    <w:rsid w:val="007B2825"/>
    <w:rsid w:val="007B2E78"/>
    <w:rsid w:val="007B307D"/>
    <w:rsid w:val="007B5C85"/>
    <w:rsid w:val="007B6A94"/>
    <w:rsid w:val="007C2BCA"/>
    <w:rsid w:val="007C527E"/>
    <w:rsid w:val="007D330D"/>
    <w:rsid w:val="007D46FC"/>
    <w:rsid w:val="007D4E30"/>
    <w:rsid w:val="007D5B37"/>
    <w:rsid w:val="007E5791"/>
    <w:rsid w:val="007E7071"/>
    <w:rsid w:val="007F07CF"/>
    <w:rsid w:val="007F11ED"/>
    <w:rsid w:val="007F1C4B"/>
    <w:rsid w:val="007F2ABA"/>
    <w:rsid w:val="007F5323"/>
    <w:rsid w:val="007F6417"/>
    <w:rsid w:val="007F7BA8"/>
    <w:rsid w:val="007F7E2A"/>
    <w:rsid w:val="00800078"/>
    <w:rsid w:val="00802F97"/>
    <w:rsid w:val="00803382"/>
    <w:rsid w:val="00804162"/>
    <w:rsid w:val="00804748"/>
    <w:rsid w:val="00804C05"/>
    <w:rsid w:val="008075EE"/>
    <w:rsid w:val="0081164D"/>
    <w:rsid w:val="00811D4A"/>
    <w:rsid w:val="0081299F"/>
    <w:rsid w:val="00812B93"/>
    <w:rsid w:val="00814113"/>
    <w:rsid w:val="008245D7"/>
    <w:rsid w:val="00824AB5"/>
    <w:rsid w:val="0082771D"/>
    <w:rsid w:val="00830484"/>
    <w:rsid w:val="00832B52"/>
    <w:rsid w:val="008347B9"/>
    <w:rsid w:val="00837530"/>
    <w:rsid w:val="00842B9B"/>
    <w:rsid w:val="00842E7C"/>
    <w:rsid w:val="008449B8"/>
    <w:rsid w:val="00845C75"/>
    <w:rsid w:val="00853EE6"/>
    <w:rsid w:val="00857503"/>
    <w:rsid w:val="00865151"/>
    <w:rsid w:val="008654FE"/>
    <w:rsid w:val="008674D3"/>
    <w:rsid w:val="008763B4"/>
    <w:rsid w:val="0088081B"/>
    <w:rsid w:val="00883363"/>
    <w:rsid w:val="00887C88"/>
    <w:rsid w:val="0089181B"/>
    <w:rsid w:val="00891A91"/>
    <w:rsid w:val="00892862"/>
    <w:rsid w:val="008956F0"/>
    <w:rsid w:val="00896A51"/>
    <w:rsid w:val="008A0B61"/>
    <w:rsid w:val="008A30EA"/>
    <w:rsid w:val="008A53BF"/>
    <w:rsid w:val="008B001C"/>
    <w:rsid w:val="008B06DB"/>
    <w:rsid w:val="008B15B4"/>
    <w:rsid w:val="008B277F"/>
    <w:rsid w:val="008B414C"/>
    <w:rsid w:val="008B7593"/>
    <w:rsid w:val="008B7745"/>
    <w:rsid w:val="008C2CB6"/>
    <w:rsid w:val="008D4F97"/>
    <w:rsid w:val="008E1BF3"/>
    <w:rsid w:val="008E1E07"/>
    <w:rsid w:val="008E1E48"/>
    <w:rsid w:val="008E2028"/>
    <w:rsid w:val="008E2621"/>
    <w:rsid w:val="008E3F52"/>
    <w:rsid w:val="008E6400"/>
    <w:rsid w:val="008E6DE7"/>
    <w:rsid w:val="008E7156"/>
    <w:rsid w:val="008E73D5"/>
    <w:rsid w:val="008F0FC0"/>
    <w:rsid w:val="008F7702"/>
    <w:rsid w:val="009024E0"/>
    <w:rsid w:val="0090521F"/>
    <w:rsid w:val="0090535A"/>
    <w:rsid w:val="00907793"/>
    <w:rsid w:val="00914228"/>
    <w:rsid w:val="00917DEF"/>
    <w:rsid w:val="00917FD8"/>
    <w:rsid w:val="0092368D"/>
    <w:rsid w:val="00923949"/>
    <w:rsid w:val="00923FFC"/>
    <w:rsid w:val="00924C58"/>
    <w:rsid w:val="00925A6E"/>
    <w:rsid w:val="009340BF"/>
    <w:rsid w:val="00934F66"/>
    <w:rsid w:val="009355C5"/>
    <w:rsid w:val="0093674F"/>
    <w:rsid w:val="009376D4"/>
    <w:rsid w:val="00940549"/>
    <w:rsid w:val="00943755"/>
    <w:rsid w:val="00951E23"/>
    <w:rsid w:val="0095368E"/>
    <w:rsid w:val="00953E20"/>
    <w:rsid w:val="00954931"/>
    <w:rsid w:val="009556D4"/>
    <w:rsid w:val="00962715"/>
    <w:rsid w:val="00966816"/>
    <w:rsid w:val="00967423"/>
    <w:rsid w:val="0097286C"/>
    <w:rsid w:val="00974DF6"/>
    <w:rsid w:val="00975702"/>
    <w:rsid w:val="009809E9"/>
    <w:rsid w:val="00981D61"/>
    <w:rsid w:val="00982DDC"/>
    <w:rsid w:val="00987D10"/>
    <w:rsid w:val="009906FA"/>
    <w:rsid w:val="0099378D"/>
    <w:rsid w:val="0099527B"/>
    <w:rsid w:val="009967BD"/>
    <w:rsid w:val="009971FC"/>
    <w:rsid w:val="009A0D35"/>
    <w:rsid w:val="009A17C1"/>
    <w:rsid w:val="009A23DD"/>
    <w:rsid w:val="009A401B"/>
    <w:rsid w:val="009A65F8"/>
    <w:rsid w:val="009C198C"/>
    <w:rsid w:val="009C282C"/>
    <w:rsid w:val="009C5822"/>
    <w:rsid w:val="009C7949"/>
    <w:rsid w:val="009D0A52"/>
    <w:rsid w:val="009D2BBF"/>
    <w:rsid w:val="009D3611"/>
    <w:rsid w:val="009D6107"/>
    <w:rsid w:val="009D6ADB"/>
    <w:rsid w:val="009E223A"/>
    <w:rsid w:val="009E653E"/>
    <w:rsid w:val="009F02B2"/>
    <w:rsid w:val="009F18B4"/>
    <w:rsid w:val="009F7C79"/>
    <w:rsid w:val="00A00B6F"/>
    <w:rsid w:val="00A00BF8"/>
    <w:rsid w:val="00A04AF6"/>
    <w:rsid w:val="00A06849"/>
    <w:rsid w:val="00A07A7F"/>
    <w:rsid w:val="00A1455E"/>
    <w:rsid w:val="00A151CE"/>
    <w:rsid w:val="00A163E8"/>
    <w:rsid w:val="00A17431"/>
    <w:rsid w:val="00A20CD4"/>
    <w:rsid w:val="00A272A7"/>
    <w:rsid w:val="00A31B11"/>
    <w:rsid w:val="00A33B7E"/>
    <w:rsid w:val="00A34DA5"/>
    <w:rsid w:val="00A35E99"/>
    <w:rsid w:val="00A40C17"/>
    <w:rsid w:val="00A456ED"/>
    <w:rsid w:val="00A47D65"/>
    <w:rsid w:val="00A5662E"/>
    <w:rsid w:val="00A60678"/>
    <w:rsid w:val="00A60BF0"/>
    <w:rsid w:val="00A62D71"/>
    <w:rsid w:val="00A63105"/>
    <w:rsid w:val="00A63B83"/>
    <w:rsid w:val="00A6499C"/>
    <w:rsid w:val="00A67F27"/>
    <w:rsid w:val="00A708B6"/>
    <w:rsid w:val="00A71845"/>
    <w:rsid w:val="00A7506E"/>
    <w:rsid w:val="00A76AA1"/>
    <w:rsid w:val="00A80BEC"/>
    <w:rsid w:val="00A80E92"/>
    <w:rsid w:val="00A81CE4"/>
    <w:rsid w:val="00A834AF"/>
    <w:rsid w:val="00A842BC"/>
    <w:rsid w:val="00A85176"/>
    <w:rsid w:val="00A94E2A"/>
    <w:rsid w:val="00A96FD6"/>
    <w:rsid w:val="00AA02AF"/>
    <w:rsid w:val="00AA1FF8"/>
    <w:rsid w:val="00AA3E50"/>
    <w:rsid w:val="00AA4296"/>
    <w:rsid w:val="00AA4E67"/>
    <w:rsid w:val="00AA78FD"/>
    <w:rsid w:val="00AB0BFE"/>
    <w:rsid w:val="00AB2CBD"/>
    <w:rsid w:val="00AB67E1"/>
    <w:rsid w:val="00AB7452"/>
    <w:rsid w:val="00AB7F0F"/>
    <w:rsid w:val="00AC029E"/>
    <w:rsid w:val="00AC1688"/>
    <w:rsid w:val="00AC4DE0"/>
    <w:rsid w:val="00AD0889"/>
    <w:rsid w:val="00AD283C"/>
    <w:rsid w:val="00AD3C16"/>
    <w:rsid w:val="00AD3C35"/>
    <w:rsid w:val="00AD57BC"/>
    <w:rsid w:val="00AE2F25"/>
    <w:rsid w:val="00AE5D48"/>
    <w:rsid w:val="00AE6E0A"/>
    <w:rsid w:val="00AE7CCF"/>
    <w:rsid w:val="00AF6280"/>
    <w:rsid w:val="00AF6D32"/>
    <w:rsid w:val="00B01B83"/>
    <w:rsid w:val="00B02AC1"/>
    <w:rsid w:val="00B0518C"/>
    <w:rsid w:val="00B1171D"/>
    <w:rsid w:val="00B14C76"/>
    <w:rsid w:val="00B21CC7"/>
    <w:rsid w:val="00B2439C"/>
    <w:rsid w:val="00B35374"/>
    <w:rsid w:val="00B41AB0"/>
    <w:rsid w:val="00B430E7"/>
    <w:rsid w:val="00B449BA"/>
    <w:rsid w:val="00B46AB2"/>
    <w:rsid w:val="00B46EFB"/>
    <w:rsid w:val="00B5218D"/>
    <w:rsid w:val="00B52EAE"/>
    <w:rsid w:val="00B53715"/>
    <w:rsid w:val="00B53CBD"/>
    <w:rsid w:val="00B557A5"/>
    <w:rsid w:val="00B55D34"/>
    <w:rsid w:val="00B60819"/>
    <w:rsid w:val="00B6180A"/>
    <w:rsid w:val="00B61B3A"/>
    <w:rsid w:val="00B67D95"/>
    <w:rsid w:val="00B70FF0"/>
    <w:rsid w:val="00B81607"/>
    <w:rsid w:val="00B83207"/>
    <w:rsid w:val="00B92202"/>
    <w:rsid w:val="00B934BB"/>
    <w:rsid w:val="00B9474A"/>
    <w:rsid w:val="00B959FA"/>
    <w:rsid w:val="00B96E19"/>
    <w:rsid w:val="00B97620"/>
    <w:rsid w:val="00BA23C7"/>
    <w:rsid w:val="00BA4B3E"/>
    <w:rsid w:val="00BA534E"/>
    <w:rsid w:val="00BB1F7B"/>
    <w:rsid w:val="00BB2113"/>
    <w:rsid w:val="00BB2C4F"/>
    <w:rsid w:val="00BB4758"/>
    <w:rsid w:val="00BB6040"/>
    <w:rsid w:val="00BB76C2"/>
    <w:rsid w:val="00BC5E9B"/>
    <w:rsid w:val="00BC67BD"/>
    <w:rsid w:val="00BC7374"/>
    <w:rsid w:val="00BD1FBE"/>
    <w:rsid w:val="00BD3D24"/>
    <w:rsid w:val="00BD681C"/>
    <w:rsid w:val="00BE1ECA"/>
    <w:rsid w:val="00BE238C"/>
    <w:rsid w:val="00BE40BF"/>
    <w:rsid w:val="00BE45D5"/>
    <w:rsid w:val="00BE7879"/>
    <w:rsid w:val="00BF2A77"/>
    <w:rsid w:val="00BF35B0"/>
    <w:rsid w:val="00BF58CC"/>
    <w:rsid w:val="00BF5C16"/>
    <w:rsid w:val="00C032F2"/>
    <w:rsid w:val="00C05CB4"/>
    <w:rsid w:val="00C05E7C"/>
    <w:rsid w:val="00C07453"/>
    <w:rsid w:val="00C10762"/>
    <w:rsid w:val="00C1149F"/>
    <w:rsid w:val="00C12079"/>
    <w:rsid w:val="00C136B9"/>
    <w:rsid w:val="00C200C5"/>
    <w:rsid w:val="00C2664A"/>
    <w:rsid w:val="00C26DC6"/>
    <w:rsid w:val="00C307A5"/>
    <w:rsid w:val="00C30B99"/>
    <w:rsid w:val="00C31795"/>
    <w:rsid w:val="00C4066C"/>
    <w:rsid w:val="00C418E0"/>
    <w:rsid w:val="00C4340C"/>
    <w:rsid w:val="00C47E6A"/>
    <w:rsid w:val="00C51896"/>
    <w:rsid w:val="00C52CB6"/>
    <w:rsid w:val="00C60D25"/>
    <w:rsid w:val="00C614C6"/>
    <w:rsid w:val="00C701F9"/>
    <w:rsid w:val="00C731F3"/>
    <w:rsid w:val="00C73AC7"/>
    <w:rsid w:val="00C749EB"/>
    <w:rsid w:val="00C805E1"/>
    <w:rsid w:val="00C82E51"/>
    <w:rsid w:val="00C84693"/>
    <w:rsid w:val="00C859AC"/>
    <w:rsid w:val="00C86BD3"/>
    <w:rsid w:val="00C930E6"/>
    <w:rsid w:val="00C950F1"/>
    <w:rsid w:val="00CA38F0"/>
    <w:rsid w:val="00CA617F"/>
    <w:rsid w:val="00CA6B00"/>
    <w:rsid w:val="00CA70B4"/>
    <w:rsid w:val="00CB0AB7"/>
    <w:rsid w:val="00CB168A"/>
    <w:rsid w:val="00CB1C97"/>
    <w:rsid w:val="00CB774A"/>
    <w:rsid w:val="00CC095C"/>
    <w:rsid w:val="00CC0CCD"/>
    <w:rsid w:val="00CC6174"/>
    <w:rsid w:val="00CC7172"/>
    <w:rsid w:val="00CD0391"/>
    <w:rsid w:val="00CD1CB0"/>
    <w:rsid w:val="00CD1DAA"/>
    <w:rsid w:val="00CD2726"/>
    <w:rsid w:val="00CD3E7B"/>
    <w:rsid w:val="00CD5F4E"/>
    <w:rsid w:val="00CF02AB"/>
    <w:rsid w:val="00CF2812"/>
    <w:rsid w:val="00CF3526"/>
    <w:rsid w:val="00CF3C93"/>
    <w:rsid w:val="00CF402A"/>
    <w:rsid w:val="00CF4799"/>
    <w:rsid w:val="00CF7E13"/>
    <w:rsid w:val="00D01B2A"/>
    <w:rsid w:val="00D01D56"/>
    <w:rsid w:val="00D07396"/>
    <w:rsid w:val="00D13463"/>
    <w:rsid w:val="00D13504"/>
    <w:rsid w:val="00D13C57"/>
    <w:rsid w:val="00D17F7C"/>
    <w:rsid w:val="00D21D44"/>
    <w:rsid w:val="00D2491C"/>
    <w:rsid w:val="00D252F6"/>
    <w:rsid w:val="00D26283"/>
    <w:rsid w:val="00D3026B"/>
    <w:rsid w:val="00D32F16"/>
    <w:rsid w:val="00D3441B"/>
    <w:rsid w:val="00D36748"/>
    <w:rsid w:val="00D411DE"/>
    <w:rsid w:val="00D45E9C"/>
    <w:rsid w:val="00D50B6C"/>
    <w:rsid w:val="00D52F72"/>
    <w:rsid w:val="00D54237"/>
    <w:rsid w:val="00D542F2"/>
    <w:rsid w:val="00D5458F"/>
    <w:rsid w:val="00D55AA9"/>
    <w:rsid w:val="00D637C9"/>
    <w:rsid w:val="00D63EDD"/>
    <w:rsid w:val="00D66774"/>
    <w:rsid w:val="00D70C2C"/>
    <w:rsid w:val="00D70D43"/>
    <w:rsid w:val="00D7356A"/>
    <w:rsid w:val="00D735AB"/>
    <w:rsid w:val="00D75581"/>
    <w:rsid w:val="00D76204"/>
    <w:rsid w:val="00D76B9A"/>
    <w:rsid w:val="00D817CD"/>
    <w:rsid w:val="00D81AAB"/>
    <w:rsid w:val="00D81DB3"/>
    <w:rsid w:val="00D90002"/>
    <w:rsid w:val="00D906AB"/>
    <w:rsid w:val="00D91296"/>
    <w:rsid w:val="00D9236B"/>
    <w:rsid w:val="00DA084E"/>
    <w:rsid w:val="00DA21CF"/>
    <w:rsid w:val="00DA580F"/>
    <w:rsid w:val="00DA5BF4"/>
    <w:rsid w:val="00DB59A9"/>
    <w:rsid w:val="00DB6399"/>
    <w:rsid w:val="00DB6CC6"/>
    <w:rsid w:val="00DC06D8"/>
    <w:rsid w:val="00DC441B"/>
    <w:rsid w:val="00DC7921"/>
    <w:rsid w:val="00DD09F2"/>
    <w:rsid w:val="00DD29EB"/>
    <w:rsid w:val="00DD72D9"/>
    <w:rsid w:val="00DE1542"/>
    <w:rsid w:val="00DE1705"/>
    <w:rsid w:val="00DE2220"/>
    <w:rsid w:val="00DE33D1"/>
    <w:rsid w:val="00DE3FE8"/>
    <w:rsid w:val="00DE65AB"/>
    <w:rsid w:val="00DE6E73"/>
    <w:rsid w:val="00DE6F0C"/>
    <w:rsid w:val="00DE7B22"/>
    <w:rsid w:val="00DF2AE7"/>
    <w:rsid w:val="00DF56CE"/>
    <w:rsid w:val="00DF67F3"/>
    <w:rsid w:val="00DF786D"/>
    <w:rsid w:val="00DF7EFB"/>
    <w:rsid w:val="00E02BA7"/>
    <w:rsid w:val="00E03216"/>
    <w:rsid w:val="00E04170"/>
    <w:rsid w:val="00E10585"/>
    <w:rsid w:val="00E13080"/>
    <w:rsid w:val="00E141FD"/>
    <w:rsid w:val="00E14F7E"/>
    <w:rsid w:val="00E16A99"/>
    <w:rsid w:val="00E170BE"/>
    <w:rsid w:val="00E175FE"/>
    <w:rsid w:val="00E206D1"/>
    <w:rsid w:val="00E25150"/>
    <w:rsid w:val="00E25F59"/>
    <w:rsid w:val="00E27609"/>
    <w:rsid w:val="00E31542"/>
    <w:rsid w:val="00E31D2D"/>
    <w:rsid w:val="00E33E8E"/>
    <w:rsid w:val="00E35C16"/>
    <w:rsid w:val="00E36594"/>
    <w:rsid w:val="00E41A65"/>
    <w:rsid w:val="00E44D8D"/>
    <w:rsid w:val="00E471AA"/>
    <w:rsid w:val="00E53EF0"/>
    <w:rsid w:val="00E564FA"/>
    <w:rsid w:val="00E60C8E"/>
    <w:rsid w:val="00E616B0"/>
    <w:rsid w:val="00E64501"/>
    <w:rsid w:val="00E650B6"/>
    <w:rsid w:val="00E67A68"/>
    <w:rsid w:val="00E70BBB"/>
    <w:rsid w:val="00E744DE"/>
    <w:rsid w:val="00E76017"/>
    <w:rsid w:val="00E80962"/>
    <w:rsid w:val="00E81C93"/>
    <w:rsid w:val="00E82626"/>
    <w:rsid w:val="00E906B6"/>
    <w:rsid w:val="00E9298F"/>
    <w:rsid w:val="00E95BE5"/>
    <w:rsid w:val="00E970BC"/>
    <w:rsid w:val="00EA0BCD"/>
    <w:rsid w:val="00EA16AD"/>
    <w:rsid w:val="00EA20AC"/>
    <w:rsid w:val="00EA3D40"/>
    <w:rsid w:val="00EA6985"/>
    <w:rsid w:val="00EA6CD6"/>
    <w:rsid w:val="00EA76E0"/>
    <w:rsid w:val="00EB5C23"/>
    <w:rsid w:val="00EB7116"/>
    <w:rsid w:val="00EC56A1"/>
    <w:rsid w:val="00ED1C4A"/>
    <w:rsid w:val="00ED697B"/>
    <w:rsid w:val="00ED7BFC"/>
    <w:rsid w:val="00EE03AE"/>
    <w:rsid w:val="00EE4249"/>
    <w:rsid w:val="00EE42E8"/>
    <w:rsid w:val="00EE54DA"/>
    <w:rsid w:val="00EE5C23"/>
    <w:rsid w:val="00EE744D"/>
    <w:rsid w:val="00EE7A6B"/>
    <w:rsid w:val="00EF019A"/>
    <w:rsid w:val="00EF193B"/>
    <w:rsid w:val="00EF249F"/>
    <w:rsid w:val="00EF2584"/>
    <w:rsid w:val="00EF2EA1"/>
    <w:rsid w:val="00F02BA4"/>
    <w:rsid w:val="00F05EE1"/>
    <w:rsid w:val="00F06628"/>
    <w:rsid w:val="00F06A6A"/>
    <w:rsid w:val="00F06EBF"/>
    <w:rsid w:val="00F10511"/>
    <w:rsid w:val="00F116E0"/>
    <w:rsid w:val="00F1221A"/>
    <w:rsid w:val="00F1436B"/>
    <w:rsid w:val="00F145D4"/>
    <w:rsid w:val="00F16905"/>
    <w:rsid w:val="00F25452"/>
    <w:rsid w:val="00F273C3"/>
    <w:rsid w:val="00F278F5"/>
    <w:rsid w:val="00F307BB"/>
    <w:rsid w:val="00F34D07"/>
    <w:rsid w:val="00F35989"/>
    <w:rsid w:val="00F40068"/>
    <w:rsid w:val="00F4008F"/>
    <w:rsid w:val="00F41AE7"/>
    <w:rsid w:val="00F5639D"/>
    <w:rsid w:val="00F618E7"/>
    <w:rsid w:val="00F66304"/>
    <w:rsid w:val="00F670DD"/>
    <w:rsid w:val="00F71552"/>
    <w:rsid w:val="00F728F4"/>
    <w:rsid w:val="00F73C8C"/>
    <w:rsid w:val="00F75420"/>
    <w:rsid w:val="00F75D50"/>
    <w:rsid w:val="00F815B5"/>
    <w:rsid w:val="00F829BC"/>
    <w:rsid w:val="00F87D59"/>
    <w:rsid w:val="00F900D3"/>
    <w:rsid w:val="00F9185F"/>
    <w:rsid w:val="00F9213B"/>
    <w:rsid w:val="00F95AB1"/>
    <w:rsid w:val="00F971FE"/>
    <w:rsid w:val="00FA0B61"/>
    <w:rsid w:val="00FA3141"/>
    <w:rsid w:val="00FA5B88"/>
    <w:rsid w:val="00FA618B"/>
    <w:rsid w:val="00FA6ABC"/>
    <w:rsid w:val="00FA7DD6"/>
    <w:rsid w:val="00FB0676"/>
    <w:rsid w:val="00FB12C4"/>
    <w:rsid w:val="00FB1930"/>
    <w:rsid w:val="00FB1B07"/>
    <w:rsid w:val="00FB2BED"/>
    <w:rsid w:val="00FB2D23"/>
    <w:rsid w:val="00FB3960"/>
    <w:rsid w:val="00FB4436"/>
    <w:rsid w:val="00FC2DD5"/>
    <w:rsid w:val="00FC3B5C"/>
    <w:rsid w:val="00FC662B"/>
    <w:rsid w:val="00FD1A48"/>
    <w:rsid w:val="00FD3278"/>
    <w:rsid w:val="00FD32B1"/>
    <w:rsid w:val="00FD39D3"/>
    <w:rsid w:val="00FD3FE2"/>
    <w:rsid w:val="00FD5AD5"/>
    <w:rsid w:val="00FE0099"/>
    <w:rsid w:val="00FE1B00"/>
    <w:rsid w:val="00FE3688"/>
    <w:rsid w:val="00FF09F7"/>
    <w:rsid w:val="00FF0C26"/>
    <w:rsid w:val="00FF18AE"/>
    <w:rsid w:val="00FF24A9"/>
    <w:rsid w:val="00FF2660"/>
    <w:rsid w:val="00FF6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5FEB"/>
  <w15:docId w15:val="{417790C9-3DE8-48DE-85F5-454A9686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4D"/>
    <w:rPr>
      <w:rFonts w:eastAsia="Times New Roman"/>
      <w:sz w:val="24"/>
      <w:szCs w:val="24"/>
      <w:lang w:eastAsia="en-US"/>
    </w:rPr>
  </w:style>
  <w:style w:type="paragraph" w:styleId="Heading1">
    <w:name w:val="heading 1"/>
    <w:basedOn w:val="Normal"/>
    <w:next w:val="Normal"/>
    <w:link w:val="Heading1Char"/>
    <w:qFormat/>
    <w:rsid w:val="00D542F2"/>
    <w:pPr>
      <w:keepNext/>
      <w:numPr>
        <w:numId w:val="1"/>
      </w:numPr>
      <w:spacing w:before="240" w:after="60" w:line="480" w:lineRule="auto"/>
      <w:jc w:val="center"/>
      <w:outlineLvl w:val="0"/>
    </w:pPr>
    <w:rPr>
      <w:rFonts w:cs="Arial"/>
      <w:bCs/>
      <w:kern w:val="32"/>
      <w:szCs w:val="32"/>
    </w:rPr>
  </w:style>
  <w:style w:type="paragraph" w:styleId="Heading2">
    <w:name w:val="heading 2"/>
    <w:basedOn w:val="Normal"/>
    <w:next w:val="Normal"/>
    <w:link w:val="Heading2Char"/>
    <w:qFormat/>
    <w:rsid w:val="00D542F2"/>
    <w:pPr>
      <w:keepNext/>
      <w:numPr>
        <w:ilvl w:val="1"/>
        <w:numId w:val="1"/>
      </w:numPr>
      <w:spacing w:line="480" w:lineRule="auto"/>
      <w:jc w:val="both"/>
      <w:outlineLvl w:val="1"/>
    </w:pPr>
    <w:rPr>
      <w:rFonts w:cs="Arial"/>
      <w:bCs/>
      <w:iCs/>
      <w:szCs w:val="28"/>
    </w:rPr>
  </w:style>
  <w:style w:type="paragraph" w:styleId="Heading3">
    <w:name w:val="heading 3"/>
    <w:basedOn w:val="Normal"/>
    <w:next w:val="Normal"/>
    <w:link w:val="Heading3Char"/>
    <w:qFormat/>
    <w:rsid w:val="00D542F2"/>
    <w:pPr>
      <w:keepNext/>
      <w:numPr>
        <w:ilvl w:val="2"/>
        <w:numId w:val="1"/>
      </w:numPr>
      <w:spacing w:line="480" w:lineRule="auto"/>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2F2"/>
    <w:rPr>
      <w:rFonts w:eastAsia="Times New Roman" w:cs="Arial"/>
      <w:bCs/>
      <w:kern w:val="32"/>
      <w:szCs w:val="32"/>
    </w:rPr>
  </w:style>
  <w:style w:type="character" w:customStyle="1" w:styleId="Heading2Char">
    <w:name w:val="Heading 2 Char"/>
    <w:link w:val="Heading2"/>
    <w:rsid w:val="00D542F2"/>
    <w:rPr>
      <w:rFonts w:eastAsia="Times New Roman" w:cs="Arial"/>
      <w:bCs/>
      <w:iCs/>
      <w:szCs w:val="28"/>
    </w:rPr>
  </w:style>
  <w:style w:type="character" w:customStyle="1" w:styleId="Heading3Char">
    <w:name w:val="Heading 3 Char"/>
    <w:link w:val="Heading3"/>
    <w:rsid w:val="00D542F2"/>
    <w:rPr>
      <w:rFonts w:eastAsia="Times New Roman" w:cs="Arial"/>
      <w:bCs/>
      <w:szCs w:val="26"/>
    </w:rPr>
  </w:style>
  <w:style w:type="paragraph" w:styleId="BodyText2">
    <w:name w:val="Body Text 2"/>
    <w:basedOn w:val="Normal"/>
    <w:link w:val="BodyText2Char"/>
    <w:rsid w:val="00D542F2"/>
    <w:pPr>
      <w:spacing w:after="120" w:line="480" w:lineRule="auto"/>
    </w:pPr>
  </w:style>
  <w:style w:type="character" w:customStyle="1" w:styleId="BodyText2Char">
    <w:name w:val="Body Text 2 Char"/>
    <w:link w:val="BodyText2"/>
    <w:rsid w:val="00D542F2"/>
    <w:rPr>
      <w:rFonts w:eastAsia="Times New Roman" w:cs="Times New Roman"/>
      <w:szCs w:val="24"/>
    </w:rPr>
  </w:style>
  <w:style w:type="paragraph" w:styleId="ListParagraph">
    <w:name w:val="List Paragraph"/>
    <w:basedOn w:val="Normal"/>
    <w:uiPriority w:val="34"/>
    <w:qFormat/>
    <w:rsid w:val="00B97620"/>
    <w:pPr>
      <w:ind w:left="720"/>
    </w:pPr>
  </w:style>
  <w:style w:type="paragraph" w:styleId="Header">
    <w:name w:val="header"/>
    <w:basedOn w:val="Normal"/>
    <w:link w:val="HeaderChar"/>
    <w:uiPriority w:val="99"/>
    <w:unhideWhenUsed/>
    <w:rsid w:val="008674D3"/>
    <w:pPr>
      <w:tabs>
        <w:tab w:val="center" w:pos="4513"/>
        <w:tab w:val="right" w:pos="9026"/>
      </w:tabs>
    </w:pPr>
  </w:style>
  <w:style w:type="character" w:customStyle="1" w:styleId="HeaderChar">
    <w:name w:val="Header Char"/>
    <w:link w:val="Header"/>
    <w:uiPriority w:val="99"/>
    <w:rsid w:val="008674D3"/>
    <w:rPr>
      <w:rFonts w:eastAsia="Times New Roman"/>
      <w:sz w:val="24"/>
      <w:szCs w:val="24"/>
      <w:lang w:eastAsia="en-US"/>
    </w:rPr>
  </w:style>
  <w:style w:type="paragraph" w:styleId="Footer">
    <w:name w:val="footer"/>
    <w:basedOn w:val="Normal"/>
    <w:link w:val="FooterChar"/>
    <w:uiPriority w:val="99"/>
    <w:unhideWhenUsed/>
    <w:rsid w:val="008674D3"/>
    <w:pPr>
      <w:tabs>
        <w:tab w:val="center" w:pos="4513"/>
        <w:tab w:val="right" w:pos="9026"/>
      </w:tabs>
    </w:pPr>
  </w:style>
  <w:style w:type="character" w:customStyle="1" w:styleId="FooterChar">
    <w:name w:val="Footer Char"/>
    <w:link w:val="Footer"/>
    <w:uiPriority w:val="99"/>
    <w:rsid w:val="008674D3"/>
    <w:rPr>
      <w:rFonts w:eastAsia="Times New Roman"/>
      <w:sz w:val="24"/>
      <w:szCs w:val="24"/>
      <w:lang w:eastAsia="en-US"/>
    </w:rPr>
  </w:style>
  <w:style w:type="paragraph" w:styleId="FootnoteText">
    <w:name w:val="footnote text"/>
    <w:basedOn w:val="Normal"/>
    <w:link w:val="FootnoteTextChar"/>
    <w:uiPriority w:val="99"/>
    <w:unhideWhenUsed/>
    <w:rsid w:val="001B7390"/>
    <w:rPr>
      <w:sz w:val="20"/>
      <w:szCs w:val="20"/>
    </w:rPr>
  </w:style>
  <w:style w:type="character" w:customStyle="1" w:styleId="FootnoteTextChar">
    <w:name w:val="Footnote Text Char"/>
    <w:link w:val="FootnoteText"/>
    <w:uiPriority w:val="99"/>
    <w:rsid w:val="001B7390"/>
    <w:rPr>
      <w:rFonts w:eastAsia="Times New Roman"/>
      <w:lang w:eastAsia="en-US"/>
    </w:rPr>
  </w:style>
  <w:style w:type="character" w:styleId="FootnoteReference">
    <w:name w:val="footnote reference"/>
    <w:uiPriority w:val="99"/>
    <w:semiHidden/>
    <w:unhideWhenUsed/>
    <w:rsid w:val="001B7390"/>
    <w:rPr>
      <w:vertAlign w:val="superscript"/>
    </w:rPr>
  </w:style>
  <w:style w:type="paragraph" w:styleId="BalloonText">
    <w:name w:val="Balloon Text"/>
    <w:basedOn w:val="Normal"/>
    <w:link w:val="BalloonTextChar"/>
    <w:uiPriority w:val="99"/>
    <w:semiHidden/>
    <w:unhideWhenUsed/>
    <w:rsid w:val="001D0024"/>
    <w:rPr>
      <w:rFonts w:ascii="Segoe UI" w:hAnsi="Segoe UI" w:cs="Segoe UI"/>
      <w:sz w:val="18"/>
      <w:szCs w:val="18"/>
    </w:rPr>
  </w:style>
  <w:style w:type="character" w:customStyle="1" w:styleId="BalloonTextChar">
    <w:name w:val="Balloon Text Char"/>
    <w:link w:val="BalloonText"/>
    <w:uiPriority w:val="99"/>
    <w:semiHidden/>
    <w:rsid w:val="001D0024"/>
    <w:rPr>
      <w:rFonts w:ascii="Segoe UI" w:eastAsia="Times New Roman" w:hAnsi="Segoe UI" w:cs="Segoe UI"/>
      <w:sz w:val="18"/>
      <w:szCs w:val="18"/>
      <w:lang w:eastAsia="en-US"/>
    </w:rPr>
  </w:style>
  <w:style w:type="paragraph" w:styleId="NormalWeb">
    <w:name w:val="Normal (Web)"/>
    <w:basedOn w:val="Normal"/>
    <w:uiPriority w:val="99"/>
    <w:semiHidden/>
    <w:unhideWhenUsed/>
    <w:rsid w:val="004645DA"/>
    <w:pPr>
      <w:spacing w:before="100" w:beforeAutospacing="1" w:after="100" w:afterAutospacing="1"/>
    </w:pPr>
    <w:rPr>
      <w:rFonts w:ascii="Times New Roman" w:hAnsi="Times New Roman"/>
      <w:lang w:eastAsia="en-ZA"/>
    </w:rPr>
  </w:style>
  <w:style w:type="paragraph" w:customStyle="1" w:styleId="Default">
    <w:name w:val="Default"/>
    <w:rsid w:val="008A30EA"/>
    <w:pPr>
      <w:autoSpaceDE w:val="0"/>
      <w:autoSpaceDN w:val="0"/>
      <w:adjustRightInd w:val="0"/>
    </w:pPr>
    <w:rPr>
      <w:rFonts w:eastAsia="Times New Roman" w:cs="Arial"/>
      <w:color w:val="000000"/>
      <w:sz w:val="24"/>
      <w:szCs w:val="24"/>
    </w:rPr>
  </w:style>
  <w:style w:type="numbering" w:customStyle="1" w:styleId="CurrentList1">
    <w:name w:val="Current List1"/>
    <w:uiPriority w:val="99"/>
    <w:rsid w:val="00435CC9"/>
    <w:pPr>
      <w:numPr>
        <w:numId w:val="31"/>
      </w:numPr>
    </w:pPr>
  </w:style>
  <w:style w:type="character" w:styleId="CommentReference">
    <w:name w:val="annotation reference"/>
    <w:basedOn w:val="DefaultParagraphFont"/>
    <w:uiPriority w:val="99"/>
    <w:semiHidden/>
    <w:unhideWhenUsed/>
    <w:rsid w:val="00186A88"/>
    <w:rPr>
      <w:sz w:val="16"/>
      <w:szCs w:val="16"/>
    </w:rPr>
  </w:style>
  <w:style w:type="paragraph" w:styleId="CommentText">
    <w:name w:val="annotation text"/>
    <w:basedOn w:val="Normal"/>
    <w:link w:val="CommentTextChar"/>
    <w:uiPriority w:val="99"/>
    <w:semiHidden/>
    <w:unhideWhenUsed/>
    <w:rsid w:val="00186A88"/>
    <w:rPr>
      <w:sz w:val="20"/>
      <w:szCs w:val="20"/>
    </w:rPr>
  </w:style>
  <w:style w:type="character" w:customStyle="1" w:styleId="CommentTextChar">
    <w:name w:val="Comment Text Char"/>
    <w:basedOn w:val="DefaultParagraphFont"/>
    <w:link w:val="CommentText"/>
    <w:uiPriority w:val="99"/>
    <w:semiHidden/>
    <w:rsid w:val="00186A8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186A88"/>
    <w:rPr>
      <w:b/>
      <w:bCs/>
    </w:rPr>
  </w:style>
  <w:style w:type="character" w:customStyle="1" w:styleId="CommentSubjectChar">
    <w:name w:val="Comment Subject Char"/>
    <w:basedOn w:val="CommentTextChar"/>
    <w:link w:val="CommentSubject"/>
    <w:uiPriority w:val="99"/>
    <w:semiHidden/>
    <w:rsid w:val="00186A88"/>
    <w:rPr>
      <w:rFonts w:eastAsia="Times New Roman"/>
      <w:b/>
      <w:bCs/>
      <w:lang w:eastAsia="en-US"/>
    </w:rPr>
  </w:style>
  <w:style w:type="paragraph" w:styleId="Revision">
    <w:name w:val="Revision"/>
    <w:hidden/>
    <w:uiPriority w:val="99"/>
    <w:semiHidden/>
    <w:rsid w:val="00BF2A7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6034">
      <w:bodyDiv w:val="1"/>
      <w:marLeft w:val="0"/>
      <w:marRight w:val="0"/>
      <w:marTop w:val="0"/>
      <w:marBottom w:val="0"/>
      <w:divBdr>
        <w:top w:val="none" w:sz="0" w:space="0" w:color="auto"/>
        <w:left w:val="none" w:sz="0" w:space="0" w:color="auto"/>
        <w:bottom w:val="none" w:sz="0" w:space="0" w:color="auto"/>
        <w:right w:val="none" w:sz="0" w:space="0" w:color="auto"/>
      </w:divBdr>
    </w:div>
    <w:div w:id="356854696">
      <w:bodyDiv w:val="1"/>
      <w:marLeft w:val="0"/>
      <w:marRight w:val="0"/>
      <w:marTop w:val="0"/>
      <w:marBottom w:val="0"/>
      <w:divBdr>
        <w:top w:val="none" w:sz="0" w:space="0" w:color="auto"/>
        <w:left w:val="none" w:sz="0" w:space="0" w:color="auto"/>
        <w:bottom w:val="none" w:sz="0" w:space="0" w:color="auto"/>
        <w:right w:val="none" w:sz="0" w:space="0" w:color="auto"/>
      </w:divBdr>
    </w:div>
    <w:div w:id="470905016">
      <w:bodyDiv w:val="1"/>
      <w:marLeft w:val="0"/>
      <w:marRight w:val="0"/>
      <w:marTop w:val="0"/>
      <w:marBottom w:val="0"/>
      <w:divBdr>
        <w:top w:val="none" w:sz="0" w:space="0" w:color="auto"/>
        <w:left w:val="none" w:sz="0" w:space="0" w:color="auto"/>
        <w:bottom w:val="none" w:sz="0" w:space="0" w:color="auto"/>
        <w:right w:val="none" w:sz="0" w:space="0" w:color="auto"/>
      </w:divBdr>
    </w:div>
    <w:div w:id="598373172">
      <w:bodyDiv w:val="1"/>
      <w:marLeft w:val="0"/>
      <w:marRight w:val="0"/>
      <w:marTop w:val="0"/>
      <w:marBottom w:val="0"/>
      <w:divBdr>
        <w:top w:val="none" w:sz="0" w:space="0" w:color="auto"/>
        <w:left w:val="none" w:sz="0" w:space="0" w:color="auto"/>
        <w:bottom w:val="none" w:sz="0" w:space="0" w:color="auto"/>
        <w:right w:val="none" w:sz="0" w:space="0" w:color="auto"/>
      </w:divBdr>
    </w:div>
    <w:div w:id="613557176">
      <w:bodyDiv w:val="1"/>
      <w:marLeft w:val="0"/>
      <w:marRight w:val="0"/>
      <w:marTop w:val="0"/>
      <w:marBottom w:val="0"/>
      <w:divBdr>
        <w:top w:val="none" w:sz="0" w:space="0" w:color="auto"/>
        <w:left w:val="none" w:sz="0" w:space="0" w:color="auto"/>
        <w:bottom w:val="none" w:sz="0" w:space="0" w:color="auto"/>
        <w:right w:val="none" w:sz="0" w:space="0" w:color="auto"/>
      </w:divBdr>
    </w:div>
    <w:div w:id="660619907">
      <w:bodyDiv w:val="1"/>
      <w:marLeft w:val="0"/>
      <w:marRight w:val="0"/>
      <w:marTop w:val="0"/>
      <w:marBottom w:val="0"/>
      <w:divBdr>
        <w:top w:val="none" w:sz="0" w:space="0" w:color="auto"/>
        <w:left w:val="none" w:sz="0" w:space="0" w:color="auto"/>
        <w:bottom w:val="none" w:sz="0" w:space="0" w:color="auto"/>
        <w:right w:val="none" w:sz="0" w:space="0" w:color="auto"/>
      </w:divBdr>
    </w:div>
    <w:div w:id="687484058">
      <w:bodyDiv w:val="1"/>
      <w:marLeft w:val="0"/>
      <w:marRight w:val="0"/>
      <w:marTop w:val="0"/>
      <w:marBottom w:val="0"/>
      <w:divBdr>
        <w:top w:val="none" w:sz="0" w:space="0" w:color="auto"/>
        <w:left w:val="none" w:sz="0" w:space="0" w:color="auto"/>
        <w:bottom w:val="none" w:sz="0" w:space="0" w:color="auto"/>
        <w:right w:val="none" w:sz="0" w:space="0" w:color="auto"/>
      </w:divBdr>
    </w:div>
    <w:div w:id="790826904">
      <w:bodyDiv w:val="1"/>
      <w:marLeft w:val="0"/>
      <w:marRight w:val="0"/>
      <w:marTop w:val="0"/>
      <w:marBottom w:val="0"/>
      <w:divBdr>
        <w:top w:val="none" w:sz="0" w:space="0" w:color="auto"/>
        <w:left w:val="none" w:sz="0" w:space="0" w:color="auto"/>
        <w:bottom w:val="none" w:sz="0" w:space="0" w:color="auto"/>
        <w:right w:val="none" w:sz="0" w:space="0" w:color="auto"/>
      </w:divBdr>
    </w:div>
    <w:div w:id="906837501">
      <w:bodyDiv w:val="1"/>
      <w:marLeft w:val="0"/>
      <w:marRight w:val="0"/>
      <w:marTop w:val="0"/>
      <w:marBottom w:val="0"/>
      <w:divBdr>
        <w:top w:val="none" w:sz="0" w:space="0" w:color="auto"/>
        <w:left w:val="none" w:sz="0" w:space="0" w:color="auto"/>
        <w:bottom w:val="none" w:sz="0" w:space="0" w:color="auto"/>
        <w:right w:val="none" w:sz="0" w:space="0" w:color="auto"/>
      </w:divBdr>
    </w:div>
    <w:div w:id="995303296">
      <w:bodyDiv w:val="1"/>
      <w:marLeft w:val="0"/>
      <w:marRight w:val="0"/>
      <w:marTop w:val="0"/>
      <w:marBottom w:val="0"/>
      <w:divBdr>
        <w:top w:val="none" w:sz="0" w:space="0" w:color="auto"/>
        <w:left w:val="none" w:sz="0" w:space="0" w:color="auto"/>
        <w:bottom w:val="none" w:sz="0" w:space="0" w:color="auto"/>
        <w:right w:val="none" w:sz="0" w:space="0" w:color="auto"/>
      </w:divBdr>
    </w:div>
    <w:div w:id="999501784">
      <w:bodyDiv w:val="1"/>
      <w:marLeft w:val="0"/>
      <w:marRight w:val="0"/>
      <w:marTop w:val="0"/>
      <w:marBottom w:val="0"/>
      <w:divBdr>
        <w:top w:val="none" w:sz="0" w:space="0" w:color="auto"/>
        <w:left w:val="none" w:sz="0" w:space="0" w:color="auto"/>
        <w:bottom w:val="none" w:sz="0" w:space="0" w:color="auto"/>
        <w:right w:val="none" w:sz="0" w:space="0" w:color="auto"/>
      </w:divBdr>
    </w:div>
    <w:div w:id="1194687462">
      <w:bodyDiv w:val="1"/>
      <w:marLeft w:val="0"/>
      <w:marRight w:val="0"/>
      <w:marTop w:val="0"/>
      <w:marBottom w:val="0"/>
      <w:divBdr>
        <w:top w:val="none" w:sz="0" w:space="0" w:color="auto"/>
        <w:left w:val="none" w:sz="0" w:space="0" w:color="auto"/>
        <w:bottom w:val="none" w:sz="0" w:space="0" w:color="auto"/>
        <w:right w:val="none" w:sz="0" w:space="0" w:color="auto"/>
      </w:divBdr>
    </w:div>
    <w:div w:id="1264531880">
      <w:bodyDiv w:val="1"/>
      <w:marLeft w:val="0"/>
      <w:marRight w:val="0"/>
      <w:marTop w:val="0"/>
      <w:marBottom w:val="0"/>
      <w:divBdr>
        <w:top w:val="none" w:sz="0" w:space="0" w:color="auto"/>
        <w:left w:val="none" w:sz="0" w:space="0" w:color="auto"/>
        <w:bottom w:val="none" w:sz="0" w:space="0" w:color="auto"/>
        <w:right w:val="none" w:sz="0" w:space="0" w:color="auto"/>
      </w:divBdr>
    </w:div>
    <w:div w:id="1275869578">
      <w:bodyDiv w:val="1"/>
      <w:marLeft w:val="0"/>
      <w:marRight w:val="0"/>
      <w:marTop w:val="0"/>
      <w:marBottom w:val="0"/>
      <w:divBdr>
        <w:top w:val="none" w:sz="0" w:space="0" w:color="auto"/>
        <w:left w:val="none" w:sz="0" w:space="0" w:color="auto"/>
        <w:bottom w:val="none" w:sz="0" w:space="0" w:color="auto"/>
        <w:right w:val="none" w:sz="0" w:space="0" w:color="auto"/>
      </w:divBdr>
    </w:div>
    <w:div w:id="1384016317">
      <w:bodyDiv w:val="1"/>
      <w:marLeft w:val="0"/>
      <w:marRight w:val="0"/>
      <w:marTop w:val="0"/>
      <w:marBottom w:val="0"/>
      <w:divBdr>
        <w:top w:val="none" w:sz="0" w:space="0" w:color="auto"/>
        <w:left w:val="none" w:sz="0" w:space="0" w:color="auto"/>
        <w:bottom w:val="none" w:sz="0" w:space="0" w:color="auto"/>
        <w:right w:val="none" w:sz="0" w:space="0" w:color="auto"/>
      </w:divBdr>
    </w:div>
    <w:div w:id="1923877602">
      <w:bodyDiv w:val="1"/>
      <w:marLeft w:val="0"/>
      <w:marRight w:val="0"/>
      <w:marTop w:val="0"/>
      <w:marBottom w:val="0"/>
      <w:divBdr>
        <w:top w:val="none" w:sz="0" w:space="0" w:color="auto"/>
        <w:left w:val="none" w:sz="0" w:space="0" w:color="auto"/>
        <w:bottom w:val="none" w:sz="0" w:space="0" w:color="auto"/>
        <w:right w:val="none" w:sz="0" w:space="0" w:color="auto"/>
      </w:divBdr>
    </w:div>
    <w:div w:id="208155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7" ma:contentTypeDescription="Create a new document." ma:contentTypeScope="" ma:versionID="209a8424cb39a3fde29676c1abc61633">
  <xsd:schema xmlns:xsd="http://www.w3.org/2001/XMLSchema" xmlns:xs="http://www.w3.org/2001/XMLSchema" xmlns:p="http://schemas.microsoft.com/office/2006/metadata/properties" xmlns:ns3="ec14f804-e730-47a5-b9c6-c5e326b23f54" targetNamespace="http://schemas.microsoft.com/office/2006/metadata/properties" ma:root="true" ma:fieldsID="72e3c00ad7c582ce04a32707a324c0d9"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2636-6CBF-4045-98AC-F1992AAB7575}">
  <ds:schemaRefs>
    <ds:schemaRef ds:uri="ec14f804-e730-47a5-b9c6-c5e326b23f54"/>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B04BECC-C697-4106-9779-5E6F0F8185FB}">
  <ds:schemaRefs>
    <ds:schemaRef ds:uri="http://schemas.microsoft.com/sharepoint/v3/contenttype/forms"/>
  </ds:schemaRefs>
</ds:datastoreItem>
</file>

<file path=customXml/itemProps3.xml><?xml version="1.0" encoding="utf-8"?>
<ds:datastoreItem xmlns:ds="http://schemas.openxmlformats.org/officeDocument/2006/customXml" ds:itemID="{4CACD5EF-37AB-487A-926F-934A27A99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54577-A627-459A-9176-5564A211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advocate_g</dc:creator>
  <cp:keywords/>
  <dc:description/>
  <cp:lastModifiedBy>Mokone</cp:lastModifiedBy>
  <cp:revision>2</cp:revision>
  <cp:lastPrinted>2023-05-11T06:57:00Z</cp:lastPrinted>
  <dcterms:created xsi:type="dcterms:W3CDTF">2023-05-15T09:14:00Z</dcterms:created>
  <dcterms:modified xsi:type="dcterms:W3CDTF">2023-05-15T09:14:00Z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