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74DB" w14:textId="767091C6" w:rsidR="00C5571A" w:rsidRPr="00981B0F" w:rsidRDefault="00B8098A" w:rsidP="00B8098A">
      <w:pPr>
        <w:jc w:val="center"/>
        <w:rPr>
          <w:rFonts w:ascii="Arial" w:hAnsi="Arial" w:cs="Arial"/>
        </w:rPr>
      </w:pPr>
      <w:bookmarkStart w:id="0" w:name="_GoBack"/>
      <w:bookmarkEnd w:id="0"/>
      <w:r w:rsidRPr="00981B0F">
        <w:rPr>
          <w:rFonts w:ascii="Arial" w:hAnsi="Arial" w:cs="Arial"/>
          <w:noProof/>
          <w:lang w:eastAsia="en-ZA"/>
        </w:rPr>
        <w:drawing>
          <wp:inline distT="0" distB="0" distL="0" distR="0" wp14:anchorId="7BCDFF50" wp14:editId="28C89075">
            <wp:extent cx="1052195" cy="10464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46480"/>
                    </a:xfrm>
                    <a:prstGeom prst="rect">
                      <a:avLst/>
                    </a:prstGeom>
                    <a:noFill/>
                    <a:ln>
                      <a:noFill/>
                    </a:ln>
                  </pic:spPr>
                </pic:pic>
              </a:graphicData>
            </a:graphic>
          </wp:inline>
        </w:drawing>
      </w:r>
    </w:p>
    <w:p w14:paraId="1A8A23F0" w14:textId="77777777" w:rsidR="00B8098A" w:rsidRPr="00981B0F" w:rsidRDefault="00B8098A" w:rsidP="00B8098A">
      <w:pPr>
        <w:spacing w:after="0" w:line="360" w:lineRule="auto"/>
        <w:jc w:val="center"/>
        <w:rPr>
          <w:rFonts w:ascii="Arial" w:eastAsia="Times New Roman" w:hAnsi="Arial" w:cs="Arial"/>
          <w:b/>
          <w:sz w:val="24"/>
          <w:szCs w:val="24"/>
          <w:lang w:val="en-GB" w:eastAsia="en-GB"/>
        </w:rPr>
      </w:pPr>
      <w:r w:rsidRPr="00981B0F">
        <w:rPr>
          <w:rFonts w:ascii="Arial" w:eastAsia="Times New Roman" w:hAnsi="Arial" w:cs="Arial"/>
          <w:b/>
          <w:sz w:val="24"/>
          <w:szCs w:val="24"/>
          <w:lang w:val="en-GB" w:eastAsia="en-GB"/>
        </w:rPr>
        <w:t>IN THE HIGH COURT OF SOUTH AFRICA</w:t>
      </w:r>
    </w:p>
    <w:p w14:paraId="409178F7" w14:textId="5407BE62" w:rsidR="00B8098A" w:rsidRPr="00981B0F" w:rsidRDefault="00B8098A" w:rsidP="00B8098A">
      <w:pPr>
        <w:spacing w:after="0" w:line="360" w:lineRule="auto"/>
        <w:jc w:val="center"/>
        <w:rPr>
          <w:rFonts w:ascii="Arial" w:eastAsia="Times New Roman" w:hAnsi="Arial" w:cs="Arial"/>
          <w:b/>
          <w:sz w:val="24"/>
          <w:szCs w:val="24"/>
          <w:lang w:val="en-GB" w:eastAsia="en-GB"/>
        </w:rPr>
      </w:pPr>
      <w:r w:rsidRPr="00981B0F">
        <w:rPr>
          <w:rFonts w:ascii="Arial" w:eastAsia="Times New Roman" w:hAnsi="Arial" w:cs="Arial"/>
          <w:b/>
          <w:sz w:val="24"/>
          <w:szCs w:val="24"/>
          <w:lang w:val="en-GB" w:eastAsia="en-GB"/>
        </w:rPr>
        <w:t xml:space="preserve">KWAZULU-NATAL </w:t>
      </w:r>
      <w:r w:rsidR="00FF2D82" w:rsidRPr="00981B0F">
        <w:rPr>
          <w:rFonts w:ascii="Arial" w:eastAsia="Times New Roman" w:hAnsi="Arial" w:cs="Arial"/>
          <w:b/>
          <w:sz w:val="24"/>
          <w:szCs w:val="24"/>
          <w:lang w:val="en-GB" w:eastAsia="en-GB"/>
        </w:rPr>
        <w:t>LOCAL</w:t>
      </w:r>
      <w:r w:rsidR="0086739D" w:rsidRPr="00981B0F">
        <w:rPr>
          <w:rFonts w:ascii="Arial" w:eastAsia="Times New Roman" w:hAnsi="Arial" w:cs="Arial"/>
          <w:b/>
          <w:sz w:val="24"/>
          <w:szCs w:val="24"/>
          <w:lang w:val="en-GB" w:eastAsia="en-GB"/>
        </w:rPr>
        <w:t xml:space="preserve"> </w:t>
      </w:r>
      <w:r w:rsidRPr="00981B0F">
        <w:rPr>
          <w:rFonts w:ascii="Arial" w:eastAsia="Times New Roman" w:hAnsi="Arial" w:cs="Arial"/>
          <w:b/>
          <w:sz w:val="24"/>
          <w:szCs w:val="24"/>
          <w:lang w:val="en-GB" w:eastAsia="en-GB"/>
        </w:rPr>
        <w:t>DIVISION, DURBAN</w:t>
      </w:r>
    </w:p>
    <w:p w14:paraId="27DA8036" w14:textId="77777777" w:rsidR="00B8098A" w:rsidRPr="00981B0F" w:rsidRDefault="00B8098A" w:rsidP="00B8098A">
      <w:pPr>
        <w:spacing w:after="0" w:line="240" w:lineRule="auto"/>
        <w:jc w:val="center"/>
        <w:rPr>
          <w:rFonts w:ascii="Arial" w:eastAsia="Times New Roman" w:hAnsi="Arial" w:cs="Arial"/>
          <w:b/>
          <w:sz w:val="24"/>
          <w:szCs w:val="24"/>
          <w:lang w:eastAsia="en-GB"/>
        </w:rPr>
      </w:pPr>
    </w:p>
    <w:p w14:paraId="0475615A" w14:textId="77777777" w:rsidR="00B8098A" w:rsidRPr="00981B0F" w:rsidRDefault="00B8098A" w:rsidP="00B8098A">
      <w:pPr>
        <w:spacing w:after="0" w:line="360" w:lineRule="auto"/>
        <w:jc w:val="both"/>
        <w:rPr>
          <w:rFonts w:ascii="Arial" w:eastAsia="Times New Roman" w:hAnsi="Arial" w:cs="Arial"/>
          <w:b/>
          <w:sz w:val="24"/>
          <w:szCs w:val="24"/>
          <w:lang w:eastAsia="en-GB"/>
        </w:rPr>
      </w:pPr>
      <w:r w:rsidRPr="00981B0F">
        <w:rPr>
          <w:rFonts w:ascii="Arial" w:eastAsia="Times New Roman" w:hAnsi="Arial" w:cs="Arial"/>
          <w:b/>
          <w:sz w:val="24"/>
          <w:szCs w:val="24"/>
          <w:lang w:eastAsia="en-GB"/>
        </w:rPr>
        <w:t xml:space="preserve">                                                                                                          </w:t>
      </w:r>
    </w:p>
    <w:p w14:paraId="262462FC" w14:textId="7420503E" w:rsidR="00B8098A" w:rsidRPr="00981B0F" w:rsidRDefault="00B8098A" w:rsidP="00B8098A">
      <w:pPr>
        <w:spacing w:after="0" w:line="360" w:lineRule="auto"/>
        <w:jc w:val="both"/>
        <w:rPr>
          <w:rFonts w:ascii="Arial" w:eastAsia="Times New Roman" w:hAnsi="Arial" w:cs="Arial"/>
          <w:b/>
          <w:sz w:val="24"/>
          <w:szCs w:val="24"/>
          <w:lang w:eastAsia="en-GB"/>
        </w:rPr>
      </w:pPr>
      <w:r w:rsidRPr="00981B0F">
        <w:rPr>
          <w:rFonts w:ascii="Arial" w:eastAsia="Times New Roman" w:hAnsi="Arial" w:cs="Arial"/>
          <w:b/>
          <w:sz w:val="24"/>
          <w:szCs w:val="24"/>
          <w:lang w:eastAsia="en-GB"/>
        </w:rPr>
        <w:t xml:space="preserve">                                                                                                 </w:t>
      </w:r>
      <w:r w:rsidR="0018148A" w:rsidRPr="00981B0F">
        <w:rPr>
          <w:rFonts w:ascii="Arial" w:eastAsia="Times New Roman" w:hAnsi="Arial" w:cs="Arial"/>
          <w:b/>
          <w:sz w:val="24"/>
          <w:szCs w:val="24"/>
          <w:lang w:eastAsia="en-GB"/>
        </w:rPr>
        <w:t xml:space="preserve">CASE No: D </w:t>
      </w:r>
      <w:r w:rsidR="00B932A8" w:rsidRPr="00981B0F">
        <w:rPr>
          <w:rFonts w:ascii="Arial" w:eastAsia="Times New Roman" w:hAnsi="Arial" w:cs="Arial"/>
          <w:b/>
          <w:sz w:val="24"/>
          <w:szCs w:val="24"/>
          <w:lang w:eastAsia="en-GB"/>
        </w:rPr>
        <w:t>7917/2020</w:t>
      </w:r>
    </w:p>
    <w:p w14:paraId="5CF6143E" w14:textId="77777777" w:rsidR="00B8098A" w:rsidRPr="00981B0F" w:rsidRDefault="00B8098A" w:rsidP="00B8098A">
      <w:pPr>
        <w:spacing w:after="0" w:line="360" w:lineRule="auto"/>
        <w:jc w:val="both"/>
        <w:rPr>
          <w:rFonts w:ascii="Arial" w:eastAsia="Times New Roman" w:hAnsi="Arial" w:cs="Arial"/>
          <w:b/>
          <w:sz w:val="24"/>
          <w:szCs w:val="24"/>
          <w:lang w:eastAsia="en-GB"/>
        </w:rPr>
      </w:pPr>
    </w:p>
    <w:p w14:paraId="67737F4A" w14:textId="77777777" w:rsidR="00B8098A" w:rsidRPr="00981B0F" w:rsidRDefault="00B8098A" w:rsidP="00B8098A">
      <w:pPr>
        <w:spacing w:after="0" w:line="360" w:lineRule="auto"/>
        <w:jc w:val="both"/>
        <w:rPr>
          <w:rFonts w:ascii="Arial" w:eastAsia="Times New Roman" w:hAnsi="Arial" w:cs="Arial"/>
          <w:sz w:val="24"/>
          <w:szCs w:val="24"/>
          <w:lang w:eastAsia="en-GB"/>
        </w:rPr>
      </w:pPr>
    </w:p>
    <w:p w14:paraId="52760F20" w14:textId="77777777" w:rsidR="00B932A8" w:rsidRPr="00981B0F" w:rsidRDefault="00B8098A" w:rsidP="00B8098A">
      <w:pPr>
        <w:spacing w:after="0" w:line="360" w:lineRule="auto"/>
        <w:jc w:val="both"/>
        <w:rPr>
          <w:rFonts w:ascii="Arial" w:eastAsia="Times New Roman" w:hAnsi="Arial" w:cs="Arial"/>
          <w:sz w:val="24"/>
          <w:szCs w:val="24"/>
          <w:lang w:eastAsia="en-GB"/>
        </w:rPr>
      </w:pPr>
      <w:r w:rsidRPr="00981B0F">
        <w:rPr>
          <w:rFonts w:ascii="Arial" w:eastAsia="Times New Roman" w:hAnsi="Arial" w:cs="Arial"/>
          <w:sz w:val="24"/>
          <w:szCs w:val="24"/>
          <w:lang w:eastAsia="en-GB"/>
        </w:rPr>
        <w:t>In the matter between:</w:t>
      </w:r>
    </w:p>
    <w:p w14:paraId="2E35364B" w14:textId="77777777" w:rsidR="00B932A8" w:rsidRPr="00981B0F" w:rsidRDefault="00B932A8" w:rsidP="00B8098A">
      <w:pPr>
        <w:spacing w:after="0" w:line="360" w:lineRule="auto"/>
        <w:jc w:val="both"/>
        <w:rPr>
          <w:rFonts w:ascii="Arial" w:eastAsia="Times New Roman" w:hAnsi="Arial" w:cs="Arial"/>
          <w:b/>
          <w:bCs/>
          <w:sz w:val="24"/>
          <w:szCs w:val="24"/>
          <w:lang w:eastAsia="en-GB"/>
        </w:rPr>
      </w:pPr>
      <w:r w:rsidRPr="00981B0F">
        <w:rPr>
          <w:rFonts w:ascii="Arial" w:eastAsia="Times New Roman" w:hAnsi="Arial" w:cs="Arial"/>
          <w:b/>
          <w:bCs/>
          <w:sz w:val="24"/>
          <w:szCs w:val="24"/>
          <w:lang w:eastAsia="en-GB"/>
        </w:rPr>
        <w:t>BODY CORPORATE OF GREEN MEADOW</w:t>
      </w:r>
    </w:p>
    <w:p w14:paraId="54E721E2" w14:textId="08480E72" w:rsidR="00B8098A" w:rsidRPr="00981B0F" w:rsidRDefault="00B932A8" w:rsidP="00B8098A">
      <w:pPr>
        <w:spacing w:after="0" w:line="360" w:lineRule="auto"/>
        <w:jc w:val="both"/>
        <w:rPr>
          <w:rFonts w:ascii="Arial" w:eastAsia="Times New Roman" w:hAnsi="Arial" w:cs="Arial"/>
          <w:b/>
          <w:bCs/>
          <w:sz w:val="24"/>
          <w:szCs w:val="24"/>
          <w:lang w:eastAsia="en-GB"/>
        </w:rPr>
      </w:pPr>
      <w:r w:rsidRPr="00981B0F">
        <w:rPr>
          <w:rFonts w:ascii="Arial" w:eastAsia="Times New Roman" w:hAnsi="Arial" w:cs="Arial"/>
          <w:b/>
          <w:bCs/>
          <w:sz w:val="24"/>
          <w:szCs w:val="24"/>
          <w:lang w:eastAsia="en-GB"/>
        </w:rPr>
        <w:t>COUNTRY ESTATE</w:t>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r>
      <w:r w:rsidRPr="00981B0F">
        <w:rPr>
          <w:rFonts w:ascii="Arial" w:eastAsia="Times New Roman" w:hAnsi="Arial" w:cs="Arial"/>
          <w:b/>
          <w:bCs/>
          <w:sz w:val="24"/>
          <w:szCs w:val="24"/>
          <w:lang w:eastAsia="en-GB"/>
        </w:rPr>
        <w:tab/>
        <w:t>APPLICANT</w:t>
      </w:r>
      <w:r w:rsidR="00B8098A" w:rsidRPr="00981B0F">
        <w:rPr>
          <w:rFonts w:ascii="Arial" w:eastAsia="Times New Roman" w:hAnsi="Arial" w:cs="Arial"/>
          <w:b/>
          <w:bCs/>
          <w:sz w:val="24"/>
          <w:szCs w:val="24"/>
          <w:lang w:eastAsia="en-GB"/>
        </w:rPr>
        <w:tab/>
      </w:r>
    </w:p>
    <w:p w14:paraId="62EB5C89" w14:textId="40002143" w:rsidR="00B8098A" w:rsidRPr="0084684B" w:rsidRDefault="0018148A" w:rsidP="00B8098A">
      <w:pPr>
        <w:spacing w:after="0" w:line="360" w:lineRule="auto"/>
        <w:jc w:val="both"/>
        <w:rPr>
          <w:rFonts w:ascii="Arial" w:eastAsia="Times New Roman" w:hAnsi="Arial" w:cs="Arial"/>
          <w:b/>
          <w:sz w:val="24"/>
          <w:szCs w:val="24"/>
          <w:lang w:eastAsia="en-GB"/>
        </w:rPr>
      </w:pP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 xml:space="preserve">            </w:t>
      </w:r>
      <w:r w:rsidR="00B8098A" w:rsidRPr="00981B0F">
        <w:rPr>
          <w:rFonts w:ascii="Arial" w:eastAsia="Times New Roman" w:hAnsi="Arial" w:cs="Arial"/>
          <w:sz w:val="24"/>
          <w:szCs w:val="24"/>
          <w:lang w:eastAsia="en-GB"/>
        </w:rPr>
        <w:tab/>
      </w:r>
      <w:r w:rsidR="00B8098A" w:rsidRPr="00981B0F">
        <w:rPr>
          <w:rFonts w:ascii="Arial" w:eastAsia="Times New Roman" w:hAnsi="Arial" w:cs="Arial"/>
          <w:sz w:val="24"/>
          <w:szCs w:val="24"/>
          <w:lang w:eastAsia="en-GB"/>
        </w:rPr>
        <w:tab/>
      </w:r>
      <w:r w:rsidR="00B8098A" w:rsidRPr="00981B0F">
        <w:rPr>
          <w:rFonts w:ascii="Arial" w:eastAsia="Times New Roman" w:hAnsi="Arial" w:cs="Arial"/>
          <w:sz w:val="24"/>
          <w:szCs w:val="24"/>
          <w:lang w:eastAsia="en-GB"/>
        </w:rPr>
        <w:tab/>
      </w:r>
      <w:r w:rsidR="00B8098A" w:rsidRPr="00981B0F">
        <w:rPr>
          <w:rFonts w:ascii="Arial" w:eastAsia="Times New Roman" w:hAnsi="Arial" w:cs="Arial"/>
          <w:sz w:val="24"/>
          <w:szCs w:val="24"/>
          <w:lang w:eastAsia="en-GB"/>
        </w:rPr>
        <w:tab/>
      </w:r>
      <w:r w:rsidR="00B8098A" w:rsidRPr="00981B0F">
        <w:rPr>
          <w:rFonts w:ascii="Arial" w:eastAsia="Times New Roman" w:hAnsi="Arial" w:cs="Arial"/>
          <w:sz w:val="24"/>
          <w:szCs w:val="24"/>
          <w:lang w:eastAsia="en-GB"/>
        </w:rPr>
        <w:tab/>
        <w:t xml:space="preserve">                        </w:t>
      </w:r>
    </w:p>
    <w:p w14:paraId="7A49D878" w14:textId="77777777" w:rsidR="00B8098A" w:rsidRPr="00981B0F" w:rsidRDefault="00B8098A" w:rsidP="00B8098A">
      <w:pPr>
        <w:spacing w:after="0" w:line="360" w:lineRule="auto"/>
        <w:jc w:val="both"/>
        <w:rPr>
          <w:rFonts w:ascii="Arial" w:eastAsia="Times New Roman" w:hAnsi="Arial" w:cs="Arial"/>
          <w:sz w:val="24"/>
          <w:szCs w:val="24"/>
          <w:lang w:eastAsia="en-GB"/>
        </w:rPr>
      </w:pPr>
      <w:r w:rsidRPr="00981B0F">
        <w:rPr>
          <w:rFonts w:ascii="Arial" w:eastAsia="Times New Roman" w:hAnsi="Arial" w:cs="Arial"/>
          <w:sz w:val="24"/>
          <w:szCs w:val="24"/>
          <w:lang w:eastAsia="en-GB"/>
        </w:rPr>
        <w:t xml:space="preserve">and </w:t>
      </w:r>
    </w:p>
    <w:p w14:paraId="2AF470A9" w14:textId="6420D99A" w:rsidR="00D457E0" w:rsidRPr="00981B0F" w:rsidRDefault="00D457E0" w:rsidP="00B8098A">
      <w:pPr>
        <w:rPr>
          <w:rFonts w:ascii="Arial" w:eastAsia="Times New Roman" w:hAnsi="Arial" w:cs="Arial"/>
          <w:b/>
          <w:sz w:val="24"/>
          <w:szCs w:val="24"/>
          <w:lang w:eastAsia="en-GB"/>
        </w:rPr>
      </w:pPr>
    </w:p>
    <w:p w14:paraId="34DD046B" w14:textId="51F8ACFD" w:rsidR="00D457E0" w:rsidRDefault="00B932A8" w:rsidP="00B8098A">
      <w:pPr>
        <w:rPr>
          <w:rFonts w:ascii="Arial" w:eastAsia="Times New Roman" w:hAnsi="Arial" w:cs="Arial"/>
          <w:b/>
          <w:sz w:val="24"/>
          <w:szCs w:val="24"/>
          <w:lang w:eastAsia="en-GB"/>
        </w:rPr>
      </w:pPr>
      <w:r w:rsidRPr="00981B0F">
        <w:rPr>
          <w:rFonts w:ascii="Arial" w:eastAsia="Times New Roman" w:hAnsi="Arial" w:cs="Arial"/>
          <w:b/>
          <w:sz w:val="24"/>
          <w:szCs w:val="24"/>
          <w:lang w:eastAsia="en-GB"/>
        </w:rPr>
        <w:t xml:space="preserve">THE </w:t>
      </w:r>
      <w:r w:rsidR="00515741">
        <w:rPr>
          <w:rFonts w:ascii="Arial" w:eastAsia="Times New Roman" w:hAnsi="Arial" w:cs="Arial"/>
          <w:b/>
          <w:sz w:val="24"/>
          <w:szCs w:val="24"/>
          <w:lang w:eastAsia="en-GB"/>
        </w:rPr>
        <w:t>e</w:t>
      </w:r>
      <w:r w:rsidRPr="00981B0F">
        <w:rPr>
          <w:rFonts w:ascii="Arial" w:eastAsia="Times New Roman" w:hAnsi="Arial" w:cs="Arial"/>
          <w:b/>
          <w:sz w:val="24"/>
          <w:szCs w:val="24"/>
          <w:lang w:eastAsia="en-GB"/>
        </w:rPr>
        <w:t>THEKWINI MUNICIPALITY</w:t>
      </w:r>
      <w:r w:rsidR="00B8098A" w:rsidRPr="00981B0F">
        <w:rPr>
          <w:rFonts w:ascii="Arial" w:eastAsia="Times New Roman" w:hAnsi="Arial" w:cs="Arial"/>
          <w:b/>
          <w:sz w:val="24"/>
          <w:szCs w:val="24"/>
          <w:lang w:eastAsia="en-GB"/>
        </w:rPr>
        <w:t xml:space="preserve">      </w:t>
      </w:r>
      <w:r w:rsidR="0018148A" w:rsidRPr="00981B0F">
        <w:rPr>
          <w:rFonts w:ascii="Arial" w:eastAsia="Times New Roman" w:hAnsi="Arial" w:cs="Arial"/>
          <w:b/>
          <w:sz w:val="24"/>
          <w:szCs w:val="24"/>
          <w:lang w:eastAsia="en-GB"/>
        </w:rPr>
        <w:t xml:space="preserve">                     </w:t>
      </w:r>
      <w:r w:rsidR="00633A69" w:rsidRPr="00981B0F">
        <w:rPr>
          <w:rFonts w:ascii="Arial" w:eastAsia="Times New Roman" w:hAnsi="Arial" w:cs="Arial"/>
          <w:b/>
          <w:sz w:val="24"/>
          <w:szCs w:val="24"/>
          <w:lang w:eastAsia="en-GB"/>
        </w:rPr>
        <w:t xml:space="preserve">       </w:t>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0018148A" w:rsidRPr="00981B0F">
        <w:rPr>
          <w:rFonts w:ascii="Arial" w:eastAsia="Times New Roman" w:hAnsi="Arial" w:cs="Arial"/>
          <w:b/>
          <w:sz w:val="24"/>
          <w:szCs w:val="24"/>
          <w:lang w:eastAsia="en-GB"/>
        </w:rPr>
        <w:t xml:space="preserve"> </w:t>
      </w:r>
      <w:r w:rsidR="00B8098A" w:rsidRPr="00981B0F">
        <w:rPr>
          <w:rFonts w:ascii="Arial" w:eastAsia="Times New Roman" w:hAnsi="Arial" w:cs="Arial"/>
          <w:b/>
          <w:sz w:val="24"/>
          <w:szCs w:val="24"/>
          <w:lang w:eastAsia="en-GB"/>
        </w:rPr>
        <w:t xml:space="preserve">RESPONDENT </w:t>
      </w:r>
    </w:p>
    <w:p w14:paraId="4C1155DA" w14:textId="69E2A5C0" w:rsidR="0084684B" w:rsidRDefault="0084684B" w:rsidP="00B8098A">
      <w:pPr>
        <w:rPr>
          <w:rFonts w:ascii="Arial" w:eastAsia="Times New Roman" w:hAnsi="Arial" w:cs="Arial"/>
          <w:b/>
          <w:sz w:val="24"/>
          <w:szCs w:val="24"/>
          <w:lang w:eastAsia="en-GB"/>
        </w:rPr>
      </w:pPr>
    </w:p>
    <w:p w14:paraId="40797F25" w14:textId="397E54C9" w:rsidR="0084684B" w:rsidRPr="008758C1" w:rsidRDefault="0084684B" w:rsidP="0084684B">
      <w:pPr>
        <w:spacing w:after="0"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 xml:space="preserve">27 January 2023(Friday) at 11:00am </w:t>
      </w:r>
    </w:p>
    <w:p w14:paraId="051C8585" w14:textId="593DDB0E" w:rsidR="00633A69" w:rsidRPr="00981B0F" w:rsidRDefault="00633A69" w:rsidP="00633A69">
      <w:pPr>
        <w:spacing w:after="0" w:line="240" w:lineRule="auto"/>
        <w:rPr>
          <w:rFonts w:ascii="Arial" w:eastAsia="Times New Roman" w:hAnsi="Arial" w:cs="Arial"/>
          <w:b/>
          <w:sz w:val="24"/>
          <w:szCs w:val="24"/>
          <w:lang w:eastAsia="en-GB"/>
        </w:rPr>
      </w:pPr>
    </w:p>
    <w:p w14:paraId="2839315C" w14:textId="2BB385A5" w:rsidR="00633A69" w:rsidRPr="00981B0F" w:rsidRDefault="0084684B" w:rsidP="00633A6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___</w:t>
      </w:r>
      <w:r w:rsidR="00633A69" w:rsidRPr="00981B0F">
        <w:rPr>
          <w:rFonts w:ascii="Arial" w:eastAsia="Times New Roman" w:hAnsi="Arial" w:cs="Arial"/>
          <w:b/>
          <w:sz w:val="24"/>
          <w:szCs w:val="24"/>
          <w:lang w:eastAsia="en-GB"/>
        </w:rPr>
        <w:t>______________________________________________________________</w:t>
      </w:r>
    </w:p>
    <w:p w14:paraId="35275164" w14:textId="77777777" w:rsidR="00633A69" w:rsidRPr="00981B0F" w:rsidRDefault="00633A69" w:rsidP="00633A69">
      <w:pPr>
        <w:spacing w:after="0" w:line="240" w:lineRule="auto"/>
        <w:jc w:val="center"/>
        <w:rPr>
          <w:rFonts w:ascii="Arial" w:eastAsia="Times New Roman" w:hAnsi="Arial" w:cs="Arial"/>
          <w:b/>
          <w:sz w:val="24"/>
          <w:szCs w:val="24"/>
          <w:lang w:eastAsia="en-GB"/>
        </w:rPr>
      </w:pPr>
    </w:p>
    <w:p w14:paraId="406A414B" w14:textId="54FC8232" w:rsidR="00633A69" w:rsidRPr="00981B0F" w:rsidRDefault="00633A69" w:rsidP="00633A69">
      <w:pPr>
        <w:spacing w:after="0" w:line="240" w:lineRule="auto"/>
        <w:jc w:val="center"/>
        <w:rPr>
          <w:rFonts w:ascii="Arial" w:eastAsia="Times New Roman" w:hAnsi="Arial" w:cs="Arial"/>
          <w:b/>
          <w:sz w:val="24"/>
          <w:szCs w:val="24"/>
          <w:lang w:eastAsia="en-GB"/>
        </w:rPr>
      </w:pPr>
      <w:r w:rsidRPr="00981B0F">
        <w:rPr>
          <w:rFonts w:ascii="Arial" w:eastAsia="Times New Roman" w:hAnsi="Arial" w:cs="Arial"/>
          <w:b/>
          <w:sz w:val="24"/>
          <w:szCs w:val="24"/>
          <w:lang w:eastAsia="en-GB"/>
        </w:rPr>
        <w:t>ORDER</w:t>
      </w:r>
    </w:p>
    <w:p w14:paraId="4757BD87" w14:textId="77777777" w:rsidR="00633A69" w:rsidRPr="00981B0F" w:rsidRDefault="00633A69" w:rsidP="00633A69">
      <w:pPr>
        <w:spacing w:after="0" w:line="240" w:lineRule="auto"/>
        <w:jc w:val="center"/>
        <w:rPr>
          <w:rFonts w:ascii="Arial" w:eastAsia="Times New Roman" w:hAnsi="Arial" w:cs="Arial"/>
          <w:b/>
          <w:sz w:val="24"/>
          <w:szCs w:val="24"/>
          <w:lang w:eastAsia="en-GB"/>
        </w:rPr>
      </w:pPr>
    </w:p>
    <w:p w14:paraId="0C0EB15F" w14:textId="2E314122" w:rsidR="00633A69" w:rsidRPr="00981B0F" w:rsidRDefault="0084684B" w:rsidP="00633A6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_________</w:t>
      </w:r>
      <w:r w:rsidR="00633A69" w:rsidRPr="00981B0F">
        <w:rPr>
          <w:rFonts w:ascii="Arial" w:eastAsia="Times New Roman" w:hAnsi="Arial" w:cs="Arial"/>
          <w:b/>
          <w:sz w:val="24"/>
          <w:szCs w:val="24"/>
          <w:lang w:eastAsia="en-GB"/>
        </w:rPr>
        <w:t>_________________________________________________________</w:t>
      </w:r>
    </w:p>
    <w:p w14:paraId="2AB74E5F" w14:textId="681F0FD1" w:rsidR="00633A69" w:rsidRPr="00981B0F" w:rsidRDefault="0084684B" w:rsidP="00633A69">
      <w:p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r w:rsidR="00633A69" w:rsidRPr="00981B0F">
        <w:rPr>
          <w:rFonts w:ascii="Arial" w:eastAsia="Times New Roman" w:hAnsi="Arial" w:cs="Arial"/>
          <w:b/>
          <w:sz w:val="24"/>
          <w:szCs w:val="24"/>
          <w:lang w:eastAsia="en-GB"/>
        </w:rPr>
        <w:tab/>
      </w:r>
    </w:p>
    <w:p w14:paraId="0B379312" w14:textId="77777777" w:rsidR="00981B0F" w:rsidRPr="00981B0F" w:rsidRDefault="00981B0F" w:rsidP="00981B0F">
      <w:pPr>
        <w:spacing w:line="360" w:lineRule="auto"/>
        <w:jc w:val="both"/>
        <w:rPr>
          <w:rFonts w:ascii="Arial" w:hAnsi="Arial" w:cs="Arial"/>
          <w:bCs/>
          <w:sz w:val="24"/>
          <w:szCs w:val="24"/>
        </w:rPr>
      </w:pPr>
      <w:r w:rsidRPr="00981B0F">
        <w:rPr>
          <w:rFonts w:ascii="Arial" w:hAnsi="Arial" w:cs="Arial"/>
          <w:bCs/>
          <w:sz w:val="24"/>
          <w:szCs w:val="24"/>
        </w:rPr>
        <w:t>In the results, the following order is made:</w:t>
      </w:r>
    </w:p>
    <w:p w14:paraId="6E11DBD9" w14:textId="18FCBBAC" w:rsidR="00981B0F" w:rsidRPr="00096778" w:rsidRDefault="00096778" w:rsidP="00096778">
      <w:pPr>
        <w:spacing w:line="360" w:lineRule="auto"/>
        <w:ind w:left="720" w:hanging="360"/>
        <w:jc w:val="both"/>
        <w:rPr>
          <w:rFonts w:ascii="Arial" w:hAnsi="Arial" w:cs="Arial"/>
          <w:bCs/>
          <w:sz w:val="24"/>
          <w:szCs w:val="24"/>
        </w:rPr>
      </w:pPr>
      <w:r w:rsidRPr="00981B0F">
        <w:rPr>
          <w:rFonts w:ascii="Arial" w:hAnsi="Arial" w:cs="Arial"/>
          <w:bCs/>
          <w:sz w:val="24"/>
          <w:szCs w:val="24"/>
        </w:rPr>
        <w:t>1</w:t>
      </w:r>
      <w:r w:rsidRPr="00981B0F">
        <w:rPr>
          <w:rFonts w:ascii="Arial" w:hAnsi="Arial" w:cs="Arial"/>
          <w:bCs/>
          <w:sz w:val="24"/>
          <w:szCs w:val="24"/>
        </w:rPr>
        <w:tab/>
      </w:r>
      <w:r w:rsidR="00981B0F" w:rsidRPr="00096778">
        <w:rPr>
          <w:rFonts w:ascii="Arial" w:hAnsi="Arial" w:cs="Arial"/>
          <w:bCs/>
          <w:sz w:val="24"/>
          <w:szCs w:val="24"/>
        </w:rPr>
        <w:t>The applicant is granted leave to appeal the judgment delivered on 22 August 2022 to the full court of the KwaZulu-Natal Division of the High Court.</w:t>
      </w:r>
    </w:p>
    <w:p w14:paraId="3E2C182D" w14:textId="422FA1A0" w:rsidR="00981B0F" w:rsidRPr="00096778" w:rsidRDefault="00096778" w:rsidP="00096778">
      <w:pPr>
        <w:spacing w:line="360" w:lineRule="auto"/>
        <w:ind w:left="720" w:hanging="360"/>
        <w:jc w:val="both"/>
        <w:rPr>
          <w:rFonts w:ascii="Arial" w:hAnsi="Arial" w:cs="Arial"/>
          <w:bCs/>
          <w:sz w:val="24"/>
          <w:szCs w:val="24"/>
        </w:rPr>
      </w:pPr>
      <w:r w:rsidRPr="00981B0F">
        <w:rPr>
          <w:rFonts w:ascii="Arial" w:hAnsi="Arial" w:cs="Arial"/>
          <w:bCs/>
          <w:sz w:val="24"/>
          <w:szCs w:val="24"/>
        </w:rPr>
        <w:t>2</w:t>
      </w:r>
      <w:r w:rsidRPr="00981B0F">
        <w:rPr>
          <w:rFonts w:ascii="Arial" w:hAnsi="Arial" w:cs="Arial"/>
          <w:bCs/>
          <w:sz w:val="24"/>
          <w:szCs w:val="24"/>
        </w:rPr>
        <w:tab/>
      </w:r>
      <w:r w:rsidR="00981B0F" w:rsidRPr="00096778">
        <w:rPr>
          <w:rFonts w:ascii="Arial" w:hAnsi="Arial" w:cs="Arial"/>
          <w:bCs/>
          <w:sz w:val="24"/>
          <w:szCs w:val="24"/>
        </w:rPr>
        <w:t>The costs of the application for leave to appeal are to be costs in the appeal.</w:t>
      </w:r>
    </w:p>
    <w:p w14:paraId="24533E4C" w14:textId="00104519" w:rsidR="003528AE" w:rsidRPr="00981B0F" w:rsidRDefault="003528AE" w:rsidP="00633A69">
      <w:pPr>
        <w:spacing w:after="0" w:line="240" w:lineRule="auto"/>
        <w:rPr>
          <w:rFonts w:ascii="Arial" w:eastAsia="Times New Roman" w:hAnsi="Arial" w:cs="Arial"/>
          <w:b/>
          <w:sz w:val="24"/>
          <w:szCs w:val="24"/>
          <w:lang w:eastAsia="en-GB"/>
        </w:rPr>
      </w:pPr>
    </w:p>
    <w:p w14:paraId="2889B224" w14:textId="77777777" w:rsidR="003528AE" w:rsidRPr="00981B0F" w:rsidRDefault="003528AE" w:rsidP="003528AE">
      <w:pPr>
        <w:spacing w:after="0" w:line="360" w:lineRule="auto"/>
        <w:jc w:val="both"/>
        <w:rPr>
          <w:rFonts w:ascii="Arial" w:eastAsia="Times New Roman" w:hAnsi="Arial" w:cs="Arial"/>
          <w:sz w:val="24"/>
          <w:szCs w:val="24"/>
          <w:lang w:eastAsia="en-GB"/>
        </w:rPr>
      </w:pPr>
    </w:p>
    <w:p w14:paraId="4578D600" w14:textId="6076200B" w:rsidR="006F66AE" w:rsidRPr="00981B0F" w:rsidRDefault="006F66AE" w:rsidP="00633A69">
      <w:pPr>
        <w:spacing w:after="0" w:line="240" w:lineRule="auto"/>
        <w:rPr>
          <w:rFonts w:ascii="Arial" w:eastAsia="Times New Roman" w:hAnsi="Arial" w:cs="Arial"/>
          <w:b/>
          <w:sz w:val="24"/>
          <w:szCs w:val="24"/>
          <w:lang w:eastAsia="en-GB"/>
        </w:rPr>
      </w:pPr>
    </w:p>
    <w:p w14:paraId="2EB83ABC" w14:textId="7D102261" w:rsidR="00633A69" w:rsidRPr="00981B0F" w:rsidRDefault="00633A69" w:rsidP="00633A69">
      <w:pPr>
        <w:spacing w:after="0" w:line="240" w:lineRule="auto"/>
        <w:rPr>
          <w:rFonts w:ascii="Arial" w:eastAsia="Times New Roman" w:hAnsi="Arial" w:cs="Arial"/>
          <w:b/>
          <w:sz w:val="24"/>
          <w:szCs w:val="24"/>
          <w:lang w:eastAsia="en-GB"/>
        </w:rPr>
      </w:pPr>
    </w:p>
    <w:p w14:paraId="6F03ED7A" w14:textId="77777777" w:rsidR="00633A69" w:rsidRPr="00981B0F" w:rsidRDefault="00633A69" w:rsidP="00633A69">
      <w:pPr>
        <w:spacing w:after="0" w:line="240" w:lineRule="auto"/>
        <w:rPr>
          <w:rFonts w:ascii="Arial" w:eastAsia="Times New Roman" w:hAnsi="Arial" w:cs="Arial"/>
          <w:b/>
          <w:sz w:val="24"/>
          <w:szCs w:val="24"/>
          <w:lang w:eastAsia="en-GB"/>
        </w:rPr>
      </w:pPr>
    </w:p>
    <w:p w14:paraId="47B6AADF" w14:textId="45C603EE" w:rsidR="006F66AE" w:rsidRPr="00981B0F" w:rsidRDefault="006F66AE" w:rsidP="006F66AE">
      <w:pPr>
        <w:spacing w:after="0" w:line="240" w:lineRule="auto"/>
        <w:rPr>
          <w:rFonts w:ascii="Arial" w:eastAsia="Times New Roman" w:hAnsi="Arial" w:cs="Arial"/>
          <w:b/>
          <w:sz w:val="24"/>
          <w:szCs w:val="24"/>
          <w:lang w:eastAsia="en-GB"/>
        </w:rPr>
      </w:pPr>
      <w:r w:rsidRPr="00981B0F">
        <w:rPr>
          <w:rFonts w:ascii="Arial" w:eastAsia="Times New Roman" w:hAnsi="Arial" w:cs="Arial"/>
          <w:b/>
          <w:sz w:val="24"/>
          <w:szCs w:val="24"/>
          <w:lang w:eastAsia="en-GB"/>
        </w:rPr>
        <w:t>___________________________________________________________________</w:t>
      </w:r>
    </w:p>
    <w:p w14:paraId="27F72CB3" w14:textId="77777777" w:rsidR="00515741" w:rsidRDefault="00515741" w:rsidP="00515741">
      <w:pPr>
        <w:spacing w:after="0" w:line="240" w:lineRule="auto"/>
        <w:rPr>
          <w:rFonts w:ascii="Arial" w:hAnsi="Arial" w:cs="Arial"/>
          <w:b/>
          <w:sz w:val="28"/>
          <w:szCs w:val="28"/>
        </w:rPr>
      </w:pPr>
    </w:p>
    <w:p w14:paraId="457375F3" w14:textId="4B69556F" w:rsidR="006F66AE" w:rsidRPr="001A1A6E" w:rsidRDefault="00981B0F" w:rsidP="00515741">
      <w:pPr>
        <w:spacing w:after="0" w:line="360" w:lineRule="auto"/>
        <w:jc w:val="center"/>
        <w:rPr>
          <w:rFonts w:ascii="Arial" w:hAnsi="Arial" w:cs="Arial"/>
          <w:b/>
          <w:sz w:val="24"/>
          <w:szCs w:val="24"/>
        </w:rPr>
      </w:pPr>
      <w:r w:rsidRPr="001A1A6E">
        <w:rPr>
          <w:rFonts w:ascii="Arial" w:hAnsi="Arial" w:cs="Arial"/>
          <w:b/>
          <w:sz w:val="24"/>
          <w:szCs w:val="24"/>
        </w:rPr>
        <w:t>JUDGMENT IN THE APPLICATION FOR LEAVE TO APPEAL</w:t>
      </w:r>
    </w:p>
    <w:p w14:paraId="58918FE9" w14:textId="634ABE4D" w:rsidR="006F66AE" w:rsidRPr="00981B0F" w:rsidRDefault="006F66AE" w:rsidP="006F66AE">
      <w:pPr>
        <w:spacing w:after="0" w:line="240" w:lineRule="auto"/>
        <w:rPr>
          <w:rFonts w:ascii="Arial" w:eastAsia="Times New Roman" w:hAnsi="Arial" w:cs="Arial"/>
          <w:b/>
          <w:sz w:val="24"/>
          <w:szCs w:val="24"/>
          <w:lang w:eastAsia="en-GB"/>
        </w:rPr>
      </w:pPr>
      <w:r w:rsidRPr="00981B0F">
        <w:rPr>
          <w:rFonts w:ascii="Arial" w:eastAsia="Times New Roman" w:hAnsi="Arial" w:cs="Arial"/>
          <w:b/>
          <w:sz w:val="24"/>
          <w:szCs w:val="24"/>
          <w:lang w:eastAsia="en-GB"/>
        </w:rPr>
        <w:t>___________________________________________________________________</w:t>
      </w:r>
    </w:p>
    <w:p w14:paraId="7CAC67A2" w14:textId="22FF5E11" w:rsidR="006F66AE" w:rsidRPr="00981B0F" w:rsidRDefault="006F66AE" w:rsidP="00515741">
      <w:pPr>
        <w:spacing w:after="0" w:line="240" w:lineRule="auto"/>
        <w:rPr>
          <w:rFonts w:ascii="Arial" w:eastAsia="Times New Roman" w:hAnsi="Arial" w:cs="Arial"/>
          <w:sz w:val="24"/>
          <w:szCs w:val="24"/>
          <w:lang w:eastAsia="en-GB"/>
        </w:rPr>
      </w:pP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r w:rsidRPr="00981B0F">
        <w:rPr>
          <w:rFonts w:ascii="Arial" w:eastAsia="Times New Roman" w:hAnsi="Arial" w:cs="Arial"/>
          <w:b/>
          <w:sz w:val="24"/>
          <w:szCs w:val="24"/>
          <w:lang w:eastAsia="en-GB"/>
        </w:rPr>
        <w:tab/>
      </w:r>
    </w:p>
    <w:p w14:paraId="19A2A375" w14:textId="39C86461" w:rsidR="008F7494" w:rsidRPr="00981B0F" w:rsidRDefault="006F66AE" w:rsidP="00633A69">
      <w:pPr>
        <w:spacing w:line="360" w:lineRule="auto"/>
        <w:jc w:val="both"/>
        <w:rPr>
          <w:rFonts w:ascii="Arial" w:hAnsi="Arial" w:cs="Arial"/>
          <w:b/>
          <w:sz w:val="24"/>
          <w:szCs w:val="24"/>
        </w:rPr>
      </w:pPr>
      <w:r w:rsidRPr="00981B0F">
        <w:rPr>
          <w:rFonts w:ascii="Arial" w:hAnsi="Arial" w:cs="Arial"/>
          <w:b/>
          <w:sz w:val="24"/>
          <w:szCs w:val="24"/>
        </w:rPr>
        <w:t xml:space="preserve">Mathenjwa AJ </w:t>
      </w:r>
    </w:p>
    <w:p w14:paraId="322E307B" w14:textId="7B15EF25" w:rsidR="00FF4CA7" w:rsidRPr="00981B0F" w:rsidRDefault="008567D1" w:rsidP="00FF4CA7">
      <w:pPr>
        <w:spacing w:after="0" w:line="360" w:lineRule="auto"/>
        <w:jc w:val="both"/>
        <w:rPr>
          <w:rFonts w:ascii="Arial" w:hAnsi="Arial" w:cs="Arial"/>
          <w:sz w:val="24"/>
          <w:szCs w:val="24"/>
        </w:rPr>
      </w:pPr>
      <w:r w:rsidRPr="00981B0F">
        <w:rPr>
          <w:rFonts w:ascii="Arial" w:hAnsi="Arial" w:cs="Arial"/>
          <w:sz w:val="24"/>
          <w:szCs w:val="24"/>
        </w:rPr>
        <w:t>[1]</w:t>
      </w:r>
      <w:r w:rsidRPr="00981B0F">
        <w:rPr>
          <w:rFonts w:ascii="Arial" w:hAnsi="Arial" w:cs="Arial"/>
          <w:sz w:val="24"/>
          <w:szCs w:val="24"/>
        </w:rPr>
        <w:tab/>
      </w:r>
      <w:r w:rsidR="00665535">
        <w:rPr>
          <w:rFonts w:ascii="Arial" w:hAnsi="Arial" w:cs="Arial"/>
          <w:sz w:val="24"/>
          <w:szCs w:val="24"/>
        </w:rPr>
        <w:t xml:space="preserve">This is an application for leave to appeal to the full court of this division  against the judgment delivered on 22 August 2022. </w:t>
      </w:r>
    </w:p>
    <w:p w14:paraId="3106AD96" w14:textId="77777777" w:rsidR="00FF4CA7" w:rsidRPr="00981B0F" w:rsidRDefault="00FF4CA7" w:rsidP="00FF4CA7">
      <w:pPr>
        <w:pStyle w:val="ListParagraph"/>
        <w:spacing w:after="0" w:line="360" w:lineRule="auto"/>
        <w:jc w:val="both"/>
        <w:rPr>
          <w:rFonts w:ascii="Arial" w:hAnsi="Arial" w:cs="Arial"/>
          <w:sz w:val="24"/>
          <w:szCs w:val="24"/>
        </w:rPr>
      </w:pPr>
    </w:p>
    <w:p w14:paraId="683E113B" w14:textId="40CBF3CD" w:rsidR="00FF4CA7" w:rsidRPr="00981B0F" w:rsidRDefault="00FF4CA7" w:rsidP="00FF4CA7">
      <w:pPr>
        <w:spacing w:after="0" w:line="360" w:lineRule="auto"/>
        <w:jc w:val="both"/>
        <w:rPr>
          <w:rFonts w:ascii="Arial" w:hAnsi="Arial" w:cs="Arial"/>
          <w:sz w:val="24"/>
          <w:szCs w:val="24"/>
        </w:rPr>
      </w:pPr>
      <w:r w:rsidRPr="00981B0F">
        <w:rPr>
          <w:rFonts w:ascii="Arial" w:hAnsi="Arial" w:cs="Arial"/>
          <w:sz w:val="24"/>
          <w:szCs w:val="24"/>
        </w:rPr>
        <w:t>[</w:t>
      </w:r>
      <w:r w:rsidR="008567D1" w:rsidRPr="00981B0F">
        <w:rPr>
          <w:rFonts w:ascii="Arial" w:hAnsi="Arial" w:cs="Arial"/>
          <w:sz w:val="24"/>
          <w:szCs w:val="24"/>
        </w:rPr>
        <w:t>2</w:t>
      </w:r>
      <w:r w:rsidRPr="00981B0F">
        <w:rPr>
          <w:rFonts w:ascii="Arial" w:hAnsi="Arial" w:cs="Arial"/>
          <w:sz w:val="24"/>
          <w:szCs w:val="24"/>
        </w:rPr>
        <w:t>]</w:t>
      </w:r>
      <w:r w:rsidRPr="00981B0F">
        <w:rPr>
          <w:rFonts w:ascii="Arial" w:hAnsi="Arial" w:cs="Arial"/>
          <w:sz w:val="24"/>
          <w:szCs w:val="24"/>
        </w:rPr>
        <w:tab/>
      </w:r>
      <w:r w:rsidR="005869E0" w:rsidRPr="00981B0F">
        <w:rPr>
          <w:rFonts w:ascii="Arial" w:hAnsi="Arial" w:cs="Arial"/>
          <w:sz w:val="24"/>
          <w:szCs w:val="24"/>
        </w:rPr>
        <w:t>S</w:t>
      </w:r>
      <w:r w:rsidRPr="00981B0F">
        <w:rPr>
          <w:rFonts w:ascii="Arial" w:hAnsi="Arial" w:cs="Arial"/>
          <w:sz w:val="24"/>
          <w:szCs w:val="24"/>
        </w:rPr>
        <w:t>ection 17(1) of the Superior Courts Act 10 of 2013 provides that:</w:t>
      </w:r>
    </w:p>
    <w:p w14:paraId="3027F80D" w14:textId="77777777" w:rsidR="00FF4CA7" w:rsidRPr="00981B0F" w:rsidRDefault="00FF4CA7" w:rsidP="00FF4CA7">
      <w:pPr>
        <w:spacing w:after="0" w:line="360" w:lineRule="auto"/>
        <w:jc w:val="both"/>
        <w:rPr>
          <w:rFonts w:ascii="Arial" w:hAnsi="Arial" w:cs="Arial"/>
        </w:rPr>
      </w:pPr>
      <w:r w:rsidRPr="00981B0F">
        <w:rPr>
          <w:rFonts w:ascii="Arial" w:hAnsi="Arial" w:cs="Arial"/>
        </w:rPr>
        <w:t>‘Leave to appeal may only be given where the judge or judges concerned are of the opinion that—</w:t>
      </w:r>
    </w:p>
    <w:p w14:paraId="0863C89E" w14:textId="77777777" w:rsidR="00FF4CA7" w:rsidRPr="00981B0F" w:rsidRDefault="00FF4CA7" w:rsidP="00FF4CA7">
      <w:pPr>
        <w:spacing w:after="0" w:line="360" w:lineRule="auto"/>
        <w:jc w:val="both"/>
        <w:rPr>
          <w:rFonts w:ascii="Arial" w:hAnsi="Arial" w:cs="Arial"/>
        </w:rPr>
      </w:pPr>
      <w:r w:rsidRPr="00981B0F">
        <w:rPr>
          <w:rFonts w:ascii="Arial" w:hAnsi="Arial" w:cs="Arial"/>
          <w:i/>
          <w:iCs/>
        </w:rPr>
        <w:t>(a)</w:t>
      </w:r>
      <w:r w:rsidRPr="00981B0F">
        <w:rPr>
          <w:rFonts w:ascii="Arial" w:hAnsi="Arial" w:cs="Arial"/>
        </w:rPr>
        <w:t xml:space="preserve"> </w:t>
      </w:r>
      <w:r w:rsidRPr="00981B0F">
        <w:rPr>
          <w:rFonts w:ascii="Arial" w:hAnsi="Arial" w:cs="Arial"/>
        </w:rPr>
        <w:tab/>
        <w:t xml:space="preserve">(i) </w:t>
      </w:r>
      <w:r w:rsidRPr="00981B0F">
        <w:rPr>
          <w:rFonts w:ascii="Arial" w:hAnsi="Arial" w:cs="Arial"/>
        </w:rPr>
        <w:tab/>
        <w:t>the appeal would have a reasonable prospect of success; or</w:t>
      </w:r>
    </w:p>
    <w:p w14:paraId="77140A38" w14:textId="77777777" w:rsidR="00FF4CA7" w:rsidRPr="00981B0F" w:rsidRDefault="00FF4CA7" w:rsidP="00FF4CA7">
      <w:pPr>
        <w:spacing w:after="0" w:line="360" w:lineRule="auto"/>
        <w:ind w:left="1440" w:hanging="720"/>
        <w:jc w:val="both"/>
        <w:rPr>
          <w:rFonts w:ascii="Arial" w:hAnsi="Arial" w:cs="Arial"/>
        </w:rPr>
      </w:pPr>
      <w:r w:rsidRPr="00981B0F">
        <w:rPr>
          <w:rFonts w:ascii="Arial" w:hAnsi="Arial" w:cs="Arial"/>
        </w:rPr>
        <w:t xml:space="preserve">(ii) </w:t>
      </w:r>
      <w:r w:rsidRPr="00981B0F">
        <w:rPr>
          <w:rFonts w:ascii="Arial" w:hAnsi="Arial" w:cs="Arial"/>
        </w:rPr>
        <w:tab/>
        <w:t>there is some other compelling reason why the appeal should be heard, including conflicting judgments on the matter under consideration;</w:t>
      </w:r>
    </w:p>
    <w:p w14:paraId="56D908B8" w14:textId="77777777" w:rsidR="00FF4CA7" w:rsidRPr="00981B0F" w:rsidRDefault="00FF4CA7" w:rsidP="00FF4CA7">
      <w:pPr>
        <w:spacing w:after="0" w:line="360" w:lineRule="auto"/>
        <w:jc w:val="both"/>
        <w:rPr>
          <w:rFonts w:ascii="Arial" w:hAnsi="Arial" w:cs="Arial"/>
        </w:rPr>
      </w:pPr>
      <w:r w:rsidRPr="00981B0F">
        <w:rPr>
          <w:rFonts w:ascii="Arial" w:hAnsi="Arial" w:cs="Arial"/>
          <w:i/>
          <w:iCs/>
        </w:rPr>
        <w:t>(b)</w:t>
      </w:r>
      <w:r w:rsidRPr="00981B0F">
        <w:rPr>
          <w:rFonts w:ascii="Arial" w:hAnsi="Arial" w:cs="Arial"/>
        </w:rPr>
        <w:t xml:space="preserve"> </w:t>
      </w:r>
      <w:r w:rsidRPr="00981B0F">
        <w:rPr>
          <w:rFonts w:ascii="Arial" w:hAnsi="Arial" w:cs="Arial"/>
        </w:rPr>
        <w:tab/>
        <w:t>the decision sought on appeal does not fall within the ambit of section 16(2)</w:t>
      </w:r>
      <w:r w:rsidRPr="00981B0F">
        <w:rPr>
          <w:rFonts w:ascii="Arial" w:hAnsi="Arial" w:cs="Arial"/>
          <w:i/>
          <w:iCs/>
        </w:rPr>
        <w:t>(a)</w:t>
      </w:r>
      <w:r w:rsidRPr="00981B0F">
        <w:rPr>
          <w:rFonts w:ascii="Arial" w:hAnsi="Arial" w:cs="Arial"/>
        </w:rPr>
        <w:t>; and</w:t>
      </w:r>
    </w:p>
    <w:p w14:paraId="5F3056C7" w14:textId="77777777" w:rsidR="00FF4CA7" w:rsidRPr="00981B0F" w:rsidRDefault="00FF4CA7" w:rsidP="00FF4CA7">
      <w:pPr>
        <w:spacing w:after="0" w:line="360" w:lineRule="auto"/>
        <w:jc w:val="both"/>
        <w:rPr>
          <w:rFonts w:ascii="Arial" w:hAnsi="Arial" w:cs="Arial"/>
        </w:rPr>
      </w:pPr>
      <w:r w:rsidRPr="00981B0F">
        <w:rPr>
          <w:rFonts w:ascii="Arial" w:hAnsi="Arial" w:cs="Arial"/>
          <w:i/>
          <w:iCs/>
        </w:rPr>
        <w:t>(c)</w:t>
      </w:r>
      <w:r w:rsidRPr="00981B0F">
        <w:rPr>
          <w:rFonts w:ascii="Arial" w:hAnsi="Arial" w:cs="Arial"/>
        </w:rPr>
        <w:t xml:space="preserve"> </w:t>
      </w:r>
      <w:r w:rsidRPr="00981B0F">
        <w:rPr>
          <w:rFonts w:ascii="Arial" w:hAnsi="Arial" w:cs="Arial"/>
        </w:rPr>
        <w:tab/>
        <w:t>where the decision sought to be appealed does not dispose of all the issues in the case, the appeal would lead to a just and prompt resolution of the real issues between the parties.’</w:t>
      </w:r>
    </w:p>
    <w:p w14:paraId="67BF1F1D" w14:textId="77777777" w:rsidR="00A235C5" w:rsidRPr="00981B0F" w:rsidRDefault="00A235C5" w:rsidP="00FF4CA7">
      <w:pPr>
        <w:spacing w:after="0" w:line="360" w:lineRule="auto"/>
        <w:jc w:val="both"/>
        <w:rPr>
          <w:rFonts w:ascii="Arial" w:hAnsi="Arial" w:cs="Arial"/>
          <w:sz w:val="24"/>
          <w:szCs w:val="24"/>
        </w:rPr>
      </w:pPr>
    </w:p>
    <w:p w14:paraId="6A90D236" w14:textId="06AAF212" w:rsidR="00FF4CA7" w:rsidRPr="00981B0F" w:rsidRDefault="00665535" w:rsidP="00FF4CA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F4CA7" w:rsidRPr="00981B0F">
        <w:rPr>
          <w:rFonts w:ascii="Arial" w:hAnsi="Arial" w:cs="Arial"/>
          <w:sz w:val="24"/>
          <w:szCs w:val="24"/>
        </w:rPr>
        <w:t>The Supreme Court of Appeal had the opportunity to consider what constitute</w:t>
      </w:r>
      <w:r w:rsidR="00F63047">
        <w:rPr>
          <w:rFonts w:ascii="Arial" w:hAnsi="Arial" w:cs="Arial"/>
          <w:sz w:val="24"/>
          <w:szCs w:val="24"/>
        </w:rPr>
        <w:t>s</w:t>
      </w:r>
      <w:r w:rsidR="00FF4CA7" w:rsidRPr="00981B0F">
        <w:rPr>
          <w:rFonts w:ascii="Arial" w:hAnsi="Arial" w:cs="Arial"/>
          <w:sz w:val="24"/>
          <w:szCs w:val="24"/>
        </w:rPr>
        <w:t xml:space="preserve"> reasonable prospect of success in </w:t>
      </w:r>
      <w:r w:rsidR="00FF4CA7" w:rsidRPr="00981B0F">
        <w:rPr>
          <w:rFonts w:ascii="Arial" w:hAnsi="Arial" w:cs="Arial"/>
          <w:i/>
          <w:sz w:val="24"/>
          <w:szCs w:val="24"/>
        </w:rPr>
        <w:t>S v Smith</w:t>
      </w:r>
      <w:r w:rsidR="00FF4CA7" w:rsidRPr="00981B0F">
        <w:rPr>
          <w:rFonts w:ascii="Arial" w:hAnsi="Arial" w:cs="Arial"/>
          <w:iCs/>
          <w:sz w:val="24"/>
          <w:szCs w:val="24"/>
        </w:rPr>
        <w:t>,</w:t>
      </w:r>
      <w:r w:rsidR="00FF4CA7" w:rsidRPr="00981B0F">
        <w:rPr>
          <w:rStyle w:val="FootnoteReference"/>
          <w:rFonts w:ascii="Arial" w:hAnsi="Arial" w:cs="Arial"/>
          <w:sz w:val="24"/>
          <w:szCs w:val="24"/>
        </w:rPr>
        <w:footnoteReference w:id="1"/>
      </w:r>
      <w:r w:rsidR="00FF4CA7" w:rsidRPr="00981B0F">
        <w:rPr>
          <w:rFonts w:ascii="Arial" w:hAnsi="Arial" w:cs="Arial"/>
          <w:sz w:val="24"/>
          <w:szCs w:val="24"/>
        </w:rPr>
        <w:t xml:space="preserve"> where Plasket AJA held that:</w:t>
      </w:r>
    </w:p>
    <w:p w14:paraId="50DD60B2" w14:textId="4A04448C" w:rsidR="00FF4CA7" w:rsidRPr="002E7B35" w:rsidRDefault="00FF4CA7" w:rsidP="00FF4CA7">
      <w:pPr>
        <w:spacing w:after="0" w:line="360" w:lineRule="auto"/>
        <w:jc w:val="both"/>
        <w:rPr>
          <w:rFonts w:ascii="Arial" w:hAnsi="Arial" w:cs="Arial"/>
          <w:sz w:val="24"/>
        </w:rPr>
      </w:pPr>
      <w:r w:rsidRPr="00981B0F">
        <w:rPr>
          <w:rFonts w:ascii="Arial" w:hAnsi="Arial" w:cs="Arial"/>
        </w:rPr>
        <w:t>‘What the test of reasonable prospects of success postulates is a dispassionate decision, based on the facts and the law</w:t>
      </w:r>
      <w:r w:rsidR="002E7B35">
        <w:rPr>
          <w:rFonts w:ascii="Arial" w:hAnsi="Arial" w:cs="Arial"/>
        </w:rPr>
        <w:t xml:space="preserve">, </w:t>
      </w:r>
      <w:r w:rsidRPr="00981B0F">
        <w:rPr>
          <w:rFonts w:ascii="Arial" w:hAnsi="Arial" w:cs="Arial"/>
        </w:rPr>
        <w:t xml:space="preserve">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 </w:t>
      </w:r>
      <w:r w:rsidR="002E7B35">
        <w:rPr>
          <w:rFonts w:ascii="Arial" w:hAnsi="Arial" w:cs="Arial"/>
        </w:rPr>
        <w:t xml:space="preserve">(Footnotes omitted.) </w:t>
      </w:r>
    </w:p>
    <w:p w14:paraId="2A3D3763" w14:textId="098294DB" w:rsidR="009A5CB4" w:rsidRPr="00981B0F" w:rsidRDefault="009A5CB4" w:rsidP="00FF4CA7">
      <w:pPr>
        <w:spacing w:after="0" w:line="360" w:lineRule="auto"/>
        <w:jc w:val="both"/>
        <w:rPr>
          <w:rFonts w:ascii="Arial" w:hAnsi="Arial" w:cs="Arial"/>
          <w:sz w:val="24"/>
          <w:szCs w:val="24"/>
        </w:rPr>
      </w:pPr>
    </w:p>
    <w:p w14:paraId="76EA3515" w14:textId="6BE61728" w:rsidR="00A14D42" w:rsidRPr="00981B0F" w:rsidRDefault="009A5CB4" w:rsidP="00F33A4A">
      <w:pPr>
        <w:tabs>
          <w:tab w:val="left" w:pos="567"/>
        </w:tabs>
        <w:spacing w:line="360" w:lineRule="auto"/>
        <w:jc w:val="both"/>
        <w:rPr>
          <w:rFonts w:ascii="Arial" w:hAnsi="Arial" w:cs="Arial"/>
          <w:bCs/>
          <w:sz w:val="24"/>
          <w:szCs w:val="24"/>
        </w:rPr>
      </w:pPr>
      <w:r w:rsidRPr="00981B0F">
        <w:rPr>
          <w:rFonts w:ascii="Arial" w:hAnsi="Arial" w:cs="Arial"/>
          <w:sz w:val="24"/>
          <w:szCs w:val="24"/>
        </w:rPr>
        <w:lastRenderedPageBreak/>
        <w:t>[</w:t>
      </w:r>
      <w:r w:rsidR="00665535">
        <w:rPr>
          <w:rFonts w:ascii="Arial" w:hAnsi="Arial" w:cs="Arial"/>
          <w:sz w:val="24"/>
          <w:szCs w:val="24"/>
        </w:rPr>
        <w:t>4</w:t>
      </w:r>
      <w:r w:rsidRPr="00981B0F">
        <w:rPr>
          <w:rFonts w:ascii="Arial" w:hAnsi="Arial" w:cs="Arial"/>
          <w:sz w:val="24"/>
          <w:szCs w:val="24"/>
        </w:rPr>
        <w:t>]</w:t>
      </w:r>
      <w:r w:rsidR="00F33A4A">
        <w:rPr>
          <w:rFonts w:ascii="Arial" w:hAnsi="Arial" w:cs="Arial"/>
          <w:sz w:val="24"/>
          <w:szCs w:val="24"/>
        </w:rPr>
        <w:tab/>
      </w:r>
      <w:r w:rsidRPr="00981B0F">
        <w:rPr>
          <w:rFonts w:ascii="Arial" w:hAnsi="Arial" w:cs="Arial"/>
          <w:sz w:val="24"/>
          <w:szCs w:val="24"/>
        </w:rPr>
        <w:t xml:space="preserve">The grounds for leave to appeal are to a large extent </w:t>
      </w:r>
      <w:r w:rsidR="005E414B" w:rsidRPr="00981B0F">
        <w:rPr>
          <w:rFonts w:ascii="Arial" w:hAnsi="Arial" w:cs="Arial"/>
          <w:sz w:val="24"/>
          <w:szCs w:val="24"/>
        </w:rPr>
        <w:t xml:space="preserve">based on </w:t>
      </w:r>
      <w:r w:rsidRPr="00981B0F">
        <w:rPr>
          <w:rFonts w:ascii="Arial" w:hAnsi="Arial" w:cs="Arial"/>
          <w:sz w:val="24"/>
          <w:szCs w:val="24"/>
        </w:rPr>
        <w:t>new issues that were not raised and ventilated at the hearing of th</w:t>
      </w:r>
      <w:r w:rsidR="00710E13">
        <w:rPr>
          <w:rFonts w:ascii="Arial" w:hAnsi="Arial" w:cs="Arial"/>
          <w:sz w:val="24"/>
          <w:szCs w:val="24"/>
        </w:rPr>
        <w:t>e</w:t>
      </w:r>
      <w:r w:rsidRPr="00981B0F">
        <w:rPr>
          <w:rFonts w:ascii="Arial" w:hAnsi="Arial" w:cs="Arial"/>
          <w:sz w:val="24"/>
          <w:szCs w:val="24"/>
        </w:rPr>
        <w:t xml:space="preserve"> matter. </w:t>
      </w:r>
      <w:r w:rsidR="00F27106" w:rsidRPr="00981B0F">
        <w:rPr>
          <w:rFonts w:ascii="Arial" w:hAnsi="Arial" w:cs="Arial"/>
          <w:sz w:val="24"/>
          <w:szCs w:val="24"/>
        </w:rPr>
        <w:t xml:space="preserve">For this </w:t>
      </w:r>
      <w:r w:rsidR="00710E13" w:rsidRPr="00981B0F">
        <w:rPr>
          <w:rFonts w:ascii="Arial" w:hAnsi="Arial" w:cs="Arial"/>
          <w:sz w:val="24"/>
          <w:szCs w:val="24"/>
        </w:rPr>
        <w:t>reason,</w:t>
      </w:r>
      <w:r w:rsidR="00F27106" w:rsidRPr="00981B0F">
        <w:rPr>
          <w:rFonts w:ascii="Arial" w:hAnsi="Arial" w:cs="Arial"/>
          <w:sz w:val="24"/>
          <w:szCs w:val="24"/>
        </w:rPr>
        <w:t xml:space="preserve"> </w:t>
      </w:r>
      <w:r w:rsidR="005E414B" w:rsidRPr="00981B0F">
        <w:rPr>
          <w:rFonts w:ascii="Arial" w:hAnsi="Arial" w:cs="Arial"/>
          <w:sz w:val="24"/>
          <w:szCs w:val="24"/>
        </w:rPr>
        <w:t>it is appropriate to</w:t>
      </w:r>
      <w:r w:rsidR="00F27106" w:rsidRPr="00981B0F">
        <w:rPr>
          <w:rFonts w:ascii="Arial" w:hAnsi="Arial" w:cs="Arial"/>
          <w:sz w:val="24"/>
          <w:szCs w:val="24"/>
        </w:rPr>
        <w:t xml:space="preserve"> briefly state the applicant’s case </w:t>
      </w:r>
      <w:r w:rsidR="00F27106" w:rsidRPr="00981B0F">
        <w:rPr>
          <w:rFonts w:ascii="Arial" w:hAnsi="Arial" w:cs="Arial"/>
          <w:bCs/>
          <w:sz w:val="24"/>
          <w:szCs w:val="24"/>
        </w:rPr>
        <w:t xml:space="preserve">as presented in </w:t>
      </w:r>
      <w:r w:rsidR="005E414B" w:rsidRPr="00981B0F">
        <w:rPr>
          <w:rFonts w:ascii="Arial" w:hAnsi="Arial" w:cs="Arial"/>
          <w:bCs/>
          <w:sz w:val="24"/>
          <w:szCs w:val="24"/>
        </w:rPr>
        <w:t>its</w:t>
      </w:r>
      <w:r w:rsidR="00F27106" w:rsidRPr="00981B0F">
        <w:rPr>
          <w:rFonts w:ascii="Arial" w:hAnsi="Arial" w:cs="Arial"/>
          <w:bCs/>
          <w:sz w:val="24"/>
          <w:szCs w:val="24"/>
        </w:rPr>
        <w:t xml:space="preserve"> founding papers and argument at the hearing of the matter. The applicant contended that </w:t>
      </w:r>
      <w:r w:rsidR="005E414B" w:rsidRPr="00981B0F">
        <w:rPr>
          <w:rFonts w:ascii="Arial" w:hAnsi="Arial" w:cs="Arial"/>
          <w:bCs/>
          <w:sz w:val="24"/>
          <w:szCs w:val="24"/>
        </w:rPr>
        <w:t>it</w:t>
      </w:r>
      <w:r w:rsidR="00F27106" w:rsidRPr="00981B0F">
        <w:rPr>
          <w:rFonts w:ascii="Arial" w:hAnsi="Arial" w:cs="Arial"/>
          <w:bCs/>
          <w:sz w:val="24"/>
          <w:szCs w:val="24"/>
        </w:rPr>
        <w:t xml:space="preserve"> w</w:t>
      </w:r>
      <w:r w:rsidR="005E414B" w:rsidRPr="00981B0F">
        <w:rPr>
          <w:rFonts w:ascii="Arial" w:hAnsi="Arial" w:cs="Arial"/>
          <w:bCs/>
          <w:sz w:val="24"/>
          <w:szCs w:val="24"/>
        </w:rPr>
        <w:t>as</w:t>
      </w:r>
      <w:r w:rsidR="00F27106" w:rsidRPr="00981B0F">
        <w:rPr>
          <w:rFonts w:ascii="Arial" w:hAnsi="Arial" w:cs="Arial"/>
          <w:bCs/>
          <w:sz w:val="24"/>
          <w:szCs w:val="24"/>
        </w:rPr>
        <w:t xml:space="preserve"> billed on the incorrect tariff with respect to </w:t>
      </w:r>
      <w:r w:rsidR="005E414B" w:rsidRPr="00981B0F">
        <w:rPr>
          <w:rFonts w:ascii="Arial" w:hAnsi="Arial" w:cs="Arial"/>
          <w:bCs/>
          <w:sz w:val="24"/>
          <w:szCs w:val="24"/>
        </w:rPr>
        <w:t>its</w:t>
      </w:r>
      <w:r w:rsidR="00F27106" w:rsidRPr="00981B0F">
        <w:rPr>
          <w:rFonts w:ascii="Arial" w:hAnsi="Arial" w:cs="Arial"/>
          <w:bCs/>
          <w:sz w:val="24"/>
          <w:szCs w:val="24"/>
        </w:rPr>
        <w:t xml:space="preserve"> water consumption in that the respondent had charged</w:t>
      </w:r>
      <w:r w:rsidR="005E414B" w:rsidRPr="00981B0F">
        <w:rPr>
          <w:rFonts w:ascii="Arial" w:hAnsi="Arial" w:cs="Arial"/>
          <w:bCs/>
          <w:sz w:val="24"/>
          <w:szCs w:val="24"/>
        </w:rPr>
        <w:t xml:space="preserve"> </w:t>
      </w:r>
      <w:r w:rsidR="00F27106" w:rsidRPr="00981B0F">
        <w:rPr>
          <w:rFonts w:ascii="Arial" w:hAnsi="Arial" w:cs="Arial"/>
          <w:bCs/>
          <w:sz w:val="24"/>
          <w:szCs w:val="24"/>
        </w:rPr>
        <w:t xml:space="preserve">for the total consumption of water used by the applicant without regard to the </w:t>
      </w:r>
      <w:r w:rsidR="00332D5F">
        <w:rPr>
          <w:rFonts w:ascii="Arial" w:hAnsi="Arial" w:cs="Arial"/>
          <w:bCs/>
          <w:sz w:val="24"/>
          <w:szCs w:val="24"/>
        </w:rPr>
        <w:t xml:space="preserve">fact </w:t>
      </w:r>
      <w:r w:rsidR="00F27106" w:rsidRPr="00981B0F">
        <w:rPr>
          <w:rFonts w:ascii="Arial" w:hAnsi="Arial" w:cs="Arial"/>
          <w:bCs/>
          <w:sz w:val="24"/>
          <w:szCs w:val="24"/>
        </w:rPr>
        <w:t xml:space="preserve">that such water is being consumed by a single household. The reading on the bulk meter, </w:t>
      </w:r>
      <w:r w:rsidR="007B494C">
        <w:rPr>
          <w:rFonts w:ascii="Arial" w:hAnsi="Arial" w:cs="Arial"/>
          <w:bCs/>
          <w:sz w:val="24"/>
          <w:szCs w:val="24"/>
        </w:rPr>
        <w:t xml:space="preserve">so </w:t>
      </w:r>
      <w:r w:rsidR="00F27106" w:rsidRPr="00981B0F">
        <w:rPr>
          <w:rFonts w:ascii="Arial" w:hAnsi="Arial" w:cs="Arial"/>
          <w:bCs/>
          <w:sz w:val="24"/>
          <w:szCs w:val="24"/>
        </w:rPr>
        <w:t>the argument went, which is owing by the applicant as a whole was being incorrectly attributed as a whole to each individual owner of the units comprising the applicant.</w:t>
      </w:r>
      <w:r w:rsidR="00A14D42" w:rsidRPr="00981B0F">
        <w:rPr>
          <w:rFonts w:ascii="Arial" w:hAnsi="Arial" w:cs="Arial"/>
          <w:bCs/>
          <w:sz w:val="24"/>
          <w:szCs w:val="24"/>
        </w:rPr>
        <w:t xml:space="preserve"> </w:t>
      </w:r>
      <w:r w:rsidR="005E414B" w:rsidRPr="00981B0F">
        <w:rPr>
          <w:rFonts w:ascii="Arial" w:hAnsi="Arial" w:cs="Arial"/>
          <w:bCs/>
          <w:sz w:val="24"/>
          <w:szCs w:val="24"/>
        </w:rPr>
        <w:t xml:space="preserve">The applicant referred to the following provisions of the policy </w:t>
      </w:r>
      <w:r w:rsidR="00710E13" w:rsidRPr="00981B0F">
        <w:rPr>
          <w:rFonts w:ascii="Arial" w:hAnsi="Arial" w:cs="Arial"/>
          <w:bCs/>
          <w:sz w:val="24"/>
          <w:szCs w:val="24"/>
        </w:rPr>
        <w:t>in</w:t>
      </w:r>
      <w:r w:rsidR="00A14D42" w:rsidRPr="00981B0F">
        <w:rPr>
          <w:rFonts w:ascii="Arial" w:hAnsi="Arial" w:cs="Arial"/>
          <w:bCs/>
          <w:sz w:val="24"/>
          <w:szCs w:val="24"/>
        </w:rPr>
        <w:t xml:space="preserve"> paragraph 5 of </w:t>
      </w:r>
      <w:r w:rsidR="005E414B" w:rsidRPr="00981B0F">
        <w:rPr>
          <w:rFonts w:ascii="Arial" w:hAnsi="Arial" w:cs="Arial"/>
          <w:bCs/>
          <w:sz w:val="24"/>
          <w:szCs w:val="24"/>
        </w:rPr>
        <w:t>its</w:t>
      </w:r>
      <w:r w:rsidR="00A14D42" w:rsidRPr="00981B0F">
        <w:rPr>
          <w:rFonts w:ascii="Arial" w:hAnsi="Arial" w:cs="Arial"/>
          <w:bCs/>
          <w:sz w:val="24"/>
          <w:szCs w:val="24"/>
        </w:rPr>
        <w:t xml:space="preserve"> heads of argument</w:t>
      </w:r>
      <w:r w:rsidR="005E414B" w:rsidRPr="00981B0F">
        <w:rPr>
          <w:rFonts w:ascii="Arial" w:hAnsi="Arial" w:cs="Arial"/>
          <w:bCs/>
          <w:sz w:val="24"/>
          <w:szCs w:val="24"/>
        </w:rPr>
        <w:t>:</w:t>
      </w:r>
    </w:p>
    <w:p w14:paraId="12036D6E" w14:textId="51A33651" w:rsidR="00A14D42" w:rsidRPr="00981B0F" w:rsidRDefault="00A14D42" w:rsidP="00A14D42">
      <w:pPr>
        <w:spacing w:line="360" w:lineRule="auto"/>
        <w:jc w:val="both"/>
        <w:rPr>
          <w:rFonts w:ascii="Arial" w:hAnsi="Arial" w:cs="Arial"/>
          <w:bCs/>
        </w:rPr>
      </w:pPr>
      <w:r w:rsidRPr="00981B0F">
        <w:rPr>
          <w:rFonts w:ascii="Arial" w:hAnsi="Arial" w:cs="Arial"/>
          <w:bCs/>
        </w:rPr>
        <w:t xml:space="preserve">‘5.1 clause 2.4.2 of the </w:t>
      </w:r>
      <w:r w:rsidR="00710E13" w:rsidRPr="00981B0F">
        <w:rPr>
          <w:rFonts w:ascii="Arial" w:hAnsi="Arial" w:cs="Arial"/>
          <w:bCs/>
        </w:rPr>
        <w:t>respondents’</w:t>
      </w:r>
      <w:r w:rsidRPr="00981B0F">
        <w:rPr>
          <w:rFonts w:ascii="Arial" w:hAnsi="Arial" w:cs="Arial"/>
          <w:bCs/>
        </w:rPr>
        <w:t xml:space="preserve"> water policy recognises sectional title development as being representative of individual units;</w:t>
      </w:r>
    </w:p>
    <w:p w14:paraId="2889BFBF" w14:textId="77777777" w:rsidR="00A14D42" w:rsidRPr="00981B0F" w:rsidRDefault="00A14D42" w:rsidP="00A14D42">
      <w:pPr>
        <w:spacing w:line="360" w:lineRule="auto"/>
        <w:jc w:val="both"/>
        <w:rPr>
          <w:rFonts w:ascii="Arial" w:hAnsi="Arial" w:cs="Arial"/>
          <w:bCs/>
        </w:rPr>
      </w:pPr>
      <w:r w:rsidRPr="00981B0F">
        <w:rPr>
          <w:rFonts w:ascii="Arial" w:hAnsi="Arial" w:cs="Arial"/>
          <w:bCs/>
        </w:rPr>
        <w:t>5.2 clause 2.4.4 of the policy provides for the option of installation of a bulk, or individual meters;</w:t>
      </w:r>
    </w:p>
    <w:p w14:paraId="478DD15C" w14:textId="608D7DF3" w:rsidR="00A14D42" w:rsidRPr="00981B0F" w:rsidRDefault="00A14D42" w:rsidP="00A14D42">
      <w:pPr>
        <w:spacing w:line="360" w:lineRule="auto"/>
        <w:jc w:val="both"/>
        <w:rPr>
          <w:rFonts w:ascii="Arial" w:hAnsi="Arial" w:cs="Arial"/>
          <w:bCs/>
        </w:rPr>
      </w:pPr>
      <w:r w:rsidRPr="00981B0F">
        <w:rPr>
          <w:rFonts w:ascii="Arial" w:hAnsi="Arial" w:cs="Arial"/>
          <w:bCs/>
        </w:rPr>
        <w:t>5.3 in either unit with 5.2 above, the respondent would measure water consumption of individual units;</w:t>
      </w:r>
    </w:p>
    <w:p w14:paraId="6354D44E" w14:textId="082D7476" w:rsidR="007B494C" w:rsidRPr="007B494C" w:rsidRDefault="00A14D42" w:rsidP="00F27106">
      <w:pPr>
        <w:spacing w:line="360" w:lineRule="auto"/>
        <w:jc w:val="both"/>
        <w:rPr>
          <w:rFonts w:ascii="Arial" w:hAnsi="Arial" w:cs="Arial"/>
          <w:bCs/>
        </w:rPr>
      </w:pPr>
      <w:r w:rsidRPr="00981B0F">
        <w:rPr>
          <w:rFonts w:ascii="Arial" w:hAnsi="Arial" w:cs="Arial"/>
          <w:bCs/>
        </w:rPr>
        <w:t>5.4 each unit within this development would be charged based on this metered consumption.’</w:t>
      </w:r>
    </w:p>
    <w:p w14:paraId="0DBEFAFE" w14:textId="0461FCE5" w:rsidR="008A2A79" w:rsidRPr="007B494C" w:rsidRDefault="00A14D42" w:rsidP="007B494C">
      <w:pPr>
        <w:spacing w:line="360" w:lineRule="auto"/>
        <w:jc w:val="both"/>
        <w:rPr>
          <w:rFonts w:ascii="Arial" w:hAnsi="Arial" w:cs="Arial"/>
          <w:bCs/>
          <w:sz w:val="24"/>
          <w:szCs w:val="24"/>
        </w:rPr>
      </w:pPr>
      <w:r w:rsidRPr="00981B0F">
        <w:rPr>
          <w:rFonts w:ascii="Arial" w:hAnsi="Arial" w:cs="Arial"/>
          <w:bCs/>
          <w:sz w:val="24"/>
          <w:szCs w:val="24"/>
        </w:rPr>
        <w:t>[</w:t>
      </w:r>
      <w:r w:rsidR="00665535">
        <w:rPr>
          <w:rFonts w:ascii="Arial" w:hAnsi="Arial" w:cs="Arial"/>
          <w:bCs/>
          <w:sz w:val="24"/>
          <w:szCs w:val="24"/>
        </w:rPr>
        <w:t>5</w:t>
      </w:r>
      <w:r w:rsidRPr="00981B0F">
        <w:rPr>
          <w:rFonts w:ascii="Arial" w:hAnsi="Arial" w:cs="Arial"/>
          <w:bCs/>
          <w:sz w:val="24"/>
          <w:szCs w:val="24"/>
        </w:rPr>
        <w:t xml:space="preserve">] </w:t>
      </w:r>
      <w:r w:rsidRPr="00981B0F">
        <w:rPr>
          <w:rFonts w:ascii="Arial" w:hAnsi="Arial" w:cs="Arial"/>
          <w:bCs/>
          <w:sz w:val="24"/>
          <w:szCs w:val="24"/>
        </w:rPr>
        <w:tab/>
      </w:r>
      <w:r w:rsidR="005E414B" w:rsidRPr="00981B0F">
        <w:rPr>
          <w:rFonts w:ascii="Arial" w:hAnsi="Arial" w:cs="Arial"/>
          <w:bCs/>
          <w:sz w:val="24"/>
          <w:szCs w:val="24"/>
        </w:rPr>
        <w:t xml:space="preserve">I </w:t>
      </w:r>
      <w:r w:rsidR="00F27106" w:rsidRPr="00981B0F">
        <w:rPr>
          <w:rFonts w:ascii="Arial" w:hAnsi="Arial" w:cs="Arial"/>
          <w:bCs/>
          <w:sz w:val="24"/>
          <w:szCs w:val="24"/>
        </w:rPr>
        <w:t xml:space="preserve">pointed out in paragraph 3 of </w:t>
      </w:r>
      <w:r w:rsidR="005E414B" w:rsidRPr="00981B0F">
        <w:rPr>
          <w:rFonts w:ascii="Arial" w:hAnsi="Arial" w:cs="Arial"/>
          <w:bCs/>
          <w:sz w:val="24"/>
          <w:szCs w:val="24"/>
        </w:rPr>
        <w:t>the</w:t>
      </w:r>
      <w:r w:rsidR="00F27106" w:rsidRPr="00981B0F">
        <w:rPr>
          <w:rFonts w:ascii="Arial" w:hAnsi="Arial" w:cs="Arial"/>
          <w:bCs/>
          <w:sz w:val="24"/>
          <w:szCs w:val="24"/>
        </w:rPr>
        <w:t xml:space="preserve"> judgment</w:t>
      </w:r>
      <w:r w:rsidR="005E414B" w:rsidRPr="00981B0F">
        <w:rPr>
          <w:rFonts w:ascii="Arial" w:hAnsi="Arial" w:cs="Arial"/>
          <w:bCs/>
          <w:sz w:val="24"/>
          <w:szCs w:val="24"/>
        </w:rPr>
        <w:t xml:space="preserve"> that</w:t>
      </w:r>
      <w:r w:rsidR="00F27106" w:rsidRPr="00981B0F">
        <w:rPr>
          <w:rFonts w:ascii="Arial" w:hAnsi="Arial" w:cs="Arial"/>
          <w:bCs/>
          <w:sz w:val="24"/>
          <w:szCs w:val="24"/>
        </w:rPr>
        <w:t xml:space="preserve"> the applicant amended </w:t>
      </w:r>
      <w:r w:rsidR="005E414B" w:rsidRPr="00981B0F">
        <w:rPr>
          <w:rFonts w:ascii="Arial" w:hAnsi="Arial" w:cs="Arial"/>
          <w:bCs/>
          <w:sz w:val="24"/>
          <w:szCs w:val="24"/>
        </w:rPr>
        <w:t>its</w:t>
      </w:r>
      <w:r w:rsidR="00F27106" w:rsidRPr="00981B0F">
        <w:rPr>
          <w:rFonts w:ascii="Arial" w:hAnsi="Arial" w:cs="Arial"/>
          <w:bCs/>
          <w:sz w:val="24"/>
          <w:szCs w:val="24"/>
        </w:rPr>
        <w:t xml:space="preserve"> relief sought </w:t>
      </w:r>
      <w:r w:rsidR="00A30503" w:rsidRPr="00981B0F">
        <w:rPr>
          <w:rFonts w:ascii="Arial" w:hAnsi="Arial" w:cs="Arial"/>
          <w:bCs/>
          <w:sz w:val="24"/>
          <w:szCs w:val="24"/>
        </w:rPr>
        <w:t xml:space="preserve">at the hearing of the matter </w:t>
      </w:r>
      <w:r w:rsidR="00F27106" w:rsidRPr="00981B0F">
        <w:rPr>
          <w:rFonts w:ascii="Arial" w:hAnsi="Arial" w:cs="Arial"/>
          <w:bCs/>
          <w:sz w:val="24"/>
          <w:szCs w:val="24"/>
        </w:rPr>
        <w:t>and introduced a new ground</w:t>
      </w:r>
      <w:r w:rsidR="007E20D1">
        <w:rPr>
          <w:rFonts w:ascii="Arial" w:hAnsi="Arial" w:cs="Arial"/>
          <w:bCs/>
          <w:sz w:val="24"/>
          <w:szCs w:val="24"/>
        </w:rPr>
        <w:t>, namely,</w:t>
      </w:r>
      <w:r w:rsidR="00F27106" w:rsidRPr="00981B0F">
        <w:rPr>
          <w:rFonts w:ascii="Arial" w:hAnsi="Arial" w:cs="Arial"/>
          <w:bCs/>
          <w:sz w:val="24"/>
          <w:szCs w:val="24"/>
        </w:rPr>
        <w:t xml:space="preserve"> that the respondent ought to have charged t</w:t>
      </w:r>
      <w:r w:rsidR="005E414B" w:rsidRPr="00981B0F">
        <w:rPr>
          <w:rFonts w:ascii="Arial" w:hAnsi="Arial" w:cs="Arial"/>
          <w:bCs/>
          <w:sz w:val="24"/>
          <w:szCs w:val="24"/>
        </w:rPr>
        <w:t>he applicant</w:t>
      </w:r>
      <w:r w:rsidR="00F27106" w:rsidRPr="00981B0F">
        <w:rPr>
          <w:rFonts w:ascii="Arial" w:hAnsi="Arial" w:cs="Arial"/>
          <w:bCs/>
          <w:sz w:val="24"/>
          <w:szCs w:val="24"/>
        </w:rPr>
        <w:t xml:space="preserve"> on </w:t>
      </w:r>
      <w:r w:rsidRPr="00981B0F">
        <w:rPr>
          <w:rFonts w:ascii="Arial" w:hAnsi="Arial" w:cs="Arial"/>
          <w:bCs/>
          <w:sz w:val="24"/>
          <w:szCs w:val="24"/>
        </w:rPr>
        <w:t xml:space="preserve">the </w:t>
      </w:r>
      <w:r w:rsidR="00F27106" w:rsidRPr="00981B0F">
        <w:rPr>
          <w:rFonts w:ascii="Arial" w:hAnsi="Arial" w:cs="Arial"/>
          <w:bCs/>
          <w:sz w:val="24"/>
          <w:szCs w:val="24"/>
        </w:rPr>
        <w:t>rate for commercial consumer</w:t>
      </w:r>
      <w:r w:rsidR="00A30503" w:rsidRPr="00981B0F">
        <w:rPr>
          <w:rFonts w:ascii="Arial" w:hAnsi="Arial" w:cs="Arial"/>
          <w:bCs/>
          <w:sz w:val="24"/>
          <w:szCs w:val="24"/>
        </w:rPr>
        <w:t xml:space="preserve"> </w:t>
      </w:r>
      <w:r w:rsidR="00F27106" w:rsidRPr="00981B0F">
        <w:rPr>
          <w:rFonts w:ascii="Arial" w:hAnsi="Arial" w:cs="Arial"/>
          <w:bCs/>
          <w:sz w:val="24"/>
          <w:szCs w:val="24"/>
        </w:rPr>
        <w:t xml:space="preserve">instead of domestic consumer. </w:t>
      </w:r>
      <w:r w:rsidR="00365908" w:rsidRPr="00981B0F">
        <w:rPr>
          <w:rFonts w:ascii="Arial" w:hAnsi="Arial" w:cs="Arial"/>
          <w:bCs/>
          <w:sz w:val="24"/>
          <w:szCs w:val="24"/>
        </w:rPr>
        <w:t xml:space="preserve"> </w:t>
      </w:r>
      <w:r w:rsidR="00710E13" w:rsidRPr="00981B0F">
        <w:rPr>
          <w:rFonts w:ascii="Arial" w:hAnsi="Arial" w:cs="Arial"/>
          <w:bCs/>
          <w:sz w:val="24"/>
          <w:szCs w:val="24"/>
        </w:rPr>
        <w:t>Thus,</w:t>
      </w:r>
      <w:r w:rsidR="00365908" w:rsidRPr="00981B0F">
        <w:rPr>
          <w:rFonts w:ascii="Arial" w:hAnsi="Arial" w:cs="Arial"/>
          <w:bCs/>
          <w:sz w:val="24"/>
          <w:szCs w:val="24"/>
        </w:rPr>
        <w:t xml:space="preserve"> i</w:t>
      </w:r>
      <w:r w:rsidR="00563B2C" w:rsidRPr="00981B0F">
        <w:rPr>
          <w:rFonts w:ascii="Arial" w:hAnsi="Arial" w:cs="Arial"/>
          <w:bCs/>
          <w:sz w:val="24"/>
          <w:szCs w:val="24"/>
        </w:rPr>
        <w:t xml:space="preserve">n the context of this case and based on </w:t>
      </w:r>
      <w:r w:rsidR="00365908" w:rsidRPr="00981B0F">
        <w:rPr>
          <w:rFonts w:ascii="Arial" w:hAnsi="Arial" w:cs="Arial"/>
          <w:bCs/>
          <w:sz w:val="24"/>
          <w:szCs w:val="24"/>
        </w:rPr>
        <w:t xml:space="preserve">the </w:t>
      </w:r>
      <w:r w:rsidR="00563B2C" w:rsidRPr="00981B0F">
        <w:rPr>
          <w:rFonts w:ascii="Arial" w:hAnsi="Arial" w:cs="Arial"/>
          <w:bCs/>
          <w:sz w:val="24"/>
          <w:szCs w:val="24"/>
        </w:rPr>
        <w:t>narrow</w:t>
      </w:r>
      <w:r w:rsidR="007E20D1">
        <w:rPr>
          <w:rFonts w:ascii="Arial" w:hAnsi="Arial" w:cs="Arial"/>
          <w:bCs/>
          <w:sz w:val="24"/>
          <w:szCs w:val="24"/>
        </w:rPr>
        <w:t>ing</w:t>
      </w:r>
      <w:r w:rsidR="005E414B" w:rsidRPr="00981B0F">
        <w:rPr>
          <w:rFonts w:ascii="Arial" w:hAnsi="Arial" w:cs="Arial"/>
          <w:bCs/>
          <w:sz w:val="24"/>
          <w:szCs w:val="24"/>
        </w:rPr>
        <w:t xml:space="preserve"> </w:t>
      </w:r>
      <w:r w:rsidR="00563B2C" w:rsidRPr="00981B0F">
        <w:rPr>
          <w:rFonts w:ascii="Arial" w:hAnsi="Arial" w:cs="Arial"/>
          <w:bCs/>
          <w:sz w:val="24"/>
          <w:szCs w:val="24"/>
        </w:rPr>
        <w:t>down of contested issues</w:t>
      </w:r>
      <w:r w:rsidR="007E20D1">
        <w:rPr>
          <w:rFonts w:ascii="Arial" w:hAnsi="Arial" w:cs="Arial"/>
          <w:bCs/>
          <w:sz w:val="24"/>
          <w:szCs w:val="24"/>
        </w:rPr>
        <w:t>,</w:t>
      </w:r>
      <w:r w:rsidR="00563B2C" w:rsidRPr="00981B0F">
        <w:rPr>
          <w:rFonts w:ascii="Arial" w:hAnsi="Arial" w:cs="Arial"/>
          <w:bCs/>
          <w:sz w:val="24"/>
          <w:szCs w:val="24"/>
        </w:rPr>
        <w:t xml:space="preserve"> </w:t>
      </w:r>
      <w:r w:rsidR="00710E13">
        <w:rPr>
          <w:rFonts w:ascii="Arial" w:hAnsi="Arial" w:cs="Arial"/>
          <w:bCs/>
          <w:sz w:val="24"/>
          <w:szCs w:val="24"/>
        </w:rPr>
        <w:t>I</w:t>
      </w:r>
      <w:r w:rsidR="00563B2C" w:rsidRPr="00981B0F">
        <w:rPr>
          <w:rFonts w:ascii="Arial" w:hAnsi="Arial" w:cs="Arial"/>
          <w:bCs/>
          <w:sz w:val="24"/>
          <w:szCs w:val="24"/>
        </w:rPr>
        <w:t xml:space="preserve"> handed down a brief judgment</w:t>
      </w:r>
      <w:r w:rsidR="00A30503" w:rsidRPr="00981B0F">
        <w:rPr>
          <w:rFonts w:ascii="Arial" w:hAnsi="Arial" w:cs="Arial"/>
          <w:bCs/>
          <w:sz w:val="24"/>
          <w:szCs w:val="24"/>
        </w:rPr>
        <w:t>.</w:t>
      </w:r>
    </w:p>
    <w:p w14:paraId="72AFAD0D" w14:textId="083E039D" w:rsidR="008A2A79" w:rsidRPr="00981B0F" w:rsidRDefault="00327B10" w:rsidP="008A2A79">
      <w:pPr>
        <w:spacing w:after="0" w:line="360" w:lineRule="auto"/>
        <w:jc w:val="both"/>
        <w:rPr>
          <w:rFonts w:ascii="Arial" w:hAnsi="Arial" w:cs="Arial"/>
          <w:sz w:val="24"/>
          <w:szCs w:val="24"/>
        </w:rPr>
      </w:pPr>
      <w:r w:rsidRPr="00981B0F">
        <w:rPr>
          <w:rFonts w:ascii="Arial" w:hAnsi="Arial" w:cs="Arial"/>
          <w:sz w:val="24"/>
          <w:szCs w:val="24"/>
        </w:rPr>
        <w:t>[</w:t>
      </w:r>
      <w:r w:rsidR="00665535">
        <w:rPr>
          <w:rFonts w:ascii="Arial" w:hAnsi="Arial" w:cs="Arial"/>
          <w:sz w:val="24"/>
          <w:szCs w:val="24"/>
        </w:rPr>
        <w:t>6</w:t>
      </w:r>
      <w:r w:rsidRPr="00981B0F">
        <w:rPr>
          <w:rFonts w:ascii="Arial" w:hAnsi="Arial" w:cs="Arial"/>
          <w:sz w:val="24"/>
          <w:szCs w:val="24"/>
        </w:rPr>
        <w:t>]</w:t>
      </w:r>
      <w:r w:rsidR="00981B0F" w:rsidRPr="00981B0F">
        <w:rPr>
          <w:rFonts w:ascii="Arial" w:hAnsi="Arial" w:cs="Arial"/>
          <w:sz w:val="24"/>
          <w:szCs w:val="24"/>
        </w:rPr>
        <w:tab/>
      </w:r>
      <w:r w:rsidRPr="00981B0F">
        <w:rPr>
          <w:rFonts w:ascii="Arial" w:hAnsi="Arial" w:cs="Arial"/>
          <w:sz w:val="24"/>
          <w:szCs w:val="24"/>
        </w:rPr>
        <w:t xml:space="preserve"> It is appropriate to state the provisions of the policy that the applicant </w:t>
      </w:r>
      <w:r w:rsidR="00A07E28" w:rsidRPr="00981B0F">
        <w:rPr>
          <w:rFonts w:ascii="Arial" w:hAnsi="Arial" w:cs="Arial"/>
          <w:sz w:val="24"/>
          <w:szCs w:val="24"/>
        </w:rPr>
        <w:t>relied</w:t>
      </w:r>
      <w:r w:rsidRPr="00981B0F">
        <w:rPr>
          <w:rFonts w:ascii="Arial" w:hAnsi="Arial" w:cs="Arial"/>
          <w:sz w:val="24"/>
          <w:szCs w:val="24"/>
        </w:rPr>
        <w:t xml:space="preserve"> upon</w:t>
      </w:r>
      <w:r w:rsidR="00365908" w:rsidRPr="00981B0F">
        <w:rPr>
          <w:rFonts w:ascii="Arial" w:hAnsi="Arial" w:cs="Arial"/>
          <w:sz w:val="24"/>
          <w:szCs w:val="24"/>
        </w:rPr>
        <w:t xml:space="preserve"> </w:t>
      </w:r>
      <w:r w:rsidR="00A07E28" w:rsidRPr="00981B0F">
        <w:rPr>
          <w:rFonts w:ascii="Arial" w:hAnsi="Arial" w:cs="Arial"/>
          <w:sz w:val="24"/>
          <w:szCs w:val="24"/>
        </w:rPr>
        <w:t>at the hearing of the matter:</w:t>
      </w:r>
    </w:p>
    <w:p w14:paraId="26E29361" w14:textId="76684308" w:rsidR="00327B10" w:rsidRPr="00981B0F" w:rsidRDefault="00327B10" w:rsidP="00327B10">
      <w:pPr>
        <w:spacing w:line="360" w:lineRule="auto"/>
        <w:jc w:val="both"/>
        <w:rPr>
          <w:rFonts w:ascii="Arial" w:hAnsi="Arial" w:cs="Arial"/>
          <w:bCs/>
          <w:sz w:val="24"/>
          <w:szCs w:val="24"/>
        </w:rPr>
      </w:pPr>
      <w:r w:rsidRPr="00981B0F">
        <w:rPr>
          <w:rFonts w:ascii="Arial" w:hAnsi="Arial" w:cs="Arial"/>
          <w:sz w:val="24"/>
          <w:szCs w:val="24"/>
        </w:rPr>
        <w:t>Clause 2.4.2 of the Respondent’s Water policy titled “Sectional Title Developments”</w:t>
      </w:r>
      <w:r w:rsidR="00A07E28" w:rsidRPr="00981B0F">
        <w:rPr>
          <w:rFonts w:ascii="Arial" w:hAnsi="Arial" w:cs="Arial"/>
          <w:sz w:val="24"/>
          <w:szCs w:val="24"/>
        </w:rPr>
        <w:t xml:space="preserve"> </w:t>
      </w:r>
      <w:r w:rsidRPr="00981B0F">
        <w:rPr>
          <w:rFonts w:ascii="Arial" w:hAnsi="Arial" w:cs="Arial"/>
          <w:sz w:val="24"/>
          <w:szCs w:val="24"/>
        </w:rPr>
        <w:t>provides that</w:t>
      </w:r>
      <w:r w:rsidR="00EB206B">
        <w:rPr>
          <w:rFonts w:ascii="Arial" w:hAnsi="Arial" w:cs="Arial"/>
          <w:sz w:val="24"/>
          <w:szCs w:val="24"/>
        </w:rPr>
        <w:t>:</w:t>
      </w:r>
      <w:r w:rsidR="00710E13">
        <w:rPr>
          <w:rFonts w:ascii="Arial" w:hAnsi="Arial" w:cs="Arial"/>
          <w:sz w:val="24"/>
          <w:szCs w:val="24"/>
        </w:rPr>
        <w:t xml:space="preserve"> ‘</w:t>
      </w:r>
      <w:r w:rsidRPr="00981B0F">
        <w:rPr>
          <w:rFonts w:ascii="Arial" w:hAnsi="Arial" w:cs="Arial"/>
          <w:sz w:val="24"/>
          <w:szCs w:val="24"/>
        </w:rPr>
        <w:t>Sectional Title developments comprises a number of units which are built within a single subdivision. The development may be divided into separate exclusive use areas for each unit with the remainder as common property. The development is administered by a Body Corporate in terms of the Sectional Title Act</w:t>
      </w:r>
      <w:r w:rsidR="00875421">
        <w:rPr>
          <w:rFonts w:ascii="Arial" w:hAnsi="Arial" w:cs="Arial"/>
          <w:sz w:val="24"/>
          <w:szCs w:val="24"/>
        </w:rPr>
        <w:t>’.</w:t>
      </w:r>
      <w:r w:rsidRPr="00981B0F">
        <w:rPr>
          <w:rFonts w:ascii="Arial" w:hAnsi="Arial" w:cs="Arial"/>
          <w:bCs/>
          <w:sz w:val="24"/>
          <w:szCs w:val="24"/>
        </w:rPr>
        <w:t xml:space="preserve"> Clause 2.4.4 titled “Water to New Sectional Title Developments</w:t>
      </w:r>
      <w:r w:rsidR="00EB206B">
        <w:rPr>
          <w:rFonts w:ascii="Arial" w:hAnsi="Arial" w:cs="Arial"/>
          <w:bCs/>
          <w:sz w:val="24"/>
          <w:szCs w:val="24"/>
        </w:rPr>
        <w:t>”</w:t>
      </w:r>
      <w:r w:rsidR="004230BA" w:rsidRPr="00981B0F">
        <w:rPr>
          <w:rFonts w:ascii="Arial" w:hAnsi="Arial" w:cs="Arial"/>
          <w:bCs/>
          <w:sz w:val="24"/>
          <w:szCs w:val="24"/>
        </w:rPr>
        <w:t xml:space="preserve"> p</w:t>
      </w:r>
      <w:r w:rsidRPr="00981B0F">
        <w:rPr>
          <w:rFonts w:ascii="Arial" w:hAnsi="Arial" w:cs="Arial"/>
          <w:bCs/>
          <w:sz w:val="24"/>
          <w:szCs w:val="24"/>
        </w:rPr>
        <w:t>rovides as follows</w:t>
      </w:r>
      <w:r w:rsidR="00A07E28" w:rsidRPr="00981B0F">
        <w:rPr>
          <w:rFonts w:ascii="Arial" w:hAnsi="Arial" w:cs="Arial"/>
          <w:bCs/>
          <w:sz w:val="24"/>
          <w:szCs w:val="24"/>
        </w:rPr>
        <w:t>:</w:t>
      </w:r>
    </w:p>
    <w:p w14:paraId="5D3CA702" w14:textId="77F4335E" w:rsidR="00327B10" w:rsidRPr="00981B0F" w:rsidRDefault="00327B10" w:rsidP="00327B10">
      <w:pPr>
        <w:spacing w:line="360" w:lineRule="auto"/>
        <w:jc w:val="both"/>
        <w:rPr>
          <w:rFonts w:ascii="Arial" w:hAnsi="Arial" w:cs="Arial"/>
          <w:bCs/>
        </w:rPr>
      </w:pPr>
      <w:r w:rsidRPr="00981B0F">
        <w:rPr>
          <w:rFonts w:ascii="Arial" w:hAnsi="Arial" w:cs="Arial"/>
          <w:bCs/>
        </w:rPr>
        <w:t>‘</w:t>
      </w:r>
      <w:r w:rsidR="00EB206B">
        <w:rPr>
          <w:rFonts w:ascii="Arial" w:hAnsi="Arial" w:cs="Arial"/>
          <w:bCs/>
        </w:rPr>
        <w:t>(</w:t>
      </w:r>
      <w:r w:rsidRPr="00981B0F">
        <w:rPr>
          <w:rFonts w:ascii="Arial" w:hAnsi="Arial" w:cs="Arial"/>
          <w:bCs/>
        </w:rPr>
        <w:t>a) Developers of new sectional title developments are required to:</w:t>
      </w:r>
    </w:p>
    <w:p w14:paraId="7ADFEF75" w14:textId="6E638419" w:rsidR="00327B10" w:rsidRPr="00981B0F" w:rsidRDefault="00EB206B" w:rsidP="00327B10">
      <w:pPr>
        <w:spacing w:line="360" w:lineRule="auto"/>
        <w:jc w:val="both"/>
        <w:rPr>
          <w:rFonts w:ascii="Arial" w:hAnsi="Arial" w:cs="Arial"/>
          <w:bCs/>
        </w:rPr>
      </w:pPr>
      <w:r>
        <w:rPr>
          <w:rFonts w:ascii="Arial" w:hAnsi="Arial" w:cs="Arial"/>
          <w:bCs/>
        </w:rPr>
        <w:t>(</w:t>
      </w:r>
      <w:r w:rsidR="00327B10" w:rsidRPr="00981B0F">
        <w:rPr>
          <w:rFonts w:ascii="Arial" w:hAnsi="Arial" w:cs="Arial"/>
          <w:bCs/>
        </w:rPr>
        <w:t>i) pay for the installation of individual water connections, metered at the road boundary</w:t>
      </w:r>
    </w:p>
    <w:p w14:paraId="7BF265BE" w14:textId="77777777" w:rsidR="00327B10" w:rsidRPr="00981B0F" w:rsidRDefault="00327B10" w:rsidP="00327B10">
      <w:pPr>
        <w:spacing w:line="360" w:lineRule="auto"/>
        <w:jc w:val="both"/>
        <w:rPr>
          <w:rFonts w:ascii="Arial" w:hAnsi="Arial" w:cs="Arial"/>
          <w:bCs/>
        </w:rPr>
      </w:pPr>
      <w:r w:rsidRPr="00981B0F">
        <w:rPr>
          <w:rFonts w:ascii="Arial" w:hAnsi="Arial" w:cs="Arial"/>
          <w:bCs/>
        </w:rPr>
        <w:lastRenderedPageBreak/>
        <w:t>or</w:t>
      </w:r>
    </w:p>
    <w:p w14:paraId="1D362F2C" w14:textId="7ACFA319" w:rsidR="00327B10" w:rsidRPr="00981B0F" w:rsidRDefault="00EB206B" w:rsidP="00327B10">
      <w:pPr>
        <w:spacing w:line="360" w:lineRule="auto"/>
        <w:jc w:val="both"/>
        <w:rPr>
          <w:rFonts w:ascii="Arial" w:hAnsi="Arial" w:cs="Arial"/>
          <w:bCs/>
        </w:rPr>
      </w:pPr>
      <w:r>
        <w:rPr>
          <w:rFonts w:ascii="Arial" w:hAnsi="Arial" w:cs="Arial"/>
          <w:bCs/>
        </w:rPr>
        <w:t>(</w:t>
      </w:r>
      <w:r w:rsidR="00327B10" w:rsidRPr="00981B0F">
        <w:rPr>
          <w:rFonts w:ascii="Arial" w:hAnsi="Arial" w:cs="Arial"/>
          <w:bCs/>
        </w:rPr>
        <w:t>ii) pay for the installation of a bulk water connection, metered at the road boundary, and also pay for the installation of individual water meters located on the water pipes feeding each separate unit.</w:t>
      </w:r>
    </w:p>
    <w:p w14:paraId="42BC7C48" w14:textId="0AB0E534" w:rsidR="00327B10" w:rsidRPr="00981B0F" w:rsidRDefault="00EB206B" w:rsidP="00327B10">
      <w:pPr>
        <w:spacing w:line="360" w:lineRule="auto"/>
        <w:jc w:val="both"/>
        <w:rPr>
          <w:rFonts w:ascii="Arial" w:hAnsi="Arial" w:cs="Arial"/>
          <w:bCs/>
        </w:rPr>
      </w:pPr>
      <w:r>
        <w:rPr>
          <w:rFonts w:ascii="Arial" w:hAnsi="Arial" w:cs="Arial"/>
          <w:bCs/>
        </w:rPr>
        <w:t>(</w:t>
      </w:r>
      <w:r w:rsidR="00327B10" w:rsidRPr="00981B0F">
        <w:rPr>
          <w:rFonts w:ascii="Arial" w:hAnsi="Arial" w:cs="Arial"/>
          <w:bCs/>
        </w:rPr>
        <w:t>iii) the individual meters will be installed by the municipality on private property.</w:t>
      </w:r>
    </w:p>
    <w:p w14:paraId="53F8B311" w14:textId="3F55BDC1" w:rsidR="00327B10" w:rsidRPr="00981B0F" w:rsidRDefault="00EB206B" w:rsidP="00327B10">
      <w:pPr>
        <w:spacing w:line="360" w:lineRule="auto"/>
        <w:jc w:val="both"/>
        <w:rPr>
          <w:rFonts w:ascii="Arial" w:hAnsi="Arial" w:cs="Arial"/>
          <w:bCs/>
        </w:rPr>
      </w:pPr>
      <w:r>
        <w:rPr>
          <w:rFonts w:ascii="Arial" w:hAnsi="Arial" w:cs="Arial"/>
          <w:bCs/>
        </w:rPr>
        <w:t>(</w:t>
      </w:r>
      <w:r w:rsidR="00327B10" w:rsidRPr="00981B0F">
        <w:rPr>
          <w:rFonts w:ascii="Arial" w:hAnsi="Arial" w:cs="Arial"/>
          <w:bCs/>
        </w:rPr>
        <w:t>iv) the water pipes feeding each separate unit will be laid by the developer</w:t>
      </w:r>
      <w:r>
        <w:rPr>
          <w:rFonts w:ascii="Arial" w:hAnsi="Arial" w:cs="Arial"/>
          <w:bCs/>
        </w:rPr>
        <w:t>.</w:t>
      </w:r>
    </w:p>
    <w:p w14:paraId="06FA7603" w14:textId="3B8B26AC" w:rsidR="00327B10" w:rsidRPr="00981B0F" w:rsidRDefault="00327B10" w:rsidP="00327B10">
      <w:pPr>
        <w:spacing w:line="360" w:lineRule="auto"/>
        <w:jc w:val="both"/>
        <w:rPr>
          <w:rFonts w:ascii="Arial" w:hAnsi="Arial" w:cs="Arial"/>
          <w:bCs/>
        </w:rPr>
      </w:pPr>
      <w:r w:rsidRPr="00981B0F">
        <w:rPr>
          <w:rFonts w:ascii="Arial" w:hAnsi="Arial" w:cs="Arial"/>
          <w:bCs/>
        </w:rPr>
        <w:t xml:space="preserve">(b) </w:t>
      </w:r>
      <w:r w:rsidR="00A07E28" w:rsidRPr="00981B0F">
        <w:rPr>
          <w:rFonts w:ascii="Arial" w:hAnsi="Arial" w:cs="Arial"/>
          <w:bCs/>
        </w:rPr>
        <w:t>w</w:t>
      </w:r>
      <w:r w:rsidRPr="00981B0F">
        <w:rPr>
          <w:rFonts w:ascii="Arial" w:hAnsi="Arial" w:cs="Arial"/>
          <w:bCs/>
        </w:rPr>
        <w:t xml:space="preserve">here option </w:t>
      </w:r>
      <w:r w:rsidR="00EB206B">
        <w:rPr>
          <w:rFonts w:ascii="Arial" w:hAnsi="Arial" w:cs="Arial"/>
          <w:bCs/>
        </w:rPr>
        <w:t>(</w:t>
      </w:r>
      <w:r w:rsidRPr="00981B0F">
        <w:rPr>
          <w:rFonts w:ascii="Arial" w:hAnsi="Arial" w:cs="Arial"/>
          <w:bCs/>
        </w:rPr>
        <w:t>a</w:t>
      </w:r>
      <w:r w:rsidR="00EB206B">
        <w:rPr>
          <w:rFonts w:ascii="Arial" w:hAnsi="Arial" w:cs="Arial"/>
          <w:bCs/>
        </w:rPr>
        <w:t>)</w:t>
      </w:r>
      <w:r w:rsidRPr="00981B0F">
        <w:rPr>
          <w:rFonts w:ascii="Arial" w:hAnsi="Arial" w:cs="Arial"/>
          <w:bCs/>
        </w:rPr>
        <w:t>(ii) is chosen by a developer, the Municipality will read the individual meters and bulk meter. The Body Corporate will be charged monthly for both the municipality to undertake the reading of the individual meters and for the water consumption recorded at the bulk meter less the sum of the water consumption recorded at the individual meters. No fixed charge will be paid for the bulk meter but the Body Corporate will be billed at the tariff rate for non-domestic customers.</w:t>
      </w:r>
    </w:p>
    <w:p w14:paraId="518DF49B" w14:textId="6BAB991C" w:rsidR="00327B10" w:rsidRPr="00981B0F" w:rsidRDefault="00327B10" w:rsidP="00327B10">
      <w:pPr>
        <w:spacing w:line="360" w:lineRule="auto"/>
        <w:jc w:val="both"/>
        <w:rPr>
          <w:rFonts w:ascii="Arial" w:hAnsi="Arial" w:cs="Arial"/>
          <w:bCs/>
        </w:rPr>
      </w:pPr>
      <w:r w:rsidRPr="00981B0F">
        <w:rPr>
          <w:rFonts w:ascii="Arial" w:hAnsi="Arial" w:cs="Arial"/>
          <w:bCs/>
        </w:rPr>
        <w:t>(c) each unit will be charged for water by the Municipality according to the level of service chosen, based on the metered consumption for each unit.</w:t>
      </w:r>
    </w:p>
    <w:p w14:paraId="4DEDBBE5" w14:textId="3238D34A" w:rsidR="00327B10" w:rsidRPr="00981B0F" w:rsidRDefault="00327B10" w:rsidP="00327B10">
      <w:pPr>
        <w:spacing w:line="360" w:lineRule="auto"/>
        <w:jc w:val="both"/>
        <w:rPr>
          <w:rFonts w:ascii="Arial" w:hAnsi="Arial" w:cs="Arial"/>
          <w:bCs/>
        </w:rPr>
      </w:pPr>
      <w:r w:rsidRPr="00981B0F">
        <w:rPr>
          <w:rFonts w:ascii="Arial" w:hAnsi="Arial" w:cs="Arial"/>
          <w:bCs/>
        </w:rPr>
        <w:t xml:space="preserve">(d)  </w:t>
      </w:r>
      <w:r w:rsidR="00A07E28" w:rsidRPr="00981B0F">
        <w:rPr>
          <w:rFonts w:ascii="Arial" w:hAnsi="Arial" w:cs="Arial"/>
          <w:bCs/>
        </w:rPr>
        <w:t>i</w:t>
      </w:r>
      <w:r w:rsidRPr="00981B0F">
        <w:rPr>
          <w:rFonts w:ascii="Arial" w:hAnsi="Arial" w:cs="Arial"/>
          <w:bCs/>
        </w:rPr>
        <w:t xml:space="preserve">n the event of non-payment of the monthly distribution charge by the Body Corporate, any water connection in the name of the Body Corporate will be disconnected and the debt will be handed over for collection. The supply to the whole complex will be disconnected after each individual customer supplied through the bulk meter has been given 14 </w:t>
      </w:r>
      <w:r w:rsidR="00710E13" w:rsidRPr="00981B0F">
        <w:rPr>
          <w:rFonts w:ascii="Arial" w:hAnsi="Arial" w:cs="Arial"/>
          <w:bCs/>
        </w:rPr>
        <w:t>days’ notice</w:t>
      </w:r>
      <w:r w:rsidRPr="00981B0F">
        <w:rPr>
          <w:rFonts w:ascii="Arial" w:hAnsi="Arial" w:cs="Arial"/>
          <w:bCs/>
        </w:rPr>
        <w:t xml:space="preserve"> of the intention to disconnect the water supply and the outstanding debt has not been paid.</w:t>
      </w:r>
    </w:p>
    <w:p w14:paraId="344E1503" w14:textId="3282DEC3" w:rsidR="00327B10" w:rsidRPr="00981B0F" w:rsidRDefault="00327B10" w:rsidP="00327B10">
      <w:pPr>
        <w:spacing w:line="360" w:lineRule="auto"/>
        <w:jc w:val="both"/>
        <w:rPr>
          <w:rFonts w:ascii="Arial" w:hAnsi="Arial" w:cs="Arial"/>
          <w:bCs/>
        </w:rPr>
      </w:pPr>
      <w:r w:rsidRPr="00981B0F">
        <w:rPr>
          <w:rFonts w:ascii="Arial" w:hAnsi="Arial" w:cs="Arial"/>
          <w:bCs/>
        </w:rPr>
        <w:t xml:space="preserve">(e) </w:t>
      </w:r>
      <w:r w:rsidR="00A07E28" w:rsidRPr="00981B0F">
        <w:rPr>
          <w:rFonts w:ascii="Arial" w:hAnsi="Arial" w:cs="Arial"/>
          <w:bCs/>
        </w:rPr>
        <w:t>i</w:t>
      </w:r>
      <w:r w:rsidRPr="00981B0F">
        <w:rPr>
          <w:rFonts w:ascii="Arial" w:hAnsi="Arial" w:cs="Arial"/>
          <w:bCs/>
        </w:rPr>
        <w:t>n the case of existing developments, supplied through a bulk meter, the Body Corporate may apply for the installation of separate meters to each dwelling unit, subject to payment of the prescribed charges (see also items.2.4.9).</w:t>
      </w:r>
    </w:p>
    <w:p w14:paraId="104515D8" w14:textId="490E8524" w:rsidR="00A14D42" w:rsidRPr="007B494C" w:rsidRDefault="00327B10" w:rsidP="00F27106">
      <w:pPr>
        <w:spacing w:line="360" w:lineRule="auto"/>
        <w:jc w:val="both"/>
        <w:rPr>
          <w:rFonts w:ascii="Arial" w:hAnsi="Arial" w:cs="Arial"/>
          <w:bCs/>
        </w:rPr>
      </w:pPr>
      <w:r w:rsidRPr="00981B0F">
        <w:rPr>
          <w:rFonts w:ascii="Arial" w:hAnsi="Arial" w:cs="Arial"/>
          <w:bCs/>
        </w:rPr>
        <w:t xml:space="preserve">(f) </w:t>
      </w:r>
      <w:r w:rsidR="00A07E28" w:rsidRPr="00981B0F">
        <w:rPr>
          <w:rFonts w:ascii="Arial" w:hAnsi="Arial" w:cs="Arial"/>
          <w:bCs/>
        </w:rPr>
        <w:t>i</w:t>
      </w:r>
      <w:r w:rsidRPr="00981B0F">
        <w:rPr>
          <w:rFonts w:ascii="Arial" w:hAnsi="Arial" w:cs="Arial"/>
          <w:bCs/>
        </w:rPr>
        <w:t>n the case of existing development supplied through bulk meters, where the account is in arrears and subject to disconnection for non-payment of the account, the Head: Water and Sanitation or authorised delegate may elect to require the installation of separate meters to each unit and the payment of the prescribed charges.’</w:t>
      </w:r>
    </w:p>
    <w:p w14:paraId="0C0E281A" w14:textId="54B04D10" w:rsidR="00B01F0D" w:rsidRPr="00981B0F" w:rsidRDefault="00F27106" w:rsidP="007B494C">
      <w:pPr>
        <w:tabs>
          <w:tab w:val="left" w:pos="567"/>
        </w:tabs>
        <w:spacing w:line="360" w:lineRule="auto"/>
        <w:jc w:val="both"/>
        <w:rPr>
          <w:rFonts w:ascii="Arial" w:hAnsi="Arial" w:cs="Arial"/>
          <w:bCs/>
          <w:sz w:val="24"/>
          <w:szCs w:val="24"/>
        </w:rPr>
      </w:pPr>
      <w:r w:rsidRPr="00981B0F">
        <w:rPr>
          <w:rFonts w:ascii="Arial" w:hAnsi="Arial" w:cs="Arial"/>
          <w:bCs/>
          <w:sz w:val="24"/>
          <w:szCs w:val="24"/>
        </w:rPr>
        <w:t>[</w:t>
      </w:r>
      <w:r w:rsidR="00665535">
        <w:rPr>
          <w:rFonts w:ascii="Arial" w:hAnsi="Arial" w:cs="Arial"/>
          <w:bCs/>
          <w:sz w:val="24"/>
          <w:szCs w:val="24"/>
        </w:rPr>
        <w:t>7</w:t>
      </w:r>
      <w:r w:rsidRPr="00981B0F">
        <w:rPr>
          <w:rFonts w:ascii="Arial" w:hAnsi="Arial" w:cs="Arial"/>
          <w:bCs/>
          <w:sz w:val="24"/>
          <w:szCs w:val="24"/>
        </w:rPr>
        <w:t xml:space="preserve">]  </w:t>
      </w:r>
      <w:r w:rsidR="007B494C">
        <w:rPr>
          <w:rFonts w:ascii="Arial" w:hAnsi="Arial" w:cs="Arial"/>
          <w:bCs/>
          <w:sz w:val="24"/>
          <w:szCs w:val="24"/>
        </w:rPr>
        <w:t xml:space="preserve"> </w:t>
      </w:r>
      <w:r w:rsidRPr="00981B0F">
        <w:rPr>
          <w:rFonts w:ascii="Arial" w:hAnsi="Arial" w:cs="Arial"/>
          <w:bCs/>
          <w:sz w:val="24"/>
          <w:szCs w:val="24"/>
        </w:rPr>
        <w:t xml:space="preserve">The main ground of appeal is </w:t>
      </w:r>
      <w:r w:rsidR="00B01F0D" w:rsidRPr="00981B0F">
        <w:rPr>
          <w:rFonts w:ascii="Arial" w:hAnsi="Arial" w:cs="Arial"/>
          <w:bCs/>
          <w:sz w:val="24"/>
          <w:szCs w:val="24"/>
        </w:rPr>
        <w:t xml:space="preserve">essentially </w:t>
      </w:r>
      <w:r w:rsidRPr="00981B0F">
        <w:rPr>
          <w:rFonts w:ascii="Arial" w:hAnsi="Arial" w:cs="Arial"/>
          <w:bCs/>
          <w:sz w:val="24"/>
          <w:szCs w:val="24"/>
        </w:rPr>
        <w:t>that the court erred in arriving at a conclusion that the applicant’s reliance on the provisions in the respondent’s policy was misplaced and that th</w:t>
      </w:r>
      <w:r w:rsidR="00A07E28" w:rsidRPr="00981B0F">
        <w:rPr>
          <w:rFonts w:ascii="Arial" w:hAnsi="Arial" w:cs="Arial"/>
          <w:bCs/>
          <w:sz w:val="24"/>
          <w:szCs w:val="24"/>
        </w:rPr>
        <w:t>e</w:t>
      </w:r>
      <w:r w:rsidRPr="00981B0F">
        <w:rPr>
          <w:rFonts w:ascii="Arial" w:hAnsi="Arial" w:cs="Arial"/>
          <w:bCs/>
          <w:sz w:val="24"/>
          <w:szCs w:val="24"/>
        </w:rPr>
        <w:t xml:space="preserve"> court erred in finding that the respondent’s policy did not exclude the applicant from the category of domestic users. </w:t>
      </w:r>
      <w:r w:rsidR="004230BA" w:rsidRPr="00981B0F">
        <w:rPr>
          <w:rFonts w:ascii="Arial" w:hAnsi="Arial" w:cs="Arial"/>
          <w:bCs/>
          <w:sz w:val="24"/>
          <w:szCs w:val="24"/>
        </w:rPr>
        <w:t xml:space="preserve"> </w:t>
      </w:r>
      <w:r w:rsidR="00A07E28" w:rsidRPr="00981B0F">
        <w:rPr>
          <w:rFonts w:ascii="Arial" w:hAnsi="Arial" w:cs="Arial"/>
          <w:bCs/>
          <w:sz w:val="24"/>
          <w:szCs w:val="24"/>
        </w:rPr>
        <w:t>To my mind</w:t>
      </w:r>
      <w:r w:rsidR="00A459B0">
        <w:rPr>
          <w:rFonts w:ascii="Arial" w:hAnsi="Arial" w:cs="Arial"/>
          <w:bCs/>
          <w:sz w:val="24"/>
          <w:szCs w:val="24"/>
        </w:rPr>
        <w:t>,</w:t>
      </w:r>
      <w:r w:rsidR="00A07E28" w:rsidRPr="00981B0F">
        <w:rPr>
          <w:rFonts w:ascii="Arial" w:hAnsi="Arial" w:cs="Arial"/>
          <w:bCs/>
          <w:sz w:val="24"/>
          <w:szCs w:val="24"/>
        </w:rPr>
        <w:t xml:space="preserve"> th</w:t>
      </w:r>
      <w:r w:rsidR="00C9427D" w:rsidRPr="00981B0F">
        <w:rPr>
          <w:rFonts w:ascii="Arial" w:hAnsi="Arial" w:cs="Arial"/>
          <w:bCs/>
          <w:sz w:val="24"/>
          <w:szCs w:val="24"/>
        </w:rPr>
        <w:t>ere is no substance on this ground. I</w:t>
      </w:r>
      <w:r w:rsidR="004230BA" w:rsidRPr="00981B0F">
        <w:rPr>
          <w:rFonts w:ascii="Arial" w:hAnsi="Arial" w:cs="Arial"/>
          <w:bCs/>
          <w:sz w:val="24"/>
          <w:szCs w:val="24"/>
        </w:rPr>
        <w:t>t is apparent</w:t>
      </w:r>
      <w:r w:rsidR="00A07E28" w:rsidRPr="00981B0F">
        <w:rPr>
          <w:rFonts w:ascii="Arial" w:hAnsi="Arial" w:cs="Arial"/>
          <w:bCs/>
          <w:sz w:val="24"/>
          <w:szCs w:val="24"/>
        </w:rPr>
        <w:t xml:space="preserve"> from the </w:t>
      </w:r>
      <w:r w:rsidR="00C9427D" w:rsidRPr="00981B0F">
        <w:rPr>
          <w:rFonts w:ascii="Arial" w:hAnsi="Arial" w:cs="Arial"/>
          <w:bCs/>
          <w:sz w:val="24"/>
          <w:szCs w:val="24"/>
        </w:rPr>
        <w:t xml:space="preserve">wording of the </w:t>
      </w:r>
      <w:r w:rsidR="00A459B0">
        <w:rPr>
          <w:rFonts w:ascii="Arial" w:hAnsi="Arial" w:cs="Arial"/>
          <w:bCs/>
          <w:sz w:val="24"/>
          <w:szCs w:val="24"/>
        </w:rPr>
        <w:t>r</w:t>
      </w:r>
      <w:r w:rsidR="00C9427D" w:rsidRPr="00981B0F">
        <w:rPr>
          <w:rFonts w:ascii="Arial" w:hAnsi="Arial" w:cs="Arial"/>
          <w:bCs/>
          <w:sz w:val="24"/>
          <w:szCs w:val="24"/>
        </w:rPr>
        <w:t xml:space="preserve">espondent’s water policy that </w:t>
      </w:r>
      <w:r w:rsidR="004230BA" w:rsidRPr="00981B0F">
        <w:rPr>
          <w:rFonts w:ascii="Arial" w:hAnsi="Arial" w:cs="Arial"/>
          <w:bCs/>
          <w:sz w:val="24"/>
          <w:szCs w:val="24"/>
        </w:rPr>
        <w:t xml:space="preserve">clause 2.4.2 does nothing other than defining a sectional title development.  </w:t>
      </w:r>
      <w:r w:rsidR="004230BA" w:rsidRPr="00981B0F">
        <w:rPr>
          <w:rFonts w:ascii="Arial" w:hAnsi="Arial" w:cs="Arial"/>
          <w:bCs/>
          <w:sz w:val="24"/>
          <w:szCs w:val="24"/>
        </w:rPr>
        <w:lastRenderedPageBreak/>
        <w:t>Further</w:t>
      </w:r>
      <w:r w:rsidR="00875421">
        <w:rPr>
          <w:rFonts w:ascii="Arial" w:hAnsi="Arial" w:cs="Arial"/>
          <w:bCs/>
          <w:sz w:val="24"/>
          <w:szCs w:val="24"/>
        </w:rPr>
        <w:t>more,</w:t>
      </w:r>
      <w:r w:rsidR="004230BA" w:rsidRPr="00981B0F">
        <w:rPr>
          <w:rFonts w:ascii="Arial" w:hAnsi="Arial" w:cs="Arial"/>
          <w:bCs/>
          <w:sz w:val="24"/>
          <w:szCs w:val="24"/>
        </w:rPr>
        <w:t xml:space="preserve"> it is apparent that clause 2.4.4 (a)(i) to (iv) of the policy is a directive to developers of a new sectional title development</w:t>
      </w:r>
      <w:r w:rsidR="00C9427D" w:rsidRPr="00981B0F">
        <w:rPr>
          <w:rFonts w:ascii="Arial" w:hAnsi="Arial" w:cs="Arial"/>
          <w:bCs/>
          <w:sz w:val="24"/>
          <w:szCs w:val="24"/>
        </w:rPr>
        <w:t>,</w:t>
      </w:r>
      <w:r w:rsidR="004230BA" w:rsidRPr="00981B0F">
        <w:rPr>
          <w:rFonts w:ascii="Arial" w:hAnsi="Arial" w:cs="Arial"/>
          <w:bCs/>
          <w:sz w:val="24"/>
          <w:szCs w:val="24"/>
        </w:rPr>
        <w:t xml:space="preserve"> and it is common cause that the applicant is neither a developer nor a new sectional title development, therefore</w:t>
      </w:r>
      <w:r w:rsidR="00A36D93">
        <w:rPr>
          <w:rFonts w:ascii="Arial" w:hAnsi="Arial" w:cs="Arial"/>
          <w:bCs/>
          <w:sz w:val="24"/>
          <w:szCs w:val="24"/>
        </w:rPr>
        <w:t>,</w:t>
      </w:r>
      <w:r w:rsidR="004230BA" w:rsidRPr="00981B0F">
        <w:rPr>
          <w:rFonts w:ascii="Arial" w:hAnsi="Arial" w:cs="Arial"/>
          <w:bCs/>
          <w:sz w:val="24"/>
          <w:szCs w:val="24"/>
        </w:rPr>
        <w:t xml:space="preserve"> </w:t>
      </w:r>
      <w:r w:rsidR="00875421">
        <w:rPr>
          <w:rFonts w:ascii="Arial" w:hAnsi="Arial" w:cs="Arial"/>
          <w:bCs/>
          <w:sz w:val="24"/>
          <w:szCs w:val="24"/>
        </w:rPr>
        <w:t xml:space="preserve">to my mind </w:t>
      </w:r>
      <w:r w:rsidR="004230BA" w:rsidRPr="00981B0F">
        <w:rPr>
          <w:rFonts w:ascii="Arial" w:hAnsi="Arial" w:cs="Arial"/>
          <w:bCs/>
          <w:sz w:val="24"/>
          <w:szCs w:val="24"/>
        </w:rPr>
        <w:t xml:space="preserve">clauses 2.4.4 (a)(i) to (iv) does not apply to the applicant who is an existing, </w:t>
      </w:r>
      <w:r w:rsidR="00A36D93">
        <w:rPr>
          <w:rFonts w:ascii="Arial" w:hAnsi="Arial" w:cs="Arial"/>
          <w:bCs/>
          <w:sz w:val="24"/>
          <w:szCs w:val="24"/>
        </w:rPr>
        <w:t xml:space="preserve">and </w:t>
      </w:r>
      <w:r w:rsidR="004230BA" w:rsidRPr="00981B0F">
        <w:rPr>
          <w:rFonts w:ascii="Arial" w:hAnsi="Arial" w:cs="Arial"/>
          <w:bCs/>
          <w:sz w:val="24"/>
          <w:szCs w:val="24"/>
        </w:rPr>
        <w:t xml:space="preserve">not </w:t>
      </w:r>
      <w:r w:rsidR="00C9427D" w:rsidRPr="00981B0F">
        <w:rPr>
          <w:rFonts w:ascii="Arial" w:hAnsi="Arial" w:cs="Arial"/>
          <w:bCs/>
          <w:sz w:val="24"/>
          <w:szCs w:val="24"/>
        </w:rPr>
        <w:t xml:space="preserve">a </w:t>
      </w:r>
      <w:r w:rsidR="004230BA" w:rsidRPr="00981B0F">
        <w:rPr>
          <w:rFonts w:ascii="Arial" w:hAnsi="Arial" w:cs="Arial"/>
          <w:bCs/>
          <w:sz w:val="24"/>
          <w:szCs w:val="24"/>
        </w:rPr>
        <w:t>new</w:t>
      </w:r>
      <w:r w:rsidR="00A36D93">
        <w:rPr>
          <w:rFonts w:ascii="Arial" w:hAnsi="Arial" w:cs="Arial"/>
          <w:bCs/>
          <w:sz w:val="24"/>
          <w:szCs w:val="24"/>
        </w:rPr>
        <w:t>,</w:t>
      </w:r>
      <w:r w:rsidR="00C9427D" w:rsidRPr="00981B0F">
        <w:rPr>
          <w:rFonts w:ascii="Arial" w:hAnsi="Arial" w:cs="Arial"/>
          <w:bCs/>
          <w:sz w:val="24"/>
          <w:szCs w:val="24"/>
        </w:rPr>
        <w:t xml:space="preserve"> </w:t>
      </w:r>
      <w:r w:rsidR="004230BA" w:rsidRPr="00981B0F">
        <w:rPr>
          <w:rFonts w:ascii="Arial" w:hAnsi="Arial" w:cs="Arial"/>
          <w:bCs/>
          <w:sz w:val="24"/>
          <w:szCs w:val="24"/>
        </w:rPr>
        <w:t xml:space="preserve">sectional title development. </w:t>
      </w:r>
      <w:r w:rsidR="00B01F0D" w:rsidRPr="00981B0F">
        <w:rPr>
          <w:rFonts w:ascii="Arial" w:hAnsi="Arial" w:cs="Arial"/>
          <w:bCs/>
          <w:sz w:val="24"/>
          <w:szCs w:val="24"/>
        </w:rPr>
        <w:t xml:space="preserve"> </w:t>
      </w:r>
      <w:r w:rsidR="00710E13" w:rsidRPr="00981B0F">
        <w:rPr>
          <w:rFonts w:ascii="Arial" w:hAnsi="Arial" w:cs="Arial"/>
          <w:bCs/>
          <w:sz w:val="24"/>
          <w:szCs w:val="24"/>
        </w:rPr>
        <w:t>Further,</w:t>
      </w:r>
      <w:r w:rsidR="00B01F0D" w:rsidRPr="00981B0F">
        <w:rPr>
          <w:rFonts w:ascii="Arial" w:hAnsi="Arial" w:cs="Arial"/>
          <w:bCs/>
          <w:sz w:val="24"/>
          <w:szCs w:val="24"/>
        </w:rPr>
        <w:t xml:space="preserve"> the applicant did not refer to any clause in the respondent’s policy to support the contention that </w:t>
      </w:r>
      <w:r w:rsidR="00C9427D" w:rsidRPr="00981B0F">
        <w:rPr>
          <w:rFonts w:ascii="Arial" w:hAnsi="Arial" w:cs="Arial"/>
          <w:bCs/>
          <w:sz w:val="24"/>
          <w:szCs w:val="24"/>
        </w:rPr>
        <w:t>it is a</w:t>
      </w:r>
      <w:r w:rsidR="00B01F0D" w:rsidRPr="00981B0F">
        <w:rPr>
          <w:rFonts w:ascii="Arial" w:hAnsi="Arial" w:cs="Arial"/>
          <w:bCs/>
          <w:sz w:val="24"/>
          <w:szCs w:val="24"/>
        </w:rPr>
        <w:t xml:space="preserve"> commercial consumer.</w:t>
      </w:r>
    </w:p>
    <w:p w14:paraId="2B6F4FC6" w14:textId="0FA026DF" w:rsidR="00375619" w:rsidRPr="00332D5F" w:rsidRDefault="00B01F0D" w:rsidP="00A36D93">
      <w:pPr>
        <w:tabs>
          <w:tab w:val="left" w:pos="567"/>
        </w:tabs>
        <w:spacing w:line="360" w:lineRule="auto"/>
        <w:jc w:val="both"/>
        <w:rPr>
          <w:rFonts w:ascii="Arial" w:hAnsi="Arial" w:cs="Arial"/>
          <w:bCs/>
          <w:sz w:val="24"/>
          <w:szCs w:val="24"/>
        </w:rPr>
      </w:pPr>
      <w:r w:rsidRPr="00981B0F">
        <w:rPr>
          <w:rFonts w:ascii="Arial" w:hAnsi="Arial" w:cs="Arial"/>
          <w:sz w:val="24"/>
          <w:szCs w:val="24"/>
        </w:rPr>
        <w:t>[</w:t>
      </w:r>
      <w:r w:rsidR="00665535">
        <w:rPr>
          <w:rFonts w:ascii="Arial" w:hAnsi="Arial" w:cs="Arial"/>
          <w:sz w:val="24"/>
          <w:szCs w:val="24"/>
        </w:rPr>
        <w:t>8</w:t>
      </w:r>
      <w:r w:rsidRPr="00981B0F">
        <w:rPr>
          <w:rFonts w:ascii="Arial" w:hAnsi="Arial" w:cs="Arial"/>
          <w:sz w:val="24"/>
          <w:szCs w:val="24"/>
        </w:rPr>
        <w:t xml:space="preserve">] </w:t>
      </w:r>
      <w:r w:rsidR="00981B0F" w:rsidRPr="00981B0F">
        <w:rPr>
          <w:rFonts w:ascii="Arial" w:hAnsi="Arial" w:cs="Arial"/>
          <w:sz w:val="24"/>
          <w:szCs w:val="24"/>
        </w:rPr>
        <w:tab/>
      </w:r>
      <w:r w:rsidR="00375619" w:rsidRPr="00981B0F">
        <w:rPr>
          <w:rFonts w:ascii="Arial" w:hAnsi="Arial" w:cs="Arial"/>
          <w:bCs/>
          <w:sz w:val="24"/>
          <w:szCs w:val="24"/>
        </w:rPr>
        <w:t xml:space="preserve">The applicant </w:t>
      </w:r>
      <w:r w:rsidR="00567ED9" w:rsidRPr="00981B0F">
        <w:rPr>
          <w:rFonts w:ascii="Arial" w:hAnsi="Arial" w:cs="Arial"/>
          <w:bCs/>
          <w:sz w:val="24"/>
          <w:szCs w:val="24"/>
        </w:rPr>
        <w:t xml:space="preserve"> further </w:t>
      </w:r>
      <w:r w:rsidR="00375619" w:rsidRPr="00981B0F">
        <w:rPr>
          <w:rFonts w:ascii="Arial" w:hAnsi="Arial" w:cs="Arial"/>
          <w:bCs/>
          <w:sz w:val="24"/>
          <w:szCs w:val="24"/>
        </w:rPr>
        <w:t xml:space="preserve">submits that this court ought to have found that clause 2.4.4 (c) of the policy envisaged within a sectional title development </w:t>
      </w:r>
      <w:r w:rsidR="006A62D8">
        <w:rPr>
          <w:rFonts w:ascii="Arial" w:hAnsi="Arial" w:cs="Arial"/>
          <w:bCs/>
          <w:sz w:val="24"/>
          <w:szCs w:val="24"/>
        </w:rPr>
        <w:t xml:space="preserve">that </w:t>
      </w:r>
      <w:r w:rsidR="00375619" w:rsidRPr="00981B0F">
        <w:rPr>
          <w:rFonts w:ascii="Arial" w:hAnsi="Arial" w:cs="Arial"/>
          <w:bCs/>
          <w:sz w:val="24"/>
          <w:szCs w:val="24"/>
        </w:rPr>
        <w:t xml:space="preserve">only individual units with individual meters could be charged </w:t>
      </w:r>
      <w:r w:rsidR="003862E7">
        <w:rPr>
          <w:rFonts w:ascii="Arial" w:hAnsi="Arial" w:cs="Arial"/>
          <w:bCs/>
          <w:sz w:val="24"/>
          <w:szCs w:val="24"/>
        </w:rPr>
        <w:t xml:space="preserve"> for water by respondent according to the level of service chosen based</w:t>
      </w:r>
      <w:r w:rsidR="00375619" w:rsidRPr="00981B0F">
        <w:rPr>
          <w:rFonts w:ascii="Arial" w:hAnsi="Arial" w:cs="Arial"/>
          <w:bCs/>
          <w:sz w:val="24"/>
          <w:szCs w:val="24"/>
        </w:rPr>
        <w:t xml:space="preserve"> on a metered consumption for each unit</w:t>
      </w:r>
      <w:r w:rsidR="003862E7">
        <w:rPr>
          <w:rFonts w:ascii="Arial" w:hAnsi="Arial" w:cs="Arial"/>
          <w:bCs/>
          <w:sz w:val="24"/>
          <w:szCs w:val="24"/>
        </w:rPr>
        <w:t>;</w:t>
      </w:r>
      <w:r w:rsidR="00375619" w:rsidRPr="00981B0F">
        <w:rPr>
          <w:rFonts w:ascii="Arial" w:hAnsi="Arial" w:cs="Arial"/>
          <w:bCs/>
          <w:sz w:val="24"/>
          <w:szCs w:val="24"/>
        </w:rPr>
        <w:t xml:space="preserve"> could be charged at a domestic tariff</w:t>
      </w:r>
      <w:r w:rsidR="00332D5F">
        <w:rPr>
          <w:rFonts w:ascii="Arial" w:hAnsi="Arial" w:cs="Arial"/>
          <w:bCs/>
          <w:sz w:val="24"/>
          <w:szCs w:val="24"/>
        </w:rPr>
        <w:t>. T</w:t>
      </w:r>
      <w:r w:rsidR="00875421">
        <w:rPr>
          <w:rFonts w:ascii="Arial" w:hAnsi="Arial" w:cs="Arial"/>
          <w:bCs/>
          <w:sz w:val="24"/>
          <w:szCs w:val="24"/>
        </w:rPr>
        <w:t xml:space="preserve">he court </w:t>
      </w:r>
      <w:r w:rsidR="00375619" w:rsidRPr="00981B0F">
        <w:rPr>
          <w:rFonts w:ascii="Arial" w:hAnsi="Arial" w:cs="Arial"/>
          <w:bCs/>
          <w:sz w:val="24"/>
          <w:szCs w:val="24"/>
        </w:rPr>
        <w:t xml:space="preserve">ought to have found, the argument went, that clause 2.4.4.(b) of the policy envisaged that where a sectional title development used a bulk meter then </w:t>
      </w:r>
      <w:r w:rsidR="006A62D8">
        <w:rPr>
          <w:rFonts w:ascii="Arial" w:hAnsi="Arial" w:cs="Arial"/>
          <w:bCs/>
          <w:sz w:val="24"/>
          <w:szCs w:val="24"/>
        </w:rPr>
        <w:t>‘</w:t>
      </w:r>
      <w:r w:rsidR="00375619" w:rsidRPr="00981B0F">
        <w:rPr>
          <w:rFonts w:ascii="Arial" w:hAnsi="Arial" w:cs="Arial"/>
          <w:bCs/>
          <w:sz w:val="24"/>
          <w:szCs w:val="24"/>
        </w:rPr>
        <w:t xml:space="preserve">no fixed charge would be paid for bulk meter but the </w:t>
      </w:r>
      <w:r w:rsidR="006A62D8">
        <w:rPr>
          <w:rFonts w:ascii="Arial" w:hAnsi="Arial" w:cs="Arial"/>
          <w:bCs/>
          <w:sz w:val="24"/>
          <w:szCs w:val="24"/>
        </w:rPr>
        <w:t>B</w:t>
      </w:r>
      <w:r w:rsidR="00375619" w:rsidRPr="00981B0F">
        <w:rPr>
          <w:rFonts w:ascii="Arial" w:hAnsi="Arial" w:cs="Arial"/>
          <w:bCs/>
          <w:sz w:val="24"/>
          <w:szCs w:val="24"/>
        </w:rPr>
        <w:t>ody Corporate would be billed at a tariff rate for non-domestic customers</w:t>
      </w:r>
      <w:r w:rsidR="006A62D8">
        <w:rPr>
          <w:rFonts w:ascii="Arial" w:hAnsi="Arial" w:cs="Arial"/>
          <w:bCs/>
          <w:sz w:val="24"/>
          <w:szCs w:val="24"/>
        </w:rPr>
        <w:t>’</w:t>
      </w:r>
      <w:r w:rsidR="00375619" w:rsidRPr="00981B0F">
        <w:rPr>
          <w:rFonts w:ascii="Arial" w:hAnsi="Arial" w:cs="Arial"/>
          <w:bCs/>
          <w:sz w:val="24"/>
          <w:szCs w:val="24"/>
        </w:rPr>
        <w:t>.</w:t>
      </w:r>
      <w:r w:rsidR="00375619" w:rsidRPr="00981B0F">
        <w:rPr>
          <w:rFonts w:ascii="Arial" w:hAnsi="Arial" w:cs="Arial"/>
          <w:b/>
          <w:sz w:val="24"/>
          <w:szCs w:val="24"/>
        </w:rPr>
        <w:t xml:space="preserve"> </w:t>
      </w:r>
    </w:p>
    <w:p w14:paraId="39110CB6" w14:textId="4019A60D" w:rsidR="00214E88" w:rsidRPr="00981B0F" w:rsidRDefault="00375619" w:rsidP="00214E88">
      <w:pPr>
        <w:spacing w:line="360" w:lineRule="auto"/>
        <w:jc w:val="both"/>
        <w:rPr>
          <w:rFonts w:ascii="Arial" w:hAnsi="Arial" w:cs="Arial"/>
          <w:bCs/>
          <w:sz w:val="24"/>
          <w:szCs w:val="24"/>
        </w:rPr>
      </w:pPr>
      <w:r w:rsidRPr="00981B0F">
        <w:rPr>
          <w:rFonts w:ascii="Arial" w:hAnsi="Arial" w:cs="Arial"/>
          <w:bCs/>
          <w:sz w:val="24"/>
          <w:szCs w:val="24"/>
        </w:rPr>
        <w:t>[</w:t>
      </w:r>
      <w:r w:rsidR="00665535">
        <w:rPr>
          <w:rFonts w:ascii="Arial" w:hAnsi="Arial" w:cs="Arial"/>
          <w:bCs/>
          <w:sz w:val="24"/>
          <w:szCs w:val="24"/>
        </w:rPr>
        <w:t>9</w:t>
      </w:r>
      <w:r w:rsidRPr="00981B0F">
        <w:rPr>
          <w:rFonts w:ascii="Arial" w:hAnsi="Arial" w:cs="Arial"/>
          <w:bCs/>
          <w:sz w:val="24"/>
          <w:szCs w:val="24"/>
        </w:rPr>
        <w:t xml:space="preserve">] </w:t>
      </w:r>
      <w:r w:rsidR="00981B0F" w:rsidRPr="00981B0F">
        <w:rPr>
          <w:rFonts w:ascii="Arial" w:hAnsi="Arial" w:cs="Arial"/>
          <w:bCs/>
          <w:sz w:val="24"/>
          <w:szCs w:val="24"/>
        </w:rPr>
        <w:tab/>
      </w:r>
      <w:r w:rsidRPr="00981B0F">
        <w:rPr>
          <w:rFonts w:ascii="Arial" w:hAnsi="Arial" w:cs="Arial"/>
          <w:bCs/>
          <w:sz w:val="24"/>
          <w:szCs w:val="24"/>
        </w:rPr>
        <w:t>It is instructive to point out that the applicant’s counsel did not make any submission</w:t>
      </w:r>
      <w:r w:rsidR="008C6262">
        <w:rPr>
          <w:rFonts w:ascii="Arial" w:hAnsi="Arial" w:cs="Arial"/>
          <w:bCs/>
          <w:sz w:val="24"/>
          <w:szCs w:val="24"/>
        </w:rPr>
        <w:t>s</w:t>
      </w:r>
      <w:r w:rsidRPr="00981B0F">
        <w:rPr>
          <w:rFonts w:ascii="Arial" w:hAnsi="Arial" w:cs="Arial"/>
          <w:bCs/>
          <w:sz w:val="24"/>
          <w:szCs w:val="24"/>
        </w:rPr>
        <w:t xml:space="preserve"> about how the clauses of the policy </w:t>
      </w:r>
      <w:r w:rsidR="00567ED9" w:rsidRPr="00981B0F">
        <w:rPr>
          <w:rFonts w:ascii="Arial" w:hAnsi="Arial" w:cs="Arial"/>
          <w:bCs/>
          <w:sz w:val="24"/>
          <w:szCs w:val="24"/>
        </w:rPr>
        <w:t xml:space="preserve">he referred to should be interpreted. </w:t>
      </w:r>
      <w:r w:rsidR="003D4D42">
        <w:rPr>
          <w:rFonts w:ascii="Arial" w:hAnsi="Arial" w:cs="Arial"/>
          <w:bCs/>
          <w:sz w:val="24"/>
          <w:szCs w:val="24"/>
        </w:rPr>
        <w:t>Further, n</w:t>
      </w:r>
      <w:r w:rsidR="00567ED9" w:rsidRPr="00981B0F">
        <w:rPr>
          <w:rFonts w:ascii="Arial" w:hAnsi="Arial" w:cs="Arial"/>
          <w:bCs/>
          <w:sz w:val="24"/>
          <w:szCs w:val="24"/>
        </w:rPr>
        <w:t>o submission was made to this court as to how the cited clauses of the policy supported the applicant’s case.</w:t>
      </w:r>
      <w:r w:rsidRPr="00981B0F">
        <w:rPr>
          <w:rFonts w:ascii="Arial" w:hAnsi="Arial" w:cs="Arial"/>
          <w:bCs/>
          <w:sz w:val="24"/>
          <w:szCs w:val="24"/>
        </w:rPr>
        <w:t xml:space="preserve"> </w:t>
      </w:r>
      <w:r w:rsidR="00710E13" w:rsidRPr="00981B0F">
        <w:rPr>
          <w:rFonts w:ascii="Arial" w:hAnsi="Arial" w:cs="Arial"/>
          <w:bCs/>
          <w:sz w:val="24"/>
          <w:szCs w:val="24"/>
        </w:rPr>
        <w:t>Therefore,</w:t>
      </w:r>
      <w:r w:rsidRPr="00981B0F">
        <w:rPr>
          <w:rFonts w:ascii="Arial" w:hAnsi="Arial" w:cs="Arial"/>
          <w:bCs/>
          <w:sz w:val="24"/>
          <w:szCs w:val="24"/>
        </w:rPr>
        <w:t xml:space="preserve"> the court </w:t>
      </w:r>
      <w:r w:rsidR="00567ED9" w:rsidRPr="00981B0F">
        <w:rPr>
          <w:rFonts w:ascii="Arial" w:hAnsi="Arial" w:cs="Arial"/>
          <w:bCs/>
          <w:sz w:val="24"/>
          <w:szCs w:val="24"/>
        </w:rPr>
        <w:t>did not consider the propos</w:t>
      </w:r>
      <w:r w:rsidR="00875421">
        <w:rPr>
          <w:rFonts w:ascii="Arial" w:hAnsi="Arial" w:cs="Arial"/>
          <w:bCs/>
          <w:sz w:val="24"/>
          <w:szCs w:val="24"/>
        </w:rPr>
        <w:t xml:space="preserve">itions that </w:t>
      </w:r>
      <w:r w:rsidR="008C6262">
        <w:rPr>
          <w:rFonts w:ascii="Arial" w:hAnsi="Arial" w:cs="Arial"/>
          <w:bCs/>
          <w:sz w:val="24"/>
          <w:szCs w:val="24"/>
        </w:rPr>
        <w:t xml:space="preserve">were </w:t>
      </w:r>
      <w:r w:rsidR="00875421">
        <w:rPr>
          <w:rFonts w:ascii="Arial" w:hAnsi="Arial" w:cs="Arial"/>
          <w:bCs/>
          <w:sz w:val="24"/>
          <w:szCs w:val="24"/>
        </w:rPr>
        <w:t>put forward by counsel for the applicant,</w:t>
      </w:r>
      <w:r w:rsidR="00567ED9" w:rsidRPr="00981B0F">
        <w:rPr>
          <w:rFonts w:ascii="Arial" w:hAnsi="Arial" w:cs="Arial"/>
          <w:bCs/>
          <w:sz w:val="24"/>
          <w:szCs w:val="24"/>
        </w:rPr>
        <w:t xml:space="preserve"> because th</w:t>
      </w:r>
      <w:r w:rsidR="00875421">
        <w:rPr>
          <w:rFonts w:ascii="Arial" w:hAnsi="Arial" w:cs="Arial"/>
          <w:bCs/>
          <w:sz w:val="24"/>
          <w:szCs w:val="24"/>
        </w:rPr>
        <w:t>ese</w:t>
      </w:r>
      <w:r w:rsidR="00567ED9" w:rsidRPr="00981B0F">
        <w:rPr>
          <w:rFonts w:ascii="Arial" w:hAnsi="Arial" w:cs="Arial"/>
          <w:bCs/>
          <w:sz w:val="24"/>
          <w:szCs w:val="24"/>
        </w:rPr>
        <w:t xml:space="preserve"> </w:t>
      </w:r>
      <w:r w:rsidR="007B38EA" w:rsidRPr="00981B0F">
        <w:rPr>
          <w:rFonts w:ascii="Arial" w:hAnsi="Arial" w:cs="Arial"/>
          <w:bCs/>
          <w:sz w:val="24"/>
          <w:szCs w:val="24"/>
        </w:rPr>
        <w:t>proposition</w:t>
      </w:r>
      <w:r w:rsidR="00875421">
        <w:rPr>
          <w:rFonts w:ascii="Arial" w:hAnsi="Arial" w:cs="Arial"/>
          <w:bCs/>
          <w:sz w:val="24"/>
          <w:szCs w:val="24"/>
        </w:rPr>
        <w:t>s</w:t>
      </w:r>
      <w:r w:rsidR="007B38EA" w:rsidRPr="00981B0F">
        <w:rPr>
          <w:rFonts w:ascii="Arial" w:hAnsi="Arial" w:cs="Arial"/>
          <w:bCs/>
          <w:sz w:val="24"/>
          <w:szCs w:val="24"/>
        </w:rPr>
        <w:t xml:space="preserve"> w</w:t>
      </w:r>
      <w:r w:rsidR="00875421">
        <w:rPr>
          <w:rFonts w:ascii="Arial" w:hAnsi="Arial" w:cs="Arial"/>
          <w:bCs/>
          <w:sz w:val="24"/>
          <w:szCs w:val="24"/>
        </w:rPr>
        <w:t>ere</w:t>
      </w:r>
      <w:r w:rsidR="007B38EA" w:rsidRPr="00981B0F">
        <w:rPr>
          <w:rFonts w:ascii="Arial" w:hAnsi="Arial" w:cs="Arial"/>
          <w:bCs/>
          <w:sz w:val="24"/>
          <w:szCs w:val="24"/>
        </w:rPr>
        <w:t xml:space="preserve"> n</w:t>
      </w:r>
      <w:r w:rsidR="00875421">
        <w:rPr>
          <w:rFonts w:ascii="Arial" w:hAnsi="Arial" w:cs="Arial"/>
          <w:bCs/>
          <w:sz w:val="24"/>
          <w:szCs w:val="24"/>
        </w:rPr>
        <w:t>ot</w:t>
      </w:r>
      <w:r w:rsidR="007B38EA" w:rsidRPr="00981B0F">
        <w:rPr>
          <w:rFonts w:ascii="Arial" w:hAnsi="Arial" w:cs="Arial"/>
          <w:bCs/>
          <w:sz w:val="24"/>
          <w:szCs w:val="24"/>
        </w:rPr>
        <w:t xml:space="preserve"> advanced at the hearing of the matter. </w:t>
      </w:r>
      <w:r w:rsidR="00875421">
        <w:rPr>
          <w:rFonts w:ascii="Arial" w:hAnsi="Arial" w:cs="Arial"/>
          <w:bCs/>
          <w:sz w:val="24"/>
          <w:szCs w:val="24"/>
        </w:rPr>
        <w:t>Nevertheless, in my view</w:t>
      </w:r>
      <w:r w:rsidR="005D3CCB">
        <w:rPr>
          <w:rFonts w:ascii="Arial" w:hAnsi="Arial" w:cs="Arial"/>
          <w:bCs/>
          <w:sz w:val="24"/>
          <w:szCs w:val="24"/>
        </w:rPr>
        <w:t>,</w:t>
      </w:r>
      <w:r w:rsidR="00875421">
        <w:rPr>
          <w:rFonts w:ascii="Arial" w:hAnsi="Arial" w:cs="Arial"/>
          <w:bCs/>
          <w:sz w:val="24"/>
          <w:szCs w:val="24"/>
        </w:rPr>
        <w:t xml:space="preserve"> these propositions </w:t>
      </w:r>
      <w:r w:rsidR="007B38EA" w:rsidRPr="00981B0F">
        <w:rPr>
          <w:rFonts w:ascii="Arial" w:hAnsi="Arial" w:cs="Arial"/>
          <w:bCs/>
          <w:sz w:val="24"/>
          <w:szCs w:val="24"/>
        </w:rPr>
        <w:t xml:space="preserve">are </w:t>
      </w:r>
      <w:r w:rsidR="00710E13" w:rsidRPr="00981B0F">
        <w:rPr>
          <w:rFonts w:ascii="Arial" w:hAnsi="Arial" w:cs="Arial"/>
          <w:bCs/>
          <w:sz w:val="24"/>
          <w:szCs w:val="24"/>
        </w:rPr>
        <w:t>farfetched</w:t>
      </w:r>
      <w:r w:rsidR="00214E88" w:rsidRPr="00981B0F">
        <w:rPr>
          <w:rFonts w:ascii="Arial" w:hAnsi="Arial" w:cs="Arial"/>
          <w:bCs/>
          <w:sz w:val="24"/>
          <w:szCs w:val="24"/>
        </w:rPr>
        <w:t>. It is common cause that the applicant is charged on a single bulk meter,</w:t>
      </w:r>
      <w:r w:rsidR="00BB3012" w:rsidRPr="00981B0F">
        <w:rPr>
          <w:rFonts w:ascii="Arial" w:hAnsi="Arial" w:cs="Arial"/>
          <w:bCs/>
          <w:sz w:val="24"/>
          <w:szCs w:val="24"/>
        </w:rPr>
        <w:t xml:space="preserve"> therefore the provisions of clause</w:t>
      </w:r>
      <w:r w:rsidR="00214E88" w:rsidRPr="00981B0F">
        <w:rPr>
          <w:rFonts w:ascii="Arial" w:hAnsi="Arial" w:cs="Arial"/>
          <w:bCs/>
          <w:sz w:val="24"/>
          <w:szCs w:val="24"/>
        </w:rPr>
        <w:t xml:space="preserve"> 2.4.4 (b) is not applicable and </w:t>
      </w:r>
      <w:r w:rsidR="00567ED9" w:rsidRPr="00981B0F">
        <w:rPr>
          <w:rFonts w:ascii="Arial" w:hAnsi="Arial" w:cs="Arial"/>
          <w:bCs/>
          <w:sz w:val="24"/>
          <w:szCs w:val="24"/>
        </w:rPr>
        <w:t>the</w:t>
      </w:r>
      <w:r w:rsidR="00F603C3">
        <w:rPr>
          <w:rFonts w:ascii="Arial" w:hAnsi="Arial" w:cs="Arial"/>
          <w:bCs/>
          <w:sz w:val="24"/>
          <w:szCs w:val="24"/>
        </w:rPr>
        <w:t xml:space="preserve"> </w:t>
      </w:r>
      <w:r w:rsidR="00214E88" w:rsidRPr="00981B0F">
        <w:rPr>
          <w:rFonts w:ascii="Arial" w:hAnsi="Arial" w:cs="Arial"/>
          <w:bCs/>
          <w:sz w:val="24"/>
          <w:szCs w:val="24"/>
        </w:rPr>
        <w:t xml:space="preserve">non-domestic rate </w:t>
      </w:r>
      <w:r w:rsidR="00234E7F">
        <w:rPr>
          <w:rFonts w:ascii="Arial" w:hAnsi="Arial" w:cs="Arial"/>
          <w:bCs/>
          <w:sz w:val="24"/>
          <w:szCs w:val="24"/>
        </w:rPr>
        <w:t>should</w:t>
      </w:r>
      <w:r w:rsidR="00214E88" w:rsidRPr="00981B0F">
        <w:rPr>
          <w:rFonts w:ascii="Arial" w:hAnsi="Arial" w:cs="Arial"/>
          <w:bCs/>
          <w:sz w:val="24"/>
          <w:szCs w:val="24"/>
        </w:rPr>
        <w:t xml:space="preserve"> not </w:t>
      </w:r>
      <w:r w:rsidR="00576265" w:rsidRPr="00981B0F">
        <w:rPr>
          <w:rFonts w:ascii="Arial" w:hAnsi="Arial" w:cs="Arial"/>
          <w:bCs/>
          <w:sz w:val="24"/>
          <w:szCs w:val="24"/>
        </w:rPr>
        <w:t>apply</w:t>
      </w:r>
      <w:r w:rsidR="00214E88" w:rsidRPr="00981B0F">
        <w:rPr>
          <w:rFonts w:ascii="Arial" w:hAnsi="Arial" w:cs="Arial"/>
          <w:bCs/>
          <w:sz w:val="24"/>
          <w:szCs w:val="24"/>
        </w:rPr>
        <w:t xml:space="preserve"> to the applicant</w:t>
      </w:r>
      <w:r w:rsidR="00BB3012" w:rsidRPr="00981B0F">
        <w:rPr>
          <w:rFonts w:ascii="Arial" w:hAnsi="Arial" w:cs="Arial"/>
          <w:bCs/>
          <w:sz w:val="24"/>
          <w:szCs w:val="24"/>
        </w:rPr>
        <w:t>. The applicant correctly submit</w:t>
      </w:r>
      <w:r w:rsidR="00567ED9" w:rsidRPr="00981B0F">
        <w:rPr>
          <w:rFonts w:ascii="Arial" w:hAnsi="Arial" w:cs="Arial"/>
          <w:bCs/>
          <w:sz w:val="24"/>
          <w:szCs w:val="24"/>
        </w:rPr>
        <w:t>s</w:t>
      </w:r>
      <w:r w:rsidR="00BB3012" w:rsidRPr="00981B0F">
        <w:rPr>
          <w:rFonts w:ascii="Arial" w:hAnsi="Arial" w:cs="Arial"/>
          <w:bCs/>
          <w:sz w:val="24"/>
          <w:szCs w:val="24"/>
        </w:rPr>
        <w:t xml:space="preserve"> that in terms of</w:t>
      </w:r>
      <w:r w:rsidR="00214E88" w:rsidRPr="00981B0F">
        <w:rPr>
          <w:rFonts w:ascii="Arial" w:hAnsi="Arial" w:cs="Arial"/>
          <w:bCs/>
          <w:sz w:val="24"/>
          <w:szCs w:val="24"/>
        </w:rPr>
        <w:t xml:space="preserve"> clause 2.4.4 (e)</w:t>
      </w:r>
      <w:r w:rsidR="00BB3012" w:rsidRPr="00981B0F">
        <w:rPr>
          <w:rFonts w:ascii="Arial" w:hAnsi="Arial" w:cs="Arial"/>
          <w:bCs/>
          <w:sz w:val="24"/>
          <w:szCs w:val="24"/>
        </w:rPr>
        <w:t xml:space="preserve"> </w:t>
      </w:r>
      <w:r w:rsidR="00567ED9" w:rsidRPr="00981B0F">
        <w:rPr>
          <w:rFonts w:ascii="Arial" w:hAnsi="Arial" w:cs="Arial"/>
          <w:bCs/>
          <w:sz w:val="24"/>
          <w:szCs w:val="24"/>
        </w:rPr>
        <w:t>it is</w:t>
      </w:r>
      <w:r w:rsidR="00BB3012" w:rsidRPr="00981B0F">
        <w:rPr>
          <w:rFonts w:ascii="Arial" w:hAnsi="Arial" w:cs="Arial"/>
          <w:bCs/>
          <w:sz w:val="24"/>
          <w:szCs w:val="24"/>
        </w:rPr>
        <w:t xml:space="preserve"> allowed to</w:t>
      </w:r>
      <w:r w:rsidR="00214E88" w:rsidRPr="00981B0F">
        <w:rPr>
          <w:rFonts w:ascii="Arial" w:hAnsi="Arial" w:cs="Arial"/>
          <w:bCs/>
          <w:sz w:val="24"/>
          <w:szCs w:val="24"/>
        </w:rPr>
        <w:t xml:space="preserve"> apply for installation of </w:t>
      </w:r>
      <w:r w:rsidR="00A61189">
        <w:rPr>
          <w:rFonts w:ascii="Arial" w:hAnsi="Arial" w:cs="Arial"/>
          <w:bCs/>
          <w:sz w:val="24"/>
          <w:szCs w:val="24"/>
        </w:rPr>
        <w:t xml:space="preserve">a </w:t>
      </w:r>
      <w:r w:rsidR="00214E88" w:rsidRPr="00981B0F">
        <w:rPr>
          <w:rFonts w:ascii="Arial" w:hAnsi="Arial" w:cs="Arial"/>
          <w:bCs/>
          <w:sz w:val="24"/>
          <w:szCs w:val="24"/>
        </w:rPr>
        <w:t>separate meter to each unit</w:t>
      </w:r>
      <w:r w:rsidR="00234E7F">
        <w:rPr>
          <w:rFonts w:ascii="Arial" w:hAnsi="Arial" w:cs="Arial"/>
          <w:bCs/>
          <w:sz w:val="24"/>
          <w:szCs w:val="24"/>
        </w:rPr>
        <w:t>,</w:t>
      </w:r>
      <w:r w:rsidR="00F603C3">
        <w:rPr>
          <w:rFonts w:ascii="Arial" w:hAnsi="Arial" w:cs="Arial"/>
          <w:bCs/>
          <w:sz w:val="24"/>
          <w:szCs w:val="24"/>
        </w:rPr>
        <w:t xml:space="preserve"> </w:t>
      </w:r>
      <w:r w:rsidR="00576265" w:rsidRPr="00981B0F">
        <w:rPr>
          <w:rFonts w:ascii="Arial" w:hAnsi="Arial" w:cs="Arial"/>
          <w:bCs/>
          <w:sz w:val="24"/>
          <w:szCs w:val="24"/>
        </w:rPr>
        <w:t xml:space="preserve">but </w:t>
      </w:r>
      <w:r w:rsidR="00214E88" w:rsidRPr="00981B0F">
        <w:rPr>
          <w:rFonts w:ascii="Arial" w:hAnsi="Arial" w:cs="Arial"/>
          <w:bCs/>
          <w:sz w:val="24"/>
          <w:szCs w:val="24"/>
        </w:rPr>
        <w:t>the applicant h</w:t>
      </w:r>
      <w:r w:rsidR="00234E7F">
        <w:rPr>
          <w:rFonts w:ascii="Arial" w:hAnsi="Arial" w:cs="Arial"/>
          <w:bCs/>
          <w:sz w:val="24"/>
          <w:szCs w:val="24"/>
        </w:rPr>
        <w:t>ad</w:t>
      </w:r>
      <w:r w:rsidR="00214E88" w:rsidRPr="00981B0F">
        <w:rPr>
          <w:rFonts w:ascii="Arial" w:hAnsi="Arial" w:cs="Arial"/>
          <w:bCs/>
          <w:sz w:val="24"/>
          <w:szCs w:val="24"/>
        </w:rPr>
        <w:t xml:space="preserve"> </w:t>
      </w:r>
      <w:r w:rsidR="00576265" w:rsidRPr="00981B0F">
        <w:rPr>
          <w:rFonts w:ascii="Arial" w:hAnsi="Arial" w:cs="Arial"/>
          <w:bCs/>
          <w:sz w:val="24"/>
          <w:szCs w:val="24"/>
        </w:rPr>
        <w:t xml:space="preserve">not </w:t>
      </w:r>
      <w:r w:rsidR="00F603C3" w:rsidRPr="00981B0F">
        <w:rPr>
          <w:rFonts w:ascii="Arial" w:hAnsi="Arial" w:cs="Arial"/>
          <w:bCs/>
          <w:sz w:val="24"/>
          <w:szCs w:val="24"/>
        </w:rPr>
        <w:t>ma</w:t>
      </w:r>
      <w:r w:rsidR="00F603C3">
        <w:rPr>
          <w:rFonts w:ascii="Arial" w:hAnsi="Arial" w:cs="Arial"/>
          <w:bCs/>
          <w:sz w:val="24"/>
          <w:szCs w:val="24"/>
        </w:rPr>
        <w:t>de</w:t>
      </w:r>
      <w:r w:rsidR="00214E88" w:rsidRPr="00981B0F">
        <w:rPr>
          <w:rFonts w:ascii="Arial" w:hAnsi="Arial" w:cs="Arial"/>
          <w:bCs/>
          <w:sz w:val="24"/>
          <w:szCs w:val="24"/>
        </w:rPr>
        <w:t xml:space="preserve"> such application</w:t>
      </w:r>
      <w:r w:rsidR="00BB3012" w:rsidRPr="00981B0F">
        <w:rPr>
          <w:rFonts w:ascii="Arial" w:hAnsi="Arial" w:cs="Arial"/>
          <w:bCs/>
          <w:sz w:val="24"/>
          <w:szCs w:val="24"/>
        </w:rPr>
        <w:t>.  Based on their own submission</w:t>
      </w:r>
      <w:r w:rsidR="00A61189">
        <w:rPr>
          <w:rFonts w:ascii="Arial" w:hAnsi="Arial" w:cs="Arial"/>
          <w:bCs/>
          <w:sz w:val="24"/>
          <w:szCs w:val="24"/>
        </w:rPr>
        <w:t>,</w:t>
      </w:r>
      <w:r w:rsidR="00BB3012" w:rsidRPr="00981B0F">
        <w:rPr>
          <w:rFonts w:ascii="Arial" w:hAnsi="Arial" w:cs="Arial"/>
          <w:bCs/>
          <w:sz w:val="24"/>
          <w:szCs w:val="24"/>
        </w:rPr>
        <w:t xml:space="preserve"> </w:t>
      </w:r>
      <w:r w:rsidR="00710E13" w:rsidRPr="00981B0F">
        <w:rPr>
          <w:rFonts w:ascii="Arial" w:hAnsi="Arial" w:cs="Arial"/>
          <w:bCs/>
          <w:sz w:val="24"/>
          <w:szCs w:val="24"/>
        </w:rPr>
        <w:t>it’s</w:t>
      </w:r>
      <w:r w:rsidR="00BB3012" w:rsidRPr="00981B0F">
        <w:rPr>
          <w:rFonts w:ascii="Arial" w:hAnsi="Arial" w:cs="Arial"/>
          <w:bCs/>
          <w:sz w:val="24"/>
          <w:szCs w:val="24"/>
        </w:rPr>
        <w:t xml:space="preserve"> not clear how the applicants </w:t>
      </w:r>
      <w:r w:rsidR="00A61189">
        <w:rPr>
          <w:rFonts w:ascii="Arial" w:hAnsi="Arial" w:cs="Arial"/>
          <w:bCs/>
          <w:sz w:val="24"/>
          <w:szCs w:val="24"/>
        </w:rPr>
        <w:t xml:space="preserve">could </w:t>
      </w:r>
      <w:r w:rsidR="00BB3012" w:rsidRPr="00981B0F">
        <w:rPr>
          <w:rFonts w:ascii="Arial" w:hAnsi="Arial" w:cs="Arial"/>
          <w:bCs/>
          <w:sz w:val="24"/>
          <w:szCs w:val="24"/>
        </w:rPr>
        <w:t>have been charged for individual consumption of water per unit, if they opted not to apply for</w:t>
      </w:r>
      <w:r w:rsidR="00567ED9" w:rsidRPr="00981B0F">
        <w:rPr>
          <w:rFonts w:ascii="Arial" w:hAnsi="Arial" w:cs="Arial"/>
          <w:bCs/>
          <w:sz w:val="24"/>
          <w:szCs w:val="24"/>
        </w:rPr>
        <w:t xml:space="preserve"> the</w:t>
      </w:r>
      <w:r w:rsidR="00BB3012" w:rsidRPr="00981B0F">
        <w:rPr>
          <w:rFonts w:ascii="Arial" w:hAnsi="Arial" w:cs="Arial"/>
          <w:bCs/>
          <w:sz w:val="24"/>
          <w:szCs w:val="24"/>
        </w:rPr>
        <w:t xml:space="preserve"> installation of individual meter connection to their units.</w:t>
      </w:r>
      <w:r w:rsidR="00214E88" w:rsidRPr="00981B0F">
        <w:rPr>
          <w:rFonts w:ascii="Arial" w:hAnsi="Arial" w:cs="Arial"/>
          <w:bCs/>
          <w:sz w:val="24"/>
          <w:szCs w:val="24"/>
        </w:rPr>
        <w:t xml:space="preserve"> </w:t>
      </w:r>
    </w:p>
    <w:p w14:paraId="3E1128A0" w14:textId="12DFB1D4" w:rsidR="004770D8" w:rsidRPr="00981B0F" w:rsidRDefault="00367C66" w:rsidP="00034278">
      <w:pPr>
        <w:tabs>
          <w:tab w:val="left" w:pos="567"/>
        </w:tabs>
        <w:spacing w:line="360" w:lineRule="auto"/>
        <w:jc w:val="both"/>
        <w:rPr>
          <w:rFonts w:ascii="Arial" w:hAnsi="Arial" w:cs="Arial"/>
          <w:bCs/>
          <w:sz w:val="24"/>
          <w:szCs w:val="24"/>
        </w:rPr>
      </w:pPr>
      <w:r w:rsidRPr="00981B0F">
        <w:rPr>
          <w:rFonts w:ascii="Arial" w:hAnsi="Arial" w:cs="Arial"/>
          <w:bCs/>
          <w:sz w:val="24"/>
          <w:szCs w:val="24"/>
        </w:rPr>
        <w:t>[</w:t>
      </w:r>
      <w:r w:rsidR="00665535">
        <w:rPr>
          <w:rFonts w:ascii="Arial" w:hAnsi="Arial" w:cs="Arial"/>
          <w:bCs/>
          <w:sz w:val="24"/>
          <w:szCs w:val="24"/>
        </w:rPr>
        <w:t>10</w:t>
      </w:r>
      <w:r w:rsidRPr="00981B0F">
        <w:rPr>
          <w:rFonts w:ascii="Arial" w:hAnsi="Arial" w:cs="Arial"/>
          <w:bCs/>
          <w:sz w:val="24"/>
          <w:szCs w:val="24"/>
        </w:rPr>
        <w:t xml:space="preserve">] </w:t>
      </w:r>
      <w:r w:rsidR="00981B0F" w:rsidRPr="00981B0F">
        <w:rPr>
          <w:rFonts w:ascii="Arial" w:hAnsi="Arial" w:cs="Arial"/>
          <w:bCs/>
          <w:sz w:val="24"/>
          <w:szCs w:val="24"/>
        </w:rPr>
        <w:tab/>
      </w:r>
      <w:r w:rsidR="00BB3012" w:rsidRPr="00981B0F">
        <w:rPr>
          <w:rFonts w:ascii="Arial" w:hAnsi="Arial" w:cs="Arial"/>
          <w:bCs/>
          <w:sz w:val="24"/>
          <w:szCs w:val="24"/>
        </w:rPr>
        <w:t>T</w:t>
      </w:r>
      <w:r w:rsidRPr="00981B0F">
        <w:rPr>
          <w:rFonts w:ascii="Arial" w:hAnsi="Arial" w:cs="Arial"/>
          <w:bCs/>
          <w:sz w:val="24"/>
          <w:szCs w:val="24"/>
        </w:rPr>
        <w:t xml:space="preserve">he applicant submits that </w:t>
      </w:r>
      <w:r w:rsidR="00761616" w:rsidRPr="00981B0F">
        <w:rPr>
          <w:rFonts w:ascii="Arial" w:hAnsi="Arial" w:cs="Arial"/>
          <w:bCs/>
          <w:sz w:val="24"/>
          <w:szCs w:val="24"/>
        </w:rPr>
        <w:t>th</w:t>
      </w:r>
      <w:r w:rsidR="00BB3012" w:rsidRPr="00981B0F">
        <w:rPr>
          <w:rFonts w:ascii="Arial" w:hAnsi="Arial" w:cs="Arial"/>
          <w:bCs/>
          <w:sz w:val="24"/>
          <w:szCs w:val="24"/>
        </w:rPr>
        <w:t>e</w:t>
      </w:r>
      <w:r w:rsidR="00761616" w:rsidRPr="00981B0F">
        <w:rPr>
          <w:rFonts w:ascii="Arial" w:hAnsi="Arial" w:cs="Arial"/>
          <w:bCs/>
          <w:sz w:val="24"/>
          <w:szCs w:val="24"/>
        </w:rPr>
        <w:t xml:space="preserve"> court ought to have arrived at a conclusion that the respondent’s policy needed to be uniformly applied to existing and new developments; </w:t>
      </w:r>
      <w:r w:rsidR="00BB3012" w:rsidRPr="00981B0F">
        <w:rPr>
          <w:rFonts w:ascii="Arial" w:hAnsi="Arial" w:cs="Arial"/>
          <w:bCs/>
          <w:sz w:val="24"/>
          <w:szCs w:val="24"/>
        </w:rPr>
        <w:t xml:space="preserve"> </w:t>
      </w:r>
      <w:r w:rsidR="004770D8" w:rsidRPr="00981B0F">
        <w:rPr>
          <w:rFonts w:ascii="Arial" w:hAnsi="Arial" w:cs="Arial"/>
          <w:bCs/>
          <w:color w:val="000000" w:themeColor="text1"/>
          <w:sz w:val="24"/>
          <w:szCs w:val="24"/>
        </w:rPr>
        <w:t xml:space="preserve">the court </w:t>
      </w:r>
      <w:r w:rsidR="00761616" w:rsidRPr="00981B0F">
        <w:rPr>
          <w:rFonts w:ascii="Arial" w:hAnsi="Arial" w:cs="Arial"/>
          <w:bCs/>
          <w:sz w:val="24"/>
          <w:szCs w:val="24"/>
        </w:rPr>
        <w:t xml:space="preserve">ought to have found that the policy requires adherence to </w:t>
      </w:r>
      <w:r w:rsidR="00761616" w:rsidRPr="00981B0F">
        <w:rPr>
          <w:rFonts w:ascii="Arial" w:hAnsi="Arial" w:cs="Arial"/>
          <w:bCs/>
          <w:sz w:val="24"/>
          <w:szCs w:val="24"/>
        </w:rPr>
        <w:lastRenderedPageBreak/>
        <w:t>matters which fall within the municipal competence; it must be read to assess and achieve the objectives of the Municipality uniformly and rationally; the provision of the policy must  properly be contextualised, be construed consistently with the constitution and to preserve constitutional validity</w:t>
      </w:r>
      <w:r w:rsidR="004770D8" w:rsidRPr="00981B0F">
        <w:rPr>
          <w:rFonts w:ascii="Arial" w:hAnsi="Arial" w:cs="Arial"/>
          <w:bCs/>
          <w:sz w:val="24"/>
          <w:szCs w:val="24"/>
        </w:rPr>
        <w:t xml:space="preserve">. </w:t>
      </w:r>
      <w:r w:rsidR="00034278">
        <w:rPr>
          <w:rFonts w:ascii="Arial" w:hAnsi="Arial" w:cs="Arial"/>
          <w:bCs/>
          <w:sz w:val="24"/>
          <w:szCs w:val="24"/>
        </w:rPr>
        <w:t>T</w:t>
      </w:r>
      <w:r w:rsidR="004770D8" w:rsidRPr="00981B0F">
        <w:rPr>
          <w:rFonts w:ascii="Arial" w:hAnsi="Arial" w:cs="Arial"/>
          <w:bCs/>
          <w:sz w:val="24"/>
          <w:szCs w:val="24"/>
        </w:rPr>
        <w:t xml:space="preserve">he </w:t>
      </w:r>
      <w:r w:rsidR="00C139B8" w:rsidRPr="00981B0F">
        <w:rPr>
          <w:rFonts w:ascii="Arial" w:hAnsi="Arial" w:cs="Arial"/>
          <w:bCs/>
          <w:sz w:val="24"/>
          <w:szCs w:val="24"/>
        </w:rPr>
        <w:t>court erred in not arriving at a conclusion that the tariff for domestic consumption only applied where all or part of the water</w:t>
      </w:r>
      <w:r w:rsidR="00034278">
        <w:rPr>
          <w:rFonts w:ascii="Arial" w:hAnsi="Arial" w:cs="Arial"/>
          <w:bCs/>
          <w:sz w:val="24"/>
          <w:szCs w:val="24"/>
        </w:rPr>
        <w:t>,</w:t>
      </w:r>
      <w:r w:rsidR="00C139B8" w:rsidRPr="00981B0F">
        <w:rPr>
          <w:rFonts w:ascii="Arial" w:hAnsi="Arial" w:cs="Arial"/>
          <w:bCs/>
          <w:sz w:val="24"/>
          <w:szCs w:val="24"/>
        </w:rPr>
        <w:t xml:space="preserve"> through a connection</w:t>
      </w:r>
      <w:r w:rsidR="00034278">
        <w:rPr>
          <w:rFonts w:ascii="Arial" w:hAnsi="Arial" w:cs="Arial"/>
          <w:bCs/>
          <w:sz w:val="24"/>
          <w:szCs w:val="24"/>
        </w:rPr>
        <w:t>,</w:t>
      </w:r>
      <w:r w:rsidR="00C139B8" w:rsidRPr="00981B0F">
        <w:rPr>
          <w:rFonts w:ascii="Arial" w:hAnsi="Arial" w:cs="Arial"/>
          <w:bCs/>
          <w:sz w:val="24"/>
          <w:szCs w:val="24"/>
        </w:rPr>
        <w:t xml:space="preserve"> is applied without the intervention of individual </w:t>
      </w:r>
      <w:r w:rsidR="00710E13" w:rsidRPr="00981B0F">
        <w:rPr>
          <w:rFonts w:ascii="Arial" w:hAnsi="Arial" w:cs="Arial"/>
          <w:bCs/>
          <w:sz w:val="24"/>
          <w:szCs w:val="24"/>
        </w:rPr>
        <w:t>brake</w:t>
      </w:r>
      <w:r w:rsidR="00C139B8" w:rsidRPr="00981B0F">
        <w:rPr>
          <w:rFonts w:ascii="Arial" w:hAnsi="Arial" w:cs="Arial"/>
          <w:bCs/>
          <w:sz w:val="24"/>
          <w:szCs w:val="24"/>
        </w:rPr>
        <w:t xml:space="preserve"> pressure tanks supplied by </w:t>
      </w:r>
      <w:r w:rsidR="00710E13" w:rsidRPr="00981B0F">
        <w:rPr>
          <w:rFonts w:ascii="Arial" w:hAnsi="Arial" w:cs="Arial"/>
          <w:bCs/>
          <w:sz w:val="24"/>
          <w:szCs w:val="24"/>
        </w:rPr>
        <w:t>eThekwini</w:t>
      </w:r>
      <w:r w:rsidR="00C139B8" w:rsidRPr="00981B0F">
        <w:rPr>
          <w:rFonts w:ascii="Arial" w:hAnsi="Arial" w:cs="Arial"/>
          <w:bCs/>
          <w:sz w:val="24"/>
          <w:szCs w:val="24"/>
        </w:rPr>
        <w:t xml:space="preserve"> </w:t>
      </w:r>
      <w:r w:rsidR="00034278">
        <w:rPr>
          <w:rFonts w:ascii="Arial" w:hAnsi="Arial" w:cs="Arial"/>
          <w:bCs/>
          <w:sz w:val="24"/>
          <w:szCs w:val="24"/>
        </w:rPr>
        <w:t>M</w:t>
      </w:r>
      <w:r w:rsidR="00C139B8" w:rsidRPr="00981B0F">
        <w:rPr>
          <w:rFonts w:ascii="Arial" w:hAnsi="Arial" w:cs="Arial"/>
          <w:bCs/>
          <w:sz w:val="24"/>
          <w:szCs w:val="24"/>
        </w:rPr>
        <w:t>unicipality</w:t>
      </w:r>
      <w:r w:rsidR="00234E7F">
        <w:rPr>
          <w:rFonts w:ascii="Arial" w:hAnsi="Arial" w:cs="Arial"/>
          <w:bCs/>
          <w:sz w:val="24"/>
          <w:szCs w:val="24"/>
        </w:rPr>
        <w:t>.</w:t>
      </w:r>
    </w:p>
    <w:p w14:paraId="0A376CEA" w14:textId="6BCBBEA6" w:rsidR="00DB79EC" w:rsidRDefault="004770D8" w:rsidP="00137364">
      <w:pPr>
        <w:tabs>
          <w:tab w:val="left" w:pos="567"/>
        </w:tabs>
        <w:spacing w:after="0" w:line="360" w:lineRule="auto"/>
        <w:jc w:val="both"/>
        <w:rPr>
          <w:rFonts w:ascii="Arial" w:hAnsi="Arial" w:cs="Arial"/>
          <w:bCs/>
          <w:sz w:val="24"/>
          <w:szCs w:val="24"/>
        </w:rPr>
      </w:pPr>
      <w:r w:rsidRPr="00981B0F">
        <w:rPr>
          <w:rFonts w:ascii="Arial" w:hAnsi="Arial" w:cs="Arial"/>
          <w:bCs/>
          <w:sz w:val="24"/>
          <w:szCs w:val="24"/>
        </w:rPr>
        <w:t>[</w:t>
      </w:r>
      <w:r w:rsidR="00A30503" w:rsidRPr="00981B0F">
        <w:rPr>
          <w:rFonts w:ascii="Arial" w:hAnsi="Arial" w:cs="Arial"/>
          <w:bCs/>
          <w:sz w:val="24"/>
          <w:szCs w:val="24"/>
        </w:rPr>
        <w:t>1</w:t>
      </w:r>
      <w:r w:rsidR="00ED5017">
        <w:rPr>
          <w:rFonts w:ascii="Arial" w:hAnsi="Arial" w:cs="Arial"/>
          <w:bCs/>
          <w:sz w:val="24"/>
          <w:szCs w:val="24"/>
        </w:rPr>
        <w:t>1</w:t>
      </w:r>
      <w:r w:rsidRPr="00981B0F">
        <w:rPr>
          <w:rFonts w:ascii="Arial" w:hAnsi="Arial" w:cs="Arial"/>
          <w:bCs/>
          <w:sz w:val="24"/>
          <w:szCs w:val="24"/>
        </w:rPr>
        <w:t xml:space="preserve">] </w:t>
      </w:r>
      <w:r w:rsidR="00D57466">
        <w:rPr>
          <w:rFonts w:ascii="Arial" w:hAnsi="Arial" w:cs="Arial"/>
          <w:bCs/>
          <w:sz w:val="24"/>
          <w:szCs w:val="24"/>
        </w:rPr>
        <w:tab/>
      </w:r>
      <w:r w:rsidRPr="00981B0F">
        <w:rPr>
          <w:rFonts w:ascii="Arial" w:hAnsi="Arial" w:cs="Arial"/>
          <w:bCs/>
          <w:sz w:val="24"/>
          <w:szCs w:val="24"/>
        </w:rPr>
        <w:t xml:space="preserve">In oral argument at the hearing of this </w:t>
      </w:r>
      <w:r w:rsidR="00611D9E" w:rsidRPr="00981B0F">
        <w:rPr>
          <w:rFonts w:ascii="Arial" w:hAnsi="Arial" w:cs="Arial"/>
          <w:bCs/>
          <w:sz w:val="24"/>
          <w:szCs w:val="24"/>
        </w:rPr>
        <w:t>application</w:t>
      </w:r>
      <w:r w:rsidRPr="00981B0F">
        <w:rPr>
          <w:rFonts w:ascii="Arial" w:hAnsi="Arial" w:cs="Arial"/>
          <w:bCs/>
          <w:sz w:val="24"/>
          <w:szCs w:val="24"/>
        </w:rPr>
        <w:t xml:space="preserve">, </w:t>
      </w:r>
      <w:r w:rsidR="00234E7F">
        <w:rPr>
          <w:rFonts w:ascii="Arial" w:hAnsi="Arial" w:cs="Arial"/>
          <w:bCs/>
          <w:sz w:val="24"/>
          <w:szCs w:val="24"/>
        </w:rPr>
        <w:t>c</w:t>
      </w:r>
      <w:r w:rsidRPr="00981B0F">
        <w:rPr>
          <w:rFonts w:ascii="Arial" w:hAnsi="Arial" w:cs="Arial"/>
          <w:bCs/>
          <w:sz w:val="24"/>
          <w:szCs w:val="24"/>
        </w:rPr>
        <w:t>ounsel for the applicant</w:t>
      </w:r>
      <w:r w:rsidR="002B4FA4" w:rsidRPr="00981B0F">
        <w:rPr>
          <w:rFonts w:ascii="Arial" w:hAnsi="Arial" w:cs="Arial"/>
          <w:bCs/>
          <w:sz w:val="24"/>
          <w:szCs w:val="24"/>
        </w:rPr>
        <w:t xml:space="preserve"> contended </w:t>
      </w:r>
      <w:r w:rsidR="0072655F" w:rsidRPr="00981B0F">
        <w:rPr>
          <w:rFonts w:ascii="Arial" w:hAnsi="Arial" w:cs="Arial"/>
          <w:bCs/>
          <w:sz w:val="24"/>
          <w:szCs w:val="24"/>
        </w:rPr>
        <w:t xml:space="preserve">that </w:t>
      </w:r>
      <w:r w:rsidR="002B4FA4" w:rsidRPr="00981B0F">
        <w:rPr>
          <w:rFonts w:ascii="Arial" w:hAnsi="Arial" w:cs="Arial"/>
          <w:bCs/>
          <w:sz w:val="24"/>
          <w:szCs w:val="24"/>
        </w:rPr>
        <w:t>since the court</w:t>
      </w:r>
      <w:r w:rsidR="00D57466">
        <w:rPr>
          <w:rFonts w:ascii="Arial" w:hAnsi="Arial" w:cs="Arial"/>
          <w:bCs/>
          <w:sz w:val="24"/>
          <w:szCs w:val="24"/>
        </w:rPr>
        <w:t>,</w:t>
      </w:r>
      <w:r w:rsidR="002B4FA4" w:rsidRPr="00981B0F">
        <w:rPr>
          <w:rFonts w:ascii="Arial" w:hAnsi="Arial" w:cs="Arial"/>
          <w:bCs/>
          <w:sz w:val="24"/>
          <w:szCs w:val="24"/>
        </w:rPr>
        <w:t xml:space="preserve"> in its judgment</w:t>
      </w:r>
      <w:r w:rsidR="00D57466">
        <w:rPr>
          <w:rFonts w:ascii="Arial" w:hAnsi="Arial" w:cs="Arial"/>
          <w:bCs/>
          <w:sz w:val="24"/>
          <w:szCs w:val="24"/>
        </w:rPr>
        <w:t>,</w:t>
      </w:r>
      <w:r w:rsidR="002B4FA4" w:rsidRPr="00981B0F">
        <w:rPr>
          <w:rFonts w:ascii="Arial" w:hAnsi="Arial" w:cs="Arial"/>
          <w:bCs/>
          <w:sz w:val="24"/>
          <w:szCs w:val="24"/>
        </w:rPr>
        <w:t xml:space="preserve"> did not make any reference to the </w:t>
      </w:r>
      <w:r w:rsidR="00D57466">
        <w:rPr>
          <w:rFonts w:ascii="Arial" w:hAnsi="Arial" w:cs="Arial"/>
          <w:bCs/>
          <w:sz w:val="24"/>
          <w:szCs w:val="24"/>
        </w:rPr>
        <w:t>r</w:t>
      </w:r>
      <w:r w:rsidR="002B4FA4" w:rsidRPr="00981B0F">
        <w:rPr>
          <w:rFonts w:ascii="Arial" w:hAnsi="Arial" w:cs="Arial"/>
          <w:bCs/>
          <w:sz w:val="24"/>
          <w:szCs w:val="24"/>
        </w:rPr>
        <w:t xml:space="preserve">espondent’s policy, then the court has not interpreted the policy. He relied </w:t>
      </w:r>
      <w:r w:rsidR="00D57466">
        <w:rPr>
          <w:rFonts w:ascii="Arial" w:hAnsi="Arial" w:cs="Arial"/>
          <w:bCs/>
          <w:sz w:val="24"/>
          <w:szCs w:val="24"/>
        </w:rPr>
        <w:t>on</w:t>
      </w:r>
      <w:r w:rsidR="00D57466" w:rsidRPr="00981B0F">
        <w:rPr>
          <w:rFonts w:ascii="Arial" w:hAnsi="Arial" w:cs="Arial"/>
          <w:bCs/>
          <w:sz w:val="24"/>
          <w:szCs w:val="24"/>
        </w:rPr>
        <w:t xml:space="preserve"> </w:t>
      </w:r>
      <w:r w:rsidR="002B4FA4" w:rsidRPr="00981B0F">
        <w:rPr>
          <w:rFonts w:ascii="Arial" w:hAnsi="Arial" w:cs="Arial"/>
          <w:bCs/>
          <w:sz w:val="24"/>
          <w:szCs w:val="24"/>
        </w:rPr>
        <w:t xml:space="preserve">the Constitutional Court judgment of </w:t>
      </w:r>
      <w:bookmarkStart w:id="1" w:name="_Hlk125377231"/>
      <w:r w:rsidR="002B4FA4" w:rsidRPr="00981B0F">
        <w:rPr>
          <w:rFonts w:ascii="Arial" w:hAnsi="Arial" w:cs="Arial"/>
          <w:bCs/>
          <w:i/>
          <w:iCs/>
          <w:sz w:val="24"/>
          <w:szCs w:val="24"/>
        </w:rPr>
        <w:t xml:space="preserve">Barnard Labuschagne Inc v </w:t>
      </w:r>
      <w:r w:rsidR="00DB79EC">
        <w:rPr>
          <w:rFonts w:ascii="Arial" w:hAnsi="Arial" w:cs="Arial"/>
          <w:bCs/>
          <w:i/>
          <w:iCs/>
          <w:sz w:val="24"/>
          <w:szCs w:val="24"/>
        </w:rPr>
        <w:t xml:space="preserve">Commissioner, </w:t>
      </w:r>
      <w:r w:rsidR="002B4FA4" w:rsidRPr="00981B0F">
        <w:rPr>
          <w:rFonts w:ascii="Arial" w:hAnsi="Arial" w:cs="Arial"/>
          <w:bCs/>
          <w:i/>
          <w:iCs/>
          <w:sz w:val="24"/>
          <w:szCs w:val="24"/>
        </w:rPr>
        <w:t>South African Revenue Services and Another</w:t>
      </w:r>
      <w:r w:rsidR="00DB79EC">
        <w:rPr>
          <w:rStyle w:val="FootnoteReference"/>
          <w:rFonts w:ascii="Arial" w:hAnsi="Arial" w:cs="Arial"/>
          <w:bCs/>
          <w:i/>
          <w:iCs/>
          <w:sz w:val="24"/>
          <w:szCs w:val="24"/>
        </w:rPr>
        <w:footnoteReference w:id="2"/>
      </w:r>
      <w:r w:rsidR="002B4FA4" w:rsidRPr="00981B0F">
        <w:rPr>
          <w:rFonts w:ascii="Arial" w:hAnsi="Arial" w:cs="Arial"/>
          <w:bCs/>
          <w:i/>
          <w:iCs/>
          <w:sz w:val="24"/>
          <w:szCs w:val="24"/>
        </w:rPr>
        <w:t xml:space="preserve"> </w:t>
      </w:r>
      <w:bookmarkEnd w:id="1"/>
      <w:r w:rsidR="002B4FA4" w:rsidRPr="00981B0F">
        <w:rPr>
          <w:rFonts w:ascii="Arial" w:hAnsi="Arial" w:cs="Arial"/>
          <w:bCs/>
          <w:sz w:val="24"/>
          <w:szCs w:val="24"/>
        </w:rPr>
        <w:t xml:space="preserve">in support of the contention that </w:t>
      </w:r>
      <w:r w:rsidR="00611D9E" w:rsidRPr="00981B0F">
        <w:rPr>
          <w:rFonts w:ascii="Arial" w:hAnsi="Arial" w:cs="Arial"/>
          <w:bCs/>
          <w:sz w:val="24"/>
          <w:szCs w:val="24"/>
        </w:rPr>
        <w:t xml:space="preserve">the </w:t>
      </w:r>
      <w:r w:rsidR="002B4FA4" w:rsidRPr="00981B0F">
        <w:rPr>
          <w:rFonts w:ascii="Arial" w:hAnsi="Arial" w:cs="Arial"/>
          <w:bCs/>
          <w:sz w:val="24"/>
          <w:szCs w:val="24"/>
        </w:rPr>
        <w:t xml:space="preserve">failure by this court to interrogate and </w:t>
      </w:r>
      <w:r w:rsidR="00710E13" w:rsidRPr="00981B0F">
        <w:rPr>
          <w:rFonts w:ascii="Arial" w:hAnsi="Arial" w:cs="Arial"/>
          <w:bCs/>
          <w:sz w:val="24"/>
          <w:szCs w:val="24"/>
        </w:rPr>
        <w:t>interpret</w:t>
      </w:r>
      <w:r w:rsidR="002B4FA4" w:rsidRPr="00981B0F">
        <w:rPr>
          <w:rFonts w:ascii="Arial" w:hAnsi="Arial" w:cs="Arial"/>
          <w:bCs/>
          <w:sz w:val="24"/>
          <w:szCs w:val="24"/>
        </w:rPr>
        <w:t xml:space="preserve"> the respondent’s policy</w:t>
      </w:r>
      <w:r w:rsidR="002C512E" w:rsidRPr="00981B0F">
        <w:rPr>
          <w:rFonts w:ascii="Arial" w:hAnsi="Arial" w:cs="Arial"/>
          <w:bCs/>
          <w:sz w:val="24"/>
          <w:szCs w:val="24"/>
        </w:rPr>
        <w:t xml:space="preserve"> could be a ground of appeal. It seems to me </w:t>
      </w:r>
      <w:r w:rsidR="00D57466">
        <w:rPr>
          <w:rFonts w:ascii="Arial" w:hAnsi="Arial" w:cs="Arial"/>
          <w:bCs/>
          <w:sz w:val="24"/>
          <w:szCs w:val="24"/>
        </w:rPr>
        <w:t xml:space="preserve">that </w:t>
      </w:r>
      <w:r w:rsidR="002C512E" w:rsidRPr="00981B0F">
        <w:rPr>
          <w:rFonts w:ascii="Arial" w:hAnsi="Arial" w:cs="Arial"/>
          <w:bCs/>
          <w:sz w:val="24"/>
          <w:szCs w:val="24"/>
        </w:rPr>
        <w:t>the relevant provision that could possibl</w:t>
      </w:r>
      <w:r w:rsidR="00D57466">
        <w:rPr>
          <w:rFonts w:ascii="Arial" w:hAnsi="Arial" w:cs="Arial"/>
          <w:bCs/>
          <w:sz w:val="24"/>
          <w:szCs w:val="24"/>
        </w:rPr>
        <w:t>y</w:t>
      </w:r>
      <w:r w:rsidR="002C512E" w:rsidRPr="00981B0F">
        <w:rPr>
          <w:rFonts w:ascii="Arial" w:hAnsi="Arial" w:cs="Arial"/>
          <w:bCs/>
          <w:sz w:val="24"/>
          <w:szCs w:val="24"/>
        </w:rPr>
        <w:t xml:space="preserve"> support </w:t>
      </w:r>
      <w:r w:rsidR="00611D9E" w:rsidRPr="00981B0F">
        <w:rPr>
          <w:rFonts w:ascii="Arial" w:hAnsi="Arial" w:cs="Arial"/>
          <w:bCs/>
          <w:sz w:val="24"/>
          <w:szCs w:val="24"/>
        </w:rPr>
        <w:t>the counsel</w:t>
      </w:r>
      <w:r w:rsidR="00234E7F">
        <w:rPr>
          <w:rFonts w:ascii="Arial" w:hAnsi="Arial" w:cs="Arial"/>
          <w:bCs/>
          <w:sz w:val="24"/>
          <w:szCs w:val="24"/>
        </w:rPr>
        <w:t>’s</w:t>
      </w:r>
      <w:r w:rsidR="00611D9E" w:rsidRPr="00981B0F">
        <w:rPr>
          <w:rFonts w:ascii="Arial" w:hAnsi="Arial" w:cs="Arial"/>
          <w:bCs/>
          <w:sz w:val="24"/>
          <w:szCs w:val="24"/>
        </w:rPr>
        <w:t xml:space="preserve"> contention</w:t>
      </w:r>
      <w:r w:rsidR="002C512E" w:rsidRPr="00981B0F">
        <w:rPr>
          <w:rFonts w:ascii="Arial" w:hAnsi="Arial" w:cs="Arial"/>
          <w:bCs/>
          <w:sz w:val="24"/>
          <w:szCs w:val="24"/>
        </w:rPr>
        <w:t xml:space="preserve"> is</w:t>
      </w:r>
      <w:r w:rsidR="00611D9E" w:rsidRPr="00981B0F">
        <w:rPr>
          <w:rFonts w:ascii="Arial" w:hAnsi="Arial" w:cs="Arial"/>
          <w:bCs/>
          <w:sz w:val="24"/>
          <w:szCs w:val="24"/>
        </w:rPr>
        <w:t xml:space="preserve"> found </w:t>
      </w:r>
      <w:r w:rsidR="002C512E" w:rsidRPr="00981B0F">
        <w:rPr>
          <w:rFonts w:ascii="Arial" w:hAnsi="Arial" w:cs="Arial"/>
          <w:bCs/>
          <w:sz w:val="24"/>
          <w:szCs w:val="24"/>
        </w:rPr>
        <w:t>in paragraph 29 of the judgment where</w:t>
      </w:r>
      <w:r w:rsidR="00137364">
        <w:rPr>
          <w:rFonts w:ascii="Arial" w:hAnsi="Arial" w:cs="Arial"/>
          <w:bCs/>
          <w:sz w:val="24"/>
          <w:szCs w:val="24"/>
        </w:rPr>
        <w:t xml:space="preserve"> </w:t>
      </w:r>
      <w:r w:rsidR="00DB79EC">
        <w:rPr>
          <w:rFonts w:ascii="Arial" w:hAnsi="Arial" w:cs="Arial"/>
          <w:bCs/>
          <w:sz w:val="24"/>
          <w:szCs w:val="24"/>
        </w:rPr>
        <w:t>Rogers AJ held that:</w:t>
      </w:r>
    </w:p>
    <w:p w14:paraId="496E9701" w14:textId="1082EFD5" w:rsidR="00D57466" w:rsidRDefault="00563B2C" w:rsidP="00137364">
      <w:pPr>
        <w:tabs>
          <w:tab w:val="left" w:pos="567"/>
        </w:tabs>
        <w:spacing w:after="0" w:line="360" w:lineRule="auto"/>
        <w:jc w:val="both"/>
        <w:rPr>
          <w:rFonts w:ascii="Arial" w:hAnsi="Arial" w:cs="Arial"/>
          <w:bCs/>
          <w:sz w:val="24"/>
          <w:szCs w:val="24"/>
        </w:rPr>
      </w:pPr>
      <w:r w:rsidRPr="00981B0F">
        <w:rPr>
          <w:rFonts w:ascii="Arial" w:hAnsi="Arial" w:cs="Arial"/>
          <w:bCs/>
          <w:sz w:val="24"/>
          <w:szCs w:val="24"/>
        </w:rPr>
        <w:br/>
      </w:r>
    </w:p>
    <w:p w14:paraId="3015BBBB" w14:textId="62F72DDF" w:rsidR="00563B2C" w:rsidRPr="00981B0F" w:rsidRDefault="00611D9E" w:rsidP="00D57466">
      <w:pPr>
        <w:tabs>
          <w:tab w:val="left" w:pos="567"/>
        </w:tabs>
        <w:spacing w:line="360" w:lineRule="auto"/>
        <w:jc w:val="both"/>
        <w:rPr>
          <w:rFonts w:ascii="Arial" w:hAnsi="Arial" w:cs="Arial"/>
          <w:bCs/>
          <w:sz w:val="24"/>
          <w:szCs w:val="24"/>
        </w:rPr>
      </w:pPr>
      <w:r w:rsidRPr="00981B0F">
        <w:rPr>
          <w:rFonts w:ascii="Arial" w:hAnsi="Arial" w:cs="Arial"/>
          <w:bCs/>
          <w:sz w:val="24"/>
          <w:szCs w:val="24"/>
        </w:rPr>
        <w:t>‘</w:t>
      </w:r>
      <w:r w:rsidR="007552AA" w:rsidRPr="00981B0F">
        <w:rPr>
          <w:rFonts w:ascii="Arial" w:hAnsi="Arial" w:cs="Arial"/>
          <w:bCs/>
        </w:rPr>
        <w:t>Since all the relevant authorities were drawn to the High Court’s attention</w:t>
      </w:r>
      <w:r w:rsidR="00DB79EC">
        <w:rPr>
          <w:rFonts w:ascii="Arial" w:hAnsi="Arial" w:cs="Arial"/>
          <w:bCs/>
        </w:rPr>
        <w:t>,</w:t>
      </w:r>
      <w:r w:rsidR="007552AA" w:rsidRPr="00981B0F">
        <w:rPr>
          <w:rFonts w:ascii="Arial" w:hAnsi="Arial" w:cs="Arial"/>
          <w:bCs/>
        </w:rPr>
        <w:t xml:space="preserve"> it is unacceptable that it did not discuss them and either follow them or explain why it thought they were distinguishable. In the light of the authorities to which the High Court was referred, it is difficult to fathom the court’s statement, when refusing</w:t>
      </w:r>
      <w:r w:rsidR="00563B2C" w:rsidRPr="00981B0F">
        <w:rPr>
          <w:rFonts w:ascii="Arial" w:hAnsi="Arial" w:cs="Arial"/>
          <w:bCs/>
        </w:rPr>
        <w:t xml:space="preserve"> leave to appeal, that there were no conflicting judgments on </w:t>
      </w:r>
      <w:r w:rsidR="00710E13" w:rsidRPr="00981B0F">
        <w:rPr>
          <w:rFonts w:ascii="Arial" w:hAnsi="Arial" w:cs="Arial"/>
          <w:bCs/>
        </w:rPr>
        <w:t>rescindability</w:t>
      </w:r>
      <w:r w:rsidR="00563B2C" w:rsidRPr="00981B0F">
        <w:rPr>
          <w:rFonts w:ascii="Arial" w:hAnsi="Arial" w:cs="Arial"/>
          <w:bCs/>
        </w:rPr>
        <w:t>.’</w:t>
      </w:r>
    </w:p>
    <w:p w14:paraId="7B80CB31" w14:textId="201B331A" w:rsidR="00761616" w:rsidRPr="00981B0F" w:rsidRDefault="00563B2C" w:rsidP="00761616">
      <w:pPr>
        <w:spacing w:line="360" w:lineRule="auto"/>
        <w:jc w:val="both"/>
        <w:rPr>
          <w:rFonts w:ascii="Arial" w:hAnsi="Arial" w:cs="Arial"/>
          <w:bCs/>
          <w:sz w:val="24"/>
          <w:szCs w:val="24"/>
        </w:rPr>
      </w:pPr>
      <w:r w:rsidRPr="00981B0F">
        <w:rPr>
          <w:rFonts w:ascii="Arial" w:hAnsi="Arial" w:cs="Arial"/>
          <w:bCs/>
          <w:sz w:val="24"/>
          <w:szCs w:val="24"/>
        </w:rPr>
        <w:t xml:space="preserve">I have pointed out above that the </w:t>
      </w:r>
      <w:r w:rsidR="00ED544F" w:rsidRPr="00981B0F">
        <w:rPr>
          <w:rFonts w:ascii="Arial" w:hAnsi="Arial" w:cs="Arial"/>
          <w:bCs/>
          <w:sz w:val="24"/>
          <w:szCs w:val="24"/>
        </w:rPr>
        <w:t>counsel</w:t>
      </w:r>
      <w:r w:rsidRPr="00981B0F">
        <w:rPr>
          <w:rFonts w:ascii="Arial" w:hAnsi="Arial" w:cs="Arial"/>
          <w:bCs/>
          <w:sz w:val="24"/>
          <w:szCs w:val="24"/>
        </w:rPr>
        <w:t xml:space="preserve"> </w:t>
      </w:r>
      <w:r w:rsidR="00234E7F">
        <w:rPr>
          <w:rFonts w:ascii="Arial" w:hAnsi="Arial" w:cs="Arial"/>
          <w:bCs/>
          <w:sz w:val="24"/>
          <w:szCs w:val="24"/>
        </w:rPr>
        <w:t xml:space="preserve">who represented the applicant at the hearing of this matter </w:t>
      </w:r>
      <w:r w:rsidRPr="00981B0F">
        <w:rPr>
          <w:rFonts w:ascii="Arial" w:hAnsi="Arial" w:cs="Arial"/>
          <w:bCs/>
          <w:sz w:val="24"/>
          <w:szCs w:val="24"/>
        </w:rPr>
        <w:t>merely refe</w:t>
      </w:r>
      <w:r w:rsidR="00ED544F" w:rsidRPr="00981B0F">
        <w:rPr>
          <w:rFonts w:ascii="Arial" w:hAnsi="Arial" w:cs="Arial"/>
          <w:bCs/>
          <w:sz w:val="24"/>
          <w:szCs w:val="24"/>
        </w:rPr>
        <w:t>r</w:t>
      </w:r>
      <w:r w:rsidRPr="00981B0F">
        <w:rPr>
          <w:rFonts w:ascii="Arial" w:hAnsi="Arial" w:cs="Arial"/>
          <w:bCs/>
          <w:sz w:val="24"/>
          <w:szCs w:val="24"/>
        </w:rPr>
        <w:t xml:space="preserve">red </w:t>
      </w:r>
      <w:r w:rsidR="00ED544F" w:rsidRPr="00981B0F">
        <w:rPr>
          <w:rFonts w:ascii="Arial" w:hAnsi="Arial" w:cs="Arial"/>
          <w:bCs/>
          <w:sz w:val="24"/>
          <w:szCs w:val="24"/>
        </w:rPr>
        <w:t xml:space="preserve">to certain clauses of the </w:t>
      </w:r>
      <w:r w:rsidR="00DB79EC">
        <w:rPr>
          <w:rFonts w:ascii="Arial" w:hAnsi="Arial" w:cs="Arial"/>
          <w:bCs/>
          <w:sz w:val="24"/>
          <w:szCs w:val="24"/>
        </w:rPr>
        <w:t>r</w:t>
      </w:r>
      <w:r w:rsidR="00ED544F" w:rsidRPr="00981B0F">
        <w:rPr>
          <w:rFonts w:ascii="Arial" w:hAnsi="Arial" w:cs="Arial"/>
          <w:bCs/>
          <w:sz w:val="24"/>
          <w:szCs w:val="24"/>
        </w:rPr>
        <w:t>espondent’s policy without discussing and</w:t>
      </w:r>
      <w:r w:rsidRPr="00981B0F">
        <w:rPr>
          <w:rFonts w:ascii="Arial" w:hAnsi="Arial" w:cs="Arial"/>
          <w:bCs/>
          <w:sz w:val="24"/>
          <w:szCs w:val="24"/>
        </w:rPr>
        <w:t xml:space="preserve"> </w:t>
      </w:r>
      <w:r w:rsidR="0072655F" w:rsidRPr="00981B0F">
        <w:rPr>
          <w:rFonts w:ascii="Arial" w:hAnsi="Arial" w:cs="Arial"/>
          <w:bCs/>
          <w:sz w:val="24"/>
          <w:szCs w:val="24"/>
        </w:rPr>
        <w:t>making submission</w:t>
      </w:r>
      <w:r w:rsidR="00DB79EC">
        <w:rPr>
          <w:rFonts w:ascii="Arial" w:hAnsi="Arial" w:cs="Arial"/>
          <w:bCs/>
          <w:sz w:val="24"/>
          <w:szCs w:val="24"/>
        </w:rPr>
        <w:t>s</w:t>
      </w:r>
      <w:r w:rsidR="0072655F" w:rsidRPr="00981B0F">
        <w:rPr>
          <w:rFonts w:ascii="Arial" w:hAnsi="Arial" w:cs="Arial"/>
          <w:bCs/>
          <w:sz w:val="24"/>
          <w:szCs w:val="24"/>
        </w:rPr>
        <w:t xml:space="preserve"> as </w:t>
      </w:r>
      <w:r w:rsidR="00ED544F" w:rsidRPr="00981B0F">
        <w:rPr>
          <w:rFonts w:ascii="Arial" w:hAnsi="Arial" w:cs="Arial"/>
          <w:bCs/>
          <w:sz w:val="24"/>
          <w:szCs w:val="24"/>
        </w:rPr>
        <w:t xml:space="preserve">how </w:t>
      </w:r>
      <w:r w:rsidR="00234E7F">
        <w:rPr>
          <w:rFonts w:ascii="Arial" w:hAnsi="Arial" w:cs="Arial"/>
          <w:bCs/>
          <w:sz w:val="24"/>
          <w:szCs w:val="24"/>
        </w:rPr>
        <w:t>these</w:t>
      </w:r>
      <w:r w:rsidR="00ED544F" w:rsidRPr="00981B0F">
        <w:rPr>
          <w:rFonts w:ascii="Arial" w:hAnsi="Arial" w:cs="Arial"/>
          <w:bCs/>
          <w:sz w:val="24"/>
          <w:szCs w:val="24"/>
        </w:rPr>
        <w:t xml:space="preserve"> clauses support </w:t>
      </w:r>
      <w:r w:rsidR="00234E7F">
        <w:rPr>
          <w:rFonts w:ascii="Arial" w:hAnsi="Arial" w:cs="Arial"/>
          <w:bCs/>
          <w:sz w:val="24"/>
          <w:szCs w:val="24"/>
        </w:rPr>
        <w:t>applicant’s</w:t>
      </w:r>
      <w:r w:rsidR="00ED544F" w:rsidRPr="00981B0F">
        <w:rPr>
          <w:rFonts w:ascii="Arial" w:hAnsi="Arial" w:cs="Arial"/>
          <w:bCs/>
          <w:sz w:val="24"/>
          <w:szCs w:val="24"/>
        </w:rPr>
        <w:t xml:space="preserve"> </w:t>
      </w:r>
      <w:r w:rsidR="00611D9E" w:rsidRPr="00981B0F">
        <w:rPr>
          <w:rFonts w:ascii="Arial" w:hAnsi="Arial" w:cs="Arial"/>
          <w:bCs/>
          <w:sz w:val="24"/>
          <w:szCs w:val="24"/>
        </w:rPr>
        <w:t>case</w:t>
      </w:r>
      <w:r w:rsidR="00ED544F" w:rsidRPr="00981B0F">
        <w:rPr>
          <w:rFonts w:ascii="Arial" w:hAnsi="Arial" w:cs="Arial"/>
          <w:bCs/>
          <w:sz w:val="24"/>
          <w:szCs w:val="24"/>
        </w:rPr>
        <w:t>.</w:t>
      </w:r>
    </w:p>
    <w:p w14:paraId="68C1E4A4" w14:textId="58A3C84C" w:rsidR="005869E0" w:rsidRPr="00981B0F" w:rsidRDefault="00ED544F" w:rsidP="00690FAE">
      <w:pPr>
        <w:spacing w:after="0" w:line="360" w:lineRule="auto"/>
        <w:jc w:val="both"/>
        <w:rPr>
          <w:rFonts w:ascii="Arial" w:hAnsi="Arial" w:cs="Arial"/>
          <w:bCs/>
          <w:sz w:val="24"/>
          <w:szCs w:val="24"/>
        </w:rPr>
      </w:pPr>
      <w:r w:rsidRPr="00981B0F">
        <w:rPr>
          <w:rFonts w:ascii="Arial" w:hAnsi="Arial" w:cs="Arial"/>
          <w:bCs/>
          <w:sz w:val="24"/>
          <w:szCs w:val="24"/>
        </w:rPr>
        <w:t>[</w:t>
      </w:r>
      <w:r w:rsidR="00A30503" w:rsidRPr="00981B0F">
        <w:rPr>
          <w:rFonts w:ascii="Arial" w:hAnsi="Arial" w:cs="Arial"/>
          <w:bCs/>
          <w:sz w:val="24"/>
          <w:szCs w:val="24"/>
        </w:rPr>
        <w:t>1</w:t>
      </w:r>
      <w:r w:rsidR="00ED5017">
        <w:rPr>
          <w:rFonts w:ascii="Arial" w:hAnsi="Arial" w:cs="Arial"/>
          <w:bCs/>
          <w:sz w:val="24"/>
          <w:szCs w:val="24"/>
        </w:rPr>
        <w:t>2</w:t>
      </w:r>
      <w:r w:rsidRPr="00981B0F">
        <w:rPr>
          <w:rFonts w:ascii="Arial" w:hAnsi="Arial" w:cs="Arial"/>
          <w:bCs/>
          <w:sz w:val="24"/>
          <w:szCs w:val="24"/>
        </w:rPr>
        <w:t xml:space="preserve">] </w:t>
      </w:r>
      <w:r w:rsidR="00611D9E" w:rsidRPr="00981B0F">
        <w:rPr>
          <w:rFonts w:ascii="Arial" w:hAnsi="Arial" w:cs="Arial"/>
          <w:bCs/>
          <w:sz w:val="24"/>
          <w:szCs w:val="24"/>
        </w:rPr>
        <w:tab/>
      </w:r>
      <w:r w:rsidRPr="00981B0F">
        <w:rPr>
          <w:rFonts w:ascii="Arial" w:hAnsi="Arial" w:cs="Arial"/>
          <w:bCs/>
          <w:sz w:val="24"/>
          <w:szCs w:val="24"/>
        </w:rPr>
        <w:t>While I am not persuaded that there is any merit in the grounds of appeal and the submissions advanced in support thereof</w:t>
      </w:r>
      <w:r w:rsidR="007359E8" w:rsidRPr="00981B0F">
        <w:rPr>
          <w:rFonts w:ascii="Arial" w:hAnsi="Arial" w:cs="Arial"/>
          <w:bCs/>
          <w:sz w:val="24"/>
          <w:szCs w:val="24"/>
        </w:rPr>
        <w:t>,</w:t>
      </w:r>
      <w:r w:rsidRPr="00981B0F">
        <w:rPr>
          <w:rFonts w:ascii="Arial" w:hAnsi="Arial" w:cs="Arial"/>
          <w:bCs/>
          <w:sz w:val="24"/>
          <w:szCs w:val="24"/>
        </w:rPr>
        <w:t xml:space="preserve"> </w:t>
      </w:r>
      <w:r w:rsidR="005869E0" w:rsidRPr="00981B0F">
        <w:rPr>
          <w:rFonts w:ascii="Arial" w:hAnsi="Arial" w:cs="Arial"/>
          <w:bCs/>
          <w:sz w:val="24"/>
          <w:szCs w:val="24"/>
        </w:rPr>
        <w:t xml:space="preserve">I can rely on the guidance of the Supreme Court of Appeal on how I should approach an application for leave to appeal. </w:t>
      </w:r>
      <w:r w:rsidR="005869E0" w:rsidRPr="00981B0F">
        <w:rPr>
          <w:rFonts w:ascii="Arial" w:hAnsi="Arial" w:cs="Arial"/>
          <w:bCs/>
          <w:sz w:val="24"/>
          <w:szCs w:val="24"/>
        </w:rPr>
        <w:lastRenderedPageBreak/>
        <w:t xml:space="preserve">In </w:t>
      </w:r>
      <w:r w:rsidR="005869E0" w:rsidRPr="00981B0F">
        <w:rPr>
          <w:rFonts w:ascii="Arial" w:hAnsi="Arial" w:cs="Arial"/>
          <w:bCs/>
          <w:i/>
          <w:iCs/>
          <w:sz w:val="24"/>
          <w:szCs w:val="24"/>
        </w:rPr>
        <w:t>R v Kuzwayo</w:t>
      </w:r>
      <w:r w:rsidR="005869E0" w:rsidRPr="00981B0F">
        <w:rPr>
          <w:rFonts w:ascii="Arial" w:hAnsi="Arial" w:cs="Arial"/>
          <w:bCs/>
          <w:sz w:val="24"/>
          <w:szCs w:val="24"/>
        </w:rPr>
        <w:t>,</w:t>
      </w:r>
      <w:r w:rsidR="005869E0" w:rsidRPr="00981B0F">
        <w:rPr>
          <w:rStyle w:val="FootnoteReference"/>
          <w:rFonts w:ascii="Arial" w:hAnsi="Arial" w:cs="Arial"/>
          <w:bCs/>
          <w:sz w:val="24"/>
          <w:szCs w:val="24"/>
        </w:rPr>
        <w:footnoteReference w:id="3"/>
      </w:r>
      <w:r w:rsidR="005869E0" w:rsidRPr="00981B0F">
        <w:rPr>
          <w:rFonts w:ascii="Arial" w:hAnsi="Arial" w:cs="Arial"/>
          <w:bCs/>
          <w:sz w:val="24"/>
          <w:szCs w:val="24"/>
        </w:rPr>
        <w:t xml:space="preserve"> </w:t>
      </w:r>
      <w:r w:rsidR="00234E7F">
        <w:rPr>
          <w:rFonts w:ascii="Arial" w:hAnsi="Arial" w:cs="Arial"/>
          <w:bCs/>
          <w:sz w:val="24"/>
          <w:szCs w:val="24"/>
        </w:rPr>
        <w:t xml:space="preserve">in a matter for leave to appeal pertaining to a criminal case </w:t>
      </w:r>
      <w:r w:rsidR="00611D9E" w:rsidRPr="00981B0F">
        <w:rPr>
          <w:rFonts w:ascii="Arial" w:hAnsi="Arial" w:cs="Arial"/>
          <w:bCs/>
          <w:sz w:val="24"/>
          <w:szCs w:val="24"/>
        </w:rPr>
        <w:t>it was held explained</w:t>
      </w:r>
      <w:r w:rsidR="005869E0" w:rsidRPr="00981B0F">
        <w:rPr>
          <w:rFonts w:ascii="Arial" w:hAnsi="Arial" w:cs="Arial"/>
          <w:bCs/>
          <w:sz w:val="24"/>
          <w:szCs w:val="24"/>
        </w:rPr>
        <w:t>:</w:t>
      </w:r>
    </w:p>
    <w:p w14:paraId="08B848EF" w14:textId="657A0F8A" w:rsidR="005869E0" w:rsidRPr="007B494C" w:rsidRDefault="005869E0" w:rsidP="00761616">
      <w:pPr>
        <w:spacing w:line="360" w:lineRule="auto"/>
        <w:jc w:val="both"/>
        <w:rPr>
          <w:rFonts w:ascii="Arial" w:hAnsi="Arial" w:cs="Arial"/>
          <w:bCs/>
        </w:rPr>
      </w:pPr>
      <w:r w:rsidRPr="00981B0F">
        <w:rPr>
          <w:rFonts w:ascii="Arial" w:hAnsi="Arial" w:cs="Arial"/>
          <w:bCs/>
          <w:sz w:val="24"/>
          <w:szCs w:val="24"/>
        </w:rPr>
        <w:t>‘</w:t>
      </w:r>
      <w:r w:rsidRPr="00981B0F">
        <w:rPr>
          <w:rFonts w:ascii="Arial" w:hAnsi="Arial" w:cs="Arial"/>
          <w:bCs/>
        </w:rPr>
        <w:t>That  test must; to the best of the ability of the trial judge</w:t>
      </w:r>
      <w:r w:rsidR="00690FAE">
        <w:rPr>
          <w:rFonts w:ascii="Arial" w:hAnsi="Arial" w:cs="Arial"/>
          <w:bCs/>
        </w:rPr>
        <w:t>,</w:t>
      </w:r>
      <w:r w:rsidRPr="00981B0F">
        <w:rPr>
          <w:rFonts w:ascii="Arial" w:hAnsi="Arial" w:cs="Arial"/>
          <w:bCs/>
        </w:rPr>
        <w:t xml:space="preserve"> </w:t>
      </w:r>
      <w:r w:rsidR="00A235C5" w:rsidRPr="00981B0F">
        <w:rPr>
          <w:rFonts w:ascii="Arial" w:hAnsi="Arial" w:cs="Arial"/>
          <w:bCs/>
        </w:rPr>
        <w:t>be</w:t>
      </w:r>
      <w:r w:rsidRPr="00981B0F">
        <w:rPr>
          <w:rFonts w:ascii="Arial" w:hAnsi="Arial" w:cs="Arial"/>
          <w:bCs/>
        </w:rPr>
        <w:t xml:space="preserve"> applied</w:t>
      </w:r>
      <w:r w:rsidR="00A235C5" w:rsidRPr="00981B0F">
        <w:rPr>
          <w:rFonts w:ascii="Arial" w:hAnsi="Arial" w:cs="Arial"/>
          <w:bCs/>
        </w:rPr>
        <w:t xml:space="preserve"> objectively. By that is meant that he must disabuse his mind of the fact that he himself has no reasonable doubt as to the guilt of the accused</w:t>
      </w:r>
      <w:r w:rsidR="00690FAE">
        <w:rPr>
          <w:rFonts w:ascii="Arial" w:hAnsi="Arial" w:cs="Arial"/>
          <w:bCs/>
        </w:rPr>
        <w:t>:</w:t>
      </w:r>
      <w:r w:rsidR="00A235C5" w:rsidRPr="00981B0F">
        <w:rPr>
          <w:rFonts w:ascii="Arial" w:hAnsi="Arial" w:cs="Arial"/>
          <w:bCs/>
        </w:rPr>
        <w:t xml:space="preserve"> he must ask himself whether there is a reasonable prospect that the judges of appeal will take a different view. This applies to question</w:t>
      </w:r>
      <w:r w:rsidR="00690FAE">
        <w:rPr>
          <w:rFonts w:ascii="Arial" w:hAnsi="Arial" w:cs="Arial"/>
          <w:bCs/>
        </w:rPr>
        <w:t>s</w:t>
      </w:r>
      <w:r w:rsidR="00A235C5" w:rsidRPr="00981B0F">
        <w:rPr>
          <w:rFonts w:ascii="Arial" w:hAnsi="Arial" w:cs="Arial"/>
          <w:bCs/>
        </w:rPr>
        <w:t xml:space="preserve"> both of fact and law</w:t>
      </w:r>
      <w:r w:rsidR="00690FAE">
        <w:rPr>
          <w:rFonts w:ascii="Arial" w:hAnsi="Arial" w:cs="Arial"/>
          <w:bCs/>
        </w:rPr>
        <w:t>:</w:t>
      </w:r>
      <w:r w:rsidR="00611D9E" w:rsidRPr="00981B0F">
        <w:rPr>
          <w:rFonts w:ascii="Arial" w:hAnsi="Arial" w:cs="Arial"/>
          <w:bCs/>
        </w:rPr>
        <w:t xml:space="preserve"> </w:t>
      </w:r>
      <w:r w:rsidR="00A235C5" w:rsidRPr="00981B0F">
        <w:rPr>
          <w:rFonts w:ascii="Arial" w:hAnsi="Arial" w:cs="Arial"/>
          <w:bCs/>
        </w:rPr>
        <w:t>there is</w:t>
      </w:r>
      <w:r w:rsidR="00690FAE">
        <w:rPr>
          <w:rFonts w:ascii="Arial" w:hAnsi="Arial" w:cs="Arial"/>
          <w:bCs/>
        </w:rPr>
        <w:t>,</w:t>
      </w:r>
      <w:r w:rsidR="00A235C5" w:rsidRPr="00981B0F">
        <w:rPr>
          <w:rFonts w:ascii="Arial" w:hAnsi="Arial" w:cs="Arial"/>
          <w:bCs/>
        </w:rPr>
        <w:t xml:space="preserve"> in this respect, no distinction between a question of fact </w:t>
      </w:r>
      <w:r w:rsidR="00690FAE">
        <w:rPr>
          <w:rFonts w:ascii="Arial" w:hAnsi="Arial" w:cs="Arial"/>
          <w:bCs/>
        </w:rPr>
        <w:t>and a question of</w:t>
      </w:r>
      <w:r w:rsidR="00690FAE" w:rsidRPr="00981B0F">
        <w:rPr>
          <w:rFonts w:ascii="Arial" w:hAnsi="Arial" w:cs="Arial"/>
          <w:bCs/>
        </w:rPr>
        <w:t xml:space="preserve"> </w:t>
      </w:r>
      <w:r w:rsidR="00A235C5" w:rsidRPr="00981B0F">
        <w:rPr>
          <w:rFonts w:ascii="Arial" w:hAnsi="Arial" w:cs="Arial"/>
          <w:bCs/>
        </w:rPr>
        <w:t>law’.</w:t>
      </w:r>
    </w:p>
    <w:p w14:paraId="7002AB20" w14:textId="2C1B6E44" w:rsidR="004F4FFD" w:rsidRPr="00981B0F" w:rsidRDefault="001B4418" w:rsidP="001B4418">
      <w:pPr>
        <w:tabs>
          <w:tab w:val="left" w:pos="567"/>
        </w:tabs>
        <w:spacing w:line="360" w:lineRule="auto"/>
        <w:jc w:val="both"/>
        <w:rPr>
          <w:rFonts w:ascii="Arial" w:hAnsi="Arial" w:cs="Arial"/>
          <w:bCs/>
          <w:sz w:val="24"/>
          <w:szCs w:val="24"/>
        </w:rPr>
      </w:pPr>
      <w:r>
        <w:rPr>
          <w:rFonts w:ascii="Arial" w:hAnsi="Arial" w:cs="Arial"/>
          <w:bCs/>
          <w:sz w:val="24"/>
          <w:szCs w:val="24"/>
        </w:rPr>
        <w:t>[1</w:t>
      </w:r>
      <w:r w:rsidR="00ED5017">
        <w:rPr>
          <w:rFonts w:ascii="Arial" w:hAnsi="Arial" w:cs="Arial"/>
          <w:bCs/>
          <w:sz w:val="24"/>
          <w:szCs w:val="24"/>
        </w:rPr>
        <w:t>3</w:t>
      </w:r>
      <w:r>
        <w:rPr>
          <w:rFonts w:ascii="Arial" w:hAnsi="Arial" w:cs="Arial"/>
          <w:bCs/>
          <w:sz w:val="24"/>
          <w:szCs w:val="24"/>
        </w:rPr>
        <w:t>]</w:t>
      </w:r>
      <w:r>
        <w:rPr>
          <w:rFonts w:ascii="Arial" w:hAnsi="Arial" w:cs="Arial"/>
          <w:bCs/>
          <w:sz w:val="24"/>
          <w:szCs w:val="24"/>
        </w:rPr>
        <w:tab/>
      </w:r>
      <w:r w:rsidR="00BC7233" w:rsidRPr="00981B0F">
        <w:rPr>
          <w:rFonts w:ascii="Arial" w:hAnsi="Arial" w:cs="Arial"/>
          <w:bCs/>
          <w:sz w:val="24"/>
          <w:szCs w:val="24"/>
        </w:rPr>
        <w:t>I am mindful of the fact that</w:t>
      </w:r>
      <w:r w:rsidR="007359E8" w:rsidRPr="00981B0F">
        <w:rPr>
          <w:rFonts w:ascii="Arial" w:hAnsi="Arial" w:cs="Arial"/>
          <w:bCs/>
          <w:sz w:val="24"/>
          <w:szCs w:val="24"/>
        </w:rPr>
        <w:t xml:space="preserve"> this matter involves </w:t>
      </w:r>
      <w:r w:rsidR="00611D9E" w:rsidRPr="00981B0F">
        <w:rPr>
          <w:rFonts w:ascii="Arial" w:hAnsi="Arial" w:cs="Arial"/>
          <w:bCs/>
          <w:sz w:val="24"/>
          <w:szCs w:val="24"/>
        </w:rPr>
        <w:t xml:space="preserve">an </w:t>
      </w:r>
      <w:r w:rsidR="007359E8" w:rsidRPr="00981B0F">
        <w:rPr>
          <w:rFonts w:ascii="Arial" w:hAnsi="Arial" w:cs="Arial"/>
          <w:bCs/>
          <w:sz w:val="24"/>
          <w:szCs w:val="24"/>
        </w:rPr>
        <w:t xml:space="preserve">interpretation of the </w:t>
      </w:r>
      <w:r w:rsidR="0070241D">
        <w:rPr>
          <w:rFonts w:ascii="Arial" w:hAnsi="Arial" w:cs="Arial"/>
          <w:bCs/>
          <w:sz w:val="24"/>
          <w:szCs w:val="24"/>
        </w:rPr>
        <w:t>r</w:t>
      </w:r>
      <w:r w:rsidR="007359E8" w:rsidRPr="00981B0F">
        <w:rPr>
          <w:rFonts w:ascii="Arial" w:hAnsi="Arial" w:cs="Arial"/>
          <w:bCs/>
          <w:sz w:val="24"/>
          <w:szCs w:val="24"/>
        </w:rPr>
        <w:t xml:space="preserve">espondent’s </w:t>
      </w:r>
      <w:r>
        <w:rPr>
          <w:rFonts w:ascii="Arial" w:hAnsi="Arial" w:cs="Arial"/>
          <w:bCs/>
          <w:sz w:val="24"/>
          <w:szCs w:val="24"/>
        </w:rPr>
        <w:t>w</w:t>
      </w:r>
      <w:r w:rsidR="007359E8" w:rsidRPr="00981B0F">
        <w:rPr>
          <w:rFonts w:ascii="Arial" w:hAnsi="Arial" w:cs="Arial"/>
          <w:bCs/>
          <w:sz w:val="24"/>
          <w:szCs w:val="24"/>
        </w:rPr>
        <w:t xml:space="preserve">ater policy.  </w:t>
      </w:r>
      <w:r w:rsidR="00A235C5" w:rsidRPr="00981B0F">
        <w:rPr>
          <w:rFonts w:ascii="Arial" w:hAnsi="Arial" w:cs="Arial"/>
          <w:bCs/>
          <w:sz w:val="24"/>
          <w:szCs w:val="24"/>
        </w:rPr>
        <w:t>The</w:t>
      </w:r>
      <w:r w:rsidR="007359E8" w:rsidRPr="00981B0F">
        <w:rPr>
          <w:rFonts w:ascii="Arial" w:hAnsi="Arial" w:cs="Arial"/>
          <w:bCs/>
          <w:sz w:val="24"/>
          <w:szCs w:val="24"/>
        </w:rPr>
        <w:t xml:space="preserve"> Supreme Court of Appeal held that interpretation </w:t>
      </w:r>
      <w:r w:rsidR="004F4FFD" w:rsidRPr="00981B0F">
        <w:rPr>
          <w:rFonts w:ascii="Arial" w:hAnsi="Arial" w:cs="Arial"/>
          <w:bCs/>
          <w:sz w:val="24"/>
          <w:szCs w:val="24"/>
        </w:rPr>
        <w:t xml:space="preserve">of a document </w:t>
      </w:r>
      <w:r w:rsidR="007359E8" w:rsidRPr="00981B0F">
        <w:rPr>
          <w:rFonts w:ascii="Arial" w:hAnsi="Arial" w:cs="Arial"/>
          <w:bCs/>
          <w:sz w:val="24"/>
          <w:szCs w:val="24"/>
        </w:rPr>
        <w:t>is an objective process of attributing meaning to the words used in the document.</w:t>
      </w:r>
      <w:r w:rsidR="004F4FFD" w:rsidRPr="00981B0F">
        <w:rPr>
          <w:rFonts w:ascii="Arial" w:hAnsi="Arial" w:cs="Arial"/>
          <w:bCs/>
          <w:sz w:val="24"/>
          <w:szCs w:val="24"/>
        </w:rPr>
        <w:t xml:space="preserve"> </w:t>
      </w:r>
      <w:r w:rsidR="0070241D">
        <w:rPr>
          <w:rFonts w:ascii="Arial" w:hAnsi="Arial" w:cs="Arial"/>
          <w:bCs/>
          <w:sz w:val="24"/>
          <w:szCs w:val="24"/>
        </w:rPr>
        <w:t>(</w:t>
      </w:r>
      <w:r w:rsidR="004F4FFD" w:rsidRPr="0070241D">
        <w:rPr>
          <w:rFonts w:ascii="Arial" w:hAnsi="Arial" w:cs="Arial"/>
          <w:sz w:val="24"/>
          <w:szCs w:val="24"/>
        </w:rPr>
        <w:t>See</w:t>
      </w:r>
      <w:r w:rsidR="004F4FFD" w:rsidRPr="00981B0F">
        <w:rPr>
          <w:rFonts w:ascii="Arial" w:hAnsi="Arial" w:cs="Arial"/>
          <w:b/>
          <w:sz w:val="24"/>
          <w:szCs w:val="24"/>
        </w:rPr>
        <w:t xml:space="preserve"> </w:t>
      </w:r>
      <w:r w:rsidR="004F4FFD" w:rsidRPr="0070241D">
        <w:rPr>
          <w:rFonts w:ascii="Arial" w:hAnsi="Arial" w:cs="Arial"/>
          <w:i/>
          <w:sz w:val="24"/>
          <w:szCs w:val="24"/>
        </w:rPr>
        <w:t>Natal Joint Municipality Pension Fund v Endumeni Municipality</w:t>
      </w:r>
      <w:r w:rsidR="004F4FFD" w:rsidRPr="00981B0F">
        <w:rPr>
          <w:rFonts w:ascii="Arial" w:hAnsi="Arial" w:cs="Arial"/>
          <w:b/>
          <w:sz w:val="24"/>
          <w:szCs w:val="24"/>
        </w:rPr>
        <w:t xml:space="preserve"> </w:t>
      </w:r>
      <w:r w:rsidR="004F4FFD" w:rsidRPr="0070241D">
        <w:rPr>
          <w:rFonts w:ascii="Arial" w:hAnsi="Arial" w:cs="Arial"/>
          <w:sz w:val="24"/>
          <w:szCs w:val="24"/>
        </w:rPr>
        <w:t>2012 (4) SA 593</w:t>
      </w:r>
      <w:r w:rsidR="0070241D">
        <w:rPr>
          <w:rFonts w:ascii="Arial" w:hAnsi="Arial" w:cs="Arial"/>
          <w:sz w:val="24"/>
          <w:szCs w:val="24"/>
        </w:rPr>
        <w:t xml:space="preserve"> </w:t>
      </w:r>
      <w:r w:rsidR="004F4FFD" w:rsidRPr="0070241D">
        <w:rPr>
          <w:rFonts w:ascii="Arial" w:hAnsi="Arial" w:cs="Arial"/>
          <w:sz w:val="24"/>
          <w:szCs w:val="24"/>
        </w:rPr>
        <w:t>(SCA) para 18</w:t>
      </w:r>
      <w:r w:rsidR="0070241D">
        <w:rPr>
          <w:rFonts w:ascii="Arial" w:hAnsi="Arial" w:cs="Arial"/>
          <w:sz w:val="24"/>
          <w:szCs w:val="24"/>
        </w:rPr>
        <w:t>.)</w:t>
      </w:r>
      <w:r w:rsidR="004F4FFD" w:rsidRPr="00981B0F">
        <w:rPr>
          <w:rFonts w:ascii="Arial" w:hAnsi="Arial" w:cs="Arial"/>
          <w:bCs/>
          <w:sz w:val="24"/>
          <w:szCs w:val="24"/>
        </w:rPr>
        <w:t xml:space="preserve"> Therefore</w:t>
      </w:r>
      <w:r w:rsidR="00A235C5" w:rsidRPr="00981B0F">
        <w:rPr>
          <w:rFonts w:ascii="Arial" w:hAnsi="Arial" w:cs="Arial"/>
          <w:bCs/>
          <w:sz w:val="24"/>
          <w:szCs w:val="24"/>
        </w:rPr>
        <w:t>,</w:t>
      </w:r>
      <w:r w:rsidR="0070241D">
        <w:rPr>
          <w:rFonts w:ascii="Arial" w:hAnsi="Arial" w:cs="Arial"/>
          <w:bCs/>
          <w:sz w:val="24"/>
          <w:szCs w:val="24"/>
        </w:rPr>
        <w:t xml:space="preserve"> </w:t>
      </w:r>
      <w:r w:rsidR="004F4FFD" w:rsidRPr="00981B0F">
        <w:rPr>
          <w:rFonts w:ascii="Arial" w:hAnsi="Arial" w:cs="Arial"/>
          <w:bCs/>
          <w:sz w:val="24"/>
          <w:szCs w:val="24"/>
        </w:rPr>
        <w:t xml:space="preserve">it is in the interest of justice that leave to appeal be granted as there is a reasonable prospect that another </w:t>
      </w:r>
      <w:r w:rsidR="00DA2D9A">
        <w:rPr>
          <w:rFonts w:ascii="Arial" w:hAnsi="Arial" w:cs="Arial"/>
          <w:bCs/>
          <w:sz w:val="24"/>
          <w:szCs w:val="24"/>
        </w:rPr>
        <w:t>c</w:t>
      </w:r>
      <w:r w:rsidR="004F4FFD" w:rsidRPr="00981B0F">
        <w:rPr>
          <w:rFonts w:ascii="Arial" w:hAnsi="Arial" w:cs="Arial"/>
          <w:bCs/>
          <w:sz w:val="24"/>
          <w:szCs w:val="24"/>
        </w:rPr>
        <w:t xml:space="preserve">ourt may </w:t>
      </w:r>
      <w:r w:rsidR="00710E13" w:rsidRPr="00981B0F">
        <w:rPr>
          <w:rFonts w:ascii="Arial" w:hAnsi="Arial" w:cs="Arial"/>
          <w:bCs/>
          <w:sz w:val="24"/>
          <w:szCs w:val="24"/>
        </w:rPr>
        <w:t>interpret</w:t>
      </w:r>
      <w:r w:rsidR="004F4FFD" w:rsidRPr="00981B0F">
        <w:rPr>
          <w:rFonts w:ascii="Arial" w:hAnsi="Arial" w:cs="Arial"/>
          <w:bCs/>
          <w:sz w:val="24"/>
          <w:szCs w:val="24"/>
        </w:rPr>
        <w:t xml:space="preserve"> the </w:t>
      </w:r>
      <w:r w:rsidR="00DA2D9A">
        <w:rPr>
          <w:rFonts w:ascii="Arial" w:hAnsi="Arial" w:cs="Arial"/>
          <w:bCs/>
          <w:sz w:val="24"/>
          <w:szCs w:val="24"/>
        </w:rPr>
        <w:t>r</w:t>
      </w:r>
      <w:r w:rsidR="004F4FFD" w:rsidRPr="00981B0F">
        <w:rPr>
          <w:rFonts w:ascii="Arial" w:hAnsi="Arial" w:cs="Arial"/>
          <w:bCs/>
          <w:sz w:val="24"/>
          <w:szCs w:val="24"/>
        </w:rPr>
        <w:t>espondent’s policy differently and come to a different decision.</w:t>
      </w:r>
    </w:p>
    <w:p w14:paraId="5E113F38" w14:textId="16FE76AD" w:rsidR="00B74702" w:rsidRPr="00981B0F" w:rsidRDefault="00B74702" w:rsidP="00E33A45">
      <w:pPr>
        <w:tabs>
          <w:tab w:val="left" w:pos="567"/>
        </w:tabs>
        <w:spacing w:line="360" w:lineRule="auto"/>
        <w:jc w:val="both"/>
        <w:rPr>
          <w:rFonts w:ascii="Arial" w:hAnsi="Arial" w:cs="Arial"/>
          <w:bCs/>
          <w:sz w:val="24"/>
          <w:szCs w:val="24"/>
        </w:rPr>
      </w:pPr>
      <w:r w:rsidRPr="00981B0F">
        <w:rPr>
          <w:rFonts w:ascii="Arial" w:hAnsi="Arial" w:cs="Arial"/>
          <w:bCs/>
          <w:sz w:val="24"/>
          <w:szCs w:val="24"/>
        </w:rPr>
        <w:t>[</w:t>
      </w:r>
      <w:r w:rsidR="00A30503" w:rsidRPr="00981B0F">
        <w:rPr>
          <w:rFonts w:ascii="Arial" w:hAnsi="Arial" w:cs="Arial"/>
          <w:bCs/>
          <w:sz w:val="24"/>
          <w:szCs w:val="24"/>
        </w:rPr>
        <w:t>1</w:t>
      </w:r>
      <w:r w:rsidR="00ED5017">
        <w:rPr>
          <w:rFonts w:ascii="Arial" w:hAnsi="Arial" w:cs="Arial"/>
          <w:bCs/>
          <w:sz w:val="24"/>
          <w:szCs w:val="24"/>
        </w:rPr>
        <w:t>4</w:t>
      </w:r>
      <w:r w:rsidRPr="00981B0F">
        <w:rPr>
          <w:rFonts w:ascii="Arial" w:hAnsi="Arial" w:cs="Arial"/>
          <w:bCs/>
          <w:sz w:val="24"/>
          <w:szCs w:val="24"/>
        </w:rPr>
        <w:t xml:space="preserve">] </w:t>
      </w:r>
      <w:r w:rsidR="00E33A45">
        <w:rPr>
          <w:rFonts w:ascii="Arial" w:hAnsi="Arial" w:cs="Arial"/>
          <w:bCs/>
          <w:sz w:val="24"/>
          <w:szCs w:val="24"/>
        </w:rPr>
        <w:tab/>
      </w:r>
      <w:r w:rsidRPr="00981B0F">
        <w:rPr>
          <w:rFonts w:ascii="Arial" w:hAnsi="Arial" w:cs="Arial"/>
          <w:bCs/>
          <w:sz w:val="24"/>
          <w:szCs w:val="24"/>
        </w:rPr>
        <w:t>In the results, the following order is made:</w:t>
      </w:r>
    </w:p>
    <w:p w14:paraId="2FC789F8" w14:textId="169B813E" w:rsidR="00B74702" w:rsidRPr="00096778" w:rsidRDefault="00096778" w:rsidP="00096778">
      <w:pPr>
        <w:spacing w:line="360" w:lineRule="auto"/>
        <w:ind w:left="720" w:hanging="360"/>
        <w:jc w:val="both"/>
        <w:rPr>
          <w:rFonts w:ascii="Arial" w:hAnsi="Arial" w:cs="Arial"/>
          <w:bCs/>
          <w:sz w:val="24"/>
          <w:szCs w:val="24"/>
        </w:rPr>
      </w:pPr>
      <w:r w:rsidRPr="00710E13">
        <w:rPr>
          <w:rFonts w:ascii="Arial" w:hAnsi="Arial" w:cs="Arial"/>
          <w:bCs/>
          <w:sz w:val="24"/>
          <w:szCs w:val="24"/>
        </w:rPr>
        <w:t>1</w:t>
      </w:r>
      <w:r w:rsidRPr="00710E13">
        <w:rPr>
          <w:rFonts w:ascii="Arial" w:hAnsi="Arial" w:cs="Arial"/>
          <w:bCs/>
          <w:sz w:val="24"/>
          <w:szCs w:val="24"/>
        </w:rPr>
        <w:tab/>
      </w:r>
      <w:r w:rsidR="00B74702" w:rsidRPr="00096778">
        <w:rPr>
          <w:rFonts w:ascii="Arial" w:hAnsi="Arial" w:cs="Arial"/>
          <w:bCs/>
          <w:sz w:val="24"/>
          <w:szCs w:val="24"/>
        </w:rPr>
        <w:t>The applicant is granted leave to appeal the judgment delivered on 22 August 2022 to the full court of the KwaZulu-Natal Division of the High Court</w:t>
      </w:r>
      <w:r w:rsidR="004F4FFD" w:rsidRPr="00096778">
        <w:rPr>
          <w:rFonts w:ascii="Arial" w:hAnsi="Arial" w:cs="Arial"/>
          <w:bCs/>
          <w:sz w:val="24"/>
          <w:szCs w:val="24"/>
        </w:rPr>
        <w:t>.</w:t>
      </w:r>
    </w:p>
    <w:p w14:paraId="27BFFF83" w14:textId="4C29A30E" w:rsidR="00B74702" w:rsidRPr="00096778" w:rsidRDefault="00096778" w:rsidP="00096778">
      <w:pPr>
        <w:spacing w:line="360" w:lineRule="auto"/>
        <w:ind w:left="720" w:hanging="360"/>
        <w:jc w:val="both"/>
        <w:rPr>
          <w:rFonts w:ascii="Arial" w:hAnsi="Arial" w:cs="Arial"/>
          <w:bCs/>
          <w:sz w:val="24"/>
          <w:szCs w:val="24"/>
        </w:rPr>
      </w:pPr>
      <w:r w:rsidRPr="00981B0F">
        <w:rPr>
          <w:rFonts w:ascii="Arial" w:hAnsi="Arial" w:cs="Arial"/>
          <w:bCs/>
          <w:sz w:val="24"/>
          <w:szCs w:val="24"/>
        </w:rPr>
        <w:t>2</w:t>
      </w:r>
      <w:r w:rsidRPr="00981B0F">
        <w:rPr>
          <w:rFonts w:ascii="Arial" w:hAnsi="Arial" w:cs="Arial"/>
          <w:bCs/>
          <w:sz w:val="24"/>
          <w:szCs w:val="24"/>
        </w:rPr>
        <w:tab/>
      </w:r>
      <w:r w:rsidR="00365908" w:rsidRPr="00096778">
        <w:rPr>
          <w:rFonts w:ascii="Arial" w:hAnsi="Arial" w:cs="Arial"/>
          <w:bCs/>
          <w:sz w:val="24"/>
          <w:szCs w:val="24"/>
        </w:rPr>
        <w:t>The costs of the application for leave to appeal are to be costs in the appeal</w:t>
      </w:r>
      <w:r w:rsidR="004F4FFD" w:rsidRPr="00096778">
        <w:rPr>
          <w:rFonts w:ascii="Arial" w:hAnsi="Arial" w:cs="Arial"/>
          <w:bCs/>
          <w:sz w:val="24"/>
          <w:szCs w:val="24"/>
        </w:rPr>
        <w:t>.</w:t>
      </w:r>
    </w:p>
    <w:p w14:paraId="08C3C159" w14:textId="15A4117B" w:rsidR="00F92CC6" w:rsidRPr="00981B0F" w:rsidRDefault="00F92CC6" w:rsidP="006549D4">
      <w:pPr>
        <w:spacing w:line="360" w:lineRule="auto"/>
        <w:jc w:val="both"/>
        <w:rPr>
          <w:rFonts w:ascii="Arial" w:hAnsi="Arial" w:cs="Arial"/>
          <w:bCs/>
          <w:sz w:val="24"/>
          <w:szCs w:val="24"/>
        </w:rPr>
      </w:pPr>
    </w:p>
    <w:p w14:paraId="380C9A87" w14:textId="77777777" w:rsidR="00F92CC6" w:rsidRPr="00981B0F" w:rsidRDefault="00F92CC6" w:rsidP="006549D4">
      <w:pPr>
        <w:spacing w:line="360" w:lineRule="auto"/>
        <w:jc w:val="both"/>
        <w:rPr>
          <w:rFonts w:ascii="Arial" w:hAnsi="Arial" w:cs="Arial"/>
          <w:bCs/>
          <w:sz w:val="24"/>
          <w:szCs w:val="24"/>
        </w:rPr>
      </w:pPr>
    </w:p>
    <w:p w14:paraId="5D5C20CB" w14:textId="650DFA67" w:rsidR="006549D4" w:rsidRPr="00981B0F" w:rsidRDefault="006549D4" w:rsidP="006549D4">
      <w:pPr>
        <w:spacing w:line="360" w:lineRule="auto"/>
        <w:jc w:val="both"/>
        <w:rPr>
          <w:rFonts w:ascii="Arial" w:hAnsi="Arial" w:cs="Arial"/>
          <w:bCs/>
          <w:sz w:val="24"/>
          <w:szCs w:val="24"/>
        </w:rPr>
      </w:pPr>
    </w:p>
    <w:p w14:paraId="6DF9FC3F" w14:textId="77777777" w:rsidR="00981B0F" w:rsidRPr="00981B0F" w:rsidRDefault="00981B0F" w:rsidP="00981B0F">
      <w:pPr>
        <w:spacing w:after="0" w:line="360" w:lineRule="auto"/>
        <w:jc w:val="both"/>
        <w:rPr>
          <w:rFonts w:ascii="Arial" w:hAnsi="Arial" w:cs="Arial"/>
          <w:sz w:val="28"/>
          <w:szCs w:val="28"/>
        </w:rPr>
      </w:pPr>
    </w:p>
    <w:p w14:paraId="2A4EE650" w14:textId="77777777" w:rsidR="00981B0F" w:rsidRPr="00981B0F" w:rsidRDefault="00981B0F" w:rsidP="00981B0F">
      <w:pPr>
        <w:spacing w:after="0" w:line="360" w:lineRule="auto"/>
        <w:jc w:val="right"/>
        <w:rPr>
          <w:rFonts w:ascii="Arial" w:hAnsi="Arial" w:cs="Arial"/>
          <w:b/>
          <w:sz w:val="28"/>
          <w:szCs w:val="28"/>
        </w:rPr>
      </w:pPr>
    </w:p>
    <w:p w14:paraId="2FE6546B" w14:textId="77777777" w:rsidR="00981B0F" w:rsidRPr="00981B0F" w:rsidRDefault="00981B0F" w:rsidP="00981B0F">
      <w:pPr>
        <w:spacing w:after="0" w:line="360" w:lineRule="auto"/>
        <w:jc w:val="right"/>
        <w:rPr>
          <w:rFonts w:ascii="Arial" w:hAnsi="Arial" w:cs="Arial"/>
          <w:b/>
          <w:sz w:val="28"/>
          <w:szCs w:val="28"/>
        </w:rPr>
      </w:pPr>
      <w:r w:rsidRPr="00981B0F">
        <w:rPr>
          <w:rFonts w:ascii="Arial" w:hAnsi="Arial" w:cs="Arial"/>
          <w:b/>
          <w:sz w:val="28"/>
          <w:szCs w:val="28"/>
        </w:rPr>
        <w:t>_____________________</w:t>
      </w:r>
    </w:p>
    <w:p w14:paraId="3241600B" w14:textId="77777777" w:rsidR="00981B0F" w:rsidRPr="00981B0F" w:rsidRDefault="00981B0F" w:rsidP="00981B0F">
      <w:pPr>
        <w:spacing w:after="0" w:line="360" w:lineRule="auto"/>
        <w:jc w:val="right"/>
        <w:rPr>
          <w:rFonts w:ascii="Arial" w:hAnsi="Arial" w:cs="Arial"/>
          <w:b/>
          <w:sz w:val="28"/>
          <w:szCs w:val="28"/>
        </w:rPr>
      </w:pPr>
      <w:r w:rsidRPr="00981B0F">
        <w:rPr>
          <w:rFonts w:ascii="Arial" w:hAnsi="Arial" w:cs="Arial"/>
          <w:b/>
          <w:sz w:val="28"/>
          <w:szCs w:val="28"/>
        </w:rPr>
        <w:t xml:space="preserve">MATHENJWA AJ </w:t>
      </w:r>
    </w:p>
    <w:p w14:paraId="110E514D" w14:textId="77777777" w:rsidR="00981B0F" w:rsidRPr="00981B0F" w:rsidRDefault="00981B0F" w:rsidP="00981B0F">
      <w:pPr>
        <w:spacing w:after="0" w:line="360" w:lineRule="auto"/>
        <w:jc w:val="both"/>
        <w:rPr>
          <w:rFonts w:ascii="Arial" w:hAnsi="Arial" w:cs="Arial"/>
          <w:sz w:val="28"/>
          <w:szCs w:val="28"/>
        </w:rPr>
      </w:pPr>
    </w:p>
    <w:p w14:paraId="6D51BF80" w14:textId="77777777" w:rsidR="00981B0F" w:rsidRPr="00981B0F" w:rsidRDefault="00981B0F" w:rsidP="00981B0F">
      <w:pPr>
        <w:spacing w:after="0" w:line="360" w:lineRule="auto"/>
        <w:jc w:val="both"/>
        <w:rPr>
          <w:rFonts w:ascii="Arial" w:hAnsi="Arial" w:cs="Arial"/>
          <w:sz w:val="28"/>
          <w:szCs w:val="28"/>
        </w:rPr>
      </w:pPr>
    </w:p>
    <w:p w14:paraId="698BDD2F" w14:textId="4A1F2161" w:rsidR="00981B0F" w:rsidRDefault="00981B0F" w:rsidP="00981B0F">
      <w:pPr>
        <w:spacing w:after="0" w:line="360" w:lineRule="auto"/>
        <w:jc w:val="both"/>
        <w:rPr>
          <w:rFonts w:ascii="Arial" w:hAnsi="Arial" w:cs="Arial"/>
          <w:sz w:val="28"/>
          <w:szCs w:val="28"/>
        </w:rPr>
      </w:pPr>
    </w:p>
    <w:p w14:paraId="27506566" w14:textId="77777777" w:rsidR="0084684B" w:rsidRPr="00981B0F" w:rsidRDefault="0084684B" w:rsidP="00981B0F">
      <w:pPr>
        <w:spacing w:after="0" w:line="360" w:lineRule="auto"/>
        <w:jc w:val="both"/>
        <w:rPr>
          <w:rFonts w:ascii="Arial" w:hAnsi="Arial" w:cs="Arial"/>
          <w:sz w:val="28"/>
          <w:szCs w:val="28"/>
        </w:rPr>
      </w:pPr>
    </w:p>
    <w:p w14:paraId="35B1382E" w14:textId="77777777"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Appearances:</w:t>
      </w:r>
    </w:p>
    <w:p w14:paraId="6AC509F6" w14:textId="34E5935B"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 xml:space="preserve">For the Applicant:    </w:t>
      </w:r>
      <w:r w:rsidRPr="00981B0F">
        <w:rPr>
          <w:rFonts w:ascii="Arial" w:hAnsi="Arial" w:cs="Arial"/>
          <w:sz w:val="28"/>
          <w:szCs w:val="28"/>
        </w:rPr>
        <w:tab/>
        <w:t>Adv. MI Veerasamy</w:t>
      </w:r>
    </w:p>
    <w:p w14:paraId="241C06A0" w14:textId="3C88BB31"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 xml:space="preserve">Instructed by: </w:t>
      </w:r>
      <w:r w:rsidRPr="00981B0F">
        <w:rPr>
          <w:rFonts w:ascii="Arial" w:hAnsi="Arial" w:cs="Arial"/>
          <w:sz w:val="28"/>
          <w:szCs w:val="28"/>
        </w:rPr>
        <w:tab/>
      </w:r>
      <w:r w:rsidRPr="00981B0F">
        <w:rPr>
          <w:rFonts w:ascii="Arial" w:hAnsi="Arial" w:cs="Arial"/>
          <w:sz w:val="28"/>
          <w:szCs w:val="28"/>
        </w:rPr>
        <w:tab/>
        <w:t>Peackock, Liebenberg &amp; Dickson Inc.</w:t>
      </w:r>
    </w:p>
    <w:p w14:paraId="64820A16" w14:textId="20FEB355"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ab/>
      </w:r>
      <w:r w:rsidRPr="00981B0F">
        <w:rPr>
          <w:rFonts w:ascii="Arial" w:hAnsi="Arial" w:cs="Arial"/>
          <w:sz w:val="28"/>
          <w:szCs w:val="28"/>
        </w:rPr>
        <w:tab/>
      </w:r>
      <w:r w:rsidRPr="00981B0F">
        <w:rPr>
          <w:rFonts w:ascii="Arial" w:hAnsi="Arial" w:cs="Arial"/>
          <w:sz w:val="28"/>
          <w:szCs w:val="28"/>
        </w:rPr>
        <w:tab/>
      </w:r>
      <w:r w:rsidRPr="00981B0F">
        <w:rPr>
          <w:rFonts w:ascii="Arial" w:hAnsi="Arial" w:cs="Arial"/>
          <w:sz w:val="28"/>
          <w:szCs w:val="28"/>
        </w:rPr>
        <w:tab/>
        <w:t>Durban</w:t>
      </w:r>
    </w:p>
    <w:p w14:paraId="39E7AB48" w14:textId="77777777" w:rsidR="00981B0F" w:rsidRPr="00981B0F" w:rsidRDefault="00981B0F" w:rsidP="00981B0F">
      <w:pPr>
        <w:spacing w:after="0" w:line="360" w:lineRule="auto"/>
        <w:jc w:val="both"/>
        <w:rPr>
          <w:rFonts w:ascii="Arial" w:hAnsi="Arial" w:cs="Arial"/>
          <w:sz w:val="28"/>
          <w:szCs w:val="28"/>
        </w:rPr>
      </w:pPr>
    </w:p>
    <w:p w14:paraId="16B419BE" w14:textId="71119F7F" w:rsidR="00981B0F" w:rsidRPr="00981B0F" w:rsidRDefault="00F24867" w:rsidP="00981B0F">
      <w:pPr>
        <w:spacing w:after="0" w:line="360" w:lineRule="auto"/>
        <w:jc w:val="both"/>
        <w:rPr>
          <w:rFonts w:ascii="Arial" w:hAnsi="Arial" w:cs="Arial"/>
          <w:sz w:val="28"/>
          <w:szCs w:val="28"/>
        </w:rPr>
      </w:pPr>
      <w:r>
        <w:rPr>
          <w:rFonts w:ascii="Arial" w:hAnsi="Arial" w:cs="Arial"/>
          <w:sz w:val="28"/>
          <w:szCs w:val="28"/>
        </w:rPr>
        <w:t xml:space="preserve">For the Respondent:     </w:t>
      </w:r>
      <w:r w:rsidR="00981B0F" w:rsidRPr="00981B0F">
        <w:rPr>
          <w:rFonts w:ascii="Arial" w:hAnsi="Arial" w:cs="Arial"/>
          <w:sz w:val="28"/>
          <w:szCs w:val="28"/>
        </w:rPr>
        <w:t>Adv. N Ntuli</w:t>
      </w:r>
    </w:p>
    <w:p w14:paraId="164C40AE" w14:textId="42C9F21E"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 xml:space="preserve">Instructed by: </w:t>
      </w:r>
      <w:r w:rsidRPr="00981B0F">
        <w:rPr>
          <w:rFonts w:ascii="Arial" w:hAnsi="Arial" w:cs="Arial"/>
          <w:sz w:val="28"/>
          <w:szCs w:val="28"/>
        </w:rPr>
        <w:tab/>
      </w:r>
      <w:r w:rsidRPr="00981B0F">
        <w:rPr>
          <w:rFonts w:ascii="Arial" w:hAnsi="Arial" w:cs="Arial"/>
          <w:sz w:val="28"/>
          <w:szCs w:val="28"/>
        </w:rPr>
        <w:tab/>
        <w:t>Luthuli Sithole Attorneys</w:t>
      </w:r>
    </w:p>
    <w:p w14:paraId="585A3014" w14:textId="61487ED3" w:rsidR="00981B0F" w:rsidRP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ab/>
      </w:r>
      <w:r w:rsidRPr="00981B0F">
        <w:rPr>
          <w:rFonts w:ascii="Arial" w:hAnsi="Arial" w:cs="Arial"/>
          <w:sz w:val="28"/>
          <w:szCs w:val="28"/>
        </w:rPr>
        <w:tab/>
      </w:r>
      <w:r w:rsidRPr="00981B0F">
        <w:rPr>
          <w:rFonts w:ascii="Arial" w:hAnsi="Arial" w:cs="Arial"/>
          <w:sz w:val="28"/>
          <w:szCs w:val="28"/>
        </w:rPr>
        <w:tab/>
      </w:r>
      <w:r w:rsidRPr="00981B0F">
        <w:rPr>
          <w:rFonts w:ascii="Arial" w:hAnsi="Arial" w:cs="Arial"/>
          <w:sz w:val="28"/>
          <w:szCs w:val="28"/>
        </w:rPr>
        <w:tab/>
        <w:t>Durban</w:t>
      </w:r>
    </w:p>
    <w:p w14:paraId="310F10DF" w14:textId="6C729066" w:rsidR="00981B0F" w:rsidRDefault="00981B0F" w:rsidP="00981B0F">
      <w:pPr>
        <w:spacing w:after="0" w:line="360" w:lineRule="auto"/>
        <w:jc w:val="both"/>
        <w:rPr>
          <w:rFonts w:ascii="Arial" w:hAnsi="Arial" w:cs="Arial"/>
          <w:sz w:val="28"/>
          <w:szCs w:val="28"/>
        </w:rPr>
      </w:pPr>
      <w:r w:rsidRPr="00981B0F">
        <w:rPr>
          <w:rFonts w:ascii="Arial" w:hAnsi="Arial" w:cs="Arial"/>
          <w:sz w:val="28"/>
          <w:szCs w:val="28"/>
        </w:rPr>
        <w:tab/>
      </w:r>
    </w:p>
    <w:p w14:paraId="021A8E66" w14:textId="23C2B344" w:rsidR="0084684B" w:rsidRDefault="0084684B" w:rsidP="00981B0F">
      <w:pPr>
        <w:spacing w:after="0" w:line="360" w:lineRule="auto"/>
        <w:jc w:val="both"/>
        <w:rPr>
          <w:rFonts w:ascii="Arial" w:hAnsi="Arial" w:cs="Arial"/>
          <w:sz w:val="28"/>
          <w:szCs w:val="28"/>
        </w:rPr>
      </w:pPr>
    </w:p>
    <w:p w14:paraId="208C63DD" w14:textId="77777777" w:rsidR="0084684B" w:rsidRPr="00981B0F" w:rsidRDefault="0084684B" w:rsidP="0084684B">
      <w:pPr>
        <w:spacing w:after="0" w:line="360" w:lineRule="auto"/>
        <w:jc w:val="both"/>
        <w:rPr>
          <w:rFonts w:ascii="Arial" w:hAnsi="Arial" w:cs="Arial"/>
          <w:sz w:val="28"/>
          <w:szCs w:val="28"/>
        </w:rPr>
      </w:pPr>
    </w:p>
    <w:p w14:paraId="44DFD74C" w14:textId="3DBA0AF3" w:rsidR="0084684B" w:rsidRPr="00981B0F" w:rsidRDefault="0084684B" w:rsidP="0084684B">
      <w:pPr>
        <w:spacing w:after="0" w:line="360" w:lineRule="auto"/>
        <w:jc w:val="both"/>
        <w:rPr>
          <w:rFonts w:ascii="Arial" w:hAnsi="Arial" w:cs="Arial"/>
          <w:sz w:val="28"/>
          <w:szCs w:val="28"/>
        </w:rPr>
      </w:pPr>
      <w:r w:rsidRPr="00981B0F">
        <w:rPr>
          <w:rFonts w:ascii="Arial" w:hAnsi="Arial" w:cs="Arial"/>
          <w:sz w:val="28"/>
          <w:szCs w:val="28"/>
        </w:rPr>
        <w:t xml:space="preserve">Date of hearing:  </w:t>
      </w:r>
      <w:r>
        <w:rPr>
          <w:rFonts w:ascii="Arial" w:hAnsi="Arial" w:cs="Arial"/>
          <w:sz w:val="28"/>
          <w:szCs w:val="28"/>
        </w:rPr>
        <w:tab/>
      </w:r>
      <w:r>
        <w:rPr>
          <w:rFonts w:ascii="Arial" w:hAnsi="Arial" w:cs="Arial"/>
          <w:sz w:val="28"/>
          <w:szCs w:val="28"/>
        </w:rPr>
        <w:tab/>
      </w:r>
      <w:r w:rsidRPr="00981B0F">
        <w:rPr>
          <w:rFonts w:ascii="Arial" w:hAnsi="Arial" w:cs="Arial"/>
          <w:sz w:val="28"/>
          <w:szCs w:val="28"/>
        </w:rPr>
        <w:t>6 December 2022</w:t>
      </w:r>
    </w:p>
    <w:p w14:paraId="5A53596C" w14:textId="37ABA735" w:rsidR="0084684B" w:rsidRPr="00981B0F" w:rsidRDefault="0084684B" w:rsidP="0084684B">
      <w:pPr>
        <w:spacing w:after="0" w:line="360" w:lineRule="auto"/>
        <w:jc w:val="both"/>
        <w:rPr>
          <w:rFonts w:ascii="Arial" w:hAnsi="Arial" w:cs="Arial"/>
          <w:sz w:val="28"/>
          <w:szCs w:val="28"/>
        </w:rPr>
      </w:pPr>
      <w:r w:rsidRPr="00981B0F">
        <w:rPr>
          <w:rFonts w:ascii="Arial" w:hAnsi="Arial" w:cs="Arial"/>
          <w:sz w:val="28"/>
          <w:szCs w:val="28"/>
        </w:rPr>
        <w:t>Date of judgment:</w:t>
      </w:r>
      <w:r>
        <w:rPr>
          <w:rFonts w:ascii="Arial" w:hAnsi="Arial" w:cs="Arial"/>
          <w:sz w:val="28"/>
          <w:szCs w:val="28"/>
        </w:rPr>
        <w:tab/>
        <w:t xml:space="preserve">27 January 2023 </w:t>
      </w:r>
      <w:r w:rsidRPr="00F24867">
        <w:rPr>
          <w:rFonts w:ascii="Arial" w:hAnsi="Arial" w:cs="Arial"/>
          <w:i/>
          <w:sz w:val="28"/>
          <w:szCs w:val="28"/>
        </w:rPr>
        <w:t>(</w:t>
      </w:r>
      <w:r w:rsidR="00F24867" w:rsidRPr="00F24867">
        <w:rPr>
          <w:rFonts w:ascii="Arial" w:hAnsi="Arial" w:cs="Arial"/>
          <w:i/>
          <w:sz w:val="28"/>
          <w:szCs w:val="28"/>
        </w:rPr>
        <w:t>electronically)</w:t>
      </w:r>
      <w:r w:rsidR="00F24867">
        <w:rPr>
          <w:rFonts w:ascii="Arial" w:hAnsi="Arial" w:cs="Arial"/>
          <w:sz w:val="28"/>
          <w:szCs w:val="28"/>
        </w:rPr>
        <w:t xml:space="preserve"> </w:t>
      </w:r>
    </w:p>
    <w:p w14:paraId="4A9A63C5" w14:textId="77777777" w:rsidR="0084684B" w:rsidRPr="00981B0F" w:rsidRDefault="0084684B" w:rsidP="0084684B">
      <w:pPr>
        <w:spacing w:after="0" w:line="360" w:lineRule="auto"/>
        <w:jc w:val="both"/>
        <w:rPr>
          <w:rFonts w:ascii="Arial" w:hAnsi="Arial" w:cs="Arial"/>
          <w:sz w:val="28"/>
          <w:szCs w:val="28"/>
        </w:rPr>
      </w:pPr>
    </w:p>
    <w:p w14:paraId="1FF246BF" w14:textId="77777777" w:rsidR="0084684B" w:rsidRPr="00981B0F" w:rsidRDefault="0084684B" w:rsidP="0084684B">
      <w:pPr>
        <w:spacing w:after="0" w:line="360" w:lineRule="auto"/>
        <w:jc w:val="both"/>
        <w:rPr>
          <w:rFonts w:ascii="Arial" w:hAnsi="Arial" w:cs="Arial"/>
          <w:sz w:val="28"/>
          <w:szCs w:val="28"/>
        </w:rPr>
      </w:pPr>
    </w:p>
    <w:p w14:paraId="7F640C5E" w14:textId="77777777" w:rsidR="0084684B" w:rsidRPr="00981B0F" w:rsidRDefault="0084684B" w:rsidP="00981B0F">
      <w:pPr>
        <w:spacing w:after="0" w:line="360" w:lineRule="auto"/>
        <w:jc w:val="both"/>
        <w:rPr>
          <w:rFonts w:ascii="Arial" w:hAnsi="Arial" w:cs="Arial"/>
          <w:sz w:val="28"/>
          <w:szCs w:val="28"/>
        </w:rPr>
      </w:pPr>
    </w:p>
    <w:p w14:paraId="2A070724" w14:textId="77777777" w:rsidR="00981B0F" w:rsidRPr="00981B0F" w:rsidRDefault="00981B0F" w:rsidP="00981B0F">
      <w:pPr>
        <w:spacing w:after="0" w:line="360" w:lineRule="auto"/>
        <w:jc w:val="both"/>
        <w:rPr>
          <w:rFonts w:ascii="Arial" w:hAnsi="Arial" w:cs="Arial"/>
          <w:sz w:val="24"/>
          <w:szCs w:val="24"/>
        </w:rPr>
      </w:pPr>
    </w:p>
    <w:p w14:paraId="6AA9B888" w14:textId="77777777" w:rsidR="00981B0F" w:rsidRPr="00981B0F" w:rsidRDefault="00981B0F" w:rsidP="00981B0F">
      <w:pPr>
        <w:spacing w:after="0" w:line="360" w:lineRule="auto"/>
        <w:jc w:val="both"/>
        <w:rPr>
          <w:rFonts w:ascii="Arial" w:hAnsi="Arial" w:cs="Arial"/>
          <w:sz w:val="24"/>
          <w:szCs w:val="24"/>
        </w:rPr>
      </w:pPr>
    </w:p>
    <w:p w14:paraId="5328C739" w14:textId="5E6FBE75" w:rsidR="000C5094" w:rsidRPr="00981B0F" w:rsidRDefault="000C5094" w:rsidP="006549D4">
      <w:pPr>
        <w:spacing w:line="360" w:lineRule="auto"/>
        <w:jc w:val="both"/>
        <w:rPr>
          <w:rFonts w:ascii="Arial" w:hAnsi="Arial" w:cs="Arial"/>
          <w:bCs/>
          <w:sz w:val="24"/>
          <w:szCs w:val="24"/>
        </w:rPr>
      </w:pPr>
    </w:p>
    <w:p w14:paraId="7FEA65CB" w14:textId="5E500E09" w:rsidR="000C5094" w:rsidRPr="00981B0F" w:rsidRDefault="000C5094" w:rsidP="006549D4">
      <w:pPr>
        <w:spacing w:line="360" w:lineRule="auto"/>
        <w:jc w:val="both"/>
        <w:rPr>
          <w:rFonts w:ascii="Arial" w:hAnsi="Arial" w:cs="Arial"/>
          <w:bCs/>
          <w:sz w:val="24"/>
          <w:szCs w:val="24"/>
        </w:rPr>
      </w:pPr>
    </w:p>
    <w:p w14:paraId="5C33DB74" w14:textId="3262ECB4" w:rsidR="006549D4" w:rsidRPr="00981B0F" w:rsidRDefault="006549D4" w:rsidP="006549D4">
      <w:pPr>
        <w:spacing w:line="360" w:lineRule="auto"/>
        <w:jc w:val="both"/>
        <w:rPr>
          <w:rFonts w:ascii="Arial" w:hAnsi="Arial" w:cs="Arial"/>
          <w:bCs/>
          <w:sz w:val="24"/>
          <w:szCs w:val="24"/>
        </w:rPr>
      </w:pPr>
    </w:p>
    <w:p w14:paraId="44806FFC" w14:textId="0E54DD82" w:rsidR="005F4687" w:rsidRPr="00981B0F" w:rsidRDefault="005F4687" w:rsidP="00633A69">
      <w:pPr>
        <w:spacing w:line="360" w:lineRule="auto"/>
        <w:jc w:val="both"/>
        <w:rPr>
          <w:rFonts w:ascii="Arial" w:hAnsi="Arial" w:cs="Arial"/>
          <w:bCs/>
          <w:sz w:val="24"/>
          <w:szCs w:val="24"/>
        </w:rPr>
      </w:pPr>
    </w:p>
    <w:p w14:paraId="68C2783A" w14:textId="41498FB2" w:rsidR="005F4687" w:rsidRPr="00981B0F" w:rsidRDefault="005F4687" w:rsidP="00633A69">
      <w:pPr>
        <w:spacing w:line="360" w:lineRule="auto"/>
        <w:jc w:val="both"/>
        <w:rPr>
          <w:rFonts w:ascii="Arial" w:hAnsi="Arial" w:cs="Arial"/>
          <w:bCs/>
          <w:sz w:val="24"/>
          <w:szCs w:val="24"/>
        </w:rPr>
      </w:pPr>
      <w:r w:rsidRPr="00981B0F">
        <w:rPr>
          <w:rFonts w:ascii="Arial" w:hAnsi="Arial" w:cs="Arial"/>
          <w:bCs/>
          <w:sz w:val="24"/>
          <w:szCs w:val="24"/>
        </w:rPr>
        <w:t xml:space="preserve"> </w:t>
      </w:r>
    </w:p>
    <w:p w14:paraId="7A426E97" w14:textId="77777777" w:rsidR="0043052B" w:rsidRPr="00981B0F" w:rsidRDefault="0043052B" w:rsidP="00633A69">
      <w:pPr>
        <w:spacing w:line="360" w:lineRule="auto"/>
        <w:jc w:val="both"/>
        <w:rPr>
          <w:rFonts w:ascii="Arial" w:hAnsi="Arial" w:cs="Arial"/>
          <w:bCs/>
          <w:sz w:val="24"/>
          <w:szCs w:val="24"/>
        </w:rPr>
      </w:pPr>
    </w:p>
    <w:sectPr w:rsidR="0043052B" w:rsidRPr="00981B0F" w:rsidSect="00E55A3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85C1A" w14:textId="77777777" w:rsidR="0045416E" w:rsidRDefault="0045416E" w:rsidP="00B8098A">
      <w:pPr>
        <w:spacing w:after="0" w:line="240" w:lineRule="auto"/>
      </w:pPr>
      <w:r>
        <w:separator/>
      </w:r>
    </w:p>
  </w:endnote>
  <w:endnote w:type="continuationSeparator" w:id="0">
    <w:p w14:paraId="693BC07C" w14:textId="77777777" w:rsidR="0045416E" w:rsidRDefault="0045416E"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8BBB6" w14:textId="77777777" w:rsidR="0045416E" w:rsidRDefault="0045416E" w:rsidP="00B8098A">
      <w:pPr>
        <w:spacing w:after="0" w:line="240" w:lineRule="auto"/>
      </w:pPr>
      <w:r>
        <w:separator/>
      </w:r>
    </w:p>
  </w:footnote>
  <w:footnote w:type="continuationSeparator" w:id="0">
    <w:p w14:paraId="5385573B" w14:textId="77777777" w:rsidR="0045416E" w:rsidRDefault="0045416E" w:rsidP="00B8098A">
      <w:pPr>
        <w:spacing w:after="0" w:line="240" w:lineRule="auto"/>
      </w:pPr>
      <w:r>
        <w:continuationSeparator/>
      </w:r>
    </w:p>
  </w:footnote>
  <w:footnote w:id="1">
    <w:p w14:paraId="27400A9C" w14:textId="77777777" w:rsidR="00FF4CA7" w:rsidRPr="00806057" w:rsidRDefault="00FF4CA7" w:rsidP="00FF4CA7">
      <w:pPr>
        <w:pStyle w:val="FootnoteText"/>
        <w:jc w:val="both"/>
        <w:rPr>
          <w:rFonts w:ascii="Arial" w:hAnsi="Arial" w:cs="Arial"/>
          <w:lang w:val="en-GB"/>
        </w:rPr>
      </w:pPr>
      <w:r w:rsidRPr="00806057">
        <w:rPr>
          <w:rStyle w:val="FootnoteReference"/>
          <w:rFonts w:ascii="Arial" w:hAnsi="Arial" w:cs="Arial"/>
        </w:rPr>
        <w:footnoteRef/>
      </w:r>
      <w:r w:rsidRPr="00806057">
        <w:rPr>
          <w:rFonts w:ascii="Arial" w:hAnsi="Arial" w:cs="Arial"/>
        </w:rPr>
        <w:t xml:space="preserve"> </w:t>
      </w:r>
      <w:r w:rsidRPr="00806057">
        <w:rPr>
          <w:rFonts w:ascii="Arial" w:hAnsi="Arial" w:cs="Arial"/>
          <w:i/>
        </w:rPr>
        <w:t xml:space="preserve">S v Smith </w:t>
      </w:r>
      <w:r w:rsidRPr="00806057">
        <w:rPr>
          <w:rFonts w:ascii="Arial" w:hAnsi="Arial" w:cs="Arial"/>
        </w:rPr>
        <w:t>[2011] ZASCA 15;</w:t>
      </w:r>
      <w:r w:rsidRPr="00806057">
        <w:rPr>
          <w:rFonts w:ascii="Arial" w:hAnsi="Arial" w:cs="Arial"/>
          <w:i/>
        </w:rPr>
        <w:t xml:space="preserve"> </w:t>
      </w:r>
      <w:r w:rsidRPr="00806057">
        <w:rPr>
          <w:rFonts w:ascii="Arial" w:hAnsi="Arial" w:cs="Arial"/>
        </w:rPr>
        <w:t>2012 (1) SACR 567 (SCA) para 7.</w:t>
      </w:r>
    </w:p>
  </w:footnote>
  <w:footnote w:id="2">
    <w:p w14:paraId="10F0FB9E" w14:textId="069FFA7F" w:rsidR="00DB79EC" w:rsidRPr="00DB79EC" w:rsidRDefault="00DB79EC">
      <w:pPr>
        <w:pStyle w:val="FootnoteText"/>
        <w:rPr>
          <w:rFonts w:ascii="Arial" w:hAnsi="Arial" w:cs="Arial"/>
          <w:lang w:val="en-ZA"/>
        </w:rPr>
      </w:pPr>
      <w:r w:rsidRPr="00DB79EC">
        <w:rPr>
          <w:rStyle w:val="FootnoteReference"/>
          <w:rFonts w:ascii="Arial" w:hAnsi="Arial" w:cs="Arial"/>
        </w:rPr>
        <w:footnoteRef/>
      </w:r>
      <w:r w:rsidRPr="00DB79EC">
        <w:rPr>
          <w:rFonts w:ascii="Arial" w:hAnsi="Arial" w:cs="Arial"/>
        </w:rPr>
        <w:t xml:space="preserve"> </w:t>
      </w:r>
      <w:r w:rsidRPr="00DB79EC">
        <w:rPr>
          <w:rFonts w:ascii="Arial" w:hAnsi="Arial" w:cs="Arial"/>
          <w:bCs/>
          <w:i/>
          <w:iCs/>
          <w:lang w:val="en-ZA"/>
        </w:rPr>
        <w:t xml:space="preserve">Barnard Labuschagne Inc v Commissioner, South African Revenue Services and Another </w:t>
      </w:r>
      <w:r w:rsidRPr="00DB79EC">
        <w:rPr>
          <w:rFonts w:ascii="Arial" w:hAnsi="Arial" w:cs="Arial"/>
          <w:bCs/>
          <w:lang w:val="en-ZA"/>
        </w:rPr>
        <w:t>2022 (5) SA 1 (CC)</w:t>
      </w:r>
      <w:r>
        <w:rPr>
          <w:rFonts w:ascii="Arial" w:hAnsi="Arial" w:cs="Arial"/>
          <w:bCs/>
          <w:lang w:val="en-ZA"/>
        </w:rPr>
        <w:t>.</w:t>
      </w:r>
    </w:p>
  </w:footnote>
  <w:footnote w:id="3">
    <w:p w14:paraId="444E711E" w14:textId="16B306BD" w:rsidR="005869E0" w:rsidRPr="00E55780" w:rsidRDefault="005869E0">
      <w:pPr>
        <w:pStyle w:val="FootnoteText"/>
        <w:rPr>
          <w:rFonts w:ascii="Arial" w:hAnsi="Arial" w:cs="Arial"/>
        </w:rPr>
      </w:pPr>
      <w:r w:rsidRPr="00E55780">
        <w:rPr>
          <w:rStyle w:val="FootnoteReference"/>
          <w:rFonts w:ascii="Arial" w:hAnsi="Arial" w:cs="Arial"/>
        </w:rPr>
        <w:footnoteRef/>
      </w:r>
      <w:r w:rsidRPr="00E55780">
        <w:rPr>
          <w:rFonts w:ascii="Arial" w:hAnsi="Arial" w:cs="Arial"/>
        </w:rPr>
        <w:t xml:space="preserve"> </w:t>
      </w:r>
      <w:r w:rsidRPr="00E55780">
        <w:rPr>
          <w:rFonts w:ascii="Arial" w:hAnsi="Arial" w:cs="Arial"/>
          <w:i/>
        </w:rPr>
        <w:t xml:space="preserve">R v </w:t>
      </w:r>
      <w:r w:rsidR="00710E13" w:rsidRPr="00E55780">
        <w:rPr>
          <w:rFonts w:ascii="Arial" w:hAnsi="Arial" w:cs="Arial"/>
          <w:i/>
        </w:rPr>
        <w:t>Kuzwayo</w:t>
      </w:r>
      <w:r w:rsidR="00710E13" w:rsidRPr="00E55780">
        <w:rPr>
          <w:rFonts w:ascii="Arial" w:hAnsi="Arial" w:cs="Arial"/>
        </w:rPr>
        <w:t xml:space="preserve"> 1949</w:t>
      </w:r>
      <w:r w:rsidRPr="00E55780">
        <w:rPr>
          <w:rFonts w:ascii="Arial" w:hAnsi="Arial" w:cs="Arial"/>
        </w:rPr>
        <w:t xml:space="preserve"> (3) SA 761 (A) at 765</w:t>
      </w:r>
      <w:r w:rsidR="00E55780">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11169"/>
      <w:docPartObj>
        <w:docPartGallery w:val="Page Numbers (Top of Page)"/>
        <w:docPartUnique/>
      </w:docPartObj>
    </w:sdtPr>
    <w:sdtEndPr>
      <w:rPr>
        <w:noProof/>
      </w:rPr>
    </w:sdtEndPr>
    <w:sdtContent>
      <w:p w14:paraId="247B4C22" w14:textId="66B3C1A4" w:rsidR="00E55A37" w:rsidRDefault="00E55A37">
        <w:pPr>
          <w:pStyle w:val="Header"/>
          <w:jc w:val="right"/>
        </w:pPr>
        <w:r>
          <w:fldChar w:fldCharType="begin"/>
        </w:r>
        <w:r>
          <w:instrText xml:space="preserve"> PAGE   \* MERGEFORMAT </w:instrText>
        </w:r>
        <w:r>
          <w:fldChar w:fldCharType="separate"/>
        </w:r>
        <w:r w:rsidR="00096778">
          <w:rPr>
            <w:noProof/>
          </w:rPr>
          <w:t>2</w:t>
        </w:r>
        <w:r>
          <w:rPr>
            <w:noProof/>
          </w:rPr>
          <w:fldChar w:fldCharType="end"/>
        </w:r>
      </w:p>
    </w:sdtContent>
  </w:sdt>
  <w:p w14:paraId="0836887C" w14:textId="77777777" w:rsidR="00E55A37" w:rsidRDefault="00E55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BBC"/>
    <w:multiLevelType w:val="hybridMultilevel"/>
    <w:tmpl w:val="F3EC6324"/>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C6038"/>
    <w:multiLevelType w:val="hybridMultilevel"/>
    <w:tmpl w:val="CC4C178E"/>
    <w:lvl w:ilvl="0" w:tplc="B3CE889E">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1DCA"/>
    <w:rsid w:val="0000513F"/>
    <w:rsid w:val="00025E14"/>
    <w:rsid w:val="0002793E"/>
    <w:rsid w:val="00034278"/>
    <w:rsid w:val="00056BD6"/>
    <w:rsid w:val="00067FD1"/>
    <w:rsid w:val="000722CF"/>
    <w:rsid w:val="00081D7E"/>
    <w:rsid w:val="000870EA"/>
    <w:rsid w:val="00096778"/>
    <w:rsid w:val="000C5094"/>
    <w:rsid w:val="000C59F1"/>
    <w:rsid w:val="000C64B3"/>
    <w:rsid w:val="000D439E"/>
    <w:rsid w:val="000F3049"/>
    <w:rsid w:val="0010687C"/>
    <w:rsid w:val="0011485F"/>
    <w:rsid w:val="001305C4"/>
    <w:rsid w:val="00137364"/>
    <w:rsid w:val="0013741A"/>
    <w:rsid w:val="001461D1"/>
    <w:rsid w:val="00151D97"/>
    <w:rsid w:val="001601D5"/>
    <w:rsid w:val="0018148A"/>
    <w:rsid w:val="00193BE9"/>
    <w:rsid w:val="001A1A6E"/>
    <w:rsid w:val="001A39B8"/>
    <w:rsid w:val="001B4418"/>
    <w:rsid w:val="001B4EB7"/>
    <w:rsid w:val="00214E88"/>
    <w:rsid w:val="002158E8"/>
    <w:rsid w:val="00234E7F"/>
    <w:rsid w:val="0023511A"/>
    <w:rsid w:val="002352AB"/>
    <w:rsid w:val="00236A25"/>
    <w:rsid w:val="00240DBF"/>
    <w:rsid w:val="002821C3"/>
    <w:rsid w:val="002A4EAE"/>
    <w:rsid w:val="002B2093"/>
    <w:rsid w:val="002B4FA4"/>
    <w:rsid w:val="002C4AD0"/>
    <w:rsid w:val="002C512E"/>
    <w:rsid w:val="002E7B35"/>
    <w:rsid w:val="002F1EC0"/>
    <w:rsid w:val="003025D3"/>
    <w:rsid w:val="00316CD6"/>
    <w:rsid w:val="00327B10"/>
    <w:rsid w:val="00332D5F"/>
    <w:rsid w:val="003366C2"/>
    <w:rsid w:val="00337947"/>
    <w:rsid w:val="00346323"/>
    <w:rsid w:val="00350B9D"/>
    <w:rsid w:val="003528AE"/>
    <w:rsid w:val="0036082C"/>
    <w:rsid w:val="00365908"/>
    <w:rsid w:val="00367C66"/>
    <w:rsid w:val="00375619"/>
    <w:rsid w:val="003862E7"/>
    <w:rsid w:val="00390937"/>
    <w:rsid w:val="00393F99"/>
    <w:rsid w:val="00394DC0"/>
    <w:rsid w:val="003A532A"/>
    <w:rsid w:val="003D4D42"/>
    <w:rsid w:val="003D50BC"/>
    <w:rsid w:val="003F21E6"/>
    <w:rsid w:val="003F658B"/>
    <w:rsid w:val="003F7DFC"/>
    <w:rsid w:val="00401224"/>
    <w:rsid w:val="004020E5"/>
    <w:rsid w:val="00412CF1"/>
    <w:rsid w:val="00416B6A"/>
    <w:rsid w:val="004230BA"/>
    <w:rsid w:val="0043052B"/>
    <w:rsid w:val="00441A85"/>
    <w:rsid w:val="00442B4C"/>
    <w:rsid w:val="00452FE2"/>
    <w:rsid w:val="00453FD2"/>
    <w:rsid w:val="0045416E"/>
    <w:rsid w:val="00455ED1"/>
    <w:rsid w:val="00457C95"/>
    <w:rsid w:val="004612DF"/>
    <w:rsid w:val="004641D4"/>
    <w:rsid w:val="004654B9"/>
    <w:rsid w:val="00466DB2"/>
    <w:rsid w:val="00472718"/>
    <w:rsid w:val="004770D8"/>
    <w:rsid w:val="0048320C"/>
    <w:rsid w:val="004837CD"/>
    <w:rsid w:val="0048601F"/>
    <w:rsid w:val="00486D6F"/>
    <w:rsid w:val="00491A59"/>
    <w:rsid w:val="004966DC"/>
    <w:rsid w:val="004A254B"/>
    <w:rsid w:val="004D3891"/>
    <w:rsid w:val="004D6C0B"/>
    <w:rsid w:val="004E6B6E"/>
    <w:rsid w:val="004F4FFD"/>
    <w:rsid w:val="004F648C"/>
    <w:rsid w:val="00503DFF"/>
    <w:rsid w:val="0050582F"/>
    <w:rsid w:val="00512B34"/>
    <w:rsid w:val="00515741"/>
    <w:rsid w:val="00517F15"/>
    <w:rsid w:val="005275E8"/>
    <w:rsid w:val="00543B90"/>
    <w:rsid w:val="005444E4"/>
    <w:rsid w:val="00553194"/>
    <w:rsid w:val="00555824"/>
    <w:rsid w:val="00561B72"/>
    <w:rsid w:val="00562F9F"/>
    <w:rsid w:val="00563B2C"/>
    <w:rsid w:val="00567ED9"/>
    <w:rsid w:val="00576265"/>
    <w:rsid w:val="005857DB"/>
    <w:rsid w:val="005869E0"/>
    <w:rsid w:val="005A6C36"/>
    <w:rsid w:val="005B7F9E"/>
    <w:rsid w:val="005C3BB8"/>
    <w:rsid w:val="005C45A4"/>
    <w:rsid w:val="005C5C2B"/>
    <w:rsid w:val="005C691F"/>
    <w:rsid w:val="005D3CCB"/>
    <w:rsid w:val="005E0C4D"/>
    <w:rsid w:val="005E414B"/>
    <w:rsid w:val="005F4687"/>
    <w:rsid w:val="00611D9E"/>
    <w:rsid w:val="00613C19"/>
    <w:rsid w:val="00616462"/>
    <w:rsid w:val="006233DC"/>
    <w:rsid w:val="006267E0"/>
    <w:rsid w:val="00633A69"/>
    <w:rsid w:val="006549D4"/>
    <w:rsid w:val="00665535"/>
    <w:rsid w:val="00673A1C"/>
    <w:rsid w:val="00684446"/>
    <w:rsid w:val="006905C0"/>
    <w:rsid w:val="00690FAE"/>
    <w:rsid w:val="006A62D8"/>
    <w:rsid w:val="006B2D23"/>
    <w:rsid w:val="006E1568"/>
    <w:rsid w:val="006F66AE"/>
    <w:rsid w:val="006F68A0"/>
    <w:rsid w:val="006F73E8"/>
    <w:rsid w:val="006F7A36"/>
    <w:rsid w:val="0070241D"/>
    <w:rsid w:val="007036BA"/>
    <w:rsid w:val="00703B92"/>
    <w:rsid w:val="00710E13"/>
    <w:rsid w:val="0072120A"/>
    <w:rsid w:val="00722B7E"/>
    <w:rsid w:val="0072655F"/>
    <w:rsid w:val="007310BC"/>
    <w:rsid w:val="007359E8"/>
    <w:rsid w:val="00737392"/>
    <w:rsid w:val="00737A6A"/>
    <w:rsid w:val="0075218A"/>
    <w:rsid w:val="007552AA"/>
    <w:rsid w:val="00761616"/>
    <w:rsid w:val="00782F69"/>
    <w:rsid w:val="007A2639"/>
    <w:rsid w:val="007A7214"/>
    <w:rsid w:val="007B38EA"/>
    <w:rsid w:val="007B494C"/>
    <w:rsid w:val="007C4938"/>
    <w:rsid w:val="007D0129"/>
    <w:rsid w:val="007E20D1"/>
    <w:rsid w:val="0080287C"/>
    <w:rsid w:val="00806057"/>
    <w:rsid w:val="00822F93"/>
    <w:rsid w:val="00831955"/>
    <w:rsid w:val="00836F2B"/>
    <w:rsid w:val="00841792"/>
    <w:rsid w:val="00843EC6"/>
    <w:rsid w:val="00843FF4"/>
    <w:rsid w:val="0084684B"/>
    <w:rsid w:val="00847101"/>
    <w:rsid w:val="008567D1"/>
    <w:rsid w:val="00856C68"/>
    <w:rsid w:val="00860168"/>
    <w:rsid w:val="0086739D"/>
    <w:rsid w:val="008677DD"/>
    <w:rsid w:val="00875421"/>
    <w:rsid w:val="0088204D"/>
    <w:rsid w:val="00883950"/>
    <w:rsid w:val="00892E0B"/>
    <w:rsid w:val="0089351B"/>
    <w:rsid w:val="008A2A6F"/>
    <w:rsid w:val="008A2A79"/>
    <w:rsid w:val="008B03FE"/>
    <w:rsid w:val="008C1B63"/>
    <w:rsid w:val="008C31A0"/>
    <w:rsid w:val="008C6262"/>
    <w:rsid w:val="008C7671"/>
    <w:rsid w:val="008D795F"/>
    <w:rsid w:val="008E0115"/>
    <w:rsid w:val="008F37A5"/>
    <w:rsid w:val="008F7494"/>
    <w:rsid w:val="00907EFC"/>
    <w:rsid w:val="00937F57"/>
    <w:rsid w:val="00944039"/>
    <w:rsid w:val="009569C2"/>
    <w:rsid w:val="00963EEE"/>
    <w:rsid w:val="00977B16"/>
    <w:rsid w:val="00981B0F"/>
    <w:rsid w:val="00985C29"/>
    <w:rsid w:val="0098731F"/>
    <w:rsid w:val="00987E2F"/>
    <w:rsid w:val="00994274"/>
    <w:rsid w:val="0099538D"/>
    <w:rsid w:val="009A5CB4"/>
    <w:rsid w:val="009A64A8"/>
    <w:rsid w:val="009C1E34"/>
    <w:rsid w:val="009C32BC"/>
    <w:rsid w:val="009E698C"/>
    <w:rsid w:val="009E74E1"/>
    <w:rsid w:val="009F6093"/>
    <w:rsid w:val="009F7E50"/>
    <w:rsid w:val="00A03B87"/>
    <w:rsid w:val="00A07E28"/>
    <w:rsid w:val="00A11701"/>
    <w:rsid w:val="00A14D42"/>
    <w:rsid w:val="00A1705D"/>
    <w:rsid w:val="00A235C5"/>
    <w:rsid w:val="00A30503"/>
    <w:rsid w:val="00A3529D"/>
    <w:rsid w:val="00A36D93"/>
    <w:rsid w:val="00A379DD"/>
    <w:rsid w:val="00A4323E"/>
    <w:rsid w:val="00A459B0"/>
    <w:rsid w:val="00A609C9"/>
    <w:rsid w:val="00A61189"/>
    <w:rsid w:val="00A64030"/>
    <w:rsid w:val="00A677B7"/>
    <w:rsid w:val="00A82D0D"/>
    <w:rsid w:val="00A842CC"/>
    <w:rsid w:val="00A84A45"/>
    <w:rsid w:val="00A958DE"/>
    <w:rsid w:val="00A96563"/>
    <w:rsid w:val="00AC6090"/>
    <w:rsid w:val="00AD3150"/>
    <w:rsid w:val="00AD5463"/>
    <w:rsid w:val="00AF00D5"/>
    <w:rsid w:val="00AF34A2"/>
    <w:rsid w:val="00B01F0D"/>
    <w:rsid w:val="00B16CFF"/>
    <w:rsid w:val="00B30072"/>
    <w:rsid w:val="00B30441"/>
    <w:rsid w:val="00B54939"/>
    <w:rsid w:val="00B54BFF"/>
    <w:rsid w:val="00B64577"/>
    <w:rsid w:val="00B74702"/>
    <w:rsid w:val="00B8098A"/>
    <w:rsid w:val="00B84A92"/>
    <w:rsid w:val="00B8593F"/>
    <w:rsid w:val="00B864D4"/>
    <w:rsid w:val="00B90FC5"/>
    <w:rsid w:val="00B928BF"/>
    <w:rsid w:val="00B932A8"/>
    <w:rsid w:val="00B95958"/>
    <w:rsid w:val="00BA6803"/>
    <w:rsid w:val="00BB3012"/>
    <w:rsid w:val="00BB5333"/>
    <w:rsid w:val="00BB6BED"/>
    <w:rsid w:val="00BC7233"/>
    <w:rsid w:val="00BE429C"/>
    <w:rsid w:val="00C0310B"/>
    <w:rsid w:val="00C125A5"/>
    <w:rsid w:val="00C139B8"/>
    <w:rsid w:val="00C3351A"/>
    <w:rsid w:val="00C41FC9"/>
    <w:rsid w:val="00C4493A"/>
    <w:rsid w:val="00C533FA"/>
    <w:rsid w:val="00C5571A"/>
    <w:rsid w:val="00C87A44"/>
    <w:rsid w:val="00C9427D"/>
    <w:rsid w:val="00C94ED5"/>
    <w:rsid w:val="00CA0094"/>
    <w:rsid w:val="00CA2E99"/>
    <w:rsid w:val="00CB0FBF"/>
    <w:rsid w:val="00CB50FA"/>
    <w:rsid w:val="00CB5E52"/>
    <w:rsid w:val="00CB68FA"/>
    <w:rsid w:val="00CC08F7"/>
    <w:rsid w:val="00CD54C9"/>
    <w:rsid w:val="00D35BFA"/>
    <w:rsid w:val="00D41A2D"/>
    <w:rsid w:val="00D42D3F"/>
    <w:rsid w:val="00D457E0"/>
    <w:rsid w:val="00D5310A"/>
    <w:rsid w:val="00D57466"/>
    <w:rsid w:val="00D60CB6"/>
    <w:rsid w:val="00D669A5"/>
    <w:rsid w:val="00D77979"/>
    <w:rsid w:val="00D8679C"/>
    <w:rsid w:val="00D90F7D"/>
    <w:rsid w:val="00DA2D9A"/>
    <w:rsid w:val="00DB17F7"/>
    <w:rsid w:val="00DB79EC"/>
    <w:rsid w:val="00DD0522"/>
    <w:rsid w:val="00DD5072"/>
    <w:rsid w:val="00DD799D"/>
    <w:rsid w:val="00DE28A2"/>
    <w:rsid w:val="00E05983"/>
    <w:rsid w:val="00E109E6"/>
    <w:rsid w:val="00E11907"/>
    <w:rsid w:val="00E13FED"/>
    <w:rsid w:val="00E25094"/>
    <w:rsid w:val="00E33A45"/>
    <w:rsid w:val="00E33A46"/>
    <w:rsid w:val="00E35478"/>
    <w:rsid w:val="00E36E9E"/>
    <w:rsid w:val="00E55780"/>
    <w:rsid w:val="00E55A37"/>
    <w:rsid w:val="00E637C1"/>
    <w:rsid w:val="00E67741"/>
    <w:rsid w:val="00E72E03"/>
    <w:rsid w:val="00E77718"/>
    <w:rsid w:val="00E821CD"/>
    <w:rsid w:val="00E842D7"/>
    <w:rsid w:val="00EB206B"/>
    <w:rsid w:val="00EB4B7B"/>
    <w:rsid w:val="00EC7C31"/>
    <w:rsid w:val="00ED08A5"/>
    <w:rsid w:val="00ED5017"/>
    <w:rsid w:val="00ED544F"/>
    <w:rsid w:val="00EE7F11"/>
    <w:rsid w:val="00F009B5"/>
    <w:rsid w:val="00F1301C"/>
    <w:rsid w:val="00F156A8"/>
    <w:rsid w:val="00F24867"/>
    <w:rsid w:val="00F27106"/>
    <w:rsid w:val="00F33A4A"/>
    <w:rsid w:val="00F35E06"/>
    <w:rsid w:val="00F470E7"/>
    <w:rsid w:val="00F603C3"/>
    <w:rsid w:val="00F63047"/>
    <w:rsid w:val="00F7272F"/>
    <w:rsid w:val="00F92CC6"/>
    <w:rsid w:val="00FD4A70"/>
    <w:rsid w:val="00FE3E00"/>
    <w:rsid w:val="00FF12BC"/>
    <w:rsid w:val="00FF2D82"/>
    <w:rsid w:val="00FF49B1"/>
    <w:rsid w:val="00FF4CA7"/>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308"/>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paragraph" w:styleId="FootnoteText">
    <w:name w:val="footnote text"/>
    <w:basedOn w:val="Normal"/>
    <w:link w:val="FootnoteTextChar"/>
    <w:uiPriority w:val="99"/>
    <w:semiHidden/>
    <w:unhideWhenUsed/>
    <w:rsid w:val="00FF4CA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FF4CA7"/>
    <w:rPr>
      <w:sz w:val="20"/>
      <w:szCs w:val="20"/>
      <w:lang w:val="en-US"/>
    </w:rPr>
  </w:style>
  <w:style w:type="character" w:styleId="FootnoteReference">
    <w:name w:val="footnote reference"/>
    <w:basedOn w:val="DefaultParagraphFont"/>
    <w:uiPriority w:val="99"/>
    <w:semiHidden/>
    <w:unhideWhenUsed/>
    <w:rsid w:val="00FF4C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D353-0D4C-4FAA-953F-D6D5537F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Mary Bruce</cp:lastModifiedBy>
  <cp:revision>3</cp:revision>
  <cp:lastPrinted>2023-01-27T08:43:00Z</cp:lastPrinted>
  <dcterms:created xsi:type="dcterms:W3CDTF">2023-01-27T08:53:00Z</dcterms:created>
  <dcterms:modified xsi:type="dcterms:W3CDTF">2023-01-28T15:50:00Z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-324810204</vt:i4>
  </property>
</Properties>
</file>