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52903E2A" wp14:editId="02ADBF42">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8D3273" w:rsidRPr="007B0DD3" w:rsidRDefault="008D3273" w:rsidP="008D3273">
      <w:pPr>
        <w:spacing w:line="360" w:lineRule="auto"/>
        <w:contextualSpacing/>
        <w:jc w:val="both"/>
        <w:rPr>
          <w:rFonts w:asciiTheme="minorBidi" w:hAnsiTheme="minorBidi"/>
          <w:b/>
          <w:sz w:val="16"/>
          <w:szCs w:val="16"/>
        </w:rPr>
      </w:pP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4C2560">
        <w:rPr>
          <w:rFonts w:asciiTheme="minorBidi" w:hAnsiTheme="minorBidi"/>
          <w:b/>
        </w:rPr>
        <w:t xml:space="preserve">LOCAL </w:t>
      </w:r>
      <w:r w:rsidRPr="007B0DD3">
        <w:rPr>
          <w:rFonts w:asciiTheme="minorBidi" w:hAnsiTheme="minorBidi"/>
          <w:b/>
        </w:rPr>
        <w:t xml:space="preserve">DIVISION, </w:t>
      </w:r>
      <w:r w:rsidR="004C2560">
        <w:rPr>
          <w:rFonts w:asciiTheme="minorBidi" w:hAnsiTheme="minorBidi"/>
          <w:b/>
        </w:rPr>
        <w:t>DURBAN</w:t>
      </w:r>
    </w:p>
    <w:p w:rsidR="008D3273" w:rsidRPr="007B0DD3" w:rsidRDefault="008D3273" w:rsidP="008D3273">
      <w:pPr>
        <w:spacing w:line="360" w:lineRule="auto"/>
        <w:contextualSpacing/>
        <w:jc w:val="center"/>
        <w:rPr>
          <w:rFonts w:asciiTheme="minorBidi" w:hAnsiTheme="minorBidi"/>
        </w:rPr>
      </w:pPr>
    </w:p>
    <w:p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4C2560">
        <w:rPr>
          <w:rFonts w:asciiTheme="minorBidi" w:hAnsiTheme="minorBidi"/>
          <w:b/>
        </w:rPr>
        <w:t>D</w:t>
      </w:r>
      <w:r w:rsidR="001E1CD2">
        <w:rPr>
          <w:rFonts w:asciiTheme="minorBidi" w:hAnsiTheme="minorBidi"/>
          <w:b/>
        </w:rPr>
        <w:t>3715</w:t>
      </w:r>
      <w:r w:rsidR="004C2560">
        <w:rPr>
          <w:rFonts w:asciiTheme="minorBidi" w:hAnsiTheme="minorBidi"/>
          <w:b/>
        </w:rPr>
        <w:t>/202</w:t>
      </w:r>
      <w:r w:rsidR="00815C30">
        <w:rPr>
          <w:rFonts w:asciiTheme="minorBidi" w:hAnsiTheme="minorBidi"/>
          <w:b/>
        </w:rPr>
        <w:t>1</w:t>
      </w:r>
    </w:p>
    <w:p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rsidR="008D3273" w:rsidRDefault="008D3273" w:rsidP="008D3273">
      <w:pPr>
        <w:tabs>
          <w:tab w:val="right" w:pos="9072"/>
        </w:tabs>
        <w:spacing w:line="360" w:lineRule="auto"/>
        <w:contextualSpacing/>
        <w:jc w:val="both"/>
        <w:rPr>
          <w:rFonts w:asciiTheme="minorBidi" w:hAnsiTheme="minorBidi"/>
          <w:b/>
          <w:bCs/>
        </w:rPr>
      </w:pPr>
    </w:p>
    <w:p w:rsidR="008D3273" w:rsidRDefault="00ED500B" w:rsidP="008D3273">
      <w:pPr>
        <w:tabs>
          <w:tab w:val="right" w:pos="9072"/>
        </w:tabs>
        <w:spacing w:line="360" w:lineRule="auto"/>
        <w:contextualSpacing/>
        <w:jc w:val="both"/>
        <w:rPr>
          <w:rFonts w:asciiTheme="minorBidi" w:hAnsiTheme="minorBidi"/>
          <w:b/>
          <w:bCs/>
        </w:rPr>
      </w:pPr>
      <w:r>
        <w:rPr>
          <w:rFonts w:asciiTheme="minorBidi" w:hAnsiTheme="minorBidi"/>
          <w:b/>
          <w:bCs/>
        </w:rPr>
        <w:t>ALBARAKA BANK</w:t>
      </w:r>
      <w:r w:rsidR="008D3273">
        <w:rPr>
          <w:rFonts w:asciiTheme="minorBidi" w:hAnsiTheme="minorBidi"/>
          <w:b/>
          <w:bCs/>
        </w:rPr>
        <w:t xml:space="preserve"> </w:t>
      </w:r>
      <w:r w:rsidR="008D3273">
        <w:rPr>
          <w:rFonts w:asciiTheme="minorBidi" w:hAnsiTheme="minorBidi"/>
          <w:b/>
          <w:bCs/>
        </w:rPr>
        <w:tab/>
        <w:t>APPLICANT</w:t>
      </w:r>
    </w:p>
    <w:p w:rsidR="008D3273" w:rsidRDefault="008D3273" w:rsidP="008D3273">
      <w:pPr>
        <w:tabs>
          <w:tab w:val="right" w:pos="9072"/>
        </w:tabs>
        <w:spacing w:line="360" w:lineRule="auto"/>
        <w:contextualSpacing/>
        <w:jc w:val="both"/>
        <w:rPr>
          <w:rFonts w:asciiTheme="minorBidi" w:hAnsiTheme="minorBidi"/>
          <w:bCs/>
        </w:rPr>
      </w:pPr>
    </w:p>
    <w:p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rsidR="008D3273" w:rsidRDefault="008D3273" w:rsidP="008D3273">
      <w:pPr>
        <w:tabs>
          <w:tab w:val="right" w:pos="9072"/>
        </w:tabs>
        <w:spacing w:line="360" w:lineRule="auto"/>
        <w:contextualSpacing/>
        <w:jc w:val="both"/>
        <w:rPr>
          <w:rFonts w:asciiTheme="minorBidi" w:hAnsiTheme="minorBidi"/>
          <w:b/>
        </w:rPr>
      </w:pPr>
    </w:p>
    <w:p w:rsidR="008D3273" w:rsidRDefault="00ED500B" w:rsidP="008D3273">
      <w:pPr>
        <w:tabs>
          <w:tab w:val="right" w:pos="9072"/>
        </w:tabs>
        <w:spacing w:line="360" w:lineRule="auto"/>
        <w:contextualSpacing/>
        <w:jc w:val="both"/>
        <w:rPr>
          <w:rFonts w:asciiTheme="minorBidi" w:hAnsiTheme="minorBidi"/>
          <w:b/>
        </w:rPr>
      </w:pPr>
      <w:r>
        <w:rPr>
          <w:rFonts w:asciiTheme="minorBidi" w:hAnsiTheme="minorBidi"/>
          <w:b/>
        </w:rPr>
        <w:t>NEW TURN INVESTMENTS (PTY) LTD</w:t>
      </w:r>
      <w:r w:rsidR="008D3273">
        <w:rPr>
          <w:rFonts w:asciiTheme="minorBidi" w:hAnsiTheme="minorBidi"/>
          <w:b/>
        </w:rPr>
        <w:tab/>
        <w:t>RESPONDENT</w:t>
      </w:r>
    </w:p>
    <w:p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rsidR="008D3273" w:rsidRPr="007B0DD3" w:rsidRDefault="008D3273" w:rsidP="00E4410F">
      <w:pPr>
        <w:jc w:val="both"/>
        <w:rPr>
          <w:rFonts w:asciiTheme="minorBidi" w:hAnsiTheme="minorBidi"/>
          <w:bCs/>
        </w:rPr>
      </w:pPr>
    </w:p>
    <w:p w:rsidR="005D2C20" w:rsidRDefault="008D3273" w:rsidP="005D2C20">
      <w:pPr>
        <w:spacing w:line="360" w:lineRule="auto"/>
        <w:jc w:val="both"/>
        <w:rPr>
          <w:rFonts w:asciiTheme="minorBidi" w:hAnsiTheme="minorBidi"/>
          <w:bCs/>
        </w:rPr>
      </w:pPr>
      <w:r w:rsidRPr="007B0DD3">
        <w:rPr>
          <w:rFonts w:asciiTheme="minorBidi" w:hAnsiTheme="minorBidi"/>
          <w:bCs/>
        </w:rPr>
        <w:t>Coram:</w:t>
      </w:r>
      <w:r w:rsidRPr="007B0DD3">
        <w:rPr>
          <w:rFonts w:asciiTheme="minorBidi" w:hAnsiTheme="minorBidi"/>
          <w:bCs/>
        </w:rPr>
        <w:tab/>
        <w:t>Mossop J</w:t>
      </w:r>
    </w:p>
    <w:p w:rsidR="008D3273" w:rsidRDefault="008D3273" w:rsidP="005D2C20">
      <w:pPr>
        <w:spacing w:line="360" w:lineRule="auto"/>
        <w:jc w:val="both"/>
        <w:rPr>
          <w:rFonts w:asciiTheme="minorBidi" w:hAnsiTheme="minorBidi"/>
          <w:bCs/>
        </w:rPr>
      </w:pPr>
      <w:r w:rsidRPr="007B0DD3">
        <w:rPr>
          <w:rFonts w:asciiTheme="minorBidi" w:hAnsiTheme="minorBidi"/>
          <w:bCs/>
        </w:rPr>
        <w:t>Heard:</w:t>
      </w:r>
      <w:r w:rsidRPr="007B0DD3">
        <w:rPr>
          <w:rFonts w:asciiTheme="minorBidi" w:hAnsiTheme="minorBidi"/>
          <w:bCs/>
        </w:rPr>
        <w:tab/>
      </w:r>
      <w:r w:rsidR="004C2560">
        <w:rPr>
          <w:rFonts w:asciiTheme="minorBidi" w:hAnsiTheme="minorBidi"/>
          <w:bCs/>
        </w:rPr>
        <w:t>1</w:t>
      </w:r>
      <w:r w:rsidR="001E1CD2">
        <w:rPr>
          <w:rFonts w:asciiTheme="minorBidi" w:hAnsiTheme="minorBidi"/>
          <w:bCs/>
        </w:rPr>
        <w:t>8</w:t>
      </w:r>
      <w:r w:rsidR="004C2560">
        <w:rPr>
          <w:rFonts w:asciiTheme="minorBidi" w:hAnsiTheme="minorBidi"/>
          <w:bCs/>
        </w:rPr>
        <w:t xml:space="preserve"> July</w:t>
      </w:r>
      <w:r w:rsidR="00E4410F">
        <w:rPr>
          <w:rFonts w:asciiTheme="minorBidi" w:hAnsiTheme="minorBidi"/>
          <w:bCs/>
        </w:rPr>
        <w:t xml:space="preserve"> 2023</w:t>
      </w:r>
    </w:p>
    <w:p w:rsidR="008D3273" w:rsidRDefault="008D3273" w:rsidP="005D2C20">
      <w:pPr>
        <w:spacing w:line="360" w:lineRule="auto"/>
        <w:jc w:val="both"/>
        <w:rPr>
          <w:rFonts w:asciiTheme="minorBidi" w:hAnsiTheme="minorBidi"/>
          <w:bCs/>
        </w:rPr>
      </w:pPr>
      <w:r w:rsidRPr="007B0DD3">
        <w:rPr>
          <w:rFonts w:asciiTheme="minorBidi" w:hAnsiTheme="minorBidi"/>
          <w:bCs/>
        </w:rPr>
        <w:t>Delivered:</w:t>
      </w:r>
      <w:r w:rsidRPr="007B0DD3">
        <w:rPr>
          <w:rFonts w:asciiTheme="minorBidi" w:hAnsiTheme="minorBidi"/>
          <w:bCs/>
        </w:rPr>
        <w:tab/>
      </w:r>
      <w:r w:rsidR="004C2560">
        <w:rPr>
          <w:rFonts w:asciiTheme="minorBidi" w:hAnsiTheme="minorBidi"/>
          <w:bCs/>
        </w:rPr>
        <w:t>1</w:t>
      </w:r>
      <w:r w:rsidR="001E1CD2">
        <w:rPr>
          <w:rFonts w:asciiTheme="minorBidi" w:hAnsiTheme="minorBidi"/>
          <w:bCs/>
        </w:rPr>
        <w:t>8</w:t>
      </w:r>
      <w:r w:rsidR="004C2560">
        <w:rPr>
          <w:rFonts w:asciiTheme="minorBidi" w:hAnsiTheme="minorBidi"/>
          <w:bCs/>
        </w:rPr>
        <w:t xml:space="preserve"> July</w:t>
      </w:r>
      <w:r w:rsidRPr="007B0DD3">
        <w:rPr>
          <w:rFonts w:asciiTheme="minorBidi" w:hAnsiTheme="minorBidi"/>
          <w:bCs/>
        </w:rPr>
        <w:t xml:space="preserve"> 2023</w:t>
      </w:r>
    </w:p>
    <w:p w:rsidR="008D3273" w:rsidRPr="007B0DD3" w:rsidRDefault="008D3273" w:rsidP="00E4410F">
      <w:pPr>
        <w:pBdr>
          <w:bottom w:val="single" w:sz="12" w:space="1" w:color="auto"/>
        </w:pBdr>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rsidR="008D3273" w:rsidRPr="007B0DD3" w:rsidRDefault="008D3273" w:rsidP="00E4410F">
      <w:pPr>
        <w:pBdr>
          <w:bottom w:val="single" w:sz="12" w:space="1" w:color="auto"/>
        </w:pBdr>
        <w:jc w:val="both"/>
        <w:rPr>
          <w:rFonts w:asciiTheme="minorBidi" w:hAnsiTheme="minorBidi"/>
          <w:b/>
          <w:bCs/>
        </w:rPr>
      </w:pPr>
    </w:p>
    <w:p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rsidR="008D3273" w:rsidRDefault="008D3273" w:rsidP="00167ADC">
      <w:pPr>
        <w:spacing w:line="360" w:lineRule="auto"/>
        <w:contextualSpacing/>
        <w:jc w:val="both"/>
        <w:rPr>
          <w:rFonts w:ascii="Arial" w:hAnsi="Arial" w:cs="Arial"/>
        </w:rPr>
      </w:pPr>
      <w:r w:rsidRPr="00466F9B">
        <w:rPr>
          <w:rFonts w:ascii="Arial" w:hAnsi="Arial" w:cs="Arial"/>
        </w:rPr>
        <w:t>The following order is granted:</w:t>
      </w:r>
    </w:p>
    <w:p w:rsidR="005D2C20" w:rsidRDefault="005D2C20" w:rsidP="00167ADC">
      <w:pPr>
        <w:spacing w:line="360" w:lineRule="auto"/>
        <w:contextualSpacing/>
        <w:jc w:val="both"/>
        <w:rPr>
          <w:rFonts w:ascii="Arial" w:hAnsi="Arial" w:cs="Arial"/>
        </w:rPr>
      </w:pPr>
    </w:p>
    <w:p w:rsidR="005D2C20" w:rsidRDefault="005D2C20" w:rsidP="00167ADC">
      <w:pPr>
        <w:spacing w:line="360" w:lineRule="auto"/>
        <w:contextualSpacing/>
        <w:jc w:val="both"/>
        <w:rPr>
          <w:rFonts w:ascii="Arial" w:hAnsi="Arial" w:cs="Arial"/>
        </w:rPr>
      </w:pPr>
      <w:r>
        <w:rPr>
          <w:rFonts w:ascii="Arial" w:hAnsi="Arial" w:cs="Arial"/>
        </w:rPr>
        <w:t xml:space="preserve">There will be an order in terms of paragraphs </w:t>
      </w:r>
      <w:r w:rsidR="00A327D9">
        <w:rPr>
          <w:rFonts w:ascii="Arial" w:hAnsi="Arial" w:cs="Arial"/>
        </w:rPr>
        <w:t>1</w:t>
      </w:r>
      <w:r>
        <w:rPr>
          <w:rFonts w:ascii="Arial" w:hAnsi="Arial" w:cs="Arial"/>
        </w:rPr>
        <w:t xml:space="preserve"> to </w:t>
      </w:r>
      <w:r w:rsidR="00A327D9">
        <w:rPr>
          <w:rFonts w:ascii="Arial" w:hAnsi="Arial" w:cs="Arial"/>
        </w:rPr>
        <w:t>7</w:t>
      </w:r>
      <w:r>
        <w:rPr>
          <w:rFonts w:ascii="Arial" w:hAnsi="Arial" w:cs="Arial"/>
        </w:rPr>
        <w:t xml:space="preserve"> of the notice of motion</w:t>
      </w:r>
      <w:r w:rsidR="002614EB">
        <w:rPr>
          <w:rFonts w:ascii="Arial" w:hAnsi="Arial" w:cs="Arial"/>
        </w:rPr>
        <w:t>, save that there shall be no order in terms of sub-paragraph 3.3</w:t>
      </w:r>
      <w:r w:rsidR="00A327D9">
        <w:rPr>
          <w:rFonts w:ascii="Arial" w:hAnsi="Arial" w:cs="Arial"/>
        </w:rPr>
        <w:t xml:space="preserve"> thereof</w:t>
      </w:r>
      <w:r>
        <w:rPr>
          <w:rFonts w:ascii="Arial" w:hAnsi="Arial" w:cs="Arial"/>
        </w:rPr>
        <w:t>.</w:t>
      </w:r>
    </w:p>
    <w:p w:rsidR="005672A2" w:rsidRDefault="005672A2" w:rsidP="00167ADC">
      <w:pPr>
        <w:spacing w:line="360" w:lineRule="auto"/>
        <w:contextualSpacing/>
        <w:jc w:val="both"/>
        <w:rPr>
          <w:rFonts w:ascii="Arial" w:hAnsi="Arial" w:cs="Arial"/>
        </w:rPr>
      </w:pPr>
    </w:p>
    <w:p w:rsidR="008D3273" w:rsidRPr="007B0DD3" w:rsidRDefault="008D3273" w:rsidP="00E4410F">
      <w:pPr>
        <w:pBdr>
          <w:bottom w:val="single" w:sz="12" w:space="1" w:color="auto"/>
        </w:pBdr>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rsidR="008D3273" w:rsidRPr="007B0DD3" w:rsidRDefault="008D3273" w:rsidP="00E4410F">
      <w:pPr>
        <w:pBdr>
          <w:bottom w:val="single" w:sz="12" w:space="1" w:color="auto"/>
        </w:pBdr>
        <w:jc w:val="both"/>
        <w:rPr>
          <w:rFonts w:asciiTheme="minorBidi" w:hAnsiTheme="minorBidi"/>
          <w:b/>
          <w:bCs/>
        </w:rPr>
      </w:pPr>
    </w:p>
    <w:p w:rsidR="00060702" w:rsidRDefault="00060702" w:rsidP="008418D6">
      <w:pPr>
        <w:spacing w:line="360" w:lineRule="auto"/>
        <w:jc w:val="both"/>
        <w:rPr>
          <w:rFonts w:asciiTheme="minorBidi" w:hAnsiTheme="minorBidi"/>
          <w:b/>
        </w:rPr>
      </w:pPr>
    </w:p>
    <w:p w:rsidR="008D3273" w:rsidRDefault="008D3273" w:rsidP="00A327D9">
      <w:pPr>
        <w:spacing w:line="360" w:lineRule="auto"/>
        <w:jc w:val="both"/>
        <w:rPr>
          <w:rFonts w:asciiTheme="minorBidi" w:hAnsiTheme="minorBidi"/>
          <w:bCs/>
        </w:rPr>
      </w:pPr>
      <w:r w:rsidRPr="007B0DD3">
        <w:rPr>
          <w:rFonts w:asciiTheme="minorBidi" w:hAnsiTheme="minorBidi"/>
          <w:b/>
        </w:rPr>
        <w:lastRenderedPageBreak/>
        <w:t xml:space="preserve">Mossop </w:t>
      </w:r>
      <w:r>
        <w:rPr>
          <w:rFonts w:asciiTheme="minorBidi" w:hAnsiTheme="minorBidi"/>
          <w:b/>
        </w:rPr>
        <w:t>J</w:t>
      </w:r>
      <w:r>
        <w:rPr>
          <w:rFonts w:asciiTheme="minorBidi" w:hAnsiTheme="minorBidi"/>
          <w:bCs/>
        </w:rPr>
        <w:t>:</w:t>
      </w:r>
    </w:p>
    <w:p w:rsidR="00E4410F" w:rsidRDefault="00E4410F" w:rsidP="00A327D9">
      <w:pPr>
        <w:spacing w:line="360" w:lineRule="auto"/>
        <w:jc w:val="both"/>
        <w:rPr>
          <w:rFonts w:asciiTheme="minorBidi" w:hAnsiTheme="minorBidi"/>
          <w:bCs/>
        </w:rPr>
      </w:pPr>
    </w:p>
    <w:p w:rsidR="00302B31" w:rsidRPr="00EF0190" w:rsidRDefault="00EF0190" w:rsidP="00EF0190">
      <w:pPr>
        <w:tabs>
          <w:tab w:val="left" w:pos="709"/>
        </w:tabs>
        <w:spacing w:line="360" w:lineRule="auto"/>
        <w:jc w:val="both"/>
        <w:rPr>
          <w:rFonts w:ascii="Arial" w:hAnsi="Arial" w:cs="Arial"/>
          <w:color w:val="000000"/>
        </w:rPr>
      </w:pPr>
      <w:r w:rsidRPr="005D2C20">
        <w:rPr>
          <w:rFonts w:ascii="Arial" w:eastAsiaTheme="minorHAnsi" w:hAnsi="Arial" w:cs="Arial"/>
          <w:color w:val="000000"/>
          <w:lang w:val="en-GB" w:eastAsia="en-US" w:bidi="ar-SA"/>
        </w:rPr>
        <w:t>[1]</w:t>
      </w:r>
      <w:r w:rsidRPr="005D2C20">
        <w:rPr>
          <w:rFonts w:ascii="Arial" w:eastAsiaTheme="minorHAnsi" w:hAnsi="Arial" w:cs="Arial"/>
          <w:color w:val="000000"/>
          <w:lang w:val="en-GB" w:eastAsia="en-US" w:bidi="ar-SA"/>
        </w:rPr>
        <w:tab/>
      </w:r>
      <w:r w:rsidR="00302B31" w:rsidRPr="00EF0190">
        <w:rPr>
          <w:rFonts w:ascii="Arial" w:hAnsi="Arial" w:cs="Arial"/>
        </w:rPr>
        <w:t>This is an ex tempore judgment.</w:t>
      </w:r>
    </w:p>
    <w:p w:rsidR="005D2C20" w:rsidRPr="008B14C5" w:rsidRDefault="005D2C20" w:rsidP="00A327D9">
      <w:pPr>
        <w:pStyle w:val="ListParagraph"/>
        <w:tabs>
          <w:tab w:val="left" w:pos="709"/>
        </w:tabs>
        <w:spacing w:after="0" w:line="360" w:lineRule="auto"/>
        <w:ind w:left="0"/>
        <w:jc w:val="both"/>
        <w:rPr>
          <w:rFonts w:ascii="Arial" w:hAnsi="Arial" w:cs="Arial"/>
          <w:color w:val="000000"/>
          <w:sz w:val="24"/>
          <w:szCs w:val="24"/>
        </w:rPr>
      </w:pPr>
    </w:p>
    <w:p w:rsidR="00060702" w:rsidRPr="00EF0190" w:rsidRDefault="00EF0190" w:rsidP="00EF0190">
      <w:pPr>
        <w:tabs>
          <w:tab w:val="left" w:pos="709"/>
        </w:tabs>
        <w:spacing w:line="360" w:lineRule="auto"/>
        <w:jc w:val="both"/>
        <w:rPr>
          <w:rFonts w:ascii="Arial" w:hAnsi="Arial" w:cs="Arial"/>
          <w:color w:val="000000"/>
        </w:rPr>
      </w:pPr>
      <w:r w:rsidRPr="00060702">
        <w:rPr>
          <w:rFonts w:ascii="Arial" w:eastAsiaTheme="minorHAnsi" w:hAnsi="Arial" w:cs="Arial"/>
          <w:color w:val="000000"/>
          <w:lang w:val="en-GB" w:eastAsia="en-US" w:bidi="ar-SA"/>
        </w:rPr>
        <w:t>[2]</w:t>
      </w:r>
      <w:r w:rsidRPr="00060702">
        <w:rPr>
          <w:rFonts w:ascii="Arial" w:eastAsiaTheme="minorHAnsi" w:hAnsi="Arial" w:cs="Arial"/>
          <w:color w:val="000000"/>
          <w:lang w:val="en-GB" w:eastAsia="en-US" w:bidi="ar-SA"/>
        </w:rPr>
        <w:tab/>
      </w:r>
      <w:r w:rsidR="008B14C5" w:rsidRPr="00EF0190">
        <w:rPr>
          <w:rFonts w:ascii="Arial" w:hAnsi="Arial" w:cs="Arial"/>
        </w:rPr>
        <w:t>The applicant is a company that carries on business as an authorised financial services provider in terms of the banking laws of this country. In conducting its business activities, the applicant</w:t>
      </w:r>
      <w:r w:rsidR="00060702" w:rsidRPr="00EF0190">
        <w:rPr>
          <w:rFonts w:ascii="Arial" w:hAnsi="Arial" w:cs="Arial"/>
        </w:rPr>
        <w:t>, inter alia,</w:t>
      </w:r>
      <w:r w:rsidR="008B14C5" w:rsidRPr="00EF0190">
        <w:rPr>
          <w:rFonts w:ascii="Arial" w:hAnsi="Arial" w:cs="Arial"/>
        </w:rPr>
        <w:t xml:space="preserve"> observes </w:t>
      </w:r>
      <w:r w:rsidR="00EE25B5" w:rsidRPr="00EF0190">
        <w:rPr>
          <w:rFonts w:ascii="Arial" w:hAnsi="Arial" w:cs="Arial"/>
        </w:rPr>
        <w:t>Sharia</w:t>
      </w:r>
      <w:r w:rsidR="008B14C5" w:rsidRPr="00EF0190">
        <w:rPr>
          <w:rFonts w:ascii="Arial" w:hAnsi="Arial" w:cs="Arial"/>
        </w:rPr>
        <w:t xml:space="preserve"> law and the principles attached thereto. The respondent is also a company, duly incorporated in terms of the company laws of this country. Its guiding mind, being the deponent to its answering affidavit, Ms Fahima Khan (Ms Khan)</w:t>
      </w:r>
      <w:r w:rsidR="00AD0EE5" w:rsidRPr="00EF0190">
        <w:rPr>
          <w:rFonts w:ascii="Arial" w:hAnsi="Arial" w:cs="Arial"/>
        </w:rPr>
        <w:t>,</w:t>
      </w:r>
      <w:r w:rsidR="008B14C5" w:rsidRPr="00EF0190">
        <w:rPr>
          <w:rFonts w:ascii="Arial" w:hAnsi="Arial" w:cs="Arial"/>
        </w:rPr>
        <w:t xml:space="preserve"> is an adherent to the Islamic faith.  </w:t>
      </w:r>
    </w:p>
    <w:p w:rsidR="00060702" w:rsidRPr="00060702" w:rsidRDefault="00060702" w:rsidP="00A327D9">
      <w:pPr>
        <w:pStyle w:val="ListParagraph"/>
        <w:spacing w:after="0" w:line="360" w:lineRule="auto"/>
        <w:rPr>
          <w:rFonts w:ascii="Arial" w:hAnsi="Arial" w:cs="Arial"/>
          <w:sz w:val="24"/>
          <w:szCs w:val="24"/>
        </w:rPr>
      </w:pPr>
    </w:p>
    <w:p w:rsidR="008B14C5" w:rsidRPr="00EF0190" w:rsidRDefault="00EF0190" w:rsidP="00EF0190">
      <w:pPr>
        <w:tabs>
          <w:tab w:val="left" w:pos="709"/>
        </w:tabs>
        <w:spacing w:line="360" w:lineRule="auto"/>
        <w:jc w:val="both"/>
        <w:rPr>
          <w:rFonts w:ascii="Arial" w:hAnsi="Arial" w:cs="Arial"/>
          <w:color w:val="000000"/>
        </w:rPr>
      </w:pPr>
      <w:r w:rsidRPr="00801F45">
        <w:rPr>
          <w:rFonts w:ascii="Arial" w:eastAsiaTheme="minorHAnsi" w:hAnsi="Arial" w:cs="Arial"/>
          <w:color w:val="000000"/>
          <w:lang w:val="en-GB" w:eastAsia="en-US" w:bidi="ar-SA"/>
        </w:rPr>
        <w:t>[3</w:t>
      </w:r>
      <w:bookmarkStart w:id="0" w:name="_GoBack"/>
      <w:bookmarkEnd w:id="0"/>
      <w:r w:rsidRPr="00801F45">
        <w:rPr>
          <w:rFonts w:ascii="Arial" w:eastAsiaTheme="minorHAnsi" w:hAnsi="Arial" w:cs="Arial"/>
          <w:color w:val="000000"/>
          <w:lang w:val="en-GB" w:eastAsia="en-US" w:bidi="ar-SA"/>
        </w:rPr>
        <w:t>]</w:t>
      </w:r>
      <w:r w:rsidRPr="00801F45">
        <w:rPr>
          <w:rFonts w:ascii="Arial" w:eastAsiaTheme="minorHAnsi" w:hAnsi="Arial" w:cs="Arial"/>
          <w:color w:val="000000"/>
          <w:lang w:val="en-GB" w:eastAsia="en-US" w:bidi="ar-SA"/>
        </w:rPr>
        <w:tab/>
      </w:r>
      <w:r w:rsidR="00AD0EE5" w:rsidRPr="00EF0190">
        <w:rPr>
          <w:rFonts w:ascii="Arial" w:hAnsi="Arial" w:cs="Arial"/>
        </w:rPr>
        <w:t>The</w:t>
      </w:r>
      <w:r w:rsidR="00B6277B" w:rsidRPr="00EF0190">
        <w:rPr>
          <w:rFonts w:ascii="Arial" w:hAnsi="Arial" w:cs="Arial"/>
        </w:rPr>
        <w:t xml:space="preserve"> applicant and the respondent</w:t>
      </w:r>
      <w:r w:rsidR="00AD0EE5" w:rsidRPr="00EF0190">
        <w:rPr>
          <w:rFonts w:ascii="Arial" w:hAnsi="Arial" w:cs="Arial"/>
        </w:rPr>
        <w:t xml:space="preserve"> concluded a series of agreements to permit the applicant to advance a loan to the respondent to allow it to purchase an immovable property. Because both parties</w:t>
      </w:r>
      <w:r w:rsidR="00AC7AC8" w:rsidRPr="00EF0190">
        <w:rPr>
          <w:rFonts w:ascii="Arial" w:hAnsi="Arial" w:cs="Arial"/>
        </w:rPr>
        <w:t xml:space="preserve"> to the agreements</w:t>
      </w:r>
      <w:r w:rsidR="00AD0EE5" w:rsidRPr="00EF0190">
        <w:rPr>
          <w:rFonts w:ascii="Arial" w:hAnsi="Arial" w:cs="Arial"/>
        </w:rPr>
        <w:t xml:space="preserve"> follow the prescripts of the Islamic faith, the agreement had to be structured in a fashion that kept it within the parameters of </w:t>
      </w:r>
      <w:r w:rsidR="00B6277B" w:rsidRPr="00EF0190">
        <w:rPr>
          <w:rFonts w:ascii="Arial" w:hAnsi="Arial" w:cs="Arial"/>
        </w:rPr>
        <w:t xml:space="preserve">the principles of </w:t>
      </w:r>
      <w:r w:rsidR="00AD0EE5" w:rsidRPr="00EF0190">
        <w:rPr>
          <w:rFonts w:ascii="Arial" w:hAnsi="Arial" w:cs="Arial"/>
        </w:rPr>
        <w:t>that faith. Th</w:t>
      </w:r>
      <w:r w:rsidR="00B6277B" w:rsidRPr="00EF0190">
        <w:rPr>
          <w:rFonts w:ascii="Arial" w:hAnsi="Arial" w:cs="Arial"/>
        </w:rPr>
        <w:t xml:space="preserve">e structure of the agreements </w:t>
      </w:r>
      <w:r w:rsidR="00AD0EE5" w:rsidRPr="00EF0190">
        <w:rPr>
          <w:rFonts w:ascii="Arial" w:hAnsi="Arial" w:cs="Arial"/>
        </w:rPr>
        <w:t>will be considered shortly. The applicant alleges that the respondent has breached the agreements that were concluded and seeks to terminate its relationship with the respondent</w:t>
      </w:r>
      <w:r w:rsidR="00A26C43" w:rsidRPr="00EF0190">
        <w:rPr>
          <w:rFonts w:ascii="Arial" w:hAnsi="Arial" w:cs="Arial"/>
        </w:rPr>
        <w:t xml:space="preserve"> and claim the amounts that it is alleged are due to it</w:t>
      </w:r>
      <w:r w:rsidR="00AD0EE5" w:rsidRPr="00EF0190">
        <w:rPr>
          <w:rFonts w:ascii="Arial" w:hAnsi="Arial" w:cs="Arial"/>
        </w:rPr>
        <w:t>. This appears to be opposed by the respondent</w:t>
      </w:r>
      <w:r w:rsidR="00A26C43" w:rsidRPr="00EF0190">
        <w:rPr>
          <w:rFonts w:ascii="Arial" w:hAnsi="Arial" w:cs="Arial"/>
        </w:rPr>
        <w:t xml:space="preserve"> </w:t>
      </w:r>
      <w:r w:rsidR="00AD0EE5" w:rsidRPr="00EF0190">
        <w:rPr>
          <w:rFonts w:ascii="Arial" w:hAnsi="Arial" w:cs="Arial"/>
        </w:rPr>
        <w:t>which</w:t>
      </w:r>
      <w:r w:rsidR="00A26C43" w:rsidRPr="00EF0190">
        <w:rPr>
          <w:rFonts w:ascii="Arial" w:hAnsi="Arial" w:cs="Arial"/>
        </w:rPr>
        <w:t>, essentially,</w:t>
      </w:r>
      <w:r w:rsidR="00AD0EE5" w:rsidRPr="00EF0190">
        <w:rPr>
          <w:rFonts w:ascii="Arial" w:hAnsi="Arial" w:cs="Arial"/>
        </w:rPr>
        <w:t xml:space="preserve"> denies that it is</w:t>
      </w:r>
      <w:r w:rsidR="006252C8" w:rsidRPr="00EF0190">
        <w:rPr>
          <w:rFonts w:ascii="Arial" w:hAnsi="Arial" w:cs="Arial"/>
        </w:rPr>
        <w:t xml:space="preserve"> presently</w:t>
      </w:r>
      <w:r w:rsidR="00AD0EE5" w:rsidRPr="00EF0190">
        <w:rPr>
          <w:rFonts w:ascii="Arial" w:hAnsi="Arial" w:cs="Arial"/>
        </w:rPr>
        <w:t xml:space="preserve"> in breach of the agreements concluded with the applicant.</w:t>
      </w:r>
    </w:p>
    <w:p w:rsidR="00801F45" w:rsidRPr="00801F45" w:rsidRDefault="00801F45" w:rsidP="00A327D9">
      <w:pPr>
        <w:pStyle w:val="ListParagraph"/>
        <w:spacing w:after="0" w:line="360" w:lineRule="auto"/>
        <w:rPr>
          <w:rFonts w:ascii="Arial" w:hAnsi="Arial" w:cs="Arial"/>
          <w:color w:val="000000"/>
          <w:sz w:val="24"/>
          <w:szCs w:val="24"/>
        </w:rPr>
      </w:pPr>
    </w:p>
    <w:p w:rsidR="00801F45" w:rsidRPr="00EF0190" w:rsidRDefault="00EF0190" w:rsidP="00EF0190">
      <w:pPr>
        <w:tabs>
          <w:tab w:val="left" w:pos="709"/>
        </w:tabs>
        <w:spacing w:line="360" w:lineRule="auto"/>
        <w:jc w:val="both"/>
        <w:rPr>
          <w:rFonts w:ascii="Arial" w:hAnsi="Arial" w:cs="Arial"/>
          <w:color w:val="000000"/>
        </w:rPr>
      </w:pPr>
      <w:r w:rsidRPr="00AD0EE5">
        <w:rPr>
          <w:rFonts w:ascii="Arial" w:eastAsiaTheme="minorHAnsi" w:hAnsi="Arial" w:cs="Arial"/>
          <w:color w:val="000000"/>
          <w:lang w:val="en-GB" w:eastAsia="en-US" w:bidi="ar-SA"/>
        </w:rPr>
        <w:t>[4]</w:t>
      </w:r>
      <w:r w:rsidRPr="00AD0EE5">
        <w:rPr>
          <w:rFonts w:ascii="Arial" w:eastAsiaTheme="minorHAnsi" w:hAnsi="Arial" w:cs="Arial"/>
          <w:color w:val="000000"/>
          <w:lang w:val="en-GB" w:eastAsia="en-US" w:bidi="ar-SA"/>
        </w:rPr>
        <w:tab/>
      </w:r>
      <w:r w:rsidR="00801F45" w:rsidRPr="00EF0190">
        <w:rPr>
          <w:rFonts w:ascii="Arial" w:hAnsi="Arial" w:cs="Arial"/>
          <w:color w:val="000000"/>
        </w:rPr>
        <w:t xml:space="preserve">This morning the applicant was represented by Ms Miranda. </w:t>
      </w:r>
      <w:r w:rsidR="00D904C0" w:rsidRPr="00EF0190">
        <w:rPr>
          <w:rFonts w:ascii="Arial" w:hAnsi="Arial" w:cs="Arial"/>
          <w:color w:val="000000"/>
        </w:rPr>
        <w:t xml:space="preserve">Mr Tucker appeared for the respondent. Both counsel are thanked for their interesting </w:t>
      </w:r>
      <w:r w:rsidR="00A327D9" w:rsidRPr="00EF0190">
        <w:rPr>
          <w:rFonts w:ascii="Arial" w:hAnsi="Arial" w:cs="Arial"/>
          <w:color w:val="000000"/>
        </w:rPr>
        <w:t xml:space="preserve">and helpful </w:t>
      </w:r>
      <w:r w:rsidR="00D904C0" w:rsidRPr="00EF0190">
        <w:rPr>
          <w:rFonts w:ascii="Arial" w:hAnsi="Arial" w:cs="Arial"/>
          <w:color w:val="000000"/>
        </w:rPr>
        <w:t>arguments.</w:t>
      </w:r>
    </w:p>
    <w:p w:rsidR="00AD0EE5" w:rsidRPr="00AD0EE5" w:rsidRDefault="00AD0EE5" w:rsidP="00A327D9">
      <w:pPr>
        <w:pStyle w:val="ListParagraph"/>
        <w:tabs>
          <w:tab w:val="left" w:pos="709"/>
        </w:tabs>
        <w:spacing w:after="0" w:line="360" w:lineRule="auto"/>
        <w:ind w:left="0"/>
        <w:jc w:val="both"/>
        <w:rPr>
          <w:rFonts w:ascii="Arial" w:hAnsi="Arial" w:cs="Arial"/>
          <w:color w:val="000000"/>
          <w:sz w:val="24"/>
          <w:szCs w:val="24"/>
        </w:rPr>
      </w:pPr>
    </w:p>
    <w:p w:rsidR="00AD0EE5"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[5]</w:t>
      </w:r>
      <w:r>
        <w:rPr>
          <w:rFonts w:ascii="Arial" w:eastAsiaTheme="minorHAnsi" w:hAnsi="Arial" w:cs="Arial"/>
          <w:color w:val="000000"/>
          <w:lang w:val="en-GB" w:eastAsia="en-US" w:bidi="ar-SA"/>
        </w:rPr>
        <w:tab/>
      </w:r>
      <w:r w:rsidR="00AD0EE5" w:rsidRPr="00EF0190">
        <w:rPr>
          <w:rFonts w:ascii="Arial" w:hAnsi="Arial" w:cs="Arial"/>
          <w:color w:val="000000"/>
        </w:rPr>
        <w:t>Before considering the nature of the relief claimed by the applicant</w:t>
      </w:r>
      <w:r w:rsidR="00A26C43" w:rsidRPr="00EF0190">
        <w:rPr>
          <w:rFonts w:ascii="Arial" w:hAnsi="Arial" w:cs="Arial"/>
          <w:color w:val="000000"/>
        </w:rPr>
        <w:t xml:space="preserve"> in its notice of motion,</w:t>
      </w:r>
      <w:r w:rsidR="00AD0EE5" w:rsidRPr="00EF0190">
        <w:rPr>
          <w:rFonts w:ascii="Arial" w:hAnsi="Arial" w:cs="Arial"/>
          <w:color w:val="000000"/>
        </w:rPr>
        <w:t xml:space="preserve"> it is necessary to describe the structure of the agreements</w:t>
      </w:r>
      <w:r w:rsidR="00B6277B" w:rsidRPr="00EF0190">
        <w:rPr>
          <w:rFonts w:ascii="Arial" w:hAnsi="Arial" w:cs="Arial"/>
          <w:color w:val="000000"/>
        </w:rPr>
        <w:t>. Only with this understanding is the relief claimed understandable.</w:t>
      </w:r>
    </w:p>
    <w:p w:rsidR="00B6277B" w:rsidRPr="00B6277B" w:rsidRDefault="00B6277B" w:rsidP="00A327D9">
      <w:pPr>
        <w:pStyle w:val="ListParagraph"/>
        <w:spacing w:after="0" w:line="360" w:lineRule="auto"/>
        <w:rPr>
          <w:rFonts w:ascii="Arial" w:hAnsi="Arial" w:cs="Arial"/>
          <w:color w:val="000000"/>
          <w:sz w:val="24"/>
          <w:szCs w:val="24"/>
        </w:rPr>
      </w:pPr>
    </w:p>
    <w:p w:rsidR="00AF64BD" w:rsidRPr="00EF0190" w:rsidRDefault="00EF0190" w:rsidP="00EF0190">
      <w:pPr>
        <w:tabs>
          <w:tab w:val="left" w:pos="709"/>
        </w:tabs>
        <w:spacing w:line="360" w:lineRule="auto"/>
        <w:jc w:val="both"/>
        <w:rPr>
          <w:rStyle w:val="apple-converted-space"/>
          <w:rFonts w:asciiTheme="minorBidi" w:hAnsiTheme="minorBidi"/>
        </w:rPr>
      </w:pPr>
      <w:r w:rsidRPr="00AF64BD">
        <w:rPr>
          <w:rStyle w:val="apple-converted-space"/>
          <w:rFonts w:ascii="Arial" w:eastAsiaTheme="minorHAnsi" w:hAnsi="Arial" w:cstheme="minorBidi"/>
          <w:lang w:val="en-GB" w:eastAsia="en-US" w:bidi="ar-SA"/>
        </w:rPr>
        <w:t>[6]</w:t>
      </w:r>
      <w:r w:rsidRPr="00AF64BD">
        <w:rPr>
          <w:rStyle w:val="apple-converted-space"/>
          <w:rFonts w:ascii="Arial" w:eastAsiaTheme="minorHAnsi" w:hAnsi="Arial" w:cstheme="minorBidi"/>
          <w:lang w:val="en-GB" w:eastAsia="en-US" w:bidi="ar-SA"/>
        </w:rPr>
        <w:tab/>
      </w:r>
      <w:r w:rsidR="00B6277B" w:rsidRPr="00EF0190">
        <w:rPr>
          <w:rFonts w:asciiTheme="minorBidi" w:hAnsiTheme="minorBidi"/>
          <w:color w:val="242121"/>
          <w:shd w:val="clear" w:color="auto" w:fill="FFFFFF"/>
        </w:rPr>
        <w:t xml:space="preserve">The applicant offers its customers specialised services and products compliant with </w:t>
      </w:r>
      <w:r w:rsidR="00EE25B5" w:rsidRPr="00EF0190">
        <w:rPr>
          <w:rFonts w:asciiTheme="minorBidi" w:hAnsiTheme="minorBidi"/>
          <w:color w:val="242121"/>
          <w:shd w:val="clear" w:color="auto" w:fill="FFFFFF"/>
        </w:rPr>
        <w:t>Sharia</w:t>
      </w:r>
      <w:r w:rsidR="00B6277B" w:rsidRPr="00EF0190">
        <w:rPr>
          <w:rFonts w:asciiTheme="minorBidi" w:hAnsiTheme="minorBidi"/>
          <w:color w:val="242121"/>
          <w:shd w:val="clear" w:color="auto" w:fill="FFFFFF"/>
        </w:rPr>
        <w:t xml:space="preserve"> law which cater</w:t>
      </w:r>
      <w:r w:rsidR="00F47831" w:rsidRPr="00EF0190">
        <w:rPr>
          <w:rFonts w:asciiTheme="minorBidi" w:hAnsiTheme="minorBidi"/>
          <w:color w:val="242121"/>
          <w:shd w:val="clear" w:color="auto" w:fill="FFFFFF"/>
        </w:rPr>
        <w:t>, inter alia,</w:t>
      </w:r>
      <w:r w:rsidR="00B6277B" w:rsidRPr="00EF0190">
        <w:rPr>
          <w:rFonts w:asciiTheme="minorBidi" w:hAnsiTheme="minorBidi"/>
          <w:color w:val="242121"/>
          <w:shd w:val="clear" w:color="auto" w:fill="FFFFFF"/>
        </w:rPr>
        <w:t xml:space="preserve"> for Islam’s prohibition on the charging of interest.</w:t>
      </w:r>
      <w:r w:rsidR="00B6277B" w:rsidRPr="00EF0190">
        <w:rPr>
          <w:rStyle w:val="apple-converted-space"/>
          <w:rFonts w:asciiTheme="minorBidi" w:hAnsiTheme="minorBidi"/>
          <w:color w:val="242121"/>
          <w:shd w:val="clear" w:color="auto" w:fill="FFFFFF"/>
        </w:rPr>
        <w:t> </w:t>
      </w:r>
      <w:r w:rsidR="00F47831" w:rsidRPr="00EF0190">
        <w:rPr>
          <w:rStyle w:val="apple-converted-space"/>
          <w:rFonts w:asciiTheme="minorBidi" w:hAnsiTheme="minorBidi"/>
          <w:color w:val="242121"/>
          <w:shd w:val="clear" w:color="auto" w:fill="FFFFFF"/>
        </w:rPr>
        <w:t>In</w:t>
      </w:r>
      <w:r w:rsidR="00406A79" w:rsidRPr="00EF0190">
        <w:rPr>
          <w:rStyle w:val="apple-converted-space"/>
          <w:rFonts w:asciiTheme="minorBidi" w:hAnsiTheme="minorBidi"/>
          <w:color w:val="242121"/>
          <w:shd w:val="clear" w:color="auto" w:fill="FFFFFF"/>
        </w:rPr>
        <w:t xml:space="preserve">deed, </w:t>
      </w:r>
      <w:r w:rsidR="005B13C7" w:rsidRPr="00EF0190">
        <w:rPr>
          <w:rStyle w:val="apple-converted-space"/>
          <w:rFonts w:asciiTheme="minorBidi" w:hAnsiTheme="minorBidi"/>
          <w:color w:val="242121"/>
          <w:shd w:val="clear" w:color="auto" w:fill="FFFFFF"/>
        </w:rPr>
        <w:t xml:space="preserve">it appears that </w:t>
      </w:r>
      <w:r w:rsidR="00406A79" w:rsidRPr="00EF0190">
        <w:rPr>
          <w:rStyle w:val="apple-converted-space"/>
          <w:rFonts w:asciiTheme="minorBidi" w:hAnsiTheme="minorBidi"/>
          <w:color w:val="242121"/>
          <w:shd w:val="clear" w:color="auto" w:fill="FFFFFF"/>
        </w:rPr>
        <w:t xml:space="preserve">the entire scheme utilised in this matter was designed to permit the applicant to derive a profit from the transaction </w:t>
      </w:r>
      <w:r w:rsidR="005B13C7" w:rsidRPr="00EF0190">
        <w:rPr>
          <w:rStyle w:val="apple-converted-space"/>
          <w:rFonts w:asciiTheme="minorBidi" w:hAnsiTheme="minorBidi"/>
          <w:color w:val="242121"/>
          <w:shd w:val="clear" w:color="auto" w:fill="FFFFFF"/>
        </w:rPr>
        <w:t xml:space="preserve">that it agreed to with the </w:t>
      </w:r>
      <w:r w:rsidR="005B13C7" w:rsidRPr="00EF0190">
        <w:rPr>
          <w:rStyle w:val="apple-converted-space"/>
          <w:rFonts w:asciiTheme="minorBidi" w:hAnsiTheme="minorBidi"/>
          <w:color w:val="242121"/>
          <w:shd w:val="clear" w:color="auto" w:fill="FFFFFF"/>
        </w:rPr>
        <w:lastRenderedPageBreak/>
        <w:t xml:space="preserve">respondent </w:t>
      </w:r>
      <w:r w:rsidR="00406A79" w:rsidRPr="00EF0190">
        <w:rPr>
          <w:rStyle w:val="apple-converted-space"/>
          <w:rFonts w:asciiTheme="minorBidi" w:hAnsiTheme="minorBidi"/>
          <w:color w:val="242121"/>
          <w:shd w:val="clear" w:color="auto" w:fill="FFFFFF"/>
        </w:rPr>
        <w:t xml:space="preserve">without breaching the injunction against interest being charged. </w:t>
      </w:r>
      <w:r w:rsidR="00AC7AC8" w:rsidRPr="00EF0190">
        <w:rPr>
          <w:rStyle w:val="apple-converted-space"/>
          <w:rFonts w:asciiTheme="minorBidi" w:hAnsiTheme="minorBidi"/>
          <w:color w:val="242121"/>
          <w:shd w:val="clear" w:color="auto" w:fill="FFFFFF"/>
        </w:rPr>
        <w:t>Simply put, t</w:t>
      </w:r>
      <w:r w:rsidR="00060A4F" w:rsidRPr="00EF0190">
        <w:rPr>
          <w:rStyle w:val="apple-converted-space"/>
          <w:rFonts w:asciiTheme="minorBidi" w:hAnsiTheme="minorBidi"/>
          <w:color w:val="242121"/>
          <w:shd w:val="clear" w:color="auto" w:fill="FFFFFF"/>
        </w:rPr>
        <w:t>he respondent required a loan from the applicant to purchase a</w:t>
      </w:r>
      <w:r w:rsidR="0023582B" w:rsidRPr="00EF0190">
        <w:rPr>
          <w:rStyle w:val="apple-converted-space"/>
          <w:rFonts w:asciiTheme="minorBidi" w:hAnsiTheme="minorBidi"/>
          <w:color w:val="242121"/>
          <w:shd w:val="clear" w:color="auto" w:fill="FFFFFF"/>
        </w:rPr>
        <w:t>n immovable property</w:t>
      </w:r>
      <w:r w:rsidR="00AC7AC8" w:rsidRPr="00EF0190">
        <w:rPr>
          <w:rStyle w:val="apple-converted-space"/>
          <w:rFonts w:asciiTheme="minorBidi" w:hAnsiTheme="minorBidi"/>
          <w:color w:val="242121"/>
          <w:shd w:val="clear" w:color="auto" w:fill="FFFFFF"/>
        </w:rPr>
        <w:t xml:space="preserve"> and the</w:t>
      </w:r>
      <w:r w:rsidR="00060A4F" w:rsidRPr="00EF0190">
        <w:rPr>
          <w:rStyle w:val="apple-converted-space"/>
          <w:rFonts w:asciiTheme="minorBidi" w:hAnsiTheme="minorBidi"/>
          <w:color w:val="242121"/>
          <w:shd w:val="clear" w:color="auto" w:fill="FFFFFF"/>
        </w:rPr>
        <w:t xml:space="preserve"> applicant was prepared to grant it the loan. The </w:t>
      </w:r>
      <w:r w:rsidR="00AC7AC8" w:rsidRPr="00EF0190">
        <w:rPr>
          <w:rStyle w:val="apple-converted-space"/>
          <w:rFonts w:asciiTheme="minorBidi" w:hAnsiTheme="minorBidi"/>
          <w:color w:val="242121"/>
          <w:shd w:val="clear" w:color="auto" w:fill="FFFFFF"/>
        </w:rPr>
        <w:t xml:space="preserve">parties agreed that the </w:t>
      </w:r>
      <w:r w:rsidR="00060A4F" w:rsidRPr="00EF0190">
        <w:rPr>
          <w:rStyle w:val="apple-converted-space"/>
          <w:rFonts w:asciiTheme="minorBidi" w:hAnsiTheme="minorBidi"/>
          <w:color w:val="242121"/>
          <w:shd w:val="clear" w:color="auto" w:fill="FFFFFF"/>
        </w:rPr>
        <w:t xml:space="preserve">method of </w:t>
      </w:r>
      <w:r w:rsidR="00406A79" w:rsidRPr="00EF0190">
        <w:rPr>
          <w:rStyle w:val="apple-converted-space"/>
          <w:rFonts w:asciiTheme="minorBidi" w:hAnsiTheme="minorBidi"/>
          <w:color w:val="242121"/>
          <w:shd w:val="clear" w:color="auto" w:fill="FFFFFF"/>
        </w:rPr>
        <w:t xml:space="preserve">advancing the loan </w:t>
      </w:r>
      <w:r w:rsidR="00AC7AC8" w:rsidRPr="00EF0190">
        <w:rPr>
          <w:rStyle w:val="apple-converted-space"/>
          <w:rFonts w:asciiTheme="minorBidi" w:hAnsiTheme="minorBidi"/>
          <w:color w:val="242121"/>
          <w:shd w:val="clear" w:color="auto" w:fill="FFFFFF"/>
        </w:rPr>
        <w:t>should be the creation of</w:t>
      </w:r>
      <w:r w:rsidR="00060A4F" w:rsidRPr="00EF0190">
        <w:rPr>
          <w:rStyle w:val="apple-converted-space"/>
          <w:rFonts w:asciiTheme="minorBidi" w:hAnsiTheme="minorBidi"/>
          <w:color w:val="242121"/>
          <w:shd w:val="clear" w:color="auto" w:fill="FFFFFF"/>
        </w:rPr>
        <w:t xml:space="preserve"> a property partnership agreement.</w:t>
      </w:r>
      <w:r w:rsidR="00AF64BD" w:rsidRPr="00EF0190">
        <w:rPr>
          <w:rStyle w:val="apple-converted-space"/>
          <w:rFonts w:asciiTheme="minorBidi" w:hAnsiTheme="minorBidi"/>
          <w:color w:val="242121"/>
          <w:shd w:val="clear" w:color="auto" w:fill="FFFFFF"/>
        </w:rPr>
        <w:t xml:space="preserve"> </w:t>
      </w:r>
      <w:r w:rsidR="00406A79" w:rsidRPr="00EF0190">
        <w:rPr>
          <w:rStyle w:val="apple-converted-space"/>
          <w:rFonts w:asciiTheme="minorBidi" w:hAnsiTheme="minorBidi"/>
          <w:color w:val="242121"/>
          <w:shd w:val="clear" w:color="auto" w:fill="FFFFFF"/>
        </w:rPr>
        <w:t>Accordingly, o</w:t>
      </w:r>
      <w:r w:rsidR="00AF64BD" w:rsidRPr="00EF0190">
        <w:rPr>
          <w:rStyle w:val="apple-converted-space"/>
          <w:rFonts w:asciiTheme="minorBidi" w:hAnsiTheme="minorBidi"/>
          <w:color w:val="242121"/>
          <w:shd w:val="clear" w:color="auto" w:fill="FFFFFF"/>
        </w:rPr>
        <w:t xml:space="preserve">n 29 May 2018, the parties concluded three </w:t>
      </w:r>
      <w:r w:rsidR="00D904C0" w:rsidRPr="00EF0190">
        <w:rPr>
          <w:rStyle w:val="apple-converted-space"/>
          <w:rFonts w:asciiTheme="minorBidi" w:hAnsiTheme="minorBidi"/>
          <w:color w:val="242121"/>
          <w:shd w:val="clear" w:color="auto" w:fill="FFFFFF"/>
        </w:rPr>
        <w:t xml:space="preserve">interrelated </w:t>
      </w:r>
      <w:r w:rsidR="00AF64BD" w:rsidRPr="00EF0190">
        <w:rPr>
          <w:rStyle w:val="apple-converted-space"/>
          <w:rFonts w:asciiTheme="minorBidi" w:hAnsiTheme="minorBidi"/>
          <w:color w:val="242121"/>
          <w:shd w:val="clear" w:color="auto" w:fill="FFFFFF"/>
        </w:rPr>
        <w:t>agreements:</w:t>
      </w:r>
    </w:p>
    <w:p w:rsidR="00F543A0" w:rsidRPr="00EF0190" w:rsidRDefault="00EF0190" w:rsidP="00EF0190">
      <w:pPr>
        <w:tabs>
          <w:tab w:val="left" w:pos="709"/>
        </w:tabs>
        <w:spacing w:line="360" w:lineRule="auto"/>
        <w:jc w:val="both"/>
        <w:rPr>
          <w:rStyle w:val="apple-converted-space"/>
          <w:rFonts w:asciiTheme="minorBidi" w:hAnsiTheme="minorBidi"/>
        </w:rPr>
      </w:pPr>
      <w:r>
        <w:rPr>
          <w:rStyle w:val="apple-converted-space"/>
          <w:rFonts w:asciiTheme="minorBidi" w:eastAsiaTheme="minorHAnsi" w:hAnsiTheme="minorBidi" w:cstheme="minorBidi"/>
          <w:lang w:val="en-GB" w:eastAsia="en-US" w:bidi="ar-SA"/>
        </w:rPr>
        <w:t>(a)</w:t>
      </w:r>
      <w:r>
        <w:rPr>
          <w:rStyle w:val="apple-converted-space"/>
          <w:rFonts w:asciiTheme="minorBidi" w:eastAsiaTheme="minorHAnsi" w:hAnsiTheme="minorBidi" w:cstheme="minorBidi"/>
          <w:lang w:val="en-GB" w:eastAsia="en-US" w:bidi="ar-SA"/>
        </w:rPr>
        <w:tab/>
      </w:r>
      <w:r w:rsidR="00C265FA" w:rsidRPr="00EF0190">
        <w:rPr>
          <w:rStyle w:val="apple-converted-space"/>
          <w:rFonts w:asciiTheme="minorBidi" w:hAnsiTheme="minorBidi"/>
        </w:rPr>
        <w:t>A</w:t>
      </w:r>
      <w:r w:rsidR="00AF64BD" w:rsidRPr="00EF0190">
        <w:rPr>
          <w:rStyle w:val="apple-converted-space"/>
          <w:rFonts w:asciiTheme="minorBidi" w:hAnsiTheme="minorBidi"/>
        </w:rPr>
        <w:t xml:space="preserve"> musharaka agreement</w:t>
      </w:r>
      <w:r w:rsidR="00723270" w:rsidRPr="00EF0190">
        <w:rPr>
          <w:rStyle w:val="apple-converted-space"/>
          <w:rFonts w:asciiTheme="minorBidi" w:hAnsiTheme="minorBidi"/>
        </w:rPr>
        <w:t xml:space="preserve">, </w:t>
      </w:r>
      <w:r w:rsidR="00AC6493" w:rsidRPr="00EF0190">
        <w:rPr>
          <w:rStyle w:val="apple-converted-space"/>
          <w:rFonts w:asciiTheme="minorBidi" w:hAnsiTheme="minorBidi"/>
        </w:rPr>
        <w:t xml:space="preserve">which is described as an agreement to purchase equity. It required the applicant to purchase undivided shares in </w:t>
      </w:r>
      <w:r w:rsidR="006252C8" w:rsidRPr="00EF0190">
        <w:rPr>
          <w:rStyle w:val="apple-converted-space"/>
          <w:rFonts w:asciiTheme="minorBidi" w:hAnsiTheme="minorBidi"/>
        </w:rPr>
        <w:t>the</w:t>
      </w:r>
      <w:r w:rsidR="00AC6493" w:rsidRPr="00EF0190">
        <w:rPr>
          <w:rStyle w:val="apple-converted-space"/>
          <w:rFonts w:asciiTheme="minorBidi" w:hAnsiTheme="minorBidi"/>
        </w:rPr>
        <w:t xml:space="preserve"> immovable property to be acquired. This agreement </w:t>
      </w:r>
      <w:r w:rsidR="00F47831" w:rsidRPr="00EF0190">
        <w:rPr>
          <w:rStyle w:val="apple-converted-space"/>
          <w:rFonts w:asciiTheme="minorBidi" w:hAnsiTheme="minorBidi"/>
        </w:rPr>
        <w:t xml:space="preserve">determined that the </w:t>
      </w:r>
      <w:r w:rsidR="00AC7AC8" w:rsidRPr="00EF0190">
        <w:rPr>
          <w:rStyle w:val="apple-converted-space"/>
          <w:rFonts w:asciiTheme="minorBidi" w:hAnsiTheme="minorBidi"/>
        </w:rPr>
        <w:t xml:space="preserve">quantum of the loan </w:t>
      </w:r>
      <w:r w:rsidR="00F47831" w:rsidRPr="00EF0190">
        <w:rPr>
          <w:rStyle w:val="apple-converted-space"/>
          <w:rFonts w:asciiTheme="minorBidi" w:hAnsiTheme="minorBidi"/>
        </w:rPr>
        <w:t xml:space="preserve">amount </w:t>
      </w:r>
      <w:r w:rsidR="00AC7AC8" w:rsidRPr="00EF0190">
        <w:rPr>
          <w:rStyle w:val="apple-converted-space"/>
          <w:rFonts w:asciiTheme="minorBidi" w:hAnsiTheme="minorBidi"/>
        </w:rPr>
        <w:t>would be</w:t>
      </w:r>
      <w:r w:rsidR="00F47831" w:rsidRPr="00EF0190">
        <w:rPr>
          <w:rStyle w:val="apple-converted-space"/>
          <w:rFonts w:asciiTheme="minorBidi" w:hAnsiTheme="minorBidi"/>
        </w:rPr>
        <w:t xml:space="preserve"> R1 650 000. The applicant would purchase 90% of the undivided shares in the immovable property for </w:t>
      </w:r>
      <w:r w:rsidR="00AC7AC8" w:rsidRPr="00EF0190">
        <w:rPr>
          <w:rStyle w:val="apple-converted-space"/>
          <w:rFonts w:asciiTheme="minorBidi" w:hAnsiTheme="minorBidi"/>
        </w:rPr>
        <w:t xml:space="preserve">the sum of </w:t>
      </w:r>
      <w:r w:rsidR="00F47831" w:rsidRPr="00EF0190">
        <w:rPr>
          <w:rStyle w:val="apple-converted-space"/>
          <w:rFonts w:asciiTheme="minorBidi" w:hAnsiTheme="minorBidi"/>
        </w:rPr>
        <w:t>R1 485</w:t>
      </w:r>
      <w:r w:rsidR="005B13C7" w:rsidRPr="00EF0190">
        <w:rPr>
          <w:rStyle w:val="apple-converted-space"/>
          <w:rFonts w:asciiTheme="minorBidi" w:hAnsiTheme="minorBidi"/>
        </w:rPr>
        <w:t> </w:t>
      </w:r>
      <w:r w:rsidR="00F47831" w:rsidRPr="00EF0190">
        <w:rPr>
          <w:rStyle w:val="apple-converted-space"/>
          <w:rFonts w:asciiTheme="minorBidi" w:hAnsiTheme="minorBidi"/>
        </w:rPr>
        <w:t>000</w:t>
      </w:r>
      <w:r w:rsidR="005B13C7" w:rsidRPr="00EF0190">
        <w:rPr>
          <w:rStyle w:val="apple-converted-space"/>
          <w:rFonts w:asciiTheme="minorBidi" w:hAnsiTheme="minorBidi"/>
        </w:rPr>
        <w:t xml:space="preserve"> and the respondent would take up the other 10% of the undivided shares for the sum of R165 000</w:t>
      </w:r>
      <w:r w:rsidR="00002E1C" w:rsidRPr="00EF0190">
        <w:rPr>
          <w:rStyle w:val="apple-converted-space"/>
          <w:rFonts w:asciiTheme="minorBidi" w:hAnsiTheme="minorBidi"/>
        </w:rPr>
        <w:t>.</w:t>
      </w:r>
      <w:r w:rsidR="00A70EFD" w:rsidRPr="00EF0190">
        <w:rPr>
          <w:rStyle w:val="apple-converted-space"/>
          <w:rFonts w:asciiTheme="minorBidi" w:hAnsiTheme="minorBidi"/>
        </w:rPr>
        <w:t xml:space="preserve"> The parties agreed to share profits and losses. </w:t>
      </w:r>
      <w:r w:rsidR="00F543A0" w:rsidRPr="00EF0190">
        <w:rPr>
          <w:rStyle w:val="apple-converted-space"/>
          <w:rFonts w:asciiTheme="minorBidi" w:hAnsiTheme="minorBidi"/>
        </w:rPr>
        <w:t>As security for the loan</w:t>
      </w:r>
      <w:r w:rsidR="00AC7AC8" w:rsidRPr="00EF0190">
        <w:rPr>
          <w:rStyle w:val="apple-converted-space"/>
          <w:rFonts w:asciiTheme="minorBidi" w:hAnsiTheme="minorBidi"/>
        </w:rPr>
        <w:t xml:space="preserve"> to be advanced to it</w:t>
      </w:r>
      <w:r w:rsidR="00F543A0" w:rsidRPr="00EF0190">
        <w:rPr>
          <w:rStyle w:val="apple-converted-space"/>
          <w:rFonts w:asciiTheme="minorBidi" w:hAnsiTheme="minorBidi"/>
        </w:rPr>
        <w:t xml:space="preserve">, the respondent would register a mortgage bond over the </w:t>
      </w:r>
      <w:r w:rsidR="0023582B" w:rsidRPr="00EF0190">
        <w:rPr>
          <w:rStyle w:val="apple-converted-space"/>
          <w:rFonts w:asciiTheme="minorBidi" w:hAnsiTheme="minorBidi"/>
        </w:rPr>
        <w:t xml:space="preserve">immovable </w:t>
      </w:r>
      <w:r w:rsidR="00F543A0" w:rsidRPr="00EF0190">
        <w:rPr>
          <w:rStyle w:val="apple-converted-space"/>
          <w:rFonts w:asciiTheme="minorBidi" w:hAnsiTheme="minorBidi"/>
        </w:rPr>
        <w:t>property to be acquired. In the event of a breach of the musharaka agreement by the respondent, the applicant would be entitled to terminate it by giving the respondent one calendar month’s written notice of its intention to terminate it</w:t>
      </w:r>
      <w:r w:rsidR="004B6320" w:rsidRPr="00EF0190">
        <w:rPr>
          <w:rStyle w:val="apple-converted-space"/>
          <w:rFonts w:asciiTheme="minorBidi" w:hAnsiTheme="minorBidi"/>
        </w:rPr>
        <w:t>. The concept of a musharaka agreement is recognised in our law and is defined in section 24JA(1) of the Income Tax Act, 1962</w:t>
      </w:r>
      <w:r w:rsidR="007939A3" w:rsidRPr="00EF0190">
        <w:rPr>
          <w:rStyle w:val="apple-converted-space"/>
          <w:rFonts w:asciiTheme="minorBidi" w:hAnsiTheme="minorBidi"/>
        </w:rPr>
        <w:t>;</w:t>
      </w:r>
    </w:p>
    <w:p w:rsidR="006A6846" w:rsidRPr="00EF0190" w:rsidRDefault="00EF0190" w:rsidP="00EF0190">
      <w:pPr>
        <w:tabs>
          <w:tab w:val="left" w:pos="709"/>
        </w:tabs>
        <w:spacing w:line="360" w:lineRule="auto"/>
        <w:jc w:val="both"/>
        <w:rPr>
          <w:rStyle w:val="apple-converted-space"/>
          <w:rFonts w:asciiTheme="minorBidi" w:hAnsiTheme="minorBidi"/>
        </w:rPr>
      </w:pPr>
      <w:r>
        <w:rPr>
          <w:rStyle w:val="apple-converted-space"/>
          <w:rFonts w:asciiTheme="minorBidi" w:eastAsiaTheme="minorHAnsi" w:hAnsiTheme="minorBidi" w:cstheme="minorBidi"/>
          <w:lang w:val="en-GB" w:eastAsia="en-US" w:bidi="ar-SA"/>
        </w:rPr>
        <w:t>(b)</w:t>
      </w:r>
      <w:r>
        <w:rPr>
          <w:rStyle w:val="apple-converted-space"/>
          <w:rFonts w:asciiTheme="minorBidi" w:eastAsiaTheme="minorHAnsi" w:hAnsiTheme="minorBidi" w:cstheme="minorBidi"/>
          <w:lang w:val="en-GB" w:eastAsia="en-US" w:bidi="ar-SA"/>
        </w:rPr>
        <w:tab/>
      </w:r>
      <w:r w:rsidR="00C265FA" w:rsidRPr="00EF0190">
        <w:rPr>
          <w:rStyle w:val="apple-converted-space"/>
          <w:rFonts w:asciiTheme="minorBidi" w:hAnsiTheme="minorBidi"/>
        </w:rPr>
        <w:t>A</w:t>
      </w:r>
      <w:r w:rsidR="00F543A0" w:rsidRPr="00EF0190">
        <w:rPr>
          <w:rStyle w:val="apple-converted-space"/>
          <w:rFonts w:asciiTheme="minorBidi" w:hAnsiTheme="minorBidi"/>
        </w:rPr>
        <w:t xml:space="preserve"> unilateral promise</w:t>
      </w:r>
      <w:r w:rsidR="006A6846" w:rsidRPr="00EF0190">
        <w:rPr>
          <w:rStyle w:val="apple-converted-space"/>
          <w:rFonts w:asciiTheme="minorBidi" w:hAnsiTheme="minorBidi"/>
        </w:rPr>
        <w:t xml:space="preserve"> agreement</w:t>
      </w:r>
      <w:r w:rsidR="00F543A0" w:rsidRPr="00EF0190">
        <w:rPr>
          <w:rStyle w:val="apple-converted-space"/>
          <w:rFonts w:asciiTheme="minorBidi" w:hAnsiTheme="minorBidi"/>
        </w:rPr>
        <w:t xml:space="preserve">, in terms of which the respondent undertook to </w:t>
      </w:r>
      <w:r w:rsidR="005B13C7" w:rsidRPr="00EF0190">
        <w:rPr>
          <w:rStyle w:val="apple-converted-space"/>
          <w:rFonts w:asciiTheme="minorBidi" w:hAnsiTheme="minorBidi"/>
        </w:rPr>
        <w:t>purchase the applicant’s undivided share in</w:t>
      </w:r>
      <w:r w:rsidR="006A6846" w:rsidRPr="00EF0190">
        <w:rPr>
          <w:rStyle w:val="apple-converted-space"/>
          <w:rFonts w:asciiTheme="minorBidi" w:hAnsiTheme="minorBidi"/>
        </w:rPr>
        <w:t xml:space="preserve"> the</w:t>
      </w:r>
      <w:r w:rsidR="005B13C7" w:rsidRPr="00EF0190">
        <w:rPr>
          <w:rStyle w:val="apple-converted-space"/>
          <w:rFonts w:asciiTheme="minorBidi" w:hAnsiTheme="minorBidi"/>
        </w:rPr>
        <w:t xml:space="preserve"> </w:t>
      </w:r>
      <w:r w:rsidR="00F543A0" w:rsidRPr="00EF0190">
        <w:rPr>
          <w:rStyle w:val="apple-converted-space"/>
          <w:rFonts w:asciiTheme="minorBidi" w:hAnsiTheme="minorBidi"/>
        </w:rPr>
        <w:t>immovable property to be acquired</w:t>
      </w:r>
      <w:r w:rsidR="00AC7AC8" w:rsidRPr="00EF0190">
        <w:rPr>
          <w:rStyle w:val="apple-converted-space"/>
          <w:rFonts w:asciiTheme="minorBidi" w:hAnsiTheme="minorBidi"/>
        </w:rPr>
        <w:t xml:space="preserve">. This would be acquired over </w:t>
      </w:r>
      <w:r w:rsidR="006A6846" w:rsidRPr="00EF0190">
        <w:rPr>
          <w:rStyle w:val="apple-converted-space"/>
          <w:rFonts w:asciiTheme="minorBidi" w:hAnsiTheme="minorBidi"/>
        </w:rPr>
        <w:t xml:space="preserve">a period of 240 months </w:t>
      </w:r>
      <w:r w:rsidR="00F543A0" w:rsidRPr="00EF0190">
        <w:rPr>
          <w:rStyle w:val="apple-converted-space"/>
          <w:rFonts w:asciiTheme="minorBidi" w:hAnsiTheme="minorBidi"/>
        </w:rPr>
        <w:t xml:space="preserve">in </w:t>
      </w:r>
      <w:r w:rsidR="005B13C7" w:rsidRPr="00EF0190">
        <w:rPr>
          <w:rStyle w:val="apple-converted-space"/>
          <w:rFonts w:asciiTheme="minorBidi" w:hAnsiTheme="minorBidi"/>
        </w:rPr>
        <w:t>successive annual acquisitions</w:t>
      </w:r>
      <w:r w:rsidR="006A6846" w:rsidRPr="00EF0190">
        <w:rPr>
          <w:rStyle w:val="apple-converted-space"/>
          <w:rFonts w:asciiTheme="minorBidi" w:hAnsiTheme="minorBidi"/>
        </w:rPr>
        <w:t>. In the event of the respondent breaching the promise, the applicant would be entitled to terminate the agreement and recover its damages from the respondent. Its damages would cover the difference between the fair market value of the applicant’s undivided share in the immovable property to be acquired, calculated at the date of the breach of the promise</w:t>
      </w:r>
      <w:r w:rsidR="00A70EFD" w:rsidRPr="00EF0190">
        <w:rPr>
          <w:rStyle w:val="apple-converted-space"/>
          <w:rFonts w:asciiTheme="minorBidi" w:hAnsiTheme="minorBidi"/>
        </w:rPr>
        <w:t>,</w:t>
      </w:r>
      <w:r w:rsidR="006A6846" w:rsidRPr="00EF0190">
        <w:rPr>
          <w:rStyle w:val="apple-converted-space"/>
          <w:rFonts w:asciiTheme="minorBidi" w:hAnsiTheme="minorBidi"/>
        </w:rPr>
        <w:t xml:space="preserve"> and the lower amount representing the net proceeds of the sale of the applicant’s undivided share realised by the sale of the immovable property by public auction or by a bona fide private sale; and</w:t>
      </w:r>
    </w:p>
    <w:p w:rsidR="006252C8" w:rsidRPr="00EF0190" w:rsidRDefault="00EF0190" w:rsidP="00EF0190">
      <w:pPr>
        <w:tabs>
          <w:tab w:val="left" w:pos="709"/>
        </w:tabs>
        <w:spacing w:line="360" w:lineRule="auto"/>
        <w:jc w:val="both"/>
        <w:rPr>
          <w:rStyle w:val="apple-converted-space"/>
          <w:rFonts w:asciiTheme="minorBidi" w:hAnsiTheme="minorBidi"/>
        </w:rPr>
      </w:pPr>
      <w:r>
        <w:rPr>
          <w:rStyle w:val="apple-converted-space"/>
          <w:rFonts w:asciiTheme="minorBidi" w:eastAsiaTheme="minorHAnsi" w:hAnsiTheme="minorBidi" w:cstheme="minorBidi"/>
          <w:lang w:val="en-GB" w:eastAsia="en-US" w:bidi="ar-SA"/>
        </w:rPr>
        <w:t>(c)</w:t>
      </w:r>
      <w:r>
        <w:rPr>
          <w:rStyle w:val="apple-converted-space"/>
          <w:rFonts w:asciiTheme="minorBidi" w:eastAsiaTheme="minorHAnsi" w:hAnsiTheme="minorBidi" w:cstheme="minorBidi"/>
          <w:lang w:val="en-GB" w:eastAsia="en-US" w:bidi="ar-SA"/>
        </w:rPr>
        <w:tab/>
      </w:r>
      <w:r w:rsidR="000C00C2" w:rsidRPr="00EF0190">
        <w:rPr>
          <w:rStyle w:val="apple-converted-space"/>
          <w:rFonts w:asciiTheme="minorBidi" w:hAnsiTheme="minorBidi"/>
        </w:rPr>
        <w:t xml:space="preserve"> </w:t>
      </w:r>
      <w:r w:rsidR="00C265FA" w:rsidRPr="00EF0190">
        <w:rPr>
          <w:rStyle w:val="apple-converted-space"/>
          <w:rFonts w:asciiTheme="minorBidi" w:hAnsiTheme="minorBidi"/>
        </w:rPr>
        <w:t>An</w:t>
      </w:r>
      <w:r w:rsidR="006A6846" w:rsidRPr="00EF0190">
        <w:rPr>
          <w:rStyle w:val="apple-converted-space"/>
          <w:rFonts w:asciiTheme="minorBidi" w:hAnsiTheme="minorBidi"/>
        </w:rPr>
        <w:t xml:space="preserve"> overriding agreement, in terms of</w:t>
      </w:r>
      <w:r w:rsidR="0023582B" w:rsidRPr="00EF0190">
        <w:rPr>
          <w:rStyle w:val="apple-converted-space"/>
          <w:rFonts w:asciiTheme="minorBidi" w:hAnsiTheme="minorBidi"/>
        </w:rPr>
        <w:t xml:space="preserve"> which </w:t>
      </w:r>
      <w:r w:rsidR="006A6846" w:rsidRPr="00EF0190">
        <w:rPr>
          <w:rStyle w:val="apple-converted-space"/>
          <w:rFonts w:asciiTheme="minorBidi" w:hAnsiTheme="minorBidi"/>
        </w:rPr>
        <w:t xml:space="preserve">it was </w:t>
      </w:r>
      <w:r w:rsidR="00A70EFD" w:rsidRPr="00EF0190">
        <w:rPr>
          <w:rStyle w:val="apple-converted-space"/>
          <w:rFonts w:asciiTheme="minorBidi" w:hAnsiTheme="minorBidi"/>
        </w:rPr>
        <w:t xml:space="preserve">also </w:t>
      </w:r>
      <w:r w:rsidR="006A6846" w:rsidRPr="00EF0190">
        <w:rPr>
          <w:rStyle w:val="apple-converted-space"/>
          <w:rFonts w:asciiTheme="minorBidi" w:hAnsiTheme="minorBidi"/>
        </w:rPr>
        <w:t xml:space="preserve">agreed that </w:t>
      </w:r>
      <w:r w:rsidR="007D6A14" w:rsidRPr="00EF0190">
        <w:rPr>
          <w:rStyle w:val="apple-converted-space"/>
          <w:rFonts w:asciiTheme="minorBidi" w:hAnsiTheme="minorBidi"/>
        </w:rPr>
        <w:t xml:space="preserve">the length of the musharaka agreement would be 240 months. It was furthermore agreed that the respondent would purchase the applicant’s undivided share in the immovable property in monthly instalments of R14 825.94 over that period. In the event of a breach of that agreement by the respondent, the applicant was required to give it seven </w:t>
      </w:r>
      <w:r w:rsidR="00EE25B5" w:rsidRPr="00EF0190">
        <w:rPr>
          <w:rStyle w:val="apple-converted-space"/>
          <w:rFonts w:asciiTheme="minorBidi" w:hAnsiTheme="minorBidi"/>
        </w:rPr>
        <w:t>days’</w:t>
      </w:r>
      <w:r w:rsidR="007D6A14" w:rsidRPr="00EF0190">
        <w:rPr>
          <w:rStyle w:val="apple-converted-space"/>
          <w:rFonts w:asciiTheme="minorBidi" w:hAnsiTheme="minorBidi"/>
        </w:rPr>
        <w:t xml:space="preserve"> written </w:t>
      </w:r>
      <w:r w:rsidR="007D6A14" w:rsidRPr="00EF0190">
        <w:rPr>
          <w:rStyle w:val="apple-converted-space"/>
          <w:rFonts w:asciiTheme="minorBidi" w:hAnsiTheme="minorBidi"/>
        </w:rPr>
        <w:lastRenderedPageBreak/>
        <w:t>notice to remedy that breach, failing which the applicant would be entitled to cancel the agreement. Upon breach, the applicant would be entitled to claim all amounts under the agreement forthwith and the respondent agreed to pay the applicants costs on an attorney and own client scale</w:t>
      </w:r>
      <w:r w:rsidR="003B767D" w:rsidRPr="00EF0190">
        <w:rPr>
          <w:rStyle w:val="apple-converted-space"/>
          <w:rFonts w:asciiTheme="minorBidi" w:hAnsiTheme="minorBidi"/>
        </w:rPr>
        <w:t>.</w:t>
      </w:r>
      <w:r w:rsidR="007D6A14" w:rsidRPr="00EF0190">
        <w:rPr>
          <w:rStyle w:val="apple-converted-space"/>
          <w:rFonts w:asciiTheme="minorBidi" w:hAnsiTheme="minorBidi"/>
        </w:rPr>
        <w:t xml:space="preserve">  </w:t>
      </w:r>
    </w:p>
    <w:p w:rsidR="00AF64BD" w:rsidRPr="00F543A0" w:rsidRDefault="007D6A14" w:rsidP="00A327D9">
      <w:pPr>
        <w:pStyle w:val="ListParagraph"/>
        <w:tabs>
          <w:tab w:val="left" w:pos="709"/>
        </w:tabs>
        <w:spacing w:after="0" w:line="360" w:lineRule="auto"/>
        <w:ind w:left="0"/>
        <w:jc w:val="both"/>
        <w:rPr>
          <w:rStyle w:val="apple-converted-space"/>
          <w:rFonts w:asciiTheme="minorBidi" w:hAnsiTheme="minorBidi"/>
          <w:sz w:val="24"/>
          <w:szCs w:val="24"/>
        </w:rPr>
      </w:pPr>
      <w:r>
        <w:rPr>
          <w:rStyle w:val="apple-converted-space"/>
          <w:rFonts w:asciiTheme="minorBidi" w:hAnsiTheme="minorBidi"/>
          <w:sz w:val="24"/>
          <w:szCs w:val="24"/>
        </w:rPr>
        <w:t xml:space="preserve"> </w:t>
      </w:r>
    </w:p>
    <w:p w:rsidR="0094715E" w:rsidRPr="00EF0190" w:rsidRDefault="00EF0190" w:rsidP="00EF0190">
      <w:pPr>
        <w:tabs>
          <w:tab w:val="left" w:pos="709"/>
        </w:tabs>
        <w:spacing w:line="360" w:lineRule="auto"/>
        <w:jc w:val="both"/>
        <w:rPr>
          <w:rStyle w:val="apple-converted-space"/>
          <w:rFonts w:ascii="Arial" w:hAnsi="Arial" w:cs="Arial"/>
          <w:color w:val="000000"/>
        </w:rPr>
      </w:pPr>
      <w:r w:rsidRPr="0094715E">
        <w:rPr>
          <w:rStyle w:val="apple-converted-space"/>
          <w:rFonts w:ascii="Arial" w:eastAsiaTheme="minorHAnsi" w:hAnsi="Arial" w:cs="Arial"/>
          <w:color w:val="000000"/>
          <w:lang w:val="en-GB" w:eastAsia="en-US" w:bidi="ar-SA"/>
        </w:rPr>
        <w:t>[7]</w:t>
      </w:r>
      <w:r w:rsidRPr="0094715E">
        <w:rPr>
          <w:rStyle w:val="apple-converted-space"/>
          <w:rFonts w:ascii="Arial" w:eastAsiaTheme="minorHAnsi" w:hAnsi="Arial" w:cs="Arial"/>
          <w:color w:val="000000"/>
          <w:lang w:val="en-GB" w:eastAsia="en-US" w:bidi="ar-SA"/>
        </w:rPr>
        <w:tab/>
      </w:r>
      <w:r w:rsidR="00AC7AC8" w:rsidRPr="00EF0190">
        <w:rPr>
          <w:rFonts w:ascii="Arial" w:hAnsi="Arial" w:cs="Arial"/>
          <w:color w:val="000000"/>
        </w:rPr>
        <w:t>Thus, o</w:t>
      </w:r>
      <w:r w:rsidR="00BA01BE" w:rsidRPr="00EF0190">
        <w:rPr>
          <w:rFonts w:ascii="Arial" w:hAnsi="Arial" w:cs="Arial"/>
          <w:color w:val="000000"/>
        </w:rPr>
        <w:t xml:space="preserve">ver the duration of the three agreements the respondent would acquire the applicants undivided share in the immovable property </w:t>
      </w:r>
      <w:r w:rsidR="00AC7AC8" w:rsidRPr="00EF0190">
        <w:rPr>
          <w:rFonts w:ascii="Arial" w:hAnsi="Arial" w:cs="Arial"/>
          <w:color w:val="000000"/>
        </w:rPr>
        <w:t xml:space="preserve">to be acquired </w:t>
      </w:r>
      <w:r w:rsidR="00BA01BE" w:rsidRPr="00EF0190">
        <w:rPr>
          <w:rFonts w:ascii="Arial" w:hAnsi="Arial" w:cs="Arial"/>
          <w:color w:val="000000"/>
        </w:rPr>
        <w:t>so that at the end of th</w:t>
      </w:r>
      <w:r w:rsidR="00AC6493" w:rsidRPr="00EF0190">
        <w:rPr>
          <w:rFonts w:ascii="Arial" w:hAnsi="Arial" w:cs="Arial"/>
          <w:color w:val="000000"/>
        </w:rPr>
        <w:t>e</w:t>
      </w:r>
      <w:r w:rsidR="00BA01BE" w:rsidRPr="00EF0190">
        <w:rPr>
          <w:rFonts w:ascii="Arial" w:hAnsi="Arial" w:cs="Arial"/>
          <w:color w:val="000000"/>
        </w:rPr>
        <w:t xml:space="preserve"> agreement period it would have acquired the entirety of the applicant’s interest</w:t>
      </w:r>
      <w:r w:rsidR="0023582B" w:rsidRPr="00EF0190">
        <w:rPr>
          <w:rFonts w:ascii="Arial" w:hAnsi="Arial" w:cs="Arial"/>
          <w:color w:val="000000"/>
        </w:rPr>
        <w:t xml:space="preserve"> in the immovable property</w:t>
      </w:r>
      <w:r w:rsidR="00AC6493" w:rsidRPr="00EF0190">
        <w:rPr>
          <w:rFonts w:ascii="Arial" w:hAnsi="Arial" w:cs="Arial"/>
          <w:color w:val="000000"/>
        </w:rPr>
        <w:t xml:space="preserve">. It appears that because the respondent was required to repay the applicant in fixed instalments in respect of which no mention is made of interest, this arrangement complied with </w:t>
      </w:r>
      <w:r w:rsidR="00EE25B5" w:rsidRPr="00EF0190">
        <w:rPr>
          <w:rFonts w:ascii="Arial" w:hAnsi="Arial" w:cs="Arial"/>
          <w:color w:val="000000"/>
        </w:rPr>
        <w:t>Sharia</w:t>
      </w:r>
      <w:r w:rsidR="00AC6493" w:rsidRPr="00EF0190">
        <w:rPr>
          <w:rFonts w:ascii="Arial" w:hAnsi="Arial" w:cs="Arial"/>
          <w:color w:val="000000"/>
        </w:rPr>
        <w:t xml:space="preserve"> law. The applicant still, however, would make a profit from the transaction</w:t>
      </w:r>
      <w:r w:rsidR="0023582B" w:rsidRPr="00EF0190">
        <w:rPr>
          <w:rFonts w:ascii="Arial" w:hAnsi="Arial" w:cs="Arial"/>
          <w:color w:val="000000"/>
        </w:rPr>
        <w:t xml:space="preserve">. </w:t>
      </w:r>
      <w:r w:rsidR="0094715E" w:rsidRPr="00EF0190">
        <w:rPr>
          <w:rStyle w:val="apple-converted-space"/>
          <w:rFonts w:asciiTheme="minorBidi" w:hAnsiTheme="minorBidi"/>
        </w:rPr>
        <w:t>As the respondent itself states</w:t>
      </w:r>
      <w:r w:rsidR="00E67E2F" w:rsidRPr="00EF0190">
        <w:rPr>
          <w:rStyle w:val="apple-converted-space"/>
          <w:rFonts w:asciiTheme="minorBidi" w:hAnsiTheme="minorBidi"/>
        </w:rPr>
        <w:t>:</w:t>
      </w:r>
    </w:p>
    <w:p w:rsidR="0094715E" w:rsidRPr="00E67E2F" w:rsidRDefault="0094715E" w:rsidP="00A327D9">
      <w:pPr>
        <w:pStyle w:val="ListParagraph"/>
        <w:tabs>
          <w:tab w:val="left" w:pos="709"/>
        </w:tabs>
        <w:spacing w:after="0" w:line="360" w:lineRule="auto"/>
        <w:ind w:left="0"/>
        <w:jc w:val="both"/>
        <w:rPr>
          <w:rStyle w:val="apple-converted-space"/>
          <w:rFonts w:asciiTheme="minorBidi" w:hAnsiTheme="minorBidi"/>
        </w:rPr>
      </w:pPr>
      <w:r w:rsidRPr="00E67E2F">
        <w:rPr>
          <w:rStyle w:val="apple-converted-space"/>
          <w:rFonts w:asciiTheme="minorBidi" w:hAnsiTheme="minorBidi"/>
        </w:rPr>
        <w:t>‘Instead of interest being charged on a monthly basis, it is already amortised upfront and incorporated into the value of the property and in the yearly sales of equity, so bought back.’</w:t>
      </w:r>
    </w:p>
    <w:p w:rsidR="00AC6493" w:rsidRPr="003B767D" w:rsidRDefault="00AC6493" w:rsidP="00A327D9">
      <w:pPr>
        <w:pStyle w:val="ListParagraph"/>
        <w:tabs>
          <w:tab w:val="left" w:pos="709"/>
        </w:tabs>
        <w:spacing w:after="0" w:line="360" w:lineRule="auto"/>
        <w:ind w:left="0"/>
        <w:jc w:val="both"/>
        <w:rPr>
          <w:rStyle w:val="apple-converted-space"/>
          <w:rFonts w:ascii="Arial" w:hAnsi="Arial" w:cs="Arial"/>
          <w:color w:val="000000"/>
          <w:sz w:val="24"/>
          <w:szCs w:val="24"/>
        </w:rPr>
      </w:pPr>
      <w:r>
        <w:rPr>
          <w:rStyle w:val="apple-converted-space"/>
          <w:rFonts w:asciiTheme="minorBidi" w:hAnsiTheme="minorBidi"/>
          <w:sz w:val="24"/>
          <w:szCs w:val="24"/>
        </w:rPr>
        <w:t xml:space="preserve">The immovable property </w:t>
      </w:r>
      <w:r w:rsidR="00AC7AC8">
        <w:rPr>
          <w:rStyle w:val="apple-converted-space"/>
          <w:rFonts w:asciiTheme="minorBidi" w:hAnsiTheme="minorBidi"/>
          <w:sz w:val="24"/>
          <w:szCs w:val="24"/>
        </w:rPr>
        <w:t xml:space="preserve">to be acquired </w:t>
      </w:r>
      <w:r>
        <w:rPr>
          <w:rStyle w:val="apple-converted-space"/>
          <w:rFonts w:asciiTheme="minorBidi" w:hAnsiTheme="minorBidi"/>
          <w:sz w:val="24"/>
          <w:szCs w:val="24"/>
        </w:rPr>
        <w:t>would be registered in the name of the respondent, who would hold it on behalf of the partnership.</w:t>
      </w:r>
      <w:r w:rsidR="00AC7AC8">
        <w:rPr>
          <w:rStyle w:val="apple-converted-space"/>
          <w:rFonts w:asciiTheme="minorBidi" w:hAnsiTheme="minorBidi"/>
          <w:sz w:val="24"/>
          <w:szCs w:val="24"/>
        </w:rPr>
        <w:t xml:space="preserve"> The loan amount was advanced and the immovable property acquired.</w:t>
      </w:r>
    </w:p>
    <w:p w:rsidR="00AC6493" w:rsidRDefault="00AC6493" w:rsidP="00A327D9">
      <w:pPr>
        <w:pStyle w:val="ListParagraph"/>
        <w:tabs>
          <w:tab w:val="left" w:pos="709"/>
        </w:tabs>
        <w:spacing w:after="0" w:line="360" w:lineRule="auto"/>
        <w:ind w:left="0"/>
        <w:jc w:val="both"/>
        <w:rPr>
          <w:rFonts w:ascii="Arial" w:hAnsi="Arial" w:cs="Arial"/>
          <w:color w:val="000000"/>
          <w:sz w:val="24"/>
          <w:szCs w:val="24"/>
        </w:rPr>
      </w:pPr>
    </w:p>
    <w:p w:rsidR="009A0429"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[8]</w:t>
      </w:r>
      <w:r>
        <w:rPr>
          <w:rFonts w:ascii="Arial" w:eastAsiaTheme="minorHAnsi" w:hAnsi="Arial" w:cs="Arial"/>
          <w:color w:val="000000"/>
          <w:lang w:val="en-GB" w:eastAsia="en-US" w:bidi="ar-SA"/>
        </w:rPr>
        <w:tab/>
      </w:r>
      <w:r w:rsidR="003B767D" w:rsidRPr="00EF0190">
        <w:rPr>
          <w:rFonts w:ascii="Arial" w:hAnsi="Arial" w:cs="Arial"/>
          <w:color w:val="000000"/>
        </w:rPr>
        <w:t xml:space="preserve">The applicant alleges that the respondent failed to pay its monthly instalments </w:t>
      </w:r>
      <w:r w:rsidR="00BA01BE" w:rsidRPr="00EF0190">
        <w:rPr>
          <w:rFonts w:ascii="Arial" w:hAnsi="Arial" w:cs="Arial"/>
          <w:color w:val="000000"/>
        </w:rPr>
        <w:t>regularly</w:t>
      </w:r>
      <w:r w:rsidR="00A70EFD" w:rsidRPr="00EF0190">
        <w:rPr>
          <w:rFonts w:ascii="Arial" w:hAnsi="Arial" w:cs="Arial"/>
          <w:color w:val="000000"/>
        </w:rPr>
        <w:t xml:space="preserve">. In July 2020 it breached the agreements. As </w:t>
      </w:r>
      <w:r w:rsidR="00B31E41" w:rsidRPr="00EF0190">
        <w:rPr>
          <w:rFonts w:ascii="Arial" w:hAnsi="Arial" w:cs="Arial"/>
          <w:color w:val="000000"/>
        </w:rPr>
        <w:t>of</w:t>
      </w:r>
      <w:r w:rsidR="00A70EFD" w:rsidRPr="00EF0190">
        <w:rPr>
          <w:rFonts w:ascii="Arial" w:hAnsi="Arial" w:cs="Arial"/>
          <w:color w:val="000000"/>
        </w:rPr>
        <w:t xml:space="preserve"> 7 July 2020, it was in arrears in the amount of R23 985.06. The arrears were not made good, and on 18 November 2021</w:t>
      </w:r>
      <w:r w:rsidR="009A0429" w:rsidRPr="00EF0190">
        <w:rPr>
          <w:rFonts w:ascii="Arial" w:hAnsi="Arial" w:cs="Arial"/>
          <w:color w:val="000000"/>
        </w:rPr>
        <w:t>, the applicant elected to terminate the agreements, having given the prescribed one month’s written notice.</w:t>
      </w:r>
      <w:r w:rsidR="00D904C0" w:rsidRPr="00EF0190">
        <w:rPr>
          <w:rFonts w:ascii="Arial" w:hAnsi="Arial" w:cs="Arial"/>
          <w:color w:val="000000"/>
        </w:rPr>
        <w:t xml:space="preserve"> While this amount appears to be relatively small, this was a repeated failure of the respondent to pay in accordance with its obligations and is the straw that broke the camel’s back.</w:t>
      </w:r>
    </w:p>
    <w:p w:rsidR="009A0429" w:rsidRPr="009A0429" w:rsidRDefault="009A0429" w:rsidP="00A327D9">
      <w:pPr>
        <w:pStyle w:val="ListParagraph"/>
        <w:spacing w:after="0" w:line="360" w:lineRule="auto"/>
        <w:rPr>
          <w:rFonts w:ascii="Arial" w:hAnsi="Arial" w:cs="Arial"/>
          <w:color w:val="000000"/>
          <w:sz w:val="24"/>
          <w:szCs w:val="24"/>
        </w:rPr>
      </w:pPr>
    </w:p>
    <w:p w:rsidR="003B767D"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[9]</w:t>
      </w:r>
      <w:r>
        <w:rPr>
          <w:rFonts w:ascii="Arial" w:eastAsiaTheme="minorHAnsi" w:hAnsi="Arial" w:cs="Arial"/>
          <w:color w:val="000000"/>
          <w:lang w:val="en-GB" w:eastAsia="en-US" w:bidi="ar-SA"/>
        </w:rPr>
        <w:tab/>
      </w:r>
      <w:r w:rsidR="009A0429" w:rsidRPr="00EF0190">
        <w:rPr>
          <w:rFonts w:ascii="Arial" w:hAnsi="Arial" w:cs="Arial"/>
          <w:color w:val="000000"/>
        </w:rPr>
        <w:t xml:space="preserve">That background hopefully helps </w:t>
      </w:r>
      <w:r w:rsidR="0030385E" w:rsidRPr="00EF0190">
        <w:rPr>
          <w:rFonts w:ascii="Arial" w:hAnsi="Arial" w:cs="Arial"/>
          <w:color w:val="000000"/>
        </w:rPr>
        <w:t xml:space="preserve">in providing a clearer understanding of </w:t>
      </w:r>
      <w:r w:rsidR="009A0429" w:rsidRPr="00EF0190">
        <w:rPr>
          <w:rFonts w:ascii="Arial" w:hAnsi="Arial" w:cs="Arial"/>
          <w:color w:val="000000"/>
        </w:rPr>
        <w:t>the relief claimed by the applicant in its notice of motion.</w:t>
      </w:r>
      <w:r w:rsidR="00E1628D" w:rsidRPr="00EF0190">
        <w:rPr>
          <w:rFonts w:ascii="Arial" w:hAnsi="Arial" w:cs="Arial"/>
          <w:color w:val="000000"/>
        </w:rPr>
        <w:t xml:space="preserve"> It seeks an order declaring the partnership in respect of the immovable property that is the subject of the three agreements, and which has the formal description of Portion 1 of Erf 13, Chiltern Hills</w:t>
      </w:r>
      <w:r w:rsidR="0030385E" w:rsidRPr="00EF0190">
        <w:rPr>
          <w:rFonts w:ascii="Arial" w:hAnsi="Arial" w:cs="Arial"/>
          <w:color w:val="000000"/>
        </w:rPr>
        <w:t>, to be</w:t>
      </w:r>
      <w:r w:rsidR="00E1628D" w:rsidRPr="00EF0190">
        <w:rPr>
          <w:rFonts w:ascii="Arial" w:hAnsi="Arial" w:cs="Arial"/>
          <w:color w:val="000000"/>
        </w:rPr>
        <w:t xml:space="preserve"> terminated.</w:t>
      </w:r>
      <w:r w:rsidR="0094715E">
        <w:rPr>
          <w:rStyle w:val="FootnoteReference"/>
          <w:rFonts w:ascii="Arial" w:hAnsi="Arial" w:cs="Arial"/>
          <w:color w:val="000000"/>
        </w:rPr>
        <w:footnoteReference w:id="1"/>
      </w:r>
      <w:r w:rsidR="00E1628D" w:rsidRPr="00EF0190">
        <w:rPr>
          <w:rFonts w:ascii="Arial" w:hAnsi="Arial" w:cs="Arial"/>
          <w:color w:val="000000"/>
        </w:rPr>
        <w:t xml:space="preserve"> To achieve the winding up of the partnership property, it seeks the appointment of a liquidator</w:t>
      </w:r>
      <w:r w:rsidR="009A0429" w:rsidRPr="00EF0190">
        <w:rPr>
          <w:rFonts w:ascii="Arial" w:hAnsi="Arial" w:cs="Arial"/>
          <w:color w:val="000000"/>
        </w:rPr>
        <w:t xml:space="preserve"> </w:t>
      </w:r>
      <w:r w:rsidR="00E1628D" w:rsidRPr="00EF0190">
        <w:rPr>
          <w:rFonts w:ascii="Arial" w:hAnsi="Arial" w:cs="Arial"/>
          <w:color w:val="000000"/>
        </w:rPr>
        <w:t>with certain defined powers.</w:t>
      </w:r>
      <w:r w:rsidR="00A70EFD" w:rsidRPr="00EF0190">
        <w:rPr>
          <w:rFonts w:ascii="Arial" w:hAnsi="Arial" w:cs="Arial"/>
          <w:color w:val="000000"/>
        </w:rPr>
        <w:t xml:space="preserve"> </w:t>
      </w:r>
      <w:r w:rsidR="00BA01BE" w:rsidRPr="00EF0190">
        <w:rPr>
          <w:rFonts w:ascii="Arial" w:hAnsi="Arial" w:cs="Arial"/>
          <w:color w:val="000000"/>
        </w:rPr>
        <w:t xml:space="preserve"> </w:t>
      </w:r>
      <w:r w:rsidR="00E1628D" w:rsidRPr="00EF0190">
        <w:rPr>
          <w:rFonts w:ascii="Arial" w:hAnsi="Arial" w:cs="Arial"/>
          <w:color w:val="000000"/>
        </w:rPr>
        <w:t xml:space="preserve">Those powers appear to </w:t>
      </w:r>
      <w:r w:rsidR="00E1628D" w:rsidRPr="00EF0190">
        <w:rPr>
          <w:rFonts w:ascii="Arial" w:hAnsi="Arial" w:cs="Arial"/>
          <w:color w:val="000000"/>
        </w:rPr>
        <w:lastRenderedPageBreak/>
        <w:t xml:space="preserve">extend beyond the powers ordinarily afforded liquidators in this division: ordinarily the powers identified in </w:t>
      </w:r>
      <w:r w:rsidR="00E1628D" w:rsidRPr="00EF0190">
        <w:rPr>
          <w:rFonts w:ascii="Arial" w:hAnsi="Arial" w:cs="Arial"/>
          <w:i/>
          <w:color w:val="000000"/>
        </w:rPr>
        <w:t>Muhlman</w:t>
      </w:r>
      <w:r w:rsidR="00EE0601" w:rsidRPr="00EF0190">
        <w:rPr>
          <w:rFonts w:ascii="Arial" w:hAnsi="Arial" w:cs="Arial"/>
          <w:i/>
          <w:color w:val="000000"/>
        </w:rPr>
        <w:t>n</w:t>
      </w:r>
      <w:r w:rsidR="002E09AF" w:rsidRPr="00EF0190">
        <w:rPr>
          <w:rFonts w:ascii="Arial" w:hAnsi="Arial" w:cs="Arial"/>
          <w:i/>
          <w:color w:val="000000"/>
        </w:rPr>
        <w:t xml:space="preserve"> v Muhlmann</w:t>
      </w:r>
      <w:r w:rsidR="002E09AF">
        <w:rPr>
          <w:rStyle w:val="FootnoteReference"/>
          <w:rFonts w:ascii="Arial" w:hAnsi="Arial" w:cs="Arial"/>
          <w:color w:val="000000"/>
        </w:rPr>
        <w:footnoteReference w:id="2"/>
      </w:r>
      <w:r w:rsidR="00E1628D" w:rsidRPr="00EF0190">
        <w:rPr>
          <w:rFonts w:ascii="Arial" w:hAnsi="Arial" w:cs="Arial"/>
          <w:color w:val="000000"/>
        </w:rPr>
        <w:t xml:space="preserve"> </w:t>
      </w:r>
      <w:r w:rsidR="002E09AF" w:rsidRPr="00EF0190">
        <w:rPr>
          <w:rFonts w:ascii="Arial" w:hAnsi="Arial" w:cs="Arial"/>
          <w:color w:val="000000"/>
        </w:rPr>
        <w:t xml:space="preserve">are </w:t>
      </w:r>
      <w:r w:rsidR="00E1628D" w:rsidRPr="00EF0190">
        <w:rPr>
          <w:rFonts w:ascii="Arial" w:hAnsi="Arial" w:cs="Arial"/>
          <w:color w:val="000000"/>
        </w:rPr>
        <w:t xml:space="preserve">granted </w:t>
      </w:r>
      <w:r w:rsidR="002E09AF" w:rsidRPr="00EF0190">
        <w:rPr>
          <w:rFonts w:ascii="Arial" w:hAnsi="Arial" w:cs="Arial"/>
          <w:color w:val="000000"/>
        </w:rPr>
        <w:t>to liquidators</w:t>
      </w:r>
      <w:r w:rsidR="00E1628D" w:rsidRPr="00EF0190">
        <w:rPr>
          <w:rFonts w:ascii="Arial" w:hAnsi="Arial" w:cs="Arial"/>
          <w:color w:val="000000"/>
        </w:rPr>
        <w:t>.</w:t>
      </w:r>
      <w:r w:rsidR="002E09AF" w:rsidRPr="00EF0190">
        <w:rPr>
          <w:rFonts w:ascii="Arial" w:hAnsi="Arial" w:cs="Arial"/>
          <w:color w:val="000000"/>
        </w:rPr>
        <w:t xml:space="preserve"> I asked Ms Miranda to address me on this aspect</w:t>
      </w:r>
      <w:r w:rsidR="00961F3D" w:rsidRPr="00EF0190">
        <w:rPr>
          <w:rFonts w:ascii="Arial" w:hAnsi="Arial" w:cs="Arial"/>
          <w:color w:val="000000"/>
        </w:rPr>
        <w:t xml:space="preserve"> and in particular the power to interrogate claimed in paragraph 3.3 of the notice of motion. Ms Miranda</w:t>
      </w:r>
      <w:r w:rsidR="00D904C0" w:rsidRPr="00EF0190">
        <w:rPr>
          <w:rFonts w:ascii="Arial" w:hAnsi="Arial" w:cs="Arial"/>
          <w:color w:val="000000"/>
        </w:rPr>
        <w:t xml:space="preserve"> appeared to accept that if there was some reason why the powers sought in the notice of motion could not be granted then they ought not to be granted but she needed to take instructions in that regard.</w:t>
      </w:r>
      <w:r w:rsidR="007939A3" w:rsidRPr="00EF0190">
        <w:rPr>
          <w:rFonts w:ascii="Arial" w:hAnsi="Arial" w:cs="Arial"/>
          <w:color w:val="000000"/>
        </w:rPr>
        <w:t xml:space="preserve"> She later confirmed this to be her instructions.</w:t>
      </w:r>
    </w:p>
    <w:p w:rsidR="002E09AF" w:rsidRPr="002E09AF" w:rsidRDefault="002E09AF" w:rsidP="00A327D9">
      <w:pPr>
        <w:pStyle w:val="ListParagraph"/>
        <w:spacing w:after="0" w:line="360" w:lineRule="auto"/>
        <w:rPr>
          <w:rFonts w:ascii="Arial" w:hAnsi="Arial" w:cs="Arial"/>
          <w:color w:val="000000"/>
          <w:sz w:val="24"/>
          <w:szCs w:val="24"/>
        </w:rPr>
      </w:pPr>
    </w:p>
    <w:p w:rsidR="00961F3D" w:rsidRPr="00EF0190" w:rsidRDefault="00EF0190" w:rsidP="00EF0190">
      <w:pPr>
        <w:tabs>
          <w:tab w:val="left" w:pos="709"/>
        </w:tabs>
        <w:spacing w:line="360" w:lineRule="auto"/>
        <w:jc w:val="both"/>
        <w:rPr>
          <w:rFonts w:ascii="Arial" w:hAnsi="Arial" w:cs="Arial"/>
        </w:rPr>
      </w:pPr>
      <w:r w:rsidRPr="006016DD">
        <w:rPr>
          <w:rFonts w:ascii="Arial" w:eastAsiaTheme="minorHAnsi" w:hAnsi="Arial" w:cs="Arial"/>
          <w:lang w:val="en-GB" w:eastAsia="en-US" w:bidi="ar-SA"/>
        </w:rPr>
        <w:t>[10]</w:t>
      </w:r>
      <w:r w:rsidRPr="006016DD">
        <w:rPr>
          <w:rFonts w:ascii="Arial" w:eastAsiaTheme="minorHAnsi" w:hAnsi="Arial" w:cs="Arial"/>
          <w:lang w:val="en-GB" w:eastAsia="en-US" w:bidi="ar-SA"/>
        </w:rPr>
        <w:tab/>
      </w:r>
      <w:r w:rsidR="00961F3D" w:rsidRPr="00EF0190">
        <w:rPr>
          <w:rFonts w:ascii="Arial" w:hAnsi="Arial" w:cs="Arial"/>
          <w:color w:val="242121"/>
          <w:shd w:val="clear" w:color="auto" w:fill="FFFFFF"/>
        </w:rPr>
        <w:t>In my view, the proposed liquidator cannot be afforded the power of interrogation.</w:t>
      </w:r>
      <w:r w:rsidR="006016DD" w:rsidRPr="00EF0190">
        <w:rPr>
          <w:rFonts w:ascii="Arial" w:hAnsi="Arial" w:cs="Arial"/>
          <w:color w:val="242121"/>
          <w:shd w:val="clear" w:color="auto" w:fill="FFFFFF"/>
        </w:rPr>
        <w:t xml:space="preserve"> A similar power was sought in</w:t>
      </w:r>
      <w:r w:rsidR="00961F3D" w:rsidRPr="00EF0190">
        <w:rPr>
          <w:rFonts w:ascii="Arial" w:hAnsi="Arial" w:cs="Arial"/>
          <w:color w:val="242121"/>
          <w:shd w:val="clear" w:color="auto" w:fill="FFFFFF"/>
        </w:rPr>
        <w:t xml:space="preserve"> </w:t>
      </w:r>
      <w:r w:rsidR="00961F3D" w:rsidRPr="00EF0190">
        <w:rPr>
          <w:rFonts w:ascii="Arial" w:hAnsi="Arial" w:cs="Arial"/>
          <w:i/>
        </w:rPr>
        <w:t>Morar NO v Akoo and Another</w:t>
      </w:r>
      <w:r w:rsidR="006016DD" w:rsidRPr="006016DD">
        <w:rPr>
          <w:rStyle w:val="FootnoteReference"/>
          <w:rFonts w:ascii="Arial" w:hAnsi="Arial" w:cs="Arial"/>
        </w:rPr>
        <w:footnoteReference w:id="3"/>
      </w:r>
      <w:r w:rsidR="00961F3D" w:rsidRPr="00EF0190">
        <w:rPr>
          <w:rFonts w:ascii="Arial" w:hAnsi="Arial" w:cs="Arial"/>
        </w:rPr>
        <w:t xml:space="preserve"> </w:t>
      </w:r>
      <w:r w:rsidR="006016DD" w:rsidRPr="00EF0190">
        <w:rPr>
          <w:rFonts w:ascii="Arial" w:hAnsi="Arial" w:cs="Arial"/>
        </w:rPr>
        <w:t>but was refused. On appeal to the Supreme Court of Appeal, Wallis JA stated that:</w:t>
      </w:r>
    </w:p>
    <w:p w:rsidR="004B6320" w:rsidRDefault="006016DD" w:rsidP="00A327D9">
      <w:pPr>
        <w:pStyle w:val="ListParagraph"/>
        <w:tabs>
          <w:tab w:val="left" w:pos="709"/>
        </w:tabs>
        <w:spacing w:after="0" w:line="360" w:lineRule="auto"/>
        <w:ind w:left="0"/>
        <w:jc w:val="both"/>
        <w:rPr>
          <w:rFonts w:ascii="Arial" w:eastAsia="Times New Roman" w:hAnsi="Arial" w:cs="Arial"/>
          <w:color w:val="242121"/>
          <w:sz w:val="24"/>
          <w:szCs w:val="24"/>
          <w:shd w:val="clear" w:color="auto" w:fill="FFFFFF"/>
          <w:lang w:val="en-ZA" w:eastAsia="en-GB" w:bidi="yi-Hebr"/>
        </w:rPr>
      </w:pPr>
      <w:r w:rsidRPr="006016DD">
        <w:rPr>
          <w:rFonts w:ascii="Arial" w:eastAsia="Times New Roman" w:hAnsi="Arial" w:cs="Arial"/>
          <w:color w:val="242121"/>
          <w:shd w:val="clear" w:color="auto" w:fill="FFFFFF"/>
          <w:lang w:val="en-ZA" w:eastAsia="en-GB" w:bidi="yi-Hebr"/>
        </w:rPr>
        <w:t>‘</w:t>
      </w:r>
      <w:r w:rsidR="004B6320" w:rsidRPr="006016DD">
        <w:rPr>
          <w:rFonts w:ascii="Arial" w:eastAsia="Times New Roman" w:hAnsi="Arial" w:cs="Arial"/>
          <w:color w:val="242121"/>
          <w:shd w:val="clear" w:color="auto" w:fill="FFFFFF"/>
          <w:lang w:val="en-ZA" w:eastAsia="en-GB" w:bidi="yi-Hebr"/>
        </w:rPr>
        <w:t>The power to order an interrogation is an exceptional power</w:t>
      </w:r>
      <w:r w:rsidRPr="006016DD">
        <w:rPr>
          <w:rFonts w:ascii="Arial" w:eastAsia="Times New Roman" w:hAnsi="Arial" w:cs="Arial"/>
          <w:color w:val="242121"/>
          <w:shd w:val="clear" w:color="auto" w:fill="FFFFFF"/>
          <w:lang w:val="en-ZA" w:eastAsia="en-GB" w:bidi="yi-Hebr"/>
        </w:rPr>
        <w:t xml:space="preserve"> </w:t>
      </w:r>
      <w:r w:rsidR="004B6320" w:rsidRPr="006016DD">
        <w:rPr>
          <w:rFonts w:ascii="Arial" w:eastAsia="Times New Roman" w:hAnsi="Arial" w:cs="Arial"/>
          <w:color w:val="242121"/>
          <w:shd w:val="clear" w:color="auto" w:fill="FFFFFF"/>
          <w:lang w:val="en-ZA" w:eastAsia="en-GB" w:bidi="yi-Hebr"/>
        </w:rPr>
        <w:t>and I can find no basis upon which it is one that courts can confer upon liquidators of partnerships. If that is a shortcoming the remedy must lie in legislation.</w:t>
      </w:r>
      <w:r w:rsidRPr="006016DD">
        <w:rPr>
          <w:rFonts w:ascii="Arial" w:eastAsia="Times New Roman" w:hAnsi="Arial" w:cs="Arial"/>
          <w:color w:val="242121"/>
          <w:shd w:val="clear" w:color="auto" w:fill="FFFFFF"/>
          <w:lang w:val="en-ZA" w:eastAsia="en-GB" w:bidi="yi-Hebr"/>
        </w:rPr>
        <w:t>’</w:t>
      </w:r>
      <w:r>
        <w:rPr>
          <w:rFonts w:ascii="Arial" w:eastAsia="Times New Roman" w:hAnsi="Arial" w:cs="Arial"/>
          <w:color w:val="242121"/>
          <w:sz w:val="24"/>
          <w:szCs w:val="24"/>
          <w:shd w:val="clear" w:color="auto" w:fill="FFFFFF"/>
          <w:lang w:val="en-ZA" w:eastAsia="en-GB" w:bidi="yi-Hebr"/>
        </w:rPr>
        <w:t xml:space="preserve"> (footnotes omitted)</w:t>
      </w:r>
    </w:p>
    <w:p w:rsidR="006016DD" w:rsidRPr="004B6320" w:rsidRDefault="006016DD" w:rsidP="00A327D9">
      <w:pPr>
        <w:pStyle w:val="ListParagraph"/>
        <w:tabs>
          <w:tab w:val="left" w:pos="709"/>
        </w:tabs>
        <w:spacing w:after="0" w:line="360" w:lineRule="auto"/>
        <w:ind w:left="0"/>
        <w:jc w:val="both"/>
        <w:rPr>
          <w:rFonts w:ascii="Arial" w:hAnsi="Arial" w:cs="Arial"/>
          <w:color w:val="000000"/>
          <w:sz w:val="24"/>
          <w:szCs w:val="24"/>
        </w:rPr>
      </w:pPr>
    </w:p>
    <w:p w:rsidR="0023582B" w:rsidRPr="00EF0190" w:rsidRDefault="00EF0190" w:rsidP="00EF0190">
      <w:pPr>
        <w:tabs>
          <w:tab w:val="left" w:pos="709"/>
        </w:tabs>
        <w:spacing w:line="360" w:lineRule="auto"/>
        <w:jc w:val="both"/>
        <w:rPr>
          <w:rFonts w:ascii="Arial" w:hAnsi="Arial" w:cs="Arial"/>
          <w:color w:val="000000"/>
        </w:rPr>
      </w:pPr>
      <w:r w:rsidRPr="0023582B">
        <w:rPr>
          <w:rFonts w:ascii="Arial" w:eastAsiaTheme="minorHAnsi" w:hAnsi="Arial" w:cs="Arial"/>
          <w:color w:val="000000"/>
          <w:lang w:val="en-GB" w:eastAsia="en-US" w:bidi="ar-SA"/>
        </w:rPr>
        <w:t>[11]</w:t>
      </w:r>
      <w:r w:rsidRPr="0023582B">
        <w:rPr>
          <w:rFonts w:ascii="Arial" w:eastAsiaTheme="minorHAnsi" w:hAnsi="Arial" w:cs="Arial"/>
          <w:color w:val="000000"/>
          <w:lang w:val="en-GB" w:eastAsia="en-US" w:bidi="ar-SA"/>
        </w:rPr>
        <w:tab/>
      </w:r>
      <w:r w:rsidR="00897032" w:rsidRPr="00EF0190">
        <w:rPr>
          <w:rFonts w:ascii="Arial" w:hAnsi="Arial" w:cs="Arial"/>
          <w:color w:val="242121"/>
          <w:shd w:val="clear" w:color="auto" w:fill="FFFFFF"/>
        </w:rPr>
        <w:t xml:space="preserve">Every co-owner is, in principle, entitled to have that joint-ownership terminated. </w:t>
      </w:r>
    </w:p>
    <w:p w:rsidR="00E1628D" w:rsidRPr="00CE0C53" w:rsidRDefault="00897032" w:rsidP="00A327D9">
      <w:pPr>
        <w:pStyle w:val="ListParagraph"/>
        <w:tabs>
          <w:tab w:val="left" w:pos="709"/>
        </w:tabs>
        <w:spacing w:after="0" w:line="360" w:lineRule="auto"/>
        <w:ind w:left="0"/>
        <w:jc w:val="both"/>
        <w:rPr>
          <w:rFonts w:ascii="Arial" w:hAnsi="Arial" w:cs="Arial"/>
          <w:color w:val="000000"/>
          <w:sz w:val="24"/>
          <w:szCs w:val="24"/>
        </w:rPr>
      </w:pPr>
      <w:r w:rsidRPr="00CE0C53">
        <w:rPr>
          <w:rFonts w:ascii="Arial" w:eastAsia="Times New Roman" w:hAnsi="Arial" w:cs="Arial"/>
          <w:color w:val="242121"/>
          <w:sz w:val="24"/>
          <w:szCs w:val="24"/>
          <w:shd w:val="clear" w:color="auto" w:fill="FFFFFF"/>
          <w:lang w:val="en-ZA" w:eastAsia="en-GB" w:bidi="yi-Hebr"/>
        </w:rPr>
        <w:t>A co-owner is not obliged t</w:t>
      </w:r>
      <w:r w:rsidR="006252C8">
        <w:rPr>
          <w:rFonts w:ascii="Arial" w:eastAsia="Times New Roman" w:hAnsi="Arial" w:cs="Arial"/>
          <w:color w:val="242121"/>
          <w:sz w:val="24"/>
          <w:szCs w:val="24"/>
          <w:shd w:val="clear" w:color="auto" w:fill="FFFFFF"/>
          <w:lang w:val="en-ZA" w:eastAsia="en-GB" w:bidi="yi-Hebr"/>
        </w:rPr>
        <w:t xml:space="preserve">o remain a co-owner against his or </w:t>
      </w:r>
      <w:r w:rsidRPr="00CE0C53">
        <w:rPr>
          <w:rFonts w:ascii="Arial" w:eastAsia="Times New Roman" w:hAnsi="Arial" w:cs="Arial"/>
          <w:color w:val="242121"/>
          <w:sz w:val="24"/>
          <w:szCs w:val="24"/>
          <w:shd w:val="clear" w:color="auto" w:fill="FFFFFF"/>
          <w:lang w:val="en-ZA" w:eastAsia="en-GB" w:bidi="yi-Hebr"/>
        </w:rPr>
        <w:t>her will</w:t>
      </w:r>
      <w:r w:rsidR="002E09AF">
        <w:rPr>
          <w:rFonts w:ascii="Arial" w:eastAsia="Times New Roman" w:hAnsi="Arial" w:cs="Arial"/>
          <w:color w:val="242121"/>
          <w:sz w:val="24"/>
          <w:szCs w:val="24"/>
          <w:shd w:val="clear" w:color="auto" w:fill="FFFFFF"/>
          <w:lang w:val="en-ZA" w:eastAsia="en-GB" w:bidi="yi-Hebr"/>
        </w:rPr>
        <w:t>.</w:t>
      </w:r>
      <w:r w:rsidRPr="00C265FA">
        <w:rPr>
          <w:rStyle w:val="FootnoteReference"/>
          <w:rFonts w:ascii="Arial" w:eastAsia="Times New Roman" w:hAnsi="Arial" w:cs="Arial"/>
          <w:color w:val="242121"/>
          <w:sz w:val="24"/>
          <w:szCs w:val="24"/>
          <w:shd w:val="clear" w:color="auto" w:fill="FFFFFF"/>
          <w:lang w:val="en-ZA" w:eastAsia="en-GB" w:bidi="yi-Hebr"/>
        </w:rPr>
        <w:footnoteReference w:id="4"/>
      </w:r>
      <w:r w:rsidR="00CE0C53" w:rsidRPr="00CE0C53">
        <w:rPr>
          <w:rFonts w:ascii="Arial" w:eastAsia="Times New Roman" w:hAnsi="Arial" w:cs="Arial"/>
          <w:color w:val="242121"/>
          <w:sz w:val="24"/>
          <w:szCs w:val="24"/>
          <w:shd w:val="clear" w:color="auto" w:fill="FFFFFF"/>
          <w:lang w:val="en-ZA" w:eastAsia="en-GB" w:bidi="yi-Hebr"/>
        </w:rPr>
        <w:t xml:space="preserve"> </w:t>
      </w:r>
      <w:r w:rsidR="008B601C">
        <w:rPr>
          <w:rFonts w:ascii="Arial" w:eastAsia="Times New Roman" w:hAnsi="Arial" w:cs="Arial"/>
          <w:color w:val="242121"/>
          <w:sz w:val="24"/>
          <w:szCs w:val="24"/>
          <w:shd w:val="clear" w:color="auto" w:fill="FFFFFF"/>
          <w:lang w:val="en-ZA" w:eastAsia="en-GB" w:bidi="yi-Hebr"/>
        </w:rPr>
        <w:t>It therefore follows that not</w:t>
      </w:r>
      <w:r w:rsidR="00CE0C53" w:rsidRPr="00CE0C53">
        <w:rPr>
          <w:rFonts w:ascii="Arial" w:eastAsia="Times New Roman" w:hAnsi="Arial" w:cs="Arial"/>
          <w:color w:val="242121"/>
          <w:sz w:val="24"/>
          <w:szCs w:val="24"/>
          <w:shd w:val="clear" w:color="auto" w:fill="FFFFFF"/>
          <w:lang w:val="en-ZA" w:eastAsia="en-GB" w:bidi="yi-Hebr"/>
        </w:rPr>
        <w:t xml:space="preserve"> many defences can be raised against the claim of a co-owner to have</w:t>
      </w:r>
      <w:bookmarkStart w:id="1" w:name="_ftnref6"/>
      <w:r w:rsidR="00CE0C53">
        <w:rPr>
          <w:rFonts w:ascii="Arial" w:eastAsia="Times New Roman" w:hAnsi="Arial" w:cs="Arial"/>
          <w:color w:val="242121"/>
          <w:sz w:val="24"/>
          <w:szCs w:val="24"/>
          <w:shd w:val="clear" w:color="auto" w:fill="FFFFFF"/>
          <w:lang w:val="en-ZA" w:eastAsia="en-GB" w:bidi="yi-Hebr"/>
        </w:rPr>
        <w:t xml:space="preserve"> a joint ownership arrangement terminated</w:t>
      </w:r>
      <w:bookmarkEnd w:id="1"/>
      <w:r w:rsidR="00CE0C53">
        <w:rPr>
          <w:rFonts w:ascii="Arial" w:eastAsia="Times New Roman" w:hAnsi="Arial" w:cs="Arial"/>
          <w:color w:val="242121"/>
          <w:sz w:val="24"/>
          <w:szCs w:val="24"/>
          <w:shd w:val="clear" w:color="auto" w:fill="FFFFFF"/>
          <w:lang w:val="en-ZA" w:eastAsia="en-GB" w:bidi="yi-Hebr"/>
        </w:rPr>
        <w:t>.</w:t>
      </w:r>
      <w:r w:rsidR="00CE0C53">
        <w:rPr>
          <w:rStyle w:val="FootnoteReference"/>
          <w:rFonts w:ascii="Arial" w:eastAsia="Times New Roman" w:hAnsi="Arial" w:cs="Arial"/>
          <w:color w:val="242121"/>
          <w:sz w:val="24"/>
          <w:szCs w:val="24"/>
          <w:shd w:val="clear" w:color="auto" w:fill="FFFFFF"/>
          <w:lang w:val="en-ZA" w:eastAsia="en-GB" w:bidi="yi-Hebr"/>
        </w:rPr>
        <w:footnoteReference w:id="5"/>
      </w:r>
      <w:r w:rsidR="00D904C0">
        <w:rPr>
          <w:rFonts w:ascii="Arial" w:eastAsia="Times New Roman" w:hAnsi="Arial" w:cs="Arial"/>
          <w:color w:val="242121"/>
          <w:sz w:val="24"/>
          <w:szCs w:val="24"/>
          <w:shd w:val="clear" w:color="auto" w:fill="FFFFFF"/>
          <w:lang w:val="en-ZA" w:eastAsia="en-GB" w:bidi="yi-Hebr"/>
        </w:rPr>
        <w:t xml:space="preserve"> It appears to be common cause in this matter that the </w:t>
      </w:r>
      <w:r w:rsidR="00D904C0" w:rsidRPr="00D904C0">
        <w:rPr>
          <w:rFonts w:ascii="Arial" w:eastAsia="Times New Roman" w:hAnsi="Arial" w:cs="Arial"/>
          <w:i/>
          <w:color w:val="242121"/>
          <w:sz w:val="24"/>
          <w:szCs w:val="24"/>
          <w:shd w:val="clear" w:color="auto" w:fill="FFFFFF"/>
          <w:lang w:val="en-ZA" w:eastAsia="en-GB" w:bidi="yi-Hebr"/>
        </w:rPr>
        <w:t>actio communi d</w:t>
      </w:r>
      <w:r w:rsidR="00D904C0">
        <w:rPr>
          <w:rFonts w:ascii="Arial" w:eastAsia="Times New Roman" w:hAnsi="Arial" w:cs="Arial"/>
          <w:i/>
          <w:color w:val="242121"/>
          <w:sz w:val="24"/>
          <w:szCs w:val="24"/>
          <w:shd w:val="clear" w:color="auto" w:fill="FFFFFF"/>
          <w:lang w:val="en-ZA" w:eastAsia="en-GB" w:bidi="yi-Hebr"/>
        </w:rPr>
        <w:t>ividu</w:t>
      </w:r>
      <w:r w:rsidR="00D904C0" w:rsidRPr="00D904C0">
        <w:rPr>
          <w:rFonts w:ascii="Arial" w:eastAsia="Times New Roman" w:hAnsi="Arial" w:cs="Arial"/>
          <w:i/>
          <w:color w:val="242121"/>
          <w:sz w:val="24"/>
          <w:szCs w:val="24"/>
          <w:shd w:val="clear" w:color="auto" w:fill="FFFFFF"/>
          <w:lang w:val="en-ZA" w:eastAsia="en-GB" w:bidi="yi-Hebr"/>
        </w:rPr>
        <w:t>ndo</w:t>
      </w:r>
      <w:r w:rsidR="00D904C0">
        <w:rPr>
          <w:rFonts w:ascii="Arial" w:eastAsia="Times New Roman" w:hAnsi="Arial" w:cs="Arial"/>
          <w:color w:val="242121"/>
          <w:sz w:val="24"/>
          <w:szCs w:val="24"/>
          <w:shd w:val="clear" w:color="auto" w:fill="FFFFFF"/>
          <w:lang w:val="en-ZA" w:eastAsia="en-GB" w:bidi="yi-Hebr"/>
        </w:rPr>
        <w:t xml:space="preserve"> applies to this matter and I shall approach it on that understanding.</w:t>
      </w:r>
    </w:p>
    <w:p w:rsidR="00CE0C53" w:rsidRPr="00CE0C53" w:rsidRDefault="00CE0C53" w:rsidP="00A327D9">
      <w:pPr>
        <w:pStyle w:val="ListParagraph"/>
        <w:tabs>
          <w:tab w:val="left" w:pos="709"/>
        </w:tabs>
        <w:spacing w:after="0" w:line="360" w:lineRule="auto"/>
        <w:ind w:left="0"/>
        <w:jc w:val="both"/>
        <w:rPr>
          <w:rFonts w:ascii="Arial" w:hAnsi="Arial" w:cs="Arial"/>
          <w:color w:val="000000"/>
          <w:sz w:val="24"/>
          <w:szCs w:val="24"/>
        </w:rPr>
      </w:pPr>
    </w:p>
    <w:p w:rsidR="006B458E"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[12]</w:t>
      </w:r>
      <w:r>
        <w:rPr>
          <w:rFonts w:ascii="Arial" w:eastAsiaTheme="minorHAnsi" w:hAnsi="Arial" w:cs="Arial"/>
          <w:color w:val="000000"/>
          <w:lang w:val="en-GB" w:eastAsia="en-US" w:bidi="ar-SA"/>
        </w:rPr>
        <w:tab/>
      </w:r>
      <w:r w:rsidR="00CE0C53" w:rsidRPr="00EF0190">
        <w:rPr>
          <w:rFonts w:ascii="Arial" w:hAnsi="Arial" w:cs="Arial"/>
          <w:color w:val="000000"/>
        </w:rPr>
        <w:t>Th</w:t>
      </w:r>
      <w:r w:rsidR="002E09AF" w:rsidRPr="00EF0190">
        <w:rPr>
          <w:rFonts w:ascii="Arial" w:hAnsi="Arial" w:cs="Arial"/>
          <w:color w:val="000000"/>
        </w:rPr>
        <w:t>e applicant having unequivocally indicated that it seeks to undo the property partnership agreement,</w:t>
      </w:r>
      <w:r w:rsidR="00E1628D" w:rsidRPr="00EF0190">
        <w:rPr>
          <w:rFonts w:ascii="Arial" w:hAnsi="Arial" w:cs="Arial"/>
          <w:color w:val="000000"/>
        </w:rPr>
        <w:t xml:space="preserve"> the respondent </w:t>
      </w:r>
      <w:r w:rsidR="00213824" w:rsidRPr="00EF0190">
        <w:rPr>
          <w:rFonts w:ascii="Arial" w:hAnsi="Arial" w:cs="Arial"/>
          <w:color w:val="000000"/>
        </w:rPr>
        <w:t xml:space="preserve">offers up two </w:t>
      </w:r>
      <w:r w:rsidR="00417D7E" w:rsidRPr="00EF0190">
        <w:rPr>
          <w:rFonts w:ascii="Arial" w:hAnsi="Arial" w:cs="Arial"/>
          <w:color w:val="000000"/>
        </w:rPr>
        <w:t>defence</w:t>
      </w:r>
      <w:r w:rsidR="00213824" w:rsidRPr="00EF0190">
        <w:rPr>
          <w:rFonts w:ascii="Arial" w:hAnsi="Arial" w:cs="Arial"/>
          <w:color w:val="000000"/>
        </w:rPr>
        <w:t>s</w:t>
      </w:r>
      <w:r w:rsidR="00EE0601" w:rsidRPr="00EF0190">
        <w:rPr>
          <w:rFonts w:ascii="Arial" w:hAnsi="Arial" w:cs="Arial"/>
          <w:color w:val="000000"/>
        </w:rPr>
        <w:t xml:space="preserve"> on the merits</w:t>
      </w:r>
      <w:r w:rsidR="00417D7E" w:rsidRPr="00EF0190">
        <w:rPr>
          <w:rFonts w:ascii="Arial" w:hAnsi="Arial" w:cs="Arial"/>
          <w:color w:val="000000"/>
        </w:rPr>
        <w:t xml:space="preserve">. </w:t>
      </w:r>
      <w:r w:rsidR="00213824" w:rsidRPr="00EF0190">
        <w:rPr>
          <w:rFonts w:ascii="Arial" w:hAnsi="Arial" w:cs="Arial"/>
          <w:color w:val="000000"/>
        </w:rPr>
        <w:t>The first</w:t>
      </w:r>
      <w:r w:rsidR="00417D7E" w:rsidRPr="00EF0190">
        <w:rPr>
          <w:rFonts w:ascii="Arial" w:hAnsi="Arial" w:cs="Arial"/>
          <w:color w:val="000000"/>
        </w:rPr>
        <w:t xml:space="preserve"> is that any arrears owing by the respondent to the applicant have been made good.</w:t>
      </w:r>
      <w:r w:rsidR="00EE0601" w:rsidRPr="00EF0190">
        <w:rPr>
          <w:rFonts w:ascii="Arial" w:hAnsi="Arial" w:cs="Arial"/>
          <w:color w:val="000000"/>
        </w:rPr>
        <w:t xml:space="preserve"> The</w:t>
      </w:r>
      <w:r w:rsidR="002E09AF" w:rsidRPr="00EF0190">
        <w:rPr>
          <w:rFonts w:ascii="Arial" w:hAnsi="Arial" w:cs="Arial"/>
          <w:color w:val="000000"/>
        </w:rPr>
        <w:t xml:space="preserve"> respondent states that the</w:t>
      </w:r>
      <w:r w:rsidR="00EE0601" w:rsidRPr="00EF0190">
        <w:rPr>
          <w:rFonts w:ascii="Arial" w:hAnsi="Arial" w:cs="Arial"/>
          <w:color w:val="000000"/>
        </w:rPr>
        <w:t xml:space="preserve"> default</w:t>
      </w:r>
      <w:r w:rsidR="002E09AF" w:rsidRPr="00EF0190">
        <w:rPr>
          <w:rFonts w:ascii="Arial" w:hAnsi="Arial" w:cs="Arial"/>
          <w:color w:val="000000"/>
        </w:rPr>
        <w:t xml:space="preserve"> in making payments</w:t>
      </w:r>
      <w:r w:rsidR="00EE0601" w:rsidRPr="00EF0190">
        <w:rPr>
          <w:rFonts w:ascii="Arial" w:hAnsi="Arial" w:cs="Arial"/>
          <w:color w:val="000000"/>
        </w:rPr>
        <w:t xml:space="preserve"> </w:t>
      </w:r>
      <w:r w:rsidR="006252C8" w:rsidRPr="00EF0190">
        <w:rPr>
          <w:rFonts w:ascii="Arial" w:hAnsi="Arial" w:cs="Arial"/>
          <w:color w:val="000000"/>
        </w:rPr>
        <w:t xml:space="preserve">of which the applicant complains </w:t>
      </w:r>
      <w:r w:rsidR="00EE0601" w:rsidRPr="00EF0190">
        <w:rPr>
          <w:rFonts w:ascii="Arial" w:hAnsi="Arial" w:cs="Arial"/>
          <w:color w:val="000000"/>
        </w:rPr>
        <w:t xml:space="preserve">has been </w:t>
      </w:r>
      <w:r w:rsidR="002E09AF" w:rsidRPr="00EF0190">
        <w:rPr>
          <w:rFonts w:ascii="Arial" w:hAnsi="Arial" w:cs="Arial"/>
          <w:color w:val="000000"/>
        </w:rPr>
        <w:t>rectified</w:t>
      </w:r>
      <w:r w:rsidR="00EE0601" w:rsidRPr="00EF0190">
        <w:rPr>
          <w:rFonts w:ascii="Arial" w:hAnsi="Arial" w:cs="Arial"/>
          <w:color w:val="000000"/>
        </w:rPr>
        <w:t xml:space="preserve"> and </w:t>
      </w:r>
      <w:r w:rsidR="002E09AF" w:rsidRPr="00EF0190">
        <w:rPr>
          <w:rFonts w:ascii="Arial" w:hAnsi="Arial" w:cs="Arial"/>
          <w:color w:val="000000"/>
        </w:rPr>
        <w:t>the respondent</w:t>
      </w:r>
      <w:r w:rsidR="00EE0601" w:rsidRPr="00EF0190">
        <w:rPr>
          <w:rFonts w:ascii="Arial" w:hAnsi="Arial" w:cs="Arial"/>
          <w:color w:val="000000"/>
        </w:rPr>
        <w:t xml:space="preserve"> cannot therefore understand why the applicant persists in seeking the relief that it seeks. </w:t>
      </w:r>
      <w:r w:rsidR="006B458E" w:rsidRPr="00EF0190">
        <w:rPr>
          <w:rFonts w:ascii="Arial" w:hAnsi="Arial" w:cs="Arial"/>
          <w:color w:val="000000"/>
        </w:rPr>
        <w:t>Ms Khan addresses the issue as follows:</w:t>
      </w:r>
    </w:p>
    <w:p w:rsidR="006B458E" w:rsidRPr="006B458E" w:rsidRDefault="006B458E" w:rsidP="00A327D9">
      <w:pPr>
        <w:pStyle w:val="ListParagraph"/>
        <w:tabs>
          <w:tab w:val="left" w:pos="709"/>
        </w:tabs>
        <w:spacing w:after="0" w:line="360" w:lineRule="auto"/>
        <w:ind w:left="0"/>
        <w:jc w:val="both"/>
        <w:rPr>
          <w:rFonts w:ascii="Arial" w:hAnsi="Arial" w:cs="Arial"/>
          <w:color w:val="000000"/>
        </w:rPr>
      </w:pPr>
      <w:r w:rsidRPr="006B458E">
        <w:rPr>
          <w:rFonts w:ascii="Arial" w:hAnsi="Arial" w:cs="Arial"/>
          <w:color w:val="000000"/>
        </w:rPr>
        <w:lastRenderedPageBreak/>
        <w:t>‘While there was a time where the Respondent had fallen in arrears with such payments, these payments were brought up to date in full on 19 July 2022 when an amount of R142 651.19 was paid.’</w:t>
      </w:r>
    </w:p>
    <w:p w:rsidR="006B458E" w:rsidRDefault="006B458E" w:rsidP="00A327D9">
      <w:pPr>
        <w:pStyle w:val="ListParagraph"/>
        <w:tabs>
          <w:tab w:val="left" w:pos="709"/>
        </w:tabs>
        <w:spacing w:after="0" w:line="360" w:lineRule="auto"/>
        <w:ind w:left="0"/>
        <w:jc w:val="both"/>
        <w:rPr>
          <w:rFonts w:ascii="Arial" w:hAnsi="Arial" w:cs="Arial"/>
          <w:color w:val="000000"/>
          <w:sz w:val="24"/>
          <w:szCs w:val="24"/>
        </w:rPr>
      </w:pPr>
    </w:p>
    <w:p w:rsidR="00042952"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[13]</w:t>
      </w:r>
      <w:r>
        <w:rPr>
          <w:rFonts w:ascii="Arial" w:eastAsiaTheme="minorHAnsi" w:hAnsi="Arial" w:cs="Arial"/>
          <w:color w:val="000000"/>
          <w:lang w:val="en-GB" w:eastAsia="en-US" w:bidi="ar-SA"/>
        </w:rPr>
        <w:tab/>
      </w:r>
      <w:r w:rsidR="00EE0601" w:rsidRPr="00EF0190">
        <w:rPr>
          <w:rFonts w:ascii="Arial" w:hAnsi="Arial" w:cs="Arial"/>
          <w:color w:val="000000"/>
        </w:rPr>
        <w:t xml:space="preserve">The </w:t>
      </w:r>
      <w:r w:rsidR="00213824" w:rsidRPr="00EF0190">
        <w:rPr>
          <w:rFonts w:ascii="Arial" w:hAnsi="Arial" w:cs="Arial"/>
          <w:color w:val="000000"/>
        </w:rPr>
        <w:t xml:space="preserve">second </w:t>
      </w:r>
      <w:r w:rsidR="006B458E" w:rsidRPr="00EF0190">
        <w:rPr>
          <w:rFonts w:ascii="Arial" w:hAnsi="Arial" w:cs="Arial"/>
          <w:color w:val="000000"/>
        </w:rPr>
        <w:t xml:space="preserve">defence </w:t>
      </w:r>
      <w:r w:rsidR="00213824" w:rsidRPr="00EF0190">
        <w:rPr>
          <w:rFonts w:ascii="Arial" w:hAnsi="Arial" w:cs="Arial"/>
          <w:color w:val="000000"/>
        </w:rPr>
        <w:t xml:space="preserve">is that </w:t>
      </w:r>
      <w:r w:rsidR="00EE0601" w:rsidRPr="00EF0190">
        <w:rPr>
          <w:rFonts w:ascii="Arial" w:hAnsi="Arial" w:cs="Arial"/>
          <w:color w:val="000000"/>
        </w:rPr>
        <w:t>whilst the immovable property is registered in the name of a juristic entity, it is a domestic residence with warm bodied persons who reside there. Those persons</w:t>
      </w:r>
      <w:r w:rsidR="00213824" w:rsidRPr="00EF0190">
        <w:rPr>
          <w:rFonts w:ascii="Arial" w:hAnsi="Arial" w:cs="Arial"/>
          <w:color w:val="000000"/>
        </w:rPr>
        <w:t>, according to the respondent,</w:t>
      </w:r>
      <w:r w:rsidR="00EE0601" w:rsidRPr="00EF0190">
        <w:rPr>
          <w:rFonts w:ascii="Arial" w:hAnsi="Arial" w:cs="Arial"/>
          <w:color w:val="000000"/>
        </w:rPr>
        <w:t xml:space="preserve"> are entitled to the protection of </w:t>
      </w:r>
      <w:r w:rsidR="00213824" w:rsidRPr="00EF0190">
        <w:rPr>
          <w:rFonts w:ascii="Arial" w:hAnsi="Arial" w:cs="Arial"/>
          <w:color w:val="000000"/>
        </w:rPr>
        <w:t>section 26 of the Constitution</w:t>
      </w:r>
      <w:r w:rsidR="002E09AF" w:rsidRPr="00EF0190">
        <w:rPr>
          <w:rFonts w:ascii="Arial" w:hAnsi="Arial" w:cs="Arial"/>
          <w:color w:val="000000"/>
        </w:rPr>
        <w:t xml:space="preserve"> and Uniform Rules 46 and 46A respectively.</w:t>
      </w:r>
    </w:p>
    <w:p w:rsidR="00A327D9" w:rsidRDefault="00A327D9" w:rsidP="00A327D9">
      <w:pPr>
        <w:pStyle w:val="ListParagraph"/>
        <w:tabs>
          <w:tab w:val="left" w:pos="709"/>
        </w:tabs>
        <w:spacing w:after="0" w:line="360" w:lineRule="auto"/>
        <w:ind w:left="0"/>
        <w:jc w:val="both"/>
        <w:rPr>
          <w:rFonts w:ascii="Arial" w:hAnsi="Arial" w:cs="Arial"/>
          <w:color w:val="000000"/>
          <w:sz w:val="24"/>
          <w:szCs w:val="24"/>
        </w:rPr>
      </w:pPr>
    </w:p>
    <w:p w:rsidR="008B601C" w:rsidRPr="00EF0190" w:rsidRDefault="00EF0190" w:rsidP="00EF0190">
      <w:pPr>
        <w:tabs>
          <w:tab w:val="left" w:pos="709"/>
        </w:tabs>
        <w:spacing w:line="360" w:lineRule="auto"/>
        <w:jc w:val="both"/>
        <w:rPr>
          <w:rFonts w:ascii="Arial" w:hAnsi="Arial" w:cs="Arial"/>
          <w:color w:val="000000"/>
        </w:rPr>
      </w:pPr>
      <w:r w:rsidRPr="00A327D9">
        <w:rPr>
          <w:rFonts w:ascii="Arial" w:eastAsiaTheme="minorHAnsi" w:hAnsi="Arial" w:cs="Arial"/>
          <w:color w:val="000000"/>
          <w:lang w:val="en-GB" w:eastAsia="en-US" w:bidi="ar-SA"/>
        </w:rPr>
        <w:t>[14]</w:t>
      </w:r>
      <w:r w:rsidRPr="00A327D9">
        <w:rPr>
          <w:rFonts w:ascii="Arial" w:eastAsiaTheme="minorHAnsi" w:hAnsi="Arial" w:cs="Arial"/>
          <w:color w:val="000000"/>
          <w:lang w:val="en-GB" w:eastAsia="en-US" w:bidi="ar-SA"/>
        </w:rPr>
        <w:tab/>
      </w:r>
      <w:r w:rsidR="00CE0C53" w:rsidRPr="00EF0190">
        <w:rPr>
          <w:rFonts w:ascii="Arial" w:hAnsi="Arial" w:cs="Arial"/>
          <w:color w:val="000000"/>
        </w:rPr>
        <w:t>Inherent in th</w:t>
      </w:r>
      <w:r w:rsidR="00213824" w:rsidRPr="00EF0190">
        <w:rPr>
          <w:rFonts w:ascii="Arial" w:hAnsi="Arial" w:cs="Arial"/>
          <w:color w:val="000000"/>
        </w:rPr>
        <w:t>e first</w:t>
      </w:r>
      <w:r w:rsidR="00CE0C53" w:rsidRPr="00EF0190">
        <w:rPr>
          <w:rFonts w:ascii="Arial" w:hAnsi="Arial" w:cs="Arial"/>
          <w:color w:val="000000"/>
        </w:rPr>
        <w:t xml:space="preserve"> defence is an admission by the respondent that </w:t>
      </w:r>
      <w:r w:rsidR="00EE0601" w:rsidRPr="00EF0190">
        <w:rPr>
          <w:rFonts w:ascii="Arial" w:hAnsi="Arial" w:cs="Arial"/>
          <w:color w:val="000000"/>
        </w:rPr>
        <w:t xml:space="preserve">it failed to maintain its agreed payments to the applicant. </w:t>
      </w:r>
      <w:r w:rsidR="006252C8" w:rsidRPr="00EF0190">
        <w:rPr>
          <w:rFonts w:ascii="Arial" w:hAnsi="Arial" w:cs="Arial"/>
          <w:color w:val="000000"/>
        </w:rPr>
        <w:t>For arrears to be made good, there must</w:t>
      </w:r>
      <w:r w:rsidR="008B601C" w:rsidRPr="00EF0190">
        <w:rPr>
          <w:rFonts w:ascii="Arial" w:hAnsi="Arial" w:cs="Arial"/>
          <w:color w:val="000000"/>
        </w:rPr>
        <w:t>,</w:t>
      </w:r>
      <w:r w:rsidR="006252C8" w:rsidRPr="00EF0190">
        <w:rPr>
          <w:rFonts w:ascii="Arial" w:hAnsi="Arial" w:cs="Arial"/>
          <w:color w:val="000000"/>
        </w:rPr>
        <w:t xml:space="preserve"> a fortiori</w:t>
      </w:r>
      <w:r w:rsidR="008B601C" w:rsidRPr="00EF0190">
        <w:rPr>
          <w:rFonts w:ascii="Arial" w:hAnsi="Arial" w:cs="Arial"/>
          <w:color w:val="000000"/>
        </w:rPr>
        <w:t>,</w:t>
      </w:r>
      <w:r w:rsidR="006252C8" w:rsidRPr="00EF0190">
        <w:rPr>
          <w:rFonts w:ascii="Arial" w:hAnsi="Arial" w:cs="Arial"/>
          <w:color w:val="000000"/>
        </w:rPr>
        <w:t xml:space="preserve"> be arrears. </w:t>
      </w:r>
      <w:r w:rsidR="00213824" w:rsidRPr="00EF0190">
        <w:rPr>
          <w:rFonts w:ascii="Arial" w:hAnsi="Arial" w:cs="Arial"/>
          <w:color w:val="000000"/>
        </w:rPr>
        <w:t>And f</w:t>
      </w:r>
      <w:r w:rsidR="008B601C" w:rsidRPr="00EF0190">
        <w:rPr>
          <w:rFonts w:ascii="Arial" w:hAnsi="Arial" w:cs="Arial"/>
          <w:color w:val="000000"/>
        </w:rPr>
        <w:t xml:space="preserve">or arrears to exist, </w:t>
      </w:r>
      <w:r w:rsidR="00213824" w:rsidRPr="00EF0190">
        <w:rPr>
          <w:rFonts w:ascii="Arial" w:hAnsi="Arial" w:cs="Arial"/>
          <w:color w:val="000000"/>
        </w:rPr>
        <w:t>there must generally be a failure to comply with a payment obligation.</w:t>
      </w:r>
      <w:r w:rsidR="008B601C" w:rsidRPr="00EF0190">
        <w:rPr>
          <w:rFonts w:ascii="Arial" w:hAnsi="Arial" w:cs="Arial"/>
          <w:color w:val="000000"/>
        </w:rPr>
        <w:t xml:space="preserve"> The respondent,</w:t>
      </w:r>
      <w:r w:rsidR="00EE0601" w:rsidRPr="00EF0190">
        <w:rPr>
          <w:rFonts w:ascii="Arial" w:hAnsi="Arial" w:cs="Arial"/>
          <w:color w:val="000000"/>
        </w:rPr>
        <w:t xml:space="preserve"> however, denies that the applicant </w:t>
      </w:r>
      <w:r w:rsidR="00CC5EB7" w:rsidRPr="00EF0190">
        <w:rPr>
          <w:rFonts w:ascii="Arial" w:hAnsi="Arial" w:cs="Arial"/>
          <w:color w:val="000000"/>
        </w:rPr>
        <w:t xml:space="preserve">sent it a breach letter followed by the cancellation letter and </w:t>
      </w:r>
      <w:r w:rsidR="006252C8" w:rsidRPr="00EF0190">
        <w:rPr>
          <w:rFonts w:ascii="Arial" w:hAnsi="Arial" w:cs="Arial"/>
          <w:color w:val="000000"/>
        </w:rPr>
        <w:t xml:space="preserve">it therefore denies </w:t>
      </w:r>
      <w:r w:rsidR="00CC5EB7" w:rsidRPr="00EF0190">
        <w:rPr>
          <w:rFonts w:ascii="Arial" w:hAnsi="Arial" w:cs="Arial"/>
          <w:color w:val="000000"/>
        </w:rPr>
        <w:t xml:space="preserve">that the applicant consequently </w:t>
      </w:r>
      <w:r w:rsidR="00EE0601" w:rsidRPr="00EF0190">
        <w:rPr>
          <w:rFonts w:ascii="Arial" w:hAnsi="Arial" w:cs="Arial"/>
          <w:color w:val="000000"/>
        </w:rPr>
        <w:t xml:space="preserve">cancelled the agreements on </w:t>
      </w:r>
      <w:r w:rsidR="00F153AB" w:rsidRPr="00EF0190">
        <w:rPr>
          <w:rFonts w:ascii="Arial" w:hAnsi="Arial" w:cs="Arial"/>
          <w:color w:val="000000"/>
        </w:rPr>
        <w:t xml:space="preserve">18 November </w:t>
      </w:r>
      <w:r w:rsidR="00EE0601" w:rsidRPr="00EF0190">
        <w:rPr>
          <w:rFonts w:ascii="Arial" w:hAnsi="Arial" w:cs="Arial"/>
          <w:color w:val="000000"/>
        </w:rPr>
        <w:t>2021.</w:t>
      </w:r>
      <w:r w:rsidR="00F153AB" w:rsidRPr="00EF0190">
        <w:rPr>
          <w:rFonts w:ascii="Arial" w:hAnsi="Arial" w:cs="Arial"/>
          <w:color w:val="000000"/>
        </w:rPr>
        <w:t xml:space="preserve"> </w:t>
      </w:r>
    </w:p>
    <w:p w:rsidR="009C12B5" w:rsidRPr="008B601C" w:rsidRDefault="009C12B5" w:rsidP="00A327D9">
      <w:pPr>
        <w:pStyle w:val="ListParagraph"/>
        <w:tabs>
          <w:tab w:val="left" w:pos="709"/>
        </w:tabs>
        <w:spacing w:after="0" w:line="360" w:lineRule="auto"/>
        <w:ind w:left="0"/>
        <w:jc w:val="both"/>
        <w:rPr>
          <w:rFonts w:ascii="Arial" w:hAnsi="Arial" w:cs="Arial"/>
          <w:color w:val="000000"/>
          <w:sz w:val="24"/>
          <w:szCs w:val="24"/>
          <w:highlight w:val="yellow"/>
        </w:rPr>
      </w:pPr>
    </w:p>
    <w:p w:rsidR="00F153AB"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[15]</w:t>
      </w:r>
      <w:r>
        <w:rPr>
          <w:rFonts w:ascii="Arial" w:eastAsiaTheme="minorHAnsi" w:hAnsi="Arial" w:cs="Arial"/>
          <w:color w:val="000000"/>
          <w:lang w:val="en-GB" w:eastAsia="en-US" w:bidi="ar-SA"/>
        </w:rPr>
        <w:tab/>
      </w:r>
      <w:r w:rsidR="00F153AB" w:rsidRPr="00EF0190">
        <w:rPr>
          <w:rFonts w:ascii="Arial" w:hAnsi="Arial" w:cs="Arial"/>
          <w:color w:val="000000"/>
        </w:rPr>
        <w:t>Th</w:t>
      </w:r>
      <w:r w:rsidR="00CC5EB7" w:rsidRPr="00EF0190">
        <w:rPr>
          <w:rFonts w:ascii="Arial" w:hAnsi="Arial" w:cs="Arial"/>
          <w:color w:val="000000"/>
        </w:rPr>
        <w:t>ese</w:t>
      </w:r>
      <w:r w:rsidR="00D029F6" w:rsidRPr="00EF0190">
        <w:rPr>
          <w:rFonts w:ascii="Arial" w:hAnsi="Arial" w:cs="Arial"/>
          <w:color w:val="000000"/>
        </w:rPr>
        <w:t xml:space="preserve"> appear to me to be u</w:t>
      </w:r>
      <w:r w:rsidR="00F153AB" w:rsidRPr="00EF0190">
        <w:rPr>
          <w:rFonts w:ascii="Arial" w:hAnsi="Arial" w:cs="Arial"/>
          <w:color w:val="000000"/>
        </w:rPr>
        <w:t>nmeritorious denial</w:t>
      </w:r>
      <w:r w:rsidR="00CC5EB7" w:rsidRPr="00EF0190">
        <w:rPr>
          <w:rFonts w:ascii="Arial" w:hAnsi="Arial" w:cs="Arial"/>
          <w:color w:val="000000"/>
        </w:rPr>
        <w:t>s</w:t>
      </w:r>
      <w:r w:rsidR="00F153AB" w:rsidRPr="00EF0190">
        <w:rPr>
          <w:rFonts w:ascii="Arial" w:hAnsi="Arial" w:cs="Arial"/>
          <w:color w:val="000000"/>
        </w:rPr>
        <w:t>.</w:t>
      </w:r>
      <w:r w:rsidR="00CC5EB7" w:rsidRPr="00EF0190">
        <w:rPr>
          <w:rFonts w:ascii="Arial" w:hAnsi="Arial" w:cs="Arial"/>
          <w:color w:val="000000"/>
        </w:rPr>
        <w:t xml:space="preserve"> </w:t>
      </w:r>
      <w:r w:rsidR="00D029F6" w:rsidRPr="00EF0190">
        <w:rPr>
          <w:rFonts w:ascii="Arial" w:hAnsi="Arial" w:cs="Arial"/>
          <w:color w:val="000000"/>
        </w:rPr>
        <w:t>The breach letter was addressed to the respondent’s guiding mind, Ms Khan, at an email address and to a Mr Khan, also at an email address. There is no denial by either of them that the email addresses are not theirs. Th</w:t>
      </w:r>
      <w:r w:rsidR="00CC5EB7" w:rsidRPr="00EF0190">
        <w:rPr>
          <w:rFonts w:ascii="Arial" w:hAnsi="Arial" w:cs="Arial"/>
          <w:color w:val="000000"/>
        </w:rPr>
        <w:t xml:space="preserve">e breach letter </w:t>
      </w:r>
      <w:r w:rsidR="00D029F6" w:rsidRPr="00EF0190">
        <w:rPr>
          <w:rFonts w:ascii="Arial" w:hAnsi="Arial" w:cs="Arial"/>
          <w:color w:val="000000"/>
        </w:rPr>
        <w:t xml:space="preserve">physically </w:t>
      </w:r>
      <w:r w:rsidR="00CC5EB7" w:rsidRPr="00EF0190">
        <w:rPr>
          <w:rFonts w:ascii="Arial" w:hAnsi="Arial" w:cs="Arial"/>
          <w:color w:val="000000"/>
        </w:rPr>
        <w:t>exists and is appended to the founding affidavit. The c</w:t>
      </w:r>
      <w:r w:rsidR="00F153AB" w:rsidRPr="00EF0190">
        <w:rPr>
          <w:rFonts w:ascii="Arial" w:hAnsi="Arial" w:cs="Arial"/>
          <w:color w:val="000000"/>
        </w:rPr>
        <w:t xml:space="preserve">ancellation letter </w:t>
      </w:r>
      <w:r w:rsidR="00CC5EB7" w:rsidRPr="00EF0190">
        <w:rPr>
          <w:rFonts w:ascii="Arial" w:hAnsi="Arial" w:cs="Arial"/>
          <w:color w:val="000000"/>
        </w:rPr>
        <w:t xml:space="preserve">also </w:t>
      </w:r>
      <w:r w:rsidR="00D029F6" w:rsidRPr="00EF0190">
        <w:rPr>
          <w:rFonts w:ascii="Arial" w:hAnsi="Arial" w:cs="Arial"/>
          <w:color w:val="000000"/>
        </w:rPr>
        <w:t xml:space="preserve">physically </w:t>
      </w:r>
      <w:r w:rsidR="00F153AB" w:rsidRPr="00EF0190">
        <w:rPr>
          <w:rFonts w:ascii="Arial" w:hAnsi="Arial" w:cs="Arial"/>
          <w:color w:val="000000"/>
        </w:rPr>
        <w:t xml:space="preserve">exists and is </w:t>
      </w:r>
      <w:r w:rsidR="00CC5EB7" w:rsidRPr="00EF0190">
        <w:rPr>
          <w:rFonts w:ascii="Arial" w:hAnsi="Arial" w:cs="Arial"/>
          <w:color w:val="000000"/>
        </w:rPr>
        <w:t xml:space="preserve">likewise </w:t>
      </w:r>
      <w:r w:rsidR="00F153AB" w:rsidRPr="00EF0190">
        <w:rPr>
          <w:rFonts w:ascii="Arial" w:hAnsi="Arial" w:cs="Arial"/>
          <w:color w:val="000000"/>
        </w:rPr>
        <w:t xml:space="preserve">appended to the founding </w:t>
      </w:r>
      <w:r w:rsidR="00CC5EB7" w:rsidRPr="00EF0190">
        <w:rPr>
          <w:rFonts w:ascii="Arial" w:hAnsi="Arial" w:cs="Arial"/>
          <w:color w:val="000000"/>
        </w:rPr>
        <w:t>affidavit as an annexure</w:t>
      </w:r>
      <w:r w:rsidR="00F153AB" w:rsidRPr="00EF0190">
        <w:rPr>
          <w:rFonts w:ascii="Arial" w:hAnsi="Arial" w:cs="Arial"/>
          <w:color w:val="000000"/>
        </w:rPr>
        <w:t>.</w:t>
      </w:r>
      <w:r w:rsidR="00CC5EB7" w:rsidRPr="00EF0190">
        <w:rPr>
          <w:rFonts w:ascii="Arial" w:hAnsi="Arial" w:cs="Arial"/>
          <w:color w:val="000000"/>
        </w:rPr>
        <w:t xml:space="preserve"> </w:t>
      </w:r>
      <w:r w:rsidR="00D029F6" w:rsidRPr="00EF0190">
        <w:rPr>
          <w:rFonts w:ascii="Arial" w:hAnsi="Arial" w:cs="Arial"/>
          <w:color w:val="000000"/>
        </w:rPr>
        <w:t xml:space="preserve">It is addressed to Ms Khan by way of an email address and it was also sent by registered mail. There is no indication that it was not received by Ms Khan. </w:t>
      </w:r>
      <w:r w:rsidR="00BF187F" w:rsidRPr="00EF0190">
        <w:rPr>
          <w:rFonts w:ascii="Arial" w:hAnsi="Arial" w:cs="Arial"/>
          <w:color w:val="000000"/>
        </w:rPr>
        <w:t>Both</w:t>
      </w:r>
      <w:r w:rsidR="00D029F6" w:rsidRPr="00EF0190">
        <w:rPr>
          <w:rFonts w:ascii="Arial" w:hAnsi="Arial" w:cs="Arial"/>
          <w:color w:val="000000"/>
        </w:rPr>
        <w:t xml:space="preserve"> letters</w:t>
      </w:r>
      <w:r w:rsidR="00BF187F" w:rsidRPr="00EF0190">
        <w:rPr>
          <w:rFonts w:ascii="Arial" w:hAnsi="Arial" w:cs="Arial"/>
          <w:color w:val="000000"/>
        </w:rPr>
        <w:t xml:space="preserve"> were drafte</w:t>
      </w:r>
      <w:r w:rsidR="00D029F6" w:rsidRPr="00EF0190">
        <w:rPr>
          <w:rFonts w:ascii="Arial" w:hAnsi="Arial" w:cs="Arial"/>
          <w:color w:val="000000"/>
        </w:rPr>
        <w:t xml:space="preserve">d by the applicant’s attorneys. </w:t>
      </w:r>
      <w:r w:rsidR="00BF187F" w:rsidRPr="00EF0190">
        <w:rPr>
          <w:rFonts w:ascii="Arial" w:hAnsi="Arial" w:cs="Arial"/>
          <w:color w:val="000000"/>
        </w:rPr>
        <w:t>The cancellation letter, dated 18 November 2021</w:t>
      </w:r>
      <w:r w:rsidR="00F54D8B" w:rsidRPr="00EF0190">
        <w:rPr>
          <w:rFonts w:ascii="Arial" w:hAnsi="Arial" w:cs="Arial"/>
          <w:color w:val="000000"/>
        </w:rPr>
        <w:t xml:space="preserve">, </w:t>
      </w:r>
      <w:r w:rsidR="00CC5EB7" w:rsidRPr="00EF0190">
        <w:rPr>
          <w:rFonts w:ascii="Arial" w:hAnsi="Arial" w:cs="Arial"/>
          <w:color w:val="000000"/>
        </w:rPr>
        <w:t>comprises</w:t>
      </w:r>
      <w:r w:rsidR="00F153AB" w:rsidRPr="00EF0190">
        <w:rPr>
          <w:rFonts w:ascii="Arial" w:hAnsi="Arial" w:cs="Arial"/>
          <w:color w:val="000000"/>
        </w:rPr>
        <w:t xml:space="preserve"> three pages and is exquisitely detailed: it sets out the entire history of the relationship of the parties and at paragraph 16 thereof the following appears:</w:t>
      </w:r>
    </w:p>
    <w:p w:rsidR="00F153AB" w:rsidRDefault="00F153AB" w:rsidP="00A327D9">
      <w:pPr>
        <w:pStyle w:val="ListParagraph"/>
        <w:tabs>
          <w:tab w:val="left" w:pos="709"/>
        </w:tabs>
        <w:spacing w:after="0" w:line="360" w:lineRule="auto"/>
        <w:ind w:left="0"/>
        <w:jc w:val="both"/>
        <w:rPr>
          <w:rFonts w:ascii="Arial" w:hAnsi="Arial" w:cs="Arial"/>
          <w:color w:val="000000"/>
        </w:rPr>
      </w:pPr>
      <w:r w:rsidRPr="00CC5EB7">
        <w:rPr>
          <w:rFonts w:ascii="Arial" w:hAnsi="Arial" w:cs="Arial"/>
          <w:color w:val="000000"/>
        </w:rPr>
        <w:t>‘As a result, and duly instructed by our client</w:t>
      </w:r>
      <w:r w:rsidR="00CC5EB7" w:rsidRPr="00CC5EB7">
        <w:rPr>
          <w:rFonts w:ascii="Arial" w:hAnsi="Arial" w:cs="Arial"/>
          <w:color w:val="000000"/>
        </w:rPr>
        <w:t>, we hereby give you NOTICE of our client’s TERMINATION of the MUSHARAKA FINANCE AGREEMENT in respect of the property with immediate effect.’</w:t>
      </w:r>
      <w:r w:rsidRPr="00CC5EB7">
        <w:rPr>
          <w:rFonts w:ascii="Arial" w:hAnsi="Arial" w:cs="Arial"/>
          <w:color w:val="000000"/>
        </w:rPr>
        <w:t xml:space="preserve"> </w:t>
      </w:r>
    </w:p>
    <w:p w:rsidR="009C12B5" w:rsidRDefault="009C12B5" w:rsidP="00A327D9">
      <w:pPr>
        <w:pStyle w:val="ListParagraph"/>
        <w:tabs>
          <w:tab w:val="left" w:pos="709"/>
        </w:tabs>
        <w:spacing w:after="0" w:line="360" w:lineRule="auto"/>
        <w:ind w:left="0"/>
        <w:jc w:val="both"/>
        <w:rPr>
          <w:rFonts w:ascii="Arial" w:hAnsi="Arial" w:cs="Arial"/>
          <w:color w:val="000000"/>
          <w:sz w:val="24"/>
          <w:szCs w:val="24"/>
        </w:rPr>
      </w:pPr>
    </w:p>
    <w:p w:rsidR="00042952" w:rsidRPr="00EF0190" w:rsidRDefault="00EF0190" w:rsidP="00EF0190">
      <w:pPr>
        <w:tabs>
          <w:tab w:val="left" w:pos="709"/>
        </w:tabs>
        <w:spacing w:line="360" w:lineRule="auto"/>
        <w:jc w:val="both"/>
        <w:rPr>
          <w:rFonts w:ascii="Arial" w:hAnsi="Arial" w:cs="Arial"/>
          <w:color w:val="000000"/>
        </w:rPr>
      </w:pPr>
      <w:r w:rsidRPr="009C12B5">
        <w:rPr>
          <w:rFonts w:ascii="Arial" w:eastAsiaTheme="minorHAnsi" w:hAnsi="Arial" w:cs="Arial"/>
          <w:color w:val="000000"/>
          <w:lang w:val="en-GB" w:eastAsia="en-US" w:bidi="ar-SA"/>
        </w:rPr>
        <w:t>[16]</w:t>
      </w:r>
      <w:r w:rsidRPr="009C12B5">
        <w:rPr>
          <w:rFonts w:ascii="Arial" w:eastAsiaTheme="minorHAnsi" w:hAnsi="Arial" w:cs="Arial"/>
          <w:color w:val="000000"/>
          <w:lang w:val="en-GB" w:eastAsia="en-US" w:bidi="ar-SA"/>
        </w:rPr>
        <w:tab/>
      </w:r>
      <w:r w:rsidR="002605F6" w:rsidRPr="00EF0190">
        <w:rPr>
          <w:rFonts w:ascii="Arial" w:hAnsi="Arial" w:cs="Arial"/>
          <w:color w:val="000000"/>
        </w:rPr>
        <w:t xml:space="preserve">Mr Tucker very fairly conceded that the respondent had not acted in terms of the demand made of it to rectify its conduct. </w:t>
      </w:r>
      <w:r w:rsidR="00CC5EB7" w:rsidRPr="00EF0190">
        <w:rPr>
          <w:rFonts w:ascii="Arial" w:hAnsi="Arial" w:cs="Arial"/>
          <w:color w:val="000000"/>
        </w:rPr>
        <w:t>Despite the respondent’s denial</w:t>
      </w:r>
      <w:r w:rsidR="009C12B5" w:rsidRPr="00EF0190">
        <w:rPr>
          <w:rFonts w:ascii="Arial" w:hAnsi="Arial" w:cs="Arial"/>
          <w:color w:val="000000"/>
        </w:rPr>
        <w:t xml:space="preserve"> on the </w:t>
      </w:r>
      <w:r w:rsidR="009C12B5" w:rsidRPr="00EF0190">
        <w:rPr>
          <w:rFonts w:ascii="Arial" w:hAnsi="Arial" w:cs="Arial"/>
          <w:color w:val="000000"/>
        </w:rPr>
        <w:lastRenderedPageBreak/>
        <w:t>papers</w:t>
      </w:r>
      <w:r w:rsidR="00CC5EB7" w:rsidRPr="00EF0190">
        <w:rPr>
          <w:rFonts w:ascii="Arial" w:hAnsi="Arial" w:cs="Arial"/>
          <w:color w:val="000000"/>
        </w:rPr>
        <w:t xml:space="preserve">, I must therefore find that </w:t>
      </w:r>
      <w:r w:rsidR="008B601C" w:rsidRPr="00EF0190">
        <w:rPr>
          <w:rFonts w:ascii="Arial" w:hAnsi="Arial" w:cs="Arial"/>
          <w:color w:val="000000"/>
        </w:rPr>
        <w:t xml:space="preserve">due and proper notice was given and the </w:t>
      </w:r>
      <w:r w:rsidR="006252C8" w:rsidRPr="00EF0190">
        <w:rPr>
          <w:rFonts w:ascii="Arial" w:hAnsi="Arial" w:cs="Arial"/>
          <w:color w:val="000000"/>
        </w:rPr>
        <w:t>m</w:t>
      </w:r>
      <w:r w:rsidR="00CC5EB7" w:rsidRPr="00EF0190">
        <w:rPr>
          <w:rFonts w:ascii="Arial" w:hAnsi="Arial" w:cs="Arial"/>
          <w:color w:val="000000"/>
        </w:rPr>
        <w:t>usharaka agreement has been cancelled.</w:t>
      </w:r>
    </w:p>
    <w:p w:rsidR="00F153AB" w:rsidRPr="00F153AB" w:rsidRDefault="00F153AB" w:rsidP="00A327D9">
      <w:pPr>
        <w:pStyle w:val="ListParagraph"/>
        <w:spacing w:after="0" w:line="360" w:lineRule="auto"/>
        <w:rPr>
          <w:rFonts w:ascii="Arial" w:hAnsi="Arial" w:cs="Arial"/>
          <w:color w:val="000000"/>
          <w:sz w:val="24"/>
          <w:szCs w:val="24"/>
        </w:rPr>
      </w:pPr>
    </w:p>
    <w:p w:rsidR="009C12B5"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[17]</w:t>
      </w:r>
      <w:r>
        <w:rPr>
          <w:rFonts w:ascii="Arial" w:eastAsiaTheme="minorHAnsi" w:hAnsi="Arial" w:cs="Arial"/>
          <w:color w:val="000000"/>
          <w:lang w:val="en-GB" w:eastAsia="en-US" w:bidi="ar-SA"/>
        </w:rPr>
        <w:tab/>
      </w:r>
      <w:r w:rsidR="00F153AB" w:rsidRPr="00EF0190">
        <w:rPr>
          <w:rFonts w:ascii="Arial" w:hAnsi="Arial" w:cs="Arial"/>
          <w:color w:val="000000"/>
        </w:rPr>
        <w:t xml:space="preserve"> </w:t>
      </w:r>
      <w:r w:rsidR="009C12B5" w:rsidRPr="00EF0190">
        <w:rPr>
          <w:rFonts w:ascii="Arial" w:hAnsi="Arial" w:cs="Arial"/>
          <w:color w:val="000000"/>
        </w:rPr>
        <w:t xml:space="preserve">Mr Tucker also submitted that the cancellation of the musharaka agreement did not necessarily lead to the cancellation of the other agreements concluded. However, both the unilateral promise agreement and the overriding agreement reference the musharaka agreement. The three agreements are clearly to be construed as being inextricably linked the one to the other and the cancellation of the musharaka agreement brings the entire scheme to an end. </w:t>
      </w:r>
    </w:p>
    <w:p w:rsidR="009C12B5" w:rsidRPr="009C12B5" w:rsidRDefault="009C12B5" w:rsidP="00A327D9">
      <w:pPr>
        <w:pStyle w:val="ListParagraph"/>
        <w:spacing w:after="0" w:line="360" w:lineRule="auto"/>
        <w:rPr>
          <w:rFonts w:ascii="Arial" w:hAnsi="Arial" w:cs="Arial"/>
          <w:color w:val="000000"/>
          <w:sz w:val="24"/>
          <w:szCs w:val="24"/>
        </w:rPr>
      </w:pPr>
    </w:p>
    <w:p w:rsidR="002605F6" w:rsidRPr="00EF0190" w:rsidRDefault="00EF0190" w:rsidP="00EF0190">
      <w:pPr>
        <w:tabs>
          <w:tab w:val="left" w:pos="709"/>
        </w:tabs>
        <w:spacing w:line="360" w:lineRule="auto"/>
        <w:jc w:val="both"/>
        <w:rPr>
          <w:rFonts w:ascii="Arial" w:hAnsi="Arial" w:cs="Arial"/>
          <w:color w:val="000000"/>
        </w:rPr>
      </w:pPr>
      <w:r w:rsidRPr="002605F6">
        <w:rPr>
          <w:rFonts w:ascii="Arial" w:eastAsiaTheme="minorHAnsi" w:hAnsi="Arial" w:cs="Arial"/>
          <w:color w:val="000000"/>
          <w:lang w:val="en-GB" w:eastAsia="en-US" w:bidi="ar-SA"/>
        </w:rPr>
        <w:t>[18]</w:t>
      </w:r>
      <w:r w:rsidRPr="002605F6">
        <w:rPr>
          <w:rFonts w:ascii="Arial" w:eastAsiaTheme="minorHAnsi" w:hAnsi="Arial" w:cs="Arial"/>
          <w:color w:val="000000"/>
          <w:lang w:val="en-GB" w:eastAsia="en-US" w:bidi="ar-SA"/>
        </w:rPr>
        <w:tab/>
      </w:r>
      <w:r w:rsidR="00F54D8B" w:rsidRPr="00EF0190">
        <w:rPr>
          <w:rFonts w:ascii="Arial" w:hAnsi="Arial" w:cs="Arial"/>
          <w:color w:val="000000"/>
        </w:rPr>
        <w:t xml:space="preserve">The </w:t>
      </w:r>
      <w:r w:rsidR="005D2C20" w:rsidRPr="00EF0190">
        <w:rPr>
          <w:rFonts w:ascii="Arial" w:hAnsi="Arial" w:cs="Arial"/>
          <w:color w:val="000000"/>
        </w:rPr>
        <w:t xml:space="preserve">respondent alleges that its admitted arrears have been expunged because of a payment of the amount of </w:t>
      </w:r>
      <w:r w:rsidR="006B458E" w:rsidRPr="00EF0190">
        <w:rPr>
          <w:rFonts w:ascii="Arial" w:hAnsi="Arial" w:cs="Arial"/>
          <w:color w:val="000000"/>
        </w:rPr>
        <w:t xml:space="preserve">R142 651.19 </w:t>
      </w:r>
      <w:r w:rsidR="005D2C20" w:rsidRPr="00EF0190">
        <w:rPr>
          <w:rFonts w:ascii="Arial" w:hAnsi="Arial" w:cs="Arial"/>
          <w:color w:val="000000"/>
        </w:rPr>
        <w:t xml:space="preserve">made by it to the applicant on </w:t>
      </w:r>
      <w:r w:rsidR="006B458E" w:rsidRPr="00EF0190">
        <w:rPr>
          <w:rFonts w:ascii="Arial" w:hAnsi="Arial" w:cs="Arial"/>
          <w:color w:val="000000"/>
        </w:rPr>
        <w:t>19 July 2022</w:t>
      </w:r>
      <w:r w:rsidR="005D2C20" w:rsidRPr="00EF0190">
        <w:rPr>
          <w:rFonts w:ascii="Arial" w:hAnsi="Arial" w:cs="Arial"/>
          <w:color w:val="000000"/>
        </w:rPr>
        <w:t>. That payment was undoubtedly made. But it was made</w:t>
      </w:r>
      <w:r w:rsidR="006B458E" w:rsidRPr="00EF0190">
        <w:rPr>
          <w:rFonts w:ascii="Arial" w:hAnsi="Arial" w:cs="Arial"/>
          <w:color w:val="000000"/>
        </w:rPr>
        <w:t xml:space="preserve"> more than a year after the</w:t>
      </w:r>
      <w:r w:rsidR="005D2C20" w:rsidRPr="00EF0190">
        <w:rPr>
          <w:rFonts w:ascii="Arial" w:hAnsi="Arial" w:cs="Arial"/>
          <w:color w:val="000000"/>
        </w:rPr>
        <w:t xml:space="preserve"> agreements had been cancelled</w:t>
      </w:r>
      <w:r w:rsidR="009C12B5" w:rsidRPr="00EF0190">
        <w:rPr>
          <w:rFonts w:ascii="Arial" w:hAnsi="Arial" w:cs="Arial"/>
          <w:color w:val="000000"/>
        </w:rPr>
        <w:t>,</w:t>
      </w:r>
      <w:r w:rsidR="00C265FA" w:rsidRPr="00EF0190">
        <w:rPr>
          <w:rFonts w:ascii="Arial" w:hAnsi="Arial" w:cs="Arial"/>
          <w:color w:val="000000"/>
        </w:rPr>
        <w:t xml:space="preserve"> on </w:t>
      </w:r>
      <w:r w:rsidR="006B458E" w:rsidRPr="00EF0190">
        <w:rPr>
          <w:rFonts w:ascii="Arial" w:hAnsi="Arial" w:cs="Arial"/>
          <w:color w:val="000000"/>
        </w:rPr>
        <w:t>18 November 2021</w:t>
      </w:r>
      <w:r w:rsidR="005D2C20" w:rsidRPr="00EF0190">
        <w:rPr>
          <w:rFonts w:ascii="Arial" w:hAnsi="Arial" w:cs="Arial"/>
          <w:color w:val="000000"/>
        </w:rPr>
        <w:t xml:space="preserve">. Rather than resurrect the now cancelled agreements, </w:t>
      </w:r>
      <w:r w:rsidR="009C12B5" w:rsidRPr="00EF0190">
        <w:rPr>
          <w:rFonts w:ascii="Arial" w:hAnsi="Arial" w:cs="Arial"/>
          <w:color w:val="000000"/>
        </w:rPr>
        <w:t>the payment</w:t>
      </w:r>
      <w:r w:rsidR="005D2C20" w:rsidRPr="00EF0190">
        <w:rPr>
          <w:rFonts w:ascii="Arial" w:hAnsi="Arial" w:cs="Arial"/>
          <w:color w:val="000000"/>
        </w:rPr>
        <w:t xml:space="preserve"> simply served to reduce the respondent’s overall indebtedness to the applicant. It</w:t>
      </w:r>
      <w:r w:rsidR="006252C8" w:rsidRPr="00EF0190">
        <w:rPr>
          <w:rFonts w:ascii="Arial" w:hAnsi="Arial" w:cs="Arial"/>
          <w:color w:val="000000"/>
        </w:rPr>
        <w:t>s payment</w:t>
      </w:r>
      <w:r w:rsidR="005D2C20" w:rsidRPr="00EF0190">
        <w:rPr>
          <w:rFonts w:ascii="Arial" w:hAnsi="Arial" w:cs="Arial"/>
          <w:color w:val="000000"/>
        </w:rPr>
        <w:t xml:space="preserve"> therefore </w:t>
      </w:r>
      <w:r w:rsidR="006252C8" w:rsidRPr="00EF0190">
        <w:rPr>
          <w:rFonts w:ascii="Arial" w:hAnsi="Arial" w:cs="Arial"/>
          <w:color w:val="000000"/>
        </w:rPr>
        <w:t>provide</w:t>
      </w:r>
      <w:r w:rsidR="005D2C20" w:rsidRPr="00EF0190">
        <w:rPr>
          <w:rFonts w:ascii="Arial" w:hAnsi="Arial" w:cs="Arial"/>
          <w:color w:val="000000"/>
        </w:rPr>
        <w:t xml:space="preserve">s no </w:t>
      </w:r>
      <w:r w:rsidR="006252C8" w:rsidRPr="00EF0190">
        <w:rPr>
          <w:rFonts w:ascii="Arial" w:hAnsi="Arial" w:cs="Arial"/>
          <w:color w:val="000000"/>
        </w:rPr>
        <w:t xml:space="preserve">rebuttal </w:t>
      </w:r>
      <w:r w:rsidR="005D2C20" w:rsidRPr="00EF0190">
        <w:rPr>
          <w:rFonts w:ascii="Arial" w:hAnsi="Arial" w:cs="Arial"/>
          <w:color w:val="000000"/>
        </w:rPr>
        <w:t>to the relief claimed by the applicant.</w:t>
      </w:r>
    </w:p>
    <w:p w:rsidR="00D904C0" w:rsidRDefault="00D904C0" w:rsidP="00A327D9">
      <w:pPr>
        <w:pStyle w:val="ListParagraph"/>
        <w:tabs>
          <w:tab w:val="left" w:pos="709"/>
        </w:tabs>
        <w:spacing w:after="0" w:line="360" w:lineRule="auto"/>
        <w:ind w:left="0"/>
        <w:jc w:val="both"/>
        <w:rPr>
          <w:rFonts w:ascii="Arial" w:hAnsi="Arial" w:cs="Arial"/>
          <w:color w:val="000000"/>
          <w:sz w:val="24"/>
          <w:szCs w:val="24"/>
        </w:rPr>
      </w:pPr>
    </w:p>
    <w:p w:rsidR="00D904C0"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[19]</w:t>
      </w:r>
      <w:r>
        <w:rPr>
          <w:rFonts w:ascii="Arial" w:eastAsiaTheme="minorHAnsi" w:hAnsi="Arial" w:cs="Arial"/>
          <w:color w:val="000000"/>
          <w:lang w:val="en-GB" w:eastAsia="en-US" w:bidi="ar-SA"/>
        </w:rPr>
        <w:tab/>
      </w:r>
      <w:r w:rsidR="00D904C0" w:rsidRPr="00EF0190">
        <w:rPr>
          <w:rFonts w:ascii="Arial" w:hAnsi="Arial" w:cs="Arial"/>
          <w:color w:val="000000"/>
        </w:rPr>
        <w:t>The argument was taken further by Mr Tucker when he submitted that what had actually been compromised was the applicant’s ability to bring this application. This arose out of a letter, dated 24 June 2022, in which the applicant’s representative wrote to the respondent and stated, inter alia:</w:t>
      </w:r>
    </w:p>
    <w:p w:rsidR="00D904C0" w:rsidRDefault="00D904C0" w:rsidP="00A327D9">
      <w:pPr>
        <w:pStyle w:val="ListParagraph"/>
        <w:tabs>
          <w:tab w:val="left" w:pos="709"/>
        </w:tabs>
        <w:spacing w:after="0" w:line="360" w:lineRule="auto"/>
        <w:ind w:left="0"/>
        <w:jc w:val="both"/>
        <w:rPr>
          <w:rFonts w:ascii="Arial" w:hAnsi="Arial" w:cs="Arial"/>
          <w:color w:val="000000"/>
        </w:rPr>
      </w:pPr>
      <w:r w:rsidRPr="00D904C0">
        <w:rPr>
          <w:rFonts w:ascii="Arial" w:hAnsi="Arial" w:cs="Arial"/>
          <w:color w:val="000000"/>
        </w:rPr>
        <w:t>‘We request that your client attends to payment of the arrears in the amount of R99 041.05, failing which, our instructions are to proceed with the application which is set down for hearing on 20 July 2022.’</w:t>
      </w:r>
    </w:p>
    <w:p w:rsidR="00D904C0" w:rsidRPr="00D904C0" w:rsidRDefault="00D904C0" w:rsidP="00A327D9">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The letter makes it plain that the applicant still regards the agree</w:t>
      </w:r>
      <w:r w:rsidR="002605F6">
        <w:rPr>
          <w:rFonts w:ascii="Arial" w:hAnsi="Arial" w:cs="Arial"/>
          <w:color w:val="000000"/>
          <w:sz w:val="24"/>
          <w:szCs w:val="24"/>
        </w:rPr>
        <w:t>ments as having been cancelled as it refers to the termination of the musharaka agreement. No payment was immediately forthcoming</w:t>
      </w:r>
      <w:r w:rsidR="009C12B5">
        <w:rPr>
          <w:rFonts w:ascii="Arial" w:hAnsi="Arial" w:cs="Arial"/>
          <w:color w:val="000000"/>
          <w:sz w:val="24"/>
          <w:szCs w:val="24"/>
        </w:rPr>
        <w:t xml:space="preserve"> from the respondent</w:t>
      </w:r>
      <w:r w:rsidR="002605F6">
        <w:rPr>
          <w:rFonts w:ascii="Arial" w:hAnsi="Arial" w:cs="Arial"/>
          <w:color w:val="000000"/>
          <w:sz w:val="24"/>
          <w:szCs w:val="24"/>
        </w:rPr>
        <w:t xml:space="preserve">, it only being made, as previously stated, on </w:t>
      </w:r>
      <w:r w:rsidR="002605F6" w:rsidRPr="006B458E">
        <w:rPr>
          <w:rFonts w:ascii="Arial" w:hAnsi="Arial" w:cs="Arial"/>
          <w:color w:val="000000"/>
          <w:sz w:val="24"/>
          <w:szCs w:val="24"/>
        </w:rPr>
        <w:t>19 July 2022</w:t>
      </w:r>
      <w:r w:rsidR="002605F6">
        <w:rPr>
          <w:rFonts w:ascii="Arial" w:hAnsi="Arial" w:cs="Arial"/>
          <w:color w:val="000000"/>
          <w:sz w:val="24"/>
          <w:szCs w:val="24"/>
        </w:rPr>
        <w:t>, the day before the matter was in court. There is in my view, much force in Ms Miranda’s argument that the invitation to pay the arrears had lapsed. I cannot in the circumstances find that the applicant has compromised its entitlement to proceed.</w:t>
      </w:r>
    </w:p>
    <w:p w:rsidR="005D2C20" w:rsidRDefault="005D2C20" w:rsidP="00A327D9">
      <w:pPr>
        <w:pStyle w:val="ListParagraph"/>
        <w:tabs>
          <w:tab w:val="left" w:pos="709"/>
        </w:tabs>
        <w:spacing w:after="0" w:line="360" w:lineRule="auto"/>
        <w:ind w:left="0"/>
        <w:jc w:val="both"/>
        <w:rPr>
          <w:rFonts w:ascii="Arial" w:hAnsi="Arial" w:cs="Arial"/>
          <w:color w:val="000000"/>
          <w:sz w:val="24"/>
          <w:szCs w:val="24"/>
        </w:rPr>
      </w:pPr>
    </w:p>
    <w:p w:rsidR="00E67E2F"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lastRenderedPageBreak/>
        <w:t>[20]</w:t>
      </w:r>
      <w:r>
        <w:rPr>
          <w:rFonts w:ascii="Arial" w:eastAsiaTheme="minorHAnsi" w:hAnsi="Arial" w:cs="Arial"/>
          <w:color w:val="000000"/>
          <w:lang w:val="en-GB" w:eastAsia="en-US" w:bidi="ar-SA"/>
        </w:rPr>
        <w:tab/>
      </w:r>
      <w:r w:rsidR="00B31E41" w:rsidRPr="00EF0190">
        <w:rPr>
          <w:rFonts w:ascii="Arial" w:hAnsi="Arial" w:cs="Arial"/>
          <w:color w:val="000000"/>
        </w:rPr>
        <w:t xml:space="preserve">The </w:t>
      </w:r>
      <w:r w:rsidR="00F54D8B" w:rsidRPr="00EF0190">
        <w:rPr>
          <w:rFonts w:ascii="Arial" w:hAnsi="Arial" w:cs="Arial"/>
          <w:color w:val="000000"/>
        </w:rPr>
        <w:t xml:space="preserve">respondent </w:t>
      </w:r>
      <w:r w:rsidR="0094715E" w:rsidRPr="00EF0190">
        <w:rPr>
          <w:rFonts w:ascii="Arial" w:hAnsi="Arial" w:cs="Arial"/>
          <w:color w:val="000000"/>
        </w:rPr>
        <w:t xml:space="preserve">further alleges that </w:t>
      </w:r>
      <w:r w:rsidR="00E67E2F" w:rsidRPr="00EF0190">
        <w:rPr>
          <w:rFonts w:ascii="Arial" w:hAnsi="Arial" w:cs="Arial"/>
          <w:color w:val="000000"/>
        </w:rPr>
        <w:t>it is unfair, or even unconstitutional, that the applicant is able through the order that it seeks to circumvent:</w:t>
      </w:r>
    </w:p>
    <w:p w:rsidR="009C12B5" w:rsidRDefault="00E67E2F" w:rsidP="00A327D9">
      <w:pPr>
        <w:pStyle w:val="ListParagraph"/>
        <w:tabs>
          <w:tab w:val="left" w:pos="709"/>
        </w:tabs>
        <w:spacing w:after="0" w:line="360" w:lineRule="auto"/>
        <w:ind w:left="0"/>
        <w:jc w:val="both"/>
        <w:rPr>
          <w:rFonts w:ascii="Arial" w:hAnsi="Arial" w:cs="Arial"/>
          <w:color w:val="000000"/>
        </w:rPr>
      </w:pPr>
      <w:r w:rsidRPr="00E67E2F">
        <w:rPr>
          <w:rFonts w:ascii="Arial" w:hAnsi="Arial" w:cs="Arial"/>
          <w:color w:val="000000"/>
        </w:rPr>
        <w:t>‘… certain rights that would be afforded to me in any situation where ordinarily a bank would go after an immovable property (such as section 26 of the Constitution as well as the processes of Rule 46 and 46A of the Uniform Rules of Court) in its achieving the same result.’</w:t>
      </w:r>
      <w:r w:rsidR="009C12B5">
        <w:rPr>
          <w:rFonts w:ascii="Arial" w:hAnsi="Arial" w:cs="Arial"/>
          <w:color w:val="000000"/>
        </w:rPr>
        <w:t xml:space="preserve"> </w:t>
      </w:r>
    </w:p>
    <w:p w:rsidR="004B6320" w:rsidRDefault="004B6320" w:rsidP="00A327D9">
      <w:pPr>
        <w:pStyle w:val="ListParagraph"/>
        <w:tabs>
          <w:tab w:val="left" w:pos="709"/>
        </w:tabs>
        <w:spacing w:after="0" w:line="360" w:lineRule="auto"/>
        <w:ind w:left="0"/>
        <w:jc w:val="both"/>
        <w:rPr>
          <w:rFonts w:ascii="Arial" w:hAnsi="Arial" w:cs="Arial"/>
          <w:color w:val="000000"/>
        </w:rPr>
      </w:pPr>
    </w:p>
    <w:p w:rsidR="006B458E" w:rsidRPr="00EF0190" w:rsidRDefault="00EF0190" w:rsidP="00EF0190">
      <w:pPr>
        <w:tabs>
          <w:tab w:val="left" w:pos="709"/>
        </w:tabs>
        <w:spacing w:line="360" w:lineRule="auto"/>
        <w:jc w:val="both"/>
        <w:rPr>
          <w:rFonts w:ascii="Arial" w:hAnsi="Arial" w:cs="Arial"/>
          <w:color w:val="000000"/>
        </w:rPr>
      </w:pPr>
      <w:r w:rsidRPr="006B458E">
        <w:rPr>
          <w:rFonts w:ascii="Arial" w:eastAsiaTheme="minorHAnsi" w:hAnsi="Arial" w:cs="Arial"/>
          <w:color w:val="000000"/>
          <w:lang w:val="en-GB" w:eastAsia="en-US" w:bidi="ar-SA"/>
        </w:rPr>
        <w:t>[21]</w:t>
      </w:r>
      <w:r w:rsidRPr="006B458E">
        <w:rPr>
          <w:rFonts w:ascii="Arial" w:eastAsiaTheme="minorHAnsi" w:hAnsi="Arial" w:cs="Arial"/>
          <w:color w:val="000000"/>
          <w:lang w:val="en-GB" w:eastAsia="en-US" w:bidi="ar-SA"/>
        </w:rPr>
        <w:tab/>
      </w:r>
      <w:r w:rsidR="00E67E2F" w:rsidRPr="00EF0190">
        <w:rPr>
          <w:rFonts w:ascii="Arial" w:hAnsi="Arial" w:cs="Arial"/>
          <w:color w:val="000000" w:themeColor="text1"/>
        </w:rPr>
        <w:t>The</w:t>
      </w:r>
      <w:r w:rsidR="008B601C" w:rsidRPr="00EF0190">
        <w:rPr>
          <w:rFonts w:ascii="Arial" w:hAnsi="Arial" w:cs="Arial"/>
          <w:color w:val="000000" w:themeColor="text1"/>
        </w:rPr>
        <w:t xml:space="preserve">re are </w:t>
      </w:r>
      <w:r w:rsidR="009C12B5" w:rsidRPr="00EF0190">
        <w:rPr>
          <w:rFonts w:ascii="Arial" w:hAnsi="Arial" w:cs="Arial"/>
          <w:color w:val="000000" w:themeColor="text1"/>
        </w:rPr>
        <w:t>several</w:t>
      </w:r>
      <w:r w:rsidR="008B601C" w:rsidRPr="00EF0190">
        <w:rPr>
          <w:rFonts w:ascii="Arial" w:hAnsi="Arial" w:cs="Arial"/>
          <w:color w:val="000000" w:themeColor="text1"/>
        </w:rPr>
        <w:t xml:space="preserve"> </w:t>
      </w:r>
      <w:r w:rsidR="00E67E2F" w:rsidRPr="00EF0190">
        <w:rPr>
          <w:rFonts w:ascii="Arial" w:hAnsi="Arial" w:cs="Arial"/>
          <w:color w:val="000000" w:themeColor="text1"/>
        </w:rPr>
        <w:t>difficult</w:t>
      </w:r>
      <w:r w:rsidR="008B601C" w:rsidRPr="00EF0190">
        <w:rPr>
          <w:rFonts w:ascii="Arial" w:hAnsi="Arial" w:cs="Arial"/>
          <w:color w:val="000000" w:themeColor="text1"/>
        </w:rPr>
        <w:t>ies that I have with this proposition. Firstly, the deponent</w:t>
      </w:r>
      <w:r w:rsidR="001321F6" w:rsidRPr="00EF0190">
        <w:rPr>
          <w:rFonts w:ascii="Arial" w:hAnsi="Arial" w:cs="Arial"/>
          <w:color w:val="000000" w:themeColor="text1"/>
        </w:rPr>
        <w:t xml:space="preserve">, a natural human being, </w:t>
      </w:r>
      <w:r w:rsidR="008B601C" w:rsidRPr="00EF0190">
        <w:rPr>
          <w:rFonts w:ascii="Arial" w:hAnsi="Arial" w:cs="Arial"/>
          <w:color w:val="000000" w:themeColor="text1"/>
        </w:rPr>
        <w:t xml:space="preserve">is not </w:t>
      </w:r>
      <w:r w:rsidR="001321F6" w:rsidRPr="00EF0190">
        <w:rPr>
          <w:rFonts w:ascii="Arial" w:hAnsi="Arial" w:cs="Arial"/>
          <w:color w:val="000000" w:themeColor="text1"/>
        </w:rPr>
        <w:t>to be equated with the respondent, a juristic entity. Whether the deponent would be afforded certain rights is not the issue as she is not a party to the agreements with the applicant. She agreed to the structuring of the transaction and now cannot claim that she is somehow prejudiced</w:t>
      </w:r>
      <w:r w:rsidR="006B458E" w:rsidRPr="00EF0190">
        <w:rPr>
          <w:rFonts w:ascii="Arial" w:hAnsi="Arial" w:cs="Arial"/>
          <w:color w:val="000000" w:themeColor="text1"/>
        </w:rPr>
        <w:t xml:space="preserve"> because of the structure</w:t>
      </w:r>
      <w:r w:rsidR="001321F6" w:rsidRPr="00EF0190">
        <w:rPr>
          <w:rFonts w:ascii="Arial" w:hAnsi="Arial" w:cs="Arial"/>
          <w:color w:val="000000" w:themeColor="text1"/>
        </w:rPr>
        <w:t>. Secondl</w:t>
      </w:r>
      <w:r w:rsidR="00E67E2F" w:rsidRPr="00EF0190">
        <w:rPr>
          <w:rFonts w:ascii="Arial" w:hAnsi="Arial" w:cs="Arial"/>
          <w:color w:val="000000" w:themeColor="text1"/>
        </w:rPr>
        <w:t>y</w:t>
      </w:r>
      <w:r w:rsidR="001321F6" w:rsidRPr="00EF0190">
        <w:rPr>
          <w:rFonts w:ascii="Arial" w:hAnsi="Arial" w:cs="Arial"/>
          <w:color w:val="000000" w:themeColor="text1"/>
        </w:rPr>
        <w:t>, t</w:t>
      </w:r>
      <w:r w:rsidR="00E67E2F" w:rsidRPr="00EF0190">
        <w:rPr>
          <w:rFonts w:ascii="Arial" w:hAnsi="Arial" w:cs="Arial"/>
          <w:color w:val="000000" w:themeColor="text1"/>
        </w:rPr>
        <w:t xml:space="preserve">he applicant does not seek </w:t>
      </w:r>
      <w:r w:rsidR="00042952" w:rsidRPr="00EF0190">
        <w:rPr>
          <w:rFonts w:ascii="Arial" w:hAnsi="Arial" w:cs="Arial"/>
          <w:color w:val="000000" w:themeColor="text1"/>
        </w:rPr>
        <w:t>an order of executability against the immovable property. The relief that it claims is the termination of a partnership relationship</w:t>
      </w:r>
      <w:r w:rsidR="006B458E" w:rsidRPr="00EF0190">
        <w:rPr>
          <w:rFonts w:ascii="Arial" w:hAnsi="Arial" w:cs="Arial"/>
          <w:color w:val="000000" w:themeColor="text1"/>
        </w:rPr>
        <w:t xml:space="preserve"> relating to the immovable property</w:t>
      </w:r>
      <w:r w:rsidR="00042952" w:rsidRPr="00EF0190">
        <w:rPr>
          <w:rFonts w:ascii="Arial" w:hAnsi="Arial" w:cs="Arial"/>
          <w:color w:val="000000" w:themeColor="text1"/>
        </w:rPr>
        <w:t xml:space="preserve">. </w:t>
      </w:r>
      <w:r w:rsidR="006B458E" w:rsidRPr="00EF0190">
        <w:rPr>
          <w:rFonts w:ascii="Arial" w:hAnsi="Arial" w:cs="Arial"/>
          <w:color w:val="000000" w:themeColor="text1"/>
        </w:rPr>
        <w:t>In this regard, paragraphs 3.6 and 3.7 of the notice of motion provide as follows:</w:t>
      </w:r>
    </w:p>
    <w:p w:rsidR="006B458E" w:rsidRPr="005C0B1E" w:rsidRDefault="006B458E" w:rsidP="00A327D9">
      <w:pPr>
        <w:pStyle w:val="ListParagraph"/>
        <w:tabs>
          <w:tab w:val="left" w:pos="709"/>
        </w:tabs>
        <w:spacing w:after="0" w:line="360" w:lineRule="auto"/>
        <w:ind w:left="0"/>
        <w:jc w:val="both"/>
        <w:rPr>
          <w:rFonts w:ascii="Arial" w:hAnsi="Arial" w:cs="Arial"/>
          <w:color w:val="000000" w:themeColor="text1"/>
        </w:rPr>
      </w:pPr>
      <w:r w:rsidRPr="005C0B1E">
        <w:rPr>
          <w:rFonts w:ascii="Arial" w:hAnsi="Arial" w:cs="Arial"/>
          <w:color w:val="000000" w:themeColor="text1"/>
        </w:rPr>
        <w:t>‘3.6</w:t>
      </w:r>
      <w:r w:rsidRPr="005C0B1E">
        <w:rPr>
          <w:rFonts w:ascii="Arial" w:hAnsi="Arial" w:cs="Arial"/>
          <w:color w:val="000000" w:themeColor="text1"/>
        </w:rPr>
        <w:tab/>
        <w:t>save to the extent necessary to discharge any liabilities of the partnership to third parties, and all the liquidator’s fees and disbursements, and to ensure an equitable distribution in accordance with any agreement relating to the partnership, the liquidator shall not realise any assets of the partnership;</w:t>
      </w:r>
    </w:p>
    <w:p w:rsidR="006B458E" w:rsidRPr="005C0B1E" w:rsidRDefault="006B458E" w:rsidP="00A327D9">
      <w:pPr>
        <w:pStyle w:val="ListParagraph"/>
        <w:tabs>
          <w:tab w:val="left" w:pos="709"/>
        </w:tabs>
        <w:spacing w:after="0" w:line="360" w:lineRule="auto"/>
        <w:ind w:left="0"/>
        <w:jc w:val="both"/>
        <w:rPr>
          <w:rFonts w:ascii="Arial" w:hAnsi="Arial" w:cs="Arial"/>
          <w:color w:val="000000" w:themeColor="text1"/>
        </w:rPr>
      </w:pPr>
      <w:r w:rsidRPr="005C0B1E">
        <w:rPr>
          <w:rFonts w:ascii="Arial" w:hAnsi="Arial" w:cs="Arial"/>
          <w:color w:val="000000" w:themeColor="text1"/>
        </w:rPr>
        <w:t>3.7</w:t>
      </w:r>
      <w:r w:rsidRPr="005C0B1E">
        <w:rPr>
          <w:rFonts w:ascii="Arial" w:hAnsi="Arial" w:cs="Arial"/>
          <w:color w:val="000000" w:themeColor="text1"/>
        </w:rPr>
        <w:tab/>
        <w:t>to the extent that it is necessary for the assets of the partnership to be realised, to invite the parties to offer to purchase the partnership property and/or other partnership assets that may come to light, which offer musty be made to the liquidator within five (5) business days of the liquidator calling for such offer, and at a price in excess of the appraised value of such property;’</w:t>
      </w:r>
    </w:p>
    <w:p w:rsidR="004B6320" w:rsidRDefault="004B6320" w:rsidP="00A327D9">
      <w:pPr>
        <w:pStyle w:val="ListParagraph"/>
        <w:tabs>
          <w:tab w:val="left" w:pos="709"/>
        </w:tabs>
        <w:spacing w:after="0" w:line="360" w:lineRule="auto"/>
        <w:ind w:left="0"/>
        <w:jc w:val="both"/>
        <w:rPr>
          <w:rFonts w:ascii="Arial" w:hAnsi="Arial" w:cs="Arial"/>
          <w:color w:val="000000"/>
          <w:sz w:val="24"/>
          <w:szCs w:val="24"/>
        </w:rPr>
      </w:pPr>
    </w:p>
    <w:p w:rsidR="00BB5942" w:rsidRPr="00EF0190" w:rsidRDefault="00EF0190" w:rsidP="00EF0190">
      <w:pPr>
        <w:tabs>
          <w:tab w:val="left" w:pos="709"/>
        </w:tabs>
        <w:spacing w:line="360" w:lineRule="auto"/>
        <w:jc w:val="both"/>
        <w:rPr>
          <w:rFonts w:ascii="Arial" w:hAnsi="Arial" w:cs="Arial"/>
          <w:color w:val="000000"/>
        </w:rPr>
      </w:pPr>
      <w:r w:rsidRPr="004B6320">
        <w:rPr>
          <w:rFonts w:ascii="Arial" w:eastAsiaTheme="minorHAnsi" w:hAnsi="Arial" w:cs="Arial"/>
          <w:color w:val="000000"/>
          <w:lang w:val="en-GB" w:eastAsia="en-US" w:bidi="ar-SA"/>
        </w:rPr>
        <w:t>[22]</w:t>
      </w:r>
      <w:r w:rsidRPr="004B6320">
        <w:rPr>
          <w:rFonts w:ascii="Arial" w:eastAsiaTheme="minorHAnsi" w:hAnsi="Arial" w:cs="Arial"/>
          <w:color w:val="000000"/>
          <w:lang w:val="en-GB" w:eastAsia="en-US" w:bidi="ar-SA"/>
        </w:rPr>
        <w:tab/>
      </w:r>
      <w:r w:rsidR="005C0B1E" w:rsidRPr="00EF0190">
        <w:rPr>
          <w:rFonts w:ascii="Arial" w:hAnsi="Arial" w:cs="Arial"/>
          <w:color w:val="000000" w:themeColor="text1"/>
        </w:rPr>
        <w:t>I</w:t>
      </w:r>
      <w:r w:rsidR="005E6485" w:rsidRPr="00EF0190">
        <w:rPr>
          <w:rFonts w:ascii="Arial" w:hAnsi="Arial" w:cs="Arial"/>
          <w:color w:val="000000" w:themeColor="text1"/>
        </w:rPr>
        <w:t xml:space="preserve">t is </w:t>
      </w:r>
      <w:r w:rsidR="005C0B1E" w:rsidRPr="00EF0190">
        <w:rPr>
          <w:rFonts w:ascii="Arial" w:hAnsi="Arial" w:cs="Arial"/>
          <w:color w:val="000000" w:themeColor="text1"/>
        </w:rPr>
        <w:t xml:space="preserve">accordingly </w:t>
      </w:r>
      <w:r w:rsidR="005E6485" w:rsidRPr="00EF0190">
        <w:rPr>
          <w:rFonts w:ascii="Arial" w:hAnsi="Arial" w:cs="Arial"/>
          <w:color w:val="000000" w:themeColor="text1"/>
        </w:rPr>
        <w:t xml:space="preserve">possible that </w:t>
      </w:r>
      <w:r w:rsidR="00042952" w:rsidRPr="00EF0190">
        <w:rPr>
          <w:rFonts w:ascii="Arial" w:hAnsi="Arial" w:cs="Arial"/>
          <w:color w:val="000000" w:themeColor="text1"/>
        </w:rPr>
        <w:t>t</w:t>
      </w:r>
      <w:r w:rsidR="005E6485" w:rsidRPr="00EF0190">
        <w:rPr>
          <w:rFonts w:ascii="Arial" w:hAnsi="Arial" w:cs="Arial"/>
          <w:color w:val="000000" w:themeColor="text1"/>
        </w:rPr>
        <w:t xml:space="preserve">he </w:t>
      </w:r>
      <w:r w:rsidR="005C0B1E" w:rsidRPr="00EF0190">
        <w:rPr>
          <w:rFonts w:ascii="Arial" w:hAnsi="Arial" w:cs="Arial"/>
          <w:color w:val="000000" w:themeColor="text1"/>
        </w:rPr>
        <w:t xml:space="preserve">immovable </w:t>
      </w:r>
      <w:r w:rsidR="005E6485" w:rsidRPr="00EF0190">
        <w:rPr>
          <w:rFonts w:ascii="Arial" w:hAnsi="Arial" w:cs="Arial"/>
          <w:color w:val="000000" w:themeColor="text1"/>
        </w:rPr>
        <w:t>property</w:t>
      </w:r>
      <w:r w:rsidR="00042952" w:rsidRPr="00EF0190">
        <w:rPr>
          <w:rFonts w:ascii="Arial" w:hAnsi="Arial" w:cs="Arial"/>
          <w:color w:val="000000" w:themeColor="text1"/>
        </w:rPr>
        <w:t xml:space="preserve"> may </w:t>
      </w:r>
      <w:r w:rsidR="001321F6" w:rsidRPr="00EF0190">
        <w:rPr>
          <w:rFonts w:ascii="Arial" w:hAnsi="Arial" w:cs="Arial"/>
          <w:color w:val="000000" w:themeColor="text1"/>
        </w:rPr>
        <w:t xml:space="preserve">in the future </w:t>
      </w:r>
      <w:r w:rsidR="00042952" w:rsidRPr="00EF0190">
        <w:rPr>
          <w:rFonts w:ascii="Arial" w:hAnsi="Arial" w:cs="Arial"/>
          <w:color w:val="000000" w:themeColor="text1"/>
        </w:rPr>
        <w:t xml:space="preserve">be acquired by the respondent, in which event no discernible prejudice will accrue to the persons residing within the </w:t>
      </w:r>
      <w:r w:rsidR="007939A3" w:rsidRPr="00EF0190">
        <w:rPr>
          <w:rFonts w:ascii="Arial" w:hAnsi="Arial" w:cs="Arial"/>
          <w:color w:val="000000" w:themeColor="text1"/>
        </w:rPr>
        <w:t xml:space="preserve">immovable </w:t>
      </w:r>
      <w:r w:rsidR="00042952" w:rsidRPr="00EF0190">
        <w:rPr>
          <w:rFonts w:ascii="Arial" w:hAnsi="Arial" w:cs="Arial"/>
          <w:color w:val="000000" w:themeColor="text1"/>
        </w:rPr>
        <w:t xml:space="preserve">property. </w:t>
      </w:r>
      <w:r w:rsidR="005E6485" w:rsidRPr="00EF0190">
        <w:rPr>
          <w:rFonts w:ascii="Arial" w:hAnsi="Arial" w:cs="Arial"/>
          <w:color w:val="000000" w:themeColor="text1"/>
        </w:rPr>
        <w:t xml:space="preserve">The consequences </w:t>
      </w:r>
      <w:r w:rsidR="001321F6" w:rsidRPr="00EF0190">
        <w:rPr>
          <w:rFonts w:ascii="Arial" w:hAnsi="Arial" w:cs="Arial"/>
          <w:color w:val="000000" w:themeColor="text1"/>
        </w:rPr>
        <w:t xml:space="preserve">of the relief sought by the applicant </w:t>
      </w:r>
      <w:r w:rsidR="005E6485" w:rsidRPr="00EF0190">
        <w:rPr>
          <w:rFonts w:ascii="Arial" w:hAnsi="Arial" w:cs="Arial"/>
          <w:color w:val="000000" w:themeColor="text1"/>
        </w:rPr>
        <w:t>are matters for another day as there is no counter application delivered by the respondent</w:t>
      </w:r>
      <w:r w:rsidR="005C0B1E" w:rsidRPr="00EF0190">
        <w:rPr>
          <w:rFonts w:ascii="Arial" w:hAnsi="Arial" w:cs="Arial"/>
          <w:color w:val="000000" w:themeColor="text1"/>
        </w:rPr>
        <w:t xml:space="preserve"> in which any such relief pertaining to the sale of the immovable property is sought</w:t>
      </w:r>
      <w:r w:rsidR="005E6485" w:rsidRPr="00EF0190">
        <w:rPr>
          <w:rFonts w:ascii="Arial" w:hAnsi="Arial" w:cs="Arial"/>
          <w:color w:val="000000" w:themeColor="text1"/>
        </w:rPr>
        <w:t xml:space="preserve">. </w:t>
      </w:r>
      <w:r w:rsidR="00042952" w:rsidRPr="00EF0190">
        <w:rPr>
          <w:rFonts w:ascii="Arial" w:hAnsi="Arial" w:cs="Arial"/>
          <w:color w:val="000000" w:themeColor="text1"/>
        </w:rPr>
        <w:t xml:space="preserve">A similar argument was raised in </w:t>
      </w:r>
      <w:r w:rsidR="00BB5942" w:rsidRPr="00EF0190">
        <w:rPr>
          <w:rFonts w:ascii="Arial" w:hAnsi="Arial" w:cs="Arial"/>
          <w:i/>
          <w:iCs/>
          <w:color w:val="000000" w:themeColor="text1"/>
        </w:rPr>
        <w:t>Britz v Sequeira</w:t>
      </w:r>
      <w:r w:rsidR="00BB5942" w:rsidRPr="00EF0190">
        <w:rPr>
          <w:rFonts w:ascii="Arial" w:hAnsi="Arial" w:cs="Arial"/>
          <w:color w:val="000000" w:themeColor="text1"/>
        </w:rPr>
        <w:t>,</w:t>
      </w:r>
      <w:r w:rsidR="00BB5942" w:rsidRPr="00BB5942">
        <w:rPr>
          <w:rStyle w:val="FootnoteReference"/>
          <w:rFonts w:ascii="Arial" w:hAnsi="Arial" w:cs="Arial"/>
          <w:color w:val="000000" w:themeColor="text1"/>
        </w:rPr>
        <w:footnoteReference w:id="6"/>
      </w:r>
      <w:r w:rsidR="00BB5942" w:rsidRPr="00EF0190">
        <w:rPr>
          <w:rFonts w:ascii="Arial" w:hAnsi="Arial" w:cs="Arial"/>
          <w:color w:val="000000" w:themeColor="text1"/>
        </w:rPr>
        <w:t xml:space="preserve"> and at paragraph 18 of the judgment in that matter, the following is stated: </w:t>
      </w:r>
    </w:p>
    <w:p w:rsidR="00BB5942" w:rsidRPr="00BB5942" w:rsidRDefault="00BB5942" w:rsidP="00A327D9">
      <w:pPr>
        <w:pStyle w:val="ListParagraph"/>
        <w:tabs>
          <w:tab w:val="left" w:pos="709"/>
        </w:tabs>
        <w:spacing w:after="0" w:line="360" w:lineRule="auto"/>
        <w:ind w:left="0"/>
        <w:jc w:val="both"/>
        <w:rPr>
          <w:rFonts w:ascii="Arial" w:hAnsi="Arial" w:cs="Arial"/>
          <w:color w:val="000000"/>
        </w:rPr>
      </w:pPr>
      <w:r w:rsidRPr="00BB5942">
        <w:rPr>
          <w:rFonts w:ascii="Arial" w:hAnsi="Arial" w:cs="Arial"/>
          <w:color w:val="242121"/>
        </w:rPr>
        <w:lastRenderedPageBreak/>
        <w:t>‘Mr Van der Merwe relied upon rule 46A of the Uniform Rules of Court which sets out the circumstances to be considered when immovable property is to be declared specially executable.  In this regard he referred to the fact that the property is occupied by the respondent, his spouse, as well as his mentally disabled sister.  He extensively quoted from</w:t>
      </w:r>
      <w:r w:rsidRPr="00BB5942">
        <w:rPr>
          <w:rStyle w:val="apple-converted-space"/>
          <w:rFonts w:ascii="Arial" w:hAnsi="Arial" w:cs="Arial"/>
          <w:color w:val="242121"/>
        </w:rPr>
        <w:t> </w:t>
      </w:r>
      <w:r w:rsidRPr="00BB5942">
        <w:rPr>
          <w:rFonts w:ascii="Arial" w:hAnsi="Arial" w:cs="Arial"/>
          <w:i/>
          <w:iCs/>
          <w:color w:val="242121"/>
        </w:rPr>
        <w:t>Firstrand Bank Ltd v Folscher &amp; another and similar matters</w:t>
      </w:r>
      <w:r>
        <w:rPr>
          <w:rFonts w:ascii="Arial" w:hAnsi="Arial" w:cs="Arial"/>
          <w:color w:val="242121"/>
        </w:rPr>
        <w:t xml:space="preserve"> </w:t>
      </w:r>
      <w:r w:rsidRPr="00BB5942">
        <w:rPr>
          <w:rFonts w:ascii="Arial" w:hAnsi="Arial" w:cs="Arial"/>
          <w:color w:val="242121"/>
        </w:rPr>
        <w:t>and</w:t>
      </w:r>
      <w:r w:rsidRPr="00BB5942">
        <w:rPr>
          <w:rStyle w:val="apple-converted-space"/>
          <w:rFonts w:ascii="Arial" w:hAnsi="Arial" w:cs="Arial"/>
          <w:color w:val="242121"/>
        </w:rPr>
        <w:t> </w:t>
      </w:r>
      <w:r w:rsidRPr="00BB5942">
        <w:rPr>
          <w:rFonts w:ascii="Arial" w:hAnsi="Arial" w:cs="Arial"/>
          <w:i/>
          <w:iCs/>
          <w:color w:val="242121"/>
        </w:rPr>
        <w:t>Absa Bank Ltd v Ntsane.</w:t>
      </w:r>
      <w:r w:rsidRPr="00BB5942">
        <w:rPr>
          <w:rFonts w:ascii="Arial" w:hAnsi="Arial" w:cs="Arial"/>
          <w:color w:val="242121"/>
        </w:rPr>
        <w:t xml:space="preserve"> The issue was also more recently dealt with by the full bench in</w:t>
      </w:r>
      <w:r w:rsidRPr="00BB5942">
        <w:rPr>
          <w:rStyle w:val="apple-converted-space"/>
          <w:rFonts w:ascii="Arial" w:hAnsi="Arial" w:cs="Arial"/>
          <w:color w:val="242121"/>
        </w:rPr>
        <w:t> </w:t>
      </w:r>
      <w:r w:rsidRPr="00BB5942">
        <w:rPr>
          <w:rFonts w:ascii="Arial" w:hAnsi="Arial" w:cs="Arial"/>
          <w:i/>
          <w:iCs/>
          <w:color w:val="242121"/>
        </w:rPr>
        <w:t>Absa Bank Ltd v Mokebe and related cases.</w:t>
      </w:r>
      <w:r w:rsidRPr="00BB5942">
        <w:rPr>
          <w:rFonts w:ascii="Arial" w:hAnsi="Arial" w:cs="Arial"/>
          <w:color w:val="242121"/>
        </w:rPr>
        <w:t xml:space="preserve"> However, and notwithstanding the importance attached to a debtor’s right to a roof over his/her head, I am not persuaded that this defence holds any water</w:t>
      </w:r>
      <w:r w:rsidRPr="00BB5942">
        <w:rPr>
          <w:rStyle w:val="apple-converted-space"/>
          <w:rFonts w:ascii="Arial" w:hAnsi="Arial" w:cs="Arial"/>
          <w:color w:val="242121"/>
        </w:rPr>
        <w:t> </w:t>
      </w:r>
      <w:r w:rsidRPr="00BB5942">
        <w:rPr>
          <w:rFonts w:ascii="Arial" w:hAnsi="Arial" w:cs="Arial"/>
          <w:i/>
          <w:iCs/>
          <w:color w:val="242121"/>
        </w:rPr>
        <w:t>in casu</w:t>
      </w:r>
      <w:r w:rsidRPr="00BB5942">
        <w:rPr>
          <w:rFonts w:ascii="Arial" w:hAnsi="Arial" w:cs="Arial"/>
          <w:color w:val="242121"/>
        </w:rPr>
        <w:t>.  If the property is sold, and bearing in mind respondent’s entitlement to payment for his member’s interests in the close corporations, he would have sufficient</w:t>
      </w:r>
      <w:r w:rsidRPr="00BB5942">
        <w:rPr>
          <w:rStyle w:val="apple-converted-space"/>
          <w:rFonts w:ascii="Arial" w:hAnsi="Arial" w:cs="Arial"/>
          <w:color w:val="FF0000"/>
        </w:rPr>
        <w:t> </w:t>
      </w:r>
      <w:r w:rsidRPr="00BB5942">
        <w:rPr>
          <w:rFonts w:ascii="Arial" w:hAnsi="Arial" w:cs="Arial"/>
          <w:color w:val="242121"/>
        </w:rPr>
        <w:t>money to buy</w:t>
      </w:r>
      <w:r w:rsidRPr="00BB5942">
        <w:rPr>
          <w:rStyle w:val="apple-converted-space"/>
          <w:rFonts w:ascii="Arial" w:hAnsi="Arial" w:cs="Arial"/>
          <w:color w:val="FF0000"/>
        </w:rPr>
        <w:t> </w:t>
      </w:r>
      <w:r w:rsidRPr="00BB5942">
        <w:rPr>
          <w:rFonts w:ascii="Arial" w:hAnsi="Arial" w:cs="Arial"/>
          <w:color w:val="242121"/>
        </w:rPr>
        <w:t>a decent dwelling house to ensure a roof over his and his next-of-kin’s heads.</w:t>
      </w:r>
      <w:r>
        <w:rPr>
          <w:rFonts w:ascii="Arial" w:hAnsi="Arial" w:cs="Arial"/>
          <w:color w:val="242121"/>
        </w:rPr>
        <w:t>’</w:t>
      </w:r>
    </w:p>
    <w:p w:rsidR="00796AB7" w:rsidRDefault="005C0B1E" w:rsidP="00A327D9">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In this matter</w:t>
      </w:r>
      <w:r w:rsidR="001321F6">
        <w:rPr>
          <w:rFonts w:ascii="Arial" w:hAnsi="Arial" w:cs="Arial"/>
          <w:color w:val="000000"/>
          <w:sz w:val="24"/>
          <w:szCs w:val="24"/>
        </w:rPr>
        <w:t xml:space="preserve">, there is a prospect that </w:t>
      </w:r>
      <w:r>
        <w:rPr>
          <w:rFonts w:ascii="Arial" w:hAnsi="Arial" w:cs="Arial"/>
          <w:color w:val="000000"/>
          <w:sz w:val="24"/>
          <w:szCs w:val="24"/>
        </w:rPr>
        <w:t>the respondent may again acquire the immovable property or with its share of the proceeds of the sale of the immovable property it will be able to afford to either acquire, or rent, another property.</w:t>
      </w:r>
    </w:p>
    <w:p w:rsidR="00042952" w:rsidRPr="00042952" w:rsidRDefault="001321F6" w:rsidP="00A327D9">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 xml:space="preserve"> </w:t>
      </w:r>
    </w:p>
    <w:p w:rsidR="00A327D9" w:rsidRPr="00EF0190" w:rsidRDefault="00EF0190" w:rsidP="00EF0190">
      <w:pPr>
        <w:tabs>
          <w:tab w:val="left" w:pos="709"/>
        </w:tabs>
        <w:spacing w:line="360" w:lineRule="auto"/>
        <w:jc w:val="both"/>
        <w:rPr>
          <w:rFonts w:ascii="Arial" w:hAnsi="Arial" w:cs="Arial"/>
          <w:color w:val="000000"/>
        </w:rPr>
      </w:pPr>
      <w:r w:rsidRPr="00A327D9">
        <w:rPr>
          <w:rFonts w:ascii="Arial" w:eastAsiaTheme="minorHAnsi" w:hAnsi="Arial" w:cs="Arial"/>
          <w:color w:val="000000"/>
          <w:lang w:val="en-GB" w:eastAsia="en-US" w:bidi="ar-SA"/>
        </w:rPr>
        <w:t>[23]</w:t>
      </w:r>
      <w:r w:rsidRPr="00A327D9">
        <w:rPr>
          <w:rFonts w:ascii="Arial" w:eastAsiaTheme="minorHAnsi" w:hAnsi="Arial" w:cs="Arial"/>
          <w:color w:val="000000"/>
          <w:lang w:val="en-GB" w:eastAsia="en-US" w:bidi="ar-SA"/>
        </w:rPr>
        <w:tab/>
      </w:r>
      <w:r w:rsidR="00A327D9" w:rsidRPr="00EF0190">
        <w:rPr>
          <w:rFonts w:ascii="Arial" w:hAnsi="Arial" w:cs="Arial"/>
          <w:color w:val="000000"/>
        </w:rPr>
        <w:t>In his heads of argument, Mr Tucker submits that:</w:t>
      </w:r>
    </w:p>
    <w:p w:rsidR="00A327D9" w:rsidRDefault="00A327D9" w:rsidP="00A327D9">
      <w:pPr>
        <w:tabs>
          <w:tab w:val="left" w:pos="709"/>
        </w:tabs>
        <w:spacing w:line="360" w:lineRule="auto"/>
        <w:jc w:val="both"/>
        <w:rPr>
          <w:rFonts w:ascii="Arial" w:hAnsi="Arial" w:cs="Arial"/>
          <w:color w:val="000000"/>
          <w:sz w:val="22"/>
          <w:szCs w:val="22"/>
        </w:rPr>
      </w:pPr>
      <w:r w:rsidRPr="00A327D9">
        <w:rPr>
          <w:rFonts w:ascii="Arial" w:hAnsi="Arial" w:cs="Arial"/>
          <w:color w:val="000000"/>
          <w:sz w:val="22"/>
          <w:szCs w:val="22"/>
        </w:rPr>
        <w:t>‘While there is obviously nothing offensive about this structure, the implementation of Musharaka agreement in the dissolution of the partnership cannot be done in a manner that ignores a Defendant’s rights to housing, the protections of Rule 46A in respect of residential property, and the Court’s oversight function in such matter.’ (footnotes omitted)</w:t>
      </w:r>
    </w:p>
    <w:p w:rsidR="00A327D9" w:rsidRPr="00A327D9" w:rsidRDefault="00A327D9" w:rsidP="00A327D9">
      <w:pPr>
        <w:tabs>
          <w:tab w:val="left" w:pos="709"/>
        </w:tabs>
        <w:spacing w:line="360" w:lineRule="auto"/>
        <w:jc w:val="both"/>
        <w:rPr>
          <w:rFonts w:ascii="Arial" w:hAnsi="Arial" w:cs="Arial"/>
          <w:color w:val="000000"/>
          <w:sz w:val="22"/>
          <w:szCs w:val="22"/>
        </w:rPr>
      </w:pPr>
    </w:p>
    <w:p w:rsidR="00A327D9"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[24]</w:t>
      </w:r>
      <w:r>
        <w:rPr>
          <w:rFonts w:ascii="Arial" w:eastAsiaTheme="minorHAnsi" w:hAnsi="Arial" w:cs="Arial"/>
          <w:color w:val="000000"/>
          <w:lang w:val="en-GB" w:eastAsia="en-US" w:bidi="ar-SA"/>
        </w:rPr>
        <w:tab/>
      </w:r>
      <w:r w:rsidR="00A327D9" w:rsidRPr="00EF0190">
        <w:rPr>
          <w:rFonts w:ascii="Arial" w:hAnsi="Arial" w:cs="Arial"/>
          <w:color w:val="000000"/>
        </w:rPr>
        <w:t>The respondent is a juristic entity, not the deponent to the respondent’s answering affidavit. I am unconvinced that a juristic entity has a right to housing.</w:t>
      </w:r>
    </w:p>
    <w:p w:rsidR="00A327D9" w:rsidRDefault="00A327D9" w:rsidP="00A327D9">
      <w:pPr>
        <w:pStyle w:val="ListParagraph"/>
        <w:tabs>
          <w:tab w:val="left" w:pos="709"/>
        </w:tabs>
        <w:spacing w:after="0" w:line="360" w:lineRule="auto"/>
        <w:ind w:left="0"/>
        <w:jc w:val="both"/>
        <w:rPr>
          <w:rFonts w:ascii="Arial" w:hAnsi="Arial" w:cs="Arial"/>
          <w:color w:val="000000"/>
          <w:sz w:val="24"/>
          <w:szCs w:val="24"/>
        </w:rPr>
      </w:pPr>
    </w:p>
    <w:p w:rsidR="00A327D9" w:rsidRPr="00EF0190" w:rsidRDefault="00EF0190" w:rsidP="00EF0190">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[25]</w:t>
      </w:r>
      <w:r>
        <w:rPr>
          <w:rFonts w:ascii="Arial" w:eastAsiaTheme="minorHAnsi" w:hAnsi="Arial" w:cs="Arial"/>
          <w:color w:val="000000"/>
          <w:lang w:val="en-GB" w:eastAsia="en-US" w:bidi="ar-SA"/>
        </w:rPr>
        <w:tab/>
      </w:r>
      <w:r w:rsidR="004B6320" w:rsidRPr="00EF0190">
        <w:rPr>
          <w:rFonts w:ascii="Arial" w:hAnsi="Arial" w:cs="Arial"/>
          <w:color w:val="000000"/>
        </w:rPr>
        <w:t>I can conceive of no reason that would make the dissolution of a partnership agreement unconstitutional, for sight must not be lost of the fact that this is what this application is all about.</w:t>
      </w:r>
      <w:r w:rsidR="00E67E2F" w:rsidRPr="00EF0190">
        <w:rPr>
          <w:rFonts w:ascii="Arial" w:hAnsi="Arial" w:cs="Arial"/>
          <w:color w:val="000000"/>
        </w:rPr>
        <w:t xml:space="preserve"> </w:t>
      </w:r>
      <w:r w:rsidR="00A327D9" w:rsidRPr="00EF0190">
        <w:rPr>
          <w:rFonts w:ascii="Arial" w:hAnsi="Arial" w:cs="Arial"/>
          <w:color w:val="000000"/>
        </w:rPr>
        <w:t>In the circumstances, I grant the following order:</w:t>
      </w:r>
    </w:p>
    <w:p w:rsidR="00A327D9" w:rsidRPr="00A327D9" w:rsidRDefault="00A327D9" w:rsidP="00A327D9">
      <w:pPr>
        <w:pStyle w:val="ListParagraph"/>
        <w:spacing w:after="0" w:line="360" w:lineRule="auto"/>
        <w:rPr>
          <w:rFonts w:ascii="Arial" w:hAnsi="Arial" w:cs="Arial"/>
          <w:color w:val="000000"/>
          <w:sz w:val="24"/>
          <w:szCs w:val="24"/>
        </w:rPr>
      </w:pPr>
    </w:p>
    <w:p w:rsidR="002614EB" w:rsidRPr="00A327D9" w:rsidRDefault="00A327D9" w:rsidP="00A327D9">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There shall be an order</w:t>
      </w:r>
      <w:r w:rsidR="00191D20" w:rsidRPr="00A327D9">
        <w:rPr>
          <w:rFonts w:ascii="Arial" w:hAnsi="Arial" w:cs="Arial"/>
          <w:color w:val="000000"/>
          <w:sz w:val="24"/>
          <w:szCs w:val="24"/>
        </w:rPr>
        <w:t xml:space="preserve"> in terms of </w:t>
      </w:r>
      <w:r w:rsidR="005D2C20" w:rsidRPr="00A327D9">
        <w:rPr>
          <w:rFonts w:ascii="Arial" w:hAnsi="Arial" w:cs="Arial"/>
          <w:color w:val="000000"/>
          <w:sz w:val="24"/>
          <w:szCs w:val="24"/>
        </w:rPr>
        <w:t xml:space="preserve">paragraph 1 to 7 </w:t>
      </w:r>
      <w:r w:rsidR="002614EB" w:rsidRPr="00A327D9">
        <w:rPr>
          <w:rFonts w:ascii="Arial" w:hAnsi="Arial" w:cs="Arial"/>
          <w:color w:val="000000"/>
          <w:sz w:val="24"/>
          <w:szCs w:val="24"/>
        </w:rPr>
        <w:t>of the notice of motion</w:t>
      </w:r>
      <w:r w:rsidR="002614EB" w:rsidRPr="00A327D9">
        <w:rPr>
          <w:rFonts w:ascii="Arial" w:hAnsi="Arial" w:cs="Arial"/>
          <w:sz w:val="24"/>
          <w:szCs w:val="24"/>
        </w:rPr>
        <w:t>, save that there shall be no order in terms of sub-paragraph 3.3</w:t>
      </w:r>
      <w:r>
        <w:rPr>
          <w:rFonts w:ascii="Arial" w:hAnsi="Arial" w:cs="Arial"/>
          <w:sz w:val="24"/>
          <w:szCs w:val="24"/>
        </w:rPr>
        <w:t xml:space="preserve"> thereof</w:t>
      </w:r>
      <w:r w:rsidR="002614EB" w:rsidRPr="00A327D9">
        <w:rPr>
          <w:rFonts w:ascii="Arial" w:hAnsi="Arial" w:cs="Arial"/>
          <w:sz w:val="24"/>
          <w:szCs w:val="24"/>
        </w:rPr>
        <w:t>.</w:t>
      </w:r>
    </w:p>
    <w:p w:rsidR="00AF64BD" w:rsidRPr="00AF64BD" w:rsidRDefault="00AF64BD" w:rsidP="00A327D9">
      <w:pPr>
        <w:pStyle w:val="ListParagraph"/>
        <w:spacing w:after="0" w:line="360" w:lineRule="auto"/>
        <w:rPr>
          <w:rStyle w:val="apple-converted-space"/>
          <w:rFonts w:asciiTheme="minorBidi" w:hAnsiTheme="minorBidi"/>
          <w:color w:val="242121"/>
          <w:sz w:val="24"/>
          <w:szCs w:val="24"/>
          <w:shd w:val="clear" w:color="auto" w:fill="FFFFFF"/>
        </w:rPr>
      </w:pPr>
    </w:p>
    <w:p w:rsidR="008418D6" w:rsidRDefault="008418D6" w:rsidP="00A327D9">
      <w:pPr>
        <w:spacing w:line="360" w:lineRule="auto"/>
        <w:jc w:val="both"/>
        <w:rPr>
          <w:rFonts w:ascii="Arial" w:hAnsi="Arial" w:cs="Arial"/>
          <w:color w:val="000000"/>
        </w:rPr>
      </w:pPr>
    </w:p>
    <w:p w:rsidR="002614EB" w:rsidRDefault="002614EB" w:rsidP="00A327D9">
      <w:pPr>
        <w:spacing w:line="360" w:lineRule="auto"/>
        <w:jc w:val="both"/>
        <w:rPr>
          <w:rFonts w:ascii="Arial" w:hAnsi="Arial" w:cs="Arial"/>
          <w:color w:val="000000"/>
        </w:rPr>
      </w:pPr>
    </w:p>
    <w:p w:rsidR="002614EB" w:rsidRDefault="002614EB" w:rsidP="00A327D9">
      <w:pPr>
        <w:spacing w:line="360" w:lineRule="auto"/>
        <w:jc w:val="both"/>
        <w:rPr>
          <w:rFonts w:ascii="Arial" w:hAnsi="Arial" w:cs="Arial"/>
          <w:color w:val="000000"/>
        </w:rPr>
      </w:pPr>
    </w:p>
    <w:p w:rsidR="002614EB" w:rsidRDefault="002614EB" w:rsidP="00A327D9">
      <w:pPr>
        <w:spacing w:line="360" w:lineRule="auto"/>
        <w:jc w:val="both"/>
        <w:rPr>
          <w:rFonts w:ascii="Arial" w:hAnsi="Arial" w:cs="Arial"/>
          <w:color w:val="000000"/>
        </w:rPr>
      </w:pPr>
    </w:p>
    <w:p w:rsidR="002614EB" w:rsidRDefault="002614EB" w:rsidP="00A327D9">
      <w:pPr>
        <w:spacing w:line="360" w:lineRule="auto"/>
        <w:jc w:val="both"/>
        <w:rPr>
          <w:rFonts w:ascii="Arial" w:hAnsi="Arial" w:cs="Arial"/>
          <w:color w:val="000000"/>
        </w:rPr>
      </w:pPr>
    </w:p>
    <w:p w:rsidR="002614EB" w:rsidRDefault="002614EB" w:rsidP="00E4410F">
      <w:pPr>
        <w:spacing w:line="360" w:lineRule="auto"/>
        <w:jc w:val="both"/>
        <w:rPr>
          <w:rFonts w:ascii="Arial" w:hAnsi="Arial" w:cs="Arial"/>
          <w:color w:val="000000"/>
        </w:rPr>
      </w:pPr>
    </w:p>
    <w:p w:rsidR="002614EB" w:rsidRDefault="002614EB" w:rsidP="00E4410F">
      <w:pPr>
        <w:spacing w:line="360" w:lineRule="auto"/>
        <w:jc w:val="both"/>
        <w:rPr>
          <w:rFonts w:ascii="Arial" w:hAnsi="Arial" w:cs="Arial"/>
          <w:color w:val="000000"/>
        </w:rPr>
      </w:pPr>
    </w:p>
    <w:p w:rsidR="002614EB" w:rsidRDefault="002614EB" w:rsidP="00E4410F">
      <w:pPr>
        <w:spacing w:line="360" w:lineRule="auto"/>
        <w:jc w:val="both"/>
        <w:rPr>
          <w:rFonts w:ascii="Arial" w:hAnsi="Arial" w:cs="Arial"/>
          <w:color w:val="000000"/>
        </w:rPr>
      </w:pPr>
    </w:p>
    <w:p w:rsidR="00970BA2" w:rsidRDefault="00970BA2"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5E8EECF7" wp14:editId="2C259D18">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977" w:rsidRDefault="00812977" w:rsidP="00970BA2">
      <w:pPr>
        <w:tabs>
          <w:tab w:val="left" w:pos="709"/>
        </w:tabs>
        <w:jc w:val="right"/>
        <w:rPr>
          <w:rFonts w:asciiTheme="minorBidi" w:hAnsiTheme="minorBidi"/>
        </w:rPr>
      </w:pPr>
    </w:p>
    <w:p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rsidR="00970BA2" w:rsidRDefault="00970BA2" w:rsidP="00970BA2">
      <w:pPr>
        <w:tabs>
          <w:tab w:val="left" w:pos="709"/>
        </w:tabs>
        <w:spacing w:line="360" w:lineRule="auto"/>
        <w:jc w:val="right"/>
        <w:rPr>
          <w:rFonts w:asciiTheme="minorBidi" w:hAnsiTheme="minorBidi"/>
          <w:b/>
        </w:rPr>
      </w:pPr>
    </w:p>
    <w:p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2614EB" w:rsidRDefault="002614EB" w:rsidP="00970BA2">
      <w:pPr>
        <w:spacing w:line="360" w:lineRule="auto"/>
        <w:jc w:val="center"/>
        <w:rPr>
          <w:rFonts w:asciiTheme="minorBidi" w:eastAsia="Calibri" w:hAnsiTheme="minorBidi"/>
          <w:b/>
          <w:u w:val="single"/>
        </w:rPr>
      </w:pPr>
    </w:p>
    <w:p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rsidR="00970BA2" w:rsidRDefault="00970BA2" w:rsidP="00970BA2">
      <w:pPr>
        <w:spacing w:line="360" w:lineRule="auto"/>
        <w:jc w:val="both"/>
        <w:rPr>
          <w:rFonts w:asciiTheme="minorBidi" w:eastAsia="Calibri" w:hAnsiTheme="minorBidi"/>
          <w:b/>
          <w:u w:val="single"/>
        </w:rPr>
      </w:pPr>
    </w:p>
    <w:p w:rsidR="008418D6" w:rsidRPr="007B0DD3" w:rsidRDefault="008418D6" w:rsidP="00970BA2">
      <w:pPr>
        <w:spacing w:line="360" w:lineRule="auto"/>
        <w:jc w:val="both"/>
        <w:rPr>
          <w:rFonts w:asciiTheme="minorBidi" w:eastAsia="Calibri" w:hAnsiTheme="minorBidi"/>
          <w:b/>
          <w:u w:val="single"/>
        </w:rPr>
      </w:pPr>
    </w:p>
    <w:p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applicants</w:t>
      </w:r>
      <w:r w:rsidRPr="007B0DD3">
        <w:rPr>
          <w:rFonts w:asciiTheme="minorBidi" w:hAnsiTheme="minorBidi"/>
        </w:rPr>
        <w:tab/>
      </w:r>
      <w:r w:rsidRPr="007B0DD3">
        <w:rPr>
          <w:rFonts w:asciiTheme="minorBidi" w:hAnsiTheme="minorBidi"/>
        </w:rPr>
        <w:tab/>
        <w:t xml:space="preserve">:  </w:t>
      </w:r>
      <w:r w:rsidRPr="007B0DD3">
        <w:rPr>
          <w:rFonts w:asciiTheme="minorBidi" w:hAnsiTheme="minorBidi"/>
        </w:rPr>
        <w:tab/>
      </w:r>
      <w:r w:rsidR="00801F45">
        <w:rPr>
          <w:rFonts w:asciiTheme="minorBidi" w:hAnsiTheme="minorBidi"/>
        </w:rPr>
        <w:t>Ms J L Miranda</w:t>
      </w:r>
    </w:p>
    <w:p w:rsidR="001E1CD2" w:rsidRDefault="00970BA2" w:rsidP="00812977">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Pr="007B0DD3">
        <w:rPr>
          <w:rFonts w:asciiTheme="minorBidi" w:hAnsiTheme="minorBidi"/>
        </w:rPr>
        <w:t>:</w:t>
      </w:r>
      <w:r w:rsidR="00CA010C">
        <w:rPr>
          <w:rFonts w:asciiTheme="minorBidi" w:hAnsiTheme="minorBidi"/>
        </w:rPr>
        <w:tab/>
      </w:r>
      <w:r w:rsidR="00812977">
        <w:rPr>
          <w:rFonts w:asciiTheme="minorBidi" w:hAnsiTheme="minorBidi"/>
        </w:rPr>
        <w:t>Eversheds Sutherland (KZN) Incorporated</w:t>
      </w:r>
    </w:p>
    <w:p w:rsidR="00812977" w:rsidRDefault="00812977" w:rsidP="0081297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w:t>
      </w:r>
      <w:r w:rsidRPr="00812977">
        <w:rPr>
          <w:rFonts w:asciiTheme="minorBidi" w:hAnsiTheme="minorBidi"/>
          <w:vertAlign w:val="superscript"/>
        </w:rPr>
        <w:t>st</w:t>
      </w:r>
      <w:r>
        <w:rPr>
          <w:rFonts w:asciiTheme="minorBidi" w:hAnsiTheme="minorBidi"/>
        </w:rPr>
        <w:t xml:space="preserve"> Floor</w:t>
      </w:r>
    </w:p>
    <w:p w:rsidR="00812977" w:rsidRDefault="00812977" w:rsidP="0081297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29 Richefond Circle</w:t>
      </w:r>
    </w:p>
    <w:p w:rsidR="00812977" w:rsidRDefault="00812977" w:rsidP="0081297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Ridgeside</w:t>
      </w:r>
    </w:p>
    <w:p w:rsidR="001E1CD2" w:rsidRDefault="001E1CD2" w:rsidP="00781761">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Umhlanga</w:t>
      </w:r>
    </w:p>
    <w:p w:rsidR="00970BA2" w:rsidRPr="007B0DD3" w:rsidRDefault="00781761" w:rsidP="001E1CD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rsidR="00970BA2" w:rsidRDefault="00970BA2" w:rsidP="00970BA2">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w:t>
      </w:r>
      <w:r w:rsidR="001E1CD2">
        <w:rPr>
          <w:rFonts w:asciiTheme="minorBidi" w:hAnsiTheme="minorBidi"/>
        </w:rPr>
        <w:tab/>
      </w:r>
      <w:r w:rsidRPr="007B0DD3">
        <w:rPr>
          <w:rFonts w:asciiTheme="minorBidi" w:hAnsiTheme="minorBidi"/>
        </w:rPr>
        <w:t>:</w:t>
      </w:r>
      <w:r w:rsidR="00801F45">
        <w:rPr>
          <w:rFonts w:asciiTheme="minorBidi" w:hAnsiTheme="minorBidi"/>
        </w:rPr>
        <w:tab/>
      </w:r>
      <w:r w:rsidR="00A327D9">
        <w:rPr>
          <w:rFonts w:asciiTheme="minorBidi" w:hAnsiTheme="minorBidi"/>
        </w:rPr>
        <w:t>Mr M C Tucker</w:t>
      </w:r>
    </w:p>
    <w:p w:rsidR="008418D6" w:rsidRDefault="00970BA2" w:rsidP="00781761">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t>:</w:t>
      </w:r>
      <w:r w:rsidRPr="007B0DD3">
        <w:rPr>
          <w:rFonts w:asciiTheme="minorBidi" w:hAnsiTheme="minorBidi"/>
        </w:rPr>
        <w:tab/>
      </w:r>
      <w:r w:rsidR="00812977">
        <w:rPr>
          <w:rFonts w:asciiTheme="minorBidi" w:hAnsiTheme="minorBidi"/>
        </w:rPr>
        <w:t>Abdool, Gaffoor, Parasram and Associates</w:t>
      </w:r>
    </w:p>
    <w:p w:rsidR="001E1CD2" w:rsidRDefault="001E1CD2" w:rsidP="0081297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812977">
        <w:rPr>
          <w:rFonts w:asciiTheme="minorBidi" w:hAnsiTheme="minorBidi"/>
        </w:rPr>
        <w:t>13 Bishop Road</w:t>
      </w:r>
    </w:p>
    <w:p w:rsidR="00812977" w:rsidRDefault="00812977" w:rsidP="0081297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Windermere</w:t>
      </w:r>
    </w:p>
    <w:p w:rsidR="001E1CD2" w:rsidRDefault="001E1CD2" w:rsidP="00781761">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rsidR="00970BA2" w:rsidRPr="007B0DD3" w:rsidRDefault="00970BA2" w:rsidP="00970BA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t>1</w:t>
      </w:r>
      <w:r w:rsidR="001E1CD2">
        <w:rPr>
          <w:rFonts w:asciiTheme="minorBidi" w:eastAsia="Calibri" w:hAnsiTheme="minorBidi"/>
        </w:rPr>
        <w:t>8</w:t>
      </w:r>
      <w:r>
        <w:rPr>
          <w:rFonts w:asciiTheme="minorBidi" w:eastAsia="Calibri" w:hAnsiTheme="minorBidi"/>
        </w:rPr>
        <w:t xml:space="preserve"> July 2023</w:t>
      </w:r>
    </w:p>
    <w:p w:rsidR="001E1CD2" w:rsidRPr="007B0DD3" w:rsidRDefault="001E1CD2" w:rsidP="00970BA2">
      <w:pPr>
        <w:spacing w:line="360" w:lineRule="auto"/>
        <w:ind w:right="-82"/>
        <w:jc w:val="both"/>
        <w:rPr>
          <w:rFonts w:asciiTheme="minorBidi" w:eastAsia="Calibri" w:hAnsiTheme="minorBidi"/>
        </w:rPr>
      </w:pPr>
    </w:p>
    <w:p w:rsidR="00F3519B" w:rsidRPr="008418D6"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t>:</w:t>
      </w:r>
      <w:r w:rsidRPr="007B0DD3">
        <w:rPr>
          <w:rFonts w:asciiTheme="minorBidi" w:eastAsia="Calibri" w:hAnsiTheme="minorBidi"/>
        </w:rPr>
        <w:tab/>
      </w:r>
      <w:r w:rsidR="004C2560">
        <w:rPr>
          <w:rFonts w:asciiTheme="minorBidi" w:eastAsia="Calibri" w:hAnsiTheme="minorBidi"/>
        </w:rPr>
        <w:t>1</w:t>
      </w:r>
      <w:r w:rsidR="001E1CD2">
        <w:rPr>
          <w:rFonts w:asciiTheme="minorBidi" w:eastAsia="Calibri" w:hAnsiTheme="minorBidi"/>
        </w:rPr>
        <w:t>8</w:t>
      </w:r>
      <w:r w:rsidR="004C2560">
        <w:rPr>
          <w:rFonts w:asciiTheme="minorBidi" w:eastAsia="Calibri" w:hAnsiTheme="minorBidi"/>
        </w:rPr>
        <w:t xml:space="preserve"> July</w:t>
      </w:r>
      <w:r w:rsidRPr="007B0DD3">
        <w:rPr>
          <w:rFonts w:asciiTheme="minorBidi" w:eastAsia="Calibri" w:hAnsiTheme="minorBidi"/>
        </w:rPr>
        <w:t xml:space="preserve"> 2023</w:t>
      </w:r>
    </w:p>
    <w:sectPr w:rsidR="00F3519B"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E7" w:rsidRDefault="008157E7" w:rsidP="00F3519B">
      <w:r>
        <w:separator/>
      </w:r>
    </w:p>
  </w:endnote>
  <w:endnote w:type="continuationSeparator" w:id="0">
    <w:p w:rsidR="008157E7" w:rsidRDefault="008157E7"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E7" w:rsidRDefault="008157E7" w:rsidP="00F3519B">
      <w:r>
        <w:separator/>
      </w:r>
    </w:p>
  </w:footnote>
  <w:footnote w:type="continuationSeparator" w:id="0">
    <w:p w:rsidR="008157E7" w:rsidRDefault="008157E7" w:rsidP="00F3519B">
      <w:r>
        <w:continuationSeparator/>
      </w:r>
    </w:p>
  </w:footnote>
  <w:footnote w:id="1">
    <w:p w:rsidR="0094715E" w:rsidRPr="002E09AF" w:rsidRDefault="0094715E" w:rsidP="002E09AF">
      <w:pPr>
        <w:pStyle w:val="FootnoteText"/>
        <w:jc w:val="both"/>
        <w:rPr>
          <w:rFonts w:ascii="Arial" w:hAnsi="Arial" w:cs="Arial"/>
          <w:lang w:val="en-US"/>
        </w:rPr>
      </w:pPr>
      <w:r w:rsidRPr="002E09AF">
        <w:rPr>
          <w:rStyle w:val="FootnoteReference"/>
          <w:rFonts w:ascii="Arial" w:hAnsi="Arial" w:cs="Arial"/>
        </w:rPr>
        <w:footnoteRef/>
      </w:r>
      <w:r w:rsidRPr="002E09AF">
        <w:rPr>
          <w:rFonts w:ascii="Arial" w:hAnsi="Arial" w:cs="Arial"/>
        </w:rPr>
        <w:t xml:space="preserve"> </w:t>
      </w:r>
      <w:r w:rsidRPr="002E09AF">
        <w:rPr>
          <w:rFonts w:ascii="Arial" w:hAnsi="Arial" w:cs="Arial"/>
          <w:lang w:val="en-US"/>
        </w:rPr>
        <w:t>The immovable property has a street address of 33 Chearsley Road, Chiltern Hills, Dawncrest, Westville.</w:t>
      </w:r>
    </w:p>
  </w:footnote>
  <w:footnote w:id="2">
    <w:p w:rsidR="002E09AF" w:rsidRPr="002E09AF" w:rsidRDefault="002E09AF" w:rsidP="002E09AF">
      <w:pPr>
        <w:pStyle w:val="FootnoteText"/>
        <w:jc w:val="both"/>
        <w:rPr>
          <w:rFonts w:ascii="Arial" w:hAnsi="Arial" w:cs="Arial"/>
          <w:lang w:val="en-US"/>
        </w:rPr>
      </w:pPr>
      <w:r w:rsidRPr="002E09AF">
        <w:rPr>
          <w:rStyle w:val="FootnoteReference"/>
          <w:rFonts w:ascii="Arial" w:hAnsi="Arial" w:cs="Arial"/>
        </w:rPr>
        <w:footnoteRef/>
      </w:r>
      <w:r w:rsidRPr="002E09AF">
        <w:rPr>
          <w:rFonts w:ascii="Arial" w:hAnsi="Arial" w:cs="Arial"/>
        </w:rPr>
        <w:t xml:space="preserve"> </w:t>
      </w:r>
      <w:r w:rsidRPr="002E09AF">
        <w:rPr>
          <w:rFonts w:ascii="Arial" w:hAnsi="Arial" w:cs="Arial"/>
          <w:i/>
          <w:color w:val="000000"/>
        </w:rPr>
        <w:t xml:space="preserve">Muhlmann v Muhlmann </w:t>
      </w:r>
      <w:r>
        <w:rPr>
          <w:rFonts w:ascii="Arial" w:hAnsi="Arial" w:cs="Arial"/>
          <w:color w:val="000000"/>
        </w:rPr>
        <w:t xml:space="preserve">1984 </w:t>
      </w:r>
      <w:r w:rsidRPr="002E09AF">
        <w:rPr>
          <w:rFonts w:ascii="Arial" w:hAnsi="Arial" w:cs="Arial"/>
          <w:color w:val="000000"/>
        </w:rPr>
        <w:t>(3) SA 102 (AD) 103</w:t>
      </w:r>
      <w:r>
        <w:rPr>
          <w:rFonts w:ascii="Arial" w:hAnsi="Arial" w:cs="Arial"/>
          <w:color w:val="000000"/>
        </w:rPr>
        <w:t>.</w:t>
      </w:r>
    </w:p>
  </w:footnote>
  <w:footnote w:id="3">
    <w:p w:rsidR="006016DD" w:rsidRPr="006016DD" w:rsidRDefault="006016DD" w:rsidP="006016DD">
      <w:pPr>
        <w:pStyle w:val="ListParagraph"/>
        <w:tabs>
          <w:tab w:val="left" w:pos="709"/>
        </w:tabs>
        <w:spacing w:after="0" w:line="240" w:lineRule="auto"/>
        <w:ind w:left="0"/>
        <w:jc w:val="both"/>
        <w:rPr>
          <w:rFonts w:ascii="Arial" w:hAnsi="Arial" w:cs="Arial"/>
          <w:sz w:val="20"/>
          <w:szCs w:val="20"/>
          <w:lang w:val="en-US"/>
        </w:rPr>
      </w:pPr>
      <w:r w:rsidRPr="006016DD">
        <w:rPr>
          <w:rStyle w:val="FootnoteReference"/>
          <w:rFonts w:ascii="Arial" w:hAnsi="Arial" w:cs="Arial"/>
          <w:sz w:val="20"/>
          <w:szCs w:val="20"/>
        </w:rPr>
        <w:footnoteRef/>
      </w:r>
      <w:r w:rsidRPr="006016DD">
        <w:rPr>
          <w:rFonts w:ascii="Arial" w:hAnsi="Arial" w:cs="Arial"/>
          <w:sz w:val="20"/>
          <w:szCs w:val="20"/>
        </w:rPr>
        <w:t xml:space="preserve"> </w:t>
      </w:r>
      <w:r w:rsidRPr="006016DD">
        <w:rPr>
          <w:rFonts w:ascii="Arial" w:hAnsi="Arial" w:cs="Arial"/>
          <w:i/>
          <w:sz w:val="20"/>
          <w:szCs w:val="20"/>
        </w:rPr>
        <w:t>Morar NO v Akoo and Another</w:t>
      </w:r>
      <w:r w:rsidRPr="006016DD">
        <w:rPr>
          <w:rFonts w:ascii="Arial" w:hAnsi="Arial" w:cs="Arial"/>
          <w:sz w:val="20"/>
          <w:szCs w:val="20"/>
        </w:rPr>
        <w:t xml:space="preserve"> 2011 (6) SA 311 (SCA)</w:t>
      </w:r>
      <w:r>
        <w:rPr>
          <w:rFonts w:ascii="Arial" w:hAnsi="Arial" w:cs="Arial"/>
          <w:sz w:val="20"/>
          <w:szCs w:val="20"/>
        </w:rPr>
        <w:t xml:space="preserve"> para 25.</w:t>
      </w:r>
    </w:p>
  </w:footnote>
  <w:footnote w:id="4">
    <w:p w:rsidR="00897032" w:rsidRPr="006016DD" w:rsidRDefault="00897032" w:rsidP="006016DD">
      <w:pPr>
        <w:pStyle w:val="FootnoteText"/>
        <w:jc w:val="both"/>
        <w:rPr>
          <w:rFonts w:ascii="Arial" w:hAnsi="Arial" w:cs="Arial"/>
          <w:lang w:val="en-US"/>
        </w:rPr>
      </w:pPr>
      <w:r w:rsidRPr="006016DD">
        <w:rPr>
          <w:rStyle w:val="FootnoteReference"/>
          <w:rFonts w:ascii="Arial" w:hAnsi="Arial" w:cs="Arial"/>
        </w:rPr>
        <w:footnoteRef/>
      </w:r>
      <w:r w:rsidRPr="006016DD">
        <w:rPr>
          <w:rFonts w:ascii="Arial" w:hAnsi="Arial" w:cs="Arial"/>
        </w:rPr>
        <w:t xml:space="preserve"> </w:t>
      </w:r>
      <w:r w:rsidRPr="006016DD">
        <w:rPr>
          <w:rFonts w:ascii="Arial" w:eastAsia="Times New Roman" w:hAnsi="Arial" w:cs="Arial"/>
          <w:i/>
          <w:iCs/>
          <w:shd w:val="clear" w:color="auto" w:fill="FFFFFF"/>
          <w:lang w:val="en-ZA" w:eastAsia="en-GB" w:bidi="yi-Hebr"/>
        </w:rPr>
        <w:t>Robson v Theron</w:t>
      </w:r>
      <w:r w:rsidRPr="006016DD">
        <w:rPr>
          <w:rFonts w:ascii="Arial" w:eastAsia="Times New Roman" w:hAnsi="Arial" w:cs="Arial"/>
          <w:lang w:val="en-ZA" w:eastAsia="en-GB" w:bidi="yi-Hebr"/>
        </w:rPr>
        <w:t xml:space="preserve"> </w:t>
      </w:r>
      <w:hyperlink r:id="rId1" w:tooltip="View LawCiteRecord" w:history="1">
        <w:r w:rsidRPr="006016DD">
          <w:rPr>
            <w:rFonts w:ascii="Arial" w:eastAsia="Times New Roman" w:hAnsi="Arial" w:cs="Arial"/>
            <w:bCs/>
            <w:shd w:val="clear" w:color="auto" w:fill="FFFFFF"/>
            <w:lang w:val="en-ZA" w:eastAsia="en-GB" w:bidi="yi-Hebr"/>
          </w:rPr>
          <w:t>1978 (1) SA 841</w:t>
        </w:r>
      </w:hyperlink>
      <w:r w:rsidRPr="006016DD">
        <w:rPr>
          <w:rFonts w:ascii="Arial" w:eastAsia="Times New Roman" w:hAnsi="Arial" w:cs="Arial"/>
          <w:shd w:val="clear" w:color="auto" w:fill="FFFFFF"/>
          <w:lang w:val="en-ZA" w:eastAsia="en-GB" w:bidi="yi-Hebr"/>
        </w:rPr>
        <w:t> (A) at 856H.</w:t>
      </w:r>
    </w:p>
  </w:footnote>
  <w:footnote w:id="5">
    <w:p w:rsidR="00CE0C53" w:rsidRPr="006016DD" w:rsidRDefault="00CE0C53" w:rsidP="006016DD">
      <w:pPr>
        <w:pStyle w:val="ListParagraph"/>
        <w:tabs>
          <w:tab w:val="left" w:pos="709"/>
        </w:tabs>
        <w:spacing w:after="0" w:line="240" w:lineRule="auto"/>
        <w:ind w:left="0"/>
        <w:jc w:val="both"/>
        <w:rPr>
          <w:rFonts w:ascii="Arial" w:hAnsi="Arial" w:cs="Arial"/>
          <w:sz w:val="20"/>
          <w:szCs w:val="20"/>
          <w:lang w:val="en-US"/>
        </w:rPr>
      </w:pPr>
      <w:r w:rsidRPr="006016DD">
        <w:rPr>
          <w:rStyle w:val="FootnoteReference"/>
          <w:rFonts w:ascii="Arial" w:hAnsi="Arial" w:cs="Arial"/>
          <w:sz w:val="20"/>
          <w:szCs w:val="20"/>
        </w:rPr>
        <w:footnoteRef/>
      </w:r>
      <w:r w:rsidRPr="006016DD">
        <w:rPr>
          <w:rFonts w:ascii="Arial" w:hAnsi="Arial" w:cs="Arial"/>
          <w:sz w:val="20"/>
          <w:szCs w:val="20"/>
        </w:rPr>
        <w:t xml:space="preserve"> </w:t>
      </w:r>
      <w:r w:rsidRPr="006016DD">
        <w:rPr>
          <w:rFonts w:ascii="Arial" w:hAnsi="Arial" w:cs="Arial"/>
          <w:i/>
          <w:iCs/>
          <w:color w:val="000000" w:themeColor="text1"/>
          <w:sz w:val="20"/>
          <w:szCs w:val="20"/>
        </w:rPr>
        <w:t>Britz v Sequeira</w:t>
      </w:r>
      <w:r w:rsidRPr="006016DD">
        <w:rPr>
          <w:rFonts w:ascii="Arial" w:hAnsi="Arial" w:cs="Arial"/>
          <w:color w:val="000000" w:themeColor="text1"/>
          <w:sz w:val="20"/>
          <w:szCs w:val="20"/>
        </w:rPr>
        <w:t xml:space="preserve"> [2020] 2 All SA 415 (FB) para 16.</w:t>
      </w:r>
    </w:p>
  </w:footnote>
  <w:footnote w:id="6">
    <w:p w:rsidR="00BB5942" w:rsidRPr="00BB5942" w:rsidRDefault="00BB5942" w:rsidP="001D6356">
      <w:pPr>
        <w:pStyle w:val="ListParagraph"/>
        <w:tabs>
          <w:tab w:val="left" w:pos="709"/>
        </w:tabs>
        <w:spacing w:after="0" w:line="360" w:lineRule="auto"/>
        <w:ind w:left="0"/>
        <w:jc w:val="both"/>
        <w:rPr>
          <w:rFonts w:asciiTheme="minorBidi" w:hAnsiTheme="minorBidi"/>
          <w:lang w:val="en-US"/>
        </w:rPr>
      </w:pPr>
      <w:r w:rsidRPr="00BB5942">
        <w:rPr>
          <w:rStyle w:val="FootnoteReference"/>
          <w:rFonts w:asciiTheme="minorBidi" w:hAnsiTheme="minorBidi"/>
          <w:sz w:val="20"/>
          <w:szCs w:val="20"/>
        </w:rPr>
        <w:footnoteRef/>
      </w:r>
      <w:r w:rsidRPr="00BB5942">
        <w:rPr>
          <w:rFonts w:asciiTheme="minorBidi" w:hAnsiTheme="minorBidi"/>
          <w:sz w:val="20"/>
          <w:szCs w:val="20"/>
        </w:rPr>
        <w:t xml:space="preserve"> </w:t>
      </w:r>
      <w:r w:rsidRPr="00BB5942">
        <w:rPr>
          <w:rFonts w:asciiTheme="minorBidi" w:hAnsiTheme="minorBidi"/>
          <w:i/>
          <w:iCs/>
          <w:color w:val="000000" w:themeColor="text1"/>
          <w:sz w:val="20"/>
          <w:szCs w:val="20"/>
        </w:rPr>
        <w:t>Britz v Sequeira</w:t>
      </w:r>
      <w:r w:rsidRPr="00BB5942">
        <w:rPr>
          <w:rFonts w:asciiTheme="minorBidi" w:hAnsiTheme="minorBidi"/>
          <w:color w:val="000000" w:themeColor="text1"/>
          <w:sz w:val="20"/>
          <w:szCs w:val="20"/>
        </w:rPr>
        <w:t xml:space="preserve"> [2020] 2 All SA 415 (FB)</w:t>
      </w:r>
      <w:r w:rsidR="001D6356">
        <w:rPr>
          <w:rFonts w:asciiTheme="minorBidi" w:hAnsiTheme="minorBidi"/>
          <w:color w:val="000000" w:themeColor="text1"/>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rsidR="003B7165" w:rsidRDefault="003B7165" w:rsidP="00906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7165" w:rsidRDefault="003B7165"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rsidR="003B7165" w:rsidRPr="003B7165" w:rsidRDefault="003B7165" w:rsidP="00906A8D">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EF0190">
          <w:rPr>
            <w:rStyle w:val="PageNumber"/>
            <w:rFonts w:asciiTheme="minorBidi" w:hAnsiTheme="minorBidi"/>
            <w:noProof/>
          </w:rPr>
          <w:t>2</w:t>
        </w:r>
        <w:r w:rsidRPr="003B7165">
          <w:rPr>
            <w:rStyle w:val="PageNumber"/>
            <w:rFonts w:asciiTheme="minorBidi" w:hAnsiTheme="minorBidi"/>
          </w:rPr>
          <w:fldChar w:fldCharType="end"/>
        </w:r>
      </w:p>
    </w:sdtContent>
  </w:sdt>
  <w:p w:rsidR="003B7165" w:rsidRDefault="003B7165" w:rsidP="009456E3">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2">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4">
    <w:nsid w:val="226404DE"/>
    <w:multiLevelType w:val="hybridMultilevel"/>
    <w:tmpl w:val="CD386BDC"/>
    <w:lvl w:ilvl="0" w:tplc="5C463C68">
      <w:start w:val="1"/>
      <w:numFmt w:val="decimal"/>
      <w:lvlText w:val="[%1]"/>
      <w:lvlJc w:val="left"/>
      <w:pPr>
        <w:ind w:left="3196"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8">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2"/>
  </w:num>
  <w:num w:numId="5">
    <w:abstractNumId w:val="11"/>
  </w:num>
  <w:num w:numId="6">
    <w:abstractNumId w:val="5"/>
  </w:num>
  <w:num w:numId="7">
    <w:abstractNumId w:val="16"/>
  </w:num>
  <w:num w:numId="8">
    <w:abstractNumId w:val="15"/>
  </w:num>
  <w:num w:numId="9">
    <w:abstractNumId w:val="13"/>
  </w:num>
  <w:num w:numId="10">
    <w:abstractNumId w:val="1"/>
  </w:num>
  <w:num w:numId="11">
    <w:abstractNumId w:val="6"/>
  </w:num>
  <w:num w:numId="12">
    <w:abstractNumId w:val="10"/>
  </w:num>
  <w:num w:numId="13">
    <w:abstractNumId w:val="0"/>
  </w:num>
  <w:num w:numId="14">
    <w:abstractNumId w:val="17"/>
  </w:num>
  <w:num w:numId="15">
    <w:abstractNumId w:val="14"/>
  </w:num>
  <w:num w:numId="16">
    <w:abstractNumId w:val="3"/>
  </w:num>
  <w:num w:numId="17">
    <w:abstractNumId w:val="9"/>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02E1C"/>
    <w:rsid w:val="00007080"/>
    <w:rsid w:val="00020F69"/>
    <w:rsid w:val="0003095F"/>
    <w:rsid w:val="00042952"/>
    <w:rsid w:val="00042ADD"/>
    <w:rsid w:val="0005348D"/>
    <w:rsid w:val="00060702"/>
    <w:rsid w:val="00060A4F"/>
    <w:rsid w:val="00076005"/>
    <w:rsid w:val="000B196A"/>
    <w:rsid w:val="000B57B1"/>
    <w:rsid w:val="000C00C2"/>
    <w:rsid w:val="000C00D4"/>
    <w:rsid w:val="000C69E8"/>
    <w:rsid w:val="000D33D8"/>
    <w:rsid w:val="000F57F6"/>
    <w:rsid w:val="00103ED6"/>
    <w:rsid w:val="00124F9F"/>
    <w:rsid w:val="001321F6"/>
    <w:rsid w:val="00167ADC"/>
    <w:rsid w:val="00172D6F"/>
    <w:rsid w:val="00191D20"/>
    <w:rsid w:val="00191EC9"/>
    <w:rsid w:val="00192ADF"/>
    <w:rsid w:val="00197FE3"/>
    <w:rsid w:val="001D6356"/>
    <w:rsid w:val="001E1CD2"/>
    <w:rsid w:val="00204EFD"/>
    <w:rsid w:val="00213824"/>
    <w:rsid w:val="00223FCD"/>
    <w:rsid w:val="002332B5"/>
    <w:rsid w:val="0023582B"/>
    <w:rsid w:val="00237BA5"/>
    <w:rsid w:val="00240AA3"/>
    <w:rsid w:val="002441D0"/>
    <w:rsid w:val="002535A2"/>
    <w:rsid w:val="0025600F"/>
    <w:rsid w:val="002605F6"/>
    <w:rsid w:val="002614EB"/>
    <w:rsid w:val="002A7D02"/>
    <w:rsid w:val="002E09AF"/>
    <w:rsid w:val="002F24DD"/>
    <w:rsid w:val="00302B31"/>
    <w:rsid w:val="0030385E"/>
    <w:rsid w:val="00305008"/>
    <w:rsid w:val="003262F8"/>
    <w:rsid w:val="0034713D"/>
    <w:rsid w:val="00351A8F"/>
    <w:rsid w:val="00353AAE"/>
    <w:rsid w:val="00385DA1"/>
    <w:rsid w:val="003B7165"/>
    <w:rsid w:val="003B767D"/>
    <w:rsid w:val="003E0CBE"/>
    <w:rsid w:val="003F29F3"/>
    <w:rsid w:val="003F544F"/>
    <w:rsid w:val="00406A79"/>
    <w:rsid w:val="00417D7E"/>
    <w:rsid w:val="00427EE3"/>
    <w:rsid w:val="0045234B"/>
    <w:rsid w:val="00496ECE"/>
    <w:rsid w:val="004A2756"/>
    <w:rsid w:val="004A7452"/>
    <w:rsid w:val="004B31C8"/>
    <w:rsid w:val="004B6320"/>
    <w:rsid w:val="004B6D00"/>
    <w:rsid w:val="004C14C6"/>
    <w:rsid w:val="004C2560"/>
    <w:rsid w:val="004F23C0"/>
    <w:rsid w:val="004F772A"/>
    <w:rsid w:val="005065B3"/>
    <w:rsid w:val="00536641"/>
    <w:rsid w:val="005434F5"/>
    <w:rsid w:val="005544CB"/>
    <w:rsid w:val="0056208B"/>
    <w:rsid w:val="005672A2"/>
    <w:rsid w:val="00575CC7"/>
    <w:rsid w:val="005A19D3"/>
    <w:rsid w:val="005B13C7"/>
    <w:rsid w:val="005B5D9C"/>
    <w:rsid w:val="005C0B1E"/>
    <w:rsid w:val="005C2C73"/>
    <w:rsid w:val="005D00B1"/>
    <w:rsid w:val="005D2C20"/>
    <w:rsid w:val="005E6485"/>
    <w:rsid w:val="006016DD"/>
    <w:rsid w:val="006031D7"/>
    <w:rsid w:val="006252C8"/>
    <w:rsid w:val="0063122B"/>
    <w:rsid w:val="006A6846"/>
    <w:rsid w:val="006B458E"/>
    <w:rsid w:val="006E001D"/>
    <w:rsid w:val="006F4A7C"/>
    <w:rsid w:val="006F6C11"/>
    <w:rsid w:val="007065B3"/>
    <w:rsid w:val="00723270"/>
    <w:rsid w:val="00731F34"/>
    <w:rsid w:val="00735F33"/>
    <w:rsid w:val="00747D4C"/>
    <w:rsid w:val="007547BF"/>
    <w:rsid w:val="00775EE1"/>
    <w:rsid w:val="007801CC"/>
    <w:rsid w:val="00781761"/>
    <w:rsid w:val="007939A3"/>
    <w:rsid w:val="00796AB7"/>
    <w:rsid w:val="007D6A14"/>
    <w:rsid w:val="007E5808"/>
    <w:rsid w:val="00801F45"/>
    <w:rsid w:val="00811AB1"/>
    <w:rsid w:val="00812977"/>
    <w:rsid w:val="00814979"/>
    <w:rsid w:val="008157E7"/>
    <w:rsid w:val="00815C30"/>
    <w:rsid w:val="00825F7B"/>
    <w:rsid w:val="008418D6"/>
    <w:rsid w:val="00846022"/>
    <w:rsid w:val="008656EC"/>
    <w:rsid w:val="008828A2"/>
    <w:rsid w:val="00887F8A"/>
    <w:rsid w:val="008911A4"/>
    <w:rsid w:val="00897032"/>
    <w:rsid w:val="008B14C5"/>
    <w:rsid w:val="008B4477"/>
    <w:rsid w:val="008B601C"/>
    <w:rsid w:val="008C3500"/>
    <w:rsid w:val="008D3273"/>
    <w:rsid w:val="008F4173"/>
    <w:rsid w:val="00901EFA"/>
    <w:rsid w:val="00911A6F"/>
    <w:rsid w:val="009456E3"/>
    <w:rsid w:val="0094715E"/>
    <w:rsid w:val="00961F3D"/>
    <w:rsid w:val="00970BA2"/>
    <w:rsid w:val="00980147"/>
    <w:rsid w:val="009A0429"/>
    <w:rsid w:val="009A7383"/>
    <w:rsid w:val="009B1B97"/>
    <w:rsid w:val="009B6CD0"/>
    <w:rsid w:val="009C12B5"/>
    <w:rsid w:val="009C7402"/>
    <w:rsid w:val="00A03A43"/>
    <w:rsid w:val="00A17F59"/>
    <w:rsid w:val="00A26C43"/>
    <w:rsid w:val="00A3031A"/>
    <w:rsid w:val="00A31B9D"/>
    <w:rsid w:val="00A327D9"/>
    <w:rsid w:val="00A34821"/>
    <w:rsid w:val="00A511E6"/>
    <w:rsid w:val="00A53745"/>
    <w:rsid w:val="00A70EFD"/>
    <w:rsid w:val="00A80206"/>
    <w:rsid w:val="00A81335"/>
    <w:rsid w:val="00A81DE4"/>
    <w:rsid w:val="00AC6493"/>
    <w:rsid w:val="00AC7AC8"/>
    <w:rsid w:val="00AD0EE5"/>
    <w:rsid w:val="00AD7D02"/>
    <w:rsid w:val="00AE68CE"/>
    <w:rsid w:val="00AF64BD"/>
    <w:rsid w:val="00B03F64"/>
    <w:rsid w:val="00B27D49"/>
    <w:rsid w:val="00B316F2"/>
    <w:rsid w:val="00B31E41"/>
    <w:rsid w:val="00B43C70"/>
    <w:rsid w:val="00B52880"/>
    <w:rsid w:val="00B6277B"/>
    <w:rsid w:val="00B74FC1"/>
    <w:rsid w:val="00B82AC3"/>
    <w:rsid w:val="00BA01BE"/>
    <w:rsid w:val="00BB5942"/>
    <w:rsid w:val="00BD5F3E"/>
    <w:rsid w:val="00BE518C"/>
    <w:rsid w:val="00BF187F"/>
    <w:rsid w:val="00C12FF5"/>
    <w:rsid w:val="00C20C8A"/>
    <w:rsid w:val="00C25573"/>
    <w:rsid w:val="00C265FA"/>
    <w:rsid w:val="00C309A6"/>
    <w:rsid w:val="00C411A6"/>
    <w:rsid w:val="00C75AD2"/>
    <w:rsid w:val="00C80A8F"/>
    <w:rsid w:val="00CA010C"/>
    <w:rsid w:val="00CA0E01"/>
    <w:rsid w:val="00CC275F"/>
    <w:rsid w:val="00CC5EB7"/>
    <w:rsid w:val="00CD4E3F"/>
    <w:rsid w:val="00CE0C53"/>
    <w:rsid w:val="00CF23DD"/>
    <w:rsid w:val="00CF4F2A"/>
    <w:rsid w:val="00D029F6"/>
    <w:rsid w:val="00D14BF0"/>
    <w:rsid w:val="00D14E49"/>
    <w:rsid w:val="00D808A7"/>
    <w:rsid w:val="00D84019"/>
    <w:rsid w:val="00D904C0"/>
    <w:rsid w:val="00DA0EBB"/>
    <w:rsid w:val="00DD572D"/>
    <w:rsid w:val="00DE1655"/>
    <w:rsid w:val="00E11A9B"/>
    <w:rsid w:val="00E12442"/>
    <w:rsid w:val="00E14479"/>
    <w:rsid w:val="00E1628D"/>
    <w:rsid w:val="00E168B8"/>
    <w:rsid w:val="00E16ADD"/>
    <w:rsid w:val="00E222E3"/>
    <w:rsid w:val="00E40E21"/>
    <w:rsid w:val="00E4410F"/>
    <w:rsid w:val="00E67E2F"/>
    <w:rsid w:val="00E764CF"/>
    <w:rsid w:val="00E819B4"/>
    <w:rsid w:val="00E876AB"/>
    <w:rsid w:val="00EA2C77"/>
    <w:rsid w:val="00ED500B"/>
    <w:rsid w:val="00EE0601"/>
    <w:rsid w:val="00EE25B5"/>
    <w:rsid w:val="00EF0190"/>
    <w:rsid w:val="00F1477C"/>
    <w:rsid w:val="00F153AB"/>
    <w:rsid w:val="00F3519B"/>
    <w:rsid w:val="00F3685B"/>
    <w:rsid w:val="00F47831"/>
    <w:rsid w:val="00F543A0"/>
    <w:rsid w:val="00F54D8B"/>
    <w:rsid w:val="00F75935"/>
    <w:rsid w:val="00F8315C"/>
    <w:rsid w:val="00FA4D0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720862860">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78%20%281%29%20SA%20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4014-241D-4435-8B0C-633BDE66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dcterms:created xsi:type="dcterms:W3CDTF">2023-07-18T10:06:00Z</dcterms:created>
  <dcterms:modified xsi:type="dcterms:W3CDTF">2023-07-18T10:07:00Z</dcterms:modified>
</cp:coreProperties>
</file>