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5F6ED"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55C32F19" wp14:editId="3BF2ADFB">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09EB0ED" w14:textId="77777777" w:rsidR="008D3273" w:rsidRPr="007B0DD3" w:rsidRDefault="008D3273" w:rsidP="008D3273">
      <w:pPr>
        <w:spacing w:line="360" w:lineRule="auto"/>
        <w:contextualSpacing/>
        <w:jc w:val="both"/>
        <w:rPr>
          <w:rFonts w:asciiTheme="minorBidi" w:hAnsiTheme="minorBidi"/>
          <w:b/>
          <w:sz w:val="16"/>
          <w:szCs w:val="16"/>
        </w:rPr>
      </w:pPr>
    </w:p>
    <w:p w14:paraId="02F62AE0"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38D77E62" w14:textId="322B5383"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4C2560">
        <w:rPr>
          <w:rFonts w:asciiTheme="minorBidi" w:hAnsiTheme="minorBidi"/>
          <w:b/>
        </w:rPr>
        <w:t xml:space="preserve">LOCAL </w:t>
      </w:r>
      <w:r w:rsidRPr="007B0DD3">
        <w:rPr>
          <w:rFonts w:asciiTheme="minorBidi" w:hAnsiTheme="minorBidi"/>
          <w:b/>
        </w:rPr>
        <w:t xml:space="preserve">DIVISION, </w:t>
      </w:r>
      <w:r w:rsidR="004C2560">
        <w:rPr>
          <w:rFonts w:asciiTheme="minorBidi" w:hAnsiTheme="minorBidi"/>
          <w:b/>
        </w:rPr>
        <w:t>DURBAN</w:t>
      </w:r>
    </w:p>
    <w:p w14:paraId="3E18597C" w14:textId="77777777" w:rsidR="008D3273" w:rsidRPr="007B0DD3" w:rsidRDefault="008D3273" w:rsidP="008D3273">
      <w:pPr>
        <w:spacing w:line="360" w:lineRule="auto"/>
        <w:contextualSpacing/>
        <w:jc w:val="center"/>
        <w:rPr>
          <w:rFonts w:asciiTheme="minorBidi" w:hAnsiTheme="minorBidi"/>
        </w:rPr>
      </w:pPr>
    </w:p>
    <w:p w14:paraId="472DB965" w14:textId="6707AD77"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4C2560">
        <w:rPr>
          <w:rFonts w:asciiTheme="minorBidi" w:hAnsiTheme="minorBidi"/>
          <w:b/>
        </w:rPr>
        <w:t>D</w:t>
      </w:r>
      <w:r w:rsidR="0007412D">
        <w:rPr>
          <w:rFonts w:asciiTheme="minorBidi" w:hAnsiTheme="minorBidi"/>
          <w:b/>
        </w:rPr>
        <w:t>546</w:t>
      </w:r>
      <w:r w:rsidR="004C2560">
        <w:rPr>
          <w:rFonts w:asciiTheme="minorBidi" w:hAnsiTheme="minorBidi"/>
          <w:b/>
        </w:rPr>
        <w:t>/20</w:t>
      </w:r>
      <w:r w:rsidR="0007412D">
        <w:rPr>
          <w:rFonts w:asciiTheme="minorBidi" w:hAnsiTheme="minorBidi"/>
          <w:b/>
        </w:rPr>
        <w:t>22</w:t>
      </w:r>
    </w:p>
    <w:p w14:paraId="402E3F3E"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493D0869" w14:textId="77777777" w:rsidR="008D3273" w:rsidRDefault="008D3273" w:rsidP="008D3273">
      <w:pPr>
        <w:tabs>
          <w:tab w:val="right" w:pos="9072"/>
        </w:tabs>
        <w:spacing w:line="360" w:lineRule="auto"/>
        <w:contextualSpacing/>
        <w:jc w:val="both"/>
        <w:rPr>
          <w:rFonts w:asciiTheme="minorBidi" w:hAnsiTheme="minorBidi"/>
          <w:b/>
          <w:bCs/>
        </w:rPr>
      </w:pPr>
    </w:p>
    <w:p w14:paraId="45788AA5" w14:textId="62F71252" w:rsidR="008D3273" w:rsidRDefault="0060753A" w:rsidP="008D3273">
      <w:pPr>
        <w:tabs>
          <w:tab w:val="right" w:pos="9072"/>
        </w:tabs>
        <w:spacing w:line="360" w:lineRule="auto"/>
        <w:contextualSpacing/>
        <w:jc w:val="both"/>
        <w:rPr>
          <w:rFonts w:asciiTheme="minorBidi" w:hAnsiTheme="minorBidi"/>
          <w:b/>
          <w:bCs/>
        </w:rPr>
      </w:pPr>
      <w:r>
        <w:rPr>
          <w:rFonts w:asciiTheme="minorBidi" w:hAnsiTheme="minorBidi"/>
          <w:b/>
          <w:bCs/>
        </w:rPr>
        <w:t>PREVISHA PILLAY</w:t>
      </w:r>
      <w:r w:rsidR="008D3273">
        <w:rPr>
          <w:rFonts w:asciiTheme="minorBidi" w:hAnsiTheme="minorBidi"/>
          <w:b/>
          <w:bCs/>
        </w:rPr>
        <w:t xml:space="preserve"> </w:t>
      </w:r>
      <w:r w:rsidR="008D3273">
        <w:rPr>
          <w:rFonts w:asciiTheme="minorBidi" w:hAnsiTheme="minorBidi"/>
          <w:b/>
          <w:bCs/>
        </w:rPr>
        <w:tab/>
      </w:r>
      <w:r>
        <w:rPr>
          <w:rFonts w:asciiTheme="minorBidi" w:hAnsiTheme="minorBidi"/>
          <w:b/>
          <w:bCs/>
        </w:rPr>
        <w:t>PLAINTIFF</w:t>
      </w:r>
    </w:p>
    <w:p w14:paraId="1011BACC" w14:textId="77777777" w:rsidR="008D3273" w:rsidRDefault="008D3273" w:rsidP="008D3273">
      <w:pPr>
        <w:tabs>
          <w:tab w:val="right" w:pos="9072"/>
        </w:tabs>
        <w:spacing w:line="360" w:lineRule="auto"/>
        <w:contextualSpacing/>
        <w:jc w:val="both"/>
        <w:rPr>
          <w:rFonts w:asciiTheme="minorBidi" w:hAnsiTheme="minorBidi"/>
          <w:bCs/>
        </w:rPr>
      </w:pPr>
    </w:p>
    <w:p w14:paraId="1337D27E" w14:textId="77777777"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14:paraId="5F92EFF5" w14:textId="77777777" w:rsidR="008D3273" w:rsidRDefault="008D3273" w:rsidP="008D3273">
      <w:pPr>
        <w:tabs>
          <w:tab w:val="right" w:pos="9072"/>
        </w:tabs>
        <w:spacing w:line="360" w:lineRule="auto"/>
        <w:contextualSpacing/>
        <w:jc w:val="both"/>
        <w:rPr>
          <w:rFonts w:asciiTheme="minorBidi" w:hAnsiTheme="minorBidi"/>
          <w:b/>
        </w:rPr>
      </w:pPr>
    </w:p>
    <w:p w14:paraId="230C6F16" w14:textId="257D7100" w:rsidR="008D3273" w:rsidRDefault="0060753A" w:rsidP="008D3273">
      <w:pPr>
        <w:tabs>
          <w:tab w:val="right" w:pos="9072"/>
        </w:tabs>
        <w:spacing w:line="360" w:lineRule="auto"/>
        <w:contextualSpacing/>
        <w:jc w:val="both"/>
        <w:rPr>
          <w:rFonts w:asciiTheme="minorBidi" w:hAnsiTheme="minorBidi"/>
          <w:b/>
        </w:rPr>
      </w:pPr>
      <w:r>
        <w:rPr>
          <w:rFonts w:asciiTheme="minorBidi" w:hAnsiTheme="minorBidi"/>
          <w:b/>
        </w:rPr>
        <w:t>DISCOVERY HEALTH (PTY) LIMITED</w:t>
      </w:r>
      <w:r w:rsidR="008D3273">
        <w:rPr>
          <w:rFonts w:asciiTheme="minorBidi" w:hAnsiTheme="minorBidi"/>
          <w:b/>
        </w:rPr>
        <w:tab/>
      </w:r>
      <w:r>
        <w:rPr>
          <w:rFonts w:asciiTheme="minorBidi" w:hAnsiTheme="minorBidi"/>
          <w:b/>
        </w:rPr>
        <w:t>FIRST DEFENDANT</w:t>
      </w:r>
    </w:p>
    <w:p w14:paraId="0106741D" w14:textId="66D9F45C" w:rsidR="0060753A" w:rsidRDefault="0060753A" w:rsidP="008D3273">
      <w:pPr>
        <w:tabs>
          <w:tab w:val="right" w:pos="9072"/>
        </w:tabs>
        <w:spacing w:line="360" w:lineRule="auto"/>
        <w:contextualSpacing/>
        <w:jc w:val="both"/>
        <w:rPr>
          <w:rFonts w:asciiTheme="minorBidi" w:hAnsiTheme="minorBidi"/>
          <w:b/>
        </w:rPr>
      </w:pPr>
      <w:r>
        <w:rPr>
          <w:rFonts w:asciiTheme="minorBidi" w:hAnsiTheme="minorBidi"/>
          <w:b/>
        </w:rPr>
        <w:t>ALPHA PHARM (KZN) (PTY) LIMITED</w:t>
      </w:r>
      <w:r>
        <w:rPr>
          <w:rFonts w:asciiTheme="minorBidi" w:hAnsiTheme="minorBidi"/>
          <w:b/>
        </w:rPr>
        <w:tab/>
        <w:t>SECOND DEFENDANT</w:t>
      </w:r>
    </w:p>
    <w:p w14:paraId="0BF35898" w14:textId="1AB6247D"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119A74F2" w14:textId="77777777" w:rsidR="008D3273" w:rsidRPr="007B0DD3" w:rsidRDefault="008D3273" w:rsidP="00E4410F">
      <w:pPr>
        <w:jc w:val="both"/>
        <w:rPr>
          <w:rFonts w:asciiTheme="minorBidi" w:hAnsiTheme="minorBidi"/>
          <w:bCs/>
        </w:rPr>
      </w:pPr>
    </w:p>
    <w:p w14:paraId="6988D522" w14:textId="494A7AEE" w:rsidR="005D2C20" w:rsidRDefault="008D3273" w:rsidP="005D2C20">
      <w:pPr>
        <w:spacing w:line="360" w:lineRule="auto"/>
        <w:jc w:val="both"/>
        <w:rPr>
          <w:rFonts w:asciiTheme="minorBidi" w:hAnsiTheme="minorBidi"/>
          <w:bCs/>
        </w:rPr>
      </w:pPr>
      <w:r w:rsidRPr="007B0DD3">
        <w:rPr>
          <w:rFonts w:asciiTheme="minorBidi" w:hAnsiTheme="minorBidi"/>
          <w:bCs/>
        </w:rPr>
        <w:t>Coram:</w:t>
      </w:r>
      <w:r w:rsidRPr="007B0DD3">
        <w:rPr>
          <w:rFonts w:asciiTheme="minorBidi" w:hAnsiTheme="minorBidi"/>
          <w:bCs/>
        </w:rPr>
        <w:tab/>
        <w:t>Mossop J</w:t>
      </w:r>
    </w:p>
    <w:p w14:paraId="27D46D5A" w14:textId="684CB900" w:rsidR="008D3273" w:rsidRDefault="008D3273" w:rsidP="005D2C20">
      <w:pPr>
        <w:spacing w:line="360" w:lineRule="auto"/>
        <w:jc w:val="both"/>
        <w:rPr>
          <w:rFonts w:asciiTheme="minorBidi" w:hAnsiTheme="minorBidi"/>
          <w:bCs/>
        </w:rPr>
      </w:pPr>
      <w:r w:rsidRPr="007B0DD3">
        <w:rPr>
          <w:rFonts w:asciiTheme="minorBidi" w:hAnsiTheme="minorBidi"/>
          <w:bCs/>
        </w:rPr>
        <w:t>Heard:</w:t>
      </w:r>
      <w:r w:rsidRPr="007B0DD3">
        <w:rPr>
          <w:rFonts w:asciiTheme="minorBidi" w:hAnsiTheme="minorBidi"/>
          <w:bCs/>
        </w:rPr>
        <w:tab/>
      </w:r>
      <w:r w:rsidR="004C2560">
        <w:rPr>
          <w:rFonts w:asciiTheme="minorBidi" w:hAnsiTheme="minorBidi"/>
          <w:bCs/>
        </w:rPr>
        <w:t>1</w:t>
      </w:r>
      <w:r w:rsidR="005D1739">
        <w:rPr>
          <w:rFonts w:asciiTheme="minorBidi" w:hAnsiTheme="minorBidi"/>
          <w:bCs/>
        </w:rPr>
        <w:t>9</w:t>
      </w:r>
      <w:r w:rsidR="004C2560">
        <w:rPr>
          <w:rFonts w:asciiTheme="minorBidi" w:hAnsiTheme="minorBidi"/>
          <w:bCs/>
        </w:rPr>
        <w:t xml:space="preserve"> July</w:t>
      </w:r>
      <w:r w:rsidR="00E4410F">
        <w:rPr>
          <w:rFonts w:asciiTheme="minorBidi" w:hAnsiTheme="minorBidi"/>
          <w:bCs/>
        </w:rPr>
        <w:t xml:space="preserve"> 2023</w:t>
      </w:r>
    </w:p>
    <w:p w14:paraId="1B73EF3D" w14:textId="6775990D" w:rsidR="008D3273" w:rsidRDefault="008D3273" w:rsidP="005D2C20">
      <w:pPr>
        <w:spacing w:line="360" w:lineRule="auto"/>
        <w:jc w:val="both"/>
        <w:rPr>
          <w:rFonts w:asciiTheme="minorBidi" w:hAnsiTheme="minorBidi"/>
          <w:bCs/>
        </w:rPr>
      </w:pPr>
      <w:r w:rsidRPr="007B0DD3">
        <w:rPr>
          <w:rFonts w:asciiTheme="minorBidi" w:hAnsiTheme="minorBidi"/>
          <w:bCs/>
        </w:rPr>
        <w:t>Delivered:</w:t>
      </w:r>
      <w:r w:rsidRPr="007B0DD3">
        <w:rPr>
          <w:rFonts w:asciiTheme="minorBidi" w:hAnsiTheme="minorBidi"/>
          <w:bCs/>
        </w:rPr>
        <w:tab/>
      </w:r>
      <w:r w:rsidR="004C2560">
        <w:rPr>
          <w:rFonts w:asciiTheme="minorBidi" w:hAnsiTheme="minorBidi"/>
          <w:bCs/>
        </w:rPr>
        <w:t>1</w:t>
      </w:r>
      <w:r w:rsidR="005D1739">
        <w:rPr>
          <w:rFonts w:asciiTheme="minorBidi" w:hAnsiTheme="minorBidi"/>
          <w:bCs/>
        </w:rPr>
        <w:t>9</w:t>
      </w:r>
      <w:r w:rsidR="004C2560">
        <w:rPr>
          <w:rFonts w:asciiTheme="minorBidi" w:hAnsiTheme="minorBidi"/>
          <w:bCs/>
        </w:rPr>
        <w:t xml:space="preserve"> July</w:t>
      </w:r>
      <w:r w:rsidRPr="007B0DD3">
        <w:rPr>
          <w:rFonts w:asciiTheme="minorBidi" w:hAnsiTheme="minorBidi"/>
          <w:bCs/>
        </w:rPr>
        <w:t xml:space="preserve"> 2023</w:t>
      </w:r>
    </w:p>
    <w:p w14:paraId="49ADACF5" w14:textId="77777777" w:rsidR="008D3273" w:rsidRPr="007B0DD3" w:rsidRDefault="008D3273" w:rsidP="00E4410F">
      <w:pPr>
        <w:pBdr>
          <w:bottom w:val="single" w:sz="12" w:space="1" w:color="auto"/>
        </w:pBdr>
        <w:jc w:val="both"/>
        <w:rPr>
          <w:rFonts w:asciiTheme="minorBidi" w:hAnsiTheme="minorBidi"/>
          <w:b/>
          <w:bCs/>
        </w:rPr>
      </w:pPr>
    </w:p>
    <w:p w14:paraId="26D11CE1" w14:textId="77777777" w:rsidR="008D3273" w:rsidRPr="007B0DD3" w:rsidRDefault="008D3273" w:rsidP="00E4410F">
      <w:pPr>
        <w:jc w:val="both"/>
        <w:rPr>
          <w:rFonts w:asciiTheme="minorBidi" w:hAnsiTheme="minorBidi"/>
          <w:b/>
          <w:bCs/>
        </w:rPr>
      </w:pPr>
    </w:p>
    <w:p w14:paraId="3F4DB077"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22779F12" w14:textId="77777777" w:rsidR="008D3273" w:rsidRPr="007B0DD3" w:rsidRDefault="008D3273" w:rsidP="00E4410F">
      <w:pPr>
        <w:pBdr>
          <w:bottom w:val="single" w:sz="12" w:space="1" w:color="auto"/>
        </w:pBdr>
        <w:jc w:val="both"/>
        <w:rPr>
          <w:rFonts w:asciiTheme="minorBidi" w:hAnsiTheme="minorBidi"/>
          <w:b/>
          <w:bCs/>
        </w:rPr>
      </w:pPr>
    </w:p>
    <w:p w14:paraId="621E4736"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3E9EBC02" w14:textId="3B80A265" w:rsidR="008D3273" w:rsidRDefault="008D3273" w:rsidP="00B45B52">
      <w:pPr>
        <w:spacing w:line="360" w:lineRule="auto"/>
        <w:contextualSpacing/>
        <w:jc w:val="both"/>
        <w:rPr>
          <w:rFonts w:ascii="Arial" w:hAnsi="Arial" w:cs="Arial"/>
        </w:rPr>
      </w:pPr>
      <w:r w:rsidRPr="00466F9B">
        <w:rPr>
          <w:rFonts w:ascii="Arial" w:hAnsi="Arial" w:cs="Arial"/>
        </w:rPr>
        <w:t>The following order is granted:</w:t>
      </w:r>
    </w:p>
    <w:p w14:paraId="50E2DE06" w14:textId="2A6C6426" w:rsidR="005D2C20" w:rsidRDefault="005D2C20" w:rsidP="00B45B52">
      <w:pPr>
        <w:spacing w:line="360" w:lineRule="auto"/>
        <w:contextualSpacing/>
        <w:jc w:val="both"/>
        <w:rPr>
          <w:rFonts w:ascii="Arial" w:hAnsi="Arial" w:cs="Arial"/>
        </w:rPr>
      </w:pPr>
    </w:p>
    <w:p w14:paraId="43DDA73C" w14:textId="37D102AA" w:rsidR="00472D75" w:rsidRPr="00543E48" w:rsidRDefault="00543E48" w:rsidP="00543E48">
      <w:pPr>
        <w:tabs>
          <w:tab w:val="left" w:pos="709"/>
        </w:tabs>
        <w:spacing w:line="360" w:lineRule="auto"/>
        <w:jc w:val="both"/>
        <w:rPr>
          <w:rStyle w:val="apple-converted-space"/>
          <w:rFonts w:asciiTheme="minorBidi" w:hAnsiTheme="minorBidi"/>
        </w:rPr>
      </w:pPr>
      <w:r>
        <w:rPr>
          <w:rStyle w:val="apple-converted-space"/>
          <w:rFonts w:asciiTheme="minorBidi" w:eastAsiaTheme="minorHAnsi" w:hAnsiTheme="minorBidi" w:cstheme="minorBidi"/>
          <w:lang w:val="en-GB" w:eastAsia="en-US" w:bidi="ar-SA"/>
        </w:rPr>
        <w:t>1.</w:t>
      </w:r>
      <w:r>
        <w:rPr>
          <w:rStyle w:val="apple-converted-space"/>
          <w:rFonts w:asciiTheme="minorBidi" w:eastAsiaTheme="minorHAnsi" w:hAnsiTheme="minorBidi" w:cstheme="minorBidi"/>
          <w:lang w:val="en-GB" w:eastAsia="en-US" w:bidi="ar-SA"/>
        </w:rPr>
        <w:tab/>
      </w:r>
      <w:r w:rsidR="00472D75" w:rsidRPr="00543E48">
        <w:rPr>
          <w:rStyle w:val="apple-converted-space"/>
          <w:rFonts w:asciiTheme="minorBidi" w:hAnsiTheme="minorBidi"/>
        </w:rPr>
        <w:t xml:space="preserve">The plaintiff’s claim </w:t>
      </w:r>
      <w:r w:rsidR="00EF70E7" w:rsidRPr="00543E48">
        <w:rPr>
          <w:rStyle w:val="apple-converted-space"/>
          <w:rFonts w:asciiTheme="minorBidi" w:hAnsiTheme="minorBidi"/>
        </w:rPr>
        <w:t xml:space="preserve">against the second defendant </w:t>
      </w:r>
      <w:r w:rsidR="00472D75" w:rsidRPr="00543E48">
        <w:rPr>
          <w:rStyle w:val="apple-converted-space"/>
          <w:rFonts w:asciiTheme="minorBidi" w:hAnsiTheme="minorBidi"/>
        </w:rPr>
        <w:t>is dismissed.</w:t>
      </w:r>
    </w:p>
    <w:p w14:paraId="3465EF01" w14:textId="4E734688" w:rsidR="00472D75" w:rsidRPr="00543E48" w:rsidRDefault="00543E48" w:rsidP="00543E48">
      <w:pPr>
        <w:tabs>
          <w:tab w:val="left" w:pos="709"/>
        </w:tabs>
        <w:spacing w:line="360" w:lineRule="auto"/>
        <w:jc w:val="both"/>
        <w:rPr>
          <w:rStyle w:val="apple-converted-space"/>
          <w:rFonts w:asciiTheme="minorBidi" w:hAnsiTheme="minorBidi"/>
        </w:rPr>
      </w:pPr>
      <w:r w:rsidRPr="006E308F">
        <w:rPr>
          <w:rStyle w:val="apple-converted-space"/>
          <w:rFonts w:asciiTheme="minorBidi" w:eastAsiaTheme="minorHAnsi" w:hAnsiTheme="minorBidi" w:cstheme="minorBidi"/>
          <w:lang w:val="en-GB" w:eastAsia="en-US" w:bidi="ar-SA"/>
        </w:rPr>
        <w:t>2.</w:t>
      </w:r>
      <w:r w:rsidRPr="006E308F">
        <w:rPr>
          <w:rStyle w:val="apple-converted-space"/>
          <w:rFonts w:asciiTheme="minorBidi" w:eastAsiaTheme="minorHAnsi" w:hAnsiTheme="minorBidi" w:cstheme="minorBidi"/>
          <w:lang w:val="en-GB" w:eastAsia="en-US" w:bidi="ar-SA"/>
        </w:rPr>
        <w:tab/>
      </w:r>
      <w:r w:rsidR="00472D75" w:rsidRPr="00543E48">
        <w:rPr>
          <w:rStyle w:val="apple-converted-space"/>
          <w:rFonts w:asciiTheme="minorBidi" w:hAnsiTheme="minorBidi"/>
        </w:rPr>
        <w:t>The plaintiff is directed to pay the costs of the application.</w:t>
      </w:r>
    </w:p>
    <w:p w14:paraId="371A3101" w14:textId="77777777" w:rsidR="008D3273" w:rsidRPr="007B0DD3" w:rsidRDefault="008D3273" w:rsidP="00E4410F">
      <w:pPr>
        <w:pBdr>
          <w:bottom w:val="single" w:sz="12" w:space="1" w:color="auto"/>
        </w:pBdr>
        <w:jc w:val="both"/>
        <w:rPr>
          <w:rFonts w:asciiTheme="minorBidi" w:hAnsiTheme="minorBidi"/>
          <w:b/>
          <w:bCs/>
        </w:rPr>
      </w:pPr>
    </w:p>
    <w:p w14:paraId="02D6D646" w14:textId="77777777" w:rsidR="008D3273" w:rsidRPr="007B0DD3" w:rsidRDefault="008D3273" w:rsidP="00E4410F">
      <w:pPr>
        <w:jc w:val="both"/>
        <w:rPr>
          <w:rFonts w:asciiTheme="minorBidi" w:hAnsiTheme="minorBidi"/>
          <w:b/>
          <w:bCs/>
        </w:rPr>
      </w:pPr>
    </w:p>
    <w:p w14:paraId="06E6E5EB"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630F1B79" w14:textId="77777777" w:rsidR="008D3273" w:rsidRPr="007B0DD3" w:rsidRDefault="008D3273" w:rsidP="00E4410F">
      <w:pPr>
        <w:pBdr>
          <w:bottom w:val="single" w:sz="12" w:space="1" w:color="auto"/>
        </w:pBdr>
        <w:jc w:val="both"/>
        <w:rPr>
          <w:rFonts w:asciiTheme="minorBidi" w:hAnsiTheme="minorBidi"/>
          <w:b/>
          <w:bCs/>
        </w:rPr>
      </w:pPr>
    </w:p>
    <w:p w14:paraId="1A76CCFE" w14:textId="77777777" w:rsidR="00E35570" w:rsidRDefault="00E35570" w:rsidP="008418D6">
      <w:pPr>
        <w:spacing w:line="360" w:lineRule="auto"/>
        <w:jc w:val="both"/>
        <w:rPr>
          <w:rFonts w:asciiTheme="minorBidi" w:hAnsiTheme="minorBidi"/>
          <w:b/>
        </w:rPr>
      </w:pPr>
    </w:p>
    <w:p w14:paraId="2439AA16" w14:textId="10AEBC34" w:rsidR="008D3273" w:rsidRDefault="008D3273" w:rsidP="008418D6">
      <w:pPr>
        <w:spacing w:line="360" w:lineRule="auto"/>
        <w:jc w:val="both"/>
        <w:rPr>
          <w:rFonts w:asciiTheme="minorBidi" w:hAnsiTheme="minorBidi"/>
          <w:bCs/>
        </w:rPr>
      </w:pPr>
      <w:r w:rsidRPr="007B0DD3">
        <w:rPr>
          <w:rFonts w:asciiTheme="minorBidi" w:hAnsiTheme="minorBidi"/>
          <w:b/>
        </w:rPr>
        <w:lastRenderedPageBreak/>
        <w:t xml:space="preserve">Mossop </w:t>
      </w:r>
      <w:r>
        <w:rPr>
          <w:rFonts w:asciiTheme="minorBidi" w:hAnsiTheme="minorBidi"/>
          <w:b/>
        </w:rPr>
        <w:t>J</w:t>
      </w:r>
      <w:r>
        <w:rPr>
          <w:rFonts w:asciiTheme="minorBidi" w:hAnsiTheme="minorBidi"/>
          <w:bCs/>
        </w:rPr>
        <w:t>:</w:t>
      </w:r>
    </w:p>
    <w:p w14:paraId="533ED912" w14:textId="77777777" w:rsidR="00E4410F" w:rsidRDefault="00E4410F" w:rsidP="005D59E7">
      <w:pPr>
        <w:spacing w:line="360" w:lineRule="auto"/>
        <w:jc w:val="both"/>
        <w:rPr>
          <w:rFonts w:asciiTheme="minorBidi" w:hAnsiTheme="minorBidi"/>
          <w:bCs/>
        </w:rPr>
      </w:pPr>
    </w:p>
    <w:p w14:paraId="07B396BB" w14:textId="1459A587" w:rsidR="00302B31" w:rsidRPr="00543E48" w:rsidRDefault="00543E48" w:rsidP="00543E48">
      <w:pPr>
        <w:tabs>
          <w:tab w:val="left" w:pos="709"/>
        </w:tabs>
        <w:spacing w:line="360" w:lineRule="auto"/>
        <w:jc w:val="both"/>
        <w:rPr>
          <w:rFonts w:ascii="Arial" w:hAnsi="Arial" w:cs="Arial"/>
          <w:color w:val="000000"/>
        </w:rPr>
      </w:pPr>
      <w:r w:rsidRPr="00FF4A45">
        <w:rPr>
          <w:rFonts w:ascii="Arial" w:eastAsiaTheme="minorHAnsi" w:hAnsi="Arial" w:cs="Arial"/>
          <w:color w:val="000000"/>
          <w:lang w:val="en-GB" w:eastAsia="en-US" w:bidi="ar-SA"/>
        </w:rPr>
        <w:t>[1]</w:t>
      </w:r>
      <w:r w:rsidRPr="00FF4A45">
        <w:rPr>
          <w:rFonts w:ascii="Arial" w:eastAsiaTheme="minorHAnsi" w:hAnsi="Arial" w:cs="Arial"/>
          <w:color w:val="000000"/>
          <w:lang w:val="en-GB" w:eastAsia="en-US" w:bidi="ar-SA"/>
        </w:rPr>
        <w:tab/>
      </w:r>
      <w:r w:rsidR="00302B31" w:rsidRPr="00543E48">
        <w:rPr>
          <w:rFonts w:ascii="Arial" w:hAnsi="Arial" w:cs="Arial"/>
        </w:rPr>
        <w:t>This is an ex tempore judgment.</w:t>
      </w:r>
    </w:p>
    <w:p w14:paraId="1A06D182" w14:textId="77777777" w:rsidR="00FF4A45" w:rsidRPr="00FF4A45" w:rsidRDefault="00FF4A45" w:rsidP="00FF4A45">
      <w:pPr>
        <w:pStyle w:val="ListParagraph"/>
        <w:tabs>
          <w:tab w:val="left" w:pos="709"/>
        </w:tabs>
        <w:spacing w:after="0" w:line="360" w:lineRule="auto"/>
        <w:ind w:left="0"/>
        <w:jc w:val="both"/>
        <w:rPr>
          <w:rFonts w:ascii="Arial" w:hAnsi="Arial" w:cs="Arial"/>
          <w:color w:val="000000"/>
          <w:sz w:val="24"/>
          <w:szCs w:val="24"/>
        </w:rPr>
      </w:pPr>
    </w:p>
    <w:p w14:paraId="59530FC6" w14:textId="52C6BAF1" w:rsidR="00FF4A45" w:rsidRPr="00543E48" w:rsidRDefault="00543E48" w:rsidP="00543E48">
      <w:pPr>
        <w:tabs>
          <w:tab w:val="left" w:pos="709"/>
        </w:tabs>
        <w:spacing w:line="360" w:lineRule="auto"/>
        <w:jc w:val="both"/>
        <w:rPr>
          <w:rFonts w:ascii="Arial" w:hAnsi="Arial" w:cs="Arial"/>
          <w:color w:val="000000"/>
        </w:rPr>
      </w:pPr>
      <w:r w:rsidRPr="005D2C20">
        <w:rPr>
          <w:rFonts w:ascii="Arial" w:eastAsiaTheme="minorHAnsi" w:hAnsi="Arial" w:cs="Arial"/>
          <w:color w:val="000000"/>
          <w:lang w:val="en-GB" w:eastAsia="en-US" w:bidi="ar-SA"/>
        </w:rPr>
        <w:t>[2</w:t>
      </w:r>
      <w:bookmarkStart w:id="0" w:name="_GoBack"/>
      <w:bookmarkEnd w:id="0"/>
      <w:r w:rsidRPr="005D2C20">
        <w:rPr>
          <w:rFonts w:ascii="Arial" w:eastAsiaTheme="minorHAnsi" w:hAnsi="Arial" w:cs="Arial"/>
          <w:color w:val="000000"/>
          <w:lang w:val="en-GB" w:eastAsia="en-US" w:bidi="ar-SA"/>
        </w:rPr>
        <w:t>]</w:t>
      </w:r>
      <w:r w:rsidRPr="005D2C20">
        <w:rPr>
          <w:rFonts w:ascii="Arial" w:eastAsiaTheme="minorHAnsi" w:hAnsi="Arial" w:cs="Arial"/>
          <w:color w:val="000000"/>
          <w:lang w:val="en-GB" w:eastAsia="en-US" w:bidi="ar-SA"/>
        </w:rPr>
        <w:tab/>
      </w:r>
      <w:r w:rsidR="00FF4A45" w:rsidRPr="00543E48">
        <w:rPr>
          <w:rFonts w:ascii="Arial" w:hAnsi="Arial" w:cs="Arial"/>
          <w:color w:val="000000"/>
        </w:rPr>
        <w:t xml:space="preserve">When the matter was called this morning, Mr Sookhay appeared for the plaintiff and Mr Harrison appeared for the second defendant. Both counsel </w:t>
      </w:r>
      <w:r w:rsidR="003050E0" w:rsidRPr="00543E48">
        <w:rPr>
          <w:rFonts w:ascii="Arial" w:hAnsi="Arial" w:cs="Arial"/>
          <w:color w:val="000000"/>
        </w:rPr>
        <w:t>are thanked for their assistance to the court. I shall continue to refer to the parties as they are cited in the action. The first defendant has played no part in this application and no further reference to it is therefore necessary</w:t>
      </w:r>
      <w:r w:rsidR="00755FA7" w:rsidRPr="00543E48">
        <w:rPr>
          <w:rFonts w:ascii="Arial" w:hAnsi="Arial" w:cs="Arial"/>
          <w:color w:val="000000"/>
        </w:rPr>
        <w:t xml:space="preserve"> insofar as the merits of the application are concerned</w:t>
      </w:r>
      <w:r w:rsidR="003050E0" w:rsidRPr="00543E48">
        <w:rPr>
          <w:rFonts w:ascii="Arial" w:hAnsi="Arial" w:cs="Arial"/>
          <w:color w:val="000000"/>
        </w:rPr>
        <w:t>.</w:t>
      </w:r>
    </w:p>
    <w:p w14:paraId="3FA5831E" w14:textId="77777777" w:rsidR="005D2C20" w:rsidRPr="008B14C5" w:rsidRDefault="005D2C20" w:rsidP="005D59E7">
      <w:pPr>
        <w:pStyle w:val="ListParagraph"/>
        <w:tabs>
          <w:tab w:val="left" w:pos="709"/>
        </w:tabs>
        <w:spacing w:after="0" w:line="360" w:lineRule="auto"/>
        <w:ind w:left="0"/>
        <w:jc w:val="both"/>
        <w:rPr>
          <w:rFonts w:ascii="Arial" w:hAnsi="Arial" w:cs="Arial"/>
          <w:color w:val="000000"/>
          <w:sz w:val="24"/>
          <w:szCs w:val="24"/>
        </w:rPr>
      </w:pPr>
    </w:p>
    <w:p w14:paraId="597D2BBB" w14:textId="3CAD3E63" w:rsidR="005D1739" w:rsidRPr="00543E48" w:rsidRDefault="00543E48" w:rsidP="00543E48">
      <w:pPr>
        <w:tabs>
          <w:tab w:val="left" w:pos="709"/>
        </w:tabs>
        <w:spacing w:line="360" w:lineRule="auto"/>
        <w:jc w:val="both"/>
        <w:rPr>
          <w:rFonts w:ascii="Arial" w:hAnsi="Arial" w:cs="Arial"/>
          <w:color w:val="000000"/>
        </w:rPr>
      </w:pPr>
      <w:r w:rsidRPr="005D1739">
        <w:rPr>
          <w:rFonts w:ascii="Arial" w:eastAsiaTheme="minorHAnsi" w:hAnsi="Arial" w:cs="Arial"/>
          <w:color w:val="000000"/>
          <w:lang w:val="en-GB" w:eastAsia="en-US" w:bidi="ar-SA"/>
        </w:rPr>
        <w:t>[3]</w:t>
      </w:r>
      <w:r w:rsidRPr="005D1739">
        <w:rPr>
          <w:rFonts w:ascii="Arial" w:eastAsiaTheme="minorHAnsi" w:hAnsi="Arial" w:cs="Arial"/>
          <w:color w:val="000000"/>
          <w:lang w:val="en-GB" w:eastAsia="en-US" w:bidi="ar-SA"/>
        </w:rPr>
        <w:tab/>
      </w:r>
      <w:r w:rsidR="005D1739" w:rsidRPr="00543E48">
        <w:rPr>
          <w:rFonts w:ascii="Arial" w:hAnsi="Arial" w:cs="Arial"/>
        </w:rPr>
        <w:t>On 9 July 2020, Chetty J upheld an exception brought by the second defendant against the plaintiff’s particulars of claim. The order granted reads as follows:</w:t>
      </w:r>
    </w:p>
    <w:p w14:paraId="4D976157" w14:textId="5FEC20C2" w:rsidR="005D1739" w:rsidRPr="005D1739" w:rsidRDefault="005D1739" w:rsidP="005D59E7">
      <w:pPr>
        <w:pStyle w:val="ListParagraph"/>
        <w:tabs>
          <w:tab w:val="left" w:pos="709"/>
        </w:tabs>
        <w:spacing w:after="0" w:line="360" w:lineRule="auto"/>
        <w:ind w:left="0"/>
        <w:jc w:val="both"/>
        <w:rPr>
          <w:rFonts w:ascii="Arial" w:hAnsi="Arial" w:cs="Arial"/>
          <w:color w:val="000000"/>
        </w:rPr>
      </w:pPr>
      <w:r w:rsidRPr="005D1739">
        <w:rPr>
          <w:rFonts w:ascii="Arial" w:hAnsi="Arial" w:cs="Arial"/>
          <w:color w:val="000000"/>
        </w:rPr>
        <w:t>‘1.</w:t>
      </w:r>
      <w:r w:rsidRPr="005D1739">
        <w:rPr>
          <w:rFonts w:ascii="Arial" w:hAnsi="Arial" w:cs="Arial"/>
          <w:color w:val="000000"/>
        </w:rPr>
        <w:tab/>
        <w:t>The exception taken by the Second Defendant to the Plaintiff’s particulars of Claim is upheld with costs;</w:t>
      </w:r>
    </w:p>
    <w:p w14:paraId="557EABB1" w14:textId="25174F26" w:rsidR="005D1739" w:rsidRPr="005D1739" w:rsidRDefault="005D1739" w:rsidP="005D59E7">
      <w:pPr>
        <w:pStyle w:val="ListParagraph"/>
        <w:tabs>
          <w:tab w:val="left" w:pos="709"/>
        </w:tabs>
        <w:spacing w:after="0" w:line="360" w:lineRule="auto"/>
        <w:ind w:left="0"/>
        <w:jc w:val="both"/>
        <w:rPr>
          <w:rFonts w:ascii="Arial" w:hAnsi="Arial" w:cs="Arial"/>
          <w:color w:val="000000"/>
        </w:rPr>
      </w:pPr>
      <w:r w:rsidRPr="005D1739">
        <w:rPr>
          <w:rFonts w:ascii="Arial" w:hAnsi="Arial" w:cs="Arial"/>
          <w:color w:val="000000"/>
        </w:rPr>
        <w:t>2.</w:t>
      </w:r>
      <w:r w:rsidRPr="005D1739">
        <w:rPr>
          <w:rFonts w:ascii="Arial" w:hAnsi="Arial" w:cs="Arial"/>
          <w:color w:val="000000"/>
        </w:rPr>
        <w:tab/>
        <w:t>the Plaintiff is granted leave to supplement or amend its Particulars of Claim within 20 (twenty) days of date of this order;</w:t>
      </w:r>
    </w:p>
    <w:p w14:paraId="0A443A74" w14:textId="1DA9665A" w:rsidR="005D1739" w:rsidRPr="005D1739" w:rsidRDefault="005D1739" w:rsidP="005D59E7">
      <w:pPr>
        <w:pStyle w:val="ListParagraph"/>
        <w:tabs>
          <w:tab w:val="left" w:pos="709"/>
        </w:tabs>
        <w:spacing w:after="0" w:line="360" w:lineRule="auto"/>
        <w:ind w:left="0"/>
        <w:jc w:val="both"/>
        <w:rPr>
          <w:rFonts w:ascii="Arial" w:hAnsi="Arial" w:cs="Arial"/>
          <w:color w:val="000000"/>
        </w:rPr>
      </w:pPr>
      <w:r w:rsidRPr="005D1739">
        <w:rPr>
          <w:rFonts w:ascii="Arial" w:hAnsi="Arial" w:cs="Arial"/>
          <w:color w:val="000000"/>
        </w:rPr>
        <w:t>3.</w:t>
      </w:r>
      <w:r w:rsidRPr="005D1739">
        <w:rPr>
          <w:rFonts w:ascii="Arial" w:hAnsi="Arial" w:cs="Arial"/>
          <w:color w:val="000000"/>
        </w:rPr>
        <w:tab/>
        <w:t>In the event of the Plaintiff failing to do so, the Second Defendant is granted leave to apply to have the Plaintiff’s cause of action dismissed.’</w:t>
      </w:r>
    </w:p>
    <w:p w14:paraId="32037F13" w14:textId="77777777" w:rsidR="005D1739" w:rsidRPr="005D1739" w:rsidRDefault="005D1739" w:rsidP="005D59E7">
      <w:pPr>
        <w:pStyle w:val="ListParagraph"/>
        <w:spacing w:after="0" w:line="360" w:lineRule="auto"/>
        <w:rPr>
          <w:rFonts w:ascii="Arial" w:hAnsi="Arial" w:cs="Arial"/>
          <w:sz w:val="24"/>
          <w:szCs w:val="24"/>
        </w:rPr>
      </w:pPr>
    </w:p>
    <w:p w14:paraId="31E5FDCA" w14:textId="061929FE" w:rsidR="00DF6AA2" w:rsidRPr="00543E48" w:rsidRDefault="00543E48" w:rsidP="00543E48">
      <w:pPr>
        <w:tabs>
          <w:tab w:val="left" w:pos="709"/>
        </w:tabs>
        <w:spacing w:line="360" w:lineRule="auto"/>
        <w:jc w:val="both"/>
        <w:rPr>
          <w:rFonts w:asciiTheme="minorBidi" w:hAnsiTheme="minorBidi"/>
        </w:rPr>
      </w:pPr>
      <w:r w:rsidRPr="003078E7">
        <w:rPr>
          <w:rFonts w:ascii="Arial" w:eastAsiaTheme="minorHAnsi" w:hAnsi="Arial" w:cstheme="minorBidi"/>
          <w:lang w:val="en-GB" w:eastAsia="en-US" w:bidi="ar-SA"/>
        </w:rPr>
        <w:t>[4]</w:t>
      </w:r>
      <w:r w:rsidRPr="003078E7">
        <w:rPr>
          <w:rFonts w:ascii="Arial" w:eastAsiaTheme="minorHAnsi" w:hAnsi="Arial" w:cstheme="minorBidi"/>
          <w:lang w:val="en-GB" w:eastAsia="en-US" w:bidi="ar-SA"/>
        </w:rPr>
        <w:tab/>
      </w:r>
      <w:r w:rsidR="00F912D2" w:rsidRPr="00543E48">
        <w:rPr>
          <w:rFonts w:ascii="Arial" w:hAnsi="Arial" w:cs="Arial"/>
        </w:rPr>
        <w:t>On 6 August 2020, on the</w:t>
      </w:r>
      <w:r w:rsidR="00296B55" w:rsidRPr="00543E48">
        <w:rPr>
          <w:rFonts w:ascii="Arial" w:hAnsi="Arial" w:cs="Arial"/>
        </w:rPr>
        <w:t xml:space="preserve"> final day of the</w:t>
      </w:r>
      <w:r w:rsidR="00F912D2" w:rsidRPr="00543E48">
        <w:rPr>
          <w:rFonts w:ascii="Arial" w:hAnsi="Arial" w:cs="Arial"/>
        </w:rPr>
        <w:t xml:space="preserve"> period prescribed by the order, the plaintiff delivered her amended particulars of claim.</w:t>
      </w:r>
      <w:r w:rsidR="00296B55" w:rsidRPr="00543E48">
        <w:rPr>
          <w:rFonts w:ascii="Arial" w:hAnsi="Arial" w:cs="Arial"/>
        </w:rPr>
        <w:t xml:space="preserve"> The second defendant </w:t>
      </w:r>
      <w:r w:rsidR="003078E7" w:rsidRPr="00543E48">
        <w:rPr>
          <w:rFonts w:ascii="Arial" w:hAnsi="Arial" w:cs="Arial"/>
        </w:rPr>
        <w:t xml:space="preserve">found the amended particulars of claim to be objectionable and therefore </w:t>
      </w:r>
      <w:r w:rsidR="00296B55" w:rsidRPr="00543E48">
        <w:rPr>
          <w:rFonts w:ascii="Arial" w:hAnsi="Arial" w:cs="Arial"/>
        </w:rPr>
        <w:t>delivered a notice in terms of Uniform Rule 28(3) on 19 August 2020</w:t>
      </w:r>
      <w:r w:rsidR="00DF6AA2" w:rsidRPr="00543E48">
        <w:rPr>
          <w:rFonts w:ascii="Arial" w:hAnsi="Arial" w:cs="Arial"/>
        </w:rPr>
        <w:t xml:space="preserve"> and objected to that amendment.</w:t>
      </w:r>
      <w:r w:rsidR="00296B55" w:rsidRPr="00543E48">
        <w:rPr>
          <w:rFonts w:ascii="Arial" w:hAnsi="Arial" w:cs="Arial"/>
        </w:rPr>
        <w:t xml:space="preserve"> </w:t>
      </w:r>
      <w:r w:rsidR="003078E7" w:rsidRPr="00543E48">
        <w:rPr>
          <w:rFonts w:ascii="Arial" w:hAnsi="Arial" w:cs="Arial"/>
        </w:rPr>
        <w:t xml:space="preserve">The plaintiff did not respond to that notice at all. The second defendant </w:t>
      </w:r>
      <w:r w:rsidR="00DF6AA2" w:rsidRPr="00543E48">
        <w:rPr>
          <w:rFonts w:ascii="Arial" w:hAnsi="Arial" w:cs="Arial"/>
        </w:rPr>
        <w:t xml:space="preserve">now brings this application to strike out the plaintiff’s particulars of claim on the grounds that the plaintiff has not </w:t>
      </w:r>
      <w:r w:rsidR="003078E7" w:rsidRPr="00543E48">
        <w:rPr>
          <w:rFonts w:ascii="Arial" w:hAnsi="Arial" w:cs="Arial"/>
        </w:rPr>
        <w:t xml:space="preserve">complied with the order of </w:t>
      </w:r>
      <w:r w:rsidR="00DF6AA2" w:rsidRPr="00543E48">
        <w:rPr>
          <w:rFonts w:ascii="Arial" w:hAnsi="Arial" w:cs="Arial"/>
        </w:rPr>
        <w:t>Chetty J</w:t>
      </w:r>
      <w:r w:rsidR="003078E7" w:rsidRPr="00543E48">
        <w:rPr>
          <w:rFonts w:ascii="Arial" w:hAnsi="Arial" w:cs="Arial"/>
        </w:rPr>
        <w:t xml:space="preserve"> as the particulars of claim remain unamended, so it claims.</w:t>
      </w:r>
    </w:p>
    <w:p w14:paraId="768B7FD5" w14:textId="77777777" w:rsidR="003078E7" w:rsidRPr="003078E7" w:rsidRDefault="003078E7" w:rsidP="003078E7">
      <w:pPr>
        <w:pStyle w:val="ListParagraph"/>
        <w:tabs>
          <w:tab w:val="left" w:pos="709"/>
        </w:tabs>
        <w:spacing w:after="0" w:line="360" w:lineRule="auto"/>
        <w:ind w:left="0"/>
        <w:jc w:val="both"/>
        <w:rPr>
          <w:rFonts w:asciiTheme="minorBidi" w:hAnsiTheme="minorBidi"/>
          <w:sz w:val="24"/>
          <w:szCs w:val="24"/>
        </w:rPr>
      </w:pPr>
    </w:p>
    <w:p w14:paraId="252D71EA" w14:textId="6A6672C5" w:rsidR="00E35053"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[5]</w:t>
      </w:r>
      <w:r>
        <w:rPr>
          <w:rFonts w:ascii="Arial" w:eastAsiaTheme="minorHAnsi" w:hAnsi="Arial" w:cstheme="minorBidi"/>
          <w:lang w:val="en-GB" w:eastAsia="en-US" w:bidi="ar-SA"/>
        </w:rPr>
        <w:tab/>
      </w:r>
      <w:r w:rsidR="003078E7" w:rsidRPr="00543E48">
        <w:rPr>
          <w:rFonts w:asciiTheme="minorBidi" w:hAnsiTheme="minorBidi"/>
        </w:rPr>
        <w:t xml:space="preserve">This application, essentially, revolves around what the effect of Chetty J’s order permitting leave to amend is. Does that order mean that no application is required in terms of Uniform Rule 28(1), or may the amendment simply be delivered? Does the second defendant have the right to object to the amendment in terms of Uniform Rule 28(3)? It appears to me to be implicit in the order of Chetty J that what was to be </w:t>
      </w:r>
      <w:r w:rsidR="003078E7" w:rsidRPr="00543E48">
        <w:rPr>
          <w:rFonts w:asciiTheme="minorBidi" w:hAnsiTheme="minorBidi"/>
        </w:rPr>
        <w:lastRenderedPageBreak/>
        <w:t xml:space="preserve">delivered by the plaintiff, in the event of her being advised to do so, was an unobjectionable, or </w:t>
      </w:r>
      <w:r w:rsidR="00B54C2F" w:rsidRPr="00543E48">
        <w:rPr>
          <w:rFonts w:asciiTheme="minorBidi" w:hAnsiTheme="minorBidi"/>
        </w:rPr>
        <w:t>exception resistant</w:t>
      </w:r>
      <w:r w:rsidR="003078E7" w:rsidRPr="00543E48">
        <w:rPr>
          <w:rFonts w:asciiTheme="minorBidi" w:hAnsiTheme="minorBidi"/>
        </w:rPr>
        <w:t xml:space="preserve">, amendment. The dispute between the parties is thus whether the correct procedure has been adopted by the second defendant </w:t>
      </w:r>
      <w:r w:rsidR="00E35053" w:rsidRPr="00543E48">
        <w:rPr>
          <w:rFonts w:asciiTheme="minorBidi" w:hAnsiTheme="minorBidi"/>
        </w:rPr>
        <w:t>t</w:t>
      </w:r>
      <w:r w:rsidR="003078E7" w:rsidRPr="00543E48">
        <w:rPr>
          <w:rFonts w:asciiTheme="minorBidi" w:hAnsiTheme="minorBidi"/>
        </w:rPr>
        <w:t>o ventilate its dissatisfaction with the amended particulars of claim. The second defendant has chosen to employ Uniform Rule 28</w:t>
      </w:r>
      <w:r w:rsidR="00E35053" w:rsidRPr="00543E48">
        <w:rPr>
          <w:rFonts w:asciiTheme="minorBidi" w:hAnsiTheme="minorBidi"/>
        </w:rPr>
        <w:t xml:space="preserve"> whereas the plaintiff appears to contend that Uniform Rule 23 ought to have been utilised by the second defendant. In her answering affidavit, the plaintiff states:</w:t>
      </w:r>
    </w:p>
    <w:p w14:paraId="5B77F659" w14:textId="2C73F692" w:rsidR="00E35053" w:rsidRDefault="00E35053" w:rsidP="00E35053">
      <w:pPr>
        <w:tabs>
          <w:tab w:val="left" w:pos="709"/>
        </w:tabs>
        <w:spacing w:line="360" w:lineRule="auto"/>
        <w:jc w:val="both"/>
        <w:rPr>
          <w:rFonts w:asciiTheme="minorBidi" w:hAnsiTheme="minorBidi"/>
          <w:sz w:val="22"/>
          <w:szCs w:val="22"/>
        </w:rPr>
      </w:pPr>
      <w:r w:rsidRPr="00F81806">
        <w:rPr>
          <w:rFonts w:asciiTheme="minorBidi" w:hAnsiTheme="minorBidi"/>
          <w:sz w:val="22"/>
          <w:szCs w:val="22"/>
        </w:rPr>
        <w:t>‘The fact that the amendment was effected by leave of this Honourable Court as per paragraph 2, the Second Defendant/Applicant is required to file an exception to the amended particulars of claim in terms of Rule 23 of the Uniform Ru</w:t>
      </w:r>
      <w:r w:rsidR="00B00D6F">
        <w:rPr>
          <w:rFonts w:asciiTheme="minorBidi" w:hAnsiTheme="minorBidi"/>
          <w:sz w:val="22"/>
          <w:szCs w:val="22"/>
        </w:rPr>
        <w:t>l</w:t>
      </w:r>
      <w:r w:rsidRPr="00F81806">
        <w:rPr>
          <w:rFonts w:asciiTheme="minorBidi" w:hAnsiTheme="minorBidi"/>
          <w:sz w:val="22"/>
          <w:szCs w:val="22"/>
        </w:rPr>
        <w:t>es of Court, and not an application to dismiss my claim.’</w:t>
      </w:r>
    </w:p>
    <w:p w14:paraId="794163D5" w14:textId="77777777" w:rsidR="00E35053" w:rsidRPr="00E35053" w:rsidRDefault="00E35053" w:rsidP="00E35053">
      <w:pPr>
        <w:tabs>
          <w:tab w:val="left" w:pos="709"/>
        </w:tabs>
        <w:spacing w:line="360" w:lineRule="auto"/>
        <w:jc w:val="both"/>
        <w:rPr>
          <w:rFonts w:asciiTheme="minorBidi" w:hAnsiTheme="minorBidi"/>
        </w:rPr>
      </w:pPr>
    </w:p>
    <w:p w14:paraId="102B8165" w14:textId="7CA7CC85" w:rsidR="00E35053"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[6]</w:t>
      </w:r>
      <w:r>
        <w:rPr>
          <w:rFonts w:ascii="Arial" w:eastAsiaTheme="minorHAnsi" w:hAnsi="Arial" w:cstheme="minorBidi"/>
          <w:lang w:val="en-GB" w:eastAsia="en-US" w:bidi="ar-SA"/>
        </w:rPr>
        <w:tab/>
      </w:r>
      <w:r w:rsidR="00E35053" w:rsidRPr="00543E48">
        <w:rPr>
          <w:rFonts w:asciiTheme="minorBidi" w:hAnsiTheme="minorBidi"/>
        </w:rPr>
        <w:t>I asked both Mr Harrison and Mr Sookhay to address me on this issue this morning. Mr Harrison submitted that the second defendant could have chosen to act in terms of either Uniform Rule 28 or Uniform Rule 23. He submitted that that the same allegations would have been made irrespective of which rule was used. He drew my attention to the second defendant’s notice of objection in which allegations were made that the amended particulars of claim fail to disclose a cause of action. The notice, however, also states that the allegations are vague and embarrassing in certain instances. His submission was that the second defendant had Hobson’s choice and chose to embrace Uniform Rule 28 and that there could be no prejudice to the plaintiff, who was fully appraised of the second defendant’s objections.</w:t>
      </w:r>
    </w:p>
    <w:p w14:paraId="0EEECA40" w14:textId="77777777" w:rsidR="00E35053" w:rsidRDefault="00E35053" w:rsidP="00E35053">
      <w:pPr>
        <w:pStyle w:val="ListParagraph"/>
        <w:tabs>
          <w:tab w:val="left" w:pos="709"/>
        </w:tabs>
        <w:spacing w:after="0" w:line="360" w:lineRule="auto"/>
        <w:ind w:left="0"/>
        <w:jc w:val="both"/>
        <w:rPr>
          <w:rFonts w:asciiTheme="minorBidi" w:hAnsiTheme="minorBidi"/>
          <w:sz w:val="24"/>
          <w:szCs w:val="24"/>
        </w:rPr>
      </w:pPr>
    </w:p>
    <w:p w14:paraId="53F5A8C9" w14:textId="142FFA9D" w:rsidR="00E35053" w:rsidRPr="00543E48" w:rsidRDefault="00543E48" w:rsidP="00543E48">
      <w:pPr>
        <w:tabs>
          <w:tab w:val="left" w:pos="709"/>
        </w:tabs>
        <w:spacing w:line="360" w:lineRule="auto"/>
        <w:jc w:val="both"/>
        <w:rPr>
          <w:rFonts w:asciiTheme="minorBidi" w:hAnsiTheme="minorBidi"/>
        </w:rPr>
      </w:pPr>
      <w:r w:rsidRPr="00E35053">
        <w:rPr>
          <w:rFonts w:ascii="Arial" w:eastAsiaTheme="minorHAnsi" w:hAnsi="Arial" w:cstheme="minorBidi"/>
          <w:lang w:val="en-GB" w:eastAsia="en-US" w:bidi="ar-SA"/>
        </w:rPr>
        <w:t>[7]</w:t>
      </w:r>
      <w:r w:rsidRPr="00E35053">
        <w:rPr>
          <w:rFonts w:ascii="Arial" w:eastAsiaTheme="minorHAnsi" w:hAnsi="Arial" w:cstheme="minorBidi"/>
          <w:lang w:val="en-GB" w:eastAsia="en-US" w:bidi="ar-SA"/>
        </w:rPr>
        <w:tab/>
      </w:r>
      <w:r w:rsidR="00E35053" w:rsidRPr="00543E48">
        <w:rPr>
          <w:rFonts w:asciiTheme="minorBidi" w:hAnsiTheme="minorBidi"/>
        </w:rPr>
        <w:t xml:space="preserve">Mr Sookhay, to the contrary, submitted that it was important to follow the correct procedure. Had an exception been noted, the plaintiff would be in a position to argue it and defend the amended particulars of claim. I asked him what prohibited him from advancing such an argument in these proceedings. </w:t>
      </w:r>
      <w:r w:rsidR="00AB0008" w:rsidRPr="00543E48">
        <w:rPr>
          <w:rFonts w:asciiTheme="minorBidi" w:hAnsiTheme="minorBidi"/>
        </w:rPr>
        <w:t>His answer was not that clear to me.</w:t>
      </w:r>
    </w:p>
    <w:p w14:paraId="6447C097" w14:textId="77777777" w:rsidR="00DF6AA2" w:rsidRPr="00DF6AA2" w:rsidRDefault="00DF6AA2" w:rsidP="00DF6AA2">
      <w:pPr>
        <w:pStyle w:val="ListParagraph"/>
        <w:tabs>
          <w:tab w:val="left" w:pos="709"/>
        </w:tabs>
        <w:spacing w:after="0" w:line="360" w:lineRule="auto"/>
        <w:ind w:left="0"/>
        <w:jc w:val="both"/>
        <w:rPr>
          <w:rFonts w:asciiTheme="minorBidi" w:hAnsiTheme="minorBidi"/>
          <w:sz w:val="24"/>
          <w:szCs w:val="24"/>
        </w:rPr>
      </w:pPr>
    </w:p>
    <w:p w14:paraId="7BFA8B00" w14:textId="6EAAEDDF" w:rsidR="003B767D" w:rsidRPr="00543E48" w:rsidRDefault="00543E48" w:rsidP="00543E48">
      <w:pPr>
        <w:tabs>
          <w:tab w:val="left" w:pos="709"/>
        </w:tabs>
        <w:spacing w:line="360" w:lineRule="auto"/>
        <w:jc w:val="both"/>
        <w:rPr>
          <w:rFonts w:asciiTheme="minorBidi" w:hAnsiTheme="minorBidi"/>
        </w:rPr>
      </w:pPr>
      <w:r w:rsidRPr="00296B55">
        <w:rPr>
          <w:rFonts w:ascii="Arial" w:eastAsiaTheme="minorHAnsi" w:hAnsi="Arial" w:cstheme="minorBidi"/>
          <w:lang w:val="en-GB" w:eastAsia="en-US" w:bidi="ar-SA"/>
        </w:rPr>
        <w:t>[8]</w:t>
      </w:r>
      <w:r w:rsidRPr="00296B55">
        <w:rPr>
          <w:rFonts w:ascii="Arial" w:eastAsiaTheme="minorHAnsi" w:hAnsi="Arial" w:cstheme="minorBidi"/>
          <w:lang w:val="en-GB" w:eastAsia="en-US" w:bidi="ar-SA"/>
        </w:rPr>
        <w:tab/>
      </w:r>
      <w:r w:rsidR="0003626C" w:rsidRPr="00543E48">
        <w:rPr>
          <w:rFonts w:ascii="Arial" w:hAnsi="Arial" w:cs="Arial"/>
        </w:rPr>
        <w:t xml:space="preserve">The relevant portions of </w:t>
      </w:r>
      <w:r w:rsidR="00296B55" w:rsidRPr="00543E48">
        <w:rPr>
          <w:rFonts w:ascii="Arial" w:hAnsi="Arial" w:cs="Arial"/>
        </w:rPr>
        <w:t xml:space="preserve">Uniform </w:t>
      </w:r>
      <w:r w:rsidR="000D4127" w:rsidRPr="00543E48">
        <w:rPr>
          <w:rFonts w:ascii="Arial" w:hAnsi="Arial" w:cs="Arial"/>
        </w:rPr>
        <w:t>R</w:t>
      </w:r>
      <w:r w:rsidR="00296B55" w:rsidRPr="00543E48">
        <w:rPr>
          <w:rFonts w:ascii="Arial" w:hAnsi="Arial" w:cs="Arial"/>
        </w:rPr>
        <w:t>ule 28 read as follows:</w:t>
      </w:r>
    </w:p>
    <w:p w14:paraId="363F7CA6" w14:textId="77777777" w:rsidR="00296B55" w:rsidRPr="00296B55" w:rsidRDefault="00296B55" w:rsidP="005D59E7">
      <w:pPr>
        <w:spacing w:line="360" w:lineRule="auto"/>
        <w:jc w:val="both"/>
        <w:rPr>
          <w:rFonts w:asciiTheme="minorBidi" w:hAnsiTheme="minorBidi" w:cstheme="minorBidi"/>
          <w:color w:val="000000" w:themeColor="text1"/>
          <w:sz w:val="22"/>
          <w:szCs w:val="22"/>
        </w:rPr>
      </w:pPr>
      <w:r w:rsidRPr="00296B55">
        <w:rPr>
          <w:rFonts w:asciiTheme="minorBidi" w:hAnsiTheme="minorBidi" w:cstheme="minorBidi"/>
          <w:b/>
          <w:bCs/>
          <w:color w:val="000000" w:themeColor="text1"/>
          <w:sz w:val="22"/>
          <w:szCs w:val="22"/>
        </w:rPr>
        <w:t xml:space="preserve">‘Amendment of Pleadings and Documents </w:t>
      </w:r>
    </w:p>
    <w:p w14:paraId="3C366BC4" w14:textId="5A10F14D" w:rsidR="00296B55" w:rsidRPr="00296B55" w:rsidRDefault="00296B55" w:rsidP="005D59E7">
      <w:pPr>
        <w:tabs>
          <w:tab w:val="left" w:pos="709"/>
        </w:tabs>
        <w:spacing w:line="360" w:lineRule="auto"/>
        <w:jc w:val="both"/>
        <w:rPr>
          <w:rFonts w:asciiTheme="minorBidi" w:hAnsiTheme="minorBidi" w:cstheme="minorBidi"/>
          <w:sz w:val="22"/>
          <w:szCs w:val="22"/>
        </w:rPr>
      </w:pPr>
      <w:r w:rsidRPr="00296B55">
        <w:rPr>
          <w:rFonts w:asciiTheme="minorBidi" w:hAnsiTheme="minorBidi"/>
          <w:sz w:val="22"/>
          <w:szCs w:val="22"/>
        </w:rPr>
        <w:t xml:space="preserve">(1) </w:t>
      </w:r>
      <w:r w:rsidR="005A7540">
        <w:rPr>
          <w:rFonts w:asciiTheme="minorBidi" w:hAnsiTheme="minorBidi"/>
          <w:sz w:val="22"/>
          <w:szCs w:val="22"/>
        </w:rPr>
        <w:tab/>
      </w:r>
      <w:r w:rsidRPr="00296B55">
        <w:rPr>
          <w:rFonts w:asciiTheme="minorBidi" w:hAnsiTheme="minorBidi"/>
          <w:sz w:val="22"/>
          <w:szCs w:val="22"/>
        </w:rPr>
        <w:t xml:space="preserve">Any party desiring to amend a pleading or document other than a sworn statement, filed in connection with any proceedings, shall notify all other parties of his intention to amend and shall furnish particulars of the amendment. </w:t>
      </w:r>
    </w:p>
    <w:p w14:paraId="49E33176" w14:textId="42C491E5" w:rsidR="00296B55" w:rsidRPr="00296B55" w:rsidRDefault="00296B55" w:rsidP="005D59E7">
      <w:pPr>
        <w:tabs>
          <w:tab w:val="left" w:pos="709"/>
        </w:tabs>
        <w:spacing w:line="360" w:lineRule="auto"/>
        <w:jc w:val="both"/>
        <w:rPr>
          <w:rFonts w:asciiTheme="minorBidi" w:hAnsiTheme="minorBidi" w:cstheme="minorBidi"/>
          <w:sz w:val="22"/>
          <w:szCs w:val="22"/>
        </w:rPr>
      </w:pPr>
      <w:r w:rsidRPr="00296B55">
        <w:rPr>
          <w:rFonts w:asciiTheme="minorBidi" w:hAnsiTheme="minorBidi"/>
          <w:sz w:val="22"/>
          <w:szCs w:val="22"/>
        </w:rPr>
        <w:lastRenderedPageBreak/>
        <w:t xml:space="preserve">(2) </w:t>
      </w:r>
      <w:r w:rsidR="005A7540">
        <w:rPr>
          <w:rFonts w:asciiTheme="minorBidi" w:hAnsiTheme="minorBidi"/>
          <w:sz w:val="22"/>
          <w:szCs w:val="22"/>
        </w:rPr>
        <w:tab/>
      </w:r>
      <w:r w:rsidRPr="00296B55">
        <w:rPr>
          <w:rFonts w:asciiTheme="minorBidi" w:hAnsiTheme="minorBidi"/>
          <w:sz w:val="22"/>
          <w:szCs w:val="22"/>
        </w:rPr>
        <w:t xml:space="preserve">The notice referred to in </w:t>
      </w:r>
      <w:r w:rsidR="003E2CC9" w:rsidRPr="00296B55">
        <w:rPr>
          <w:rFonts w:asciiTheme="minorBidi" w:hAnsiTheme="minorBidi"/>
          <w:sz w:val="22"/>
          <w:szCs w:val="22"/>
        </w:rPr>
        <w:t>sub rule</w:t>
      </w:r>
      <w:r w:rsidRPr="00296B55">
        <w:rPr>
          <w:rFonts w:asciiTheme="minorBidi" w:hAnsiTheme="minorBidi"/>
          <w:sz w:val="22"/>
          <w:szCs w:val="22"/>
        </w:rPr>
        <w:t xml:space="preserve"> (1) shall state that unless written objection to the proposed amendment is delivered within 10 days of delivery of the notice, the amendment will be effected. </w:t>
      </w:r>
    </w:p>
    <w:p w14:paraId="42736E57" w14:textId="1E88F879" w:rsidR="00296B55" w:rsidRPr="00296B55" w:rsidRDefault="00296B55" w:rsidP="005D59E7">
      <w:pPr>
        <w:tabs>
          <w:tab w:val="left" w:pos="709"/>
        </w:tabs>
        <w:spacing w:line="360" w:lineRule="auto"/>
        <w:jc w:val="both"/>
        <w:rPr>
          <w:rFonts w:asciiTheme="minorBidi" w:hAnsiTheme="minorBidi" w:cstheme="minorBidi"/>
          <w:sz w:val="22"/>
          <w:szCs w:val="22"/>
        </w:rPr>
      </w:pPr>
      <w:r w:rsidRPr="00296B55">
        <w:rPr>
          <w:rFonts w:asciiTheme="minorBidi" w:hAnsiTheme="minorBidi"/>
          <w:sz w:val="22"/>
          <w:szCs w:val="22"/>
        </w:rPr>
        <w:t xml:space="preserve">(3) </w:t>
      </w:r>
      <w:r w:rsidR="005A7540">
        <w:rPr>
          <w:rFonts w:asciiTheme="minorBidi" w:hAnsiTheme="minorBidi"/>
          <w:sz w:val="22"/>
          <w:szCs w:val="22"/>
        </w:rPr>
        <w:tab/>
      </w:r>
      <w:r w:rsidRPr="00296B55">
        <w:rPr>
          <w:rFonts w:asciiTheme="minorBidi" w:hAnsiTheme="minorBidi"/>
          <w:sz w:val="22"/>
          <w:szCs w:val="22"/>
        </w:rPr>
        <w:t xml:space="preserve">An objection to a proposed amendment shall clearly and concisely state the grounds upon which the objection is founded. </w:t>
      </w:r>
    </w:p>
    <w:p w14:paraId="1D802582" w14:textId="39D985C1" w:rsidR="00296B55" w:rsidRDefault="00296B55" w:rsidP="005D59E7">
      <w:pPr>
        <w:tabs>
          <w:tab w:val="left" w:pos="709"/>
        </w:tabs>
        <w:spacing w:line="360" w:lineRule="auto"/>
        <w:jc w:val="both"/>
        <w:rPr>
          <w:rFonts w:asciiTheme="minorBidi" w:hAnsiTheme="minorBidi"/>
          <w:sz w:val="22"/>
          <w:szCs w:val="22"/>
        </w:rPr>
      </w:pPr>
      <w:r w:rsidRPr="00296B55">
        <w:rPr>
          <w:rFonts w:asciiTheme="minorBidi" w:hAnsiTheme="minorBidi"/>
          <w:sz w:val="22"/>
          <w:szCs w:val="22"/>
        </w:rPr>
        <w:t xml:space="preserve">(4) </w:t>
      </w:r>
      <w:r w:rsidR="005A7540">
        <w:rPr>
          <w:rFonts w:asciiTheme="minorBidi" w:hAnsiTheme="minorBidi"/>
          <w:sz w:val="22"/>
          <w:szCs w:val="22"/>
        </w:rPr>
        <w:tab/>
      </w:r>
      <w:r w:rsidRPr="00296B55">
        <w:rPr>
          <w:rFonts w:asciiTheme="minorBidi" w:hAnsiTheme="minorBidi"/>
          <w:sz w:val="22"/>
          <w:szCs w:val="22"/>
        </w:rPr>
        <w:t xml:space="preserve">If an objection which complies with </w:t>
      </w:r>
      <w:r w:rsidR="003E2CC9" w:rsidRPr="00296B55">
        <w:rPr>
          <w:rFonts w:asciiTheme="minorBidi" w:hAnsiTheme="minorBidi"/>
          <w:sz w:val="22"/>
          <w:szCs w:val="22"/>
        </w:rPr>
        <w:t>sub rule</w:t>
      </w:r>
      <w:r w:rsidRPr="00296B55">
        <w:rPr>
          <w:rFonts w:asciiTheme="minorBidi" w:hAnsiTheme="minorBidi"/>
          <w:sz w:val="22"/>
          <w:szCs w:val="22"/>
        </w:rPr>
        <w:t xml:space="preserve"> (3) is delivered within the period referred to in </w:t>
      </w:r>
      <w:r w:rsidR="003E2CC9" w:rsidRPr="00296B55">
        <w:rPr>
          <w:rFonts w:asciiTheme="minorBidi" w:hAnsiTheme="minorBidi"/>
          <w:sz w:val="22"/>
          <w:szCs w:val="22"/>
        </w:rPr>
        <w:t>sub rule</w:t>
      </w:r>
      <w:r w:rsidRPr="00296B55">
        <w:rPr>
          <w:rFonts w:asciiTheme="minorBidi" w:hAnsiTheme="minorBidi"/>
          <w:sz w:val="22"/>
          <w:szCs w:val="22"/>
        </w:rPr>
        <w:t xml:space="preserve"> (2), the party wishing to amend may, within 10 days, lodge an </w:t>
      </w:r>
      <w:r w:rsidR="0003626C">
        <w:rPr>
          <w:rFonts w:asciiTheme="minorBidi" w:hAnsiTheme="minorBidi"/>
          <w:sz w:val="22"/>
          <w:szCs w:val="22"/>
        </w:rPr>
        <w:t>application for leave to amend.</w:t>
      </w:r>
      <w:r w:rsidRPr="00296B55">
        <w:rPr>
          <w:rFonts w:asciiTheme="minorBidi" w:hAnsiTheme="minorBidi"/>
          <w:sz w:val="22"/>
          <w:szCs w:val="22"/>
        </w:rPr>
        <w:t xml:space="preserve">’ </w:t>
      </w:r>
    </w:p>
    <w:p w14:paraId="68ED1FCB" w14:textId="77777777" w:rsidR="00755FA7" w:rsidRPr="00296B55" w:rsidRDefault="00755FA7" w:rsidP="005D59E7">
      <w:pPr>
        <w:tabs>
          <w:tab w:val="left" w:pos="709"/>
        </w:tabs>
        <w:spacing w:line="360" w:lineRule="auto"/>
        <w:jc w:val="both"/>
        <w:rPr>
          <w:rFonts w:asciiTheme="minorBidi" w:hAnsiTheme="minorBidi"/>
          <w:sz w:val="22"/>
          <w:szCs w:val="22"/>
        </w:rPr>
      </w:pPr>
    </w:p>
    <w:p w14:paraId="4923B623" w14:textId="53C40564" w:rsidR="003B0FD5"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[9]</w:t>
      </w:r>
      <w:r>
        <w:rPr>
          <w:rFonts w:ascii="Arial" w:eastAsiaTheme="minorHAnsi" w:hAnsi="Arial" w:cstheme="minorBidi"/>
          <w:lang w:val="en-GB" w:eastAsia="en-US" w:bidi="ar-SA"/>
        </w:rPr>
        <w:tab/>
      </w:r>
      <w:r w:rsidR="003B0FD5" w:rsidRPr="00543E48">
        <w:rPr>
          <w:rFonts w:asciiTheme="minorBidi" w:hAnsiTheme="minorBidi"/>
          <w:i/>
        </w:rPr>
        <w:t>Cross v Ferreira</w:t>
      </w:r>
      <w:r w:rsidR="003B0FD5">
        <w:rPr>
          <w:rStyle w:val="FootnoteReference"/>
          <w:rFonts w:asciiTheme="minorBidi" w:hAnsiTheme="minorBidi"/>
        </w:rPr>
        <w:footnoteReference w:id="1"/>
      </w:r>
      <w:r w:rsidR="00AB0008" w:rsidRPr="00543E48">
        <w:rPr>
          <w:rFonts w:asciiTheme="minorBidi" w:hAnsiTheme="minorBidi"/>
          <w:i/>
        </w:rPr>
        <w:t xml:space="preserve"> </w:t>
      </w:r>
      <w:r w:rsidR="00AB0008" w:rsidRPr="00543E48">
        <w:rPr>
          <w:rFonts w:asciiTheme="minorBidi" w:hAnsiTheme="minorBidi"/>
        </w:rPr>
        <w:t>was decided before the advent of the Uniform Rules of Court. In that matter,</w:t>
      </w:r>
      <w:r w:rsidR="003B0FD5" w:rsidRPr="00543E48">
        <w:rPr>
          <w:rFonts w:asciiTheme="minorBidi" w:hAnsiTheme="minorBidi"/>
        </w:rPr>
        <w:t xml:space="preserve"> Van Winsen AJ considere</w:t>
      </w:r>
      <w:r w:rsidR="00F81806" w:rsidRPr="00543E48">
        <w:rPr>
          <w:rFonts w:asciiTheme="minorBidi" w:hAnsiTheme="minorBidi"/>
        </w:rPr>
        <w:t>d the desir</w:t>
      </w:r>
      <w:r w:rsidR="003B0FD5" w:rsidRPr="00543E48">
        <w:rPr>
          <w:rFonts w:asciiTheme="minorBidi" w:hAnsiTheme="minorBidi"/>
        </w:rPr>
        <w:t xml:space="preserve">ability of courts granting parties leave to amend without knowing what the proposed content of the pleading to be amended </w:t>
      </w:r>
      <w:r w:rsidR="00DF6AA2" w:rsidRPr="00543E48">
        <w:rPr>
          <w:rFonts w:asciiTheme="minorBidi" w:hAnsiTheme="minorBidi"/>
        </w:rPr>
        <w:t>will be</w:t>
      </w:r>
      <w:r w:rsidR="003B0FD5" w:rsidRPr="00543E48">
        <w:rPr>
          <w:rFonts w:asciiTheme="minorBidi" w:hAnsiTheme="minorBidi"/>
        </w:rPr>
        <w:t xml:space="preserve">. </w:t>
      </w:r>
      <w:r w:rsidR="00F81806" w:rsidRPr="00543E48">
        <w:rPr>
          <w:rFonts w:asciiTheme="minorBidi" w:hAnsiTheme="minorBidi"/>
        </w:rPr>
        <w:t>Reference was made to English cases on point</w:t>
      </w:r>
      <w:r w:rsidR="00AB0008" w:rsidRPr="00543E48">
        <w:rPr>
          <w:rFonts w:asciiTheme="minorBidi" w:hAnsiTheme="minorBidi"/>
        </w:rPr>
        <w:t xml:space="preserve"> in that judgment</w:t>
      </w:r>
      <w:r w:rsidR="00F81806" w:rsidRPr="00543E48">
        <w:rPr>
          <w:rFonts w:asciiTheme="minorBidi" w:hAnsiTheme="minorBidi"/>
        </w:rPr>
        <w:t xml:space="preserve">. </w:t>
      </w:r>
      <w:r w:rsidR="003B0FD5" w:rsidRPr="00543E48">
        <w:rPr>
          <w:rFonts w:asciiTheme="minorBidi" w:hAnsiTheme="minorBidi"/>
        </w:rPr>
        <w:t>At page 452G of the judgment, the following appears:</w:t>
      </w:r>
    </w:p>
    <w:p w14:paraId="32F7B521" w14:textId="60539AEA" w:rsidR="003B0FD5" w:rsidRPr="003B0FD5" w:rsidRDefault="003B0FD5" w:rsidP="003B0FD5">
      <w:pPr>
        <w:spacing w:line="360" w:lineRule="auto"/>
        <w:jc w:val="both"/>
        <w:rPr>
          <w:rFonts w:ascii="Arial" w:hAnsi="Arial" w:cs="Arial"/>
          <w:color w:val="000000"/>
          <w:sz w:val="22"/>
          <w:szCs w:val="22"/>
          <w:lang w:val="en-GB" w:bidi="ar-SA"/>
        </w:rPr>
      </w:pPr>
      <w:r w:rsidRPr="003B0FD5">
        <w:rPr>
          <w:rFonts w:ascii="Arial" w:hAnsi="Arial" w:cs="Arial"/>
          <w:sz w:val="22"/>
          <w:szCs w:val="22"/>
        </w:rPr>
        <w:t>‘</w:t>
      </w:r>
      <w:r w:rsidRPr="003B0FD5">
        <w:rPr>
          <w:rFonts w:ascii="Arial" w:hAnsi="Arial" w:cs="Arial"/>
          <w:color w:val="000000"/>
          <w:sz w:val="22"/>
          <w:szCs w:val="22"/>
        </w:rPr>
        <w:t>In </w:t>
      </w:r>
      <w:r w:rsidRPr="003B0FD5">
        <w:rPr>
          <w:rFonts w:ascii="Arial" w:hAnsi="Arial" w:cs="Arial"/>
          <w:i/>
          <w:iCs/>
          <w:color w:val="000000"/>
          <w:sz w:val="22"/>
          <w:szCs w:val="22"/>
        </w:rPr>
        <w:t>Derrick v Williams</w:t>
      </w:r>
      <w:r w:rsidRPr="003B0FD5">
        <w:rPr>
          <w:rFonts w:ascii="Arial" w:hAnsi="Arial" w:cs="Arial"/>
          <w:color w:val="000000"/>
          <w:sz w:val="22"/>
          <w:szCs w:val="22"/>
        </w:rPr>
        <w:t> (55 T.L.R. 676) the Master of the Rolls stressed the desirability of the formulation of an amendment before it is allowed:</w:t>
      </w:r>
    </w:p>
    <w:p w14:paraId="63EC7659" w14:textId="2AF51251" w:rsidR="003B0FD5" w:rsidRPr="003B0FD5" w:rsidRDefault="003B0FD5" w:rsidP="003B0FD5">
      <w:pPr>
        <w:spacing w:line="360" w:lineRule="auto"/>
        <w:jc w:val="both"/>
        <w:rPr>
          <w:rFonts w:ascii="Arial" w:hAnsi="Arial" w:cs="Arial"/>
          <w:color w:val="000000"/>
          <w:sz w:val="22"/>
          <w:szCs w:val="22"/>
        </w:rPr>
      </w:pPr>
      <w:r w:rsidRPr="003B0FD5">
        <w:rPr>
          <w:rFonts w:ascii="Arial" w:hAnsi="Arial" w:cs="Arial"/>
          <w:color w:val="000000"/>
          <w:sz w:val="22"/>
          <w:szCs w:val="22"/>
        </w:rPr>
        <w:t>   </w:t>
      </w:r>
      <w:r w:rsidR="00185F5C">
        <w:rPr>
          <w:rFonts w:ascii="Arial" w:hAnsi="Arial" w:cs="Arial"/>
          <w:color w:val="000000"/>
          <w:sz w:val="22"/>
          <w:szCs w:val="22"/>
        </w:rPr>
        <w:t>“</w:t>
      </w:r>
      <w:r w:rsidRPr="003B0FD5">
        <w:rPr>
          <w:rFonts w:ascii="Arial" w:hAnsi="Arial" w:cs="Arial"/>
          <w:color w:val="000000"/>
          <w:sz w:val="22"/>
          <w:szCs w:val="22"/>
        </w:rPr>
        <w:t>. . . it is very inconvenient that leave to amend should be given before the actual amendment is formulated because the result may very well be, as it has been in this case, that when the amendment is formulated i</w:t>
      </w:r>
      <w:r w:rsidR="00185F5C">
        <w:rPr>
          <w:rFonts w:ascii="Arial" w:hAnsi="Arial" w:cs="Arial"/>
          <w:color w:val="000000"/>
          <w:sz w:val="22"/>
          <w:szCs w:val="22"/>
        </w:rPr>
        <w:t>t is found to be objectionable.”</w:t>
      </w:r>
    </w:p>
    <w:p w14:paraId="0185197D" w14:textId="77777777" w:rsidR="003B0FD5" w:rsidRPr="003B0FD5" w:rsidRDefault="003B0FD5" w:rsidP="003B0FD5">
      <w:pPr>
        <w:spacing w:line="360" w:lineRule="auto"/>
        <w:jc w:val="both"/>
        <w:rPr>
          <w:rFonts w:ascii="Arial" w:hAnsi="Arial" w:cs="Arial"/>
          <w:color w:val="000000"/>
          <w:sz w:val="22"/>
          <w:szCs w:val="22"/>
        </w:rPr>
      </w:pPr>
      <w:r w:rsidRPr="003B0FD5">
        <w:rPr>
          <w:rFonts w:ascii="Arial" w:hAnsi="Arial" w:cs="Arial"/>
          <w:color w:val="000000"/>
          <w:sz w:val="22"/>
          <w:szCs w:val="22"/>
        </w:rPr>
        <w:t>A </w:t>
      </w:r>
      <w:r w:rsidRPr="003B0FD5">
        <w:rPr>
          <w:rFonts w:ascii="Arial" w:hAnsi="Arial" w:cs="Arial"/>
          <w:i/>
          <w:iCs/>
          <w:color w:val="000000"/>
          <w:sz w:val="22"/>
          <w:szCs w:val="22"/>
        </w:rPr>
        <w:t>dictum</w:t>
      </w:r>
      <w:r w:rsidRPr="003B0FD5">
        <w:rPr>
          <w:rFonts w:ascii="Arial" w:hAnsi="Arial" w:cs="Arial"/>
          <w:color w:val="000000"/>
          <w:sz w:val="22"/>
          <w:szCs w:val="22"/>
        </w:rPr>
        <w:t> by LORD GREENE, M.R., in </w:t>
      </w:r>
      <w:r w:rsidRPr="003B0FD5">
        <w:rPr>
          <w:rFonts w:ascii="Arial" w:hAnsi="Arial" w:cs="Arial"/>
          <w:i/>
          <w:iCs/>
          <w:color w:val="000000"/>
          <w:sz w:val="22"/>
          <w:szCs w:val="22"/>
        </w:rPr>
        <w:t>J. Leavey &amp; Co. Ltd v G. H. Hirst &amp; Co. Ltd</w:t>
      </w:r>
      <w:r w:rsidRPr="003B0FD5">
        <w:rPr>
          <w:rFonts w:ascii="Arial" w:hAnsi="Arial" w:cs="Arial"/>
          <w:color w:val="000000"/>
          <w:sz w:val="22"/>
          <w:szCs w:val="22"/>
        </w:rPr>
        <w:t>. (1944, K.B.D. 24) is to the same effect.</w:t>
      </w:r>
    </w:p>
    <w:p w14:paraId="01203C8C" w14:textId="332BC866" w:rsidR="003B0FD5" w:rsidRPr="003B0FD5" w:rsidRDefault="003B0FD5" w:rsidP="003B0FD5">
      <w:pPr>
        <w:spacing w:line="360" w:lineRule="auto"/>
        <w:jc w:val="both"/>
        <w:rPr>
          <w:rFonts w:ascii="Arial" w:hAnsi="Arial" w:cs="Arial"/>
          <w:color w:val="000000"/>
          <w:sz w:val="22"/>
          <w:szCs w:val="22"/>
        </w:rPr>
      </w:pPr>
      <w:r w:rsidRPr="003B0FD5">
        <w:rPr>
          <w:rFonts w:ascii="Arial" w:hAnsi="Arial" w:cs="Arial"/>
          <w:color w:val="000000"/>
          <w:sz w:val="22"/>
          <w:szCs w:val="22"/>
        </w:rPr>
        <w:t>Whatever the position might be in a case where the limits of an as-yet-unformulated amendment could be readily defined in a judgment, this is not a case in which such a definition could in my view be attempted. It remains open to the applicant, if so advised, to formulate some other amendment and to move for leave to incorporate it in the declaration.</w:t>
      </w:r>
      <w:r w:rsidR="00185F5C">
        <w:rPr>
          <w:rFonts w:ascii="Arial" w:hAnsi="Arial" w:cs="Arial"/>
          <w:color w:val="000000"/>
          <w:sz w:val="22"/>
          <w:szCs w:val="22"/>
        </w:rPr>
        <w:t>’</w:t>
      </w:r>
    </w:p>
    <w:p w14:paraId="548FD028" w14:textId="1131D2D9" w:rsidR="003B0FD5" w:rsidRDefault="003B0FD5" w:rsidP="003B0FD5">
      <w:pPr>
        <w:pStyle w:val="ListParagraph"/>
        <w:tabs>
          <w:tab w:val="left" w:pos="709"/>
        </w:tabs>
        <w:spacing w:after="0" w:line="360" w:lineRule="auto"/>
        <w:ind w:left="0"/>
        <w:jc w:val="both"/>
        <w:rPr>
          <w:rFonts w:asciiTheme="minorBidi" w:hAnsiTheme="minorBidi"/>
          <w:sz w:val="24"/>
          <w:szCs w:val="24"/>
        </w:rPr>
      </w:pPr>
    </w:p>
    <w:p w14:paraId="09F56FE8" w14:textId="45CC570A" w:rsidR="00185F5C"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[10]</w:t>
      </w:r>
      <w:r>
        <w:rPr>
          <w:rFonts w:ascii="Arial" w:eastAsiaTheme="minorHAnsi" w:hAnsi="Arial" w:cstheme="minorBidi"/>
          <w:lang w:val="en-GB" w:eastAsia="en-US" w:bidi="ar-SA"/>
        </w:rPr>
        <w:tab/>
      </w:r>
      <w:r w:rsidR="00185F5C" w:rsidRPr="00543E48">
        <w:rPr>
          <w:rFonts w:asciiTheme="minorBidi" w:hAnsiTheme="minorBidi"/>
        </w:rPr>
        <w:t>From this it appears to me that the learned acting judge was stating that where leave to amend has been granted, the amending party must still give notice of the intended amendment</w:t>
      </w:r>
      <w:r w:rsidR="00F81806" w:rsidRPr="00543E48">
        <w:rPr>
          <w:rFonts w:asciiTheme="minorBidi" w:hAnsiTheme="minorBidi"/>
        </w:rPr>
        <w:t xml:space="preserve"> because the proposed amendment may in some way be legally objectionable. </w:t>
      </w:r>
      <w:r w:rsidR="00AB0008" w:rsidRPr="00543E48">
        <w:rPr>
          <w:rFonts w:asciiTheme="minorBidi" w:hAnsiTheme="minorBidi"/>
        </w:rPr>
        <w:t xml:space="preserve">This, in a fashion, dovetails with Mr Harrison’s argument that the plaintiff had an election arising out of the order of Chetty J: to either supplement or to amend. Having chosen to amend, it brought itself under the terms of Uniform Rule 28. </w:t>
      </w:r>
      <w:r w:rsidR="00F81806" w:rsidRPr="00543E48">
        <w:rPr>
          <w:rFonts w:asciiTheme="minorBidi" w:hAnsiTheme="minorBidi"/>
        </w:rPr>
        <w:t>Th</w:t>
      </w:r>
      <w:r w:rsidR="00AB0008" w:rsidRPr="00543E48">
        <w:rPr>
          <w:rFonts w:asciiTheme="minorBidi" w:hAnsiTheme="minorBidi"/>
        </w:rPr>
        <w:t>e reasoning of Van Winsen AJ</w:t>
      </w:r>
      <w:r w:rsidR="00F81806" w:rsidRPr="00543E48">
        <w:rPr>
          <w:rFonts w:asciiTheme="minorBidi" w:hAnsiTheme="minorBidi"/>
        </w:rPr>
        <w:t xml:space="preserve"> appeals to me. In my view it is </w:t>
      </w:r>
      <w:r w:rsidR="00AB0008" w:rsidRPr="00543E48">
        <w:rPr>
          <w:rFonts w:asciiTheme="minorBidi" w:hAnsiTheme="minorBidi"/>
        </w:rPr>
        <w:t xml:space="preserve">generally </w:t>
      </w:r>
      <w:r w:rsidR="00F81806" w:rsidRPr="00543E48">
        <w:rPr>
          <w:rFonts w:asciiTheme="minorBidi" w:hAnsiTheme="minorBidi"/>
        </w:rPr>
        <w:t xml:space="preserve">undesirable that leave to amend is granted without the nature and content of the proposed amendment </w:t>
      </w:r>
      <w:r w:rsidR="00F81806" w:rsidRPr="00543E48">
        <w:rPr>
          <w:rFonts w:asciiTheme="minorBidi" w:hAnsiTheme="minorBidi"/>
        </w:rPr>
        <w:lastRenderedPageBreak/>
        <w:t xml:space="preserve">being disclosed. If the proposed amendment is not disclosed </w:t>
      </w:r>
      <w:r w:rsidR="00AB0008" w:rsidRPr="00543E48">
        <w:rPr>
          <w:rFonts w:asciiTheme="minorBidi" w:hAnsiTheme="minorBidi"/>
        </w:rPr>
        <w:t xml:space="preserve">to and known by the court, </w:t>
      </w:r>
      <w:r w:rsidR="00F81806" w:rsidRPr="00543E48">
        <w:rPr>
          <w:rFonts w:asciiTheme="minorBidi" w:hAnsiTheme="minorBidi"/>
        </w:rPr>
        <w:t xml:space="preserve">there may then conceivably be </w:t>
      </w:r>
      <w:r w:rsidR="00AB0008" w:rsidRPr="00543E48">
        <w:rPr>
          <w:rFonts w:asciiTheme="minorBidi" w:hAnsiTheme="minorBidi"/>
        </w:rPr>
        <w:t>the difficulties that have arisen in this matter.</w:t>
      </w:r>
      <w:r w:rsidR="00F81806" w:rsidRPr="00543E48">
        <w:rPr>
          <w:rFonts w:asciiTheme="minorBidi" w:hAnsiTheme="minorBidi"/>
        </w:rPr>
        <w:t xml:space="preserve"> It seems much more sensible to require the amending party to give notice of the proposed amendment</w:t>
      </w:r>
      <w:r w:rsidR="00694AC6" w:rsidRPr="00543E48">
        <w:rPr>
          <w:rFonts w:asciiTheme="minorBidi" w:hAnsiTheme="minorBidi"/>
        </w:rPr>
        <w:t>, notwithstanding the general leave to amend being granted to it</w:t>
      </w:r>
      <w:r w:rsidR="00AB0008" w:rsidRPr="00543E48">
        <w:rPr>
          <w:rFonts w:asciiTheme="minorBidi" w:hAnsiTheme="minorBidi"/>
        </w:rPr>
        <w:t xml:space="preserve"> by the court</w:t>
      </w:r>
      <w:r w:rsidR="00694AC6" w:rsidRPr="00543E48">
        <w:rPr>
          <w:rFonts w:asciiTheme="minorBidi" w:hAnsiTheme="minorBidi"/>
        </w:rPr>
        <w:t xml:space="preserve">, </w:t>
      </w:r>
      <w:r w:rsidR="00F81806" w:rsidRPr="00543E48">
        <w:rPr>
          <w:rFonts w:asciiTheme="minorBidi" w:hAnsiTheme="minorBidi"/>
        </w:rPr>
        <w:t>and to</w:t>
      </w:r>
      <w:r w:rsidR="00694AC6" w:rsidRPr="00543E48">
        <w:rPr>
          <w:rFonts w:asciiTheme="minorBidi" w:hAnsiTheme="minorBidi"/>
        </w:rPr>
        <w:t xml:space="preserve"> thereafter</w:t>
      </w:r>
      <w:r w:rsidR="00F81806" w:rsidRPr="00543E48">
        <w:rPr>
          <w:rFonts w:asciiTheme="minorBidi" w:hAnsiTheme="minorBidi"/>
        </w:rPr>
        <w:t xml:space="preserve"> allow the provisions of Uniform Rule 28 to apply.  T</w:t>
      </w:r>
      <w:r w:rsidR="00185F5C" w:rsidRPr="00543E48">
        <w:rPr>
          <w:rFonts w:asciiTheme="minorBidi" w:hAnsiTheme="minorBidi"/>
        </w:rPr>
        <w:t xml:space="preserve">he party receiving the proposed amendment would </w:t>
      </w:r>
      <w:r w:rsidR="00F81806" w:rsidRPr="00543E48">
        <w:rPr>
          <w:rFonts w:asciiTheme="minorBidi" w:hAnsiTheme="minorBidi"/>
        </w:rPr>
        <w:t xml:space="preserve">then </w:t>
      </w:r>
      <w:r w:rsidR="00185F5C" w:rsidRPr="00543E48">
        <w:rPr>
          <w:rFonts w:asciiTheme="minorBidi" w:hAnsiTheme="minorBidi"/>
        </w:rPr>
        <w:t xml:space="preserve">retain the right to object to it enshrined in Uniform Rule 28(3). It very often happens that orders such as that granted in this matter are granted without further consideration as to how the amendment is to be effected. It would, perhaps, be of assistance in future, and would avoid any confusion such as has arisen in this matter, if these types of order were to specify that </w:t>
      </w:r>
      <w:r w:rsidR="00E32072" w:rsidRPr="00543E48">
        <w:rPr>
          <w:rFonts w:asciiTheme="minorBidi" w:hAnsiTheme="minorBidi"/>
        </w:rPr>
        <w:t xml:space="preserve">by virtue of the fact that the details of the proposed amendment not being known to the court, </w:t>
      </w:r>
      <w:r w:rsidR="00185F5C" w:rsidRPr="00543E48">
        <w:rPr>
          <w:rFonts w:asciiTheme="minorBidi" w:hAnsiTheme="minorBidi"/>
        </w:rPr>
        <w:t>in exercising the right to amend</w:t>
      </w:r>
      <w:r w:rsidR="00694AC6" w:rsidRPr="00543E48">
        <w:rPr>
          <w:rFonts w:asciiTheme="minorBidi" w:hAnsiTheme="minorBidi"/>
        </w:rPr>
        <w:t>,</w:t>
      </w:r>
      <w:r w:rsidR="00185F5C" w:rsidRPr="00543E48">
        <w:rPr>
          <w:rFonts w:asciiTheme="minorBidi" w:hAnsiTheme="minorBidi"/>
        </w:rPr>
        <w:t xml:space="preserve"> the provisions of Uniform Rule 28 shall continue to apply</w:t>
      </w:r>
      <w:r w:rsidR="00E32072" w:rsidRPr="00543E48">
        <w:rPr>
          <w:rFonts w:asciiTheme="minorBidi" w:hAnsiTheme="minorBidi"/>
        </w:rPr>
        <w:t xml:space="preserve"> to the process of amendment</w:t>
      </w:r>
      <w:r w:rsidR="00185F5C" w:rsidRPr="00543E48">
        <w:rPr>
          <w:rFonts w:asciiTheme="minorBidi" w:hAnsiTheme="minorBidi"/>
        </w:rPr>
        <w:t>.</w:t>
      </w:r>
    </w:p>
    <w:p w14:paraId="7BFD6BB9" w14:textId="77777777" w:rsidR="00AB0008" w:rsidRDefault="00AB0008" w:rsidP="00AB0008">
      <w:pPr>
        <w:pStyle w:val="ListParagraph"/>
        <w:tabs>
          <w:tab w:val="left" w:pos="709"/>
        </w:tabs>
        <w:spacing w:after="0" w:line="360" w:lineRule="auto"/>
        <w:ind w:left="0"/>
        <w:jc w:val="both"/>
        <w:rPr>
          <w:rFonts w:asciiTheme="minorBidi" w:hAnsiTheme="minorBidi"/>
          <w:sz w:val="24"/>
          <w:szCs w:val="24"/>
        </w:rPr>
      </w:pPr>
    </w:p>
    <w:p w14:paraId="40DE8933" w14:textId="65B163F5" w:rsidR="00AB0008"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[11]</w:t>
      </w:r>
      <w:r>
        <w:rPr>
          <w:rFonts w:ascii="Arial" w:eastAsiaTheme="minorHAnsi" w:hAnsi="Arial" w:cstheme="minorBidi"/>
          <w:lang w:val="en-GB" w:eastAsia="en-US" w:bidi="ar-SA"/>
        </w:rPr>
        <w:tab/>
      </w:r>
      <w:r w:rsidR="00AB0008" w:rsidRPr="00543E48">
        <w:rPr>
          <w:rFonts w:asciiTheme="minorBidi" w:hAnsiTheme="minorBidi"/>
        </w:rPr>
        <w:t>That the same result may be achieved by invoking the provisions of Uniform Rule 23 seems entirely likely. But that does not mean that Uniform Rule 28 should not be invoked. Irrespective of the procedure adopted, the fact of the matter is that the position of both parties, and the reasons for those positions, have been revealed and debated</w:t>
      </w:r>
    </w:p>
    <w:p w14:paraId="6A364AD3" w14:textId="77777777" w:rsidR="00AB0008" w:rsidRPr="00AB0008" w:rsidRDefault="00AB0008" w:rsidP="00B00D6F">
      <w:pPr>
        <w:pStyle w:val="ListParagraph"/>
        <w:spacing w:line="360" w:lineRule="auto"/>
        <w:rPr>
          <w:rFonts w:asciiTheme="minorBidi" w:hAnsiTheme="minorBidi"/>
          <w:sz w:val="24"/>
          <w:szCs w:val="24"/>
        </w:rPr>
      </w:pPr>
    </w:p>
    <w:p w14:paraId="0F9590EC" w14:textId="5EEBC9F1" w:rsidR="0003626C" w:rsidRPr="00543E48" w:rsidRDefault="00543E48" w:rsidP="00543E48">
      <w:pPr>
        <w:tabs>
          <w:tab w:val="left" w:pos="709"/>
        </w:tabs>
        <w:spacing w:line="360" w:lineRule="auto"/>
        <w:jc w:val="both"/>
        <w:rPr>
          <w:rFonts w:asciiTheme="minorBidi" w:hAnsiTheme="minorBidi"/>
        </w:rPr>
      </w:pPr>
      <w:r w:rsidRPr="00DF1417">
        <w:rPr>
          <w:rFonts w:ascii="Arial" w:eastAsiaTheme="minorHAnsi" w:hAnsi="Arial" w:cstheme="minorBidi"/>
          <w:lang w:val="en-GB" w:eastAsia="en-US" w:bidi="ar-SA"/>
        </w:rPr>
        <w:t>[12]</w:t>
      </w:r>
      <w:r w:rsidRPr="00DF1417">
        <w:rPr>
          <w:rFonts w:ascii="Arial" w:eastAsiaTheme="minorHAnsi" w:hAnsi="Arial" w:cstheme="minorBidi"/>
          <w:lang w:val="en-GB" w:eastAsia="en-US" w:bidi="ar-SA"/>
        </w:rPr>
        <w:tab/>
      </w:r>
      <w:r w:rsidR="00AB0008" w:rsidRPr="00543E48">
        <w:rPr>
          <w:rFonts w:asciiTheme="minorBidi" w:hAnsiTheme="minorBidi"/>
        </w:rPr>
        <w:t xml:space="preserve">The plaintiff did not object to </w:t>
      </w:r>
      <w:r w:rsidR="00DF1417" w:rsidRPr="00543E48">
        <w:rPr>
          <w:rFonts w:asciiTheme="minorBidi" w:hAnsiTheme="minorBidi"/>
        </w:rPr>
        <w:t>the delivery of the notice in terms of Uniform Rule 28(3)</w:t>
      </w:r>
      <w:r w:rsidR="00AB0008" w:rsidRPr="00543E48">
        <w:rPr>
          <w:rFonts w:asciiTheme="minorBidi" w:hAnsiTheme="minorBidi"/>
        </w:rPr>
        <w:t xml:space="preserve"> and did not suggest that it was</w:t>
      </w:r>
      <w:r w:rsidR="00B00D6F" w:rsidRPr="00543E48">
        <w:rPr>
          <w:rFonts w:asciiTheme="minorBidi" w:hAnsiTheme="minorBidi"/>
        </w:rPr>
        <w:t xml:space="preserve"> an</w:t>
      </w:r>
      <w:r w:rsidR="00AB0008" w:rsidRPr="00543E48">
        <w:rPr>
          <w:rFonts w:asciiTheme="minorBidi" w:hAnsiTheme="minorBidi"/>
        </w:rPr>
        <w:t xml:space="preserve"> irregular step. </w:t>
      </w:r>
      <w:r w:rsidR="00694AC6" w:rsidRPr="00543E48">
        <w:rPr>
          <w:rFonts w:asciiTheme="minorBidi" w:hAnsiTheme="minorBidi"/>
        </w:rPr>
        <w:t xml:space="preserve">In my view, the second defendant </w:t>
      </w:r>
      <w:r w:rsidR="00AB0008" w:rsidRPr="00543E48">
        <w:rPr>
          <w:rFonts w:asciiTheme="minorBidi" w:hAnsiTheme="minorBidi"/>
        </w:rPr>
        <w:t>was entitled to take</w:t>
      </w:r>
      <w:r w:rsidR="00694AC6" w:rsidRPr="00543E48">
        <w:rPr>
          <w:rFonts w:asciiTheme="minorBidi" w:hAnsiTheme="minorBidi"/>
        </w:rPr>
        <w:t xml:space="preserve"> the view that Uniform Rule 28(3) was available to it</w:t>
      </w:r>
      <w:r w:rsidR="00DF1417" w:rsidRPr="00543E48">
        <w:rPr>
          <w:rFonts w:asciiTheme="minorBidi" w:hAnsiTheme="minorBidi"/>
        </w:rPr>
        <w:t>.</w:t>
      </w:r>
      <w:r w:rsidR="00694AC6" w:rsidRPr="00543E48">
        <w:rPr>
          <w:rFonts w:asciiTheme="minorBidi" w:hAnsiTheme="minorBidi"/>
        </w:rPr>
        <w:t xml:space="preserve"> </w:t>
      </w:r>
      <w:r w:rsidR="005A7540" w:rsidRPr="00543E48">
        <w:rPr>
          <w:rFonts w:asciiTheme="minorBidi" w:hAnsiTheme="minorBidi"/>
        </w:rPr>
        <w:t xml:space="preserve">The second defendant’s notice clearly and concisely stated the grounds upon which the proposed amendment was objected to by it. </w:t>
      </w:r>
      <w:r w:rsidR="00DF1417" w:rsidRPr="00543E48">
        <w:rPr>
          <w:rFonts w:asciiTheme="minorBidi" w:hAnsiTheme="minorBidi"/>
        </w:rPr>
        <w:t>T</w:t>
      </w:r>
      <w:r w:rsidR="005A7540" w:rsidRPr="00543E48">
        <w:rPr>
          <w:rFonts w:asciiTheme="minorBidi" w:hAnsiTheme="minorBidi"/>
        </w:rPr>
        <w:t xml:space="preserve">he objections </w:t>
      </w:r>
      <w:r w:rsidR="000D4127" w:rsidRPr="00543E48">
        <w:rPr>
          <w:rFonts w:asciiTheme="minorBidi" w:hAnsiTheme="minorBidi"/>
        </w:rPr>
        <w:t xml:space="preserve">raised by the second defendant </w:t>
      </w:r>
      <w:r w:rsidR="005A7540" w:rsidRPr="00543E48">
        <w:rPr>
          <w:rFonts w:asciiTheme="minorBidi" w:hAnsiTheme="minorBidi"/>
        </w:rPr>
        <w:t xml:space="preserve">were </w:t>
      </w:r>
      <w:r w:rsidR="00DF1417" w:rsidRPr="00543E48">
        <w:rPr>
          <w:rFonts w:asciiTheme="minorBidi" w:hAnsiTheme="minorBidi"/>
        </w:rPr>
        <w:t xml:space="preserve">thus </w:t>
      </w:r>
      <w:r w:rsidR="005A7540" w:rsidRPr="00543E48">
        <w:rPr>
          <w:rFonts w:asciiTheme="minorBidi" w:hAnsiTheme="minorBidi"/>
        </w:rPr>
        <w:t>known to all and called for a</w:t>
      </w:r>
      <w:r w:rsidR="000D4127" w:rsidRPr="00543E48">
        <w:rPr>
          <w:rFonts w:asciiTheme="minorBidi" w:hAnsiTheme="minorBidi"/>
        </w:rPr>
        <w:t>n appropriate</w:t>
      </w:r>
      <w:r w:rsidR="005A7540" w:rsidRPr="00543E48">
        <w:rPr>
          <w:rFonts w:asciiTheme="minorBidi" w:hAnsiTheme="minorBidi"/>
        </w:rPr>
        <w:t xml:space="preserve"> response from the plaintiff. The plaintiff was, in the circumstances, obliged to act in terms of the provisions of Uniform Rule 28(4) and bring an application for permission to amend her particulars of claim within ten days of receiving the second defendant’s notice in terms of Uniform Rule 28(3).</w:t>
      </w:r>
      <w:r w:rsidR="003A3521" w:rsidRPr="00543E48">
        <w:rPr>
          <w:rFonts w:asciiTheme="minorBidi" w:hAnsiTheme="minorBidi"/>
        </w:rPr>
        <w:t xml:space="preserve"> She did not do so. And has never done so. </w:t>
      </w:r>
    </w:p>
    <w:p w14:paraId="01239216" w14:textId="77777777" w:rsidR="0003626C" w:rsidRDefault="0003626C" w:rsidP="0003626C">
      <w:pPr>
        <w:pStyle w:val="ListParagraph"/>
        <w:tabs>
          <w:tab w:val="left" w:pos="709"/>
        </w:tabs>
        <w:spacing w:after="0" w:line="360" w:lineRule="auto"/>
        <w:ind w:left="0"/>
        <w:jc w:val="both"/>
        <w:rPr>
          <w:rFonts w:asciiTheme="minorBidi" w:hAnsiTheme="minorBidi"/>
          <w:sz w:val="24"/>
          <w:szCs w:val="24"/>
        </w:rPr>
      </w:pPr>
    </w:p>
    <w:p w14:paraId="13E24975" w14:textId="18602F79" w:rsidR="00296B55"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[13]</w:t>
      </w:r>
      <w:r>
        <w:rPr>
          <w:rFonts w:ascii="Arial" w:eastAsiaTheme="minorHAnsi" w:hAnsi="Arial" w:cstheme="minorBidi"/>
          <w:lang w:val="en-GB" w:eastAsia="en-US" w:bidi="ar-SA"/>
        </w:rPr>
        <w:tab/>
      </w:r>
      <w:r w:rsidR="003A3521" w:rsidRPr="00543E48">
        <w:rPr>
          <w:rFonts w:asciiTheme="minorBidi" w:hAnsiTheme="minorBidi"/>
        </w:rPr>
        <w:t>As matters thus stand, the particulars of claim to which the exception was upheld have never been amended</w:t>
      </w:r>
      <w:r w:rsidR="00E32072" w:rsidRPr="00543E48">
        <w:rPr>
          <w:rFonts w:asciiTheme="minorBidi" w:hAnsiTheme="minorBidi"/>
        </w:rPr>
        <w:t xml:space="preserve"> in the light of the second defendant’s objection</w:t>
      </w:r>
      <w:r w:rsidR="003A3521" w:rsidRPr="00543E48">
        <w:rPr>
          <w:rFonts w:asciiTheme="minorBidi" w:hAnsiTheme="minorBidi"/>
        </w:rPr>
        <w:t xml:space="preserve"> and </w:t>
      </w:r>
      <w:r w:rsidR="003A3521" w:rsidRPr="00543E48">
        <w:rPr>
          <w:rFonts w:asciiTheme="minorBidi" w:hAnsiTheme="minorBidi"/>
        </w:rPr>
        <w:lastRenderedPageBreak/>
        <w:t>certainly not within the twenty days prescribed by Chetty J’s order.</w:t>
      </w:r>
      <w:r w:rsidR="000D4127" w:rsidRPr="00543E48">
        <w:rPr>
          <w:rFonts w:asciiTheme="minorBidi" w:hAnsiTheme="minorBidi"/>
        </w:rPr>
        <w:t xml:space="preserve"> </w:t>
      </w:r>
      <w:r w:rsidR="0003626C" w:rsidRPr="00543E48">
        <w:rPr>
          <w:rFonts w:asciiTheme="minorBidi" w:hAnsiTheme="minorBidi"/>
        </w:rPr>
        <w:t>Indeed, a period of three years has elapsed since the date of that order, and the plaintiff’s particulars of claim remain unamended. The</w:t>
      </w:r>
      <w:r w:rsidR="000D4127" w:rsidRPr="00543E48">
        <w:rPr>
          <w:rFonts w:asciiTheme="minorBidi" w:hAnsiTheme="minorBidi"/>
        </w:rPr>
        <w:t xml:space="preserve"> order has thus not been complied with</w:t>
      </w:r>
      <w:r w:rsidR="0003626C" w:rsidRPr="00543E48">
        <w:rPr>
          <w:rFonts w:asciiTheme="minorBidi" w:hAnsiTheme="minorBidi"/>
        </w:rPr>
        <w:t>. I</w:t>
      </w:r>
      <w:r w:rsidR="000D4127" w:rsidRPr="00543E48">
        <w:rPr>
          <w:rFonts w:asciiTheme="minorBidi" w:hAnsiTheme="minorBidi"/>
        </w:rPr>
        <w:t xml:space="preserve">n terms of paragraph </w:t>
      </w:r>
      <w:r w:rsidR="0003626C" w:rsidRPr="00543E48">
        <w:rPr>
          <w:rFonts w:asciiTheme="minorBidi" w:hAnsiTheme="minorBidi"/>
        </w:rPr>
        <w:t>3</w:t>
      </w:r>
      <w:r w:rsidR="000D4127" w:rsidRPr="00543E48">
        <w:rPr>
          <w:rFonts w:asciiTheme="minorBidi" w:hAnsiTheme="minorBidi"/>
        </w:rPr>
        <w:t xml:space="preserve"> of that order, </w:t>
      </w:r>
      <w:r w:rsidR="003050E0" w:rsidRPr="00543E48">
        <w:rPr>
          <w:rFonts w:asciiTheme="minorBidi" w:hAnsiTheme="minorBidi"/>
        </w:rPr>
        <w:t xml:space="preserve">in the event of the plaintiff not complying with the order, </w:t>
      </w:r>
      <w:r w:rsidR="000D4127" w:rsidRPr="00543E48">
        <w:rPr>
          <w:rFonts w:asciiTheme="minorBidi" w:hAnsiTheme="minorBidi"/>
        </w:rPr>
        <w:t>the second defendant was entitled to seek the dismissal of the plaintiff’s ‘cause of action.’ I assume that what was intended was a reference to the plaintiff</w:t>
      </w:r>
      <w:r w:rsidR="00D067D9" w:rsidRPr="00543E48">
        <w:rPr>
          <w:rFonts w:asciiTheme="minorBidi" w:hAnsiTheme="minorBidi"/>
        </w:rPr>
        <w:t>’s</w:t>
      </w:r>
      <w:r w:rsidR="000D4127" w:rsidRPr="00543E48">
        <w:rPr>
          <w:rFonts w:asciiTheme="minorBidi" w:hAnsiTheme="minorBidi"/>
        </w:rPr>
        <w:t xml:space="preserve"> particulars of claim.</w:t>
      </w:r>
      <w:r w:rsidR="00E32072" w:rsidRPr="00543E48">
        <w:rPr>
          <w:rFonts w:asciiTheme="minorBidi" w:hAnsiTheme="minorBidi"/>
        </w:rPr>
        <w:t xml:space="preserve"> And I further assume that what was intended was that the second </w:t>
      </w:r>
      <w:r w:rsidR="00B00D6F" w:rsidRPr="00543E48">
        <w:rPr>
          <w:rFonts w:asciiTheme="minorBidi" w:hAnsiTheme="minorBidi"/>
        </w:rPr>
        <w:t xml:space="preserve">defendant </w:t>
      </w:r>
      <w:r w:rsidR="00E32072" w:rsidRPr="00543E48">
        <w:rPr>
          <w:rFonts w:asciiTheme="minorBidi" w:hAnsiTheme="minorBidi"/>
        </w:rPr>
        <w:t xml:space="preserve">would be entitled to claim the striking out of the claim </w:t>
      </w:r>
      <w:r w:rsidR="00DF1417" w:rsidRPr="00543E48">
        <w:rPr>
          <w:rFonts w:asciiTheme="minorBidi" w:hAnsiTheme="minorBidi"/>
        </w:rPr>
        <w:t xml:space="preserve">as </w:t>
      </w:r>
      <w:r w:rsidR="00E32072" w:rsidRPr="00543E48">
        <w:rPr>
          <w:rFonts w:asciiTheme="minorBidi" w:hAnsiTheme="minorBidi"/>
        </w:rPr>
        <w:t>against itself only.</w:t>
      </w:r>
    </w:p>
    <w:p w14:paraId="622CAA8C" w14:textId="77777777" w:rsidR="003A3521" w:rsidRDefault="003A3521" w:rsidP="000D4127">
      <w:pPr>
        <w:pStyle w:val="ListParagraph"/>
        <w:tabs>
          <w:tab w:val="left" w:pos="709"/>
        </w:tabs>
        <w:spacing w:after="0" w:line="360" w:lineRule="auto"/>
        <w:ind w:left="0"/>
        <w:jc w:val="both"/>
        <w:rPr>
          <w:rFonts w:asciiTheme="minorBidi" w:hAnsiTheme="minorBidi"/>
          <w:sz w:val="24"/>
          <w:szCs w:val="24"/>
        </w:rPr>
      </w:pPr>
    </w:p>
    <w:p w14:paraId="59722100" w14:textId="3959B493" w:rsidR="003050E0"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[14]</w:t>
      </w:r>
      <w:r>
        <w:rPr>
          <w:rFonts w:ascii="Arial" w:eastAsiaTheme="minorHAnsi" w:hAnsi="Arial" w:cstheme="minorBidi"/>
          <w:lang w:val="en-GB" w:eastAsia="en-US" w:bidi="ar-SA"/>
        </w:rPr>
        <w:tab/>
      </w:r>
      <w:r w:rsidR="00D067D9" w:rsidRPr="00543E48">
        <w:rPr>
          <w:rFonts w:asciiTheme="minorBidi" w:hAnsiTheme="minorBidi"/>
        </w:rPr>
        <w:t>Before dealing with the</w:t>
      </w:r>
      <w:r w:rsidR="003A3521" w:rsidRPr="00543E48">
        <w:rPr>
          <w:rFonts w:asciiTheme="minorBidi" w:hAnsiTheme="minorBidi"/>
        </w:rPr>
        <w:t xml:space="preserve"> plaintiff’s explanation for this state of affairs</w:t>
      </w:r>
      <w:r w:rsidR="00D067D9" w:rsidRPr="00543E48">
        <w:rPr>
          <w:rFonts w:asciiTheme="minorBidi" w:hAnsiTheme="minorBidi"/>
        </w:rPr>
        <w:t>,</w:t>
      </w:r>
      <w:r w:rsidR="003A3521" w:rsidRPr="00543E48">
        <w:rPr>
          <w:rFonts w:asciiTheme="minorBidi" w:hAnsiTheme="minorBidi"/>
        </w:rPr>
        <w:t xml:space="preserve"> </w:t>
      </w:r>
      <w:r w:rsidR="00D067D9" w:rsidRPr="00543E48">
        <w:rPr>
          <w:rFonts w:asciiTheme="minorBidi" w:hAnsiTheme="minorBidi"/>
        </w:rPr>
        <w:t>the issue of condonation must be considered. Th</w:t>
      </w:r>
      <w:r w:rsidR="003050E0" w:rsidRPr="00543E48">
        <w:rPr>
          <w:rFonts w:asciiTheme="minorBidi" w:hAnsiTheme="minorBidi"/>
        </w:rPr>
        <w:t xml:space="preserve">e application </w:t>
      </w:r>
      <w:r w:rsidR="00E32072" w:rsidRPr="00543E48">
        <w:rPr>
          <w:rFonts w:asciiTheme="minorBidi" w:hAnsiTheme="minorBidi"/>
        </w:rPr>
        <w:t>to strike out the plaintiff’s particulars of claim</w:t>
      </w:r>
      <w:r w:rsidR="00D067D9" w:rsidRPr="00543E48">
        <w:rPr>
          <w:rFonts w:asciiTheme="minorBidi" w:hAnsiTheme="minorBidi"/>
        </w:rPr>
        <w:t xml:space="preserve"> was delivered </w:t>
      </w:r>
      <w:r w:rsidR="003050E0" w:rsidRPr="00543E48">
        <w:rPr>
          <w:rFonts w:asciiTheme="minorBidi" w:hAnsiTheme="minorBidi"/>
        </w:rPr>
        <w:t xml:space="preserve">by the second defendant </w:t>
      </w:r>
      <w:r w:rsidR="00D067D9" w:rsidRPr="00543E48">
        <w:rPr>
          <w:rFonts w:asciiTheme="minorBidi" w:hAnsiTheme="minorBidi"/>
        </w:rPr>
        <w:t>on 25 November 2020, but the plaintiff only delivered her answering affidavit on 29 April 2021</w:t>
      </w:r>
      <w:r w:rsidR="00383677" w:rsidRPr="00543E48">
        <w:rPr>
          <w:rFonts w:asciiTheme="minorBidi" w:hAnsiTheme="minorBidi"/>
        </w:rPr>
        <w:t>, some five months later</w:t>
      </w:r>
      <w:r w:rsidR="00D067D9" w:rsidRPr="00543E48">
        <w:rPr>
          <w:rFonts w:asciiTheme="minorBidi" w:hAnsiTheme="minorBidi"/>
        </w:rPr>
        <w:t>.</w:t>
      </w:r>
      <w:r w:rsidR="00383677" w:rsidRPr="00543E48">
        <w:rPr>
          <w:rFonts w:asciiTheme="minorBidi" w:hAnsiTheme="minorBidi"/>
        </w:rPr>
        <w:t xml:space="preserve"> It was thus hopelessly out of time.</w:t>
      </w:r>
      <w:r w:rsidR="00D067D9" w:rsidRPr="00543E48">
        <w:rPr>
          <w:rFonts w:asciiTheme="minorBidi" w:hAnsiTheme="minorBidi"/>
        </w:rPr>
        <w:t xml:space="preserve"> </w:t>
      </w:r>
      <w:r w:rsidR="0032425B" w:rsidRPr="00543E48">
        <w:rPr>
          <w:rFonts w:asciiTheme="minorBidi" w:hAnsiTheme="minorBidi"/>
        </w:rPr>
        <w:t>The plaintiff has accordingly brought an application for condonation.</w:t>
      </w:r>
    </w:p>
    <w:p w14:paraId="432ABF53" w14:textId="77777777" w:rsidR="0032425B" w:rsidRPr="0032425B" w:rsidRDefault="0032425B" w:rsidP="0032425B">
      <w:pPr>
        <w:pStyle w:val="ListParagraph"/>
        <w:rPr>
          <w:rFonts w:asciiTheme="minorBidi" w:hAnsiTheme="minorBidi"/>
          <w:sz w:val="24"/>
          <w:szCs w:val="24"/>
        </w:rPr>
      </w:pPr>
    </w:p>
    <w:p w14:paraId="5C5DF132" w14:textId="02D26BFA" w:rsidR="0032425B" w:rsidRPr="0032425B" w:rsidRDefault="00543E48" w:rsidP="00543E48">
      <w:pPr>
        <w:pStyle w:val="NormalWeb"/>
        <w:shd w:val="clear" w:color="auto" w:fill="FFFFFF"/>
        <w:spacing w:before="0" w:beforeAutospacing="0" w:after="0" w:afterAutospacing="0" w:line="360" w:lineRule="auto"/>
        <w:jc w:val="both"/>
        <w:rPr>
          <w:rFonts w:ascii="Verdana" w:hAnsi="Verdana"/>
          <w:sz w:val="22"/>
          <w:szCs w:val="22"/>
          <w:lang w:val="en-US" w:bidi="ar-SA"/>
        </w:rPr>
      </w:pPr>
      <w:r w:rsidRPr="0032425B">
        <w:rPr>
          <w:rFonts w:ascii="Arial" w:hAnsi="Arial"/>
          <w:sz w:val="22"/>
          <w:szCs w:val="22"/>
          <w:lang w:val="en-US" w:bidi="ar-SA"/>
        </w:rPr>
        <w:t>[15]</w:t>
      </w:r>
      <w:r w:rsidRPr="0032425B">
        <w:rPr>
          <w:rFonts w:ascii="Arial" w:hAnsi="Arial"/>
          <w:sz w:val="22"/>
          <w:szCs w:val="22"/>
          <w:lang w:val="en-US" w:bidi="ar-SA"/>
        </w:rPr>
        <w:tab/>
      </w:r>
      <w:r w:rsidR="003050E0" w:rsidRPr="0058686F">
        <w:rPr>
          <w:rFonts w:ascii="Arial" w:hAnsi="Arial" w:cs="Arial"/>
          <w:lang w:val="en-US"/>
        </w:rPr>
        <w:t xml:space="preserve">In </w:t>
      </w:r>
      <w:r w:rsidR="003050E0" w:rsidRPr="0058686F">
        <w:rPr>
          <w:rFonts w:ascii="Arial" w:hAnsi="Arial" w:cs="Arial"/>
          <w:bCs/>
          <w:i/>
          <w:lang w:val="en-US"/>
        </w:rPr>
        <w:t>Grootboom v National Prosecuting Authority and Another</w:t>
      </w:r>
      <w:r w:rsidR="0058686F" w:rsidRPr="0058686F">
        <w:rPr>
          <w:rFonts w:ascii="Arial" w:hAnsi="Arial" w:cs="Arial"/>
          <w:bCs/>
          <w:i/>
          <w:lang w:val="en-US"/>
        </w:rPr>
        <w:t>,</w:t>
      </w:r>
      <w:r w:rsidR="003050E0" w:rsidRPr="0058686F">
        <w:rPr>
          <w:rStyle w:val="FootnoteReference"/>
          <w:rFonts w:ascii="Arial" w:hAnsi="Arial" w:cs="Arial"/>
          <w:bCs/>
          <w:lang w:val="en-US"/>
        </w:rPr>
        <w:footnoteReference w:id="2"/>
      </w:r>
      <w:r w:rsidR="003050E0" w:rsidRPr="0058686F">
        <w:rPr>
          <w:rFonts w:ascii="Arial" w:hAnsi="Arial" w:cs="Arial"/>
          <w:bCs/>
          <w:lang w:val="en-US"/>
        </w:rPr>
        <w:t> </w:t>
      </w:r>
      <w:r w:rsidR="0058686F" w:rsidRPr="0058686F">
        <w:rPr>
          <w:rFonts w:ascii="Arial" w:hAnsi="Arial" w:cs="Arial"/>
          <w:lang w:val="en-US"/>
        </w:rPr>
        <w:t xml:space="preserve">the </w:t>
      </w:r>
      <w:r w:rsidR="003050E0" w:rsidRPr="0058686F">
        <w:rPr>
          <w:rFonts w:ascii="Arial" w:hAnsi="Arial" w:cs="Arial"/>
          <w:lang w:val="en-US"/>
        </w:rPr>
        <w:t xml:space="preserve">Constitutional </w:t>
      </w:r>
    </w:p>
    <w:p w14:paraId="0708452D" w14:textId="1C61509A" w:rsidR="0058686F" w:rsidRPr="0058686F" w:rsidRDefault="003050E0" w:rsidP="0032425B">
      <w:pPr>
        <w:pStyle w:val="NormalWeb"/>
        <w:shd w:val="clear" w:color="auto" w:fill="FFFFFF"/>
        <w:spacing w:before="0" w:beforeAutospacing="0" w:after="0" w:afterAutospacing="0" w:line="360" w:lineRule="auto"/>
        <w:jc w:val="both"/>
        <w:rPr>
          <w:rFonts w:ascii="Verdana" w:hAnsi="Verdana"/>
          <w:sz w:val="22"/>
          <w:szCs w:val="22"/>
          <w:lang w:val="en-US" w:bidi="ar-SA"/>
        </w:rPr>
      </w:pPr>
      <w:r w:rsidRPr="0058686F">
        <w:rPr>
          <w:rFonts w:ascii="Arial" w:hAnsi="Arial" w:cs="Arial"/>
          <w:lang w:val="en-US"/>
        </w:rPr>
        <w:t>Court stated that</w:t>
      </w:r>
      <w:r w:rsidR="0058686F" w:rsidRPr="0058686F">
        <w:rPr>
          <w:rFonts w:ascii="Arial" w:hAnsi="Arial" w:cs="Arial"/>
          <w:lang w:val="en-US"/>
        </w:rPr>
        <w:t>:</w:t>
      </w:r>
    </w:p>
    <w:p w14:paraId="07E869AE" w14:textId="6EEE140C" w:rsidR="003050E0" w:rsidRDefault="0058686F" w:rsidP="0058686F">
      <w:pPr>
        <w:pStyle w:val="NormalWeb"/>
        <w:shd w:val="clear" w:color="auto" w:fill="FFFFFF"/>
        <w:spacing w:before="0" w:beforeAutospacing="0" w:after="0" w:afterAutospacing="0" w:line="360" w:lineRule="auto"/>
        <w:jc w:val="both"/>
        <w:rPr>
          <w:rFonts w:ascii="Arial" w:hAnsi="Arial" w:cs="Arial"/>
          <w:iCs/>
          <w:sz w:val="22"/>
          <w:szCs w:val="22"/>
          <w:lang w:val="en-US"/>
        </w:rPr>
      </w:pPr>
      <w:r w:rsidRPr="0058686F">
        <w:rPr>
          <w:rFonts w:ascii="Arial" w:hAnsi="Arial" w:cs="Arial"/>
          <w:iCs/>
          <w:sz w:val="22"/>
          <w:szCs w:val="22"/>
          <w:lang w:val="en-US"/>
        </w:rPr>
        <w:t>‘</w:t>
      </w:r>
      <w:r w:rsidR="003050E0" w:rsidRPr="0058686F">
        <w:rPr>
          <w:rFonts w:ascii="Arial" w:hAnsi="Arial" w:cs="Arial"/>
          <w:iCs/>
          <w:sz w:val="22"/>
          <w:szCs w:val="22"/>
          <w:lang w:val="en-US"/>
        </w:rPr>
        <w:t>It is axiomatic that condoning a party’s non-compliance with the rules or directions is an indulgence. The court seized with the matter has a discretio</w:t>
      </w:r>
      <w:r w:rsidRPr="0058686F">
        <w:rPr>
          <w:rFonts w:ascii="Arial" w:hAnsi="Arial" w:cs="Arial"/>
          <w:iCs/>
          <w:sz w:val="22"/>
          <w:szCs w:val="22"/>
          <w:lang w:val="en-US"/>
        </w:rPr>
        <w:t>n whether to grant condonation.’</w:t>
      </w:r>
    </w:p>
    <w:p w14:paraId="56CC755A" w14:textId="39366088" w:rsidR="0058686F" w:rsidRDefault="0058686F" w:rsidP="0058686F">
      <w:pPr>
        <w:pStyle w:val="NormalWeb"/>
        <w:shd w:val="clear" w:color="auto" w:fill="FFFFFF"/>
        <w:spacing w:before="0" w:beforeAutospacing="0" w:after="0" w:afterAutospacing="0" w:line="360" w:lineRule="auto"/>
        <w:jc w:val="both"/>
        <w:rPr>
          <w:rFonts w:ascii="Arial" w:hAnsi="Arial" w:cs="Arial"/>
          <w:iCs/>
          <w:lang w:val="en-US"/>
        </w:rPr>
      </w:pPr>
      <w:r w:rsidRPr="0058686F">
        <w:rPr>
          <w:rFonts w:ascii="Arial" w:hAnsi="Arial" w:cs="Arial"/>
          <w:iCs/>
          <w:lang w:val="en-US"/>
        </w:rPr>
        <w:t>Later in that same judgment</w:t>
      </w:r>
      <w:r>
        <w:rPr>
          <w:rFonts w:ascii="Arial" w:hAnsi="Arial" w:cs="Arial"/>
          <w:iCs/>
          <w:lang w:val="en-US"/>
        </w:rPr>
        <w:t>, the court stated further that:</w:t>
      </w:r>
    </w:p>
    <w:p w14:paraId="4C301868" w14:textId="77777777" w:rsidR="0032425B" w:rsidRDefault="0058686F" w:rsidP="0058686F">
      <w:pPr>
        <w:pStyle w:val="NormalWeb"/>
        <w:shd w:val="clear" w:color="auto" w:fill="FFFFFF"/>
        <w:spacing w:before="0" w:beforeAutospacing="0" w:after="0" w:afterAutospacing="0" w:line="360" w:lineRule="auto"/>
        <w:jc w:val="both"/>
        <w:rPr>
          <w:rFonts w:ascii="Arial" w:hAnsi="Arial" w:cs="Arial"/>
          <w:iCs/>
          <w:lang w:val="en-US"/>
        </w:rPr>
      </w:pPr>
      <w:r w:rsidRPr="0058686F">
        <w:rPr>
          <w:rFonts w:ascii="Arial" w:hAnsi="Arial" w:cs="Arial"/>
          <w:iCs/>
          <w:sz w:val="22"/>
          <w:szCs w:val="22"/>
          <w:lang w:val="en-US"/>
        </w:rPr>
        <w:t>‘</w:t>
      </w:r>
      <w:r w:rsidR="003050E0" w:rsidRPr="0058686F">
        <w:rPr>
          <w:rFonts w:ascii="Arial" w:hAnsi="Arial" w:cs="Arial"/>
          <w:iCs/>
          <w:sz w:val="22"/>
          <w:szCs w:val="22"/>
          <w:lang w:val="en-US"/>
        </w:rPr>
        <w:t>It is now trite that condonation cannot be had for the mere asking. A party seeking condonation must make out a case entitling it to the court’s indulgence. It must show sufficient cause. This requires a party to give a full explanation for the non-compliance with the rules or court’s directions. Of great significance, the explanation must be reasonabl</w:t>
      </w:r>
      <w:r>
        <w:rPr>
          <w:rFonts w:ascii="Arial" w:hAnsi="Arial" w:cs="Arial"/>
          <w:iCs/>
          <w:sz w:val="22"/>
          <w:szCs w:val="22"/>
          <w:lang w:val="en-US"/>
        </w:rPr>
        <w:t>e enough to excuse the default.’</w:t>
      </w:r>
      <w:r w:rsidRPr="0058686F">
        <w:rPr>
          <w:rStyle w:val="FootnoteReference"/>
          <w:rFonts w:ascii="Arial" w:hAnsi="Arial" w:cs="Arial"/>
          <w:iCs/>
          <w:lang w:val="en-US"/>
        </w:rPr>
        <w:t xml:space="preserve"> </w:t>
      </w:r>
      <w:r>
        <w:rPr>
          <w:rStyle w:val="FootnoteReference"/>
          <w:rFonts w:ascii="Arial" w:hAnsi="Arial" w:cs="Arial"/>
          <w:iCs/>
          <w:lang w:val="en-US"/>
        </w:rPr>
        <w:footnoteReference w:id="3"/>
      </w:r>
      <w:r>
        <w:rPr>
          <w:rFonts w:ascii="Arial" w:hAnsi="Arial" w:cs="Arial"/>
          <w:iCs/>
          <w:lang w:val="en-US"/>
        </w:rPr>
        <w:t xml:space="preserve"> </w:t>
      </w:r>
    </w:p>
    <w:p w14:paraId="7A2AFB45" w14:textId="3FC037F9" w:rsidR="003050E0" w:rsidRDefault="0058686F" w:rsidP="0058686F">
      <w:pPr>
        <w:pStyle w:val="NormalWeb"/>
        <w:shd w:val="clear" w:color="auto" w:fill="FFFFFF"/>
        <w:spacing w:before="0" w:beforeAutospacing="0" w:after="0" w:afterAutospacing="0" w:line="360" w:lineRule="auto"/>
        <w:jc w:val="both"/>
        <w:rPr>
          <w:rFonts w:ascii="Arial" w:hAnsi="Arial" w:cs="Arial"/>
          <w:iCs/>
          <w:lang w:val="en-US"/>
        </w:rPr>
      </w:pPr>
      <w:r>
        <w:rPr>
          <w:rFonts w:ascii="Arial" w:hAnsi="Arial" w:cs="Arial"/>
          <w:iCs/>
          <w:lang w:val="en-US"/>
        </w:rPr>
        <w:t>And finally, the court stated:</w:t>
      </w:r>
    </w:p>
    <w:p w14:paraId="5DF675B5" w14:textId="7227C74C" w:rsidR="003050E0" w:rsidRPr="0032425B" w:rsidRDefault="0058686F" w:rsidP="0032425B">
      <w:pPr>
        <w:pStyle w:val="NormalWeb"/>
        <w:shd w:val="clear" w:color="auto" w:fill="FFFFFF"/>
        <w:spacing w:before="0" w:beforeAutospacing="0" w:after="0" w:afterAutospacing="0" w:line="360" w:lineRule="auto"/>
        <w:jc w:val="both"/>
        <w:rPr>
          <w:rFonts w:ascii="Arial" w:hAnsi="Arial" w:cs="Arial"/>
          <w:iCs/>
          <w:sz w:val="22"/>
          <w:szCs w:val="22"/>
          <w:lang w:val="en-US"/>
        </w:rPr>
      </w:pPr>
      <w:r w:rsidRPr="0032425B">
        <w:rPr>
          <w:rFonts w:ascii="Arial" w:hAnsi="Arial" w:cs="Arial"/>
          <w:iCs/>
          <w:sz w:val="22"/>
          <w:szCs w:val="22"/>
          <w:lang w:val="en-US"/>
        </w:rPr>
        <w:t>‘I</w:t>
      </w:r>
      <w:r w:rsidR="003050E0" w:rsidRPr="0032425B">
        <w:rPr>
          <w:rFonts w:ascii="Arial" w:hAnsi="Arial" w:cs="Arial"/>
          <w:iCs/>
          <w:sz w:val="22"/>
          <w:szCs w:val="22"/>
          <w:lang w:val="en-US"/>
        </w:rPr>
        <w:t>n this court the test for determining whether condonation should be granted or refused is the interests of justice. If it is in the interests of justice that condonation be granted, it will be granted. If it is not in the interests of justice to do so, it will not be granted. The factors that are taken into account in that inquiry include:</w:t>
      </w:r>
    </w:p>
    <w:p w14:paraId="49B075CF" w14:textId="319CECAD" w:rsidR="0032425B" w:rsidRPr="0032425B" w:rsidRDefault="0032425B" w:rsidP="0032425B">
      <w:pPr>
        <w:pStyle w:val="NormalWeb"/>
        <w:shd w:val="clear" w:color="auto" w:fill="FFFFFF"/>
        <w:tabs>
          <w:tab w:val="left" w:pos="709"/>
        </w:tabs>
        <w:spacing w:before="0" w:beforeAutospacing="0" w:after="0" w:afterAutospacing="0" w:line="360" w:lineRule="auto"/>
        <w:jc w:val="both"/>
        <w:rPr>
          <w:rFonts w:ascii="Verdana" w:hAnsi="Verdana"/>
          <w:color w:val="242121"/>
          <w:sz w:val="22"/>
          <w:szCs w:val="22"/>
          <w:lang w:val="en-GB" w:bidi="ar-SA"/>
        </w:rPr>
      </w:pPr>
      <w:r w:rsidRPr="0032425B">
        <w:rPr>
          <w:rFonts w:ascii="Arial" w:hAnsi="Arial" w:cs="Arial"/>
          <w:iCs/>
          <w:color w:val="242121"/>
          <w:sz w:val="22"/>
          <w:szCs w:val="22"/>
          <w:lang w:val="en-US"/>
        </w:rPr>
        <w:t>(a) </w:t>
      </w:r>
      <w:r>
        <w:rPr>
          <w:rFonts w:ascii="Arial" w:hAnsi="Arial" w:cs="Arial"/>
          <w:iCs/>
          <w:color w:val="242121"/>
          <w:sz w:val="22"/>
          <w:szCs w:val="22"/>
          <w:lang w:val="en-US"/>
        </w:rPr>
        <w:tab/>
      </w:r>
      <w:r w:rsidRPr="0032425B">
        <w:rPr>
          <w:rFonts w:ascii="Arial" w:hAnsi="Arial" w:cs="Arial"/>
          <w:color w:val="242121"/>
          <w:sz w:val="22"/>
          <w:szCs w:val="22"/>
          <w:lang w:val="en-US"/>
        </w:rPr>
        <w:t>the length of the delay;</w:t>
      </w:r>
    </w:p>
    <w:p w14:paraId="11A46553" w14:textId="2FE61C99" w:rsidR="0032425B" w:rsidRPr="0032425B" w:rsidRDefault="0032425B" w:rsidP="0032425B">
      <w:pPr>
        <w:pStyle w:val="NormalWeb"/>
        <w:shd w:val="clear" w:color="auto" w:fill="FFFFFF"/>
        <w:tabs>
          <w:tab w:val="left" w:pos="709"/>
        </w:tabs>
        <w:spacing w:before="0" w:beforeAutospacing="0" w:after="0" w:afterAutospacing="0" w:line="360" w:lineRule="auto"/>
        <w:jc w:val="both"/>
        <w:rPr>
          <w:rFonts w:ascii="Verdana" w:hAnsi="Verdana"/>
          <w:color w:val="242121"/>
          <w:sz w:val="22"/>
          <w:szCs w:val="22"/>
        </w:rPr>
      </w:pPr>
      <w:r w:rsidRPr="0032425B">
        <w:rPr>
          <w:rFonts w:ascii="Arial" w:hAnsi="Arial" w:cs="Arial"/>
          <w:iCs/>
          <w:color w:val="242121"/>
          <w:sz w:val="22"/>
          <w:szCs w:val="22"/>
          <w:lang w:val="en-US"/>
        </w:rPr>
        <w:lastRenderedPageBreak/>
        <w:t>(b) </w:t>
      </w:r>
      <w:r>
        <w:rPr>
          <w:rFonts w:ascii="Arial" w:hAnsi="Arial" w:cs="Arial"/>
          <w:iCs/>
          <w:color w:val="242121"/>
          <w:sz w:val="22"/>
          <w:szCs w:val="22"/>
          <w:lang w:val="en-US"/>
        </w:rPr>
        <w:tab/>
      </w:r>
      <w:r w:rsidRPr="0032425B">
        <w:rPr>
          <w:rFonts w:ascii="Arial" w:hAnsi="Arial" w:cs="Arial"/>
          <w:color w:val="242121"/>
          <w:sz w:val="22"/>
          <w:szCs w:val="22"/>
          <w:lang w:val="en-US"/>
        </w:rPr>
        <w:t>the explanation for, or cause for, the delay;</w:t>
      </w:r>
    </w:p>
    <w:p w14:paraId="6ACFD826" w14:textId="09752643" w:rsidR="0032425B" w:rsidRPr="0032425B" w:rsidRDefault="0032425B" w:rsidP="0032425B">
      <w:pPr>
        <w:pStyle w:val="NormalWeb"/>
        <w:shd w:val="clear" w:color="auto" w:fill="FFFFFF"/>
        <w:tabs>
          <w:tab w:val="left" w:pos="709"/>
        </w:tabs>
        <w:spacing w:before="0" w:beforeAutospacing="0" w:after="0" w:afterAutospacing="0" w:line="360" w:lineRule="auto"/>
        <w:jc w:val="both"/>
        <w:rPr>
          <w:rFonts w:ascii="Verdana" w:hAnsi="Verdana"/>
          <w:color w:val="242121"/>
          <w:sz w:val="22"/>
          <w:szCs w:val="22"/>
        </w:rPr>
      </w:pPr>
      <w:r w:rsidRPr="0032425B">
        <w:rPr>
          <w:rFonts w:ascii="Arial" w:hAnsi="Arial" w:cs="Arial"/>
          <w:iCs/>
          <w:color w:val="242121"/>
          <w:sz w:val="22"/>
          <w:szCs w:val="22"/>
          <w:lang w:val="en-US"/>
        </w:rPr>
        <w:t>(c)</w:t>
      </w:r>
      <w:r w:rsidRPr="0032425B">
        <w:rPr>
          <w:rFonts w:ascii="Arial" w:hAnsi="Arial" w:cs="Arial"/>
          <w:color w:val="242121"/>
          <w:sz w:val="22"/>
          <w:szCs w:val="22"/>
        </w:rPr>
        <w:t> </w:t>
      </w:r>
      <w:r>
        <w:rPr>
          <w:rFonts w:ascii="Arial" w:hAnsi="Arial" w:cs="Arial"/>
          <w:color w:val="242121"/>
          <w:sz w:val="22"/>
          <w:szCs w:val="22"/>
        </w:rPr>
        <w:tab/>
      </w:r>
      <w:r w:rsidRPr="0032425B">
        <w:rPr>
          <w:rFonts w:ascii="Arial" w:hAnsi="Arial" w:cs="Arial"/>
          <w:color w:val="242121"/>
          <w:sz w:val="22"/>
          <w:szCs w:val="22"/>
          <w:lang w:val="en-US"/>
        </w:rPr>
        <w:t>prospects of success for the party seeking condonation;</w:t>
      </w:r>
    </w:p>
    <w:p w14:paraId="42A41015" w14:textId="0CDC54DC" w:rsidR="0032425B" w:rsidRPr="0032425B" w:rsidRDefault="0032425B" w:rsidP="0032425B">
      <w:pPr>
        <w:pStyle w:val="NormalWeb"/>
        <w:shd w:val="clear" w:color="auto" w:fill="FFFFFF"/>
        <w:tabs>
          <w:tab w:val="left" w:pos="709"/>
        </w:tabs>
        <w:spacing w:before="0" w:beforeAutospacing="0" w:after="0" w:afterAutospacing="0" w:line="360" w:lineRule="auto"/>
        <w:jc w:val="both"/>
        <w:rPr>
          <w:rFonts w:ascii="Verdana" w:hAnsi="Verdana"/>
          <w:color w:val="242121"/>
          <w:sz w:val="22"/>
          <w:szCs w:val="22"/>
        </w:rPr>
      </w:pPr>
      <w:r w:rsidRPr="0032425B">
        <w:rPr>
          <w:rFonts w:ascii="Arial" w:hAnsi="Arial" w:cs="Arial"/>
          <w:iCs/>
          <w:color w:val="242121"/>
          <w:sz w:val="22"/>
          <w:szCs w:val="22"/>
          <w:lang w:val="en-US"/>
        </w:rPr>
        <w:t>(d) </w:t>
      </w:r>
      <w:r>
        <w:rPr>
          <w:rFonts w:ascii="Arial" w:hAnsi="Arial" w:cs="Arial"/>
          <w:iCs/>
          <w:color w:val="242121"/>
          <w:sz w:val="22"/>
          <w:szCs w:val="22"/>
          <w:lang w:val="en-US"/>
        </w:rPr>
        <w:tab/>
      </w:r>
      <w:r w:rsidRPr="0032425B">
        <w:rPr>
          <w:rFonts w:ascii="Arial" w:hAnsi="Arial" w:cs="Arial"/>
          <w:color w:val="242121"/>
          <w:sz w:val="22"/>
          <w:szCs w:val="22"/>
          <w:lang w:val="en-US"/>
        </w:rPr>
        <w:t>the importance of the issue(s) that the matter raises;</w:t>
      </w:r>
    </w:p>
    <w:p w14:paraId="2B09CD39" w14:textId="1F8A7BFE" w:rsidR="0032425B" w:rsidRPr="0032425B" w:rsidRDefault="0032425B" w:rsidP="0032425B">
      <w:pPr>
        <w:pStyle w:val="NormalWeb"/>
        <w:shd w:val="clear" w:color="auto" w:fill="FFFFFF"/>
        <w:tabs>
          <w:tab w:val="left" w:pos="709"/>
        </w:tabs>
        <w:spacing w:before="0" w:beforeAutospacing="0" w:after="0" w:afterAutospacing="0" w:line="360" w:lineRule="auto"/>
        <w:jc w:val="both"/>
        <w:rPr>
          <w:rFonts w:ascii="Verdana" w:hAnsi="Verdana"/>
          <w:color w:val="242121"/>
          <w:sz w:val="22"/>
          <w:szCs w:val="22"/>
        </w:rPr>
      </w:pPr>
      <w:r w:rsidRPr="0032425B">
        <w:rPr>
          <w:rFonts w:ascii="Arial" w:hAnsi="Arial" w:cs="Arial"/>
          <w:iCs/>
          <w:color w:val="242121"/>
          <w:sz w:val="22"/>
          <w:szCs w:val="22"/>
          <w:lang w:val="en-US"/>
        </w:rPr>
        <w:t>(e) </w:t>
      </w:r>
      <w:r>
        <w:rPr>
          <w:rFonts w:ascii="Arial" w:hAnsi="Arial" w:cs="Arial"/>
          <w:iCs/>
          <w:color w:val="242121"/>
          <w:sz w:val="22"/>
          <w:szCs w:val="22"/>
          <w:lang w:val="en-US"/>
        </w:rPr>
        <w:tab/>
      </w:r>
      <w:r w:rsidRPr="0032425B">
        <w:rPr>
          <w:rFonts w:ascii="Arial" w:hAnsi="Arial" w:cs="Arial"/>
          <w:color w:val="242121"/>
          <w:sz w:val="22"/>
          <w:szCs w:val="22"/>
          <w:lang w:val="en-US"/>
        </w:rPr>
        <w:t>the prejudice to the other party or parties; and</w:t>
      </w:r>
    </w:p>
    <w:p w14:paraId="3212C426" w14:textId="30A267A2" w:rsidR="0032425B" w:rsidRPr="0032425B" w:rsidRDefault="0032425B" w:rsidP="0032425B">
      <w:pPr>
        <w:pStyle w:val="NormalWeb"/>
        <w:shd w:val="clear" w:color="auto" w:fill="FFFFFF"/>
        <w:tabs>
          <w:tab w:val="left" w:pos="709"/>
        </w:tabs>
        <w:spacing w:before="0" w:beforeAutospacing="0" w:after="0" w:afterAutospacing="0" w:line="360" w:lineRule="auto"/>
        <w:jc w:val="both"/>
        <w:rPr>
          <w:rFonts w:ascii="Verdana" w:hAnsi="Verdana"/>
          <w:color w:val="242121"/>
          <w:sz w:val="22"/>
          <w:szCs w:val="22"/>
        </w:rPr>
      </w:pPr>
      <w:r w:rsidRPr="0032425B">
        <w:rPr>
          <w:rFonts w:ascii="Arial" w:hAnsi="Arial" w:cs="Arial"/>
          <w:iCs/>
          <w:color w:val="242121"/>
          <w:sz w:val="22"/>
          <w:szCs w:val="22"/>
          <w:lang w:val="en-US"/>
        </w:rPr>
        <w:t>(f)</w:t>
      </w:r>
      <w:r w:rsidRPr="0032425B">
        <w:rPr>
          <w:rFonts w:ascii="Arial" w:hAnsi="Arial" w:cs="Arial"/>
          <w:color w:val="242121"/>
          <w:sz w:val="22"/>
          <w:szCs w:val="22"/>
        </w:rPr>
        <w:t> </w:t>
      </w:r>
      <w:r>
        <w:rPr>
          <w:rFonts w:ascii="Arial" w:hAnsi="Arial" w:cs="Arial"/>
          <w:color w:val="242121"/>
          <w:sz w:val="22"/>
          <w:szCs w:val="22"/>
        </w:rPr>
        <w:tab/>
      </w:r>
      <w:r w:rsidRPr="0032425B">
        <w:rPr>
          <w:rFonts w:ascii="Arial" w:hAnsi="Arial" w:cs="Arial"/>
          <w:color w:val="242121"/>
          <w:sz w:val="22"/>
          <w:szCs w:val="22"/>
          <w:lang w:val="en-US"/>
        </w:rPr>
        <w:t>the effect of the delay on the administration of justice.’</w:t>
      </w:r>
      <w:r>
        <w:rPr>
          <w:rStyle w:val="FootnoteReference"/>
          <w:rFonts w:ascii="Arial" w:hAnsi="Arial" w:cs="Arial"/>
          <w:color w:val="242121"/>
          <w:sz w:val="22"/>
          <w:szCs w:val="22"/>
          <w:lang w:val="en-US"/>
        </w:rPr>
        <w:footnoteReference w:id="4"/>
      </w:r>
    </w:p>
    <w:p w14:paraId="7B15B301" w14:textId="77777777" w:rsidR="0032425B" w:rsidRPr="00E32072" w:rsidRDefault="0032425B" w:rsidP="0032425B">
      <w:pPr>
        <w:pStyle w:val="NormalWeb"/>
        <w:shd w:val="clear" w:color="auto" w:fill="FFFFFF"/>
        <w:tabs>
          <w:tab w:val="left" w:pos="709"/>
        </w:tabs>
        <w:spacing w:before="0" w:beforeAutospacing="0" w:after="0" w:afterAutospacing="0" w:line="360" w:lineRule="auto"/>
        <w:jc w:val="both"/>
        <w:rPr>
          <w:rFonts w:ascii="Arial" w:hAnsi="Arial" w:cs="Arial"/>
          <w:lang w:val="en-US"/>
        </w:rPr>
      </w:pPr>
    </w:p>
    <w:p w14:paraId="02288E3F" w14:textId="064AE8D2" w:rsidR="008030F4"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[16]</w:t>
      </w:r>
      <w:r>
        <w:rPr>
          <w:rFonts w:ascii="Arial" w:eastAsiaTheme="minorHAnsi" w:hAnsi="Arial" w:cstheme="minorBidi"/>
          <w:lang w:val="en-GB" w:eastAsia="en-US" w:bidi="ar-SA"/>
        </w:rPr>
        <w:tab/>
      </w:r>
      <w:r w:rsidR="0032425B" w:rsidRPr="00543E48">
        <w:rPr>
          <w:rFonts w:asciiTheme="minorBidi" w:hAnsiTheme="minorBidi"/>
        </w:rPr>
        <w:t>As already mentioned, the delay in delivering the answering affidavit is some five months. That is a considerable delay in my view</w:t>
      </w:r>
      <w:r w:rsidR="0091780A" w:rsidRPr="00543E48">
        <w:rPr>
          <w:rFonts w:asciiTheme="minorBidi" w:hAnsiTheme="minorBidi"/>
        </w:rPr>
        <w:t xml:space="preserve"> and it will require a good explanation</w:t>
      </w:r>
      <w:r w:rsidR="0032425B" w:rsidRPr="00543E48">
        <w:rPr>
          <w:rFonts w:asciiTheme="minorBidi" w:hAnsiTheme="minorBidi"/>
        </w:rPr>
        <w:t>.</w:t>
      </w:r>
      <w:r w:rsidR="0091780A" w:rsidRPr="00543E48">
        <w:rPr>
          <w:rFonts w:asciiTheme="minorBidi" w:hAnsiTheme="minorBidi"/>
        </w:rPr>
        <w:t xml:space="preserve"> The explanation advanced is </w:t>
      </w:r>
      <w:r w:rsidR="008030F4" w:rsidRPr="00543E48">
        <w:rPr>
          <w:rFonts w:asciiTheme="minorBidi" w:hAnsiTheme="minorBidi"/>
        </w:rPr>
        <w:t>that</w:t>
      </w:r>
      <w:r w:rsidR="00D067D9" w:rsidRPr="00543E48">
        <w:rPr>
          <w:rFonts w:asciiTheme="minorBidi" w:hAnsiTheme="minorBidi"/>
        </w:rPr>
        <w:t xml:space="preserve"> counsel </w:t>
      </w:r>
      <w:r w:rsidR="008030F4" w:rsidRPr="00543E48">
        <w:rPr>
          <w:rFonts w:asciiTheme="minorBidi" w:hAnsiTheme="minorBidi"/>
        </w:rPr>
        <w:t>was</w:t>
      </w:r>
      <w:r w:rsidR="00D60EDC" w:rsidRPr="00543E48">
        <w:rPr>
          <w:rFonts w:asciiTheme="minorBidi" w:hAnsiTheme="minorBidi"/>
        </w:rPr>
        <w:t xml:space="preserve"> </w:t>
      </w:r>
      <w:r w:rsidR="00D067D9" w:rsidRPr="00543E48">
        <w:rPr>
          <w:rFonts w:asciiTheme="minorBidi" w:hAnsiTheme="minorBidi"/>
        </w:rPr>
        <w:t>instructed</w:t>
      </w:r>
      <w:r w:rsidR="008030F4" w:rsidRPr="00543E48">
        <w:rPr>
          <w:rFonts w:asciiTheme="minorBidi" w:hAnsiTheme="minorBidi"/>
        </w:rPr>
        <w:t>:</w:t>
      </w:r>
      <w:r w:rsidR="00D067D9" w:rsidRPr="00543E48">
        <w:rPr>
          <w:rFonts w:asciiTheme="minorBidi" w:hAnsiTheme="minorBidi"/>
        </w:rPr>
        <w:t xml:space="preserve"> </w:t>
      </w:r>
    </w:p>
    <w:p w14:paraId="6CF1229B" w14:textId="77777777" w:rsidR="008030F4" w:rsidRDefault="00383677" w:rsidP="008030F4">
      <w:pPr>
        <w:pStyle w:val="ListParagraph"/>
        <w:tabs>
          <w:tab w:val="left" w:pos="709"/>
        </w:tabs>
        <w:spacing w:after="0" w:line="360" w:lineRule="auto"/>
        <w:ind w:left="0"/>
        <w:jc w:val="both"/>
        <w:rPr>
          <w:rFonts w:asciiTheme="minorBidi" w:hAnsiTheme="minorBidi"/>
          <w:sz w:val="24"/>
          <w:szCs w:val="24"/>
        </w:rPr>
      </w:pPr>
      <w:r w:rsidRPr="008030F4">
        <w:rPr>
          <w:rFonts w:asciiTheme="minorBidi" w:hAnsiTheme="minorBidi"/>
        </w:rPr>
        <w:t>‘during the course of early December 2020’</w:t>
      </w:r>
      <w:r w:rsidR="008030F4">
        <w:rPr>
          <w:rFonts w:asciiTheme="minorBidi" w:hAnsiTheme="minorBidi"/>
          <w:sz w:val="24"/>
          <w:szCs w:val="24"/>
        </w:rPr>
        <w:t>.</w:t>
      </w:r>
    </w:p>
    <w:p w14:paraId="38D3349E" w14:textId="6023D5C6" w:rsidR="00D067D9" w:rsidRDefault="00B45B52" w:rsidP="008030F4">
      <w:pPr>
        <w:pStyle w:val="ListParagraph"/>
        <w:tabs>
          <w:tab w:val="left" w:pos="709"/>
        </w:tabs>
        <w:spacing w:after="0" w:line="360" w:lineRule="auto"/>
        <w:ind w:left="0"/>
        <w:jc w:val="both"/>
        <w:rPr>
          <w:rFonts w:asciiTheme="minorBidi" w:hAnsiTheme="minorBidi"/>
          <w:sz w:val="24"/>
          <w:szCs w:val="24"/>
        </w:rPr>
      </w:pPr>
      <w:r>
        <w:rPr>
          <w:rFonts w:asciiTheme="minorBidi" w:hAnsiTheme="minorBidi"/>
          <w:sz w:val="24"/>
          <w:szCs w:val="24"/>
        </w:rPr>
        <w:t xml:space="preserve">No </w:t>
      </w:r>
      <w:r w:rsidR="008030F4">
        <w:rPr>
          <w:rFonts w:asciiTheme="minorBidi" w:hAnsiTheme="minorBidi"/>
          <w:sz w:val="24"/>
          <w:szCs w:val="24"/>
        </w:rPr>
        <w:t>date in early December 2020 is mentioned. The counsel instructed</w:t>
      </w:r>
      <w:r w:rsidR="00DF1417">
        <w:rPr>
          <w:rFonts w:asciiTheme="minorBidi" w:hAnsiTheme="minorBidi"/>
          <w:sz w:val="24"/>
          <w:szCs w:val="24"/>
        </w:rPr>
        <w:t xml:space="preserve">, who I discovered today was Mr Sookhay, </w:t>
      </w:r>
      <w:r w:rsidR="008030F4">
        <w:rPr>
          <w:rFonts w:asciiTheme="minorBidi" w:hAnsiTheme="minorBidi"/>
          <w:sz w:val="24"/>
          <w:szCs w:val="24"/>
        </w:rPr>
        <w:t xml:space="preserve">apparently </w:t>
      </w:r>
      <w:r w:rsidR="00D067D9" w:rsidRPr="008030F4">
        <w:rPr>
          <w:rFonts w:asciiTheme="minorBidi" w:hAnsiTheme="minorBidi"/>
          <w:sz w:val="24"/>
          <w:szCs w:val="24"/>
        </w:rPr>
        <w:t xml:space="preserve">resolved to draw the answering affidavit after the recess at the end of the judicial year. </w:t>
      </w:r>
      <w:r w:rsidR="00383677" w:rsidRPr="008030F4">
        <w:rPr>
          <w:rFonts w:asciiTheme="minorBidi" w:hAnsiTheme="minorBidi"/>
          <w:sz w:val="24"/>
          <w:szCs w:val="24"/>
        </w:rPr>
        <w:t xml:space="preserve">I find that a difficult proposition to accept </w:t>
      </w:r>
      <w:r w:rsidR="00DF1417">
        <w:rPr>
          <w:rFonts w:asciiTheme="minorBidi" w:hAnsiTheme="minorBidi"/>
          <w:sz w:val="24"/>
          <w:szCs w:val="24"/>
        </w:rPr>
        <w:t>because</w:t>
      </w:r>
      <w:r w:rsidR="00383677" w:rsidRPr="008030F4">
        <w:rPr>
          <w:rFonts w:asciiTheme="minorBidi" w:hAnsiTheme="minorBidi"/>
          <w:sz w:val="24"/>
          <w:szCs w:val="24"/>
        </w:rPr>
        <w:t xml:space="preserve"> counsel would know that dies non do not apply to applications. </w:t>
      </w:r>
      <w:r w:rsidR="008030F4">
        <w:rPr>
          <w:rFonts w:asciiTheme="minorBidi" w:hAnsiTheme="minorBidi"/>
          <w:sz w:val="24"/>
          <w:szCs w:val="24"/>
        </w:rPr>
        <w:t xml:space="preserve">The whole of the month of December 2020 could not simply be wished away as a period over which no work was needed to be done. There was a clamant need for the answering affidavit to be commenced and delivered during the prescribed time period but this appears not to have resonated with counsel. </w:t>
      </w:r>
      <w:r w:rsidR="00D067D9" w:rsidRPr="008030F4">
        <w:rPr>
          <w:rFonts w:asciiTheme="minorBidi" w:hAnsiTheme="minorBidi"/>
          <w:sz w:val="24"/>
          <w:szCs w:val="24"/>
        </w:rPr>
        <w:t xml:space="preserve">Thereafter, counsel </w:t>
      </w:r>
      <w:r w:rsidR="00DF1417">
        <w:rPr>
          <w:rFonts w:asciiTheme="minorBidi" w:hAnsiTheme="minorBidi"/>
          <w:sz w:val="24"/>
          <w:szCs w:val="24"/>
        </w:rPr>
        <w:t xml:space="preserve">unfortunately </w:t>
      </w:r>
      <w:r w:rsidR="00D067D9" w:rsidRPr="008030F4">
        <w:rPr>
          <w:rFonts w:asciiTheme="minorBidi" w:hAnsiTheme="minorBidi"/>
          <w:sz w:val="24"/>
          <w:szCs w:val="24"/>
        </w:rPr>
        <w:t xml:space="preserve">contracted Covid-19 and spent the month of January 2021 in hospital. </w:t>
      </w:r>
      <w:r w:rsidR="008030F4">
        <w:rPr>
          <w:rFonts w:asciiTheme="minorBidi" w:hAnsiTheme="minorBidi"/>
          <w:sz w:val="24"/>
          <w:szCs w:val="24"/>
        </w:rPr>
        <w:t xml:space="preserve">Nothing whatsoever is said about when counsel was diagnosed and when hospitalisation occurred. </w:t>
      </w:r>
      <w:r w:rsidR="00D067D9" w:rsidRPr="008030F4">
        <w:rPr>
          <w:rFonts w:asciiTheme="minorBidi" w:hAnsiTheme="minorBidi"/>
          <w:sz w:val="24"/>
          <w:szCs w:val="24"/>
        </w:rPr>
        <w:t xml:space="preserve">It appears that having been discharged from hospital, counsel </w:t>
      </w:r>
      <w:r w:rsidR="008030F4">
        <w:rPr>
          <w:rFonts w:asciiTheme="minorBidi" w:hAnsiTheme="minorBidi"/>
          <w:sz w:val="24"/>
          <w:szCs w:val="24"/>
        </w:rPr>
        <w:t xml:space="preserve">then </w:t>
      </w:r>
      <w:r w:rsidR="00D067D9" w:rsidRPr="008030F4">
        <w:rPr>
          <w:rFonts w:asciiTheme="minorBidi" w:hAnsiTheme="minorBidi"/>
          <w:sz w:val="24"/>
          <w:szCs w:val="24"/>
        </w:rPr>
        <w:t xml:space="preserve">spent a month at home </w:t>
      </w:r>
      <w:r w:rsidR="008030F4">
        <w:rPr>
          <w:rFonts w:asciiTheme="minorBidi" w:hAnsiTheme="minorBidi"/>
          <w:sz w:val="24"/>
          <w:szCs w:val="24"/>
        </w:rPr>
        <w:t xml:space="preserve">doing no work </w:t>
      </w:r>
      <w:r w:rsidR="00383677" w:rsidRPr="008030F4">
        <w:rPr>
          <w:rFonts w:asciiTheme="minorBidi" w:hAnsiTheme="minorBidi"/>
          <w:sz w:val="24"/>
          <w:szCs w:val="24"/>
        </w:rPr>
        <w:t xml:space="preserve">because it appears </w:t>
      </w:r>
      <w:r w:rsidR="00DF1417">
        <w:rPr>
          <w:rFonts w:asciiTheme="minorBidi" w:hAnsiTheme="minorBidi"/>
          <w:sz w:val="24"/>
          <w:szCs w:val="24"/>
        </w:rPr>
        <w:t>that he</w:t>
      </w:r>
      <w:r w:rsidR="00D067D9" w:rsidRPr="008030F4">
        <w:rPr>
          <w:rFonts w:asciiTheme="minorBidi" w:hAnsiTheme="minorBidi"/>
          <w:sz w:val="24"/>
          <w:szCs w:val="24"/>
        </w:rPr>
        <w:t xml:space="preserve"> only returned to work in March 2021. The plaintiff then experienced financial difficulties and lacked the funds to properly instruct counsel until 26 April 2021.</w:t>
      </w:r>
      <w:r w:rsidR="008030F4">
        <w:rPr>
          <w:rFonts w:asciiTheme="minorBidi" w:hAnsiTheme="minorBidi"/>
          <w:sz w:val="24"/>
          <w:szCs w:val="24"/>
        </w:rPr>
        <w:t xml:space="preserve"> </w:t>
      </w:r>
    </w:p>
    <w:p w14:paraId="59CCE771" w14:textId="77777777" w:rsidR="00DF1417" w:rsidRPr="008030F4" w:rsidRDefault="00DF1417" w:rsidP="008030F4">
      <w:pPr>
        <w:pStyle w:val="ListParagraph"/>
        <w:tabs>
          <w:tab w:val="left" w:pos="709"/>
        </w:tabs>
        <w:spacing w:after="0" w:line="360" w:lineRule="auto"/>
        <w:ind w:left="0"/>
        <w:jc w:val="both"/>
        <w:rPr>
          <w:rFonts w:asciiTheme="minorBidi" w:hAnsiTheme="minorBidi"/>
          <w:sz w:val="24"/>
          <w:szCs w:val="24"/>
        </w:rPr>
      </w:pPr>
    </w:p>
    <w:p w14:paraId="70E622CD" w14:textId="6E0B3123" w:rsidR="00BF1E21"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[17]</w:t>
      </w:r>
      <w:r>
        <w:rPr>
          <w:rFonts w:ascii="Arial" w:eastAsiaTheme="minorHAnsi" w:hAnsi="Arial" w:cstheme="minorBidi"/>
          <w:lang w:val="en-GB" w:eastAsia="en-US" w:bidi="ar-SA"/>
        </w:rPr>
        <w:tab/>
      </w:r>
      <w:r w:rsidR="00383677" w:rsidRPr="00543E48">
        <w:rPr>
          <w:rFonts w:asciiTheme="minorBidi" w:hAnsiTheme="minorBidi"/>
        </w:rPr>
        <w:t xml:space="preserve">It is simply not acceptable for litigants to remain supine and do nothing when faced with these types of circumstances. There </w:t>
      </w:r>
      <w:r w:rsidR="006E308F" w:rsidRPr="00543E48">
        <w:rPr>
          <w:rFonts w:asciiTheme="minorBidi" w:hAnsiTheme="minorBidi"/>
        </w:rPr>
        <w:t xml:space="preserve">are </w:t>
      </w:r>
      <w:r w:rsidR="00D60EDC" w:rsidRPr="00543E48">
        <w:rPr>
          <w:rFonts w:asciiTheme="minorBidi" w:hAnsiTheme="minorBidi"/>
        </w:rPr>
        <w:t>many</w:t>
      </w:r>
      <w:r w:rsidR="00383677" w:rsidRPr="00543E48">
        <w:rPr>
          <w:rFonts w:asciiTheme="minorBidi" w:hAnsiTheme="minorBidi"/>
        </w:rPr>
        <w:t xml:space="preserve"> counsel in practice </w:t>
      </w:r>
      <w:r w:rsidR="006E308F" w:rsidRPr="00543E48">
        <w:rPr>
          <w:rFonts w:asciiTheme="minorBidi" w:hAnsiTheme="minorBidi"/>
        </w:rPr>
        <w:t xml:space="preserve">in this city </w:t>
      </w:r>
      <w:r w:rsidR="00383677" w:rsidRPr="00543E48">
        <w:rPr>
          <w:rFonts w:asciiTheme="minorBidi" w:hAnsiTheme="minorBidi"/>
        </w:rPr>
        <w:t>and where one counsel becomes unavailable, others should be considered and one</w:t>
      </w:r>
      <w:r w:rsidR="00973875" w:rsidRPr="00543E48">
        <w:rPr>
          <w:rFonts w:asciiTheme="minorBidi" w:hAnsiTheme="minorBidi"/>
        </w:rPr>
        <w:t>,</w:t>
      </w:r>
      <w:r w:rsidR="00383677" w:rsidRPr="00543E48">
        <w:rPr>
          <w:rFonts w:asciiTheme="minorBidi" w:hAnsiTheme="minorBidi"/>
        </w:rPr>
        <w:t xml:space="preserve"> or more</w:t>
      </w:r>
      <w:r w:rsidR="00973875" w:rsidRPr="00543E48">
        <w:rPr>
          <w:rFonts w:asciiTheme="minorBidi" w:hAnsiTheme="minorBidi"/>
        </w:rPr>
        <w:t>,</w:t>
      </w:r>
      <w:r w:rsidR="00383677" w:rsidRPr="00543E48">
        <w:rPr>
          <w:rFonts w:asciiTheme="minorBidi" w:hAnsiTheme="minorBidi"/>
        </w:rPr>
        <w:t xml:space="preserve"> briefed to take over the matter.  </w:t>
      </w:r>
      <w:r w:rsidR="00D067D9" w:rsidRPr="00543E48">
        <w:rPr>
          <w:rFonts w:asciiTheme="minorBidi" w:hAnsiTheme="minorBidi"/>
        </w:rPr>
        <w:t xml:space="preserve">The Supreme Court of Appeal has regularly indicated that the unavailability of </w:t>
      </w:r>
      <w:r w:rsidR="003050E0" w:rsidRPr="00543E48">
        <w:rPr>
          <w:rFonts w:asciiTheme="minorBidi" w:hAnsiTheme="minorBidi"/>
        </w:rPr>
        <w:t xml:space="preserve">specific </w:t>
      </w:r>
      <w:r w:rsidR="00D067D9" w:rsidRPr="00543E48">
        <w:rPr>
          <w:rFonts w:asciiTheme="minorBidi" w:hAnsiTheme="minorBidi"/>
        </w:rPr>
        <w:t>counsel is not a valid reason to delay the process of a matter through the courts.</w:t>
      </w:r>
      <w:r w:rsidR="00D067D9">
        <w:rPr>
          <w:rStyle w:val="FootnoteReference"/>
          <w:rFonts w:asciiTheme="minorBidi" w:hAnsiTheme="minorBidi"/>
        </w:rPr>
        <w:footnoteReference w:id="5"/>
      </w:r>
      <w:r w:rsidR="00D067D9" w:rsidRPr="00543E48">
        <w:rPr>
          <w:rFonts w:asciiTheme="minorBidi" w:hAnsiTheme="minorBidi"/>
        </w:rPr>
        <w:t xml:space="preserve"> </w:t>
      </w:r>
      <w:r w:rsidR="00B82DCE" w:rsidRPr="00543E48">
        <w:rPr>
          <w:rFonts w:asciiTheme="minorBidi" w:hAnsiTheme="minorBidi"/>
        </w:rPr>
        <w:t xml:space="preserve">Nor is it a sufficient reason in this </w:t>
      </w:r>
      <w:r w:rsidR="00B82DCE" w:rsidRPr="00543E48">
        <w:rPr>
          <w:rFonts w:asciiTheme="minorBidi" w:hAnsiTheme="minorBidi"/>
        </w:rPr>
        <w:lastRenderedPageBreak/>
        <w:t xml:space="preserve">matter. The issue is, in any event, vaguely dealt with by the plaintiff with no specific dates mentioned in her narrative. Large chunks of time are </w:t>
      </w:r>
      <w:r w:rsidR="002D47E3" w:rsidRPr="00543E48">
        <w:rPr>
          <w:rFonts w:asciiTheme="minorBidi" w:hAnsiTheme="minorBidi"/>
        </w:rPr>
        <w:t xml:space="preserve">simply </w:t>
      </w:r>
      <w:r w:rsidR="00B82DCE" w:rsidRPr="00543E48">
        <w:rPr>
          <w:rFonts w:asciiTheme="minorBidi" w:hAnsiTheme="minorBidi"/>
        </w:rPr>
        <w:t xml:space="preserve">not accounted for. </w:t>
      </w:r>
      <w:r w:rsidR="00DF1417" w:rsidRPr="00543E48">
        <w:rPr>
          <w:rFonts w:asciiTheme="minorBidi" w:hAnsiTheme="minorBidi"/>
        </w:rPr>
        <w:t xml:space="preserve">I might add that it is also undesirable for counsel to deliver affidavits in a matter in which he is briefed to argue by a litigant. </w:t>
      </w:r>
    </w:p>
    <w:p w14:paraId="00BE5EC9" w14:textId="77777777" w:rsidR="002D47E3" w:rsidRDefault="002D47E3" w:rsidP="002D47E3">
      <w:pPr>
        <w:pStyle w:val="ListParagraph"/>
        <w:tabs>
          <w:tab w:val="left" w:pos="709"/>
        </w:tabs>
        <w:spacing w:after="0" w:line="360" w:lineRule="auto"/>
        <w:ind w:left="0"/>
        <w:jc w:val="both"/>
        <w:rPr>
          <w:rFonts w:asciiTheme="minorBidi" w:hAnsiTheme="minorBidi"/>
          <w:sz w:val="24"/>
          <w:szCs w:val="24"/>
        </w:rPr>
      </w:pPr>
    </w:p>
    <w:p w14:paraId="51CDF891" w14:textId="6E9C1BFD" w:rsidR="002D47E3"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[18]</w:t>
      </w:r>
      <w:r>
        <w:rPr>
          <w:rFonts w:ascii="Arial" w:eastAsiaTheme="minorHAnsi" w:hAnsi="Arial" w:cstheme="minorBidi"/>
          <w:lang w:val="en-GB" w:eastAsia="en-US" w:bidi="ar-SA"/>
        </w:rPr>
        <w:tab/>
      </w:r>
      <w:r w:rsidR="002D47E3" w:rsidRPr="00543E48">
        <w:rPr>
          <w:rFonts w:asciiTheme="minorBidi" w:hAnsiTheme="minorBidi"/>
        </w:rPr>
        <w:t>On the issue of a lack of funds, the court in</w:t>
      </w:r>
      <w:r w:rsidR="002D47E3" w:rsidRPr="00543E48">
        <w:rPr>
          <w:rFonts w:asciiTheme="minorBidi" w:hAnsiTheme="minorBidi"/>
          <w:i/>
        </w:rPr>
        <w:t xml:space="preserve"> Du Plessis v Wits Health Consortium (Pty) Ltd</w:t>
      </w:r>
      <w:r w:rsidR="002D47E3" w:rsidRPr="00543E48">
        <w:rPr>
          <w:rFonts w:asciiTheme="minorBidi" w:hAnsiTheme="minorBidi"/>
        </w:rPr>
        <w:t>,</w:t>
      </w:r>
      <w:r w:rsidR="002D47E3">
        <w:rPr>
          <w:rStyle w:val="FootnoteReference"/>
          <w:rFonts w:asciiTheme="minorBidi" w:hAnsiTheme="minorBidi"/>
        </w:rPr>
        <w:footnoteReference w:id="6"/>
      </w:r>
      <w:r w:rsidR="002D47E3" w:rsidRPr="00543E48">
        <w:rPr>
          <w:rFonts w:asciiTheme="minorBidi" w:hAnsiTheme="minorBidi"/>
        </w:rPr>
        <w:t xml:space="preserve"> held as follows:</w:t>
      </w:r>
      <w:bookmarkStart w:id="1" w:name="_ftnref12"/>
    </w:p>
    <w:bookmarkEnd w:id="1"/>
    <w:p w14:paraId="785BAD16" w14:textId="2D231290" w:rsidR="002D47E3" w:rsidRDefault="002D47E3" w:rsidP="002D47E3">
      <w:pPr>
        <w:pStyle w:val="ListParagraph"/>
        <w:tabs>
          <w:tab w:val="left" w:pos="709"/>
        </w:tabs>
        <w:spacing w:after="0" w:line="360" w:lineRule="auto"/>
        <w:ind w:left="0"/>
        <w:jc w:val="both"/>
        <w:rPr>
          <w:rFonts w:ascii="Arial" w:hAnsi="Arial" w:cs="Arial"/>
          <w:color w:val="242121"/>
          <w:lang w:val="en-US"/>
        </w:rPr>
      </w:pPr>
      <w:r>
        <w:rPr>
          <w:rFonts w:ascii="Arial" w:hAnsi="Arial" w:cs="Arial"/>
          <w:color w:val="242121"/>
          <w:lang w:val="en-US"/>
        </w:rPr>
        <w:t>‘I</w:t>
      </w:r>
      <w:r w:rsidRPr="002D47E3">
        <w:rPr>
          <w:rFonts w:ascii="Arial" w:hAnsi="Arial" w:cs="Arial"/>
          <w:color w:val="242121"/>
          <w:lang w:val="en-US"/>
        </w:rPr>
        <w:t xml:space="preserve">t is clear from the above and other judgments that a claim of lack of funds on its own cannot constitute reasonable explanation for the delay. In other words, when pleading lack of funds as the cause of the delay, the applicant needs to provide more than a mere claim that the reason for the delay is lack of funds. In this respect, the applicant has to take the court into his or her confidence in seeking its indulgence by explaining when, not only that he or she finally raised funds to conduct the case, but also how and when did he or she raise those funds. The 'when' aspects of the explanation are important, as it provided the courts with information as to whether there was any further delay after raising the funds and whether an explanation has </w:t>
      </w:r>
      <w:r>
        <w:rPr>
          <w:rFonts w:ascii="Arial" w:hAnsi="Arial" w:cs="Arial"/>
          <w:color w:val="242121"/>
          <w:lang w:val="en-US"/>
        </w:rPr>
        <w:t>been provided for such a delay.’</w:t>
      </w:r>
    </w:p>
    <w:p w14:paraId="358BE066" w14:textId="6E209948" w:rsidR="002D47E3" w:rsidRPr="002D47E3" w:rsidRDefault="002D47E3" w:rsidP="002D47E3">
      <w:pPr>
        <w:pStyle w:val="ListParagraph"/>
        <w:tabs>
          <w:tab w:val="left" w:pos="709"/>
        </w:tabs>
        <w:spacing w:after="0" w:line="360" w:lineRule="auto"/>
        <w:ind w:left="0"/>
        <w:jc w:val="both"/>
        <w:rPr>
          <w:rFonts w:asciiTheme="minorBidi" w:hAnsiTheme="minorBidi"/>
          <w:sz w:val="24"/>
          <w:szCs w:val="24"/>
        </w:rPr>
      </w:pPr>
      <w:r>
        <w:rPr>
          <w:rFonts w:ascii="Arial" w:hAnsi="Arial" w:cs="Arial"/>
          <w:color w:val="242121"/>
          <w:sz w:val="24"/>
          <w:szCs w:val="24"/>
          <w:lang w:val="en-US"/>
        </w:rPr>
        <w:t>No detail as called for in this extract appears in the application for condonation.</w:t>
      </w:r>
    </w:p>
    <w:p w14:paraId="08FDCD7C" w14:textId="77777777" w:rsidR="00B82DCE" w:rsidRPr="00B82DCE" w:rsidRDefault="00B82DCE" w:rsidP="00B82DCE">
      <w:pPr>
        <w:pStyle w:val="ListParagraph"/>
        <w:tabs>
          <w:tab w:val="left" w:pos="709"/>
        </w:tabs>
        <w:spacing w:after="0" w:line="360" w:lineRule="auto"/>
        <w:ind w:left="0"/>
        <w:jc w:val="both"/>
        <w:rPr>
          <w:rFonts w:asciiTheme="minorBidi" w:hAnsiTheme="minorBidi"/>
          <w:sz w:val="24"/>
          <w:szCs w:val="24"/>
        </w:rPr>
      </w:pPr>
    </w:p>
    <w:p w14:paraId="4A10689B" w14:textId="2C97FD9A" w:rsidR="002D47E3"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[19]</w:t>
      </w:r>
      <w:r>
        <w:rPr>
          <w:rFonts w:ascii="Arial" w:eastAsiaTheme="minorHAnsi" w:hAnsi="Arial" w:cstheme="minorBidi"/>
          <w:lang w:val="en-GB" w:eastAsia="en-US" w:bidi="ar-SA"/>
        </w:rPr>
        <w:tab/>
      </w:r>
      <w:r w:rsidR="00BF1E21" w:rsidRPr="00543E48">
        <w:rPr>
          <w:rFonts w:asciiTheme="minorBidi" w:hAnsiTheme="minorBidi"/>
        </w:rPr>
        <w:t xml:space="preserve">On the issue of the plaintiff’s prospects of success, she is </w:t>
      </w:r>
      <w:r w:rsidR="002D47E3" w:rsidRPr="00543E48">
        <w:rPr>
          <w:rFonts w:asciiTheme="minorBidi" w:hAnsiTheme="minorBidi"/>
        </w:rPr>
        <w:t xml:space="preserve">also </w:t>
      </w:r>
      <w:r w:rsidR="00BF1E21" w:rsidRPr="00543E48">
        <w:rPr>
          <w:rFonts w:asciiTheme="minorBidi" w:hAnsiTheme="minorBidi"/>
        </w:rPr>
        <w:t>silent</w:t>
      </w:r>
      <w:r w:rsidR="002D47E3" w:rsidRPr="00543E48">
        <w:rPr>
          <w:rFonts w:asciiTheme="minorBidi" w:hAnsiTheme="minorBidi"/>
        </w:rPr>
        <w:t xml:space="preserve"> in her application for condonation</w:t>
      </w:r>
      <w:r w:rsidR="00BF1E21" w:rsidRPr="00543E48">
        <w:rPr>
          <w:rFonts w:asciiTheme="minorBidi" w:hAnsiTheme="minorBidi"/>
        </w:rPr>
        <w:t xml:space="preserve">. Not a word is mentioned about </w:t>
      </w:r>
      <w:r w:rsidR="002D47E3" w:rsidRPr="00543E48">
        <w:rPr>
          <w:rFonts w:asciiTheme="minorBidi" w:hAnsiTheme="minorBidi"/>
        </w:rPr>
        <w:t>those prospects</w:t>
      </w:r>
      <w:r w:rsidR="00BF1E21" w:rsidRPr="00543E48">
        <w:rPr>
          <w:rFonts w:asciiTheme="minorBidi" w:hAnsiTheme="minorBidi"/>
        </w:rPr>
        <w:t>.</w:t>
      </w:r>
      <w:r w:rsidR="00EF70E7" w:rsidRPr="00543E48">
        <w:rPr>
          <w:rFonts w:asciiTheme="minorBidi" w:hAnsiTheme="minorBidi"/>
        </w:rPr>
        <w:t xml:space="preserve"> I shall, nonetheless, consider them. </w:t>
      </w:r>
    </w:p>
    <w:p w14:paraId="3FFDBA2F" w14:textId="77777777" w:rsidR="002D47E3" w:rsidRDefault="002D47E3" w:rsidP="002D47E3">
      <w:pPr>
        <w:pStyle w:val="ListParagraph"/>
        <w:tabs>
          <w:tab w:val="left" w:pos="709"/>
        </w:tabs>
        <w:spacing w:after="0" w:line="360" w:lineRule="auto"/>
        <w:ind w:left="0"/>
        <w:jc w:val="both"/>
        <w:rPr>
          <w:rFonts w:asciiTheme="minorBidi" w:hAnsiTheme="minorBidi"/>
          <w:sz w:val="24"/>
          <w:szCs w:val="24"/>
        </w:rPr>
      </w:pPr>
    </w:p>
    <w:p w14:paraId="794E3A31" w14:textId="54EB3997" w:rsidR="00EF70E7" w:rsidRPr="00543E48" w:rsidRDefault="00543E48" w:rsidP="00543E48">
      <w:pPr>
        <w:tabs>
          <w:tab w:val="left" w:pos="709"/>
        </w:tabs>
        <w:spacing w:line="360" w:lineRule="auto"/>
        <w:jc w:val="both"/>
        <w:rPr>
          <w:rStyle w:val="apple-converted-space"/>
          <w:rFonts w:asciiTheme="minorBidi" w:hAnsiTheme="minorBidi"/>
        </w:rPr>
      </w:pPr>
      <w:r>
        <w:rPr>
          <w:rStyle w:val="apple-converted-space"/>
          <w:rFonts w:ascii="Arial" w:eastAsiaTheme="minorHAnsi" w:hAnsi="Arial" w:cstheme="minorBidi"/>
          <w:lang w:val="en-GB" w:eastAsia="en-US" w:bidi="ar-SA"/>
        </w:rPr>
        <w:t>[20]</w:t>
      </w:r>
      <w:r>
        <w:rPr>
          <w:rStyle w:val="apple-converted-space"/>
          <w:rFonts w:ascii="Arial" w:eastAsiaTheme="minorHAnsi" w:hAnsi="Arial" w:cstheme="minorBidi"/>
          <w:lang w:val="en-GB" w:eastAsia="en-US" w:bidi="ar-SA"/>
        </w:rPr>
        <w:tab/>
      </w:r>
      <w:r w:rsidR="00EF70E7" w:rsidRPr="00543E48">
        <w:rPr>
          <w:rStyle w:val="apple-converted-space"/>
          <w:rFonts w:asciiTheme="minorBidi" w:hAnsiTheme="minorBidi"/>
        </w:rPr>
        <w:t xml:space="preserve">The plaintiff’s amended particulars of claim reveal that she claims an amount of R118 million from the two defendants. </w:t>
      </w:r>
      <w:r w:rsidR="00B82DCE" w:rsidRPr="00543E48">
        <w:rPr>
          <w:rStyle w:val="apple-converted-space"/>
          <w:rFonts w:asciiTheme="minorBidi" w:hAnsiTheme="minorBidi"/>
        </w:rPr>
        <w:t xml:space="preserve">Of this amount, approximately R3 million is in respect of past loss of earnings and R115 million is in respect of future loss of earnings over the duration of her entire working life as a registered pharmacist, until she turns 60 in 23 </w:t>
      </w:r>
      <w:r w:rsidR="003E2CC9" w:rsidRPr="00543E48">
        <w:rPr>
          <w:rStyle w:val="apple-converted-space"/>
          <w:rFonts w:asciiTheme="minorBidi" w:hAnsiTheme="minorBidi"/>
        </w:rPr>
        <w:t>years’ time</w:t>
      </w:r>
      <w:r w:rsidR="00B82DCE" w:rsidRPr="00543E48">
        <w:rPr>
          <w:rStyle w:val="apple-converted-space"/>
          <w:rFonts w:asciiTheme="minorBidi" w:hAnsiTheme="minorBidi"/>
        </w:rPr>
        <w:t>.</w:t>
      </w:r>
      <w:r w:rsidR="00B45B52" w:rsidRPr="00543E48">
        <w:rPr>
          <w:rStyle w:val="apple-converted-space"/>
          <w:rFonts w:asciiTheme="minorBidi" w:hAnsiTheme="minorBidi"/>
        </w:rPr>
        <w:t xml:space="preserve"> No case is made out in the amended particulars of claim as to why the plaintiff is incapable of working in her chosen career. She pleads that the first defendant is not prepared to have a business relationship with her, but does not explain why any other medical aid scheme would not work with her. She pleads that the second defendant colluded with the first defendant but does not provide any particularity of why this might have occurred or what such collusive conduct comprised. She mentions that an employee of the second defendant approached her </w:t>
      </w:r>
      <w:r w:rsidR="00B45B52" w:rsidRPr="00543E48">
        <w:rPr>
          <w:rStyle w:val="apple-converted-space"/>
          <w:rFonts w:asciiTheme="minorBidi" w:hAnsiTheme="minorBidi"/>
        </w:rPr>
        <w:lastRenderedPageBreak/>
        <w:t xml:space="preserve">and demanded that she sign an acknowledgment of debt but does not plead whether she signed it or in whose favour the acknowledgement of debt was. </w:t>
      </w:r>
      <w:r w:rsidR="00B82DCE" w:rsidRPr="00543E48">
        <w:rPr>
          <w:rStyle w:val="apple-converted-space"/>
          <w:rFonts w:asciiTheme="minorBidi" w:hAnsiTheme="minorBidi"/>
        </w:rPr>
        <w:t xml:space="preserve">She finally </w:t>
      </w:r>
      <w:r w:rsidR="00E32072" w:rsidRPr="00543E48">
        <w:rPr>
          <w:rStyle w:val="apple-converted-space"/>
          <w:rFonts w:asciiTheme="minorBidi" w:hAnsiTheme="minorBidi"/>
        </w:rPr>
        <w:t>claim</w:t>
      </w:r>
      <w:r w:rsidR="00B82DCE" w:rsidRPr="00543E48">
        <w:rPr>
          <w:rStyle w:val="apple-converted-space"/>
          <w:rFonts w:asciiTheme="minorBidi" w:hAnsiTheme="minorBidi"/>
        </w:rPr>
        <w:t xml:space="preserve">s that the same employee alleged that she owed an amount of R13,1 million and was guilty of fraudulent activities. She </w:t>
      </w:r>
      <w:r w:rsidR="002D47E3" w:rsidRPr="00543E48">
        <w:rPr>
          <w:rStyle w:val="apple-converted-space"/>
          <w:rFonts w:asciiTheme="minorBidi" w:hAnsiTheme="minorBidi"/>
        </w:rPr>
        <w:t xml:space="preserve">concludes that she </w:t>
      </w:r>
      <w:r w:rsidR="00B82DCE" w:rsidRPr="00543E48">
        <w:rPr>
          <w:rStyle w:val="apple-converted-space"/>
          <w:rFonts w:asciiTheme="minorBidi" w:hAnsiTheme="minorBidi"/>
        </w:rPr>
        <w:t>has thus suffered a loss of past earnings and will suffer a loss of future earnings.</w:t>
      </w:r>
    </w:p>
    <w:p w14:paraId="73216F68" w14:textId="77777777" w:rsidR="00B82DCE" w:rsidRPr="00B45B52" w:rsidRDefault="00B82DCE" w:rsidP="00B82DCE">
      <w:pPr>
        <w:pStyle w:val="ListParagraph"/>
        <w:tabs>
          <w:tab w:val="left" w:pos="709"/>
        </w:tabs>
        <w:spacing w:after="0" w:line="360" w:lineRule="auto"/>
        <w:ind w:left="0"/>
        <w:jc w:val="both"/>
        <w:rPr>
          <w:rStyle w:val="apple-converted-space"/>
          <w:rFonts w:asciiTheme="minorBidi" w:hAnsiTheme="minorBidi"/>
          <w:sz w:val="24"/>
          <w:szCs w:val="24"/>
        </w:rPr>
      </w:pPr>
    </w:p>
    <w:p w14:paraId="3E8C06B0" w14:textId="1D9F9452" w:rsidR="00BF1E21" w:rsidRPr="00543E48" w:rsidRDefault="00543E48" w:rsidP="00543E48">
      <w:pPr>
        <w:tabs>
          <w:tab w:val="left" w:pos="709"/>
        </w:tabs>
        <w:spacing w:line="360" w:lineRule="auto"/>
        <w:jc w:val="both"/>
        <w:rPr>
          <w:rFonts w:asciiTheme="minorBidi" w:hAnsiTheme="minorBidi"/>
        </w:rPr>
      </w:pPr>
      <w:r w:rsidRPr="002D47E3">
        <w:rPr>
          <w:rFonts w:ascii="Arial" w:eastAsiaTheme="minorHAnsi" w:hAnsi="Arial" w:cstheme="minorBidi"/>
          <w:lang w:val="en-GB" w:eastAsia="en-US" w:bidi="ar-SA"/>
        </w:rPr>
        <w:t>[21]</w:t>
      </w:r>
      <w:r w:rsidRPr="002D47E3">
        <w:rPr>
          <w:rFonts w:ascii="Arial" w:eastAsiaTheme="minorHAnsi" w:hAnsi="Arial" w:cstheme="minorBidi"/>
          <w:lang w:val="en-GB" w:eastAsia="en-US" w:bidi="ar-SA"/>
        </w:rPr>
        <w:tab/>
      </w:r>
      <w:r w:rsidR="00B82DCE" w:rsidRPr="00543E48">
        <w:rPr>
          <w:rFonts w:asciiTheme="minorBidi" w:hAnsiTheme="minorBidi"/>
        </w:rPr>
        <w:t xml:space="preserve">The amended particulars of claim do not make for good or easy reading. They are fractured and do not logically flow or connect. It appears to me that there has been no attempt at mitigating </w:t>
      </w:r>
      <w:r w:rsidR="00DF1417" w:rsidRPr="00543E48">
        <w:rPr>
          <w:rFonts w:asciiTheme="minorBidi" w:hAnsiTheme="minorBidi"/>
        </w:rPr>
        <w:t>the plaintiff’s</w:t>
      </w:r>
      <w:r w:rsidR="00B82DCE" w:rsidRPr="00543E48">
        <w:rPr>
          <w:rFonts w:asciiTheme="minorBidi" w:hAnsiTheme="minorBidi"/>
        </w:rPr>
        <w:t xml:space="preserve"> alleged losses. In all, the claim is speculative and appears to</w:t>
      </w:r>
      <w:r w:rsidR="00DF1417" w:rsidRPr="00543E48">
        <w:rPr>
          <w:rFonts w:asciiTheme="minorBidi" w:hAnsiTheme="minorBidi"/>
        </w:rPr>
        <w:t xml:space="preserve"> me to be</w:t>
      </w:r>
      <w:r w:rsidR="00B82DCE" w:rsidRPr="00543E48">
        <w:rPr>
          <w:rFonts w:asciiTheme="minorBidi" w:hAnsiTheme="minorBidi"/>
        </w:rPr>
        <w:t xml:space="preserve"> bad in law. The plaintiff’s prospects of success </w:t>
      </w:r>
      <w:r w:rsidR="00AD3DE3" w:rsidRPr="00543E48">
        <w:rPr>
          <w:rFonts w:asciiTheme="minorBidi" w:hAnsiTheme="minorBidi"/>
        </w:rPr>
        <w:t xml:space="preserve">therefore </w:t>
      </w:r>
      <w:r w:rsidR="00B82DCE" w:rsidRPr="00543E48">
        <w:rPr>
          <w:rFonts w:asciiTheme="minorBidi" w:hAnsiTheme="minorBidi"/>
        </w:rPr>
        <w:t>appear bleak</w:t>
      </w:r>
      <w:r w:rsidR="00AD3DE3" w:rsidRPr="00543E48">
        <w:rPr>
          <w:rFonts w:asciiTheme="minorBidi" w:hAnsiTheme="minorBidi"/>
        </w:rPr>
        <w:t xml:space="preserve"> to me</w:t>
      </w:r>
      <w:r w:rsidR="00B82DCE" w:rsidRPr="00543E48">
        <w:rPr>
          <w:rFonts w:asciiTheme="minorBidi" w:hAnsiTheme="minorBidi"/>
        </w:rPr>
        <w:t>.</w:t>
      </w:r>
    </w:p>
    <w:p w14:paraId="373E9FBD" w14:textId="77777777" w:rsidR="00973875" w:rsidRPr="00973875" w:rsidRDefault="00973875" w:rsidP="00276BC0">
      <w:pPr>
        <w:pStyle w:val="ListParagraph"/>
        <w:spacing w:line="360" w:lineRule="auto"/>
        <w:jc w:val="both"/>
        <w:rPr>
          <w:rFonts w:asciiTheme="minorBidi" w:hAnsiTheme="minorBidi"/>
          <w:sz w:val="24"/>
          <w:szCs w:val="24"/>
        </w:rPr>
      </w:pPr>
    </w:p>
    <w:p w14:paraId="40705EA5" w14:textId="62303CB6" w:rsidR="00AD3DE3"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[22]</w:t>
      </w:r>
      <w:r>
        <w:rPr>
          <w:rFonts w:ascii="Arial" w:eastAsiaTheme="minorHAnsi" w:hAnsi="Arial" w:cstheme="minorBidi"/>
          <w:lang w:val="en-GB" w:eastAsia="en-US" w:bidi="ar-SA"/>
        </w:rPr>
        <w:tab/>
      </w:r>
      <w:r w:rsidR="00B82DCE" w:rsidRPr="00543E48">
        <w:rPr>
          <w:rFonts w:asciiTheme="minorBidi" w:hAnsiTheme="minorBidi"/>
        </w:rPr>
        <w:t>While the matter may be important for the plaintiff, it is not a legally important action. No great legal principles are at play</w:t>
      </w:r>
      <w:r w:rsidR="00AD3DE3" w:rsidRPr="00543E48">
        <w:rPr>
          <w:rFonts w:asciiTheme="minorBidi" w:hAnsiTheme="minorBidi"/>
        </w:rPr>
        <w:t xml:space="preserve">. Concerning the delay in the administration of justice, the plaintiff’s action commenced on 2 August 2018. </w:t>
      </w:r>
      <w:r w:rsidR="00B82DCE" w:rsidRPr="00543E48">
        <w:rPr>
          <w:rFonts w:asciiTheme="minorBidi" w:hAnsiTheme="minorBidi"/>
        </w:rPr>
        <w:t xml:space="preserve"> </w:t>
      </w:r>
      <w:r w:rsidR="00AD3DE3" w:rsidRPr="00543E48">
        <w:rPr>
          <w:rFonts w:asciiTheme="minorBidi" w:hAnsiTheme="minorBidi"/>
        </w:rPr>
        <w:t xml:space="preserve">Nearly five years later, the second defendant has yet to plead. The delay in progressing the matter is </w:t>
      </w:r>
      <w:r w:rsidR="00967754" w:rsidRPr="00543E48">
        <w:rPr>
          <w:rFonts w:asciiTheme="minorBidi" w:hAnsiTheme="minorBidi"/>
        </w:rPr>
        <w:t>intolerable.</w:t>
      </w:r>
      <w:r w:rsidR="00AD3DE3" w:rsidRPr="00543E48">
        <w:rPr>
          <w:rFonts w:asciiTheme="minorBidi" w:hAnsiTheme="minorBidi"/>
        </w:rPr>
        <w:t xml:space="preserve"> </w:t>
      </w:r>
      <w:r w:rsidR="00DF1417" w:rsidRPr="00543E48">
        <w:rPr>
          <w:rFonts w:asciiTheme="minorBidi" w:hAnsiTheme="minorBidi"/>
        </w:rPr>
        <w:t xml:space="preserve">Part of that delay has been occasioned by the late delivery of the answering affidavit. </w:t>
      </w:r>
      <w:r w:rsidR="00AD3DE3" w:rsidRPr="00543E48">
        <w:rPr>
          <w:rFonts w:asciiTheme="minorBidi" w:hAnsiTheme="minorBidi"/>
        </w:rPr>
        <w:t xml:space="preserve">It is this type of delay that gives a bad image to litigation generally. </w:t>
      </w:r>
    </w:p>
    <w:p w14:paraId="6ECD9544" w14:textId="77777777" w:rsidR="00276BC0" w:rsidRPr="00276BC0" w:rsidRDefault="00276BC0" w:rsidP="00276BC0">
      <w:pPr>
        <w:pStyle w:val="ListParagraph"/>
        <w:spacing w:line="360" w:lineRule="auto"/>
        <w:jc w:val="both"/>
        <w:rPr>
          <w:rFonts w:asciiTheme="minorBidi" w:hAnsiTheme="minorBidi"/>
          <w:sz w:val="24"/>
          <w:szCs w:val="24"/>
        </w:rPr>
      </w:pPr>
    </w:p>
    <w:p w14:paraId="37B73633" w14:textId="71887642" w:rsidR="00D067D9" w:rsidRPr="00543E48" w:rsidRDefault="00543E48" w:rsidP="00543E48">
      <w:pPr>
        <w:tabs>
          <w:tab w:val="left" w:pos="709"/>
        </w:tabs>
        <w:spacing w:line="360" w:lineRule="auto"/>
        <w:jc w:val="both"/>
        <w:rPr>
          <w:rFonts w:asciiTheme="minorBidi" w:hAnsiTheme="minorBidi"/>
        </w:rPr>
      </w:pPr>
      <w:r w:rsidRPr="00276BC0">
        <w:rPr>
          <w:rFonts w:ascii="Arial" w:eastAsiaTheme="minorHAnsi" w:hAnsi="Arial" w:cstheme="minorBidi"/>
          <w:lang w:val="en-GB" w:eastAsia="en-US" w:bidi="ar-SA"/>
        </w:rPr>
        <w:t>[23]</w:t>
      </w:r>
      <w:r w:rsidRPr="00276BC0">
        <w:rPr>
          <w:rFonts w:ascii="Arial" w:eastAsiaTheme="minorHAnsi" w:hAnsi="Arial" w:cstheme="minorBidi"/>
          <w:lang w:val="en-GB" w:eastAsia="en-US" w:bidi="ar-SA"/>
        </w:rPr>
        <w:tab/>
      </w:r>
      <w:r w:rsidR="00276BC0" w:rsidRPr="00543E48">
        <w:rPr>
          <w:rFonts w:asciiTheme="minorBidi" w:hAnsiTheme="minorBidi"/>
        </w:rPr>
        <w:t xml:space="preserve">I have considered the factors identified by the constitutional court in </w:t>
      </w:r>
      <w:r w:rsidR="00276BC0" w:rsidRPr="00543E48">
        <w:rPr>
          <w:rFonts w:asciiTheme="minorBidi" w:hAnsiTheme="minorBidi"/>
          <w:i/>
        </w:rPr>
        <w:t>Grootboom</w:t>
      </w:r>
      <w:r w:rsidR="00276BC0" w:rsidRPr="00543E48">
        <w:rPr>
          <w:rFonts w:asciiTheme="minorBidi" w:hAnsiTheme="minorBidi"/>
        </w:rPr>
        <w:t>. N</w:t>
      </w:r>
      <w:r w:rsidR="00276BC0" w:rsidRPr="00543E48">
        <w:rPr>
          <w:rFonts w:ascii="Arial" w:hAnsi="Arial" w:cs="Arial"/>
          <w:color w:val="242121"/>
          <w:shd w:val="clear" w:color="auto" w:fill="FFFFFF"/>
        </w:rPr>
        <w:t>one of the factors referred to in that matter are individually decisive but should all be taken into account to arrive at a conclusion as to what is in the interests of justice. It has consistently been held by courts that: (i) where the delay is unacceptably excessive and there is no explanation for the delay or the explanation for the delay is unsatisfactory, there may be no need to consider the prospects of success, as this in itself justified a refusal to grant condonation; (ii) if the period of delay is short and there is an unsatisfactory explanation but there are reasonable prospects of success, condonation should be granted; and (iii) despite the presence of reasonable prospects of success, condonation may be refused where the delay is excessive, the explanation is non-existent and granting condonation would prejudice the other party. In my view the delay in this matter is unacceptably excessive, there is an unsatisfactory explanation for the delay and there are no real prospects of success.</w:t>
      </w:r>
      <w:r w:rsidR="00276BC0" w:rsidRPr="00543E48">
        <w:rPr>
          <w:rFonts w:asciiTheme="minorBidi" w:hAnsiTheme="minorBidi"/>
        </w:rPr>
        <w:t xml:space="preserve"> </w:t>
      </w:r>
      <w:r w:rsidR="00AD3DE3" w:rsidRPr="00543E48">
        <w:rPr>
          <w:rFonts w:asciiTheme="minorBidi" w:hAnsiTheme="minorBidi"/>
        </w:rPr>
        <w:t>The con</w:t>
      </w:r>
      <w:r w:rsidR="00276BC0" w:rsidRPr="00543E48">
        <w:rPr>
          <w:rFonts w:asciiTheme="minorBidi" w:hAnsiTheme="minorBidi"/>
        </w:rPr>
        <w:t xml:space="preserve">donation </w:t>
      </w:r>
      <w:r w:rsidR="00276BC0" w:rsidRPr="00543E48">
        <w:rPr>
          <w:rFonts w:asciiTheme="minorBidi" w:hAnsiTheme="minorBidi"/>
        </w:rPr>
        <w:lastRenderedPageBreak/>
        <w:t xml:space="preserve">application is badly motivated, vague in its detail and sparse with its facts. </w:t>
      </w:r>
      <w:r w:rsidR="00973875" w:rsidRPr="00543E48">
        <w:rPr>
          <w:rFonts w:asciiTheme="minorBidi" w:hAnsiTheme="minorBidi"/>
        </w:rPr>
        <w:t>Condonation is accordingly refused.</w:t>
      </w:r>
    </w:p>
    <w:p w14:paraId="761763A2" w14:textId="0AA710FB" w:rsidR="00D067D9" w:rsidRDefault="00D067D9" w:rsidP="00276BC0">
      <w:pPr>
        <w:pStyle w:val="ListParagraph"/>
        <w:tabs>
          <w:tab w:val="left" w:pos="709"/>
        </w:tabs>
        <w:spacing w:after="0" w:line="360" w:lineRule="auto"/>
        <w:ind w:left="0"/>
        <w:jc w:val="both"/>
        <w:rPr>
          <w:rFonts w:asciiTheme="minorBidi" w:hAnsiTheme="minorBidi"/>
          <w:sz w:val="24"/>
          <w:szCs w:val="24"/>
        </w:rPr>
      </w:pPr>
    </w:p>
    <w:p w14:paraId="168183FD" w14:textId="0983CD07" w:rsidR="000D4127"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[24]</w:t>
      </w:r>
      <w:r>
        <w:rPr>
          <w:rFonts w:ascii="Arial" w:eastAsiaTheme="minorHAnsi" w:hAnsi="Arial" w:cstheme="minorBidi"/>
          <w:lang w:val="en-GB" w:eastAsia="en-US" w:bidi="ar-SA"/>
        </w:rPr>
        <w:tab/>
      </w:r>
      <w:r w:rsidR="00973875" w:rsidRPr="00543E48">
        <w:rPr>
          <w:rFonts w:asciiTheme="minorBidi" w:hAnsiTheme="minorBidi"/>
        </w:rPr>
        <w:t>In the event that I am incorrect in declin</w:t>
      </w:r>
      <w:r w:rsidR="002615B6" w:rsidRPr="00543E48">
        <w:rPr>
          <w:rFonts w:asciiTheme="minorBidi" w:hAnsiTheme="minorBidi"/>
        </w:rPr>
        <w:t>ing</w:t>
      </w:r>
      <w:r w:rsidR="00973875" w:rsidRPr="00543E48">
        <w:rPr>
          <w:rFonts w:asciiTheme="minorBidi" w:hAnsiTheme="minorBidi"/>
        </w:rPr>
        <w:t xml:space="preserve"> to grant condonation, I consider what the plaintiff has stated in her answering affidavit. She has</w:t>
      </w:r>
      <w:r w:rsidR="0094464E" w:rsidRPr="00543E48">
        <w:rPr>
          <w:rFonts w:asciiTheme="minorBidi" w:hAnsiTheme="minorBidi"/>
        </w:rPr>
        <w:t xml:space="preserve"> identified </w:t>
      </w:r>
      <w:r w:rsidR="00D95FC9" w:rsidRPr="00543E48">
        <w:rPr>
          <w:rFonts w:asciiTheme="minorBidi" w:hAnsiTheme="minorBidi"/>
        </w:rPr>
        <w:t>several</w:t>
      </w:r>
      <w:r w:rsidR="0094464E" w:rsidRPr="00543E48">
        <w:rPr>
          <w:rFonts w:asciiTheme="minorBidi" w:hAnsiTheme="minorBidi"/>
        </w:rPr>
        <w:t xml:space="preserve"> issues which </w:t>
      </w:r>
      <w:r w:rsidR="00973875" w:rsidRPr="00543E48">
        <w:rPr>
          <w:rFonts w:asciiTheme="minorBidi" w:hAnsiTheme="minorBidi"/>
        </w:rPr>
        <w:t>she</w:t>
      </w:r>
      <w:r w:rsidR="0094464E" w:rsidRPr="00543E48">
        <w:rPr>
          <w:rFonts w:asciiTheme="minorBidi" w:hAnsiTheme="minorBidi"/>
        </w:rPr>
        <w:t xml:space="preserve"> believes </w:t>
      </w:r>
      <w:r w:rsidR="00973875" w:rsidRPr="00543E48">
        <w:rPr>
          <w:rFonts w:asciiTheme="minorBidi" w:hAnsiTheme="minorBidi"/>
        </w:rPr>
        <w:t>offers a defence to the second defendant’s application.</w:t>
      </w:r>
    </w:p>
    <w:p w14:paraId="6EA68288" w14:textId="3D4C6ABF" w:rsidR="003050E0" w:rsidRDefault="003050E0" w:rsidP="003050E0">
      <w:pPr>
        <w:pStyle w:val="ListParagraph"/>
        <w:tabs>
          <w:tab w:val="left" w:pos="709"/>
        </w:tabs>
        <w:spacing w:after="0" w:line="360" w:lineRule="auto"/>
        <w:ind w:left="0"/>
        <w:jc w:val="both"/>
        <w:rPr>
          <w:rFonts w:asciiTheme="minorBidi" w:hAnsiTheme="minorBidi"/>
          <w:sz w:val="24"/>
          <w:szCs w:val="24"/>
        </w:rPr>
      </w:pPr>
    </w:p>
    <w:p w14:paraId="583E5B0E" w14:textId="24E19267" w:rsidR="003A3521" w:rsidRPr="00543E48" w:rsidRDefault="00543E48" w:rsidP="00543E48">
      <w:pPr>
        <w:tabs>
          <w:tab w:val="left" w:pos="709"/>
        </w:tabs>
        <w:spacing w:line="360" w:lineRule="auto"/>
        <w:jc w:val="both"/>
        <w:rPr>
          <w:rFonts w:asciiTheme="minorBidi" w:hAnsiTheme="minorBidi"/>
        </w:rPr>
      </w:pPr>
      <w:r>
        <w:rPr>
          <w:rFonts w:ascii="Arial" w:eastAsiaTheme="minorHAnsi" w:hAnsi="Arial" w:cstheme="minorBidi"/>
          <w:lang w:val="en-GB" w:eastAsia="en-US" w:bidi="ar-SA"/>
        </w:rPr>
        <w:t>[25]</w:t>
      </w:r>
      <w:r>
        <w:rPr>
          <w:rFonts w:ascii="Arial" w:eastAsiaTheme="minorHAnsi" w:hAnsi="Arial" w:cstheme="minorBidi"/>
          <w:lang w:val="en-GB" w:eastAsia="en-US" w:bidi="ar-SA"/>
        </w:rPr>
        <w:tab/>
      </w:r>
      <w:r w:rsidR="00EF70E7" w:rsidRPr="00543E48">
        <w:rPr>
          <w:rFonts w:asciiTheme="minorBidi" w:hAnsiTheme="minorBidi"/>
        </w:rPr>
        <w:t>T</w:t>
      </w:r>
      <w:r w:rsidR="000D4127" w:rsidRPr="00543E48">
        <w:rPr>
          <w:rFonts w:asciiTheme="minorBidi" w:hAnsiTheme="minorBidi"/>
        </w:rPr>
        <w:t>he plaintiff</w:t>
      </w:r>
      <w:r w:rsidR="0094464E" w:rsidRPr="00543E48">
        <w:rPr>
          <w:rFonts w:asciiTheme="minorBidi" w:hAnsiTheme="minorBidi"/>
        </w:rPr>
        <w:t xml:space="preserve"> </w:t>
      </w:r>
      <w:r w:rsidR="00983FB1" w:rsidRPr="00543E48">
        <w:rPr>
          <w:rFonts w:asciiTheme="minorBidi" w:hAnsiTheme="minorBidi"/>
        </w:rPr>
        <w:t xml:space="preserve">has raised by way of a point in limine an allegation that </w:t>
      </w:r>
      <w:r w:rsidR="0094464E" w:rsidRPr="00543E48">
        <w:rPr>
          <w:rFonts w:asciiTheme="minorBidi" w:hAnsiTheme="minorBidi"/>
        </w:rPr>
        <w:t xml:space="preserve">a firm of Johannesburg based attorneys who have communicated with her attorneys </w:t>
      </w:r>
      <w:r w:rsidR="00973875" w:rsidRPr="00543E48">
        <w:rPr>
          <w:rFonts w:asciiTheme="minorBidi" w:hAnsiTheme="minorBidi"/>
        </w:rPr>
        <w:t xml:space="preserve">concerning the matter, </w:t>
      </w:r>
      <w:r w:rsidR="0094464E" w:rsidRPr="00543E48">
        <w:rPr>
          <w:rFonts w:asciiTheme="minorBidi" w:hAnsiTheme="minorBidi"/>
        </w:rPr>
        <w:t xml:space="preserve">have no standing </w:t>
      </w:r>
      <w:r w:rsidR="00973875" w:rsidRPr="00543E48">
        <w:rPr>
          <w:rFonts w:asciiTheme="minorBidi" w:hAnsiTheme="minorBidi"/>
        </w:rPr>
        <w:t>to do so</w:t>
      </w:r>
      <w:r w:rsidR="0094464E" w:rsidRPr="00543E48">
        <w:rPr>
          <w:rFonts w:asciiTheme="minorBidi" w:hAnsiTheme="minorBidi"/>
        </w:rPr>
        <w:t xml:space="preserve">. The Johannesburg attorneys state that they </w:t>
      </w:r>
      <w:r w:rsidR="00973875" w:rsidRPr="00543E48">
        <w:rPr>
          <w:rFonts w:asciiTheme="minorBidi" w:hAnsiTheme="minorBidi"/>
        </w:rPr>
        <w:t xml:space="preserve">are the second defendant’s attorneys and </w:t>
      </w:r>
      <w:r w:rsidR="0094464E" w:rsidRPr="00543E48">
        <w:rPr>
          <w:rFonts w:asciiTheme="minorBidi" w:hAnsiTheme="minorBidi"/>
        </w:rPr>
        <w:t xml:space="preserve">have instructed the Durban based attorneys </w:t>
      </w:r>
      <w:r w:rsidR="00F51FB6" w:rsidRPr="00543E48">
        <w:rPr>
          <w:rFonts w:asciiTheme="minorBidi" w:hAnsiTheme="minorBidi"/>
        </w:rPr>
        <w:t>to</w:t>
      </w:r>
      <w:r w:rsidR="0094464E" w:rsidRPr="00543E48">
        <w:rPr>
          <w:rFonts w:asciiTheme="minorBidi" w:hAnsiTheme="minorBidi"/>
        </w:rPr>
        <w:t xml:space="preserve"> act on behalf of the second defendant</w:t>
      </w:r>
      <w:r w:rsidR="00983FB1" w:rsidRPr="00543E48">
        <w:rPr>
          <w:rFonts w:asciiTheme="minorBidi" w:hAnsiTheme="minorBidi"/>
        </w:rPr>
        <w:t xml:space="preserve"> in defending </w:t>
      </w:r>
      <w:r w:rsidR="00276BC0" w:rsidRPr="00543E48">
        <w:rPr>
          <w:rFonts w:asciiTheme="minorBidi" w:hAnsiTheme="minorBidi"/>
        </w:rPr>
        <w:t>the plaintiff’s action and have been mandated to bring this application</w:t>
      </w:r>
      <w:r w:rsidR="0094464E" w:rsidRPr="00543E48">
        <w:rPr>
          <w:rFonts w:asciiTheme="minorBidi" w:hAnsiTheme="minorBidi"/>
        </w:rPr>
        <w:t xml:space="preserve">. </w:t>
      </w:r>
      <w:r w:rsidR="008030F4" w:rsidRPr="00543E48">
        <w:rPr>
          <w:rFonts w:asciiTheme="minorBidi" w:hAnsiTheme="minorBidi"/>
        </w:rPr>
        <w:t xml:space="preserve">The Durban based attorneys are therefore the Johannesburg based attorney’s correspondents. </w:t>
      </w:r>
      <w:r w:rsidR="0094464E" w:rsidRPr="00543E48">
        <w:rPr>
          <w:rFonts w:asciiTheme="minorBidi" w:hAnsiTheme="minorBidi"/>
        </w:rPr>
        <w:t xml:space="preserve">This is a question of fact and should not attract any controversy. </w:t>
      </w:r>
      <w:r w:rsidR="00BF1E21" w:rsidRPr="00543E48">
        <w:rPr>
          <w:rFonts w:asciiTheme="minorBidi" w:hAnsiTheme="minorBidi"/>
        </w:rPr>
        <w:t xml:space="preserve">Quite what this point </w:t>
      </w:r>
      <w:r w:rsidR="00276BC0" w:rsidRPr="00543E48">
        <w:rPr>
          <w:rFonts w:asciiTheme="minorBidi" w:hAnsiTheme="minorBidi"/>
        </w:rPr>
        <w:t xml:space="preserve">taken by the plaintiff </w:t>
      </w:r>
      <w:r w:rsidR="00BF1E21" w:rsidRPr="00543E48">
        <w:rPr>
          <w:rFonts w:asciiTheme="minorBidi" w:hAnsiTheme="minorBidi"/>
        </w:rPr>
        <w:t xml:space="preserve">has to do with the matter is not clear to me. </w:t>
      </w:r>
      <w:r w:rsidR="0094464E" w:rsidRPr="00543E48">
        <w:rPr>
          <w:rFonts w:asciiTheme="minorBidi" w:hAnsiTheme="minorBidi"/>
        </w:rPr>
        <w:t>Correspondent attorneys are a</w:t>
      </w:r>
      <w:r w:rsidR="00F51FB6" w:rsidRPr="00543E48">
        <w:rPr>
          <w:rFonts w:asciiTheme="minorBidi" w:hAnsiTheme="minorBidi"/>
        </w:rPr>
        <w:t xml:space="preserve"> well-known</w:t>
      </w:r>
      <w:r w:rsidR="0094464E" w:rsidRPr="00543E48">
        <w:rPr>
          <w:rFonts w:asciiTheme="minorBidi" w:hAnsiTheme="minorBidi"/>
        </w:rPr>
        <w:t xml:space="preserve"> feature of South African legal life</w:t>
      </w:r>
      <w:r w:rsidR="004442EF" w:rsidRPr="00543E48">
        <w:rPr>
          <w:rFonts w:asciiTheme="minorBidi" w:hAnsiTheme="minorBidi"/>
        </w:rPr>
        <w:t xml:space="preserve"> and the point taken by the plaintiff in this regard lacks any substance. </w:t>
      </w:r>
      <w:r w:rsidR="001A2DE4" w:rsidRPr="00543E48">
        <w:rPr>
          <w:rFonts w:asciiTheme="minorBidi" w:hAnsiTheme="minorBidi"/>
        </w:rPr>
        <w:t xml:space="preserve">There is no reason to disbelieve the Johannesburg based attorney’s assertion. </w:t>
      </w:r>
      <w:r w:rsidR="004442EF" w:rsidRPr="00543E48">
        <w:rPr>
          <w:rFonts w:asciiTheme="minorBidi" w:hAnsiTheme="minorBidi"/>
        </w:rPr>
        <w:t>It</w:t>
      </w:r>
      <w:r w:rsidR="001A2DE4" w:rsidRPr="00543E48">
        <w:rPr>
          <w:rFonts w:asciiTheme="minorBidi" w:hAnsiTheme="minorBidi"/>
        </w:rPr>
        <w:t xml:space="preserve"> appears that the plaintiff is attempting</w:t>
      </w:r>
      <w:r w:rsidR="004442EF" w:rsidRPr="00543E48">
        <w:rPr>
          <w:rFonts w:asciiTheme="minorBidi" w:hAnsiTheme="minorBidi"/>
        </w:rPr>
        <w:t xml:space="preserve"> to excite a controversy where none exists</w:t>
      </w:r>
      <w:r w:rsidR="000D4127" w:rsidRPr="00543E48">
        <w:rPr>
          <w:rFonts w:asciiTheme="minorBidi" w:hAnsiTheme="minorBidi"/>
        </w:rPr>
        <w:t>. In any event, the plaintiff has not acted in accordance with the provisions of Uniform Rule 7 and there is thus no formal challenge to the Johannesburg attorneys</w:t>
      </w:r>
      <w:r w:rsidR="00F51FB6" w:rsidRPr="00543E48">
        <w:rPr>
          <w:rFonts w:asciiTheme="minorBidi" w:hAnsiTheme="minorBidi"/>
        </w:rPr>
        <w:t>’</w:t>
      </w:r>
      <w:r w:rsidR="000D4127" w:rsidRPr="00543E48">
        <w:rPr>
          <w:rFonts w:asciiTheme="minorBidi" w:hAnsiTheme="minorBidi"/>
        </w:rPr>
        <w:t xml:space="preserve"> involvement in, and participation in, this matter.</w:t>
      </w:r>
      <w:r w:rsidR="00983FB1" w:rsidRPr="00543E48">
        <w:rPr>
          <w:rFonts w:asciiTheme="minorBidi" w:hAnsiTheme="minorBidi"/>
        </w:rPr>
        <w:t xml:space="preserve"> The point in limine must fail.</w:t>
      </w:r>
    </w:p>
    <w:p w14:paraId="50C013FC" w14:textId="77777777" w:rsidR="000D4127" w:rsidRPr="000D4127" w:rsidRDefault="000D4127" w:rsidP="00C6309E">
      <w:pPr>
        <w:pStyle w:val="ListParagraph"/>
        <w:spacing w:line="360" w:lineRule="auto"/>
        <w:rPr>
          <w:rFonts w:asciiTheme="minorBidi" w:hAnsiTheme="minorBidi"/>
          <w:sz w:val="24"/>
          <w:szCs w:val="24"/>
        </w:rPr>
      </w:pPr>
    </w:p>
    <w:p w14:paraId="0196A382" w14:textId="32BCA0D3" w:rsidR="00983FB1" w:rsidRPr="00543E48" w:rsidRDefault="00543E48" w:rsidP="00543E48">
      <w:pPr>
        <w:tabs>
          <w:tab w:val="left" w:pos="709"/>
        </w:tabs>
        <w:spacing w:line="360" w:lineRule="auto"/>
        <w:jc w:val="both"/>
        <w:rPr>
          <w:rFonts w:asciiTheme="minorBidi" w:hAnsiTheme="minorBidi"/>
        </w:rPr>
      </w:pPr>
      <w:r w:rsidRPr="00983FB1">
        <w:rPr>
          <w:rFonts w:ascii="Arial" w:eastAsiaTheme="minorHAnsi" w:hAnsi="Arial" w:cstheme="minorBidi"/>
          <w:sz w:val="22"/>
          <w:szCs w:val="22"/>
          <w:lang w:val="en-GB" w:eastAsia="en-US" w:bidi="ar-SA"/>
        </w:rPr>
        <w:t>[26]</w:t>
      </w:r>
      <w:r w:rsidRPr="00983FB1">
        <w:rPr>
          <w:rFonts w:ascii="Arial" w:eastAsiaTheme="minorHAnsi" w:hAnsi="Arial" w:cstheme="minorBidi"/>
          <w:sz w:val="22"/>
          <w:szCs w:val="22"/>
          <w:lang w:val="en-GB" w:eastAsia="en-US" w:bidi="ar-SA"/>
        </w:rPr>
        <w:tab/>
      </w:r>
      <w:r w:rsidR="00967754" w:rsidRPr="00543E48">
        <w:rPr>
          <w:rFonts w:asciiTheme="minorBidi" w:hAnsiTheme="minorBidi"/>
        </w:rPr>
        <w:t>T</w:t>
      </w:r>
      <w:r w:rsidR="00983FB1" w:rsidRPr="00543E48">
        <w:rPr>
          <w:rFonts w:asciiTheme="minorBidi" w:hAnsiTheme="minorBidi"/>
        </w:rPr>
        <w:t xml:space="preserve">he plaintiff asserts that the amended particulars of claim: </w:t>
      </w:r>
    </w:p>
    <w:p w14:paraId="01F213C7" w14:textId="2650DB15" w:rsidR="00F912D2" w:rsidRDefault="00983FB1" w:rsidP="00C6309E">
      <w:pPr>
        <w:pStyle w:val="ListParagraph"/>
        <w:tabs>
          <w:tab w:val="left" w:pos="709"/>
        </w:tabs>
        <w:spacing w:after="0" w:line="360" w:lineRule="auto"/>
        <w:ind w:left="0"/>
        <w:jc w:val="both"/>
        <w:rPr>
          <w:rFonts w:asciiTheme="minorBidi" w:hAnsiTheme="minorBidi"/>
        </w:rPr>
      </w:pPr>
      <w:r w:rsidRPr="00983FB1">
        <w:rPr>
          <w:rFonts w:asciiTheme="minorBidi" w:hAnsiTheme="minorBidi"/>
        </w:rPr>
        <w:t xml:space="preserve">‘conforms to the directive issued by the Honourable Justice Chetty in terms of his judgment relating to the Second Defendant’s/Applicant’s exception.’ </w:t>
      </w:r>
    </w:p>
    <w:p w14:paraId="29BE3D05" w14:textId="1651CCFD" w:rsidR="00983FB1" w:rsidRDefault="00983FB1" w:rsidP="00185F5C">
      <w:pPr>
        <w:pStyle w:val="ListParagraph"/>
        <w:tabs>
          <w:tab w:val="left" w:pos="709"/>
        </w:tabs>
        <w:spacing w:after="0" w:line="360" w:lineRule="auto"/>
        <w:ind w:left="0"/>
        <w:jc w:val="both"/>
        <w:rPr>
          <w:rStyle w:val="apple-converted-space"/>
          <w:rFonts w:asciiTheme="minorBidi" w:hAnsiTheme="minorBidi"/>
          <w:sz w:val="24"/>
          <w:szCs w:val="24"/>
        </w:rPr>
      </w:pPr>
      <w:r>
        <w:rPr>
          <w:rFonts w:asciiTheme="minorBidi" w:hAnsiTheme="minorBidi"/>
          <w:sz w:val="24"/>
          <w:szCs w:val="24"/>
        </w:rPr>
        <w:t>The order granted by Chet</w:t>
      </w:r>
      <w:r w:rsidR="006E308F">
        <w:rPr>
          <w:rFonts w:asciiTheme="minorBidi" w:hAnsiTheme="minorBidi"/>
          <w:sz w:val="24"/>
          <w:szCs w:val="24"/>
        </w:rPr>
        <w:t>t</w:t>
      </w:r>
      <w:r>
        <w:rPr>
          <w:rFonts w:asciiTheme="minorBidi" w:hAnsiTheme="minorBidi"/>
          <w:sz w:val="24"/>
          <w:szCs w:val="24"/>
        </w:rPr>
        <w:t xml:space="preserve">y J has been quoted in full at the beginning of this judgment. It contains no directive, other than </w:t>
      </w:r>
      <w:r w:rsidR="00276BC0">
        <w:rPr>
          <w:rFonts w:asciiTheme="minorBidi" w:hAnsiTheme="minorBidi"/>
          <w:sz w:val="24"/>
          <w:szCs w:val="24"/>
        </w:rPr>
        <w:t xml:space="preserve">that </w:t>
      </w:r>
      <w:r>
        <w:rPr>
          <w:rFonts w:asciiTheme="minorBidi" w:hAnsiTheme="minorBidi"/>
          <w:sz w:val="24"/>
          <w:szCs w:val="24"/>
        </w:rPr>
        <w:t xml:space="preserve">the plaintiff was given </w:t>
      </w:r>
      <w:r w:rsidR="00EF70E7">
        <w:rPr>
          <w:rFonts w:asciiTheme="minorBidi" w:hAnsiTheme="minorBidi"/>
          <w:sz w:val="24"/>
          <w:szCs w:val="24"/>
        </w:rPr>
        <w:t>20</w:t>
      </w:r>
      <w:r>
        <w:rPr>
          <w:rFonts w:asciiTheme="minorBidi" w:hAnsiTheme="minorBidi"/>
          <w:sz w:val="24"/>
          <w:szCs w:val="24"/>
        </w:rPr>
        <w:t xml:space="preserve"> days to supplement or amend her particulars of claim.</w:t>
      </w:r>
      <w:r w:rsidR="00595BB7">
        <w:rPr>
          <w:rFonts w:asciiTheme="minorBidi" w:hAnsiTheme="minorBidi"/>
          <w:sz w:val="24"/>
          <w:szCs w:val="24"/>
        </w:rPr>
        <w:t xml:space="preserve"> </w:t>
      </w:r>
      <w:r w:rsidR="00BF1E21">
        <w:rPr>
          <w:rFonts w:asciiTheme="minorBidi" w:hAnsiTheme="minorBidi"/>
          <w:sz w:val="24"/>
          <w:szCs w:val="24"/>
        </w:rPr>
        <w:t xml:space="preserve">If the directive being referred to is the </w:t>
      </w:r>
      <w:r w:rsidR="003E2CC9">
        <w:rPr>
          <w:rFonts w:asciiTheme="minorBidi" w:hAnsiTheme="minorBidi"/>
          <w:sz w:val="24"/>
          <w:szCs w:val="24"/>
        </w:rPr>
        <w:t>20-day</w:t>
      </w:r>
      <w:r w:rsidR="00BF1E21">
        <w:rPr>
          <w:rFonts w:asciiTheme="minorBidi" w:hAnsiTheme="minorBidi"/>
          <w:sz w:val="24"/>
          <w:szCs w:val="24"/>
        </w:rPr>
        <w:t xml:space="preserve"> period within which the amendment of her particulars of claim must be effected, the plaintiff is in no position to assert that this has occurred</w:t>
      </w:r>
      <w:r w:rsidR="00967754">
        <w:rPr>
          <w:rFonts w:asciiTheme="minorBidi" w:hAnsiTheme="minorBidi"/>
          <w:sz w:val="24"/>
          <w:szCs w:val="24"/>
        </w:rPr>
        <w:t>. The proposed amendment has been opposed and the plaintiff has taken no steps to overcome that objection.</w:t>
      </w:r>
      <w:r w:rsidR="00EF70E7">
        <w:rPr>
          <w:rFonts w:asciiTheme="minorBidi" w:hAnsiTheme="minorBidi"/>
          <w:sz w:val="24"/>
          <w:szCs w:val="24"/>
        </w:rPr>
        <w:t xml:space="preserve"> </w:t>
      </w:r>
      <w:r w:rsidR="001A2DE4">
        <w:rPr>
          <w:rStyle w:val="apple-converted-space"/>
          <w:rFonts w:asciiTheme="minorBidi" w:hAnsiTheme="minorBidi"/>
          <w:sz w:val="24"/>
          <w:szCs w:val="24"/>
        </w:rPr>
        <w:t xml:space="preserve">Rather than explain why the second defendant is not entitled to the order that it seeks, the plaintiff </w:t>
      </w:r>
      <w:r w:rsidR="001A2DE4">
        <w:rPr>
          <w:rStyle w:val="apple-converted-space"/>
          <w:rFonts w:asciiTheme="minorBidi" w:hAnsiTheme="minorBidi"/>
          <w:sz w:val="24"/>
          <w:szCs w:val="24"/>
        </w:rPr>
        <w:lastRenderedPageBreak/>
        <w:t xml:space="preserve">repeatedly asserts that her amended particulars of claim now disclose a viable cause of action. That, with respect, is not </w:t>
      </w:r>
      <w:r w:rsidR="00DF1417">
        <w:rPr>
          <w:rStyle w:val="apple-converted-space"/>
          <w:rFonts w:asciiTheme="minorBidi" w:hAnsiTheme="minorBidi"/>
          <w:sz w:val="24"/>
          <w:szCs w:val="24"/>
        </w:rPr>
        <w:t>correct</w:t>
      </w:r>
      <w:r w:rsidR="00276BC0">
        <w:rPr>
          <w:rStyle w:val="apple-converted-space"/>
          <w:rFonts w:asciiTheme="minorBidi" w:hAnsiTheme="minorBidi"/>
          <w:sz w:val="24"/>
          <w:szCs w:val="24"/>
        </w:rPr>
        <w:t xml:space="preserve"> nor is it </w:t>
      </w:r>
      <w:r w:rsidR="001A2DE4">
        <w:rPr>
          <w:rStyle w:val="apple-converted-space"/>
          <w:rFonts w:asciiTheme="minorBidi" w:hAnsiTheme="minorBidi"/>
          <w:sz w:val="24"/>
          <w:szCs w:val="24"/>
        </w:rPr>
        <w:t>the issue. There is no application in terms of Uniform Rule 28(4)</w:t>
      </w:r>
      <w:r w:rsidR="00472D75">
        <w:rPr>
          <w:rStyle w:val="apple-converted-space"/>
          <w:rFonts w:asciiTheme="minorBidi" w:hAnsiTheme="minorBidi"/>
          <w:sz w:val="24"/>
          <w:szCs w:val="24"/>
        </w:rPr>
        <w:t xml:space="preserve"> where those submissions would have been important. Instead, the issue before me is whether because of the non-compliance with the order of Chetty J</w:t>
      </w:r>
      <w:r w:rsidR="00BF1E21">
        <w:rPr>
          <w:rStyle w:val="apple-converted-space"/>
          <w:rFonts w:asciiTheme="minorBidi" w:hAnsiTheme="minorBidi"/>
          <w:sz w:val="24"/>
          <w:szCs w:val="24"/>
        </w:rPr>
        <w:t>,</w:t>
      </w:r>
      <w:r w:rsidR="00472D75">
        <w:rPr>
          <w:rStyle w:val="apple-converted-space"/>
          <w:rFonts w:asciiTheme="minorBidi" w:hAnsiTheme="minorBidi"/>
          <w:sz w:val="24"/>
          <w:szCs w:val="24"/>
        </w:rPr>
        <w:t xml:space="preserve"> the plaintiff</w:t>
      </w:r>
      <w:r w:rsidR="00BF1E21">
        <w:rPr>
          <w:rStyle w:val="apple-converted-space"/>
          <w:rFonts w:asciiTheme="minorBidi" w:hAnsiTheme="minorBidi"/>
          <w:sz w:val="24"/>
          <w:szCs w:val="24"/>
        </w:rPr>
        <w:t>’</w:t>
      </w:r>
      <w:r w:rsidR="00472D75">
        <w:rPr>
          <w:rStyle w:val="apple-converted-space"/>
          <w:rFonts w:asciiTheme="minorBidi" w:hAnsiTheme="minorBidi"/>
          <w:sz w:val="24"/>
          <w:szCs w:val="24"/>
        </w:rPr>
        <w:t>s claim should be dismissed. In my view, it should.</w:t>
      </w:r>
    </w:p>
    <w:p w14:paraId="2C40B016" w14:textId="77777777" w:rsidR="00472D75" w:rsidRDefault="00472D75" w:rsidP="00472D75">
      <w:pPr>
        <w:pStyle w:val="ListParagraph"/>
        <w:tabs>
          <w:tab w:val="left" w:pos="709"/>
        </w:tabs>
        <w:spacing w:after="0" w:line="360" w:lineRule="auto"/>
        <w:ind w:left="0"/>
        <w:jc w:val="both"/>
        <w:rPr>
          <w:rStyle w:val="apple-converted-space"/>
          <w:rFonts w:asciiTheme="minorBidi" w:hAnsiTheme="minorBidi"/>
          <w:sz w:val="24"/>
          <w:szCs w:val="24"/>
        </w:rPr>
      </w:pPr>
    </w:p>
    <w:p w14:paraId="4D63F40A" w14:textId="5C3C376A" w:rsidR="00472D75" w:rsidRPr="00543E48" w:rsidRDefault="00543E48" w:rsidP="00543E48">
      <w:pPr>
        <w:tabs>
          <w:tab w:val="left" w:pos="709"/>
        </w:tabs>
        <w:spacing w:line="360" w:lineRule="auto"/>
        <w:jc w:val="both"/>
        <w:rPr>
          <w:rStyle w:val="apple-converted-space"/>
          <w:rFonts w:asciiTheme="minorBidi" w:hAnsiTheme="minorBidi"/>
        </w:rPr>
      </w:pPr>
      <w:r>
        <w:rPr>
          <w:rStyle w:val="apple-converted-space"/>
          <w:rFonts w:ascii="Arial" w:eastAsiaTheme="minorHAnsi" w:hAnsi="Arial" w:cstheme="minorBidi"/>
          <w:lang w:val="en-GB" w:eastAsia="en-US" w:bidi="ar-SA"/>
        </w:rPr>
        <w:t>[27]</w:t>
      </w:r>
      <w:r>
        <w:rPr>
          <w:rStyle w:val="apple-converted-space"/>
          <w:rFonts w:ascii="Arial" w:eastAsiaTheme="minorHAnsi" w:hAnsi="Arial" w:cstheme="minorBidi"/>
          <w:lang w:val="en-GB" w:eastAsia="en-US" w:bidi="ar-SA"/>
        </w:rPr>
        <w:tab/>
      </w:r>
      <w:r w:rsidR="00472D75" w:rsidRPr="00543E48">
        <w:rPr>
          <w:rStyle w:val="apple-converted-space"/>
          <w:rFonts w:asciiTheme="minorBidi" w:hAnsiTheme="minorBidi"/>
        </w:rPr>
        <w:t>I accordingly grant the following order:</w:t>
      </w:r>
    </w:p>
    <w:p w14:paraId="4C29B4BF" w14:textId="77777777" w:rsidR="00472D75" w:rsidRPr="00472D75" w:rsidRDefault="00472D75" w:rsidP="00472D75">
      <w:pPr>
        <w:pStyle w:val="ListParagraph"/>
        <w:rPr>
          <w:rStyle w:val="apple-converted-space"/>
          <w:rFonts w:asciiTheme="minorBidi" w:hAnsiTheme="minorBidi"/>
          <w:sz w:val="24"/>
          <w:szCs w:val="24"/>
        </w:rPr>
      </w:pPr>
    </w:p>
    <w:p w14:paraId="2D485D22" w14:textId="67372C55" w:rsidR="00472D75" w:rsidRPr="00543E48" w:rsidRDefault="00543E48" w:rsidP="00543E48">
      <w:pPr>
        <w:tabs>
          <w:tab w:val="left" w:pos="709"/>
        </w:tabs>
        <w:spacing w:line="360" w:lineRule="auto"/>
        <w:jc w:val="both"/>
        <w:rPr>
          <w:rStyle w:val="apple-converted-space"/>
          <w:rFonts w:asciiTheme="minorBidi" w:hAnsiTheme="minorBidi"/>
        </w:rPr>
      </w:pPr>
      <w:r w:rsidRPr="00472D75">
        <w:rPr>
          <w:rStyle w:val="apple-converted-space"/>
          <w:rFonts w:asciiTheme="minorBidi" w:eastAsiaTheme="minorHAnsi" w:hAnsiTheme="minorBidi" w:cstheme="minorBidi"/>
          <w:lang w:val="en-GB" w:eastAsia="en-US" w:bidi="ar-SA"/>
        </w:rPr>
        <w:t>1.</w:t>
      </w:r>
      <w:r w:rsidRPr="00472D75">
        <w:rPr>
          <w:rStyle w:val="apple-converted-space"/>
          <w:rFonts w:asciiTheme="minorBidi" w:eastAsiaTheme="minorHAnsi" w:hAnsiTheme="minorBidi" w:cstheme="minorBidi"/>
          <w:lang w:val="en-GB" w:eastAsia="en-US" w:bidi="ar-SA"/>
        </w:rPr>
        <w:tab/>
      </w:r>
      <w:r w:rsidR="00472D75" w:rsidRPr="00543E48">
        <w:rPr>
          <w:rStyle w:val="apple-converted-space"/>
          <w:rFonts w:asciiTheme="minorBidi" w:hAnsiTheme="minorBidi"/>
        </w:rPr>
        <w:t xml:space="preserve">The plaintiff’s claim </w:t>
      </w:r>
      <w:r w:rsidR="00276BC0" w:rsidRPr="00543E48">
        <w:rPr>
          <w:rStyle w:val="apple-converted-space"/>
          <w:rFonts w:asciiTheme="minorBidi" w:hAnsiTheme="minorBidi"/>
        </w:rPr>
        <w:t xml:space="preserve">against the second defendant </w:t>
      </w:r>
      <w:r w:rsidR="00472D75" w:rsidRPr="00543E48">
        <w:rPr>
          <w:rStyle w:val="apple-converted-space"/>
          <w:rFonts w:asciiTheme="minorBidi" w:hAnsiTheme="minorBidi"/>
        </w:rPr>
        <w:t>is dismissed.</w:t>
      </w:r>
    </w:p>
    <w:p w14:paraId="15299836" w14:textId="31514C82" w:rsidR="00472D75" w:rsidRPr="00543E48" w:rsidRDefault="00543E48" w:rsidP="00543E48">
      <w:pPr>
        <w:tabs>
          <w:tab w:val="left" w:pos="709"/>
        </w:tabs>
        <w:spacing w:line="360" w:lineRule="auto"/>
        <w:jc w:val="both"/>
        <w:rPr>
          <w:rStyle w:val="apple-converted-space"/>
          <w:rFonts w:asciiTheme="minorBidi" w:hAnsiTheme="minorBidi"/>
        </w:rPr>
      </w:pPr>
      <w:r w:rsidRPr="00472D75">
        <w:rPr>
          <w:rStyle w:val="apple-converted-space"/>
          <w:rFonts w:asciiTheme="minorBidi" w:eastAsiaTheme="minorHAnsi" w:hAnsiTheme="minorBidi" w:cstheme="minorBidi"/>
          <w:lang w:val="en-GB" w:eastAsia="en-US" w:bidi="ar-SA"/>
        </w:rPr>
        <w:t>2.</w:t>
      </w:r>
      <w:r w:rsidRPr="00472D75">
        <w:rPr>
          <w:rStyle w:val="apple-converted-space"/>
          <w:rFonts w:asciiTheme="minorBidi" w:eastAsiaTheme="minorHAnsi" w:hAnsiTheme="minorBidi" w:cstheme="minorBidi"/>
          <w:lang w:val="en-GB" w:eastAsia="en-US" w:bidi="ar-SA"/>
        </w:rPr>
        <w:tab/>
      </w:r>
      <w:r w:rsidR="00472D75" w:rsidRPr="00543E48">
        <w:rPr>
          <w:rStyle w:val="apple-converted-space"/>
          <w:rFonts w:asciiTheme="minorBidi" w:hAnsiTheme="minorBidi"/>
        </w:rPr>
        <w:t>The plaintiff is directed to pay the costs of the application.</w:t>
      </w:r>
    </w:p>
    <w:p w14:paraId="076EA2BD" w14:textId="3A65EB4D" w:rsidR="00F912D2" w:rsidRDefault="00F912D2" w:rsidP="00472D75">
      <w:pPr>
        <w:tabs>
          <w:tab w:val="left" w:pos="709"/>
        </w:tabs>
        <w:spacing w:line="360" w:lineRule="auto"/>
        <w:jc w:val="both"/>
        <w:rPr>
          <w:rStyle w:val="apple-converted-space"/>
          <w:rFonts w:asciiTheme="minorBidi" w:hAnsiTheme="minorBidi"/>
        </w:rPr>
      </w:pPr>
    </w:p>
    <w:p w14:paraId="7300BD1D" w14:textId="7E64010F" w:rsidR="00F912D2" w:rsidRDefault="00F912D2" w:rsidP="00F912D2">
      <w:pPr>
        <w:tabs>
          <w:tab w:val="left" w:pos="709"/>
        </w:tabs>
        <w:spacing w:line="360" w:lineRule="auto"/>
        <w:jc w:val="both"/>
        <w:rPr>
          <w:rStyle w:val="apple-converted-space"/>
          <w:rFonts w:asciiTheme="minorBidi" w:hAnsiTheme="minorBidi"/>
        </w:rPr>
      </w:pPr>
    </w:p>
    <w:p w14:paraId="5D89A2A5" w14:textId="04317A13" w:rsidR="00F912D2" w:rsidRDefault="00F912D2" w:rsidP="00F912D2">
      <w:pPr>
        <w:tabs>
          <w:tab w:val="left" w:pos="709"/>
        </w:tabs>
        <w:spacing w:line="360" w:lineRule="auto"/>
        <w:jc w:val="both"/>
        <w:rPr>
          <w:rStyle w:val="apple-converted-space"/>
          <w:rFonts w:asciiTheme="minorBidi" w:hAnsiTheme="minorBidi"/>
        </w:rPr>
      </w:pPr>
    </w:p>
    <w:p w14:paraId="7924CE1E" w14:textId="14043CFA" w:rsidR="00F912D2" w:rsidRDefault="00F912D2" w:rsidP="00F912D2">
      <w:pPr>
        <w:tabs>
          <w:tab w:val="left" w:pos="709"/>
        </w:tabs>
        <w:spacing w:line="360" w:lineRule="auto"/>
        <w:jc w:val="both"/>
        <w:rPr>
          <w:rStyle w:val="apple-converted-space"/>
          <w:rFonts w:asciiTheme="minorBidi" w:hAnsiTheme="minorBidi"/>
        </w:rPr>
      </w:pPr>
    </w:p>
    <w:p w14:paraId="3FFFA58B" w14:textId="77777777" w:rsidR="00970BA2" w:rsidRDefault="00970BA2"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68095AE3" wp14:editId="3C153BF5">
            <wp:simplePos x="0" y="0"/>
            <wp:positionH relativeFrom="column">
              <wp:posOffset>3712912</wp:posOffset>
            </wp:positionH>
            <wp:positionV relativeFrom="paragraph">
              <wp:posOffset>75779</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8EC831" w14:textId="77777777" w:rsidR="00812977" w:rsidRDefault="00812977" w:rsidP="00970BA2">
      <w:pPr>
        <w:tabs>
          <w:tab w:val="left" w:pos="709"/>
        </w:tabs>
        <w:jc w:val="right"/>
        <w:rPr>
          <w:rFonts w:asciiTheme="minorBidi" w:hAnsiTheme="minorBidi"/>
        </w:rPr>
      </w:pPr>
    </w:p>
    <w:p w14:paraId="4D7EA0FC" w14:textId="3667720A"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14:paraId="0DF2B512" w14:textId="77777777" w:rsidR="00970BA2" w:rsidRDefault="00970BA2" w:rsidP="00970BA2">
      <w:pPr>
        <w:tabs>
          <w:tab w:val="left" w:pos="709"/>
        </w:tabs>
        <w:spacing w:line="360" w:lineRule="auto"/>
        <w:jc w:val="right"/>
        <w:rPr>
          <w:rFonts w:asciiTheme="minorBidi" w:hAnsiTheme="minorBidi"/>
          <w:b/>
        </w:rPr>
      </w:pPr>
    </w:p>
    <w:p w14:paraId="33193EFE"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6A926CBD" w14:textId="77777777" w:rsidR="00970BA2" w:rsidRDefault="00970BA2" w:rsidP="00970BA2">
      <w:pPr>
        <w:spacing w:line="360" w:lineRule="auto"/>
        <w:jc w:val="center"/>
        <w:rPr>
          <w:rFonts w:asciiTheme="minorBidi" w:eastAsia="Calibri" w:hAnsiTheme="minorBidi"/>
          <w:b/>
          <w:u w:val="single"/>
        </w:rPr>
      </w:pPr>
    </w:p>
    <w:p w14:paraId="0E628008" w14:textId="77777777" w:rsidR="00970BA2" w:rsidRDefault="00970BA2" w:rsidP="00970BA2">
      <w:pPr>
        <w:spacing w:line="360" w:lineRule="auto"/>
        <w:jc w:val="center"/>
        <w:rPr>
          <w:rFonts w:asciiTheme="minorBidi" w:eastAsia="Calibri" w:hAnsiTheme="minorBidi"/>
          <w:b/>
          <w:u w:val="single"/>
        </w:rPr>
      </w:pPr>
    </w:p>
    <w:p w14:paraId="73D65F90" w14:textId="52E4B4CC" w:rsidR="00970BA2" w:rsidRDefault="00970BA2" w:rsidP="00970BA2">
      <w:pPr>
        <w:spacing w:line="360" w:lineRule="auto"/>
        <w:jc w:val="center"/>
        <w:rPr>
          <w:rFonts w:asciiTheme="minorBidi" w:eastAsia="Calibri" w:hAnsiTheme="minorBidi"/>
          <w:b/>
          <w:u w:val="single"/>
        </w:rPr>
      </w:pPr>
    </w:p>
    <w:p w14:paraId="2AF8D917" w14:textId="03256FB4" w:rsidR="004D7B9F" w:rsidRDefault="004D7B9F" w:rsidP="00970BA2">
      <w:pPr>
        <w:spacing w:line="360" w:lineRule="auto"/>
        <w:jc w:val="center"/>
        <w:rPr>
          <w:rFonts w:asciiTheme="minorBidi" w:eastAsia="Calibri" w:hAnsiTheme="minorBidi"/>
          <w:b/>
          <w:u w:val="single"/>
        </w:rPr>
      </w:pPr>
    </w:p>
    <w:p w14:paraId="4E3AEC29" w14:textId="5726CC53" w:rsidR="004D7B9F" w:rsidRDefault="004D7B9F" w:rsidP="00970BA2">
      <w:pPr>
        <w:spacing w:line="360" w:lineRule="auto"/>
        <w:jc w:val="center"/>
        <w:rPr>
          <w:rFonts w:asciiTheme="minorBidi" w:eastAsia="Calibri" w:hAnsiTheme="minorBidi"/>
          <w:b/>
          <w:u w:val="single"/>
        </w:rPr>
      </w:pPr>
    </w:p>
    <w:p w14:paraId="06796A6A" w14:textId="21788A0C" w:rsidR="004D7B9F" w:rsidRDefault="004D7B9F" w:rsidP="00970BA2">
      <w:pPr>
        <w:spacing w:line="360" w:lineRule="auto"/>
        <w:jc w:val="center"/>
        <w:rPr>
          <w:rFonts w:asciiTheme="minorBidi" w:eastAsia="Calibri" w:hAnsiTheme="minorBidi"/>
          <w:b/>
          <w:u w:val="single"/>
        </w:rPr>
      </w:pPr>
    </w:p>
    <w:p w14:paraId="2854B9D0" w14:textId="6CFA024C" w:rsidR="004D7B9F" w:rsidRDefault="004D7B9F" w:rsidP="00970BA2">
      <w:pPr>
        <w:spacing w:line="360" w:lineRule="auto"/>
        <w:jc w:val="center"/>
        <w:rPr>
          <w:rFonts w:asciiTheme="minorBidi" w:eastAsia="Calibri" w:hAnsiTheme="minorBidi"/>
          <w:b/>
          <w:u w:val="single"/>
        </w:rPr>
      </w:pPr>
    </w:p>
    <w:p w14:paraId="4E370F93" w14:textId="07E686B6" w:rsidR="004D7B9F" w:rsidRDefault="004D7B9F" w:rsidP="00970BA2">
      <w:pPr>
        <w:spacing w:line="360" w:lineRule="auto"/>
        <w:jc w:val="center"/>
        <w:rPr>
          <w:rFonts w:asciiTheme="minorBidi" w:eastAsia="Calibri" w:hAnsiTheme="minorBidi"/>
          <w:b/>
          <w:u w:val="single"/>
        </w:rPr>
      </w:pPr>
    </w:p>
    <w:p w14:paraId="31CAB275" w14:textId="5E9B3AD4" w:rsidR="004D7B9F" w:rsidRDefault="004D7B9F" w:rsidP="00970BA2">
      <w:pPr>
        <w:spacing w:line="360" w:lineRule="auto"/>
        <w:jc w:val="center"/>
        <w:rPr>
          <w:rFonts w:asciiTheme="minorBidi" w:eastAsia="Calibri" w:hAnsiTheme="minorBidi"/>
          <w:b/>
          <w:u w:val="single"/>
        </w:rPr>
      </w:pPr>
    </w:p>
    <w:p w14:paraId="042CBA13" w14:textId="097B84B2" w:rsidR="004D7B9F" w:rsidRDefault="004D7B9F" w:rsidP="00970BA2">
      <w:pPr>
        <w:spacing w:line="360" w:lineRule="auto"/>
        <w:jc w:val="center"/>
        <w:rPr>
          <w:rFonts w:asciiTheme="minorBidi" w:eastAsia="Calibri" w:hAnsiTheme="minorBidi"/>
          <w:b/>
          <w:u w:val="single"/>
        </w:rPr>
      </w:pPr>
    </w:p>
    <w:p w14:paraId="629E691E" w14:textId="476E0F65" w:rsidR="004D7B9F" w:rsidRDefault="004D7B9F" w:rsidP="00970BA2">
      <w:pPr>
        <w:spacing w:line="360" w:lineRule="auto"/>
        <w:jc w:val="center"/>
        <w:rPr>
          <w:rFonts w:asciiTheme="minorBidi" w:eastAsia="Calibri" w:hAnsiTheme="minorBidi"/>
          <w:b/>
          <w:u w:val="single"/>
        </w:rPr>
      </w:pPr>
    </w:p>
    <w:p w14:paraId="64516A22" w14:textId="272107DB" w:rsidR="004D7B9F" w:rsidRDefault="004D7B9F" w:rsidP="00970BA2">
      <w:pPr>
        <w:spacing w:line="360" w:lineRule="auto"/>
        <w:jc w:val="center"/>
        <w:rPr>
          <w:rFonts w:asciiTheme="minorBidi" w:eastAsia="Calibri" w:hAnsiTheme="minorBidi"/>
          <w:b/>
          <w:u w:val="single"/>
        </w:rPr>
      </w:pPr>
    </w:p>
    <w:p w14:paraId="3937192D" w14:textId="3B3F34E1" w:rsidR="004D7B9F" w:rsidRDefault="004D7B9F" w:rsidP="00970BA2">
      <w:pPr>
        <w:spacing w:line="360" w:lineRule="auto"/>
        <w:jc w:val="center"/>
        <w:rPr>
          <w:rFonts w:asciiTheme="minorBidi" w:eastAsia="Calibri" w:hAnsiTheme="minorBidi"/>
          <w:b/>
          <w:u w:val="single"/>
        </w:rPr>
      </w:pPr>
    </w:p>
    <w:p w14:paraId="02DC77AE" w14:textId="2FDC6AAC" w:rsidR="00DF1417" w:rsidRDefault="00DF1417" w:rsidP="00970BA2">
      <w:pPr>
        <w:spacing w:line="360" w:lineRule="auto"/>
        <w:jc w:val="center"/>
        <w:rPr>
          <w:rFonts w:asciiTheme="minorBidi" w:eastAsia="Calibri" w:hAnsiTheme="minorBidi"/>
          <w:b/>
          <w:u w:val="single"/>
        </w:rPr>
      </w:pPr>
    </w:p>
    <w:p w14:paraId="35F51C1B" w14:textId="25BF13BF" w:rsidR="00DF1417" w:rsidRDefault="00DF1417" w:rsidP="00970BA2">
      <w:pPr>
        <w:spacing w:line="360" w:lineRule="auto"/>
        <w:jc w:val="center"/>
        <w:rPr>
          <w:rFonts w:asciiTheme="minorBidi" w:eastAsia="Calibri" w:hAnsiTheme="minorBidi"/>
          <w:b/>
          <w:u w:val="single"/>
        </w:rPr>
      </w:pPr>
    </w:p>
    <w:p w14:paraId="2E654C5F" w14:textId="4CEF7D56" w:rsidR="00DF1417" w:rsidRDefault="00DF1417" w:rsidP="00970BA2">
      <w:pPr>
        <w:spacing w:line="360" w:lineRule="auto"/>
        <w:jc w:val="center"/>
        <w:rPr>
          <w:rFonts w:asciiTheme="minorBidi" w:eastAsia="Calibri" w:hAnsiTheme="minorBidi"/>
          <w:b/>
          <w:u w:val="single"/>
        </w:rPr>
      </w:pPr>
    </w:p>
    <w:p w14:paraId="1AA82C74" w14:textId="4C8D4F57" w:rsidR="00DF1417" w:rsidRDefault="00DF1417" w:rsidP="00970BA2">
      <w:pPr>
        <w:spacing w:line="360" w:lineRule="auto"/>
        <w:jc w:val="center"/>
        <w:rPr>
          <w:rFonts w:asciiTheme="minorBidi" w:eastAsia="Calibri" w:hAnsiTheme="minorBidi"/>
          <w:b/>
          <w:u w:val="single"/>
        </w:rPr>
      </w:pPr>
    </w:p>
    <w:p w14:paraId="64299458" w14:textId="77777777" w:rsidR="00DF1417" w:rsidRDefault="00DF1417" w:rsidP="00970BA2">
      <w:pPr>
        <w:spacing w:line="360" w:lineRule="auto"/>
        <w:jc w:val="center"/>
        <w:rPr>
          <w:rFonts w:asciiTheme="minorBidi" w:eastAsia="Calibri" w:hAnsiTheme="minorBidi"/>
          <w:b/>
          <w:u w:val="single"/>
        </w:rPr>
      </w:pPr>
    </w:p>
    <w:p w14:paraId="4C5D6CFB" w14:textId="67E963A0" w:rsidR="004D7B9F" w:rsidRDefault="004D7B9F" w:rsidP="00970BA2">
      <w:pPr>
        <w:spacing w:line="360" w:lineRule="auto"/>
        <w:jc w:val="center"/>
        <w:rPr>
          <w:rFonts w:asciiTheme="minorBidi" w:eastAsia="Calibri" w:hAnsiTheme="minorBidi"/>
          <w:b/>
          <w:u w:val="single"/>
        </w:rPr>
      </w:pPr>
    </w:p>
    <w:p w14:paraId="1E43AC4F" w14:textId="3BE1B039"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25360C05" w14:textId="5B615F3C" w:rsidR="00970BA2" w:rsidRDefault="00970BA2" w:rsidP="00970BA2">
      <w:pPr>
        <w:spacing w:line="360" w:lineRule="auto"/>
        <w:jc w:val="both"/>
        <w:rPr>
          <w:rFonts w:asciiTheme="minorBidi" w:eastAsia="Calibri" w:hAnsiTheme="minorBidi"/>
          <w:b/>
          <w:u w:val="single"/>
        </w:rPr>
      </w:pPr>
    </w:p>
    <w:p w14:paraId="418F5DC8" w14:textId="77777777" w:rsidR="008418D6" w:rsidRPr="007B0DD3" w:rsidRDefault="008418D6" w:rsidP="00970BA2">
      <w:pPr>
        <w:spacing w:line="360" w:lineRule="auto"/>
        <w:jc w:val="both"/>
        <w:rPr>
          <w:rFonts w:asciiTheme="minorBidi" w:eastAsia="Calibri" w:hAnsiTheme="minorBidi"/>
          <w:b/>
          <w:u w:val="single"/>
        </w:rPr>
      </w:pPr>
    </w:p>
    <w:p w14:paraId="05D5E2AE" w14:textId="35619BDA" w:rsidR="00970BA2" w:rsidRPr="007B0DD3"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applicants</w:t>
      </w:r>
      <w:r w:rsidRPr="007B0DD3">
        <w:rPr>
          <w:rFonts w:asciiTheme="minorBidi" w:hAnsiTheme="minorBidi"/>
        </w:rPr>
        <w:tab/>
      </w:r>
      <w:r w:rsidRPr="007B0DD3">
        <w:rPr>
          <w:rFonts w:asciiTheme="minorBidi" w:hAnsiTheme="minorBidi"/>
        </w:rPr>
        <w:tab/>
        <w:t xml:space="preserve">:  </w:t>
      </w:r>
      <w:r w:rsidRPr="007B0DD3">
        <w:rPr>
          <w:rFonts w:asciiTheme="minorBidi" w:hAnsiTheme="minorBidi"/>
        </w:rPr>
        <w:tab/>
      </w:r>
      <w:r w:rsidR="0003626C">
        <w:rPr>
          <w:rFonts w:asciiTheme="minorBidi" w:hAnsiTheme="minorBidi"/>
        </w:rPr>
        <w:t>Mr G M Harrison</w:t>
      </w:r>
    </w:p>
    <w:p w14:paraId="14E943DB" w14:textId="77777777" w:rsidR="00F912D2" w:rsidRDefault="00970BA2" w:rsidP="00812977">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Pr="007B0DD3">
        <w:rPr>
          <w:rFonts w:asciiTheme="minorBidi" w:hAnsiTheme="minorBidi"/>
        </w:rPr>
        <w:t>:</w:t>
      </w:r>
      <w:r w:rsidR="00CA010C">
        <w:rPr>
          <w:rFonts w:asciiTheme="minorBidi" w:hAnsiTheme="minorBidi"/>
        </w:rPr>
        <w:tab/>
      </w:r>
      <w:r w:rsidR="00F912D2">
        <w:rPr>
          <w:rFonts w:asciiTheme="minorBidi" w:hAnsiTheme="minorBidi"/>
        </w:rPr>
        <w:t>Van Wyk Law</w:t>
      </w:r>
    </w:p>
    <w:p w14:paraId="21CE9975" w14:textId="5FDFDD12" w:rsidR="001E1CD2" w:rsidRDefault="00F912D2" w:rsidP="00F912D2">
      <w:pPr>
        <w:spacing w:line="360" w:lineRule="auto"/>
        <w:ind w:left="3600" w:right="-82" w:firstLine="720"/>
        <w:jc w:val="both"/>
        <w:rPr>
          <w:rFonts w:asciiTheme="minorBidi" w:hAnsiTheme="minorBidi"/>
        </w:rPr>
      </w:pPr>
      <w:r>
        <w:rPr>
          <w:rFonts w:asciiTheme="minorBidi" w:hAnsiTheme="minorBidi"/>
        </w:rPr>
        <w:t>4 Glendale Avenue</w:t>
      </w:r>
    </w:p>
    <w:p w14:paraId="2A30E796" w14:textId="55607ADE" w:rsidR="00F912D2" w:rsidRDefault="00F912D2" w:rsidP="00F912D2">
      <w:pPr>
        <w:spacing w:line="360" w:lineRule="auto"/>
        <w:ind w:left="3600" w:right="-82" w:firstLine="720"/>
        <w:jc w:val="both"/>
        <w:rPr>
          <w:rFonts w:asciiTheme="minorBidi" w:hAnsiTheme="minorBidi"/>
        </w:rPr>
      </w:pPr>
      <w:r>
        <w:rPr>
          <w:rFonts w:asciiTheme="minorBidi" w:hAnsiTheme="minorBidi"/>
        </w:rPr>
        <w:t>Westville</w:t>
      </w:r>
    </w:p>
    <w:p w14:paraId="4A3532B0" w14:textId="75CD10AF" w:rsidR="001E1CD2" w:rsidRDefault="00F912D2" w:rsidP="00F912D2">
      <w:pPr>
        <w:spacing w:line="360" w:lineRule="auto"/>
        <w:ind w:left="3600" w:right="-82" w:firstLine="720"/>
        <w:jc w:val="both"/>
        <w:rPr>
          <w:rFonts w:asciiTheme="minorBidi" w:hAnsiTheme="minorBidi"/>
        </w:rPr>
      </w:pPr>
      <w:r>
        <w:rPr>
          <w:rFonts w:asciiTheme="minorBidi" w:hAnsiTheme="minorBidi"/>
        </w:rPr>
        <w:t>Durban</w:t>
      </w:r>
    </w:p>
    <w:p w14:paraId="2BD3ABFE" w14:textId="1366F578" w:rsidR="00970BA2" w:rsidRPr="007B0DD3" w:rsidRDefault="00781761" w:rsidP="001E1CD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970BA2" w:rsidRPr="007B0DD3">
        <w:rPr>
          <w:rFonts w:asciiTheme="minorBidi" w:hAnsiTheme="minorBidi"/>
        </w:rPr>
        <w:t xml:space="preserve"> </w:t>
      </w:r>
    </w:p>
    <w:p w14:paraId="7279F328" w14:textId="72E0DB3E" w:rsidR="00970BA2" w:rsidRDefault="00970BA2" w:rsidP="00970BA2">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respondent</w:t>
      </w:r>
      <w:r w:rsidR="001E1CD2">
        <w:rPr>
          <w:rFonts w:asciiTheme="minorBidi" w:hAnsiTheme="minorBidi"/>
        </w:rPr>
        <w:tab/>
      </w:r>
      <w:r w:rsidRPr="007B0DD3">
        <w:rPr>
          <w:rFonts w:asciiTheme="minorBidi" w:hAnsiTheme="minorBidi"/>
        </w:rPr>
        <w:t>:</w:t>
      </w:r>
      <w:r w:rsidR="0003626C">
        <w:rPr>
          <w:rFonts w:asciiTheme="minorBidi" w:hAnsiTheme="minorBidi"/>
        </w:rPr>
        <w:tab/>
        <w:t>Mr R R Sookhay</w:t>
      </w:r>
    </w:p>
    <w:p w14:paraId="599B7921" w14:textId="460B63A7" w:rsidR="001E1CD2" w:rsidRDefault="00970BA2" w:rsidP="00F912D2">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t>:</w:t>
      </w:r>
      <w:r w:rsidRPr="007B0DD3">
        <w:rPr>
          <w:rFonts w:asciiTheme="minorBidi" w:hAnsiTheme="minorBidi"/>
        </w:rPr>
        <w:tab/>
      </w:r>
      <w:r w:rsidR="00F912D2">
        <w:rPr>
          <w:rFonts w:asciiTheme="minorBidi" w:hAnsiTheme="minorBidi"/>
        </w:rPr>
        <w:t>Vasu Naidoo and Associates</w:t>
      </w:r>
    </w:p>
    <w:p w14:paraId="3DFAD8DB" w14:textId="39E042AE" w:rsidR="00F912D2" w:rsidRDefault="00F912D2" w:rsidP="00F912D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85 Percy Osborn Road</w:t>
      </w:r>
    </w:p>
    <w:p w14:paraId="6BFDF288" w14:textId="00316EB6" w:rsidR="00812977" w:rsidRDefault="00812977" w:rsidP="0081297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Windermere</w:t>
      </w:r>
    </w:p>
    <w:p w14:paraId="60483098" w14:textId="6B65891F" w:rsidR="001E1CD2" w:rsidRDefault="001E1CD2" w:rsidP="00781761">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14:paraId="776BEBC0" w14:textId="77777777" w:rsidR="00970BA2" w:rsidRPr="007B0DD3" w:rsidRDefault="00970BA2" w:rsidP="00970BA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783B07ED" w14:textId="4A877559"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Pr>
          <w:rFonts w:asciiTheme="minorBidi" w:eastAsia="Calibri" w:hAnsiTheme="minorBidi"/>
        </w:rPr>
        <w:tab/>
      </w:r>
      <w:r>
        <w:rPr>
          <w:rFonts w:asciiTheme="minorBidi" w:eastAsia="Calibri" w:hAnsiTheme="minorBidi"/>
        </w:rPr>
        <w:tab/>
      </w:r>
      <w:r>
        <w:rPr>
          <w:rFonts w:asciiTheme="minorBidi" w:eastAsia="Calibri" w:hAnsiTheme="minorBidi"/>
        </w:rPr>
        <w:tab/>
      </w:r>
      <w:r>
        <w:rPr>
          <w:rFonts w:asciiTheme="minorBidi" w:eastAsia="Calibri" w:hAnsiTheme="minorBidi"/>
        </w:rPr>
        <w:tab/>
        <w:t>1</w:t>
      </w:r>
      <w:r w:rsidR="005D1739">
        <w:rPr>
          <w:rFonts w:asciiTheme="minorBidi" w:eastAsia="Calibri" w:hAnsiTheme="minorBidi"/>
        </w:rPr>
        <w:t>9</w:t>
      </w:r>
      <w:r>
        <w:rPr>
          <w:rFonts w:asciiTheme="minorBidi" w:eastAsia="Calibri" w:hAnsiTheme="minorBidi"/>
        </w:rPr>
        <w:t xml:space="preserve"> July 2023</w:t>
      </w:r>
    </w:p>
    <w:p w14:paraId="719155EF" w14:textId="77777777" w:rsidR="001E1CD2" w:rsidRPr="007B0DD3" w:rsidRDefault="001E1CD2" w:rsidP="00970BA2">
      <w:pPr>
        <w:spacing w:line="360" w:lineRule="auto"/>
        <w:ind w:right="-82"/>
        <w:jc w:val="both"/>
        <w:rPr>
          <w:rFonts w:asciiTheme="minorBidi" w:eastAsia="Calibri" w:hAnsiTheme="minorBidi"/>
        </w:rPr>
      </w:pPr>
    </w:p>
    <w:p w14:paraId="1752924C" w14:textId="25CF098A" w:rsidR="00F3519B" w:rsidRPr="008418D6"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t>:</w:t>
      </w:r>
      <w:r w:rsidRPr="007B0DD3">
        <w:rPr>
          <w:rFonts w:asciiTheme="minorBidi" w:eastAsia="Calibri" w:hAnsiTheme="minorBidi"/>
        </w:rPr>
        <w:tab/>
      </w:r>
      <w:r w:rsidR="004C2560">
        <w:rPr>
          <w:rFonts w:asciiTheme="minorBidi" w:eastAsia="Calibri" w:hAnsiTheme="minorBidi"/>
        </w:rPr>
        <w:t>1</w:t>
      </w:r>
      <w:r w:rsidR="005D1739">
        <w:rPr>
          <w:rFonts w:asciiTheme="minorBidi" w:eastAsia="Calibri" w:hAnsiTheme="minorBidi"/>
        </w:rPr>
        <w:t>9</w:t>
      </w:r>
      <w:r w:rsidR="004C2560">
        <w:rPr>
          <w:rFonts w:asciiTheme="minorBidi" w:eastAsia="Calibri" w:hAnsiTheme="minorBidi"/>
        </w:rPr>
        <w:t xml:space="preserve"> July</w:t>
      </w:r>
      <w:r w:rsidRPr="007B0DD3">
        <w:rPr>
          <w:rFonts w:asciiTheme="minorBidi" w:eastAsia="Calibri" w:hAnsiTheme="minorBidi"/>
        </w:rPr>
        <w:t xml:space="preserve"> 2023</w:t>
      </w:r>
    </w:p>
    <w:sectPr w:rsidR="00F3519B" w:rsidRPr="008418D6"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8B5B5" w14:textId="77777777" w:rsidR="00951506" w:rsidRDefault="00951506" w:rsidP="00F3519B">
      <w:r>
        <w:separator/>
      </w:r>
    </w:p>
  </w:endnote>
  <w:endnote w:type="continuationSeparator" w:id="0">
    <w:p w14:paraId="3F6C865E" w14:textId="77777777" w:rsidR="00951506" w:rsidRDefault="00951506"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FCEC" w14:textId="77777777" w:rsidR="00951506" w:rsidRDefault="00951506" w:rsidP="00F3519B">
      <w:r>
        <w:separator/>
      </w:r>
    </w:p>
  </w:footnote>
  <w:footnote w:type="continuationSeparator" w:id="0">
    <w:p w14:paraId="4012BB83" w14:textId="77777777" w:rsidR="00951506" w:rsidRDefault="00951506" w:rsidP="00F3519B">
      <w:r>
        <w:continuationSeparator/>
      </w:r>
    </w:p>
  </w:footnote>
  <w:footnote w:id="1">
    <w:p w14:paraId="02DFEFC0" w14:textId="05602039" w:rsidR="003B0FD5" w:rsidRPr="003B0FD5" w:rsidRDefault="003B0FD5" w:rsidP="003B0FD5">
      <w:pPr>
        <w:pStyle w:val="FootnoteText"/>
        <w:jc w:val="both"/>
        <w:rPr>
          <w:rFonts w:ascii="Arial" w:hAnsi="Arial" w:cs="Arial"/>
          <w:lang w:val="en-US"/>
        </w:rPr>
      </w:pPr>
      <w:r w:rsidRPr="003B0FD5">
        <w:rPr>
          <w:rStyle w:val="FootnoteReference"/>
          <w:rFonts w:ascii="Arial" w:hAnsi="Arial" w:cs="Arial"/>
        </w:rPr>
        <w:footnoteRef/>
      </w:r>
      <w:r w:rsidRPr="003B0FD5">
        <w:rPr>
          <w:rFonts w:ascii="Arial" w:hAnsi="Arial" w:cs="Arial"/>
        </w:rPr>
        <w:t xml:space="preserve"> </w:t>
      </w:r>
      <w:r w:rsidRPr="003B0FD5">
        <w:rPr>
          <w:rFonts w:ascii="Arial" w:hAnsi="Arial" w:cs="Arial"/>
          <w:i/>
          <w:lang w:val="en-US"/>
        </w:rPr>
        <w:t>Cross v Ferreira</w:t>
      </w:r>
      <w:r>
        <w:rPr>
          <w:rFonts w:ascii="Arial" w:hAnsi="Arial" w:cs="Arial"/>
          <w:lang w:val="en-US"/>
        </w:rPr>
        <w:t xml:space="preserve"> </w:t>
      </w:r>
      <w:r w:rsidRPr="003B0FD5">
        <w:rPr>
          <w:rFonts w:ascii="Arial" w:hAnsi="Arial" w:cs="Arial"/>
          <w:color w:val="000000"/>
        </w:rPr>
        <w:t>1950 (3) SA 443 (C)</w:t>
      </w:r>
      <w:r>
        <w:rPr>
          <w:rFonts w:ascii="Arial" w:hAnsi="Arial" w:cs="Arial"/>
          <w:color w:val="000000"/>
        </w:rPr>
        <w:t>.</w:t>
      </w:r>
    </w:p>
  </w:footnote>
  <w:footnote w:id="2">
    <w:p w14:paraId="737B8E75" w14:textId="4037B9F7" w:rsidR="003050E0" w:rsidRPr="003050E0" w:rsidRDefault="003050E0" w:rsidP="003050E0">
      <w:pPr>
        <w:pStyle w:val="FootnoteText"/>
        <w:jc w:val="both"/>
        <w:rPr>
          <w:rFonts w:ascii="Arial" w:hAnsi="Arial" w:cs="Arial"/>
          <w:lang w:val="en-US"/>
        </w:rPr>
      </w:pPr>
      <w:r w:rsidRPr="003050E0">
        <w:rPr>
          <w:rStyle w:val="FootnoteReference"/>
          <w:rFonts w:ascii="Arial" w:hAnsi="Arial" w:cs="Arial"/>
        </w:rPr>
        <w:footnoteRef/>
      </w:r>
      <w:r w:rsidRPr="003050E0">
        <w:rPr>
          <w:rFonts w:ascii="Arial" w:hAnsi="Arial" w:cs="Arial"/>
        </w:rPr>
        <w:t xml:space="preserve"> </w:t>
      </w:r>
      <w:r w:rsidRPr="003050E0">
        <w:rPr>
          <w:rFonts w:ascii="Arial" w:hAnsi="Arial" w:cs="Arial"/>
          <w:bCs/>
          <w:i/>
          <w:lang w:val="en-US"/>
        </w:rPr>
        <w:t>Grootboom v National Prosecuting Authority and Another</w:t>
      </w:r>
      <w:r w:rsidRPr="003050E0">
        <w:rPr>
          <w:rFonts w:ascii="Arial" w:hAnsi="Arial" w:cs="Arial"/>
          <w:bCs/>
          <w:lang w:val="en-US"/>
        </w:rPr>
        <w:t> </w:t>
      </w:r>
      <w:hyperlink r:id="rId1" w:tooltip="View LawCiteRecord" w:history="1">
        <w:r w:rsidRPr="003050E0">
          <w:rPr>
            <w:rStyle w:val="Hyperlink"/>
            <w:rFonts w:ascii="Arial" w:hAnsi="Arial" w:cs="Arial"/>
            <w:bCs/>
            <w:color w:val="auto"/>
            <w:u w:val="none"/>
            <w:lang w:val="en-US"/>
          </w:rPr>
          <w:t>2014 (2) SA 68</w:t>
        </w:r>
      </w:hyperlink>
      <w:r w:rsidR="0058686F">
        <w:rPr>
          <w:rFonts w:ascii="Arial" w:hAnsi="Arial" w:cs="Arial"/>
          <w:bCs/>
          <w:lang w:val="en-US"/>
        </w:rPr>
        <w:t xml:space="preserve"> (CC) </w:t>
      </w:r>
      <w:r w:rsidRPr="003050E0">
        <w:rPr>
          <w:rFonts w:ascii="Arial" w:hAnsi="Arial" w:cs="Arial"/>
          <w:bCs/>
          <w:lang w:val="en-US"/>
        </w:rPr>
        <w:t>para [20]</w:t>
      </w:r>
      <w:r>
        <w:rPr>
          <w:rFonts w:ascii="Arial" w:hAnsi="Arial" w:cs="Arial"/>
          <w:lang w:val="en-US"/>
        </w:rPr>
        <w:t>.</w:t>
      </w:r>
    </w:p>
  </w:footnote>
  <w:footnote w:id="3">
    <w:p w14:paraId="097A6EA2" w14:textId="77777777" w:rsidR="0058686F" w:rsidRPr="0032425B" w:rsidRDefault="0058686F" w:rsidP="0058686F">
      <w:pPr>
        <w:pStyle w:val="FootnoteText"/>
        <w:jc w:val="both"/>
        <w:rPr>
          <w:rFonts w:ascii="Arial" w:hAnsi="Arial" w:cs="Arial"/>
          <w:lang w:val="en-US"/>
        </w:rPr>
      </w:pPr>
      <w:r w:rsidRPr="0032425B">
        <w:rPr>
          <w:rStyle w:val="FootnoteReference"/>
          <w:rFonts w:ascii="Arial" w:hAnsi="Arial" w:cs="Arial"/>
        </w:rPr>
        <w:footnoteRef/>
      </w:r>
      <w:r w:rsidRPr="0032425B">
        <w:rPr>
          <w:rFonts w:ascii="Arial" w:hAnsi="Arial" w:cs="Arial"/>
        </w:rPr>
        <w:t xml:space="preserve"> </w:t>
      </w:r>
      <w:r w:rsidRPr="0032425B">
        <w:rPr>
          <w:rFonts w:ascii="Arial" w:hAnsi="Arial" w:cs="Arial"/>
          <w:i/>
          <w:lang w:val="en-US"/>
        </w:rPr>
        <w:t>Grootboom</w:t>
      </w:r>
      <w:r w:rsidRPr="0032425B">
        <w:rPr>
          <w:rFonts w:ascii="Arial" w:hAnsi="Arial" w:cs="Arial"/>
          <w:lang w:val="en-US"/>
        </w:rPr>
        <w:t>, supra, para 23.</w:t>
      </w:r>
    </w:p>
  </w:footnote>
  <w:footnote w:id="4">
    <w:p w14:paraId="23C81A33" w14:textId="68791624" w:rsidR="0032425B" w:rsidRPr="0032425B" w:rsidRDefault="0032425B">
      <w:pPr>
        <w:pStyle w:val="FootnoteText"/>
        <w:rPr>
          <w:rFonts w:ascii="Arial" w:hAnsi="Arial" w:cs="Arial"/>
          <w:lang w:val="en-US"/>
        </w:rPr>
      </w:pPr>
      <w:r w:rsidRPr="0032425B">
        <w:rPr>
          <w:rStyle w:val="FootnoteReference"/>
          <w:rFonts w:ascii="Arial" w:hAnsi="Arial" w:cs="Arial"/>
        </w:rPr>
        <w:footnoteRef/>
      </w:r>
      <w:r w:rsidRPr="0032425B">
        <w:rPr>
          <w:rFonts w:ascii="Arial" w:hAnsi="Arial" w:cs="Arial"/>
        </w:rPr>
        <w:t xml:space="preserve"> </w:t>
      </w:r>
      <w:r w:rsidRPr="0032425B">
        <w:rPr>
          <w:rFonts w:ascii="Arial" w:hAnsi="Arial" w:cs="Arial"/>
          <w:i/>
          <w:lang w:val="en-US"/>
        </w:rPr>
        <w:t>Grootboom</w:t>
      </w:r>
      <w:r w:rsidRPr="0032425B">
        <w:rPr>
          <w:rFonts w:ascii="Arial" w:hAnsi="Arial" w:cs="Arial"/>
          <w:lang w:val="en-US"/>
        </w:rPr>
        <w:t>, supra, para 50.</w:t>
      </w:r>
    </w:p>
  </w:footnote>
  <w:footnote w:id="5">
    <w:p w14:paraId="194E594D" w14:textId="3F2A20DE" w:rsidR="00D067D9" w:rsidRPr="002D47E3" w:rsidRDefault="00D067D9" w:rsidP="0058686F">
      <w:pPr>
        <w:pStyle w:val="NormalWeb"/>
        <w:spacing w:before="0" w:beforeAutospacing="0" w:after="0" w:afterAutospacing="0"/>
        <w:jc w:val="both"/>
        <w:rPr>
          <w:rFonts w:ascii="Arial" w:hAnsi="Arial" w:cs="Arial"/>
          <w:sz w:val="20"/>
          <w:szCs w:val="20"/>
          <w:lang w:val="en-US"/>
        </w:rPr>
      </w:pPr>
      <w:r w:rsidRPr="002D47E3">
        <w:rPr>
          <w:rStyle w:val="FootnoteReference"/>
          <w:rFonts w:ascii="Arial" w:hAnsi="Arial" w:cs="Arial"/>
          <w:sz w:val="20"/>
          <w:szCs w:val="20"/>
        </w:rPr>
        <w:footnoteRef/>
      </w:r>
      <w:r w:rsidRPr="002D47E3">
        <w:rPr>
          <w:rFonts w:ascii="Arial" w:hAnsi="Arial" w:cs="Arial"/>
          <w:sz w:val="20"/>
          <w:szCs w:val="20"/>
        </w:rPr>
        <w:t xml:space="preserve"> </w:t>
      </w:r>
      <w:r w:rsidRPr="002D47E3">
        <w:rPr>
          <w:rFonts w:ascii="Arial" w:hAnsi="Arial" w:cs="Arial"/>
          <w:i/>
          <w:iCs/>
          <w:sz w:val="20"/>
          <w:szCs w:val="20"/>
        </w:rPr>
        <w:t xml:space="preserve">Imperial Logistics Advance (Pty) Ltd v Remnant Wealth Holdings (Pty) Ltd </w:t>
      </w:r>
      <w:r w:rsidRPr="002D47E3">
        <w:rPr>
          <w:rFonts w:ascii="Arial" w:hAnsi="Arial" w:cs="Arial"/>
          <w:sz w:val="20"/>
          <w:szCs w:val="20"/>
        </w:rPr>
        <w:t xml:space="preserve">[2022] ZASCA 143 paras 9 and 10. </w:t>
      </w:r>
    </w:p>
  </w:footnote>
  <w:footnote w:id="6">
    <w:p w14:paraId="754A633B" w14:textId="4857CBCC" w:rsidR="002D47E3" w:rsidRPr="002D47E3" w:rsidRDefault="002D47E3">
      <w:pPr>
        <w:pStyle w:val="FootnoteText"/>
        <w:rPr>
          <w:rFonts w:ascii="Arial" w:hAnsi="Arial" w:cs="Arial"/>
          <w:lang w:val="en-US"/>
        </w:rPr>
      </w:pPr>
      <w:r w:rsidRPr="002D47E3">
        <w:rPr>
          <w:rStyle w:val="FootnoteReference"/>
          <w:rFonts w:ascii="Arial" w:hAnsi="Arial" w:cs="Arial"/>
        </w:rPr>
        <w:footnoteRef/>
      </w:r>
      <w:r w:rsidRPr="002D47E3">
        <w:rPr>
          <w:rFonts w:ascii="Arial" w:hAnsi="Arial" w:cs="Arial"/>
        </w:rPr>
        <w:t xml:space="preserve"> </w:t>
      </w:r>
      <w:r w:rsidRPr="002D47E3">
        <w:rPr>
          <w:rFonts w:ascii="Arial" w:hAnsi="Arial" w:cs="Arial"/>
          <w:i/>
          <w:iCs/>
          <w:lang w:val="en-US"/>
        </w:rPr>
        <w:t>Du</w:t>
      </w:r>
      <w:r w:rsidRPr="002D47E3">
        <w:rPr>
          <w:rFonts w:ascii="Arial" w:hAnsi="Arial" w:cs="Arial"/>
          <w:lang w:val="en-US"/>
        </w:rPr>
        <w:t> </w:t>
      </w:r>
      <w:r w:rsidRPr="002D47E3">
        <w:rPr>
          <w:rFonts w:ascii="Arial" w:hAnsi="Arial" w:cs="Arial"/>
          <w:i/>
          <w:iCs/>
          <w:lang w:val="en-US"/>
        </w:rPr>
        <w:t>Plessis</w:t>
      </w:r>
      <w:r w:rsidRPr="002D47E3">
        <w:rPr>
          <w:rFonts w:ascii="Arial" w:hAnsi="Arial" w:cs="Arial"/>
          <w:lang w:val="en-US"/>
        </w:rPr>
        <w:t> </w:t>
      </w:r>
      <w:r w:rsidRPr="002D47E3">
        <w:rPr>
          <w:rFonts w:ascii="Arial" w:hAnsi="Arial" w:cs="Arial"/>
          <w:i/>
          <w:iCs/>
          <w:lang w:val="en-US"/>
        </w:rPr>
        <w:t>v</w:t>
      </w:r>
      <w:r w:rsidRPr="002D47E3">
        <w:rPr>
          <w:rFonts w:ascii="Arial" w:hAnsi="Arial" w:cs="Arial"/>
          <w:lang w:val="en-US"/>
        </w:rPr>
        <w:t> </w:t>
      </w:r>
      <w:r w:rsidRPr="002D47E3">
        <w:rPr>
          <w:rFonts w:ascii="Arial" w:hAnsi="Arial" w:cs="Arial"/>
          <w:i/>
          <w:iCs/>
          <w:lang w:val="en-US"/>
        </w:rPr>
        <w:t>Wits</w:t>
      </w:r>
      <w:r w:rsidRPr="002D47E3">
        <w:rPr>
          <w:rFonts w:ascii="Arial" w:hAnsi="Arial" w:cs="Arial"/>
          <w:lang w:val="en-US"/>
        </w:rPr>
        <w:t> </w:t>
      </w:r>
      <w:r w:rsidRPr="002D47E3">
        <w:rPr>
          <w:rFonts w:ascii="Arial" w:hAnsi="Arial" w:cs="Arial"/>
          <w:i/>
          <w:iCs/>
          <w:lang w:val="en-US"/>
        </w:rPr>
        <w:t>Health</w:t>
      </w:r>
      <w:r w:rsidRPr="002D47E3">
        <w:rPr>
          <w:rFonts w:ascii="Arial" w:hAnsi="Arial" w:cs="Arial"/>
          <w:lang w:val="en-US"/>
        </w:rPr>
        <w:t> </w:t>
      </w:r>
      <w:r w:rsidRPr="002D47E3">
        <w:rPr>
          <w:rFonts w:ascii="Arial" w:hAnsi="Arial" w:cs="Arial"/>
          <w:i/>
          <w:iCs/>
          <w:lang w:val="en-US"/>
        </w:rPr>
        <w:t>Consortium</w:t>
      </w:r>
      <w:r w:rsidRPr="002D47E3">
        <w:rPr>
          <w:rFonts w:ascii="Arial" w:hAnsi="Arial" w:cs="Arial"/>
          <w:lang w:val="en-US"/>
        </w:rPr>
        <w:t> (</w:t>
      </w:r>
      <w:r w:rsidRPr="002D47E3">
        <w:rPr>
          <w:rFonts w:ascii="Arial" w:hAnsi="Arial" w:cs="Arial"/>
          <w:i/>
          <w:iCs/>
          <w:lang w:val="en-US"/>
        </w:rPr>
        <w:t>Pty</w:t>
      </w:r>
      <w:r w:rsidRPr="002D47E3">
        <w:rPr>
          <w:rFonts w:ascii="Arial" w:hAnsi="Arial" w:cs="Arial"/>
          <w:lang w:val="en-US"/>
        </w:rPr>
        <w:t>) </w:t>
      </w:r>
      <w:r>
        <w:rPr>
          <w:rFonts w:ascii="Arial" w:hAnsi="Arial" w:cs="Arial"/>
          <w:i/>
          <w:iCs/>
          <w:lang w:val="en-US"/>
        </w:rPr>
        <w:t>Lt</w:t>
      </w:r>
      <w:r w:rsidR="00B00D6F">
        <w:rPr>
          <w:rFonts w:ascii="Arial" w:hAnsi="Arial" w:cs="Arial"/>
          <w:i/>
          <w:iCs/>
          <w:lang w:val="en-US"/>
        </w:rPr>
        <w:t>d</w:t>
      </w:r>
      <w:r>
        <w:rPr>
          <w:rFonts w:ascii="Arial" w:hAnsi="Arial" w:cs="Arial"/>
          <w:i/>
          <w:iCs/>
          <w:lang w:val="en-US"/>
        </w:rPr>
        <w:t xml:space="preserve"> </w:t>
      </w:r>
      <w:hyperlink r:id="rId2" w:tooltip="View LawCiteRecord" w:history="1">
        <w:r w:rsidRPr="002D47E3">
          <w:rPr>
            <w:rFonts w:ascii="Arial" w:hAnsi="Arial" w:cs="Arial"/>
            <w:bCs/>
            <w:shd w:val="clear" w:color="auto" w:fill="FFFFFF"/>
          </w:rPr>
          <w:t>[2013] JOL 30060</w:t>
        </w:r>
      </w:hyperlink>
      <w:r w:rsidRPr="002D47E3">
        <w:rPr>
          <w:rFonts w:ascii="Arial" w:hAnsi="Arial" w:cs="Arial"/>
          <w:shd w:val="clear" w:color="auto" w:fill="FFFFFF"/>
        </w:rPr>
        <w:t> (LC)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55EF437C" w14:textId="77777777" w:rsidR="003B7165" w:rsidRDefault="003B7165" w:rsidP="00906A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CC43D" w14:textId="77777777" w:rsidR="003B7165" w:rsidRDefault="003B7165"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59B46982" w14:textId="08631FA6" w:rsidR="003B7165" w:rsidRPr="003B7165" w:rsidRDefault="003B7165" w:rsidP="00906A8D">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543E48">
          <w:rPr>
            <w:rStyle w:val="PageNumber"/>
            <w:rFonts w:asciiTheme="minorBidi" w:hAnsiTheme="minorBidi"/>
            <w:noProof/>
          </w:rPr>
          <w:t>2</w:t>
        </w:r>
        <w:r w:rsidRPr="003B7165">
          <w:rPr>
            <w:rStyle w:val="PageNumber"/>
            <w:rFonts w:asciiTheme="minorBidi" w:hAnsiTheme="minorBidi"/>
          </w:rPr>
          <w:fldChar w:fldCharType="end"/>
        </w:r>
      </w:p>
    </w:sdtContent>
  </w:sdt>
  <w:p w14:paraId="79408C92" w14:textId="77777777" w:rsidR="003B7165" w:rsidRDefault="003B7165" w:rsidP="003B7165">
    <w:pPr>
      <w:pStyle w:val="Header"/>
      <w:tabs>
        <w:tab w:val="clear" w:pos="4513"/>
        <w:tab w:val="clear" w:pos="9026"/>
        <w:tab w:val="left" w:pos="7200"/>
      </w:tabs>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2">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4">
    <w:nsid w:val="226404DE"/>
    <w:multiLevelType w:val="hybridMultilevel"/>
    <w:tmpl w:val="24B0F78C"/>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D1122"/>
    <w:multiLevelType w:val="hybridMultilevel"/>
    <w:tmpl w:val="320C3D14"/>
    <w:lvl w:ilvl="0" w:tplc="1EEC9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9">
    <w:nsid w:val="395E015D"/>
    <w:multiLevelType w:val="hybridMultilevel"/>
    <w:tmpl w:val="58F2B474"/>
    <w:lvl w:ilvl="0" w:tplc="738E9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E46A80"/>
    <w:multiLevelType w:val="hybridMultilevel"/>
    <w:tmpl w:val="33CA24E2"/>
    <w:lvl w:ilvl="0" w:tplc="DB329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3"/>
  </w:num>
  <w:num w:numId="5">
    <w:abstractNumId w:val="12"/>
  </w:num>
  <w:num w:numId="6">
    <w:abstractNumId w:val="6"/>
  </w:num>
  <w:num w:numId="7">
    <w:abstractNumId w:val="17"/>
  </w:num>
  <w:num w:numId="8">
    <w:abstractNumId w:val="16"/>
  </w:num>
  <w:num w:numId="9">
    <w:abstractNumId w:val="14"/>
  </w:num>
  <w:num w:numId="10">
    <w:abstractNumId w:val="1"/>
  </w:num>
  <w:num w:numId="11">
    <w:abstractNumId w:val="7"/>
  </w:num>
  <w:num w:numId="12">
    <w:abstractNumId w:val="11"/>
  </w:num>
  <w:num w:numId="13">
    <w:abstractNumId w:val="0"/>
  </w:num>
  <w:num w:numId="14">
    <w:abstractNumId w:val="19"/>
  </w:num>
  <w:num w:numId="15">
    <w:abstractNumId w:val="15"/>
  </w:num>
  <w:num w:numId="16">
    <w:abstractNumId w:val="3"/>
  </w:num>
  <w:num w:numId="17">
    <w:abstractNumId w:val="10"/>
  </w:num>
  <w:num w:numId="18">
    <w:abstractNumId w:val="20"/>
  </w:num>
  <w:num w:numId="19">
    <w:abstractNumId w:val="9"/>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B8E57-3D9C-487E-A439-4C3CB7A48E7B}"/>
    <w:docVar w:name="dgnword-drafile" w:val="C:\Users\RMossop\AppData\Local\Temp\draC4C5.tmp"/>
    <w:docVar w:name="dgnword-eventsink" w:val="1816545663712"/>
  </w:docVars>
  <w:rsids>
    <w:rsidRoot w:val="00F3519B"/>
    <w:rsid w:val="00002E1C"/>
    <w:rsid w:val="0003626C"/>
    <w:rsid w:val="00042952"/>
    <w:rsid w:val="00042ADD"/>
    <w:rsid w:val="0005348D"/>
    <w:rsid w:val="00060A4F"/>
    <w:rsid w:val="00062DD3"/>
    <w:rsid w:val="0007412D"/>
    <w:rsid w:val="00076005"/>
    <w:rsid w:val="000B196A"/>
    <w:rsid w:val="000B57B1"/>
    <w:rsid w:val="000C00C2"/>
    <w:rsid w:val="000C00D4"/>
    <w:rsid w:val="000C69E8"/>
    <w:rsid w:val="000D33D8"/>
    <w:rsid w:val="000D4127"/>
    <w:rsid w:val="000D58BD"/>
    <w:rsid w:val="000F57F6"/>
    <w:rsid w:val="00124F9F"/>
    <w:rsid w:val="00167ADC"/>
    <w:rsid w:val="00172D6F"/>
    <w:rsid w:val="00185F5C"/>
    <w:rsid w:val="00191D20"/>
    <w:rsid w:val="00192ADF"/>
    <w:rsid w:val="00197FE3"/>
    <w:rsid w:val="001A0EA1"/>
    <w:rsid w:val="001A2DE4"/>
    <w:rsid w:val="001E1CD2"/>
    <w:rsid w:val="00204EFD"/>
    <w:rsid w:val="00223FCD"/>
    <w:rsid w:val="002332B5"/>
    <w:rsid w:val="00237BA5"/>
    <w:rsid w:val="00240AA3"/>
    <w:rsid w:val="002441D0"/>
    <w:rsid w:val="002535A2"/>
    <w:rsid w:val="0025600F"/>
    <w:rsid w:val="002615B6"/>
    <w:rsid w:val="00276BC0"/>
    <w:rsid w:val="00296B55"/>
    <w:rsid w:val="002A7D02"/>
    <w:rsid w:val="002D47E3"/>
    <w:rsid w:val="002F24DD"/>
    <w:rsid w:val="00302B31"/>
    <w:rsid w:val="00305008"/>
    <w:rsid w:val="003050E0"/>
    <w:rsid w:val="003078E7"/>
    <w:rsid w:val="0032425B"/>
    <w:rsid w:val="00324830"/>
    <w:rsid w:val="003262F8"/>
    <w:rsid w:val="00351A8F"/>
    <w:rsid w:val="00353AAE"/>
    <w:rsid w:val="00383677"/>
    <w:rsid w:val="00385DA1"/>
    <w:rsid w:val="00396BE0"/>
    <w:rsid w:val="003A048D"/>
    <w:rsid w:val="003A3521"/>
    <w:rsid w:val="003B0FD5"/>
    <w:rsid w:val="003B7165"/>
    <w:rsid w:val="003B767D"/>
    <w:rsid w:val="003E0CBE"/>
    <w:rsid w:val="003E2CC9"/>
    <w:rsid w:val="003F29F3"/>
    <w:rsid w:val="003F544F"/>
    <w:rsid w:val="00406A79"/>
    <w:rsid w:val="00417D7E"/>
    <w:rsid w:val="00427EE3"/>
    <w:rsid w:val="004442EF"/>
    <w:rsid w:val="00472D75"/>
    <w:rsid w:val="004A2756"/>
    <w:rsid w:val="004A7452"/>
    <w:rsid w:val="004B31C8"/>
    <w:rsid w:val="004B6D00"/>
    <w:rsid w:val="004C14C6"/>
    <w:rsid w:val="004C2560"/>
    <w:rsid w:val="004D7B9F"/>
    <w:rsid w:val="004F23C0"/>
    <w:rsid w:val="004F772A"/>
    <w:rsid w:val="005065B3"/>
    <w:rsid w:val="005107B1"/>
    <w:rsid w:val="00536641"/>
    <w:rsid w:val="005434F5"/>
    <w:rsid w:val="00543E48"/>
    <w:rsid w:val="005544CB"/>
    <w:rsid w:val="0056208B"/>
    <w:rsid w:val="005672A2"/>
    <w:rsid w:val="00575CC7"/>
    <w:rsid w:val="0058686F"/>
    <w:rsid w:val="00595BB7"/>
    <w:rsid w:val="005A19D3"/>
    <w:rsid w:val="005A7540"/>
    <w:rsid w:val="005B13C7"/>
    <w:rsid w:val="005B5D9C"/>
    <w:rsid w:val="005D00B1"/>
    <w:rsid w:val="005D1739"/>
    <w:rsid w:val="005D2C20"/>
    <w:rsid w:val="005D59E7"/>
    <w:rsid w:val="006031D7"/>
    <w:rsid w:val="0060753A"/>
    <w:rsid w:val="0063122B"/>
    <w:rsid w:val="00675DB1"/>
    <w:rsid w:val="00694AC6"/>
    <w:rsid w:val="006A6846"/>
    <w:rsid w:val="006E001D"/>
    <w:rsid w:val="006E308F"/>
    <w:rsid w:val="006F4A7C"/>
    <w:rsid w:val="006F6C11"/>
    <w:rsid w:val="007065B3"/>
    <w:rsid w:val="00723270"/>
    <w:rsid w:val="00731F34"/>
    <w:rsid w:val="00735F33"/>
    <w:rsid w:val="00744D8D"/>
    <w:rsid w:val="00747D4C"/>
    <w:rsid w:val="00755FA7"/>
    <w:rsid w:val="00775EE1"/>
    <w:rsid w:val="007801CC"/>
    <w:rsid w:val="00781761"/>
    <w:rsid w:val="00797D34"/>
    <w:rsid w:val="007D6A14"/>
    <w:rsid w:val="007E5808"/>
    <w:rsid w:val="008030F4"/>
    <w:rsid w:val="00812977"/>
    <w:rsid w:val="00814979"/>
    <w:rsid w:val="00815C30"/>
    <w:rsid w:val="00825F7B"/>
    <w:rsid w:val="008418D6"/>
    <w:rsid w:val="00846022"/>
    <w:rsid w:val="008656EC"/>
    <w:rsid w:val="008828A2"/>
    <w:rsid w:val="00887F8A"/>
    <w:rsid w:val="008B14C5"/>
    <w:rsid w:val="008B4477"/>
    <w:rsid w:val="008C3500"/>
    <w:rsid w:val="008D3273"/>
    <w:rsid w:val="008F4173"/>
    <w:rsid w:val="00901EFA"/>
    <w:rsid w:val="00911A6F"/>
    <w:rsid w:val="0091780A"/>
    <w:rsid w:val="0094464E"/>
    <w:rsid w:val="0094715E"/>
    <w:rsid w:val="00951506"/>
    <w:rsid w:val="00967754"/>
    <w:rsid w:val="00970BA2"/>
    <w:rsid w:val="00973875"/>
    <w:rsid w:val="00980147"/>
    <w:rsid w:val="00983FB1"/>
    <w:rsid w:val="009A0429"/>
    <w:rsid w:val="009A7383"/>
    <w:rsid w:val="009B1B97"/>
    <w:rsid w:val="009B6CD0"/>
    <w:rsid w:val="009C7402"/>
    <w:rsid w:val="00A03A43"/>
    <w:rsid w:val="00A17F59"/>
    <w:rsid w:val="00A26C43"/>
    <w:rsid w:val="00A3031A"/>
    <w:rsid w:val="00A315C3"/>
    <w:rsid w:val="00A31B9D"/>
    <w:rsid w:val="00A34821"/>
    <w:rsid w:val="00A53745"/>
    <w:rsid w:val="00A70EFD"/>
    <w:rsid w:val="00A80206"/>
    <w:rsid w:val="00A81335"/>
    <w:rsid w:val="00A81DE4"/>
    <w:rsid w:val="00AA6A46"/>
    <w:rsid w:val="00AB0008"/>
    <w:rsid w:val="00AC6493"/>
    <w:rsid w:val="00AD0EE5"/>
    <w:rsid w:val="00AD3DE3"/>
    <w:rsid w:val="00AD7D02"/>
    <w:rsid w:val="00AE68CE"/>
    <w:rsid w:val="00AF64BD"/>
    <w:rsid w:val="00B00D6F"/>
    <w:rsid w:val="00B03F64"/>
    <w:rsid w:val="00B27D49"/>
    <w:rsid w:val="00B316F2"/>
    <w:rsid w:val="00B31E41"/>
    <w:rsid w:val="00B43C70"/>
    <w:rsid w:val="00B45B52"/>
    <w:rsid w:val="00B52880"/>
    <w:rsid w:val="00B54C2F"/>
    <w:rsid w:val="00B6277B"/>
    <w:rsid w:val="00B74FC1"/>
    <w:rsid w:val="00B82AC3"/>
    <w:rsid w:val="00B82DCE"/>
    <w:rsid w:val="00BA01BE"/>
    <w:rsid w:val="00BB5942"/>
    <w:rsid w:val="00BD5F3E"/>
    <w:rsid w:val="00BE518C"/>
    <w:rsid w:val="00BF187F"/>
    <w:rsid w:val="00BF1E21"/>
    <w:rsid w:val="00C20C8A"/>
    <w:rsid w:val="00C25573"/>
    <w:rsid w:val="00C309A6"/>
    <w:rsid w:val="00C411A6"/>
    <w:rsid w:val="00C437A3"/>
    <w:rsid w:val="00C57D16"/>
    <w:rsid w:val="00C6309E"/>
    <w:rsid w:val="00C75AD2"/>
    <w:rsid w:val="00C80A8F"/>
    <w:rsid w:val="00CA010C"/>
    <w:rsid w:val="00CA0E01"/>
    <w:rsid w:val="00CC275F"/>
    <w:rsid w:val="00CC5EB7"/>
    <w:rsid w:val="00CD4E3F"/>
    <w:rsid w:val="00CF23DD"/>
    <w:rsid w:val="00CF4F2A"/>
    <w:rsid w:val="00D067D9"/>
    <w:rsid w:val="00D14BF0"/>
    <w:rsid w:val="00D14E49"/>
    <w:rsid w:val="00D23D77"/>
    <w:rsid w:val="00D60EDC"/>
    <w:rsid w:val="00D808A7"/>
    <w:rsid w:val="00D84019"/>
    <w:rsid w:val="00D95FC9"/>
    <w:rsid w:val="00DA0EBB"/>
    <w:rsid w:val="00DD572D"/>
    <w:rsid w:val="00DE1655"/>
    <w:rsid w:val="00DF1417"/>
    <w:rsid w:val="00DF5669"/>
    <w:rsid w:val="00DF6AA2"/>
    <w:rsid w:val="00E11A9B"/>
    <w:rsid w:val="00E12442"/>
    <w:rsid w:val="00E14479"/>
    <w:rsid w:val="00E1628D"/>
    <w:rsid w:val="00E168B8"/>
    <w:rsid w:val="00E16ADD"/>
    <w:rsid w:val="00E222E3"/>
    <w:rsid w:val="00E32072"/>
    <w:rsid w:val="00E35053"/>
    <w:rsid w:val="00E35570"/>
    <w:rsid w:val="00E40E21"/>
    <w:rsid w:val="00E4410F"/>
    <w:rsid w:val="00E67E2F"/>
    <w:rsid w:val="00E764CF"/>
    <w:rsid w:val="00E819B4"/>
    <w:rsid w:val="00ED500B"/>
    <w:rsid w:val="00EE0601"/>
    <w:rsid w:val="00EF1450"/>
    <w:rsid w:val="00EF70E7"/>
    <w:rsid w:val="00F06D49"/>
    <w:rsid w:val="00F1477C"/>
    <w:rsid w:val="00F153AB"/>
    <w:rsid w:val="00F3519B"/>
    <w:rsid w:val="00F3685B"/>
    <w:rsid w:val="00F47831"/>
    <w:rsid w:val="00F51FB6"/>
    <w:rsid w:val="00F543A0"/>
    <w:rsid w:val="00F54D8B"/>
    <w:rsid w:val="00F75935"/>
    <w:rsid w:val="00F81806"/>
    <w:rsid w:val="00F8315C"/>
    <w:rsid w:val="00F912D2"/>
    <w:rsid w:val="00FA4D09"/>
    <w:rsid w:val="00FF4A45"/>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8AB7"/>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character" w:customStyle="1" w:styleId="mc">
    <w:name w:val="mc"/>
    <w:basedOn w:val="DefaultParagraphFont"/>
    <w:rsid w:val="003B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557933442">
      <w:bodyDiv w:val="1"/>
      <w:marLeft w:val="0"/>
      <w:marRight w:val="0"/>
      <w:marTop w:val="0"/>
      <w:marBottom w:val="0"/>
      <w:divBdr>
        <w:top w:val="none" w:sz="0" w:space="0" w:color="auto"/>
        <w:left w:val="none" w:sz="0" w:space="0" w:color="auto"/>
        <w:bottom w:val="none" w:sz="0" w:space="0" w:color="auto"/>
        <w:right w:val="none" w:sz="0" w:space="0" w:color="auto"/>
      </w:divBdr>
      <w:divsChild>
        <w:div w:id="1431584680">
          <w:marLeft w:val="0"/>
          <w:marRight w:val="0"/>
          <w:marTop w:val="120"/>
          <w:marBottom w:val="0"/>
          <w:divBdr>
            <w:top w:val="none" w:sz="0" w:space="0" w:color="auto"/>
            <w:left w:val="none" w:sz="0" w:space="0" w:color="auto"/>
            <w:bottom w:val="none" w:sz="0" w:space="0" w:color="auto"/>
            <w:right w:val="none" w:sz="0" w:space="0" w:color="auto"/>
          </w:divBdr>
        </w:div>
        <w:div w:id="664867046">
          <w:marLeft w:val="567"/>
          <w:marRight w:val="0"/>
          <w:marTop w:val="60"/>
          <w:marBottom w:val="0"/>
          <w:divBdr>
            <w:top w:val="none" w:sz="0" w:space="0" w:color="auto"/>
            <w:left w:val="none" w:sz="0" w:space="0" w:color="auto"/>
            <w:bottom w:val="none" w:sz="0" w:space="0" w:color="auto"/>
            <w:right w:val="none" w:sz="0" w:space="0" w:color="auto"/>
          </w:divBdr>
        </w:div>
        <w:div w:id="1404597527">
          <w:marLeft w:val="0"/>
          <w:marRight w:val="0"/>
          <w:marTop w:val="120"/>
          <w:marBottom w:val="0"/>
          <w:divBdr>
            <w:top w:val="none" w:sz="0" w:space="0" w:color="auto"/>
            <w:left w:val="none" w:sz="0" w:space="0" w:color="auto"/>
            <w:bottom w:val="none" w:sz="0" w:space="0" w:color="auto"/>
            <w:right w:val="none" w:sz="0" w:space="0" w:color="auto"/>
          </w:divBdr>
        </w:div>
        <w:div w:id="761336576">
          <w:marLeft w:val="0"/>
          <w:marRight w:val="0"/>
          <w:marTop w:val="240"/>
          <w:marBottom w:val="24"/>
          <w:divBdr>
            <w:top w:val="single" w:sz="8" w:space="2" w:color="808080"/>
            <w:left w:val="none" w:sz="0" w:space="0" w:color="auto"/>
            <w:bottom w:val="none" w:sz="0" w:space="0" w:color="auto"/>
            <w:right w:val="none" w:sz="0" w:space="0" w:color="auto"/>
          </w:divBdr>
        </w:div>
        <w:div w:id="2081976727">
          <w:marLeft w:val="0"/>
          <w:marRight w:val="0"/>
          <w:marTop w:val="120"/>
          <w:marBottom w:val="0"/>
          <w:divBdr>
            <w:top w:val="none" w:sz="0" w:space="0" w:color="auto"/>
            <w:left w:val="none" w:sz="0" w:space="0" w:color="auto"/>
            <w:bottom w:val="none" w:sz="0" w:space="0" w:color="auto"/>
            <w:right w:val="none" w:sz="0" w:space="0" w:color="auto"/>
          </w:divBdr>
        </w:div>
        <w:div w:id="1634483609">
          <w:marLeft w:val="0"/>
          <w:marRight w:val="0"/>
          <w:marTop w:val="120"/>
          <w:marBottom w:val="0"/>
          <w:divBdr>
            <w:top w:val="none" w:sz="0" w:space="0" w:color="auto"/>
            <w:left w:val="none" w:sz="0" w:space="0" w:color="auto"/>
            <w:bottom w:val="none" w:sz="0" w:space="0" w:color="auto"/>
            <w:right w:val="none" w:sz="0" w:space="0" w:color="auto"/>
          </w:divBdr>
        </w:div>
      </w:divsChild>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1788475">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9837">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92905731">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5b2013%5d%20JOL%2030060" TargetMode="External"/><Relationship Id="rId1" Type="http://schemas.openxmlformats.org/officeDocument/2006/relationships/hyperlink" Target="https://www.saflii.org/cgi-bin/LawCite?cit=2014%20%282%29%20SA%2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D2517-11B6-47E8-B8D7-4B502BE9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dcterms:created xsi:type="dcterms:W3CDTF">2023-07-19T10:20:00Z</dcterms:created>
  <dcterms:modified xsi:type="dcterms:W3CDTF">2023-07-19T10:21:00Z</dcterms:modified>
</cp:coreProperties>
</file>