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16A84" w14:textId="77777777" w:rsidR="008D3273" w:rsidRPr="007B0DD3" w:rsidRDefault="008D3273" w:rsidP="008D3273">
      <w:pPr>
        <w:spacing w:line="360" w:lineRule="auto"/>
        <w:contextualSpacing/>
        <w:jc w:val="center"/>
        <w:rPr>
          <w:rFonts w:asciiTheme="minorBidi" w:hAnsiTheme="minorBidi"/>
          <w:b/>
        </w:rPr>
      </w:pPr>
      <w:r w:rsidRPr="007B0DD3">
        <w:rPr>
          <w:rFonts w:asciiTheme="minorBidi" w:eastAsia="Calibri" w:hAnsiTheme="minorBidi"/>
          <w:noProof/>
          <w:sz w:val="28"/>
          <w:lang w:val="en-US" w:eastAsia="en-US" w:bidi="ar-SA"/>
        </w:rPr>
        <w:drawing>
          <wp:inline distT="0" distB="0" distL="0" distR="0" wp14:anchorId="5AD4BB31" wp14:editId="2E1E2B0E">
            <wp:extent cx="1027209" cy="1009650"/>
            <wp:effectExtent l="0" t="0" r="190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0179" cy="1012569"/>
                    </a:xfrm>
                    <a:prstGeom prst="rect">
                      <a:avLst/>
                    </a:prstGeom>
                    <a:noFill/>
                    <a:ln>
                      <a:noFill/>
                    </a:ln>
                  </pic:spPr>
                </pic:pic>
              </a:graphicData>
            </a:graphic>
          </wp:inline>
        </w:drawing>
      </w:r>
    </w:p>
    <w:p w14:paraId="2A700E24" w14:textId="77777777" w:rsidR="008D3273" w:rsidRPr="007B0DD3" w:rsidRDefault="008D3273" w:rsidP="008D3273">
      <w:pPr>
        <w:spacing w:line="360" w:lineRule="auto"/>
        <w:contextualSpacing/>
        <w:jc w:val="both"/>
        <w:rPr>
          <w:rFonts w:asciiTheme="minorBidi" w:hAnsiTheme="minorBidi"/>
          <w:b/>
          <w:sz w:val="16"/>
          <w:szCs w:val="16"/>
        </w:rPr>
      </w:pPr>
    </w:p>
    <w:p w14:paraId="27DB39CB" w14:textId="77777777" w:rsidR="008D3273" w:rsidRPr="007B0DD3" w:rsidRDefault="008D3273" w:rsidP="008D3273">
      <w:pPr>
        <w:spacing w:line="360" w:lineRule="auto"/>
        <w:contextualSpacing/>
        <w:jc w:val="center"/>
        <w:rPr>
          <w:rFonts w:asciiTheme="minorBidi" w:hAnsiTheme="minorBidi"/>
          <w:b/>
        </w:rPr>
      </w:pPr>
      <w:r w:rsidRPr="007B0DD3">
        <w:rPr>
          <w:rFonts w:asciiTheme="minorBidi" w:hAnsiTheme="minorBidi"/>
          <w:b/>
        </w:rPr>
        <w:t>IN THE HIGH COURT OF SOUTH AFRICA</w:t>
      </w:r>
    </w:p>
    <w:p w14:paraId="2044FBDC" w14:textId="432F5A2F" w:rsidR="008D3273" w:rsidRPr="007B0DD3" w:rsidRDefault="008D3273" w:rsidP="008D3273">
      <w:pPr>
        <w:spacing w:line="360" w:lineRule="auto"/>
        <w:contextualSpacing/>
        <w:jc w:val="center"/>
        <w:rPr>
          <w:rFonts w:asciiTheme="minorBidi" w:hAnsiTheme="minorBidi"/>
          <w:b/>
        </w:rPr>
      </w:pPr>
      <w:r w:rsidRPr="007B0DD3">
        <w:rPr>
          <w:rFonts w:asciiTheme="minorBidi" w:hAnsiTheme="minorBidi"/>
          <w:b/>
        </w:rPr>
        <w:t xml:space="preserve">KWAZULU-NATAL DIVISION, </w:t>
      </w:r>
      <w:r w:rsidR="000B4555">
        <w:rPr>
          <w:rFonts w:asciiTheme="minorBidi" w:hAnsiTheme="minorBidi"/>
          <w:b/>
        </w:rPr>
        <w:t>PIETERMARITZBURG</w:t>
      </w:r>
    </w:p>
    <w:p w14:paraId="117EFBF8" w14:textId="77777777" w:rsidR="008D3273" w:rsidRPr="007B0DD3" w:rsidRDefault="008D3273" w:rsidP="008D3273">
      <w:pPr>
        <w:spacing w:line="360" w:lineRule="auto"/>
        <w:contextualSpacing/>
        <w:jc w:val="center"/>
        <w:rPr>
          <w:rFonts w:asciiTheme="minorBidi" w:hAnsiTheme="minorBidi"/>
        </w:rPr>
      </w:pPr>
    </w:p>
    <w:p w14:paraId="4F9512CA" w14:textId="77777777" w:rsidR="008D3273" w:rsidRPr="007B0DD3" w:rsidRDefault="008D3273" w:rsidP="008D3273">
      <w:pPr>
        <w:spacing w:line="360" w:lineRule="auto"/>
        <w:contextualSpacing/>
        <w:jc w:val="right"/>
        <w:rPr>
          <w:rFonts w:asciiTheme="minorBidi" w:hAnsiTheme="minorBidi"/>
        </w:rPr>
      </w:pPr>
      <w:r w:rsidRPr="007B0DD3">
        <w:rPr>
          <w:rFonts w:asciiTheme="minorBidi" w:hAnsiTheme="minorBidi"/>
        </w:rPr>
        <w:t xml:space="preserve">Case no: </w:t>
      </w:r>
      <w:r w:rsidR="00CD5AF2">
        <w:rPr>
          <w:rFonts w:asciiTheme="minorBidi" w:hAnsiTheme="minorBidi"/>
          <w:b/>
        </w:rPr>
        <w:t>AR241</w:t>
      </w:r>
      <w:r w:rsidR="004C2560">
        <w:rPr>
          <w:rFonts w:asciiTheme="minorBidi" w:hAnsiTheme="minorBidi"/>
          <w:b/>
        </w:rPr>
        <w:t>/20</w:t>
      </w:r>
      <w:r w:rsidR="00CD5AF2">
        <w:rPr>
          <w:rFonts w:asciiTheme="minorBidi" w:hAnsiTheme="minorBidi"/>
          <w:b/>
        </w:rPr>
        <w:t>22</w:t>
      </w:r>
    </w:p>
    <w:p w14:paraId="24FEA3FB" w14:textId="77777777" w:rsidR="008D3273" w:rsidRPr="007B0DD3" w:rsidRDefault="008D3273" w:rsidP="008D3273">
      <w:pPr>
        <w:tabs>
          <w:tab w:val="right" w:pos="8789"/>
        </w:tabs>
        <w:spacing w:line="360" w:lineRule="auto"/>
        <w:contextualSpacing/>
        <w:jc w:val="both"/>
        <w:rPr>
          <w:rFonts w:asciiTheme="minorBidi" w:hAnsiTheme="minorBidi"/>
        </w:rPr>
      </w:pPr>
      <w:r w:rsidRPr="007B0DD3">
        <w:rPr>
          <w:rFonts w:asciiTheme="minorBidi" w:hAnsiTheme="minorBidi"/>
        </w:rPr>
        <w:t>In the matter between:</w:t>
      </w:r>
    </w:p>
    <w:p w14:paraId="57E58A6E" w14:textId="77777777" w:rsidR="008D3273" w:rsidRDefault="008D3273" w:rsidP="008D3273">
      <w:pPr>
        <w:tabs>
          <w:tab w:val="right" w:pos="9072"/>
        </w:tabs>
        <w:spacing w:line="360" w:lineRule="auto"/>
        <w:contextualSpacing/>
        <w:jc w:val="both"/>
        <w:rPr>
          <w:rFonts w:asciiTheme="minorBidi" w:hAnsiTheme="minorBidi"/>
          <w:b/>
          <w:bCs/>
        </w:rPr>
      </w:pPr>
    </w:p>
    <w:p w14:paraId="1BFC8B49" w14:textId="77777777" w:rsidR="008D3273" w:rsidRDefault="00CD5AF2" w:rsidP="008D3273">
      <w:pPr>
        <w:tabs>
          <w:tab w:val="right" w:pos="9072"/>
        </w:tabs>
        <w:spacing w:line="360" w:lineRule="auto"/>
        <w:contextualSpacing/>
        <w:jc w:val="both"/>
        <w:rPr>
          <w:rFonts w:asciiTheme="minorBidi" w:hAnsiTheme="minorBidi"/>
          <w:b/>
          <w:bCs/>
        </w:rPr>
      </w:pPr>
      <w:r>
        <w:rPr>
          <w:rFonts w:asciiTheme="minorBidi" w:hAnsiTheme="minorBidi"/>
          <w:b/>
          <w:bCs/>
        </w:rPr>
        <w:t xml:space="preserve">SIYABONGA </w:t>
      </w:r>
      <w:r w:rsidR="00590831">
        <w:rPr>
          <w:rFonts w:asciiTheme="minorBidi" w:hAnsiTheme="minorBidi"/>
          <w:b/>
          <w:bCs/>
        </w:rPr>
        <w:t>N</w:t>
      </w:r>
      <w:r>
        <w:rPr>
          <w:rFonts w:asciiTheme="minorBidi" w:hAnsiTheme="minorBidi"/>
          <w:b/>
          <w:bCs/>
        </w:rPr>
        <w:t>DLOVU</w:t>
      </w:r>
      <w:r w:rsidR="00775F0D">
        <w:rPr>
          <w:rFonts w:asciiTheme="minorBidi" w:hAnsiTheme="minorBidi"/>
          <w:b/>
          <w:bCs/>
        </w:rPr>
        <w:t xml:space="preserve"> </w:t>
      </w:r>
      <w:r w:rsidR="008D3273">
        <w:rPr>
          <w:rFonts w:asciiTheme="minorBidi" w:hAnsiTheme="minorBidi"/>
          <w:b/>
          <w:bCs/>
        </w:rPr>
        <w:tab/>
      </w:r>
      <w:r w:rsidR="00775F0D">
        <w:rPr>
          <w:rFonts w:asciiTheme="minorBidi" w:hAnsiTheme="minorBidi"/>
          <w:b/>
          <w:bCs/>
        </w:rPr>
        <w:t>APP</w:t>
      </w:r>
      <w:r>
        <w:rPr>
          <w:rFonts w:asciiTheme="minorBidi" w:hAnsiTheme="minorBidi"/>
          <w:b/>
          <w:bCs/>
        </w:rPr>
        <w:t>ELLANT</w:t>
      </w:r>
    </w:p>
    <w:p w14:paraId="42782385" w14:textId="77777777" w:rsidR="008D3273" w:rsidRDefault="008D3273" w:rsidP="008D3273">
      <w:pPr>
        <w:tabs>
          <w:tab w:val="right" w:pos="9072"/>
        </w:tabs>
        <w:spacing w:line="360" w:lineRule="auto"/>
        <w:contextualSpacing/>
        <w:jc w:val="both"/>
        <w:rPr>
          <w:rFonts w:asciiTheme="minorBidi" w:hAnsiTheme="minorBidi"/>
          <w:bCs/>
        </w:rPr>
      </w:pPr>
    </w:p>
    <w:p w14:paraId="15F78168" w14:textId="77777777" w:rsidR="008D3273" w:rsidRPr="0069043E" w:rsidRDefault="008D3273" w:rsidP="008D3273">
      <w:pPr>
        <w:tabs>
          <w:tab w:val="right" w:pos="9072"/>
        </w:tabs>
        <w:spacing w:line="360" w:lineRule="auto"/>
        <w:contextualSpacing/>
        <w:jc w:val="both"/>
        <w:rPr>
          <w:rFonts w:asciiTheme="minorBidi" w:hAnsiTheme="minorBidi"/>
          <w:bCs/>
        </w:rPr>
      </w:pPr>
      <w:r>
        <w:rPr>
          <w:rFonts w:asciiTheme="minorBidi" w:hAnsiTheme="minorBidi"/>
          <w:bCs/>
        </w:rPr>
        <w:t>and</w:t>
      </w:r>
    </w:p>
    <w:p w14:paraId="532C2F53" w14:textId="77777777" w:rsidR="008D3273" w:rsidRDefault="008D3273" w:rsidP="008D3273">
      <w:pPr>
        <w:tabs>
          <w:tab w:val="right" w:pos="9072"/>
        </w:tabs>
        <w:spacing w:line="360" w:lineRule="auto"/>
        <w:contextualSpacing/>
        <w:jc w:val="both"/>
        <w:rPr>
          <w:rFonts w:asciiTheme="minorBidi" w:hAnsiTheme="minorBidi"/>
          <w:b/>
        </w:rPr>
      </w:pPr>
    </w:p>
    <w:p w14:paraId="61205400" w14:textId="77777777" w:rsidR="00462F1C" w:rsidRDefault="00CD5AF2" w:rsidP="00476BD7">
      <w:pPr>
        <w:tabs>
          <w:tab w:val="right" w:pos="9072"/>
        </w:tabs>
        <w:spacing w:line="360" w:lineRule="auto"/>
        <w:contextualSpacing/>
        <w:jc w:val="both"/>
        <w:rPr>
          <w:rFonts w:asciiTheme="minorBidi" w:hAnsiTheme="minorBidi"/>
          <w:b/>
        </w:rPr>
      </w:pPr>
      <w:r>
        <w:rPr>
          <w:rFonts w:asciiTheme="minorBidi" w:hAnsiTheme="minorBidi"/>
          <w:b/>
        </w:rPr>
        <w:t>MINISTER OF POLICE</w:t>
      </w:r>
      <w:r w:rsidR="00476BD7">
        <w:rPr>
          <w:rFonts w:asciiTheme="minorBidi" w:hAnsiTheme="minorBidi"/>
          <w:b/>
        </w:rPr>
        <w:tab/>
      </w:r>
      <w:r w:rsidR="00950920">
        <w:rPr>
          <w:rFonts w:asciiTheme="minorBidi" w:hAnsiTheme="minorBidi"/>
          <w:b/>
        </w:rPr>
        <w:t>RESPONDENT</w:t>
      </w:r>
    </w:p>
    <w:p w14:paraId="30435D77" w14:textId="77777777" w:rsidR="008D3273" w:rsidRPr="007B0DD3" w:rsidRDefault="008D3273" w:rsidP="008D3273">
      <w:pPr>
        <w:pBdr>
          <w:bottom w:val="single" w:sz="12" w:space="0" w:color="auto"/>
        </w:pBdr>
        <w:tabs>
          <w:tab w:val="right" w:pos="9026"/>
        </w:tabs>
        <w:spacing w:line="360" w:lineRule="auto"/>
        <w:jc w:val="both"/>
        <w:rPr>
          <w:rFonts w:asciiTheme="minorBidi" w:hAnsiTheme="minorBidi"/>
          <w:b/>
          <w:bCs/>
        </w:rPr>
      </w:pPr>
    </w:p>
    <w:p w14:paraId="2365736D" w14:textId="77777777" w:rsidR="008D3273" w:rsidRPr="007B0DD3" w:rsidRDefault="008D3273" w:rsidP="00E4410F">
      <w:pPr>
        <w:jc w:val="both"/>
        <w:rPr>
          <w:rFonts w:asciiTheme="minorBidi" w:hAnsiTheme="minorBidi"/>
          <w:bCs/>
        </w:rPr>
      </w:pPr>
    </w:p>
    <w:p w14:paraId="0609E43C" w14:textId="3E4B632B" w:rsidR="005D2C20" w:rsidRDefault="008D3273" w:rsidP="009353AF">
      <w:pPr>
        <w:spacing w:line="360" w:lineRule="auto"/>
        <w:jc w:val="both"/>
        <w:rPr>
          <w:rFonts w:asciiTheme="minorBidi" w:hAnsiTheme="minorBidi"/>
          <w:bCs/>
        </w:rPr>
      </w:pPr>
      <w:r w:rsidRPr="00B91D13">
        <w:rPr>
          <w:rFonts w:asciiTheme="minorBidi" w:hAnsiTheme="minorBidi"/>
          <w:b/>
        </w:rPr>
        <w:t>Coram</w:t>
      </w:r>
      <w:r w:rsidRPr="007B0DD3">
        <w:rPr>
          <w:rFonts w:asciiTheme="minorBidi" w:hAnsiTheme="minorBidi"/>
          <w:bCs/>
        </w:rPr>
        <w:t>:</w:t>
      </w:r>
      <w:r w:rsidRPr="007B0DD3">
        <w:rPr>
          <w:rFonts w:asciiTheme="minorBidi" w:hAnsiTheme="minorBidi"/>
          <w:bCs/>
        </w:rPr>
        <w:tab/>
        <w:t>Mossop J</w:t>
      </w:r>
      <w:r w:rsidR="00B91D13">
        <w:rPr>
          <w:rFonts w:asciiTheme="minorBidi" w:hAnsiTheme="minorBidi"/>
          <w:bCs/>
        </w:rPr>
        <w:t xml:space="preserve"> and Singh AJ</w:t>
      </w:r>
    </w:p>
    <w:p w14:paraId="448577C9" w14:textId="2D4085DD" w:rsidR="008D3273" w:rsidRDefault="008D3273" w:rsidP="009353AF">
      <w:pPr>
        <w:spacing w:line="360" w:lineRule="auto"/>
        <w:jc w:val="both"/>
        <w:rPr>
          <w:rFonts w:asciiTheme="minorBidi" w:hAnsiTheme="minorBidi"/>
          <w:bCs/>
        </w:rPr>
      </w:pPr>
      <w:r w:rsidRPr="00B91D13">
        <w:rPr>
          <w:rFonts w:asciiTheme="minorBidi" w:hAnsiTheme="minorBidi"/>
          <w:b/>
        </w:rPr>
        <w:t>Heard</w:t>
      </w:r>
      <w:r w:rsidRPr="007B0DD3">
        <w:rPr>
          <w:rFonts w:asciiTheme="minorBidi" w:hAnsiTheme="minorBidi"/>
          <w:bCs/>
        </w:rPr>
        <w:t>:</w:t>
      </w:r>
      <w:r w:rsidRPr="007B0DD3">
        <w:rPr>
          <w:rFonts w:asciiTheme="minorBidi" w:hAnsiTheme="minorBidi"/>
          <w:bCs/>
        </w:rPr>
        <w:tab/>
      </w:r>
      <w:r w:rsidR="00B91D13">
        <w:rPr>
          <w:rFonts w:asciiTheme="minorBidi" w:hAnsiTheme="minorBidi"/>
          <w:bCs/>
        </w:rPr>
        <w:t xml:space="preserve">18 </w:t>
      </w:r>
      <w:r w:rsidR="00000ADA">
        <w:rPr>
          <w:rFonts w:asciiTheme="minorBidi" w:hAnsiTheme="minorBidi"/>
          <w:bCs/>
        </w:rPr>
        <w:t>August</w:t>
      </w:r>
      <w:r w:rsidR="00E4410F">
        <w:rPr>
          <w:rFonts w:asciiTheme="minorBidi" w:hAnsiTheme="minorBidi"/>
          <w:bCs/>
        </w:rPr>
        <w:t xml:space="preserve"> 2023</w:t>
      </w:r>
    </w:p>
    <w:p w14:paraId="4F513761" w14:textId="3060FE8D" w:rsidR="008D3273" w:rsidRDefault="008D3273" w:rsidP="009353AF">
      <w:pPr>
        <w:spacing w:line="360" w:lineRule="auto"/>
        <w:jc w:val="both"/>
        <w:rPr>
          <w:rFonts w:asciiTheme="minorBidi" w:hAnsiTheme="minorBidi"/>
          <w:bCs/>
        </w:rPr>
      </w:pPr>
      <w:r w:rsidRPr="00B91D13">
        <w:rPr>
          <w:rFonts w:asciiTheme="minorBidi" w:hAnsiTheme="minorBidi"/>
          <w:b/>
        </w:rPr>
        <w:t>Delivered</w:t>
      </w:r>
      <w:r w:rsidRPr="007B0DD3">
        <w:rPr>
          <w:rFonts w:asciiTheme="minorBidi" w:hAnsiTheme="minorBidi"/>
          <w:bCs/>
        </w:rPr>
        <w:t>:</w:t>
      </w:r>
      <w:r w:rsidRPr="007B0DD3">
        <w:rPr>
          <w:rFonts w:asciiTheme="minorBidi" w:hAnsiTheme="minorBidi"/>
          <w:bCs/>
        </w:rPr>
        <w:tab/>
      </w:r>
      <w:r w:rsidR="00B91D13">
        <w:rPr>
          <w:rFonts w:asciiTheme="minorBidi" w:hAnsiTheme="minorBidi"/>
          <w:bCs/>
        </w:rPr>
        <w:t xml:space="preserve">18 </w:t>
      </w:r>
      <w:r w:rsidR="00000ADA">
        <w:rPr>
          <w:rFonts w:asciiTheme="minorBidi" w:hAnsiTheme="minorBidi"/>
          <w:bCs/>
        </w:rPr>
        <w:t>August</w:t>
      </w:r>
      <w:r w:rsidRPr="007B0DD3">
        <w:rPr>
          <w:rFonts w:asciiTheme="minorBidi" w:hAnsiTheme="minorBidi"/>
          <w:bCs/>
        </w:rPr>
        <w:t xml:space="preserve"> 2023</w:t>
      </w:r>
    </w:p>
    <w:p w14:paraId="79C66A83" w14:textId="77777777" w:rsidR="008D3273" w:rsidRPr="007B0DD3" w:rsidRDefault="008D3273" w:rsidP="009353AF">
      <w:pPr>
        <w:pBdr>
          <w:bottom w:val="single" w:sz="12" w:space="1" w:color="auto"/>
        </w:pBdr>
        <w:spacing w:line="360" w:lineRule="auto"/>
        <w:jc w:val="both"/>
        <w:rPr>
          <w:rFonts w:asciiTheme="minorBidi" w:hAnsiTheme="minorBidi"/>
          <w:b/>
          <w:bCs/>
        </w:rPr>
      </w:pPr>
    </w:p>
    <w:p w14:paraId="4BF12178" w14:textId="77777777" w:rsidR="008D3273" w:rsidRPr="007B0DD3" w:rsidRDefault="008D3273" w:rsidP="00E4410F">
      <w:pPr>
        <w:jc w:val="both"/>
        <w:rPr>
          <w:rFonts w:asciiTheme="minorBidi" w:hAnsiTheme="minorBidi"/>
          <w:b/>
          <w:bCs/>
        </w:rPr>
      </w:pPr>
    </w:p>
    <w:p w14:paraId="7C9DD86C" w14:textId="77777777" w:rsidR="008D3273" w:rsidRPr="007B0DD3" w:rsidRDefault="008D3273" w:rsidP="00E4410F">
      <w:pPr>
        <w:pBdr>
          <w:bottom w:val="single" w:sz="12" w:space="1" w:color="auto"/>
        </w:pBdr>
        <w:jc w:val="center"/>
        <w:rPr>
          <w:rFonts w:asciiTheme="minorBidi" w:hAnsiTheme="minorBidi"/>
          <w:b/>
          <w:bCs/>
        </w:rPr>
      </w:pPr>
      <w:r w:rsidRPr="007B0DD3">
        <w:rPr>
          <w:rFonts w:asciiTheme="minorBidi" w:hAnsiTheme="minorBidi"/>
          <w:b/>
          <w:bCs/>
        </w:rPr>
        <w:t>ORDER</w:t>
      </w:r>
    </w:p>
    <w:p w14:paraId="4E84B3A6" w14:textId="77777777" w:rsidR="008D3273" w:rsidRPr="007B0DD3" w:rsidRDefault="008D3273" w:rsidP="00E4410F">
      <w:pPr>
        <w:pBdr>
          <w:bottom w:val="single" w:sz="12" w:space="1" w:color="auto"/>
        </w:pBdr>
        <w:jc w:val="both"/>
        <w:rPr>
          <w:rFonts w:asciiTheme="minorBidi" w:hAnsiTheme="minorBidi"/>
          <w:b/>
          <w:bCs/>
        </w:rPr>
      </w:pPr>
    </w:p>
    <w:p w14:paraId="53ECD06E" w14:textId="77777777" w:rsidR="008D3273" w:rsidRPr="00466F9B" w:rsidRDefault="008D3273" w:rsidP="00167ADC">
      <w:pPr>
        <w:pStyle w:val="ListParagraph"/>
        <w:tabs>
          <w:tab w:val="left" w:pos="709"/>
          <w:tab w:val="left" w:pos="1418"/>
        </w:tabs>
        <w:spacing w:after="0" w:line="360" w:lineRule="auto"/>
        <w:ind w:left="0"/>
        <w:jc w:val="both"/>
        <w:rPr>
          <w:rFonts w:asciiTheme="minorBidi" w:hAnsiTheme="minorBidi"/>
          <w:bCs/>
        </w:rPr>
      </w:pPr>
    </w:p>
    <w:p w14:paraId="3F04DFBB" w14:textId="01D8EBED" w:rsidR="00FB4039" w:rsidRDefault="00FB4039" w:rsidP="00FB4039">
      <w:pPr>
        <w:spacing w:line="360" w:lineRule="auto"/>
        <w:jc w:val="both"/>
        <w:rPr>
          <w:rFonts w:ascii="Arial" w:hAnsi="Arial" w:cs="Arial"/>
          <w:bCs/>
        </w:rPr>
      </w:pPr>
      <w:r w:rsidRPr="00465DD2">
        <w:rPr>
          <w:rFonts w:ascii="Arial" w:hAnsi="Arial" w:cs="Arial"/>
          <w:b/>
          <w:bCs/>
        </w:rPr>
        <w:t>On appeal from</w:t>
      </w:r>
      <w:r w:rsidR="00BE30E3">
        <w:rPr>
          <w:rFonts w:ascii="Arial" w:hAnsi="Arial" w:cs="Arial"/>
          <w:b/>
          <w:bCs/>
        </w:rPr>
        <w:t>:</w:t>
      </w:r>
      <w:r w:rsidRPr="00465DD2">
        <w:rPr>
          <w:rFonts w:ascii="Arial" w:hAnsi="Arial" w:cs="Arial"/>
          <w:b/>
          <w:bCs/>
        </w:rPr>
        <w:t xml:space="preserve"> </w:t>
      </w:r>
      <w:r w:rsidRPr="00C42A0F">
        <w:rPr>
          <w:rFonts w:ascii="Arial" w:hAnsi="Arial" w:cs="Arial"/>
          <w:bCs/>
        </w:rPr>
        <w:t>Durban Regional Court</w:t>
      </w:r>
      <w:r w:rsidRPr="00FB4039">
        <w:rPr>
          <w:rFonts w:ascii="Arial" w:hAnsi="Arial" w:cs="Arial"/>
          <w:bCs/>
        </w:rPr>
        <w:t xml:space="preserve"> (sitting as the court of first instance):</w:t>
      </w:r>
    </w:p>
    <w:p w14:paraId="5A3DF7CD" w14:textId="3D71DBB5" w:rsidR="000A5C40" w:rsidRPr="00544B42" w:rsidRDefault="00544B42" w:rsidP="00544B42">
      <w:pPr>
        <w:tabs>
          <w:tab w:val="left" w:pos="0"/>
        </w:tabs>
        <w:spacing w:line="360" w:lineRule="auto"/>
        <w:jc w:val="both"/>
        <w:rPr>
          <w:rFonts w:asciiTheme="minorBidi" w:hAnsiTheme="minorBidi"/>
        </w:rPr>
      </w:pPr>
      <w:r w:rsidRPr="00465DD2">
        <w:rPr>
          <w:rFonts w:asciiTheme="minorBidi" w:eastAsiaTheme="minorHAnsi" w:hAnsiTheme="minorBidi" w:cstheme="minorBidi"/>
          <w:lang w:val="en-GB" w:eastAsia="en-US" w:bidi="ar-SA"/>
        </w:rPr>
        <w:t>1.</w:t>
      </w:r>
      <w:r w:rsidRPr="00465DD2">
        <w:rPr>
          <w:rFonts w:asciiTheme="minorBidi" w:eastAsiaTheme="minorHAnsi" w:hAnsiTheme="minorBidi" w:cstheme="minorBidi"/>
          <w:lang w:val="en-GB" w:eastAsia="en-US" w:bidi="ar-SA"/>
        </w:rPr>
        <w:tab/>
      </w:r>
      <w:r w:rsidR="000A5C40" w:rsidRPr="00544B42">
        <w:rPr>
          <w:rFonts w:asciiTheme="minorBidi" w:hAnsiTheme="minorBidi"/>
        </w:rPr>
        <w:t>Condonation for the late delivery of the appeal is refused with costs</w:t>
      </w:r>
      <w:r w:rsidR="00515438" w:rsidRPr="00544B42">
        <w:rPr>
          <w:rFonts w:asciiTheme="minorBidi" w:hAnsiTheme="minorBidi"/>
        </w:rPr>
        <w:t>.</w:t>
      </w:r>
    </w:p>
    <w:p w14:paraId="16585A5A" w14:textId="05F1C57C" w:rsidR="000A5C40" w:rsidRPr="00544B42" w:rsidRDefault="00544B42" w:rsidP="00544B42">
      <w:pPr>
        <w:tabs>
          <w:tab w:val="left" w:pos="0"/>
        </w:tabs>
        <w:spacing w:line="360" w:lineRule="auto"/>
        <w:jc w:val="both"/>
        <w:rPr>
          <w:rFonts w:asciiTheme="minorBidi" w:hAnsiTheme="minorBidi"/>
        </w:rPr>
      </w:pPr>
      <w:r w:rsidRPr="00465DD2">
        <w:rPr>
          <w:rFonts w:asciiTheme="minorBidi" w:eastAsiaTheme="minorHAnsi" w:hAnsiTheme="minorBidi" w:cstheme="minorBidi"/>
          <w:lang w:val="en-GB" w:eastAsia="en-US" w:bidi="ar-SA"/>
        </w:rPr>
        <w:t>2.</w:t>
      </w:r>
      <w:r w:rsidRPr="00465DD2">
        <w:rPr>
          <w:rFonts w:asciiTheme="minorBidi" w:eastAsiaTheme="minorHAnsi" w:hAnsiTheme="minorBidi" w:cstheme="minorBidi"/>
          <w:lang w:val="en-GB" w:eastAsia="en-US" w:bidi="ar-SA"/>
        </w:rPr>
        <w:tab/>
      </w:r>
      <w:r w:rsidR="000A5C40" w:rsidRPr="00544B42">
        <w:rPr>
          <w:rFonts w:asciiTheme="minorBidi" w:hAnsiTheme="minorBidi"/>
        </w:rPr>
        <w:t xml:space="preserve">The appeal is </w:t>
      </w:r>
      <w:r w:rsidR="00732671" w:rsidRPr="00544B42">
        <w:rPr>
          <w:rFonts w:asciiTheme="minorBidi" w:hAnsiTheme="minorBidi"/>
        </w:rPr>
        <w:t>struck from the roll.</w:t>
      </w:r>
    </w:p>
    <w:p w14:paraId="23A4F43E" w14:textId="77777777" w:rsidR="008D3273" w:rsidRPr="007B0DD3" w:rsidRDefault="008D3273" w:rsidP="00FB4039">
      <w:pPr>
        <w:pBdr>
          <w:bottom w:val="single" w:sz="12" w:space="1" w:color="auto"/>
        </w:pBdr>
        <w:spacing w:line="360" w:lineRule="auto"/>
        <w:jc w:val="both"/>
        <w:rPr>
          <w:rFonts w:asciiTheme="minorBidi" w:hAnsiTheme="minorBidi"/>
          <w:b/>
          <w:bCs/>
        </w:rPr>
      </w:pPr>
    </w:p>
    <w:p w14:paraId="0A3AA6A6" w14:textId="77777777" w:rsidR="008D3273" w:rsidRPr="007B0DD3" w:rsidRDefault="008D3273" w:rsidP="00E4410F">
      <w:pPr>
        <w:jc w:val="both"/>
        <w:rPr>
          <w:rFonts w:asciiTheme="minorBidi" w:hAnsiTheme="minorBidi"/>
          <w:b/>
          <w:bCs/>
        </w:rPr>
      </w:pPr>
    </w:p>
    <w:p w14:paraId="0717E3A8" w14:textId="77777777" w:rsidR="008D3273" w:rsidRPr="007B0DD3" w:rsidRDefault="008D3273" w:rsidP="00E4410F">
      <w:pPr>
        <w:pBdr>
          <w:bottom w:val="single" w:sz="12" w:space="1" w:color="auto"/>
        </w:pBdr>
        <w:jc w:val="center"/>
        <w:rPr>
          <w:rFonts w:asciiTheme="minorBidi" w:hAnsiTheme="minorBidi"/>
          <w:b/>
          <w:bCs/>
        </w:rPr>
      </w:pPr>
      <w:r w:rsidRPr="007B0DD3">
        <w:rPr>
          <w:rFonts w:asciiTheme="minorBidi" w:hAnsiTheme="minorBidi"/>
          <w:b/>
          <w:bCs/>
        </w:rPr>
        <w:t>JUDGMENT</w:t>
      </w:r>
    </w:p>
    <w:p w14:paraId="3A856418" w14:textId="77777777" w:rsidR="008D3273" w:rsidRPr="007B0DD3" w:rsidRDefault="008D3273" w:rsidP="00E4410F">
      <w:pPr>
        <w:pBdr>
          <w:bottom w:val="single" w:sz="12" w:space="1" w:color="auto"/>
        </w:pBdr>
        <w:jc w:val="both"/>
        <w:rPr>
          <w:rFonts w:asciiTheme="minorBidi" w:hAnsiTheme="minorBidi"/>
          <w:b/>
          <w:bCs/>
        </w:rPr>
      </w:pPr>
    </w:p>
    <w:p w14:paraId="2A5DD22C" w14:textId="77777777" w:rsidR="00E35570" w:rsidRDefault="00E35570" w:rsidP="008418D6">
      <w:pPr>
        <w:spacing w:line="360" w:lineRule="auto"/>
        <w:jc w:val="both"/>
        <w:rPr>
          <w:rFonts w:asciiTheme="minorBidi" w:hAnsiTheme="minorBidi"/>
          <w:b/>
        </w:rPr>
      </w:pPr>
    </w:p>
    <w:p w14:paraId="6C54B993" w14:textId="269E4D47" w:rsidR="008D3273" w:rsidRDefault="008D3273" w:rsidP="000803FD">
      <w:pPr>
        <w:spacing w:line="360" w:lineRule="auto"/>
        <w:jc w:val="both"/>
        <w:rPr>
          <w:rFonts w:asciiTheme="minorBidi" w:hAnsiTheme="minorBidi"/>
          <w:bCs/>
        </w:rPr>
      </w:pPr>
      <w:r w:rsidRPr="007B0DD3">
        <w:rPr>
          <w:rFonts w:asciiTheme="minorBidi" w:hAnsiTheme="minorBidi"/>
          <w:b/>
        </w:rPr>
        <w:t xml:space="preserve">Mossop </w:t>
      </w:r>
      <w:r>
        <w:rPr>
          <w:rFonts w:asciiTheme="minorBidi" w:hAnsiTheme="minorBidi"/>
          <w:b/>
        </w:rPr>
        <w:t>J</w:t>
      </w:r>
      <w:r w:rsidR="00B91D13">
        <w:rPr>
          <w:rFonts w:asciiTheme="minorBidi" w:hAnsiTheme="minorBidi"/>
          <w:b/>
        </w:rPr>
        <w:t xml:space="preserve"> (Singh AJ concurring)</w:t>
      </w:r>
      <w:r>
        <w:rPr>
          <w:rFonts w:asciiTheme="minorBidi" w:hAnsiTheme="minorBidi"/>
          <w:bCs/>
        </w:rPr>
        <w:t>:</w:t>
      </w:r>
    </w:p>
    <w:p w14:paraId="483363D2" w14:textId="57B24F3D" w:rsidR="00000ADA" w:rsidRPr="00544B42" w:rsidRDefault="00544B42" w:rsidP="00544B42">
      <w:pPr>
        <w:spacing w:line="360" w:lineRule="auto"/>
        <w:jc w:val="both"/>
        <w:rPr>
          <w:rFonts w:asciiTheme="minorBidi" w:hAnsiTheme="minorBidi"/>
          <w:bCs/>
        </w:rPr>
      </w:pPr>
      <w:r w:rsidRPr="00B6734B">
        <w:rPr>
          <w:rFonts w:ascii="Arial" w:eastAsiaTheme="minorHAnsi" w:hAnsi="Arial" w:cs="Arial"/>
          <w:bCs/>
          <w:lang w:val="en-GB" w:eastAsia="en-US" w:bidi="ar-SA"/>
        </w:rPr>
        <w:lastRenderedPageBreak/>
        <w:t>[1]</w:t>
      </w:r>
      <w:r w:rsidRPr="00B6734B">
        <w:rPr>
          <w:rFonts w:ascii="Arial" w:eastAsiaTheme="minorHAnsi" w:hAnsi="Arial" w:cs="Arial"/>
          <w:bCs/>
          <w:lang w:val="en-GB" w:eastAsia="en-US" w:bidi="ar-SA"/>
        </w:rPr>
        <w:tab/>
      </w:r>
      <w:r w:rsidR="00000ADA" w:rsidRPr="00544B42">
        <w:rPr>
          <w:rFonts w:asciiTheme="minorBidi" w:hAnsiTheme="minorBidi"/>
          <w:bCs/>
        </w:rPr>
        <w:t xml:space="preserve">On </w:t>
      </w:r>
      <w:r w:rsidR="00B6734B" w:rsidRPr="00544B42">
        <w:rPr>
          <w:rFonts w:asciiTheme="minorBidi" w:hAnsiTheme="minorBidi"/>
          <w:bCs/>
        </w:rPr>
        <w:t>7 June 2014</w:t>
      </w:r>
      <w:r w:rsidR="00000ADA" w:rsidRPr="00544B42">
        <w:rPr>
          <w:rFonts w:asciiTheme="minorBidi" w:hAnsiTheme="minorBidi"/>
          <w:bCs/>
        </w:rPr>
        <w:t>, the appellant was shot by a member of the public</w:t>
      </w:r>
      <w:r w:rsidR="00D52D34" w:rsidRPr="00544B42">
        <w:rPr>
          <w:rFonts w:asciiTheme="minorBidi" w:hAnsiTheme="minorBidi"/>
          <w:bCs/>
        </w:rPr>
        <w:t xml:space="preserve">, who I shall refer to as ‘the complainant’, </w:t>
      </w:r>
      <w:r w:rsidR="00000ADA" w:rsidRPr="00544B42">
        <w:rPr>
          <w:rFonts w:asciiTheme="minorBidi" w:hAnsiTheme="minorBidi"/>
          <w:bCs/>
        </w:rPr>
        <w:t xml:space="preserve">who believed </w:t>
      </w:r>
      <w:r w:rsidR="000018AB" w:rsidRPr="00544B42">
        <w:rPr>
          <w:rFonts w:asciiTheme="minorBidi" w:hAnsiTheme="minorBidi"/>
          <w:bCs/>
        </w:rPr>
        <w:t xml:space="preserve">that </w:t>
      </w:r>
      <w:r w:rsidR="00000ADA" w:rsidRPr="00544B42">
        <w:rPr>
          <w:rFonts w:asciiTheme="minorBidi" w:hAnsiTheme="minorBidi"/>
          <w:bCs/>
        </w:rPr>
        <w:t xml:space="preserve">the appellant had </w:t>
      </w:r>
      <w:r w:rsidR="00076547" w:rsidRPr="00544B42">
        <w:rPr>
          <w:rFonts w:asciiTheme="minorBidi" w:hAnsiTheme="minorBidi"/>
          <w:bCs/>
        </w:rPr>
        <w:t>robbed him of</w:t>
      </w:r>
      <w:r w:rsidR="00000ADA" w:rsidRPr="00544B42">
        <w:rPr>
          <w:rFonts w:asciiTheme="minorBidi" w:hAnsiTheme="minorBidi"/>
          <w:bCs/>
        </w:rPr>
        <w:t xml:space="preserve"> his </w:t>
      </w:r>
      <w:r w:rsidR="00076547" w:rsidRPr="00544B42">
        <w:rPr>
          <w:rFonts w:asciiTheme="minorBidi" w:hAnsiTheme="minorBidi"/>
          <w:bCs/>
        </w:rPr>
        <w:t xml:space="preserve">banking </w:t>
      </w:r>
      <w:r w:rsidR="00000ADA" w:rsidRPr="00544B42">
        <w:rPr>
          <w:rFonts w:asciiTheme="minorBidi" w:hAnsiTheme="minorBidi"/>
          <w:bCs/>
        </w:rPr>
        <w:t xml:space="preserve">card </w:t>
      </w:r>
      <w:r w:rsidR="000018AB" w:rsidRPr="00544B42">
        <w:rPr>
          <w:rFonts w:asciiTheme="minorBidi" w:hAnsiTheme="minorBidi"/>
          <w:bCs/>
        </w:rPr>
        <w:t xml:space="preserve">whilst </w:t>
      </w:r>
      <w:r w:rsidR="00076547" w:rsidRPr="00544B42">
        <w:rPr>
          <w:rFonts w:asciiTheme="minorBidi" w:hAnsiTheme="minorBidi"/>
          <w:bCs/>
        </w:rPr>
        <w:t xml:space="preserve">the complainant was </w:t>
      </w:r>
      <w:r w:rsidR="000018AB" w:rsidRPr="00544B42">
        <w:rPr>
          <w:rFonts w:asciiTheme="minorBidi" w:hAnsiTheme="minorBidi"/>
          <w:bCs/>
        </w:rPr>
        <w:t xml:space="preserve">attempting to perform a transaction at an </w:t>
      </w:r>
      <w:r w:rsidR="00C426DF" w:rsidRPr="00544B42">
        <w:rPr>
          <w:rFonts w:asciiTheme="minorBidi" w:hAnsiTheme="minorBidi"/>
          <w:bCs/>
        </w:rPr>
        <w:t xml:space="preserve">automatic telling machine </w:t>
      </w:r>
      <w:r w:rsidR="0046438F" w:rsidRPr="00544B42">
        <w:rPr>
          <w:rFonts w:asciiTheme="minorBidi" w:hAnsiTheme="minorBidi"/>
          <w:bCs/>
        </w:rPr>
        <w:t xml:space="preserve">(ATM) </w:t>
      </w:r>
      <w:r w:rsidR="000018AB" w:rsidRPr="00544B42">
        <w:rPr>
          <w:rFonts w:asciiTheme="minorBidi" w:hAnsiTheme="minorBidi"/>
          <w:bCs/>
        </w:rPr>
        <w:t>in Mobeni, Durban</w:t>
      </w:r>
      <w:r w:rsidR="00076547" w:rsidRPr="00544B42">
        <w:rPr>
          <w:rFonts w:asciiTheme="minorBidi" w:hAnsiTheme="minorBidi"/>
          <w:bCs/>
        </w:rPr>
        <w:t xml:space="preserve">. </w:t>
      </w:r>
      <w:r w:rsidR="00B91D13" w:rsidRPr="00544B42">
        <w:rPr>
          <w:rFonts w:asciiTheme="minorBidi" w:hAnsiTheme="minorBidi"/>
          <w:bCs/>
        </w:rPr>
        <w:t>The appellant was subsequently pursued by the complainant and was shot by him.</w:t>
      </w:r>
      <w:r w:rsidR="00D52D34" w:rsidRPr="00544B42">
        <w:rPr>
          <w:rFonts w:asciiTheme="minorBidi" w:hAnsiTheme="minorBidi"/>
          <w:bCs/>
        </w:rPr>
        <w:t xml:space="preserve"> </w:t>
      </w:r>
      <w:r w:rsidR="000018AB" w:rsidRPr="00544B42">
        <w:rPr>
          <w:rFonts w:asciiTheme="minorBidi" w:hAnsiTheme="minorBidi"/>
          <w:bCs/>
        </w:rPr>
        <w:t xml:space="preserve">The South African Police Services (SAPS), and an ambulance, were summoned to the scene and the appellant was </w:t>
      </w:r>
      <w:r w:rsidR="00590831" w:rsidRPr="00544B42">
        <w:rPr>
          <w:rFonts w:asciiTheme="minorBidi" w:hAnsiTheme="minorBidi"/>
          <w:bCs/>
        </w:rPr>
        <w:t xml:space="preserve">arrested and </w:t>
      </w:r>
      <w:r w:rsidR="000018AB" w:rsidRPr="00544B42">
        <w:rPr>
          <w:rFonts w:asciiTheme="minorBidi" w:hAnsiTheme="minorBidi"/>
          <w:bCs/>
        </w:rPr>
        <w:t xml:space="preserve">removed to King Edward </w:t>
      </w:r>
      <w:r w:rsidR="00F50252" w:rsidRPr="00544B42">
        <w:rPr>
          <w:rFonts w:asciiTheme="minorBidi" w:hAnsiTheme="minorBidi"/>
          <w:bCs/>
        </w:rPr>
        <w:t xml:space="preserve">VIII </w:t>
      </w:r>
      <w:r w:rsidR="000018AB" w:rsidRPr="00544B42">
        <w:rPr>
          <w:rFonts w:asciiTheme="minorBidi" w:hAnsiTheme="minorBidi"/>
          <w:bCs/>
        </w:rPr>
        <w:t xml:space="preserve">Hospital where he remained for some six weeks recovering from his injury. For </w:t>
      </w:r>
      <w:r w:rsidR="00FB4039" w:rsidRPr="00544B42">
        <w:rPr>
          <w:rFonts w:asciiTheme="minorBidi" w:hAnsiTheme="minorBidi"/>
          <w:bCs/>
        </w:rPr>
        <w:t>a portion of that time</w:t>
      </w:r>
      <w:r w:rsidR="000018AB" w:rsidRPr="00544B42">
        <w:rPr>
          <w:rFonts w:asciiTheme="minorBidi" w:hAnsiTheme="minorBidi"/>
          <w:bCs/>
        </w:rPr>
        <w:t xml:space="preserve">, he was guarded by members of the SAPS and secured to his bed to prevent him </w:t>
      </w:r>
      <w:r w:rsidR="00F50252" w:rsidRPr="00544B42">
        <w:rPr>
          <w:rFonts w:asciiTheme="minorBidi" w:hAnsiTheme="minorBidi"/>
          <w:bCs/>
        </w:rPr>
        <w:t xml:space="preserve">from </w:t>
      </w:r>
      <w:r w:rsidR="000018AB" w:rsidRPr="00544B42">
        <w:rPr>
          <w:rFonts w:asciiTheme="minorBidi" w:hAnsiTheme="minorBidi"/>
          <w:bCs/>
        </w:rPr>
        <w:t xml:space="preserve">leaving both his bed and the hospital. The appellant never appeared in court </w:t>
      </w:r>
      <w:r w:rsidR="00F83FCE" w:rsidRPr="00544B42">
        <w:rPr>
          <w:rFonts w:asciiTheme="minorBidi" w:hAnsiTheme="minorBidi"/>
          <w:bCs/>
        </w:rPr>
        <w:t xml:space="preserve">for some unexplained reason </w:t>
      </w:r>
      <w:r w:rsidR="000018AB" w:rsidRPr="00544B42">
        <w:rPr>
          <w:rFonts w:asciiTheme="minorBidi" w:hAnsiTheme="minorBidi"/>
          <w:bCs/>
        </w:rPr>
        <w:t xml:space="preserve">and ultimately the criminal offence for which he was </w:t>
      </w:r>
      <w:r w:rsidR="00B6734B" w:rsidRPr="00544B42">
        <w:rPr>
          <w:rFonts w:asciiTheme="minorBidi" w:hAnsiTheme="minorBidi"/>
          <w:bCs/>
        </w:rPr>
        <w:t>arrested</w:t>
      </w:r>
      <w:r w:rsidR="000018AB" w:rsidRPr="00544B42">
        <w:rPr>
          <w:rFonts w:asciiTheme="minorBidi" w:hAnsiTheme="minorBidi"/>
          <w:bCs/>
        </w:rPr>
        <w:t xml:space="preserve"> was withdrawn.</w:t>
      </w:r>
    </w:p>
    <w:p w14:paraId="768958A3" w14:textId="77777777" w:rsidR="000018AB" w:rsidRPr="00B6734B" w:rsidRDefault="000018AB" w:rsidP="00B6734B">
      <w:pPr>
        <w:pStyle w:val="ListParagraph"/>
        <w:spacing w:after="0" w:line="360" w:lineRule="auto"/>
        <w:ind w:left="0"/>
        <w:jc w:val="both"/>
        <w:rPr>
          <w:rFonts w:asciiTheme="minorBidi" w:hAnsiTheme="minorBidi"/>
          <w:bCs/>
          <w:sz w:val="24"/>
          <w:szCs w:val="24"/>
        </w:rPr>
      </w:pPr>
    </w:p>
    <w:p w14:paraId="0E1A4DE5" w14:textId="451F7545" w:rsidR="000018AB" w:rsidRPr="00544B42" w:rsidRDefault="00544B42" w:rsidP="00544B42">
      <w:pPr>
        <w:spacing w:line="360" w:lineRule="auto"/>
        <w:jc w:val="both"/>
        <w:rPr>
          <w:rFonts w:asciiTheme="minorBidi" w:hAnsiTheme="minorBidi"/>
          <w:bCs/>
        </w:rPr>
      </w:pPr>
      <w:r w:rsidRPr="00B6734B">
        <w:rPr>
          <w:rFonts w:ascii="Arial" w:eastAsiaTheme="minorHAnsi" w:hAnsi="Arial" w:cs="Arial"/>
          <w:bCs/>
          <w:lang w:val="en-GB" w:eastAsia="en-US" w:bidi="ar-SA"/>
        </w:rPr>
        <w:t>[2</w:t>
      </w:r>
      <w:bookmarkStart w:id="0" w:name="_GoBack"/>
      <w:bookmarkEnd w:id="0"/>
      <w:r w:rsidRPr="00B6734B">
        <w:rPr>
          <w:rFonts w:ascii="Arial" w:eastAsiaTheme="minorHAnsi" w:hAnsi="Arial" w:cs="Arial"/>
          <w:bCs/>
          <w:lang w:val="en-GB" w:eastAsia="en-US" w:bidi="ar-SA"/>
        </w:rPr>
        <w:t>]</w:t>
      </w:r>
      <w:r w:rsidRPr="00B6734B">
        <w:rPr>
          <w:rFonts w:ascii="Arial" w:eastAsiaTheme="minorHAnsi" w:hAnsi="Arial" w:cs="Arial"/>
          <w:bCs/>
          <w:lang w:val="en-GB" w:eastAsia="en-US" w:bidi="ar-SA"/>
        </w:rPr>
        <w:tab/>
      </w:r>
      <w:r w:rsidR="000018AB" w:rsidRPr="00544B42">
        <w:rPr>
          <w:rFonts w:asciiTheme="minorBidi" w:hAnsiTheme="minorBidi"/>
          <w:bCs/>
        </w:rPr>
        <w:t xml:space="preserve">The appellant chose to sue not the </w:t>
      </w:r>
      <w:r w:rsidR="00C426DF" w:rsidRPr="00544B42">
        <w:rPr>
          <w:rFonts w:asciiTheme="minorBidi" w:hAnsiTheme="minorBidi"/>
          <w:bCs/>
        </w:rPr>
        <w:t>complainant</w:t>
      </w:r>
      <w:r w:rsidR="000018AB" w:rsidRPr="00544B42">
        <w:rPr>
          <w:rFonts w:asciiTheme="minorBidi" w:hAnsiTheme="minorBidi"/>
          <w:bCs/>
        </w:rPr>
        <w:t xml:space="preserve"> who shot him, but </w:t>
      </w:r>
      <w:r w:rsidR="00C426DF" w:rsidRPr="00544B42">
        <w:rPr>
          <w:rFonts w:asciiTheme="minorBidi" w:hAnsiTheme="minorBidi"/>
          <w:bCs/>
        </w:rPr>
        <w:t xml:space="preserve">rather </w:t>
      </w:r>
      <w:r w:rsidR="000018AB" w:rsidRPr="00544B42">
        <w:rPr>
          <w:rFonts w:asciiTheme="minorBidi" w:hAnsiTheme="minorBidi"/>
          <w:bCs/>
        </w:rPr>
        <w:t>the Minister of Police.</w:t>
      </w:r>
      <w:r w:rsidR="00D70C60" w:rsidRPr="00544B42">
        <w:rPr>
          <w:rFonts w:asciiTheme="minorBidi" w:hAnsiTheme="minorBidi"/>
          <w:bCs/>
        </w:rPr>
        <w:t xml:space="preserve"> He claimed in his particulars of claim that he was unlawfully arrested and detained by members of the SAPS at King Edward </w:t>
      </w:r>
      <w:r w:rsidR="00F50252" w:rsidRPr="00544B42">
        <w:rPr>
          <w:rFonts w:asciiTheme="minorBidi" w:hAnsiTheme="minorBidi"/>
          <w:bCs/>
        </w:rPr>
        <w:t xml:space="preserve">VIII </w:t>
      </w:r>
      <w:r w:rsidR="00D70C60" w:rsidRPr="00544B42">
        <w:rPr>
          <w:rFonts w:asciiTheme="minorBidi" w:hAnsiTheme="minorBidi"/>
          <w:bCs/>
        </w:rPr>
        <w:t>Hospital. To this the respondent pleaded</w:t>
      </w:r>
      <w:r w:rsidR="00584FA0" w:rsidRPr="00544B42">
        <w:rPr>
          <w:rFonts w:asciiTheme="minorBidi" w:hAnsiTheme="minorBidi"/>
          <w:bCs/>
        </w:rPr>
        <w:t>,</w:t>
      </w:r>
      <w:r w:rsidR="00D70C60" w:rsidRPr="00544B42">
        <w:rPr>
          <w:rFonts w:asciiTheme="minorBidi" w:hAnsiTheme="minorBidi"/>
          <w:bCs/>
        </w:rPr>
        <w:t xml:space="preserve"> in an amended plea</w:t>
      </w:r>
      <w:r w:rsidR="009B5C04" w:rsidRPr="00544B42">
        <w:rPr>
          <w:rFonts w:asciiTheme="minorBidi" w:hAnsiTheme="minorBidi"/>
          <w:bCs/>
        </w:rPr>
        <w:t>,</w:t>
      </w:r>
      <w:r w:rsidR="00D70C60" w:rsidRPr="00544B42">
        <w:rPr>
          <w:rFonts w:asciiTheme="minorBidi" w:hAnsiTheme="minorBidi"/>
          <w:bCs/>
        </w:rPr>
        <w:t xml:space="preserve"> that the SAPS </w:t>
      </w:r>
      <w:r w:rsidR="00D52D34" w:rsidRPr="00544B42">
        <w:rPr>
          <w:rFonts w:asciiTheme="minorBidi" w:hAnsiTheme="minorBidi"/>
          <w:bCs/>
        </w:rPr>
        <w:t>members</w:t>
      </w:r>
      <w:r w:rsidR="00D70C60" w:rsidRPr="00544B42">
        <w:rPr>
          <w:rFonts w:asciiTheme="minorBidi" w:hAnsiTheme="minorBidi"/>
          <w:bCs/>
        </w:rPr>
        <w:t xml:space="preserve"> involved in the arrest of the appellant had a reasonable suspicion that the appellant had committed a </w:t>
      </w:r>
      <w:r w:rsidR="009B5C04" w:rsidRPr="00544B42">
        <w:rPr>
          <w:rFonts w:asciiTheme="minorBidi" w:hAnsiTheme="minorBidi"/>
          <w:bCs/>
        </w:rPr>
        <w:t xml:space="preserve">Schedule </w:t>
      </w:r>
      <w:r w:rsidR="00B91D13" w:rsidRPr="00544B42">
        <w:rPr>
          <w:rFonts w:asciiTheme="minorBidi" w:hAnsiTheme="minorBidi"/>
          <w:bCs/>
        </w:rPr>
        <w:t>1</w:t>
      </w:r>
      <w:r w:rsidR="00D70C60" w:rsidRPr="00544B42">
        <w:rPr>
          <w:rFonts w:asciiTheme="minorBidi" w:hAnsiTheme="minorBidi"/>
          <w:bCs/>
        </w:rPr>
        <w:t xml:space="preserve"> offence, namely attempted murder and attempted armed robbery. Thus, so it was pleaded, the arrest of the appellant was justified and lawful in terms of section 40(1)</w:t>
      </w:r>
      <w:r w:rsidR="00D70C60" w:rsidRPr="00544B42">
        <w:rPr>
          <w:rFonts w:asciiTheme="minorBidi" w:hAnsiTheme="minorBidi"/>
          <w:bCs/>
          <w:i/>
        </w:rPr>
        <w:t>(b)</w:t>
      </w:r>
      <w:r w:rsidR="00D70C60" w:rsidRPr="00544B42">
        <w:rPr>
          <w:rFonts w:asciiTheme="minorBidi" w:hAnsiTheme="minorBidi"/>
          <w:bCs/>
        </w:rPr>
        <w:t xml:space="preserve"> of the Criminal Procedure Act 51 of 1977</w:t>
      </w:r>
      <w:r w:rsidR="0001183D" w:rsidRPr="00544B42">
        <w:rPr>
          <w:rFonts w:asciiTheme="minorBidi" w:hAnsiTheme="minorBidi"/>
          <w:bCs/>
        </w:rPr>
        <w:t xml:space="preserve"> (the Act)</w:t>
      </w:r>
      <w:r w:rsidR="00D70C60" w:rsidRPr="00544B42">
        <w:rPr>
          <w:rFonts w:asciiTheme="minorBidi" w:hAnsiTheme="minorBidi"/>
          <w:bCs/>
        </w:rPr>
        <w:t>.</w:t>
      </w:r>
    </w:p>
    <w:p w14:paraId="222AF43A" w14:textId="77777777" w:rsidR="00F8061C" w:rsidRPr="00B6734B" w:rsidRDefault="00F8061C" w:rsidP="00803207">
      <w:pPr>
        <w:pStyle w:val="ListParagraph"/>
        <w:spacing w:after="0" w:line="360" w:lineRule="auto"/>
        <w:rPr>
          <w:rFonts w:asciiTheme="minorBidi" w:hAnsiTheme="minorBidi"/>
          <w:bCs/>
          <w:sz w:val="24"/>
          <w:szCs w:val="24"/>
        </w:rPr>
      </w:pPr>
    </w:p>
    <w:p w14:paraId="64E82B16" w14:textId="2130F2C6" w:rsidR="00F8061C" w:rsidRPr="00544B42" w:rsidRDefault="00544B42" w:rsidP="00544B42">
      <w:pPr>
        <w:spacing w:line="360" w:lineRule="auto"/>
        <w:jc w:val="both"/>
        <w:rPr>
          <w:rFonts w:asciiTheme="minorBidi" w:hAnsiTheme="minorBidi"/>
          <w:bCs/>
        </w:rPr>
      </w:pPr>
      <w:r>
        <w:rPr>
          <w:rFonts w:ascii="Arial" w:eastAsiaTheme="minorHAnsi" w:hAnsi="Arial" w:cs="Arial"/>
          <w:bCs/>
          <w:lang w:val="en-GB" w:eastAsia="en-US" w:bidi="ar-SA"/>
        </w:rPr>
        <w:t>[3]</w:t>
      </w:r>
      <w:r>
        <w:rPr>
          <w:rFonts w:ascii="Arial" w:eastAsiaTheme="minorHAnsi" w:hAnsi="Arial" w:cs="Arial"/>
          <w:bCs/>
          <w:lang w:val="en-GB" w:eastAsia="en-US" w:bidi="ar-SA"/>
        </w:rPr>
        <w:tab/>
      </w:r>
      <w:r w:rsidR="00F8061C" w:rsidRPr="00544B42">
        <w:rPr>
          <w:rFonts w:asciiTheme="minorBidi" w:hAnsiTheme="minorBidi"/>
          <w:bCs/>
        </w:rPr>
        <w:t xml:space="preserve">On 26 March 2021, the appellant’s claim </w:t>
      </w:r>
      <w:r w:rsidR="00F50252" w:rsidRPr="00544B42">
        <w:rPr>
          <w:rFonts w:asciiTheme="minorBidi" w:hAnsiTheme="minorBidi"/>
          <w:bCs/>
        </w:rPr>
        <w:t xml:space="preserve">against the respondent </w:t>
      </w:r>
      <w:r w:rsidR="00F8061C" w:rsidRPr="00544B42">
        <w:rPr>
          <w:rFonts w:asciiTheme="minorBidi" w:hAnsiTheme="minorBidi"/>
          <w:bCs/>
        </w:rPr>
        <w:t xml:space="preserve">was dismissed in the Durban Regional Court. It is against this decision that the appellant brings this appeal. </w:t>
      </w:r>
      <w:r w:rsidR="00F50252" w:rsidRPr="00544B42">
        <w:rPr>
          <w:rFonts w:asciiTheme="minorBidi" w:hAnsiTheme="minorBidi"/>
          <w:bCs/>
        </w:rPr>
        <w:t>In furtherance of this appeal, o</w:t>
      </w:r>
      <w:r w:rsidR="00F8061C" w:rsidRPr="00544B42">
        <w:rPr>
          <w:rFonts w:asciiTheme="minorBidi" w:hAnsiTheme="minorBidi"/>
          <w:bCs/>
        </w:rPr>
        <w:t>n 7 April 2021</w:t>
      </w:r>
      <w:r w:rsidR="00E20AD8" w:rsidRPr="00544B42">
        <w:rPr>
          <w:rFonts w:asciiTheme="minorBidi" w:hAnsiTheme="minorBidi"/>
          <w:bCs/>
        </w:rPr>
        <w:t>,</w:t>
      </w:r>
      <w:r w:rsidR="00F8061C" w:rsidRPr="00544B42">
        <w:rPr>
          <w:rFonts w:asciiTheme="minorBidi" w:hAnsiTheme="minorBidi"/>
          <w:bCs/>
        </w:rPr>
        <w:t xml:space="preserve"> the appellant’s attorneys requested the regional magistrate to provide </w:t>
      </w:r>
      <w:r w:rsidR="00B6734B" w:rsidRPr="00544B42">
        <w:rPr>
          <w:rFonts w:asciiTheme="minorBidi" w:hAnsiTheme="minorBidi"/>
          <w:bCs/>
        </w:rPr>
        <w:t xml:space="preserve">reasons for his judgment. On 17 May 2021 those reasons were provided. </w:t>
      </w:r>
      <w:r w:rsidR="00F8061C" w:rsidRPr="00544B42">
        <w:rPr>
          <w:rFonts w:asciiTheme="minorBidi" w:hAnsiTheme="minorBidi"/>
          <w:bCs/>
        </w:rPr>
        <w:t>The appeal, however, was only noted on 27 July 2022, some 1</w:t>
      </w:r>
      <w:r w:rsidR="00B6734B" w:rsidRPr="00544B42">
        <w:rPr>
          <w:rFonts w:asciiTheme="minorBidi" w:hAnsiTheme="minorBidi"/>
          <w:bCs/>
        </w:rPr>
        <w:t>4</w:t>
      </w:r>
      <w:r w:rsidR="00F8061C" w:rsidRPr="00544B42">
        <w:rPr>
          <w:rFonts w:asciiTheme="minorBidi" w:hAnsiTheme="minorBidi"/>
          <w:bCs/>
        </w:rPr>
        <w:t xml:space="preserve"> months </w:t>
      </w:r>
      <w:r w:rsidR="00B6734B" w:rsidRPr="00544B42">
        <w:rPr>
          <w:rFonts w:asciiTheme="minorBidi" w:hAnsiTheme="minorBidi"/>
          <w:bCs/>
        </w:rPr>
        <w:t>later.</w:t>
      </w:r>
    </w:p>
    <w:p w14:paraId="39C9D8EA" w14:textId="77777777" w:rsidR="00803207" w:rsidRPr="00803207" w:rsidRDefault="00803207" w:rsidP="00FE759B">
      <w:pPr>
        <w:pStyle w:val="ListParagraph"/>
        <w:spacing w:after="0" w:line="360" w:lineRule="auto"/>
        <w:rPr>
          <w:rFonts w:asciiTheme="minorBidi" w:hAnsiTheme="minorBidi"/>
          <w:bCs/>
          <w:sz w:val="24"/>
          <w:szCs w:val="24"/>
        </w:rPr>
      </w:pPr>
    </w:p>
    <w:p w14:paraId="0F934E65" w14:textId="3B532F16" w:rsidR="00803207" w:rsidRPr="00544B42" w:rsidRDefault="00544B42" w:rsidP="00544B42">
      <w:pPr>
        <w:spacing w:line="360" w:lineRule="auto"/>
        <w:jc w:val="both"/>
        <w:rPr>
          <w:rFonts w:asciiTheme="minorBidi" w:hAnsiTheme="minorBidi"/>
        </w:rPr>
      </w:pPr>
      <w:r w:rsidRPr="00803207">
        <w:rPr>
          <w:rFonts w:ascii="Arial" w:eastAsiaTheme="minorHAnsi" w:hAnsi="Arial" w:cs="Arial"/>
          <w:szCs w:val="22"/>
          <w:lang w:val="en-GB" w:eastAsia="en-US" w:bidi="ar-SA"/>
        </w:rPr>
        <w:t>[4]</w:t>
      </w:r>
      <w:r w:rsidRPr="00803207">
        <w:rPr>
          <w:rFonts w:ascii="Arial" w:eastAsiaTheme="minorHAnsi" w:hAnsi="Arial" w:cs="Arial"/>
          <w:szCs w:val="22"/>
          <w:lang w:val="en-GB" w:eastAsia="en-US" w:bidi="ar-SA"/>
        </w:rPr>
        <w:tab/>
      </w:r>
      <w:r w:rsidR="00803207" w:rsidRPr="00544B42">
        <w:rPr>
          <w:rFonts w:asciiTheme="minorBidi" w:hAnsiTheme="minorBidi"/>
          <w:bCs/>
        </w:rPr>
        <w:t>Rule 5</w:t>
      </w:r>
      <w:r w:rsidR="000B3EDD" w:rsidRPr="00544B42">
        <w:rPr>
          <w:rFonts w:asciiTheme="minorBidi" w:hAnsiTheme="minorBidi"/>
          <w:bCs/>
        </w:rPr>
        <w:t>1</w:t>
      </w:r>
      <w:r w:rsidR="00803207" w:rsidRPr="00544B42">
        <w:rPr>
          <w:rFonts w:asciiTheme="minorBidi" w:hAnsiTheme="minorBidi"/>
          <w:bCs/>
        </w:rPr>
        <w:t>(</w:t>
      </w:r>
      <w:r w:rsidR="000B3EDD" w:rsidRPr="00544B42">
        <w:rPr>
          <w:rFonts w:asciiTheme="minorBidi" w:hAnsiTheme="minorBidi"/>
          <w:bCs/>
        </w:rPr>
        <w:t>3</w:t>
      </w:r>
      <w:r w:rsidR="00803207" w:rsidRPr="00544B42">
        <w:rPr>
          <w:rFonts w:asciiTheme="minorBidi" w:hAnsiTheme="minorBidi"/>
          <w:bCs/>
        </w:rPr>
        <w:t xml:space="preserve">) </w:t>
      </w:r>
      <w:r w:rsidR="000B3EDD" w:rsidRPr="00544B42">
        <w:rPr>
          <w:rFonts w:asciiTheme="minorBidi" w:hAnsiTheme="minorBidi"/>
          <w:bCs/>
        </w:rPr>
        <w:t>of the Magistrate</w:t>
      </w:r>
      <w:r w:rsidR="00E20AD8" w:rsidRPr="00544B42">
        <w:rPr>
          <w:rFonts w:asciiTheme="minorBidi" w:hAnsiTheme="minorBidi"/>
          <w:bCs/>
        </w:rPr>
        <w:t>s</w:t>
      </w:r>
      <w:r w:rsidR="000B3EDD" w:rsidRPr="00544B42">
        <w:rPr>
          <w:rFonts w:asciiTheme="minorBidi" w:hAnsiTheme="minorBidi"/>
          <w:bCs/>
        </w:rPr>
        <w:t xml:space="preserve">’ Court Rules </w:t>
      </w:r>
      <w:r w:rsidR="00803207" w:rsidRPr="00544B42">
        <w:rPr>
          <w:rFonts w:asciiTheme="minorBidi" w:hAnsiTheme="minorBidi"/>
          <w:bCs/>
        </w:rPr>
        <w:t xml:space="preserve">provides as follows: </w:t>
      </w:r>
    </w:p>
    <w:p w14:paraId="7B3E0487" w14:textId="26C6F06E" w:rsidR="000B3EDD" w:rsidRPr="00743133" w:rsidRDefault="00803207" w:rsidP="000B3EDD">
      <w:pPr>
        <w:pStyle w:val="onenormal"/>
        <w:ind w:left="0" w:firstLine="0"/>
        <w:rPr>
          <w:color w:val="000000"/>
          <w:sz w:val="22"/>
        </w:rPr>
      </w:pPr>
      <w:r w:rsidRPr="00743133">
        <w:rPr>
          <w:rFonts w:asciiTheme="minorBidi" w:hAnsiTheme="minorBidi"/>
          <w:sz w:val="22"/>
        </w:rPr>
        <w:t>‘</w:t>
      </w:r>
      <w:r w:rsidR="000B3EDD" w:rsidRPr="00743133">
        <w:rPr>
          <w:color w:val="000000"/>
          <w:sz w:val="22"/>
        </w:rPr>
        <w:t>An appeal may be noted within 20 days after the date of a judgment appealed against or within 20 days after the registrar or clerk of the court has supplied a copy of the judgment in writing to the party applying therefor, whichever period shall be the longer.</w:t>
      </w:r>
      <w:r w:rsidR="004633FB" w:rsidRPr="00743133">
        <w:rPr>
          <w:color w:val="000000"/>
          <w:sz w:val="22"/>
        </w:rPr>
        <w:t>’</w:t>
      </w:r>
    </w:p>
    <w:p w14:paraId="213333D0" w14:textId="1540B2EB" w:rsidR="00803207" w:rsidRDefault="00803207" w:rsidP="00FE759B">
      <w:pPr>
        <w:pStyle w:val="ListParagraph"/>
        <w:spacing w:after="0" w:line="360" w:lineRule="auto"/>
        <w:ind w:left="0"/>
        <w:jc w:val="both"/>
        <w:rPr>
          <w:rFonts w:asciiTheme="minorBidi" w:hAnsiTheme="minorBidi"/>
        </w:rPr>
      </w:pPr>
    </w:p>
    <w:p w14:paraId="4457721A" w14:textId="7FB62682" w:rsidR="00803207" w:rsidRDefault="00C224BE" w:rsidP="00C224BE">
      <w:pPr>
        <w:pStyle w:val="ListParagraph"/>
        <w:spacing w:after="0" w:line="360" w:lineRule="auto"/>
        <w:ind w:left="0"/>
        <w:jc w:val="both"/>
        <w:rPr>
          <w:rFonts w:asciiTheme="minorBidi" w:hAnsiTheme="minorBidi"/>
          <w:sz w:val="24"/>
          <w:szCs w:val="24"/>
        </w:rPr>
      </w:pPr>
      <w:r>
        <w:rPr>
          <w:rFonts w:asciiTheme="minorBidi" w:hAnsiTheme="minorBidi"/>
          <w:sz w:val="24"/>
          <w:szCs w:val="24"/>
        </w:rPr>
        <w:lastRenderedPageBreak/>
        <w:t>From the brief narration of facts referred to above, it is apparent that this appeal was not noted within 20 days of the regional magistrate delivering his reasons.</w:t>
      </w:r>
    </w:p>
    <w:p w14:paraId="69C12A7B" w14:textId="77777777" w:rsidR="00F50252" w:rsidRDefault="00F50252" w:rsidP="00FE759B">
      <w:pPr>
        <w:pStyle w:val="ListParagraph"/>
        <w:spacing w:after="0" w:line="360" w:lineRule="auto"/>
        <w:ind w:left="0"/>
        <w:jc w:val="both"/>
        <w:rPr>
          <w:rFonts w:asciiTheme="minorBidi" w:hAnsiTheme="minorBidi"/>
          <w:sz w:val="24"/>
          <w:szCs w:val="24"/>
        </w:rPr>
      </w:pPr>
    </w:p>
    <w:p w14:paraId="3287A520" w14:textId="01E1A54D" w:rsidR="00B26B30" w:rsidRPr="00544B42" w:rsidRDefault="00544B42" w:rsidP="00544B42">
      <w:pPr>
        <w:spacing w:line="360" w:lineRule="auto"/>
        <w:jc w:val="both"/>
        <w:rPr>
          <w:rFonts w:ascii="Arial" w:hAnsi="Arial" w:cs="Arial"/>
        </w:rPr>
      </w:pPr>
      <w:r w:rsidRPr="00FE759B">
        <w:rPr>
          <w:rFonts w:ascii="Arial" w:eastAsiaTheme="minorHAnsi" w:hAnsi="Arial" w:cs="Arial"/>
          <w:lang w:val="en-GB" w:eastAsia="en-US" w:bidi="ar-SA"/>
        </w:rPr>
        <w:t>[5]</w:t>
      </w:r>
      <w:r w:rsidRPr="00FE759B">
        <w:rPr>
          <w:rFonts w:ascii="Arial" w:eastAsiaTheme="minorHAnsi" w:hAnsi="Arial" w:cs="Arial"/>
          <w:lang w:val="en-GB" w:eastAsia="en-US" w:bidi="ar-SA"/>
        </w:rPr>
        <w:tab/>
      </w:r>
      <w:r w:rsidR="00B6734B" w:rsidRPr="00544B42">
        <w:rPr>
          <w:rFonts w:asciiTheme="minorBidi" w:hAnsiTheme="minorBidi"/>
          <w:bCs/>
        </w:rPr>
        <w:t>The appellant has brought an application that seeks to condone his delay</w:t>
      </w:r>
      <w:r w:rsidR="004568B6" w:rsidRPr="00544B42">
        <w:rPr>
          <w:rFonts w:asciiTheme="minorBidi" w:hAnsiTheme="minorBidi"/>
          <w:bCs/>
        </w:rPr>
        <w:t xml:space="preserve"> in </w:t>
      </w:r>
      <w:r w:rsidR="00C224BE" w:rsidRPr="00544B42">
        <w:rPr>
          <w:rFonts w:asciiTheme="minorBidi" w:hAnsiTheme="minorBidi"/>
          <w:bCs/>
        </w:rPr>
        <w:t>not</w:t>
      </w:r>
      <w:r w:rsidR="004568B6" w:rsidRPr="00544B42">
        <w:rPr>
          <w:rFonts w:asciiTheme="minorBidi" w:hAnsiTheme="minorBidi"/>
          <w:bCs/>
        </w:rPr>
        <w:t>ing this appeal.</w:t>
      </w:r>
      <w:r w:rsidR="00B26B30" w:rsidRPr="00544B42">
        <w:rPr>
          <w:rFonts w:asciiTheme="minorBidi" w:hAnsiTheme="minorBidi"/>
          <w:bCs/>
        </w:rPr>
        <w:t xml:space="preserve"> </w:t>
      </w:r>
      <w:r w:rsidR="00BF4F78" w:rsidRPr="00544B42">
        <w:rPr>
          <w:rFonts w:ascii="Arial" w:hAnsi="Arial" w:cs="Arial"/>
        </w:rPr>
        <w:t xml:space="preserve">The appellant’s explanation for not bringing this appeal timeously </w:t>
      </w:r>
      <w:r w:rsidR="00D52D34" w:rsidRPr="00544B42">
        <w:rPr>
          <w:rFonts w:ascii="Arial" w:hAnsi="Arial" w:cs="Arial"/>
        </w:rPr>
        <w:t>encompasses a large variety of factors.</w:t>
      </w:r>
      <w:r w:rsidR="004225FB" w:rsidRPr="00544B42">
        <w:rPr>
          <w:rFonts w:ascii="Arial" w:hAnsi="Arial" w:cs="Arial"/>
        </w:rPr>
        <w:t xml:space="preserve"> They range from </w:t>
      </w:r>
      <w:r w:rsidR="008B29F2" w:rsidRPr="00544B42">
        <w:rPr>
          <w:rFonts w:ascii="Arial" w:hAnsi="Arial" w:cs="Arial"/>
        </w:rPr>
        <w:t>the appellant’s</w:t>
      </w:r>
      <w:r w:rsidR="004225FB" w:rsidRPr="00544B42">
        <w:rPr>
          <w:rFonts w:ascii="Arial" w:hAnsi="Arial" w:cs="Arial"/>
        </w:rPr>
        <w:t xml:space="preserve"> attorney not attending the trial </w:t>
      </w:r>
      <w:r w:rsidR="00367689" w:rsidRPr="00544B42">
        <w:rPr>
          <w:rFonts w:ascii="Arial" w:hAnsi="Arial" w:cs="Arial"/>
        </w:rPr>
        <w:t xml:space="preserve">in the regional court </w:t>
      </w:r>
      <w:r w:rsidR="004225FB" w:rsidRPr="00544B42">
        <w:rPr>
          <w:rFonts w:ascii="Arial" w:hAnsi="Arial" w:cs="Arial"/>
        </w:rPr>
        <w:t xml:space="preserve">and therefore not being </w:t>
      </w:r>
      <w:r w:rsidR="008B29F2" w:rsidRPr="00544B42">
        <w:rPr>
          <w:rFonts w:ascii="Arial" w:hAnsi="Arial" w:cs="Arial"/>
        </w:rPr>
        <w:t>‘</w:t>
      </w:r>
      <w:r w:rsidR="004225FB" w:rsidRPr="00544B42">
        <w:rPr>
          <w:rFonts w:ascii="Arial" w:hAnsi="Arial" w:cs="Arial"/>
        </w:rPr>
        <w:t>familiar</w:t>
      </w:r>
      <w:r w:rsidR="008B29F2" w:rsidRPr="00544B42">
        <w:rPr>
          <w:rFonts w:ascii="Arial" w:hAnsi="Arial" w:cs="Arial"/>
        </w:rPr>
        <w:t>’</w:t>
      </w:r>
      <w:r w:rsidR="004225FB" w:rsidRPr="00544B42">
        <w:rPr>
          <w:rFonts w:ascii="Arial" w:hAnsi="Arial" w:cs="Arial"/>
        </w:rPr>
        <w:t xml:space="preserve"> with what transpired at the trial, to a delay in obtaining the trial transcripts. Interspersed with these allegations are further allegations that the counsel instructed </w:t>
      </w:r>
      <w:r w:rsidR="008B29F2" w:rsidRPr="00544B42">
        <w:rPr>
          <w:rFonts w:ascii="Arial" w:hAnsi="Arial" w:cs="Arial"/>
        </w:rPr>
        <w:t xml:space="preserve">by the appellant’s attorney </w:t>
      </w:r>
      <w:r w:rsidR="004225FB" w:rsidRPr="00544B42">
        <w:rPr>
          <w:rFonts w:ascii="Arial" w:hAnsi="Arial" w:cs="Arial"/>
        </w:rPr>
        <w:t>contracted Covid-19. So severe was the unidentified counsel’s encounter with Covid-19</w:t>
      </w:r>
      <w:r w:rsidR="008B29F2" w:rsidRPr="00544B42">
        <w:rPr>
          <w:rFonts w:ascii="Arial" w:hAnsi="Arial" w:cs="Arial"/>
        </w:rPr>
        <w:t>, that</w:t>
      </w:r>
      <w:r w:rsidR="004225FB" w:rsidRPr="00544B42">
        <w:rPr>
          <w:rFonts w:ascii="Arial" w:hAnsi="Arial" w:cs="Arial"/>
        </w:rPr>
        <w:t xml:space="preserve"> she developed problems with her finger joints and </w:t>
      </w:r>
      <w:r w:rsidR="00FE759B" w:rsidRPr="00544B42">
        <w:rPr>
          <w:rFonts w:ascii="Arial" w:hAnsi="Arial" w:cs="Arial"/>
        </w:rPr>
        <w:t>‘</w:t>
      </w:r>
      <w:r w:rsidR="004225FB" w:rsidRPr="00544B42">
        <w:rPr>
          <w:rFonts w:ascii="Arial" w:hAnsi="Arial" w:cs="Arial"/>
        </w:rPr>
        <w:t xml:space="preserve">typing and working on </w:t>
      </w:r>
      <w:r w:rsidR="00FE759B" w:rsidRPr="00544B42">
        <w:rPr>
          <w:rFonts w:ascii="Arial" w:hAnsi="Arial" w:cs="Arial"/>
        </w:rPr>
        <w:t>my documents</w:t>
      </w:r>
      <w:r w:rsidR="004225FB" w:rsidRPr="00544B42">
        <w:rPr>
          <w:rFonts w:ascii="Arial" w:hAnsi="Arial" w:cs="Arial"/>
        </w:rPr>
        <w:t xml:space="preserve"> became difficult</w:t>
      </w:r>
      <w:r w:rsidR="00EA3FD2" w:rsidRPr="00544B42">
        <w:rPr>
          <w:rFonts w:ascii="Arial" w:hAnsi="Arial" w:cs="Arial"/>
        </w:rPr>
        <w:t>’</w:t>
      </w:r>
      <w:r w:rsidR="004225FB" w:rsidRPr="00544B42">
        <w:rPr>
          <w:rFonts w:ascii="Arial" w:hAnsi="Arial" w:cs="Arial"/>
        </w:rPr>
        <w:t>.</w:t>
      </w:r>
      <w:r w:rsidR="00FE759B" w:rsidRPr="00544B42">
        <w:rPr>
          <w:rFonts w:ascii="Arial" w:hAnsi="Arial" w:cs="Arial"/>
        </w:rPr>
        <w:t xml:space="preserve"> </w:t>
      </w:r>
      <w:r w:rsidR="000403AF" w:rsidRPr="00544B42">
        <w:rPr>
          <w:rFonts w:ascii="Arial" w:hAnsi="Arial" w:cs="Arial"/>
        </w:rPr>
        <w:t xml:space="preserve">Compounding this unfortunate state of affairs, </w:t>
      </w:r>
      <w:r w:rsidR="00584FA0" w:rsidRPr="00544B42">
        <w:rPr>
          <w:rFonts w:ascii="Arial" w:hAnsi="Arial" w:cs="Arial"/>
        </w:rPr>
        <w:t xml:space="preserve">was that </w:t>
      </w:r>
      <w:r w:rsidR="000403AF" w:rsidRPr="00544B42">
        <w:rPr>
          <w:rFonts w:ascii="Arial" w:hAnsi="Arial" w:cs="Arial"/>
        </w:rPr>
        <w:t>n</w:t>
      </w:r>
      <w:r w:rsidR="004225FB" w:rsidRPr="00544B42">
        <w:rPr>
          <w:rFonts w:ascii="Arial" w:hAnsi="Arial" w:cs="Arial"/>
        </w:rPr>
        <w:t>o other counsel could be located who was prepared to work at the low rates quoted by the afflicted counsel.</w:t>
      </w:r>
      <w:r w:rsidR="00AE2F2B" w:rsidRPr="00544B42">
        <w:rPr>
          <w:rFonts w:ascii="Arial" w:hAnsi="Arial" w:cs="Arial"/>
        </w:rPr>
        <w:t xml:space="preserve"> Added to these reasons was a </w:t>
      </w:r>
      <w:r w:rsidR="008B29F2" w:rsidRPr="00544B42">
        <w:rPr>
          <w:rFonts w:ascii="Arial" w:hAnsi="Arial" w:cs="Arial"/>
        </w:rPr>
        <w:t xml:space="preserve">further </w:t>
      </w:r>
      <w:r w:rsidR="00AE2F2B" w:rsidRPr="00544B42">
        <w:rPr>
          <w:rFonts w:ascii="Arial" w:hAnsi="Arial" w:cs="Arial"/>
        </w:rPr>
        <w:t>smorgasbord of social issues:</w:t>
      </w:r>
    </w:p>
    <w:p w14:paraId="18D67A72" w14:textId="77777777" w:rsidR="00AE2F2B" w:rsidRPr="00AE2F2B" w:rsidRDefault="00AE2F2B" w:rsidP="00E07F98">
      <w:pPr>
        <w:pStyle w:val="ListParagraph"/>
        <w:spacing w:after="0" w:line="360" w:lineRule="auto"/>
        <w:ind w:left="0"/>
        <w:jc w:val="both"/>
        <w:rPr>
          <w:rFonts w:asciiTheme="minorBidi" w:hAnsiTheme="minorBidi"/>
          <w:bCs/>
        </w:rPr>
      </w:pPr>
      <w:r w:rsidRPr="00AE2F2B">
        <w:rPr>
          <w:rFonts w:asciiTheme="minorBidi" w:hAnsiTheme="minorBidi"/>
          <w:bCs/>
        </w:rPr>
        <w:t xml:space="preserve">‘… the Pandemic, loss of economy due to looting, the exaggerated rise in </w:t>
      </w:r>
      <w:r>
        <w:rPr>
          <w:rFonts w:asciiTheme="minorBidi" w:hAnsiTheme="minorBidi"/>
          <w:bCs/>
        </w:rPr>
        <w:t>t</w:t>
      </w:r>
      <w:r w:rsidRPr="00AE2F2B">
        <w:rPr>
          <w:rFonts w:asciiTheme="minorBidi" w:hAnsiTheme="minorBidi"/>
          <w:bCs/>
        </w:rPr>
        <w:t>he cost of living and the latest floods</w:t>
      </w:r>
      <w:r>
        <w:rPr>
          <w:rFonts w:asciiTheme="minorBidi" w:hAnsiTheme="minorBidi"/>
          <w:bCs/>
        </w:rPr>
        <w:t xml:space="preserve"> made placing my attorneys in funds almost impossible.’</w:t>
      </w:r>
    </w:p>
    <w:p w14:paraId="77241544" w14:textId="77777777" w:rsidR="00AE2F2B" w:rsidRDefault="000403AF" w:rsidP="00367689">
      <w:pPr>
        <w:pStyle w:val="ListParagraph"/>
        <w:spacing w:after="0" w:line="360" w:lineRule="auto"/>
        <w:ind w:left="0"/>
        <w:jc w:val="both"/>
        <w:rPr>
          <w:rFonts w:asciiTheme="minorBidi" w:hAnsiTheme="minorBidi"/>
          <w:bCs/>
          <w:sz w:val="24"/>
          <w:szCs w:val="24"/>
        </w:rPr>
      </w:pPr>
      <w:r>
        <w:rPr>
          <w:rFonts w:asciiTheme="minorBidi" w:hAnsiTheme="minorBidi"/>
          <w:bCs/>
          <w:sz w:val="24"/>
          <w:szCs w:val="24"/>
        </w:rPr>
        <w:t>However, f</w:t>
      </w:r>
      <w:r w:rsidR="00AE2F2B">
        <w:rPr>
          <w:rFonts w:asciiTheme="minorBidi" w:hAnsiTheme="minorBidi"/>
          <w:bCs/>
          <w:sz w:val="24"/>
          <w:szCs w:val="24"/>
        </w:rPr>
        <w:t xml:space="preserve">rom </w:t>
      </w:r>
      <w:r w:rsidR="00367689">
        <w:rPr>
          <w:rFonts w:asciiTheme="minorBidi" w:hAnsiTheme="minorBidi"/>
          <w:bCs/>
          <w:sz w:val="24"/>
          <w:szCs w:val="24"/>
        </w:rPr>
        <w:t>this</w:t>
      </w:r>
      <w:r w:rsidR="008B29F2">
        <w:rPr>
          <w:rFonts w:asciiTheme="minorBidi" w:hAnsiTheme="minorBidi"/>
          <w:bCs/>
          <w:sz w:val="24"/>
          <w:szCs w:val="24"/>
        </w:rPr>
        <w:t xml:space="preserve"> </w:t>
      </w:r>
      <w:r w:rsidR="00A83213">
        <w:rPr>
          <w:rFonts w:asciiTheme="minorBidi" w:hAnsiTheme="minorBidi"/>
          <w:bCs/>
          <w:sz w:val="24"/>
          <w:szCs w:val="24"/>
        </w:rPr>
        <w:t xml:space="preserve">extract </w:t>
      </w:r>
      <w:r w:rsidR="008B29F2">
        <w:rPr>
          <w:rFonts w:asciiTheme="minorBidi" w:hAnsiTheme="minorBidi"/>
          <w:bCs/>
          <w:sz w:val="24"/>
          <w:szCs w:val="24"/>
        </w:rPr>
        <w:t xml:space="preserve">it appears that the true reason for the </w:t>
      </w:r>
      <w:r w:rsidR="00367689">
        <w:rPr>
          <w:rFonts w:asciiTheme="minorBidi" w:hAnsiTheme="minorBidi"/>
          <w:bCs/>
          <w:sz w:val="24"/>
          <w:szCs w:val="24"/>
        </w:rPr>
        <w:t xml:space="preserve">appellant’s </w:t>
      </w:r>
      <w:r w:rsidR="008B29F2">
        <w:rPr>
          <w:rFonts w:asciiTheme="minorBidi" w:hAnsiTheme="minorBidi"/>
          <w:bCs/>
          <w:sz w:val="24"/>
          <w:szCs w:val="24"/>
        </w:rPr>
        <w:t>delay begins to emerge, namely a lack of funds.</w:t>
      </w:r>
      <w:r w:rsidR="00AE2F2B">
        <w:rPr>
          <w:rFonts w:asciiTheme="minorBidi" w:hAnsiTheme="minorBidi"/>
          <w:bCs/>
          <w:sz w:val="24"/>
          <w:szCs w:val="24"/>
        </w:rPr>
        <w:t xml:space="preserve"> </w:t>
      </w:r>
    </w:p>
    <w:p w14:paraId="3E50D833" w14:textId="77777777" w:rsidR="000257E4" w:rsidRDefault="000257E4" w:rsidP="00367689">
      <w:pPr>
        <w:pStyle w:val="ListParagraph"/>
        <w:spacing w:after="0" w:line="360" w:lineRule="auto"/>
        <w:ind w:left="0"/>
        <w:jc w:val="both"/>
        <w:rPr>
          <w:rFonts w:asciiTheme="minorBidi" w:hAnsiTheme="minorBidi"/>
          <w:bCs/>
          <w:sz w:val="24"/>
          <w:szCs w:val="24"/>
        </w:rPr>
      </w:pPr>
    </w:p>
    <w:p w14:paraId="3B90582D" w14:textId="6613A2A9" w:rsidR="003B01F3" w:rsidRPr="00CF76DF" w:rsidRDefault="00544B42" w:rsidP="00544B42">
      <w:pPr>
        <w:pStyle w:val="NormalWeb"/>
        <w:shd w:val="clear" w:color="auto" w:fill="FFFFFF"/>
        <w:tabs>
          <w:tab w:val="left" w:pos="709"/>
        </w:tabs>
        <w:spacing w:before="0" w:beforeAutospacing="0" w:after="0" w:afterAutospacing="0" w:line="360" w:lineRule="auto"/>
        <w:jc w:val="both"/>
        <w:rPr>
          <w:rFonts w:asciiTheme="minorBidi" w:hAnsiTheme="minorBidi" w:cstheme="minorBidi"/>
          <w:color w:val="242121"/>
          <w:lang w:val="en-GB" w:bidi="ar-SA"/>
        </w:rPr>
      </w:pPr>
      <w:r w:rsidRPr="00CF76DF">
        <w:rPr>
          <w:rFonts w:ascii="Arial" w:hAnsi="Arial" w:cs="Arial"/>
          <w:color w:val="242121"/>
          <w:lang w:val="en-GB" w:bidi="ar-SA"/>
        </w:rPr>
        <w:t>[6]</w:t>
      </w:r>
      <w:r w:rsidRPr="00CF76DF">
        <w:rPr>
          <w:rFonts w:ascii="Arial" w:hAnsi="Arial" w:cs="Arial"/>
          <w:color w:val="242121"/>
          <w:lang w:val="en-GB" w:bidi="ar-SA"/>
        </w:rPr>
        <w:tab/>
      </w:r>
      <w:r w:rsidR="000257E4" w:rsidRPr="000257E4">
        <w:rPr>
          <w:rFonts w:asciiTheme="minorBidi" w:hAnsiTheme="minorBidi"/>
          <w:bCs/>
        </w:rPr>
        <w:t xml:space="preserve">The condonation application is not overburdened </w:t>
      </w:r>
      <w:r w:rsidR="00F83FCE">
        <w:rPr>
          <w:rFonts w:asciiTheme="minorBidi" w:hAnsiTheme="minorBidi"/>
          <w:bCs/>
        </w:rPr>
        <w:t>with</w:t>
      </w:r>
      <w:r w:rsidR="000257E4" w:rsidRPr="000257E4">
        <w:rPr>
          <w:rFonts w:asciiTheme="minorBidi" w:hAnsiTheme="minorBidi"/>
          <w:bCs/>
        </w:rPr>
        <w:t xml:space="preserve"> dates. </w:t>
      </w:r>
      <w:r w:rsidR="003B01F3">
        <w:rPr>
          <w:rFonts w:asciiTheme="minorBidi" w:hAnsiTheme="minorBidi" w:cstheme="minorBidi"/>
          <w:color w:val="242121"/>
          <w:lang w:val="en-US"/>
        </w:rPr>
        <w:t xml:space="preserve">That having been </w:t>
      </w:r>
      <w:r w:rsidR="00176197">
        <w:rPr>
          <w:rFonts w:asciiTheme="minorBidi" w:hAnsiTheme="minorBidi" w:cstheme="minorBidi"/>
          <w:color w:val="242121"/>
          <w:lang w:val="en-US"/>
        </w:rPr>
        <w:t>sai</w:t>
      </w:r>
      <w:r w:rsidR="003B01F3">
        <w:rPr>
          <w:rFonts w:asciiTheme="minorBidi" w:hAnsiTheme="minorBidi" w:cstheme="minorBidi"/>
          <w:color w:val="242121"/>
          <w:lang w:val="en-US"/>
        </w:rPr>
        <w:t>d, in</w:t>
      </w:r>
      <w:r w:rsidR="003B01F3" w:rsidRPr="00CF76DF">
        <w:rPr>
          <w:rFonts w:asciiTheme="minorBidi" w:hAnsiTheme="minorBidi" w:cstheme="minorBidi"/>
          <w:color w:val="242121"/>
          <w:lang w:val="en-US"/>
        </w:rPr>
        <w:t> </w:t>
      </w:r>
      <w:r w:rsidR="003B01F3" w:rsidRPr="00CF76DF">
        <w:rPr>
          <w:rFonts w:asciiTheme="minorBidi" w:hAnsiTheme="minorBidi" w:cstheme="minorBidi"/>
          <w:i/>
          <w:iCs/>
          <w:color w:val="242121"/>
          <w:lang w:val="en-US"/>
        </w:rPr>
        <w:t>Independent Municipal and Allied Trade Union on behalf of Zungu v SA Local Government Bargaining Council and others</w:t>
      </w:r>
      <w:bookmarkStart w:id="1" w:name="_ftnref11"/>
      <w:r w:rsidR="003B01F3">
        <w:rPr>
          <w:rFonts w:asciiTheme="minorBidi" w:hAnsiTheme="minorBidi" w:cstheme="minorBidi"/>
          <w:color w:val="242121"/>
          <w:lang w:val="en-US"/>
        </w:rPr>
        <w:t>,</w:t>
      </w:r>
      <w:r w:rsidR="003B01F3" w:rsidRPr="003B01F3">
        <w:rPr>
          <w:rStyle w:val="FootnoteReference"/>
          <w:rFonts w:asciiTheme="minorBidi" w:hAnsiTheme="minorBidi" w:cstheme="minorBidi"/>
          <w:color w:val="242121"/>
          <w:lang w:val="en-US"/>
        </w:rPr>
        <w:footnoteReference w:id="1"/>
      </w:r>
      <w:bookmarkEnd w:id="1"/>
      <w:r w:rsidR="003B01F3">
        <w:rPr>
          <w:rFonts w:asciiTheme="minorBidi" w:hAnsiTheme="minorBidi" w:cstheme="minorBidi"/>
          <w:color w:val="242121"/>
          <w:lang w:val="en-US"/>
        </w:rPr>
        <w:t xml:space="preserve"> the court held that:</w:t>
      </w:r>
    </w:p>
    <w:p w14:paraId="2B939AAE" w14:textId="7A662914" w:rsidR="003B01F3" w:rsidRDefault="003B01F3" w:rsidP="003B01F3">
      <w:pPr>
        <w:pStyle w:val="NormalWeb"/>
        <w:shd w:val="clear" w:color="auto" w:fill="FFFFFF"/>
        <w:spacing w:before="0" w:beforeAutospacing="0" w:after="0" w:afterAutospacing="0" w:line="360" w:lineRule="auto"/>
        <w:jc w:val="both"/>
        <w:rPr>
          <w:rFonts w:asciiTheme="minorBidi" w:hAnsiTheme="minorBidi" w:cstheme="minorBidi"/>
          <w:color w:val="242121"/>
          <w:sz w:val="22"/>
          <w:szCs w:val="22"/>
          <w:lang w:val="en-US"/>
        </w:rPr>
      </w:pPr>
      <w:r w:rsidRPr="003B01F3">
        <w:rPr>
          <w:rFonts w:asciiTheme="minorBidi" w:hAnsiTheme="minorBidi" w:cstheme="minorBidi"/>
          <w:color w:val="242121"/>
          <w:sz w:val="22"/>
          <w:szCs w:val="22"/>
        </w:rPr>
        <w:t>‘</w:t>
      </w:r>
      <w:r w:rsidRPr="003B01F3">
        <w:rPr>
          <w:rFonts w:asciiTheme="minorBidi" w:hAnsiTheme="minorBidi" w:cstheme="minorBidi"/>
          <w:color w:val="242121"/>
          <w:sz w:val="22"/>
          <w:szCs w:val="22"/>
          <w:lang w:val="en-US"/>
        </w:rPr>
        <w:t>In explaining the reason for the delay it is necessary for the party seeking condonation to fully explain the reason for the delay in order for the court to be in a proper position to assess whether or not the explanation is a good one. This in my view requires an explanation which covers the full length of the delay. The mere listing of significant events which took place during the period in question without an explanation for the time that lapsed between these events does not place a court in a position properly to assess the explanation for the delay. This amounts to nothing more than a recordal of the dates relevant to the processing of a dispute or application, as the case may be.</w:t>
      </w:r>
      <w:r>
        <w:rPr>
          <w:rFonts w:asciiTheme="minorBidi" w:hAnsiTheme="minorBidi" w:cstheme="minorBidi"/>
          <w:color w:val="242121"/>
          <w:sz w:val="22"/>
          <w:szCs w:val="22"/>
          <w:lang w:val="en-US"/>
        </w:rPr>
        <w:t>’</w:t>
      </w:r>
    </w:p>
    <w:p w14:paraId="2ABEED4B" w14:textId="77777777" w:rsidR="00154AC7" w:rsidRPr="003B01F3" w:rsidRDefault="00154AC7" w:rsidP="003B01F3">
      <w:pPr>
        <w:pStyle w:val="NormalWeb"/>
        <w:shd w:val="clear" w:color="auto" w:fill="FFFFFF"/>
        <w:spacing w:before="0" w:beforeAutospacing="0" w:after="0" w:afterAutospacing="0" w:line="360" w:lineRule="auto"/>
        <w:jc w:val="both"/>
        <w:rPr>
          <w:rFonts w:asciiTheme="minorBidi" w:hAnsiTheme="minorBidi" w:cstheme="minorBidi"/>
          <w:color w:val="242121"/>
        </w:rPr>
      </w:pPr>
    </w:p>
    <w:p w14:paraId="3E82F82A" w14:textId="33C34AA6" w:rsidR="000257E4" w:rsidRPr="000403AF" w:rsidRDefault="00544B42" w:rsidP="00544B42">
      <w:pPr>
        <w:spacing w:line="360" w:lineRule="auto"/>
        <w:jc w:val="both"/>
      </w:pPr>
      <w:r w:rsidRPr="000403AF">
        <w:rPr>
          <w:rFonts w:ascii="Arial" w:eastAsiaTheme="minorHAnsi" w:hAnsi="Arial" w:cs="Arial"/>
          <w:szCs w:val="22"/>
          <w:lang w:val="en-GB" w:eastAsia="en-US" w:bidi="ar-SA"/>
        </w:rPr>
        <w:lastRenderedPageBreak/>
        <w:t>[7]</w:t>
      </w:r>
      <w:r w:rsidRPr="000403AF">
        <w:rPr>
          <w:rFonts w:ascii="Arial" w:eastAsiaTheme="minorHAnsi" w:hAnsi="Arial" w:cs="Arial"/>
          <w:szCs w:val="22"/>
          <w:lang w:val="en-GB" w:eastAsia="en-US" w:bidi="ar-SA"/>
        </w:rPr>
        <w:tab/>
      </w:r>
      <w:r w:rsidR="00933619" w:rsidRPr="00544B42">
        <w:rPr>
          <w:rFonts w:asciiTheme="minorBidi" w:hAnsiTheme="minorBidi"/>
          <w:bCs/>
        </w:rPr>
        <w:t>It</w:t>
      </w:r>
      <w:r w:rsidR="00154AC7" w:rsidRPr="00544B42">
        <w:rPr>
          <w:rFonts w:asciiTheme="minorBidi" w:hAnsiTheme="minorBidi"/>
          <w:bCs/>
        </w:rPr>
        <w:t xml:space="preserve"> is, nonetheless, </w:t>
      </w:r>
      <w:r w:rsidR="00C426DF" w:rsidRPr="00544B42">
        <w:rPr>
          <w:rFonts w:asciiTheme="minorBidi" w:hAnsiTheme="minorBidi"/>
          <w:bCs/>
        </w:rPr>
        <w:t>appropriate</w:t>
      </w:r>
      <w:r w:rsidR="00154AC7" w:rsidRPr="00544B42">
        <w:rPr>
          <w:rFonts w:asciiTheme="minorBidi" w:hAnsiTheme="minorBidi"/>
          <w:bCs/>
        </w:rPr>
        <w:t xml:space="preserve"> to mention the few dates that are provided by the appellant</w:t>
      </w:r>
      <w:r w:rsidR="00176197" w:rsidRPr="00544B42">
        <w:rPr>
          <w:rFonts w:asciiTheme="minorBidi" w:hAnsiTheme="minorBidi"/>
          <w:bCs/>
        </w:rPr>
        <w:t xml:space="preserve"> in his condonation application</w:t>
      </w:r>
      <w:r w:rsidR="00154AC7" w:rsidRPr="00544B42">
        <w:rPr>
          <w:rFonts w:asciiTheme="minorBidi" w:hAnsiTheme="minorBidi"/>
          <w:bCs/>
        </w:rPr>
        <w:t xml:space="preserve">. The commencement point must be the </w:t>
      </w:r>
      <w:r w:rsidR="00176197" w:rsidRPr="00544B42">
        <w:rPr>
          <w:rFonts w:asciiTheme="minorBidi" w:hAnsiTheme="minorBidi"/>
          <w:bCs/>
        </w:rPr>
        <w:t xml:space="preserve">regional </w:t>
      </w:r>
      <w:r w:rsidR="00154AC7" w:rsidRPr="00544B42">
        <w:rPr>
          <w:rFonts w:asciiTheme="minorBidi" w:hAnsiTheme="minorBidi"/>
          <w:bCs/>
        </w:rPr>
        <w:t>magistrate’s reasons for his judgment which, as previously stated,</w:t>
      </w:r>
      <w:r w:rsidR="000403AF" w:rsidRPr="00544B42">
        <w:rPr>
          <w:rFonts w:asciiTheme="minorBidi" w:hAnsiTheme="minorBidi"/>
          <w:bCs/>
        </w:rPr>
        <w:t xml:space="preserve"> </w:t>
      </w:r>
      <w:r w:rsidR="000257E4" w:rsidRPr="00544B42">
        <w:rPr>
          <w:rFonts w:asciiTheme="minorBidi" w:hAnsiTheme="minorBidi"/>
          <w:bCs/>
        </w:rPr>
        <w:t>were delivered on 17 May 2021. The next da</w:t>
      </w:r>
      <w:r w:rsidR="00933619" w:rsidRPr="00544B42">
        <w:rPr>
          <w:rFonts w:asciiTheme="minorBidi" w:hAnsiTheme="minorBidi"/>
          <w:bCs/>
        </w:rPr>
        <w:t>t</w:t>
      </w:r>
      <w:r w:rsidR="000257E4" w:rsidRPr="00544B42">
        <w:rPr>
          <w:rFonts w:asciiTheme="minorBidi" w:hAnsiTheme="minorBidi"/>
          <w:bCs/>
        </w:rPr>
        <w:t xml:space="preserve">e mentioned </w:t>
      </w:r>
      <w:r w:rsidR="00154AC7" w:rsidRPr="00544B42">
        <w:rPr>
          <w:rFonts w:asciiTheme="minorBidi" w:hAnsiTheme="minorBidi"/>
          <w:bCs/>
        </w:rPr>
        <w:t xml:space="preserve">by the appellant </w:t>
      </w:r>
      <w:r w:rsidR="000257E4" w:rsidRPr="00544B42">
        <w:rPr>
          <w:rFonts w:asciiTheme="minorBidi" w:hAnsiTheme="minorBidi"/>
          <w:bCs/>
        </w:rPr>
        <w:t xml:space="preserve">is ‘in or around October 2021’, </w:t>
      </w:r>
      <w:r w:rsidR="00C426DF" w:rsidRPr="00544B42">
        <w:rPr>
          <w:rFonts w:asciiTheme="minorBidi" w:hAnsiTheme="minorBidi"/>
          <w:bCs/>
        </w:rPr>
        <w:t xml:space="preserve">five months later, </w:t>
      </w:r>
      <w:r w:rsidR="000257E4" w:rsidRPr="00544B42">
        <w:rPr>
          <w:rFonts w:asciiTheme="minorBidi" w:hAnsiTheme="minorBidi"/>
          <w:bCs/>
        </w:rPr>
        <w:t xml:space="preserve">when the </w:t>
      </w:r>
      <w:r w:rsidR="00933619" w:rsidRPr="00544B42">
        <w:rPr>
          <w:rFonts w:asciiTheme="minorBidi" w:hAnsiTheme="minorBidi"/>
          <w:bCs/>
        </w:rPr>
        <w:t xml:space="preserve">transcripts were </w:t>
      </w:r>
      <w:r w:rsidR="00C426DF" w:rsidRPr="00544B42">
        <w:rPr>
          <w:rFonts w:asciiTheme="minorBidi" w:hAnsiTheme="minorBidi"/>
          <w:bCs/>
        </w:rPr>
        <w:t xml:space="preserve">allegedly </w:t>
      </w:r>
      <w:r w:rsidR="00933619" w:rsidRPr="00544B42">
        <w:rPr>
          <w:rFonts w:asciiTheme="minorBidi" w:hAnsiTheme="minorBidi"/>
          <w:bCs/>
        </w:rPr>
        <w:t>received by the appellant’s attorney</w:t>
      </w:r>
      <w:r w:rsidR="00FE759B" w:rsidRPr="00544B42">
        <w:rPr>
          <w:rFonts w:asciiTheme="minorBidi" w:hAnsiTheme="minorBidi"/>
          <w:bCs/>
        </w:rPr>
        <w:t xml:space="preserve"> from the transcribers</w:t>
      </w:r>
      <w:r w:rsidR="00933619" w:rsidRPr="00544B42">
        <w:rPr>
          <w:rFonts w:asciiTheme="minorBidi" w:hAnsiTheme="minorBidi"/>
          <w:bCs/>
        </w:rPr>
        <w:t xml:space="preserve">. In ‘early January 2022’, the appellant’s attorney attempted to contact counsel. ‘Sometime in the latter part of January early February’ a brief was </w:t>
      </w:r>
      <w:r w:rsidR="00A83213" w:rsidRPr="00544B42">
        <w:rPr>
          <w:rFonts w:asciiTheme="minorBidi" w:hAnsiTheme="minorBidi"/>
          <w:bCs/>
        </w:rPr>
        <w:t>‘</w:t>
      </w:r>
      <w:r w:rsidR="00933619" w:rsidRPr="00544B42">
        <w:rPr>
          <w:rFonts w:asciiTheme="minorBidi" w:hAnsiTheme="minorBidi"/>
          <w:bCs/>
        </w:rPr>
        <w:t>dropped off</w:t>
      </w:r>
      <w:r w:rsidR="00A83213" w:rsidRPr="00544B42">
        <w:rPr>
          <w:rFonts w:asciiTheme="minorBidi" w:hAnsiTheme="minorBidi"/>
          <w:bCs/>
        </w:rPr>
        <w:t>’</w:t>
      </w:r>
      <w:r w:rsidR="00933619" w:rsidRPr="00544B42">
        <w:rPr>
          <w:rFonts w:asciiTheme="minorBidi" w:hAnsiTheme="minorBidi"/>
          <w:bCs/>
        </w:rPr>
        <w:t xml:space="preserve"> with counsel. </w:t>
      </w:r>
      <w:r w:rsidR="00A56069" w:rsidRPr="00544B42">
        <w:rPr>
          <w:rFonts w:asciiTheme="minorBidi" w:hAnsiTheme="minorBidi"/>
          <w:bCs/>
        </w:rPr>
        <w:t xml:space="preserve">No further dates are mentioned. The final date that can be accepted is the date of service of the appellant’s </w:t>
      </w:r>
      <w:r w:rsidR="00933619" w:rsidRPr="00544B42">
        <w:rPr>
          <w:rFonts w:asciiTheme="minorBidi" w:hAnsiTheme="minorBidi"/>
          <w:bCs/>
        </w:rPr>
        <w:t>notice of appeal</w:t>
      </w:r>
      <w:r w:rsidR="00A56069" w:rsidRPr="00544B42">
        <w:rPr>
          <w:rFonts w:asciiTheme="minorBidi" w:hAnsiTheme="minorBidi"/>
          <w:bCs/>
        </w:rPr>
        <w:t>, namely</w:t>
      </w:r>
      <w:r w:rsidR="00933619" w:rsidRPr="00544B42">
        <w:rPr>
          <w:rFonts w:asciiTheme="minorBidi" w:hAnsiTheme="minorBidi"/>
          <w:bCs/>
        </w:rPr>
        <w:t xml:space="preserve"> 27 July 2022</w:t>
      </w:r>
      <w:r w:rsidR="000403AF" w:rsidRPr="00544B42">
        <w:rPr>
          <w:rFonts w:asciiTheme="minorBidi" w:hAnsiTheme="minorBidi"/>
          <w:bCs/>
        </w:rPr>
        <w:t xml:space="preserve"> because there is a stamp on </w:t>
      </w:r>
      <w:r w:rsidR="00C426DF" w:rsidRPr="00544B42">
        <w:rPr>
          <w:rFonts w:asciiTheme="minorBidi" w:hAnsiTheme="minorBidi"/>
          <w:bCs/>
        </w:rPr>
        <w:t>that document</w:t>
      </w:r>
      <w:r w:rsidR="000403AF" w:rsidRPr="00544B42">
        <w:rPr>
          <w:rFonts w:asciiTheme="minorBidi" w:hAnsiTheme="minorBidi"/>
          <w:bCs/>
        </w:rPr>
        <w:t xml:space="preserve"> signifying receipt thereof by the respondent’s attorneys. </w:t>
      </w:r>
      <w:r w:rsidR="00E95E39" w:rsidRPr="00544B42">
        <w:rPr>
          <w:rFonts w:asciiTheme="minorBidi" w:hAnsiTheme="minorBidi"/>
          <w:bCs/>
        </w:rPr>
        <w:t>This court is asked to accept that these brief, scattered islands of fact</w:t>
      </w:r>
      <w:r w:rsidR="00EA3FD2" w:rsidRPr="00544B42">
        <w:rPr>
          <w:rFonts w:asciiTheme="minorBidi" w:hAnsiTheme="minorBidi"/>
          <w:bCs/>
        </w:rPr>
        <w:t>s</w:t>
      </w:r>
      <w:r w:rsidR="00E95E39" w:rsidRPr="00544B42">
        <w:rPr>
          <w:rFonts w:asciiTheme="minorBidi" w:hAnsiTheme="minorBidi"/>
          <w:bCs/>
        </w:rPr>
        <w:t xml:space="preserve"> are sufficient to justify condonation being granted. </w:t>
      </w:r>
      <w:r w:rsidR="000403AF" w:rsidRPr="00544B42">
        <w:rPr>
          <w:rFonts w:asciiTheme="minorBidi" w:hAnsiTheme="minorBidi"/>
          <w:bCs/>
        </w:rPr>
        <w:t>For it cannot seriously be disputed that the time limit</w:t>
      </w:r>
      <w:r w:rsidR="00C224BE" w:rsidRPr="00544B42">
        <w:rPr>
          <w:rFonts w:asciiTheme="minorBidi" w:hAnsiTheme="minorBidi"/>
          <w:bCs/>
        </w:rPr>
        <w:t>s</w:t>
      </w:r>
      <w:r w:rsidR="000403AF" w:rsidRPr="00544B42">
        <w:rPr>
          <w:rFonts w:asciiTheme="minorBidi" w:hAnsiTheme="minorBidi"/>
          <w:bCs/>
        </w:rPr>
        <w:t xml:space="preserve"> imposed </w:t>
      </w:r>
      <w:r w:rsidR="00C224BE" w:rsidRPr="00544B42">
        <w:rPr>
          <w:rFonts w:asciiTheme="minorBidi" w:hAnsiTheme="minorBidi"/>
          <w:bCs/>
        </w:rPr>
        <w:t>for the noting of an appeal</w:t>
      </w:r>
      <w:r w:rsidR="000403AF" w:rsidRPr="00544B42">
        <w:rPr>
          <w:rFonts w:asciiTheme="minorBidi" w:hAnsiTheme="minorBidi"/>
          <w:bCs/>
        </w:rPr>
        <w:t xml:space="preserve"> </w:t>
      </w:r>
      <w:r w:rsidR="00C07375" w:rsidRPr="00544B42">
        <w:rPr>
          <w:rFonts w:asciiTheme="minorBidi" w:hAnsiTheme="minorBidi"/>
          <w:bCs/>
        </w:rPr>
        <w:t xml:space="preserve">have </w:t>
      </w:r>
      <w:r w:rsidR="000403AF" w:rsidRPr="00544B42">
        <w:rPr>
          <w:rFonts w:asciiTheme="minorBidi" w:hAnsiTheme="minorBidi"/>
          <w:bCs/>
        </w:rPr>
        <w:t xml:space="preserve">egregiously </w:t>
      </w:r>
      <w:r w:rsidR="00C07375" w:rsidRPr="00544B42">
        <w:rPr>
          <w:rFonts w:asciiTheme="minorBidi" w:hAnsiTheme="minorBidi"/>
          <w:bCs/>
        </w:rPr>
        <w:t xml:space="preserve">been </w:t>
      </w:r>
      <w:r w:rsidR="000403AF" w:rsidRPr="00544B42">
        <w:rPr>
          <w:rFonts w:asciiTheme="minorBidi" w:hAnsiTheme="minorBidi"/>
          <w:bCs/>
        </w:rPr>
        <w:t>exceeded.</w:t>
      </w:r>
    </w:p>
    <w:p w14:paraId="3B0C7E20" w14:textId="77777777" w:rsidR="00CF76DF" w:rsidRPr="00CF76DF" w:rsidRDefault="00CF76DF" w:rsidP="000403AF">
      <w:pPr>
        <w:pStyle w:val="ListParagraph"/>
        <w:spacing w:after="0" w:line="360" w:lineRule="auto"/>
        <w:ind w:left="0"/>
        <w:jc w:val="both"/>
        <w:rPr>
          <w:sz w:val="24"/>
          <w:szCs w:val="24"/>
        </w:rPr>
      </w:pPr>
    </w:p>
    <w:p w14:paraId="1747500F" w14:textId="33E2A8BF" w:rsidR="00792720" w:rsidRPr="00544B42" w:rsidRDefault="00544B42" w:rsidP="00544B42">
      <w:pPr>
        <w:tabs>
          <w:tab w:val="left" w:pos="709"/>
        </w:tabs>
        <w:spacing w:line="360" w:lineRule="auto"/>
        <w:jc w:val="both"/>
        <w:rPr>
          <w:rFonts w:ascii="Verdana" w:hAnsi="Verdana"/>
          <w:color w:val="242121"/>
        </w:rPr>
      </w:pPr>
      <w:r w:rsidRPr="00792720">
        <w:rPr>
          <w:rFonts w:ascii="Arial" w:eastAsiaTheme="minorHAnsi" w:hAnsi="Arial" w:cs="Arial"/>
          <w:color w:val="242121"/>
          <w:lang w:val="en-GB" w:eastAsia="en-US" w:bidi="ar-SA"/>
        </w:rPr>
        <w:t>[8]</w:t>
      </w:r>
      <w:r w:rsidRPr="00792720">
        <w:rPr>
          <w:rFonts w:ascii="Arial" w:eastAsiaTheme="minorHAnsi" w:hAnsi="Arial" w:cs="Arial"/>
          <w:color w:val="242121"/>
          <w:lang w:val="en-GB" w:eastAsia="en-US" w:bidi="ar-SA"/>
        </w:rPr>
        <w:tab/>
      </w:r>
      <w:r w:rsidR="006D28AA" w:rsidRPr="00544B42">
        <w:rPr>
          <w:rFonts w:asciiTheme="minorBidi" w:hAnsiTheme="minorBidi"/>
        </w:rPr>
        <w:t>A court has a discretion to grant condonation.</w:t>
      </w:r>
      <w:r w:rsidR="006D28AA">
        <w:rPr>
          <w:rStyle w:val="FootnoteReference"/>
          <w:rFonts w:asciiTheme="minorBidi" w:hAnsiTheme="minorBidi"/>
        </w:rPr>
        <w:footnoteReference w:id="2"/>
      </w:r>
      <w:r w:rsidR="006D28AA" w:rsidRPr="00544B42">
        <w:rPr>
          <w:rFonts w:asciiTheme="minorBidi" w:hAnsiTheme="minorBidi"/>
        </w:rPr>
        <w:t xml:space="preserve"> </w:t>
      </w:r>
      <w:r w:rsidR="00CF76DF" w:rsidRPr="00544B42">
        <w:rPr>
          <w:rFonts w:asciiTheme="minorBidi" w:hAnsiTheme="minorBidi"/>
        </w:rPr>
        <w:t>Court rules</w:t>
      </w:r>
      <w:r w:rsidR="006D28AA" w:rsidRPr="00544B42">
        <w:rPr>
          <w:rFonts w:asciiTheme="minorBidi" w:hAnsiTheme="minorBidi"/>
        </w:rPr>
        <w:t xml:space="preserve"> are not immutable and </w:t>
      </w:r>
      <w:r w:rsidR="00982ED2" w:rsidRPr="00544B42">
        <w:rPr>
          <w:rFonts w:asciiTheme="minorBidi" w:hAnsiTheme="minorBidi"/>
        </w:rPr>
        <w:t xml:space="preserve">are not </w:t>
      </w:r>
      <w:r w:rsidR="006D28AA" w:rsidRPr="00544B42">
        <w:rPr>
          <w:rFonts w:asciiTheme="minorBidi" w:hAnsiTheme="minorBidi"/>
        </w:rPr>
        <w:t xml:space="preserve">always cast in stone. They exist </w:t>
      </w:r>
      <w:r w:rsidR="00E95E39" w:rsidRPr="00544B42">
        <w:rPr>
          <w:rFonts w:asciiTheme="minorBidi" w:hAnsiTheme="minorBidi"/>
          <w:color w:val="242121"/>
          <w:shd w:val="clear" w:color="auto" w:fill="FFFFFF"/>
        </w:rPr>
        <w:t>to provide a</w:t>
      </w:r>
      <w:r w:rsidR="006D28AA" w:rsidRPr="00544B42">
        <w:rPr>
          <w:rFonts w:asciiTheme="minorBidi" w:hAnsiTheme="minorBidi"/>
          <w:color w:val="242121"/>
          <w:shd w:val="clear" w:color="auto" w:fill="FFFFFF"/>
        </w:rPr>
        <w:t xml:space="preserve"> framework </w:t>
      </w:r>
      <w:r w:rsidR="003B01F3" w:rsidRPr="00544B42">
        <w:rPr>
          <w:rFonts w:asciiTheme="minorBidi" w:hAnsiTheme="minorBidi"/>
          <w:color w:val="242121"/>
          <w:shd w:val="clear" w:color="auto" w:fill="FFFFFF"/>
        </w:rPr>
        <w:t>to</w:t>
      </w:r>
      <w:r w:rsidR="006D28AA" w:rsidRPr="00544B42">
        <w:rPr>
          <w:rFonts w:asciiTheme="minorBidi" w:hAnsiTheme="minorBidi"/>
          <w:color w:val="242121"/>
          <w:shd w:val="clear" w:color="auto" w:fill="FFFFFF"/>
        </w:rPr>
        <w:t xml:space="preserve"> be employed i</w:t>
      </w:r>
      <w:r w:rsidR="00E95E39" w:rsidRPr="00544B42">
        <w:rPr>
          <w:rFonts w:asciiTheme="minorBidi" w:hAnsiTheme="minorBidi"/>
          <w:color w:val="242121"/>
          <w:shd w:val="clear" w:color="auto" w:fill="FFFFFF"/>
        </w:rPr>
        <w:t>n</w:t>
      </w:r>
      <w:r w:rsidR="006D28AA" w:rsidRPr="00544B42">
        <w:rPr>
          <w:rFonts w:asciiTheme="minorBidi" w:hAnsiTheme="minorBidi"/>
          <w:color w:val="242121"/>
          <w:shd w:val="clear" w:color="auto" w:fill="FFFFFF"/>
        </w:rPr>
        <w:t xml:space="preserve"> the</w:t>
      </w:r>
      <w:r w:rsidR="00E95E39" w:rsidRPr="00544B42">
        <w:rPr>
          <w:rFonts w:asciiTheme="minorBidi" w:hAnsiTheme="minorBidi"/>
          <w:color w:val="242121"/>
          <w:shd w:val="clear" w:color="auto" w:fill="FFFFFF"/>
        </w:rPr>
        <w:t xml:space="preserve"> </w:t>
      </w:r>
      <w:r w:rsidR="006D28AA" w:rsidRPr="00544B42">
        <w:rPr>
          <w:rFonts w:asciiTheme="minorBidi" w:hAnsiTheme="minorBidi"/>
          <w:color w:val="242121"/>
          <w:shd w:val="clear" w:color="auto" w:fill="FFFFFF"/>
        </w:rPr>
        <w:t xml:space="preserve">conducting and </w:t>
      </w:r>
      <w:r w:rsidR="00E95E39" w:rsidRPr="00544B42">
        <w:rPr>
          <w:rFonts w:asciiTheme="minorBidi" w:hAnsiTheme="minorBidi"/>
          <w:color w:val="242121"/>
          <w:shd w:val="clear" w:color="auto" w:fill="FFFFFF"/>
        </w:rPr>
        <w:t xml:space="preserve">expeditious </w:t>
      </w:r>
      <w:r w:rsidR="006D28AA" w:rsidRPr="00544B42">
        <w:rPr>
          <w:rFonts w:asciiTheme="minorBidi" w:hAnsiTheme="minorBidi"/>
          <w:color w:val="242121"/>
          <w:shd w:val="clear" w:color="auto" w:fill="FFFFFF"/>
        </w:rPr>
        <w:t xml:space="preserve">resolution </w:t>
      </w:r>
      <w:r w:rsidR="00E95E39" w:rsidRPr="00544B42">
        <w:rPr>
          <w:rFonts w:asciiTheme="minorBidi" w:hAnsiTheme="minorBidi"/>
          <w:color w:val="242121"/>
          <w:shd w:val="clear" w:color="auto" w:fill="FFFFFF"/>
        </w:rPr>
        <w:t>of litigation</w:t>
      </w:r>
      <w:r w:rsidR="006D28AA" w:rsidRPr="00544B42">
        <w:rPr>
          <w:rFonts w:asciiTheme="minorBidi" w:hAnsiTheme="minorBidi"/>
          <w:color w:val="242121"/>
          <w:shd w:val="clear" w:color="auto" w:fill="FFFFFF"/>
        </w:rPr>
        <w:t xml:space="preserve">. </w:t>
      </w:r>
      <w:r w:rsidR="00982ED2" w:rsidRPr="00544B42">
        <w:rPr>
          <w:rFonts w:asciiTheme="minorBidi" w:hAnsiTheme="minorBidi"/>
          <w:color w:val="242121"/>
          <w:shd w:val="clear" w:color="auto" w:fill="FFFFFF"/>
        </w:rPr>
        <w:t xml:space="preserve">Where </w:t>
      </w:r>
      <w:r w:rsidR="00CF76DF" w:rsidRPr="00544B42">
        <w:rPr>
          <w:rFonts w:asciiTheme="minorBidi" w:hAnsiTheme="minorBidi"/>
          <w:color w:val="242121"/>
          <w:shd w:val="clear" w:color="auto" w:fill="FFFFFF"/>
        </w:rPr>
        <w:t>court rules</w:t>
      </w:r>
      <w:r w:rsidR="00982ED2" w:rsidRPr="00544B42">
        <w:rPr>
          <w:rFonts w:asciiTheme="minorBidi" w:hAnsiTheme="minorBidi"/>
          <w:color w:val="242121"/>
          <w:shd w:val="clear" w:color="auto" w:fill="FFFFFF"/>
        </w:rPr>
        <w:t xml:space="preserve"> are not complied with such non-compliance may, in appropriate cases, be condoned</w:t>
      </w:r>
      <w:r w:rsidR="000403AF" w:rsidRPr="00544B42">
        <w:rPr>
          <w:rFonts w:asciiTheme="minorBidi" w:hAnsiTheme="minorBidi"/>
          <w:color w:val="242121"/>
          <w:shd w:val="clear" w:color="auto" w:fill="FFFFFF"/>
        </w:rPr>
        <w:t xml:space="preserve"> upon an adequate explanation being provided</w:t>
      </w:r>
      <w:r w:rsidR="00982ED2" w:rsidRPr="00544B42">
        <w:rPr>
          <w:rFonts w:asciiTheme="minorBidi" w:hAnsiTheme="minorBidi"/>
          <w:color w:val="242121"/>
          <w:shd w:val="clear" w:color="auto" w:fill="FFFFFF"/>
        </w:rPr>
        <w:t xml:space="preserve">. </w:t>
      </w:r>
      <w:r w:rsidR="006D28AA" w:rsidRPr="00544B42">
        <w:rPr>
          <w:rFonts w:asciiTheme="minorBidi" w:hAnsiTheme="minorBidi"/>
          <w:color w:val="242121"/>
          <w:shd w:val="clear" w:color="auto" w:fill="FFFFFF"/>
        </w:rPr>
        <w:t xml:space="preserve">In </w:t>
      </w:r>
      <w:r w:rsidR="006D28AA" w:rsidRPr="00544B42">
        <w:rPr>
          <w:rFonts w:ascii="Arial" w:hAnsi="Arial" w:cs="Arial"/>
          <w:i/>
          <w:iCs/>
          <w:color w:val="000000"/>
        </w:rPr>
        <w:t>Van Wyk v Unitas Hospital and Another (Open Democratic Advice Centre as Amicus Curiae)</w:t>
      </w:r>
      <w:r w:rsidR="00792720" w:rsidRPr="00544B42">
        <w:rPr>
          <w:rFonts w:ascii="Arial" w:hAnsi="Arial" w:cs="Arial"/>
          <w:color w:val="000000"/>
        </w:rPr>
        <w:t>,</w:t>
      </w:r>
      <w:r w:rsidR="006D28AA" w:rsidRPr="00792720">
        <w:rPr>
          <w:rStyle w:val="FootnoteReference"/>
          <w:rFonts w:ascii="Arial" w:hAnsi="Arial" w:cs="Arial"/>
          <w:color w:val="000000"/>
        </w:rPr>
        <w:footnoteReference w:id="3"/>
      </w:r>
      <w:r w:rsidR="006D28AA" w:rsidRPr="00544B42">
        <w:rPr>
          <w:rFonts w:ascii="Arial" w:hAnsi="Arial" w:cs="Arial"/>
          <w:color w:val="000000"/>
        </w:rPr>
        <w:t xml:space="preserve"> </w:t>
      </w:r>
      <w:r w:rsidR="00792720" w:rsidRPr="00544B42">
        <w:rPr>
          <w:rFonts w:ascii="Arial" w:hAnsi="Arial" w:cs="Arial"/>
          <w:color w:val="000000"/>
        </w:rPr>
        <w:t>the Constitutional Court expressed itself as follows on the issue of condonation:</w:t>
      </w:r>
      <w:r w:rsidR="006D28AA" w:rsidRPr="00544B42">
        <w:rPr>
          <w:rFonts w:ascii="Arial" w:hAnsi="Arial" w:cs="Arial"/>
          <w:i/>
          <w:iCs/>
          <w:color w:val="000000"/>
        </w:rPr>
        <w:t xml:space="preserve"> </w:t>
      </w:r>
    </w:p>
    <w:p w14:paraId="63A4EAC1" w14:textId="122CA2E4" w:rsidR="008E25A4" w:rsidRDefault="006D28AA" w:rsidP="00C426DF">
      <w:pPr>
        <w:pStyle w:val="ListParagraph"/>
        <w:spacing w:after="0" w:line="360" w:lineRule="auto"/>
        <w:ind w:left="0"/>
        <w:jc w:val="both"/>
        <w:rPr>
          <w:rFonts w:asciiTheme="minorBidi" w:hAnsiTheme="minorBidi"/>
          <w:color w:val="000000"/>
          <w:lang w:val="en-US"/>
        </w:rPr>
      </w:pPr>
      <w:r w:rsidRPr="00792720">
        <w:rPr>
          <w:rFonts w:asciiTheme="minorBidi" w:hAnsiTheme="minorBidi"/>
          <w:color w:val="000000"/>
        </w:rPr>
        <w:t>‘</w:t>
      </w:r>
      <w:r w:rsidR="008E25A4" w:rsidRPr="008E25A4">
        <w:rPr>
          <w:rFonts w:asciiTheme="minorBidi" w:hAnsiTheme="minorBidi"/>
          <w:color w:val="000000"/>
          <w:lang w:val="en-US"/>
        </w:rPr>
        <w:t>This court has held that the standard for considering an application for condonation is the interests of justice.</w:t>
      </w:r>
      <w:bookmarkStart w:id="2" w:name="0-0-0-326575"/>
      <w:bookmarkEnd w:id="2"/>
      <w:r w:rsidR="008E25A4" w:rsidRPr="008E25A4">
        <w:rPr>
          <w:rFonts w:asciiTheme="minorBidi" w:hAnsiTheme="minorBidi"/>
          <w:color w:val="000000"/>
          <w:lang w:val="en-US"/>
        </w:rPr>
        <w:t> Whether it is in the interests of justice to grant condonation depends on the facts and circumstances of each case. Factors that are relevant to this enquiry include but are not limited to the nature of the relief sought, the extent and cause of the delay, the effect of the delay on the administration of justice and other litigants, the reasonableness of the explanation for the delay, the importance of the issue to be raised in the intended appeal and the prospects of success</w:t>
      </w:r>
      <w:r w:rsidR="008E25A4">
        <w:rPr>
          <w:rFonts w:asciiTheme="minorBidi" w:hAnsiTheme="minorBidi"/>
          <w:color w:val="000000"/>
          <w:lang w:val="en-US"/>
        </w:rPr>
        <w:t>.’ (Footnote omitted.)</w:t>
      </w:r>
    </w:p>
    <w:p w14:paraId="5571CA23" w14:textId="77777777" w:rsidR="00C426DF" w:rsidRPr="00C426DF" w:rsidRDefault="00C426DF" w:rsidP="00C426DF">
      <w:pPr>
        <w:pStyle w:val="ListParagraph"/>
        <w:spacing w:after="0" w:line="360" w:lineRule="auto"/>
        <w:ind w:left="0"/>
        <w:jc w:val="both"/>
        <w:rPr>
          <w:rFonts w:asciiTheme="minorBidi" w:hAnsiTheme="minorBidi"/>
          <w:color w:val="000000"/>
          <w:sz w:val="24"/>
          <w:szCs w:val="24"/>
          <w:lang w:val="en-US"/>
        </w:rPr>
      </w:pPr>
    </w:p>
    <w:p w14:paraId="050157C9" w14:textId="47E99101" w:rsidR="00792720" w:rsidRDefault="00544B42" w:rsidP="00544B42">
      <w:pPr>
        <w:pStyle w:val="NormalWeb"/>
        <w:tabs>
          <w:tab w:val="left" w:pos="709"/>
        </w:tabs>
        <w:spacing w:before="0" w:beforeAutospacing="0" w:after="0" w:afterAutospacing="0" w:line="360" w:lineRule="auto"/>
        <w:rPr>
          <w:rFonts w:asciiTheme="minorBidi" w:hAnsiTheme="minorBidi" w:cstheme="minorBidi"/>
          <w:color w:val="242121"/>
        </w:rPr>
      </w:pPr>
      <w:r>
        <w:rPr>
          <w:rFonts w:ascii="Arial" w:hAnsi="Arial" w:cs="Arial"/>
          <w:color w:val="242121"/>
        </w:rPr>
        <w:t>[9]</w:t>
      </w:r>
      <w:r>
        <w:rPr>
          <w:rFonts w:ascii="Arial" w:hAnsi="Arial" w:cs="Arial"/>
          <w:color w:val="242121"/>
        </w:rPr>
        <w:tab/>
      </w:r>
      <w:r w:rsidR="00792720" w:rsidRPr="00792720">
        <w:rPr>
          <w:rFonts w:asciiTheme="minorBidi" w:hAnsiTheme="minorBidi" w:cstheme="minorBidi"/>
          <w:color w:val="242121"/>
        </w:rPr>
        <w:t>The Constitutional Court went on to say:</w:t>
      </w:r>
    </w:p>
    <w:p w14:paraId="1F917B22" w14:textId="77777777" w:rsidR="006D28AA" w:rsidRDefault="00792720" w:rsidP="00792720">
      <w:pPr>
        <w:pStyle w:val="NormalWeb"/>
        <w:tabs>
          <w:tab w:val="left" w:pos="709"/>
        </w:tabs>
        <w:spacing w:before="0" w:beforeAutospacing="0" w:after="0" w:afterAutospacing="0" w:line="360" w:lineRule="auto"/>
        <w:jc w:val="both"/>
        <w:rPr>
          <w:rFonts w:ascii="Arial" w:hAnsi="Arial" w:cs="Arial"/>
          <w:color w:val="000000"/>
          <w:sz w:val="22"/>
          <w:szCs w:val="22"/>
          <w:lang w:val="en-GB"/>
        </w:rPr>
      </w:pPr>
      <w:r w:rsidRPr="00792720">
        <w:rPr>
          <w:rFonts w:asciiTheme="minorBidi" w:hAnsiTheme="minorBidi" w:cstheme="minorBidi"/>
          <w:color w:val="000000"/>
          <w:sz w:val="22"/>
          <w:szCs w:val="22"/>
          <w:lang w:val="en-GB"/>
        </w:rPr>
        <w:lastRenderedPageBreak/>
        <w:t>‘</w:t>
      </w:r>
      <w:r w:rsidR="006D28AA" w:rsidRPr="00792720">
        <w:rPr>
          <w:rFonts w:asciiTheme="minorBidi" w:hAnsiTheme="minorBidi" w:cstheme="minorBidi"/>
          <w:color w:val="000000"/>
          <w:sz w:val="22"/>
          <w:szCs w:val="22"/>
          <w:lang w:val="en-GB"/>
        </w:rPr>
        <w:t>An applicant for condonation must give a full explanation for the delay. In addition, the explanation must cover the entire period of delay. And, what is more, the explanation given must be reasonable</w:t>
      </w:r>
      <w:r w:rsidR="006D28AA" w:rsidRPr="00792720">
        <w:rPr>
          <w:rFonts w:ascii="Arial" w:hAnsi="Arial" w:cs="Arial"/>
          <w:color w:val="000000"/>
          <w:sz w:val="22"/>
          <w:szCs w:val="22"/>
          <w:lang w:val="en-GB"/>
        </w:rPr>
        <w:t>.’</w:t>
      </w:r>
      <w:r w:rsidRPr="00792720">
        <w:rPr>
          <w:rStyle w:val="FootnoteReference"/>
          <w:rFonts w:ascii="Arial" w:hAnsi="Arial" w:cs="Arial"/>
          <w:color w:val="000000"/>
          <w:sz w:val="22"/>
          <w:szCs w:val="22"/>
          <w:lang w:val="en-GB"/>
        </w:rPr>
        <w:footnoteReference w:id="4"/>
      </w:r>
    </w:p>
    <w:p w14:paraId="2B2D9B46" w14:textId="77777777" w:rsidR="00530602" w:rsidRDefault="00530602" w:rsidP="00530602">
      <w:pPr>
        <w:tabs>
          <w:tab w:val="left" w:pos="709"/>
        </w:tabs>
        <w:spacing w:line="360" w:lineRule="auto"/>
        <w:jc w:val="both"/>
        <w:rPr>
          <w:rFonts w:asciiTheme="minorBidi" w:hAnsiTheme="minorBidi" w:cstheme="minorBidi"/>
        </w:rPr>
      </w:pPr>
    </w:p>
    <w:p w14:paraId="0FAA90B1" w14:textId="406042A5" w:rsidR="00530602" w:rsidRPr="00544B42" w:rsidRDefault="00544B42" w:rsidP="00544B42">
      <w:pPr>
        <w:spacing w:line="360" w:lineRule="auto"/>
        <w:jc w:val="both"/>
        <w:rPr>
          <w:rFonts w:asciiTheme="minorBidi" w:hAnsiTheme="minorBidi"/>
          <w:bCs/>
        </w:rPr>
      </w:pPr>
      <w:r w:rsidRPr="00FE759B">
        <w:rPr>
          <w:rFonts w:ascii="Arial" w:eastAsiaTheme="minorHAnsi" w:hAnsi="Arial" w:cs="Arial"/>
          <w:bCs/>
          <w:lang w:val="en-GB" w:eastAsia="en-US" w:bidi="ar-SA"/>
        </w:rPr>
        <w:t>[10]</w:t>
      </w:r>
      <w:r w:rsidRPr="00FE759B">
        <w:rPr>
          <w:rFonts w:ascii="Arial" w:eastAsiaTheme="minorHAnsi" w:hAnsi="Arial" w:cs="Arial"/>
          <w:bCs/>
          <w:lang w:val="en-GB" w:eastAsia="en-US" w:bidi="ar-SA"/>
        </w:rPr>
        <w:tab/>
      </w:r>
      <w:r w:rsidR="00530602" w:rsidRPr="00544B42">
        <w:rPr>
          <w:rFonts w:asciiTheme="minorBidi" w:hAnsiTheme="minorBidi"/>
          <w:bCs/>
        </w:rPr>
        <w:t>T</w:t>
      </w:r>
      <w:r w:rsidR="00530602" w:rsidRPr="00544B42">
        <w:rPr>
          <w:rFonts w:ascii="Arial" w:hAnsi="Arial" w:cs="Arial"/>
        </w:rPr>
        <w:t xml:space="preserve">he grant or refusal of condonation is not a mechanical process but one that involves the balancing of often competing factors. </w:t>
      </w:r>
      <w:r w:rsidR="00A83213" w:rsidRPr="00544B42">
        <w:rPr>
          <w:rFonts w:ascii="Arial" w:hAnsi="Arial" w:cs="Arial"/>
        </w:rPr>
        <w:t>Accordingly,</w:t>
      </w:r>
      <w:r w:rsidR="00530602" w:rsidRPr="00544B42">
        <w:rPr>
          <w:rFonts w:ascii="Arial" w:hAnsi="Arial" w:cs="Arial"/>
        </w:rPr>
        <w:t xml:space="preserve"> </w:t>
      </w:r>
      <w:r w:rsidR="008E25A4" w:rsidRPr="00544B42">
        <w:rPr>
          <w:rFonts w:ascii="Arial" w:hAnsi="Arial" w:cs="Arial"/>
        </w:rPr>
        <w:t>‘very weak prospects of success may not offset a full, complete and satisfactory explanation for a delay; while strong prospects of success may excuse an inadequate explanation for the delay (to a point)’</w:t>
      </w:r>
      <w:r w:rsidR="00530602" w:rsidRPr="00544B42">
        <w:rPr>
          <w:rFonts w:ascii="Arial" w:hAnsi="Arial" w:cs="Arial"/>
        </w:rPr>
        <w:t>.</w:t>
      </w:r>
      <w:r w:rsidR="00530602" w:rsidRPr="00BF4F78">
        <w:rPr>
          <w:rStyle w:val="FootnoteReference"/>
          <w:rFonts w:ascii="Arial" w:hAnsi="Arial" w:cs="Arial"/>
        </w:rPr>
        <w:footnoteReference w:id="5"/>
      </w:r>
      <w:r w:rsidR="00530602" w:rsidRPr="00544B42">
        <w:rPr>
          <w:rFonts w:ascii="Arial" w:hAnsi="Arial" w:cs="Arial"/>
        </w:rPr>
        <w:t xml:space="preserve"> </w:t>
      </w:r>
      <w:r w:rsidR="00982ED2" w:rsidRPr="00544B42">
        <w:rPr>
          <w:rFonts w:ascii="Arial" w:hAnsi="Arial" w:cs="Arial"/>
        </w:rPr>
        <w:t>A</w:t>
      </w:r>
      <w:r w:rsidR="00A83213" w:rsidRPr="00544B42">
        <w:rPr>
          <w:rFonts w:ascii="Arial" w:hAnsi="Arial" w:cs="Arial"/>
        </w:rPr>
        <w:t xml:space="preserve"> combination of a</w:t>
      </w:r>
      <w:r w:rsidR="00982ED2" w:rsidRPr="00544B42">
        <w:rPr>
          <w:rFonts w:ascii="Arial" w:hAnsi="Arial" w:cs="Arial"/>
        </w:rPr>
        <w:t>n inadequate explanation and poor prospects of success</w:t>
      </w:r>
      <w:r w:rsidR="00911DC8" w:rsidRPr="00544B42">
        <w:rPr>
          <w:rFonts w:ascii="Arial" w:hAnsi="Arial" w:cs="Arial"/>
        </w:rPr>
        <w:t xml:space="preserve"> would </w:t>
      </w:r>
      <w:r w:rsidR="00574641" w:rsidRPr="00544B42">
        <w:rPr>
          <w:rFonts w:ascii="Arial" w:hAnsi="Arial" w:cs="Arial"/>
        </w:rPr>
        <w:t>hold limited prospects of condonation being granted. It is into that latter category that this application falls</w:t>
      </w:r>
      <w:r w:rsidR="000403AF" w:rsidRPr="00544B42">
        <w:rPr>
          <w:rFonts w:ascii="Arial" w:hAnsi="Arial" w:cs="Arial"/>
        </w:rPr>
        <w:t>,</w:t>
      </w:r>
      <w:r w:rsidR="00A83213" w:rsidRPr="00544B42">
        <w:rPr>
          <w:rFonts w:ascii="Arial" w:hAnsi="Arial" w:cs="Arial"/>
        </w:rPr>
        <w:t xml:space="preserve"> in my view</w:t>
      </w:r>
      <w:r w:rsidR="00574641" w:rsidRPr="00544B42">
        <w:rPr>
          <w:rFonts w:ascii="Arial" w:hAnsi="Arial" w:cs="Arial"/>
        </w:rPr>
        <w:t>.</w:t>
      </w:r>
    </w:p>
    <w:p w14:paraId="1D7D9BFD" w14:textId="77777777" w:rsidR="00803207" w:rsidRPr="00933619" w:rsidRDefault="00803207" w:rsidP="00803207">
      <w:pPr>
        <w:pStyle w:val="ListParagraph"/>
        <w:spacing w:after="0" w:line="360" w:lineRule="auto"/>
        <w:ind w:left="0"/>
        <w:jc w:val="both"/>
      </w:pPr>
    </w:p>
    <w:p w14:paraId="76D5E989" w14:textId="48A8D125" w:rsidR="00492F63" w:rsidRPr="003B01F3" w:rsidRDefault="00544B42" w:rsidP="00544B42">
      <w:pPr>
        <w:spacing w:line="360" w:lineRule="auto"/>
        <w:jc w:val="both"/>
      </w:pPr>
      <w:r w:rsidRPr="003B01F3">
        <w:rPr>
          <w:rFonts w:ascii="Arial" w:eastAsiaTheme="minorHAnsi" w:hAnsi="Arial" w:cs="Arial"/>
          <w:szCs w:val="22"/>
          <w:lang w:val="en-GB" w:eastAsia="en-US" w:bidi="ar-SA"/>
        </w:rPr>
        <w:t>[11]</w:t>
      </w:r>
      <w:r w:rsidRPr="003B01F3">
        <w:rPr>
          <w:rFonts w:ascii="Arial" w:eastAsiaTheme="minorHAnsi" w:hAnsi="Arial" w:cs="Arial"/>
          <w:szCs w:val="22"/>
          <w:lang w:val="en-GB" w:eastAsia="en-US" w:bidi="ar-SA"/>
        </w:rPr>
        <w:tab/>
      </w:r>
      <w:r w:rsidR="00CF76DF" w:rsidRPr="00544B42">
        <w:rPr>
          <w:rFonts w:asciiTheme="minorBidi" w:hAnsiTheme="minorBidi"/>
        </w:rPr>
        <w:t xml:space="preserve">It is by now well-established </w:t>
      </w:r>
      <w:r w:rsidR="00C426DF" w:rsidRPr="00544B42">
        <w:rPr>
          <w:rFonts w:asciiTheme="minorBidi" w:hAnsiTheme="minorBidi"/>
        </w:rPr>
        <w:t>t</w:t>
      </w:r>
      <w:r w:rsidR="00EA3FD2" w:rsidRPr="00544B42">
        <w:rPr>
          <w:rFonts w:asciiTheme="minorBidi" w:hAnsiTheme="minorBidi"/>
        </w:rPr>
        <w:t xml:space="preserve">hat </w:t>
      </w:r>
      <w:r w:rsidR="00CF76DF" w:rsidRPr="00544B42">
        <w:rPr>
          <w:rFonts w:asciiTheme="minorBidi" w:hAnsiTheme="minorBidi"/>
        </w:rPr>
        <w:t xml:space="preserve">an applicant for condonation, particularly where the delay is significant, must </w:t>
      </w:r>
      <w:r w:rsidR="009E41D2" w:rsidRPr="00544B42">
        <w:rPr>
          <w:rFonts w:asciiTheme="minorBidi" w:hAnsiTheme="minorBidi"/>
        </w:rPr>
        <w:t>provide a full explanation</w:t>
      </w:r>
      <w:r w:rsidR="00CF76DF" w:rsidRPr="00544B42">
        <w:rPr>
          <w:rFonts w:asciiTheme="minorBidi" w:hAnsiTheme="minorBidi"/>
        </w:rPr>
        <w:t xml:space="preserve"> with regard to the time which has elapsed, </w:t>
      </w:r>
      <w:r w:rsidR="00E7024F" w:rsidRPr="00544B42">
        <w:rPr>
          <w:rFonts w:asciiTheme="minorBidi" w:hAnsiTheme="minorBidi"/>
        </w:rPr>
        <w:t xml:space="preserve">and </w:t>
      </w:r>
      <w:r w:rsidR="00CF76DF" w:rsidRPr="00544B42">
        <w:rPr>
          <w:rFonts w:asciiTheme="minorBidi" w:hAnsiTheme="minorBidi"/>
        </w:rPr>
        <w:t xml:space="preserve">the steps taken to bring the matter to court. </w:t>
      </w:r>
      <w:r w:rsidR="00574641" w:rsidRPr="00544B42">
        <w:rPr>
          <w:rFonts w:asciiTheme="minorBidi" w:hAnsiTheme="minorBidi"/>
          <w:bCs/>
        </w:rPr>
        <w:t xml:space="preserve">The appellant has not given a full and complete </w:t>
      </w:r>
      <w:r w:rsidR="00A83213" w:rsidRPr="00544B42">
        <w:rPr>
          <w:rFonts w:asciiTheme="minorBidi" w:hAnsiTheme="minorBidi"/>
          <w:bCs/>
        </w:rPr>
        <w:t>explana</w:t>
      </w:r>
      <w:r w:rsidR="00574641" w:rsidRPr="00544B42">
        <w:rPr>
          <w:rFonts w:asciiTheme="minorBidi" w:hAnsiTheme="minorBidi"/>
          <w:bCs/>
        </w:rPr>
        <w:t xml:space="preserve">tion for the delay in progressing his appeal. The </w:t>
      </w:r>
      <w:r w:rsidR="000403AF" w:rsidRPr="00544B42">
        <w:rPr>
          <w:rFonts w:asciiTheme="minorBidi" w:hAnsiTheme="minorBidi"/>
          <w:bCs/>
        </w:rPr>
        <w:t xml:space="preserve">entire </w:t>
      </w:r>
      <w:r w:rsidR="00574641" w:rsidRPr="00544B42">
        <w:rPr>
          <w:rFonts w:asciiTheme="minorBidi" w:hAnsiTheme="minorBidi"/>
          <w:bCs/>
        </w:rPr>
        <w:t xml:space="preserve">period of delay covers some 14 months, but very little specific detail is provided regarding those months of delay. </w:t>
      </w:r>
      <w:r w:rsidR="00492F63" w:rsidRPr="00544B42">
        <w:rPr>
          <w:rFonts w:asciiTheme="minorBidi" w:hAnsiTheme="minorBidi"/>
          <w:bCs/>
        </w:rPr>
        <w:t>Insofar</w:t>
      </w:r>
      <w:r w:rsidR="00574641" w:rsidRPr="00544B42">
        <w:rPr>
          <w:rFonts w:asciiTheme="minorBidi" w:hAnsiTheme="minorBidi"/>
          <w:bCs/>
        </w:rPr>
        <w:t xml:space="preserve"> as there may have been difficulties acquiring the transcript of proceedings, dates and actions</w:t>
      </w:r>
      <w:r w:rsidR="00A83213" w:rsidRPr="00544B42">
        <w:rPr>
          <w:rFonts w:asciiTheme="minorBidi" w:hAnsiTheme="minorBidi"/>
          <w:bCs/>
        </w:rPr>
        <w:t xml:space="preserve"> taken by the appellant’s attorney</w:t>
      </w:r>
      <w:r w:rsidR="00574641" w:rsidRPr="00544B42">
        <w:rPr>
          <w:rFonts w:asciiTheme="minorBidi" w:hAnsiTheme="minorBidi"/>
          <w:bCs/>
        </w:rPr>
        <w:t xml:space="preserve"> and responses received from the transcriber </w:t>
      </w:r>
      <w:r w:rsidR="00492F63" w:rsidRPr="00544B42">
        <w:rPr>
          <w:rFonts w:asciiTheme="minorBidi" w:hAnsiTheme="minorBidi"/>
          <w:bCs/>
        </w:rPr>
        <w:t xml:space="preserve">should have populated the condonation affidavit, but they do not. </w:t>
      </w:r>
      <w:r w:rsidR="000403AF" w:rsidRPr="00544B42">
        <w:rPr>
          <w:rFonts w:asciiTheme="minorBidi" w:hAnsiTheme="minorBidi"/>
          <w:bCs/>
        </w:rPr>
        <w:t xml:space="preserve">No explanation </w:t>
      </w:r>
      <w:r w:rsidR="003947CD" w:rsidRPr="00544B42">
        <w:rPr>
          <w:rFonts w:asciiTheme="minorBidi" w:hAnsiTheme="minorBidi"/>
          <w:bCs/>
        </w:rPr>
        <w:t xml:space="preserve">at all </w:t>
      </w:r>
      <w:r w:rsidR="000403AF" w:rsidRPr="00544B42">
        <w:rPr>
          <w:rFonts w:asciiTheme="minorBidi" w:hAnsiTheme="minorBidi"/>
          <w:bCs/>
        </w:rPr>
        <w:t xml:space="preserve">is provided for the period after receipt of the transcript </w:t>
      </w:r>
      <w:r w:rsidR="003947CD" w:rsidRPr="00544B42">
        <w:rPr>
          <w:rFonts w:asciiTheme="minorBidi" w:hAnsiTheme="minorBidi"/>
          <w:bCs/>
        </w:rPr>
        <w:t>until January 2022</w:t>
      </w:r>
      <w:r w:rsidR="00EA3FD2" w:rsidRPr="00544B42">
        <w:rPr>
          <w:rFonts w:asciiTheme="minorBidi" w:hAnsiTheme="minorBidi"/>
          <w:bCs/>
        </w:rPr>
        <w:t>,</w:t>
      </w:r>
      <w:r w:rsidR="003947CD" w:rsidRPr="00544B42">
        <w:rPr>
          <w:rFonts w:asciiTheme="minorBidi" w:hAnsiTheme="minorBidi"/>
          <w:bCs/>
        </w:rPr>
        <w:t xml:space="preserve"> when attempts were </w:t>
      </w:r>
      <w:r w:rsidR="00CF76DF" w:rsidRPr="00544B42">
        <w:rPr>
          <w:rFonts w:asciiTheme="minorBidi" w:hAnsiTheme="minorBidi"/>
          <w:bCs/>
        </w:rPr>
        <w:t xml:space="preserve">apparently </w:t>
      </w:r>
      <w:r w:rsidR="003947CD" w:rsidRPr="00544B42">
        <w:rPr>
          <w:rFonts w:asciiTheme="minorBidi" w:hAnsiTheme="minorBidi"/>
          <w:bCs/>
        </w:rPr>
        <w:t xml:space="preserve">made to contact counsel. </w:t>
      </w:r>
      <w:r w:rsidR="00492F63" w:rsidRPr="00544B42">
        <w:rPr>
          <w:rFonts w:asciiTheme="minorBidi" w:hAnsiTheme="minorBidi"/>
          <w:bCs/>
        </w:rPr>
        <w:t xml:space="preserve">Difficulties with the health of counsel are mentioned without confirmation by counsel of those facts alleged. The allegations are thus hearsay in the mouth of the appellant. </w:t>
      </w:r>
      <w:r w:rsidR="00574641" w:rsidRPr="00544B42">
        <w:rPr>
          <w:rFonts w:asciiTheme="minorBidi" w:hAnsiTheme="minorBidi"/>
          <w:bCs/>
        </w:rPr>
        <w:t xml:space="preserve">Large chunks of time are simply glossed over. General societal issues are raised, presumably as a sop for any inadequacies in the appellant’s version. </w:t>
      </w:r>
      <w:r w:rsidR="00492F63" w:rsidRPr="00544B42">
        <w:rPr>
          <w:rFonts w:asciiTheme="minorBidi" w:hAnsiTheme="minorBidi"/>
          <w:bCs/>
        </w:rPr>
        <w:t>In short, the explanation provided is vague and un</w:t>
      </w:r>
      <w:r w:rsidR="003947CD" w:rsidRPr="00544B42">
        <w:rPr>
          <w:rFonts w:asciiTheme="minorBidi" w:hAnsiTheme="minorBidi"/>
          <w:bCs/>
        </w:rPr>
        <w:t>satisfactory</w:t>
      </w:r>
      <w:r w:rsidR="00492F63" w:rsidRPr="00544B42">
        <w:rPr>
          <w:rFonts w:asciiTheme="minorBidi" w:hAnsiTheme="minorBidi"/>
          <w:bCs/>
        </w:rPr>
        <w:t xml:space="preserve">. </w:t>
      </w:r>
    </w:p>
    <w:p w14:paraId="454D49D4" w14:textId="2D4CD8A5" w:rsidR="00492F63" w:rsidRPr="00492F63" w:rsidRDefault="00492F63" w:rsidP="00154AC7">
      <w:pPr>
        <w:pStyle w:val="NormalWeb"/>
        <w:shd w:val="clear" w:color="auto" w:fill="FFFFFF"/>
        <w:tabs>
          <w:tab w:val="left" w:pos="709"/>
        </w:tabs>
        <w:spacing w:before="0" w:beforeAutospacing="0" w:after="0" w:afterAutospacing="0" w:line="360" w:lineRule="auto"/>
        <w:jc w:val="both"/>
        <w:rPr>
          <w:rFonts w:asciiTheme="minorBidi" w:hAnsiTheme="minorBidi"/>
          <w:bCs/>
        </w:rPr>
      </w:pPr>
    </w:p>
    <w:p w14:paraId="41162881" w14:textId="57DF3160" w:rsidR="00933619" w:rsidRPr="002D6266" w:rsidRDefault="00544B42" w:rsidP="00544B42">
      <w:pPr>
        <w:spacing w:line="360" w:lineRule="auto"/>
        <w:jc w:val="both"/>
      </w:pPr>
      <w:r w:rsidRPr="002D6266">
        <w:rPr>
          <w:rFonts w:ascii="Arial" w:eastAsiaTheme="minorHAnsi" w:hAnsi="Arial" w:cs="Arial"/>
          <w:szCs w:val="22"/>
          <w:lang w:val="en-GB" w:eastAsia="en-US" w:bidi="ar-SA"/>
        </w:rPr>
        <w:t>[12]</w:t>
      </w:r>
      <w:r w:rsidRPr="002D6266">
        <w:rPr>
          <w:rFonts w:ascii="Arial" w:eastAsiaTheme="minorHAnsi" w:hAnsi="Arial" w:cs="Arial"/>
          <w:szCs w:val="22"/>
          <w:lang w:val="en-GB" w:eastAsia="en-US" w:bidi="ar-SA"/>
        </w:rPr>
        <w:tab/>
      </w:r>
      <w:r w:rsidR="00492F63" w:rsidRPr="00544B42">
        <w:rPr>
          <w:rFonts w:asciiTheme="minorBidi" w:hAnsiTheme="minorBidi"/>
          <w:bCs/>
        </w:rPr>
        <w:t xml:space="preserve">In addition, the appellant appears not to have brought the condonation </w:t>
      </w:r>
      <w:r w:rsidR="00A83213" w:rsidRPr="00544B42">
        <w:rPr>
          <w:rFonts w:asciiTheme="minorBidi" w:hAnsiTheme="minorBidi"/>
          <w:bCs/>
        </w:rPr>
        <w:t xml:space="preserve">application </w:t>
      </w:r>
      <w:r w:rsidR="00492F63" w:rsidRPr="00544B42">
        <w:rPr>
          <w:rFonts w:asciiTheme="minorBidi" w:hAnsiTheme="minorBidi"/>
          <w:bCs/>
        </w:rPr>
        <w:t>at the earliest opportunity available to him.</w:t>
      </w:r>
      <w:r w:rsidR="005F35B2">
        <w:rPr>
          <w:rStyle w:val="FootnoteReference"/>
          <w:rFonts w:asciiTheme="minorBidi" w:hAnsiTheme="minorBidi"/>
          <w:bCs/>
        </w:rPr>
        <w:footnoteReference w:id="6"/>
      </w:r>
      <w:r w:rsidR="00492F63" w:rsidRPr="00544B42">
        <w:rPr>
          <w:rFonts w:asciiTheme="minorBidi" w:hAnsiTheme="minorBidi"/>
          <w:bCs/>
        </w:rPr>
        <w:t xml:space="preserve"> </w:t>
      </w:r>
      <w:r w:rsidR="009E41D2" w:rsidRPr="00544B42">
        <w:rPr>
          <w:rFonts w:asciiTheme="minorBidi" w:hAnsiTheme="minorBidi"/>
          <w:bCs/>
        </w:rPr>
        <w:t xml:space="preserve">A delay in seeking condonation </w:t>
      </w:r>
      <w:r w:rsidR="000A6CAC" w:rsidRPr="00544B42">
        <w:rPr>
          <w:rFonts w:asciiTheme="minorBidi" w:hAnsiTheme="minorBidi"/>
          <w:bCs/>
        </w:rPr>
        <w:lastRenderedPageBreak/>
        <w:t>must itself be explained.</w:t>
      </w:r>
      <w:r w:rsidR="009E41D2">
        <w:rPr>
          <w:rStyle w:val="FootnoteReference"/>
          <w:rFonts w:asciiTheme="minorBidi" w:hAnsiTheme="minorBidi"/>
          <w:bCs/>
        </w:rPr>
        <w:footnoteReference w:id="7"/>
      </w:r>
      <w:r w:rsidR="000A6CAC" w:rsidRPr="00544B42">
        <w:rPr>
          <w:rFonts w:asciiTheme="minorBidi" w:hAnsiTheme="minorBidi"/>
          <w:bCs/>
        </w:rPr>
        <w:t xml:space="preserve"> </w:t>
      </w:r>
      <w:r w:rsidR="00933619" w:rsidRPr="00544B42">
        <w:rPr>
          <w:rFonts w:asciiTheme="minorBidi" w:hAnsiTheme="minorBidi"/>
          <w:bCs/>
        </w:rPr>
        <w:t xml:space="preserve">Given the difficulties that the appellant </w:t>
      </w:r>
      <w:r w:rsidR="00465DD2" w:rsidRPr="00544B42">
        <w:rPr>
          <w:rFonts w:asciiTheme="minorBidi" w:hAnsiTheme="minorBidi"/>
          <w:bCs/>
        </w:rPr>
        <w:t xml:space="preserve">allegedly </w:t>
      </w:r>
      <w:r w:rsidR="00933619" w:rsidRPr="00544B42">
        <w:rPr>
          <w:rFonts w:asciiTheme="minorBidi" w:hAnsiTheme="minorBidi"/>
          <w:bCs/>
        </w:rPr>
        <w:t xml:space="preserve">immediately faced </w:t>
      </w:r>
      <w:r w:rsidR="002E4F0D" w:rsidRPr="00544B42">
        <w:rPr>
          <w:rFonts w:asciiTheme="minorBidi" w:hAnsiTheme="minorBidi"/>
          <w:bCs/>
        </w:rPr>
        <w:t>concerning the acquisition of the record</w:t>
      </w:r>
      <w:r w:rsidR="00EA3FD2" w:rsidRPr="00544B42">
        <w:rPr>
          <w:rFonts w:asciiTheme="minorBidi" w:hAnsiTheme="minorBidi"/>
          <w:bCs/>
        </w:rPr>
        <w:t>,</w:t>
      </w:r>
      <w:r w:rsidR="002E4F0D" w:rsidRPr="00544B42">
        <w:rPr>
          <w:rFonts w:asciiTheme="minorBidi" w:hAnsiTheme="minorBidi"/>
          <w:bCs/>
        </w:rPr>
        <w:t xml:space="preserve"> </w:t>
      </w:r>
      <w:r w:rsidR="00933619" w:rsidRPr="00544B42">
        <w:rPr>
          <w:rFonts w:asciiTheme="minorBidi" w:hAnsiTheme="minorBidi"/>
          <w:bCs/>
        </w:rPr>
        <w:t>it must have been patently obvious to him and his attorney</w:t>
      </w:r>
      <w:r w:rsidR="00A83213" w:rsidRPr="00544B42">
        <w:rPr>
          <w:rFonts w:asciiTheme="minorBidi" w:hAnsiTheme="minorBidi"/>
          <w:bCs/>
        </w:rPr>
        <w:t>,</w:t>
      </w:r>
      <w:r w:rsidR="00933619" w:rsidRPr="00544B42">
        <w:rPr>
          <w:rFonts w:asciiTheme="minorBidi" w:hAnsiTheme="minorBidi"/>
          <w:bCs/>
        </w:rPr>
        <w:t xml:space="preserve"> </w:t>
      </w:r>
      <w:r w:rsidR="00A56069" w:rsidRPr="00544B42">
        <w:rPr>
          <w:rFonts w:asciiTheme="minorBidi" w:hAnsiTheme="minorBidi"/>
          <w:bCs/>
        </w:rPr>
        <w:t>almost from the moment that the regional magistrate provided his reasons</w:t>
      </w:r>
      <w:r w:rsidR="00A83213" w:rsidRPr="00544B42">
        <w:rPr>
          <w:rFonts w:asciiTheme="minorBidi" w:hAnsiTheme="minorBidi"/>
          <w:bCs/>
        </w:rPr>
        <w:t>,</w:t>
      </w:r>
      <w:r w:rsidR="00A56069" w:rsidRPr="00544B42">
        <w:rPr>
          <w:rFonts w:asciiTheme="minorBidi" w:hAnsiTheme="minorBidi"/>
          <w:bCs/>
        </w:rPr>
        <w:t xml:space="preserve"> </w:t>
      </w:r>
      <w:r w:rsidR="00933619" w:rsidRPr="00544B42">
        <w:rPr>
          <w:rFonts w:asciiTheme="minorBidi" w:hAnsiTheme="minorBidi"/>
          <w:bCs/>
        </w:rPr>
        <w:t xml:space="preserve">that he would not be </w:t>
      </w:r>
      <w:r w:rsidR="00803207" w:rsidRPr="00544B42">
        <w:rPr>
          <w:rFonts w:asciiTheme="minorBidi" w:hAnsiTheme="minorBidi"/>
          <w:bCs/>
        </w:rPr>
        <w:t xml:space="preserve">able to adhere to the prescribed time limits. </w:t>
      </w:r>
      <w:r w:rsidR="00A56069" w:rsidRPr="00544B42">
        <w:rPr>
          <w:rFonts w:asciiTheme="minorBidi" w:hAnsiTheme="minorBidi"/>
          <w:bCs/>
        </w:rPr>
        <w:t xml:space="preserve">He ought at that early stage to have sought </w:t>
      </w:r>
      <w:r w:rsidR="00D55B54" w:rsidRPr="00544B42">
        <w:rPr>
          <w:rFonts w:asciiTheme="minorBidi" w:hAnsiTheme="minorBidi"/>
          <w:bCs/>
        </w:rPr>
        <w:t>condonation but</w:t>
      </w:r>
      <w:r w:rsidR="00492F63" w:rsidRPr="00544B42">
        <w:rPr>
          <w:rFonts w:asciiTheme="minorBidi" w:hAnsiTheme="minorBidi"/>
          <w:bCs/>
        </w:rPr>
        <w:t xml:space="preserve"> did not do so.</w:t>
      </w:r>
    </w:p>
    <w:p w14:paraId="4A6BBDA8" w14:textId="77777777" w:rsidR="002D6266" w:rsidRDefault="002D6266" w:rsidP="002D6266">
      <w:pPr>
        <w:pStyle w:val="ListParagraph"/>
      </w:pPr>
    </w:p>
    <w:p w14:paraId="52D8502B" w14:textId="726FAAF4" w:rsidR="002D6266" w:rsidRPr="00544B42" w:rsidRDefault="00544B42" w:rsidP="00544B42">
      <w:pPr>
        <w:spacing w:line="360" w:lineRule="auto"/>
        <w:jc w:val="both"/>
        <w:rPr>
          <w:rFonts w:ascii="Arial" w:hAnsi="Arial" w:cs="Arial"/>
        </w:rPr>
      </w:pPr>
      <w:r w:rsidRPr="002D6266">
        <w:rPr>
          <w:rFonts w:ascii="Arial" w:eastAsiaTheme="minorHAnsi" w:hAnsi="Arial" w:cs="Arial"/>
          <w:lang w:val="en-GB" w:eastAsia="en-US" w:bidi="ar-SA"/>
        </w:rPr>
        <w:t>[13]</w:t>
      </w:r>
      <w:r w:rsidRPr="002D6266">
        <w:rPr>
          <w:rFonts w:ascii="Arial" w:eastAsiaTheme="minorHAnsi" w:hAnsi="Arial" w:cs="Arial"/>
          <w:lang w:val="en-GB" w:eastAsia="en-US" w:bidi="ar-SA"/>
        </w:rPr>
        <w:tab/>
      </w:r>
      <w:r w:rsidR="002D6266" w:rsidRPr="00544B42">
        <w:rPr>
          <w:color w:val="242121"/>
          <w:sz w:val="14"/>
          <w:szCs w:val="14"/>
          <w:shd w:val="clear" w:color="auto" w:fill="FFFFFF"/>
        </w:rPr>
        <w:t> </w:t>
      </w:r>
      <w:r w:rsidR="002D6266" w:rsidRPr="00544B42">
        <w:rPr>
          <w:rFonts w:ascii="Arial" w:hAnsi="Arial" w:cs="Arial"/>
          <w:color w:val="242121"/>
          <w:shd w:val="clear" w:color="auto" w:fill="FFFFFF"/>
        </w:rPr>
        <w:t xml:space="preserve">As was stated in </w:t>
      </w:r>
      <w:r w:rsidR="002D6266" w:rsidRPr="00544B42">
        <w:rPr>
          <w:rFonts w:ascii="Arial" w:hAnsi="Arial" w:cs="Arial"/>
          <w:i/>
          <w:color w:val="242121"/>
          <w:shd w:val="clear" w:color="auto" w:fill="FFFFFF"/>
        </w:rPr>
        <w:t>Van Wyk</w:t>
      </w:r>
      <w:r w:rsidR="002D6266" w:rsidRPr="00544B42">
        <w:rPr>
          <w:rFonts w:ascii="Arial" w:hAnsi="Arial" w:cs="Arial"/>
          <w:color w:val="242121"/>
          <w:shd w:val="clear" w:color="auto" w:fill="FFFFFF"/>
        </w:rPr>
        <w:t>:</w:t>
      </w:r>
    </w:p>
    <w:p w14:paraId="00891076" w14:textId="6D7C0EDE" w:rsidR="002D6266" w:rsidRPr="002D6266" w:rsidRDefault="002D6266" w:rsidP="0046438F">
      <w:pPr>
        <w:pStyle w:val="ListParagraph"/>
        <w:spacing w:after="0" w:line="360" w:lineRule="auto"/>
        <w:ind w:left="0"/>
        <w:jc w:val="both"/>
        <w:rPr>
          <w:rFonts w:ascii="Arial" w:hAnsi="Arial" w:cs="Arial"/>
        </w:rPr>
      </w:pPr>
      <w:r w:rsidRPr="002D6266">
        <w:rPr>
          <w:rFonts w:ascii="Arial" w:hAnsi="Arial" w:cs="Arial"/>
          <w:color w:val="242121"/>
          <w:shd w:val="clear" w:color="auto" w:fill="FFFFFF"/>
          <w:lang w:val="en-ZA"/>
        </w:rPr>
        <w:t>‘There is an important principle involved here.  An inordinate delay induces a reasonable belief that the order had become unassailable.  …  A litigant is entitled to have closure on litigation.  The principle of finality in litigation is intended to allow parties to get on with their lives.  After an inordinate delay a litigant is entitled to assume that the losing party has accepted the finality of the order and does not intend to pursue the matter any further.’</w:t>
      </w:r>
      <w:r>
        <w:rPr>
          <w:rStyle w:val="FootnoteReference"/>
          <w:rFonts w:ascii="Arial" w:hAnsi="Arial" w:cs="Arial"/>
          <w:color w:val="242121"/>
          <w:shd w:val="clear" w:color="auto" w:fill="FFFFFF"/>
          <w:lang w:val="en-ZA"/>
        </w:rPr>
        <w:footnoteReference w:id="8"/>
      </w:r>
      <w:r w:rsidRPr="002D6266">
        <w:rPr>
          <w:rFonts w:ascii="Arial" w:hAnsi="Arial" w:cs="Arial"/>
          <w:color w:val="242121"/>
          <w:shd w:val="clear" w:color="auto" w:fill="FFFFFF"/>
          <w:lang w:val="en-ZA"/>
        </w:rPr>
        <w:t xml:space="preserve">  </w:t>
      </w:r>
    </w:p>
    <w:p w14:paraId="0A1CA938" w14:textId="77777777" w:rsidR="00F8061C" w:rsidRPr="00B6734B" w:rsidRDefault="00F8061C" w:rsidP="0046438F">
      <w:pPr>
        <w:pStyle w:val="ListParagraph"/>
        <w:spacing w:after="0" w:line="360" w:lineRule="auto"/>
        <w:rPr>
          <w:rFonts w:asciiTheme="minorBidi" w:hAnsiTheme="minorBidi"/>
          <w:bCs/>
          <w:sz w:val="24"/>
          <w:szCs w:val="24"/>
        </w:rPr>
      </w:pPr>
    </w:p>
    <w:p w14:paraId="6F08B1A6" w14:textId="54D3F2D3" w:rsidR="008564B2" w:rsidRPr="008564B2" w:rsidRDefault="00544B42" w:rsidP="00544B42">
      <w:pPr>
        <w:spacing w:line="360" w:lineRule="auto"/>
        <w:jc w:val="both"/>
      </w:pPr>
      <w:r w:rsidRPr="008564B2">
        <w:rPr>
          <w:rFonts w:ascii="Arial" w:eastAsiaTheme="minorHAnsi" w:hAnsi="Arial" w:cs="Arial"/>
          <w:szCs w:val="22"/>
          <w:lang w:val="en-GB" w:eastAsia="en-US" w:bidi="ar-SA"/>
        </w:rPr>
        <w:t>[14]</w:t>
      </w:r>
      <w:r w:rsidRPr="008564B2">
        <w:rPr>
          <w:rFonts w:ascii="Arial" w:eastAsiaTheme="minorHAnsi" w:hAnsi="Arial" w:cs="Arial"/>
          <w:szCs w:val="22"/>
          <w:lang w:val="en-GB" w:eastAsia="en-US" w:bidi="ar-SA"/>
        </w:rPr>
        <w:tab/>
      </w:r>
      <w:r w:rsidR="008564B2" w:rsidRPr="00544B42">
        <w:rPr>
          <w:rFonts w:asciiTheme="minorBidi" w:hAnsiTheme="minorBidi"/>
          <w:bCs/>
        </w:rPr>
        <w:t xml:space="preserve">The appellant mentions </w:t>
      </w:r>
      <w:r w:rsidR="002D6266" w:rsidRPr="00544B42">
        <w:rPr>
          <w:rFonts w:asciiTheme="minorBidi" w:hAnsiTheme="minorBidi"/>
          <w:bCs/>
        </w:rPr>
        <w:t xml:space="preserve">in his condonation application </w:t>
      </w:r>
      <w:r w:rsidR="008564B2" w:rsidRPr="00544B42">
        <w:rPr>
          <w:rFonts w:asciiTheme="minorBidi" w:hAnsiTheme="minorBidi"/>
          <w:bCs/>
        </w:rPr>
        <w:t xml:space="preserve">that his prospects of success on appeal are </w:t>
      </w:r>
      <w:r w:rsidR="002D6266" w:rsidRPr="00544B42">
        <w:rPr>
          <w:rFonts w:asciiTheme="minorBidi" w:hAnsiTheme="minorBidi"/>
          <w:bCs/>
        </w:rPr>
        <w:t>‘</w:t>
      </w:r>
      <w:r w:rsidR="008564B2" w:rsidRPr="00544B42">
        <w:rPr>
          <w:rFonts w:asciiTheme="minorBidi" w:hAnsiTheme="minorBidi"/>
          <w:bCs/>
        </w:rPr>
        <w:t>more than favourable</w:t>
      </w:r>
      <w:r w:rsidR="002D6266" w:rsidRPr="00544B42">
        <w:rPr>
          <w:rFonts w:asciiTheme="minorBidi" w:hAnsiTheme="minorBidi"/>
          <w:bCs/>
        </w:rPr>
        <w:t>’</w:t>
      </w:r>
      <w:r w:rsidR="008564B2" w:rsidRPr="00544B42">
        <w:rPr>
          <w:rFonts w:asciiTheme="minorBidi" w:hAnsiTheme="minorBidi"/>
          <w:bCs/>
        </w:rPr>
        <w:t xml:space="preserve"> but says no more than that. </w:t>
      </w:r>
      <w:r w:rsidR="00492F63" w:rsidRPr="00544B42">
        <w:rPr>
          <w:rFonts w:asciiTheme="minorBidi" w:hAnsiTheme="minorBidi"/>
          <w:bCs/>
        </w:rPr>
        <w:t xml:space="preserve">I </w:t>
      </w:r>
      <w:r w:rsidR="008564B2" w:rsidRPr="00544B42">
        <w:rPr>
          <w:rFonts w:asciiTheme="minorBidi" w:hAnsiTheme="minorBidi"/>
          <w:bCs/>
        </w:rPr>
        <w:t>shall consider those prospects</w:t>
      </w:r>
      <w:r w:rsidR="002D6266" w:rsidRPr="00544B42">
        <w:rPr>
          <w:rFonts w:asciiTheme="minorBidi" w:hAnsiTheme="minorBidi"/>
          <w:bCs/>
        </w:rPr>
        <w:t xml:space="preserve"> in greater depth</w:t>
      </w:r>
      <w:r w:rsidR="008564B2" w:rsidRPr="00544B42">
        <w:rPr>
          <w:rFonts w:asciiTheme="minorBidi" w:hAnsiTheme="minorBidi"/>
          <w:bCs/>
        </w:rPr>
        <w:t>.</w:t>
      </w:r>
    </w:p>
    <w:p w14:paraId="40D72337" w14:textId="77777777" w:rsidR="008564B2" w:rsidRPr="008564B2" w:rsidRDefault="008564B2" w:rsidP="0046438F">
      <w:pPr>
        <w:pStyle w:val="ListParagraph"/>
        <w:spacing w:after="0" w:line="360" w:lineRule="auto"/>
        <w:rPr>
          <w:rFonts w:asciiTheme="minorBidi" w:hAnsiTheme="minorBidi"/>
          <w:bCs/>
          <w:sz w:val="24"/>
          <w:szCs w:val="24"/>
        </w:rPr>
      </w:pPr>
    </w:p>
    <w:p w14:paraId="08948058" w14:textId="17E8CB69" w:rsidR="00B80FB4" w:rsidRPr="00B5471C" w:rsidRDefault="00544B42" w:rsidP="00544B42">
      <w:pPr>
        <w:spacing w:line="360" w:lineRule="auto"/>
        <w:jc w:val="both"/>
      </w:pPr>
      <w:r w:rsidRPr="00B5471C">
        <w:rPr>
          <w:rFonts w:ascii="Arial" w:eastAsiaTheme="minorHAnsi" w:hAnsi="Arial" w:cs="Arial"/>
          <w:szCs w:val="22"/>
          <w:lang w:val="en-GB" w:eastAsia="en-US" w:bidi="ar-SA"/>
        </w:rPr>
        <w:t>[15]</w:t>
      </w:r>
      <w:r w:rsidRPr="00B5471C">
        <w:rPr>
          <w:rFonts w:ascii="Arial" w:eastAsiaTheme="minorHAnsi" w:hAnsi="Arial" w:cs="Arial"/>
          <w:szCs w:val="22"/>
          <w:lang w:val="en-GB" w:eastAsia="en-US" w:bidi="ar-SA"/>
        </w:rPr>
        <w:tab/>
      </w:r>
      <w:r w:rsidR="00B80FB4" w:rsidRPr="00544B42">
        <w:rPr>
          <w:rFonts w:asciiTheme="minorBidi" w:hAnsiTheme="minorBidi"/>
          <w:bCs/>
        </w:rPr>
        <w:t xml:space="preserve">The complainant was attempting to perform a transaction at an </w:t>
      </w:r>
      <w:r w:rsidR="00D637C0" w:rsidRPr="00544B42">
        <w:rPr>
          <w:rFonts w:asciiTheme="minorBidi" w:hAnsiTheme="minorBidi"/>
          <w:bCs/>
        </w:rPr>
        <w:t>ATM</w:t>
      </w:r>
      <w:r w:rsidR="00EA3FD2" w:rsidRPr="00544B42">
        <w:rPr>
          <w:rFonts w:asciiTheme="minorBidi" w:hAnsiTheme="minorBidi"/>
          <w:bCs/>
        </w:rPr>
        <w:t>,</w:t>
      </w:r>
      <w:r w:rsidR="00B80FB4" w:rsidRPr="00544B42">
        <w:rPr>
          <w:rFonts w:asciiTheme="minorBidi" w:hAnsiTheme="minorBidi"/>
          <w:bCs/>
        </w:rPr>
        <w:t xml:space="preserve"> when the appellant allegedly intervened and informed him that the machine was defective and that the </w:t>
      </w:r>
      <w:r w:rsidR="00D637C0" w:rsidRPr="00544B42">
        <w:rPr>
          <w:rFonts w:asciiTheme="minorBidi" w:hAnsiTheme="minorBidi"/>
          <w:bCs/>
        </w:rPr>
        <w:t xml:space="preserve">bank </w:t>
      </w:r>
      <w:r w:rsidR="00B80FB4" w:rsidRPr="00544B42">
        <w:rPr>
          <w:rFonts w:asciiTheme="minorBidi" w:hAnsiTheme="minorBidi"/>
          <w:bCs/>
        </w:rPr>
        <w:t>card should be inserted in</w:t>
      </w:r>
      <w:r w:rsidR="005F35B2" w:rsidRPr="00544B42">
        <w:rPr>
          <w:rFonts w:asciiTheme="minorBidi" w:hAnsiTheme="minorBidi"/>
          <w:bCs/>
        </w:rPr>
        <w:t>to the ATM in</w:t>
      </w:r>
      <w:r w:rsidR="00B80FB4" w:rsidRPr="00544B42">
        <w:rPr>
          <w:rFonts w:asciiTheme="minorBidi" w:hAnsiTheme="minorBidi"/>
          <w:bCs/>
        </w:rPr>
        <w:t xml:space="preserve"> a particular fashion. </w:t>
      </w:r>
      <w:r w:rsidR="005F35B2" w:rsidRPr="00544B42">
        <w:rPr>
          <w:rFonts w:asciiTheme="minorBidi" w:hAnsiTheme="minorBidi"/>
          <w:bCs/>
        </w:rPr>
        <w:t xml:space="preserve">The appellant </w:t>
      </w:r>
      <w:r w:rsidR="00B80FB4" w:rsidRPr="00544B42">
        <w:rPr>
          <w:rFonts w:asciiTheme="minorBidi" w:hAnsiTheme="minorBidi"/>
          <w:bCs/>
        </w:rPr>
        <w:t xml:space="preserve">then grabbed hold of the card being held by the </w:t>
      </w:r>
      <w:r w:rsidR="00B5471C" w:rsidRPr="00544B42">
        <w:rPr>
          <w:rFonts w:asciiTheme="minorBidi" w:hAnsiTheme="minorBidi"/>
          <w:bCs/>
        </w:rPr>
        <w:t>complainant</w:t>
      </w:r>
      <w:r w:rsidR="00B80FB4" w:rsidRPr="00544B42">
        <w:rPr>
          <w:rFonts w:asciiTheme="minorBidi" w:hAnsiTheme="minorBidi"/>
          <w:bCs/>
        </w:rPr>
        <w:t xml:space="preserve"> and somehow slipped it into the cuff of his shirt. The appellant allegedly</w:t>
      </w:r>
      <w:r w:rsidR="00EA3FD2" w:rsidRPr="00544B42">
        <w:rPr>
          <w:rFonts w:asciiTheme="minorBidi" w:hAnsiTheme="minorBidi"/>
          <w:bCs/>
        </w:rPr>
        <w:t>,</w:t>
      </w:r>
      <w:r w:rsidR="00B80FB4" w:rsidRPr="00544B42">
        <w:rPr>
          <w:rFonts w:asciiTheme="minorBidi" w:hAnsiTheme="minorBidi"/>
          <w:bCs/>
        </w:rPr>
        <w:t xml:space="preserve"> </w:t>
      </w:r>
      <w:r w:rsidR="00D637C0" w:rsidRPr="00544B42">
        <w:rPr>
          <w:rFonts w:asciiTheme="minorBidi" w:hAnsiTheme="minorBidi"/>
          <w:bCs/>
        </w:rPr>
        <w:t>nonetheless</w:t>
      </w:r>
      <w:r w:rsidR="00EA3FD2" w:rsidRPr="00544B42">
        <w:rPr>
          <w:rFonts w:asciiTheme="minorBidi" w:hAnsiTheme="minorBidi"/>
          <w:bCs/>
        </w:rPr>
        <w:t>,</w:t>
      </w:r>
      <w:r w:rsidR="00D637C0" w:rsidRPr="00544B42">
        <w:rPr>
          <w:rFonts w:asciiTheme="minorBidi" w:hAnsiTheme="minorBidi"/>
          <w:bCs/>
        </w:rPr>
        <w:t xml:space="preserve"> </w:t>
      </w:r>
      <w:r w:rsidR="00B80FB4" w:rsidRPr="00544B42">
        <w:rPr>
          <w:rFonts w:asciiTheme="minorBidi" w:hAnsiTheme="minorBidi"/>
          <w:bCs/>
        </w:rPr>
        <w:t xml:space="preserve">convinced the </w:t>
      </w:r>
      <w:r w:rsidR="00D637C0" w:rsidRPr="00544B42">
        <w:rPr>
          <w:rFonts w:asciiTheme="minorBidi" w:hAnsiTheme="minorBidi"/>
          <w:bCs/>
        </w:rPr>
        <w:t xml:space="preserve">bewildered </w:t>
      </w:r>
      <w:r w:rsidR="00B80FB4" w:rsidRPr="00544B42">
        <w:rPr>
          <w:rFonts w:asciiTheme="minorBidi" w:hAnsiTheme="minorBidi"/>
          <w:bCs/>
        </w:rPr>
        <w:t xml:space="preserve">complainant that he had inserted the card into the </w:t>
      </w:r>
      <w:r w:rsidR="00D637C0" w:rsidRPr="00544B42">
        <w:rPr>
          <w:rFonts w:asciiTheme="minorBidi" w:hAnsiTheme="minorBidi"/>
          <w:bCs/>
        </w:rPr>
        <w:t>ATM</w:t>
      </w:r>
      <w:r w:rsidR="00B80FB4" w:rsidRPr="00544B42">
        <w:rPr>
          <w:rFonts w:asciiTheme="minorBidi" w:hAnsiTheme="minorBidi"/>
          <w:bCs/>
        </w:rPr>
        <w:t xml:space="preserve"> and urged the </w:t>
      </w:r>
      <w:r w:rsidR="00B5471C" w:rsidRPr="00544B42">
        <w:rPr>
          <w:rFonts w:asciiTheme="minorBidi" w:hAnsiTheme="minorBidi"/>
          <w:bCs/>
        </w:rPr>
        <w:t>complainant</w:t>
      </w:r>
      <w:r w:rsidR="00B80FB4" w:rsidRPr="00544B42">
        <w:rPr>
          <w:rFonts w:asciiTheme="minorBidi" w:hAnsiTheme="minorBidi"/>
          <w:bCs/>
        </w:rPr>
        <w:t xml:space="preserve"> to enter his </w:t>
      </w:r>
      <w:r w:rsidR="00EA3FD2" w:rsidRPr="00544B42">
        <w:rPr>
          <w:rFonts w:asciiTheme="minorBidi" w:hAnsiTheme="minorBidi"/>
          <w:bCs/>
        </w:rPr>
        <w:t xml:space="preserve">pin </w:t>
      </w:r>
      <w:r w:rsidR="00B80FB4" w:rsidRPr="00544B42">
        <w:rPr>
          <w:rFonts w:asciiTheme="minorBidi" w:hAnsiTheme="minorBidi"/>
          <w:bCs/>
        </w:rPr>
        <w:t>code</w:t>
      </w:r>
      <w:r w:rsidR="004364AE" w:rsidRPr="00544B42">
        <w:rPr>
          <w:rFonts w:asciiTheme="minorBidi" w:hAnsiTheme="minorBidi"/>
          <w:bCs/>
        </w:rPr>
        <w:t xml:space="preserve"> into the machine</w:t>
      </w:r>
      <w:r w:rsidR="00B80FB4" w:rsidRPr="00544B42">
        <w:rPr>
          <w:rFonts w:asciiTheme="minorBidi" w:hAnsiTheme="minorBidi"/>
          <w:bCs/>
        </w:rPr>
        <w:t xml:space="preserve">, which the complainant </w:t>
      </w:r>
      <w:r w:rsidR="00D637C0" w:rsidRPr="00544B42">
        <w:rPr>
          <w:rFonts w:asciiTheme="minorBidi" w:hAnsiTheme="minorBidi"/>
          <w:bCs/>
        </w:rPr>
        <w:t xml:space="preserve">in his confusion </w:t>
      </w:r>
      <w:r w:rsidR="00B80FB4" w:rsidRPr="00544B42">
        <w:rPr>
          <w:rFonts w:asciiTheme="minorBidi" w:hAnsiTheme="minorBidi"/>
          <w:bCs/>
        </w:rPr>
        <w:t xml:space="preserve">then did. After the code had been inserted, the appellant </w:t>
      </w:r>
      <w:r w:rsidR="00B5471C" w:rsidRPr="00544B42">
        <w:rPr>
          <w:rFonts w:asciiTheme="minorBidi" w:hAnsiTheme="minorBidi"/>
          <w:bCs/>
        </w:rPr>
        <w:t>fled</w:t>
      </w:r>
      <w:r w:rsidR="00B80FB4" w:rsidRPr="00544B42">
        <w:rPr>
          <w:rFonts w:asciiTheme="minorBidi" w:hAnsiTheme="minorBidi"/>
          <w:bCs/>
        </w:rPr>
        <w:t xml:space="preserve"> and was </w:t>
      </w:r>
      <w:r w:rsidR="00D637C0" w:rsidRPr="00544B42">
        <w:rPr>
          <w:rFonts w:asciiTheme="minorBidi" w:hAnsiTheme="minorBidi"/>
          <w:bCs/>
        </w:rPr>
        <w:t xml:space="preserve">hotly </w:t>
      </w:r>
      <w:r w:rsidR="00B80FB4" w:rsidRPr="00544B42">
        <w:rPr>
          <w:rFonts w:asciiTheme="minorBidi" w:hAnsiTheme="minorBidi"/>
          <w:bCs/>
        </w:rPr>
        <w:t xml:space="preserve">pursued by the complainant. </w:t>
      </w:r>
      <w:r w:rsidR="00D637C0" w:rsidRPr="00544B42">
        <w:rPr>
          <w:rFonts w:asciiTheme="minorBidi" w:hAnsiTheme="minorBidi"/>
          <w:bCs/>
        </w:rPr>
        <w:t xml:space="preserve">He still had the complainant’s bank </w:t>
      </w:r>
      <w:r w:rsidR="00FE65D7" w:rsidRPr="00544B42">
        <w:rPr>
          <w:rFonts w:asciiTheme="minorBidi" w:hAnsiTheme="minorBidi"/>
          <w:bCs/>
        </w:rPr>
        <w:t>card,</w:t>
      </w:r>
      <w:r w:rsidR="00D637C0" w:rsidRPr="00544B42">
        <w:rPr>
          <w:rFonts w:asciiTheme="minorBidi" w:hAnsiTheme="minorBidi"/>
          <w:bCs/>
        </w:rPr>
        <w:t xml:space="preserve"> and he now knew his </w:t>
      </w:r>
      <w:r w:rsidR="00EA3FD2" w:rsidRPr="00544B42">
        <w:rPr>
          <w:rFonts w:asciiTheme="minorBidi" w:hAnsiTheme="minorBidi"/>
          <w:bCs/>
        </w:rPr>
        <w:t xml:space="preserve">pin </w:t>
      </w:r>
      <w:r w:rsidR="00D637C0" w:rsidRPr="00544B42">
        <w:rPr>
          <w:rFonts w:asciiTheme="minorBidi" w:hAnsiTheme="minorBidi"/>
          <w:bCs/>
        </w:rPr>
        <w:t xml:space="preserve">code. </w:t>
      </w:r>
      <w:r w:rsidR="00B80FB4" w:rsidRPr="00544B42">
        <w:rPr>
          <w:rFonts w:asciiTheme="minorBidi" w:hAnsiTheme="minorBidi"/>
          <w:bCs/>
        </w:rPr>
        <w:t xml:space="preserve">As he pursued the appellant, </w:t>
      </w:r>
      <w:r w:rsidR="00D637C0" w:rsidRPr="00544B42">
        <w:rPr>
          <w:rFonts w:asciiTheme="minorBidi" w:hAnsiTheme="minorBidi"/>
          <w:bCs/>
        </w:rPr>
        <w:t xml:space="preserve">the complainant noticed </w:t>
      </w:r>
      <w:r w:rsidR="00B80FB4" w:rsidRPr="00544B42">
        <w:rPr>
          <w:rFonts w:asciiTheme="minorBidi" w:hAnsiTheme="minorBidi"/>
          <w:bCs/>
        </w:rPr>
        <w:t>a motor vehicle slowly dr</w:t>
      </w:r>
      <w:r w:rsidR="00D637C0" w:rsidRPr="00544B42">
        <w:rPr>
          <w:rFonts w:asciiTheme="minorBidi" w:hAnsiTheme="minorBidi"/>
          <w:bCs/>
        </w:rPr>
        <w:t>i</w:t>
      </w:r>
      <w:r w:rsidR="00B80FB4" w:rsidRPr="00544B42">
        <w:rPr>
          <w:rFonts w:asciiTheme="minorBidi" w:hAnsiTheme="minorBidi"/>
          <w:bCs/>
        </w:rPr>
        <w:t>v</w:t>
      </w:r>
      <w:r w:rsidR="00D637C0" w:rsidRPr="00544B42">
        <w:rPr>
          <w:rFonts w:asciiTheme="minorBidi" w:hAnsiTheme="minorBidi"/>
          <w:bCs/>
        </w:rPr>
        <w:t>ing</w:t>
      </w:r>
      <w:r w:rsidR="00B80FB4" w:rsidRPr="00544B42">
        <w:rPr>
          <w:rFonts w:asciiTheme="minorBidi" w:hAnsiTheme="minorBidi"/>
          <w:bCs/>
        </w:rPr>
        <w:t xml:space="preserve"> along the road </w:t>
      </w:r>
      <w:r w:rsidR="00743A1D" w:rsidRPr="00544B42">
        <w:rPr>
          <w:rFonts w:asciiTheme="minorBidi" w:hAnsiTheme="minorBidi"/>
          <w:bCs/>
        </w:rPr>
        <w:t>next to which they were running</w:t>
      </w:r>
      <w:r w:rsidR="004364AE" w:rsidRPr="00544B42">
        <w:rPr>
          <w:rFonts w:asciiTheme="minorBidi" w:hAnsiTheme="minorBidi"/>
          <w:bCs/>
        </w:rPr>
        <w:t>. The motor vehicle was proceeding</w:t>
      </w:r>
      <w:r w:rsidR="00743A1D" w:rsidRPr="00544B42">
        <w:rPr>
          <w:rFonts w:asciiTheme="minorBidi" w:hAnsiTheme="minorBidi"/>
          <w:bCs/>
        </w:rPr>
        <w:t xml:space="preserve"> </w:t>
      </w:r>
      <w:r w:rsidR="00B80FB4" w:rsidRPr="00544B42">
        <w:rPr>
          <w:rFonts w:asciiTheme="minorBidi" w:hAnsiTheme="minorBidi"/>
          <w:bCs/>
        </w:rPr>
        <w:t xml:space="preserve">in the </w:t>
      </w:r>
      <w:r w:rsidR="00743A1D" w:rsidRPr="00544B42">
        <w:rPr>
          <w:rFonts w:asciiTheme="minorBidi" w:hAnsiTheme="minorBidi"/>
          <w:bCs/>
        </w:rPr>
        <w:t xml:space="preserve">same </w:t>
      </w:r>
      <w:r w:rsidR="00B80FB4" w:rsidRPr="00544B42">
        <w:rPr>
          <w:rFonts w:asciiTheme="minorBidi" w:hAnsiTheme="minorBidi"/>
          <w:bCs/>
        </w:rPr>
        <w:t>direction that the appellant and the complain</w:t>
      </w:r>
      <w:r w:rsidR="00B5471C" w:rsidRPr="00544B42">
        <w:rPr>
          <w:rFonts w:asciiTheme="minorBidi" w:hAnsiTheme="minorBidi"/>
          <w:bCs/>
        </w:rPr>
        <w:t>an</w:t>
      </w:r>
      <w:r w:rsidR="00B80FB4" w:rsidRPr="00544B42">
        <w:rPr>
          <w:rFonts w:asciiTheme="minorBidi" w:hAnsiTheme="minorBidi"/>
          <w:bCs/>
        </w:rPr>
        <w:t xml:space="preserve">t were running. Running next to the driver’s side of the </w:t>
      </w:r>
      <w:r w:rsidR="0046438F" w:rsidRPr="00544B42">
        <w:rPr>
          <w:rFonts w:asciiTheme="minorBidi" w:hAnsiTheme="minorBidi"/>
          <w:bCs/>
        </w:rPr>
        <w:t xml:space="preserve">motor </w:t>
      </w:r>
      <w:r w:rsidR="00B80FB4" w:rsidRPr="00544B42">
        <w:rPr>
          <w:rFonts w:asciiTheme="minorBidi" w:hAnsiTheme="minorBidi"/>
          <w:bCs/>
        </w:rPr>
        <w:t xml:space="preserve">vehicle was </w:t>
      </w:r>
      <w:r w:rsidR="00EA3FD2" w:rsidRPr="00544B42">
        <w:rPr>
          <w:rFonts w:asciiTheme="minorBidi" w:hAnsiTheme="minorBidi"/>
          <w:bCs/>
        </w:rPr>
        <w:t xml:space="preserve">a </w:t>
      </w:r>
      <w:r w:rsidR="00743A1D" w:rsidRPr="00544B42">
        <w:rPr>
          <w:rFonts w:asciiTheme="minorBidi" w:hAnsiTheme="minorBidi"/>
          <w:bCs/>
        </w:rPr>
        <w:t>third person</w:t>
      </w:r>
      <w:r w:rsidR="00B80FB4" w:rsidRPr="00544B42">
        <w:rPr>
          <w:rFonts w:asciiTheme="minorBidi" w:hAnsiTheme="minorBidi"/>
          <w:bCs/>
        </w:rPr>
        <w:t xml:space="preserve"> with a firearm.  </w:t>
      </w:r>
      <w:r w:rsidR="00743A1D" w:rsidRPr="00544B42">
        <w:rPr>
          <w:rFonts w:asciiTheme="minorBidi" w:hAnsiTheme="minorBidi"/>
          <w:bCs/>
        </w:rPr>
        <w:t>The third person</w:t>
      </w:r>
      <w:r w:rsidR="00B80FB4" w:rsidRPr="00544B42">
        <w:rPr>
          <w:rFonts w:asciiTheme="minorBidi" w:hAnsiTheme="minorBidi"/>
          <w:bCs/>
        </w:rPr>
        <w:t xml:space="preserve"> fired at the complainant and the appellant allegedly </w:t>
      </w:r>
      <w:r w:rsidR="00B80FB4" w:rsidRPr="00544B42">
        <w:rPr>
          <w:rFonts w:asciiTheme="minorBidi" w:hAnsiTheme="minorBidi"/>
          <w:bCs/>
        </w:rPr>
        <w:lastRenderedPageBreak/>
        <w:t xml:space="preserve">turned to face the complainant and also fired at him. </w:t>
      </w:r>
      <w:r w:rsidR="00743A1D" w:rsidRPr="00544B42">
        <w:rPr>
          <w:rFonts w:asciiTheme="minorBidi" w:hAnsiTheme="minorBidi"/>
          <w:bCs/>
        </w:rPr>
        <w:t xml:space="preserve">The third person </w:t>
      </w:r>
      <w:r w:rsidR="008564B2" w:rsidRPr="00544B42">
        <w:rPr>
          <w:rFonts w:asciiTheme="minorBidi" w:hAnsiTheme="minorBidi"/>
          <w:bCs/>
        </w:rPr>
        <w:t xml:space="preserve">then </w:t>
      </w:r>
      <w:r w:rsidR="00743A1D" w:rsidRPr="00544B42">
        <w:rPr>
          <w:rFonts w:asciiTheme="minorBidi" w:hAnsiTheme="minorBidi"/>
          <w:bCs/>
        </w:rPr>
        <w:t xml:space="preserve">got into the motor vehicle. </w:t>
      </w:r>
      <w:r w:rsidR="00B5471C" w:rsidRPr="00544B42">
        <w:rPr>
          <w:rFonts w:asciiTheme="minorBidi" w:hAnsiTheme="minorBidi"/>
          <w:bCs/>
        </w:rPr>
        <w:t xml:space="preserve">The complainant fired back </w:t>
      </w:r>
      <w:r w:rsidR="00743A1D" w:rsidRPr="00544B42">
        <w:rPr>
          <w:rFonts w:asciiTheme="minorBidi" w:hAnsiTheme="minorBidi"/>
          <w:bCs/>
        </w:rPr>
        <w:t xml:space="preserve">at the appellant </w:t>
      </w:r>
      <w:r w:rsidR="00B5471C" w:rsidRPr="00544B42">
        <w:rPr>
          <w:rFonts w:asciiTheme="minorBidi" w:hAnsiTheme="minorBidi"/>
          <w:bCs/>
        </w:rPr>
        <w:t xml:space="preserve">with his firearm and hit </w:t>
      </w:r>
      <w:r w:rsidR="00743A1D" w:rsidRPr="00544B42">
        <w:rPr>
          <w:rFonts w:asciiTheme="minorBidi" w:hAnsiTheme="minorBidi"/>
          <w:bCs/>
        </w:rPr>
        <w:t>him</w:t>
      </w:r>
      <w:r w:rsidR="004364AE" w:rsidRPr="00544B42">
        <w:rPr>
          <w:rFonts w:asciiTheme="minorBidi" w:hAnsiTheme="minorBidi"/>
          <w:bCs/>
        </w:rPr>
        <w:t>. The appellant then</w:t>
      </w:r>
      <w:r w:rsidR="00B5471C" w:rsidRPr="00544B42">
        <w:rPr>
          <w:rFonts w:asciiTheme="minorBidi" w:hAnsiTheme="minorBidi"/>
          <w:bCs/>
        </w:rPr>
        <w:t xml:space="preserve"> attempted to get into the </w:t>
      </w:r>
      <w:r w:rsidR="00743A1D" w:rsidRPr="00544B42">
        <w:rPr>
          <w:rFonts w:asciiTheme="minorBidi" w:hAnsiTheme="minorBidi"/>
          <w:bCs/>
        </w:rPr>
        <w:t xml:space="preserve">motor </w:t>
      </w:r>
      <w:r w:rsidR="00857DC4" w:rsidRPr="00544B42">
        <w:rPr>
          <w:rFonts w:asciiTheme="minorBidi" w:hAnsiTheme="minorBidi"/>
          <w:bCs/>
        </w:rPr>
        <w:t xml:space="preserve">vehicle </w:t>
      </w:r>
      <w:r w:rsidR="0046438F" w:rsidRPr="00544B42">
        <w:rPr>
          <w:rFonts w:asciiTheme="minorBidi" w:hAnsiTheme="minorBidi"/>
          <w:bCs/>
        </w:rPr>
        <w:t xml:space="preserve">through the left rear passenger door </w:t>
      </w:r>
      <w:r w:rsidR="00857DC4" w:rsidRPr="00544B42">
        <w:rPr>
          <w:rFonts w:asciiTheme="minorBidi" w:hAnsiTheme="minorBidi"/>
          <w:bCs/>
        </w:rPr>
        <w:t>but</w:t>
      </w:r>
      <w:r w:rsidR="00B5471C" w:rsidRPr="00544B42">
        <w:rPr>
          <w:rFonts w:asciiTheme="minorBidi" w:hAnsiTheme="minorBidi"/>
          <w:bCs/>
        </w:rPr>
        <w:t xml:space="preserve"> fell and was left lying in the road where the complainant found him and held him until the SAPS arrived.</w:t>
      </w:r>
      <w:r w:rsidR="00743A1D" w:rsidRPr="00544B42">
        <w:rPr>
          <w:rFonts w:asciiTheme="minorBidi" w:hAnsiTheme="minorBidi"/>
          <w:bCs/>
        </w:rPr>
        <w:t xml:space="preserve"> The motor vehicle left the scene with the third person inside.</w:t>
      </w:r>
      <w:r w:rsidR="00B5471C" w:rsidRPr="00544B42">
        <w:rPr>
          <w:rFonts w:asciiTheme="minorBidi" w:hAnsiTheme="minorBidi"/>
          <w:bCs/>
        </w:rPr>
        <w:t xml:space="preserve"> </w:t>
      </w:r>
      <w:r w:rsidR="00076547" w:rsidRPr="00544B42">
        <w:rPr>
          <w:rFonts w:asciiTheme="minorBidi" w:hAnsiTheme="minorBidi"/>
          <w:bCs/>
        </w:rPr>
        <w:t>The complainant</w:t>
      </w:r>
      <w:r w:rsidR="00EA3FD2" w:rsidRPr="00544B42">
        <w:rPr>
          <w:rFonts w:asciiTheme="minorBidi" w:hAnsiTheme="minorBidi"/>
          <w:bCs/>
        </w:rPr>
        <w:t xml:space="preserve"> found his</w:t>
      </w:r>
      <w:r w:rsidR="00076547" w:rsidRPr="00544B42">
        <w:rPr>
          <w:rFonts w:asciiTheme="minorBidi" w:hAnsiTheme="minorBidi"/>
          <w:bCs/>
        </w:rPr>
        <w:t xml:space="preserve"> ATM card with the appellant. Upon the arrival of the SAPS members at the scene, </w:t>
      </w:r>
      <w:r w:rsidR="00515438" w:rsidRPr="00544B42">
        <w:rPr>
          <w:rFonts w:asciiTheme="minorBidi" w:hAnsiTheme="minorBidi"/>
          <w:bCs/>
        </w:rPr>
        <w:t>the complainant explained his version of events and then deposed to an affidavit in which he again repeated those allegations under oath. The</w:t>
      </w:r>
      <w:r w:rsidR="00B5471C" w:rsidRPr="00544B42">
        <w:rPr>
          <w:rFonts w:asciiTheme="minorBidi" w:hAnsiTheme="minorBidi"/>
          <w:bCs/>
        </w:rPr>
        <w:t xml:space="preserve"> appellant was </w:t>
      </w:r>
      <w:r w:rsidR="008564B2" w:rsidRPr="00544B42">
        <w:rPr>
          <w:rFonts w:asciiTheme="minorBidi" w:hAnsiTheme="minorBidi"/>
          <w:bCs/>
        </w:rPr>
        <w:t xml:space="preserve">consequently </w:t>
      </w:r>
      <w:r w:rsidR="00B5471C" w:rsidRPr="00544B42">
        <w:rPr>
          <w:rFonts w:asciiTheme="minorBidi" w:hAnsiTheme="minorBidi"/>
          <w:bCs/>
        </w:rPr>
        <w:t>arrested and taken to King Edward</w:t>
      </w:r>
      <w:r w:rsidR="00EA3FD2" w:rsidRPr="00544B42">
        <w:rPr>
          <w:rFonts w:asciiTheme="minorBidi" w:hAnsiTheme="minorBidi"/>
          <w:bCs/>
        </w:rPr>
        <w:t xml:space="preserve"> VIII</w:t>
      </w:r>
      <w:r w:rsidR="00B5471C" w:rsidRPr="00544B42">
        <w:rPr>
          <w:rFonts w:asciiTheme="minorBidi" w:hAnsiTheme="minorBidi"/>
          <w:bCs/>
        </w:rPr>
        <w:t xml:space="preserve"> Hospital.</w:t>
      </w:r>
    </w:p>
    <w:p w14:paraId="440C6FE2" w14:textId="77777777" w:rsidR="00B5471C" w:rsidRPr="00B5471C" w:rsidRDefault="00B5471C" w:rsidP="00B5471C">
      <w:pPr>
        <w:pStyle w:val="ListParagraph"/>
        <w:spacing w:after="0" w:line="360" w:lineRule="auto"/>
        <w:ind w:left="0"/>
        <w:jc w:val="both"/>
      </w:pPr>
    </w:p>
    <w:p w14:paraId="2C2D089F" w14:textId="18EDAAB9" w:rsidR="0001183D" w:rsidRPr="00544B42" w:rsidRDefault="00544B42" w:rsidP="00544B42">
      <w:pPr>
        <w:spacing w:line="360" w:lineRule="auto"/>
        <w:jc w:val="both"/>
        <w:rPr>
          <w:rFonts w:asciiTheme="minorBidi" w:hAnsiTheme="minorBidi"/>
        </w:rPr>
      </w:pPr>
      <w:r w:rsidRPr="00515438">
        <w:rPr>
          <w:rFonts w:ascii="Arial" w:eastAsiaTheme="minorHAnsi" w:hAnsi="Arial" w:cs="Arial"/>
          <w:lang w:val="en-GB" w:eastAsia="en-US" w:bidi="ar-SA"/>
        </w:rPr>
        <w:t>[16]</w:t>
      </w:r>
      <w:r w:rsidRPr="00515438">
        <w:rPr>
          <w:rFonts w:ascii="Arial" w:eastAsiaTheme="minorHAnsi" w:hAnsi="Arial" w:cs="Arial"/>
          <w:lang w:val="en-GB" w:eastAsia="en-US" w:bidi="ar-SA"/>
        </w:rPr>
        <w:tab/>
      </w:r>
      <w:r w:rsidR="00B5471C" w:rsidRPr="00544B42">
        <w:rPr>
          <w:rFonts w:asciiTheme="minorBidi" w:hAnsiTheme="minorBidi"/>
          <w:bCs/>
        </w:rPr>
        <w:t xml:space="preserve">There was no evidence to gainsay the presence of the </w:t>
      </w:r>
      <w:r w:rsidR="00743A1D" w:rsidRPr="00544B42">
        <w:rPr>
          <w:rFonts w:asciiTheme="minorBidi" w:hAnsiTheme="minorBidi"/>
          <w:bCs/>
        </w:rPr>
        <w:t xml:space="preserve">motor </w:t>
      </w:r>
      <w:r w:rsidR="00B5471C" w:rsidRPr="00544B42">
        <w:rPr>
          <w:rFonts w:asciiTheme="minorBidi" w:hAnsiTheme="minorBidi"/>
          <w:bCs/>
        </w:rPr>
        <w:t xml:space="preserve">vehicle or the active involvement </w:t>
      </w:r>
      <w:r w:rsidR="009D6BEF" w:rsidRPr="00544B42">
        <w:rPr>
          <w:rFonts w:asciiTheme="minorBidi" w:hAnsiTheme="minorBidi"/>
          <w:bCs/>
        </w:rPr>
        <w:t xml:space="preserve">of the third person </w:t>
      </w:r>
      <w:r w:rsidR="00743A1D" w:rsidRPr="00544B42">
        <w:rPr>
          <w:rFonts w:asciiTheme="minorBidi" w:hAnsiTheme="minorBidi"/>
          <w:bCs/>
        </w:rPr>
        <w:t>in the events</w:t>
      </w:r>
      <w:r w:rsidR="00B5471C" w:rsidRPr="00544B42">
        <w:rPr>
          <w:rFonts w:asciiTheme="minorBidi" w:hAnsiTheme="minorBidi"/>
          <w:bCs/>
        </w:rPr>
        <w:t xml:space="preserve">. The fact that the third person involved himself in </w:t>
      </w:r>
      <w:r w:rsidR="00EA3FD2" w:rsidRPr="00544B42">
        <w:rPr>
          <w:rFonts w:asciiTheme="minorBidi" w:hAnsiTheme="minorBidi"/>
          <w:bCs/>
        </w:rPr>
        <w:t xml:space="preserve">the </w:t>
      </w:r>
      <w:r w:rsidR="00B5471C" w:rsidRPr="00544B42">
        <w:rPr>
          <w:rFonts w:asciiTheme="minorBidi" w:hAnsiTheme="minorBidi"/>
          <w:bCs/>
        </w:rPr>
        <w:t xml:space="preserve">events is a strong indication that the appellant was part of a scheme to rob unsuspecting persons at the ATM. </w:t>
      </w:r>
      <w:r w:rsidR="008564B2" w:rsidRPr="00544B42">
        <w:rPr>
          <w:rFonts w:asciiTheme="minorBidi" w:hAnsiTheme="minorBidi"/>
          <w:bCs/>
        </w:rPr>
        <w:t xml:space="preserve">And it allays any doubts that may exist about the identity of the person who attempted to rob the complainant: that person was the person who was shot and who tried to get into the motor vehicle. </w:t>
      </w:r>
      <w:r w:rsidR="00E97EE6" w:rsidRPr="00544B42">
        <w:rPr>
          <w:rFonts w:asciiTheme="minorBidi" w:hAnsiTheme="minorBidi"/>
          <w:bCs/>
        </w:rPr>
        <w:t xml:space="preserve">There can be no other explanation for </w:t>
      </w:r>
      <w:r w:rsidR="00743A1D" w:rsidRPr="00544B42">
        <w:rPr>
          <w:rFonts w:asciiTheme="minorBidi" w:hAnsiTheme="minorBidi"/>
          <w:bCs/>
        </w:rPr>
        <w:t xml:space="preserve">the </w:t>
      </w:r>
      <w:r w:rsidR="00E97EE6" w:rsidRPr="00544B42">
        <w:rPr>
          <w:rFonts w:asciiTheme="minorBidi" w:hAnsiTheme="minorBidi"/>
          <w:bCs/>
        </w:rPr>
        <w:t xml:space="preserve">involvement of the third person other than that he was interceding to assist the appellant to escape </w:t>
      </w:r>
      <w:r w:rsidR="007209FB" w:rsidRPr="00544B42">
        <w:rPr>
          <w:rFonts w:asciiTheme="minorBidi" w:hAnsiTheme="minorBidi"/>
          <w:bCs/>
        </w:rPr>
        <w:t>from the complainant</w:t>
      </w:r>
      <w:r w:rsidR="00E97EE6" w:rsidRPr="00544B42">
        <w:rPr>
          <w:rFonts w:asciiTheme="minorBidi" w:hAnsiTheme="minorBidi"/>
          <w:bCs/>
        </w:rPr>
        <w:t xml:space="preserve">. </w:t>
      </w:r>
    </w:p>
    <w:p w14:paraId="7CC8C4D6" w14:textId="77777777" w:rsidR="00515438" w:rsidRPr="00515438" w:rsidRDefault="00515438" w:rsidP="00515438">
      <w:pPr>
        <w:pStyle w:val="ListParagraph"/>
        <w:spacing w:line="360" w:lineRule="auto"/>
        <w:rPr>
          <w:rFonts w:asciiTheme="minorBidi" w:hAnsiTheme="minorBidi"/>
          <w:sz w:val="24"/>
          <w:szCs w:val="24"/>
        </w:rPr>
      </w:pPr>
    </w:p>
    <w:p w14:paraId="640A5E19" w14:textId="0F8487B3" w:rsidR="00515438" w:rsidRPr="00544B42" w:rsidRDefault="00544B42" w:rsidP="00544B42">
      <w:pPr>
        <w:spacing w:line="360" w:lineRule="auto"/>
        <w:jc w:val="both"/>
        <w:rPr>
          <w:rFonts w:asciiTheme="minorBidi" w:hAnsiTheme="minorBidi"/>
        </w:rPr>
      </w:pPr>
      <w:r w:rsidRPr="009A5B2E">
        <w:rPr>
          <w:rFonts w:ascii="Arial" w:eastAsiaTheme="minorHAnsi" w:hAnsi="Arial" w:cs="Arial"/>
          <w:lang w:val="en-GB" w:eastAsia="en-US" w:bidi="ar-SA"/>
        </w:rPr>
        <w:t>[17]</w:t>
      </w:r>
      <w:r w:rsidRPr="009A5B2E">
        <w:rPr>
          <w:rFonts w:ascii="Arial" w:eastAsiaTheme="minorHAnsi" w:hAnsi="Arial" w:cs="Arial"/>
          <w:lang w:val="en-GB" w:eastAsia="en-US" w:bidi="ar-SA"/>
        </w:rPr>
        <w:tab/>
      </w:r>
      <w:r w:rsidR="00515438" w:rsidRPr="00544B42">
        <w:rPr>
          <w:rFonts w:asciiTheme="minorBidi" w:hAnsiTheme="minorBidi"/>
        </w:rPr>
        <w:t>There was also nothing to gainsay the fact that the complainant informed the SAPS under oath what had allegedly happened. Indeed, the appellant’s legal representative himself introduced the complainant’s sworn statement as an exhibit whilst he was cross</w:t>
      </w:r>
      <w:r w:rsidR="00EA3FD2" w:rsidRPr="00544B42">
        <w:rPr>
          <w:rFonts w:asciiTheme="minorBidi" w:hAnsiTheme="minorBidi"/>
        </w:rPr>
        <w:t>-</w:t>
      </w:r>
      <w:r w:rsidR="00515438" w:rsidRPr="00544B42">
        <w:rPr>
          <w:rFonts w:asciiTheme="minorBidi" w:hAnsiTheme="minorBidi"/>
        </w:rPr>
        <w:t xml:space="preserve">examining the complainant. The affidavit </w:t>
      </w:r>
      <w:r w:rsidR="0046438F" w:rsidRPr="00544B42">
        <w:rPr>
          <w:rFonts w:asciiTheme="minorBidi" w:hAnsiTheme="minorBidi"/>
        </w:rPr>
        <w:t>was thus before the court a quo and revealed that it had been deposed to by the complainant at 10h20 on the day of the incident.</w:t>
      </w:r>
      <w:r w:rsidR="00C21F10" w:rsidRPr="00544B42">
        <w:rPr>
          <w:rFonts w:asciiTheme="minorBidi" w:hAnsiTheme="minorBidi"/>
        </w:rPr>
        <w:t xml:space="preserve"> According to the content of that affidavit, the incident had occurred at </w:t>
      </w:r>
      <w:r w:rsidR="00072270" w:rsidRPr="00544B42">
        <w:rPr>
          <w:rFonts w:asciiTheme="minorBidi" w:hAnsiTheme="minorBidi"/>
        </w:rPr>
        <w:t>10h15. The affidavit was accordingly deposed to almost immediately after the incident occurred.</w:t>
      </w:r>
    </w:p>
    <w:p w14:paraId="56B0753B" w14:textId="77777777" w:rsidR="0001183D" w:rsidRPr="0001183D" w:rsidRDefault="0001183D" w:rsidP="00515438">
      <w:pPr>
        <w:pStyle w:val="ListParagraph"/>
        <w:spacing w:after="0" w:line="360" w:lineRule="auto"/>
        <w:rPr>
          <w:rFonts w:asciiTheme="minorBidi" w:hAnsiTheme="minorBidi"/>
          <w:bCs/>
          <w:sz w:val="24"/>
          <w:szCs w:val="24"/>
        </w:rPr>
      </w:pPr>
    </w:p>
    <w:p w14:paraId="4A8E3E7C" w14:textId="6C1F9302" w:rsidR="0001183D" w:rsidRPr="00544B42" w:rsidRDefault="00544B42" w:rsidP="00544B42">
      <w:pPr>
        <w:spacing w:line="360" w:lineRule="auto"/>
        <w:jc w:val="both"/>
        <w:rPr>
          <w:rFonts w:asciiTheme="minorBidi" w:hAnsiTheme="minorBidi"/>
        </w:rPr>
      </w:pPr>
      <w:r w:rsidRPr="0001183D">
        <w:rPr>
          <w:rFonts w:ascii="Arial" w:eastAsiaTheme="minorHAnsi" w:hAnsi="Arial" w:cs="Arial"/>
          <w:lang w:val="en-GB" w:eastAsia="en-US" w:bidi="ar-SA"/>
        </w:rPr>
        <w:t>[18]</w:t>
      </w:r>
      <w:r w:rsidRPr="0001183D">
        <w:rPr>
          <w:rFonts w:ascii="Arial" w:eastAsiaTheme="minorHAnsi" w:hAnsi="Arial" w:cs="Arial"/>
          <w:lang w:val="en-GB" w:eastAsia="en-US" w:bidi="ar-SA"/>
        </w:rPr>
        <w:tab/>
      </w:r>
      <w:r w:rsidR="0001183D" w:rsidRPr="00544B42">
        <w:rPr>
          <w:rFonts w:asciiTheme="minorBidi" w:hAnsiTheme="minorBidi"/>
          <w:bCs/>
        </w:rPr>
        <w:t>The respondent relied upon the provisions of section 40(1)</w:t>
      </w:r>
      <w:r w:rsidR="0001183D" w:rsidRPr="00544B42">
        <w:rPr>
          <w:rFonts w:asciiTheme="minorBidi" w:hAnsiTheme="minorBidi"/>
          <w:bCs/>
          <w:i/>
        </w:rPr>
        <w:t>(b)</w:t>
      </w:r>
      <w:r w:rsidR="0001183D" w:rsidRPr="00544B42">
        <w:rPr>
          <w:rFonts w:asciiTheme="minorBidi" w:hAnsiTheme="minorBidi"/>
          <w:bCs/>
        </w:rPr>
        <w:t xml:space="preserve"> of the Act</w:t>
      </w:r>
      <w:r w:rsidR="00072270" w:rsidRPr="00544B42">
        <w:rPr>
          <w:rFonts w:asciiTheme="minorBidi" w:hAnsiTheme="minorBidi"/>
          <w:bCs/>
        </w:rPr>
        <w:t xml:space="preserve"> in resisting the appellant’s claim</w:t>
      </w:r>
      <w:r w:rsidR="0001183D" w:rsidRPr="00544B42">
        <w:rPr>
          <w:rFonts w:asciiTheme="minorBidi" w:hAnsiTheme="minorBidi"/>
          <w:bCs/>
        </w:rPr>
        <w:t xml:space="preserve">. </w:t>
      </w:r>
      <w:r w:rsidR="00072270" w:rsidRPr="00544B42">
        <w:rPr>
          <w:rFonts w:asciiTheme="minorBidi" w:hAnsiTheme="minorBidi"/>
          <w:bCs/>
        </w:rPr>
        <w:t>That section</w:t>
      </w:r>
      <w:r w:rsidR="0001183D" w:rsidRPr="00544B42">
        <w:rPr>
          <w:rFonts w:asciiTheme="minorBidi" w:hAnsiTheme="minorBidi"/>
          <w:bCs/>
        </w:rPr>
        <w:t xml:space="preserve"> reads as follows:</w:t>
      </w:r>
    </w:p>
    <w:p w14:paraId="4E000405" w14:textId="77777777" w:rsidR="0001183D" w:rsidRPr="0001183D" w:rsidRDefault="0001183D" w:rsidP="007209FB">
      <w:pPr>
        <w:pStyle w:val="NormalWeb"/>
        <w:tabs>
          <w:tab w:val="left" w:pos="709"/>
        </w:tabs>
        <w:spacing w:before="0" w:beforeAutospacing="0" w:after="0" w:afterAutospacing="0" w:line="360" w:lineRule="auto"/>
        <w:jc w:val="both"/>
        <w:rPr>
          <w:rFonts w:asciiTheme="minorBidi" w:hAnsiTheme="minorBidi" w:cstheme="minorBidi"/>
        </w:rPr>
      </w:pPr>
      <w:r>
        <w:rPr>
          <w:rFonts w:asciiTheme="minorBidi" w:hAnsiTheme="minorBidi" w:cstheme="minorBidi"/>
          <w:sz w:val="22"/>
          <w:szCs w:val="22"/>
        </w:rPr>
        <w:t>‘</w:t>
      </w:r>
      <w:r w:rsidRPr="0001183D">
        <w:rPr>
          <w:rFonts w:asciiTheme="minorBidi" w:hAnsiTheme="minorBidi" w:cstheme="minorBidi"/>
          <w:sz w:val="22"/>
          <w:szCs w:val="22"/>
        </w:rPr>
        <w:t xml:space="preserve">(1) </w:t>
      </w:r>
      <w:r>
        <w:rPr>
          <w:rFonts w:asciiTheme="minorBidi" w:hAnsiTheme="minorBidi" w:cstheme="minorBidi"/>
          <w:sz w:val="22"/>
          <w:szCs w:val="22"/>
        </w:rPr>
        <w:tab/>
      </w:r>
      <w:r w:rsidRPr="0001183D">
        <w:rPr>
          <w:rFonts w:asciiTheme="minorBidi" w:hAnsiTheme="minorBidi" w:cstheme="minorBidi"/>
          <w:sz w:val="22"/>
          <w:szCs w:val="22"/>
        </w:rPr>
        <w:t xml:space="preserve">A peace officer may without warrant arrest any person- </w:t>
      </w:r>
    </w:p>
    <w:p w14:paraId="71A72003" w14:textId="77777777" w:rsidR="0001183D" w:rsidRPr="0001183D" w:rsidRDefault="0001183D" w:rsidP="00EA3FD2">
      <w:pPr>
        <w:pStyle w:val="NormalWeb"/>
        <w:tabs>
          <w:tab w:val="left" w:pos="709"/>
        </w:tabs>
        <w:spacing w:before="0" w:beforeAutospacing="0" w:after="0" w:afterAutospacing="0" w:line="360" w:lineRule="auto"/>
        <w:ind w:left="709" w:hanging="709"/>
        <w:jc w:val="both"/>
        <w:rPr>
          <w:rFonts w:asciiTheme="minorBidi" w:hAnsiTheme="minorBidi" w:cstheme="minorBidi"/>
        </w:rPr>
      </w:pPr>
      <w:r w:rsidRPr="00EA3FD2">
        <w:rPr>
          <w:rFonts w:asciiTheme="minorBidi" w:hAnsiTheme="minorBidi" w:cstheme="minorBidi"/>
          <w:i/>
          <w:sz w:val="22"/>
          <w:szCs w:val="22"/>
        </w:rPr>
        <w:t>(a)</w:t>
      </w:r>
      <w:r w:rsidRPr="0001183D">
        <w:rPr>
          <w:rFonts w:asciiTheme="minorBidi" w:hAnsiTheme="minorBidi" w:cstheme="minorBidi"/>
          <w:sz w:val="22"/>
          <w:szCs w:val="22"/>
        </w:rPr>
        <w:t xml:space="preserve">  </w:t>
      </w:r>
      <w:r>
        <w:rPr>
          <w:rFonts w:asciiTheme="minorBidi" w:hAnsiTheme="minorBidi" w:cstheme="minorBidi"/>
          <w:sz w:val="22"/>
          <w:szCs w:val="22"/>
        </w:rPr>
        <w:tab/>
        <w:t>…</w:t>
      </w:r>
      <w:r w:rsidRPr="0001183D">
        <w:rPr>
          <w:rFonts w:asciiTheme="minorBidi" w:hAnsiTheme="minorBidi" w:cstheme="minorBidi"/>
          <w:sz w:val="22"/>
          <w:szCs w:val="22"/>
        </w:rPr>
        <w:t xml:space="preserve"> </w:t>
      </w:r>
    </w:p>
    <w:p w14:paraId="3383F805" w14:textId="25A61FF4" w:rsidR="0001183D" w:rsidRDefault="0001183D" w:rsidP="00EA3FD2">
      <w:pPr>
        <w:pStyle w:val="NormalWeb"/>
        <w:tabs>
          <w:tab w:val="left" w:pos="709"/>
        </w:tabs>
        <w:spacing w:before="0" w:beforeAutospacing="0" w:after="0" w:afterAutospacing="0" w:line="360" w:lineRule="auto"/>
        <w:ind w:left="709" w:hanging="709"/>
        <w:jc w:val="both"/>
        <w:rPr>
          <w:rFonts w:asciiTheme="minorBidi" w:hAnsiTheme="minorBidi" w:cstheme="minorBidi"/>
          <w:sz w:val="22"/>
          <w:szCs w:val="22"/>
        </w:rPr>
      </w:pPr>
      <w:r w:rsidRPr="00EA3FD2">
        <w:rPr>
          <w:rFonts w:asciiTheme="minorBidi" w:hAnsiTheme="minorBidi" w:cstheme="minorBidi"/>
          <w:i/>
          <w:sz w:val="22"/>
          <w:szCs w:val="22"/>
        </w:rPr>
        <w:lastRenderedPageBreak/>
        <w:t>(b)</w:t>
      </w:r>
      <w:r w:rsidRPr="0001183D">
        <w:rPr>
          <w:rFonts w:asciiTheme="minorBidi" w:hAnsiTheme="minorBidi" w:cstheme="minorBidi"/>
          <w:sz w:val="22"/>
          <w:szCs w:val="22"/>
        </w:rPr>
        <w:t xml:space="preserve">  </w:t>
      </w:r>
      <w:r>
        <w:rPr>
          <w:rFonts w:asciiTheme="minorBidi" w:hAnsiTheme="minorBidi" w:cstheme="minorBidi"/>
          <w:sz w:val="22"/>
          <w:szCs w:val="22"/>
        </w:rPr>
        <w:tab/>
      </w:r>
      <w:r w:rsidRPr="0001183D">
        <w:rPr>
          <w:rFonts w:asciiTheme="minorBidi" w:hAnsiTheme="minorBidi" w:cstheme="minorBidi"/>
          <w:sz w:val="22"/>
          <w:szCs w:val="22"/>
        </w:rPr>
        <w:t>whom he reasonably suspects of having committed an offence referred to in Schedule 1, other than the offence of escaping from lawful custody;</w:t>
      </w:r>
      <w:r>
        <w:rPr>
          <w:rFonts w:asciiTheme="minorBidi" w:hAnsiTheme="minorBidi" w:cstheme="minorBidi"/>
          <w:sz w:val="22"/>
          <w:szCs w:val="22"/>
        </w:rPr>
        <w:t>’</w:t>
      </w:r>
    </w:p>
    <w:p w14:paraId="68CEA511" w14:textId="77777777" w:rsidR="00076547" w:rsidRPr="00076547" w:rsidRDefault="00076547" w:rsidP="000A5C40">
      <w:pPr>
        <w:pStyle w:val="NormalWeb"/>
        <w:tabs>
          <w:tab w:val="left" w:pos="709"/>
        </w:tabs>
        <w:spacing w:before="0" w:beforeAutospacing="0" w:after="0" w:afterAutospacing="0" w:line="360" w:lineRule="auto"/>
        <w:jc w:val="both"/>
        <w:rPr>
          <w:rFonts w:asciiTheme="minorBidi" w:hAnsiTheme="minorBidi" w:cstheme="minorBidi"/>
        </w:rPr>
      </w:pPr>
      <w:r w:rsidRPr="00076547">
        <w:rPr>
          <w:rFonts w:asciiTheme="minorBidi" w:hAnsiTheme="minorBidi" w:cstheme="minorBidi"/>
        </w:rPr>
        <w:t>The offence of robbery appears in Schedule 1.</w:t>
      </w:r>
    </w:p>
    <w:p w14:paraId="5A9F616E" w14:textId="77777777" w:rsidR="007209FB" w:rsidRPr="007209FB" w:rsidRDefault="007209FB" w:rsidP="000A5C40">
      <w:pPr>
        <w:pStyle w:val="ListParagraph"/>
        <w:spacing w:line="360" w:lineRule="auto"/>
        <w:rPr>
          <w:rFonts w:asciiTheme="minorBidi" w:hAnsiTheme="minorBidi"/>
          <w:sz w:val="24"/>
          <w:szCs w:val="24"/>
        </w:rPr>
      </w:pPr>
    </w:p>
    <w:p w14:paraId="2F699426" w14:textId="591DD23B" w:rsidR="006B318D" w:rsidRPr="00544B42" w:rsidRDefault="00544B42" w:rsidP="00544B42">
      <w:pPr>
        <w:spacing w:line="360" w:lineRule="auto"/>
        <w:jc w:val="both"/>
        <w:rPr>
          <w:rFonts w:asciiTheme="minorBidi" w:hAnsiTheme="minorBidi"/>
        </w:rPr>
      </w:pPr>
      <w:r w:rsidRPr="00456208">
        <w:rPr>
          <w:rFonts w:ascii="Arial" w:eastAsiaTheme="minorHAnsi" w:hAnsi="Arial" w:cs="Arial"/>
          <w:lang w:val="en-GB" w:eastAsia="en-US" w:bidi="ar-SA"/>
        </w:rPr>
        <w:t>[19]</w:t>
      </w:r>
      <w:r w:rsidRPr="00456208">
        <w:rPr>
          <w:rFonts w:ascii="Arial" w:eastAsiaTheme="minorHAnsi" w:hAnsi="Arial" w:cs="Arial"/>
          <w:lang w:val="en-GB" w:eastAsia="en-US" w:bidi="ar-SA"/>
        </w:rPr>
        <w:tab/>
      </w:r>
      <w:r w:rsidR="007209FB" w:rsidRPr="00544B42">
        <w:rPr>
          <w:rFonts w:ascii="Arial" w:hAnsi="Arial" w:cs="Arial"/>
          <w:color w:val="242121"/>
        </w:rPr>
        <w:t>In </w:t>
      </w:r>
      <w:r w:rsidR="007209FB" w:rsidRPr="00544B42">
        <w:rPr>
          <w:rFonts w:ascii="Arial" w:hAnsi="Arial" w:cs="Arial"/>
          <w:i/>
          <w:iCs/>
          <w:color w:val="242121"/>
        </w:rPr>
        <w:t>Duncan v Minister of Law and Order</w:t>
      </w:r>
      <w:r w:rsidR="006B318D" w:rsidRPr="00544B42">
        <w:rPr>
          <w:rFonts w:ascii="Arial" w:hAnsi="Arial" w:cs="Arial"/>
          <w:color w:val="242121"/>
        </w:rPr>
        <w:t>,</w:t>
      </w:r>
      <w:r w:rsidR="007209FB" w:rsidRPr="00456208">
        <w:rPr>
          <w:rStyle w:val="FootnoteReference"/>
          <w:rFonts w:ascii="Arial" w:hAnsi="Arial" w:cs="Arial"/>
          <w:color w:val="242121"/>
        </w:rPr>
        <w:footnoteReference w:id="9"/>
      </w:r>
      <w:r w:rsidR="007209FB" w:rsidRPr="00544B42">
        <w:rPr>
          <w:rFonts w:ascii="Arial" w:hAnsi="Arial" w:cs="Arial"/>
          <w:color w:val="242121"/>
        </w:rPr>
        <w:t> </w:t>
      </w:r>
      <w:r w:rsidR="00543864" w:rsidRPr="00544B42">
        <w:rPr>
          <w:rFonts w:ascii="Arial" w:hAnsi="Arial" w:cs="Arial"/>
          <w:color w:val="242121"/>
        </w:rPr>
        <w:t xml:space="preserve">it was held that </w:t>
      </w:r>
      <w:r w:rsidR="007209FB" w:rsidRPr="00544B42">
        <w:rPr>
          <w:rFonts w:ascii="Arial" w:hAnsi="Arial" w:cs="Arial"/>
          <w:color w:val="242121"/>
        </w:rPr>
        <w:t>the following jurisdictional facts must exist before the power confirmed by section 40(1)</w:t>
      </w:r>
      <w:r w:rsidR="007209FB" w:rsidRPr="00544B42">
        <w:rPr>
          <w:rFonts w:ascii="Arial" w:hAnsi="Arial" w:cs="Arial"/>
          <w:i/>
          <w:color w:val="242121"/>
        </w:rPr>
        <w:t>(b)</w:t>
      </w:r>
      <w:r w:rsidR="007209FB" w:rsidRPr="00544B42">
        <w:rPr>
          <w:rFonts w:ascii="Arial" w:hAnsi="Arial" w:cs="Arial"/>
          <w:color w:val="242121"/>
        </w:rPr>
        <w:t xml:space="preserve"> of the </w:t>
      </w:r>
      <w:r w:rsidR="006B318D" w:rsidRPr="00544B42">
        <w:rPr>
          <w:rFonts w:ascii="Arial" w:hAnsi="Arial" w:cs="Arial"/>
          <w:color w:val="242121"/>
        </w:rPr>
        <w:t>Act</w:t>
      </w:r>
      <w:r w:rsidR="007209FB" w:rsidRPr="00544B42">
        <w:rPr>
          <w:rFonts w:ascii="Arial" w:hAnsi="Arial" w:cs="Arial"/>
          <w:color w:val="242121"/>
        </w:rPr>
        <w:t xml:space="preserve"> may be invoked:</w:t>
      </w:r>
    </w:p>
    <w:p w14:paraId="006551D2" w14:textId="254012E2" w:rsidR="007209FB" w:rsidRPr="00544B42" w:rsidRDefault="00544B42" w:rsidP="00544B42">
      <w:pPr>
        <w:tabs>
          <w:tab w:val="left" w:pos="709"/>
        </w:tabs>
        <w:spacing w:line="360" w:lineRule="auto"/>
        <w:jc w:val="both"/>
        <w:rPr>
          <w:rFonts w:asciiTheme="minorBidi" w:hAnsiTheme="minorBidi"/>
        </w:rPr>
      </w:pPr>
      <w:r w:rsidRPr="00456208">
        <w:rPr>
          <w:rFonts w:ascii="Arial" w:eastAsiaTheme="minorHAnsi" w:hAnsi="Arial" w:cs="Arial"/>
          <w:color w:val="242121"/>
          <w:lang w:val="en-GB" w:eastAsia="en-US" w:bidi="ar-SA"/>
        </w:rPr>
        <w:t>(a)</w:t>
      </w:r>
      <w:r w:rsidRPr="00456208">
        <w:rPr>
          <w:rFonts w:ascii="Arial" w:eastAsiaTheme="minorHAnsi" w:hAnsi="Arial" w:cs="Arial"/>
          <w:color w:val="242121"/>
          <w:lang w:val="en-GB" w:eastAsia="en-US" w:bidi="ar-SA"/>
        </w:rPr>
        <w:tab/>
      </w:r>
      <w:r w:rsidR="007209FB" w:rsidRPr="00544B42">
        <w:rPr>
          <w:rFonts w:ascii="Arial" w:hAnsi="Arial" w:cs="Arial"/>
          <w:color w:val="242121"/>
        </w:rPr>
        <w:t>the arrestor must be a peace officer</w:t>
      </w:r>
      <w:r w:rsidR="006B318D" w:rsidRPr="00544B42">
        <w:rPr>
          <w:rFonts w:ascii="Arial" w:hAnsi="Arial" w:cs="Arial"/>
          <w:color w:val="242121"/>
        </w:rPr>
        <w:t>;</w:t>
      </w:r>
    </w:p>
    <w:p w14:paraId="4A009ADD" w14:textId="1431CA91" w:rsidR="006B318D" w:rsidRPr="00544B42" w:rsidRDefault="00544B42" w:rsidP="00544B42">
      <w:pPr>
        <w:tabs>
          <w:tab w:val="left" w:pos="709"/>
        </w:tabs>
        <w:spacing w:line="360" w:lineRule="auto"/>
        <w:jc w:val="both"/>
        <w:rPr>
          <w:rFonts w:asciiTheme="minorBidi" w:hAnsiTheme="minorBidi"/>
        </w:rPr>
      </w:pPr>
      <w:r w:rsidRPr="00456208">
        <w:rPr>
          <w:rFonts w:ascii="Arial" w:eastAsiaTheme="minorHAnsi" w:hAnsi="Arial" w:cs="Arial"/>
          <w:color w:val="242121"/>
          <w:lang w:val="en-GB" w:eastAsia="en-US" w:bidi="ar-SA"/>
        </w:rPr>
        <w:t>(b)</w:t>
      </w:r>
      <w:r w:rsidRPr="00456208">
        <w:rPr>
          <w:rFonts w:ascii="Arial" w:eastAsiaTheme="minorHAnsi" w:hAnsi="Arial" w:cs="Arial"/>
          <w:color w:val="242121"/>
          <w:lang w:val="en-GB" w:eastAsia="en-US" w:bidi="ar-SA"/>
        </w:rPr>
        <w:tab/>
      </w:r>
      <w:r w:rsidR="006B318D" w:rsidRPr="00544B42">
        <w:rPr>
          <w:rFonts w:ascii="Arial" w:hAnsi="Arial" w:cs="Arial"/>
          <w:color w:val="242121"/>
        </w:rPr>
        <w:t>t</w:t>
      </w:r>
      <w:r w:rsidR="007209FB" w:rsidRPr="00544B42">
        <w:rPr>
          <w:rFonts w:ascii="Arial" w:hAnsi="Arial" w:cs="Arial"/>
          <w:color w:val="242121"/>
        </w:rPr>
        <w:t xml:space="preserve">he </w:t>
      </w:r>
      <w:r w:rsidR="006B318D" w:rsidRPr="00544B42">
        <w:rPr>
          <w:rFonts w:ascii="Arial" w:hAnsi="Arial" w:cs="Arial"/>
          <w:color w:val="242121"/>
        </w:rPr>
        <w:t xml:space="preserve">arrestor </w:t>
      </w:r>
      <w:r w:rsidR="007209FB" w:rsidRPr="00544B42">
        <w:rPr>
          <w:rFonts w:ascii="Arial" w:hAnsi="Arial" w:cs="Arial"/>
          <w:color w:val="242121"/>
        </w:rPr>
        <w:t>must entertain a suspicion</w:t>
      </w:r>
      <w:r w:rsidR="006B318D" w:rsidRPr="00544B42">
        <w:rPr>
          <w:rFonts w:ascii="Arial" w:hAnsi="Arial" w:cs="Arial"/>
          <w:color w:val="242121"/>
        </w:rPr>
        <w:t>;</w:t>
      </w:r>
    </w:p>
    <w:p w14:paraId="1441E542" w14:textId="4D8945EC" w:rsidR="006B318D" w:rsidRPr="00544B42" w:rsidRDefault="00544B42" w:rsidP="00544B42">
      <w:pPr>
        <w:tabs>
          <w:tab w:val="left" w:pos="709"/>
        </w:tabs>
        <w:spacing w:line="360" w:lineRule="auto"/>
        <w:jc w:val="both"/>
        <w:rPr>
          <w:rFonts w:asciiTheme="minorBidi" w:hAnsiTheme="minorBidi"/>
        </w:rPr>
      </w:pPr>
      <w:r w:rsidRPr="00456208">
        <w:rPr>
          <w:rFonts w:ascii="Arial" w:eastAsiaTheme="minorHAnsi" w:hAnsi="Arial" w:cs="Arial"/>
          <w:color w:val="242121"/>
          <w:lang w:val="en-GB" w:eastAsia="en-US" w:bidi="ar-SA"/>
        </w:rPr>
        <w:t>(c)</w:t>
      </w:r>
      <w:r w:rsidRPr="00456208">
        <w:rPr>
          <w:rFonts w:ascii="Arial" w:eastAsiaTheme="minorHAnsi" w:hAnsi="Arial" w:cs="Arial"/>
          <w:color w:val="242121"/>
          <w:lang w:val="en-GB" w:eastAsia="en-US" w:bidi="ar-SA"/>
        </w:rPr>
        <w:tab/>
      </w:r>
      <w:r w:rsidR="006B318D" w:rsidRPr="00544B42">
        <w:rPr>
          <w:rFonts w:ascii="Arial" w:hAnsi="Arial" w:cs="Arial"/>
          <w:color w:val="242121"/>
        </w:rPr>
        <w:t>the</w:t>
      </w:r>
      <w:r w:rsidR="007209FB" w:rsidRPr="00544B42">
        <w:rPr>
          <w:rFonts w:ascii="Arial" w:hAnsi="Arial" w:cs="Arial"/>
          <w:color w:val="242121"/>
        </w:rPr>
        <w:t xml:space="preserve"> suspicion </w:t>
      </w:r>
      <w:r w:rsidR="006B318D" w:rsidRPr="00544B42">
        <w:rPr>
          <w:rFonts w:ascii="Arial" w:hAnsi="Arial" w:cs="Arial"/>
          <w:color w:val="242121"/>
        </w:rPr>
        <w:t xml:space="preserve">must be </w:t>
      </w:r>
      <w:r w:rsidR="007209FB" w:rsidRPr="00544B42">
        <w:rPr>
          <w:rFonts w:ascii="Arial" w:hAnsi="Arial" w:cs="Arial"/>
          <w:color w:val="242121"/>
        </w:rPr>
        <w:t xml:space="preserve">that the </w:t>
      </w:r>
      <w:r w:rsidR="006B318D" w:rsidRPr="00544B42">
        <w:rPr>
          <w:rFonts w:ascii="Arial" w:hAnsi="Arial" w:cs="Arial"/>
          <w:color w:val="242121"/>
        </w:rPr>
        <w:t>person arrested</w:t>
      </w:r>
      <w:r w:rsidR="007209FB" w:rsidRPr="00544B42">
        <w:rPr>
          <w:rFonts w:ascii="Arial" w:hAnsi="Arial" w:cs="Arial"/>
          <w:color w:val="242121"/>
        </w:rPr>
        <w:t xml:space="preserve"> committed an offence referred to in Schedule 1 of the </w:t>
      </w:r>
      <w:r w:rsidR="00543864" w:rsidRPr="00544B42">
        <w:rPr>
          <w:rFonts w:ascii="Arial" w:hAnsi="Arial" w:cs="Arial"/>
          <w:color w:val="242121"/>
        </w:rPr>
        <w:t>Act</w:t>
      </w:r>
      <w:r w:rsidR="006B318D" w:rsidRPr="00544B42">
        <w:rPr>
          <w:rFonts w:ascii="Arial" w:hAnsi="Arial" w:cs="Arial"/>
          <w:color w:val="242121"/>
        </w:rPr>
        <w:t>; and</w:t>
      </w:r>
    </w:p>
    <w:p w14:paraId="3F04D617" w14:textId="36F8CB77" w:rsidR="007209FB" w:rsidRPr="00544B42" w:rsidRDefault="00544B42" w:rsidP="00544B42">
      <w:pPr>
        <w:tabs>
          <w:tab w:val="left" w:pos="709"/>
        </w:tabs>
        <w:spacing w:line="360" w:lineRule="auto"/>
        <w:jc w:val="both"/>
        <w:rPr>
          <w:rFonts w:asciiTheme="minorBidi" w:hAnsiTheme="minorBidi"/>
        </w:rPr>
      </w:pPr>
      <w:r w:rsidRPr="00456208">
        <w:rPr>
          <w:rFonts w:ascii="Arial" w:eastAsiaTheme="minorHAnsi" w:hAnsi="Arial" w:cs="Arial"/>
          <w:color w:val="242121"/>
          <w:lang w:val="en-GB" w:eastAsia="en-US" w:bidi="ar-SA"/>
        </w:rPr>
        <w:t>(d)</w:t>
      </w:r>
      <w:r w:rsidRPr="00456208">
        <w:rPr>
          <w:rFonts w:ascii="Arial" w:eastAsiaTheme="minorHAnsi" w:hAnsi="Arial" w:cs="Arial"/>
          <w:color w:val="242121"/>
          <w:lang w:val="en-GB" w:eastAsia="en-US" w:bidi="ar-SA"/>
        </w:rPr>
        <w:tab/>
      </w:r>
      <w:r w:rsidR="007209FB" w:rsidRPr="00544B42">
        <w:rPr>
          <w:rFonts w:ascii="Arial" w:hAnsi="Arial" w:cs="Arial"/>
          <w:color w:val="242121"/>
        </w:rPr>
        <w:t xml:space="preserve">this suspicion must be </w:t>
      </w:r>
      <w:r w:rsidR="006B318D" w:rsidRPr="00544B42">
        <w:rPr>
          <w:rFonts w:ascii="Arial" w:hAnsi="Arial" w:cs="Arial"/>
          <w:color w:val="242121"/>
        </w:rPr>
        <w:t xml:space="preserve">formed and held </w:t>
      </w:r>
      <w:r w:rsidR="007209FB" w:rsidRPr="00544B42">
        <w:rPr>
          <w:rFonts w:ascii="Arial" w:hAnsi="Arial" w:cs="Arial"/>
          <w:color w:val="242121"/>
        </w:rPr>
        <w:t>on reasonable grounds.</w:t>
      </w:r>
    </w:p>
    <w:p w14:paraId="37960447" w14:textId="77777777" w:rsidR="006B318D" w:rsidRPr="004364AE" w:rsidRDefault="006B318D" w:rsidP="000A5C40">
      <w:pPr>
        <w:spacing w:line="360" w:lineRule="auto"/>
        <w:rPr>
          <w:rFonts w:ascii="Arial" w:hAnsi="Arial" w:cs="Arial"/>
          <w:color w:val="242121"/>
        </w:rPr>
      </w:pPr>
    </w:p>
    <w:p w14:paraId="7927F42B" w14:textId="4CC5F977" w:rsidR="0059033E" w:rsidRPr="00544B42" w:rsidRDefault="00544B42" w:rsidP="00544B42">
      <w:pPr>
        <w:spacing w:line="360" w:lineRule="auto"/>
        <w:jc w:val="both"/>
        <w:rPr>
          <w:rFonts w:ascii="Arial" w:hAnsi="Arial" w:cs="Arial"/>
          <w:color w:val="242121"/>
        </w:rPr>
      </w:pPr>
      <w:r w:rsidRPr="008564B2">
        <w:rPr>
          <w:rFonts w:ascii="Arial" w:eastAsiaTheme="minorHAnsi" w:hAnsi="Arial" w:cs="Arial"/>
          <w:color w:val="242121"/>
          <w:szCs w:val="22"/>
          <w:lang w:val="en-GB" w:eastAsia="en-US" w:bidi="ar-SA"/>
        </w:rPr>
        <w:t>[20]</w:t>
      </w:r>
      <w:r w:rsidRPr="008564B2">
        <w:rPr>
          <w:rFonts w:ascii="Arial" w:eastAsiaTheme="minorHAnsi" w:hAnsi="Arial" w:cs="Arial"/>
          <w:color w:val="242121"/>
          <w:szCs w:val="22"/>
          <w:lang w:val="en-GB" w:eastAsia="en-US" w:bidi="ar-SA"/>
        </w:rPr>
        <w:tab/>
      </w:r>
      <w:r w:rsidR="006B318D" w:rsidRPr="00544B42">
        <w:rPr>
          <w:rFonts w:asciiTheme="minorBidi" w:hAnsiTheme="minorBidi"/>
        </w:rPr>
        <w:t xml:space="preserve">As to the test to be applied, </w:t>
      </w:r>
      <w:r w:rsidR="006B318D" w:rsidRPr="00544B42">
        <w:rPr>
          <w:rFonts w:asciiTheme="minorBidi" w:hAnsiTheme="minorBidi"/>
          <w:i/>
          <w:iCs/>
        </w:rPr>
        <w:t>Duncan</w:t>
      </w:r>
      <w:r w:rsidR="006B318D" w:rsidRPr="00544B42">
        <w:rPr>
          <w:rFonts w:asciiTheme="minorBidi" w:hAnsiTheme="minorBidi"/>
        </w:rPr>
        <w:t xml:space="preserve"> explains that the test is an objective one</w:t>
      </w:r>
      <w:r w:rsidR="006B318D" w:rsidRPr="00544B42">
        <w:rPr>
          <w:rFonts w:ascii="Arial" w:hAnsi="Arial" w:cs="Arial"/>
          <w:iCs/>
          <w:color w:val="242121"/>
        </w:rPr>
        <w:t>:</w:t>
      </w:r>
      <w:r w:rsidR="008564B2" w:rsidRPr="00544B42">
        <w:rPr>
          <w:rFonts w:ascii="Arial" w:hAnsi="Arial" w:cs="Arial"/>
          <w:iCs/>
          <w:color w:val="242121"/>
        </w:rPr>
        <w:t xml:space="preserve"> </w:t>
      </w:r>
      <w:r w:rsidR="006B318D" w:rsidRPr="00544B42">
        <w:rPr>
          <w:rFonts w:ascii="Arial" w:hAnsi="Arial" w:cs="Arial"/>
          <w:color w:val="242121"/>
        </w:rPr>
        <w:t xml:space="preserve">‘[a]nd </w:t>
      </w:r>
      <w:r w:rsidR="0059033E" w:rsidRPr="00544B42">
        <w:rPr>
          <w:rFonts w:ascii="Arial" w:hAnsi="Arial" w:cs="Arial"/>
          <w:color w:val="242121"/>
        </w:rPr>
        <w:t>it seems clear that the test is not whether a policeman believes that he has reason to suspect, but whether, on an objective approach, he in fact has reasonable grounds for his suspicion</w:t>
      </w:r>
      <w:r w:rsidR="006B318D" w:rsidRPr="00544B42">
        <w:rPr>
          <w:rFonts w:ascii="Arial" w:hAnsi="Arial" w:cs="Arial"/>
          <w:color w:val="242121"/>
        </w:rPr>
        <w:t>.</w:t>
      </w:r>
      <w:r w:rsidR="0059033E" w:rsidRPr="00544B42">
        <w:rPr>
          <w:rFonts w:ascii="Arial" w:hAnsi="Arial" w:cs="Arial"/>
          <w:color w:val="242121"/>
        </w:rPr>
        <w:t>’</w:t>
      </w:r>
      <w:r w:rsidR="0059033E">
        <w:rPr>
          <w:rStyle w:val="FootnoteReference"/>
          <w:rFonts w:ascii="Arial" w:hAnsi="Arial" w:cs="Arial"/>
          <w:color w:val="242121"/>
        </w:rPr>
        <w:footnoteReference w:id="10"/>
      </w:r>
      <w:r w:rsidR="006B318D" w:rsidRPr="00544B42">
        <w:rPr>
          <w:rFonts w:ascii="Arial" w:hAnsi="Arial" w:cs="Arial"/>
          <w:color w:val="242121"/>
        </w:rPr>
        <w:t xml:space="preserve"> </w:t>
      </w:r>
    </w:p>
    <w:p w14:paraId="4DBCCAC5" w14:textId="18EA9238" w:rsidR="006B318D" w:rsidRPr="00EA3FD2" w:rsidRDefault="0059033E" w:rsidP="000A5C40">
      <w:pPr>
        <w:spacing w:line="360" w:lineRule="auto"/>
        <w:jc w:val="both"/>
        <w:rPr>
          <w:rFonts w:ascii="Arial" w:hAnsi="Arial" w:cs="Arial"/>
        </w:rPr>
      </w:pPr>
      <w:r>
        <w:rPr>
          <w:rFonts w:ascii="Arial" w:hAnsi="Arial" w:cs="Arial"/>
          <w:color w:val="242121"/>
        </w:rPr>
        <w:t>What</w:t>
      </w:r>
      <w:r w:rsidR="006B318D" w:rsidRPr="00EA3FD2">
        <w:rPr>
          <w:rFonts w:ascii="Arial" w:hAnsi="Arial" w:cs="Arial"/>
          <w:color w:val="242121"/>
        </w:rPr>
        <w:t xml:space="preserve"> section 40(1)</w:t>
      </w:r>
      <w:r w:rsidR="006B318D" w:rsidRPr="00EA3FD2">
        <w:rPr>
          <w:rFonts w:ascii="Arial" w:hAnsi="Arial" w:cs="Arial"/>
          <w:i/>
          <w:color w:val="242121"/>
        </w:rPr>
        <w:t>(b)</w:t>
      </w:r>
      <w:r w:rsidR="006B318D" w:rsidRPr="00EA3FD2">
        <w:rPr>
          <w:rFonts w:ascii="Arial" w:hAnsi="Arial" w:cs="Arial"/>
          <w:color w:val="242121"/>
        </w:rPr>
        <w:t xml:space="preserve"> requires </w:t>
      </w:r>
      <w:r>
        <w:rPr>
          <w:rFonts w:ascii="Arial" w:hAnsi="Arial" w:cs="Arial"/>
          <w:color w:val="242121"/>
        </w:rPr>
        <w:t xml:space="preserve">is </w:t>
      </w:r>
      <w:r w:rsidR="006B318D" w:rsidRPr="00EA3FD2">
        <w:rPr>
          <w:rFonts w:ascii="Arial" w:hAnsi="Arial" w:cs="Arial"/>
          <w:color w:val="242121"/>
        </w:rPr>
        <w:t>suspicion and not certainty.</w:t>
      </w:r>
      <w:r>
        <w:rPr>
          <w:rStyle w:val="FootnoteReference"/>
          <w:rFonts w:ascii="Arial" w:hAnsi="Arial" w:cs="Arial"/>
          <w:color w:val="242121"/>
        </w:rPr>
        <w:footnoteReference w:id="11"/>
      </w:r>
    </w:p>
    <w:p w14:paraId="5EBBBE8E" w14:textId="77777777" w:rsidR="009A5B2E" w:rsidRPr="009A5B2E" w:rsidRDefault="009A5B2E" w:rsidP="000A5C40">
      <w:pPr>
        <w:pStyle w:val="ListParagraph"/>
        <w:spacing w:line="360" w:lineRule="auto"/>
        <w:rPr>
          <w:rFonts w:asciiTheme="minorBidi" w:hAnsiTheme="minorBidi"/>
          <w:sz w:val="24"/>
          <w:szCs w:val="24"/>
        </w:rPr>
      </w:pPr>
    </w:p>
    <w:p w14:paraId="4B1D5733" w14:textId="3A262BAC" w:rsidR="00072270" w:rsidRPr="00544B42" w:rsidRDefault="00544B42" w:rsidP="00544B42">
      <w:pPr>
        <w:spacing w:line="360" w:lineRule="auto"/>
        <w:jc w:val="both"/>
        <w:rPr>
          <w:rFonts w:asciiTheme="minorBidi" w:hAnsiTheme="minorBidi"/>
        </w:rPr>
      </w:pPr>
      <w:r w:rsidRPr="00072270">
        <w:rPr>
          <w:rFonts w:ascii="Arial" w:eastAsiaTheme="minorHAnsi" w:hAnsi="Arial" w:cs="Arial"/>
          <w:lang w:val="en-GB" w:eastAsia="en-US" w:bidi="ar-SA"/>
        </w:rPr>
        <w:t>[21]</w:t>
      </w:r>
      <w:r w:rsidRPr="00072270">
        <w:rPr>
          <w:rFonts w:ascii="Arial" w:eastAsiaTheme="minorHAnsi" w:hAnsi="Arial" w:cs="Arial"/>
          <w:lang w:val="en-GB" w:eastAsia="en-US" w:bidi="ar-SA"/>
        </w:rPr>
        <w:tab/>
      </w:r>
      <w:r w:rsidR="009A5B2E" w:rsidRPr="00544B42">
        <w:rPr>
          <w:rFonts w:asciiTheme="minorBidi" w:hAnsiTheme="minorBidi"/>
          <w:bCs/>
        </w:rPr>
        <w:t>I am mindful of the fact that the arresting officer was not called to testify in the court a quo. A reason was advanced for this</w:t>
      </w:r>
      <w:r w:rsidR="00072270" w:rsidRPr="00544B42">
        <w:rPr>
          <w:rFonts w:asciiTheme="minorBidi" w:hAnsiTheme="minorBidi"/>
          <w:bCs/>
        </w:rPr>
        <w:t xml:space="preserve"> by the investigating officer who testified at the trial</w:t>
      </w:r>
      <w:r w:rsidR="00060EA2" w:rsidRPr="00544B42">
        <w:rPr>
          <w:rFonts w:asciiTheme="minorBidi" w:hAnsiTheme="minorBidi"/>
          <w:bCs/>
        </w:rPr>
        <w:t>:</w:t>
      </w:r>
      <w:r w:rsidR="009A5B2E" w:rsidRPr="00544B42">
        <w:rPr>
          <w:rFonts w:asciiTheme="minorBidi" w:hAnsiTheme="minorBidi"/>
          <w:bCs/>
        </w:rPr>
        <w:t xml:space="preserve"> </w:t>
      </w:r>
      <w:r w:rsidR="00060EA2" w:rsidRPr="00544B42">
        <w:rPr>
          <w:rFonts w:asciiTheme="minorBidi" w:hAnsiTheme="minorBidi"/>
          <w:bCs/>
        </w:rPr>
        <w:t>the arresting officer was a Constable Nora Ndlovu who</w:t>
      </w:r>
      <w:r w:rsidR="002D6266" w:rsidRPr="00544B42">
        <w:rPr>
          <w:rFonts w:asciiTheme="minorBidi" w:hAnsiTheme="minorBidi"/>
          <w:bCs/>
        </w:rPr>
        <w:t>,</w:t>
      </w:r>
      <w:r w:rsidR="00060EA2" w:rsidRPr="00544B42">
        <w:rPr>
          <w:rFonts w:asciiTheme="minorBidi" w:hAnsiTheme="minorBidi"/>
          <w:bCs/>
        </w:rPr>
        <w:t xml:space="preserve"> subsequent to arresting the appellant</w:t>
      </w:r>
      <w:r w:rsidR="002D6266" w:rsidRPr="00544B42">
        <w:rPr>
          <w:rFonts w:asciiTheme="minorBidi" w:hAnsiTheme="minorBidi"/>
          <w:bCs/>
        </w:rPr>
        <w:t>,</w:t>
      </w:r>
      <w:r w:rsidR="00060EA2" w:rsidRPr="00544B42">
        <w:rPr>
          <w:rFonts w:asciiTheme="minorBidi" w:hAnsiTheme="minorBidi"/>
          <w:bCs/>
        </w:rPr>
        <w:t xml:space="preserve"> had retired from the SAPS and her whereabouts were unknown </w:t>
      </w:r>
      <w:r w:rsidR="00072270" w:rsidRPr="00544B42">
        <w:rPr>
          <w:rFonts w:asciiTheme="minorBidi" w:hAnsiTheme="minorBidi"/>
          <w:bCs/>
        </w:rPr>
        <w:t>to him</w:t>
      </w:r>
      <w:r w:rsidR="00060EA2" w:rsidRPr="00544B42">
        <w:rPr>
          <w:rFonts w:asciiTheme="minorBidi" w:hAnsiTheme="minorBidi"/>
          <w:bCs/>
        </w:rPr>
        <w:t xml:space="preserve">. </w:t>
      </w:r>
    </w:p>
    <w:p w14:paraId="31C6FF65" w14:textId="77777777" w:rsidR="00072270" w:rsidRPr="00072270" w:rsidRDefault="00072270" w:rsidP="00072270">
      <w:pPr>
        <w:pStyle w:val="ListParagraph"/>
        <w:spacing w:after="0" w:line="360" w:lineRule="auto"/>
        <w:ind w:left="0"/>
        <w:jc w:val="both"/>
        <w:rPr>
          <w:rFonts w:asciiTheme="minorBidi" w:hAnsiTheme="minorBidi"/>
          <w:sz w:val="24"/>
          <w:szCs w:val="24"/>
        </w:rPr>
      </w:pPr>
    </w:p>
    <w:p w14:paraId="638A495E" w14:textId="439FC402" w:rsidR="00B5471C" w:rsidRPr="00544B42" w:rsidRDefault="00544B42" w:rsidP="00544B42">
      <w:pPr>
        <w:spacing w:line="360" w:lineRule="auto"/>
        <w:jc w:val="both"/>
        <w:rPr>
          <w:rFonts w:asciiTheme="minorBidi" w:hAnsiTheme="minorBidi"/>
        </w:rPr>
      </w:pPr>
      <w:r w:rsidRPr="002D6266">
        <w:rPr>
          <w:rFonts w:ascii="Arial" w:eastAsiaTheme="minorHAnsi" w:hAnsi="Arial" w:cs="Arial"/>
          <w:lang w:val="en-GB" w:eastAsia="en-US" w:bidi="ar-SA"/>
        </w:rPr>
        <w:t>[22]</w:t>
      </w:r>
      <w:r w:rsidRPr="002D6266">
        <w:rPr>
          <w:rFonts w:ascii="Arial" w:eastAsiaTheme="minorHAnsi" w:hAnsi="Arial" w:cs="Arial"/>
          <w:lang w:val="en-GB" w:eastAsia="en-US" w:bidi="ar-SA"/>
        </w:rPr>
        <w:tab/>
      </w:r>
      <w:r w:rsidR="00E97EE6" w:rsidRPr="00544B42">
        <w:rPr>
          <w:rFonts w:asciiTheme="minorBidi" w:hAnsiTheme="minorBidi"/>
          <w:bCs/>
        </w:rPr>
        <w:t xml:space="preserve">When the </w:t>
      </w:r>
      <w:r w:rsidR="00DA557D" w:rsidRPr="00544B42">
        <w:rPr>
          <w:rFonts w:asciiTheme="minorBidi" w:hAnsiTheme="minorBidi"/>
          <w:bCs/>
        </w:rPr>
        <w:t xml:space="preserve">SAPS arrived at the scene, they were confronted with the appellant lying injured as a result of being shot by the complainant. The complainant </w:t>
      </w:r>
      <w:r w:rsidR="00465DD2" w:rsidRPr="00544B42">
        <w:rPr>
          <w:rFonts w:asciiTheme="minorBidi" w:hAnsiTheme="minorBidi"/>
          <w:bCs/>
        </w:rPr>
        <w:t>testifi</w:t>
      </w:r>
      <w:r w:rsidR="00DA557D" w:rsidRPr="00544B42">
        <w:rPr>
          <w:rFonts w:asciiTheme="minorBidi" w:hAnsiTheme="minorBidi"/>
          <w:bCs/>
        </w:rPr>
        <w:t xml:space="preserve">ed that he told the SAPS members what had happened. He was then asked to immediately make a </w:t>
      </w:r>
      <w:r w:rsidR="002D6266" w:rsidRPr="00544B42">
        <w:rPr>
          <w:rFonts w:asciiTheme="minorBidi" w:hAnsiTheme="minorBidi"/>
          <w:bCs/>
        </w:rPr>
        <w:t xml:space="preserve">written </w:t>
      </w:r>
      <w:r w:rsidR="00DA557D" w:rsidRPr="00544B42">
        <w:rPr>
          <w:rFonts w:asciiTheme="minorBidi" w:hAnsiTheme="minorBidi"/>
          <w:bCs/>
        </w:rPr>
        <w:t xml:space="preserve">statement under oath, which he did at the scene. That statement included </w:t>
      </w:r>
      <w:r w:rsidR="00465DD2" w:rsidRPr="00544B42">
        <w:rPr>
          <w:rFonts w:asciiTheme="minorBidi" w:hAnsiTheme="minorBidi"/>
          <w:bCs/>
        </w:rPr>
        <w:t>his</w:t>
      </w:r>
      <w:r w:rsidR="00DA557D" w:rsidRPr="00544B42">
        <w:rPr>
          <w:rFonts w:asciiTheme="minorBidi" w:hAnsiTheme="minorBidi"/>
          <w:bCs/>
        </w:rPr>
        <w:t xml:space="preserve"> version of events. The SAPS members thus had the </w:t>
      </w:r>
      <w:r w:rsidR="00DA557D" w:rsidRPr="00544B42">
        <w:rPr>
          <w:rFonts w:asciiTheme="minorBidi" w:hAnsiTheme="minorBidi"/>
          <w:bCs/>
        </w:rPr>
        <w:lastRenderedPageBreak/>
        <w:t xml:space="preserve">complainant’s sworn version of events, the recovered bank </w:t>
      </w:r>
      <w:r w:rsidR="00C55F77" w:rsidRPr="00544B42">
        <w:rPr>
          <w:rFonts w:asciiTheme="minorBidi" w:hAnsiTheme="minorBidi"/>
          <w:bCs/>
        </w:rPr>
        <w:t>card,</w:t>
      </w:r>
      <w:r w:rsidR="00DA557D" w:rsidRPr="00544B42">
        <w:rPr>
          <w:rFonts w:asciiTheme="minorBidi" w:hAnsiTheme="minorBidi"/>
          <w:bCs/>
        </w:rPr>
        <w:t xml:space="preserve"> and the fact of the wounding of the appellant upon which to form a view. In my view,</w:t>
      </w:r>
      <w:r w:rsidR="009A5B2E" w:rsidRPr="00544B42">
        <w:rPr>
          <w:rFonts w:asciiTheme="minorBidi" w:hAnsiTheme="minorBidi"/>
          <w:bCs/>
        </w:rPr>
        <w:t xml:space="preserve"> </w:t>
      </w:r>
      <w:r w:rsidR="00E97EE6" w:rsidRPr="00544B42">
        <w:rPr>
          <w:rFonts w:asciiTheme="minorBidi" w:hAnsiTheme="minorBidi"/>
          <w:bCs/>
        </w:rPr>
        <w:t>the reasonable grounds required by the SAPS members to arrest the appellant without a warrant of arrest were satisfied.</w:t>
      </w:r>
    </w:p>
    <w:p w14:paraId="12C469F2" w14:textId="6AF7D68B" w:rsidR="002D6266" w:rsidRDefault="002D6266" w:rsidP="002D6266">
      <w:pPr>
        <w:pStyle w:val="ListParagraph"/>
        <w:spacing w:after="0" w:line="360" w:lineRule="auto"/>
        <w:ind w:left="0"/>
        <w:jc w:val="both"/>
        <w:rPr>
          <w:rFonts w:asciiTheme="minorBidi" w:hAnsiTheme="minorBidi"/>
          <w:bCs/>
          <w:sz w:val="24"/>
          <w:szCs w:val="24"/>
        </w:rPr>
      </w:pPr>
    </w:p>
    <w:p w14:paraId="508DAF4C" w14:textId="3F3EE37F" w:rsidR="002D6266" w:rsidRPr="00544B42" w:rsidRDefault="00544B42" w:rsidP="00544B42">
      <w:pPr>
        <w:spacing w:line="360" w:lineRule="auto"/>
        <w:jc w:val="both"/>
        <w:rPr>
          <w:rFonts w:ascii="Arial" w:hAnsi="Arial" w:cs="Arial"/>
        </w:rPr>
      </w:pPr>
      <w:r w:rsidRPr="002D6266">
        <w:rPr>
          <w:rFonts w:ascii="Arial" w:eastAsiaTheme="minorHAnsi" w:hAnsi="Arial" w:cs="Arial"/>
          <w:lang w:val="en-GB" w:eastAsia="en-US" w:bidi="ar-SA"/>
        </w:rPr>
        <w:t>[23]</w:t>
      </w:r>
      <w:r w:rsidRPr="002D6266">
        <w:rPr>
          <w:rFonts w:ascii="Arial" w:eastAsiaTheme="minorHAnsi" w:hAnsi="Arial" w:cs="Arial"/>
          <w:lang w:val="en-GB" w:eastAsia="en-US" w:bidi="ar-SA"/>
        </w:rPr>
        <w:tab/>
      </w:r>
      <w:r w:rsidR="00E97EE6" w:rsidRPr="00544B42">
        <w:rPr>
          <w:rFonts w:ascii="Arial" w:hAnsi="Arial" w:cs="Arial"/>
        </w:rPr>
        <w:t xml:space="preserve">It </w:t>
      </w:r>
      <w:r w:rsidR="0059033E" w:rsidRPr="00544B42">
        <w:rPr>
          <w:rFonts w:ascii="Arial" w:hAnsi="Arial" w:cs="Arial"/>
        </w:rPr>
        <w:t xml:space="preserve">therefore </w:t>
      </w:r>
      <w:r w:rsidR="00E97EE6" w:rsidRPr="00544B42">
        <w:rPr>
          <w:rFonts w:ascii="Arial" w:hAnsi="Arial" w:cs="Arial"/>
        </w:rPr>
        <w:t xml:space="preserve">appears to me that the appellant </w:t>
      </w:r>
      <w:r w:rsidR="009A5B2E" w:rsidRPr="00544B42">
        <w:rPr>
          <w:rFonts w:ascii="Arial" w:hAnsi="Arial" w:cs="Arial"/>
        </w:rPr>
        <w:t>has weak</w:t>
      </w:r>
      <w:r w:rsidR="00E97EE6" w:rsidRPr="00544B42">
        <w:rPr>
          <w:rFonts w:ascii="Arial" w:hAnsi="Arial" w:cs="Arial"/>
        </w:rPr>
        <w:t xml:space="preserve"> prospects of succeeding on the merits of the appeal. </w:t>
      </w:r>
      <w:r w:rsidR="002D6266" w:rsidRPr="00544B42">
        <w:rPr>
          <w:rFonts w:ascii="Arial" w:hAnsi="Arial" w:cs="Arial"/>
          <w:color w:val="242121"/>
          <w:shd w:val="clear" w:color="auto" w:fill="FFFFFF"/>
        </w:rPr>
        <w:t>To grant condonation in the absence of a satisfactory explanation after such an inordinate delay in progressing the appeal would undermine the principle of finality and cannot be in the interests of justice. It seems to me that the appropriate order in the circumstances is to strike the matter off the roll.</w:t>
      </w:r>
      <w:r w:rsidR="002D6266">
        <w:rPr>
          <w:rStyle w:val="FootnoteReference"/>
          <w:rFonts w:ascii="Arial" w:hAnsi="Arial" w:cs="Arial"/>
          <w:color w:val="242121"/>
          <w:shd w:val="clear" w:color="auto" w:fill="FFFFFF"/>
        </w:rPr>
        <w:footnoteReference w:id="12"/>
      </w:r>
    </w:p>
    <w:p w14:paraId="22FCB3A0" w14:textId="77777777" w:rsidR="00EA3FD2" w:rsidRDefault="00EA3FD2" w:rsidP="00072270">
      <w:pPr>
        <w:pStyle w:val="ListParagraph"/>
        <w:spacing w:after="0" w:line="360" w:lineRule="auto"/>
        <w:ind w:left="0"/>
        <w:jc w:val="both"/>
        <w:rPr>
          <w:rFonts w:asciiTheme="minorBidi" w:hAnsiTheme="minorBidi"/>
          <w:sz w:val="24"/>
          <w:szCs w:val="24"/>
        </w:rPr>
      </w:pPr>
    </w:p>
    <w:p w14:paraId="2A555AEE" w14:textId="353A9132" w:rsidR="008B29F2" w:rsidRPr="00544B42" w:rsidRDefault="00544B42" w:rsidP="00544B42">
      <w:pPr>
        <w:spacing w:line="360" w:lineRule="auto"/>
        <w:jc w:val="both"/>
        <w:rPr>
          <w:rStyle w:val="apple-converted-space"/>
          <w:rFonts w:asciiTheme="minorBidi" w:hAnsiTheme="minorBidi"/>
        </w:rPr>
      </w:pPr>
      <w:r w:rsidRPr="009A5B2E">
        <w:rPr>
          <w:rStyle w:val="apple-converted-space"/>
          <w:rFonts w:ascii="Arial" w:eastAsiaTheme="minorHAnsi" w:hAnsi="Arial" w:cs="Arial"/>
          <w:lang w:val="en-GB" w:eastAsia="en-US" w:bidi="ar-SA"/>
        </w:rPr>
        <w:t>[24]</w:t>
      </w:r>
      <w:r w:rsidRPr="009A5B2E">
        <w:rPr>
          <w:rStyle w:val="apple-converted-space"/>
          <w:rFonts w:ascii="Arial" w:eastAsiaTheme="minorHAnsi" w:hAnsi="Arial" w:cs="Arial"/>
          <w:lang w:val="en-GB" w:eastAsia="en-US" w:bidi="ar-SA"/>
        </w:rPr>
        <w:tab/>
      </w:r>
      <w:r w:rsidR="00E41322" w:rsidRPr="00544B42">
        <w:rPr>
          <w:rFonts w:asciiTheme="minorBidi" w:hAnsiTheme="minorBidi"/>
        </w:rPr>
        <w:t>It is trite that ‘</w:t>
      </w:r>
      <w:r w:rsidR="00E41322" w:rsidRPr="00544B42">
        <w:rPr>
          <w:rFonts w:asciiTheme="minorBidi" w:hAnsiTheme="minorBidi"/>
          <w:color w:val="242121"/>
        </w:rPr>
        <w:t>[t]</w:t>
      </w:r>
      <w:r w:rsidR="008B29F2" w:rsidRPr="00544B42">
        <w:rPr>
          <w:rFonts w:asciiTheme="minorBidi" w:hAnsiTheme="minorBidi"/>
          <w:color w:val="242121"/>
        </w:rPr>
        <w:t xml:space="preserve">he general rule in matters of costs is that the successful party should be given his costs, and this rule should not be departed from except where there </w:t>
      </w:r>
      <w:r w:rsidR="00E41322" w:rsidRPr="00544B42">
        <w:rPr>
          <w:rFonts w:asciiTheme="minorBidi" w:hAnsiTheme="minorBidi"/>
          <w:color w:val="242121"/>
        </w:rPr>
        <w:t>be</w:t>
      </w:r>
      <w:r w:rsidR="008B29F2" w:rsidRPr="00544B42">
        <w:rPr>
          <w:rFonts w:asciiTheme="minorBidi" w:hAnsiTheme="minorBidi"/>
          <w:color w:val="242121"/>
        </w:rPr>
        <w:t xml:space="preserve"> good grounds for doing so</w:t>
      </w:r>
      <w:r w:rsidR="00E41322" w:rsidRPr="00544B42">
        <w:rPr>
          <w:rFonts w:asciiTheme="minorBidi" w:hAnsiTheme="minorBidi"/>
          <w:color w:val="242121"/>
        </w:rPr>
        <w:t>’</w:t>
      </w:r>
      <w:r w:rsidR="008B29F2" w:rsidRPr="00544B42">
        <w:rPr>
          <w:rFonts w:asciiTheme="minorBidi" w:hAnsiTheme="minorBidi"/>
          <w:color w:val="242121"/>
        </w:rPr>
        <w:t>.</w:t>
      </w:r>
      <w:r w:rsidR="00E97EE6">
        <w:rPr>
          <w:rStyle w:val="FootnoteReference"/>
          <w:rFonts w:asciiTheme="minorBidi" w:hAnsiTheme="minorBidi"/>
          <w:color w:val="242121"/>
        </w:rPr>
        <w:footnoteReference w:id="13"/>
      </w:r>
      <w:r w:rsidR="008B29F2" w:rsidRPr="00544B42">
        <w:rPr>
          <w:rStyle w:val="apple-converted-space"/>
          <w:rFonts w:asciiTheme="minorBidi" w:hAnsiTheme="minorBidi"/>
          <w:color w:val="242121"/>
        </w:rPr>
        <w:t> </w:t>
      </w:r>
      <w:r w:rsidR="00E97EE6" w:rsidRPr="00544B42">
        <w:rPr>
          <w:rStyle w:val="apple-converted-space"/>
          <w:rFonts w:asciiTheme="minorBidi" w:hAnsiTheme="minorBidi"/>
          <w:color w:val="242121"/>
        </w:rPr>
        <w:t>No such grounds exist in this matter.</w:t>
      </w:r>
    </w:p>
    <w:p w14:paraId="278E1496" w14:textId="77777777" w:rsidR="009A5B2E" w:rsidRPr="009A5B2E" w:rsidRDefault="009A5B2E" w:rsidP="00072270">
      <w:pPr>
        <w:pStyle w:val="ListParagraph"/>
        <w:spacing w:line="360" w:lineRule="auto"/>
        <w:rPr>
          <w:rStyle w:val="apple-converted-space"/>
          <w:rFonts w:asciiTheme="minorBidi" w:hAnsiTheme="minorBidi"/>
          <w:sz w:val="24"/>
          <w:szCs w:val="24"/>
        </w:rPr>
      </w:pPr>
    </w:p>
    <w:p w14:paraId="10B873D8" w14:textId="7F44FA1B" w:rsidR="00E97EE6" w:rsidRPr="00544B42" w:rsidRDefault="00544B42" w:rsidP="00544B42">
      <w:pPr>
        <w:spacing w:line="360" w:lineRule="auto"/>
        <w:jc w:val="both"/>
        <w:rPr>
          <w:rFonts w:asciiTheme="minorBidi" w:hAnsiTheme="minorBidi"/>
        </w:rPr>
      </w:pPr>
      <w:r w:rsidRPr="009A5B2E">
        <w:rPr>
          <w:rFonts w:ascii="Arial" w:eastAsiaTheme="minorHAnsi" w:hAnsi="Arial" w:cs="Arial"/>
          <w:lang w:val="en-GB" w:eastAsia="en-US" w:bidi="ar-SA"/>
        </w:rPr>
        <w:t>[25]</w:t>
      </w:r>
      <w:r w:rsidRPr="009A5B2E">
        <w:rPr>
          <w:rFonts w:ascii="Arial" w:eastAsiaTheme="minorHAnsi" w:hAnsi="Arial" w:cs="Arial"/>
          <w:lang w:val="en-GB" w:eastAsia="en-US" w:bidi="ar-SA"/>
        </w:rPr>
        <w:tab/>
      </w:r>
      <w:r w:rsidR="00E97EE6" w:rsidRPr="00544B42">
        <w:rPr>
          <w:rFonts w:asciiTheme="minorBidi" w:hAnsiTheme="minorBidi"/>
        </w:rPr>
        <w:t>I would accordingly propose the following order:</w:t>
      </w:r>
    </w:p>
    <w:p w14:paraId="47B277DC" w14:textId="15A59F5F" w:rsidR="00465DD2" w:rsidRPr="00544B42" w:rsidRDefault="00544B42" w:rsidP="00544B42">
      <w:pPr>
        <w:tabs>
          <w:tab w:val="left" w:pos="709"/>
        </w:tabs>
        <w:spacing w:line="360" w:lineRule="auto"/>
        <w:jc w:val="both"/>
        <w:rPr>
          <w:rFonts w:asciiTheme="minorBidi" w:hAnsiTheme="minorBidi"/>
        </w:rPr>
      </w:pPr>
      <w:r w:rsidRPr="00F24DA9">
        <w:rPr>
          <w:rFonts w:asciiTheme="minorBidi" w:eastAsiaTheme="minorHAnsi" w:hAnsiTheme="minorBidi" w:cstheme="minorBidi"/>
          <w:lang w:val="en-GB" w:eastAsia="en-US" w:bidi="ar-SA"/>
        </w:rPr>
        <w:t>1.</w:t>
      </w:r>
      <w:r w:rsidRPr="00F24DA9">
        <w:rPr>
          <w:rFonts w:asciiTheme="minorBidi" w:eastAsiaTheme="minorHAnsi" w:hAnsiTheme="minorBidi" w:cstheme="minorBidi"/>
          <w:lang w:val="en-GB" w:eastAsia="en-US" w:bidi="ar-SA"/>
        </w:rPr>
        <w:tab/>
      </w:r>
      <w:r w:rsidR="00465DD2" w:rsidRPr="00544B42">
        <w:rPr>
          <w:rFonts w:asciiTheme="minorBidi" w:hAnsiTheme="minorBidi"/>
        </w:rPr>
        <w:t>Condonation for the late delivery of the appeal is refused</w:t>
      </w:r>
      <w:r w:rsidR="000A5C40" w:rsidRPr="00544B42">
        <w:rPr>
          <w:rFonts w:asciiTheme="minorBidi" w:hAnsiTheme="minorBidi"/>
        </w:rPr>
        <w:t xml:space="preserve"> with costs</w:t>
      </w:r>
      <w:r w:rsidR="00CC78FA" w:rsidRPr="00544B42">
        <w:rPr>
          <w:rFonts w:asciiTheme="minorBidi" w:hAnsiTheme="minorBidi"/>
        </w:rPr>
        <w:t>.</w:t>
      </w:r>
    </w:p>
    <w:p w14:paraId="24AD0A84" w14:textId="421E2FB8" w:rsidR="00E97EE6" w:rsidRPr="00544B42" w:rsidRDefault="00544B42" w:rsidP="00544B42">
      <w:pPr>
        <w:tabs>
          <w:tab w:val="left" w:pos="709"/>
        </w:tabs>
        <w:spacing w:line="360" w:lineRule="auto"/>
        <w:jc w:val="both"/>
        <w:rPr>
          <w:rFonts w:asciiTheme="minorBidi" w:hAnsiTheme="minorBidi"/>
        </w:rPr>
      </w:pPr>
      <w:r w:rsidRPr="00F24DA9">
        <w:rPr>
          <w:rFonts w:asciiTheme="minorBidi" w:eastAsiaTheme="minorHAnsi" w:hAnsiTheme="minorBidi" w:cstheme="minorBidi"/>
          <w:lang w:val="en-GB" w:eastAsia="en-US" w:bidi="ar-SA"/>
        </w:rPr>
        <w:t>2.</w:t>
      </w:r>
      <w:r w:rsidRPr="00F24DA9">
        <w:rPr>
          <w:rFonts w:asciiTheme="minorBidi" w:eastAsiaTheme="minorHAnsi" w:hAnsiTheme="minorBidi" w:cstheme="minorBidi"/>
          <w:lang w:val="en-GB" w:eastAsia="en-US" w:bidi="ar-SA"/>
        </w:rPr>
        <w:tab/>
      </w:r>
      <w:r w:rsidR="00E97EE6" w:rsidRPr="00544B42">
        <w:rPr>
          <w:rFonts w:asciiTheme="minorBidi" w:hAnsiTheme="minorBidi"/>
        </w:rPr>
        <w:t xml:space="preserve">The appeal is </w:t>
      </w:r>
      <w:r w:rsidR="00732671" w:rsidRPr="00544B42">
        <w:rPr>
          <w:rFonts w:asciiTheme="minorBidi" w:hAnsiTheme="minorBidi"/>
        </w:rPr>
        <w:t>struck from the roll.</w:t>
      </w:r>
    </w:p>
    <w:p w14:paraId="4C5C2042" w14:textId="77777777" w:rsidR="008B29F2" w:rsidRPr="00F24DA9" w:rsidRDefault="008B29F2" w:rsidP="00072270">
      <w:pPr>
        <w:pStyle w:val="ListParagraph"/>
        <w:tabs>
          <w:tab w:val="left" w:pos="0"/>
        </w:tabs>
        <w:spacing w:after="0" w:line="360" w:lineRule="auto"/>
        <w:ind w:left="0"/>
        <w:rPr>
          <w:rFonts w:asciiTheme="minorBidi" w:hAnsiTheme="minorBidi"/>
          <w:sz w:val="24"/>
          <w:szCs w:val="24"/>
        </w:rPr>
      </w:pPr>
    </w:p>
    <w:p w14:paraId="054E6D54" w14:textId="77777777" w:rsidR="00037617" w:rsidRDefault="00037617" w:rsidP="00072270">
      <w:pPr>
        <w:spacing w:line="360" w:lineRule="auto"/>
        <w:jc w:val="both"/>
        <w:rPr>
          <w:rFonts w:asciiTheme="minorBidi" w:hAnsiTheme="minorBidi"/>
          <w:bCs/>
        </w:rPr>
      </w:pPr>
    </w:p>
    <w:p w14:paraId="2CC4F1D4" w14:textId="664E1F9F" w:rsidR="00E37B04" w:rsidRDefault="00E37B04" w:rsidP="00072270">
      <w:pPr>
        <w:tabs>
          <w:tab w:val="left" w:pos="709"/>
        </w:tabs>
        <w:spacing w:line="360" w:lineRule="auto"/>
        <w:jc w:val="both"/>
        <w:rPr>
          <w:rFonts w:asciiTheme="minorBidi" w:hAnsiTheme="minorBidi" w:cstheme="minorBidi"/>
        </w:rPr>
      </w:pPr>
    </w:p>
    <w:p w14:paraId="5E1FF219" w14:textId="77777777" w:rsidR="00072270" w:rsidRPr="00DE1490" w:rsidRDefault="00072270" w:rsidP="00072270">
      <w:pPr>
        <w:tabs>
          <w:tab w:val="left" w:pos="709"/>
        </w:tabs>
        <w:spacing w:line="360" w:lineRule="auto"/>
        <w:jc w:val="both"/>
        <w:rPr>
          <w:rFonts w:asciiTheme="minorBidi" w:hAnsiTheme="minorBidi" w:cstheme="minorBidi"/>
        </w:rPr>
      </w:pPr>
    </w:p>
    <w:p w14:paraId="1A7E2257" w14:textId="77777777" w:rsidR="00970BA2" w:rsidRDefault="00970BA2" w:rsidP="00970BA2">
      <w:pPr>
        <w:tabs>
          <w:tab w:val="left" w:pos="709"/>
        </w:tabs>
        <w:jc w:val="right"/>
        <w:rPr>
          <w:rFonts w:asciiTheme="minorBidi" w:hAnsiTheme="minorBidi"/>
        </w:rPr>
      </w:pPr>
      <w:r>
        <w:rPr>
          <w:noProof/>
          <w:lang w:val="en-US" w:eastAsia="en-US" w:bidi="ar-SA"/>
        </w:rPr>
        <w:drawing>
          <wp:anchor distT="0" distB="0" distL="114300" distR="114300" simplePos="0" relativeHeight="251659264" behindDoc="1" locked="0" layoutInCell="1" allowOverlap="1" wp14:anchorId="56669346" wp14:editId="382CC071">
            <wp:simplePos x="0" y="0"/>
            <wp:positionH relativeFrom="column">
              <wp:posOffset>3712912</wp:posOffset>
            </wp:positionH>
            <wp:positionV relativeFrom="paragraph">
              <wp:posOffset>75779</wp:posOffset>
            </wp:positionV>
            <wp:extent cx="2110740" cy="582930"/>
            <wp:effectExtent l="0" t="0" r="0" b="127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pic:nvPicPr>
                  <pic:blipFill rotWithShape="1">
                    <a:blip r:embed="rId9">
                      <a:extLst>
                        <a:ext uri="{28A0092B-C50C-407E-A947-70E740481C1C}">
                          <a14:useLocalDpi xmlns:a14="http://schemas.microsoft.com/office/drawing/2010/main" val="0"/>
                        </a:ext>
                      </a:extLst>
                    </a:blip>
                    <a:srcRect l="21160" t="71137" r="41997" b="20994"/>
                    <a:stretch/>
                  </pic:blipFill>
                  <pic:spPr bwMode="auto">
                    <a:xfrm>
                      <a:off x="0" y="0"/>
                      <a:ext cx="2110740" cy="582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F832A7" w14:textId="77777777" w:rsidR="00812977" w:rsidRDefault="00812977" w:rsidP="00970BA2">
      <w:pPr>
        <w:tabs>
          <w:tab w:val="left" w:pos="709"/>
        </w:tabs>
        <w:jc w:val="right"/>
        <w:rPr>
          <w:rFonts w:asciiTheme="minorBidi" w:hAnsiTheme="minorBidi"/>
        </w:rPr>
      </w:pPr>
    </w:p>
    <w:p w14:paraId="13BC22B6" w14:textId="77777777" w:rsidR="00970BA2" w:rsidRPr="007B0DD3" w:rsidRDefault="00970BA2" w:rsidP="00970BA2">
      <w:pPr>
        <w:tabs>
          <w:tab w:val="left" w:pos="709"/>
        </w:tabs>
        <w:jc w:val="right"/>
        <w:rPr>
          <w:rFonts w:asciiTheme="minorBidi" w:hAnsiTheme="minorBidi"/>
        </w:rPr>
      </w:pPr>
      <w:r w:rsidRPr="007B0DD3">
        <w:rPr>
          <w:rFonts w:asciiTheme="minorBidi" w:hAnsiTheme="minorBidi"/>
        </w:rPr>
        <w:t>_______________________</w:t>
      </w:r>
    </w:p>
    <w:p w14:paraId="338C6547" w14:textId="77777777" w:rsidR="00970BA2" w:rsidRDefault="00970BA2" w:rsidP="00970BA2">
      <w:pPr>
        <w:tabs>
          <w:tab w:val="left" w:pos="709"/>
        </w:tabs>
        <w:spacing w:line="360" w:lineRule="auto"/>
        <w:jc w:val="right"/>
        <w:rPr>
          <w:rFonts w:asciiTheme="minorBidi" w:hAnsiTheme="minorBidi"/>
          <w:b/>
        </w:rPr>
      </w:pPr>
    </w:p>
    <w:p w14:paraId="2C16215F" w14:textId="77777777" w:rsidR="00970BA2" w:rsidRPr="007B0DD3" w:rsidRDefault="00970BA2" w:rsidP="00970BA2">
      <w:pPr>
        <w:tabs>
          <w:tab w:val="left" w:pos="709"/>
        </w:tabs>
        <w:jc w:val="right"/>
        <w:rPr>
          <w:rFonts w:asciiTheme="minorBidi" w:hAnsiTheme="minorBidi"/>
          <w:b/>
        </w:rPr>
      </w:pPr>
      <w:r w:rsidRPr="007B0DD3">
        <w:rPr>
          <w:rFonts w:asciiTheme="minorBidi" w:hAnsiTheme="minorBidi"/>
          <w:b/>
        </w:rPr>
        <w:t>MOSSOP J</w:t>
      </w:r>
    </w:p>
    <w:p w14:paraId="680B0569" w14:textId="3D494797" w:rsidR="00970BA2" w:rsidRDefault="00970BA2" w:rsidP="00970BA2">
      <w:pPr>
        <w:spacing w:line="360" w:lineRule="auto"/>
        <w:jc w:val="center"/>
        <w:rPr>
          <w:rFonts w:asciiTheme="minorBidi" w:eastAsia="Calibri" w:hAnsiTheme="minorBidi"/>
          <w:b/>
          <w:u w:val="single"/>
        </w:rPr>
      </w:pPr>
    </w:p>
    <w:p w14:paraId="3F4C52BB" w14:textId="7D0D8E5B" w:rsidR="00AE793E" w:rsidRDefault="00AE793E" w:rsidP="00970BA2">
      <w:pPr>
        <w:spacing w:line="360" w:lineRule="auto"/>
        <w:jc w:val="center"/>
        <w:rPr>
          <w:rFonts w:asciiTheme="minorBidi" w:eastAsia="Calibri" w:hAnsiTheme="minorBidi"/>
          <w:b/>
          <w:u w:val="single"/>
        </w:rPr>
      </w:pPr>
    </w:p>
    <w:p w14:paraId="0C1B45A1" w14:textId="7C720136" w:rsidR="00072270" w:rsidRDefault="00072270" w:rsidP="00970BA2">
      <w:pPr>
        <w:spacing w:line="360" w:lineRule="auto"/>
        <w:jc w:val="center"/>
        <w:rPr>
          <w:rFonts w:asciiTheme="minorBidi" w:eastAsia="Calibri" w:hAnsiTheme="minorBidi"/>
          <w:b/>
          <w:u w:val="single"/>
        </w:rPr>
      </w:pPr>
    </w:p>
    <w:p w14:paraId="3CA56C47" w14:textId="7BAC2F6C" w:rsidR="00072270" w:rsidRDefault="00072270" w:rsidP="00970BA2">
      <w:pPr>
        <w:spacing w:line="360" w:lineRule="auto"/>
        <w:jc w:val="center"/>
        <w:rPr>
          <w:rFonts w:asciiTheme="minorBidi" w:eastAsia="Calibri" w:hAnsiTheme="minorBidi"/>
          <w:b/>
          <w:u w:val="single"/>
        </w:rPr>
      </w:pPr>
    </w:p>
    <w:p w14:paraId="17A42E5C" w14:textId="0CE23990" w:rsidR="00072270" w:rsidRDefault="00072270" w:rsidP="00970BA2">
      <w:pPr>
        <w:spacing w:line="360" w:lineRule="auto"/>
        <w:jc w:val="center"/>
        <w:rPr>
          <w:rFonts w:asciiTheme="minorBidi" w:eastAsia="Calibri" w:hAnsiTheme="minorBidi"/>
          <w:b/>
          <w:u w:val="single"/>
        </w:rPr>
      </w:pPr>
    </w:p>
    <w:p w14:paraId="5DC6FF56" w14:textId="77777777" w:rsidR="00072270" w:rsidRDefault="00072270" w:rsidP="00970BA2">
      <w:pPr>
        <w:spacing w:line="360" w:lineRule="auto"/>
        <w:jc w:val="center"/>
        <w:rPr>
          <w:rFonts w:asciiTheme="minorBidi" w:eastAsia="Calibri" w:hAnsiTheme="minorBidi"/>
          <w:b/>
          <w:u w:val="single"/>
        </w:rPr>
      </w:pPr>
    </w:p>
    <w:p w14:paraId="46CD40E0" w14:textId="77777777" w:rsidR="00E37B04" w:rsidRPr="00B85647" w:rsidRDefault="00B85647" w:rsidP="00AE793E">
      <w:pPr>
        <w:spacing w:line="360" w:lineRule="auto"/>
        <w:jc w:val="right"/>
        <w:rPr>
          <w:rFonts w:asciiTheme="minorBidi" w:eastAsia="Calibri" w:hAnsiTheme="minorBidi"/>
          <w:bCs/>
        </w:rPr>
      </w:pPr>
      <w:r w:rsidRPr="00B85647">
        <w:rPr>
          <w:rFonts w:asciiTheme="minorBidi" w:eastAsia="Calibri" w:hAnsiTheme="minorBidi"/>
          <w:bCs/>
        </w:rPr>
        <w:t>I agree</w:t>
      </w:r>
      <w:r>
        <w:rPr>
          <w:rFonts w:asciiTheme="minorBidi" w:eastAsia="Calibri" w:hAnsiTheme="minorBidi"/>
          <w:bCs/>
        </w:rPr>
        <w:t>:</w:t>
      </w:r>
    </w:p>
    <w:p w14:paraId="4B3EA6A5" w14:textId="77777777" w:rsidR="00E37B04" w:rsidRDefault="00E37B04" w:rsidP="00970BA2">
      <w:pPr>
        <w:spacing w:line="360" w:lineRule="auto"/>
        <w:jc w:val="center"/>
        <w:rPr>
          <w:rFonts w:asciiTheme="minorBidi" w:eastAsia="Calibri" w:hAnsiTheme="minorBidi"/>
          <w:b/>
          <w:u w:val="single"/>
        </w:rPr>
      </w:pPr>
    </w:p>
    <w:p w14:paraId="3D8BD68B" w14:textId="545A11AC" w:rsidR="00E37B04" w:rsidRDefault="00E37B04" w:rsidP="00970BA2">
      <w:pPr>
        <w:spacing w:line="360" w:lineRule="auto"/>
        <w:jc w:val="center"/>
        <w:rPr>
          <w:rFonts w:asciiTheme="minorBidi" w:eastAsia="Calibri" w:hAnsiTheme="minorBidi"/>
          <w:b/>
          <w:u w:val="single"/>
        </w:rPr>
      </w:pPr>
    </w:p>
    <w:p w14:paraId="1E64C71B" w14:textId="77777777" w:rsidR="00072270" w:rsidRDefault="00072270" w:rsidP="00970BA2">
      <w:pPr>
        <w:spacing w:line="360" w:lineRule="auto"/>
        <w:jc w:val="center"/>
        <w:rPr>
          <w:rFonts w:asciiTheme="minorBidi" w:eastAsia="Calibri" w:hAnsiTheme="minorBidi"/>
          <w:b/>
          <w:u w:val="single"/>
        </w:rPr>
      </w:pPr>
    </w:p>
    <w:p w14:paraId="38B25ABA" w14:textId="77777777" w:rsidR="00E37B04" w:rsidRDefault="00E37B04" w:rsidP="00970BA2">
      <w:pPr>
        <w:spacing w:line="360" w:lineRule="auto"/>
        <w:jc w:val="center"/>
        <w:rPr>
          <w:rFonts w:asciiTheme="minorBidi" w:eastAsia="Calibri" w:hAnsiTheme="minorBidi"/>
          <w:b/>
          <w:u w:val="single"/>
        </w:rPr>
      </w:pPr>
    </w:p>
    <w:p w14:paraId="2D4F6F4F" w14:textId="77777777" w:rsidR="00B85647" w:rsidRPr="007B0DD3" w:rsidRDefault="00B85647" w:rsidP="00B85647">
      <w:pPr>
        <w:tabs>
          <w:tab w:val="left" w:pos="709"/>
        </w:tabs>
        <w:jc w:val="right"/>
        <w:rPr>
          <w:rFonts w:asciiTheme="minorBidi" w:hAnsiTheme="minorBidi"/>
        </w:rPr>
      </w:pPr>
      <w:r w:rsidRPr="007B0DD3">
        <w:rPr>
          <w:rFonts w:asciiTheme="minorBidi" w:hAnsiTheme="minorBidi"/>
        </w:rPr>
        <w:t>_______________________</w:t>
      </w:r>
    </w:p>
    <w:p w14:paraId="5B6DE617" w14:textId="77777777" w:rsidR="00B85647" w:rsidRDefault="00B85647" w:rsidP="00B85647">
      <w:pPr>
        <w:tabs>
          <w:tab w:val="left" w:pos="709"/>
        </w:tabs>
        <w:spacing w:line="360" w:lineRule="auto"/>
        <w:jc w:val="right"/>
        <w:rPr>
          <w:rFonts w:asciiTheme="minorBidi" w:hAnsiTheme="minorBidi"/>
          <w:b/>
        </w:rPr>
      </w:pPr>
    </w:p>
    <w:p w14:paraId="2220E9A2" w14:textId="77777777" w:rsidR="00B85647" w:rsidRPr="007B0DD3" w:rsidRDefault="00B85647" w:rsidP="00B85647">
      <w:pPr>
        <w:tabs>
          <w:tab w:val="left" w:pos="709"/>
        </w:tabs>
        <w:jc w:val="right"/>
        <w:rPr>
          <w:rFonts w:asciiTheme="minorBidi" w:hAnsiTheme="minorBidi"/>
          <w:b/>
        </w:rPr>
      </w:pPr>
      <w:r>
        <w:rPr>
          <w:rFonts w:asciiTheme="minorBidi" w:hAnsiTheme="minorBidi"/>
          <w:b/>
        </w:rPr>
        <w:t>SINGH</w:t>
      </w:r>
      <w:r w:rsidRPr="007B0DD3">
        <w:rPr>
          <w:rFonts w:asciiTheme="minorBidi" w:hAnsiTheme="minorBidi"/>
          <w:b/>
        </w:rPr>
        <w:t xml:space="preserve"> </w:t>
      </w:r>
      <w:r>
        <w:rPr>
          <w:rFonts w:asciiTheme="minorBidi" w:hAnsiTheme="minorBidi"/>
          <w:b/>
        </w:rPr>
        <w:t>A</w:t>
      </w:r>
      <w:r w:rsidRPr="007B0DD3">
        <w:rPr>
          <w:rFonts w:asciiTheme="minorBidi" w:hAnsiTheme="minorBidi"/>
          <w:b/>
        </w:rPr>
        <w:t>J</w:t>
      </w:r>
    </w:p>
    <w:p w14:paraId="3098AB1C" w14:textId="77777777" w:rsidR="00C426DF" w:rsidRDefault="00C426DF" w:rsidP="00970BA2">
      <w:pPr>
        <w:spacing w:line="360" w:lineRule="auto"/>
        <w:jc w:val="center"/>
        <w:rPr>
          <w:rFonts w:asciiTheme="minorBidi" w:eastAsia="Calibri" w:hAnsiTheme="minorBidi"/>
          <w:b/>
          <w:u w:val="single"/>
        </w:rPr>
      </w:pPr>
    </w:p>
    <w:p w14:paraId="7A46E004" w14:textId="77777777" w:rsidR="00C426DF" w:rsidRDefault="00C426DF" w:rsidP="00970BA2">
      <w:pPr>
        <w:spacing w:line="360" w:lineRule="auto"/>
        <w:jc w:val="center"/>
        <w:rPr>
          <w:rFonts w:asciiTheme="minorBidi" w:eastAsia="Calibri" w:hAnsiTheme="minorBidi"/>
          <w:b/>
          <w:u w:val="single"/>
        </w:rPr>
      </w:pPr>
    </w:p>
    <w:p w14:paraId="7A568FE7" w14:textId="2F2760D5" w:rsidR="00C426DF" w:rsidRDefault="00C426DF" w:rsidP="00970BA2">
      <w:pPr>
        <w:spacing w:line="360" w:lineRule="auto"/>
        <w:jc w:val="center"/>
        <w:rPr>
          <w:rFonts w:asciiTheme="minorBidi" w:eastAsia="Calibri" w:hAnsiTheme="minorBidi"/>
          <w:b/>
          <w:u w:val="single"/>
        </w:rPr>
      </w:pPr>
    </w:p>
    <w:p w14:paraId="14BA94A9" w14:textId="4ECBF899" w:rsidR="00072270" w:rsidRDefault="00072270" w:rsidP="00970BA2">
      <w:pPr>
        <w:spacing w:line="360" w:lineRule="auto"/>
        <w:jc w:val="center"/>
        <w:rPr>
          <w:rFonts w:asciiTheme="minorBidi" w:eastAsia="Calibri" w:hAnsiTheme="minorBidi"/>
          <w:b/>
          <w:u w:val="single"/>
        </w:rPr>
      </w:pPr>
    </w:p>
    <w:p w14:paraId="020CF3CE" w14:textId="36C726D6" w:rsidR="00072270" w:rsidRDefault="00072270" w:rsidP="00970BA2">
      <w:pPr>
        <w:spacing w:line="360" w:lineRule="auto"/>
        <w:jc w:val="center"/>
        <w:rPr>
          <w:rFonts w:asciiTheme="minorBidi" w:eastAsia="Calibri" w:hAnsiTheme="minorBidi"/>
          <w:b/>
          <w:u w:val="single"/>
        </w:rPr>
      </w:pPr>
    </w:p>
    <w:p w14:paraId="1129A401" w14:textId="5A3983DB" w:rsidR="00072270" w:rsidRDefault="00072270" w:rsidP="00970BA2">
      <w:pPr>
        <w:spacing w:line="360" w:lineRule="auto"/>
        <w:jc w:val="center"/>
        <w:rPr>
          <w:rFonts w:asciiTheme="minorBidi" w:eastAsia="Calibri" w:hAnsiTheme="minorBidi"/>
          <w:b/>
          <w:u w:val="single"/>
        </w:rPr>
      </w:pPr>
    </w:p>
    <w:p w14:paraId="6B8460AB" w14:textId="7FAF9D33" w:rsidR="00072270" w:rsidRDefault="00072270" w:rsidP="00970BA2">
      <w:pPr>
        <w:spacing w:line="360" w:lineRule="auto"/>
        <w:jc w:val="center"/>
        <w:rPr>
          <w:rFonts w:asciiTheme="minorBidi" w:eastAsia="Calibri" w:hAnsiTheme="minorBidi"/>
          <w:b/>
          <w:u w:val="single"/>
        </w:rPr>
      </w:pPr>
    </w:p>
    <w:p w14:paraId="0F2EA351" w14:textId="44822C11" w:rsidR="00072270" w:rsidRDefault="00072270" w:rsidP="00970BA2">
      <w:pPr>
        <w:spacing w:line="360" w:lineRule="auto"/>
        <w:jc w:val="center"/>
        <w:rPr>
          <w:rFonts w:asciiTheme="minorBidi" w:eastAsia="Calibri" w:hAnsiTheme="minorBidi"/>
          <w:b/>
          <w:u w:val="single"/>
        </w:rPr>
      </w:pPr>
    </w:p>
    <w:p w14:paraId="50E17113" w14:textId="0F5E3E96" w:rsidR="00072270" w:rsidRDefault="00072270" w:rsidP="00970BA2">
      <w:pPr>
        <w:spacing w:line="360" w:lineRule="auto"/>
        <w:jc w:val="center"/>
        <w:rPr>
          <w:rFonts w:asciiTheme="minorBidi" w:eastAsia="Calibri" w:hAnsiTheme="minorBidi"/>
          <w:b/>
          <w:u w:val="single"/>
        </w:rPr>
      </w:pPr>
    </w:p>
    <w:p w14:paraId="2D93C8E0" w14:textId="2C3CE804" w:rsidR="00072270" w:rsidRDefault="00072270" w:rsidP="00970BA2">
      <w:pPr>
        <w:spacing w:line="360" w:lineRule="auto"/>
        <w:jc w:val="center"/>
        <w:rPr>
          <w:rFonts w:asciiTheme="minorBidi" w:eastAsia="Calibri" w:hAnsiTheme="minorBidi"/>
          <w:b/>
          <w:u w:val="single"/>
        </w:rPr>
      </w:pPr>
    </w:p>
    <w:p w14:paraId="379DBC31" w14:textId="30F93E80" w:rsidR="00072270" w:rsidRDefault="00072270" w:rsidP="00970BA2">
      <w:pPr>
        <w:spacing w:line="360" w:lineRule="auto"/>
        <w:jc w:val="center"/>
        <w:rPr>
          <w:rFonts w:asciiTheme="minorBidi" w:eastAsia="Calibri" w:hAnsiTheme="minorBidi"/>
          <w:b/>
          <w:u w:val="single"/>
        </w:rPr>
      </w:pPr>
    </w:p>
    <w:p w14:paraId="64DF7C5B" w14:textId="43E8CAB6" w:rsidR="00072270" w:rsidRDefault="00072270" w:rsidP="00970BA2">
      <w:pPr>
        <w:spacing w:line="360" w:lineRule="auto"/>
        <w:jc w:val="center"/>
        <w:rPr>
          <w:rFonts w:asciiTheme="minorBidi" w:eastAsia="Calibri" w:hAnsiTheme="minorBidi"/>
          <w:b/>
          <w:u w:val="single"/>
        </w:rPr>
      </w:pPr>
    </w:p>
    <w:p w14:paraId="54B57C09" w14:textId="5FA26D5D" w:rsidR="00072270" w:rsidRDefault="00072270" w:rsidP="00970BA2">
      <w:pPr>
        <w:spacing w:line="360" w:lineRule="auto"/>
        <w:jc w:val="center"/>
        <w:rPr>
          <w:rFonts w:asciiTheme="minorBidi" w:eastAsia="Calibri" w:hAnsiTheme="minorBidi"/>
          <w:b/>
          <w:u w:val="single"/>
        </w:rPr>
      </w:pPr>
    </w:p>
    <w:p w14:paraId="754A8490" w14:textId="5D9AF473" w:rsidR="00072270" w:rsidRDefault="00072270" w:rsidP="00970BA2">
      <w:pPr>
        <w:spacing w:line="360" w:lineRule="auto"/>
        <w:jc w:val="center"/>
        <w:rPr>
          <w:rFonts w:asciiTheme="minorBidi" w:eastAsia="Calibri" w:hAnsiTheme="minorBidi"/>
          <w:b/>
          <w:u w:val="single"/>
        </w:rPr>
      </w:pPr>
    </w:p>
    <w:p w14:paraId="1CA0B75F" w14:textId="789CE59A" w:rsidR="00072270" w:rsidRDefault="00072270" w:rsidP="00970BA2">
      <w:pPr>
        <w:spacing w:line="360" w:lineRule="auto"/>
        <w:jc w:val="center"/>
        <w:rPr>
          <w:rFonts w:asciiTheme="minorBidi" w:eastAsia="Calibri" w:hAnsiTheme="minorBidi"/>
          <w:b/>
          <w:u w:val="single"/>
        </w:rPr>
      </w:pPr>
    </w:p>
    <w:p w14:paraId="36212D9F" w14:textId="0BD74F91" w:rsidR="00072270" w:rsidRDefault="00072270" w:rsidP="00970BA2">
      <w:pPr>
        <w:spacing w:line="360" w:lineRule="auto"/>
        <w:jc w:val="center"/>
        <w:rPr>
          <w:rFonts w:asciiTheme="minorBidi" w:eastAsia="Calibri" w:hAnsiTheme="minorBidi"/>
          <w:b/>
          <w:u w:val="single"/>
        </w:rPr>
      </w:pPr>
    </w:p>
    <w:p w14:paraId="5E143322" w14:textId="25288A07" w:rsidR="00072270" w:rsidRDefault="00072270" w:rsidP="00970BA2">
      <w:pPr>
        <w:spacing w:line="360" w:lineRule="auto"/>
        <w:jc w:val="center"/>
        <w:rPr>
          <w:rFonts w:asciiTheme="minorBidi" w:eastAsia="Calibri" w:hAnsiTheme="minorBidi"/>
          <w:b/>
          <w:u w:val="single"/>
        </w:rPr>
      </w:pPr>
    </w:p>
    <w:p w14:paraId="1F43F919" w14:textId="79040C26" w:rsidR="00072270" w:rsidRDefault="00072270" w:rsidP="00970BA2">
      <w:pPr>
        <w:spacing w:line="360" w:lineRule="auto"/>
        <w:jc w:val="center"/>
        <w:rPr>
          <w:rFonts w:asciiTheme="minorBidi" w:eastAsia="Calibri" w:hAnsiTheme="minorBidi"/>
          <w:b/>
          <w:u w:val="single"/>
        </w:rPr>
      </w:pPr>
    </w:p>
    <w:p w14:paraId="2B52F56F" w14:textId="69E3B905" w:rsidR="00072270" w:rsidRDefault="00072270" w:rsidP="00970BA2">
      <w:pPr>
        <w:spacing w:line="360" w:lineRule="auto"/>
        <w:jc w:val="center"/>
        <w:rPr>
          <w:rFonts w:asciiTheme="minorBidi" w:eastAsia="Calibri" w:hAnsiTheme="minorBidi"/>
          <w:b/>
          <w:u w:val="single"/>
        </w:rPr>
      </w:pPr>
    </w:p>
    <w:p w14:paraId="603DEB80" w14:textId="6B1E8A0F" w:rsidR="00072270" w:rsidRDefault="00072270" w:rsidP="00970BA2">
      <w:pPr>
        <w:spacing w:line="360" w:lineRule="auto"/>
        <w:jc w:val="center"/>
        <w:rPr>
          <w:rFonts w:asciiTheme="minorBidi" w:eastAsia="Calibri" w:hAnsiTheme="minorBidi"/>
          <w:b/>
          <w:u w:val="single"/>
        </w:rPr>
      </w:pPr>
    </w:p>
    <w:p w14:paraId="0DA3566A" w14:textId="0CE041DC" w:rsidR="00072270" w:rsidRDefault="00072270" w:rsidP="00970BA2">
      <w:pPr>
        <w:spacing w:line="360" w:lineRule="auto"/>
        <w:jc w:val="center"/>
        <w:rPr>
          <w:rFonts w:asciiTheme="minorBidi" w:eastAsia="Calibri" w:hAnsiTheme="minorBidi"/>
          <w:b/>
          <w:u w:val="single"/>
        </w:rPr>
      </w:pPr>
    </w:p>
    <w:p w14:paraId="124B42A2" w14:textId="0F742044" w:rsidR="00072270" w:rsidRDefault="00072270" w:rsidP="00970BA2">
      <w:pPr>
        <w:spacing w:line="360" w:lineRule="auto"/>
        <w:jc w:val="center"/>
        <w:rPr>
          <w:rFonts w:asciiTheme="minorBidi" w:eastAsia="Calibri" w:hAnsiTheme="minorBidi"/>
          <w:b/>
          <w:u w:val="single"/>
        </w:rPr>
      </w:pPr>
    </w:p>
    <w:p w14:paraId="7506994E" w14:textId="46024492" w:rsidR="00072270" w:rsidRDefault="00072270" w:rsidP="00970BA2">
      <w:pPr>
        <w:spacing w:line="360" w:lineRule="auto"/>
        <w:jc w:val="center"/>
        <w:rPr>
          <w:rFonts w:asciiTheme="minorBidi" w:eastAsia="Calibri" w:hAnsiTheme="minorBidi"/>
          <w:b/>
          <w:u w:val="single"/>
        </w:rPr>
      </w:pPr>
    </w:p>
    <w:p w14:paraId="600D7A57" w14:textId="2B8A4719" w:rsidR="00072270" w:rsidRDefault="00072270" w:rsidP="00970BA2">
      <w:pPr>
        <w:spacing w:line="360" w:lineRule="auto"/>
        <w:jc w:val="center"/>
        <w:rPr>
          <w:rFonts w:asciiTheme="minorBidi" w:eastAsia="Calibri" w:hAnsiTheme="minorBidi"/>
          <w:b/>
          <w:u w:val="single"/>
        </w:rPr>
      </w:pPr>
    </w:p>
    <w:p w14:paraId="72D64832" w14:textId="0097B703" w:rsidR="00072270" w:rsidRDefault="00072270" w:rsidP="00970BA2">
      <w:pPr>
        <w:spacing w:line="360" w:lineRule="auto"/>
        <w:jc w:val="center"/>
        <w:rPr>
          <w:rFonts w:asciiTheme="minorBidi" w:eastAsia="Calibri" w:hAnsiTheme="minorBidi"/>
          <w:b/>
          <w:u w:val="single"/>
        </w:rPr>
      </w:pPr>
    </w:p>
    <w:p w14:paraId="5754A65C" w14:textId="77777777" w:rsidR="00072270" w:rsidRDefault="00072270" w:rsidP="00970BA2">
      <w:pPr>
        <w:spacing w:line="360" w:lineRule="auto"/>
        <w:jc w:val="center"/>
        <w:rPr>
          <w:rFonts w:asciiTheme="minorBidi" w:eastAsia="Calibri" w:hAnsiTheme="minorBidi"/>
          <w:b/>
          <w:u w:val="single"/>
        </w:rPr>
      </w:pPr>
    </w:p>
    <w:p w14:paraId="03EA3E1A" w14:textId="453E191F" w:rsidR="00970BA2" w:rsidRPr="007B0DD3" w:rsidRDefault="00970BA2" w:rsidP="00970BA2">
      <w:pPr>
        <w:spacing w:line="360" w:lineRule="auto"/>
        <w:jc w:val="center"/>
        <w:rPr>
          <w:rFonts w:asciiTheme="minorBidi" w:eastAsia="Calibri" w:hAnsiTheme="minorBidi"/>
          <w:b/>
          <w:u w:val="single"/>
        </w:rPr>
      </w:pPr>
      <w:r>
        <w:rPr>
          <w:rFonts w:asciiTheme="minorBidi" w:eastAsia="Calibri" w:hAnsiTheme="minorBidi"/>
          <w:b/>
          <w:u w:val="single"/>
        </w:rPr>
        <w:t>A</w:t>
      </w:r>
      <w:r w:rsidRPr="007B0DD3">
        <w:rPr>
          <w:rFonts w:asciiTheme="minorBidi" w:eastAsia="Calibri" w:hAnsiTheme="minorBidi"/>
          <w:b/>
          <w:u w:val="single"/>
        </w:rPr>
        <w:t>PPEARANCES</w:t>
      </w:r>
    </w:p>
    <w:p w14:paraId="4C5D2D88" w14:textId="77777777" w:rsidR="00970BA2" w:rsidRDefault="00970BA2" w:rsidP="00970BA2">
      <w:pPr>
        <w:spacing w:line="360" w:lineRule="auto"/>
        <w:jc w:val="both"/>
        <w:rPr>
          <w:rFonts w:asciiTheme="minorBidi" w:eastAsia="Calibri" w:hAnsiTheme="minorBidi"/>
          <w:b/>
          <w:u w:val="single"/>
        </w:rPr>
      </w:pPr>
    </w:p>
    <w:p w14:paraId="2DA89C30" w14:textId="77777777" w:rsidR="008418D6" w:rsidRPr="007B0DD3" w:rsidRDefault="008418D6" w:rsidP="00970BA2">
      <w:pPr>
        <w:spacing w:line="360" w:lineRule="auto"/>
        <w:jc w:val="both"/>
        <w:rPr>
          <w:rFonts w:asciiTheme="minorBidi" w:eastAsia="Calibri" w:hAnsiTheme="minorBidi"/>
          <w:b/>
          <w:u w:val="single"/>
        </w:rPr>
      </w:pPr>
    </w:p>
    <w:p w14:paraId="387CB8DA" w14:textId="041419EF" w:rsidR="00970BA2" w:rsidRPr="007B0DD3" w:rsidRDefault="00970BA2" w:rsidP="004C2560">
      <w:pPr>
        <w:spacing w:line="360" w:lineRule="auto"/>
        <w:ind w:right="-82"/>
        <w:jc w:val="both"/>
        <w:rPr>
          <w:rFonts w:asciiTheme="minorBidi" w:hAnsiTheme="minorBidi"/>
        </w:rPr>
      </w:pPr>
      <w:r w:rsidRPr="007B0DD3">
        <w:rPr>
          <w:rFonts w:asciiTheme="minorBidi" w:hAnsiTheme="minorBidi"/>
        </w:rPr>
        <w:t xml:space="preserve">Counsel for the </w:t>
      </w:r>
      <w:r>
        <w:rPr>
          <w:rFonts w:asciiTheme="minorBidi" w:hAnsiTheme="minorBidi"/>
        </w:rPr>
        <w:t>applicants</w:t>
      </w:r>
      <w:r w:rsidRPr="007B0DD3">
        <w:rPr>
          <w:rFonts w:asciiTheme="minorBidi" w:hAnsiTheme="minorBidi"/>
        </w:rPr>
        <w:tab/>
      </w:r>
      <w:r w:rsidRPr="007B0DD3">
        <w:rPr>
          <w:rFonts w:asciiTheme="minorBidi" w:hAnsiTheme="minorBidi"/>
        </w:rPr>
        <w:tab/>
      </w:r>
      <w:r w:rsidR="00FF4049">
        <w:rPr>
          <w:rFonts w:asciiTheme="minorBidi" w:hAnsiTheme="minorBidi"/>
        </w:rPr>
        <w:tab/>
      </w:r>
      <w:r w:rsidRPr="007B0DD3">
        <w:rPr>
          <w:rFonts w:asciiTheme="minorBidi" w:hAnsiTheme="minorBidi"/>
        </w:rPr>
        <w:t xml:space="preserve">:  </w:t>
      </w:r>
      <w:r w:rsidRPr="007B0DD3">
        <w:rPr>
          <w:rFonts w:asciiTheme="minorBidi" w:hAnsiTheme="minorBidi"/>
        </w:rPr>
        <w:tab/>
      </w:r>
      <w:r w:rsidR="002C4ACA">
        <w:rPr>
          <w:rFonts w:asciiTheme="minorBidi" w:hAnsiTheme="minorBidi"/>
        </w:rPr>
        <w:t>Ms S Naidu</w:t>
      </w:r>
    </w:p>
    <w:p w14:paraId="23CC4DC0" w14:textId="77777777" w:rsidR="001C10F6" w:rsidRDefault="00970BA2" w:rsidP="00BD3016">
      <w:pPr>
        <w:spacing w:line="360" w:lineRule="auto"/>
        <w:ind w:right="-82"/>
        <w:jc w:val="both"/>
        <w:rPr>
          <w:rFonts w:asciiTheme="minorBidi" w:hAnsiTheme="minorBidi"/>
          <w:spacing w:val="-2"/>
        </w:rPr>
      </w:pPr>
      <w:r w:rsidRPr="007B0DD3">
        <w:rPr>
          <w:rFonts w:asciiTheme="minorBidi" w:hAnsiTheme="minorBidi"/>
        </w:rPr>
        <w:t>Instructed by:</w:t>
      </w:r>
      <w:r w:rsidRPr="007B0DD3">
        <w:rPr>
          <w:rFonts w:asciiTheme="minorBidi" w:hAnsiTheme="minorBidi"/>
        </w:rPr>
        <w:tab/>
      </w:r>
      <w:r w:rsidRPr="007B0DD3">
        <w:rPr>
          <w:rFonts w:asciiTheme="minorBidi" w:hAnsiTheme="minorBidi"/>
        </w:rPr>
        <w:tab/>
      </w:r>
      <w:r>
        <w:rPr>
          <w:rFonts w:asciiTheme="minorBidi" w:hAnsiTheme="minorBidi"/>
        </w:rPr>
        <w:tab/>
      </w:r>
      <w:r w:rsidR="00FF4049">
        <w:rPr>
          <w:rFonts w:asciiTheme="minorBidi" w:hAnsiTheme="minorBidi"/>
        </w:rPr>
        <w:tab/>
      </w:r>
      <w:r w:rsidRPr="007B0DD3">
        <w:rPr>
          <w:rFonts w:asciiTheme="minorBidi" w:hAnsiTheme="minorBidi"/>
        </w:rPr>
        <w:t>:</w:t>
      </w:r>
      <w:r w:rsidR="00CA010C">
        <w:rPr>
          <w:rFonts w:asciiTheme="minorBidi" w:hAnsiTheme="minorBidi"/>
        </w:rPr>
        <w:tab/>
      </w:r>
      <w:r w:rsidR="005D0D0A">
        <w:rPr>
          <w:rFonts w:asciiTheme="minorBidi" w:hAnsiTheme="minorBidi"/>
          <w:spacing w:val="-2"/>
        </w:rPr>
        <w:t>M E Lengolo - Buthelezi Attorneys</w:t>
      </w:r>
    </w:p>
    <w:p w14:paraId="6FCF8E52" w14:textId="77777777" w:rsidR="005D0D0A" w:rsidRDefault="00BD3016" w:rsidP="00000ADA">
      <w:pPr>
        <w:spacing w:line="360" w:lineRule="auto"/>
        <w:ind w:right="-82"/>
        <w:jc w:val="both"/>
        <w:rPr>
          <w:rFonts w:asciiTheme="minorBidi" w:hAnsiTheme="minorBidi"/>
          <w:spacing w:val="-2"/>
        </w:rPr>
      </w:pPr>
      <w:r>
        <w:rPr>
          <w:rFonts w:asciiTheme="minorBidi" w:hAnsiTheme="minorBidi"/>
          <w:spacing w:val="-2"/>
        </w:rPr>
        <w:tab/>
      </w:r>
      <w:r>
        <w:rPr>
          <w:rFonts w:asciiTheme="minorBidi" w:hAnsiTheme="minorBidi"/>
          <w:spacing w:val="-2"/>
        </w:rPr>
        <w:tab/>
      </w:r>
      <w:r>
        <w:rPr>
          <w:rFonts w:asciiTheme="minorBidi" w:hAnsiTheme="minorBidi"/>
          <w:spacing w:val="-2"/>
        </w:rPr>
        <w:tab/>
      </w:r>
      <w:r>
        <w:rPr>
          <w:rFonts w:asciiTheme="minorBidi" w:hAnsiTheme="minorBidi"/>
          <w:spacing w:val="-2"/>
        </w:rPr>
        <w:tab/>
      </w:r>
      <w:r>
        <w:rPr>
          <w:rFonts w:asciiTheme="minorBidi" w:hAnsiTheme="minorBidi"/>
          <w:spacing w:val="-2"/>
        </w:rPr>
        <w:tab/>
      </w:r>
      <w:r>
        <w:rPr>
          <w:rFonts w:asciiTheme="minorBidi" w:hAnsiTheme="minorBidi"/>
          <w:spacing w:val="-2"/>
        </w:rPr>
        <w:tab/>
      </w:r>
      <w:r>
        <w:rPr>
          <w:rFonts w:asciiTheme="minorBidi" w:hAnsiTheme="minorBidi"/>
          <w:spacing w:val="-2"/>
        </w:rPr>
        <w:tab/>
      </w:r>
      <w:r w:rsidR="005D0D0A">
        <w:rPr>
          <w:rFonts w:asciiTheme="minorBidi" w:hAnsiTheme="minorBidi"/>
          <w:spacing w:val="-2"/>
        </w:rPr>
        <w:t>Suite 41</w:t>
      </w:r>
      <w:r w:rsidR="00000ADA">
        <w:rPr>
          <w:rFonts w:asciiTheme="minorBidi" w:hAnsiTheme="minorBidi"/>
          <w:spacing w:val="-2"/>
        </w:rPr>
        <w:t xml:space="preserve">0, </w:t>
      </w:r>
      <w:r w:rsidR="005D0D0A">
        <w:rPr>
          <w:rFonts w:asciiTheme="minorBidi" w:hAnsiTheme="minorBidi"/>
          <w:spacing w:val="-2"/>
        </w:rPr>
        <w:t>4</w:t>
      </w:r>
      <w:r w:rsidR="005D0D0A" w:rsidRPr="005D0D0A">
        <w:rPr>
          <w:rFonts w:asciiTheme="minorBidi" w:hAnsiTheme="minorBidi"/>
          <w:spacing w:val="-2"/>
          <w:vertAlign w:val="superscript"/>
        </w:rPr>
        <w:t>th</w:t>
      </w:r>
      <w:r w:rsidR="005D0D0A">
        <w:rPr>
          <w:rFonts w:asciiTheme="minorBidi" w:hAnsiTheme="minorBidi"/>
          <w:spacing w:val="-2"/>
        </w:rPr>
        <w:t xml:space="preserve"> Floor</w:t>
      </w:r>
    </w:p>
    <w:p w14:paraId="0893DC40" w14:textId="77777777" w:rsidR="005D0D0A" w:rsidRDefault="005D0D0A" w:rsidP="005D0D0A">
      <w:pPr>
        <w:spacing w:line="360" w:lineRule="auto"/>
        <w:ind w:left="4320" w:right="-82" w:firstLine="720"/>
        <w:jc w:val="both"/>
        <w:rPr>
          <w:rFonts w:asciiTheme="minorBidi" w:hAnsiTheme="minorBidi"/>
          <w:spacing w:val="-2"/>
        </w:rPr>
      </w:pPr>
      <w:r>
        <w:rPr>
          <w:rFonts w:asciiTheme="minorBidi" w:hAnsiTheme="minorBidi"/>
          <w:spacing w:val="-2"/>
        </w:rPr>
        <w:t>Salmon Grove Chambers</w:t>
      </w:r>
    </w:p>
    <w:p w14:paraId="2B752B7D" w14:textId="77777777" w:rsidR="005D0D0A" w:rsidRDefault="005D0D0A" w:rsidP="005D0D0A">
      <w:pPr>
        <w:spacing w:line="360" w:lineRule="auto"/>
        <w:ind w:left="4320" w:right="-82" w:firstLine="720"/>
        <w:jc w:val="both"/>
        <w:rPr>
          <w:rFonts w:asciiTheme="minorBidi" w:hAnsiTheme="minorBidi"/>
          <w:spacing w:val="-2"/>
        </w:rPr>
      </w:pPr>
      <w:r>
        <w:rPr>
          <w:rFonts w:asciiTheme="minorBidi" w:hAnsiTheme="minorBidi"/>
          <w:spacing w:val="-2"/>
        </w:rPr>
        <w:t>407 Anton Lembede Street</w:t>
      </w:r>
    </w:p>
    <w:p w14:paraId="491222A4" w14:textId="77777777" w:rsidR="00BD3016" w:rsidRDefault="00BD3016" w:rsidP="00000ADA">
      <w:pPr>
        <w:spacing w:line="360" w:lineRule="auto"/>
        <w:ind w:right="-82"/>
        <w:jc w:val="both"/>
        <w:rPr>
          <w:rFonts w:asciiTheme="minorBidi" w:hAnsiTheme="minorBidi"/>
          <w:spacing w:val="-2"/>
        </w:rPr>
      </w:pPr>
      <w:r>
        <w:rPr>
          <w:rFonts w:asciiTheme="minorBidi" w:hAnsiTheme="minorBidi"/>
          <w:spacing w:val="-2"/>
        </w:rPr>
        <w:tab/>
      </w:r>
      <w:r>
        <w:rPr>
          <w:rFonts w:asciiTheme="minorBidi" w:hAnsiTheme="minorBidi"/>
          <w:spacing w:val="-2"/>
        </w:rPr>
        <w:tab/>
      </w:r>
      <w:r>
        <w:rPr>
          <w:rFonts w:asciiTheme="minorBidi" w:hAnsiTheme="minorBidi"/>
          <w:spacing w:val="-2"/>
        </w:rPr>
        <w:tab/>
      </w:r>
      <w:r>
        <w:rPr>
          <w:rFonts w:asciiTheme="minorBidi" w:hAnsiTheme="minorBidi"/>
          <w:spacing w:val="-2"/>
        </w:rPr>
        <w:tab/>
      </w:r>
      <w:r>
        <w:rPr>
          <w:rFonts w:asciiTheme="minorBidi" w:hAnsiTheme="minorBidi"/>
          <w:spacing w:val="-2"/>
        </w:rPr>
        <w:tab/>
      </w:r>
      <w:r>
        <w:rPr>
          <w:rFonts w:asciiTheme="minorBidi" w:hAnsiTheme="minorBidi"/>
          <w:spacing w:val="-2"/>
        </w:rPr>
        <w:tab/>
      </w:r>
      <w:r>
        <w:rPr>
          <w:rFonts w:asciiTheme="minorBidi" w:hAnsiTheme="minorBidi"/>
          <w:spacing w:val="-2"/>
        </w:rPr>
        <w:tab/>
        <w:t>Durban</w:t>
      </w:r>
    </w:p>
    <w:p w14:paraId="57C7CB50" w14:textId="77777777" w:rsidR="00970BA2" w:rsidRPr="007B0DD3" w:rsidRDefault="00781761" w:rsidP="00325410">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sidR="00970BA2" w:rsidRPr="007B0DD3">
        <w:rPr>
          <w:rFonts w:asciiTheme="minorBidi" w:hAnsiTheme="minorBidi"/>
        </w:rPr>
        <w:t xml:space="preserve"> </w:t>
      </w:r>
    </w:p>
    <w:p w14:paraId="26CF9ED2" w14:textId="77777777" w:rsidR="00970BA2" w:rsidRDefault="00970BA2" w:rsidP="00FF4049">
      <w:pPr>
        <w:spacing w:line="360" w:lineRule="auto"/>
        <w:jc w:val="both"/>
        <w:rPr>
          <w:rFonts w:asciiTheme="minorBidi" w:hAnsiTheme="minorBidi"/>
        </w:rPr>
      </w:pPr>
      <w:r w:rsidRPr="007B0DD3">
        <w:rPr>
          <w:rFonts w:asciiTheme="minorBidi" w:hAnsiTheme="minorBidi"/>
        </w:rPr>
        <w:t xml:space="preserve">Counsel for the </w:t>
      </w:r>
      <w:r>
        <w:rPr>
          <w:rFonts w:asciiTheme="minorBidi" w:hAnsiTheme="minorBidi"/>
        </w:rPr>
        <w:t>respondent</w:t>
      </w:r>
      <w:r w:rsidR="001E1CD2">
        <w:rPr>
          <w:rFonts w:asciiTheme="minorBidi" w:hAnsiTheme="minorBidi"/>
        </w:rPr>
        <w:tab/>
      </w:r>
      <w:r w:rsidR="001C10F6">
        <w:rPr>
          <w:rFonts w:asciiTheme="minorBidi" w:hAnsiTheme="minorBidi"/>
        </w:rPr>
        <w:tab/>
      </w:r>
      <w:r w:rsidRPr="007B0DD3">
        <w:rPr>
          <w:rFonts w:asciiTheme="minorBidi" w:hAnsiTheme="minorBidi"/>
        </w:rPr>
        <w:t>:</w:t>
      </w:r>
      <w:r w:rsidR="00CC75C4">
        <w:rPr>
          <w:rFonts w:asciiTheme="minorBidi" w:hAnsiTheme="minorBidi"/>
        </w:rPr>
        <w:tab/>
      </w:r>
      <w:r w:rsidR="00325410">
        <w:rPr>
          <w:rFonts w:asciiTheme="minorBidi" w:hAnsiTheme="minorBidi"/>
        </w:rPr>
        <w:tab/>
      </w:r>
    </w:p>
    <w:p w14:paraId="060CA134" w14:textId="77777777" w:rsidR="00CC75C4" w:rsidRDefault="00970BA2" w:rsidP="001C10F6">
      <w:pPr>
        <w:spacing w:line="360" w:lineRule="auto"/>
        <w:ind w:right="-82"/>
        <w:jc w:val="both"/>
        <w:rPr>
          <w:rFonts w:asciiTheme="minorBidi" w:hAnsiTheme="minorBidi"/>
        </w:rPr>
      </w:pPr>
      <w:r w:rsidRPr="007B0DD3">
        <w:rPr>
          <w:rFonts w:asciiTheme="minorBidi" w:hAnsiTheme="minorBidi"/>
        </w:rPr>
        <w:t>Instructed by</w:t>
      </w:r>
      <w:r w:rsidRPr="007B0DD3">
        <w:rPr>
          <w:rFonts w:asciiTheme="minorBidi" w:hAnsiTheme="minorBidi"/>
        </w:rPr>
        <w:tab/>
      </w:r>
      <w:r w:rsidRPr="007B0DD3">
        <w:rPr>
          <w:rFonts w:asciiTheme="minorBidi" w:hAnsiTheme="minorBidi"/>
        </w:rPr>
        <w:tab/>
      </w:r>
      <w:r w:rsidRPr="007B0DD3">
        <w:rPr>
          <w:rFonts w:asciiTheme="minorBidi" w:hAnsiTheme="minorBidi"/>
        </w:rPr>
        <w:tab/>
      </w:r>
      <w:r w:rsidRPr="007B0DD3">
        <w:rPr>
          <w:rFonts w:asciiTheme="minorBidi" w:hAnsiTheme="minorBidi"/>
        </w:rPr>
        <w:tab/>
      </w:r>
      <w:r w:rsidR="00FF4049">
        <w:rPr>
          <w:rFonts w:asciiTheme="minorBidi" w:hAnsiTheme="minorBidi"/>
        </w:rPr>
        <w:tab/>
      </w:r>
      <w:r w:rsidRPr="007B0DD3">
        <w:rPr>
          <w:rFonts w:asciiTheme="minorBidi" w:hAnsiTheme="minorBidi"/>
        </w:rPr>
        <w:t>:</w:t>
      </w:r>
      <w:r w:rsidRPr="007B0DD3">
        <w:rPr>
          <w:rFonts w:asciiTheme="minorBidi" w:hAnsiTheme="minorBidi"/>
        </w:rPr>
        <w:tab/>
      </w:r>
      <w:r w:rsidR="005D0D0A">
        <w:rPr>
          <w:rFonts w:asciiTheme="minorBidi" w:hAnsiTheme="minorBidi"/>
        </w:rPr>
        <w:t>State Attorney</w:t>
      </w:r>
    </w:p>
    <w:p w14:paraId="2D91033C" w14:textId="77777777" w:rsidR="00BD3016" w:rsidRDefault="00BD3016" w:rsidP="005D0D0A">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sidR="005D0D0A">
        <w:rPr>
          <w:rFonts w:asciiTheme="minorBidi" w:hAnsiTheme="minorBidi"/>
        </w:rPr>
        <w:t>6</w:t>
      </w:r>
      <w:r w:rsidR="005D0D0A" w:rsidRPr="005D0D0A">
        <w:rPr>
          <w:rFonts w:asciiTheme="minorBidi" w:hAnsiTheme="minorBidi"/>
          <w:vertAlign w:val="superscript"/>
        </w:rPr>
        <w:t>th</w:t>
      </w:r>
      <w:r w:rsidR="005D0D0A">
        <w:rPr>
          <w:rFonts w:asciiTheme="minorBidi" w:hAnsiTheme="minorBidi"/>
        </w:rPr>
        <w:t xml:space="preserve"> Floor, Metlife Building</w:t>
      </w:r>
    </w:p>
    <w:p w14:paraId="2F35E93E" w14:textId="77777777" w:rsidR="005D0D0A" w:rsidRDefault="005D0D0A" w:rsidP="005D0D0A">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391 Anton Lembede Street</w:t>
      </w:r>
    </w:p>
    <w:p w14:paraId="4241BE33" w14:textId="77777777" w:rsidR="00BD3016" w:rsidRDefault="00BD3016" w:rsidP="001C10F6">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Durban</w:t>
      </w:r>
    </w:p>
    <w:p w14:paraId="6F2A79B9" w14:textId="77777777" w:rsidR="00970BA2" w:rsidRPr="007B0DD3" w:rsidRDefault="00970BA2" w:rsidP="00F05CDC">
      <w:pPr>
        <w:spacing w:line="360" w:lineRule="auto"/>
        <w:ind w:right="-82"/>
        <w:jc w:val="both"/>
        <w:rPr>
          <w:rFonts w:asciiTheme="minorBidi" w:hAnsiTheme="minorBidi"/>
        </w:rPr>
      </w:pPr>
      <w:r>
        <w:rPr>
          <w:rFonts w:asciiTheme="minorBidi" w:hAnsiTheme="minorBidi"/>
        </w:rPr>
        <w:tab/>
      </w:r>
    </w:p>
    <w:p w14:paraId="4B8CAE2F" w14:textId="77777777" w:rsidR="00C411A6" w:rsidRDefault="00C411A6" w:rsidP="00970BA2">
      <w:pPr>
        <w:spacing w:line="360" w:lineRule="auto"/>
        <w:ind w:right="-82"/>
        <w:jc w:val="both"/>
        <w:rPr>
          <w:rFonts w:asciiTheme="minorBidi" w:eastAsia="Calibri" w:hAnsiTheme="minorBidi"/>
        </w:rPr>
      </w:pPr>
      <w:r>
        <w:rPr>
          <w:rFonts w:asciiTheme="minorBidi" w:eastAsia="Calibri" w:hAnsiTheme="minorBidi"/>
        </w:rPr>
        <w:t>Date of argument</w:t>
      </w:r>
      <w:r w:rsidR="00FF4049">
        <w:rPr>
          <w:rFonts w:asciiTheme="minorBidi" w:eastAsia="Calibri" w:hAnsiTheme="minorBidi"/>
        </w:rPr>
        <w:tab/>
      </w:r>
      <w:r w:rsidR="00FF4049">
        <w:rPr>
          <w:rFonts w:asciiTheme="minorBidi" w:eastAsia="Calibri" w:hAnsiTheme="minorBidi"/>
        </w:rPr>
        <w:tab/>
      </w:r>
      <w:r w:rsidR="00FF4049">
        <w:rPr>
          <w:rFonts w:asciiTheme="minorBidi" w:eastAsia="Calibri" w:hAnsiTheme="minorBidi"/>
        </w:rPr>
        <w:tab/>
      </w:r>
      <w:r w:rsidR="00FF4049">
        <w:rPr>
          <w:rFonts w:asciiTheme="minorBidi" w:eastAsia="Calibri" w:hAnsiTheme="minorBidi"/>
        </w:rPr>
        <w:tab/>
      </w:r>
      <w:r>
        <w:rPr>
          <w:rFonts w:asciiTheme="minorBidi" w:eastAsia="Calibri" w:hAnsiTheme="minorBidi"/>
        </w:rPr>
        <w:t>:</w:t>
      </w:r>
      <w:r>
        <w:rPr>
          <w:rFonts w:asciiTheme="minorBidi" w:eastAsia="Calibri" w:hAnsiTheme="minorBidi"/>
        </w:rPr>
        <w:tab/>
      </w:r>
      <w:r w:rsidR="00465DD2">
        <w:rPr>
          <w:rFonts w:asciiTheme="minorBidi" w:eastAsia="Calibri" w:hAnsiTheme="minorBidi"/>
        </w:rPr>
        <w:t xml:space="preserve">18 </w:t>
      </w:r>
      <w:r w:rsidR="00000ADA">
        <w:rPr>
          <w:rFonts w:asciiTheme="minorBidi" w:eastAsia="Calibri" w:hAnsiTheme="minorBidi"/>
        </w:rPr>
        <w:t>August</w:t>
      </w:r>
      <w:r>
        <w:rPr>
          <w:rFonts w:asciiTheme="minorBidi" w:eastAsia="Calibri" w:hAnsiTheme="minorBidi"/>
        </w:rPr>
        <w:t xml:space="preserve"> 2023</w:t>
      </w:r>
    </w:p>
    <w:p w14:paraId="6F032434" w14:textId="77777777" w:rsidR="001E1CD2" w:rsidRPr="007B0DD3" w:rsidRDefault="001E1CD2" w:rsidP="00970BA2">
      <w:pPr>
        <w:spacing w:line="360" w:lineRule="auto"/>
        <w:ind w:right="-82"/>
        <w:jc w:val="both"/>
        <w:rPr>
          <w:rFonts w:asciiTheme="minorBidi" w:eastAsia="Calibri" w:hAnsiTheme="minorBidi"/>
        </w:rPr>
      </w:pPr>
    </w:p>
    <w:p w14:paraId="6690C4A4" w14:textId="77777777" w:rsidR="00F3519B" w:rsidRPr="008418D6" w:rsidRDefault="00970BA2" w:rsidP="008418D6">
      <w:pPr>
        <w:spacing w:line="360" w:lineRule="auto"/>
        <w:jc w:val="both"/>
        <w:rPr>
          <w:rFonts w:asciiTheme="minorBidi" w:eastAsia="Calibri" w:hAnsiTheme="minorBidi"/>
        </w:rPr>
      </w:pPr>
      <w:r w:rsidRPr="007B0DD3">
        <w:rPr>
          <w:rFonts w:asciiTheme="minorBidi" w:eastAsia="Calibri" w:hAnsiTheme="minorBidi"/>
        </w:rPr>
        <w:t xml:space="preserve">Date of Judgment </w:t>
      </w:r>
      <w:r w:rsidRPr="007B0DD3">
        <w:rPr>
          <w:rFonts w:asciiTheme="minorBidi" w:eastAsia="Calibri" w:hAnsiTheme="minorBidi"/>
        </w:rPr>
        <w:tab/>
      </w:r>
      <w:r w:rsidRPr="007B0DD3">
        <w:rPr>
          <w:rFonts w:asciiTheme="minorBidi" w:eastAsia="Calibri" w:hAnsiTheme="minorBidi"/>
        </w:rPr>
        <w:tab/>
      </w:r>
      <w:r w:rsidRPr="007B0DD3">
        <w:rPr>
          <w:rFonts w:asciiTheme="minorBidi" w:eastAsia="Calibri" w:hAnsiTheme="minorBidi"/>
        </w:rPr>
        <w:tab/>
      </w:r>
      <w:r w:rsidR="00FF4049">
        <w:rPr>
          <w:rFonts w:asciiTheme="minorBidi" w:eastAsia="Calibri" w:hAnsiTheme="minorBidi"/>
        </w:rPr>
        <w:tab/>
      </w:r>
      <w:r w:rsidRPr="007B0DD3">
        <w:rPr>
          <w:rFonts w:asciiTheme="minorBidi" w:eastAsia="Calibri" w:hAnsiTheme="minorBidi"/>
        </w:rPr>
        <w:t>:</w:t>
      </w:r>
      <w:r w:rsidRPr="007B0DD3">
        <w:rPr>
          <w:rFonts w:asciiTheme="minorBidi" w:eastAsia="Calibri" w:hAnsiTheme="minorBidi"/>
        </w:rPr>
        <w:tab/>
      </w:r>
      <w:r w:rsidR="00465DD2">
        <w:rPr>
          <w:rFonts w:asciiTheme="minorBidi" w:eastAsia="Calibri" w:hAnsiTheme="minorBidi"/>
        </w:rPr>
        <w:t xml:space="preserve">18 </w:t>
      </w:r>
      <w:r w:rsidR="00000ADA">
        <w:rPr>
          <w:rFonts w:asciiTheme="minorBidi" w:eastAsia="Calibri" w:hAnsiTheme="minorBidi"/>
        </w:rPr>
        <w:t>August</w:t>
      </w:r>
      <w:r w:rsidRPr="007B0DD3">
        <w:rPr>
          <w:rFonts w:asciiTheme="minorBidi" w:eastAsia="Calibri" w:hAnsiTheme="minorBidi"/>
        </w:rPr>
        <w:t xml:space="preserve"> 2023</w:t>
      </w:r>
    </w:p>
    <w:sectPr w:rsidR="00F3519B" w:rsidRPr="008418D6" w:rsidSect="003B7165">
      <w:headerReference w:type="even" r:id="rId10"/>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57B88" w14:textId="77777777" w:rsidR="000034A6" w:rsidRDefault="000034A6" w:rsidP="00F3519B">
      <w:r>
        <w:separator/>
      </w:r>
    </w:p>
  </w:endnote>
  <w:endnote w:type="continuationSeparator" w:id="0">
    <w:p w14:paraId="6C52208D" w14:textId="77777777" w:rsidR="000034A6" w:rsidRDefault="000034A6" w:rsidP="00F3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6A5BD" w14:textId="77777777" w:rsidR="000034A6" w:rsidRDefault="000034A6" w:rsidP="00F3519B">
      <w:r>
        <w:separator/>
      </w:r>
    </w:p>
  </w:footnote>
  <w:footnote w:type="continuationSeparator" w:id="0">
    <w:p w14:paraId="39CA8A65" w14:textId="77777777" w:rsidR="000034A6" w:rsidRDefault="000034A6" w:rsidP="00F3519B">
      <w:r>
        <w:continuationSeparator/>
      </w:r>
    </w:p>
  </w:footnote>
  <w:footnote w:id="1">
    <w:p w14:paraId="50761B41" w14:textId="7FB31C1F" w:rsidR="003B01F3" w:rsidRPr="00EA3FD2" w:rsidRDefault="003B01F3" w:rsidP="00EA3FD2">
      <w:pPr>
        <w:pStyle w:val="NormalWeb"/>
        <w:shd w:val="clear" w:color="auto" w:fill="FFFFFF"/>
        <w:tabs>
          <w:tab w:val="left" w:pos="709"/>
        </w:tabs>
        <w:spacing w:before="0" w:beforeAutospacing="0" w:after="0" w:afterAutospacing="0"/>
        <w:contextualSpacing/>
        <w:jc w:val="both"/>
        <w:rPr>
          <w:rFonts w:ascii="Arial" w:hAnsi="Arial" w:cs="Arial"/>
          <w:sz w:val="20"/>
          <w:szCs w:val="20"/>
          <w:lang w:val="en-US"/>
        </w:rPr>
      </w:pPr>
      <w:r w:rsidRPr="00EA3FD2">
        <w:rPr>
          <w:rStyle w:val="FootnoteReference"/>
          <w:rFonts w:ascii="Arial" w:hAnsi="Arial" w:cs="Arial"/>
          <w:sz w:val="20"/>
          <w:szCs w:val="20"/>
        </w:rPr>
        <w:footnoteRef/>
      </w:r>
      <w:r w:rsidRPr="00EA3FD2">
        <w:rPr>
          <w:rFonts w:ascii="Arial" w:hAnsi="Arial" w:cs="Arial"/>
          <w:sz w:val="20"/>
          <w:szCs w:val="20"/>
        </w:rPr>
        <w:t xml:space="preserve"> </w:t>
      </w:r>
      <w:r w:rsidRPr="00EA3FD2">
        <w:rPr>
          <w:rFonts w:ascii="Arial" w:hAnsi="Arial" w:cs="Arial"/>
          <w:i/>
          <w:iCs/>
          <w:color w:val="242121"/>
          <w:sz w:val="20"/>
          <w:szCs w:val="20"/>
          <w:lang w:val="en-US"/>
        </w:rPr>
        <w:t>Independent Municipal and Allied Trade Union on behalf of Zungu v SA Local Government Bargaining Council and others</w:t>
      </w:r>
      <w:r w:rsidRPr="00EA3FD2">
        <w:rPr>
          <w:rFonts w:ascii="Arial" w:hAnsi="Arial" w:cs="Arial"/>
          <w:color w:val="242121"/>
          <w:sz w:val="20"/>
          <w:szCs w:val="20"/>
          <w:shd w:val="clear" w:color="auto" w:fill="FFFFFF"/>
          <w:lang w:val="en-US"/>
        </w:rPr>
        <w:t xml:space="preserve"> (2010) 31 ILJ 1413 </w:t>
      </w:r>
      <w:r w:rsidR="00FF2EEC" w:rsidRPr="00EA3FD2">
        <w:rPr>
          <w:rFonts w:ascii="Arial" w:hAnsi="Arial" w:cs="Arial"/>
          <w:color w:val="242121"/>
          <w:sz w:val="20"/>
          <w:szCs w:val="20"/>
          <w:shd w:val="clear" w:color="auto" w:fill="FFFFFF"/>
          <w:lang w:val="en-US"/>
        </w:rPr>
        <w:t>(</w:t>
      </w:r>
      <w:r w:rsidRPr="00EA3FD2">
        <w:rPr>
          <w:rFonts w:ascii="Arial" w:hAnsi="Arial" w:cs="Arial"/>
          <w:color w:val="242121"/>
          <w:sz w:val="20"/>
          <w:szCs w:val="20"/>
          <w:shd w:val="clear" w:color="auto" w:fill="FFFFFF"/>
          <w:lang w:val="en-US"/>
        </w:rPr>
        <w:t>LC</w:t>
      </w:r>
      <w:r w:rsidR="00FF2EEC" w:rsidRPr="00EA3FD2">
        <w:rPr>
          <w:rFonts w:ascii="Arial" w:hAnsi="Arial" w:cs="Arial"/>
          <w:color w:val="242121"/>
          <w:sz w:val="20"/>
          <w:szCs w:val="20"/>
          <w:shd w:val="clear" w:color="auto" w:fill="FFFFFF"/>
          <w:lang w:val="en-US"/>
        </w:rPr>
        <w:t>)</w:t>
      </w:r>
      <w:r w:rsidRPr="00EA3FD2">
        <w:rPr>
          <w:rFonts w:ascii="Arial" w:hAnsi="Arial" w:cs="Arial"/>
          <w:color w:val="242121"/>
          <w:sz w:val="20"/>
          <w:szCs w:val="20"/>
          <w:shd w:val="clear" w:color="auto" w:fill="FFFFFF"/>
          <w:lang w:val="en-US"/>
        </w:rPr>
        <w:t xml:space="preserve"> para 13.</w:t>
      </w:r>
    </w:p>
  </w:footnote>
  <w:footnote w:id="2">
    <w:p w14:paraId="690B4A56" w14:textId="22F2299D" w:rsidR="006D28AA" w:rsidRPr="00EA3FD2" w:rsidRDefault="006D28AA" w:rsidP="00EA3FD2">
      <w:pPr>
        <w:pStyle w:val="Heading2"/>
        <w:shd w:val="clear" w:color="auto" w:fill="FFFFFF"/>
        <w:spacing w:before="0" w:beforeAutospacing="0" w:after="0" w:afterAutospacing="0"/>
        <w:contextualSpacing/>
        <w:jc w:val="both"/>
        <w:rPr>
          <w:rFonts w:ascii="Arial" w:hAnsi="Arial" w:cs="Arial"/>
          <w:b w:val="0"/>
          <w:sz w:val="20"/>
          <w:szCs w:val="20"/>
          <w:lang w:val="en-US"/>
        </w:rPr>
      </w:pPr>
      <w:r w:rsidRPr="00EA3FD2">
        <w:rPr>
          <w:rStyle w:val="FootnoteReference"/>
          <w:rFonts w:ascii="Arial" w:hAnsi="Arial" w:cs="Arial"/>
          <w:b w:val="0"/>
          <w:sz w:val="20"/>
          <w:szCs w:val="20"/>
        </w:rPr>
        <w:footnoteRef/>
      </w:r>
      <w:r w:rsidRPr="00EA3FD2">
        <w:rPr>
          <w:rFonts w:ascii="Arial" w:hAnsi="Arial" w:cs="Arial"/>
          <w:b w:val="0"/>
          <w:sz w:val="20"/>
          <w:szCs w:val="20"/>
        </w:rPr>
        <w:t xml:space="preserve"> </w:t>
      </w:r>
      <w:r w:rsidR="00465DD2" w:rsidRPr="00EA3FD2">
        <w:rPr>
          <w:rFonts w:ascii="Arial" w:hAnsi="Arial" w:cs="Arial"/>
          <w:b w:val="0"/>
          <w:bCs w:val="0"/>
          <w:i/>
          <w:sz w:val="20"/>
          <w:szCs w:val="20"/>
          <w:lang w:val="en-GB" w:bidi="ar-SA"/>
        </w:rPr>
        <w:t>PAF v SCF</w:t>
      </w:r>
      <w:r w:rsidR="0036306F" w:rsidRPr="00EA3FD2">
        <w:rPr>
          <w:rFonts w:ascii="Arial" w:hAnsi="Arial" w:cs="Arial"/>
          <w:b w:val="0"/>
          <w:bCs w:val="0"/>
          <w:sz w:val="20"/>
          <w:szCs w:val="20"/>
          <w:lang w:val="en-GB" w:bidi="ar-SA"/>
        </w:rPr>
        <w:t xml:space="preserve"> </w:t>
      </w:r>
      <w:r w:rsidR="00465DD2" w:rsidRPr="00EA3FD2">
        <w:rPr>
          <w:rFonts w:ascii="Arial" w:hAnsi="Arial" w:cs="Arial"/>
          <w:b w:val="0"/>
          <w:bCs w:val="0"/>
          <w:sz w:val="20"/>
          <w:szCs w:val="20"/>
          <w:lang w:val="en-GB" w:bidi="ar-SA"/>
        </w:rPr>
        <w:t>[2022] ZASCA 101; 2022</w:t>
      </w:r>
      <w:r w:rsidR="0036306F" w:rsidRPr="00EA3FD2">
        <w:rPr>
          <w:rFonts w:ascii="Arial" w:hAnsi="Arial" w:cs="Arial"/>
          <w:b w:val="0"/>
          <w:bCs w:val="0"/>
          <w:sz w:val="20"/>
          <w:szCs w:val="20"/>
          <w:lang w:val="en-GB" w:bidi="ar-SA"/>
        </w:rPr>
        <w:t xml:space="preserve"> (6) SA 162 (SCA) para 15.</w:t>
      </w:r>
    </w:p>
  </w:footnote>
  <w:footnote w:id="3">
    <w:p w14:paraId="712FBBDA" w14:textId="5B4EBC15" w:rsidR="006D28AA" w:rsidRPr="00EA3FD2" w:rsidRDefault="006D28AA" w:rsidP="00EA3FD2">
      <w:pPr>
        <w:pStyle w:val="ListParagraph"/>
        <w:spacing w:after="0" w:line="240" w:lineRule="auto"/>
        <w:ind w:left="0"/>
        <w:jc w:val="both"/>
        <w:rPr>
          <w:rFonts w:ascii="Arial" w:hAnsi="Arial" w:cs="Arial"/>
          <w:sz w:val="20"/>
          <w:szCs w:val="20"/>
          <w:lang w:val="en-US"/>
        </w:rPr>
      </w:pPr>
      <w:r w:rsidRPr="00EA3FD2">
        <w:rPr>
          <w:rStyle w:val="FootnoteReference"/>
          <w:rFonts w:ascii="Arial" w:hAnsi="Arial" w:cs="Arial"/>
          <w:sz w:val="20"/>
          <w:szCs w:val="20"/>
        </w:rPr>
        <w:footnoteRef/>
      </w:r>
      <w:r w:rsidRPr="00EA3FD2">
        <w:rPr>
          <w:rFonts w:ascii="Arial" w:hAnsi="Arial" w:cs="Arial"/>
          <w:sz w:val="20"/>
          <w:szCs w:val="20"/>
        </w:rPr>
        <w:t xml:space="preserve"> </w:t>
      </w:r>
      <w:r w:rsidRPr="00EA3FD2">
        <w:rPr>
          <w:rFonts w:ascii="Arial" w:hAnsi="Arial" w:cs="Arial"/>
          <w:i/>
          <w:iCs/>
          <w:color w:val="000000"/>
          <w:sz w:val="20"/>
          <w:szCs w:val="20"/>
        </w:rPr>
        <w:t xml:space="preserve">Van Wyk v Unitas Hospital and </w:t>
      </w:r>
      <w:r w:rsidR="00A77958" w:rsidRPr="00EA3FD2">
        <w:rPr>
          <w:rFonts w:ascii="Arial" w:hAnsi="Arial" w:cs="Arial"/>
          <w:i/>
          <w:iCs/>
          <w:color w:val="000000"/>
          <w:sz w:val="20"/>
          <w:szCs w:val="20"/>
        </w:rPr>
        <w:t xml:space="preserve">another </w:t>
      </w:r>
      <w:r w:rsidRPr="00EA3FD2">
        <w:rPr>
          <w:rFonts w:ascii="Arial" w:hAnsi="Arial" w:cs="Arial"/>
          <w:i/>
          <w:iCs/>
          <w:color w:val="000000"/>
          <w:sz w:val="20"/>
          <w:szCs w:val="20"/>
        </w:rPr>
        <w:t>(Open Democratic Advice Centre as Amicus Curiae)</w:t>
      </w:r>
      <w:r w:rsidRPr="00EA3FD2">
        <w:rPr>
          <w:rFonts w:ascii="Arial" w:hAnsi="Arial" w:cs="Arial"/>
          <w:color w:val="000000"/>
          <w:sz w:val="20"/>
          <w:szCs w:val="20"/>
        </w:rPr>
        <w:t> </w:t>
      </w:r>
      <w:r w:rsidR="008E25A4" w:rsidRPr="00EA3FD2">
        <w:rPr>
          <w:rFonts w:ascii="Arial" w:hAnsi="Arial" w:cs="Arial"/>
          <w:color w:val="000000"/>
          <w:sz w:val="20"/>
          <w:szCs w:val="20"/>
        </w:rPr>
        <w:t xml:space="preserve">[2007] ZACC 24; </w:t>
      </w:r>
      <w:r w:rsidRPr="00EA3FD2">
        <w:rPr>
          <w:rFonts w:ascii="Arial" w:hAnsi="Arial" w:cs="Arial"/>
          <w:color w:val="000000"/>
          <w:sz w:val="20"/>
          <w:szCs w:val="20"/>
        </w:rPr>
        <w:t>2008 (2) SA 472 (CC)</w:t>
      </w:r>
      <w:r w:rsidR="00792720" w:rsidRPr="00EA3FD2">
        <w:rPr>
          <w:rFonts w:ascii="Arial" w:hAnsi="Arial" w:cs="Arial"/>
          <w:color w:val="000000"/>
          <w:sz w:val="20"/>
          <w:szCs w:val="20"/>
        </w:rPr>
        <w:t xml:space="preserve"> para 20</w:t>
      </w:r>
      <w:r w:rsidRPr="00EA3FD2">
        <w:rPr>
          <w:rFonts w:ascii="Arial" w:hAnsi="Arial" w:cs="Arial"/>
          <w:color w:val="000000"/>
          <w:sz w:val="20"/>
          <w:szCs w:val="20"/>
        </w:rPr>
        <w:t>.</w:t>
      </w:r>
    </w:p>
  </w:footnote>
  <w:footnote w:id="4">
    <w:p w14:paraId="4F4688A4" w14:textId="3F332522" w:rsidR="00792720" w:rsidRPr="00EA3FD2" w:rsidRDefault="00792720" w:rsidP="00EA3FD2">
      <w:pPr>
        <w:pStyle w:val="FootnoteText"/>
        <w:contextualSpacing/>
        <w:jc w:val="both"/>
        <w:rPr>
          <w:rFonts w:ascii="Arial" w:hAnsi="Arial" w:cs="Arial"/>
          <w:color w:val="000000" w:themeColor="text1"/>
          <w:lang w:val="en-US"/>
        </w:rPr>
      </w:pPr>
      <w:r w:rsidRPr="00EA3FD2">
        <w:rPr>
          <w:rStyle w:val="FootnoteReference"/>
          <w:rFonts w:ascii="Arial" w:hAnsi="Arial" w:cs="Arial"/>
          <w:color w:val="000000" w:themeColor="text1"/>
        </w:rPr>
        <w:footnoteRef/>
      </w:r>
      <w:r w:rsidRPr="00EA3FD2">
        <w:rPr>
          <w:rFonts w:ascii="Arial" w:hAnsi="Arial" w:cs="Arial"/>
          <w:color w:val="000000" w:themeColor="text1"/>
        </w:rPr>
        <w:t xml:space="preserve"> </w:t>
      </w:r>
      <w:r w:rsidRPr="00EA3FD2">
        <w:rPr>
          <w:rFonts w:ascii="Arial" w:hAnsi="Arial" w:cs="Arial"/>
          <w:color w:val="000000" w:themeColor="text1"/>
          <w:lang w:val="en-US"/>
        </w:rPr>
        <w:t>Ibid para 22.</w:t>
      </w:r>
    </w:p>
  </w:footnote>
  <w:footnote w:id="5">
    <w:p w14:paraId="5FF4CB86" w14:textId="139A0788" w:rsidR="00530602" w:rsidRPr="00EA3FD2" w:rsidRDefault="00530602" w:rsidP="00EA3FD2">
      <w:pPr>
        <w:pStyle w:val="NormalWeb"/>
        <w:spacing w:before="0" w:beforeAutospacing="0" w:after="0" w:afterAutospacing="0"/>
        <w:contextualSpacing/>
        <w:jc w:val="both"/>
        <w:rPr>
          <w:rFonts w:ascii="Arial" w:hAnsi="Arial" w:cs="Arial"/>
          <w:color w:val="000000" w:themeColor="text1"/>
          <w:sz w:val="20"/>
          <w:szCs w:val="20"/>
          <w:lang w:val="en-US"/>
        </w:rPr>
      </w:pPr>
      <w:r w:rsidRPr="00EA3FD2">
        <w:rPr>
          <w:rStyle w:val="FootnoteReference"/>
          <w:rFonts w:ascii="Arial" w:hAnsi="Arial" w:cs="Arial"/>
          <w:color w:val="000000" w:themeColor="text1"/>
          <w:sz w:val="20"/>
          <w:szCs w:val="20"/>
        </w:rPr>
        <w:footnoteRef/>
      </w:r>
      <w:r w:rsidRPr="00EA3FD2">
        <w:rPr>
          <w:rFonts w:ascii="Arial" w:hAnsi="Arial" w:cs="Arial"/>
          <w:color w:val="000000" w:themeColor="text1"/>
          <w:sz w:val="20"/>
          <w:szCs w:val="20"/>
        </w:rPr>
        <w:t xml:space="preserve"> </w:t>
      </w:r>
      <w:r w:rsidR="008E25A4" w:rsidRPr="00EA3FD2">
        <w:rPr>
          <w:rFonts w:ascii="Arial" w:hAnsi="Arial" w:cs="Arial"/>
          <w:i/>
          <w:color w:val="000000" w:themeColor="text1"/>
          <w:sz w:val="20"/>
          <w:szCs w:val="20"/>
        </w:rPr>
        <w:t>Valor IT v Premier, North West Province and others</w:t>
      </w:r>
      <w:r w:rsidR="008E25A4" w:rsidRPr="00EA3FD2">
        <w:rPr>
          <w:rFonts w:ascii="Arial" w:hAnsi="Arial" w:cs="Arial"/>
          <w:color w:val="000000" w:themeColor="text1"/>
          <w:sz w:val="20"/>
          <w:szCs w:val="20"/>
        </w:rPr>
        <w:t xml:space="preserve"> [2020] ZASCA 62; 2021 (1) SA 42 (SCA) para 38. See also </w:t>
      </w:r>
      <w:r w:rsidRPr="00EA3FD2">
        <w:rPr>
          <w:rFonts w:ascii="Arial" w:hAnsi="Arial" w:cs="Arial"/>
          <w:i/>
          <w:iCs/>
          <w:color w:val="000000" w:themeColor="text1"/>
          <w:sz w:val="20"/>
          <w:szCs w:val="20"/>
        </w:rPr>
        <w:t xml:space="preserve">United Plant Hire (Pty) Ltd v Hills and </w:t>
      </w:r>
      <w:r w:rsidR="008E25A4" w:rsidRPr="00EA3FD2">
        <w:rPr>
          <w:rFonts w:ascii="Arial" w:hAnsi="Arial" w:cs="Arial"/>
          <w:i/>
          <w:iCs/>
          <w:color w:val="000000" w:themeColor="text1"/>
          <w:sz w:val="20"/>
          <w:szCs w:val="20"/>
        </w:rPr>
        <w:t>others</w:t>
      </w:r>
      <w:r w:rsidR="008E25A4" w:rsidRPr="00EA3FD2">
        <w:rPr>
          <w:rFonts w:ascii="Arial" w:hAnsi="Arial" w:cs="Arial"/>
          <w:color w:val="000000" w:themeColor="text1"/>
          <w:sz w:val="20"/>
          <w:szCs w:val="20"/>
        </w:rPr>
        <w:t xml:space="preserve"> </w:t>
      </w:r>
      <w:r w:rsidRPr="00EA3FD2">
        <w:rPr>
          <w:rFonts w:ascii="Arial" w:hAnsi="Arial" w:cs="Arial"/>
          <w:color w:val="000000" w:themeColor="text1"/>
          <w:sz w:val="20"/>
          <w:szCs w:val="20"/>
        </w:rPr>
        <w:t xml:space="preserve">1976 (1) SA 717 (A) at 720E-G; </w:t>
      </w:r>
      <w:r w:rsidRPr="00EA3FD2">
        <w:rPr>
          <w:rFonts w:ascii="Arial" w:hAnsi="Arial" w:cs="Arial"/>
          <w:i/>
          <w:iCs/>
          <w:color w:val="000000" w:themeColor="text1"/>
          <w:sz w:val="20"/>
          <w:szCs w:val="20"/>
        </w:rPr>
        <w:t>Darries v Sheriff, Magistrate’s Court, Wynberg</w:t>
      </w:r>
      <w:r w:rsidR="008E25A4" w:rsidRPr="00EA3FD2">
        <w:rPr>
          <w:rFonts w:ascii="Arial" w:hAnsi="Arial" w:cs="Arial"/>
          <w:i/>
          <w:iCs/>
          <w:color w:val="000000" w:themeColor="text1"/>
          <w:sz w:val="20"/>
          <w:szCs w:val="20"/>
        </w:rPr>
        <w:t>,</w:t>
      </w:r>
      <w:r w:rsidRPr="00EA3FD2">
        <w:rPr>
          <w:rFonts w:ascii="Arial" w:hAnsi="Arial" w:cs="Arial"/>
          <w:i/>
          <w:iCs/>
          <w:color w:val="000000" w:themeColor="text1"/>
          <w:sz w:val="20"/>
          <w:szCs w:val="20"/>
        </w:rPr>
        <w:t xml:space="preserve"> and </w:t>
      </w:r>
      <w:r w:rsidR="008E25A4" w:rsidRPr="00EA3FD2">
        <w:rPr>
          <w:rFonts w:ascii="Arial" w:hAnsi="Arial" w:cs="Arial"/>
          <w:i/>
          <w:iCs/>
          <w:color w:val="000000" w:themeColor="text1"/>
          <w:sz w:val="20"/>
          <w:szCs w:val="20"/>
        </w:rPr>
        <w:t>another</w:t>
      </w:r>
      <w:r w:rsidR="008E25A4" w:rsidRPr="00EA3FD2">
        <w:rPr>
          <w:rFonts w:ascii="Arial" w:hAnsi="Arial" w:cs="Arial"/>
          <w:color w:val="000000" w:themeColor="text1"/>
          <w:sz w:val="20"/>
          <w:szCs w:val="20"/>
        </w:rPr>
        <w:t xml:space="preserve"> </w:t>
      </w:r>
      <w:r w:rsidRPr="00EA3FD2">
        <w:rPr>
          <w:rFonts w:ascii="Arial" w:hAnsi="Arial" w:cs="Arial"/>
          <w:color w:val="000000" w:themeColor="text1"/>
          <w:sz w:val="20"/>
          <w:szCs w:val="20"/>
        </w:rPr>
        <w:t>1998 (3) SA 34 (SCA) at 40H-41E.</w:t>
      </w:r>
    </w:p>
  </w:footnote>
  <w:footnote w:id="6">
    <w:p w14:paraId="4D30CC9D" w14:textId="3D713E7A" w:rsidR="005F35B2" w:rsidRPr="009E41D2" w:rsidRDefault="005F35B2" w:rsidP="009E41D2">
      <w:pPr>
        <w:contextualSpacing/>
        <w:jc w:val="both"/>
        <w:rPr>
          <w:rFonts w:ascii="Arial" w:hAnsi="Arial" w:cs="Arial"/>
          <w:color w:val="000000" w:themeColor="text1"/>
          <w:sz w:val="20"/>
          <w:szCs w:val="20"/>
        </w:rPr>
      </w:pPr>
      <w:r w:rsidRPr="009E41D2">
        <w:rPr>
          <w:rStyle w:val="FootnoteReference"/>
          <w:rFonts w:ascii="Arial" w:hAnsi="Arial" w:cs="Arial"/>
          <w:color w:val="000000" w:themeColor="text1"/>
          <w:sz w:val="20"/>
          <w:szCs w:val="20"/>
        </w:rPr>
        <w:footnoteRef/>
      </w:r>
      <w:r w:rsidRPr="009E41D2">
        <w:rPr>
          <w:rFonts w:ascii="Arial" w:hAnsi="Arial" w:cs="Arial"/>
          <w:color w:val="000000" w:themeColor="text1"/>
          <w:sz w:val="20"/>
          <w:szCs w:val="20"/>
        </w:rPr>
        <w:t xml:space="preserve"> </w:t>
      </w:r>
      <w:r w:rsidR="002E4F0D" w:rsidRPr="009E41D2">
        <w:rPr>
          <w:rFonts w:ascii="Arial" w:eastAsiaTheme="minorHAnsi" w:hAnsi="Arial" w:cs="Arial"/>
          <w:i/>
          <w:iCs/>
          <w:color w:val="000000" w:themeColor="text1"/>
          <w:sz w:val="20"/>
          <w:szCs w:val="20"/>
          <w:lang w:val="en-GB" w:eastAsia="en-US"/>
        </w:rPr>
        <w:t>Commissioner for Inland Revenue v Burger</w:t>
      </w:r>
      <w:r w:rsidR="002E4F0D" w:rsidRPr="009E41D2">
        <w:rPr>
          <w:rFonts w:ascii="Arial" w:hAnsi="Arial" w:cs="Arial"/>
          <w:color w:val="000000" w:themeColor="text1"/>
          <w:sz w:val="20"/>
          <w:szCs w:val="20"/>
        </w:rPr>
        <w:t xml:space="preserve"> </w:t>
      </w:r>
      <w:hyperlink r:id="rId1" w:tooltip="View LawCiteRecord" w:history="1">
        <w:r w:rsidR="002E4F0D" w:rsidRPr="009E41D2">
          <w:rPr>
            <w:rStyle w:val="Hyperlink"/>
            <w:rFonts w:ascii="Arial" w:hAnsi="Arial" w:cs="Arial"/>
            <w:color w:val="000000" w:themeColor="text1"/>
            <w:sz w:val="20"/>
            <w:szCs w:val="20"/>
            <w:u w:val="none"/>
          </w:rPr>
          <w:t>1956 (4) SA 446</w:t>
        </w:r>
      </w:hyperlink>
      <w:r w:rsidR="002E4F0D" w:rsidRPr="009E41D2">
        <w:rPr>
          <w:rStyle w:val="apple-converted-space"/>
          <w:rFonts w:ascii="Arial" w:hAnsi="Arial" w:cs="Arial"/>
          <w:color w:val="000000" w:themeColor="text1"/>
          <w:sz w:val="20"/>
          <w:szCs w:val="20"/>
          <w:shd w:val="clear" w:color="auto" w:fill="FFFFFF"/>
        </w:rPr>
        <w:t> </w:t>
      </w:r>
      <w:r w:rsidR="002E4F0D" w:rsidRPr="009E41D2">
        <w:rPr>
          <w:rFonts w:ascii="Arial" w:hAnsi="Arial" w:cs="Arial"/>
          <w:color w:val="000000" w:themeColor="text1"/>
          <w:sz w:val="20"/>
          <w:szCs w:val="20"/>
          <w:shd w:val="clear" w:color="auto" w:fill="FFFFFF"/>
        </w:rPr>
        <w:t>(A) at 449G-H.</w:t>
      </w:r>
    </w:p>
  </w:footnote>
  <w:footnote w:id="7">
    <w:p w14:paraId="31B5FC4E" w14:textId="380B298D" w:rsidR="009E41D2" w:rsidRPr="009E41D2" w:rsidRDefault="009E41D2" w:rsidP="009E41D2">
      <w:pPr>
        <w:pStyle w:val="CommentText"/>
        <w:jc w:val="both"/>
        <w:rPr>
          <w:rFonts w:ascii="Arial" w:hAnsi="Arial" w:cs="Arial"/>
        </w:rPr>
      </w:pPr>
      <w:r w:rsidRPr="009E41D2">
        <w:rPr>
          <w:rStyle w:val="FootnoteReference"/>
          <w:rFonts w:ascii="Arial" w:hAnsi="Arial" w:cs="Arial"/>
        </w:rPr>
        <w:footnoteRef/>
      </w:r>
      <w:r w:rsidRPr="009E41D2">
        <w:rPr>
          <w:rFonts w:ascii="Arial" w:hAnsi="Arial" w:cs="Arial"/>
        </w:rPr>
        <w:t xml:space="preserve"> </w:t>
      </w:r>
      <w:r w:rsidRPr="009E41D2">
        <w:rPr>
          <w:rFonts w:ascii="Arial" w:hAnsi="Arial" w:cs="Arial"/>
          <w:i/>
        </w:rPr>
        <w:t>Mulaudzi v Old Mutual Life Assurance Co (South Africa) Ltd and others</w:t>
      </w:r>
      <w:r w:rsidRPr="009E41D2">
        <w:rPr>
          <w:rFonts w:ascii="Arial" w:hAnsi="Arial" w:cs="Arial"/>
        </w:rPr>
        <w:t xml:space="preserve"> [2017] ZASCA 88; 2017 (6) SA 90 (SCA)</w:t>
      </w:r>
      <w:r>
        <w:rPr>
          <w:rFonts w:ascii="Arial" w:hAnsi="Arial" w:cs="Arial"/>
        </w:rPr>
        <w:t xml:space="preserve"> para 26.</w:t>
      </w:r>
    </w:p>
  </w:footnote>
  <w:footnote w:id="8">
    <w:p w14:paraId="4B534C2A" w14:textId="18548E02" w:rsidR="002D6266" w:rsidRPr="002D6266" w:rsidRDefault="002D6266" w:rsidP="002D6266">
      <w:pPr>
        <w:pStyle w:val="ListParagraph"/>
        <w:spacing w:after="0" w:line="240" w:lineRule="auto"/>
        <w:ind w:left="0"/>
        <w:jc w:val="both"/>
        <w:rPr>
          <w:rFonts w:ascii="Arial" w:hAnsi="Arial" w:cs="Arial"/>
          <w:sz w:val="20"/>
          <w:szCs w:val="20"/>
          <w:lang w:val="en-US"/>
        </w:rPr>
      </w:pPr>
      <w:r>
        <w:rPr>
          <w:rStyle w:val="FootnoteReference"/>
        </w:rPr>
        <w:footnoteRef/>
      </w:r>
      <w:r>
        <w:t xml:space="preserve"> </w:t>
      </w:r>
      <w:r w:rsidRPr="00EA3FD2">
        <w:rPr>
          <w:rFonts w:ascii="Arial" w:hAnsi="Arial" w:cs="Arial"/>
          <w:i/>
          <w:iCs/>
          <w:color w:val="000000"/>
          <w:sz w:val="20"/>
          <w:szCs w:val="20"/>
        </w:rPr>
        <w:t>Van Wyk v Unitas Hospital and another (Open Democratic Advice Centre as Amicus Curiae)</w:t>
      </w:r>
      <w:r w:rsidRPr="00EA3FD2">
        <w:rPr>
          <w:rFonts w:ascii="Arial" w:hAnsi="Arial" w:cs="Arial"/>
          <w:color w:val="000000"/>
          <w:sz w:val="20"/>
          <w:szCs w:val="20"/>
        </w:rPr>
        <w:t> [2007] ZACC 24; 2008 (2) SA 472 (CC)</w:t>
      </w:r>
      <w:r>
        <w:rPr>
          <w:rFonts w:ascii="Arial" w:hAnsi="Arial" w:cs="Arial"/>
          <w:color w:val="000000"/>
          <w:sz w:val="20"/>
          <w:szCs w:val="20"/>
        </w:rPr>
        <w:t xml:space="preserve"> para 31</w:t>
      </w:r>
      <w:r w:rsidRPr="00EA3FD2">
        <w:rPr>
          <w:rFonts w:ascii="Arial" w:hAnsi="Arial" w:cs="Arial"/>
          <w:color w:val="000000"/>
          <w:sz w:val="20"/>
          <w:szCs w:val="20"/>
        </w:rPr>
        <w:t>.</w:t>
      </w:r>
    </w:p>
  </w:footnote>
  <w:footnote w:id="9">
    <w:p w14:paraId="3488A3ED" w14:textId="171FB05E" w:rsidR="007209FB" w:rsidRPr="00EA3FD2" w:rsidRDefault="007209FB" w:rsidP="00EA3FD2">
      <w:pPr>
        <w:pStyle w:val="FootnoteText"/>
        <w:contextualSpacing/>
        <w:jc w:val="both"/>
        <w:rPr>
          <w:rFonts w:ascii="Arial" w:hAnsi="Arial" w:cs="Arial"/>
          <w:color w:val="000000" w:themeColor="text1"/>
          <w:lang w:val="en-US"/>
        </w:rPr>
      </w:pPr>
      <w:r w:rsidRPr="00EA3FD2">
        <w:rPr>
          <w:rStyle w:val="FootnoteReference"/>
          <w:rFonts w:ascii="Arial" w:hAnsi="Arial" w:cs="Arial"/>
          <w:color w:val="000000" w:themeColor="text1"/>
        </w:rPr>
        <w:footnoteRef/>
      </w:r>
      <w:r w:rsidRPr="00EA3FD2">
        <w:rPr>
          <w:rFonts w:ascii="Arial" w:hAnsi="Arial" w:cs="Arial"/>
          <w:color w:val="000000" w:themeColor="text1"/>
        </w:rPr>
        <w:t xml:space="preserve"> </w:t>
      </w:r>
      <w:r w:rsidRPr="00EA3FD2">
        <w:rPr>
          <w:rFonts w:ascii="Arial" w:hAnsi="Arial" w:cs="Arial"/>
          <w:i/>
          <w:iCs/>
          <w:color w:val="000000" w:themeColor="text1"/>
        </w:rPr>
        <w:t xml:space="preserve">Duncan v Minister of Law and Order </w:t>
      </w:r>
      <w:hyperlink r:id="rId2" w:tooltip="View LawCiteRecord" w:history="1">
        <w:r w:rsidRPr="00EA3FD2">
          <w:rPr>
            <w:rFonts w:ascii="Arial" w:hAnsi="Arial" w:cs="Arial"/>
            <w:color w:val="000000" w:themeColor="text1"/>
          </w:rPr>
          <w:t>1986 (2) SA 805</w:t>
        </w:r>
      </w:hyperlink>
      <w:r w:rsidRPr="00EA3FD2">
        <w:rPr>
          <w:rFonts w:ascii="Arial" w:hAnsi="Arial" w:cs="Arial"/>
          <w:color w:val="000000" w:themeColor="text1"/>
        </w:rPr>
        <w:t> </w:t>
      </w:r>
      <w:r w:rsidR="00C02FED" w:rsidRPr="00EA3FD2">
        <w:rPr>
          <w:rFonts w:ascii="Arial" w:hAnsi="Arial" w:cs="Arial"/>
          <w:color w:val="000000" w:themeColor="text1"/>
        </w:rPr>
        <w:t>(</w:t>
      </w:r>
      <w:r w:rsidRPr="00EA3FD2">
        <w:rPr>
          <w:rFonts w:ascii="Arial" w:hAnsi="Arial" w:cs="Arial"/>
          <w:color w:val="000000" w:themeColor="text1"/>
        </w:rPr>
        <w:t>A</w:t>
      </w:r>
      <w:r w:rsidR="00C02FED" w:rsidRPr="00EA3FD2">
        <w:rPr>
          <w:rFonts w:ascii="Arial" w:hAnsi="Arial" w:cs="Arial"/>
          <w:color w:val="000000" w:themeColor="text1"/>
        </w:rPr>
        <w:t>)</w:t>
      </w:r>
      <w:r w:rsidRPr="00EA3FD2">
        <w:rPr>
          <w:rFonts w:ascii="Arial" w:hAnsi="Arial" w:cs="Arial"/>
          <w:color w:val="000000" w:themeColor="text1"/>
        </w:rPr>
        <w:t xml:space="preserve"> at 818G-H.</w:t>
      </w:r>
      <w:r w:rsidRPr="00EA3FD2">
        <w:rPr>
          <w:rFonts w:ascii="Arial" w:hAnsi="Arial" w:cs="Arial"/>
          <w:b/>
          <w:bCs/>
          <w:color w:val="000000" w:themeColor="text1"/>
        </w:rPr>
        <w:t> </w:t>
      </w:r>
    </w:p>
  </w:footnote>
  <w:footnote w:id="10">
    <w:p w14:paraId="450481ED" w14:textId="09F2D963" w:rsidR="0059033E" w:rsidRPr="00EA3FD2" w:rsidRDefault="0059033E" w:rsidP="00EA3FD2">
      <w:pPr>
        <w:pStyle w:val="FootnoteText"/>
        <w:contextualSpacing/>
        <w:jc w:val="both"/>
        <w:rPr>
          <w:rFonts w:ascii="Arial" w:hAnsi="Arial" w:cs="Arial"/>
          <w:lang w:val="en-US"/>
        </w:rPr>
      </w:pPr>
      <w:r w:rsidRPr="00EA3FD2">
        <w:rPr>
          <w:rStyle w:val="FootnoteReference"/>
          <w:rFonts w:ascii="Arial" w:hAnsi="Arial" w:cs="Arial"/>
        </w:rPr>
        <w:footnoteRef/>
      </w:r>
      <w:r w:rsidRPr="00EA3FD2">
        <w:rPr>
          <w:rFonts w:ascii="Arial" w:hAnsi="Arial" w:cs="Arial"/>
        </w:rPr>
        <w:t xml:space="preserve"> </w:t>
      </w:r>
      <w:r w:rsidRPr="00EA3FD2">
        <w:rPr>
          <w:rFonts w:ascii="Arial" w:hAnsi="Arial" w:cs="Arial"/>
          <w:iCs/>
          <w:color w:val="000000" w:themeColor="text1"/>
        </w:rPr>
        <w:t>Ibid</w:t>
      </w:r>
      <w:r w:rsidRPr="00EA3FD2">
        <w:rPr>
          <w:rFonts w:ascii="Arial" w:hAnsi="Arial" w:cs="Arial"/>
          <w:color w:val="000000" w:themeColor="text1"/>
        </w:rPr>
        <w:t xml:space="preserve"> at 814D-E.</w:t>
      </w:r>
    </w:p>
  </w:footnote>
  <w:footnote w:id="11">
    <w:p w14:paraId="4DFDC693" w14:textId="4F84645A" w:rsidR="0059033E" w:rsidRPr="00EA3FD2" w:rsidRDefault="0059033E" w:rsidP="00EA3FD2">
      <w:pPr>
        <w:pStyle w:val="FootnoteText"/>
        <w:contextualSpacing/>
        <w:jc w:val="both"/>
        <w:rPr>
          <w:rFonts w:ascii="Arial" w:hAnsi="Arial" w:cs="Arial"/>
        </w:rPr>
      </w:pPr>
      <w:r w:rsidRPr="00EA3FD2">
        <w:rPr>
          <w:rStyle w:val="FootnoteReference"/>
          <w:rFonts w:ascii="Arial" w:hAnsi="Arial" w:cs="Arial"/>
        </w:rPr>
        <w:footnoteRef/>
      </w:r>
      <w:r w:rsidRPr="00EA3FD2">
        <w:rPr>
          <w:rFonts w:ascii="Arial" w:hAnsi="Arial" w:cs="Arial"/>
        </w:rPr>
        <w:t xml:space="preserve"> </w:t>
      </w:r>
      <w:r w:rsidRPr="00EA3FD2">
        <w:rPr>
          <w:rFonts w:ascii="Arial" w:hAnsi="Arial" w:cs="Arial"/>
          <w:i/>
          <w:lang w:val="en-US"/>
        </w:rPr>
        <w:t>Mabona and another v Minister of Law and Order and others</w:t>
      </w:r>
      <w:r w:rsidRPr="00EA3FD2">
        <w:rPr>
          <w:rFonts w:ascii="Arial" w:hAnsi="Arial" w:cs="Arial"/>
          <w:lang w:val="en-US"/>
        </w:rPr>
        <w:t xml:space="preserve"> 1988 (2) SA 654 (SE) at 658H-I.</w:t>
      </w:r>
    </w:p>
  </w:footnote>
  <w:footnote w:id="12">
    <w:p w14:paraId="3CD022AD" w14:textId="67BBD4CE" w:rsidR="002D6266" w:rsidRPr="002C4ACA" w:rsidRDefault="002D6266" w:rsidP="002C4ACA">
      <w:pPr>
        <w:jc w:val="both"/>
        <w:rPr>
          <w:rFonts w:ascii="Arial" w:hAnsi="Arial" w:cs="Arial"/>
          <w:sz w:val="20"/>
          <w:szCs w:val="20"/>
        </w:rPr>
      </w:pPr>
      <w:r w:rsidRPr="002C4ACA">
        <w:rPr>
          <w:rStyle w:val="FootnoteReference"/>
          <w:rFonts w:ascii="Arial" w:hAnsi="Arial" w:cs="Arial"/>
          <w:sz w:val="20"/>
          <w:szCs w:val="20"/>
        </w:rPr>
        <w:footnoteRef/>
      </w:r>
      <w:r w:rsidRPr="002C4ACA">
        <w:rPr>
          <w:rFonts w:ascii="Arial" w:hAnsi="Arial" w:cs="Arial"/>
          <w:sz w:val="20"/>
          <w:szCs w:val="20"/>
        </w:rPr>
        <w:t xml:space="preserve"> </w:t>
      </w:r>
      <w:r w:rsidR="002C4ACA" w:rsidRPr="002C4ACA">
        <w:rPr>
          <w:rFonts w:ascii="Arial" w:hAnsi="Arial" w:cs="Arial"/>
          <w:i/>
          <w:iCs/>
          <w:sz w:val="20"/>
          <w:szCs w:val="20"/>
          <w:lang w:val="en-US"/>
        </w:rPr>
        <w:t xml:space="preserve">Muller v Sanlam </w:t>
      </w:r>
      <w:r w:rsidR="002C4ACA" w:rsidRPr="002C4ACA">
        <w:rPr>
          <w:rFonts w:ascii="Arial" w:hAnsi="Arial" w:cs="Arial"/>
          <w:sz w:val="20"/>
          <w:szCs w:val="20"/>
          <w:lang w:val="en-US"/>
        </w:rPr>
        <w:t>[2016] ZASCA 149;</w:t>
      </w:r>
      <w:r w:rsidR="002C4ACA" w:rsidRPr="002C4ACA">
        <w:rPr>
          <w:rFonts w:ascii="Arial" w:hAnsi="Arial" w:cs="Arial"/>
          <w:i/>
          <w:iCs/>
          <w:sz w:val="20"/>
          <w:szCs w:val="20"/>
          <w:lang w:val="en-US"/>
        </w:rPr>
        <w:t xml:space="preserve"> SA Express Ltd v Bagport (Pty) Ltd</w:t>
      </w:r>
      <w:r w:rsidR="002C4ACA" w:rsidRPr="002C4ACA">
        <w:rPr>
          <w:rFonts w:ascii="Arial" w:hAnsi="Arial" w:cs="Arial"/>
          <w:sz w:val="20"/>
          <w:szCs w:val="20"/>
          <w:lang w:val="en-US"/>
        </w:rPr>
        <w:t xml:space="preserve"> [2020] ZASCA 13; 2020 (5) SA 404 (SCA).</w:t>
      </w:r>
    </w:p>
  </w:footnote>
  <w:footnote w:id="13">
    <w:p w14:paraId="64BF9D69" w14:textId="06298A7C" w:rsidR="00E97EE6" w:rsidRPr="002C4ACA" w:rsidRDefault="00E97EE6" w:rsidP="00EA3FD2">
      <w:pPr>
        <w:pStyle w:val="ListParagraph"/>
        <w:spacing w:after="0" w:line="240" w:lineRule="auto"/>
        <w:ind w:left="0"/>
        <w:jc w:val="both"/>
        <w:rPr>
          <w:rFonts w:ascii="Arial" w:hAnsi="Arial" w:cs="Arial"/>
          <w:sz w:val="20"/>
          <w:szCs w:val="20"/>
        </w:rPr>
      </w:pPr>
      <w:r w:rsidRPr="002C4ACA">
        <w:rPr>
          <w:rStyle w:val="FootnoteReference"/>
          <w:rFonts w:ascii="Arial" w:hAnsi="Arial" w:cs="Arial"/>
          <w:sz w:val="20"/>
          <w:szCs w:val="20"/>
        </w:rPr>
        <w:footnoteRef/>
      </w:r>
      <w:r w:rsidRPr="002C4ACA">
        <w:rPr>
          <w:rFonts w:ascii="Arial" w:hAnsi="Arial" w:cs="Arial"/>
          <w:sz w:val="20"/>
          <w:szCs w:val="20"/>
        </w:rPr>
        <w:t xml:space="preserve"> </w:t>
      </w:r>
      <w:r w:rsidR="00C514B3" w:rsidRPr="002C4ACA">
        <w:rPr>
          <w:rFonts w:ascii="Arial" w:hAnsi="Arial" w:cs="Arial"/>
          <w:sz w:val="20"/>
          <w:szCs w:val="20"/>
        </w:rPr>
        <w:t xml:space="preserve">D E van Loggerenberg </w:t>
      </w:r>
      <w:r w:rsidR="00C514B3" w:rsidRPr="002C4ACA">
        <w:rPr>
          <w:rFonts w:ascii="Arial" w:hAnsi="Arial" w:cs="Arial"/>
          <w:i/>
          <w:sz w:val="20"/>
          <w:szCs w:val="20"/>
        </w:rPr>
        <w:t xml:space="preserve">Erasmus: Superior Court Practice </w:t>
      </w:r>
      <w:r w:rsidR="00C514B3" w:rsidRPr="002C4ACA">
        <w:rPr>
          <w:rFonts w:ascii="Arial" w:hAnsi="Arial" w:cs="Arial"/>
          <w:sz w:val="20"/>
          <w:szCs w:val="20"/>
        </w:rPr>
        <w:t xml:space="preserve">(RS 21, 2023) at D5-8. </w:t>
      </w:r>
    </w:p>
    <w:p w14:paraId="2606BB75" w14:textId="77777777" w:rsidR="00E97EE6" w:rsidRPr="002C4ACA" w:rsidRDefault="00E97EE6" w:rsidP="00EA3FD2">
      <w:pPr>
        <w:pStyle w:val="FootnoteText"/>
        <w:contextualSpacing/>
        <w:jc w:val="both"/>
        <w:rPr>
          <w:rFonts w:ascii="Arial" w:hAnsi="Arial" w:cs="Arial"/>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85026179"/>
      <w:docPartObj>
        <w:docPartGallery w:val="Page Numbers (Top of Page)"/>
        <w:docPartUnique/>
      </w:docPartObj>
    </w:sdtPr>
    <w:sdtEndPr>
      <w:rPr>
        <w:rStyle w:val="PageNumber"/>
      </w:rPr>
    </w:sdtEndPr>
    <w:sdtContent>
      <w:p w14:paraId="7A8D5E27" w14:textId="77777777" w:rsidR="003B7165" w:rsidRDefault="003B7165" w:rsidP="00906A8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61E951" w14:textId="77777777" w:rsidR="003B7165" w:rsidRDefault="003B7165" w:rsidP="003B716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05116543"/>
      <w:docPartObj>
        <w:docPartGallery w:val="Page Numbers (Top of Page)"/>
        <w:docPartUnique/>
      </w:docPartObj>
    </w:sdtPr>
    <w:sdtEndPr>
      <w:rPr>
        <w:rStyle w:val="PageNumber"/>
        <w:rFonts w:asciiTheme="minorBidi" w:hAnsiTheme="minorBidi"/>
      </w:rPr>
    </w:sdtEndPr>
    <w:sdtContent>
      <w:p w14:paraId="102DECEF" w14:textId="42295968" w:rsidR="003B7165" w:rsidRPr="003B7165" w:rsidRDefault="003B7165" w:rsidP="00906A8D">
        <w:pPr>
          <w:pStyle w:val="Header"/>
          <w:framePr w:wrap="none" w:vAnchor="text" w:hAnchor="margin" w:xAlign="right" w:y="1"/>
          <w:rPr>
            <w:rStyle w:val="PageNumber"/>
            <w:rFonts w:asciiTheme="minorBidi" w:hAnsiTheme="minorBidi"/>
          </w:rPr>
        </w:pPr>
        <w:r w:rsidRPr="003B7165">
          <w:rPr>
            <w:rStyle w:val="PageNumber"/>
            <w:rFonts w:asciiTheme="minorBidi" w:hAnsiTheme="minorBidi"/>
          </w:rPr>
          <w:fldChar w:fldCharType="begin"/>
        </w:r>
        <w:r w:rsidRPr="003B7165">
          <w:rPr>
            <w:rStyle w:val="PageNumber"/>
            <w:rFonts w:asciiTheme="minorBidi" w:hAnsiTheme="minorBidi"/>
          </w:rPr>
          <w:instrText xml:space="preserve"> PAGE </w:instrText>
        </w:r>
        <w:r w:rsidRPr="003B7165">
          <w:rPr>
            <w:rStyle w:val="PageNumber"/>
            <w:rFonts w:asciiTheme="minorBidi" w:hAnsiTheme="minorBidi"/>
          </w:rPr>
          <w:fldChar w:fldCharType="separate"/>
        </w:r>
        <w:r w:rsidR="00544B42">
          <w:rPr>
            <w:rStyle w:val="PageNumber"/>
            <w:rFonts w:asciiTheme="minorBidi" w:hAnsiTheme="minorBidi"/>
            <w:noProof/>
          </w:rPr>
          <w:t>2</w:t>
        </w:r>
        <w:r w:rsidRPr="003B7165">
          <w:rPr>
            <w:rStyle w:val="PageNumber"/>
            <w:rFonts w:asciiTheme="minorBidi" w:hAnsiTheme="minorBidi"/>
          </w:rPr>
          <w:fldChar w:fldCharType="end"/>
        </w:r>
      </w:p>
    </w:sdtContent>
  </w:sdt>
  <w:p w14:paraId="4CE73669" w14:textId="77777777" w:rsidR="003B7165" w:rsidRDefault="003B7165" w:rsidP="00325410">
    <w:pPr>
      <w:pStyle w:val="Header"/>
      <w:tabs>
        <w:tab w:val="clear" w:pos="4513"/>
        <w:tab w:val="clear" w:pos="9026"/>
        <w:tab w:val="left" w:pos="7200"/>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6409B"/>
    <w:multiLevelType w:val="hybridMultilevel"/>
    <w:tmpl w:val="A4BC3B40"/>
    <w:lvl w:ilvl="0" w:tplc="D3782B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B33AE8"/>
    <w:multiLevelType w:val="hybridMultilevel"/>
    <w:tmpl w:val="7780040E"/>
    <w:lvl w:ilvl="0" w:tplc="89CCBD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B34026"/>
    <w:multiLevelType w:val="hybridMultilevel"/>
    <w:tmpl w:val="BB461266"/>
    <w:lvl w:ilvl="0" w:tplc="298C6EF2">
      <w:start w:val="1"/>
      <w:numFmt w:val="decimal"/>
      <w:lvlText w:val="%1."/>
      <w:lvlJc w:val="left"/>
      <w:pPr>
        <w:ind w:left="4471" w:hanging="360"/>
      </w:pPr>
      <w:rPr>
        <w:rFonts w:hint="default"/>
      </w:rPr>
    </w:lvl>
    <w:lvl w:ilvl="1" w:tplc="08090019" w:tentative="1">
      <w:start w:val="1"/>
      <w:numFmt w:val="lowerLetter"/>
      <w:lvlText w:val="%2."/>
      <w:lvlJc w:val="left"/>
      <w:pPr>
        <w:ind w:left="5191" w:hanging="360"/>
      </w:pPr>
    </w:lvl>
    <w:lvl w:ilvl="2" w:tplc="0809001B" w:tentative="1">
      <w:start w:val="1"/>
      <w:numFmt w:val="lowerRoman"/>
      <w:lvlText w:val="%3."/>
      <w:lvlJc w:val="right"/>
      <w:pPr>
        <w:ind w:left="5911" w:hanging="180"/>
      </w:pPr>
    </w:lvl>
    <w:lvl w:ilvl="3" w:tplc="0809000F" w:tentative="1">
      <w:start w:val="1"/>
      <w:numFmt w:val="decimal"/>
      <w:lvlText w:val="%4."/>
      <w:lvlJc w:val="left"/>
      <w:pPr>
        <w:ind w:left="6631" w:hanging="360"/>
      </w:pPr>
    </w:lvl>
    <w:lvl w:ilvl="4" w:tplc="08090019" w:tentative="1">
      <w:start w:val="1"/>
      <w:numFmt w:val="lowerLetter"/>
      <w:lvlText w:val="%5."/>
      <w:lvlJc w:val="left"/>
      <w:pPr>
        <w:ind w:left="7351" w:hanging="360"/>
      </w:pPr>
    </w:lvl>
    <w:lvl w:ilvl="5" w:tplc="0809001B" w:tentative="1">
      <w:start w:val="1"/>
      <w:numFmt w:val="lowerRoman"/>
      <w:lvlText w:val="%6."/>
      <w:lvlJc w:val="right"/>
      <w:pPr>
        <w:ind w:left="8071" w:hanging="180"/>
      </w:pPr>
    </w:lvl>
    <w:lvl w:ilvl="6" w:tplc="0809000F" w:tentative="1">
      <w:start w:val="1"/>
      <w:numFmt w:val="decimal"/>
      <w:lvlText w:val="%7."/>
      <w:lvlJc w:val="left"/>
      <w:pPr>
        <w:ind w:left="8791" w:hanging="360"/>
      </w:pPr>
    </w:lvl>
    <w:lvl w:ilvl="7" w:tplc="08090019" w:tentative="1">
      <w:start w:val="1"/>
      <w:numFmt w:val="lowerLetter"/>
      <w:lvlText w:val="%8."/>
      <w:lvlJc w:val="left"/>
      <w:pPr>
        <w:ind w:left="9511" w:hanging="360"/>
      </w:pPr>
    </w:lvl>
    <w:lvl w:ilvl="8" w:tplc="0809001B" w:tentative="1">
      <w:start w:val="1"/>
      <w:numFmt w:val="lowerRoman"/>
      <w:lvlText w:val="%9."/>
      <w:lvlJc w:val="right"/>
      <w:pPr>
        <w:ind w:left="10231" w:hanging="180"/>
      </w:pPr>
    </w:lvl>
  </w:abstractNum>
  <w:abstractNum w:abstractNumId="3">
    <w:nsid w:val="081B198C"/>
    <w:multiLevelType w:val="hybridMultilevel"/>
    <w:tmpl w:val="7BF287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0A1462C4"/>
    <w:multiLevelType w:val="hybridMultilevel"/>
    <w:tmpl w:val="BB08D49E"/>
    <w:lvl w:ilvl="0" w:tplc="C84810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1B09EF"/>
    <w:multiLevelType w:val="multilevel"/>
    <w:tmpl w:val="8D00A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46547C"/>
    <w:multiLevelType w:val="hybridMultilevel"/>
    <w:tmpl w:val="DD6AE224"/>
    <w:lvl w:ilvl="0" w:tplc="8F9A9D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944C18"/>
    <w:multiLevelType w:val="hybridMultilevel"/>
    <w:tmpl w:val="443E72AC"/>
    <w:lvl w:ilvl="0" w:tplc="FF9EED54">
      <w:start w:val="1"/>
      <w:numFmt w:val="decimal"/>
      <w:lvlText w:val="%1."/>
      <w:lvlJc w:val="left"/>
      <w:pPr>
        <w:ind w:left="4471" w:hanging="360"/>
      </w:pPr>
      <w:rPr>
        <w:rFonts w:hint="default"/>
      </w:rPr>
    </w:lvl>
    <w:lvl w:ilvl="1" w:tplc="08090019" w:tentative="1">
      <w:start w:val="1"/>
      <w:numFmt w:val="lowerLetter"/>
      <w:lvlText w:val="%2."/>
      <w:lvlJc w:val="left"/>
      <w:pPr>
        <w:ind w:left="5191" w:hanging="360"/>
      </w:pPr>
    </w:lvl>
    <w:lvl w:ilvl="2" w:tplc="0809001B" w:tentative="1">
      <w:start w:val="1"/>
      <w:numFmt w:val="lowerRoman"/>
      <w:lvlText w:val="%3."/>
      <w:lvlJc w:val="right"/>
      <w:pPr>
        <w:ind w:left="5911" w:hanging="180"/>
      </w:pPr>
    </w:lvl>
    <w:lvl w:ilvl="3" w:tplc="0809000F" w:tentative="1">
      <w:start w:val="1"/>
      <w:numFmt w:val="decimal"/>
      <w:lvlText w:val="%4."/>
      <w:lvlJc w:val="left"/>
      <w:pPr>
        <w:ind w:left="6631" w:hanging="360"/>
      </w:pPr>
    </w:lvl>
    <w:lvl w:ilvl="4" w:tplc="08090019" w:tentative="1">
      <w:start w:val="1"/>
      <w:numFmt w:val="lowerLetter"/>
      <w:lvlText w:val="%5."/>
      <w:lvlJc w:val="left"/>
      <w:pPr>
        <w:ind w:left="7351" w:hanging="360"/>
      </w:pPr>
    </w:lvl>
    <w:lvl w:ilvl="5" w:tplc="0809001B" w:tentative="1">
      <w:start w:val="1"/>
      <w:numFmt w:val="lowerRoman"/>
      <w:lvlText w:val="%6."/>
      <w:lvlJc w:val="right"/>
      <w:pPr>
        <w:ind w:left="8071" w:hanging="180"/>
      </w:pPr>
    </w:lvl>
    <w:lvl w:ilvl="6" w:tplc="0809000F" w:tentative="1">
      <w:start w:val="1"/>
      <w:numFmt w:val="decimal"/>
      <w:lvlText w:val="%7."/>
      <w:lvlJc w:val="left"/>
      <w:pPr>
        <w:ind w:left="8791" w:hanging="360"/>
      </w:pPr>
    </w:lvl>
    <w:lvl w:ilvl="7" w:tplc="08090019" w:tentative="1">
      <w:start w:val="1"/>
      <w:numFmt w:val="lowerLetter"/>
      <w:lvlText w:val="%8."/>
      <w:lvlJc w:val="left"/>
      <w:pPr>
        <w:ind w:left="9511" w:hanging="360"/>
      </w:pPr>
    </w:lvl>
    <w:lvl w:ilvl="8" w:tplc="0809001B" w:tentative="1">
      <w:start w:val="1"/>
      <w:numFmt w:val="lowerRoman"/>
      <w:lvlText w:val="%9."/>
      <w:lvlJc w:val="right"/>
      <w:pPr>
        <w:ind w:left="10231" w:hanging="180"/>
      </w:pPr>
    </w:lvl>
  </w:abstractNum>
  <w:abstractNum w:abstractNumId="8">
    <w:nsid w:val="1B1C34E4"/>
    <w:multiLevelType w:val="hybridMultilevel"/>
    <w:tmpl w:val="DAAEF3C8"/>
    <w:lvl w:ilvl="0" w:tplc="48BE32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036DC7"/>
    <w:multiLevelType w:val="hybridMultilevel"/>
    <w:tmpl w:val="A58C5EA2"/>
    <w:lvl w:ilvl="0" w:tplc="CF9087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0E53342"/>
    <w:multiLevelType w:val="hybridMultilevel"/>
    <w:tmpl w:val="4F8C27CC"/>
    <w:lvl w:ilvl="0" w:tplc="42F4FEF2">
      <w:start w:val="1"/>
      <w:numFmt w:val="decimal"/>
      <w:lvlText w:val="%1."/>
      <w:lvlJc w:val="left"/>
      <w:pPr>
        <w:ind w:left="4471" w:hanging="360"/>
      </w:pPr>
      <w:rPr>
        <w:rFonts w:hint="default"/>
      </w:rPr>
    </w:lvl>
    <w:lvl w:ilvl="1" w:tplc="08090019" w:tentative="1">
      <w:start w:val="1"/>
      <w:numFmt w:val="lowerLetter"/>
      <w:lvlText w:val="%2."/>
      <w:lvlJc w:val="left"/>
      <w:pPr>
        <w:ind w:left="5191" w:hanging="360"/>
      </w:pPr>
    </w:lvl>
    <w:lvl w:ilvl="2" w:tplc="0809001B" w:tentative="1">
      <w:start w:val="1"/>
      <w:numFmt w:val="lowerRoman"/>
      <w:lvlText w:val="%3."/>
      <w:lvlJc w:val="right"/>
      <w:pPr>
        <w:ind w:left="5911" w:hanging="180"/>
      </w:pPr>
    </w:lvl>
    <w:lvl w:ilvl="3" w:tplc="0809000F" w:tentative="1">
      <w:start w:val="1"/>
      <w:numFmt w:val="decimal"/>
      <w:lvlText w:val="%4."/>
      <w:lvlJc w:val="left"/>
      <w:pPr>
        <w:ind w:left="6631" w:hanging="360"/>
      </w:pPr>
    </w:lvl>
    <w:lvl w:ilvl="4" w:tplc="08090019" w:tentative="1">
      <w:start w:val="1"/>
      <w:numFmt w:val="lowerLetter"/>
      <w:lvlText w:val="%5."/>
      <w:lvlJc w:val="left"/>
      <w:pPr>
        <w:ind w:left="7351" w:hanging="360"/>
      </w:pPr>
    </w:lvl>
    <w:lvl w:ilvl="5" w:tplc="0809001B" w:tentative="1">
      <w:start w:val="1"/>
      <w:numFmt w:val="lowerRoman"/>
      <w:lvlText w:val="%6."/>
      <w:lvlJc w:val="right"/>
      <w:pPr>
        <w:ind w:left="8071" w:hanging="180"/>
      </w:pPr>
    </w:lvl>
    <w:lvl w:ilvl="6" w:tplc="0809000F" w:tentative="1">
      <w:start w:val="1"/>
      <w:numFmt w:val="decimal"/>
      <w:lvlText w:val="%7."/>
      <w:lvlJc w:val="left"/>
      <w:pPr>
        <w:ind w:left="8791" w:hanging="360"/>
      </w:pPr>
    </w:lvl>
    <w:lvl w:ilvl="7" w:tplc="08090019" w:tentative="1">
      <w:start w:val="1"/>
      <w:numFmt w:val="lowerLetter"/>
      <w:lvlText w:val="%8."/>
      <w:lvlJc w:val="left"/>
      <w:pPr>
        <w:ind w:left="9511" w:hanging="360"/>
      </w:pPr>
    </w:lvl>
    <w:lvl w:ilvl="8" w:tplc="0809001B" w:tentative="1">
      <w:start w:val="1"/>
      <w:numFmt w:val="lowerRoman"/>
      <w:lvlText w:val="%9."/>
      <w:lvlJc w:val="right"/>
      <w:pPr>
        <w:ind w:left="10231" w:hanging="180"/>
      </w:pPr>
    </w:lvl>
  </w:abstractNum>
  <w:abstractNum w:abstractNumId="11">
    <w:nsid w:val="226404DE"/>
    <w:multiLevelType w:val="hybridMultilevel"/>
    <w:tmpl w:val="6D001A0A"/>
    <w:lvl w:ilvl="0" w:tplc="5C463C68">
      <w:start w:val="1"/>
      <w:numFmt w:val="decimal"/>
      <w:lvlText w:val="[%1]"/>
      <w:lvlJc w:val="left"/>
      <w:pPr>
        <w:ind w:left="720" w:hanging="360"/>
      </w:pPr>
      <w:rPr>
        <w:rFonts w:ascii="Arial" w:hAnsi="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D1362B"/>
    <w:multiLevelType w:val="hybridMultilevel"/>
    <w:tmpl w:val="0146552C"/>
    <w:lvl w:ilvl="0" w:tplc="8708BE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0D1122"/>
    <w:multiLevelType w:val="hybridMultilevel"/>
    <w:tmpl w:val="320C3D14"/>
    <w:lvl w:ilvl="0" w:tplc="1EEC93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ACA3396"/>
    <w:multiLevelType w:val="hybridMultilevel"/>
    <w:tmpl w:val="A7F2954C"/>
    <w:lvl w:ilvl="0" w:tplc="646053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B650FDF"/>
    <w:multiLevelType w:val="hybridMultilevel"/>
    <w:tmpl w:val="C97AD7C4"/>
    <w:lvl w:ilvl="0" w:tplc="A916547E">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BF22638"/>
    <w:multiLevelType w:val="hybridMultilevel"/>
    <w:tmpl w:val="ECE4A1F4"/>
    <w:lvl w:ilvl="0" w:tplc="3AF414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0253299"/>
    <w:multiLevelType w:val="hybridMultilevel"/>
    <w:tmpl w:val="A95260B6"/>
    <w:lvl w:ilvl="0" w:tplc="5404B7AA">
      <w:start w:val="1"/>
      <w:numFmt w:val="lowerLetter"/>
      <w:lvlText w:val="(%1)"/>
      <w:lvlJc w:val="left"/>
      <w:pPr>
        <w:ind w:left="753" w:hanging="360"/>
      </w:pPr>
      <w:rPr>
        <w:rFonts w:hint="default"/>
      </w:r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18">
    <w:nsid w:val="357741C9"/>
    <w:multiLevelType w:val="hybridMultilevel"/>
    <w:tmpl w:val="D460F584"/>
    <w:lvl w:ilvl="0" w:tplc="227EAF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95E015D"/>
    <w:multiLevelType w:val="hybridMultilevel"/>
    <w:tmpl w:val="58F2B474"/>
    <w:lvl w:ilvl="0" w:tplc="738E90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1C725A"/>
    <w:multiLevelType w:val="multilevel"/>
    <w:tmpl w:val="6888B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141A9E"/>
    <w:multiLevelType w:val="hybridMultilevel"/>
    <w:tmpl w:val="A1585FC4"/>
    <w:lvl w:ilvl="0" w:tplc="2EDC0B30">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FF00B12"/>
    <w:multiLevelType w:val="hybridMultilevel"/>
    <w:tmpl w:val="44C0F724"/>
    <w:lvl w:ilvl="0" w:tplc="15CEBD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33874F1"/>
    <w:multiLevelType w:val="hybridMultilevel"/>
    <w:tmpl w:val="2FB24C34"/>
    <w:lvl w:ilvl="0" w:tplc="B2E814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8B20BA9"/>
    <w:multiLevelType w:val="hybridMultilevel"/>
    <w:tmpl w:val="A43898F0"/>
    <w:lvl w:ilvl="0" w:tplc="DE4826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99C2961"/>
    <w:multiLevelType w:val="hybridMultilevel"/>
    <w:tmpl w:val="76FE4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2B2E34"/>
    <w:multiLevelType w:val="hybridMultilevel"/>
    <w:tmpl w:val="7EEC9976"/>
    <w:lvl w:ilvl="0" w:tplc="E91C622E">
      <w:start w:val="1"/>
      <w:numFmt w:val="decimal"/>
      <w:lvlText w:val="[%1]"/>
      <w:lvlJc w:val="left"/>
      <w:pPr>
        <w:ind w:left="1920" w:hanging="360"/>
      </w:pPr>
      <w:rPr>
        <w:rFonts w:ascii="Arial" w:hAnsi="Arial" w:cs="Arial" w:hint="default"/>
        <w:i w:val="0"/>
        <w:iCs w:val="0"/>
        <w:sz w:val="24"/>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7">
    <w:nsid w:val="4ED86865"/>
    <w:multiLevelType w:val="hybridMultilevel"/>
    <w:tmpl w:val="D1B0C2B0"/>
    <w:lvl w:ilvl="0" w:tplc="2B8872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A664475"/>
    <w:multiLevelType w:val="hybridMultilevel"/>
    <w:tmpl w:val="0BCE503A"/>
    <w:lvl w:ilvl="0" w:tplc="4636FE00">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9">
    <w:nsid w:val="5CCB1263"/>
    <w:multiLevelType w:val="hybridMultilevel"/>
    <w:tmpl w:val="10587882"/>
    <w:lvl w:ilvl="0" w:tplc="06288A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0DF1794"/>
    <w:multiLevelType w:val="hybridMultilevel"/>
    <w:tmpl w:val="B3869806"/>
    <w:lvl w:ilvl="0" w:tplc="B9266D10">
      <w:start w:val="1"/>
      <w:numFmt w:val="lowerLetter"/>
      <w:lvlText w:val="(%1)"/>
      <w:lvlJc w:val="left"/>
      <w:pPr>
        <w:ind w:left="720" w:hanging="360"/>
      </w:pPr>
      <w:rPr>
        <w:rFonts w:ascii="Arial" w:hAnsi="Arial" w:cs="Arial" w:hint="default"/>
        <w:color w:val="24212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5216F83"/>
    <w:multiLevelType w:val="hybridMultilevel"/>
    <w:tmpl w:val="1DEA177E"/>
    <w:lvl w:ilvl="0" w:tplc="0ADC1B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5291CC1"/>
    <w:multiLevelType w:val="hybridMultilevel"/>
    <w:tmpl w:val="B4B05B2E"/>
    <w:lvl w:ilvl="0" w:tplc="AD6696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0B935CA"/>
    <w:multiLevelType w:val="multilevel"/>
    <w:tmpl w:val="94CA8480"/>
    <w:lvl w:ilvl="0">
      <w:start w:val="6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5D82834"/>
    <w:multiLevelType w:val="multilevel"/>
    <w:tmpl w:val="00FE642C"/>
    <w:lvl w:ilvl="0">
      <w:start w:val="1"/>
      <w:numFmt w:val="decimal"/>
      <w:lvlText w:val="%1"/>
      <w:lvlJc w:val="left"/>
      <w:pPr>
        <w:ind w:left="700" w:hanging="700"/>
      </w:pPr>
      <w:rPr>
        <w:rFonts w:hint="default"/>
      </w:rPr>
    </w:lvl>
    <w:lvl w:ilvl="1">
      <w:start w:val="1"/>
      <w:numFmt w:val="decimal"/>
      <w:lvlText w:val="%1.%2"/>
      <w:lvlJc w:val="left"/>
      <w:pPr>
        <w:ind w:left="700" w:hanging="7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7A41E95"/>
    <w:multiLevelType w:val="hybridMultilevel"/>
    <w:tmpl w:val="AB1267F6"/>
    <w:lvl w:ilvl="0" w:tplc="EF6459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86E62C8"/>
    <w:multiLevelType w:val="hybridMultilevel"/>
    <w:tmpl w:val="6D001A0A"/>
    <w:lvl w:ilvl="0" w:tplc="FFFFFFFF">
      <w:start w:val="1"/>
      <w:numFmt w:val="decimal"/>
      <w:lvlText w:val="[%1]"/>
      <w:lvlJc w:val="left"/>
      <w:pPr>
        <w:ind w:left="720" w:hanging="360"/>
      </w:pPr>
      <w:rPr>
        <w:rFonts w:ascii="Arial" w:hAnsi="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nsid w:val="790B71B4"/>
    <w:multiLevelType w:val="hybridMultilevel"/>
    <w:tmpl w:val="8D06CBD0"/>
    <w:lvl w:ilvl="0" w:tplc="8F60D3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DE46A80"/>
    <w:multiLevelType w:val="hybridMultilevel"/>
    <w:tmpl w:val="33CA24E2"/>
    <w:lvl w:ilvl="0" w:tplc="DB329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E5A1ACF"/>
    <w:multiLevelType w:val="hybridMultilevel"/>
    <w:tmpl w:val="CF78CDB0"/>
    <w:lvl w:ilvl="0" w:tplc="3982A8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F2A3CF7"/>
    <w:multiLevelType w:val="hybridMultilevel"/>
    <w:tmpl w:val="DC52DCA8"/>
    <w:lvl w:ilvl="0" w:tplc="4FB8B5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8"/>
  </w:num>
  <w:num w:numId="3">
    <w:abstractNumId w:val="17"/>
  </w:num>
  <w:num w:numId="4">
    <w:abstractNumId w:val="29"/>
  </w:num>
  <w:num w:numId="5">
    <w:abstractNumId w:val="28"/>
  </w:num>
  <w:num w:numId="6">
    <w:abstractNumId w:val="15"/>
  </w:num>
  <w:num w:numId="7">
    <w:abstractNumId w:val="37"/>
  </w:num>
  <w:num w:numId="8">
    <w:abstractNumId w:val="36"/>
  </w:num>
  <w:num w:numId="9">
    <w:abstractNumId w:val="31"/>
  </w:num>
  <w:num w:numId="10">
    <w:abstractNumId w:val="7"/>
  </w:num>
  <w:num w:numId="11">
    <w:abstractNumId w:val="16"/>
  </w:num>
  <w:num w:numId="12">
    <w:abstractNumId w:val="27"/>
  </w:num>
  <w:num w:numId="13">
    <w:abstractNumId w:val="2"/>
  </w:num>
  <w:num w:numId="14">
    <w:abstractNumId w:val="39"/>
  </w:num>
  <w:num w:numId="15">
    <w:abstractNumId w:val="32"/>
  </w:num>
  <w:num w:numId="16">
    <w:abstractNumId w:val="10"/>
  </w:num>
  <w:num w:numId="17">
    <w:abstractNumId w:val="24"/>
  </w:num>
  <w:num w:numId="18">
    <w:abstractNumId w:val="40"/>
  </w:num>
  <w:num w:numId="19">
    <w:abstractNumId w:val="19"/>
  </w:num>
  <w:num w:numId="20">
    <w:abstractNumId w:val="13"/>
  </w:num>
  <w:num w:numId="21">
    <w:abstractNumId w:val="38"/>
  </w:num>
  <w:num w:numId="22">
    <w:abstractNumId w:val="12"/>
  </w:num>
  <w:num w:numId="23">
    <w:abstractNumId w:val="22"/>
  </w:num>
  <w:num w:numId="24">
    <w:abstractNumId w:val="23"/>
  </w:num>
  <w:num w:numId="25">
    <w:abstractNumId w:val="1"/>
  </w:num>
  <w:num w:numId="26">
    <w:abstractNumId w:val="5"/>
    <w:lvlOverride w:ilvl="0">
      <w:startOverride w:val="4"/>
    </w:lvlOverride>
  </w:num>
  <w:num w:numId="27">
    <w:abstractNumId w:val="34"/>
  </w:num>
  <w:num w:numId="28">
    <w:abstractNumId w:val="18"/>
  </w:num>
  <w:num w:numId="29">
    <w:abstractNumId w:val="33"/>
  </w:num>
  <w:num w:numId="30">
    <w:abstractNumId w:val="6"/>
  </w:num>
  <w:num w:numId="31">
    <w:abstractNumId w:val="35"/>
  </w:num>
  <w:num w:numId="32">
    <w:abstractNumId w:val="4"/>
  </w:num>
  <w:num w:numId="33">
    <w:abstractNumId w:val="9"/>
  </w:num>
  <w:num w:numId="34">
    <w:abstractNumId w:val="26"/>
  </w:num>
  <w:num w:numId="35">
    <w:abstractNumId w:val="14"/>
  </w:num>
  <w:num w:numId="36">
    <w:abstractNumId w:val="21"/>
  </w:num>
  <w:num w:numId="37">
    <w:abstractNumId w:val="20"/>
  </w:num>
  <w:num w:numId="38">
    <w:abstractNumId w:val="30"/>
  </w:num>
  <w:num w:numId="39">
    <w:abstractNumId w:val="25"/>
  </w:num>
  <w:num w:numId="40">
    <w:abstractNumId w:val="0"/>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431E65A-8EAD-4D60-8577-ACB361375FE3}"/>
    <w:docVar w:name="dgnword-drafile" w:val="C:\Users\RMossop\AppData\Local\Temp\draC4C5.tmp"/>
    <w:docVar w:name="dgnword-eventsink" w:val="2450140800240"/>
  </w:docVars>
  <w:rsids>
    <w:rsidRoot w:val="00F3519B"/>
    <w:rsid w:val="00000ADA"/>
    <w:rsid w:val="00000C26"/>
    <w:rsid w:val="000018AB"/>
    <w:rsid w:val="00002E1C"/>
    <w:rsid w:val="000034A6"/>
    <w:rsid w:val="0001183D"/>
    <w:rsid w:val="000139F8"/>
    <w:rsid w:val="000257E4"/>
    <w:rsid w:val="00037617"/>
    <w:rsid w:val="000403AF"/>
    <w:rsid w:val="00042952"/>
    <w:rsid w:val="00042ADD"/>
    <w:rsid w:val="00044FFF"/>
    <w:rsid w:val="00045E14"/>
    <w:rsid w:val="00052443"/>
    <w:rsid w:val="0005348D"/>
    <w:rsid w:val="0005439B"/>
    <w:rsid w:val="000549E7"/>
    <w:rsid w:val="00060A4F"/>
    <w:rsid w:val="00060EA2"/>
    <w:rsid w:val="00072270"/>
    <w:rsid w:val="0007412D"/>
    <w:rsid w:val="00076005"/>
    <w:rsid w:val="00076547"/>
    <w:rsid w:val="000803FD"/>
    <w:rsid w:val="00096AB8"/>
    <w:rsid w:val="000A5C40"/>
    <w:rsid w:val="000A6CAC"/>
    <w:rsid w:val="000A6D77"/>
    <w:rsid w:val="000B196A"/>
    <w:rsid w:val="000B3EDD"/>
    <w:rsid w:val="000B4555"/>
    <w:rsid w:val="000B57B1"/>
    <w:rsid w:val="000C00C2"/>
    <w:rsid w:val="000C00D4"/>
    <w:rsid w:val="000C2F74"/>
    <w:rsid w:val="000C69E8"/>
    <w:rsid w:val="000D33D8"/>
    <w:rsid w:val="000D4127"/>
    <w:rsid w:val="000D6B15"/>
    <w:rsid w:val="000E5A58"/>
    <w:rsid w:val="000F57F6"/>
    <w:rsid w:val="00124F9F"/>
    <w:rsid w:val="001401EC"/>
    <w:rsid w:val="00154AC7"/>
    <w:rsid w:val="00163871"/>
    <w:rsid w:val="00164436"/>
    <w:rsid w:val="00164659"/>
    <w:rsid w:val="00167ADC"/>
    <w:rsid w:val="00170872"/>
    <w:rsid w:val="00172D02"/>
    <w:rsid w:val="00172D6F"/>
    <w:rsid w:val="00176197"/>
    <w:rsid w:val="001774C4"/>
    <w:rsid w:val="00182381"/>
    <w:rsid w:val="001870B1"/>
    <w:rsid w:val="00191D20"/>
    <w:rsid w:val="00192641"/>
    <w:rsid w:val="00192ADF"/>
    <w:rsid w:val="00193A7A"/>
    <w:rsid w:val="00197FE3"/>
    <w:rsid w:val="001A2DE4"/>
    <w:rsid w:val="001C10F6"/>
    <w:rsid w:val="001C3189"/>
    <w:rsid w:val="001D39B7"/>
    <w:rsid w:val="001E1CD2"/>
    <w:rsid w:val="001F301A"/>
    <w:rsid w:val="00200376"/>
    <w:rsid w:val="00204EFD"/>
    <w:rsid w:val="002053CB"/>
    <w:rsid w:val="00205DBA"/>
    <w:rsid w:val="0021279A"/>
    <w:rsid w:val="00216F30"/>
    <w:rsid w:val="00223FCD"/>
    <w:rsid w:val="002332B5"/>
    <w:rsid w:val="00237BA5"/>
    <w:rsid w:val="00240AA3"/>
    <w:rsid w:val="002441D0"/>
    <w:rsid w:val="00245564"/>
    <w:rsid w:val="00245CE5"/>
    <w:rsid w:val="00246ABB"/>
    <w:rsid w:val="002535A2"/>
    <w:rsid w:val="00253EFC"/>
    <w:rsid w:val="0025600F"/>
    <w:rsid w:val="002615B6"/>
    <w:rsid w:val="00296B55"/>
    <w:rsid w:val="002A7D02"/>
    <w:rsid w:val="002B2E25"/>
    <w:rsid w:val="002C288C"/>
    <w:rsid w:val="002C4ACA"/>
    <w:rsid w:val="002C6581"/>
    <w:rsid w:val="002D4862"/>
    <w:rsid w:val="002D6266"/>
    <w:rsid w:val="002E4F0D"/>
    <w:rsid w:val="002E7EBE"/>
    <w:rsid w:val="002F24DD"/>
    <w:rsid w:val="00302B31"/>
    <w:rsid w:val="00305008"/>
    <w:rsid w:val="00317F6B"/>
    <w:rsid w:val="00325410"/>
    <w:rsid w:val="003262F8"/>
    <w:rsid w:val="00343121"/>
    <w:rsid w:val="00343938"/>
    <w:rsid w:val="00351A8F"/>
    <w:rsid w:val="00353AAE"/>
    <w:rsid w:val="0036306F"/>
    <w:rsid w:val="003636E4"/>
    <w:rsid w:val="00364235"/>
    <w:rsid w:val="00367689"/>
    <w:rsid w:val="003829DA"/>
    <w:rsid w:val="00383677"/>
    <w:rsid w:val="00385DA1"/>
    <w:rsid w:val="003947CD"/>
    <w:rsid w:val="00396BE0"/>
    <w:rsid w:val="003A048D"/>
    <w:rsid w:val="003A3521"/>
    <w:rsid w:val="003B01F3"/>
    <w:rsid w:val="003B226B"/>
    <w:rsid w:val="003B7165"/>
    <w:rsid w:val="003B767D"/>
    <w:rsid w:val="003E0CBE"/>
    <w:rsid w:val="003F29F3"/>
    <w:rsid w:val="003F3FFD"/>
    <w:rsid w:val="003F544F"/>
    <w:rsid w:val="00406A79"/>
    <w:rsid w:val="00412F53"/>
    <w:rsid w:val="00417D7E"/>
    <w:rsid w:val="0042205A"/>
    <w:rsid w:val="004225FB"/>
    <w:rsid w:val="0042338F"/>
    <w:rsid w:val="00427EE3"/>
    <w:rsid w:val="004364AE"/>
    <w:rsid w:val="004442EF"/>
    <w:rsid w:val="004561AB"/>
    <w:rsid w:val="00456208"/>
    <w:rsid w:val="004568B6"/>
    <w:rsid w:val="00462161"/>
    <w:rsid w:val="00462F1C"/>
    <w:rsid w:val="004633FB"/>
    <w:rsid w:val="0046438F"/>
    <w:rsid w:val="0046482E"/>
    <w:rsid w:val="00465AF3"/>
    <w:rsid w:val="00465DD2"/>
    <w:rsid w:val="00472D75"/>
    <w:rsid w:val="00476BD7"/>
    <w:rsid w:val="0048330A"/>
    <w:rsid w:val="00492A58"/>
    <w:rsid w:val="00492F63"/>
    <w:rsid w:val="004A2756"/>
    <w:rsid w:val="004A7452"/>
    <w:rsid w:val="004A7ED9"/>
    <w:rsid w:val="004B31C8"/>
    <w:rsid w:val="004B6D00"/>
    <w:rsid w:val="004C14C6"/>
    <w:rsid w:val="004C2560"/>
    <w:rsid w:val="004D149A"/>
    <w:rsid w:val="004E07A1"/>
    <w:rsid w:val="004F23C0"/>
    <w:rsid w:val="004F772A"/>
    <w:rsid w:val="00503510"/>
    <w:rsid w:val="005065B3"/>
    <w:rsid w:val="00507AA2"/>
    <w:rsid w:val="005118CB"/>
    <w:rsid w:val="00515438"/>
    <w:rsid w:val="00530602"/>
    <w:rsid w:val="00536641"/>
    <w:rsid w:val="00543273"/>
    <w:rsid w:val="005434F5"/>
    <w:rsid w:val="00543864"/>
    <w:rsid w:val="00544B42"/>
    <w:rsid w:val="00551087"/>
    <w:rsid w:val="005544CB"/>
    <w:rsid w:val="00554E35"/>
    <w:rsid w:val="0056208B"/>
    <w:rsid w:val="00563676"/>
    <w:rsid w:val="005672A2"/>
    <w:rsid w:val="00574641"/>
    <w:rsid w:val="00575CC7"/>
    <w:rsid w:val="00584FA0"/>
    <w:rsid w:val="005863BE"/>
    <w:rsid w:val="0059033E"/>
    <w:rsid w:val="00590831"/>
    <w:rsid w:val="00595BB7"/>
    <w:rsid w:val="005A07B9"/>
    <w:rsid w:val="005A19D3"/>
    <w:rsid w:val="005A7540"/>
    <w:rsid w:val="005B0626"/>
    <w:rsid w:val="005B13C7"/>
    <w:rsid w:val="005B58E0"/>
    <w:rsid w:val="005B5D9C"/>
    <w:rsid w:val="005D00B1"/>
    <w:rsid w:val="005D0D0A"/>
    <w:rsid w:val="005D1739"/>
    <w:rsid w:val="005D2C20"/>
    <w:rsid w:val="005D59E7"/>
    <w:rsid w:val="005F2A67"/>
    <w:rsid w:val="005F3482"/>
    <w:rsid w:val="005F35B2"/>
    <w:rsid w:val="00602286"/>
    <w:rsid w:val="006031D7"/>
    <w:rsid w:val="00606D6E"/>
    <w:rsid w:val="0060753A"/>
    <w:rsid w:val="00607BC7"/>
    <w:rsid w:val="0063122B"/>
    <w:rsid w:val="0063288F"/>
    <w:rsid w:val="00655B9B"/>
    <w:rsid w:val="006560E0"/>
    <w:rsid w:val="0067116B"/>
    <w:rsid w:val="00671849"/>
    <w:rsid w:val="00674330"/>
    <w:rsid w:val="006A6846"/>
    <w:rsid w:val="006B318D"/>
    <w:rsid w:val="006B4F25"/>
    <w:rsid w:val="006C4333"/>
    <w:rsid w:val="006D28AA"/>
    <w:rsid w:val="006D53D6"/>
    <w:rsid w:val="006E001D"/>
    <w:rsid w:val="006E1F12"/>
    <w:rsid w:val="006E308F"/>
    <w:rsid w:val="006E315B"/>
    <w:rsid w:val="006F0F26"/>
    <w:rsid w:val="006F3336"/>
    <w:rsid w:val="006F4A7C"/>
    <w:rsid w:val="006F6C11"/>
    <w:rsid w:val="00703E85"/>
    <w:rsid w:val="007065B3"/>
    <w:rsid w:val="00707520"/>
    <w:rsid w:val="00712043"/>
    <w:rsid w:val="00713DB7"/>
    <w:rsid w:val="00715B1E"/>
    <w:rsid w:val="007202BA"/>
    <w:rsid w:val="007209FB"/>
    <w:rsid w:val="00723270"/>
    <w:rsid w:val="00723D03"/>
    <w:rsid w:val="0072407A"/>
    <w:rsid w:val="0072547E"/>
    <w:rsid w:val="00726065"/>
    <w:rsid w:val="00731AE9"/>
    <w:rsid w:val="00731F34"/>
    <w:rsid w:val="00732671"/>
    <w:rsid w:val="00735F33"/>
    <w:rsid w:val="00743133"/>
    <w:rsid w:val="00743A1D"/>
    <w:rsid w:val="00747D4C"/>
    <w:rsid w:val="00775EE1"/>
    <w:rsid w:val="00775F0D"/>
    <w:rsid w:val="007801CC"/>
    <w:rsid w:val="00781761"/>
    <w:rsid w:val="00783669"/>
    <w:rsid w:val="00786F10"/>
    <w:rsid w:val="00792720"/>
    <w:rsid w:val="007A0697"/>
    <w:rsid w:val="007B503D"/>
    <w:rsid w:val="007C1D45"/>
    <w:rsid w:val="007C30BB"/>
    <w:rsid w:val="007D0E7E"/>
    <w:rsid w:val="007D6A14"/>
    <w:rsid w:val="007E3AA7"/>
    <w:rsid w:val="007E439C"/>
    <w:rsid w:val="007E5808"/>
    <w:rsid w:val="008000E7"/>
    <w:rsid w:val="00803207"/>
    <w:rsid w:val="00812977"/>
    <w:rsid w:val="00813041"/>
    <w:rsid w:val="00813217"/>
    <w:rsid w:val="00814979"/>
    <w:rsid w:val="00815C30"/>
    <w:rsid w:val="00825F7B"/>
    <w:rsid w:val="008418D6"/>
    <w:rsid w:val="00846022"/>
    <w:rsid w:val="008564B2"/>
    <w:rsid w:val="008570FF"/>
    <w:rsid w:val="00857DC4"/>
    <w:rsid w:val="00860F60"/>
    <w:rsid w:val="008656EC"/>
    <w:rsid w:val="00866062"/>
    <w:rsid w:val="00874291"/>
    <w:rsid w:val="008828A2"/>
    <w:rsid w:val="00887F8A"/>
    <w:rsid w:val="008948E3"/>
    <w:rsid w:val="008B14C5"/>
    <w:rsid w:val="008B29F2"/>
    <w:rsid w:val="008B3719"/>
    <w:rsid w:val="008B4477"/>
    <w:rsid w:val="008C13C2"/>
    <w:rsid w:val="008C3500"/>
    <w:rsid w:val="008D3273"/>
    <w:rsid w:val="008D37F0"/>
    <w:rsid w:val="008D5F41"/>
    <w:rsid w:val="008D69EA"/>
    <w:rsid w:val="008D781A"/>
    <w:rsid w:val="008E25A4"/>
    <w:rsid w:val="008F4173"/>
    <w:rsid w:val="008F4872"/>
    <w:rsid w:val="00900D9C"/>
    <w:rsid w:val="00901EFA"/>
    <w:rsid w:val="00902D52"/>
    <w:rsid w:val="00905F75"/>
    <w:rsid w:val="00911A6F"/>
    <w:rsid w:val="00911DC8"/>
    <w:rsid w:val="00912740"/>
    <w:rsid w:val="00913725"/>
    <w:rsid w:val="00921796"/>
    <w:rsid w:val="009265C2"/>
    <w:rsid w:val="00933619"/>
    <w:rsid w:val="009353AF"/>
    <w:rsid w:val="009359D3"/>
    <w:rsid w:val="0094464E"/>
    <w:rsid w:val="0094715E"/>
    <w:rsid w:val="00950920"/>
    <w:rsid w:val="00950FAE"/>
    <w:rsid w:val="009517FE"/>
    <w:rsid w:val="00954C72"/>
    <w:rsid w:val="00963E42"/>
    <w:rsid w:val="00965FAD"/>
    <w:rsid w:val="0097051B"/>
    <w:rsid w:val="00970BA2"/>
    <w:rsid w:val="00970C98"/>
    <w:rsid w:val="00973875"/>
    <w:rsid w:val="00980147"/>
    <w:rsid w:val="00982ED2"/>
    <w:rsid w:val="00983FB1"/>
    <w:rsid w:val="00987730"/>
    <w:rsid w:val="00990DD0"/>
    <w:rsid w:val="009972EF"/>
    <w:rsid w:val="009A0429"/>
    <w:rsid w:val="009A42FD"/>
    <w:rsid w:val="009A58D2"/>
    <w:rsid w:val="009A5B2E"/>
    <w:rsid w:val="009A7383"/>
    <w:rsid w:val="009A7AF5"/>
    <w:rsid w:val="009B1B97"/>
    <w:rsid w:val="009B1C62"/>
    <w:rsid w:val="009B5C04"/>
    <w:rsid w:val="009B6CD0"/>
    <w:rsid w:val="009C7402"/>
    <w:rsid w:val="009D228E"/>
    <w:rsid w:val="009D6BEF"/>
    <w:rsid w:val="009E41D2"/>
    <w:rsid w:val="009F0992"/>
    <w:rsid w:val="009F7F2C"/>
    <w:rsid w:val="00A03A43"/>
    <w:rsid w:val="00A052A5"/>
    <w:rsid w:val="00A12FFE"/>
    <w:rsid w:val="00A13824"/>
    <w:rsid w:val="00A17F59"/>
    <w:rsid w:val="00A21805"/>
    <w:rsid w:val="00A26C43"/>
    <w:rsid w:val="00A3031A"/>
    <w:rsid w:val="00A315C3"/>
    <w:rsid w:val="00A31B9D"/>
    <w:rsid w:val="00A34821"/>
    <w:rsid w:val="00A47D5F"/>
    <w:rsid w:val="00A53745"/>
    <w:rsid w:val="00A56069"/>
    <w:rsid w:val="00A7089D"/>
    <w:rsid w:val="00A709B7"/>
    <w:rsid w:val="00A70EFD"/>
    <w:rsid w:val="00A759A5"/>
    <w:rsid w:val="00A77958"/>
    <w:rsid w:val="00A80206"/>
    <w:rsid w:val="00A81335"/>
    <w:rsid w:val="00A81DE4"/>
    <w:rsid w:val="00A83213"/>
    <w:rsid w:val="00A92385"/>
    <w:rsid w:val="00A93248"/>
    <w:rsid w:val="00A935E6"/>
    <w:rsid w:val="00AA02C5"/>
    <w:rsid w:val="00AA14D5"/>
    <w:rsid w:val="00AA7ACE"/>
    <w:rsid w:val="00AC229D"/>
    <w:rsid w:val="00AC2B4D"/>
    <w:rsid w:val="00AC6493"/>
    <w:rsid w:val="00AD0EE5"/>
    <w:rsid w:val="00AD7AA3"/>
    <w:rsid w:val="00AD7D02"/>
    <w:rsid w:val="00AE2F2B"/>
    <w:rsid w:val="00AE68CE"/>
    <w:rsid w:val="00AE793E"/>
    <w:rsid w:val="00AF5DE7"/>
    <w:rsid w:val="00AF64BD"/>
    <w:rsid w:val="00B00663"/>
    <w:rsid w:val="00B03F64"/>
    <w:rsid w:val="00B16369"/>
    <w:rsid w:val="00B2492E"/>
    <w:rsid w:val="00B26B30"/>
    <w:rsid w:val="00B27D49"/>
    <w:rsid w:val="00B316F2"/>
    <w:rsid w:val="00B31E41"/>
    <w:rsid w:val="00B34540"/>
    <w:rsid w:val="00B43C70"/>
    <w:rsid w:val="00B5161E"/>
    <w:rsid w:val="00B52880"/>
    <w:rsid w:val="00B5471C"/>
    <w:rsid w:val="00B6277B"/>
    <w:rsid w:val="00B6734B"/>
    <w:rsid w:val="00B74FC1"/>
    <w:rsid w:val="00B80FB4"/>
    <w:rsid w:val="00B82AC3"/>
    <w:rsid w:val="00B85647"/>
    <w:rsid w:val="00B91D13"/>
    <w:rsid w:val="00BA01BE"/>
    <w:rsid w:val="00BB1AAE"/>
    <w:rsid w:val="00BB5942"/>
    <w:rsid w:val="00BC4C19"/>
    <w:rsid w:val="00BC558F"/>
    <w:rsid w:val="00BD3016"/>
    <w:rsid w:val="00BD5F3E"/>
    <w:rsid w:val="00BE07A6"/>
    <w:rsid w:val="00BE30E3"/>
    <w:rsid w:val="00BE3DBC"/>
    <w:rsid w:val="00BE518C"/>
    <w:rsid w:val="00BF187F"/>
    <w:rsid w:val="00BF3943"/>
    <w:rsid w:val="00BF4F78"/>
    <w:rsid w:val="00BF6717"/>
    <w:rsid w:val="00C02FED"/>
    <w:rsid w:val="00C07375"/>
    <w:rsid w:val="00C079A1"/>
    <w:rsid w:val="00C10989"/>
    <w:rsid w:val="00C13E22"/>
    <w:rsid w:val="00C161D8"/>
    <w:rsid w:val="00C20C8A"/>
    <w:rsid w:val="00C21F10"/>
    <w:rsid w:val="00C224BE"/>
    <w:rsid w:val="00C25573"/>
    <w:rsid w:val="00C309A6"/>
    <w:rsid w:val="00C30BF3"/>
    <w:rsid w:val="00C30C0D"/>
    <w:rsid w:val="00C33FD8"/>
    <w:rsid w:val="00C411A6"/>
    <w:rsid w:val="00C426DF"/>
    <w:rsid w:val="00C42A0F"/>
    <w:rsid w:val="00C514B3"/>
    <w:rsid w:val="00C52ADC"/>
    <w:rsid w:val="00C5350E"/>
    <w:rsid w:val="00C55F77"/>
    <w:rsid w:val="00C57D16"/>
    <w:rsid w:val="00C6309E"/>
    <w:rsid w:val="00C64469"/>
    <w:rsid w:val="00C70F0F"/>
    <w:rsid w:val="00C71E43"/>
    <w:rsid w:val="00C75AD2"/>
    <w:rsid w:val="00C80A8F"/>
    <w:rsid w:val="00CA010C"/>
    <w:rsid w:val="00CA0E01"/>
    <w:rsid w:val="00CC2674"/>
    <w:rsid w:val="00CC275F"/>
    <w:rsid w:val="00CC5EB7"/>
    <w:rsid w:val="00CC7475"/>
    <w:rsid w:val="00CC75C4"/>
    <w:rsid w:val="00CC78FA"/>
    <w:rsid w:val="00CD08D2"/>
    <w:rsid w:val="00CD2049"/>
    <w:rsid w:val="00CD4E3F"/>
    <w:rsid w:val="00CD5AE5"/>
    <w:rsid w:val="00CD5AF2"/>
    <w:rsid w:val="00CF23DD"/>
    <w:rsid w:val="00CF4F2A"/>
    <w:rsid w:val="00CF51ED"/>
    <w:rsid w:val="00CF5357"/>
    <w:rsid w:val="00CF76DF"/>
    <w:rsid w:val="00D04E7E"/>
    <w:rsid w:val="00D067D9"/>
    <w:rsid w:val="00D13EF5"/>
    <w:rsid w:val="00D14BF0"/>
    <w:rsid w:val="00D14E49"/>
    <w:rsid w:val="00D17F71"/>
    <w:rsid w:val="00D42680"/>
    <w:rsid w:val="00D4574B"/>
    <w:rsid w:val="00D45F10"/>
    <w:rsid w:val="00D52D34"/>
    <w:rsid w:val="00D557EA"/>
    <w:rsid w:val="00D55B54"/>
    <w:rsid w:val="00D60EDC"/>
    <w:rsid w:val="00D637C0"/>
    <w:rsid w:val="00D675A2"/>
    <w:rsid w:val="00D70C60"/>
    <w:rsid w:val="00D74AB6"/>
    <w:rsid w:val="00D808A7"/>
    <w:rsid w:val="00D84019"/>
    <w:rsid w:val="00D95FC9"/>
    <w:rsid w:val="00DA0EBB"/>
    <w:rsid w:val="00DA45AE"/>
    <w:rsid w:val="00DA557D"/>
    <w:rsid w:val="00DB21F7"/>
    <w:rsid w:val="00DC2F18"/>
    <w:rsid w:val="00DC345D"/>
    <w:rsid w:val="00DC7D95"/>
    <w:rsid w:val="00DD572D"/>
    <w:rsid w:val="00DE1490"/>
    <w:rsid w:val="00DE1655"/>
    <w:rsid w:val="00DF3C36"/>
    <w:rsid w:val="00E03C47"/>
    <w:rsid w:val="00E07F98"/>
    <w:rsid w:val="00E11A9B"/>
    <w:rsid w:val="00E12442"/>
    <w:rsid w:val="00E14479"/>
    <w:rsid w:val="00E14802"/>
    <w:rsid w:val="00E1628D"/>
    <w:rsid w:val="00E168B8"/>
    <w:rsid w:val="00E16ADD"/>
    <w:rsid w:val="00E20AD8"/>
    <w:rsid w:val="00E222E3"/>
    <w:rsid w:val="00E35570"/>
    <w:rsid w:val="00E37B04"/>
    <w:rsid w:val="00E40E21"/>
    <w:rsid w:val="00E41322"/>
    <w:rsid w:val="00E4410F"/>
    <w:rsid w:val="00E56109"/>
    <w:rsid w:val="00E65F9D"/>
    <w:rsid w:val="00E67E2F"/>
    <w:rsid w:val="00E7024F"/>
    <w:rsid w:val="00E7410F"/>
    <w:rsid w:val="00E764CF"/>
    <w:rsid w:val="00E819B4"/>
    <w:rsid w:val="00E95E39"/>
    <w:rsid w:val="00E97EE6"/>
    <w:rsid w:val="00EA3FD2"/>
    <w:rsid w:val="00ED500B"/>
    <w:rsid w:val="00EE0601"/>
    <w:rsid w:val="00EF1450"/>
    <w:rsid w:val="00F05CDC"/>
    <w:rsid w:val="00F1477C"/>
    <w:rsid w:val="00F153AB"/>
    <w:rsid w:val="00F20A4C"/>
    <w:rsid w:val="00F210A5"/>
    <w:rsid w:val="00F24DA9"/>
    <w:rsid w:val="00F3435D"/>
    <w:rsid w:val="00F3519B"/>
    <w:rsid w:val="00F3622C"/>
    <w:rsid w:val="00F3685B"/>
    <w:rsid w:val="00F47831"/>
    <w:rsid w:val="00F50252"/>
    <w:rsid w:val="00F51FB6"/>
    <w:rsid w:val="00F5439C"/>
    <w:rsid w:val="00F543A0"/>
    <w:rsid w:val="00F54D8B"/>
    <w:rsid w:val="00F62EB5"/>
    <w:rsid w:val="00F75935"/>
    <w:rsid w:val="00F8061C"/>
    <w:rsid w:val="00F8315C"/>
    <w:rsid w:val="00F83FCE"/>
    <w:rsid w:val="00F912D2"/>
    <w:rsid w:val="00F96773"/>
    <w:rsid w:val="00FA4D09"/>
    <w:rsid w:val="00FB362E"/>
    <w:rsid w:val="00FB4039"/>
    <w:rsid w:val="00FD5406"/>
    <w:rsid w:val="00FE65D7"/>
    <w:rsid w:val="00FE759B"/>
    <w:rsid w:val="00FF2EEC"/>
    <w:rsid w:val="00FF4049"/>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E43A5"/>
  <w15:chartTrackingRefBased/>
  <w15:docId w15:val="{86390F30-5EBC-43D9-81AA-47E90C23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B4D"/>
    <w:pPr>
      <w:spacing w:after="0" w:line="240" w:lineRule="auto"/>
    </w:pPr>
    <w:rPr>
      <w:rFonts w:ascii="Times New Roman" w:eastAsia="Times New Roman" w:hAnsi="Times New Roman" w:cs="Times New Roman"/>
      <w:sz w:val="24"/>
      <w:szCs w:val="24"/>
      <w:lang w:val="en-ZA" w:eastAsia="en-GB" w:bidi="yi-Hebr"/>
    </w:rPr>
  </w:style>
  <w:style w:type="paragraph" w:styleId="Heading2">
    <w:name w:val="heading 2"/>
    <w:basedOn w:val="Normal"/>
    <w:link w:val="Heading2Char"/>
    <w:uiPriority w:val="9"/>
    <w:qFormat/>
    <w:rsid w:val="00CF23D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3519B"/>
    <w:rPr>
      <w:rFonts w:asciiTheme="minorHAnsi" w:eastAsiaTheme="minorHAnsi" w:hAnsiTheme="minorHAnsi" w:cstheme="minorBidi"/>
      <w:sz w:val="20"/>
      <w:szCs w:val="20"/>
      <w:lang w:val="en-GB" w:eastAsia="en-US" w:bidi="ar-SA"/>
    </w:rPr>
  </w:style>
  <w:style w:type="character" w:customStyle="1" w:styleId="FootnoteTextChar">
    <w:name w:val="Footnote Text Char"/>
    <w:basedOn w:val="DefaultParagraphFont"/>
    <w:link w:val="FootnoteText"/>
    <w:uiPriority w:val="99"/>
    <w:semiHidden/>
    <w:rsid w:val="00F3519B"/>
    <w:rPr>
      <w:sz w:val="20"/>
      <w:szCs w:val="20"/>
    </w:rPr>
  </w:style>
  <w:style w:type="character" w:styleId="FootnoteReference">
    <w:name w:val="footnote reference"/>
    <w:basedOn w:val="DefaultParagraphFont"/>
    <w:uiPriority w:val="99"/>
    <w:semiHidden/>
    <w:unhideWhenUsed/>
    <w:rsid w:val="00F3519B"/>
    <w:rPr>
      <w:vertAlign w:val="superscript"/>
    </w:rPr>
  </w:style>
  <w:style w:type="paragraph" w:styleId="ListParagraph">
    <w:name w:val="List Paragraph"/>
    <w:basedOn w:val="Normal"/>
    <w:uiPriority w:val="34"/>
    <w:qFormat/>
    <w:rsid w:val="000C00D4"/>
    <w:pPr>
      <w:spacing w:after="160" w:line="259" w:lineRule="auto"/>
      <w:ind w:left="720"/>
      <w:contextualSpacing/>
    </w:pPr>
    <w:rPr>
      <w:rFonts w:asciiTheme="minorHAnsi" w:eastAsiaTheme="minorHAnsi" w:hAnsiTheme="minorHAnsi" w:cstheme="minorBidi"/>
      <w:sz w:val="22"/>
      <w:szCs w:val="22"/>
      <w:lang w:val="en-GB" w:eastAsia="en-US" w:bidi="ar-SA"/>
    </w:rPr>
  </w:style>
  <w:style w:type="paragraph" w:styleId="Header">
    <w:name w:val="header"/>
    <w:basedOn w:val="Normal"/>
    <w:link w:val="HeaderChar"/>
    <w:uiPriority w:val="99"/>
    <w:unhideWhenUsed/>
    <w:rsid w:val="003B7165"/>
    <w:pPr>
      <w:tabs>
        <w:tab w:val="center" w:pos="4513"/>
        <w:tab w:val="right" w:pos="9026"/>
      </w:tabs>
    </w:pPr>
    <w:rPr>
      <w:rFonts w:asciiTheme="minorHAnsi" w:eastAsiaTheme="minorHAnsi" w:hAnsiTheme="minorHAnsi" w:cstheme="minorBidi"/>
      <w:sz w:val="22"/>
      <w:szCs w:val="22"/>
      <w:lang w:val="en-GB" w:eastAsia="en-US" w:bidi="ar-SA"/>
    </w:rPr>
  </w:style>
  <w:style w:type="character" w:customStyle="1" w:styleId="HeaderChar">
    <w:name w:val="Header Char"/>
    <w:basedOn w:val="DefaultParagraphFont"/>
    <w:link w:val="Header"/>
    <w:uiPriority w:val="99"/>
    <w:rsid w:val="003B7165"/>
  </w:style>
  <w:style w:type="paragraph" w:styleId="Footer">
    <w:name w:val="footer"/>
    <w:basedOn w:val="Normal"/>
    <w:link w:val="FooterChar"/>
    <w:uiPriority w:val="99"/>
    <w:unhideWhenUsed/>
    <w:rsid w:val="003B7165"/>
    <w:pPr>
      <w:tabs>
        <w:tab w:val="center" w:pos="4513"/>
        <w:tab w:val="right" w:pos="9026"/>
      </w:tabs>
    </w:pPr>
    <w:rPr>
      <w:rFonts w:asciiTheme="minorHAnsi" w:eastAsiaTheme="minorHAnsi" w:hAnsiTheme="minorHAnsi" w:cstheme="minorBidi"/>
      <w:sz w:val="22"/>
      <w:szCs w:val="22"/>
      <w:lang w:val="en-GB" w:eastAsia="en-US" w:bidi="ar-SA"/>
    </w:rPr>
  </w:style>
  <w:style w:type="character" w:customStyle="1" w:styleId="FooterChar">
    <w:name w:val="Footer Char"/>
    <w:basedOn w:val="DefaultParagraphFont"/>
    <w:link w:val="Footer"/>
    <w:uiPriority w:val="99"/>
    <w:rsid w:val="003B7165"/>
  </w:style>
  <w:style w:type="character" w:styleId="PageNumber">
    <w:name w:val="page number"/>
    <w:basedOn w:val="DefaultParagraphFont"/>
    <w:uiPriority w:val="99"/>
    <w:semiHidden/>
    <w:unhideWhenUsed/>
    <w:rsid w:val="003B7165"/>
  </w:style>
  <w:style w:type="character" w:customStyle="1" w:styleId="apple-converted-space">
    <w:name w:val="apple-converted-space"/>
    <w:basedOn w:val="DefaultParagraphFont"/>
    <w:rsid w:val="00E40E21"/>
  </w:style>
  <w:style w:type="character" w:styleId="Hyperlink">
    <w:name w:val="Hyperlink"/>
    <w:basedOn w:val="DefaultParagraphFont"/>
    <w:uiPriority w:val="99"/>
    <w:semiHidden/>
    <w:unhideWhenUsed/>
    <w:rsid w:val="00E40E21"/>
    <w:rPr>
      <w:color w:val="0000FF"/>
      <w:u w:val="single"/>
    </w:rPr>
  </w:style>
  <w:style w:type="paragraph" w:styleId="NormalWeb">
    <w:name w:val="Normal (Web)"/>
    <w:basedOn w:val="Normal"/>
    <w:uiPriority w:val="99"/>
    <w:unhideWhenUsed/>
    <w:rsid w:val="00E40E21"/>
    <w:pPr>
      <w:spacing w:before="100" w:beforeAutospacing="1" w:after="100" w:afterAutospacing="1"/>
    </w:pPr>
  </w:style>
  <w:style w:type="character" w:styleId="FollowedHyperlink">
    <w:name w:val="FollowedHyperlink"/>
    <w:basedOn w:val="DefaultParagraphFont"/>
    <w:uiPriority w:val="99"/>
    <w:semiHidden/>
    <w:unhideWhenUsed/>
    <w:rsid w:val="000F57F6"/>
    <w:rPr>
      <w:color w:val="954F72" w:themeColor="followedHyperlink"/>
      <w:u w:val="single"/>
    </w:rPr>
  </w:style>
  <w:style w:type="character" w:customStyle="1" w:styleId="Heading2Char">
    <w:name w:val="Heading 2 Char"/>
    <w:basedOn w:val="DefaultParagraphFont"/>
    <w:link w:val="Heading2"/>
    <w:uiPriority w:val="9"/>
    <w:rsid w:val="00CF23DD"/>
    <w:rPr>
      <w:rFonts w:ascii="Times New Roman" w:eastAsia="Times New Roman" w:hAnsi="Times New Roman" w:cs="Times New Roman"/>
      <w:b/>
      <w:bCs/>
      <w:sz w:val="36"/>
      <w:szCs w:val="36"/>
      <w:lang w:val="en-ZA" w:eastAsia="en-GB" w:bidi="yi-Hebr"/>
    </w:rPr>
  </w:style>
  <w:style w:type="paragraph" w:customStyle="1" w:styleId="western">
    <w:name w:val="western"/>
    <w:basedOn w:val="Normal"/>
    <w:rsid w:val="007209FB"/>
    <w:pPr>
      <w:spacing w:before="100" w:beforeAutospacing="1" w:after="100" w:afterAutospacing="1"/>
    </w:pPr>
  </w:style>
  <w:style w:type="paragraph" w:customStyle="1" w:styleId="onenormal">
    <w:name w:val="one normal"/>
    <w:basedOn w:val="Normal"/>
    <w:qFormat/>
    <w:rsid w:val="000B3EDD"/>
    <w:pPr>
      <w:spacing w:line="360" w:lineRule="auto"/>
      <w:ind w:left="720" w:hanging="720"/>
      <w:jc w:val="both"/>
    </w:pPr>
    <w:rPr>
      <w:rFonts w:ascii="Arial" w:hAnsi="Arial" w:cs="Arial"/>
      <w:sz w:val="20"/>
      <w:szCs w:val="20"/>
      <w:lang w:val="en-IE" w:eastAsia="en-IE" w:bidi="ar-SA"/>
    </w:rPr>
  </w:style>
  <w:style w:type="character" w:styleId="CommentReference">
    <w:name w:val="annotation reference"/>
    <w:basedOn w:val="DefaultParagraphFont"/>
    <w:uiPriority w:val="99"/>
    <w:semiHidden/>
    <w:unhideWhenUsed/>
    <w:rsid w:val="0059033E"/>
    <w:rPr>
      <w:sz w:val="16"/>
      <w:szCs w:val="16"/>
    </w:rPr>
  </w:style>
  <w:style w:type="paragraph" w:styleId="CommentText">
    <w:name w:val="annotation text"/>
    <w:basedOn w:val="Normal"/>
    <w:link w:val="CommentTextChar"/>
    <w:uiPriority w:val="99"/>
    <w:unhideWhenUsed/>
    <w:rsid w:val="0059033E"/>
    <w:rPr>
      <w:sz w:val="20"/>
      <w:szCs w:val="20"/>
    </w:rPr>
  </w:style>
  <w:style w:type="character" w:customStyle="1" w:styleId="CommentTextChar">
    <w:name w:val="Comment Text Char"/>
    <w:basedOn w:val="DefaultParagraphFont"/>
    <w:link w:val="CommentText"/>
    <w:uiPriority w:val="99"/>
    <w:rsid w:val="0059033E"/>
    <w:rPr>
      <w:rFonts w:ascii="Times New Roman" w:eastAsia="Times New Roman" w:hAnsi="Times New Roman" w:cs="Times New Roman"/>
      <w:sz w:val="20"/>
      <w:szCs w:val="20"/>
      <w:lang w:val="en-ZA" w:eastAsia="en-GB" w:bidi="yi-Hebr"/>
    </w:rPr>
  </w:style>
  <w:style w:type="paragraph" w:styleId="CommentSubject">
    <w:name w:val="annotation subject"/>
    <w:basedOn w:val="CommentText"/>
    <w:next w:val="CommentText"/>
    <w:link w:val="CommentSubjectChar"/>
    <w:uiPriority w:val="99"/>
    <w:semiHidden/>
    <w:unhideWhenUsed/>
    <w:rsid w:val="0059033E"/>
    <w:rPr>
      <w:b/>
      <w:bCs/>
    </w:rPr>
  </w:style>
  <w:style w:type="character" w:customStyle="1" w:styleId="CommentSubjectChar">
    <w:name w:val="Comment Subject Char"/>
    <w:basedOn w:val="CommentTextChar"/>
    <w:link w:val="CommentSubject"/>
    <w:uiPriority w:val="99"/>
    <w:semiHidden/>
    <w:rsid w:val="0059033E"/>
    <w:rPr>
      <w:rFonts w:ascii="Times New Roman" w:eastAsia="Times New Roman" w:hAnsi="Times New Roman" w:cs="Times New Roman"/>
      <w:b/>
      <w:bCs/>
      <w:sz w:val="20"/>
      <w:szCs w:val="20"/>
      <w:lang w:val="en-ZA" w:eastAsia="en-GB" w:bidi="yi-Hebr"/>
    </w:rPr>
  </w:style>
  <w:style w:type="paragraph" w:styleId="BalloonText">
    <w:name w:val="Balloon Text"/>
    <w:basedOn w:val="Normal"/>
    <w:link w:val="BalloonTextChar"/>
    <w:uiPriority w:val="99"/>
    <w:semiHidden/>
    <w:unhideWhenUsed/>
    <w:rsid w:val="005903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33E"/>
    <w:rPr>
      <w:rFonts w:ascii="Segoe UI" w:eastAsia="Times New Roman" w:hAnsi="Segoe UI" w:cs="Segoe UI"/>
      <w:sz w:val="18"/>
      <w:szCs w:val="18"/>
      <w:lang w:val="en-ZA" w:eastAsia="en-GB" w:bidi="yi-He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8490">
      <w:bodyDiv w:val="1"/>
      <w:marLeft w:val="0"/>
      <w:marRight w:val="0"/>
      <w:marTop w:val="0"/>
      <w:marBottom w:val="0"/>
      <w:divBdr>
        <w:top w:val="none" w:sz="0" w:space="0" w:color="auto"/>
        <w:left w:val="none" w:sz="0" w:space="0" w:color="auto"/>
        <w:bottom w:val="none" w:sz="0" w:space="0" w:color="auto"/>
        <w:right w:val="none" w:sz="0" w:space="0" w:color="auto"/>
      </w:divBdr>
      <w:divsChild>
        <w:div w:id="1133909979">
          <w:marLeft w:val="0"/>
          <w:marRight w:val="0"/>
          <w:marTop w:val="0"/>
          <w:marBottom w:val="0"/>
          <w:divBdr>
            <w:top w:val="none" w:sz="0" w:space="0" w:color="auto"/>
            <w:left w:val="none" w:sz="0" w:space="0" w:color="auto"/>
            <w:bottom w:val="none" w:sz="0" w:space="0" w:color="auto"/>
            <w:right w:val="none" w:sz="0" w:space="0" w:color="auto"/>
          </w:divBdr>
          <w:divsChild>
            <w:div w:id="134765202">
              <w:marLeft w:val="0"/>
              <w:marRight w:val="0"/>
              <w:marTop w:val="0"/>
              <w:marBottom w:val="0"/>
              <w:divBdr>
                <w:top w:val="none" w:sz="0" w:space="0" w:color="auto"/>
                <w:left w:val="none" w:sz="0" w:space="0" w:color="auto"/>
                <w:bottom w:val="none" w:sz="0" w:space="0" w:color="auto"/>
                <w:right w:val="none" w:sz="0" w:space="0" w:color="auto"/>
              </w:divBdr>
              <w:divsChild>
                <w:div w:id="554123332">
                  <w:marLeft w:val="0"/>
                  <w:marRight w:val="0"/>
                  <w:marTop w:val="0"/>
                  <w:marBottom w:val="0"/>
                  <w:divBdr>
                    <w:top w:val="none" w:sz="0" w:space="0" w:color="auto"/>
                    <w:left w:val="none" w:sz="0" w:space="0" w:color="auto"/>
                    <w:bottom w:val="none" w:sz="0" w:space="0" w:color="auto"/>
                    <w:right w:val="none" w:sz="0" w:space="0" w:color="auto"/>
                  </w:divBdr>
                </w:div>
              </w:divsChild>
            </w:div>
            <w:div w:id="851800931">
              <w:marLeft w:val="0"/>
              <w:marRight w:val="0"/>
              <w:marTop w:val="0"/>
              <w:marBottom w:val="0"/>
              <w:divBdr>
                <w:top w:val="none" w:sz="0" w:space="0" w:color="auto"/>
                <w:left w:val="none" w:sz="0" w:space="0" w:color="auto"/>
                <w:bottom w:val="none" w:sz="0" w:space="0" w:color="auto"/>
                <w:right w:val="none" w:sz="0" w:space="0" w:color="auto"/>
              </w:divBdr>
              <w:divsChild>
                <w:div w:id="8306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98248">
          <w:marLeft w:val="0"/>
          <w:marRight w:val="0"/>
          <w:marTop w:val="0"/>
          <w:marBottom w:val="0"/>
          <w:divBdr>
            <w:top w:val="none" w:sz="0" w:space="0" w:color="auto"/>
            <w:left w:val="none" w:sz="0" w:space="0" w:color="auto"/>
            <w:bottom w:val="none" w:sz="0" w:space="0" w:color="auto"/>
            <w:right w:val="none" w:sz="0" w:space="0" w:color="auto"/>
          </w:divBdr>
          <w:divsChild>
            <w:div w:id="1919702939">
              <w:marLeft w:val="0"/>
              <w:marRight w:val="0"/>
              <w:marTop w:val="0"/>
              <w:marBottom w:val="0"/>
              <w:divBdr>
                <w:top w:val="none" w:sz="0" w:space="0" w:color="auto"/>
                <w:left w:val="none" w:sz="0" w:space="0" w:color="auto"/>
                <w:bottom w:val="none" w:sz="0" w:space="0" w:color="auto"/>
                <w:right w:val="none" w:sz="0" w:space="0" w:color="auto"/>
              </w:divBdr>
              <w:divsChild>
                <w:div w:id="12921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4992">
      <w:bodyDiv w:val="1"/>
      <w:marLeft w:val="0"/>
      <w:marRight w:val="0"/>
      <w:marTop w:val="0"/>
      <w:marBottom w:val="0"/>
      <w:divBdr>
        <w:top w:val="none" w:sz="0" w:space="0" w:color="auto"/>
        <w:left w:val="none" w:sz="0" w:space="0" w:color="auto"/>
        <w:bottom w:val="none" w:sz="0" w:space="0" w:color="auto"/>
        <w:right w:val="none" w:sz="0" w:space="0" w:color="auto"/>
      </w:divBdr>
    </w:div>
    <w:div w:id="57020214">
      <w:bodyDiv w:val="1"/>
      <w:marLeft w:val="0"/>
      <w:marRight w:val="0"/>
      <w:marTop w:val="0"/>
      <w:marBottom w:val="0"/>
      <w:divBdr>
        <w:top w:val="none" w:sz="0" w:space="0" w:color="auto"/>
        <w:left w:val="none" w:sz="0" w:space="0" w:color="auto"/>
        <w:bottom w:val="none" w:sz="0" w:space="0" w:color="auto"/>
        <w:right w:val="none" w:sz="0" w:space="0" w:color="auto"/>
      </w:divBdr>
    </w:div>
    <w:div w:id="87584049">
      <w:bodyDiv w:val="1"/>
      <w:marLeft w:val="0"/>
      <w:marRight w:val="0"/>
      <w:marTop w:val="0"/>
      <w:marBottom w:val="0"/>
      <w:divBdr>
        <w:top w:val="none" w:sz="0" w:space="0" w:color="auto"/>
        <w:left w:val="none" w:sz="0" w:space="0" w:color="auto"/>
        <w:bottom w:val="none" w:sz="0" w:space="0" w:color="auto"/>
        <w:right w:val="none" w:sz="0" w:space="0" w:color="auto"/>
      </w:divBdr>
      <w:divsChild>
        <w:div w:id="223684097">
          <w:marLeft w:val="0"/>
          <w:marRight w:val="0"/>
          <w:marTop w:val="0"/>
          <w:marBottom w:val="0"/>
          <w:divBdr>
            <w:top w:val="none" w:sz="0" w:space="0" w:color="auto"/>
            <w:left w:val="none" w:sz="0" w:space="0" w:color="auto"/>
            <w:bottom w:val="none" w:sz="0" w:space="0" w:color="auto"/>
            <w:right w:val="none" w:sz="0" w:space="0" w:color="auto"/>
          </w:divBdr>
          <w:divsChild>
            <w:div w:id="919749128">
              <w:marLeft w:val="0"/>
              <w:marRight w:val="0"/>
              <w:marTop w:val="0"/>
              <w:marBottom w:val="0"/>
              <w:divBdr>
                <w:top w:val="none" w:sz="0" w:space="0" w:color="auto"/>
                <w:left w:val="none" w:sz="0" w:space="0" w:color="auto"/>
                <w:bottom w:val="none" w:sz="0" w:space="0" w:color="auto"/>
                <w:right w:val="none" w:sz="0" w:space="0" w:color="auto"/>
              </w:divBdr>
              <w:divsChild>
                <w:div w:id="1249771918">
                  <w:marLeft w:val="0"/>
                  <w:marRight w:val="0"/>
                  <w:marTop w:val="0"/>
                  <w:marBottom w:val="0"/>
                  <w:divBdr>
                    <w:top w:val="none" w:sz="0" w:space="0" w:color="auto"/>
                    <w:left w:val="none" w:sz="0" w:space="0" w:color="auto"/>
                    <w:bottom w:val="none" w:sz="0" w:space="0" w:color="auto"/>
                    <w:right w:val="none" w:sz="0" w:space="0" w:color="auto"/>
                  </w:divBdr>
                </w:div>
              </w:divsChild>
            </w:div>
            <w:div w:id="1497569714">
              <w:marLeft w:val="0"/>
              <w:marRight w:val="0"/>
              <w:marTop w:val="0"/>
              <w:marBottom w:val="0"/>
              <w:divBdr>
                <w:top w:val="none" w:sz="0" w:space="0" w:color="auto"/>
                <w:left w:val="none" w:sz="0" w:space="0" w:color="auto"/>
                <w:bottom w:val="none" w:sz="0" w:space="0" w:color="auto"/>
                <w:right w:val="none" w:sz="0" w:space="0" w:color="auto"/>
              </w:divBdr>
              <w:divsChild>
                <w:div w:id="1405640463">
                  <w:marLeft w:val="0"/>
                  <w:marRight w:val="0"/>
                  <w:marTop w:val="0"/>
                  <w:marBottom w:val="0"/>
                  <w:divBdr>
                    <w:top w:val="none" w:sz="0" w:space="0" w:color="auto"/>
                    <w:left w:val="none" w:sz="0" w:space="0" w:color="auto"/>
                    <w:bottom w:val="none" w:sz="0" w:space="0" w:color="auto"/>
                    <w:right w:val="none" w:sz="0" w:space="0" w:color="auto"/>
                  </w:divBdr>
                </w:div>
              </w:divsChild>
            </w:div>
            <w:div w:id="403845151">
              <w:marLeft w:val="0"/>
              <w:marRight w:val="0"/>
              <w:marTop w:val="0"/>
              <w:marBottom w:val="0"/>
              <w:divBdr>
                <w:top w:val="none" w:sz="0" w:space="0" w:color="auto"/>
                <w:left w:val="none" w:sz="0" w:space="0" w:color="auto"/>
                <w:bottom w:val="none" w:sz="0" w:space="0" w:color="auto"/>
                <w:right w:val="none" w:sz="0" w:space="0" w:color="auto"/>
              </w:divBdr>
              <w:divsChild>
                <w:div w:id="1658027361">
                  <w:marLeft w:val="0"/>
                  <w:marRight w:val="0"/>
                  <w:marTop w:val="0"/>
                  <w:marBottom w:val="0"/>
                  <w:divBdr>
                    <w:top w:val="none" w:sz="0" w:space="0" w:color="auto"/>
                    <w:left w:val="none" w:sz="0" w:space="0" w:color="auto"/>
                    <w:bottom w:val="none" w:sz="0" w:space="0" w:color="auto"/>
                    <w:right w:val="none" w:sz="0" w:space="0" w:color="auto"/>
                  </w:divBdr>
                </w:div>
              </w:divsChild>
            </w:div>
            <w:div w:id="708607144">
              <w:marLeft w:val="0"/>
              <w:marRight w:val="0"/>
              <w:marTop w:val="0"/>
              <w:marBottom w:val="0"/>
              <w:divBdr>
                <w:top w:val="none" w:sz="0" w:space="0" w:color="auto"/>
                <w:left w:val="none" w:sz="0" w:space="0" w:color="auto"/>
                <w:bottom w:val="none" w:sz="0" w:space="0" w:color="auto"/>
                <w:right w:val="none" w:sz="0" w:space="0" w:color="auto"/>
              </w:divBdr>
              <w:divsChild>
                <w:div w:id="619145555">
                  <w:marLeft w:val="0"/>
                  <w:marRight w:val="0"/>
                  <w:marTop w:val="0"/>
                  <w:marBottom w:val="0"/>
                  <w:divBdr>
                    <w:top w:val="none" w:sz="0" w:space="0" w:color="auto"/>
                    <w:left w:val="none" w:sz="0" w:space="0" w:color="auto"/>
                    <w:bottom w:val="none" w:sz="0" w:space="0" w:color="auto"/>
                    <w:right w:val="none" w:sz="0" w:space="0" w:color="auto"/>
                  </w:divBdr>
                </w:div>
              </w:divsChild>
            </w:div>
            <w:div w:id="1106196471">
              <w:marLeft w:val="0"/>
              <w:marRight w:val="0"/>
              <w:marTop w:val="0"/>
              <w:marBottom w:val="0"/>
              <w:divBdr>
                <w:top w:val="none" w:sz="0" w:space="0" w:color="auto"/>
                <w:left w:val="none" w:sz="0" w:space="0" w:color="auto"/>
                <w:bottom w:val="none" w:sz="0" w:space="0" w:color="auto"/>
                <w:right w:val="none" w:sz="0" w:space="0" w:color="auto"/>
              </w:divBdr>
              <w:divsChild>
                <w:div w:id="14348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16896">
          <w:marLeft w:val="0"/>
          <w:marRight w:val="0"/>
          <w:marTop w:val="0"/>
          <w:marBottom w:val="0"/>
          <w:divBdr>
            <w:top w:val="none" w:sz="0" w:space="0" w:color="auto"/>
            <w:left w:val="none" w:sz="0" w:space="0" w:color="auto"/>
            <w:bottom w:val="none" w:sz="0" w:space="0" w:color="auto"/>
            <w:right w:val="none" w:sz="0" w:space="0" w:color="auto"/>
          </w:divBdr>
          <w:divsChild>
            <w:div w:id="482350796">
              <w:marLeft w:val="0"/>
              <w:marRight w:val="0"/>
              <w:marTop w:val="0"/>
              <w:marBottom w:val="0"/>
              <w:divBdr>
                <w:top w:val="none" w:sz="0" w:space="0" w:color="auto"/>
                <w:left w:val="none" w:sz="0" w:space="0" w:color="auto"/>
                <w:bottom w:val="none" w:sz="0" w:space="0" w:color="auto"/>
                <w:right w:val="none" w:sz="0" w:space="0" w:color="auto"/>
              </w:divBdr>
              <w:divsChild>
                <w:div w:id="443186656">
                  <w:marLeft w:val="0"/>
                  <w:marRight w:val="0"/>
                  <w:marTop w:val="0"/>
                  <w:marBottom w:val="0"/>
                  <w:divBdr>
                    <w:top w:val="none" w:sz="0" w:space="0" w:color="auto"/>
                    <w:left w:val="none" w:sz="0" w:space="0" w:color="auto"/>
                    <w:bottom w:val="none" w:sz="0" w:space="0" w:color="auto"/>
                    <w:right w:val="none" w:sz="0" w:space="0" w:color="auto"/>
                  </w:divBdr>
                </w:div>
              </w:divsChild>
            </w:div>
            <w:div w:id="909272575">
              <w:marLeft w:val="0"/>
              <w:marRight w:val="0"/>
              <w:marTop w:val="0"/>
              <w:marBottom w:val="0"/>
              <w:divBdr>
                <w:top w:val="none" w:sz="0" w:space="0" w:color="auto"/>
                <w:left w:val="none" w:sz="0" w:space="0" w:color="auto"/>
                <w:bottom w:val="none" w:sz="0" w:space="0" w:color="auto"/>
                <w:right w:val="none" w:sz="0" w:space="0" w:color="auto"/>
              </w:divBdr>
              <w:divsChild>
                <w:div w:id="271668785">
                  <w:marLeft w:val="0"/>
                  <w:marRight w:val="0"/>
                  <w:marTop w:val="0"/>
                  <w:marBottom w:val="0"/>
                  <w:divBdr>
                    <w:top w:val="none" w:sz="0" w:space="0" w:color="auto"/>
                    <w:left w:val="none" w:sz="0" w:space="0" w:color="auto"/>
                    <w:bottom w:val="none" w:sz="0" w:space="0" w:color="auto"/>
                    <w:right w:val="none" w:sz="0" w:space="0" w:color="auto"/>
                  </w:divBdr>
                </w:div>
              </w:divsChild>
            </w:div>
            <w:div w:id="804005448">
              <w:marLeft w:val="0"/>
              <w:marRight w:val="0"/>
              <w:marTop w:val="0"/>
              <w:marBottom w:val="0"/>
              <w:divBdr>
                <w:top w:val="none" w:sz="0" w:space="0" w:color="auto"/>
                <w:left w:val="none" w:sz="0" w:space="0" w:color="auto"/>
                <w:bottom w:val="none" w:sz="0" w:space="0" w:color="auto"/>
                <w:right w:val="none" w:sz="0" w:space="0" w:color="auto"/>
              </w:divBdr>
              <w:divsChild>
                <w:div w:id="187646051">
                  <w:marLeft w:val="0"/>
                  <w:marRight w:val="0"/>
                  <w:marTop w:val="0"/>
                  <w:marBottom w:val="0"/>
                  <w:divBdr>
                    <w:top w:val="none" w:sz="0" w:space="0" w:color="auto"/>
                    <w:left w:val="none" w:sz="0" w:space="0" w:color="auto"/>
                    <w:bottom w:val="none" w:sz="0" w:space="0" w:color="auto"/>
                    <w:right w:val="none" w:sz="0" w:space="0" w:color="auto"/>
                  </w:divBdr>
                </w:div>
              </w:divsChild>
            </w:div>
            <w:div w:id="392386269">
              <w:marLeft w:val="0"/>
              <w:marRight w:val="0"/>
              <w:marTop w:val="0"/>
              <w:marBottom w:val="0"/>
              <w:divBdr>
                <w:top w:val="none" w:sz="0" w:space="0" w:color="auto"/>
                <w:left w:val="none" w:sz="0" w:space="0" w:color="auto"/>
                <w:bottom w:val="none" w:sz="0" w:space="0" w:color="auto"/>
                <w:right w:val="none" w:sz="0" w:space="0" w:color="auto"/>
              </w:divBdr>
              <w:divsChild>
                <w:div w:id="907031622">
                  <w:marLeft w:val="0"/>
                  <w:marRight w:val="0"/>
                  <w:marTop w:val="0"/>
                  <w:marBottom w:val="0"/>
                  <w:divBdr>
                    <w:top w:val="none" w:sz="0" w:space="0" w:color="auto"/>
                    <w:left w:val="none" w:sz="0" w:space="0" w:color="auto"/>
                    <w:bottom w:val="none" w:sz="0" w:space="0" w:color="auto"/>
                    <w:right w:val="none" w:sz="0" w:space="0" w:color="auto"/>
                  </w:divBdr>
                </w:div>
                <w:div w:id="2134711806">
                  <w:marLeft w:val="0"/>
                  <w:marRight w:val="0"/>
                  <w:marTop w:val="0"/>
                  <w:marBottom w:val="0"/>
                  <w:divBdr>
                    <w:top w:val="none" w:sz="0" w:space="0" w:color="auto"/>
                    <w:left w:val="none" w:sz="0" w:space="0" w:color="auto"/>
                    <w:bottom w:val="none" w:sz="0" w:space="0" w:color="auto"/>
                    <w:right w:val="none" w:sz="0" w:space="0" w:color="auto"/>
                  </w:divBdr>
                </w:div>
              </w:divsChild>
            </w:div>
            <w:div w:id="758140251">
              <w:marLeft w:val="0"/>
              <w:marRight w:val="0"/>
              <w:marTop w:val="0"/>
              <w:marBottom w:val="0"/>
              <w:divBdr>
                <w:top w:val="none" w:sz="0" w:space="0" w:color="auto"/>
                <w:left w:val="none" w:sz="0" w:space="0" w:color="auto"/>
                <w:bottom w:val="none" w:sz="0" w:space="0" w:color="auto"/>
                <w:right w:val="none" w:sz="0" w:space="0" w:color="auto"/>
              </w:divBdr>
              <w:divsChild>
                <w:div w:id="1872180522">
                  <w:marLeft w:val="0"/>
                  <w:marRight w:val="0"/>
                  <w:marTop w:val="0"/>
                  <w:marBottom w:val="0"/>
                  <w:divBdr>
                    <w:top w:val="none" w:sz="0" w:space="0" w:color="auto"/>
                    <w:left w:val="none" w:sz="0" w:space="0" w:color="auto"/>
                    <w:bottom w:val="none" w:sz="0" w:space="0" w:color="auto"/>
                    <w:right w:val="none" w:sz="0" w:space="0" w:color="auto"/>
                  </w:divBdr>
                </w:div>
                <w:div w:id="524558356">
                  <w:marLeft w:val="0"/>
                  <w:marRight w:val="0"/>
                  <w:marTop w:val="0"/>
                  <w:marBottom w:val="0"/>
                  <w:divBdr>
                    <w:top w:val="none" w:sz="0" w:space="0" w:color="auto"/>
                    <w:left w:val="none" w:sz="0" w:space="0" w:color="auto"/>
                    <w:bottom w:val="none" w:sz="0" w:space="0" w:color="auto"/>
                    <w:right w:val="none" w:sz="0" w:space="0" w:color="auto"/>
                  </w:divBdr>
                </w:div>
              </w:divsChild>
            </w:div>
            <w:div w:id="1209144496">
              <w:marLeft w:val="0"/>
              <w:marRight w:val="0"/>
              <w:marTop w:val="0"/>
              <w:marBottom w:val="0"/>
              <w:divBdr>
                <w:top w:val="none" w:sz="0" w:space="0" w:color="auto"/>
                <w:left w:val="none" w:sz="0" w:space="0" w:color="auto"/>
                <w:bottom w:val="none" w:sz="0" w:space="0" w:color="auto"/>
                <w:right w:val="none" w:sz="0" w:space="0" w:color="auto"/>
              </w:divBdr>
              <w:divsChild>
                <w:div w:id="692538909">
                  <w:marLeft w:val="0"/>
                  <w:marRight w:val="0"/>
                  <w:marTop w:val="0"/>
                  <w:marBottom w:val="0"/>
                  <w:divBdr>
                    <w:top w:val="none" w:sz="0" w:space="0" w:color="auto"/>
                    <w:left w:val="none" w:sz="0" w:space="0" w:color="auto"/>
                    <w:bottom w:val="none" w:sz="0" w:space="0" w:color="auto"/>
                    <w:right w:val="none" w:sz="0" w:space="0" w:color="auto"/>
                  </w:divBdr>
                </w:div>
              </w:divsChild>
            </w:div>
            <w:div w:id="181238674">
              <w:marLeft w:val="0"/>
              <w:marRight w:val="0"/>
              <w:marTop w:val="0"/>
              <w:marBottom w:val="0"/>
              <w:divBdr>
                <w:top w:val="none" w:sz="0" w:space="0" w:color="auto"/>
                <w:left w:val="none" w:sz="0" w:space="0" w:color="auto"/>
                <w:bottom w:val="none" w:sz="0" w:space="0" w:color="auto"/>
                <w:right w:val="none" w:sz="0" w:space="0" w:color="auto"/>
              </w:divBdr>
              <w:divsChild>
                <w:div w:id="115325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9807">
      <w:bodyDiv w:val="1"/>
      <w:marLeft w:val="0"/>
      <w:marRight w:val="0"/>
      <w:marTop w:val="0"/>
      <w:marBottom w:val="0"/>
      <w:divBdr>
        <w:top w:val="none" w:sz="0" w:space="0" w:color="auto"/>
        <w:left w:val="none" w:sz="0" w:space="0" w:color="auto"/>
        <w:bottom w:val="none" w:sz="0" w:space="0" w:color="auto"/>
        <w:right w:val="none" w:sz="0" w:space="0" w:color="auto"/>
      </w:divBdr>
      <w:divsChild>
        <w:div w:id="585072182">
          <w:marLeft w:val="0"/>
          <w:marRight w:val="0"/>
          <w:marTop w:val="0"/>
          <w:marBottom w:val="0"/>
          <w:divBdr>
            <w:top w:val="none" w:sz="0" w:space="0" w:color="auto"/>
            <w:left w:val="none" w:sz="0" w:space="0" w:color="auto"/>
            <w:bottom w:val="none" w:sz="0" w:space="0" w:color="auto"/>
            <w:right w:val="none" w:sz="0" w:space="0" w:color="auto"/>
          </w:divBdr>
          <w:divsChild>
            <w:div w:id="1341548732">
              <w:marLeft w:val="0"/>
              <w:marRight w:val="0"/>
              <w:marTop w:val="0"/>
              <w:marBottom w:val="0"/>
              <w:divBdr>
                <w:top w:val="none" w:sz="0" w:space="0" w:color="auto"/>
                <w:left w:val="none" w:sz="0" w:space="0" w:color="auto"/>
                <w:bottom w:val="none" w:sz="0" w:space="0" w:color="auto"/>
                <w:right w:val="none" w:sz="0" w:space="0" w:color="auto"/>
              </w:divBdr>
              <w:divsChild>
                <w:div w:id="5832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43837">
      <w:bodyDiv w:val="1"/>
      <w:marLeft w:val="0"/>
      <w:marRight w:val="0"/>
      <w:marTop w:val="0"/>
      <w:marBottom w:val="0"/>
      <w:divBdr>
        <w:top w:val="none" w:sz="0" w:space="0" w:color="auto"/>
        <w:left w:val="none" w:sz="0" w:space="0" w:color="auto"/>
        <w:bottom w:val="none" w:sz="0" w:space="0" w:color="auto"/>
        <w:right w:val="none" w:sz="0" w:space="0" w:color="auto"/>
      </w:divBdr>
    </w:div>
    <w:div w:id="276563499">
      <w:bodyDiv w:val="1"/>
      <w:marLeft w:val="0"/>
      <w:marRight w:val="0"/>
      <w:marTop w:val="0"/>
      <w:marBottom w:val="0"/>
      <w:divBdr>
        <w:top w:val="none" w:sz="0" w:space="0" w:color="auto"/>
        <w:left w:val="none" w:sz="0" w:space="0" w:color="auto"/>
        <w:bottom w:val="none" w:sz="0" w:space="0" w:color="auto"/>
        <w:right w:val="none" w:sz="0" w:space="0" w:color="auto"/>
      </w:divBdr>
    </w:div>
    <w:div w:id="353045352">
      <w:bodyDiv w:val="1"/>
      <w:marLeft w:val="0"/>
      <w:marRight w:val="0"/>
      <w:marTop w:val="0"/>
      <w:marBottom w:val="0"/>
      <w:divBdr>
        <w:top w:val="none" w:sz="0" w:space="0" w:color="auto"/>
        <w:left w:val="none" w:sz="0" w:space="0" w:color="auto"/>
        <w:bottom w:val="none" w:sz="0" w:space="0" w:color="auto"/>
        <w:right w:val="none" w:sz="0" w:space="0" w:color="auto"/>
      </w:divBdr>
    </w:div>
    <w:div w:id="378669634">
      <w:bodyDiv w:val="1"/>
      <w:marLeft w:val="0"/>
      <w:marRight w:val="0"/>
      <w:marTop w:val="0"/>
      <w:marBottom w:val="0"/>
      <w:divBdr>
        <w:top w:val="none" w:sz="0" w:space="0" w:color="auto"/>
        <w:left w:val="none" w:sz="0" w:space="0" w:color="auto"/>
        <w:bottom w:val="none" w:sz="0" w:space="0" w:color="auto"/>
        <w:right w:val="none" w:sz="0" w:space="0" w:color="auto"/>
      </w:divBdr>
    </w:div>
    <w:div w:id="383256308">
      <w:bodyDiv w:val="1"/>
      <w:marLeft w:val="0"/>
      <w:marRight w:val="0"/>
      <w:marTop w:val="0"/>
      <w:marBottom w:val="0"/>
      <w:divBdr>
        <w:top w:val="none" w:sz="0" w:space="0" w:color="auto"/>
        <w:left w:val="none" w:sz="0" w:space="0" w:color="auto"/>
        <w:bottom w:val="none" w:sz="0" w:space="0" w:color="auto"/>
        <w:right w:val="none" w:sz="0" w:space="0" w:color="auto"/>
      </w:divBdr>
      <w:divsChild>
        <w:div w:id="516240395">
          <w:marLeft w:val="0"/>
          <w:marRight w:val="0"/>
          <w:marTop w:val="0"/>
          <w:marBottom w:val="0"/>
          <w:divBdr>
            <w:top w:val="none" w:sz="0" w:space="0" w:color="auto"/>
            <w:left w:val="none" w:sz="0" w:space="0" w:color="auto"/>
            <w:bottom w:val="none" w:sz="0" w:space="0" w:color="auto"/>
            <w:right w:val="none" w:sz="0" w:space="0" w:color="auto"/>
          </w:divBdr>
          <w:divsChild>
            <w:div w:id="429813775">
              <w:marLeft w:val="0"/>
              <w:marRight w:val="0"/>
              <w:marTop w:val="0"/>
              <w:marBottom w:val="0"/>
              <w:divBdr>
                <w:top w:val="none" w:sz="0" w:space="0" w:color="auto"/>
                <w:left w:val="none" w:sz="0" w:space="0" w:color="auto"/>
                <w:bottom w:val="none" w:sz="0" w:space="0" w:color="auto"/>
                <w:right w:val="none" w:sz="0" w:space="0" w:color="auto"/>
              </w:divBdr>
              <w:divsChild>
                <w:div w:id="165807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3653">
      <w:bodyDiv w:val="1"/>
      <w:marLeft w:val="0"/>
      <w:marRight w:val="0"/>
      <w:marTop w:val="0"/>
      <w:marBottom w:val="0"/>
      <w:divBdr>
        <w:top w:val="none" w:sz="0" w:space="0" w:color="auto"/>
        <w:left w:val="none" w:sz="0" w:space="0" w:color="auto"/>
        <w:bottom w:val="none" w:sz="0" w:space="0" w:color="auto"/>
        <w:right w:val="none" w:sz="0" w:space="0" w:color="auto"/>
      </w:divBdr>
    </w:div>
    <w:div w:id="495146465">
      <w:bodyDiv w:val="1"/>
      <w:marLeft w:val="0"/>
      <w:marRight w:val="0"/>
      <w:marTop w:val="0"/>
      <w:marBottom w:val="0"/>
      <w:divBdr>
        <w:top w:val="none" w:sz="0" w:space="0" w:color="auto"/>
        <w:left w:val="none" w:sz="0" w:space="0" w:color="auto"/>
        <w:bottom w:val="none" w:sz="0" w:space="0" w:color="auto"/>
        <w:right w:val="none" w:sz="0" w:space="0" w:color="auto"/>
      </w:divBdr>
    </w:div>
    <w:div w:id="507404925">
      <w:bodyDiv w:val="1"/>
      <w:marLeft w:val="0"/>
      <w:marRight w:val="0"/>
      <w:marTop w:val="0"/>
      <w:marBottom w:val="0"/>
      <w:divBdr>
        <w:top w:val="none" w:sz="0" w:space="0" w:color="auto"/>
        <w:left w:val="none" w:sz="0" w:space="0" w:color="auto"/>
        <w:bottom w:val="none" w:sz="0" w:space="0" w:color="auto"/>
        <w:right w:val="none" w:sz="0" w:space="0" w:color="auto"/>
      </w:divBdr>
    </w:div>
    <w:div w:id="534660910">
      <w:bodyDiv w:val="1"/>
      <w:marLeft w:val="0"/>
      <w:marRight w:val="0"/>
      <w:marTop w:val="0"/>
      <w:marBottom w:val="0"/>
      <w:divBdr>
        <w:top w:val="none" w:sz="0" w:space="0" w:color="auto"/>
        <w:left w:val="none" w:sz="0" w:space="0" w:color="auto"/>
        <w:bottom w:val="none" w:sz="0" w:space="0" w:color="auto"/>
        <w:right w:val="none" w:sz="0" w:space="0" w:color="auto"/>
      </w:divBdr>
    </w:div>
    <w:div w:id="587344741">
      <w:bodyDiv w:val="1"/>
      <w:marLeft w:val="0"/>
      <w:marRight w:val="0"/>
      <w:marTop w:val="0"/>
      <w:marBottom w:val="0"/>
      <w:divBdr>
        <w:top w:val="none" w:sz="0" w:space="0" w:color="auto"/>
        <w:left w:val="none" w:sz="0" w:space="0" w:color="auto"/>
        <w:bottom w:val="none" w:sz="0" w:space="0" w:color="auto"/>
        <w:right w:val="none" w:sz="0" w:space="0" w:color="auto"/>
      </w:divBdr>
    </w:div>
    <w:div w:id="601228470">
      <w:bodyDiv w:val="1"/>
      <w:marLeft w:val="0"/>
      <w:marRight w:val="0"/>
      <w:marTop w:val="0"/>
      <w:marBottom w:val="0"/>
      <w:divBdr>
        <w:top w:val="none" w:sz="0" w:space="0" w:color="auto"/>
        <w:left w:val="none" w:sz="0" w:space="0" w:color="auto"/>
        <w:bottom w:val="none" w:sz="0" w:space="0" w:color="auto"/>
        <w:right w:val="none" w:sz="0" w:space="0" w:color="auto"/>
      </w:divBdr>
      <w:divsChild>
        <w:div w:id="1781491190">
          <w:marLeft w:val="0"/>
          <w:marRight w:val="0"/>
          <w:marTop w:val="0"/>
          <w:marBottom w:val="0"/>
          <w:divBdr>
            <w:top w:val="none" w:sz="0" w:space="0" w:color="auto"/>
            <w:left w:val="none" w:sz="0" w:space="0" w:color="auto"/>
            <w:bottom w:val="none" w:sz="0" w:space="0" w:color="auto"/>
            <w:right w:val="none" w:sz="0" w:space="0" w:color="auto"/>
          </w:divBdr>
          <w:divsChild>
            <w:div w:id="320892278">
              <w:marLeft w:val="0"/>
              <w:marRight w:val="0"/>
              <w:marTop w:val="0"/>
              <w:marBottom w:val="0"/>
              <w:divBdr>
                <w:top w:val="none" w:sz="0" w:space="0" w:color="auto"/>
                <w:left w:val="none" w:sz="0" w:space="0" w:color="auto"/>
                <w:bottom w:val="none" w:sz="0" w:space="0" w:color="auto"/>
                <w:right w:val="none" w:sz="0" w:space="0" w:color="auto"/>
              </w:divBdr>
              <w:divsChild>
                <w:div w:id="7964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184951">
      <w:bodyDiv w:val="1"/>
      <w:marLeft w:val="0"/>
      <w:marRight w:val="0"/>
      <w:marTop w:val="0"/>
      <w:marBottom w:val="0"/>
      <w:divBdr>
        <w:top w:val="none" w:sz="0" w:space="0" w:color="auto"/>
        <w:left w:val="none" w:sz="0" w:space="0" w:color="auto"/>
        <w:bottom w:val="none" w:sz="0" w:space="0" w:color="auto"/>
        <w:right w:val="none" w:sz="0" w:space="0" w:color="auto"/>
      </w:divBdr>
    </w:div>
    <w:div w:id="638345301">
      <w:bodyDiv w:val="1"/>
      <w:marLeft w:val="0"/>
      <w:marRight w:val="0"/>
      <w:marTop w:val="0"/>
      <w:marBottom w:val="0"/>
      <w:divBdr>
        <w:top w:val="none" w:sz="0" w:space="0" w:color="auto"/>
        <w:left w:val="none" w:sz="0" w:space="0" w:color="auto"/>
        <w:bottom w:val="none" w:sz="0" w:space="0" w:color="auto"/>
        <w:right w:val="none" w:sz="0" w:space="0" w:color="auto"/>
      </w:divBdr>
    </w:div>
    <w:div w:id="644890281">
      <w:bodyDiv w:val="1"/>
      <w:marLeft w:val="0"/>
      <w:marRight w:val="0"/>
      <w:marTop w:val="0"/>
      <w:marBottom w:val="0"/>
      <w:divBdr>
        <w:top w:val="none" w:sz="0" w:space="0" w:color="auto"/>
        <w:left w:val="none" w:sz="0" w:space="0" w:color="auto"/>
        <w:bottom w:val="none" w:sz="0" w:space="0" w:color="auto"/>
        <w:right w:val="none" w:sz="0" w:space="0" w:color="auto"/>
      </w:divBdr>
      <w:divsChild>
        <w:div w:id="1168710265">
          <w:marLeft w:val="0"/>
          <w:marRight w:val="0"/>
          <w:marTop w:val="0"/>
          <w:marBottom w:val="0"/>
          <w:divBdr>
            <w:top w:val="none" w:sz="0" w:space="0" w:color="auto"/>
            <w:left w:val="none" w:sz="0" w:space="0" w:color="auto"/>
            <w:bottom w:val="none" w:sz="0" w:space="0" w:color="auto"/>
            <w:right w:val="none" w:sz="0" w:space="0" w:color="auto"/>
          </w:divBdr>
          <w:divsChild>
            <w:div w:id="1741516873">
              <w:marLeft w:val="0"/>
              <w:marRight w:val="0"/>
              <w:marTop w:val="0"/>
              <w:marBottom w:val="0"/>
              <w:divBdr>
                <w:top w:val="none" w:sz="0" w:space="0" w:color="auto"/>
                <w:left w:val="none" w:sz="0" w:space="0" w:color="auto"/>
                <w:bottom w:val="none" w:sz="0" w:space="0" w:color="auto"/>
                <w:right w:val="none" w:sz="0" w:space="0" w:color="auto"/>
              </w:divBdr>
              <w:divsChild>
                <w:div w:id="193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867490">
      <w:bodyDiv w:val="1"/>
      <w:marLeft w:val="0"/>
      <w:marRight w:val="0"/>
      <w:marTop w:val="0"/>
      <w:marBottom w:val="0"/>
      <w:divBdr>
        <w:top w:val="none" w:sz="0" w:space="0" w:color="auto"/>
        <w:left w:val="none" w:sz="0" w:space="0" w:color="auto"/>
        <w:bottom w:val="none" w:sz="0" w:space="0" w:color="auto"/>
        <w:right w:val="none" w:sz="0" w:space="0" w:color="auto"/>
      </w:divBdr>
      <w:divsChild>
        <w:div w:id="1983851060">
          <w:marLeft w:val="0"/>
          <w:marRight w:val="0"/>
          <w:marTop w:val="0"/>
          <w:marBottom w:val="0"/>
          <w:divBdr>
            <w:top w:val="none" w:sz="0" w:space="0" w:color="auto"/>
            <w:left w:val="none" w:sz="0" w:space="0" w:color="auto"/>
            <w:bottom w:val="none" w:sz="0" w:space="0" w:color="auto"/>
            <w:right w:val="none" w:sz="0" w:space="0" w:color="auto"/>
          </w:divBdr>
          <w:divsChild>
            <w:div w:id="1395740270">
              <w:marLeft w:val="0"/>
              <w:marRight w:val="0"/>
              <w:marTop w:val="0"/>
              <w:marBottom w:val="0"/>
              <w:divBdr>
                <w:top w:val="none" w:sz="0" w:space="0" w:color="auto"/>
                <w:left w:val="none" w:sz="0" w:space="0" w:color="auto"/>
                <w:bottom w:val="none" w:sz="0" w:space="0" w:color="auto"/>
                <w:right w:val="none" w:sz="0" w:space="0" w:color="auto"/>
              </w:divBdr>
              <w:divsChild>
                <w:div w:id="205431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135924">
      <w:bodyDiv w:val="1"/>
      <w:marLeft w:val="0"/>
      <w:marRight w:val="0"/>
      <w:marTop w:val="0"/>
      <w:marBottom w:val="0"/>
      <w:divBdr>
        <w:top w:val="none" w:sz="0" w:space="0" w:color="auto"/>
        <w:left w:val="none" w:sz="0" w:space="0" w:color="auto"/>
        <w:bottom w:val="none" w:sz="0" w:space="0" w:color="auto"/>
        <w:right w:val="none" w:sz="0" w:space="0" w:color="auto"/>
      </w:divBdr>
      <w:divsChild>
        <w:div w:id="1097405062">
          <w:marLeft w:val="0"/>
          <w:marRight w:val="0"/>
          <w:marTop w:val="0"/>
          <w:marBottom w:val="0"/>
          <w:divBdr>
            <w:top w:val="none" w:sz="0" w:space="0" w:color="auto"/>
            <w:left w:val="none" w:sz="0" w:space="0" w:color="auto"/>
            <w:bottom w:val="none" w:sz="0" w:space="0" w:color="auto"/>
            <w:right w:val="none" w:sz="0" w:space="0" w:color="auto"/>
          </w:divBdr>
          <w:divsChild>
            <w:div w:id="163282838">
              <w:marLeft w:val="0"/>
              <w:marRight w:val="0"/>
              <w:marTop w:val="0"/>
              <w:marBottom w:val="0"/>
              <w:divBdr>
                <w:top w:val="none" w:sz="0" w:space="0" w:color="auto"/>
                <w:left w:val="none" w:sz="0" w:space="0" w:color="auto"/>
                <w:bottom w:val="none" w:sz="0" w:space="0" w:color="auto"/>
                <w:right w:val="none" w:sz="0" w:space="0" w:color="auto"/>
              </w:divBdr>
              <w:divsChild>
                <w:div w:id="80689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81620">
      <w:bodyDiv w:val="1"/>
      <w:marLeft w:val="0"/>
      <w:marRight w:val="0"/>
      <w:marTop w:val="0"/>
      <w:marBottom w:val="0"/>
      <w:divBdr>
        <w:top w:val="none" w:sz="0" w:space="0" w:color="auto"/>
        <w:left w:val="none" w:sz="0" w:space="0" w:color="auto"/>
        <w:bottom w:val="none" w:sz="0" w:space="0" w:color="auto"/>
        <w:right w:val="none" w:sz="0" w:space="0" w:color="auto"/>
      </w:divBdr>
    </w:div>
    <w:div w:id="763964710">
      <w:bodyDiv w:val="1"/>
      <w:marLeft w:val="0"/>
      <w:marRight w:val="0"/>
      <w:marTop w:val="0"/>
      <w:marBottom w:val="0"/>
      <w:divBdr>
        <w:top w:val="none" w:sz="0" w:space="0" w:color="auto"/>
        <w:left w:val="none" w:sz="0" w:space="0" w:color="auto"/>
        <w:bottom w:val="none" w:sz="0" w:space="0" w:color="auto"/>
        <w:right w:val="none" w:sz="0" w:space="0" w:color="auto"/>
      </w:divBdr>
      <w:divsChild>
        <w:div w:id="1949387866">
          <w:marLeft w:val="0"/>
          <w:marRight w:val="0"/>
          <w:marTop w:val="0"/>
          <w:marBottom w:val="0"/>
          <w:divBdr>
            <w:top w:val="none" w:sz="0" w:space="0" w:color="auto"/>
            <w:left w:val="none" w:sz="0" w:space="0" w:color="auto"/>
            <w:bottom w:val="none" w:sz="0" w:space="0" w:color="auto"/>
            <w:right w:val="none" w:sz="0" w:space="0" w:color="auto"/>
          </w:divBdr>
          <w:divsChild>
            <w:div w:id="2146577304">
              <w:marLeft w:val="0"/>
              <w:marRight w:val="0"/>
              <w:marTop w:val="0"/>
              <w:marBottom w:val="0"/>
              <w:divBdr>
                <w:top w:val="none" w:sz="0" w:space="0" w:color="auto"/>
                <w:left w:val="none" w:sz="0" w:space="0" w:color="auto"/>
                <w:bottom w:val="none" w:sz="0" w:space="0" w:color="auto"/>
                <w:right w:val="none" w:sz="0" w:space="0" w:color="auto"/>
              </w:divBdr>
              <w:divsChild>
                <w:div w:id="132489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38913">
      <w:bodyDiv w:val="1"/>
      <w:marLeft w:val="0"/>
      <w:marRight w:val="0"/>
      <w:marTop w:val="0"/>
      <w:marBottom w:val="0"/>
      <w:divBdr>
        <w:top w:val="none" w:sz="0" w:space="0" w:color="auto"/>
        <w:left w:val="none" w:sz="0" w:space="0" w:color="auto"/>
        <w:bottom w:val="none" w:sz="0" w:space="0" w:color="auto"/>
        <w:right w:val="none" w:sz="0" w:space="0" w:color="auto"/>
      </w:divBdr>
    </w:div>
    <w:div w:id="879322058">
      <w:bodyDiv w:val="1"/>
      <w:marLeft w:val="0"/>
      <w:marRight w:val="0"/>
      <w:marTop w:val="0"/>
      <w:marBottom w:val="0"/>
      <w:divBdr>
        <w:top w:val="none" w:sz="0" w:space="0" w:color="auto"/>
        <w:left w:val="none" w:sz="0" w:space="0" w:color="auto"/>
        <w:bottom w:val="none" w:sz="0" w:space="0" w:color="auto"/>
        <w:right w:val="none" w:sz="0" w:space="0" w:color="auto"/>
      </w:divBdr>
    </w:div>
    <w:div w:id="899052876">
      <w:bodyDiv w:val="1"/>
      <w:marLeft w:val="0"/>
      <w:marRight w:val="0"/>
      <w:marTop w:val="0"/>
      <w:marBottom w:val="0"/>
      <w:divBdr>
        <w:top w:val="none" w:sz="0" w:space="0" w:color="auto"/>
        <w:left w:val="none" w:sz="0" w:space="0" w:color="auto"/>
        <w:bottom w:val="none" w:sz="0" w:space="0" w:color="auto"/>
        <w:right w:val="none" w:sz="0" w:space="0" w:color="auto"/>
      </w:divBdr>
      <w:divsChild>
        <w:div w:id="1521772242">
          <w:marLeft w:val="0"/>
          <w:marRight w:val="0"/>
          <w:marTop w:val="0"/>
          <w:marBottom w:val="0"/>
          <w:divBdr>
            <w:top w:val="none" w:sz="0" w:space="0" w:color="auto"/>
            <w:left w:val="none" w:sz="0" w:space="0" w:color="auto"/>
            <w:bottom w:val="none" w:sz="0" w:space="0" w:color="auto"/>
            <w:right w:val="none" w:sz="0" w:space="0" w:color="auto"/>
          </w:divBdr>
          <w:divsChild>
            <w:div w:id="1948004057">
              <w:marLeft w:val="0"/>
              <w:marRight w:val="0"/>
              <w:marTop w:val="0"/>
              <w:marBottom w:val="0"/>
              <w:divBdr>
                <w:top w:val="none" w:sz="0" w:space="0" w:color="auto"/>
                <w:left w:val="none" w:sz="0" w:space="0" w:color="auto"/>
                <w:bottom w:val="none" w:sz="0" w:space="0" w:color="auto"/>
                <w:right w:val="none" w:sz="0" w:space="0" w:color="auto"/>
              </w:divBdr>
              <w:divsChild>
                <w:div w:id="4958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036186">
      <w:bodyDiv w:val="1"/>
      <w:marLeft w:val="0"/>
      <w:marRight w:val="0"/>
      <w:marTop w:val="0"/>
      <w:marBottom w:val="0"/>
      <w:divBdr>
        <w:top w:val="none" w:sz="0" w:space="0" w:color="auto"/>
        <w:left w:val="none" w:sz="0" w:space="0" w:color="auto"/>
        <w:bottom w:val="none" w:sz="0" w:space="0" w:color="auto"/>
        <w:right w:val="none" w:sz="0" w:space="0" w:color="auto"/>
      </w:divBdr>
    </w:div>
    <w:div w:id="956371865">
      <w:bodyDiv w:val="1"/>
      <w:marLeft w:val="0"/>
      <w:marRight w:val="0"/>
      <w:marTop w:val="0"/>
      <w:marBottom w:val="0"/>
      <w:divBdr>
        <w:top w:val="none" w:sz="0" w:space="0" w:color="auto"/>
        <w:left w:val="none" w:sz="0" w:space="0" w:color="auto"/>
        <w:bottom w:val="none" w:sz="0" w:space="0" w:color="auto"/>
        <w:right w:val="none" w:sz="0" w:space="0" w:color="auto"/>
      </w:divBdr>
    </w:div>
    <w:div w:id="972250179">
      <w:bodyDiv w:val="1"/>
      <w:marLeft w:val="0"/>
      <w:marRight w:val="0"/>
      <w:marTop w:val="0"/>
      <w:marBottom w:val="0"/>
      <w:divBdr>
        <w:top w:val="none" w:sz="0" w:space="0" w:color="auto"/>
        <w:left w:val="none" w:sz="0" w:space="0" w:color="auto"/>
        <w:bottom w:val="none" w:sz="0" w:space="0" w:color="auto"/>
        <w:right w:val="none" w:sz="0" w:space="0" w:color="auto"/>
      </w:divBdr>
    </w:div>
    <w:div w:id="974335798">
      <w:bodyDiv w:val="1"/>
      <w:marLeft w:val="0"/>
      <w:marRight w:val="0"/>
      <w:marTop w:val="0"/>
      <w:marBottom w:val="0"/>
      <w:divBdr>
        <w:top w:val="none" w:sz="0" w:space="0" w:color="auto"/>
        <w:left w:val="none" w:sz="0" w:space="0" w:color="auto"/>
        <w:bottom w:val="none" w:sz="0" w:space="0" w:color="auto"/>
        <w:right w:val="none" w:sz="0" w:space="0" w:color="auto"/>
      </w:divBdr>
      <w:divsChild>
        <w:div w:id="1826966430">
          <w:marLeft w:val="0"/>
          <w:marRight w:val="0"/>
          <w:marTop w:val="0"/>
          <w:marBottom w:val="0"/>
          <w:divBdr>
            <w:top w:val="none" w:sz="0" w:space="0" w:color="auto"/>
            <w:left w:val="none" w:sz="0" w:space="0" w:color="auto"/>
            <w:bottom w:val="none" w:sz="0" w:space="0" w:color="auto"/>
            <w:right w:val="none" w:sz="0" w:space="0" w:color="auto"/>
          </w:divBdr>
          <w:divsChild>
            <w:div w:id="1597052114">
              <w:marLeft w:val="0"/>
              <w:marRight w:val="0"/>
              <w:marTop w:val="0"/>
              <w:marBottom w:val="0"/>
              <w:divBdr>
                <w:top w:val="none" w:sz="0" w:space="0" w:color="auto"/>
                <w:left w:val="none" w:sz="0" w:space="0" w:color="auto"/>
                <w:bottom w:val="none" w:sz="0" w:space="0" w:color="auto"/>
                <w:right w:val="none" w:sz="0" w:space="0" w:color="auto"/>
              </w:divBdr>
              <w:divsChild>
                <w:div w:id="914708288">
                  <w:marLeft w:val="0"/>
                  <w:marRight w:val="0"/>
                  <w:marTop w:val="0"/>
                  <w:marBottom w:val="0"/>
                  <w:divBdr>
                    <w:top w:val="none" w:sz="0" w:space="0" w:color="auto"/>
                    <w:left w:val="none" w:sz="0" w:space="0" w:color="auto"/>
                    <w:bottom w:val="none" w:sz="0" w:space="0" w:color="auto"/>
                    <w:right w:val="none" w:sz="0" w:space="0" w:color="auto"/>
                  </w:divBdr>
                </w:div>
              </w:divsChild>
            </w:div>
            <w:div w:id="1394235097">
              <w:marLeft w:val="0"/>
              <w:marRight w:val="0"/>
              <w:marTop w:val="0"/>
              <w:marBottom w:val="0"/>
              <w:divBdr>
                <w:top w:val="none" w:sz="0" w:space="0" w:color="auto"/>
                <w:left w:val="none" w:sz="0" w:space="0" w:color="auto"/>
                <w:bottom w:val="none" w:sz="0" w:space="0" w:color="auto"/>
                <w:right w:val="none" w:sz="0" w:space="0" w:color="auto"/>
              </w:divBdr>
              <w:divsChild>
                <w:div w:id="14884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19333">
          <w:marLeft w:val="0"/>
          <w:marRight w:val="0"/>
          <w:marTop w:val="0"/>
          <w:marBottom w:val="0"/>
          <w:divBdr>
            <w:top w:val="none" w:sz="0" w:space="0" w:color="auto"/>
            <w:left w:val="none" w:sz="0" w:space="0" w:color="auto"/>
            <w:bottom w:val="none" w:sz="0" w:space="0" w:color="auto"/>
            <w:right w:val="none" w:sz="0" w:space="0" w:color="auto"/>
          </w:divBdr>
          <w:divsChild>
            <w:div w:id="438260433">
              <w:marLeft w:val="0"/>
              <w:marRight w:val="0"/>
              <w:marTop w:val="0"/>
              <w:marBottom w:val="0"/>
              <w:divBdr>
                <w:top w:val="none" w:sz="0" w:space="0" w:color="auto"/>
                <w:left w:val="none" w:sz="0" w:space="0" w:color="auto"/>
                <w:bottom w:val="none" w:sz="0" w:space="0" w:color="auto"/>
                <w:right w:val="none" w:sz="0" w:space="0" w:color="auto"/>
              </w:divBdr>
              <w:divsChild>
                <w:div w:id="219101632">
                  <w:marLeft w:val="0"/>
                  <w:marRight w:val="0"/>
                  <w:marTop w:val="0"/>
                  <w:marBottom w:val="0"/>
                  <w:divBdr>
                    <w:top w:val="none" w:sz="0" w:space="0" w:color="auto"/>
                    <w:left w:val="none" w:sz="0" w:space="0" w:color="auto"/>
                    <w:bottom w:val="none" w:sz="0" w:space="0" w:color="auto"/>
                    <w:right w:val="none" w:sz="0" w:space="0" w:color="auto"/>
                  </w:divBdr>
                </w:div>
              </w:divsChild>
            </w:div>
            <w:div w:id="2018337878">
              <w:marLeft w:val="0"/>
              <w:marRight w:val="0"/>
              <w:marTop w:val="0"/>
              <w:marBottom w:val="0"/>
              <w:divBdr>
                <w:top w:val="none" w:sz="0" w:space="0" w:color="auto"/>
                <w:left w:val="none" w:sz="0" w:space="0" w:color="auto"/>
                <w:bottom w:val="none" w:sz="0" w:space="0" w:color="auto"/>
                <w:right w:val="none" w:sz="0" w:space="0" w:color="auto"/>
              </w:divBdr>
              <w:divsChild>
                <w:div w:id="72904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06246">
      <w:bodyDiv w:val="1"/>
      <w:marLeft w:val="0"/>
      <w:marRight w:val="0"/>
      <w:marTop w:val="0"/>
      <w:marBottom w:val="0"/>
      <w:divBdr>
        <w:top w:val="none" w:sz="0" w:space="0" w:color="auto"/>
        <w:left w:val="none" w:sz="0" w:space="0" w:color="auto"/>
        <w:bottom w:val="none" w:sz="0" w:space="0" w:color="auto"/>
        <w:right w:val="none" w:sz="0" w:space="0" w:color="auto"/>
      </w:divBdr>
    </w:div>
    <w:div w:id="1060329178">
      <w:bodyDiv w:val="1"/>
      <w:marLeft w:val="0"/>
      <w:marRight w:val="0"/>
      <w:marTop w:val="0"/>
      <w:marBottom w:val="0"/>
      <w:divBdr>
        <w:top w:val="none" w:sz="0" w:space="0" w:color="auto"/>
        <w:left w:val="none" w:sz="0" w:space="0" w:color="auto"/>
        <w:bottom w:val="none" w:sz="0" w:space="0" w:color="auto"/>
        <w:right w:val="none" w:sz="0" w:space="0" w:color="auto"/>
      </w:divBdr>
    </w:div>
    <w:div w:id="1090125876">
      <w:bodyDiv w:val="1"/>
      <w:marLeft w:val="0"/>
      <w:marRight w:val="0"/>
      <w:marTop w:val="0"/>
      <w:marBottom w:val="0"/>
      <w:divBdr>
        <w:top w:val="none" w:sz="0" w:space="0" w:color="auto"/>
        <w:left w:val="none" w:sz="0" w:space="0" w:color="auto"/>
        <w:bottom w:val="none" w:sz="0" w:space="0" w:color="auto"/>
        <w:right w:val="none" w:sz="0" w:space="0" w:color="auto"/>
      </w:divBdr>
    </w:div>
    <w:div w:id="1092123346">
      <w:bodyDiv w:val="1"/>
      <w:marLeft w:val="0"/>
      <w:marRight w:val="0"/>
      <w:marTop w:val="0"/>
      <w:marBottom w:val="0"/>
      <w:divBdr>
        <w:top w:val="none" w:sz="0" w:space="0" w:color="auto"/>
        <w:left w:val="none" w:sz="0" w:space="0" w:color="auto"/>
        <w:bottom w:val="none" w:sz="0" w:space="0" w:color="auto"/>
        <w:right w:val="none" w:sz="0" w:space="0" w:color="auto"/>
      </w:divBdr>
    </w:div>
    <w:div w:id="1116603663">
      <w:bodyDiv w:val="1"/>
      <w:marLeft w:val="0"/>
      <w:marRight w:val="0"/>
      <w:marTop w:val="0"/>
      <w:marBottom w:val="0"/>
      <w:divBdr>
        <w:top w:val="none" w:sz="0" w:space="0" w:color="auto"/>
        <w:left w:val="none" w:sz="0" w:space="0" w:color="auto"/>
        <w:bottom w:val="none" w:sz="0" w:space="0" w:color="auto"/>
        <w:right w:val="none" w:sz="0" w:space="0" w:color="auto"/>
      </w:divBdr>
    </w:div>
    <w:div w:id="1149710156">
      <w:bodyDiv w:val="1"/>
      <w:marLeft w:val="0"/>
      <w:marRight w:val="0"/>
      <w:marTop w:val="0"/>
      <w:marBottom w:val="0"/>
      <w:divBdr>
        <w:top w:val="none" w:sz="0" w:space="0" w:color="auto"/>
        <w:left w:val="none" w:sz="0" w:space="0" w:color="auto"/>
        <w:bottom w:val="none" w:sz="0" w:space="0" w:color="auto"/>
        <w:right w:val="none" w:sz="0" w:space="0" w:color="auto"/>
      </w:divBdr>
    </w:div>
    <w:div w:id="1152798397">
      <w:bodyDiv w:val="1"/>
      <w:marLeft w:val="0"/>
      <w:marRight w:val="0"/>
      <w:marTop w:val="0"/>
      <w:marBottom w:val="0"/>
      <w:divBdr>
        <w:top w:val="none" w:sz="0" w:space="0" w:color="auto"/>
        <w:left w:val="none" w:sz="0" w:space="0" w:color="auto"/>
        <w:bottom w:val="none" w:sz="0" w:space="0" w:color="auto"/>
        <w:right w:val="none" w:sz="0" w:space="0" w:color="auto"/>
      </w:divBdr>
    </w:div>
    <w:div w:id="1164205826">
      <w:bodyDiv w:val="1"/>
      <w:marLeft w:val="0"/>
      <w:marRight w:val="0"/>
      <w:marTop w:val="0"/>
      <w:marBottom w:val="0"/>
      <w:divBdr>
        <w:top w:val="none" w:sz="0" w:space="0" w:color="auto"/>
        <w:left w:val="none" w:sz="0" w:space="0" w:color="auto"/>
        <w:bottom w:val="none" w:sz="0" w:space="0" w:color="auto"/>
        <w:right w:val="none" w:sz="0" w:space="0" w:color="auto"/>
      </w:divBdr>
      <w:divsChild>
        <w:div w:id="2048095733">
          <w:marLeft w:val="0"/>
          <w:marRight w:val="0"/>
          <w:marTop w:val="0"/>
          <w:marBottom w:val="0"/>
          <w:divBdr>
            <w:top w:val="none" w:sz="0" w:space="0" w:color="auto"/>
            <w:left w:val="none" w:sz="0" w:space="0" w:color="auto"/>
            <w:bottom w:val="none" w:sz="0" w:space="0" w:color="auto"/>
            <w:right w:val="none" w:sz="0" w:space="0" w:color="auto"/>
          </w:divBdr>
          <w:divsChild>
            <w:div w:id="71778565">
              <w:marLeft w:val="0"/>
              <w:marRight w:val="0"/>
              <w:marTop w:val="0"/>
              <w:marBottom w:val="0"/>
              <w:divBdr>
                <w:top w:val="none" w:sz="0" w:space="0" w:color="auto"/>
                <w:left w:val="none" w:sz="0" w:space="0" w:color="auto"/>
                <w:bottom w:val="none" w:sz="0" w:space="0" w:color="auto"/>
                <w:right w:val="none" w:sz="0" w:space="0" w:color="auto"/>
              </w:divBdr>
              <w:divsChild>
                <w:div w:id="31414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01337">
          <w:marLeft w:val="0"/>
          <w:marRight w:val="0"/>
          <w:marTop w:val="0"/>
          <w:marBottom w:val="0"/>
          <w:divBdr>
            <w:top w:val="none" w:sz="0" w:space="0" w:color="auto"/>
            <w:left w:val="none" w:sz="0" w:space="0" w:color="auto"/>
            <w:bottom w:val="none" w:sz="0" w:space="0" w:color="auto"/>
            <w:right w:val="none" w:sz="0" w:space="0" w:color="auto"/>
          </w:divBdr>
          <w:divsChild>
            <w:div w:id="788551494">
              <w:marLeft w:val="0"/>
              <w:marRight w:val="0"/>
              <w:marTop w:val="0"/>
              <w:marBottom w:val="0"/>
              <w:divBdr>
                <w:top w:val="none" w:sz="0" w:space="0" w:color="auto"/>
                <w:left w:val="none" w:sz="0" w:space="0" w:color="auto"/>
                <w:bottom w:val="none" w:sz="0" w:space="0" w:color="auto"/>
                <w:right w:val="none" w:sz="0" w:space="0" w:color="auto"/>
              </w:divBdr>
              <w:divsChild>
                <w:div w:id="188614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504625">
      <w:bodyDiv w:val="1"/>
      <w:marLeft w:val="0"/>
      <w:marRight w:val="0"/>
      <w:marTop w:val="0"/>
      <w:marBottom w:val="0"/>
      <w:divBdr>
        <w:top w:val="none" w:sz="0" w:space="0" w:color="auto"/>
        <w:left w:val="none" w:sz="0" w:space="0" w:color="auto"/>
        <w:bottom w:val="none" w:sz="0" w:space="0" w:color="auto"/>
        <w:right w:val="none" w:sz="0" w:space="0" w:color="auto"/>
      </w:divBdr>
    </w:div>
    <w:div w:id="1185052850">
      <w:bodyDiv w:val="1"/>
      <w:marLeft w:val="0"/>
      <w:marRight w:val="0"/>
      <w:marTop w:val="0"/>
      <w:marBottom w:val="0"/>
      <w:divBdr>
        <w:top w:val="none" w:sz="0" w:space="0" w:color="auto"/>
        <w:left w:val="none" w:sz="0" w:space="0" w:color="auto"/>
        <w:bottom w:val="none" w:sz="0" w:space="0" w:color="auto"/>
        <w:right w:val="none" w:sz="0" w:space="0" w:color="auto"/>
      </w:divBdr>
    </w:div>
    <w:div w:id="1190678516">
      <w:bodyDiv w:val="1"/>
      <w:marLeft w:val="0"/>
      <w:marRight w:val="0"/>
      <w:marTop w:val="0"/>
      <w:marBottom w:val="0"/>
      <w:divBdr>
        <w:top w:val="none" w:sz="0" w:space="0" w:color="auto"/>
        <w:left w:val="none" w:sz="0" w:space="0" w:color="auto"/>
        <w:bottom w:val="none" w:sz="0" w:space="0" w:color="auto"/>
        <w:right w:val="none" w:sz="0" w:space="0" w:color="auto"/>
      </w:divBdr>
    </w:div>
    <w:div w:id="1201476937">
      <w:bodyDiv w:val="1"/>
      <w:marLeft w:val="0"/>
      <w:marRight w:val="0"/>
      <w:marTop w:val="0"/>
      <w:marBottom w:val="0"/>
      <w:divBdr>
        <w:top w:val="none" w:sz="0" w:space="0" w:color="auto"/>
        <w:left w:val="none" w:sz="0" w:space="0" w:color="auto"/>
        <w:bottom w:val="none" w:sz="0" w:space="0" w:color="auto"/>
        <w:right w:val="none" w:sz="0" w:space="0" w:color="auto"/>
      </w:divBdr>
      <w:divsChild>
        <w:div w:id="1388143191">
          <w:marLeft w:val="0"/>
          <w:marRight w:val="0"/>
          <w:marTop w:val="0"/>
          <w:marBottom w:val="0"/>
          <w:divBdr>
            <w:top w:val="none" w:sz="0" w:space="0" w:color="auto"/>
            <w:left w:val="none" w:sz="0" w:space="0" w:color="auto"/>
            <w:bottom w:val="none" w:sz="0" w:space="0" w:color="auto"/>
            <w:right w:val="none" w:sz="0" w:space="0" w:color="auto"/>
          </w:divBdr>
          <w:divsChild>
            <w:div w:id="1883246375">
              <w:marLeft w:val="0"/>
              <w:marRight w:val="0"/>
              <w:marTop w:val="0"/>
              <w:marBottom w:val="0"/>
              <w:divBdr>
                <w:top w:val="none" w:sz="0" w:space="0" w:color="auto"/>
                <w:left w:val="none" w:sz="0" w:space="0" w:color="auto"/>
                <w:bottom w:val="none" w:sz="0" w:space="0" w:color="auto"/>
                <w:right w:val="none" w:sz="0" w:space="0" w:color="auto"/>
              </w:divBdr>
              <w:divsChild>
                <w:div w:id="12792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939132">
      <w:bodyDiv w:val="1"/>
      <w:marLeft w:val="0"/>
      <w:marRight w:val="0"/>
      <w:marTop w:val="0"/>
      <w:marBottom w:val="0"/>
      <w:divBdr>
        <w:top w:val="none" w:sz="0" w:space="0" w:color="auto"/>
        <w:left w:val="none" w:sz="0" w:space="0" w:color="auto"/>
        <w:bottom w:val="none" w:sz="0" w:space="0" w:color="auto"/>
        <w:right w:val="none" w:sz="0" w:space="0" w:color="auto"/>
      </w:divBdr>
    </w:div>
    <w:div w:id="1203666491">
      <w:bodyDiv w:val="1"/>
      <w:marLeft w:val="0"/>
      <w:marRight w:val="0"/>
      <w:marTop w:val="0"/>
      <w:marBottom w:val="0"/>
      <w:divBdr>
        <w:top w:val="none" w:sz="0" w:space="0" w:color="auto"/>
        <w:left w:val="none" w:sz="0" w:space="0" w:color="auto"/>
        <w:bottom w:val="none" w:sz="0" w:space="0" w:color="auto"/>
        <w:right w:val="none" w:sz="0" w:space="0" w:color="auto"/>
      </w:divBdr>
    </w:div>
    <w:div w:id="1256938513">
      <w:bodyDiv w:val="1"/>
      <w:marLeft w:val="0"/>
      <w:marRight w:val="0"/>
      <w:marTop w:val="0"/>
      <w:marBottom w:val="0"/>
      <w:divBdr>
        <w:top w:val="none" w:sz="0" w:space="0" w:color="auto"/>
        <w:left w:val="none" w:sz="0" w:space="0" w:color="auto"/>
        <w:bottom w:val="none" w:sz="0" w:space="0" w:color="auto"/>
        <w:right w:val="none" w:sz="0" w:space="0" w:color="auto"/>
      </w:divBdr>
    </w:div>
    <w:div w:id="1257013098">
      <w:bodyDiv w:val="1"/>
      <w:marLeft w:val="0"/>
      <w:marRight w:val="0"/>
      <w:marTop w:val="0"/>
      <w:marBottom w:val="0"/>
      <w:divBdr>
        <w:top w:val="none" w:sz="0" w:space="0" w:color="auto"/>
        <w:left w:val="none" w:sz="0" w:space="0" w:color="auto"/>
        <w:bottom w:val="none" w:sz="0" w:space="0" w:color="auto"/>
        <w:right w:val="none" w:sz="0" w:space="0" w:color="auto"/>
      </w:divBdr>
    </w:div>
    <w:div w:id="1279877770">
      <w:bodyDiv w:val="1"/>
      <w:marLeft w:val="0"/>
      <w:marRight w:val="0"/>
      <w:marTop w:val="0"/>
      <w:marBottom w:val="0"/>
      <w:divBdr>
        <w:top w:val="none" w:sz="0" w:space="0" w:color="auto"/>
        <w:left w:val="none" w:sz="0" w:space="0" w:color="auto"/>
        <w:bottom w:val="none" w:sz="0" w:space="0" w:color="auto"/>
        <w:right w:val="none" w:sz="0" w:space="0" w:color="auto"/>
      </w:divBdr>
    </w:div>
    <w:div w:id="1299872374">
      <w:bodyDiv w:val="1"/>
      <w:marLeft w:val="0"/>
      <w:marRight w:val="0"/>
      <w:marTop w:val="0"/>
      <w:marBottom w:val="0"/>
      <w:divBdr>
        <w:top w:val="none" w:sz="0" w:space="0" w:color="auto"/>
        <w:left w:val="none" w:sz="0" w:space="0" w:color="auto"/>
        <w:bottom w:val="none" w:sz="0" w:space="0" w:color="auto"/>
        <w:right w:val="none" w:sz="0" w:space="0" w:color="auto"/>
      </w:divBdr>
    </w:div>
    <w:div w:id="1343363091">
      <w:bodyDiv w:val="1"/>
      <w:marLeft w:val="0"/>
      <w:marRight w:val="0"/>
      <w:marTop w:val="0"/>
      <w:marBottom w:val="0"/>
      <w:divBdr>
        <w:top w:val="none" w:sz="0" w:space="0" w:color="auto"/>
        <w:left w:val="none" w:sz="0" w:space="0" w:color="auto"/>
        <w:bottom w:val="none" w:sz="0" w:space="0" w:color="auto"/>
        <w:right w:val="none" w:sz="0" w:space="0" w:color="auto"/>
      </w:divBdr>
    </w:div>
    <w:div w:id="1349477903">
      <w:bodyDiv w:val="1"/>
      <w:marLeft w:val="0"/>
      <w:marRight w:val="0"/>
      <w:marTop w:val="0"/>
      <w:marBottom w:val="0"/>
      <w:divBdr>
        <w:top w:val="none" w:sz="0" w:space="0" w:color="auto"/>
        <w:left w:val="none" w:sz="0" w:space="0" w:color="auto"/>
        <w:bottom w:val="none" w:sz="0" w:space="0" w:color="auto"/>
        <w:right w:val="none" w:sz="0" w:space="0" w:color="auto"/>
      </w:divBdr>
    </w:div>
    <w:div w:id="1392194527">
      <w:bodyDiv w:val="1"/>
      <w:marLeft w:val="0"/>
      <w:marRight w:val="0"/>
      <w:marTop w:val="0"/>
      <w:marBottom w:val="0"/>
      <w:divBdr>
        <w:top w:val="none" w:sz="0" w:space="0" w:color="auto"/>
        <w:left w:val="none" w:sz="0" w:space="0" w:color="auto"/>
        <w:bottom w:val="none" w:sz="0" w:space="0" w:color="auto"/>
        <w:right w:val="none" w:sz="0" w:space="0" w:color="auto"/>
      </w:divBdr>
      <w:divsChild>
        <w:div w:id="2129272289">
          <w:marLeft w:val="0"/>
          <w:marRight w:val="0"/>
          <w:marTop w:val="0"/>
          <w:marBottom w:val="0"/>
          <w:divBdr>
            <w:top w:val="none" w:sz="0" w:space="0" w:color="auto"/>
            <w:left w:val="none" w:sz="0" w:space="0" w:color="auto"/>
            <w:bottom w:val="none" w:sz="0" w:space="0" w:color="auto"/>
            <w:right w:val="none" w:sz="0" w:space="0" w:color="auto"/>
          </w:divBdr>
          <w:divsChild>
            <w:div w:id="337466093">
              <w:marLeft w:val="0"/>
              <w:marRight w:val="0"/>
              <w:marTop w:val="0"/>
              <w:marBottom w:val="0"/>
              <w:divBdr>
                <w:top w:val="none" w:sz="0" w:space="0" w:color="auto"/>
                <w:left w:val="none" w:sz="0" w:space="0" w:color="auto"/>
                <w:bottom w:val="none" w:sz="0" w:space="0" w:color="auto"/>
                <w:right w:val="none" w:sz="0" w:space="0" w:color="auto"/>
              </w:divBdr>
              <w:divsChild>
                <w:div w:id="5841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204255">
      <w:bodyDiv w:val="1"/>
      <w:marLeft w:val="0"/>
      <w:marRight w:val="0"/>
      <w:marTop w:val="0"/>
      <w:marBottom w:val="0"/>
      <w:divBdr>
        <w:top w:val="none" w:sz="0" w:space="0" w:color="auto"/>
        <w:left w:val="none" w:sz="0" w:space="0" w:color="auto"/>
        <w:bottom w:val="none" w:sz="0" w:space="0" w:color="auto"/>
        <w:right w:val="none" w:sz="0" w:space="0" w:color="auto"/>
      </w:divBdr>
    </w:div>
    <w:div w:id="1522863298">
      <w:bodyDiv w:val="1"/>
      <w:marLeft w:val="0"/>
      <w:marRight w:val="0"/>
      <w:marTop w:val="0"/>
      <w:marBottom w:val="0"/>
      <w:divBdr>
        <w:top w:val="none" w:sz="0" w:space="0" w:color="auto"/>
        <w:left w:val="none" w:sz="0" w:space="0" w:color="auto"/>
        <w:bottom w:val="none" w:sz="0" w:space="0" w:color="auto"/>
        <w:right w:val="none" w:sz="0" w:space="0" w:color="auto"/>
      </w:divBdr>
      <w:divsChild>
        <w:div w:id="1038161774">
          <w:marLeft w:val="0"/>
          <w:marRight w:val="0"/>
          <w:marTop w:val="0"/>
          <w:marBottom w:val="0"/>
          <w:divBdr>
            <w:top w:val="none" w:sz="0" w:space="0" w:color="auto"/>
            <w:left w:val="none" w:sz="0" w:space="0" w:color="auto"/>
            <w:bottom w:val="none" w:sz="0" w:space="0" w:color="auto"/>
            <w:right w:val="none" w:sz="0" w:space="0" w:color="auto"/>
          </w:divBdr>
          <w:divsChild>
            <w:div w:id="382408771">
              <w:marLeft w:val="0"/>
              <w:marRight w:val="0"/>
              <w:marTop w:val="0"/>
              <w:marBottom w:val="0"/>
              <w:divBdr>
                <w:top w:val="none" w:sz="0" w:space="0" w:color="auto"/>
                <w:left w:val="none" w:sz="0" w:space="0" w:color="auto"/>
                <w:bottom w:val="none" w:sz="0" w:space="0" w:color="auto"/>
                <w:right w:val="none" w:sz="0" w:space="0" w:color="auto"/>
              </w:divBdr>
              <w:divsChild>
                <w:div w:id="438915245">
                  <w:marLeft w:val="0"/>
                  <w:marRight w:val="0"/>
                  <w:marTop w:val="0"/>
                  <w:marBottom w:val="0"/>
                  <w:divBdr>
                    <w:top w:val="none" w:sz="0" w:space="0" w:color="auto"/>
                    <w:left w:val="none" w:sz="0" w:space="0" w:color="auto"/>
                    <w:bottom w:val="none" w:sz="0" w:space="0" w:color="auto"/>
                    <w:right w:val="none" w:sz="0" w:space="0" w:color="auto"/>
                  </w:divBdr>
                </w:div>
              </w:divsChild>
            </w:div>
            <w:div w:id="1384283316">
              <w:marLeft w:val="0"/>
              <w:marRight w:val="0"/>
              <w:marTop w:val="0"/>
              <w:marBottom w:val="0"/>
              <w:divBdr>
                <w:top w:val="none" w:sz="0" w:space="0" w:color="auto"/>
                <w:left w:val="none" w:sz="0" w:space="0" w:color="auto"/>
                <w:bottom w:val="none" w:sz="0" w:space="0" w:color="auto"/>
                <w:right w:val="none" w:sz="0" w:space="0" w:color="auto"/>
              </w:divBdr>
              <w:divsChild>
                <w:div w:id="161108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151401">
      <w:bodyDiv w:val="1"/>
      <w:marLeft w:val="0"/>
      <w:marRight w:val="0"/>
      <w:marTop w:val="0"/>
      <w:marBottom w:val="0"/>
      <w:divBdr>
        <w:top w:val="none" w:sz="0" w:space="0" w:color="auto"/>
        <w:left w:val="none" w:sz="0" w:space="0" w:color="auto"/>
        <w:bottom w:val="none" w:sz="0" w:space="0" w:color="auto"/>
        <w:right w:val="none" w:sz="0" w:space="0" w:color="auto"/>
      </w:divBdr>
      <w:divsChild>
        <w:div w:id="1644847387">
          <w:marLeft w:val="0"/>
          <w:marRight w:val="0"/>
          <w:marTop w:val="0"/>
          <w:marBottom w:val="0"/>
          <w:divBdr>
            <w:top w:val="none" w:sz="0" w:space="0" w:color="auto"/>
            <w:left w:val="none" w:sz="0" w:space="0" w:color="auto"/>
            <w:bottom w:val="none" w:sz="0" w:space="0" w:color="auto"/>
            <w:right w:val="none" w:sz="0" w:space="0" w:color="auto"/>
          </w:divBdr>
          <w:divsChild>
            <w:div w:id="738594042">
              <w:marLeft w:val="0"/>
              <w:marRight w:val="0"/>
              <w:marTop w:val="0"/>
              <w:marBottom w:val="0"/>
              <w:divBdr>
                <w:top w:val="none" w:sz="0" w:space="0" w:color="auto"/>
                <w:left w:val="none" w:sz="0" w:space="0" w:color="auto"/>
                <w:bottom w:val="none" w:sz="0" w:space="0" w:color="auto"/>
                <w:right w:val="none" w:sz="0" w:space="0" w:color="auto"/>
              </w:divBdr>
              <w:divsChild>
                <w:div w:id="194009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738797">
      <w:bodyDiv w:val="1"/>
      <w:marLeft w:val="0"/>
      <w:marRight w:val="0"/>
      <w:marTop w:val="0"/>
      <w:marBottom w:val="0"/>
      <w:divBdr>
        <w:top w:val="none" w:sz="0" w:space="0" w:color="auto"/>
        <w:left w:val="none" w:sz="0" w:space="0" w:color="auto"/>
        <w:bottom w:val="none" w:sz="0" w:space="0" w:color="auto"/>
        <w:right w:val="none" w:sz="0" w:space="0" w:color="auto"/>
      </w:divBdr>
      <w:divsChild>
        <w:div w:id="1539126712">
          <w:marLeft w:val="0"/>
          <w:marRight w:val="0"/>
          <w:marTop w:val="0"/>
          <w:marBottom w:val="0"/>
          <w:divBdr>
            <w:top w:val="none" w:sz="0" w:space="0" w:color="auto"/>
            <w:left w:val="none" w:sz="0" w:space="0" w:color="auto"/>
            <w:bottom w:val="none" w:sz="0" w:space="0" w:color="auto"/>
            <w:right w:val="none" w:sz="0" w:space="0" w:color="auto"/>
          </w:divBdr>
          <w:divsChild>
            <w:div w:id="465586120">
              <w:marLeft w:val="0"/>
              <w:marRight w:val="0"/>
              <w:marTop w:val="0"/>
              <w:marBottom w:val="0"/>
              <w:divBdr>
                <w:top w:val="none" w:sz="0" w:space="0" w:color="auto"/>
                <w:left w:val="none" w:sz="0" w:space="0" w:color="auto"/>
                <w:bottom w:val="none" w:sz="0" w:space="0" w:color="auto"/>
                <w:right w:val="none" w:sz="0" w:space="0" w:color="auto"/>
              </w:divBdr>
              <w:divsChild>
                <w:div w:id="197552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356335">
      <w:bodyDiv w:val="1"/>
      <w:marLeft w:val="0"/>
      <w:marRight w:val="0"/>
      <w:marTop w:val="0"/>
      <w:marBottom w:val="0"/>
      <w:divBdr>
        <w:top w:val="none" w:sz="0" w:space="0" w:color="auto"/>
        <w:left w:val="none" w:sz="0" w:space="0" w:color="auto"/>
        <w:bottom w:val="none" w:sz="0" w:space="0" w:color="auto"/>
        <w:right w:val="none" w:sz="0" w:space="0" w:color="auto"/>
      </w:divBdr>
      <w:divsChild>
        <w:div w:id="1393188863">
          <w:marLeft w:val="0"/>
          <w:marRight w:val="0"/>
          <w:marTop w:val="0"/>
          <w:marBottom w:val="0"/>
          <w:divBdr>
            <w:top w:val="none" w:sz="0" w:space="0" w:color="auto"/>
            <w:left w:val="none" w:sz="0" w:space="0" w:color="auto"/>
            <w:bottom w:val="none" w:sz="0" w:space="0" w:color="auto"/>
            <w:right w:val="none" w:sz="0" w:space="0" w:color="auto"/>
          </w:divBdr>
          <w:divsChild>
            <w:div w:id="439301629">
              <w:marLeft w:val="0"/>
              <w:marRight w:val="0"/>
              <w:marTop w:val="0"/>
              <w:marBottom w:val="0"/>
              <w:divBdr>
                <w:top w:val="none" w:sz="0" w:space="0" w:color="auto"/>
                <w:left w:val="none" w:sz="0" w:space="0" w:color="auto"/>
                <w:bottom w:val="none" w:sz="0" w:space="0" w:color="auto"/>
                <w:right w:val="none" w:sz="0" w:space="0" w:color="auto"/>
              </w:divBdr>
              <w:divsChild>
                <w:div w:id="2872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3753">
      <w:bodyDiv w:val="1"/>
      <w:marLeft w:val="0"/>
      <w:marRight w:val="0"/>
      <w:marTop w:val="0"/>
      <w:marBottom w:val="0"/>
      <w:divBdr>
        <w:top w:val="none" w:sz="0" w:space="0" w:color="auto"/>
        <w:left w:val="none" w:sz="0" w:space="0" w:color="auto"/>
        <w:bottom w:val="none" w:sz="0" w:space="0" w:color="auto"/>
        <w:right w:val="none" w:sz="0" w:space="0" w:color="auto"/>
      </w:divBdr>
    </w:div>
    <w:div w:id="1616525743">
      <w:bodyDiv w:val="1"/>
      <w:marLeft w:val="0"/>
      <w:marRight w:val="0"/>
      <w:marTop w:val="0"/>
      <w:marBottom w:val="0"/>
      <w:divBdr>
        <w:top w:val="none" w:sz="0" w:space="0" w:color="auto"/>
        <w:left w:val="none" w:sz="0" w:space="0" w:color="auto"/>
        <w:bottom w:val="none" w:sz="0" w:space="0" w:color="auto"/>
        <w:right w:val="none" w:sz="0" w:space="0" w:color="auto"/>
      </w:divBdr>
    </w:div>
    <w:div w:id="1635867070">
      <w:bodyDiv w:val="1"/>
      <w:marLeft w:val="0"/>
      <w:marRight w:val="0"/>
      <w:marTop w:val="0"/>
      <w:marBottom w:val="0"/>
      <w:divBdr>
        <w:top w:val="none" w:sz="0" w:space="0" w:color="auto"/>
        <w:left w:val="none" w:sz="0" w:space="0" w:color="auto"/>
        <w:bottom w:val="none" w:sz="0" w:space="0" w:color="auto"/>
        <w:right w:val="none" w:sz="0" w:space="0" w:color="auto"/>
      </w:divBdr>
    </w:div>
    <w:div w:id="1639797753">
      <w:bodyDiv w:val="1"/>
      <w:marLeft w:val="0"/>
      <w:marRight w:val="0"/>
      <w:marTop w:val="0"/>
      <w:marBottom w:val="0"/>
      <w:divBdr>
        <w:top w:val="none" w:sz="0" w:space="0" w:color="auto"/>
        <w:left w:val="none" w:sz="0" w:space="0" w:color="auto"/>
        <w:bottom w:val="none" w:sz="0" w:space="0" w:color="auto"/>
        <w:right w:val="none" w:sz="0" w:space="0" w:color="auto"/>
      </w:divBdr>
    </w:div>
    <w:div w:id="1677462724">
      <w:bodyDiv w:val="1"/>
      <w:marLeft w:val="0"/>
      <w:marRight w:val="0"/>
      <w:marTop w:val="0"/>
      <w:marBottom w:val="0"/>
      <w:divBdr>
        <w:top w:val="none" w:sz="0" w:space="0" w:color="auto"/>
        <w:left w:val="none" w:sz="0" w:space="0" w:color="auto"/>
        <w:bottom w:val="none" w:sz="0" w:space="0" w:color="auto"/>
        <w:right w:val="none" w:sz="0" w:space="0" w:color="auto"/>
      </w:divBdr>
    </w:div>
    <w:div w:id="1683168112">
      <w:bodyDiv w:val="1"/>
      <w:marLeft w:val="0"/>
      <w:marRight w:val="0"/>
      <w:marTop w:val="0"/>
      <w:marBottom w:val="0"/>
      <w:divBdr>
        <w:top w:val="none" w:sz="0" w:space="0" w:color="auto"/>
        <w:left w:val="none" w:sz="0" w:space="0" w:color="auto"/>
        <w:bottom w:val="none" w:sz="0" w:space="0" w:color="auto"/>
        <w:right w:val="none" w:sz="0" w:space="0" w:color="auto"/>
      </w:divBdr>
      <w:divsChild>
        <w:div w:id="554663891">
          <w:marLeft w:val="0"/>
          <w:marRight w:val="0"/>
          <w:marTop w:val="0"/>
          <w:marBottom w:val="0"/>
          <w:divBdr>
            <w:top w:val="none" w:sz="0" w:space="0" w:color="auto"/>
            <w:left w:val="none" w:sz="0" w:space="0" w:color="auto"/>
            <w:bottom w:val="none" w:sz="0" w:space="0" w:color="auto"/>
            <w:right w:val="none" w:sz="0" w:space="0" w:color="auto"/>
          </w:divBdr>
          <w:divsChild>
            <w:div w:id="291836506">
              <w:marLeft w:val="0"/>
              <w:marRight w:val="0"/>
              <w:marTop w:val="0"/>
              <w:marBottom w:val="0"/>
              <w:divBdr>
                <w:top w:val="none" w:sz="0" w:space="0" w:color="auto"/>
                <w:left w:val="none" w:sz="0" w:space="0" w:color="auto"/>
                <w:bottom w:val="none" w:sz="0" w:space="0" w:color="auto"/>
                <w:right w:val="none" w:sz="0" w:space="0" w:color="auto"/>
              </w:divBdr>
              <w:divsChild>
                <w:div w:id="49357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23143">
      <w:bodyDiv w:val="1"/>
      <w:marLeft w:val="0"/>
      <w:marRight w:val="0"/>
      <w:marTop w:val="0"/>
      <w:marBottom w:val="0"/>
      <w:divBdr>
        <w:top w:val="none" w:sz="0" w:space="0" w:color="auto"/>
        <w:left w:val="none" w:sz="0" w:space="0" w:color="auto"/>
        <w:bottom w:val="none" w:sz="0" w:space="0" w:color="auto"/>
        <w:right w:val="none" w:sz="0" w:space="0" w:color="auto"/>
      </w:divBdr>
    </w:div>
    <w:div w:id="1788311942">
      <w:bodyDiv w:val="1"/>
      <w:marLeft w:val="0"/>
      <w:marRight w:val="0"/>
      <w:marTop w:val="0"/>
      <w:marBottom w:val="0"/>
      <w:divBdr>
        <w:top w:val="none" w:sz="0" w:space="0" w:color="auto"/>
        <w:left w:val="none" w:sz="0" w:space="0" w:color="auto"/>
        <w:bottom w:val="none" w:sz="0" w:space="0" w:color="auto"/>
        <w:right w:val="none" w:sz="0" w:space="0" w:color="auto"/>
      </w:divBdr>
    </w:div>
    <w:div w:id="1834032018">
      <w:bodyDiv w:val="1"/>
      <w:marLeft w:val="0"/>
      <w:marRight w:val="0"/>
      <w:marTop w:val="0"/>
      <w:marBottom w:val="0"/>
      <w:divBdr>
        <w:top w:val="none" w:sz="0" w:space="0" w:color="auto"/>
        <w:left w:val="none" w:sz="0" w:space="0" w:color="auto"/>
        <w:bottom w:val="none" w:sz="0" w:space="0" w:color="auto"/>
        <w:right w:val="none" w:sz="0" w:space="0" w:color="auto"/>
      </w:divBdr>
      <w:divsChild>
        <w:div w:id="251007764">
          <w:marLeft w:val="0"/>
          <w:marRight w:val="0"/>
          <w:marTop w:val="0"/>
          <w:marBottom w:val="0"/>
          <w:divBdr>
            <w:top w:val="none" w:sz="0" w:space="0" w:color="auto"/>
            <w:left w:val="none" w:sz="0" w:space="0" w:color="auto"/>
            <w:bottom w:val="none" w:sz="0" w:space="0" w:color="auto"/>
            <w:right w:val="none" w:sz="0" w:space="0" w:color="auto"/>
          </w:divBdr>
          <w:divsChild>
            <w:div w:id="2087264022">
              <w:marLeft w:val="0"/>
              <w:marRight w:val="0"/>
              <w:marTop w:val="0"/>
              <w:marBottom w:val="0"/>
              <w:divBdr>
                <w:top w:val="none" w:sz="0" w:space="0" w:color="auto"/>
                <w:left w:val="none" w:sz="0" w:space="0" w:color="auto"/>
                <w:bottom w:val="none" w:sz="0" w:space="0" w:color="auto"/>
                <w:right w:val="none" w:sz="0" w:space="0" w:color="auto"/>
              </w:divBdr>
              <w:divsChild>
                <w:div w:id="30147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774333">
      <w:bodyDiv w:val="1"/>
      <w:marLeft w:val="0"/>
      <w:marRight w:val="0"/>
      <w:marTop w:val="0"/>
      <w:marBottom w:val="0"/>
      <w:divBdr>
        <w:top w:val="none" w:sz="0" w:space="0" w:color="auto"/>
        <w:left w:val="none" w:sz="0" w:space="0" w:color="auto"/>
        <w:bottom w:val="none" w:sz="0" w:space="0" w:color="auto"/>
        <w:right w:val="none" w:sz="0" w:space="0" w:color="auto"/>
      </w:divBdr>
    </w:div>
    <w:div w:id="1864971748">
      <w:bodyDiv w:val="1"/>
      <w:marLeft w:val="0"/>
      <w:marRight w:val="0"/>
      <w:marTop w:val="0"/>
      <w:marBottom w:val="0"/>
      <w:divBdr>
        <w:top w:val="none" w:sz="0" w:space="0" w:color="auto"/>
        <w:left w:val="none" w:sz="0" w:space="0" w:color="auto"/>
        <w:bottom w:val="none" w:sz="0" w:space="0" w:color="auto"/>
        <w:right w:val="none" w:sz="0" w:space="0" w:color="auto"/>
      </w:divBdr>
    </w:div>
    <w:div w:id="1953972477">
      <w:bodyDiv w:val="1"/>
      <w:marLeft w:val="0"/>
      <w:marRight w:val="0"/>
      <w:marTop w:val="0"/>
      <w:marBottom w:val="0"/>
      <w:divBdr>
        <w:top w:val="none" w:sz="0" w:space="0" w:color="auto"/>
        <w:left w:val="none" w:sz="0" w:space="0" w:color="auto"/>
        <w:bottom w:val="none" w:sz="0" w:space="0" w:color="auto"/>
        <w:right w:val="none" w:sz="0" w:space="0" w:color="auto"/>
      </w:divBdr>
    </w:div>
    <w:div w:id="1959406304">
      <w:bodyDiv w:val="1"/>
      <w:marLeft w:val="0"/>
      <w:marRight w:val="0"/>
      <w:marTop w:val="0"/>
      <w:marBottom w:val="0"/>
      <w:divBdr>
        <w:top w:val="none" w:sz="0" w:space="0" w:color="auto"/>
        <w:left w:val="none" w:sz="0" w:space="0" w:color="auto"/>
        <w:bottom w:val="none" w:sz="0" w:space="0" w:color="auto"/>
        <w:right w:val="none" w:sz="0" w:space="0" w:color="auto"/>
      </w:divBdr>
    </w:div>
    <w:div w:id="2063825921">
      <w:bodyDiv w:val="1"/>
      <w:marLeft w:val="0"/>
      <w:marRight w:val="0"/>
      <w:marTop w:val="0"/>
      <w:marBottom w:val="0"/>
      <w:divBdr>
        <w:top w:val="none" w:sz="0" w:space="0" w:color="auto"/>
        <w:left w:val="none" w:sz="0" w:space="0" w:color="auto"/>
        <w:bottom w:val="none" w:sz="0" w:space="0" w:color="auto"/>
        <w:right w:val="none" w:sz="0" w:space="0" w:color="auto"/>
      </w:divBdr>
    </w:div>
    <w:div w:id="2065372598">
      <w:bodyDiv w:val="1"/>
      <w:marLeft w:val="0"/>
      <w:marRight w:val="0"/>
      <w:marTop w:val="0"/>
      <w:marBottom w:val="0"/>
      <w:divBdr>
        <w:top w:val="none" w:sz="0" w:space="0" w:color="auto"/>
        <w:left w:val="none" w:sz="0" w:space="0" w:color="auto"/>
        <w:bottom w:val="none" w:sz="0" w:space="0" w:color="auto"/>
        <w:right w:val="none" w:sz="0" w:space="0" w:color="auto"/>
      </w:divBdr>
      <w:divsChild>
        <w:div w:id="1671516829">
          <w:marLeft w:val="0"/>
          <w:marRight w:val="0"/>
          <w:marTop w:val="0"/>
          <w:marBottom w:val="0"/>
          <w:divBdr>
            <w:top w:val="none" w:sz="0" w:space="0" w:color="auto"/>
            <w:left w:val="none" w:sz="0" w:space="0" w:color="auto"/>
            <w:bottom w:val="none" w:sz="0" w:space="0" w:color="auto"/>
            <w:right w:val="none" w:sz="0" w:space="0" w:color="auto"/>
          </w:divBdr>
          <w:divsChild>
            <w:div w:id="1151142378">
              <w:marLeft w:val="0"/>
              <w:marRight w:val="0"/>
              <w:marTop w:val="0"/>
              <w:marBottom w:val="0"/>
              <w:divBdr>
                <w:top w:val="none" w:sz="0" w:space="0" w:color="auto"/>
                <w:left w:val="none" w:sz="0" w:space="0" w:color="auto"/>
                <w:bottom w:val="none" w:sz="0" w:space="0" w:color="auto"/>
                <w:right w:val="none" w:sz="0" w:space="0" w:color="auto"/>
              </w:divBdr>
              <w:divsChild>
                <w:div w:id="7729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77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saflii.org/cgi-bin/LawCite?cit=1986%20%282%29%20SA%20805" TargetMode="External"/><Relationship Id="rId1" Type="http://schemas.openxmlformats.org/officeDocument/2006/relationships/hyperlink" Target="http://www.saflii.org/cgi-bin/LawCite?cit=1956%20%284%29%20SA%204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ECB62-9B71-4A24-83E0-547A2EC2E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2635</Words>
  <Characters>15026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Robin R. Mossop</dc:creator>
  <cp:keywords/>
  <dc:description/>
  <cp:lastModifiedBy>Mokone</cp:lastModifiedBy>
  <cp:revision>3</cp:revision>
  <cp:lastPrinted>2023-08-15T08:25:00Z</cp:lastPrinted>
  <dcterms:created xsi:type="dcterms:W3CDTF">2023-08-18T09:53:00Z</dcterms:created>
  <dcterms:modified xsi:type="dcterms:W3CDTF">2023-08-18T09:55:00Z</dcterms:modified>
</cp:coreProperties>
</file>