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75FFB" w14:textId="4047F394" w:rsidR="00891A65" w:rsidRPr="00891A65" w:rsidRDefault="00891A65" w:rsidP="00891A65">
      <w:pPr>
        <w:rPr>
          <w:rFonts w:ascii="Arial" w:hAnsi="Arial" w:cs="Arial"/>
          <w:b/>
          <w:sz w:val="24"/>
          <w:szCs w:val="24"/>
        </w:rPr>
      </w:pPr>
      <w:bookmarkStart w:id="0" w:name="_GoBack"/>
      <w:bookmarkEnd w:id="0"/>
      <w:r w:rsidRPr="00891A65">
        <w:rPr>
          <w:rFonts w:ascii="Arial" w:hAnsi="Arial" w:cs="Arial"/>
          <w:b/>
          <w:sz w:val="24"/>
          <w:szCs w:val="24"/>
        </w:rPr>
        <w:t>N THE HIGH COURT OF SOUTH AFRICA</w:t>
      </w:r>
    </w:p>
    <w:p w14:paraId="00D4B86C" w14:textId="77777777" w:rsidR="00891A65" w:rsidRDefault="00891A65" w:rsidP="00891A65">
      <w:pPr>
        <w:rPr>
          <w:rFonts w:ascii="Arial" w:hAnsi="Arial" w:cs="Arial"/>
          <w:b/>
          <w:sz w:val="24"/>
          <w:szCs w:val="24"/>
        </w:rPr>
      </w:pPr>
    </w:p>
    <w:p w14:paraId="6689ECA5" w14:textId="19857B54" w:rsidR="00891A65" w:rsidRPr="00891A65" w:rsidRDefault="00891A65" w:rsidP="00891A65">
      <w:pPr>
        <w:rPr>
          <w:rFonts w:ascii="Arial" w:hAnsi="Arial" w:cs="Arial"/>
          <w:b/>
          <w:sz w:val="24"/>
          <w:szCs w:val="24"/>
        </w:rPr>
      </w:pPr>
      <w:r w:rsidRPr="00891A65">
        <w:rPr>
          <w:rFonts w:ascii="Arial" w:hAnsi="Arial" w:cs="Arial"/>
          <w:b/>
          <w:sz w:val="24"/>
          <w:szCs w:val="24"/>
        </w:rPr>
        <w:t xml:space="preserve">KWAZULU-NATAL </w:t>
      </w:r>
      <w:r w:rsidR="000E5DD4">
        <w:rPr>
          <w:rFonts w:ascii="Arial" w:hAnsi="Arial" w:cs="Arial"/>
          <w:b/>
          <w:sz w:val="24"/>
          <w:szCs w:val="24"/>
        </w:rPr>
        <w:t xml:space="preserve">LOCAL </w:t>
      </w:r>
      <w:r w:rsidRPr="00891A65">
        <w:rPr>
          <w:rFonts w:ascii="Arial" w:hAnsi="Arial" w:cs="Arial"/>
          <w:b/>
          <w:sz w:val="24"/>
          <w:szCs w:val="24"/>
        </w:rPr>
        <w:t xml:space="preserve">DIVISION, </w:t>
      </w:r>
      <w:r w:rsidR="000E5DD4">
        <w:rPr>
          <w:rFonts w:ascii="Arial" w:hAnsi="Arial" w:cs="Arial"/>
          <w:b/>
          <w:sz w:val="24"/>
          <w:szCs w:val="24"/>
        </w:rPr>
        <w:t>DURBAN</w:t>
      </w:r>
    </w:p>
    <w:p w14:paraId="230A7692" w14:textId="77777777" w:rsidR="00891A65" w:rsidRDefault="00891A65" w:rsidP="00891A65">
      <w:pPr>
        <w:rPr>
          <w:rFonts w:ascii="Arial" w:hAnsi="Arial" w:cs="Arial"/>
          <w:b/>
          <w:sz w:val="24"/>
          <w:szCs w:val="24"/>
        </w:rPr>
      </w:pPr>
    </w:p>
    <w:p w14:paraId="544870F9" w14:textId="2E4FB1A9" w:rsidR="00891A65" w:rsidRDefault="00891A65" w:rsidP="00891A65">
      <w:pPr>
        <w:rPr>
          <w:rFonts w:ascii="Arial" w:hAnsi="Arial" w:cs="Arial"/>
          <w:b/>
          <w:sz w:val="24"/>
          <w:szCs w:val="24"/>
        </w:rPr>
      </w:pP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t xml:space="preserve">     </w:t>
      </w:r>
      <w:r w:rsidR="00776F09">
        <w:rPr>
          <w:rFonts w:ascii="Arial" w:hAnsi="Arial" w:cs="Arial"/>
          <w:b/>
          <w:sz w:val="24"/>
          <w:szCs w:val="24"/>
        </w:rPr>
        <w:t xml:space="preserve">       </w:t>
      </w:r>
      <w:r w:rsidR="00EB5790">
        <w:rPr>
          <w:rFonts w:ascii="Arial" w:hAnsi="Arial" w:cs="Arial"/>
          <w:b/>
          <w:sz w:val="24"/>
          <w:szCs w:val="24"/>
        </w:rPr>
        <w:t xml:space="preserve">          </w:t>
      </w:r>
      <w:r w:rsidR="00776F09">
        <w:rPr>
          <w:rFonts w:ascii="Arial" w:hAnsi="Arial" w:cs="Arial"/>
          <w:b/>
          <w:sz w:val="24"/>
          <w:szCs w:val="24"/>
        </w:rPr>
        <w:t xml:space="preserve">CASE </w:t>
      </w:r>
      <w:r w:rsidRPr="00891A65">
        <w:rPr>
          <w:rFonts w:ascii="Arial" w:hAnsi="Arial" w:cs="Arial"/>
          <w:b/>
          <w:sz w:val="24"/>
          <w:szCs w:val="24"/>
        </w:rPr>
        <w:t xml:space="preserve">NO: </w:t>
      </w:r>
      <w:r w:rsidR="00EB5790">
        <w:rPr>
          <w:rFonts w:ascii="Arial" w:hAnsi="Arial" w:cs="Arial"/>
          <w:b/>
          <w:sz w:val="24"/>
          <w:szCs w:val="24"/>
        </w:rPr>
        <w:t>D</w:t>
      </w:r>
      <w:r w:rsidR="00BC0097">
        <w:rPr>
          <w:rFonts w:ascii="Arial" w:hAnsi="Arial" w:cs="Arial"/>
          <w:b/>
          <w:sz w:val="24"/>
          <w:szCs w:val="24"/>
        </w:rPr>
        <w:t>10021</w:t>
      </w:r>
      <w:r w:rsidRPr="00891A65">
        <w:rPr>
          <w:rFonts w:ascii="Arial" w:hAnsi="Arial" w:cs="Arial"/>
          <w:b/>
          <w:sz w:val="24"/>
          <w:szCs w:val="24"/>
        </w:rPr>
        <w:t>/</w:t>
      </w:r>
      <w:r w:rsidR="000E5DD4">
        <w:rPr>
          <w:rFonts w:ascii="Arial" w:hAnsi="Arial" w:cs="Arial"/>
          <w:b/>
          <w:sz w:val="24"/>
          <w:szCs w:val="24"/>
        </w:rPr>
        <w:t>20</w:t>
      </w:r>
      <w:r w:rsidR="00BC0097">
        <w:rPr>
          <w:rFonts w:ascii="Arial" w:hAnsi="Arial" w:cs="Arial"/>
          <w:b/>
          <w:sz w:val="24"/>
          <w:szCs w:val="24"/>
        </w:rPr>
        <w:t>18</w:t>
      </w:r>
    </w:p>
    <w:p w14:paraId="7A22E409" w14:textId="1EBDDD4A" w:rsidR="00891A65" w:rsidRPr="00891A65" w:rsidRDefault="00891A65" w:rsidP="00891A65">
      <w:pPr>
        <w:rPr>
          <w:rFonts w:ascii="Arial" w:hAnsi="Arial" w:cs="Arial"/>
          <w:b/>
          <w:sz w:val="24"/>
          <w:szCs w:val="24"/>
        </w:rPr>
      </w:pPr>
      <w:r w:rsidRPr="00891A65">
        <w:rPr>
          <w:rFonts w:ascii="Arial" w:hAnsi="Arial" w:cs="Arial"/>
          <w:b/>
          <w:sz w:val="24"/>
          <w:szCs w:val="24"/>
        </w:rPr>
        <w:t>In the matter between:-</w:t>
      </w:r>
    </w:p>
    <w:p w14:paraId="27931678" w14:textId="77777777" w:rsidR="00891A65" w:rsidRPr="00891A65" w:rsidRDefault="00891A65" w:rsidP="00891A65">
      <w:pPr>
        <w:spacing w:line="360" w:lineRule="auto"/>
        <w:rPr>
          <w:rFonts w:ascii="Arial" w:hAnsi="Arial" w:cs="Arial"/>
          <w:b/>
          <w:sz w:val="24"/>
          <w:szCs w:val="24"/>
        </w:rPr>
      </w:pPr>
    </w:p>
    <w:p w14:paraId="1567F8B8" w14:textId="77777777" w:rsidR="00891A65" w:rsidRDefault="00891A65" w:rsidP="00891A65">
      <w:pPr>
        <w:spacing w:line="360" w:lineRule="auto"/>
        <w:rPr>
          <w:rFonts w:ascii="Arial" w:hAnsi="Arial" w:cs="Arial"/>
          <w:b/>
          <w:sz w:val="24"/>
          <w:szCs w:val="24"/>
        </w:rPr>
      </w:pPr>
    </w:p>
    <w:p w14:paraId="70613C08" w14:textId="4DEB0CDA" w:rsidR="00BC0097" w:rsidRDefault="00BC0097" w:rsidP="00BC0097">
      <w:pPr>
        <w:rPr>
          <w:rFonts w:ascii="Arial" w:hAnsi="Arial" w:cs="Arial"/>
          <w:b/>
          <w:sz w:val="24"/>
          <w:szCs w:val="24"/>
        </w:rPr>
      </w:pPr>
      <w:r>
        <w:rPr>
          <w:rFonts w:ascii="Arial" w:hAnsi="Arial" w:cs="Arial"/>
          <w:b/>
          <w:sz w:val="24"/>
          <w:szCs w:val="24"/>
        </w:rPr>
        <w:t>IOANNIS RAFTELIS N</w:t>
      </w:r>
      <w:r w:rsidR="00857BB4">
        <w:rPr>
          <w:rFonts w:ascii="Arial" w:hAnsi="Arial" w:cs="Arial"/>
          <w:b/>
          <w:sz w:val="24"/>
          <w:szCs w:val="24"/>
        </w:rPr>
        <w:t>.</w:t>
      </w:r>
      <w:r>
        <w:rPr>
          <w:rFonts w:ascii="Arial" w:hAnsi="Arial" w:cs="Arial"/>
          <w:b/>
          <w:sz w:val="24"/>
          <w:szCs w:val="24"/>
        </w:rPr>
        <w:t>O</w:t>
      </w:r>
      <w:r w:rsidR="00857BB4">
        <w:rPr>
          <w:rFonts w:ascii="Arial" w:hAnsi="Arial" w:cs="Arial"/>
          <w:b/>
          <w:sz w:val="24"/>
          <w:szCs w:val="24"/>
        </w:rPr>
        <w:t>.</w:t>
      </w:r>
      <w:r>
        <w:rPr>
          <w:rFonts w:ascii="Arial" w:hAnsi="Arial" w:cs="Arial"/>
          <w:b/>
          <w:sz w:val="24"/>
          <w:szCs w:val="24"/>
        </w:rPr>
        <w:t xml:space="preserve"> (in his capacity as </w:t>
      </w:r>
    </w:p>
    <w:p w14:paraId="50D1D455" w14:textId="2116171F" w:rsidR="00891A65" w:rsidRPr="00891A65" w:rsidRDefault="00C20738" w:rsidP="00BC0097">
      <w:pPr>
        <w:rPr>
          <w:rFonts w:ascii="Arial" w:hAnsi="Arial" w:cs="Arial"/>
          <w:b/>
          <w:sz w:val="24"/>
          <w:szCs w:val="24"/>
        </w:rPr>
      </w:pPr>
      <w:r>
        <w:rPr>
          <w:rFonts w:ascii="Arial" w:hAnsi="Arial" w:cs="Arial"/>
          <w:b/>
          <w:sz w:val="24"/>
          <w:szCs w:val="24"/>
        </w:rPr>
        <w:t>Trustee</w:t>
      </w:r>
      <w:r w:rsidR="00BC0097">
        <w:rPr>
          <w:rFonts w:ascii="Arial" w:hAnsi="Arial" w:cs="Arial"/>
          <w:b/>
          <w:sz w:val="24"/>
          <w:szCs w:val="24"/>
        </w:rPr>
        <w:t xml:space="preserve"> of the Raftelis Trading Trust)</w:t>
      </w:r>
      <w:r w:rsidR="00EB5790">
        <w:rPr>
          <w:rFonts w:ascii="Arial" w:hAnsi="Arial" w:cs="Arial"/>
          <w:b/>
          <w:sz w:val="24"/>
          <w:szCs w:val="24"/>
        </w:rPr>
        <w:tab/>
      </w:r>
      <w:r w:rsidR="00EB5790">
        <w:rPr>
          <w:rFonts w:ascii="Arial" w:hAnsi="Arial" w:cs="Arial"/>
          <w:b/>
          <w:sz w:val="24"/>
          <w:szCs w:val="24"/>
        </w:rPr>
        <w:tab/>
        <w:t xml:space="preserve">        </w:t>
      </w:r>
      <w:r w:rsidR="004406E6">
        <w:rPr>
          <w:rFonts w:ascii="Arial" w:hAnsi="Arial" w:cs="Arial"/>
          <w:b/>
          <w:sz w:val="24"/>
          <w:szCs w:val="24"/>
        </w:rPr>
        <w:t xml:space="preserve"> </w:t>
      </w:r>
      <w:r w:rsidR="00BC0097">
        <w:rPr>
          <w:rFonts w:ascii="Arial" w:hAnsi="Arial" w:cs="Arial"/>
          <w:b/>
          <w:sz w:val="24"/>
          <w:szCs w:val="24"/>
        </w:rPr>
        <w:t xml:space="preserve">             </w:t>
      </w:r>
      <w:r w:rsidR="00397507">
        <w:rPr>
          <w:rFonts w:ascii="Arial" w:hAnsi="Arial" w:cs="Arial"/>
          <w:b/>
          <w:sz w:val="24"/>
          <w:szCs w:val="24"/>
        </w:rPr>
        <w:t>FIRST PLAINTIFF</w:t>
      </w:r>
    </w:p>
    <w:p w14:paraId="160BE5E0" w14:textId="77777777" w:rsidR="00BC0097" w:rsidRDefault="00BC0097" w:rsidP="00BC0097">
      <w:pPr>
        <w:rPr>
          <w:rFonts w:ascii="Arial" w:hAnsi="Arial" w:cs="Arial"/>
          <w:b/>
          <w:sz w:val="24"/>
          <w:szCs w:val="24"/>
        </w:rPr>
      </w:pPr>
    </w:p>
    <w:p w14:paraId="351A9240" w14:textId="40984378" w:rsidR="00BC0097" w:rsidRPr="00891A65" w:rsidRDefault="00BC0097" w:rsidP="00BC0097">
      <w:pPr>
        <w:rPr>
          <w:rFonts w:ascii="Arial" w:hAnsi="Arial" w:cs="Arial"/>
          <w:b/>
          <w:sz w:val="24"/>
          <w:szCs w:val="24"/>
        </w:rPr>
      </w:pPr>
      <w:r>
        <w:rPr>
          <w:rFonts w:ascii="Arial" w:hAnsi="Arial" w:cs="Arial"/>
          <w:b/>
          <w:sz w:val="24"/>
          <w:szCs w:val="24"/>
        </w:rPr>
        <w:t>IOANNIS RAFTELIS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67C10">
        <w:rPr>
          <w:rFonts w:ascii="Arial" w:hAnsi="Arial" w:cs="Arial"/>
          <w:b/>
          <w:sz w:val="24"/>
          <w:szCs w:val="24"/>
        </w:rPr>
        <w:t xml:space="preserve">        SECOND </w:t>
      </w:r>
      <w:r w:rsidR="005B4F47">
        <w:rPr>
          <w:rFonts w:ascii="Arial" w:hAnsi="Arial" w:cs="Arial"/>
          <w:b/>
          <w:sz w:val="24"/>
          <w:szCs w:val="24"/>
        </w:rPr>
        <w:t>PLAINTIFF</w:t>
      </w:r>
    </w:p>
    <w:p w14:paraId="58DDA7EF" w14:textId="77777777" w:rsidR="00BC0097" w:rsidRDefault="00BC0097" w:rsidP="00BC0097">
      <w:pPr>
        <w:rPr>
          <w:rFonts w:ascii="Arial" w:hAnsi="Arial" w:cs="Arial"/>
          <w:b/>
          <w:sz w:val="24"/>
          <w:szCs w:val="24"/>
        </w:rPr>
      </w:pPr>
    </w:p>
    <w:p w14:paraId="5B61C4F6" w14:textId="1D241044" w:rsidR="00BC0097" w:rsidRDefault="00BC0097" w:rsidP="00BC0097">
      <w:pPr>
        <w:rPr>
          <w:rFonts w:ascii="Arial" w:hAnsi="Arial" w:cs="Arial"/>
          <w:b/>
          <w:sz w:val="24"/>
          <w:szCs w:val="24"/>
        </w:rPr>
      </w:pPr>
      <w:r>
        <w:rPr>
          <w:rFonts w:ascii="Arial" w:hAnsi="Arial" w:cs="Arial"/>
          <w:b/>
          <w:sz w:val="24"/>
          <w:szCs w:val="24"/>
        </w:rPr>
        <w:t>IRENE RAFTELIS N</w:t>
      </w:r>
      <w:r w:rsidR="00857BB4">
        <w:rPr>
          <w:rFonts w:ascii="Arial" w:hAnsi="Arial" w:cs="Arial"/>
          <w:b/>
          <w:sz w:val="24"/>
          <w:szCs w:val="24"/>
        </w:rPr>
        <w:t>.</w:t>
      </w:r>
      <w:r>
        <w:rPr>
          <w:rFonts w:ascii="Arial" w:hAnsi="Arial" w:cs="Arial"/>
          <w:b/>
          <w:sz w:val="24"/>
          <w:szCs w:val="24"/>
        </w:rPr>
        <w:t>O</w:t>
      </w:r>
      <w:r w:rsidR="00857BB4">
        <w:rPr>
          <w:rFonts w:ascii="Arial" w:hAnsi="Arial" w:cs="Arial"/>
          <w:b/>
          <w:sz w:val="24"/>
          <w:szCs w:val="24"/>
        </w:rPr>
        <w:t>.</w:t>
      </w:r>
      <w:r>
        <w:rPr>
          <w:rFonts w:ascii="Arial" w:hAnsi="Arial" w:cs="Arial"/>
          <w:b/>
          <w:sz w:val="24"/>
          <w:szCs w:val="24"/>
        </w:rPr>
        <w:t xml:space="preserve"> (in h</w:t>
      </w:r>
      <w:r w:rsidR="00F67C10">
        <w:rPr>
          <w:rFonts w:ascii="Arial" w:hAnsi="Arial" w:cs="Arial"/>
          <w:b/>
          <w:sz w:val="24"/>
          <w:szCs w:val="24"/>
        </w:rPr>
        <w:t>er</w:t>
      </w:r>
      <w:r>
        <w:rPr>
          <w:rFonts w:ascii="Arial" w:hAnsi="Arial" w:cs="Arial"/>
          <w:b/>
          <w:sz w:val="24"/>
          <w:szCs w:val="24"/>
        </w:rPr>
        <w:t xml:space="preserve"> capacity as </w:t>
      </w:r>
    </w:p>
    <w:p w14:paraId="50CDFC24" w14:textId="265474B7" w:rsidR="00BC0097" w:rsidRDefault="00C20738" w:rsidP="00BC0097">
      <w:pPr>
        <w:rPr>
          <w:rFonts w:ascii="Arial" w:hAnsi="Arial" w:cs="Arial"/>
          <w:b/>
          <w:sz w:val="24"/>
          <w:szCs w:val="24"/>
        </w:rPr>
      </w:pPr>
      <w:r>
        <w:rPr>
          <w:rFonts w:ascii="Arial" w:hAnsi="Arial" w:cs="Arial"/>
          <w:b/>
          <w:sz w:val="24"/>
          <w:szCs w:val="24"/>
        </w:rPr>
        <w:t>Trustee</w:t>
      </w:r>
      <w:r w:rsidR="00BC0097">
        <w:rPr>
          <w:rFonts w:ascii="Arial" w:hAnsi="Arial" w:cs="Arial"/>
          <w:b/>
          <w:sz w:val="24"/>
          <w:szCs w:val="24"/>
        </w:rPr>
        <w:t xml:space="preserve"> of the Raftelis Trading Trust)</w:t>
      </w:r>
      <w:r w:rsidR="00BC0097">
        <w:rPr>
          <w:rFonts w:ascii="Arial" w:hAnsi="Arial" w:cs="Arial"/>
          <w:b/>
          <w:sz w:val="24"/>
          <w:szCs w:val="24"/>
        </w:rPr>
        <w:tab/>
      </w:r>
      <w:r w:rsidR="00BC0097">
        <w:rPr>
          <w:rFonts w:ascii="Arial" w:hAnsi="Arial" w:cs="Arial"/>
          <w:b/>
          <w:sz w:val="24"/>
          <w:szCs w:val="24"/>
        </w:rPr>
        <w:tab/>
        <w:t xml:space="preserve">                 </w:t>
      </w:r>
      <w:r w:rsidR="00F67C10">
        <w:rPr>
          <w:rFonts w:ascii="Arial" w:hAnsi="Arial" w:cs="Arial"/>
          <w:b/>
          <w:sz w:val="24"/>
          <w:szCs w:val="24"/>
        </w:rPr>
        <w:t xml:space="preserve">    THIRD </w:t>
      </w:r>
      <w:r w:rsidR="005B4F47">
        <w:rPr>
          <w:rFonts w:ascii="Arial" w:hAnsi="Arial" w:cs="Arial"/>
          <w:b/>
          <w:sz w:val="24"/>
          <w:szCs w:val="24"/>
        </w:rPr>
        <w:t>PLAINTIFF</w:t>
      </w:r>
    </w:p>
    <w:p w14:paraId="4E11C794" w14:textId="42B48D6A" w:rsidR="00F67C10" w:rsidRDefault="00F67C10" w:rsidP="00BC0097">
      <w:pPr>
        <w:rPr>
          <w:rFonts w:ascii="Arial" w:hAnsi="Arial" w:cs="Arial"/>
          <w:b/>
          <w:sz w:val="24"/>
          <w:szCs w:val="24"/>
        </w:rPr>
      </w:pPr>
    </w:p>
    <w:p w14:paraId="23A202E9" w14:textId="28541AEC" w:rsidR="00F67C10" w:rsidRDefault="00F67C10" w:rsidP="00BC0097">
      <w:pPr>
        <w:rPr>
          <w:rFonts w:ascii="Arial" w:hAnsi="Arial" w:cs="Arial"/>
          <w:b/>
          <w:sz w:val="24"/>
          <w:szCs w:val="24"/>
        </w:rPr>
      </w:pPr>
      <w:r>
        <w:rPr>
          <w:rFonts w:ascii="Arial" w:hAnsi="Arial" w:cs="Arial"/>
          <w:b/>
          <w:sz w:val="24"/>
          <w:szCs w:val="24"/>
        </w:rPr>
        <w:t>GARY BRIAN KLINKRADT (representing</w:t>
      </w:r>
    </w:p>
    <w:p w14:paraId="3D99914C" w14:textId="481014F6" w:rsidR="00F67C10" w:rsidRDefault="00F67C10" w:rsidP="00BC0097">
      <w:pPr>
        <w:rPr>
          <w:rFonts w:ascii="Arial" w:hAnsi="Arial" w:cs="Arial"/>
          <w:b/>
          <w:sz w:val="24"/>
          <w:szCs w:val="24"/>
        </w:rPr>
      </w:pPr>
      <w:r>
        <w:rPr>
          <w:rFonts w:ascii="Arial" w:hAnsi="Arial" w:cs="Arial"/>
          <w:b/>
          <w:sz w:val="24"/>
          <w:szCs w:val="24"/>
        </w:rPr>
        <w:t xml:space="preserve">K.A. Administrators (Pty) Limited in his </w:t>
      </w:r>
    </w:p>
    <w:p w14:paraId="2C010CD1" w14:textId="6D8DE5F0" w:rsidR="00F67C10" w:rsidRDefault="00F67C10" w:rsidP="00BC0097">
      <w:pPr>
        <w:rPr>
          <w:rFonts w:ascii="Arial" w:hAnsi="Arial" w:cs="Arial"/>
          <w:b/>
          <w:sz w:val="24"/>
          <w:szCs w:val="24"/>
        </w:rPr>
      </w:pPr>
      <w:r>
        <w:rPr>
          <w:rFonts w:ascii="Arial" w:hAnsi="Arial" w:cs="Arial"/>
          <w:b/>
          <w:sz w:val="24"/>
          <w:szCs w:val="24"/>
        </w:rPr>
        <w:t xml:space="preserve">capacity as </w:t>
      </w:r>
      <w:r w:rsidR="00C20738">
        <w:rPr>
          <w:rFonts w:ascii="Arial" w:hAnsi="Arial" w:cs="Arial"/>
          <w:b/>
          <w:sz w:val="24"/>
          <w:szCs w:val="24"/>
        </w:rPr>
        <w:t>Trustee</w:t>
      </w:r>
      <w:r>
        <w:rPr>
          <w:rFonts w:ascii="Arial" w:hAnsi="Arial" w:cs="Arial"/>
          <w:b/>
          <w:sz w:val="24"/>
          <w:szCs w:val="24"/>
        </w:rPr>
        <w:t xml:space="preserve"> of the Raftelis Trading Trus</w:t>
      </w:r>
      <w:r w:rsidR="004F74F9">
        <w:rPr>
          <w:rFonts w:ascii="Arial" w:hAnsi="Arial" w:cs="Arial"/>
          <w:b/>
          <w:sz w:val="24"/>
          <w:szCs w:val="24"/>
        </w:rPr>
        <w:t>t</w:t>
      </w:r>
      <w:r>
        <w:rPr>
          <w:rFonts w:ascii="Arial" w:hAnsi="Arial" w:cs="Arial"/>
          <w:b/>
          <w:sz w:val="24"/>
          <w:szCs w:val="24"/>
        </w:rPr>
        <w:t>)</w:t>
      </w:r>
      <w:r>
        <w:rPr>
          <w:rFonts w:ascii="Arial" w:hAnsi="Arial" w:cs="Arial"/>
          <w:b/>
          <w:sz w:val="24"/>
          <w:szCs w:val="24"/>
        </w:rPr>
        <w:tab/>
        <w:t xml:space="preserve">      FOURTH </w:t>
      </w:r>
      <w:r w:rsidR="005B4F47">
        <w:rPr>
          <w:rFonts w:ascii="Arial" w:hAnsi="Arial" w:cs="Arial"/>
          <w:b/>
          <w:sz w:val="24"/>
          <w:szCs w:val="24"/>
        </w:rPr>
        <w:t>PLAINTIFF</w:t>
      </w:r>
    </w:p>
    <w:p w14:paraId="02D0A5FD" w14:textId="77777777" w:rsidR="00F67C10" w:rsidRPr="00891A65" w:rsidRDefault="00F67C10" w:rsidP="00BC0097">
      <w:pPr>
        <w:rPr>
          <w:rFonts w:ascii="Arial" w:hAnsi="Arial" w:cs="Arial"/>
          <w:b/>
          <w:sz w:val="24"/>
          <w:szCs w:val="24"/>
        </w:rPr>
      </w:pPr>
    </w:p>
    <w:p w14:paraId="1CCB9972" w14:textId="26FE4A31" w:rsidR="00891A65" w:rsidRDefault="00891A65" w:rsidP="00BC0097">
      <w:pPr>
        <w:rPr>
          <w:rFonts w:ascii="Arial" w:hAnsi="Arial" w:cs="Arial"/>
          <w:b/>
          <w:sz w:val="24"/>
          <w:szCs w:val="24"/>
        </w:rPr>
      </w:pPr>
    </w:p>
    <w:p w14:paraId="49CA78B7" w14:textId="77777777" w:rsidR="00891A65" w:rsidRPr="00891A65" w:rsidRDefault="00891A65" w:rsidP="00BC0097">
      <w:pPr>
        <w:rPr>
          <w:rFonts w:ascii="Arial" w:hAnsi="Arial" w:cs="Arial"/>
          <w:b/>
          <w:sz w:val="24"/>
          <w:szCs w:val="24"/>
        </w:rPr>
      </w:pPr>
      <w:r w:rsidRPr="00891A65">
        <w:rPr>
          <w:rFonts w:ascii="Arial" w:hAnsi="Arial" w:cs="Arial"/>
          <w:b/>
          <w:sz w:val="24"/>
          <w:szCs w:val="24"/>
        </w:rPr>
        <w:t>and</w:t>
      </w:r>
    </w:p>
    <w:p w14:paraId="7785D733" w14:textId="5E46695D" w:rsidR="00891A65" w:rsidRDefault="00891A65" w:rsidP="00BC0097">
      <w:pPr>
        <w:rPr>
          <w:rFonts w:ascii="Arial" w:hAnsi="Arial" w:cs="Arial"/>
          <w:b/>
          <w:sz w:val="24"/>
          <w:szCs w:val="24"/>
        </w:rPr>
      </w:pPr>
    </w:p>
    <w:p w14:paraId="7D9E3E37" w14:textId="77777777" w:rsidR="00F67C10" w:rsidRDefault="00F67C10" w:rsidP="00BC0097">
      <w:pPr>
        <w:rPr>
          <w:rFonts w:ascii="Arial" w:hAnsi="Arial" w:cs="Arial"/>
          <w:b/>
          <w:sz w:val="24"/>
          <w:szCs w:val="24"/>
        </w:rPr>
      </w:pPr>
    </w:p>
    <w:p w14:paraId="4E4504BA" w14:textId="2D614F12" w:rsidR="004406E6" w:rsidRPr="00891A65" w:rsidRDefault="004F74F9" w:rsidP="00BC0097">
      <w:pPr>
        <w:rPr>
          <w:rFonts w:ascii="Arial" w:hAnsi="Arial" w:cs="Arial"/>
          <w:b/>
          <w:sz w:val="24"/>
          <w:szCs w:val="24"/>
        </w:rPr>
      </w:pPr>
      <w:r>
        <w:rPr>
          <w:rFonts w:ascii="Arial" w:hAnsi="Arial" w:cs="Arial"/>
          <w:b/>
          <w:sz w:val="24"/>
          <w:szCs w:val="24"/>
        </w:rPr>
        <w:t>AFRO</w:t>
      </w:r>
      <w:r w:rsidR="00F67C10">
        <w:rPr>
          <w:rFonts w:ascii="Arial" w:hAnsi="Arial" w:cs="Arial"/>
          <w:b/>
          <w:sz w:val="24"/>
          <w:szCs w:val="24"/>
        </w:rPr>
        <w:t>PULSE 477 (PTY) LIMITED</w:t>
      </w:r>
      <w:r w:rsidR="00F35FBA">
        <w:rPr>
          <w:rFonts w:ascii="Arial" w:hAnsi="Arial" w:cs="Arial"/>
          <w:b/>
          <w:sz w:val="24"/>
          <w:szCs w:val="24"/>
        </w:rPr>
        <w:tab/>
      </w:r>
      <w:r w:rsidR="00F35FBA">
        <w:rPr>
          <w:rFonts w:ascii="Arial" w:hAnsi="Arial" w:cs="Arial"/>
          <w:b/>
          <w:sz w:val="24"/>
          <w:szCs w:val="24"/>
        </w:rPr>
        <w:tab/>
        <w:t xml:space="preserve">               </w:t>
      </w:r>
      <w:r w:rsidR="00F67C10">
        <w:rPr>
          <w:rFonts w:ascii="Arial" w:hAnsi="Arial" w:cs="Arial"/>
          <w:b/>
          <w:sz w:val="24"/>
          <w:szCs w:val="24"/>
        </w:rPr>
        <w:t xml:space="preserve">   </w:t>
      </w:r>
      <w:r w:rsidR="00F35FBA">
        <w:rPr>
          <w:rFonts w:ascii="Arial" w:hAnsi="Arial" w:cs="Arial"/>
          <w:b/>
          <w:sz w:val="24"/>
          <w:szCs w:val="24"/>
        </w:rPr>
        <w:t xml:space="preserve">FIRST </w:t>
      </w:r>
      <w:r w:rsidR="005B4F47">
        <w:rPr>
          <w:rFonts w:ascii="Arial" w:hAnsi="Arial" w:cs="Arial"/>
          <w:b/>
          <w:sz w:val="24"/>
          <w:szCs w:val="24"/>
        </w:rPr>
        <w:t>DEFENDANT</w:t>
      </w:r>
    </w:p>
    <w:p w14:paraId="30981CD4" w14:textId="77777777" w:rsidR="00F35FBA" w:rsidRDefault="00F35FBA" w:rsidP="00BC0097">
      <w:pPr>
        <w:rPr>
          <w:rFonts w:ascii="Arial" w:hAnsi="Arial" w:cs="Arial"/>
          <w:b/>
          <w:sz w:val="24"/>
          <w:szCs w:val="24"/>
        </w:rPr>
      </w:pPr>
    </w:p>
    <w:p w14:paraId="649DADBF" w14:textId="24AE472B" w:rsidR="00891A65" w:rsidRDefault="00F67C10" w:rsidP="00BC0097">
      <w:pPr>
        <w:rPr>
          <w:rFonts w:ascii="Arial" w:hAnsi="Arial" w:cs="Arial"/>
          <w:b/>
          <w:sz w:val="24"/>
          <w:szCs w:val="24"/>
        </w:rPr>
      </w:pPr>
      <w:r>
        <w:rPr>
          <w:rFonts w:ascii="Arial" w:hAnsi="Arial" w:cs="Arial"/>
          <w:b/>
          <w:sz w:val="24"/>
          <w:szCs w:val="24"/>
        </w:rPr>
        <w:t xml:space="preserve">MOHAMED EBRAHIM AMOD </w:t>
      </w:r>
      <w:r w:rsidR="00017CEF">
        <w:rPr>
          <w:rFonts w:ascii="Arial" w:hAnsi="Arial" w:cs="Arial"/>
          <w:b/>
          <w:sz w:val="24"/>
          <w:szCs w:val="24"/>
        </w:rPr>
        <w:t xml:space="preserve"> </w:t>
      </w:r>
      <w:r w:rsidR="00017CEF">
        <w:rPr>
          <w:rFonts w:ascii="Arial" w:hAnsi="Arial" w:cs="Arial"/>
          <w:b/>
          <w:sz w:val="24"/>
          <w:szCs w:val="24"/>
        </w:rPr>
        <w:tab/>
      </w:r>
      <w:r w:rsidR="00017CEF">
        <w:rPr>
          <w:rFonts w:ascii="Arial" w:hAnsi="Arial" w:cs="Arial"/>
          <w:b/>
          <w:sz w:val="24"/>
          <w:szCs w:val="24"/>
        </w:rPr>
        <w:tab/>
        <w:t xml:space="preserve">          </w:t>
      </w:r>
      <w:r>
        <w:rPr>
          <w:rFonts w:ascii="Arial" w:hAnsi="Arial" w:cs="Arial"/>
          <w:b/>
          <w:sz w:val="24"/>
          <w:szCs w:val="24"/>
        </w:rPr>
        <w:t xml:space="preserve">              </w:t>
      </w:r>
      <w:r w:rsidR="00F35FBA">
        <w:rPr>
          <w:rFonts w:ascii="Arial" w:hAnsi="Arial" w:cs="Arial"/>
          <w:b/>
          <w:sz w:val="24"/>
          <w:szCs w:val="24"/>
        </w:rPr>
        <w:t xml:space="preserve">SECOND </w:t>
      </w:r>
      <w:r w:rsidR="005B4F47">
        <w:rPr>
          <w:rFonts w:ascii="Arial" w:hAnsi="Arial" w:cs="Arial"/>
          <w:b/>
          <w:sz w:val="24"/>
          <w:szCs w:val="24"/>
        </w:rPr>
        <w:t>DEFENDANT</w:t>
      </w:r>
    </w:p>
    <w:p w14:paraId="61C4F0D5" w14:textId="72CE5905" w:rsidR="00F35FBA" w:rsidRDefault="00F35FBA" w:rsidP="00BC0097">
      <w:pPr>
        <w:rPr>
          <w:rFonts w:ascii="Arial" w:hAnsi="Arial" w:cs="Arial"/>
          <w:b/>
          <w:sz w:val="24"/>
          <w:szCs w:val="24"/>
        </w:rPr>
      </w:pPr>
    </w:p>
    <w:p w14:paraId="713A0A4D" w14:textId="3A3C4FD0" w:rsidR="00F35FBA" w:rsidRDefault="00F67C10" w:rsidP="00BC0097">
      <w:pPr>
        <w:rPr>
          <w:rFonts w:ascii="Arial" w:hAnsi="Arial" w:cs="Arial"/>
          <w:b/>
          <w:sz w:val="24"/>
          <w:szCs w:val="24"/>
        </w:rPr>
      </w:pPr>
      <w:r>
        <w:rPr>
          <w:rFonts w:ascii="Arial" w:hAnsi="Arial" w:cs="Arial"/>
          <w:b/>
          <w:sz w:val="24"/>
          <w:szCs w:val="24"/>
        </w:rPr>
        <w:t>IRSHAD EBRAHIM AMOD</w:t>
      </w:r>
      <w:r w:rsidR="00017CEF">
        <w:rPr>
          <w:rFonts w:ascii="Arial" w:hAnsi="Arial" w:cs="Arial"/>
          <w:b/>
          <w:sz w:val="24"/>
          <w:szCs w:val="24"/>
        </w:rPr>
        <w:tab/>
      </w:r>
      <w:r w:rsidR="00F35FBA">
        <w:rPr>
          <w:rFonts w:ascii="Arial" w:hAnsi="Arial" w:cs="Arial"/>
          <w:b/>
          <w:sz w:val="24"/>
          <w:szCs w:val="24"/>
        </w:rPr>
        <w:tab/>
      </w:r>
      <w:r w:rsidR="00F35FBA">
        <w:rPr>
          <w:rFonts w:ascii="Arial" w:hAnsi="Arial" w:cs="Arial"/>
          <w:b/>
          <w:sz w:val="24"/>
          <w:szCs w:val="24"/>
        </w:rPr>
        <w:tab/>
      </w:r>
      <w:r w:rsidR="00F35FBA">
        <w:rPr>
          <w:rFonts w:ascii="Arial" w:hAnsi="Arial" w:cs="Arial"/>
          <w:b/>
          <w:sz w:val="24"/>
          <w:szCs w:val="24"/>
        </w:rPr>
        <w:tab/>
      </w:r>
      <w:r>
        <w:rPr>
          <w:rFonts w:ascii="Arial" w:hAnsi="Arial" w:cs="Arial"/>
          <w:b/>
          <w:sz w:val="24"/>
          <w:szCs w:val="24"/>
        </w:rPr>
        <w:t xml:space="preserve">      </w:t>
      </w:r>
      <w:r w:rsidR="00F35FBA">
        <w:rPr>
          <w:rFonts w:ascii="Arial" w:hAnsi="Arial" w:cs="Arial"/>
          <w:b/>
          <w:sz w:val="24"/>
          <w:szCs w:val="24"/>
        </w:rPr>
        <w:t xml:space="preserve">THIRD </w:t>
      </w:r>
      <w:r w:rsidR="005B4F47">
        <w:rPr>
          <w:rFonts w:ascii="Arial" w:hAnsi="Arial" w:cs="Arial"/>
          <w:b/>
          <w:sz w:val="24"/>
          <w:szCs w:val="24"/>
        </w:rPr>
        <w:t>DEFENDANT</w:t>
      </w:r>
    </w:p>
    <w:p w14:paraId="1DE485C1" w14:textId="6E85EA22" w:rsidR="00F67C10" w:rsidRDefault="00F67C10" w:rsidP="00BC0097">
      <w:pPr>
        <w:rPr>
          <w:rFonts w:ascii="Arial" w:hAnsi="Arial" w:cs="Arial"/>
          <w:b/>
          <w:sz w:val="24"/>
          <w:szCs w:val="24"/>
        </w:rPr>
      </w:pPr>
    </w:p>
    <w:p w14:paraId="227412C3" w14:textId="1341FD8A" w:rsidR="00F67C10" w:rsidRDefault="00F67C10" w:rsidP="00BC0097">
      <w:pPr>
        <w:rPr>
          <w:rFonts w:ascii="Arial" w:hAnsi="Arial" w:cs="Arial"/>
          <w:b/>
          <w:sz w:val="24"/>
          <w:szCs w:val="24"/>
        </w:rPr>
      </w:pPr>
      <w:r>
        <w:rPr>
          <w:rFonts w:ascii="Arial" w:hAnsi="Arial" w:cs="Arial"/>
          <w:b/>
          <w:sz w:val="24"/>
          <w:szCs w:val="24"/>
        </w:rPr>
        <w:t xml:space="preserve">REAL ESTATE FRANCHISE COMPANY </w:t>
      </w:r>
    </w:p>
    <w:p w14:paraId="65A84237" w14:textId="33097EA7" w:rsidR="00F67C10" w:rsidRPr="00891A65" w:rsidRDefault="00F67C10" w:rsidP="00BC0097">
      <w:pPr>
        <w:rPr>
          <w:rFonts w:ascii="Arial" w:hAnsi="Arial" w:cs="Arial"/>
          <w:b/>
          <w:sz w:val="24"/>
          <w:szCs w:val="24"/>
        </w:rPr>
      </w:pPr>
      <w:r>
        <w:rPr>
          <w:rFonts w:ascii="Arial" w:hAnsi="Arial" w:cs="Arial"/>
          <w:b/>
          <w:sz w:val="24"/>
          <w:szCs w:val="24"/>
        </w:rPr>
        <w:t>(PT</w:t>
      </w:r>
      <w:r w:rsidR="004F74F9">
        <w:rPr>
          <w:rFonts w:ascii="Arial" w:hAnsi="Arial" w:cs="Arial"/>
          <w:b/>
          <w:sz w:val="24"/>
          <w:szCs w:val="24"/>
        </w:rPr>
        <w:t>Y</w:t>
      </w:r>
      <w:r>
        <w:rPr>
          <w:rFonts w:ascii="Arial" w:hAnsi="Arial" w:cs="Arial"/>
          <w:b/>
          <w:sz w:val="24"/>
          <w:szCs w:val="24"/>
        </w:rPr>
        <w:t xml:space="preserve">) LIMITED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FOURTH </w:t>
      </w:r>
      <w:r w:rsidR="005B4F47">
        <w:rPr>
          <w:rFonts w:ascii="Arial" w:hAnsi="Arial" w:cs="Arial"/>
          <w:b/>
          <w:sz w:val="24"/>
          <w:szCs w:val="24"/>
        </w:rPr>
        <w:t>DEFENDANT</w:t>
      </w:r>
    </w:p>
    <w:p w14:paraId="592394BF" w14:textId="77777777" w:rsidR="000B239F" w:rsidRPr="00891A65" w:rsidRDefault="000B239F" w:rsidP="000B239F">
      <w:pPr>
        <w:rPr>
          <w:rFonts w:ascii="Arial" w:eastAsia="Arial" w:hAnsi="Arial" w:cs="Arial"/>
          <w:b/>
          <w:bCs/>
          <w:sz w:val="24"/>
          <w:szCs w:val="24"/>
        </w:rPr>
      </w:pPr>
      <w:r w:rsidRPr="00891A65">
        <w:rPr>
          <w:rFonts w:ascii="Arial" w:hAnsi="Arial" w:cs="Arial"/>
          <w:b/>
          <w:bCs/>
          <w:sz w:val="24"/>
          <w:szCs w:val="24"/>
        </w:rPr>
        <w:t>_______________________________________________________________</w:t>
      </w:r>
    </w:p>
    <w:p w14:paraId="450E46D1" w14:textId="77777777" w:rsidR="000B239F" w:rsidRPr="00891A65" w:rsidRDefault="000B239F" w:rsidP="000B239F">
      <w:pPr>
        <w:pStyle w:val="Heading4"/>
        <w:spacing w:line="240" w:lineRule="auto"/>
        <w:jc w:val="center"/>
        <w:rPr>
          <w:sz w:val="24"/>
          <w:szCs w:val="24"/>
        </w:rPr>
      </w:pPr>
    </w:p>
    <w:p w14:paraId="4FBF9B30" w14:textId="77777777" w:rsidR="000B239F" w:rsidRPr="00891A65" w:rsidRDefault="000B239F" w:rsidP="000B239F">
      <w:pPr>
        <w:pStyle w:val="Heading4"/>
        <w:spacing w:line="240" w:lineRule="auto"/>
        <w:jc w:val="center"/>
        <w:rPr>
          <w:b/>
          <w:bCs/>
          <w:sz w:val="24"/>
          <w:szCs w:val="24"/>
        </w:rPr>
      </w:pPr>
      <w:r>
        <w:rPr>
          <w:b/>
          <w:bCs/>
          <w:sz w:val="24"/>
          <w:szCs w:val="24"/>
        </w:rPr>
        <w:t xml:space="preserve">ORDER </w:t>
      </w:r>
    </w:p>
    <w:p w14:paraId="04B1636C" w14:textId="77777777" w:rsidR="000B239F" w:rsidRPr="00891A65" w:rsidRDefault="000B239F" w:rsidP="000B239F">
      <w:pPr>
        <w:rPr>
          <w:rFonts w:ascii="Arial" w:eastAsia="Arial" w:hAnsi="Arial" w:cs="Arial"/>
          <w:b/>
          <w:bCs/>
          <w:sz w:val="24"/>
          <w:szCs w:val="24"/>
        </w:rPr>
      </w:pPr>
      <w:r w:rsidRPr="00891A65">
        <w:rPr>
          <w:rFonts w:ascii="Arial" w:hAnsi="Arial" w:cs="Arial"/>
          <w:b/>
          <w:bCs/>
          <w:sz w:val="24"/>
          <w:szCs w:val="24"/>
        </w:rPr>
        <w:t>_______________________________________________________________</w:t>
      </w:r>
    </w:p>
    <w:p w14:paraId="243FD7B0" w14:textId="77777777" w:rsidR="000B239F" w:rsidRPr="00891A65" w:rsidRDefault="000B239F" w:rsidP="000B239F">
      <w:pPr>
        <w:rPr>
          <w:rFonts w:ascii="Arial" w:eastAsia="Arial" w:hAnsi="Arial" w:cs="Arial"/>
          <w:sz w:val="24"/>
          <w:szCs w:val="24"/>
        </w:rPr>
      </w:pPr>
    </w:p>
    <w:p w14:paraId="6469E134" w14:textId="77777777" w:rsidR="0067545D" w:rsidRDefault="0067545D" w:rsidP="0067545D">
      <w:pPr>
        <w:spacing w:line="480" w:lineRule="auto"/>
        <w:jc w:val="both"/>
        <w:rPr>
          <w:rFonts w:ascii="Arial" w:eastAsia="Helvetica" w:hAnsi="Arial" w:cs="Arial"/>
          <w:sz w:val="24"/>
          <w:szCs w:val="24"/>
        </w:rPr>
      </w:pPr>
    </w:p>
    <w:p w14:paraId="40425048" w14:textId="01E03D41" w:rsidR="000B239F" w:rsidRDefault="0067545D" w:rsidP="0067545D">
      <w:pPr>
        <w:spacing w:line="480" w:lineRule="auto"/>
        <w:ind w:left="851" w:hanging="851"/>
        <w:jc w:val="both"/>
        <w:rPr>
          <w:rFonts w:ascii="Arial" w:eastAsia="Helvetica" w:hAnsi="Arial" w:cs="Arial"/>
          <w:sz w:val="24"/>
          <w:szCs w:val="24"/>
        </w:rPr>
      </w:pPr>
      <w:r>
        <w:rPr>
          <w:rFonts w:ascii="Arial" w:eastAsia="Helvetica" w:hAnsi="Arial" w:cs="Arial"/>
          <w:sz w:val="24"/>
          <w:szCs w:val="24"/>
        </w:rPr>
        <w:t>1.</w:t>
      </w:r>
      <w:r>
        <w:rPr>
          <w:rFonts w:ascii="Arial" w:eastAsia="Helvetica" w:hAnsi="Arial" w:cs="Arial"/>
          <w:sz w:val="24"/>
          <w:szCs w:val="24"/>
        </w:rPr>
        <w:tab/>
      </w:r>
      <w:r w:rsidR="00857BB4">
        <w:rPr>
          <w:rFonts w:ascii="Arial" w:eastAsia="Helvetica" w:hAnsi="Arial" w:cs="Arial"/>
          <w:sz w:val="24"/>
          <w:szCs w:val="24"/>
        </w:rPr>
        <w:t>The f</w:t>
      </w:r>
      <w:r w:rsidR="004F74F9">
        <w:rPr>
          <w:rFonts w:ascii="Arial" w:eastAsia="Helvetica" w:hAnsi="Arial" w:cs="Arial"/>
          <w:sz w:val="24"/>
          <w:szCs w:val="24"/>
        </w:rPr>
        <w:t xml:space="preserve">irst Special Plea </w:t>
      </w:r>
      <w:r w:rsidR="00857BB4">
        <w:rPr>
          <w:rFonts w:ascii="Arial" w:eastAsia="Helvetica" w:hAnsi="Arial" w:cs="Arial"/>
          <w:sz w:val="24"/>
          <w:szCs w:val="24"/>
        </w:rPr>
        <w:t xml:space="preserve">of misjoinder </w:t>
      </w:r>
      <w:r w:rsidR="004F74F9">
        <w:rPr>
          <w:rFonts w:ascii="Arial" w:eastAsia="Helvetica" w:hAnsi="Arial" w:cs="Arial"/>
          <w:sz w:val="24"/>
          <w:szCs w:val="24"/>
        </w:rPr>
        <w:t>is upheld.</w:t>
      </w:r>
    </w:p>
    <w:p w14:paraId="0D7836AF" w14:textId="7FE1C232" w:rsidR="000B239F" w:rsidRDefault="000B239F" w:rsidP="0067545D">
      <w:pPr>
        <w:spacing w:line="480" w:lineRule="auto"/>
        <w:jc w:val="both"/>
        <w:rPr>
          <w:rFonts w:ascii="Arial" w:hAnsi="Arial" w:cs="Arial"/>
          <w:sz w:val="24"/>
          <w:szCs w:val="24"/>
        </w:rPr>
      </w:pPr>
    </w:p>
    <w:p w14:paraId="5DAEB596" w14:textId="2B5AD4E5" w:rsidR="0067545D" w:rsidRDefault="0067545D" w:rsidP="0067545D">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F74F9">
        <w:rPr>
          <w:rFonts w:ascii="Arial" w:hAnsi="Arial" w:cs="Arial"/>
          <w:sz w:val="24"/>
          <w:szCs w:val="24"/>
        </w:rPr>
        <w:t xml:space="preserve">The </w:t>
      </w:r>
      <w:r w:rsidR="005B4F47">
        <w:rPr>
          <w:rFonts w:ascii="Arial" w:hAnsi="Arial" w:cs="Arial"/>
          <w:sz w:val="24"/>
          <w:szCs w:val="24"/>
        </w:rPr>
        <w:t>Plaintiff</w:t>
      </w:r>
      <w:r w:rsidR="004F74F9">
        <w:rPr>
          <w:rFonts w:ascii="Arial" w:hAnsi="Arial" w:cs="Arial"/>
          <w:sz w:val="24"/>
          <w:szCs w:val="24"/>
        </w:rPr>
        <w:t xml:space="preserve">s are directed to pay the costs of the Second and Third </w:t>
      </w:r>
      <w:r w:rsidR="005B4F47">
        <w:rPr>
          <w:rFonts w:ascii="Arial" w:hAnsi="Arial" w:cs="Arial"/>
          <w:sz w:val="24"/>
          <w:szCs w:val="24"/>
        </w:rPr>
        <w:t>Defendant</w:t>
      </w:r>
      <w:r w:rsidR="004F74F9">
        <w:rPr>
          <w:rFonts w:ascii="Arial" w:hAnsi="Arial" w:cs="Arial"/>
          <w:sz w:val="24"/>
          <w:szCs w:val="24"/>
        </w:rPr>
        <w:t xml:space="preserve">s jointly and severally, the one paying the other to be absolved. </w:t>
      </w:r>
    </w:p>
    <w:p w14:paraId="1DB4F66A" w14:textId="39EB061F" w:rsidR="000B239F" w:rsidRPr="00731388" w:rsidRDefault="0067545D" w:rsidP="0067545D">
      <w:pPr>
        <w:spacing w:line="480" w:lineRule="auto"/>
        <w:ind w:left="720" w:hanging="720"/>
        <w:jc w:val="both"/>
        <w:rPr>
          <w:rFonts w:ascii="Arial" w:hAnsi="Arial" w:cs="Arial"/>
          <w:sz w:val="24"/>
          <w:szCs w:val="24"/>
        </w:rPr>
      </w:pPr>
      <w:r>
        <w:rPr>
          <w:rFonts w:ascii="Arial" w:hAnsi="Arial" w:cs="Arial"/>
          <w:sz w:val="24"/>
          <w:szCs w:val="24"/>
        </w:rPr>
        <w:lastRenderedPageBreak/>
        <w:tab/>
      </w:r>
    </w:p>
    <w:p w14:paraId="223DDAF7" w14:textId="6CAD0B11" w:rsidR="00447BAA" w:rsidRPr="00891A65" w:rsidRDefault="000A25D5">
      <w:pPr>
        <w:rPr>
          <w:rFonts w:ascii="Arial" w:eastAsia="Arial" w:hAnsi="Arial" w:cs="Arial"/>
          <w:b/>
          <w:bCs/>
          <w:sz w:val="24"/>
          <w:szCs w:val="24"/>
        </w:rPr>
      </w:pPr>
      <w:r w:rsidRPr="00891A65">
        <w:rPr>
          <w:rFonts w:ascii="Arial" w:hAnsi="Arial" w:cs="Arial"/>
          <w:b/>
          <w:bCs/>
          <w:sz w:val="24"/>
          <w:szCs w:val="24"/>
        </w:rPr>
        <w:t>_________________________________</w:t>
      </w:r>
      <w:r w:rsidR="00353DD5" w:rsidRPr="00891A65">
        <w:rPr>
          <w:rFonts w:ascii="Arial" w:hAnsi="Arial" w:cs="Arial"/>
          <w:b/>
          <w:bCs/>
          <w:sz w:val="24"/>
          <w:szCs w:val="24"/>
        </w:rPr>
        <w:t>______________________________</w:t>
      </w:r>
    </w:p>
    <w:p w14:paraId="3A060A8D" w14:textId="77777777" w:rsidR="00447BAA" w:rsidRPr="00891A65" w:rsidRDefault="00447BAA" w:rsidP="00353DD5">
      <w:pPr>
        <w:pStyle w:val="Heading4"/>
        <w:spacing w:line="240" w:lineRule="auto"/>
        <w:jc w:val="center"/>
        <w:rPr>
          <w:sz w:val="24"/>
          <w:szCs w:val="24"/>
        </w:rPr>
      </w:pPr>
    </w:p>
    <w:p w14:paraId="14CF8E61" w14:textId="391DDFFD" w:rsidR="00447BAA" w:rsidRPr="00891A65" w:rsidRDefault="00652E38">
      <w:pPr>
        <w:pStyle w:val="Heading4"/>
        <w:spacing w:line="240" w:lineRule="auto"/>
        <w:jc w:val="center"/>
        <w:rPr>
          <w:b/>
          <w:bCs/>
          <w:sz w:val="24"/>
          <w:szCs w:val="24"/>
        </w:rPr>
      </w:pPr>
      <w:r>
        <w:rPr>
          <w:b/>
          <w:bCs/>
          <w:sz w:val="24"/>
          <w:szCs w:val="24"/>
        </w:rPr>
        <w:t xml:space="preserve">JUDGMENT </w:t>
      </w:r>
    </w:p>
    <w:p w14:paraId="7995D9D4" w14:textId="753F9C4B" w:rsidR="00447BAA" w:rsidRPr="00891A65" w:rsidRDefault="000A25D5">
      <w:pPr>
        <w:rPr>
          <w:rFonts w:ascii="Arial" w:eastAsia="Arial" w:hAnsi="Arial" w:cs="Arial"/>
          <w:b/>
          <w:bCs/>
          <w:sz w:val="24"/>
          <w:szCs w:val="24"/>
        </w:rPr>
      </w:pPr>
      <w:r w:rsidRPr="00891A65">
        <w:rPr>
          <w:rFonts w:ascii="Arial" w:hAnsi="Arial" w:cs="Arial"/>
          <w:b/>
          <w:bCs/>
          <w:sz w:val="24"/>
          <w:szCs w:val="24"/>
        </w:rPr>
        <w:t>_________________________________</w:t>
      </w:r>
      <w:r w:rsidR="00353DD5" w:rsidRPr="00891A65">
        <w:rPr>
          <w:rFonts w:ascii="Arial" w:hAnsi="Arial" w:cs="Arial"/>
          <w:b/>
          <w:bCs/>
          <w:sz w:val="24"/>
          <w:szCs w:val="24"/>
        </w:rPr>
        <w:t>______________________________</w:t>
      </w:r>
    </w:p>
    <w:p w14:paraId="04D29BDF" w14:textId="77777777" w:rsidR="00447BAA" w:rsidRPr="00891A65" w:rsidRDefault="00447BAA">
      <w:pPr>
        <w:rPr>
          <w:rFonts w:ascii="Arial" w:eastAsia="Arial" w:hAnsi="Arial" w:cs="Arial"/>
          <w:sz w:val="24"/>
          <w:szCs w:val="24"/>
        </w:rPr>
      </w:pPr>
    </w:p>
    <w:p w14:paraId="176F64AF" w14:textId="77777777" w:rsidR="000B239F" w:rsidRPr="00B71236" w:rsidRDefault="000B239F" w:rsidP="000B239F">
      <w:pPr>
        <w:spacing w:line="480" w:lineRule="auto"/>
        <w:jc w:val="both"/>
        <w:rPr>
          <w:rFonts w:ascii="Arial" w:eastAsia="Arial" w:hAnsi="Arial" w:cs="Arial"/>
          <w:sz w:val="24"/>
          <w:szCs w:val="24"/>
        </w:rPr>
      </w:pPr>
    </w:p>
    <w:p w14:paraId="12F96EC8" w14:textId="2CF7056C" w:rsidR="00652E38" w:rsidRPr="00B71236" w:rsidRDefault="00652E38" w:rsidP="00652E38">
      <w:pPr>
        <w:spacing w:line="360" w:lineRule="auto"/>
        <w:rPr>
          <w:rFonts w:ascii="Arial" w:hAnsi="Arial" w:cs="Arial"/>
          <w:b/>
          <w:sz w:val="24"/>
          <w:szCs w:val="24"/>
          <w:u w:val="single"/>
        </w:rPr>
      </w:pPr>
      <w:r>
        <w:rPr>
          <w:rFonts w:ascii="Arial" w:hAnsi="Arial" w:cs="Arial"/>
          <w:b/>
          <w:sz w:val="24"/>
          <w:szCs w:val="24"/>
          <w:u w:val="single"/>
        </w:rPr>
        <w:t>SINGH, AJ</w:t>
      </w:r>
      <w:r w:rsidRPr="00B71236">
        <w:rPr>
          <w:rFonts w:ascii="Arial" w:hAnsi="Arial" w:cs="Arial"/>
          <w:b/>
          <w:sz w:val="24"/>
          <w:szCs w:val="24"/>
          <w:u w:val="single"/>
        </w:rPr>
        <w:t>:</w:t>
      </w:r>
    </w:p>
    <w:p w14:paraId="061BBCCF" w14:textId="77777777" w:rsidR="00652E38" w:rsidRPr="00B71236" w:rsidRDefault="00652E38" w:rsidP="00652E38">
      <w:pPr>
        <w:spacing w:line="480" w:lineRule="auto"/>
        <w:ind w:left="851"/>
        <w:jc w:val="both"/>
        <w:rPr>
          <w:rFonts w:ascii="Arial" w:eastAsia="Helvetica" w:hAnsi="Arial" w:cs="Arial"/>
          <w:sz w:val="24"/>
          <w:szCs w:val="24"/>
        </w:rPr>
      </w:pPr>
    </w:p>
    <w:p w14:paraId="712715FB" w14:textId="5FCD4FBC" w:rsidR="00652E38" w:rsidRDefault="00251A0A" w:rsidP="00652E38">
      <w:pPr>
        <w:numPr>
          <w:ilvl w:val="0"/>
          <w:numId w:val="2"/>
        </w:numPr>
        <w:spacing w:line="480" w:lineRule="auto"/>
        <w:jc w:val="both"/>
        <w:rPr>
          <w:rFonts w:ascii="Arial" w:hAnsi="Arial" w:cs="Arial"/>
          <w:sz w:val="24"/>
          <w:szCs w:val="24"/>
        </w:rPr>
      </w:pPr>
      <w:r>
        <w:rPr>
          <w:rFonts w:ascii="Arial" w:hAnsi="Arial" w:cs="Arial"/>
          <w:sz w:val="24"/>
          <w:szCs w:val="24"/>
        </w:rPr>
        <w:t xml:space="preserve">The </w:t>
      </w:r>
      <w:r w:rsidR="00857BB4">
        <w:rPr>
          <w:rFonts w:ascii="Arial" w:hAnsi="Arial" w:cs="Arial"/>
          <w:sz w:val="24"/>
          <w:szCs w:val="24"/>
        </w:rPr>
        <w:t>f</w:t>
      </w:r>
      <w:r w:rsidR="004419BC">
        <w:rPr>
          <w:rFonts w:ascii="Arial" w:hAnsi="Arial" w:cs="Arial"/>
          <w:sz w:val="24"/>
          <w:szCs w:val="24"/>
        </w:rPr>
        <w:t>irst</w:t>
      </w:r>
      <w:r w:rsidR="00E9015E">
        <w:rPr>
          <w:rFonts w:ascii="Arial" w:hAnsi="Arial" w:cs="Arial"/>
          <w:sz w:val="24"/>
          <w:szCs w:val="24"/>
        </w:rPr>
        <w:t xml:space="preserve">, </w:t>
      </w:r>
      <w:r w:rsidR="00857BB4">
        <w:rPr>
          <w:rFonts w:ascii="Arial" w:hAnsi="Arial" w:cs="Arial"/>
          <w:sz w:val="24"/>
          <w:szCs w:val="24"/>
        </w:rPr>
        <w:t>t</w:t>
      </w:r>
      <w:r w:rsidR="00E9015E">
        <w:rPr>
          <w:rFonts w:ascii="Arial" w:hAnsi="Arial" w:cs="Arial"/>
          <w:sz w:val="24"/>
          <w:szCs w:val="24"/>
        </w:rPr>
        <w:t xml:space="preserve">hird and </w:t>
      </w:r>
      <w:r w:rsidR="00857BB4">
        <w:rPr>
          <w:rFonts w:ascii="Arial" w:hAnsi="Arial" w:cs="Arial"/>
          <w:sz w:val="24"/>
          <w:szCs w:val="24"/>
        </w:rPr>
        <w:t>f</w:t>
      </w:r>
      <w:r w:rsidR="00E9015E">
        <w:rPr>
          <w:rFonts w:ascii="Arial" w:hAnsi="Arial" w:cs="Arial"/>
          <w:sz w:val="24"/>
          <w:szCs w:val="24"/>
        </w:rPr>
        <w:t xml:space="preserve">ourth </w:t>
      </w:r>
      <w:r w:rsidR="005B4F47">
        <w:rPr>
          <w:rFonts w:ascii="Arial" w:hAnsi="Arial" w:cs="Arial"/>
          <w:sz w:val="24"/>
          <w:szCs w:val="24"/>
        </w:rPr>
        <w:t>plaintiff</w:t>
      </w:r>
      <w:r w:rsidR="00E9015E">
        <w:rPr>
          <w:rFonts w:ascii="Arial" w:hAnsi="Arial" w:cs="Arial"/>
          <w:sz w:val="24"/>
          <w:szCs w:val="24"/>
        </w:rPr>
        <w:t>s</w:t>
      </w:r>
      <w:r w:rsidR="00857BB4">
        <w:rPr>
          <w:rFonts w:ascii="Arial" w:hAnsi="Arial" w:cs="Arial"/>
          <w:sz w:val="24"/>
          <w:szCs w:val="24"/>
        </w:rPr>
        <w:t xml:space="preserve"> act</w:t>
      </w:r>
      <w:r w:rsidR="004419BC">
        <w:rPr>
          <w:rFonts w:ascii="Arial" w:hAnsi="Arial" w:cs="Arial"/>
          <w:sz w:val="24"/>
          <w:szCs w:val="24"/>
        </w:rPr>
        <w:t xml:space="preserve"> as </w:t>
      </w:r>
      <w:r w:rsidR="00C20738">
        <w:rPr>
          <w:rFonts w:ascii="Arial" w:hAnsi="Arial" w:cs="Arial"/>
          <w:sz w:val="24"/>
          <w:szCs w:val="24"/>
        </w:rPr>
        <w:t>trustee</w:t>
      </w:r>
      <w:r w:rsidR="00E9015E">
        <w:rPr>
          <w:rFonts w:ascii="Arial" w:hAnsi="Arial" w:cs="Arial"/>
          <w:sz w:val="24"/>
          <w:szCs w:val="24"/>
        </w:rPr>
        <w:t>s</w:t>
      </w:r>
      <w:r w:rsidR="004419BC">
        <w:rPr>
          <w:rFonts w:ascii="Arial" w:hAnsi="Arial" w:cs="Arial"/>
          <w:sz w:val="24"/>
          <w:szCs w:val="24"/>
        </w:rPr>
        <w:t xml:space="preserve"> of the Raftelis Trading Trust </w:t>
      </w:r>
      <w:r w:rsidR="00E9015E">
        <w:rPr>
          <w:rFonts w:ascii="Arial" w:hAnsi="Arial" w:cs="Arial"/>
          <w:sz w:val="24"/>
          <w:szCs w:val="24"/>
        </w:rPr>
        <w:t xml:space="preserve">(“Raftelis”) </w:t>
      </w:r>
      <w:r w:rsidR="004419BC">
        <w:rPr>
          <w:rFonts w:ascii="Arial" w:hAnsi="Arial" w:cs="Arial"/>
          <w:sz w:val="24"/>
          <w:szCs w:val="24"/>
        </w:rPr>
        <w:t xml:space="preserve">which </w:t>
      </w:r>
      <w:r w:rsidR="00857BB4">
        <w:rPr>
          <w:rFonts w:ascii="Arial" w:hAnsi="Arial" w:cs="Arial"/>
          <w:sz w:val="24"/>
          <w:szCs w:val="24"/>
        </w:rPr>
        <w:t>w</w:t>
      </w:r>
      <w:r w:rsidR="004419BC">
        <w:rPr>
          <w:rFonts w:ascii="Arial" w:hAnsi="Arial" w:cs="Arial"/>
          <w:sz w:val="24"/>
          <w:szCs w:val="24"/>
        </w:rPr>
        <w:t xml:space="preserve">as incorporated in terms of the </w:t>
      </w:r>
      <w:r w:rsidR="00E9015E">
        <w:rPr>
          <w:rFonts w:ascii="Arial" w:hAnsi="Arial" w:cs="Arial"/>
          <w:sz w:val="24"/>
          <w:szCs w:val="24"/>
        </w:rPr>
        <w:t>t</w:t>
      </w:r>
      <w:r w:rsidR="004419BC">
        <w:rPr>
          <w:rFonts w:ascii="Arial" w:hAnsi="Arial" w:cs="Arial"/>
          <w:sz w:val="24"/>
          <w:szCs w:val="24"/>
        </w:rPr>
        <w:t xml:space="preserve">rust laws of the Republic of South Africa. </w:t>
      </w:r>
      <w:r w:rsidR="00193AF0">
        <w:rPr>
          <w:rFonts w:ascii="Arial" w:hAnsi="Arial" w:cs="Arial"/>
          <w:sz w:val="24"/>
          <w:szCs w:val="24"/>
        </w:rPr>
        <w:t xml:space="preserve">The </w:t>
      </w:r>
      <w:r w:rsidR="00857BB4">
        <w:rPr>
          <w:rFonts w:ascii="Arial" w:hAnsi="Arial" w:cs="Arial"/>
          <w:sz w:val="24"/>
          <w:szCs w:val="24"/>
        </w:rPr>
        <w:t>f</w:t>
      </w:r>
      <w:r w:rsidR="00193AF0">
        <w:rPr>
          <w:rFonts w:ascii="Arial" w:hAnsi="Arial" w:cs="Arial"/>
          <w:sz w:val="24"/>
          <w:szCs w:val="24"/>
        </w:rPr>
        <w:t xml:space="preserve">irst </w:t>
      </w:r>
      <w:r w:rsidR="005B4F47">
        <w:rPr>
          <w:rFonts w:ascii="Arial" w:hAnsi="Arial" w:cs="Arial"/>
          <w:sz w:val="24"/>
          <w:szCs w:val="24"/>
        </w:rPr>
        <w:t>defendant</w:t>
      </w:r>
      <w:r w:rsidR="00193AF0">
        <w:rPr>
          <w:rFonts w:ascii="Arial" w:hAnsi="Arial" w:cs="Arial"/>
          <w:sz w:val="24"/>
          <w:szCs w:val="24"/>
        </w:rPr>
        <w:t xml:space="preserve"> is a private company registered and incorporated in accordance in terms of the company laws of South Africa with the </w:t>
      </w:r>
      <w:r w:rsidR="00857BB4">
        <w:rPr>
          <w:rFonts w:ascii="Arial" w:hAnsi="Arial" w:cs="Arial"/>
          <w:sz w:val="24"/>
          <w:szCs w:val="24"/>
        </w:rPr>
        <w:t>s</w:t>
      </w:r>
      <w:r w:rsidR="00193AF0">
        <w:rPr>
          <w:rFonts w:ascii="Arial" w:hAnsi="Arial" w:cs="Arial"/>
          <w:sz w:val="24"/>
          <w:szCs w:val="24"/>
        </w:rPr>
        <w:t xml:space="preserve">econd and </w:t>
      </w:r>
      <w:r w:rsidR="00857BB4">
        <w:rPr>
          <w:rFonts w:ascii="Arial" w:hAnsi="Arial" w:cs="Arial"/>
          <w:sz w:val="24"/>
          <w:szCs w:val="24"/>
        </w:rPr>
        <w:t xml:space="preserve">third </w:t>
      </w:r>
      <w:r w:rsidR="005B4F47">
        <w:rPr>
          <w:rFonts w:ascii="Arial" w:hAnsi="Arial" w:cs="Arial"/>
          <w:sz w:val="24"/>
          <w:szCs w:val="24"/>
        </w:rPr>
        <w:t>defendant</w:t>
      </w:r>
      <w:r w:rsidR="00857BB4">
        <w:rPr>
          <w:rFonts w:ascii="Arial" w:hAnsi="Arial" w:cs="Arial"/>
          <w:sz w:val="24"/>
          <w:szCs w:val="24"/>
        </w:rPr>
        <w:t>s being the directors of the f</w:t>
      </w:r>
      <w:r w:rsidR="00193AF0">
        <w:rPr>
          <w:rFonts w:ascii="Arial" w:hAnsi="Arial" w:cs="Arial"/>
          <w:sz w:val="24"/>
          <w:szCs w:val="24"/>
        </w:rPr>
        <w:t xml:space="preserve">irst </w:t>
      </w:r>
      <w:r w:rsidR="005B4F47">
        <w:rPr>
          <w:rFonts w:ascii="Arial" w:hAnsi="Arial" w:cs="Arial"/>
          <w:sz w:val="24"/>
          <w:szCs w:val="24"/>
        </w:rPr>
        <w:t>defendant</w:t>
      </w:r>
      <w:r w:rsidR="00193AF0">
        <w:rPr>
          <w:rFonts w:ascii="Arial" w:hAnsi="Arial" w:cs="Arial"/>
          <w:sz w:val="24"/>
          <w:szCs w:val="24"/>
        </w:rPr>
        <w:t xml:space="preserve">. The </w:t>
      </w:r>
      <w:r w:rsidR="00857BB4">
        <w:rPr>
          <w:rFonts w:ascii="Arial" w:hAnsi="Arial" w:cs="Arial"/>
          <w:sz w:val="24"/>
          <w:szCs w:val="24"/>
        </w:rPr>
        <w:t>f</w:t>
      </w:r>
      <w:r w:rsidR="00193AF0">
        <w:rPr>
          <w:rFonts w:ascii="Arial" w:hAnsi="Arial" w:cs="Arial"/>
          <w:sz w:val="24"/>
          <w:szCs w:val="24"/>
        </w:rPr>
        <w:t xml:space="preserve">ourth </w:t>
      </w:r>
      <w:r w:rsidR="005B4F47">
        <w:rPr>
          <w:rFonts w:ascii="Arial" w:hAnsi="Arial" w:cs="Arial"/>
          <w:sz w:val="24"/>
          <w:szCs w:val="24"/>
        </w:rPr>
        <w:t>defendant</w:t>
      </w:r>
      <w:r w:rsidR="00193AF0">
        <w:rPr>
          <w:rFonts w:ascii="Arial" w:hAnsi="Arial" w:cs="Arial"/>
          <w:sz w:val="24"/>
          <w:szCs w:val="24"/>
        </w:rPr>
        <w:t xml:space="preserve"> acted as a broker in respect of two (2) agreements concluded by the </w:t>
      </w:r>
      <w:r w:rsidR="005B4F47">
        <w:rPr>
          <w:rFonts w:ascii="Arial" w:hAnsi="Arial" w:cs="Arial"/>
          <w:sz w:val="24"/>
          <w:szCs w:val="24"/>
        </w:rPr>
        <w:t>plaintiff</w:t>
      </w:r>
      <w:r w:rsidR="00193AF0">
        <w:rPr>
          <w:rFonts w:ascii="Arial" w:hAnsi="Arial" w:cs="Arial"/>
          <w:sz w:val="24"/>
          <w:szCs w:val="24"/>
        </w:rPr>
        <w:t xml:space="preserve">s with the </w:t>
      </w:r>
      <w:r w:rsidR="00857BB4">
        <w:rPr>
          <w:rFonts w:ascii="Arial" w:hAnsi="Arial" w:cs="Arial"/>
          <w:sz w:val="24"/>
          <w:szCs w:val="24"/>
        </w:rPr>
        <w:t>f</w:t>
      </w:r>
      <w:r w:rsidR="00193AF0">
        <w:rPr>
          <w:rFonts w:ascii="Arial" w:hAnsi="Arial" w:cs="Arial"/>
          <w:sz w:val="24"/>
          <w:szCs w:val="24"/>
        </w:rPr>
        <w:t xml:space="preserve">irst </w:t>
      </w:r>
      <w:r w:rsidR="005B4F47">
        <w:rPr>
          <w:rFonts w:ascii="Arial" w:hAnsi="Arial" w:cs="Arial"/>
          <w:sz w:val="24"/>
          <w:szCs w:val="24"/>
        </w:rPr>
        <w:t>defendant</w:t>
      </w:r>
      <w:r w:rsidR="00193AF0">
        <w:rPr>
          <w:rFonts w:ascii="Arial" w:hAnsi="Arial" w:cs="Arial"/>
          <w:sz w:val="24"/>
          <w:szCs w:val="24"/>
        </w:rPr>
        <w:t>.</w:t>
      </w:r>
    </w:p>
    <w:p w14:paraId="7FC0129F" w14:textId="77777777" w:rsidR="002A75F8" w:rsidRDefault="002A75F8" w:rsidP="002A75F8">
      <w:pPr>
        <w:spacing w:line="480" w:lineRule="auto"/>
        <w:ind w:left="851"/>
        <w:jc w:val="both"/>
        <w:rPr>
          <w:rFonts w:ascii="Arial" w:hAnsi="Arial" w:cs="Arial"/>
          <w:sz w:val="24"/>
          <w:szCs w:val="24"/>
        </w:rPr>
      </w:pPr>
    </w:p>
    <w:p w14:paraId="0CB20699" w14:textId="788B0C4A" w:rsidR="00193AF0" w:rsidRPr="00193AF0" w:rsidRDefault="00193AF0" w:rsidP="00193AF0">
      <w:pPr>
        <w:numPr>
          <w:ilvl w:val="0"/>
          <w:numId w:val="2"/>
        </w:numPr>
        <w:spacing w:line="480" w:lineRule="auto"/>
        <w:jc w:val="both"/>
        <w:rPr>
          <w:rFonts w:ascii="Arial" w:hAnsi="Arial" w:cs="Arial"/>
          <w:sz w:val="24"/>
          <w:szCs w:val="24"/>
        </w:rPr>
      </w:pPr>
      <w:r>
        <w:rPr>
          <w:rFonts w:ascii="Arial" w:hAnsi="Arial" w:cs="Arial"/>
          <w:sz w:val="24"/>
          <w:szCs w:val="24"/>
        </w:rPr>
        <w:t xml:space="preserve">During or about December 2017, the </w:t>
      </w:r>
      <w:r w:rsidR="00397507">
        <w:rPr>
          <w:rFonts w:ascii="Arial" w:hAnsi="Arial" w:cs="Arial"/>
          <w:sz w:val="24"/>
          <w:szCs w:val="24"/>
        </w:rPr>
        <w:t>first plaintiff</w:t>
      </w:r>
      <w:r>
        <w:rPr>
          <w:rFonts w:ascii="Arial" w:hAnsi="Arial" w:cs="Arial"/>
          <w:sz w:val="24"/>
          <w:szCs w:val="24"/>
        </w:rPr>
        <w:t xml:space="preserve"> in his capacity as </w:t>
      </w:r>
      <w:r w:rsidR="0058043B">
        <w:rPr>
          <w:rFonts w:ascii="Arial" w:hAnsi="Arial" w:cs="Arial"/>
          <w:sz w:val="24"/>
          <w:szCs w:val="24"/>
        </w:rPr>
        <w:t>t</w:t>
      </w:r>
      <w:r w:rsidR="00C20738">
        <w:rPr>
          <w:rFonts w:ascii="Arial" w:hAnsi="Arial" w:cs="Arial"/>
          <w:sz w:val="24"/>
          <w:szCs w:val="24"/>
        </w:rPr>
        <w:t>rustee</w:t>
      </w:r>
      <w:r>
        <w:rPr>
          <w:rFonts w:ascii="Arial" w:hAnsi="Arial" w:cs="Arial"/>
          <w:sz w:val="24"/>
          <w:szCs w:val="24"/>
        </w:rPr>
        <w:t xml:space="preserve"> of Raftelis entered into an Agreement of Purchase and Sale with the </w:t>
      </w:r>
      <w:r w:rsidR="0058043B">
        <w:rPr>
          <w:rFonts w:ascii="Arial" w:hAnsi="Arial" w:cs="Arial"/>
          <w:sz w:val="24"/>
          <w:szCs w:val="24"/>
        </w:rPr>
        <w:t>f</w:t>
      </w:r>
      <w:r>
        <w:rPr>
          <w:rFonts w:ascii="Arial" w:hAnsi="Arial" w:cs="Arial"/>
          <w:sz w:val="24"/>
          <w:szCs w:val="24"/>
        </w:rPr>
        <w:t xml:space="preserve">irst </w:t>
      </w:r>
      <w:r w:rsidR="0058043B">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whereby the </w:t>
      </w:r>
      <w:r w:rsidR="0058043B">
        <w:rPr>
          <w:rFonts w:ascii="Arial" w:hAnsi="Arial" w:cs="Arial"/>
          <w:sz w:val="24"/>
          <w:szCs w:val="24"/>
        </w:rPr>
        <w:t>f</w:t>
      </w:r>
      <w:r>
        <w:rPr>
          <w:rFonts w:ascii="Arial" w:hAnsi="Arial" w:cs="Arial"/>
          <w:sz w:val="24"/>
          <w:szCs w:val="24"/>
        </w:rPr>
        <w:t xml:space="preserve">irst </w:t>
      </w:r>
      <w:r w:rsidR="0058043B">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sold the business described as Sasol Isethebe (“the business”) to Raftelis.</w:t>
      </w:r>
    </w:p>
    <w:p w14:paraId="6C13D89E" w14:textId="72E0F00E" w:rsidR="002A75F8" w:rsidRDefault="002A75F8" w:rsidP="00125E8C">
      <w:pPr>
        <w:pStyle w:val="ListParagraph"/>
        <w:spacing w:line="480" w:lineRule="auto"/>
        <w:rPr>
          <w:rFonts w:ascii="Arial" w:hAnsi="Arial" w:cs="Arial"/>
        </w:rPr>
      </w:pPr>
    </w:p>
    <w:p w14:paraId="5B877E86" w14:textId="53447F80" w:rsidR="00652E38" w:rsidRDefault="00193AF0" w:rsidP="00125E8C">
      <w:pPr>
        <w:numPr>
          <w:ilvl w:val="0"/>
          <w:numId w:val="2"/>
        </w:numPr>
        <w:spacing w:line="480" w:lineRule="auto"/>
        <w:jc w:val="both"/>
        <w:rPr>
          <w:rFonts w:ascii="Arial" w:hAnsi="Arial" w:cs="Arial"/>
          <w:sz w:val="24"/>
          <w:szCs w:val="24"/>
        </w:rPr>
      </w:pPr>
      <w:r>
        <w:rPr>
          <w:rFonts w:ascii="Arial" w:hAnsi="Arial" w:cs="Arial"/>
          <w:sz w:val="24"/>
          <w:szCs w:val="24"/>
        </w:rPr>
        <w:t xml:space="preserve">Subsequent to entering into the Agreement of Purchase and Sale, the </w:t>
      </w:r>
      <w:r w:rsidR="0058043B">
        <w:rPr>
          <w:rFonts w:ascii="Arial" w:hAnsi="Arial" w:cs="Arial"/>
          <w:sz w:val="24"/>
          <w:szCs w:val="24"/>
        </w:rPr>
        <w:t>s</w:t>
      </w:r>
      <w:r>
        <w:rPr>
          <w:rFonts w:ascii="Arial" w:hAnsi="Arial" w:cs="Arial"/>
          <w:sz w:val="24"/>
          <w:szCs w:val="24"/>
        </w:rPr>
        <w:t xml:space="preserve">econd </w:t>
      </w:r>
      <w:r w:rsidR="0058043B">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 in his personal capacity and on 18 December 2017 concluded a Management Agreement with the </w:t>
      </w:r>
      <w:r w:rsidR="0058043B">
        <w:rPr>
          <w:rFonts w:ascii="Arial" w:hAnsi="Arial" w:cs="Arial"/>
          <w:sz w:val="24"/>
          <w:szCs w:val="24"/>
        </w:rPr>
        <w:t>f</w:t>
      </w:r>
      <w:r>
        <w:rPr>
          <w:rFonts w:ascii="Arial" w:hAnsi="Arial" w:cs="Arial"/>
          <w:sz w:val="24"/>
          <w:szCs w:val="24"/>
        </w:rPr>
        <w:t xml:space="preserve">irst </w:t>
      </w:r>
      <w:r w:rsidR="0058043B">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The Management Agreement was to allow the </w:t>
      </w:r>
      <w:r w:rsidR="0058043B">
        <w:rPr>
          <w:rFonts w:ascii="Arial" w:hAnsi="Arial" w:cs="Arial"/>
          <w:sz w:val="24"/>
          <w:szCs w:val="24"/>
        </w:rPr>
        <w:t>s</w:t>
      </w:r>
      <w:r>
        <w:rPr>
          <w:rFonts w:ascii="Arial" w:hAnsi="Arial" w:cs="Arial"/>
          <w:sz w:val="24"/>
          <w:szCs w:val="24"/>
        </w:rPr>
        <w:t xml:space="preserve">econd </w:t>
      </w:r>
      <w:r w:rsidR="0058043B">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 to part</w:t>
      </w:r>
      <w:r w:rsidR="0058043B">
        <w:rPr>
          <w:rFonts w:ascii="Arial" w:hAnsi="Arial" w:cs="Arial"/>
          <w:sz w:val="24"/>
          <w:szCs w:val="24"/>
        </w:rPr>
        <w:t>icipate in the business of the f</w:t>
      </w:r>
      <w:r>
        <w:rPr>
          <w:rFonts w:ascii="Arial" w:hAnsi="Arial" w:cs="Arial"/>
          <w:sz w:val="24"/>
          <w:szCs w:val="24"/>
        </w:rPr>
        <w:t xml:space="preserve">irst </w:t>
      </w:r>
      <w:r w:rsidR="0058043B">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against payment of the sum of </w:t>
      </w:r>
      <w:r>
        <w:rPr>
          <w:rFonts w:ascii="Arial" w:hAnsi="Arial" w:cs="Arial"/>
          <w:sz w:val="24"/>
          <w:szCs w:val="24"/>
        </w:rPr>
        <w:lastRenderedPageBreak/>
        <w:t>R4 880</w:t>
      </w:r>
      <w:r w:rsidR="00AF2363">
        <w:rPr>
          <w:rFonts w:ascii="Arial" w:hAnsi="Arial" w:cs="Arial"/>
          <w:sz w:val="24"/>
          <w:szCs w:val="24"/>
        </w:rPr>
        <w:t xml:space="preserve"> 400,00. The sum of R4 424 400,00 was to be </w:t>
      </w:r>
      <w:r w:rsidR="00F83FCB">
        <w:rPr>
          <w:rFonts w:ascii="Arial" w:hAnsi="Arial" w:cs="Arial"/>
          <w:sz w:val="24"/>
          <w:szCs w:val="24"/>
        </w:rPr>
        <w:t xml:space="preserve">paid into the trust account of the </w:t>
      </w:r>
      <w:r w:rsidR="0058043B">
        <w:rPr>
          <w:rFonts w:ascii="Arial" w:hAnsi="Arial" w:cs="Arial"/>
          <w:sz w:val="24"/>
          <w:szCs w:val="24"/>
        </w:rPr>
        <w:t>f</w:t>
      </w:r>
      <w:r w:rsidR="00F83FCB">
        <w:rPr>
          <w:rFonts w:ascii="Arial" w:hAnsi="Arial" w:cs="Arial"/>
          <w:sz w:val="24"/>
          <w:szCs w:val="24"/>
        </w:rPr>
        <w:t xml:space="preserve">ourth </w:t>
      </w:r>
      <w:r w:rsidR="0058043B">
        <w:rPr>
          <w:rFonts w:ascii="Arial" w:hAnsi="Arial" w:cs="Arial"/>
          <w:sz w:val="24"/>
          <w:szCs w:val="24"/>
        </w:rPr>
        <w:t>d</w:t>
      </w:r>
      <w:r w:rsidR="005B4F47">
        <w:rPr>
          <w:rFonts w:ascii="Arial" w:hAnsi="Arial" w:cs="Arial"/>
          <w:sz w:val="24"/>
          <w:szCs w:val="24"/>
        </w:rPr>
        <w:t>efendant</w:t>
      </w:r>
      <w:r w:rsidR="00F83FCB">
        <w:rPr>
          <w:rFonts w:ascii="Arial" w:hAnsi="Arial" w:cs="Arial"/>
          <w:sz w:val="24"/>
          <w:szCs w:val="24"/>
        </w:rPr>
        <w:t xml:space="preserve"> and the balance of R456 000,00 would be retained in the </w:t>
      </w:r>
      <w:r w:rsidR="0058043B">
        <w:rPr>
          <w:rFonts w:ascii="Arial" w:hAnsi="Arial" w:cs="Arial"/>
          <w:sz w:val="24"/>
          <w:szCs w:val="24"/>
        </w:rPr>
        <w:t>f</w:t>
      </w:r>
      <w:r w:rsidR="00F83FCB">
        <w:rPr>
          <w:rFonts w:ascii="Arial" w:hAnsi="Arial" w:cs="Arial"/>
          <w:sz w:val="24"/>
          <w:szCs w:val="24"/>
        </w:rPr>
        <w:t xml:space="preserve">ourth </w:t>
      </w:r>
      <w:r w:rsidR="0058043B">
        <w:rPr>
          <w:rFonts w:ascii="Arial" w:hAnsi="Arial" w:cs="Arial"/>
          <w:sz w:val="24"/>
          <w:szCs w:val="24"/>
        </w:rPr>
        <w:t>d</w:t>
      </w:r>
      <w:r w:rsidR="005B4F47">
        <w:rPr>
          <w:rFonts w:ascii="Arial" w:hAnsi="Arial" w:cs="Arial"/>
          <w:sz w:val="24"/>
          <w:szCs w:val="24"/>
        </w:rPr>
        <w:t>efendant</w:t>
      </w:r>
      <w:r w:rsidR="00F83FCB">
        <w:rPr>
          <w:rFonts w:ascii="Arial" w:hAnsi="Arial" w:cs="Arial"/>
          <w:sz w:val="24"/>
          <w:szCs w:val="24"/>
        </w:rPr>
        <w:t>’s trust account pending transfer of the business to</w:t>
      </w:r>
      <w:r w:rsidR="0058043B">
        <w:rPr>
          <w:rFonts w:ascii="Arial" w:hAnsi="Arial" w:cs="Arial"/>
          <w:sz w:val="24"/>
          <w:szCs w:val="24"/>
        </w:rPr>
        <w:t xml:space="preserve"> Raftelis</w:t>
      </w:r>
      <w:r w:rsidR="00F83FCB">
        <w:rPr>
          <w:rFonts w:ascii="Arial" w:hAnsi="Arial" w:cs="Arial"/>
          <w:sz w:val="24"/>
          <w:szCs w:val="24"/>
        </w:rPr>
        <w:t xml:space="preserve">. </w:t>
      </w:r>
    </w:p>
    <w:p w14:paraId="67D2B18A" w14:textId="77777777" w:rsidR="000B239F" w:rsidRDefault="000B239F" w:rsidP="000B239F">
      <w:pPr>
        <w:spacing w:line="480" w:lineRule="auto"/>
        <w:ind w:left="851"/>
        <w:jc w:val="both"/>
        <w:rPr>
          <w:rFonts w:ascii="Arial" w:hAnsi="Arial" w:cs="Arial"/>
          <w:sz w:val="24"/>
          <w:szCs w:val="24"/>
        </w:rPr>
      </w:pPr>
    </w:p>
    <w:p w14:paraId="05CDD4EF" w14:textId="1561BB73" w:rsidR="000B239F" w:rsidRDefault="00F83FCB" w:rsidP="00125E8C">
      <w:pPr>
        <w:numPr>
          <w:ilvl w:val="0"/>
          <w:numId w:val="2"/>
        </w:numPr>
        <w:spacing w:line="480" w:lineRule="auto"/>
        <w:jc w:val="both"/>
        <w:rPr>
          <w:rFonts w:ascii="Arial" w:hAnsi="Arial" w:cs="Arial"/>
          <w:sz w:val="24"/>
          <w:szCs w:val="24"/>
        </w:rPr>
      </w:pPr>
      <w:r>
        <w:rPr>
          <w:rFonts w:ascii="Arial" w:hAnsi="Arial" w:cs="Arial"/>
          <w:sz w:val="24"/>
          <w:szCs w:val="24"/>
        </w:rPr>
        <w:t xml:space="preserve">The Management Agreement clearly refers to the parties as being the </w:t>
      </w:r>
      <w:r w:rsidR="0058043B">
        <w:rPr>
          <w:rFonts w:ascii="Arial" w:hAnsi="Arial" w:cs="Arial"/>
          <w:sz w:val="24"/>
          <w:szCs w:val="24"/>
        </w:rPr>
        <w:t>s</w:t>
      </w:r>
      <w:r>
        <w:rPr>
          <w:rFonts w:ascii="Arial" w:hAnsi="Arial" w:cs="Arial"/>
          <w:sz w:val="24"/>
          <w:szCs w:val="24"/>
        </w:rPr>
        <w:t xml:space="preserve">econd </w:t>
      </w:r>
      <w:r w:rsidR="0058043B">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 and the </w:t>
      </w:r>
      <w:r w:rsidR="0058043B">
        <w:rPr>
          <w:rFonts w:ascii="Arial" w:hAnsi="Arial" w:cs="Arial"/>
          <w:sz w:val="24"/>
          <w:szCs w:val="24"/>
        </w:rPr>
        <w:t>f</w:t>
      </w:r>
      <w:r>
        <w:rPr>
          <w:rFonts w:ascii="Arial" w:hAnsi="Arial" w:cs="Arial"/>
          <w:sz w:val="24"/>
          <w:szCs w:val="24"/>
        </w:rPr>
        <w:t xml:space="preserve">irst </w:t>
      </w:r>
      <w:r w:rsidR="0058043B">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The Management Agreement was signed by the </w:t>
      </w:r>
      <w:r w:rsidR="0058043B">
        <w:rPr>
          <w:rFonts w:ascii="Arial" w:hAnsi="Arial" w:cs="Arial"/>
          <w:sz w:val="24"/>
          <w:szCs w:val="24"/>
        </w:rPr>
        <w:t>s</w:t>
      </w:r>
      <w:r>
        <w:rPr>
          <w:rFonts w:ascii="Arial" w:hAnsi="Arial" w:cs="Arial"/>
          <w:sz w:val="24"/>
          <w:szCs w:val="24"/>
        </w:rPr>
        <w:t xml:space="preserve">econd </w:t>
      </w:r>
      <w:r w:rsidR="0058043B">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 personally and by the </w:t>
      </w:r>
      <w:r w:rsidR="0058043B">
        <w:rPr>
          <w:rFonts w:ascii="Arial" w:hAnsi="Arial" w:cs="Arial"/>
          <w:sz w:val="24"/>
          <w:szCs w:val="24"/>
        </w:rPr>
        <w:t>s</w:t>
      </w:r>
      <w:r>
        <w:rPr>
          <w:rFonts w:ascii="Arial" w:hAnsi="Arial" w:cs="Arial"/>
          <w:sz w:val="24"/>
          <w:szCs w:val="24"/>
        </w:rPr>
        <w:t xml:space="preserve">econd </w:t>
      </w:r>
      <w:r w:rsidR="0058043B">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on behalf of the </w:t>
      </w:r>
      <w:r w:rsidR="0058043B">
        <w:rPr>
          <w:rFonts w:ascii="Arial" w:hAnsi="Arial" w:cs="Arial"/>
          <w:sz w:val="24"/>
          <w:szCs w:val="24"/>
        </w:rPr>
        <w:t>f</w:t>
      </w:r>
      <w:r>
        <w:rPr>
          <w:rFonts w:ascii="Arial" w:hAnsi="Arial" w:cs="Arial"/>
          <w:sz w:val="24"/>
          <w:szCs w:val="24"/>
        </w:rPr>
        <w:t xml:space="preserve">irst </w:t>
      </w:r>
      <w:r w:rsidR="0058043B">
        <w:rPr>
          <w:rFonts w:ascii="Arial" w:hAnsi="Arial" w:cs="Arial"/>
          <w:sz w:val="24"/>
          <w:szCs w:val="24"/>
        </w:rPr>
        <w:t>d</w:t>
      </w:r>
      <w:r w:rsidR="005B4F47">
        <w:rPr>
          <w:rFonts w:ascii="Arial" w:hAnsi="Arial" w:cs="Arial"/>
          <w:sz w:val="24"/>
          <w:szCs w:val="24"/>
        </w:rPr>
        <w:t>efendant</w:t>
      </w:r>
      <w:r>
        <w:rPr>
          <w:rFonts w:ascii="Arial" w:hAnsi="Arial" w:cs="Arial"/>
          <w:sz w:val="24"/>
          <w:szCs w:val="24"/>
        </w:rPr>
        <w:t>.</w:t>
      </w:r>
    </w:p>
    <w:p w14:paraId="120171B3" w14:textId="77777777" w:rsidR="00524FF8" w:rsidRDefault="00524FF8" w:rsidP="00524FF8">
      <w:pPr>
        <w:pStyle w:val="ListParagraph"/>
        <w:spacing w:line="480" w:lineRule="auto"/>
        <w:rPr>
          <w:rFonts w:ascii="Arial" w:hAnsi="Arial" w:cs="Arial"/>
        </w:rPr>
      </w:pPr>
    </w:p>
    <w:p w14:paraId="1E8DC3A1" w14:textId="1A5804CA" w:rsidR="00524FF8" w:rsidRDefault="00F83FCB" w:rsidP="00125E8C">
      <w:pPr>
        <w:numPr>
          <w:ilvl w:val="0"/>
          <w:numId w:val="2"/>
        </w:numPr>
        <w:spacing w:line="480" w:lineRule="auto"/>
        <w:jc w:val="both"/>
        <w:rPr>
          <w:rFonts w:ascii="Arial" w:hAnsi="Arial" w:cs="Arial"/>
          <w:sz w:val="24"/>
          <w:szCs w:val="24"/>
        </w:rPr>
      </w:pPr>
      <w:r>
        <w:rPr>
          <w:rFonts w:ascii="Arial" w:hAnsi="Arial" w:cs="Arial"/>
          <w:sz w:val="24"/>
          <w:szCs w:val="24"/>
        </w:rPr>
        <w:t xml:space="preserve">Provision was made in the Management Agreement that </w:t>
      </w:r>
      <w:r w:rsidR="0058043B">
        <w:rPr>
          <w:rFonts w:ascii="Arial" w:hAnsi="Arial" w:cs="Arial"/>
          <w:sz w:val="24"/>
          <w:szCs w:val="24"/>
        </w:rPr>
        <w:t>as</w:t>
      </w:r>
      <w:r>
        <w:rPr>
          <w:rFonts w:ascii="Arial" w:hAnsi="Arial" w:cs="Arial"/>
          <w:sz w:val="24"/>
          <w:szCs w:val="24"/>
        </w:rPr>
        <w:t xml:space="preserve"> consideration for the </w:t>
      </w:r>
      <w:r w:rsidR="0058043B">
        <w:rPr>
          <w:rFonts w:ascii="Arial" w:hAnsi="Arial" w:cs="Arial"/>
          <w:sz w:val="24"/>
          <w:szCs w:val="24"/>
        </w:rPr>
        <w:t>s</w:t>
      </w:r>
      <w:r>
        <w:rPr>
          <w:rFonts w:ascii="Arial" w:hAnsi="Arial" w:cs="Arial"/>
          <w:sz w:val="24"/>
          <w:szCs w:val="24"/>
        </w:rPr>
        <w:t xml:space="preserve">econd </w:t>
      </w:r>
      <w:r w:rsidR="0058043B">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’s participation in the business, the </w:t>
      </w:r>
      <w:r w:rsidR="0058043B">
        <w:rPr>
          <w:rFonts w:ascii="Arial" w:hAnsi="Arial" w:cs="Arial"/>
          <w:sz w:val="24"/>
          <w:szCs w:val="24"/>
        </w:rPr>
        <w:t>f</w:t>
      </w:r>
      <w:r>
        <w:rPr>
          <w:rFonts w:ascii="Arial" w:hAnsi="Arial" w:cs="Arial"/>
          <w:sz w:val="24"/>
          <w:szCs w:val="24"/>
        </w:rPr>
        <w:t xml:space="preserve">irst </w:t>
      </w:r>
      <w:r w:rsidR="0058043B">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was to pay forty nine percent of the net monthly profits of the business to the </w:t>
      </w:r>
      <w:r w:rsidR="0058043B">
        <w:rPr>
          <w:rFonts w:ascii="Arial" w:hAnsi="Arial" w:cs="Arial"/>
          <w:sz w:val="24"/>
          <w:szCs w:val="24"/>
        </w:rPr>
        <w:t>s</w:t>
      </w:r>
      <w:r>
        <w:rPr>
          <w:rFonts w:ascii="Arial" w:hAnsi="Arial" w:cs="Arial"/>
          <w:sz w:val="24"/>
          <w:szCs w:val="24"/>
        </w:rPr>
        <w:t xml:space="preserve">econd </w:t>
      </w:r>
      <w:r w:rsidR="0058043B">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 </w:t>
      </w:r>
      <w:r w:rsidR="0058043B">
        <w:rPr>
          <w:rFonts w:ascii="Arial" w:hAnsi="Arial" w:cs="Arial"/>
          <w:sz w:val="24"/>
          <w:szCs w:val="24"/>
        </w:rPr>
        <w:t>The second p</w:t>
      </w:r>
      <w:r w:rsidR="005B4F47">
        <w:rPr>
          <w:rFonts w:ascii="Arial" w:hAnsi="Arial" w:cs="Arial"/>
          <w:sz w:val="24"/>
          <w:szCs w:val="24"/>
        </w:rPr>
        <w:t>laintiff</w:t>
      </w:r>
      <w:r>
        <w:rPr>
          <w:rFonts w:ascii="Arial" w:hAnsi="Arial" w:cs="Arial"/>
          <w:sz w:val="24"/>
          <w:szCs w:val="24"/>
        </w:rPr>
        <w:t xml:space="preserve"> </w:t>
      </w:r>
      <w:r w:rsidR="00914360">
        <w:rPr>
          <w:rFonts w:ascii="Arial" w:hAnsi="Arial" w:cs="Arial"/>
          <w:sz w:val="24"/>
          <w:szCs w:val="24"/>
        </w:rPr>
        <w:t xml:space="preserve">liquidated certain local and offshore investments in order to meet his obligations in terms of both the Purchase and Sale Agreement and the Management Agreement. </w:t>
      </w:r>
      <w:r w:rsidR="009A2842">
        <w:rPr>
          <w:rFonts w:ascii="Arial" w:hAnsi="Arial" w:cs="Arial"/>
          <w:sz w:val="24"/>
          <w:szCs w:val="24"/>
        </w:rPr>
        <w:t xml:space="preserve">The </w:t>
      </w:r>
      <w:r w:rsidR="0058043B">
        <w:rPr>
          <w:rFonts w:ascii="Arial" w:hAnsi="Arial" w:cs="Arial"/>
          <w:sz w:val="24"/>
          <w:szCs w:val="24"/>
        </w:rPr>
        <w:t>s</w:t>
      </w:r>
      <w:r w:rsidR="009A2842">
        <w:rPr>
          <w:rFonts w:ascii="Arial" w:hAnsi="Arial" w:cs="Arial"/>
          <w:sz w:val="24"/>
          <w:szCs w:val="24"/>
        </w:rPr>
        <w:t xml:space="preserve">econd </w:t>
      </w:r>
      <w:r w:rsidR="0058043B">
        <w:rPr>
          <w:rFonts w:ascii="Arial" w:hAnsi="Arial" w:cs="Arial"/>
          <w:sz w:val="24"/>
          <w:szCs w:val="24"/>
        </w:rPr>
        <w:t>p</w:t>
      </w:r>
      <w:r w:rsidR="005B4F47">
        <w:rPr>
          <w:rFonts w:ascii="Arial" w:hAnsi="Arial" w:cs="Arial"/>
          <w:sz w:val="24"/>
          <w:szCs w:val="24"/>
        </w:rPr>
        <w:t>laintiff</w:t>
      </w:r>
      <w:r w:rsidR="009A2842">
        <w:rPr>
          <w:rFonts w:ascii="Arial" w:hAnsi="Arial" w:cs="Arial"/>
          <w:sz w:val="24"/>
          <w:szCs w:val="24"/>
        </w:rPr>
        <w:t xml:space="preserve"> took occupation of the business and commenced participation therein during or about January 2018.</w:t>
      </w:r>
    </w:p>
    <w:p w14:paraId="30E5A325" w14:textId="77777777" w:rsidR="00F17318" w:rsidRDefault="00F17318" w:rsidP="00F17318">
      <w:pPr>
        <w:pStyle w:val="ListParagraph"/>
        <w:spacing w:line="480" w:lineRule="auto"/>
        <w:rPr>
          <w:rFonts w:ascii="Arial" w:hAnsi="Arial" w:cs="Arial"/>
        </w:rPr>
      </w:pPr>
    </w:p>
    <w:p w14:paraId="6CF2B70B" w14:textId="3152DCA0" w:rsidR="00F17318" w:rsidRDefault="009A2842" w:rsidP="00125E8C">
      <w:pPr>
        <w:numPr>
          <w:ilvl w:val="0"/>
          <w:numId w:val="2"/>
        </w:numPr>
        <w:spacing w:line="480" w:lineRule="auto"/>
        <w:jc w:val="both"/>
        <w:rPr>
          <w:rFonts w:ascii="Arial" w:hAnsi="Arial" w:cs="Arial"/>
          <w:sz w:val="24"/>
          <w:szCs w:val="24"/>
        </w:rPr>
      </w:pPr>
      <w:r>
        <w:rPr>
          <w:rFonts w:ascii="Arial" w:hAnsi="Arial" w:cs="Arial"/>
          <w:sz w:val="24"/>
          <w:szCs w:val="24"/>
        </w:rPr>
        <w:t xml:space="preserve">The </w:t>
      </w:r>
      <w:r w:rsidR="00397507">
        <w:rPr>
          <w:rFonts w:ascii="Arial" w:hAnsi="Arial" w:cs="Arial"/>
          <w:sz w:val="24"/>
          <w:szCs w:val="24"/>
        </w:rPr>
        <w:t>s</w:t>
      </w:r>
      <w:r>
        <w:rPr>
          <w:rFonts w:ascii="Arial" w:hAnsi="Arial" w:cs="Arial"/>
          <w:sz w:val="24"/>
          <w:szCs w:val="24"/>
        </w:rPr>
        <w:t xml:space="preserve">econd </w:t>
      </w:r>
      <w:r w:rsidR="00397507">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 alleged that the </w:t>
      </w:r>
      <w:r w:rsidR="00397507">
        <w:rPr>
          <w:rFonts w:ascii="Arial" w:hAnsi="Arial" w:cs="Arial"/>
          <w:sz w:val="24"/>
          <w:szCs w:val="24"/>
        </w:rPr>
        <w:t>f</w:t>
      </w:r>
      <w:r>
        <w:rPr>
          <w:rFonts w:ascii="Arial" w:hAnsi="Arial" w:cs="Arial"/>
          <w:sz w:val="24"/>
          <w:szCs w:val="24"/>
        </w:rPr>
        <w:t xml:space="preserve">irst </w:t>
      </w:r>
      <w:r w:rsidR="00397507">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had not discharged its obligation </w:t>
      </w:r>
      <w:r w:rsidR="00785076">
        <w:rPr>
          <w:rFonts w:ascii="Arial" w:hAnsi="Arial" w:cs="Arial"/>
          <w:sz w:val="24"/>
          <w:szCs w:val="24"/>
        </w:rPr>
        <w:t xml:space="preserve">to furnish the </w:t>
      </w:r>
      <w:r w:rsidR="00397507">
        <w:rPr>
          <w:rFonts w:ascii="Arial" w:hAnsi="Arial" w:cs="Arial"/>
          <w:sz w:val="24"/>
          <w:szCs w:val="24"/>
        </w:rPr>
        <w:t>s</w:t>
      </w:r>
      <w:r w:rsidR="00785076">
        <w:rPr>
          <w:rFonts w:ascii="Arial" w:hAnsi="Arial" w:cs="Arial"/>
          <w:sz w:val="24"/>
          <w:szCs w:val="24"/>
        </w:rPr>
        <w:t xml:space="preserve">econd </w:t>
      </w:r>
      <w:r w:rsidR="00397507">
        <w:rPr>
          <w:rFonts w:ascii="Arial" w:hAnsi="Arial" w:cs="Arial"/>
          <w:sz w:val="24"/>
          <w:szCs w:val="24"/>
        </w:rPr>
        <w:t>p</w:t>
      </w:r>
      <w:r w:rsidR="005B4F47">
        <w:rPr>
          <w:rFonts w:ascii="Arial" w:hAnsi="Arial" w:cs="Arial"/>
          <w:sz w:val="24"/>
          <w:szCs w:val="24"/>
        </w:rPr>
        <w:t>laintiff</w:t>
      </w:r>
      <w:r w:rsidR="00785076">
        <w:rPr>
          <w:rFonts w:ascii="Arial" w:hAnsi="Arial" w:cs="Arial"/>
          <w:sz w:val="24"/>
          <w:szCs w:val="24"/>
        </w:rPr>
        <w:t xml:space="preserve"> with an updated set of management accounts and Statement of Assets and Liabilities</w:t>
      </w:r>
      <w:r w:rsidR="005E5624">
        <w:rPr>
          <w:rFonts w:ascii="Arial" w:hAnsi="Arial" w:cs="Arial"/>
          <w:sz w:val="24"/>
          <w:szCs w:val="24"/>
        </w:rPr>
        <w:t xml:space="preserve"> as was agreed to in paragraph 7 of Annexure “D” and paragraph 4 of Annexure “E” to the Management Agreement. </w:t>
      </w:r>
      <w:r w:rsidR="00605C66">
        <w:rPr>
          <w:rFonts w:ascii="Arial" w:hAnsi="Arial" w:cs="Arial"/>
          <w:sz w:val="24"/>
          <w:szCs w:val="24"/>
        </w:rPr>
        <w:t xml:space="preserve">The </w:t>
      </w:r>
      <w:r w:rsidR="00397507">
        <w:rPr>
          <w:rFonts w:ascii="Arial" w:hAnsi="Arial" w:cs="Arial"/>
          <w:sz w:val="24"/>
          <w:szCs w:val="24"/>
        </w:rPr>
        <w:t>first plaintiff</w:t>
      </w:r>
      <w:r w:rsidR="005E5624">
        <w:rPr>
          <w:rFonts w:ascii="Arial" w:hAnsi="Arial" w:cs="Arial"/>
          <w:sz w:val="24"/>
          <w:szCs w:val="24"/>
        </w:rPr>
        <w:t xml:space="preserve"> was to secure a loan </w:t>
      </w:r>
      <w:r w:rsidR="00605C66">
        <w:rPr>
          <w:rFonts w:ascii="Arial" w:hAnsi="Arial" w:cs="Arial"/>
          <w:sz w:val="24"/>
          <w:szCs w:val="24"/>
        </w:rPr>
        <w:lastRenderedPageBreak/>
        <w:t xml:space="preserve">from </w:t>
      </w:r>
      <w:r w:rsidR="005E5624">
        <w:rPr>
          <w:rFonts w:ascii="Arial" w:hAnsi="Arial" w:cs="Arial"/>
          <w:sz w:val="24"/>
          <w:szCs w:val="24"/>
        </w:rPr>
        <w:t xml:space="preserve">a registered bank or financial institution and </w:t>
      </w:r>
      <w:r w:rsidR="00605C66">
        <w:rPr>
          <w:rFonts w:ascii="Arial" w:hAnsi="Arial" w:cs="Arial"/>
          <w:sz w:val="24"/>
          <w:szCs w:val="24"/>
        </w:rPr>
        <w:t xml:space="preserve">the </w:t>
      </w:r>
      <w:r w:rsidR="002A7063">
        <w:rPr>
          <w:rFonts w:ascii="Arial" w:hAnsi="Arial" w:cs="Arial"/>
          <w:sz w:val="24"/>
          <w:szCs w:val="24"/>
        </w:rPr>
        <w:t xml:space="preserve">first defendant </w:t>
      </w:r>
      <w:r w:rsidR="005E5624">
        <w:rPr>
          <w:rFonts w:ascii="Arial" w:hAnsi="Arial" w:cs="Arial"/>
          <w:sz w:val="24"/>
          <w:szCs w:val="24"/>
        </w:rPr>
        <w:t>fail</w:t>
      </w:r>
      <w:r w:rsidR="00605C66">
        <w:rPr>
          <w:rFonts w:ascii="Arial" w:hAnsi="Arial" w:cs="Arial"/>
          <w:sz w:val="24"/>
          <w:szCs w:val="24"/>
        </w:rPr>
        <w:t>ed</w:t>
      </w:r>
      <w:r w:rsidR="005E5624">
        <w:rPr>
          <w:rFonts w:ascii="Arial" w:hAnsi="Arial" w:cs="Arial"/>
          <w:sz w:val="24"/>
          <w:szCs w:val="24"/>
        </w:rPr>
        <w:t xml:space="preserve"> </w:t>
      </w:r>
      <w:r w:rsidR="005F70E1">
        <w:rPr>
          <w:rFonts w:ascii="Arial" w:hAnsi="Arial" w:cs="Arial"/>
          <w:sz w:val="24"/>
          <w:szCs w:val="24"/>
        </w:rPr>
        <w:t xml:space="preserve">to furnish the </w:t>
      </w:r>
      <w:r w:rsidR="002A7063">
        <w:rPr>
          <w:rFonts w:ascii="Arial" w:hAnsi="Arial" w:cs="Arial"/>
          <w:sz w:val="24"/>
          <w:szCs w:val="24"/>
        </w:rPr>
        <w:t>s</w:t>
      </w:r>
      <w:r w:rsidR="005F70E1">
        <w:rPr>
          <w:rFonts w:ascii="Arial" w:hAnsi="Arial" w:cs="Arial"/>
          <w:sz w:val="24"/>
          <w:szCs w:val="24"/>
        </w:rPr>
        <w:t xml:space="preserve">econd </w:t>
      </w:r>
      <w:r w:rsidR="002A7063">
        <w:rPr>
          <w:rFonts w:ascii="Arial" w:hAnsi="Arial" w:cs="Arial"/>
          <w:sz w:val="24"/>
          <w:szCs w:val="24"/>
        </w:rPr>
        <w:t>p</w:t>
      </w:r>
      <w:r w:rsidR="005B4F47">
        <w:rPr>
          <w:rFonts w:ascii="Arial" w:hAnsi="Arial" w:cs="Arial"/>
          <w:sz w:val="24"/>
          <w:szCs w:val="24"/>
        </w:rPr>
        <w:t>laintiff</w:t>
      </w:r>
      <w:r w:rsidR="005F70E1">
        <w:rPr>
          <w:rFonts w:ascii="Arial" w:hAnsi="Arial" w:cs="Arial"/>
          <w:sz w:val="24"/>
          <w:szCs w:val="24"/>
        </w:rPr>
        <w:t xml:space="preserve"> </w:t>
      </w:r>
      <w:r w:rsidR="00605C66">
        <w:rPr>
          <w:rFonts w:ascii="Arial" w:hAnsi="Arial" w:cs="Arial"/>
          <w:sz w:val="24"/>
          <w:szCs w:val="24"/>
        </w:rPr>
        <w:t xml:space="preserve">with </w:t>
      </w:r>
      <w:r w:rsidR="005F70E1">
        <w:rPr>
          <w:rFonts w:ascii="Arial" w:hAnsi="Arial" w:cs="Arial"/>
          <w:sz w:val="24"/>
          <w:szCs w:val="24"/>
        </w:rPr>
        <w:t>t</w:t>
      </w:r>
      <w:r w:rsidR="00605C66">
        <w:rPr>
          <w:rFonts w:ascii="Arial" w:hAnsi="Arial" w:cs="Arial"/>
          <w:sz w:val="24"/>
          <w:szCs w:val="24"/>
        </w:rPr>
        <w:t>he necessary documents, resulting</w:t>
      </w:r>
      <w:r w:rsidR="005F70E1">
        <w:rPr>
          <w:rFonts w:ascii="Arial" w:hAnsi="Arial" w:cs="Arial"/>
          <w:sz w:val="24"/>
          <w:szCs w:val="24"/>
        </w:rPr>
        <w:t xml:space="preserve"> in the loan which was to be granted </w:t>
      </w:r>
      <w:r w:rsidR="00B87A21">
        <w:rPr>
          <w:rFonts w:ascii="Arial" w:hAnsi="Arial" w:cs="Arial"/>
          <w:sz w:val="24"/>
          <w:szCs w:val="24"/>
        </w:rPr>
        <w:t>by the financial institution, being withdrawn.</w:t>
      </w:r>
    </w:p>
    <w:p w14:paraId="77DEA50A" w14:textId="77777777" w:rsidR="00F17318" w:rsidRDefault="00F17318" w:rsidP="00F17318">
      <w:pPr>
        <w:pStyle w:val="ListParagraph"/>
        <w:spacing w:line="480" w:lineRule="auto"/>
        <w:rPr>
          <w:rFonts w:ascii="Arial" w:hAnsi="Arial" w:cs="Arial"/>
        </w:rPr>
      </w:pPr>
    </w:p>
    <w:p w14:paraId="121CC610" w14:textId="4F0ECC65" w:rsidR="00F17318" w:rsidRPr="0044508F" w:rsidRDefault="00092E6E" w:rsidP="006E01CF">
      <w:pPr>
        <w:numPr>
          <w:ilvl w:val="0"/>
          <w:numId w:val="2"/>
        </w:numPr>
        <w:spacing w:line="480" w:lineRule="auto"/>
        <w:jc w:val="both"/>
        <w:rPr>
          <w:rFonts w:ascii="Arial" w:hAnsi="Arial" w:cs="Arial"/>
          <w:sz w:val="24"/>
          <w:szCs w:val="24"/>
        </w:rPr>
      </w:pPr>
      <w:r>
        <w:rPr>
          <w:rFonts w:ascii="Arial" w:hAnsi="Arial" w:cs="Arial"/>
          <w:sz w:val="24"/>
          <w:szCs w:val="24"/>
        </w:rPr>
        <w:t xml:space="preserve">The </w:t>
      </w:r>
      <w:r w:rsidR="002A7063">
        <w:rPr>
          <w:rFonts w:ascii="Arial" w:hAnsi="Arial" w:cs="Arial"/>
          <w:sz w:val="24"/>
          <w:szCs w:val="24"/>
        </w:rPr>
        <w:t>s</w:t>
      </w:r>
      <w:r>
        <w:rPr>
          <w:rFonts w:ascii="Arial" w:hAnsi="Arial" w:cs="Arial"/>
          <w:sz w:val="24"/>
          <w:szCs w:val="24"/>
        </w:rPr>
        <w:t xml:space="preserve">econd </w:t>
      </w:r>
      <w:r w:rsidR="002A7063">
        <w:rPr>
          <w:rFonts w:ascii="Arial" w:hAnsi="Arial" w:cs="Arial"/>
          <w:sz w:val="24"/>
          <w:szCs w:val="24"/>
        </w:rPr>
        <w:t>p</w:t>
      </w:r>
      <w:r w:rsidR="005B4F47">
        <w:rPr>
          <w:rFonts w:ascii="Arial" w:hAnsi="Arial" w:cs="Arial"/>
          <w:sz w:val="24"/>
          <w:szCs w:val="24"/>
        </w:rPr>
        <w:t>laintiff</w:t>
      </w:r>
      <w:r w:rsidR="00083C2C">
        <w:rPr>
          <w:rFonts w:ascii="Arial" w:hAnsi="Arial" w:cs="Arial"/>
          <w:sz w:val="24"/>
          <w:szCs w:val="24"/>
        </w:rPr>
        <w:t xml:space="preserve"> further alleged that the </w:t>
      </w:r>
      <w:r w:rsidR="002A7063">
        <w:rPr>
          <w:rFonts w:ascii="Arial" w:hAnsi="Arial" w:cs="Arial"/>
          <w:sz w:val="24"/>
          <w:szCs w:val="24"/>
        </w:rPr>
        <w:t>s</w:t>
      </w:r>
      <w:r w:rsidR="00083C2C">
        <w:rPr>
          <w:rFonts w:ascii="Arial" w:hAnsi="Arial" w:cs="Arial"/>
          <w:sz w:val="24"/>
          <w:szCs w:val="24"/>
        </w:rPr>
        <w:t xml:space="preserve">econd </w:t>
      </w:r>
      <w:r w:rsidR="002A7063">
        <w:rPr>
          <w:rFonts w:ascii="Arial" w:hAnsi="Arial" w:cs="Arial"/>
          <w:sz w:val="24"/>
          <w:szCs w:val="24"/>
        </w:rPr>
        <w:t>d</w:t>
      </w:r>
      <w:r w:rsidR="005B4F47">
        <w:rPr>
          <w:rFonts w:ascii="Arial" w:hAnsi="Arial" w:cs="Arial"/>
          <w:sz w:val="24"/>
          <w:szCs w:val="24"/>
        </w:rPr>
        <w:t>efendant</w:t>
      </w:r>
      <w:r w:rsidR="00083C2C">
        <w:rPr>
          <w:rFonts w:ascii="Arial" w:hAnsi="Arial" w:cs="Arial"/>
          <w:sz w:val="24"/>
          <w:szCs w:val="24"/>
        </w:rPr>
        <w:t xml:space="preserve"> provided </w:t>
      </w:r>
      <w:r w:rsidR="00605C66">
        <w:rPr>
          <w:rFonts w:ascii="Arial" w:hAnsi="Arial" w:cs="Arial"/>
          <w:sz w:val="24"/>
          <w:szCs w:val="24"/>
        </w:rPr>
        <w:t xml:space="preserve">only the information pleaded in paragraph 21 of the Particulars of Claim </w:t>
      </w:r>
      <w:r w:rsidR="00083C2C">
        <w:rPr>
          <w:rFonts w:ascii="Arial" w:hAnsi="Arial" w:cs="Arial"/>
          <w:sz w:val="24"/>
          <w:szCs w:val="24"/>
        </w:rPr>
        <w:t xml:space="preserve">regarding the net profit, average pumped volumes of fuel, profit from the sales of fuel, income from the Sasol shop and profit from the Sasol shop on a monthly basis. Since taking occupation of the business in January 2018, the </w:t>
      </w:r>
      <w:r w:rsidR="002A7063">
        <w:rPr>
          <w:rFonts w:ascii="Arial" w:hAnsi="Arial" w:cs="Arial"/>
          <w:sz w:val="24"/>
          <w:szCs w:val="24"/>
        </w:rPr>
        <w:t>s</w:t>
      </w:r>
      <w:r w:rsidR="00083C2C">
        <w:rPr>
          <w:rFonts w:ascii="Arial" w:hAnsi="Arial" w:cs="Arial"/>
          <w:sz w:val="24"/>
          <w:szCs w:val="24"/>
        </w:rPr>
        <w:t xml:space="preserve">econd </w:t>
      </w:r>
      <w:r w:rsidR="002A7063">
        <w:rPr>
          <w:rFonts w:ascii="Arial" w:hAnsi="Arial" w:cs="Arial"/>
          <w:sz w:val="24"/>
          <w:szCs w:val="24"/>
        </w:rPr>
        <w:t>p</w:t>
      </w:r>
      <w:r w:rsidR="005B4F47">
        <w:rPr>
          <w:rFonts w:ascii="Arial" w:hAnsi="Arial" w:cs="Arial"/>
          <w:sz w:val="24"/>
          <w:szCs w:val="24"/>
        </w:rPr>
        <w:t>laintiff</w:t>
      </w:r>
      <w:r w:rsidR="00083C2C">
        <w:rPr>
          <w:rFonts w:ascii="Arial" w:hAnsi="Arial" w:cs="Arial"/>
          <w:sz w:val="24"/>
          <w:szCs w:val="24"/>
        </w:rPr>
        <w:t xml:space="preserve"> alleged that he </w:t>
      </w:r>
      <w:r w:rsidR="00605C66">
        <w:rPr>
          <w:rFonts w:ascii="Arial" w:hAnsi="Arial" w:cs="Arial"/>
          <w:sz w:val="24"/>
          <w:szCs w:val="24"/>
        </w:rPr>
        <w:t xml:space="preserve">found </w:t>
      </w:r>
      <w:r w:rsidR="00083C2C">
        <w:rPr>
          <w:rFonts w:ascii="Arial" w:hAnsi="Arial" w:cs="Arial"/>
          <w:sz w:val="24"/>
          <w:szCs w:val="24"/>
        </w:rPr>
        <w:t>that the information pro</w:t>
      </w:r>
      <w:r w:rsidR="002A7063">
        <w:rPr>
          <w:rFonts w:ascii="Arial" w:hAnsi="Arial" w:cs="Arial"/>
          <w:sz w:val="24"/>
          <w:szCs w:val="24"/>
        </w:rPr>
        <w:t>vided by the s</w:t>
      </w:r>
      <w:r w:rsidR="00083C2C">
        <w:rPr>
          <w:rFonts w:ascii="Arial" w:hAnsi="Arial" w:cs="Arial"/>
          <w:sz w:val="24"/>
          <w:szCs w:val="24"/>
        </w:rPr>
        <w:t xml:space="preserve">econd </w:t>
      </w:r>
      <w:r w:rsidR="002A7063">
        <w:rPr>
          <w:rFonts w:ascii="Arial" w:hAnsi="Arial" w:cs="Arial"/>
          <w:sz w:val="24"/>
          <w:szCs w:val="24"/>
        </w:rPr>
        <w:t>d</w:t>
      </w:r>
      <w:r w:rsidR="005B4F47">
        <w:rPr>
          <w:rFonts w:ascii="Arial" w:hAnsi="Arial" w:cs="Arial"/>
          <w:sz w:val="24"/>
          <w:szCs w:val="24"/>
        </w:rPr>
        <w:t>efendant</w:t>
      </w:r>
      <w:r w:rsidR="00083C2C">
        <w:rPr>
          <w:rFonts w:ascii="Arial" w:hAnsi="Arial" w:cs="Arial"/>
          <w:sz w:val="24"/>
          <w:szCs w:val="24"/>
        </w:rPr>
        <w:t xml:space="preserve"> in respect of the business </w:t>
      </w:r>
      <w:r w:rsidR="0061522D">
        <w:rPr>
          <w:rFonts w:ascii="Arial" w:hAnsi="Arial" w:cs="Arial"/>
          <w:sz w:val="24"/>
          <w:szCs w:val="24"/>
        </w:rPr>
        <w:t xml:space="preserve">was significantly exaggerated. </w:t>
      </w:r>
    </w:p>
    <w:p w14:paraId="24058F0A" w14:textId="77777777" w:rsidR="0044508F" w:rsidRPr="0044508F" w:rsidRDefault="0044508F" w:rsidP="006E01CF">
      <w:pPr>
        <w:spacing w:line="480" w:lineRule="auto"/>
        <w:rPr>
          <w:rFonts w:ascii="Arial" w:hAnsi="Arial" w:cs="Arial"/>
        </w:rPr>
      </w:pPr>
    </w:p>
    <w:p w14:paraId="76D93152" w14:textId="15DFF318" w:rsidR="009F6273" w:rsidRDefault="0061522D" w:rsidP="00125E8C">
      <w:pPr>
        <w:numPr>
          <w:ilvl w:val="0"/>
          <w:numId w:val="2"/>
        </w:numPr>
        <w:spacing w:line="480" w:lineRule="auto"/>
        <w:jc w:val="both"/>
        <w:rPr>
          <w:rFonts w:ascii="Arial" w:hAnsi="Arial" w:cs="Arial"/>
          <w:sz w:val="24"/>
          <w:szCs w:val="24"/>
        </w:rPr>
      </w:pPr>
      <w:r>
        <w:rPr>
          <w:rFonts w:ascii="Arial" w:hAnsi="Arial" w:cs="Arial"/>
          <w:sz w:val="24"/>
          <w:szCs w:val="24"/>
        </w:rPr>
        <w:t xml:space="preserve">The </w:t>
      </w:r>
      <w:r w:rsidR="002A7063">
        <w:rPr>
          <w:rFonts w:ascii="Arial" w:hAnsi="Arial" w:cs="Arial"/>
          <w:sz w:val="24"/>
          <w:szCs w:val="24"/>
        </w:rPr>
        <w:t xml:space="preserve">plaintiffs </w:t>
      </w:r>
      <w:r>
        <w:rPr>
          <w:rFonts w:ascii="Arial" w:hAnsi="Arial" w:cs="Arial"/>
          <w:sz w:val="24"/>
          <w:szCs w:val="24"/>
        </w:rPr>
        <w:t xml:space="preserve">pleaded </w:t>
      </w:r>
      <w:r w:rsidR="00972FF4">
        <w:rPr>
          <w:rFonts w:ascii="Arial" w:hAnsi="Arial" w:cs="Arial"/>
          <w:sz w:val="24"/>
          <w:szCs w:val="24"/>
        </w:rPr>
        <w:t xml:space="preserve">that the only reasonable inference </w:t>
      </w:r>
      <w:r w:rsidR="002A7063">
        <w:rPr>
          <w:rFonts w:ascii="Arial" w:hAnsi="Arial" w:cs="Arial"/>
          <w:sz w:val="24"/>
          <w:szCs w:val="24"/>
        </w:rPr>
        <w:t xml:space="preserve">to be </w:t>
      </w:r>
      <w:r w:rsidR="00972FF4">
        <w:rPr>
          <w:rFonts w:ascii="Arial" w:hAnsi="Arial" w:cs="Arial"/>
          <w:sz w:val="24"/>
          <w:szCs w:val="24"/>
        </w:rPr>
        <w:t xml:space="preserve">drawn from the failure to provide the updated management accounts to verify the actual performance of the business was that the </w:t>
      </w:r>
      <w:r w:rsidR="002A7063">
        <w:rPr>
          <w:rFonts w:ascii="Arial" w:hAnsi="Arial" w:cs="Arial"/>
          <w:sz w:val="24"/>
          <w:szCs w:val="24"/>
        </w:rPr>
        <w:t>s</w:t>
      </w:r>
      <w:r w:rsidR="00972FF4">
        <w:rPr>
          <w:rFonts w:ascii="Arial" w:hAnsi="Arial" w:cs="Arial"/>
          <w:sz w:val="24"/>
          <w:szCs w:val="24"/>
        </w:rPr>
        <w:t xml:space="preserve">econd </w:t>
      </w:r>
      <w:r w:rsidR="002A7063">
        <w:rPr>
          <w:rFonts w:ascii="Arial" w:hAnsi="Arial" w:cs="Arial"/>
          <w:sz w:val="24"/>
          <w:szCs w:val="24"/>
        </w:rPr>
        <w:t>d</w:t>
      </w:r>
      <w:r w:rsidR="005B4F47">
        <w:rPr>
          <w:rFonts w:ascii="Arial" w:hAnsi="Arial" w:cs="Arial"/>
          <w:sz w:val="24"/>
          <w:szCs w:val="24"/>
        </w:rPr>
        <w:t>efendant</w:t>
      </w:r>
      <w:r w:rsidR="00972FF4">
        <w:rPr>
          <w:rFonts w:ascii="Arial" w:hAnsi="Arial" w:cs="Arial"/>
          <w:sz w:val="24"/>
          <w:szCs w:val="24"/>
        </w:rPr>
        <w:t xml:space="preserve"> intentionally or negligently misrepresented the performance of the business in order to make it appear more attractive to the </w:t>
      </w:r>
      <w:r w:rsidR="002A7063">
        <w:rPr>
          <w:rFonts w:ascii="Arial" w:hAnsi="Arial" w:cs="Arial"/>
          <w:sz w:val="24"/>
          <w:szCs w:val="24"/>
        </w:rPr>
        <w:t>s</w:t>
      </w:r>
      <w:r w:rsidR="00972FF4">
        <w:rPr>
          <w:rFonts w:ascii="Arial" w:hAnsi="Arial" w:cs="Arial"/>
          <w:sz w:val="24"/>
          <w:szCs w:val="24"/>
        </w:rPr>
        <w:t xml:space="preserve">econd </w:t>
      </w:r>
      <w:r w:rsidR="002A7063">
        <w:rPr>
          <w:rFonts w:ascii="Arial" w:hAnsi="Arial" w:cs="Arial"/>
          <w:sz w:val="24"/>
          <w:szCs w:val="24"/>
        </w:rPr>
        <w:t>p</w:t>
      </w:r>
      <w:r w:rsidR="005B4F47">
        <w:rPr>
          <w:rFonts w:ascii="Arial" w:hAnsi="Arial" w:cs="Arial"/>
          <w:sz w:val="24"/>
          <w:szCs w:val="24"/>
        </w:rPr>
        <w:t>laintiff</w:t>
      </w:r>
      <w:r w:rsidR="00972FF4">
        <w:rPr>
          <w:rFonts w:ascii="Arial" w:hAnsi="Arial" w:cs="Arial"/>
          <w:sz w:val="24"/>
          <w:szCs w:val="24"/>
        </w:rPr>
        <w:t xml:space="preserve"> than it actually was thus inducing him to enter into the Purchase and Sale Agreement. These allegations are </w:t>
      </w:r>
      <w:r w:rsidR="00605C66">
        <w:rPr>
          <w:rFonts w:ascii="Arial" w:hAnsi="Arial" w:cs="Arial"/>
          <w:sz w:val="24"/>
          <w:szCs w:val="24"/>
        </w:rPr>
        <w:t xml:space="preserve">contained </w:t>
      </w:r>
      <w:r w:rsidR="00972FF4">
        <w:rPr>
          <w:rFonts w:ascii="Arial" w:hAnsi="Arial" w:cs="Arial"/>
          <w:sz w:val="24"/>
          <w:szCs w:val="24"/>
        </w:rPr>
        <w:t xml:space="preserve">in paragraph 22 of the </w:t>
      </w:r>
      <w:r w:rsidR="00010D2B">
        <w:rPr>
          <w:rFonts w:ascii="Arial" w:hAnsi="Arial" w:cs="Arial"/>
          <w:sz w:val="24"/>
          <w:szCs w:val="24"/>
        </w:rPr>
        <w:t>p</w:t>
      </w:r>
      <w:r w:rsidR="005B4F47">
        <w:rPr>
          <w:rFonts w:ascii="Arial" w:hAnsi="Arial" w:cs="Arial"/>
          <w:sz w:val="24"/>
          <w:szCs w:val="24"/>
        </w:rPr>
        <w:t>laintiff</w:t>
      </w:r>
      <w:r w:rsidR="002A7063">
        <w:rPr>
          <w:rFonts w:ascii="Arial" w:hAnsi="Arial" w:cs="Arial"/>
          <w:sz w:val="24"/>
          <w:szCs w:val="24"/>
        </w:rPr>
        <w:t>s’</w:t>
      </w:r>
      <w:r w:rsidR="00972FF4">
        <w:rPr>
          <w:rFonts w:ascii="Arial" w:hAnsi="Arial" w:cs="Arial"/>
          <w:sz w:val="24"/>
          <w:szCs w:val="24"/>
        </w:rPr>
        <w:t xml:space="preserve"> Particulars of Claim. </w:t>
      </w:r>
    </w:p>
    <w:p w14:paraId="684781F3" w14:textId="77777777" w:rsidR="0061522D" w:rsidRDefault="0061522D" w:rsidP="0061522D">
      <w:pPr>
        <w:pStyle w:val="ListParagraph"/>
        <w:spacing w:line="480" w:lineRule="auto"/>
        <w:rPr>
          <w:rFonts w:ascii="Arial" w:hAnsi="Arial" w:cs="Arial"/>
        </w:rPr>
      </w:pPr>
    </w:p>
    <w:p w14:paraId="6BDDBDB7" w14:textId="6D1B18CA" w:rsidR="0061522D" w:rsidRDefault="00972FF4" w:rsidP="00125E8C">
      <w:pPr>
        <w:numPr>
          <w:ilvl w:val="0"/>
          <w:numId w:val="2"/>
        </w:numPr>
        <w:spacing w:line="480" w:lineRule="auto"/>
        <w:jc w:val="both"/>
        <w:rPr>
          <w:rFonts w:ascii="Arial" w:hAnsi="Arial" w:cs="Arial"/>
          <w:sz w:val="24"/>
          <w:szCs w:val="24"/>
        </w:rPr>
      </w:pPr>
      <w:r>
        <w:rPr>
          <w:rFonts w:ascii="Arial" w:hAnsi="Arial" w:cs="Arial"/>
          <w:sz w:val="24"/>
          <w:szCs w:val="24"/>
        </w:rPr>
        <w:t xml:space="preserve">The </w:t>
      </w:r>
      <w:r w:rsidR="00674A0D">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 </w:t>
      </w:r>
      <w:r w:rsidR="00605C66">
        <w:rPr>
          <w:rFonts w:ascii="Arial" w:hAnsi="Arial" w:cs="Arial"/>
          <w:sz w:val="24"/>
          <w:szCs w:val="24"/>
        </w:rPr>
        <w:t xml:space="preserve">alleged </w:t>
      </w:r>
      <w:r>
        <w:rPr>
          <w:rFonts w:ascii="Arial" w:hAnsi="Arial" w:cs="Arial"/>
          <w:sz w:val="24"/>
          <w:szCs w:val="24"/>
        </w:rPr>
        <w:t xml:space="preserve">further at paragraphs 23 and 24 </w:t>
      </w:r>
      <w:r w:rsidR="00605C66">
        <w:rPr>
          <w:rFonts w:ascii="Arial" w:hAnsi="Arial" w:cs="Arial"/>
          <w:sz w:val="24"/>
          <w:szCs w:val="24"/>
        </w:rPr>
        <w:t xml:space="preserve">of the Particulars of Claim </w:t>
      </w:r>
      <w:r>
        <w:rPr>
          <w:rFonts w:ascii="Arial" w:hAnsi="Arial" w:cs="Arial"/>
          <w:sz w:val="24"/>
          <w:szCs w:val="24"/>
        </w:rPr>
        <w:t xml:space="preserve">that the relationship between the </w:t>
      </w:r>
      <w:r w:rsidR="00674A0D">
        <w:rPr>
          <w:rFonts w:ascii="Arial" w:hAnsi="Arial" w:cs="Arial"/>
          <w:sz w:val="24"/>
          <w:szCs w:val="24"/>
        </w:rPr>
        <w:t>s</w:t>
      </w:r>
      <w:r>
        <w:rPr>
          <w:rFonts w:ascii="Arial" w:hAnsi="Arial" w:cs="Arial"/>
          <w:sz w:val="24"/>
          <w:szCs w:val="24"/>
        </w:rPr>
        <w:t xml:space="preserve">econd </w:t>
      </w:r>
      <w:r w:rsidR="00674A0D">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and </w:t>
      </w:r>
      <w:r w:rsidR="00674A0D">
        <w:rPr>
          <w:rFonts w:ascii="Arial" w:hAnsi="Arial" w:cs="Arial"/>
          <w:sz w:val="24"/>
          <w:szCs w:val="24"/>
        </w:rPr>
        <w:t xml:space="preserve">second </w:t>
      </w:r>
      <w:r w:rsidR="00674A0D">
        <w:rPr>
          <w:rFonts w:ascii="Arial" w:hAnsi="Arial" w:cs="Arial"/>
          <w:sz w:val="24"/>
          <w:szCs w:val="24"/>
        </w:rPr>
        <w:lastRenderedPageBreak/>
        <w:t xml:space="preserve">plaintiff </w:t>
      </w:r>
      <w:r>
        <w:rPr>
          <w:rFonts w:ascii="Arial" w:hAnsi="Arial" w:cs="Arial"/>
          <w:sz w:val="24"/>
          <w:szCs w:val="24"/>
        </w:rPr>
        <w:t>deteriorated from the time he started questioning the performance of the business</w:t>
      </w:r>
      <w:r w:rsidR="00605C66">
        <w:rPr>
          <w:rFonts w:ascii="Arial" w:hAnsi="Arial" w:cs="Arial"/>
          <w:sz w:val="24"/>
          <w:szCs w:val="24"/>
        </w:rPr>
        <w:t>. T</w:t>
      </w:r>
      <w:r w:rsidR="008507D5">
        <w:rPr>
          <w:rFonts w:ascii="Arial" w:hAnsi="Arial" w:cs="Arial"/>
          <w:sz w:val="24"/>
          <w:szCs w:val="24"/>
        </w:rPr>
        <w:t>hereafter and on 25 July 2018</w:t>
      </w:r>
      <w:r w:rsidR="00674A0D">
        <w:rPr>
          <w:rFonts w:ascii="Arial" w:hAnsi="Arial" w:cs="Arial"/>
          <w:sz w:val="24"/>
          <w:szCs w:val="24"/>
        </w:rPr>
        <w:t>;</w:t>
      </w:r>
      <w:r w:rsidR="008507D5">
        <w:rPr>
          <w:rFonts w:ascii="Arial" w:hAnsi="Arial" w:cs="Arial"/>
          <w:sz w:val="24"/>
          <w:szCs w:val="24"/>
        </w:rPr>
        <w:t xml:space="preserve"> </w:t>
      </w:r>
      <w:r w:rsidR="00605C66">
        <w:rPr>
          <w:rFonts w:ascii="Arial" w:hAnsi="Arial" w:cs="Arial"/>
          <w:sz w:val="24"/>
          <w:szCs w:val="24"/>
        </w:rPr>
        <w:t xml:space="preserve">the </w:t>
      </w:r>
      <w:r w:rsidR="00674A0D">
        <w:rPr>
          <w:rFonts w:ascii="Arial" w:hAnsi="Arial" w:cs="Arial"/>
          <w:sz w:val="24"/>
          <w:szCs w:val="24"/>
        </w:rPr>
        <w:t>f</w:t>
      </w:r>
      <w:r w:rsidR="00605C66">
        <w:rPr>
          <w:rFonts w:ascii="Arial" w:hAnsi="Arial" w:cs="Arial"/>
          <w:sz w:val="24"/>
          <w:szCs w:val="24"/>
        </w:rPr>
        <w:t xml:space="preserve">irst </w:t>
      </w:r>
      <w:r w:rsidR="00674A0D">
        <w:rPr>
          <w:rFonts w:ascii="Arial" w:hAnsi="Arial" w:cs="Arial"/>
          <w:sz w:val="24"/>
          <w:szCs w:val="24"/>
        </w:rPr>
        <w:t>d</w:t>
      </w:r>
      <w:r w:rsidR="005B4F47">
        <w:rPr>
          <w:rFonts w:ascii="Arial" w:hAnsi="Arial" w:cs="Arial"/>
          <w:sz w:val="24"/>
          <w:szCs w:val="24"/>
        </w:rPr>
        <w:t>efendant</w:t>
      </w:r>
      <w:r w:rsidR="00605C66">
        <w:rPr>
          <w:rFonts w:ascii="Arial" w:hAnsi="Arial" w:cs="Arial"/>
          <w:sz w:val="24"/>
          <w:szCs w:val="24"/>
        </w:rPr>
        <w:t xml:space="preserve"> </w:t>
      </w:r>
      <w:r w:rsidR="008507D5">
        <w:rPr>
          <w:rFonts w:ascii="Arial" w:hAnsi="Arial" w:cs="Arial"/>
          <w:sz w:val="24"/>
          <w:szCs w:val="24"/>
        </w:rPr>
        <w:t xml:space="preserve">instructed the Manager of the business to take the </w:t>
      </w:r>
      <w:r w:rsidR="00674A0D">
        <w:rPr>
          <w:rFonts w:ascii="Arial" w:hAnsi="Arial" w:cs="Arial"/>
          <w:sz w:val="24"/>
          <w:szCs w:val="24"/>
        </w:rPr>
        <w:t>s</w:t>
      </w:r>
      <w:r w:rsidR="008507D5">
        <w:rPr>
          <w:rFonts w:ascii="Arial" w:hAnsi="Arial" w:cs="Arial"/>
          <w:sz w:val="24"/>
          <w:szCs w:val="24"/>
        </w:rPr>
        <w:t xml:space="preserve">econd </w:t>
      </w:r>
      <w:r w:rsidR="00674A0D">
        <w:rPr>
          <w:rFonts w:ascii="Arial" w:hAnsi="Arial" w:cs="Arial"/>
          <w:sz w:val="24"/>
          <w:szCs w:val="24"/>
        </w:rPr>
        <w:t>p</w:t>
      </w:r>
      <w:r w:rsidR="005B4F47">
        <w:rPr>
          <w:rFonts w:ascii="Arial" w:hAnsi="Arial" w:cs="Arial"/>
          <w:sz w:val="24"/>
          <w:szCs w:val="24"/>
        </w:rPr>
        <w:t>laintiff</w:t>
      </w:r>
      <w:r w:rsidR="008507D5">
        <w:rPr>
          <w:rFonts w:ascii="Arial" w:hAnsi="Arial" w:cs="Arial"/>
          <w:sz w:val="24"/>
          <w:szCs w:val="24"/>
        </w:rPr>
        <w:t>’s keys</w:t>
      </w:r>
      <w:r w:rsidR="00605C66">
        <w:rPr>
          <w:rFonts w:ascii="Arial" w:hAnsi="Arial" w:cs="Arial"/>
          <w:sz w:val="24"/>
          <w:szCs w:val="24"/>
        </w:rPr>
        <w:t xml:space="preserve"> to the business</w:t>
      </w:r>
      <w:r w:rsidR="00674A0D">
        <w:rPr>
          <w:rFonts w:ascii="Arial" w:hAnsi="Arial" w:cs="Arial"/>
          <w:sz w:val="24"/>
          <w:szCs w:val="24"/>
        </w:rPr>
        <w:t xml:space="preserve"> away from him</w:t>
      </w:r>
      <w:r w:rsidR="008507D5">
        <w:rPr>
          <w:rFonts w:ascii="Arial" w:hAnsi="Arial" w:cs="Arial"/>
          <w:sz w:val="24"/>
          <w:szCs w:val="24"/>
        </w:rPr>
        <w:t>.</w:t>
      </w:r>
      <w:r w:rsidR="00B8351F">
        <w:rPr>
          <w:rFonts w:ascii="Arial" w:hAnsi="Arial" w:cs="Arial"/>
          <w:sz w:val="24"/>
          <w:szCs w:val="24"/>
        </w:rPr>
        <w:t xml:space="preserve"> The </w:t>
      </w:r>
      <w:r w:rsidR="00674A0D">
        <w:rPr>
          <w:rFonts w:ascii="Arial" w:hAnsi="Arial" w:cs="Arial"/>
          <w:sz w:val="24"/>
          <w:szCs w:val="24"/>
        </w:rPr>
        <w:t>p</w:t>
      </w:r>
      <w:r w:rsidR="005B4F47">
        <w:rPr>
          <w:rFonts w:ascii="Arial" w:hAnsi="Arial" w:cs="Arial"/>
          <w:sz w:val="24"/>
          <w:szCs w:val="24"/>
        </w:rPr>
        <w:t>laintiff</w:t>
      </w:r>
      <w:r w:rsidR="00674A0D">
        <w:rPr>
          <w:rFonts w:ascii="Arial" w:hAnsi="Arial" w:cs="Arial"/>
          <w:sz w:val="24"/>
          <w:szCs w:val="24"/>
        </w:rPr>
        <w:t>s</w:t>
      </w:r>
      <w:r w:rsidR="00B8351F">
        <w:rPr>
          <w:rFonts w:ascii="Arial" w:hAnsi="Arial" w:cs="Arial"/>
          <w:sz w:val="24"/>
          <w:szCs w:val="24"/>
        </w:rPr>
        <w:t xml:space="preserve"> alleged that this amounted to a repudiation of the Management Agreement by the </w:t>
      </w:r>
      <w:r w:rsidR="00674A0D">
        <w:rPr>
          <w:rFonts w:ascii="Arial" w:hAnsi="Arial" w:cs="Arial"/>
          <w:sz w:val="24"/>
          <w:szCs w:val="24"/>
        </w:rPr>
        <w:t>f</w:t>
      </w:r>
      <w:r w:rsidR="00B8351F">
        <w:rPr>
          <w:rFonts w:ascii="Arial" w:hAnsi="Arial" w:cs="Arial"/>
          <w:sz w:val="24"/>
          <w:szCs w:val="24"/>
        </w:rPr>
        <w:t xml:space="preserve">irst </w:t>
      </w:r>
      <w:r w:rsidR="00674A0D">
        <w:rPr>
          <w:rFonts w:ascii="Arial" w:hAnsi="Arial" w:cs="Arial"/>
          <w:sz w:val="24"/>
          <w:szCs w:val="24"/>
        </w:rPr>
        <w:t>d</w:t>
      </w:r>
      <w:r w:rsidR="005B4F47">
        <w:rPr>
          <w:rFonts w:ascii="Arial" w:hAnsi="Arial" w:cs="Arial"/>
          <w:sz w:val="24"/>
          <w:szCs w:val="24"/>
        </w:rPr>
        <w:t>efendant</w:t>
      </w:r>
      <w:r w:rsidR="00B8351F">
        <w:rPr>
          <w:rFonts w:ascii="Arial" w:hAnsi="Arial" w:cs="Arial"/>
          <w:sz w:val="24"/>
          <w:szCs w:val="24"/>
        </w:rPr>
        <w:t xml:space="preserve"> as it rendered it impossible for the </w:t>
      </w:r>
      <w:r w:rsidR="00674A0D">
        <w:rPr>
          <w:rFonts w:ascii="Arial" w:hAnsi="Arial" w:cs="Arial"/>
          <w:sz w:val="24"/>
          <w:szCs w:val="24"/>
        </w:rPr>
        <w:t>s</w:t>
      </w:r>
      <w:r w:rsidR="00B8351F">
        <w:rPr>
          <w:rFonts w:ascii="Arial" w:hAnsi="Arial" w:cs="Arial"/>
          <w:sz w:val="24"/>
          <w:szCs w:val="24"/>
        </w:rPr>
        <w:t xml:space="preserve">econd </w:t>
      </w:r>
      <w:r w:rsidR="00674A0D">
        <w:rPr>
          <w:rFonts w:ascii="Arial" w:hAnsi="Arial" w:cs="Arial"/>
          <w:sz w:val="24"/>
          <w:szCs w:val="24"/>
        </w:rPr>
        <w:t>p</w:t>
      </w:r>
      <w:r w:rsidR="005B4F47">
        <w:rPr>
          <w:rFonts w:ascii="Arial" w:hAnsi="Arial" w:cs="Arial"/>
          <w:sz w:val="24"/>
          <w:szCs w:val="24"/>
        </w:rPr>
        <w:t>laintiff</w:t>
      </w:r>
      <w:r w:rsidR="00B8351F">
        <w:rPr>
          <w:rFonts w:ascii="Arial" w:hAnsi="Arial" w:cs="Arial"/>
          <w:sz w:val="24"/>
          <w:szCs w:val="24"/>
        </w:rPr>
        <w:t xml:space="preserve"> to participate in the management of the business and discharge his duties and responsibilities as contemplated in the Management Agreement. </w:t>
      </w:r>
    </w:p>
    <w:p w14:paraId="15C36B24" w14:textId="77777777" w:rsidR="00F0615B" w:rsidRDefault="00F0615B" w:rsidP="00F0615B">
      <w:pPr>
        <w:pStyle w:val="ListParagraph"/>
        <w:spacing w:line="480" w:lineRule="auto"/>
        <w:rPr>
          <w:rFonts w:ascii="Arial" w:hAnsi="Arial" w:cs="Arial"/>
        </w:rPr>
      </w:pPr>
    </w:p>
    <w:p w14:paraId="04F2124F" w14:textId="5AD91022" w:rsidR="00F0615B" w:rsidRDefault="00CA121A"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The </w:t>
      </w:r>
      <w:r w:rsidR="00674A0D">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s accordingly </w:t>
      </w:r>
      <w:r w:rsidR="00F528A1">
        <w:rPr>
          <w:rFonts w:ascii="Arial" w:hAnsi="Arial" w:cs="Arial"/>
          <w:sz w:val="24"/>
          <w:szCs w:val="24"/>
        </w:rPr>
        <w:t xml:space="preserve">instituted the present action wherein </w:t>
      </w:r>
      <w:r w:rsidR="00674A0D">
        <w:rPr>
          <w:rFonts w:ascii="Arial" w:hAnsi="Arial" w:cs="Arial"/>
          <w:sz w:val="24"/>
          <w:szCs w:val="24"/>
        </w:rPr>
        <w:t>they</w:t>
      </w:r>
      <w:r w:rsidR="00F528A1">
        <w:rPr>
          <w:rFonts w:ascii="Arial" w:hAnsi="Arial" w:cs="Arial"/>
          <w:sz w:val="24"/>
          <w:szCs w:val="24"/>
        </w:rPr>
        <w:t xml:space="preserve"> sought </w:t>
      </w:r>
      <w:r w:rsidR="00F528A1">
        <w:rPr>
          <w:rFonts w:ascii="Arial" w:hAnsi="Arial" w:cs="Arial"/>
          <w:i/>
          <w:sz w:val="24"/>
          <w:szCs w:val="24"/>
        </w:rPr>
        <w:t>inter alia</w:t>
      </w:r>
      <w:r w:rsidR="00F528A1">
        <w:rPr>
          <w:rFonts w:ascii="Arial" w:hAnsi="Arial" w:cs="Arial"/>
          <w:sz w:val="24"/>
          <w:szCs w:val="24"/>
        </w:rPr>
        <w:t xml:space="preserve"> cancellation of the Sale and Management Agreements and payment of the amounts referred to in prayers </w:t>
      </w:r>
      <w:r w:rsidR="00605C66">
        <w:rPr>
          <w:rFonts w:ascii="Arial" w:hAnsi="Arial" w:cs="Arial"/>
          <w:sz w:val="24"/>
          <w:szCs w:val="24"/>
        </w:rPr>
        <w:t xml:space="preserve">(b), (c), (d), (e) and (f) </w:t>
      </w:r>
      <w:r w:rsidR="00F528A1">
        <w:rPr>
          <w:rFonts w:ascii="Arial" w:hAnsi="Arial" w:cs="Arial"/>
          <w:sz w:val="24"/>
          <w:szCs w:val="24"/>
        </w:rPr>
        <w:t xml:space="preserve">of the Particulars of Claim. </w:t>
      </w:r>
    </w:p>
    <w:p w14:paraId="55B50616" w14:textId="77777777" w:rsidR="00F0615B" w:rsidRDefault="00F0615B" w:rsidP="00F0615B">
      <w:pPr>
        <w:spacing w:line="480" w:lineRule="auto"/>
        <w:jc w:val="both"/>
        <w:rPr>
          <w:rFonts w:ascii="Arial" w:hAnsi="Arial" w:cs="Arial"/>
          <w:sz w:val="24"/>
          <w:szCs w:val="24"/>
        </w:rPr>
      </w:pPr>
    </w:p>
    <w:p w14:paraId="20F9AE08" w14:textId="0E1C01E7" w:rsidR="00AD54B3" w:rsidRDefault="00F528A1"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The </w:t>
      </w:r>
      <w:r w:rsidR="00674A0D">
        <w:rPr>
          <w:rFonts w:ascii="Arial" w:hAnsi="Arial" w:cs="Arial"/>
          <w:sz w:val="24"/>
          <w:szCs w:val="24"/>
        </w:rPr>
        <w:t>f</w:t>
      </w:r>
      <w:r>
        <w:rPr>
          <w:rFonts w:ascii="Arial" w:hAnsi="Arial" w:cs="Arial"/>
          <w:sz w:val="24"/>
          <w:szCs w:val="24"/>
        </w:rPr>
        <w:t xml:space="preserve">irst to </w:t>
      </w:r>
      <w:r w:rsidR="00674A0D">
        <w:rPr>
          <w:rFonts w:ascii="Arial" w:hAnsi="Arial" w:cs="Arial"/>
          <w:sz w:val="24"/>
          <w:szCs w:val="24"/>
        </w:rPr>
        <w:t>t</w:t>
      </w:r>
      <w:r>
        <w:rPr>
          <w:rFonts w:ascii="Arial" w:hAnsi="Arial" w:cs="Arial"/>
          <w:sz w:val="24"/>
          <w:szCs w:val="24"/>
        </w:rPr>
        <w:t xml:space="preserve">hird </w:t>
      </w:r>
      <w:r w:rsidR="00674A0D">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s delivered their Plea and raised </w:t>
      </w:r>
      <w:r w:rsidR="00AD54B3">
        <w:rPr>
          <w:rFonts w:ascii="Arial" w:hAnsi="Arial" w:cs="Arial"/>
          <w:sz w:val="24"/>
          <w:szCs w:val="24"/>
        </w:rPr>
        <w:t>two Special Pleas, one of them being</w:t>
      </w:r>
      <w:r w:rsidR="00674A0D">
        <w:rPr>
          <w:rFonts w:ascii="Arial" w:hAnsi="Arial" w:cs="Arial"/>
          <w:sz w:val="24"/>
          <w:szCs w:val="24"/>
        </w:rPr>
        <w:t>,</w:t>
      </w:r>
      <w:r w:rsidR="00AD54B3">
        <w:rPr>
          <w:rFonts w:ascii="Arial" w:hAnsi="Arial" w:cs="Arial"/>
          <w:sz w:val="24"/>
          <w:szCs w:val="24"/>
        </w:rPr>
        <w:t xml:space="preserve"> </w:t>
      </w:r>
      <w:r>
        <w:rPr>
          <w:rFonts w:ascii="Arial" w:hAnsi="Arial" w:cs="Arial"/>
          <w:sz w:val="24"/>
          <w:szCs w:val="24"/>
        </w:rPr>
        <w:t xml:space="preserve">a Special Plea of </w:t>
      </w:r>
      <w:r w:rsidR="00AD54B3">
        <w:rPr>
          <w:rFonts w:ascii="Arial" w:hAnsi="Arial" w:cs="Arial"/>
          <w:sz w:val="24"/>
          <w:szCs w:val="24"/>
        </w:rPr>
        <w:t>mis</w:t>
      </w:r>
      <w:r>
        <w:rPr>
          <w:rFonts w:ascii="Arial" w:hAnsi="Arial" w:cs="Arial"/>
          <w:sz w:val="24"/>
          <w:szCs w:val="24"/>
        </w:rPr>
        <w:t xml:space="preserve">joinder of the </w:t>
      </w:r>
      <w:r w:rsidR="00674A0D">
        <w:rPr>
          <w:rFonts w:ascii="Arial" w:hAnsi="Arial" w:cs="Arial"/>
          <w:sz w:val="24"/>
          <w:szCs w:val="24"/>
        </w:rPr>
        <w:t>s</w:t>
      </w:r>
      <w:r>
        <w:rPr>
          <w:rFonts w:ascii="Arial" w:hAnsi="Arial" w:cs="Arial"/>
          <w:sz w:val="24"/>
          <w:szCs w:val="24"/>
        </w:rPr>
        <w:t xml:space="preserve">econd and </w:t>
      </w:r>
      <w:r w:rsidR="00674A0D">
        <w:rPr>
          <w:rFonts w:ascii="Arial" w:hAnsi="Arial" w:cs="Arial"/>
          <w:sz w:val="24"/>
          <w:szCs w:val="24"/>
        </w:rPr>
        <w:t>t</w:t>
      </w:r>
      <w:r>
        <w:rPr>
          <w:rFonts w:ascii="Arial" w:hAnsi="Arial" w:cs="Arial"/>
          <w:sz w:val="24"/>
          <w:szCs w:val="24"/>
        </w:rPr>
        <w:t xml:space="preserve">hird </w:t>
      </w:r>
      <w:r w:rsidR="005B4F47">
        <w:rPr>
          <w:rFonts w:ascii="Arial" w:hAnsi="Arial" w:cs="Arial"/>
          <w:sz w:val="24"/>
          <w:szCs w:val="24"/>
        </w:rPr>
        <w:t>Defendant</w:t>
      </w:r>
      <w:r>
        <w:rPr>
          <w:rFonts w:ascii="Arial" w:hAnsi="Arial" w:cs="Arial"/>
          <w:sz w:val="24"/>
          <w:szCs w:val="24"/>
        </w:rPr>
        <w:t xml:space="preserve">s because there was no basis pleaded in the Particulars of Claim for their personal liability to the </w:t>
      </w:r>
      <w:r w:rsidR="005B4F47">
        <w:rPr>
          <w:rFonts w:ascii="Arial" w:hAnsi="Arial" w:cs="Arial"/>
          <w:sz w:val="24"/>
          <w:szCs w:val="24"/>
        </w:rPr>
        <w:t>Plaintiff</w:t>
      </w:r>
      <w:r>
        <w:rPr>
          <w:rFonts w:ascii="Arial" w:hAnsi="Arial" w:cs="Arial"/>
          <w:sz w:val="24"/>
          <w:szCs w:val="24"/>
        </w:rPr>
        <w:t xml:space="preserve">s. </w:t>
      </w:r>
    </w:p>
    <w:p w14:paraId="1DAF3EF2" w14:textId="77777777" w:rsidR="00AD54B3" w:rsidRDefault="00AD54B3" w:rsidP="00AD54B3">
      <w:pPr>
        <w:pStyle w:val="ListParagraph"/>
        <w:spacing w:line="480" w:lineRule="auto"/>
        <w:rPr>
          <w:rFonts w:ascii="Arial" w:hAnsi="Arial" w:cs="Arial"/>
        </w:rPr>
      </w:pPr>
    </w:p>
    <w:p w14:paraId="16605F17" w14:textId="3A3E8F89" w:rsidR="00F0615B" w:rsidRDefault="00F528A1"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I have been asked to determine whether the </w:t>
      </w:r>
      <w:r w:rsidR="00674A0D">
        <w:rPr>
          <w:rFonts w:ascii="Arial" w:hAnsi="Arial" w:cs="Arial"/>
          <w:sz w:val="24"/>
          <w:szCs w:val="24"/>
        </w:rPr>
        <w:t>s</w:t>
      </w:r>
      <w:r>
        <w:rPr>
          <w:rFonts w:ascii="Arial" w:hAnsi="Arial" w:cs="Arial"/>
          <w:sz w:val="24"/>
          <w:szCs w:val="24"/>
        </w:rPr>
        <w:t xml:space="preserve">econd and </w:t>
      </w:r>
      <w:r w:rsidR="00674A0D">
        <w:rPr>
          <w:rFonts w:ascii="Arial" w:hAnsi="Arial" w:cs="Arial"/>
          <w:sz w:val="24"/>
          <w:szCs w:val="24"/>
        </w:rPr>
        <w:t>t</w:t>
      </w:r>
      <w:r>
        <w:rPr>
          <w:rFonts w:ascii="Arial" w:hAnsi="Arial" w:cs="Arial"/>
          <w:sz w:val="24"/>
          <w:szCs w:val="24"/>
        </w:rPr>
        <w:t xml:space="preserve">hird </w:t>
      </w:r>
      <w:r w:rsidR="00674A0D">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s have been misjoined as </w:t>
      </w:r>
      <w:r w:rsidR="00674A0D">
        <w:rPr>
          <w:rFonts w:ascii="Arial" w:hAnsi="Arial" w:cs="Arial"/>
          <w:sz w:val="24"/>
          <w:szCs w:val="24"/>
        </w:rPr>
        <w:t>d</w:t>
      </w:r>
      <w:r>
        <w:rPr>
          <w:rFonts w:ascii="Arial" w:hAnsi="Arial" w:cs="Arial"/>
          <w:sz w:val="24"/>
          <w:szCs w:val="24"/>
        </w:rPr>
        <w:t xml:space="preserve">irectors. </w:t>
      </w:r>
    </w:p>
    <w:p w14:paraId="760B602D" w14:textId="77777777" w:rsidR="00F0615B" w:rsidRDefault="00F0615B" w:rsidP="00F0615B">
      <w:pPr>
        <w:pStyle w:val="ListParagraph"/>
        <w:spacing w:line="480" w:lineRule="auto"/>
        <w:rPr>
          <w:rFonts w:ascii="Arial" w:hAnsi="Arial" w:cs="Arial"/>
        </w:rPr>
      </w:pPr>
    </w:p>
    <w:p w14:paraId="2D758BAB" w14:textId="373B13D3" w:rsidR="00F0615B" w:rsidRDefault="002A090C" w:rsidP="00F0615B">
      <w:pPr>
        <w:numPr>
          <w:ilvl w:val="0"/>
          <w:numId w:val="2"/>
        </w:numPr>
        <w:spacing w:line="480" w:lineRule="auto"/>
        <w:jc w:val="both"/>
        <w:rPr>
          <w:rFonts w:ascii="Arial" w:hAnsi="Arial" w:cs="Arial"/>
          <w:sz w:val="24"/>
          <w:szCs w:val="24"/>
        </w:rPr>
      </w:pPr>
      <w:r>
        <w:rPr>
          <w:rFonts w:ascii="Arial" w:hAnsi="Arial" w:cs="Arial"/>
          <w:sz w:val="24"/>
          <w:szCs w:val="24"/>
        </w:rPr>
        <w:t>Section 19 of the Companies Act No. 71 of 2008 (</w:t>
      </w:r>
      <w:r w:rsidR="00AD54B3">
        <w:rPr>
          <w:rFonts w:ascii="Arial" w:hAnsi="Arial" w:cs="Arial"/>
          <w:sz w:val="24"/>
          <w:szCs w:val="24"/>
        </w:rPr>
        <w:t>“</w:t>
      </w:r>
      <w:r>
        <w:rPr>
          <w:rFonts w:ascii="Arial" w:hAnsi="Arial" w:cs="Arial"/>
          <w:sz w:val="24"/>
          <w:szCs w:val="24"/>
        </w:rPr>
        <w:t>the 2008 Act</w:t>
      </w:r>
      <w:r w:rsidR="00AD54B3">
        <w:rPr>
          <w:rFonts w:ascii="Arial" w:hAnsi="Arial" w:cs="Arial"/>
          <w:sz w:val="24"/>
          <w:szCs w:val="24"/>
        </w:rPr>
        <w:t>”</w:t>
      </w:r>
      <w:r>
        <w:rPr>
          <w:rFonts w:ascii="Arial" w:hAnsi="Arial" w:cs="Arial"/>
          <w:sz w:val="24"/>
          <w:szCs w:val="24"/>
        </w:rPr>
        <w:t xml:space="preserve">) which deals with the legal status of companies </w:t>
      </w:r>
      <w:r w:rsidR="00082DC0">
        <w:rPr>
          <w:rFonts w:ascii="Arial" w:hAnsi="Arial" w:cs="Arial"/>
          <w:sz w:val="24"/>
          <w:szCs w:val="24"/>
        </w:rPr>
        <w:t xml:space="preserve">is the starting point </w:t>
      </w:r>
      <w:r w:rsidR="00AD54B3">
        <w:rPr>
          <w:rFonts w:ascii="Arial" w:hAnsi="Arial" w:cs="Arial"/>
          <w:sz w:val="24"/>
          <w:szCs w:val="24"/>
        </w:rPr>
        <w:t xml:space="preserve">in order </w:t>
      </w:r>
      <w:r w:rsidR="00082DC0">
        <w:rPr>
          <w:rFonts w:ascii="Arial" w:hAnsi="Arial" w:cs="Arial"/>
          <w:sz w:val="24"/>
          <w:szCs w:val="24"/>
        </w:rPr>
        <w:t xml:space="preserve">to </w:t>
      </w:r>
      <w:r w:rsidR="00082DC0">
        <w:rPr>
          <w:rFonts w:ascii="Arial" w:hAnsi="Arial" w:cs="Arial"/>
          <w:sz w:val="24"/>
          <w:szCs w:val="24"/>
        </w:rPr>
        <w:lastRenderedPageBreak/>
        <w:t xml:space="preserve">consider whether the </w:t>
      </w:r>
      <w:r w:rsidR="008A1D21">
        <w:rPr>
          <w:rFonts w:ascii="Arial" w:hAnsi="Arial" w:cs="Arial"/>
          <w:sz w:val="24"/>
          <w:szCs w:val="24"/>
        </w:rPr>
        <w:t>s</w:t>
      </w:r>
      <w:r w:rsidR="00082DC0">
        <w:rPr>
          <w:rFonts w:ascii="Arial" w:hAnsi="Arial" w:cs="Arial"/>
          <w:sz w:val="24"/>
          <w:szCs w:val="24"/>
        </w:rPr>
        <w:t xml:space="preserve">econd and </w:t>
      </w:r>
      <w:r w:rsidR="008A1D21">
        <w:rPr>
          <w:rFonts w:ascii="Arial" w:hAnsi="Arial" w:cs="Arial"/>
          <w:sz w:val="24"/>
          <w:szCs w:val="24"/>
        </w:rPr>
        <w:t>t</w:t>
      </w:r>
      <w:r w:rsidR="00082DC0">
        <w:rPr>
          <w:rFonts w:ascii="Arial" w:hAnsi="Arial" w:cs="Arial"/>
          <w:sz w:val="24"/>
          <w:szCs w:val="24"/>
        </w:rPr>
        <w:t xml:space="preserve">hird </w:t>
      </w:r>
      <w:r w:rsidR="008A1D21">
        <w:rPr>
          <w:rFonts w:ascii="Arial" w:hAnsi="Arial" w:cs="Arial"/>
          <w:sz w:val="24"/>
          <w:szCs w:val="24"/>
        </w:rPr>
        <w:t>d</w:t>
      </w:r>
      <w:r w:rsidR="005B4F47">
        <w:rPr>
          <w:rFonts w:ascii="Arial" w:hAnsi="Arial" w:cs="Arial"/>
          <w:sz w:val="24"/>
          <w:szCs w:val="24"/>
        </w:rPr>
        <w:t>efendant</w:t>
      </w:r>
      <w:r w:rsidR="00082DC0">
        <w:rPr>
          <w:rFonts w:ascii="Arial" w:hAnsi="Arial" w:cs="Arial"/>
          <w:sz w:val="24"/>
          <w:szCs w:val="24"/>
        </w:rPr>
        <w:t xml:space="preserve">s are personally liable to the </w:t>
      </w:r>
      <w:r w:rsidR="008A1D21">
        <w:rPr>
          <w:rFonts w:ascii="Arial" w:hAnsi="Arial" w:cs="Arial"/>
          <w:sz w:val="24"/>
          <w:szCs w:val="24"/>
        </w:rPr>
        <w:t>p</w:t>
      </w:r>
      <w:r w:rsidR="005B4F47">
        <w:rPr>
          <w:rFonts w:ascii="Arial" w:hAnsi="Arial" w:cs="Arial"/>
          <w:sz w:val="24"/>
          <w:szCs w:val="24"/>
        </w:rPr>
        <w:t>laintiff</w:t>
      </w:r>
      <w:r w:rsidR="00082DC0">
        <w:rPr>
          <w:rFonts w:ascii="Arial" w:hAnsi="Arial" w:cs="Arial"/>
          <w:sz w:val="24"/>
          <w:szCs w:val="24"/>
        </w:rPr>
        <w:t xml:space="preserve">s for their claim. Except to the extent </w:t>
      </w:r>
      <w:r w:rsidR="00161749">
        <w:rPr>
          <w:rFonts w:ascii="Arial" w:hAnsi="Arial" w:cs="Arial"/>
          <w:sz w:val="24"/>
          <w:szCs w:val="24"/>
        </w:rPr>
        <w:t xml:space="preserve">that </w:t>
      </w:r>
      <w:r w:rsidR="00082DC0">
        <w:rPr>
          <w:rFonts w:ascii="Arial" w:hAnsi="Arial" w:cs="Arial"/>
          <w:sz w:val="24"/>
          <w:szCs w:val="24"/>
        </w:rPr>
        <w:t xml:space="preserve">the </w:t>
      </w:r>
      <w:r w:rsidR="00161749">
        <w:rPr>
          <w:rFonts w:ascii="Arial" w:hAnsi="Arial" w:cs="Arial"/>
          <w:sz w:val="24"/>
          <w:szCs w:val="24"/>
        </w:rPr>
        <w:t xml:space="preserve">2008 </w:t>
      </w:r>
      <w:r w:rsidR="00860EFF">
        <w:rPr>
          <w:rFonts w:ascii="Arial" w:hAnsi="Arial" w:cs="Arial"/>
          <w:sz w:val="24"/>
          <w:szCs w:val="24"/>
        </w:rPr>
        <w:t xml:space="preserve">Act or Memorandum of Incorporation of a Company states </w:t>
      </w:r>
      <w:r w:rsidR="00161749">
        <w:rPr>
          <w:rFonts w:ascii="Arial" w:hAnsi="Arial" w:cs="Arial"/>
          <w:sz w:val="24"/>
          <w:szCs w:val="24"/>
        </w:rPr>
        <w:t xml:space="preserve">what the </w:t>
      </w:r>
      <w:r w:rsidR="00860EFF">
        <w:rPr>
          <w:rFonts w:ascii="Arial" w:hAnsi="Arial" w:cs="Arial"/>
          <w:sz w:val="24"/>
          <w:szCs w:val="24"/>
        </w:rPr>
        <w:t xml:space="preserve">liability of a </w:t>
      </w:r>
      <w:r w:rsidR="008A1D21">
        <w:rPr>
          <w:rFonts w:ascii="Arial" w:hAnsi="Arial" w:cs="Arial"/>
          <w:sz w:val="24"/>
          <w:szCs w:val="24"/>
        </w:rPr>
        <w:t>d</w:t>
      </w:r>
      <w:r w:rsidR="00860EFF">
        <w:rPr>
          <w:rFonts w:ascii="Arial" w:hAnsi="Arial" w:cs="Arial"/>
          <w:sz w:val="24"/>
          <w:szCs w:val="24"/>
        </w:rPr>
        <w:t>irector</w:t>
      </w:r>
      <w:r w:rsidR="00161749">
        <w:rPr>
          <w:rFonts w:ascii="Arial" w:hAnsi="Arial" w:cs="Arial"/>
          <w:sz w:val="24"/>
          <w:szCs w:val="24"/>
        </w:rPr>
        <w:t xml:space="preserve"> is</w:t>
      </w:r>
      <w:r w:rsidR="00860EFF">
        <w:rPr>
          <w:rFonts w:ascii="Arial" w:hAnsi="Arial" w:cs="Arial"/>
          <w:sz w:val="24"/>
          <w:szCs w:val="24"/>
        </w:rPr>
        <w:t xml:space="preserve">, a </w:t>
      </w:r>
      <w:r w:rsidR="008A1D21">
        <w:rPr>
          <w:rFonts w:ascii="Arial" w:hAnsi="Arial" w:cs="Arial"/>
          <w:sz w:val="24"/>
          <w:szCs w:val="24"/>
        </w:rPr>
        <w:t>d</w:t>
      </w:r>
      <w:r w:rsidR="00860EFF">
        <w:rPr>
          <w:rFonts w:ascii="Arial" w:hAnsi="Arial" w:cs="Arial"/>
          <w:sz w:val="24"/>
          <w:szCs w:val="24"/>
        </w:rPr>
        <w:t xml:space="preserve">irector is not solely liable for the obligations and liabilities of a company. </w:t>
      </w:r>
    </w:p>
    <w:p w14:paraId="6FC7E2B4" w14:textId="7289D128" w:rsidR="00F0615B" w:rsidRDefault="00F0615B" w:rsidP="00F0615B">
      <w:pPr>
        <w:pStyle w:val="ListParagraph"/>
        <w:spacing w:line="480" w:lineRule="auto"/>
        <w:rPr>
          <w:rFonts w:ascii="Arial" w:hAnsi="Arial" w:cs="Arial"/>
        </w:rPr>
      </w:pPr>
    </w:p>
    <w:p w14:paraId="625108E0" w14:textId="3592C7C3" w:rsidR="00F0615B" w:rsidRDefault="00860EFF"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A company has its own legal persona quite separate from that of its </w:t>
      </w:r>
      <w:r w:rsidR="008A1D21">
        <w:rPr>
          <w:rFonts w:ascii="Arial" w:hAnsi="Arial" w:cs="Arial"/>
          <w:sz w:val="24"/>
          <w:szCs w:val="24"/>
        </w:rPr>
        <w:t>d</w:t>
      </w:r>
      <w:r>
        <w:rPr>
          <w:rFonts w:ascii="Arial" w:hAnsi="Arial" w:cs="Arial"/>
          <w:sz w:val="24"/>
          <w:szCs w:val="24"/>
        </w:rPr>
        <w:t>irectors</w:t>
      </w:r>
      <w:r>
        <w:rPr>
          <w:rStyle w:val="FootnoteReference"/>
          <w:rFonts w:ascii="Arial" w:hAnsi="Arial" w:cs="Arial"/>
          <w:sz w:val="24"/>
          <w:szCs w:val="24"/>
        </w:rPr>
        <w:footnoteReference w:id="1"/>
      </w:r>
      <w:r>
        <w:rPr>
          <w:rFonts w:ascii="Arial" w:hAnsi="Arial" w:cs="Arial"/>
          <w:sz w:val="24"/>
          <w:szCs w:val="24"/>
        </w:rPr>
        <w:t xml:space="preserve">, </w:t>
      </w:r>
      <w:r>
        <w:rPr>
          <w:rStyle w:val="FootnoteReference"/>
          <w:rFonts w:ascii="Arial" w:hAnsi="Arial" w:cs="Arial"/>
          <w:sz w:val="24"/>
          <w:szCs w:val="24"/>
        </w:rPr>
        <w:footnoteReference w:id="2"/>
      </w:r>
      <w:r>
        <w:rPr>
          <w:rFonts w:ascii="Arial" w:hAnsi="Arial" w:cs="Arial"/>
          <w:sz w:val="24"/>
          <w:szCs w:val="24"/>
        </w:rPr>
        <w:t>.</w:t>
      </w:r>
    </w:p>
    <w:p w14:paraId="59CE7262" w14:textId="72E9DD77" w:rsidR="00F0615B" w:rsidRDefault="00F0615B" w:rsidP="00F0615B">
      <w:pPr>
        <w:spacing w:line="480" w:lineRule="auto"/>
        <w:jc w:val="both"/>
        <w:rPr>
          <w:rFonts w:ascii="Arial" w:hAnsi="Arial" w:cs="Arial"/>
          <w:sz w:val="24"/>
          <w:szCs w:val="24"/>
        </w:rPr>
      </w:pPr>
    </w:p>
    <w:p w14:paraId="61B1C878" w14:textId="7D33AE1C" w:rsidR="00F0615B" w:rsidRDefault="00860EFF"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Section 424 of the Companies Act </w:t>
      </w:r>
      <w:r w:rsidR="00EC6D93">
        <w:rPr>
          <w:rFonts w:ascii="Arial" w:hAnsi="Arial" w:cs="Arial"/>
          <w:sz w:val="24"/>
          <w:szCs w:val="24"/>
        </w:rPr>
        <w:t xml:space="preserve">61 of </w:t>
      </w:r>
      <w:r>
        <w:rPr>
          <w:rFonts w:ascii="Arial" w:hAnsi="Arial" w:cs="Arial"/>
          <w:sz w:val="24"/>
          <w:szCs w:val="24"/>
        </w:rPr>
        <w:t>1973 (</w:t>
      </w:r>
      <w:r w:rsidR="00EC6D93">
        <w:rPr>
          <w:rFonts w:ascii="Arial" w:hAnsi="Arial" w:cs="Arial"/>
          <w:sz w:val="24"/>
          <w:szCs w:val="24"/>
        </w:rPr>
        <w:t>“</w:t>
      </w:r>
      <w:r>
        <w:rPr>
          <w:rFonts w:ascii="Arial" w:hAnsi="Arial" w:cs="Arial"/>
          <w:sz w:val="24"/>
          <w:szCs w:val="24"/>
        </w:rPr>
        <w:t xml:space="preserve">the </w:t>
      </w:r>
      <w:r w:rsidR="008A1D21">
        <w:rPr>
          <w:rFonts w:ascii="Arial" w:hAnsi="Arial" w:cs="Arial"/>
          <w:sz w:val="24"/>
          <w:szCs w:val="24"/>
        </w:rPr>
        <w:t>o</w:t>
      </w:r>
      <w:r>
        <w:rPr>
          <w:rFonts w:ascii="Arial" w:hAnsi="Arial" w:cs="Arial"/>
          <w:sz w:val="24"/>
          <w:szCs w:val="24"/>
        </w:rPr>
        <w:t>ld Act</w:t>
      </w:r>
      <w:r w:rsidR="00EC6D93">
        <w:rPr>
          <w:rFonts w:ascii="Arial" w:hAnsi="Arial" w:cs="Arial"/>
          <w:sz w:val="24"/>
          <w:szCs w:val="24"/>
        </w:rPr>
        <w:t>”</w:t>
      </w:r>
      <w:r>
        <w:rPr>
          <w:rFonts w:ascii="Arial" w:hAnsi="Arial" w:cs="Arial"/>
          <w:sz w:val="24"/>
          <w:szCs w:val="24"/>
        </w:rPr>
        <w:t xml:space="preserve">) stated expressly the </w:t>
      </w:r>
      <w:r w:rsidR="008A1D21">
        <w:rPr>
          <w:rFonts w:ascii="Arial" w:hAnsi="Arial" w:cs="Arial"/>
          <w:sz w:val="24"/>
          <w:szCs w:val="24"/>
        </w:rPr>
        <w:t>d</w:t>
      </w:r>
      <w:r>
        <w:rPr>
          <w:rFonts w:ascii="Arial" w:hAnsi="Arial" w:cs="Arial"/>
          <w:sz w:val="24"/>
          <w:szCs w:val="24"/>
        </w:rPr>
        <w:t>irectors “shall be personally responsible</w:t>
      </w:r>
      <w:r w:rsidR="00EC6D93">
        <w:rPr>
          <w:rFonts w:ascii="Arial" w:hAnsi="Arial" w:cs="Arial"/>
          <w:sz w:val="24"/>
          <w:szCs w:val="24"/>
        </w:rPr>
        <w:t>,</w:t>
      </w:r>
      <w:r>
        <w:rPr>
          <w:rFonts w:ascii="Arial" w:hAnsi="Arial" w:cs="Arial"/>
          <w:sz w:val="24"/>
          <w:szCs w:val="24"/>
        </w:rPr>
        <w:t xml:space="preserve"> </w:t>
      </w:r>
      <w:r w:rsidR="00EC6D93">
        <w:rPr>
          <w:rFonts w:ascii="Arial" w:hAnsi="Arial" w:cs="Arial"/>
          <w:sz w:val="24"/>
          <w:szCs w:val="24"/>
        </w:rPr>
        <w:t xml:space="preserve">without limitation of liability </w:t>
      </w:r>
      <w:r>
        <w:rPr>
          <w:rFonts w:ascii="Arial" w:hAnsi="Arial" w:cs="Arial"/>
          <w:sz w:val="24"/>
          <w:szCs w:val="24"/>
        </w:rPr>
        <w:t xml:space="preserve">for all or any debts or </w:t>
      </w:r>
      <w:r w:rsidR="00EC6D93">
        <w:rPr>
          <w:rFonts w:ascii="Arial" w:hAnsi="Arial" w:cs="Arial"/>
          <w:sz w:val="24"/>
          <w:szCs w:val="24"/>
        </w:rPr>
        <w:t xml:space="preserve">other </w:t>
      </w:r>
      <w:r>
        <w:rPr>
          <w:rFonts w:ascii="Arial" w:hAnsi="Arial" w:cs="Arial"/>
          <w:sz w:val="24"/>
          <w:szCs w:val="24"/>
        </w:rPr>
        <w:t>liabilities” of the company when the business has been carried on recklessly or with intent to defraud creditors</w:t>
      </w:r>
      <w:r w:rsidR="00EC6D93">
        <w:rPr>
          <w:rFonts w:ascii="Arial" w:hAnsi="Arial" w:cs="Arial"/>
          <w:sz w:val="24"/>
          <w:szCs w:val="24"/>
        </w:rPr>
        <w:t xml:space="preserve">. A </w:t>
      </w:r>
      <w:r>
        <w:rPr>
          <w:rFonts w:ascii="Arial" w:hAnsi="Arial" w:cs="Arial"/>
          <w:sz w:val="24"/>
          <w:szCs w:val="24"/>
        </w:rPr>
        <w:t xml:space="preserve">Court </w:t>
      </w:r>
      <w:r w:rsidR="00EC6D93">
        <w:rPr>
          <w:rFonts w:ascii="Arial" w:hAnsi="Arial" w:cs="Arial"/>
          <w:sz w:val="24"/>
          <w:szCs w:val="24"/>
        </w:rPr>
        <w:t xml:space="preserve">however </w:t>
      </w:r>
      <w:r>
        <w:rPr>
          <w:rFonts w:ascii="Arial" w:hAnsi="Arial" w:cs="Arial"/>
          <w:sz w:val="24"/>
          <w:szCs w:val="24"/>
        </w:rPr>
        <w:t xml:space="preserve">had to specifically make such a declaration. </w:t>
      </w:r>
    </w:p>
    <w:p w14:paraId="7C6499C1" w14:textId="77777777" w:rsidR="00F0615B" w:rsidRDefault="00F0615B" w:rsidP="00F0615B">
      <w:pPr>
        <w:spacing w:line="480" w:lineRule="auto"/>
        <w:jc w:val="both"/>
        <w:rPr>
          <w:rFonts w:ascii="Arial" w:hAnsi="Arial" w:cs="Arial"/>
          <w:sz w:val="24"/>
          <w:szCs w:val="24"/>
        </w:rPr>
      </w:pPr>
    </w:p>
    <w:p w14:paraId="1F820184" w14:textId="46DD0C26" w:rsidR="00F0615B" w:rsidRDefault="00860EFF" w:rsidP="00F0615B">
      <w:pPr>
        <w:numPr>
          <w:ilvl w:val="0"/>
          <w:numId w:val="2"/>
        </w:numPr>
        <w:spacing w:line="480" w:lineRule="auto"/>
        <w:jc w:val="both"/>
        <w:rPr>
          <w:rFonts w:ascii="Arial" w:hAnsi="Arial" w:cs="Arial"/>
          <w:sz w:val="24"/>
          <w:szCs w:val="24"/>
        </w:rPr>
      </w:pPr>
      <w:r>
        <w:rPr>
          <w:rFonts w:ascii="Arial" w:hAnsi="Arial" w:cs="Arial"/>
          <w:sz w:val="24"/>
          <w:szCs w:val="24"/>
        </w:rPr>
        <w:t>Section 22</w:t>
      </w:r>
      <w:r w:rsidR="00EC6D93">
        <w:rPr>
          <w:rFonts w:ascii="Arial" w:hAnsi="Arial" w:cs="Arial"/>
          <w:sz w:val="24"/>
          <w:szCs w:val="24"/>
        </w:rPr>
        <w:t>(1) of the 20</w:t>
      </w:r>
      <w:r>
        <w:rPr>
          <w:rFonts w:ascii="Arial" w:hAnsi="Arial" w:cs="Arial"/>
          <w:sz w:val="24"/>
          <w:szCs w:val="24"/>
        </w:rPr>
        <w:t xml:space="preserve">08 Act prohibits </w:t>
      </w:r>
      <w:r w:rsidR="00EC6D93">
        <w:rPr>
          <w:rFonts w:ascii="Arial" w:hAnsi="Arial" w:cs="Arial"/>
          <w:sz w:val="24"/>
          <w:szCs w:val="24"/>
        </w:rPr>
        <w:t xml:space="preserve">a company from carrying on its business </w:t>
      </w:r>
      <w:r>
        <w:rPr>
          <w:rFonts w:ascii="Arial" w:hAnsi="Arial" w:cs="Arial"/>
          <w:sz w:val="24"/>
          <w:szCs w:val="24"/>
        </w:rPr>
        <w:t>reckless</w:t>
      </w:r>
      <w:r w:rsidR="00EC6D93">
        <w:rPr>
          <w:rFonts w:ascii="Arial" w:hAnsi="Arial" w:cs="Arial"/>
          <w:sz w:val="24"/>
          <w:szCs w:val="24"/>
        </w:rPr>
        <w:t>ly</w:t>
      </w:r>
      <w:r>
        <w:rPr>
          <w:rFonts w:ascii="Arial" w:hAnsi="Arial" w:cs="Arial"/>
          <w:sz w:val="24"/>
          <w:szCs w:val="24"/>
        </w:rPr>
        <w:t xml:space="preserve"> with </w:t>
      </w:r>
      <w:r w:rsidR="00EC6D93">
        <w:rPr>
          <w:rFonts w:ascii="Arial" w:hAnsi="Arial" w:cs="Arial"/>
          <w:sz w:val="24"/>
          <w:szCs w:val="24"/>
        </w:rPr>
        <w:t>“</w:t>
      </w:r>
      <w:r>
        <w:rPr>
          <w:rFonts w:ascii="Arial" w:hAnsi="Arial" w:cs="Arial"/>
          <w:sz w:val="24"/>
          <w:szCs w:val="24"/>
        </w:rPr>
        <w:t>gross negligence, with intent to defraud any person, or for a fraudulent purpose”</w:t>
      </w:r>
      <w:r w:rsidR="009C47A5">
        <w:rPr>
          <w:rFonts w:ascii="Arial" w:hAnsi="Arial" w:cs="Arial"/>
          <w:sz w:val="24"/>
          <w:szCs w:val="24"/>
        </w:rPr>
        <w:t>.</w:t>
      </w:r>
      <w:r w:rsidR="00EC6D93">
        <w:rPr>
          <w:rFonts w:ascii="Arial" w:hAnsi="Arial" w:cs="Arial"/>
          <w:sz w:val="24"/>
          <w:szCs w:val="24"/>
        </w:rPr>
        <w:t xml:space="preserve"> If the Companies and Intellectual Property </w:t>
      </w:r>
      <w:r>
        <w:rPr>
          <w:rFonts w:ascii="Arial" w:hAnsi="Arial" w:cs="Arial"/>
          <w:sz w:val="24"/>
          <w:szCs w:val="24"/>
        </w:rPr>
        <w:t xml:space="preserve">Commission </w:t>
      </w:r>
      <w:r w:rsidR="00EC6D93">
        <w:rPr>
          <w:rFonts w:ascii="Arial" w:hAnsi="Arial" w:cs="Arial"/>
          <w:sz w:val="24"/>
          <w:szCs w:val="24"/>
        </w:rPr>
        <w:t xml:space="preserve">(“the Commission”) </w:t>
      </w:r>
      <w:r>
        <w:rPr>
          <w:rFonts w:ascii="Arial" w:hAnsi="Arial" w:cs="Arial"/>
          <w:sz w:val="24"/>
          <w:szCs w:val="24"/>
        </w:rPr>
        <w:t xml:space="preserve">has reasonable grounds to believe that the company is engaging in conduct which is prohibited in S22(1), it is entitled to issue a Notice to the company </w:t>
      </w:r>
      <w:r w:rsidR="00397467">
        <w:rPr>
          <w:rFonts w:ascii="Arial" w:hAnsi="Arial" w:cs="Arial"/>
          <w:sz w:val="24"/>
          <w:szCs w:val="24"/>
        </w:rPr>
        <w:t xml:space="preserve">to show cause why the company should be permitted to carry on business. </w:t>
      </w:r>
    </w:p>
    <w:p w14:paraId="6C70DBF2" w14:textId="77777777" w:rsidR="00F0615B" w:rsidRDefault="00F0615B" w:rsidP="00F0615B">
      <w:pPr>
        <w:pStyle w:val="ListParagraph"/>
        <w:spacing w:line="480" w:lineRule="auto"/>
        <w:rPr>
          <w:rFonts w:ascii="Arial" w:hAnsi="Arial" w:cs="Arial"/>
        </w:rPr>
      </w:pPr>
    </w:p>
    <w:p w14:paraId="40B2C973" w14:textId="22C087E4" w:rsidR="00F0615B" w:rsidRDefault="00885FAE" w:rsidP="00F0615B">
      <w:pPr>
        <w:numPr>
          <w:ilvl w:val="0"/>
          <w:numId w:val="2"/>
        </w:numPr>
        <w:spacing w:line="480" w:lineRule="auto"/>
        <w:jc w:val="both"/>
        <w:rPr>
          <w:rFonts w:ascii="Arial" w:hAnsi="Arial" w:cs="Arial"/>
          <w:sz w:val="24"/>
          <w:szCs w:val="24"/>
        </w:rPr>
      </w:pPr>
      <w:r>
        <w:rPr>
          <w:rFonts w:ascii="Arial" w:hAnsi="Arial" w:cs="Arial"/>
          <w:sz w:val="24"/>
          <w:szCs w:val="24"/>
        </w:rPr>
        <w:t>The provisions of S</w:t>
      </w:r>
      <w:r w:rsidR="001E6C92">
        <w:rPr>
          <w:rFonts w:ascii="Arial" w:hAnsi="Arial" w:cs="Arial"/>
          <w:sz w:val="24"/>
          <w:szCs w:val="24"/>
        </w:rPr>
        <w:t xml:space="preserve">22 do not state that a </w:t>
      </w:r>
      <w:r w:rsidR="009C47A5">
        <w:rPr>
          <w:rFonts w:ascii="Arial" w:hAnsi="Arial" w:cs="Arial"/>
          <w:sz w:val="24"/>
          <w:szCs w:val="24"/>
        </w:rPr>
        <w:t>d</w:t>
      </w:r>
      <w:r w:rsidR="001E6C92">
        <w:rPr>
          <w:rFonts w:ascii="Arial" w:hAnsi="Arial" w:cs="Arial"/>
          <w:sz w:val="24"/>
          <w:szCs w:val="24"/>
        </w:rPr>
        <w:t xml:space="preserve">irector will be held liable for acting in a manner </w:t>
      </w:r>
      <w:r>
        <w:rPr>
          <w:rFonts w:ascii="Arial" w:hAnsi="Arial" w:cs="Arial"/>
          <w:sz w:val="24"/>
          <w:szCs w:val="24"/>
        </w:rPr>
        <w:t>stipulated in S</w:t>
      </w:r>
      <w:r w:rsidR="001E6C92">
        <w:rPr>
          <w:rFonts w:ascii="Arial" w:hAnsi="Arial" w:cs="Arial"/>
          <w:sz w:val="24"/>
          <w:szCs w:val="24"/>
        </w:rPr>
        <w:t>22(1).</w:t>
      </w:r>
    </w:p>
    <w:p w14:paraId="25E72868" w14:textId="77777777" w:rsidR="00F0615B" w:rsidRDefault="00F0615B" w:rsidP="00F0615B">
      <w:pPr>
        <w:spacing w:line="480" w:lineRule="auto"/>
        <w:jc w:val="both"/>
        <w:rPr>
          <w:rFonts w:ascii="Arial" w:hAnsi="Arial" w:cs="Arial"/>
          <w:sz w:val="24"/>
          <w:szCs w:val="24"/>
        </w:rPr>
      </w:pPr>
    </w:p>
    <w:p w14:paraId="1E4874B6" w14:textId="5A8A02D5" w:rsidR="00F0615B" w:rsidRDefault="001E6C92"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Section 77(2) of the 2008 Act </w:t>
      </w:r>
      <w:r w:rsidR="00745817">
        <w:rPr>
          <w:rFonts w:ascii="Arial" w:hAnsi="Arial" w:cs="Arial"/>
          <w:sz w:val="24"/>
          <w:szCs w:val="24"/>
        </w:rPr>
        <w:t>reads as follows:</w:t>
      </w:r>
    </w:p>
    <w:p w14:paraId="5CB22862" w14:textId="53C5F550" w:rsidR="00F0615B" w:rsidRDefault="00F0615B" w:rsidP="00F0615B">
      <w:pPr>
        <w:spacing w:line="480" w:lineRule="auto"/>
        <w:jc w:val="both"/>
        <w:rPr>
          <w:rFonts w:ascii="Arial" w:hAnsi="Arial" w:cs="Arial"/>
          <w:sz w:val="24"/>
          <w:szCs w:val="24"/>
        </w:rPr>
      </w:pPr>
    </w:p>
    <w:p w14:paraId="6C60DC52" w14:textId="2CB7DB62" w:rsidR="00745817" w:rsidRPr="00885FAE" w:rsidRDefault="009C47A5" w:rsidP="00486409">
      <w:pPr>
        <w:spacing w:line="360" w:lineRule="auto"/>
        <w:ind w:left="1440"/>
        <w:jc w:val="both"/>
        <w:rPr>
          <w:rFonts w:ascii="Arial" w:hAnsi="Arial" w:cs="Arial"/>
          <w:sz w:val="22"/>
          <w:szCs w:val="22"/>
        </w:rPr>
      </w:pPr>
      <w:r>
        <w:rPr>
          <w:rFonts w:ascii="Arial" w:hAnsi="Arial" w:cs="Arial"/>
          <w:sz w:val="22"/>
          <w:szCs w:val="22"/>
        </w:rPr>
        <w:t>A d</w:t>
      </w:r>
      <w:r w:rsidR="00745817" w:rsidRPr="00885FAE">
        <w:rPr>
          <w:rFonts w:ascii="Arial" w:hAnsi="Arial" w:cs="Arial"/>
          <w:sz w:val="22"/>
          <w:szCs w:val="22"/>
        </w:rPr>
        <w:t>irector of a company may be held liable –</w:t>
      </w:r>
    </w:p>
    <w:p w14:paraId="31AC5086" w14:textId="77777777" w:rsidR="00745817" w:rsidRPr="00885FAE" w:rsidRDefault="00745817" w:rsidP="00486409">
      <w:pPr>
        <w:spacing w:line="360" w:lineRule="auto"/>
        <w:ind w:left="2880" w:hanging="720"/>
        <w:jc w:val="both"/>
        <w:rPr>
          <w:rFonts w:ascii="Arial" w:hAnsi="Arial" w:cs="Arial"/>
          <w:sz w:val="22"/>
          <w:szCs w:val="22"/>
        </w:rPr>
      </w:pPr>
    </w:p>
    <w:p w14:paraId="0A79AF0B" w14:textId="206DBFD1" w:rsidR="00885FAE" w:rsidRDefault="00745817" w:rsidP="00885FAE">
      <w:pPr>
        <w:spacing w:line="360" w:lineRule="auto"/>
        <w:ind w:left="2160" w:hanging="720"/>
        <w:jc w:val="both"/>
        <w:rPr>
          <w:rFonts w:ascii="Arial" w:hAnsi="Arial" w:cs="Arial"/>
          <w:sz w:val="22"/>
          <w:szCs w:val="22"/>
        </w:rPr>
      </w:pPr>
      <w:r w:rsidRPr="00885FAE">
        <w:rPr>
          <w:rFonts w:ascii="Arial" w:hAnsi="Arial" w:cs="Arial"/>
          <w:sz w:val="22"/>
          <w:szCs w:val="22"/>
        </w:rPr>
        <w:t>(a)</w:t>
      </w:r>
      <w:r w:rsidRPr="00885FAE">
        <w:rPr>
          <w:rFonts w:ascii="Arial" w:hAnsi="Arial" w:cs="Arial"/>
          <w:sz w:val="22"/>
          <w:szCs w:val="22"/>
        </w:rPr>
        <w:tab/>
        <w:t xml:space="preserve">in accordance with the principles of the common law relating to breach of a fiduciary duty, for any loss, damages or costs sustained by the company as a consequence of any breach by the </w:t>
      </w:r>
      <w:r w:rsidR="00885FAE">
        <w:rPr>
          <w:rFonts w:ascii="Arial" w:hAnsi="Arial" w:cs="Arial"/>
          <w:sz w:val="22"/>
          <w:szCs w:val="22"/>
        </w:rPr>
        <w:t>d</w:t>
      </w:r>
      <w:r w:rsidRPr="00885FAE">
        <w:rPr>
          <w:rFonts w:ascii="Arial" w:hAnsi="Arial" w:cs="Arial"/>
          <w:sz w:val="22"/>
          <w:szCs w:val="22"/>
        </w:rPr>
        <w:t xml:space="preserve">irector of a duty contemplated in Section 75, 76(2) or </w:t>
      </w:r>
      <w:r w:rsidR="00885FAE">
        <w:rPr>
          <w:rFonts w:ascii="Arial" w:hAnsi="Arial" w:cs="Arial"/>
          <w:sz w:val="22"/>
          <w:szCs w:val="22"/>
        </w:rPr>
        <w:t>s</w:t>
      </w:r>
      <w:r w:rsidRPr="00885FAE">
        <w:rPr>
          <w:rFonts w:ascii="Arial" w:hAnsi="Arial" w:cs="Arial"/>
          <w:sz w:val="22"/>
          <w:szCs w:val="22"/>
        </w:rPr>
        <w:t>ection 76(3)(a) or (b); or</w:t>
      </w:r>
    </w:p>
    <w:p w14:paraId="635DF47A" w14:textId="77777777" w:rsidR="00885FAE" w:rsidRDefault="00885FAE" w:rsidP="00885FAE">
      <w:pPr>
        <w:spacing w:line="360" w:lineRule="auto"/>
        <w:ind w:left="2160" w:hanging="720"/>
        <w:jc w:val="both"/>
        <w:rPr>
          <w:rFonts w:ascii="Arial" w:hAnsi="Arial" w:cs="Arial"/>
          <w:sz w:val="22"/>
          <w:szCs w:val="22"/>
        </w:rPr>
      </w:pPr>
    </w:p>
    <w:p w14:paraId="04C4A4CC" w14:textId="3D5F11B5" w:rsidR="00745817" w:rsidRPr="00885FAE" w:rsidRDefault="00745817" w:rsidP="00885FAE">
      <w:pPr>
        <w:spacing w:line="360" w:lineRule="auto"/>
        <w:ind w:left="2160" w:hanging="720"/>
        <w:jc w:val="both"/>
        <w:rPr>
          <w:rFonts w:ascii="Arial" w:hAnsi="Arial" w:cs="Arial"/>
          <w:sz w:val="22"/>
          <w:szCs w:val="22"/>
        </w:rPr>
      </w:pPr>
      <w:r w:rsidRPr="00885FAE">
        <w:rPr>
          <w:rFonts w:ascii="Arial" w:hAnsi="Arial" w:cs="Arial"/>
          <w:sz w:val="22"/>
          <w:szCs w:val="22"/>
        </w:rPr>
        <w:t>(b)</w:t>
      </w:r>
      <w:r w:rsidRPr="00885FAE">
        <w:rPr>
          <w:rFonts w:ascii="Arial" w:hAnsi="Arial" w:cs="Arial"/>
          <w:sz w:val="22"/>
          <w:szCs w:val="22"/>
        </w:rPr>
        <w:tab/>
        <w:t xml:space="preserve">in accordance with the principles of the common law relating to delict for any loss, damages or costs sustained by the company as a consequence of any breach by the </w:t>
      </w:r>
      <w:r w:rsidR="00885FAE">
        <w:rPr>
          <w:rFonts w:ascii="Arial" w:hAnsi="Arial" w:cs="Arial"/>
          <w:sz w:val="22"/>
          <w:szCs w:val="22"/>
        </w:rPr>
        <w:t>d</w:t>
      </w:r>
      <w:r w:rsidRPr="00885FAE">
        <w:rPr>
          <w:rFonts w:ascii="Arial" w:hAnsi="Arial" w:cs="Arial"/>
          <w:sz w:val="22"/>
          <w:szCs w:val="22"/>
        </w:rPr>
        <w:t>irector of –</w:t>
      </w:r>
    </w:p>
    <w:p w14:paraId="08E2C149" w14:textId="64BF6A3B" w:rsidR="00745817" w:rsidRPr="00885FAE" w:rsidRDefault="00745817" w:rsidP="00486409">
      <w:pPr>
        <w:spacing w:line="360" w:lineRule="auto"/>
        <w:ind w:left="2880" w:hanging="720"/>
        <w:jc w:val="both"/>
        <w:rPr>
          <w:rFonts w:ascii="Arial" w:hAnsi="Arial" w:cs="Arial"/>
          <w:sz w:val="22"/>
          <w:szCs w:val="22"/>
        </w:rPr>
      </w:pPr>
    </w:p>
    <w:p w14:paraId="1E5B3500" w14:textId="46DE062D" w:rsidR="00745817" w:rsidRPr="00885FAE" w:rsidRDefault="00885FAE" w:rsidP="00486409">
      <w:pPr>
        <w:spacing w:line="360" w:lineRule="auto"/>
        <w:ind w:left="2880" w:hanging="720"/>
        <w:jc w:val="both"/>
        <w:rPr>
          <w:rFonts w:ascii="Arial" w:hAnsi="Arial" w:cs="Arial"/>
          <w:sz w:val="22"/>
          <w:szCs w:val="22"/>
        </w:rPr>
      </w:pPr>
      <w:r>
        <w:rPr>
          <w:rFonts w:ascii="Arial" w:hAnsi="Arial" w:cs="Arial"/>
          <w:sz w:val="22"/>
          <w:szCs w:val="22"/>
        </w:rPr>
        <w:t>(i)</w:t>
      </w:r>
      <w:r>
        <w:rPr>
          <w:rFonts w:ascii="Arial" w:hAnsi="Arial" w:cs="Arial"/>
          <w:sz w:val="22"/>
          <w:szCs w:val="22"/>
        </w:rPr>
        <w:tab/>
        <w:t>a duty contemplated in s</w:t>
      </w:r>
      <w:r w:rsidR="00745817" w:rsidRPr="00885FAE">
        <w:rPr>
          <w:rFonts w:ascii="Arial" w:hAnsi="Arial" w:cs="Arial"/>
          <w:sz w:val="22"/>
          <w:szCs w:val="22"/>
        </w:rPr>
        <w:t>ection 76(3)(c);</w:t>
      </w:r>
    </w:p>
    <w:p w14:paraId="5A3884BF" w14:textId="19A996DE" w:rsidR="00745817" w:rsidRPr="00885FAE" w:rsidRDefault="00745817" w:rsidP="00486409">
      <w:pPr>
        <w:spacing w:line="360" w:lineRule="auto"/>
        <w:ind w:left="2880" w:hanging="720"/>
        <w:jc w:val="both"/>
        <w:rPr>
          <w:rFonts w:ascii="Arial" w:hAnsi="Arial" w:cs="Arial"/>
          <w:sz w:val="22"/>
          <w:szCs w:val="22"/>
        </w:rPr>
      </w:pPr>
    </w:p>
    <w:p w14:paraId="1A0D9167" w14:textId="28A9544D" w:rsidR="00745817" w:rsidRPr="00885FAE" w:rsidRDefault="00745817" w:rsidP="00885FAE">
      <w:pPr>
        <w:spacing w:line="360" w:lineRule="auto"/>
        <w:ind w:left="2880" w:hanging="720"/>
        <w:jc w:val="both"/>
        <w:rPr>
          <w:rFonts w:ascii="Arial" w:hAnsi="Arial" w:cs="Arial"/>
          <w:sz w:val="22"/>
          <w:szCs w:val="22"/>
        </w:rPr>
      </w:pPr>
      <w:r w:rsidRPr="00885FAE">
        <w:rPr>
          <w:rFonts w:ascii="Arial" w:hAnsi="Arial" w:cs="Arial"/>
          <w:sz w:val="22"/>
          <w:szCs w:val="22"/>
        </w:rPr>
        <w:t>(ii)</w:t>
      </w:r>
      <w:r w:rsidRPr="00885FAE">
        <w:rPr>
          <w:rFonts w:ascii="Arial" w:hAnsi="Arial" w:cs="Arial"/>
          <w:sz w:val="22"/>
          <w:szCs w:val="22"/>
        </w:rPr>
        <w:tab/>
        <w:t xml:space="preserve">any provision of this Act not otherwise mentioned in this </w:t>
      </w:r>
      <w:r w:rsidR="00885FAE">
        <w:rPr>
          <w:rFonts w:ascii="Arial" w:hAnsi="Arial" w:cs="Arial"/>
          <w:sz w:val="22"/>
          <w:szCs w:val="22"/>
        </w:rPr>
        <w:t>s</w:t>
      </w:r>
      <w:r w:rsidRPr="00885FAE">
        <w:rPr>
          <w:rFonts w:ascii="Arial" w:hAnsi="Arial" w:cs="Arial"/>
          <w:sz w:val="22"/>
          <w:szCs w:val="22"/>
        </w:rPr>
        <w:t>ection; or</w:t>
      </w:r>
    </w:p>
    <w:p w14:paraId="7110D581" w14:textId="5501C2A1" w:rsidR="00745817" w:rsidRPr="00885FAE" w:rsidRDefault="00745817" w:rsidP="00486409">
      <w:pPr>
        <w:spacing w:line="360" w:lineRule="auto"/>
        <w:ind w:left="3600" w:hanging="720"/>
        <w:jc w:val="both"/>
        <w:rPr>
          <w:rFonts w:ascii="Arial" w:hAnsi="Arial" w:cs="Arial"/>
          <w:sz w:val="22"/>
          <w:szCs w:val="22"/>
        </w:rPr>
      </w:pPr>
    </w:p>
    <w:p w14:paraId="3F947D8B" w14:textId="6A68E786" w:rsidR="00745817" w:rsidRPr="00486409" w:rsidRDefault="00745817" w:rsidP="00885FAE">
      <w:pPr>
        <w:spacing w:line="360" w:lineRule="auto"/>
        <w:ind w:left="2880" w:hanging="720"/>
        <w:jc w:val="both"/>
        <w:rPr>
          <w:rFonts w:ascii="Arial" w:hAnsi="Arial" w:cs="Arial"/>
          <w:i/>
          <w:sz w:val="22"/>
          <w:szCs w:val="22"/>
        </w:rPr>
      </w:pPr>
      <w:r w:rsidRPr="00885FAE">
        <w:rPr>
          <w:rFonts w:ascii="Arial" w:hAnsi="Arial" w:cs="Arial"/>
          <w:sz w:val="22"/>
          <w:szCs w:val="22"/>
        </w:rPr>
        <w:t>(iii)</w:t>
      </w:r>
      <w:r w:rsidRPr="00885FAE">
        <w:rPr>
          <w:rFonts w:ascii="Arial" w:hAnsi="Arial" w:cs="Arial"/>
          <w:sz w:val="22"/>
          <w:szCs w:val="22"/>
        </w:rPr>
        <w:tab/>
        <w:t>any provision of the company’s Memorandum of Incorporation</w:t>
      </w:r>
      <w:r w:rsidR="00486409" w:rsidRPr="00885FAE">
        <w:rPr>
          <w:rFonts w:ascii="Arial" w:hAnsi="Arial" w:cs="Arial"/>
          <w:sz w:val="22"/>
          <w:szCs w:val="22"/>
        </w:rPr>
        <w:t>.”</w:t>
      </w:r>
    </w:p>
    <w:p w14:paraId="3703E5C5" w14:textId="77777777" w:rsidR="00745817" w:rsidRPr="00745817" w:rsidRDefault="00745817" w:rsidP="00745817">
      <w:pPr>
        <w:spacing w:line="480" w:lineRule="auto"/>
        <w:ind w:left="1440"/>
        <w:jc w:val="both"/>
        <w:rPr>
          <w:rFonts w:ascii="Arial" w:hAnsi="Arial" w:cs="Arial"/>
          <w:i/>
          <w:sz w:val="24"/>
          <w:szCs w:val="24"/>
        </w:rPr>
      </w:pPr>
    </w:p>
    <w:p w14:paraId="2CE7827C" w14:textId="64666A90" w:rsidR="00F0615B" w:rsidRDefault="00486409"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Section 77(3) sets out the circumstances where a </w:t>
      </w:r>
      <w:r w:rsidR="00B00531">
        <w:rPr>
          <w:rFonts w:ascii="Arial" w:hAnsi="Arial" w:cs="Arial"/>
          <w:sz w:val="24"/>
          <w:szCs w:val="24"/>
        </w:rPr>
        <w:t>d</w:t>
      </w:r>
      <w:r>
        <w:rPr>
          <w:rFonts w:ascii="Arial" w:hAnsi="Arial" w:cs="Arial"/>
          <w:sz w:val="24"/>
          <w:szCs w:val="24"/>
        </w:rPr>
        <w:t xml:space="preserve">irector is liable for loss, damages or costs sustained </w:t>
      </w:r>
      <w:r>
        <w:rPr>
          <w:rFonts w:ascii="Arial" w:hAnsi="Arial" w:cs="Arial"/>
          <w:b/>
          <w:sz w:val="24"/>
          <w:szCs w:val="24"/>
          <w:u w:val="single"/>
        </w:rPr>
        <w:t>by the company</w:t>
      </w:r>
      <w:r>
        <w:rPr>
          <w:rFonts w:ascii="Arial" w:hAnsi="Arial" w:cs="Arial"/>
          <w:sz w:val="24"/>
          <w:szCs w:val="24"/>
        </w:rPr>
        <w:t xml:space="preserve"> [my emphasis] as a result of direct or indirect conduct on the part of the </w:t>
      </w:r>
      <w:r w:rsidR="00B00531">
        <w:rPr>
          <w:rFonts w:ascii="Arial" w:hAnsi="Arial" w:cs="Arial"/>
          <w:sz w:val="24"/>
          <w:szCs w:val="24"/>
        </w:rPr>
        <w:t>d</w:t>
      </w:r>
      <w:r>
        <w:rPr>
          <w:rFonts w:ascii="Arial" w:hAnsi="Arial" w:cs="Arial"/>
          <w:sz w:val="24"/>
          <w:szCs w:val="24"/>
        </w:rPr>
        <w:t>irector. From a plain reading of S77(3)</w:t>
      </w:r>
      <w:r w:rsidR="00B00531">
        <w:rPr>
          <w:rFonts w:ascii="Arial" w:hAnsi="Arial" w:cs="Arial"/>
          <w:sz w:val="24"/>
          <w:szCs w:val="24"/>
        </w:rPr>
        <w:t>,</w:t>
      </w:r>
      <w:r>
        <w:rPr>
          <w:rFonts w:ascii="Arial" w:hAnsi="Arial" w:cs="Arial"/>
          <w:sz w:val="24"/>
          <w:szCs w:val="24"/>
        </w:rPr>
        <w:t xml:space="preserve"> no liability to third parties such as creditors for debts </w:t>
      </w:r>
      <w:r>
        <w:rPr>
          <w:rFonts w:ascii="Arial" w:hAnsi="Arial" w:cs="Arial"/>
          <w:sz w:val="24"/>
          <w:szCs w:val="24"/>
        </w:rPr>
        <w:lastRenderedPageBreak/>
        <w:t xml:space="preserve">or liabilities may be imputed to a Director. In the case of </w:t>
      </w:r>
      <w:r w:rsidRPr="00B00531">
        <w:rPr>
          <w:rFonts w:ascii="Arial" w:hAnsi="Arial" w:cs="Arial"/>
          <w:sz w:val="24"/>
          <w:szCs w:val="24"/>
        </w:rPr>
        <w:t>Gihwala and Others v G</w:t>
      </w:r>
      <w:r w:rsidR="0011557A" w:rsidRPr="00B00531">
        <w:rPr>
          <w:rFonts w:ascii="Arial" w:hAnsi="Arial" w:cs="Arial"/>
          <w:sz w:val="24"/>
          <w:szCs w:val="24"/>
        </w:rPr>
        <w:t>rancy</w:t>
      </w:r>
      <w:r w:rsidRPr="00B00531">
        <w:rPr>
          <w:rFonts w:ascii="Arial" w:hAnsi="Arial" w:cs="Arial"/>
          <w:sz w:val="24"/>
          <w:szCs w:val="24"/>
        </w:rPr>
        <w:t xml:space="preserve"> Property Limited and Others</w:t>
      </w:r>
      <w:r w:rsidR="0011557A" w:rsidRPr="007261CA">
        <w:rPr>
          <w:rStyle w:val="FootnoteReference"/>
          <w:rFonts w:ascii="Arial" w:hAnsi="Arial" w:cs="Arial"/>
          <w:sz w:val="24"/>
          <w:szCs w:val="24"/>
        </w:rPr>
        <w:footnoteReference w:id="3"/>
      </w:r>
      <w:r w:rsidR="00E307E7" w:rsidRPr="00E307E7">
        <w:rPr>
          <w:rFonts w:ascii="Arial" w:hAnsi="Arial" w:cs="Arial"/>
          <w:sz w:val="24"/>
          <w:szCs w:val="24"/>
        </w:rPr>
        <w:t xml:space="preserve">, the </w:t>
      </w:r>
      <w:r w:rsidR="00E307E7">
        <w:rPr>
          <w:rFonts w:ascii="Arial" w:hAnsi="Arial" w:cs="Arial"/>
          <w:sz w:val="24"/>
          <w:szCs w:val="24"/>
        </w:rPr>
        <w:t xml:space="preserve">Supreme Court of Appeal held that Section 77(3) may not be invoked by a creditor to secure payment. It is only a company which may invoke these provisions against a </w:t>
      </w:r>
      <w:r w:rsidR="00C6552D">
        <w:rPr>
          <w:rFonts w:ascii="Arial" w:hAnsi="Arial" w:cs="Arial"/>
          <w:sz w:val="24"/>
          <w:szCs w:val="24"/>
        </w:rPr>
        <w:t>d</w:t>
      </w:r>
      <w:r w:rsidR="00E307E7">
        <w:rPr>
          <w:rFonts w:ascii="Arial" w:hAnsi="Arial" w:cs="Arial"/>
          <w:sz w:val="24"/>
          <w:szCs w:val="24"/>
        </w:rPr>
        <w:t xml:space="preserve">irector. </w:t>
      </w:r>
    </w:p>
    <w:p w14:paraId="050DF8B4" w14:textId="77777777" w:rsidR="00F0615B" w:rsidRDefault="00F0615B" w:rsidP="00F0615B">
      <w:pPr>
        <w:pStyle w:val="ListParagraph"/>
        <w:spacing w:line="480" w:lineRule="auto"/>
        <w:rPr>
          <w:rFonts w:ascii="Arial" w:hAnsi="Arial" w:cs="Arial"/>
        </w:rPr>
      </w:pPr>
    </w:p>
    <w:p w14:paraId="040AB1FD" w14:textId="54C6F445" w:rsidR="00F0615B" w:rsidRDefault="00E307E7" w:rsidP="00F0615B">
      <w:pPr>
        <w:numPr>
          <w:ilvl w:val="0"/>
          <w:numId w:val="2"/>
        </w:numPr>
        <w:spacing w:line="480" w:lineRule="auto"/>
        <w:jc w:val="both"/>
        <w:rPr>
          <w:rFonts w:ascii="Arial" w:hAnsi="Arial" w:cs="Arial"/>
          <w:sz w:val="24"/>
          <w:szCs w:val="24"/>
        </w:rPr>
      </w:pPr>
      <w:r>
        <w:rPr>
          <w:rFonts w:ascii="Arial" w:hAnsi="Arial" w:cs="Arial"/>
          <w:sz w:val="24"/>
          <w:szCs w:val="24"/>
        </w:rPr>
        <w:t>Section 218 of the 2008 Act pertains to civil actions and Section 218(2) reads as follows:-</w:t>
      </w:r>
    </w:p>
    <w:p w14:paraId="19FB3F18" w14:textId="77777777" w:rsidR="00995C3E" w:rsidRPr="00995C3E" w:rsidRDefault="00995C3E" w:rsidP="00995C3E">
      <w:pPr>
        <w:pStyle w:val="ListParagraph"/>
        <w:spacing w:line="480" w:lineRule="auto"/>
        <w:ind w:left="851"/>
        <w:jc w:val="both"/>
        <w:rPr>
          <w:rFonts w:ascii="Arial" w:hAnsi="Arial" w:cs="Arial"/>
        </w:rPr>
      </w:pPr>
    </w:p>
    <w:p w14:paraId="56B02A9F" w14:textId="3C1D90CB" w:rsidR="00995C3E" w:rsidRPr="00C6552D" w:rsidRDefault="00995C3E" w:rsidP="00C6552D">
      <w:pPr>
        <w:pStyle w:val="ListParagraph"/>
        <w:spacing w:line="360" w:lineRule="auto"/>
        <w:ind w:left="1440"/>
        <w:jc w:val="both"/>
        <w:rPr>
          <w:rFonts w:ascii="Arial" w:hAnsi="Arial" w:cs="Arial"/>
          <w:sz w:val="22"/>
          <w:szCs w:val="22"/>
        </w:rPr>
      </w:pPr>
      <w:r w:rsidRPr="00C6552D">
        <w:rPr>
          <w:rFonts w:ascii="Arial" w:hAnsi="Arial" w:cs="Arial"/>
          <w:sz w:val="22"/>
          <w:szCs w:val="22"/>
        </w:rPr>
        <w:t>Any person who contravenes any provisions of this Act is liable to any other person for any loss or damage suffered by that person as a result of that contravention.”</w:t>
      </w:r>
    </w:p>
    <w:p w14:paraId="1A8A6317" w14:textId="77777777" w:rsidR="00F0615B" w:rsidRDefault="00F0615B" w:rsidP="00F0615B">
      <w:pPr>
        <w:pStyle w:val="ListParagraph"/>
        <w:spacing w:line="480" w:lineRule="auto"/>
        <w:rPr>
          <w:rFonts w:ascii="Arial" w:hAnsi="Arial" w:cs="Arial"/>
        </w:rPr>
      </w:pPr>
    </w:p>
    <w:p w14:paraId="4A082AEB" w14:textId="650862BC" w:rsidR="00F0615B" w:rsidRDefault="002C6D77"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In </w:t>
      </w:r>
      <w:r w:rsidRPr="00C6552D">
        <w:rPr>
          <w:rFonts w:ascii="Arial" w:hAnsi="Arial" w:cs="Arial"/>
          <w:sz w:val="24"/>
          <w:szCs w:val="24"/>
        </w:rPr>
        <w:t>Chemfit Fine Chemicals (Pty) Limited v Maake</w:t>
      </w:r>
      <w:r w:rsidRPr="003A5C5E">
        <w:rPr>
          <w:rStyle w:val="FootnoteReference"/>
          <w:rFonts w:ascii="Arial" w:hAnsi="Arial" w:cs="Arial"/>
          <w:sz w:val="24"/>
          <w:szCs w:val="24"/>
        </w:rPr>
        <w:footnoteReference w:id="4"/>
      </w:r>
      <w:r w:rsidR="003A5C5E">
        <w:rPr>
          <w:rFonts w:ascii="Arial" w:hAnsi="Arial" w:cs="Arial"/>
          <w:b/>
          <w:sz w:val="24"/>
          <w:szCs w:val="24"/>
        </w:rPr>
        <w:t xml:space="preserve"> </w:t>
      </w:r>
      <w:r w:rsidR="003A5C5E">
        <w:rPr>
          <w:rFonts w:ascii="Arial" w:hAnsi="Arial" w:cs="Arial"/>
          <w:sz w:val="24"/>
          <w:szCs w:val="24"/>
        </w:rPr>
        <w:t xml:space="preserve">it was </w:t>
      </w:r>
      <w:r w:rsidR="00C6552D">
        <w:rPr>
          <w:rFonts w:ascii="Arial" w:hAnsi="Arial" w:cs="Arial"/>
          <w:sz w:val="24"/>
          <w:szCs w:val="24"/>
        </w:rPr>
        <w:t xml:space="preserve">stated </w:t>
      </w:r>
      <w:r w:rsidR="00900499">
        <w:rPr>
          <w:rFonts w:ascii="Arial" w:hAnsi="Arial" w:cs="Arial"/>
          <w:sz w:val="24"/>
          <w:szCs w:val="24"/>
        </w:rPr>
        <w:t>that liability in terms of Section 218(2)</w:t>
      </w:r>
      <w:r w:rsidR="0063175B">
        <w:rPr>
          <w:rFonts w:ascii="Arial" w:hAnsi="Arial" w:cs="Arial"/>
          <w:sz w:val="24"/>
          <w:szCs w:val="24"/>
        </w:rPr>
        <w:t xml:space="preserve"> of the 2008 Act</w:t>
      </w:r>
      <w:r w:rsidR="00900499">
        <w:rPr>
          <w:rFonts w:ascii="Arial" w:hAnsi="Arial" w:cs="Arial"/>
          <w:sz w:val="24"/>
          <w:szCs w:val="24"/>
        </w:rPr>
        <w:t xml:space="preserve"> </w:t>
      </w:r>
      <w:r w:rsidR="0063175B">
        <w:rPr>
          <w:rFonts w:ascii="Arial" w:hAnsi="Arial" w:cs="Arial"/>
          <w:sz w:val="24"/>
          <w:szCs w:val="24"/>
        </w:rPr>
        <w:t>“</w:t>
      </w:r>
      <w:r w:rsidR="00900499" w:rsidRPr="005E4291">
        <w:rPr>
          <w:rFonts w:ascii="Arial" w:hAnsi="Arial" w:cs="Arial"/>
          <w:sz w:val="24"/>
          <w:szCs w:val="24"/>
        </w:rPr>
        <w:t xml:space="preserve">ensues as a result of any contravention, and therefore such ordinary common law requirements for liability as </w:t>
      </w:r>
      <w:r w:rsidR="0063175B" w:rsidRPr="005E4291">
        <w:rPr>
          <w:rFonts w:ascii="Arial" w:hAnsi="Arial" w:cs="Arial"/>
          <w:sz w:val="24"/>
          <w:szCs w:val="24"/>
        </w:rPr>
        <w:t xml:space="preserve">fault </w:t>
      </w:r>
      <w:r w:rsidR="00900499" w:rsidRPr="005E4291">
        <w:rPr>
          <w:rFonts w:ascii="Arial" w:hAnsi="Arial" w:cs="Arial"/>
          <w:sz w:val="24"/>
          <w:szCs w:val="24"/>
        </w:rPr>
        <w:t>or wrongfulness are dispensed with</w:t>
      </w:r>
      <w:r w:rsidR="00900499">
        <w:rPr>
          <w:rFonts w:ascii="Arial" w:hAnsi="Arial" w:cs="Arial"/>
          <w:sz w:val="24"/>
          <w:szCs w:val="24"/>
        </w:rPr>
        <w:t xml:space="preserve">”. The Court in the </w:t>
      </w:r>
      <w:r w:rsidR="00900499" w:rsidRPr="001D6472">
        <w:rPr>
          <w:rFonts w:ascii="Arial" w:hAnsi="Arial" w:cs="Arial"/>
          <w:sz w:val="24"/>
          <w:szCs w:val="24"/>
        </w:rPr>
        <w:t>Chemfit</w:t>
      </w:r>
      <w:r w:rsidR="009D2A95">
        <w:rPr>
          <w:rFonts w:ascii="Arial" w:hAnsi="Arial" w:cs="Arial"/>
          <w:sz w:val="24"/>
          <w:szCs w:val="24"/>
        </w:rPr>
        <w:t xml:space="preserve"> case </w:t>
      </w:r>
      <w:r w:rsidR="00900499">
        <w:rPr>
          <w:rFonts w:ascii="Arial" w:hAnsi="Arial" w:cs="Arial"/>
          <w:sz w:val="24"/>
          <w:szCs w:val="24"/>
        </w:rPr>
        <w:t xml:space="preserve">aligned itself with the dictum of the Court in the case of </w:t>
      </w:r>
      <w:r w:rsidR="00900499" w:rsidRPr="001D6472">
        <w:rPr>
          <w:rFonts w:ascii="Arial" w:hAnsi="Arial" w:cs="Arial"/>
          <w:sz w:val="24"/>
          <w:szCs w:val="24"/>
        </w:rPr>
        <w:t>Rabinowitz v Van Graan and Others</w:t>
      </w:r>
      <w:r w:rsidR="00900499" w:rsidRPr="00900499">
        <w:rPr>
          <w:rStyle w:val="FootnoteReference"/>
          <w:rFonts w:ascii="Arial" w:hAnsi="Arial" w:cs="Arial"/>
          <w:sz w:val="24"/>
          <w:szCs w:val="24"/>
        </w:rPr>
        <w:footnoteReference w:id="5"/>
      </w:r>
      <w:r w:rsidR="00900499" w:rsidRPr="00900499">
        <w:rPr>
          <w:rFonts w:ascii="Arial" w:hAnsi="Arial" w:cs="Arial"/>
          <w:sz w:val="24"/>
          <w:szCs w:val="24"/>
        </w:rPr>
        <w:t xml:space="preserve"> and</w:t>
      </w:r>
      <w:r w:rsidR="00900499">
        <w:rPr>
          <w:rFonts w:ascii="Arial" w:hAnsi="Arial" w:cs="Arial"/>
          <w:sz w:val="24"/>
          <w:szCs w:val="24"/>
        </w:rPr>
        <w:t xml:space="preserve"> proceeded to find that “</w:t>
      </w:r>
      <w:r w:rsidR="00900499" w:rsidRPr="005E4291">
        <w:rPr>
          <w:rFonts w:ascii="Arial" w:hAnsi="Arial" w:cs="Arial"/>
          <w:sz w:val="24"/>
          <w:szCs w:val="24"/>
        </w:rPr>
        <w:t xml:space="preserve">any conduct that contravenes the provision of the Act, catapults any person, including the </w:t>
      </w:r>
      <w:r w:rsidR="001D6472" w:rsidRPr="005E4291">
        <w:rPr>
          <w:rFonts w:ascii="Arial" w:hAnsi="Arial" w:cs="Arial"/>
          <w:sz w:val="24"/>
          <w:szCs w:val="24"/>
        </w:rPr>
        <w:t>d</w:t>
      </w:r>
      <w:r w:rsidR="00900499" w:rsidRPr="005E4291">
        <w:rPr>
          <w:rFonts w:ascii="Arial" w:hAnsi="Arial" w:cs="Arial"/>
          <w:sz w:val="24"/>
          <w:szCs w:val="24"/>
        </w:rPr>
        <w:t>irectors to personal liability</w:t>
      </w:r>
      <w:r w:rsidR="00900499">
        <w:rPr>
          <w:rFonts w:ascii="Arial" w:hAnsi="Arial" w:cs="Arial"/>
          <w:i/>
          <w:sz w:val="24"/>
          <w:szCs w:val="24"/>
        </w:rPr>
        <w:t>”</w:t>
      </w:r>
      <w:r w:rsidR="001F49D1">
        <w:rPr>
          <w:rStyle w:val="FootnoteReference"/>
          <w:rFonts w:ascii="Arial" w:hAnsi="Arial" w:cs="Arial"/>
          <w:i/>
          <w:sz w:val="24"/>
          <w:szCs w:val="24"/>
        </w:rPr>
        <w:footnoteReference w:id="6"/>
      </w:r>
      <w:r w:rsidR="00900499">
        <w:rPr>
          <w:rFonts w:ascii="Arial" w:hAnsi="Arial" w:cs="Arial"/>
          <w:i/>
          <w:sz w:val="24"/>
          <w:szCs w:val="24"/>
        </w:rPr>
        <w:t>.</w:t>
      </w:r>
      <w:r w:rsidR="001F49D1">
        <w:rPr>
          <w:rFonts w:ascii="Arial" w:hAnsi="Arial" w:cs="Arial"/>
          <w:i/>
          <w:sz w:val="24"/>
          <w:szCs w:val="24"/>
        </w:rPr>
        <w:t xml:space="preserve"> </w:t>
      </w:r>
      <w:r w:rsidR="00900499">
        <w:rPr>
          <w:rFonts w:ascii="Arial" w:hAnsi="Arial" w:cs="Arial"/>
          <w:i/>
          <w:sz w:val="24"/>
          <w:szCs w:val="24"/>
        </w:rPr>
        <w:t xml:space="preserve"> </w:t>
      </w:r>
    </w:p>
    <w:p w14:paraId="366350BD" w14:textId="77777777" w:rsidR="00F0615B" w:rsidRDefault="00F0615B" w:rsidP="00F0615B">
      <w:pPr>
        <w:spacing w:line="480" w:lineRule="auto"/>
        <w:jc w:val="both"/>
        <w:rPr>
          <w:rFonts w:ascii="Arial" w:hAnsi="Arial" w:cs="Arial"/>
          <w:sz w:val="24"/>
          <w:szCs w:val="24"/>
        </w:rPr>
      </w:pPr>
    </w:p>
    <w:p w14:paraId="0E44585E" w14:textId="66EC0397" w:rsidR="00F0615B" w:rsidRDefault="00A3545A" w:rsidP="00F0615B">
      <w:pPr>
        <w:numPr>
          <w:ilvl w:val="0"/>
          <w:numId w:val="2"/>
        </w:numPr>
        <w:spacing w:line="480" w:lineRule="auto"/>
        <w:jc w:val="both"/>
        <w:rPr>
          <w:rFonts w:ascii="Arial" w:hAnsi="Arial" w:cs="Arial"/>
          <w:sz w:val="24"/>
          <w:szCs w:val="24"/>
        </w:rPr>
      </w:pPr>
      <w:r>
        <w:rPr>
          <w:rFonts w:ascii="Arial" w:hAnsi="Arial" w:cs="Arial"/>
          <w:sz w:val="24"/>
          <w:szCs w:val="24"/>
        </w:rPr>
        <w:lastRenderedPageBreak/>
        <w:t xml:space="preserve">In the case of </w:t>
      </w:r>
      <w:r w:rsidRPr="00536738">
        <w:rPr>
          <w:rFonts w:ascii="Arial" w:hAnsi="Arial" w:cs="Arial"/>
          <w:sz w:val="24"/>
          <w:szCs w:val="24"/>
        </w:rPr>
        <w:t>De Bruyn v Steinhoff International Holdings NV and Others</w:t>
      </w:r>
      <w:r w:rsidRPr="00590938">
        <w:rPr>
          <w:rStyle w:val="FootnoteReference"/>
          <w:rFonts w:ascii="Arial" w:hAnsi="Arial" w:cs="Arial"/>
          <w:sz w:val="24"/>
          <w:szCs w:val="24"/>
        </w:rPr>
        <w:footnoteReference w:id="7"/>
      </w:r>
      <w:r w:rsidR="00590938" w:rsidRPr="00590938">
        <w:rPr>
          <w:rFonts w:ascii="Arial" w:hAnsi="Arial" w:cs="Arial"/>
          <w:sz w:val="24"/>
          <w:szCs w:val="24"/>
        </w:rPr>
        <w:t xml:space="preserve"> the </w:t>
      </w:r>
      <w:r w:rsidR="00590938">
        <w:rPr>
          <w:rFonts w:ascii="Arial" w:hAnsi="Arial" w:cs="Arial"/>
          <w:sz w:val="24"/>
          <w:szCs w:val="24"/>
        </w:rPr>
        <w:t>Court made certain remarks orbiter regarding Sections 22(1) and 218</w:t>
      </w:r>
      <w:r w:rsidR="00536738">
        <w:rPr>
          <w:rFonts w:ascii="Arial" w:hAnsi="Arial" w:cs="Arial"/>
          <w:sz w:val="24"/>
          <w:szCs w:val="24"/>
        </w:rPr>
        <w:t>(</w:t>
      </w:r>
      <w:r w:rsidR="00590938">
        <w:rPr>
          <w:rFonts w:ascii="Arial" w:hAnsi="Arial" w:cs="Arial"/>
          <w:sz w:val="24"/>
          <w:szCs w:val="24"/>
        </w:rPr>
        <w:t>2</w:t>
      </w:r>
      <w:r w:rsidR="00536738">
        <w:rPr>
          <w:rFonts w:ascii="Arial" w:hAnsi="Arial" w:cs="Arial"/>
          <w:sz w:val="24"/>
          <w:szCs w:val="24"/>
        </w:rPr>
        <w:t>)</w:t>
      </w:r>
      <w:r w:rsidR="00590938">
        <w:rPr>
          <w:rFonts w:ascii="Arial" w:hAnsi="Arial" w:cs="Arial"/>
          <w:sz w:val="24"/>
          <w:szCs w:val="24"/>
        </w:rPr>
        <w:t xml:space="preserve"> of the 2008 Act. Like in the </w:t>
      </w:r>
      <w:r w:rsidR="00590938" w:rsidRPr="00536738">
        <w:rPr>
          <w:rFonts w:ascii="Arial" w:hAnsi="Arial" w:cs="Arial"/>
          <w:sz w:val="24"/>
          <w:szCs w:val="24"/>
        </w:rPr>
        <w:t>Hlumisa</w:t>
      </w:r>
      <w:r w:rsidR="00590938">
        <w:rPr>
          <w:rFonts w:ascii="Arial" w:hAnsi="Arial" w:cs="Arial"/>
          <w:sz w:val="24"/>
          <w:szCs w:val="24"/>
        </w:rPr>
        <w:t xml:space="preserve"> case supra, the shareholders sought relief against certain </w:t>
      </w:r>
      <w:r w:rsidR="007E329A">
        <w:rPr>
          <w:rFonts w:ascii="Arial" w:hAnsi="Arial" w:cs="Arial"/>
          <w:sz w:val="24"/>
          <w:szCs w:val="24"/>
        </w:rPr>
        <w:t>d</w:t>
      </w:r>
      <w:r w:rsidR="00590938">
        <w:rPr>
          <w:rFonts w:ascii="Arial" w:hAnsi="Arial" w:cs="Arial"/>
          <w:sz w:val="24"/>
          <w:szCs w:val="24"/>
        </w:rPr>
        <w:t>irectors. This of course d</w:t>
      </w:r>
      <w:r w:rsidR="008A1D21">
        <w:rPr>
          <w:rFonts w:ascii="Arial" w:hAnsi="Arial" w:cs="Arial"/>
          <w:sz w:val="24"/>
          <w:szCs w:val="24"/>
        </w:rPr>
        <w:t>iffers from the present matter w</w:t>
      </w:r>
      <w:r w:rsidR="00B459C3">
        <w:rPr>
          <w:rFonts w:ascii="Arial" w:hAnsi="Arial" w:cs="Arial"/>
          <w:sz w:val="24"/>
          <w:szCs w:val="24"/>
        </w:rPr>
        <w:t xml:space="preserve">here the </w:t>
      </w:r>
      <w:r w:rsidR="008A1D21">
        <w:rPr>
          <w:rFonts w:ascii="Arial" w:hAnsi="Arial" w:cs="Arial"/>
          <w:sz w:val="24"/>
          <w:szCs w:val="24"/>
        </w:rPr>
        <w:t>p</w:t>
      </w:r>
      <w:r w:rsidR="005B4F47">
        <w:rPr>
          <w:rFonts w:ascii="Arial" w:hAnsi="Arial" w:cs="Arial"/>
          <w:sz w:val="24"/>
          <w:szCs w:val="24"/>
        </w:rPr>
        <w:t>laintiff</w:t>
      </w:r>
      <w:r w:rsidR="00B459C3">
        <w:rPr>
          <w:rFonts w:ascii="Arial" w:hAnsi="Arial" w:cs="Arial"/>
          <w:sz w:val="24"/>
          <w:szCs w:val="24"/>
        </w:rPr>
        <w:t xml:space="preserve">s are not shareholders </w:t>
      </w:r>
      <w:r w:rsidR="008A1D21">
        <w:rPr>
          <w:rFonts w:ascii="Arial" w:hAnsi="Arial" w:cs="Arial"/>
          <w:sz w:val="24"/>
          <w:szCs w:val="24"/>
        </w:rPr>
        <w:t xml:space="preserve">of </w:t>
      </w:r>
      <w:r w:rsidR="00B459C3">
        <w:rPr>
          <w:rFonts w:ascii="Arial" w:hAnsi="Arial" w:cs="Arial"/>
          <w:sz w:val="24"/>
          <w:szCs w:val="24"/>
        </w:rPr>
        <w:t xml:space="preserve">the </w:t>
      </w:r>
      <w:r w:rsidR="008A1D21">
        <w:rPr>
          <w:rFonts w:ascii="Arial" w:hAnsi="Arial" w:cs="Arial"/>
          <w:sz w:val="24"/>
          <w:szCs w:val="24"/>
        </w:rPr>
        <w:t>f</w:t>
      </w:r>
      <w:r w:rsidR="00B459C3">
        <w:rPr>
          <w:rFonts w:ascii="Arial" w:hAnsi="Arial" w:cs="Arial"/>
          <w:sz w:val="24"/>
          <w:szCs w:val="24"/>
        </w:rPr>
        <w:t xml:space="preserve">irst </w:t>
      </w:r>
      <w:r w:rsidR="008A1D21">
        <w:rPr>
          <w:rFonts w:ascii="Arial" w:hAnsi="Arial" w:cs="Arial"/>
          <w:sz w:val="24"/>
          <w:szCs w:val="24"/>
        </w:rPr>
        <w:t>d</w:t>
      </w:r>
      <w:r w:rsidR="005B4F47">
        <w:rPr>
          <w:rFonts w:ascii="Arial" w:hAnsi="Arial" w:cs="Arial"/>
          <w:sz w:val="24"/>
          <w:szCs w:val="24"/>
        </w:rPr>
        <w:t>efendant</w:t>
      </w:r>
      <w:r w:rsidR="00B459C3">
        <w:rPr>
          <w:rFonts w:ascii="Arial" w:hAnsi="Arial" w:cs="Arial"/>
          <w:sz w:val="24"/>
          <w:szCs w:val="24"/>
        </w:rPr>
        <w:t xml:space="preserve"> w</w:t>
      </w:r>
      <w:r w:rsidR="00590938">
        <w:rPr>
          <w:rFonts w:ascii="Arial" w:hAnsi="Arial" w:cs="Arial"/>
          <w:sz w:val="24"/>
          <w:szCs w:val="24"/>
        </w:rPr>
        <w:t xml:space="preserve">ith reference to claims by third parties against </w:t>
      </w:r>
      <w:r w:rsidR="00B459C3">
        <w:rPr>
          <w:rFonts w:ascii="Arial" w:hAnsi="Arial" w:cs="Arial"/>
          <w:sz w:val="24"/>
          <w:szCs w:val="24"/>
        </w:rPr>
        <w:t>d</w:t>
      </w:r>
      <w:r w:rsidR="00590938">
        <w:rPr>
          <w:rFonts w:ascii="Arial" w:hAnsi="Arial" w:cs="Arial"/>
          <w:sz w:val="24"/>
          <w:szCs w:val="24"/>
        </w:rPr>
        <w:t>irectors, the following was said at paragraph 191:-</w:t>
      </w:r>
    </w:p>
    <w:p w14:paraId="6EFED733" w14:textId="124B3F83" w:rsidR="00F0615B" w:rsidRDefault="00F0615B" w:rsidP="00F0615B">
      <w:pPr>
        <w:spacing w:line="480" w:lineRule="auto"/>
        <w:jc w:val="both"/>
        <w:rPr>
          <w:rFonts w:ascii="Arial" w:hAnsi="Arial" w:cs="Arial"/>
          <w:sz w:val="24"/>
          <w:szCs w:val="24"/>
        </w:rPr>
      </w:pPr>
    </w:p>
    <w:p w14:paraId="6BD04DA5" w14:textId="05075D3F" w:rsidR="00590938" w:rsidRPr="00B459C3" w:rsidRDefault="00590938" w:rsidP="00590938">
      <w:pPr>
        <w:spacing w:line="360" w:lineRule="auto"/>
        <w:ind w:left="1440"/>
        <w:jc w:val="both"/>
        <w:rPr>
          <w:rFonts w:ascii="Arial" w:hAnsi="Arial" w:cs="Arial"/>
          <w:sz w:val="22"/>
          <w:szCs w:val="22"/>
        </w:rPr>
      </w:pPr>
      <w:r w:rsidRPr="00B459C3">
        <w:rPr>
          <w:rFonts w:ascii="Arial" w:hAnsi="Arial" w:cs="Arial"/>
          <w:sz w:val="22"/>
          <w:szCs w:val="22"/>
        </w:rPr>
        <w:t>“Section 218 should not be interpreted in a literal way. Rather the provision recognizes that liability for loss or damage may arise from contraventions of the Companies Act. And so, the statute confers a right of action. But what that right consists of, who enjoys the right, and against whom the right may be exercised, are all issues to be resolved by reference to the substantive provisions of the Companies Act.”</w:t>
      </w:r>
    </w:p>
    <w:p w14:paraId="522B6AEF" w14:textId="77777777" w:rsidR="00F0615B" w:rsidRDefault="00F0615B" w:rsidP="00F0615B">
      <w:pPr>
        <w:pStyle w:val="ListParagraph"/>
        <w:spacing w:line="480" w:lineRule="auto"/>
        <w:rPr>
          <w:rFonts w:ascii="Arial" w:hAnsi="Arial" w:cs="Arial"/>
        </w:rPr>
      </w:pPr>
    </w:p>
    <w:p w14:paraId="66B239D9" w14:textId="2081D8B4" w:rsidR="00F0615B" w:rsidRDefault="00590938"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At paragraph 192, </w:t>
      </w:r>
      <w:r w:rsidR="00753398">
        <w:rPr>
          <w:rFonts w:ascii="Arial" w:hAnsi="Arial" w:cs="Arial"/>
          <w:sz w:val="24"/>
          <w:szCs w:val="24"/>
        </w:rPr>
        <w:t>Unterhalter J remarked as follows:-</w:t>
      </w:r>
    </w:p>
    <w:p w14:paraId="0407AC3F" w14:textId="77777777" w:rsidR="00753398" w:rsidRPr="00753398" w:rsidRDefault="00753398" w:rsidP="00753398">
      <w:pPr>
        <w:pStyle w:val="ListParagraph"/>
        <w:spacing w:line="480" w:lineRule="auto"/>
        <w:ind w:left="851"/>
        <w:jc w:val="both"/>
        <w:rPr>
          <w:rFonts w:ascii="Arial" w:hAnsi="Arial" w:cs="Arial"/>
        </w:rPr>
      </w:pPr>
    </w:p>
    <w:p w14:paraId="3567A695" w14:textId="56E35D02" w:rsidR="00753398" w:rsidRPr="00B459C3" w:rsidRDefault="00753398" w:rsidP="00753398">
      <w:pPr>
        <w:pStyle w:val="ListParagraph"/>
        <w:spacing w:line="360" w:lineRule="auto"/>
        <w:ind w:left="1440"/>
        <w:jc w:val="both"/>
        <w:rPr>
          <w:rFonts w:ascii="Arial" w:hAnsi="Arial" w:cs="Arial"/>
          <w:sz w:val="22"/>
          <w:szCs w:val="22"/>
        </w:rPr>
      </w:pPr>
      <w:r w:rsidRPr="00B459C3">
        <w:rPr>
          <w:rFonts w:ascii="Arial" w:hAnsi="Arial" w:cs="Arial"/>
          <w:sz w:val="22"/>
          <w:szCs w:val="22"/>
        </w:rPr>
        <w:t>“Such an interpretation answers another difficulty that the li</w:t>
      </w:r>
      <w:r w:rsidR="00B459C3">
        <w:rPr>
          <w:rFonts w:ascii="Arial" w:hAnsi="Arial" w:cs="Arial"/>
          <w:sz w:val="22"/>
          <w:szCs w:val="22"/>
        </w:rPr>
        <w:t>teral interpretation of S</w:t>
      </w:r>
      <w:r w:rsidRPr="00B459C3">
        <w:rPr>
          <w:rFonts w:ascii="Arial" w:hAnsi="Arial" w:cs="Arial"/>
          <w:sz w:val="22"/>
          <w:szCs w:val="22"/>
        </w:rPr>
        <w:t>218(2) does not</w:t>
      </w:r>
      <w:r w:rsidR="00C9213C" w:rsidRPr="00B459C3">
        <w:rPr>
          <w:rFonts w:ascii="Arial" w:hAnsi="Arial" w:cs="Arial"/>
          <w:sz w:val="22"/>
          <w:szCs w:val="22"/>
        </w:rPr>
        <w:t xml:space="preserve">. As Hlumisa observed, can Section 218(2) be understood to impose liability without regulating concepts of fault, foreseeability and remoteness and an undifferentiated conception of permissible </w:t>
      </w:r>
      <w:r w:rsidR="005B4F47">
        <w:rPr>
          <w:rFonts w:ascii="Arial" w:hAnsi="Arial" w:cs="Arial"/>
          <w:sz w:val="22"/>
          <w:szCs w:val="22"/>
        </w:rPr>
        <w:t>Plaintiff</w:t>
      </w:r>
      <w:r w:rsidR="00C9213C" w:rsidRPr="00B459C3">
        <w:rPr>
          <w:rFonts w:ascii="Arial" w:hAnsi="Arial" w:cs="Arial"/>
          <w:sz w:val="22"/>
          <w:szCs w:val="22"/>
        </w:rPr>
        <w:t>s</w:t>
      </w:r>
      <w:r w:rsidR="00B32E1E">
        <w:rPr>
          <w:rFonts w:ascii="Arial" w:hAnsi="Arial" w:cs="Arial"/>
          <w:sz w:val="22"/>
          <w:szCs w:val="22"/>
        </w:rPr>
        <w:t>.</w:t>
      </w:r>
      <w:r w:rsidR="00C9213C" w:rsidRPr="00B459C3">
        <w:rPr>
          <w:rFonts w:ascii="Arial" w:hAnsi="Arial" w:cs="Arial"/>
          <w:sz w:val="22"/>
          <w:szCs w:val="22"/>
        </w:rPr>
        <w:t xml:space="preserve"> Such an understanding would require an interpretation of Section 218(2) that gives rise to wholesale liability at the instance of all persons who sustained loss or damage as a result of the contravention. That is to place a burden of liability and hence risk upon </w:t>
      </w:r>
      <w:r w:rsidR="00B32E1E">
        <w:rPr>
          <w:rFonts w:ascii="Arial" w:hAnsi="Arial" w:cs="Arial"/>
          <w:sz w:val="22"/>
          <w:szCs w:val="22"/>
        </w:rPr>
        <w:t>d</w:t>
      </w:r>
      <w:r w:rsidR="00C9213C" w:rsidRPr="00B459C3">
        <w:rPr>
          <w:rFonts w:ascii="Arial" w:hAnsi="Arial" w:cs="Arial"/>
          <w:sz w:val="22"/>
          <w:szCs w:val="22"/>
        </w:rPr>
        <w:t>irectors so great that it is hard to imagine who woul</w:t>
      </w:r>
      <w:r w:rsidR="00B32E1E">
        <w:rPr>
          <w:rFonts w:ascii="Arial" w:hAnsi="Arial" w:cs="Arial"/>
          <w:sz w:val="22"/>
          <w:szCs w:val="22"/>
        </w:rPr>
        <w:t>d accept office</w:t>
      </w:r>
      <w:r w:rsidR="00C9213C" w:rsidRPr="00B459C3">
        <w:rPr>
          <w:rFonts w:ascii="Arial" w:hAnsi="Arial" w:cs="Arial"/>
          <w:sz w:val="22"/>
          <w:szCs w:val="22"/>
        </w:rPr>
        <w:t xml:space="preserve"> on these terms. And if that is what the legislature intended it would </w:t>
      </w:r>
      <w:r w:rsidR="00D01412" w:rsidRPr="00B459C3">
        <w:rPr>
          <w:rFonts w:ascii="Arial" w:hAnsi="Arial" w:cs="Arial"/>
          <w:sz w:val="22"/>
          <w:szCs w:val="22"/>
        </w:rPr>
        <w:t xml:space="preserve">be expected to have made the imposition of so great a burden clear. The </w:t>
      </w:r>
      <w:r w:rsidR="00D01412" w:rsidRPr="00B459C3">
        <w:rPr>
          <w:rFonts w:ascii="Arial" w:hAnsi="Arial" w:cs="Arial"/>
          <w:sz w:val="22"/>
          <w:szCs w:val="22"/>
        </w:rPr>
        <w:lastRenderedPageBreak/>
        <w:t xml:space="preserve">better interpretation is that the legislature intended </w:t>
      </w:r>
      <w:r w:rsidR="00942CF7" w:rsidRPr="00B459C3">
        <w:rPr>
          <w:rFonts w:ascii="Arial" w:hAnsi="Arial" w:cs="Arial"/>
          <w:sz w:val="22"/>
          <w:szCs w:val="22"/>
        </w:rPr>
        <w:t xml:space="preserve">that the specific requirements of any liability </w:t>
      </w:r>
      <w:r w:rsidR="00B32E1E">
        <w:rPr>
          <w:rFonts w:ascii="Arial" w:hAnsi="Arial" w:cs="Arial"/>
          <w:sz w:val="22"/>
          <w:szCs w:val="22"/>
        </w:rPr>
        <w:t xml:space="preserve">are </w:t>
      </w:r>
      <w:r w:rsidR="00942CF7" w:rsidRPr="00B459C3">
        <w:rPr>
          <w:rFonts w:ascii="Arial" w:hAnsi="Arial" w:cs="Arial"/>
          <w:sz w:val="22"/>
          <w:szCs w:val="22"/>
        </w:rPr>
        <w:t>to be found in the substantive provisions of the Companies Act.”</w:t>
      </w:r>
    </w:p>
    <w:p w14:paraId="5E6230AB" w14:textId="77777777" w:rsidR="00F0615B" w:rsidRDefault="00F0615B" w:rsidP="00F0615B">
      <w:pPr>
        <w:spacing w:line="480" w:lineRule="auto"/>
        <w:jc w:val="both"/>
        <w:rPr>
          <w:rFonts w:ascii="Arial" w:hAnsi="Arial" w:cs="Arial"/>
          <w:sz w:val="24"/>
          <w:szCs w:val="24"/>
        </w:rPr>
      </w:pPr>
    </w:p>
    <w:p w14:paraId="6014F918" w14:textId="78BED95F" w:rsidR="00F0615B" w:rsidRDefault="00942CF7"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I align myself with the remarks made in the </w:t>
      </w:r>
      <w:r w:rsidRPr="00B32E1E">
        <w:rPr>
          <w:rFonts w:ascii="Arial" w:hAnsi="Arial" w:cs="Arial"/>
          <w:sz w:val="24"/>
          <w:szCs w:val="24"/>
        </w:rPr>
        <w:t>Steinhoff</w:t>
      </w:r>
      <w:r w:rsidR="00B32E1E">
        <w:rPr>
          <w:rFonts w:ascii="Arial" w:hAnsi="Arial" w:cs="Arial"/>
          <w:sz w:val="24"/>
          <w:szCs w:val="24"/>
        </w:rPr>
        <w:t xml:space="preserve"> case that S</w:t>
      </w:r>
      <w:r w:rsidR="008C7041">
        <w:rPr>
          <w:rFonts w:ascii="Arial" w:hAnsi="Arial" w:cs="Arial"/>
          <w:sz w:val="24"/>
          <w:szCs w:val="24"/>
        </w:rPr>
        <w:t>218(2) simply recognizes that</w:t>
      </w:r>
      <w:r>
        <w:rPr>
          <w:rFonts w:ascii="Arial" w:hAnsi="Arial" w:cs="Arial"/>
          <w:sz w:val="24"/>
          <w:szCs w:val="24"/>
        </w:rPr>
        <w:t xml:space="preserve"> liability for </w:t>
      </w:r>
      <w:r w:rsidR="003F652E">
        <w:rPr>
          <w:rFonts w:ascii="Arial" w:hAnsi="Arial" w:cs="Arial"/>
          <w:sz w:val="24"/>
          <w:szCs w:val="24"/>
        </w:rPr>
        <w:t xml:space="preserve">loss or damage </w:t>
      </w:r>
      <w:r w:rsidR="001A4803">
        <w:rPr>
          <w:rFonts w:ascii="Arial" w:hAnsi="Arial" w:cs="Arial"/>
          <w:sz w:val="24"/>
          <w:szCs w:val="24"/>
        </w:rPr>
        <w:t xml:space="preserve">may arise from contraventions of the Companies Act but what that right is and who enjoys is to be found in the provisions of the </w:t>
      </w:r>
      <w:r w:rsidR="008A1D21">
        <w:rPr>
          <w:rFonts w:ascii="Arial" w:hAnsi="Arial" w:cs="Arial"/>
          <w:sz w:val="24"/>
          <w:szCs w:val="24"/>
        </w:rPr>
        <w:t xml:space="preserve">2008 </w:t>
      </w:r>
      <w:r w:rsidR="001A4803">
        <w:rPr>
          <w:rFonts w:ascii="Arial" w:hAnsi="Arial" w:cs="Arial"/>
          <w:sz w:val="24"/>
          <w:szCs w:val="24"/>
        </w:rPr>
        <w:t xml:space="preserve">Act itself. </w:t>
      </w:r>
      <w:r w:rsidR="00FE26E1">
        <w:rPr>
          <w:rFonts w:ascii="Arial" w:hAnsi="Arial" w:cs="Arial"/>
          <w:sz w:val="24"/>
          <w:szCs w:val="24"/>
        </w:rPr>
        <w:t xml:space="preserve"> One cannot read into the provisions of the </w:t>
      </w:r>
      <w:r w:rsidR="008A1D21">
        <w:rPr>
          <w:rFonts w:ascii="Arial" w:hAnsi="Arial" w:cs="Arial"/>
          <w:sz w:val="24"/>
          <w:szCs w:val="24"/>
        </w:rPr>
        <w:t xml:space="preserve">2008 </w:t>
      </w:r>
      <w:r w:rsidR="00FE26E1">
        <w:rPr>
          <w:rFonts w:ascii="Arial" w:hAnsi="Arial" w:cs="Arial"/>
          <w:sz w:val="24"/>
          <w:szCs w:val="24"/>
        </w:rPr>
        <w:t xml:space="preserve">Act something which is </w:t>
      </w:r>
      <w:r w:rsidR="00B32E1E">
        <w:rPr>
          <w:rFonts w:ascii="Arial" w:hAnsi="Arial" w:cs="Arial"/>
          <w:sz w:val="24"/>
          <w:szCs w:val="24"/>
        </w:rPr>
        <w:t>not stated</w:t>
      </w:r>
      <w:r w:rsidR="00FE26E1">
        <w:rPr>
          <w:rFonts w:ascii="Arial" w:hAnsi="Arial" w:cs="Arial"/>
          <w:sz w:val="24"/>
          <w:szCs w:val="24"/>
        </w:rPr>
        <w:t>.</w:t>
      </w:r>
      <w:r w:rsidR="00B32E1E">
        <w:rPr>
          <w:rFonts w:ascii="Arial" w:hAnsi="Arial" w:cs="Arial"/>
          <w:sz w:val="24"/>
          <w:szCs w:val="24"/>
        </w:rPr>
        <w:t xml:space="preserve"> To do so, will lead to absurd, onerous and untenable consequences.</w:t>
      </w:r>
    </w:p>
    <w:p w14:paraId="2F982C61" w14:textId="77777777" w:rsidR="00F0615B" w:rsidRDefault="00F0615B" w:rsidP="00F0615B">
      <w:pPr>
        <w:pStyle w:val="ListParagraph"/>
        <w:spacing w:line="480" w:lineRule="auto"/>
        <w:rPr>
          <w:rFonts w:ascii="Arial" w:hAnsi="Arial" w:cs="Arial"/>
        </w:rPr>
      </w:pPr>
    </w:p>
    <w:p w14:paraId="7BEB40E1" w14:textId="552F671E" w:rsidR="00F0615B" w:rsidRDefault="00FE26E1" w:rsidP="00F0615B">
      <w:pPr>
        <w:numPr>
          <w:ilvl w:val="0"/>
          <w:numId w:val="2"/>
        </w:numPr>
        <w:spacing w:line="480" w:lineRule="auto"/>
        <w:jc w:val="both"/>
        <w:rPr>
          <w:rFonts w:ascii="Arial" w:hAnsi="Arial" w:cs="Arial"/>
          <w:sz w:val="24"/>
          <w:szCs w:val="24"/>
        </w:rPr>
      </w:pPr>
      <w:r>
        <w:rPr>
          <w:rFonts w:ascii="Arial" w:hAnsi="Arial" w:cs="Arial"/>
          <w:sz w:val="24"/>
          <w:szCs w:val="24"/>
        </w:rPr>
        <w:t>In the present matter, save for alleging in paragraph 21 of their Particulars of Claim, that “</w:t>
      </w:r>
      <w:r w:rsidR="00826FB5">
        <w:rPr>
          <w:rFonts w:ascii="Arial" w:hAnsi="Arial" w:cs="Arial"/>
          <w:sz w:val="24"/>
          <w:szCs w:val="24"/>
        </w:rPr>
        <w:t>the s</w:t>
      </w:r>
      <w:r w:rsidR="007C5472" w:rsidRPr="00B32E1E">
        <w:rPr>
          <w:rFonts w:ascii="Arial" w:hAnsi="Arial" w:cs="Arial"/>
          <w:sz w:val="24"/>
          <w:szCs w:val="24"/>
        </w:rPr>
        <w:t xml:space="preserve">econd </w:t>
      </w:r>
      <w:r w:rsidR="00826FB5">
        <w:rPr>
          <w:rFonts w:ascii="Arial" w:hAnsi="Arial" w:cs="Arial"/>
          <w:sz w:val="24"/>
          <w:szCs w:val="24"/>
        </w:rPr>
        <w:t>p</w:t>
      </w:r>
      <w:r w:rsidR="005B4F47">
        <w:rPr>
          <w:rFonts w:ascii="Arial" w:hAnsi="Arial" w:cs="Arial"/>
          <w:sz w:val="24"/>
          <w:szCs w:val="24"/>
        </w:rPr>
        <w:t>laintiff</w:t>
      </w:r>
      <w:r w:rsidR="007C5472" w:rsidRPr="00B32E1E">
        <w:rPr>
          <w:rFonts w:ascii="Arial" w:hAnsi="Arial" w:cs="Arial"/>
          <w:sz w:val="24"/>
          <w:szCs w:val="24"/>
        </w:rPr>
        <w:t xml:space="preserve"> found that the information provided by the </w:t>
      </w:r>
      <w:r w:rsidR="00826FB5">
        <w:rPr>
          <w:rFonts w:ascii="Arial" w:hAnsi="Arial" w:cs="Arial"/>
          <w:sz w:val="24"/>
          <w:szCs w:val="24"/>
        </w:rPr>
        <w:t>s</w:t>
      </w:r>
      <w:r w:rsidR="007C5472" w:rsidRPr="00B32E1E">
        <w:rPr>
          <w:rFonts w:ascii="Arial" w:hAnsi="Arial" w:cs="Arial"/>
          <w:sz w:val="24"/>
          <w:szCs w:val="24"/>
        </w:rPr>
        <w:t xml:space="preserve">econd </w:t>
      </w:r>
      <w:r w:rsidR="00826FB5">
        <w:rPr>
          <w:rFonts w:ascii="Arial" w:hAnsi="Arial" w:cs="Arial"/>
          <w:sz w:val="24"/>
          <w:szCs w:val="24"/>
        </w:rPr>
        <w:t>d</w:t>
      </w:r>
      <w:r w:rsidR="005B4F47">
        <w:rPr>
          <w:rFonts w:ascii="Arial" w:hAnsi="Arial" w:cs="Arial"/>
          <w:sz w:val="24"/>
          <w:szCs w:val="24"/>
        </w:rPr>
        <w:t>efendant</w:t>
      </w:r>
      <w:r w:rsidR="007C5472" w:rsidRPr="00B32E1E">
        <w:rPr>
          <w:rFonts w:ascii="Arial" w:hAnsi="Arial" w:cs="Arial"/>
          <w:sz w:val="24"/>
          <w:szCs w:val="24"/>
        </w:rPr>
        <w:t xml:space="preserve"> in respect of performance of the business was significantly overstated” and in paragraph </w:t>
      </w:r>
      <w:r w:rsidR="00B32E1E">
        <w:rPr>
          <w:rFonts w:ascii="Arial" w:hAnsi="Arial" w:cs="Arial"/>
          <w:sz w:val="24"/>
          <w:szCs w:val="24"/>
        </w:rPr>
        <w:t>2</w:t>
      </w:r>
      <w:r w:rsidR="007C5472" w:rsidRPr="00B32E1E">
        <w:rPr>
          <w:rFonts w:ascii="Arial" w:hAnsi="Arial" w:cs="Arial"/>
          <w:sz w:val="24"/>
          <w:szCs w:val="24"/>
        </w:rPr>
        <w:t xml:space="preserve">2 alleging “the only reasonable inference that can be drawn from this is that the </w:t>
      </w:r>
      <w:r w:rsidR="00826FB5">
        <w:rPr>
          <w:rFonts w:ascii="Arial" w:hAnsi="Arial" w:cs="Arial"/>
          <w:sz w:val="24"/>
          <w:szCs w:val="24"/>
        </w:rPr>
        <w:t>s</w:t>
      </w:r>
      <w:r w:rsidR="007C5472" w:rsidRPr="00B32E1E">
        <w:rPr>
          <w:rFonts w:ascii="Arial" w:hAnsi="Arial" w:cs="Arial"/>
          <w:sz w:val="24"/>
          <w:szCs w:val="24"/>
        </w:rPr>
        <w:t xml:space="preserve">econd </w:t>
      </w:r>
      <w:r w:rsidR="00826FB5">
        <w:rPr>
          <w:rFonts w:ascii="Arial" w:hAnsi="Arial" w:cs="Arial"/>
          <w:sz w:val="24"/>
          <w:szCs w:val="24"/>
        </w:rPr>
        <w:t>d</w:t>
      </w:r>
      <w:r w:rsidR="005B4F47">
        <w:rPr>
          <w:rFonts w:ascii="Arial" w:hAnsi="Arial" w:cs="Arial"/>
          <w:sz w:val="24"/>
          <w:szCs w:val="24"/>
        </w:rPr>
        <w:t>efendant</w:t>
      </w:r>
      <w:r w:rsidR="007C5472" w:rsidRPr="00B32E1E">
        <w:rPr>
          <w:rFonts w:ascii="Arial" w:hAnsi="Arial" w:cs="Arial"/>
          <w:sz w:val="24"/>
          <w:szCs w:val="24"/>
        </w:rPr>
        <w:t xml:space="preserve"> intentionally or negligently misrepresented the performance of the business in order to make it more attractive to the </w:t>
      </w:r>
      <w:r w:rsidR="00826FB5">
        <w:rPr>
          <w:rFonts w:ascii="Arial" w:hAnsi="Arial" w:cs="Arial"/>
          <w:sz w:val="24"/>
          <w:szCs w:val="24"/>
        </w:rPr>
        <w:t>s</w:t>
      </w:r>
      <w:r w:rsidR="002D1AEC">
        <w:rPr>
          <w:rFonts w:ascii="Arial" w:hAnsi="Arial" w:cs="Arial"/>
          <w:sz w:val="24"/>
          <w:szCs w:val="24"/>
        </w:rPr>
        <w:t xml:space="preserve">econd </w:t>
      </w:r>
      <w:r w:rsidR="00826FB5">
        <w:rPr>
          <w:rFonts w:ascii="Arial" w:hAnsi="Arial" w:cs="Arial"/>
          <w:sz w:val="24"/>
          <w:szCs w:val="24"/>
        </w:rPr>
        <w:t>p</w:t>
      </w:r>
      <w:r w:rsidR="005B4F47">
        <w:rPr>
          <w:rFonts w:ascii="Arial" w:hAnsi="Arial" w:cs="Arial"/>
          <w:sz w:val="24"/>
          <w:szCs w:val="24"/>
        </w:rPr>
        <w:t>laintiff</w:t>
      </w:r>
      <w:r w:rsidR="007C5472" w:rsidRPr="00B32E1E">
        <w:rPr>
          <w:rFonts w:ascii="Arial" w:hAnsi="Arial" w:cs="Arial"/>
          <w:sz w:val="24"/>
          <w:szCs w:val="24"/>
        </w:rPr>
        <w:t xml:space="preserve"> than it was, thus inducing him to enter into the sale agreement on behalf of the </w:t>
      </w:r>
      <w:r w:rsidR="00826FB5">
        <w:rPr>
          <w:rFonts w:ascii="Arial" w:hAnsi="Arial" w:cs="Arial"/>
          <w:sz w:val="24"/>
          <w:szCs w:val="24"/>
        </w:rPr>
        <w:t>f</w:t>
      </w:r>
      <w:r w:rsidR="00397507">
        <w:rPr>
          <w:rFonts w:ascii="Arial" w:hAnsi="Arial" w:cs="Arial"/>
          <w:sz w:val="24"/>
          <w:szCs w:val="24"/>
        </w:rPr>
        <w:t xml:space="preserve">irst </w:t>
      </w:r>
      <w:r w:rsidR="00826FB5">
        <w:rPr>
          <w:rFonts w:ascii="Arial" w:hAnsi="Arial" w:cs="Arial"/>
          <w:sz w:val="24"/>
          <w:szCs w:val="24"/>
        </w:rPr>
        <w:t>p</w:t>
      </w:r>
      <w:r w:rsidR="00397507">
        <w:rPr>
          <w:rFonts w:ascii="Arial" w:hAnsi="Arial" w:cs="Arial"/>
          <w:sz w:val="24"/>
          <w:szCs w:val="24"/>
        </w:rPr>
        <w:t>laintiff</w:t>
      </w:r>
      <w:r w:rsidR="002D1AEC">
        <w:rPr>
          <w:rFonts w:ascii="Arial" w:hAnsi="Arial" w:cs="Arial"/>
          <w:i/>
          <w:sz w:val="24"/>
          <w:szCs w:val="24"/>
        </w:rPr>
        <w:t>”</w:t>
      </w:r>
      <w:r w:rsidR="002D1AEC">
        <w:rPr>
          <w:rFonts w:ascii="Arial" w:hAnsi="Arial" w:cs="Arial"/>
          <w:sz w:val="24"/>
          <w:szCs w:val="24"/>
        </w:rPr>
        <w:t>, t</w:t>
      </w:r>
      <w:r w:rsidR="007C5472">
        <w:rPr>
          <w:rFonts w:ascii="Arial" w:hAnsi="Arial" w:cs="Arial"/>
          <w:sz w:val="24"/>
          <w:szCs w:val="24"/>
        </w:rPr>
        <w:t xml:space="preserve">he </w:t>
      </w:r>
      <w:r w:rsidR="00826FB5">
        <w:rPr>
          <w:rFonts w:ascii="Arial" w:hAnsi="Arial" w:cs="Arial"/>
          <w:sz w:val="24"/>
          <w:szCs w:val="24"/>
        </w:rPr>
        <w:t>p</w:t>
      </w:r>
      <w:r w:rsidR="005B4F47">
        <w:rPr>
          <w:rFonts w:ascii="Arial" w:hAnsi="Arial" w:cs="Arial"/>
          <w:sz w:val="24"/>
          <w:szCs w:val="24"/>
        </w:rPr>
        <w:t>laintiff</w:t>
      </w:r>
      <w:r w:rsidR="00826FB5">
        <w:rPr>
          <w:rFonts w:ascii="Arial" w:hAnsi="Arial" w:cs="Arial"/>
          <w:sz w:val="24"/>
          <w:szCs w:val="24"/>
        </w:rPr>
        <w:t xml:space="preserve">s have </w:t>
      </w:r>
      <w:r w:rsidR="007C5472">
        <w:rPr>
          <w:rFonts w:ascii="Arial" w:hAnsi="Arial" w:cs="Arial"/>
          <w:sz w:val="24"/>
          <w:szCs w:val="24"/>
        </w:rPr>
        <w:t xml:space="preserve">has not alleged any reasons why the </w:t>
      </w:r>
      <w:r w:rsidR="00826FB5">
        <w:rPr>
          <w:rFonts w:ascii="Arial" w:hAnsi="Arial" w:cs="Arial"/>
          <w:sz w:val="24"/>
          <w:szCs w:val="24"/>
        </w:rPr>
        <w:t>s</w:t>
      </w:r>
      <w:r w:rsidR="007C5472">
        <w:rPr>
          <w:rFonts w:ascii="Arial" w:hAnsi="Arial" w:cs="Arial"/>
          <w:sz w:val="24"/>
          <w:szCs w:val="24"/>
        </w:rPr>
        <w:t xml:space="preserve">econd </w:t>
      </w:r>
      <w:r w:rsidR="00826FB5">
        <w:rPr>
          <w:rFonts w:ascii="Arial" w:hAnsi="Arial" w:cs="Arial"/>
          <w:sz w:val="24"/>
          <w:szCs w:val="24"/>
        </w:rPr>
        <w:t>d</w:t>
      </w:r>
      <w:r w:rsidR="005B4F47">
        <w:rPr>
          <w:rFonts w:ascii="Arial" w:hAnsi="Arial" w:cs="Arial"/>
          <w:sz w:val="24"/>
          <w:szCs w:val="24"/>
        </w:rPr>
        <w:t>efendant</w:t>
      </w:r>
      <w:r w:rsidR="007C5472">
        <w:rPr>
          <w:rFonts w:ascii="Arial" w:hAnsi="Arial" w:cs="Arial"/>
          <w:sz w:val="24"/>
          <w:szCs w:val="24"/>
        </w:rPr>
        <w:t xml:space="preserve"> should be held liable for any damage suffered by the </w:t>
      </w:r>
      <w:r w:rsidR="00826FB5">
        <w:rPr>
          <w:rFonts w:ascii="Arial" w:hAnsi="Arial" w:cs="Arial"/>
          <w:sz w:val="24"/>
          <w:szCs w:val="24"/>
        </w:rPr>
        <w:t>p</w:t>
      </w:r>
      <w:r w:rsidR="005B4F47">
        <w:rPr>
          <w:rFonts w:ascii="Arial" w:hAnsi="Arial" w:cs="Arial"/>
          <w:sz w:val="24"/>
          <w:szCs w:val="24"/>
        </w:rPr>
        <w:t>laintiff</w:t>
      </w:r>
      <w:r w:rsidR="007C5472">
        <w:rPr>
          <w:rFonts w:ascii="Arial" w:hAnsi="Arial" w:cs="Arial"/>
          <w:sz w:val="24"/>
          <w:szCs w:val="24"/>
        </w:rPr>
        <w:t>s. A bland</w:t>
      </w:r>
      <w:r w:rsidR="002D1AEC">
        <w:rPr>
          <w:rFonts w:ascii="Arial" w:hAnsi="Arial" w:cs="Arial"/>
          <w:sz w:val="24"/>
          <w:szCs w:val="24"/>
        </w:rPr>
        <w:t>,</w:t>
      </w:r>
      <w:r w:rsidR="007C5472">
        <w:rPr>
          <w:rFonts w:ascii="Arial" w:hAnsi="Arial" w:cs="Arial"/>
          <w:sz w:val="24"/>
          <w:szCs w:val="24"/>
        </w:rPr>
        <w:t xml:space="preserve"> bald allegation </w:t>
      </w:r>
      <w:r w:rsidR="002D1AEC">
        <w:rPr>
          <w:rFonts w:ascii="Arial" w:hAnsi="Arial" w:cs="Arial"/>
          <w:sz w:val="24"/>
          <w:szCs w:val="24"/>
        </w:rPr>
        <w:t xml:space="preserve">will not pass muster and </w:t>
      </w:r>
      <w:r w:rsidR="007C5472">
        <w:rPr>
          <w:rFonts w:ascii="Arial" w:hAnsi="Arial" w:cs="Arial"/>
          <w:sz w:val="24"/>
          <w:szCs w:val="24"/>
        </w:rPr>
        <w:t xml:space="preserve">attract personal liability of a </w:t>
      </w:r>
      <w:r w:rsidR="002D1AEC">
        <w:rPr>
          <w:rFonts w:ascii="Arial" w:hAnsi="Arial" w:cs="Arial"/>
          <w:sz w:val="24"/>
          <w:szCs w:val="24"/>
        </w:rPr>
        <w:t>d</w:t>
      </w:r>
      <w:r w:rsidR="007C5472">
        <w:rPr>
          <w:rFonts w:ascii="Arial" w:hAnsi="Arial" w:cs="Arial"/>
          <w:sz w:val="24"/>
          <w:szCs w:val="24"/>
        </w:rPr>
        <w:t xml:space="preserve">irector in my view. </w:t>
      </w:r>
      <w:r w:rsidR="00826FB5">
        <w:rPr>
          <w:rFonts w:ascii="Arial" w:hAnsi="Arial" w:cs="Arial"/>
          <w:sz w:val="24"/>
          <w:szCs w:val="24"/>
        </w:rPr>
        <w:t xml:space="preserve"> The fear of obtaining an “empty” judgment against the first defendant as submitted by Mr Mullins for the </w:t>
      </w:r>
      <w:r w:rsidR="00826FB5">
        <w:rPr>
          <w:rFonts w:ascii="Arial" w:hAnsi="Arial" w:cs="Arial"/>
          <w:sz w:val="24"/>
          <w:szCs w:val="24"/>
        </w:rPr>
        <w:lastRenderedPageBreak/>
        <w:t>plaintiff will also not justify the citation of the second and third defendants in the absence of proper allegations against them.</w:t>
      </w:r>
    </w:p>
    <w:p w14:paraId="0B24E80F" w14:textId="77777777" w:rsidR="00F0615B" w:rsidRDefault="00F0615B" w:rsidP="00F0615B">
      <w:pPr>
        <w:spacing w:line="480" w:lineRule="auto"/>
        <w:jc w:val="both"/>
        <w:rPr>
          <w:rFonts w:ascii="Arial" w:hAnsi="Arial" w:cs="Arial"/>
          <w:sz w:val="24"/>
          <w:szCs w:val="24"/>
        </w:rPr>
      </w:pPr>
    </w:p>
    <w:p w14:paraId="33870A8B" w14:textId="00C13EC6" w:rsidR="00F0615B" w:rsidRDefault="007C5472"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The </w:t>
      </w:r>
      <w:r w:rsidR="00826FB5">
        <w:rPr>
          <w:rFonts w:ascii="Arial" w:hAnsi="Arial" w:cs="Arial"/>
          <w:sz w:val="24"/>
          <w:szCs w:val="24"/>
        </w:rPr>
        <w:t>p</w:t>
      </w:r>
      <w:r w:rsidR="005B4F47">
        <w:rPr>
          <w:rFonts w:ascii="Arial" w:hAnsi="Arial" w:cs="Arial"/>
          <w:sz w:val="24"/>
          <w:szCs w:val="24"/>
        </w:rPr>
        <w:t>laintiff</w:t>
      </w:r>
      <w:r w:rsidR="00826FB5">
        <w:rPr>
          <w:rFonts w:ascii="Arial" w:hAnsi="Arial" w:cs="Arial"/>
          <w:sz w:val="24"/>
          <w:szCs w:val="24"/>
        </w:rPr>
        <w:t>s</w:t>
      </w:r>
      <w:r>
        <w:rPr>
          <w:rFonts w:ascii="Arial" w:hAnsi="Arial" w:cs="Arial"/>
          <w:sz w:val="24"/>
          <w:szCs w:val="24"/>
        </w:rPr>
        <w:t xml:space="preserve"> ha</w:t>
      </w:r>
      <w:r w:rsidR="00826FB5">
        <w:rPr>
          <w:rFonts w:ascii="Arial" w:hAnsi="Arial" w:cs="Arial"/>
          <w:sz w:val="24"/>
          <w:szCs w:val="24"/>
        </w:rPr>
        <w:t>ve</w:t>
      </w:r>
      <w:r>
        <w:rPr>
          <w:rFonts w:ascii="Arial" w:hAnsi="Arial" w:cs="Arial"/>
          <w:sz w:val="24"/>
          <w:szCs w:val="24"/>
        </w:rPr>
        <w:t xml:space="preserve"> further not made any allegations regarding </w:t>
      </w:r>
      <w:r w:rsidR="002D1AEC">
        <w:rPr>
          <w:rFonts w:ascii="Arial" w:hAnsi="Arial" w:cs="Arial"/>
          <w:sz w:val="24"/>
          <w:szCs w:val="24"/>
        </w:rPr>
        <w:t>the conduct (whether by way of a</w:t>
      </w:r>
      <w:r>
        <w:rPr>
          <w:rFonts w:ascii="Arial" w:hAnsi="Arial" w:cs="Arial"/>
          <w:sz w:val="24"/>
          <w:szCs w:val="24"/>
        </w:rPr>
        <w:t xml:space="preserve">ct or omission) of the </w:t>
      </w:r>
      <w:r w:rsidR="00826FB5">
        <w:rPr>
          <w:rFonts w:ascii="Arial" w:hAnsi="Arial" w:cs="Arial"/>
          <w:sz w:val="24"/>
          <w:szCs w:val="24"/>
        </w:rPr>
        <w:t>t</w:t>
      </w:r>
      <w:r>
        <w:rPr>
          <w:rFonts w:ascii="Arial" w:hAnsi="Arial" w:cs="Arial"/>
          <w:sz w:val="24"/>
          <w:szCs w:val="24"/>
        </w:rPr>
        <w:t xml:space="preserve">hird </w:t>
      </w:r>
      <w:r w:rsidR="00826FB5">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 to warrant him </w:t>
      </w:r>
      <w:r w:rsidR="002D1AEC">
        <w:rPr>
          <w:rFonts w:ascii="Arial" w:hAnsi="Arial" w:cs="Arial"/>
          <w:sz w:val="24"/>
          <w:szCs w:val="24"/>
        </w:rPr>
        <w:t xml:space="preserve">as director </w:t>
      </w:r>
      <w:r>
        <w:rPr>
          <w:rFonts w:ascii="Arial" w:hAnsi="Arial" w:cs="Arial"/>
          <w:sz w:val="24"/>
          <w:szCs w:val="24"/>
        </w:rPr>
        <w:t xml:space="preserve">being held personally liable to the </w:t>
      </w:r>
      <w:r w:rsidR="00826FB5">
        <w:rPr>
          <w:rFonts w:ascii="Arial" w:hAnsi="Arial" w:cs="Arial"/>
          <w:sz w:val="24"/>
          <w:szCs w:val="24"/>
        </w:rPr>
        <w:t>p</w:t>
      </w:r>
      <w:r w:rsidR="005B4F47">
        <w:rPr>
          <w:rFonts w:ascii="Arial" w:hAnsi="Arial" w:cs="Arial"/>
          <w:sz w:val="24"/>
          <w:szCs w:val="24"/>
        </w:rPr>
        <w:t>laintiff</w:t>
      </w:r>
      <w:r>
        <w:rPr>
          <w:rFonts w:ascii="Arial" w:hAnsi="Arial" w:cs="Arial"/>
          <w:sz w:val="24"/>
          <w:szCs w:val="24"/>
        </w:rPr>
        <w:t>s</w:t>
      </w:r>
      <w:r w:rsidR="00467FDD">
        <w:rPr>
          <w:rFonts w:ascii="Arial" w:hAnsi="Arial" w:cs="Arial"/>
          <w:sz w:val="24"/>
          <w:szCs w:val="24"/>
        </w:rPr>
        <w:t xml:space="preserve">. </w:t>
      </w:r>
    </w:p>
    <w:p w14:paraId="5EAC385B" w14:textId="77777777" w:rsidR="00F0615B" w:rsidRDefault="00F0615B" w:rsidP="00F0615B">
      <w:pPr>
        <w:spacing w:line="480" w:lineRule="auto"/>
        <w:jc w:val="both"/>
        <w:rPr>
          <w:rFonts w:ascii="Arial" w:hAnsi="Arial" w:cs="Arial"/>
          <w:sz w:val="24"/>
          <w:szCs w:val="24"/>
        </w:rPr>
      </w:pPr>
    </w:p>
    <w:p w14:paraId="56AD6F16" w14:textId="029F6AB6" w:rsidR="00F0615B" w:rsidRDefault="00467FDD" w:rsidP="00F0615B">
      <w:pPr>
        <w:numPr>
          <w:ilvl w:val="0"/>
          <w:numId w:val="2"/>
        </w:numPr>
        <w:spacing w:line="480" w:lineRule="auto"/>
        <w:jc w:val="both"/>
        <w:rPr>
          <w:rFonts w:ascii="Arial" w:hAnsi="Arial" w:cs="Arial"/>
          <w:sz w:val="24"/>
          <w:szCs w:val="24"/>
        </w:rPr>
      </w:pPr>
      <w:r>
        <w:rPr>
          <w:rFonts w:ascii="Arial" w:hAnsi="Arial" w:cs="Arial"/>
          <w:sz w:val="24"/>
          <w:szCs w:val="24"/>
        </w:rPr>
        <w:t xml:space="preserve">I am therefore of the view that the </w:t>
      </w:r>
      <w:r w:rsidR="00826FB5">
        <w:rPr>
          <w:rFonts w:ascii="Arial" w:hAnsi="Arial" w:cs="Arial"/>
          <w:sz w:val="24"/>
          <w:szCs w:val="24"/>
        </w:rPr>
        <w:t>s</w:t>
      </w:r>
      <w:r>
        <w:rPr>
          <w:rFonts w:ascii="Arial" w:hAnsi="Arial" w:cs="Arial"/>
          <w:sz w:val="24"/>
          <w:szCs w:val="24"/>
        </w:rPr>
        <w:t xml:space="preserve">econd and </w:t>
      </w:r>
      <w:r w:rsidR="00826FB5">
        <w:rPr>
          <w:rFonts w:ascii="Arial" w:hAnsi="Arial" w:cs="Arial"/>
          <w:sz w:val="24"/>
          <w:szCs w:val="24"/>
        </w:rPr>
        <w:t>t</w:t>
      </w:r>
      <w:r>
        <w:rPr>
          <w:rFonts w:ascii="Arial" w:hAnsi="Arial" w:cs="Arial"/>
          <w:sz w:val="24"/>
          <w:szCs w:val="24"/>
        </w:rPr>
        <w:t xml:space="preserve">hird </w:t>
      </w:r>
      <w:r w:rsidR="00826FB5">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s have been misjoined in the action and </w:t>
      </w:r>
      <w:r w:rsidR="002D1AEC">
        <w:rPr>
          <w:rFonts w:ascii="Arial" w:hAnsi="Arial" w:cs="Arial"/>
          <w:sz w:val="24"/>
          <w:szCs w:val="24"/>
        </w:rPr>
        <w:t xml:space="preserve">that </w:t>
      </w:r>
      <w:r>
        <w:rPr>
          <w:rFonts w:ascii="Arial" w:hAnsi="Arial" w:cs="Arial"/>
          <w:sz w:val="24"/>
          <w:szCs w:val="24"/>
        </w:rPr>
        <w:t xml:space="preserve">the </w:t>
      </w:r>
      <w:r w:rsidR="00826FB5">
        <w:rPr>
          <w:rFonts w:ascii="Arial" w:hAnsi="Arial" w:cs="Arial"/>
          <w:sz w:val="24"/>
          <w:szCs w:val="24"/>
        </w:rPr>
        <w:t>p</w:t>
      </w:r>
      <w:r w:rsidR="005B4F47">
        <w:rPr>
          <w:rFonts w:ascii="Arial" w:hAnsi="Arial" w:cs="Arial"/>
          <w:sz w:val="24"/>
          <w:szCs w:val="24"/>
        </w:rPr>
        <w:t>laintiff</w:t>
      </w:r>
      <w:r>
        <w:rPr>
          <w:rFonts w:ascii="Arial" w:hAnsi="Arial" w:cs="Arial"/>
          <w:sz w:val="24"/>
          <w:szCs w:val="24"/>
        </w:rPr>
        <w:t>s have failed to make out any case to hold them liable in their personal capacit</w:t>
      </w:r>
      <w:r w:rsidR="002D1AEC">
        <w:rPr>
          <w:rFonts w:ascii="Arial" w:hAnsi="Arial" w:cs="Arial"/>
          <w:sz w:val="24"/>
          <w:szCs w:val="24"/>
        </w:rPr>
        <w:t>ies</w:t>
      </w:r>
      <w:r>
        <w:rPr>
          <w:rFonts w:ascii="Arial" w:hAnsi="Arial" w:cs="Arial"/>
          <w:sz w:val="24"/>
          <w:szCs w:val="24"/>
        </w:rPr>
        <w:t xml:space="preserve">.  </w:t>
      </w:r>
    </w:p>
    <w:p w14:paraId="568B911B" w14:textId="77777777" w:rsidR="00F0615B" w:rsidRDefault="00F0615B" w:rsidP="00F0615B">
      <w:pPr>
        <w:spacing w:line="480" w:lineRule="auto"/>
        <w:jc w:val="both"/>
        <w:rPr>
          <w:rFonts w:ascii="Arial" w:hAnsi="Arial" w:cs="Arial"/>
          <w:sz w:val="24"/>
          <w:szCs w:val="24"/>
        </w:rPr>
      </w:pPr>
    </w:p>
    <w:p w14:paraId="5175C2D6" w14:textId="618E77E3" w:rsidR="002D1AEC" w:rsidRDefault="00467FDD" w:rsidP="00F0615B">
      <w:pPr>
        <w:numPr>
          <w:ilvl w:val="0"/>
          <w:numId w:val="2"/>
        </w:numPr>
        <w:spacing w:line="480" w:lineRule="auto"/>
        <w:jc w:val="both"/>
        <w:rPr>
          <w:rFonts w:ascii="Arial" w:hAnsi="Arial" w:cs="Arial"/>
          <w:sz w:val="24"/>
          <w:szCs w:val="24"/>
        </w:rPr>
      </w:pPr>
      <w:r>
        <w:rPr>
          <w:rFonts w:ascii="Arial" w:hAnsi="Arial" w:cs="Arial"/>
          <w:sz w:val="24"/>
          <w:szCs w:val="24"/>
        </w:rPr>
        <w:t>In the result</w:t>
      </w:r>
      <w:r w:rsidR="008C7041">
        <w:rPr>
          <w:rFonts w:ascii="Arial" w:hAnsi="Arial" w:cs="Arial"/>
          <w:sz w:val="24"/>
          <w:szCs w:val="24"/>
        </w:rPr>
        <w:t>,</w:t>
      </w:r>
      <w:r>
        <w:rPr>
          <w:rFonts w:ascii="Arial" w:hAnsi="Arial" w:cs="Arial"/>
          <w:sz w:val="24"/>
          <w:szCs w:val="24"/>
        </w:rPr>
        <w:t xml:space="preserve"> </w:t>
      </w:r>
      <w:r w:rsidR="002D1AEC">
        <w:rPr>
          <w:rFonts w:ascii="Arial" w:hAnsi="Arial" w:cs="Arial"/>
          <w:sz w:val="24"/>
          <w:szCs w:val="24"/>
        </w:rPr>
        <w:t>I make the following order:-</w:t>
      </w:r>
    </w:p>
    <w:p w14:paraId="36C42622" w14:textId="77777777" w:rsidR="002D1AEC" w:rsidRDefault="002D1AEC" w:rsidP="00077760">
      <w:pPr>
        <w:pStyle w:val="ListParagraph"/>
        <w:spacing w:line="480" w:lineRule="auto"/>
        <w:rPr>
          <w:rFonts w:ascii="Arial" w:hAnsi="Arial" w:cs="Arial"/>
        </w:rPr>
      </w:pPr>
    </w:p>
    <w:p w14:paraId="052D34C7" w14:textId="0357B001" w:rsidR="00077760" w:rsidRDefault="00077760" w:rsidP="00077760">
      <w:pPr>
        <w:numPr>
          <w:ilvl w:val="1"/>
          <w:numId w:val="2"/>
        </w:numPr>
        <w:spacing w:line="480" w:lineRule="auto"/>
        <w:jc w:val="both"/>
        <w:rPr>
          <w:rFonts w:ascii="Arial" w:hAnsi="Arial" w:cs="Arial"/>
          <w:sz w:val="24"/>
          <w:szCs w:val="24"/>
        </w:rPr>
      </w:pPr>
      <w:r>
        <w:rPr>
          <w:rFonts w:ascii="Arial" w:hAnsi="Arial" w:cs="Arial"/>
          <w:sz w:val="24"/>
          <w:szCs w:val="24"/>
        </w:rPr>
        <w:t xml:space="preserve">The </w:t>
      </w:r>
      <w:r w:rsidR="00826FB5">
        <w:rPr>
          <w:rFonts w:ascii="Arial" w:hAnsi="Arial" w:cs="Arial"/>
          <w:sz w:val="24"/>
          <w:szCs w:val="24"/>
        </w:rPr>
        <w:t>f</w:t>
      </w:r>
      <w:r>
        <w:rPr>
          <w:rFonts w:ascii="Arial" w:hAnsi="Arial" w:cs="Arial"/>
          <w:sz w:val="24"/>
          <w:szCs w:val="24"/>
        </w:rPr>
        <w:t xml:space="preserve">irst Special Plea </w:t>
      </w:r>
      <w:r w:rsidR="00826FB5">
        <w:rPr>
          <w:rFonts w:ascii="Arial" w:hAnsi="Arial" w:cs="Arial"/>
          <w:sz w:val="24"/>
          <w:szCs w:val="24"/>
        </w:rPr>
        <w:t xml:space="preserve">of misjoinder </w:t>
      </w:r>
      <w:r>
        <w:rPr>
          <w:rFonts w:ascii="Arial" w:hAnsi="Arial" w:cs="Arial"/>
          <w:sz w:val="24"/>
          <w:szCs w:val="24"/>
        </w:rPr>
        <w:t>is upheld;</w:t>
      </w:r>
    </w:p>
    <w:p w14:paraId="324E6460" w14:textId="77777777" w:rsidR="00077760" w:rsidRDefault="00077760" w:rsidP="00077760">
      <w:pPr>
        <w:spacing w:line="480" w:lineRule="auto"/>
        <w:ind w:left="1701"/>
        <w:jc w:val="both"/>
        <w:rPr>
          <w:rFonts w:ascii="Arial" w:hAnsi="Arial" w:cs="Arial"/>
          <w:sz w:val="24"/>
          <w:szCs w:val="24"/>
        </w:rPr>
      </w:pPr>
    </w:p>
    <w:p w14:paraId="046D858E" w14:textId="5205B1A0" w:rsidR="00077760" w:rsidRDefault="00077760" w:rsidP="00077760">
      <w:pPr>
        <w:numPr>
          <w:ilvl w:val="1"/>
          <w:numId w:val="2"/>
        </w:numPr>
        <w:spacing w:line="480" w:lineRule="auto"/>
        <w:jc w:val="both"/>
        <w:rPr>
          <w:rFonts w:ascii="Arial" w:hAnsi="Arial" w:cs="Arial"/>
          <w:sz w:val="24"/>
          <w:szCs w:val="24"/>
        </w:rPr>
      </w:pPr>
      <w:r>
        <w:rPr>
          <w:rFonts w:ascii="Arial" w:hAnsi="Arial" w:cs="Arial"/>
          <w:sz w:val="24"/>
          <w:szCs w:val="24"/>
        </w:rPr>
        <w:t xml:space="preserve">The </w:t>
      </w:r>
      <w:r w:rsidR="00826FB5">
        <w:rPr>
          <w:rFonts w:ascii="Arial" w:hAnsi="Arial" w:cs="Arial"/>
          <w:sz w:val="24"/>
          <w:szCs w:val="24"/>
        </w:rPr>
        <w:t>p</w:t>
      </w:r>
      <w:r w:rsidR="005B4F47">
        <w:rPr>
          <w:rFonts w:ascii="Arial" w:hAnsi="Arial" w:cs="Arial"/>
          <w:sz w:val="24"/>
          <w:szCs w:val="24"/>
        </w:rPr>
        <w:t>laintiff</w:t>
      </w:r>
      <w:r>
        <w:rPr>
          <w:rFonts w:ascii="Arial" w:hAnsi="Arial" w:cs="Arial"/>
          <w:sz w:val="24"/>
          <w:szCs w:val="24"/>
        </w:rPr>
        <w:t xml:space="preserve">s are directed to pay the costs of the </w:t>
      </w:r>
      <w:r w:rsidR="00826FB5">
        <w:rPr>
          <w:rFonts w:ascii="Arial" w:hAnsi="Arial" w:cs="Arial"/>
          <w:sz w:val="24"/>
          <w:szCs w:val="24"/>
        </w:rPr>
        <w:t>s</w:t>
      </w:r>
      <w:r>
        <w:rPr>
          <w:rFonts w:ascii="Arial" w:hAnsi="Arial" w:cs="Arial"/>
          <w:sz w:val="24"/>
          <w:szCs w:val="24"/>
        </w:rPr>
        <w:t xml:space="preserve">econd and </w:t>
      </w:r>
      <w:r w:rsidR="00826FB5">
        <w:rPr>
          <w:rFonts w:ascii="Arial" w:hAnsi="Arial" w:cs="Arial"/>
          <w:sz w:val="24"/>
          <w:szCs w:val="24"/>
        </w:rPr>
        <w:t>t</w:t>
      </w:r>
      <w:r>
        <w:rPr>
          <w:rFonts w:ascii="Arial" w:hAnsi="Arial" w:cs="Arial"/>
          <w:sz w:val="24"/>
          <w:szCs w:val="24"/>
        </w:rPr>
        <w:t xml:space="preserve">hird </w:t>
      </w:r>
      <w:r w:rsidR="00826FB5">
        <w:rPr>
          <w:rFonts w:ascii="Arial" w:hAnsi="Arial" w:cs="Arial"/>
          <w:sz w:val="24"/>
          <w:szCs w:val="24"/>
        </w:rPr>
        <w:t>d</w:t>
      </w:r>
      <w:r w:rsidR="005B4F47">
        <w:rPr>
          <w:rFonts w:ascii="Arial" w:hAnsi="Arial" w:cs="Arial"/>
          <w:sz w:val="24"/>
          <w:szCs w:val="24"/>
        </w:rPr>
        <w:t>efendant</w:t>
      </w:r>
      <w:r>
        <w:rPr>
          <w:rFonts w:ascii="Arial" w:hAnsi="Arial" w:cs="Arial"/>
          <w:sz w:val="24"/>
          <w:szCs w:val="24"/>
        </w:rPr>
        <w:t xml:space="preserve">s jointly and severally, the one paying the other to be absolved. </w:t>
      </w:r>
    </w:p>
    <w:p w14:paraId="78A9416B" w14:textId="77777777" w:rsidR="00077760" w:rsidRDefault="00077760" w:rsidP="00077760">
      <w:pPr>
        <w:pStyle w:val="ListParagraph"/>
        <w:spacing w:line="480" w:lineRule="auto"/>
        <w:rPr>
          <w:rFonts w:ascii="Arial" w:hAnsi="Arial" w:cs="Arial"/>
        </w:rPr>
      </w:pPr>
    </w:p>
    <w:p w14:paraId="25D70755" w14:textId="77777777" w:rsidR="002B4053" w:rsidRPr="00F10DD5" w:rsidRDefault="002B4053" w:rsidP="002B4053">
      <w:pPr>
        <w:pStyle w:val="ListParagraph"/>
        <w:rPr>
          <w:rFonts w:ascii="Arial" w:hAnsi="Arial" w:cs="Arial"/>
        </w:rPr>
      </w:pPr>
    </w:p>
    <w:p w14:paraId="45410731" w14:textId="77777777" w:rsidR="002B4053" w:rsidRPr="00B71236" w:rsidRDefault="002B4053" w:rsidP="002B4053">
      <w:pPr>
        <w:spacing w:line="480" w:lineRule="auto"/>
        <w:ind w:left="851"/>
        <w:jc w:val="both"/>
        <w:rPr>
          <w:rFonts w:ascii="Arial" w:hAnsi="Arial" w:cs="Arial"/>
          <w:sz w:val="24"/>
          <w:szCs w:val="24"/>
        </w:rPr>
      </w:pPr>
    </w:p>
    <w:p w14:paraId="6ABDCF4B" w14:textId="77777777" w:rsidR="002B4053" w:rsidRPr="00B71236" w:rsidRDefault="002B4053" w:rsidP="002B4053">
      <w:pPr>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t>___________________</w:t>
      </w:r>
    </w:p>
    <w:p w14:paraId="0EC6710D" w14:textId="77777777" w:rsidR="002B4053" w:rsidRDefault="002B4053" w:rsidP="002B4053">
      <w:pPr>
        <w:spacing w:line="480" w:lineRule="auto"/>
        <w:ind w:left="851"/>
        <w:jc w:val="both"/>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Pr>
          <w:rFonts w:ascii="Arial" w:hAnsi="Arial" w:cs="Arial"/>
          <w:sz w:val="24"/>
          <w:szCs w:val="24"/>
        </w:rPr>
        <w:t>SINGH AJ</w:t>
      </w:r>
    </w:p>
    <w:p w14:paraId="6DEBBC69" w14:textId="77777777" w:rsidR="002B4053" w:rsidRDefault="002B4053" w:rsidP="002B4053">
      <w:pPr>
        <w:ind w:left="2160" w:hanging="2160"/>
        <w:jc w:val="both"/>
        <w:rPr>
          <w:rFonts w:ascii="Arial" w:hAnsi="Arial" w:cs="Arial"/>
          <w:sz w:val="24"/>
          <w:szCs w:val="24"/>
        </w:rPr>
      </w:pPr>
    </w:p>
    <w:p w14:paraId="2E16665F" w14:textId="2B88AEB7" w:rsidR="00164D06" w:rsidRDefault="00164D06" w:rsidP="002B4053">
      <w:pPr>
        <w:ind w:left="2160" w:hanging="2160"/>
        <w:jc w:val="both"/>
        <w:rPr>
          <w:rFonts w:ascii="Arial" w:hAnsi="Arial" w:cs="Arial"/>
          <w:sz w:val="24"/>
          <w:szCs w:val="24"/>
        </w:rPr>
      </w:pPr>
      <w:r>
        <w:rPr>
          <w:rFonts w:ascii="Arial" w:hAnsi="Arial" w:cs="Arial"/>
          <w:sz w:val="24"/>
          <w:szCs w:val="24"/>
        </w:rPr>
        <w:t>Date of hearing:  6 February 2023</w:t>
      </w:r>
    </w:p>
    <w:p w14:paraId="1B69A3FF" w14:textId="6788E6B3" w:rsidR="00164D06" w:rsidRDefault="00164D06" w:rsidP="002B4053">
      <w:pPr>
        <w:ind w:left="2160" w:hanging="2160"/>
        <w:jc w:val="both"/>
        <w:rPr>
          <w:rFonts w:ascii="Arial" w:hAnsi="Arial" w:cs="Arial"/>
          <w:sz w:val="24"/>
          <w:szCs w:val="24"/>
        </w:rPr>
      </w:pPr>
      <w:r>
        <w:rPr>
          <w:rFonts w:ascii="Arial" w:hAnsi="Arial" w:cs="Arial"/>
          <w:sz w:val="24"/>
          <w:szCs w:val="24"/>
        </w:rPr>
        <w:t>Date of Judgment:</w:t>
      </w:r>
      <w:r w:rsidR="00077760">
        <w:rPr>
          <w:rFonts w:ascii="Arial" w:hAnsi="Arial" w:cs="Arial"/>
          <w:sz w:val="24"/>
          <w:szCs w:val="24"/>
        </w:rPr>
        <w:t xml:space="preserve"> 17 February 2023</w:t>
      </w:r>
    </w:p>
    <w:p w14:paraId="41BE44BC" w14:textId="77777777" w:rsidR="001C4C67" w:rsidRDefault="001C4C67" w:rsidP="002B4053">
      <w:pPr>
        <w:ind w:left="2160" w:hanging="2160"/>
        <w:jc w:val="both"/>
        <w:rPr>
          <w:rFonts w:ascii="Arial" w:hAnsi="Arial" w:cs="Arial"/>
          <w:sz w:val="24"/>
          <w:szCs w:val="24"/>
        </w:rPr>
      </w:pPr>
    </w:p>
    <w:p w14:paraId="0251ADBA" w14:textId="14A7E6B0" w:rsidR="00812BBC" w:rsidRDefault="00077760" w:rsidP="002B4053">
      <w:pPr>
        <w:ind w:left="2160" w:hanging="2160"/>
        <w:jc w:val="both"/>
        <w:rPr>
          <w:rFonts w:ascii="Arial" w:hAnsi="Arial" w:cs="Arial"/>
          <w:sz w:val="24"/>
          <w:szCs w:val="24"/>
        </w:rPr>
      </w:pPr>
      <w:r>
        <w:rPr>
          <w:rFonts w:ascii="Arial" w:hAnsi="Arial" w:cs="Arial"/>
          <w:sz w:val="24"/>
          <w:szCs w:val="24"/>
        </w:rPr>
        <w:lastRenderedPageBreak/>
        <w:t>Appearances –</w:t>
      </w:r>
      <w:r w:rsidR="00164D06">
        <w:rPr>
          <w:rFonts w:ascii="Arial" w:hAnsi="Arial" w:cs="Arial"/>
          <w:sz w:val="24"/>
          <w:szCs w:val="24"/>
        </w:rPr>
        <w:tab/>
        <w:t xml:space="preserve">For the </w:t>
      </w:r>
      <w:r w:rsidR="005B4F47">
        <w:rPr>
          <w:rFonts w:ascii="Arial" w:hAnsi="Arial" w:cs="Arial"/>
          <w:sz w:val="24"/>
          <w:szCs w:val="24"/>
        </w:rPr>
        <w:t>Plaintiff</w:t>
      </w:r>
      <w:r w:rsidR="00164D06">
        <w:rPr>
          <w:rFonts w:ascii="Arial" w:hAnsi="Arial" w:cs="Arial"/>
          <w:sz w:val="24"/>
          <w:szCs w:val="24"/>
        </w:rPr>
        <w:t>s</w:t>
      </w:r>
      <w:r w:rsidR="002B4053">
        <w:rPr>
          <w:rFonts w:ascii="Arial" w:hAnsi="Arial" w:cs="Arial"/>
          <w:sz w:val="24"/>
          <w:szCs w:val="24"/>
        </w:rPr>
        <w:t>: M</w:t>
      </w:r>
      <w:r w:rsidR="00164D06">
        <w:rPr>
          <w:rFonts w:ascii="Arial" w:hAnsi="Arial" w:cs="Arial"/>
          <w:sz w:val="24"/>
          <w:szCs w:val="24"/>
        </w:rPr>
        <w:t xml:space="preserve">r K.C. Mullins </w:t>
      </w:r>
    </w:p>
    <w:p w14:paraId="40776398" w14:textId="77777777" w:rsidR="00812BBC" w:rsidRDefault="00812BBC" w:rsidP="00812BBC">
      <w:pPr>
        <w:ind w:left="2880" w:firstLine="720"/>
        <w:jc w:val="both"/>
        <w:rPr>
          <w:rFonts w:ascii="Arial" w:hAnsi="Arial" w:cs="Arial"/>
          <w:sz w:val="24"/>
          <w:szCs w:val="24"/>
        </w:rPr>
      </w:pPr>
      <w:r>
        <w:rPr>
          <w:rFonts w:ascii="Arial" w:hAnsi="Arial" w:cs="Arial"/>
          <w:sz w:val="24"/>
          <w:szCs w:val="24"/>
        </w:rPr>
        <w:t xml:space="preserve">      I</w:t>
      </w:r>
      <w:r w:rsidR="00164D06">
        <w:rPr>
          <w:rFonts w:ascii="Arial" w:hAnsi="Arial" w:cs="Arial"/>
          <w:sz w:val="24"/>
          <w:szCs w:val="24"/>
        </w:rPr>
        <w:t xml:space="preserve">nstructed by Tees Attorneys, Suite 1, </w:t>
      </w:r>
    </w:p>
    <w:p w14:paraId="46D1788B" w14:textId="77777777" w:rsidR="00812BBC" w:rsidRDefault="00812BBC" w:rsidP="00812BBC">
      <w:pPr>
        <w:ind w:left="2880" w:firstLine="720"/>
        <w:jc w:val="both"/>
        <w:rPr>
          <w:rFonts w:ascii="Arial" w:hAnsi="Arial" w:cs="Arial"/>
          <w:sz w:val="24"/>
          <w:szCs w:val="24"/>
        </w:rPr>
      </w:pPr>
      <w:r>
        <w:rPr>
          <w:rFonts w:ascii="Arial" w:hAnsi="Arial" w:cs="Arial"/>
          <w:sz w:val="24"/>
          <w:szCs w:val="24"/>
        </w:rPr>
        <w:t xml:space="preserve">      </w:t>
      </w:r>
      <w:r w:rsidR="00164D06">
        <w:rPr>
          <w:rFonts w:ascii="Arial" w:hAnsi="Arial" w:cs="Arial"/>
          <w:sz w:val="24"/>
          <w:szCs w:val="24"/>
        </w:rPr>
        <w:t>Prische House, 14-18</w:t>
      </w:r>
      <w:r>
        <w:rPr>
          <w:rFonts w:ascii="Arial" w:hAnsi="Arial" w:cs="Arial"/>
          <w:sz w:val="24"/>
          <w:szCs w:val="24"/>
        </w:rPr>
        <w:t xml:space="preserve"> </w:t>
      </w:r>
      <w:r w:rsidR="00164D06">
        <w:rPr>
          <w:rFonts w:ascii="Arial" w:hAnsi="Arial" w:cs="Arial"/>
          <w:sz w:val="24"/>
          <w:szCs w:val="24"/>
        </w:rPr>
        <w:t xml:space="preserve">Church Road, </w:t>
      </w:r>
    </w:p>
    <w:p w14:paraId="6F4301C5" w14:textId="5E2DF030" w:rsidR="00164D06" w:rsidRDefault="00812BBC" w:rsidP="00812BBC">
      <w:pPr>
        <w:ind w:left="2880" w:firstLine="720"/>
        <w:jc w:val="both"/>
        <w:rPr>
          <w:rFonts w:ascii="Arial" w:hAnsi="Arial" w:cs="Arial"/>
          <w:sz w:val="24"/>
          <w:szCs w:val="24"/>
        </w:rPr>
      </w:pPr>
      <w:r>
        <w:rPr>
          <w:rFonts w:ascii="Arial" w:hAnsi="Arial" w:cs="Arial"/>
          <w:sz w:val="24"/>
          <w:szCs w:val="24"/>
        </w:rPr>
        <w:t xml:space="preserve">      </w:t>
      </w:r>
      <w:r w:rsidR="00164D06">
        <w:rPr>
          <w:rFonts w:ascii="Arial" w:hAnsi="Arial" w:cs="Arial"/>
          <w:sz w:val="24"/>
          <w:szCs w:val="24"/>
        </w:rPr>
        <w:t>Westville</w:t>
      </w:r>
    </w:p>
    <w:p w14:paraId="5512C78B" w14:textId="405609FD" w:rsidR="002B4053" w:rsidRDefault="002B4053" w:rsidP="002B4053">
      <w:pPr>
        <w:ind w:left="2160" w:hanging="2160"/>
        <w:jc w:val="both"/>
        <w:rPr>
          <w:rFonts w:ascii="Arial" w:hAnsi="Arial" w:cs="Arial"/>
          <w:sz w:val="24"/>
          <w:szCs w:val="24"/>
        </w:rPr>
      </w:pPr>
      <w:r>
        <w:rPr>
          <w:rFonts w:ascii="Arial" w:hAnsi="Arial" w:cs="Arial"/>
          <w:sz w:val="24"/>
          <w:szCs w:val="24"/>
        </w:rPr>
        <w:tab/>
        <w:t>Email</w:t>
      </w:r>
      <w:r w:rsidR="00164D06">
        <w:rPr>
          <w:rFonts w:ascii="Arial" w:hAnsi="Arial" w:cs="Arial"/>
          <w:sz w:val="24"/>
          <w:szCs w:val="24"/>
        </w:rPr>
        <w:t xml:space="preserve">:  </w:t>
      </w:r>
      <w:r>
        <w:rPr>
          <w:rFonts w:ascii="Arial" w:hAnsi="Arial" w:cs="Arial"/>
          <w:sz w:val="24"/>
          <w:szCs w:val="24"/>
        </w:rPr>
        <w:t xml:space="preserve"> </w:t>
      </w:r>
      <w:hyperlink r:id="rId8" w:history="1">
        <w:r w:rsidR="00CD4376" w:rsidRPr="004E534B">
          <w:rPr>
            <w:rStyle w:val="Hyperlink"/>
            <w:rFonts w:ascii="Arial" w:hAnsi="Arial" w:cs="Arial"/>
            <w:sz w:val="24"/>
            <w:szCs w:val="24"/>
          </w:rPr>
          <w:t>teesattorneys@mweb.co.za</w:t>
        </w:r>
      </w:hyperlink>
    </w:p>
    <w:p w14:paraId="798C1764" w14:textId="6BB5695B" w:rsidR="00CD4376" w:rsidRDefault="00CD4376" w:rsidP="002B4053">
      <w:pPr>
        <w:ind w:left="2160" w:hanging="2160"/>
        <w:jc w:val="both"/>
        <w:rPr>
          <w:rFonts w:ascii="Arial" w:hAnsi="Arial" w:cs="Arial"/>
          <w:sz w:val="24"/>
          <w:szCs w:val="24"/>
        </w:rPr>
      </w:pPr>
    </w:p>
    <w:p w14:paraId="657E7294" w14:textId="68FCBEB8" w:rsidR="00CD4376" w:rsidRDefault="00CD4376" w:rsidP="00CD4376">
      <w:pPr>
        <w:ind w:left="2160" w:hanging="2160"/>
        <w:jc w:val="both"/>
        <w:rPr>
          <w:rFonts w:ascii="Arial" w:hAnsi="Arial" w:cs="Arial"/>
          <w:sz w:val="24"/>
          <w:szCs w:val="24"/>
        </w:rPr>
      </w:pPr>
      <w:r>
        <w:rPr>
          <w:rFonts w:ascii="Arial" w:hAnsi="Arial" w:cs="Arial"/>
          <w:sz w:val="24"/>
          <w:szCs w:val="24"/>
        </w:rPr>
        <w:tab/>
        <w:t xml:space="preserve">For the First, Second and Third </w:t>
      </w:r>
      <w:r w:rsidR="005B4F47">
        <w:rPr>
          <w:rFonts w:ascii="Arial" w:hAnsi="Arial" w:cs="Arial"/>
          <w:sz w:val="24"/>
          <w:szCs w:val="24"/>
        </w:rPr>
        <w:t>Defendant</w:t>
      </w:r>
      <w:r>
        <w:rPr>
          <w:rFonts w:ascii="Arial" w:hAnsi="Arial" w:cs="Arial"/>
          <w:sz w:val="24"/>
          <w:szCs w:val="24"/>
        </w:rPr>
        <w:t>s:</w:t>
      </w:r>
    </w:p>
    <w:p w14:paraId="7AA3E7D1" w14:textId="3E4BE578" w:rsidR="00CD4376" w:rsidRDefault="00CD4376" w:rsidP="00CD4376">
      <w:pPr>
        <w:ind w:left="2880" w:firstLine="720"/>
        <w:jc w:val="both"/>
        <w:rPr>
          <w:rFonts w:ascii="Arial" w:hAnsi="Arial" w:cs="Arial"/>
          <w:sz w:val="24"/>
          <w:szCs w:val="24"/>
        </w:rPr>
      </w:pPr>
      <w:r>
        <w:rPr>
          <w:rFonts w:ascii="Arial" w:hAnsi="Arial" w:cs="Arial"/>
          <w:sz w:val="24"/>
          <w:szCs w:val="24"/>
        </w:rPr>
        <w:t xml:space="preserve">      Ms C.V. Du Toit </w:t>
      </w:r>
    </w:p>
    <w:p w14:paraId="7D0128AB" w14:textId="520CD424" w:rsidR="00CD4376" w:rsidRDefault="00CD4376" w:rsidP="00CD4376">
      <w:pPr>
        <w:ind w:left="2880" w:firstLine="720"/>
        <w:jc w:val="both"/>
        <w:rPr>
          <w:rFonts w:ascii="Arial" w:hAnsi="Arial" w:cs="Arial"/>
          <w:sz w:val="24"/>
          <w:szCs w:val="24"/>
        </w:rPr>
      </w:pPr>
      <w:r>
        <w:rPr>
          <w:rFonts w:ascii="Arial" w:hAnsi="Arial" w:cs="Arial"/>
          <w:sz w:val="24"/>
          <w:szCs w:val="24"/>
        </w:rPr>
        <w:t xml:space="preserve">      Instructed by </w:t>
      </w:r>
      <w:r w:rsidR="00C24F8F">
        <w:rPr>
          <w:rFonts w:ascii="Arial" w:hAnsi="Arial" w:cs="Arial"/>
          <w:sz w:val="24"/>
          <w:szCs w:val="24"/>
        </w:rPr>
        <w:t>Alexander Cox Attorneys</w:t>
      </w:r>
    </w:p>
    <w:p w14:paraId="3082301E" w14:textId="3B92AB03" w:rsidR="00CD4376" w:rsidRDefault="00CD4376" w:rsidP="00CD4376">
      <w:pPr>
        <w:ind w:left="2880" w:firstLine="720"/>
        <w:jc w:val="both"/>
        <w:rPr>
          <w:rFonts w:ascii="Arial" w:hAnsi="Arial" w:cs="Arial"/>
          <w:sz w:val="24"/>
          <w:szCs w:val="24"/>
        </w:rPr>
      </w:pPr>
      <w:r>
        <w:rPr>
          <w:rFonts w:ascii="Arial" w:hAnsi="Arial" w:cs="Arial"/>
          <w:sz w:val="24"/>
          <w:szCs w:val="24"/>
        </w:rPr>
        <w:t xml:space="preserve">      </w:t>
      </w:r>
      <w:r w:rsidR="00C24F8F">
        <w:rPr>
          <w:rFonts w:ascii="Arial" w:hAnsi="Arial" w:cs="Arial"/>
          <w:sz w:val="24"/>
          <w:szCs w:val="24"/>
        </w:rPr>
        <w:t>Block B, Bellevue Campus, 5 Bellevue</w:t>
      </w:r>
    </w:p>
    <w:p w14:paraId="0D7CBC74" w14:textId="64BAE021" w:rsidR="00CD4376" w:rsidRDefault="00CD4376" w:rsidP="00CD4376">
      <w:pPr>
        <w:ind w:left="2880" w:firstLine="720"/>
        <w:jc w:val="both"/>
        <w:rPr>
          <w:rFonts w:ascii="Arial" w:hAnsi="Arial" w:cs="Arial"/>
          <w:sz w:val="24"/>
          <w:szCs w:val="24"/>
        </w:rPr>
      </w:pPr>
      <w:r>
        <w:rPr>
          <w:rFonts w:ascii="Arial" w:hAnsi="Arial" w:cs="Arial"/>
          <w:sz w:val="24"/>
          <w:szCs w:val="24"/>
        </w:rPr>
        <w:t xml:space="preserve">      </w:t>
      </w:r>
      <w:r w:rsidR="00C24F8F">
        <w:rPr>
          <w:rFonts w:ascii="Arial" w:hAnsi="Arial" w:cs="Arial"/>
          <w:sz w:val="24"/>
          <w:szCs w:val="24"/>
        </w:rPr>
        <w:t>Road, Kloof</w:t>
      </w:r>
    </w:p>
    <w:p w14:paraId="0556618C" w14:textId="000B87E2" w:rsidR="00CD4376" w:rsidRDefault="00CD4376" w:rsidP="00CD4376">
      <w:pPr>
        <w:ind w:left="2160" w:hanging="2160"/>
        <w:jc w:val="both"/>
        <w:rPr>
          <w:rFonts w:ascii="Arial" w:hAnsi="Arial" w:cs="Arial"/>
          <w:sz w:val="24"/>
          <w:szCs w:val="24"/>
        </w:rPr>
      </w:pPr>
      <w:r>
        <w:rPr>
          <w:rFonts w:ascii="Arial" w:hAnsi="Arial" w:cs="Arial"/>
          <w:sz w:val="24"/>
          <w:szCs w:val="24"/>
        </w:rPr>
        <w:tab/>
        <w:t xml:space="preserve">Email:   </w:t>
      </w:r>
      <w:hyperlink r:id="rId9" w:history="1">
        <w:r w:rsidR="00C24F8F" w:rsidRPr="004E534B">
          <w:rPr>
            <w:rStyle w:val="Hyperlink"/>
            <w:rFonts w:ascii="Arial" w:hAnsi="Arial" w:cs="Arial"/>
            <w:sz w:val="24"/>
            <w:szCs w:val="24"/>
          </w:rPr>
          <w:t>cox@alexandercox.co.za</w:t>
        </w:r>
      </w:hyperlink>
      <w:r w:rsidR="00C24F8F">
        <w:rPr>
          <w:rFonts w:ascii="Arial" w:hAnsi="Arial" w:cs="Arial"/>
          <w:sz w:val="24"/>
          <w:szCs w:val="24"/>
        </w:rPr>
        <w:t xml:space="preserve"> </w:t>
      </w:r>
    </w:p>
    <w:p w14:paraId="2997C1D2" w14:textId="77777777" w:rsidR="00CD4376" w:rsidRDefault="00CD4376" w:rsidP="002B4053">
      <w:pPr>
        <w:ind w:left="2160" w:hanging="2160"/>
        <w:jc w:val="both"/>
        <w:rPr>
          <w:rFonts w:ascii="Arial" w:hAnsi="Arial" w:cs="Arial"/>
          <w:sz w:val="24"/>
          <w:szCs w:val="24"/>
        </w:rPr>
      </w:pPr>
    </w:p>
    <w:p w14:paraId="50892298" w14:textId="439A7539" w:rsidR="002B4053" w:rsidRDefault="002B4053" w:rsidP="002B4053">
      <w:pPr>
        <w:spacing w:line="480" w:lineRule="auto"/>
        <w:ind w:left="2160" w:hanging="2160"/>
        <w:jc w:val="both"/>
        <w:rPr>
          <w:rFonts w:ascii="Arial" w:hAnsi="Arial" w:cs="Arial"/>
          <w:sz w:val="24"/>
          <w:szCs w:val="24"/>
        </w:rPr>
      </w:pPr>
    </w:p>
    <w:p w14:paraId="178FD55D" w14:textId="77777777" w:rsidR="00CD4376" w:rsidRDefault="00CD4376" w:rsidP="002B4053">
      <w:pPr>
        <w:spacing w:line="480" w:lineRule="auto"/>
        <w:ind w:left="2160" w:hanging="2160"/>
        <w:jc w:val="both"/>
        <w:rPr>
          <w:rFonts w:ascii="Arial" w:hAnsi="Arial" w:cs="Arial"/>
          <w:sz w:val="24"/>
          <w:szCs w:val="24"/>
        </w:rPr>
      </w:pPr>
    </w:p>
    <w:sectPr w:rsidR="00CD4376" w:rsidSect="007A5101">
      <w:headerReference w:type="even" r:id="rId10"/>
      <w:headerReference w:type="default" r:id="rId11"/>
      <w:footerReference w:type="even" r:id="rId12"/>
      <w:footerReference w:type="default" r:id="rId13"/>
      <w:headerReference w:type="first" r:id="rId14"/>
      <w:footerReference w:type="first" r:id="rId15"/>
      <w:pgSz w:w="12240" w:h="15840"/>
      <w:pgMar w:top="720" w:right="1872" w:bottom="1440" w:left="1872" w:header="706" w:footer="7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33A" w16cex:dateUtc="2022-04-05T17:55:00Z"/>
  <w16cex:commentExtensible w16cex:durableId="25F7E33B" w16cex:dateUtc="2022-04-05T17:55:00Z"/>
  <w16cex:commentExtensible w16cex:durableId="25F7E33D" w16cex:dateUtc="2022-04-05T17:55:00Z"/>
  <w16cex:commentExtensible w16cex:durableId="25F7E33E" w16cex:dateUtc="2022-04-05T17:59:00Z"/>
  <w16cex:commentExtensible w16cex:durableId="25F7E341" w16cex:dateUtc="2022-04-05T18:16:00Z"/>
  <w16cex:commentExtensible w16cex:durableId="25F7E343" w16cex:dateUtc="2022-04-05T18:26:00Z"/>
  <w16cex:commentExtensible w16cex:durableId="25F7E344" w16cex:dateUtc="2022-04-0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008B7D" w16cid:durableId="25F7E33A"/>
  <w16cid:commentId w16cid:paraId="4B4DCDEB" w16cid:durableId="25F7E33B"/>
  <w16cid:commentId w16cid:paraId="02E19022" w16cid:durableId="25F7E33C"/>
  <w16cid:commentId w16cid:paraId="22632113" w16cid:durableId="25F7E33D"/>
  <w16cid:commentId w16cid:paraId="0F9DF5AE" w16cid:durableId="25F7E33E"/>
  <w16cid:commentId w16cid:paraId="39E6CD3B" w16cid:durableId="25F7E33F"/>
  <w16cid:commentId w16cid:paraId="0DCFD10C" w16cid:durableId="25F7E341"/>
  <w16cid:commentId w16cid:paraId="789366D6" w16cid:durableId="25F7E342"/>
  <w16cid:commentId w16cid:paraId="49DD29C3" w16cid:durableId="25F7E343"/>
  <w16cid:commentId w16cid:paraId="2EBAA479" w16cid:durableId="25F7E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3EED4" w14:textId="77777777" w:rsidR="00673A1E" w:rsidRDefault="00673A1E">
      <w:r>
        <w:separator/>
      </w:r>
    </w:p>
  </w:endnote>
  <w:endnote w:type="continuationSeparator" w:id="0">
    <w:p w14:paraId="738A8A21" w14:textId="77777777" w:rsidR="00673A1E" w:rsidRDefault="0067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28B9" w14:textId="77777777" w:rsidR="00397467" w:rsidRDefault="00397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2731"/>
      <w:docPartObj>
        <w:docPartGallery w:val="Page Numbers (Bottom of Page)"/>
        <w:docPartUnique/>
      </w:docPartObj>
    </w:sdtPr>
    <w:sdtEndPr>
      <w:rPr>
        <w:noProof/>
      </w:rPr>
    </w:sdtEndPr>
    <w:sdtContent>
      <w:p w14:paraId="15570230" w14:textId="1AB81299" w:rsidR="00397467" w:rsidRDefault="00397467">
        <w:pPr>
          <w:pStyle w:val="Footer"/>
          <w:jc w:val="center"/>
        </w:pPr>
        <w:r>
          <w:fldChar w:fldCharType="begin"/>
        </w:r>
        <w:r>
          <w:instrText xml:space="preserve"> PAGE   \* MERGEFORMAT </w:instrText>
        </w:r>
        <w:r>
          <w:fldChar w:fldCharType="separate"/>
        </w:r>
        <w:r w:rsidR="009A56C7">
          <w:rPr>
            <w:noProof/>
          </w:rPr>
          <w:t>1</w:t>
        </w:r>
        <w:r>
          <w:rPr>
            <w:noProof/>
          </w:rPr>
          <w:fldChar w:fldCharType="end"/>
        </w:r>
      </w:p>
    </w:sdtContent>
  </w:sdt>
  <w:p w14:paraId="4E0F5E7A" w14:textId="6FF5E885" w:rsidR="00397467" w:rsidRDefault="0039746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64C" w14:textId="77777777" w:rsidR="00397467" w:rsidRDefault="00397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A3190" w14:textId="77777777" w:rsidR="00673A1E" w:rsidRDefault="00673A1E">
      <w:r>
        <w:separator/>
      </w:r>
    </w:p>
  </w:footnote>
  <w:footnote w:type="continuationSeparator" w:id="0">
    <w:p w14:paraId="59EA0C6C" w14:textId="77777777" w:rsidR="00673A1E" w:rsidRDefault="00673A1E">
      <w:r>
        <w:continuationSeparator/>
      </w:r>
    </w:p>
  </w:footnote>
  <w:footnote w:id="1">
    <w:p w14:paraId="1B8CB811" w14:textId="3C57BEE8" w:rsidR="00397467" w:rsidRPr="00860EFF" w:rsidRDefault="00397467" w:rsidP="00860EFF">
      <w:pPr>
        <w:pStyle w:val="FootnoteText"/>
        <w:spacing w:line="240" w:lineRule="auto"/>
        <w:rPr>
          <w:lang w:val="en-US"/>
        </w:rPr>
      </w:pPr>
      <w:r>
        <w:rPr>
          <w:rStyle w:val="FootnoteReference"/>
        </w:rPr>
        <w:footnoteRef/>
      </w:r>
      <w:r>
        <w:t xml:space="preserve"> </w:t>
      </w:r>
      <w:r>
        <w:rPr>
          <w:lang w:val="en-US"/>
        </w:rPr>
        <w:t xml:space="preserve">Section 19(2) of the </w:t>
      </w:r>
      <w:r w:rsidR="00EC6D93">
        <w:rPr>
          <w:lang w:val="en-US"/>
        </w:rPr>
        <w:t xml:space="preserve">Companies </w:t>
      </w:r>
      <w:r>
        <w:rPr>
          <w:lang w:val="en-US"/>
        </w:rPr>
        <w:t>Act</w:t>
      </w:r>
      <w:r w:rsidR="00EC6D93">
        <w:rPr>
          <w:lang w:val="en-US"/>
        </w:rPr>
        <w:t xml:space="preserve"> 21 of 2008</w:t>
      </w:r>
    </w:p>
  </w:footnote>
  <w:footnote w:id="2">
    <w:p w14:paraId="3247A780" w14:textId="77777777" w:rsidR="00397467" w:rsidRPr="00EC6D93" w:rsidRDefault="00397467" w:rsidP="00860EFF">
      <w:pPr>
        <w:pStyle w:val="FootnoteText"/>
        <w:spacing w:line="240" w:lineRule="auto"/>
        <w:rPr>
          <w:lang w:val="en-US"/>
        </w:rPr>
      </w:pPr>
      <w:r>
        <w:rPr>
          <w:rStyle w:val="FootnoteReference"/>
        </w:rPr>
        <w:footnoteRef/>
      </w:r>
      <w:r>
        <w:t xml:space="preserve"> </w:t>
      </w:r>
      <w:r w:rsidRPr="00EC6D93">
        <w:rPr>
          <w:lang w:val="en-US"/>
        </w:rPr>
        <w:t xml:space="preserve">Hlumisa Investment Holdings RF Limited and Another v Kirkinis and Others 2020 (5) SA </w:t>
      </w:r>
    </w:p>
    <w:p w14:paraId="4DCBACC5" w14:textId="7E1C137E" w:rsidR="00397467" w:rsidRPr="00860EFF" w:rsidRDefault="00397467" w:rsidP="00860EFF">
      <w:pPr>
        <w:pStyle w:val="FootnoteText"/>
        <w:spacing w:line="240" w:lineRule="auto"/>
        <w:rPr>
          <w:b/>
          <w:lang w:val="en-US"/>
        </w:rPr>
      </w:pPr>
      <w:r w:rsidRPr="00EC6D93">
        <w:rPr>
          <w:lang w:val="en-US"/>
        </w:rPr>
        <w:t>419 (SCA) at paragraph 42</w:t>
      </w:r>
    </w:p>
  </w:footnote>
  <w:footnote w:id="3">
    <w:p w14:paraId="5681F921" w14:textId="302DABC2" w:rsidR="0011557A" w:rsidRPr="005E4291" w:rsidRDefault="0011557A" w:rsidP="003A5C5E">
      <w:pPr>
        <w:pStyle w:val="FootnoteText"/>
        <w:spacing w:line="240" w:lineRule="auto"/>
        <w:rPr>
          <w:lang w:val="en-US"/>
        </w:rPr>
      </w:pPr>
      <w:r>
        <w:rPr>
          <w:rStyle w:val="FootnoteReference"/>
        </w:rPr>
        <w:footnoteRef/>
      </w:r>
      <w:r>
        <w:t xml:space="preserve"> </w:t>
      </w:r>
      <w:r w:rsidR="007261CA" w:rsidRPr="005E4291">
        <w:rPr>
          <w:lang w:val="en-US"/>
        </w:rPr>
        <w:t>2017 (2) SA 337 at paragraph 20</w:t>
      </w:r>
    </w:p>
  </w:footnote>
  <w:footnote w:id="4">
    <w:p w14:paraId="6308C02A" w14:textId="38D07124" w:rsidR="002C6D77" w:rsidRPr="005E4291" w:rsidRDefault="002C6D77" w:rsidP="003A5C5E">
      <w:pPr>
        <w:pStyle w:val="FootnoteText"/>
        <w:spacing w:line="240" w:lineRule="auto"/>
        <w:rPr>
          <w:lang w:val="en-US"/>
        </w:rPr>
      </w:pPr>
      <w:r w:rsidRPr="005E4291">
        <w:rPr>
          <w:rStyle w:val="FootnoteReference"/>
        </w:rPr>
        <w:footnoteRef/>
      </w:r>
      <w:r w:rsidRPr="005E4291">
        <w:t xml:space="preserve"> </w:t>
      </w:r>
      <w:r w:rsidRPr="005E4291">
        <w:rPr>
          <w:lang w:val="en-US"/>
        </w:rPr>
        <w:t>2017 JDR 1473 (LP)</w:t>
      </w:r>
      <w:r w:rsidR="003A5C5E" w:rsidRPr="005E4291">
        <w:rPr>
          <w:lang w:val="en-US"/>
        </w:rPr>
        <w:t xml:space="preserve"> at paragraph 30</w:t>
      </w:r>
    </w:p>
  </w:footnote>
  <w:footnote w:id="5">
    <w:p w14:paraId="1C984736" w14:textId="32954818" w:rsidR="00900499" w:rsidRPr="005E4291" w:rsidRDefault="00900499" w:rsidP="001F49D1">
      <w:pPr>
        <w:pStyle w:val="FootnoteText"/>
        <w:spacing w:line="240" w:lineRule="auto"/>
        <w:rPr>
          <w:lang w:val="en-US"/>
        </w:rPr>
      </w:pPr>
      <w:r w:rsidRPr="005E4291">
        <w:rPr>
          <w:rStyle w:val="FootnoteReference"/>
        </w:rPr>
        <w:footnoteRef/>
      </w:r>
      <w:r w:rsidRPr="005E4291">
        <w:t xml:space="preserve"> </w:t>
      </w:r>
      <w:r w:rsidRPr="005E4291">
        <w:rPr>
          <w:lang w:val="en-US"/>
        </w:rPr>
        <w:t xml:space="preserve">2013 (5) SA 315 (GSJ) </w:t>
      </w:r>
    </w:p>
  </w:footnote>
  <w:footnote w:id="6">
    <w:p w14:paraId="00DEA53C" w14:textId="7BC7C4A4" w:rsidR="001F49D1" w:rsidRPr="005E4291" w:rsidRDefault="001F49D1" w:rsidP="001F49D1">
      <w:pPr>
        <w:pStyle w:val="FootnoteText"/>
        <w:spacing w:line="240" w:lineRule="auto"/>
        <w:rPr>
          <w:lang w:val="en-US"/>
        </w:rPr>
      </w:pPr>
      <w:r w:rsidRPr="005E4291">
        <w:rPr>
          <w:rStyle w:val="FootnoteReference"/>
        </w:rPr>
        <w:footnoteRef/>
      </w:r>
      <w:r w:rsidRPr="005E4291">
        <w:t xml:space="preserve"> </w:t>
      </w:r>
      <w:r w:rsidRPr="005E4291">
        <w:rPr>
          <w:lang w:val="en-US"/>
        </w:rPr>
        <w:t>Chemfit Fine Chemicals (Pty) Limited v Maake</w:t>
      </w:r>
      <w:r w:rsidR="00536738">
        <w:rPr>
          <w:lang w:val="en-US"/>
        </w:rPr>
        <w:t xml:space="preserve"> 2017 JDR 1473 (LP) at paragraph 35</w:t>
      </w:r>
    </w:p>
  </w:footnote>
  <w:footnote w:id="7">
    <w:p w14:paraId="123BE74A" w14:textId="12BF1B67" w:rsidR="00A3545A" w:rsidRPr="00A3545A" w:rsidRDefault="00A3545A">
      <w:pPr>
        <w:pStyle w:val="FootnoteText"/>
        <w:rPr>
          <w:b/>
          <w:lang w:val="en-US"/>
        </w:rPr>
      </w:pPr>
      <w:r w:rsidRPr="005E4291">
        <w:rPr>
          <w:rStyle w:val="FootnoteReference"/>
        </w:rPr>
        <w:footnoteRef/>
      </w:r>
      <w:r w:rsidRPr="005E4291">
        <w:t xml:space="preserve"> </w:t>
      </w:r>
      <w:r w:rsidRPr="005E4291">
        <w:rPr>
          <w:lang w:val="en-US"/>
        </w:rPr>
        <w:t>2022 (1) SA 442 (GJ)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59A3" w14:textId="77777777" w:rsidR="00397467" w:rsidRDefault="00397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CA8C" w14:textId="77777777" w:rsidR="00397467" w:rsidRDefault="00397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097B" w14:textId="77777777" w:rsidR="00397467" w:rsidRDefault="0039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B78"/>
    <w:multiLevelType w:val="hybridMultilevel"/>
    <w:tmpl w:val="4F862A3A"/>
    <w:lvl w:ilvl="0" w:tplc="0CD6DB0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D7F61F1"/>
    <w:multiLevelType w:val="hybridMultilevel"/>
    <w:tmpl w:val="C7CC614A"/>
    <w:lvl w:ilvl="0" w:tplc="A216B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621C9A"/>
    <w:multiLevelType w:val="hybridMultilevel"/>
    <w:tmpl w:val="5C689DF0"/>
    <w:lvl w:ilvl="0" w:tplc="CD1673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2DD0A4E"/>
    <w:multiLevelType w:val="hybridMultilevel"/>
    <w:tmpl w:val="65A03776"/>
    <w:lvl w:ilvl="0" w:tplc="608446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511079A"/>
    <w:multiLevelType w:val="hybridMultilevel"/>
    <w:tmpl w:val="68C4C29C"/>
    <w:lvl w:ilvl="0" w:tplc="77A686D6">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5">
    <w:nsid w:val="43012DDA"/>
    <w:multiLevelType w:val="hybridMultilevel"/>
    <w:tmpl w:val="A27CE27A"/>
    <w:lvl w:ilvl="0" w:tplc="F7DA07EA">
      <w:start w:val="1"/>
      <w:numFmt w:val="lowerLetter"/>
      <w:lvlText w:val="(%1)"/>
      <w:lvlJc w:val="left"/>
      <w:pPr>
        <w:tabs>
          <w:tab w:val="num" w:pos="3240"/>
        </w:tabs>
        <w:ind w:left="3240" w:hanging="360"/>
      </w:pPr>
      <w:rPr>
        <w:rFonts w:ascii="Arial" w:eastAsia="Times New Roman" w:hAnsi="Arial" w:cs="Arial"/>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6">
    <w:nsid w:val="4DCE2843"/>
    <w:multiLevelType w:val="multilevel"/>
    <w:tmpl w:val="04F20B92"/>
    <w:numStyleLink w:val="ImportedStyle1"/>
  </w:abstractNum>
  <w:abstractNum w:abstractNumId="7">
    <w:nsid w:val="74FF3CCE"/>
    <w:multiLevelType w:val="hybridMultilevel"/>
    <w:tmpl w:val="0352B4B2"/>
    <w:lvl w:ilvl="0" w:tplc="29AE6A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77E719F0"/>
    <w:multiLevelType w:val="multilevel"/>
    <w:tmpl w:val="04F20B92"/>
    <w:styleLink w:val="ImportedStyle1"/>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52"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2552"/>
        </w:tabs>
        <w:ind w:left="3969" w:hanging="14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552"/>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55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552"/>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55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552"/>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6"/>
  </w:num>
  <w:num w:numId="3">
    <w:abstractNumId w:val="5"/>
  </w:num>
  <w:num w:numId="4">
    <w:abstractNumId w:val="4"/>
  </w:num>
  <w:num w:numId="5">
    <w:abstractNumId w:val="2"/>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A"/>
    <w:rsid w:val="00000A3A"/>
    <w:rsid w:val="000014EA"/>
    <w:rsid w:val="00004FAD"/>
    <w:rsid w:val="00005860"/>
    <w:rsid w:val="00010D2B"/>
    <w:rsid w:val="00012B51"/>
    <w:rsid w:val="00017CEF"/>
    <w:rsid w:val="00021188"/>
    <w:rsid w:val="00023AF8"/>
    <w:rsid w:val="00025A6C"/>
    <w:rsid w:val="000266DB"/>
    <w:rsid w:val="000412E8"/>
    <w:rsid w:val="00055CE8"/>
    <w:rsid w:val="0005757D"/>
    <w:rsid w:val="00065BAC"/>
    <w:rsid w:val="0007403D"/>
    <w:rsid w:val="00074168"/>
    <w:rsid w:val="00075F4D"/>
    <w:rsid w:val="0007602B"/>
    <w:rsid w:val="000766BF"/>
    <w:rsid w:val="00077760"/>
    <w:rsid w:val="000804A1"/>
    <w:rsid w:val="00081A8E"/>
    <w:rsid w:val="00082DC0"/>
    <w:rsid w:val="00083C2C"/>
    <w:rsid w:val="00084744"/>
    <w:rsid w:val="0008541A"/>
    <w:rsid w:val="00086579"/>
    <w:rsid w:val="00092551"/>
    <w:rsid w:val="00092B12"/>
    <w:rsid w:val="00092E6E"/>
    <w:rsid w:val="000A25D5"/>
    <w:rsid w:val="000B239F"/>
    <w:rsid w:val="000B5E0D"/>
    <w:rsid w:val="000C23A5"/>
    <w:rsid w:val="000C4AF0"/>
    <w:rsid w:val="000C5BD4"/>
    <w:rsid w:val="000D11FD"/>
    <w:rsid w:val="000D7655"/>
    <w:rsid w:val="000E0009"/>
    <w:rsid w:val="000E5DD4"/>
    <w:rsid w:val="000E75E1"/>
    <w:rsid w:val="000F5DD3"/>
    <w:rsid w:val="000F7063"/>
    <w:rsid w:val="000F7E26"/>
    <w:rsid w:val="00111703"/>
    <w:rsid w:val="0011557A"/>
    <w:rsid w:val="001177CC"/>
    <w:rsid w:val="001178A5"/>
    <w:rsid w:val="00121D07"/>
    <w:rsid w:val="0012313D"/>
    <w:rsid w:val="00125E8C"/>
    <w:rsid w:val="00126113"/>
    <w:rsid w:val="00136739"/>
    <w:rsid w:val="00147E66"/>
    <w:rsid w:val="0015255E"/>
    <w:rsid w:val="00155913"/>
    <w:rsid w:val="00161749"/>
    <w:rsid w:val="00162199"/>
    <w:rsid w:val="00162488"/>
    <w:rsid w:val="00164D06"/>
    <w:rsid w:val="00166C33"/>
    <w:rsid w:val="00177742"/>
    <w:rsid w:val="0019074A"/>
    <w:rsid w:val="001913DD"/>
    <w:rsid w:val="00191879"/>
    <w:rsid w:val="00193AF0"/>
    <w:rsid w:val="00195FD7"/>
    <w:rsid w:val="001A4803"/>
    <w:rsid w:val="001B1D6D"/>
    <w:rsid w:val="001C2D31"/>
    <w:rsid w:val="001C4C67"/>
    <w:rsid w:val="001C596E"/>
    <w:rsid w:val="001C631C"/>
    <w:rsid w:val="001D590F"/>
    <w:rsid w:val="001D6472"/>
    <w:rsid w:val="001E0676"/>
    <w:rsid w:val="001E6C92"/>
    <w:rsid w:val="001F49D1"/>
    <w:rsid w:val="00200359"/>
    <w:rsid w:val="00200607"/>
    <w:rsid w:val="0020098A"/>
    <w:rsid w:val="002129D6"/>
    <w:rsid w:val="00214678"/>
    <w:rsid w:val="00214B9E"/>
    <w:rsid w:val="00235370"/>
    <w:rsid w:val="00240275"/>
    <w:rsid w:val="00243379"/>
    <w:rsid w:val="002472F5"/>
    <w:rsid w:val="00251A0A"/>
    <w:rsid w:val="00251FC9"/>
    <w:rsid w:val="002531E9"/>
    <w:rsid w:val="002704E6"/>
    <w:rsid w:val="002770B8"/>
    <w:rsid w:val="00281A54"/>
    <w:rsid w:val="00290BF2"/>
    <w:rsid w:val="002A090C"/>
    <w:rsid w:val="002A7063"/>
    <w:rsid w:val="002A75F8"/>
    <w:rsid w:val="002B4053"/>
    <w:rsid w:val="002B6C4D"/>
    <w:rsid w:val="002C0E8E"/>
    <w:rsid w:val="002C6D77"/>
    <w:rsid w:val="002D1AEC"/>
    <w:rsid w:val="002D5BDB"/>
    <w:rsid w:val="002D6008"/>
    <w:rsid w:val="002E399A"/>
    <w:rsid w:val="002F13F3"/>
    <w:rsid w:val="002F423C"/>
    <w:rsid w:val="00302C0F"/>
    <w:rsid w:val="0030748B"/>
    <w:rsid w:val="003135D2"/>
    <w:rsid w:val="00315103"/>
    <w:rsid w:val="00317D0B"/>
    <w:rsid w:val="00343F8E"/>
    <w:rsid w:val="003466AF"/>
    <w:rsid w:val="003534CC"/>
    <w:rsid w:val="003538F5"/>
    <w:rsid w:val="00353DD5"/>
    <w:rsid w:val="003571BA"/>
    <w:rsid w:val="00362BBA"/>
    <w:rsid w:val="00362CB7"/>
    <w:rsid w:val="00373935"/>
    <w:rsid w:val="00380AA7"/>
    <w:rsid w:val="003826C7"/>
    <w:rsid w:val="003872E1"/>
    <w:rsid w:val="00391D93"/>
    <w:rsid w:val="00396B14"/>
    <w:rsid w:val="00397467"/>
    <w:rsid w:val="003974B8"/>
    <w:rsid w:val="00397507"/>
    <w:rsid w:val="003A5C5E"/>
    <w:rsid w:val="003B3EF8"/>
    <w:rsid w:val="003B6C38"/>
    <w:rsid w:val="003B7830"/>
    <w:rsid w:val="003C28F6"/>
    <w:rsid w:val="003C6B40"/>
    <w:rsid w:val="003D0293"/>
    <w:rsid w:val="003D31A8"/>
    <w:rsid w:val="003D3824"/>
    <w:rsid w:val="003E76D5"/>
    <w:rsid w:val="003F602F"/>
    <w:rsid w:val="003F652E"/>
    <w:rsid w:val="00405BA1"/>
    <w:rsid w:val="0041606A"/>
    <w:rsid w:val="004167BD"/>
    <w:rsid w:val="00434366"/>
    <w:rsid w:val="00436531"/>
    <w:rsid w:val="004406E6"/>
    <w:rsid w:val="004419BC"/>
    <w:rsid w:val="004422F2"/>
    <w:rsid w:val="0044508F"/>
    <w:rsid w:val="004461A0"/>
    <w:rsid w:val="00447BAA"/>
    <w:rsid w:val="00454E81"/>
    <w:rsid w:val="00456F55"/>
    <w:rsid w:val="0045729A"/>
    <w:rsid w:val="00461A8F"/>
    <w:rsid w:val="0046400A"/>
    <w:rsid w:val="00465178"/>
    <w:rsid w:val="00465BC2"/>
    <w:rsid w:val="00466541"/>
    <w:rsid w:val="00467FDD"/>
    <w:rsid w:val="00471831"/>
    <w:rsid w:val="00472AA8"/>
    <w:rsid w:val="00481172"/>
    <w:rsid w:val="0048308F"/>
    <w:rsid w:val="00483550"/>
    <w:rsid w:val="00486409"/>
    <w:rsid w:val="00491B7D"/>
    <w:rsid w:val="004A53FC"/>
    <w:rsid w:val="004B39F4"/>
    <w:rsid w:val="004B453A"/>
    <w:rsid w:val="004C506C"/>
    <w:rsid w:val="004C66C6"/>
    <w:rsid w:val="004D1C22"/>
    <w:rsid w:val="004E4F1D"/>
    <w:rsid w:val="004E506C"/>
    <w:rsid w:val="004F0F1A"/>
    <w:rsid w:val="004F7156"/>
    <w:rsid w:val="004F74F9"/>
    <w:rsid w:val="005000B9"/>
    <w:rsid w:val="005057E1"/>
    <w:rsid w:val="00507563"/>
    <w:rsid w:val="0052200B"/>
    <w:rsid w:val="005223C4"/>
    <w:rsid w:val="00523291"/>
    <w:rsid w:val="00523D29"/>
    <w:rsid w:val="00524FF8"/>
    <w:rsid w:val="00525BE6"/>
    <w:rsid w:val="005346DC"/>
    <w:rsid w:val="00536738"/>
    <w:rsid w:val="00546D61"/>
    <w:rsid w:val="00554532"/>
    <w:rsid w:val="0056772E"/>
    <w:rsid w:val="00573BF5"/>
    <w:rsid w:val="0057446B"/>
    <w:rsid w:val="0058043B"/>
    <w:rsid w:val="005837BB"/>
    <w:rsid w:val="00590938"/>
    <w:rsid w:val="005915C1"/>
    <w:rsid w:val="005962F3"/>
    <w:rsid w:val="005A2312"/>
    <w:rsid w:val="005A6305"/>
    <w:rsid w:val="005A73F4"/>
    <w:rsid w:val="005B1511"/>
    <w:rsid w:val="005B1C23"/>
    <w:rsid w:val="005B4F47"/>
    <w:rsid w:val="005B5247"/>
    <w:rsid w:val="005B6C5C"/>
    <w:rsid w:val="005B7251"/>
    <w:rsid w:val="005C1E38"/>
    <w:rsid w:val="005C680F"/>
    <w:rsid w:val="005D0677"/>
    <w:rsid w:val="005D3D47"/>
    <w:rsid w:val="005E4291"/>
    <w:rsid w:val="005E4B82"/>
    <w:rsid w:val="005E5624"/>
    <w:rsid w:val="005E6F5F"/>
    <w:rsid w:val="005F16B5"/>
    <w:rsid w:val="005F4D43"/>
    <w:rsid w:val="005F70E1"/>
    <w:rsid w:val="0060009F"/>
    <w:rsid w:val="00602EE8"/>
    <w:rsid w:val="0060516F"/>
    <w:rsid w:val="00605C66"/>
    <w:rsid w:val="006070EC"/>
    <w:rsid w:val="006106BB"/>
    <w:rsid w:val="00613F02"/>
    <w:rsid w:val="0061522D"/>
    <w:rsid w:val="00616767"/>
    <w:rsid w:val="0063175B"/>
    <w:rsid w:val="00634775"/>
    <w:rsid w:val="006355F1"/>
    <w:rsid w:val="00644F68"/>
    <w:rsid w:val="00652E38"/>
    <w:rsid w:val="00653760"/>
    <w:rsid w:val="00654EE6"/>
    <w:rsid w:val="00665F1E"/>
    <w:rsid w:val="00673A1E"/>
    <w:rsid w:val="00674A0D"/>
    <w:rsid w:val="00674F04"/>
    <w:rsid w:val="0067545D"/>
    <w:rsid w:val="00684922"/>
    <w:rsid w:val="0069372B"/>
    <w:rsid w:val="00695D9D"/>
    <w:rsid w:val="006A0063"/>
    <w:rsid w:val="006B0B4F"/>
    <w:rsid w:val="006B4276"/>
    <w:rsid w:val="006C0068"/>
    <w:rsid w:val="006C1E0E"/>
    <w:rsid w:val="006C77A2"/>
    <w:rsid w:val="006E01CF"/>
    <w:rsid w:val="006F22D2"/>
    <w:rsid w:val="006F24E2"/>
    <w:rsid w:val="006F71F6"/>
    <w:rsid w:val="006F7DFA"/>
    <w:rsid w:val="006F7E8D"/>
    <w:rsid w:val="00700FF8"/>
    <w:rsid w:val="00715564"/>
    <w:rsid w:val="00723617"/>
    <w:rsid w:val="007261CA"/>
    <w:rsid w:val="00727D54"/>
    <w:rsid w:val="007304C6"/>
    <w:rsid w:val="00731388"/>
    <w:rsid w:val="00731B51"/>
    <w:rsid w:val="00735495"/>
    <w:rsid w:val="00743196"/>
    <w:rsid w:val="00745817"/>
    <w:rsid w:val="00750EC3"/>
    <w:rsid w:val="00753398"/>
    <w:rsid w:val="00753E0E"/>
    <w:rsid w:val="00762773"/>
    <w:rsid w:val="0076627A"/>
    <w:rsid w:val="00776156"/>
    <w:rsid w:val="00776F09"/>
    <w:rsid w:val="00777780"/>
    <w:rsid w:val="00782022"/>
    <w:rsid w:val="00785076"/>
    <w:rsid w:val="0078685F"/>
    <w:rsid w:val="007905EA"/>
    <w:rsid w:val="007938BB"/>
    <w:rsid w:val="007A5101"/>
    <w:rsid w:val="007A78FE"/>
    <w:rsid w:val="007B069A"/>
    <w:rsid w:val="007B094C"/>
    <w:rsid w:val="007B0D13"/>
    <w:rsid w:val="007B1E3B"/>
    <w:rsid w:val="007B79D0"/>
    <w:rsid w:val="007C0616"/>
    <w:rsid w:val="007C2659"/>
    <w:rsid w:val="007C5472"/>
    <w:rsid w:val="007E329A"/>
    <w:rsid w:val="007F1705"/>
    <w:rsid w:val="008056F9"/>
    <w:rsid w:val="00805DCE"/>
    <w:rsid w:val="00810056"/>
    <w:rsid w:val="00810DFF"/>
    <w:rsid w:val="00812BBC"/>
    <w:rsid w:val="00814B96"/>
    <w:rsid w:val="00814F6E"/>
    <w:rsid w:val="00821574"/>
    <w:rsid w:val="00823A4B"/>
    <w:rsid w:val="00826FB5"/>
    <w:rsid w:val="00837BED"/>
    <w:rsid w:val="00842119"/>
    <w:rsid w:val="008507D5"/>
    <w:rsid w:val="00857BB4"/>
    <w:rsid w:val="00860EFF"/>
    <w:rsid w:val="00865FF6"/>
    <w:rsid w:val="0087212A"/>
    <w:rsid w:val="00874300"/>
    <w:rsid w:val="00880693"/>
    <w:rsid w:val="00885FAE"/>
    <w:rsid w:val="00886033"/>
    <w:rsid w:val="00887095"/>
    <w:rsid w:val="00891768"/>
    <w:rsid w:val="00891A65"/>
    <w:rsid w:val="00892E1F"/>
    <w:rsid w:val="008A1D21"/>
    <w:rsid w:val="008A3132"/>
    <w:rsid w:val="008C22AA"/>
    <w:rsid w:val="008C2D81"/>
    <w:rsid w:val="008C7041"/>
    <w:rsid w:val="008D0FE9"/>
    <w:rsid w:val="008D31AE"/>
    <w:rsid w:val="008E78A9"/>
    <w:rsid w:val="008F0120"/>
    <w:rsid w:val="008F1CD8"/>
    <w:rsid w:val="00900499"/>
    <w:rsid w:val="00901575"/>
    <w:rsid w:val="009033A3"/>
    <w:rsid w:val="009060DD"/>
    <w:rsid w:val="0091318B"/>
    <w:rsid w:val="00914360"/>
    <w:rsid w:val="0091535A"/>
    <w:rsid w:val="009346F8"/>
    <w:rsid w:val="00942CF7"/>
    <w:rsid w:val="00946124"/>
    <w:rsid w:val="009546ED"/>
    <w:rsid w:val="00954D35"/>
    <w:rsid w:val="0096159F"/>
    <w:rsid w:val="0096621F"/>
    <w:rsid w:val="00972FF4"/>
    <w:rsid w:val="00981741"/>
    <w:rsid w:val="00981857"/>
    <w:rsid w:val="00982A77"/>
    <w:rsid w:val="0098581F"/>
    <w:rsid w:val="00991DC4"/>
    <w:rsid w:val="00995C3E"/>
    <w:rsid w:val="00997DDC"/>
    <w:rsid w:val="009A2842"/>
    <w:rsid w:val="009A2CF1"/>
    <w:rsid w:val="009A2E36"/>
    <w:rsid w:val="009A56C7"/>
    <w:rsid w:val="009B05FA"/>
    <w:rsid w:val="009B2384"/>
    <w:rsid w:val="009B33EB"/>
    <w:rsid w:val="009B5A57"/>
    <w:rsid w:val="009B5D95"/>
    <w:rsid w:val="009C47A5"/>
    <w:rsid w:val="009C6FF6"/>
    <w:rsid w:val="009D2A95"/>
    <w:rsid w:val="009F3B4D"/>
    <w:rsid w:val="009F6273"/>
    <w:rsid w:val="009F71B1"/>
    <w:rsid w:val="00A01794"/>
    <w:rsid w:val="00A01871"/>
    <w:rsid w:val="00A05436"/>
    <w:rsid w:val="00A062E3"/>
    <w:rsid w:val="00A20122"/>
    <w:rsid w:val="00A22313"/>
    <w:rsid w:val="00A224D3"/>
    <w:rsid w:val="00A32726"/>
    <w:rsid w:val="00A331C1"/>
    <w:rsid w:val="00A33931"/>
    <w:rsid w:val="00A351C0"/>
    <w:rsid w:val="00A3545A"/>
    <w:rsid w:val="00A42BCE"/>
    <w:rsid w:val="00A507E7"/>
    <w:rsid w:val="00A53E3E"/>
    <w:rsid w:val="00A66E4B"/>
    <w:rsid w:val="00A6703E"/>
    <w:rsid w:val="00A74731"/>
    <w:rsid w:val="00A77548"/>
    <w:rsid w:val="00A82F2D"/>
    <w:rsid w:val="00AA5895"/>
    <w:rsid w:val="00AA5A5D"/>
    <w:rsid w:val="00AA67BD"/>
    <w:rsid w:val="00AA73ED"/>
    <w:rsid w:val="00AB019D"/>
    <w:rsid w:val="00AB54A0"/>
    <w:rsid w:val="00AC7A61"/>
    <w:rsid w:val="00AD1985"/>
    <w:rsid w:val="00AD2E7D"/>
    <w:rsid w:val="00AD54B3"/>
    <w:rsid w:val="00AD6A1C"/>
    <w:rsid w:val="00AE18AE"/>
    <w:rsid w:val="00AF2363"/>
    <w:rsid w:val="00AF5F22"/>
    <w:rsid w:val="00B00531"/>
    <w:rsid w:val="00B06ED6"/>
    <w:rsid w:val="00B06FA2"/>
    <w:rsid w:val="00B2319A"/>
    <w:rsid w:val="00B2442E"/>
    <w:rsid w:val="00B3165B"/>
    <w:rsid w:val="00B328F7"/>
    <w:rsid w:val="00B32E1E"/>
    <w:rsid w:val="00B459C3"/>
    <w:rsid w:val="00B4645C"/>
    <w:rsid w:val="00B46A94"/>
    <w:rsid w:val="00B46BCF"/>
    <w:rsid w:val="00B47520"/>
    <w:rsid w:val="00B544E9"/>
    <w:rsid w:val="00B56BFC"/>
    <w:rsid w:val="00B612D1"/>
    <w:rsid w:val="00B71236"/>
    <w:rsid w:val="00B71471"/>
    <w:rsid w:val="00B74E90"/>
    <w:rsid w:val="00B8351F"/>
    <w:rsid w:val="00B869CC"/>
    <w:rsid w:val="00B87A21"/>
    <w:rsid w:val="00B87A78"/>
    <w:rsid w:val="00B96616"/>
    <w:rsid w:val="00B97727"/>
    <w:rsid w:val="00BA2938"/>
    <w:rsid w:val="00BB4EEF"/>
    <w:rsid w:val="00BB657A"/>
    <w:rsid w:val="00BC0097"/>
    <w:rsid w:val="00BC3153"/>
    <w:rsid w:val="00BC6FF4"/>
    <w:rsid w:val="00BC7211"/>
    <w:rsid w:val="00BD2200"/>
    <w:rsid w:val="00BD7B64"/>
    <w:rsid w:val="00BE36D7"/>
    <w:rsid w:val="00BE5012"/>
    <w:rsid w:val="00C046B5"/>
    <w:rsid w:val="00C13BC1"/>
    <w:rsid w:val="00C159F4"/>
    <w:rsid w:val="00C20738"/>
    <w:rsid w:val="00C24F8F"/>
    <w:rsid w:val="00C31C5F"/>
    <w:rsid w:val="00C3374B"/>
    <w:rsid w:val="00C36A23"/>
    <w:rsid w:val="00C419CF"/>
    <w:rsid w:val="00C43244"/>
    <w:rsid w:val="00C5163B"/>
    <w:rsid w:val="00C630BE"/>
    <w:rsid w:val="00C6552D"/>
    <w:rsid w:val="00C9213C"/>
    <w:rsid w:val="00CA121A"/>
    <w:rsid w:val="00CA5282"/>
    <w:rsid w:val="00CB6FF3"/>
    <w:rsid w:val="00CB7716"/>
    <w:rsid w:val="00CC2F34"/>
    <w:rsid w:val="00CC4D92"/>
    <w:rsid w:val="00CD0150"/>
    <w:rsid w:val="00CD099A"/>
    <w:rsid w:val="00CD1A82"/>
    <w:rsid w:val="00CD4376"/>
    <w:rsid w:val="00CE1447"/>
    <w:rsid w:val="00CF02BF"/>
    <w:rsid w:val="00CF1235"/>
    <w:rsid w:val="00D01412"/>
    <w:rsid w:val="00D20F34"/>
    <w:rsid w:val="00D2185C"/>
    <w:rsid w:val="00D22D79"/>
    <w:rsid w:val="00D22E5C"/>
    <w:rsid w:val="00D23696"/>
    <w:rsid w:val="00D247F5"/>
    <w:rsid w:val="00D3033E"/>
    <w:rsid w:val="00D432A5"/>
    <w:rsid w:val="00D44AAE"/>
    <w:rsid w:val="00D457F9"/>
    <w:rsid w:val="00D4655A"/>
    <w:rsid w:val="00D56A95"/>
    <w:rsid w:val="00D67986"/>
    <w:rsid w:val="00D75C90"/>
    <w:rsid w:val="00D77ACB"/>
    <w:rsid w:val="00D851B8"/>
    <w:rsid w:val="00D87AE9"/>
    <w:rsid w:val="00D96535"/>
    <w:rsid w:val="00D96B64"/>
    <w:rsid w:val="00DA3719"/>
    <w:rsid w:val="00DB127D"/>
    <w:rsid w:val="00DC0056"/>
    <w:rsid w:val="00DC3516"/>
    <w:rsid w:val="00DD027E"/>
    <w:rsid w:val="00DD0EDE"/>
    <w:rsid w:val="00DD146E"/>
    <w:rsid w:val="00DD3067"/>
    <w:rsid w:val="00DD4E6E"/>
    <w:rsid w:val="00DD589F"/>
    <w:rsid w:val="00DD7589"/>
    <w:rsid w:val="00DE2671"/>
    <w:rsid w:val="00DE3E29"/>
    <w:rsid w:val="00DF32E8"/>
    <w:rsid w:val="00E12357"/>
    <w:rsid w:val="00E15676"/>
    <w:rsid w:val="00E15B0E"/>
    <w:rsid w:val="00E21C47"/>
    <w:rsid w:val="00E26B46"/>
    <w:rsid w:val="00E277DF"/>
    <w:rsid w:val="00E307E7"/>
    <w:rsid w:val="00E33B02"/>
    <w:rsid w:val="00E365D4"/>
    <w:rsid w:val="00E534D1"/>
    <w:rsid w:val="00E628FE"/>
    <w:rsid w:val="00E63819"/>
    <w:rsid w:val="00E81434"/>
    <w:rsid w:val="00E9015E"/>
    <w:rsid w:val="00E97A00"/>
    <w:rsid w:val="00EB3106"/>
    <w:rsid w:val="00EB5790"/>
    <w:rsid w:val="00EC6D93"/>
    <w:rsid w:val="00ED0E61"/>
    <w:rsid w:val="00EE2341"/>
    <w:rsid w:val="00EE5041"/>
    <w:rsid w:val="00EE57BE"/>
    <w:rsid w:val="00EE623D"/>
    <w:rsid w:val="00EF1327"/>
    <w:rsid w:val="00EF47BC"/>
    <w:rsid w:val="00F036BC"/>
    <w:rsid w:val="00F0615B"/>
    <w:rsid w:val="00F10DD5"/>
    <w:rsid w:val="00F138AF"/>
    <w:rsid w:val="00F13A07"/>
    <w:rsid w:val="00F14FAC"/>
    <w:rsid w:val="00F17318"/>
    <w:rsid w:val="00F207FE"/>
    <w:rsid w:val="00F22C35"/>
    <w:rsid w:val="00F250DD"/>
    <w:rsid w:val="00F33DC8"/>
    <w:rsid w:val="00F35FBA"/>
    <w:rsid w:val="00F3752B"/>
    <w:rsid w:val="00F434ED"/>
    <w:rsid w:val="00F528A1"/>
    <w:rsid w:val="00F54916"/>
    <w:rsid w:val="00F67C10"/>
    <w:rsid w:val="00F71E8B"/>
    <w:rsid w:val="00F757AD"/>
    <w:rsid w:val="00F83FCB"/>
    <w:rsid w:val="00F847F3"/>
    <w:rsid w:val="00F848C4"/>
    <w:rsid w:val="00F878B9"/>
    <w:rsid w:val="00F9223F"/>
    <w:rsid w:val="00F97161"/>
    <w:rsid w:val="00FA6092"/>
    <w:rsid w:val="00FB7BF1"/>
    <w:rsid w:val="00FD3DAB"/>
    <w:rsid w:val="00FD48DE"/>
    <w:rsid w:val="00FE26E1"/>
    <w:rsid w:val="00FE4684"/>
    <w:rsid w:val="00FE77B6"/>
    <w:rsid w:val="00FF0D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CA5B"/>
  <w15:docId w15:val="{4020B850-2869-064C-9D8B-54EA39AD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u w:color="000000"/>
      <w:lang w:val="en-US"/>
      <w14:textOutline w14:w="0" w14:cap="flat" w14:cmpd="sng" w14:algn="ctr">
        <w14:noFill/>
        <w14:prstDash w14:val="solid"/>
        <w14:bevel/>
      </w14:textOutline>
    </w:rPr>
  </w:style>
  <w:style w:type="paragraph" w:styleId="Heading4">
    <w:name w:val="heading 4"/>
    <w:next w:val="Normal"/>
    <w:link w:val="Heading4Char"/>
    <w:uiPriority w:val="9"/>
    <w:unhideWhenUsed/>
    <w:qFormat/>
    <w:pPr>
      <w:keepNext/>
      <w:spacing w:line="360" w:lineRule="auto"/>
      <w:jc w:val="right"/>
      <w:outlineLvl w:val="3"/>
    </w:pPr>
    <w:rPr>
      <w:rFonts w:ascii="Arial" w:eastAsia="Arial" w:hAnsi="Arial" w:cs="Arial"/>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numbering" w:customStyle="1" w:styleId="ImportedStyle1">
    <w:name w:val="Imported Style 1"/>
    <w:pPr>
      <w:numPr>
        <w:numId w:val="1"/>
      </w:numPr>
    </w:pPr>
  </w:style>
  <w:style w:type="paragraph" w:styleId="ListParagraph">
    <w:name w:val="List Paragraph"/>
    <w:qFormat/>
    <w:pPr>
      <w:ind w:left="720"/>
    </w:pPr>
    <w:rPr>
      <w:rFonts w:eastAsia="Times New Roman"/>
      <w:color w:val="000000"/>
      <w:sz w:val="24"/>
      <w:szCs w:val="24"/>
      <w:u w:color="000000"/>
      <w:lang w:val="en-US"/>
    </w:rPr>
  </w:style>
  <w:style w:type="paragraph" w:customStyle="1" w:styleId="Default">
    <w:name w:val="Default"/>
    <w:pPr>
      <w:spacing w:before="160" w:line="288" w:lineRule="auto"/>
    </w:pPr>
    <w:rPr>
      <w:rFonts w:ascii="Arial" w:eastAsia="Arial" w:hAnsi="Arial" w:cs="Arial"/>
      <w:color w:val="000000"/>
      <w:sz w:val="26"/>
      <w:szCs w:val="26"/>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b/>
      <w:bCs/>
      <w:i/>
      <w:iCs/>
      <w:outline w:val="0"/>
      <w:color w:val="0000FF"/>
      <w:u w:val="single" w:color="0000FF"/>
    </w:rPr>
  </w:style>
  <w:style w:type="paragraph" w:customStyle="1" w:styleId="Body">
    <w:name w:val="Body"/>
    <w:rPr>
      <w:rFonts w:ascii="Arial" w:eastAsia="Arial" w:hAnsi="Arial" w:cs="Arial"/>
      <w:color w:val="000000"/>
      <w:sz w:val="24"/>
      <w:szCs w:val="24"/>
      <w:u w:color="000000"/>
      <w:lang w:val="en-US"/>
    </w:rPr>
  </w:style>
  <w:style w:type="paragraph" w:styleId="BodyText">
    <w:name w:val="Body Text"/>
    <w:pPr>
      <w:spacing w:line="480" w:lineRule="auto"/>
      <w:jc w:val="both"/>
    </w:pPr>
    <w:rPr>
      <w:rFonts w:ascii="Arial" w:hAnsi="Arial" w:cs="Arial Unicode MS"/>
      <w:color w:val="000000"/>
      <w:sz w:val="24"/>
      <w:szCs w:val="24"/>
      <w:u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7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2E"/>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FootnoteText">
    <w:name w:val="footnote text"/>
    <w:basedOn w:val="Normal"/>
    <w:link w:val="FootnoteTextChar"/>
    <w:rsid w:val="00DB12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480" w:lineRule="auto"/>
      <w:ind w:left="1440" w:hanging="1440"/>
      <w:jc w:val="both"/>
    </w:pPr>
    <w:rPr>
      <w:rFonts w:ascii="Arial" w:eastAsia="Times New Roman" w:hAnsi="Arial" w:cs="Arial"/>
      <w:color w:val="auto"/>
      <w:bdr w:val="none" w:sz="0" w:space="0" w:color="auto"/>
      <w:lang w:val="en-ZA"/>
      <w14:textOutline w14:w="0" w14:cap="rnd" w14:cmpd="sng" w14:algn="ctr">
        <w14:noFill/>
        <w14:prstDash w14:val="solid"/>
        <w14:bevel/>
      </w14:textOutline>
    </w:rPr>
  </w:style>
  <w:style w:type="character" w:customStyle="1" w:styleId="FootnoteTextChar">
    <w:name w:val="Footnote Text Char"/>
    <w:basedOn w:val="DefaultParagraphFont"/>
    <w:link w:val="FootnoteText"/>
    <w:rsid w:val="00DB127D"/>
    <w:rPr>
      <w:rFonts w:ascii="Arial" w:eastAsia="Times New Roman" w:hAnsi="Arial" w:cs="Arial"/>
      <w:bdr w:val="none" w:sz="0" w:space="0" w:color="auto"/>
    </w:rPr>
  </w:style>
  <w:style w:type="character" w:styleId="FootnoteReference">
    <w:name w:val="footnote reference"/>
    <w:rsid w:val="00B71236"/>
    <w:rPr>
      <w:vertAlign w:val="superscript"/>
    </w:rPr>
  </w:style>
  <w:style w:type="paragraph" w:styleId="Header">
    <w:name w:val="header"/>
    <w:basedOn w:val="Normal"/>
    <w:link w:val="HeaderChar"/>
    <w:uiPriority w:val="99"/>
    <w:unhideWhenUsed/>
    <w:rsid w:val="00E277DF"/>
    <w:pPr>
      <w:tabs>
        <w:tab w:val="center" w:pos="4680"/>
        <w:tab w:val="right" w:pos="9360"/>
      </w:tabs>
    </w:pPr>
  </w:style>
  <w:style w:type="character" w:customStyle="1" w:styleId="HeaderChar">
    <w:name w:val="Header Char"/>
    <w:basedOn w:val="DefaultParagraphFont"/>
    <w:link w:val="Header"/>
    <w:uiPriority w:val="99"/>
    <w:rsid w:val="00E277DF"/>
    <w:rPr>
      <w:rFonts w:cs="Arial Unicode MS"/>
      <w:color w:val="000000"/>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E277DF"/>
    <w:rPr>
      <w:rFonts w:cs="Arial Unicode MS"/>
      <w:color w:val="000000"/>
      <w:u w:color="000000"/>
      <w:lang w:val="en-US"/>
    </w:rPr>
  </w:style>
  <w:style w:type="character" w:customStyle="1" w:styleId="Heading4Char">
    <w:name w:val="Heading 4 Char"/>
    <w:basedOn w:val="DefaultParagraphFont"/>
    <w:link w:val="Heading4"/>
    <w:uiPriority w:val="9"/>
    <w:rsid w:val="000B239F"/>
    <w:rPr>
      <w:rFonts w:ascii="Arial" w:eastAsia="Arial" w:hAnsi="Arial" w:cs="Arial"/>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esattorneys@mweb.co.za"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ox@alexandercox.co.za"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6A1C-CBD0-4418-8AF3-26DA2126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ADVOCATES GROUP 1301</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anrit</dc:creator>
  <cp:lastModifiedBy>Mokone</cp:lastModifiedBy>
  <cp:revision>2</cp:revision>
  <cp:lastPrinted>2023-01-12T09:19:00Z</cp:lastPrinted>
  <dcterms:created xsi:type="dcterms:W3CDTF">2023-10-05T08:40:00Z</dcterms:created>
  <dcterms:modified xsi:type="dcterms:W3CDTF">2023-10-05T08:40:00Z</dcterms:modified>
</cp:coreProperties>
</file>