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1EB16" w14:textId="66689786" w:rsidR="006E43B5" w:rsidRPr="006E43B5" w:rsidRDefault="006E43B5" w:rsidP="006E43B5">
      <w:pPr>
        <w:widowControl w:val="0"/>
        <w:autoSpaceDE w:val="0"/>
        <w:autoSpaceDN w:val="0"/>
        <w:adjustRightInd w:val="0"/>
        <w:spacing w:before="569" w:after="0" w:line="240" w:lineRule="auto"/>
        <w:ind w:right="1729"/>
        <w:rPr>
          <w:rFonts w:ascii="Arial" w:eastAsia="Times New Roman" w:hAnsi="Arial" w:cs="Arial"/>
          <w:color w:val="FF0000"/>
          <w:sz w:val="26"/>
          <w:szCs w:val="26"/>
          <w:lang w:val="en-US"/>
        </w:rPr>
      </w:pPr>
      <w:r w:rsidRPr="006E43B5">
        <w:rPr>
          <w:rFonts w:ascii="Arial" w:eastAsia="Times New Roman" w:hAnsi="Arial" w:cs="Arial"/>
          <w:color w:val="FF0000"/>
          <w:sz w:val="26"/>
          <w:szCs w:val="26"/>
          <w:lang w:val="en-US"/>
        </w:rPr>
        <w:t>Editorial note: Certain information has been redacted from thi</w:t>
      </w:r>
      <w:r>
        <w:rPr>
          <w:rFonts w:ascii="Arial" w:eastAsia="Times New Roman" w:hAnsi="Arial" w:cs="Arial"/>
          <w:color w:val="FF0000"/>
          <w:sz w:val="26"/>
          <w:szCs w:val="26"/>
          <w:lang w:val="en-US"/>
        </w:rPr>
        <w:t xml:space="preserve">s </w:t>
      </w:r>
      <w:r w:rsidRPr="006E43B5">
        <w:rPr>
          <w:rFonts w:ascii="Arial" w:eastAsia="Times New Roman" w:hAnsi="Arial" w:cs="Arial"/>
          <w:color w:val="FF0000"/>
          <w:sz w:val="26"/>
          <w:szCs w:val="26"/>
          <w:lang w:val="en-US"/>
        </w:rPr>
        <w:t>judgment in compliance with the law.</w:t>
      </w:r>
    </w:p>
    <w:p w14:paraId="5FA46D13" w14:textId="3DA3041F" w:rsidR="00097EE8" w:rsidRDefault="00097EE8" w:rsidP="00704D26">
      <w:pPr>
        <w:spacing w:line="360" w:lineRule="auto"/>
        <w:jc w:val="center"/>
        <w:rPr>
          <w:rFonts w:cstheme="minorHAnsi"/>
          <w:b/>
          <w:sz w:val="24"/>
          <w:szCs w:val="24"/>
          <w:lang w:val="en-US"/>
        </w:rPr>
      </w:pPr>
      <w:r>
        <w:rPr>
          <w:noProof/>
          <w:lang w:val="en-US"/>
        </w:rPr>
        <w:drawing>
          <wp:anchor distT="0" distB="0" distL="114300" distR="114300" simplePos="0" relativeHeight="251658240" behindDoc="1" locked="0" layoutInCell="1" allowOverlap="1" wp14:anchorId="487E17AA" wp14:editId="285EA934">
            <wp:simplePos x="0" y="0"/>
            <wp:positionH relativeFrom="margin">
              <wp:align>center</wp:align>
            </wp:positionH>
            <wp:positionV relativeFrom="paragraph">
              <wp:posOffset>10160</wp:posOffset>
            </wp:positionV>
            <wp:extent cx="1275715" cy="1085850"/>
            <wp:effectExtent l="0" t="0" r="635" b="0"/>
            <wp:wrapTight wrapText="bothSides">
              <wp:wrapPolygon edited="0">
                <wp:start x="0" y="0"/>
                <wp:lineTo x="0" y="21221"/>
                <wp:lineTo x="21288" y="2122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715" cy="1085850"/>
                    </a:xfrm>
                    <a:prstGeom prst="rect">
                      <a:avLst/>
                    </a:prstGeom>
                    <a:noFill/>
                  </pic:spPr>
                </pic:pic>
              </a:graphicData>
            </a:graphic>
            <wp14:sizeRelH relativeFrom="margin">
              <wp14:pctWidth>0</wp14:pctWidth>
            </wp14:sizeRelH>
            <wp14:sizeRelV relativeFrom="margin">
              <wp14:pctHeight>0</wp14:pctHeight>
            </wp14:sizeRelV>
          </wp:anchor>
        </w:drawing>
      </w:r>
    </w:p>
    <w:p w14:paraId="41F967FD" w14:textId="77777777" w:rsidR="00097EE8" w:rsidRDefault="00097EE8" w:rsidP="00704D26">
      <w:pPr>
        <w:spacing w:line="360" w:lineRule="auto"/>
        <w:ind w:left="1440" w:firstLine="720"/>
        <w:jc w:val="center"/>
        <w:rPr>
          <w:rFonts w:cstheme="minorHAnsi"/>
          <w:b/>
          <w:sz w:val="24"/>
          <w:szCs w:val="24"/>
        </w:rPr>
      </w:pPr>
    </w:p>
    <w:p w14:paraId="181738F1" w14:textId="77777777" w:rsidR="00097EE8" w:rsidRDefault="00097EE8" w:rsidP="00704D26">
      <w:pPr>
        <w:spacing w:line="360" w:lineRule="auto"/>
        <w:ind w:left="1440" w:firstLine="720"/>
        <w:jc w:val="center"/>
        <w:rPr>
          <w:rFonts w:cstheme="minorHAnsi"/>
          <w:b/>
          <w:sz w:val="24"/>
          <w:szCs w:val="24"/>
        </w:rPr>
      </w:pPr>
    </w:p>
    <w:p w14:paraId="4DF03BD5" w14:textId="77777777" w:rsidR="00097EE8" w:rsidRDefault="00097EE8" w:rsidP="00704D26">
      <w:pPr>
        <w:spacing w:line="360" w:lineRule="auto"/>
        <w:jc w:val="center"/>
        <w:rPr>
          <w:rFonts w:ascii="Arial" w:hAnsi="Arial" w:cs="Arial"/>
          <w:b/>
          <w:sz w:val="24"/>
          <w:szCs w:val="24"/>
        </w:rPr>
      </w:pPr>
      <w:r>
        <w:rPr>
          <w:rFonts w:ascii="Arial" w:hAnsi="Arial" w:cs="Arial"/>
          <w:b/>
          <w:sz w:val="24"/>
          <w:szCs w:val="24"/>
        </w:rPr>
        <w:t>IN THE HIGH COURT OF SOUTH AFRICA</w:t>
      </w:r>
    </w:p>
    <w:p w14:paraId="143442C2" w14:textId="77777777" w:rsidR="00097EE8" w:rsidRDefault="00097EE8" w:rsidP="00704D26">
      <w:pPr>
        <w:spacing w:line="360" w:lineRule="auto"/>
        <w:jc w:val="center"/>
        <w:rPr>
          <w:rFonts w:ascii="Arial" w:hAnsi="Arial" w:cs="Arial"/>
          <w:b/>
          <w:sz w:val="24"/>
          <w:szCs w:val="24"/>
        </w:rPr>
      </w:pPr>
      <w:r>
        <w:rPr>
          <w:rFonts w:ascii="Arial" w:hAnsi="Arial" w:cs="Arial"/>
          <w:b/>
          <w:sz w:val="24"/>
          <w:szCs w:val="24"/>
        </w:rPr>
        <w:t>KWAZULU-NATAL LOCAL DIVISION, DURBAN</w:t>
      </w:r>
    </w:p>
    <w:p w14:paraId="33F1C0ED" w14:textId="77777777" w:rsidR="00097EE8" w:rsidRDefault="00097EE8" w:rsidP="00097EE8">
      <w:pPr>
        <w:spacing w:line="360" w:lineRule="auto"/>
        <w:ind w:left="5040" w:firstLine="720"/>
        <w:jc w:val="both"/>
        <w:rPr>
          <w:rFonts w:ascii="Arial" w:hAnsi="Arial" w:cs="Arial"/>
          <w:b/>
          <w:sz w:val="24"/>
          <w:szCs w:val="24"/>
          <w:lang w:val="en-US"/>
        </w:rPr>
      </w:pPr>
      <w:r>
        <w:rPr>
          <w:rFonts w:ascii="Arial" w:hAnsi="Arial" w:cs="Arial"/>
          <w:b/>
          <w:sz w:val="24"/>
          <w:szCs w:val="24"/>
          <w:lang w:val="en-US"/>
        </w:rPr>
        <w:t xml:space="preserve">           CASE NO: D3187/2022</w:t>
      </w:r>
    </w:p>
    <w:p w14:paraId="5C8323A1" w14:textId="77777777" w:rsidR="00097EE8" w:rsidRDefault="00097EE8" w:rsidP="00097EE8">
      <w:pPr>
        <w:spacing w:line="360" w:lineRule="auto"/>
        <w:jc w:val="both"/>
        <w:rPr>
          <w:rFonts w:ascii="Arial" w:hAnsi="Arial" w:cs="Arial"/>
          <w:sz w:val="24"/>
          <w:szCs w:val="24"/>
          <w:lang w:val="en-US"/>
        </w:rPr>
      </w:pPr>
      <w:r>
        <w:rPr>
          <w:rFonts w:ascii="Arial" w:hAnsi="Arial" w:cs="Arial"/>
          <w:sz w:val="24"/>
          <w:szCs w:val="24"/>
          <w:lang w:val="en-US"/>
        </w:rPr>
        <w:t>In the matter between:</w:t>
      </w:r>
    </w:p>
    <w:p w14:paraId="2DFAC808" w14:textId="77777777" w:rsidR="00097EE8" w:rsidRDefault="00097EE8" w:rsidP="00097EE8">
      <w:pPr>
        <w:spacing w:line="360" w:lineRule="auto"/>
        <w:jc w:val="both"/>
        <w:rPr>
          <w:rFonts w:ascii="Arial" w:hAnsi="Arial" w:cs="Arial"/>
          <w:b/>
          <w:sz w:val="24"/>
          <w:szCs w:val="24"/>
          <w:lang w:val="en-US"/>
        </w:rPr>
      </w:pPr>
      <w:r>
        <w:rPr>
          <w:rFonts w:ascii="Arial" w:hAnsi="Arial" w:cs="Arial"/>
          <w:b/>
          <w:sz w:val="24"/>
          <w:szCs w:val="24"/>
          <w:lang w:val="en-US"/>
        </w:rPr>
        <w:t>AMB</w:t>
      </w:r>
      <w:r w:rsidR="009502FB">
        <w:rPr>
          <w:rFonts w:ascii="Arial" w:hAnsi="Arial" w:cs="Arial"/>
          <w:b/>
          <w:sz w:val="24"/>
          <w:szCs w:val="24"/>
          <w:lang w:val="en-US"/>
        </w:rPr>
        <w:t>A</w:t>
      </w:r>
      <w:r>
        <w:rPr>
          <w:rFonts w:ascii="Arial" w:hAnsi="Arial" w:cs="Arial"/>
          <w:b/>
          <w:sz w:val="24"/>
          <w:szCs w:val="24"/>
          <w:lang w:val="en-US"/>
        </w:rPr>
        <w:t xml:space="preserve"> CHETTY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APPLICANT</w:t>
      </w:r>
    </w:p>
    <w:p w14:paraId="08D8AE01" w14:textId="5332447B" w:rsidR="009502FB" w:rsidRDefault="009502FB" w:rsidP="00097EE8">
      <w:pPr>
        <w:spacing w:line="360" w:lineRule="auto"/>
        <w:jc w:val="both"/>
        <w:rPr>
          <w:rFonts w:ascii="Arial" w:hAnsi="Arial" w:cs="Arial"/>
          <w:b/>
          <w:sz w:val="24"/>
          <w:szCs w:val="24"/>
          <w:lang w:val="en-US"/>
        </w:rPr>
      </w:pPr>
      <w:r>
        <w:rPr>
          <w:rFonts w:ascii="Arial" w:hAnsi="Arial" w:cs="Arial"/>
          <w:b/>
          <w:sz w:val="24"/>
          <w:szCs w:val="24"/>
          <w:lang w:val="en-US"/>
        </w:rPr>
        <w:t xml:space="preserve">(Identity no: </w:t>
      </w:r>
      <w:r w:rsidR="008A6491">
        <w:rPr>
          <w:rFonts w:ascii="Arial" w:hAnsi="Arial" w:cs="Arial"/>
          <w:b/>
          <w:sz w:val="24"/>
          <w:szCs w:val="24"/>
          <w:lang w:val="en-US"/>
        </w:rPr>
        <w:t>[…]</w:t>
      </w:r>
      <w:r>
        <w:rPr>
          <w:rFonts w:ascii="Arial" w:hAnsi="Arial" w:cs="Arial"/>
          <w:b/>
          <w:sz w:val="24"/>
          <w:szCs w:val="24"/>
          <w:lang w:val="en-US"/>
        </w:rPr>
        <w:t>)</w:t>
      </w:r>
    </w:p>
    <w:p w14:paraId="7B9820B2" w14:textId="77777777" w:rsidR="00097EE8" w:rsidRDefault="00097EE8" w:rsidP="00097EE8">
      <w:pPr>
        <w:spacing w:line="360" w:lineRule="auto"/>
        <w:jc w:val="both"/>
        <w:rPr>
          <w:rFonts w:ascii="Arial" w:hAnsi="Arial" w:cs="Arial"/>
          <w:sz w:val="24"/>
          <w:szCs w:val="24"/>
          <w:lang w:val="en-US"/>
        </w:rPr>
      </w:pPr>
      <w:r>
        <w:rPr>
          <w:rFonts w:ascii="Arial" w:hAnsi="Arial" w:cs="Arial"/>
          <w:sz w:val="24"/>
          <w:szCs w:val="24"/>
          <w:lang w:val="en-US"/>
        </w:rPr>
        <w:t>and</w:t>
      </w:r>
    </w:p>
    <w:p w14:paraId="162B3FAF" w14:textId="77777777" w:rsidR="00097EE8" w:rsidRDefault="00097EE8" w:rsidP="00097EE8">
      <w:pPr>
        <w:spacing w:line="360" w:lineRule="auto"/>
        <w:jc w:val="both"/>
        <w:rPr>
          <w:rFonts w:ascii="Arial" w:hAnsi="Arial" w:cs="Arial"/>
          <w:b/>
          <w:sz w:val="24"/>
          <w:szCs w:val="24"/>
          <w:lang w:val="en-US"/>
        </w:rPr>
      </w:pPr>
      <w:r>
        <w:rPr>
          <w:rFonts w:ascii="Arial" w:hAnsi="Arial" w:cs="Arial"/>
          <w:b/>
          <w:sz w:val="24"/>
          <w:szCs w:val="24"/>
          <w:lang w:val="en-US"/>
        </w:rPr>
        <w:t>MINAXI TRUESHANE GIHWALA</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FIRST</w:t>
      </w:r>
      <w:r>
        <w:rPr>
          <w:rFonts w:ascii="Arial" w:hAnsi="Arial" w:cs="Arial"/>
          <w:sz w:val="24"/>
          <w:szCs w:val="24"/>
          <w:lang w:val="en-US"/>
        </w:rPr>
        <w:t xml:space="preserve"> </w:t>
      </w:r>
      <w:r>
        <w:rPr>
          <w:rFonts w:ascii="Arial" w:hAnsi="Arial" w:cs="Arial"/>
          <w:b/>
          <w:sz w:val="24"/>
          <w:szCs w:val="24"/>
          <w:lang w:val="en-US"/>
        </w:rPr>
        <w:t>RESPONDENT</w:t>
      </w:r>
    </w:p>
    <w:p w14:paraId="1436C929" w14:textId="7F8C15CA" w:rsidR="009502FB" w:rsidRDefault="009502FB" w:rsidP="00097EE8">
      <w:pPr>
        <w:spacing w:line="360" w:lineRule="auto"/>
        <w:jc w:val="both"/>
        <w:rPr>
          <w:rFonts w:ascii="Arial" w:hAnsi="Arial" w:cs="Arial"/>
          <w:b/>
          <w:sz w:val="24"/>
          <w:szCs w:val="24"/>
          <w:lang w:val="en-US"/>
        </w:rPr>
      </w:pPr>
      <w:r>
        <w:rPr>
          <w:rFonts w:ascii="Arial" w:hAnsi="Arial" w:cs="Arial"/>
          <w:b/>
          <w:sz w:val="24"/>
          <w:szCs w:val="24"/>
          <w:lang w:val="en-US"/>
        </w:rPr>
        <w:t>(Identity no:</w:t>
      </w:r>
      <w:r w:rsidR="008A6491">
        <w:rPr>
          <w:rFonts w:ascii="Arial" w:hAnsi="Arial" w:cs="Arial"/>
          <w:b/>
          <w:sz w:val="24"/>
          <w:szCs w:val="24"/>
          <w:lang w:val="en-US"/>
        </w:rPr>
        <w:t xml:space="preserve"> […]</w:t>
      </w:r>
      <w:r>
        <w:rPr>
          <w:rFonts w:ascii="Arial" w:hAnsi="Arial" w:cs="Arial"/>
          <w:b/>
          <w:sz w:val="24"/>
          <w:szCs w:val="24"/>
          <w:lang w:val="en-US"/>
        </w:rPr>
        <w:t>)</w:t>
      </w:r>
    </w:p>
    <w:p w14:paraId="14CFE04C" w14:textId="77777777" w:rsidR="00097EE8" w:rsidRDefault="00097EE8" w:rsidP="00097EE8">
      <w:pPr>
        <w:spacing w:line="360" w:lineRule="auto"/>
        <w:jc w:val="both"/>
        <w:rPr>
          <w:rFonts w:ascii="Arial" w:hAnsi="Arial" w:cs="Arial"/>
          <w:b/>
          <w:sz w:val="24"/>
          <w:szCs w:val="24"/>
          <w:lang w:val="en-US"/>
        </w:rPr>
      </w:pPr>
      <w:r>
        <w:rPr>
          <w:rFonts w:ascii="Arial" w:hAnsi="Arial" w:cs="Arial"/>
          <w:b/>
          <w:sz w:val="24"/>
          <w:szCs w:val="24"/>
          <w:lang w:val="en-US"/>
        </w:rPr>
        <w:t>MINAMB PROPERTIES CC</w:t>
      </w:r>
      <w:r>
        <w:rPr>
          <w:rFonts w:ascii="Arial" w:hAnsi="Arial" w:cs="Arial"/>
          <w:b/>
          <w:sz w:val="24"/>
          <w:szCs w:val="24"/>
          <w:lang w:val="en-US"/>
        </w:rPr>
        <w:tab/>
        <w:t xml:space="preserve"> </w:t>
      </w:r>
      <w:r>
        <w:rPr>
          <w:rFonts w:ascii="Arial" w:hAnsi="Arial" w:cs="Arial"/>
          <w:b/>
          <w:sz w:val="24"/>
          <w:szCs w:val="24"/>
          <w:lang w:val="en-US"/>
        </w:rPr>
        <w:tab/>
        <w:t xml:space="preserve">          </w:t>
      </w:r>
      <w:r>
        <w:rPr>
          <w:rFonts w:ascii="Arial" w:hAnsi="Arial" w:cs="Arial"/>
          <w:b/>
          <w:sz w:val="24"/>
          <w:szCs w:val="24"/>
          <w:lang w:val="en-US"/>
        </w:rPr>
        <w:tab/>
        <w:t xml:space="preserve">                  SECOND RESPONDENT</w:t>
      </w:r>
    </w:p>
    <w:p w14:paraId="05DC7225" w14:textId="3D11CC61" w:rsidR="00097EE8" w:rsidRDefault="00097EE8" w:rsidP="00097EE8">
      <w:pPr>
        <w:spacing w:line="360" w:lineRule="auto"/>
        <w:jc w:val="both"/>
        <w:rPr>
          <w:rFonts w:ascii="Arial" w:hAnsi="Arial" w:cs="Arial"/>
          <w:b/>
          <w:sz w:val="24"/>
          <w:szCs w:val="24"/>
          <w:lang w:val="en-US"/>
        </w:rPr>
      </w:pPr>
      <w:r>
        <w:rPr>
          <w:rFonts w:ascii="Arial" w:hAnsi="Arial" w:cs="Arial"/>
          <w:b/>
          <w:sz w:val="24"/>
          <w:szCs w:val="24"/>
          <w:lang w:val="en-US"/>
        </w:rPr>
        <w:t xml:space="preserve">(Registration number: </w:t>
      </w:r>
      <w:r w:rsidR="008A6491">
        <w:rPr>
          <w:rFonts w:ascii="Arial" w:hAnsi="Arial" w:cs="Arial"/>
          <w:b/>
          <w:sz w:val="24"/>
          <w:szCs w:val="24"/>
          <w:lang w:val="en-US"/>
        </w:rPr>
        <w:t>[…]</w:t>
      </w:r>
      <w:r>
        <w:rPr>
          <w:rFonts w:ascii="Arial" w:hAnsi="Arial" w:cs="Arial"/>
          <w:b/>
          <w:sz w:val="24"/>
          <w:szCs w:val="24"/>
          <w:lang w:val="en-US"/>
        </w:rPr>
        <w:t>)</w:t>
      </w:r>
    </w:p>
    <w:p w14:paraId="7513A132" w14:textId="77777777" w:rsidR="00097EE8" w:rsidRDefault="00097EE8" w:rsidP="00097EE8">
      <w:pPr>
        <w:spacing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14:paraId="0D1BFE5E" w14:textId="77777777" w:rsidR="00097EE8" w:rsidRDefault="00097EE8" w:rsidP="00097EE8">
      <w:pPr>
        <w:spacing w:line="360" w:lineRule="auto"/>
        <w:jc w:val="center"/>
        <w:rPr>
          <w:rFonts w:ascii="Arial" w:hAnsi="Arial" w:cs="Arial"/>
          <w:b/>
          <w:sz w:val="24"/>
          <w:szCs w:val="24"/>
        </w:rPr>
      </w:pPr>
      <w:r>
        <w:rPr>
          <w:rFonts w:ascii="Arial" w:hAnsi="Arial" w:cs="Arial"/>
          <w:b/>
          <w:sz w:val="24"/>
          <w:szCs w:val="24"/>
        </w:rPr>
        <w:t>ORDER</w:t>
      </w:r>
    </w:p>
    <w:p w14:paraId="05FA11BA" w14:textId="77777777" w:rsidR="00097EE8" w:rsidRDefault="00097EE8" w:rsidP="00097EE8">
      <w:pPr>
        <w:spacing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14:paraId="6586BB2C" w14:textId="77777777" w:rsidR="005010C0" w:rsidRPr="00704D26" w:rsidRDefault="00097EE8" w:rsidP="00704D26">
      <w:pPr>
        <w:spacing w:line="360" w:lineRule="auto"/>
        <w:jc w:val="both"/>
        <w:rPr>
          <w:rFonts w:ascii="Arial" w:hAnsi="Arial" w:cs="Arial"/>
          <w:b/>
          <w:sz w:val="24"/>
          <w:szCs w:val="24"/>
        </w:rPr>
      </w:pPr>
      <w:r>
        <w:rPr>
          <w:rFonts w:ascii="Arial" w:hAnsi="Arial" w:cs="Arial"/>
          <w:b/>
          <w:sz w:val="24"/>
          <w:szCs w:val="24"/>
        </w:rPr>
        <w:t>The following order shall issue:</w:t>
      </w:r>
    </w:p>
    <w:p w14:paraId="7CC7866F" w14:textId="580549D7" w:rsidR="005010C0" w:rsidRPr="008A6491" w:rsidRDefault="008A6491" w:rsidP="008A6491">
      <w:pPr>
        <w:spacing w:line="360" w:lineRule="auto"/>
        <w:ind w:left="1080" w:hanging="720"/>
        <w:jc w:val="both"/>
        <w:rPr>
          <w:rFonts w:ascii="Arial" w:hAnsi="Arial" w:cs="Arial"/>
          <w:sz w:val="24"/>
          <w:szCs w:val="24"/>
        </w:rPr>
      </w:pPr>
      <w:r w:rsidRPr="00704D26">
        <w:rPr>
          <w:rFonts w:ascii="Arial" w:hAnsi="Arial" w:cs="Arial"/>
          <w:sz w:val="24"/>
          <w:szCs w:val="24"/>
        </w:rPr>
        <w:t>1.</w:t>
      </w:r>
      <w:r w:rsidRPr="00704D26">
        <w:rPr>
          <w:rFonts w:ascii="Arial" w:hAnsi="Arial" w:cs="Arial"/>
          <w:sz w:val="24"/>
          <w:szCs w:val="24"/>
        </w:rPr>
        <w:tab/>
      </w:r>
      <w:r w:rsidR="005010C0" w:rsidRPr="008A6491">
        <w:rPr>
          <w:rFonts w:ascii="Arial" w:hAnsi="Arial" w:cs="Arial"/>
          <w:sz w:val="24"/>
          <w:szCs w:val="24"/>
        </w:rPr>
        <w:t xml:space="preserve">The second respondent, </w:t>
      </w:r>
      <w:proofErr w:type="spellStart"/>
      <w:r w:rsidR="005010C0" w:rsidRPr="008A6491">
        <w:rPr>
          <w:rFonts w:ascii="Arial" w:hAnsi="Arial" w:cs="Arial"/>
          <w:sz w:val="24"/>
          <w:szCs w:val="24"/>
        </w:rPr>
        <w:t>Minamb</w:t>
      </w:r>
      <w:proofErr w:type="spellEnd"/>
      <w:r w:rsidR="005010C0" w:rsidRPr="008A6491">
        <w:rPr>
          <w:rFonts w:ascii="Arial" w:hAnsi="Arial" w:cs="Arial"/>
          <w:sz w:val="24"/>
          <w:szCs w:val="24"/>
        </w:rPr>
        <w:t xml:space="preserve"> Properties CC, with registration number: (</w:t>
      </w:r>
      <w:r w:rsidRPr="008A6491">
        <w:rPr>
          <w:rFonts w:ascii="Arial" w:hAnsi="Arial" w:cs="Arial"/>
          <w:sz w:val="24"/>
          <w:szCs w:val="24"/>
        </w:rPr>
        <w:t>[…]</w:t>
      </w:r>
      <w:r w:rsidR="005010C0" w:rsidRPr="008A6491">
        <w:rPr>
          <w:rFonts w:ascii="Arial" w:hAnsi="Arial" w:cs="Arial"/>
          <w:sz w:val="24"/>
          <w:szCs w:val="24"/>
        </w:rPr>
        <w:t>), is placed under a provisional order of winding-up in the hands of the Master of the KwaZulu</w:t>
      </w:r>
      <w:r w:rsidR="00103189" w:rsidRPr="008A6491">
        <w:rPr>
          <w:rFonts w:ascii="Arial" w:hAnsi="Arial" w:cs="Arial"/>
          <w:sz w:val="24"/>
          <w:szCs w:val="24"/>
        </w:rPr>
        <w:t>-</w:t>
      </w:r>
      <w:r w:rsidR="005010C0" w:rsidRPr="008A6491">
        <w:rPr>
          <w:rFonts w:ascii="Arial" w:hAnsi="Arial" w:cs="Arial"/>
          <w:sz w:val="24"/>
          <w:szCs w:val="24"/>
        </w:rPr>
        <w:t>Natal Division of the High Court</w:t>
      </w:r>
      <w:r w:rsidR="00683FFE" w:rsidRPr="008A6491">
        <w:rPr>
          <w:rFonts w:ascii="Arial" w:hAnsi="Arial" w:cs="Arial"/>
          <w:sz w:val="24"/>
          <w:szCs w:val="24"/>
        </w:rPr>
        <w:t>, Durban</w:t>
      </w:r>
      <w:r w:rsidR="005010C0" w:rsidRPr="008A6491">
        <w:rPr>
          <w:rFonts w:ascii="Arial" w:hAnsi="Arial" w:cs="Arial"/>
          <w:sz w:val="24"/>
          <w:szCs w:val="24"/>
        </w:rPr>
        <w:t>.</w:t>
      </w:r>
    </w:p>
    <w:p w14:paraId="0D7D4F68" w14:textId="235DA240" w:rsidR="005010C0" w:rsidRPr="008A6491" w:rsidRDefault="008A6491" w:rsidP="008A6491">
      <w:pPr>
        <w:spacing w:line="360" w:lineRule="auto"/>
        <w:ind w:left="108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5010C0" w:rsidRPr="008A6491">
        <w:rPr>
          <w:rFonts w:ascii="Arial" w:hAnsi="Arial" w:cs="Arial"/>
          <w:sz w:val="24"/>
          <w:szCs w:val="24"/>
        </w:rPr>
        <w:t>A rule nisi is issued calling upon the</w:t>
      </w:r>
      <w:r w:rsidR="009502FB" w:rsidRPr="008A6491">
        <w:rPr>
          <w:rFonts w:ascii="Arial" w:hAnsi="Arial" w:cs="Arial"/>
          <w:sz w:val="24"/>
          <w:szCs w:val="24"/>
        </w:rPr>
        <w:t xml:space="preserve"> </w:t>
      </w:r>
      <w:r w:rsidR="005010C0" w:rsidRPr="008A6491">
        <w:rPr>
          <w:rFonts w:ascii="Arial" w:hAnsi="Arial" w:cs="Arial"/>
          <w:sz w:val="24"/>
          <w:szCs w:val="24"/>
        </w:rPr>
        <w:t>respondent</w:t>
      </w:r>
      <w:r w:rsidR="003B6405" w:rsidRPr="008A6491">
        <w:rPr>
          <w:rFonts w:ascii="Arial" w:hAnsi="Arial" w:cs="Arial"/>
          <w:sz w:val="24"/>
          <w:szCs w:val="24"/>
        </w:rPr>
        <w:t>s</w:t>
      </w:r>
      <w:r w:rsidR="005010C0" w:rsidRPr="008A6491">
        <w:rPr>
          <w:rFonts w:ascii="Arial" w:hAnsi="Arial" w:cs="Arial"/>
          <w:sz w:val="24"/>
          <w:szCs w:val="24"/>
        </w:rPr>
        <w:t xml:space="preserve"> and all interested parties to show cause, if any, to the high court within six weeks of the issuance of this order, as to why:</w:t>
      </w:r>
    </w:p>
    <w:p w14:paraId="1B5BFEA8" w14:textId="2EE78452" w:rsidR="005010C0"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83FFE" w:rsidRPr="008A6491">
        <w:rPr>
          <w:rFonts w:ascii="Arial" w:hAnsi="Arial" w:cs="Arial"/>
          <w:sz w:val="24"/>
          <w:szCs w:val="24"/>
        </w:rPr>
        <w:t>t</w:t>
      </w:r>
      <w:r w:rsidR="005010C0" w:rsidRPr="008A6491">
        <w:rPr>
          <w:rFonts w:ascii="Arial" w:hAnsi="Arial" w:cs="Arial"/>
          <w:sz w:val="24"/>
          <w:szCs w:val="24"/>
        </w:rPr>
        <w:t>he second respondent should not be placed under a final order of winding-up;</w:t>
      </w:r>
      <w:r w:rsidR="00683FFE" w:rsidRPr="008A6491">
        <w:rPr>
          <w:rFonts w:ascii="Arial" w:hAnsi="Arial" w:cs="Arial"/>
          <w:sz w:val="24"/>
          <w:szCs w:val="24"/>
        </w:rPr>
        <w:t xml:space="preserve"> and</w:t>
      </w:r>
    </w:p>
    <w:p w14:paraId="33453D83" w14:textId="04216ADA" w:rsidR="005010C0" w:rsidRPr="008A6491" w:rsidRDefault="008A6491" w:rsidP="008A6491">
      <w:pPr>
        <w:spacing w:line="360" w:lineRule="auto"/>
        <w:ind w:left="1440" w:hanging="360"/>
        <w:jc w:val="both"/>
        <w:rPr>
          <w:rFonts w:ascii="Arial" w:hAnsi="Arial" w:cs="Arial"/>
          <w:sz w:val="24"/>
          <w:szCs w:val="24"/>
        </w:rPr>
      </w:pPr>
      <w:r w:rsidRPr="00C718BD">
        <w:rPr>
          <w:rFonts w:ascii="Arial" w:hAnsi="Arial" w:cs="Arial"/>
          <w:sz w:val="24"/>
          <w:szCs w:val="24"/>
        </w:rPr>
        <w:t>(b)</w:t>
      </w:r>
      <w:r w:rsidRPr="00C718BD">
        <w:rPr>
          <w:rFonts w:ascii="Arial" w:hAnsi="Arial" w:cs="Arial"/>
          <w:sz w:val="24"/>
          <w:szCs w:val="24"/>
        </w:rPr>
        <w:tab/>
      </w:r>
      <w:r w:rsidR="00683FFE" w:rsidRPr="008A6491">
        <w:rPr>
          <w:rFonts w:ascii="Arial" w:hAnsi="Arial" w:cs="Arial"/>
          <w:sz w:val="24"/>
          <w:szCs w:val="24"/>
        </w:rPr>
        <w:t>t</w:t>
      </w:r>
      <w:r w:rsidR="005010C0" w:rsidRPr="008A6491">
        <w:rPr>
          <w:rFonts w:ascii="Arial" w:hAnsi="Arial" w:cs="Arial"/>
          <w:sz w:val="24"/>
          <w:szCs w:val="24"/>
        </w:rPr>
        <w:t xml:space="preserve">he costs of this application </w:t>
      </w:r>
      <w:r w:rsidR="00683FFE" w:rsidRPr="008A6491">
        <w:rPr>
          <w:rFonts w:ascii="Arial" w:hAnsi="Arial" w:cs="Arial"/>
          <w:sz w:val="24"/>
          <w:szCs w:val="24"/>
        </w:rPr>
        <w:t xml:space="preserve">should not </w:t>
      </w:r>
      <w:r w:rsidR="005010C0" w:rsidRPr="008A6491">
        <w:rPr>
          <w:rFonts w:ascii="Arial" w:hAnsi="Arial" w:cs="Arial"/>
          <w:sz w:val="24"/>
          <w:szCs w:val="24"/>
        </w:rPr>
        <w:t>be costs in the winding-up</w:t>
      </w:r>
      <w:r w:rsidR="00103189" w:rsidRPr="008A6491">
        <w:rPr>
          <w:rFonts w:ascii="Arial" w:hAnsi="Arial" w:cs="Arial"/>
          <w:sz w:val="24"/>
          <w:szCs w:val="24"/>
        </w:rPr>
        <w:t>.</w:t>
      </w:r>
    </w:p>
    <w:p w14:paraId="02559333" w14:textId="02AD566C" w:rsidR="005010C0" w:rsidRPr="008A6491" w:rsidRDefault="008A6491" w:rsidP="008A6491">
      <w:pPr>
        <w:spacing w:line="360" w:lineRule="auto"/>
        <w:ind w:left="108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5010C0" w:rsidRPr="008A6491">
        <w:rPr>
          <w:rFonts w:ascii="Arial" w:hAnsi="Arial" w:cs="Arial"/>
          <w:sz w:val="24"/>
          <w:szCs w:val="24"/>
        </w:rPr>
        <w:t xml:space="preserve">Service of this order shall be </w:t>
      </w:r>
      <w:proofErr w:type="gramStart"/>
      <w:r w:rsidR="005010C0" w:rsidRPr="008A6491">
        <w:rPr>
          <w:rFonts w:ascii="Arial" w:hAnsi="Arial" w:cs="Arial"/>
          <w:sz w:val="24"/>
          <w:szCs w:val="24"/>
        </w:rPr>
        <w:t>effected</w:t>
      </w:r>
      <w:proofErr w:type="gramEnd"/>
      <w:r w:rsidR="005010C0" w:rsidRPr="008A6491">
        <w:rPr>
          <w:rFonts w:ascii="Arial" w:hAnsi="Arial" w:cs="Arial"/>
          <w:sz w:val="24"/>
          <w:szCs w:val="24"/>
        </w:rPr>
        <w:t>:</w:t>
      </w:r>
    </w:p>
    <w:p w14:paraId="27FCBF61" w14:textId="6351DBD3" w:rsidR="00103189" w:rsidRPr="008A6491" w:rsidRDefault="008A6491" w:rsidP="008A6491">
      <w:pPr>
        <w:spacing w:line="360" w:lineRule="auto"/>
        <w:ind w:left="1440" w:hanging="360"/>
        <w:jc w:val="both"/>
        <w:rPr>
          <w:rFonts w:ascii="Arial" w:hAnsi="Arial" w:cs="Arial"/>
          <w:sz w:val="24"/>
          <w:szCs w:val="24"/>
        </w:rPr>
      </w:pPr>
      <w:r w:rsidRPr="00103189">
        <w:rPr>
          <w:rFonts w:ascii="Arial" w:hAnsi="Arial" w:cs="Arial"/>
          <w:sz w:val="24"/>
          <w:szCs w:val="24"/>
        </w:rPr>
        <w:t>(a)</w:t>
      </w:r>
      <w:r w:rsidRPr="00103189">
        <w:rPr>
          <w:rFonts w:ascii="Arial" w:hAnsi="Arial" w:cs="Arial"/>
          <w:sz w:val="24"/>
          <w:szCs w:val="24"/>
        </w:rPr>
        <w:tab/>
      </w:r>
      <w:r w:rsidR="00103189" w:rsidRPr="008A6491">
        <w:rPr>
          <w:rFonts w:ascii="Arial" w:hAnsi="Arial" w:cs="Arial"/>
          <w:sz w:val="24"/>
          <w:szCs w:val="24"/>
        </w:rPr>
        <w:t xml:space="preserve">by the sheriff of the high court or his lawful deputy on the registered office of the second </w:t>
      </w:r>
      <w:proofErr w:type="gramStart"/>
      <w:r w:rsidR="00103189" w:rsidRPr="008A6491">
        <w:rPr>
          <w:rFonts w:ascii="Arial" w:hAnsi="Arial" w:cs="Arial"/>
          <w:sz w:val="24"/>
          <w:szCs w:val="24"/>
        </w:rPr>
        <w:t>respondent;</w:t>
      </w:r>
      <w:proofErr w:type="gramEnd"/>
    </w:p>
    <w:p w14:paraId="2646BA65" w14:textId="15A47F34" w:rsidR="00103189"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103189" w:rsidRPr="008A6491">
        <w:rPr>
          <w:rFonts w:ascii="Arial" w:hAnsi="Arial" w:cs="Arial"/>
          <w:sz w:val="24"/>
          <w:szCs w:val="24"/>
        </w:rPr>
        <w:t xml:space="preserve">on the South African Revenue </w:t>
      </w:r>
      <w:proofErr w:type="gramStart"/>
      <w:r w:rsidR="00103189" w:rsidRPr="008A6491">
        <w:rPr>
          <w:rFonts w:ascii="Arial" w:hAnsi="Arial" w:cs="Arial"/>
          <w:sz w:val="24"/>
          <w:szCs w:val="24"/>
        </w:rPr>
        <w:t>Services;</w:t>
      </w:r>
      <w:proofErr w:type="gramEnd"/>
    </w:p>
    <w:p w14:paraId="02696A1F" w14:textId="3D81A1A0" w:rsidR="00103189"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103189" w:rsidRPr="008A6491">
        <w:rPr>
          <w:rFonts w:ascii="Arial" w:hAnsi="Arial" w:cs="Arial"/>
          <w:sz w:val="24"/>
          <w:szCs w:val="24"/>
        </w:rPr>
        <w:t xml:space="preserve">by publication in the edition of </w:t>
      </w:r>
      <w:r w:rsidR="00683FFE" w:rsidRPr="008A6491">
        <w:rPr>
          <w:rFonts w:ascii="Arial" w:hAnsi="Arial" w:cs="Arial"/>
          <w:sz w:val="24"/>
          <w:szCs w:val="24"/>
        </w:rPr>
        <w:t>t</w:t>
      </w:r>
      <w:r w:rsidR="00103189" w:rsidRPr="008A6491">
        <w:rPr>
          <w:rFonts w:ascii="Arial" w:hAnsi="Arial" w:cs="Arial"/>
          <w:sz w:val="24"/>
          <w:szCs w:val="24"/>
        </w:rPr>
        <w:t xml:space="preserve">he Mercury Newspaper and another newspaper circulating in the area where the second respondent carries on business and in the </w:t>
      </w:r>
      <w:r w:rsidR="00683FFE" w:rsidRPr="008A6491">
        <w:rPr>
          <w:rFonts w:ascii="Arial" w:hAnsi="Arial" w:cs="Arial"/>
          <w:sz w:val="24"/>
          <w:szCs w:val="24"/>
        </w:rPr>
        <w:t>G</w:t>
      </w:r>
      <w:r w:rsidR="00103189" w:rsidRPr="008A6491">
        <w:rPr>
          <w:rFonts w:ascii="Arial" w:hAnsi="Arial" w:cs="Arial"/>
          <w:sz w:val="24"/>
          <w:szCs w:val="24"/>
        </w:rPr>
        <w:t xml:space="preserve">overnment </w:t>
      </w:r>
      <w:proofErr w:type="gramStart"/>
      <w:r w:rsidR="00683FFE" w:rsidRPr="008A6491">
        <w:rPr>
          <w:rFonts w:ascii="Arial" w:hAnsi="Arial" w:cs="Arial"/>
          <w:sz w:val="24"/>
          <w:szCs w:val="24"/>
        </w:rPr>
        <w:t>G</w:t>
      </w:r>
      <w:r w:rsidR="00103189" w:rsidRPr="008A6491">
        <w:rPr>
          <w:rFonts w:ascii="Arial" w:hAnsi="Arial" w:cs="Arial"/>
          <w:sz w:val="24"/>
          <w:szCs w:val="24"/>
        </w:rPr>
        <w:t>azette;</w:t>
      </w:r>
      <w:proofErr w:type="gramEnd"/>
    </w:p>
    <w:p w14:paraId="2118C7EF" w14:textId="2EDD8551" w:rsidR="00103189"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103189" w:rsidRPr="008A6491">
        <w:rPr>
          <w:rFonts w:ascii="Arial" w:hAnsi="Arial" w:cs="Arial"/>
          <w:sz w:val="24"/>
          <w:szCs w:val="24"/>
        </w:rPr>
        <w:t xml:space="preserve">by registered post on all known creditors of the second </w:t>
      </w:r>
      <w:proofErr w:type="gramStart"/>
      <w:r w:rsidR="00103189" w:rsidRPr="008A6491">
        <w:rPr>
          <w:rFonts w:ascii="Arial" w:hAnsi="Arial" w:cs="Arial"/>
          <w:sz w:val="24"/>
          <w:szCs w:val="24"/>
        </w:rPr>
        <w:t>respondent;</w:t>
      </w:r>
      <w:proofErr w:type="gramEnd"/>
    </w:p>
    <w:p w14:paraId="4EBAD6CB" w14:textId="469C022C" w:rsidR="00103189"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103189" w:rsidRPr="008A6491">
        <w:rPr>
          <w:rFonts w:ascii="Arial" w:hAnsi="Arial" w:cs="Arial"/>
          <w:sz w:val="24"/>
          <w:szCs w:val="24"/>
        </w:rPr>
        <w:t>on all employees of the second respondent; and</w:t>
      </w:r>
    </w:p>
    <w:p w14:paraId="70CF18B6" w14:textId="06715FB7" w:rsidR="00C718BD"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(f)</w:t>
      </w:r>
      <w:r>
        <w:rPr>
          <w:rFonts w:ascii="Arial" w:hAnsi="Arial" w:cs="Arial"/>
          <w:sz w:val="24"/>
          <w:szCs w:val="24"/>
        </w:rPr>
        <w:tab/>
      </w:r>
      <w:r w:rsidR="00103189" w:rsidRPr="008A6491">
        <w:rPr>
          <w:rFonts w:ascii="Arial" w:hAnsi="Arial" w:cs="Arial"/>
          <w:sz w:val="24"/>
          <w:szCs w:val="24"/>
        </w:rPr>
        <w:t>and any registered trade union that employees of the second respondent may belong</w:t>
      </w:r>
      <w:r w:rsidR="003B6405" w:rsidRPr="008A6491">
        <w:rPr>
          <w:rFonts w:ascii="Arial" w:hAnsi="Arial" w:cs="Arial"/>
          <w:sz w:val="24"/>
          <w:szCs w:val="24"/>
        </w:rPr>
        <w:t xml:space="preserve"> to</w:t>
      </w:r>
      <w:r w:rsidR="00103189" w:rsidRPr="008A6491">
        <w:rPr>
          <w:rFonts w:ascii="Arial" w:hAnsi="Arial" w:cs="Arial"/>
          <w:sz w:val="24"/>
          <w:szCs w:val="24"/>
        </w:rPr>
        <w:t xml:space="preserve">. </w:t>
      </w:r>
    </w:p>
    <w:p w14:paraId="53F3FEB1" w14:textId="77777777" w:rsidR="00C718BD" w:rsidRPr="00C718BD" w:rsidRDefault="00C718BD" w:rsidP="00C718BD">
      <w:pPr>
        <w:spacing w:line="360" w:lineRule="auto"/>
        <w:jc w:val="both"/>
        <w:rPr>
          <w:rFonts w:ascii="Arial" w:hAnsi="Arial" w:cs="Arial"/>
          <w:sz w:val="24"/>
          <w:szCs w:val="24"/>
        </w:rPr>
      </w:pPr>
      <w:r>
        <w:rPr>
          <w:rFonts w:ascii="Arial" w:hAnsi="Arial" w:cs="Arial"/>
          <w:sz w:val="24"/>
          <w:szCs w:val="24"/>
        </w:rPr>
        <w:t xml:space="preserve">    </w:t>
      </w:r>
      <w:r w:rsidRPr="00C718BD">
        <w:rPr>
          <w:rFonts w:ascii="Arial" w:hAnsi="Arial" w:cs="Arial"/>
          <w:sz w:val="24"/>
          <w:szCs w:val="24"/>
        </w:rPr>
        <w:t xml:space="preserve">4. </w:t>
      </w:r>
      <w:r>
        <w:rPr>
          <w:rFonts w:ascii="Arial" w:hAnsi="Arial" w:cs="Arial"/>
          <w:sz w:val="24"/>
          <w:szCs w:val="24"/>
        </w:rPr>
        <w:t xml:space="preserve">        </w:t>
      </w:r>
      <w:r w:rsidRPr="00C718BD">
        <w:rPr>
          <w:rFonts w:ascii="Arial" w:hAnsi="Arial" w:cs="Arial"/>
          <w:sz w:val="24"/>
          <w:szCs w:val="24"/>
        </w:rPr>
        <w:t>Costs to be costs in the winding-up</w:t>
      </w:r>
      <w:r>
        <w:rPr>
          <w:rFonts w:ascii="Arial" w:hAnsi="Arial" w:cs="Arial"/>
          <w:sz w:val="24"/>
          <w:szCs w:val="24"/>
        </w:rPr>
        <w:t>.</w:t>
      </w:r>
    </w:p>
    <w:p w14:paraId="527EC0D0" w14:textId="77777777" w:rsidR="00097EE8" w:rsidRDefault="00097EE8" w:rsidP="00097EE8">
      <w:pPr>
        <w:spacing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14:paraId="63B7D6B5" w14:textId="77777777" w:rsidR="00097EE8" w:rsidRDefault="00097EE8" w:rsidP="00097EE8">
      <w:pPr>
        <w:spacing w:line="360" w:lineRule="auto"/>
        <w:jc w:val="center"/>
        <w:rPr>
          <w:rFonts w:ascii="Arial" w:hAnsi="Arial" w:cs="Arial"/>
          <w:b/>
          <w:sz w:val="24"/>
          <w:szCs w:val="24"/>
        </w:rPr>
      </w:pPr>
      <w:r>
        <w:rPr>
          <w:rFonts w:ascii="Arial" w:hAnsi="Arial" w:cs="Arial"/>
          <w:b/>
          <w:sz w:val="24"/>
          <w:szCs w:val="24"/>
        </w:rPr>
        <w:t>JUDGMENT</w:t>
      </w:r>
    </w:p>
    <w:p w14:paraId="1EB4D438" w14:textId="77777777" w:rsidR="00097EE8" w:rsidRDefault="00097EE8" w:rsidP="00097EE8">
      <w:pPr>
        <w:spacing w:line="360" w:lineRule="auto"/>
        <w:jc w:val="both"/>
        <w:rPr>
          <w:rFonts w:ascii="Arial" w:hAnsi="Arial" w:cs="Arial"/>
          <w:b/>
          <w:sz w:val="24"/>
          <w:szCs w:val="24"/>
        </w:rPr>
      </w:pPr>
      <w:r>
        <w:rPr>
          <w:rFonts w:ascii="Arial" w:hAnsi="Arial" w:cs="Arial"/>
          <w:b/>
          <w:sz w:val="24"/>
          <w:szCs w:val="24"/>
        </w:rPr>
        <w:t>___________________________________________________________________</w:t>
      </w:r>
    </w:p>
    <w:p w14:paraId="1A3E227E" w14:textId="77777777" w:rsidR="00097EE8" w:rsidRDefault="00097EE8" w:rsidP="00097EE8">
      <w:pPr>
        <w:pStyle w:val="FootnoteText"/>
        <w:spacing w:line="360" w:lineRule="auto"/>
        <w:jc w:val="both"/>
        <w:rPr>
          <w:rFonts w:ascii="Arial" w:hAnsi="Arial" w:cs="Arial"/>
          <w:b/>
          <w:sz w:val="24"/>
          <w:szCs w:val="24"/>
          <w:lang w:val="en-US"/>
        </w:rPr>
      </w:pPr>
      <w:r>
        <w:rPr>
          <w:rFonts w:ascii="Arial" w:hAnsi="Arial" w:cs="Arial"/>
          <w:b/>
          <w:sz w:val="24"/>
          <w:szCs w:val="24"/>
          <w:lang w:val="en-US"/>
        </w:rPr>
        <w:t>Sipunzi AJ</w:t>
      </w:r>
    </w:p>
    <w:p w14:paraId="5CBDED73" w14:textId="77777777" w:rsidR="00351614" w:rsidRDefault="00351614" w:rsidP="00097EE8">
      <w:pPr>
        <w:pStyle w:val="FootnoteText"/>
        <w:spacing w:line="360" w:lineRule="auto"/>
        <w:jc w:val="both"/>
        <w:rPr>
          <w:rFonts w:ascii="Arial" w:hAnsi="Arial" w:cs="Arial"/>
          <w:b/>
          <w:sz w:val="24"/>
          <w:szCs w:val="24"/>
          <w:lang w:val="en-US"/>
        </w:rPr>
      </w:pPr>
    </w:p>
    <w:p w14:paraId="7D4B3F06" w14:textId="77777777" w:rsidR="00097EE8" w:rsidRDefault="00097EE8" w:rsidP="00097EE8">
      <w:pPr>
        <w:pStyle w:val="FootnoteText"/>
        <w:spacing w:line="360" w:lineRule="auto"/>
        <w:jc w:val="both"/>
        <w:rPr>
          <w:rFonts w:ascii="Arial" w:hAnsi="Arial" w:cs="Arial"/>
          <w:b/>
          <w:sz w:val="24"/>
          <w:szCs w:val="24"/>
          <w:lang w:val="en-US"/>
        </w:rPr>
      </w:pPr>
      <w:r>
        <w:rPr>
          <w:rFonts w:ascii="Arial" w:hAnsi="Arial" w:cs="Arial"/>
          <w:b/>
          <w:sz w:val="24"/>
          <w:szCs w:val="24"/>
          <w:lang w:val="en-US"/>
        </w:rPr>
        <w:t>Introduction</w:t>
      </w:r>
    </w:p>
    <w:p w14:paraId="4ABDB8BF" w14:textId="77777777" w:rsidR="004013C5"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097EE8" w:rsidRPr="004013C5">
        <w:rPr>
          <w:rFonts w:ascii="Arial" w:hAnsi="Arial" w:cs="Arial"/>
          <w:sz w:val="24"/>
          <w:szCs w:val="24"/>
          <w:lang w:val="en-US"/>
        </w:rPr>
        <w:t>This is an application for the final winding</w:t>
      </w:r>
      <w:r w:rsidR="00DD7625">
        <w:rPr>
          <w:rFonts w:ascii="Arial" w:hAnsi="Arial" w:cs="Arial"/>
          <w:sz w:val="24"/>
          <w:szCs w:val="24"/>
          <w:lang w:val="en-US"/>
        </w:rPr>
        <w:t>-</w:t>
      </w:r>
      <w:r w:rsidR="00097EE8" w:rsidRPr="004013C5">
        <w:rPr>
          <w:rFonts w:ascii="Arial" w:hAnsi="Arial" w:cs="Arial"/>
          <w:sz w:val="24"/>
          <w:szCs w:val="24"/>
          <w:lang w:val="en-US"/>
        </w:rPr>
        <w:t xml:space="preserve">up of a solvent close corporation, the second </w:t>
      </w:r>
      <w:r w:rsidR="00097EE8" w:rsidRPr="00704D26">
        <w:rPr>
          <w:rFonts w:ascii="Arial" w:hAnsi="Arial" w:cs="Arial"/>
          <w:sz w:val="24"/>
          <w:szCs w:val="24"/>
        </w:rPr>
        <w:t>respondent</w:t>
      </w:r>
      <w:r w:rsidR="00097EE8" w:rsidRPr="004013C5">
        <w:rPr>
          <w:rFonts w:ascii="Arial" w:hAnsi="Arial" w:cs="Arial"/>
          <w:sz w:val="24"/>
          <w:szCs w:val="24"/>
          <w:lang w:val="en-US"/>
        </w:rPr>
        <w:t xml:space="preserve"> </w:t>
      </w:r>
      <w:r w:rsidR="002C107F">
        <w:rPr>
          <w:rFonts w:ascii="Arial" w:hAnsi="Arial" w:cs="Arial"/>
          <w:sz w:val="24"/>
          <w:szCs w:val="24"/>
          <w:lang w:val="en-US"/>
        </w:rPr>
        <w:t>,</w:t>
      </w:r>
      <w:r w:rsidR="00097EE8" w:rsidRPr="004013C5">
        <w:rPr>
          <w:rFonts w:ascii="Arial" w:hAnsi="Arial" w:cs="Arial"/>
          <w:sz w:val="24"/>
          <w:szCs w:val="24"/>
          <w:lang w:val="en-US"/>
        </w:rPr>
        <w:t xml:space="preserve">at the </w:t>
      </w:r>
      <w:r w:rsidR="00097EE8" w:rsidRPr="00DA2D1C">
        <w:rPr>
          <w:rFonts w:ascii="Arial" w:hAnsi="Arial" w:cs="Arial"/>
          <w:sz w:val="24"/>
          <w:szCs w:val="24"/>
        </w:rPr>
        <w:t>instance</w:t>
      </w:r>
      <w:r w:rsidR="00097EE8" w:rsidRPr="004013C5">
        <w:rPr>
          <w:rFonts w:ascii="Arial" w:hAnsi="Arial" w:cs="Arial"/>
          <w:sz w:val="24"/>
          <w:szCs w:val="24"/>
          <w:lang w:val="en-US"/>
        </w:rPr>
        <w:t xml:space="preserve"> of one of </w:t>
      </w:r>
      <w:r w:rsidR="00DD7625">
        <w:rPr>
          <w:rFonts w:ascii="Arial" w:hAnsi="Arial" w:cs="Arial"/>
          <w:sz w:val="24"/>
          <w:szCs w:val="24"/>
          <w:lang w:val="en-US"/>
        </w:rPr>
        <w:t>its</w:t>
      </w:r>
      <w:r w:rsidR="00097EE8" w:rsidRPr="004013C5">
        <w:rPr>
          <w:rFonts w:ascii="Arial" w:hAnsi="Arial" w:cs="Arial"/>
          <w:sz w:val="24"/>
          <w:szCs w:val="24"/>
          <w:lang w:val="en-US"/>
        </w:rPr>
        <w:t xml:space="preserve"> members. </w:t>
      </w:r>
    </w:p>
    <w:p w14:paraId="6B65630E" w14:textId="77777777" w:rsidR="005010C0" w:rsidRDefault="005010C0" w:rsidP="00DA2D1C">
      <w:pPr>
        <w:spacing w:after="0" w:line="360" w:lineRule="auto"/>
        <w:jc w:val="both"/>
        <w:rPr>
          <w:rFonts w:ascii="Arial" w:hAnsi="Arial" w:cs="Arial"/>
          <w:sz w:val="24"/>
          <w:szCs w:val="24"/>
          <w:lang w:val="en-US"/>
        </w:rPr>
      </w:pPr>
    </w:p>
    <w:p w14:paraId="2B9610F7" w14:textId="77777777" w:rsidR="00BB4349"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r>
      <w:r w:rsidR="00097EE8" w:rsidRPr="00C74FE5">
        <w:rPr>
          <w:rFonts w:ascii="Arial" w:hAnsi="Arial" w:cs="Arial"/>
          <w:sz w:val="24"/>
          <w:szCs w:val="24"/>
          <w:lang w:val="en-US"/>
        </w:rPr>
        <w:t xml:space="preserve">The application is founded </w:t>
      </w:r>
      <w:r w:rsidR="00C74FE5" w:rsidRPr="00C74FE5">
        <w:rPr>
          <w:rFonts w:ascii="Arial" w:hAnsi="Arial" w:cs="Arial"/>
          <w:sz w:val="24"/>
          <w:szCs w:val="24"/>
          <w:lang w:val="en-US"/>
        </w:rPr>
        <w:t xml:space="preserve">on the ground that there was a deadlock which rendered the second </w:t>
      </w:r>
      <w:r w:rsidR="00C74FE5" w:rsidRPr="00DA2D1C">
        <w:rPr>
          <w:rFonts w:ascii="Arial" w:hAnsi="Arial" w:cs="Arial"/>
          <w:sz w:val="24"/>
          <w:szCs w:val="24"/>
        </w:rPr>
        <w:t>respondent</w:t>
      </w:r>
      <w:r w:rsidR="00C74FE5" w:rsidRPr="00C74FE5">
        <w:rPr>
          <w:rFonts w:ascii="Arial" w:hAnsi="Arial" w:cs="Arial"/>
          <w:sz w:val="24"/>
          <w:szCs w:val="24"/>
          <w:lang w:val="en-US"/>
        </w:rPr>
        <w:t xml:space="preserve"> unable to operate properly</w:t>
      </w:r>
      <w:r w:rsidR="00BA78A9">
        <w:rPr>
          <w:rFonts w:ascii="Arial" w:hAnsi="Arial" w:cs="Arial"/>
          <w:sz w:val="24"/>
          <w:szCs w:val="24"/>
          <w:lang w:val="en-US"/>
        </w:rPr>
        <w:t>,</w:t>
      </w:r>
      <w:r w:rsidR="00C74FE5" w:rsidRPr="00C74FE5">
        <w:rPr>
          <w:rFonts w:ascii="Arial" w:hAnsi="Arial" w:cs="Arial"/>
          <w:sz w:val="24"/>
          <w:szCs w:val="24"/>
          <w:lang w:val="en-US"/>
        </w:rPr>
        <w:t xml:space="preserve"> and</w:t>
      </w:r>
      <w:r w:rsidR="00BA78A9">
        <w:rPr>
          <w:rFonts w:ascii="Arial" w:hAnsi="Arial" w:cs="Arial"/>
          <w:sz w:val="24"/>
          <w:szCs w:val="24"/>
          <w:lang w:val="en-US"/>
        </w:rPr>
        <w:t xml:space="preserve"> </w:t>
      </w:r>
      <w:r w:rsidR="00DD7625">
        <w:rPr>
          <w:rFonts w:ascii="Arial" w:hAnsi="Arial" w:cs="Arial"/>
          <w:sz w:val="24"/>
          <w:szCs w:val="24"/>
          <w:lang w:val="en-US"/>
        </w:rPr>
        <w:t xml:space="preserve">is made </w:t>
      </w:r>
      <w:r w:rsidR="00BA78A9">
        <w:rPr>
          <w:rFonts w:ascii="Arial" w:hAnsi="Arial" w:cs="Arial"/>
          <w:sz w:val="24"/>
          <w:szCs w:val="24"/>
          <w:lang w:val="en-US"/>
        </w:rPr>
        <w:t>on</w:t>
      </w:r>
      <w:r w:rsidR="00C74FE5" w:rsidRPr="00C74FE5">
        <w:rPr>
          <w:rFonts w:ascii="Arial" w:hAnsi="Arial" w:cs="Arial"/>
          <w:sz w:val="24"/>
          <w:szCs w:val="24"/>
          <w:lang w:val="en-US"/>
        </w:rPr>
        <w:t xml:space="preserve"> </w:t>
      </w:r>
      <w:r w:rsidR="00C74FE5">
        <w:rPr>
          <w:rFonts w:ascii="Arial" w:hAnsi="Arial" w:cs="Arial"/>
          <w:sz w:val="24"/>
          <w:szCs w:val="24"/>
          <w:lang w:val="en-US"/>
        </w:rPr>
        <w:t xml:space="preserve">the </w:t>
      </w:r>
      <w:r w:rsidR="00097EE8" w:rsidRPr="00C74FE5">
        <w:rPr>
          <w:rFonts w:ascii="Arial" w:hAnsi="Arial" w:cs="Arial"/>
          <w:sz w:val="24"/>
          <w:szCs w:val="24"/>
          <w:lang w:val="en-US"/>
        </w:rPr>
        <w:t>provisions of s68</w:t>
      </w:r>
      <w:r w:rsidR="00097EE8" w:rsidRPr="002C107F">
        <w:rPr>
          <w:rFonts w:ascii="Arial" w:hAnsi="Arial" w:cs="Arial"/>
          <w:i/>
          <w:sz w:val="24"/>
          <w:szCs w:val="24"/>
          <w:lang w:val="en-US"/>
        </w:rPr>
        <w:t xml:space="preserve">(d) </w:t>
      </w:r>
      <w:r w:rsidR="00EA56A4" w:rsidRPr="00C74FE5">
        <w:rPr>
          <w:rFonts w:ascii="Arial" w:hAnsi="Arial" w:cs="Arial"/>
          <w:sz w:val="24"/>
          <w:szCs w:val="24"/>
          <w:lang w:val="en-US"/>
        </w:rPr>
        <w:t xml:space="preserve">of the </w:t>
      </w:r>
      <w:r w:rsidR="00C47935">
        <w:rPr>
          <w:rFonts w:ascii="Arial" w:hAnsi="Arial" w:cs="Arial"/>
          <w:sz w:val="24"/>
          <w:szCs w:val="24"/>
          <w:lang w:val="en-US"/>
        </w:rPr>
        <w:t>C</w:t>
      </w:r>
      <w:r w:rsidR="00EA56A4" w:rsidRPr="00C74FE5">
        <w:rPr>
          <w:rFonts w:ascii="Arial" w:hAnsi="Arial" w:cs="Arial"/>
          <w:sz w:val="24"/>
          <w:szCs w:val="24"/>
          <w:lang w:val="en-US"/>
        </w:rPr>
        <w:t xml:space="preserve">lose </w:t>
      </w:r>
      <w:r w:rsidR="00C47935">
        <w:rPr>
          <w:rFonts w:ascii="Arial" w:hAnsi="Arial" w:cs="Arial"/>
          <w:sz w:val="24"/>
          <w:szCs w:val="24"/>
          <w:lang w:val="en-US"/>
        </w:rPr>
        <w:t>C</w:t>
      </w:r>
      <w:r w:rsidR="00EA56A4" w:rsidRPr="00C74FE5">
        <w:rPr>
          <w:rFonts w:ascii="Arial" w:hAnsi="Arial" w:cs="Arial"/>
          <w:sz w:val="24"/>
          <w:szCs w:val="24"/>
          <w:lang w:val="en-US"/>
        </w:rPr>
        <w:t>orporation</w:t>
      </w:r>
      <w:r w:rsidR="00C47935">
        <w:rPr>
          <w:rFonts w:ascii="Arial" w:hAnsi="Arial" w:cs="Arial"/>
          <w:sz w:val="24"/>
          <w:szCs w:val="24"/>
          <w:lang w:val="en-US"/>
        </w:rPr>
        <w:t>s</w:t>
      </w:r>
      <w:r w:rsidR="00EA56A4" w:rsidRPr="00C74FE5">
        <w:rPr>
          <w:rFonts w:ascii="Arial" w:hAnsi="Arial" w:cs="Arial"/>
          <w:sz w:val="24"/>
          <w:szCs w:val="24"/>
          <w:lang w:val="en-US"/>
        </w:rPr>
        <w:t xml:space="preserve"> </w:t>
      </w:r>
      <w:r w:rsidR="00C47935">
        <w:rPr>
          <w:rFonts w:ascii="Arial" w:hAnsi="Arial" w:cs="Arial"/>
          <w:sz w:val="24"/>
          <w:szCs w:val="24"/>
          <w:lang w:val="en-US"/>
        </w:rPr>
        <w:t>A</w:t>
      </w:r>
      <w:r w:rsidR="00EA56A4" w:rsidRPr="00C74FE5">
        <w:rPr>
          <w:rFonts w:ascii="Arial" w:hAnsi="Arial" w:cs="Arial"/>
          <w:sz w:val="24"/>
          <w:szCs w:val="24"/>
          <w:lang w:val="en-US"/>
        </w:rPr>
        <w:t>ct</w:t>
      </w:r>
      <w:r w:rsidR="007105B0">
        <w:rPr>
          <w:rFonts w:ascii="Arial" w:hAnsi="Arial" w:cs="Arial"/>
          <w:sz w:val="24"/>
          <w:szCs w:val="24"/>
          <w:lang w:val="en-US"/>
        </w:rPr>
        <w:t xml:space="preserve"> (‘the Act’)</w:t>
      </w:r>
      <w:r w:rsidR="00EA56A4" w:rsidRPr="00C74FE5">
        <w:rPr>
          <w:rFonts w:ascii="Arial" w:hAnsi="Arial" w:cs="Arial"/>
          <w:sz w:val="24"/>
          <w:szCs w:val="24"/>
          <w:lang w:val="en-US"/>
        </w:rPr>
        <w:t>,</w:t>
      </w:r>
      <w:r w:rsidR="00C47935">
        <w:rPr>
          <w:rStyle w:val="FootnoteReference"/>
          <w:rFonts w:ascii="Arial" w:hAnsi="Arial" w:cs="Arial"/>
          <w:sz w:val="24"/>
          <w:szCs w:val="24"/>
          <w:lang w:val="en-US"/>
        </w:rPr>
        <w:footnoteReference w:id="1"/>
      </w:r>
      <w:r w:rsidR="00EA56A4" w:rsidRPr="00C74FE5">
        <w:rPr>
          <w:rFonts w:ascii="Arial" w:hAnsi="Arial" w:cs="Arial"/>
          <w:sz w:val="24"/>
          <w:szCs w:val="24"/>
          <w:lang w:val="en-US"/>
        </w:rPr>
        <w:t xml:space="preserve"> read with s</w:t>
      </w:r>
      <w:r w:rsidR="00103189">
        <w:rPr>
          <w:rFonts w:ascii="Arial" w:hAnsi="Arial" w:cs="Arial"/>
          <w:sz w:val="24"/>
          <w:szCs w:val="24"/>
          <w:lang w:val="en-US"/>
        </w:rPr>
        <w:t xml:space="preserve"> </w:t>
      </w:r>
      <w:r w:rsidR="00EA56A4" w:rsidRPr="00C74FE5">
        <w:rPr>
          <w:rFonts w:ascii="Arial" w:hAnsi="Arial" w:cs="Arial"/>
          <w:sz w:val="24"/>
          <w:szCs w:val="24"/>
          <w:lang w:val="en-US"/>
        </w:rPr>
        <w:t>81(1)</w:t>
      </w:r>
      <w:r w:rsidR="00EA56A4" w:rsidRPr="00103189">
        <w:rPr>
          <w:rFonts w:ascii="Arial" w:hAnsi="Arial" w:cs="Arial"/>
          <w:i/>
          <w:sz w:val="24"/>
          <w:szCs w:val="24"/>
          <w:lang w:val="en-US"/>
        </w:rPr>
        <w:t>(d)</w:t>
      </w:r>
      <w:r w:rsidR="00EA56A4" w:rsidRPr="00C74FE5">
        <w:rPr>
          <w:rFonts w:ascii="Arial" w:hAnsi="Arial" w:cs="Arial"/>
          <w:sz w:val="24"/>
          <w:szCs w:val="24"/>
          <w:lang w:val="en-US"/>
        </w:rPr>
        <w:t xml:space="preserve"> of the </w:t>
      </w:r>
      <w:r w:rsidR="00DD7625">
        <w:rPr>
          <w:rFonts w:ascii="Arial" w:hAnsi="Arial" w:cs="Arial"/>
          <w:sz w:val="24"/>
          <w:szCs w:val="24"/>
          <w:lang w:val="en-US"/>
        </w:rPr>
        <w:t>C</w:t>
      </w:r>
      <w:r w:rsidR="00EA56A4" w:rsidRPr="00C74FE5">
        <w:rPr>
          <w:rFonts w:ascii="Arial" w:hAnsi="Arial" w:cs="Arial"/>
          <w:sz w:val="24"/>
          <w:szCs w:val="24"/>
          <w:lang w:val="en-US"/>
        </w:rPr>
        <w:t xml:space="preserve">ompanies </w:t>
      </w:r>
      <w:r w:rsidR="00DD7625">
        <w:rPr>
          <w:rFonts w:ascii="Arial" w:hAnsi="Arial" w:cs="Arial"/>
          <w:sz w:val="24"/>
          <w:szCs w:val="24"/>
          <w:lang w:val="en-US"/>
        </w:rPr>
        <w:t>A</w:t>
      </w:r>
      <w:r w:rsidR="00EA56A4" w:rsidRPr="00C74FE5">
        <w:rPr>
          <w:rFonts w:ascii="Arial" w:hAnsi="Arial" w:cs="Arial"/>
          <w:sz w:val="24"/>
          <w:szCs w:val="24"/>
          <w:lang w:val="en-US"/>
        </w:rPr>
        <w:t>ct</w:t>
      </w:r>
      <w:r w:rsidR="005010C0">
        <w:rPr>
          <w:rFonts w:ascii="Arial" w:hAnsi="Arial" w:cs="Arial"/>
          <w:sz w:val="24"/>
          <w:szCs w:val="24"/>
          <w:lang w:val="en-US"/>
        </w:rPr>
        <w:t>.</w:t>
      </w:r>
      <w:r w:rsidR="00DD7625">
        <w:rPr>
          <w:rStyle w:val="FootnoteReference"/>
          <w:rFonts w:ascii="Arial" w:hAnsi="Arial" w:cs="Arial"/>
          <w:sz w:val="24"/>
          <w:szCs w:val="24"/>
          <w:lang w:val="en-US"/>
        </w:rPr>
        <w:footnoteReference w:id="2"/>
      </w:r>
      <w:r w:rsidR="00BB4349">
        <w:rPr>
          <w:rFonts w:ascii="Arial" w:hAnsi="Arial" w:cs="Arial"/>
          <w:sz w:val="24"/>
          <w:szCs w:val="24"/>
          <w:lang w:val="en-US"/>
        </w:rPr>
        <w:t xml:space="preserve"> </w:t>
      </w:r>
    </w:p>
    <w:p w14:paraId="37159764" w14:textId="77777777" w:rsidR="00BB4349" w:rsidRDefault="00BB4349" w:rsidP="00704D26">
      <w:pPr>
        <w:spacing w:after="0" w:line="360" w:lineRule="auto"/>
        <w:jc w:val="both"/>
        <w:rPr>
          <w:rFonts w:ascii="Arial" w:hAnsi="Arial" w:cs="Arial"/>
          <w:sz w:val="24"/>
          <w:szCs w:val="24"/>
          <w:lang w:val="en-US"/>
        </w:rPr>
      </w:pPr>
    </w:p>
    <w:p w14:paraId="525DB1FE" w14:textId="77777777" w:rsidR="003F78A6" w:rsidRDefault="00BB4349" w:rsidP="00704D26">
      <w:pPr>
        <w:spacing w:after="0" w:line="360" w:lineRule="auto"/>
        <w:jc w:val="both"/>
        <w:rPr>
          <w:rFonts w:ascii="Arial" w:hAnsi="Arial" w:cs="Arial"/>
          <w:sz w:val="24"/>
          <w:szCs w:val="24"/>
          <w:lang w:val="en-US"/>
        </w:rPr>
      </w:pPr>
      <w:r>
        <w:rPr>
          <w:rFonts w:ascii="Arial" w:hAnsi="Arial" w:cs="Arial"/>
          <w:sz w:val="24"/>
          <w:szCs w:val="24"/>
          <w:lang w:val="en-US"/>
        </w:rPr>
        <w:t>[3] The application is opposed.</w:t>
      </w:r>
    </w:p>
    <w:p w14:paraId="6F822EDE" w14:textId="77777777" w:rsidR="005010C0" w:rsidRPr="00C74FE5" w:rsidRDefault="005010C0" w:rsidP="00DA2D1C">
      <w:pPr>
        <w:spacing w:after="0" w:line="360" w:lineRule="auto"/>
        <w:jc w:val="both"/>
        <w:rPr>
          <w:rFonts w:ascii="Arial" w:hAnsi="Arial" w:cs="Arial"/>
          <w:sz w:val="24"/>
          <w:szCs w:val="24"/>
          <w:lang w:val="en-US"/>
        </w:rPr>
      </w:pPr>
    </w:p>
    <w:p w14:paraId="704CF36E" w14:textId="77777777" w:rsidR="006F311C" w:rsidRDefault="006F311C" w:rsidP="006F311C">
      <w:pPr>
        <w:pStyle w:val="FootnoteText"/>
        <w:spacing w:line="360" w:lineRule="auto"/>
        <w:jc w:val="both"/>
        <w:rPr>
          <w:rFonts w:ascii="Arial" w:hAnsi="Arial" w:cs="Arial"/>
          <w:b/>
          <w:sz w:val="24"/>
          <w:szCs w:val="24"/>
          <w:lang w:val="en-US"/>
        </w:rPr>
      </w:pPr>
      <w:r>
        <w:rPr>
          <w:rFonts w:ascii="Arial" w:hAnsi="Arial" w:cs="Arial"/>
          <w:b/>
          <w:sz w:val="24"/>
          <w:szCs w:val="24"/>
          <w:lang w:val="en-US"/>
        </w:rPr>
        <w:t>The parties</w:t>
      </w:r>
    </w:p>
    <w:p w14:paraId="5323BBAB" w14:textId="5903F642" w:rsidR="006F311C"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w:t>
      </w:r>
      <w:r w:rsidR="00BB4349">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C74FE5">
        <w:rPr>
          <w:rFonts w:ascii="Arial" w:hAnsi="Arial" w:cs="Arial"/>
          <w:sz w:val="24"/>
          <w:szCs w:val="24"/>
          <w:lang w:val="en-US"/>
        </w:rPr>
        <w:t xml:space="preserve">The </w:t>
      </w:r>
      <w:r w:rsidR="00C74FE5" w:rsidRPr="00704D26">
        <w:rPr>
          <w:rFonts w:ascii="Arial" w:hAnsi="Arial" w:cs="Arial"/>
          <w:sz w:val="24"/>
          <w:szCs w:val="24"/>
        </w:rPr>
        <w:t>applicant</w:t>
      </w:r>
      <w:r w:rsidR="00C74FE5">
        <w:rPr>
          <w:rFonts w:ascii="Arial" w:hAnsi="Arial" w:cs="Arial"/>
          <w:sz w:val="24"/>
          <w:szCs w:val="24"/>
          <w:lang w:val="en-US"/>
        </w:rPr>
        <w:t xml:space="preserve"> is an adult</w:t>
      </w:r>
      <w:r w:rsidR="006F311C">
        <w:rPr>
          <w:rFonts w:ascii="Arial" w:hAnsi="Arial" w:cs="Arial"/>
          <w:sz w:val="24"/>
          <w:szCs w:val="24"/>
          <w:lang w:val="en-US"/>
        </w:rPr>
        <w:t xml:space="preserve"> female</w:t>
      </w:r>
      <w:r w:rsidR="00A90871">
        <w:rPr>
          <w:rFonts w:ascii="Arial" w:hAnsi="Arial" w:cs="Arial"/>
          <w:sz w:val="24"/>
          <w:szCs w:val="24"/>
          <w:lang w:val="en-US"/>
        </w:rPr>
        <w:t xml:space="preserve">, residing </w:t>
      </w:r>
      <w:proofErr w:type="gramStart"/>
      <w:r w:rsidR="00A90871">
        <w:rPr>
          <w:rFonts w:ascii="Arial" w:hAnsi="Arial" w:cs="Arial"/>
          <w:sz w:val="24"/>
          <w:szCs w:val="24"/>
          <w:lang w:val="en-US"/>
        </w:rPr>
        <w:t>at</w:t>
      </w:r>
      <w:r w:rsidR="008A6491">
        <w:rPr>
          <w:rFonts w:ascii="Arial" w:hAnsi="Arial" w:cs="Arial"/>
          <w:sz w:val="24"/>
          <w:szCs w:val="24"/>
          <w:lang w:val="en-US"/>
        </w:rPr>
        <w:t>[</w:t>
      </w:r>
      <w:proofErr w:type="gramEnd"/>
      <w:r w:rsidR="008A6491">
        <w:rPr>
          <w:rFonts w:ascii="Arial" w:hAnsi="Arial" w:cs="Arial"/>
          <w:sz w:val="24"/>
          <w:szCs w:val="24"/>
          <w:lang w:val="en-US"/>
        </w:rPr>
        <w:t>…]</w:t>
      </w:r>
      <w:r w:rsidR="00A90871">
        <w:rPr>
          <w:rFonts w:ascii="Arial" w:hAnsi="Arial" w:cs="Arial"/>
          <w:sz w:val="24"/>
          <w:szCs w:val="24"/>
          <w:lang w:val="en-US"/>
        </w:rPr>
        <w:t xml:space="preserve">. She is one of the members of the second respondent, with 50 percent members’ interest. </w:t>
      </w:r>
      <w:r w:rsidR="00DD7625">
        <w:rPr>
          <w:rFonts w:ascii="Arial" w:hAnsi="Arial" w:cs="Arial"/>
          <w:sz w:val="24"/>
          <w:szCs w:val="24"/>
          <w:lang w:val="en-US"/>
        </w:rPr>
        <w:t>The parties are siblings, the applicant being the elder sister of the first respondent.</w:t>
      </w:r>
    </w:p>
    <w:p w14:paraId="1CE380F1" w14:textId="77777777" w:rsidR="004A4D54" w:rsidRDefault="004A4D54" w:rsidP="004A4D54">
      <w:pPr>
        <w:pStyle w:val="FootnoteText"/>
        <w:spacing w:line="360" w:lineRule="auto"/>
        <w:ind w:left="720"/>
        <w:jc w:val="both"/>
        <w:rPr>
          <w:rFonts w:ascii="Arial" w:hAnsi="Arial" w:cs="Arial"/>
          <w:sz w:val="24"/>
          <w:szCs w:val="24"/>
          <w:lang w:val="en-US"/>
        </w:rPr>
      </w:pPr>
    </w:p>
    <w:p w14:paraId="5ED64DA7" w14:textId="0EED72A7" w:rsidR="00A90871"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w:t>
      </w:r>
      <w:r w:rsidR="00BB4349">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A90871">
        <w:rPr>
          <w:rFonts w:ascii="Arial" w:hAnsi="Arial" w:cs="Arial"/>
          <w:sz w:val="24"/>
          <w:szCs w:val="24"/>
          <w:lang w:val="en-US"/>
        </w:rPr>
        <w:t>The first respondent resid</w:t>
      </w:r>
      <w:r w:rsidR="00DD7625">
        <w:rPr>
          <w:rFonts w:ascii="Arial" w:hAnsi="Arial" w:cs="Arial"/>
          <w:sz w:val="24"/>
          <w:szCs w:val="24"/>
          <w:lang w:val="en-US"/>
        </w:rPr>
        <w:t>es</w:t>
      </w:r>
      <w:r w:rsidR="00A90871">
        <w:rPr>
          <w:rFonts w:ascii="Arial" w:hAnsi="Arial" w:cs="Arial"/>
          <w:sz w:val="24"/>
          <w:szCs w:val="24"/>
          <w:lang w:val="en-US"/>
        </w:rPr>
        <w:t xml:space="preserve"> at </w:t>
      </w:r>
      <w:proofErr w:type="gramStart"/>
      <w:r w:rsidR="00A90871">
        <w:rPr>
          <w:rFonts w:ascii="Arial" w:hAnsi="Arial" w:cs="Arial"/>
          <w:sz w:val="24"/>
          <w:szCs w:val="24"/>
          <w:lang w:val="en-US"/>
        </w:rPr>
        <w:t>flat</w:t>
      </w:r>
      <w:r w:rsidR="008A6491">
        <w:rPr>
          <w:rFonts w:ascii="Arial" w:hAnsi="Arial" w:cs="Arial"/>
          <w:sz w:val="24"/>
          <w:szCs w:val="24"/>
          <w:lang w:val="en-US"/>
        </w:rPr>
        <w:t>[</w:t>
      </w:r>
      <w:proofErr w:type="gramEnd"/>
      <w:r w:rsidR="008A6491">
        <w:rPr>
          <w:rFonts w:ascii="Arial" w:hAnsi="Arial" w:cs="Arial"/>
          <w:sz w:val="24"/>
          <w:szCs w:val="24"/>
          <w:lang w:val="en-US"/>
        </w:rPr>
        <w:t>…]</w:t>
      </w:r>
      <w:r w:rsidR="00A90871">
        <w:rPr>
          <w:rFonts w:ascii="Arial" w:hAnsi="Arial" w:cs="Arial"/>
          <w:sz w:val="24"/>
          <w:szCs w:val="24"/>
          <w:lang w:val="en-US"/>
        </w:rPr>
        <w:t xml:space="preserve">. She is </w:t>
      </w:r>
      <w:r w:rsidR="00C74FE5">
        <w:rPr>
          <w:rFonts w:ascii="Arial" w:hAnsi="Arial" w:cs="Arial"/>
          <w:sz w:val="24"/>
          <w:szCs w:val="24"/>
          <w:lang w:val="en-US"/>
        </w:rPr>
        <w:t xml:space="preserve">also </w:t>
      </w:r>
      <w:r w:rsidR="00DD7625">
        <w:rPr>
          <w:rFonts w:ascii="Arial" w:hAnsi="Arial" w:cs="Arial"/>
          <w:sz w:val="24"/>
          <w:szCs w:val="24"/>
          <w:lang w:val="en-US"/>
        </w:rPr>
        <w:t>a</w:t>
      </w:r>
      <w:r w:rsidR="00A90871">
        <w:rPr>
          <w:rFonts w:ascii="Arial" w:hAnsi="Arial" w:cs="Arial"/>
          <w:sz w:val="24"/>
          <w:szCs w:val="24"/>
          <w:lang w:val="en-US"/>
        </w:rPr>
        <w:t xml:space="preserve"> member of the second respondent, with 50 percent members’ interest. </w:t>
      </w:r>
    </w:p>
    <w:p w14:paraId="5E6DF108" w14:textId="77777777" w:rsidR="00A44E86" w:rsidRDefault="00A44E86" w:rsidP="00A44E86">
      <w:pPr>
        <w:pStyle w:val="FootnoteText"/>
        <w:spacing w:line="360" w:lineRule="auto"/>
        <w:ind w:left="720"/>
        <w:jc w:val="both"/>
        <w:rPr>
          <w:rFonts w:ascii="Arial" w:hAnsi="Arial" w:cs="Arial"/>
          <w:sz w:val="24"/>
          <w:szCs w:val="24"/>
          <w:lang w:val="en-US"/>
        </w:rPr>
      </w:pPr>
    </w:p>
    <w:p w14:paraId="3AC4B94A" w14:textId="77777777" w:rsidR="00A90871"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w:t>
      </w:r>
      <w:r w:rsidR="00BB4349">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A90871">
        <w:rPr>
          <w:rFonts w:ascii="Arial" w:hAnsi="Arial" w:cs="Arial"/>
          <w:sz w:val="24"/>
          <w:szCs w:val="24"/>
          <w:lang w:val="en-US"/>
        </w:rPr>
        <w:t xml:space="preserve">The second respondent is Minamb Properties CC, a </w:t>
      </w:r>
      <w:r w:rsidR="00DD7625">
        <w:rPr>
          <w:rFonts w:ascii="Arial" w:hAnsi="Arial" w:cs="Arial"/>
          <w:sz w:val="24"/>
          <w:szCs w:val="24"/>
          <w:lang w:val="en-US"/>
        </w:rPr>
        <w:t>c</w:t>
      </w:r>
      <w:r w:rsidR="00A90871">
        <w:rPr>
          <w:rFonts w:ascii="Arial" w:hAnsi="Arial" w:cs="Arial"/>
          <w:sz w:val="24"/>
          <w:szCs w:val="24"/>
          <w:lang w:val="en-US"/>
        </w:rPr>
        <w:t xml:space="preserve">lose </w:t>
      </w:r>
      <w:r w:rsidR="00DD7625">
        <w:rPr>
          <w:rFonts w:ascii="Arial" w:hAnsi="Arial" w:cs="Arial"/>
          <w:sz w:val="24"/>
          <w:szCs w:val="24"/>
          <w:lang w:val="en-US"/>
        </w:rPr>
        <w:t>c</w:t>
      </w:r>
      <w:r w:rsidR="00A90871">
        <w:rPr>
          <w:rFonts w:ascii="Arial" w:hAnsi="Arial" w:cs="Arial"/>
          <w:sz w:val="24"/>
          <w:szCs w:val="24"/>
          <w:lang w:val="en-US"/>
        </w:rPr>
        <w:t>orporation duly incorporated in accordance with the Close Corporation</w:t>
      </w:r>
      <w:r w:rsidR="00103189">
        <w:rPr>
          <w:rFonts w:ascii="Arial" w:hAnsi="Arial" w:cs="Arial"/>
          <w:sz w:val="24"/>
          <w:szCs w:val="24"/>
          <w:lang w:val="en-US"/>
        </w:rPr>
        <w:t>s</w:t>
      </w:r>
      <w:r w:rsidR="00A90871">
        <w:rPr>
          <w:rFonts w:ascii="Arial" w:hAnsi="Arial" w:cs="Arial"/>
          <w:sz w:val="24"/>
          <w:szCs w:val="24"/>
          <w:lang w:val="en-US"/>
        </w:rPr>
        <w:t xml:space="preserve"> Act,</w:t>
      </w:r>
      <w:r w:rsidR="00DD7625">
        <w:rPr>
          <w:rFonts w:ascii="Arial" w:hAnsi="Arial" w:cs="Arial"/>
          <w:sz w:val="24"/>
          <w:szCs w:val="24"/>
          <w:lang w:val="en-US"/>
        </w:rPr>
        <w:t xml:space="preserve">  </w:t>
      </w:r>
      <w:r w:rsidR="00A90871">
        <w:rPr>
          <w:rFonts w:ascii="Arial" w:hAnsi="Arial" w:cs="Arial"/>
          <w:sz w:val="24"/>
          <w:szCs w:val="24"/>
          <w:lang w:val="en-US"/>
        </w:rPr>
        <w:t>and having its registered address at First Floor, Realty House, 99 Field Street, Durban, an</w:t>
      </w:r>
      <w:r w:rsidR="00C44B2E">
        <w:rPr>
          <w:rFonts w:ascii="Arial" w:hAnsi="Arial" w:cs="Arial"/>
          <w:sz w:val="24"/>
          <w:szCs w:val="24"/>
          <w:lang w:val="en-US"/>
        </w:rPr>
        <w:t>d conducts business at Flat 608, 163 Windermere Road, Morningside, Durban.</w:t>
      </w:r>
      <w:r w:rsidR="00C74FE5">
        <w:rPr>
          <w:rFonts w:ascii="Arial" w:hAnsi="Arial" w:cs="Arial"/>
          <w:sz w:val="24"/>
          <w:szCs w:val="24"/>
          <w:lang w:val="en-US"/>
        </w:rPr>
        <w:t xml:space="preserve"> The applicant and the first respondent hold equal member interest in the second respondent. </w:t>
      </w:r>
    </w:p>
    <w:p w14:paraId="28052F9D" w14:textId="77777777" w:rsidR="00BB4349" w:rsidRDefault="00BB4349" w:rsidP="00704D26">
      <w:pPr>
        <w:spacing w:after="0" w:line="360" w:lineRule="auto"/>
        <w:jc w:val="both"/>
        <w:rPr>
          <w:rFonts w:ascii="Arial" w:hAnsi="Arial" w:cs="Arial"/>
          <w:sz w:val="24"/>
          <w:szCs w:val="24"/>
          <w:lang w:val="en-US"/>
        </w:rPr>
      </w:pPr>
    </w:p>
    <w:p w14:paraId="6A006ACE" w14:textId="77777777" w:rsidR="003F78A6" w:rsidRDefault="00EA56A4" w:rsidP="00EA56A4">
      <w:pPr>
        <w:pStyle w:val="FootnoteText"/>
        <w:spacing w:line="360" w:lineRule="auto"/>
        <w:jc w:val="both"/>
        <w:rPr>
          <w:rFonts w:ascii="Arial" w:hAnsi="Arial" w:cs="Arial"/>
          <w:b/>
          <w:sz w:val="24"/>
          <w:szCs w:val="24"/>
          <w:lang w:val="en-US"/>
        </w:rPr>
      </w:pPr>
      <w:r>
        <w:rPr>
          <w:rFonts w:ascii="Arial" w:hAnsi="Arial" w:cs="Arial"/>
          <w:b/>
          <w:sz w:val="24"/>
          <w:szCs w:val="24"/>
          <w:lang w:val="en-US"/>
        </w:rPr>
        <w:t>Summary of facts</w:t>
      </w:r>
    </w:p>
    <w:p w14:paraId="2D0E59B2" w14:textId="77777777" w:rsidR="00C44B2E"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EA56A4">
        <w:rPr>
          <w:rFonts w:ascii="Arial" w:hAnsi="Arial" w:cs="Arial"/>
          <w:sz w:val="24"/>
          <w:szCs w:val="24"/>
          <w:lang w:val="en-US"/>
        </w:rPr>
        <w:t xml:space="preserve">The second </w:t>
      </w:r>
      <w:r w:rsidR="00EA56A4" w:rsidRPr="00704D26">
        <w:rPr>
          <w:rFonts w:ascii="Arial" w:hAnsi="Arial" w:cs="Arial"/>
          <w:sz w:val="24"/>
          <w:szCs w:val="24"/>
        </w:rPr>
        <w:t>respondent</w:t>
      </w:r>
      <w:r w:rsidR="00EA56A4">
        <w:rPr>
          <w:rFonts w:ascii="Arial" w:hAnsi="Arial" w:cs="Arial"/>
          <w:sz w:val="24"/>
          <w:szCs w:val="24"/>
          <w:lang w:val="en-US"/>
        </w:rPr>
        <w:t xml:space="preserve"> was registered for the purpose of </w:t>
      </w:r>
      <w:r w:rsidR="005502FB">
        <w:rPr>
          <w:rFonts w:ascii="Arial" w:hAnsi="Arial" w:cs="Arial"/>
          <w:sz w:val="24"/>
          <w:szCs w:val="24"/>
          <w:lang w:val="en-US"/>
        </w:rPr>
        <w:t xml:space="preserve">a </w:t>
      </w:r>
      <w:r w:rsidR="00BB4349">
        <w:rPr>
          <w:rFonts w:ascii="Arial" w:hAnsi="Arial" w:cs="Arial"/>
          <w:sz w:val="24"/>
          <w:szCs w:val="24"/>
          <w:lang w:val="en-US"/>
        </w:rPr>
        <w:t>purchasing real estate/properties</w:t>
      </w:r>
      <w:r w:rsidR="005502FB">
        <w:rPr>
          <w:rFonts w:ascii="Arial" w:hAnsi="Arial" w:cs="Arial"/>
          <w:sz w:val="24"/>
          <w:szCs w:val="24"/>
          <w:lang w:val="en-US"/>
        </w:rPr>
        <w:t xml:space="preserve">. It </w:t>
      </w:r>
      <w:r w:rsidR="00EA56A4">
        <w:rPr>
          <w:rFonts w:ascii="Arial" w:hAnsi="Arial" w:cs="Arial"/>
          <w:sz w:val="24"/>
          <w:szCs w:val="24"/>
          <w:lang w:val="en-US"/>
        </w:rPr>
        <w:t>purchas</w:t>
      </w:r>
      <w:r w:rsidR="005502FB">
        <w:rPr>
          <w:rFonts w:ascii="Arial" w:hAnsi="Arial" w:cs="Arial"/>
          <w:sz w:val="24"/>
          <w:szCs w:val="24"/>
          <w:lang w:val="en-US"/>
        </w:rPr>
        <w:t>ed</w:t>
      </w:r>
      <w:r w:rsidR="00EA56A4">
        <w:rPr>
          <w:rFonts w:ascii="Arial" w:hAnsi="Arial" w:cs="Arial"/>
          <w:sz w:val="24"/>
          <w:szCs w:val="24"/>
          <w:lang w:val="en-US"/>
        </w:rPr>
        <w:t xml:space="preserve"> </w:t>
      </w:r>
      <w:r w:rsidR="000238DB">
        <w:rPr>
          <w:rFonts w:ascii="Arial" w:hAnsi="Arial" w:cs="Arial"/>
          <w:sz w:val="24"/>
          <w:szCs w:val="24"/>
          <w:lang w:val="en-US"/>
        </w:rPr>
        <w:t>the</w:t>
      </w:r>
      <w:r w:rsidR="00EA56A4">
        <w:rPr>
          <w:rFonts w:ascii="Arial" w:hAnsi="Arial" w:cs="Arial"/>
          <w:sz w:val="24"/>
          <w:szCs w:val="24"/>
          <w:lang w:val="en-US"/>
        </w:rPr>
        <w:t xml:space="preserve"> flat situated at </w:t>
      </w:r>
      <w:r w:rsidR="009A36D9">
        <w:rPr>
          <w:rFonts w:ascii="Arial" w:hAnsi="Arial" w:cs="Arial"/>
          <w:sz w:val="24"/>
          <w:szCs w:val="24"/>
          <w:lang w:val="en-US"/>
        </w:rPr>
        <w:t xml:space="preserve">608 Windermere Centre, 163 Windemere Road, Morningside, Durban and </w:t>
      </w:r>
      <w:r w:rsidR="00712A66">
        <w:rPr>
          <w:rFonts w:ascii="Arial" w:hAnsi="Arial" w:cs="Arial"/>
          <w:sz w:val="24"/>
          <w:szCs w:val="24"/>
          <w:lang w:val="en-US"/>
        </w:rPr>
        <w:t xml:space="preserve">is </w:t>
      </w:r>
      <w:r w:rsidR="005502FB">
        <w:rPr>
          <w:rFonts w:ascii="Arial" w:hAnsi="Arial" w:cs="Arial"/>
          <w:sz w:val="24"/>
          <w:szCs w:val="24"/>
          <w:lang w:val="en-US"/>
        </w:rPr>
        <w:t>its sole</w:t>
      </w:r>
      <w:r w:rsidR="009A36D9">
        <w:rPr>
          <w:rFonts w:ascii="Arial" w:hAnsi="Arial" w:cs="Arial"/>
          <w:sz w:val="24"/>
          <w:szCs w:val="24"/>
          <w:lang w:val="en-US"/>
        </w:rPr>
        <w:t xml:space="preserve"> asset. </w:t>
      </w:r>
    </w:p>
    <w:p w14:paraId="1A93DAFB" w14:textId="77777777" w:rsidR="00EA56A4" w:rsidRDefault="00EA56A4" w:rsidP="00DA2D1C">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14:paraId="35449671" w14:textId="77777777" w:rsidR="009A36D9"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9A36D9">
        <w:rPr>
          <w:rFonts w:ascii="Arial" w:hAnsi="Arial" w:cs="Arial"/>
          <w:sz w:val="24"/>
          <w:szCs w:val="24"/>
          <w:lang w:val="en-US"/>
        </w:rPr>
        <w:t xml:space="preserve">The property was acquired </w:t>
      </w:r>
      <w:r w:rsidR="00712A66">
        <w:rPr>
          <w:rFonts w:ascii="Arial" w:hAnsi="Arial" w:cs="Arial"/>
          <w:sz w:val="24"/>
          <w:szCs w:val="24"/>
          <w:lang w:val="en-US"/>
        </w:rPr>
        <w:t xml:space="preserve">for  </w:t>
      </w:r>
      <w:r w:rsidR="009A36D9">
        <w:rPr>
          <w:rFonts w:ascii="Arial" w:hAnsi="Arial" w:cs="Arial"/>
          <w:sz w:val="24"/>
          <w:szCs w:val="24"/>
          <w:lang w:val="en-US"/>
        </w:rPr>
        <w:t xml:space="preserve">the purchase price of R120 000. An amount of </w:t>
      </w:r>
      <w:r w:rsidR="00712A66">
        <w:rPr>
          <w:rFonts w:ascii="Arial" w:hAnsi="Arial" w:cs="Arial"/>
          <w:sz w:val="24"/>
          <w:szCs w:val="24"/>
          <w:lang w:val="en-US"/>
        </w:rPr>
        <w:t>R</w:t>
      </w:r>
      <w:r w:rsidR="009A36D9">
        <w:rPr>
          <w:rFonts w:ascii="Arial" w:hAnsi="Arial" w:cs="Arial"/>
          <w:sz w:val="24"/>
          <w:szCs w:val="24"/>
          <w:lang w:val="en-US"/>
        </w:rPr>
        <w:t>24 000 was paid as the deposit and the bond of R96 000 was registered.</w:t>
      </w:r>
      <w:r w:rsidR="006A50C7">
        <w:rPr>
          <w:rFonts w:ascii="Arial" w:hAnsi="Arial" w:cs="Arial"/>
          <w:sz w:val="24"/>
          <w:szCs w:val="24"/>
          <w:lang w:val="en-US"/>
        </w:rPr>
        <w:t xml:space="preserve"> </w:t>
      </w:r>
      <w:r w:rsidR="00C74FE5">
        <w:rPr>
          <w:rFonts w:ascii="Arial" w:hAnsi="Arial" w:cs="Arial"/>
          <w:sz w:val="24"/>
          <w:szCs w:val="24"/>
          <w:lang w:val="en-US"/>
        </w:rPr>
        <w:t>S</w:t>
      </w:r>
      <w:r w:rsidR="009A36D9">
        <w:rPr>
          <w:rFonts w:ascii="Arial" w:hAnsi="Arial" w:cs="Arial"/>
          <w:sz w:val="24"/>
          <w:szCs w:val="24"/>
          <w:lang w:val="en-US"/>
        </w:rPr>
        <w:t xml:space="preserve">ubsequent to the bond registration, </w:t>
      </w:r>
      <w:r w:rsidR="00712A66">
        <w:rPr>
          <w:rFonts w:ascii="Arial" w:hAnsi="Arial" w:cs="Arial"/>
          <w:sz w:val="24"/>
          <w:szCs w:val="24"/>
          <w:lang w:val="en-US"/>
        </w:rPr>
        <w:t>the bond</w:t>
      </w:r>
      <w:r w:rsidR="009A36D9">
        <w:rPr>
          <w:rFonts w:ascii="Arial" w:hAnsi="Arial" w:cs="Arial"/>
          <w:sz w:val="24"/>
          <w:szCs w:val="24"/>
          <w:lang w:val="en-US"/>
        </w:rPr>
        <w:t xml:space="preserve"> was settled </w:t>
      </w:r>
      <w:r w:rsidR="002E538F">
        <w:rPr>
          <w:rFonts w:ascii="Arial" w:hAnsi="Arial" w:cs="Arial"/>
          <w:sz w:val="24"/>
          <w:szCs w:val="24"/>
          <w:lang w:val="en-US"/>
        </w:rPr>
        <w:t xml:space="preserve">and therefore </w:t>
      </w:r>
      <w:r w:rsidR="00C74FE5">
        <w:rPr>
          <w:rFonts w:ascii="Arial" w:hAnsi="Arial" w:cs="Arial"/>
          <w:sz w:val="24"/>
          <w:szCs w:val="24"/>
          <w:lang w:val="en-US"/>
        </w:rPr>
        <w:t xml:space="preserve">the property is </w:t>
      </w:r>
      <w:r w:rsidR="002E538F">
        <w:rPr>
          <w:rFonts w:ascii="Arial" w:hAnsi="Arial" w:cs="Arial"/>
          <w:sz w:val="24"/>
          <w:szCs w:val="24"/>
          <w:lang w:val="en-US"/>
        </w:rPr>
        <w:t>no</w:t>
      </w:r>
      <w:r w:rsidR="00C74FE5">
        <w:rPr>
          <w:rFonts w:ascii="Arial" w:hAnsi="Arial" w:cs="Arial"/>
          <w:sz w:val="24"/>
          <w:szCs w:val="24"/>
          <w:lang w:val="en-US"/>
        </w:rPr>
        <w:t>t</w:t>
      </w:r>
      <w:r w:rsidR="002E538F">
        <w:rPr>
          <w:rFonts w:ascii="Arial" w:hAnsi="Arial" w:cs="Arial"/>
          <w:sz w:val="24"/>
          <w:szCs w:val="24"/>
          <w:lang w:val="en-US"/>
        </w:rPr>
        <w:t xml:space="preserve"> subject to a bond</w:t>
      </w:r>
      <w:r w:rsidR="009A36D9">
        <w:rPr>
          <w:rFonts w:ascii="Arial" w:hAnsi="Arial" w:cs="Arial"/>
          <w:sz w:val="24"/>
          <w:szCs w:val="24"/>
          <w:lang w:val="en-US"/>
        </w:rPr>
        <w:t xml:space="preserve">. </w:t>
      </w:r>
    </w:p>
    <w:p w14:paraId="234C3CED" w14:textId="77777777" w:rsidR="00C44B2E" w:rsidRDefault="00C44B2E" w:rsidP="00DA2D1C">
      <w:pPr>
        <w:spacing w:after="0" w:line="360" w:lineRule="auto"/>
        <w:jc w:val="both"/>
        <w:rPr>
          <w:rFonts w:ascii="Arial" w:hAnsi="Arial" w:cs="Arial"/>
          <w:sz w:val="24"/>
          <w:szCs w:val="24"/>
          <w:lang w:val="en-US"/>
        </w:rPr>
      </w:pPr>
    </w:p>
    <w:p w14:paraId="3ECA1BB3" w14:textId="77777777" w:rsidR="00C44B2E"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lastRenderedPageBreak/>
        <w:t>[9]</w:t>
      </w:r>
      <w:r>
        <w:rPr>
          <w:rFonts w:ascii="Arial" w:hAnsi="Arial" w:cs="Arial"/>
          <w:sz w:val="24"/>
          <w:szCs w:val="24"/>
          <w:lang w:val="en-US"/>
        </w:rPr>
        <w:tab/>
      </w:r>
      <w:r w:rsidR="006036BC">
        <w:rPr>
          <w:rFonts w:ascii="Arial" w:hAnsi="Arial" w:cs="Arial"/>
          <w:sz w:val="24"/>
          <w:szCs w:val="24"/>
          <w:lang w:val="en-US"/>
        </w:rPr>
        <w:t>There was a tenant, Moscon Optics which remained on the property until</w:t>
      </w:r>
      <w:r w:rsidR="008C700D">
        <w:rPr>
          <w:rFonts w:ascii="Arial" w:hAnsi="Arial" w:cs="Arial"/>
          <w:sz w:val="24"/>
          <w:szCs w:val="24"/>
          <w:lang w:val="en-US"/>
        </w:rPr>
        <w:t xml:space="preserve"> March 1994</w:t>
      </w:r>
      <w:r w:rsidR="00F70525">
        <w:rPr>
          <w:rFonts w:ascii="Arial" w:hAnsi="Arial" w:cs="Arial"/>
          <w:sz w:val="24"/>
          <w:szCs w:val="24"/>
          <w:lang w:val="en-US"/>
        </w:rPr>
        <w:t>.</w:t>
      </w:r>
      <w:r w:rsidR="00F70525" w:rsidRPr="00DE34F7">
        <w:rPr>
          <w:rFonts w:ascii="Arial" w:hAnsi="Arial" w:cs="Arial"/>
          <w:sz w:val="24"/>
          <w:szCs w:val="24"/>
          <w:lang w:val="en-US"/>
        </w:rPr>
        <w:t xml:space="preserve"> </w:t>
      </w:r>
      <w:r w:rsidR="009A36D9" w:rsidRPr="00DE34F7">
        <w:rPr>
          <w:rFonts w:ascii="Arial" w:hAnsi="Arial" w:cs="Arial"/>
          <w:sz w:val="24"/>
          <w:szCs w:val="24"/>
          <w:lang w:val="en-US"/>
        </w:rPr>
        <w:t xml:space="preserve">When </w:t>
      </w:r>
      <w:r w:rsidR="00C74FE5">
        <w:rPr>
          <w:rFonts w:ascii="Arial" w:hAnsi="Arial" w:cs="Arial"/>
          <w:sz w:val="24"/>
          <w:szCs w:val="24"/>
          <w:lang w:val="en-US"/>
        </w:rPr>
        <w:t xml:space="preserve">the </w:t>
      </w:r>
      <w:r w:rsidR="009A36D9" w:rsidRPr="00DE34F7">
        <w:rPr>
          <w:rFonts w:ascii="Arial" w:hAnsi="Arial" w:cs="Arial"/>
          <w:sz w:val="24"/>
          <w:szCs w:val="24"/>
          <w:lang w:val="en-US"/>
        </w:rPr>
        <w:t xml:space="preserve">tenant </w:t>
      </w:r>
      <w:r w:rsidR="006F311C" w:rsidRPr="00DE34F7">
        <w:rPr>
          <w:rFonts w:ascii="Arial" w:hAnsi="Arial" w:cs="Arial"/>
          <w:sz w:val="24"/>
          <w:szCs w:val="24"/>
          <w:lang w:val="en-US"/>
        </w:rPr>
        <w:t>vacated</w:t>
      </w:r>
      <w:r w:rsidR="003758EE">
        <w:rPr>
          <w:rFonts w:ascii="Arial" w:hAnsi="Arial" w:cs="Arial"/>
          <w:sz w:val="24"/>
          <w:szCs w:val="24"/>
          <w:lang w:val="en-US"/>
        </w:rPr>
        <w:t xml:space="preserve"> </w:t>
      </w:r>
      <w:r w:rsidR="006F311C" w:rsidRPr="00DE34F7">
        <w:rPr>
          <w:rFonts w:ascii="Arial" w:hAnsi="Arial" w:cs="Arial"/>
          <w:sz w:val="24"/>
          <w:szCs w:val="24"/>
          <w:lang w:val="en-US"/>
        </w:rPr>
        <w:t xml:space="preserve">in 1994, the first respondent </w:t>
      </w:r>
      <w:r w:rsidR="008C700D">
        <w:rPr>
          <w:rFonts w:ascii="Arial" w:hAnsi="Arial" w:cs="Arial"/>
          <w:sz w:val="24"/>
          <w:szCs w:val="24"/>
          <w:lang w:val="en-US"/>
        </w:rPr>
        <w:t xml:space="preserve">moved </w:t>
      </w:r>
      <w:r w:rsidR="006F311C" w:rsidRPr="00DE34F7">
        <w:rPr>
          <w:rFonts w:ascii="Arial" w:hAnsi="Arial" w:cs="Arial"/>
          <w:sz w:val="24"/>
          <w:szCs w:val="24"/>
          <w:lang w:val="en-US"/>
        </w:rPr>
        <w:t xml:space="preserve">to reside </w:t>
      </w:r>
      <w:r w:rsidR="008C700D">
        <w:rPr>
          <w:rFonts w:ascii="Arial" w:hAnsi="Arial" w:cs="Arial"/>
          <w:sz w:val="24"/>
          <w:szCs w:val="24"/>
          <w:lang w:val="en-US"/>
        </w:rPr>
        <w:t>o</w:t>
      </w:r>
      <w:r w:rsidR="006F311C" w:rsidRPr="00DE34F7">
        <w:rPr>
          <w:rFonts w:ascii="Arial" w:hAnsi="Arial" w:cs="Arial"/>
          <w:sz w:val="24"/>
          <w:szCs w:val="24"/>
          <w:lang w:val="en-US"/>
        </w:rPr>
        <w:t xml:space="preserve">n the property. The first respondent has since been </w:t>
      </w:r>
      <w:r w:rsidR="006036BC">
        <w:rPr>
          <w:rFonts w:ascii="Arial" w:hAnsi="Arial" w:cs="Arial"/>
          <w:sz w:val="24"/>
          <w:szCs w:val="24"/>
          <w:lang w:val="en-US"/>
        </w:rPr>
        <w:t>responsible for the</w:t>
      </w:r>
      <w:r w:rsidR="005502FB">
        <w:rPr>
          <w:rFonts w:ascii="Arial" w:hAnsi="Arial" w:cs="Arial"/>
          <w:sz w:val="24"/>
          <w:szCs w:val="24"/>
          <w:lang w:val="en-US"/>
        </w:rPr>
        <w:t xml:space="preserve"> </w:t>
      </w:r>
      <w:r w:rsidR="006F311C" w:rsidRPr="00DE34F7">
        <w:rPr>
          <w:rFonts w:ascii="Arial" w:hAnsi="Arial" w:cs="Arial"/>
          <w:sz w:val="24"/>
          <w:szCs w:val="24"/>
          <w:lang w:val="en-US"/>
        </w:rPr>
        <w:t>pay</w:t>
      </w:r>
      <w:r w:rsidR="006036BC">
        <w:rPr>
          <w:rFonts w:ascii="Arial" w:hAnsi="Arial" w:cs="Arial"/>
          <w:sz w:val="24"/>
          <w:szCs w:val="24"/>
          <w:lang w:val="en-US"/>
        </w:rPr>
        <w:t>ment</w:t>
      </w:r>
      <w:r w:rsidR="006F311C" w:rsidRPr="00DE34F7">
        <w:rPr>
          <w:rFonts w:ascii="Arial" w:hAnsi="Arial" w:cs="Arial"/>
          <w:sz w:val="24"/>
          <w:szCs w:val="24"/>
          <w:lang w:val="en-US"/>
        </w:rPr>
        <w:t xml:space="preserve"> </w:t>
      </w:r>
      <w:r w:rsidR="00FE06D8">
        <w:rPr>
          <w:rFonts w:ascii="Arial" w:hAnsi="Arial" w:cs="Arial"/>
          <w:sz w:val="24"/>
          <w:szCs w:val="24"/>
          <w:lang w:val="en-US"/>
        </w:rPr>
        <w:t>of the</w:t>
      </w:r>
      <w:r w:rsidR="006F311C" w:rsidRPr="00DE34F7">
        <w:rPr>
          <w:rFonts w:ascii="Arial" w:hAnsi="Arial" w:cs="Arial"/>
          <w:sz w:val="24"/>
          <w:szCs w:val="24"/>
          <w:lang w:val="en-US"/>
        </w:rPr>
        <w:t xml:space="preserve"> utility bills</w:t>
      </w:r>
      <w:r w:rsidR="00FE06D8">
        <w:rPr>
          <w:rFonts w:ascii="Arial" w:hAnsi="Arial" w:cs="Arial"/>
          <w:sz w:val="24"/>
          <w:szCs w:val="24"/>
          <w:lang w:val="en-US"/>
        </w:rPr>
        <w:t>;</w:t>
      </w:r>
      <w:r w:rsidR="006F311C" w:rsidRPr="00DE34F7">
        <w:rPr>
          <w:rFonts w:ascii="Arial" w:hAnsi="Arial" w:cs="Arial"/>
          <w:sz w:val="24"/>
          <w:szCs w:val="24"/>
          <w:lang w:val="en-US"/>
        </w:rPr>
        <w:t xml:space="preserve"> levies </w:t>
      </w:r>
      <w:r w:rsidR="00FE06D8">
        <w:rPr>
          <w:rFonts w:ascii="Arial" w:hAnsi="Arial" w:cs="Arial"/>
          <w:sz w:val="24"/>
          <w:szCs w:val="24"/>
          <w:lang w:val="en-US"/>
        </w:rPr>
        <w:t xml:space="preserve">and the upkeep </w:t>
      </w:r>
      <w:r w:rsidR="006F311C" w:rsidRPr="00DE34F7">
        <w:rPr>
          <w:rFonts w:ascii="Arial" w:hAnsi="Arial" w:cs="Arial"/>
          <w:sz w:val="24"/>
          <w:szCs w:val="24"/>
          <w:lang w:val="en-US"/>
        </w:rPr>
        <w:t xml:space="preserve">of the property on behalf of the second respondent. </w:t>
      </w:r>
      <w:r w:rsidR="00F70525">
        <w:rPr>
          <w:rFonts w:ascii="Arial" w:hAnsi="Arial" w:cs="Arial"/>
          <w:sz w:val="24"/>
          <w:szCs w:val="24"/>
          <w:lang w:val="en-US"/>
        </w:rPr>
        <w:t>However, she</w:t>
      </w:r>
      <w:r w:rsidR="006F311C" w:rsidRPr="00DE34F7">
        <w:rPr>
          <w:rFonts w:ascii="Arial" w:hAnsi="Arial" w:cs="Arial"/>
          <w:sz w:val="24"/>
          <w:szCs w:val="24"/>
          <w:lang w:val="en-US"/>
        </w:rPr>
        <w:t xml:space="preserve"> had not been paying rent, d</w:t>
      </w:r>
      <w:r w:rsidR="00C44B2E" w:rsidRPr="00DE34F7">
        <w:rPr>
          <w:rFonts w:ascii="Arial" w:hAnsi="Arial" w:cs="Arial"/>
          <w:sz w:val="24"/>
          <w:szCs w:val="24"/>
          <w:lang w:val="en-US"/>
        </w:rPr>
        <w:t>e</w:t>
      </w:r>
      <w:r w:rsidR="006F311C" w:rsidRPr="00DE34F7">
        <w:rPr>
          <w:rFonts w:ascii="Arial" w:hAnsi="Arial" w:cs="Arial"/>
          <w:sz w:val="24"/>
          <w:szCs w:val="24"/>
          <w:lang w:val="en-US"/>
        </w:rPr>
        <w:t xml:space="preserve">spite </w:t>
      </w:r>
      <w:r w:rsidR="00C44B2E" w:rsidRPr="00DE34F7">
        <w:rPr>
          <w:rFonts w:ascii="Arial" w:hAnsi="Arial" w:cs="Arial"/>
          <w:sz w:val="24"/>
          <w:szCs w:val="24"/>
          <w:lang w:val="en-US"/>
        </w:rPr>
        <w:t>various</w:t>
      </w:r>
      <w:r w:rsidR="006F311C" w:rsidRPr="00DE34F7">
        <w:rPr>
          <w:rFonts w:ascii="Arial" w:hAnsi="Arial" w:cs="Arial"/>
          <w:sz w:val="24"/>
          <w:szCs w:val="24"/>
          <w:lang w:val="en-US"/>
        </w:rPr>
        <w:t xml:space="preserve"> attempts to recover same on behalf of the </w:t>
      </w:r>
      <w:r w:rsidR="00C74FE5">
        <w:rPr>
          <w:rFonts w:ascii="Arial" w:hAnsi="Arial" w:cs="Arial"/>
          <w:sz w:val="24"/>
          <w:szCs w:val="24"/>
          <w:lang w:val="en-US"/>
        </w:rPr>
        <w:t xml:space="preserve">applicant and the </w:t>
      </w:r>
      <w:r w:rsidR="006F311C" w:rsidRPr="00DE34F7">
        <w:rPr>
          <w:rFonts w:ascii="Arial" w:hAnsi="Arial" w:cs="Arial"/>
          <w:sz w:val="24"/>
          <w:szCs w:val="24"/>
          <w:lang w:val="en-US"/>
        </w:rPr>
        <w:t>second respondent.</w:t>
      </w:r>
    </w:p>
    <w:p w14:paraId="6A95866E" w14:textId="77777777" w:rsidR="004A4D54" w:rsidRDefault="004A4D54" w:rsidP="00DA2D1C">
      <w:pPr>
        <w:spacing w:after="0" w:line="360" w:lineRule="auto"/>
        <w:jc w:val="both"/>
        <w:rPr>
          <w:rFonts w:ascii="Arial" w:hAnsi="Arial" w:cs="Arial"/>
          <w:sz w:val="24"/>
          <w:szCs w:val="24"/>
          <w:lang w:val="en-US"/>
        </w:rPr>
      </w:pPr>
    </w:p>
    <w:p w14:paraId="05531317" w14:textId="77777777" w:rsidR="00784E36"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C74FE5">
        <w:rPr>
          <w:rFonts w:ascii="Arial" w:hAnsi="Arial" w:cs="Arial"/>
          <w:sz w:val="24"/>
          <w:szCs w:val="24"/>
          <w:lang w:val="en-US"/>
        </w:rPr>
        <w:t xml:space="preserve">The relationship </w:t>
      </w:r>
      <w:r w:rsidR="00F70525">
        <w:rPr>
          <w:rFonts w:ascii="Arial" w:hAnsi="Arial" w:cs="Arial"/>
          <w:sz w:val="24"/>
          <w:szCs w:val="24"/>
          <w:lang w:val="en-US"/>
        </w:rPr>
        <w:t xml:space="preserve">between the </w:t>
      </w:r>
      <w:r w:rsidR="00C74FE5">
        <w:rPr>
          <w:rFonts w:ascii="Arial" w:hAnsi="Arial" w:cs="Arial"/>
          <w:sz w:val="24"/>
          <w:szCs w:val="24"/>
          <w:lang w:val="en-US"/>
        </w:rPr>
        <w:t xml:space="preserve"> applicant and the first respondent became negatively affected by the</w:t>
      </w:r>
      <w:r w:rsidR="00024F4F">
        <w:rPr>
          <w:rFonts w:ascii="Arial" w:hAnsi="Arial" w:cs="Arial"/>
          <w:sz w:val="24"/>
          <w:szCs w:val="24"/>
          <w:lang w:val="en-US"/>
        </w:rPr>
        <w:t>ir</w:t>
      </w:r>
      <w:r w:rsidR="00C74FE5">
        <w:rPr>
          <w:rFonts w:ascii="Arial" w:hAnsi="Arial" w:cs="Arial"/>
          <w:sz w:val="24"/>
          <w:szCs w:val="24"/>
          <w:lang w:val="en-US"/>
        </w:rPr>
        <w:t xml:space="preserve"> competing interests over the </w:t>
      </w:r>
      <w:r w:rsidR="00024F4F">
        <w:rPr>
          <w:rFonts w:ascii="Arial" w:hAnsi="Arial" w:cs="Arial"/>
          <w:sz w:val="24"/>
          <w:szCs w:val="24"/>
          <w:lang w:val="en-US"/>
        </w:rPr>
        <w:t xml:space="preserve">benefits or use of the sole asset of the second respondent, in which the </w:t>
      </w:r>
      <w:r w:rsidR="00024F4F" w:rsidRPr="00704D26">
        <w:rPr>
          <w:rFonts w:ascii="Arial" w:hAnsi="Arial" w:cs="Arial"/>
          <w:sz w:val="24"/>
          <w:szCs w:val="24"/>
        </w:rPr>
        <w:t>first</w:t>
      </w:r>
      <w:r w:rsidR="00024F4F">
        <w:rPr>
          <w:rFonts w:ascii="Arial" w:hAnsi="Arial" w:cs="Arial"/>
          <w:sz w:val="24"/>
          <w:szCs w:val="24"/>
          <w:lang w:val="en-US"/>
        </w:rPr>
        <w:t xml:space="preserve"> respondent resided.</w:t>
      </w:r>
      <w:r w:rsidR="00103189">
        <w:rPr>
          <w:rFonts w:ascii="Arial" w:hAnsi="Arial" w:cs="Arial"/>
          <w:sz w:val="24"/>
          <w:szCs w:val="24"/>
          <w:lang w:val="en-US"/>
        </w:rPr>
        <w:t xml:space="preserve"> </w:t>
      </w:r>
      <w:r w:rsidR="00784E36">
        <w:rPr>
          <w:rFonts w:ascii="Arial" w:hAnsi="Arial" w:cs="Arial"/>
          <w:sz w:val="24"/>
          <w:szCs w:val="24"/>
          <w:lang w:val="en-US"/>
        </w:rPr>
        <w:t xml:space="preserve">Their relationship as siblings and as members of the second respondent has deteriorated over time. There were interventions by family members; some legal representatives and accountants of the second respondent but </w:t>
      </w:r>
      <w:r w:rsidR="00F70525">
        <w:rPr>
          <w:rFonts w:ascii="Arial" w:hAnsi="Arial" w:cs="Arial"/>
          <w:sz w:val="24"/>
          <w:szCs w:val="24"/>
          <w:lang w:val="en-US"/>
        </w:rPr>
        <w:t>none have</w:t>
      </w:r>
      <w:r w:rsidR="00784E36">
        <w:rPr>
          <w:rFonts w:ascii="Arial" w:hAnsi="Arial" w:cs="Arial"/>
          <w:sz w:val="24"/>
          <w:szCs w:val="24"/>
          <w:lang w:val="en-US"/>
        </w:rPr>
        <w:t xml:space="preserve"> managed to resolve their dispute. </w:t>
      </w:r>
    </w:p>
    <w:p w14:paraId="5F1006C3" w14:textId="77777777" w:rsidR="00FF1159" w:rsidRDefault="00FF1159" w:rsidP="00DA2D1C">
      <w:pPr>
        <w:spacing w:after="0" w:line="360" w:lineRule="auto"/>
        <w:jc w:val="both"/>
        <w:rPr>
          <w:rFonts w:ascii="Arial" w:hAnsi="Arial" w:cs="Arial"/>
          <w:sz w:val="24"/>
          <w:szCs w:val="24"/>
          <w:lang w:val="en-US"/>
        </w:rPr>
      </w:pPr>
    </w:p>
    <w:p w14:paraId="04E04388" w14:textId="77777777" w:rsidR="00FF1159" w:rsidRDefault="00704D26" w:rsidP="00704D26">
      <w:pPr>
        <w:spacing w:after="0" w:line="360" w:lineRule="auto"/>
        <w:jc w:val="both"/>
        <w:rPr>
          <w:rFonts w:ascii="Arial" w:hAnsi="Arial" w:cs="Arial"/>
          <w:sz w:val="24"/>
          <w:szCs w:val="24"/>
          <w:lang w:val="en-US"/>
        </w:rPr>
      </w:pPr>
      <w:r w:rsidRPr="002246B6">
        <w:rPr>
          <w:rFonts w:ascii="Arial" w:hAnsi="Arial" w:cs="Arial"/>
          <w:sz w:val="24"/>
          <w:szCs w:val="24"/>
          <w:lang w:val="en-US"/>
        </w:rPr>
        <w:t>[11]</w:t>
      </w:r>
      <w:r w:rsidRPr="002246B6">
        <w:rPr>
          <w:rFonts w:ascii="Arial" w:hAnsi="Arial" w:cs="Arial"/>
          <w:sz w:val="24"/>
          <w:szCs w:val="24"/>
          <w:lang w:val="en-US"/>
        </w:rPr>
        <w:tab/>
      </w:r>
      <w:r w:rsidR="00FF1159" w:rsidRPr="002246B6">
        <w:rPr>
          <w:rFonts w:ascii="Arial" w:hAnsi="Arial" w:cs="Arial"/>
          <w:sz w:val="24"/>
          <w:szCs w:val="24"/>
          <w:lang w:val="en-US"/>
        </w:rPr>
        <w:t>Some of the attempts to resolve the impasse between the members of the second respondent included holding of meetings and some discussions. For instance, during May 2011, their brother Dines also intervened. He offered to pay the applicant an amount of R250 000 in lieu of her interest in the second respondent. This was facilitated by Zubeda Seedat Attorneys. It also failed. Invitation to a meeting was facilitated by Shepstone and Wylie Attorneys, to be held on 25 July 2014. This invitation included two resolutions that were to be proposed during the meeting. Due to contestations of the first respondent on the composition of that meeting, nothing materialized.</w:t>
      </w:r>
    </w:p>
    <w:p w14:paraId="2A8B5FF8" w14:textId="77777777" w:rsidR="000C51B9" w:rsidRDefault="000C51B9" w:rsidP="00DA2D1C">
      <w:pPr>
        <w:spacing w:after="0" w:line="360" w:lineRule="auto"/>
        <w:jc w:val="both"/>
        <w:rPr>
          <w:rFonts w:ascii="Arial" w:hAnsi="Arial" w:cs="Arial"/>
          <w:sz w:val="24"/>
          <w:szCs w:val="24"/>
          <w:lang w:val="en-US"/>
        </w:rPr>
      </w:pPr>
    </w:p>
    <w:p w14:paraId="3FED8356" w14:textId="77777777" w:rsidR="006671ED" w:rsidRDefault="00704D26" w:rsidP="00DA2D1C">
      <w:pPr>
        <w:spacing w:after="0"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FF1159">
        <w:rPr>
          <w:rFonts w:ascii="Arial" w:hAnsi="Arial" w:cs="Arial"/>
          <w:sz w:val="24"/>
          <w:szCs w:val="24"/>
          <w:lang w:val="en-US"/>
        </w:rPr>
        <w:t xml:space="preserve">A proposed resolution in </w:t>
      </w:r>
      <w:r w:rsidR="002246B6">
        <w:rPr>
          <w:rFonts w:ascii="Arial" w:hAnsi="Arial" w:cs="Arial"/>
          <w:sz w:val="24"/>
          <w:szCs w:val="24"/>
          <w:lang w:val="en-US"/>
        </w:rPr>
        <w:t xml:space="preserve">a </w:t>
      </w:r>
      <w:r w:rsidR="00FF1159">
        <w:rPr>
          <w:rFonts w:ascii="Arial" w:hAnsi="Arial" w:cs="Arial"/>
          <w:sz w:val="24"/>
          <w:szCs w:val="24"/>
          <w:lang w:val="en-US"/>
        </w:rPr>
        <w:t xml:space="preserve">letter from Webber Wentzel Attorneys dated 31 October 2014 related to the meeting of 25 July 2014. This letter sought to give notice by the applicant </w:t>
      </w:r>
      <w:r w:rsidR="002246B6">
        <w:rPr>
          <w:rFonts w:ascii="Arial" w:hAnsi="Arial" w:cs="Arial"/>
          <w:sz w:val="24"/>
          <w:szCs w:val="24"/>
          <w:lang w:val="en-US"/>
        </w:rPr>
        <w:t>in terms of</w:t>
      </w:r>
      <w:r w:rsidR="00FF1159">
        <w:rPr>
          <w:rFonts w:ascii="Arial" w:hAnsi="Arial" w:cs="Arial"/>
          <w:sz w:val="24"/>
          <w:szCs w:val="24"/>
          <w:lang w:val="en-US"/>
        </w:rPr>
        <w:t xml:space="preserve"> s 50 of the Act</w:t>
      </w:r>
      <w:r w:rsidR="00CC51E7">
        <w:rPr>
          <w:rFonts w:ascii="Arial" w:hAnsi="Arial" w:cs="Arial"/>
          <w:sz w:val="24"/>
          <w:szCs w:val="24"/>
          <w:lang w:val="en-US"/>
        </w:rPr>
        <w:t>;</w:t>
      </w:r>
      <w:r w:rsidR="00FF1159">
        <w:rPr>
          <w:rStyle w:val="FootnoteReference"/>
          <w:rFonts w:ascii="Arial" w:hAnsi="Arial" w:cs="Arial"/>
          <w:sz w:val="24"/>
          <w:szCs w:val="24"/>
          <w:lang w:val="en-US"/>
        </w:rPr>
        <w:footnoteReference w:id="3"/>
      </w:r>
      <w:r w:rsidR="00FF1159">
        <w:rPr>
          <w:rFonts w:ascii="Arial" w:hAnsi="Arial" w:cs="Arial"/>
          <w:sz w:val="24"/>
          <w:szCs w:val="24"/>
          <w:lang w:val="en-US"/>
        </w:rPr>
        <w:t xml:space="preserve"> </w:t>
      </w:r>
      <w:r w:rsidR="002246B6">
        <w:rPr>
          <w:rFonts w:ascii="Arial" w:hAnsi="Arial" w:cs="Arial"/>
          <w:sz w:val="24"/>
          <w:szCs w:val="24"/>
          <w:lang w:val="en-US"/>
        </w:rPr>
        <w:t>that there was a</w:t>
      </w:r>
      <w:r w:rsidR="00047AF5">
        <w:rPr>
          <w:rFonts w:ascii="Arial" w:hAnsi="Arial" w:cs="Arial"/>
          <w:sz w:val="24"/>
          <w:szCs w:val="24"/>
          <w:lang w:val="en-US"/>
        </w:rPr>
        <w:t xml:space="preserve"> </w:t>
      </w:r>
      <w:r w:rsidR="00FF1159">
        <w:rPr>
          <w:rFonts w:ascii="Arial" w:hAnsi="Arial" w:cs="Arial"/>
          <w:sz w:val="24"/>
          <w:szCs w:val="24"/>
          <w:lang w:val="en-US"/>
        </w:rPr>
        <w:t xml:space="preserve">breach of duty arising </w:t>
      </w:r>
      <w:r w:rsidR="00FF1159">
        <w:rPr>
          <w:rFonts w:ascii="Arial" w:hAnsi="Arial" w:cs="Arial"/>
          <w:sz w:val="24"/>
          <w:szCs w:val="24"/>
          <w:lang w:val="en-US"/>
        </w:rPr>
        <w:lastRenderedPageBreak/>
        <w:t>from the first respondent’s relationship to the second respondent and alleged negligence in terms of s</w:t>
      </w:r>
      <w:r w:rsidR="00047AF5">
        <w:rPr>
          <w:rFonts w:ascii="Arial" w:hAnsi="Arial" w:cs="Arial"/>
          <w:sz w:val="24"/>
          <w:szCs w:val="24"/>
          <w:lang w:val="en-US"/>
        </w:rPr>
        <w:t xml:space="preserve"> </w:t>
      </w:r>
      <w:r w:rsidR="00FF1159">
        <w:rPr>
          <w:rFonts w:ascii="Arial" w:hAnsi="Arial" w:cs="Arial"/>
          <w:sz w:val="24"/>
          <w:szCs w:val="24"/>
          <w:lang w:val="en-US"/>
        </w:rPr>
        <w:t>43 of the Act</w:t>
      </w:r>
      <w:r w:rsidR="000C51B9">
        <w:rPr>
          <w:rFonts w:ascii="Arial" w:hAnsi="Arial" w:cs="Arial"/>
          <w:sz w:val="24"/>
          <w:szCs w:val="24"/>
          <w:lang w:val="en-US"/>
        </w:rPr>
        <w:t>. This initiative failed to yield any positive results in improving the relationship between the members of the second respondent.</w:t>
      </w:r>
    </w:p>
    <w:p w14:paraId="15D456B5" w14:textId="77777777" w:rsidR="006671ED"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6671ED">
        <w:rPr>
          <w:rFonts w:ascii="Arial" w:hAnsi="Arial" w:cs="Arial"/>
          <w:sz w:val="24"/>
          <w:szCs w:val="24"/>
          <w:lang w:val="en-US"/>
        </w:rPr>
        <w:t xml:space="preserve">The last interaction between the applicant and the first respondent was in 2014 when Weber Wentzel Attorneys attempted to facilitate a meeting </w:t>
      </w:r>
      <w:r w:rsidR="00AE6967">
        <w:rPr>
          <w:rFonts w:ascii="Arial" w:hAnsi="Arial" w:cs="Arial"/>
          <w:sz w:val="24"/>
          <w:szCs w:val="24"/>
          <w:lang w:val="en-US"/>
        </w:rPr>
        <w:t>between them as members of the corporation</w:t>
      </w:r>
      <w:r w:rsidR="006671ED">
        <w:rPr>
          <w:rFonts w:ascii="Arial" w:hAnsi="Arial" w:cs="Arial"/>
          <w:sz w:val="24"/>
          <w:szCs w:val="24"/>
          <w:lang w:val="en-US"/>
        </w:rPr>
        <w:t xml:space="preserve">. There had also been proposed resolutions </w:t>
      </w:r>
      <w:r w:rsidR="00047AF5">
        <w:rPr>
          <w:rFonts w:ascii="Arial" w:hAnsi="Arial" w:cs="Arial"/>
          <w:sz w:val="24"/>
          <w:szCs w:val="24"/>
          <w:lang w:val="en-US"/>
        </w:rPr>
        <w:t xml:space="preserve">at </w:t>
      </w:r>
      <w:r w:rsidR="006671ED">
        <w:rPr>
          <w:rFonts w:ascii="Arial" w:hAnsi="Arial" w:cs="Arial"/>
          <w:sz w:val="24"/>
          <w:szCs w:val="24"/>
          <w:lang w:val="en-US"/>
        </w:rPr>
        <w:t xml:space="preserve">the said meeting, however this did not yield any tangible results and the members did not interact in person. </w:t>
      </w:r>
    </w:p>
    <w:p w14:paraId="0E0F16C7" w14:textId="77777777" w:rsidR="000C51B9" w:rsidRDefault="000C51B9" w:rsidP="000C51B9">
      <w:pPr>
        <w:pStyle w:val="FootnoteText"/>
        <w:spacing w:line="360" w:lineRule="auto"/>
        <w:ind w:left="720"/>
        <w:jc w:val="both"/>
        <w:rPr>
          <w:rFonts w:ascii="Arial" w:hAnsi="Arial" w:cs="Arial"/>
          <w:sz w:val="24"/>
          <w:szCs w:val="24"/>
          <w:lang w:val="en-US"/>
        </w:rPr>
      </w:pPr>
    </w:p>
    <w:p w14:paraId="73E98C88" w14:textId="77777777" w:rsidR="00FF1159"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FF1159">
        <w:rPr>
          <w:rFonts w:ascii="Arial" w:hAnsi="Arial" w:cs="Arial"/>
          <w:sz w:val="24"/>
          <w:szCs w:val="24"/>
          <w:lang w:val="en-US"/>
        </w:rPr>
        <w:t xml:space="preserve">During 2022, </w:t>
      </w:r>
      <w:r w:rsidR="00D3165F">
        <w:rPr>
          <w:rFonts w:ascii="Arial" w:hAnsi="Arial" w:cs="Arial"/>
          <w:sz w:val="24"/>
          <w:szCs w:val="24"/>
          <w:lang w:val="en-US"/>
        </w:rPr>
        <w:t xml:space="preserve">after the application at hand was instituted, </w:t>
      </w:r>
      <w:r w:rsidR="00FF1159">
        <w:rPr>
          <w:rFonts w:ascii="Arial" w:hAnsi="Arial" w:cs="Arial"/>
          <w:sz w:val="24"/>
          <w:szCs w:val="24"/>
          <w:lang w:val="en-US"/>
        </w:rPr>
        <w:t>the attorneys of the first respondent, attempted to facilitate a settlement, at the instance of the first respondent</w:t>
      </w:r>
      <w:r w:rsidR="000C51B9">
        <w:rPr>
          <w:rFonts w:ascii="Arial" w:hAnsi="Arial" w:cs="Arial"/>
          <w:sz w:val="24"/>
          <w:szCs w:val="24"/>
          <w:lang w:val="en-US"/>
        </w:rPr>
        <w:t>. The applicant was</w:t>
      </w:r>
      <w:r w:rsidR="00FF1159">
        <w:rPr>
          <w:rFonts w:ascii="Arial" w:hAnsi="Arial" w:cs="Arial"/>
          <w:sz w:val="24"/>
          <w:szCs w:val="24"/>
          <w:lang w:val="en-US"/>
        </w:rPr>
        <w:t xml:space="preserve"> invited to propose a figure or amount that she wanted in </w:t>
      </w:r>
      <w:r w:rsidR="00FF1159" w:rsidRPr="00704D26">
        <w:rPr>
          <w:rFonts w:ascii="Arial" w:hAnsi="Arial" w:cs="Arial"/>
          <w:sz w:val="24"/>
          <w:szCs w:val="24"/>
        </w:rPr>
        <w:t>lieu</w:t>
      </w:r>
      <w:r w:rsidR="00FF1159">
        <w:rPr>
          <w:rFonts w:ascii="Arial" w:hAnsi="Arial" w:cs="Arial"/>
          <w:sz w:val="24"/>
          <w:szCs w:val="24"/>
          <w:lang w:val="en-US"/>
        </w:rPr>
        <w:t xml:space="preserve"> of her interest in the second respondent. The applicant communicated that she wanted R900 000</w:t>
      </w:r>
      <w:r w:rsidR="006671ED">
        <w:rPr>
          <w:rFonts w:ascii="Arial" w:hAnsi="Arial" w:cs="Arial"/>
          <w:sz w:val="24"/>
          <w:szCs w:val="24"/>
          <w:lang w:val="en-US"/>
        </w:rPr>
        <w:t xml:space="preserve"> in settlement, however, t</w:t>
      </w:r>
      <w:r w:rsidR="00FF1159">
        <w:rPr>
          <w:rFonts w:ascii="Arial" w:hAnsi="Arial" w:cs="Arial"/>
          <w:sz w:val="24"/>
          <w:szCs w:val="24"/>
          <w:lang w:val="en-US"/>
        </w:rPr>
        <w:t>his too was not successful.</w:t>
      </w:r>
    </w:p>
    <w:p w14:paraId="61C13F1B" w14:textId="77777777" w:rsidR="000C51B9" w:rsidRDefault="000C51B9" w:rsidP="000C51B9">
      <w:pPr>
        <w:pStyle w:val="FootnoteText"/>
        <w:spacing w:line="360" w:lineRule="auto"/>
        <w:ind w:left="720"/>
        <w:jc w:val="both"/>
        <w:rPr>
          <w:rFonts w:ascii="Arial" w:hAnsi="Arial" w:cs="Arial"/>
          <w:sz w:val="24"/>
          <w:szCs w:val="24"/>
          <w:lang w:val="en-US"/>
        </w:rPr>
      </w:pPr>
    </w:p>
    <w:p w14:paraId="4D9ED8D5" w14:textId="77777777" w:rsidR="000C51B9"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0C51B9" w:rsidRPr="006058EF">
        <w:rPr>
          <w:rFonts w:ascii="Arial" w:hAnsi="Arial" w:cs="Arial"/>
          <w:sz w:val="24"/>
          <w:szCs w:val="24"/>
          <w:lang w:val="en-US"/>
        </w:rPr>
        <w:t xml:space="preserve">The </w:t>
      </w:r>
      <w:r w:rsidR="000C51B9" w:rsidRPr="00704D26">
        <w:rPr>
          <w:rFonts w:ascii="Arial" w:hAnsi="Arial" w:cs="Arial"/>
          <w:sz w:val="24"/>
          <w:szCs w:val="24"/>
        </w:rPr>
        <w:t>second</w:t>
      </w:r>
      <w:r w:rsidR="000C51B9" w:rsidRPr="006058EF">
        <w:rPr>
          <w:rFonts w:ascii="Arial" w:hAnsi="Arial" w:cs="Arial"/>
          <w:sz w:val="24"/>
          <w:szCs w:val="24"/>
          <w:lang w:val="en-US"/>
        </w:rPr>
        <w:t xml:space="preserve"> respondent </w:t>
      </w:r>
      <w:r w:rsidR="006058EF" w:rsidRPr="006058EF">
        <w:rPr>
          <w:rFonts w:ascii="Arial" w:hAnsi="Arial" w:cs="Arial"/>
          <w:sz w:val="24"/>
          <w:szCs w:val="24"/>
          <w:lang w:val="en-US"/>
        </w:rPr>
        <w:t xml:space="preserve">had appointed </w:t>
      </w:r>
      <w:r w:rsidR="006058EF" w:rsidRPr="006058EF">
        <w:rPr>
          <w:rFonts w:ascii="Arial" w:hAnsi="Arial" w:cs="Arial"/>
          <w:sz w:val="24"/>
          <w:szCs w:val="24"/>
        </w:rPr>
        <w:t xml:space="preserve">Select Financial Consultants, as </w:t>
      </w:r>
      <w:r w:rsidR="00047AF5">
        <w:rPr>
          <w:rFonts w:ascii="Arial" w:hAnsi="Arial" w:cs="Arial"/>
          <w:sz w:val="24"/>
          <w:szCs w:val="24"/>
        </w:rPr>
        <w:t xml:space="preserve">its </w:t>
      </w:r>
      <w:r w:rsidR="006058EF" w:rsidRPr="006058EF">
        <w:rPr>
          <w:rFonts w:ascii="Arial" w:hAnsi="Arial" w:cs="Arial"/>
          <w:sz w:val="24"/>
          <w:szCs w:val="24"/>
          <w:lang w:val="en-US"/>
        </w:rPr>
        <w:t xml:space="preserve">accounting officers and such appointment was </w:t>
      </w:r>
      <w:r w:rsidR="002F09A7" w:rsidRPr="006058EF">
        <w:rPr>
          <w:rFonts w:ascii="Arial" w:hAnsi="Arial" w:cs="Arial"/>
          <w:sz w:val="24"/>
          <w:szCs w:val="24"/>
          <w:lang w:val="en-US"/>
        </w:rPr>
        <w:t xml:space="preserve">in compliance with the statutory provisions </w:t>
      </w:r>
      <w:r w:rsidR="00047AF5">
        <w:rPr>
          <w:rFonts w:ascii="Arial" w:hAnsi="Arial" w:cs="Arial"/>
          <w:sz w:val="24"/>
          <w:szCs w:val="24"/>
          <w:lang w:val="en-US"/>
        </w:rPr>
        <w:t>of the</w:t>
      </w:r>
      <w:r w:rsidR="006058EF" w:rsidRPr="006058EF">
        <w:rPr>
          <w:rFonts w:ascii="Arial" w:hAnsi="Arial" w:cs="Arial"/>
          <w:sz w:val="24"/>
          <w:szCs w:val="24"/>
          <w:lang w:val="en-US"/>
        </w:rPr>
        <w:t xml:space="preserve"> Act. However, there were no records to suggest that their services had been utilized, as the applicant contended that she was no</w:t>
      </w:r>
      <w:r w:rsidR="00047AF5">
        <w:rPr>
          <w:rFonts w:ascii="Arial" w:hAnsi="Arial" w:cs="Arial"/>
          <w:sz w:val="24"/>
          <w:szCs w:val="24"/>
          <w:lang w:val="en-US"/>
        </w:rPr>
        <w:t>t</w:t>
      </w:r>
      <w:r w:rsidR="006058EF" w:rsidRPr="006058EF">
        <w:rPr>
          <w:rFonts w:ascii="Arial" w:hAnsi="Arial" w:cs="Arial"/>
          <w:sz w:val="24"/>
          <w:szCs w:val="24"/>
          <w:lang w:val="en-US"/>
        </w:rPr>
        <w:t xml:space="preserve"> involved in the operations or affairs of the second respondent. </w:t>
      </w:r>
    </w:p>
    <w:p w14:paraId="61F13E0A" w14:textId="77777777" w:rsidR="006058EF" w:rsidRDefault="006058EF" w:rsidP="006058EF">
      <w:pPr>
        <w:pStyle w:val="ListParagraph"/>
        <w:rPr>
          <w:rFonts w:ascii="Arial" w:hAnsi="Arial" w:cs="Arial"/>
          <w:sz w:val="24"/>
          <w:szCs w:val="24"/>
          <w:lang w:val="en-US"/>
        </w:rPr>
      </w:pPr>
    </w:p>
    <w:p w14:paraId="7EE5FD97" w14:textId="77777777" w:rsidR="00005AC0" w:rsidRDefault="00005AC0" w:rsidP="000C51B9">
      <w:pPr>
        <w:pStyle w:val="FootnoteText"/>
        <w:spacing w:line="360" w:lineRule="auto"/>
        <w:jc w:val="both"/>
        <w:rPr>
          <w:rFonts w:ascii="Arial" w:hAnsi="Arial" w:cs="Arial"/>
          <w:b/>
          <w:sz w:val="24"/>
          <w:szCs w:val="24"/>
          <w:lang w:val="en-US"/>
        </w:rPr>
      </w:pPr>
      <w:r>
        <w:rPr>
          <w:rFonts w:ascii="Arial" w:hAnsi="Arial" w:cs="Arial"/>
          <w:b/>
          <w:sz w:val="24"/>
          <w:szCs w:val="24"/>
          <w:lang w:val="en-US"/>
        </w:rPr>
        <w:t>The issue</w:t>
      </w:r>
    </w:p>
    <w:p w14:paraId="583E82A4" w14:textId="77777777" w:rsidR="00005AC0"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760833">
        <w:rPr>
          <w:rFonts w:ascii="Arial" w:hAnsi="Arial" w:cs="Arial"/>
          <w:sz w:val="24"/>
          <w:szCs w:val="24"/>
          <w:lang w:val="en-US"/>
        </w:rPr>
        <w:t xml:space="preserve">The issues that </w:t>
      </w:r>
      <w:r w:rsidR="00760833" w:rsidRPr="00704D26">
        <w:rPr>
          <w:rFonts w:ascii="Arial" w:hAnsi="Arial" w:cs="Arial"/>
          <w:sz w:val="24"/>
          <w:szCs w:val="24"/>
        </w:rPr>
        <w:t>this</w:t>
      </w:r>
      <w:r w:rsidR="00760833">
        <w:rPr>
          <w:rFonts w:ascii="Arial" w:hAnsi="Arial" w:cs="Arial"/>
          <w:sz w:val="24"/>
          <w:szCs w:val="24"/>
          <w:lang w:val="en-US"/>
        </w:rPr>
        <w:t xml:space="preserve"> court is called to determine </w:t>
      </w:r>
      <w:r w:rsidR="00370742">
        <w:rPr>
          <w:rFonts w:ascii="Arial" w:hAnsi="Arial" w:cs="Arial"/>
          <w:sz w:val="24"/>
          <w:szCs w:val="24"/>
          <w:lang w:val="en-US"/>
        </w:rPr>
        <w:t>first</w:t>
      </w:r>
      <w:r w:rsidR="00047AF5">
        <w:rPr>
          <w:rFonts w:ascii="Arial" w:hAnsi="Arial" w:cs="Arial"/>
          <w:sz w:val="24"/>
          <w:szCs w:val="24"/>
          <w:lang w:val="en-US"/>
        </w:rPr>
        <w:t>ly</w:t>
      </w:r>
      <w:r w:rsidR="00370742">
        <w:rPr>
          <w:rFonts w:ascii="Arial" w:hAnsi="Arial" w:cs="Arial"/>
          <w:sz w:val="24"/>
          <w:szCs w:val="24"/>
          <w:lang w:val="en-US"/>
        </w:rPr>
        <w:t xml:space="preserve"> relate to the alleged dispute of fact, and the specific factors raised by the first </w:t>
      </w:r>
      <w:r w:rsidR="00047AF5">
        <w:rPr>
          <w:rFonts w:ascii="Arial" w:hAnsi="Arial" w:cs="Arial"/>
          <w:sz w:val="24"/>
          <w:szCs w:val="24"/>
          <w:lang w:val="en-US"/>
        </w:rPr>
        <w:t xml:space="preserve">respondent </w:t>
      </w:r>
      <w:r w:rsidR="00370742">
        <w:rPr>
          <w:rFonts w:ascii="Arial" w:hAnsi="Arial" w:cs="Arial"/>
          <w:sz w:val="24"/>
          <w:szCs w:val="24"/>
          <w:lang w:val="en-US"/>
        </w:rPr>
        <w:t xml:space="preserve">in that regard </w:t>
      </w:r>
      <w:r w:rsidR="00047AF5">
        <w:rPr>
          <w:rFonts w:ascii="Arial" w:hAnsi="Arial" w:cs="Arial"/>
          <w:sz w:val="24"/>
          <w:szCs w:val="24"/>
          <w:lang w:val="en-US"/>
        </w:rPr>
        <w:t xml:space="preserve">which </w:t>
      </w:r>
      <w:r w:rsidR="00760833">
        <w:rPr>
          <w:rFonts w:ascii="Arial" w:hAnsi="Arial" w:cs="Arial"/>
          <w:sz w:val="24"/>
          <w:szCs w:val="24"/>
          <w:lang w:val="en-US"/>
        </w:rPr>
        <w:t>include:</w:t>
      </w:r>
    </w:p>
    <w:p w14:paraId="71269FEC" w14:textId="77777777" w:rsidR="00760833" w:rsidRDefault="00704D26" w:rsidP="00704D26">
      <w:pPr>
        <w:pStyle w:val="FootnoteText"/>
        <w:spacing w:line="360" w:lineRule="auto"/>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047AF5">
        <w:rPr>
          <w:rFonts w:ascii="Arial" w:hAnsi="Arial" w:cs="Arial"/>
          <w:sz w:val="24"/>
          <w:szCs w:val="24"/>
          <w:lang w:val="en-US"/>
        </w:rPr>
        <w:t>t</w:t>
      </w:r>
      <w:r w:rsidR="00760833">
        <w:rPr>
          <w:rFonts w:ascii="Arial" w:hAnsi="Arial" w:cs="Arial"/>
          <w:sz w:val="24"/>
          <w:szCs w:val="24"/>
          <w:lang w:val="en-US"/>
        </w:rPr>
        <w:t>he purpose for which the second respondent was incorporated;</w:t>
      </w:r>
      <w:r w:rsidR="00103189">
        <w:rPr>
          <w:rFonts w:ascii="Arial" w:hAnsi="Arial" w:cs="Arial"/>
          <w:sz w:val="24"/>
          <w:szCs w:val="24"/>
          <w:lang w:val="en-US"/>
        </w:rPr>
        <w:t xml:space="preserve"> and</w:t>
      </w:r>
    </w:p>
    <w:p w14:paraId="71D21279" w14:textId="77777777" w:rsidR="00760833" w:rsidRDefault="00704D26" w:rsidP="00704D26">
      <w:pPr>
        <w:pStyle w:val="FootnoteText"/>
        <w:spacing w:line="360" w:lineRule="auto"/>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047AF5">
        <w:rPr>
          <w:rFonts w:ascii="Arial" w:hAnsi="Arial" w:cs="Arial"/>
          <w:sz w:val="24"/>
          <w:szCs w:val="24"/>
          <w:lang w:val="en-US"/>
        </w:rPr>
        <w:t>t</w:t>
      </w:r>
      <w:r w:rsidR="00760833">
        <w:rPr>
          <w:rFonts w:ascii="Arial" w:hAnsi="Arial" w:cs="Arial"/>
          <w:sz w:val="24"/>
          <w:szCs w:val="24"/>
          <w:lang w:val="en-US"/>
        </w:rPr>
        <w:t>he nature of the interests of the applicant in the second respondent</w:t>
      </w:r>
      <w:r w:rsidR="00103189">
        <w:rPr>
          <w:rFonts w:ascii="Arial" w:hAnsi="Arial" w:cs="Arial"/>
          <w:sz w:val="24"/>
          <w:szCs w:val="24"/>
          <w:lang w:val="en-US"/>
        </w:rPr>
        <w:t>.</w:t>
      </w:r>
    </w:p>
    <w:p w14:paraId="231BA1F9" w14:textId="77777777" w:rsidR="00370742" w:rsidRPr="00DA2D1C" w:rsidRDefault="00370742" w:rsidP="00DA2D1C">
      <w:pPr>
        <w:spacing w:after="0" w:line="360" w:lineRule="auto"/>
        <w:jc w:val="both"/>
        <w:rPr>
          <w:rFonts w:ascii="Arial" w:hAnsi="Arial" w:cs="Arial"/>
          <w:sz w:val="24"/>
          <w:szCs w:val="24"/>
        </w:rPr>
      </w:pPr>
    </w:p>
    <w:p w14:paraId="7621843A" w14:textId="77777777" w:rsidR="00760833"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370742">
        <w:rPr>
          <w:rFonts w:ascii="Arial" w:hAnsi="Arial" w:cs="Arial"/>
          <w:sz w:val="24"/>
          <w:szCs w:val="24"/>
          <w:lang w:val="en-US"/>
        </w:rPr>
        <w:t>On the merits of the application, the court must decide w</w:t>
      </w:r>
      <w:r w:rsidR="00760833">
        <w:rPr>
          <w:rFonts w:ascii="Arial" w:hAnsi="Arial" w:cs="Arial"/>
          <w:sz w:val="24"/>
          <w:szCs w:val="24"/>
          <w:lang w:val="en-US"/>
        </w:rPr>
        <w:t xml:space="preserve">hether the winding-up of the second respondent </w:t>
      </w:r>
      <w:r w:rsidR="00370742">
        <w:rPr>
          <w:rFonts w:ascii="Arial" w:hAnsi="Arial" w:cs="Arial"/>
          <w:sz w:val="24"/>
          <w:szCs w:val="24"/>
          <w:lang w:val="en-US"/>
        </w:rPr>
        <w:t xml:space="preserve">would be </w:t>
      </w:r>
      <w:r w:rsidR="00760833">
        <w:rPr>
          <w:rFonts w:ascii="Arial" w:hAnsi="Arial" w:cs="Arial"/>
          <w:sz w:val="24"/>
          <w:szCs w:val="24"/>
          <w:lang w:val="en-US"/>
        </w:rPr>
        <w:t>justified.</w:t>
      </w:r>
      <w:r w:rsidR="00370742">
        <w:rPr>
          <w:rFonts w:ascii="Arial" w:hAnsi="Arial" w:cs="Arial"/>
          <w:sz w:val="24"/>
          <w:szCs w:val="24"/>
          <w:lang w:val="en-US"/>
        </w:rPr>
        <w:t xml:space="preserve"> </w:t>
      </w:r>
      <w:r w:rsidR="005010C0">
        <w:rPr>
          <w:rFonts w:ascii="Arial" w:hAnsi="Arial" w:cs="Arial"/>
          <w:sz w:val="24"/>
          <w:szCs w:val="24"/>
          <w:lang w:val="en-US"/>
        </w:rPr>
        <w:t>The</w:t>
      </w:r>
      <w:r w:rsidR="00370742">
        <w:rPr>
          <w:rFonts w:ascii="Arial" w:hAnsi="Arial" w:cs="Arial"/>
          <w:sz w:val="24"/>
          <w:szCs w:val="24"/>
          <w:lang w:val="en-US"/>
        </w:rPr>
        <w:t xml:space="preserve"> two questions to be answered</w:t>
      </w:r>
      <w:r w:rsidR="005010C0">
        <w:rPr>
          <w:rFonts w:ascii="Arial" w:hAnsi="Arial" w:cs="Arial"/>
          <w:sz w:val="24"/>
          <w:szCs w:val="24"/>
          <w:lang w:val="en-US"/>
        </w:rPr>
        <w:t xml:space="preserve"> are</w:t>
      </w:r>
      <w:r w:rsidR="00370742">
        <w:rPr>
          <w:rFonts w:ascii="Arial" w:hAnsi="Arial" w:cs="Arial"/>
          <w:sz w:val="24"/>
          <w:szCs w:val="24"/>
          <w:lang w:val="en-US"/>
        </w:rPr>
        <w:t xml:space="preserve">, </w:t>
      </w:r>
      <w:r w:rsidR="00370742">
        <w:rPr>
          <w:rFonts w:ascii="Arial" w:hAnsi="Arial" w:cs="Arial"/>
          <w:sz w:val="24"/>
          <w:szCs w:val="24"/>
          <w:lang w:val="en-US"/>
        </w:rPr>
        <w:lastRenderedPageBreak/>
        <w:t xml:space="preserve">whether there is a deadlock, if the answer is in the affirmative, whether </w:t>
      </w:r>
      <w:r w:rsidR="00047AF5">
        <w:rPr>
          <w:rFonts w:ascii="Arial" w:hAnsi="Arial" w:cs="Arial"/>
          <w:sz w:val="24"/>
          <w:szCs w:val="24"/>
          <w:lang w:val="en-US"/>
        </w:rPr>
        <w:t xml:space="preserve">such deadlock </w:t>
      </w:r>
      <w:r w:rsidR="00370742">
        <w:rPr>
          <w:rFonts w:ascii="Arial" w:hAnsi="Arial" w:cs="Arial"/>
          <w:sz w:val="24"/>
          <w:szCs w:val="24"/>
          <w:lang w:val="en-US"/>
        </w:rPr>
        <w:t>has made it impossible for the second respondent to function or operate.</w:t>
      </w:r>
    </w:p>
    <w:p w14:paraId="7EDA9CCD" w14:textId="77777777" w:rsidR="00370742" w:rsidRDefault="00370742" w:rsidP="00DA2D1C">
      <w:pPr>
        <w:spacing w:after="0" w:line="360" w:lineRule="auto"/>
        <w:jc w:val="both"/>
        <w:rPr>
          <w:rFonts w:ascii="Arial" w:hAnsi="Arial" w:cs="Arial"/>
          <w:sz w:val="24"/>
          <w:szCs w:val="24"/>
          <w:lang w:val="en-US"/>
        </w:rPr>
      </w:pPr>
    </w:p>
    <w:p w14:paraId="23BE6EDE" w14:textId="77777777" w:rsidR="000C51B9" w:rsidRDefault="000C51B9" w:rsidP="000C51B9">
      <w:pPr>
        <w:pStyle w:val="FootnoteText"/>
        <w:spacing w:line="360" w:lineRule="auto"/>
        <w:jc w:val="both"/>
        <w:rPr>
          <w:rFonts w:ascii="Arial" w:hAnsi="Arial" w:cs="Arial"/>
          <w:b/>
          <w:sz w:val="24"/>
          <w:szCs w:val="24"/>
          <w:lang w:val="en-US"/>
        </w:rPr>
      </w:pPr>
      <w:r w:rsidRPr="005502FB">
        <w:rPr>
          <w:rFonts w:ascii="Arial" w:hAnsi="Arial" w:cs="Arial"/>
          <w:b/>
          <w:sz w:val="24"/>
          <w:szCs w:val="24"/>
          <w:lang w:val="en-US"/>
        </w:rPr>
        <w:t>Submissions of the parties</w:t>
      </w:r>
    </w:p>
    <w:p w14:paraId="5BB00101" w14:textId="77777777" w:rsidR="00BC6C87"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BC6C87">
        <w:rPr>
          <w:rFonts w:ascii="Arial" w:hAnsi="Arial" w:cs="Arial"/>
          <w:sz w:val="24"/>
          <w:szCs w:val="24"/>
          <w:lang w:val="en-US"/>
        </w:rPr>
        <w:t>The applicant denied that she had no financial interest in the second respondent.</w:t>
      </w:r>
      <w:r w:rsidR="00C4590D">
        <w:rPr>
          <w:rFonts w:ascii="Arial" w:hAnsi="Arial" w:cs="Arial"/>
          <w:sz w:val="24"/>
          <w:szCs w:val="24"/>
          <w:lang w:val="en-US"/>
        </w:rPr>
        <w:t xml:space="preserve"> According to her, the only property of the second respondent was acquired with the intention to start an investment property portfolio. When the property was rented out initially, the</w:t>
      </w:r>
      <w:r w:rsidR="002F09A7">
        <w:rPr>
          <w:rFonts w:ascii="Arial" w:hAnsi="Arial" w:cs="Arial"/>
          <w:sz w:val="24"/>
          <w:szCs w:val="24"/>
          <w:lang w:val="en-US"/>
        </w:rPr>
        <w:t xml:space="preserve"> second respondent</w:t>
      </w:r>
      <w:r w:rsidR="00C4590D">
        <w:rPr>
          <w:rFonts w:ascii="Arial" w:hAnsi="Arial" w:cs="Arial"/>
          <w:sz w:val="24"/>
          <w:szCs w:val="24"/>
          <w:lang w:val="en-US"/>
        </w:rPr>
        <w:t xml:space="preserve"> received income </w:t>
      </w:r>
      <w:r w:rsidR="002F09A7">
        <w:rPr>
          <w:rFonts w:ascii="Arial" w:hAnsi="Arial" w:cs="Arial"/>
          <w:sz w:val="24"/>
          <w:szCs w:val="24"/>
          <w:lang w:val="en-US"/>
        </w:rPr>
        <w:t xml:space="preserve">that </w:t>
      </w:r>
      <w:r w:rsidR="00C4590D">
        <w:rPr>
          <w:rFonts w:ascii="Arial" w:hAnsi="Arial" w:cs="Arial"/>
          <w:sz w:val="24"/>
          <w:szCs w:val="24"/>
          <w:lang w:val="en-US"/>
        </w:rPr>
        <w:t xml:space="preserve">was utilized to service the bond, until the first respondent occupied the premises and utilized it for her own purposes. </w:t>
      </w:r>
    </w:p>
    <w:p w14:paraId="0A2372B6" w14:textId="77777777" w:rsidR="005502FB" w:rsidRDefault="005502FB" w:rsidP="00DA2D1C">
      <w:pPr>
        <w:spacing w:after="0" w:line="360" w:lineRule="auto"/>
        <w:jc w:val="both"/>
        <w:rPr>
          <w:rFonts w:ascii="Arial" w:hAnsi="Arial" w:cs="Arial"/>
          <w:sz w:val="24"/>
          <w:szCs w:val="24"/>
          <w:lang w:val="en-US"/>
        </w:rPr>
      </w:pPr>
    </w:p>
    <w:p w14:paraId="0CF46073" w14:textId="77777777" w:rsidR="00DB4823"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047AF5">
        <w:rPr>
          <w:rFonts w:ascii="Arial" w:hAnsi="Arial" w:cs="Arial"/>
          <w:sz w:val="24"/>
          <w:szCs w:val="24"/>
          <w:lang w:val="en-US"/>
        </w:rPr>
        <w:t>The a</w:t>
      </w:r>
      <w:r w:rsidR="00C4590D">
        <w:rPr>
          <w:rFonts w:ascii="Arial" w:hAnsi="Arial" w:cs="Arial"/>
          <w:sz w:val="24"/>
          <w:szCs w:val="24"/>
          <w:lang w:val="en-US"/>
        </w:rPr>
        <w:t>pplicant argued that the conduct of the first respondent towards the aff</w:t>
      </w:r>
      <w:r w:rsidR="008B3C9B">
        <w:rPr>
          <w:rFonts w:ascii="Arial" w:hAnsi="Arial" w:cs="Arial"/>
          <w:sz w:val="24"/>
          <w:szCs w:val="24"/>
          <w:lang w:val="en-US"/>
        </w:rPr>
        <w:t>ai</w:t>
      </w:r>
      <w:r w:rsidR="00C4590D">
        <w:rPr>
          <w:rFonts w:ascii="Arial" w:hAnsi="Arial" w:cs="Arial"/>
          <w:sz w:val="24"/>
          <w:szCs w:val="24"/>
          <w:lang w:val="en-US"/>
        </w:rPr>
        <w:t xml:space="preserve">rs of the second respondent deprived her of the benefit of her financial interest and was detrimental to their family relations. </w:t>
      </w:r>
      <w:r w:rsidR="008B3C9B">
        <w:rPr>
          <w:rFonts w:ascii="Arial" w:hAnsi="Arial" w:cs="Arial"/>
          <w:sz w:val="24"/>
          <w:szCs w:val="24"/>
          <w:lang w:val="en-US"/>
        </w:rPr>
        <w:t xml:space="preserve">She emphasised </w:t>
      </w:r>
      <w:r w:rsidR="00784E36">
        <w:rPr>
          <w:rFonts w:ascii="Arial" w:hAnsi="Arial" w:cs="Arial"/>
          <w:sz w:val="24"/>
          <w:szCs w:val="24"/>
          <w:lang w:val="en-US"/>
        </w:rPr>
        <w:t>it had since become impo</w:t>
      </w:r>
      <w:r w:rsidR="00FF1159">
        <w:rPr>
          <w:rFonts w:ascii="Arial" w:hAnsi="Arial" w:cs="Arial"/>
          <w:sz w:val="24"/>
          <w:szCs w:val="24"/>
          <w:lang w:val="en-US"/>
        </w:rPr>
        <w:t>s</w:t>
      </w:r>
      <w:r w:rsidR="00784E36">
        <w:rPr>
          <w:rFonts w:ascii="Arial" w:hAnsi="Arial" w:cs="Arial"/>
          <w:sz w:val="24"/>
          <w:szCs w:val="24"/>
          <w:lang w:val="en-US"/>
        </w:rPr>
        <w:t xml:space="preserve">sible for the second respondent to conduct its business or </w:t>
      </w:r>
      <w:r w:rsidR="00FF1159">
        <w:rPr>
          <w:rFonts w:ascii="Arial" w:hAnsi="Arial" w:cs="Arial"/>
          <w:sz w:val="24"/>
          <w:szCs w:val="24"/>
          <w:lang w:val="en-US"/>
        </w:rPr>
        <w:t xml:space="preserve">purpose; hence it </w:t>
      </w:r>
      <w:r w:rsidR="008B3C9B">
        <w:rPr>
          <w:rFonts w:ascii="Arial" w:hAnsi="Arial" w:cs="Arial"/>
          <w:sz w:val="24"/>
          <w:szCs w:val="24"/>
          <w:lang w:val="en-US"/>
        </w:rPr>
        <w:t xml:space="preserve">should be wound up on the application of the deadlock principle. </w:t>
      </w:r>
      <w:r w:rsidR="00DB4823">
        <w:rPr>
          <w:rFonts w:ascii="Arial" w:hAnsi="Arial" w:cs="Arial"/>
          <w:sz w:val="24"/>
          <w:szCs w:val="24"/>
          <w:lang w:val="en-US"/>
        </w:rPr>
        <w:t>The applicant also contended that all possible means to resolve the impasse have failed</w:t>
      </w:r>
      <w:r w:rsidR="002F09A7">
        <w:rPr>
          <w:rFonts w:ascii="Arial" w:hAnsi="Arial" w:cs="Arial"/>
          <w:sz w:val="24"/>
          <w:szCs w:val="24"/>
          <w:lang w:val="en-US"/>
        </w:rPr>
        <w:t xml:space="preserve"> and </w:t>
      </w:r>
      <w:r w:rsidR="00047AF5">
        <w:rPr>
          <w:rFonts w:ascii="Arial" w:hAnsi="Arial" w:cs="Arial"/>
          <w:sz w:val="24"/>
          <w:szCs w:val="24"/>
          <w:lang w:val="en-US"/>
        </w:rPr>
        <w:t>she was not</w:t>
      </w:r>
      <w:r w:rsidR="002F09A7">
        <w:rPr>
          <w:rFonts w:ascii="Arial" w:hAnsi="Arial" w:cs="Arial"/>
          <w:sz w:val="24"/>
          <w:szCs w:val="24"/>
          <w:lang w:val="en-US"/>
        </w:rPr>
        <w:t xml:space="preserve"> </w:t>
      </w:r>
      <w:r w:rsidR="00047AF5">
        <w:rPr>
          <w:rFonts w:ascii="Arial" w:hAnsi="Arial" w:cs="Arial"/>
          <w:sz w:val="24"/>
          <w:szCs w:val="24"/>
          <w:lang w:val="en-US"/>
        </w:rPr>
        <w:t xml:space="preserve">on </w:t>
      </w:r>
      <w:r w:rsidR="002F09A7">
        <w:rPr>
          <w:rFonts w:ascii="Arial" w:hAnsi="Arial" w:cs="Arial"/>
          <w:sz w:val="24"/>
          <w:szCs w:val="24"/>
          <w:lang w:val="en-US"/>
        </w:rPr>
        <w:t xml:space="preserve"> speaking terms with the first respondent</w:t>
      </w:r>
      <w:r w:rsidR="00DB4823">
        <w:rPr>
          <w:rFonts w:ascii="Arial" w:hAnsi="Arial" w:cs="Arial"/>
          <w:sz w:val="24"/>
          <w:szCs w:val="24"/>
          <w:lang w:val="en-US"/>
        </w:rPr>
        <w:t>. The winding</w:t>
      </w:r>
      <w:r w:rsidR="00047AF5">
        <w:rPr>
          <w:rFonts w:ascii="Arial" w:hAnsi="Arial" w:cs="Arial"/>
          <w:sz w:val="24"/>
          <w:szCs w:val="24"/>
          <w:lang w:val="en-US"/>
        </w:rPr>
        <w:t>-</w:t>
      </w:r>
      <w:r w:rsidR="00DB4823">
        <w:rPr>
          <w:rFonts w:ascii="Arial" w:hAnsi="Arial" w:cs="Arial"/>
          <w:sz w:val="24"/>
          <w:szCs w:val="24"/>
          <w:lang w:val="en-US"/>
        </w:rPr>
        <w:t xml:space="preserve">up of the second respondent was the only remedy available to the </w:t>
      </w:r>
      <w:r w:rsidR="00932F0C">
        <w:rPr>
          <w:rFonts w:ascii="Arial" w:hAnsi="Arial" w:cs="Arial"/>
          <w:sz w:val="24"/>
          <w:szCs w:val="24"/>
          <w:lang w:val="en-US"/>
        </w:rPr>
        <w:t>applicant</w:t>
      </w:r>
      <w:r w:rsidR="00DB4823">
        <w:rPr>
          <w:rFonts w:ascii="Arial" w:hAnsi="Arial" w:cs="Arial"/>
          <w:sz w:val="24"/>
          <w:szCs w:val="24"/>
          <w:lang w:val="en-US"/>
        </w:rPr>
        <w:t xml:space="preserve">. </w:t>
      </w:r>
    </w:p>
    <w:p w14:paraId="1624D553" w14:textId="77777777" w:rsidR="00DB4823" w:rsidRDefault="00DB4823" w:rsidP="00DA2D1C">
      <w:pPr>
        <w:spacing w:after="0" w:line="360" w:lineRule="auto"/>
        <w:jc w:val="both"/>
        <w:rPr>
          <w:rFonts w:ascii="Arial" w:hAnsi="Arial" w:cs="Arial"/>
          <w:sz w:val="24"/>
          <w:szCs w:val="24"/>
          <w:lang w:val="en-US"/>
        </w:rPr>
      </w:pPr>
    </w:p>
    <w:p w14:paraId="1E1897D0" w14:textId="77777777" w:rsidR="00E6683F"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FF1159">
        <w:rPr>
          <w:rFonts w:ascii="Arial" w:hAnsi="Arial" w:cs="Arial"/>
          <w:sz w:val="24"/>
          <w:szCs w:val="24"/>
          <w:lang w:val="en-US"/>
        </w:rPr>
        <w:t xml:space="preserve">To make good </w:t>
      </w:r>
      <w:r w:rsidR="00E6683F">
        <w:rPr>
          <w:rFonts w:ascii="Arial" w:hAnsi="Arial" w:cs="Arial"/>
          <w:sz w:val="24"/>
          <w:szCs w:val="24"/>
          <w:lang w:val="en-US"/>
        </w:rPr>
        <w:t>the argument that the deadlock principle should be applied in this instance</w:t>
      </w:r>
      <w:r w:rsidR="00FF1159">
        <w:rPr>
          <w:rFonts w:ascii="Arial" w:hAnsi="Arial" w:cs="Arial"/>
          <w:sz w:val="24"/>
          <w:szCs w:val="24"/>
          <w:lang w:val="en-US"/>
        </w:rPr>
        <w:t>, the applicant</w:t>
      </w:r>
      <w:r w:rsidR="008B3C9B">
        <w:rPr>
          <w:rFonts w:ascii="Arial" w:hAnsi="Arial" w:cs="Arial"/>
          <w:sz w:val="24"/>
          <w:szCs w:val="24"/>
          <w:lang w:val="en-US"/>
        </w:rPr>
        <w:t xml:space="preserve"> referred to the case of </w:t>
      </w:r>
      <w:r w:rsidR="00E6683F">
        <w:rPr>
          <w:rFonts w:ascii="Arial" w:hAnsi="Arial" w:cs="Arial"/>
          <w:i/>
          <w:sz w:val="24"/>
          <w:szCs w:val="24"/>
          <w:lang w:val="en-US"/>
        </w:rPr>
        <w:t>Yenidje Tobacco Company Limited</w:t>
      </w:r>
      <w:r w:rsidR="00103189">
        <w:rPr>
          <w:rFonts w:ascii="Arial" w:hAnsi="Arial" w:cs="Arial"/>
          <w:i/>
          <w:sz w:val="24"/>
          <w:szCs w:val="24"/>
          <w:lang w:val="en-US"/>
        </w:rPr>
        <w:t>.</w:t>
      </w:r>
      <w:r w:rsidR="00103189" w:rsidRPr="00103189">
        <w:rPr>
          <w:rStyle w:val="FootnoteReference"/>
          <w:rFonts w:ascii="Arial" w:hAnsi="Arial" w:cs="Arial"/>
          <w:sz w:val="24"/>
          <w:szCs w:val="24"/>
          <w:lang w:val="en-US"/>
        </w:rPr>
        <w:footnoteReference w:id="4"/>
      </w:r>
      <w:r w:rsidR="00E6683F" w:rsidRPr="00103189">
        <w:rPr>
          <w:rFonts w:ascii="Arial" w:hAnsi="Arial" w:cs="Arial"/>
          <w:sz w:val="24"/>
          <w:szCs w:val="24"/>
          <w:lang w:val="en-US"/>
        </w:rPr>
        <w:t xml:space="preserve"> </w:t>
      </w:r>
      <w:r w:rsidR="00E6683F">
        <w:rPr>
          <w:rFonts w:ascii="Arial" w:hAnsi="Arial" w:cs="Arial"/>
          <w:sz w:val="24"/>
          <w:szCs w:val="24"/>
          <w:lang w:val="en-US"/>
        </w:rPr>
        <w:t xml:space="preserve">According to the applicant’s argument, the court defined the situation of a </w:t>
      </w:r>
      <w:r w:rsidR="00E6683F" w:rsidRPr="00704D26">
        <w:rPr>
          <w:rFonts w:ascii="Arial" w:hAnsi="Arial" w:cs="Arial"/>
          <w:sz w:val="24"/>
          <w:szCs w:val="24"/>
        </w:rPr>
        <w:t>deadlock</w:t>
      </w:r>
      <w:r w:rsidR="00E6683F">
        <w:rPr>
          <w:rFonts w:ascii="Arial" w:hAnsi="Arial" w:cs="Arial"/>
          <w:sz w:val="24"/>
          <w:szCs w:val="24"/>
          <w:lang w:val="en-US"/>
        </w:rPr>
        <w:t xml:space="preserve"> in small domestic companies to a situation where there is an arrangement, express or tacit, or implied regarding the affairs of a company. The relationship is a particular personal relationship of confidence and trust, similar to that of a partnership. </w:t>
      </w:r>
    </w:p>
    <w:p w14:paraId="3084C50E" w14:textId="77777777" w:rsidR="00E6683F" w:rsidRDefault="00E6683F" w:rsidP="00DA2D1C">
      <w:pPr>
        <w:spacing w:after="0" w:line="360" w:lineRule="auto"/>
        <w:jc w:val="both"/>
        <w:rPr>
          <w:rFonts w:ascii="Arial" w:hAnsi="Arial" w:cs="Arial"/>
          <w:i/>
          <w:sz w:val="24"/>
          <w:szCs w:val="24"/>
          <w:lang w:val="en-US"/>
        </w:rPr>
      </w:pPr>
    </w:p>
    <w:p w14:paraId="7088704B" w14:textId="77777777" w:rsidR="00704D26" w:rsidRDefault="00704D26" w:rsidP="00704D26">
      <w:pPr>
        <w:spacing w:after="0" w:line="360" w:lineRule="auto"/>
        <w:jc w:val="both"/>
        <w:rPr>
          <w:rFonts w:ascii="Arial" w:hAnsi="Arial" w:cs="Arial"/>
          <w:i/>
          <w:sz w:val="24"/>
          <w:szCs w:val="24"/>
          <w:lang w:val="en-US"/>
        </w:rPr>
      </w:pPr>
      <w:r>
        <w:rPr>
          <w:rFonts w:ascii="Arial" w:hAnsi="Arial" w:cs="Arial"/>
          <w:sz w:val="24"/>
          <w:szCs w:val="24"/>
          <w:lang w:val="en-US"/>
        </w:rPr>
        <w:t>[21]</w:t>
      </w:r>
      <w:r>
        <w:rPr>
          <w:rFonts w:ascii="Arial" w:hAnsi="Arial" w:cs="Arial"/>
          <w:sz w:val="24"/>
          <w:szCs w:val="24"/>
          <w:lang w:val="en-US"/>
        </w:rPr>
        <w:tab/>
      </w:r>
      <w:r w:rsidR="00E6683F" w:rsidRPr="002F09A7">
        <w:rPr>
          <w:rFonts w:ascii="Arial" w:hAnsi="Arial" w:cs="Arial"/>
          <w:sz w:val="24"/>
          <w:szCs w:val="24"/>
          <w:lang w:val="en-US"/>
        </w:rPr>
        <w:t xml:space="preserve">With </w:t>
      </w:r>
      <w:r w:rsidR="00E6683F" w:rsidRPr="00704D26">
        <w:rPr>
          <w:rFonts w:ascii="Arial" w:hAnsi="Arial" w:cs="Arial"/>
          <w:sz w:val="24"/>
          <w:szCs w:val="24"/>
        </w:rPr>
        <w:t>further</w:t>
      </w:r>
      <w:r w:rsidR="00E6683F" w:rsidRPr="002F09A7">
        <w:rPr>
          <w:rFonts w:ascii="Arial" w:hAnsi="Arial" w:cs="Arial"/>
          <w:sz w:val="24"/>
          <w:szCs w:val="24"/>
          <w:lang w:val="en-US"/>
        </w:rPr>
        <w:t xml:space="preserve"> reference to</w:t>
      </w:r>
      <w:r w:rsidR="00E6683F">
        <w:rPr>
          <w:rFonts w:ascii="Arial" w:hAnsi="Arial" w:cs="Arial"/>
          <w:i/>
          <w:sz w:val="24"/>
          <w:szCs w:val="24"/>
          <w:lang w:val="en-US"/>
        </w:rPr>
        <w:t xml:space="preserve"> </w:t>
      </w:r>
      <w:r w:rsidR="008B3C9B">
        <w:rPr>
          <w:rFonts w:ascii="Arial" w:hAnsi="Arial" w:cs="Arial"/>
          <w:i/>
          <w:sz w:val="24"/>
          <w:szCs w:val="24"/>
          <w:lang w:val="en-US"/>
        </w:rPr>
        <w:t>Apco Africa (Pty) L</w:t>
      </w:r>
      <w:r w:rsidR="002246B6">
        <w:rPr>
          <w:rFonts w:ascii="Arial" w:hAnsi="Arial" w:cs="Arial"/>
          <w:i/>
          <w:sz w:val="24"/>
          <w:szCs w:val="24"/>
          <w:lang w:val="en-US"/>
        </w:rPr>
        <w:t>t</w:t>
      </w:r>
      <w:r w:rsidR="008B3C9B">
        <w:rPr>
          <w:rFonts w:ascii="Arial" w:hAnsi="Arial" w:cs="Arial"/>
          <w:i/>
          <w:sz w:val="24"/>
          <w:szCs w:val="24"/>
          <w:lang w:val="en-US"/>
        </w:rPr>
        <w:t>d and Another v Apco Worldwide In</w:t>
      </w:r>
      <w:r w:rsidR="00862E4A">
        <w:rPr>
          <w:rFonts w:ascii="Arial" w:hAnsi="Arial" w:cs="Arial"/>
          <w:i/>
          <w:sz w:val="24"/>
          <w:szCs w:val="24"/>
          <w:lang w:val="en-US"/>
        </w:rPr>
        <w:t>c</w:t>
      </w:r>
      <w:r>
        <w:rPr>
          <w:rFonts w:ascii="Arial" w:hAnsi="Arial" w:cs="Arial"/>
          <w:i/>
          <w:sz w:val="24"/>
          <w:szCs w:val="24"/>
          <w:lang w:val="en-US"/>
        </w:rPr>
        <w:t>,</w:t>
      </w:r>
      <w:r w:rsidR="008B3C9B" w:rsidRPr="002F09A7">
        <w:rPr>
          <w:rStyle w:val="FootnoteReference"/>
          <w:rFonts w:ascii="Arial" w:hAnsi="Arial" w:cs="Arial"/>
          <w:sz w:val="24"/>
          <w:szCs w:val="24"/>
          <w:lang w:val="en-US"/>
        </w:rPr>
        <w:footnoteReference w:id="5"/>
      </w:r>
      <w:r w:rsidR="00E6683F" w:rsidRPr="002F09A7">
        <w:rPr>
          <w:rFonts w:ascii="Arial" w:hAnsi="Arial" w:cs="Arial"/>
          <w:sz w:val="24"/>
          <w:szCs w:val="24"/>
          <w:lang w:val="en-US"/>
        </w:rPr>
        <w:t xml:space="preserve"> the applicant’s argument went further to state that</w:t>
      </w:r>
      <w:r w:rsidR="00103189" w:rsidRPr="00103189">
        <w:rPr>
          <w:rFonts w:ascii="Arial" w:hAnsi="Arial" w:cs="Arial"/>
          <w:sz w:val="24"/>
          <w:szCs w:val="24"/>
          <w:lang w:val="en-US"/>
        </w:rPr>
        <w:t>:</w:t>
      </w:r>
      <w:r w:rsidR="002246B6">
        <w:rPr>
          <w:rStyle w:val="FootnoteReference"/>
          <w:rFonts w:ascii="Arial" w:hAnsi="Arial" w:cs="Arial"/>
          <w:sz w:val="24"/>
          <w:szCs w:val="24"/>
          <w:lang w:val="en-US"/>
        </w:rPr>
        <w:footnoteReference w:id="6"/>
      </w:r>
      <w:r w:rsidR="00E6683F" w:rsidRPr="00103189">
        <w:rPr>
          <w:rFonts w:ascii="Arial" w:hAnsi="Arial" w:cs="Arial"/>
          <w:sz w:val="24"/>
          <w:szCs w:val="24"/>
          <w:lang w:val="en-US"/>
        </w:rPr>
        <w:t xml:space="preserve"> </w:t>
      </w:r>
    </w:p>
    <w:p w14:paraId="3D48CEA7" w14:textId="77777777" w:rsidR="002246B6" w:rsidRDefault="002246B6" w:rsidP="00704D26">
      <w:pPr>
        <w:spacing w:after="0" w:line="360" w:lineRule="auto"/>
        <w:jc w:val="both"/>
        <w:rPr>
          <w:rFonts w:ascii="Arial" w:hAnsi="Arial" w:cs="Arial"/>
          <w:lang w:val="en-US"/>
        </w:rPr>
      </w:pPr>
      <w:r>
        <w:rPr>
          <w:rFonts w:ascii="Arial" w:hAnsi="Arial" w:cs="Arial"/>
          <w:lang w:val="en-US"/>
        </w:rPr>
        <w:t xml:space="preserve">’21. </w:t>
      </w:r>
      <w:r w:rsidR="00A14151" w:rsidRPr="00704D26">
        <w:rPr>
          <w:rFonts w:ascii="Arial" w:hAnsi="Arial" w:cs="Arial"/>
          <w:lang w:val="en-US"/>
        </w:rPr>
        <w:t>In</w:t>
      </w:r>
      <w:r w:rsidR="00E6683F" w:rsidRPr="00704D26">
        <w:rPr>
          <w:rFonts w:ascii="Arial" w:hAnsi="Arial" w:cs="Arial"/>
          <w:lang w:val="en-US"/>
        </w:rPr>
        <w:t xml:space="preserve"> assessing the just and equitable provision for winding up, the S</w:t>
      </w:r>
      <w:r>
        <w:rPr>
          <w:rFonts w:ascii="Arial" w:hAnsi="Arial" w:cs="Arial"/>
          <w:lang w:val="en-US"/>
        </w:rPr>
        <w:t xml:space="preserve">upreme Court of Appeal </w:t>
      </w:r>
      <w:r w:rsidR="00E6683F" w:rsidRPr="00704D26">
        <w:rPr>
          <w:rFonts w:ascii="Arial" w:hAnsi="Arial" w:cs="Arial"/>
          <w:lang w:val="en-US"/>
        </w:rPr>
        <w:t>state</w:t>
      </w:r>
      <w:r>
        <w:rPr>
          <w:rFonts w:ascii="Arial" w:hAnsi="Arial" w:cs="Arial"/>
          <w:lang w:val="en-US"/>
        </w:rPr>
        <w:t>s the following</w:t>
      </w:r>
      <w:r w:rsidR="00E6683F" w:rsidRPr="00704D26">
        <w:rPr>
          <w:rFonts w:ascii="Arial" w:hAnsi="Arial" w:cs="Arial"/>
          <w:lang w:val="en-US"/>
        </w:rPr>
        <w:t xml:space="preserve"> </w:t>
      </w:r>
    </w:p>
    <w:p w14:paraId="2D2CBB9B" w14:textId="77777777" w:rsidR="008104A1" w:rsidRPr="00704D26" w:rsidRDefault="002246B6" w:rsidP="002246B6">
      <w:pPr>
        <w:spacing w:after="0" w:line="360" w:lineRule="auto"/>
        <w:ind w:left="1440" w:hanging="720"/>
        <w:jc w:val="both"/>
        <w:rPr>
          <w:rFonts w:ascii="Arial" w:hAnsi="Arial" w:cs="Arial"/>
          <w:lang w:val="en-US"/>
        </w:rPr>
      </w:pPr>
      <w:r>
        <w:rPr>
          <w:rFonts w:ascii="Arial" w:hAnsi="Arial" w:cs="Arial"/>
          <w:lang w:val="en-US"/>
        </w:rPr>
        <w:lastRenderedPageBreak/>
        <w:t>“[18]</w:t>
      </w:r>
      <w:r>
        <w:rPr>
          <w:rFonts w:ascii="Arial" w:hAnsi="Arial" w:cs="Arial"/>
          <w:lang w:val="en-US"/>
        </w:rPr>
        <w:tab/>
      </w:r>
      <w:r w:rsidR="00A14151" w:rsidRPr="00704D26">
        <w:rPr>
          <w:rFonts w:ascii="Arial" w:hAnsi="Arial" w:cs="Arial"/>
          <w:lang w:val="en-US"/>
        </w:rPr>
        <w:t>the</w:t>
      </w:r>
      <w:r w:rsidR="00E6683F" w:rsidRPr="00704D26">
        <w:rPr>
          <w:rFonts w:ascii="Arial" w:hAnsi="Arial" w:cs="Arial"/>
          <w:lang w:val="en-US"/>
        </w:rPr>
        <w:t xml:space="preserve"> just and equitable provision is not limited to cases where the substratum of the company has disappeared, or where there is a complete deadlock. Where there is in substance a partnership, in the form of a private company, circumstances which would justify the dissolution of the partnership would also justify</w:t>
      </w:r>
      <w:r w:rsidR="00F12C67" w:rsidRPr="00704D26">
        <w:rPr>
          <w:rFonts w:ascii="Arial" w:hAnsi="Arial" w:cs="Arial"/>
          <w:lang w:val="en-US"/>
        </w:rPr>
        <w:t xml:space="preserve"> the winding-up of the company under the just and equitable provision.</w:t>
      </w:r>
      <w:r>
        <w:rPr>
          <w:rFonts w:ascii="Arial" w:hAnsi="Arial" w:cs="Arial"/>
          <w:lang w:val="en-US"/>
        </w:rPr>
        <w:t>”’</w:t>
      </w:r>
    </w:p>
    <w:p w14:paraId="2825E21B" w14:textId="77777777" w:rsidR="00351614" w:rsidRPr="00DA2D1C" w:rsidRDefault="00351614" w:rsidP="00DA2D1C">
      <w:pPr>
        <w:spacing w:after="0" w:line="360" w:lineRule="auto"/>
        <w:jc w:val="both"/>
        <w:rPr>
          <w:rFonts w:ascii="Arial" w:hAnsi="Arial" w:cs="Arial"/>
          <w:sz w:val="24"/>
          <w:szCs w:val="24"/>
        </w:rPr>
      </w:pPr>
    </w:p>
    <w:p w14:paraId="505FF382" w14:textId="77777777" w:rsidR="00D520BF"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D520BF">
        <w:rPr>
          <w:rFonts w:ascii="Arial" w:hAnsi="Arial" w:cs="Arial"/>
          <w:sz w:val="24"/>
          <w:szCs w:val="24"/>
          <w:lang w:val="en-US"/>
        </w:rPr>
        <w:t xml:space="preserve">According </w:t>
      </w:r>
      <w:r w:rsidR="00D520BF" w:rsidRPr="00704D26">
        <w:rPr>
          <w:rFonts w:ascii="Arial" w:hAnsi="Arial" w:cs="Arial"/>
          <w:sz w:val="24"/>
          <w:szCs w:val="24"/>
        </w:rPr>
        <w:t>to</w:t>
      </w:r>
      <w:r w:rsidR="00D520BF">
        <w:rPr>
          <w:rFonts w:ascii="Arial" w:hAnsi="Arial" w:cs="Arial"/>
          <w:sz w:val="24"/>
          <w:szCs w:val="24"/>
          <w:lang w:val="en-US"/>
        </w:rPr>
        <w:t xml:space="preserve"> the first respondent, the applicant has no financial interest in the second respondent. The app</w:t>
      </w:r>
      <w:r w:rsidR="002F09A7">
        <w:rPr>
          <w:rFonts w:ascii="Arial" w:hAnsi="Arial" w:cs="Arial"/>
          <w:sz w:val="24"/>
          <w:szCs w:val="24"/>
          <w:lang w:val="en-US"/>
        </w:rPr>
        <w:t>l</w:t>
      </w:r>
      <w:r w:rsidR="00D520BF">
        <w:rPr>
          <w:rFonts w:ascii="Arial" w:hAnsi="Arial" w:cs="Arial"/>
          <w:sz w:val="24"/>
          <w:szCs w:val="24"/>
          <w:lang w:val="en-US"/>
        </w:rPr>
        <w:t xml:space="preserve">icant’s members interest was registered in </w:t>
      </w:r>
      <w:r w:rsidR="00D520BF" w:rsidRPr="002246B6">
        <w:rPr>
          <w:rFonts w:ascii="Arial" w:hAnsi="Arial" w:cs="Arial"/>
          <w:i/>
          <w:sz w:val="24"/>
          <w:szCs w:val="24"/>
          <w:lang w:val="en-US"/>
        </w:rPr>
        <w:t>loco parentis</w:t>
      </w:r>
      <w:r w:rsidR="002F09A7">
        <w:rPr>
          <w:rFonts w:ascii="Arial" w:hAnsi="Arial" w:cs="Arial"/>
          <w:sz w:val="24"/>
          <w:szCs w:val="24"/>
          <w:lang w:val="en-US"/>
        </w:rPr>
        <w:t xml:space="preserve"> to</w:t>
      </w:r>
      <w:r w:rsidR="00D520BF">
        <w:rPr>
          <w:rFonts w:ascii="Arial" w:hAnsi="Arial" w:cs="Arial"/>
          <w:sz w:val="24"/>
          <w:szCs w:val="24"/>
          <w:lang w:val="en-US"/>
        </w:rPr>
        <w:t xml:space="preserve"> the first respondent, </w:t>
      </w:r>
      <w:r w:rsidR="00CC51E7">
        <w:rPr>
          <w:rFonts w:ascii="Arial" w:hAnsi="Arial" w:cs="Arial"/>
          <w:sz w:val="24"/>
          <w:szCs w:val="24"/>
          <w:lang w:val="en-US"/>
        </w:rPr>
        <w:t xml:space="preserve">and </w:t>
      </w:r>
      <w:r w:rsidR="00D520BF">
        <w:rPr>
          <w:rFonts w:ascii="Arial" w:hAnsi="Arial" w:cs="Arial"/>
          <w:sz w:val="24"/>
          <w:szCs w:val="24"/>
          <w:lang w:val="en-US"/>
        </w:rPr>
        <w:t xml:space="preserve">such membership served as a ‘check’ against the first respondent failing to comply with the financial obligations and disposing of the apartment. The first respondent further claimed that the applicant was purely to ensure that the first respondent practiced financial discipline and not to act irresponsibly. </w:t>
      </w:r>
      <w:r w:rsidR="009E5B8E">
        <w:rPr>
          <w:rFonts w:ascii="Arial" w:hAnsi="Arial" w:cs="Arial"/>
          <w:sz w:val="24"/>
          <w:szCs w:val="24"/>
          <w:lang w:val="en-US"/>
        </w:rPr>
        <w:t>She</w:t>
      </w:r>
      <w:r w:rsidR="00D520BF">
        <w:rPr>
          <w:rFonts w:ascii="Arial" w:hAnsi="Arial" w:cs="Arial"/>
          <w:sz w:val="24"/>
          <w:szCs w:val="24"/>
          <w:lang w:val="en-US"/>
        </w:rPr>
        <w:t xml:space="preserve"> contended that in November 1992, she took up their brother’s interest in the second respondent. The applicant remained to ensure that there was enough supervision to ensure that the first respondent was financially disciplined in relation to the affairs of the second respondent. </w:t>
      </w:r>
      <w:r w:rsidR="009E5B8E">
        <w:rPr>
          <w:rFonts w:ascii="Arial" w:hAnsi="Arial" w:cs="Arial"/>
          <w:sz w:val="24"/>
          <w:szCs w:val="24"/>
          <w:lang w:val="en-US"/>
        </w:rPr>
        <w:t>The r</w:t>
      </w:r>
      <w:r w:rsidR="00D520BF">
        <w:rPr>
          <w:rFonts w:ascii="Arial" w:hAnsi="Arial" w:cs="Arial"/>
          <w:sz w:val="24"/>
          <w:szCs w:val="24"/>
          <w:lang w:val="en-US"/>
        </w:rPr>
        <w:t xml:space="preserve">irst respondent further contends that she beneficially owned 100 </w:t>
      </w:r>
      <w:r w:rsidR="00103189">
        <w:rPr>
          <w:rFonts w:ascii="Arial" w:hAnsi="Arial" w:cs="Arial"/>
          <w:sz w:val="24"/>
          <w:szCs w:val="24"/>
          <w:lang w:val="en-US"/>
        </w:rPr>
        <w:t>percent</w:t>
      </w:r>
      <w:r w:rsidR="00D520BF">
        <w:rPr>
          <w:rFonts w:ascii="Arial" w:hAnsi="Arial" w:cs="Arial"/>
          <w:sz w:val="24"/>
          <w:szCs w:val="24"/>
          <w:lang w:val="en-US"/>
        </w:rPr>
        <w:t xml:space="preserve"> </w:t>
      </w:r>
      <w:r w:rsidR="009E5B8E">
        <w:rPr>
          <w:rFonts w:ascii="Arial" w:hAnsi="Arial" w:cs="Arial"/>
          <w:sz w:val="24"/>
          <w:szCs w:val="24"/>
          <w:lang w:val="en-US"/>
        </w:rPr>
        <w:t xml:space="preserve">members </w:t>
      </w:r>
      <w:r w:rsidR="00D520BF">
        <w:rPr>
          <w:rFonts w:ascii="Arial" w:hAnsi="Arial" w:cs="Arial"/>
          <w:sz w:val="24"/>
          <w:szCs w:val="24"/>
          <w:lang w:val="en-US"/>
        </w:rPr>
        <w:t>interest in the second respondent, even though 50 percent was registered in the applicant’s name,</w:t>
      </w:r>
      <w:r w:rsidR="00103189">
        <w:rPr>
          <w:rFonts w:ascii="Arial" w:hAnsi="Arial" w:cs="Arial"/>
          <w:sz w:val="24"/>
          <w:szCs w:val="24"/>
          <w:lang w:val="en-US"/>
        </w:rPr>
        <w:t xml:space="preserve"> </w:t>
      </w:r>
      <w:r w:rsidR="00D520BF">
        <w:rPr>
          <w:rFonts w:ascii="Arial" w:hAnsi="Arial" w:cs="Arial"/>
          <w:sz w:val="24"/>
          <w:szCs w:val="24"/>
          <w:lang w:val="en-US"/>
        </w:rPr>
        <w:t>the applicant’s membership was as a nominee of the first respondent.</w:t>
      </w:r>
    </w:p>
    <w:p w14:paraId="0C0DA9EE" w14:textId="77777777" w:rsidR="00643DFD" w:rsidRDefault="00643DFD" w:rsidP="00DA2D1C">
      <w:pPr>
        <w:spacing w:after="0" w:line="360" w:lineRule="auto"/>
        <w:jc w:val="both"/>
        <w:rPr>
          <w:rFonts w:ascii="Arial" w:hAnsi="Arial" w:cs="Arial"/>
          <w:sz w:val="24"/>
          <w:szCs w:val="24"/>
          <w:lang w:val="en-US"/>
        </w:rPr>
      </w:pPr>
    </w:p>
    <w:p w14:paraId="033CD1ED" w14:textId="77777777" w:rsidR="00556B4E"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DA3A46">
        <w:rPr>
          <w:rFonts w:ascii="Arial" w:hAnsi="Arial" w:cs="Arial"/>
          <w:sz w:val="24"/>
          <w:szCs w:val="24"/>
          <w:lang w:val="en-US"/>
        </w:rPr>
        <w:t xml:space="preserve">According to </w:t>
      </w:r>
      <w:r w:rsidR="00A14151">
        <w:rPr>
          <w:rFonts w:ascii="Arial" w:hAnsi="Arial" w:cs="Arial"/>
          <w:sz w:val="24"/>
          <w:szCs w:val="24"/>
          <w:lang w:val="en-US"/>
        </w:rPr>
        <w:t>first respondent</w:t>
      </w:r>
      <w:r w:rsidR="00DA3A46">
        <w:rPr>
          <w:rFonts w:ascii="Arial" w:hAnsi="Arial" w:cs="Arial"/>
          <w:sz w:val="24"/>
          <w:szCs w:val="24"/>
          <w:lang w:val="en-US"/>
        </w:rPr>
        <w:t xml:space="preserve">, the </w:t>
      </w:r>
      <w:r w:rsidR="00A14151">
        <w:rPr>
          <w:rFonts w:ascii="Arial" w:hAnsi="Arial" w:cs="Arial"/>
          <w:sz w:val="24"/>
          <w:szCs w:val="24"/>
          <w:lang w:val="en-US"/>
        </w:rPr>
        <w:t>corporation</w:t>
      </w:r>
      <w:r w:rsidR="00957CA3">
        <w:rPr>
          <w:rFonts w:ascii="Arial" w:hAnsi="Arial" w:cs="Arial"/>
          <w:sz w:val="24"/>
          <w:szCs w:val="24"/>
          <w:lang w:val="en-US"/>
        </w:rPr>
        <w:t xml:space="preserve"> was sustainable, since its incorporation 30 years ago. She argue</w:t>
      </w:r>
      <w:r w:rsidR="005A76E2">
        <w:rPr>
          <w:rFonts w:ascii="Arial" w:hAnsi="Arial" w:cs="Arial"/>
          <w:sz w:val="24"/>
          <w:szCs w:val="24"/>
          <w:lang w:val="en-US"/>
        </w:rPr>
        <w:t>d</w:t>
      </w:r>
      <w:r w:rsidR="00957CA3">
        <w:rPr>
          <w:rFonts w:ascii="Arial" w:hAnsi="Arial" w:cs="Arial"/>
          <w:sz w:val="24"/>
          <w:szCs w:val="24"/>
          <w:lang w:val="en-US"/>
        </w:rPr>
        <w:t xml:space="preserve"> that if the second respondent were to be liquidated, </w:t>
      </w:r>
      <w:r w:rsidR="00957CA3" w:rsidRPr="00704D26">
        <w:rPr>
          <w:rFonts w:ascii="Arial" w:hAnsi="Arial" w:cs="Arial"/>
          <w:sz w:val="24"/>
          <w:szCs w:val="24"/>
        </w:rPr>
        <w:t>such</w:t>
      </w:r>
      <w:r w:rsidR="00957CA3">
        <w:rPr>
          <w:rFonts w:ascii="Arial" w:hAnsi="Arial" w:cs="Arial"/>
          <w:sz w:val="24"/>
          <w:szCs w:val="24"/>
          <w:lang w:val="en-US"/>
        </w:rPr>
        <w:t xml:space="preserve"> would not be in its best interests. She highlighted that </w:t>
      </w:r>
      <w:r w:rsidR="009E5B8E">
        <w:rPr>
          <w:rFonts w:ascii="Arial" w:hAnsi="Arial" w:cs="Arial"/>
          <w:sz w:val="24"/>
          <w:szCs w:val="24"/>
          <w:lang w:val="en-US"/>
        </w:rPr>
        <w:t xml:space="preserve">the </w:t>
      </w:r>
      <w:r w:rsidR="00957CA3">
        <w:rPr>
          <w:rFonts w:ascii="Arial" w:hAnsi="Arial" w:cs="Arial"/>
          <w:sz w:val="24"/>
          <w:szCs w:val="24"/>
          <w:lang w:val="en-US"/>
        </w:rPr>
        <w:t xml:space="preserve">liquidation process would be costly and time consuming. She proposed obtaining the best price possible for the flat that is owned by the second respondent and that proceeds </w:t>
      </w:r>
      <w:r w:rsidR="009E5B8E">
        <w:rPr>
          <w:rFonts w:ascii="Arial" w:hAnsi="Arial" w:cs="Arial"/>
          <w:sz w:val="24"/>
          <w:szCs w:val="24"/>
          <w:lang w:val="en-US"/>
        </w:rPr>
        <w:t xml:space="preserve">be </w:t>
      </w:r>
      <w:r w:rsidR="00957CA3">
        <w:rPr>
          <w:rFonts w:ascii="Arial" w:hAnsi="Arial" w:cs="Arial"/>
          <w:sz w:val="24"/>
          <w:szCs w:val="24"/>
          <w:lang w:val="en-US"/>
        </w:rPr>
        <w:t>proportionally distributed.</w:t>
      </w:r>
    </w:p>
    <w:p w14:paraId="4F4E28FE" w14:textId="77777777" w:rsidR="00AE0856" w:rsidRDefault="00AE0856" w:rsidP="00DA2D1C">
      <w:pPr>
        <w:spacing w:after="0" w:line="360" w:lineRule="auto"/>
        <w:jc w:val="both"/>
        <w:rPr>
          <w:rFonts w:ascii="Arial" w:hAnsi="Arial" w:cs="Arial"/>
          <w:sz w:val="24"/>
          <w:szCs w:val="24"/>
          <w:lang w:val="en-US"/>
        </w:rPr>
      </w:pPr>
    </w:p>
    <w:p w14:paraId="04878573" w14:textId="77777777" w:rsidR="00AE0856"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643DFD">
        <w:rPr>
          <w:rFonts w:ascii="Arial" w:hAnsi="Arial" w:cs="Arial"/>
          <w:sz w:val="24"/>
          <w:szCs w:val="24"/>
          <w:lang w:val="en-US"/>
        </w:rPr>
        <w:t xml:space="preserve">Further </w:t>
      </w:r>
      <w:r w:rsidR="00AE0856">
        <w:rPr>
          <w:rFonts w:ascii="Arial" w:hAnsi="Arial" w:cs="Arial"/>
          <w:sz w:val="24"/>
          <w:szCs w:val="24"/>
          <w:lang w:val="en-US"/>
        </w:rPr>
        <w:t xml:space="preserve">argument for the first respondent was that </w:t>
      </w:r>
      <w:r w:rsidR="00AE0856" w:rsidRPr="00D520BF">
        <w:rPr>
          <w:rFonts w:ascii="Arial" w:hAnsi="Arial" w:cs="Arial"/>
          <w:i/>
          <w:sz w:val="24"/>
          <w:szCs w:val="24"/>
          <w:lang w:val="en-US"/>
        </w:rPr>
        <w:t>Apco Africa</w:t>
      </w:r>
      <w:r w:rsidR="00AE0856">
        <w:rPr>
          <w:rFonts w:ascii="Arial" w:hAnsi="Arial" w:cs="Arial"/>
          <w:sz w:val="24"/>
          <w:szCs w:val="24"/>
          <w:lang w:val="en-US"/>
        </w:rPr>
        <w:t xml:space="preserve"> </w:t>
      </w:r>
      <w:r w:rsidR="000604C9">
        <w:rPr>
          <w:rFonts w:ascii="Arial" w:hAnsi="Arial" w:cs="Arial"/>
          <w:sz w:val="24"/>
          <w:szCs w:val="24"/>
          <w:lang w:val="en-US"/>
        </w:rPr>
        <w:t xml:space="preserve">as </w:t>
      </w:r>
      <w:r w:rsidR="00AE0856">
        <w:rPr>
          <w:rFonts w:ascii="Arial" w:hAnsi="Arial" w:cs="Arial"/>
          <w:sz w:val="24"/>
          <w:szCs w:val="24"/>
          <w:lang w:val="en-US"/>
        </w:rPr>
        <w:t xml:space="preserve">relied on by the applicant found no application to the case </w:t>
      </w:r>
      <w:r w:rsidR="00932F0C">
        <w:rPr>
          <w:rFonts w:ascii="Arial" w:hAnsi="Arial" w:cs="Arial"/>
          <w:sz w:val="24"/>
          <w:szCs w:val="24"/>
          <w:lang w:val="en-US"/>
        </w:rPr>
        <w:t>at hand</w:t>
      </w:r>
      <w:r w:rsidR="00AE0856">
        <w:rPr>
          <w:rFonts w:ascii="Arial" w:hAnsi="Arial" w:cs="Arial"/>
          <w:sz w:val="24"/>
          <w:szCs w:val="24"/>
          <w:lang w:val="en-US"/>
        </w:rPr>
        <w:t xml:space="preserve">. It was pointed out that, the second respondent is not a company, but a close </w:t>
      </w:r>
      <w:r w:rsidR="00AE0856" w:rsidRPr="00704D26">
        <w:rPr>
          <w:rFonts w:ascii="Arial" w:hAnsi="Arial" w:cs="Arial"/>
          <w:sz w:val="24"/>
          <w:szCs w:val="24"/>
        </w:rPr>
        <w:t>corporation</w:t>
      </w:r>
      <w:r w:rsidR="00AE0856">
        <w:rPr>
          <w:rFonts w:ascii="Arial" w:hAnsi="Arial" w:cs="Arial"/>
          <w:sz w:val="24"/>
          <w:szCs w:val="24"/>
          <w:lang w:val="en-US"/>
        </w:rPr>
        <w:t xml:space="preserve"> </w:t>
      </w:r>
      <w:r w:rsidR="00AE0856" w:rsidRPr="00D520BF">
        <w:rPr>
          <w:rFonts w:ascii="Arial" w:hAnsi="Arial" w:cs="Arial"/>
          <w:i/>
          <w:sz w:val="24"/>
          <w:szCs w:val="24"/>
          <w:lang w:val="en-US"/>
        </w:rPr>
        <w:t xml:space="preserve">(Apco </w:t>
      </w:r>
      <w:r w:rsidR="00103189">
        <w:rPr>
          <w:rFonts w:ascii="Arial" w:hAnsi="Arial" w:cs="Arial"/>
          <w:i/>
          <w:sz w:val="24"/>
          <w:szCs w:val="24"/>
          <w:lang w:val="en-US"/>
        </w:rPr>
        <w:t>Africa</w:t>
      </w:r>
      <w:r w:rsidR="00AE0856" w:rsidRPr="00704D26">
        <w:rPr>
          <w:rFonts w:ascii="Arial" w:hAnsi="Arial" w:cs="Arial"/>
          <w:sz w:val="24"/>
          <w:szCs w:val="24"/>
          <w:lang w:val="en-US"/>
        </w:rPr>
        <w:t xml:space="preserve"> dealt with a company</w:t>
      </w:r>
      <w:r w:rsidR="00AE0856">
        <w:rPr>
          <w:rFonts w:ascii="Arial" w:hAnsi="Arial" w:cs="Arial"/>
          <w:sz w:val="24"/>
          <w:szCs w:val="24"/>
          <w:lang w:val="en-US"/>
        </w:rPr>
        <w:t>); there would be no loss of confidence on any one</w:t>
      </w:r>
      <w:r w:rsidR="00791855">
        <w:rPr>
          <w:rFonts w:ascii="Arial" w:hAnsi="Arial" w:cs="Arial"/>
          <w:sz w:val="24"/>
          <w:szCs w:val="24"/>
          <w:lang w:val="en-US"/>
        </w:rPr>
        <w:t xml:space="preserve"> since the applicant had little to </w:t>
      </w:r>
      <w:r w:rsidR="00EA3572">
        <w:rPr>
          <w:rFonts w:ascii="Arial" w:hAnsi="Arial" w:cs="Arial"/>
          <w:sz w:val="24"/>
          <w:szCs w:val="24"/>
          <w:lang w:val="en-US"/>
        </w:rPr>
        <w:t xml:space="preserve">no </w:t>
      </w:r>
      <w:r w:rsidR="00791855">
        <w:rPr>
          <w:rFonts w:ascii="Arial" w:hAnsi="Arial" w:cs="Arial"/>
          <w:sz w:val="24"/>
          <w:szCs w:val="24"/>
          <w:lang w:val="en-US"/>
        </w:rPr>
        <w:t xml:space="preserve">say in respect to the management of the second respondent; further that the second respondent was founded for the exclusive benefit of one member, in this case being the first respondent; and lastly that there could be no loss of trust as the </w:t>
      </w:r>
      <w:r w:rsidR="00791855">
        <w:rPr>
          <w:rFonts w:ascii="Arial" w:hAnsi="Arial" w:cs="Arial"/>
          <w:sz w:val="24"/>
          <w:szCs w:val="24"/>
          <w:lang w:val="en-US"/>
        </w:rPr>
        <w:lastRenderedPageBreak/>
        <w:t xml:space="preserve">applicant’s involvement was not contemplated by the original arrangement (that of a </w:t>
      </w:r>
      <w:r w:rsidR="00791855" w:rsidRPr="00791855">
        <w:rPr>
          <w:rFonts w:ascii="Arial" w:hAnsi="Arial" w:cs="Arial"/>
          <w:i/>
          <w:sz w:val="24"/>
          <w:szCs w:val="24"/>
          <w:lang w:val="en-US"/>
        </w:rPr>
        <w:t>loco parentis</w:t>
      </w:r>
      <w:r w:rsidR="00791855">
        <w:rPr>
          <w:rFonts w:ascii="Arial" w:hAnsi="Arial" w:cs="Arial"/>
          <w:sz w:val="24"/>
          <w:szCs w:val="24"/>
          <w:lang w:val="en-US"/>
        </w:rPr>
        <w:t xml:space="preserve"> role). It was also argued for the first respondent that the second respondent required no management</w:t>
      </w:r>
      <w:r w:rsidR="00D520BF">
        <w:rPr>
          <w:rFonts w:ascii="Arial" w:hAnsi="Arial" w:cs="Arial"/>
          <w:sz w:val="24"/>
          <w:szCs w:val="24"/>
          <w:lang w:val="en-US"/>
        </w:rPr>
        <w:t xml:space="preserve">. </w:t>
      </w:r>
    </w:p>
    <w:p w14:paraId="5E1749D8" w14:textId="77777777" w:rsidR="00B10CC6" w:rsidRDefault="00B10CC6" w:rsidP="00DA2D1C">
      <w:pPr>
        <w:spacing w:after="0" w:line="360" w:lineRule="auto"/>
        <w:jc w:val="both"/>
        <w:rPr>
          <w:rFonts w:ascii="Arial" w:hAnsi="Arial" w:cs="Arial"/>
          <w:sz w:val="24"/>
          <w:szCs w:val="24"/>
          <w:lang w:val="en-US"/>
        </w:rPr>
      </w:pPr>
    </w:p>
    <w:p w14:paraId="3E78BEBB" w14:textId="77777777" w:rsidR="00D520BF" w:rsidRDefault="00704D26" w:rsidP="00103189">
      <w:pPr>
        <w:spacing w:after="0"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3470AD">
        <w:rPr>
          <w:rFonts w:ascii="Arial" w:hAnsi="Arial" w:cs="Arial"/>
          <w:sz w:val="24"/>
          <w:szCs w:val="24"/>
          <w:lang w:val="en-US"/>
        </w:rPr>
        <w:t>T</w:t>
      </w:r>
      <w:r w:rsidR="00B10CC6">
        <w:rPr>
          <w:rFonts w:ascii="Arial" w:hAnsi="Arial" w:cs="Arial"/>
          <w:sz w:val="24"/>
          <w:szCs w:val="24"/>
          <w:lang w:val="en-US"/>
        </w:rPr>
        <w:t xml:space="preserve">he argument </w:t>
      </w:r>
      <w:r w:rsidR="003470AD">
        <w:rPr>
          <w:rFonts w:ascii="Arial" w:hAnsi="Arial" w:cs="Arial"/>
          <w:sz w:val="24"/>
          <w:szCs w:val="24"/>
          <w:lang w:val="en-US"/>
        </w:rPr>
        <w:t xml:space="preserve">on behalf of the first respondent </w:t>
      </w:r>
      <w:r w:rsidR="00B10CC6">
        <w:rPr>
          <w:rFonts w:ascii="Arial" w:hAnsi="Arial" w:cs="Arial"/>
          <w:sz w:val="24"/>
          <w:szCs w:val="24"/>
          <w:lang w:val="en-US"/>
        </w:rPr>
        <w:t>that the principle</w:t>
      </w:r>
      <w:r w:rsidR="00EA3572">
        <w:rPr>
          <w:rFonts w:ascii="Arial" w:hAnsi="Arial" w:cs="Arial"/>
          <w:sz w:val="24"/>
          <w:szCs w:val="24"/>
          <w:lang w:val="en-US"/>
        </w:rPr>
        <w:t>s</w:t>
      </w:r>
      <w:r w:rsidR="00B10CC6">
        <w:rPr>
          <w:rFonts w:ascii="Arial" w:hAnsi="Arial" w:cs="Arial"/>
          <w:sz w:val="24"/>
          <w:szCs w:val="24"/>
          <w:lang w:val="en-US"/>
        </w:rPr>
        <w:t xml:space="preserve"> in </w:t>
      </w:r>
      <w:r w:rsidR="00B10CC6" w:rsidRPr="003470AD">
        <w:rPr>
          <w:rFonts w:ascii="Arial" w:hAnsi="Arial" w:cs="Arial"/>
          <w:i/>
          <w:sz w:val="24"/>
          <w:szCs w:val="24"/>
          <w:lang w:val="en-US"/>
        </w:rPr>
        <w:t>Apco Africa</w:t>
      </w:r>
      <w:r w:rsidR="00B10CC6">
        <w:rPr>
          <w:rFonts w:ascii="Arial" w:hAnsi="Arial" w:cs="Arial"/>
          <w:sz w:val="24"/>
          <w:szCs w:val="24"/>
          <w:lang w:val="en-US"/>
        </w:rPr>
        <w:t xml:space="preserve"> could not </w:t>
      </w:r>
      <w:r w:rsidR="00B87FAD">
        <w:rPr>
          <w:rFonts w:ascii="Arial" w:hAnsi="Arial" w:cs="Arial"/>
          <w:sz w:val="24"/>
          <w:szCs w:val="24"/>
          <w:lang w:val="en-US"/>
        </w:rPr>
        <w:t>be applied in the current matter</w:t>
      </w:r>
      <w:r w:rsidR="00B10CC6">
        <w:rPr>
          <w:rFonts w:ascii="Arial" w:hAnsi="Arial" w:cs="Arial"/>
          <w:sz w:val="24"/>
          <w:szCs w:val="24"/>
          <w:lang w:val="en-US"/>
        </w:rPr>
        <w:t xml:space="preserve"> by virtue of </w:t>
      </w:r>
      <w:proofErr w:type="spellStart"/>
      <w:r w:rsidR="00B10CC6" w:rsidRPr="003470AD">
        <w:rPr>
          <w:rFonts w:ascii="Arial" w:hAnsi="Arial" w:cs="Arial"/>
          <w:i/>
          <w:sz w:val="24"/>
          <w:szCs w:val="24"/>
          <w:lang w:val="en-US"/>
        </w:rPr>
        <w:t>Apco</w:t>
      </w:r>
      <w:proofErr w:type="spellEnd"/>
      <w:r w:rsidR="003470AD">
        <w:rPr>
          <w:rFonts w:ascii="Arial" w:hAnsi="Arial" w:cs="Arial"/>
          <w:i/>
          <w:sz w:val="24"/>
          <w:szCs w:val="24"/>
          <w:lang w:val="en-US"/>
        </w:rPr>
        <w:t xml:space="preserve"> Africa</w:t>
      </w:r>
      <w:r w:rsidR="00B10CC6" w:rsidRPr="003470AD">
        <w:rPr>
          <w:rFonts w:ascii="Arial" w:hAnsi="Arial" w:cs="Arial"/>
          <w:i/>
          <w:sz w:val="24"/>
          <w:szCs w:val="24"/>
          <w:lang w:val="en-US"/>
        </w:rPr>
        <w:t xml:space="preserve"> </w:t>
      </w:r>
      <w:r w:rsidR="00B10CC6">
        <w:rPr>
          <w:rFonts w:ascii="Arial" w:hAnsi="Arial" w:cs="Arial"/>
          <w:sz w:val="24"/>
          <w:szCs w:val="24"/>
          <w:lang w:val="en-US"/>
        </w:rPr>
        <w:t>dealing with a company cannot be sustain</w:t>
      </w:r>
      <w:r w:rsidR="00EA3572">
        <w:rPr>
          <w:rFonts w:ascii="Arial" w:hAnsi="Arial" w:cs="Arial"/>
          <w:sz w:val="24"/>
          <w:szCs w:val="24"/>
          <w:lang w:val="en-US"/>
        </w:rPr>
        <w:t>ed</w:t>
      </w:r>
      <w:r w:rsidR="00B10CC6">
        <w:rPr>
          <w:rFonts w:ascii="Arial" w:hAnsi="Arial" w:cs="Arial"/>
          <w:sz w:val="24"/>
          <w:szCs w:val="24"/>
          <w:lang w:val="en-US"/>
        </w:rPr>
        <w:t xml:space="preserve">. It should be common </w:t>
      </w:r>
      <w:r w:rsidR="00B10CC6" w:rsidRPr="00704D26">
        <w:rPr>
          <w:rFonts w:ascii="Arial" w:hAnsi="Arial" w:cs="Arial"/>
          <w:sz w:val="24"/>
          <w:szCs w:val="24"/>
        </w:rPr>
        <w:t>knowledge</w:t>
      </w:r>
      <w:r w:rsidR="00B10CC6">
        <w:rPr>
          <w:rFonts w:ascii="Arial" w:hAnsi="Arial" w:cs="Arial"/>
          <w:sz w:val="24"/>
          <w:szCs w:val="24"/>
          <w:lang w:val="en-US"/>
        </w:rPr>
        <w:t xml:space="preserve"> that since 1 May 2011, the effective repeal of certain sections of the Act meant that </w:t>
      </w:r>
      <w:r w:rsidR="003470AD">
        <w:rPr>
          <w:rFonts w:ascii="Arial" w:hAnsi="Arial" w:cs="Arial"/>
          <w:sz w:val="24"/>
          <w:szCs w:val="24"/>
          <w:lang w:val="en-US"/>
        </w:rPr>
        <w:t xml:space="preserve">all </w:t>
      </w:r>
      <w:r w:rsidR="00EA3572">
        <w:rPr>
          <w:rFonts w:ascii="Arial" w:hAnsi="Arial" w:cs="Arial"/>
          <w:sz w:val="24"/>
          <w:szCs w:val="24"/>
          <w:lang w:val="en-US"/>
        </w:rPr>
        <w:t>c</w:t>
      </w:r>
      <w:r w:rsidR="003470AD">
        <w:rPr>
          <w:rFonts w:ascii="Arial" w:hAnsi="Arial" w:cs="Arial"/>
          <w:sz w:val="24"/>
          <w:szCs w:val="24"/>
          <w:lang w:val="en-US"/>
        </w:rPr>
        <w:t xml:space="preserve">lose </w:t>
      </w:r>
      <w:r w:rsidR="00EA3572">
        <w:rPr>
          <w:rFonts w:ascii="Arial" w:hAnsi="Arial" w:cs="Arial"/>
          <w:sz w:val="24"/>
          <w:szCs w:val="24"/>
          <w:lang w:val="en-US"/>
        </w:rPr>
        <w:t>c</w:t>
      </w:r>
      <w:r w:rsidR="003470AD">
        <w:rPr>
          <w:rFonts w:ascii="Arial" w:hAnsi="Arial" w:cs="Arial"/>
          <w:sz w:val="24"/>
          <w:szCs w:val="24"/>
          <w:lang w:val="en-US"/>
        </w:rPr>
        <w:t>orporations assumed the stature of private compan</w:t>
      </w:r>
      <w:r w:rsidR="00EA3572">
        <w:rPr>
          <w:rFonts w:ascii="Arial" w:hAnsi="Arial" w:cs="Arial"/>
          <w:sz w:val="24"/>
          <w:szCs w:val="24"/>
          <w:lang w:val="en-US"/>
        </w:rPr>
        <w:t>ies</w:t>
      </w:r>
      <w:r w:rsidR="003470AD">
        <w:rPr>
          <w:rFonts w:ascii="Arial" w:hAnsi="Arial" w:cs="Arial"/>
          <w:sz w:val="24"/>
          <w:szCs w:val="24"/>
          <w:lang w:val="en-US"/>
        </w:rPr>
        <w:t xml:space="preserve"> and therefore the </w:t>
      </w:r>
      <w:r w:rsidR="00EA3572">
        <w:rPr>
          <w:rFonts w:ascii="Arial" w:hAnsi="Arial" w:cs="Arial"/>
          <w:sz w:val="24"/>
          <w:szCs w:val="24"/>
          <w:lang w:val="en-US"/>
        </w:rPr>
        <w:t>Companies Act</w:t>
      </w:r>
      <w:r w:rsidR="003470AD">
        <w:rPr>
          <w:rFonts w:ascii="Arial" w:hAnsi="Arial" w:cs="Arial"/>
          <w:sz w:val="24"/>
          <w:szCs w:val="24"/>
          <w:lang w:val="en-US"/>
        </w:rPr>
        <w:t xml:space="preserve">  became the applicable legislation on matters that related to </w:t>
      </w:r>
      <w:r w:rsidR="00EA3572">
        <w:rPr>
          <w:rFonts w:ascii="Arial" w:hAnsi="Arial" w:cs="Arial"/>
          <w:sz w:val="24"/>
          <w:szCs w:val="24"/>
          <w:lang w:val="en-US"/>
        </w:rPr>
        <w:t>c</w:t>
      </w:r>
      <w:r w:rsidR="003470AD">
        <w:rPr>
          <w:rFonts w:ascii="Arial" w:hAnsi="Arial" w:cs="Arial"/>
          <w:sz w:val="24"/>
          <w:szCs w:val="24"/>
          <w:lang w:val="en-US"/>
        </w:rPr>
        <w:t xml:space="preserve">lose </w:t>
      </w:r>
      <w:r w:rsidR="00EA3572">
        <w:rPr>
          <w:rFonts w:ascii="Arial" w:hAnsi="Arial" w:cs="Arial"/>
          <w:sz w:val="24"/>
          <w:szCs w:val="24"/>
          <w:lang w:val="en-US"/>
        </w:rPr>
        <w:t>c</w:t>
      </w:r>
      <w:r w:rsidR="003470AD">
        <w:rPr>
          <w:rFonts w:ascii="Arial" w:hAnsi="Arial" w:cs="Arial"/>
          <w:sz w:val="24"/>
          <w:szCs w:val="24"/>
          <w:lang w:val="en-US"/>
        </w:rPr>
        <w:t xml:space="preserve">orporations. </w:t>
      </w:r>
    </w:p>
    <w:p w14:paraId="3939EEEA" w14:textId="77777777" w:rsidR="00EA3572" w:rsidRPr="00103189" w:rsidRDefault="00EA3572" w:rsidP="00103189">
      <w:pPr>
        <w:spacing w:after="0" w:line="360" w:lineRule="auto"/>
        <w:jc w:val="both"/>
        <w:rPr>
          <w:rFonts w:ascii="Arial" w:hAnsi="Arial" w:cs="Arial"/>
          <w:sz w:val="24"/>
          <w:szCs w:val="24"/>
          <w:lang w:val="en-US"/>
        </w:rPr>
      </w:pPr>
    </w:p>
    <w:p w14:paraId="7E8F5ED2" w14:textId="77777777" w:rsidR="00097EE8" w:rsidRPr="000F52D5"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166AFD">
        <w:rPr>
          <w:rFonts w:ascii="Arial" w:hAnsi="Arial" w:cs="Arial"/>
          <w:sz w:val="24"/>
          <w:szCs w:val="24"/>
          <w:lang w:val="en-US"/>
        </w:rPr>
        <w:t xml:space="preserve">The first respondent also contended that there were disputed facts that required </w:t>
      </w:r>
      <w:r w:rsidR="00EA3572">
        <w:rPr>
          <w:rFonts w:ascii="Arial" w:hAnsi="Arial" w:cs="Arial"/>
          <w:sz w:val="24"/>
          <w:szCs w:val="24"/>
          <w:lang w:val="en-US"/>
        </w:rPr>
        <w:t xml:space="preserve">resolution </w:t>
      </w:r>
      <w:r w:rsidR="00166AFD" w:rsidRPr="00704D26">
        <w:rPr>
          <w:rFonts w:ascii="Arial" w:hAnsi="Arial" w:cs="Arial"/>
          <w:sz w:val="24"/>
          <w:szCs w:val="24"/>
        </w:rPr>
        <w:t>with</w:t>
      </w:r>
      <w:r w:rsidR="00166AFD">
        <w:rPr>
          <w:rFonts w:ascii="Arial" w:hAnsi="Arial" w:cs="Arial"/>
          <w:sz w:val="24"/>
          <w:szCs w:val="24"/>
          <w:lang w:val="en-US"/>
        </w:rPr>
        <w:t xml:space="preserve"> the application of the </w:t>
      </w:r>
      <w:r w:rsidR="00166AFD">
        <w:rPr>
          <w:rFonts w:ascii="Arial" w:hAnsi="Arial" w:cs="Arial"/>
          <w:i/>
          <w:sz w:val="24"/>
          <w:szCs w:val="24"/>
          <w:lang w:val="en-US"/>
        </w:rPr>
        <w:t>Plascon</w:t>
      </w:r>
      <w:r w:rsidR="00103189">
        <w:rPr>
          <w:rFonts w:ascii="Arial" w:hAnsi="Arial" w:cs="Arial"/>
          <w:i/>
          <w:sz w:val="24"/>
          <w:szCs w:val="24"/>
          <w:lang w:val="en-US"/>
        </w:rPr>
        <w:t>-</w:t>
      </w:r>
      <w:r w:rsidR="00166AFD">
        <w:rPr>
          <w:rFonts w:ascii="Arial" w:hAnsi="Arial" w:cs="Arial"/>
          <w:i/>
          <w:sz w:val="24"/>
          <w:szCs w:val="24"/>
          <w:lang w:val="en-US"/>
        </w:rPr>
        <w:t xml:space="preserve">Evans </w:t>
      </w:r>
      <w:r w:rsidR="00EA3572" w:rsidRPr="00EA3572">
        <w:rPr>
          <w:rFonts w:ascii="Arial" w:hAnsi="Arial" w:cs="Arial"/>
          <w:sz w:val="24"/>
          <w:szCs w:val="24"/>
          <w:lang w:val="en-US"/>
        </w:rPr>
        <w:t>r</w:t>
      </w:r>
      <w:r w:rsidR="00166AFD" w:rsidRPr="00EA3572">
        <w:rPr>
          <w:rFonts w:ascii="Arial" w:hAnsi="Arial" w:cs="Arial"/>
          <w:sz w:val="24"/>
          <w:szCs w:val="24"/>
          <w:lang w:val="en-US"/>
        </w:rPr>
        <w:t>ule.</w:t>
      </w:r>
      <w:r w:rsidR="00166AFD">
        <w:rPr>
          <w:rFonts w:ascii="Arial" w:hAnsi="Arial" w:cs="Arial"/>
          <w:i/>
          <w:sz w:val="24"/>
          <w:szCs w:val="24"/>
          <w:lang w:val="en-US"/>
        </w:rPr>
        <w:t xml:space="preserve"> </w:t>
      </w:r>
      <w:r w:rsidR="00FE06D8">
        <w:rPr>
          <w:rFonts w:ascii="Arial" w:hAnsi="Arial" w:cs="Arial"/>
          <w:sz w:val="24"/>
          <w:szCs w:val="24"/>
          <w:lang w:val="en-US"/>
        </w:rPr>
        <w:t>I propose to deal with such in detail hereunder.</w:t>
      </w:r>
    </w:p>
    <w:p w14:paraId="5D3599FF" w14:textId="77777777" w:rsidR="000F52D5" w:rsidRDefault="000F52D5" w:rsidP="00DA2D1C">
      <w:pPr>
        <w:spacing w:after="0" w:line="360" w:lineRule="auto"/>
        <w:jc w:val="both"/>
        <w:rPr>
          <w:rFonts w:ascii="Arial" w:hAnsi="Arial" w:cs="Arial"/>
          <w:sz w:val="24"/>
          <w:szCs w:val="24"/>
          <w:lang w:val="en-US"/>
        </w:rPr>
      </w:pPr>
    </w:p>
    <w:p w14:paraId="6C61A147" w14:textId="77777777" w:rsidR="00FB475B" w:rsidRDefault="00297E46">
      <w:pPr>
        <w:rPr>
          <w:rFonts w:ascii="Arial" w:hAnsi="Arial" w:cs="Arial"/>
          <w:b/>
          <w:sz w:val="24"/>
          <w:szCs w:val="24"/>
        </w:rPr>
      </w:pPr>
      <w:r>
        <w:rPr>
          <w:rFonts w:ascii="Arial" w:hAnsi="Arial" w:cs="Arial"/>
          <w:b/>
          <w:sz w:val="24"/>
          <w:szCs w:val="24"/>
        </w:rPr>
        <w:t>Applicable law</w:t>
      </w:r>
    </w:p>
    <w:p w14:paraId="7875123B" w14:textId="77777777" w:rsidR="00F013B4" w:rsidRPr="004944D3" w:rsidRDefault="00704D26" w:rsidP="00704D26">
      <w:pPr>
        <w:spacing w:after="0" w:line="360" w:lineRule="auto"/>
        <w:jc w:val="both"/>
        <w:rPr>
          <w:rFonts w:ascii="Arial" w:hAnsi="Arial" w:cs="Arial"/>
        </w:rPr>
      </w:pPr>
      <w:r>
        <w:rPr>
          <w:rFonts w:ascii="Arial" w:hAnsi="Arial" w:cs="Arial"/>
          <w:sz w:val="24"/>
          <w:szCs w:val="24"/>
        </w:rPr>
        <w:t>[27]</w:t>
      </w:r>
      <w:r>
        <w:rPr>
          <w:rFonts w:ascii="Arial" w:hAnsi="Arial" w:cs="Arial"/>
          <w:sz w:val="24"/>
          <w:szCs w:val="24"/>
        </w:rPr>
        <w:tab/>
      </w:r>
      <w:r w:rsidR="00F013B4">
        <w:rPr>
          <w:rFonts w:ascii="Arial" w:hAnsi="Arial" w:cs="Arial"/>
          <w:sz w:val="24"/>
          <w:szCs w:val="24"/>
        </w:rPr>
        <w:t xml:space="preserve">The applicable provision of the </w:t>
      </w:r>
      <w:r w:rsidR="00EA3572">
        <w:rPr>
          <w:rFonts w:ascii="Arial" w:hAnsi="Arial" w:cs="Arial"/>
          <w:sz w:val="24"/>
          <w:szCs w:val="24"/>
        </w:rPr>
        <w:t>C</w:t>
      </w:r>
      <w:r w:rsidR="00F013B4">
        <w:rPr>
          <w:rFonts w:ascii="Arial" w:hAnsi="Arial" w:cs="Arial"/>
          <w:sz w:val="24"/>
          <w:szCs w:val="24"/>
        </w:rPr>
        <w:t xml:space="preserve">ompanies </w:t>
      </w:r>
      <w:r w:rsidR="00EA3572">
        <w:rPr>
          <w:rFonts w:ascii="Arial" w:hAnsi="Arial" w:cs="Arial"/>
          <w:sz w:val="24"/>
          <w:szCs w:val="24"/>
        </w:rPr>
        <w:t>A</w:t>
      </w:r>
      <w:r w:rsidR="00F013B4">
        <w:rPr>
          <w:rFonts w:ascii="Arial" w:hAnsi="Arial" w:cs="Arial"/>
          <w:sz w:val="24"/>
          <w:szCs w:val="24"/>
        </w:rPr>
        <w:t xml:space="preserve">ct in the given circumstances is </w:t>
      </w:r>
      <w:r>
        <w:rPr>
          <w:rFonts w:ascii="Arial" w:hAnsi="Arial" w:cs="Arial"/>
          <w:sz w:val="24"/>
          <w:szCs w:val="24"/>
        </w:rPr>
        <w:t xml:space="preserve">s </w:t>
      </w:r>
      <w:r w:rsidR="00F013B4">
        <w:rPr>
          <w:rFonts w:ascii="Arial" w:hAnsi="Arial" w:cs="Arial"/>
          <w:sz w:val="24"/>
          <w:szCs w:val="24"/>
        </w:rPr>
        <w:t>81(1)</w:t>
      </w:r>
      <w:r w:rsidR="00F013B4" w:rsidRPr="00932F0C">
        <w:rPr>
          <w:rFonts w:ascii="Arial" w:hAnsi="Arial" w:cs="Arial"/>
          <w:i/>
          <w:sz w:val="24"/>
          <w:szCs w:val="24"/>
        </w:rPr>
        <w:t>(d)</w:t>
      </w:r>
      <w:r w:rsidR="00F013B4">
        <w:rPr>
          <w:rFonts w:ascii="Arial" w:hAnsi="Arial" w:cs="Arial"/>
          <w:sz w:val="24"/>
          <w:szCs w:val="24"/>
        </w:rPr>
        <w:t xml:space="preserve">. It provides that a company may be wound up if: </w:t>
      </w:r>
    </w:p>
    <w:p w14:paraId="3E4961F0" w14:textId="77777777" w:rsidR="004944D3" w:rsidRPr="00EA3572" w:rsidRDefault="00EA3572" w:rsidP="00EA3572">
      <w:pPr>
        <w:spacing w:line="360" w:lineRule="auto"/>
        <w:jc w:val="both"/>
        <w:rPr>
          <w:rFonts w:ascii="Arial" w:hAnsi="Arial" w:cs="Arial"/>
        </w:rPr>
      </w:pPr>
      <w:r w:rsidRPr="00EA3572">
        <w:rPr>
          <w:rFonts w:ascii="Arial" w:hAnsi="Arial" w:cs="Arial"/>
        </w:rPr>
        <w:t>‘</w:t>
      </w:r>
      <w:r w:rsidR="00894961" w:rsidRPr="00EA3572">
        <w:rPr>
          <w:rFonts w:ascii="Arial" w:hAnsi="Arial" w:cs="Arial"/>
          <w:i/>
        </w:rPr>
        <w:t>(d)</w:t>
      </w:r>
      <w:r w:rsidR="00894961" w:rsidRPr="00EA3572">
        <w:rPr>
          <w:rFonts w:ascii="Arial" w:hAnsi="Arial" w:cs="Arial"/>
        </w:rPr>
        <w:t xml:space="preserve"> </w:t>
      </w:r>
      <w:r w:rsidRPr="00EA3572">
        <w:rPr>
          <w:rFonts w:ascii="Arial" w:hAnsi="Arial" w:cs="Arial"/>
          <w:color w:val="000000"/>
        </w:rPr>
        <w:t>the company, one or more directors or one or more shareholders have applied to the court for an order to wind up the company on the grounds that-</w:t>
      </w:r>
    </w:p>
    <w:p w14:paraId="203EFB72" w14:textId="26BA2D02" w:rsidR="00894961" w:rsidRPr="008A6491" w:rsidRDefault="008A6491" w:rsidP="008A6491">
      <w:pPr>
        <w:spacing w:line="360" w:lineRule="auto"/>
        <w:ind w:left="1080" w:hanging="720"/>
        <w:jc w:val="both"/>
        <w:rPr>
          <w:rFonts w:ascii="Arial" w:hAnsi="Arial" w:cs="Arial"/>
        </w:rPr>
      </w:pPr>
      <w:bookmarkStart w:id="0" w:name="0-0-0-66153"/>
      <w:bookmarkEnd w:id="0"/>
      <w:r w:rsidRPr="00EA3572">
        <w:rPr>
          <w:rFonts w:ascii="Verdana" w:hAnsi="Verdana"/>
          <w:color w:val="000000"/>
          <w:sz w:val="20"/>
        </w:rPr>
        <w:t>(</w:t>
      </w:r>
      <w:proofErr w:type="spellStart"/>
      <w:r w:rsidRPr="00EA3572">
        <w:rPr>
          <w:rFonts w:ascii="Verdana" w:hAnsi="Verdana"/>
          <w:color w:val="000000"/>
          <w:sz w:val="20"/>
        </w:rPr>
        <w:t>i</w:t>
      </w:r>
      <w:proofErr w:type="spellEnd"/>
      <w:r w:rsidRPr="00EA3572">
        <w:rPr>
          <w:rFonts w:ascii="Verdana" w:hAnsi="Verdana"/>
          <w:color w:val="000000"/>
          <w:sz w:val="20"/>
        </w:rPr>
        <w:t>)</w:t>
      </w:r>
      <w:r w:rsidRPr="00EA3572">
        <w:rPr>
          <w:rFonts w:ascii="Verdana" w:hAnsi="Verdana"/>
          <w:color w:val="000000"/>
          <w:sz w:val="20"/>
        </w:rPr>
        <w:tab/>
      </w:r>
      <w:r w:rsidR="00EA3572" w:rsidRPr="008A6491">
        <w:rPr>
          <w:rFonts w:ascii="Arial" w:hAnsi="Arial" w:cs="Arial"/>
          <w:color w:val="000000"/>
        </w:rPr>
        <w:t>the directors are deadlocked in the management of the company, and the shareholders are unable to break the deadlock, and-</w:t>
      </w:r>
      <w:r w:rsidR="00EA3572" w:rsidRPr="008A6491">
        <w:rPr>
          <w:rFonts w:ascii="Arial" w:hAnsi="Arial" w:cs="Arial"/>
        </w:rPr>
        <w:t xml:space="preserve"> </w:t>
      </w:r>
      <w:r w:rsidR="00894961" w:rsidRPr="008A6491">
        <w:rPr>
          <w:rFonts w:ascii="Arial" w:hAnsi="Arial" w:cs="Arial"/>
        </w:rPr>
        <w:t>(aa) irreparable injury to the company is resulting, or may result, from the deadlock; or</w:t>
      </w:r>
    </w:p>
    <w:p w14:paraId="2B41144A" w14:textId="77777777" w:rsidR="00EA3572" w:rsidRPr="00EA3572" w:rsidRDefault="00EA3572" w:rsidP="00EA3572">
      <w:pPr>
        <w:spacing w:line="360" w:lineRule="auto"/>
        <w:ind w:left="1440" w:hanging="720"/>
        <w:jc w:val="both"/>
        <w:rPr>
          <w:rFonts w:ascii="Arial" w:hAnsi="Arial" w:cs="Arial"/>
          <w:color w:val="000000"/>
        </w:rPr>
      </w:pPr>
      <w:r w:rsidRPr="00EA3572">
        <w:rPr>
          <w:rFonts w:ascii="Arial" w:hAnsi="Arial" w:cs="Arial"/>
          <w:i/>
          <w:iCs/>
          <w:color w:val="000000"/>
        </w:rPr>
        <w:t>(aa)</w:t>
      </w:r>
      <w:r w:rsidRPr="00EA3572">
        <w:rPr>
          <w:rFonts w:ascii="Arial" w:hAnsi="Arial" w:cs="Arial"/>
          <w:color w:val="000000"/>
        </w:rPr>
        <w:tab/>
        <w:t>irreparable injury to the company is resulting, or may result, from the deadlock; or</w:t>
      </w:r>
    </w:p>
    <w:p w14:paraId="7AB4267B" w14:textId="77777777" w:rsidR="00EA3572" w:rsidRPr="00EA3572" w:rsidRDefault="00EA3572" w:rsidP="00EA3572">
      <w:pPr>
        <w:spacing w:line="360" w:lineRule="auto"/>
        <w:ind w:left="1440" w:hanging="720"/>
        <w:jc w:val="both"/>
        <w:rPr>
          <w:rFonts w:ascii="Arial" w:hAnsi="Arial" w:cs="Arial"/>
          <w:color w:val="000000"/>
        </w:rPr>
      </w:pPr>
      <w:r w:rsidRPr="00EA3572">
        <w:rPr>
          <w:rFonts w:ascii="Arial" w:hAnsi="Arial" w:cs="Arial"/>
          <w:color w:val="000000"/>
        </w:rPr>
        <w:t>   </w:t>
      </w:r>
      <w:bookmarkStart w:id="1" w:name="0-0-0-66157"/>
      <w:bookmarkEnd w:id="1"/>
      <w:r w:rsidRPr="00EA3572">
        <w:rPr>
          <w:rFonts w:ascii="Arial" w:hAnsi="Arial" w:cs="Arial"/>
          <w:i/>
          <w:iCs/>
          <w:color w:val="000000"/>
        </w:rPr>
        <w:t>(bb)</w:t>
      </w:r>
      <w:r>
        <w:rPr>
          <w:rFonts w:ascii="Arial" w:hAnsi="Arial" w:cs="Arial"/>
          <w:color w:val="000000"/>
        </w:rPr>
        <w:tab/>
      </w:r>
      <w:r w:rsidRPr="00EA3572">
        <w:rPr>
          <w:rFonts w:ascii="Arial" w:hAnsi="Arial" w:cs="Arial"/>
          <w:color w:val="000000"/>
        </w:rPr>
        <w:t>the company's business cannot be conducted to the advantage of shareholders generally, as a result of the deadlock;</w:t>
      </w:r>
    </w:p>
    <w:p w14:paraId="6C354773" w14:textId="79ED7944" w:rsidR="00894961" w:rsidRPr="008A6491" w:rsidRDefault="008A6491" w:rsidP="008A6491">
      <w:pPr>
        <w:spacing w:line="360" w:lineRule="auto"/>
        <w:ind w:left="1080" w:hanging="720"/>
        <w:jc w:val="both"/>
        <w:rPr>
          <w:rFonts w:ascii="Arial" w:hAnsi="Arial" w:cs="Arial"/>
        </w:rPr>
      </w:pPr>
      <w:bookmarkStart w:id="2" w:name="0-0-0-66159"/>
      <w:bookmarkEnd w:id="2"/>
      <w:r w:rsidRPr="00EA3572">
        <w:rPr>
          <w:rFonts w:ascii="Verdana" w:hAnsi="Verdana"/>
          <w:color w:val="000000"/>
          <w:sz w:val="20"/>
        </w:rPr>
        <w:t>(ii)</w:t>
      </w:r>
      <w:r w:rsidRPr="00EA3572">
        <w:rPr>
          <w:rFonts w:ascii="Verdana" w:hAnsi="Verdana"/>
          <w:color w:val="000000"/>
          <w:sz w:val="20"/>
        </w:rPr>
        <w:tab/>
      </w:r>
      <w:r w:rsidR="00EA3572" w:rsidRPr="008A6491">
        <w:rPr>
          <w:rFonts w:ascii="Arial" w:hAnsi="Arial" w:cs="Arial"/>
          <w:color w:val="000000"/>
        </w:rPr>
        <w:t xml:space="preserve">the shareholders are deadlocked in voting power, and have failed for a period that </w:t>
      </w:r>
      <w:r w:rsidR="00EA3572" w:rsidRPr="008A6491">
        <w:rPr>
          <w:rFonts w:ascii="Arial" w:hAnsi="Arial" w:cs="Arial"/>
        </w:rPr>
        <w:t>includes</w:t>
      </w:r>
      <w:r w:rsidR="00EA3572" w:rsidRPr="008A6491">
        <w:rPr>
          <w:rFonts w:ascii="Arial" w:hAnsi="Arial" w:cs="Arial"/>
          <w:color w:val="000000"/>
        </w:rPr>
        <w:t xml:space="preserve"> at least two consecutive annual general meeting dates, to elect successors to directors whose terms have expired; or</w:t>
      </w:r>
      <w:r w:rsidR="00EA3572" w:rsidRPr="008A6491">
        <w:rPr>
          <w:rFonts w:ascii="Arial" w:hAnsi="Arial" w:cs="Arial"/>
        </w:rPr>
        <w:t xml:space="preserve"> </w:t>
      </w:r>
      <w:proofErr w:type="gramStart"/>
      <w:r w:rsidR="00894961" w:rsidRPr="008A6491">
        <w:rPr>
          <w:rFonts w:ascii="Arial" w:hAnsi="Arial" w:cs="Arial"/>
        </w:rPr>
        <w:t>It</w:t>
      </w:r>
      <w:proofErr w:type="gramEnd"/>
      <w:r w:rsidR="00894961" w:rsidRPr="008A6491">
        <w:rPr>
          <w:rFonts w:ascii="Arial" w:hAnsi="Arial" w:cs="Arial"/>
        </w:rPr>
        <w:t xml:space="preserve"> is otherwise just and equitable for the company to be wound up;</w:t>
      </w:r>
    </w:p>
    <w:p w14:paraId="5302EFE7" w14:textId="3BFD8416" w:rsidR="00EA3572" w:rsidRPr="008A6491" w:rsidRDefault="008A6491" w:rsidP="008A6491">
      <w:pPr>
        <w:spacing w:line="360" w:lineRule="auto"/>
        <w:ind w:left="1080" w:hanging="720"/>
        <w:jc w:val="both"/>
        <w:rPr>
          <w:rFonts w:ascii="Arial" w:hAnsi="Arial" w:cs="Arial"/>
        </w:rPr>
      </w:pPr>
      <w:bookmarkStart w:id="3" w:name="0-0-0-66161"/>
      <w:bookmarkEnd w:id="3"/>
      <w:r w:rsidRPr="00EA3572">
        <w:rPr>
          <w:rFonts w:ascii="Verdana" w:hAnsi="Verdana"/>
          <w:color w:val="000000"/>
          <w:sz w:val="20"/>
        </w:rPr>
        <w:t>(iii)</w:t>
      </w:r>
      <w:r w:rsidRPr="00EA3572">
        <w:rPr>
          <w:rFonts w:ascii="Verdana" w:hAnsi="Verdana"/>
          <w:color w:val="000000"/>
          <w:sz w:val="20"/>
        </w:rPr>
        <w:tab/>
      </w:r>
      <w:r w:rsidR="00EA3572" w:rsidRPr="008A6491">
        <w:rPr>
          <w:rFonts w:ascii="Arial" w:hAnsi="Arial" w:cs="Arial"/>
          <w:color w:val="000000"/>
        </w:rPr>
        <w:t>it is otherwise just and equitable for the company to be wound up;</w:t>
      </w:r>
      <w:r w:rsidR="00CB7A81" w:rsidRPr="008A6491">
        <w:rPr>
          <w:rFonts w:ascii="Arial" w:hAnsi="Arial" w:cs="Arial"/>
          <w:color w:val="000000"/>
        </w:rPr>
        <w:t>’</w:t>
      </w:r>
    </w:p>
    <w:p w14:paraId="32BA44C4" w14:textId="77777777" w:rsidR="00894961" w:rsidRPr="00894961" w:rsidRDefault="00894961" w:rsidP="00DA2D1C">
      <w:pPr>
        <w:spacing w:after="0" w:line="360" w:lineRule="auto"/>
        <w:jc w:val="both"/>
        <w:rPr>
          <w:rFonts w:ascii="Arial" w:hAnsi="Arial" w:cs="Arial"/>
        </w:rPr>
      </w:pPr>
    </w:p>
    <w:p w14:paraId="2EECD07F" w14:textId="77777777" w:rsidR="00103189" w:rsidRDefault="00704D26" w:rsidP="00704D26">
      <w:pPr>
        <w:spacing w:after="0" w:line="360" w:lineRule="auto"/>
        <w:jc w:val="both"/>
        <w:rPr>
          <w:rFonts w:ascii="Arial" w:hAnsi="Arial" w:cs="Arial"/>
          <w:i/>
          <w:sz w:val="24"/>
          <w:szCs w:val="24"/>
        </w:rPr>
      </w:pPr>
      <w:r>
        <w:rPr>
          <w:rFonts w:ascii="Arial" w:hAnsi="Arial" w:cs="Arial"/>
          <w:sz w:val="24"/>
          <w:szCs w:val="24"/>
        </w:rPr>
        <w:t>[28]</w:t>
      </w:r>
      <w:r>
        <w:rPr>
          <w:rFonts w:ascii="Arial" w:hAnsi="Arial" w:cs="Arial"/>
          <w:sz w:val="24"/>
          <w:szCs w:val="24"/>
        </w:rPr>
        <w:tab/>
      </w:r>
      <w:r w:rsidR="00297E46" w:rsidRPr="00323660">
        <w:rPr>
          <w:rFonts w:ascii="Arial" w:hAnsi="Arial" w:cs="Arial"/>
          <w:sz w:val="24"/>
          <w:szCs w:val="24"/>
        </w:rPr>
        <w:t xml:space="preserve">The trite principle in the case of a winding-up of a domestic company can be found in </w:t>
      </w:r>
      <w:r w:rsidR="00297E46" w:rsidRPr="00323660">
        <w:rPr>
          <w:rFonts w:ascii="Arial" w:hAnsi="Arial" w:cs="Arial"/>
          <w:i/>
          <w:sz w:val="24"/>
          <w:szCs w:val="24"/>
        </w:rPr>
        <w:t>Apco Africa</w:t>
      </w:r>
      <w:r w:rsidR="00086E3B" w:rsidRPr="00CB7A81">
        <w:rPr>
          <w:rFonts w:ascii="Arial" w:hAnsi="Arial" w:cs="Arial"/>
          <w:sz w:val="24"/>
          <w:szCs w:val="24"/>
        </w:rPr>
        <w:t>,</w:t>
      </w:r>
      <w:r w:rsidR="00CB7A81" w:rsidRPr="00CB7A81">
        <w:rPr>
          <w:rStyle w:val="FootnoteReference"/>
          <w:rFonts w:ascii="Arial" w:hAnsi="Arial" w:cs="Arial"/>
          <w:sz w:val="24"/>
          <w:szCs w:val="24"/>
        </w:rPr>
        <w:footnoteReference w:id="7"/>
      </w:r>
      <w:r w:rsidR="00297E46" w:rsidRPr="00323660">
        <w:rPr>
          <w:rFonts w:ascii="Arial" w:hAnsi="Arial" w:cs="Arial"/>
          <w:i/>
          <w:sz w:val="24"/>
          <w:szCs w:val="24"/>
        </w:rPr>
        <w:t xml:space="preserve"> </w:t>
      </w:r>
      <w:r w:rsidR="00CB7A81" w:rsidRPr="00CB7A81">
        <w:rPr>
          <w:rFonts w:ascii="Arial" w:hAnsi="Arial" w:cs="Arial"/>
          <w:sz w:val="24"/>
          <w:szCs w:val="24"/>
        </w:rPr>
        <w:t>where</w:t>
      </w:r>
      <w:r w:rsidR="00CB7A81">
        <w:rPr>
          <w:rFonts w:ascii="Arial" w:hAnsi="Arial" w:cs="Arial"/>
          <w:i/>
          <w:sz w:val="24"/>
          <w:szCs w:val="24"/>
        </w:rPr>
        <w:t xml:space="preserve"> </w:t>
      </w:r>
      <w:r w:rsidR="00297E46" w:rsidRPr="00323660">
        <w:rPr>
          <w:rFonts w:ascii="Arial" w:hAnsi="Arial" w:cs="Arial"/>
          <w:sz w:val="24"/>
          <w:szCs w:val="24"/>
        </w:rPr>
        <w:t xml:space="preserve">the </w:t>
      </w:r>
      <w:r w:rsidR="00CB7A81">
        <w:rPr>
          <w:rFonts w:ascii="Arial" w:hAnsi="Arial" w:cs="Arial"/>
          <w:sz w:val="24"/>
          <w:szCs w:val="24"/>
        </w:rPr>
        <w:t>Supreme Court of Appeal</w:t>
      </w:r>
      <w:r w:rsidR="00CB7A81" w:rsidRPr="00323660">
        <w:rPr>
          <w:rFonts w:ascii="Arial" w:hAnsi="Arial" w:cs="Arial"/>
          <w:sz w:val="24"/>
          <w:szCs w:val="24"/>
        </w:rPr>
        <w:t xml:space="preserve"> </w:t>
      </w:r>
      <w:r w:rsidR="00297E46" w:rsidRPr="00323660">
        <w:rPr>
          <w:rFonts w:ascii="Arial" w:hAnsi="Arial" w:cs="Arial"/>
          <w:sz w:val="24"/>
          <w:szCs w:val="24"/>
        </w:rPr>
        <w:t>laid the principle</w:t>
      </w:r>
      <w:r w:rsidR="0089392C" w:rsidRPr="00323660">
        <w:rPr>
          <w:rFonts w:ascii="Arial" w:hAnsi="Arial" w:cs="Arial"/>
          <w:sz w:val="24"/>
          <w:szCs w:val="24"/>
        </w:rPr>
        <w:t xml:space="preserve">s </w:t>
      </w:r>
      <w:r w:rsidR="00CB7A81">
        <w:rPr>
          <w:rFonts w:ascii="Arial" w:hAnsi="Arial" w:cs="Arial"/>
          <w:sz w:val="24"/>
          <w:szCs w:val="24"/>
        </w:rPr>
        <w:t>as</w:t>
      </w:r>
      <w:r w:rsidR="00CB7A81" w:rsidRPr="00323660">
        <w:rPr>
          <w:rFonts w:ascii="Arial" w:hAnsi="Arial" w:cs="Arial"/>
          <w:sz w:val="24"/>
          <w:szCs w:val="24"/>
        </w:rPr>
        <w:t xml:space="preserve"> </w:t>
      </w:r>
      <w:r w:rsidR="0089392C" w:rsidRPr="00323660">
        <w:rPr>
          <w:rFonts w:ascii="Arial" w:hAnsi="Arial" w:cs="Arial"/>
          <w:sz w:val="24"/>
          <w:szCs w:val="24"/>
        </w:rPr>
        <w:t>follows</w:t>
      </w:r>
      <w:r w:rsidR="00103189">
        <w:rPr>
          <w:rFonts w:ascii="Arial" w:hAnsi="Arial" w:cs="Arial"/>
          <w:sz w:val="24"/>
          <w:szCs w:val="24"/>
        </w:rPr>
        <w:t>:</w:t>
      </w:r>
      <w:r w:rsidR="00CB7A81">
        <w:rPr>
          <w:rStyle w:val="FootnoteReference"/>
          <w:rFonts w:ascii="Arial" w:hAnsi="Arial" w:cs="Arial"/>
          <w:sz w:val="24"/>
          <w:szCs w:val="24"/>
        </w:rPr>
        <w:footnoteReference w:id="8"/>
      </w:r>
      <w:r w:rsidR="0089392C" w:rsidRPr="00323660">
        <w:rPr>
          <w:rFonts w:ascii="Arial" w:hAnsi="Arial" w:cs="Arial"/>
          <w:i/>
          <w:sz w:val="24"/>
          <w:szCs w:val="24"/>
        </w:rPr>
        <w:t xml:space="preserve"> </w:t>
      </w:r>
    </w:p>
    <w:p w14:paraId="4E0761F1" w14:textId="77777777" w:rsidR="00CB7A81" w:rsidRPr="00426DBF" w:rsidRDefault="0089392C" w:rsidP="00CB7A81">
      <w:pPr>
        <w:spacing w:after="0" w:line="360" w:lineRule="auto"/>
        <w:jc w:val="both"/>
        <w:rPr>
          <w:rFonts w:ascii="Arial" w:eastAsia="Times New Roman" w:hAnsi="Arial" w:cs="Arial"/>
          <w:color w:val="000000"/>
          <w:lang w:eastAsia="en-ZA"/>
        </w:rPr>
      </w:pPr>
      <w:r w:rsidRPr="00704D26">
        <w:rPr>
          <w:rFonts w:ascii="Arial" w:hAnsi="Arial" w:cs="Arial"/>
        </w:rPr>
        <w:t>‘</w:t>
      </w:r>
      <w:r w:rsidR="00CB7A81" w:rsidRPr="00426DBF">
        <w:rPr>
          <w:rFonts w:ascii="Arial" w:eastAsia="Times New Roman" w:hAnsi="Arial" w:cs="Arial"/>
          <w:color w:val="000000"/>
          <w:lang w:eastAsia="en-ZA"/>
        </w:rPr>
        <w:t>There are two distinct principles that guide a court in exercising its discretion to wind up a domestic company which is in the nature of a partnership. The first, enunciated in </w:t>
      </w:r>
      <w:r w:rsidR="00CB7A81" w:rsidRPr="00426DBF">
        <w:rPr>
          <w:rFonts w:ascii="Arial" w:eastAsia="Times New Roman" w:hAnsi="Arial" w:cs="Arial"/>
          <w:i/>
          <w:iCs/>
          <w:color w:val="000000"/>
          <w:lang w:eastAsia="en-ZA"/>
        </w:rPr>
        <w:t>Loch v John Blackwood Ltd</w:t>
      </w:r>
      <w:r w:rsidR="00CB7A81" w:rsidRPr="00426DBF">
        <w:rPr>
          <w:rFonts w:ascii="Arial" w:eastAsia="Times New Roman" w:hAnsi="Arial" w:cs="Arial"/>
          <w:color w:val="000000"/>
          <w:lang w:eastAsia="en-ZA"/>
        </w:rPr>
        <w:t xml:space="preserve"> [1924] AC 783 (PC) at 788, is that it may be just and equitable for a company to be wound up where there is a justifiable lack of confidence in the conduct and management of the company's affairs grounded on conduct of the directors, not in regard to their private life or affairs, but in regard to the company's business. That lack of confidence is not justifiable if it springs merely from dissatisfaction at being outvoted on the business affairs or on what is called the domestic policy of the company, but is justifiable if in addition there is a lack of probity in the director's conduct of those affairs. The second, usually called the deadlock principle, is derived from the </w:t>
      </w:r>
      <w:r w:rsidR="00CB7A81" w:rsidRPr="00426DBF">
        <w:rPr>
          <w:rFonts w:ascii="Arial" w:eastAsia="Times New Roman" w:hAnsi="Arial" w:cs="Arial"/>
          <w:i/>
          <w:iCs/>
          <w:color w:val="000000"/>
          <w:lang w:eastAsia="en-ZA"/>
        </w:rPr>
        <w:t>Yenidje Tobacco Company</w:t>
      </w:r>
      <w:r w:rsidR="00CB7A81" w:rsidRPr="00426DBF">
        <w:rPr>
          <w:rFonts w:ascii="Arial" w:eastAsia="Times New Roman" w:hAnsi="Arial" w:cs="Arial"/>
          <w:color w:val="000000"/>
          <w:lang w:eastAsia="en-ZA"/>
        </w:rPr>
        <w:t> case. It is founded on the analogy of partnership and is strictly confined to those small domestic companies in which, because of some arrangement, express, tacit or implied, there exists between the members in regard to the company's affairs a particular personal relationship of confidence and trust similar to that existing between partners in regard to the partnership business. If by conduct which is either wrongful or not as contemplated by the arrangement, one or more of the members destroys that relationship, the other member or members are entitled to claim that it is just and equitable that the company should be wound up.</w:t>
      </w:r>
      <w:r w:rsidR="00CB7A81">
        <w:rPr>
          <w:rFonts w:ascii="Arial" w:eastAsia="Times New Roman" w:hAnsi="Arial" w:cs="Arial"/>
          <w:color w:val="000000"/>
          <w:lang w:eastAsia="en-ZA"/>
        </w:rPr>
        <w:t>’</w:t>
      </w:r>
    </w:p>
    <w:p w14:paraId="0C45312C" w14:textId="77777777" w:rsidR="00323660" w:rsidRDefault="00323660" w:rsidP="00DA2D1C">
      <w:pPr>
        <w:spacing w:after="0" w:line="360" w:lineRule="auto"/>
        <w:jc w:val="both"/>
        <w:rPr>
          <w:rFonts w:ascii="Arial" w:hAnsi="Arial" w:cs="Arial"/>
          <w:sz w:val="24"/>
          <w:szCs w:val="24"/>
        </w:rPr>
      </w:pPr>
    </w:p>
    <w:p w14:paraId="557C178F" w14:textId="77777777" w:rsidR="005478BE" w:rsidRDefault="00704D26" w:rsidP="00704D26">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23660">
        <w:rPr>
          <w:rFonts w:ascii="Arial" w:hAnsi="Arial" w:cs="Arial"/>
          <w:sz w:val="24"/>
          <w:szCs w:val="24"/>
        </w:rPr>
        <w:t>I</w:t>
      </w:r>
      <w:r w:rsidR="008F671F" w:rsidRPr="00323660">
        <w:rPr>
          <w:rFonts w:ascii="Arial" w:hAnsi="Arial" w:cs="Arial"/>
          <w:sz w:val="24"/>
          <w:szCs w:val="24"/>
        </w:rPr>
        <w:t xml:space="preserve">n </w:t>
      </w:r>
      <w:r w:rsidR="008F671F" w:rsidRPr="00323660">
        <w:rPr>
          <w:rFonts w:ascii="Arial" w:hAnsi="Arial" w:cs="Arial"/>
          <w:i/>
          <w:sz w:val="24"/>
          <w:szCs w:val="24"/>
        </w:rPr>
        <w:t>Malgas v Onega Investment CC and Others</w:t>
      </w:r>
      <w:r w:rsidRPr="00704D26">
        <w:rPr>
          <w:rStyle w:val="FootnoteReference"/>
          <w:rFonts w:ascii="Arial" w:hAnsi="Arial" w:cs="Arial"/>
          <w:sz w:val="24"/>
          <w:szCs w:val="24"/>
        </w:rPr>
        <w:footnoteReference w:id="9"/>
      </w:r>
      <w:r w:rsidR="008F671F" w:rsidRPr="00323660">
        <w:rPr>
          <w:rFonts w:ascii="Arial" w:hAnsi="Arial" w:cs="Arial"/>
          <w:sz w:val="24"/>
          <w:szCs w:val="24"/>
        </w:rPr>
        <w:t xml:space="preserve"> one of the issues for determination was whether the winding</w:t>
      </w:r>
      <w:r w:rsidR="005478BE">
        <w:rPr>
          <w:rFonts w:ascii="Arial" w:hAnsi="Arial" w:cs="Arial"/>
          <w:sz w:val="24"/>
          <w:szCs w:val="24"/>
        </w:rPr>
        <w:t>-</w:t>
      </w:r>
      <w:r w:rsidR="008F671F" w:rsidRPr="00323660">
        <w:rPr>
          <w:rFonts w:ascii="Arial" w:hAnsi="Arial" w:cs="Arial"/>
          <w:sz w:val="24"/>
          <w:szCs w:val="24"/>
        </w:rPr>
        <w:t xml:space="preserve">up of a company was justified on the basis of </w:t>
      </w:r>
      <w:r w:rsidR="005478BE">
        <w:rPr>
          <w:rFonts w:ascii="Arial" w:hAnsi="Arial" w:cs="Arial"/>
          <w:sz w:val="24"/>
          <w:szCs w:val="24"/>
        </w:rPr>
        <w:t xml:space="preserve">a </w:t>
      </w:r>
      <w:r w:rsidR="008F671F" w:rsidRPr="00323660">
        <w:rPr>
          <w:rFonts w:ascii="Arial" w:hAnsi="Arial" w:cs="Arial"/>
          <w:sz w:val="24"/>
          <w:szCs w:val="24"/>
        </w:rPr>
        <w:t xml:space="preserve">deadlock that allegedly arose between family members or whether it would be just and equitable to do so. </w:t>
      </w:r>
      <w:r w:rsidR="00EC2E85" w:rsidRPr="00323660">
        <w:rPr>
          <w:rFonts w:ascii="Arial" w:hAnsi="Arial" w:cs="Arial"/>
          <w:sz w:val="24"/>
          <w:szCs w:val="24"/>
        </w:rPr>
        <w:t xml:space="preserve">The court </w:t>
      </w:r>
      <w:r w:rsidR="000A6AFB" w:rsidRPr="00323660">
        <w:rPr>
          <w:rFonts w:ascii="Arial" w:hAnsi="Arial" w:cs="Arial"/>
          <w:sz w:val="24"/>
          <w:szCs w:val="24"/>
        </w:rPr>
        <w:t>acknowledged that</w:t>
      </w:r>
      <w:r w:rsidR="005478BE">
        <w:rPr>
          <w:rFonts w:ascii="Arial" w:hAnsi="Arial" w:cs="Arial"/>
          <w:sz w:val="24"/>
          <w:szCs w:val="24"/>
        </w:rPr>
        <w:t>:</w:t>
      </w:r>
      <w:r w:rsidR="005478BE" w:rsidRPr="005478BE">
        <w:rPr>
          <w:rStyle w:val="FootnoteReference"/>
          <w:rFonts w:ascii="Arial" w:hAnsi="Arial" w:cs="Arial"/>
          <w:sz w:val="24"/>
          <w:szCs w:val="24"/>
        </w:rPr>
        <w:t xml:space="preserve"> </w:t>
      </w:r>
      <w:r w:rsidR="005478BE" w:rsidRPr="00F013B4">
        <w:rPr>
          <w:rStyle w:val="FootnoteReference"/>
          <w:rFonts w:ascii="Arial" w:hAnsi="Arial" w:cs="Arial"/>
          <w:sz w:val="24"/>
          <w:szCs w:val="24"/>
        </w:rPr>
        <w:footnoteReference w:id="10"/>
      </w:r>
    </w:p>
    <w:p w14:paraId="14A0BA18" w14:textId="77777777" w:rsidR="008F671F" w:rsidRPr="005478BE" w:rsidRDefault="005478BE" w:rsidP="00704D26">
      <w:pPr>
        <w:spacing w:after="0" w:line="360" w:lineRule="auto"/>
        <w:jc w:val="both"/>
        <w:rPr>
          <w:rFonts w:ascii="Arial" w:hAnsi="Arial" w:cs="Arial"/>
          <w:i/>
          <w:highlight w:val="yellow"/>
        </w:rPr>
      </w:pPr>
      <w:r w:rsidRPr="005478BE">
        <w:rPr>
          <w:rFonts w:ascii="Arial" w:hAnsi="Arial" w:cs="Arial"/>
        </w:rPr>
        <w:t>‘A</w:t>
      </w:r>
      <w:r w:rsidR="000A6AFB" w:rsidRPr="005478BE">
        <w:rPr>
          <w:rFonts w:ascii="Arial" w:hAnsi="Arial" w:cs="Arial"/>
        </w:rPr>
        <w:t xml:space="preserve">lthough it could be impossible to define circumstances under which equitable considerations could arise, some of the categories that have been identified are </w:t>
      </w:r>
      <w:r>
        <w:rPr>
          <w:rFonts w:ascii="Arial" w:hAnsi="Arial" w:cs="Arial"/>
        </w:rPr>
        <w:t>“</w:t>
      </w:r>
      <w:r w:rsidR="000A6AFB" w:rsidRPr="005478BE">
        <w:rPr>
          <w:rFonts w:ascii="Arial" w:hAnsi="Arial" w:cs="Arial"/>
        </w:rPr>
        <w:t xml:space="preserve">the disappearance of a company’s substratum; illegality of the objects of the company and fraud connected in relation to it; a deadlock; oppression; and grounds similar to the dissolution of a partnership. A </w:t>
      </w:r>
      <w:r>
        <w:rPr>
          <w:rFonts w:ascii="Arial" w:hAnsi="Arial" w:cs="Arial"/>
        </w:rPr>
        <w:t>“</w:t>
      </w:r>
      <w:r w:rsidR="000A6AFB" w:rsidRPr="005478BE">
        <w:rPr>
          <w:rFonts w:ascii="Arial" w:hAnsi="Arial" w:cs="Arial"/>
        </w:rPr>
        <w:t xml:space="preserve">deadlock </w:t>
      </w:r>
      <w:r>
        <w:rPr>
          <w:rFonts w:ascii="Arial" w:hAnsi="Arial" w:cs="Arial"/>
        </w:rPr>
        <w:t>“</w:t>
      </w:r>
      <w:r w:rsidR="000A6AFB" w:rsidRPr="005478BE">
        <w:rPr>
          <w:rFonts w:ascii="Arial" w:hAnsi="Arial" w:cs="Arial"/>
        </w:rPr>
        <w:t xml:space="preserve">which because of a divided voting power at both the board and general meetings, affected </w:t>
      </w:r>
      <w:r w:rsidRPr="005478BE">
        <w:rPr>
          <w:rFonts w:ascii="Arial" w:hAnsi="Arial" w:cs="Arial"/>
        </w:rPr>
        <w:t xml:space="preserve">the </w:t>
      </w:r>
      <w:r w:rsidR="000A6AFB" w:rsidRPr="005478BE">
        <w:rPr>
          <w:rFonts w:ascii="Arial" w:hAnsi="Arial" w:cs="Arial"/>
        </w:rPr>
        <w:t>management of the company could also found a liquidation order on this ground.</w:t>
      </w:r>
      <w:r>
        <w:rPr>
          <w:rFonts w:ascii="Arial" w:hAnsi="Arial" w:cs="Arial"/>
        </w:rPr>
        <w:t>’</w:t>
      </w:r>
      <w:r w:rsidR="004968B2" w:rsidRPr="005478BE">
        <w:rPr>
          <w:rFonts w:ascii="Arial" w:hAnsi="Arial" w:cs="Arial"/>
        </w:rPr>
        <w:t xml:space="preserve"> </w:t>
      </w:r>
    </w:p>
    <w:p w14:paraId="750FE8D5" w14:textId="77777777" w:rsidR="00E16F9C" w:rsidRPr="00E16F9C" w:rsidRDefault="00E16F9C" w:rsidP="00DA2D1C">
      <w:pPr>
        <w:spacing w:after="0" w:line="360" w:lineRule="auto"/>
        <w:jc w:val="both"/>
        <w:rPr>
          <w:rFonts w:ascii="Arial" w:hAnsi="Arial" w:cs="Arial"/>
        </w:rPr>
      </w:pPr>
    </w:p>
    <w:p w14:paraId="7E642378" w14:textId="77777777" w:rsidR="00E16F9C" w:rsidRDefault="00E16F9C" w:rsidP="00704D26">
      <w:pPr>
        <w:spacing w:line="360" w:lineRule="auto"/>
        <w:jc w:val="both"/>
        <w:rPr>
          <w:rFonts w:ascii="Arial" w:hAnsi="Arial" w:cs="Arial"/>
          <w:b/>
          <w:sz w:val="24"/>
          <w:szCs w:val="24"/>
        </w:rPr>
      </w:pPr>
      <w:r>
        <w:rPr>
          <w:rFonts w:ascii="Arial" w:hAnsi="Arial" w:cs="Arial"/>
          <w:b/>
          <w:sz w:val="24"/>
          <w:szCs w:val="24"/>
        </w:rPr>
        <w:t xml:space="preserve">Application and </w:t>
      </w:r>
      <w:r w:rsidR="00EA3572">
        <w:rPr>
          <w:rFonts w:ascii="Arial" w:hAnsi="Arial" w:cs="Arial"/>
          <w:b/>
          <w:sz w:val="24"/>
          <w:szCs w:val="24"/>
        </w:rPr>
        <w:t>e</w:t>
      </w:r>
      <w:r>
        <w:rPr>
          <w:rFonts w:ascii="Arial" w:hAnsi="Arial" w:cs="Arial"/>
          <w:b/>
          <w:sz w:val="24"/>
          <w:szCs w:val="24"/>
        </w:rPr>
        <w:t>valuation</w:t>
      </w:r>
    </w:p>
    <w:p w14:paraId="62B1A89B" w14:textId="77777777" w:rsidR="00FE06D8" w:rsidRPr="00704D26" w:rsidRDefault="00FE06D8" w:rsidP="00704D26">
      <w:pPr>
        <w:spacing w:line="360" w:lineRule="auto"/>
        <w:jc w:val="both"/>
        <w:rPr>
          <w:rFonts w:ascii="Arial" w:hAnsi="Arial" w:cs="Arial"/>
          <w:b/>
          <w:i/>
          <w:sz w:val="24"/>
          <w:szCs w:val="24"/>
        </w:rPr>
      </w:pPr>
      <w:r w:rsidRPr="00704D26">
        <w:rPr>
          <w:rFonts w:ascii="Arial" w:hAnsi="Arial" w:cs="Arial"/>
          <w:b/>
          <w:i/>
          <w:sz w:val="24"/>
          <w:szCs w:val="24"/>
        </w:rPr>
        <w:t>The dispute of fact</w:t>
      </w:r>
    </w:p>
    <w:p w14:paraId="549E1F72" w14:textId="77777777" w:rsidR="00FE06D8"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FE06D8">
        <w:rPr>
          <w:rFonts w:ascii="Arial" w:hAnsi="Arial" w:cs="Arial"/>
          <w:sz w:val="24"/>
          <w:szCs w:val="24"/>
          <w:lang w:val="en-US"/>
        </w:rPr>
        <w:t xml:space="preserve">The first respondent’s argument </w:t>
      </w:r>
      <w:r w:rsidR="003A3935">
        <w:rPr>
          <w:rFonts w:ascii="Arial" w:hAnsi="Arial" w:cs="Arial"/>
          <w:sz w:val="24"/>
          <w:szCs w:val="24"/>
          <w:lang w:val="en-US"/>
        </w:rPr>
        <w:t>is that</w:t>
      </w:r>
      <w:r w:rsidR="00FE06D8">
        <w:rPr>
          <w:rFonts w:ascii="Arial" w:hAnsi="Arial" w:cs="Arial"/>
          <w:sz w:val="24"/>
          <w:szCs w:val="24"/>
          <w:lang w:val="en-US"/>
        </w:rPr>
        <w:t xml:space="preserve"> the second </w:t>
      </w:r>
      <w:r w:rsidR="00FE06D8" w:rsidRPr="00704D26">
        <w:rPr>
          <w:rFonts w:ascii="Arial" w:hAnsi="Arial" w:cs="Arial"/>
          <w:sz w:val="24"/>
          <w:szCs w:val="24"/>
        </w:rPr>
        <w:t>respondent</w:t>
      </w:r>
      <w:r w:rsidR="00FE06D8">
        <w:rPr>
          <w:rFonts w:ascii="Arial" w:hAnsi="Arial" w:cs="Arial"/>
          <w:sz w:val="24"/>
          <w:szCs w:val="24"/>
          <w:lang w:val="en-US"/>
        </w:rPr>
        <w:t xml:space="preserve"> </w:t>
      </w:r>
      <w:r w:rsidR="003A3935">
        <w:rPr>
          <w:rFonts w:ascii="Arial" w:hAnsi="Arial" w:cs="Arial"/>
          <w:sz w:val="24"/>
          <w:szCs w:val="24"/>
          <w:lang w:val="en-US"/>
        </w:rPr>
        <w:t>was “</w:t>
      </w:r>
      <w:r w:rsidR="00FE06D8">
        <w:rPr>
          <w:rFonts w:ascii="Arial" w:hAnsi="Arial" w:cs="Arial"/>
          <w:sz w:val="24"/>
          <w:szCs w:val="24"/>
          <w:lang w:val="en-US"/>
        </w:rPr>
        <w:t>incorporated for the purpose of taking ownership of the apartment, which was to be acquired for the purpose of accommodating the first respondent. The apartment was to be the first respondent’s and the second respondent was to be the ownership vehicle. The second respondent was created solely for the benefit of the respondent.”</w:t>
      </w:r>
      <w:r w:rsidR="00FE06D8">
        <w:rPr>
          <w:rStyle w:val="FootnoteReference"/>
          <w:rFonts w:ascii="Arial" w:hAnsi="Arial" w:cs="Arial"/>
          <w:sz w:val="24"/>
          <w:szCs w:val="24"/>
          <w:lang w:val="en-US"/>
        </w:rPr>
        <w:footnoteReference w:id="11"/>
      </w:r>
    </w:p>
    <w:p w14:paraId="512929C9" w14:textId="77777777" w:rsidR="00FE06D8" w:rsidRDefault="00FE06D8" w:rsidP="00DA2D1C">
      <w:pPr>
        <w:spacing w:after="0" w:line="360" w:lineRule="auto"/>
        <w:jc w:val="both"/>
        <w:rPr>
          <w:rFonts w:ascii="Arial" w:hAnsi="Arial" w:cs="Arial"/>
          <w:sz w:val="24"/>
          <w:szCs w:val="24"/>
          <w:lang w:val="en-US"/>
        </w:rPr>
      </w:pPr>
    </w:p>
    <w:p w14:paraId="3334E7E6" w14:textId="77777777" w:rsidR="00594721"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FE06D8">
        <w:rPr>
          <w:rFonts w:ascii="Arial" w:hAnsi="Arial" w:cs="Arial"/>
          <w:sz w:val="24"/>
          <w:szCs w:val="24"/>
          <w:lang w:val="en-US"/>
        </w:rPr>
        <w:t>In regard to the nature of the applicant’s interest</w:t>
      </w:r>
      <w:r w:rsidR="00594721">
        <w:rPr>
          <w:rFonts w:ascii="Arial" w:hAnsi="Arial" w:cs="Arial"/>
          <w:sz w:val="24"/>
          <w:szCs w:val="24"/>
          <w:lang w:val="en-US"/>
        </w:rPr>
        <w:t>,</w:t>
      </w:r>
      <w:r w:rsidR="001D5932">
        <w:rPr>
          <w:rFonts w:ascii="Arial" w:hAnsi="Arial" w:cs="Arial"/>
          <w:sz w:val="24"/>
          <w:szCs w:val="24"/>
          <w:lang w:val="en-US"/>
        </w:rPr>
        <w:t xml:space="preserve"> the first respondent submitted that</w:t>
      </w:r>
      <w:r w:rsidR="00594721">
        <w:rPr>
          <w:rFonts w:ascii="Arial" w:hAnsi="Arial" w:cs="Arial"/>
          <w:sz w:val="24"/>
          <w:szCs w:val="24"/>
          <w:lang w:val="en-US"/>
        </w:rPr>
        <w:t>:</w:t>
      </w:r>
      <w:r w:rsidR="00594721" w:rsidRPr="00594721">
        <w:rPr>
          <w:rStyle w:val="FootnoteReference"/>
          <w:rFonts w:ascii="Arial" w:hAnsi="Arial" w:cs="Arial"/>
          <w:sz w:val="24"/>
          <w:szCs w:val="24"/>
          <w:lang w:val="en-US"/>
        </w:rPr>
        <w:t xml:space="preserve"> </w:t>
      </w:r>
      <w:r w:rsidR="00594721">
        <w:rPr>
          <w:rStyle w:val="FootnoteReference"/>
          <w:rFonts w:ascii="Arial" w:hAnsi="Arial" w:cs="Arial"/>
          <w:sz w:val="24"/>
          <w:szCs w:val="24"/>
          <w:lang w:val="en-US"/>
        </w:rPr>
        <w:footnoteReference w:id="12"/>
      </w:r>
    </w:p>
    <w:p w14:paraId="0FB14144" w14:textId="77777777" w:rsidR="00594721" w:rsidRDefault="00594721" w:rsidP="00704D26">
      <w:pPr>
        <w:spacing w:after="0" w:line="360" w:lineRule="auto"/>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FE06D8">
        <w:rPr>
          <w:rFonts w:ascii="Arial" w:hAnsi="Arial" w:cs="Arial"/>
          <w:sz w:val="24"/>
          <w:szCs w:val="24"/>
          <w:lang w:val="en-US"/>
        </w:rPr>
        <w:t xml:space="preserve">the applicant was registered in </w:t>
      </w:r>
      <w:r w:rsidR="00FE06D8">
        <w:rPr>
          <w:rFonts w:ascii="Arial" w:hAnsi="Arial" w:cs="Arial"/>
          <w:i/>
          <w:sz w:val="24"/>
          <w:szCs w:val="24"/>
          <w:lang w:val="en-US"/>
        </w:rPr>
        <w:t xml:space="preserve">loco </w:t>
      </w:r>
      <w:r w:rsidR="00FE06D8" w:rsidRPr="00704D26">
        <w:rPr>
          <w:rFonts w:ascii="Arial" w:hAnsi="Arial" w:cs="Arial"/>
          <w:sz w:val="24"/>
          <w:szCs w:val="24"/>
        </w:rPr>
        <w:t>parentis</w:t>
      </w:r>
      <w:r w:rsidR="00FE06D8">
        <w:rPr>
          <w:rFonts w:ascii="Arial" w:hAnsi="Arial" w:cs="Arial"/>
          <w:i/>
          <w:sz w:val="24"/>
          <w:szCs w:val="24"/>
          <w:lang w:val="en-US"/>
        </w:rPr>
        <w:t xml:space="preserve"> </w:t>
      </w:r>
      <w:r w:rsidR="00FE06D8">
        <w:rPr>
          <w:rFonts w:ascii="Arial" w:hAnsi="Arial" w:cs="Arial"/>
          <w:sz w:val="24"/>
          <w:szCs w:val="24"/>
          <w:lang w:val="en-US"/>
        </w:rPr>
        <w:t>to the first respondent</w:t>
      </w:r>
      <w:r>
        <w:rPr>
          <w:rFonts w:ascii="Arial" w:hAnsi="Arial" w:cs="Arial"/>
          <w:sz w:val="24"/>
          <w:szCs w:val="24"/>
          <w:lang w:val="en-US"/>
        </w:rPr>
        <w:t>;</w:t>
      </w:r>
    </w:p>
    <w:p w14:paraId="1E2197F6" w14:textId="77777777" w:rsidR="00594721" w:rsidRDefault="00594721" w:rsidP="00715BAC">
      <w:pPr>
        <w:spacing w:after="0" w:line="360" w:lineRule="auto"/>
        <w:ind w:left="720" w:hanging="720"/>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t>t</w:t>
      </w:r>
      <w:r w:rsidR="00FE06D8">
        <w:rPr>
          <w:rFonts w:ascii="Arial" w:hAnsi="Arial" w:cs="Arial"/>
          <w:sz w:val="24"/>
          <w:szCs w:val="24"/>
          <w:lang w:val="en-US"/>
        </w:rPr>
        <w:t xml:space="preserve">he applicant’s member interest served as a </w:t>
      </w:r>
      <w:r>
        <w:rPr>
          <w:rFonts w:ascii="Arial" w:hAnsi="Arial" w:cs="Arial"/>
          <w:sz w:val="24"/>
          <w:szCs w:val="24"/>
          <w:lang w:val="en-US"/>
        </w:rPr>
        <w:t>“</w:t>
      </w:r>
      <w:r w:rsidR="00FE06D8">
        <w:rPr>
          <w:rFonts w:ascii="Arial" w:hAnsi="Arial" w:cs="Arial"/>
          <w:sz w:val="24"/>
          <w:szCs w:val="24"/>
          <w:lang w:val="en-US"/>
        </w:rPr>
        <w:t>check</w:t>
      </w:r>
      <w:r>
        <w:rPr>
          <w:rFonts w:ascii="Arial" w:hAnsi="Arial" w:cs="Arial"/>
          <w:sz w:val="24"/>
          <w:szCs w:val="24"/>
          <w:lang w:val="en-US"/>
        </w:rPr>
        <w:t>”</w:t>
      </w:r>
      <w:r w:rsidR="00FE06D8">
        <w:rPr>
          <w:rFonts w:ascii="Arial" w:hAnsi="Arial" w:cs="Arial"/>
          <w:sz w:val="24"/>
          <w:szCs w:val="24"/>
          <w:lang w:val="en-US"/>
        </w:rPr>
        <w:t xml:space="preserve"> against the first respondent failing to comply with the financial obligations and disposing of the apartment</w:t>
      </w:r>
      <w:r>
        <w:rPr>
          <w:rFonts w:ascii="Arial" w:hAnsi="Arial" w:cs="Arial"/>
          <w:sz w:val="24"/>
          <w:szCs w:val="24"/>
          <w:lang w:val="en-US"/>
        </w:rPr>
        <w:t>;</w:t>
      </w:r>
      <w:r w:rsidR="00FE06D8">
        <w:rPr>
          <w:rFonts w:ascii="Arial" w:hAnsi="Arial" w:cs="Arial"/>
          <w:sz w:val="24"/>
          <w:szCs w:val="24"/>
          <w:lang w:val="en-US"/>
        </w:rPr>
        <w:t xml:space="preserve"> </w:t>
      </w:r>
      <w:r>
        <w:rPr>
          <w:rFonts w:ascii="Arial" w:hAnsi="Arial" w:cs="Arial"/>
          <w:sz w:val="24"/>
          <w:szCs w:val="24"/>
          <w:lang w:val="en-US"/>
        </w:rPr>
        <w:t>and</w:t>
      </w:r>
    </w:p>
    <w:p w14:paraId="09CF6C12" w14:textId="77777777" w:rsidR="00FE06D8" w:rsidRDefault="00594721" w:rsidP="00715BAC">
      <w:pPr>
        <w:spacing w:after="0" w:line="360" w:lineRule="auto"/>
        <w:ind w:left="720" w:hanging="720"/>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t>t</w:t>
      </w:r>
      <w:r w:rsidR="00FE06D8">
        <w:rPr>
          <w:rFonts w:ascii="Arial" w:hAnsi="Arial" w:cs="Arial"/>
          <w:sz w:val="24"/>
          <w:szCs w:val="24"/>
          <w:lang w:val="en-US"/>
        </w:rPr>
        <w:t xml:space="preserve">he applicant was a mere nominee of the first respondent, with no economic interest and the first respondent as the beneficial owner of 100 </w:t>
      </w:r>
      <w:r w:rsidR="00CC51E7">
        <w:rPr>
          <w:rFonts w:ascii="Arial" w:hAnsi="Arial" w:cs="Arial"/>
          <w:sz w:val="24"/>
          <w:szCs w:val="24"/>
          <w:lang w:val="en-US"/>
        </w:rPr>
        <w:t>percent</w:t>
      </w:r>
      <w:r w:rsidR="00FE06D8">
        <w:rPr>
          <w:rFonts w:ascii="Arial" w:hAnsi="Arial" w:cs="Arial"/>
          <w:sz w:val="24"/>
          <w:szCs w:val="24"/>
          <w:lang w:val="en-US"/>
        </w:rPr>
        <w:t xml:space="preserve"> member’s interest in the second respondent.</w:t>
      </w:r>
    </w:p>
    <w:p w14:paraId="7571AEC0" w14:textId="77777777" w:rsidR="00FE06D8" w:rsidRDefault="00FE06D8" w:rsidP="00DA2D1C">
      <w:pPr>
        <w:spacing w:after="0" w:line="360" w:lineRule="auto"/>
        <w:jc w:val="both"/>
        <w:rPr>
          <w:rFonts w:ascii="Arial" w:hAnsi="Arial" w:cs="Arial"/>
          <w:sz w:val="24"/>
          <w:szCs w:val="24"/>
          <w:lang w:val="en-US"/>
        </w:rPr>
      </w:pPr>
    </w:p>
    <w:p w14:paraId="2549EF24" w14:textId="77777777" w:rsidR="00FE06D8"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FE06D8">
        <w:rPr>
          <w:rFonts w:ascii="Arial" w:hAnsi="Arial" w:cs="Arial"/>
          <w:sz w:val="24"/>
          <w:szCs w:val="24"/>
          <w:lang w:val="en-US"/>
        </w:rPr>
        <w:t xml:space="preserve">The essence of the arguments advanced by the applicant to the aforementioned dispute of fact was that </w:t>
      </w:r>
      <w:r w:rsidR="005710BA">
        <w:rPr>
          <w:rFonts w:ascii="Arial" w:hAnsi="Arial" w:cs="Arial"/>
          <w:sz w:val="24"/>
          <w:szCs w:val="24"/>
          <w:lang w:val="en-US"/>
        </w:rPr>
        <w:t>it</w:t>
      </w:r>
      <w:r w:rsidR="00FE06D8">
        <w:rPr>
          <w:rFonts w:ascii="Arial" w:hAnsi="Arial" w:cs="Arial"/>
          <w:sz w:val="24"/>
          <w:szCs w:val="24"/>
          <w:lang w:val="en-US"/>
        </w:rPr>
        <w:t xml:space="preserve"> could be resolved by reference to the founding documents of the second respondent. The applicant’s argument pointed to the contents of the CK2 document of the second respondent</w:t>
      </w:r>
      <w:r w:rsidR="005710BA">
        <w:rPr>
          <w:rFonts w:ascii="Arial" w:hAnsi="Arial" w:cs="Arial"/>
          <w:sz w:val="24"/>
          <w:szCs w:val="24"/>
          <w:lang w:val="en-US"/>
        </w:rPr>
        <w:t>, specifically</w:t>
      </w:r>
      <w:r w:rsidR="00FE06D8">
        <w:rPr>
          <w:rFonts w:ascii="Arial" w:hAnsi="Arial" w:cs="Arial"/>
          <w:sz w:val="24"/>
          <w:szCs w:val="24"/>
          <w:lang w:val="en-US"/>
        </w:rPr>
        <w:t xml:space="preserve"> </w:t>
      </w:r>
      <w:r w:rsidR="005710BA">
        <w:rPr>
          <w:rFonts w:ascii="Arial" w:hAnsi="Arial" w:cs="Arial"/>
          <w:sz w:val="24"/>
          <w:szCs w:val="24"/>
          <w:lang w:val="en-US"/>
        </w:rPr>
        <w:t xml:space="preserve">where </w:t>
      </w:r>
      <w:r w:rsidR="00FE06D8">
        <w:rPr>
          <w:rFonts w:ascii="Arial" w:hAnsi="Arial" w:cs="Arial"/>
          <w:sz w:val="24"/>
          <w:szCs w:val="24"/>
          <w:lang w:val="en-US"/>
        </w:rPr>
        <w:t xml:space="preserve">the purpose of the registration </w:t>
      </w:r>
      <w:r w:rsidR="005710BA">
        <w:rPr>
          <w:rFonts w:ascii="Arial" w:hAnsi="Arial" w:cs="Arial"/>
          <w:sz w:val="24"/>
          <w:szCs w:val="24"/>
          <w:lang w:val="en-US"/>
        </w:rPr>
        <w:t xml:space="preserve">reflected </w:t>
      </w:r>
      <w:r w:rsidR="00FE06D8">
        <w:rPr>
          <w:rFonts w:ascii="Arial" w:hAnsi="Arial" w:cs="Arial"/>
          <w:sz w:val="24"/>
          <w:szCs w:val="24"/>
          <w:lang w:val="en-US"/>
        </w:rPr>
        <w:t>“Property Investment” under part A, as opposed to the ‘</w:t>
      </w:r>
      <w:r w:rsidR="00FE06D8" w:rsidRPr="005710BA">
        <w:rPr>
          <w:rFonts w:ascii="Arial" w:hAnsi="Arial" w:cs="Arial"/>
          <w:i/>
          <w:sz w:val="24"/>
          <w:szCs w:val="24"/>
          <w:lang w:val="en-US"/>
        </w:rPr>
        <w:t>loco parentis</w:t>
      </w:r>
      <w:r w:rsidR="00FE06D8">
        <w:rPr>
          <w:rFonts w:ascii="Arial" w:hAnsi="Arial" w:cs="Arial"/>
          <w:sz w:val="24"/>
          <w:szCs w:val="24"/>
          <w:lang w:val="en-US"/>
        </w:rPr>
        <w:t xml:space="preserve">’ and or ‘ownership of the apartment’. Reference was also made to the correspondence from Realty </w:t>
      </w:r>
      <w:r w:rsidR="005710BA">
        <w:rPr>
          <w:rFonts w:ascii="Arial" w:hAnsi="Arial" w:cs="Arial"/>
          <w:sz w:val="24"/>
          <w:szCs w:val="24"/>
          <w:lang w:val="en-US"/>
        </w:rPr>
        <w:t>M</w:t>
      </w:r>
      <w:r w:rsidR="00FE06D8">
        <w:rPr>
          <w:rFonts w:ascii="Arial" w:hAnsi="Arial" w:cs="Arial"/>
          <w:sz w:val="24"/>
          <w:szCs w:val="24"/>
          <w:lang w:val="en-US"/>
        </w:rPr>
        <w:t>anagement</w:t>
      </w:r>
      <w:r w:rsidR="005710BA">
        <w:rPr>
          <w:rFonts w:ascii="Arial" w:hAnsi="Arial" w:cs="Arial"/>
          <w:sz w:val="24"/>
          <w:szCs w:val="24"/>
          <w:lang w:val="en-US"/>
        </w:rPr>
        <w:t xml:space="preserve"> (Pty) Ltd</w:t>
      </w:r>
      <w:r w:rsidR="00FE06D8">
        <w:rPr>
          <w:rFonts w:ascii="Arial" w:hAnsi="Arial" w:cs="Arial"/>
          <w:sz w:val="24"/>
          <w:szCs w:val="24"/>
          <w:lang w:val="en-US"/>
        </w:rPr>
        <w:t xml:space="preserve">, dated 4 March 1992 which included well wishes to the members of the second respondent </w:t>
      </w:r>
      <w:r w:rsidR="005710BA">
        <w:rPr>
          <w:rFonts w:ascii="Arial" w:hAnsi="Arial" w:cs="Arial"/>
          <w:sz w:val="24"/>
          <w:szCs w:val="24"/>
          <w:lang w:val="en-US"/>
        </w:rPr>
        <w:t>on</w:t>
      </w:r>
      <w:r w:rsidR="00FE06D8">
        <w:rPr>
          <w:rFonts w:ascii="Arial" w:hAnsi="Arial" w:cs="Arial"/>
          <w:sz w:val="24"/>
          <w:szCs w:val="24"/>
          <w:lang w:val="en-US"/>
        </w:rPr>
        <w:t xml:space="preserve"> adding more property investments into their corporation.</w:t>
      </w:r>
    </w:p>
    <w:p w14:paraId="2068076E" w14:textId="77777777" w:rsidR="00FE06D8" w:rsidRDefault="00FE06D8" w:rsidP="00DA2D1C">
      <w:pPr>
        <w:spacing w:after="0" w:line="360" w:lineRule="auto"/>
        <w:jc w:val="both"/>
        <w:rPr>
          <w:rFonts w:ascii="Arial" w:hAnsi="Arial" w:cs="Arial"/>
          <w:sz w:val="24"/>
          <w:szCs w:val="24"/>
          <w:lang w:val="en-US"/>
        </w:rPr>
      </w:pPr>
    </w:p>
    <w:p w14:paraId="51F1C826" w14:textId="77777777" w:rsidR="00FE06D8"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lastRenderedPageBreak/>
        <w:t>[33]</w:t>
      </w:r>
      <w:r>
        <w:rPr>
          <w:rFonts w:ascii="Arial" w:hAnsi="Arial" w:cs="Arial"/>
          <w:sz w:val="24"/>
          <w:szCs w:val="24"/>
          <w:lang w:val="en-US"/>
        </w:rPr>
        <w:tab/>
      </w:r>
      <w:r w:rsidR="00FE06D8">
        <w:rPr>
          <w:rFonts w:ascii="Arial" w:hAnsi="Arial" w:cs="Arial"/>
          <w:sz w:val="24"/>
          <w:szCs w:val="24"/>
          <w:lang w:val="en-US"/>
        </w:rPr>
        <w:t>According to the applicant, these details in the CK1</w:t>
      </w:r>
      <w:r w:rsidR="002E42E4">
        <w:rPr>
          <w:rFonts w:ascii="Arial" w:hAnsi="Arial" w:cs="Arial"/>
          <w:sz w:val="24"/>
          <w:szCs w:val="24"/>
          <w:lang w:val="en-US"/>
        </w:rPr>
        <w:t xml:space="preserve"> and CK2</w:t>
      </w:r>
      <w:r w:rsidR="00FE06D8">
        <w:rPr>
          <w:rFonts w:ascii="Arial" w:hAnsi="Arial" w:cs="Arial"/>
          <w:sz w:val="24"/>
          <w:szCs w:val="24"/>
          <w:lang w:val="en-US"/>
        </w:rPr>
        <w:t xml:space="preserve"> documents were conclusive in resolving the alleged dispute of fact. Th</w:t>
      </w:r>
      <w:r w:rsidR="002E42E4">
        <w:rPr>
          <w:rFonts w:ascii="Arial" w:hAnsi="Arial" w:cs="Arial"/>
          <w:sz w:val="24"/>
          <w:szCs w:val="24"/>
          <w:lang w:val="en-US"/>
        </w:rPr>
        <w:t>ese documents would be</w:t>
      </w:r>
      <w:r w:rsidR="00FE06D8">
        <w:rPr>
          <w:rFonts w:ascii="Arial" w:hAnsi="Arial" w:cs="Arial"/>
          <w:sz w:val="24"/>
          <w:szCs w:val="24"/>
          <w:lang w:val="en-US"/>
        </w:rPr>
        <w:t xml:space="preserve"> equally applicable to the description of the interest of the applicant, where each member contributed to the registration of the second respondent and that they each held 50</w:t>
      </w:r>
      <w:r w:rsidR="00CC51E7">
        <w:rPr>
          <w:rFonts w:ascii="Arial" w:hAnsi="Arial" w:cs="Arial"/>
          <w:sz w:val="24"/>
          <w:szCs w:val="24"/>
          <w:lang w:val="en-US"/>
        </w:rPr>
        <w:t xml:space="preserve"> percent</w:t>
      </w:r>
      <w:r w:rsidR="00FE06D8">
        <w:rPr>
          <w:rFonts w:ascii="Arial" w:hAnsi="Arial" w:cs="Arial"/>
          <w:sz w:val="24"/>
          <w:szCs w:val="24"/>
          <w:lang w:val="en-US"/>
        </w:rPr>
        <w:t xml:space="preserve"> interest. Further to that, the applicant’s argument highlighted the two instances where the applicant was offered money, in lieu of her claim of financial interest in the second respondent. According to the applicant’s contention, these offers found consistency in her claim that her interests were not </w:t>
      </w:r>
      <w:r w:rsidR="00FE06D8" w:rsidRPr="006C63FE">
        <w:rPr>
          <w:rFonts w:ascii="Arial" w:hAnsi="Arial" w:cs="Arial"/>
          <w:i/>
          <w:sz w:val="24"/>
          <w:szCs w:val="24"/>
          <w:lang w:val="en-US"/>
        </w:rPr>
        <w:t>loco parentis</w:t>
      </w:r>
      <w:r w:rsidR="00FE06D8">
        <w:rPr>
          <w:rFonts w:ascii="Arial" w:hAnsi="Arial" w:cs="Arial"/>
          <w:sz w:val="24"/>
          <w:szCs w:val="24"/>
          <w:lang w:val="en-US"/>
        </w:rPr>
        <w:t xml:space="preserve"> but financial.  Such offers being an amount of R250 000 that was offered by their brother Dines in 2011, in order to ‘buy her out of the second respondent. The most recent being in 2022, an offer by the first respondent who invited her to state how much she would accept in lieu of her claim or a sale of the apartment wherein they would share the proceeds. </w:t>
      </w:r>
    </w:p>
    <w:p w14:paraId="439834B1" w14:textId="77777777" w:rsidR="00FE06D8" w:rsidRDefault="00FE06D8" w:rsidP="00DA2D1C">
      <w:pPr>
        <w:spacing w:after="0" w:line="360" w:lineRule="auto"/>
        <w:jc w:val="both"/>
        <w:rPr>
          <w:rFonts w:ascii="Arial" w:hAnsi="Arial" w:cs="Arial"/>
          <w:sz w:val="24"/>
          <w:szCs w:val="24"/>
          <w:lang w:val="en-US"/>
        </w:rPr>
      </w:pPr>
    </w:p>
    <w:p w14:paraId="412A50CE" w14:textId="77777777" w:rsidR="00FE06D8" w:rsidRDefault="00704D26" w:rsidP="00DA2D1C">
      <w:pPr>
        <w:spacing w:after="0" w:line="360" w:lineRule="auto"/>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2E42E4">
        <w:rPr>
          <w:rFonts w:ascii="Arial" w:hAnsi="Arial" w:cs="Arial"/>
          <w:sz w:val="24"/>
          <w:szCs w:val="24"/>
          <w:lang w:val="en-US"/>
        </w:rPr>
        <w:t>On these matters, one is</w:t>
      </w:r>
      <w:r w:rsidR="00FE06D8">
        <w:rPr>
          <w:rFonts w:ascii="Arial" w:hAnsi="Arial" w:cs="Arial"/>
          <w:sz w:val="24"/>
          <w:szCs w:val="24"/>
          <w:lang w:val="en-US"/>
        </w:rPr>
        <w:t xml:space="preserve"> inclined to accept the applicant’s argument in regard</w:t>
      </w:r>
      <w:r w:rsidR="002E42E4">
        <w:rPr>
          <w:rFonts w:ascii="Arial" w:hAnsi="Arial" w:cs="Arial"/>
          <w:sz w:val="24"/>
          <w:szCs w:val="24"/>
          <w:lang w:val="en-US"/>
        </w:rPr>
        <w:t xml:space="preserve"> to her interest in the second respondent</w:t>
      </w:r>
      <w:r w:rsidR="00FE06D8">
        <w:rPr>
          <w:rFonts w:ascii="Arial" w:hAnsi="Arial" w:cs="Arial"/>
          <w:sz w:val="24"/>
          <w:szCs w:val="24"/>
          <w:lang w:val="en-US"/>
        </w:rPr>
        <w:t xml:space="preserve">. The CK1 </w:t>
      </w:r>
      <w:r w:rsidR="00CC51E7">
        <w:rPr>
          <w:rFonts w:ascii="Arial" w:hAnsi="Arial" w:cs="Arial"/>
          <w:sz w:val="24"/>
          <w:szCs w:val="24"/>
          <w:lang w:val="en-US"/>
        </w:rPr>
        <w:t xml:space="preserve">document </w:t>
      </w:r>
      <w:r w:rsidR="00FE06D8">
        <w:rPr>
          <w:rFonts w:ascii="Arial" w:hAnsi="Arial" w:cs="Arial"/>
          <w:sz w:val="24"/>
          <w:szCs w:val="24"/>
          <w:lang w:val="en-US"/>
        </w:rPr>
        <w:t xml:space="preserve">contains sufficient and credible information that demystify beyond any shadow of doubt, the purpose of the incorporation and the members’ interest </w:t>
      </w:r>
      <w:r w:rsidR="002E42E4">
        <w:rPr>
          <w:rFonts w:ascii="Arial" w:hAnsi="Arial" w:cs="Arial"/>
          <w:sz w:val="24"/>
          <w:szCs w:val="24"/>
          <w:lang w:val="en-US"/>
        </w:rPr>
        <w:t>in</w:t>
      </w:r>
      <w:r w:rsidR="00FE06D8">
        <w:rPr>
          <w:rFonts w:ascii="Arial" w:hAnsi="Arial" w:cs="Arial"/>
          <w:sz w:val="24"/>
          <w:szCs w:val="24"/>
          <w:lang w:val="en-US"/>
        </w:rPr>
        <w:t xml:space="preserve"> the second respondent. The document contain</w:t>
      </w:r>
      <w:r w:rsidR="006C63FE">
        <w:rPr>
          <w:rFonts w:ascii="Arial" w:hAnsi="Arial" w:cs="Arial"/>
          <w:sz w:val="24"/>
          <w:szCs w:val="24"/>
          <w:lang w:val="en-US"/>
        </w:rPr>
        <w:t>s</w:t>
      </w:r>
      <w:r w:rsidR="00FE06D8">
        <w:rPr>
          <w:rFonts w:ascii="Arial" w:hAnsi="Arial" w:cs="Arial"/>
          <w:sz w:val="24"/>
          <w:szCs w:val="24"/>
          <w:lang w:val="en-US"/>
        </w:rPr>
        <w:t xml:space="preserve"> no detail about the applicant being a </w:t>
      </w:r>
      <w:r w:rsidR="00FE06D8" w:rsidRPr="00FB475B">
        <w:rPr>
          <w:rFonts w:ascii="Arial" w:hAnsi="Arial" w:cs="Arial"/>
          <w:i/>
          <w:sz w:val="24"/>
          <w:szCs w:val="24"/>
          <w:lang w:val="en-US"/>
        </w:rPr>
        <w:t>loco parentis</w:t>
      </w:r>
      <w:r w:rsidR="00FE06D8">
        <w:rPr>
          <w:rFonts w:ascii="Arial" w:hAnsi="Arial" w:cs="Arial"/>
          <w:sz w:val="24"/>
          <w:szCs w:val="24"/>
          <w:lang w:val="en-US"/>
        </w:rPr>
        <w:t xml:space="preserve"> or member nominee of the first respondent. There are n</w:t>
      </w:r>
      <w:r w:rsidR="006C63FE">
        <w:rPr>
          <w:rFonts w:ascii="Arial" w:hAnsi="Arial" w:cs="Arial"/>
          <w:sz w:val="24"/>
          <w:szCs w:val="24"/>
          <w:lang w:val="en-US"/>
        </w:rPr>
        <w:t>o</w:t>
      </w:r>
      <w:r w:rsidR="00FE06D8">
        <w:rPr>
          <w:rFonts w:ascii="Arial" w:hAnsi="Arial" w:cs="Arial"/>
          <w:sz w:val="24"/>
          <w:szCs w:val="24"/>
          <w:lang w:val="en-US"/>
        </w:rPr>
        <w:t xml:space="preserve"> factors to indicate that the applicant may have amended her interests in the founding documents of the second respondent. In the absence of any factors that casts doubt on the </w:t>
      </w:r>
      <w:r w:rsidR="002E42E4">
        <w:rPr>
          <w:rFonts w:ascii="Arial" w:hAnsi="Arial" w:cs="Arial"/>
          <w:sz w:val="24"/>
          <w:szCs w:val="24"/>
          <w:lang w:val="en-US"/>
        </w:rPr>
        <w:t xml:space="preserve">veracity of the </w:t>
      </w:r>
      <w:r w:rsidR="00FE06D8">
        <w:rPr>
          <w:rFonts w:ascii="Arial" w:hAnsi="Arial" w:cs="Arial"/>
          <w:sz w:val="24"/>
          <w:szCs w:val="24"/>
          <w:lang w:val="en-US"/>
        </w:rPr>
        <w:t>stated contents of the CK1</w:t>
      </w:r>
      <w:r w:rsidR="002E42E4">
        <w:rPr>
          <w:rFonts w:ascii="Arial" w:hAnsi="Arial" w:cs="Arial"/>
          <w:sz w:val="24"/>
          <w:szCs w:val="24"/>
          <w:lang w:val="en-US"/>
        </w:rPr>
        <w:t xml:space="preserve"> and CK2</w:t>
      </w:r>
      <w:r w:rsidR="00FE06D8">
        <w:rPr>
          <w:rFonts w:ascii="Arial" w:hAnsi="Arial" w:cs="Arial"/>
          <w:sz w:val="24"/>
          <w:szCs w:val="24"/>
          <w:lang w:val="en-US"/>
        </w:rPr>
        <w:t xml:space="preserve"> </w:t>
      </w:r>
      <w:r w:rsidR="006C63FE">
        <w:rPr>
          <w:rFonts w:ascii="Arial" w:hAnsi="Arial" w:cs="Arial"/>
          <w:sz w:val="24"/>
          <w:szCs w:val="24"/>
          <w:lang w:val="en-US"/>
        </w:rPr>
        <w:t xml:space="preserve">documents </w:t>
      </w:r>
      <w:r w:rsidR="00FE06D8">
        <w:rPr>
          <w:rFonts w:ascii="Arial" w:hAnsi="Arial" w:cs="Arial"/>
          <w:sz w:val="24"/>
          <w:szCs w:val="24"/>
          <w:lang w:val="en-US"/>
        </w:rPr>
        <w:t xml:space="preserve">or negatively impact on the integrity of the </w:t>
      </w:r>
      <w:r w:rsidR="002E42E4">
        <w:rPr>
          <w:rFonts w:ascii="Arial" w:hAnsi="Arial" w:cs="Arial"/>
          <w:sz w:val="24"/>
          <w:szCs w:val="24"/>
          <w:lang w:val="en-US"/>
        </w:rPr>
        <w:t>such</w:t>
      </w:r>
      <w:r w:rsidR="00FE06D8">
        <w:rPr>
          <w:rFonts w:ascii="Arial" w:hAnsi="Arial" w:cs="Arial"/>
          <w:sz w:val="24"/>
          <w:szCs w:val="24"/>
          <w:lang w:val="en-US"/>
        </w:rPr>
        <w:t xml:space="preserve"> documents, they remain conclusive proof of the allegations by the applicant, both of her interest and the purpose of the second respondent.</w:t>
      </w:r>
    </w:p>
    <w:p w14:paraId="0F6AB4E6" w14:textId="77777777" w:rsidR="00FE06D8" w:rsidRDefault="00704D26" w:rsidP="00704D26">
      <w:pPr>
        <w:spacing w:after="0" w:line="360" w:lineRule="auto"/>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FE06D8">
        <w:rPr>
          <w:rFonts w:ascii="Arial" w:hAnsi="Arial" w:cs="Arial"/>
          <w:sz w:val="24"/>
          <w:szCs w:val="24"/>
          <w:lang w:val="en-US"/>
        </w:rPr>
        <w:t xml:space="preserve">By application of the </w:t>
      </w:r>
      <w:r w:rsidR="00FE06D8" w:rsidRPr="00CC51E7">
        <w:rPr>
          <w:rFonts w:ascii="Arial" w:hAnsi="Arial" w:cs="Arial"/>
          <w:i/>
          <w:sz w:val="24"/>
          <w:szCs w:val="24"/>
          <w:lang w:val="en-US"/>
        </w:rPr>
        <w:t>Plascon</w:t>
      </w:r>
      <w:r w:rsidR="00103189" w:rsidRPr="00CC51E7">
        <w:rPr>
          <w:rFonts w:ascii="Arial" w:hAnsi="Arial" w:cs="Arial"/>
          <w:i/>
          <w:sz w:val="24"/>
          <w:szCs w:val="24"/>
          <w:lang w:val="en-US"/>
        </w:rPr>
        <w:t>-</w:t>
      </w:r>
      <w:r w:rsidR="00FE06D8" w:rsidRPr="00CC51E7">
        <w:rPr>
          <w:rFonts w:ascii="Arial" w:hAnsi="Arial" w:cs="Arial"/>
          <w:i/>
          <w:sz w:val="24"/>
          <w:szCs w:val="24"/>
          <w:lang w:val="en-US"/>
        </w:rPr>
        <w:t xml:space="preserve">Evans </w:t>
      </w:r>
      <w:r w:rsidR="00FE06D8" w:rsidRPr="00CC51E7">
        <w:rPr>
          <w:rFonts w:ascii="Arial" w:hAnsi="Arial" w:cs="Arial"/>
          <w:sz w:val="24"/>
          <w:szCs w:val="24"/>
          <w:lang w:val="en-US"/>
        </w:rPr>
        <w:t>rule</w:t>
      </w:r>
      <w:r w:rsidR="00FE06D8" w:rsidRPr="006C63FE">
        <w:rPr>
          <w:rFonts w:ascii="Arial" w:hAnsi="Arial" w:cs="Arial"/>
          <w:sz w:val="24"/>
          <w:szCs w:val="24"/>
          <w:lang w:val="en-US"/>
        </w:rPr>
        <w:t>,</w:t>
      </w:r>
      <w:r w:rsidR="00FE06D8">
        <w:rPr>
          <w:rFonts w:ascii="Arial" w:hAnsi="Arial" w:cs="Arial"/>
          <w:sz w:val="24"/>
          <w:szCs w:val="24"/>
          <w:lang w:val="en-US"/>
        </w:rPr>
        <w:t xml:space="preserve"> the dispute of fact is resolved. It remains incontestable that the purpose of the second respondent was property investment and that the members had equal members</w:t>
      </w:r>
      <w:r w:rsidR="006C63FE">
        <w:rPr>
          <w:rFonts w:ascii="Arial" w:hAnsi="Arial" w:cs="Arial"/>
          <w:sz w:val="24"/>
          <w:szCs w:val="24"/>
          <w:lang w:val="en-US"/>
        </w:rPr>
        <w:t>’</w:t>
      </w:r>
      <w:r w:rsidR="00FE06D8">
        <w:rPr>
          <w:rFonts w:ascii="Arial" w:hAnsi="Arial" w:cs="Arial"/>
          <w:sz w:val="24"/>
          <w:szCs w:val="24"/>
          <w:lang w:val="en-US"/>
        </w:rPr>
        <w:t xml:space="preserve"> interests and contrary to the alleged </w:t>
      </w:r>
      <w:r w:rsidR="00FE06D8">
        <w:rPr>
          <w:rFonts w:ascii="Arial" w:hAnsi="Arial" w:cs="Arial"/>
          <w:i/>
          <w:sz w:val="24"/>
          <w:szCs w:val="24"/>
          <w:lang w:val="en-US"/>
        </w:rPr>
        <w:t xml:space="preserve">loco parentis </w:t>
      </w:r>
      <w:r w:rsidR="00FE06D8">
        <w:rPr>
          <w:rFonts w:ascii="Arial" w:hAnsi="Arial" w:cs="Arial"/>
          <w:sz w:val="24"/>
          <w:szCs w:val="24"/>
          <w:lang w:val="en-US"/>
        </w:rPr>
        <w:t>and or member nominee.</w:t>
      </w:r>
    </w:p>
    <w:p w14:paraId="0BAA88AA" w14:textId="77777777" w:rsidR="002E42E4" w:rsidRDefault="002E42E4" w:rsidP="00DA2D1C">
      <w:pPr>
        <w:spacing w:after="0" w:line="360" w:lineRule="auto"/>
        <w:jc w:val="both"/>
        <w:rPr>
          <w:rFonts w:ascii="Arial" w:hAnsi="Arial" w:cs="Arial"/>
          <w:sz w:val="24"/>
          <w:szCs w:val="24"/>
          <w:lang w:val="en-US"/>
        </w:rPr>
      </w:pPr>
    </w:p>
    <w:p w14:paraId="2849A293" w14:textId="77777777" w:rsidR="002E42E4" w:rsidRPr="00DA2D1C" w:rsidRDefault="00B94CB8" w:rsidP="00DA2D1C">
      <w:pPr>
        <w:pStyle w:val="FootnoteText"/>
        <w:spacing w:line="360" w:lineRule="auto"/>
        <w:jc w:val="both"/>
        <w:rPr>
          <w:rFonts w:ascii="Arial" w:hAnsi="Arial" w:cs="Arial"/>
          <w:b/>
          <w:i/>
          <w:sz w:val="24"/>
          <w:szCs w:val="24"/>
          <w:lang w:val="en-US"/>
        </w:rPr>
      </w:pPr>
      <w:r w:rsidRPr="00704D26">
        <w:rPr>
          <w:rFonts w:ascii="Arial" w:hAnsi="Arial" w:cs="Arial"/>
          <w:b/>
          <w:i/>
          <w:sz w:val="24"/>
          <w:szCs w:val="24"/>
          <w:lang w:val="en-US"/>
        </w:rPr>
        <w:t>Are the members in a deadlock situation?</w:t>
      </w:r>
    </w:p>
    <w:p w14:paraId="2BEE9973" w14:textId="77777777" w:rsidR="00BA78A9" w:rsidRPr="002E42E4" w:rsidRDefault="00704D26" w:rsidP="00704D26">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74EF5" w:rsidRPr="002E42E4">
        <w:rPr>
          <w:rFonts w:ascii="Arial" w:hAnsi="Arial" w:cs="Arial"/>
          <w:sz w:val="24"/>
          <w:szCs w:val="24"/>
        </w:rPr>
        <w:t xml:space="preserve">In determination of the issue at hand, the starting point will be a close examination of the state of the relationship of the members of the second respondent. This will include a glimpse of how they related shortly before the incorporation and at the time it was registered. </w:t>
      </w:r>
    </w:p>
    <w:p w14:paraId="7B81A585" w14:textId="77777777" w:rsidR="00BA78A9" w:rsidRPr="002E42E4" w:rsidRDefault="00BA78A9" w:rsidP="00DA2D1C">
      <w:pPr>
        <w:spacing w:after="0" w:line="360" w:lineRule="auto"/>
        <w:jc w:val="both"/>
        <w:rPr>
          <w:rFonts w:ascii="Arial" w:hAnsi="Arial" w:cs="Arial"/>
          <w:sz w:val="24"/>
          <w:szCs w:val="24"/>
        </w:rPr>
      </w:pPr>
    </w:p>
    <w:p w14:paraId="37B7C9DE" w14:textId="77777777" w:rsidR="003D2EF1" w:rsidRPr="002E42E4" w:rsidRDefault="00704D26" w:rsidP="00704D26">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BA78A9" w:rsidRPr="002E42E4">
        <w:rPr>
          <w:rFonts w:ascii="Arial" w:hAnsi="Arial" w:cs="Arial"/>
          <w:sz w:val="24"/>
          <w:szCs w:val="24"/>
        </w:rPr>
        <w:t>It remained common cause that the first respondent became the resident of the sole asset of the second respondent. According to the applicant, such was a unilateral decision of the first respondent</w:t>
      </w:r>
      <w:r w:rsidR="00AA19CC" w:rsidRPr="002E42E4">
        <w:rPr>
          <w:rFonts w:ascii="Arial" w:hAnsi="Arial" w:cs="Arial"/>
          <w:sz w:val="24"/>
          <w:szCs w:val="24"/>
        </w:rPr>
        <w:t>, without a resolution of the second defendant</w:t>
      </w:r>
      <w:r w:rsidR="00BA78A9" w:rsidRPr="002E42E4">
        <w:rPr>
          <w:rFonts w:ascii="Arial" w:hAnsi="Arial" w:cs="Arial"/>
          <w:sz w:val="24"/>
          <w:szCs w:val="24"/>
        </w:rPr>
        <w:t>.</w:t>
      </w:r>
      <w:r>
        <w:rPr>
          <w:rFonts w:ascii="Arial" w:hAnsi="Arial" w:cs="Arial"/>
          <w:sz w:val="24"/>
          <w:szCs w:val="24"/>
        </w:rPr>
        <w:t xml:space="preserve"> </w:t>
      </w:r>
      <w:r w:rsidR="00B94CB8">
        <w:rPr>
          <w:rFonts w:ascii="Arial" w:hAnsi="Arial" w:cs="Arial"/>
          <w:sz w:val="24"/>
          <w:szCs w:val="24"/>
        </w:rPr>
        <w:t>A</w:t>
      </w:r>
      <w:r w:rsidR="00AA19CC" w:rsidRPr="002E42E4">
        <w:rPr>
          <w:rFonts w:ascii="Arial" w:hAnsi="Arial" w:cs="Arial"/>
          <w:sz w:val="24"/>
          <w:szCs w:val="24"/>
        </w:rPr>
        <w:t xml:space="preserve">pparently, </w:t>
      </w:r>
      <w:r w:rsidR="00F943D3">
        <w:rPr>
          <w:rFonts w:ascii="Arial" w:hAnsi="Arial" w:cs="Arial"/>
          <w:sz w:val="24"/>
          <w:szCs w:val="24"/>
        </w:rPr>
        <w:t>from</w:t>
      </w:r>
      <w:r w:rsidR="00BA0B0B">
        <w:rPr>
          <w:rFonts w:ascii="Arial" w:hAnsi="Arial" w:cs="Arial"/>
          <w:sz w:val="24"/>
          <w:szCs w:val="24"/>
        </w:rPr>
        <w:t xml:space="preserve"> the perspective of the applicant, that conduct also</w:t>
      </w:r>
      <w:r w:rsidR="00AA19CC" w:rsidRPr="002E42E4">
        <w:rPr>
          <w:rFonts w:ascii="Arial" w:hAnsi="Arial" w:cs="Arial"/>
          <w:sz w:val="24"/>
          <w:szCs w:val="24"/>
        </w:rPr>
        <w:t xml:space="preserve"> occasioned tensions within their family</w:t>
      </w:r>
      <w:r w:rsidR="003D2EF1" w:rsidRPr="002E42E4">
        <w:rPr>
          <w:rFonts w:ascii="Arial" w:hAnsi="Arial" w:cs="Arial"/>
          <w:sz w:val="24"/>
          <w:szCs w:val="24"/>
        </w:rPr>
        <w:t xml:space="preserve">. </w:t>
      </w:r>
      <w:r w:rsidR="00F943D3">
        <w:rPr>
          <w:rFonts w:ascii="Arial" w:hAnsi="Arial" w:cs="Arial"/>
          <w:sz w:val="24"/>
          <w:szCs w:val="24"/>
        </w:rPr>
        <w:t>B</w:t>
      </w:r>
      <w:r w:rsidR="003D2EF1" w:rsidRPr="002E42E4">
        <w:rPr>
          <w:rFonts w:ascii="Arial" w:hAnsi="Arial" w:cs="Arial"/>
          <w:sz w:val="24"/>
          <w:szCs w:val="24"/>
        </w:rPr>
        <w:t xml:space="preserve">oth </w:t>
      </w:r>
      <w:r w:rsidR="00F943D3">
        <w:rPr>
          <w:rFonts w:ascii="Arial" w:hAnsi="Arial" w:cs="Arial"/>
          <w:sz w:val="24"/>
          <w:szCs w:val="24"/>
        </w:rPr>
        <w:t>the first applicant and</w:t>
      </w:r>
      <w:r w:rsidR="008A62AD">
        <w:rPr>
          <w:rFonts w:ascii="Arial" w:hAnsi="Arial" w:cs="Arial"/>
          <w:sz w:val="24"/>
          <w:szCs w:val="24"/>
        </w:rPr>
        <w:t xml:space="preserve"> </w:t>
      </w:r>
      <w:r w:rsidR="00F943D3">
        <w:rPr>
          <w:rFonts w:ascii="Arial" w:hAnsi="Arial" w:cs="Arial"/>
          <w:sz w:val="24"/>
          <w:szCs w:val="24"/>
        </w:rPr>
        <w:t xml:space="preserve">the first respondent </w:t>
      </w:r>
      <w:r w:rsidR="003D2EF1" w:rsidRPr="002E42E4">
        <w:rPr>
          <w:rFonts w:ascii="Arial" w:hAnsi="Arial" w:cs="Arial"/>
          <w:sz w:val="24"/>
          <w:szCs w:val="24"/>
        </w:rPr>
        <w:t xml:space="preserve">expressed their reluctance and uneasiness in getting involved in litigation against each other. They had however, equally </w:t>
      </w:r>
      <w:r w:rsidR="00BA0B0B">
        <w:rPr>
          <w:rFonts w:ascii="Arial" w:hAnsi="Arial" w:cs="Arial"/>
          <w:sz w:val="24"/>
          <w:szCs w:val="24"/>
        </w:rPr>
        <w:t>reconciled</w:t>
      </w:r>
      <w:r w:rsidR="003D2EF1" w:rsidRPr="002E42E4">
        <w:rPr>
          <w:rFonts w:ascii="Arial" w:hAnsi="Arial" w:cs="Arial"/>
          <w:sz w:val="24"/>
          <w:szCs w:val="24"/>
        </w:rPr>
        <w:t xml:space="preserve"> with the fact that </w:t>
      </w:r>
      <w:r w:rsidR="00F943D3">
        <w:rPr>
          <w:rFonts w:ascii="Arial" w:hAnsi="Arial" w:cs="Arial"/>
          <w:sz w:val="24"/>
          <w:szCs w:val="24"/>
        </w:rPr>
        <w:t>litigation</w:t>
      </w:r>
      <w:r w:rsidR="003D2EF1" w:rsidRPr="002E42E4">
        <w:rPr>
          <w:rFonts w:ascii="Arial" w:hAnsi="Arial" w:cs="Arial"/>
          <w:sz w:val="24"/>
          <w:szCs w:val="24"/>
        </w:rPr>
        <w:t xml:space="preserve"> was unavoidable since various attempts to resolve the impasse failed. </w:t>
      </w:r>
    </w:p>
    <w:p w14:paraId="20C80884" w14:textId="77777777" w:rsidR="003D2EF1" w:rsidRPr="002E42E4" w:rsidRDefault="003D2EF1" w:rsidP="006C63FE">
      <w:pPr>
        <w:spacing w:after="0" w:line="360" w:lineRule="auto"/>
        <w:jc w:val="both"/>
        <w:rPr>
          <w:rFonts w:ascii="Arial" w:hAnsi="Arial" w:cs="Arial"/>
          <w:sz w:val="24"/>
          <w:szCs w:val="24"/>
        </w:rPr>
      </w:pPr>
    </w:p>
    <w:p w14:paraId="34FB72A4" w14:textId="77777777" w:rsidR="003D2EF1" w:rsidRPr="002E42E4" w:rsidRDefault="00E43301" w:rsidP="00E43301">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3D2EF1" w:rsidRPr="002E42E4">
        <w:rPr>
          <w:rFonts w:ascii="Arial" w:hAnsi="Arial" w:cs="Arial"/>
          <w:sz w:val="24"/>
          <w:szCs w:val="24"/>
        </w:rPr>
        <w:t xml:space="preserve">It is common cause that as </w:t>
      </w:r>
      <w:r w:rsidR="001F592E" w:rsidRPr="002E42E4">
        <w:rPr>
          <w:rFonts w:ascii="Arial" w:hAnsi="Arial" w:cs="Arial"/>
          <w:sz w:val="24"/>
          <w:szCs w:val="24"/>
        </w:rPr>
        <w:t xml:space="preserve">far </w:t>
      </w:r>
      <w:r w:rsidR="003D2EF1" w:rsidRPr="002E42E4">
        <w:rPr>
          <w:rFonts w:ascii="Arial" w:hAnsi="Arial" w:cs="Arial"/>
          <w:sz w:val="24"/>
          <w:szCs w:val="24"/>
        </w:rPr>
        <w:t>back as 2011, there was consensus among those involved</w:t>
      </w:r>
      <w:r w:rsidR="00BA0B0B">
        <w:rPr>
          <w:rFonts w:ascii="Arial" w:hAnsi="Arial" w:cs="Arial"/>
          <w:sz w:val="24"/>
          <w:szCs w:val="24"/>
        </w:rPr>
        <w:t xml:space="preserve"> in attempts to resolve the</w:t>
      </w:r>
      <w:r w:rsidR="00B87FAD">
        <w:rPr>
          <w:rFonts w:ascii="Arial" w:hAnsi="Arial" w:cs="Arial"/>
          <w:sz w:val="24"/>
          <w:szCs w:val="24"/>
        </w:rPr>
        <w:t xml:space="preserve"> dispute</w:t>
      </w:r>
      <w:r w:rsidR="003D2EF1" w:rsidRPr="002E42E4">
        <w:rPr>
          <w:rFonts w:ascii="Arial" w:hAnsi="Arial" w:cs="Arial"/>
          <w:sz w:val="24"/>
          <w:szCs w:val="24"/>
        </w:rPr>
        <w:t xml:space="preserve">, including their brother Dines, that the corporation was not capable of operating with both members </w:t>
      </w:r>
      <w:r w:rsidR="00CC51E7">
        <w:rPr>
          <w:rFonts w:ascii="Arial" w:hAnsi="Arial" w:cs="Arial"/>
          <w:sz w:val="24"/>
          <w:szCs w:val="24"/>
        </w:rPr>
        <w:t xml:space="preserve">being </w:t>
      </w:r>
      <w:r w:rsidR="003D2EF1" w:rsidRPr="002E42E4">
        <w:rPr>
          <w:rFonts w:ascii="Arial" w:hAnsi="Arial" w:cs="Arial"/>
          <w:sz w:val="24"/>
          <w:szCs w:val="24"/>
        </w:rPr>
        <w:t xml:space="preserve">involved. </w:t>
      </w:r>
      <w:r w:rsidR="00BA0B0B">
        <w:rPr>
          <w:rFonts w:ascii="Arial" w:hAnsi="Arial" w:cs="Arial"/>
          <w:sz w:val="24"/>
          <w:szCs w:val="24"/>
        </w:rPr>
        <w:t>This was evident i</w:t>
      </w:r>
      <w:r w:rsidR="003D2EF1" w:rsidRPr="002E42E4">
        <w:rPr>
          <w:rFonts w:ascii="Arial" w:hAnsi="Arial" w:cs="Arial"/>
          <w:sz w:val="24"/>
          <w:szCs w:val="24"/>
        </w:rPr>
        <w:t xml:space="preserve">n his attempts, </w:t>
      </w:r>
      <w:r w:rsidR="00BA0B0B">
        <w:rPr>
          <w:rFonts w:ascii="Arial" w:hAnsi="Arial" w:cs="Arial"/>
          <w:sz w:val="24"/>
          <w:szCs w:val="24"/>
        </w:rPr>
        <w:t>when he</w:t>
      </w:r>
      <w:r w:rsidR="003D2EF1" w:rsidRPr="002E42E4">
        <w:rPr>
          <w:rFonts w:ascii="Arial" w:hAnsi="Arial" w:cs="Arial"/>
          <w:sz w:val="24"/>
          <w:szCs w:val="24"/>
        </w:rPr>
        <w:t xml:space="preserve"> offered to pay the applicant R250</w:t>
      </w:r>
      <w:r w:rsidR="00BA0B0B">
        <w:rPr>
          <w:rFonts w:ascii="Arial" w:hAnsi="Arial" w:cs="Arial"/>
          <w:sz w:val="24"/>
          <w:szCs w:val="24"/>
        </w:rPr>
        <w:t> </w:t>
      </w:r>
      <w:r w:rsidR="003D2EF1" w:rsidRPr="002E42E4">
        <w:rPr>
          <w:rFonts w:ascii="Arial" w:hAnsi="Arial" w:cs="Arial"/>
          <w:sz w:val="24"/>
          <w:szCs w:val="24"/>
        </w:rPr>
        <w:t xml:space="preserve">000 in lieu of her interest in the corporation. </w:t>
      </w:r>
    </w:p>
    <w:p w14:paraId="2D69CA62" w14:textId="77777777" w:rsidR="001F592E" w:rsidRPr="002E42E4" w:rsidRDefault="001F592E" w:rsidP="00DA2D1C">
      <w:pPr>
        <w:spacing w:after="0" w:line="360" w:lineRule="auto"/>
        <w:jc w:val="both"/>
        <w:rPr>
          <w:rFonts w:ascii="Arial" w:hAnsi="Arial" w:cs="Arial"/>
          <w:sz w:val="24"/>
          <w:szCs w:val="24"/>
        </w:rPr>
      </w:pPr>
    </w:p>
    <w:p w14:paraId="4E85CC0C" w14:textId="77777777" w:rsidR="00D3165F" w:rsidRDefault="00E43301" w:rsidP="00E43301">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D2EF1" w:rsidRPr="002E42E4">
        <w:rPr>
          <w:rFonts w:ascii="Arial" w:hAnsi="Arial" w:cs="Arial"/>
          <w:sz w:val="24"/>
          <w:szCs w:val="24"/>
        </w:rPr>
        <w:t>Various attorneys</w:t>
      </w:r>
      <w:r w:rsidR="0068724E" w:rsidRPr="002E42E4">
        <w:rPr>
          <w:rFonts w:ascii="Arial" w:hAnsi="Arial" w:cs="Arial"/>
          <w:sz w:val="24"/>
          <w:szCs w:val="24"/>
        </w:rPr>
        <w:t xml:space="preserve"> also attempted to facilitate discussions between the members, but failed.</w:t>
      </w:r>
      <w:r w:rsidR="001F592E" w:rsidRPr="002E42E4">
        <w:rPr>
          <w:rFonts w:ascii="Arial" w:hAnsi="Arial" w:cs="Arial"/>
          <w:sz w:val="24"/>
          <w:szCs w:val="24"/>
        </w:rPr>
        <w:t xml:space="preserve"> </w:t>
      </w:r>
      <w:r w:rsidR="0068724E" w:rsidRPr="002E42E4">
        <w:rPr>
          <w:rFonts w:ascii="Arial" w:hAnsi="Arial" w:cs="Arial"/>
          <w:sz w:val="24"/>
          <w:szCs w:val="24"/>
        </w:rPr>
        <w:t>These included</w:t>
      </w:r>
      <w:r w:rsidR="003D2EF1" w:rsidRPr="002E42E4">
        <w:rPr>
          <w:rFonts w:ascii="Arial" w:hAnsi="Arial" w:cs="Arial"/>
          <w:sz w:val="24"/>
          <w:szCs w:val="24"/>
        </w:rPr>
        <w:t xml:space="preserve"> </w:t>
      </w:r>
      <w:r w:rsidR="0068724E" w:rsidRPr="002E42E4">
        <w:rPr>
          <w:rFonts w:ascii="Arial" w:hAnsi="Arial" w:cs="Arial"/>
          <w:sz w:val="24"/>
          <w:szCs w:val="24"/>
        </w:rPr>
        <w:t>Zubeda K Seedat &amp; Company Attorneys in 2011</w:t>
      </w:r>
      <w:r w:rsidR="00AE6967">
        <w:rPr>
          <w:rFonts w:ascii="Arial" w:hAnsi="Arial" w:cs="Arial"/>
          <w:sz w:val="24"/>
          <w:szCs w:val="24"/>
        </w:rPr>
        <w:t xml:space="preserve"> and 2022</w:t>
      </w:r>
      <w:r w:rsidR="0068724E" w:rsidRPr="002E42E4">
        <w:rPr>
          <w:rFonts w:ascii="Arial" w:hAnsi="Arial" w:cs="Arial"/>
          <w:sz w:val="24"/>
          <w:szCs w:val="24"/>
        </w:rPr>
        <w:t xml:space="preserve">, at the instance of the first respondent; Shepstone and Wylie in July 2014 and </w:t>
      </w:r>
      <w:r w:rsidR="003D2EF1" w:rsidRPr="002E42E4">
        <w:rPr>
          <w:rFonts w:ascii="Arial" w:hAnsi="Arial" w:cs="Arial"/>
          <w:sz w:val="24"/>
          <w:szCs w:val="24"/>
        </w:rPr>
        <w:t xml:space="preserve">Weber Wentzel in </w:t>
      </w:r>
      <w:r w:rsidR="0068724E" w:rsidRPr="002E42E4">
        <w:rPr>
          <w:rFonts w:ascii="Arial" w:hAnsi="Arial" w:cs="Arial"/>
          <w:sz w:val="24"/>
          <w:szCs w:val="24"/>
        </w:rPr>
        <w:t xml:space="preserve">October- November </w:t>
      </w:r>
      <w:r w:rsidR="003D2EF1" w:rsidRPr="002E42E4">
        <w:rPr>
          <w:rFonts w:ascii="Arial" w:hAnsi="Arial" w:cs="Arial"/>
          <w:sz w:val="24"/>
          <w:szCs w:val="24"/>
        </w:rPr>
        <w:t>2014</w:t>
      </w:r>
      <w:r w:rsidR="0068724E" w:rsidRPr="002E42E4">
        <w:rPr>
          <w:rFonts w:ascii="Arial" w:hAnsi="Arial" w:cs="Arial"/>
          <w:sz w:val="24"/>
          <w:szCs w:val="24"/>
        </w:rPr>
        <w:t>, at the instance of the applicant</w:t>
      </w:r>
      <w:r w:rsidR="001F592E" w:rsidRPr="002E42E4">
        <w:rPr>
          <w:rFonts w:ascii="Arial" w:hAnsi="Arial" w:cs="Arial"/>
          <w:sz w:val="24"/>
          <w:szCs w:val="24"/>
        </w:rPr>
        <w:t>.</w:t>
      </w:r>
      <w:r w:rsidR="00AB661C">
        <w:rPr>
          <w:rFonts w:ascii="Arial" w:hAnsi="Arial" w:cs="Arial"/>
          <w:sz w:val="24"/>
          <w:szCs w:val="24"/>
        </w:rPr>
        <w:t xml:space="preserve"> </w:t>
      </w:r>
      <w:r w:rsidR="001F592E" w:rsidRPr="002E42E4">
        <w:rPr>
          <w:rFonts w:ascii="Arial" w:hAnsi="Arial" w:cs="Arial"/>
          <w:sz w:val="24"/>
          <w:szCs w:val="24"/>
        </w:rPr>
        <w:t xml:space="preserve"> </w:t>
      </w:r>
      <w:r w:rsidR="00AE6967">
        <w:rPr>
          <w:rFonts w:ascii="Arial" w:hAnsi="Arial" w:cs="Arial"/>
          <w:sz w:val="24"/>
          <w:szCs w:val="24"/>
        </w:rPr>
        <w:t>F</w:t>
      </w:r>
      <w:r w:rsidR="00D3165F">
        <w:rPr>
          <w:rFonts w:ascii="Arial" w:hAnsi="Arial" w:cs="Arial"/>
          <w:sz w:val="24"/>
          <w:szCs w:val="24"/>
        </w:rPr>
        <w:t>rom the details</w:t>
      </w:r>
      <w:r w:rsidR="00AE6967">
        <w:rPr>
          <w:rFonts w:ascii="Arial" w:hAnsi="Arial" w:cs="Arial"/>
          <w:sz w:val="24"/>
          <w:szCs w:val="24"/>
        </w:rPr>
        <w:t xml:space="preserve"> given by the first respondent,</w:t>
      </w:r>
      <w:r w:rsidR="00D3165F">
        <w:rPr>
          <w:rFonts w:ascii="Arial" w:hAnsi="Arial" w:cs="Arial"/>
          <w:sz w:val="24"/>
          <w:szCs w:val="24"/>
        </w:rPr>
        <w:t xml:space="preserve"> it could be gathered that </w:t>
      </w:r>
      <w:r w:rsidR="00AE6967">
        <w:rPr>
          <w:rFonts w:ascii="Arial" w:hAnsi="Arial" w:cs="Arial"/>
          <w:sz w:val="24"/>
          <w:szCs w:val="24"/>
        </w:rPr>
        <w:t xml:space="preserve">the last meeting in 2014 and the last discussion in 2022 </w:t>
      </w:r>
      <w:r w:rsidR="00D3165F">
        <w:rPr>
          <w:rFonts w:ascii="Arial" w:hAnsi="Arial" w:cs="Arial"/>
          <w:sz w:val="24"/>
          <w:szCs w:val="24"/>
        </w:rPr>
        <w:t>w</w:t>
      </w:r>
      <w:r w:rsidR="00AE6967">
        <w:rPr>
          <w:rFonts w:ascii="Arial" w:hAnsi="Arial" w:cs="Arial"/>
          <w:sz w:val="24"/>
          <w:szCs w:val="24"/>
        </w:rPr>
        <w:t>ere</w:t>
      </w:r>
      <w:r w:rsidR="00D3165F">
        <w:rPr>
          <w:rFonts w:ascii="Arial" w:hAnsi="Arial" w:cs="Arial"/>
          <w:sz w:val="24"/>
          <w:szCs w:val="24"/>
        </w:rPr>
        <w:t xml:space="preserve"> not in-person engagement</w:t>
      </w:r>
      <w:r w:rsidR="00AE6967">
        <w:rPr>
          <w:rFonts w:ascii="Arial" w:hAnsi="Arial" w:cs="Arial"/>
          <w:sz w:val="24"/>
          <w:szCs w:val="24"/>
        </w:rPr>
        <w:t>s</w:t>
      </w:r>
      <w:r w:rsidR="00D3165F">
        <w:rPr>
          <w:rFonts w:ascii="Arial" w:hAnsi="Arial" w:cs="Arial"/>
          <w:sz w:val="24"/>
          <w:szCs w:val="24"/>
        </w:rPr>
        <w:t>, but that they were communicating through Weber Wentzel</w:t>
      </w:r>
      <w:r w:rsidR="00AE6967">
        <w:rPr>
          <w:rFonts w:ascii="Arial" w:hAnsi="Arial" w:cs="Arial"/>
          <w:sz w:val="24"/>
          <w:szCs w:val="24"/>
        </w:rPr>
        <w:t xml:space="preserve"> and Zubeda Seedat </w:t>
      </w:r>
      <w:r w:rsidR="00D3165F">
        <w:rPr>
          <w:rFonts w:ascii="Arial" w:hAnsi="Arial" w:cs="Arial"/>
          <w:sz w:val="24"/>
          <w:szCs w:val="24"/>
        </w:rPr>
        <w:t>Attorneys</w:t>
      </w:r>
      <w:r w:rsidR="00AE6967">
        <w:rPr>
          <w:rFonts w:ascii="Arial" w:hAnsi="Arial" w:cs="Arial"/>
          <w:sz w:val="24"/>
          <w:szCs w:val="24"/>
        </w:rPr>
        <w:t>, respectively</w:t>
      </w:r>
      <w:r w:rsidR="00D3165F">
        <w:rPr>
          <w:rFonts w:ascii="Arial" w:hAnsi="Arial" w:cs="Arial"/>
          <w:sz w:val="24"/>
          <w:szCs w:val="24"/>
        </w:rPr>
        <w:t xml:space="preserve">. </w:t>
      </w:r>
    </w:p>
    <w:p w14:paraId="7DF1B5E8" w14:textId="77777777" w:rsidR="00D3165F" w:rsidRPr="00D3165F" w:rsidRDefault="00D3165F" w:rsidP="00DA2D1C">
      <w:pPr>
        <w:spacing w:after="0" w:line="360" w:lineRule="auto"/>
        <w:jc w:val="both"/>
        <w:rPr>
          <w:rFonts w:ascii="Arial" w:hAnsi="Arial" w:cs="Arial"/>
          <w:sz w:val="24"/>
          <w:szCs w:val="24"/>
        </w:rPr>
      </w:pPr>
    </w:p>
    <w:p w14:paraId="3CDC8569" w14:textId="77777777" w:rsidR="00F04C4F" w:rsidRPr="002E42E4" w:rsidRDefault="00E43301" w:rsidP="00E43301">
      <w:pPr>
        <w:spacing w:after="0" w:line="360" w:lineRule="auto"/>
        <w:jc w:val="both"/>
        <w:rPr>
          <w:rFonts w:ascii="Arial" w:hAnsi="Arial" w:cs="Arial"/>
          <w:sz w:val="24"/>
          <w:szCs w:val="24"/>
        </w:rPr>
      </w:pPr>
      <w:r>
        <w:rPr>
          <w:rFonts w:ascii="Arial" w:hAnsi="Arial" w:cs="Arial"/>
          <w:sz w:val="24"/>
          <w:szCs w:val="24"/>
        </w:rPr>
        <w:t>[4</w:t>
      </w:r>
      <w:r w:rsidR="00AB661C">
        <w:rPr>
          <w:rFonts w:ascii="Arial" w:hAnsi="Arial" w:cs="Arial"/>
          <w:sz w:val="24"/>
          <w:szCs w:val="24"/>
        </w:rPr>
        <w:t>0</w:t>
      </w:r>
      <w:r>
        <w:rPr>
          <w:rFonts w:ascii="Arial" w:hAnsi="Arial" w:cs="Arial"/>
          <w:sz w:val="24"/>
          <w:szCs w:val="24"/>
        </w:rPr>
        <w:t>]</w:t>
      </w:r>
      <w:r>
        <w:rPr>
          <w:rFonts w:ascii="Arial" w:hAnsi="Arial" w:cs="Arial"/>
          <w:sz w:val="24"/>
          <w:szCs w:val="24"/>
        </w:rPr>
        <w:tab/>
      </w:r>
      <w:r w:rsidR="00F04C4F" w:rsidRPr="002E42E4">
        <w:rPr>
          <w:rFonts w:ascii="Arial" w:hAnsi="Arial" w:cs="Arial"/>
          <w:sz w:val="24"/>
          <w:szCs w:val="24"/>
        </w:rPr>
        <w:t xml:space="preserve">The visits </w:t>
      </w:r>
      <w:r w:rsidR="00BA0B0B">
        <w:rPr>
          <w:rFonts w:ascii="Arial" w:hAnsi="Arial" w:cs="Arial"/>
          <w:sz w:val="24"/>
          <w:szCs w:val="24"/>
        </w:rPr>
        <w:t xml:space="preserve">mentioned </w:t>
      </w:r>
      <w:r w:rsidR="00F04C4F" w:rsidRPr="002E42E4">
        <w:rPr>
          <w:rFonts w:ascii="Arial" w:hAnsi="Arial" w:cs="Arial"/>
          <w:sz w:val="24"/>
          <w:szCs w:val="24"/>
        </w:rPr>
        <w:t>by the first respondent to the applicant</w:t>
      </w:r>
      <w:r w:rsidR="00BA0B0B">
        <w:rPr>
          <w:rFonts w:ascii="Arial" w:hAnsi="Arial" w:cs="Arial"/>
          <w:sz w:val="24"/>
          <w:szCs w:val="24"/>
        </w:rPr>
        <w:t>’</w:t>
      </w:r>
      <w:r w:rsidR="00F04C4F" w:rsidRPr="002E42E4">
        <w:rPr>
          <w:rFonts w:ascii="Arial" w:hAnsi="Arial" w:cs="Arial"/>
          <w:sz w:val="24"/>
          <w:szCs w:val="24"/>
        </w:rPr>
        <w:t xml:space="preserve">s home do not </w:t>
      </w:r>
      <w:r w:rsidR="00932F0C">
        <w:rPr>
          <w:rFonts w:ascii="Arial" w:hAnsi="Arial" w:cs="Arial"/>
          <w:sz w:val="24"/>
          <w:szCs w:val="24"/>
        </w:rPr>
        <w:t>indicate</w:t>
      </w:r>
      <w:r w:rsidR="00932F0C" w:rsidRPr="002E42E4">
        <w:rPr>
          <w:rFonts w:ascii="Arial" w:hAnsi="Arial" w:cs="Arial"/>
          <w:sz w:val="24"/>
          <w:szCs w:val="24"/>
        </w:rPr>
        <w:t xml:space="preserve"> </w:t>
      </w:r>
      <w:r w:rsidR="00F04C4F" w:rsidRPr="002E42E4">
        <w:rPr>
          <w:rFonts w:ascii="Arial" w:hAnsi="Arial" w:cs="Arial"/>
          <w:sz w:val="24"/>
          <w:szCs w:val="24"/>
        </w:rPr>
        <w:t>the time period, it also d</w:t>
      </w:r>
      <w:r w:rsidR="00BA0B0B">
        <w:rPr>
          <w:rFonts w:ascii="Arial" w:hAnsi="Arial" w:cs="Arial"/>
          <w:sz w:val="24"/>
          <w:szCs w:val="24"/>
        </w:rPr>
        <w:t>id</w:t>
      </w:r>
      <w:r w:rsidR="00F04C4F" w:rsidRPr="002E42E4">
        <w:rPr>
          <w:rFonts w:ascii="Arial" w:hAnsi="Arial" w:cs="Arial"/>
          <w:sz w:val="24"/>
          <w:szCs w:val="24"/>
        </w:rPr>
        <w:t xml:space="preserve"> not appear that any affairs of the second respondent were subject of their alleged interaction. With respect, </w:t>
      </w:r>
      <w:r w:rsidR="00D20EF8">
        <w:rPr>
          <w:rFonts w:ascii="Arial" w:hAnsi="Arial" w:cs="Arial"/>
          <w:sz w:val="24"/>
          <w:szCs w:val="24"/>
        </w:rPr>
        <w:t>the alleged visits</w:t>
      </w:r>
      <w:r w:rsidR="00D3165F">
        <w:rPr>
          <w:rFonts w:ascii="Arial" w:hAnsi="Arial" w:cs="Arial"/>
          <w:sz w:val="24"/>
          <w:szCs w:val="24"/>
        </w:rPr>
        <w:t>;</w:t>
      </w:r>
      <w:r w:rsidR="00D20EF8">
        <w:rPr>
          <w:rFonts w:ascii="Arial" w:hAnsi="Arial" w:cs="Arial"/>
          <w:sz w:val="24"/>
          <w:szCs w:val="24"/>
        </w:rPr>
        <w:t xml:space="preserve"> provision of financial assistance </w:t>
      </w:r>
      <w:r w:rsidR="00D3165F">
        <w:rPr>
          <w:rFonts w:ascii="Arial" w:hAnsi="Arial" w:cs="Arial"/>
          <w:sz w:val="24"/>
          <w:szCs w:val="24"/>
        </w:rPr>
        <w:t>and the health condition of</w:t>
      </w:r>
      <w:r w:rsidR="00D20EF8">
        <w:rPr>
          <w:rFonts w:ascii="Arial" w:hAnsi="Arial" w:cs="Arial"/>
          <w:sz w:val="24"/>
          <w:szCs w:val="24"/>
        </w:rPr>
        <w:t xml:space="preserve"> the applicant</w:t>
      </w:r>
      <w:r w:rsidR="00F04C4F" w:rsidRPr="002E42E4">
        <w:rPr>
          <w:rFonts w:ascii="Arial" w:hAnsi="Arial" w:cs="Arial"/>
          <w:sz w:val="24"/>
          <w:szCs w:val="24"/>
        </w:rPr>
        <w:t xml:space="preserve"> d</w:t>
      </w:r>
      <w:r w:rsidR="00D3165F">
        <w:rPr>
          <w:rFonts w:ascii="Arial" w:hAnsi="Arial" w:cs="Arial"/>
          <w:sz w:val="24"/>
          <w:szCs w:val="24"/>
        </w:rPr>
        <w:t>id</w:t>
      </w:r>
      <w:r w:rsidR="00F04C4F" w:rsidRPr="002E42E4">
        <w:rPr>
          <w:rFonts w:ascii="Arial" w:hAnsi="Arial" w:cs="Arial"/>
          <w:sz w:val="24"/>
          <w:szCs w:val="24"/>
        </w:rPr>
        <w:t xml:space="preserve"> not add value to the issues that required determination herein.</w:t>
      </w:r>
    </w:p>
    <w:p w14:paraId="72F6D7FF" w14:textId="77777777" w:rsidR="00F04C4F" w:rsidRPr="002E42E4" w:rsidRDefault="00F04C4F" w:rsidP="00DA2D1C">
      <w:pPr>
        <w:spacing w:after="0" w:line="360" w:lineRule="auto"/>
        <w:jc w:val="both"/>
        <w:rPr>
          <w:rFonts w:ascii="Arial" w:hAnsi="Arial" w:cs="Arial"/>
          <w:sz w:val="24"/>
          <w:szCs w:val="24"/>
        </w:rPr>
      </w:pPr>
    </w:p>
    <w:p w14:paraId="02C93D17" w14:textId="77777777" w:rsidR="007571CF" w:rsidRPr="002E42E4" w:rsidRDefault="00E43301" w:rsidP="00E43301">
      <w:pPr>
        <w:spacing w:after="0" w:line="360" w:lineRule="auto"/>
        <w:jc w:val="both"/>
        <w:rPr>
          <w:rFonts w:ascii="Arial" w:hAnsi="Arial" w:cs="Arial"/>
          <w:sz w:val="24"/>
          <w:szCs w:val="24"/>
        </w:rPr>
      </w:pPr>
      <w:r>
        <w:rPr>
          <w:rFonts w:ascii="Arial" w:hAnsi="Arial" w:cs="Arial"/>
          <w:sz w:val="24"/>
          <w:szCs w:val="24"/>
        </w:rPr>
        <w:t>[4</w:t>
      </w:r>
      <w:r w:rsidR="00AB661C">
        <w:rPr>
          <w:rFonts w:ascii="Arial" w:hAnsi="Arial" w:cs="Arial"/>
          <w:sz w:val="24"/>
          <w:szCs w:val="24"/>
        </w:rPr>
        <w:t>1</w:t>
      </w:r>
      <w:r>
        <w:rPr>
          <w:rFonts w:ascii="Arial" w:hAnsi="Arial" w:cs="Arial"/>
          <w:sz w:val="24"/>
          <w:szCs w:val="24"/>
        </w:rPr>
        <w:t>]</w:t>
      </w:r>
      <w:r>
        <w:rPr>
          <w:rFonts w:ascii="Arial" w:hAnsi="Arial" w:cs="Arial"/>
          <w:sz w:val="24"/>
          <w:szCs w:val="24"/>
        </w:rPr>
        <w:tab/>
      </w:r>
      <w:r w:rsidR="00874EF5" w:rsidRPr="002E42E4">
        <w:rPr>
          <w:rFonts w:ascii="Arial" w:hAnsi="Arial" w:cs="Arial"/>
          <w:sz w:val="24"/>
          <w:szCs w:val="24"/>
        </w:rPr>
        <w:t xml:space="preserve">At least, from the perspective of the first respondent, as the youngest </w:t>
      </w:r>
      <w:r w:rsidR="00184ECA">
        <w:rPr>
          <w:rFonts w:ascii="Arial" w:hAnsi="Arial" w:cs="Arial"/>
          <w:sz w:val="24"/>
          <w:szCs w:val="24"/>
        </w:rPr>
        <w:t>of</w:t>
      </w:r>
      <w:r w:rsidR="00874EF5" w:rsidRPr="002E42E4">
        <w:rPr>
          <w:rFonts w:ascii="Arial" w:hAnsi="Arial" w:cs="Arial"/>
          <w:sz w:val="24"/>
          <w:szCs w:val="24"/>
        </w:rPr>
        <w:t xml:space="preserve"> </w:t>
      </w:r>
      <w:r w:rsidR="00184ECA">
        <w:rPr>
          <w:rFonts w:ascii="Arial" w:hAnsi="Arial" w:cs="Arial"/>
          <w:sz w:val="24"/>
          <w:szCs w:val="24"/>
        </w:rPr>
        <w:t>the</w:t>
      </w:r>
      <w:r w:rsidR="00184ECA" w:rsidRPr="002E42E4">
        <w:rPr>
          <w:rFonts w:ascii="Arial" w:hAnsi="Arial" w:cs="Arial"/>
          <w:sz w:val="24"/>
          <w:szCs w:val="24"/>
        </w:rPr>
        <w:t xml:space="preserve"> </w:t>
      </w:r>
      <w:r w:rsidR="00874EF5" w:rsidRPr="002E42E4">
        <w:rPr>
          <w:rFonts w:ascii="Arial" w:hAnsi="Arial" w:cs="Arial"/>
          <w:sz w:val="24"/>
          <w:szCs w:val="24"/>
        </w:rPr>
        <w:t xml:space="preserve">siblings, they were </w:t>
      </w:r>
      <w:r w:rsidR="00D20EF8">
        <w:rPr>
          <w:rFonts w:ascii="Arial" w:hAnsi="Arial" w:cs="Arial"/>
          <w:sz w:val="24"/>
          <w:szCs w:val="24"/>
        </w:rPr>
        <w:t xml:space="preserve">collectively </w:t>
      </w:r>
      <w:r w:rsidR="00874EF5" w:rsidRPr="002E42E4">
        <w:rPr>
          <w:rFonts w:ascii="Arial" w:hAnsi="Arial" w:cs="Arial"/>
          <w:sz w:val="24"/>
          <w:szCs w:val="24"/>
        </w:rPr>
        <w:t xml:space="preserve">playing a </w:t>
      </w:r>
      <w:r w:rsidR="00874EF5" w:rsidRPr="002E42E4">
        <w:rPr>
          <w:rFonts w:ascii="Arial" w:hAnsi="Arial" w:cs="Arial"/>
          <w:i/>
          <w:sz w:val="24"/>
          <w:szCs w:val="24"/>
        </w:rPr>
        <w:t xml:space="preserve">loco parentis </w:t>
      </w:r>
      <w:r w:rsidR="00874EF5" w:rsidRPr="002E42E4">
        <w:rPr>
          <w:rFonts w:ascii="Arial" w:hAnsi="Arial" w:cs="Arial"/>
          <w:sz w:val="24"/>
          <w:szCs w:val="24"/>
        </w:rPr>
        <w:t>role</w:t>
      </w:r>
      <w:r w:rsidR="00932F0C">
        <w:rPr>
          <w:rFonts w:ascii="Arial" w:hAnsi="Arial" w:cs="Arial"/>
          <w:sz w:val="24"/>
          <w:szCs w:val="24"/>
        </w:rPr>
        <w:t xml:space="preserve"> to her</w:t>
      </w:r>
      <w:r w:rsidR="00874EF5" w:rsidRPr="002E42E4">
        <w:rPr>
          <w:rFonts w:ascii="Arial" w:hAnsi="Arial" w:cs="Arial"/>
          <w:sz w:val="24"/>
          <w:szCs w:val="24"/>
        </w:rPr>
        <w:t xml:space="preserve">. As </w:t>
      </w:r>
      <w:r w:rsidR="00D20EF8">
        <w:rPr>
          <w:rFonts w:ascii="Arial" w:hAnsi="Arial" w:cs="Arial"/>
          <w:sz w:val="24"/>
          <w:szCs w:val="24"/>
        </w:rPr>
        <w:t>the first respondent</w:t>
      </w:r>
      <w:r w:rsidR="00874EF5" w:rsidRPr="002E42E4">
        <w:rPr>
          <w:rFonts w:ascii="Arial" w:hAnsi="Arial" w:cs="Arial"/>
          <w:sz w:val="24"/>
          <w:szCs w:val="24"/>
        </w:rPr>
        <w:t xml:space="preserve"> put it, </w:t>
      </w:r>
      <w:r w:rsidR="00D20EF8">
        <w:rPr>
          <w:rFonts w:ascii="Arial" w:hAnsi="Arial" w:cs="Arial"/>
          <w:sz w:val="24"/>
          <w:szCs w:val="24"/>
        </w:rPr>
        <w:t>the said role</w:t>
      </w:r>
      <w:r w:rsidR="00874EF5" w:rsidRPr="002E42E4">
        <w:rPr>
          <w:rFonts w:ascii="Arial" w:hAnsi="Arial" w:cs="Arial"/>
          <w:sz w:val="24"/>
          <w:szCs w:val="24"/>
        </w:rPr>
        <w:t xml:space="preserve"> was motivated by the manner in which she carried </w:t>
      </w:r>
      <w:r w:rsidR="00874EF5" w:rsidRPr="002E42E4">
        <w:rPr>
          <w:rFonts w:ascii="Arial" w:hAnsi="Arial" w:cs="Arial"/>
          <w:sz w:val="24"/>
          <w:szCs w:val="24"/>
        </w:rPr>
        <w:lastRenderedPageBreak/>
        <w:t xml:space="preserve">herself. </w:t>
      </w:r>
      <w:r w:rsidR="007571CF" w:rsidRPr="002E42E4">
        <w:rPr>
          <w:rFonts w:ascii="Arial" w:hAnsi="Arial" w:cs="Arial"/>
          <w:sz w:val="24"/>
          <w:szCs w:val="24"/>
        </w:rPr>
        <w:t>With the same breath, the first respondent claim</w:t>
      </w:r>
      <w:r w:rsidR="00D20EF8">
        <w:rPr>
          <w:rFonts w:ascii="Arial" w:hAnsi="Arial" w:cs="Arial"/>
          <w:sz w:val="24"/>
          <w:szCs w:val="24"/>
        </w:rPr>
        <w:t>ed</w:t>
      </w:r>
      <w:r w:rsidR="007571CF" w:rsidRPr="002E42E4">
        <w:rPr>
          <w:rFonts w:ascii="Arial" w:hAnsi="Arial" w:cs="Arial"/>
          <w:sz w:val="24"/>
          <w:szCs w:val="24"/>
        </w:rPr>
        <w:t xml:space="preserve"> that she would provide financial and social support to the applicant. Although the period during which she would have done so </w:t>
      </w:r>
      <w:r w:rsidR="00D20EF8">
        <w:rPr>
          <w:rFonts w:ascii="Arial" w:hAnsi="Arial" w:cs="Arial"/>
          <w:sz w:val="24"/>
          <w:szCs w:val="24"/>
        </w:rPr>
        <w:t xml:space="preserve">was </w:t>
      </w:r>
      <w:r w:rsidR="007571CF" w:rsidRPr="002E42E4">
        <w:rPr>
          <w:rFonts w:ascii="Arial" w:hAnsi="Arial" w:cs="Arial"/>
          <w:sz w:val="24"/>
          <w:szCs w:val="24"/>
        </w:rPr>
        <w:t xml:space="preserve">not apparent in the papers, one gets the impression that it was the first respondent who was playing the role of </w:t>
      </w:r>
      <w:r w:rsidR="007571CF" w:rsidRPr="002E42E4">
        <w:rPr>
          <w:rFonts w:ascii="Arial" w:hAnsi="Arial" w:cs="Arial"/>
          <w:i/>
          <w:sz w:val="24"/>
          <w:szCs w:val="24"/>
        </w:rPr>
        <w:t xml:space="preserve">loco parentis </w:t>
      </w:r>
      <w:r w:rsidR="007571CF" w:rsidRPr="00D20EF8">
        <w:rPr>
          <w:rFonts w:ascii="Arial" w:hAnsi="Arial" w:cs="Arial"/>
          <w:sz w:val="24"/>
          <w:szCs w:val="24"/>
        </w:rPr>
        <w:t>to the applicant.</w:t>
      </w:r>
      <w:r w:rsidR="007571CF" w:rsidRPr="002E42E4">
        <w:rPr>
          <w:rFonts w:ascii="Arial" w:hAnsi="Arial" w:cs="Arial"/>
          <w:i/>
          <w:sz w:val="24"/>
          <w:szCs w:val="24"/>
        </w:rPr>
        <w:t xml:space="preserve"> </w:t>
      </w:r>
    </w:p>
    <w:p w14:paraId="7D393ABF" w14:textId="77777777" w:rsidR="007571CF" w:rsidRPr="002E42E4" w:rsidRDefault="007571CF" w:rsidP="00DA2D1C">
      <w:pPr>
        <w:spacing w:after="0" w:line="360" w:lineRule="auto"/>
        <w:jc w:val="both"/>
        <w:rPr>
          <w:rFonts w:ascii="Arial" w:hAnsi="Arial" w:cs="Arial"/>
          <w:sz w:val="24"/>
          <w:szCs w:val="24"/>
        </w:rPr>
      </w:pPr>
    </w:p>
    <w:p w14:paraId="178FB5B7" w14:textId="77777777" w:rsidR="007571CF" w:rsidRPr="007571CF" w:rsidRDefault="00E43301" w:rsidP="00E43301">
      <w:pPr>
        <w:spacing w:after="0" w:line="360" w:lineRule="auto"/>
        <w:jc w:val="both"/>
        <w:rPr>
          <w:rFonts w:ascii="Arial" w:hAnsi="Arial" w:cs="Arial"/>
        </w:rPr>
      </w:pPr>
      <w:r>
        <w:rPr>
          <w:rFonts w:ascii="Arial" w:hAnsi="Arial" w:cs="Arial"/>
          <w:sz w:val="24"/>
          <w:szCs w:val="24"/>
        </w:rPr>
        <w:t>[4</w:t>
      </w:r>
      <w:r w:rsidR="00AB661C">
        <w:rPr>
          <w:rFonts w:ascii="Arial" w:hAnsi="Arial" w:cs="Arial"/>
          <w:sz w:val="24"/>
          <w:szCs w:val="24"/>
        </w:rPr>
        <w:t>2</w:t>
      </w:r>
      <w:r>
        <w:rPr>
          <w:rFonts w:ascii="Arial" w:hAnsi="Arial" w:cs="Arial"/>
          <w:sz w:val="24"/>
          <w:szCs w:val="24"/>
        </w:rPr>
        <w:t>]</w:t>
      </w:r>
      <w:r>
        <w:rPr>
          <w:rFonts w:ascii="Arial" w:hAnsi="Arial" w:cs="Arial"/>
          <w:sz w:val="24"/>
          <w:szCs w:val="24"/>
        </w:rPr>
        <w:tab/>
      </w:r>
      <w:r w:rsidR="00874EF5" w:rsidRPr="002E42E4">
        <w:rPr>
          <w:rFonts w:ascii="Arial" w:hAnsi="Arial" w:cs="Arial"/>
          <w:sz w:val="24"/>
          <w:szCs w:val="24"/>
        </w:rPr>
        <w:t xml:space="preserve">On the other hand, it seems that although the applicant was always cognisant of their age difference, she did not assume the </w:t>
      </w:r>
      <w:r w:rsidR="00874EF5" w:rsidRPr="002E42E4">
        <w:rPr>
          <w:rFonts w:ascii="Arial" w:hAnsi="Arial" w:cs="Arial"/>
          <w:i/>
          <w:sz w:val="24"/>
          <w:szCs w:val="24"/>
        </w:rPr>
        <w:t xml:space="preserve">loco parentis </w:t>
      </w:r>
      <w:r w:rsidR="007571CF" w:rsidRPr="002E42E4">
        <w:rPr>
          <w:rFonts w:ascii="Arial" w:hAnsi="Arial" w:cs="Arial"/>
          <w:sz w:val="24"/>
          <w:szCs w:val="24"/>
        </w:rPr>
        <w:t>responsibility</w:t>
      </w:r>
      <w:r w:rsidR="00F051FA" w:rsidRPr="002E42E4">
        <w:rPr>
          <w:rFonts w:ascii="Arial" w:hAnsi="Arial" w:cs="Arial"/>
          <w:sz w:val="24"/>
          <w:szCs w:val="24"/>
        </w:rPr>
        <w:t xml:space="preserve"> in the life and affairs of the first respondent. </w:t>
      </w:r>
      <w:r w:rsidR="007571CF" w:rsidRPr="002E42E4">
        <w:rPr>
          <w:rFonts w:ascii="Arial" w:hAnsi="Arial" w:cs="Arial"/>
          <w:sz w:val="24"/>
          <w:szCs w:val="24"/>
        </w:rPr>
        <w:t>Instead, when Dines resigned from</w:t>
      </w:r>
      <w:r w:rsidR="007571CF">
        <w:rPr>
          <w:rFonts w:ascii="Arial" w:hAnsi="Arial" w:cs="Arial"/>
          <w:sz w:val="24"/>
          <w:szCs w:val="24"/>
        </w:rPr>
        <w:t xml:space="preserve"> the second respondent, the applicant and the first respondent were equal business partners, with equal interests in the corporation. </w:t>
      </w:r>
      <w:r w:rsidR="00B87FAD">
        <w:rPr>
          <w:rFonts w:ascii="Arial" w:hAnsi="Arial" w:cs="Arial"/>
          <w:sz w:val="24"/>
          <w:szCs w:val="24"/>
        </w:rPr>
        <w:t>Further,</w:t>
      </w:r>
      <w:r w:rsidR="00D20EF8">
        <w:rPr>
          <w:rFonts w:ascii="Arial" w:hAnsi="Arial" w:cs="Arial"/>
          <w:sz w:val="24"/>
          <w:szCs w:val="24"/>
        </w:rPr>
        <w:t xml:space="preserve"> the alleged </w:t>
      </w:r>
      <w:r w:rsidR="00D20EF8">
        <w:rPr>
          <w:rFonts w:ascii="Arial" w:hAnsi="Arial" w:cs="Arial"/>
          <w:i/>
          <w:sz w:val="24"/>
          <w:szCs w:val="24"/>
        </w:rPr>
        <w:t>loco parentis</w:t>
      </w:r>
      <w:r w:rsidR="00D20EF8">
        <w:rPr>
          <w:rFonts w:ascii="Arial" w:hAnsi="Arial" w:cs="Arial"/>
          <w:sz w:val="24"/>
          <w:szCs w:val="24"/>
        </w:rPr>
        <w:t xml:space="preserve"> responsibilities of the applicant were not recorded in the founding documents of the corporation.</w:t>
      </w:r>
    </w:p>
    <w:p w14:paraId="7F3AEF7D" w14:textId="77777777" w:rsidR="007571CF" w:rsidRPr="007571CF" w:rsidRDefault="007571CF" w:rsidP="00DA2D1C">
      <w:pPr>
        <w:spacing w:after="0" w:line="360" w:lineRule="auto"/>
        <w:jc w:val="both"/>
        <w:rPr>
          <w:rFonts w:ascii="Arial" w:hAnsi="Arial" w:cs="Arial"/>
          <w:sz w:val="24"/>
          <w:szCs w:val="24"/>
        </w:rPr>
      </w:pPr>
    </w:p>
    <w:p w14:paraId="13028F97" w14:textId="77777777" w:rsidR="00E16F9C" w:rsidRPr="006A0E72" w:rsidRDefault="00E43301" w:rsidP="00E43301">
      <w:pPr>
        <w:spacing w:after="0" w:line="360" w:lineRule="auto"/>
        <w:jc w:val="both"/>
        <w:rPr>
          <w:rFonts w:ascii="Arial" w:hAnsi="Arial" w:cs="Arial"/>
        </w:rPr>
      </w:pPr>
      <w:r>
        <w:rPr>
          <w:rFonts w:ascii="Arial" w:hAnsi="Arial" w:cs="Arial"/>
          <w:sz w:val="24"/>
          <w:szCs w:val="24"/>
        </w:rPr>
        <w:t>[4</w:t>
      </w:r>
      <w:r w:rsidR="00847918">
        <w:rPr>
          <w:rFonts w:ascii="Arial" w:hAnsi="Arial" w:cs="Arial"/>
          <w:sz w:val="24"/>
          <w:szCs w:val="24"/>
        </w:rPr>
        <w:t>3</w:t>
      </w:r>
      <w:r>
        <w:rPr>
          <w:rFonts w:ascii="Arial" w:hAnsi="Arial" w:cs="Arial"/>
          <w:sz w:val="24"/>
          <w:szCs w:val="24"/>
        </w:rPr>
        <w:t>]</w:t>
      </w:r>
      <w:r>
        <w:rPr>
          <w:rFonts w:ascii="Arial" w:hAnsi="Arial" w:cs="Arial"/>
          <w:sz w:val="24"/>
          <w:szCs w:val="24"/>
        </w:rPr>
        <w:tab/>
      </w:r>
      <w:r w:rsidR="00AB661C">
        <w:rPr>
          <w:rFonts w:ascii="Arial" w:hAnsi="Arial" w:cs="Arial"/>
          <w:sz w:val="24"/>
          <w:szCs w:val="24"/>
        </w:rPr>
        <w:t>T</w:t>
      </w:r>
      <w:r w:rsidR="007571CF">
        <w:rPr>
          <w:rFonts w:ascii="Arial" w:hAnsi="Arial" w:cs="Arial"/>
          <w:sz w:val="24"/>
          <w:szCs w:val="24"/>
        </w:rPr>
        <w:t>he founding and amended founding documents of the second respondent show</w:t>
      </w:r>
      <w:r w:rsidR="00D20EF8">
        <w:rPr>
          <w:rFonts w:ascii="Arial" w:hAnsi="Arial" w:cs="Arial"/>
          <w:sz w:val="24"/>
          <w:szCs w:val="24"/>
        </w:rPr>
        <w:t>ed</w:t>
      </w:r>
      <w:r w:rsidR="007571CF">
        <w:rPr>
          <w:rFonts w:ascii="Arial" w:hAnsi="Arial" w:cs="Arial"/>
          <w:sz w:val="24"/>
          <w:szCs w:val="24"/>
        </w:rPr>
        <w:t xml:space="preserve"> consistency with the claims of the applicant that </w:t>
      </w:r>
      <w:r w:rsidR="00005AC0">
        <w:rPr>
          <w:rFonts w:ascii="Arial" w:hAnsi="Arial" w:cs="Arial"/>
          <w:sz w:val="24"/>
          <w:szCs w:val="24"/>
        </w:rPr>
        <w:t xml:space="preserve">the purpose </w:t>
      </w:r>
      <w:r w:rsidR="00184ECA">
        <w:rPr>
          <w:rFonts w:ascii="Arial" w:hAnsi="Arial" w:cs="Arial"/>
          <w:sz w:val="24"/>
          <w:szCs w:val="24"/>
        </w:rPr>
        <w:t xml:space="preserve">of the second respondent was </w:t>
      </w:r>
      <w:r w:rsidR="00005AC0">
        <w:rPr>
          <w:rFonts w:ascii="Arial" w:hAnsi="Arial" w:cs="Arial"/>
          <w:sz w:val="24"/>
          <w:szCs w:val="24"/>
        </w:rPr>
        <w:t xml:space="preserve">property investment and that </w:t>
      </w:r>
      <w:r w:rsidR="00184ECA">
        <w:rPr>
          <w:rFonts w:ascii="Arial" w:hAnsi="Arial" w:cs="Arial"/>
          <w:sz w:val="24"/>
          <w:szCs w:val="24"/>
        </w:rPr>
        <w:t xml:space="preserve">she, together with the first respondent, </w:t>
      </w:r>
      <w:r w:rsidR="007571CF">
        <w:rPr>
          <w:rFonts w:ascii="Arial" w:hAnsi="Arial" w:cs="Arial"/>
          <w:sz w:val="24"/>
          <w:szCs w:val="24"/>
        </w:rPr>
        <w:t>h</w:t>
      </w:r>
      <w:r w:rsidR="00005AC0">
        <w:rPr>
          <w:rFonts w:ascii="Arial" w:hAnsi="Arial" w:cs="Arial"/>
          <w:sz w:val="24"/>
          <w:szCs w:val="24"/>
        </w:rPr>
        <w:t>eld</w:t>
      </w:r>
      <w:r w:rsidR="007571CF">
        <w:rPr>
          <w:rFonts w:ascii="Arial" w:hAnsi="Arial" w:cs="Arial"/>
          <w:sz w:val="24"/>
          <w:szCs w:val="24"/>
        </w:rPr>
        <w:t xml:space="preserve"> equal interests</w:t>
      </w:r>
      <w:r w:rsidR="00005AC0">
        <w:rPr>
          <w:rFonts w:ascii="Arial" w:hAnsi="Arial" w:cs="Arial"/>
          <w:sz w:val="24"/>
          <w:szCs w:val="24"/>
        </w:rPr>
        <w:t>.</w:t>
      </w:r>
      <w:r w:rsidR="007571CF">
        <w:rPr>
          <w:rFonts w:ascii="Arial" w:hAnsi="Arial" w:cs="Arial"/>
          <w:sz w:val="24"/>
          <w:szCs w:val="24"/>
        </w:rPr>
        <w:t xml:space="preserve"> Further, the first respondent’s claim that the applicant was a nominee at her inst</w:t>
      </w:r>
      <w:r w:rsidR="00005AC0">
        <w:rPr>
          <w:rFonts w:ascii="Arial" w:hAnsi="Arial" w:cs="Arial"/>
          <w:sz w:val="24"/>
          <w:szCs w:val="24"/>
        </w:rPr>
        <w:t xml:space="preserve">ance and </w:t>
      </w:r>
      <w:r w:rsidR="00005AC0">
        <w:rPr>
          <w:rFonts w:ascii="Arial" w:hAnsi="Arial" w:cs="Arial"/>
          <w:i/>
          <w:sz w:val="24"/>
          <w:szCs w:val="24"/>
        </w:rPr>
        <w:t>loco parentis</w:t>
      </w:r>
      <w:r w:rsidR="007571CF">
        <w:rPr>
          <w:rFonts w:ascii="Arial" w:hAnsi="Arial" w:cs="Arial"/>
          <w:sz w:val="24"/>
          <w:szCs w:val="24"/>
        </w:rPr>
        <w:t xml:space="preserve"> do</w:t>
      </w:r>
      <w:r w:rsidR="00005AC0">
        <w:rPr>
          <w:rFonts w:ascii="Arial" w:hAnsi="Arial" w:cs="Arial"/>
          <w:sz w:val="24"/>
          <w:szCs w:val="24"/>
        </w:rPr>
        <w:t xml:space="preserve"> not find support</w:t>
      </w:r>
      <w:r w:rsidR="007571CF">
        <w:rPr>
          <w:rFonts w:ascii="Arial" w:hAnsi="Arial" w:cs="Arial"/>
          <w:sz w:val="24"/>
          <w:szCs w:val="24"/>
        </w:rPr>
        <w:t xml:space="preserve"> in </w:t>
      </w:r>
      <w:r w:rsidR="00184ECA">
        <w:rPr>
          <w:rFonts w:ascii="Arial" w:hAnsi="Arial" w:cs="Arial"/>
          <w:sz w:val="24"/>
          <w:szCs w:val="24"/>
        </w:rPr>
        <w:t xml:space="preserve">the </w:t>
      </w:r>
      <w:r w:rsidR="00005AC0">
        <w:rPr>
          <w:rFonts w:ascii="Arial" w:hAnsi="Arial" w:cs="Arial"/>
          <w:sz w:val="24"/>
          <w:szCs w:val="24"/>
        </w:rPr>
        <w:t>founding documents</w:t>
      </w:r>
      <w:r w:rsidR="00AB661C">
        <w:rPr>
          <w:rFonts w:ascii="Arial" w:hAnsi="Arial" w:cs="Arial"/>
          <w:sz w:val="24"/>
          <w:szCs w:val="24"/>
        </w:rPr>
        <w:t>.</w:t>
      </w:r>
    </w:p>
    <w:p w14:paraId="644B4D06" w14:textId="77777777" w:rsidR="006A0E72" w:rsidRPr="006A0E72" w:rsidRDefault="006A0E72" w:rsidP="00DA2D1C">
      <w:pPr>
        <w:spacing w:after="0" w:line="360" w:lineRule="auto"/>
        <w:jc w:val="both"/>
        <w:rPr>
          <w:rFonts w:ascii="Arial" w:hAnsi="Arial" w:cs="Arial"/>
        </w:rPr>
      </w:pPr>
    </w:p>
    <w:p w14:paraId="37D6CFB9" w14:textId="77777777" w:rsidR="00AC564B" w:rsidRDefault="00E43301" w:rsidP="00E43301">
      <w:pPr>
        <w:spacing w:after="0" w:line="360" w:lineRule="auto"/>
        <w:jc w:val="both"/>
        <w:rPr>
          <w:rFonts w:ascii="Arial" w:hAnsi="Arial" w:cs="Arial"/>
          <w:sz w:val="24"/>
          <w:szCs w:val="24"/>
        </w:rPr>
      </w:pPr>
      <w:r>
        <w:rPr>
          <w:rFonts w:ascii="Arial" w:hAnsi="Arial" w:cs="Arial"/>
          <w:sz w:val="24"/>
          <w:szCs w:val="24"/>
        </w:rPr>
        <w:t>[4</w:t>
      </w:r>
      <w:r w:rsidR="00847918">
        <w:rPr>
          <w:rFonts w:ascii="Arial" w:hAnsi="Arial" w:cs="Arial"/>
          <w:sz w:val="24"/>
          <w:szCs w:val="24"/>
        </w:rPr>
        <w:t>4</w:t>
      </w:r>
      <w:r>
        <w:rPr>
          <w:rFonts w:ascii="Arial" w:hAnsi="Arial" w:cs="Arial"/>
          <w:sz w:val="24"/>
          <w:szCs w:val="24"/>
        </w:rPr>
        <w:t>]</w:t>
      </w:r>
      <w:r>
        <w:rPr>
          <w:rFonts w:ascii="Arial" w:hAnsi="Arial" w:cs="Arial"/>
          <w:sz w:val="24"/>
          <w:szCs w:val="24"/>
        </w:rPr>
        <w:tab/>
      </w:r>
      <w:r w:rsidR="006A0E72" w:rsidRPr="00D20EF8">
        <w:rPr>
          <w:rFonts w:ascii="Arial" w:hAnsi="Arial" w:cs="Arial"/>
          <w:sz w:val="24"/>
          <w:szCs w:val="24"/>
        </w:rPr>
        <w:t xml:space="preserve">With the characteristics of the relationship described above, </w:t>
      </w:r>
      <w:r w:rsidR="00AB661C">
        <w:rPr>
          <w:rFonts w:ascii="Arial" w:hAnsi="Arial" w:cs="Arial"/>
          <w:sz w:val="24"/>
          <w:szCs w:val="24"/>
        </w:rPr>
        <w:t>and on a reflection</w:t>
      </w:r>
      <w:r w:rsidR="006A0E72" w:rsidRPr="00D20EF8">
        <w:rPr>
          <w:rFonts w:ascii="Arial" w:hAnsi="Arial" w:cs="Arial"/>
          <w:sz w:val="24"/>
          <w:szCs w:val="24"/>
        </w:rPr>
        <w:t xml:space="preserve"> </w:t>
      </w:r>
      <w:r w:rsidR="0028146D">
        <w:rPr>
          <w:rFonts w:ascii="Arial" w:hAnsi="Arial" w:cs="Arial"/>
          <w:sz w:val="24"/>
          <w:szCs w:val="24"/>
        </w:rPr>
        <w:t>to</w:t>
      </w:r>
      <w:r w:rsidR="0028146D" w:rsidRPr="00D20EF8">
        <w:rPr>
          <w:rFonts w:ascii="Arial" w:hAnsi="Arial" w:cs="Arial"/>
          <w:sz w:val="24"/>
          <w:szCs w:val="24"/>
        </w:rPr>
        <w:t xml:space="preserve"> </w:t>
      </w:r>
      <w:r w:rsidR="006A0E72" w:rsidRPr="00D20EF8">
        <w:rPr>
          <w:rFonts w:ascii="Arial" w:hAnsi="Arial" w:cs="Arial"/>
          <w:sz w:val="24"/>
          <w:szCs w:val="24"/>
        </w:rPr>
        <w:t xml:space="preserve">the </w:t>
      </w:r>
      <w:r w:rsidR="00BD6F1B" w:rsidRPr="00D20EF8">
        <w:rPr>
          <w:rFonts w:ascii="Arial" w:hAnsi="Arial" w:cs="Arial"/>
          <w:sz w:val="24"/>
          <w:szCs w:val="24"/>
        </w:rPr>
        <w:t xml:space="preserve">circumstances in </w:t>
      </w:r>
      <w:r w:rsidR="00BD6F1B" w:rsidRPr="007172CA">
        <w:rPr>
          <w:rFonts w:ascii="Arial" w:hAnsi="Arial" w:cs="Arial"/>
          <w:i/>
          <w:sz w:val="24"/>
          <w:szCs w:val="24"/>
        </w:rPr>
        <w:t>Malgas</w:t>
      </w:r>
      <w:r w:rsidR="007172CA" w:rsidRPr="007172CA">
        <w:rPr>
          <w:rStyle w:val="FootnoteReference"/>
          <w:rFonts w:ascii="Arial" w:hAnsi="Arial" w:cs="Arial"/>
          <w:sz w:val="24"/>
          <w:szCs w:val="24"/>
        </w:rPr>
        <w:footnoteReference w:id="13"/>
      </w:r>
      <w:r w:rsidR="00BD6F1B" w:rsidRPr="007172CA">
        <w:rPr>
          <w:rFonts w:ascii="Arial" w:hAnsi="Arial" w:cs="Arial"/>
          <w:sz w:val="24"/>
          <w:szCs w:val="24"/>
        </w:rPr>
        <w:t xml:space="preserve"> </w:t>
      </w:r>
      <w:r w:rsidR="0028146D">
        <w:rPr>
          <w:rFonts w:ascii="Arial" w:hAnsi="Arial" w:cs="Arial"/>
          <w:sz w:val="24"/>
          <w:szCs w:val="24"/>
        </w:rPr>
        <w:t xml:space="preserve">, there were </w:t>
      </w:r>
      <w:r w:rsidR="00BD6F1B" w:rsidRPr="00D20EF8">
        <w:rPr>
          <w:rFonts w:ascii="Arial" w:hAnsi="Arial" w:cs="Arial"/>
          <w:sz w:val="24"/>
          <w:szCs w:val="24"/>
        </w:rPr>
        <w:t>some striking similarities</w:t>
      </w:r>
      <w:r w:rsidR="00BD6F1B" w:rsidRPr="00D20EF8">
        <w:rPr>
          <w:rFonts w:ascii="Arial" w:hAnsi="Arial" w:cs="Arial"/>
          <w:i/>
          <w:sz w:val="24"/>
          <w:szCs w:val="24"/>
        </w:rPr>
        <w:t xml:space="preserve">. </w:t>
      </w:r>
      <w:r w:rsidR="00BD6F1B" w:rsidRPr="00D20EF8">
        <w:rPr>
          <w:rFonts w:ascii="Arial" w:hAnsi="Arial" w:cs="Arial"/>
          <w:sz w:val="24"/>
          <w:szCs w:val="24"/>
        </w:rPr>
        <w:t>It appear</w:t>
      </w:r>
      <w:r w:rsidR="00D20EF8">
        <w:rPr>
          <w:rFonts w:ascii="Arial" w:hAnsi="Arial" w:cs="Arial"/>
          <w:sz w:val="24"/>
          <w:szCs w:val="24"/>
        </w:rPr>
        <w:t>ed</w:t>
      </w:r>
      <w:r w:rsidR="00BD6F1B" w:rsidRPr="00D20EF8">
        <w:rPr>
          <w:rFonts w:ascii="Arial" w:hAnsi="Arial" w:cs="Arial"/>
          <w:sz w:val="24"/>
          <w:szCs w:val="24"/>
        </w:rPr>
        <w:t xml:space="preserve"> that in both entities the </w:t>
      </w:r>
      <w:r w:rsidR="00872483" w:rsidRPr="00D20EF8">
        <w:rPr>
          <w:rFonts w:ascii="Arial" w:hAnsi="Arial" w:cs="Arial"/>
          <w:sz w:val="24"/>
          <w:szCs w:val="24"/>
        </w:rPr>
        <w:t xml:space="preserve">dispute </w:t>
      </w:r>
      <w:r w:rsidR="00D20EF8">
        <w:rPr>
          <w:rFonts w:ascii="Arial" w:hAnsi="Arial" w:cs="Arial"/>
          <w:sz w:val="24"/>
          <w:szCs w:val="24"/>
        </w:rPr>
        <w:t>involved</w:t>
      </w:r>
      <w:r w:rsidR="00BD6F1B" w:rsidRPr="00D20EF8">
        <w:rPr>
          <w:rFonts w:ascii="Arial" w:hAnsi="Arial" w:cs="Arial"/>
          <w:sz w:val="24"/>
          <w:szCs w:val="24"/>
        </w:rPr>
        <w:t xml:space="preserve"> family members; their purpose was to p</w:t>
      </w:r>
      <w:r w:rsidR="00584B70" w:rsidRPr="00D20EF8">
        <w:rPr>
          <w:rFonts w:ascii="Arial" w:hAnsi="Arial" w:cs="Arial"/>
          <w:sz w:val="24"/>
          <w:szCs w:val="24"/>
        </w:rPr>
        <w:t>u</w:t>
      </w:r>
      <w:r w:rsidR="00BD6F1B" w:rsidRPr="00D20EF8">
        <w:rPr>
          <w:rFonts w:ascii="Arial" w:hAnsi="Arial" w:cs="Arial"/>
          <w:sz w:val="24"/>
          <w:szCs w:val="24"/>
        </w:rPr>
        <w:t>rsue property investments</w:t>
      </w:r>
      <w:r w:rsidR="00584B70" w:rsidRPr="00D20EF8">
        <w:rPr>
          <w:rFonts w:ascii="Arial" w:hAnsi="Arial" w:cs="Arial"/>
          <w:sz w:val="24"/>
          <w:szCs w:val="24"/>
        </w:rPr>
        <w:t xml:space="preserve"> (albeit</w:t>
      </w:r>
      <w:r w:rsidR="00FB2DE9" w:rsidRPr="00D20EF8">
        <w:rPr>
          <w:rFonts w:ascii="Arial" w:hAnsi="Arial" w:cs="Arial"/>
          <w:sz w:val="24"/>
          <w:szCs w:val="24"/>
        </w:rPr>
        <w:t>,</w:t>
      </w:r>
      <w:r w:rsidR="00584B70" w:rsidRPr="00D20EF8">
        <w:rPr>
          <w:rFonts w:ascii="Arial" w:hAnsi="Arial" w:cs="Arial"/>
          <w:sz w:val="24"/>
          <w:szCs w:val="24"/>
        </w:rPr>
        <w:t xml:space="preserve"> in </w:t>
      </w:r>
      <w:r w:rsidR="00584B70" w:rsidRPr="00D20EF8">
        <w:rPr>
          <w:rFonts w:ascii="Arial" w:hAnsi="Arial" w:cs="Arial"/>
          <w:i/>
          <w:sz w:val="24"/>
          <w:szCs w:val="24"/>
        </w:rPr>
        <w:t>Malgas</w:t>
      </w:r>
      <w:r w:rsidR="00584B70" w:rsidRPr="00D20EF8">
        <w:rPr>
          <w:rFonts w:ascii="Arial" w:hAnsi="Arial" w:cs="Arial"/>
          <w:sz w:val="24"/>
          <w:szCs w:val="24"/>
        </w:rPr>
        <w:t xml:space="preserve"> the focus was </w:t>
      </w:r>
      <w:r w:rsidR="007172CA">
        <w:rPr>
          <w:rFonts w:ascii="Arial" w:hAnsi="Arial" w:cs="Arial"/>
          <w:sz w:val="24"/>
          <w:szCs w:val="24"/>
        </w:rPr>
        <w:t>o</w:t>
      </w:r>
      <w:r w:rsidR="00584B70" w:rsidRPr="00D20EF8">
        <w:rPr>
          <w:rFonts w:ascii="Arial" w:hAnsi="Arial" w:cs="Arial"/>
          <w:sz w:val="24"/>
          <w:szCs w:val="24"/>
        </w:rPr>
        <w:t>n farming)</w:t>
      </w:r>
      <w:r w:rsidR="00BD6F1B" w:rsidRPr="00D20EF8">
        <w:rPr>
          <w:rFonts w:ascii="Arial" w:hAnsi="Arial" w:cs="Arial"/>
          <w:sz w:val="24"/>
          <w:szCs w:val="24"/>
        </w:rPr>
        <w:t xml:space="preserve">. </w:t>
      </w:r>
      <w:r w:rsidR="004E668F" w:rsidRPr="00D20EF8">
        <w:rPr>
          <w:rFonts w:ascii="Arial" w:hAnsi="Arial" w:cs="Arial"/>
          <w:sz w:val="24"/>
          <w:szCs w:val="24"/>
        </w:rPr>
        <w:t>When there was a fallout between the members, there were attempts made to resolve the dispute</w:t>
      </w:r>
      <w:r w:rsidR="00D20EF8">
        <w:rPr>
          <w:rFonts w:ascii="Arial" w:hAnsi="Arial" w:cs="Arial"/>
          <w:sz w:val="24"/>
          <w:szCs w:val="24"/>
        </w:rPr>
        <w:t>s</w:t>
      </w:r>
      <w:r w:rsidR="004E668F" w:rsidRPr="00D20EF8">
        <w:rPr>
          <w:rFonts w:ascii="Arial" w:hAnsi="Arial" w:cs="Arial"/>
          <w:sz w:val="24"/>
          <w:szCs w:val="24"/>
        </w:rPr>
        <w:t>, in the inter</w:t>
      </w:r>
      <w:r w:rsidR="00584B70" w:rsidRPr="00D20EF8">
        <w:rPr>
          <w:rFonts w:ascii="Arial" w:hAnsi="Arial" w:cs="Arial"/>
          <w:sz w:val="24"/>
          <w:szCs w:val="24"/>
        </w:rPr>
        <w:t>e</w:t>
      </w:r>
      <w:r w:rsidR="004E668F" w:rsidRPr="00D20EF8">
        <w:rPr>
          <w:rFonts w:ascii="Arial" w:hAnsi="Arial" w:cs="Arial"/>
          <w:sz w:val="24"/>
          <w:szCs w:val="24"/>
        </w:rPr>
        <w:t xml:space="preserve">sts of the corporation, but all </w:t>
      </w:r>
      <w:r w:rsidR="007172CA">
        <w:rPr>
          <w:rFonts w:ascii="Arial" w:hAnsi="Arial" w:cs="Arial"/>
          <w:sz w:val="24"/>
          <w:szCs w:val="24"/>
        </w:rPr>
        <w:t xml:space="preserve">attempts </w:t>
      </w:r>
      <w:r w:rsidR="004E668F" w:rsidRPr="00D20EF8">
        <w:rPr>
          <w:rFonts w:ascii="Arial" w:hAnsi="Arial" w:cs="Arial"/>
          <w:sz w:val="24"/>
          <w:szCs w:val="24"/>
        </w:rPr>
        <w:t>failed.</w:t>
      </w:r>
      <w:r w:rsidR="00FB2DE9" w:rsidRPr="00D20EF8">
        <w:rPr>
          <w:rFonts w:ascii="Arial" w:hAnsi="Arial" w:cs="Arial"/>
          <w:sz w:val="24"/>
          <w:szCs w:val="24"/>
        </w:rPr>
        <w:t xml:space="preserve"> The apparent cause of the breakdown was </w:t>
      </w:r>
      <w:r w:rsidR="007172CA">
        <w:rPr>
          <w:rFonts w:ascii="Arial" w:hAnsi="Arial" w:cs="Arial"/>
          <w:sz w:val="24"/>
          <w:szCs w:val="24"/>
        </w:rPr>
        <w:t xml:space="preserve">a </w:t>
      </w:r>
      <w:r w:rsidR="00FB2DE9" w:rsidRPr="00D20EF8">
        <w:rPr>
          <w:rFonts w:ascii="Arial" w:hAnsi="Arial" w:cs="Arial"/>
          <w:sz w:val="24"/>
          <w:szCs w:val="24"/>
        </w:rPr>
        <w:t>lack of cooperation between the members and the relationship d</w:t>
      </w:r>
      <w:r w:rsidR="00B94CB8" w:rsidRPr="00D20EF8">
        <w:rPr>
          <w:rFonts w:ascii="Arial" w:hAnsi="Arial" w:cs="Arial"/>
          <w:sz w:val="24"/>
          <w:szCs w:val="24"/>
        </w:rPr>
        <w:t>e</w:t>
      </w:r>
      <w:r w:rsidR="00FB2DE9" w:rsidRPr="00D20EF8">
        <w:rPr>
          <w:rFonts w:ascii="Arial" w:hAnsi="Arial" w:cs="Arial"/>
          <w:sz w:val="24"/>
          <w:szCs w:val="24"/>
        </w:rPr>
        <w:t>terio</w:t>
      </w:r>
      <w:r w:rsidR="007172CA">
        <w:rPr>
          <w:rFonts w:ascii="Arial" w:hAnsi="Arial" w:cs="Arial"/>
          <w:sz w:val="24"/>
          <w:szCs w:val="24"/>
        </w:rPr>
        <w:t>ra</w:t>
      </w:r>
      <w:r w:rsidR="00FB2DE9" w:rsidRPr="00D20EF8">
        <w:rPr>
          <w:rFonts w:ascii="Arial" w:hAnsi="Arial" w:cs="Arial"/>
          <w:sz w:val="24"/>
          <w:szCs w:val="24"/>
        </w:rPr>
        <w:t>ted over</w:t>
      </w:r>
      <w:r w:rsidR="007172CA">
        <w:rPr>
          <w:rFonts w:ascii="Arial" w:hAnsi="Arial" w:cs="Arial"/>
          <w:sz w:val="24"/>
          <w:szCs w:val="24"/>
        </w:rPr>
        <w:t xml:space="preserve"> </w:t>
      </w:r>
      <w:r w:rsidR="00FB2DE9" w:rsidRPr="00D20EF8">
        <w:rPr>
          <w:rFonts w:ascii="Arial" w:hAnsi="Arial" w:cs="Arial"/>
          <w:sz w:val="24"/>
          <w:szCs w:val="24"/>
        </w:rPr>
        <w:t xml:space="preserve">time. </w:t>
      </w:r>
      <w:r w:rsidR="00D20EF8">
        <w:rPr>
          <w:rFonts w:ascii="Arial" w:hAnsi="Arial" w:cs="Arial"/>
          <w:sz w:val="24"/>
          <w:szCs w:val="24"/>
        </w:rPr>
        <w:t>In both instances t</w:t>
      </w:r>
      <w:r w:rsidR="00FB2DE9" w:rsidRPr="00D20EF8">
        <w:rPr>
          <w:rFonts w:ascii="Arial" w:hAnsi="Arial" w:cs="Arial"/>
          <w:sz w:val="24"/>
          <w:szCs w:val="24"/>
        </w:rPr>
        <w:t xml:space="preserve">he poor communication and or lack thereof, </w:t>
      </w:r>
      <w:r w:rsidR="00D20EF8">
        <w:rPr>
          <w:rFonts w:ascii="Arial" w:hAnsi="Arial" w:cs="Arial"/>
          <w:sz w:val="24"/>
          <w:szCs w:val="24"/>
        </w:rPr>
        <w:t xml:space="preserve">kept </w:t>
      </w:r>
      <w:r w:rsidR="00FB2DE9" w:rsidRPr="00D20EF8">
        <w:rPr>
          <w:rFonts w:ascii="Arial" w:hAnsi="Arial" w:cs="Arial"/>
          <w:sz w:val="24"/>
          <w:szCs w:val="24"/>
        </w:rPr>
        <w:t xml:space="preserve">one of the members </w:t>
      </w:r>
      <w:r w:rsidR="00D20EF8">
        <w:rPr>
          <w:rFonts w:ascii="Arial" w:hAnsi="Arial" w:cs="Arial"/>
          <w:sz w:val="24"/>
          <w:szCs w:val="24"/>
        </w:rPr>
        <w:t>in the dark</w:t>
      </w:r>
      <w:r w:rsidR="00FB2DE9" w:rsidRPr="00D20EF8">
        <w:rPr>
          <w:rFonts w:ascii="Arial" w:hAnsi="Arial" w:cs="Arial"/>
          <w:sz w:val="24"/>
          <w:szCs w:val="24"/>
        </w:rPr>
        <w:t xml:space="preserve"> with the affairs of the corporation. In both </w:t>
      </w:r>
      <w:r w:rsidR="000B5512">
        <w:rPr>
          <w:rFonts w:ascii="Arial" w:hAnsi="Arial" w:cs="Arial"/>
          <w:sz w:val="24"/>
          <w:szCs w:val="24"/>
        </w:rPr>
        <w:t>cases</w:t>
      </w:r>
      <w:r w:rsidR="00FB2DE9" w:rsidRPr="00D20EF8">
        <w:rPr>
          <w:rFonts w:ascii="Arial" w:hAnsi="Arial" w:cs="Arial"/>
          <w:sz w:val="24"/>
          <w:szCs w:val="24"/>
        </w:rPr>
        <w:t>, attorneys were engaged to facilitate meetings of members</w:t>
      </w:r>
      <w:r w:rsidR="00D20EF8">
        <w:rPr>
          <w:rFonts w:ascii="Arial" w:hAnsi="Arial" w:cs="Arial"/>
          <w:sz w:val="24"/>
          <w:szCs w:val="24"/>
        </w:rPr>
        <w:t>;</w:t>
      </w:r>
      <w:r w:rsidR="00FB2DE9" w:rsidRPr="00D20EF8">
        <w:rPr>
          <w:rFonts w:ascii="Arial" w:hAnsi="Arial" w:cs="Arial"/>
          <w:sz w:val="24"/>
          <w:szCs w:val="24"/>
        </w:rPr>
        <w:t xml:space="preserve"> there were offers or attempts to buy out one of the members</w:t>
      </w:r>
      <w:r w:rsidR="00F013B4" w:rsidRPr="00D20EF8">
        <w:rPr>
          <w:rFonts w:ascii="Arial" w:hAnsi="Arial" w:cs="Arial"/>
          <w:sz w:val="24"/>
          <w:szCs w:val="24"/>
        </w:rPr>
        <w:t xml:space="preserve">, but all failed. </w:t>
      </w:r>
      <w:r w:rsidR="00D3165F">
        <w:rPr>
          <w:rFonts w:ascii="Arial" w:hAnsi="Arial" w:cs="Arial"/>
          <w:sz w:val="24"/>
          <w:szCs w:val="24"/>
        </w:rPr>
        <w:t xml:space="preserve">In the case of the applicant and the </w:t>
      </w:r>
      <w:r w:rsidR="000B5512">
        <w:rPr>
          <w:rFonts w:ascii="Arial" w:hAnsi="Arial" w:cs="Arial"/>
          <w:sz w:val="24"/>
          <w:szCs w:val="24"/>
        </w:rPr>
        <w:t xml:space="preserve">first </w:t>
      </w:r>
      <w:r w:rsidR="00D3165F">
        <w:rPr>
          <w:rFonts w:ascii="Arial" w:hAnsi="Arial" w:cs="Arial"/>
          <w:sz w:val="24"/>
          <w:szCs w:val="24"/>
        </w:rPr>
        <w:t xml:space="preserve">respondent, they last </w:t>
      </w:r>
      <w:r w:rsidR="000B5512">
        <w:rPr>
          <w:rFonts w:ascii="Arial" w:hAnsi="Arial" w:cs="Arial"/>
          <w:sz w:val="24"/>
          <w:szCs w:val="24"/>
        </w:rPr>
        <w:t>interacted</w:t>
      </w:r>
      <w:r w:rsidR="00D3165F">
        <w:rPr>
          <w:rFonts w:ascii="Arial" w:hAnsi="Arial" w:cs="Arial"/>
          <w:sz w:val="24"/>
          <w:szCs w:val="24"/>
        </w:rPr>
        <w:t xml:space="preserve"> in 2014, and </w:t>
      </w:r>
      <w:r w:rsidR="00965081">
        <w:rPr>
          <w:rFonts w:ascii="Arial" w:hAnsi="Arial" w:cs="Arial"/>
          <w:sz w:val="24"/>
          <w:szCs w:val="24"/>
        </w:rPr>
        <w:t>seemingly</w:t>
      </w:r>
      <w:r w:rsidR="00D3165F">
        <w:rPr>
          <w:rFonts w:ascii="Arial" w:hAnsi="Arial" w:cs="Arial"/>
          <w:sz w:val="24"/>
          <w:szCs w:val="24"/>
        </w:rPr>
        <w:t>, the tensions continued to persist.</w:t>
      </w:r>
      <w:r w:rsidR="00965081">
        <w:rPr>
          <w:rFonts w:ascii="Arial" w:hAnsi="Arial" w:cs="Arial"/>
          <w:sz w:val="24"/>
          <w:szCs w:val="24"/>
        </w:rPr>
        <w:t xml:space="preserve"> </w:t>
      </w:r>
      <w:r w:rsidR="00294C1E" w:rsidRPr="00965081">
        <w:rPr>
          <w:rFonts w:ascii="Arial" w:hAnsi="Arial" w:cs="Arial"/>
          <w:sz w:val="24"/>
          <w:szCs w:val="24"/>
        </w:rPr>
        <w:t xml:space="preserve">In </w:t>
      </w:r>
      <w:r w:rsidR="00294C1E" w:rsidRPr="00965081">
        <w:rPr>
          <w:rFonts w:ascii="Arial" w:hAnsi="Arial" w:cs="Arial"/>
          <w:i/>
          <w:sz w:val="24"/>
          <w:szCs w:val="24"/>
        </w:rPr>
        <w:t xml:space="preserve">Malgas, </w:t>
      </w:r>
      <w:r w:rsidR="00294C1E" w:rsidRPr="00965081">
        <w:rPr>
          <w:rFonts w:ascii="Arial" w:hAnsi="Arial" w:cs="Arial"/>
          <w:sz w:val="24"/>
          <w:szCs w:val="24"/>
        </w:rPr>
        <w:t>w</w:t>
      </w:r>
      <w:r w:rsidR="00D20EF8" w:rsidRPr="00965081">
        <w:rPr>
          <w:rFonts w:ascii="Arial" w:hAnsi="Arial" w:cs="Arial"/>
          <w:sz w:val="24"/>
          <w:szCs w:val="24"/>
        </w:rPr>
        <w:t>hen the court was confronted with factors</w:t>
      </w:r>
      <w:r w:rsidR="00294C1E" w:rsidRPr="00965081">
        <w:rPr>
          <w:rFonts w:ascii="Arial" w:hAnsi="Arial" w:cs="Arial"/>
          <w:sz w:val="24"/>
          <w:szCs w:val="24"/>
        </w:rPr>
        <w:t xml:space="preserve"> </w:t>
      </w:r>
      <w:r w:rsidR="0028146D">
        <w:rPr>
          <w:rFonts w:ascii="Arial" w:hAnsi="Arial" w:cs="Arial"/>
          <w:sz w:val="24"/>
          <w:szCs w:val="24"/>
        </w:rPr>
        <w:t>that</w:t>
      </w:r>
      <w:r w:rsidR="00965081" w:rsidRPr="00965081">
        <w:rPr>
          <w:rFonts w:ascii="Arial" w:hAnsi="Arial" w:cs="Arial"/>
          <w:sz w:val="24"/>
          <w:szCs w:val="24"/>
        </w:rPr>
        <w:t xml:space="preserve"> </w:t>
      </w:r>
      <w:r w:rsidR="0028146D">
        <w:rPr>
          <w:rFonts w:ascii="Arial" w:hAnsi="Arial" w:cs="Arial"/>
          <w:sz w:val="24"/>
          <w:szCs w:val="24"/>
        </w:rPr>
        <w:t xml:space="preserve">are </w:t>
      </w:r>
      <w:r w:rsidR="00294C1E" w:rsidRPr="00965081">
        <w:rPr>
          <w:rFonts w:ascii="Arial" w:hAnsi="Arial" w:cs="Arial"/>
          <w:sz w:val="24"/>
          <w:szCs w:val="24"/>
        </w:rPr>
        <w:lastRenderedPageBreak/>
        <w:t>highlighted above</w:t>
      </w:r>
      <w:r w:rsidR="00D20EF8" w:rsidRPr="00965081">
        <w:rPr>
          <w:rFonts w:ascii="Arial" w:hAnsi="Arial" w:cs="Arial"/>
          <w:sz w:val="24"/>
          <w:szCs w:val="24"/>
        </w:rPr>
        <w:t>, it concluded that there was a</w:t>
      </w:r>
      <w:r w:rsidR="00294C1E" w:rsidRPr="00965081">
        <w:rPr>
          <w:rFonts w:ascii="Arial" w:hAnsi="Arial" w:cs="Arial"/>
          <w:sz w:val="24"/>
          <w:szCs w:val="24"/>
        </w:rPr>
        <w:t xml:space="preserve"> deadlock between the partners and that such made it impossible for the company to operate. </w:t>
      </w:r>
      <w:r w:rsidR="00C25D70" w:rsidRPr="00965081">
        <w:rPr>
          <w:rFonts w:ascii="Arial" w:hAnsi="Arial" w:cs="Arial"/>
          <w:sz w:val="24"/>
          <w:szCs w:val="24"/>
        </w:rPr>
        <w:t>Undoubtabl</w:t>
      </w:r>
      <w:r w:rsidR="00294C1E" w:rsidRPr="00965081">
        <w:rPr>
          <w:rFonts w:ascii="Arial" w:hAnsi="Arial" w:cs="Arial"/>
          <w:sz w:val="24"/>
          <w:szCs w:val="24"/>
        </w:rPr>
        <w:t>y</w:t>
      </w:r>
      <w:r w:rsidR="00C25D70" w:rsidRPr="00965081">
        <w:rPr>
          <w:rFonts w:ascii="Arial" w:hAnsi="Arial" w:cs="Arial"/>
          <w:sz w:val="24"/>
          <w:szCs w:val="24"/>
        </w:rPr>
        <w:t xml:space="preserve">, </w:t>
      </w:r>
      <w:r w:rsidR="00294C1E" w:rsidRPr="00965081">
        <w:rPr>
          <w:rFonts w:ascii="Arial" w:hAnsi="Arial" w:cs="Arial"/>
          <w:sz w:val="24"/>
          <w:szCs w:val="24"/>
        </w:rPr>
        <w:t>with the same approach in the matter at hand, it is inescapable to conclude that a clear deadlock persiste</w:t>
      </w:r>
      <w:r w:rsidR="00E60B3E" w:rsidRPr="00965081">
        <w:rPr>
          <w:rFonts w:ascii="Arial" w:hAnsi="Arial" w:cs="Arial"/>
          <w:sz w:val="24"/>
          <w:szCs w:val="24"/>
        </w:rPr>
        <w:t>d over</w:t>
      </w:r>
      <w:r w:rsidR="000B5512">
        <w:rPr>
          <w:rFonts w:ascii="Arial" w:hAnsi="Arial" w:cs="Arial"/>
          <w:sz w:val="24"/>
          <w:szCs w:val="24"/>
        </w:rPr>
        <w:t xml:space="preserve"> </w:t>
      </w:r>
      <w:r w:rsidR="00E60B3E" w:rsidRPr="00965081">
        <w:rPr>
          <w:rFonts w:ascii="Arial" w:hAnsi="Arial" w:cs="Arial"/>
          <w:sz w:val="24"/>
          <w:szCs w:val="24"/>
        </w:rPr>
        <w:t>time</w:t>
      </w:r>
      <w:r w:rsidR="00294C1E" w:rsidRPr="00965081">
        <w:rPr>
          <w:rFonts w:ascii="Arial" w:hAnsi="Arial" w:cs="Arial"/>
          <w:sz w:val="24"/>
          <w:szCs w:val="24"/>
        </w:rPr>
        <w:t xml:space="preserve"> to the detriment of the relationship of parties as siblings and as</w:t>
      </w:r>
      <w:r w:rsidR="00B94CB8" w:rsidRPr="00965081">
        <w:rPr>
          <w:rFonts w:ascii="Arial" w:hAnsi="Arial" w:cs="Arial"/>
          <w:sz w:val="24"/>
          <w:szCs w:val="24"/>
        </w:rPr>
        <w:t xml:space="preserve"> the business partners of the second respondent. </w:t>
      </w:r>
    </w:p>
    <w:p w14:paraId="46EBBF4D" w14:textId="77777777" w:rsidR="00965081" w:rsidRPr="00965081" w:rsidRDefault="00965081" w:rsidP="00DA2D1C">
      <w:pPr>
        <w:spacing w:after="0" w:line="360" w:lineRule="auto"/>
        <w:jc w:val="both"/>
        <w:rPr>
          <w:rFonts w:ascii="Arial" w:hAnsi="Arial" w:cs="Arial"/>
          <w:sz w:val="24"/>
          <w:szCs w:val="24"/>
        </w:rPr>
      </w:pPr>
    </w:p>
    <w:p w14:paraId="5D16D7AB" w14:textId="77777777" w:rsidR="003470AD" w:rsidRPr="00E43301" w:rsidRDefault="00AC564B" w:rsidP="00E43301">
      <w:pPr>
        <w:spacing w:line="360" w:lineRule="auto"/>
        <w:jc w:val="both"/>
        <w:rPr>
          <w:rFonts w:ascii="Arial" w:hAnsi="Arial" w:cs="Arial"/>
          <w:b/>
          <w:i/>
        </w:rPr>
      </w:pPr>
      <w:r w:rsidRPr="00DA2D1C">
        <w:rPr>
          <w:rFonts w:ascii="Arial" w:hAnsi="Arial" w:cs="Arial"/>
          <w:b/>
          <w:i/>
          <w:sz w:val="24"/>
          <w:szCs w:val="24"/>
        </w:rPr>
        <w:t xml:space="preserve">Is there </w:t>
      </w:r>
      <w:r w:rsidR="000B5512">
        <w:rPr>
          <w:rFonts w:ascii="Arial" w:hAnsi="Arial" w:cs="Arial"/>
          <w:b/>
          <w:i/>
          <w:sz w:val="24"/>
          <w:szCs w:val="24"/>
        </w:rPr>
        <w:t xml:space="preserve">a </w:t>
      </w:r>
      <w:r w:rsidRPr="00DA2D1C">
        <w:rPr>
          <w:rFonts w:ascii="Arial" w:hAnsi="Arial" w:cs="Arial"/>
          <w:b/>
          <w:i/>
          <w:sz w:val="24"/>
          <w:szCs w:val="24"/>
        </w:rPr>
        <w:t xml:space="preserve">lack of probity </w:t>
      </w:r>
      <w:r w:rsidR="00061C3F">
        <w:rPr>
          <w:rFonts w:ascii="Arial" w:hAnsi="Arial" w:cs="Arial"/>
          <w:b/>
          <w:i/>
          <w:sz w:val="24"/>
          <w:szCs w:val="24"/>
        </w:rPr>
        <w:t xml:space="preserve">in the </w:t>
      </w:r>
      <w:r w:rsidRPr="00DA2D1C">
        <w:rPr>
          <w:rFonts w:ascii="Arial" w:hAnsi="Arial" w:cs="Arial"/>
          <w:b/>
          <w:i/>
          <w:sz w:val="24"/>
          <w:szCs w:val="24"/>
        </w:rPr>
        <w:t>conduct of the affairs of the second respondent</w:t>
      </w:r>
      <w:r w:rsidR="00E43301">
        <w:rPr>
          <w:rFonts w:ascii="Arial" w:hAnsi="Arial" w:cs="Arial"/>
          <w:b/>
          <w:i/>
        </w:rPr>
        <w:t>?</w:t>
      </w:r>
    </w:p>
    <w:p w14:paraId="505CAE23" w14:textId="77777777" w:rsidR="00AC564B" w:rsidRDefault="00E43301" w:rsidP="00E43301">
      <w:pPr>
        <w:spacing w:after="0" w:line="360" w:lineRule="auto"/>
        <w:jc w:val="both"/>
        <w:rPr>
          <w:rFonts w:ascii="Arial" w:hAnsi="Arial" w:cs="Arial"/>
          <w:sz w:val="24"/>
          <w:szCs w:val="24"/>
        </w:rPr>
      </w:pPr>
      <w:r>
        <w:rPr>
          <w:rFonts w:ascii="Arial" w:hAnsi="Arial" w:cs="Arial"/>
          <w:sz w:val="24"/>
          <w:szCs w:val="24"/>
        </w:rPr>
        <w:t>[4</w:t>
      </w:r>
      <w:r w:rsidR="00847918">
        <w:rPr>
          <w:rFonts w:ascii="Arial" w:hAnsi="Arial" w:cs="Arial"/>
          <w:sz w:val="24"/>
          <w:szCs w:val="24"/>
        </w:rPr>
        <w:t>5</w:t>
      </w:r>
      <w:r>
        <w:rPr>
          <w:rFonts w:ascii="Arial" w:hAnsi="Arial" w:cs="Arial"/>
          <w:sz w:val="24"/>
          <w:szCs w:val="24"/>
        </w:rPr>
        <w:t>]</w:t>
      </w:r>
      <w:r>
        <w:rPr>
          <w:rFonts w:ascii="Arial" w:hAnsi="Arial" w:cs="Arial"/>
          <w:sz w:val="24"/>
          <w:szCs w:val="24"/>
        </w:rPr>
        <w:tab/>
      </w:r>
      <w:r w:rsidR="00AC564B">
        <w:rPr>
          <w:rFonts w:ascii="Arial" w:hAnsi="Arial" w:cs="Arial"/>
          <w:sz w:val="24"/>
          <w:szCs w:val="24"/>
        </w:rPr>
        <w:t xml:space="preserve">In regard to this element in the examination of the state of the second respondent, regard has to be to the state of the business and whether the entity is run in </w:t>
      </w:r>
      <w:r w:rsidR="000B5512">
        <w:rPr>
          <w:rFonts w:ascii="Arial" w:hAnsi="Arial" w:cs="Arial"/>
          <w:sz w:val="24"/>
          <w:szCs w:val="24"/>
        </w:rPr>
        <w:t xml:space="preserve">accordance </w:t>
      </w:r>
      <w:r w:rsidR="00AC564B">
        <w:rPr>
          <w:rFonts w:ascii="Arial" w:hAnsi="Arial" w:cs="Arial"/>
          <w:sz w:val="24"/>
          <w:szCs w:val="24"/>
        </w:rPr>
        <w:t xml:space="preserve">with the statutory requirements of the applicable legislation. On this point, it is imperative to note that the second respondent is a creature of statute and </w:t>
      </w:r>
      <w:r w:rsidR="00B10CC6">
        <w:rPr>
          <w:rFonts w:ascii="Arial" w:hAnsi="Arial" w:cs="Arial"/>
          <w:sz w:val="24"/>
          <w:szCs w:val="24"/>
        </w:rPr>
        <w:t xml:space="preserve">this can also be seen from its founding documents. By design, </w:t>
      </w:r>
      <w:r w:rsidR="003470AD">
        <w:rPr>
          <w:rFonts w:ascii="Arial" w:hAnsi="Arial" w:cs="Arial"/>
          <w:sz w:val="24"/>
          <w:szCs w:val="24"/>
        </w:rPr>
        <w:t>close corporations</w:t>
      </w:r>
      <w:r w:rsidR="00B10CC6">
        <w:rPr>
          <w:rFonts w:ascii="Arial" w:hAnsi="Arial" w:cs="Arial"/>
          <w:sz w:val="24"/>
          <w:szCs w:val="24"/>
        </w:rPr>
        <w:t xml:space="preserve"> were required to comply with requirement</w:t>
      </w:r>
      <w:r w:rsidR="000B5512">
        <w:rPr>
          <w:rFonts w:ascii="Arial" w:hAnsi="Arial" w:cs="Arial"/>
          <w:sz w:val="24"/>
          <w:szCs w:val="24"/>
        </w:rPr>
        <w:t>s</w:t>
      </w:r>
      <w:r w:rsidR="00B10CC6">
        <w:rPr>
          <w:rFonts w:ascii="Arial" w:hAnsi="Arial" w:cs="Arial"/>
          <w:sz w:val="24"/>
          <w:szCs w:val="24"/>
        </w:rPr>
        <w:t xml:space="preserve"> set out in the</w:t>
      </w:r>
      <w:r w:rsidR="00932F0C">
        <w:rPr>
          <w:rFonts w:ascii="Arial" w:hAnsi="Arial" w:cs="Arial"/>
          <w:sz w:val="24"/>
          <w:szCs w:val="24"/>
        </w:rPr>
        <w:t xml:space="preserve"> Act</w:t>
      </w:r>
      <w:r w:rsidR="00B10CC6">
        <w:rPr>
          <w:rFonts w:ascii="Arial" w:hAnsi="Arial" w:cs="Arial"/>
          <w:sz w:val="24"/>
          <w:szCs w:val="24"/>
        </w:rPr>
        <w:t>, and by exten</w:t>
      </w:r>
      <w:r w:rsidR="003470AD">
        <w:rPr>
          <w:rFonts w:ascii="Arial" w:hAnsi="Arial" w:cs="Arial"/>
          <w:sz w:val="24"/>
          <w:szCs w:val="24"/>
        </w:rPr>
        <w:t>s</w:t>
      </w:r>
      <w:r w:rsidR="00B10CC6">
        <w:rPr>
          <w:rFonts w:ascii="Arial" w:hAnsi="Arial" w:cs="Arial"/>
          <w:sz w:val="24"/>
          <w:szCs w:val="24"/>
        </w:rPr>
        <w:t>ion the current Companies Act</w:t>
      </w:r>
      <w:r w:rsidR="003470AD">
        <w:rPr>
          <w:rFonts w:ascii="Arial" w:hAnsi="Arial" w:cs="Arial"/>
          <w:sz w:val="24"/>
          <w:szCs w:val="24"/>
        </w:rPr>
        <w:t>, where applicable</w:t>
      </w:r>
      <w:r w:rsidR="00B10CC6">
        <w:rPr>
          <w:rFonts w:ascii="Arial" w:hAnsi="Arial" w:cs="Arial"/>
          <w:sz w:val="24"/>
          <w:szCs w:val="24"/>
        </w:rPr>
        <w:t xml:space="preserve">. </w:t>
      </w:r>
    </w:p>
    <w:p w14:paraId="0E914797" w14:textId="77777777" w:rsidR="009143A5" w:rsidRDefault="009143A5" w:rsidP="00F57A2E">
      <w:pPr>
        <w:spacing w:after="0" w:line="360" w:lineRule="auto"/>
        <w:jc w:val="both"/>
        <w:rPr>
          <w:rFonts w:ascii="Arial" w:hAnsi="Arial" w:cs="Arial"/>
          <w:sz w:val="24"/>
          <w:szCs w:val="24"/>
        </w:rPr>
      </w:pPr>
    </w:p>
    <w:p w14:paraId="76741B48" w14:textId="77777777" w:rsidR="003470AD" w:rsidRDefault="00E43301" w:rsidP="00E43301">
      <w:pPr>
        <w:spacing w:after="0" w:line="360" w:lineRule="auto"/>
        <w:jc w:val="both"/>
        <w:rPr>
          <w:rFonts w:ascii="Arial" w:hAnsi="Arial" w:cs="Arial"/>
          <w:sz w:val="24"/>
          <w:szCs w:val="24"/>
        </w:rPr>
      </w:pPr>
      <w:r>
        <w:rPr>
          <w:rFonts w:ascii="Arial" w:hAnsi="Arial" w:cs="Arial"/>
          <w:sz w:val="24"/>
          <w:szCs w:val="24"/>
        </w:rPr>
        <w:t>[4</w:t>
      </w:r>
      <w:r w:rsidR="00847918">
        <w:rPr>
          <w:rFonts w:ascii="Arial" w:hAnsi="Arial" w:cs="Arial"/>
          <w:sz w:val="24"/>
          <w:szCs w:val="24"/>
        </w:rPr>
        <w:t>6</w:t>
      </w:r>
      <w:r>
        <w:rPr>
          <w:rFonts w:ascii="Arial" w:hAnsi="Arial" w:cs="Arial"/>
          <w:sz w:val="24"/>
          <w:szCs w:val="24"/>
        </w:rPr>
        <w:t>]</w:t>
      </w:r>
      <w:r>
        <w:rPr>
          <w:rFonts w:ascii="Arial" w:hAnsi="Arial" w:cs="Arial"/>
          <w:sz w:val="24"/>
          <w:szCs w:val="24"/>
        </w:rPr>
        <w:tab/>
      </w:r>
      <w:r w:rsidR="003470AD">
        <w:rPr>
          <w:rFonts w:ascii="Arial" w:hAnsi="Arial" w:cs="Arial"/>
          <w:sz w:val="24"/>
          <w:szCs w:val="24"/>
        </w:rPr>
        <w:t xml:space="preserve">In order to </w:t>
      </w:r>
      <w:r w:rsidR="00B87FAD">
        <w:rPr>
          <w:rFonts w:ascii="Arial" w:hAnsi="Arial" w:cs="Arial"/>
          <w:sz w:val="24"/>
          <w:szCs w:val="24"/>
        </w:rPr>
        <w:t xml:space="preserve">ascertain </w:t>
      </w:r>
      <w:r w:rsidR="003470AD">
        <w:rPr>
          <w:rFonts w:ascii="Arial" w:hAnsi="Arial" w:cs="Arial"/>
          <w:sz w:val="24"/>
          <w:szCs w:val="24"/>
        </w:rPr>
        <w:t xml:space="preserve">if the conduct of the affairs of the second respondent </w:t>
      </w:r>
      <w:r w:rsidR="00B87FAD">
        <w:rPr>
          <w:rFonts w:ascii="Arial" w:hAnsi="Arial" w:cs="Arial"/>
          <w:sz w:val="24"/>
          <w:szCs w:val="24"/>
        </w:rPr>
        <w:t xml:space="preserve">complied with </w:t>
      </w:r>
      <w:r w:rsidR="003470AD">
        <w:rPr>
          <w:rFonts w:ascii="Arial" w:hAnsi="Arial" w:cs="Arial"/>
          <w:sz w:val="24"/>
          <w:szCs w:val="24"/>
        </w:rPr>
        <w:t xml:space="preserve">the provisions of the governing legislation, it would be beneficial to refer to </w:t>
      </w:r>
      <w:r w:rsidR="000B5512">
        <w:rPr>
          <w:rFonts w:ascii="Arial" w:hAnsi="Arial" w:cs="Arial"/>
          <w:sz w:val="24"/>
          <w:szCs w:val="24"/>
        </w:rPr>
        <w:t xml:space="preserve">a </w:t>
      </w:r>
      <w:r w:rsidR="003470AD">
        <w:rPr>
          <w:rFonts w:ascii="Arial" w:hAnsi="Arial" w:cs="Arial"/>
          <w:sz w:val="24"/>
          <w:szCs w:val="24"/>
        </w:rPr>
        <w:t xml:space="preserve">few </w:t>
      </w:r>
      <w:r w:rsidR="000B5512">
        <w:rPr>
          <w:rFonts w:ascii="Arial" w:hAnsi="Arial" w:cs="Arial"/>
          <w:sz w:val="24"/>
          <w:szCs w:val="24"/>
        </w:rPr>
        <w:t>examples</w:t>
      </w:r>
      <w:r w:rsidR="003470AD">
        <w:rPr>
          <w:rFonts w:ascii="Arial" w:hAnsi="Arial" w:cs="Arial"/>
          <w:sz w:val="24"/>
          <w:szCs w:val="24"/>
        </w:rPr>
        <w:t xml:space="preserve">. </w:t>
      </w:r>
      <w:r w:rsidR="003F21DC">
        <w:rPr>
          <w:rFonts w:ascii="Arial" w:hAnsi="Arial" w:cs="Arial"/>
          <w:sz w:val="24"/>
          <w:szCs w:val="24"/>
        </w:rPr>
        <w:t xml:space="preserve">In compliance with </w:t>
      </w:r>
      <w:r w:rsidR="006A3567">
        <w:rPr>
          <w:rFonts w:ascii="Arial" w:hAnsi="Arial" w:cs="Arial"/>
          <w:sz w:val="24"/>
          <w:szCs w:val="24"/>
        </w:rPr>
        <w:t>s</w:t>
      </w:r>
      <w:r w:rsidR="000B5512">
        <w:rPr>
          <w:rFonts w:ascii="Arial" w:hAnsi="Arial" w:cs="Arial"/>
          <w:sz w:val="24"/>
          <w:szCs w:val="24"/>
        </w:rPr>
        <w:t xml:space="preserve"> </w:t>
      </w:r>
      <w:r w:rsidR="006A3567">
        <w:rPr>
          <w:rFonts w:ascii="Arial" w:hAnsi="Arial" w:cs="Arial"/>
          <w:sz w:val="24"/>
          <w:szCs w:val="24"/>
        </w:rPr>
        <w:t>59 of the Act, t</w:t>
      </w:r>
      <w:r w:rsidR="009143A5">
        <w:rPr>
          <w:rFonts w:ascii="Arial" w:hAnsi="Arial" w:cs="Arial"/>
          <w:sz w:val="24"/>
          <w:szCs w:val="24"/>
        </w:rPr>
        <w:t xml:space="preserve">he second respondent appointed Select Financial </w:t>
      </w:r>
      <w:r w:rsidR="000B5512">
        <w:rPr>
          <w:rFonts w:ascii="Arial" w:hAnsi="Arial" w:cs="Arial"/>
          <w:sz w:val="24"/>
          <w:szCs w:val="24"/>
        </w:rPr>
        <w:t>C</w:t>
      </w:r>
      <w:r w:rsidR="009143A5">
        <w:rPr>
          <w:rFonts w:ascii="Arial" w:hAnsi="Arial" w:cs="Arial"/>
          <w:sz w:val="24"/>
          <w:szCs w:val="24"/>
        </w:rPr>
        <w:t xml:space="preserve">onsultants, as </w:t>
      </w:r>
      <w:r w:rsidR="000B5512">
        <w:rPr>
          <w:rFonts w:ascii="Arial" w:hAnsi="Arial" w:cs="Arial"/>
          <w:sz w:val="24"/>
          <w:szCs w:val="24"/>
        </w:rPr>
        <w:t>its</w:t>
      </w:r>
      <w:r w:rsidR="009143A5">
        <w:rPr>
          <w:rFonts w:ascii="Arial" w:hAnsi="Arial" w:cs="Arial"/>
          <w:sz w:val="24"/>
          <w:szCs w:val="24"/>
        </w:rPr>
        <w:t xml:space="preserve"> </w:t>
      </w:r>
      <w:r w:rsidR="00564683">
        <w:rPr>
          <w:rFonts w:ascii="Arial" w:hAnsi="Arial" w:cs="Arial"/>
          <w:sz w:val="24"/>
          <w:szCs w:val="24"/>
        </w:rPr>
        <w:t>accounting officer.</w:t>
      </w:r>
      <w:r w:rsidR="000B5512">
        <w:rPr>
          <w:rFonts w:ascii="Arial" w:hAnsi="Arial" w:cs="Arial"/>
          <w:sz w:val="24"/>
          <w:szCs w:val="24"/>
        </w:rPr>
        <w:t xml:space="preserve"> </w:t>
      </w:r>
      <w:r w:rsidR="000604C9">
        <w:rPr>
          <w:rFonts w:ascii="Arial" w:hAnsi="Arial" w:cs="Arial"/>
          <w:sz w:val="24"/>
          <w:szCs w:val="24"/>
        </w:rPr>
        <w:t xml:space="preserve">A further </w:t>
      </w:r>
      <w:r w:rsidR="00564683">
        <w:rPr>
          <w:rFonts w:ascii="Arial" w:hAnsi="Arial" w:cs="Arial"/>
          <w:sz w:val="24"/>
          <w:szCs w:val="24"/>
        </w:rPr>
        <w:t>statutory requirement in terms of s</w:t>
      </w:r>
      <w:r w:rsidR="00897090">
        <w:rPr>
          <w:rFonts w:ascii="Arial" w:hAnsi="Arial" w:cs="Arial"/>
          <w:sz w:val="24"/>
          <w:szCs w:val="24"/>
        </w:rPr>
        <w:t xml:space="preserve">56 </w:t>
      </w:r>
      <w:r w:rsidR="00564683">
        <w:rPr>
          <w:rFonts w:ascii="Arial" w:hAnsi="Arial" w:cs="Arial"/>
          <w:sz w:val="24"/>
          <w:szCs w:val="24"/>
        </w:rPr>
        <w:t>of the Act</w:t>
      </w:r>
      <w:r w:rsidR="000604C9">
        <w:rPr>
          <w:rFonts w:ascii="Arial" w:hAnsi="Arial" w:cs="Arial"/>
          <w:sz w:val="24"/>
          <w:szCs w:val="24"/>
        </w:rPr>
        <w:t xml:space="preserve"> was that</w:t>
      </w:r>
      <w:r w:rsidR="00564683">
        <w:rPr>
          <w:rFonts w:ascii="Arial" w:hAnsi="Arial" w:cs="Arial"/>
          <w:sz w:val="24"/>
          <w:szCs w:val="24"/>
        </w:rPr>
        <w:t xml:space="preserve"> the second respondent was required to </w:t>
      </w:r>
      <w:r w:rsidR="00897090">
        <w:rPr>
          <w:rFonts w:ascii="Arial" w:hAnsi="Arial" w:cs="Arial"/>
          <w:sz w:val="24"/>
          <w:szCs w:val="24"/>
        </w:rPr>
        <w:t>keep</w:t>
      </w:r>
      <w:r w:rsidR="00564683">
        <w:rPr>
          <w:rFonts w:ascii="Arial" w:hAnsi="Arial" w:cs="Arial"/>
          <w:sz w:val="24"/>
          <w:szCs w:val="24"/>
        </w:rPr>
        <w:t xml:space="preserve"> </w:t>
      </w:r>
      <w:r w:rsidR="00897090">
        <w:rPr>
          <w:rFonts w:ascii="Arial" w:hAnsi="Arial" w:cs="Arial"/>
          <w:sz w:val="24"/>
          <w:szCs w:val="24"/>
        </w:rPr>
        <w:t>accounting records to present the state of affairs and business of the corporation</w:t>
      </w:r>
      <w:r w:rsidR="00564683">
        <w:rPr>
          <w:rFonts w:ascii="Arial" w:hAnsi="Arial" w:cs="Arial"/>
          <w:sz w:val="24"/>
          <w:szCs w:val="24"/>
        </w:rPr>
        <w:t xml:space="preserve">. However, there </w:t>
      </w:r>
      <w:r w:rsidR="002B1DE0">
        <w:rPr>
          <w:rFonts w:ascii="Arial" w:hAnsi="Arial" w:cs="Arial"/>
          <w:sz w:val="24"/>
          <w:szCs w:val="24"/>
        </w:rPr>
        <w:t>was</w:t>
      </w:r>
      <w:r w:rsidR="00564683">
        <w:rPr>
          <w:rFonts w:ascii="Arial" w:hAnsi="Arial" w:cs="Arial"/>
          <w:sz w:val="24"/>
          <w:szCs w:val="24"/>
        </w:rPr>
        <w:t xml:space="preserve"> no evidence to </w:t>
      </w:r>
      <w:r w:rsidR="00D9439D">
        <w:rPr>
          <w:rFonts w:ascii="Arial" w:hAnsi="Arial" w:cs="Arial"/>
          <w:sz w:val="24"/>
          <w:szCs w:val="24"/>
        </w:rPr>
        <w:t>suggest, in the least</w:t>
      </w:r>
      <w:r w:rsidR="00564683">
        <w:rPr>
          <w:rFonts w:ascii="Arial" w:hAnsi="Arial" w:cs="Arial"/>
          <w:sz w:val="24"/>
          <w:szCs w:val="24"/>
        </w:rPr>
        <w:t xml:space="preserve"> that this important statutory requirement was observed</w:t>
      </w:r>
      <w:r w:rsidR="006A3567">
        <w:rPr>
          <w:rFonts w:ascii="Arial" w:hAnsi="Arial" w:cs="Arial"/>
          <w:sz w:val="24"/>
          <w:szCs w:val="24"/>
        </w:rPr>
        <w:t>. I</w:t>
      </w:r>
      <w:r w:rsidR="00564683">
        <w:rPr>
          <w:rFonts w:ascii="Arial" w:hAnsi="Arial" w:cs="Arial"/>
          <w:sz w:val="24"/>
          <w:szCs w:val="24"/>
        </w:rPr>
        <w:t>nstead</w:t>
      </w:r>
      <w:r w:rsidR="006A3567">
        <w:rPr>
          <w:rFonts w:ascii="Arial" w:hAnsi="Arial" w:cs="Arial"/>
          <w:sz w:val="24"/>
          <w:szCs w:val="24"/>
        </w:rPr>
        <w:t>,</w:t>
      </w:r>
      <w:r w:rsidR="00564683">
        <w:rPr>
          <w:rFonts w:ascii="Arial" w:hAnsi="Arial" w:cs="Arial"/>
          <w:sz w:val="24"/>
          <w:szCs w:val="24"/>
        </w:rPr>
        <w:t xml:space="preserve"> the first respondent argued that the second respondent required no management. </w:t>
      </w:r>
      <w:r w:rsidR="00A7771D">
        <w:rPr>
          <w:rFonts w:ascii="Arial" w:hAnsi="Arial" w:cs="Arial"/>
          <w:sz w:val="24"/>
          <w:szCs w:val="24"/>
        </w:rPr>
        <w:t xml:space="preserve">This was without any evidence to contend that the second respondent was exempt from such compliance. </w:t>
      </w:r>
    </w:p>
    <w:p w14:paraId="5F479888" w14:textId="77777777" w:rsidR="00A7771D" w:rsidRPr="00A7771D" w:rsidRDefault="00A7771D" w:rsidP="00F57A2E">
      <w:pPr>
        <w:spacing w:after="0" w:line="360" w:lineRule="auto"/>
        <w:jc w:val="both"/>
        <w:rPr>
          <w:rFonts w:ascii="Arial" w:hAnsi="Arial" w:cs="Arial"/>
          <w:sz w:val="24"/>
          <w:szCs w:val="24"/>
        </w:rPr>
      </w:pPr>
    </w:p>
    <w:p w14:paraId="58B39184" w14:textId="77777777" w:rsidR="00D9439D" w:rsidRDefault="00E43301" w:rsidP="00E43301">
      <w:pPr>
        <w:spacing w:after="0" w:line="360" w:lineRule="auto"/>
        <w:jc w:val="both"/>
        <w:rPr>
          <w:rFonts w:ascii="Arial" w:hAnsi="Arial" w:cs="Arial"/>
          <w:sz w:val="24"/>
          <w:szCs w:val="24"/>
        </w:rPr>
      </w:pPr>
      <w:r>
        <w:rPr>
          <w:rFonts w:ascii="Arial" w:hAnsi="Arial" w:cs="Arial"/>
          <w:sz w:val="24"/>
          <w:szCs w:val="24"/>
        </w:rPr>
        <w:t>[4</w:t>
      </w:r>
      <w:r w:rsidR="00847918">
        <w:rPr>
          <w:rFonts w:ascii="Arial" w:hAnsi="Arial" w:cs="Arial"/>
          <w:sz w:val="24"/>
          <w:szCs w:val="24"/>
        </w:rPr>
        <w:t>7</w:t>
      </w:r>
      <w:r>
        <w:rPr>
          <w:rFonts w:ascii="Arial" w:hAnsi="Arial" w:cs="Arial"/>
          <w:sz w:val="24"/>
          <w:szCs w:val="24"/>
        </w:rPr>
        <w:t>]</w:t>
      </w:r>
      <w:r>
        <w:rPr>
          <w:rFonts w:ascii="Arial" w:hAnsi="Arial" w:cs="Arial"/>
          <w:sz w:val="24"/>
          <w:szCs w:val="24"/>
        </w:rPr>
        <w:tab/>
      </w:r>
      <w:r w:rsidR="00A7771D">
        <w:rPr>
          <w:rFonts w:ascii="Arial" w:hAnsi="Arial" w:cs="Arial"/>
          <w:sz w:val="24"/>
          <w:szCs w:val="24"/>
        </w:rPr>
        <w:t xml:space="preserve">The second respondent was further required to hold members’ meetings and keep records of the </w:t>
      </w:r>
      <w:r w:rsidR="006A3567">
        <w:rPr>
          <w:rFonts w:ascii="Arial" w:hAnsi="Arial" w:cs="Arial"/>
          <w:sz w:val="24"/>
          <w:szCs w:val="24"/>
        </w:rPr>
        <w:t>resolutions of meetings held</w:t>
      </w:r>
      <w:r w:rsidR="00A7771D">
        <w:rPr>
          <w:rFonts w:ascii="Arial" w:hAnsi="Arial" w:cs="Arial"/>
          <w:sz w:val="24"/>
          <w:szCs w:val="24"/>
        </w:rPr>
        <w:t xml:space="preserve">. This requirement too, </w:t>
      </w:r>
      <w:r w:rsidR="006A3567">
        <w:rPr>
          <w:rFonts w:ascii="Arial" w:hAnsi="Arial" w:cs="Arial"/>
          <w:sz w:val="24"/>
          <w:szCs w:val="24"/>
        </w:rPr>
        <w:t xml:space="preserve">as outlined in s 48 of the Act </w:t>
      </w:r>
      <w:r w:rsidR="00A7771D">
        <w:rPr>
          <w:rFonts w:ascii="Arial" w:hAnsi="Arial" w:cs="Arial"/>
          <w:sz w:val="24"/>
          <w:szCs w:val="24"/>
        </w:rPr>
        <w:t xml:space="preserve">was not observed in the running of the affairs of the second respondent. </w:t>
      </w:r>
      <w:r w:rsidR="00D9439D">
        <w:rPr>
          <w:rFonts w:ascii="Arial" w:hAnsi="Arial" w:cs="Arial"/>
          <w:sz w:val="24"/>
          <w:szCs w:val="24"/>
        </w:rPr>
        <w:t xml:space="preserve">What could be gathered from the attempts of Shepstone Wylie and Weber Wentzel firms of attorneys was that, even when these </w:t>
      </w:r>
      <w:r w:rsidR="000604C9">
        <w:rPr>
          <w:rFonts w:ascii="Arial" w:hAnsi="Arial" w:cs="Arial"/>
          <w:sz w:val="24"/>
          <w:szCs w:val="24"/>
        </w:rPr>
        <w:t xml:space="preserve">meetings </w:t>
      </w:r>
      <w:r w:rsidR="00D9439D">
        <w:rPr>
          <w:rFonts w:ascii="Arial" w:hAnsi="Arial" w:cs="Arial"/>
          <w:sz w:val="24"/>
          <w:szCs w:val="24"/>
        </w:rPr>
        <w:t>were facilitated, due to the tensions between the members, such was not possible.</w:t>
      </w:r>
    </w:p>
    <w:p w14:paraId="7BE2554F" w14:textId="77777777" w:rsidR="00D9439D" w:rsidRPr="00D9439D" w:rsidRDefault="00D9439D" w:rsidP="00F57A2E">
      <w:pPr>
        <w:spacing w:after="0" w:line="360" w:lineRule="auto"/>
        <w:jc w:val="both"/>
        <w:rPr>
          <w:rFonts w:ascii="Arial" w:hAnsi="Arial" w:cs="Arial"/>
          <w:sz w:val="24"/>
          <w:szCs w:val="24"/>
        </w:rPr>
      </w:pPr>
    </w:p>
    <w:p w14:paraId="34EFA82B" w14:textId="77777777" w:rsidR="00965081" w:rsidRDefault="00E43301" w:rsidP="00E43301">
      <w:pPr>
        <w:spacing w:after="0" w:line="360" w:lineRule="auto"/>
        <w:jc w:val="both"/>
        <w:rPr>
          <w:rFonts w:ascii="Arial" w:hAnsi="Arial" w:cs="Arial"/>
          <w:sz w:val="24"/>
          <w:szCs w:val="24"/>
        </w:rPr>
      </w:pPr>
      <w:r>
        <w:rPr>
          <w:rFonts w:ascii="Arial" w:hAnsi="Arial" w:cs="Arial"/>
          <w:sz w:val="24"/>
          <w:szCs w:val="24"/>
        </w:rPr>
        <w:lastRenderedPageBreak/>
        <w:t>[</w:t>
      </w:r>
      <w:r w:rsidR="00847918">
        <w:rPr>
          <w:rFonts w:ascii="Arial" w:hAnsi="Arial" w:cs="Arial"/>
          <w:sz w:val="24"/>
          <w:szCs w:val="24"/>
        </w:rPr>
        <w:t>48</w:t>
      </w:r>
      <w:r>
        <w:rPr>
          <w:rFonts w:ascii="Arial" w:hAnsi="Arial" w:cs="Arial"/>
          <w:sz w:val="24"/>
          <w:szCs w:val="24"/>
        </w:rPr>
        <w:t>]</w:t>
      </w:r>
      <w:r>
        <w:rPr>
          <w:rFonts w:ascii="Arial" w:hAnsi="Arial" w:cs="Arial"/>
          <w:sz w:val="24"/>
          <w:szCs w:val="24"/>
        </w:rPr>
        <w:tab/>
      </w:r>
      <w:r w:rsidR="00D9439D">
        <w:rPr>
          <w:rFonts w:ascii="Arial" w:hAnsi="Arial" w:cs="Arial"/>
          <w:sz w:val="24"/>
          <w:szCs w:val="24"/>
        </w:rPr>
        <w:t xml:space="preserve">Another aspect was the attempts by the </w:t>
      </w:r>
      <w:r w:rsidR="00674769">
        <w:rPr>
          <w:rFonts w:ascii="Arial" w:hAnsi="Arial" w:cs="Arial"/>
          <w:sz w:val="24"/>
          <w:szCs w:val="24"/>
        </w:rPr>
        <w:t>members</w:t>
      </w:r>
      <w:r w:rsidR="00B87FAD">
        <w:rPr>
          <w:rFonts w:ascii="Arial" w:hAnsi="Arial" w:cs="Arial"/>
          <w:sz w:val="24"/>
          <w:szCs w:val="24"/>
        </w:rPr>
        <w:t>’ brother, Dines</w:t>
      </w:r>
      <w:r w:rsidR="00D9439D">
        <w:rPr>
          <w:rFonts w:ascii="Arial" w:hAnsi="Arial" w:cs="Arial"/>
          <w:sz w:val="24"/>
          <w:szCs w:val="24"/>
        </w:rPr>
        <w:t xml:space="preserve"> to pay the applicant cash for her interests in the second respondent. </w:t>
      </w:r>
      <w:r w:rsidR="00B87FAD">
        <w:rPr>
          <w:rFonts w:ascii="Arial" w:hAnsi="Arial" w:cs="Arial"/>
          <w:sz w:val="24"/>
          <w:szCs w:val="24"/>
        </w:rPr>
        <w:t>The first respondent, also proposed, through Zubeda Seedat Attorneys</w:t>
      </w:r>
      <w:r w:rsidR="00D9439D">
        <w:rPr>
          <w:rFonts w:ascii="Arial" w:hAnsi="Arial" w:cs="Arial"/>
          <w:sz w:val="24"/>
          <w:szCs w:val="24"/>
        </w:rPr>
        <w:t xml:space="preserve"> for the applicant to indicate how much she would require in lieu of her interest in the second respondent. The </w:t>
      </w:r>
      <w:r w:rsidR="00674769">
        <w:rPr>
          <w:rFonts w:ascii="Arial" w:hAnsi="Arial" w:cs="Arial"/>
          <w:sz w:val="24"/>
          <w:szCs w:val="24"/>
        </w:rPr>
        <w:t xml:space="preserve">first respondent also qualified these attempts in that they should not be regarded as </w:t>
      </w:r>
      <w:r w:rsidR="000604C9">
        <w:rPr>
          <w:rFonts w:ascii="Arial" w:hAnsi="Arial" w:cs="Arial"/>
          <w:sz w:val="24"/>
          <w:szCs w:val="24"/>
        </w:rPr>
        <w:t xml:space="preserve">an </w:t>
      </w:r>
      <w:r w:rsidR="00674769">
        <w:rPr>
          <w:rFonts w:ascii="Arial" w:hAnsi="Arial" w:cs="Arial"/>
          <w:sz w:val="24"/>
          <w:szCs w:val="24"/>
        </w:rPr>
        <w:t xml:space="preserve">admission of the allegations by the applicant. </w:t>
      </w:r>
      <w:r w:rsidR="00051D28">
        <w:rPr>
          <w:rFonts w:ascii="Arial" w:hAnsi="Arial" w:cs="Arial"/>
          <w:sz w:val="24"/>
          <w:szCs w:val="24"/>
        </w:rPr>
        <w:t>In a case w</w:t>
      </w:r>
      <w:r w:rsidR="000604C9">
        <w:rPr>
          <w:rFonts w:ascii="Arial" w:hAnsi="Arial" w:cs="Arial"/>
          <w:sz w:val="24"/>
          <w:szCs w:val="24"/>
        </w:rPr>
        <w:t xml:space="preserve">here </w:t>
      </w:r>
      <w:r w:rsidR="00965081">
        <w:rPr>
          <w:rFonts w:ascii="Arial" w:hAnsi="Arial" w:cs="Arial"/>
          <w:sz w:val="24"/>
          <w:szCs w:val="24"/>
        </w:rPr>
        <w:t xml:space="preserve">partners </w:t>
      </w:r>
      <w:r w:rsidR="000604C9">
        <w:rPr>
          <w:rFonts w:ascii="Arial" w:hAnsi="Arial" w:cs="Arial"/>
          <w:sz w:val="24"/>
          <w:szCs w:val="24"/>
        </w:rPr>
        <w:t xml:space="preserve">in </w:t>
      </w:r>
      <w:r w:rsidR="00965081">
        <w:rPr>
          <w:rFonts w:ascii="Arial" w:hAnsi="Arial" w:cs="Arial"/>
          <w:sz w:val="24"/>
          <w:szCs w:val="24"/>
        </w:rPr>
        <w:t xml:space="preserve">a business entity </w:t>
      </w:r>
      <w:r w:rsidR="000604C9">
        <w:rPr>
          <w:rFonts w:ascii="Arial" w:hAnsi="Arial" w:cs="Arial"/>
          <w:sz w:val="24"/>
          <w:szCs w:val="24"/>
        </w:rPr>
        <w:t>are unable</w:t>
      </w:r>
      <w:r w:rsidR="00965081">
        <w:rPr>
          <w:rFonts w:ascii="Arial" w:hAnsi="Arial" w:cs="Arial"/>
          <w:sz w:val="24"/>
          <w:szCs w:val="24"/>
        </w:rPr>
        <w:t xml:space="preserve"> to have a meaningful engagement since 2014, a period of almost ten years, due to a deadlock over the operation and or the affairs of the same entity, </w:t>
      </w:r>
      <w:r w:rsidR="00847918">
        <w:rPr>
          <w:rFonts w:ascii="Arial" w:hAnsi="Arial" w:cs="Arial"/>
          <w:sz w:val="24"/>
          <w:szCs w:val="24"/>
        </w:rPr>
        <w:t>certainly</w:t>
      </w:r>
      <w:r w:rsidR="00051D28">
        <w:rPr>
          <w:rFonts w:ascii="Arial" w:hAnsi="Arial" w:cs="Arial"/>
          <w:sz w:val="24"/>
          <w:szCs w:val="24"/>
        </w:rPr>
        <w:t xml:space="preserve">, </w:t>
      </w:r>
      <w:r w:rsidR="00965081">
        <w:rPr>
          <w:rFonts w:ascii="Arial" w:hAnsi="Arial" w:cs="Arial"/>
          <w:sz w:val="24"/>
          <w:szCs w:val="24"/>
        </w:rPr>
        <w:t xml:space="preserve">there would be no confidence or relationship of trust in such </w:t>
      </w:r>
      <w:r w:rsidR="000604C9">
        <w:rPr>
          <w:rFonts w:ascii="Arial" w:hAnsi="Arial" w:cs="Arial"/>
          <w:sz w:val="24"/>
          <w:szCs w:val="24"/>
        </w:rPr>
        <w:t xml:space="preserve">a </w:t>
      </w:r>
      <w:r w:rsidR="00965081">
        <w:rPr>
          <w:rFonts w:ascii="Arial" w:hAnsi="Arial" w:cs="Arial"/>
          <w:sz w:val="24"/>
          <w:szCs w:val="24"/>
        </w:rPr>
        <w:t xml:space="preserve">situation. </w:t>
      </w:r>
    </w:p>
    <w:p w14:paraId="691345D2" w14:textId="77777777" w:rsidR="00965081" w:rsidRPr="00965081" w:rsidRDefault="00965081" w:rsidP="00F57A2E">
      <w:pPr>
        <w:spacing w:after="0" w:line="360" w:lineRule="auto"/>
        <w:jc w:val="both"/>
        <w:rPr>
          <w:rFonts w:ascii="Arial" w:hAnsi="Arial" w:cs="Arial"/>
          <w:sz w:val="24"/>
          <w:szCs w:val="24"/>
        </w:rPr>
      </w:pPr>
    </w:p>
    <w:p w14:paraId="236A7F14" w14:textId="77777777" w:rsidR="008138E2" w:rsidRDefault="00E43301" w:rsidP="00847918">
      <w:pPr>
        <w:spacing w:after="0" w:line="360" w:lineRule="auto"/>
        <w:jc w:val="both"/>
        <w:rPr>
          <w:rFonts w:ascii="Arial" w:hAnsi="Arial" w:cs="Arial"/>
          <w:sz w:val="24"/>
          <w:szCs w:val="24"/>
        </w:rPr>
      </w:pPr>
      <w:r>
        <w:rPr>
          <w:rFonts w:ascii="Arial" w:hAnsi="Arial" w:cs="Arial"/>
          <w:sz w:val="24"/>
          <w:szCs w:val="24"/>
        </w:rPr>
        <w:t>[</w:t>
      </w:r>
      <w:r w:rsidR="00847918">
        <w:rPr>
          <w:rFonts w:ascii="Arial" w:hAnsi="Arial" w:cs="Arial"/>
          <w:sz w:val="24"/>
          <w:szCs w:val="24"/>
        </w:rPr>
        <w:t>49</w:t>
      </w:r>
      <w:r>
        <w:rPr>
          <w:rFonts w:ascii="Arial" w:hAnsi="Arial" w:cs="Arial"/>
          <w:sz w:val="24"/>
          <w:szCs w:val="24"/>
        </w:rPr>
        <w:t>]</w:t>
      </w:r>
      <w:r>
        <w:rPr>
          <w:rFonts w:ascii="Arial" w:hAnsi="Arial" w:cs="Arial"/>
          <w:sz w:val="24"/>
          <w:szCs w:val="24"/>
        </w:rPr>
        <w:tab/>
      </w:r>
      <w:r w:rsidR="00965081" w:rsidRPr="00F021D1">
        <w:rPr>
          <w:rFonts w:ascii="Arial" w:hAnsi="Arial" w:cs="Arial"/>
          <w:sz w:val="24"/>
          <w:szCs w:val="24"/>
        </w:rPr>
        <w:t xml:space="preserve">The contention that the second respondent did not require management cannot be sustained, particularly because, by design, </w:t>
      </w:r>
      <w:r w:rsidR="004B0BD0" w:rsidRPr="00F021D1">
        <w:rPr>
          <w:rFonts w:ascii="Arial" w:hAnsi="Arial" w:cs="Arial"/>
          <w:sz w:val="24"/>
          <w:szCs w:val="24"/>
        </w:rPr>
        <w:t xml:space="preserve">and </w:t>
      </w:r>
      <w:r w:rsidR="00965081" w:rsidRPr="00F021D1">
        <w:rPr>
          <w:rFonts w:ascii="Arial" w:hAnsi="Arial" w:cs="Arial"/>
          <w:sz w:val="24"/>
          <w:szCs w:val="24"/>
        </w:rPr>
        <w:t>as a creature of statute</w:t>
      </w:r>
      <w:r w:rsidR="004B0BD0" w:rsidRPr="00F021D1">
        <w:rPr>
          <w:rFonts w:ascii="Arial" w:hAnsi="Arial" w:cs="Arial"/>
          <w:sz w:val="24"/>
          <w:szCs w:val="24"/>
        </w:rPr>
        <w:t>, in the least, it</w:t>
      </w:r>
      <w:r w:rsidR="00965081" w:rsidRPr="00F021D1">
        <w:rPr>
          <w:rFonts w:ascii="Arial" w:hAnsi="Arial" w:cs="Arial"/>
          <w:sz w:val="24"/>
          <w:szCs w:val="24"/>
        </w:rPr>
        <w:t xml:space="preserve"> could not operate without compliance with statutory requirements that would validate its continued existence. </w:t>
      </w:r>
      <w:r w:rsidR="00847918">
        <w:rPr>
          <w:rFonts w:ascii="Arial" w:hAnsi="Arial" w:cs="Arial"/>
          <w:sz w:val="24"/>
          <w:szCs w:val="24"/>
        </w:rPr>
        <w:t xml:space="preserve">There is overwhelming evidence </w:t>
      </w:r>
      <w:r w:rsidR="004B0BD0" w:rsidRPr="00F021D1">
        <w:rPr>
          <w:rFonts w:ascii="Arial" w:hAnsi="Arial" w:cs="Arial"/>
          <w:sz w:val="24"/>
          <w:szCs w:val="24"/>
        </w:rPr>
        <w:t xml:space="preserve">that the breakdown </w:t>
      </w:r>
      <w:r w:rsidR="00D36A8E">
        <w:rPr>
          <w:rFonts w:ascii="Arial" w:hAnsi="Arial" w:cs="Arial"/>
          <w:sz w:val="24"/>
          <w:szCs w:val="24"/>
        </w:rPr>
        <w:t xml:space="preserve">in the relationship of the applicant and the first respondent </w:t>
      </w:r>
      <w:r w:rsidR="004B0BD0" w:rsidRPr="00F021D1">
        <w:rPr>
          <w:rFonts w:ascii="Arial" w:hAnsi="Arial" w:cs="Arial"/>
          <w:sz w:val="24"/>
          <w:szCs w:val="24"/>
        </w:rPr>
        <w:t>cannot be reversed</w:t>
      </w:r>
      <w:r w:rsidR="00D36A8E">
        <w:rPr>
          <w:rFonts w:ascii="Arial" w:hAnsi="Arial" w:cs="Arial"/>
          <w:sz w:val="24"/>
          <w:szCs w:val="24"/>
        </w:rPr>
        <w:t>. Consequently,</w:t>
      </w:r>
      <w:r w:rsidR="004B0BD0" w:rsidRPr="00F021D1">
        <w:rPr>
          <w:rFonts w:ascii="Arial" w:hAnsi="Arial" w:cs="Arial"/>
          <w:sz w:val="24"/>
          <w:szCs w:val="24"/>
        </w:rPr>
        <w:t xml:space="preserve"> the operations of the second respondent have no prospects of being restored. </w:t>
      </w:r>
      <w:r w:rsidR="008138E2">
        <w:rPr>
          <w:rFonts w:ascii="Arial" w:hAnsi="Arial" w:cs="Arial"/>
          <w:sz w:val="24"/>
          <w:szCs w:val="24"/>
        </w:rPr>
        <w:t xml:space="preserve">Overall, the first respondent could not raise any valid defence against the applicant’s claim of deadlock that also occasioned the inability of the second respondent to continue to operate in terms of its intended purposes. Instead, the first respondent highlighted some options and difficulties that might be encountered by the second respondent if the relief sought were </w:t>
      </w:r>
      <w:r w:rsidR="00D36A8E">
        <w:rPr>
          <w:rFonts w:ascii="Arial" w:hAnsi="Arial" w:cs="Arial"/>
          <w:sz w:val="24"/>
          <w:szCs w:val="24"/>
        </w:rPr>
        <w:t>granted</w:t>
      </w:r>
      <w:r w:rsidR="008138E2">
        <w:rPr>
          <w:rFonts w:ascii="Arial" w:hAnsi="Arial" w:cs="Arial"/>
          <w:sz w:val="24"/>
          <w:szCs w:val="24"/>
        </w:rPr>
        <w:t xml:space="preserve">. </w:t>
      </w:r>
    </w:p>
    <w:p w14:paraId="4799EA6C" w14:textId="77777777" w:rsidR="008138E2" w:rsidRPr="008138E2" w:rsidRDefault="008138E2" w:rsidP="00F57A2E">
      <w:pPr>
        <w:spacing w:after="0" w:line="360" w:lineRule="auto"/>
        <w:jc w:val="both"/>
        <w:rPr>
          <w:rFonts w:ascii="Arial" w:hAnsi="Arial" w:cs="Arial"/>
          <w:sz w:val="24"/>
          <w:szCs w:val="24"/>
        </w:rPr>
      </w:pPr>
    </w:p>
    <w:p w14:paraId="76C30800" w14:textId="77777777" w:rsidR="00674769" w:rsidRPr="00F021D1" w:rsidRDefault="00E43301" w:rsidP="00E43301">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4B0BD0" w:rsidRPr="00F021D1">
        <w:rPr>
          <w:rFonts w:ascii="Arial" w:hAnsi="Arial" w:cs="Arial"/>
          <w:sz w:val="24"/>
          <w:szCs w:val="24"/>
        </w:rPr>
        <w:t>In my view</w:t>
      </w:r>
      <w:r w:rsidR="00F1719A">
        <w:rPr>
          <w:rFonts w:ascii="Arial" w:hAnsi="Arial" w:cs="Arial"/>
          <w:sz w:val="24"/>
          <w:szCs w:val="24"/>
        </w:rPr>
        <w:t>,</w:t>
      </w:r>
      <w:r w:rsidR="004B0BD0" w:rsidRPr="00F021D1">
        <w:rPr>
          <w:rFonts w:ascii="Arial" w:hAnsi="Arial" w:cs="Arial"/>
          <w:sz w:val="24"/>
          <w:szCs w:val="24"/>
        </w:rPr>
        <w:t xml:space="preserve"> the deadlock between the members</w:t>
      </w:r>
      <w:r w:rsidR="00F1719A">
        <w:rPr>
          <w:rFonts w:ascii="Arial" w:hAnsi="Arial" w:cs="Arial"/>
          <w:sz w:val="24"/>
          <w:szCs w:val="24"/>
        </w:rPr>
        <w:t xml:space="preserve"> and</w:t>
      </w:r>
      <w:r w:rsidR="00F021D1">
        <w:rPr>
          <w:rFonts w:ascii="Arial" w:hAnsi="Arial" w:cs="Arial"/>
          <w:sz w:val="24"/>
          <w:szCs w:val="24"/>
        </w:rPr>
        <w:t xml:space="preserve"> the state of affairs of the second respondent are</w:t>
      </w:r>
      <w:r w:rsidR="004B0BD0" w:rsidRPr="00F021D1">
        <w:rPr>
          <w:rFonts w:ascii="Arial" w:hAnsi="Arial" w:cs="Arial"/>
          <w:sz w:val="24"/>
          <w:szCs w:val="24"/>
        </w:rPr>
        <w:t xml:space="preserve"> in the extreme</w:t>
      </w:r>
      <w:r w:rsidR="00F021D1">
        <w:rPr>
          <w:rFonts w:ascii="Arial" w:hAnsi="Arial" w:cs="Arial"/>
          <w:sz w:val="24"/>
          <w:szCs w:val="24"/>
        </w:rPr>
        <w:t xml:space="preserve">, </w:t>
      </w:r>
      <w:r w:rsidR="008138E2">
        <w:rPr>
          <w:rFonts w:ascii="Arial" w:hAnsi="Arial" w:cs="Arial"/>
          <w:sz w:val="24"/>
          <w:szCs w:val="24"/>
        </w:rPr>
        <w:t>hence it would be</w:t>
      </w:r>
      <w:r w:rsidR="00F021D1">
        <w:rPr>
          <w:rFonts w:ascii="Arial" w:hAnsi="Arial" w:cs="Arial"/>
          <w:sz w:val="24"/>
          <w:szCs w:val="24"/>
        </w:rPr>
        <w:t xml:space="preserve"> just and equitable for the second respondent </w:t>
      </w:r>
      <w:r w:rsidR="00FC1B22">
        <w:rPr>
          <w:rFonts w:ascii="Arial" w:hAnsi="Arial" w:cs="Arial"/>
          <w:sz w:val="24"/>
          <w:szCs w:val="24"/>
        </w:rPr>
        <w:t>to undertake</w:t>
      </w:r>
      <w:r w:rsidR="00F021D1">
        <w:rPr>
          <w:rFonts w:ascii="Arial" w:hAnsi="Arial" w:cs="Arial"/>
          <w:sz w:val="24"/>
          <w:szCs w:val="24"/>
        </w:rPr>
        <w:t xml:space="preserve"> due process</w:t>
      </w:r>
      <w:r w:rsidR="00051D28">
        <w:rPr>
          <w:rFonts w:ascii="Arial" w:hAnsi="Arial" w:cs="Arial"/>
          <w:sz w:val="24"/>
          <w:szCs w:val="24"/>
        </w:rPr>
        <w:t>, and in this instance, a winding-up</w:t>
      </w:r>
      <w:r w:rsidR="00F021D1">
        <w:rPr>
          <w:rFonts w:ascii="Arial" w:hAnsi="Arial" w:cs="Arial"/>
          <w:sz w:val="24"/>
          <w:szCs w:val="24"/>
        </w:rPr>
        <w:t>.</w:t>
      </w:r>
    </w:p>
    <w:p w14:paraId="3316CEE1" w14:textId="77777777" w:rsidR="00D6042E" w:rsidRPr="00D6042E" w:rsidRDefault="00D6042E" w:rsidP="00F57A2E">
      <w:pPr>
        <w:spacing w:after="0" w:line="360" w:lineRule="auto"/>
        <w:jc w:val="both"/>
        <w:rPr>
          <w:rFonts w:ascii="Arial" w:hAnsi="Arial" w:cs="Arial"/>
        </w:rPr>
      </w:pPr>
    </w:p>
    <w:p w14:paraId="0D0B505A" w14:textId="77777777" w:rsidR="00D6042E" w:rsidRPr="00E43301" w:rsidRDefault="00D6042E" w:rsidP="00E43301">
      <w:pPr>
        <w:spacing w:line="360" w:lineRule="auto"/>
        <w:jc w:val="both"/>
        <w:rPr>
          <w:rFonts w:ascii="Arial" w:hAnsi="Arial" w:cs="Arial"/>
          <w:b/>
          <w:i/>
          <w:sz w:val="24"/>
          <w:szCs w:val="24"/>
        </w:rPr>
      </w:pPr>
      <w:r w:rsidRPr="00E43301">
        <w:rPr>
          <w:rFonts w:ascii="Arial" w:hAnsi="Arial" w:cs="Arial"/>
          <w:b/>
          <w:i/>
          <w:sz w:val="24"/>
          <w:szCs w:val="24"/>
        </w:rPr>
        <w:t>Applicability of the Act</w:t>
      </w:r>
    </w:p>
    <w:p w14:paraId="06165288" w14:textId="77777777" w:rsidR="00D6042E" w:rsidRPr="005B7D08" w:rsidRDefault="00E43301" w:rsidP="00E43301">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D6042E" w:rsidRPr="005B7D08">
        <w:rPr>
          <w:rFonts w:ascii="Arial" w:hAnsi="Arial" w:cs="Arial"/>
          <w:sz w:val="24"/>
          <w:szCs w:val="24"/>
        </w:rPr>
        <w:t>At the commencement of oral arguments, it was submitted that in this application, the applicant relied o</w:t>
      </w:r>
      <w:r w:rsidR="00434EA2">
        <w:rPr>
          <w:rFonts w:ascii="Arial" w:hAnsi="Arial" w:cs="Arial"/>
          <w:sz w:val="24"/>
          <w:szCs w:val="24"/>
        </w:rPr>
        <w:t>n</w:t>
      </w:r>
      <w:r w:rsidR="00D6042E" w:rsidRPr="005B7D08">
        <w:rPr>
          <w:rFonts w:ascii="Arial" w:hAnsi="Arial" w:cs="Arial"/>
          <w:sz w:val="24"/>
          <w:szCs w:val="24"/>
        </w:rPr>
        <w:t xml:space="preserve"> the repealed s 68(1)</w:t>
      </w:r>
      <w:r w:rsidR="00D6042E" w:rsidRPr="00BB4349">
        <w:rPr>
          <w:rFonts w:ascii="Arial" w:hAnsi="Arial" w:cs="Arial"/>
          <w:i/>
          <w:sz w:val="24"/>
          <w:szCs w:val="24"/>
        </w:rPr>
        <w:t xml:space="preserve">(d) </w:t>
      </w:r>
      <w:r w:rsidR="00D6042E" w:rsidRPr="005B7D08">
        <w:rPr>
          <w:rFonts w:ascii="Arial" w:hAnsi="Arial" w:cs="Arial"/>
          <w:sz w:val="24"/>
          <w:szCs w:val="24"/>
        </w:rPr>
        <w:t>of the Act, implying that the applicant’s case was founded on a non</w:t>
      </w:r>
      <w:r w:rsidR="005B7D08" w:rsidRPr="005B7D08">
        <w:rPr>
          <w:rFonts w:ascii="Arial" w:hAnsi="Arial" w:cs="Arial"/>
          <w:sz w:val="24"/>
          <w:szCs w:val="24"/>
        </w:rPr>
        <w:t>-</w:t>
      </w:r>
      <w:r w:rsidR="00CF2828" w:rsidRPr="005B7D08">
        <w:rPr>
          <w:rFonts w:ascii="Arial" w:hAnsi="Arial" w:cs="Arial"/>
          <w:sz w:val="24"/>
          <w:szCs w:val="24"/>
        </w:rPr>
        <w:t>existent</w:t>
      </w:r>
      <w:r w:rsidR="00D6042E" w:rsidRPr="005B7D08">
        <w:rPr>
          <w:rFonts w:ascii="Arial" w:hAnsi="Arial" w:cs="Arial"/>
          <w:sz w:val="24"/>
          <w:szCs w:val="24"/>
        </w:rPr>
        <w:t xml:space="preserve"> provision. </w:t>
      </w:r>
      <w:r w:rsidR="000E468E">
        <w:rPr>
          <w:rFonts w:ascii="Arial" w:hAnsi="Arial" w:cs="Arial"/>
          <w:sz w:val="24"/>
          <w:szCs w:val="24"/>
        </w:rPr>
        <w:t xml:space="preserve">It was </w:t>
      </w:r>
      <w:r w:rsidR="00F82EDD">
        <w:rPr>
          <w:rFonts w:ascii="Arial" w:hAnsi="Arial" w:cs="Arial"/>
          <w:sz w:val="24"/>
          <w:szCs w:val="24"/>
        </w:rPr>
        <w:t>also</w:t>
      </w:r>
      <w:r w:rsidR="000E468E">
        <w:rPr>
          <w:rFonts w:ascii="Arial" w:hAnsi="Arial" w:cs="Arial"/>
          <w:sz w:val="24"/>
          <w:szCs w:val="24"/>
        </w:rPr>
        <w:t xml:space="preserve"> </w:t>
      </w:r>
      <w:r w:rsidR="00F82EDD">
        <w:rPr>
          <w:rFonts w:ascii="Arial" w:hAnsi="Arial" w:cs="Arial"/>
          <w:sz w:val="24"/>
          <w:szCs w:val="24"/>
        </w:rPr>
        <w:t xml:space="preserve">recorded that the applicant </w:t>
      </w:r>
      <w:r w:rsidR="00A14151">
        <w:rPr>
          <w:rFonts w:ascii="Arial" w:hAnsi="Arial" w:cs="Arial"/>
          <w:sz w:val="24"/>
          <w:szCs w:val="24"/>
        </w:rPr>
        <w:t>referred</w:t>
      </w:r>
      <w:r w:rsidR="00F82EDD">
        <w:rPr>
          <w:rFonts w:ascii="Arial" w:hAnsi="Arial" w:cs="Arial"/>
          <w:sz w:val="24"/>
          <w:szCs w:val="24"/>
        </w:rPr>
        <w:t xml:space="preserve"> to s81 of the Companies Act</w:t>
      </w:r>
      <w:r w:rsidR="00434EA2">
        <w:rPr>
          <w:rFonts w:ascii="Arial" w:hAnsi="Arial" w:cs="Arial"/>
          <w:sz w:val="24"/>
          <w:szCs w:val="24"/>
        </w:rPr>
        <w:t xml:space="preserve"> </w:t>
      </w:r>
      <w:r w:rsidR="00F82EDD">
        <w:rPr>
          <w:rFonts w:ascii="Arial" w:hAnsi="Arial" w:cs="Arial"/>
          <w:sz w:val="24"/>
          <w:szCs w:val="24"/>
        </w:rPr>
        <w:t xml:space="preserve">for the first time in </w:t>
      </w:r>
      <w:r w:rsidR="00434EA2">
        <w:rPr>
          <w:rFonts w:ascii="Arial" w:hAnsi="Arial" w:cs="Arial"/>
          <w:sz w:val="24"/>
          <w:szCs w:val="24"/>
        </w:rPr>
        <w:t xml:space="preserve">her </w:t>
      </w:r>
      <w:r w:rsidR="00F82EDD">
        <w:rPr>
          <w:rFonts w:ascii="Arial" w:hAnsi="Arial" w:cs="Arial"/>
          <w:sz w:val="24"/>
          <w:szCs w:val="24"/>
        </w:rPr>
        <w:t xml:space="preserve">heads of arguments. </w:t>
      </w:r>
    </w:p>
    <w:p w14:paraId="2168E9F9" w14:textId="77777777" w:rsidR="005B7D08" w:rsidRPr="005B7D08" w:rsidRDefault="005B7D08" w:rsidP="00F57A2E">
      <w:pPr>
        <w:spacing w:after="0" w:line="360" w:lineRule="auto"/>
        <w:jc w:val="both"/>
        <w:rPr>
          <w:rFonts w:ascii="Arial" w:hAnsi="Arial" w:cs="Arial"/>
          <w:sz w:val="24"/>
          <w:szCs w:val="24"/>
        </w:rPr>
      </w:pPr>
    </w:p>
    <w:p w14:paraId="50E4C2A2" w14:textId="77777777" w:rsidR="00244940" w:rsidRDefault="00E43301" w:rsidP="00E43301">
      <w:pPr>
        <w:spacing w:after="0" w:line="360" w:lineRule="auto"/>
        <w:jc w:val="both"/>
        <w:rPr>
          <w:rFonts w:ascii="Arial" w:hAnsi="Arial" w:cs="Arial"/>
          <w:sz w:val="24"/>
          <w:szCs w:val="24"/>
        </w:rPr>
      </w:pPr>
      <w:r>
        <w:rPr>
          <w:rFonts w:ascii="Arial" w:hAnsi="Arial" w:cs="Arial"/>
          <w:sz w:val="24"/>
          <w:szCs w:val="24"/>
        </w:rPr>
        <w:lastRenderedPageBreak/>
        <w:t>[55]</w:t>
      </w:r>
      <w:r>
        <w:rPr>
          <w:rFonts w:ascii="Arial" w:hAnsi="Arial" w:cs="Arial"/>
          <w:sz w:val="24"/>
          <w:szCs w:val="24"/>
        </w:rPr>
        <w:tab/>
      </w:r>
      <w:r w:rsidR="00F82EDD">
        <w:rPr>
          <w:rFonts w:ascii="Arial" w:hAnsi="Arial" w:cs="Arial"/>
          <w:sz w:val="24"/>
          <w:szCs w:val="24"/>
        </w:rPr>
        <w:t>The specif</w:t>
      </w:r>
      <w:r w:rsidR="00812D8A">
        <w:rPr>
          <w:rFonts w:ascii="Arial" w:hAnsi="Arial" w:cs="Arial"/>
          <w:sz w:val="24"/>
          <w:szCs w:val="24"/>
        </w:rPr>
        <w:t>i</w:t>
      </w:r>
      <w:r w:rsidR="00F82EDD">
        <w:rPr>
          <w:rFonts w:ascii="Arial" w:hAnsi="Arial" w:cs="Arial"/>
          <w:sz w:val="24"/>
          <w:szCs w:val="24"/>
        </w:rPr>
        <w:t xml:space="preserve">c averment referred to in the first respondent’s submission </w:t>
      </w:r>
      <w:r w:rsidR="00812D8A">
        <w:rPr>
          <w:rFonts w:ascii="Arial" w:hAnsi="Arial" w:cs="Arial"/>
          <w:sz w:val="24"/>
          <w:szCs w:val="24"/>
        </w:rPr>
        <w:t>is contained</w:t>
      </w:r>
      <w:r w:rsidR="00F82EDD">
        <w:rPr>
          <w:rFonts w:ascii="Arial" w:hAnsi="Arial" w:cs="Arial"/>
          <w:sz w:val="24"/>
          <w:szCs w:val="24"/>
        </w:rPr>
        <w:t xml:space="preserve"> in paragraph 6 of the applicant’s founding affidavit, </w:t>
      </w:r>
      <w:r w:rsidR="00434EA2">
        <w:rPr>
          <w:rFonts w:ascii="Arial" w:hAnsi="Arial" w:cs="Arial"/>
          <w:sz w:val="24"/>
          <w:szCs w:val="24"/>
        </w:rPr>
        <w:t>which</w:t>
      </w:r>
      <w:r w:rsidR="00F82EDD">
        <w:rPr>
          <w:rFonts w:ascii="Arial" w:hAnsi="Arial" w:cs="Arial"/>
          <w:sz w:val="24"/>
          <w:szCs w:val="24"/>
        </w:rPr>
        <w:t xml:space="preserve"> reads: </w:t>
      </w:r>
    </w:p>
    <w:p w14:paraId="730B9E22" w14:textId="77777777" w:rsidR="00812D8A" w:rsidRPr="00244940" w:rsidRDefault="00244940" w:rsidP="00E43301">
      <w:pPr>
        <w:spacing w:after="0" w:line="360" w:lineRule="auto"/>
        <w:jc w:val="both"/>
        <w:rPr>
          <w:rFonts w:ascii="Arial" w:hAnsi="Arial" w:cs="Arial"/>
        </w:rPr>
      </w:pPr>
      <w:r>
        <w:rPr>
          <w:rFonts w:ascii="Arial" w:hAnsi="Arial" w:cs="Arial"/>
        </w:rPr>
        <w:t>‘</w:t>
      </w:r>
      <w:r w:rsidR="00812D8A" w:rsidRPr="00244940">
        <w:rPr>
          <w:rFonts w:ascii="Arial" w:hAnsi="Arial" w:cs="Arial"/>
        </w:rPr>
        <w:t>This is an application for the winding up of the First Respondent (hereinafter referred to as “the Corporation”), in terms of section 68 of the Close Corporation Act 69 of 1984, read with Schedule 9 Item 5 of the Companies Act 71 of 2008.</w:t>
      </w:r>
      <w:r>
        <w:rPr>
          <w:rFonts w:ascii="Arial" w:hAnsi="Arial" w:cs="Arial"/>
        </w:rPr>
        <w:t>’</w:t>
      </w:r>
    </w:p>
    <w:p w14:paraId="1FBE8407" w14:textId="77777777" w:rsidR="00812D8A" w:rsidRPr="00812D8A" w:rsidRDefault="00812D8A" w:rsidP="00F57A2E">
      <w:pPr>
        <w:spacing w:after="0" w:line="360" w:lineRule="auto"/>
        <w:jc w:val="both"/>
        <w:rPr>
          <w:rFonts w:ascii="Arial" w:hAnsi="Arial" w:cs="Arial"/>
          <w:sz w:val="24"/>
          <w:szCs w:val="24"/>
        </w:rPr>
      </w:pPr>
    </w:p>
    <w:p w14:paraId="6ADBB5D1" w14:textId="77777777" w:rsidR="00244940" w:rsidRDefault="00E43301" w:rsidP="00E43301">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2C107F">
        <w:rPr>
          <w:rFonts w:ascii="Arial" w:hAnsi="Arial" w:cs="Arial"/>
          <w:sz w:val="24"/>
          <w:szCs w:val="24"/>
        </w:rPr>
        <w:t>C</w:t>
      </w:r>
      <w:r w:rsidR="00A37AE4">
        <w:rPr>
          <w:rFonts w:ascii="Arial" w:hAnsi="Arial" w:cs="Arial"/>
          <w:sz w:val="24"/>
          <w:szCs w:val="24"/>
        </w:rPr>
        <w:t xml:space="preserve">ertain </w:t>
      </w:r>
      <w:r w:rsidR="002C107F">
        <w:rPr>
          <w:rFonts w:ascii="Arial" w:hAnsi="Arial" w:cs="Arial"/>
          <w:sz w:val="24"/>
          <w:szCs w:val="24"/>
        </w:rPr>
        <w:t xml:space="preserve">sections </w:t>
      </w:r>
      <w:r w:rsidR="00A37AE4">
        <w:rPr>
          <w:rFonts w:ascii="Arial" w:hAnsi="Arial" w:cs="Arial"/>
          <w:sz w:val="24"/>
          <w:szCs w:val="24"/>
        </w:rPr>
        <w:t xml:space="preserve">of </w:t>
      </w:r>
      <w:r w:rsidR="00D6042E" w:rsidRPr="005B7D08">
        <w:rPr>
          <w:rFonts w:ascii="Arial" w:hAnsi="Arial" w:cs="Arial"/>
          <w:sz w:val="24"/>
          <w:szCs w:val="24"/>
        </w:rPr>
        <w:t>the Act w</w:t>
      </w:r>
      <w:r w:rsidR="00A37AE4">
        <w:rPr>
          <w:rFonts w:ascii="Arial" w:hAnsi="Arial" w:cs="Arial"/>
          <w:sz w:val="24"/>
          <w:szCs w:val="24"/>
        </w:rPr>
        <w:t>ere</w:t>
      </w:r>
      <w:r w:rsidR="00D6042E" w:rsidRPr="005B7D08">
        <w:rPr>
          <w:rFonts w:ascii="Arial" w:hAnsi="Arial" w:cs="Arial"/>
          <w:sz w:val="24"/>
          <w:szCs w:val="24"/>
        </w:rPr>
        <w:t xml:space="preserve"> repealed </w:t>
      </w:r>
      <w:r w:rsidR="005B7D08" w:rsidRPr="005B7D08">
        <w:rPr>
          <w:rFonts w:ascii="Arial" w:hAnsi="Arial" w:cs="Arial"/>
          <w:sz w:val="24"/>
          <w:szCs w:val="24"/>
        </w:rPr>
        <w:t>and, in some instances,</w:t>
      </w:r>
      <w:r w:rsidR="00F06D42" w:rsidRPr="005B7D08">
        <w:rPr>
          <w:rFonts w:ascii="Arial" w:hAnsi="Arial" w:cs="Arial"/>
          <w:sz w:val="24"/>
          <w:szCs w:val="24"/>
        </w:rPr>
        <w:t xml:space="preserve"> amended</w:t>
      </w:r>
      <w:r w:rsidR="00D6042E" w:rsidRPr="005B7D08">
        <w:rPr>
          <w:rFonts w:ascii="Arial" w:hAnsi="Arial" w:cs="Arial"/>
          <w:sz w:val="24"/>
          <w:szCs w:val="24"/>
        </w:rPr>
        <w:t xml:space="preserve"> by the </w:t>
      </w:r>
      <w:r w:rsidR="00812D8A">
        <w:rPr>
          <w:rFonts w:ascii="Arial" w:hAnsi="Arial" w:cs="Arial"/>
          <w:sz w:val="24"/>
          <w:szCs w:val="24"/>
        </w:rPr>
        <w:t>C</w:t>
      </w:r>
      <w:r w:rsidR="00D6042E" w:rsidRPr="005B7D08">
        <w:rPr>
          <w:rFonts w:ascii="Arial" w:hAnsi="Arial" w:cs="Arial"/>
          <w:sz w:val="24"/>
          <w:szCs w:val="24"/>
        </w:rPr>
        <w:t>ompanies Act on 1 May 2011.</w:t>
      </w:r>
      <w:r w:rsidR="00F06D42" w:rsidRPr="005B7D08">
        <w:rPr>
          <w:rFonts w:ascii="Arial" w:hAnsi="Arial" w:cs="Arial"/>
          <w:sz w:val="24"/>
          <w:szCs w:val="24"/>
        </w:rPr>
        <w:t xml:space="preserve"> The</w:t>
      </w:r>
      <w:r w:rsidR="007F4A1E">
        <w:rPr>
          <w:rFonts w:ascii="Arial" w:hAnsi="Arial" w:cs="Arial"/>
          <w:sz w:val="24"/>
          <w:szCs w:val="24"/>
        </w:rPr>
        <w:t>re were</w:t>
      </w:r>
      <w:r w:rsidR="00F06D42" w:rsidRPr="005B7D08">
        <w:rPr>
          <w:rFonts w:ascii="Arial" w:hAnsi="Arial" w:cs="Arial"/>
          <w:sz w:val="24"/>
          <w:szCs w:val="24"/>
        </w:rPr>
        <w:t xml:space="preserve"> significant amendments </w:t>
      </w:r>
      <w:r w:rsidR="00941DDC">
        <w:rPr>
          <w:rFonts w:ascii="Arial" w:hAnsi="Arial" w:cs="Arial"/>
          <w:sz w:val="24"/>
          <w:szCs w:val="24"/>
        </w:rPr>
        <w:t>to close corporations</w:t>
      </w:r>
      <w:r w:rsidR="007F4A1E">
        <w:rPr>
          <w:rFonts w:ascii="Arial" w:hAnsi="Arial" w:cs="Arial"/>
          <w:sz w:val="24"/>
          <w:szCs w:val="24"/>
        </w:rPr>
        <w:t xml:space="preserve">, two of which are </w:t>
      </w:r>
      <w:r w:rsidR="002C107F">
        <w:rPr>
          <w:rFonts w:ascii="Arial" w:hAnsi="Arial" w:cs="Arial"/>
          <w:sz w:val="24"/>
          <w:szCs w:val="24"/>
        </w:rPr>
        <w:t>as follows</w:t>
      </w:r>
      <w:r w:rsidR="00F06D42" w:rsidRPr="005B7D08">
        <w:rPr>
          <w:rFonts w:ascii="Arial" w:hAnsi="Arial" w:cs="Arial"/>
          <w:sz w:val="24"/>
          <w:szCs w:val="24"/>
        </w:rPr>
        <w:t>:</w:t>
      </w:r>
      <w:r w:rsidR="00244940" w:rsidRPr="00244940">
        <w:rPr>
          <w:rStyle w:val="FootnoteReference"/>
          <w:rFonts w:ascii="Arial" w:hAnsi="Arial" w:cs="Arial"/>
          <w:sz w:val="24"/>
          <w:szCs w:val="24"/>
        </w:rPr>
        <w:t xml:space="preserve"> </w:t>
      </w:r>
      <w:r w:rsidR="00244940" w:rsidRPr="005B7D08">
        <w:rPr>
          <w:rStyle w:val="FootnoteReference"/>
          <w:rFonts w:ascii="Arial" w:hAnsi="Arial" w:cs="Arial"/>
          <w:sz w:val="24"/>
          <w:szCs w:val="24"/>
        </w:rPr>
        <w:footnoteReference w:id="14"/>
      </w:r>
    </w:p>
    <w:p w14:paraId="09DAF263" w14:textId="77777777" w:rsidR="000B614E" w:rsidRDefault="00F213EB" w:rsidP="000B614E">
      <w:pPr>
        <w:spacing w:after="0" w:line="360" w:lineRule="auto"/>
        <w:ind w:left="720" w:hanging="720"/>
        <w:jc w:val="both"/>
        <w:rPr>
          <w:rFonts w:ascii="Arial" w:hAnsi="Arial" w:cs="Arial"/>
        </w:rPr>
      </w:pPr>
      <w:r w:rsidRPr="00244940">
        <w:rPr>
          <w:rFonts w:ascii="Arial" w:hAnsi="Arial" w:cs="Arial"/>
        </w:rPr>
        <w:t>‘</w:t>
      </w:r>
      <w:r w:rsidR="00B571AD">
        <w:rPr>
          <w:rFonts w:ascii="Arial" w:hAnsi="Arial" w:cs="Arial"/>
        </w:rPr>
        <w:t>1.</w:t>
      </w:r>
      <w:r w:rsidR="00B571AD">
        <w:rPr>
          <w:rFonts w:ascii="Arial" w:hAnsi="Arial" w:cs="Arial"/>
        </w:rPr>
        <w:tab/>
        <w:t>A</w:t>
      </w:r>
      <w:r w:rsidR="00F06D42" w:rsidRPr="00244940">
        <w:rPr>
          <w:rFonts w:ascii="Arial" w:hAnsi="Arial" w:cs="Arial"/>
        </w:rPr>
        <w:t>ll close corporations that existed when the Companies Act, 2008 became effective can continue indefinitely, and do not have to be converted into companies. The Close Corporation</w:t>
      </w:r>
      <w:r w:rsidR="00244940" w:rsidRPr="00244940">
        <w:rPr>
          <w:rFonts w:ascii="Arial" w:hAnsi="Arial" w:cs="Arial"/>
        </w:rPr>
        <w:t>s</w:t>
      </w:r>
      <w:r w:rsidR="00F06D42" w:rsidRPr="00244940">
        <w:rPr>
          <w:rFonts w:ascii="Arial" w:hAnsi="Arial" w:cs="Arial"/>
        </w:rPr>
        <w:t xml:space="preserve"> Act will continue to govern existing </w:t>
      </w:r>
      <w:r w:rsidR="00244940" w:rsidRPr="00244940">
        <w:rPr>
          <w:rFonts w:ascii="Arial" w:hAnsi="Arial" w:cs="Arial"/>
        </w:rPr>
        <w:t>c</w:t>
      </w:r>
      <w:r w:rsidR="00F06D42" w:rsidRPr="00244940">
        <w:rPr>
          <w:rFonts w:ascii="Arial" w:hAnsi="Arial" w:cs="Arial"/>
        </w:rPr>
        <w:t xml:space="preserve">lose </w:t>
      </w:r>
      <w:r w:rsidR="00244940" w:rsidRPr="00244940">
        <w:rPr>
          <w:rFonts w:ascii="Arial" w:hAnsi="Arial" w:cs="Arial"/>
        </w:rPr>
        <w:t>c</w:t>
      </w:r>
      <w:r w:rsidR="00F06D42" w:rsidRPr="00244940">
        <w:rPr>
          <w:rFonts w:ascii="Arial" w:hAnsi="Arial" w:cs="Arial"/>
        </w:rPr>
        <w:t>orporations</w:t>
      </w:r>
      <w:r w:rsidRPr="00244940">
        <w:rPr>
          <w:rFonts w:ascii="Arial" w:hAnsi="Arial" w:cs="Arial"/>
        </w:rPr>
        <w:t xml:space="preserve"> indefinitely</w:t>
      </w:r>
      <w:r w:rsidR="00F06D42" w:rsidRPr="00244940">
        <w:rPr>
          <w:rFonts w:ascii="Arial" w:hAnsi="Arial" w:cs="Arial"/>
        </w:rPr>
        <w:t xml:space="preserve">. However, no new close corporations can be formed and no companies can be converted into close corporations. </w:t>
      </w:r>
    </w:p>
    <w:p w14:paraId="2F918354" w14:textId="77777777" w:rsidR="00D6042E" w:rsidRPr="00244940" w:rsidRDefault="000B614E" w:rsidP="000B614E">
      <w:pPr>
        <w:spacing w:after="0" w:line="360" w:lineRule="auto"/>
        <w:ind w:left="720" w:hanging="720"/>
        <w:jc w:val="both"/>
        <w:rPr>
          <w:rFonts w:ascii="Arial" w:hAnsi="Arial" w:cs="Arial"/>
        </w:rPr>
      </w:pPr>
      <w:r>
        <w:rPr>
          <w:rFonts w:ascii="Arial" w:hAnsi="Arial" w:cs="Arial"/>
        </w:rPr>
        <w:t>2.</w:t>
      </w:r>
      <w:r>
        <w:rPr>
          <w:rFonts w:ascii="Arial" w:hAnsi="Arial" w:cs="Arial"/>
        </w:rPr>
        <w:tab/>
      </w:r>
      <w:r w:rsidR="00F06D42" w:rsidRPr="00244940">
        <w:rPr>
          <w:rFonts w:ascii="Arial" w:hAnsi="Arial" w:cs="Arial"/>
        </w:rPr>
        <w:t>Schedule 2 of the Companies Act, 2008 provides for the steps to be taken when close corporations are converted to companies</w:t>
      </w:r>
      <w:r>
        <w:rPr>
          <w:rFonts w:ascii="Arial" w:hAnsi="Arial" w:cs="Arial"/>
        </w:rPr>
        <w:t>…</w:t>
      </w:r>
      <w:r w:rsidR="00F213EB" w:rsidRPr="00244940">
        <w:rPr>
          <w:rFonts w:ascii="Arial" w:hAnsi="Arial" w:cs="Arial"/>
        </w:rPr>
        <w:t>’</w:t>
      </w:r>
    </w:p>
    <w:p w14:paraId="7C67EC4D" w14:textId="77777777" w:rsidR="00912060" w:rsidRPr="00912060" w:rsidRDefault="00912060" w:rsidP="00F57A2E">
      <w:pPr>
        <w:spacing w:after="0" w:line="360" w:lineRule="auto"/>
        <w:jc w:val="both"/>
        <w:rPr>
          <w:rFonts w:ascii="Arial" w:hAnsi="Arial" w:cs="Arial"/>
          <w:sz w:val="24"/>
          <w:szCs w:val="24"/>
        </w:rPr>
      </w:pPr>
    </w:p>
    <w:p w14:paraId="39E14E6B" w14:textId="77777777" w:rsidR="00912060" w:rsidRDefault="00E43301" w:rsidP="00E43301">
      <w:pPr>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912060">
        <w:rPr>
          <w:rFonts w:ascii="Arial" w:hAnsi="Arial" w:cs="Arial"/>
          <w:sz w:val="24"/>
          <w:szCs w:val="24"/>
        </w:rPr>
        <w:t xml:space="preserve">Section 68 of the Act was expressly repealed by </w:t>
      </w:r>
      <w:r w:rsidR="005B2510">
        <w:rPr>
          <w:rFonts w:ascii="Arial" w:hAnsi="Arial" w:cs="Arial"/>
          <w:sz w:val="24"/>
          <w:szCs w:val="24"/>
        </w:rPr>
        <w:t>s 224(2)</w:t>
      </w:r>
      <w:r w:rsidR="00051D28">
        <w:rPr>
          <w:rFonts w:ascii="Arial" w:hAnsi="Arial" w:cs="Arial"/>
          <w:sz w:val="24"/>
          <w:szCs w:val="24"/>
        </w:rPr>
        <w:t xml:space="preserve"> </w:t>
      </w:r>
      <w:r w:rsidR="005B2510">
        <w:rPr>
          <w:rFonts w:ascii="Arial" w:hAnsi="Arial" w:cs="Arial"/>
          <w:sz w:val="24"/>
          <w:szCs w:val="24"/>
        </w:rPr>
        <w:t>of the Companies Act.</w:t>
      </w:r>
      <w:r w:rsidR="00912060">
        <w:rPr>
          <w:rFonts w:ascii="Arial" w:hAnsi="Arial" w:cs="Arial"/>
          <w:sz w:val="24"/>
          <w:szCs w:val="24"/>
        </w:rPr>
        <w:t xml:space="preserve"> </w:t>
      </w:r>
      <w:r w:rsidR="005B37DB">
        <w:rPr>
          <w:rFonts w:ascii="Arial" w:hAnsi="Arial" w:cs="Arial"/>
          <w:sz w:val="24"/>
          <w:szCs w:val="24"/>
        </w:rPr>
        <w:t xml:space="preserve">While </w:t>
      </w:r>
      <w:r w:rsidR="00051D28">
        <w:rPr>
          <w:rFonts w:ascii="Arial" w:hAnsi="Arial" w:cs="Arial"/>
          <w:sz w:val="24"/>
          <w:szCs w:val="24"/>
        </w:rPr>
        <w:t>t</w:t>
      </w:r>
      <w:r w:rsidR="005B2510">
        <w:rPr>
          <w:rFonts w:ascii="Arial" w:hAnsi="Arial" w:cs="Arial"/>
          <w:sz w:val="24"/>
          <w:szCs w:val="24"/>
        </w:rPr>
        <w:t xml:space="preserve">he answering affidavit </w:t>
      </w:r>
      <w:r w:rsidR="00912060">
        <w:rPr>
          <w:rFonts w:ascii="Arial" w:hAnsi="Arial" w:cs="Arial"/>
          <w:sz w:val="24"/>
          <w:szCs w:val="24"/>
        </w:rPr>
        <w:t>deal</w:t>
      </w:r>
      <w:r w:rsidR="005B2510">
        <w:rPr>
          <w:rFonts w:ascii="Arial" w:hAnsi="Arial" w:cs="Arial"/>
          <w:sz w:val="24"/>
          <w:szCs w:val="24"/>
        </w:rPr>
        <w:t>t</w:t>
      </w:r>
      <w:r w:rsidR="00912060">
        <w:rPr>
          <w:rFonts w:ascii="Arial" w:hAnsi="Arial" w:cs="Arial"/>
          <w:sz w:val="24"/>
          <w:szCs w:val="24"/>
        </w:rPr>
        <w:t xml:space="preserve"> specifically with </w:t>
      </w:r>
      <w:r w:rsidR="005B2510">
        <w:rPr>
          <w:rFonts w:ascii="Arial" w:hAnsi="Arial" w:cs="Arial"/>
          <w:sz w:val="24"/>
          <w:szCs w:val="24"/>
        </w:rPr>
        <w:t xml:space="preserve">averments </w:t>
      </w:r>
      <w:r w:rsidR="005B37DB">
        <w:rPr>
          <w:rFonts w:ascii="Arial" w:hAnsi="Arial" w:cs="Arial"/>
          <w:sz w:val="24"/>
          <w:szCs w:val="24"/>
        </w:rPr>
        <w:t>contained</w:t>
      </w:r>
      <w:r w:rsidR="00912060">
        <w:rPr>
          <w:rFonts w:ascii="Arial" w:hAnsi="Arial" w:cs="Arial"/>
          <w:sz w:val="24"/>
          <w:szCs w:val="24"/>
        </w:rPr>
        <w:t xml:space="preserve"> </w:t>
      </w:r>
      <w:r w:rsidR="005B37DB">
        <w:rPr>
          <w:rFonts w:ascii="Arial" w:hAnsi="Arial" w:cs="Arial"/>
          <w:sz w:val="24"/>
          <w:szCs w:val="24"/>
        </w:rPr>
        <w:t xml:space="preserve">in </w:t>
      </w:r>
      <w:r w:rsidR="00912060">
        <w:rPr>
          <w:rFonts w:ascii="Arial" w:hAnsi="Arial" w:cs="Arial"/>
          <w:sz w:val="24"/>
          <w:szCs w:val="24"/>
        </w:rPr>
        <w:t xml:space="preserve">the </w:t>
      </w:r>
      <w:r w:rsidR="005B2510">
        <w:rPr>
          <w:rFonts w:ascii="Arial" w:hAnsi="Arial" w:cs="Arial"/>
          <w:sz w:val="24"/>
          <w:szCs w:val="24"/>
        </w:rPr>
        <w:t>founding affidavit,</w:t>
      </w:r>
      <w:r w:rsidR="00912060">
        <w:rPr>
          <w:rFonts w:ascii="Arial" w:hAnsi="Arial" w:cs="Arial"/>
          <w:sz w:val="24"/>
          <w:szCs w:val="24"/>
        </w:rPr>
        <w:t xml:space="preserve"> </w:t>
      </w:r>
      <w:r w:rsidR="005B2510">
        <w:rPr>
          <w:rFonts w:ascii="Arial" w:hAnsi="Arial" w:cs="Arial"/>
          <w:sz w:val="24"/>
          <w:szCs w:val="24"/>
        </w:rPr>
        <w:t>there was no answer to</w:t>
      </w:r>
      <w:r w:rsidR="00912060">
        <w:rPr>
          <w:rFonts w:ascii="Arial" w:hAnsi="Arial" w:cs="Arial"/>
          <w:sz w:val="24"/>
          <w:szCs w:val="24"/>
        </w:rPr>
        <w:t xml:space="preserve"> the allegations made in paragraph 6 of the founding affidavit. Notabl</w:t>
      </w:r>
      <w:r w:rsidR="005B37DB">
        <w:rPr>
          <w:rFonts w:ascii="Arial" w:hAnsi="Arial" w:cs="Arial"/>
          <w:sz w:val="24"/>
          <w:szCs w:val="24"/>
        </w:rPr>
        <w:t>y</w:t>
      </w:r>
      <w:r w:rsidR="00912060">
        <w:rPr>
          <w:rFonts w:ascii="Arial" w:hAnsi="Arial" w:cs="Arial"/>
          <w:sz w:val="24"/>
          <w:szCs w:val="24"/>
        </w:rPr>
        <w:t xml:space="preserve">, when the first respondent answered to specific averments </w:t>
      </w:r>
      <w:r w:rsidR="005B2510">
        <w:rPr>
          <w:rFonts w:ascii="Arial" w:hAnsi="Arial" w:cs="Arial"/>
          <w:sz w:val="24"/>
          <w:szCs w:val="24"/>
        </w:rPr>
        <w:t>that ma</w:t>
      </w:r>
      <w:r w:rsidR="00101617">
        <w:rPr>
          <w:rFonts w:ascii="Arial" w:hAnsi="Arial" w:cs="Arial"/>
          <w:sz w:val="24"/>
          <w:szCs w:val="24"/>
        </w:rPr>
        <w:t>d</w:t>
      </w:r>
      <w:r w:rsidR="005B2510">
        <w:rPr>
          <w:rFonts w:ascii="Arial" w:hAnsi="Arial" w:cs="Arial"/>
          <w:sz w:val="24"/>
          <w:szCs w:val="24"/>
        </w:rPr>
        <w:t xml:space="preserve">e mention of </w:t>
      </w:r>
      <w:r w:rsidR="005B37DB">
        <w:rPr>
          <w:rFonts w:ascii="Arial" w:hAnsi="Arial" w:cs="Arial"/>
          <w:sz w:val="24"/>
          <w:szCs w:val="24"/>
        </w:rPr>
        <w:t xml:space="preserve">a </w:t>
      </w:r>
      <w:r w:rsidR="005B2510">
        <w:rPr>
          <w:rFonts w:ascii="Arial" w:hAnsi="Arial" w:cs="Arial"/>
          <w:sz w:val="24"/>
          <w:szCs w:val="24"/>
        </w:rPr>
        <w:t xml:space="preserve">reliance </w:t>
      </w:r>
      <w:r w:rsidR="005B37DB">
        <w:rPr>
          <w:rFonts w:ascii="Arial" w:hAnsi="Arial" w:cs="Arial"/>
          <w:sz w:val="24"/>
          <w:szCs w:val="24"/>
        </w:rPr>
        <w:t>on</w:t>
      </w:r>
      <w:r w:rsidR="005B2510">
        <w:rPr>
          <w:rFonts w:ascii="Arial" w:hAnsi="Arial" w:cs="Arial"/>
          <w:sz w:val="24"/>
          <w:szCs w:val="24"/>
        </w:rPr>
        <w:t xml:space="preserve"> s</w:t>
      </w:r>
      <w:r w:rsidR="00244940">
        <w:rPr>
          <w:rFonts w:ascii="Arial" w:hAnsi="Arial" w:cs="Arial"/>
          <w:sz w:val="24"/>
          <w:szCs w:val="24"/>
        </w:rPr>
        <w:t xml:space="preserve"> </w:t>
      </w:r>
      <w:r w:rsidR="005B2510">
        <w:rPr>
          <w:rFonts w:ascii="Arial" w:hAnsi="Arial" w:cs="Arial"/>
          <w:sz w:val="24"/>
          <w:szCs w:val="24"/>
        </w:rPr>
        <w:t>68 of the Act</w:t>
      </w:r>
      <w:r w:rsidR="00912060">
        <w:rPr>
          <w:rFonts w:ascii="Arial" w:hAnsi="Arial" w:cs="Arial"/>
          <w:sz w:val="24"/>
          <w:szCs w:val="24"/>
        </w:rPr>
        <w:t>,</w:t>
      </w:r>
      <w:r w:rsidR="005B2510">
        <w:rPr>
          <w:rFonts w:ascii="Arial" w:hAnsi="Arial" w:cs="Arial"/>
          <w:sz w:val="24"/>
          <w:szCs w:val="24"/>
        </w:rPr>
        <w:t xml:space="preserve"> </w:t>
      </w:r>
      <w:r w:rsidR="005B37DB">
        <w:rPr>
          <w:rFonts w:ascii="Arial" w:hAnsi="Arial" w:cs="Arial"/>
          <w:sz w:val="24"/>
          <w:szCs w:val="24"/>
        </w:rPr>
        <w:t xml:space="preserve">she </w:t>
      </w:r>
      <w:r w:rsidR="005B2510">
        <w:rPr>
          <w:rFonts w:ascii="Arial" w:hAnsi="Arial" w:cs="Arial"/>
          <w:sz w:val="24"/>
          <w:szCs w:val="24"/>
        </w:rPr>
        <w:t xml:space="preserve">opted </w:t>
      </w:r>
      <w:r w:rsidR="00051D28">
        <w:rPr>
          <w:rFonts w:ascii="Arial" w:hAnsi="Arial" w:cs="Arial"/>
          <w:sz w:val="24"/>
          <w:szCs w:val="24"/>
        </w:rPr>
        <w:t>not to answer to paragraph 6</w:t>
      </w:r>
    </w:p>
    <w:p w14:paraId="138A2FDF" w14:textId="77777777" w:rsidR="00912060" w:rsidRPr="00912060" w:rsidRDefault="00912060" w:rsidP="00F57A2E">
      <w:pPr>
        <w:spacing w:after="0" w:line="360" w:lineRule="auto"/>
        <w:jc w:val="both"/>
        <w:rPr>
          <w:rFonts w:ascii="Arial" w:hAnsi="Arial" w:cs="Arial"/>
          <w:sz w:val="24"/>
          <w:szCs w:val="24"/>
        </w:rPr>
      </w:pPr>
    </w:p>
    <w:p w14:paraId="375B3F0D" w14:textId="77777777" w:rsidR="00DD603E" w:rsidRDefault="00E43301" w:rsidP="00E43301">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2976B4">
        <w:rPr>
          <w:rFonts w:ascii="Arial" w:hAnsi="Arial" w:cs="Arial"/>
          <w:sz w:val="24"/>
          <w:szCs w:val="24"/>
        </w:rPr>
        <w:t xml:space="preserve">A </w:t>
      </w:r>
      <w:r w:rsidR="00051D28">
        <w:rPr>
          <w:rFonts w:ascii="Arial" w:hAnsi="Arial" w:cs="Arial"/>
          <w:sz w:val="24"/>
          <w:szCs w:val="24"/>
        </w:rPr>
        <w:t xml:space="preserve">perusal </w:t>
      </w:r>
      <w:r w:rsidR="00155AA0">
        <w:rPr>
          <w:rFonts w:ascii="Arial" w:hAnsi="Arial" w:cs="Arial"/>
          <w:sz w:val="24"/>
          <w:szCs w:val="24"/>
        </w:rPr>
        <w:t xml:space="preserve">of </w:t>
      </w:r>
      <w:r w:rsidR="00912060">
        <w:rPr>
          <w:rFonts w:ascii="Arial" w:hAnsi="Arial" w:cs="Arial"/>
          <w:sz w:val="24"/>
          <w:szCs w:val="24"/>
        </w:rPr>
        <w:t xml:space="preserve">the first respondent’s </w:t>
      </w:r>
      <w:r w:rsidR="002976B4">
        <w:rPr>
          <w:rFonts w:ascii="Arial" w:hAnsi="Arial" w:cs="Arial"/>
          <w:sz w:val="24"/>
          <w:szCs w:val="24"/>
        </w:rPr>
        <w:t xml:space="preserve">heads of argument shows that the repealed s 68 was expressly referred to </w:t>
      </w:r>
      <w:r w:rsidR="005B37DB">
        <w:rPr>
          <w:rFonts w:ascii="Arial" w:hAnsi="Arial" w:cs="Arial"/>
          <w:sz w:val="24"/>
          <w:szCs w:val="24"/>
        </w:rPr>
        <w:t>in</w:t>
      </w:r>
      <w:r w:rsidR="002976B4">
        <w:rPr>
          <w:rFonts w:ascii="Arial" w:hAnsi="Arial" w:cs="Arial"/>
          <w:sz w:val="24"/>
          <w:szCs w:val="24"/>
        </w:rPr>
        <w:t xml:space="preserve"> paragraph 2</w:t>
      </w:r>
      <w:r w:rsidR="005B2510">
        <w:rPr>
          <w:rFonts w:ascii="Arial" w:hAnsi="Arial" w:cs="Arial"/>
          <w:sz w:val="24"/>
          <w:szCs w:val="24"/>
        </w:rPr>
        <w:t>, with no mention that it was a repealed provision</w:t>
      </w:r>
      <w:r w:rsidR="002976B4">
        <w:rPr>
          <w:rFonts w:ascii="Arial" w:hAnsi="Arial" w:cs="Arial"/>
          <w:sz w:val="24"/>
          <w:szCs w:val="24"/>
        </w:rPr>
        <w:t>. The complaint that the applicant relied of a repealed provision was raised for the first time</w:t>
      </w:r>
      <w:r w:rsidR="0066490F">
        <w:rPr>
          <w:rFonts w:ascii="Arial" w:hAnsi="Arial" w:cs="Arial"/>
          <w:sz w:val="24"/>
          <w:szCs w:val="24"/>
        </w:rPr>
        <w:t xml:space="preserve"> </w:t>
      </w:r>
      <w:r w:rsidR="00155AA0">
        <w:rPr>
          <w:rFonts w:ascii="Arial" w:hAnsi="Arial" w:cs="Arial"/>
          <w:sz w:val="24"/>
          <w:szCs w:val="24"/>
        </w:rPr>
        <w:t xml:space="preserve">from the bar </w:t>
      </w:r>
      <w:r w:rsidR="0066490F">
        <w:rPr>
          <w:rFonts w:ascii="Arial" w:hAnsi="Arial" w:cs="Arial"/>
          <w:sz w:val="24"/>
          <w:szCs w:val="24"/>
        </w:rPr>
        <w:t>and without</w:t>
      </w:r>
      <w:r w:rsidR="00155AA0">
        <w:rPr>
          <w:rFonts w:ascii="Arial" w:hAnsi="Arial" w:cs="Arial"/>
          <w:sz w:val="24"/>
          <w:szCs w:val="24"/>
        </w:rPr>
        <w:t xml:space="preserve"> prior </w:t>
      </w:r>
      <w:r w:rsidR="0066490F">
        <w:rPr>
          <w:rFonts w:ascii="Arial" w:hAnsi="Arial" w:cs="Arial"/>
          <w:sz w:val="24"/>
          <w:szCs w:val="24"/>
        </w:rPr>
        <w:t>notice</w:t>
      </w:r>
      <w:r w:rsidR="00155AA0">
        <w:rPr>
          <w:rFonts w:ascii="Arial" w:hAnsi="Arial" w:cs="Arial"/>
          <w:sz w:val="24"/>
          <w:szCs w:val="24"/>
        </w:rPr>
        <w:t>.</w:t>
      </w:r>
      <w:r w:rsidR="002976B4">
        <w:rPr>
          <w:rFonts w:ascii="Arial" w:hAnsi="Arial" w:cs="Arial"/>
          <w:sz w:val="24"/>
          <w:szCs w:val="24"/>
        </w:rPr>
        <w:t xml:space="preserve"> </w:t>
      </w:r>
    </w:p>
    <w:p w14:paraId="428EA2AD" w14:textId="77777777" w:rsidR="00DD603E" w:rsidRPr="00DD603E" w:rsidRDefault="00DD603E" w:rsidP="00F57A2E">
      <w:pPr>
        <w:spacing w:after="0" w:line="360" w:lineRule="auto"/>
        <w:jc w:val="both"/>
        <w:rPr>
          <w:rFonts w:ascii="Arial" w:hAnsi="Arial" w:cs="Arial"/>
          <w:sz w:val="24"/>
          <w:szCs w:val="24"/>
        </w:rPr>
      </w:pPr>
    </w:p>
    <w:p w14:paraId="75038F3A" w14:textId="77777777" w:rsidR="00E85BD4" w:rsidRDefault="00E43301" w:rsidP="00E43301">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DD603E">
        <w:rPr>
          <w:rFonts w:ascii="Arial" w:hAnsi="Arial" w:cs="Arial"/>
          <w:sz w:val="24"/>
          <w:szCs w:val="24"/>
        </w:rPr>
        <w:t>It is trite that a party in a dispute in civil proceedings has a duty to allege in his</w:t>
      </w:r>
      <w:r w:rsidR="005B37DB">
        <w:rPr>
          <w:rFonts w:ascii="Arial" w:hAnsi="Arial" w:cs="Arial"/>
          <w:sz w:val="24"/>
          <w:szCs w:val="24"/>
        </w:rPr>
        <w:t>/her</w:t>
      </w:r>
      <w:r w:rsidR="00DD603E">
        <w:rPr>
          <w:rFonts w:ascii="Arial" w:hAnsi="Arial" w:cs="Arial"/>
          <w:sz w:val="24"/>
          <w:szCs w:val="24"/>
        </w:rPr>
        <w:t xml:space="preserve"> pleadings the material facts upon which it relied</w:t>
      </w:r>
      <w:r w:rsidR="005A2ADE">
        <w:rPr>
          <w:rFonts w:ascii="Arial" w:hAnsi="Arial" w:cs="Arial"/>
          <w:sz w:val="24"/>
          <w:szCs w:val="24"/>
        </w:rPr>
        <w:t>.</w:t>
      </w:r>
      <w:r w:rsidR="00FB0FEE">
        <w:rPr>
          <w:rStyle w:val="FootnoteReference"/>
          <w:rFonts w:ascii="Arial" w:hAnsi="Arial" w:cs="Arial"/>
          <w:sz w:val="24"/>
          <w:szCs w:val="24"/>
        </w:rPr>
        <w:footnoteReference w:id="15"/>
      </w:r>
      <w:r w:rsidR="005A2ADE">
        <w:rPr>
          <w:rFonts w:ascii="Arial" w:hAnsi="Arial" w:cs="Arial"/>
          <w:sz w:val="24"/>
          <w:szCs w:val="24"/>
        </w:rPr>
        <w:t xml:space="preserve"> The </w:t>
      </w:r>
      <w:r w:rsidR="00C21686">
        <w:rPr>
          <w:rFonts w:ascii="Arial" w:hAnsi="Arial" w:cs="Arial"/>
          <w:sz w:val="24"/>
          <w:szCs w:val="24"/>
        </w:rPr>
        <w:t>“</w:t>
      </w:r>
      <w:r w:rsidR="005A2ADE">
        <w:rPr>
          <w:rFonts w:ascii="Arial" w:hAnsi="Arial" w:cs="Arial"/>
          <w:sz w:val="24"/>
          <w:szCs w:val="24"/>
        </w:rPr>
        <w:t>purpose of pleadings is to define the issues for the other party and the court</w:t>
      </w:r>
      <w:r w:rsidR="00C21686">
        <w:rPr>
          <w:rFonts w:ascii="Arial" w:hAnsi="Arial" w:cs="Arial"/>
          <w:sz w:val="24"/>
          <w:szCs w:val="24"/>
        </w:rPr>
        <w:t>…</w:t>
      </w:r>
      <w:r w:rsidR="005A2ADE">
        <w:rPr>
          <w:rFonts w:ascii="Arial" w:hAnsi="Arial" w:cs="Arial"/>
          <w:sz w:val="24"/>
          <w:szCs w:val="24"/>
        </w:rPr>
        <w:t xml:space="preserve">It is impermissible for a plaintiff </w:t>
      </w:r>
      <w:r w:rsidR="005A2ADE">
        <w:rPr>
          <w:rFonts w:ascii="Arial" w:hAnsi="Arial" w:cs="Arial"/>
          <w:sz w:val="24"/>
          <w:szCs w:val="24"/>
        </w:rPr>
        <w:lastRenderedPageBreak/>
        <w:t xml:space="preserve">to plead a particular case and seek to establish a different case at </w:t>
      </w:r>
      <w:r w:rsidR="00C21686">
        <w:rPr>
          <w:rFonts w:ascii="Arial" w:hAnsi="Arial" w:cs="Arial"/>
          <w:sz w:val="24"/>
          <w:szCs w:val="24"/>
        </w:rPr>
        <w:t xml:space="preserve">the </w:t>
      </w:r>
      <w:r w:rsidR="005A2ADE">
        <w:rPr>
          <w:rFonts w:ascii="Arial" w:hAnsi="Arial" w:cs="Arial"/>
          <w:sz w:val="24"/>
          <w:szCs w:val="24"/>
        </w:rPr>
        <w:t>trial.</w:t>
      </w:r>
      <w:r w:rsidR="00C21686">
        <w:rPr>
          <w:rStyle w:val="FootnoteReference"/>
          <w:rFonts w:ascii="Arial" w:hAnsi="Arial" w:cs="Arial"/>
          <w:sz w:val="24"/>
          <w:szCs w:val="24"/>
        </w:rPr>
        <w:t>”</w:t>
      </w:r>
      <w:r w:rsidR="00715BAC">
        <w:rPr>
          <w:rStyle w:val="FootnoteReference"/>
          <w:rFonts w:ascii="Arial" w:hAnsi="Arial" w:cs="Arial"/>
          <w:sz w:val="24"/>
          <w:szCs w:val="24"/>
        </w:rPr>
        <w:footnoteReference w:id="16"/>
      </w:r>
      <w:r w:rsidR="005A2ADE">
        <w:rPr>
          <w:rFonts w:ascii="Arial" w:hAnsi="Arial" w:cs="Arial"/>
          <w:sz w:val="24"/>
          <w:szCs w:val="24"/>
        </w:rPr>
        <w:t xml:space="preserve"> </w:t>
      </w:r>
      <w:r w:rsidR="00244940">
        <w:rPr>
          <w:rFonts w:ascii="Arial" w:hAnsi="Arial" w:cs="Arial"/>
          <w:sz w:val="24"/>
          <w:szCs w:val="24"/>
        </w:rPr>
        <w:t xml:space="preserve">Uniform </w:t>
      </w:r>
      <w:r w:rsidR="00C21686">
        <w:rPr>
          <w:rFonts w:ascii="Arial" w:hAnsi="Arial" w:cs="Arial"/>
          <w:sz w:val="24"/>
          <w:szCs w:val="24"/>
        </w:rPr>
        <w:t>r</w:t>
      </w:r>
      <w:r w:rsidR="005A2ADE">
        <w:rPr>
          <w:rFonts w:ascii="Arial" w:hAnsi="Arial" w:cs="Arial"/>
          <w:sz w:val="24"/>
          <w:szCs w:val="24"/>
        </w:rPr>
        <w:t>ule 22(2)</w:t>
      </w:r>
      <w:r w:rsidR="00FB0FEE">
        <w:rPr>
          <w:rFonts w:ascii="Arial" w:hAnsi="Arial" w:cs="Arial"/>
          <w:sz w:val="24"/>
          <w:szCs w:val="24"/>
        </w:rPr>
        <w:t xml:space="preserve"> specifically requires</w:t>
      </w:r>
      <w:r w:rsidR="003A7AF5">
        <w:rPr>
          <w:rFonts w:ascii="Arial" w:hAnsi="Arial" w:cs="Arial"/>
          <w:sz w:val="24"/>
          <w:szCs w:val="24"/>
        </w:rPr>
        <w:t xml:space="preserve"> </w:t>
      </w:r>
      <w:r w:rsidR="00955DB9">
        <w:rPr>
          <w:rFonts w:ascii="Arial" w:hAnsi="Arial" w:cs="Arial"/>
          <w:sz w:val="24"/>
          <w:szCs w:val="24"/>
        </w:rPr>
        <w:t xml:space="preserve">that “the defendant </w:t>
      </w:r>
      <w:r w:rsidR="00955DB9" w:rsidRPr="00955DB9">
        <w:rPr>
          <w:rFonts w:ascii="Arial" w:hAnsi="Arial" w:cs="Arial"/>
          <w:sz w:val="24"/>
          <w:szCs w:val="24"/>
        </w:rPr>
        <w:t>shall in his plea either admit or deny or confess and avoid all the material facts alleged in the combined summons or declaration or state which of the said facts are not admitted and to what extent, and shall clearly and concisely state all material facts upon which he relies</w:t>
      </w:r>
      <w:r w:rsidR="00955DB9">
        <w:rPr>
          <w:rFonts w:ascii="Arial" w:hAnsi="Arial" w:cs="Arial"/>
          <w:sz w:val="24"/>
          <w:szCs w:val="24"/>
        </w:rPr>
        <w:t>”</w:t>
      </w:r>
      <w:r w:rsidR="00955DB9" w:rsidRPr="00955DB9">
        <w:rPr>
          <w:rFonts w:ascii="Arial" w:hAnsi="Arial" w:cs="Arial"/>
          <w:sz w:val="24"/>
          <w:szCs w:val="24"/>
        </w:rPr>
        <w:t>.</w:t>
      </w:r>
    </w:p>
    <w:p w14:paraId="249A8FBF" w14:textId="77777777" w:rsidR="00E85BD4" w:rsidRPr="00E85BD4" w:rsidRDefault="00E85BD4" w:rsidP="00F57A2E">
      <w:pPr>
        <w:spacing w:after="0" w:line="360" w:lineRule="auto"/>
        <w:jc w:val="both"/>
        <w:rPr>
          <w:rFonts w:ascii="Arial" w:hAnsi="Arial" w:cs="Arial"/>
          <w:sz w:val="24"/>
          <w:szCs w:val="24"/>
        </w:rPr>
      </w:pPr>
    </w:p>
    <w:p w14:paraId="5889469C" w14:textId="77777777" w:rsidR="00912060" w:rsidRDefault="00E43301" w:rsidP="00E43301">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D36A8E">
        <w:rPr>
          <w:rFonts w:ascii="Arial" w:hAnsi="Arial" w:cs="Arial"/>
          <w:sz w:val="24"/>
          <w:szCs w:val="24"/>
        </w:rPr>
        <w:t>I</w:t>
      </w:r>
      <w:r w:rsidR="00155AA0">
        <w:rPr>
          <w:rFonts w:ascii="Arial" w:hAnsi="Arial" w:cs="Arial"/>
          <w:sz w:val="24"/>
          <w:szCs w:val="24"/>
        </w:rPr>
        <w:t xml:space="preserve">n </w:t>
      </w:r>
      <w:r w:rsidR="00E85BD4">
        <w:rPr>
          <w:rFonts w:ascii="Arial" w:hAnsi="Arial" w:cs="Arial"/>
          <w:sz w:val="24"/>
          <w:szCs w:val="24"/>
        </w:rPr>
        <w:t>the</w:t>
      </w:r>
      <w:r w:rsidR="002976B4">
        <w:rPr>
          <w:rFonts w:ascii="Arial" w:hAnsi="Arial" w:cs="Arial"/>
          <w:sz w:val="24"/>
          <w:szCs w:val="24"/>
        </w:rPr>
        <w:t xml:space="preserve"> given</w:t>
      </w:r>
      <w:r w:rsidR="00912060">
        <w:rPr>
          <w:rFonts w:ascii="Arial" w:hAnsi="Arial" w:cs="Arial"/>
          <w:sz w:val="24"/>
          <w:szCs w:val="24"/>
        </w:rPr>
        <w:t xml:space="preserve"> circum</w:t>
      </w:r>
      <w:r w:rsidR="002976B4">
        <w:rPr>
          <w:rFonts w:ascii="Arial" w:hAnsi="Arial" w:cs="Arial"/>
          <w:sz w:val="24"/>
          <w:szCs w:val="24"/>
        </w:rPr>
        <w:t>s</w:t>
      </w:r>
      <w:r w:rsidR="00912060">
        <w:rPr>
          <w:rFonts w:ascii="Arial" w:hAnsi="Arial" w:cs="Arial"/>
          <w:sz w:val="24"/>
          <w:szCs w:val="24"/>
        </w:rPr>
        <w:t xml:space="preserve">tances, it should not be permissible for the first respondent to </w:t>
      </w:r>
      <w:r w:rsidR="002976B4">
        <w:rPr>
          <w:rFonts w:ascii="Arial" w:hAnsi="Arial" w:cs="Arial"/>
          <w:sz w:val="24"/>
          <w:szCs w:val="24"/>
        </w:rPr>
        <w:t>only register</w:t>
      </w:r>
      <w:r w:rsidR="00912060">
        <w:rPr>
          <w:rFonts w:ascii="Arial" w:hAnsi="Arial" w:cs="Arial"/>
          <w:sz w:val="24"/>
          <w:szCs w:val="24"/>
        </w:rPr>
        <w:t xml:space="preserve"> </w:t>
      </w:r>
      <w:r w:rsidR="00D36A8E">
        <w:rPr>
          <w:rFonts w:ascii="Arial" w:hAnsi="Arial" w:cs="Arial"/>
          <w:sz w:val="24"/>
          <w:szCs w:val="24"/>
        </w:rPr>
        <w:t xml:space="preserve">the </w:t>
      </w:r>
      <w:r w:rsidR="00912060">
        <w:rPr>
          <w:rFonts w:ascii="Arial" w:hAnsi="Arial" w:cs="Arial"/>
          <w:sz w:val="24"/>
          <w:szCs w:val="24"/>
        </w:rPr>
        <w:t xml:space="preserve">objection </w:t>
      </w:r>
      <w:r w:rsidR="002976B4">
        <w:rPr>
          <w:rFonts w:ascii="Arial" w:hAnsi="Arial" w:cs="Arial"/>
          <w:sz w:val="24"/>
          <w:szCs w:val="24"/>
        </w:rPr>
        <w:t>against</w:t>
      </w:r>
      <w:r w:rsidR="00912060">
        <w:rPr>
          <w:rFonts w:ascii="Arial" w:hAnsi="Arial" w:cs="Arial"/>
          <w:sz w:val="24"/>
          <w:szCs w:val="24"/>
        </w:rPr>
        <w:t xml:space="preserve"> reliance o</w:t>
      </w:r>
      <w:r w:rsidR="002976B4">
        <w:rPr>
          <w:rFonts w:ascii="Arial" w:hAnsi="Arial" w:cs="Arial"/>
          <w:sz w:val="24"/>
          <w:szCs w:val="24"/>
        </w:rPr>
        <w:t>n</w:t>
      </w:r>
      <w:r w:rsidR="00912060">
        <w:rPr>
          <w:rFonts w:ascii="Arial" w:hAnsi="Arial" w:cs="Arial"/>
          <w:sz w:val="24"/>
          <w:szCs w:val="24"/>
        </w:rPr>
        <w:t xml:space="preserve"> s 68 of the Act, </w:t>
      </w:r>
      <w:r w:rsidR="000335CA">
        <w:rPr>
          <w:rFonts w:ascii="Arial" w:hAnsi="Arial" w:cs="Arial"/>
          <w:sz w:val="24"/>
          <w:szCs w:val="24"/>
        </w:rPr>
        <w:t xml:space="preserve">and subsequent reference to s81 of the Companies Act </w:t>
      </w:r>
      <w:r w:rsidR="002976B4">
        <w:rPr>
          <w:rFonts w:ascii="Arial" w:hAnsi="Arial" w:cs="Arial"/>
          <w:sz w:val="24"/>
          <w:szCs w:val="24"/>
        </w:rPr>
        <w:t xml:space="preserve">at </w:t>
      </w:r>
      <w:r w:rsidR="000335CA">
        <w:rPr>
          <w:rFonts w:ascii="Arial" w:hAnsi="Arial" w:cs="Arial"/>
          <w:sz w:val="24"/>
          <w:szCs w:val="24"/>
        </w:rPr>
        <w:t>the</w:t>
      </w:r>
      <w:r w:rsidR="002976B4">
        <w:rPr>
          <w:rFonts w:ascii="Arial" w:hAnsi="Arial" w:cs="Arial"/>
          <w:sz w:val="24"/>
          <w:szCs w:val="24"/>
        </w:rPr>
        <w:t xml:space="preserve"> stage</w:t>
      </w:r>
      <w:r w:rsidR="000335CA">
        <w:rPr>
          <w:rFonts w:ascii="Arial" w:hAnsi="Arial" w:cs="Arial"/>
          <w:sz w:val="24"/>
          <w:szCs w:val="24"/>
        </w:rPr>
        <w:t xml:space="preserve"> of oral arguments</w:t>
      </w:r>
      <w:r w:rsidR="00D36A8E">
        <w:rPr>
          <w:rFonts w:ascii="Arial" w:hAnsi="Arial" w:cs="Arial"/>
          <w:sz w:val="24"/>
          <w:szCs w:val="24"/>
        </w:rPr>
        <w:t xml:space="preserve"> and from the bar</w:t>
      </w:r>
      <w:r w:rsidR="002976B4">
        <w:rPr>
          <w:rFonts w:ascii="Arial" w:hAnsi="Arial" w:cs="Arial"/>
          <w:sz w:val="24"/>
          <w:szCs w:val="24"/>
        </w:rPr>
        <w:t xml:space="preserve">. It is </w:t>
      </w:r>
      <w:r w:rsidR="00955DB9">
        <w:rPr>
          <w:rFonts w:ascii="Arial" w:hAnsi="Arial" w:cs="Arial"/>
          <w:sz w:val="24"/>
          <w:szCs w:val="24"/>
        </w:rPr>
        <w:t>against</w:t>
      </w:r>
      <w:r w:rsidR="002976B4">
        <w:rPr>
          <w:rFonts w:ascii="Arial" w:hAnsi="Arial" w:cs="Arial"/>
          <w:sz w:val="24"/>
          <w:szCs w:val="24"/>
        </w:rPr>
        <w:t xml:space="preserve"> this background that th</w:t>
      </w:r>
      <w:r w:rsidR="00E85BD4">
        <w:rPr>
          <w:rFonts w:ascii="Arial" w:hAnsi="Arial" w:cs="Arial"/>
          <w:sz w:val="24"/>
          <w:szCs w:val="24"/>
        </w:rPr>
        <w:t>e first respondent’s complaint and or</w:t>
      </w:r>
      <w:r w:rsidR="002976B4">
        <w:rPr>
          <w:rFonts w:ascii="Arial" w:hAnsi="Arial" w:cs="Arial"/>
          <w:sz w:val="24"/>
          <w:szCs w:val="24"/>
        </w:rPr>
        <w:t xml:space="preserve"> objection cannot be sustained. </w:t>
      </w:r>
      <w:r w:rsidR="000335CA">
        <w:rPr>
          <w:rFonts w:ascii="Arial" w:hAnsi="Arial" w:cs="Arial"/>
          <w:sz w:val="24"/>
          <w:szCs w:val="24"/>
        </w:rPr>
        <w:t xml:space="preserve">Determination of matters shall be on the basis that the </w:t>
      </w:r>
      <w:r w:rsidR="00E27A73">
        <w:rPr>
          <w:rFonts w:ascii="Arial" w:hAnsi="Arial" w:cs="Arial"/>
          <w:sz w:val="24"/>
          <w:szCs w:val="24"/>
        </w:rPr>
        <w:t xml:space="preserve">first </w:t>
      </w:r>
      <w:r w:rsidR="000335CA">
        <w:rPr>
          <w:rFonts w:ascii="Arial" w:hAnsi="Arial" w:cs="Arial"/>
          <w:sz w:val="24"/>
          <w:szCs w:val="24"/>
        </w:rPr>
        <w:t>respondent admitted that the applicant correctly relied on the applicable provisions</w:t>
      </w:r>
      <w:r w:rsidR="00D36A8E">
        <w:rPr>
          <w:rFonts w:ascii="Arial" w:hAnsi="Arial" w:cs="Arial"/>
          <w:sz w:val="24"/>
          <w:szCs w:val="24"/>
        </w:rPr>
        <w:t xml:space="preserve"> in its application.</w:t>
      </w:r>
      <w:r w:rsidR="000335CA">
        <w:rPr>
          <w:rFonts w:ascii="Arial" w:hAnsi="Arial" w:cs="Arial"/>
          <w:sz w:val="24"/>
          <w:szCs w:val="24"/>
        </w:rPr>
        <w:t xml:space="preserve"> </w:t>
      </w:r>
    </w:p>
    <w:p w14:paraId="2566BFAA" w14:textId="77777777" w:rsidR="00F021D1" w:rsidRPr="00F021D1" w:rsidRDefault="00F021D1" w:rsidP="00F57A2E">
      <w:pPr>
        <w:spacing w:after="0" w:line="360" w:lineRule="auto"/>
        <w:jc w:val="both"/>
        <w:rPr>
          <w:rFonts w:ascii="Arial" w:hAnsi="Arial" w:cs="Arial"/>
          <w:sz w:val="24"/>
          <w:szCs w:val="24"/>
        </w:rPr>
      </w:pPr>
    </w:p>
    <w:p w14:paraId="71D3B34C" w14:textId="77777777" w:rsidR="00F021D1" w:rsidRPr="00E43301" w:rsidRDefault="00F021D1" w:rsidP="00F021D1">
      <w:pPr>
        <w:spacing w:line="360" w:lineRule="auto"/>
        <w:jc w:val="both"/>
        <w:rPr>
          <w:rFonts w:ascii="Arial" w:hAnsi="Arial" w:cs="Arial"/>
          <w:b/>
          <w:i/>
          <w:sz w:val="24"/>
          <w:szCs w:val="24"/>
        </w:rPr>
      </w:pPr>
      <w:r w:rsidRPr="00E43301">
        <w:rPr>
          <w:rFonts w:ascii="Arial" w:hAnsi="Arial" w:cs="Arial"/>
          <w:b/>
          <w:i/>
          <w:sz w:val="24"/>
          <w:szCs w:val="24"/>
        </w:rPr>
        <w:t>Final or provisional winding</w:t>
      </w:r>
      <w:r w:rsidR="00955DB9">
        <w:rPr>
          <w:rFonts w:ascii="Arial" w:hAnsi="Arial" w:cs="Arial"/>
          <w:b/>
          <w:i/>
          <w:sz w:val="24"/>
          <w:szCs w:val="24"/>
        </w:rPr>
        <w:t>-</w:t>
      </w:r>
      <w:r w:rsidRPr="00E43301">
        <w:rPr>
          <w:rFonts w:ascii="Arial" w:hAnsi="Arial" w:cs="Arial"/>
          <w:b/>
          <w:i/>
          <w:sz w:val="24"/>
          <w:szCs w:val="24"/>
        </w:rPr>
        <w:t>up</w:t>
      </w:r>
    </w:p>
    <w:p w14:paraId="619262F1" w14:textId="77777777" w:rsidR="005A0502" w:rsidRDefault="00E43301" w:rsidP="00E43301">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5A0502">
        <w:rPr>
          <w:rFonts w:ascii="Arial" w:hAnsi="Arial" w:cs="Arial"/>
          <w:sz w:val="24"/>
          <w:szCs w:val="24"/>
        </w:rPr>
        <w:t>The relief sought by the applicant is that the second respondent be placed under final winding-up in the hands of the Master of the High Court.</w:t>
      </w:r>
    </w:p>
    <w:p w14:paraId="47EAACF7" w14:textId="77777777" w:rsidR="00801378" w:rsidRDefault="00801378" w:rsidP="00244940">
      <w:pPr>
        <w:spacing w:after="0" w:line="360" w:lineRule="auto"/>
        <w:jc w:val="both"/>
        <w:rPr>
          <w:rFonts w:ascii="Arial" w:hAnsi="Arial" w:cs="Arial"/>
          <w:sz w:val="24"/>
          <w:szCs w:val="24"/>
        </w:rPr>
      </w:pPr>
    </w:p>
    <w:p w14:paraId="10FA4B69" w14:textId="77777777" w:rsidR="005A0502" w:rsidRDefault="00E43301" w:rsidP="00E43301">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5A0502">
        <w:rPr>
          <w:rFonts w:ascii="Arial" w:hAnsi="Arial" w:cs="Arial"/>
          <w:sz w:val="24"/>
          <w:szCs w:val="24"/>
        </w:rPr>
        <w:t>The Master of the High Court reported that sufficient security had been given for the payment of all fees and cha</w:t>
      </w:r>
      <w:r w:rsidR="00BE3983">
        <w:rPr>
          <w:rFonts w:ascii="Arial" w:hAnsi="Arial" w:cs="Arial"/>
          <w:sz w:val="24"/>
          <w:szCs w:val="24"/>
        </w:rPr>
        <w:t>r</w:t>
      </w:r>
      <w:r w:rsidR="005A0502">
        <w:rPr>
          <w:rFonts w:ascii="Arial" w:hAnsi="Arial" w:cs="Arial"/>
          <w:sz w:val="24"/>
          <w:szCs w:val="24"/>
        </w:rPr>
        <w:t xml:space="preserve">ges necessary for the prosecution of all </w:t>
      </w:r>
      <w:r w:rsidR="00BE3983">
        <w:rPr>
          <w:rFonts w:ascii="Arial" w:hAnsi="Arial" w:cs="Arial"/>
          <w:sz w:val="24"/>
          <w:szCs w:val="24"/>
        </w:rPr>
        <w:t>liquidation</w:t>
      </w:r>
      <w:r w:rsidR="005A0502">
        <w:rPr>
          <w:rFonts w:ascii="Arial" w:hAnsi="Arial" w:cs="Arial"/>
          <w:sz w:val="24"/>
          <w:szCs w:val="24"/>
        </w:rPr>
        <w:t xml:space="preserve"> proceedings and </w:t>
      </w:r>
      <w:r w:rsidR="00BE3983">
        <w:rPr>
          <w:rFonts w:ascii="Arial" w:hAnsi="Arial" w:cs="Arial"/>
          <w:sz w:val="24"/>
          <w:szCs w:val="24"/>
        </w:rPr>
        <w:t xml:space="preserve">of </w:t>
      </w:r>
      <w:r w:rsidR="005A0502">
        <w:rPr>
          <w:rFonts w:ascii="Arial" w:hAnsi="Arial" w:cs="Arial"/>
          <w:sz w:val="24"/>
          <w:szCs w:val="24"/>
        </w:rPr>
        <w:t>all costs of administering the corporation until trustee has been appointed.</w:t>
      </w:r>
      <w:r w:rsidR="005A0502">
        <w:rPr>
          <w:rStyle w:val="FootnoteReference"/>
          <w:rFonts w:ascii="Arial" w:hAnsi="Arial" w:cs="Arial"/>
          <w:sz w:val="24"/>
          <w:szCs w:val="24"/>
        </w:rPr>
        <w:footnoteReference w:id="17"/>
      </w:r>
    </w:p>
    <w:p w14:paraId="6D2BC027" w14:textId="77777777" w:rsidR="00801378" w:rsidRPr="00801378" w:rsidRDefault="00801378" w:rsidP="00F57A2E">
      <w:pPr>
        <w:spacing w:after="0" w:line="360" w:lineRule="auto"/>
        <w:jc w:val="both"/>
        <w:rPr>
          <w:rFonts w:ascii="Arial" w:hAnsi="Arial" w:cs="Arial"/>
          <w:sz w:val="24"/>
          <w:szCs w:val="24"/>
        </w:rPr>
      </w:pPr>
    </w:p>
    <w:p w14:paraId="42777D2C" w14:textId="77777777" w:rsidR="00801378" w:rsidRDefault="00E43301" w:rsidP="00E43301">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801378">
        <w:rPr>
          <w:rFonts w:ascii="Arial" w:hAnsi="Arial" w:cs="Arial"/>
          <w:sz w:val="24"/>
          <w:szCs w:val="24"/>
        </w:rPr>
        <w:t xml:space="preserve">The applicant argued that although the </w:t>
      </w:r>
      <w:r w:rsidR="003936BF">
        <w:rPr>
          <w:rFonts w:ascii="Arial" w:hAnsi="Arial" w:cs="Arial"/>
          <w:sz w:val="24"/>
          <w:szCs w:val="24"/>
        </w:rPr>
        <w:t xml:space="preserve">general </w:t>
      </w:r>
      <w:r w:rsidR="00801378">
        <w:rPr>
          <w:rFonts w:ascii="Arial" w:hAnsi="Arial" w:cs="Arial"/>
          <w:sz w:val="24"/>
          <w:szCs w:val="24"/>
        </w:rPr>
        <w:t xml:space="preserve">practice was to grant a provisional order, in the first instance, </w:t>
      </w:r>
      <w:r w:rsidR="007F4A1E">
        <w:rPr>
          <w:rFonts w:ascii="Arial" w:hAnsi="Arial" w:cs="Arial"/>
          <w:sz w:val="24"/>
          <w:szCs w:val="24"/>
        </w:rPr>
        <w:t>she</w:t>
      </w:r>
      <w:r w:rsidR="00801378">
        <w:rPr>
          <w:rFonts w:ascii="Arial" w:hAnsi="Arial" w:cs="Arial"/>
          <w:sz w:val="24"/>
          <w:szCs w:val="24"/>
        </w:rPr>
        <w:t xml:space="preserve"> insisted that a final order was justified, in light of the state of affairs of the second respondent.</w:t>
      </w:r>
    </w:p>
    <w:p w14:paraId="7D09D520" w14:textId="77777777" w:rsidR="00801378" w:rsidRPr="00801378" w:rsidRDefault="00801378" w:rsidP="00F57A2E">
      <w:pPr>
        <w:spacing w:after="0" w:line="360" w:lineRule="auto"/>
        <w:jc w:val="both"/>
        <w:rPr>
          <w:rFonts w:ascii="Arial" w:hAnsi="Arial" w:cs="Arial"/>
          <w:sz w:val="24"/>
          <w:szCs w:val="24"/>
        </w:rPr>
      </w:pPr>
    </w:p>
    <w:p w14:paraId="7D422C26" w14:textId="77777777" w:rsidR="00801378" w:rsidRDefault="00E43301" w:rsidP="00E43301">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801378">
        <w:rPr>
          <w:rFonts w:ascii="Arial" w:hAnsi="Arial" w:cs="Arial"/>
          <w:sz w:val="24"/>
          <w:szCs w:val="24"/>
        </w:rPr>
        <w:t xml:space="preserve">It was pointed out on behalf of the first respondent that the prayer for a final order of winding-up was inconsistent with the practice in this Division. It however left it to the applicant, if </w:t>
      </w:r>
      <w:r w:rsidR="00BE3983">
        <w:rPr>
          <w:rFonts w:ascii="Arial" w:hAnsi="Arial" w:cs="Arial"/>
          <w:sz w:val="24"/>
          <w:szCs w:val="24"/>
        </w:rPr>
        <w:t xml:space="preserve">she </w:t>
      </w:r>
      <w:r w:rsidR="00801378">
        <w:rPr>
          <w:rFonts w:ascii="Arial" w:hAnsi="Arial" w:cs="Arial"/>
          <w:sz w:val="24"/>
          <w:szCs w:val="24"/>
        </w:rPr>
        <w:t>persisted to seek a final order of winding</w:t>
      </w:r>
      <w:r w:rsidR="00BE3983">
        <w:rPr>
          <w:rFonts w:ascii="Arial" w:hAnsi="Arial" w:cs="Arial"/>
          <w:sz w:val="24"/>
          <w:szCs w:val="24"/>
        </w:rPr>
        <w:t>-</w:t>
      </w:r>
      <w:r w:rsidR="00801378">
        <w:rPr>
          <w:rFonts w:ascii="Arial" w:hAnsi="Arial" w:cs="Arial"/>
          <w:sz w:val="24"/>
          <w:szCs w:val="24"/>
        </w:rPr>
        <w:t>up.</w:t>
      </w:r>
    </w:p>
    <w:p w14:paraId="6EA4B400" w14:textId="77777777" w:rsidR="00801378" w:rsidRPr="00801378" w:rsidRDefault="00801378" w:rsidP="00F57A2E">
      <w:pPr>
        <w:spacing w:after="0" w:line="360" w:lineRule="auto"/>
        <w:jc w:val="both"/>
        <w:rPr>
          <w:rFonts w:ascii="Arial" w:hAnsi="Arial" w:cs="Arial"/>
          <w:sz w:val="24"/>
          <w:szCs w:val="24"/>
        </w:rPr>
      </w:pPr>
    </w:p>
    <w:p w14:paraId="3F9A4A21" w14:textId="77777777" w:rsidR="00E43301" w:rsidRDefault="00E43301" w:rsidP="00E43301">
      <w:pPr>
        <w:spacing w:after="0" w:line="360" w:lineRule="auto"/>
        <w:jc w:val="both"/>
        <w:rPr>
          <w:rFonts w:ascii="Arial" w:hAnsi="Arial" w:cs="Arial"/>
          <w:sz w:val="24"/>
          <w:szCs w:val="24"/>
        </w:rPr>
      </w:pPr>
      <w:r>
        <w:rPr>
          <w:rFonts w:ascii="Arial" w:hAnsi="Arial" w:cs="Arial"/>
          <w:sz w:val="24"/>
          <w:szCs w:val="24"/>
        </w:rPr>
        <w:lastRenderedPageBreak/>
        <w:t>[65]</w:t>
      </w:r>
      <w:r>
        <w:rPr>
          <w:rFonts w:ascii="Arial" w:hAnsi="Arial" w:cs="Arial"/>
          <w:sz w:val="24"/>
          <w:szCs w:val="24"/>
        </w:rPr>
        <w:tab/>
      </w:r>
      <w:r w:rsidR="00257667">
        <w:rPr>
          <w:rFonts w:ascii="Arial" w:hAnsi="Arial" w:cs="Arial"/>
          <w:sz w:val="24"/>
          <w:szCs w:val="24"/>
        </w:rPr>
        <w:t>It is trite that in winding-up proceedings, the granting of interim relief is necessary to protect the interests of litigants or third parties and the public interests.</w:t>
      </w:r>
      <w:r w:rsidR="00257667">
        <w:rPr>
          <w:rStyle w:val="FootnoteReference"/>
          <w:rFonts w:ascii="Arial" w:hAnsi="Arial" w:cs="Arial"/>
          <w:sz w:val="24"/>
          <w:szCs w:val="24"/>
        </w:rPr>
        <w:footnoteReference w:id="18"/>
      </w:r>
      <w:r w:rsidR="008138E2">
        <w:rPr>
          <w:rFonts w:ascii="Arial" w:hAnsi="Arial" w:cs="Arial"/>
          <w:sz w:val="24"/>
          <w:szCs w:val="24"/>
        </w:rPr>
        <w:t xml:space="preserve"> In</w:t>
      </w:r>
      <w:r w:rsidR="00EE65A6">
        <w:rPr>
          <w:rFonts w:ascii="Arial" w:hAnsi="Arial" w:cs="Arial"/>
          <w:i/>
          <w:sz w:val="24"/>
          <w:szCs w:val="24"/>
        </w:rPr>
        <w:t xml:space="preserve"> Imobrite (Pty) Ltd v DTL Boedery CC</w:t>
      </w:r>
      <w:r w:rsidR="00EE65A6" w:rsidRPr="00244940">
        <w:rPr>
          <w:rStyle w:val="FootnoteReference"/>
          <w:rFonts w:ascii="Arial" w:hAnsi="Arial" w:cs="Arial"/>
          <w:sz w:val="24"/>
          <w:szCs w:val="24"/>
        </w:rPr>
        <w:footnoteReference w:id="19"/>
      </w:r>
      <w:r w:rsidR="008138E2">
        <w:rPr>
          <w:rFonts w:ascii="Arial" w:hAnsi="Arial" w:cs="Arial"/>
          <w:sz w:val="24"/>
          <w:szCs w:val="24"/>
        </w:rPr>
        <w:t xml:space="preserve"> </w:t>
      </w:r>
      <w:r w:rsidR="003936BF">
        <w:rPr>
          <w:rFonts w:ascii="Arial" w:hAnsi="Arial" w:cs="Arial"/>
          <w:sz w:val="24"/>
          <w:szCs w:val="24"/>
        </w:rPr>
        <w:t>i</w:t>
      </w:r>
      <w:r w:rsidR="008138E2">
        <w:rPr>
          <w:rFonts w:ascii="Arial" w:hAnsi="Arial" w:cs="Arial"/>
          <w:sz w:val="24"/>
          <w:szCs w:val="24"/>
        </w:rPr>
        <w:t>t was held that</w:t>
      </w:r>
      <w:r w:rsidR="00BE3983">
        <w:rPr>
          <w:rFonts w:ascii="Arial" w:hAnsi="Arial" w:cs="Arial"/>
          <w:sz w:val="24"/>
          <w:szCs w:val="24"/>
        </w:rPr>
        <w:t>:</w:t>
      </w:r>
      <w:r w:rsidR="00075050">
        <w:rPr>
          <w:rStyle w:val="FootnoteReference"/>
          <w:rFonts w:ascii="Arial" w:hAnsi="Arial" w:cs="Arial"/>
          <w:sz w:val="24"/>
          <w:szCs w:val="24"/>
        </w:rPr>
        <w:footnoteReference w:id="20"/>
      </w:r>
    </w:p>
    <w:p w14:paraId="1D1A9DA5" w14:textId="77777777" w:rsidR="008138E2" w:rsidRPr="00075050" w:rsidRDefault="00E43301" w:rsidP="00E43301">
      <w:pPr>
        <w:spacing w:after="0" w:line="360" w:lineRule="auto"/>
        <w:jc w:val="both"/>
        <w:rPr>
          <w:rFonts w:ascii="Arial" w:hAnsi="Arial" w:cs="Arial"/>
        </w:rPr>
      </w:pPr>
      <w:r w:rsidRPr="00075050">
        <w:rPr>
          <w:rFonts w:ascii="Arial" w:hAnsi="Arial" w:cs="Arial"/>
        </w:rPr>
        <w:t>‘</w:t>
      </w:r>
      <w:r w:rsidR="00075050" w:rsidRPr="00075050">
        <w:rPr>
          <w:rFonts w:ascii="Arial" w:hAnsi="Arial" w:cs="Arial"/>
        </w:rPr>
        <w:t xml:space="preserve">…Generally, it is a well-established practice that a provisional order of liquidation should issue. The purpose of the practice is to afford interested parties, especially creditors, an opportunity to support or oppose a final liquidation. There is no reason to depart from the general practice in this case. The respondent’s business is a farming enterprise. It may very well have other creditors than the appellant. Some new developments might have occurred since the refusal of the winding-up application. New employees oblivious of this litigation may have been employed in the intervening time between the handing down of the judgment of the high court and the finalisation of this appeal. It is therefore not inconceivable that further relevant facts might be forthcoming if a </w:t>
      </w:r>
      <w:r w:rsidR="00075050" w:rsidRPr="00075050">
        <w:rPr>
          <w:rFonts w:ascii="Arial" w:hAnsi="Arial" w:cs="Arial"/>
          <w:i/>
        </w:rPr>
        <w:t>rule nisi</w:t>
      </w:r>
      <w:r w:rsidR="00075050" w:rsidRPr="00075050">
        <w:rPr>
          <w:rFonts w:ascii="Arial" w:hAnsi="Arial" w:cs="Arial"/>
        </w:rPr>
        <w:t> is issued. Thus, a provisional order will best serve the interests of justice in this matter</w:t>
      </w:r>
      <w:r w:rsidR="00EE65A6" w:rsidRPr="00075050">
        <w:rPr>
          <w:rFonts w:ascii="Arial" w:hAnsi="Arial" w:cs="Arial"/>
        </w:rPr>
        <w:t>.</w:t>
      </w:r>
      <w:r w:rsidRPr="00075050">
        <w:rPr>
          <w:rFonts w:ascii="Arial" w:hAnsi="Arial" w:cs="Arial"/>
        </w:rPr>
        <w:t>’</w:t>
      </w:r>
    </w:p>
    <w:p w14:paraId="211E8BA0" w14:textId="77777777" w:rsidR="00D3716A" w:rsidRPr="009371D5" w:rsidRDefault="00D3716A" w:rsidP="00F57A2E">
      <w:pPr>
        <w:spacing w:after="0" w:line="360" w:lineRule="auto"/>
        <w:jc w:val="both"/>
        <w:rPr>
          <w:rFonts w:ascii="Arial" w:hAnsi="Arial" w:cs="Arial"/>
        </w:rPr>
      </w:pPr>
    </w:p>
    <w:p w14:paraId="2BDF33F2" w14:textId="77777777" w:rsidR="009371D5" w:rsidRPr="00D3716A" w:rsidRDefault="00E43301" w:rsidP="00E43301">
      <w:pPr>
        <w:spacing w:after="0" w:line="360" w:lineRule="auto"/>
        <w:jc w:val="both"/>
        <w:rPr>
          <w:rFonts w:ascii="Arial" w:hAnsi="Arial" w:cs="Arial"/>
        </w:rPr>
      </w:pPr>
      <w:r>
        <w:rPr>
          <w:rFonts w:ascii="Arial" w:hAnsi="Arial" w:cs="Arial"/>
          <w:sz w:val="24"/>
          <w:szCs w:val="24"/>
        </w:rPr>
        <w:t>[66]</w:t>
      </w:r>
      <w:r>
        <w:rPr>
          <w:rFonts w:ascii="Arial" w:hAnsi="Arial" w:cs="Arial"/>
          <w:sz w:val="24"/>
          <w:szCs w:val="24"/>
        </w:rPr>
        <w:tab/>
      </w:r>
      <w:r w:rsidR="009371D5">
        <w:rPr>
          <w:rFonts w:ascii="Arial" w:hAnsi="Arial" w:cs="Arial"/>
          <w:sz w:val="24"/>
          <w:szCs w:val="24"/>
        </w:rPr>
        <w:t xml:space="preserve">In the matter at hand, there could well be parties whose interests may be </w:t>
      </w:r>
      <w:r w:rsidR="003936BF">
        <w:rPr>
          <w:rFonts w:ascii="Arial" w:hAnsi="Arial" w:cs="Arial"/>
          <w:sz w:val="24"/>
          <w:szCs w:val="24"/>
        </w:rPr>
        <w:t>adversely</w:t>
      </w:r>
      <w:r w:rsidR="009371D5">
        <w:rPr>
          <w:rFonts w:ascii="Arial" w:hAnsi="Arial" w:cs="Arial"/>
          <w:sz w:val="24"/>
          <w:szCs w:val="24"/>
        </w:rPr>
        <w:t xml:space="preserve"> affected if there is a departure from the general practice in relation to the nature of order granted. Firstly, it is worth </w:t>
      </w:r>
      <w:r w:rsidR="003936BF">
        <w:rPr>
          <w:rFonts w:ascii="Arial" w:hAnsi="Arial" w:cs="Arial"/>
          <w:sz w:val="24"/>
          <w:szCs w:val="24"/>
        </w:rPr>
        <w:t>noting</w:t>
      </w:r>
      <w:r w:rsidR="009371D5">
        <w:rPr>
          <w:rFonts w:ascii="Arial" w:hAnsi="Arial" w:cs="Arial"/>
          <w:sz w:val="24"/>
          <w:szCs w:val="24"/>
        </w:rPr>
        <w:t xml:space="preserve"> that the applicant’s complaint was </w:t>
      </w:r>
      <w:r w:rsidR="003936BF">
        <w:rPr>
          <w:rFonts w:ascii="Arial" w:hAnsi="Arial" w:cs="Arial"/>
          <w:sz w:val="24"/>
          <w:szCs w:val="24"/>
        </w:rPr>
        <w:t>among others</w:t>
      </w:r>
      <w:r w:rsidR="009371D5">
        <w:rPr>
          <w:rFonts w:ascii="Arial" w:hAnsi="Arial" w:cs="Arial"/>
          <w:sz w:val="24"/>
          <w:szCs w:val="24"/>
        </w:rPr>
        <w:t xml:space="preserve"> borne from the allegations that she</w:t>
      </w:r>
      <w:r w:rsidR="007742E8">
        <w:rPr>
          <w:rFonts w:ascii="Arial" w:hAnsi="Arial" w:cs="Arial"/>
          <w:sz w:val="24"/>
          <w:szCs w:val="24"/>
        </w:rPr>
        <w:t xml:space="preserve"> had</w:t>
      </w:r>
      <w:r w:rsidR="009371D5">
        <w:rPr>
          <w:rFonts w:ascii="Arial" w:hAnsi="Arial" w:cs="Arial"/>
          <w:sz w:val="24"/>
          <w:szCs w:val="24"/>
        </w:rPr>
        <w:t xml:space="preserve"> been kept in the dark in regard to the affairs of the second respondent. Secondly, on the contention of the first respondent that the corporation required no management, there is </w:t>
      </w:r>
      <w:r w:rsidR="007742E8">
        <w:rPr>
          <w:rFonts w:ascii="Arial" w:hAnsi="Arial" w:cs="Arial"/>
          <w:sz w:val="24"/>
          <w:szCs w:val="24"/>
        </w:rPr>
        <w:t>an</w:t>
      </w:r>
      <w:r w:rsidR="009371D5">
        <w:rPr>
          <w:rFonts w:ascii="Arial" w:hAnsi="Arial" w:cs="Arial"/>
          <w:sz w:val="24"/>
          <w:szCs w:val="24"/>
        </w:rPr>
        <w:t xml:space="preserve"> </w:t>
      </w:r>
      <w:r w:rsidR="00155AA0">
        <w:rPr>
          <w:rFonts w:ascii="Arial" w:hAnsi="Arial" w:cs="Arial"/>
          <w:sz w:val="24"/>
          <w:szCs w:val="24"/>
        </w:rPr>
        <w:t>uncontestably</w:t>
      </w:r>
      <w:r w:rsidR="009371D5">
        <w:rPr>
          <w:rFonts w:ascii="Arial" w:hAnsi="Arial" w:cs="Arial"/>
          <w:sz w:val="24"/>
          <w:szCs w:val="24"/>
        </w:rPr>
        <w:t xml:space="preserve"> reality that the second respondent kept no accounting records, despite this being a statutory requirement</w:t>
      </w:r>
      <w:r w:rsidR="007742E8">
        <w:rPr>
          <w:rFonts w:ascii="Arial" w:hAnsi="Arial" w:cs="Arial"/>
          <w:sz w:val="24"/>
          <w:szCs w:val="24"/>
        </w:rPr>
        <w:t>.</w:t>
      </w:r>
      <w:r w:rsidR="009371D5">
        <w:rPr>
          <w:rFonts w:ascii="Arial" w:hAnsi="Arial" w:cs="Arial"/>
          <w:sz w:val="24"/>
          <w:szCs w:val="24"/>
        </w:rPr>
        <w:t xml:space="preserve"> Thirdly, </w:t>
      </w:r>
      <w:r w:rsidR="00D3716A">
        <w:rPr>
          <w:rFonts w:ascii="Arial" w:hAnsi="Arial" w:cs="Arial"/>
          <w:sz w:val="24"/>
          <w:szCs w:val="24"/>
        </w:rPr>
        <w:t xml:space="preserve">before the service of this application on the first respondent, </w:t>
      </w:r>
      <w:r w:rsidR="009371D5">
        <w:rPr>
          <w:rFonts w:ascii="Arial" w:hAnsi="Arial" w:cs="Arial"/>
          <w:sz w:val="24"/>
          <w:szCs w:val="24"/>
        </w:rPr>
        <w:t xml:space="preserve">the members had </w:t>
      </w:r>
      <w:r w:rsidR="007F4A1E">
        <w:rPr>
          <w:rFonts w:ascii="Arial" w:hAnsi="Arial" w:cs="Arial"/>
          <w:sz w:val="24"/>
          <w:szCs w:val="24"/>
        </w:rPr>
        <w:t xml:space="preserve">had </w:t>
      </w:r>
      <w:r w:rsidR="009371D5">
        <w:rPr>
          <w:rFonts w:ascii="Arial" w:hAnsi="Arial" w:cs="Arial"/>
          <w:sz w:val="24"/>
          <w:szCs w:val="24"/>
        </w:rPr>
        <w:t xml:space="preserve">no interaction since 2014, when the last attempts were made to convene a </w:t>
      </w:r>
      <w:r w:rsidR="00D3716A">
        <w:rPr>
          <w:rFonts w:ascii="Arial" w:hAnsi="Arial" w:cs="Arial"/>
          <w:sz w:val="24"/>
          <w:szCs w:val="24"/>
        </w:rPr>
        <w:t xml:space="preserve">members </w:t>
      </w:r>
      <w:r w:rsidR="009371D5">
        <w:rPr>
          <w:rFonts w:ascii="Arial" w:hAnsi="Arial" w:cs="Arial"/>
          <w:sz w:val="24"/>
          <w:szCs w:val="24"/>
        </w:rPr>
        <w:t>meeting</w:t>
      </w:r>
      <w:r w:rsidR="007742E8">
        <w:rPr>
          <w:rFonts w:ascii="Arial" w:hAnsi="Arial" w:cs="Arial"/>
          <w:sz w:val="24"/>
          <w:szCs w:val="24"/>
        </w:rPr>
        <w:t>.</w:t>
      </w:r>
      <w:r w:rsidR="009371D5">
        <w:rPr>
          <w:rFonts w:ascii="Arial" w:hAnsi="Arial" w:cs="Arial"/>
          <w:sz w:val="24"/>
          <w:szCs w:val="24"/>
        </w:rPr>
        <w:t xml:space="preserve"> </w:t>
      </w:r>
    </w:p>
    <w:p w14:paraId="2CD894F2" w14:textId="77777777" w:rsidR="00D3716A" w:rsidRPr="00D3716A" w:rsidRDefault="00D3716A" w:rsidP="00F57A2E">
      <w:pPr>
        <w:spacing w:after="0" w:line="360" w:lineRule="auto"/>
        <w:jc w:val="both"/>
        <w:rPr>
          <w:rFonts w:ascii="Arial" w:hAnsi="Arial" w:cs="Arial"/>
        </w:rPr>
      </w:pPr>
    </w:p>
    <w:p w14:paraId="0BD6CD14" w14:textId="77777777" w:rsidR="00D3716A" w:rsidRDefault="00E43301" w:rsidP="00E43301">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D3716A" w:rsidRPr="00D3716A">
        <w:rPr>
          <w:rFonts w:ascii="Arial" w:hAnsi="Arial" w:cs="Arial"/>
          <w:sz w:val="24"/>
          <w:szCs w:val="24"/>
        </w:rPr>
        <w:t xml:space="preserve">As it was the case </w:t>
      </w:r>
      <w:r w:rsidR="00D3716A" w:rsidRPr="00244940">
        <w:rPr>
          <w:rFonts w:ascii="Arial" w:hAnsi="Arial" w:cs="Arial"/>
          <w:sz w:val="24"/>
          <w:szCs w:val="24"/>
        </w:rPr>
        <w:t xml:space="preserve">in </w:t>
      </w:r>
      <w:r w:rsidR="00244940" w:rsidRPr="00244940">
        <w:rPr>
          <w:rFonts w:ascii="Arial" w:hAnsi="Arial" w:cs="Arial"/>
          <w:i/>
          <w:sz w:val="24"/>
          <w:szCs w:val="24"/>
          <w:lang w:val="en-US"/>
        </w:rPr>
        <w:t xml:space="preserve">Imobrite </w:t>
      </w:r>
      <w:r w:rsidR="00D3716A" w:rsidRPr="00244940">
        <w:rPr>
          <w:rFonts w:ascii="Arial" w:hAnsi="Arial" w:cs="Arial"/>
          <w:sz w:val="24"/>
          <w:szCs w:val="24"/>
        </w:rPr>
        <w:t>it may</w:t>
      </w:r>
      <w:r w:rsidR="00D3716A">
        <w:rPr>
          <w:rFonts w:ascii="Arial" w:hAnsi="Arial" w:cs="Arial"/>
          <w:sz w:val="24"/>
          <w:szCs w:val="24"/>
        </w:rPr>
        <w:t xml:space="preserve"> well be that due to the lapse of time between when the members </w:t>
      </w:r>
      <w:r w:rsidR="007742E8">
        <w:rPr>
          <w:rFonts w:ascii="Arial" w:hAnsi="Arial" w:cs="Arial"/>
          <w:sz w:val="24"/>
          <w:szCs w:val="24"/>
        </w:rPr>
        <w:t xml:space="preserve">last </w:t>
      </w:r>
      <w:r w:rsidR="00D3716A">
        <w:rPr>
          <w:rFonts w:ascii="Arial" w:hAnsi="Arial" w:cs="Arial"/>
          <w:sz w:val="24"/>
          <w:szCs w:val="24"/>
        </w:rPr>
        <w:t xml:space="preserve">interacted; the service of the application to interested parties and the subsequent disposal of this application </w:t>
      </w:r>
      <w:r w:rsidR="007F4A1E">
        <w:rPr>
          <w:rFonts w:ascii="Arial" w:hAnsi="Arial" w:cs="Arial"/>
          <w:sz w:val="24"/>
          <w:szCs w:val="24"/>
        </w:rPr>
        <w:t xml:space="preserve">that </w:t>
      </w:r>
      <w:r w:rsidR="00D3716A">
        <w:rPr>
          <w:rFonts w:ascii="Arial" w:hAnsi="Arial" w:cs="Arial"/>
          <w:sz w:val="24"/>
          <w:szCs w:val="24"/>
        </w:rPr>
        <w:t xml:space="preserve">there had been developments which necessitate the granting of </w:t>
      </w:r>
      <w:r w:rsidR="007742E8">
        <w:rPr>
          <w:rFonts w:ascii="Arial" w:hAnsi="Arial" w:cs="Arial"/>
          <w:sz w:val="24"/>
          <w:szCs w:val="24"/>
        </w:rPr>
        <w:t xml:space="preserve">an </w:t>
      </w:r>
      <w:r w:rsidR="00D3716A">
        <w:rPr>
          <w:rFonts w:ascii="Arial" w:hAnsi="Arial" w:cs="Arial"/>
          <w:sz w:val="24"/>
          <w:szCs w:val="24"/>
        </w:rPr>
        <w:t xml:space="preserve">opportunity for interested parties to support or oppose the granting of the final order. </w:t>
      </w:r>
    </w:p>
    <w:p w14:paraId="4A861E7B" w14:textId="77777777" w:rsidR="00D3716A" w:rsidRPr="00D3716A" w:rsidRDefault="00D3716A" w:rsidP="00F57A2E">
      <w:pPr>
        <w:spacing w:after="0" w:line="360" w:lineRule="auto"/>
        <w:jc w:val="both"/>
        <w:rPr>
          <w:rFonts w:ascii="Arial" w:hAnsi="Arial" w:cs="Arial"/>
          <w:sz w:val="24"/>
          <w:szCs w:val="24"/>
        </w:rPr>
      </w:pPr>
    </w:p>
    <w:p w14:paraId="164C2097" w14:textId="77777777" w:rsidR="00D3716A" w:rsidRPr="00D3716A" w:rsidRDefault="00E43301" w:rsidP="00E43301">
      <w:pPr>
        <w:spacing w:after="0" w:line="360" w:lineRule="auto"/>
        <w:jc w:val="both"/>
        <w:rPr>
          <w:rFonts w:ascii="Arial" w:hAnsi="Arial" w:cs="Arial"/>
          <w:sz w:val="24"/>
          <w:szCs w:val="24"/>
        </w:rPr>
      </w:pPr>
      <w:r>
        <w:rPr>
          <w:rFonts w:ascii="Arial" w:hAnsi="Arial" w:cs="Arial"/>
          <w:sz w:val="24"/>
          <w:szCs w:val="24"/>
        </w:rPr>
        <w:lastRenderedPageBreak/>
        <w:t>[68]</w:t>
      </w:r>
      <w:r>
        <w:rPr>
          <w:rFonts w:ascii="Arial" w:hAnsi="Arial" w:cs="Arial"/>
          <w:sz w:val="24"/>
          <w:szCs w:val="24"/>
        </w:rPr>
        <w:tab/>
      </w:r>
      <w:r w:rsidR="00D3716A">
        <w:rPr>
          <w:rFonts w:ascii="Arial" w:hAnsi="Arial" w:cs="Arial"/>
          <w:sz w:val="24"/>
          <w:szCs w:val="24"/>
        </w:rPr>
        <w:t xml:space="preserve">The motivation on behalf of the applicant for </w:t>
      </w:r>
      <w:r w:rsidR="007F4A1E">
        <w:rPr>
          <w:rFonts w:ascii="Arial" w:hAnsi="Arial" w:cs="Arial"/>
          <w:sz w:val="24"/>
          <w:szCs w:val="24"/>
        </w:rPr>
        <w:t xml:space="preserve">a </w:t>
      </w:r>
      <w:r w:rsidR="00D3716A">
        <w:rPr>
          <w:rFonts w:ascii="Arial" w:hAnsi="Arial" w:cs="Arial"/>
          <w:sz w:val="24"/>
          <w:szCs w:val="24"/>
        </w:rPr>
        <w:t xml:space="preserve">departure from the general practice in this regard has not been </w:t>
      </w:r>
      <w:r w:rsidR="002F6332">
        <w:rPr>
          <w:rFonts w:ascii="Arial" w:hAnsi="Arial" w:cs="Arial"/>
          <w:sz w:val="24"/>
          <w:szCs w:val="24"/>
        </w:rPr>
        <w:t>convincing</w:t>
      </w:r>
      <w:r w:rsidR="00D3716A">
        <w:rPr>
          <w:rFonts w:ascii="Arial" w:hAnsi="Arial" w:cs="Arial"/>
          <w:sz w:val="24"/>
          <w:szCs w:val="24"/>
        </w:rPr>
        <w:t xml:space="preserve">. One is not persuaded that </w:t>
      </w:r>
      <w:r w:rsidR="007742E8">
        <w:rPr>
          <w:rFonts w:ascii="Arial" w:hAnsi="Arial" w:cs="Arial"/>
          <w:sz w:val="24"/>
          <w:szCs w:val="24"/>
        </w:rPr>
        <w:t xml:space="preserve">a </w:t>
      </w:r>
      <w:r w:rsidR="00D3716A">
        <w:rPr>
          <w:rFonts w:ascii="Arial" w:hAnsi="Arial" w:cs="Arial"/>
          <w:sz w:val="24"/>
          <w:szCs w:val="24"/>
        </w:rPr>
        <w:t xml:space="preserve">departure from the practice </w:t>
      </w:r>
      <w:r w:rsidR="00E27A73">
        <w:rPr>
          <w:rFonts w:ascii="Arial" w:hAnsi="Arial" w:cs="Arial"/>
          <w:sz w:val="24"/>
          <w:szCs w:val="24"/>
        </w:rPr>
        <w:t xml:space="preserve">in the given circumstances is justified. </w:t>
      </w:r>
      <w:r w:rsidR="002F6332">
        <w:rPr>
          <w:rFonts w:ascii="Arial" w:hAnsi="Arial" w:cs="Arial"/>
          <w:sz w:val="24"/>
          <w:szCs w:val="24"/>
        </w:rPr>
        <w:t xml:space="preserve">One is alive to </w:t>
      </w:r>
      <w:r w:rsidR="007742E8">
        <w:rPr>
          <w:rFonts w:ascii="Arial" w:hAnsi="Arial" w:cs="Arial"/>
          <w:sz w:val="24"/>
          <w:szCs w:val="24"/>
        </w:rPr>
        <w:t xml:space="preserve">the fact </w:t>
      </w:r>
      <w:r w:rsidR="002F6332">
        <w:rPr>
          <w:rFonts w:ascii="Arial" w:hAnsi="Arial" w:cs="Arial"/>
          <w:sz w:val="24"/>
          <w:szCs w:val="24"/>
        </w:rPr>
        <w:t xml:space="preserve">that the applicant did not seek an interim order in </w:t>
      </w:r>
      <w:r w:rsidR="007742E8">
        <w:rPr>
          <w:rFonts w:ascii="Arial" w:hAnsi="Arial" w:cs="Arial"/>
          <w:sz w:val="24"/>
          <w:szCs w:val="24"/>
        </w:rPr>
        <w:t>her</w:t>
      </w:r>
      <w:r w:rsidR="002F6332">
        <w:rPr>
          <w:rFonts w:ascii="Arial" w:hAnsi="Arial" w:cs="Arial"/>
          <w:sz w:val="24"/>
          <w:szCs w:val="24"/>
        </w:rPr>
        <w:t xml:space="preserve"> notice of motion. However, a case of winding-up of the second respondent has been made and the parties made submission</w:t>
      </w:r>
      <w:r w:rsidR="007742E8">
        <w:rPr>
          <w:rFonts w:ascii="Arial" w:hAnsi="Arial" w:cs="Arial"/>
          <w:sz w:val="24"/>
          <w:szCs w:val="24"/>
        </w:rPr>
        <w:t>s</w:t>
      </w:r>
      <w:r w:rsidR="002F6332">
        <w:rPr>
          <w:rFonts w:ascii="Arial" w:hAnsi="Arial" w:cs="Arial"/>
          <w:sz w:val="24"/>
          <w:szCs w:val="24"/>
        </w:rPr>
        <w:t xml:space="preserve"> on the consideration of the granting of the interim as opposed to the final order of winding-up sought. In light of the discussion above, the efficacy </w:t>
      </w:r>
      <w:r w:rsidR="00BB4349">
        <w:rPr>
          <w:rFonts w:ascii="Arial" w:hAnsi="Arial" w:cs="Arial"/>
          <w:sz w:val="24"/>
          <w:szCs w:val="24"/>
        </w:rPr>
        <w:t xml:space="preserve">of the administration of justice </w:t>
      </w:r>
      <w:r w:rsidR="002F6332">
        <w:rPr>
          <w:rFonts w:ascii="Arial" w:hAnsi="Arial" w:cs="Arial"/>
          <w:sz w:val="24"/>
          <w:szCs w:val="24"/>
        </w:rPr>
        <w:t xml:space="preserve">will not be offended if an interim order </w:t>
      </w:r>
      <w:r w:rsidR="007742E8">
        <w:rPr>
          <w:rFonts w:ascii="Arial" w:hAnsi="Arial" w:cs="Arial"/>
          <w:sz w:val="24"/>
          <w:szCs w:val="24"/>
        </w:rPr>
        <w:t>is</w:t>
      </w:r>
      <w:r w:rsidR="002F6332">
        <w:rPr>
          <w:rFonts w:ascii="Arial" w:hAnsi="Arial" w:cs="Arial"/>
          <w:sz w:val="24"/>
          <w:szCs w:val="24"/>
        </w:rPr>
        <w:t xml:space="preserve"> granted.  </w:t>
      </w:r>
    </w:p>
    <w:p w14:paraId="018AF469" w14:textId="77777777" w:rsidR="00BC6575" w:rsidRPr="00BC6575" w:rsidRDefault="00BC6575" w:rsidP="00F57A2E">
      <w:pPr>
        <w:spacing w:after="0" w:line="360" w:lineRule="auto"/>
        <w:jc w:val="both"/>
        <w:rPr>
          <w:rFonts w:ascii="Arial" w:hAnsi="Arial" w:cs="Arial"/>
          <w:sz w:val="24"/>
          <w:szCs w:val="24"/>
        </w:rPr>
      </w:pPr>
    </w:p>
    <w:p w14:paraId="4ACF126C" w14:textId="77777777" w:rsidR="00704D26" w:rsidRPr="00E43301" w:rsidRDefault="00704D26" w:rsidP="00E43301">
      <w:pPr>
        <w:spacing w:after="0" w:line="360" w:lineRule="auto"/>
        <w:jc w:val="both"/>
        <w:rPr>
          <w:rFonts w:ascii="Arial" w:hAnsi="Arial" w:cs="Arial"/>
          <w:b/>
          <w:sz w:val="24"/>
          <w:szCs w:val="24"/>
        </w:rPr>
      </w:pPr>
      <w:r w:rsidRPr="00704D26">
        <w:rPr>
          <w:rFonts w:ascii="Arial" w:hAnsi="Arial" w:cs="Arial"/>
          <w:b/>
          <w:sz w:val="24"/>
          <w:szCs w:val="24"/>
        </w:rPr>
        <w:t>Order</w:t>
      </w:r>
    </w:p>
    <w:p w14:paraId="05028E82" w14:textId="77777777" w:rsidR="00BC6575" w:rsidRDefault="00E43301" w:rsidP="00E43301">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BC6575">
        <w:rPr>
          <w:rFonts w:ascii="Arial" w:hAnsi="Arial" w:cs="Arial"/>
          <w:sz w:val="24"/>
          <w:szCs w:val="24"/>
        </w:rPr>
        <w:t xml:space="preserve">The following order </w:t>
      </w:r>
      <w:r>
        <w:rPr>
          <w:rFonts w:ascii="Arial" w:hAnsi="Arial" w:cs="Arial"/>
          <w:sz w:val="24"/>
          <w:szCs w:val="24"/>
        </w:rPr>
        <w:t>shall issue</w:t>
      </w:r>
      <w:r w:rsidR="00BC6575">
        <w:rPr>
          <w:rFonts w:ascii="Arial" w:hAnsi="Arial" w:cs="Arial"/>
          <w:sz w:val="24"/>
          <w:szCs w:val="24"/>
        </w:rPr>
        <w:t xml:space="preserve">: </w:t>
      </w:r>
    </w:p>
    <w:p w14:paraId="4E21C4ED" w14:textId="77777777" w:rsidR="00BC6575" w:rsidRPr="00BC6575" w:rsidRDefault="00BC6575" w:rsidP="00BC6575">
      <w:pPr>
        <w:pStyle w:val="ListParagraph"/>
        <w:rPr>
          <w:rFonts w:ascii="Arial" w:hAnsi="Arial" w:cs="Arial"/>
          <w:sz w:val="24"/>
          <w:szCs w:val="24"/>
        </w:rPr>
      </w:pPr>
    </w:p>
    <w:p w14:paraId="008C9EAE" w14:textId="75BF66B0" w:rsidR="00704D26" w:rsidRPr="008A6491" w:rsidRDefault="008A6491" w:rsidP="008A6491">
      <w:pPr>
        <w:spacing w:line="360" w:lineRule="auto"/>
        <w:ind w:left="1080" w:hanging="720"/>
        <w:jc w:val="both"/>
        <w:rPr>
          <w:rFonts w:ascii="Arial" w:hAnsi="Arial" w:cs="Arial"/>
          <w:sz w:val="24"/>
          <w:szCs w:val="24"/>
        </w:rPr>
      </w:pPr>
      <w:r w:rsidRPr="00704D26">
        <w:rPr>
          <w:rFonts w:ascii="Arial" w:hAnsi="Arial" w:cs="Arial"/>
          <w:sz w:val="24"/>
          <w:szCs w:val="24"/>
        </w:rPr>
        <w:t>1.</w:t>
      </w:r>
      <w:r w:rsidRPr="00704D26">
        <w:rPr>
          <w:rFonts w:ascii="Arial" w:hAnsi="Arial" w:cs="Arial"/>
          <w:sz w:val="24"/>
          <w:szCs w:val="24"/>
        </w:rPr>
        <w:tab/>
      </w:r>
      <w:r w:rsidR="00704D26" w:rsidRPr="008A6491">
        <w:rPr>
          <w:rFonts w:ascii="Arial" w:hAnsi="Arial" w:cs="Arial"/>
          <w:sz w:val="24"/>
          <w:szCs w:val="24"/>
        </w:rPr>
        <w:t xml:space="preserve">The second respondent, </w:t>
      </w:r>
      <w:proofErr w:type="spellStart"/>
      <w:r w:rsidR="00704D26" w:rsidRPr="008A6491">
        <w:rPr>
          <w:rFonts w:ascii="Arial" w:hAnsi="Arial" w:cs="Arial"/>
          <w:sz w:val="24"/>
          <w:szCs w:val="24"/>
        </w:rPr>
        <w:t>Minamb</w:t>
      </w:r>
      <w:proofErr w:type="spellEnd"/>
      <w:r w:rsidR="00704D26" w:rsidRPr="008A6491">
        <w:rPr>
          <w:rFonts w:ascii="Arial" w:hAnsi="Arial" w:cs="Arial"/>
          <w:sz w:val="24"/>
          <w:szCs w:val="24"/>
        </w:rPr>
        <w:t xml:space="preserve"> Properties CC, with registration number: (</w:t>
      </w:r>
      <w:r w:rsidRPr="008A6491">
        <w:rPr>
          <w:rFonts w:ascii="Arial" w:hAnsi="Arial" w:cs="Arial"/>
          <w:sz w:val="24"/>
          <w:szCs w:val="24"/>
        </w:rPr>
        <w:t>[…]</w:t>
      </w:r>
      <w:r w:rsidR="00704D26" w:rsidRPr="008A6491">
        <w:rPr>
          <w:rFonts w:ascii="Arial" w:hAnsi="Arial" w:cs="Arial"/>
          <w:sz w:val="24"/>
          <w:szCs w:val="24"/>
        </w:rPr>
        <w:t>), is placed under a provisional order of winding-up in the hands of the Master of the KwaZulu</w:t>
      </w:r>
      <w:r w:rsidR="00103189" w:rsidRPr="008A6491">
        <w:rPr>
          <w:rFonts w:ascii="Arial" w:hAnsi="Arial" w:cs="Arial"/>
          <w:sz w:val="24"/>
          <w:szCs w:val="24"/>
        </w:rPr>
        <w:t>-</w:t>
      </w:r>
      <w:r w:rsidR="00704D26" w:rsidRPr="008A6491">
        <w:rPr>
          <w:rFonts w:ascii="Arial" w:hAnsi="Arial" w:cs="Arial"/>
          <w:sz w:val="24"/>
          <w:szCs w:val="24"/>
        </w:rPr>
        <w:t>Natal Division of the High Court</w:t>
      </w:r>
      <w:r w:rsidR="00683FFE" w:rsidRPr="008A6491">
        <w:rPr>
          <w:rFonts w:ascii="Arial" w:hAnsi="Arial" w:cs="Arial"/>
          <w:sz w:val="24"/>
          <w:szCs w:val="24"/>
        </w:rPr>
        <w:t>, Durban</w:t>
      </w:r>
      <w:r w:rsidR="00704D26" w:rsidRPr="008A6491">
        <w:rPr>
          <w:rFonts w:ascii="Arial" w:hAnsi="Arial" w:cs="Arial"/>
          <w:sz w:val="24"/>
          <w:szCs w:val="24"/>
        </w:rPr>
        <w:t>.</w:t>
      </w:r>
    </w:p>
    <w:p w14:paraId="2DB01FE0" w14:textId="5E81C72C" w:rsidR="00704D26" w:rsidRPr="008A6491" w:rsidRDefault="008A6491" w:rsidP="008A6491">
      <w:pPr>
        <w:spacing w:line="360" w:lineRule="auto"/>
        <w:ind w:left="108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704D26" w:rsidRPr="008A6491">
        <w:rPr>
          <w:rFonts w:ascii="Arial" w:hAnsi="Arial" w:cs="Arial"/>
          <w:sz w:val="24"/>
          <w:szCs w:val="24"/>
        </w:rPr>
        <w:t>A rule nisi is issued calling upon the</w:t>
      </w:r>
      <w:r w:rsidR="00683FFE" w:rsidRPr="008A6491">
        <w:rPr>
          <w:rFonts w:ascii="Arial" w:hAnsi="Arial" w:cs="Arial"/>
          <w:sz w:val="24"/>
          <w:szCs w:val="24"/>
        </w:rPr>
        <w:t xml:space="preserve"> </w:t>
      </w:r>
      <w:r w:rsidR="00704D26" w:rsidRPr="008A6491">
        <w:rPr>
          <w:rFonts w:ascii="Arial" w:hAnsi="Arial" w:cs="Arial"/>
          <w:sz w:val="24"/>
          <w:szCs w:val="24"/>
        </w:rPr>
        <w:t>respondent</w:t>
      </w:r>
      <w:r w:rsidR="00164898" w:rsidRPr="008A6491">
        <w:rPr>
          <w:rFonts w:ascii="Arial" w:hAnsi="Arial" w:cs="Arial"/>
          <w:sz w:val="24"/>
          <w:szCs w:val="24"/>
        </w:rPr>
        <w:t>s</w:t>
      </w:r>
      <w:r w:rsidR="00704D26" w:rsidRPr="008A6491">
        <w:rPr>
          <w:rFonts w:ascii="Arial" w:hAnsi="Arial" w:cs="Arial"/>
          <w:sz w:val="24"/>
          <w:szCs w:val="24"/>
        </w:rPr>
        <w:t xml:space="preserve"> and all interested parties to show cause, if any, to the high court within six weeks of the issuance of this order, as to why:</w:t>
      </w:r>
    </w:p>
    <w:p w14:paraId="58C3A3B9" w14:textId="7B7E38E0" w:rsidR="00704D26"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83FFE" w:rsidRPr="008A6491">
        <w:rPr>
          <w:rFonts w:ascii="Arial" w:hAnsi="Arial" w:cs="Arial"/>
          <w:sz w:val="24"/>
          <w:szCs w:val="24"/>
        </w:rPr>
        <w:t>t</w:t>
      </w:r>
      <w:r w:rsidR="00704D26" w:rsidRPr="008A6491">
        <w:rPr>
          <w:rFonts w:ascii="Arial" w:hAnsi="Arial" w:cs="Arial"/>
          <w:sz w:val="24"/>
          <w:szCs w:val="24"/>
        </w:rPr>
        <w:t>he second respondent should not be placed under a final order of winding-up;</w:t>
      </w:r>
      <w:r w:rsidR="00683FFE" w:rsidRPr="008A6491">
        <w:rPr>
          <w:rFonts w:ascii="Arial" w:hAnsi="Arial" w:cs="Arial"/>
          <w:sz w:val="24"/>
          <w:szCs w:val="24"/>
        </w:rPr>
        <w:t xml:space="preserve"> and</w:t>
      </w:r>
    </w:p>
    <w:p w14:paraId="646CE342" w14:textId="03543B28" w:rsidR="00704D26" w:rsidRPr="008A6491" w:rsidRDefault="008A6491" w:rsidP="008A6491">
      <w:pPr>
        <w:spacing w:line="360" w:lineRule="auto"/>
        <w:ind w:left="1440" w:hanging="360"/>
        <w:jc w:val="both"/>
        <w:rPr>
          <w:rFonts w:ascii="Arial" w:hAnsi="Arial" w:cs="Arial"/>
          <w:sz w:val="24"/>
          <w:szCs w:val="24"/>
        </w:rPr>
      </w:pPr>
      <w:r w:rsidRPr="00C718BD">
        <w:rPr>
          <w:rFonts w:ascii="Arial" w:hAnsi="Arial" w:cs="Arial"/>
          <w:sz w:val="24"/>
          <w:szCs w:val="24"/>
        </w:rPr>
        <w:t>(b)</w:t>
      </w:r>
      <w:r w:rsidRPr="00C718BD">
        <w:rPr>
          <w:rFonts w:ascii="Arial" w:hAnsi="Arial" w:cs="Arial"/>
          <w:sz w:val="24"/>
          <w:szCs w:val="24"/>
        </w:rPr>
        <w:tab/>
      </w:r>
      <w:r w:rsidR="00683FFE" w:rsidRPr="008A6491">
        <w:rPr>
          <w:rFonts w:ascii="Arial" w:hAnsi="Arial" w:cs="Arial"/>
          <w:sz w:val="24"/>
          <w:szCs w:val="24"/>
        </w:rPr>
        <w:t>t</w:t>
      </w:r>
      <w:r w:rsidR="00704D26" w:rsidRPr="008A6491">
        <w:rPr>
          <w:rFonts w:ascii="Arial" w:hAnsi="Arial" w:cs="Arial"/>
          <w:sz w:val="24"/>
          <w:szCs w:val="24"/>
        </w:rPr>
        <w:t xml:space="preserve">he costs of this application </w:t>
      </w:r>
      <w:r w:rsidR="00683FFE" w:rsidRPr="008A6491">
        <w:rPr>
          <w:rFonts w:ascii="Arial" w:hAnsi="Arial" w:cs="Arial"/>
          <w:sz w:val="24"/>
          <w:szCs w:val="24"/>
        </w:rPr>
        <w:t xml:space="preserve">should not </w:t>
      </w:r>
      <w:r w:rsidR="00704D26" w:rsidRPr="008A6491">
        <w:rPr>
          <w:rFonts w:ascii="Arial" w:hAnsi="Arial" w:cs="Arial"/>
          <w:sz w:val="24"/>
          <w:szCs w:val="24"/>
        </w:rPr>
        <w:t>be costs in the winding-up</w:t>
      </w:r>
      <w:r w:rsidR="00103189" w:rsidRPr="008A6491">
        <w:rPr>
          <w:rFonts w:ascii="Arial" w:hAnsi="Arial" w:cs="Arial"/>
          <w:sz w:val="24"/>
          <w:szCs w:val="24"/>
        </w:rPr>
        <w:t>.</w:t>
      </w:r>
    </w:p>
    <w:p w14:paraId="4057447A" w14:textId="475A4FE3" w:rsidR="00704D26" w:rsidRPr="008A6491" w:rsidRDefault="008A6491" w:rsidP="008A6491">
      <w:pPr>
        <w:spacing w:line="360" w:lineRule="auto"/>
        <w:ind w:left="108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704D26" w:rsidRPr="008A6491">
        <w:rPr>
          <w:rFonts w:ascii="Arial" w:hAnsi="Arial" w:cs="Arial"/>
          <w:sz w:val="24"/>
          <w:szCs w:val="24"/>
        </w:rPr>
        <w:t xml:space="preserve">Service of this order shall be </w:t>
      </w:r>
      <w:proofErr w:type="gramStart"/>
      <w:r w:rsidR="00704D26" w:rsidRPr="008A6491">
        <w:rPr>
          <w:rFonts w:ascii="Arial" w:hAnsi="Arial" w:cs="Arial"/>
          <w:sz w:val="24"/>
          <w:szCs w:val="24"/>
        </w:rPr>
        <w:t>effected</w:t>
      </w:r>
      <w:proofErr w:type="gramEnd"/>
      <w:r w:rsidR="00704D26" w:rsidRPr="008A6491">
        <w:rPr>
          <w:rFonts w:ascii="Arial" w:hAnsi="Arial" w:cs="Arial"/>
          <w:sz w:val="24"/>
          <w:szCs w:val="24"/>
        </w:rPr>
        <w:t>:</w:t>
      </w:r>
    </w:p>
    <w:p w14:paraId="6EEACC91" w14:textId="19B25A48" w:rsidR="00704D26"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103189" w:rsidRPr="008A6491">
        <w:rPr>
          <w:rFonts w:ascii="Arial" w:hAnsi="Arial" w:cs="Arial"/>
          <w:sz w:val="24"/>
          <w:szCs w:val="24"/>
        </w:rPr>
        <w:t>b</w:t>
      </w:r>
      <w:r w:rsidR="00704D26" w:rsidRPr="008A6491">
        <w:rPr>
          <w:rFonts w:ascii="Arial" w:hAnsi="Arial" w:cs="Arial"/>
          <w:sz w:val="24"/>
          <w:szCs w:val="24"/>
        </w:rPr>
        <w:t xml:space="preserve">y the sheriff of the high court or his lawful deputy on the registered office of the second </w:t>
      </w:r>
      <w:proofErr w:type="gramStart"/>
      <w:r w:rsidR="00704D26" w:rsidRPr="008A6491">
        <w:rPr>
          <w:rFonts w:ascii="Arial" w:hAnsi="Arial" w:cs="Arial"/>
          <w:sz w:val="24"/>
          <w:szCs w:val="24"/>
        </w:rPr>
        <w:t>respondent;</w:t>
      </w:r>
      <w:proofErr w:type="gramEnd"/>
    </w:p>
    <w:p w14:paraId="40B6C51F" w14:textId="4EB0BDFA" w:rsidR="00704D26"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103189" w:rsidRPr="008A6491">
        <w:rPr>
          <w:rFonts w:ascii="Arial" w:hAnsi="Arial" w:cs="Arial"/>
          <w:sz w:val="24"/>
          <w:szCs w:val="24"/>
        </w:rPr>
        <w:t>o</w:t>
      </w:r>
      <w:r w:rsidR="00704D26" w:rsidRPr="008A6491">
        <w:rPr>
          <w:rFonts w:ascii="Arial" w:hAnsi="Arial" w:cs="Arial"/>
          <w:sz w:val="24"/>
          <w:szCs w:val="24"/>
        </w:rPr>
        <w:t xml:space="preserve">n the South African Revenue </w:t>
      </w:r>
      <w:proofErr w:type="gramStart"/>
      <w:r w:rsidR="00704D26" w:rsidRPr="008A6491">
        <w:rPr>
          <w:rFonts w:ascii="Arial" w:hAnsi="Arial" w:cs="Arial"/>
          <w:sz w:val="24"/>
          <w:szCs w:val="24"/>
        </w:rPr>
        <w:t>Services;</w:t>
      </w:r>
      <w:proofErr w:type="gramEnd"/>
    </w:p>
    <w:p w14:paraId="3EB50636" w14:textId="646FB3F1" w:rsidR="00704D26"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103189" w:rsidRPr="008A6491">
        <w:rPr>
          <w:rFonts w:ascii="Arial" w:hAnsi="Arial" w:cs="Arial"/>
          <w:sz w:val="24"/>
          <w:szCs w:val="24"/>
        </w:rPr>
        <w:t>b</w:t>
      </w:r>
      <w:r w:rsidR="00704D26" w:rsidRPr="008A6491">
        <w:rPr>
          <w:rFonts w:ascii="Arial" w:hAnsi="Arial" w:cs="Arial"/>
          <w:sz w:val="24"/>
          <w:szCs w:val="24"/>
        </w:rPr>
        <w:t xml:space="preserve">y publication in the edition of </w:t>
      </w:r>
      <w:r w:rsidR="00683FFE" w:rsidRPr="008A6491">
        <w:rPr>
          <w:rFonts w:ascii="Arial" w:hAnsi="Arial" w:cs="Arial"/>
          <w:sz w:val="24"/>
          <w:szCs w:val="24"/>
        </w:rPr>
        <w:t>t</w:t>
      </w:r>
      <w:r w:rsidR="00704D26" w:rsidRPr="008A6491">
        <w:rPr>
          <w:rFonts w:ascii="Arial" w:hAnsi="Arial" w:cs="Arial"/>
          <w:sz w:val="24"/>
          <w:szCs w:val="24"/>
        </w:rPr>
        <w:t xml:space="preserve">he Mercury Newspaper and another newspaper circulating in the area where the second respondent carries on business and in the </w:t>
      </w:r>
      <w:r w:rsidR="00683FFE" w:rsidRPr="008A6491">
        <w:rPr>
          <w:rFonts w:ascii="Arial" w:hAnsi="Arial" w:cs="Arial"/>
          <w:sz w:val="24"/>
          <w:szCs w:val="24"/>
        </w:rPr>
        <w:t>G</w:t>
      </w:r>
      <w:r w:rsidR="00704D26" w:rsidRPr="008A6491">
        <w:rPr>
          <w:rFonts w:ascii="Arial" w:hAnsi="Arial" w:cs="Arial"/>
          <w:sz w:val="24"/>
          <w:szCs w:val="24"/>
        </w:rPr>
        <w:t xml:space="preserve">overnment </w:t>
      </w:r>
      <w:proofErr w:type="gramStart"/>
      <w:r w:rsidR="00683FFE" w:rsidRPr="008A6491">
        <w:rPr>
          <w:rFonts w:ascii="Arial" w:hAnsi="Arial" w:cs="Arial"/>
          <w:sz w:val="24"/>
          <w:szCs w:val="24"/>
        </w:rPr>
        <w:t>G</w:t>
      </w:r>
      <w:r w:rsidR="00704D26" w:rsidRPr="008A6491">
        <w:rPr>
          <w:rFonts w:ascii="Arial" w:hAnsi="Arial" w:cs="Arial"/>
          <w:sz w:val="24"/>
          <w:szCs w:val="24"/>
        </w:rPr>
        <w:t>azette</w:t>
      </w:r>
      <w:r w:rsidR="00103189" w:rsidRPr="008A6491">
        <w:rPr>
          <w:rFonts w:ascii="Arial" w:hAnsi="Arial" w:cs="Arial"/>
          <w:sz w:val="24"/>
          <w:szCs w:val="24"/>
        </w:rPr>
        <w:t>;</w:t>
      </w:r>
      <w:proofErr w:type="gramEnd"/>
    </w:p>
    <w:p w14:paraId="41BC1830" w14:textId="06A73249" w:rsidR="00704D26"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103189" w:rsidRPr="008A6491">
        <w:rPr>
          <w:rFonts w:ascii="Arial" w:hAnsi="Arial" w:cs="Arial"/>
          <w:sz w:val="24"/>
          <w:szCs w:val="24"/>
        </w:rPr>
        <w:t>b</w:t>
      </w:r>
      <w:r w:rsidR="00704D26" w:rsidRPr="008A6491">
        <w:rPr>
          <w:rFonts w:ascii="Arial" w:hAnsi="Arial" w:cs="Arial"/>
          <w:sz w:val="24"/>
          <w:szCs w:val="24"/>
        </w:rPr>
        <w:t xml:space="preserve">y registered post on all known creditors of the second </w:t>
      </w:r>
      <w:proofErr w:type="gramStart"/>
      <w:r w:rsidR="00704D26" w:rsidRPr="008A6491">
        <w:rPr>
          <w:rFonts w:ascii="Arial" w:hAnsi="Arial" w:cs="Arial"/>
          <w:sz w:val="24"/>
          <w:szCs w:val="24"/>
        </w:rPr>
        <w:t>respondent</w:t>
      </w:r>
      <w:r w:rsidR="00103189" w:rsidRPr="008A6491">
        <w:rPr>
          <w:rFonts w:ascii="Arial" w:hAnsi="Arial" w:cs="Arial"/>
          <w:sz w:val="24"/>
          <w:szCs w:val="24"/>
        </w:rPr>
        <w:t>;</w:t>
      </w:r>
      <w:proofErr w:type="gramEnd"/>
    </w:p>
    <w:p w14:paraId="67F8C9B8" w14:textId="35819DEC" w:rsidR="00704D26" w:rsidRPr="008A6491" w:rsidRDefault="008A6491" w:rsidP="008A6491">
      <w:pPr>
        <w:spacing w:line="360" w:lineRule="auto"/>
        <w:ind w:left="144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103189" w:rsidRPr="008A6491">
        <w:rPr>
          <w:rFonts w:ascii="Arial" w:hAnsi="Arial" w:cs="Arial"/>
          <w:sz w:val="24"/>
          <w:szCs w:val="24"/>
        </w:rPr>
        <w:t>o</w:t>
      </w:r>
      <w:r w:rsidR="00704D26" w:rsidRPr="008A6491">
        <w:rPr>
          <w:rFonts w:ascii="Arial" w:hAnsi="Arial" w:cs="Arial"/>
          <w:sz w:val="24"/>
          <w:szCs w:val="24"/>
        </w:rPr>
        <w:t>n all employees of the second respondent</w:t>
      </w:r>
      <w:r w:rsidR="00103189" w:rsidRPr="008A6491">
        <w:rPr>
          <w:rFonts w:ascii="Arial" w:hAnsi="Arial" w:cs="Arial"/>
          <w:sz w:val="24"/>
          <w:szCs w:val="24"/>
        </w:rPr>
        <w:t>; and</w:t>
      </w:r>
    </w:p>
    <w:p w14:paraId="4E5F8158" w14:textId="42D032C7" w:rsidR="008A0532" w:rsidRPr="008A6491" w:rsidRDefault="008A6491" w:rsidP="008A6491">
      <w:pPr>
        <w:spacing w:line="360" w:lineRule="auto"/>
        <w:ind w:left="1440" w:hanging="360"/>
        <w:jc w:val="both"/>
        <w:rPr>
          <w:rFonts w:ascii="Arial" w:hAnsi="Arial" w:cs="Arial"/>
          <w:sz w:val="24"/>
          <w:szCs w:val="24"/>
        </w:rPr>
      </w:pPr>
      <w:r w:rsidRPr="003B6405">
        <w:rPr>
          <w:rFonts w:ascii="Arial" w:hAnsi="Arial" w:cs="Arial"/>
          <w:sz w:val="24"/>
          <w:szCs w:val="24"/>
        </w:rPr>
        <w:lastRenderedPageBreak/>
        <w:t>(f)</w:t>
      </w:r>
      <w:r w:rsidRPr="003B6405">
        <w:rPr>
          <w:rFonts w:ascii="Arial" w:hAnsi="Arial" w:cs="Arial"/>
          <w:sz w:val="24"/>
          <w:szCs w:val="24"/>
        </w:rPr>
        <w:tab/>
      </w:r>
      <w:r w:rsidR="00103189" w:rsidRPr="008A6491">
        <w:rPr>
          <w:rFonts w:ascii="Arial" w:hAnsi="Arial" w:cs="Arial"/>
          <w:sz w:val="24"/>
          <w:szCs w:val="24"/>
        </w:rPr>
        <w:t>a</w:t>
      </w:r>
      <w:r w:rsidR="00704D26" w:rsidRPr="008A6491">
        <w:rPr>
          <w:rFonts w:ascii="Arial" w:hAnsi="Arial" w:cs="Arial"/>
          <w:sz w:val="24"/>
          <w:szCs w:val="24"/>
        </w:rPr>
        <w:t>nd any registered trade union that employees of the second respondent may belong</w:t>
      </w:r>
      <w:r w:rsidR="003B6405" w:rsidRPr="008A6491">
        <w:rPr>
          <w:rFonts w:ascii="Arial" w:hAnsi="Arial" w:cs="Arial"/>
          <w:sz w:val="24"/>
          <w:szCs w:val="24"/>
        </w:rPr>
        <w:t xml:space="preserve"> to</w:t>
      </w:r>
    </w:p>
    <w:p w14:paraId="40F1DD38" w14:textId="77777777" w:rsidR="00A14151" w:rsidRPr="003B6405" w:rsidRDefault="00A14151" w:rsidP="003B6405">
      <w:pPr>
        <w:spacing w:line="360" w:lineRule="auto"/>
        <w:jc w:val="both"/>
        <w:rPr>
          <w:rFonts w:ascii="Arial" w:hAnsi="Arial" w:cs="Arial"/>
          <w:sz w:val="24"/>
          <w:szCs w:val="24"/>
        </w:rPr>
      </w:pPr>
    </w:p>
    <w:p w14:paraId="19C0756D" w14:textId="77777777" w:rsidR="00A14151" w:rsidRPr="00E43301" w:rsidRDefault="00E43301" w:rsidP="00A14151">
      <w:pPr>
        <w:spacing w:line="360" w:lineRule="auto"/>
        <w:jc w:val="right"/>
        <w:rPr>
          <w:rFonts w:ascii="Arial" w:hAnsi="Arial" w:cs="Arial"/>
          <w:b/>
          <w:sz w:val="24"/>
          <w:szCs w:val="24"/>
        </w:rPr>
      </w:pPr>
      <w:r>
        <w:rPr>
          <w:rFonts w:ascii="Arial" w:hAnsi="Arial" w:cs="Arial"/>
          <w:b/>
          <w:sz w:val="24"/>
          <w:szCs w:val="24"/>
        </w:rPr>
        <w:t>______________</w:t>
      </w:r>
    </w:p>
    <w:p w14:paraId="0765A666" w14:textId="77777777" w:rsidR="00A14151" w:rsidRPr="00E43301" w:rsidRDefault="00A14151" w:rsidP="00A14151">
      <w:pPr>
        <w:spacing w:line="360" w:lineRule="auto"/>
        <w:jc w:val="right"/>
        <w:rPr>
          <w:rFonts w:ascii="Arial" w:hAnsi="Arial" w:cs="Arial"/>
          <w:b/>
          <w:sz w:val="24"/>
          <w:szCs w:val="24"/>
        </w:rPr>
      </w:pPr>
      <w:r w:rsidRPr="00E43301">
        <w:rPr>
          <w:rFonts w:ascii="Arial" w:hAnsi="Arial" w:cs="Arial"/>
          <w:b/>
          <w:sz w:val="24"/>
          <w:szCs w:val="24"/>
        </w:rPr>
        <w:t>SIPUNZI AJ</w:t>
      </w:r>
    </w:p>
    <w:p w14:paraId="61AD5BB0" w14:textId="77777777" w:rsidR="00A14151" w:rsidRDefault="00A14151" w:rsidP="00A14151">
      <w:pPr>
        <w:spacing w:line="360" w:lineRule="auto"/>
        <w:jc w:val="right"/>
        <w:rPr>
          <w:rFonts w:ascii="Arial" w:hAnsi="Arial" w:cs="Arial"/>
          <w:sz w:val="24"/>
          <w:szCs w:val="24"/>
        </w:rPr>
      </w:pPr>
    </w:p>
    <w:p w14:paraId="52A35776" w14:textId="77777777" w:rsidR="00A14151" w:rsidRPr="00BD6915" w:rsidRDefault="00BD6915" w:rsidP="009502FB">
      <w:pPr>
        <w:spacing w:line="360" w:lineRule="auto"/>
        <w:jc w:val="both"/>
        <w:rPr>
          <w:rFonts w:ascii="Arial" w:hAnsi="Arial" w:cs="Arial"/>
          <w:sz w:val="24"/>
          <w:szCs w:val="24"/>
        </w:rPr>
      </w:pPr>
      <w:r w:rsidRPr="00BD6915">
        <w:rPr>
          <w:rFonts w:ascii="Arial" w:hAnsi="Arial" w:cs="Arial"/>
          <w:sz w:val="24"/>
          <w:szCs w:val="24"/>
        </w:rPr>
        <w:t>APPEARANCES</w:t>
      </w:r>
    </w:p>
    <w:p w14:paraId="5F5F329E" w14:textId="77777777" w:rsidR="00E43301" w:rsidRDefault="00A14151" w:rsidP="009502FB">
      <w:pPr>
        <w:spacing w:line="360" w:lineRule="auto"/>
        <w:jc w:val="both"/>
        <w:rPr>
          <w:rFonts w:ascii="Arial" w:hAnsi="Arial" w:cs="Arial"/>
          <w:sz w:val="24"/>
          <w:szCs w:val="24"/>
        </w:rPr>
      </w:pPr>
      <w:r>
        <w:rPr>
          <w:rFonts w:ascii="Arial" w:hAnsi="Arial" w:cs="Arial"/>
          <w:sz w:val="24"/>
          <w:szCs w:val="24"/>
        </w:rPr>
        <w:t>For the Applicant</w:t>
      </w:r>
      <w:r w:rsidR="00E43301">
        <w:rPr>
          <w:rFonts w:ascii="Arial" w:hAnsi="Arial" w:cs="Arial"/>
          <w:sz w:val="24"/>
          <w:szCs w:val="24"/>
        </w:rPr>
        <w:t>:</w:t>
      </w:r>
      <w:r w:rsidR="00E43301">
        <w:rPr>
          <w:rFonts w:ascii="Arial" w:hAnsi="Arial" w:cs="Arial"/>
          <w:sz w:val="24"/>
          <w:szCs w:val="24"/>
        </w:rPr>
        <w:tab/>
      </w:r>
      <w:r w:rsidR="00E43301">
        <w:rPr>
          <w:rFonts w:ascii="Arial" w:hAnsi="Arial" w:cs="Arial"/>
          <w:sz w:val="24"/>
          <w:szCs w:val="24"/>
        </w:rPr>
        <w:tab/>
      </w:r>
      <w:r>
        <w:rPr>
          <w:rFonts w:ascii="Arial" w:hAnsi="Arial" w:cs="Arial"/>
          <w:sz w:val="24"/>
          <w:szCs w:val="24"/>
        </w:rPr>
        <w:t>Mr</w:t>
      </w:r>
      <w:r w:rsidR="00D3788C">
        <w:rPr>
          <w:rFonts w:ascii="Arial" w:hAnsi="Arial" w:cs="Arial"/>
          <w:sz w:val="24"/>
          <w:szCs w:val="24"/>
        </w:rPr>
        <w:t>.</w:t>
      </w:r>
      <w:r>
        <w:rPr>
          <w:rFonts w:ascii="Arial" w:hAnsi="Arial" w:cs="Arial"/>
          <w:sz w:val="24"/>
          <w:szCs w:val="24"/>
        </w:rPr>
        <w:t xml:space="preserve"> Zim</w:t>
      </w:r>
      <w:r w:rsidR="009502FB">
        <w:rPr>
          <w:rFonts w:ascii="Arial" w:hAnsi="Arial" w:cs="Arial"/>
          <w:sz w:val="24"/>
          <w:szCs w:val="24"/>
        </w:rPr>
        <w:t>er</w:t>
      </w:r>
      <w:r>
        <w:rPr>
          <w:rFonts w:ascii="Arial" w:hAnsi="Arial" w:cs="Arial"/>
          <w:sz w:val="24"/>
          <w:szCs w:val="24"/>
        </w:rPr>
        <w:t>man</w:t>
      </w:r>
    </w:p>
    <w:p w14:paraId="6225AEB0" w14:textId="77777777" w:rsidR="00A14151" w:rsidRDefault="00A14151" w:rsidP="009502FB">
      <w:pPr>
        <w:spacing w:line="360" w:lineRule="auto"/>
        <w:jc w:val="both"/>
        <w:rPr>
          <w:rFonts w:ascii="Arial" w:hAnsi="Arial" w:cs="Arial"/>
          <w:sz w:val="24"/>
          <w:szCs w:val="24"/>
        </w:rPr>
      </w:pPr>
      <w:r>
        <w:rPr>
          <w:rFonts w:ascii="Arial" w:hAnsi="Arial" w:cs="Arial"/>
          <w:sz w:val="24"/>
          <w:szCs w:val="24"/>
        </w:rPr>
        <w:t>Instructed by</w:t>
      </w:r>
      <w:r w:rsidR="00E43301">
        <w:rPr>
          <w:rFonts w:ascii="Arial" w:hAnsi="Arial" w:cs="Arial"/>
          <w:sz w:val="24"/>
          <w:szCs w:val="24"/>
        </w:rPr>
        <w:t>:</w:t>
      </w:r>
      <w:r>
        <w:rPr>
          <w:rFonts w:ascii="Arial" w:hAnsi="Arial" w:cs="Arial"/>
          <w:sz w:val="24"/>
          <w:szCs w:val="24"/>
        </w:rPr>
        <w:t xml:space="preserve"> </w:t>
      </w:r>
      <w:r w:rsidR="00E43301">
        <w:rPr>
          <w:rFonts w:ascii="Arial" w:hAnsi="Arial" w:cs="Arial"/>
          <w:sz w:val="24"/>
          <w:szCs w:val="24"/>
        </w:rPr>
        <w:tab/>
      </w:r>
      <w:r w:rsidR="00E43301">
        <w:rPr>
          <w:rFonts w:ascii="Arial" w:hAnsi="Arial" w:cs="Arial"/>
          <w:sz w:val="24"/>
          <w:szCs w:val="24"/>
        </w:rPr>
        <w:tab/>
      </w:r>
      <w:r>
        <w:rPr>
          <w:rFonts w:ascii="Arial" w:hAnsi="Arial" w:cs="Arial"/>
          <w:sz w:val="24"/>
          <w:szCs w:val="24"/>
        </w:rPr>
        <w:t>Taitz &amp; Sknikne Attorneys</w:t>
      </w:r>
    </w:p>
    <w:p w14:paraId="5AAB873A" w14:textId="77777777" w:rsidR="00A14151" w:rsidRDefault="00A14151" w:rsidP="009502FB">
      <w:pPr>
        <w:spacing w:line="360" w:lineRule="auto"/>
        <w:ind w:left="2160" w:firstLine="720"/>
        <w:jc w:val="both"/>
        <w:rPr>
          <w:rFonts w:ascii="Arial" w:hAnsi="Arial" w:cs="Arial"/>
          <w:sz w:val="24"/>
          <w:szCs w:val="24"/>
        </w:rPr>
      </w:pPr>
      <w:r>
        <w:rPr>
          <w:rFonts w:ascii="Arial" w:hAnsi="Arial" w:cs="Arial"/>
          <w:sz w:val="24"/>
          <w:szCs w:val="24"/>
        </w:rPr>
        <w:t>Genesis Building</w:t>
      </w:r>
    </w:p>
    <w:p w14:paraId="016FAE7D" w14:textId="77777777" w:rsidR="00A14151" w:rsidRDefault="00A14151" w:rsidP="009502FB">
      <w:pPr>
        <w:spacing w:line="360" w:lineRule="auto"/>
        <w:ind w:left="2160" w:firstLine="720"/>
        <w:jc w:val="both"/>
        <w:rPr>
          <w:rFonts w:ascii="Arial" w:hAnsi="Arial" w:cs="Arial"/>
          <w:sz w:val="24"/>
          <w:szCs w:val="24"/>
        </w:rPr>
      </w:pPr>
      <w:r>
        <w:rPr>
          <w:rFonts w:ascii="Arial" w:hAnsi="Arial" w:cs="Arial"/>
          <w:sz w:val="24"/>
          <w:szCs w:val="24"/>
        </w:rPr>
        <w:t xml:space="preserve">Lower Ground </w:t>
      </w:r>
      <w:r w:rsidR="00025123">
        <w:rPr>
          <w:rFonts w:ascii="Arial" w:hAnsi="Arial" w:cs="Arial"/>
          <w:sz w:val="24"/>
          <w:szCs w:val="24"/>
        </w:rPr>
        <w:t>level</w:t>
      </w:r>
    </w:p>
    <w:p w14:paraId="3485B2E6" w14:textId="77777777" w:rsidR="00025123" w:rsidRDefault="00025123" w:rsidP="009502FB">
      <w:pPr>
        <w:spacing w:line="360" w:lineRule="auto"/>
        <w:ind w:left="2160" w:firstLine="720"/>
        <w:jc w:val="both"/>
        <w:rPr>
          <w:rFonts w:ascii="Arial" w:hAnsi="Arial" w:cs="Arial"/>
          <w:sz w:val="24"/>
          <w:szCs w:val="24"/>
        </w:rPr>
      </w:pPr>
      <w:r>
        <w:rPr>
          <w:rFonts w:ascii="Arial" w:hAnsi="Arial" w:cs="Arial"/>
          <w:sz w:val="24"/>
          <w:szCs w:val="24"/>
        </w:rPr>
        <w:t>10 Sandler Road</w:t>
      </w:r>
    </w:p>
    <w:p w14:paraId="082CF1F5" w14:textId="77777777" w:rsidR="009502FB" w:rsidRDefault="00025123" w:rsidP="009502FB">
      <w:pPr>
        <w:spacing w:line="360" w:lineRule="auto"/>
        <w:ind w:left="2160" w:firstLine="720"/>
        <w:jc w:val="both"/>
        <w:rPr>
          <w:rFonts w:ascii="Arial" w:hAnsi="Arial" w:cs="Arial"/>
          <w:sz w:val="24"/>
          <w:szCs w:val="24"/>
        </w:rPr>
      </w:pPr>
      <w:r>
        <w:rPr>
          <w:rFonts w:ascii="Arial" w:hAnsi="Arial" w:cs="Arial"/>
          <w:sz w:val="24"/>
          <w:szCs w:val="24"/>
        </w:rPr>
        <w:t>Fairmount</w:t>
      </w:r>
      <w:r w:rsidR="009502FB">
        <w:rPr>
          <w:rFonts w:ascii="Arial" w:hAnsi="Arial" w:cs="Arial"/>
          <w:sz w:val="24"/>
          <w:szCs w:val="24"/>
        </w:rPr>
        <w:t>, Johannesburg</w:t>
      </w:r>
    </w:p>
    <w:p w14:paraId="3F4AFF29" w14:textId="77777777" w:rsidR="00025123" w:rsidRDefault="00025123" w:rsidP="009502FB">
      <w:pPr>
        <w:spacing w:line="360" w:lineRule="auto"/>
        <w:jc w:val="both"/>
        <w:rPr>
          <w:rFonts w:ascii="Arial" w:hAnsi="Arial" w:cs="Arial"/>
          <w:sz w:val="24"/>
          <w:szCs w:val="24"/>
        </w:rPr>
      </w:pPr>
    </w:p>
    <w:p w14:paraId="3B2B9E1A" w14:textId="77777777" w:rsidR="00E43301" w:rsidRDefault="00025123" w:rsidP="009502FB">
      <w:pPr>
        <w:spacing w:line="360" w:lineRule="auto"/>
        <w:jc w:val="both"/>
        <w:rPr>
          <w:rFonts w:ascii="Arial" w:hAnsi="Arial" w:cs="Arial"/>
          <w:sz w:val="24"/>
          <w:szCs w:val="24"/>
        </w:rPr>
      </w:pPr>
      <w:r>
        <w:rPr>
          <w:rFonts w:ascii="Arial" w:hAnsi="Arial" w:cs="Arial"/>
          <w:sz w:val="24"/>
          <w:szCs w:val="24"/>
        </w:rPr>
        <w:t>For the Respondents</w:t>
      </w:r>
      <w:r w:rsidR="00E43301">
        <w:rPr>
          <w:rFonts w:ascii="Arial" w:hAnsi="Arial" w:cs="Arial"/>
          <w:sz w:val="24"/>
          <w:szCs w:val="24"/>
        </w:rPr>
        <w:t>:</w:t>
      </w:r>
      <w:r w:rsidR="00E43301">
        <w:rPr>
          <w:rFonts w:ascii="Arial" w:hAnsi="Arial" w:cs="Arial"/>
          <w:sz w:val="24"/>
          <w:szCs w:val="24"/>
        </w:rPr>
        <w:tab/>
      </w:r>
      <w:r>
        <w:rPr>
          <w:rFonts w:ascii="Arial" w:hAnsi="Arial" w:cs="Arial"/>
          <w:sz w:val="24"/>
          <w:szCs w:val="24"/>
        </w:rPr>
        <w:t>M</w:t>
      </w:r>
      <w:r w:rsidR="009502FB">
        <w:rPr>
          <w:rFonts w:ascii="Arial" w:hAnsi="Arial" w:cs="Arial"/>
          <w:sz w:val="24"/>
          <w:szCs w:val="24"/>
        </w:rPr>
        <w:t>r</w:t>
      </w:r>
      <w:r w:rsidR="00D3788C">
        <w:rPr>
          <w:rFonts w:ascii="Arial" w:hAnsi="Arial" w:cs="Arial"/>
          <w:sz w:val="24"/>
          <w:szCs w:val="24"/>
        </w:rPr>
        <w:t>.</w:t>
      </w:r>
      <w:r>
        <w:rPr>
          <w:rFonts w:ascii="Arial" w:hAnsi="Arial" w:cs="Arial"/>
          <w:sz w:val="24"/>
          <w:szCs w:val="24"/>
        </w:rPr>
        <w:t xml:space="preserve"> Singh</w:t>
      </w:r>
    </w:p>
    <w:p w14:paraId="135D1148" w14:textId="77777777" w:rsidR="00025123" w:rsidRDefault="00025123" w:rsidP="009502FB">
      <w:pPr>
        <w:spacing w:line="360" w:lineRule="auto"/>
        <w:jc w:val="both"/>
        <w:rPr>
          <w:rFonts w:ascii="Arial" w:hAnsi="Arial" w:cs="Arial"/>
          <w:sz w:val="24"/>
          <w:szCs w:val="24"/>
        </w:rPr>
      </w:pPr>
      <w:r>
        <w:rPr>
          <w:rFonts w:ascii="Arial" w:hAnsi="Arial" w:cs="Arial"/>
          <w:sz w:val="24"/>
          <w:szCs w:val="24"/>
        </w:rPr>
        <w:t>Instructed by</w:t>
      </w:r>
      <w:r w:rsidR="00E43301">
        <w:rPr>
          <w:rFonts w:ascii="Arial" w:hAnsi="Arial" w:cs="Arial"/>
          <w:sz w:val="24"/>
          <w:szCs w:val="24"/>
        </w:rPr>
        <w:t>:</w:t>
      </w:r>
      <w:r>
        <w:rPr>
          <w:rFonts w:ascii="Arial" w:hAnsi="Arial" w:cs="Arial"/>
          <w:sz w:val="24"/>
          <w:szCs w:val="24"/>
        </w:rPr>
        <w:t xml:space="preserve"> </w:t>
      </w:r>
      <w:r w:rsidR="00E43301">
        <w:rPr>
          <w:rFonts w:ascii="Arial" w:hAnsi="Arial" w:cs="Arial"/>
          <w:sz w:val="24"/>
          <w:szCs w:val="24"/>
        </w:rPr>
        <w:tab/>
      </w:r>
      <w:r w:rsidR="00E43301">
        <w:rPr>
          <w:rFonts w:ascii="Arial" w:hAnsi="Arial" w:cs="Arial"/>
          <w:sz w:val="24"/>
          <w:szCs w:val="24"/>
        </w:rPr>
        <w:tab/>
      </w:r>
      <w:r>
        <w:rPr>
          <w:rFonts w:ascii="Arial" w:hAnsi="Arial" w:cs="Arial"/>
          <w:sz w:val="24"/>
          <w:szCs w:val="24"/>
        </w:rPr>
        <w:t>Zubeda K Seedat &amp; Company</w:t>
      </w:r>
    </w:p>
    <w:p w14:paraId="746CB5B8" w14:textId="77777777" w:rsidR="009502FB" w:rsidRDefault="00025123" w:rsidP="009502FB">
      <w:pPr>
        <w:spacing w:line="360" w:lineRule="auto"/>
        <w:ind w:left="2160" w:firstLine="720"/>
        <w:jc w:val="both"/>
        <w:rPr>
          <w:rFonts w:ascii="Arial" w:hAnsi="Arial" w:cs="Arial"/>
          <w:sz w:val="24"/>
          <w:szCs w:val="24"/>
        </w:rPr>
      </w:pPr>
      <w:r>
        <w:rPr>
          <w:rFonts w:ascii="Arial" w:hAnsi="Arial" w:cs="Arial"/>
          <w:sz w:val="24"/>
          <w:szCs w:val="24"/>
        </w:rPr>
        <w:t>19/21 Hunt Road</w:t>
      </w:r>
    </w:p>
    <w:p w14:paraId="09844763" w14:textId="77777777" w:rsidR="009502FB" w:rsidRDefault="00025123" w:rsidP="009502FB">
      <w:pPr>
        <w:spacing w:line="360" w:lineRule="auto"/>
        <w:ind w:left="2160" w:firstLine="720"/>
        <w:jc w:val="both"/>
        <w:rPr>
          <w:rFonts w:ascii="Arial" w:hAnsi="Arial" w:cs="Arial"/>
          <w:sz w:val="24"/>
          <w:szCs w:val="24"/>
        </w:rPr>
      </w:pPr>
      <w:r>
        <w:rPr>
          <w:rFonts w:ascii="Arial" w:hAnsi="Arial" w:cs="Arial"/>
          <w:sz w:val="24"/>
          <w:szCs w:val="24"/>
        </w:rPr>
        <w:t>Glenwood</w:t>
      </w:r>
    </w:p>
    <w:p w14:paraId="32B3580A" w14:textId="77777777" w:rsidR="00025123" w:rsidRDefault="00025123" w:rsidP="009502FB">
      <w:pPr>
        <w:spacing w:line="360" w:lineRule="auto"/>
        <w:ind w:left="2160" w:firstLine="720"/>
        <w:jc w:val="both"/>
        <w:rPr>
          <w:rFonts w:ascii="Arial" w:hAnsi="Arial" w:cs="Arial"/>
          <w:sz w:val="24"/>
          <w:szCs w:val="24"/>
        </w:rPr>
      </w:pPr>
      <w:r>
        <w:rPr>
          <w:rFonts w:ascii="Arial" w:hAnsi="Arial" w:cs="Arial"/>
          <w:sz w:val="24"/>
          <w:szCs w:val="24"/>
        </w:rPr>
        <w:t>4001</w:t>
      </w:r>
    </w:p>
    <w:p w14:paraId="25453E84" w14:textId="77777777" w:rsidR="00A14151" w:rsidRDefault="00A14151" w:rsidP="009502FB">
      <w:pPr>
        <w:spacing w:line="360" w:lineRule="auto"/>
        <w:jc w:val="both"/>
        <w:rPr>
          <w:rFonts w:ascii="Arial" w:hAnsi="Arial" w:cs="Arial"/>
          <w:sz w:val="24"/>
          <w:szCs w:val="24"/>
        </w:rPr>
      </w:pPr>
    </w:p>
    <w:p w14:paraId="6C7C2159" w14:textId="77777777" w:rsidR="00E43301" w:rsidRDefault="00E43301" w:rsidP="009502FB">
      <w:pPr>
        <w:spacing w:line="360" w:lineRule="auto"/>
        <w:jc w:val="both"/>
        <w:rPr>
          <w:rFonts w:ascii="Arial" w:hAnsi="Arial" w:cs="Arial"/>
          <w:sz w:val="24"/>
          <w:szCs w:val="24"/>
        </w:rPr>
      </w:pPr>
      <w:r>
        <w:rPr>
          <w:rFonts w:ascii="Arial" w:hAnsi="Arial" w:cs="Arial"/>
          <w:sz w:val="24"/>
          <w:szCs w:val="24"/>
        </w:rPr>
        <w:t>Date of hearing:</w:t>
      </w:r>
      <w:r w:rsidR="00D3788C">
        <w:rPr>
          <w:rFonts w:ascii="Arial" w:hAnsi="Arial" w:cs="Arial"/>
          <w:sz w:val="24"/>
          <w:szCs w:val="24"/>
        </w:rPr>
        <w:t xml:space="preserve">  </w:t>
      </w:r>
      <w:r w:rsidR="00BD6915">
        <w:rPr>
          <w:rFonts w:ascii="Arial" w:hAnsi="Arial" w:cs="Arial"/>
          <w:sz w:val="24"/>
          <w:szCs w:val="24"/>
        </w:rPr>
        <w:tab/>
      </w:r>
      <w:r w:rsidR="00BD6915">
        <w:rPr>
          <w:rFonts w:ascii="Arial" w:hAnsi="Arial" w:cs="Arial"/>
          <w:sz w:val="24"/>
          <w:szCs w:val="24"/>
        </w:rPr>
        <w:tab/>
      </w:r>
      <w:r w:rsidR="00D3788C">
        <w:rPr>
          <w:rFonts w:ascii="Arial" w:hAnsi="Arial" w:cs="Arial"/>
          <w:sz w:val="24"/>
          <w:szCs w:val="24"/>
        </w:rPr>
        <w:t>05 March 2024</w:t>
      </w:r>
    </w:p>
    <w:p w14:paraId="7118338A" w14:textId="77777777" w:rsidR="00E43301" w:rsidRPr="00A14151" w:rsidRDefault="00E43301" w:rsidP="009502FB">
      <w:pPr>
        <w:spacing w:line="360" w:lineRule="auto"/>
        <w:jc w:val="both"/>
        <w:rPr>
          <w:rFonts w:ascii="Arial" w:hAnsi="Arial" w:cs="Arial"/>
          <w:sz w:val="24"/>
          <w:szCs w:val="24"/>
        </w:rPr>
      </w:pPr>
      <w:r>
        <w:rPr>
          <w:rFonts w:ascii="Arial" w:hAnsi="Arial" w:cs="Arial"/>
          <w:sz w:val="24"/>
          <w:szCs w:val="24"/>
        </w:rPr>
        <w:t>Date of judgment:</w:t>
      </w:r>
      <w:r w:rsidR="0032085E">
        <w:rPr>
          <w:rFonts w:ascii="Arial" w:hAnsi="Arial" w:cs="Arial"/>
          <w:sz w:val="24"/>
          <w:szCs w:val="24"/>
        </w:rPr>
        <w:t xml:space="preserve"> </w:t>
      </w:r>
      <w:r w:rsidR="00BD6915">
        <w:rPr>
          <w:rFonts w:ascii="Arial" w:hAnsi="Arial" w:cs="Arial"/>
          <w:sz w:val="24"/>
          <w:szCs w:val="24"/>
        </w:rPr>
        <w:tab/>
      </w:r>
      <w:r w:rsidR="00BD6915">
        <w:rPr>
          <w:rFonts w:ascii="Arial" w:hAnsi="Arial" w:cs="Arial"/>
          <w:sz w:val="24"/>
          <w:szCs w:val="24"/>
        </w:rPr>
        <w:tab/>
      </w:r>
      <w:r w:rsidR="0032085E">
        <w:rPr>
          <w:rFonts w:ascii="Arial" w:hAnsi="Arial" w:cs="Arial"/>
          <w:sz w:val="24"/>
          <w:szCs w:val="24"/>
        </w:rPr>
        <w:t>18 March 2024</w:t>
      </w:r>
    </w:p>
    <w:sectPr w:rsidR="00E43301" w:rsidRPr="00A14151" w:rsidSect="00E43301">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F5C62" w14:textId="77777777" w:rsidR="00C829CA" w:rsidRDefault="00C829CA" w:rsidP="008F4C1A">
      <w:pPr>
        <w:spacing w:after="0" w:line="240" w:lineRule="auto"/>
      </w:pPr>
      <w:r>
        <w:separator/>
      </w:r>
    </w:p>
  </w:endnote>
  <w:endnote w:type="continuationSeparator" w:id="0">
    <w:p w14:paraId="6644FAAE" w14:textId="77777777" w:rsidR="00C829CA" w:rsidRDefault="00C829CA" w:rsidP="008F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AF03A" w14:textId="77777777" w:rsidR="00C829CA" w:rsidRDefault="00C829CA" w:rsidP="008F4C1A">
      <w:pPr>
        <w:spacing w:after="0" w:line="240" w:lineRule="auto"/>
      </w:pPr>
      <w:r>
        <w:separator/>
      </w:r>
    </w:p>
  </w:footnote>
  <w:footnote w:type="continuationSeparator" w:id="0">
    <w:p w14:paraId="5684ECE5" w14:textId="77777777" w:rsidR="00C829CA" w:rsidRDefault="00C829CA" w:rsidP="008F4C1A">
      <w:pPr>
        <w:spacing w:after="0" w:line="240" w:lineRule="auto"/>
      </w:pPr>
      <w:r>
        <w:continuationSeparator/>
      </w:r>
    </w:p>
  </w:footnote>
  <w:footnote w:id="1">
    <w:p w14:paraId="7C53EFAC" w14:textId="77777777" w:rsidR="00BB4349" w:rsidRPr="00C47935" w:rsidRDefault="00BB4349" w:rsidP="00C47935">
      <w:pPr>
        <w:pStyle w:val="FootnoteText"/>
        <w:jc w:val="both"/>
        <w:rPr>
          <w:rFonts w:ascii="Arial" w:hAnsi="Arial" w:cs="Arial"/>
        </w:rPr>
      </w:pPr>
      <w:r w:rsidRPr="00C47935">
        <w:rPr>
          <w:rStyle w:val="FootnoteReference"/>
          <w:rFonts w:ascii="Arial" w:hAnsi="Arial" w:cs="Arial"/>
        </w:rPr>
        <w:footnoteRef/>
      </w:r>
      <w:r w:rsidRPr="00C47935">
        <w:rPr>
          <w:rFonts w:ascii="Arial" w:hAnsi="Arial" w:cs="Arial"/>
        </w:rPr>
        <w:t xml:space="preserve"> Close Corporations Act 69 of 1984.</w:t>
      </w:r>
    </w:p>
  </w:footnote>
  <w:footnote w:id="2">
    <w:p w14:paraId="3B1EA2FA" w14:textId="77777777" w:rsidR="00BB4349" w:rsidRPr="00DD7625" w:rsidRDefault="00BB4349" w:rsidP="00DD7625">
      <w:pPr>
        <w:pStyle w:val="FootnoteText"/>
        <w:jc w:val="both"/>
        <w:rPr>
          <w:rFonts w:ascii="Arial" w:hAnsi="Arial" w:cs="Arial"/>
        </w:rPr>
      </w:pPr>
      <w:r w:rsidRPr="00DD7625">
        <w:rPr>
          <w:rStyle w:val="FootnoteReference"/>
          <w:rFonts w:ascii="Arial" w:hAnsi="Arial" w:cs="Arial"/>
        </w:rPr>
        <w:footnoteRef/>
      </w:r>
      <w:r w:rsidRPr="00DD7625">
        <w:rPr>
          <w:rFonts w:ascii="Arial" w:hAnsi="Arial" w:cs="Arial"/>
        </w:rPr>
        <w:t xml:space="preserve"> Companies Act 71 of 2008.</w:t>
      </w:r>
    </w:p>
  </w:footnote>
  <w:footnote w:id="3">
    <w:p w14:paraId="215F36A6" w14:textId="77777777" w:rsidR="00BB4349" w:rsidRPr="00BC5202" w:rsidRDefault="00BB4349" w:rsidP="00BC5202">
      <w:pPr>
        <w:pStyle w:val="lg-section"/>
        <w:shd w:val="clear" w:color="auto" w:fill="FFFFFF"/>
        <w:spacing w:before="0" w:beforeAutospacing="0" w:after="0" w:afterAutospacing="0"/>
        <w:jc w:val="both"/>
        <w:rPr>
          <w:rFonts w:ascii="Arial" w:hAnsi="Arial" w:cs="Arial"/>
          <w:color w:val="000000"/>
          <w:sz w:val="20"/>
          <w:szCs w:val="20"/>
        </w:rPr>
      </w:pPr>
      <w:r w:rsidRPr="00047AF5">
        <w:rPr>
          <w:rStyle w:val="FootnoteReference"/>
          <w:rFonts w:ascii="Arial" w:hAnsi="Arial" w:cs="Arial"/>
          <w:sz w:val="20"/>
          <w:szCs w:val="20"/>
        </w:rPr>
        <w:footnoteRef/>
      </w:r>
      <w:r w:rsidRPr="00047AF5">
        <w:rPr>
          <w:rFonts w:ascii="Arial" w:hAnsi="Arial" w:cs="Arial"/>
          <w:sz w:val="20"/>
          <w:szCs w:val="20"/>
        </w:rPr>
        <w:t xml:space="preserve"> Section 50 of </w:t>
      </w:r>
      <w:r w:rsidRPr="00047AF5">
        <w:rPr>
          <w:rFonts w:ascii="Arial" w:hAnsi="Arial" w:cs="Arial"/>
          <w:sz w:val="20"/>
          <w:szCs w:val="20"/>
          <w:lang w:val="en-US"/>
        </w:rPr>
        <w:t>the Close Corporations Act provides: ‘</w:t>
      </w:r>
      <w:r w:rsidRPr="00047AF5">
        <w:rPr>
          <w:rFonts w:ascii="Arial" w:hAnsi="Arial" w:cs="Arial"/>
          <w:b/>
          <w:bCs/>
          <w:color w:val="000000"/>
          <w:sz w:val="20"/>
          <w:szCs w:val="20"/>
        </w:rPr>
        <w:t>Proceedings</w:t>
      </w:r>
      <w:r w:rsidRPr="00BC5202">
        <w:rPr>
          <w:rFonts w:ascii="Arial" w:hAnsi="Arial" w:cs="Arial"/>
          <w:b/>
          <w:bCs/>
          <w:color w:val="000000"/>
          <w:sz w:val="20"/>
          <w:szCs w:val="20"/>
        </w:rPr>
        <w:t xml:space="preserve"> against fellow-members on behalf of corporation.</w:t>
      </w:r>
      <w:r>
        <w:rPr>
          <w:rFonts w:ascii="Arial" w:hAnsi="Arial" w:cs="Arial"/>
          <w:b/>
          <w:bCs/>
          <w:color w:val="000000"/>
          <w:sz w:val="20"/>
          <w:szCs w:val="20"/>
        </w:rPr>
        <w:t xml:space="preserve"> </w:t>
      </w:r>
      <w:r w:rsidRPr="00BC5202">
        <w:rPr>
          <w:rFonts w:ascii="Arial" w:hAnsi="Arial" w:cs="Arial"/>
          <w:color w:val="000000"/>
          <w:sz w:val="20"/>
          <w:szCs w:val="20"/>
        </w:rPr>
        <w:t>— (1) Where a member or a former member of a corporation is liable to the corporation—</w:t>
      </w:r>
    </w:p>
    <w:p w14:paraId="5CC0525F" w14:textId="77777777" w:rsidR="00BB4349" w:rsidRPr="00BC5202" w:rsidRDefault="00BB4349" w:rsidP="00BC5202">
      <w:pPr>
        <w:pStyle w:val="lg-a-1"/>
        <w:shd w:val="clear" w:color="auto" w:fill="FFFFFF"/>
        <w:spacing w:before="0" w:beforeAutospacing="0" w:after="0" w:afterAutospacing="0"/>
        <w:ind w:left="1440" w:hanging="720"/>
        <w:jc w:val="both"/>
        <w:rPr>
          <w:rFonts w:ascii="Arial" w:hAnsi="Arial" w:cs="Arial"/>
          <w:color w:val="000000"/>
          <w:sz w:val="20"/>
          <w:szCs w:val="20"/>
        </w:rPr>
      </w:pPr>
      <w:r w:rsidRPr="00BC5202">
        <w:rPr>
          <w:rFonts w:ascii="Arial" w:hAnsi="Arial" w:cs="Arial"/>
          <w:color w:val="000000"/>
          <w:sz w:val="20"/>
          <w:szCs w:val="20"/>
        </w:rPr>
        <w:t>(</w:t>
      </w:r>
      <w:r w:rsidRPr="00BC5202">
        <w:rPr>
          <w:rFonts w:ascii="Arial" w:hAnsi="Arial" w:cs="Arial"/>
          <w:i/>
          <w:iCs/>
          <w:color w:val="000000"/>
          <w:sz w:val="20"/>
          <w:szCs w:val="20"/>
        </w:rPr>
        <w:t>a</w:t>
      </w:r>
      <w:r w:rsidRPr="00BC5202">
        <w:rPr>
          <w:rFonts w:ascii="Arial" w:hAnsi="Arial" w:cs="Arial"/>
          <w:color w:val="000000"/>
          <w:sz w:val="20"/>
          <w:szCs w:val="20"/>
        </w:rPr>
        <w:t>)</w:t>
      </w:r>
      <w:r w:rsidRPr="00BC5202">
        <w:rPr>
          <w:rFonts w:ascii="Arial" w:hAnsi="Arial" w:cs="Arial"/>
          <w:color w:val="000000"/>
          <w:sz w:val="20"/>
          <w:szCs w:val="20"/>
        </w:rPr>
        <w:tab/>
        <w:t>to make an initial contribution or any additional contribution contemplated in subsection (1) and (2) (</w:t>
      </w:r>
      <w:r w:rsidRPr="00BC5202">
        <w:rPr>
          <w:rFonts w:ascii="Arial" w:hAnsi="Arial" w:cs="Arial"/>
          <w:i/>
          <w:iCs/>
          <w:color w:val="000000"/>
          <w:sz w:val="20"/>
          <w:szCs w:val="20"/>
        </w:rPr>
        <w:t>a</w:t>
      </w:r>
      <w:r w:rsidRPr="00BC5202">
        <w:rPr>
          <w:rFonts w:ascii="Arial" w:hAnsi="Arial" w:cs="Arial"/>
          <w:color w:val="000000"/>
          <w:sz w:val="20"/>
          <w:szCs w:val="20"/>
        </w:rPr>
        <w:t>), respectively, of section 24; or</w:t>
      </w:r>
    </w:p>
    <w:p w14:paraId="5924FF12" w14:textId="77777777" w:rsidR="00BB4349" w:rsidRPr="00BC5202" w:rsidRDefault="00BB4349" w:rsidP="00BC5202">
      <w:pPr>
        <w:pStyle w:val="lg-a-1"/>
        <w:shd w:val="clear" w:color="auto" w:fill="FFFFFF"/>
        <w:spacing w:before="0" w:beforeAutospacing="0" w:after="0" w:afterAutospacing="0"/>
        <w:ind w:left="720"/>
        <w:jc w:val="both"/>
        <w:rPr>
          <w:rFonts w:ascii="Arial" w:hAnsi="Arial" w:cs="Arial"/>
          <w:color w:val="000000"/>
          <w:sz w:val="20"/>
          <w:szCs w:val="20"/>
        </w:rPr>
      </w:pPr>
      <w:r w:rsidRPr="00BC5202">
        <w:rPr>
          <w:rFonts w:ascii="Arial" w:hAnsi="Arial" w:cs="Arial"/>
          <w:color w:val="000000"/>
          <w:sz w:val="20"/>
          <w:szCs w:val="20"/>
        </w:rPr>
        <w:t>(</w:t>
      </w:r>
      <w:r w:rsidRPr="00BC5202">
        <w:rPr>
          <w:rFonts w:ascii="Arial" w:hAnsi="Arial" w:cs="Arial"/>
          <w:i/>
          <w:iCs/>
          <w:color w:val="000000"/>
          <w:sz w:val="20"/>
          <w:szCs w:val="20"/>
        </w:rPr>
        <w:t>b</w:t>
      </w:r>
      <w:r w:rsidRPr="00BC5202">
        <w:rPr>
          <w:rFonts w:ascii="Arial" w:hAnsi="Arial" w:cs="Arial"/>
          <w:color w:val="000000"/>
          <w:sz w:val="20"/>
          <w:szCs w:val="20"/>
        </w:rPr>
        <w:t>)</w:t>
      </w:r>
      <w:r w:rsidRPr="00BC5202">
        <w:rPr>
          <w:rFonts w:ascii="Arial" w:hAnsi="Arial" w:cs="Arial"/>
          <w:color w:val="000000"/>
          <w:sz w:val="20"/>
          <w:szCs w:val="20"/>
        </w:rPr>
        <w:tab/>
        <w:t>on account of—</w:t>
      </w:r>
    </w:p>
    <w:p w14:paraId="7B5A3957" w14:textId="77777777" w:rsidR="00BB4349" w:rsidRPr="00BC5202" w:rsidRDefault="00BB4349" w:rsidP="00BC5202">
      <w:pPr>
        <w:pStyle w:val="lg-i-a-1"/>
        <w:shd w:val="clear" w:color="auto" w:fill="FFFFFF"/>
        <w:spacing w:before="0" w:beforeAutospacing="0" w:after="0" w:afterAutospacing="0"/>
        <w:ind w:left="2160" w:hanging="720"/>
        <w:jc w:val="both"/>
        <w:rPr>
          <w:rFonts w:ascii="Arial" w:hAnsi="Arial" w:cs="Arial"/>
          <w:color w:val="000000"/>
          <w:sz w:val="20"/>
          <w:szCs w:val="20"/>
        </w:rPr>
      </w:pPr>
      <w:r w:rsidRPr="00BC5202">
        <w:rPr>
          <w:rFonts w:ascii="Arial" w:hAnsi="Arial" w:cs="Arial"/>
          <w:color w:val="000000"/>
          <w:sz w:val="20"/>
          <w:szCs w:val="20"/>
        </w:rPr>
        <w:t>(i)</w:t>
      </w:r>
      <w:r>
        <w:rPr>
          <w:rFonts w:ascii="Arial" w:hAnsi="Arial" w:cs="Arial"/>
          <w:color w:val="000000"/>
          <w:sz w:val="20"/>
          <w:szCs w:val="20"/>
        </w:rPr>
        <w:tab/>
      </w:r>
      <w:r w:rsidRPr="00BC5202">
        <w:rPr>
          <w:rFonts w:ascii="Arial" w:hAnsi="Arial" w:cs="Arial"/>
          <w:color w:val="000000"/>
          <w:sz w:val="20"/>
          <w:szCs w:val="20"/>
        </w:rPr>
        <w:t>the breach of a duty arising from his or her fiduciary relationship to the corporation in terms of section 42; or</w:t>
      </w:r>
    </w:p>
    <w:p w14:paraId="4F56BCB6" w14:textId="77777777" w:rsidR="00BB4349" w:rsidRPr="00BC5202" w:rsidRDefault="00BB4349" w:rsidP="00BC5202">
      <w:pPr>
        <w:pStyle w:val="lg-i-a-1"/>
        <w:shd w:val="clear" w:color="auto" w:fill="FFFFFF"/>
        <w:spacing w:before="0" w:beforeAutospacing="0" w:after="0" w:afterAutospacing="0"/>
        <w:ind w:left="720" w:firstLine="720"/>
        <w:jc w:val="both"/>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r>
      <w:r w:rsidRPr="00BC5202">
        <w:rPr>
          <w:rFonts w:ascii="Arial" w:hAnsi="Arial" w:cs="Arial"/>
          <w:color w:val="000000"/>
          <w:sz w:val="20"/>
          <w:szCs w:val="20"/>
        </w:rPr>
        <w:t>negligence in terms of section 43,</w:t>
      </w:r>
    </w:p>
    <w:p w14:paraId="4D926091" w14:textId="77777777" w:rsidR="00BB4349" w:rsidRPr="00BC5202" w:rsidRDefault="00BB4349" w:rsidP="00BC5202">
      <w:pPr>
        <w:pStyle w:val="normal-text"/>
        <w:shd w:val="clear" w:color="auto" w:fill="FFFFFF"/>
        <w:spacing w:before="0" w:beforeAutospacing="0" w:after="0" w:afterAutospacing="0"/>
        <w:jc w:val="both"/>
        <w:rPr>
          <w:rFonts w:ascii="Arial" w:hAnsi="Arial" w:cs="Arial"/>
          <w:color w:val="000000"/>
          <w:sz w:val="20"/>
          <w:szCs w:val="20"/>
        </w:rPr>
      </w:pPr>
      <w:r w:rsidRPr="00BC5202">
        <w:rPr>
          <w:rFonts w:ascii="Arial" w:hAnsi="Arial" w:cs="Arial"/>
          <w:color w:val="000000"/>
          <w:sz w:val="20"/>
          <w:szCs w:val="20"/>
        </w:rPr>
        <w:t>any other member of the corporation may institute proceedings in respect of any such liability on behalf of the corporation against such member or former member after notifying all other members of the corporation of his or her intention to do so.</w:t>
      </w:r>
    </w:p>
    <w:p w14:paraId="038F7B56" w14:textId="77777777" w:rsidR="00BB4349" w:rsidRPr="00704D26" w:rsidRDefault="00BB4349" w:rsidP="00704D26">
      <w:pPr>
        <w:pStyle w:val="FootnoteText"/>
        <w:jc w:val="both"/>
        <w:rPr>
          <w:rFonts w:ascii="Arial" w:hAnsi="Arial" w:cs="Arial"/>
          <w:lang w:val="en-US"/>
        </w:rPr>
      </w:pPr>
      <w:r>
        <w:rPr>
          <w:rFonts w:ascii="Arial" w:hAnsi="Arial" w:cs="Arial"/>
          <w:color w:val="000000"/>
        </w:rPr>
        <w:t>…’</w:t>
      </w:r>
    </w:p>
  </w:footnote>
  <w:footnote w:id="4">
    <w:p w14:paraId="327B51DC" w14:textId="77777777" w:rsidR="00BB4349" w:rsidRPr="00047AF5" w:rsidRDefault="00BB4349" w:rsidP="00103189">
      <w:pPr>
        <w:pStyle w:val="FootnoteText"/>
        <w:jc w:val="both"/>
        <w:rPr>
          <w:rFonts w:ascii="Arial" w:hAnsi="Arial" w:cs="Arial"/>
        </w:rPr>
      </w:pPr>
      <w:r w:rsidRPr="00103189">
        <w:rPr>
          <w:rStyle w:val="FootnoteReference"/>
          <w:rFonts w:ascii="Arial" w:hAnsi="Arial" w:cs="Arial"/>
        </w:rPr>
        <w:footnoteRef/>
      </w:r>
      <w:r w:rsidRPr="00103189">
        <w:rPr>
          <w:rFonts w:ascii="Arial" w:hAnsi="Arial" w:cs="Arial"/>
        </w:rPr>
        <w:t xml:space="preserve"> </w:t>
      </w:r>
      <w:r w:rsidRPr="00103189">
        <w:rPr>
          <w:rFonts w:ascii="Arial" w:hAnsi="Arial" w:cs="Arial"/>
          <w:i/>
          <w:lang w:val="en-US"/>
        </w:rPr>
        <w:t xml:space="preserve">Yenidje Tobacco </w:t>
      </w:r>
      <w:r w:rsidRPr="00047AF5">
        <w:rPr>
          <w:rFonts w:ascii="Arial" w:hAnsi="Arial" w:cs="Arial"/>
          <w:i/>
          <w:lang w:val="en-US"/>
        </w:rPr>
        <w:t xml:space="preserve">Company Limited </w:t>
      </w:r>
      <w:r w:rsidRPr="00047AF5">
        <w:rPr>
          <w:rFonts w:ascii="Arial" w:hAnsi="Arial" w:cs="Arial"/>
          <w:color w:val="000000"/>
        </w:rPr>
        <w:t>[1916] 2 Ch 426 (CA)</w:t>
      </w:r>
      <w:r w:rsidRPr="00047AF5">
        <w:rPr>
          <w:rFonts w:ascii="Arial" w:hAnsi="Arial" w:cs="Arial"/>
          <w:lang w:val="en-US"/>
        </w:rPr>
        <w:t>.</w:t>
      </w:r>
    </w:p>
  </w:footnote>
  <w:footnote w:id="5">
    <w:p w14:paraId="40002091" w14:textId="77777777" w:rsidR="00BB4349" w:rsidRPr="002246B6" w:rsidRDefault="00BB4349" w:rsidP="00704D26">
      <w:pPr>
        <w:pStyle w:val="FootnoteText"/>
        <w:jc w:val="both"/>
        <w:rPr>
          <w:rFonts w:ascii="Arial" w:hAnsi="Arial" w:cs="Arial"/>
          <w:lang w:val="en-US"/>
        </w:rPr>
      </w:pPr>
      <w:r w:rsidRPr="002246B6">
        <w:rPr>
          <w:rStyle w:val="FootnoteReference"/>
          <w:rFonts w:ascii="Arial" w:hAnsi="Arial" w:cs="Arial"/>
        </w:rPr>
        <w:footnoteRef/>
      </w:r>
      <w:r w:rsidRPr="002246B6">
        <w:rPr>
          <w:rFonts w:ascii="Arial" w:hAnsi="Arial" w:cs="Arial"/>
        </w:rPr>
        <w:t xml:space="preserve"> </w:t>
      </w:r>
      <w:r w:rsidRPr="002246B6">
        <w:rPr>
          <w:rFonts w:ascii="Arial" w:hAnsi="Arial" w:cs="Arial"/>
          <w:i/>
          <w:lang w:val="en-US"/>
        </w:rPr>
        <w:t>Apco Africa (Pty) Limited and Another v Apco Worldwide Inc</w:t>
      </w:r>
      <w:r w:rsidRPr="002246B6">
        <w:rPr>
          <w:rFonts w:ascii="Arial" w:hAnsi="Arial" w:cs="Arial"/>
          <w:lang w:val="en-US"/>
        </w:rPr>
        <w:t xml:space="preserve"> 2008 (5) SA 615 (SCA)</w:t>
      </w:r>
      <w:r>
        <w:rPr>
          <w:rFonts w:ascii="Arial" w:hAnsi="Arial" w:cs="Arial"/>
          <w:lang w:val="en-US"/>
        </w:rPr>
        <w:t>.</w:t>
      </w:r>
    </w:p>
  </w:footnote>
  <w:footnote w:id="6">
    <w:p w14:paraId="5FEE24A1" w14:textId="77777777" w:rsidR="00BB4349" w:rsidRDefault="00BB4349">
      <w:pPr>
        <w:pStyle w:val="FootnoteText"/>
      </w:pPr>
      <w:r w:rsidRPr="002246B6">
        <w:rPr>
          <w:rStyle w:val="FootnoteReference"/>
          <w:rFonts w:ascii="Arial" w:hAnsi="Arial" w:cs="Arial"/>
        </w:rPr>
        <w:footnoteRef/>
      </w:r>
      <w:r w:rsidRPr="002246B6">
        <w:rPr>
          <w:rFonts w:ascii="Arial" w:hAnsi="Arial" w:cs="Arial"/>
        </w:rPr>
        <w:t xml:space="preserve"> Applicant’s heads of argument.</w:t>
      </w:r>
    </w:p>
  </w:footnote>
  <w:footnote w:id="7">
    <w:p w14:paraId="4E00190B" w14:textId="77777777" w:rsidR="00BB4349" w:rsidRPr="00CB7A81" w:rsidRDefault="00BB4349" w:rsidP="00CB7A81">
      <w:pPr>
        <w:pStyle w:val="FootnoteText"/>
        <w:jc w:val="both"/>
        <w:rPr>
          <w:rFonts w:ascii="Arial" w:hAnsi="Arial" w:cs="Arial"/>
        </w:rPr>
      </w:pPr>
      <w:r w:rsidRPr="00CB7A81">
        <w:rPr>
          <w:rStyle w:val="FootnoteReference"/>
          <w:rFonts w:ascii="Arial" w:hAnsi="Arial" w:cs="Arial"/>
        </w:rPr>
        <w:footnoteRef/>
      </w:r>
      <w:r w:rsidRPr="00CB7A81">
        <w:rPr>
          <w:rFonts w:ascii="Arial" w:hAnsi="Arial" w:cs="Arial"/>
        </w:rPr>
        <w:t xml:space="preserve"> </w:t>
      </w:r>
      <w:r w:rsidRPr="00CB7A81">
        <w:rPr>
          <w:rFonts w:ascii="Arial" w:hAnsi="Arial" w:cs="Arial"/>
          <w:i/>
          <w:lang w:val="en-US"/>
        </w:rPr>
        <w:t>Apco Africa (Pty) Limited and Another v Apco Worldwide Inc</w:t>
      </w:r>
      <w:r w:rsidRPr="00CB7A81">
        <w:rPr>
          <w:rFonts w:ascii="Arial" w:hAnsi="Arial" w:cs="Arial"/>
          <w:lang w:val="en-US"/>
        </w:rPr>
        <w:t xml:space="preserve"> 2008 (5) SA 615 (SCA).</w:t>
      </w:r>
    </w:p>
  </w:footnote>
  <w:footnote w:id="8">
    <w:p w14:paraId="74CD8BB1" w14:textId="77777777" w:rsidR="00BB4349" w:rsidRPr="00CB7A81" w:rsidRDefault="00BB4349" w:rsidP="00CB7A81">
      <w:pPr>
        <w:pStyle w:val="FootnoteText"/>
        <w:jc w:val="both"/>
        <w:rPr>
          <w:rFonts w:ascii="Arial" w:hAnsi="Arial" w:cs="Arial"/>
        </w:rPr>
      </w:pPr>
      <w:r w:rsidRPr="00CB7A81">
        <w:rPr>
          <w:rStyle w:val="FootnoteReference"/>
          <w:rFonts w:ascii="Arial" w:hAnsi="Arial" w:cs="Arial"/>
        </w:rPr>
        <w:footnoteRef/>
      </w:r>
      <w:r w:rsidRPr="00CB7A81">
        <w:rPr>
          <w:rFonts w:ascii="Arial" w:hAnsi="Arial" w:cs="Arial"/>
        </w:rPr>
        <w:t xml:space="preserve"> Ibid para 19.</w:t>
      </w:r>
    </w:p>
  </w:footnote>
  <w:footnote w:id="9">
    <w:p w14:paraId="0C74F732" w14:textId="77777777" w:rsidR="00BB4349" w:rsidRPr="00CB7A81" w:rsidRDefault="00BB4349" w:rsidP="00CB7A81">
      <w:pPr>
        <w:pStyle w:val="FootnoteText"/>
        <w:jc w:val="both"/>
        <w:rPr>
          <w:rFonts w:ascii="Arial" w:hAnsi="Arial" w:cs="Arial"/>
        </w:rPr>
      </w:pPr>
      <w:r w:rsidRPr="00CB7A81">
        <w:rPr>
          <w:rStyle w:val="FootnoteReference"/>
          <w:rFonts w:ascii="Arial" w:hAnsi="Arial" w:cs="Arial"/>
        </w:rPr>
        <w:footnoteRef/>
      </w:r>
      <w:r w:rsidRPr="00CB7A81">
        <w:rPr>
          <w:rFonts w:ascii="Arial" w:hAnsi="Arial" w:cs="Arial"/>
        </w:rPr>
        <w:t xml:space="preserve"> </w:t>
      </w:r>
      <w:r w:rsidRPr="00CB7A81">
        <w:rPr>
          <w:rFonts w:ascii="Arial" w:hAnsi="Arial" w:cs="Arial"/>
          <w:i/>
        </w:rPr>
        <w:t>Malgas v Onega Investment CC and Others</w:t>
      </w:r>
      <w:r w:rsidRPr="00CB7A81">
        <w:rPr>
          <w:rFonts w:ascii="Arial" w:hAnsi="Arial" w:cs="Arial"/>
        </w:rPr>
        <w:t xml:space="preserve"> [2021] ZAECGHC 15.</w:t>
      </w:r>
    </w:p>
  </w:footnote>
  <w:footnote w:id="10">
    <w:p w14:paraId="7E3BF03C" w14:textId="77777777" w:rsidR="00BB4349" w:rsidRPr="00704D26" w:rsidRDefault="00BB4349" w:rsidP="005478BE">
      <w:pPr>
        <w:pStyle w:val="FootnoteText"/>
        <w:jc w:val="both"/>
        <w:rPr>
          <w:rFonts w:ascii="Arial" w:hAnsi="Arial" w:cs="Arial"/>
          <w:lang w:val="en-US"/>
        </w:rPr>
      </w:pPr>
      <w:r w:rsidRPr="00704D26">
        <w:rPr>
          <w:rStyle w:val="FootnoteReference"/>
          <w:rFonts w:ascii="Arial" w:hAnsi="Arial" w:cs="Arial"/>
        </w:rPr>
        <w:footnoteRef/>
      </w:r>
      <w:r w:rsidRPr="00704D26">
        <w:rPr>
          <w:rFonts w:ascii="Arial" w:hAnsi="Arial" w:cs="Arial"/>
        </w:rPr>
        <w:t xml:space="preserve"> Ibid para</w:t>
      </w:r>
      <w:r w:rsidRPr="00704D26">
        <w:rPr>
          <w:rFonts w:ascii="Arial" w:hAnsi="Arial" w:cs="Arial"/>
          <w:lang w:val="en-US"/>
        </w:rPr>
        <w:t xml:space="preserve"> 30.</w:t>
      </w:r>
    </w:p>
  </w:footnote>
  <w:footnote w:id="11">
    <w:p w14:paraId="5C7C1B0A" w14:textId="77777777" w:rsidR="00BB4349" w:rsidRPr="00BB6ED2" w:rsidRDefault="00BB4349" w:rsidP="00704D26">
      <w:pPr>
        <w:pStyle w:val="FootnoteText"/>
        <w:jc w:val="both"/>
        <w:rPr>
          <w:lang w:val="en-US"/>
        </w:rPr>
      </w:pPr>
      <w:r w:rsidRPr="00704D26">
        <w:rPr>
          <w:rStyle w:val="FootnoteReference"/>
          <w:rFonts w:ascii="Arial" w:hAnsi="Arial" w:cs="Arial"/>
        </w:rPr>
        <w:footnoteRef/>
      </w:r>
      <w:r w:rsidRPr="00704D26">
        <w:rPr>
          <w:rFonts w:ascii="Arial" w:hAnsi="Arial" w:cs="Arial"/>
        </w:rPr>
        <w:t xml:space="preserve"> </w:t>
      </w:r>
      <w:r w:rsidRPr="00704D26">
        <w:rPr>
          <w:rFonts w:ascii="Arial" w:hAnsi="Arial" w:cs="Arial"/>
          <w:lang w:val="en-US"/>
        </w:rPr>
        <w:t>The first respondent’s heads of argument para 6</w:t>
      </w:r>
      <w:r>
        <w:rPr>
          <w:rFonts w:ascii="Arial" w:hAnsi="Arial" w:cs="Arial"/>
          <w:lang w:val="en-US"/>
        </w:rPr>
        <w:t>.</w:t>
      </w:r>
    </w:p>
  </w:footnote>
  <w:footnote w:id="12">
    <w:p w14:paraId="2026488B" w14:textId="77777777" w:rsidR="00BB4349" w:rsidRPr="00704D26" w:rsidRDefault="00BB4349" w:rsidP="00594721">
      <w:pPr>
        <w:pStyle w:val="FootnoteText"/>
        <w:jc w:val="both"/>
        <w:rPr>
          <w:rFonts w:ascii="Arial" w:hAnsi="Arial" w:cs="Arial"/>
          <w:lang w:val="en-US"/>
        </w:rPr>
      </w:pPr>
      <w:r w:rsidRPr="00704D26">
        <w:rPr>
          <w:rStyle w:val="FootnoteReference"/>
          <w:rFonts w:ascii="Arial" w:hAnsi="Arial" w:cs="Arial"/>
        </w:rPr>
        <w:footnoteRef/>
      </w:r>
      <w:r w:rsidRPr="00704D26">
        <w:rPr>
          <w:rFonts w:ascii="Arial" w:hAnsi="Arial" w:cs="Arial"/>
        </w:rPr>
        <w:t xml:space="preserve"> </w:t>
      </w:r>
      <w:r>
        <w:rPr>
          <w:rFonts w:ascii="Arial" w:hAnsi="Arial" w:cs="Arial"/>
          <w:lang w:val="en-US"/>
        </w:rPr>
        <w:t>Ibid</w:t>
      </w:r>
      <w:r w:rsidRPr="00704D26">
        <w:rPr>
          <w:rFonts w:ascii="Arial" w:hAnsi="Arial" w:cs="Arial"/>
          <w:lang w:val="en-US"/>
        </w:rPr>
        <w:t xml:space="preserve"> para 7</w:t>
      </w:r>
      <w:r>
        <w:rPr>
          <w:rFonts w:ascii="Arial" w:hAnsi="Arial" w:cs="Arial"/>
          <w:lang w:val="en-US"/>
        </w:rPr>
        <w:t>.</w:t>
      </w:r>
    </w:p>
  </w:footnote>
  <w:footnote w:id="13">
    <w:p w14:paraId="77B9C446" w14:textId="77777777" w:rsidR="00BB4349" w:rsidRPr="007172CA" w:rsidRDefault="00BB4349" w:rsidP="007172CA">
      <w:pPr>
        <w:pStyle w:val="FootnoteText"/>
        <w:jc w:val="both"/>
        <w:rPr>
          <w:rFonts w:ascii="Arial" w:hAnsi="Arial" w:cs="Arial"/>
        </w:rPr>
      </w:pPr>
      <w:r w:rsidRPr="007172CA">
        <w:rPr>
          <w:rStyle w:val="FootnoteReference"/>
          <w:rFonts w:ascii="Arial" w:hAnsi="Arial" w:cs="Arial"/>
        </w:rPr>
        <w:footnoteRef/>
      </w:r>
      <w:r w:rsidRPr="007172CA">
        <w:rPr>
          <w:rFonts w:ascii="Arial" w:hAnsi="Arial" w:cs="Arial"/>
        </w:rPr>
        <w:t xml:space="preserve"> </w:t>
      </w:r>
      <w:r w:rsidRPr="007172CA">
        <w:rPr>
          <w:rFonts w:ascii="Arial" w:hAnsi="Arial" w:cs="Arial"/>
          <w:i/>
        </w:rPr>
        <w:t>Malgas v Onega Investment CC and Others</w:t>
      </w:r>
      <w:r w:rsidRPr="007172CA">
        <w:rPr>
          <w:rFonts w:ascii="Arial" w:hAnsi="Arial" w:cs="Arial"/>
        </w:rPr>
        <w:t xml:space="preserve"> [2021] ZAECGHC 15.</w:t>
      </w:r>
    </w:p>
  </w:footnote>
  <w:footnote w:id="14">
    <w:p w14:paraId="2CABB215" w14:textId="77777777" w:rsidR="00BB4349" w:rsidRPr="00E43301" w:rsidRDefault="00BB4349" w:rsidP="00244940">
      <w:pPr>
        <w:pStyle w:val="FootnoteText"/>
        <w:jc w:val="both"/>
        <w:rPr>
          <w:rFonts w:ascii="Arial" w:hAnsi="Arial" w:cs="Arial"/>
          <w:lang w:val="en-US"/>
        </w:rPr>
      </w:pPr>
      <w:r w:rsidRPr="00E43301">
        <w:rPr>
          <w:rStyle w:val="FootnoteReference"/>
          <w:rFonts w:ascii="Arial" w:hAnsi="Arial" w:cs="Arial"/>
        </w:rPr>
        <w:footnoteRef/>
      </w:r>
      <w:r w:rsidRPr="00E43301">
        <w:rPr>
          <w:rFonts w:ascii="Arial" w:hAnsi="Arial" w:cs="Arial"/>
        </w:rPr>
        <w:t xml:space="preserve"> Professor W Geach</w:t>
      </w:r>
      <w:r>
        <w:rPr>
          <w:rFonts w:ascii="Arial" w:hAnsi="Arial" w:cs="Arial"/>
        </w:rPr>
        <w:t xml:space="preserve"> ‘</w:t>
      </w:r>
      <w:r w:rsidRPr="00B571AD">
        <w:rPr>
          <w:rFonts w:ascii="Arial" w:hAnsi="Arial" w:cs="Arial"/>
          <w:lang w:val="en-US"/>
        </w:rPr>
        <w:t>Guide to the Close Corporation Act and Regulations</w:t>
      </w:r>
      <w:r>
        <w:rPr>
          <w:rFonts w:ascii="Arial" w:hAnsi="Arial" w:cs="Arial"/>
          <w:lang w:val="en-US"/>
        </w:rPr>
        <w:t>’</w:t>
      </w:r>
      <w:r w:rsidRPr="00E43301">
        <w:rPr>
          <w:rFonts w:ascii="Arial" w:hAnsi="Arial" w:cs="Arial"/>
          <w:lang w:val="en-US"/>
        </w:rPr>
        <w:t xml:space="preserve"> Service No. 20 </w:t>
      </w:r>
      <w:r>
        <w:rPr>
          <w:rFonts w:ascii="Arial" w:hAnsi="Arial" w:cs="Arial"/>
          <w:lang w:val="en-US"/>
        </w:rPr>
        <w:t>(</w:t>
      </w:r>
      <w:r w:rsidRPr="00E43301">
        <w:rPr>
          <w:rFonts w:ascii="Arial" w:hAnsi="Arial" w:cs="Arial"/>
          <w:lang w:val="en-US"/>
        </w:rPr>
        <w:t>June 2013</w:t>
      </w:r>
      <w:r>
        <w:rPr>
          <w:rFonts w:ascii="Arial" w:hAnsi="Arial" w:cs="Arial"/>
          <w:lang w:val="en-US"/>
        </w:rPr>
        <w:t>).</w:t>
      </w:r>
    </w:p>
  </w:footnote>
  <w:footnote w:id="15">
    <w:p w14:paraId="51DBA4D2" w14:textId="77777777" w:rsidR="00BB4349" w:rsidRPr="00715BAC" w:rsidRDefault="00BB4349" w:rsidP="00715BAC">
      <w:pPr>
        <w:pStyle w:val="FootnoteText"/>
        <w:jc w:val="both"/>
        <w:rPr>
          <w:rFonts w:ascii="Arial" w:hAnsi="Arial" w:cs="Arial"/>
          <w:lang w:val="en-US"/>
        </w:rPr>
      </w:pPr>
      <w:r w:rsidRPr="00715BAC">
        <w:rPr>
          <w:rStyle w:val="FootnoteReference"/>
          <w:rFonts w:ascii="Arial" w:hAnsi="Arial" w:cs="Arial"/>
        </w:rPr>
        <w:footnoteRef/>
      </w:r>
      <w:r w:rsidRPr="00715BAC">
        <w:rPr>
          <w:rFonts w:ascii="Arial" w:hAnsi="Arial" w:cs="Arial"/>
        </w:rPr>
        <w:t xml:space="preserve"> </w:t>
      </w:r>
      <w:r w:rsidRPr="00715BAC">
        <w:rPr>
          <w:rFonts w:ascii="Arial" w:hAnsi="Arial" w:cs="Arial"/>
          <w:i/>
          <w:lang w:val="en-US"/>
        </w:rPr>
        <w:t>Minister of safety and Security v Slabbert</w:t>
      </w:r>
      <w:r w:rsidRPr="00715BAC">
        <w:rPr>
          <w:rFonts w:ascii="Arial" w:hAnsi="Arial" w:cs="Arial"/>
          <w:lang w:val="en-US"/>
        </w:rPr>
        <w:t xml:space="preserve"> [2010] 2 ALL SA 474 (SCA) para 11 .</w:t>
      </w:r>
    </w:p>
  </w:footnote>
  <w:footnote w:id="16">
    <w:p w14:paraId="724EFA48" w14:textId="77777777" w:rsidR="00BB4349" w:rsidRDefault="00BB4349" w:rsidP="00715BAC">
      <w:pPr>
        <w:pStyle w:val="FootnoteText"/>
        <w:jc w:val="both"/>
      </w:pPr>
      <w:r w:rsidRPr="00715BAC">
        <w:rPr>
          <w:rStyle w:val="FootnoteReference"/>
          <w:rFonts w:ascii="Arial" w:hAnsi="Arial" w:cs="Arial"/>
        </w:rPr>
        <w:footnoteRef/>
      </w:r>
      <w:r w:rsidRPr="00715BAC">
        <w:rPr>
          <w:rFonts w:ascii="Arial" w:hAnsi="Arial" w:cs="Arial"/>
        </w:rPr>
        <w:t xml:space="preserve"> Ibid.</w:t>
      </w:r>
    </w:p>
  </w:footnote>
  <w:footnote w:id="17">
    <w:p w14:paraId="5AE48EDF" w14:textId="77777777" w:rsidR="00BB4349" w:rsidRPr="00E43301" w:rsidRDefault="00BB4349" w:rsidP="00E43301">
      <w:pPr>
        <w:pStyle w:val="FootnoteText"/>
        <w:jc w:val="both"/>
        <w:rPr>
          <w:rFonts w:ascii="Arial" w:hAnsi="Arial" w:cs="Arial"/>
          <w:lang w:val="en-US"/>
        </w:rPr>
      </w:pPr>
      <w:r w:rsidRPr="00E43301">
        <w:rPr>
          <w:rStyle w:val="FootnoteReference"/>
          <w:rFonts w:ascii="Arial" w:hAnsi="Arial" w:cs="Arial"/>
        </w:rPr>
        <w:footnoteRef/>
      </w:r>
      <w:r w:rsidRPr="00E43301">
        <w:rPr>
          <w:rFonts w:ascii="Arial" w:hAnsi="Arial" w:cs="Arial"/>
        </w:rPr>
        <w:t xml:space="preserve"> </w:t>
      </w:r>
      <w:r w:rsidRPr="00E43301">
        <w:rPr>
          <w:rFonts w:ascii="Arial" w:hAnsi="Arial" w:cs="Arial"/>
          <w:lang w:val="en-US"/>
        </w:rPr>
        <w:t>Master’s Report dated 5 March 2024.</w:t>
      </w:r>
    </w:p>
  </w:footnote>
  <w:footnote w:id="18">
    <w:p w14:paraId="0D49DE73" w14:textId="77777777" w:rsidR="00BB4349" w:rsidRPr="00075050" w:rsidRDefault="00BB4349" w:rsidP="00075050">
      <w:pPr>
        <w:pStyle w:val="FootnoteText"/>
        <w:jc w:val="both"/>
        <w:rPr>
          <w:rFonts w:ascii="Arial" w:hAnsi="Arial" w:cs="Arial"/>
          <w:lang w:val="en-US"/>
        </w:rPr>
      </w:pPr>
      <w:r w:rsidRPr="00075050">
        <w:rPr>
          <w:rStyle w:val="FootnoteReference"/>
          <w:rFonts w:ascii="Arial" w:hAnsi="Arial" w:cs="Arial"/>
        </w:rPr>
        <w:footnoteRef/>
      </w:r>
      <w:r w:rsidRPr="00075050">
        <w:rPr>
          <w:rFonts w:ascii="Arial" w:hAnsi="Arial" w:cs="Arial"/>
        </w:rPr>
        <w:t xml:space="preserve"> </w:t>
      </w:r>
      <w:r w:rsidRPr="00075050">
        <w:rPr>
          <w:rFonts w:ascii="Arial" w:hAnsi="Arial" w:cs="Arial"/>
          <w:i/>
          <w:color w:val="000000"/>
          <w:shd w:val="clear" w:color="auto" w:fill="FFFFFF"/>
        </w:rPr>
        <w:t>Lyconet Austria </w:t>
      </w:r>
      <w:r w:rsidRPr="00075050">
        <w:rPr>
          <w:rFonts w:ascii="Arial" w:hAnsi="Arial" w:cs="Arial"/>
          <w:bCs/>
          <w:i/>
          <w:color w:val="000000"/>
          <w:shd w:val="clear" w:color="auto" w:fill="FFFFFF"/>
        </w:rPr>
        <w:t>GmbH v Weiglhofer and Others</w:t>
      </w:r>
      <w:r w:rsidRPr="00075050">
        <w:rPr>
          <w:rFonts w:ascii="Arial" w:hAnsi="Arial" w:cs="Arial"/>
          <w:bCs/>
          <w:color w:val="000000"/>
          <w:shd w:val="clear" w:color="auto" w:fill="FFFFFF"/>
        </w:rPr>
        <w:t xml:space="preserve"> [2023] JOL 61432 (GJ)</w:t>
      </w:r>
      <w:r w:rsidRPr="00075050">
        <w:rPr>
          <w:rFonts w:ascii="Arial" w:hAnsi="Arial" w:cs="Arial"/>
          <w:lang w:val="en-US"/>
        </w:rPr>
        <w:t>.</w:t>
      </w:r>
    </w:p>
  </w:footnote>
  <w:footnote w:id="19">
    <w:p w14:paraId="65E7A8A8" w14:textId="77777777" w:rsidR="00BB4349" w:rsidRPr="00075050" w:rsidRDefault="00BB4349" w:rsidP="00075050">
      <w:pPr>
        <w:pStyle w:val="FootnoteText"/>
        <w:jc w:val="both"/>
        <w:rPr>
          <w:rFonts w:ascii="Arial" w:hAnsi="Arial" w:cs="Arial"/>
          <w:lang w:val="en-US"/>
        </w:rPr>
      </w:pPr>
      <w:r w:rsidRPr="00075050">
        <w:rPr>
          <w:rStyle w:val="FootnoteReference"/>
          <w:rFonts w:ascii="Arial" w:hAnsi="Arial" w:cs="Arial"/>
        </w:rPr>
        <w:footnoteRef/>
      </w:r>
      <w:r w:rsidRPr="00075050">
        <w:rPr>
          <w:rFonts w:ascii="Arial" w:hAnsi="Arial" w:cs="Arial"/>
        </w:rPr>
        <w:t xml:space="preserve"> </w:t>
      </w:r>
      <w:r w:rsidRPr="00075050">
        <w:rPr>
          <w:rFonts w:ascii="Arial" w:hAnsi="Arial" w:cs="Arial"/>
          <w:i/>
          <w:lang w:val="en-US"/>
        </w:rPr>
        <w:t>Imobrite (Pty) Ltd v DTL Boerdery CC</w:t>
      </w:r>
      <w:r w:rsidRPr="00075050">
        <w:rPr>
          <w:rFonts w:ascii="Arial" w:hAnsi="Arial" w:cs="Arial"/>
          <w:lang w:val="en-US"/>
        </w:rPr>
        <w:t xml:space="preserve"> [2022] ZASCA 67.</w:t>
      </w:r>
    </w:p>
  </w:footnote>
  <w:footnote w:id="20">
    <w:p w14:paraId="033E2ECB" w14:textId="77777777" w:rsidR="00BB4349" w:rsidRDefault="00BB4349" w:rsidP="00075050">
      <w:pPr>
        <w:pStyle w:val="FootnoteText"/>
        <w:jc w:val="both"/>
      </w:pPr>
      <w:r w:rsidRPr="00075050">
        <w:rPr>
          <w:rStyle w:val="FootnoteReference"/>
          <w:rFonts w:ascii="Arial" w:hAnsi="Arial" w:cs="Arial"/>
        </w:rPr>
        <w:footnoteRef/>
      </w:r>
      <w:r w:rsidRPr="00075050">
        <w:rPr>
          <w:rFonts w:ascii="Arial" w:hAnsi="Arial" w:cs="Arial"/>
        </w:rPr>
        <w:t xml:space="preserve"> Ibid </w:t>
      </w:r>
      <w:r w:rsidRPr="00075050">
        <w:rPr>
          <w:rFonts w:ascii="Arial" w:hAnsi="Arial" w:cs="Arial"/>
          <w:lang w:val="en-US"/>
        </w:rPr>
        <w:t>para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3839899"/>
      <w:docPartObj>
        <w:docPartGallery w:val="Page Numbers (Top of Page)"/>
        <w:docPartUnique/>
      </w:docPartObj>
    </w:sdtPr>
    <w:sdtEndPr>
      <w:rPr>
        <w:noProof/>
      </w:rPr>
    </w:sdtEndPr>
    <w:sdtContent>
      <w:p w14:paraId="51E76A5A" w14:textId="77777777" w:rsidR="00BB4349" w:rsidRDefault="00BB4349">
        <w:pPr>
          <w:pStyle w:val="Header"/>
          <w:jc w:val="right"/>
        </w:pPr>
        <w:r>
          <w:fldChar w:fldCharType="begin"/>
        </w:r>
        <w:r>
          <w:instrText xml:space="preserve"> PAGE   \* MERGEFORMAT </w:instrText>
        </w:r>
        <w:r>
          <w:fldChar w:fldCharType="separate"/>
        </w:r>
        <w:r w:rsidR="00BD6915">
          <w:rPr>
            <w:noProof/>
          </w:rPr>
          <w:t>20</w:t>
        </w:r>
        <w:r>
          <w:rPr>
            <w:noProof/>
          </w:rPr>
          <w:fldChar w:fldCharType="end"/>
        </w:r>
      </w:p>
    </w:sdtContent>
  </w:sdt>
  <w:p w14:paraId="35E7D324" w14:textId="77777777" w:rsidR="00BB4349" w:rsidRDefault="00BB4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66B32"/>
    <w:multiLevelType w:val="hybridMultilevel"/>
    <w:tmpl w:val="8AD82A02"/>
    <w:lvl w:ilvl="0" w:tplc="716234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63D4837"/>
    <w:multiLevelType w:val="hybridMultilevel"/>
    <w:tmpl w:val="027CCDFC"/>
    <w:lvl w:ilvl="0" w:tplc="2FDA4C86">
      <w:start w:val="1"/>
      <w:numFmt w:val="lowerRoman"/>
      <w:lvlText w:val="(%1)"/>
      <w:lvlJc w:val="left"/>
      <w:pPr>
        <w:ind w:left="1080" w:hanging="720"/>
      </w:pPr>
      <w:rPr>
        <w:rFonts w:ascii="Verdana" w:hAnsi="Verdana" w:cstheme="minorBidi" w:hint="default"/>
        <w:color w:val="00000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08371C"/>
    <w:multiLevelType w:val="hybridMultilevel"/>
    <w:tmpl w:val="040CB812"/>
    <w:lvl w:ilvl="0" w:tplc="D0027DF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E2C6954"/>
    <w:multiLevelType w:val="multilevel"/>
    <w:tmpl w:val="422E588C"/>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4610D38"/>
    <w:multiLevelType w:val="hybridMultilevel"/>
    <w:tmpl w:val="DEDC4BE0"/>
    <w:lvl w:ilvl="0" w:tplc="45D6AACC">
      <w:start w:val="1"/>
      <w:numFmt w:val="decimal"/>
      <w:lvlText w:val="%1."/>
      <w:lvlJc w:val="left"/>
      <w:pPr>
        <w:ind w:left="1080" w:hanging="72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FE37063"/>
    <w:multiLevelType w:val="hybridMultilevel"/>
    <w:tmpl w:val="66DC5AF0"/>
    <w:lvl w:ilvl="0" w:tplc="BED473B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02565F1"/>
    <w:multiLevelType w:val="hybridMultilevel"/>
    <w:tmpl w:val="040CB812"/>
    <w:lvl w:ilvl="0" w:tplc="D0027DF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6BD4AE2"/>
    <w:multiLevelType w:val="hybridMultilevel"/>
    <w:tmpl w:val="BB96E7A4"/>
    <w:lvl w:ilvl="0" w:tplc="E2D0CA3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5D4C6B3C"/>
    <w:multiLevelType w:val="hybridMultilevel"/>
    <w:tmpl w:val="DEDC4BE0"/>
    <w:lvl w:ilvl="0" w:tplc="45D6AACC">
      <w:start w:val="1"/>
      <w:numFmt w:val="decimal"/>
      <w:lvlText w:val="%1."/>
      <w:lvlJc w:val="left"/>
      <w:pPr>
        <w:ind w:left="1080" w:hanging="72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4722539"/>
    <w:multiLevelType w:val="hybridMultilevel"/>
    <w:tmpl w:val="BB96E7A4"/>
    <w:lvl w:ilvl="0" w:tplc="E2D0CA3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655370AE"/>
    <w:multiLevelType w:val="hybridMultilevel"/>
    <w:tmpl w:val="D0F6E3D2"/>
    <w:lvl w:ilvl="0" w:tplc="98D8281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8D83801"/>
    <w:multiLevelType w:val="hybridMultilevel"/>
    <w:tmpl w:val="8AE4CE70"/>
    <w:lvl w:ilvl="0" w:tplc="DBE6B4D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283967988">
    <w:abstractNumId w:val="3"/>
  </w:num>
  <w:num w:numId="2" w16cid:durableId="518663909">
    <w:abstractNumId w:val="0"/>
  </w:num>
  <w:num w:numId="3" w16cid:durableId="838885160">
    <w:abstractNumId w:val="5"/>
  </w:num>
  <w:num w:numId="4" w16cid:durableId="1496990270">
    <w:abstractNumId w:val="10"/>
  </w:num>
  <w:num w:numId="5" w16cid:durableId="1642533998">
    <w:abstractNumId w:val="4"/>
  </w:num>
  <w:num w:numId="6" w16cid:durableId="1552039112">
    <w:abstractNumId w:val="7"/>
  </w:num>
  <w:num w:numId="7" w16cid:durableId="919294362">
    <w:abstractNumId w:val="6"/>
  </w:num>
  <w:num w:numId="8" w16cid:durableId="1297564516">
    <w:abstractNumId w:val="8"/>
  </w:num>
  <w:num w:numId="9" w16cid:durableId="109276404">
    <w:abstractNumId w:val="9"/>
  </w:num>
  <w:num w:numId="10" w16cid:durableId="831070328">
    <w:abstractNumId w:val="2"/>
  </w:num>
  <w:num w:numId="11" w16cid:durableId="1559440162">
    <w:abstractNumId w:val="11"/>
  </w:num>
  <w:num w:numId="12" w16cid:durableId="190605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E8"/>
    <w:rsid w:val="00005AC0"/>
    <w:rsid w:val="0001590C"/>
    <w:rsid w:val="000238DB"/>
    <w:rsid w:val="00024F4F"/>
    <w:rsid w:val="00025123"/>
    <w:rsid w:val="000335CA"/>
    <w:rsid w:val="00047AF5"/>
    <w:rsid w:val="00051D28"/>
    <w:rsid w:val="000604C9"/>
    <w:rsid w:val="00061C3F"/>
    <w:rsid w:val="00075050"/>
    <w:rsid w:val="00086474"/>
    <w:rsid w:val="00086E3B"/>
    <w:rsid w:val="00097EE8"/>
    <w:rsid w:val="000A6AFB"/>
    <w:rsid w:val="000B5512"/>
    <w:rsid w:val="000B614E"/>
    <w:rsid w:val="000C51B9"/>
    <w:rsid w:val="000C71D7"/>
    <w:rsid w:val="000D6975"/>
    <w:rsid w:val="000E468E"/>
    <w:rsid w:val="000F52D5"/>
    <w:rsid w:val="00101617"/>
    <w:rsid w:val="00103189"/>
    <w:rsid w:val="00104A88"/>
    <w:rsid w:val="00115246"/>
    <w:rsid w:val="00135AD7"/>
    <w:rsid w:val="00150828"/>
    <w:rsid w:val="00150A6A"/>
    <w:rsid w:val="00155AA0"/>
    <w:rsid w:val="0015614E"/>
    <w:rsid w:val="00164898"/>
    <w:rsid w:val="001653FB"/>
    <w:rsid w:val="00166AFD"/>
    <w:rsid w:val="00170DFB"/>
    <w:rsid w:val="00184ECA"/>
    <w:rsid w:val="001D5932"/>
    <w:rsid w:val="001E369E"/>
    <w:rsid w:val="001F592E"/>
    <w:rsid w:val="002246B6"/>
    <w:rsid w:val="00244940"/>
    <w:rsid w:val="00257667"/>
    <w:rsid w:val="0028146D"/>
    <w:rsid w:val="00291DEA"/>
    <w:rsid w:val="00294C1E"/>
    <w:rsid w:val="002976B4"/>
    <w:rsid w:val="00297E46"/>
    <w:rsid w:val="002A223F"/>
    <w:rsid w:val="002B1DE0"/>
    <w:rsid w:val="002C107F"/>
    <w:rsid w:val="002C1991"/>
    <w:rsid w:val="002E42E4"/>
    <w:rsid w:val="002E538F"/>
    <w:rsid w:val="002F09A7"/>
    <w:rsid w:val="002F6332"/>
    <w:rsid w:val="0032085E"/>
    <w:rsid w:val="00323660"/>
    <w:rsid w:val="0034081F"/>
    <w:rsid w:val="003436FB"/>
    <w:rsid w:val="00344E3C"/>
    <w:rsid w:val="003470AD"/>
    <w:rsid w:val="00351614"/>
    <w:rsid w:val="00360E0B"/>
    <w:rsid w:val="00370742"/>
    <w:rsid w:val="003758EE"/>
    <w:rsid w:val="0037618A"/>
    <w:rsid w:val="003936BF"/>
    <w:rsid w:val="003A3935"/>
    <w:rsid w:val="003A7AF5"/>
    <w:rsid w:val="003B6405"/>
    <w:rsid w:val="003C15F5"/>
    <w:rsid w:val="003D0D84"/>
    <w:rsid w:val="003D2EF1"/>
    <w:rsid w:val="003F21DC"/>
    <w:rsid w:val="003F78A6"/>
    <w:rsid w:val="004013C5"/>
    <w:rsid w:val="00434EA2"/>
    <w:rsid w:val="00472984"/>
    <w:rsid w:val="004944D3"/>
    <w:rsid w:val="004968B2"/>
    <w:rsid w:val="004A4D54"/>
    <w:rsid w:val="004B0BD0"/>
    <w:rsid w:val="004E305D"/>
    <w:rsid w:val="004E668F"/>
    <w:rsid w:val="005010C0"/>
    <w:rsid w:val="005220DE"/>
    <w:rsid w:val="005455D2"/>
    <w:rsid w:val="005456AC"/>
    <w:rsid w:val="005478BE"/>
    <w:rsid w:val="005502FB"/>
    <w:rsid w:val="00556B4E"/>
    <w:rsid w:val="00564683"/>
    <w:rsid w:val="005710BA"/>
    <w:rsid w:val="00584B70"/>
    <w:rsid w:val="0059334D"/>
    <w:rsid w:val="00594721"/>
    <w:rsid w:val="005A0502"/>
    <w:rsid w:val="005A2ADE"/>
    <w:rsid w:val="005A76E2"/>
    <w:rsid w:val="005B2510"/>
    <w:rsid w:val="005B37DB"/>
    <w:rsid w:val="005B7D08"/>
    <w:rsid w:val="005C3C76"/>
    <w:rsid w:val="005F1B2F"/>
    <w:rsid w:val="006036BC"/>
    <w:rsid w:val="006058EF"/>
    <w:rsid w:val="0062450B"/>
    <w:rsid w:val="00643DFD"/>
    <w:rsid w:val="0066258C"/>
    <w:rsid w:val="0066490F"/>
    <w:rsid w:val="006671ED"/>
    <w:rsid w:val="00674769"/>
    <w:rsid w:val="0068391E"/>
    <w:rsid w:val="00683FFE"/>
    <w:rsid w:val="0068724E"/>
    <w:rsid w:val="00692E21"/>
    <w:rsid w:val="006A0E72"/>
    <w:rsid w:val="006A3567"/>
    <w:rsid w:val="006A50C7"/>
    <w:rsid w:val="006C0820"/>
    <w:rsid w:val="006C63FE"/>
    <w:rsid w:val="006E43B5"/>
    <w:rsid w:val="006F311C"/>
    <w:rsid w:val="006F5DE1"/>
    <w:rsid w:val="0070417B"/>
    <w:rsid w:val="00704D26"/>
    <w:rsid w:val="007105B0"/>
    <w:rsid w:val="00712A66"/>
    <w:rsid w:val="0071490E"/>
    <w:rsid w:val="00715BAC"/>
    <w:rsid w:val="007172CA"/>
    <w:rsid w:val="007571CF"/>
    <w:rsid w:val="00760833"/>
    <w:rsid w:val="00764F0E"/>
    <w:rsid w:val="007742E8"/>
    <w:rsid w:val="00784E36"/>
    <w:rsid w:val="00791855"/>
    <w:rsid w:val="00793676"/>
    <w:rsid w:val="007E02FF"/>
    <w:rsid w:val="007F4A1E"/>
    <w:rsid w:val="00801378"/>
    <w:rsid w:val="008104A1"/>
    <w:rsid w:val="00812D8A"/>
    <w:rsid w:val="008138E2"/>
    <w:rsid w:val="00830250"/>
    <w:rsid w:val="008309B0"/>
    <w:rsid w:val="00831808"/>
    <w:rsid w:val="00837711"/>
    <w:rsid w:val="00847918"/>
    <w:rsid w:val="00862E4A"/>
    <w:rsid w:val="00864049"/>
    <w:rsid w:val="00870E6B"/>
    <w:rsid w:val="00872483"/>
    <w:rsid w:val="00873C97"/>
    <w:rsid w:val="00874EF5"/>
    <w:rsid w:val="0089392C"/>
    <w:rsid w:val="00894961"/>
    <w:rsid w:val="00897090"/>
    <w:rsid w:val="008A0532"/>
    <w:rsid w:val="008A43CD"/>
    <w:rsid w:val="008A62AD"/>
    <w:rsid w:val="008A6491"/>
    <w:rsid w:val="008B3C9B"/>
    <w:rsid w:val="008C700D"/>
    <w:rsid w:val="008F4C1A"/>
    <w:rsid w:val="008F671F"/>
    <w:rsid w:val="00912060"/>
    <w:rsid w:val="009124E0"/>
    <w:rsid w:val="009143A5"/>
    <w:rsid w:val="00932F0C"/>
    <w:rsid w:val="009371D5"/>
    <w:rsid w:val="00941DDC"/>
    <w:rsid w:val="009502FB"/>
    <w:rsid w:val="00955DB9"/>
    <w:rsid w:val="00957CA3"/>
    <w:rsid w:val="00962826"/>
    <w:rsid w:val="00965081"/>
    <w:rsid w:val="00985DD9"/>
    <w:rsid w:val="00997A9A"/>
    <w:rsid w:val="009A36D9"/>
    <w:rsid w:val="009E2C10"/>
    <w:rsid w:val="009E5B8E"/>
    <w:rsid w:val="009F6712"/>
    <w:rsid w:val="00A14151"/>
    <w:rsid w:val="00A36BF9"/>
    <w:rsid w:val="00A37AE4"/>
    <w:rsid w:val="00A44E86"/>
    <w:rsid w:val="00A74996"/>
    <w:rsid w:val="00A7771D"/>
    <w:rsid w:val="00A80F02"/>
    <w:rsid w:val="00A862C4"/>
    <w:rsid w:val="00A90786"/>
    <w:rsid w:val="00A90871"/>
    <w:rsid w:val="00AA0A20"/>
    <w:rsid w:val="00AA19CC"/>
    <w:rsid w:val="00AB661C"/>
    <w:rsid w:val="00AC564B"/>
    <w:rsid w:val="00AE0856"/>
    <w:rsid w:val="00AE6967"/>
    <w:rsid w:val="00B035C8"/>
    <w:rsid w:val="00B07096"/>
    <w:rsid w:val="00B10CC6"/>
    <w:rsid w:val="00B43C80"/>
    <w:rsid w:val="00B571AD"/>
    <w:rsid w:val="00B80A3D"/>
    <w:rsid w:val="00B87FAD"/>
    <w:rsid w:val="00B94CB8"/>
    <w:rsid w:val="00BA0B0B"/>
    <w:rsid w:val="00BA51CB"/>
    <w:rsid w:val="00BA78A9"/>
    <w:rsid w:val="00BB4349"/>
    <w:rsid w:val="00BB6ED2"/>
    <w:rsid w:val="00BC1BEB"/>
    <w:rsid w:val="00BC3634"/>
    <w:rsid w:val="00BC5202"/>
    <w:rsid w:val="00BC6575"/>
    <w:rsid w:val="00BC6C87"/>
    <w:rsid w:val="00BD6915"/>
    <w:rsid w:val="00BD6F1B"/>
    <w:rsid w:val="00BE3983"/>
    <w:rsid w:val="00C034D5"/>
    <w:rsid w:val="00C21686"/>
    <w:rsid w:val="00C25D70"/>
    <w:rsid w:val="00C36651"/>
    <w:rsid w:val="00C44B2E"/>
    <w:rsid w:val="00C4590D"/>
    <w:rsid w:val="00C47935"/>
    <w:rsid w:val="00C718BD"/>
    <w:rsid w:val="00C74200"/>
    <w:rsid w:val="00C74FE5"/>
    <w:rsid w:val="00C829CA"/>
    <w:rsid w:val="00C95CD3"/>
    <w:rsid w:val="00CB7A81"/>
    <w:rsid w:val="00CC51E7"/>
    <w:rsid w:val="00CF2828"/>
    <w:rsid w:val="00D20EF8"/>
    <w:rsid w:val="00D24FB9"/>
    <w:rsid w:val="00D3165F"/>
    <w:rsid w:val="00D36A8E"/>
    <w:rsid w:val="00D3716A"/>
    <w:rsid w:val="00D3788C"/>
    <w:rsid w:val="00D520BF"/>
    <w:rsid w:val="00D6042E"/>
    <w:rsid w:val="00D65B60"/>
    <w:rsid w:val="00D9439D"/>
    <w:rsid w:val="00DA2D1C"/>
    <w:rsid w:val="00DA3A46"/>
    <w:rsid w:val="00DB4823"/>
    <w:rsid w:val="00DD5566"/>
    <w:rsid w:val="00DD603E"/>
    <w:rsid w:val="00DD7625"/>
    <w:rsid w:val="00DE34F7"/>
    <w:rsid w:val="00DF29D5"/>
    <w:rsid w:val="00E00E25"/>
    <w:rsid w:val="00E136B6"/>
    <w:rsid w:val="00E16F9C"/>
    <w:rsid w:val="00E27A73"/>
    <w:rsid w:val="00E43301"/>
    <w:rsid w:val="00E60B3E"/>
    <w:rsid w:val="00E6683F"/>
    <w:rsid w:val="00E85BD4"/>
    <w:rsid w:val="00EA3572"/>
    <w:rsid w:val="00EA56A4"/>
    <w:rsid w:val="00EC2E85"/>
    <w:rsid w:val="00EC37B3"/>
    <w:rsid w:val="00ED18B5"/>
    <w:rsid w:val="00EE4815"/>
    <w:rsid w:val="00EE65A6"/>
    <w:rsid w:val="00EF5830"/>
    <w:rsid w:val="00F00D37"/>
    <w:rsid w:val="00F013B4"/>
    <w:rsid w:val="00F021D1"/>
    <w:rsid w:val="00F04C4F"/>
    <w:rsid w:val="00F051FA"/>
    <w:rsid w:val="00F06D42"/>
    <w:rsid w:val="00F12C67"/>
    <w:rsid w:val="00F1558B"/>
    <w:rsid w:val="00F1719A"/>
    <w:rsid w:val="00F213EB"/>
    <w:rsid w:val="00F3161D"/>
    <w:rsid w:val="00F57A2E"/>
    <w:rsid w:val="00F70525"/>
    <w:rsid w:val="00F82EDD"/>
    <w:rsid w:val="00F943D3"/>
    <w:rsid w:val="00FB0FEE"/>
    <w:rsid w:val="00FB2DE9"/>
    <w:rsid w:val="00FB475B"/>
    <w:rsid w:val="00FC1B22"/>
    <w:rsid w:val="00FD3064"/>
    <w:rsid w:val="00FE06D8"/>
    <w:rsid w:val="00FE7385"/>
    <w:rsid w:val="00FF11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4B55"/>
  <w15:chartTrackingRefBased/>
  <w15:docId w15:val="{04691921-8C5B-4BCC-BA80-028C0143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E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7EE8"/>
    <w:pPr>
      <w:spacing w:after="0" w:line="240" w:lineRule="auto"/>
    </w:pPr>
    <w:rPr>
      <w:sz w:val="20"/>
      <w:szCs w:val="20"/>
    </w:rPr>
  </w:style>
  <w:style w:type="character" w:customStyle="1" w:styleId="FootnoteTextChar">
    <w:name w:val="Footnote Text Char"/>
    <w:basedOn w:val="DefaultParagraphFont"/>
    <w:link w:val="FootnoteText"/>
    <w:uiPriority w:val="99"/>
    <w:rsid w:val="00097EE8"/>
    <w:rPr>
      <w:sz w:val="20"/>
      <w:szCs w:val="20"/>
    </w:rPr>
  </w:style>
  <w:style w:type="paragraph" w:styleId="ListParagraph">
    <w:name w:val="List Paragraph"/>
    <w:basedOn w:val="Normal"/>
    <w:uiPriority w:val="34"/>
    <w:qFormat/>
    <w:rsid w:val="00C44B2E"/>
    <w:pPr>
      <w:ind w:left="720"/>
      <w:contextualSpacing/>
    </w:pPr>
  </w:style>
  <w:style w:type="character" w:styleId="FootnoteReference">
    <w:name w:val="footnote reference"/>
    <w:basedOn w:val="DefaultParagraphFont"/>
    <w:uiPriority w:val="99"/>
    <w:semiHidden/>
    <w:unhideWhenUsed/>
    <w:rsid w:val="008F4C1A"/>
    <w:rPr>
      <w:vertAlign w:val="superscript"/>
    </w:rPr>
  </w:style>
  <w:style w:type="paragraph" w:styleId="Header">
    <w:name w:val="header"/>
    <w:basedOn w:val="Normal"/>
    <w:link w:val="HeaderChar"/>
    <w:uiPriority w:val="99"/>
    <w:unhideWhenUsed/>
    <w:rsid w:val="00E43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301"/>
  </w:style>
  <w:style w:type="paragraph" w:styleId="Footer">
    <w:name w:val="footer"/>
    <w:basedOn w:val="Normal"/>
    <w:link w:val="FooterChar"/>
    <w:uiPriority w:val="99"/>
    <w:unhideWhenUsed/>
    <w:rsid w:val="00E43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301"/>
  </w:style>
  <w:style w:type="paragraph" w:styleId="BalloonText">
    <w:name w:val="Balloon Text"/>
    <w:basedOn w:val="Normal"/>
    <w:link w:val="BalloonTextChar"/>
    <w:uiPriority w:val="99"/>
    <w:semiHidden/>
    <w:unhideWhenUsed/>
    <w:rsid w:val="00103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89"/>
    <w:rPr>
      <w:rFonts w:ascii="Segoe UI" w:hAnsi="Segoe UI" w:cs="Segoe UI"/>
      <w:sz w:val="18"/>
      <w:szCs w:val="18"/>
    </w:rPr>
  </w:style>
  <w:style w:type="character" w:styleId="CommentReference">
    <w:name w:val="annotation reference"/>
    <w:basedOn w:val="DefaultParagraphFont"/>
    <w:uiPriority w:val="99"/>
    <w:semiHidden/>
    <w:unhideWhenUsed/>
    <w:rsid w:val="00DD7625"/>
    <w:rPr>
      <w:sz w:val="16"/>
      <w:szCs w:val="16"/>
    </w:rPr>
  </w:style>
  <w:style w:type="paragraph" w:styleId="CommentText">
    <w:name w:val="annotation text"/>
    <w:basedOn w:val="Normal"/>
    <w:link w:val="CommentTextChar"/>
    <w:uiPriority w:val="99"/>
    <w:semiHidden/>
    <w:unhideWhenUsed/>
    <w:rsid w:val="00DD7625"/>
    <w:pPr>
      <w:spacing w:line="240" w:lineRule="auto"/>
    </w:pPr>
    <w:rPr>
      <w:sz w:val="20"/>
      <w:szCs w:val="20"/>
    </w:rPr>
  </w:style>
  <w:style w:type="character" w:customStyle="1" w:styleId="CommentTextChar">
    <w:name w:val="Comment Text Char"/>
    <w:basedOn w:val="DefaultParagraphFont"/>
    <w:link w:val="CommentText"/>
    <w:uiPriority w:val="99"/>
    <w:semiHidden/>
    <w:rsid w:val="00DD7625"/>
    <w:rPr>
      <w:sz w:val="20"/>
      <w:szCs w:val="20"/>
    </w:rPr>
  </w:style>
  <w:style w:type="paragraph" w:styleId="CommentSubject">
    <w:name w:val="annotation subject"/>
    <w:basedOn w:val="CommentText"/>
    <w:next w:val="CommentText"/>
    <w:link w:val="CommentSubjectChar"/>
    <w:uiPriority w:val="99"/>
    <w:semiHidden/>
    <w:unhideWhenUsed/>
    <w:rsid w:val="00DD7625"/>
    <w:rPr>
      <w:b/>
      <w:bCs/>
    </w:rPr>
  </w:style>
  <w:style w:type="character" w:customStyle="1" w:styleId="CommentSubjectChar">
    <w:name w:val="Comment Subject Char"/>
    <w:basedOn w:val="CommentTextChar"/>
    <w:link w:val="CommentSubject"/>
    <w:uiPriority w:val="99"/>
    <w:semiHidden/>
    <w:rsid w:val="00DD7625"/>
    <w:rPr>
      <w:b/>
      <w:bCs/>
      <w:sz w:val="20"/>
      <w:szCs w:val="20"/>
    </w:rPr>
  </w:style>
  <w:style w:type="paragraph" w:customStyle="1" w:styleId="lg-section">
    <w:name w:val="lg-section"/>
    <w:basedOn w:val="Normal"/>
    <w:rsid w:val="00BC52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a-1">
    <w:name w:val="lg-a-1"/>
    <w:basedOn w:val="Normal"/>
    <w:rsid w:val="00BC52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i-a-1">
    <w:name w:val="lg-i-a-1"/>
    <w:basedOn w:val="Normal"/>
    <w:rsid w:val="00BC52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normal-text">
    <w:name w:val="normal-text"/>
    <w:basedOn w:val="Normal"/>
    <w:rsid w:val="00BC52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rsid w:val="00BC520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A3572"/>
    <w:rPr>
      <w:color w:val="0000FF"/>
      <w:u w:val="single"/>
    </w:rPr>
  </w:style>
  <w:style w:type="character" w:customStyle="1" w:styleId="lphit">
    <w:name w:val="lphit"/>
    <w:basedOn w:val="DefaultParagraphFont"/>
    <w:rsid w:val="0087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548006">
      <w:bodyDiv w:val="1"/>
      <w:marLeft w:val="0"/>
      <w:marRight w:val="0"/>
      <w:marTop w:val="0"/>
      <w:marBottom w:val="0"/>
      <w:divBdr>
        <w:top w:val="none" w:sz="0" w:space="0" w:color="auto"/>
        <w:left w:val="none" w:sz="0" w:space="0" w:color="auto"/>
        <w:bottom w:val="none" w:sz="0" w:space="0" w:color="auto"/>
        <w:right w:val="none" w:sz="0" w:space="0" w:color="auto"/>
      </w:divBdr>
      <w:divsChild>
        <w:div w:id="294877918">
          <w:marLeft w:val="2580"/>
          <w:marRight w:val="0"/>
          <w:marTop w:val="60"/>
          <w:marBottom w:val="0"/>
          <w:divBdr>
            <w:top w:val="none" w:sz="0" w:space="0" w:color="auto"/>
            <w:left w:val="none" w:sz="0" w:space="0" w:color="auto"/>
            <w:bottom w:val="none" w:sz="0" w:space="0" w:color="auto"/>
            <w:right w:val="none" w:sz="0" w:space="0" w:color="auto"/>
          </w:divBdr>
        </w:div>
        <w:div w:id="1139223318">
          <w:marLeft w:val="2580"/>
          <w:marRight w:val="0"/>
          <w:marTop w:val="60"/>
          <w:marBottom w:val="0"/>
          <w:divBdr>
            <w:top w:val="none" w:sz="0" w:space="0" w:color="auto"/>
            <w:left w:val="none" w:sz="0" w:space="0" w:color="auto"/>
            <w:bottom w:val="none" w:sz="0" w:space="0" w:color="auto"/>
            <w:right w:val="none" w:sz="0" w:space="0" w:color="auto"/>
          </w:divBdr>
        </w:div>
      </w:divsChild>
    </w:div>
    <w:div w:id="662198673">
      <w:bodyDiv w:val="1"/>
      <w:marLeft w:val="0"/>
      <w:marRight w:val="0"/>
      <w:marTop w:val="0"/>
      <w:marBottom w:val="0"/>
      <w:divBdr>
        <w:top w:val="none" w:sz="0" w:space="0" w:color="auto"/>
        <w:left w:val="none" w:sz="0" w:space="0" w:color="auto"/>
        <w:bottom w:val="none" w:sz="0" w:space="0" w:color="auto"/>
        <w:right w:val="none" w:sz="0" w:space="0" w:color="auto"/>
      </w:divBdr>
    </w:div>
    <w:div w:id="16223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10" ma:contentTypeDescription="Create a new document." ma:contentTypeScope="" ma:versionID="b3d76bc34afdd93d1c6d27c0b232e591">
  <xsd:schema xmlns:xsd="http://www.w3.org/2001/XMLSchema" xmlns:xs="http://www.w3.org/2001/XMLSchema" xmlns:p="http://schemas.microsoft.com/office/2006/metadata/properties" xmlns:ns3="ec14f804-e730-47a5-b9c6-c5e326b23f54" targetNamespace="http://schemas.microsoft.com/office/2006/metadata/properties" ma:root="true" ma:fieldsID="4e3e77a174d75379172c0443082cd853"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E6470-06D4-458F-ACB7-5CB7C34F2AF1}">
  <ds:schemaRefs>
    <ds:schemaRef ds:uri="http://schemas.microsoft.com/sharepoint/v3/contenttype/forms"/>
  </ds:schemaRefs>
</ds:datastoreItem>
</file>

<file path=customXml/itemProps2.xml><?xml version="1.0" encoding="utf-8"?>
<ds:datastoreItem xmlns:ds="http://schemas.openxmlformats.org/officeDocument/2006/customXml" ds:itemID="{1733D3C6-2A16-49A5-87EF-DB34A649DBA1}">
  <ds:schemaRefs>
    <ds:schemaRef ds:uri="http://schemas.openxmlformats.org/officeDocument/2006/bibliography"/>
  </ds:schemaRefs>
</ds:datastoreItem>
</file>

<file path=customXml/itemProps3.xml><?xml version="1.0" encoding="utf-8"?>
<ds:datastoreItem xmlns:ds="http://schemas.openxmlformats.org/officeDocument/2006/customXml" ds:itemID="{215BBA37-301C-454F-8A45-BC1E149E06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BFCE3B-16A0-46F4-B2E0-DD967650A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20</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Sipunzi Nomfundo</dc:creator>
  <cp:keywords/>
  <dc:description/>
  <cp:lastModifiedBy>SANDILE DLOMO INCORPORATED</cp:lastModifiedBy>
  <cp:revision>19</cp:revision>
  <dcterms:created xsi:type="dcterms:W3CDTF">2024-03-14T14:49:00Z</dcterms:created>
  <dcterms:modified xsi:type="dcterms:W3CDTF">2024-05-17T06:38:00Z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ies>
</file>