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10F9" w14:textId="77777777" w:rsidR="00933FA4" w:rsidRPr="008D105A" w:rsidRDefault="00933FA4" w:rsidP="00933FA4">
      <w:pPr>
        <w:spacing w:line="240" w:lineRule="auto"/>
        <w:jc w:val="center"/>
        <w:rPr>
          <w:rFonts w:ascii="Arial" w:hAnsi="Arial" w:cs="Arial"/>
          <w:b/>
          <w:sz w:val="24"/>
          <w:szCs w:val="24"/>
          <w:lang w:val="en-ZA"/>
        </w:rPr>
      </w:pPr>
      <w:bookmarkStart w:id="0" w:name="_GoBack"/>
      <w:bookmarkEnd w:id="0"/>
      <w:r w:rsidRPr="008D105A">
        <w:rPr>
          <w:rFonts w:ascii="Calibri" w:eastAsia="Calibri" w:hAnsi="Calibri" w:cs="Times New Roman"/>
          <w:noProof/>
          <w:lang w:val="en-ZA" w:eastAsia="en-ZA"/>
        </w:rPr>
        <w:drawing>
          <wp:anchor distT="0" distB="0" distL="114300" distR="114300" simplePos="0" relativeHeight="251659264" behindDoc="1" locked="0" layoutInCell="1" allowOverlap="1" wp14:anchorId="187119A4" wp14:editId="45F154F0">
            <wp:simplePos x="0" y="0"/>
            <wp:positionH relativeFrom="margin">
              <wp:posOffset>2321781</wp:posOffset>
            </wp:positionH>
            <wp:positionV relativeFrom="paragraph">
              <wp:posOffset>15737</wp:posOffset>
            </wp:positionV>
            <wp:extent cx="1152525" cy="1144270"/>
            <wp:effectExtent l="0" t="0" r="9525" b="0"/>
            <wp:wrapTight wrapText="bothSides">
              <wp:wrapPolygon edited="0">
                <wp:start x="0" y="0"/>
                <wp:lineTo x="0" y="21216"/>
                <wp:lineTo x="21421" y="21216"/>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CC70" w14:textId="77777777" w:rsidR="00933FA4" w:rsidRPr="008D105A" w:rsidRDefault="00933FA4" w:rsidP="00933FA4">
      <w:pPr>
        <w:spacing w:line="240" w:lineRule="auto"/>
        <w:jc w:val="center"/>
        <w:rPr>
          <w:rFonts w:ascii="Arial" w:hAnsi="Arial" w:cs="Arial"/>
          <w:b/>
          <w:sz w:val="24"/>
          <w:szCs w:val="24"/>
          <w:lang w:val="en-ZA"/>
        </w:rPr>
      </w:pPr>
    </w:p>
    <w:p w14:paraId="76B7D66D" w14:textId="77777777" w:rsidR="00933FA4" w:rsidRPr="008D105A" w:rsidRDefault="00933FA4" w:rsidP="00933FA4">
      <w:pPr>
        <w:spacing w:line="240" w:lineRule="auto"/>
        <w:jc w:val="center"/>
        <w:rPr>
          <w:rFonts w:ascii="Arial" w:hAnsi="Arial" w:cs="Arial"/>
          <w:b/>
          <w:sz w:val="24"/>
          <w:szCs w:val="24"/>
          <w:lang w:val="en-ZA"/>
        </w:rPr>
      </w:pPr>
    </w:p>
    <w:p w14:paraId="05AA0977" w14:textId="77777777" w:rsidR="00933FA4" w:rsidRPr="008D105A" w:rsidRDefault="00933FA4" w:rsidP="00933FA4">
      <w:pPr>
        <w:spacing w:line="240" w:lineRule="auto"/>
        <w:rPr>
          <w:rFonts w:ascii="Arial" w:hAnsi="Arial" w:cs="Arial"/>
          <w:b/>
          <w:sz w:val="24"/>
          <w:szCs w:val="24"/>
          <w:lang w:val="en-ZA"/>
        </w:rPr>
      </w:pPr>
    </w:p>
    <w:p w14:paraId="6739C310" w14:textId="77777777" w:rsidR="00933FA4" w:rsidRPr="008D105A" w:rsidRDefault="00933FA4" w:rsidP="00933FA4">
      <w:pPr>
        <w:spacing w:line="240" w:lineRule="auto"/>
        <w:rPr>
          <w:rFonts w:ascii="Arial" w:hAnsi="Arial" w:cs="Arial"/>
          <w:b/>
          <w:sz w:val="24"/>
          <w:szCs w:val="24"/>
          <w:lang w:val="en-ZA"/>
        </w:rPr>
      </w:pPr>
    </w:p>
    <w:p w14:paraId="2DFD3CCB" w14:textId="77777777" w:rsidR="00933FA4" w:rsidRPr="008D105A" w:rsidRDefault="00933FA4" w:rsidP="00933FA4">
      <w:pPr>
        <w:spacing w:line="240" w:lineRule="auto"/>
        <w:jc w:val="center"/>
        <w:rPr>
          <w:rFonts w:ascii="Arial" w:hAnsi="Arial" w:cs="Arial"/>
          <w:b/>
          <w:sz w:val="24"/>
          <w:szCs w:val="24"/>
          <w:lang w:val="en-ZA"/>
        </w:rPr>
      </w:pPr>
      <w:r w:rsidRPr="008D105A">
        <w:rPr>
          <w:rFonts w:ascii="Arial" w:hAnsi="Arial" w:cs="Arial"/>
          <w:b/>
          <w:sz w:val="24"/>
          <w:szCs w:val="24"/>
          <w:lang w:val="en-ZA"/>
        </w:rPr>
        <w:t>IN THE HIGH COURT OF SOUTH AFRICA</w:t>
      </w:r>
    </w:p>
    <w:p w14:paraId="6711F483" w14:textId="34B7A302" w:rsidR="00933FA4" w:rsidRPr="008D105A" w:rsidRDefault="00933FA4" w:rsidP="00933FA4">
      <w:pPr>
        <w:spacing w:line="240" w:lineRule="auto"/>
        <w:jc w:val="center"/>
        <w:rPr>
          <w:rFonts w:ascii="Arial" w:hAnsi="Arial" w:cs="Arial"/>
          <w:b/>
          <w:sz w:val="24"/>
          <w:szCs w:val="24"/>
          <w:lang w:val="en-ZA"/>
        </w:rPr>
      </w:pPr>
      <w:r w:rsidRPr="008D105A">
        <w:rPr>
          <w:rFonts w:ascii="Arial" w:hAnsi="Arial" w:cs="Arial"/>
          <w:b/>
          <w:sz w:val="24"/>
          <w:szCs w:val="24"/>
          <w:lang w:val="en-ZA"/>
        </w:rPr>
        <w:t xml:space="preserve">KWAZULU NATAL </w:t>
      </w:r>
      <w:r w:rsidR="008B08AE" w:rsidRPr="008D105A">
        <w:rPr>
          <w:rFonts w:ascii="Arial" w:hAnsi="Arial" w:cs="Arial"/>
          <w:b/>
          <w:sz w:val="24"/>
          <w:szCs w:val="24"/>
          <w:lang w:val="en-ZA"/>
        </w:rPr>
        <w:t xml:space="preserve">LOCAL </w:t>
      </w:r>
      <w:r w:rsidRPr="008D105A">
        <w:rPr>
          <w:rFonts w:ascii="Arial" w:hAnsi="Arial" w:cs="Arial"/>
          <w:b/>
          <w:sz w:val="24"/>
          <w:szCs w:val="24"/>
          <w:lang w:val="en-ZA"/>
        </w:rPr>
        <w:t xml:space="preserve">DIVISION, </w:t>
      </w:r>
      <w:r w:rsidR="008B08AE" w:rsidRPr="008D105A">
        <w:rPr>
          <w:rFonts w:ascii="Arial" w:hAnsi="Arial" w:cs="Arial"/>
          <w:b/>
          <w:sz w:val="24"/>
          <w:szCs w:val="24"/>
          <w:lang w:val="en-ZA"/>
        </w:rPr>
        <w:t>DURBAN</w:t>
      </w:r>
    </w:p>
    <w:p w14:paraId="36DE2B58" w14:textId="77777777" w:rsidR="00933FA4" w:rsidRPr="008D105A" w:rsidRDefault="00933FA4" w:rsidP="00933FA4">
      <w:pPr>
        <w:spacing w:line="240" w:lineRule="auto"/>
        <w:jc w:val="center"/>
        <w:rPr>
          <w:rFonts w:ascii="Arial" w:hAnsi="Arial" w:cs="Arial"/>
          <w:b/>
          <w:sz w:val="24"/>
          <w:szCs w:val="24"/>
          <w:lang w:val="en-ZA"/>
        </w:rPr>
      </w:pPr>
    </w:p>
    <w:p w14:paraId="04319C13" w14:textId="2BC6A096" w:rsidR="00933FA4" w:rsidRPr="008D105A" w:rsidRDefault="00933FA4" w:rsidP="00933FA4">
      <w:pPr>
        <w:spacing w:line="240" w:lineRule="auto"/>
        <w:jc w:val="right"/>
        <w:rPr>
          <w:rFonts w:ascii="Arial" w:hAnsi="Arial" w:cs="Arial"/>
          <w:sz w:val="24"/>
          <w:szCs w:val="24"/>
          <w:lang w:val="en-ZA"/>
        </w:rPr>
      </w:pPr>
      <w:r w:rsidRPr="008D105A">
        <w:rPr>
          <w:rFonts w:ascii="Arial" w:hAnsi="Arial" w:cs="Arial"/>
          <w:sz w:val="24"/>
          <w:szCs w:val="24"/>
          <w:lang w:val="en-ZA"/>
        </w:rPr>
        <w:t xml:space="preserve">Case No: </w:t>
      </w:r>
      <w:r w:rsidR="00C466E4">
        <w:rPr>
          <w:rFonts w:ascii="Arial" w:hAnsi="Arial" w:cs="Arial"/>
          <w:b/>
          <w:bCs/>
          <w:sz w:val="24"/>
          <w:szCs w:val="24"/>
          <w:lang w:val="en-ZA"/>
        </w:rPr>
        <w:t>D174/2022</w:t>
      </w:r>
    </w:p>
    <w:p w14:paraId="7E3D34DA" w14:textId="77777777" w:rsidR="00933FA4" w:rsidRPr="008D105A" w:rsidRDefault="00933FA4" w:rsidP="00933FA4">
      <w:pPr>
        <w:spacing w:line="240" w:lineRule="auto"/>
        <w:rPr>
          <w:rFonts w:ascii="Arial" w:hAnsi="Arial" w:cs="Arial"/>
          <w:sz w:val="24"/>
          <w:szCs w:val="24"/>
          <w:lang w:val="en-ZA"/>
        </w:rPr>
      </w:pPr>
      <w:r w:rsidRPr="008D105A">
        <w:rPr>
          <w:rFonts w:ascii="Arial" w:hAnsi="Arial" w:cs="Arial"/>
          <w:sz w:val="24"/>
          <w:szCs w:val="24"/>
          <w:lang w:val="en-ZA"/>
        </w:rPr>
        <w:t>In the matter between:</w:t>
      </w:r>
    </w:p>
    <w:p w14:paraId="4046A1C1" w14:textId="2EDBC329" w:rsidR="00652670" w:rsidRPr="008D105A" w:rsidRDefault="00C466E4" w:rsidP="00470A2C">
      <w:pPr>
        <w:tabs>
          <w:tab w:val="right" w:pos="9356"/>
        </w:tabs>
        <w:spacing w:line="240" w:lineRule="auto"/>
        <w:rPr>
          <w:rFonts w:ascii="Arial" w:hAnsi="Arial" w:cs="Arial"/>
          <w:b/>
          <w:sz w:val="24"/>
          <w:szCs w:val="24"/>
          <w:lang w:val="en-ZA"/>
        </w:rPr>
      </w:pPr>
      <w:r>
        <w:rPr>
          <w:rFonts w:ascii="Arial" w:hAnsi="Arial" w:cs="Arial"/>
          <w:b/>
          <w:sz w:val="24"/>
          <w:szCs w:val="24"/>
          <w:lang w:val="en-ZA"/>
        </w:rPr>
        <w:t>PASSENGER RAIL AGENCY OF SOUTH AFRICA</w:t>
      </w:r>
      <w:r w:rsidR="00470A2C">
        <w:rPr>
          <w:rFonts w:ascii="Arial" w:hAnsi="Arial" w:cs="Arial"/>
          <w:b/>
          <w:sz w:val="24"/>
          <w:szCs w:val="24"/>
          <w:lang w:val="en-ZA"/>
        </w:rPr>
        <w:tab/>
      </w:r>
      <w:r w:rsidR="00E07AEC">
        <w:rPr>
          <w:rFonts w:ascii="Arial" w:hAnsi="Arial" w:cs="Arial"/>
          <w:b/>
          <w:sz w:val="24"/>
          <w:szCs w:val="24"/>
          <w:lang w:val="en-ZA"/>
        </w:rPr>
        <w:t>PLAINTIFF</w:t>
      </w:r>
    </w:p>
    <w:p w14:paraId="0A5E43D7" w14:textId="77777777" w:rsidR="00933FA4" w:rsidRPr="008D105A" w:rsidRDefault="00933FA4" w:rsidP="00933FA4">
      <w:pPr>
        <w:spacing w:line="240" w:lineRule="auto"/>
        <w:rPr>
          <w:rFonts w:ascii="Arial" w:hAnsi="Arial" w:cs="Arial"/>
          <w:sz w:val="24"/>
          <w:szCs w:val="24"/>
          <w:lang w:val="en-ZA"/>
        </w:rPr>
      </w:pPr>
      <w:r w:rsidRPr="008D105A">
        <w:rPr>
          <w:rFonts w:ascii="Arial" w:hAnsi="Arial" w:cs="Arial"/>
          <w:sz w:val="24"/>
          <w:szCs w:val="24"/>
          <w:lang w:val="en-ZA"/>
        </w:rPr>
        <w:t xml:space="preserve">and </w:t>
      </w:r>
    </w:p>
    <w:p w14:paraId="2844B826" w14:textId="67A77229" w:rsidR="00470A2C" w:rsidRDefault="00C466E4" w:rsidP="00272C2E">
      <w:pPr>
        <w:tabs>
          <w:tab w:val="right" w:pos="9356"/>
        </w:tabs>
        <w:spacing w:line="240" w:lineRule="auto"/>
        <w:rPr>
          <w:rFonts w:ascii="Arial" w:hAnsi="Arial" w:cs="Arial"/>
          <w:b/>
          <w:sz w:val="24"/>
          <w:szCs w:val="24"/>
          <w:lang w:val="en-ZA"/>
        </w:rPr>
      </w:pPr>
      <w:r>
        <w:rPr>
          <w:rFonts w:ascii="Arial" w:hAnsi="Arial" w:cs="Arial"/>
          <w:b/>
          <w:sz w:val="24"/>
          <w:szCs w:val="24"/>
          <w:lang w:val="en-ZA"/>
        </w:rPr>
        <w:t xml:space="preserve">MOOLLAS TRANSPORT SERVICES CC trading as </w:t>
      </w:r>
      <w:r>
        <w:rPr>
          <w:rFonts w:ascii="Arial" w:hAnsi="Arial" w:cs="Arial"/>
          <w:b/>
          <w:sz w:val="24"/>
          <w:szCs w:val="24"/>
          <w:lang w:val="en-ZA"/>
        </w:rPr>
        <w:br/>
        <w:t>MY BUS AFRICAN GREY</w:t>
      </w:r>
      <w:r w:rsidR="00470A2C">
        <w:rPr>
          <w:rFonts w:ascii="Arial" w:hAnsi="Arial" w:cs="Arial"/>
          <w:b/>
          <w:sz w:val="24"/>
          <w:szCs w:val="24"/>
          <w:lang w:val="en-ZA"/>
        </w:rPr>
        <w:tab/>
      </w:r>
      <w:r>
        <w:rPr>
          <w:rFonts w:ascii="Arial" w:hAnsi="Arial" w:cs="Arial"/>
          <w:b/>
          <w:sz w:val="24"/>
          <w:szCs w:val="24"/>
          <w:lang w:val="en-ZA"/>
        </w:rPr>
        <w:t xml:space="preserve">FIRST </w:t>
      </w:r>
      <w:r w:rsidR="00272C2E">
        <w:rPr>
          <w:rFonts w:ascii="Arial" w:hAnsi="Arial" w:cs="Arial"/>
          <w:b/>
          <w:sz w:val="24"/>
          <w:szCs w:val="24"/>
          <w:lang w:val="en-ZA"/>
        </w:rPr>
        <w:t>DEFENDANT</w:t>
      </w:r>
    </w:p>
    <w:p w14:paraId="54D869C6" w14:textId="12AFC46C" w:rsidR="00C466E4" w:rsidRDefault="00C466E4" w:rsidP="00272C2E">
      <w:pPr>
        <w:tabs>
          <w:tab w:val="right" w:pos="9356"/>
        </w:tabs>
        <w:spacing w:line="240" w:lineRule="auto"/>
        <w:rPr>
          <w:rFonts w:ascii="Arial" w:hAnsi="Arial" w:cs="Arial"/>
          <w:b/>
          <w:sz w:val="24"/>
          <w:szCs w:val="24"/>
          <w:lang w:val="en-ZA"/>
        </w:rPr>
      </w:pPr>
      <w:r>
        <w:rPr>
          <w:rFonts w:ascii="Arial" w:hAnsi="Arial" w:cs="Arial"/>
          <w:b/>
          <w:sz w:val="24"/>
          <w:szCs w:val="24"/>
          <w:lang w:val="en-ZA"/>
        </w:rPr>
        <w:t>ZUBAIR MOOLLA</w:t>
      </w:r>
      <w:r>
        <w:rPr>
          <w:rFonts w:ascii="Arial" w:hAnsi="Arial" w:cs="Arial"/>
          <w:b/>
          <w:sz w:val="24"/>
          <w:szCs w:val="24"/>
          <w:lang w:val="en-ZA"/>
        </w:rPr>
        <w:tab/>
        <w:t>SECOND DEFENDANT</w:t>
      </w:r>
    </w:p>
    <w:p w14:paraId="6AB8EC59" w14:textId="7189FCDA" w:rsidR="00C466E4" w:rsidRPr="008D105A" w:rsidRDefault="00C466E4" w:rsidP="00272C2E">
      <w:pPr>
        <w:tabs>
          <w:tab w:val="right" w:pos="9356"/>
        </w:tabs>
        <w:spacing w:line="240" w:lineRule="auto"/>
        <w:rPr>
          <w:rFonts w:ascii="Arial" w:hAnsi="Arial" w:cs="Arial"/>
          <w:b/>
          <w:sz w:val="24"/>
          <w:szCs w:val="24"/>
          <w:lang w:val="en-ZA"/>
        </w:rPr>
      </w:pPr>
      <w:r>
        <w:rPr>
          <w:rFonts w:ascii="Arial" w:hAnsi="Arial" w:cs="Arial"/>
          <w:b/>
          <w:sz w:val="24"/>
          <w:szCs w:val="24"/>
          <w:lang w:val="en-ZA"/>
        </w:rPr>
        <w:t>FAIZ MOOLLA</w:t>
      </w:r>
      <w:r>
        <w:rPr>
          <w:rFonts w:ascii="Arial" w:hAnsi="Arial" w:cs="Arial"/>
          <w:b/>
          <w:sz w:val="24"/>
          <w:szCs w:val="24"/>
          <w:lang w:val="en-ZA"/>
        </w:rPr>
        <w:tab/>
        <w:t>THIRD DEFENDANT</w:t>
      </w:r>
    </w:p>
    <w:p w14:paraId="07A95A3B" w14:textId="77777777" w:rsidR="00933FA4" w:rsidRPr="00751B45" w:rsidRDefault="00933FA4" w:rsidP="00751B45">
      <w:pPr>
        <w:spacing w:after="0" w:line="360" w:lineRule="auto"/>
        <w:rPr>
          <w:rFonts w:ascii="Arial" w:hAnsi="Arial" w:cs="Arial"/>
          <w:b/>
          <w:sz w:val="24"/>
          <w:szCs w:val="24"/>
          <w:lang w:val="en-ZA"/>
        </w:rPr>
      </w:pPr>
      <w:r w:rsidRPr="00751B45">
        <w:rPr>
          <w:rFonts w:ascii="Arial" w:hAnsi="Arial" w:cs="Arial"/>
          <w:b/>
          <w:sz w:val="24"/>
          <w:szCs w:val="24"/>
          <w:lang w:val="en-ZA"/>
        </w:rPr>
        <w:t>______________________________________________________________________</w:t>
      </w:r>
    </w:p>
    <w:p w14:paraId="06F74647" w14:textId="14FC792B" w:rsidR="00933FA4" w:rsidRPr="00751B45" w:rsidRDefault="00E07AEC" w:rsidP="00751B45">
      <w:pPr>
        <w:spacing w:after="0" w:line="360" w:lineRule="auto"/>
        <w:jc w:val="center"/>
        <w:rPr>
          <w:rFonts w:ascii="Arial" w:hAnsi="Arial" w:cs="Arial"/>
          <w:b/>
          <w:sz w:val="24"/>
          <w:szCs w:val="24"/>
          <w:lang w:val="en-ZA"/>
        </w:rPr>
      </w:pPr>
      <w:r w:rsidRPr="00751B45">
        <w:rPr>
          <w:rFonts w:ascii="Arial" w:hAnsi="Arial" w:cs="Arial"/>
          <w:b/>
          <w:sz w:val="24"/>
          <w:szCs w:val="24"/>
          <w:lang w:val="en-ZA"/>
        </w:rPr>
        <w:t>ORDER</w:t>
      </w:r>
    </w:p>
    <w:p w14:paraId="574FD826" w14:textId="77777777" w:rsidR="00D961F9" w:rsidRPr="00751B45" w:rsidRDefault="00933FA4" w:rsidP="00751B45">
      <w:pPr>
        <w:spacing w:after="0" w:line="360" w:lineRule="auto"/>
        <w:rPr>
          <w:rFonts w:ascii="Arial" w:hAnsi="Arial" w:cs="Arial"/>
          <w:b/>
          <w:sz w:val="24"/>
          <w:szCs w:val="24"/>
          <w:lang w:val="en-ZA"/>
        </w:rPr>
      </w:pPr>
      <w:r w:rsidRPr="00751B45">
        <w:rPr>
          <w:rFonts w:ascii="Arial" w:hAnsi="Arial" w:cs="Arial"/>
          <w:b/>
          <w:sz w:val="24"/>
          <w:szCs w:val="24"/>
          <w:lang w:val="en-ZA"/>
        </w:rPr>
        <w:t>______________________________________________________________________</w:t>
      </w:r>
    </w:p>
    <w:p w14:paraId="31983BCE" w14:textId="5B828801" w:rsidR="00470A2C" w:rsidRPr="00751B45" w:rsidRDefault="00470A2C" w:rsidP="00751B45">
      <w:pPr>
        <w:spacing w:after="0" w:line="360" w:lineRule="auto"/>
        <w:jc w:val="both"/>
        <w:rPr>
          <w:rFonts w:ascii="Arial" w:hAnsi="Arial" w:cs="Arial"/>
          <w:sz w:val="24"/>
          <w:szCs w:val="24"/>
          <w:lang w:val="en-ZA"/>
        </w:rPr>
      </w:pPr>
      <w:r w:rsidRPr="00751B45">
        <w:rPr>
          <w:rFonts w:ascii="Arial" w:hAnsi="Arial" w:cs="Arial"/>
          <w:sz w:val="24"/>
          <w:szCs w:val="24"/>
          <w:lang w:val="en-ZA"/>
        </w:rPr>
        <w:t>The following order is granted:</w:t>
      </w:r>
    </w:p>
    <w:p w14:paraId="0F1053B6" w14:textId="77777777" w:rsidR="00B90552" w:rsidRPr="00751B45" w:rsidRDefault="00B90552" w:rsidP="00751B45">
      <w:pPr>
        <w:spacing w:after="0" w:line="360" w:lineRule="auto"/>
        <w:jc w:val="both"/>
        <w:rPr>
          <w:rFonts w:ascii="Arial" w:eastAsia="Calibri" w:hAnsi="Arial" w:cs="Arial"/>
          <w:sz w:val="24"/>
          <w:szCs w:val="24"/>
          <w:lang w:val="en-ZA"/>
        </w:rPr>
      </w:pPr>
      <w:r w:rsidRPr="00751B45">
        <w:rPr>
          <w:rFonts w:ascii="Arial" w:eastAsia="Calibri" w:hAnsi="Arial" w:cs="Arial"/>
          <w:sz w:val="24"/>
          <w:szCs w:val="24"/>
          <w:lang w:val="en-ZA"/>
        </w:rPr>
        <w:t>1.</w:t>
      </w:r>
      <w:r w:rsidRPr="00751B45">
        <w:rPr>
          <w:rFonts w:ascii="Arial" w:eastAsia="Calibri" w:hAnsi="Arial" w:cs="Arial"/>
          <w:sz w:val="24"/>
          <w:szCs w:val="24"/>
          <w:lang w:val="en-ZA"/>
        </w:rPr>
        <w:tab/>
        <w:t>The Plaintiff’s exception to the First Defendant’s counterclaim is upheld.</w:t>
      </w:r>
    </w:p>
    <w:p w14:paraId="00682E4F" w14:textId="77777777" w:rsidR="00B90552" w:rsidRPr="00751B45" w:rsidRDefault="00B90552" w:rsidP="00751B45">
      <w:pPr>
        <w:spacing w:after="0" w:line="360" w:lineRule="auto"/>
        <w:jc w:val="both"/>
        <w:rPr>
          <w:rFonts w:ascii="Arial" w:eastAsia="Calibri" w:hAnsi="Arial" w:cs="Arial"/>
          <w:sz w:val="24"/>
          <w:szCs w:val="24"/>
          <w:lang w:val="en-ZA"/>
        </w:rPr>
      </w:pPr>
      <w:r w:rsidRPr="00751B45">
        <w:rPr>
          <w:rFonts w:ascii="Arial" w:eastAsia="Calibri" w:hAnsi="Arial" w:cs="Arial"/>
          <w:sz w:val="24"/>
          <w:szCs w:val="24"/>
          <w:lang w:val="en-ZA"/>
        </w:rPr>
        <w:t>2.</w:t>
      </w:r>
      <w:r w:rsidRPr="00751B45">
        <w:rPr>
          <w:rFonts w:ascii="Arial" w:eastAsia="Calibri" w:hAnsi="Arial" w:cs="Arial"/>
          <w:sz w:val="24"/>
          <w:szCs w:val="24"/>
          <w:lang w:val="en-ZA"/>
        </w:rPr>
        <w:tab/>
        <w:t>The First Defendant is to pay the costs of the application.</w:t>
      </w:r>
    </w:p>
    <w:p w14:paraId="4A472004" w14:textId="77777777" w:rsidR="00D961F9" w:rsidRPr="00751B45" w:rsidRDefault="00D961F9" w:rsidP="00751B45">
      <w:pPr>
        <w:spacing w:after="0" w:line="360" w:lineRule="auto"/>
        <w:rPr>
          <w:rFonts w:ascii="Arial" w:hAnsi="Arial" w:cs="Arial"/>
          <w:b/>
          <w:sz w:val="24"/>
          <w:szCs w:val="24"/>
          <w:lang w:val="en-ZA"/>
        </w:rPr>
      </w:pPr>
      <w:r w:rsidRPr="00751B45">
        <w:rPr>
          <w:rFonts w:ascii="Arial" w:hAnsi="Arial" w:cs="Arial"/>
          <w:b/>
          <w:sz w:val="24"/>
          <w:szCs w:val="24"/>
          <w:lang w:val="en-ZA"/>
        </w:rPr>
        <w:t>______________________________________________________________________</w:t>
      </w:r>
    </w:p>
    <w:p w14:paraId="25A41E62" w14:textId="77777777" w:rsidR="00D961F9" w:rsidRPr="00751B45" w:rsidRDefault="00D961F9" w:rsidP="00751B45">
      <w:pPr>
        <w:spacing w:after="0" w:line="360" w:lineRule="auto"/>
        <w:jc w:val="center"/>
        <w:rPr>
          <w:rFonts w:ascii="Arial" w:hAnsi="Arial" w:cs="Arial"/>
          <w:b/>
          <w:sz w:val="24"/>
          <w:szCs w:val="24"/>
          <w:lang w:val="en-ZA"/>
        </w:rPr>
      </w:pPr>
      <w:r w:rsidRPr="00751B45">
        <w:rPr>
          <w:rFonts w:ascii="Arial" w:hAnsi="Arial" w:cs="Arial"/>
          <w:b/>
          <w:sz w:val="24"/>
          <w:szCs w:val="24"/>
          <w:lang w:val="en-ZA"/>
        </w:rPr>
        <w:t>JUDGMENT</w:t>
      </w:r>
    </w:p>
    <w:p w14:paraId="242E62C8" w14:textId="77777777" w:rsidR="00D961F9" w:rsidRPr="00751B45" w:rsidRDefault="00D961F9" w:rsidP="00751B45">
      <w:pPr>
        <w:spacing w:after="0" w:line="360" w:lineRule="auto"/>
        <w:rPr>
          <w:rFonts w:ascii="Arial" w:hAnsi="Arial" w:cs="Arial"/>
          <w:b/>
          <w:sz w:val="24"/>
          <w:szCs w:val="24"/>
          <w:lang w:val="en-ZA"/>
        </w:rPr>
      </w:pPr>
      <w:r w:rsidRPr="00751B45">
        <w:rPr>
          <w:rFonts w:ascii="Arial" w:hAnsi="Arial" w:cs="Arial"/>
          <w:b/>
          <w:sz w:val="24"/>
          <w:szCs w:val="24"/>
          <w:lang w:val="en-ZA"/>
        </w:rPr>
        <w:t>______________________________________________________________________</w:t>
      </w:r>
    </w:p>
    <w:p w14:paraId="22904995" w14:textId="3977BB3A" w:rsidR="00C45ED2" w:rsidRPr="00751B45" w:rsidRDefault="00652670" w:rsidP="00751B45">
      <w:pPr>
        <w:spacing w:after="0" w:line="360" w:lineRule="auto"/>
        <w:jc w:val="both"/>
        <w:rPr>
          <w:rFonts w:ascii="Arial" w:hAnsi="Arial" w:cs="Arial"/>
          <w:b/>
          <w:bCs/>
          <w:sz w:val="24"/>
          <w:szCs w:val="24"/>
          <w:lang w:val="en-ZA"/>
        </w:rPr>
      </w:pPr>
      <w:r w:rsidRPr="00751B45">
        <w:rPr>
          <w:rFonts w:ascii="Arial" w:hAnsi="Arial" w:cs="Arial"/>
          <w:b/>
          <w:bCs/>
          <w:sz w:val="24"/>
          <w:szCs w:val="24"/>
          <w:lang w:val="en-ZA"/>
        </w:rPr>
        <w:t>MCINTOSH AJ:</w:t>
      </w:r>
    </w:p>
    <w:p w14:paraId="42C29AF2" w14:textId="77777777" w:rsidR="00751B45" w:rsidRDefault="00751B45" w:rsidP="00751B45">
      <w:pPr>
        <w:spacing w:after="0" w:line="360" w:lineRule="auto"/>
        <w:jc w:val="both"/>
        <w:rPr>
          <w:rFonts w:ascii="Arial" w:hAnsi="Arial" w:cs="Arial"/>
          <w:b/>
          <w:bCs/>
          <w:sz w:val="24"/>
          <w:szCs w:val="24"/>
          <w:u w:val="single"/>
          <w:lang w:val="en-ZA"/>
        </w:rPr>
      </w:pPr>
    </w:p>
    <w:p w14:paraId="71F2E1A5" w14:textId="3EBF03F4" w:rsidR="00E07AEC" w:rsidRDefault="00E07AEC" w:rsidP="00751B45">
      <w:pPr>
        <w:spacing w:after="0" w:line="360" w:lineRule="auto"/>
        <w:jc w:val="both"/>
        <w:rPr>
          <w:rFonts w:ascii="Arial" w:hAnsi="Arial" w:cs="Arial"/>
          <w:b/>
          <w:bCs/>
          <w:sz w:val="24"/>
          <w:szCs w:val="24"/>
          <w:u w:val="single"/>
          <w:lang w:val="en-ZA"/>
        </w:rPr>
      </w:pPr>
      <w:r w:rsidRPr="00751B45">
        <w:rPr>
          <w:rFonts w:ascii="Arial" w:hAnsi="Arial" w:cs="Arial"/>
          <w:b/>
          <w:bCs/>
          <w:sz w:val="24"/>
          <w:szCs w:val="24"/>
          <w:u w:val="single"/>
          <w:lang w:val="en-ZA"/>
        </w:rPr>
        <w:t>Introduction</w:t>
      </w:r>
    </w:p>
    <w:p w14:paraId="2435844A" w14:textId="66BD3EDE" w:rsidR="00EE7901"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C466E4" w:rsidRPr="001A246B">
        <w:rPr>
          <w:rFonts w:ascii="Arial" w:hAnsi="Arial" w:cs="Arial"/>
          <w:sz w:val="24"/>
          <w:szCs w:val="24"/>
          <w:lang w:val="en-ZA"/>
        </w:rPr>
        <w:t>This is an opposed motion wherein the Plaintiff excepts to the First Defendant's counterclaim</w:t>
      </w:r>
      <w:r w:rsidR="00EE7901" w:rsidRPr="001A246B">
        <w:rPr>
          <w:rFonts w:ascii="Arial" w:hAnsi="Arial" w:cs="Arial"/>
          <w:sz w:val="24"/>
          <w:szCs w:val="24"/>
          <w:lang w:val="en-ZA"/>
        </w:rPr>
        <w:t>.</w:t>
      </w:r>
    </w:p>
    <w:p w14:paraId="2B352398" w14:textId="77777777" w:rsidR="00751B45" w:rsidRPr="00751B45" w:rsidRDefault="00751B45" w:rsidP="00751B45">
      <w:pPr>
        <w:pStyle w:val="ListParagraph"/>
        <w:tabs>
          <w:tab w:val="left" w:pos="851"/>
        </w:tabs>
        <w:spacing w:after="0" w:line="360" w:lineRule="auto"/>
        <w:ind w:left="0"/>
        <w:contextualSpacing w:val="0"/>
        <w:jc w:val="both"/>
        <w:rPr>
          <w:rFonts w:ascii="Arial" w:hAnsi="Arial" w:cs="Arial"/>
          <w:sz w:val="24"/>
          <w:szCs w:val="24"/>
          <w:lang w:val="en-ZA"/>
        </w:rPr>
      </w:pPr>
    </w:p>
    <w:p w14:paraId="3993CA7D" w14:textId="3FF50426" w:rsidR="00672CBB"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lastRenderedPageBreak/>
        <w:t>[2]</w:t>
      </w:r>
      <w:r>
        <w:rPr>
          <w:rFonts w:ascii="Arial" w:hAnsi="Arial" w:cs="Arial"/>
          <w:sz w:val="24"/>
          <w:szCs w:val="24"/>
          <w:lang w:val="en-ZA"/>
        </w:rPr>
        <w:tab/>
      </w:r>
      <w:r w:rsidR="00EE7901" w:rsidRPr="001A246B">
        <w:rPr>
          <w:rFonts w:ascii="Arial" w:hAnsi="Arial" w:cs="Arial"/>
          <w:sz w:val="24"/>
          <w:szCs w:val="24"/>
          <w:lang w:val="en-ZA"/>
        </w:rPr>
        <w:t>The parties will be referred to as per the pleadings in convention.</w:t>
      </w:r>
    </w:p>
    <w:p w14:paraId="5DB3C57D" w14:textId="77777777" w:rsidR="00751B45" w:rsidRPr="00751B45" w:rsidRDefault="00751B45" w:rsidP="00751B45">
      <w:pPr>
        <w:pStyle w:val="ListParagraph"/>
        <w:tabs>
          <w:tab w:val="left" w:pos="851"/>
        </w:tabs>
        <w:spacing w:after="0" w:line="360" w:lineRule="auto"/>
        <w:ind w:left="0"/>
        <w:contextualSpacing w:val="0"/>
        <w:jc w:val="both"/>
        <w:rPr>
          <w:rFonts w:ascii="Arial" w:hAnsi="Arial" w:cs="Arial"/>
          <w:sz w:val="24"/>
          <w:szCs w:val="24"/>
          <w:lang w:val="en-ZA"/>
        </w:rPr>
      </w:pPr>
    </w:p>
    <w:p w14:paraId="6A256446" w14:textId="1DC8DA0D" w:rsidR="00EE7901"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EE7901" w:rsidRPr="001A246B">
        <w:rPr>
          <w:rFonts w:ascii="Arial" w:hAnsi="Arial" w:cs="Arial"/>
          <w:sz w:val="24"/>
          <w:szCs w:val="24"/>
          <w:lang w:val="en-ZA"/>
        </w:rPr>
        <w:t>In the Plaintiff’s summons, the cause of action is two lease agreements that the Plaintiff entered into with the First Defendant.</w:t>
      </w:r>
    </w:p>
    <w:p w14:paraId="27160851" w14:textId="77777777" w:rsidR="00751B45" w:rsidRPr="00751B45" w:rsidRDefault="00751B45" w:rsidP="00751B45">
      <w:pPr>
        <w:pStyle w:val="ListParagraph"/>
        <w:rPr>
          <w:rFonts w:ascii="Arial" w:hAnsi="Arial" w:cs="Arial"/>
          <w:sz w:val="24"/>
          <w:szCs w:val="24"/>
          <w:lang w:val="en-ZA"/>
        </w:rPr>
      </w:pPr>
    </w:p>
    <w:p w14:paraId="47EE4769" w14:textId="5529DA36" w:rsidR="00672CBB"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C466E4" w:rsidRPr="001A246B">
        <w:rPr>
          <w:rFonts w:ascii="Arial" w:hAnsi="Arial" w:cs="Arial"/>
          <w:sz w:val="24"/>
          <w:szCs w:val="24"/>
          <w:lang w:val="en-ZA"/>
        </w:rPr>
        <w:t xml:space="preserve">The first lease agreement pertains to office space </w:t>
      </w:r>
      <w:r w:rsidR="00EE7901" w:rsidRPr="001A246B">
        <w:rPr>
          <w:rFonts w:ascii="Arial" w:hAnsi="Arial" w:cs="Arial"/>
          <w:sz w:val="24"/>
          <w:szCs w:val="24"/>
          <w:lang w:val="en-ZA"/>
        </w:rPr>
        <w:t xml:space="preserve">for </w:t>
      </w:r>
      <w:r w:rsidR="00C466E4" w:rsidRPr="001A246B">
        <w:rPr>
          <w:rFonts w:ascii="Arial" w:hAnsi="Arial" w:cs="Arial"/>
          <w:sz w:val="24"/>
          <w:szCs w:val="24"/>
          <w:lang w:val="en-ZA"/>
        </w:rPr>
        <w:t>a bus operation at the Durban railway station</w:t>
      </w:r>
      <w:r w:rsidR="00EE7901" w:rsidRPr="001A246B">
        <w:rPr>
          <w:rFonts w:ascii="Arial" w:hAnsi="Arial" w:cs="Arial"/>
          <w:sz w:val="24"/>
          <w:szCs w:val="24"/>
          <w:lang w:val="en-ZA"/>
        </w:rPr>
        <w:t>.  D</w:t>
      </w:r>
      <w:r w:rsidR="00C466E4" w:rsidRPr="001A246B">
        <w:rPr>
          <w:rFonts w:ascii="Arial" w:hAnsi="Arial" w:cs="Arial"/>
          <w:sz w:val="24"/>
          <w:szCs w:val="24"/>
          <w:lang w:val="en-ZA"/>
        </w:rPr>
        <w:t xml:space="preserve">espite the expiry of the </w:t>
      </w:r>
      <w:r w:rsidR="00EE7901" w:rsidRPr="001A246B">
        <w:rPr>
          <w:rFonts w:ascii="Arial" w:hAnsi="Arial" w:cs="Arial"/>
          <w:sz w:val="24"/>
          <w:szCs w:val="24"/>
          <w:lang w:val="en-ZA"/>
        </w:rPr>
        <w:t xml:space="preserve">first </w:t>
      </w:r>
      <w:r w:rsidR="00C466E4" w:rsidRPr="001A246B">
        <w:rPr>
          <w:rFonts w:ascii="Arial" w:hAnsi="Arial" w:cs="Arial"/>
          <w:sz w:val="24"/>
          <w:szCs w:val="24"/>
          <w:lang w:val="en-ZA"/>
        </w:rPr>
        <w:t>lease by way of effluxion of time on 30</w:t>
      </w:r>
      <w:r w:rsidR="00751B45" w:rsidRPr="001A246B">
        <w:rPr>
          <w:rFonts w:ascii="Arial" w:hAnsi="Arial" w:cs="Arial"/>
          <w:sz w:val="24"/>
          <w:szCs w:val="24"/>
          <w:vertAlign w:val="superscript"/>
          <w:lang w:val="en-ZA"/>
        </w:rPr>
        <w:t>th</w:t>
      </w:r>
      <w:r w:rsidR="00751B45" w:rsidRPr="001A246B">
        <w:rPr>
          <w:rFonts w:ascii="Arial" w:hAnsi="Arial" w:cs="Arial"/>
          <w:sz w:val="24"/>
          <w:szCs w:val="24"/>
          <w:lang w:val="en-ZA"/>
        </w:rPr>
        <w:t xml:space="preserve"> </w:t>
      </w:r>
      <w:r w:rsidR="00C466E4" w:rsidRPr="001A246B">
        <w:rPr>
          <w:rFonts w:ascii="Arial" w:hAnsi="Arial" w:cs="Arial"/>
          <w:sz w:val="24"/>
          <w:szCs w:val="24"/>
          <w:lang w:val="en-ZA"/>
        </w:rPr>
        <w:t xml:space="preserve">April 2020, </w:t>
      </w:r>
      <w:r w:rsidR="00EE7901" w:rsidRPr="001A246B">
        <w:rPr>
          <w:rFonts w:ascii="Arial" w:hAnsi="Arial" w:cs="Arial"/>
          <w:sz w:val="24"/>
          <w:szCs w:val="24"/>
          <w:lang w:val="en-ZA"/>
        </w:rPr>
        <w:t xml:space="preserve">it is common cause that </w:t>
      </w:r>
      <w:r w:rsidR="00C466E4" w:rsidRPr="001A246B">
        <w:rPr>
          <w:rFonts w:ascii="Arial" w:hAnsi="Arial" w:cs="Arial"/>
          <w:sz w:val="24"/>
          <w:szCs w:val="24"/>
          <w:lang w:val="en-ZA"/>
        </w:rPr>
        <w:t>the First Defendant remained in occupation of the premises.</w:t>
      </w:r>
    </w:p>
    <w:p w14:paraId="7D70B45A" w14:textId="77777777" w:rsidR="00751B45" w:rsidRPr="00751B45" w:rsidRDefault="00751B45" w:rsidP="00751B45">
      <w:pPr>
        <w:pStyle w:val="ListParagraph"/>
        <w:rPr>
          <w:rFonts w:ascii="Arial" w:hAnsi="Arial" w:cs="Arial"/>
          <w:sz w:val="24"/>
          <w:szCs w:val="24"/>
          <w:lang w:val="en-ZA"/>
        </w:rPr>
      </w:pPr>
    </w:p>
    <w:p w14:paraId="10AC7014" w14:textId="2FE51613" w:rsidR="00CE22B4"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54307B" w:rsidRPr="001A246B">
        <w:rPr>
          <w:rFonts w:ascii="Arial" w:hAnsi="Arial" w:cs="Arial"/>
          <w:sz w:val="24"/>
          <w:szCs w:val="24"/>
          <w:lang w:val="en-ZA"/>
        </w:rPr>
        <w:t>The Plaintiff alleges that, d</w:t>
      </w:r>
      <w:r w:rsidR="00C466E4" w:rsidRPr="001A246B">
        <w:rPr>
          <w:rFonts w:ascii="Arial" w:hAnsi="Arial" w:cs="Arial"/>
          <w:sz w:val="24"/>
          <w:szCs w:val="24"/>
          <w:lang w:val="en-ZA"/>
        </w:rPr>
        <w:t xml:space="preserve">espite demand, the First Defendant is </w:t>
      </w:r>
      <w:r w:rsidR="006A00CA" w:rsidRPr="001A246B">
        <w:rPr>
          <w:rFonts w:ascii="Arial" w:hAnsi="Arial" w:cs="Arial"/>
          <w:sz w:val="24"/>
          <w:szCs w:val="24"/>
          <w:lang w:val="en-ZA"/>
        </w:rPr>
        <w:t>indebted to the Plaintiff for the amount of R409</w:t>
      </w:r>
      <w:r w:rsidR="00751B45" w:rsidRPr="001A246B">
        <w:rPr>
          <w:rFonts w:ascii="Arial" w:hAnsi="Arial" w:cs="Arial"/>
          <w:sz w:val="24"/>
          <w:szCs w:val="24"/>
          <w:lang w:val="en-ZA"/>
        </w:rPr>
        <w:t xml:space="preserve"> </w:t>
      </w:r>
      <w:r w:rsidR="006A00CA" w:rsidRPr="001A246B">
        <w:rPr>
          <w:rFonts w:ascii="Arial" w:hAnsi="Arial" w:cs="Arial"/>
          <w:sz w:val="24"/>
          <w:szCs w:val="24"/>
          <w:lang w:val="en-ZA"/>
        </w:rPr>
        <w:t>226.78.</w:t>
      </w:r>
    </w:p>
    <w:p w14:paraId="461A0033" w14:textId="77777777" w:rsidR="00751B45" w:rsidRPr="00751B45" w:rsidRDefault="00751B45" w:rsidP="00751B45">
      <w:pPr>
        <w:pStyle w:val="ListParagraph"/>
        <w:rPr>
          <w:rFonts w:ascii="Arial" w:hAnsi="Arial" w:cs="Arial"/>
          <w:sz w:val="24"/>
          <w:szCs w:val="24"/>
          <w:lang w:val="en-ZA"/>
        </w:rPr>
      </w:pPr>
    </w:p>
    <w:p w14:paraId="047B982A" w14:textId="1AC1C6BD" w:rsidR="00672CBB"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54307B" w:rsidRPr="001A246B">
        <w:rPr>
          <w:rFonts w:ascii="Arial" w:hAnsi="Arial" w:cs="Arial"/>
          <w:sz w:val="24"/>
          <w:szCs w:val="24"/>
          <w:lang w:val="en-ZA"/>
        </w:rPr>
        <w:t xml:space="preserve">With regards to the first lease agreement, the Plaintiff alleges that the </w:t>
      </w:r>
      <w:r w:rsidR="006A00CA" w:rsidRPr="001A246B">
        <w:rPr>
          <w:rFonts w:ascii="Arial" w:hAnsi="Arial" w:cs="Arial"/>
          <w:sz w:val="24"/>
          <w:szCs w:val="24"/>
          <w:lang w:val="en-ZA"/>
        </w:rPr>
        <w:t xml:space="preserve">Second and Third Defendants are jointly liable with the First Defendant on the basis </w:t>
      </w:r>
      <w:r w:rsidR="0054307B" w:rsidRPr="001A246B">
        <w:rPr>
          <w:rFonts w:ascii="Arial" w:hAnsi="Arial" w:cs="Arial"/>
          <w:sz w:val="24"/>
          <w:szCs w:val="24"/>
          <w:lang w:val="en-ZA"/>
        </w:rPr>
        <w:t xml:space="preserve">that they bound </w:t>
      </w:r>
      <w:r w:rsidR="006A00CA" w:rsidRPr="001A246B">
        <w:rPr>
          <w:rFonts w:ascii="Arial" w:hAnsi="Arial" w:cs="Arial"/>
          <w:sz w:val="24"/>
          <w:szCs w:val="24"/>
          <w:lang w:val="en-ZA"/>
        </w:rPr>
        <w:t>themselves as sureties and co-principal debtors with the First Defendant.</w:t>
      </w:r>
    </w:p>
    <w:p w14:paraId="2369AB9B" w14:textId="77777777" w:rsidR="00751B45" w:rsidRPr="00751B45" w:rsidRDefault="00751B45" w:rsidP="00751B45">
      <w:pPr>
        <w:pStyle w:val="ListParagraph"/>
        <w:rPr>
          <w:rFonts w:ascii="Arial" w:hAnsi="Arial" w:cs="Arial"/>
          <w:sz w:val="24"/>
          <w:szCs w:val="24"/>
          <w:lang w:val="en-ZA"/>
        </w:rPr>
      </w:pPr>
    </w:p>
    <w:p w14:paraId="5A825C8B" w14:textId="520A39BC" w:rsidR="00672CBB"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6A00CA" w:rsidRPr="001A246B">
        <w:rPr>
          <w:rFonts w:ascii="Arial" w:hAnsi="Arial" w:cs="Arial"/>
          <w:sz w:val="24"/>
          <w:szCs w:val="24"/>
          <w:lang w:val="en-ZA"/>
        </w:rPr>
        <w:t xml:space="preserve">The second lease agreement pertains to the </w:t>
      </w:r>
      <w:r w:rsidR="0054307B" w:rsidRPr="001A246B">
        <w:rPr>
          <w:rFonts w:ascii="Arial" w:hAnsi="Arial" w:cs="Arial"/>
          <w:sz w:val="24"/>
          <w:szCs w:val="24"/>
          <w:lang w:val="en-ZA"/>
        </w:rPr>
        <w:t xml:space="preserve">same parties.  The </w:t>
      </w:r>
      <w:r w:rsidR="006A00CA" w:rsidRPr="001A246B">
        <w:rPr>
          <w:rFonts w:ascii="Arial" w:hAnsi="Arial" w:cs="Arial"/>
          <w:sz w:val="24"/>
          <w:szCs w:val="24"/>
          <w:lang w:val="en-ZA"/>
        </w:rPr>
        <w:t xml:space="preserve">Plaintiff </w:t>
      </w:r>
      <w:r w:rsidR="0054307B" w:rsidRPr="001A246B">
        <w:rPr>
          <w:rFonts w:ascii="Arial" w:hAnsi="Arial" w:cs="Arial"/>
          <w:sz w:val="24"/>
          <w:szCs w:val="24"/>
          <w:lang w:val="en-ZA"/>
        </w:rPr>
        <w:t xml:space="preserve">alleges it leased </w:t>
      </w:r>
      <w:r w:rsidR="006A00CA" w:rsidRPr="001A246B">
        <w:rPr>
          <w:rFonts w:ascii="Arial" w:hAnsi="Arial" w:cs="Arial"/>
          <w:sz w:val="24"/>
          <w:szCs w:val="24"/>
          <w:lang w:val="en-ZA"/>
        </w:rPr>
        <w:t>advertising space to the First Defendant</w:t>
      </w:r>
      <w:r w:rsidR="0054307B" w:rsidRPr="001A246B">
        <w:rPr>
          <w:rFonts w:ascii="Arial" w:hAnsi="Arial" w:cs="Arial"/>
          <w:sz w:val="24"/>
          <w:szCs w:val="24"/>
          <w:lang w:val="en-ZA"/>
        </w:rPr>
        <w:t xml:space="preserve"> and t</w:t>
      </w:r>
      <w:r w:rsidR="006A00CA" w:rsidRPr="001A246B">
        <w:rPr>
          <w:rFonts w:ascii="Arial" w:hAnsi="Arial" w:cs="Arial"/>
          <w:sz w:val="24"/>
          <w:szCs w:val="24"/>
          <w:lang w:val="en-ZA"/>
        </w:rPr>
        <w:t>he lease expired on 31</w:t>
      </w:r>
      <w:r w:rsidR="00751B45" w:rsidRPr="001A246B">
        <w:rPr>
          <w:rFonts w:ascii="Arial" w:hAnsi="Arial" w:cs="Arial"/>
          <w:sz w:val="24"/>
          <w:szCs w:val="24"/>
          <w:vertAlign w:val="superscript"/>
          <w:lang w:val="en-ZA"/>
        </w:rPr>
        <w:t>st</w:t>
      </w:r>
      <w:r w:rsidR="00751B45" w:rsidRPr="001A246B">
        <w:rPr>
          <w:rFonts w:ascii="Arial" w:hAnsi="Arial" w:cs="Arial"/>
          <w:sz w:val="24"/>
          <w:szCs w:val="24"/>
          <w:lang w:val="en-ZA"/>
        </w:rPr>
        <w:t xml:space="preserve"> </w:t>
      </w:r>
      <w:r w:rsidR="006A00CA" w:rsidRPr="001A246B">
        <w:rPr>
          <w:rFonts w:ascii="Arial" w:hAnsi="Arial" w:cs="Arial"/>
          <w:sz w:val="24"/>
          <w:szCs w:val="24"/>
          <w:lang w:val="en-ZA"/>
        </w:rPr>
        <w:t>August</w:t>
      </w:r>
      <w:r w:rsidR="0054307B" w:rsidRPr="001A246B">
        <w:rPr>
          <w:rFonts w:ascii="Arial" w:hAnsi="Arial" w:cs="Arial"/>
          <w:sz w:val="24"/>
          <w:szCs w:val="24"/>
          <w:lang w:val="en-ZA"/>
        </w:rPr>
        <w:t> </w:t>
      </w:r>
      <w:r w:rsidR="006A00CA" w:rsidRPr="001A246B">
        <w:rPr>
          <w:rFonts w:ascii="Arial" w:hAnsi="Arial" w:cs="Arial"/>
          <w:sz w:val="24"/>
          <w:szCs w:val="24"/>
          <w:lang w:val="en-ZA"/>
        </w:rPr>
        <w:t>2016</w:t>
      </w:r>
      <w:r w:rsidR="0054307B" w:rsidRPr="001A246B">
        <w:rPr>
          <w:rFonts w:ascii="Arial" w:hAnsi="Arial" w:cs="Arial"/>
          <w:sz w:val="24"/>
          <w:szCs w:val="24"/>
          <w:lang w:val="en-ZA"/>
        </w:rPr>
        <w:t xml:space="preserve">.  The Plaintiff alleges the lease </w:t>
      </w:r>
      <w:r w:rsidR="006A00CA" w:rsidRPr="001A246B">
        <w:rPr>
          <w:rFonts w:ascii="Arial" w:hAnsi="Arial" w:cs="Arial"/>
          <w:sz w:val="24"/>
          <w:szCs w:val="24"/>
          <w:lang w:val="en-ZA"/>
        </w:rPr>
        <w:t>continued on a month-to-month basis.</w:t>
      </w:r>
    </w:p>
    <w:p w14:paraId="2B007A78" w14:textId="77777777" w:rsidR="00751B45" w:rsidRPr="00751B45" w:rsidRDefault="00751B45" w:rsidP="00751B45">
      <w:pPr>
        <w:pStyle w:val="ListParagraph"/>
        <w:rPr>
          <w:rFonts w:ascii="Arial" w:hAnsi="Arial" w:cs="Arial"/>
          <w:sz w:val="24"/>
          <w:szCs w:val="24"/>
          <w:lang w:val="en-ZA"/>
        </w:rPr>
      </w:pPr>
    </w:p>
    <w:p w14:paraId="3D5406E8" w14:textId="231573FC" w:rsidR="0054307B"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54307B" w:rsidRPr="001A246B">
        <w:rPr>
          <w:rFonts w:ascii="Arial" w:hAnsi="Arial" w:cs="Arial"/>
          <w:sz w:val="24"/>
          <w:szCs w:val="24"/>
          <w:lang w:val="en-ZA"/>
        </w:rPr>
        <w:t xml:space="preserve">The Plaintiff alleges that the </w:t>
      </w:r>
      <w:r w:rsidR="006A00CA" w:rsidRPr="001A246B">
        <w:rPr>
          <w:rFonts w:ascii="Arial" w:hAnsi="Arial" w:cs="Arial"/>
          <w:sz w:val="24"/>
          <w:szCs w:val="24"/>
          <w:lang w:val="en-ZA"/>
        </w:rPr>
        <w:t xml:space="preserve">First Defendant </w:t>
      </w:r>
      <w:r w:rsidR="0054307B" w:rsidRPr="001A246B">
        <w:rPr>
          <w:rFonts w:ascii="Arial" w:hAnsi="Arial" w:cs="Arial"/>
          <w:sz w:val="24"/>
          <w:szCs w:val="24"/>
          <w:lang w:val="en-ZA"/>
        </w:rPr>
        <w:t xml:space="preserve">is liable to the Plaintiff </w:t>
      </w:r>
      <w:r w:rsidR="006A00CA" w:rsidRPr="001A246B">
        <w:rPr>
          <w:rFonts w:ascii="Arial" w:hAnsi="Arial" w:cs="Arial"/>
          <w:sz w:val="24"/>
          <w:szCs w:val="24"/>
          <w:lang w:val="en-ZA"/>
        </w:rPr>
        <w:t>in the sum of R142</w:t>
      </w:r>
      <w:r w:rsidR="00751B45" w:rsidRPr="001A246B">
        <w:rPr>
          <w:rFonts w:ascii="Arial" w:hAnsi="Arial" w:cs="Arial"/>
          <w:sz w:val="24"/>
          <w:szCs w:val="24"/>
          <w:lang w:val="en-ZA"/>
        </w:rPr>
        <w:t xml:space="preserve"> </w:t>
      </w:r>
      <w:r w:rsidR="006A00CA" w:rsidRPr="001A246B">
        <w:rPr>
          <w:rFonts w:ascii="Arial" w:hAnsi="Arial" w:cs="Arial"/>
          <w:sz w:val="24"/>
          <w:szCs w:val="24"/>
          <w:lang w:val="en-ZA"/>
        </w:rPr>
        <w:t xml:space="preserve">272.82.  </w:t>
      </w:r>
    </w:p>
    <w:p w14:paraId="0E7C12C8" w14:textId="77777777" w:rsidR="00751B45" w:rsidRPr="00751B45" w:rsidRDefault="00751B45" w:rsidP="00751B45">
      <w:pPr>
        <w:pStyle w:val="ListParagraph"/>
        <w:rPr>
          <w:rFonts w:ascii="Arial" w:hAnsi="Arial" w:cs="Arial"/>
          <w:sz w:val="24"/>
          <w:szCs w:val="24"/>
          <w:lang w:val="en-ZA"/>
        </w:rPr>
      </w:pPr>
    </w:p>
    <w:p w14:paraId="0C79450F" w14:textId="72940431" w:rsidR="00751B45"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6A00CA" w:rsidRPr="001A246B">
        <w:rPr>
          <w:rFonts w:ascii="Arial" w:hAnsi="Arial" w:cs="Arial"/>
          <w:sz w:val="24"/>
          <w:szCs w:val="24"/>
          <w:lang w:val="en-ZA"/>
        </w:rPr>
        <w:t xml:space="preserve">The Plaintiff </w:t>
      </w:r>
      <w:r w:rsidR="00876703" w:rsidRPr="001A246B">
        <w:rPr>
          <w:rFonts w:ascii="Arial" w:hAnsi="Arial" w:cs="Arial"/>
          <w:sz w:val="24"/>
          <w:szCs w:val="24"/>
          <w:lang w:val="en-ZA"/>
        </w:rPr>
        <w:t xml:space="preserve">further alleges </w:t>
      </w:r>
      <w:r w:rsidR="006A00CA" w:rsidRPr="001A246B">
        <w:rPr>
          <w:rFonts w:ascii="Arial" w:hAnsi="Arial" w:cs="Arial"/>
          <w:sz w:val="24"/>
          <w:szCs w:val="24"/>
          <w:lang w:val="en-ZA"/>
        </w:rPr>
        <w:t>that the Second and Third Defendants are liable</w:t>
      </w:r>
      <w:r w:rsidR="00876703" w:rsidRPr="001A246B">
        <w:rPr>
          <w:rFonts w:ascii="Arial" w:hAnsi="Arial" w:cs="Arial"/>
          <w:sz w:val="24"/>
          <w:szCs w:val="24"/>
          <w:lang w:val="en-ZA"/>
        </w:rPr>
        <w:t>,</w:t>
      </w:r>
      <w:r w:rsidR="006A00CA" w:rsidRPr="001A246B">
        <w:rPr>
          <w:rFonts w:ascii="Arial" w:hAnsi="Arial" w:cs="Arial"/>
          <w:sz w:val="24"/>
          <w:szCs w:val="24"/>
          <w:lang w:val="en-ZA"/>
        </w:rPr>
        <w:t xml:space="preserve"> jointly and severally</w:t>
      </w:r>
      <w:r w:rsidR="00876703" w:rsidRPr="001A246B">
        <w:rPr>
          <w:rFonts w:ascii="Arial" w:hAnsi="Arial" w:cs="Arial"/>
          <w:sz w:val="24"/>
          <w:szCs w:val="24"/>
          <w:lang w:val="en-ZA"/>
        </w:rPr>
        <w:t>,</w:t>
      </w:r>
      <w:r w:rsidR="006A00CA" w:rsidRPr="001A246B">
        <w:rPr>
          <w:rFonts w:ascii="Arial" w:hAnsi="Arial" w:cs="Arial"/>
          <w:sz w:val="24"/>
          <w:szCs w:val="24"/>
          <w:lang w:val="en-ZA"/>
        </w:rPr>
        <w:t xml:space="preserve"> with the First Defendant in that they bound themselves as sureties and co-principal debtors with the First Defendant.   </w:t>
      </w:r>
    </w:p>
    <w:p w14:paraId="235B189B" w14:textId="77777777" w:rsidR="00751B45" w:rsidRPr="00751B45" w:rsidRDefault="00751B45" w:rsidP="00751B45">
      <w:pPr>
        <w:pStyle w:val="ListParagraph"/>
        <w:rPr>
          <w:rFonts w:ascii="Arial" w:hAnsi="Arial" w:cs="Arial"/>
          <w:sz w:val="24"/>
          <w:szCs w:val="24"/>
          <w:lang w:val="en-ZA"/>
        </w:rPr>
      </w:pPr>
    </w:p>
    <w:p w14:paraId="7C2C6228" w14:textId="40CE2719" w:rsidR="00876703"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6A00CA" w:rsidRPr="001A246B">
        <w:rPr>
          <w:rFonts w:ascii="Arial" w:hAnsi="Arial" w:cs="Arial"/>
          <w:sz w:val="24"/>
          <w:szCs w:val="24"/>
          <w:lang w:val="en-ZA"/>
        </w:rPr>
        <w:t xml:space="preserve">On </w:t>
      </w:r>
      <w:r w:rsidR="00876703" w:rsidRPr="001A246B">
        <w:rPr>
          <w:rFonts w:ascii="Arial" w:hAnsi="Arial" w:cs="Arial"/>
          <w:sz w:val="24"/>
          <w:szCs w:val="24"/>
          <w:lang w:val="en-ZA"/>
        </w:rPr>
        <w:t xml:space="preserve">the </w:t>
      </w:r>
      <w:r w:rsidR="006A00CA" w:rsidRPr="001A246B">
        <w:rPr>
          <w:rFonts w:ascii="Arial" w:hAnsi="Arial" w:cs="Arial"/>
          <w:sz w:val="24"/>
          <w:szCs w:val="24"/>
          <w:lang w:val="en-ZA"/>
        </w:rPr>
        <w:t>24</w:t>
      </w:r>
      <w:r w:rsidR="00751B45" w:rsidRPr="001A246B">
        <w:rPr>
          <w:rFonts w:ascii="Arial" w:hAnsi="Arial" w:cs="Arial"/>
          <w:sz w:val="24"/>
          <w:szCs w:val="24"/>
          <w:vertAlign w:val="superscript"/>
          <w:lang w:val="en-ZA"/>
        </w:rPr>
        <w:t>th</w:t>
      </w:r>
      <w:r w:rsidR="00751B45" w:rsidRPr="001A246B">
        <w:rPr>
          <w:rFonts w:ascii="Arial" w:hAnsi="Arial" w:cs="Arial"/>
          <w:sz w:val="24"/>
          <w:szCs w:val="24"/>
          <w:lang w:val="en-ZA"/>
        </w:rPr>
        <w:t xml:space="preserve"> </w:t>
      </w:r>
      <w:r w:rsidR="006A00CA" w:rsidRPr="001A246B">
        <w:rPr>
          <w:rFonts w:ascii="Arial" w:hAnsi="Arial" w:cs="Arial"/>
          <w:sz w:val="24"/>
          <w:szCs w:val="24"/>
          <w:lang w:val="en-ZA"/>
        </w:rPr>
        <w:t xml:space="preserve">May 2022 the Defendants delivered a plea and counterclaim.  </w:t>
      </w:r>
    </w:p>
    <w:p w14:paraId="4CEF57BD" w14:textId="77777777" w:rsidR="00751B45" w:rsidRPr="00751B45" w:rsidRDefault="00751B45" w:rsidP="00751B45">
      <w:pPr>
        <w:pStyle w:val="ListParagraph"/>
        <w:rPr>
          <w:rFonts w:ascii="Arial" w:hAnsi="Arial" w:cs="Arial"/>
          <w:sz w:val="24"/>
          <w:szCs w:val="24"/>
          <w:lang w:val="en-ZA"/>
        </w:rPr>
      </w:pPr>
    </w:p>
    <w:p w14:paraId="0D07E80C" w14:textId="5C800AD7" w:rsidR="00751B45"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lastRenderedPageBreak/>
        <w:t>[11]</w:t>
      </w:r>
      <w:r>
        <w:rPr>
          <w:rFonts w:ascii="Arial" w:hAnsi="Arial" w:cs="Arial"/>
          <w:sz w:val="24"/>
          <w:szCs w:val="24"/>
          <w:lang w:val="en-ZA"/>
        </w:rPr>
        <w:tab/>
      </w:r>
      <w:r w:rsidR="00876703" w:rsidRPr="001A246B">
        <w:rPr>
          <w:rFonts w:ascii="Arial" w:hAnsi="Arial" w:cs="Arial"/>
          <w:sz w:val="24"/>
          <w:szCs w:val="24"/>
          <w:lang w:val="en-ZA"/>
        </w:rPr>
        <w:t xml:space="preserve">The Defendants plead they are not liable for the amounts claimed by the Plaintiff and seek an order that the Plaintiff’s claims be dismissed with costs. </w:t>
      </w:r>
    </w:p>
    <w:p w14:paraId="035DC7D7" w14:textId="77777777" w:rsidR="00751B45" w:rsidRPr="00751B45" w:rsidRDefault="00751B45" w:rsidP="00751B45">
      <w:pPr>
        <w:pStyle w:val="ListParagraph"/>
        <w:rPr>
          <w:rFonts w:ascii="Arial" w:hAnsi="Arial" w:cs="Arial"/>
          <w:sz w:val="24"/>
          <w:szCs w:val="24"/>
          <w:lang w:val="en-ZA"/>
        </w:rPr>
      </w:pPr>
    </w:p>
    <w:p w14:paraId="0ABFB0E8" w14:textId="056B6100" w:rsidR="00876703" w:rsidRPr="001A246B" w:rsidRDefault="001A246B" w:rsidP="001A246B">
      <w:pPr>
        <w:tabs>
          <w:tab w:val="left" w:pos="851"/>
        </w:tabs>
        <w:spacing w:after="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6A00CA" w:rsidRPr="001A246B">
        <w:rPr>
          <w:rFonts w:ascii="Arial" w:hAnsi="Arial" w:cs="Arial"/>
          <w:sz w:val="24"/>
          <w:szCs w:val="24"/>
          <w:lang w:val="en-ZA"/>
        </w:rPr>
        <w:t xml:space="preserve">Only the First Defendant is </w:t>
      </w:r>
      <w:r w:rsidR="003E05EC" w:rsidRPr="001A246B">
        <w:rPr>
          <w:rFonts w:ascii="Arial" w:hAnsi="Arial" w:cs="Arial"/>
          <w:sz w:val="24"/>
          <w:szCs w:val="24"/>
          <w:lang w:val="en-ZA"/>
        </w:rPr>
        <w:t xml:space="preserve">a </w:t>
      </w:r>
      <w:r w:rsidR="00876703" w:rsidRPr="001A246B">
        <w:rPr>
          <w:rFonts w:ascii="Arial" w:hAnsi="Arial" w:cs="Arial"/>
          <w:sz w:val="24"/>
          <w:szCs w:val="24"/>
          <w:lang w:val="en-ZA"/>
        </w:rPr>
        <w:t xml:space="preserve">party to </w:t>
      </w:r>
      <w:r w:rsidR="006A00CA" w:rsidRPr="001A246B">
        <w:rPr>
          <w:rFonts w:ascii="Arial" w:hAnsi="Arial" w:cs="Arial"/>
          <w:sz w:val="24"/>
          <w:szCs w:val="24"/>
          <w:lang w:val="en-ZA"/>
        </w:rPr>
        <w:t xml:space="preserve">the Defendants' claim in reconvention.  </w:t>
      </w:r>
    </w:p>
    <w:p w14:paraId="10080203" w14:textId="77777777" w:rsidR="00751B45" w:rsidRPr="00751B45" w:rsidRDefault="00751B45" w:rsidP="00751B45">
      <w:pPr>
        <w:pStyle w:val="ListParagraph"/>
        <w:tabs>
          <w:tab w:val="left" w:pos="851"/>
        </w:tabs>
        <w:spacing w:after="0" w:line="360" w:lineRule="auto"/>
        <w:ind w:left="0"/>
        <w:contextualSpacing w:val="0"/>
        <w:jc w:val="both"/>
        <w:rPr>
          <w:rFonts w:ascii="Arial" w:hAnsi="Arial" w:cs="Arial"/>
          <w:sz w:val="24"/>
          <w:szCs w:val="24"/>
          <w:lang w:val="en-ZA"/>
        </w:rPr>
      </w:pPr>
    </w:p>
    <w:p w14:paraId="5B1A4A72" w14:textId="4FA2E2B7" w:rsidR="00876703" w:rsidRPr="001A246B" w:rsidRDefault="001A246B" w:rsidP="001A246B">
      <w:pPr>
        <w:tabs>
          <w:tab w:val="left" w:pos="851"/>
        </w:tabs>
        <w:spacing w:after="0" w:line="360" w:lineRule="auto"/>
        <w:jc w:val="both"/>
        <w:rPr>
          <w:rFonts w:ascii="Arial" w:hAnsi="Arial" w:cs="Arial"/>
          <w:sz w:val="24"/>
          <w:szCs w:val="24"/>
          <w:lang w:val="en-ZA"/>
        </w:rPr>
      </w:pPr>
      <w:r w:rsidRPr="00751B45">
        <w:rPr>
          <w:rFonts w:ascii="Arial" w:hAnsi="Arial" w:cs="Arial"/>
          <w:sz w:val="24"/>
          <w:szCs w:val="24"/>
          <w:lang w:val="en-ZA"/>
        </w:rPr>
        <w:t>[13]</w:t>
      </w:r>
      <w:r w:rsidRPr="00751B45">
        <w:rPr>
          <w:rFonts w:ascii="Arial" w:hAnsi="Arial" w:cs="Arial"/>
          <w:sz w:val="24"/>
          <w:szCs w:val="24"/>
          <w:lang w:val="en-ZA"/>
        </w:rPr>
        <w:tab/>
      </w:r>
      <w:r w:rsidR="006A00CA" w:rsidRPr="001A246B">
        <w:rPr>
          <w:rFonts w:ascii="Arial" w:hAnsi="Arial" w:cs="Arial"/>
          <w:sz w:val="24"/>
          <w:szCs w:val="24"/>
          <w:lang w:val="en-ZA"/>
        </w:rPr>
        <w:t>The First Defendant's counterclaim states</w:t>
      </w:r>
      <w:r w:rsidR="00876703" w:rsidRPr="001A246B">
        <w:rPr>
          <w:rFonts w:ascii="Arial" w:hAnsi="Arial" w:cs="Arial"/>
          <w:sz w:val="24"/>
          <w:szCs w:val="24"/>
          <w:lang w:val="en-ZA"/>
        </w:rPr>
        <w:t xml:space="preserve">, </w:t>
      </w:r>
      <w:r w:rsidR="00876703" w:rsidRPr="001A246B">
        <w:rPr>
          <w:rFonts w:ascii="Arial" w:hAnsi="Arial" w:cs="Arial"/>
          <w:i/>
          <w:iCs/>
          <w:sz w:val="24"/>
          <w:szCs w:val="24"/>
          <w:lang w:val="en-ZA"/>
        </w:rPr>
        <w:t>inter alia</w:t>
      </w:r>
      <w:r w:rsidR="00876703" w:rsidRPr="001A246B">
        <w:rPr>
          <w:rFonts w:ascii="Arial" w:hAnsi="Arial" w:cs="Arial"/>
          <w:sz w:val="24"/>
          <w:szCs w:val="24"/>
          <w:lang w:val="en-ZA"/>
        </w:rPr>
        <w:t xml:space="preserve">, </w:t>
      </w:r>
      <w:r w:rsidR="006A00CA" w:rsidRPr="001A246B">
        <w:rPr>
          <w:rFonts w:ascii="Arial" w:hAnsi="Arial" w:cs="Arial"/>
          <w:sz w:val="24"/>
          <w:szCs w:val="24"/>
          <w:lang w:val="en-ZA"/>
        </w:rPr>
        <w:t>the following</w:t>
      </w:r>
      <w:r w:rsidR="00876703" w:rsidRPr="001A246B">
        <w:rPr>
          <w:rFonts w:ascii="Arial" w:hAnsi="Arial" w:cs="Arial"/>
          <w:sz w:val="24"/>
          <w:szCs w:val="24"/>
          <w:lang w:val="en-ZA"/>
        </w:rPr>
        <w:t>:</w:t>
      </w:r>
    </w:p>
    <w:p w14:paraId="4F33AD23" w14:textId="1775A6E5" w:rsidR="006A00CA" w:rsidRPr="00580A8E" w:rsidRDefault="00876703" w:rsidP="00C1383C">
      <w:pPr>
        <w:pStyle w:val="ListParagraph"/>
        <w:tabs>
          <w:tab w:val="left" w:pos="851"/>
        </w:tabs>
        <w:spacing w:after="0" w:line="360" w:lineRule="auto"/>
        <w:ind w:left="1440" w:hanging="731"/>
        <w:contextualSpacing w:val="0"/>
        <w:jc w:val="both"/>
        <w:rPr>
          <w:rFonts w:ascii="Arial" w:hAnsi="Arial" w:cs="Arial"/>
          <w:iCs/>
          <w:lang w:val="en-ZA"/>
        </w:rPr>
      </w:pPr>
      <w:r w:rsidRPr="00580A8E">
        <w:rPr>
          <w:rFonts w:ascii="Arial" w:hAnsi="Arial" w:cs="Arial"/>
          <w:lang w:val="en-ZA"/>
        </w:rPr>
        <w:tab/>
      </w:r>
      <w:r w:rsidR="00C1383C">
        <w:rPr>
          <w:rFonts w:ascii="Arial" w:hAnsi="Arial" w:cs="Arial"/>
          <w:iCs/>
          <w:lang w:val="en-ZA"/>
        </w:rPr>
        <w:t>‘</w:t>
      </w:r>
      <w:r w:rsidR="006A00CA" w:rsidRPr="00580A8E">
        <w:rPr>
          <w:rFonts w:ascii="Arial" w:hAnsi="Arial" w:cs="Arial"/>
          <w:iCs/>
          <w:lang w:val="en-ZA"/>
        </w:rPr>
        <w:t>4</w:t>
      </w:r>
      <w:r w:rsidR="00B04248">
        <w:rPr>
          <w:rFonts w:ascii="Arial" w:hAnsi="Arial" w:cs="Arial"/>
          <w:iCs/>
          <w:lang w:val="en-ZA"/>
        </w:rPr>
        <w:t>.</w:t>
      </w:r>
      <w:r w:rsidR="006A00CA" w:rsidRPr="00580A8E">
        <w:rPr>
          <w:rFonts w:ascii="Arial" w:hAnsi="Arial" w:cs="Arial"/>
          <w:iCs/>
          <w:lang w:val="en-ZA"/>
        </w:rPr>
        <w:tab/>
        <w:t>The plaintiff has at all material times been responsible for, inter alia, delivering commuter rail services in the Metropolitan areas of South Africa and long-distance bus services within, to and from the borders of the Republic of South Africa.</w:t>
      </w:r>
    </w:p>
    <w:p w14:paraId="0C85E6FE" w14:textId="179062EE" w:rsidR="006A00CA" w:rsidRPr="00580A8E" w:rsidRDefault="006A00CA" w:rsidP="00C1383C">
      <w:pPr>
        <w:tabs>
          <w:tab w:val="left" w:pos="851"/>
          <w:tab w:val="left" w:pos="1418"/>
        </w:tabs>
        <w:spacing w:after="0" w:line="360" w:lineRule="auto"/>
        <w:ind w:left="1440" w:hanging="873"/>
        <w:jc w:val="both"/>
        <w:rPr>
          <w:rFonts w:ascii="Arial" w:hAnsi="Arial" w:cs="Arial"/>
          <w:iCs/>
          <w:lang w:val="en-ZA"/>
        </w:rPr>
      </w:pPr>
      <w:r w:rsidRPr="00580A8E">
        <w:rPr>
          <w:rFonts w:ascii="Arial" w:hAnsi="Arial" w:cs="Arial"/>
          <w:iCs/>
          <w:lang w:val="en-ZA"/>
        </w:rPr>
        <w:tab/>
        <w:t>5</w:t>
      </w:r>
      <w:r w:rsidR="00B04248">
        <w:rPr>
          <w:rFonts w:ascii="Arial" w:hAnsi="Arial" w:cs="Arial"/>
          <w:iCs/>
          <w:lang w:val="en-ZA"/>
        </w:rPr>
        <w:t>.</w:t>
      </w:r>
      <w:r w:rsidR="00C1383C">
        <w:rPr>
          <w:rFonts w:ascii="Arial" w:hAnsi="Arial" w:cs="Arial"/>
          <w:iCs/>
          <w:lang w:val="en-ZA"/>
        </w:rPr>
        <w:tab/>
      </w:r>
      <w:r w:rsidRPr="00580A8E">
        <w:rPr>
          <w:rFonts w:ascii="Arial" w:hAnsi="Arial" w:cs="Arial"/>
          <w:iCs/>
          <w:lang w:val="en-ZA"/>
        </w:rPr>
        <w:t>The plaintiff is subsidised by the Government of the Republic of South Africa in fulfilling the aforesaid responsibilities.</w:t>
      </w:r>
    </w:p>
    <w:p w14:paraId="07FB587F" w14:textId="192FFFBB"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6</w:t>
      </w:r>
      <w:r w:rsidR="00B04248">
        <w:rPr>
          <w:rFonts w:ascii="Arial" w:hAnsi="Arial" w:cs="Arial"/>
          <w:iCs/>
          <w:lang w:val="en-ZA"/>
        </w:rPr>
        <w:t>.</w:t>
      </w:r>
      <w:r w:rsidRPr="00580A8E">
        <w:rPr>
          <w:rFonts w:ascii="Arial" w:hAnsi="Arial" w:cs="Arial"/>
          <w:iCs/>
          <w:lang w:val="en-ZA"/>
        </w:rPr>
        <w:tab/>
        <w:t>The plaintiff owns and manages a property portfolio which includes the intermodal terminal facility situate at Park Station, Johannesburg ("Park Station</w:t>
      </w:r>
      <w:r w:rsidR="00B04248">
        <w:rPr>
          <w:rFonts w:ascii="Arial" w:hAnsi="Arial" w:cs="Arial"/>
          <w:iCs/>
          <w:lang w:val="en-ZA"/>
        </w:rPr>
        <w:t>”</w:t>
      </w:r>
      <w:r w:rsidRPr="00580A8E">
        <w:rPr>
          <w:rFonts w:ascii="Arial" w:hAnsi="Arial" w:cs="Arial"/>
          <w:iCs/>
          <w:lang w:val="en-ZA"/>
        </w:rPr>
        <w:t>).</w:t>
      </w:r>
    </w:p>
    <w:p w14:paraId="507EB8C8" w14:textId="61727668"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7</w:t>
      </w:r>
      <w:r w:rsidR="00B04248">
        <w:rPr>
          <w:rFonts w:ascii="Arial" w:hAnsi="Arial" w:cs="Arial"/>
          <w:iCs/>
          <w:lang w:val="en-ZA"/>
        </w:rPr>
        <w:t>.</w:t>
      </w:r>
      <w:r w:rsidRPr="00580A8E">
        <w:rPr>
          <w:rFonts w:ascii="Arial" w:hAnsi="Arial" w:cs="Arial"/>
          <w:iCs/>
          <w:lang w:val="en-ZA"/>
        </w:rPr>
        <w:tab/>
        <w:t>The first defendant carries on the business of a long-distance bus carrier, transporting passengers and their luggage inter-provincially, and is licensed to do so.</w:t>
      </w:r>
    </w:p>
    <w:p w14:paraId="2883B6C9" w14:textId="7F356CF0"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8</w:t>
      </w:r>
      <w:r w:rsidR="00B04248">
        <w:rPr>
          <w:rFonts w:ascii="Arial" w:hAnsi="Arial" w:cs="Arial"/>
          <w:iCs/>
          <w:lang w:val="en-ZA"/>
        </w:rPr>
        <w:t>.</w:t>
      </w:r>
      <w:r w:rsidRPr="00580A8E">
        <w:rPr>
          <w:rFonts w:ascii="Arial" w:hAnsi="Arial" w:cs="Arial"/>
          <w:iCs/>
          <w:lang w:val="en-ZA"/>
        </w:rPr>
        <w:tab/>
        <w:t>The plaintiff owns and manages most of the interprovincial bus terminal facilities and all of the intermodal terminal facilities in South Africa where is offers the long</w:t>
      </w:r>
      <w:r w:rsidR="00A64DEA" w:rsidRPr="00580A8E">
        <w:rPr>
          <w:rFonts w:ascii="Arial" w:hAnsi="Arial" w:cs="Arial"/>
          <w:iCs/>
          <w:lang w:val="en-ZA"/>
        </w:rPr>
        <w:t>-</w:t>
      </w:r>
      <w:r w:rsidRPr="00580A8E">
        <w:rPr>
          <w:rFonts w:ascii="Arial" w:hAnsi="Arial" w:cs="Arial"/>
          <w:iCs/>
          <w:lang w:val="en-ZA"/>
        </w:rPr>
        <w:t>distance bus carriers with inter alia loading bays, off</w:t>
      </w:r>
      <w:r w:rsidR="00A64DEA" w:rsidRPr="00580A8E">
        <w:rPr>
          <w:rFonts w:ascii="Arial" w:hAnsi="Arial" w:cs="Arial"/>
          <w:iCs/>
          <w:lang w:val="en-ZA"/>
        </w:rPr>
        <w:t>i</w:t>
      </w:r>
      <w:r w:rsidRPr="00580A8E">
        <w:rPr>
          <w:rFonts w:ascii="Arial" w:hAnsi="Arial" w:cs="Arial"/>
          <w:iCs/>
          <w:lang w:val="en-ZA"/>
        </w:rPr>
        <w:t>ce space and ticketing offices.</w:t>
      </w:r>
    </w:p>
    <w:p w14:paraId="60080699" w14:textId="1EC0D419"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9</w:t>
      </w:r>
      <w:r w:rsidR="00B04248">
        <w:rPr>
          <w:rFonts w:ascii="Arial" w:hAnsi="Arial" w:cs="Arial"/>
          <w:iCs/>
          <w:lang w:val="en-ZA"/>
        </w:rPr>
        <w:t>.</w:t>
      </w:r>
      <w:r w:rsidRPr="00580A8E">
        <w:rPr>
          <w:rFonts w:ascii="Arial" w:hAnsi="Arial" w:cs="Arial"/>
          <w:iCs/>
          <w:lang w:val="en-ZA"/>
        </w:rPr>
        <w:tab/>
      </w:r>
      <w:r w:rsidR="00A64DEA" w:rsidRPr="00580A8E">
        <w:rPr>
          <w:rFonts w:ascii="Arial" w:hAnsi="Arial" w:cs="Arial"/>
          <w:iCs/>
          <w:lang w:val="en-ZA"/>
        </w:rPr>
        <w:t>T</w:t>
      </w:r>
      <w:r w:rsidRPr="00580A8E">
        <w:rPr>
          <w:rFonts w:ascii="Arial" w:hAnsi="Arial" w:cs="Arial"/>
          <w:iCs/>
          <w:lang w:val="en-ZA"/>
        </w:rPr>
        <w:t>he plaintiff is a dominant firm in terms of section 7 of the Competition Act, No. 89 of 1998 ("the CA")</w:t>
      </w:r>
      <w:r w:rsidRPr="00580A8E">
        <w:rPr>
          <w:rFonts w:ascii="Arial" w:hAnsi="Arial" w:cs="Arial"/>
          <w:iCs/>
          <w:lang w:val="en-ZA"/>
        </w:rPr>
        <w:tab/>
        <w:t xml:space="preserve"> </w:t>
      </w:r>
    </w:p>
    <w:p w14:paraId="2EF203A9" w14:textId="66958D55"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10</w:t>
      </w:r>
      <w:r w:rsidR="00B04248">
        <w:rPr>
          <w:rFonts w:ascii="Arial" w:hAnsi="Arial" w:cs="Arial"/>
          <w:iCs/>
          <w:lang w:val="en-ZA"/>
        </w:rPr>
        <w:t>.</w:t>
      </w:r>
      <w:r w:rsidRPr="00580A8E">
        <w:rPr>
          <w:rFonts w:ascii="Arial" w:hAnsi="Arial" w:cs="Arial"/>
          <w:iCs/>
          <w:lang w:val="en-ZA"/>
        </w:rPr>
        <w:tab/>
        <w:t>The plaintiff refused to allow the first defendant to lease office space and a loading bay at Park Station.</w:t>
      </w:r>
    </w:p>
    <w:p w14:paraId="15832956" w14:textId="125BF64F"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11</w:t>
      </w:r>
      <w:r w:rsidR="00B04248">
        <w:rPr>
          <w:rFonts w:ascii="Arial" w:hAnsi="Arial" w:cs="Arial"/>
          <w:iCs/>
          <w:lang w:val="en-ZA"/>
        </w:rPr>
        <w:t>.</w:t>
      </w:r>
      <w:r w:rsidRPr="00580A8E">
        <w:rPr>
          <w:rFonts w:ascii="Arial" w:hAnsi="Arial" w:cs="Arial"/>
          <w:iCs/>
          <w:lang w:val="en-ZA"/>
        </w:rPr>
        <w:tab/>
        <w:t>The first defendant requires the aforementioned facilities at Park Station, which are an</w:t>
      </w:r>
      <w:r w:rsidR="00A64DEA" w:rsidRPr="00580A8E">
        <w:rPr>
          <w:rFonts w:ascii="Arial" w:hAnsi="Arial" w:cs="Arial"/>
          <w:iCs/>
          <w:lang w:val="en-ZA"/>
        </w:rPr>
        <w:t xml:space="preserve"> </w:t>
      </w:r>
      <w:r w:rsidRPr="00580A8E">
        <w:rPr>
          <w:rFonts w:ascii="Arial" w:hAnsi="Arial" w:cs="Arial"/>
          <w:iCs/>
          <w:lang w:val="en-ZA"/>
        </w:rPr>
        <w:t>essential facility, in order to remain competitive in its business.</w:t>
      </w:r>
    </w:p>
    <w:p w14:paraId="63D591E5" w14:textId="6D04F4E9"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12</w:t>
      </w:r>
      <w:r w:rsidR="00B04248">
        <w:rPr>
          <w:rFonts w:ascii="Arial" w:hAnsi="Arial" w:cs="Arial"/>
          <w:iCs/>
          <w:lang w:val="en-ZA"/>
        </w:rPr>
        <w:t>.</w:t>
      </w:r>
      <w:r w:rsidRPr="00580A8E">
        <w:rPr>
          <w:rFonts w:ascii="Arial" w:hAnsi="Arial" w:cs="Arial"/>
          <w:iCs/>
          <w:lang w:val="en-ZA"/>
        </w:rPr>
        <w:tab/>
        <w:t>Simultaneously, the plaintiff extended favourable trading terms in relation to the facilities at Park Station to its subsidiary, Autopax Passenger Services SOC Ltd.</w:t>
      </w:r>
    </w:p>
    <w:p w14:paraId="134AED3D" w14:textId="72348208"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13</w:t>
      </w:r>
      <w:r w:rsidR="00B04248">
        <w:rPr>
          <w:rFonts w:ascii="Arial" w:hAnsi="Arial" w:cs="Arial"/>
          <w:iCs/>
          <w:lang w:val="en-ZA"/>
        </w:rPr>
        <w:t>.</w:t>
      </w:r>
      <w:r w:rsidRPr="00580A8E">
        <w:rPr>
          <w:rFonts w:ascii="Arial" w:hAnsi="Arial" w:cs="Arial"/>
          <w:iCs/>
          <w:lang w:val="en-ZA"/>
        </w:rPr>
        <w:tab/>
        <w:t>The aforesaid refusal by the plaintiff to lease the said facilities has hindered the ability of the first defendant to compete effectively and to expand in the market.</w:t>
      </w:r>
    </w:p>
    <w:p w14:paraId="7AE52236" w14:textId="636D629E" w:rsidR="006A00CA" w:rsidRPr="00580A8E" w:rsidRDefault="006A00CA" w:rsidP="00C1383C">
      <w:pPr>
        <w:tabs>
          <w:tab w:val="left" w:pos="851"/>
          <w:tab w:val="left" w:pos="1701"/>
        </w:tabs>
        <w:spacing w:after="0" w:line="360" w:lineRule="auto"/>
        <w:ind w:left="1440" w:hanging="589"/>
        <w:jc w:val="both"/>
        <w:rPr>
          <w:rFonts w:ascii="Arial" w:hAnsi="Arial" w:cs="Arial"/>
          <w:iCs/>
          <w:lang w:val="en-ZA"/>
        </w:rPr>
      </w:pPr>
      <w:r w:rsidRPr="00580A8E">
        <w:rPr>
          <w:rFonts w:ascii="Arial" w:hAnsi="Arial" w:cs="Arial"/>
          <w:iCs/>
          <w:lang w:val="en-ZA"/>
        </w:rPr>
        <w:t>14</w:t>
      </w:r>
      <w:r w:rsidR="00B04248">
        <w:rPr>
          <w:rFonts w:ascii="Arial" w:hAnsi="Arial" w:cs="Arial"/>
          <w:iCs/>
          <w:lang w:val="en-ZA"/>
        </w:rPr>
        <w:t>.</w:t>
      </w:r>
      <w:r w:rsidRPr="00580A8E">
        <w:rPr>
          <w:rFonts w:ascii="Arial" w:hAnsi="Arial" w:cs="Arial"/>
          <w:iCs/>
          <w:lang w:val="en-ZA"/>
        </w:rPr>
        <w:tab/>
        <w:t>In acting as aforesaid, the plaintiff has contravened the provisions of section 8 of the</w:t>
      </w:r>
      <w:r w:rsidR="00A64DEA" w:rsidRPr="00580A8E">
        <w:rPr>
          <w:rFonts w:ascii="Arial" w:hAnsi="Arial" w:cs="Arial"/>
          <w:iCs/>
          <w:lang w:val="en-ZA"/>
        </w:rPr>
        <w:t xml:space="preserve"> </w:t>
      </w:r>
      <w:r w:rsidRPr="00580A8E">
        <w:rPr>
          <w:rFonts w:ascii="Arial" w:hAnsi="Arial" w:cs="Arial"/>
          <w:iCs/>
          <w:lang w:val="en-ZA"/>
        </w:rPr>
        <w:t>CA in that it has, inter alia:</w:t>
      </w:r>
    </w:p>
    <w:p w14:paraId="435E5D24" w14:textId="77777777" w:rsidR="006A00CA" w:rsidRPr="00580A8E" w:rsidRDefault="006A00CA" w:rsidP="00751B45">
      <w:pPr>
        <w:tabs>
          <w:tab w:val="left" w:pos="851"/>
          <w:tab w:val="left" w:pos="2552"/>
          <w:tab w:val="left" w:pos="3402"/>
          <w:tab w:val="left" w:pos="3969"/>
        </w:tabs>
        <w:spacing w:after="0" w:line="360" w:lineRule="auto"/>
        <w:ind w:left="2552" w:hanging="851"/>
        <w:jc w:val="both"/>
        <w:rPr>
          <w:rFonts w:ascii="Arial" w:hAnsi="Arial" w:cs="Arial"/>
          <w:iCs/>
          <w:lang w:val="en-ZA"/>
        </w:rPr>
      </w:pPr>
      <w:r w:rsidRPr="00580A8E">
        <w:rPr>
          <w:rFonts w:ascii="Arial" w:hAnsi="Arial" w:cs="Arial"/>
          <w:iCs/>
          <w:lang w:val="en-ZA"/>
        </w:rPr>
        <w:t>14.1</w:t>
      </w:r>
      <w:r w:rsidRPr="00580A8E">
        <w:rPr>
          <w:rFonts w:ascii="Arial" w:hAnsi="Arial" w:cs="Arial"/>
          <w:iCs/>
          <w:lang w:val="en-ZA"/>
        </w:rPr>
        <w:tab/>
        <w:t xml:space="preserve">charged an excessive price to the detriment of consumers; </w:t>
      </w:r>
      <w:r w:rsidRPr="00580A8E">
        <w:rPr>
          <w:rFonts w:ascii="Arial" w:hAnsi="Arial" w:cs="Arial"/>
          <w:b/>
          <w:bCs/>
          <w:iCs/>
          <w:u w:val="single"/>
          <w:lang w:val="en-ZA"/>
        </w:rPr>
        <w:t>alternatively</w:t>
      </w:r>
    </w:p>
    <w:p w14:paraId="23D33C03" w14:textId="1627FABC" w:rsidR="006A00CA" w:rsidRPr="00580A8E" w:rsidRDefault="006A00CA" w:rsidP="00751B45">
      <w:pPr>
        <w:tabs>
          <w:tab w:val="left" w:pos="851"/>
          <w:tab w:val="left" w:pos="2552"/>
          <w:tab w:val="left" w:pos="3402"/>
          <w:tab w:val="left" w:pos="3969"/>
        </w:tabs>
        <w:spacing w:after="0" w:line="360" w:lineRule="auto"/>
        <w:ind w:left="2552" w:hanging="851"/>
        <w:jc w:val="both"/>
        <w:rPr>
          <w:rFonts w:ascii="Arial" w:hAnsi="Arial" w:cs="Arial"/>
          <w:b/>
          <w:bCs/>
          <w:iCs/>
          <w:u w:val="single"/>
          <w:lang w:val="en-ZA"/>
        </w:rPr>
      </w:pPr>
      <w:r w:rsidRPr="00580A8E">
        <w:rPr>
          <w:rFonts w:ascii="Arial" w:hAnsi="Arial" w:cs="Arial"/>
          <w:iCs/>
          <w:lang w:val="en-ZA"/>
        </w:rPr>
        <w:lastRenderedPageBreak/>
        <w:t>14.2</w:t>
      </w:r>
      <w:r w:rsidRPr="00580A8E">
        <w:rPr>
          <w:rFonts w:ascii="Arial" w:hAnsi="Arial" w:cs="Arial"/>
          <w:iCs/>
          <w:lang w:val="en-ZA"/>
        </w:rPr>
        <w:tab/>
        <w:t xml:space="preserve">refused to give a competitor (being the first defendant) access to an essential facility when it is economically feasible to do so; </w:t>
      </w:r>
      <w:r w:rsidRPr="00580A8E">
        <w:rPr>
          <w:rFonts w:ascii="Arial" w:hAnsi="Arial" w:cs="Arial"/>
          <w:b/>
          <w:bCs/>
          <w:iCs/>
          <w:u w:val="single"/>
          <w:lang w:val="en-ZA"/>
        </w:rPr>
        <w:t>alternatively</w:t>
      </w:r>
    </w:p>
    <w:p w14:paraId="6D8C8F27" w14:textId="63A7904A" w:rsidR="00A64DEA" w:rsidRPr="00580A8E" w:rsidRDefault="00A64DEA" w:rsidP="00751B45">
      <w:pPr>
        <w:tabs>
          <w:tab w:val="left" w:pos="851"/>
          <w:tab w:val="left" w:pos="2552"/>
          <w:tab w:val="left" w:pos="3402"/>
          <w:tab w:val="left" w:pos="3969"/>
        </w:tabs>
        <w:spacing w:after="0" w:line="360" w:lineRule="auto"/>
        <w:ind w:left="2552" w:hanging="851"/>
        <w:jc w:val="both"/>
        <w:rPr>
          <w:rFonts w:ascii="Arial" w:hAnsi="Arial" w:cs="Arial"/>
          <w:iCs/>
          <w:lang w:val="en-ZA"/>
        </w:rPr>
      </w:pPr>
      <w:r w:rsidRPr="00580A8E">
        <w:rPr>
          <w:rFonts w:ascii="Arial" w:hAnsi="Arial" w:cs="Arial"/>
          <w:iCs/>
          <w:lang w:val="en-ZA"/>
        </w:rPr>
        <w:t>14.3</w:t>
      </w:r>
      <w:r w:rsidRPr="00580A8E">
        <w:rPr>
          <w:rFonts w:ascii="Arial" w:hAnsi="Arial" w:cs="Arial"/>
          <w:iCs/>
          <w:lang w:val="en-ZA"/>
        </w:rPr>
        <w:tab/>
        <w:t>engaged in an exclusionary act where the anti-competitive effect of that act outweighs its technological efficiency or other pro-competitive, gain.</w:t>
      </w:r>
    </w:p>
    <w:p w14:paraId="6EE89720" w14:textId="766D2F05" w:rsidR="00A64DEA" w:rsidRPr="00580A8E" w:rsidRDefault="00A64DEA" w:rsidP="00751B45">
      <w:pPr>
        <w:tabs>
          <w:tab w:val="left" w:pos="851"/>
          <w:tab w:val="left" w:pos="1701"/>
          <w:tab w:val="left" w:pos="2552"/>
          <w:tab w:val="left" w:pos="3402"/>
          <w:tab w:val="left" w:pos="3969"/>
        </w:tabs>
        <w:spacing w:after="0" w:line="360" w:lineRule="auto"/>
        <w:jc w:val="both"/>
        <w:rPr>
          <w:rFonts w:ascii="Arial" w:hAnsi="Arial" w:cs="Arial"/>
          <w:iCs/>
          <w:lang w:val="en-ZA"/>
        </w:rPr>
      </w:pPr>
      <w:r w:rsidRPr="00580A8E">
        <w:rPr>
          <w:rFonts w:ascii="Arial" w:hAnsi="Arial" w:cs="Arial"/>
          <w:iCs/>
          <w:lang w:val="en-ZA"/>
        </w:rPr>
        <w:tab/>
        <w:t>15</w:t>
      </w:r>
      <w:r w:rsidR="00B04248">
        <w:rPr>
          <w:rFonts w:ascii="Arial" w:hAnsi="Arial" w:cs="Arial"/>
          <w:iCs/>
          <w:lang w:val="en-ZA"/>
        </w:rPr>
        <w:t>.</w:t>
      </w:r>
      <w:r w:rsidRPr="00580A8E">
        <w:rPr>
          <w:rFonts w:ascii="Arial" w:hAnsi="Arial" w:cs="Arial"/>
          <w:iCs/>
          <w:lang w:val="en-ZA"/>
        </w:rPr>
        <w:tab/>
        <w:t>The plaintiff's aforesaid actions are unlawful and deliberate negligent.</w:t>
      </w:r>
    </w:p>
    <w:p w14:paraId="6BFAAA1F" w14:textId="55B1DB09" w:rsidR="00A64DEA" w:rsidRPr="00580A8E" w:rsidRDefault="00A64DEA" w:rsidP="00751B45">
      <w:pPr>
        <w:tabs>
          <w:tab w:val="left" w:pos="851"/>
          <w:tab w:val="left" w:pos="1701"/>
          <w:tab w:val="left" w:pos="2552"/>
          <w:tab w:val="left" w:pos="3402"/>
          <w:tab w:val="left" w:pos="3969"/>
        </w:tabs>
        <w:spacing w:after="0" w:line="360" w:lineRule="auto"/>
        <w:ind w:left="1701" w:hanging="1701"/>
        <w:jc w:val="both"/>
        <w:rPr>
          <w:rFonts w:ascii="Arial" w:hAnsi="Arial" w:cs="Arial"/>
          <w:iCs/>
          <w:lang w:val="en-ZA"/>
        </w:rPr>
      </w:pPr>
      <w:r w:rsidRPr="00580A8E">
        <w:rPr>
          <w:rFonts w:ascii="Arial" w:hAnsi="Arial" w:cs="Arial"/>
          <w:iCs/>
          <w:lang w:val="en-ZA"/>
        </w:rPr>
        <w:tab/>
        <w:t>16</w:t>
      </w:r>
      <w:r w:rsidR="00B04248">
        <w:rPr>
          <w:rFonts w:ascii="Arial" w:hAnsi="Arial" w:cs="Arial"/>
          <w:iCs/>
          <w:lang w:val="en-ZA"/>
        </w:rPr>
        <w:t>.</w:t>
      </w:r>
      <w:r w:rsidRPr="00580A8E">
        <w:rPr>
          <w:rFonts w:ascii="Arial" w:hAnsi="Arial" w:cs="Arial"/>
          <w:iCs/>
          <w:lang w:val="en-ZA"/>
        </w:rPr>
        <w:tab/>
        <w:t>As a direct and reasonably foreseeable result of the aforesaid conduct by the plaintiff, the first defendant has suffered damages in an amount of R9 000 000.00 as a result of:</w:t>
      </w:r>
    </w:p>
    <w:p w14:paraId="0A5D5F13" w14:textId="77777777" w:rsidR="00A64DEA" w:rsidRPr="00580A8E" w:rsidRDefault="00A64DEA" w:rsidP="00751B45">
      <w:pPr>
        <w:tabs>
          <w:tab w:val="left" w:pos="851"/>
          <w:tab w:val="left" w:pos="1701"/>
          <w:tab w:val="left" w:pos="2552"/>
          <w:tab w:val="left" w:pos="3402"/>
          <w:tab w:val="left" w:pos="3969"/>
        </w:tabs>
        <w:spacing w:after="0" w:line="360" w:lineRule="auto"/>
        <w:ind w:left="2552" w:hanging="851"/>
        <w:jc w:val="both"/>
        <w:rPr>
          <w:rFonts w:ascii="Arial" w:hAnsi="Arial" w:cs="Arial"/>
          <w:iCs/>
          <w:lang w:val="en-ZA"/>
        </w:rPr>
      </w:pPr>
      <w:r w:rsidRPr="00580A8E">
        <w:rPr>
          <w:rFonts w:ascii="Arial" w:hAnsi="Arial" w:cs="Arial"/>
          <w:iCs/>
          <w:lang w:val="en-ZA"/>
        </w:rPr>
        <w:t>16.1</w:t>
      </w:r>
      <w:r w:rsidRPr="00580A8E">
        <w:rPr>
          <w:rFonts w:ascii="Arial" w:hAnsi="Arial" w:cs="Arial"/>
          <w:iCs/>
          <w:lang w:val="en-ZA"/>
        </w:rPr>
        <w:tab/>
        <w:t>members of the public not employing the services of the first defendant where otherwise they would have;</w:t>
      </w:r>
    </w:p>
    <w:p w14:paraId="3B152076" w14:textId="77777777" w:rsidR="00A64DEA" w:rsidRPr="00580A8E" w:rsidRDefault="00A64DEA" w:rsidP="00751B45">
      <w:pPr>
        <w:tabs>
          <w:tab w:val="left" w:pos="851"/>
          <w:tab w:val="left" w:pos="1701"/>
          <w:tab w:val="left" w:pos="2552"/>
          <w:tab w:val="left" w:pos="3402"/>
          <w:tab w:val="left" w:pos="3969"/>
        </w:tabs>
        <w:spacing w:after="0" w:line="360" w:lineRule="auto"/>
        <w:ind w:left="2552" w:hanging="851"/>
        <w:jc w:val="both"/>
        <w:rPr>
          <w:rFonts w:ascii="Arial" w:hAnsi="Arial" w:cs="Arial"/>
          <w:iCs/>
          <w:lang w:val="en-ZA"/>
        </w:rPr>
      </w:pPr>
      <w:r w:rsidRPr="00580A8E">
        <w:rPr>
          <w:rFonts w:ascii="Arial" w:hAnsi="Arial" w:cs="Arial"/>
          <w:iCs/>
          <w:lang w:val="en-ZA"/>
        </w:rPr>
        <w:t>16.2</w:t>
      </w:r>
      <w:r w:rsidRPr="00580A8E">
        <w:rPr>
          <w:rFonts w:ascii="Arial" w:hAnsi="Arial" w:cs="Arial"/>
          <w:iCs/>
          <w:lang w:val="en-ZA"/>
        </w:rPr>
        <w:tab/>
        <w:t>the prevention thereby of the first defendant's expansion of its business, which would otherwise have occurred.</w:t>
      </w:r>
    </w:p>
    <w:p w14:paraId="348B306D" w14:textId="232CCACD" w:rsidR="00A64DEA" w:rsidRPr="00580A8E" w:rsidRDefault="00A64DEA" w:rsidP="00751B45">
      <w:pPr>
        <w:tabs>
          <w:tab w:val="left" w:pos="851"/>
          <w:tab w:val="left" w:pos="1701"/>
          <w:tab w:val="left" w:pos="2552"/>
          <w:tab w:val="left" w:pos="3402"/>
          <w:tab w:val="left" w:pos="3969"/>
        </w:tabs>
        <w:spacing w:after="0" w:line="360" w:lineRule="auto"/>
        <w:ind w:left="1701" w:hanging="1701"/>
        <w:jc w:val="both"/>
        <w:rPr>
          <w:rFonts w:ascii="Arial" w:hAnsi="Arial" w:cs="Arial"/>
          <w:iCs/>
          <w:lang w:val="en-ZA"/>
        </w:rPr>
      </w:pPr>
      <w:r w:rsidRPr="00580A8E">
        <w:rPr>
          <w:rFonts w:ascii="Arial" w:hAnsi="Arial" w:cs="Arial"/>
          <w:iCs/>
          <w:lang w:val="en-ZA"/>
        </w:rPr>
        <w:tab/>
        <w:t>17</w:t>
      </w:r>
      <w:r w:rsidR="00B04248">
        <w:rPr>
          <w:rFonts w:ascii="Arial" w:hAnsi="Arial" w:cs="Arial"/>
          <w:iCs/>
          <w:lang w:val="en-ZA"/>
        </w:rPr>
        <w:t>.</w:t>
      </w:r>
      <w:r w:rsidRPr="00580A8E">
        <w:rPr>
          <w:rFonts w:ascii="Arial" w:hAnsi="Arial" w:cs="Arial"/>
          <w:iCs/>
          <w:lang w:val="en-ZA"/>
        </w:rPr>
        <w:tab/>
        <w:t>In the premises, the plaintiff is liable to the first defendant in an amount of R9 000 000.00, which amount is due, owing and payable.</w:t>
      </w:r>
    </w:p>
    <w:p w14:paraId="5ACD8C1B" w14:textId="086CEED8" w:rsidR="00A64DEA" w:rsidRPr="00580A8E" w:rsidRDefault="00A64DEA" w:rsidP="00751B45">
      <w:pPr>
        <w:tabs>
          <w:tab w:val="left" w:pos="851"/>
          <w:tab w:val="left" w:pos="1701"/>
          <w:tab w:val="left" w:pos="2552"/>
          <w:tab w:val="left" w:pos="3402"/>
          <w:tab w:val="left" w:pos="3969"/>
        </w:tabs>
        <w:spacing w:after="0" w:line="360" w:lineRule="auto"/>
        <w:ind w:left="1701" w:hanging="1701"/>
        <w:jc w:val="both"/>
        <w:rPr>
          <w:rFonts w:ascii="Arial" w:hAnsi="Arial" w:cs="Arial"/>
          <w:iCs/>
          <w:lang w:val="en-ZA"/>
        </w:rPr>
      </w:pPr>
      <w:r w:rsidRPr="00580A8E">
        <w:rPr>
          <w:rFonts w:ascii="Arial" w:hAnsi="Arial" w:cs="Arial"/>
          <w:iCs/>
          <w:lang w:val="en-ZA"/>
        </w:rPr>
        <w:tab/>
        <w:t>18</w:t>
      </w:r>
      <w:r w:rsidR="00B04248">
        <w:rPr>
          <w:rFonts w:ascii="Arial" w:hAnsi="Arial" w:cs="Arial"/>
          <w:iCs/>
          <w:lang w:val="en-ZA"/>
        </w:rPr>
        <w:t>.</w:t>
      </w:r>
      <w:r w:rsidRPr="00580A8E">
        <w:rPr>
          <w:rFonts w:ascii="Arial" w:hAnsi="Arial" w:cs="Arial"/>
          <w:iCs/>
          <w:lang w:val="en-ZA"/>
        </w:rPr>
        <w:tab/>
        <w:t>To date and despite demand, the plaintiff has failed and/or refused and/or neglected to make payment of the said amount to the first defendant.</w:t>
      </w:r>
    </w:p>
    <w:p w14:paraId="7195B404" w14:textId="56139C2D" w:rsidR="00A64DEA" w:rsidRPr="00580A8E" w:rsidRDefault="00A64DEA" w:rsidP="00751B45">
      <w:pPr>
        <w:tabs>
          <w:tab w:val="left" w:pos="851"/>
          <w:tab w:val="left" w:pos="1701"/>
          <w:tab w:val="left" w:pos="2552"/>
          <w:tab w:val="left" w:pos="3402"/>
          <w:tab w:val="left" w:pos="3969"/>
        </w:tabs>
        <w:spacing w:after="0" w:line="360" w:lineRule="auto"/>
        <w:ind w:left="1701" w:hanging="1701"/>
        <w:jc w:val="both"/>
        <w:rPr>
          <w:rFonts w:ascii="Arial" w:hAnsi="Arial" w:cs="Arial"/>
          <w:iCs/>
          <w:lang w:val="en-ZA"/>
        </w:rPr>
      </w:pPr>
      <w:r w:rsidRPr="00580A8E">
        <w:rPr>
          <w:rFonts w:ascii="Arial" w:hAnsi="Arial" w:cs="Arial"/>
          <w:iCs/>
          <w:lang w:val="en-ZA"/>
        </w:rPr>
        <w:tab/>
        <w:t>19</w:t>
      </w:r>
      <w:r w:rsidR="00B04248">
        <w:rPr>
          <w:rFonts w:ascii="Arial" w:hAnsi="Arial" w:cs="Arial"/>
          <w:iCs/>
          <w:lang w:val="en-ZA"/>
        </w:rPr>
        <w:t>.</w:t>
      </w:r>
      <w:r w:rsidRPr="00580A8E">
        <w:rPr>
          <w:rFonts w:ascii="Arial" w:hAnsi="Arial" w:cs="Arial"/>
          <w:iCs/>
          <w:lang w:val="en-ZA"/>
        </w:rPr>
        <w:tab/>
        <w:t>The complaint of the first respondent against the plaintiff based on its aforesaid prohibited conduct in terms of the CA, has been upheld by the Competition Commission and has been referred to the Competition Tribunal in terms of the CA. A copy of the aforesaid referral is annexed hereto, marked "A".</w:t>
      </w:r>
    </w:p>
    <w:p w14:paraId="1728047A" w14:textId="5205F69B" w:rsidR="00A64DEA" w:rsidRPr="00580A8E" w:rsidRDefault="00A64DEA" w:rsidP="00751B45">
      <w:pPr>
        <w:tabs>
          <w:tab w:val="left" w:pos="851"/>
          <w:tab w:val="left" w:pos="1701"/>
          <w:tab w:val="left" w:pos="2552"/>
          <w:tab w:val="left" w:pos="3402"/>
          <w:tab w:val="left" w:pos="3969"/>
        </w:tabs>
        <w:spacing w:after="0" w:line="360" w:lineRule="auto"/>
        <w:jc w:val="both"/>
        <w:rPr>
          <w:rFonts w:ascii="Arial" w:hAnsi="Arial" w:cs="Arial"/>
          <w:iCs/>
          <w:lang w:val="en-ZA"/>
        </w:rPr>
      </w:pPr>
      <w:r w:rsidRPr="00580A8E">
        <w:rPr>
          <w:rFonts w:ascii="Arial" w:hAnsi="Arial" w:cs="Arial"/>
          <w:iCs/>
          <w:lang w:val="en-ZA"/>
        </w:rPr>
        <w:tab/>
        <w:t>WHEREFORE the first defendant claims:</w:t>
      </w:r>
    </w:p>
    <w:p w14:paraId="45E52192" w14:textId="495B3DAB" w:rsidR="00A64DEA" w:rsidRPr="00580A8E" w:rsidRDefault="00A64DEA" w:rsidP="00751B45">
      <w:pPr>
        <w:tabs>
          <w:tab w:val="left" w:pos="851"/>
          <w:tab w:val="left" w:pos="1701"/>
          <w:tab w:val="left" w:pos="2552"/>
          <w:tab w:val="left" w:pos="3402"/>
          <w:tab w:val="left" w:pos="3969"/>
        </w:tabs>
        <w:spacing w:after="0" w:line="360" w:lineRule="auto"/>
        <w:jc w:val="both"/>
        <w:rPr>
          <w:rFonts w:ascii="Arial" w:hAnsi="Arial" w:cs="Arial"/>
          <w:iCs/>
          <w:lang w:val="en-ZA"/>
        </w:rPr>
      </w:pPr>
      <w:r w:rsidRPr="00580A8E">
        <w:rPr>
          <w:rFonts w:ascii="Arial" w:hAnsi="Arial" w:cs="Arial"/>
          <w:iCs/>
          <w:lang w:val="en-ZA"/>
        </w:rPr>
        <w:tab/>
        <w:t>1</w:t>
      </w:r>
      <w:r w:rsidR="00B04248">
        <w:rPr>
          <w:rFonts w:ascii="Arial" w:hAnsi="Arial" w:cs="Arial"/>
          <w:iCs/>
          <w:lang w:val="en-ZA"/>
        </w:rPr>
        <w:t>.</w:t>
      </w:r>
      <w:r w:rsidRPr="00580A8E">
        <w:rPr>
          <w:rFonts w:ascii="Arial" w:hAnsi="Arial" w:cs="Arial"/>
          <w:iCs/>
          <w:lang w:val="en-ZA"/>
        </w:rPr>
        <w:tab/>
        <w:t>Payment of the amount of R9 000 000.00;</w:t>
      </w:r>
    </w:p>
    <w:p w14:paraId="0245C645" w14:textId="4C59A25C" w:rsidR="00A64DEA" w:rsidRPr="00580A8E" w:rsidRDefault="00A64DEA" w:rsidP="00751B45">
      <w:pPr>
        <w:tabs>
          <w:tab w:val="left" w:pos="851"/>
          <w:tab w:val="left" w:pos="1701"/>
          <w:tab w:val="left" w:pos="2552"/>
          <w:tab w:val="left" w:pos="3402"/>
          <w:tab w:val="left" w:pos="3969"/>
        </w:tabs>
        <w:spacing w:after="0" w:line="360" w:lineRule="auto"/>
        <w:ind w:left="1701" w:hanging="1701"/>
        <w:jc w:val="both"/>
        <w:rPr>
          <w:rFonts w:ascii="Arial" w:hAnsi="Arial" w:cs="Arial"/>
          <w:iCs/>
          <w:lang w:val="en-ZA"/>
        </w:rPr>
      </w:pPr>
      <w:r w:rsidRPr="00580A8E">
        <w:rPr>
          <w:rFonts w:ascii="Arial" w:hAnsi="Arial" w:cs="Arial"/>
          <w:iCs/>
          <w:lang w:val="en-ZA"/>
        </w:rPr>
        <w:tab/>
        <w:t>2</w:t>
      </w:r>
      <w:r w:rsidR="00B04248">
        <w:rPr>
          <w:rFonts w:ascii="Arial" w:hAnsi="Arial" w:cs="Arial"/>
          <w:iCs/>
          <w:lang w:val="en-ZA"/>
        </w:rPr>
        <w:t>.</w:t>
      </w:r>
      <w:r w:rsidRPr="00580A8E">
        <w:rPr>
          <w:rFonts w:ascii="Arial" w:hAnsi="Arial" w:cs="Arial"/>
          <w:iCs/>
          <w:lang w:val="en-ZA"/>
        </w:rPr>
        <w:tab/>
        <w:t>Interest on the aforesaid amount at the official rate of interest a tempore morae to date of payment;</w:t>
      </w:r>
    </w:p>
    <w:p w14:paraId="65605F1C" w14:textId="25B68A13" w:rsidR="00A64DEA" w:rsidRPr="00580A8E" w:rsidRDefault="00A64DEA" w:rsidP="00751B45">
      <w:pPr>
        <w:tabs>
          <w:tab w:val="left" w:pos="851"/>
          <w:tab w:val="left" w:pos="1701"/>
          <w:tab w:val="left" w:pos="2552"/>
          <w:tab w:val="left" w:pos="3402"/>
          <w:tab w:val="left" w:pos="3969"/>
        </w:tabs>
        <w:spacing w:after="0" w:line="360" w:lineRule="auto"/>
        <w:jc w:val="both"/>
        <w:rPr>
          <w:rFonts w:ascii="Arial" w:hAnsi="Arial" w:cs="Arial"/>
          <w:iCs/>
          <w:lang w:val="en-ZA"/>
        </w:rPr>
      </w:pPr>
      <w:r w:rsidRPr="00580A8E">
        <w:rPr>
          <w:rFonts w:ascii="Arial" w:hAnsi="Arial" w:cs="Arial"/>
          <w:iCs/>
          <w:lang w:val="en-ZA"/>
        </w:rPr>
        <w:tab/>
        <w:t>3</w:t>
      </w:r>
      <w:r w:rsidR="00B04248">
        <w:rPr>
          <w:rFonts w:ascii="Arial" w:hAnsi="Arial" w:cs="Arial"/>
          <w:iCs/>
          <w:lang w:val="en-ZA"/>
        </w:rPr>
        <w:t>.</w:t>
      </w:r>
      <w:r w:rsidRPr="00580A8E">
        <w:rPr>
          <w:rFonts w:ascii="Arial" w:hAnsi="Arial" w:cs="Arial"/>
          <w:iCs/>
          <w:lang w:val="en-ZA"/>
        </w:rPr>
        <w:tab/>
        <w:t>Costs of suit;</w:t>
      </w:r>
    </w:p>
    <w:p w14:paraId="7EA933A1" w14:textId="0ED892FE" w:rsidR="00422581" w:rsidRDefault="00A64DEA" w:rsidP="00751B45">
      <w:pPr>
        <w:tabs>
          <w:tab w:val="left" w:pos="851"/>
          <w:tab w:val="left" w:pos="1701"/>
          <w:tab w:val="left" w:pos="2552"/>
          <w:tab w:val="left" w:pos="3402"/>
          <w:tab w:val="left" w:pos="3969"/>
        </w:tabs>
        <w:spacing w:after="0" w:line="360" w:lineRule="auto"/>
        <w:ind w:left="1701" w:hanging="1701"/>
        <w:jc w:val="both"/>
        <w:rPr>
          <w:rFonts w:ascii="Arial" w:hAnsi="Arial" w:cs="Arial"/>
          <w:iCs/>
          <w:lang w:val="en-ZA"/>
        </w:rPr>
      </w:pPr>
      <w:r w:rsidRPr="00580A8E">
        <w:rPr>
          <w:rFonts w:ascii="Arial" w:hAnsi="Arial" w:cs="Arial"/>
          <w:iCs/>
          <w:lang w:val="en-ZA"/>
        </w:rPr>
        <w:tab/>
        <w:t>4</w:t>
      </w:r>
      <w:r w:rsidR="00B04248">
        <w:rPr>
          <w:rFonts w:ascii="Arial" w:hAnsi="Arial" w:cs="Arial"/>
          <w:iCs/>
          <w:lang w:val="en-ZA"/>
        </w:rPr>
        <w:t>.</w:t>
      </w:r>
      <w:r w:rsidRPr="00580A8E">
        <w:rPr>
          <w:rFonts w:ascii="Arial" w:hAnsi="Arial" w:cs="Arial"/>
          <w:iCs/>
          <w:lang w:val="en-ZA"/>
        </w:rPr>
        <w:tab/>
      </w:r>
      <w:r w:rsidRPr="00580A8E">
        <w:rPr>
          <w:rFonts w:ascii="Arial" w:hAnsi="Arial" w:cs="Arial"/>
          <w:b/>
          <w:bCs/>
          <w:iCs/>
          <w:u w:val="single"/>
          <w:lang w:val="en-ZA"/>
        </w:rPr>
        <w:t>Alternatively to paragraphs 1 to 3</w:t>
      </w:r>
      <w:r w:rsidRPr="00580A8E">
        <w:rPr>
          <w:rFonts w:ascii="Arial" w:hAnsi="Arial" w:cs="Arial"/>
          <w:iCs/>
          <w:lang w:val="en-ZA"/>
        </w:rPr>
        <w:t>, an order that the matter be stayed pending the outcome of the referral of the first defendant's complaint to the Competition Tribunal.</w:t>
      </w:r>
      <w:r w:rsidR="00B04248">
        <w:rPr>
          <w:rFonts w:ascii="Arial" w:hAnsi="Arial" w:cs="Arial"/>
          <w:iCs/>
          <w:lang w:val="en-ZA"/>
        </w:rPr>
        <w:t>’</w:t>
      </w:r>
    </w:p>
    <w:p w14:paraId="3ACC9895" w14:textId="77777777" w:rsidR="00B04248" w:rsidRPr="00580A8E" w:rsidRDefault="00B04248" w:rsidP="00B04248">
      <w:pPr>
        <w:tabs>
          <w:tab w:val="left" w:pos="851"/>
          <w:tab w:val="left" w:pos="1701"/>
          <w:tab w:val="left" w:pos="2552"/>
          <w:tab w:val="left" w:pos="3402"/>
          <w:tab w:val="left" w:pos="3969"/>
        </w:tabs>
        <w:spacing w:after="0" w:line="360" w:lineRule="auto"/>
        <w:jc w:val="both"/>
        <w:rPr>
          <w:rFonts w:ascii="Arial" w:hAnsi="Arial" w:cs="Arial"/>
          <w:lang w:val="en-ZA"/>
        </w:rPr>
      </w:pPr>
    </w:p>
    <w:p w14:paraId="57C0A028" w14:textId="784EB601" w:rsidR="00422581" w:rsidRPr="00751B45" w:rsidRDefault="00422581" w:rsidP="00751B45">
      <w:pPr>
        <w:tabs>
          <w:tab w:val="left" w:pos="851"/>
          <w:tab w:val="left" w:pos="1701"/>
          <w:tab w:val="left" w:pos="2552"/>
          <w:tab w:val="left" w:pos="3402"/>
          <w:tab w:val="left" w:pos="3969"/>
        </w:tabs>
        <w:spacing w:after="0" w:line="360" w:lineRule="auto"/>
        <w:ind w:left="1701" w:hanging="1701"/>
        <w:jc w:val="both"/>
        <w:rPr>
          <w:rFonts w:ascii="Arial" w:hAnsi="Arial" w:cs="Arial"/>
          <w:b/>
          <w:bCs/>
          <w:sz w:val="24"/>
          <w:szCs w:val="24"/>
          <w:u w:val="single"/>
          <w:lang w:val="en-ZA"/>
        </w:rPr>
      </w:pPr>
      <w:r w:rsidRPr="00751B45">
        <w:rPr>
          <w:rFonts w:ascii="Arial" w:hAnsi="Arial" w:cs="Arial"/>
          <w:b/>
          <w:bCs/>
          <w:sz w:val="24"/>
          <w:szCs w:val="24"/>
          <w:u w:val="single"/>
          <w:lang w:val="en-ZA"/>
        </w:rPr>
        <w:t>PLAINTIFF'S EXCEPTION</w:t>
      </w:r>
    </w:p>
    <w:p w14:paraId="261E0B4F" w14:textId="18B95450" w:rsidR="00290D90"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[14]</w:t>
      </w:r>
      <w:r>
        <w:rPr>
          <w:rFonts w:ascii="Arial" w:eastAsia="Calibri" w:hAnsi="Arial" w:cs="Arial"/>
          <w:sz w:val="24"/>
          <w:szCs w:val="24"/>
          <w:lang w:val="en-ZA"/>
        </w:rPr>
        <w:tab/>
      </w:r>
      <w:r w:rsidR="00422581" w:rsidRPr="001A246B">
        <w:rPr>
          <w:rFonts w:ascii="Arial" w:eastAsia="Calibri" w:hAnsi="Arial" w:cs="Arial"/>
          <w:sz w:val="24"/>
          <w:szCs w:val="24"/>
          <w:lang w:val="en-ZA"/>
        </w:rPr>
        <w:t>The Plaintiff excepted to the First Defendant's counterclaim on the grounds that it lacked sufficient averments necessary to sustain its claim.</w:t>
      </w:r>
    </w:p>
    <w:p w14:paraId="0177B85F" w14:textId="77777777" w:rsidR="00B04248" w:rsidRPr="00751B45" w:rsidRDefault="00B04248" w:rsidP="00B04248">
      <w:pPr>
        <w:pStyle w:val="ListParagraph"/>
        <w:spacing w:after="0" w:line="360" w:lineRule="auto"/>
        <w:ind w:left="851"/>
        <w:contextualSpacing w:val="0"/>
        <w:jc w:val="both"/>
        <w:rPr>
          <w:rFonts w:ascii="Arial" w:eastAsia="Calibri" w:hAnsi="Arial" w:cs="Arial"/>
          <w:sz w:val="24"/>
          <w:szCs w:val="24"/>
          <w:lang w:val="en-ZA"/>
        </w:rPr>
      </w:pPr>
    </w:p>
    <w:p w14:paraId="262B09DA" w14:textId="2FEEF842" w:rsidR="00970C7B"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lastRenderedPageBreak/>
        <w:t>[15]</w:t>
      </w:r>
      <w:r>
        <w:rPr>
          <w:rFonts w:ascii="Arial" w:eastAsia="Calibri" w:hAnsi="Arial" w:cs="Arial"/>
          <w:sz w:val="24"/>
          <w:szCs w:val="24"/>
          <w:lang w:val="en-ZA"/>
        </w:rPr>
        <w:tab/>
      </w:r>
      <w:r w:rsidR="00970C7B" w:rsidRPr="001A246B">
        <w:rPr>
          <w:rFonts w:ascii="Arial" w:eastAsia="Calibri" w:hAnsi="Arial" w:cs="Arial"/>
          <w:sz w:val="24"/>
          <w:szCs w:val="24"/>
          <w:lang w:val="en-ZA"/>
        </w:rPr>
        <w:t xml:space="preserve">It is trite law that the aim of exception procedures is to avoid the leading of unnecessary evidence and to dispose of a case wholly or in part in an expeditious and cost-effective manner.  </w:t>
      </w:r>
      <w:r w:rsidR="00D535B7" w:rsidRPr="001A246B">
        <w:rPr>
          <w:rFonts w:ascii="Arial" w:eastAsia="Calibri" w:hAnsi="Arial" w:cs="Arial"/>
          <w:sz w:val="24"/>
          <w:szCs w:val="24"/>
          <w:lang w:val="en-ZA"/>
        </w:rPr>
        <w:t xml:space="preserve">The purpose of </w:t>
      </w:r>
      <w:r w:rsidR="00970C7B" w:rsidRPr="001A246B">
        <w:rPr>
          <w:rFonts w:ascii="Arial" w:eastAsia="Calibri" w:hAnsi="Arial" w:cs="Arial"/>
          <w:sz w:val="24"/>
          <w:szCs w:val="24"/>
          <w:lang w:val="en-ZA"/>
        </w:rPr>
        <w:t xml:space="preserve">an exception </w:t>
      </w:r>
      <w:r w:rsidR="00D535B7" w:rsidRPr="001A246B">
        <w:rPr>
          <w:rFonts w:ascii="Arial" w:eastAsia="Calibri" w:hAnsi="Arial" w:cs="Arial"/>
          <w:sz w:val="24"/>
          <w:szCs w:val="24"/>
          <w:lang w:val="en-ZA"/>
        </w:rPr>
        <w:t xml:space="preserve">is </w:t>
      </w:r>
      <w:r w:rsidR="00970C7B" w:rsidRPr="001A246B">
        <w:rPr>
          <w:rFonts w:ascii="Arial" w:eastAsia="Calibri" w:hAnsi="Arial" w:cs="Arial"/>
          <w:sz w:val="24"/>
          <w:szCs w:val="24"/>
          <w:lang w:val="en-ZA"/>
        </w:rPr>
        <w:t xml:space="preserve">to bring an end to proceedings that </w:t>
      </w:r>
      <w:r w:rsidR="00D535B7" w:rsidRPr="001A246B">
        <w:rPr>
          <w:rFonts w:ascii="Arial" w:eastAsia="Calibri" w:hAnsi="Arial" w:cs="Arial"/>
          <w:sz w:val="24"/>
          <w:szCs w:val="24"/>
          <w:lang w:val="en-ZA"/>
        </w:rPr>
        <w:t xml:space="preserve">have </w:t>
      </w:r>
      <w:r w:rsidR="00970C7B" w:rsidRPr="001A246B">
        <w:rPr>
          <w:rFonts w:ascii="Arial" w:eastAsia="Calibri" w:hAnsi="Arial" w:cs="Arial"/>
          <w:sz w:val="24"/>
          <w:szCs w:val="24"/>
          <w:lang w:val="en-ZA"/>
        </w:rPr>
        <w:t>no merit</w:t>
      </w:r>
      <w:r w:rsidR="00D535B7" w:rsidRPr="001A246B">
        <w:rPr>
          <w:rFonts w:ascii="Arial" w:eastAsia="Calibri" w:hAnsi="Arial" w:cs="Arial"/>
          <w:sz w:val="24"/>
          <w:szCs w:val="24"/>
          <w:lang w:val="en-ZA"/>
        </w:rPr>
        <w:t>,</w:t>
      </w:r>
      <w:r w:rsidR="00970C7B" w:rsidRPr="001A246B">
        <w:rPr>
          <w:rFonts w:ascii="Arial" w:eastAsia="Calibri" w:hAnsi="Arial" w:cs="Arial"/>
          <w:sz w:val="24"/>
          <w:szCs w:val="24"/>
          <w:lang w:val="en-ZA"/>
        </w:rPr>
        <w:t xml:space="preserve"> even when all the averments made in the pleading are accepted as correct. This is in the interests of the proper administration of justice and ultimately in the interests of litigants who are not compelled to undertake costly and time-consuming litigation with no hope of success.</w:t>
      </w:r>
      <w:r w:rsidR="00970C7B" w:rsidRPr="00751B45">
        <w:rPr>
          <w:rStyle w:val="FootnoteReference"/>
          <w:rFonts w:ascii="Arial" w:eastAsia="Calibri" w:hAnsi="Arial" w:cs="Arial"/>
          <w:sz w:val="24"/>
          <w:szCs w:val="24"/>
          <w:lang w:val="en-ZA"/>
        </w:rPr>
        <w:footnoteReference w:id="1"/>
      </w:r>
    </w:p>
    <w:p w14:paraId="701C0E8B" w14:textId="77777777" w:rsidR="00B04248" w:rsidRPr="00B04248" w:rsidRDefault="00B04248" w:rsidP="00B04248">
      <w:pPr>
        <w:pStyle w:val="ListParagraph"/>
        <w:rPr>
          <w:rFonts w:ascii="Arial" w:eastAsia="Calibri" w:hAnsi="Arial" w:cs="Arial"/>
          <w:sz w:val="24"/>
          <w:szCs w:val="24"/>
          <w:lang w:val="en-ZA"/>
        </w:rPr>
      </w:pPr>
    </w:p>
    <w:p w14:paraId="5254C5CC" w14:textId="01C36C26" w:rsidR="00970C7B"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[16]</w:t>
      </w:r>
      <w:r>
        <w:rPr>
          <w:rFonts w:ascii="Arial" w:eastAsia="Calibri" w:hAnsi="Arial" w:cs="Arial"/>
          <w:sz w:val="24"/>
          <w:szCs w:val="24"/>
          <w:lang w:val="en-ZA"/>
        </w:rPr>
        <w:tab/>
      </w:r>
      <w:r w:rsidR="00970C7B" w:rsidRPr="001A246B">
        <w:rPr>
          <w:rFonts w:ascii="Arial" w:eastAsia="Calibri" w:hAnsi="Arial" w:cs="Arial"/>
          <w:sz w:val="24"/>
          <w:szCs w:val="24"/>
          <w:lang w:val="en-ZA"/>
        </w:rPr>
        <w:t>In the matter of</w:t>
      </w:r>
      <w:r w:rsidR="00970C7B" w:rsidRPr="001A246B">
        <w:rPr>
          <w:rFonts w:ascii="Arial" w:eastAsia="Calibri" w:hAnsi="Arial" w:cs="Arial"/>
          <w:b/>
          <w:bCs/>
          <w:sz w:val="24"/>
          <w:szCs w:val="24"/>
          <w:lang w:val="en-ZA"/>
        </w:rPr>
        <w:t xml:space="preserve"> </w:t>
      </w:r>
      <w:r w:rsidR="00970C7B" w:rsidRPr="001A246B">
        <w:rPr>
          <w:rFonts w:ascii="Arial" w:eastAsia="Calibri" w:hAnsi="Arial" w:cs="Arial"/>
          <w:bCs/>
          <w:i/>
          <w:sz w:val="24"/>
          <w:szCs w:val="24"/>
          <w:lang w:val="en-ZA"/>
        </w:rPr>
        <w:t>M v Zimbali Country Club</w:t>
      </w:r>
      <w:r w:rsidR="00970C7B" w:rsidRPr="00751B45">
        <w:rPr>
          <w:rStyle w:val="FootnoteReference"/>
          <w:rFonts w:ascii="Arial" w:eastAsia="Calibri" w:hAnsi="Arial" w:cs="Arial"/>
          <w:sz w:val="24"/>
          <w:szCs w:val="24"/>
          <w:lang w:val="en-ZA"/>
        </w:rPr>
        <w:footnoteReference w:id="2"/>
      </w:r>
      <w:r w:rsidR="00970C7B" w:rsidRPr="001A246B">
        <w:rPr>
          <w:rFonts w:ascii="Arial" w:eastAsia="Calibri" w:hAnsi="Arial" w:cs="Arial"/>
          <w:sz w:val="24"/>
          <w:szCs w:val="24"/>
          <w:lang w:val="en-ZA"/>
        </w:rPr>
        <w:t xml:space="preserve"> it was held that the proper legal meaning of cause of action is the entire set of facts giving rise to an enforceable claim.  Every fact that is material to be proved to entitle plaintiffs to succeed in their claims must be included to disclose a cause of action and it does not arise or accrue until the last of such facts occurs.  </w:t>
      </w:r>
    </w:p>
    <w:p w14:paraId="62F836D5" w14:textId="77777777" w:rsidR="00B04248" w:rsidRPr="00B04248" w:rsidRDefault="00B04248" w:rsidP="00B04248">
      <w:pPr>
        <w:pStyle w:val="ListParagraph"/>
        <w:rPr>
          <w:rFonts w:ascii="Arial" w:eastAsia="Calibri" w:hAnsi="Arial" w:cs="Arial"/>
          <w:sz w:val="24"/>
          <w:szCs w:val="24"/>
          <w:lang w:val="en-ZA"/>
        </w:rPr>
      </w:pPr>
    </w:p>
    <w:p w14:paraId="27D7AFA6" w14:textId="39FA105E" w:rsidR="00B04248" w:rsidRPr="001A246B" w:rsidRDefault="001A246B" w:rsidP="001A246B">
      <w:pPr>
        <w:spacing w:after="0" w:line="360" w:lineRule="auto"/>
        <w:ind w:left="851" w:hanging="851"/>
        <w:jc w:val="both"/>
        <w:rPr>
          <w:rFonts w:ascii="Arial" w:eastAsia="Calibri" w:hAnsi="Arial" w:cs="Arial"/>
          <w:sz w:val="24"/>
          <w:szCs w:val="24"/>
          <w:lang w:val="en-ZA"/>
        </w:rPr>
      </w:pPr>
      <w:r w:rsidRPr="00B04248">
        <w:rPr>
          <w:rFonts w:ascii="Arial" w:eastAsia="Calibri" w:hAnsi="Arial" w:cs="Arial"/>
          <w:sz w:val="24"/>
          <w:szCs w:val="24"/>
          <w:lang w:val="en-ZA"/>
        </w:rPr>
        <w:t>[17]</w:t>
      </w:r>
      <w:r w:rsidRPr="00B04248">
        <w:rPr>
          <w:rFonts w:ascii="Arial" w:eastAsia="Calibri" w:hAnsi="Arial" w:cs="Arial"/>
          <w:sz w:val="24"/>
          <w:szCs w:val="24"/>
          <w:lang w:val="en-ZA"/>
        </w:rPr>
        <w:tab/>
      </w:r>
      <w:r w:rsidR="00970C7B" w:rsidRPr="001A246B">
        <w:rPr>
          <w:rFonts w:ascii="Arial" w:eastAsia="Calibri" w:hAnsi="Arial" w:cs="Arial"/>
          <w:sz w:val="24"/>
          <w:szCs w:val="24"/>
          <w:lang w:val="en-ZA"/>
        </w:rPr>
        <w:t xml:space="preserve">Further, as held in </w:t>
      </w:r>
      <w:r w:rsidR="00970C7B" w:rsidRPr="001A246B">
        <w:rPr>
          <w:rFonts w:ascii="Arial" w:eastAsia="Calibri" w:hAnsi="Arial" w:cs="Arial"/>
          <w:bCs/>
          <w:i/>
          <w:sz w:val="24"/>
          <w:szCs w:val="24"/>
          <w:lang w:val="en-ZA"/>
        </w:rPr>
        <w:t>Vermeulen v Goose Valley Investments (Pty) Ltd</w:t>
      </w:r>
      <w:r w:rsidR="00970C7B" w:rsidRPr="00751B45">
        <w:rPr>
          <w:rStyle w:val="FootnoteReference"/>
          <w:rFonts w:ascii="Arial" w:eastAsia="Calibri" w:hAnsi="Arial" w:cs="Arial"/>
          <w:sz w:val="24"/>
          <w:szCs w:val="24"/>
          <w:lang w:val="en-ZA"/>
        </w:rPr>
        <w:footnoteReference w:id="3"/>
      </w:r>
      <w:r w:rsidR="00B04248" w:rsidRPr="001A246B">
        <w:rPr>
          <w:rFonts w:ascii="Arial" w:eastAsia="Calibri" w:hAnsi="Arial" w:cs="Arial"/>
          <w:bCs/>
          <w:sz w:val="24"/>
          <w:szCs w:val="24"/>
          <w:lang w:val="en-ZA"/>
        </w:rPr>
        <w:t>:</w:t>
      </w:r>
    </w:p>
    <w:p w14:paraId="28F9C0DB" w14:textId="65BA2AF5" w:rsidR="00970C7B" w:rsidRDefault="00B04248" w:rsidP="00B04248">
      <w:pPr>
        <w:pStyle w:val="ListParagraph"/>
        <w:spacing w:after="0" w:line="360" w:lineRule="auto"/>
        <w:ind w:left="1440" w:hanging="22"/>
        <w:contextualSpacing w:val="0"/>
        <w:jc w:val="both"/>
        <w:rPr>
          <w:rFonts w:ascii="Arial" w:eastAsia="Calibri" w:hAnsi="Arial" w:cs="Arial"/>
          <w:sz w:val="24"/>
          <w:szCs w:val="24"/>
          <w:lang w:val="en-ZA"/>
        </w:rPr>
      </w:pPr>
      <w:r>
        <w:rPr>
          <w:rFonts w:ascii="Arial" w:eastAsia="Calibri" w:hAnsi="Arial" w:cs="Arial"/>
          <w:sz w:val="24"/>
          <w:szCs w:val="24"/>
          <w:lang w:val="en-ZA"/>
        </w:rPr>
        <w:t>‘</w:t>
      </w:r>
      <w:r w:rsidR="00970C7B" w:rsidRPr="00B04248">
        <w:rPr>
          <w:rFonts w:ascii="Arial" w:eastAsia="Calibri" w:hAnsi="Arial" w:cs="Arial"/>
          <w:lang w:val="en-ZA"/>
        </w:rPr>
        <w:t xml:space="preserve">it is trite law that an exception that a cause of action is not disclosed by a pleading cannot succeed unless it can be shown that </w:t>
      </w:r>
      <w:r w:rsidR="00970C7B" w:rsidRPr="00B04248">
        <w:rPr>
          <w:rFonts w:ascii="Arial" w:eastAsia="Calibri" w:hAnsi="Arial" w:cs="Arial"/>
          <w:i/>
          <w:iCs/>
          <w:lang w:val="en-ZA"/>
        </w:rPr>
        <w:t>ex facie</w:t>
      </w:r>
      <w:r w:rsidR="00970C7B" w:rsidRPr="00B04248">
        <w:rPr>
          <w:rFonts w:ascii="Arial" w:eastAsia="Calibri" w:hAnsi="Arial" w:cs="Arial"/>
          <w:lang w:val="en-ZA"/>
        </w:rPr>
        <w:t xml:space="preserve"> the allegations made by the plaintiff and any other document upon which the cause of action may be based, the claim is (not maybe) bad in law …</w:t>
      </w:r>
      <w:r w:rsidRPr="00B04248">
        <w:rPr>
          <w:rFonts w:ascii="Arial" w:eastAsia="Calibri" w:hAnsi="Arial" w:cs="Arial"/>
          <w:lang w:val="en-ZA"/>
        </w:rPr>
        <w:t>’</w:t>
      </w:r>
    </w:p>
    <w:p w14:paraId="320EF83C" w14:textId="77777777" w:rsidR="00B04248" w:rsidRPr="00751B45" w:rsidRDefault="00B04248" w:rsidP="00B04248">
      <w:pPr>
        <w:pStyle w:val="ListParagraph"/>
        <w:spacing w:after="0" w:line="360" w:lineRule="auto"/>
        <w:ind w:left="1440" w:hanging="22"/>
        <w:contextualSpacing w:val="0"/>
        <w:jc w:val="both"/>
        <w:rPr>
          <w:rFonts w:ascii="Arial" w:eastAsia="Calibri" w:hAnsi="Arial" w:cs="Arial"/>
          <w:sz w:val="24"/>
          <w:szCs w:val="24"/>
          <w:lang w:val="en-ZA"/>
        </w:rPr>
      </w:pPr>
    </w:p>
    <w:p w14:paraId="76D2C480" w14:textId="6DD8CB8C" w:rsidR="00422581"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[18]</w:t>
      </w:r>
      <w:r>
        <w:rPr>
          <w:rFonts w:ascii="Arial" w:eastAsia="Calibri" w:hAnsi="Arial" w:cs="Arial"/>
          <w:sz w:val="24"/>
          <w:szCs w:val="24"/>
          <w:lang w:val="en-ZA"/>
        </w:rPr>
        <w:tab/>
      </w:r>
      <w:r w:rsidR="00422581" w:rsidRPr="001A246B">
        <w:rPr>
          <w:rFonts w:ascii="Arial" w:eastAsia="Calibri" w:hAnsi="Arial" w:cs="Arial"/>
          <w:sz w:val="24"/>
          <w:szCs w:val="24"/>
          <w:lang w:val="en-ZA"/>
        </w:rPr>
        <w:t>It is the Plaintiff's submission that the First Defendant's counterclaim is based on alleged damages arising from alleged contraventions of the Competition Act 89 of 1988 as amended by the Competition Act 18 of 2018 (</w:t>
      </w:r>
      <w:r w:rsidR="00B04248" w:rsidRPr="001A246B">
        <w:rPr>
          <w:rFonts w:ascii="Arial" w:eastAsia="Calibri" w:hAnsi="Arial" w:cs="Arial"/>
          <w:sz w:val="24"/>
          <w:szCs w:val="24"/>
          <w:lang w:val="en-ZA"/>
        </w:rPr>
        <w:t>‘</w:t>
      </w:r>
      <w:r w:rsidR="00422581" w:rsidRPr="001A246B">
        <w:rPr>
          <w:rFonts w:ascii="Arial" w:eastAsia="Calibri" w:hAnsi="Arial" w:cs="Arial"/>
          <w:lang w:val="en-ZA"/>
        </w:rPr>
        <w:t>the Act</w:t>
      </w:r>
      <w:r w:rsidR="00B04248" w:rsidRPr="001A246B">
        <w:rPr>
          <w:rFonts w:ascii="Arial" w:eastAsia="Calibri" w:hAnsi="Arial" w:cs="Arial"/>
          <w:lang w:val="en-ZA"/>
        </w:rPr>
        <w:t>’</w:t>
      </w:r>
      <w:r w:rsidR="00422581" w:rsidRPr="001A246B">
        <w:rPr>
          <w:rFonts w:ascii="Arial" w:eastAsia="Calibri" w:hAnsi="Arial" w:cs="Arial"/>
          <w:sz w:val="24"/>
          <w:szCs w:val="24"/>
          <w:lang w:val="en-ZA"/>
        </w:rPr>
        <w:t xml:space="preserve">) by the Plaintiff. </w:t>
      </w:r>
    </w:p>
    <w:p w14:paraId="2E3FAC6A" w14:textId="77777777" w:rsidR="00B04248" w:rsidRPr="00751B45" w:rsidRDefault="00B04248" w:rsidP="00B04248">
      <w:pPr>
        <w:pStyle w:val="ListParagraph"/>
        <w:spacing w:after="0" w:line="360" w:lineRule="auto"/>
        <w:ind w:left="851"/>
        <w:contextualSpacing w:val="0"/>
        <w:jc w:val="both"/>
        <w:rPr>
          <w:rFonts w:ascii="Arial" w:eastAsia="Calibri" w:hAnsi="Arial" w:cs="Arial"/>
          <w:sz w:val="24"/>
          <w:szCs w:val="24"/>
          <w:lang w:val="en-ZA"/>
        </w:rPr>
      </w:pPr>
    </w:p>
    <w:p w14:paraId="67D4E87E" w14:textId="3F935BF6" w:rsidR="00D92041" w:rsidRPr="001A246B" w:rsidRDefault="001A246B" w:rsidP="001A246B">
      <w:pPr>
        <w:spacing w:after="0" w:line="360" w:lineRule="auto"/>
        <w:ind w:left="851" w:hanging="851"/>
        <w:jc w:val="both"/>
        <w:rPr>
          <w:rFonts w:ascii="Arial" w:eastAsia="Calibri" w:hAnsi="Arial" w:cs="Arial"/>
          <w:i/>
          <w:iCs/>
          <w:sz w:val="24"/>
          <w:szCs w:val="24"/>
          <w:lang w:val="en-ZA"/>
        </w:rPr>
      </w:pPr>
      <w:r w:rsidRPr="00751B45">
        <w:rPr>
          <w:rFonts w:ascii="Arial" w:eastAsia="Calibri" w:hAnsi="Arial" w:cs="Arial"/>
          <w:sz w:val="24"/>
          <w:szCs w:val="24"/>
          <w:lang w:val="en-ZA"/>
        </w:rPr>
        <w:t>[19]</w:t>
      </w:r>
      <w:r w:rsidRPr="00751B45">
        <w:rPr>
          <w:rFonts w:ascii="Arial" w:eastAsia="Calibri" w:hAnsi="Arial" w:cs="Arial"/>
          <w:sz w:val="24"/>
          <w:szCs w:val="24"/>
          <w:lang w:val="en-ZA"/>
        </w:rPr>
        <w:tab/>
      </w:r>
      <w:r w:rsidR="00D92041" w:rsidRPr="001A246B">
        <w:rPr>
          <w:rFonts w:ascii="Arial" w:eastAsia="Calibri" w:hAnsi="Arial" w:cs="Arial"/>
          <w:i/>
          <w:iCs/>
          <w:sz w:val="24"/>
          <w:szCs w:val="24"/>
          <w:lang w:val="en-ZA"/>
        </w:rPr>
        <w:t>Section 65(2) of the Act states:</w:t>
      </w:r>
    </w:p>
    <w:p w14:paraId="62FFAB61" w14:textId="18016CBD" w:rsidR="007075DC" w:rsidRPr="00C94AE2" w:rsidRDefault="00C94AE2" w:rsidP="00B04248">
      <w:pPr>
        <w:tabs>
          <w:tab w:val="left" w:pos="2127"/>
        </w:tabs>
        <w:spacing w:after="0" w:line="360" w:lineRule="auto"/>
        <w:ind w:left="2127" w:hanging="687"/>
        <w:jc w:val="both"/>
        <w:rPr>
          <w:rFonts w:ascii="Arial" w:eastAsia="Calibri" w:hAnsi="Arial" w:cs="Arial"/>
          <w:iCs/>
          <w:lang w:val="en-ZA"/>
        </w:rPr>
      </w:pPr>
      <w:r w:rsidRPr="00C94AE2">
        <w:rPr>
          <w:rFonts w:ascii="Arial" w:eastAsia="Calibri" w:hAnsi="Arial" w:cs="Arial"/>
          <w:iCs/>
          <w:lang w:val="en-ZA"/>
        </w:rPr>
        <w:t>‘</w:t>
      </w:r>
      <w:r w:rsidR="00D92041" w:rsidRPr="00C94AE2">
        <w:rPr>
          <w:rFonts w:ascii="Arial" w:eastAsia="Calibri" w:hAnsi="Arial" w:cs="Arial"/>
          <w:iCs/>
          <w:lang w:val="en-ZA"/>
        </w:rPr>
        <w:t xml:space="preserve">(2) </w:t>
      </w:r>
      <w:r w:rsidR="00B04248" w:rsidRPr="00C94AE2">
        <w:rPr>
          <w:rFonts w:ascii="Arial" w:eastAsia="Calibri" w:hAnsi="Arial" w:cs="Arial"/>
          <w:iCs/>
          <w:lang w:val="en-ZA"/>
        </w:rPr>
        <w:tab/>
      </w:r>
      <w:r w:rsidR="00D92041" w:rsidRPr="00C94AE2">
        <w:rPr>
          <w:rFonts w:ascii="Arial" w:eastAsia="Calibri" w:hAnsi="Arial" w:cs="Arial"/>
          <w:iCs/>
          <w:lang w:val="en-ZA"/>
        </w:rPr>
        <w:t>If, in any action in a civil court, a party raises an issue concerning conduct that is prohibited in terms of this Act, that court must not consider that issue on its merits, and-</w:t>
      </w:r>
    </w:p>
    <w:p w14:paraId="0A814C9F" w14:textId="77777777" w:rsidR="00C94AE2" w:rsidRPr="00C94AE2" w:rsidRDefault="00D92041" w:rsidP="00C94AE2">
      <w:pPr>
        <w:spacing w:after="0" w:line="360" w:lineRule="auto"/>
        <w:ind w:left="2877" w:hanging="750"/>
        <w:jc w:val="both"/>
        <w:rPr>
          <w:rFonts w:ascii="Arial" w:eastAsia="Calibri" w:hAnsi="Arial" w:cs="Arial"/>
          <w:iCs/>
          <w:lang w:val="en-ZA"/>
        </w:rPr>
      </w:pPr>
      <w:r w:rsidRPr="00C94AE2">
        <w:rPr>
          <w:rFonts w:ascii="Arial" w:eastAsia="Calibri" w:hAnsi="Arial" w:cs="Arial"/>
          <w:iCs/>
          <w:lang w:val="en-ZA"/>
        </w:rPr>
        <w:lastRenderedPageBreak/>
        <w:t>(a)</w:t>
      </w:r>
      <w:r w:rsidR="007075DC" w:rsidRPr="00C94AE2">
        <w:rPr>
          <w:rFonts w:ascii="Arial" w:eastAsia="Calibri" w:hAnsi="Arial" w:cs="Arial"/>
          <w:iCs/>
          <w:lang w:val="en-ZA"/>
        </w:rPr>
        <w:tab/>
      </w:r>
      <w:r w:rsidRPr="00C94AE2">
        <w:rPr>
          <w:rFonts w:ascii="Arial" w:eastAsia="Calibri" w:hAnsi="Arial" w:cs="Arial"/>
          <w:iCs/>
          <w:lang w:val="en-ZA"/>
        </w:rPr>
        <w:t>if the issue raised is one in respect of which the Competition Tribunal or Competition Appeal Court has made an order, the court must apply the determination of the Tribunal or the Competition Appeal Court to the issue; or</w:t>
      </w:r>
    </w:p>
    <w:p w14:paraId="6ADF0256" w14:textId="0D7CDEF0" w:rsidR="007075DC" w:rsidRPr="00C94AE2" w:rsidRDefault="00D92041" w:rsidP="00C94AE2">
      <w:pPr>
        <w:spacing w:after="0" w:line="360" w:lineRule="auto"/>
        <w:ind w:left="2877" w:hanging="750"/>
        <w:jc w:val="both"/>
        <w:rPr>
          <w:rFonts w:ascii="Arial" w:eastAsia="Calibri" w:hAnsi="Arial" w:cs="Arial"/>
          <w:iCs/>
          <w:lang w:val="en-ZA"/>
        </w:rPr>
      </w:pPr>
      <w:r w:rsidRPr="00C94AE2">
        <w:rPr>
          <w:rFonts w:ascii="Arial" w:eastAsia="Calibri" w:hAnsi="Arial" w:cs="Arial"/>
          <w:iCs/>
          <w:lang w:val="en-ZA"/>
        </w:rPr>
        <w:t xml:space="preserve">(b) </w:t>
      </w:r>
      <w:r w:rsidR="007075DC" w:rsidRPr="00C94AE2">
        <w:rPr>
          <w:rFonts w:ascii="Arial" w:eastAsia="Calibri" w:hAnsi="Arial" w:cs="Arial"/>
          <w:iCs/>
          <w:lang w:val="en-ZA"/>
        </w:rPr>
        <w:tab/>
      </w:r>
      <w:r w:rsidRPr="00C94AE2">
        <w:rPr>
          <w:rFonts w:ascii="Arial" w:eastAsia="Calibri" w:hAnsi="Arial" w:cs="Arial"/>
          <w:iCs/>
          <w:lang w:val="en-ZA"/>
        </w:rPr>
        <w:t>otherwise, the court must refer that issue to the Tribunal to be considered on its merits, if the court is satisfied that-</w:t>
      </w:r>
    </w:p>
    <w:p w14:paraId="5C758AB1" w14:textId="77777777" w:rsidR="007075DC" w:rsidRPr="00C94AE2" w:rsidRDefault="00D92041" w:rsidP="00C94AE2">
      <w:pPr>
        <w:spacing w:after="0" w:line="360" w:lineRule="auto"/>
        <w:ind w:left="3597" w:hanging="750"/>
        <w:jc w:val="both"/>
        <w:rPr>
          <w:rFonts w:ascii="Arial" w:eastAsia="Calibri" w:hAnsi="Arial" w:cs="Arial"/>
          <w:iCs/>
          <w:lang w:val="en-ZA"/>
        </w:rPr>
      </w:pPr>
      <w:r w:rsidRPr="00C94AE2">
        <w:rPr>
          <w:rFonts w:ascii="Arial" w:eastAsia="Calibri" w:hAnsi="Arial" w:cs="Arial"/>
          <w:iCs/>
          <w:lang w:val="en-ZA"/>
        </w:rPr>
        <w:t xml:space="preserve">(i) </w:t>
      </w:r>
      <w:r w:rsidR="007075DC" w:rsidRPr="00C94AE2">
        <w:rPr>
          <w:rFonts w:ascii="Arial" w:eastAsia="Calibri" w:hAnsi="Arial" w:cs="Arial"/>
          <w:iCs/>
          <w:lang w:val="en-ZA"/>
        </w:rPr>
        <w:tab/>
      </w:r>
      <w:r w:rsidRPr="00C94AE2">
        <w:rPr>
          <w:rFonts w:ascii="Arial" w:eastAsia="Calibri" w:hAnsi="Arial" w:cs="Arial"/>
          <w:iCs/>
          <w:lang w:val="en-ZA"/>
        </w:rPr>
        <w:t>the issue has not been raised in a frivolous or vexatious manner; an</w:t>
      </w:r>
      <w:r w:rsidR="007075DC" w:rsidRPr="00C94AE2">
        <w:rPr>
          <w:rFonts w:ascii="Arial" w:eastAsia="Calibri" w:hAnsi="Arial" w:cs="Arial"/>
          <w:iCs/>
          <w:lang w:val="en-ZA"/>
        </w:rPr>
        <w:t>d</w:t>
      </w:r>
    </w:p>
    <w:p w14:paraId="69916E6F" w14:textId="3F6763AD" w:rsidR="00D92041" w:rsidRDefault="00D92041" w:rsidP="00C94AE2">
      <w:pPr>
        <w:spacing w:after="0" w:line="360" w:lineRule="auto"/>
        <w:ind w:left="3597" w:hanging="750"/>
        <w:jc w:val="both"/>
        <w:rPr>
          <w:rFonts w:ascii="Arial" w:eastAsia="Calibri" w:hAnsi="Arial" w:cs="Arial"/>
          <w:iCs/>
          <w:sz w:val="24"/>
          <w:szCs w:val="24"/>
          <w:lang w:val="en-ZA"/>
        </w:rPr>
      </w:pPr>
      <w:r w:rsidRPr="00C94AE2">
        <w:rPr>
          <w:rFonts w:ascii="Arial" w:eastAsia="Calibri" w:hAnsi="Arial" w:cs="Arial"/>
          <w:iCs/>
          <w:lang w:val="en-ZA"/>
        </w:rPr>
        <w:t xml:space="preserve">(ii) </w:t>
      </w:r>
      <w:r w:rsidR="007075DC" w:rsidRPr="00C94AE2">
        <w:rPr>
          <w:rFonts w:ascii="Arial" w:eastAsia="Calibri" w:hAnsi="Arial" w:cs="Arial"/>
          <w:iCs/>
          <w:lang w:val="en-ZA"/>
        </w:rPr>
        <w:tab/>
      </w:r>
      <w:r w:rsidRPr="00C94AE2">
        <w:rPr>
          <w:rFonts w:ascii="Arial" w:eastAsia="Calibri" w:hAnsi="Arial" w:cs="Arial"/>
          <w:iCs/>
          <w:lang w:val="en-ZA"/>
        </w:rPr>
        <w:t>the resolution of that issue is required to determine the final outcome of the action</w:t>
      </w:r>
      <w:r w:rsidRPr="00C94AE2">
        <w:rPr>
          <w:rFonts w:ascii="Arial" w:eastAsia="Calibri" w:hAnsi="Arial" w:cs="Arial"/>
          <w:iCs/>
          <w:sz w:val="24"/>
          <w:szCs w:val="24"/>
          <w:lang w:val="en-ZA"/>
        </w:rPr>
        <w:t>.</w:t>
      </w:r>
      <w:r w:rsidR="00C94AE2">
        <w:rPr>
          <w:rFonts w:ascii="Arial" w:eastAsia="Calibri" w:hAnsi="Arial" w:cs="Arial"/>
          <w:iCs/>
          <w:sz w:val="24"/>
          <w:szCs w:val="24"/>
          <w:lang w:val="en-ZA"/>
        </w:rPr>
        <w:t>’</w:t>
      </w:r>
    </w:p>
    <w:p w14:paraId="4BE60E41" w14:textId="77777777" w:rsidR="00C94AE2" w:rsidRPr="00751B45" w:rsidRDefault="00C94AE2" w:rsidP="00C94AE2">
      <w:pPr>
        <w:spacing w:after="0" w:line="360" w:lineRule="auto"/>
        <w:ind w:left="3597" w:hanging="750"/>
        <w:jc w:val="both"/>
        <w:rPr>
          <w:rFonts w:ascii="Arial" w:eastAsia="Calibri" w:hAnsi="Arial" w:cs="Arial"/>
          <w:i/>
          <w:iCs/>
          <w:sz w:val="24"/>
          <w:szCs w:val="24"/>
          <w:lang w:val="en-ZA"/>
        </w:rPr>
      </w:pPr>
    </w:p>
    <w:p w14:paraId="77085B06" w14:textId="0FCA03E6" w:rsidR="007075DC" w:rsidRPr="001A246B" w:rsidRDefault="001A246B" w:rsidP="001A246B">
      <w:pPr>
        <w:spacing w:after="0" w:line="360" w:lineRule="auto"/>
        <w:ind w:left="851" w:hanging="851"/>
        <w:jc w:val="both"/>
        <w:rPr>
          <w:rFonts w:ascii="Arial" w:eastAsia="Calibri" w:hAnsi="Arial" w:cs="Arial"/>
          <w:sz w:val="24"/>
          <w:szCs w:val="24"/>
          <w:lang w:val="en-ZA"/>
        </w:rPr>
      </w:pPr>
      <w:r w:rsidRPr="00751B45">
        <w:rPr>
          <w:rFonts w:ascii="Arial" w:eastAsia="Calibri" w:hAnsi="Arial" w:cs="Arial"/>
          <w:sz w:val="24"/>
          <w:szCs w:val="24"/>
          <w:lang w:val="en-ZA"/>
        </w:rPr>
        <w:t>[20]</w:t>
      </w:r>
      <w:r w:rsidRPr="00751B45">
        <w:rPr>
          <w:rFonts w:ascii="Arial" w:eastAsia="Calibri" w:hAnsi="Arial" w:cs="Arial"/>
          <w:sz w:val="24"/>
          <w:szCs w:val="24"/>
          <w:lang w:val="en-ZA"/>
        </w:rPr>
        <w:tab/>
      </w:r>
      <w:r w:rsidR="007075DC" w:rsidRPr="001A246B">
        <w:rPr>
          <w:rFonts w:ascii="Arial" w:eastAsia="Calibri" w:hAnsi="Arial" w:cs="Arial"/>
          <w:sz w:val="24"/>
          <w:szCs w:val="24"/>
          <w:lang w:val="en-ZA"/>
        </w:rPr>
        <w:t>The relevant provision in the Act is section 65(6) states:</w:t>
      </w:r>
    </w:p>
    <w:p w14:paraId="1698FA41" w14:textId="4838DF24" w:rsidR="007075DC" w:rsidRPr="00C94AE2" w:rsidRDefault="00C94AE2" w:rsidP="00C94AE2">
      <w:pPr>
        <w:spacing w:after="0" w:line="360" w:lineRule="auto"/>
        <w:ind w:left="2160" w:hanging="720"/>
        <w:jc w:val="both"/>
        <w:rPr>
          <w:rFonts w:ascii="Arial" w:eastAsia="Calibri" w:hAnsi="Arial" w:cs="Arial"/>
          <w:iCs/>
          <w:lang w:val="en-ZA"/>
        </w:rPr>
      </w:pPr>
      <w:r w:rsidRPr="00C94AE2">
        <w:rPr>
          <w:rFonts w:ascii="Arial" w:eastAsia="Calibri" w:hAnsi="Arial" w:cs="Arial"/>
          <w:iCs/>
          <w:lang w:val="en-ZA"/>
        </w:rPr>
        <w:t>‘</w:t>
      </w:r>
      <w:r w:rsidR="007075DC" w:rsidRPr="00C94AE2">
        <w:rPr>
          <w:rFonts w:ascii="Arial" w:eastAsia="Calibri" w:hAnsi="Arial" w:cs="Arial"/>
          <w:iCs/>
          <w:lang w:val="en-ZA"/>
        </w:rPr>
        <w:t xml:space="preserve">(6) </w:t>
      </w:r>
      <w:r w:rsidRPr="00C94AE2">
        <w:rPr>
          <w:rFonts w:ascii="Arial" w:eastAsia="Calibri" w:hAnsi="Arial" w:cs="Arial"/>
          <w:iCs/>
          <w:lang w:val="en-ZA"/>
        </w:rPr>
        <w:tab/>
      </w:r>
      <w:r w:rsidR="007075DC" w:rsidRPr="00C94AE2">
        <w:rPr>
          <w:rFonts w:ascii="Arial" w:eastAsia="Calibri" w:hAnsi="Arial" w:cs="Arial"/>
          <w:iCs/>
          <w:lang w:val="en-ZA"/>
        </w:rPr>
        <w:t>A person who has suffered loss or damage as a result of a prohibited practice-</w:t>
      </w:r>
    </w:p>
    <w:p w14:paraId="03A4D4F3" w14:textId="0810DCAD" w:rsidR="00C94AE2" w:rsidRPr="001A246B" w:rsidRDefault="001A246B" w:rsidP="001A246B">
      <w:pPr>
        <w:tabs>
          <w:tab w:val="left" w:pos="2127"/>
        </w:tabs>
        <w:spacing w:after="0" w:line="360" w:lineRule="auto"/>
        <w:ind w:left="2694" w:hanging="567"/>
        <w:jc w:val="both"/>
        <w:rPr>
          <w:rFonts w:ascii="Arial" w:eastAsia="Calibri" w:hAnsi="Arial" w:cs="Arial"/>
          <w:iCs/>
          <w:lang w:val="en-ZA"/>
        </w:rPr>
      </w:pPr>
      <w:r w:rsidRPr="00C94AE2">
        <w:rPr>
          <w:rFonts w:ascii="Arial" w:eastAsia="Calibri" w:hAnsi="Arial" w:cs="Arial"/>
          <w:iCs/>
          <w:lang w:val="en-ZA"/>
        </w:rPr>
        <w:t>(a)</w:t>
      </w:r>
      <w:r w:rsidRPr="00C94AE2">
        <w:rPr>
          <w:rFonts w:ascii="Arial" w:eastAsia="Calibri" w:hAnsi="Arial" w:cs="Arial"/>
          <w:iCs/>
          <w:lang w:val="en-ZA"/>
        </w:rPr>
        <w:tab/>
      </w:r>
      <w:r w:rsidR="007075DC" w:rsidRPr="001A246B">
        <w:rPr>
          <w:rFonts w:ascii="Arial" w:eastAsia="Calibri" w:hAnsi="Arial" w:cs="Arial"/>
          <w:iCs/>
          <w:lang w:val="en-ZA"/>
        </w:rPr>
        <w:t>may not commence an action in a civil court for the assessment of the amount or awarding of damages if that person has been awarded damages in a consent order confirmed in terms of section 63(1); or</w:t>
      </w:r>
    </w:p>
    <w:p w14:paraId="7F1573B5" w14:textId="3975634D" w:rsidR="007075DC" w:rsidRPr="001A246B" w:rsidRDefault="001A246B" w:rsidP="001A246B">
      <w:pPr>
        <w:tabs>
          <w:tab w:val="left" w:pos="2127"/>
        </w:tabs>
        <w:spacing w:after="0" w:line="360" w:lineRule="auto"/>
        <w:ind w:left="2694" w:hanging="567"/>
        <w:jc w:val="both"/>
        <w:rPr>
          <w:rFonts w:ascii="Arial" w:eastAsia="Calibri" w:hAnsi="Arial" w:cs="Arial"/>
          <w:iCs/>
          <w:lang w:val="en-ZA"/>
        </w:rPr>
      </w:pPr>
      <w:r w:rsidRPr="00C94AE2">
        <w:rPr>
          <w:rFonts w:ascii="Arial" w:eastAsia="Calibri" w:hAnsi="Arial" w:cs="Arial"/>
          <w:iCs/>
          <w:lang w:val="en-ZA"/>
        </w:rPr>
        <w:t>(b)</w:t>
      </w:r>
      <w:r w:rsidRPr="00C94AE2">
        <w:rPr>
          <w:rFonts w:ascii="Arial" w:eastAsia="Calibri" w:hAnsi="Arial" w:cs="Arial"/>
          <w:iCs/>
          <w:lang w:val="en-ZA"/>
        </w:rPr>
        <w:tab/>
      </w:r>
      <w:r w:rsidR="007075DC" w:rsidRPr="001A246B">
        <w:rPr>
          <w:rFonts w:ascii="Arial" w:eastAsia="Calibri" w:hAnsi="Arial" w:cs="Arial"/>
          <w:iCs/>
          <w:lang w:val="en-ZA"/>
        </w:rPr>
        <w:t>if entitled to commence an action referred to in paragraph (a), when instituting proceedings, must file with the Registrar or Clerk of the Court a notice from the Chairperson of the Competition Tribunal, or from the Judge President of the Competition Appeal Court, in the prescribed form-</w:t>
      </w:r>
    </w:p>
    <w:p w14:paraId="1355D88A" w14:textId="60321EE0" w:rsidR="00C94AE2" w:rsidRPr="001A246B" w:rsidRDefault="001A246B" w:rsidP="001A246B">
      <w:pPr>
        <w:tabs>
          <w:tab w:val="left" w:pos="2694"/>
          <w:tab w:val="left" w:pos="3261"/>
        </w:tabs>
        <w:spacing w:after="0" w:line="360" w:lineRule="auto"/>
        <w:ind w:left="3261" w:hanging="567"/>
        <w:jc w:val="both"/>
        <w:rPr>
          <w:rFonts w:ascii="Arial" w:eastAsia="Calibri" w:hAnsi="Arial" w:cs="Arial"/>
          <w:iCs/>
          <w:lang w:val="en-ZA"/>
        </w:rPr>
      </w:pPr>
      <w:r w:rsidRPr="00C94AE2">
        <w:rPr>
          <w:rFonts w:ascii="Arial" w:eastAsia="Calibri" w:hAnsi="Arial" w:cs="Arial"/>
          <w:iCs/>
          <w:lang w:val="en-ZA"/>
        </w:rPr>
        <w:t>(i)</w:t>
      </w:r>
      <w:r w:rsidRPr="00C94AE2">
        <w:rPr>
          <w:rFonts w:ascii="Arial" w:eastAsia="Calibri" w:hAnsi="Arial" w:cs="Arial"/>
          <w:iCs/>
          <w:lang w:val="en-ZA"/>
        </w:rPr>
        <w:tab/>
      </w:r>
      <w:r w:rsidR="007075DC" w:rsidRPr="001A246B">
        <w:rPr>
          <w:rFonts w:ascii="Arial" w:eastAsia="Calibri" w:hAnsi="Arial" w:cs="Arial"/>
          <w:iCs/>
          <w:lang w:val="en-ZA"/>
        </w:rPr>
        <w:t>certifying that the conduct constituting the basis for the action has been found to be a prohibited practice in terms of this Act;</w:t>
      </w:r>
    </w:p>
    <w:p w14:paraId="331025AC" w14:textId="0737EAED" w:rsidR="00C94AE2" w:rsidRPr="001A246B" w:rsidRDefault="001A246B" w:rsidP="001A246B">
      <w:pPr>
        <w:tabs>
          <w:tab w:val="left" w:pos="2694"/>
          <w:tab w:val="left" w:pos="3261"/>
        </w:tabs>
        <w:spacing w:after="0" w:line="360" w:lineRule="auto"/>
        <w:ind w:left="3261" w:hanging="567"/>
        <w:jc w:val="both"/>
        <w:rPr>
          <w:rFonts w:ascii="Arial" w:eastAsia="Calibri" w:hAnsi="Arial" w:cs="Arial"/>
          <w:iCs/>
          <w:lang w:val="en-ZA"/>
        </w:rPr>
      </w:pPr>
      <w:r w:rsidRPr="00C94AE2">
        <w:rPr>
          <w:rFonts w:ascii="Arial" w:eastAsia="Calibri" w:hAnsi="Arial" w:cs="Arial"/>
          <w:iCs/>
          <w:lang w:val="en-ZA"/>
        </w:rPr>
        <w:t>(ii)</w:t>
      </w:r>
      <w:r w:rsidRPr="00C94AE2">
        <w:rPr>
          <w:rFonts w:ascii="Arial" w:eastAsia="Calibri" w:hAnsi="Arial" w:cs="Arial"/>
          <w:iCs/>
          <w:lang w:val="en-ZA"/>
        </w:rPr>
        <w:tab/>
      </w:r>
      <w:r w:rsidR="007075DC" w:rsidRPr="001A246B">
        <w:rPr>
          <w:rFonts w:ascii="Arial" w:eastAsia="Calibri" w:hAnsi="Arial" w:cs="Arial"/>
          <w:iCs/>
          <w:lang w:val="en-ZA"/>
        </w:rPr>
        <w:t>stating the date of the Tribunal or Competition Appeal Court finding; and</w:t>
      </w:r>
    </w:p>
    <w:p w14:paraId="27EAD55F" w14:textId="72C13420" w:rsidR="007075DC" w:rsidRPr="001A246B" w:rsidRDefault="001A246B" w:rsidP="001A246B">
      <w:pPr>
        <w:tabs>
          <w:tab w:val="left" w:pos="2694"/>
          <w:tab w:val="left" w:pos="3261"/>
        </w:tabs>
        <w:spacing w:after="0" w:line="360" w:lineRule="auto"/>
        <w:ind w:left="3261" w:hanging="567"/>
        <w:jc w:val="both"/>
        <w:rPr>
          <w:rFonts w:ascii="Arial" w:eastAsia="Calibri" w:hAnsi="Arial" w:cs="Arial"/>
          <w:iCs/>
          <w:lang w:val="en-ZA"/>
        </w:rPr>
      </w:pPr>
      <w:r w:rsidRPr="00C94AE2">
        <w:rPr>
          <w:rFonts w:ascii="Arial" w:eastAsia="Calibri" w:hAnsi="Arial" w:cs="Arial"/>
          <w:iCs/>
          <w:lang w:val="en-ZA"/>
        </w:rPr>
        <w:t>(iii)</w:t>
      </w:r>
      <w:r w:rsidRPr="00C94AE2">
        <w:rPr>
          <w:rFonts w:ascii="Arial" w:eastAsia="Calibri" w:hAnsi="Arial" w:cs="Arial"/>
          <w:iCs/>
          <w:lang w:val="en-ZA"/>
        </w:rPr>
        <w:tab/>
      </w:r>
      <w:r w:rsidR="007075DC" w:rsidRPr="001A246B">
        <w:rPr>
          <w:rFonts w:ascii="Arial" w:eastAsia="Calibri" w:hAnsi="Arial" w:cs="Arial"/>
          <w:iCs/>
          <w:lang w:val="en-ZA"/>
        </w:rPr>
        <w:t>setting out the section of this Act in terms of which the Tribunal or the Competition Appeal Court made its finding.</w:t>
      </w:r>
      <w:r w:rsidR="00C94AE2" w:rsidRPr="001A246B">
        <w:rPr>
          <w:rFonts w:ascii="Arial" w:eastAsia="Calibri" w:hAnsi="Arial" w:cs="Arial"/>
          <w:iCs/>
          <w:lang w:val="en-ZA"/>
        </w:rPr>
        <w:t>’</w:t>
      </w:r>
    </w:p>
    <w:p w14:paraId="521BCC1C" w14:textId="77777777" w:rsidR="00C94AE2" w:rsidRPr="00C94AE2" w:rsidRDefault="00C94AE2" w:rsidP="00C94AE2">
      <w:pPr>
        <w:pStyle w:val="ListParagraph"/>
        <w:tabs>
          <w:tab w:val="left" w:pos="2694"/>
          <w:tab w:val="left" w:pos="3261"/>
        </w:tabs>
        <w:spacing w:after="0" w:line="360" w:lineRule="auto"/>
        <w:ind w:left="3261"/>
        <w:jc w:val="both"/>
        <w:rPr>
          <w:rFonts w:ascii="Arial" w:eastAsia="Calibri" w:hAnsi="Arial" w:cs="Arial"/>
          <w:iCs/>
          <w:sz w:val="24"/>
          <w:szCs w:val="24"/>
          <w:lang w:val="en-ZA"/>
        </w:rPr>
      </w:pPr>
    </w:p>
    <w:p w14:paraId="6556BB7F" w14:textId="473098E3" w:rsidR="00876703"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[21]</w:t>
      </w:r>
      <w:r>
        <w:rPr>
          <w:rFonts w:ascii="Arial" w:eastAsia="Calibri" w:hAnsi="Arial" w:cs="Arial"/>
          <w:sz w:val="24"/>
          <w:szCs w:val="24"/>
          <w:lang w:val="en-ZA"/>
        </w:rPr>
        <w:tab/>
      </w:r>
      <w:r w:rsidR="00876703" w:rsidRPr="001A246B">
        <w:rPr>
          <w:rFonts w:ascii="Arial" w:eastAsia="Calibri" w:hAnsi="Arial" w:cs="Arial"/>
          <w:sz w:val="24"/>
          <w:szCs w:val="24"/>
          <w:lang w:val="en-ZA"/>
        </w:rPr>
        <w:t xml:space="preserve">The First Defendant’s counterclaim </w:t>
      </w:r>
      <w:r w:rsidR="003E05EC" w:rsidRPr="001A246B">
        <w:rPr>
          <w:rFonts w:ascii="Arial" w:eastAsia="Calibri" w:hAnsi="Arial" w:cs="Arial"/>
          <w:sz w:val="24"/>
          <w:szCs w:val="24"/>
          <w:lang w:val="en-ZA"/>
        </w:rPr>
        <w:t>(which was signed 20</w:t>
      </w:r>
      <w:r w:rsidR="00C94AE2" w:rsidRPr="001A246B">
        <w:rPr>
          <w:rFonts w:ascii="Arial" w:eastAsia="Calibri" w:hAnsi="Arial" w:cs="Arial"/>
          <w:sz w:val="24"/>
          <w:szCs w:val="24"/>
          <w:vertAlign w:val="superscript"/>
          <w:lang w:val="en-ZA"/>
        </w:rPr>
        <w:t>th</w:t>
      </w:r>
      <w:r w:rsidR="00C94AE2" w:rsidRPr="001A246B">
        <w:rPr>
          <w:rFonts w:ascii="Arial" w:eastAsia="Calibri" w:hAnsi="Arial" w:cs="Arial"/>
          <w:sz w:val="24"/>
          <w:szCs w:val="24"/>
          <w:lang w:val="en-ZA"/>
        </w:rPr>
        <w:t xml:space="preserve"> </w:t>
      </w:r>
      <w:r w:rsidR="003E05EC" w:rsidRPr="001A246B">
        <w:rPr>
          <w:rFonts w:ascii="Arial" w:eastAsia="Calibri" w:hAnsi="Arial" w:cs="Arial"/>
          <w:sz w:val="24"/>
          <w:szCs w:val="24"/>
          <w:lang w:val="en-ZA"/>
        </w:rPr>
        <w:t xml:space="preserve">May 2022) </w:t>
      </w:r>
      <w:r w:rsidR="00876703" w:rsidRPr="001A246B">
        <w:rPr>
          <w:rFonts w:ascii="Arial" w:eastAsia="Calibri" w:hAnsi="Arial" w:cs="Arial"/>
          <w:sz w:val="24"/>
          <w:szCs w:val="24"/>
          <w:lang w:val="en-ZA"/>
        </w:rPr>
        <w:t>is reliant on its complaint against the Plaintiff which alleges that the First Defendant suffered damages in the amount of R9</w:t>
      </w:r>
      <w:r w:rsidR="00C94AE2" w:rsidRPr="001A246B">
        <w:rPr>
          <w:rFonts w:ascii="Arial" w:eastAsia="Calibri" w:hAnsi="Arial" w:cs="Arial"/>
          <w:sz w:val="24"/>
          <w:szCs w:val="24"/>
          <w:lang w:val="en-ZA"/>
        </w:rPr>
        <w:t> </w:t>
      </w:r>
      <w:r w:rsidR="00876703" w:rsidRPr="001A246B">
        <w:rPr>
          <w:rFonts w:ascii="Arial" w:eastAsia="Calibri" w:hAnsi="Arial" w:cs="Arial"/>
          <w:sz w:val="24"/>
          <w:szCs w:val="24"/>
          <w:lang w:val="en-ZA"/>
        </w:rPr>
        <w:t>000</w:t>
      </w:r>
      <w:r w:rsidR="00C94AE2" w:rsidRPr="001A246B">
        <w:rPr>
          <w:rFonts w:ascii="Arial" w:eastAsia="Calibri" w:hAnsi="Arial" w:cs="Arial"/>
          <w:sz w:val="24"/>
          <w:szCs w:val="24"/>
          <w:lang w:val="en-ZA"/>
        </w:rPr>
        <w:t xml:space="preserve"> </w:t>
      </w:r>
      <w:r w:rsidR="00876703" w:rsidRPr="001A246B">
        <w:rPr>
          <w:rFonts w:ascii="Arial" w:eastAsia="Calibri" w:hAnsi="Arial" w:cs="Arial"/>
          <w:sz w:val="24"/>
          <w:szCs w:val="24"/>
          <w:lang w:val="en-ZA"/>
        </w:rPr>
        <w:t xml:space="preserve">000.00 which it pleads in the counterclaim arose from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practice </w:t>
      </w:r>
      <w:r w:rsidR="00876703" w:rsidRPr="001A246B">
        <w:rPr>
          <w:rFonts w:ascii="Arial" w:eastAsia="Calibri" w:hAnsi="Arial" w:cs="Arial"/>
          <w:sz w:val="24"/>
          <w:szCs w:val="24"/>
          <w:lang w:val="en-ZA"/>
        </w:rPr>
        <w:t xml:space="preserve">and which complaint has </w:t>
      </w:r>
      <w:r w:rsidR="00C94AE2" w:rsidRPr="001A246B">
        <w:rPr>
          <w:rFonts w:ascii="Arial" w:eastAsia="Calibri" w:hAnsi="Arial" w:cs="Arial"/>
          <w:sz w:val="24"/>
          <w:szCs w:val="24"/>
          <w:lang w:val="en-ZA"/>
        </w:rPr>
        <w:t>‘</w:t>
      </w:r>
      <w:r w:rsidR="00876703" w:rsidRPr="001A246B">
        <w:rPr>
          <w:rFonts w:ascii="Arial" w:eastAsia="Calibri" w:hAnsi="Arial" w:cs="Arial"/>
          <w:lang w:val="en-ZA"/>
        </w:rPr>
        <w:t xml:space="preserve">been </w:t>
      </w:r>
      <w:r w:rsidR="00876703" w:rsidRPr="001A246B">
        <w:rPr>
          <w:rFonts w:ascii="Arial" w:eastAsia="Calibri" w:hAnsi="Arial" w:cs="Arial"/>
          <w:lang w:val="en-ZA"/>
        </w:rPr>
        <w:lastRenderedPageBreak/>
        <w:t>upheld</w:t>
      </w:r>
      <w:r w:rsidR="00C94AE2" w:rsidRPr="001A246B">
        <w:rPr>
          <w:rFonts w:ascii="Arial" w:eastAsia="Calibri" w:hAnsi="Arial" w:cs="Arial"/>
          <w:sz w:val="24"/>
          <w:szCs w:val="24"/>
          <w:lang w:val="en-ZA"/>
        </w:rPr>
        <w:t>’</w:t>
      </w:r>
      <w:r w:rsidR="00876703" w:rsidRPr="001A246B">
        <w:rPr>
          <w:rFonts w:ascii="Arial" w:eastAsia="Calibri" w:hAnsi="Arial" w:cs="Arial"/>
          <w:sz w:val="24"/>
          <w:szCs w:val="24"/>
          <w:lang w:val="en-ZA"/>
        </w:rPr>
        <w:t xml:space="preserve"> by the Competition Commission and has been </w:t>
      </w:r>
      <w:r w:rsidR="00C94AE2" w:rsidRPr="001A246B">
        <w:rPr>
          <w:rFonts w:ascii="Arial" w:eastAsia="Calibri" w:hAnsi="Arial" w:cs="Arial"/>
          <w:sz w:val="24"/>
          <w:szCs w:val="24"/>
          <w:lang w:val="en-ZA"/>
        </w:rPr>
        <w:t>‘</w:t>
      </w:r>
      <w:r w:rsidR="00876703" w:rsidRPr="001A246B">
        <w:rPr>
          <w:rFonts w:ascii="Arial" w:eastAsia="Calibri" w:hAnsi="Arial" w:cs="Arial"/>
          <w:lang w:val="en-ZA"/>
        </w:rPr>
        <w:t>referred</w:t>
      </w:r>
      <w:r w:rsidR="00C94AE2" w:rsidRPr="001A246B">
        <w:rPr>
          <w:rFonts w:ascii="Arial" w:eastAsia="Calibri" w:hAnsi="Arial" w:cs="Arial"/>
          <w:sz w:val="24"/>
          <w:szCs w:val="24"/>
          <w:lang w:val="en-ZA"/>
        </w:rPr>
        <w:t>’</w:t>
      </w:r>
      <w:r w:rsidR="00876703" w:rsidRPr="001A246B">
        <w:rPr>
          <w:rFonts w:ascii="Arial" w:eastAsia="Calibri" w:hAnsi="Arial" w:cs="Arial"/>
          <w:sz w:val="24"/>
          <w:szCs w:val="24"/>
          <w:lang w:val="en-ZA"/>
        </w:rPr>
        <w:t xml:space="preserve"> to the Competition Tribunal in terms of the Act.</w:t>
      </w:r>
    </w:p>
    <w:p w14:paraId="5C0FB217" w14:textId="77777777" w:rsidR="00C94AE2" w:rsidRPr="00751B45" w:rsidRDefault="00C94AE2" w:rsidP="00C94AE2">
      <w:pPr>
        <w:pStyle w:val="ListParagraph"/>
        <w:spacing w:after="0" w:line="360" w:lineRule="auto"/>
        <w:ind w:left="851"/>
        <w:contextualSpacing w:val="0"/>
        <w:jc w:val="both"/>
        <w:rPr>
          <w:rFonts w:ascii="Arial" w:eastAsia="Calibri" w:hAnsi="Arial" w:cs="Arial"/>
          <w:sz w:val="24"/>
          <w:szCs w:val="24"/>
          <w:lang w:val="en-ZA"/>
        </w:rPr>
      </w:pPr>
    </w:p>
    <w:p w14:paraId="6B60F527" w14:textId="2DA25B8C" w:rsidR="00876703"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[22]</w:t>
      </w:r>
      <w:r>
        <w:rPr>
          <w:rFonts w:ascii="Arial" w:eastAsia="Calibri" w:hAnsi="Arial" w:cs="Arial"/>
          <w:sz w:val="24"/>
          <w:szCs w:val="24"/>
          <w:lang w:val="en-ZA"/>
        </w:rPr>
        <w:tab/>
      </w:r>
      <w:r w:rsidR="00876703" w:rsidRPr="001A246B">
        <w:rPr>
          <w:rFonts w:ascii="Arial" w:eastAsia="Calibri" w:hAnsi="Arial" w:cs="Arial"/>
          <w:sz w:val="24"/>
          <w:szCs w:val="24"/>
          <w:lang w:val="en-ZA"/>
        </w:rPr>
        <w:t xml:space="preserve">In terms of section 5 of the Act any right a party has to claim damages emanates because that party suffered a loss because of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practice </w:t>
      </w:r>
      <w:r w:rsidR="00876703" w:rsidRPr="001A246B">
        <w:rPr>
          <w:rFonts w:ascii="Arial" w:eastAsia="Calibri" w:hAnsi="Arial" w:cs="Arial"/>
          <w:sz w:val="24"/>
          <w:szCs w:val="24"/>
          <w:lang w:val="en-ZA"/>
        </w:rPr>
        <w:t xml:space="preserve">such as collusive tendering or price fixing. The damages are claimed from the entity engaged in such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practice</w:t>
      </w:r>
      <w:r w:rsidR="00876703" w:rsidRPr="001A246B">
        <w:rPr>
          <w:rFonts w:ascii="Arial" w:eastAsia="Calibri" w:hAnsi="Arial" w:cs="Arial"/>
          <w:sz w:val="24"/>
          <w:szCs w:val="24"/>
          <w:lang w:val="en-ZA"/>
        </w:rPr>
        <w:t>.</w:t>
      </w:r>
    </w:p>
    <w:p w14:paraId="24BF4639" w14:textId="77777777" w:rsidR="00C94AE2" w:rsidRPr="00C94AE2" w:rsidRDefault="00C94AE2" w:rsidP="00C94AE2">
      <w:pPr>
        <w:pStyle w:val="ListParagraph"/>
        <w:rPr>
          <w:rFonts w:ascii="Arial" w:eastAsia="Calibri" w:hAnsi="Arial" w:cs="Arial"/>
          <w:sz w:val="24"/>
          <w:szCs w:val="24"/>
          <w:lang w:val="en-ZA"/>
        </w:rPr>
      </w:pPr>
    </w:p>
    <w:p w14:paraId="133A3A31" w14:textId="648EA5F0" w:rsidR="00876703"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[23]</w:t>
      </w:r>
      <w:r>
        <w:rPr>
          <w:rFonts w:ascii="Arial" w:eastAsia="Calibri" w:hAnsi="Arial" w:cs="Arial"/>
          <w:sz w:val="24"/>
          <w:szCs w:val="24"/>
          <w:lang w:val="en-ZA"/>
        </w:rPr>
        <w:tab/>
      </w:r>
      <w:r w:rsidR="00876703" w:rsidRPr="001A246B">
        <w:rPr>
          <w:rFonts w:ascii="Arial" w:eastAsia="Calibri" w:hAnsi="Arial" w:cs="Arial"/>
          <w:sz w:val="24"/>
          <w:szCs w:val="24"/>
          <w:lang w:val="en-ZA"/>
        </w:rPr>
        <w:t xml:space="preserve">The right to claim such damages only arises when the Competition Tribunal or Competition Appeal Court finds that the infringing firm contravened the Act by engaging in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practice</w:t>
      </w:r>
      <w:r w:rsidR="00876703" w:rsidRPr="001A246B">
        <w:rPr>
          <w:rFonts w:ascii="Arial" w:eastAsia="Calibri" w:hAnsi="Arial" w:cs="Arial"/>
          <w:sz w:val="24"/>
          <w:szCs w:val="24"/>
          <w:lang w:val="en-ZA"/>
        </w:rPr>
        <w:t>.</w:t>
      </w:r>
    </w:p>
    <w:p w14:paraId="1D4248BC" w14:textId="77777777" w:rsidR="00C94AE2" w:rsidRPr="00C94AE2" w:rsidRDefault="00C94AE2" w:rsidP="00C94AE2">
      <w:pPr>
        <w:pStyle w:val="ListParagraph"/>
        <w:rPr>
          <w:rFonts w:ascii="Arial" w:eastAsia="Calibri" w:hAnsi="Arial" w:cs="Arial"/>
          <w:sz w:val="24"/>
          <w:szCs w:val="24"/>
          <w:lang w:val="en-ZA"/>
        </w:rPr>
      </w:pPr>
    </w:p>
    <w:p w14:paraId="0AD4C755" w14:textId="5F374A92" w:rsidR="003E05E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[24]</w:t>
      </w:r>
      <w:r>
        <w:rPr>
          <w:rFonts w:ascii="Arial" w:eastAsia="Calibri" w:hAnsi="Arial" w:cs="Arial"/>
          <w:sz w:val="24"/>
          <w:szCs w:val="24"/>
          <w:lang w:val="en-ZA"/>
        </w:rPr>
        <w:tab/>
      </w:r>
      <w:r w:rsidR="003E05EC" w:rsidRPr="001A246B">
        <w:rPr>
          <w:rFonts w:ascii="Arial" w:eastAsia="Calibri" w:hAnsi="Arial" w:cs="Arial"/>
          <w:sz w:val="24"/>
          <w:szCs w:val="24"/>
          <w:lang w:val="en-ZA"/>
        </w:rPr>
        <w:t>There is no allegation by the First Defendant that the Competition Tribunal or Competition Appeal Court has found that the Plaintiff has contravened the Act by engaging in a prohibited practice.</w:t>
      </w:r>
    </w:p>
    <w:p w14:paraId="59167DBA" w14:textId="77777777" w:rsidR="00C94AE2" w:rsidRPr="00C94AE2" w:rsidRDefault="00C94AE2" w:rsidP="00C94AE2">
      <w:pPr>
        <w:pStyle w:val="ListParagraph"/>
        <w:rPr>
          <w:rFonts w:ascii="Arial" w:eastAsia="Calibri" w:hAnsi="Arial" w:cs="Arial"/>
          <w:sz w:val="24"/>
          <w:szCs w:val="24"/>
          <w:lang w:val="en-ZA"/>
        </w:rPr>
      </w:pPr>
    </w:p>
    <w:p w14:paraId="6416CABD" w14:textId="50FBA2A6" w:rsidR="00C94AE2"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[25]</w:t>
      </w:r>
      <w:r>
        <w:rPr>
          <w:rFonts w:ascii="Arial" w:eastAsia="Calibri" w:hAnsi="Arial" w:cs="Arial"/>
          <w:sz w:val="24"/>
          <w:szCs w:val="24"/>
          <w:lang w:val="en-ZA"/>
        </w:rPr>
        <w:tab/>
      </w:r>
      <w:r w:rsidR="003E05EC" w:rsidRPr="001A246B">
        <w:rPr>
          <w:rFonts w:ascii="Arial" w:eastAsia="Calibri" w:hAnsi="Arial" w:cs="Arial"/>
          <w:sz w:val="24"/>
          <w:szCs w:val="24"/>
          <w:lang w:val="en-ZA"/>
        </w:rPr>
        <w:t xml:space="preserve">The required notice in terms of </w:t>
      </w:r>
      <w:r w:rsidR="00876703" w:rsidRPr="001A246B">
        <w:rPr>
          <w:rFonts w:ascii="Arial" w:eastAsia="Calibri" w:hAnsi="Arial" w:cs="Arial"/>
          <w:sz w:val="24"/>
          <w:szCs w:val="24"/>
          <w:lang w:val="en-ZA"/>
        </w:rPr>
        <w:t xml:space="preserve">section 65(6) </w:t>
      </w:r>
      <w:r w:rsidR="00E9250E" w:rsidRPr="001A246B">
        <w:rPr>
          <w:rFonts w:ascii="Arial" w:eastAsia="Calibri" w:hAnsi="Arial" w:cs="Arial"/>
          <w:sz w:val="24"/>
          <w:szCs w:val="24"/>
          <w:lang w:val="en-ZA"/>
        </w:rPr>
        <w:t xml:space="preserve">from the chairperson of the Competition Tribunal (or the Judge President of the Competition Appeal Court) </w:t>
      </w:r>
      <w:r w:rsidR="003E05EC" w:rsidRPr="001A246B">
        <w:rPr>
          <w:rFonts w:ascii="Arial" w:eastAsia="Calibri" w:hAnsi="Arial" w:cs="Arial"/>
          <w:sz w:val="24"/>
          <w:szCs w:val="24"/>
          <w:lang w:val="en-ZA"/>
        </w:rPr>
        <w:t xml:space="preserve">certifying that the Plaintiff’s conduct amounted to a prohibited practice in terms of the Act and setting out the requisite details has not been filed with the registrar of the Court. </w:t>
      </w:r>
    </w:p>
    <w:p w14:paraId="596CABF2" w14:textId="77777777" w:rsidR="00C94AE2" w:rsidRPr="00C94AE2" w:rsidRDefault="00C94AE2" w:rsidP="00C94AE2">
      <w:pPr>
        <w:pStyle w:val="ListParagraph"/>
        <w:rPr>
          <w:rFonts w:ascii="Arial" w:eastAsia="Calibri" w:hAnsi="Arial" w:cs="Arial"/>
          <w:sz w:val="24"/>
          <w:szCs w:val="24"/>
          <w:lang w:val="en-ZA"/>
        </w:rPr>
      </w:pPr>
    </w:p>
    <w:p w14:paraId="79CF49C6" w14:textId="59DBC98B" w:rsidR="00E9250E"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[26]</w:t>
      </w:r>
      <w:r>
        <w:rPr>
          <w:rFonts w:ascii="Arial" w:eastAsia="Calibri" w:hAnsi="Arial" w:cs="Arial"/>
          <w:sz w:val="24"/>
          <w:szCs w:val="24"/>
          <w:lang w:val="en-ZA"/>
        </w:rPr>
        <w:tab/>
      </w:r>
      <w:r w:rsidR="00E9250E" w:rsidRPr="001A246B">
        <w:rPr>
          <w:rFonts w:ascii="Arial" w:eastAsia="Calibri" w:hAnsi="Arial" w:cs="Arial"/>
          <w:sz w:val="24"/>
          <w:szCs w:val="24"/>
          <w:lang w:val="en-ZA"/>
        </w:rPr>
        <w:t xml:space="preserve">It is the Plaintiff’s submission in this matter that the pleading in the First Defendant’s counterclaim does not plead that the Competition Tribunal has found that the Plaintiff has contravened the Act by engaging in a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practice and further does not refer to the certificate as required in terms of section 65(6) of the Act.</w:t>
      </w:r>
    </w:p>
    <w:p w14:paraId="58A8D003" w14:textId="77777777" w:rsidR="00C94AE2" w:rsidRPr="00C94AE2" w:rsidRDefault="00C94AE2" w:rsidP="00C94AE2">
      <w:pPr>
        <w:pStyle w:val="ListParagraph"/>
        <w:rPr>
          <w:rFonts w:ascii="Arial" w:eastAsia="Calibri" w:hAnsi="Arial" w:cs="Arial"/>
          <w:sz w:val="24"/>
          <w:szCs w:val="24"/>
          <w:lang w:val="en-ZA"/>
        </w:rPr>
      </w:pPr>
    </w:p>
    <w:p w14:paraId="7C8B56A8" w14:textId="170EBB04" w:rsidR="00E9250E"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[27]</w:t>
      </w:r>
      <w:r>
        <w:rPr>
          <w:rFonts w:ascii="Arial" w:eastAsia="Calibri" w:hAnsi="Arial" w:cs="Arial"/>
          <w:sz w:val="24"/>
          <w:szCs w:val="24"/>
          <w:lang w:val="en-ZA"/>
        </w:rPr>
        <w:tab/>
      </w:r>
      <w:r w:rsidR="00E9250E" w:rsidRPr="001A246B">
        <w:rPr>
          <w:rFonts w:ascii="Arial" w:eastAsia="Calibri" w:hAnsi="Arial" w:cs="Arial"/>
          <w:sz w:val="24"/>
          <w:szCs w:val="24"/>
          <w:lang w:val="en-ZA"/>
        </w:rPr>
        <w:t xml:space="preserve">The Plaintiff submits that the First Defendant does not set out the grounds for a valid cause for an action for damages arising from alleged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conduct by the Plaintiff.</w:t>
      </w:r>
    </w:p>
    <w:p w14:paraId="3ADB8236" w14:textId="77777777" w:rsidR="00C94AE2" w:rsidRPr="00C94AE2" w:rsidRDefault="00C94AE2" w:rsidP="00C94AE2">
      <w:pPr>
        <w:pStyle w:val="ListParagraph"/>
        <w:rPr>
          <w:rFonts w:ascii="Arial" w:eastAsia="Calibri" w:hAnsi="Arial" w:cs="Arial"/>
          <w:sz w:val="24"/>
          <w:szCs w:val="24"/>
          <w:lang w:val="en-ZA"/>
        </w:rPr>
      </w:pPr>
    </w:p>
    <w:p w14:paraId="7E0F2B0B" w14:textId="3E42EAE8" w:rsidR="003E05E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[28]</w:t>
      </w:r>
      <w:r>
        <w:rPr>
          <w:rFonts w:ascii="Arial" w:eastAsia="Calibri" w:hAnsi="Arial" w:cs="Arial"/>
          <w:sz w:val="24"/>
          <w:szCs w:val="24"/>
          <w:lang w:val="en-ZA"/>
        </w:rPr>
        <w:tab/>
      </w:r>
      <w:r w:rsidR="003E05EC" w:rsidRPr="001A246B">
        <w:rPr>
          <w:rFonts w:ascii="Arial" w:eastAsia="Calibri" w:hAnsi="Arial" w:cs="Arial"/>
          <w:sz w:val="24"/>
          <w:szCs w:val="24"/>
          <w:lang w:val="en-ZA"/>
        </w:rPr>
        <w:t>It is the First Defendant’s submission that it has made all the necessary allegations for the court to make a determination regarding cause of action and quantum.  As an alternative argument the First Defendant submits that there were sufficient submissions for the court to stay proceedings pending a determination by the Competition Tribunal.</w:t>
      </w:r>
    </w:p>
    <w:p w14:paraId="4B431B76" w14:textId="77777777" w:rsidR="00C94AE2" w:rsidRPr="00C94AE2" w:rsidRDefault="00C94AE2" w:rsidP="00C94AE2">
      <w:pPr>
        <w:pStyle w:val="ListParagraph"/>
        <w:rPr>
          <w:rFonts w:ascii="Arial" w:eastAsia="Calibri" w:hAnsi="Arial" w:cs="Arial"/>
          <w:sz w:val="24"/>
          <w:szCs w:val="24"/>
          <w:lang w:val="en-ZA"/>
        </w:rPr>
      </w:pPr>
    </w:p>
    <w:p w14:paraId="1487CE9D" w14:textId="7E3A1B57" w:rsidR="00C94AE2"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[29]</w:t>
      </w:r>
      <w:r>
        <w:rPr>
          <w:rFonts w:ascii="Arial" w:eastAsia="Calibri" w:hAnsi="Arial" w:cs="Arial"/>
          <w:sz w:val="24"/>
          <w:szCs w:val="24"/>
          <w:lang w:val="en-ZA"/>
        </w:rPr>
        <w:tab/>
      </w:r>
      <w:r w:rsidR="003E05EC" w:rsidRPr="001A246B">
        <w:rPr>
          <w:rFonts w:ascii="Arial" w:eastAsia="Calibri" w:hAnsi="Arial" w:cs="Arial"/>
          <w:sz w:val="24"/>
          <w:szCs w:val="24"/>
          <w:lang w:val="en-ZA"/>
        </w:rPr>
        <w:t>The crux of the First Defendant’s submission is that the Tribunal’s certificate (which the Plaintiff claims is an essential averment in the First Defendant’s cause of action</w:t>
      </w:r>
      <w:r w:rsidR="00BB2DDC" w:rsidRPr="001A246B">
        <w:rPr>
          <w:rFonts w:ascii="Arial" w:eastAsia="Calibri" w:hAnsi="Arial" w:cs="Arial"/>
          <w:sz w:val="24"/>
          <w:szCs w:val="24"/>
          <w:lang w:val="en-ZA"/>
        </w:rPr>
        <w:t>)</w:t>
      </w:r>
      <w:r w:rsidR="003E05EC" w:rsidRPr="001A246B">
        <w:rPr>
          <w:rFonts w:ascii="Arial" w:eastAsia="Calibri" w:hAnsi="Arial" w:cs="Arial"/>
          <w:sz w:val="24"/>
          <w:szCs w:val="24"/>
          <w:lang w:val="en-ZA"/>
        </w:rPr>
        <w:t xml:space="preserve"> is evidentiary in nature.</w:t>
      </w:r>
    </w:p>
    <w:p w14:paraId="390E0B7E" w14:textId="77777777" w:rsidR="00C94AE2" w:rsidRPr="00C94AE2" w:rsidRDefault="00C94AE2" w:rsidP="00C94AE2">
      <w:pPr>
        <w:pStyle w:val="ListParagraph"/>
        <w:rPr>
          <w:rFonts w:ascii="Arial" w:eastAsia="Calibri" w:hAnsi="Arial" w:cs="Arial"/>
          <w:sz w:val="24"/>
          <w:szCs w:val="24"/>
          <w:lang w:val="en-ZA"/>
        </w:rPr>
      </w:pPr>
    </w:p>
    <w:p w14:paraId="3A5108F8" w14:textId="35521FF6" w:rsidR="00C94AE2"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[30]</w:t>
      </w:r>
      <w:r>
        <w:rPr>
          <w:rFonts w:ascii="Arial" w:eastAsia="Calibri" w:hAnsi="Arial" w:cs="Arial"/>
          <w:sz w:val="24"/>
          <w:szCs w:val="24"/>
          <w:lang w:val="en-ZA"/>
        </w:rPr>
        <w:tab/>
      </w:r>
      <w:r w:rsidR="003E05EC" w:rsidRPr="001A246B">
        <w:rPr>
          <w:rFonts w:ascii="Arial" w:eastAsia="Calibri" w:hAnsi="Arial" w:cs="Arial"/>
          <w:sz w:val="24"/>
          <w:szCs w:val="24"/>
          <w:lang w:val="en-ZA"/>
        </w:rPr>
        <w:t xml:space="preserve">The First Defendant submits that the submission of the Plaintiff that the </w:t>
      </w:r>
      <w:r w:rsidR="00BB2DDC" w:rsidRPr="001A246B">
        <w:rPr>
          <w:rFonts w:ascii="Arial" w:eastAsia="Calibri" w:hAnsi="Arial" w:cs="Arial"/>
          <w:sz w:val="24"/>
          <w:szCs w:val="24"/>
          <w:lang w:val="en-ZA"/>
        </w:rPr>
        <w:t xml:space="preserve">counterclaim is </w:t>
      </w:r>
      <w:r w:rsidR="003E05EC" w:rsidRPr="001A246B">
        <w:rPr>
          <w:rFonts w:ascii="Arial" w:eastAsia="Calibri" w:hAnsi="Arial" w:cs="Arial"/>
          <w:sz w:val="24"/>
          <w:szCs w:val="24"/>
          <w:lang w:val="en-ZA"/>
        </w:rPr>
        <w:t>defective if the Tribunal’s certificate had not been issued in advance of the First Defendant’s counterclaim is inconsistent with the legislature’s intention in section 65(2) of the Act.</w:t>
      </w:r>
    </w:p>
    <w:p w14:paraId="51D1E20B" w14:textId="77777777" w:rsidR="00C94AE2" w:rsidRPr="00C94AE2" w:rsidRDefault="00C94AE2" w:rsidP="00C94AE2">
      <w:pPr>
        <w:pStyle w:val="ListParagraph"/>
        <w:rPr>
          <w:rFonts w:ascii="Arial" w:eastAsia="Calibri" w:hAnsi="Arial" w:cs="Arial"/>
          <w:sz w:val="24"/>
          <w:szCs w:val="24"/>
          <w:lang w:val="en-ZA"/>
        </w:rPr>
      </w:pPr>
    </w:p>
    <w:p w14:paraId="20E24EFB" w14:textId="564DAEE8" w:rsidR="00BB2DD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[31]</w:t>
      </w:r>
      <w:r>
        <w:rPr>
          <w:rFonts w:ascii="Arial" w:eastAsia="Calibri" w:hAnsi="Arial" w:cs="Arial"/>
          <w:sz w:val="24"/>
          <w:szCs w:val="24"/>
          <w:lang w:val="en-ZA"/>
        </w:rPr>
        <w:tab/>
      </w:r>
      <w:r w:rsidR="00BB2DDC" w:rsidRPr="001A246B">
        <w:rPr>
          <w:rFonts w:ascii="Arial" w:eastAsia="Calibri" w:hAnsi="Arial" w:cs="Arial"/>
          <w:sz w:val="24"/>
          <w:szCs w:val="24"/>
          <w:lang w:val="en-ZA"/>
        </w:rPr>
        <w:t>It is the First Defendant’s submission that it has made all the allegations necessary for the Court to make determinations regarding causation and quantum, alternatively for the Court to stay proceedings pending the determination by the Competition Tribunal.</w:t>
      </w:r>
    </w:p>
    <w:p w14:paraId="38C75562" w14:textId="77777777" w:rsidR="00C94AE2" w:rsidRPr="00C94AE2" w:rsidRDefault="00C94AE2" w:rsidP="00C94AE2">
      <w:pPr>
        <w:pStyle w:val="ListParagraph"/>
        <w:rPr>
          <w:rFonts w:ascii="Arial" w:eastAsia="Calibri" w:hAnsi="Arial" w:cs="Arial"/>
          <w:sz w:val="24"/>
          <w:szCs w:val="24"/>
          <w:lang w:val="en-ZA"/>
        </w:rPr>
      </w:pPr>
    </w:p>
    <w:p w14:paraId="558EA631" w14:textId="4BE4AB3C" w:rsidR="00BB2DD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[32]</w:t>
      </w:r>
      <w:r>
        <w:rPr>
          <w:rFonts w:ascii="Arial" w:eastAsia="Calibri" w:hAnsi="Arial" w:cs="Arial"/>
          <w:sz w:val="24"/>
          <w:szCs w:val="24"/>
          <w:lang w:val="en-ZA"/>
        </w:rPr>
        <w:tab/>
      </w:r>
      <w:r w:rsidR="00BB2DDC" w:rsidRPr="001A246B">
        <w:rPr>
          <w:rFonts w:ascii="Arial" w:eastAsia="Calibri" w:hAnsi="Arial" w:cs="Arial"/>
          <w:sz w:val="24"/>
          <w:szCs w:val="24"/>
          <w:lang w:val="en-ZA"/>
        </w:rPr>
        <w:t>The First Defendant submits that the Court was obliged to grant a stay of proceedings in terms of section 65(2) of the Act in circumstances where a claim based on prohibited practices defined by the Act has been raised (not frivolously or vexatiously) and such conduct is central to the final outcome of the action.</w:t>
      </w:r>
    </w:p>
    <w:p w14:paraId="106207B8" w14:textId="77777777" w:rsidR="00C94AE2" w:rsidRPr="00C94AE2" w:rsidRDefault="00C94AE2" w:rsidP="00C94AE2">
      <w:pPr>
        <w:pStyle w:val="ListParagraph"/>
        <w:rPr>
          <w:rFonts w:ascii="Arial" w:eastAsia="Calibri" w:hAnsi="Arial" w:cs="Arial"/>
          <w:sz w:val="24"/>
          <w:szCs w:val="24"/>
          <w:lang w:val="en-ZA"/>
        </w:rPr>
      </w:pPr>
    </w:p>
    <w:p w14:paraId="7810F648" w14:textId="4A5FFCC4" w:rsidR="00BB2DD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[33]</w:t>
      </w:r>
      <w:r>
        <w:rPr>
          <w:rFonts w:ascii="Arial" w:eastAsia="Calibri" w:hAnsi="Arial" w:cs="Arial"/>
          <w:sz w:val="24"/>
          <w:szCs w:val="24"/>
          <w:lang w:val="en-ZA"/>
        </w:rPr>
        <w:tab/>
      </w:r>
      <w:r w:rsidR="00BB2DDC" w:rsidRPr="001A246B">
        <w:rPr>
          <w:rFonts w:ascii="Arial" w:eastAsia="Calibri" w:hAnsi="Arial" w:cs="Arial"/>
          <w:sz w:val="24"/>
          <w:szCs w:val="24"/>
          <w:lang w:val="en-ZA"/>
        </w:rPr>
        <w:t>It is the First Defendant’s submission that the Tribunal’s certificate is only evidentiary in nature and the submission that the counterclaim would be automatically defective where the certificate has not been lodged with the Registrar of the Court is inconsistent with the legislature’s intention in section 65(2) of the Act.</w:t>
      </w:r>
    </w:p>
    <w:p w14:paraId="2ECE6CD4" w14:textId="77777777" w:rsidR="00C94AE2" w:rsidRPr="00C94AE2" w:rsidRDefault="00C94AE2" w:rsidP="00C94AE2">
      <w:pPr>
        <w:pStyle w:val="ListParagraph"/>
        <w:rPr>
          <w:rFonts w:ascii="Arial" w:eastAsia="Calibri" w:hAnsi="Arial" w:cs="Arial"/>
          <w:sz w:val="24"/>
          <w:szCs w:val="24"/>
          <w:lang w:val="en-ZA"/>
        </w:rPr>
      </w:pPr>
    </w:p>
    <w:p w14:paraId="4ACDD9F8" w14:textId="2EC65D81" w:rsidR="00BB2DD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[34]</w:t>
      </w:r>
      <w:r>
        <w:rPr>
          <w:rFonts w:ascii="Arial" w:eastAsia="Calibri" w:hAnsi="Arial" w:cs="Arial"/>
          <w:sz w:val="24"/>
          <w:szCs w:val="24"/>
          <w:lang w:val="en-ZA"/>
        </w:rPr>
        <w:tab/>
      </w:r>
      <w:r w:rsidR="00BB2DDC" w:rsidRPr="001A246B">
        <w:rPr>
          <w:rFonts w:ascii="Arial" w:eastAsia="Calibri" w:hAnsi="Arial" w:cs="Arial"/>
          <w:sz w:val="24"/>
          <w:szCs w:val="24"/>
          <w:lang w:val="en-ZA"/>
        </w:rPr>
        <w:t>It appears to be common cause that the First Defendant’s complaint was referred by the Competition Commission to the Competition Tribunal on 2</w:t>
      </w:r>
      <w:r w:rsidR="00C94AE2" w:rsidRPr="001A246B">
        <w:rPr>
          <w:rFonts w:ascii="Arial" w:eastAsia="Calibri" w:hAnsi="Arial" w:cs="Arial"/>
          <w:sz w:val="24"/>
          <w:szCs w:val="24"/>
          <w:vertAlign w:val="superscript"/>
          <w:lang w:val="en-ZA"/>
        </w:rPr>
        <w:t>nd</w:t>
      </w:r>
      <w:r w:rsidR="00C94AE2" w:rsidRPr="001A246B">
        <w:rPr>
          <w:rFonts w:ascii="Arial" w:eastAsia="Calibri" w:hAnsi="Arial" w:cs="Arial"/>
          <w:sz w:val="24"/>
          <w:szCs w:val="24"/>
          <w:lang w:val="en-ZA"/>
        </w:rPr>
        <w:t xml:space="preserve"> </w:t>
      </w:r>
      <w:r w:rsidR="00BB2DDC" w:rsidRPr="001A246B">
        <w:rPr>
          <w:rFonts w:ascii="Arial" w:eastAsia="Calibri" w:hAnsi="Arial" w:cs="Arial"/>
          <w:sz w:val="24"/>
          <w:szCs w:val="24"/>
          <w:lang w:val="en-ZA"/>
        </w:rPr>
        <w:t xml:space="preserve">February 2020 and no further submissions </w:t>
      </w:r>
      <w:r w:rsidR="00970C7B" w:rsidRPr="001A246B">
        <w:rPr>
          <w:rFonts w:ascii="Arial" w:eastAsia="Calibri" w:hAnsi="Arial" w:cs="Arial"/>
          <w:sz w:val="24"/>
          <w:szCs w:val="24"/>
          <w:lang w:val="en-ZA"/>
        </w:rPr>
        <w:t xml:space="preserve">were </w:t>
      </w:r>
      <w:r w:rsidR="00BB2DDC" w:rsidRPr="001A246B">
        <w:rPr>
          <w:rFonts w:ascii="Arial" w:eastAsia="Calibri" w:hAnsi="Arial" w:cs="Arial"/>
          <w:sz w:val="24"/>
          <w:szCs w:val="24"/>
          <w:lang w:val="en-ZA"/>
        </w:rPr>
        <w:t>made regarding any progress in the matter.</w:t>
      </w:r>
    </w:p>
    <w:p w14:paraId="20DA25F3" w14:textId="77777777" w:rsidR="00C94AE2" w:rsidRPr="00C94AE2" w:rsidRDefault="00C94AE2" w:rsidP="00C94AE2">
      <w:pPr>
        <w:pStyle w:val="ListParagraph"/>
        <w:rPr>
          <w:rFonts w:ascii="Arial" w:eastAsia="Calibri" w:hAnsi="Arial" w:cs="Arial"/>
          <w:sz w:val="24"/>
          <w:szCs w:val="24"/>
          <w:lang w:val="en-ZA"/>
        </w:rPr>
      </w:pPr>
    </w:p>
    <w:p w14:paraId="309F0D08" w14:textId="4A554D77" w:rsidR="00BB2DDC"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[35]</w:t>
      </w:r>
      <w:r>
        <w:rPr>
          <w:rFonts w:ascii="Arial" w:eastAsia="Calibri" w:hAnsi="Arial" w:cs="Arial"/>
          <w:sz w:val="24"/>
          <w:szCs w:val="24"/>
          <w:lang w:val="en-ZA"/>
        </w:rPr>
        <w:tab/>
      </w:r>
      <w:r w:rsidR="00BB2DDC" w:rsidRPr="001A246B">
        <w:rPr>
          <w:rFonts w:ascii="Arial" w:eastAsia="Calibri" w:hAnsi="Arial" w:cs="Arial"/>
          <w:sz w:val="24"/>
          <w:szCs w:val="24"/>
          <w:lang w:val="en-ZA"/>
        </w:rPr>
        <w:t>The Competition Tribunal and the Competition Appeal Court have the exclusive jurisdiction to decide whether the conduct of any business or entity is in contravention of the provisions of the Act. Consequently, any party pursuing an action for civil damages in a court of law, requires a certificate from the chairman of the Competition Tribunal or the Judge President of the Competition Appeal Court certifying that the conduct forming the basis of the damages claim has been found to be a prohibited practice in terms of the Act.</w:t>
      </w:r>
      <w:r w:rsidR="00BB2DDC" w:rsidRPr="00751B45">
        <w:rPr>
          <w:rStyle w:val="FootnoteReference"/>
          <w:rFonts w:ascii="Arial" w:eastAsia="Calibri" w:hAnsi="Arial" w:cs="Arial"/>
          <w:sz w:val="24"/>
          <w:szCs w:val="24"/>
          <w:lang w:val="en-ZA"/>
        </w:rPr>
        <w:footnoteReference w:id="4"/>
      </w:r>
    </w:p>
    <w:p w14:paraId="70B8B197" w14:textId="77777777" w:rsidR="00C94AE2" w:rsidRPr="00C94AE2" w:rsidRDefault="00C94AE2" w:rsidP="00C94AE2">
      <w:pPr>
        <w:pStyle w:val="ListParagraph"/>
        <w:rPr>
          <w:rFonts w:ascii="Arial" w:eastAsia="Calibri" w:hAnsi="Arial" w:cs="Arial"/>
          <w:sz w:val="24"/>
          <w:szCs w:val="24"/>
          <w:lang w:val="en-ZA"/>
        </w:rPr>
      </w:pPr>
    </w:p>
    <w:p w14:paraId="75844C16" w14:textId="69D0BB91" w:rsidR="00E9250E"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[36]</w:t>
      </w:r>
      <w:r>
        <w:rPr>
          <w:rFonts w:ascii="Arial" w:eastAsia="Calibri" w:hAnsi="Arial" w:cs="Arial"/>
          <w:sz w:val="24"/>
          <w:szCs w:val="24"/>
          <w:lang w:val="en-ZA"/>
        </w:rPr>
        <w:tab/>
      </w:r>
      <w:r w:rsidR="00E9250E" w:rsidRPr="001A246B">
        <w:rPr>
          <w:rFonts w:ascii="Arial" w:eastAsia="Calibri" w:hAnsi="Arial" w:cs="Arial"/>
          <w:sz w:val="24"/>
          <w:szCs w:val="24"/>
          <w:lang w:val="en-ZA"/>
        </w:rPr>
        <w:t xml:space="preserve">On a proper reading of section 65(2) the Act provides that if in any civil court a party raises an issue concerning conduct that is </w:t>
      </w:r>
      <w:r w:rsidR="00B90552" w:rsidRPr="001A246B">
        <w:rPr>
          <w:rFonts w:ascii="Arial" w:eastAsia="Calibri" w:hAnsi="Arial" w:cs="Arial"/>
          <w:sz w:val="24"/>
          <w:szCs w:val="24"/>
          <w:lang w:val="en-ZA"/>
        </w:rPr>
        <w:t>prohibited</w:t>
      </w:r>
      <w:r w:rsidR="00E9250E" w:rsidRPr="001A246B">
        <w:rPr>
          <w:rFonts w:ascii="Arial" w:eastAsia="Calibri" w:hAnsi="Arial" w:cs="Arial"/>
          <w:sz w:val="24"/>
          <w:szCs w:val="24"/>
          <w:lang w:val="en-ZA"/>
        </w:rPr>
        <w:t xml:space="preserve"> in terms of the Act, the court must not consider that issue on its merits.  If the issue raises one in respect of which the Competition Tribunal or Competition Appeal Court has made an order, the court must apply the determination of the Tribunal or the Competition Appeal Court to the issue.  Otherwise, the court must refer that issue to the Tribunal to be considered on its merits, if the court is satisfied that the issue has not been raised in a frivolous or vexatious manner and that resolution on that issue is required to determine the final outcome of the action.</w:t>
      </w:r>
    </w:p>
    <w:p w14:paraId="2FABD1C4" w14:textId="77777777" w:rsidR="00C94AE2" w:rsidRPr="00C94AE2" w:rsidRDefault="00C94AE2" w:rsidP="00C94AE2">
      <w:pPr>
        <w:pStyle w:val="ListParagraph"/>
        <w:rPr>
          <w:rFonts w:ascii="Arial" w:eastAsia="Calibri" w:hAnsi="Arial" w:cs="Arial"/>
          <w:sz w:val="24"/>
          <w:szCs w:val="24"/>
          <w:lang w:val="en-ZA"/>
        </w:rPr>
      </w:pPr>
    </w:p>
    <w:p w14:paraId="2F269B7D" w14:textId="4DAE6218" w:rsidR="007075DC" w:rsidRPr="001A246B" w:rsidRDefault="001A246B" w:rsidP="001A246B">
      <w:pPr>
        <w:spacing w:after="0" w:line="360" w:lineRule="auto"/>
        <w:ind w:left="851" w:hanging="851"/>
        <w:jc w:val="both"/>
        <w:rPr>
          <w:rFonts w:ascii="Arial" w:eastAsia="Calibri" w:hAnsi="Arial" w:cs="Arial"/>
          <w:sz w:val="24"/>
          <w:szCs w:val="24"/>
          <w:lang w:val="en-ZA"/>
        </w:rPr>
      </w:pPr>
      <w:r w:rsidRPr="00751B45">
        <w:rPr>
          <w:rFonts w:ascii="Arial" w:eastAsia="Calibri" w:hAnsi="Arial" w:cs="Arial"/>
          <w:sz w:val="24"/>
          <w:szCs w:val="24"/>
          <w:lang w:val="en-ZA"/>
        </w:rPr>
        <w:t>[37]</w:t>
      </w:r>
      <w:r w:rsidRPr="00751B45">
        <w:rPr>
          <w:rFonts w:ascii="Arial" w:eastAsia="Calibri" w:hAnsi="Arial" w:cs="Arial"/>
          <w:sz w:val="24"/>
          <w:szCs w:val="24"/>
          <w:lang w:val="en-ZA"/>
        </w:rPr>
        <w:tab/>
      </w:r>
      <w:r w:rsidR="007075DC" w:rsidRPr="001A246B">
        <w:rPr>
          <w:rFonts w:ascii="Arial" w:eastAsia="Calibri" w:hAnsi="Arial" w:cs="Arial"/>
          <w:sz w:val="24"/>
          <w:szCs w:val="24"/>
          <w:lang w:val="en-ZA"/>
        </w:rPr>
        <w:t>Section 65(9) of the Act states:</w:t>
      </w:r>
    </w:p>
    <w:p w14:paraId="7727E1A0" w14:textId="289B8F2C" w:rsidR="007075DC" w:rsidRPr="00100A3A" w:rsidRDefault="00100A3A" w:rsidP="00100A3A">
      <w:pPr>
        <w:spacing w:after="0" w:line="360" w:lineRule="auto"/>
        <w:ind w:left="1440"/>
        <w:jc w:val="both"/>
        <w:rPr>
          <w:rFonts w:ascii="Arial" w:eastAsia="Calibri" w:hAnsi="Arial" w:cs="Arial"/>
          <w:iCs/>
          <w:lang w:val="en-ZA"/>
        </w:rPr>
      </w:pPr>
      <w:r>
        <w:rPr>
          <w:rFonts w:ascii="Arial" w:eastAsia="Calibri" w:hAnsi="Arial" w:cs="Arial"/>
          <w:i/>
          <w:iCs/>
          <w:sz w:val="24"/>
          <w:szCs w:val="24"/>
          <w:lang w:val="en-ZA"/>
        </w:rPr>
        <w:t>‘</w:t>
      </w:r>
      <w:r w:rsidR="007075DC" w:rsidRPr="00100A3A">
        <w:rPr>
          <w:rFonts w:ascii="Arial" w:eastAsia="Calibri" w:hAnsi="Arial" w:cs="Arial"/>
          <w:iCs/>
          <w:lang w:val="en-ZA"/>
        </w:rPr>
        <w:t>A person’s right to damages arising out of a prohibited practice comes into existence—</w:t>
      </w:r>
    </w:p>
    <w:p w14:paraId="5007A173" w14:textId="3EFF0279" w:rsidR="007075DC" w:rsidRPr="001A246B" w:rsidRDefault="001A246B" w:rsidP="001A246B">
      <w:pPr>
        <w:spacing w:after="0" w:line="360" w:lineRule="auto"/>
        <w:ind w:left="2268" w:hanging="850"/>
        <w:jc w:val="both"/>
        <w:rPr>
          <w:rFonts w:ascii="Arial" w:eastAsia="Calibri" w:hAnsi="Arial" w:cs="Arial"/>
          <w:iCs/>
          <w:lang w:val="en-ZA"/>
        </w:rPr>
      </w:pPr>
      <w:r w:rsidRPr="00100A3A">
        <w:rPr>
          <w:rFonts w:ascii="Arial" w:eastAsia="Calibri" w:hAnsi="Arial" w:cs="Arial"/>
          <w:iCs/>
          <w:lang w:val="en-ZA"/>
        </w:rPr>
        <w:t>(a)</w:t>
      </w:r>
      <w:r w:rsidRPr="00100A3A">
        <w:rPr>
          <w:rFonts w:ascii="Arial" w:eastAsia="Calibri" w:hAnsi="Arial" w:cs="Arial"/>
          <w:iCs/>
          <w:lang w:val="en-ZA"/>
        </w:rPr>
        <w:tab/>
      </w:r>
      <w:r w:rsidR="007075DC" w:rsidRPr="001A246B">
        <w:rPr>
          <w:rFonts w:ascii="Arial" w:eastAsia="Calibri" w:hAnsi="Arial" w:cs="Arial"/>
          <w:iCs/>
          <w:lang w:val="en-ZA"/>
        </w:rPr>
        <w:t>on the date that the Competition Tribunal made a determination in respect of a matter that affects that person; or</w:t>
      </w:r>
    </w:p>
    <w:p w14:paraId="4FC98906" w14:textId="3783DFD3" w:rsidR="007075DC" w:rsidRPr="001A246B" w:rsidRDefault="001A246B" w:rsidP="001A246B">
      <w:pPr>
        <w:spacing w:after="0" w:line="360" w:lineRule="auto"/>
        <w:ind w:left="2268" w:hanging="850"/>
        <w:jc w:val="both"/>
        <w:rPr>
          <w:rFonts w:ascii="Arial" w:eastAsia="Calibri" w:hAnsi="Arial" w:cs="Arial"/>
          <w:i/>
          <w:iCs/>
          <w:sz w:val="24"/>
          <w:szCs w:val="24"/>
          <w:lang w:val="en-ZA"/>
        </w:rPr>
      </w:pPr>
      <w:r>
        <w:rPr>
          <w:rFonts w:ascii="Arial" w:eastAsia="Calibri" w:hAnsi="Arial" w:cs="Arial"/>
          <w:i/>
          <w:iCs/>
          <w:sz w:val="24"/>
          <w:szCs w:val="24"/>
          <w:lang w:val="en-ZA"/>
        </w:rPr>
        <w:lastRenderedPageBreak/>
        <w:t>(b)</w:t>
      </w:r>
      <w:r>
        <w:rPr>
          <w:rFonts w:ascii="Arial" w:eastAsia="Calibri" w:hAnsi="Arial" w:cs="Arial"/>
          <w:i/>
          <w:iCs/>
          <w:sz w:val="24"/>
          <w:szCs w:val="24"/>
          <w:lang w:val="en-ZA"/>
        </w:rPr>
        <w:tab/>
      </w:r>
      <w:r w:rsidR="007075DC" w:rsidRPr="001A246B">
        <w:rPr>
          <w:rFonts w:ascii="Arial" w:eastAsia="Calibri" w:hAnsi="Arial" w:cs="Arial"/>
          <w:iCs/>
          <w:lang w:val="en-ZA"/>
        </w:rPr>
        <w:t>in the case of an appeal, on the date that the appeal process in respect of that matter is concluded</w:t>
      </w:r>
      <w:r w:rsidR="007075DC" w:rsidRPr="001A246B">
        <w:rPr>
          <w:rFonts w:ascii="Arial" w:eastAsia="Calibri" w:hAnsi="Arial" w:cs="Arial"/>
          <w:i/>
          <w:iCs/>
          <w:sz w:val="24"/>
          <w:szCs w:val="24"/>
          <w:lang w:val="en-ZA"/>
        </w:rPr>
        <w:t>.</w:t>
      </w:r>
      <w:r w:rsidR="00100A3A" w:rsidRPr="001A246B">
        <w:rPr>
          <w:rFonts w:ascii="Arial" w:eastAsia="Calibri" w:hAnsi="Arial" w:cs="Arial"/>
          <w:i/>
          <w:iCs/>
          <w:sz w:val="24"/>
          <w:szCs w:val="24"/>
          <w:lang w:val="en-ZA"/>
        </w:rPr>
        <w:t>’</w:t>
      </w:r>
    </w:p>
    <w:p w14:paraId="16959803" w14:textId="77777777" w:rsidR="00100A3A" w:rsidRPr="00751B45" w:rsidRDefault="00100A3A" w:rsidP="00100A3A">
      <w:pPr>
        <w:pStyle w:val="ListParagraph"/>
        <w:spacing w:after="0" w:line="360" w:lineRule="auto"/>
        <w:ind w:left="2268"/>
        <w:contextualSpacing w:val="0"/>
        <w:jc w:val="both"/>
        <w:rPr>
          <w:rFonts w:ascii="Arial" w:eastAsia="Calibri" w:hAnsi="Arial" w:cs="Arial"/>
          <w:i/>
          <w:iCs/>
          <w:sz w:val="24"/>
          <w:szCs w:val="24"/>
          <w:lang w:val="en-ZA"/>
        </w:rPr>
      </w:pPr>
    </w:p>
    <w:p w14:paraId="27D846F3" w14:textId="173B80A3" w:rsidR="007075DC" w:rsidRPr="001A246B" w:rsidRDefault="001A246B" w:rsidP="001A246B">
      <w:pPr>
        <w:spacing w:after="0" w:line="360" w:lineRule="auto"/>
        <w:ind w:left="851" w:hanging="851"/>
        <w:jc w:val="both"/>
        <w:rPr>
          <w:rFonts w:ascii="Arial" w:eastAsia="Calibri" w:hAnsi="Arial" w:cs="Arial"/>
          <w:sz w:val="24"/>
          <w:szCs w:val="24"/>
          <w:lang w:val="en-ZA"/>
        </w:rPr>
      </w:pPr>
      <w:r w:rsidRPr="00751B45">
        <w:rPr>
          <w:rFonts w:ascii="Arial" w:eastAsia="Calibri" w:hAnsi="Arial" w:cs="Arial"/>
          <w:sz w:val="24"/>
          <w:szCs w:val="24"/>
          <w:lang w:val="en-ZA"/>
        </w:rPr>
        <w:t>[38]</w:t>
      </w:r>
      <w:r w:rsidRPr="00751B45">
        <w:rPr>
          <w:rFonts w:ascii="Arial" w:eastAsia="Calibri" w:hAnsi="Arial" w:cs="Arial"/>
          <w:sz w:val="24"/>
          <w:szCs w:val="24"/>
          <w:lang w:val="en-ZA"/>
        </w:rPr>
        <w:tab/>
      </w:r>
      <w:r w:rsidR="00100A3A" w:rsidRPr="001A246B">
        <w:rPr>
          <w:rFonts w:ascii="Arial" w:eastAsia="Calibri" w:hAnsi="Arial" w:cs="Arial"/>
          <w:sz w:val="24"/>
          <w:szCs w:val="24"/>
          <w:lang w:val="en-ZA"/>
        </w:rPr>
        <w:t>Consequently,</w:t>
      </w:r>
      <w:r w:rsidR="007075DC" w:rsidRPr="001A246B">
        <w:rPr>
          <w:rFonts w:ascii="Arial" w:eastAsia="Calibri" w:hAnsi="Arial" w:cs="Arial"/>
          <w:sz w:val="24"/>
          <w:szCs w:val="24"/>
          <w:lang w:val="en-ZA"/>
        </w:rPr>
        <w:t xml:space="preserve"> a person’s right to bring a claim for damages arising out of prohibited practice only comes into existence on the date that the Competition Tribunal has made a determination regarding any alleged prohibited practice.</w:t>
      </w:r>
    </w:p>
    <w:p w14:paraId="29F5B50D" w14:textId="712FE4B5" w:rsidR="00100A3A"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[39]</w:t>
      </w:r>
      <w:r>
        <w:rPr>
          <w:rFonts w:ascii="Arial" w:eastAsia="Calibri" w:hAnsi="Arial" w:cs="Arial"/>
          <w:sz w:val="24"/>
          <w:szCs w:val="24"/>
          <w:lang w:val="en-ZA"/>
        </w:rPr>
        <w:tab/>
      </w:r>
      <w:r w:rsidR="00E9250E" w:rsidRPr="001A246B">
        <w:rPr>
          <w:rFonts w:ascii="Arial" w:eastAsia="Calibri" w:hAnsi="Arial" w:cs="Arial"/>
          <w:sz w:val="24"/>
          <w:szCs w:val="24"/>
          <w:lang w:val="en-ZA"/>
        </w:rPr>
        <w:t xml:space="preserve">In the matter of </w:t>
      </w:r>
      <w:r w:rsidR="00E9250E" w:rsidRPr="001A246B">
        <w:rPr>
          <w:rFonts w:ascii="Arial" w:eastAsia="Calibri" w:hAnsi="Arial" w:cs="Arial"/>
          <w:bCs/>
          <w:i/>
          <w:sz w:val="24"/>
          <w:szCs w:val="24"/>
          <w:lang w:val="en-ZA"/>
        </w:rPr>
        <w:t>Premier Foods (Pty) Ltd v Manoim NO and Others</w:t>
      </w:r>
      <w:r w:rsidR="00E9250E" w:rsidRPr="00751B45">
        <w:rPr>
          <w:rStyle w:val="FootnoteReference"/>
          <w:rFonts w:ascii="Arial" w:eastAsia="Calibri" w:hAnsi="Arial" w:cs="Arial"/>
          <w:sz w:val="24"/>
          <w:szCs w:val="24"/>
          <w:lang w:val="en-ZA"/>
        </w:rPr>
        <w:footnoteReference w:id="5"/>
      </w:r>
      <w:r w:rsidR="00E9250E" w:rsidRPr="001A246B">
        <w:rPr>
          <w:rFonts w:ascii="Arial" w:eastAsia="Calibri" w:hAnsi="Arial" w:cs="Arial"/>
          <w:sz w:val="24"/>
          <w:szCs w:val="24"/>
          <w:lang w:val="en-ZA"/>
        </w:rPr>
        <w:t xml:space="preserve"> the court stated that </w:t>
      </w:r>
    </w:p>
    <w:p w14:paraId="18708E7F" w14:textId="11A3120A" w:rsidR="00E9250E" w:rsidRDefault="00100A3A" w:rsidP="00100A3A">
      <w:pPr>
        <w:pStyle w:val="ListParagraph"/>
        <w:spacing w:after="0" w:line="360" w:lineRule="auto"/>
        <w:ind w:left="1440"/>
        <w:contextualSpacing w:val="0"/>
        <w:jc w:val="both"/>
        <w:rPr>
          <w:rFonts w:ascii="Arial" w:eastAsia="Calibri" w:hAnsi="Arial" w:cs="Arial"/>
          <w:sz w:val="24"/>
          <w:szCs w:val="24"/>
          <w:lang w:val="en-ZA"/>
        </w:rPr>
      </w:pPr>
      <w:r>
        <w:rPr>
          <w:rFonts w:ascii="Arial" w:eastAsia="Calibri" w:hAnsi="Arial" w:cs="Arial"/>
          <w:sz w:val="24"/>
          <w:szCs w:val="24"/>
          <w:lang w:val="en-ZA"/>
        </w:rPr>
        <w:t>‘</w:t>
      </w:r>
      <w:r w:rsidR="00E9250E" w:rsidRPr="00100A3A">
        <w:rPr>
          <w:rFonts w:ascii="Arial" w:eastAsia="Calibri" w:hAnsi="Arial" w:cs="Arial"/>
          <w:iCs/>
          <w:lang w:val="en-ZA"/>
        </w:rPr>
        <w:t xml:space="preserve">The Tribunal and the CAC are the only bodies that can make an order declaring that a firm is engaged in a </w:t>
      </w:r>
      <w:r w:rsidR="00B90552" w:rsidRPr="00100A3A">
        <w:rPr>
          <w:rFonts w:ascii="Arial" w:eastAsia="Calibri" w:hAnsi="Arial" w:cs="Arial"/>
          <w:iCs/>
          <w:lang w:val="en-ZA"/>
        </w:rPr>
        <w:t>prohibited</w:t>
      </w:r>
      <w:r w:rsidR="00E9250E" w:rsidRPr="00100A3A">
        <w:rPr>
          <w:rFonts w:ascii="Arial" w:eastAsia="Calibri" w:hAnsi="Arial" w:cs="Arial"/>
          <w:iCs/>
          <w:lang w:val="en-ZA"/>
        </w:rPr>
        <w:t xml:space="preserve"> practice. Unless they do so, no such declaration can be made.  This is clear from section 62(1)(a) which provides that the Tribunal and the CAC have exclusive jurisdiction in respect of the interpretation and application of </w:t>
      </w:r>
      <w:r w:rsidR="00B90552" w:rsidRPr="00100A3A">
        <w:rPr>
          <w:rFonts w:ascii="Arial" w:eastAsia="Calibri" w:hAnsi="Arial" w:cs="Arial"/>
          <w:iCs/>
          <w:lang w:val="en-ZA"/>
        </w:rPr>
        <w:t>C</w:t>
      </w:r>
      <w:r w:rsidR="00E9250E" w:rsidRPr="00100A3A">
        <w:rPr>
          <w:rFonts w:ascii="Arial" w:eastAsia="Calibri" w:hAnsi="Arial" w:cs="Arial"/>
          <w:iCs/>
          <w:lang w:val="en-ZA"/>
        </w:rPr>
        <w:t xml:space="preserve">hapter 2 of the Act … Section 65(2) ousts the jurisdiction of a civil court to consider whether conduct prohibited by the Act has taken place and, </w:t>
      </w:r>
      <w:r w:rsidR="00B90552" w:rsidRPr="00100A3A">
        <w:rPr>
          <w:rFonts w:ascii="Arial" w:eastAsia="Calibri" w:hAnsi="Arial" w:cs="Arial"/>
          <w:iCs/>
          <w:lang w:val="en-ZA"/>
        </w:rPr>
        <w:t xml:space="preserve">if so, to make a declaration. A civil court is obliged to apply the determination of these specialist bodies. Once a declaration has been made by the Tribunal or CAC, it therefore renders </w:t>
      </w:r>
      <w:r w:rsidR="00B90552" w:rsidRPr="00100A3A">
        <w:rPr>
          <w:rFonts w:ascii="Arial" w:eastAsia="Calibri" w:hAnsi="Arial" w:cs="Arial"/>
          <w:lang w:val="en-ZA"/>
        </w:rPr>
        <w:t>res judicata</w:t>
      </w:r>
      <w:r w:rsidR="00B90552" w:rsidRPr="00100A3A">
        <w:rPr>
          <w:rFonts w:ascii="Arial" w:eastAsia="Calibri" w:hAnsi="Arial" w:cs="Arial"/>
          <w:iCs/>
          <w:lang w:val="en-ZA"/>
        </w:rPr>
        <w:t xml:space="preserve"> the issue of the wrongful conduct of the firm in question</w:t>
      </w:r>
      <w:r w:rsidR="00B90552" w:rsidRPr="00751B45">
        <w:rPr>
          <w:rFonts w:ascii="Arial" w:eastAsia="Calibri" w:hAnsi="Arial" w:cs="Arial"/>
          <w:i/>
          <w:iCs/>
          <w:sz w:val="24"/>
          <w:szCs w:val="24"/>
          <w:lang w:val="en-ZA"/>
        </w:rPr>
        <w:t>.</w:t>
      </w:r>
      <w:r>
        <w:rPr>
          <w:rFonts w:ascii="Arial" w:eastAsia="Calibri" w:hAnsi="Arial" w:cs="Arial"/>
          <w:sz w:val="24"/>
          <w:szCs w:val="24"/>
          <w:lang w:val="en-ZA"/>
        </w:rPr>
        <w:t>’</w:t>
      </w:r>
    </w:p>
    <w:p w14:paraId="235D9D2C" w14:textId="77777777" w:rsidR="00100A3A" w:rsidRPr="00100A3A" w:rsidRDefault="00100A3A" w:rsidP="00100A3A">
      <w:pPr>
        <w:spacing w:after="0" w:line="360" w:lineRule="auto"/>
        <w:jc w:val="both"/>
        <w:rPr>
          <w:rFonts w:ascii="Arial" w:eastAsia="Calibri" w:hAnsi="Arial" w:cs="Arial"/>
          <w:sz w:val="24"/>
          <w:szCs w:val="24"/>
          <w:lang w:val="en-ZA"/>
        </w:rPr>
      </w:pPr>
    </w:p>
    <w:p w14:paraId="75C27EB5" w14:textId="46C5F6F0" w:rsidR="00B90552"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[40]</w:t>
      </w:r>
      <w:r>
        <w:rPr>
          <w:rFonts w:ascii="Arial" w:eastAsia="Calibri" w:hAnsi="Arial" w:cs="Arial"/>
          <w:sz w:val="24"/>
          <w:szCs w:val="24"/>
          <w:lang w:val="en-ZA"/>
        </w:rPr>
        <w:tab/>
      </w:r>
      <w:r w:rsidR="00B90552" w:rsidRPr="001A246B">
        <w:rPr>
          <w:rFonts w:ascii="Arial" w:eastAsia="Calibri" w:hAnsi="Arial" w:cs="Arial"/>
          <w:sz w:val="24"/>
          <w:szCs w:val="24"/>
          <w:lang w:val="en-ZA"/>
        </w:rPr>
        <w:t xml:space="preserve">In terms of the Act, it is clear that until such a determination has been made or appeal has been concluded, </w:t>
      </w:r>
      <w:r w:rsidR="00970C7B" w:rsidRPr="001A246B">
        <w:rPr>
          <w:rFonts w:ascii="Arial" w:eastAsia="Calibri" w:hAnsi="Arial" w:cs="Arial"/>
          <w:sz w:val="24"/>
          <w:szCs w:val="24"/>
          <w:lang w:val="en-ZA"/>
        </w:rPr>
        <w:t xml:space="preserve">the First Defendant has no cause of action. The submission by the Plaintiff that the </w:t>
      </w:r>
      <w:r w:rsidR="00B90552" w:rsidRPr="001A246B">
        <w:rPr>
          <w:rFonts w:ascii="Arial" w:eastAsia="Calibri" w:hAnsi="Arial" w:cs="Arial"/>
          <w:sz w:val="24"/>
          <w:szCs w:val="24"/>
          <w:lang w:val="en-ZA"/>
        </w:rPr>
        <w:t xml:space="preserve">First Defendant’s counterclaim is </w:t>
      </w:r>
      <w:r w:rsidR="00970C7B" w:rsidRPr="001A246B">
        <w:rPr>
          <w:rFonts w:ascii="Arial" w:eastAsia="Calibri" w:hAnsi="Arial" w:cs="Arial"/>
          <w:sz w:val="24"/>
          <w:szCs w:val="24"/>
          <w:lang w:val="en-ZA"/>
        </w:rPr>
        <w:t>irregular and lacks the necessary averments to sustain its cause of action is correct.</w:t>
      </w:r>
    </w:p>
    <w:p w14:paraId="37779D53" w14:textId="77777777" w:rsidR="00100A3A" w:rsidRPr="00751B45" w:rsidRDefault="00100A3A" w:rsidP="00100A3A">
      <w:pPr>
        <w:pStyle w:val="ListParagraph"/>
        <w:spacing w:after="0" w:line="360" w:lineRule="auto"/>
        <w:ind w:left="851"/>
        <w:contextualSpacing w:val="0"/>
        <w:jc w:val="both"/>
        <w:rPr>
          <w:rFonts w:ascii="Arial" w:eastAsia="Calibri" w:hAnsi="Arial" w:cs="Arial"/>
          <w:sz w:val="24"/>
          <w:szCs w:val="24"/>
          <w:lang w:val="en-ZA"/>
        </w:rPr>
      </w:pPr>
    </w:p>
    <w:p w14:paraId="48EC38E8" w14:textId="7A202744" w:rsidR="00970C7B"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[41]</w:t>
      </w:r>
      <w:r>
        <w:rPr>
          <w:rFonts w:ascii="Arial" w:eastAsia="Calibri" w:hAnsi="Arial" w:cs="Arial"/>
          <w:sz w:val="24"/>
          <w:szCs w:val="24"/>
          <w:lang w:val="en-ZA"/>
        </w:rPr>
        <w:tab/>
      </w:r>
      <w:r w:rsidR="00970C7B" w:rsidRPr="001A246B">
        <w:rPr>
          <w:rFonts w:ascii="Arial" w:eastAsia="Calibri" w:hAnsi="Arial" w:cs="Arial"/>
          <w:sz w:val="24"/>
          <w:szCs w:val="24"/>
          <w:lang w:val="en-ZA"/>
        </w:rPr>
        <w:t xml:space="preserve">Only (and if) upon the Competition Tribunal or Competition Appeal Court finding that there has been a prohibited practice, then the First Defendant may have a claim.  </w:t>
      </w:r>
      <w:r w:rsidR="002329DB" w:rsidRPr="001A246B">
        <w:rPr>
          <w:rFonts w:ascii="Arial" w:eastAsia="Calibri" w:hAnsi="Arial" w:cs="Arial"/>
          <w:sz w:val="24"/>
          <w:szCs w:val="24"/>
          <w:lang w:val="en-ZA"/>
        </w:rPr>
        <w:t xml:space="preserve">Under the current factual situation, there is no cause of action established by the First Defendant. </w:t>
      </w:r>
    </w:p>
    <w:p w14:paraId="6B90EAD6" w14:textId="77777777" w:rsidR="00100A3A" w:rsidRPr="00100A3A" w:rsidRDefault="00100A3A" w:rsidP="00100A3A">
      <w:pPr>
        <w:pStyle w:val="ListParagraph"/>
        <w:rPr>
          <w:rFonts w:ascii="Arial" w:eastAsia="Calibri" w:hAnsi="Arial" w:cs="Arial"/>
          <w:sz w:val="24"/>
          <w:szCs w:val="24"/>
          <w:lang w:val="en-ZA"/>
        </w:rPr>
      </w:pPr>
    </w:p>
    <w:p w14:paraId="3E658CEF" w14:textId="74C0E019" w:rsidR="00D535B7"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lastRenderedPageBreak/>
        <w:t>[42]</w:t>
      </w:r>
      <w:r>
        <w:rPr>
          <w:rFonts w:ascii="Arial" w:eastAsia="Calibri" w:hAnsi="Arial" w:cs="Arial"/>
          <w:sz w:val="24"/>
          <w:szCs w:val="24"/>
          <w:lang w:val="en-ZA"/>
        </w:rPr>
        <w:tab/>
      </w:r>
      <w:r w:rsidR="00D535B7" w:rsidRPr="001A246B">
        <w:rPr>
          <w:rFonts w:ascii="Arial" w:eastAsia="Calibri" w:hAnsi="Arial" w:cs="Arial"/>
          <w:sz w:val="24"/>
          <w:szCs w:val="24"/>
          <w:lang w:val="en-ZA"/>
        </w:rPr>
        <w:t xml:space="preserve">The alternative prayer in the First Defendant’s counterclaim is that the matter be stayed pending the outcome of the referral to the First Defendant’s complaint to the Competition Tribunal. The complaint was referred by the Competition Commission to the Competition Tribunal over four years ago and no further submissions were made as to when the complaint would be dealt with.  In the premises, the alternative prayer in the First Defendant’s counterclaim has </w:t>
      </w:r>
      <w:r w:rsidR="003A5F35" w:rsidRPr="001A246B">
        <w:rPr>
          <w:rFonts w:ascii="Arial" w:eastAsia="Calibri" w:hAnsi="Arial" w:cs="Arial"/>
          <w:sz w:val="24"/>
          <w:szCs w:val="24"/>
          <w:lang w:val="en-ZA"/>
        </w:rPr>
        <w:t xml:space="preserve">no reasonable </w:t>
      </w:r>
      <w:r w:rsidR="00D535B7" w:rsidRPr="001A246B">
        <w:rPr>
          <w:rFonts w:ascii="Arial" w:eastAsia="Calibri" w:hAnsi="Arial" w:cs="Arial"/>
          <w:sz w:val="24"/>
          <w:szCs w:val="24"/>
          <w:lang w:val="en-ZA"/>
        </w:rPr>
        <w:t>basis.</w:t>
      </w:r>
    </w:p>
    <w:p w14:paraId="62498D24" w14:textId="77777777" w:rsidR="00100A3A" w:rsidRPr="00100A3A" w:rsidRDefault="00100A3A" w:rsidP="00100A3A">
      <w:pPr>
        <w:pStyle w:val="ListParagraph"/>
        <w:rPr>
          <w:rFonts w:ascii="Arial" w:eastAsia="Calibri" w:hAnsi="Arial" w:cs="Arial"/>
          <w:sz w:val="24"/>
          <w:szCs w:val="24"/>
          <w:lang w:val="en-ZA"/>
        </w:rPr>
      </w:pPr>
    </w:p>
    <w:p w14:paraId="080FD420" w14:textId="77777777" w:rsidR="00100A3A" w:rsidRPr="00751B45" w:rsidRDefault="00100A3A" w:rsidP="00100A3A">
      <w:pPr>
        <w:pStyle w:val="ListParagraph"/>
        <w:spacing w:after="0" w:line="360" w:lineRule="auto"/>
        <w:ind w:left="851"/>
        <w:contextualSpacing w:val="0"/>
        <w:jc w:val="both"/>
        <w:rPr>
          <w:rFonts w:ascii="Arial" w:eastAsia="Calibri" w:hAnsi="Arial" w:cs="Arial"/>
          <w:sz w:val="24"/>
          <w:szCs w:val="24"/>
          <w:lang w:val="en-ZA"/>
        </w:rPr>
      </w:pPr>
    </w:p>
    <w:p w14:paraId="728C05A6" w14:textId="4A750AA2" w:rsidR="00D535B7"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[43]</w:t>
      </w:r>
      <w:r>
        <w:rPr>
          <w:rFonts w:ascii="Arial" w:eastAsia="Calibri" w:hAnsi="Arial" w:cs="Arial"/>
          <w:sz w:val="24"/>
          <w:szCs w:val="24"/>
          <w:lang w:val="en-ZA"/>
        </w:rPr>
        <w:tab/>
      </w:r>
      <w:r w:rsidR="00D535B7" w:rsidRPr="001A246B">
        <w:rPr>
          <w:rFonts w:ascii="Arial" w:eastAsia="Calibri" w:hAnsi="Arial" w:cs="Arial"/>
          <w:sz w:val="24"/>
          <w:szCs w:val="24"/>
          <w:lang w:val="en-ZA"/>
        </w:rPr>
        <w:t xml:space="preserve">Neither party made submissions regarding the possibility of the First Defendant being granted leave to amend its counterclaim if the Plaintiff’s exception was upheld. Due to the unusual nature of the First Defendant’s counterclaim, no amendment can be made until the Competition Tribunal or Competition Appeal Court make a finding regarding the complaint.  </w:t>
      </w:r>
    </w:p>
    <w:p w14:paraId="3F91508E" w14:textId="77777777" w:rsidR="00100A3A" w:rsidRPr="00751B45" w:rsidRDefault="00100A3A" w:rsidP="00100A3A">
      <w:pPr>
        <w:pStyle w:val="ListParagraph"/>
        <w:spacing w:after="0" w:line="360" w:lineRule="auto"/>
        <w:ind w:left="851"/>
        <w:contextualSpacing w:val="0"/>
        <w:jc w:val="both"/>
        <w:rPr>
          <w:rFonts w:ascii="Arial" w:eastAsia="Calibri" w:hAnsi="Arial" w:cs="Arial"/>
          <w:sz w:val="24"/>
          <w:szCs w:val="24"/>
          <w:lang w:val="en-ZA"/>
        </w:rPr>
      </w:pPr>
    </w:p>
    <w:p w14:paraId="3D752270" w14:textId="771DC402" w:rsidR="00B90552" w:rsidRPr="001A246B" w:rsidRDefault="001A246B" w:rsidP="001A246B">
      <w:pPr>
        <w:spacing w:after="0" w:line="360" w:lineRule="auto"/>
        <w:ind w:left="851" w:hanging="851"/>
        <w:jc w:val="both"/>
        <w:rPr>
          <w:rFonts w:ascii="Arial" w:eastAsia="Calibri" w:hAnsi="Arial" w:cs="Arial"/>
          <w:sz w:val="24"/>
          <w:szCs w:val="24"/>
          <w:lang w:val="en-ZA"/>
        </w:rPr>
      </w:pPr>
      <w:r>
        <w:rPr>
          <w:rFonts w:ascii="Arial" w:eastAsia="Calibri" w:hAnsi="Arial" w:cs="Arial"/>
          <w:sz w:val="24"/>
          <w:szCs w:val="24"/>
          <w:lang w:val="en-ZA"/>
        </w:rPr>
        <w:t>[44]</w:t>
      </w:r>
      <w:r>
        <w:rPr>
          <w:rFonts w:ascii="Arial" w:eastAsia="Calibri" w:hAnsi="Arial" w:cs="Arial"/>
          <w:sz w:val="24"/>
          <w:szCs w:val="24"/>
          <w:lang w:val="en-ZA"/>
        </w:rPr>
        <w:tab/>
      </w:r>
      <w:r w:rsidR="00B90552" w:rsidRPr="001A246B">
        <w:rPr>
          <w:rFonts w:ascii="Arial" w:eastAsia="Calibri" w:hAnsi="Arial" w:cs="Arial"/>
          <w:sz w:val="24"/>
          <w:szCs w:val="24"/>
          <w:lang w:val="en-ZA"/>
        </w:rPr>
        <w:t>In the premises, the following order is granted:</w:t>
      </w:r>
    </w:p>
    <w:p w14:paraId="3752FBFE" w14:textId="77777777" w:rsidR="00100A3A" w:rsidRPr="00100A3A" w:rsidRDefault="00100A3A" w:rsidP="00100A3A">
      <w:pPr>
        <w:pStyle w:val="ListParagraph"/>
        <w:rPr>
          <w:rFonts w:ascii="Arial" w:eastAsia="Calibri" w:hAnsi="Arial" w:cs="Arial"/>
          <w:sz w:val="24"/>
          <w:szCs w:val="24"/>
          <w:lang w:val="en-ZA"/>
        </w:rPr>
      </w:pPr>
    </w:p>
    <w:p w14:paraId="1341988A" w14:textId="52CBC0AF" w:rsidR="00486081" w:rsidRPr="00751B45" w:rsidRDefault="00640429" w:rsidP="00751B45">
      <w:pPr>
        <w:pStyle w:val="ListParagraph"/>
        <w:spacing w:after="0" w:line="360" w:lineRule="auto"/>
        <w:ind w:left="1440" w:hanging="589"/>
        <w:contextualSpacing w:val="0"/>
        <w:jc w:val="both"/>
        <w:rPr>
          <w:rFonts w:ascii="Arial" w:eastAsia="Calibri" w:hAnsi="Arial" w:cs="Arial"/>
          <w:sz w:val="24"/>
          <w:szCs w:val="24"/>
          <w:lang w:val="en-ZA"/>
        </w:rPr>
      </w:pPr>
      <w:r w:rsidRPr="00751B45">
        <w:rPr>
          <w:rFonts w:ascii="Arial" w:eastAsia="Calibri" w:hAnsi="Arial" w:cs="Arial"/>
          <w:sz w:val="24"/>
          <w:szCs w:val="24"/>
          <w:lang w:val="en-ZA"/>
        </w:rPr>
        <w:t>1.</w:t>
      </w:r>
      <w:r w:rsidRPr="00751B45">
        <w:rPr>
          <w:rFonts w:ascii="Arial" w:eastAsia="Calibri" w:hAnsi="Arial" w:cs="Arial"/>
          <w:sz w:val="24"/>
          <w:szCs w:val="24"/>
          <w:lang w:val="en-ZA"/>
        </w:rPr>
        <w:tab/>
      </w:r>
      <w:r w:rsidR="00B90552" w:rsidRPr="00751B45">
        <w:rPr>
          <w:rFonts w:ascii="Arial" w:eastAsia="Calibri" w:hAnsi="Arial" w:cs="Arial"/>
          <w:sz w:val="24"/>
          <w:szCs w:val="24"/>
          <w:lang w:val="en-ZA"/>
        </w:rPr>
        <w:t>The Plaintiff’s exception to the First Defendant’s counterclaim is upheld.</w:t>
      </w:r>
    </w:p>
    <w:p w14:paraId="76C8996C" w14:textId="0A7BC3CA" w:rsidR="00B90552" w:rsidRPr="00751B45" w:rsidRDefault="00B90552" w:rsidP="00751B45">
      <w:pPr>
        <w:pStyle w:val="ListParagraph"/>
        <w:spacing w:after="0" w:line="360" w:lineRule="auto"/>
        <w:ind w:left="1440" w:hanging="589"/>
        <w:contextualSpacing w:val="0"/>
        <w:jc w:val="both"/>
        <w:rPr>
          <w:rFonts w:ascii="Arial" w:eastAsia="Calibri" w:hAnsi="Arial" w:cs="Arial"/>
          <w:sz w:val="24"/>
          <w:szCs w:val="24"/>
          <w:lang w:val="en-ZA"/>
        </w:rPr>
      </w:pPr>
      <w:r w:rsidRPr="00751B45">
        <w:rPr>
          <w:rFonts w:ascii="Arial" w:eastAsia="Calibri" w:hAnsi="Arial" w:cs="Arial"/>
          <w:sz w:val="24"/>
          <w:szCs w:val="24"/>
          <w:lang w:val="en-ZA"/>
        </w:rPr>
        <w:t>2.</w:t>
      </w:r>
      <w:r w:rsidRPr="00751B45">
        <w:rPr>
          <w:rFonts w:ascii="Arial" w:eastAsia="Calibri" w:hAnsi="Arial" w:cs="Arial"/>
          <w:sz w:val="24"/>
          <w:szCs w:val="24"/>
          <w:lang w:val="en-ZA"/>
        </w:rPr>
        <w:tab/>
        <w:t>The First Defendant is to pay the costs of the application.</w:t>
      </w:r>
    </w:p>
    <w:p w14:paraId="514691CD" w14:textId="77777777" w:rsidR="00510A04" w:rsidRDefault="00510A04" w:rsidP="00100A3A">
      <w:pPr>
        <w:spacing w:after="0" w:line="240" w:lineRule="auto"/>
        <w:rPr>
          <w:rFonts w:ascii="Arial" w:hAnsi="Arial" w:cs="Arial"/>
          <w:b/>
          <w:sz w:val="24"/>
          <w:szCs w:val="24"/>
          <w:lang w:val="en-ZA"/>
        </w:rPr>
      </w:pPr>
    </w:p>
    <w:p w14:paraId="2223C847" w14:textId="77777777" w:rsidR="00100A3A" w:rsidRDefault="00100A3A" w:rsidP="00100A3A">
      <w:pPr>
        <w:spacing w:after="0" w:line="240" w:lineRule="auto"/>
        <w:jc w:val="right"/>
        <w:rPr>
          <w:rFonts w:ascii="Arial" w:hAnsi="Arial" w:cs="Arial"/>
          <w:b/>
          <w:sz w:val="24"/>
          <w:szCs w:val="24"/>
          <w:lang w:val="en-ZA"/>
        </w:rPr>
      </w:pPr>
    </w:p>
    <w:p w14:paraId="6B58016C" w14:textId="77777777" w:rsidR="00100A3A" w:rsidRDefault="00100A3A" w:rsidP="00100A3A">
      <w:pPr>
        <w:spacing w:after="0" w:line="240" w:lineRule="auto"/>
        <w:jc w:val="right"/>
        <w:rPr>
          <w:rFonts w:ascii="Arial" w:hAnsi="Arial" w:cs="Arial"/>
          <w:b/>
          <w:sz w:val="24"/>
          <w:szCs w:val="24"/>
          <w:lang w:val="en-ZA"/>
        </w:rPr>
      </w:pPr>
    </w:p>
    <w:p w14:paraId="47BE6AEC" w14:textId="755EEF18" w:rsidR="00100A3A" w:rsidRDefault="00100A3A" w:rsidP="00100A3A">
      <w:pPr>
        <w:spacing w:after="0" w:line="240" w:lineRule="auto"/>
        <w:jc w:val="right"/>
        <w:rPr>
          <w:rFonts w:ascii="Arial" w:hAnsi="Arial" w:cs="Arial"/>
          <w:b/>
          <w:sz w:val="24"/>
          <w:szCs w:val="24"/>
          <w:lang w:val="en-ZA"/>
        </w:rPr>
      </w:pPr>
      <w:r>
        <w:rPr>
          <w:rFonts w:ascii="Arial" w:hAnsi="Arial" w:cs="Arial"/>
          <w:b/>
          <w:sz w:val="24"/>
          <w:szCs w:val="24"/>
          <w:lang w:val="en-ZA"/>
        </w:rPr>
        <w:t>_______________</w:t>
      </w:r>
    </w:p>
    <w:p w14:paraId="3430C57B" w14:textId="2A3B8086" w:rsidR="006B2AD2" w:rsidRDefault="00FE3E86" w:rsidP="00100A3A">
      <w:pPr>
        <w:spacing w:after="0" w:line="240" w:lineRule="auto"/>
        <w:jc w:val="right"/>
        <w:rPr>
          <w:rFonts w:ascii="Arial" w:hAnsi="Arial" w:cs="Arial"/>
          <w:b/>
          <w:sz w:val="24"/>
          <w:szCs w:val="24"/>
          <w:lang w:val="en-ZA"/>
        </w:rPr>
      </w:pPr>
      <w:r w:rsidRPr="008D105A">
        <w:rPr>
          <w:rFonts w:ascii="Arial" w:hAnsi="Arial" w:cs="Arial"/>
          <w:b/>
          <w:sz w:val="24"/>
          <w:szCs w:val="24"/>
          <w:lang w:val="en-ZA"/>
        </w:rPr>
        <w:t>MCINTOSH AJ</w:t>
      </w:r>
    </w:p>
    <w:p w14:paraId="11C43187" w14:textId="07760020" w:rsidR="006B2AD2" w:rsidRPr="00846077" w:rsidRDefault="00510A04" w:rsidP="00D535B7">
      <w:pPr>
        <w:jc w:val="center"/>
        <w:rPr>
          <w:rFonts w:ascii="Arial" w:hAnsi="Arial" w:cs="Arial"/>
          <w:sz w:val="24"/>
          <w:szCs w:val="24"/>
          <w:u w:val="single"/>
          <w:lang w:val="en-ZA"/>
        </w:rPr>
      </w:pPr>
      <w:r>
        <w:rPr>
          <w:rFonts w:ascii="Arial" w:hAnsi="Arial" w:cs="Arial"/>
          <w:sz w:val="24"/>
          <w:szCs w:val="24"/>
          <w:u w:val="single"/>
          <w:lang w:val="en-ZA"/>
        </w:rPr>
        <w:br w:type="page"/>
      </w:r>
      <w:r w:rsidR="00FE3E86" w:rsidRPr="00846077">
        <w:rPr>
          <w:rFonts w:ascii="Arial" w:hAnsi="Arial" w:cs="Arial"/>
          <w:sz w:val="24"/>
          <w:szCs w:val="24"/>
          <w:u w:val="single"/>
          <w:lang w:val="en-ZA"/>
        </w:rPr>
        <w:lastRenderedPageBreak/>
        <w:t>APPE</w:t>
      </w:r>
      <w:r w:rsidR="00846077" w:rsidRPr="00846077">
        <w:rPr>
          <w:rFonts w:ascii="Arial" w:hAnsi="Arial" w:cs="Arial"/>
          <w:sz w:val="24"/>
          <w:szCs w:val="24"/>
          <w:u w:val="single"/>
          <w:lang w:val="en-ZA"/>
        </w:rPr>
        <w:t>A</w:t>
      </w:r>
      <w:r w:rsidR="00FE3E86" w:rsidRPr="00846077">
        <w:rPr>
          <w:rFonts w:ascii="Arial" w:hAnsi="Arial" w:cs="Arial"/>
          <w:sz w:val="24"/>
          <w:szCs w:val="24"/>
          <w:u w:val="single"/>
          <w:lang w:val="en-ZA"/>
        </w:rPr>
        <w:t>RANCES</w:t>
      </w:r>
    </w:p>
    <w:p w14:paraId="0EDCB011" w14:textId="3F1B168F" w:rsidR="00240727" w:rsidRDefault="00FE3E86" w:rsidP="00EE7901">
      <w:pPr>
        <w:spacing w:after="0" w:line="240" w:lineRule="auto"/>
        <w:jc w:val="both"/>
        <w:rPr>
          <w:rFonts w:ascii="Arial" w:hAnsi="Arial" w:cs="Arial"/>
          <w:sz w:val="24"/>
          <w:szCs w:val="24"/>
          <w:lang w:val="en-ZA"/>
        </w:rPr>
      </w:pPr>
      <w:r w:rsidRPr="008D105A">
        <w:rPr>
          <w:rFonts w:ascii="Arial" w:hAnsi="Arial" w:cs="Arial"/>
          <w:sz w:val="24"/>
          <w:szCs w:val="24"/>
          <w:lang w:val="en-ZA"/>
        </w:rPr>
        <w:t>Counsel f</w:t>
      </w:r>
      <w:r w:rsidR="00C45ED2" w:rsidRPr="008D105A">
        <w:rPr>
          <w:rFonts w:ascii="Arial" w:hAnsi="Arial" w:cs="Arial"/>
          <w:sz w:val="24"/>
          <w:szCs w:val="24"/>
          <w:lang w:val="en-ZA"/>
        </w:rPr>
        <w:t xml:space="preserve">or the </w:t>
      </w:r>
      <w:r w:rsidR="00E07AEC">
        <w:rPr>
          <w:rFonts w:ascii="Arial" w:hAnsi="Arial" w:cs="Arial"/>
          <w:sz w:val="24"/>
          <w:szCs w:val="24"/>
          <w:lang w:val="en-ZA"/>
        </w:rPr>
        <w:t>Plaintiff</w:t>
      </w:r>
      <w:r w:rsidR="00C45ED2" w:rsidRPr="008D105A">
        <w:rPr>
          <w:rFonts w:ascii="Arial" w:hAnsi="Arial" w:cs="Arial"/>
          <w:sz w:val="24"/>
          <w:szCs w:val="24"/>
          <w:lang w:val="en-ZA"/>
        </w:rPr>
        <w:t>:</w:t>
      </w:r>
      <w:r w:rsidR="00C45ED2" w:rsidRPr="008D105A">
        <w:rPr>
          <w:rFonts w:ascii="Arial" w:hAnsi="Arial" w:cs="Arial"/>
          <w:sz w:val="24"/>
          <w:szCs w:val="24"/>
          <w:lang w:val="en-ZA"/>
        </w:rPr>
        <w:tab/>
      </w:r>
      <w:r w:rsidR="00C45ED2" w:rsidRPr="008D105A">
        <w:rPr>
          <w:rFonts w:ascii="Arial" w:hAnsi="Arial" w:cs="Arial"/>
          <w:sz w:val="24"/>
          <w:szCs w:val="24"/>
          <w:lang w:val="en-ZA"/>
        </w:rPr>
        <w:tab/>
      </w:r>
      <w:r w:rsidR="00EE7901">
        <w:rPr>
          <w:rFonts w:ascii="Arial" w:hAnsi="Arial" w:cs="Arial"/>
          <w:sz w:val="24"/>
          <w:szCs w:val="24"/>
          <w:lang w:val="en-ZA"/>
        </w:rPr>
        <w:t>Adv H Singh</w:t>
      </w:r>
    </w:p>
    <w:p w14:paraId="010090AB" w14:textId="77777777" w:rsidR="00EE7901" w:rsidRDefault="00EE7901" w:rsidP="00EE7901">
      <w:pPr>
        <w:spacing w:after="0" w:line="240" w:lineRule="auto"/>
        <w:jc w:val="both"/>
        <w:rPr>
          <w:rFonts w:ascii="Arial" w:hAnsi="Arial" w:cs="Arial"/>
          <w:sz w:val="24"/>
          <w:szCs w:val="24"/>
          <w:lang w:val="en-ZA"/>
        </w:rPr>
      </w:pPr>
    </w:p>
    <w:p w14:paraId="040138AB" w14:textId="517AA5D0"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Instructed by:</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Shepstone &amp; Wylie</w:t>
      </w:r>
    </w:p>
    <w:p w14:paraId="4B6AFE88" w14:textId="593F61DC"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24 Richefond Circle</w:t>
      </w:r>
    </w:p>
    <w:p w14:paraId="06266A24" w14:textId="1B0D4AD9"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Ridgeside Office Park</w:t>
      </w:r>
    </w:p>
    <w:p w14:paraId="7496727B" w14:textId="33B36F2C"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Umhlanga Rocks</w:t>
      </w:r>
    </w:p>
    <w:p w14:paraId="323CEDD7" w14:textId="13732505"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Email: azwane@wylie.co.za</w:t>
      </w:r>
    </w:p>
    <w:p w14:paraId="53FEDDCD" w14:textId="1CD0B340" w:rsidR="00EE7901" w:rsidRPr="008D105A"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Ref: JCS/AGZ/PRAS22007.57</w:t>
      </w:r>
    </w:p>
    <w:p w14:paraId="580BA435" w14:textId="77777777" w:rsidR="004F506C" w:rsidRPr="008D105A" w:rsidRDefault="004F506C" w:rsidP="00EE7901">
      <w:pPr>
        <w:spacing w:after="0" w:line="240" w:lineRule="auto"/>
        <w:jc w:val="both"/>
        <w:rPr>
          <w:rStyle w:val="Hyperlink"/>
          <w:rFonts w:ascii="Arial" w:hAnsi="Arial" w:cs="Arial"/>
          <w:sz w:val="24"/>
          <w:szCs w:val="24"/>
          <w:lang w:val="en-ZA"/>
        </w:rPr>
      </w:pPr>
    </w:p>
    <w:p w14:paraId="06B0DEE7" w14:textId="70B54428" w:rsidR="00FE3E86" w:rsidRDefault="00C45ED2" w:rsidP="00EE7901">
      <w:pPr>
        <w:spacing w:after="0" w:line="240" w:lineRule="auto"/>
        <w:jc w:val="both"/>
        <w:rPr>
          <w:rFonts w:ascii="Arial" w:hAnsi="Arial" w:cs="Arial"/>
          <w:sz w:val="24"/>
          <w:szCs w:val="24"/>
          <w:lang w:val="en-ZA"/>
        </w:rPr>
      </w:pPr>
      <w:r w:rsidRPr="008D105A">
        <w:rPr>
          <w:rFonts w:ascii="Arial" w:hAnsi="Arial" w:cs="Arial"/>
          <w:sz w:val="24"/>
          <w:szCs w:val="24"/>
          <w:lang w:val="en-ZA"/>
        </w:rPr>
        <w:t xml:space="preserve">Counsel for the </w:t>
      </w:r>
      <w:r w:rsidR="00E07AEC">
        <w:rPr>
          <w:rFonts w:ascii="Arial" w:hAnsi="Arial" w:cs="Arial"/>
          <w:sz w:val="24"/>
          <w:szCs w:val="24"/>
          <w:lang w:val="en-ZA"/>
        </w:rPr>
        <w:t>Defendant</w:t>
      </w:r>
      <w:r w:rsidRPr="008D105A">
        <w:rPr>
          <w:rFonts w:ascii="Arial" w:hAnsi="Arial" w:cs="Arial"/>
          <w:sz w:val="24"/>
          <w:szCs w:val="24"/>
          <w:lang w:val="en-ZA"/>
        </w:rPr>
        <w:t>:</w:t>
      </w:r>
      <w:r w:rsidRPr="008D105A">
        <w:rPr>
          <w:rFonts w:ascii="Arial" w:hAnsi="Arial" w:cs="Arial"/>
          <w:sz w:val="24"/>
          <w:szCs w:val="24"/>
          <w:lang w:val="en-ZA"/>
        </w:rPr>
        <w:tab/>
      </w:r>
      <w:r w:rsidRPr="008D105A">
        <w:rPr>
          <w:rFonts w:ascii="Arial" w:hAnsi="Arial" w:cs="Arial"/>
          <w:sz w:val="24"/>
          <w:szCs w:val="24"/>
          <w:lang w:val="en-ZA"/>
        </w:rPr>
        <w:tab/>
      </w:r>
      <w:r w:rsidR="00EE7901">
        <w:rPr>
          <w:rFonts w:ascii="Arial" w:hAnsi="Arial" w:cs="Arial"/>
          <w:sz w:val="24"/>
          <w:szCs w:val="24"/>
          <w:lang w:val="en-ZA"/>
        </w:rPr>
        <w:t xml:space="preserve">Adv SHV Russo </w:t>
      </w:r>
    </w:p>
    <w:p w14:paraId="40C04F89" w14:textId="38F3219D"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p>
    <w:p w14:paraId="32C4C49A" w14:textId="0C150287"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Instructed by:</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Saders Attorneys</w:t>
      </w:r>
    </w:p>
    <w:p w14:paraId="2F0FF339" w14:textId="0C279BE5"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Cinetech Centre</w:t>
      </w:r>
    </w:p>
    <w:p w14:paraId="653AA332" w14:textId="61DF289B"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1 Frost Street, cnr Lime Street</w:t>
      </w:r>
    </w:p>
    <w:p w14:paraId="43E12419" w14:textId="2119238C"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Sunnyside</w:t>
      </w:r>
    </w:p>
    <w:p w14:paraId="234F5148" w14:textId="18D60DBB"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Johannesburg</w:t>
      </w:r>
    </w:p>
    <w:p w14:paraId="4A46F617" w14:textId="560762C7"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Ref: Mr H Sader/M2313</w:t>
      </w:r>
    </w:p>
    <w:p w14:paraId="74655E42" w14:textId="6C479167" w:rsidR="00100A3A" w:rsidRDefault="00100A3A"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Pr="00100A3A">
        <w:rPr>
          <w:rFonts w:ascii="Arial" w:hAnsi="Arial" w:cs="Arial"/>
          <w:sz w:val="24"/>
          <w:szCs w:val="24"/>
          <w:highlight w:val="yellow"/>
          <w:lang w:val="en-ZA"/>
        </w:rPr>
        <w:t>Email: ?</w:t>
      </w:r>
    </w:p>
    <w:p w14:paraId="5B84D6BA" w14:textId="597423FF"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c/o Larson Falconer Hassan Parsee Inc</w:t>
      </w:r>
    </w:p>
    <w:p w14:paraId="2B739E11" w14:textId="7588F2F1"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93 Richefond Circle</w:t>
      </w:r>
    </w:p>
    <w:p w14:paraId="363D5758" w14:textId="0EC4FBE4"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Ridgeside Office Park</w:t>
      </w:r>
    </w:p>
    <w:p w14:paraId="6AD594D9" w14:textId="2C08F2F0" w:rsidR="00FE3E86"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Umhlanga Rocks</w:t>
      </w:r>
    </w:p>
    <w:p w14:paraId="74D6605A" w14:textId="533C6A22" w:rsidR="00EE7901" w:rsidRDefault="00EE7901" w:rsidP="00EE7901">
      <w:pPr>
        <w:spacing w:after="0" w:line="24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Ref: Mr Y Hassan</w:t>
      </w:r>
    </w:p>
    <w:p w14:paraId="4FC07F34" w14:textId="10A20459" w:rsidR="00751B45" w:rsidRDefault="00751B45" w:rsidP="00EE7901">
      <w:pPr>
        <w:spacing w:after="0" w:line="240" w:lineRule="auto"/>
        <w:jc w:val="both"/>
        <w:rPr>
          <w:rFonts w:ascii="Arial" w:hAnsi="Arial" w:cs="Arial"/>
          <w:sz w:val="24"/>
          <w:szCs w:val="24"/>
          <w:lang w:val="en-ZA"/>
        </w:rPr>
      </w:pPr>
    </w:p>
    <w:p w14:paraId="01B5C247" w14:textId="297A0744" w:rsidR="00751B45" w:rsidRDefault="00100A3A" w:rsidP="00EE7901">
      <w:pPr>
        <w:spacing w:after="0" w:line="240" w:lineRule="auto"/>
        <w:jc w:val="both"/>
        <w:rPr>
          <w:rFonts w:ascii="Arial" w:hAnsi="Arial" w:cs="Arial"/>
          <w:sz w:val="24"/>
          <w:szCs w:val="24"/>
          <w:lang w:val="en-ZA"/>
        </w:rPr>
      </w:pPr>
      <w:r>
        <w:rPr>
          <w:rFonts w:ascii="Arial" w:hAnsi="Arial" w:cs="Arial"/>
          <w:sz w:val="24"/>
          <w:szCs w:val="24"/>
          <w:lang w:val="en-ZA"/>
        </w:rPr>
        <w:t xml:space="preserve">Date of </w:t>
      </w:r>
      <w:r w:rsidR="00434AA3">
        <w:rPr>
          <w:rFonts w:ascii="Arial" w:hAnsi="Arial" w:cs="Arial"/>
          <w:sz w:val="24"/>
          <w:szCs w:val="24"/>
          <w:lang w:val="en-ZA"/>
        </w:rPr>
        <w:t xml:space="preserve">Hearing </w:t>
      </w:r>
      <w:r>
        <w:rPr>
          <w:rFonts w:ascii="Arial" w:hAnsi="Arial" w:cs="Arial"/>
          <w:sz w:val="24"/>
          <w:szCs w:val="24"/>
          <w:lang w:val="en-ZA"/>
        </w:rPr>
        <w:t>:</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434AA3">
        <w:rPr>
          <w:rFonts w:ascii="Arial" w:hAnsi="Arial" w:cs="Arial"/>
          <w:sz w:val="24"/>
          <w:szCs w:val="24"/>
          <w:lang w:val="en-ZA"/>
        </w:rPr>
        <w:t xml:space="preserve">20 February 2024 </w:t>
      </w:r>
    </w:p>
    <w:p w14:paraId="302E8CF3" w14:textId="04E2049F" w:rsidR="00751B45" w:rsidRDefault="00751B45" w:rsidP="00EE7901">
      <w:pPr>
        <w:spacing w:after="0" w:line="240" w:lineRule="auto"/>
        <w:jc w:val="both"/>
        <w:rPr>
          <w:rFonts w:ascii="Arial" w:hAnsi="Arial" w:cs="Arial"/>
          <w:sz w:val="24"/>
          <w:szCs w:val="24"/>
          <w:lang w:val="en-ZA"/>
        </w:rPr>
      </w:pPr>
    </w:p>
    <w:p w14:paraId="3E0251EC" w14:textId="3CB6E022" w:rsidR="00751B45" w:rsidRDefault="00434AA3" w:rsidP="00751B45">
      <w:pPr>
        <w:spacing w:line="240" w:lineRule="auto"/>
        <w:ind w:left="2160" w:hanging="2160"/>
        <w:jc w:val="both"/>
        <w:rPr>
          <w:rFonts w:ascii="Arial" w:hAnsi="Arial" w:cs="Arial"/>
          <w:bCs/>
          <w:sz w:val="24"/>
          <w:szCs w:val="24"/>
          <w:lang w:val="en-ZA"/>
        </w:rPr>
      </w:pPr>
      <w:r>
        <w:rPr>
          <w:rFonts w:ascii="Arial" w:hAnsi="Arial" w:cs="Arial"/>
          <w:bCs/>
          <w:sz w:val="24"/>
          <w:szCs w:val="24"/>
          <w:lang w:val="en-ZA"/>
        </w:rPr>
        <w:t xml:space="preserve">Date of Judgment: </w:t>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t>21 May 2024</w:t>
      </w:r>
    </w:p>
    <w:p w14:paraId="7A0D9882" w14:textId="77777777" w:rsidR="00751B45" w:rsidRDefault="00751B45" w:rsidP="00751B45">
      <w:pPr>
        <w:spacing w:line="240" w:lineRule="auto"/>
        <w:ind w:left="2160" w:hanging="2160"/>
        <w:jc w:val="both"/>
        <w:rPr>
          <w:rFonts w:ascii="Arial" w:hAnsi="Arial" w:cs="Arial"/>
          <w:bCs/>
          <w:sz w:val="24"/>
          <w:szCs w:val="24"/>
          <w:lang w:val="en-ZA"/>
        </w:rPr>
      </w:pPr>
    </w:p>
    <w:p w14:paraId="320282FB" w14:textId="2567B585" w:rsidR="00434AA3" w:rsidRDefault="00751B45" w:rsidP="00434AA3">
      <w:pPr>
        <w:spacing w:line="240" w:lineRule="auto"/>
        <w:ind w:left="2160" w:hanging="2160"/>
        <w:jc w:val="center"/>
        <w:rPr>
          <w:rFonts w:ascii="Arial" w:hAnsi="Arial" w:cs="Arial"/>
          <w:b/>
          <w:sz w:val="24"/>
          <w:szCs w:val="24"/>
          <w:lang w:val="en-ZA"/>
        </w:rPr>
      </w:pPr>
      <w:r w:rsidRPr="00E07AEC">
        <w:rPr>
          <w:rFonts w:ascii="Arial" w:hAnsi="Arial" w:cs="Arial"/>
          <w:b/>
          <w:sz w:val="24"/>
          <w:szCs w:val="24"/>
          <w:u w:val="single"/>
          <w:lang w:val="en-ZA"/>
        </w:rPr>
        <w:t>Delivered:</w:t>
      </w:r>
    </w:p>
    <w:p w14:paraId="23A7B8BD" w14:textId="77777777" w:rsidR="00434AA3" w:rsidRDefault="00751B45" w:rsidP="00434AA3">
      <w:pPr>
        <w:spacing w:line="240" w:lineRule="auto"/>
        <w:ind w:left="2160" w:hanging="2160"/>
        <w:jc w:val="center"/>
        <w:rPr>
          <w:rFonts w:ascii="Arial" w:hAnsi="Arial" w:cs="Arial"/>
          <w:b/>
          <w:sz w:val="24"/>
          <w:szCs w:val="24"/>
          <w:lang w:val="en-ZA"/>
        </w:rPr>
      </w:pPr>
      <w:r>
        <w:rPr>
          <w:rFonts w:ascii="Arial" w:hAnsi="Arial" w:cs="Arial"/>
          <w:b/>
          <w:sz w:val="24"/>
          <w:szCs w:val="24"/>
          <w:lang w:val="en-ZA"/>
        </w:rPr>
        <w:t>This judgment was handed down electronically by circulation to the parties' legal</w:t>
      </w:r>
    </w:p>
    <w:p w14:paraId="67F4050F" w14:textId="09552CE3" w:rsidR="00434AA3" w:rsidRDefault="00751B45" w:rsidP="00434AA3">
      <w:pPr>
        <w:spacing w:line="240" w:lineRule="auto"/>
        <w:ind w:left="2160" w:hanging="2160"/>
        <w:jc w:val="center"/>
        <w:rPr>
          <w:rFonts w:ascii="Arial" w:hAnsi="Arial" w:cs="Arial"/>
          <w:b/>
          <w:sz w:val="24"/>
          <w:szCs w:val="24"/>
          <w:lang w:val="en-ZA"/>
        </w:rPr>
      </w:pPr>
      <w:r>
        <w:rPr>
          <w:rFonts w:ascii="Arial" w:hAnsi="Arial" w:cs="Arial"/>
          <w:b/>
          <w:sz w:val="24"/>
          <w:szCs w:val="24"/>
          <w:lang w:val="en-ZA"/>
        </w:rPr>
        <w:t>representative by email.</w:t>
      </w:r>
    </w:p>
    <w:p w14:paraId="6DD80008" w14:textId="77777777" w:rsidR="00751B45" w:rsidRPr="008D105A" w:rsidRDefault="00751B45" w:rsidP="00EE7901">
      <w:pPr>
        <w:spacing w:after="0" w:line="240" w:lineRule="auto"/>
        <w:jc w:val="both"/>
        <w:rPr>
          <w:rFonts w:ascii="Arial" w:hAnsi="Arial" w:cs="Arial"/>
          <w:sz w:val="24"/>
          <w:szCs w:val="24"/>
          <w:lang w:val="en-ZA"/>
        </w:rPr>
      </w:pPr>
    </w:p>
    <w:sectPr w:rsidR="00751B45" w:rsidRPr="008D105A" w:rsidSect="0039383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FA36" w14:textId="77777777" w:rsidR="00300ED7" w:rsidRDefault="00300ED7" w:rsidP="00D513B8">
      <w:pPr>
        <w:spacing w:after="0" w:line="240" w:lineRule="auto"/>
      </w:pPr>
      <w:r>
        <w:separator/>
      </w:r>
    </w:p>
  </w:endnote>
  <w:endnote w:type="continuationSeparator" w:id="0">
    <w:p w14:paraId="66D7313B" w14:textId="77777777" w:rsidR="00300ED7" w:rsidRDefault="00300ED7" w:rsidP="00D5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81221"/>
      <w:docPartObj>
        <w:docPartGallery w:val="Page Numbers (Bottom of Page)"/>
        <w:docPartUnique/>
      </w:docPartObj>
    </w:sdtPr>
    <w:sdtEndPr>
      <w:rPr>
        <w:noProof/>
      </w:rPr>
    </w:sdtEndPr>
    <w:sdtContent>
      <w:p w14:paraId="3A8FF954" w14:textId="3AB1A16A" w:rsidR="006B2AD2" w:rsidRDefault="006B2AD2">
        <w:pPr>
          <w:pStyle w:val="Footer"/>
          <w:jc w:val="right"/>
        </w:pPr>
        <w:r>
          <w:fldChar w:fldCharType="begin"/>
        </w:r>
        <w:r>
          <w:instrText xml:space="preserve"> PAGE   \* MERGEFORMAT </w:instrText>
        </w:r>
        <w:r>
          <w:fldChar w:fldCharType="separate"/>
        </w:r>
        <w:r w:rsidR="001A246B">
          <w:rPr>
            <w:noProof/>
          </w:rPr>
          <w:t>12</w:t>
        </w:r>
        <w:r>
          <w:rPr>
            <w:noProof/>
          </w:rPr>
          <w:fldChar w:fldCharType="end"/>
        </w:r>
      </w:p>
    </w:sdtContent>
  </w:sdt>
  <w:p w14:paraId="405CEF05" w14:textId="77777777" w:rsidR="006B2AD2" w:rsidRDefault="006B2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D1D0" w14:textId="77777777" w:rsidR="00300ED7" w:rsidRDefault="00300ED7" w:rsidP="00D513B8">
      <w:pPr>
        <w:spacing w:after="0" w:line="240" w:lineRule="auto"/>
      </w:pPr>
      <w:r>
        <w:separator/>
      </w:r>
    </w:p>
  </w:footnote>
  <w:footnote w:type="continuationSeparator" w:id="0">
    <w:p w14:paraId="7BD23772" w14:textId="77777777" w:rsidR="00300ED7" w:rsidRDefault="00300ED7" w:rsidP="00D513B8">
      <w:pPr>
        <w:spacing w:after="0" w:line="240" w:lineRule="auto"/>
      </w:pPr>
      <w:r>
        <w:continuationSeparator/>
      </w:r>
    </w:p>
  </w:footnote>
  <w:footnote w:id="1">
    <w:p w14:paraId="52803B07" w14:textId="2E992E2C" w:rsidR="00970C7B" w:rsidRPr="00C94AE2" w:rsidRDefault="00970C7B">
      <w:pPr>
        <w:pStyle w:val="FootnoteText"/>
        <w:rPr>
          <w:rFonts w:ascii="Arial" w:hAnsi="Arial" w:cs="Arial"/>
          <w:lang w:val="en-GB"/>
        </w:rPr>
      </w:pPr>
      <w:r w:rsidRPr="00C94AE2">
        <w:rPr>
          <w:rStyle w:val="FootnoteReference"/>
          <w:rFonts w:ascii="Arial" w:hAnsi="Arial" w:cs="Arial"/>
        </w:rPr>
        <w:footnoteRef/>
      </w:r>
      <w:r w:rsidRPr="00C94AE2">
        <w:rPr>
          <w:rFonts w:ascii="Arial" w:hAnsi="Arial" w:cs="Arial"/>
        </w:rPr>
        <w:t xml:space="preserve"> </w:t>
      </w:r>
      <w:r w:rsidRPr="00C94AE2">
        <w:rPr>
          <w:rFonts w:ascii="Arial" w:hAnsi="Arial" w:cs="Arial"/>
          <w:bCs/>
          <w:i/>
          <w:lang w:val="en-GB"/>
        </w:rPr>
        <w:t>Outsurance Insurance Company Limited v Naye</w:t>
      </w:r>
      <w:r w:rsidRPr="00C94AE2">
        <w:rPr>
          <w:rFonts w:ascii="Arial" w:hAnsi="Arial" w:cs="Arial"/>
          <w:lang w:val="en-GB"/>
        </w:rPr>
        <w:t xml:space="preserve"> (2021/10241) [2021] ZAGPJHC 689.</w:t>
      </w:r>
    </w:p>
  </w:footnote>
  <w:footnote w:id="2">
    <w:p w14:paraId="27761B63" w14:textId="28893BD3" w:rsidR="00970C7B" w:rsidRPr="00C94AE2" w:rsidRDefault="00970C7B">
      <w:pPr>
        <w:pStyle w:val="FootnoteText"/>
        <w:rPr>
          <w:rFonts w:ascii="Arial" w:hAnsi="Arial" w:cs="Arial"/>
          <w:lang w:val="en-GB"/>
        </w:rPr>
      </w:pPr>
      <w:r w:rsidRPr="00C94AE2">
        <w:rPr>
          <w:rStyle w:val="FootnoteReference"/>
          <w:rFonts w:ascii="Arial" w:hAnsi="Arial" w:cs="Arial"/>
        </w:rPr>
        <w:footnoteRef/>
      </w:r>
      <w:r w:rsidRPr="00C94AE2">
        <w:rPr>
          <w:rFonts w:ascii="Arial" w:hAnsi="Arial" w:cs="Arial"/>
        </w:rPr>
        <w:t xml:space="preserve"> </w:t>
      </w:r>
      <w:r w:rsidRPr="00C94AE2">
        <w:rPr>
          <w:rFonts w:ascii="Arial" w:hAnsi="Arial" w:cs="Arial"/>
          <w:bCs/>
          <w:i/>
          <w:lang w:val="en-GB"/>
        </w:rPr>
        <w:t>M v Zimbali Country Club</w:t>
      </w:r>
      <w:r w:rsidRPr="00C94AE2">
        <w:rPr>
          <w:rFonts w:ascii="Arial" w:hAnsi="Arial" w:cs="Arial"/>
          <w:lang w:val="en-GB"/>
        </w:rPr>
        <w:t xml:space="preserve"> (AR207/2016) [2016] ZAKZPHC 81.</w:t>
      </w:r>
    </w:p>
  </w:footnote>
  <w:footnote w:id="3">
    <w:p w14:paraId="4D73C8D6" w14:textId="20C9A6AE" w:rsidR="00970C7B" w:rsidRPr="00C94AE2" w:rsidRDefault="00970C7B">
      <w:pPr>
        <w:pStyle w:val="FootnoteText"/>
        <w:rPr>
          <w:rFonts w:ascii="Arial" w:hAnsi="Arial" w:cs="Arial"/>
          <w:lang w:val="en-GB"/>
        </w:rPr>
      </w:pPr>
      <w:r w:rsidRPr="00C94AE2">
        <w:rPr>
          <w:rStyle w:val="FootnoteReference"/>
          <w:rFonts w:ascii="Arial" w:hAnsi="Arial" w:cs="Arial"/>
        </w:rPr>
        <w:footnoteRef/>
      </w:r>
      <w:r w:rsidRPr="00C94AE2">
        <w:rPr>
          <w:rFonts w:ascii="Arial" w:hAnsi="Arial" w:cs="Arial"/>
        </w:rPr>
        <w:t xml:space="preserve"> </w:t>
      </w:r>
      <w:r w:rsidRPr="00C94AE2">
        <w:rPr>
          <w:rFonts w:ascii="Arial" w:hAnsi="Arial" w:cs="Arial"/>
          <w:bCs/>
          <w:i/>
          <w:lang w:val="en-GB"/>
        </w:rPr>
        <w:t>Vermeulen v Goose Valley Limited</w:t>
      </w:r>
      <w:r w:rsidRPr="00C94AE2">
        <w:rPr>
          <w:rFonts w:ascii="Arial" w:hAnsi="Arial" w:cs="Arial"/>
          <w:i/>
          <w:lang w:val="en-GB"/>
        </w:rPr>
        <w:t xml:space="preserve"> (Pty) Ltd</w:t>
      </w:r>
      <w:r w:rsidRPr="00C94AE2">
        <w:rPr>
          <w:rFonts w:ascii="Arial" w:hAnsi="Arial" w:cs="Arial"/>
          <w:lang w:val="en-GB"/>
        </w:rPr>
        <w:t xml:space="preserve"> [2001] 3 All SA 350 (A).</w:t>
      </w:r>
    </w:p>
  </w:footnote>
  <w:footnote w:id="4">
    <w:p w14:paraId="4E27A8DB" w14:textId="77777777" w:rsidR="00BB2DDC" w:rsidRPr="00100A3A" w:rsidRDefault="00BB2DDC" w:rsidP="00BB2DDC">
      <w:pPr>
        <w:pStyle w:val="FootnoteText"/>
        <w:rPr>
          <w:rFonts w:ascii="Arial" w:hAnsi="Arial" w:cs="Arial"/>
          <w:lang w:val="en-GB"/>
        </w:rPr>
      </w:pPr>
      <w:r w:rsidRPr="00100A3A">
        <w:rPr>
          <w:rStyle w:val="FootnoteReference"/>
          <w:rFonts w:ascii="Arial" w:hAnsi="Arial" w:cs="Arial"/>
        </w:rPr>
        <w:footnoteRef/>
      </w:r>
      <w:r w:rsidRPr="00100A3A">
        <w:rPr>
          <w:rFonts w:ascii="Arial" w:hAnsi="Arial" w:cs="Arial"/>
        </w:rPr>
        <w:t xml:space="preserve"> </w:t>
      </w:r>
      <w:r w:rsidRPr="00100A3A">
        <w:rPr>
          <w:rFonts w:ascii="Arial" w:hAnsi="Arial" w:cs="Arial"/>
          <w:lang w:val="en-GB"/>
        </w:rPr>
        <w:t>Section 65(6) of the Competition Act 89 of 1998 as amended by the Competition Act 18 of 2018.</w:t>
      </w:r>
    </w:p>
  </w:footnote>
  <w:footnote w:id="5">
    <w:p w14:paraId="2DFE9DB5" w14:textId="0DB79763" w:rsidR="00E9250E" w:rsidRPr="00100A3A" w:rsidRDefault="00E9250E">
      <w:pPr>
        <w:pStyle w:val="FootnoteText"/>
        <w:rPr>
          <w:rFonts w:ascii="Arial" w:hAnsi="Arial" w:cs="Arial"/>
          <w:lang w:val="en-GB"/>
        </w:rPr>
      </w:pPr>
      <w:r w:rsidRPr="00100A3A">
        <w:rPr>
          <w:rStyle w:val="FootnoteReference"/>
          <w:rFonts w:ascii="Arial" w:hAnsi="Arial" w:cs="Arial"/>
        </w:rPr>
        <w:footnoteRef/>
      </w:r>
      <w:r w:rsidRPr="00100A3A">
        <w:rPr>
          <w:rFonts w:ascii="Arial" w:hAnsi="Arial" w:cs="Arial"/>
        </w:rPr>
        <w:t xml:space="preserve"> </w:t>
      </w:r>
      <w:r w:rsidRPr="00100A3A">
        <w:rPr>
          <w:rFonts w:ascii="Arial" w:hAnsi="Arial" w:cs="Arial"/>
          <w:bCs/>
          <w:i/>
          <w:lang w:val="en-GB"/>
        </w:rPr>
        <w:t>Premier Foods (Pty) Ltd v Manoim NO and Others</w:t>
      </w:r>
      <w:r w:rsidRPr="00100A3A">
        <w:rPr>
          <w:rFonts w:ascii="Arial" w:hAnsi="Arial" w:cs="Arial"/>
          <w:lang w:val="en-GB"/>
        </w:rPr>
        <w:t xml:space="preserve"> 2016 (1) SA 445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F67"/>
    <w:multiLevelType w:val="multilevel"/>
    <w:tmpl w:val="AF68A1FC"/>
    <w:lvl w:ilvl="0">
      <w:start w:val="1"/>
      <w:numFmt w:val="decimal"/>
      <w:lvlText w:val="[%1]"/>
      <w:lvlJc w:val="left"/>
      <w:pPr>
        <w:ind w:left="851" w:hanging="851"/>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1F6A28"/>
    <w:multiLevelType w:val="hybridMultilevel"/>
    <w:tmpl w:val="92FC4BBC"/>
    <w:lvl w:ilvl="0" w:tplc="C9EC1A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C2F13FB"/>
    <w:multiLevelType w:val="hybridMultilevel"/>
    <w:tmpl w:val="93A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B5173"/>
    <w:multiLevelType w:val="multilevel"/>
    <w:tmpl w:val="28D60214"/>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C46555"/>
    <w:multiLevelType w:val="hybridMultilevel"/>
    <w:tmpl w:val="CCAC8342"/>
    <w:lvl w:ilvl="0" w:tplc="AC328D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A4"/>
    <w:rsid w:val="000034CF"/>
    <w:rsid w:val="00016E9B"/>
    <w:rsid w:val="00021146"/>
    <w:rsid w:val="0002478C"/>
    <w:rsid w:val="0004096C"/>
    <w:rsid w:val="00051129"/>
    <w:rsid w:val="00051F41"/>
    <w:rsid w:val="00053F51"/>
    <w:rsid w:val="000557D6"/>
    <w:rsid w:val="00063396"/>
    <w:rsid w:val="000758B2"/>
    <w:rsid w:val="000B0333"/>
    <w:rsid w:val="000C2FED"/>
    <w:rsid w:val="000E1FC8"/>
    <w:rsid w:val="000E2984"/>
    <w:rsid w:val="000E5317"/>
    <w:rsid w:val="000F2D3F"/>
    <w:rsid w:val="00100A3A"/>
    <w:rsid w:val="00114C32"/>
    <w:rsid w:val="00115C44"/>
    <w:rsid w:val="00130B00"/>
    <w:rsid w:val="001341DA"/>
    <w:rsid w:val="00151F41"/>
    <w:rsid w:val="00152F5F"/>
    <w:rsid w:val="00161D4C"/>
    <w:rsid w:val="00162198"/>
    <w:rsid w:val="00172575"/>
    <w:rsid w:val="001A246B"/>
    <w:rsid w:val="001B0617"/>
    <w:rsid w:val="001E5C6B"/>
    <w:rsid w:val="00216EAA"/>
    <w:rsid w:val="002329DB"/>
    <w:rsid w:val="00240727"/>
    <w:rsid w:val="00250F21"/>
    <w:rsid w:val="002613D4"/>
    <w:rsid w:val="002638C1"/>
    <w:rsid w:val="00270B9A"/>
    <w:rsid w:val="00272C2E"/>
    <w:rsid w:val="00277C5B"/>
    <w:rsid w:val="00283CFF"/>
    <w:rsid w:val="00290D90"/>
    <w:rsid w:val="00292F5F"/>
    <w:rsid w:val="002A4176"/>
    <w:rsid w:val="002A452C"/>
    <w:rsid w:val="002A68DE"/>
    <w:rsid w:val="002E15F1"/>
    <w:rsid w:val="002F3E12"/>
    <w:rsid w:val="00300ED7"/>
    <w:rsid w:val="00340652"/>
    <w:rsid w:val="00344839"/>
    <w:rsid w:val="003506DD"/>
    <w:rsid w:val="00393830"/>
    <w:rsid w:val="003A5F35"/>
    <w:rsid w:val="003B2403"/>
    <w:rsid w:val="003B6A4C"/>
    <w:rsid w:val="003E05EC"/>
    <w:rsid w:val="003E1023"/>
    <w:rsid w:val="003F1336"/>
    <w:rsid w:val="003F4C18"/>
    <w:rsid w:val="003F639F"/>
    <w:rsid w:val="00415BDC"/>
    <w:rsid w:val="00422581"/>
    <w:rsid w:val="00434AA3"/>
    <w:rsid w:val="004477DA"/>
    <w:rsid w:val="00454C9A"/>
    <w:rsid w:val="00470A2C"/>
    <w:rsid w:val="00475854"/>
    <w:rsid w:val="00475D98"/>
    <w:rsid w:val="00486081"/>
    <w:rsid w:val="00497CFA"/>
    <w:rsid w:val="004A02C7"/>
    <w:rsid w:val="004C26F7"/>
    <w:rsid w:val="004C535F"/>
    <w:rsid w:val="004E081E"/>
    <w:rsid w:val="004E13EA"/>
    <w:rsid w:val="004F0A1E"/>
    <w:rsid w:val="004F4D87"/>
    <w:rsid w:val="004F506C"/>
    <w:rsid w:val="00510A04"/>
    <w:rsid w:val="00532138"/>
    <w:rsid w:val="00536BCD"/>
    <w:rsid w:val="0054307B"/>
    <w:rsid w:val="0055000C"/>
    <w:rsid w:val="0055044D"/>
    <w:rsid w:val="005574FF"/>
    <w:rsid w:val="0056540A"/>
    <w:rsid w:val="0057714B"/>
    <w:rsid w:val="00580A8E"/>
    <w:rsid w:val="00581027"/>
    <w:rsid w:val="005B5E86"/>
    <w:rsid w:val="00613756"/>
    <w:rsid w:val="006303E5"/>
    <w:rsid w:val="00631E68"/>
    <w:rsid w:val="00640429"/>
    <w:rsid w:val="00647C22"/>
    <w:rsid w:val="00651AB1"/>
    <w:rsid w:val="00652670"/>
    <w:rsid w:val="00657B2F"/>
    <w:rsid w:val="00672CBB"/>
    <w:rsid w:val="00676BE5"/>
    <w:rsid w:val="0069740E"/>
    <w:rsid w:val="006A00CA"/>
    <w:rsid w:val="006A66DC"/>
    <w:rsid w:val="006B2AD2"/>
    <w:rsid w:val="006B64B5"/>
    <w:rsid w:val="006C30DD"/>
    <w:rsid w:val="006C3571"/>
    <w:rsid w:val="006C6697"/>
    <w:rsid w:val="006D4EDF"/>
    <w:rsid w:val="006E3DF0"/>
    <w:rsid w:val="006F2284"/>
    <w:rsid w:val="007068CD"/>
    <w:rsid w:val="007075DC"/>
    <w:rsid w:val="0071142E"/>
    <w:rsid w:val="00720B38"/>
    <w:rsid w:val="00722FF4"/>
    <w:rsid w:val="00725B29"/>
    <w:rsid w:val="00725EFA"/>
    <w:rsid w:val="00751B45"/>
    <w:rsid w:val="0076629A"/>
    <w:rsid w:val="00781F00"/>
    <w:rsid w:val="007A2FBC"/>
    <w:rsid w:val="007C6155"/>
    <w:rsid w:val="007C7B09"/>
    <w:rsid w:val="007D6BAE"/>
    <w:rsid w:val="007E23C9"/>
    <w:rsid w:val="007F3EC5"/>
    <w:rsid w:val="00803651"/>
    <w:rsid w:val="008211B3"/>
    <w:rsid w:val="008231F8"/>
    <w:rsid w:val="00846077"/>
    <w:rsid w:val="00846D99"/>
    <w:rsid w:val="00876703"/>
    <w:rsid w:val="00882AC1"/>
    <w:rsid w:val="008B08AE"/>
    <w:rsid w:val="008B10B3"/>
    <w:rsid w:val="008D105A"/>
    <w:rsid w:val="00901DA0"/>
    <w:rsid w:val="00933FA4"/>
    <w:rsid w:val="00945AE1"/>
    <w:rsid w:val="009634DE"/>
    <w:rsid w:val="00970C7B"/>
    <w:rsid w:val="00991F3C"/>
    <w:rsid w:val="009B6A78"/>
    <w:rsid w:val="009D4DC7"/>
    <w:rsid w:val="009E0572"/>
    <w:rsid w:val="009E1002"/>
    <w:rsid w:val="009E7636"/>
    <w:rsid w:val="00A07866"/>
    <w:rsid w:val="00A16D2F"/>
    <w:rsid w:val="00A372E8"/>
    <w:rsid w:val="00A64B76"/>
    <w:rsid w:val="00A64DEA"/>
    <w:rsid w:val="00A70871"/>
    <w:rsid w:val="00A831AF"/>
    <w:rsid w:val="00A8627A"/>
    <w:rsid w:val="00AA246B"/>
    <w:rsid w:val="00AB6E74"/>
    <w:rsid w:val="00AC28DD"/>
    <w:rsid w:val="00B00CAC"/>
    <w:rsid w:val="00B04248"/>
    <w:rsid w:val="00B21E5F"/>
    <w:rsid w:val="00B30D6B"/>
    <w:rsid w:val="00B83B14"/>
    <w:rsid w:val="00B90552"/>
    <w:rsid w:val="00B91B40"/>
    <w:rsid w:val="00B934BB"/>
    <w:rsid w:val="00BA678B"/>
    <w:rsid w:val="00BB2217"/>
    <w:rsid w:val="00BB2DDC"/>
    <w:rsid w:val="00BB7F46"/>
    <w:rsid w:val="00C0224A"/>
    <w:rsid w:val="00C1383C"/>
    <w:rsid w:val="00C34546"/>
    <w:rsid w:val="00C37BC8"/>
    <w:rsid w:val="00C4021B"/>
    <w:rsid w:val="00C45ED2"/>
    <w:rsid w:val="00C466E4"/>
    <w:rsid w:val="00C56235"/>
    <w:rsid w:val="00C94AE2"/>
    <w:rsid w:val="00C96616"/>
    <w:rsid w:val="00CC0DB6"/>
    <w:rsid w:val="00CE22B4"/>
    <w:rsid w:val="00CE30DB"/>
    <w:rsid w:val="00CE5FED"/>
    <w:rsid w:val="00D16486"/>
    <w:rsid w:val="00D203BF"/>
    <w:rsid w:val="00D32D8D"/>
    <w:rsid w:val="00D46D2E"/>
    <w:rsid w:val="00D513B8"/>
    <w:rsid w:val="00D535B7"/>
    <w:rsid w:val="00D86052"/>
    <w:rsid w:val="00D92041"/>
    <w:rsid w:val="00D92AFD"/>
    <w:rsid w:val="00D961F9"/>
    <w:rsid w:val="00DB15C1"/>
    <w:rsid w:val="00DC21FA"/>
    <w:rsid w:val="00DC4333"/>
    <w:rsid w:val="00DE35F2"/>
    <w:rsid w:val="00E00A13"/>
    <w:rsid w:val="00E07AEC"/>
    <w:rsid w:val="00E16750"/>
    <w:rsid w:val="00E4589F"/>
    <w:rsid w:val="00E64848"/>
    <w:rsid w:val="00E7292E"/>
    <w:rsid w:val="00E82072"/>
    <w:rsid w:val="00E9250E"/>
    <w:rsid w:val="00EB21F5"/>
    <w:rsid w:val="00EB2C80"/>
    <w:rsid w:val="00EB47CE"/>
    <w:rsid w:val="00EC4AA9"/>
    <w:rsid w:val="00EE7901"/>
    <w:rsid w:val="00F0785B"/>
    <w:rsid w:val="00F25B85"/>
    <w:rsid w:val="00F5546C"/>
    <w:rsid w:val="00F97339"/>
    <w:rsid w:val="00FB3295"/>
    <w:rsid w:val="00FC0803"/>
    <w:rsid w:val="00FC1A20"/>
    <w:rsid w:val="00FC1C33"/>
    <w:rsid w:val="00FC2817"/>
    <w:rsid w:val="00FE0548"/>
    <w:rsid w:val="00FE3E86"/>
    <w:rsid w:val="00FE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A52C"/>
  <w15:chartTrackingRefBased/>
  <w15:docId w15:val="{B7145969-473E-4778-99D5-213249EB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6C"/>
    <w:pPr>
      <w:ind w:left="720"/>
      <w:contextualSpacing/>
    </w:pPr>
  </w:style>
  <w:style w:type="paragraph" w:styleId="Header">
    <w:name w:val="header"/>
    <w:basedOn w:val="Normal"/>
    <w:link w:val="HeaderChar"/>
    <w:uiPriority w:val="99"/>
    <w:unhideWhenUsed/>
    <w:rsid w:val="00D5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B8"/>
  </w:style>
  <w:style w:type="paragraph" w:styleId="Footer">
    <w:name w:val="footer"/>
    <w:basedOn w:val="Normal"/>
    <w:link w:val="FooterChar"/>
    <w:uiPriority w:val="99"/>
    <w:unhideWhenUsed/>
    <w:rsid w:val="00D5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B8"/>
  </w:style>
  <w:style w:type="paragraph" w:styleId="BalloonText">
    <w:name w:val="Balloon Text"/>
    <w:basedOn w:val="Normal"/>
    <w:link w:val="BalloonTextChar"/>
    <w:uiPriority w:val="99"/>
    <w:semiHidden/>
    <w:unhideWhenUsed/>
    <w:rsid w:val="0044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DA"/>
    <w:rPr>
      <w:rFonts w:ascii="Segoe UI" w:hAnsi="Segoe UI" w:cs="Segoe UI"/>
      <w:sz w:val="18"/>
      <w:szCs w:val="18"/>
    </w:rPr>
  </w:style>
  <w:style w:type="paragraph" w:styleId="FootnoteText">
    <w:name w:val="footnote text"/>
    <w:basedOn w:val="Normal"/>
    <w:link w:val="FootnoteTextChar"/>
    <w:uiPriority w:val="99"/>
    <w:semiHidden/>
    <w:unhideWhenUsed/>
    <w:rsid w:val="00162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198"/>
    <w:rPr>
      <w:sz w:val="20"/>
      <w:szCs w:val="20"/>
    </w:rPr>
  </w:style>
  <w:style w:type="character" w:styleId="FootnoteReference">
    <w:name w:val="footnote reference"/>
    <w:basedOn w:val="DefaultParagraphFont"/>
    <w:uiPriority w:val="99"/>
    <w:semiHidden/>
    <w:unhideWhenUsed/>
    <w:rsid w:val="00162198"/>
    <w:rPr>
      <w:vertAlign w:val="superscript"/>
    </w:rPr>
  </w:style>
  <w:style w:type="character" w:styleId="Hyperlink">
    <w:name w:val="Hyperlink"/>
    <w:basedOn w:val="DefaultParagraphFont"/>
    <w:uiPriority w:val="99"/>
    <w:unhideWhenUsed/>
    <w:rsid w:val="006B2AD2"/>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rsid w:val="0015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4077-F025-485F-A5CE-26F01288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Fynn</dc:creator>
  <cp:keywords/>
  <dc:description/>
  <cp:lastModifiedBy>Mary Bruce</cp:lastModifiedBy>
  <cp:revision>3</cp:revision>
  <cp:lastPrinted>2020-12-17T12:26:00Z</cp:lastPrinted>
  <dcterms:created xsi:type="dcterms:W3CDTF">2024-05-20T12:31:00Z</dcterms:created>
  <dcterms:modified xsi:type="dcterms:W3CDTF">2024-05-21T18:13:00Z</dcterms:modified>
</cp:coreProperties>
</file>