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F3" w:rsidRPr="007C23F3" w:rsidRDefault="007C23F3" w:rsidP="007C23F3">
      <w:pPr>
        <w:rPr>
          <w:color w:val="FF0000"/>
          <w:u w:val="single"/>
          <w:lang w:val="en-ZA"/>
        </w:rPr>
      </w:pPr>
      <w:r>
        <w:rPr>
          <w:rFonts w:ascii="Arial" w:hAnsi="Arial" w:cs="Arial"/>
          <w:color w:val="FF0000"/>
        </w:rPr>
        <w:t>Editorial note: Certain information has been redacted from this judgment in compliance with the law.</w:t>
      </w:r>
    </w:p>
    <w:p w:rsidR="002E4EE1" w:rsidRDefault="002E4EE1" w:rsidP="002E4EE1">
      <w:pPr>
        <w:autoSpaceDE w:val="0"/>
        <w:autoSpaceDN w:val="0"/>
        <w:adjustRightInd w:val="0"/>
        <w:spacing w:after="0" w:line="241" w:lineRule="atLeast"/>
        <w:jc w:val="center"/>
        <w:rPr>
          <w:rFonts w:ascii="Arial" w:eastAsia="Times New Roman" w:hAnsi="Arial" w:cs="Arial"/>
          <w:b/>
          <w:sz w:val="28"/>
          <w:szCs w:val="28"/>
          <w:lang w:val="af-ZA"/>
        </w:rPr>
      </w:pPr>
      <w:r>
        <w:rPr>
          <w:rFonts w:ascii="Arial" w:eastAsia="Times New Roman" w:hAnsi="Arial" w:cs="Times New Roman"/>
          <w:noProof/>
          <w:sz w:val="24"/>
          <w:szCs w:val="24"/>
          <w:lang w:val="en-ZA" w:eastAsia="en-ZA"/>
        </w:rPr>
        <w:drawing>
          <wp:inline distT="0" distB="0" distL="0" distR="0">
            <wp:extent cx="1257300" cy="1250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0950"/>
                    </a:xfrm>
                    <a:prstGeom prst="rect">
                      <a:avLst/>
                    </a:prstGeom>
                    <a:noFill/>
                    <a:ln>
                      <a:noFill/>
                    </a:ln>
                  </pic:spPr>
                </pic:pic>
              </a:graphicData>
            </a:graphic>
          </wp:inline>
        </w:drawing>
      </w:r>
      <w:r>
        <w:rPr>
          <w:rFonts w:ascii="Arial" w:eastAsia="Times New Roman" w:hAnsi="Arial" w:cs="Arial"/>
          <w:b/>
          <w:sz w:val="28"/>
          <w:szCs w:val="28"/>
          <w:lang w:val="af-ZA"/>
        </w:rPr>
        <w:t xml:space="preserve"> </w:t>
      </w:r>
    </w:p>
    <w:p w:rsidR="002E4EE1" w:rsidRDefault="002E4EE1" w:rsidP="002E4EE1">
      <w:pPr>
        <w:autoSpaceDE w:val="0"/>
        <w:autoSpaceDN w:val="0"/>
        <w:adjustRightInd w:val="0"/>
        <w:spacing w:after="0" w:line="241" w:lineRule="atLeast"/>
        <w:jc w:val="center"/>
        <w:rPr>
          <w:rFonts w:ascii="Century Gothic" w:eastAsia="Times New Roman" w:hAnsi="Century Gothic" w:cs="Arial"/>
          <w:b/>
          <w:color w:val="000000"/>
          <w:sz w:val="28"/>
          <w:szCs w:val="28"/>
          <w:lang w:val="af-ZA"/>
        </w:rPr>
      </w:pPr>
      <w:r>
        <w:rPr>
          <w:rFonts w:ascii="Century Gothic" w:eastAsia="Times New Roman" w:hAnsi="Century Gothic" w:cs="Arial"/>
          <w:b/>
          <w:sz w:val="28"/>
          <w:szCs w:val="28"/>
          <w:lang w:val="af-ZA"/>
        </w:rPr>
        <w:t>IN THE REGIONAL COURT FOR THE REGIONAL DIVISION OF KWAZULU-NATAL</w:t>
      </w:r>
    </w:p>
    <w:p w:rsidR="002E4EE1" w:rsidRDefault="002E4EE1" w:rsidP="002E4EE1">
      <w:pPr>
        <w:spacing w:after="0" w:line="240" w:lineRule="auto"/>
        <w:jc w:val="center"/>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HELD AT DURBAN</w:t>
      </w:r>
    </w:p>
    <w:p w:rsidR="002E4EE1" w:rsidRDefault="002E4EE1" w:rsidP="002E4EE1">
      <w:pPr>
        <w:spacing w:after="0" w:line="240" w:lineRule="auto"/>
        <w:jc w:val="center"/>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 xml:space="preserve">                                                                  </w:t>
      </w:r>
    </w:p>
    <w:p w:rsidR="002E4EE1" w:rsidRDefault="002E4EE1" w:rsidP="002E4EE1">
      <w:pPr>
        <w:spacing w:after="0" w:line="240" w:lineRule="auto"/>
        <w:jc w:val="center"/>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 xml:space="preserve">                                                        Case no:KZN/DBN/RC 3171/2021</w:t>
      </w:r>
    </w:p>
    <w:p w:rsidR="002E4EE1" w:rsidRDefault="002E4EE1" w:rsidP="002E4EE1">
      <w:pPr>
        <w:spacing w:after="0" w:line="240" w:lineRule="auto"/>
        <w:rPr>
          <w:rFonts w:ascii="Century Gothic" w:eastAsia="Times New Roman" w:hAnsi="Century Gothic" w:cs="Times New Roman"/>
          <w:sz w:val="28"/>
          <w:szCs w:val="28"/>
          <w:lang w:val="af-ZA"/>
        </w:rPr>
      </w:pPr>
    </w:p>
    <w:p w:rsidR="002E4EE1" w:rsidRDefault="002E4EE1" w:rsidP="002E4EE1">
      <w:pPr>
        <w:spacing w:after="0" w:line="240" w:lineRule="auto"/>
        <w:rPr>
          <w:rFonts w:ascii="Century Gothic" w:eastAsia="Times New Roman" w:hAnsi="Century Gothic" w:cs="Times New Roman"/>
          <w:sz w:val="24"/>
          <w:szCs w:val="24"/>
          <w:lang w:val="af-ZA"/>
        </w:rPr>
      </w:pPr>
      <w:r>
        <w:rPr>
          <w:rFonts w:ascii="Century Gothic" w:eastAsia="Times New Roman" w:hAnsi="Century Gothic" w:cs="Times New Roman"/>
          <w:sz w:val="24"/>
          <w:szCs w:val="24"/>
          <w:lang w:val="af-ZA"/>
        </w:rPr>
        <w:t>In the matter between:</w:t>
      </w:r>
    </w:p>
    <w:p w:rsidR="002E4EE1" w:rsidRDefault="002E4EE1" w:rsidP="002E4EE1">
      <w:pPr>
        <w:spacing w:after="0" w:line="240" w:lineRule="auto"/>
        <w:rPr>
          <w:rFonts w:ascii="Century Gothic" w:eastAsia="Times New Roman" w:hAnsi="Century Gothic" w:cs="Times New Roman"/>
          <w:sz w:val="28"/>
          <w:szCs w:val="28"/>
          <w:lang w:val="af-ZA"/>
        </w:rPr>
      </w:pPr>
    </w:p>
    <w:p w:rsidR="002E4EE1" w:rsidRDefault="002E4EE1" w:rsidP="002E4EE1">
      <w:pPr>
        <w:tabs>
          <w:tab w:val="right" w:pos="9480"/>
        </w:tabs>
        <w:spacing w:after="0" w:line="240" w:lineRule="auto"/>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DENVER CHETTY N.O</w:t>
      </w:r>
      <w:r w:rsidR="005C7E75">
        <w:rPr>
          <w:rFonts w:ascii="Century Gothic" w:eastAsia="Times New Roman" w:hAnsi="Century Gothic" w:cs="Times New Roman"/>
          <w:b/>
          <w:sz w:val="28"/>
          <w:szCs w:val="28"/>
          <w:lang w:val="af-ZA"/>
        </w:rPr>
        <w:t>.</w:t>
      </w:r>
      <w:r>
        <w:rPr>
          <w:rFonts w:ascii="Century Gothic" w:eastAsia="Times New Roman" w:hAnsi="Century Gothic" w:cs="Times New Roman"/>
          <w:b/>
          <w:sz w:val="28"/>
          <w:szCs w:val="28"/>
          <w:lang w:val="af-ZA"/>
        </w:rPr>
        <w:t xml:space="preserve"> </w:t>
      </w:r>
      <w:r w:rsidR="005C7E75">
        <w:rPr>
          <w:rFonts w:ascii="Century Gothic" w:eastAsia="Times New Roman" w:hAnsi="Century Gothic" w:cs="Times New Roman"/>
          <w:b/>
          <w:sz w:val="28"/>
          <w:szCs w:val="28"/>
          <w:lang w:val="af-ZA"/>
        </w:rPr>
        <w:t xml:space="preserve"> </w:t>
      </w:r>
    </w:p>
    <w:p w:rsidR="002E4EE1" w:rsidRDefault="005C7E75" w:rsidP="002E4EE1">
      <w:pPr>
        <w:tabs>
          <w:tab w:val="right" w:pos="9480"/>
        </w:tabs>
        <w:spacing w:after="0" w:line="240" w:lineRule="auto"/>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 xml:space="preserve">(Identity Number: </w:t>
      </w:r>
      <w:r w:rsidR="00105405">
        <w:rPr>
          <w:rFonts w:ascii="Century Gothic" w:eastAsia="Times New Roman" w:hAnsi="Century Gothic" w:cs="Times New Roman"/>
          <w:sz w:val="28"/>
          <w:szCs w:val="28"/>
          <w:lang w:val="af-ZA"/>
        </w:rPr>
        <w:t>[...]</w:t>
      </w:r>
      <w:r>
        <w:rPr>
          <w:rFonts w:ascii="Century Gothic" w:eastAsia="Times New Roman" w:hAnsi="Century Gothic" w:cs="Times New Roman"/>
          <w:sz w:val="28"/>
          <w:szCs w:val="28"/>
          <w:lang w:val="af-ZA"/>
        </w:rPr>
        <w:t xml:space="preserve">)                              First </w:t>
      </w:r>
      <w:r w:rsidR="002E4EE1">
        <w:rPr>
          <w:rFonts w:ascii="Century Gothic" w:eastAsia="Times New Roman" w:hAnsi="Century Gothic" w:cs="Times New Roman"/>
          <w:sz w:val="28"/>
          <w:szCs w:val="28"/>
          <w:lang w:val="af-ZA"/>
        </w:rPr>
        <w:t>Applicant</w:t>
      </w:r>
    </w:p>
    <w:p w:rsidR="005C7E75" w:rsidRDefault="005C7E75" w:rsidP="002E4EE1">
      <w:pPr>
        <w:tabs>
          <w:tab w:val="right" w:pos="9480"/>
        </w:tabs>
        <w:spacing w:after="0" w:line="240" w:lineRule="auto"/>
        <w:rPr>
          <w:rFonts w:ascii="Century Gothic" w:eastAsia="Times New Roman" w:hAnsi="Century Gothic" w:cs="Times New Roman"/>
          <w:sz w:val="28"/>
          <w:szCs w:val="28"/>
          <w:lang w:val="af-ZA"/>
        </w:rPr>
      </w:pPr>
    </w:p>
    <w:p w:rsidR="005C7E75" w:rsidRDefault="005C7E75" w:rsidP="002E4EE1">
      <w:pPr>
        <w:tabs>
          <w:tab w:val="right" w:pos="9480"/>
        </w:tabs>
        <w:spacing w:after="0" w:line="240" w:lineRule="auto"/>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BRENTON GANESH NAIR N.O.</w:t>
      </w:r>
    </w:p>
    <w:p w:rsidR="005C7E75" w:rsidRDefault="005C7E75" w:rsidP="002E4EE1">
      <w:pPr>
        <w:tabs>
          <w:tab w:val="right" w:pos="9480"/>
        </w:tabs>
        <w:spacing w:after="0" w:line="240" w:lineRule="auto"/>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 xml:space="preserve">(Identity Number: </w:t>
      </w:r>
      <w:r w:rsidR="00105405">
        <w:rPr>
          <w:rFonts w:ascii="Century Gothic" w:eastAsia="Times New Roman" w:hAnsi="Century Gothic" w:cs="Times New Roman"/>
          <w:sz w:val="28"/>
          <w:szCs w:val="28"/>
          <w:lang w:val="af-ZA"/>
        </w:rPr>
        <w:t>[...]</w:t>
      </w:r>
      <w:r>
        <w:rPr>
          <w:rFonts w:ascii="Century Gothic" w:eastAsia="Times New Roman" w:hAnsi="Century Gothic" w:cs="Times New Roman"/>
          <w:sz w:val="28"/>
          <w:szCs w:val="28"/>
          <w:lang w:val="af-ZA"/>
        </w:rPr>
        <w:t>)                       Second Applicant</w:t>
      </w:r>
    </w:p>
    <w:p w:rsidR="005C7E75" w:rsidRDefault="005C7E75" w:rsidP="002E4EE1">
      <w:pPr>
        <w:tabs>
          <w:tab w:val="right" w:pos="9480"/>
        </w:tabs>
        <w:spacing w:after="0" w:line="240" w:lineRule="auto"/>
        <w:rPr>
          <w:rFonts w:ascii="Century Gothic" w:eastAsia="Times New Roman" w:hAnsi="Century Gothic" w:cs="Times New Roman"/>
          <w:sz w:val="28"/>
          <w:szCs w:val="28"/>
          <w:lang w:val="af-ZA"/>
        </w:rPr>
      </w:pPr>
    </w:p>
    <w:p w:rsidR="005C7E75" w:rsidRDefault="005C7E75" w:rsidP="002E4EE1">
      <w:pPr>
        <w:tabs>
          <w:tab w:val="right" w:pos="9480"/>
        </w:tabs>
        <w:spacing w:after="0" w:line="240" w:lineRule="auto"/>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JOSE ALBERTO DELGADO N.O.</w:t>
      </w:r>
    </w:p>
    <w:p w:rsidR="005C7E75" w:rsidRPr="005C7E75" w:rsidRDefault="005C7E75" w:rsidP="002E4EE1">
      <w:pPr>
        <w:tabs>
          <w:tab w:val="right" w:pos="9480"/>
        </w:tabs>
        <w:spacing w:after="0" w:line="240" w:lineRule="auto"/>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 xml:space="preserve">(Identity Number: </w:t>
      </w:r>
      <w:r w:rsidR="00105405">
        <w:rPr>
          <w:rFonts w:ascii="Century Gothic" w:eastAsia="Times New Roman" w:hAnsi="Century Gothic" w:cs="Times New Roman"/>
          <w:sz w:val="28"/>
          <w:szCs w:val="28"/>
          <w:lang w:val="af-ZA"/>
        </w:rPr>
        <w:t>[...]</w:t>
      </w:r>
      <w:bookmarkStart w:id="0" w:name="_GoBack"/>
      <w:bookmarkEnd w:id="0"/>
      <w:r>
        <w:rPr>
          <w:rFonts w:ascii="Century Gothic" w:eastAsia="Times New Roman" w:hAnsi="Century Gothic" w:cs="Times New Roman"/>
          <w:sz w:val="28"/>
          <w:szCs w:val="28"/>
          <w:lang w:val="af-ZA"/>
        </w:rPr>
        <w:t>)                            Third Applicant</w:t>
      </w:r>
    </w:p>
    <w:p w:rsidR="002E4EE1" w:rsidRDefault="002E4EE1" w:rsidP="002E4EE1">
      <w:pPr>
        <w:tabs>
          <w:tab w:val="right" w:pos="9480"/>
        </w:tabs>
        <w:spacing w:after="0" w:line="240" w:lineRule="auto"/>
        <w:rPr>
          <w:rFonts w:ascii="Century Gothic" w:eastAsia="Times New Roman" w:hAnsi="Century Gothic" w:cs="Times New Roman"/>
          <w:sz w:val="28"/>
          <w:szCs w:val="28"/>
          <w:lang w:val="af-ZA"/>
        </w:rPr>
      </w:pPr>
      <w:r>
        <w:rPr>
          <w:rFonts w:ascii="Century Gothic" w:eastAsia="Times New Roman" w:hAnsi="Century Gothic" w:cs="Times New Roman"/>
          <w:b/>
          <w:sz w:val="28"/>
          <w:szCs w:val="28"/>
          <w:lang w:val="af-ZA"/>
        </w:rPr>
        <w:tab/>
      </w:r>
      <w:r>
        <w:rPr>
          <w:rFonts w:ascii="Century Gothic" w:eastAsia="Times New Roman" w:hAnsi="Century Gothic" w:cs="Times New Roman"/>
          <w:sz w:val="28"/>
          <w:szCs w:val="28"/>
          <w:lang w:val="af-ZA"/>
        </w:rPr>
        <w:t xml:space="preserve">                     </w:t>
      </w:r>
    </w:p>
    <w:p w:rsidR="002E4EE1" w:rsidRDefault="002E4EE1" w:rsidP="002E4EE1">
      <w:pPr>
        <w:spacing w:after="0" w:line="240" w:lineRule="auto"/>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and</w:t>
      </w:r>
    </w:p>
    <w:p w:rsidR="002E4EE1" w:rsidRDefault="002E4EE1" w:rsidP="002E4EE1">
      <w:pPr>
        <w:spacing w:after="0" w:line="240" w:lineRule="auto"/>
        <w:rPr>
          <w:rFonts w:ascii="Century Gothic" w:eastAsia="Times New Roman" w:hAnsi="Century Gothic" w:cs="Times New Roman"/>
          <w:b/>
          <w:sz w:val="28"/>
          <w:szCs w:val="28"/>
          <w:lang w:val="af-ZA"/>
        </w:rPr>
      </w:pPr>
    </w:p>
    <w:p w:rsidR="002E4EE1" w:rsidRDefault="005C7E75" w:rsidP="002E4EE1">
      <w:pPr>
        <w:spacing w:after="0" w:line="240" w:lineRule="auto"/>
        <w:rPr>
          <w:rFonts w:ascii="Century Gothic" w:eastAsia="Times New Roman" w:hAnsi="Century Gothic" w:cs="Times New Roman"/>
          <w:b/>
          <w:caps/>
          <w:sz w:val="28"/>
          <w:szCs w:val="28"/>
          <w:lang w:val="af-ZA"/>
        </w:rPr>
      </w:pPr>
      <w:r>
        <w:rPr>
          <w:rFonts w:ascii="Century Gothic" w:eastAsia="Times New Roman" w:hAnsi="Century Gothic" w:cs="Times New Roman"/>
          <w:b/>
          <w:caps/>
          <w:sz w:val="28"/>
          <w:szCs w:val="28"/>
          <w:lang w:val="af-ZA"/>
        </w:rPr>
        <w:t>THE KINGSMEAD OFFICE APRK OWNERS</w:t>
      </w:r>
    </w:p>
    <w:p w:rsidR="002E4EE1" w:rsidRDefault="005C7E75" w:rsidP="002E4EE1">
      <w:pPr>
        <w:spacing w:after="0" w:line="240" w:lineRule="auto"/>
        <w:rPr>
          <w:rFonts w:ascii="Century Gothic" w:eastAsia="Times New Roman" w:hAnsi="Century Gothic" w:cs="Times New Roman"/>
          <w:sz w:val="28"/>
          <w:szCs w:val="28"/>
          <w:lang w:val="af-ZA"/>
        </w:rPr>
      </w:pPr>
      <w:r>
        <w:rPr>
          <w:rFonts w:ascii="Century Gothic" w:eastAsia="Times New Roman" w:hAnsi="Century Gothic" w:cs="Times New Roman"/>
          <w:b/>
          <w:caps/>
          <w:sz w:val="28"/>
          <w:szCs w:val="28"/>
          <w:lang w:val="af-ZA"/>
        </w:rPr>
        <w:t xml:space="preserve">ASSOCIATION NPC (RF)         </w:t>
      </w:r>
      <w:r w:rsidR="002E4EE1">
        <w:rPr>
          <w:rFonts w:ascii="Century Gothic" w:eastAsia="Times New Roman" w:hAnsi="Century Gothic" w:cs="Times New Roman"/>
          <w:b/>
          <w:caps/>
          <w:sz w:val="28"/>
          <w:szCs w:val="28"/>
          <w:lang w:val="af-ZA"/>
        </w:rPr>
        <w:t xml:space="preserve"> </w:t>
      </w:r>
      <w:r w:rsidR="002E4EE1">
        <w:rPr>
          <w:rFonts w:ascii="Century Gothic" w:eastAsia="Times New Roman" w:hAnsi="Century Gothic" w:cs="Times New Roman"/>
          <w:b/>
          <w:caps/>
          <w:sz w:val="28"/>
          <w:szCs w:val="28"/>
          <w:lang w:val="af-ZA"/>
        </w:rPr>
        <w:tab/>
      </w:r>
      <w:r w:rsidR="002E4EE1">
        <w:rPr>
          <w:rFonts w:ascii="Century Gothic" w:eastAsia="Times New Roman" w:hAnsi="Century Gothic" w:cs="Times New Roman"/>
          <w:b/>
          <w:caps/>
          <w:sz w:val="28"/>
          <w:szCs w:val="28"/>
          <w:lang w:val="af-ZA"/>
        </w:rPr>
        <w:tab/>
      </w:r>
      <w:r w:rsidR="002E4EE1">
        <w:rPr>
          <w:rFonts w:ascii="Century Gothic" w:eastAsia="Times New Roman" w:hAnsi="Century Gothic" w:cs="Times New Roman"/>
          <w:b/>
          <w:caps/>
          <w:sz w:val="28"/>
          <w:szCs w:val="28"/>
          <w:lang w:val="af-ZA"/>
        </w:rPr>
        <w:tab/>
        <w:t xml:space="preserve">          </w:t>
      </w:r>
      <w:r>
        <w:rPr>
          <w:rFonts w:ascii="Century Gothic" w:eastAsia="Times New Roman" w:hAnsi="Century Gothic" w:cs="Times New Roman"/>
          <w:b/>
          <w:caps/>
          <w:sz w:val="28"/>
          <w:szCs w:val="28"/>
          <w:lang w:val="af-ZA"/>
        </w:rPr>
        <w:t xml:space="preserve">      </w:t>
      </w:r>
      <w:r w:rsidR="002E4EE1">
        <w:rPr>
          <w:rFonts w:ascii="Century Gothic" w:eastAsia="Times New Roman" w:hAnsi="Century Gothic" w:cs="Times New Roman"/>
          <w:b/>
          <w:caps/>
          <w:sz w:val="28"/>
          <w:szCs w:val="28"/>
          <w:lang w:val="af-ZA"/>
        </w:rPr>
        <w:t xml:space="preserve"> </w:t>
      </w:r>
      <w:r w:rsidR="002E4EE1">
        <w:rPr>
          <w:rFonts w:ascii="Century Gothic" w:eastAsia="Times New Roman" w:hAnsi="Century Gothic" w:cs="Times New Roman"/>
          <w:caps/>
          <w:sz w:val="28"/>
          <w:szCs w:val="28"/>
          <w:lang w:val="af-ZA"/>
        </w:rPr>
        <w:t>R</w:t>
      </w:r>
      <w:r w:rsidR="002E4EE1">
        <w:rPr>
          <w:rFonts w:ascii="Century Gothic" w:eastAsia="Times New Roman" w:hAnsi="Century Gothic" w:cs="Times New Roman"/>
          <w:sz w:val="28"/>
          <w:szCs w:val="28"/>
          <w:lang w:val="af-ZA"/>
        </w:rPr>
        <w:t>espondent</w:t>
      </w:r>
    </w:p>
    <w:p w:rsidR="002E4EE1" w:rsidRDefault="002E4EE1" w:rsidP="002E4EE1">
      <w:pPr>
        <w:spacing w:after="0" w:line="240" w:lineRule="auto"/>
        <w:rPr>
          <w:rFonts w:ascii="Century Gothic" w:eastAsia="Times New Roman" w:hAnsi="Century Gothic" w:cs="Times New Roman"/>
          <w:sz w:val="28"/>
          <w:szCs w:val="28"/>
          <w:lang w:val="af-ZA"/>
        </w:rPr>
      </w:pPr>
    </w:p>
    <w:p w:rsidR="002E4EE1" w:rsidRDefault="002E4EE1" w:rsidP="002E4EE1">
      <w:pPr>
        <w:tabs>
          <w:tab w:val="right" w:pos="9480"/>
        </w:tabs>
        <w:spacing w:after="0" w:line="240" w:lineRule="auto"/>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 xml:space="preserve">          </w:t>
      </w:r>
    </w:p>
    <w:p w:rsidR="002E4EE1" w:rsidRDefault="002E4EE1" w:rsidP="002E4EE1">
      <w:pPr>
        <w:spacing w:after="0" w:line="240" w:lineRule="auto"/>
        <w:rPr>
          <w:rFonts w:ascii="Century Gothic" w:eastAsia="Times New Roman" w:hAnsi="Century Gothic" w:cs="Times New Roman"/>
          <w:b/>
          <w:caps/>
          <w:sz w:val="28"/>
          <w:szCs w:val="28"/>
          <w:lang w:val="af-ZA"/>
        </w:rPr>
      </w:pPr>
      <w:r>
        <w:rPr>
          <w:rFonts w:ascii="Century Gothic" w:eastAsia="Times New Roman" w:hAnsi="Century Gothic" w:cs="Times New Roman"/>
          <w:b/>
          <w:sz w:val="28"/>
          <w:szCs w:val="28"/>
          <w:lang w:val="af-ZA"/>
        </w:rPr>
        <w:tab/>
      </w: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t xml:space="preserve">  </w:t>
      </w:r>
      <w:r>
        <w:rPr>
          <w:rFonts w:ascii="Century Gothic" w:eastAsia="Times New Roman" w:hAnsi="Century Gothic" w:cs="Times New Roman"/>
          <w:sz w:val="28"/>
          <w:szCs w:val="28"/>
          <w:lang w:val="af-ZA"/>
        </w:rPr>
        <w:t xml:space="preserve">                                                                                                                </w:t>
      </w:r>
    </w:p>
    <w:p w:rsidR="002E4EE1" w:rsidRDefault="002E4EE1" w:rsidP="002E4EE1">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32"/>
          <w:szCs w:val="32"/>
        </w:rPr>
      </w:pPr>
      <w:r>
        <w:rPr>
          <w:rFonts w:ascii="Century Gothic" w:eastAsia="Times New Roman" w:hAnsi="Century Gothic" w:cs="Times New Roman"/>
          <w:sz w:val="32"/>
          <w:szCs w:val="32"/>
        </w:rPr>
        <w:t xml:space="preserve">                                  </w:t>
      </w:r>
    </w:p>
    <w:p w:rsidR="002E4EE1" w:rsidRDefault="005C7E75" w:rsidP="002E4EE1">
      <w:pPr>
        <w:pBdr>
          <w:top w:val="single" w:sz="4" w:space="1" w:color="auto"/>
          <w:left w:val="single" w:sz="4" w:space="4" w:color="auto"/>
          <w:bottom w:val="single" w:sz="4" w:space="1" w:color="auto"/>
          <w:right w:val="single" w:sz="4" w:space="4" w:color="auto"/>
        </w:pBdr>
        <w:spacing w:after="0" w:line="240" w:lineRule="auto"/>
        <w:jc w:val="center"/>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 xml:space="preserve">Judgment </w:t>
      </w:r>
    </w:p>
    <w:p w:rsidR="002E4EE1" w:rsidRDefault="002E4EE1" w:rsidP="002E4EE1">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32"/>
          <w:szCs w:val="32"/>
        </w:rPr>
      </w:pPr>
    </w:p>
    <w:p w:rsidR="002E4EE1" w:rsidRDefault="002E4EE1" w:rsidP="002E4EE1">
      <w:pPr>
        <w:spacing w:after="0" w:line="360" w:lineRule="auto"/>
        <w:jc w:val="both"/>
        <w:rPr>
          <w:rFonts w:ascii="Century Gothic" w:eastAsia="Times New Roman" w:hAnsi="Century Gothic" w:cs="Arial"/>
          <w:b/>
          <w:sz w:val="20"/>
          <w:szCs w:val="20"/>
          <w:u w:val="single"/>
        </w:rPr>
      </w:pPr>
    </w:p>
    <w:p w:rsidR="00E67FF5" w:rsidRPr="0092755C" w:rsidRDefault="002E4EE1" w:rsidP="002E7A69">
      <w:pPr>
        <w:numPr>
          <w:ilvl w:val="0"/>
          <w:numId w:val="1"/>
        </w:numPr>
        <w:spacing w:line="480" w:lineRule="auto"/>
        <w:contextualSpacing/>
        <w:jc w:val="both"/>
      </w:pPr>
      <w:r w:rsidRPr="0092755C">
        <w:rPr>
          <w:rFonts w:ascii="Arial" w:hAnsi="Arial" w:cs="Arial"/>
          <w:sz w:val="24"/>
          <w:szCs w:val="24"/>
          <w:lang w:val="en-ZA"/>
        </w:rPr>
        <w:t>This is an opposed re</w:t>
      </w:r>
      <w:r w:rsidR="0092755C">
        <w:rPr>
          <w:rFonts w:ascii="Arial" w:hAnsi="Arial" w:cs="Arial"/>
          <w:sz w:val="24"/>
          <w:szCs w:val="24"/>
          <w:lang w:val="en-ZA"/>
        </w:rPr>
        <w:t>scission of judgment application</w:t>
      </w:r>
      <w:r w:rsidRPr="0092755C">
        <w:rPr>
          <w:rFonts w:ascii="Arial" w:hAnsi="Arial" w:cs="Arial"/>
          <w:sz w:val="24"/>
          <w:szCs w:val="24"/>
          <w:lang w:val="en-ZA"/>
        </w:rPr>
        <w:t xml:space="preserve"> </w:t>
      </w:r>
      <w:r w:rsidR="0092755C">
        <w:rPr>
          <w:rFonts w:ascii="Arial" w:hAnsi="Arial" w:cs="Arial"/>
          <w:sz w:val="24"/>
          <w:szCs w:val="24"/>
          <w:lang w:val="en-ZA"/>
        </w:rPr>
        <w:t xml:space="preserve">in terms of which the Applicants in their representative capacities as trustees of The Regal Property </w:t>
      </w:r>
      <w:proofErr w:type="gramStart"/>
      <w:r w:rsidR="0092755C">
        <w:rPr>
          <w:rFonts w:ascii="Arial" w:hAnsi="Arial" w:cs="Arial"/>
          <w:sz w:val="24"/>
          <w:szCs w:val="24"/>
          <w:lang w:val="en-ZA"/>
        </w:rPr>
        <w:t xml:space="preserve">Trust  </w:t>
      </w:r>
      <w:r w:rsidR="0092755C">
        <w:rPr>
          <w:rFonts w:ascii="Arial" w:hAnsi="Arial" w:cs="Arial"/>
          <w:sz w:val="24"/>
          <w:szCs w:val="24"/>
          <w:lang w:val="en-ZA"/>
        </w:rPr>
        <w:lastRenderedPageBreak/>
        <w:t>seek</w:t>
      </w:r>
      <w:proofErr w:type="gramEnd"/>
      <w:r w:rsidR="0092755C">
        <w:rPr>
          <w:rFonts w:ascii="Arial" w:hAnsi="Arial" w:cs="Arial"/>
          <w:sz w:val="24"/>
          <w:szCs w:val="24"/>
          <w:lang w:val="en-ZA"/>
        </w:rPr>
        <w:t xml:space="preserve"> to rescind a default judgment granted in the Respondent’s favour on 10 May 2022.</w:t>
      </w:r>
    </w:p>
    <w:p w:rsidR="0092755C" w:rsidRPr="0092755C" w:rsidRDefault="0092755C" w:rsidP="0092755C">
      <w:pPr>
        <w:spacing w:line="480" w:lineRule="auto"/>
        <w:contextualSpacing/>
        <w:jc w:val="both"/>
        <w:rPr>
          <w:b/>
        </w:rPr>
      </w:pPr>
      <w:r w:rsidRPr="0092755C">
        <w:rPr>
          <w:rFonts w:ascii="Arial" w:hAnsi="Arial" w:cs="Arial"/>
          <w:b/>
          <w:sz w:val="24"/>
          <w:szCs w:val="24"/>
        </w:rPr>
        <w:t>Factual Background</w:t>
      </w:r>
    </w:p>
    <w:p w:rsidR="0092755C" w:rsidRPr="00C70C15" w:rsidRDefault="00462345" w:rsidP="002E7A69">
      <w:pPr>
        <w:numPr>
          <w:ilvl w:val="0"/>
          <w:numId w:val="1"/>
        </w:numPr>
        <w:spacing w:line="480" w:lineRule="auto"/>
        <w:contextualSpacing/>
        <w:jc w:val="both"/>
      </w:pPr>
      <w:r>
        <w:rPr>
          <w:rFonts w:ascii="Arial" w:hAnsi="Arial" w:cs="Arial"/>
          <w:sz w:val="24"/>
          <w:szCs w:val="24"/>
        </w:rPr>
        <w:t>The Applicants are trustees for the time being of the Regal Property Trust</w:t>
      </w:r>
      <w:r w:rsidR="00CF513F">
        <w:rPr>
          <w:rFonts w:ascii="Arial" w:hAnsi="Arial" w:cs="Arial"/>
          <w:sz w:val="24"/>
          <w:szCs w:val="24"/>
        </w:rPr>
        <w:t xml:space="preserve"> </w:t>
      </w:r>
      <w:r w:rsidR="00CF513F">
        <w:rPr>
          <w:rFonts w:ascii="Arial" w:hAnsi="Arial" w:cs="Arial"/>
          <w:sz w:val="24"/>
          <w:szCs w:val="24"/>
          <w:lang w:val="en-ZA"/>
        </w:rPr>
        <w:t>(“the Trust”)</w:t>
      </w:r>
      <w:r>
        <w:rPr>
          <w:rFonts w:ascii="Arial" w:hAnsi="Arial" w:cs="Arial"/>
          <w:sz w:val="24"/>
          <w:szCs w:val="24"/>
        </w:rPr>
        <w:t>.</w:t>
      </w:r>
      <w:r>
        <w:rPr>
          <w:rStyle w:val="FootnoteReference"/>
          <w:rFonts w:ascii="Arial" w:hAnsi="Arial" w:cs="Arial"/>
          <w:sz w:val="24"/>
          <w:szCs w:val="24"/>
        </w:rPr>
        <w:footnoteReference w:id="1"/>
      </w:r>
      <w:r>
        <w:rPr>
          <w:rFonts w:ascii="Arial" w:hAnsi="Arial" w:cs="Arial"/>
          <w:sz w:val="24"/>
          <w:szCs w:val="24"/>
        </w:rPr>
        <w:t xml:space="preserve"> The Respondent administers, controls and manages the Kingsmead Office Park (‘the site”) in accordance with the provisions of its Memorandum of Incorporation (“MOI”) and rules made by the Board of the Plaintiff.</w:t>
      </w:r>
      <w:r>
        <w:rPr>
          <w:rStyle w:val="FootnoteReference"/>
          <w:rFonts w:ascii="Arial" w:hAnsi="Arial" w:cs="Arial"/>
          <w:sz w:val="24"/>
          <w:szCs w:val="24"/>
        </w:rPr>
        <w:footnoteReference w:id="2"/>
      </w:r>
      <w:r>
        <w:rPr>
          <w:rFonts w:ascii="Arial" w:hAnsi="Arial" w:cs="Arial"/>
          <w:sz w:val="24"/>
          <w:szCs w:val="24"/>
        </w:rPr>
        <w:t xml:space="preserve"> The trust owns portion 6 of Erf 12486 </w:t>
      </w:r>
      <w:r w:rsidR="007771B4">
        <w:rPr>
          <w:rFonts w:ascii="Arial" w:hAnsi="Arial" w:cs="Arial"/>
          <w:sz w:val="24"/>
          <w:szCs w:val="24"/>
        </w:rPr>
        <w:t>which is located at the site.</w:t>
      </w:r>
      <w:r w:rsidR="007771B4">
        <w:rPr>
          <w:rStyle w:val="FootnoteReference"/>
          <w:rFonts w:ascii="Arial" w:hAnsi="Arial" w:cs="Arial"/>
          <w:sz w:val="24"/>
          <w:szCs w:val="24"/>
        </w:rPr>
        <w:footnoteReference w:id="3"/>
      </w:r>
    </w:p>
    <w:p w:rsidR="00C70C15" w:rsidRPr="00C70C15" w:rsidRDefault="00C70C15" w:rsidP="00C70C15">
      <w:pPr>
        <w:spacing w:line="480" w:lineRule="auto"/>
        <w:contextualSpacing/>
        <w:jc w:val="both"/>
      </w:pPr>
    </w:p>
    <w:p w:rsidR="00C70C15" w:rsidRPr="00C70C15" w:rsidRDefault="00C70C15" w:rsidP="002E7A69">
      <w:pPr>
        <w:numPr>
          <w:ilvl w:val="0"/>
          <w:numId w:val="1"/>
        </w:numPr>
        <w:spacing w:line="480" w:lineRule="auto"/>
        <w:contextualSpacing/>
        <w:jc w:val="both"/>
      </w:pPr>
      <w:r>
        <w:rPr>
          <w:rFonts w:ascii="Arial" w:hAnsi="Arial" w:cs="Arial"/>
          <w:sz w:val="24"/>
          <w:szCs w:val="24"/>
        </w:rPr>
        <w:t xml:space="preserve">According to </w:t>
      </w:r>
      <w:r w:rsidR="00A23B37">
        <w:rPr>
          <w:rFonts w:ascii="Arial" w:hAnsi="Arial" w:cs="Arial"/>
          <w:sz w:val="24"/>
          <w:szCs w:val="24"/>
        </w:rPr>
        <w:t>the Plaintiff’s Particulars of C</w:t>
      </w:r>
      <w:r>
        <w:rPr>
          <w:rFonts w:ascii="Arial" w:hAnsi="Arial" w:cs="Arial"/>
          <w:sz w:val="24"/>
          <w:szCs w:val="24"/>
        </w:rPr>
        <w:t>laim it is alleged that a resolution was taken at the Respondent’s Annual General Meeting in 2020 that monthly levies would be imposed on the Trust for the 2020/2021 financial year in the amount of R13 257.76 per month excluding VAT. It is further alleged that during the period 1 December 2020 to 15 December 2021, the Trust failed to pay:</w:t>
      </w:r>
    </w:p>
    <w:p w:rsidR="00C70C15" w:rsidRDefault="00C70C15" w:rsidP="00C70C15">
      <w:pPr>
        <w:spacing w:line="360" w:lineRule="auto"/>
        <w:ind w:left="720" w:right="720"/>
        <w:contextualSpacing/>
        <w:jc w:val="both"/>
        <w:rPr>
          <w:rFonts w:ascii="Arial" w:hAnsi="Arial" w:cs="Arial"/>
          <w:i/>
        </w:rPr>
      </w:pPr>
      <w:r>
        <w:rPr>
          <w:rFonts w:ascii="Arial" w:hAnsi="Arial" w:cs="Arial"/>
          <w:i/>
        </w:rPr>
        <w:t>’12.1</w:t>
      </w:r>
      <w:r>
        <w:rPr>
          <w:rFonts w:ascii="Arial" w:hAnsi="Arial" w:cs="Arial"/>
          <w:i/>
        </w:rPr>
        <w:tab/>
        <w:t>levies in full;</w:t>
      </w:r>
    </w:p>
    <w:p w:rsidR="00C70C15" w:rsidRDefault="00C70C15" w:rsidP="00C70C15">
      <w:pPr>
        <w:spacing w:line="360" w:lineRule="auto"/>
        <w:ind w:left="720" w:right="720"/>
        <w:contextualSpacing/>
        <w:jc w:val="both"/>
        <w:rPr>
          <w:rFonts w:ascii="Arial" w:hAnsi="Arial" w:cs="Arial"/>
          <w:i/>
        </w:rPr>
      </w:pPr>
      <w:r>
        <w:rPr>
          <w:rFonts w:ascii="Arial" w:hAnsi="Arial" w:cs="Arial"/>
          <w:i/>
        </w:rPr>
        <w:t>12.2</w:t>
      </w:r>
      <w:r>
        <w:rPr>
          <w:rFonts w:ascii="Arial" w:hAnsi="Arial" w:cs="Arial"/>
          <w:i/>
        </w:rPr>
        <w:tab/>
        <w:t xml:space="preserve">amounts paid by the Plaintiff to </w:t>
      </w:r>
      <w:r w:rsidR="002B1412">
        <w:rPr>
          <w:rFonts w:ascii="Arial" w:hAnsi="Arial" w:cs="Arial"/>
          <w:i/>
        </w:rPr>
        <w:t>EThekwini</w:t>
      </w:r>
      <w:r>
        <w:rPr>
          <w:rFonts w:ascii="Arial" w:hAnsi="Arial" w:cs="Arial"/>
          <w:i/>
        </w:rPr>
        <w:t xml:space="preserve"> Municipality in respect of </w:t>
      </w:r>
      <w:r>
        <w:rPr>
          <w:rFonts w:ascii="Arial" w:hAnsi="Arial" w:cs="Arial"/>
          <w:i/>
        </w:rPr>
        <w:tab/>
        <w:t xml:space="preserve">electricity water and sewerage services supplied to the Trust by the </w:t>
      </w:r>
      <w:r>
        <w:rPr>
          <w:rFonts w:ascii="Arial" w:hAnsi="Arial" w:cs="Arial"/>
          <w:i/>
        </w:rPr>
        <w:tab/>
        <w:t>Municipality.</w:t>
      </w:r>
    </w:p>
    <w:p w:rsidR="00D178E5" w:rsidRDefault="00C70C15" w:rsidP="00C70C15">
      <w:pPr>
        <w:spacing w:line="360" w:lineRule="auto"/>
        <w:ind w:left="720" w:right="720"/>
        <w:contextualSpacing/>
        <w:jc w:val="both"/>
        <w:rPr>
          <w:rFonts w:ascii="Arial" w:hAnsi="Arial" w:cs="Arial"/>
          <w:i/>
        </w:rPr>
      </w:pPr>
      <w:r>
        <w:rPr>
          <w:rFonts w:ascii="Arial" w:hAnsi="Arial" w:cs="Arial"/>
          <w:i/>
        </w:rPr>
        <w:t>12.3</w:t>
      </w:r>
      <w:r>
        <w:rPr>
          <w:rFonts w:ascii="Arial" w:hAnsi="Arial" w:cs="Arial"/>
          <w:i/>
        </w:rPr>
        <w:tab/>
        <w:t>interest on the outstanding amounts’</w:t>
      </w:r>
      <w:r>
        <w:rPr>
          <w:rStyle w:val="FootnoteReference"/>
          <w:rFonts w:ascii="Arial" w:hAnsi="Arial" w:cs="Arial"/>
          <w:i/>
        </w:rPr>
        <w:footnoteReference w:id="4"/>
      </w:r>
      <w:r w:rsidR="00D178E5">
        <w:rPr>
          <w:rFonts w:ascii="Arial" w:hAnsi="Arial" w:cs="Arial"/>
          <w:i/>
        </w:rPr>
        <w:t>,</w:t>
      </w:r>
    </w:p>
    <w:p w:rsidR="00D178E5" w:rsidRPr="00D178E5" w:rsidRDefault="00D178E5" w:rsidP="00D178E5">
      <w:pPr>
        <w:spacing w:line="360" w:lineRule="auto"/>
        <w:contextualSpacing/>
        <w:jc w:val="both"/>
        <w:rPr>
          <w:rFonts w:ascii="Arial" w:hAnsi="Arial" w:cs="Arial"/>
          <w:sz w:val="24"/>
          <w:szCs w:val="24"/>
        </w:rPr>
      </w:pPr>
    </w:p>
    <w:p w:rsidR="00C70C15" w:rsidRPr="00130871" w:rsidRDefault="00D178E5" w:rsidP="002E7A69">
      <w:pPr>
        <w:numPr>
          <w:ilvl w:val="0"/>
          <w:numId w:val="1"/>
        </w:numPr>
        <w:spacing w:line="480" w:lineRule="auto"/>
        <w:contextualSpacing/>
        <w:jc w:val="both"/>
      </w:pPr>
      <w:r>
        <w:rPr>
          <w:rFonts w:ascii="Arial" w:hAnsi="Arial" w:cs="Arial"/>
          <w:sz w:val="24"/>
          <w:szCs w:val="24"/>
        </w:rPr>
        <w:t>The Plaintiff furthermore averred that the Trust in indebted to it in the amount of R243 633.11.</w:t>
      </w:r>
      <w:r>
        <w:rPr>
          <w:rStyle w:val="FootnoteReference"/>
          <w:rFonts w:ascii="Arial" w:hAnsi="Arial" w:cs="Arial"/>
          <w:sz w:val="24"/>
          <w:szCs w:val="24"/>
        </w:rPr>
        <w:footnoteReference w:id="5"/>
      </w:r>
    </w:p>
    <w:p w:rsidR="00130871" w:rsidRDefault="00130871" w:rsidP="00130871">
      <w:pPr>
        <w:spacing w:line="480" w:lineRule="auto"/>
        <w:contextualSpacing/>
        <w:jc w:val="both"/>
        <w:rPr>
          <w:rFonts w:ascii="Arial" w:hAnsi="Arial" w:cs="Arial"/>
          <w:b/>
          <w:sz w:val="24"/>
          <w:szCs w:val="24"/>
        </w:rPr>
      </w:pPr>
    </w:p>
    <w:p w:rsidR="00130871" w:rsidRPr="00130871" w:rsidRDefault="00130871" w:rsidP="00130871">
      <w:pPr>
        <w:spacing w:line="480" w:lineRule="auto"/>
        <w:contextualSpacing/>
        <w:jc w:val="both"/>
        <w:rPr>
          <w:b/>
        </w:rPr>
      </w:pPr>
      <w:r w:rsidRPr="00130871">
        <w:rPr>
          <w:rFonts w:ascii="Arial" w:hAnsi="Arial" w:cs="Arial"/>
          <w:b/>
          <w:sz w:val="24"/>
          <w:szCs w:val="24"/>
        </w:rPr>
        <w:t>Onus of Proof</w:t>
      </w:r>
    </w:p>
    <w:p w:rsidR="00535842" w:rsidRPr="00C165DF" w:rsidRDefault="00535842" w:rsidP="00535842">
      <w:pPr>
        <w:numPr>
          <w:ilvl w:val="0"/>
          <w:numId w:val="1"/>
        </w:numPr>
        <w:spacing w:line="480" w:lineRule="auto"/>
        <w:contextualSpacing/>
        <w:jc w:val="both"/>
        <w:rPr>
          <w:rFonts w:ascii="Arial" w:hAnsi="Arial" w:cs="Arial"/>
          <w:sz w:val="24"/>
          <w:szCs w:val="24"/>
        </w:rPr>
      </w:pPr>
      <w:r w:rsidRPr="00C165DF">
        <w:rPr>
          <w:rFonts w:ascii="Arial" w:hAnsi="Arial" w:cs="Arial"/>
          <w:sz w:val="24"/>
          <w:szCs w:val="24"/>
        </w:rPr>
        <w:lastRenderedPageBreak/>
        <w:t xml:space="preserve">It is trite that an Applicant is to give a reasonable and acceptable explanation for his or her default; that that application is made in good faith and that on the merits Applicant has a </w:t>
      </w:r>
      <w:r w:rsidRPr="00C165DF">
        <w:rPr>
          <w:rFonts w:ascii="Arial" w:hAnsi="Arial" w:cs="Arial"/>
          <w:i/>
          <w:sz w:val="24"/>
          <w:szCs w:val="24"/>
        </w:rPr>
        <w:t>bona fide</w:t>
      </w:r>
      <w:r w:rsidRPr="00C165DF">
        <w:rPr>
          <w:rFonts w:ascii="Arial" w:hAnsi="Arial" w:cs="Arial"/>
          <w:sz w:val="24"/>
          <w:szCs w:val="24"/>
        </w:rPr>
        <w:t xml:space="preserve"> </w:t>
      </w:r>
      <w:r w:rsidRPr="00C165DF">
        <w:rPr>
          <w:rFonts w:ascii="Arial" w:hAnsi="Arial" w:cs="Arial"/>
          <w:noProof/>
          <w:sz w:val="24"/>
          <w:szCs w:val="24"/>
        </w:rPr>
        <w:t>defence</w:t>
      </w:r>
      <w:r w:rsidRPr="00C165DF">
        <w:rPr>
          <w:rFonts w:ascii="Arial" w:hAnsi="Arial" w:cs="Arial"/>
          <w:sz w:val="24"/>
          <w:szCs w:val="24"/>
        </w:rPr>
        <w:t xml:space="preserve"> which </w:t>
      </w:r>
      <w:r w:rsidRPr="00C165DF">
        <w:rPr>
          <w:rFonts w:ascii="Arial" w:hAnsi="Arial" w:cs="Arial"/>
          <w:i/>
          <w:sz w:val="24"/>
          <w:szCs w:val="24"/>
        </w:rPr>
        <w:t>prima facie</w:t>
      </w:r>
      <w:r w:rsidRPr="00C165DF">
        <w:rPr>
          <w:rFonts w:ascii="Arial" w:hAnsi="Arial" w:cs="Arial"/>
          <w:sz w:val="24"/>
          <w:szCs w:val="24"/>
        </w:rPr>
        <w:t xml:space="preserve"> carries some prospect of success.</w:t>
      </w:r>
      <w:r w:rsidRPr="00C165DF">
        <w:rPr>
          <w:rFonts w:ascii="Arial" w:hAnsi="Arial" w:cs="Arial"/>
          <w:sz w:val="24"/>
          <w:szCs w:val="24"/>
          <w:vertAlign w:val="superscript"/>
        </w:rPr>
        <w:footnoteReference w:id="6"/>
      </w:r>
    </w:p>
    <w:p w:rsidR="00535842" w:rsidRDefault="00535842" w:rsidP="00535842">
      <w:pPr>
        <w:spacing w:line="480" w:lineRule="auto"/>
        <w:contextualSpacing/>
        <w:jc w:val="both"/>
        <w:rPr>
          <w:rFonts w:ascii="Arial" w:hAnsi="Arial" w:cs="Arial"/>
          <w:b/>
          <w:sz w:val="24"/>
          <w:szCs w:val="24"/>
        </w:rPr>
      </w:pPr>
    </w:p>
    <w:p w:rsidR="00535842" w:rsidRPr="00130871" w:rsidRDefault="00535842" w:rsidP="00535842">
      <w:pPr>
        <w:spacing w:line="480" w:lineRule="auto"/>
        <w:contextualSpacing/>
        <w:jc w:val="both"/>
      </w:pPr>
      <w:r>
        <w:rPr>
          <w:rFonts w:ascii="Arial" w:hAnsi="Arial" w:cs="Arial"/>
          <w:b/>
          <w:sz w:val="24"/>
          <w:szCs w:val="24"/>
        </w:rPr>
        <w:t>Issues for determination</w:t>
      </w:r>
    </w:p>
    <w:p w:rsidR="00535842" w:rsidRPr="00130871" w:rsidRDefault="00535842" w:rsidP="00535842">
      <w:pPr>
        <w:numPr>
          <w:ilvl w:val="0"/>
          <w:numId w:val="1"/>
        </w:numPr>
        <w:spacing w:line="480" w:lineRule="auto"/>
        <w:contextualSpacing/>
        <w:jc w:val="both"/>
      </w:pPr>
      <w:r>
        <w:rPr>
          <w:rFonts w:ascii="Arial" w:hAnsi="Arial" w:cs="Arial"/>
          <w:sz w:val="24"/>
          <w:szCs w:val="24"/>
        </w:rPr>
        <w:t>The crisp issues for determination are whether:</w:t>
      </w:r>
    </w:p>
    <w:p w:rsidR="00535842" w:rsidRPr="00130871" w:rsidRDefault="00535842" w:rsidP="00535842">
      <w:pPr>
        <w:pStyle w:val="ListParagraph"/>
        <w:numPr>
          <w:ilvl w:val="0"/>
          <w:numId w:val="4"/>
        </w:numPr>
        <w:spacing w:line="480" w:lineRule="auto"/>
        <w:jc w:val="both"/>
        <w:rPr>
          <w:rFonts w:ascii="Arial" w:hAnsi="Arial" w:cs="Arial"/>
          <w:sz w:val="24"/>
          <w:szCs w:val="24"/>
        </w:rPr>
      </w:pPr>
      <w:r>
        <w:rPr>
          <w:rFonts w:ascii="Arial" w:hAnsi="Arial" w:cs="Arial"/>
          <w:sz w:val="24"/>
          <w:szCs w:val="24"/>
        </w:rPr>
        <w:t xml:space="preserve"> </w:t>
      </w:r>
      <w:r w:rsidRPr="00130871">
        <w:rPr>
          <w:rFonts w:ascii="Arial" w:hAnsi="Arial" w:cs="Arial"/>
          <w:sz w:val="24"/>
          <w:szCs w:val="24"/>
        </w:rPr>
        <w:t>the Applicants have provided a reasonable and satisfactory explanation for its absence or default to defend the action; and</w:t>
      </w:r>
    </w:p>
    <w:p w:rsidR="00234353" w:rsidRDefault="00535842" w:rsidP="003C2926">
      <w:pPr>
        <w:pStyle w:val="ListParagraph"/>
        <w:numPr>
          <w:ilvl w:val="0"/>
          <w:numId w:val="4"/>
        </w:numPr>
        <w:spacing w:line="480" w:lineRule="auto"/>
        <w:jc w:val="both"/>
        <w:rPr>
          <w:rFonts w:ascii="Arial" w:hAnsi="Arial" w:cs="Arial"/>
          <w:sz w:val="24"/>
          <w:szCs w:val="24"/>
        </w:rPr>
      </w:pPr>
      <w:r w:rsidRPr="00130871">
        <w:rPr>
          <w:rFonts w:ascii="Arial" w:hAnsi="Arial" w:cs="Arial"/>
          <w:sz w:val="24"/>
          <w:szCs w:val="24"/>
        </w:rPr>
        <w:t>The Applic</w:t>
      </w:r>
      <w:r>
        <w:rPr>
          <w:rFonts w:ascii="Arial" w:hAnsi="Arial" w:cs="Arial"/>
          <w:sz w:val="24"/>
          <w:szCs w:val="24"/>
        </w:rPr>
        <w:t xml:space="preserve">ants have shown that they have a bona fide </w:t>
      </w:r>
      <w:proofErr w:type="spellStart"/>
      <w:r>
        <w:rPr>
          <w:rFonts w:ascii="Arial" w:hAnsi="Arial" w:cs="Arial"/>
          <w:sz w:val="24"/>
          <w:szCs w:val="24"/>
        </w:rPr>
        <w:t>defence</w:t>
      </w:r>
      <w:proofErr w:type="spellEnd"/>
      <w:r>
        <w:rPr>
          <w:rFonts w:ascii="Arial" w:hAnsi="Arial" w:cs="Arial"/>
          <w:sz w:val="24"/>
          <w:szCs w:val="24"/>
        </w:rPr>
        <w:t xml:space="preserve"> to the Plaintiff’s claim on the merits, which carry some prospect of success.</w:t>
      </w:r>
    </w:p>
    <w:p w:rsidR="003C2926" w:rsidRPr="003C2926" w:rsidRDefault="003C2926" w:rsidP="003C2926">
      <w:pPr>
        <w:pStyle w:val="ListParagraph"/>
        <w:spacing w:line="480" w:lineRule="auto"/>
        <w:jc w:val="both"/>
        <w:rPr>
          <w:rFonts w:ascii="Arial" w:hAnsi="Arial" w:cs="Arial"/>
          <w:sz w:val="24"/>
          <w:szCs w:val="24"/>
        </w:rPr>
      </w:pPr>
    </w:p>
    <w:p w:rsidR="00535842" w:rsidRPr="00535842" w:rsidRDefault="00535842" w:rsidP="00234353">
      <w:pPr>
        <w:pStyle w:val="ListParagraph"/>
        <w:spacing w:line="360" w:lineRule="auto"/>
        <w:ind w:left="0"/>
        <w:rPr>
          <w:rFonts w:ascii="Arial" w:hAnsi="Arial" w:cs="Arial"/>
          <w:b/>
          <w:sz w:val="24"/>
          <w:szCs w:val="24"/>
          <w:lang w:val="en-ZA"/>
        </w:rPr>
      </w:pPr>
      <w:r w:rsidRPr="00535842">
        <w:rPr>
          <w:rFonts w:ascii="Arial" w:hAnsi="Arial" w:cs="Arial"/>
          <w:b/>
          <w:sz w:val="24"/>
          <w:szCs w:val="24"/>
          <w:lang w:val="en-ZA"/>
        </w:rPr>
        <w:t xml:space="preserve">Legal Principles </w:t>
      </w:r>
    </w:p>
    <w:p w:rsidR="002710D3" w:rsidRPr="002710D3" w:rsidRDefault="002710D3" w:rsidP="002710D3">
      <w:pPr>
        <w:numPr>
          <w:ilvl w:val="0"/>
          <w:numId w:val="3"/>
        </w:numPr>
        <w:spacing w:line="480" w:lineRule="auto"/>
        <w:contextualSpacing/>
        <w:rPr>
          <w:rFonts w:ascii="Arial" w:hAnsi="Arial" w:cs="Arial"/>
          <w:sz w:val="24"/>
          <w:szCs w:val="24"/>
        </w:rPr>
      </w:pPr>
      <w:r w:rsidRPr="00C165DF">
        <w:rPr>
          <w:rFonts w:ascii="Arial" w:hAnsi="Arial" w:cs="Arial"/>
          <w:sz w:val="24"/>
          <w:szCs w:val="24"/>
          <w:lang w:val="en-ZA"/>
        </w:rPr>
        <w:t>It is trite that an order of a court of law stands until set aside by a court of competent jurisdiction</w:t>
      </w:r>
      <w:r w:rsidRPr="00C165DF">
        <w:rPr>
          <w:rFonts w:ascii="Arial" w:hAnsi="Arial" w:cs="Arial"/>
          <w:sz w:val="24"/>
          <w:szCs w:val="24"/>
          <w:vertAlign w:val="superscript"/>
          <w:lang w:val="en-ZA"/>
        </w:rPr>
        <w:footnoteReference w:id="7"/>
      </w:r>
      <w:r w:rsidRPr="00C165DF">
        <w:rPr>
          <w:rFonts w:ascii="Arial" w:hAnsi="Arial" w:cs="Arial"/>
          <w:sz w:val="24"/>
          <w:szCs w:val="24"/>
          <w:lang w:val="en-ZA"/>
        </w:rPr>
        <w:t>. Until that is done, the court order must be</w:t>
      </w:r>
      <w:r w:rsidR="00A23B37">
        <w:rPr>
          <w:rFonts w:ascii="Arial" w:hAnsi="Arial" w:cs="Arial"/>
          <w:sz w:val="24"/>
          <w:szCs w:val="24"/>
          <w:lang w:val="en-ZA"/>
        </w:rPr>
        <w:t xml:space="preserve"> obeyed even if it may be wrong.</w:t>
      </w:r>
      <w:r w:rsidRPr="00C165DF">
        <w:rPr>
          <w:rFonts w:ascii="Arial" w:hAnsi="Arial" w:cs="Arial"/>
          <w:sz w:val="24"/>
          <w:szCs w:val="24"/>
          <w:vertAlign w:val="superscript"/>
          <w:lang w:val="en-ZA"/>
        </w:rPr>
        <w:footnoteReference w:id="8"/>
      </w:r>
      <w:r w:rsidR="00A23B37">
        <w:rPr>
          <w:rFonts w:ascii="Arial" w:hAnsi="Arial" w:cs="Arial"/>
          <w:sz w:val="24"/>
          <w:szCs w:val="24"/>
          <w:lang w:val="en-ZA"/>
        </w:rPr>
        <w:t xml:space="preserve"> T</w:t>
      </w:r>
      <w:r w:rsidRPr="00C165DF">
        <w:rPr>
          <w:rFonts w:ascii="Arial" w:hAnsi="Arial" w:cs="Arial"/>
          <w:sz w:val="24"/>
          <w:szCs w:val="24"/>
          <w:lang w:val="en-ZA"/>
        </w:rPr>
        <w:t xml:space="preserve">here is a presumption that the judgment is correct. At common law a court’s order becomes final and unalterable by that court at the moment of its pronouncement by the Judicial Officer, who thereafter becomes </w:t>
      </w:r>
      <w:proofErr w:type="spellStart"/>
      <w:r w:rsidRPr="00C165DF">
        <w:rPr>
          <w:rFonts w:ascii="Arial" w:hAnsi="Arial" w:cs="Arial"/>
          <w:i/>
          <w:sz w:val="24"/>
          <w:szCs w:val="24"/>
          <w:lang w:val="en-ZA"/>
        </w:rPr>
        <w:t>functus</w:t>
      </w:r>
      <w:proofErr w:type="spellEnd"/>
      <w:r w:rsidRPr="00C165DF">
        <w:rPr>
          <w:rFonts w:ascii="Arial" w:hAnsi="Arial" w:cs="Arial"/>
          <w:i/>
          <w:sz w:val="24"/>
          <w:szCs w:val="24"/>
          <w:lang w:val="en-ZA"/>
        </w:rPr>
        <w:t xml:space="preserve"> officio</w:t>
      </w:r>
      <w:r w:rsidRPr="00C165DF">
        <w:rPr>
          <w:rFonts w:ascii="Arial" w:hAnsi="Arial" w:cs="Arial"/>
          <w:sz w:val="24"/>
          <w:szCs w:val="24"/>
          <w:lang w:val="en-ZA"/>
        </w:rPr>
        <w:t>.  Save in exceptional circumstances it cannot thereafter be varied or rescinded. Section 36 is an exception and it is submitted that a Magistrate’s Court may correct or vary its judgment only in those cases that are covered by the section.”</w:t>
      </w:r>
      <w:r w:rsidRPr="00C165DF">
        <w:rPr>
          <w:rFonts w:ascii="Arial" w:hAnsi="Arial" w:cs="Arial"/>
          <w:sz w:val="24"/>
          <w:szCs w:val="24"/>
          <w:vertAlign w:val="superscript"/>
          <w:lang w:val="en-ZA"/>
        </w:rPr>
        <w:footnoteReference w:id="9"/>
      </w:r>
      <w:r w:rsidRPr="00C165DF">
        <w:rPr>
          <w:rFonts w:ascii="Arial" w:hAnsi="Arial" w:cs="Arial"/>
          <w:sz w:val="24"/>
          <w:szCs w:val="24"/>
          <w:lang w:val="en-ZA"/>
        </w:rPr>
        <w:t xml:space="preserve"> </w:t>
      </w:r>
    </w:p>
    <w:p w:rsidR="002710D3" w:rsidRPr="00C165DF" w:rsidRDefault="002710D3" w:rsidP="002710D3">
      <w:pPr>
        <w:spacing w:line="480" w:lineRule="auto"/>
        <w:contextualSpacing/>
        <w:jc w:val="both"/>
      </w:pPr>
    </w:p>
    <w:p w:rsidR="002710D3" w:rsidRPr="00C165DF" w:rsidRDefault="002710D3" w:rsidP="002710D3">
      <w:pPr>
        <w:numPr>
          <w:ilvl w:val="0"/>
          <w:numId w:val="3"/>
        </w:numPr>
        <w:spacing w:line="480" w:lineRule="auto"/>
        <w:contextualSpacing/>
        <w:jc w:val="both"/>
      </w:pPr>
      <w:r w:rsidRPr="00C165DF">
        <w:rPr>
          <w:rFonts w:ascii="Arial" w:hAnsi="Arial" w:cs="Arial"/>
          <w:sz w:val="24"/>
          <w:szCs w:val="24"/>
        </w:rPr>
        <w:t xml:space="preserve">Furthermore, there is no exhaustive definition of the meaning of “good cause” and “sufficient cause” giving a court a wide discretion in this regard. </w:t>
      </w:r>
      <w:r w:rsidRPr="00C165DF">
        <w:rPr>
          <w:rFonts w:ascii="Arial" w:hAnsi="Arial" w:cs="Arial"/>
          <w:b/>
          <w:i/>
          <w:sz w:val="24"/>
          <w:szCs w:val="24"/>
        </w:rPr>
        <w:t xml:space="preserve">Silber v </w:t>
      </w:r>
      <w:proofErr w:type="spellStart"/>
      <w:r w:rsidRPr="00C165DF">
        <w:rPr>
          <w:rFonts w:ascii="Arial" w:hAnsi="Arial" w:cs="Arial"/>
          <w:b/>
          <w:i/>
          <w:sz w:val="24"/>
          <w:szCs w:val="24"/>
        </w:rPr>
        <w:t>Ozen</w:t>
      </w:r>
      <w:proofErr w:type="spellEnd"/>
      <w:r w:rsidRPr="00C165DF">
        <w:rPr>
          <w:rFonts w:ascii="Arial" w:hAnsi="Arial" w:cs="Arial"/>
          <w:b/>
          <w:i/>
          <w:sz w:val="24"/>
          <w:szCs w:val="24"/>
        </w:rPr>
        <w:t xml:space="preserve"> Wholesalers</w:t>
      </w:r>
      <w:r w:rsidRPr="00C165DF">
        <w:rPr>
          <w:rFonts w:ascii="Arial" w:hAnsi="Arial" w:cs="Arial"/>
          <w:b/>
          <w:i/>
          <w:sz w:val="24"/>
          <w:szCs w:val="24"/>
          <w:vertAlign w:val="superscript"/>
        </w:rPr>
        <w:footnoteReference w:id="10"/>
      </w:r>
      <w:r w:rsidRPr="00C165DF">
        <w:rPr>
          <w:rFonts w:ascii="Arial" w:hAnsi="Arial" w:cs="Arial"/>
          <w:sz w:val="24"/>
          <w:szCs w:val="24"/>
        </w:rPr>
        <w:t xml:space="preserve"> is instructive on the requirements of good cause and the giving of a full explanation by a party in default. In this regard, Schreiner JA stated that:</w:t>
      </w:r>
    </w:p>
    <w:p w:rsidR="002710D3" w:rsidRPr="00C165DF" w:rsidRDefault="002710D3" w:rsidP="002710D3">
      <w:pPr>
        <w:spacing w:line="360" w:lineRule="auto"/>
        <w:ind w:left="283"/>
        <w:contextualSpacing/>
        <w:jc w:val="both"/>
        <w:rPr>
          <w:rFonts w:ascii="Arial" w:hAnsi="Arial" w:cs="Arial"/>
          <w:i/>
        </w:rPr>
      </w:pPr>
      <w:r w:rsidRPr="00C165DF">
        <w:rPr>
          <w:rFonts w:ascii="Arial" w:hAnsi="Arial" w:cs="Arial"/>
          <w:i/>
        </w:rPr>
        <w:t xml:space="preserve">‘The meaning of “good cause” in the present sub-rule, like that of the practically synonymous expression “sufficient cause” which was considered by this Court in Cairn’s Executors V. </w:t>
      </w:r>
      <w:proofErr w:type="spellStart"/>
      <w:r w:rsidRPr="00C165DF">
        <w:rPr>
          <w:rFonts w:ascii="Arial" w:hAnsi="Arial" w:cs="Arial"/>
          <w:i/>
        </w:rPr>
        <w:t>Gaarn</w:t>
      </w:r>
      <w:proofErr w:type="spellEnd"/>
      <w:r w:rsidRPr="00C165DF">
        <w:rPr>
          <w:rFonts w:ascii="Arial" w:hAnsi="Arial" w:cs="Arial"/>
          <w:i/>
        </w:rPr>
        <w:t>, 1912 A.D. 181, should not lightly be made the subject of further definition…There are many decisions which have the same or similar expressions have been applied in the grant or refusal of different kinds of procedural relief. It is enough for present purposes to say that the defendant must at least furnish an explanation of his default sufficiently full to enable the Court to understand how it really came about, and to assess his conduct and motives.’</w:t>
      </w:r>
    </w:p>
    <w:p w:rsidR="002710D3" w:rsidRPr="00C165DF" w:rsidRDefault="002710D3" w:rsidP="002710D3">
      <w:pPr>
        <w:spacing w:line="360" w:lineRule="auto"/>
        <w:ind w:left="283"/>
        <w:contextualSpacing/>
        <w:jc w:val="both"/>
        <w:rPr>
          <w:rFonts w:ascii="Arial" w:hAnsi="Arial" w:cs="Arial"/>
          <w:i/>
        </w:rPr>
      </w:pPr>
    </w:p>
    <w:p w:rsidR="002710D3" w:rsidRPr="00C165DF" w:rsidRDefault="002710D3" w:rsidP="002710D3">
      <w:pPr>
        <w:numPr>
          <w:ilvl w:val="0"/>
          <w:numId w:val="1"/>
        </w:numPr>
        <w:tabs>
          <w:tab w:val="num" w:pos="1017"/>
        </w:tabs>
        <w:spacing w:line="480" w:lineRule="auto"/>
        <w:contextualSpacing/>
        <w:jc w:val="both"/>
      </w:pPr>
      <w:r w:rsidRPr="00C165DF">
        <w:rPr>
          <w:rFonts w:ascii="Arial" w:hAnsi="Arial" w:cs="Arial"/>
          <w:sz w:val="24"/>
          <w:szCs w:val="24"/>
        </w:rPr>
        <w:t xml:space="preserve">The idiosyncratic test for a </w:t>
      </w:r>
      <w:r w:rsidRPr="00C165DF">
        <w:rPr>
          <w:rFonts w:ascii="Arial" w:hAnsi="Arial" w:cs="Arial"/>
          <w:i/>
          <w:sz w:val="24"/>
          <w:szCs w:val="24"/>
        </w:rPr>
        <w:t>bona fide</w:t>
      </w:r>
      <w:r w:rsidRPr="00C165DF">
        <w:rPr>
          <w:rFonts w:ascii="Arial" w:hAnsi="Arial" w:cs="Arial"/>
          <w:sz w:val="24"/>
          <w:szCs w:val="24"/>
        </w:rPr>
        <w:t xml:space="preserve"> </w:t>
      </w:r>
      <w:r w:rsidRPr="00C165DF">
        <w:rPr>
          <w:rFonts w:ascii="Arial" w:hAnsi="Arial" w:cs="Arial"/>
          <w:noProof/>
          <w:sz w:val="24"/>
          <w:szCs w:val="24"/>
        </w:rPr>
        <w:t>defence</w:t>
      </w:r>
      <w:r w:rsidRPr="00C165DF">
        <w:rPr>
          <w:rFonts w:ascii="Arial" w:hAnsi="Arial" w:cs="Arial"/>
          <w:sz w:val="24"/>
          <w:szCs w:val="24"/>
        </w:rPr>
        <w:t xml:space="preserve"> has been described in </w:t>
      </w:r>
      <w:proofErr w:type="spellStart"/>
      <w:r w:rsidRPr="00C165DF">
        <w:rPr>
          <w:rFonts w:ascii="Arial" w:hAnsi="Arial" w:cs="Arial"/>
          <w:b/>
          <w:i/>
          <w:sz w:val="24"/>
          <w:szCs w:val="24"/>
        </w:rPr>
        <w:t>Saphula</w:t>
      </w:r>
      <w:proofErr w:type="spellEnd"/>
      <w:r w:rsidRPr="00C165DF">
        <w:rPr>
          <w:rFonts w:ascii="Arial" w:hAnsi="Arial" w:cs="Arial"/>
          <w:b/>
          <w:i/>
          <w:sz w:val="24"/>
          <w:szCs w:val="24"/>
        </w:rPr>
        <w:t xml:space="preserve"> v Nedcor Bank Ltd</w:t>
      </w:r>
      <w:r w:rsidRPr="00C165DF">
        <w:rPr>
          <w:rFonts w:ascii="Arial" w:hAnsi="Arial" w:cs="Arial"/>
          <w:b/>
          <w:sz w:val="24"/>
          <w:szCs w:val="24"/>
        </w:rPr>
        <w:t xml:space="preserve"> </w:t>
      </w:r>
      <w:r w:rsidRPr="00C165DF">
        <w:rPr>
          <w:rFonts w:ascii="Arial" w:hAnsi="Arial" w:cs="Arial"/>
          <w:b/>
          <w:sz w:val="24"/>
          <w:szCs w:val="24"/>
          <w:vertAlign w:val="superscript"/>
        </w:rPr>
        <w:footnoteReference w:id="11"/>
      </w:r>
      <w:r w:rsidRPr="00C165DF">
        <w:rPr>
          <w:rFonts w:ascii="Arial" w:hAnsi="Arial" w:cs="Arial"/>
          <w:b/>
          <w:sz w:val="24"/>
          <w:szCs w:val="24"/>
        </w:rPr>
        <w:t xml:space="preserve">  </w:t>
      </w:r>
      <w:r w:rsidRPr="00C165DF">
        <w:rPr>
          <w:rFonts w:ascii="Arial" w:hAnsi="Arial" w:cs="Arial"/>
          <w:sz w:val="24"/>
          <w:szCs w:val="24"/>
        </w:rPr>
        <w:t>as:</w:t>
      </w:r>
    </w:p>
    <w:p w:rsidR="002710D3" w:rsidRPr="00C165DF" w:rsidRDefault="002710D3" w:rsidP="002710D3">
      <w:pPr>
        <w:spacing w:line="360" w:lineRule="auto"/>
        <w:ind w:left="283" w:right="283"/>
        <w:contextualSpacing/>
        <w:jc w:val="both"/>
        <w:rPr>
          <w:rFonts w:ascii="Arial" w:hAnsi="Arial" w:cs="Arial"/>
          <w:i/>
        </w:rPr>
      </w:pPr>
      <w:r w:rsidRPr="00C165DF">
        <w:rPr>
          <w:rFonts w:ascii="Arial" w:hAnsi="Arial" w:cs="Arial"/>
          <w:i/>
        </w:rPr>
        <w:t xml:space="preserve">‘…the hallmark of what lawyers call a bona fide </w:t>
      </w:r>
      <w:r w:rsidRPr="00C165DF">
        <w:rPr>
          <w:rFonts w:ascii="Arial" w:hAnsi="Arial" w:cs="Arial"/>
          <w:i/>
          <w:noProof/>
        </w:rPr>
        <w:t>defence</w:t>
      </w:r>
      <w:r w:rsidRPr="00C165DF">
        <w:rPr>
          <w:rFonts w:ascii="Arial" w:hAnsi="Arial" w:cs="Arial"/>
          <w:i/>
        </w:rPr>
        <w:t xml:space="preserve"> (which has to be established before rescission is granted), that defendant honestly intends to pursue before a Court a set of facts which, if true, will constitute a </w:t>
      </w:r>
      <w:r w:rsidRPr="00C165DF">
        <w:rPr>
          <w:rFonts w:ascii="Arial" w:hAnsi="Arial" w:cs="Arial"/>
          <w:i/>
          <w:noProof/>
        </w:rPr>
        <w:t>defence</w:t>
      </w:r>
      <w:r w:rsidRPr="00C165DF">
        <w:rPr>
          <w:rFonts w:ascii="Arial" w:hAnsi="Arial" w:cs="Arial"/>
          <w:i/>
        </w:rPr>
        <w:t>.’</w:t>
      </w:r>
    </w:p>
    <w:p w:rsidR="002710D3" w:rsidRPr="00C165DF" w:rsidRDefault="002710D3" w:rsidP="002710D3">
      <w:pPr>
        <w:spacing w:line="360" w:lineRule="auto"/>
        <w:ind w:left="283" w:right="283"/>
        <w:contextualSpacing/>
        <w:jc w:val="both"/>
        <w:rPr>
          <w:rFonts w:ascii="Arial" w:hAnsi="Arial" w:cs="Arial"/>
          <w:i/>
        </w:rPr>
      </w:pPr>
    </w:p>
    <w:p w:rsidR="002710D3" w:rsidRPr="00C165DF" w:rsidRDefault="002710D3" w:rsidP="002710D3">
      <w:pPr>
        <w:numPr>
          <w:ilvl w:val="0"/>
          <w:numId w:val="1"/>
        </w:numPr>
        <w:tabs>
          <w:tab w:val="num" w:pos="1017"/>
        </w:tabs>
        <w:spacing w:line="480" w:lineRule="auto"/>
        <w:contextualSpacing/>
        <w:jc w:val="both"/>
        <w:rPr>
          <w:rFonts w:ascii="Arial" w:hAnsi="Arial" w:cs="Arial"/>
          <w:b/>
          <w:sz w:val="24"/>
          <w:szCs w:val="24"/>
        </w:rPr>
      </w:pPr>
      <w:r w:rsidRPr="00C165DF">
        <w:rPr>
          <w:rFonts w:ascii="Arial" w:hAnsi="Arial" w:cs="Arial"/>
          <w:i/>
          <w:sz w:val="24"/>
          <w:szCs w:val="24"/>
        </w:rPr>
        <w:t xml:space="preserve">A pro </w:t>
      </w:r>
      <w:proofErr w:type="spellStart"/>
      <w:r w:rsidRPr="00C165DF">
        <w:rPr>
          <w:rFonts w:ascii="Arial" w:hAnsi="Arial" w:cs="Arial"/>
          <w:i/>
          <w:sz w:val="24"/>
          <w:szCs w:val="24"/>
        </w:rPr>
        <w:t>pos</w:t>
      </w:r>
      <w:proofErr w:type="spellEnd"/>
      <w:r w:rsidRPr="00C165DF">
        <w:rPr>
          <w:rFonts w:ascii="Arial" w:hAnsi="Arial" w:cs="Arial"/>
          <w:sz w:val="24"/>
          <w:szCs w:val="24"/>
        </w:rPr>
        <w:t xml:space="preserve"> to the </w:t>
      </w:r>
      <w:r w:rsidRPr="00C165DF">
        <w:rPr>
          <w:rFonts w:ascii="Arial" w:hAnsi="Arial" w:cs="Arial"/>
          <w:i/>
          <w:sz w:val="24"/>
          <w:szCs w:val="24"/>
        </w:rPr>
        <w:t>bona fide</w:t>
      </w:r>
      <w:r w:rsidRPr="00C165DF">
        <w:rPr>
          <w:rFonts w:ascii="Arial" w:hAnsi="Arial" w:cs="Arial"/>
          <w:sz w:val="24"/>
          <w:szCs w:val="24"/>
        </w:rPr>
        <w:t xml:space="preserve"> </w:t>
      </w:r>
      <w:r w:rsidRPr="00C165DF">
        <w:rPr>
          <w:rFonts w:ascii="Arial" w:hAnsi="Arial" w:cs="Arial"/>
          <w:noProof/>
          <w:sz w:val="24"/>
          <w:szCs w:val="24"/>
        </w:rPr>
        <w:t>defence</w:t>
      </w:r>
      <w:r w:rsidRPr="00C165DF">
        <w:rPr>
          <w:rFonts w:ascii="Arial" w:hAnsi="Arial" w:cs="Arial"/>
          <w:sz w:val="24"/>
          <w:szCs w:val="24"/>
        </w:rPr>
        <w:t xml:space="preserve"> requirement, </w:t>
      </w:r>
      <w:proofErr w:type="spellStart"/>
      <w:r w:rsidRPr="00C165DF">
        <w:rPr>
          <w:rFonts w:ascii="Arial" w:hAnsi="Arial" w:cs="Arial"/>
          <w:sz w:val="24"/>
          <w:szCs w:val="24"/>
        </w:rPr>
        <w:t>Blieden</w:t>
      </w:r>
      <w:proofErr w:type="spellEnd"/>
      <w:r w:rsidRPr="00C165DF">
        <w:rPr>
          <w:rFonts w:ascii="Arial" w:hAnsi="Arial" w:cs="Arial"/>
          <w:sz w:val="24"/>
          <w:szCs w:val="24"/>
        </w:rPr>
        <w:t xml:space="preserve"> J in </w:t>
      </w:r>
      <w:proofErr w:type="spellStart"/>
      <w:r w:rsidRPr="00C165DF">
        <w:rPr>
          <w:rFonts w:ascii="Arial" w:hAnsi="Arial" w:cs="Arial"/>
          <w:b/>
          <w:i/>
          <w:sz w:val="24"/>
          <w:szCs w:val="24"/>
        </w:rPr>
        <w:t>Mnandi</w:t>
      </w:r>
      <w:proofErr w:type="spellEnd"/>
      <w:r w:rsidRPr="00C165DF">
        <w:rPr>
          <w:rFonts w:ascii="Arial" w:hAnsi="Arial" w:cs="Arial"/>
          <w:b/>
          <w:i/>
          <w:sz w:val="24"/>
          <w:szCs w:val="24"/>
        </w:rPr>
        <w:t xml:space="preserve"> Property Development CC v </w:t>
      </w:r>
      <w:r w:rsidRPr="00C165DF">
        <w:rPr>
          <w:rFonts w:ascii="Arial" w:hAnsi="Arial" w:cs="Arial"/>
          <w:b/>
          <w:i/>
          <w:noProof/>
          <w:sz w:val="24"/>
          <w:szCs w:val="24"/>
        </w:rPr>
        <w:t>Beimore</w:t>
      </w:r>
      <w:r w:rsidRPr="00C165DF">
        <w:rPr>
          <w:rFonts w:ascii="Arial" w:hAnsi="Arial" w:cs="Arial"/>
          <w:b/>
          <w:i/>
          <w:sz w:val="24"/>
          <w:szCs w:val="24"/>
        </w:rPr>
        <w:t xml:space="preserve"> Development CC</w:t>
      </w:r>
      <w:r w:rsidRPr="00C165DF">
        <w:rPr>
          <w:rFonts w:ascii="Arial" w:hAnsi="Arial" w:cs="Arial"/>
          <w:b/>
          <w:i/>
          <w:sz w:val="24"/>
          <w:szCs w:val="24"/>
          <w:vertAlign w:val="superscript"/>
        </w:rPr>
        <w:footnoteReference w:id="12"/>
      </w:r>
      <w:r w:rsidRPr="00C165DF">
        <w:rPr>
          <w:rFonts w:ascii="Arial" w:hAnsi="Arial" w:cs="Arial"/>
          <w:b/>
          <w:i/>
          <w:sz w:val="24"/>
          <w:szCs w:val="24"/>
        </w:rPr>
        <w:t xml:space="preserve">, </w:t>
      </w:r>
      <w:r w:rsidRPr="00C165DF">
        <w:rPr>
          <w:rFonts w:ascii="Arial" w:hAnsi="Arial" w:cs="Arial"/>
          <w:sz w:val="24"/>
          <w:szCs w:val="24"/>
        </w:rPr>
        <w:t xml:space="preserve">refers to a substantial </w:t>
      </w:r>
      <w:r w:rsidRPr="00C165DF">
        <w:rPr>
          <w:rFonts w:ascii="Arial" w:hAnsi="Arial" w:cs="Arial"/>
          <w:noProof/>
          <w:sz w:val="24"/>
          <w:szCs w:val="24"/>
        </w:rPr>
        <w:t>defence</w:t>
      </w:r>
      <w:r w:rsidRPr="00C165DF">
        <w:rPr>
          <w:rFonts w:ascii="Arial" w:hAnsi="Arial" w:cs="Arial"/>
          <w:sz w:val="24"/>
          <w:szCs w:val="24"/>
        </w:rPr>
        <w:t xml:space="preserve"> to underpin the requirement of good cause and states that:</w:t>
      </w:r>
    </w:p>
    <w:p w:rsidR="002710D3" w:rsidRPr="00C165DF" w:rsidRDefault="002710D3" w:rsidP="002710D3">
      <w:pPr>
        <w:ind w:left="720"/>
        <w:contextualSpacing/>
        <w:rPr>
          <w:rFonts w:ascii="Arial" w:hAnsi="Arial" w:cs="Arial"/>
          <w:sz w:val="24"/>
          <w:szCs w:val="24"/>
        </w:rPr>
      </w:pPr>
    </w:p>
    <w:p w:rsidR="002710D3" w:rsidRPr="00C165DF" w:rsidRDefault="002710D3" w:rsidP="002710D3">
      <w:pPr>
        <w:spacing w:line="360" w:lineRule="auto"/>
        <w:ind w:left="283" w:right="283"/>
        <w:contextualSpacing/>
        <w:jc w:val="both"/>
        <w:rPr>
          <w:rFonts w:ascii="Arial" w:hAnsi="Arial" w:cs="Arial"/>
          <w:i/>
        </w:rPr>
      </w:pPr>
      <w:r w:rsidRPr="00C165DF">
        <w:rPr>
          <w:rFonts w:ascii="Arial" w:hAnsi="Arial" w:cs="Arial"/>
          <w:sz w:val="24"/>
          <w:szCs w:val="24"/>
        </w:rPr>
        <w:t xml:space="preserve"> </w:t>
      </w:r>
      <w:r w:rsidRPr="00C165DF">
        <w:rPr>
          <w:rFonts w:ascii="Arial" w:hAnsi="Arial" w:cs="Arial"/>
          <w:i/>
        </w:rPr>
        <w:t xml:space="preserve">‘…good cause cannot be held to be satisfied unless there is evidence not only of the existence of a substantial </w:t>
      </w:r>
      <w:r w:rsidRPr="00C165DF">
        <w:rPr>
          <w:rFonts w:ascii="Arial" w:hAnsi="Arial" w:cs="Arial"/>
          <w:i/>
          <w:noProof/>
        </w:rPr>
        <w:t>defence</w:t>
      </w:r>
      <w:r w:rsidRPr="00C165DF">
        <w:rPr>
          <w:rFonts w:ascii="Arial" w:hAnsi="Arial" w:cs="Arial"/>
          <w:i/>
        </w:rPr>
        <w:t xml:space="preserve"> but in addition of a bona fide presently held desire on the part of the applicant for relief actually to defend the case in the event of the judgment being rescinded.’</w:t>
      </w:r>
    </w:p>
    <w:p w:rsidR="002710D3" w:rsidRPr="00C165DF" w:rsidRDefault="002710D3" w:rsidP="002710D3">
      <w:pPr>
        <w:spacing w:line="360" w:lineRule="auto"/>
        <w:ind w:left="283" w:right="283"/>
        <w:contextualSpacing/>
        <w:jc w:val="both"/>
        <w:rPr>
          <w:rFonts w:ascii="Arial" w:hAnsi="Arial" w:cs="Arial"/>
          <w:i/>
        </w:rPr>
      </w:pPr>
    </w:p>
    <w:p w:rsidR="002710D3" w:rsidRPr="00C165DF" w:rsidRDefault="002710D3" w:rsidP="002710D3">
      <w:pPr>
        <w:spacing w:after="0" w:line="480" w:lineRule="auto"/>
        <w:contextualSpacing/>
        <w:jc w:val="both"/>
        <w:rPr>
          <w:rFonts w:ascii="Arial" w:hAnsi="Arial" w:cs="Arial"/>
          <w:sz w:val="24"/>
          <w:szCs w:val="24"/>
          <w:lang w:val="en-ZA"/>
        </w:rPr>
      </w:pPr>
    </w:p>
    <w:p w:rsidR="00D62750" w:rsidRDefault="00D62750" w:rsidP="00D62750">
      <w:pPr>
        <w:spacing w:line="480" w:lineRule="auto"/>
        <w:contextualSpacing/>
        <w:jc w:val="both"/>
        <w:rPr>
          <w:rFonts w:ascii="Arial" w:hAnsi="Arial" w:cs="Arial"/>
          <w:b/>
          <w:sz w:val="24"/>
          <w:szCs w:val="24"/>
          <w:lang w:val="en-ZA"/>
        </w:rPr>
      </w:pPr>
      <w:r>
        <w:rPr>
          <w:rFonts w:ascii="Arial" w:hAnsi="Arial" w:cs="Arial"/>
          <w:b/>
          <w:sz w:val="24"/>
          <w:szCs w:val="24"/>
          <w:lang w:val="en-ZA"/>
        </w:rPr>
        <w:t>Failure to effect proper service</w:t>
      </w:r>
    </w:p>
    <w:p w:rsidR="00D62750" w:rsidRPr="002B1412" w:rsidRDefault="002B1412" w:rsidP="00EB297A">
      <w:pPr>
        <w:numPr>
          <w:ilvl w:val="0"/>
          <w:numId w:val="3"/>
        </w:numPr>
        <w:spacing w:line="480" w:lineRule="auto"/>
        <w:contextualSpacing/>
        <w:jc w:val="both"/>
        <w:rPr>
          <w:rFonts w:ascii="Arial" w:hAnsi="Arial" w:cs="Arial"/>
          <w:b/>
          <w:sz w:val="24"/>
          <w:szCs w:val="24"/>
          <w:lang w:val="en-ZA"/>
        </w:rPr>
      </w:pPr>
      <w:r>
        <w:rPr>
          <w:rFonts w:ascii="Arial" w:hAnsi="Arial" w:cs="Arial"/>
          <w:sz w:val="24"/>
          <w:szCs w:val="24"/>
          <w:lang w:val="en-ZA"/>
        </w:rPr>
        <w:t>It is undisputed that the Sheriff served the Summons Commencing Action on the First, Second and Third Defendants (“The Applicants), on the 22</w:t>
      </w:r>
      <w:r w:rsidRPr="002B1412">
        <w:rPr>
          <w:rFonts w:ascii="Arial" w:hAnsi="Arial" w:cs="Arial"/>
          <w:sz w:val="24"/>
          <w:szCs w:val="24"/>
          <w:vertAlign w:val="superscript"/>
          <w:lang w:val="en-ZA"/>
        </w:rPr>
        <w:t>nd</w:t>
      </w:r>
      <w:r>
        <w:rPr>
          <w:rFonts w:ascii="Arial" w:hAnsi="Arial" w:cs="Arial"/>
          <w:sz w:val="24"/>
          <w:szCs w:val="24"/>
          <w:lang w:val="en-ZA"/>
        </w:rPr>
        <w:t xml:space="preserve"> of December 2021:</w:t>
      </w:r>
    </w:p>
    <w:p w:rsidR="002B1412" w:rsidRDefault="002B1412" w:rsidP="002B1412">
      <w:pPr>
        <w:spacing w:line="360" w:lineRule="auto"/>
        <w:ind w:left="720" w:right="720"/>
        <w:contextualSpacing/>
        <w:jc w:val="both"/>
        <w:rPr>
          <w:rFonts w:ascii="Arial" w:hAnsi="Arial" w:cs="Arial"/>
          <w:i/>
          <w:lang w:val="en-ZA"/>
        </w:rPr>
      </w:pPr>
      <w:r>
        <w:rPr>
          <w:rFonts w:ascii="Arial" w:hAnsi="Arial" w:cs="Arial"/>
          <w:i/>
          <w:lang w:val="en-ZA"/>
        </w:rPr>
        <w:t xml:space="preserve">‘By LEAVING a copy thereof of the SUMMONS COMMENCING ACTION in a 4 DRAW CABINET of the chosen </w:t>
      </w:r>
      <w:proofErr w:type="spellStart"/>
      <w:r>
        <w:rPr>
          <w:rFonts w:ascii="Arial" w:hAnsi="Arial" w:cs="Arial"/>
          <w:i/>
          <w:lang w:val="en-ZA"/>
        </w:rPr>
        <w:t>domicilium</w:t>
      </w:r>
      <w:proofErr w:type="spellEnd"/>
      <w:r>
        <w:rPr>
          <w:rFonts w:ascii="Arial" w:hAnsi="Arial" w:cs="Arial"/>
          <w:i/>
          <w:lang w:val="en-ZA"/>
        </w:rPr>
        <w:t xml:space="preserve"> address, as the premises was found locked, No other service was possible as no responsible person could be found after diligent search and enquiries’</w:t>
      </w:r>
      <w:r>
        <w:rPr>
          <w:rStyle w:val="FootnoteReference"/>
          <w:rFonts w:ascii="Arial" w:hAnsi="Arial" w:cs="Arial"/>
          <w:i/>
          <w:lang w:val="en-ZA"/>
        </w:rPr>
        <w:footnoteReference w:id="13"/>
      </w:r>
    </w:p>
    <w:p w:rsidR="002E38F9" w:rsidRPr="002B1412" w:rsidRDefault="002E38F9" w:rsidP="002B1412">
      <w:pPr>
        <w:spacing w:line="360" w:lineRule="auto"/>
        <w:ind w:left="720" w:right="720"/>
        <w:contextualSpacing/>
        <w:jc w:val="both"/>
        <w:rPr>
          <w:rFonts w:ascii="Arial" w:hAnsi="Arial" w:cs="Arial"/>
          <w:b/>
          <w:i/>
          <w:lang w:val="en-ZA"/>
        </w:rPr>
      </w:pPr>
    </w:p>
    <w:p w:rsidR="004D2371" w:rsidRPr="004D2371" w:rsidRDefault="002E38F9" w:rsidP="00EB297A">
      <w:pPr>
        <w:numPr>
          <w:ilvl w:val="0"/>
          <w:numId w:val="3"/>
        </w:numPr>
        <w:spacing w:line="480" w:lineRule="auto"/>
        <w:contextualSpacing/>
        <w:jc w:val="both"/>
        <w:rPr>
          <w:rFonts w:ascii="Arial" w:hAnsi="Arial" w:cs="Arial"/>
          <w:b/>
          <w:sz w:val="24"/>
          <w:szCs w:val="24"/>
          <w:lang w:val="en-ZA"/>
        </w:rPr>
      </w:pPr>
      <w:r>
        <w:rPr>
          <w:rFonts w:ascii="Arial" w:hAnsi="Arial" w:cs="Arial"/>
          <w:sz w:val="24"/>
          <w:szCs w:val="24"/>
          <w:lang w:val="en-ZA"/>
        </w:rPr>
        <w:t>It is the Applicants contention that they did not receive the summons. The Applicants aver that they only had knowledge of the Default Judgment on 28 June 2022, consequent upon the Sheriff of the Court executing a warrant at the Kingsmead Office Park, when a member of staff had been on site and alerted the Applicants.</w:t>
      </w:r>
    </w:p>
    <w:p w:rsidR="004D2371" w:rsidRPr="004D2371" w:rsidRDefault="004D2371" w:rsidP="004D2371">
      <w:pPr>
        <w:spacing w:line="480" w:lineRule="auto"/>
        <w:contextualSpacing/>
        <w:jc w:val="both"/>
        <w:rPr>
          <w:rFonts w:ascii="Arial" w:hAnsi="Arial" w:cs="Arial"/>
          <w:b/>
          <w:sz w:val="24"/>
          <w:szCs w:val="24"/>
          <w:lang w:val="en-ZA"/>
        </w:rPr>
      </w:pPr>
    </w:p>
    <w:p w:rsidR="002B1412" w:rsidRPr="004D2371" w:rsidRDefault="004D2371" w:rsidP="00856E0F">
      <w:pPr>
        <w:numPr>
          <w:ilvl w:val="0"/>
          <w:numId w:val="3"/>
        </w:numPr>
        <w:spacing w:after="0" w:line="480" w:lineRule="auto"/>
        <w:contextualSpacing/>
        <w:jc w:val="both"/>
        <w:rPr>
          <w:rFonts w:ascii="Arial" w:hAnsi="Arial" w:cs="Arial"/>
          <w:b/>
          <w:sz w:val="24"/>
          <w:szCs w:val="24"/>
          <w:lang w:val="en-ZA"/>
        </w:rPr>
      </w:pPr>
      <w:r>
        <w:rPr>
          <w:rFonts w:ascii="Arial" w:hAnsi="Arial" w:cs="Arial"/>
          <w:sz w:val="24"/>
          <w:szCs w:val="24"/>
          <w:lang w:val="en-ZA"/>
        </w:rPr>
        <w:t>Rule 9 (5) states that:</w:t>
      </w:r>
      <w:r w:rsidR="002E38F9">
        <w:rPr>
          <w:rFonts w:ascii="Arial" w:hAnsi="Arial" w:cs="Arial"/>
          <w:sz w:val="24"/>
          <w:szCs w:val="24"/>
          <w:lang w:val="en-ZA"/>
        </w:rPr>
        <w:t xml:space="preserve">  </w:t>
      </w:r>
    </w:p>
    <w:p w:rsidR="004D2371" w:rsidRPr="004D2371" w:rsidRDefault="004D2371" w:rsidP="00856E0F">
      <w:pPr>
        <w:pStyle w:val="ListParagraph"/>
        <w:autoSpaceDE w:val="0"/>
        <w:autoSpaceDN w:val="0"/>
        <w:adjustRightInd w:val="0"/>
        <w:spacing w:after="0" w:line="360" w:lineRule="auto"/>
        <w:ind w:right="720"/>
        <w:rPr>
          <w:rFonts w:ascii="Arial" w:hAnsi="Arial" w:cs="Arial"/>
          <w:i/>
          <w:lang w:val="en-ZA"/>
        </w:rPr>
      </w:pPr>
      <w:r>
        <w:rPr>
          <w:rFonts w:ascii="Arial" w:hAnsi="Arial" w:cs="Arial"/>
          <w:i/>
          <w:lang w:val="en-ZA"/>
        </w:rPr>
        <w:t>‘</w:t>
      </w:r>
      <w:r w:rsidRPr="004D2371">
        <w:rPr>
          <w:rFonts w:ascii="Arial" w:hAnsi="Arial" w:cs="Arial"/>
          <w:i/>
          <w:lang w:val="en-ZA"/>
        </w:rPr>
        <w:t>Where the person to be served keeps his or her residence or place of business closed and thus prevents the sheriff from serving the process, it shall be sufficient service to affix a copy thereof to the outer or principal door or security gate of such residence or place of business or to place such copy in the post box at such residence or place of business.</w:t>
      </w:r>
      <w:r>
        <w:rPr>
          <w:rFonts w:ascii="Arial" w:hAnsi="Arial" w:cs="Arial"/>
          <w:i/>
          <w:lang w:val="en-ZA"/>
        </w:rPr>
        <w:t>’</w:t>
      </w:r>
    </w:p>
    <w:p w:rsidR="004D2371" w:rsidRPr="004D2371" w:rsidRDefault="004D2371" w:rsidP="004D2371">
      <w:pPr>
        <w:spacing w:line="480" w:lineRule="auto"/>
        <w:contextualSpacing/>
        <w:jc w:val="both"/>
        <w:rPr>
          <w:rFonts w:ascii="Arial" w:hAnsi="Arial" w:cs="Arial"/>
          <w:b/>
          <w:sz w:val="24"/>
          <w:szCs w:val="24"/>
          <w:lang w:val="en-ZA"/>
        </w:rPr>
      </w:pPr>
    </w:p>
    <w:p w:rsidR="00B6167E" w:rsidRPr="00B6167E" w:rsidRDefault="003543EB" w:rsidP="007F3305">
      <w:pPr>
        <w:numPr>
          <w:ilvl w:val="0"/>
          <w:numId w:val="3"/>
        </w:numPr>
        <w:shd w:val="clear" w:color="auto" w:fill="FFFFFF"/>
        <w:spacing w:after="0" w:line="480" w:lineRule="auto"/>
        <w:contextualSpacing/>
        <w:jc w:val="both"/>
        <w:rPr>
          <w:rFonts w:ascii="Arial" w:hAnsi="Arial" w:cs="Arial"/>
          <w:sz w:val="24"/>
          <w:szCs w:val="24"/>
        </w:rPr>
      </w:pPr>
      <w:r w:rsidRPr="00A0310F">
        <w:rPr>
          <w:rFonts w:ascii="Arial" w:hAnsi="Arial" w:cs="Arial"/>
          <w:sz w:val="24"/>
          <w:szCs w:val="24"/>
          <w:lang w:val="en-ZA"/>
        </w:rPr>
        <w:t>The Applicants argued that it was possible for the Sheriff to affix the summons to the front door of the premises. According the Applicants, they did not cho</w:t>
      </w:r>
      <w:r w:rsidR="002B0EC2">
        <w:rPr>
          <w:rFonts w:ascii="Arial" w:hAnsi="Arial" w:cs="Arial"/>
          <w:sz w:val="24"/>
          <w:szCs w:val="24"/>
          <w:lang w:val="en-ZA"/>
        </w:rPr>
        <w:t>o</w:t>
      </w:r>
      <w:r w:rsidRPr="00A0310F">
        <w:rPr>
          <w:rFonts w:ascii="Arial" w:hAnsi="Arial" w:cs="Arial"/>
          <w:sz w:val="24"/>
          <w:szCs w:val="24"/>
          <w:lang w:val="en-ZA"/>
        </w:rPr>
        <w:t xml:space="preserve">se a </w:t>
      </w:r>
      <w:proofErr w:type="spellStart"/>
      <w:r w:rsidRPr="00A0310F">
        <w:rPr>
          <w:rFonts w:ascii="Arial" w:hAnsi="Arial" w:cs="Arial"/>
          <w:i/>
          <w:sz w:val="24"/>
          <w:szCs w:val="24"/>
          <w:lang w:val="en-ZA"/>
        </w:rPr>
        <w:t>domicilium</w:t>
      </w:r>
      <w:proofErr w:type="spellEnd"/>
      <w:r w:rsidRPr="00A0310F">
        <w:rPr>
          <w:rFonts w:ascii="Arial" w:hAnsi="Arial" w:cs="Arial"/>
          <w:i/>
          <w:sz w:val="24"/>
          <w:szCs w:val="24"/>
          <w:lang w:val="en-ZA"/>
        </w:rPr>
        <w:t xml:space="preserve"> </w:t>
      </w:r>
      <w:proofErr w:type="spellStart"/>
      <w:r w:rsidRPr="00A0310F">
        <w:rPr>
          <w:rFonts w:ascii="Arial" w:hAnsi="Arial" w:cs="Arial"/>
          <w:i/>
          <w:sz w:val="24"/>
          <w:szCs w:val="24"/>
          <w:lang w:val="en-ZA"/>
        </w:rPr>
        <w:t>citandi</w:t>
      </w:r>
      <w:proofErr w:type="spellEnd"/>
      <w:r w:rsidRPr="00A0310F">
        <w:rPr>
          <w:rFonts w:ascii="Arial" w:hAnsi="Arial" w:cs="Arial"/>
          <w:i/>
          <w:sz w:val="24"/>
          <w:szCs w:val="24"/>
          <w:lang w:val="en-ZA"/>
        </w:rPr>
        <w:t xml:space="preserve"> et </w:t>
      </w:r>
      <w:proofErr w:type="spellStart"/>
      <w:r w:rsidRPr="00A0310F">
        <w:rPr>
          <w:rFonts w:ascii="Arial" w:hAnsi="Arial" w:cs="Arial"/>
          <w:i/>
          <w:sz w:val="24"/>
          <w:szCs w:val="24"/>
          <w:lang w:val="en-ZA"/>
        </w:rPr>
        <w:t>executandi</w:t>
      </w:r>
      <w:proofErr w:type="spellEnd"/>
      <w:r w:rsidRPr="00A0310F">
        <w:rPr>
          <w:rFonts w:ascii="Arial" w:hAnsi="Arial" w:cs="Arial"/>
          <w:i/>
          <w:sz w:val="24"/>
          <w:szCs w:val="24"/>
          <w:lang w:val="en-ZA"/>
        </w:rPr>
        <w:t xml:space="preserve"> </w:t>
      </w:r>
      <w:r w:rsidR="00D55566">
        <w:rPr>
          <w:rFonts w:ascii="Arial" w:hAnsi="Arial" w:cs="Arial"/>
          <w:sz w:val="24"/>
          <w:szCs w:val="24"/>
          <w:lang w:val="en-ZA"/>
        </w:rPr>
        <w:t>and as such,</w:t>
      </w:r>
      <w:r w:rsidRPr="00A0310F">
        <w:rPr>
          <w:rFonts w:ascii="Arial" w:hAnsi="Arial" w:cs="Arial"/>
          <w:sz w:val="24"/>
          <w:szCs w:val="24"/>
          <w:lang w:val="en-ZA"/>
        </w:rPr>
        <w:t xml:space="preserve"> alternative service should have been attempted, more especially as the premises was vacant at the time of service. </w:t>
      </w:r>
      <w:r w:rsidRPr="00A0310F">
        <w:rPr>
          <w:rFonts w:ascii="Arial" w:hAnsi="Arial" w:cs="Arial"/>
          <w:sz w:val="24"/>
          <w:szCs w:val="24"/>
          <w:lang w:val="en-ZA"/>
        </w:rPr>
        <w:lastRenderedPageBreak/>
        <w:t xml:space="preserve">Reliance </w:t>
      </w:r>
      <w:r w:rsidR="00DF2D6E">
        <w:rPr>
          <w:rFonts w:ascii="Arial" w:hAnsi="Arial" w:cs="Arial"/>
          <w:sz w:val="24"/>
          <w:szCs w:val="24"/>
          <w:lang w:val="en-ZA"/>
        </w:rPr>
        <w:t xml:space="preserve">by the Applicants </w:t>
      </w:r>
      <w:r w:rsidRPr="00A0310F">
        <w:rPr>
          <w:rFonts w:ascii="Arial" w:hAnsi="Arial" w:cs="Arial"/>
          <w:sz w:val="24"/>
          <w:szCs w:val="24"/>
          <w:lang w:val="en-ZA"/>
        </w:rPr>
        <w:t xml:space="preserve">was placed on </w:t>
      </w:r>
      <w:proofErr w:type="spellStart"/>
      <w:r w:rsidRPr="00A0310F">
        <w:rPr>
          <w:rFonts w:ascii="Arial" w:hAnsi="Arial" w:cs="Arial"/>
          <w:b/>
          <w:i/>
          <w:sz w:val="24"/>
          <w:szCs w:val="24"/>
          <w:lang w:val="en-ZA"/>
        </w:rPr>
        <w:t>Magricor</w:t>
      </w:r>
      <w:proofErr w:type="spellEnd"/>
      <w:r w:rsidRPr="00A0310F">
        <w:rPr>
          <w:rFonts w:ascii="Arial" w:hAnsi="Arial" w:cs="Arial"/>
          <w:b/>
          <w:i/>
          <w:sz w:val="24"/>
          <w:szCs w:val="24"/>
          <w:lang w:val="en-ZA"/>
        </w:rPr>
        <w:t xml:space="preserve"> (Pty) Ltd v Border Seed </w:t>
      </w:r>
      <w:proofErr w:type="spellStart"/>
      <w:r w:rsidRPr="00A0310F">
        <w:rPr>
          <w:rFonts w:ascii="Arial" w:hAnsi="Arial" w:cs="Arial"/>
          <w:b/>
          <w:i/>
          <w:sz w:val="24"/>
          <w:szCs w:val="24"/>
          <w:lang w:val="en-ZA"/>
        </w:rPr>
        <w:t>Distribuions</w:t>
      </w:r>
      <w:proofErr w:type="spellEnd"/>
      <w:r w:rsidRPr="00A0310F">
        <w:rPr>
          <w:rFonts w:ascii="Arial" w:hAnsi="Arial" w:cs="Arial"/>
          <w:b/>
          <w:i/>
          <w:sz w:val="24"/>
          <w:szCs w:val="24"/>
          <w:lang w:val="en-ZA"/>
        </w:rPr>
        <w:t xml:space="preserve"> CC</w:t>
      </w:r>
      <w:r w:rsidRPr="00A0310F">
        <w:rPr>
          <w:rStyle w:val="FootnoteReference"/>
          <w:rFonts w:ascii="Arial" w:hAnsi="Arial" w:cs="Arial"/>
          <w:b/>
          <w:i/>
          <w:sz w:val="24"/>
          <w:szCs w:val="24"/>
          <w:lang w:val="en-ZA"/>
        </w:rPr>
        <w:footnoteReference w:id="14"/>
      </w:r>
      <w:r w:rsidR="00A0310F" w:rsidRPr="00A0310F">
        <w:rPr>
          <w:rFonts w:ascii="Arial" w:hAnsi="Arial" w:cs="Arial"/>
          <w:sz w:val="24"/>
          <w:szCs w:val="24"/>
          <w:lang w:val="en-ZA"/>
        </w:rPr>
        <w:t xml:space="preserve">  </w:t>
      </w:r>
      <w:r w:rsidR="00B6167E">
        <w:rPr>
          <w:rFonts w:ascii="Arial" w:hAnsi="Arial" w:cs="Arial"/>
          <w:sz w:val="24"/>
          <w:szCs w:val="24"/>
          <w:lang w:val="en-ZA"/>
        </w:rPr>
        <w:t>where it was stated:</w:t>
      </w:r>
    </w:p>
    <w:p w:rsidR="00B6167E" w:rsidRPr="00B6167E" w:rsidRDefault="00B6167E" w:rsidP="00B6167E">
      <w:pPr>
        <w:shd w:val="clear" w:color="auto" w:fill="FFFFFF"/>
        <w:spacing w:after="0" w:line="360" w:lineRule="auto"/>
        <w:ind w:left="720" w:right="720"/>
        <w:contextualSpacing/>
        <w:jc w:val="both"/>
        <w:rPr>
          <w:rFonts w:ascii="Arial" w:hAnsi="Arial" w:cs="Arial"/>
          <w:i/>
        </w:rPr>
      </w:pPr>
      <w:r>
        <w:rPr>
          <w:rFonts w:ascii="Arial" w:hAnsi="Arial" w:cs="Arial"/>
          <w:i/>
          <w:lang w:val="en-ZA"/>
        </w:rPr>
        <w:t>‘In my view, the absence of employees of a company from the registered office or principal place of business does not permit the sheriff to effect service by affixing the process to the company’s main door at its registered office or principal place of business. For that kind of service to be effected the employees of the company must be unwilling to accept service.’</w:t>
      </w:r>
    </w:p>
    <w:p w:rsidR="007F3305" w:rsidRDefault="007F3305" w:rsidP="007F3305">
      <w:pPr>
        <w:shd w:val="clear" w:color="auto" w:fill="FFFFFF"/>
        <w:spacing w:after="285" w:line="480" w:lineRule="auto"/>
        <w:contextualSpacing/>
        <w:jc w:val="both"/>
        <w:rPr>
          <w:rFonts w:ascii="Arial" w:hAnsi="Arial" w:cs="Arial"/>
          <w:sz w:val="24"/>
          <w:szCs w:val="24"/>
        </w:rPr>
      </w:pPr>
    </w:p>
    <w:p w:rsidR="00A0310F" w:rsidRPr="00F160E4" w:rsidRDefault="00A0310F" w:rsidP="00F160E4">
      <w:pPr>
        <w:numPr>
          <w:ilvl w:val="0"/>
          <w:numId w:val="3"/>
        </w:numPr>
        <w:shd w:val="clear" w:color="auto" w:fill="FFFFFF"/>
        <w:spacing w:after="285" w:line="480" w:lineRule="auto"/>
        <w:contextualSpacing/>
        <w:jc w:val="both"/>
        <w:rPr>
          <w:rFonts w:ascii="Arial" w:hAnsi="Arial" w:cs="Arial"/>
          <w:sz w:val="24"/>
          <w:szCs w:val="24"/>
        </w:rPr>
      </w:pPr>
      <w:r w:rsidRPr="00A0310F">
        <w:rPr>
          <w:rFonts w:ascii="Arial" w:hAnsi="Arial" w:cs="Arial"/>
          <w:sz w:val="24"/>
          <w:szCs w:val="24"/>
        </w:rPr>
        <w:t>In this case, the Sheriff of the High Court attended at</w:t>
      </w:r>
      <w:r w:rsidR="001348FD">
        <w:rPr>
          <w:rFonts w:ascii="Arial" w:hAnsi="Arial" w:cs="Arial"/>
          <w:sz w:val="24"/>
          <w:szCs w:val="24"/>
        </w:rPr>
        <w:t xml:space="preserve"> </w:t>
      </w:r>
      <w:proofErr w:type="spellStart"/>
      <w:r w:rsidR="001348FD" w:rsidRPr="00B6167E">
        <w:rPr>
          <w:rFonts w:ascii="Arial" w:hAnsi="Arial" w:cs="Arial"/>
          <w:b/>
          <w:i/>
          <w:sz w:val="24"/>
          <w:szCs w:val="24"/>
        </w:rPr>
        <w:t>Magricor’s</w:t>
      </w:r>
      <w:proofErr w:type="spellEnd"/>
      <w:r w:rsidR="001348FD">
        <w:rPr>
          <w:rFonts w:ascii="Arial" w:hAnsi="Arial" w:cs="Arial"/>
          <w:sz w:val="24"/>
          <w:szCs w:val="24"/>
        </w:rPr>
        <w:t xml:space="preserve"> registered address which was also the principal place of business</w:t>
      </w:r>
      <w:r w:rsidRPr="00A0310F">
        <w:rPr>
          <w:rFonts w:ascii="Arial" w:hAnsi="Arial" w:cs="Arial"/>
          <w:sz w:val="24"/>
          <w:szCs w:val="24"/>
        </w:rPr>
        <w:t xml:space="preserve"> and affixed the summons to the main door at 13h25, having </w:t>
      </w:r>
      <w:r w:rsidRPr="00A0310F">
        <w:rPr>
          <w:rStyle w:val="Emphasis"/>
          <w:rFonts w:ascii="Arial" w:hAnsi="Arial" w:cs="Arial"/>
          <w:sz w:val="24"/>
          <w:szCs w:val="24"/>
        </w:rPr>
        <w:t>“found the Defendant to be absent”</w:t>
      </w:r>
      <w:r w:rsidR="00B6167E">
        <w:rPr>
          <w:rFonts w:ascii="Arial" w:hAnsi="Arial" w:cs="Arial"/>
          <w:sz w:val="24"/>
          <w:szCs w:val="24"/>
        </w:rPr>
        <w:t>. T</w:t>
      </w:r>
      <w:r w:rsidRPr="00A0310F">
        <w:rPr>
          <w:rFonts w:ascii="Arial" w:hAnsi="Arial" w:cs="Arial"/>
          <w:sz w:val="24"/>
          <w:szCs w:val="24"/>
        </w:rPr>
        <w:t xml:space="preserve">he employees of </w:t>
      </w:r>
      <w:proofErr w:type="spellStart"/>
      <w:r w:rsidRPr="009C3D9D">
        <w:rPr>
          <w:rFonts w:ascii="Arial" w:hAnsi="Arial" w:cs="Arial"/>
          <w:b/>
          <w:i/>
          <w:sz w:val="24"/>
          <w:szCs w:val="24"/>
        </w:rPr>
        <w:t>Magricor</w:t>
      </w:r>
      <w:proofErr w:type="spellEnd"/>
      <w:r w:rsidR="00F160E4">
        <w:rPr>
          <w:rFonts w:ascii="Arial" w:hAnsi="Arial" w:cs="Arial"/>
          <w:sz w:val="24"/>
          <w:szCs w:val="24"/>
        </w:rPr>
        <w:t xml:space="preserve"> were on their lunch break at the time. </w:t>
      </w:r>
      <w:proofErr w:type="spellStart"/>
      <w:r w:rsidRPr="00F160E4">
        <w:rPr>
          <w:rFonts w:ascii="Arial" w:hAnsi="Arial" w:cs="Arial"/>
          <w:b/>
          <w:i/>
          <w:sz w:val="24"/>
          <w:szCs w:val="24"/>
        </w:rPr>
        <w:t>Magricor</w:t>
      </w:r>
      <w:proofErr w:type="spellEnd"/>
      <w:r w:rsidRPr="00F160E4">
        <w:rPr>
          <w:rFonts w:ascii="Arial" w:hAnsi="Arial" w:cs="Arial"/>
          <w:sz w:val="24"/>
          <w:szCs w:val="24"/>
        </w:rPr>
        <w:t xml:space="preserve"> contended that the Sheriff of the High Court c</w:t>
      </w:r>
      <w:r w:rsidR="001348FD" w:rsidRPr="00F160E4">
        <w:rPr>
          <w:rFonts w:ascii="Arial" w:hAnsi="Arial" w:cs="Arial"/>
          <w:sz w:val="24"/>
          <w:szCs w:val="24"/>
        </w:rPr>
        <w:t>ould not effect proper service by affixing</w:t>
      </w:r>
      <w:r w:rsidRPr="00F160E4">
        <w:rPr>
          <w:rFonts w:ascii="Arial" w:hAnsi="Arial" w:cs="Arial"/>
          <w:sz w:val="24"/>
          <w:szCs w:val="24"/>
        </w:rPr>
        <w:t xml:space="preserve"> whilst </w:t>
      </w:r>
      <w:proofErr w:type="spellStart"/>
      <w:r w:rsidRPr="00F160E4">
        <w:rPr>
          <w:rFonts w:ascii="Arial" w:hAnsi="Arial" w:cs="Arial"/>
          <w:b/>
          <w:i/>
          <w:sz w:val="24"/>
          <w:szCs w:val="24"/>
        </w:rPr>
        <w:t>Magricor’s</w:t>
      </w:r>
      <w:proofErr w:type="spellEnd"/>
      <w:r w:rsidRPr="00F160E4">
        <w:rPr>
          <w:rFonts w:ascii="Arial" w:hAnsi="Arial" w:cs="Arial"/>
          <w:sz w:val="24"/>
          <w:szCs w:val="24"/>
        </w:rPr>
        <w:t xml:space="preserve"> employees were on their lunch break, and as such, the service of the summons on </w:t>
      </w:r>
      <w:proofErr w:type="spellStart"/>
      <w:r w:rsidRPr="00F160E4">
        <w:rPr>
          <w:rFonts w:ascii="Arial" w:hAnsi="Arial" w:cs="Arial"/>
          <w:b/>
          <w:i/>
          <w:sz w:val="24"/>
          <w:szCs w:val="24"/>
        </w:rPr>
        <w:t>Magricor</w:t>
      </w:r>
      <w:proofErr w:type="spellEnd"/>
      <w:r w:rsidRPr="00F160E4">
        <w:rPr>
          <w:rFonts w:ascii="Arial" w:hAnsi="Arial" w:cs="Arial"/>
          <w:sz w:val="24"/>
          <w:szCs w:val="24"/>
        </w:rPr>
        <w:t xml:space="preserve"> was defective.</w:t>
      </w:r>
    </w:p>
    <w:p w:rsidR="001348FD" w:rsidRDefault="001348FD" w:rsidP="001348FD">
      <w:pPr>
        <w:shd w:val="clear" w:color="auto" w:fill="FFFFFF"/>
        <w:spacing w:after="285" w:line="480" w:lineRule="auto"/>
        <w:contextualSpacing/>
        <w:jc w:val="both"/>
        <w:rPr>
          <w:rFonts w:ascii="Arial" w:hAnsi="Arial" w:cs="Arial"/>
          <w:sz w:val="24"/>
          <w:szCs w:val="24"/>
        </w:rPr>
      </w:pPr>
    </w:p>
    <w:p w:rsidR="002C2059" w:rsidRDefault="00F160E4" w:rsidP="00DF6E2B">
      <w:pPr>
        <w:numPr>
          <w:ilvl w:val="0"/>
          <w:numId w:val="3"/>
        </w:numPr>
        <w:shd w:val="clear" w:color="auto" w:fill="FFFFFF"/>
        <w:spacing w:after="285" w:line="480" w:lineRule="auto"/>
        <w:contextualSpacing/>
        <w:jc w:val="both"/>
        <w:rPr>
          <w:rFonts w:ascii="Arial" w:hAnsi="Arial" w:cs="Arial"/>
          <w:sz w:val="24"/>
          <w:szCs w:val="24"/>
        </w:rPr>
      </w:pPr>
      <w:r w:rsidRPr="002C2059">
        <w:rPr>
          <w:rFonts w:ascii="Arial" w:hAnsi="Arial" w:cs="Arial"/>
          <w:sz w:val="24"/>
          <w:szCs w:val="24"/>
        </w:rPr>
        <w:t xml:space="preserve">The matter </w:t>
      </w:r>
      <w:r w:rsidRPr="002C2059">
        <w:rPr>
          <w:rFonts w:ascii="Arial" w:hAnsi="Arial" w:cs="Arial"/>
          <w:i/>
          <w:sz w:val="24"/>
          <w:szCs w:val="24"/>
        </w:rPr>
        <w:t>in</w:t>
      </w:r>
      <w:r w:rsidR="001348FD" w:rsidRPr="002C2059">
        <w:rPr>
          <w:rFonts w:ascii="Arial" w:hAnsi="Arial" w:cs="Arial"/>
          <w:i/>
          <w:sz w:val="24"/>
          <w:szCs w:val="24"/>
        </w:rPr>
        <w:t xml:space="preserve"> </w:t>
      </w:r>
      <w:proofErr w:type="spellStart"/>
      <w:r w:rsidR="001348FD" w:rsidRPr="002C2059">
        <w:rPr>
          <w:rFonts w:ascii="Arial" w:hAnsi="Arial" w:cs="Arial"/>
          <w:i/>
          <w:sz w:val="24"/>
          <w:szCs w:val="24"/>
        </w:rPr>
        <w:t>causu</w:t>
      </w:r>
      <w:proofErr w:type="spellEnd"/>
      <w:r w:rsidR="001348FD" w:rsidRPr="002C2059">
        <w:rPr>
          <w:rFonts w:ascii="Arial" w:hAnsi="Arial" w:cs="Arial"/>
          <w:sz w:val="24"/>
          <w:szCs w:val="24"/>
        </w:rPr>
        <w:t xml:space="preserve"> is </w:t>
      </w:r>
      <w:r w:rsidRPr="002C2059">
        <w:rPr>
          <w:rFonts w:ascii="Arial" w:hAnsi="Arial" w:cs="Arial"/>
          <w:sz w:val="24"/>
          <w:szCs w:val="24"/>
        </w:rPr>
        <w:t xml:space="preserve">however </w:t>
      </w:r>
      <w:r w:rsidR="001348FD" w:rsidRPr="002C2059">
        <w:rPr>
          <w:rFonts w:ascii="Arial" w:hAnsi="Arial" w:cs="Arial"/>
          <w:sz w:val="24"/>
          <w:szCs w:val="24"/>
        </w:rPr>
        <w:t xml:space="preserve">distinguishable </w:t>
      </w:r>
      <w:r w:rsidR="002C2059" w:rsidRPr="002C2059">
        <w:rPr>
          <w:rFonts w:ascii="Arial" w:hAnsi="Arial" w:cs="Arial"/>
          <w:sz w:val="24"/>
          <w:szCs w:val="24"/>
        </w:rPr>
        <w:t>as the High Court considered the issue of service in reference to</w:t>
      </w:r>
      <w:r w:rsidR="00A0310F" w:rsidRPr="002C2059">
        <w:rPr>
          <w:rFonts w:ascii="Arial" w:hAnsi="Arial" w:cs="Arial"/>
          <w:sz w:val="24"/>
          <w:szCs w:val="24"/>
        </w:rPr>
        <w:t xml:space="preserve"> Rule of 4(1)(a)(v) </w:t>
      </w:r>
      <w:r w:rsidR="002C2059" w:rsidRPr="002C2059">
        <w:rPr>
          <w:rFonts w:ascii="Arial" w:hAnsi="Arial" w:cs="Arial"/>
          <w:sz w:val="24"/>
          <w:szCs w:val="24"/>
        </w:rPr>
        <w:t xml:space="preserve">which </w:t>
      </w:r>
      <w:r w:rsidR="00A0310F" w:rsidRPr="002C2059">
        <w:rPr>
          <w:rFonts w:ascii="Arial" w:hAnsi="Arial" w:cs="Arial"/>
          <w:sz w:val="24"/>
          <w:szCs w:val="24"/>
        </w:rPr>
        <w:t xml:space="preserve">deals with service of due process by the Sheriff of the High Court on a </w:t>
      </w:r>
      <w:r w:rsidR="002C2059" w:rsidRPr="002C2059">
        <w:rPr>
          <w:rFonts w:ascii="Arial" w:hAnsi="Arial" w:cs="Arial"/>
          <w:sz w:val="24"/>
          <w:szCs w:val="24"/>
        </w:rPr>
        <w:t>Close Corporation or a company</w:t>
      </w:r>
      <w:r w:rsidR="002C2059" w:rsidRPr="002C2059">
        <w:rPr>
          <w:rFonts w:ascii="Arial" w:hAnsi="Arial" w:cs="Arial"/>
          <w:color w:val="595959"/>
          <w:sz w:val="21"/>
          <w:szCs w:val="21"/>
        </w:rPr>
        <w:t xml:space="preserve"> </w:t>
      </w:r>
      <w:r w:rsidR="002C2059" w:rsidRPr="002C2059">
        <w:rPr>
          <w:rFonts w:ascii="Arial" w:hAnsi="Arial" w:cs="Arial"/>
          <w:sz w:val="24"/>
          <w:szCs w:val="24"/>
        </w:rPr>
        <w:t>which essentially makes provision that service may be affected ‘</w:t>
      </w:r>
      <w:r w:rsidR="00A0310F" w:rsidRPr="002C2059">
        <w:rPr>
          <w:rStyle w:val="Emphasis"/>
          <w:rFonts w:ascii="Arial" w:hAnsi="Arial" w:cs="Arial"/>
          <w:sz w:val="24"/>
          <w:szCs w:val="24"/>
        </w:rPr>
        <w:t xml:space="preserve">in the case of a corporation or company, by delivering a copy to a responsible employee thereof at its registered office or its principal place of business </w:t>
      </w:r>
      <w:r w:rsidR="002C2059" w:rsidRPr="002C2059">
        <w:rPr>
          <w:rStyle w:val="Emphasis"/>
          <w:rFonts w:ascii="Arial" w:hAnsi="Arial" w:cs="Arial"/>
          <w:sz w:val="24"/>
          <w:szCs w:val="24"/>
        </w:rPr>
        <w:t xml:space="preserve">within the court’s jurisdiction; </w:t>
      </w:r>
      <w:r w:rsidR="00A0310F" w:rsidRPr="002C2059">
        <w:rPr>
          <w:rStyle w:val="Emphasis"/>
          <w:rFonts w:ascii="Arial" w:hAnsi="Arial" w:cs="Arial"/>
          <w:sz w:val="24"/>
          <w:szCs w:val="24"/>
        </w:rPr>
        <w:t>or if there be no such employee willing to accept service, by affixing a copy to the main door of such office or place of business, or</w:t>
      </w:r>
      <w:r w:rsidR="002C2059" w:rsidRPr="002C2059">
        <w:rPr>
          <w:rStyle w:val="Emphasis"/>
          <w:rFonts w:ascii="Arial" w:hAnsi="Arial" w:cs="Arial"/>
          <w:sz w:val="24"/>
          <w:szCs w:val="24"/>
        </w:rPr>
        <w:t xml:space="preserve"> in any manner provided by law’. </w:t>
      </w:r>
      <w:r w:rsidR="002C2059" w:rsidRPr="002C2059">
        <w:rPr>
          <w:rStyle w:val="Emphasis"/>
          <w:rFonts w:ascii="Arial" w:hAnsi="Arial" w:cs="Arial"/>
          <w:i w:val="0"/>
          <w:sz w:val="24"/>
          <w:szCs w:val="24"/>
        </w:rPr>
        <w:t xml:space="preserve">This matter essentially dealt with service on a juristic person. </w:t>
      </w:r>
      <w:r w:rsidR="002C2059" w:rsidRPr="002C2059">
        <w:rPr>
          <w:rFonts w:ascii="Arial" w:hAnsi="Arial" w:cs="Arial"/>
          <w:sz w:val="24"/>
          <w:szCs w:val="24"/>
        </w:rPr>
        <w:t xml:space="preserve">The court found that an important </w:t>
      </w:r>
      <w:r w:rsidR="002C2059" w:rsidRPr="002C2059">
        <w:rPr>
          <w:rFonts w:ascii="Arial" w:hAnsi="Arial" w:cs="Arial"/>
          <w:sz w:val="24"/>
          <w:szCs w:val="24"/>
        </w:rPr>
        <w:lastRenderedPageBreak/>
        <w:t xml:space="preserve">requirement prior to affixing is that the Sheriff must have personal interaction with the employees of the juristic person. </w:t>
      </w:r>
    </w:p>
    <w:p w:rsidR="002C2059" w:rsidRDefault="002C2059" w:rsidP="002C2059">
      <w:pPr>
        <w:pStyle w:val="ListParagraph"/>
        <w:rPr>
          <w:rFonts w:ascii="Arial" w:hAnsi="Arial" w:cs="Arial"/>
          <w:sz w:val="24"/>
          <w:szCs w:val="24"/>
        </w:rPr>
      </w:pPr>
    </w:p>
    <w:p w:rsidR="00764C52" w:rsidRDefault="002C2059" w:rsidP="00764C52">
      <w:pPr>
        <w:numPr>
          <w:ilvl w:val="0"/>
          <w:numId w:val="3"/>
        </w:numPr>
        <w:shd w:val="clear" w:color="auto" w:fill="FFFFFF"/>
        <w:spacing w:after="285" w:line="480" w:lineRule="auto"/>
        <w:contextualSpacing/>
        <w:jc w:val="both"/>
        <w:rPr>
          <w:rFonts w:ascii="Arial" w:hAnsi="Arial" w:cs="Arial"/>
          <w:sz w:val="24"/>
          <w:szCs w:val="24"/>
        </w:rPr>
      </w:pPr>
      <w:r>
        <w:rPr>
          <w:rFonts w:ascii="Arial" w:hAnsi="Arial" w:cs="Arial"/>
          <w:i/>
          <w:sz w:val="24"/>
          <w:szCs w:val="24"/>
        </w:rPr>
        <w:t xml:space="preserve">In </w:t>
      </w:r>
      <w:proofErr w:type="spellStart"/>
      <w:r>
        <w:rPr>
          <w:rFonts w:ascii="Arial" w:hAnsi="Arial" w:cs="Arial"/>
          <w:i/>
          <w:sz w:val="24"/>
          <w:szCs w:val="24"/>
        </w:rPr>
        <w:t>causu</w:t>
      </w:r>
      <w:proofErr w:type="spellEnd"/>
      <w:r>
        <w:rPr>
          <w:rFonts w:ascii="Arial" w:hAnsi="Arial" w:cs="Arial"/>
          <w:sz w:val="24"/>
          <w:szCs w:val="24"/>
        </w:rPr>
        <w:t xml:space="preserve">, the ultimate question to be answered is whether there was proper service. </w:t>
      </w:r>
      <w:r w:rsidR="00AE0463">
        <w:rPr>
          <w:rFonts w:ascii="Arial" w:hAnsi="Arial" w:cs="Arial"/>
          <w:sz w:val="24"/>
          <w:szCs w:val="24"/>
        </w:rPr>
        <w:t xml:space="preserve">The Applicants are all sued in their capacity as Trustees of the Trust. </w:t>
      </w:r>
      <w:r>
        <w:rPr>
          <w:rFonts w:ascii="Arial" w:hAnsi="Arial" w:cs="Arial"/>
          <w:sz w:val="24"/>
          <w:szCs w:val="24"/>
        </w:rPr>
        <w:t>The Respondent argued that The Trust’s address was reflec</w:t>
      </w:r>
      <w:r w:rsidR="00DF2D6E">
        <w:rPr>
          <w:rFonts w:ascii="Arial" w:hAnsi="Arial" w:cs="Arial"/>
          <w:sz w:val="24"/>
          <w:szCs w:val="24"/>
        </w:rPr>
        <w:t xml:space="preserve">ted on its letterhead </w:t>
      </w:r>
      <w:r>
        <w:rPr>
          <w:rFonts w:ascii="Arial" w:hAnsi="Arial" w:cs="Arial"/>
          <w:sz w:val="24"/>
          <w:szCs w:val="24"/>
        </w:rPr>
        <w:t>in correspondence dated 5 March</w:t>
      </w:r>
      <w:r w:rsidR="00AE0463">
        <w:rPr>
          <w:rFonts w:ascii="Arial" w:hAnsi="Arial" w:cs="Arial"/>
          <w:sz w:val="24"/>
          <w:szCs w:val="24"/>
        </w:rPr>
        <w:t xml:space="preserve"> 2021</w:t>
      </w:r>
      <w:r>
        <w:rPr>
          <w:rFonts w:ascii="Arial" w:hAnsi="Arial" w:cs="Arial"/>
          <w:sz w:val="24"/>
          <w:szCs w:val="24"/>
        </w:rPr>
        <w:t>, in which it put forward its payment plan to settle the arrears.</w:t>
      </w:r>
      <w:r>
        <w:rPr>
          <w:rStyle w:val="FootnoteReference"/>
          <w:rFonts w:ascii="Arial" w:hAnsi="Arial" w:cs="Arial"/>
          <w:sz w:val="24"/>
          <w:szCs w:val="24"/>
        </w:rPr>
        <w:footnoteReference w:id="15"/>
      </w:r>
      <w:r w:rsidR="00F806F0">
        <w:rPr>
          <w:rFonts w:ascii="Arial" w:hAnsi="Arial" w:cs="Arial"/>
          <w:sz w:val="24"/>
          <w:szCs w:val="24"/>
        </w:rPr>
        <w:t xml:space="preserve"> </w:t>
      </w:r>
      <w:r w:rsidR="00AE0463">
        <w:rPr>
          <w:rFonts w:ascii="Arial" w:hAnsi="Arial" w:cs="Arial"/>
          <w:sz w:val="24"/>
          <w:szCs w:val="24"/>
        </w:rPr>
        <w:t>It does however bear mentioning that the offer in the letter, which is marked “without prejudice” appears to relate to an offer of settlement of the summonses issued under case numbers 6637/2020 and 20475/2020.</w:t>
      </w:r>
      <w:r w:rsidR="00AE0463">
        <w:rPr>
          <w:rStyle w:val="FootnoteReference"/>
          <w:rFonts w:ascii="Arial" w:hAnsi="Arial" w:cs="Arial"/>
          <w:sz w:val="24"/>
          <w:szCs w:val="24"/>
        </w:rPr>
        <w:footnoteReference w:id="16"/>
      </w:r>
      <w:r w:rsidR="00F806F0">
        <w:rPr>
          <w:rFonts w:ascii="Arial" w:hAnsi="Arial" w:cs="Arial"/>
          <w:sz w:val="24"/>
          <w:szCs w:val="24"/>
        </w:rPr>
        <w:t>In further amplification, the Respondent contended that the top drawer of the cabinet was specifically labelled “DROP OFF HERE” at the e</w:t>
      </w:r>
      <w:r w:rsidR="00FA4EDA">
        <w:rPr>
          <w:rFonts w:ascii="Arial" w:hAnsi="Arial" w:cs="Arial"/>
          <w:sz w:val="24"/>
          <w:szCs w:val="24"/>
        </w:rPr>
        <w:t xml:space="preserve">ntrance to the service premises, which is indicative that the Trust required documents to be served as designated by the facility provided for service when nobody was at the address to receive service of the documents. </w:t>
      </w:r>
    </w:p>
    <w:p w:rsidR="00F46131" w:rsidRPr="00F46131" w:rsidRDefault="00F46131" w:rsidP="00F46131">
      <w:pPr>
        <w:shd w:val="clear" w:color="auto" w:fill="FFFFFF"/>
        <w:spacing w:after="285" w:line="480" w:lineRule="auto"/>
        <w:contextualSpacing/>
        <w:jc w:val="both"/>
        <w:rPr>
          <w:rFonts w:ascii="Arial" w:hAnsi="Arial" w:cs="Arial"/>
          <w:sz w:val="24"/>
          <w:szCs w:val="24"/>
        </w:rPr>
      </w:pPr>
    </w:p>
    <w:p w:rsidR="008B5B3A" w:rsidRDefault="008B5B3A" w:rsidP="008B5B3A">
      <w:pPr>
        <w:numPr>
          <w:ilvl w:val="0"/>
          <w:numId w:val="3"/>
        </w:numPr>
        <w:shd w:val="clear" w:color="auto" w:fill="FFFFFF"/>
        <w:spacing w:after="285" w:line="480" w:lineRule="auto"/>
        <w:contextualSpacing/>
        <w:jc w:val="both"/>
        <w:rPr>
          <w:rFonts w:ascii="Arial" w:hAnsi="Arial" w:cs="Arial"/>
          <w:sz w:val="24"/>
          <w:szCs w:val="24"/>
        </w:rPr>
      </w:pPr>
      <w:r>
        <w:rPr>
          <w:rFonts w:ascii="Arial" w:hAnsi="Arial" w:cs="Arial"/>
          <w:sz w:val="24"/>
          <w:szCs w:val="24"/>
        </w:rPr>
        <w:t>The Respondent, in its Answering A</w:t>
      </w:r>
      <w:r w:rsidR="00FD29AC">
        <w:rPr>
          <w:rFonts w:ascii="Arial" w:hAnsi="Arial" w:cs="Arial"/>
          <w:sz w:val="24"/>
          <w:szCs w:val="24"/>
        </w:rPr>
        <w:t>ffidavit specifically stated that</w:t>
      </w:r>
      <w:r w:rsidR="00764C52">
        <w:rPr>
          <w:rFonts w:ascii="Arial" w:hAnsi="Arial" w:cs="Arial"/>
          <w:sz w:val="24"/>
          <w:szCs w:val="24"/>
        </w:rPr>
        <w:t xml:space="preserve"> </w:t>
      </w:r>
      <w:r w:rsidR="00764C52">
        <w:rPr>
          <w:rFonts w:ascii="Arial" w:hAnsi="Arial" w:cs="Arial"/>
          <w:i/>
          <w:sz w:val="24"/>
          <w:szCs w:val="24"/>
        </w:rPr>
        <w:t>‘[</w:t>
      </w:r>
      <w:proofErr w:type="spellStart"/>
      <w:r w:rsidR="00764C52">
        <w:rPr>
          <w:rFonts w:ascii="Arial" w:hAnsi="Arial" w:cs="Arial"/>
          <w:i/>
          <w:sz w:val="24"/>
          <w:szCs w:val="24"/>
        </w:rPr>
        <w:t>i</w:t>
      </w:r>
      <w:proofErr w:type="spellEnd"/>
      <w:r w:rsidR="00764C52">
        <w:rPr>
          <w:rFonts w:ascii="Arial" w:hAnsi="Arial" w:cs="Arial"/>
          <w:i/>
          <w:sz w:val="24"/>
          <w:szCs w:val="24"/>
        </w:rPr>
        <w:t>]t is not d</w:t>
      </w:r>
      <w:r w:rsidR="0044412A">
        <w:rPr>
          <w:rFonts w:ascii="Arial" w:hAnsi="Arial" w:cs="Arial"/>
          <w:i/>
          <w:sz w:val="24"/>
          <w:szCs w:val="24"/>
        </w:rPr>
        <w:t>enied that the summons could, as an alternative, have been affixed at the premises.’</w:t>
      </w:r>
      <w:r w:rsidR="00674DA6">
        <w:rPr>
          <w:rStyle w:val="FootnoteReference"/>
          <w:rFonts w:ascii="Arial" w:hAnsi="Arial" w:cs="Arial"/>
          <w:i/>
          <w:sz w:val="24"/>
          <w:szCs w:val="24"/>
        </w:rPr>
        <w:footnoteReference w:id="17"/>
      </w:r>
      <w:r>
        <w:rPr>
          <w:rFonts w:ascii="Arial" w:hAnsi="Arial" w:cs="Arial"/>
          <w:sz w:val="24"/>
          <w:szCs w:val="24"/>
        </w:rPr>
        <w:t xml:space="preserve"> The Respondent furthermore argued that the preferred way of service as indicated cannot be criticized. It is noteworthy that the version of the Applicants that they did not receive the summons was not refuted. It is the Respondent’s contention that the Trust failed to take the Court into its confidence with </w:t>
      </w:r>
      <w:r w:rsidRPr="008B5B3A">
        <w:rPr>
          <w:rFonts w:ascii="Arial" w:hAnsi="Arial" w:cs="Arial"/>
          <w:i/>
          <w:sz w:val="24"/>
          <w:szCs w:val="24"/>
        </w:rPr>
        <w:t>bona fide</w:t>
      </w:r>
      <w:r>
        <w:rPr>
          <w:rFonts w:ascii="Arial" w:hAnsi="Arial" w:cs="Arial"/>
          <w:sz w:val="24"/>
          <w:szCs w:val="24"/>
        </w:rPr>
        <w:t xml:space="preserve"> reasons</w:t>
      </w:r>
      <w:r w:rsidR="00277DE5">
        <w:rPr>
          <w:rFonts w:ascii="Arial" w:hAnsi="Arial" w:cs="Arial"/>
          <w:sz w:val="24"/>
          <w:szCs w:val="24"/>
        </w:rPr>
        <w:t xml:space="preserve"> as to why the summons would not have come to the Trust’s attention prior to the granting </w:t>
      </w:r>
      <w:r w:rsidR="00277DE5">
        <w:rPr>
          <w:rFonts w:ascii="Arial" w:hAnsi="Arial" w:cs="Arial"/>
          <w:sz w:val="24"/>
          <w:szCs w:val="24"/>
        </w:rPr>
        <w:lastRenderedPageBreak/>
        <w:t>of default judgment on 10 May 2022 when service was affected at the address provided by the Trust.</w:t>
      </w:r>
    </w:p>
    <w:p w:rsidR="008B5B3A" w:rsidRDefault="008B5B3A" w:rsidP="008B5B3A">
      <w:pPr>
        <w:pStyle w:val="ListParagraph"/>
        <w:rPr>
          <w:rFonts w:ascii="Arial" w:hAnsi="Arial" w:cs="Arial"/>
          <w:sz w:val="24"/>
          <w:szCs w:val="24"/>
        </w:rPr>
      </w:pPr>
    </w:p>
    <w:p w:rsidR="009E31D7" w:rsidRPr="003C2926" w:rsidRDefault="008B5B3A" w:rsidP="009E31D7">
      <w:pPr>
        <w:numPr>
          <w:ilvl w:val="0"/>
          <w:numId w:val="3"/>
        </w:numPr>
        <w:shd w:val="clear" w:color="auto" w:fill="FFFFFF"/>
        <w:spacing w:after="285" w:line="480" w:lineRule="auto"/>
        <w:contextualSpacing/>
        <w:jc w:val="both"/>
        <w:rPr>
          <w:rFonts w:ascii="Arial" w:hAnsi="Arial" w:cs="Arial"/>
          <w:sz w:val="24"/>
          <w:szCs w:val="24"/>
        </w:rPr>
      </w:pPr>
      <w:r>
        <w:rPr>
          <w:rFonts w:ascii="Arial" w:hAnsi="Arial" w:cs="Arial"/>
          <w:sz w:val="24"/>
          <w:szCs w:val="24"/>
        </w:rPr>
        <w:t xml:space="preserve">The Respondent, in the absence of the Trust having entered an intention to </w:t>
      </w:r>
      <w:proofErr w:type="spellStart"/>
      <w:r>
        <w:rPr>
          <w:rFonts w:ascii="Arial" w:hAnsi="Arial" w:cs="Arial"/>
          <w:sz w:val="24"/>
          <w:szCs w:val="24"/>
        </w:rPr>
        <w:t>defence</w:t>
      </w:r>
      <w:proofErr w:type="spellEnd"/>
      <w:r>
        <w:rPr>
          <w:rFonts w:ascii="Arial" w:hAnsi="Arial" w:cs="Arial"/>
          <w:sz w:val="24"/>
          <w:szCs w:val="24"/>
        </w:rPr>
        <w:t xml:space="preserve">, was permitted to seek Judgment by Default against the Applicants without further notice to the Trust, however, it cannot be assumed that the Applicants willfully </w:t>
      </w:r>
      <w:r w:rsidR="009E31D7">
        <w:rPr>
          <w:rFonts w:ascii="Arial" w:hAnsi="Arial" w:cs="Arial"/>
          <w:sz w:val="24"/>
          <w:szCs w:val="24"/>
        </w:rPr>
        <w:t xml:space="preserve">defaulted if regard is to be had to </w:t>
      </w:r>
      <w:r w:rsidR="009E31D7">
        <w:rPr>
          <w:rFonts w:ascii="Arial" w:hAnsi="Arial" w:cs="Arial"/>
          <w:b/>
          <w:i/>
          <w:sz w:val="24"/>
          <w:szCs w:val="24"/>
        </w:rPr>
        <w:t xml:space="preserve">Harris v ABSA Bank Ltd </w:t>
      </w:r>
      <w:proofErr w:type="spellStart"/>
      <w:r w:rsidR="009E31D7">
        <w:rPr>
          <w:rFonts w:ascii="Arial" w:hAnsi="Arial" w:cs="Arial"/>
          <w:b/>
          <w:i/>
          <w:sz w:val="24"/>
          <w:szCs w:val="24"/>
        </w:rPr>
        <w:t>Volkskas</w:t>
      </w:r>
      <w:proofErr w:type="spellEnd"/>
      <w:r w:rsidR="009E31D7">
        <w:rPr>
          <w:rStyle w:val="FootnoteReference"/>
          <w:rFonts w:ascii="Arial" w:hAnsi="Arial" w:cs="Arial"/>
          <w:b/>
          <w:i/>
          <w:sz w:val="24"/>
          <w:szCs w:val="24"/>
        </w:rPr>
        <w:footnoteReference w:id="18"/>
      </w:r>
      <w:r w:rsidR="009E31D7">
        <w:rPr>
          <w:rFonts w:ascii="Arial" w:hAnsi="Arial" w:cs="Arial"/>
          <w:sz w:val="24"/>
          <w:szCs w:val="24"/>
        </w:rPr>
        <w:t xml:space="preserve"> where the court held:</w:t>
      </w:r>
    </w:p>
    <w:p w:rsidR="009E31D7" w:rsidRDefault="009E31D7" w:rsidP="009E31D7">
      <w:pPr>
        <w:shd w:val="clear" w:color="auto" w:fill="FFFFFF"/>
        <w:spacing w:after="285" w:line="360" w:lineRule="auto"/>
        <w:ind w:left="720" w:right="720"/>
        <w:contextualSpacing/>
        <w:jc w:val="both"/>
        <w:rPr>
          <w:rFonts w:ascii="Arial" w:hAnsi="Arial" w:cs="Arial"/>
          <w:i/>
        </w:rPr>
      </w:pPr>
      <w:r>
        <w:rPr>
          <w:rFonts w:ascii="Arial" w:hAnsi="Arial" w:cs="Arial"/>
          <w:i/>
        </w:rPr>
        <w:t xml:space="preserve">‘Before an applicant in a rescission of judgment application can be said to be in “willful default” he or she must bear knowledge of the action brought against him or her and of the steps required to avoid the default. Such am applicant must deliberately, being free to do so, fail or omit to take the step which would avoid the default and must appreciate the legal consequence of his or her actions. A decision freely taken to reform from filing a notice to </w:t>
      </w:r>
      <w:proofErr w:type="spellStart"/>
      <w:r>
        <w:rPr>
          <w:rFonts w:ascii="Arial" w:hAnsi="Arial" w:cs="Arial"/>
          <w:i/>
        </w:rPr>
        <w:t>defence</w:t>
      </w:r>
      <w:proofErr w:type="spellEnd"/>
      <w:r>
        <w:rPr>
          <w:rFonts w:ascii="Arial" w:hAnsi="Arial" w:cs="Arial"/>
          <w:i/>
        </w:rPr>
        <w:t xml:space="preserve"> or a plea or from appearing would ordinarily weigh heavily against an Applicant required to establish sufficient cause.’</w:t>
      </w:r>
    </w:p>
    <w:p w:rsidR="009E31D7" w:rsidRPr="009E31D7" w:rsidRDefault="009E31D7" w:rsidP="009E31D7">
      <w:pPr>
        <w:shd w:val="clear" w:color="auto" w:fill="FFFFFF"/>
        <w:spacing w:after="285" w:line="360" w:lineRule="auto"/>
        <w:ind w:left="720" w:right="720"/>
        <w:contextualSpacing/>
        <w:jc w:val="both"/>
        <w:rPr>
          <w:rFonts w:ascii="Arial" w:hAnsi="Arial" w:cs="Arial"/>
          <w:i/>
        </w:rPr>
      </w:pPr>
    </w:p>
    <w:p w:rsidR="00CD5453" w:rsidRDefault="00F46131" w:rsidP="00CD5453">
      <w:pPr>
        <w:numPr>
          <w:ilvl w:val="0"/>
          <w:numId w:val="3"/>
        </w:numPr>
        <w:shd w:val="clear" w:color="auto" w:fill="FFFFFF"/>
        <w:spacing w:after="285" w:line="480" w:lineRule="auto"/>
        <w:contextualSpacing/>
        <w:jc w:val="both"/>
        <w:rPr>
          <w:rFonts w:ascii="Arial" w:hAnsi="Arial" w:cs="Arial"/>
          <w:sz w:val="24"/>
          <w:szCs w:val="24"/>
        </w:rPr>
      </w:pPr>
      <w:r>
        <w:rPr>
          <w:rFonts w:ascii="Arial" w:hAnsi="Arial" w:cs="Arial"/>
          <w:sz w:val="24"/>
          <w:szCs w:val="24"/>
        </w:rPr>
        <w:t xml:space="preserve">On a conspectus of the evidence, </w:t>
      </w:r>
      <w:r w:rsidR="004B59C1">
        <w:rPr>
          <w:rFonts w:ascii="Arial" w:hAnsi="Arial" w:cs="Arial"/>
          <w:sz w:val="24"/>
          <w:szCs w:val="24"/>
        </w:rPr>
        <w:t xml:space="preserve">I am not persuaded that service was effected at the </w:t>
      </w:r>
      <w:proofErr w:type="spellStart"/>
      <w:r w:rsidR="004B59C1">
        <w:rPr>
          <w:rFonts w:ascii="Arial" w:hAnsi="Arial" w:cs="Arial"/>
          <w:sz w:val="24"/>
          <w:szCs w:val="24"/>
        </w:rPr>
        <w:t>domicilium</w:t>
      </w:r>
      <w:proofErr w:type="spellEnd"/>
      <w:r w:rsidR="004B59C1">
        <w:rPr>
          <w:rFonts w:ascii="Arial" w:hAnsi="Arial" w:cs="Arial"/>
          <w:sz w:val="24"/>
          <w:szCs w:val="24"/>
        </w:rPr>
        <w:t xml:space="preserve"> address as envisaged in terms of Rule 9(3)(d)</w:t>
      </w:r>
      <w:r w:rsidR="004B59C1">
        <w:rPr>
          <w:rStyle w:val="FootnoteReference"/>
          <w:rFonts w:ascii="Arial" w:hAnsi="Arial" w:cs="Arial"/>
          <w:sz w:val="24"/>
          <w:szCs w:val="24"/>
        </w:rPr>
        <w:footnoteReference w:id="19"/>
      </w:r>
      <w:r w:rsidR="004B59C1">
        <w:rPr>
          <w:rFonts w:ascii="Arial" w:hAnsi="Arial" w:cs="Arial"/>
          <w:sz w:val="24"/>
          <w:szCs w:val="24"/>
        </w:rPr>
        <w:t xml:space="preserve">. Consequently, </w:t>
      </w:r>
      <w:r w:rsidR="009E31D7">
        <w:rPr>
          <w:rFonts w:ascii="Arial" w:hAnsi="Arial" w:cs="Arial"/>
          <w:sz w:val="24"/>
          <w:szCs w:val="24"/>
        </w:rPr>
        <w:t xml:space="preserve">I am satisfied that the Applicants have provided a reasonable </w:t>
      </w:r>
      <w:r w:rsidR="00CD5453">
        <w:rPr>
          <w:rFonts w:ascii="Arial" w:hAnsi="Arial" w:cs="Arial"/>
          <w:sz w:val="24"/>
          <w:szCs w:val="24"/>
        </w:rPr>
        <w:t xml:space="preserve">and acceptable </w:t>
      </w:r>
      <w:r w:rsidR="009E31D7">
        <w:rPr>
          <w:rFonts w:ascii="Arial" w:hAnsi="Arial" w:cs="Arial"/>
          <w:sz w:val="24"/>
          <w:szCs w:val="24"/>
        </w:rPr>
        <w:t>explanation</w:t>
      </w:r>
      <w:r w:rsidR="00CD5453">
        <w:rPr>
          <w:rFonts w:ascii="Arial" w:hAnsi="Arial" w:cs="Arial"/>
          <w:sz w:val="24"/>
          <w:szCs w:val="24"/>
        </w:rPr>
        <w:t xml:space="preserve"> for their </w:t>
      </w:r>
      <w:r w:rsidR="009E31D7">
        <w:rPr>
          <w:rFonts w:ascii="Arial" w:hAnsi="Arial" w:cs="Arial"/>
          <w:sz w:val="24"/>
          <w:szCs w:val="24"/>
        </w:rPr>
        <w:t xml:space="preserve">default. </w:t>
      </w:r>
      <w:r w:rsidR="00CD5453">
        <w:rPr>
          <w:rFonts w:ascii="Arial" w:hAnsi="Arial" w:cs="Arial"/>
          <w:sz w:val="24"/>
          <w:szCs w:val="24"/>
        </w:rPr>
        <w:t>This in and of itself does not automatically entitle the Applicants to the relief they seek as the court is enjoine</w:t>
      </w:r>
      <w:r w:rsidR="00A875AD">
        <w:rPr>
          <w:rFonts w:ascii="Arial" w:hAnsi="Arial" w:cs="Arial"/>
          <w:sz w:val="24"/>
          <w:szCs w:val="24"/>
        </w:rPr>
        <w:t>d to consider whether</w:t>
      </w:r>
      <w:r w:rsidR="00CD5453">
        <w:rPr>
          <w:rFonts w:ascii="Arial" w:hAnsi="Arial" w:cs="Arial"/>
          <w:sz w:val="24"/>
          <w:szCs w:val="24"/>
        </w:rPr>
        <w:t xml:space="preserve"> the </w:t>
      </w:r>
      <w:r w:rsidR="00CD5453" w:rsidRPr="00CD5453">
        <w:rPr>
          <w:rFonts w:ascii="Arial" w:hAnsi="Arial" w:cs="Arial"/>
          <w:sz w:val="24"/>
          <w:szCs w:val="24"/>
        </w:rPr>
        <w:t xml:space="preserve">application is made in good faith and </w:t>
      </w:r>
      <w:r w:rsidR="00CD5453">
        <w:rPr>
          <w:rFonts w:ascii="Arial" w:hAnsi="Arial" w:cs="Arial"/>
          <w:sz w:val="24"/>
          <w:szCs w:val="24"/>
        </w:rPr>
        <w:t>that on the merits Applicants have</w:t>
      </w:r>
      <w:r w:rsidR="00CD5453" w:rsidRPr="00CD5453">
        <w:rPr>
          <w:rFonts w:ascii="Arial" w:hAnsi="Arial" w:cs="Arial"/>
          <w:sz w:val="24"/>
          <w:szCs w:val="24"/>
        </w:rPr>
        <w:t xml:space="preserve"> a </w:t>
      </w:r>
      <w:r w:rsidR="00CD5453" w:rsidRPr="00CD5453">
        <w:rPr>
          <w:rFonts w:ascii="Arial" w:hAnsi="Arial" w:cs="Arial"/>
          <w:i/>
          <w:sz w:val="24"/>
          <w:szCs w:val="24"/>
        </w:rPr>
        <w:t>bona fide</w:t>
      </w:r>
      <w:r w:rsidR="00CD5453" w:rsidRPr="00CD5453">
        <w:rPr>
          <w:rFonts w:ascii="Arial" w:hAnsi="Arial" w:cs="Arial"/>
          <w:sz w:val="24"/>
          <w:szCs w:val="24"/>
        </w:rPr>
        <w:t xml:space="preserve"> </w:t>
      </w:r>
      <w:r w:rsidR="00CD5453" w:rsidRPr="00CD5453">
        <w:rPr>
          <w:rFonts w:ascii="Arial" w:hAnsi="Arial" w:cs="Arial"/>
          <w:noProof/>
          <w:sz w:val="24"/>
          <w:szCs w:val="24"/>
        </w:rPr>
        <w:t>defence</w:t>
      </w:r>
      <w:r w:rsidR="00CD5453" w:rsidRPr="00CD5453">
        <w:rPr>
          <w:rFonts w:ascii="Arial" w:hAnsi="Arial" w:cs="Arial"/>
          <w:sz w:val="24"/>
          <w:szCs w:val="24"/>
        </w:rPr>
        <w:t xml:space="preserve"> which </w:t>
      </w:r>
      <w:r w:rsidR="00CD5453" w:rsidRPr="00CD5453">
        <w:rPr>
          <w:rFonts w:ascii="Arial" w:hAnsi="Arial" w:cs="Arial"/>
          <w:i/>
          <w:sz w:val="24"/>
          <w:szCs w:val="24"/>
        </w:rPr>
        <w:t>prima facie</w:t>
      </w:r>
      <w:r w:rsidR="00CD5453" w:rsidRPr="00CD5453">
        <w:rPr>
          <w:rFonts w:ascii="Arial" w:hAnsi="Arial" w:cs="Arial"/>
          <w:sz w:val="24"/>
          <w:szCs w:val="24"/>
        </w:rPr>
        <w:t xml:space="preserve"> c</w:t>
      </w:r>
      <w:r>
        <w:rPr>
          <w:rFonts w:ascii="Arial" w:hAnsi="Arial" w:cs="Arial"/>
          <w:sz w:val="24"/>
          <w:szCs w:val="24"/>
        </w:rPr>
        <w:t>arries some prospect of success as previously stated.</w:t>
      </w:r>
    </w:p>
    <w:p w:rsidR="00886F73" w:rsidRDefault="00886F73" w:rsidP="00886F73">
      <w:pPr>
        <w:shd w:val="clear" w:color="auto" w:fill="FFFFFF"/>
        <w:spacing w:after="285" w:line="480" w:lineRule="auto"/>
        <w:contextualSpacing/>
        <w:jc w:val="both"/>
        <w:rPr>
          <w:rFonts w:ascii="Arial" w:hAnsi="Arial" w:cs="Arial"/>
          <w:sz w:val="24"/>
          <w:szCs w:val="24"/>
        </w:rPr>
      </w:pPr>
    </w:p>
    <w:p w:rsidR="003C2926" w:rsidRPr="003C2926" w:rsidRDefault="00A875AD" w:rsidP="003C2926">
      <w:pPr>
        <w:shd w:val="clear" w:color="auto" w:fill="FFFFFF"/>
        <w:spacing w:after="285" w:line="480" w:lineRule="auto"/>
        <w:contextualSpacing/>
        <w:jc w:val="both"/>
        <w:rPr>
          <w:rFonts w:ascii="Arial" w:hAnsi="Arial" w:cs="Arial"/>
          <w:sz w:val="24"/>
          <w:szCs w:val="24"/>
        </w:rPr>
      </w:pPr>
      <w:r>
        <w:rPr>
          <w:rFonts w:ascii="Arial" w:hAnsi="Arial" w:cs="Arial"/>
          <w:b/>
          <w:sz w:val="24"/>
          <w:szCs w:val="24"/>
        </w:rPr>
        <w:lastRenderedPageBreak/>
        <w:t xml:space="preserve">Bona Fide </w:t>
      </w:r>
      <w:proofErr w:type="spellStart"/>
      <w:r>
        <w:rPr>
          <w:rFonts w:ascii="Arial" w:hAnsi="Arial" w:cs="Arial"/>
          <w:b/>
          <w:sz w:val="24"/>
          <w:szCs w:val="24"/>
        </w:rPr>
        <w:t>Defence</w:t>
      </w:r>
      <w:proofErr w:type="spellEnd"/>
    </w:p>
    <w:p w:rsidR="003C2926" w:rsidRPr="002B5408" w:rsidRDefault="003C2926" w:rsidP="002B5408">
      <w:pPr>
        <w:numPr>
          <w:ilvl w:val="0"/>
          <w:numId w:val="3"/>
        </w:numPr>
        <w:spacing w:line="480" w:lineRule="auto"/>
        <w:contextualSpacing/>
        <w:rPr>
          <w:rFonts w:ascii="Arial" w:hAnsi="Arial" w:cs="Arial"/>
          <w:sz w:val="24"/>
          <w:szCs w:val="24"/>
        </w:rPr>
      </w:pPr>
      <w:r>
        <w:rPr>
          <w:rFonts w:ascii="Arial" w:hAnsi="Arial" w:cs="Arial"/>
          <w:sz w:val="24"/>
          <w:szCs w:val="24"/>
        </w:rPr>
        <w:t>The Applicants</w:t>
      </w:r>
      <w:r w:rsidR="002B5408">
        <w:rPr>
          <w:rFonts w:ascii="Arial" w:hAnsi="Arial" w:cs="Arial"/>
          <w:sz w:val="24"/>
          <w:szCs w:val="24"/>
        </w:rPr>
        <w:t xml:space="preserve"> relies of the following </w:t>
      </w:r>
      <w:proofErr w:type="spellStart"/>
      <w:r w:rsidR="002B5408">
        <w:rPr>
          <w:rFonts w:ascii="Arial" w:hAnsi="Arial" w:cs="Arial"/>
          <w:sz w:val="24"/>
          <w:szCs w:val="24"/>
        </w:rPr>
        <w:t>defences</w:t>
      </w:r>
      <w:proofErr w:type="spellEnd"/>
      <w:r>
        <w:rPr>
          <w:rFonts w:ascii="Arial" w:hAnsi="Arial" w:cs="Arial"/>
          <w:sz w:val="24"/>
          <w:szCs w:val="24"/>
        </w:rPr>
        <w:t xml:space="preserve"> in amplification this application:</w:t>
      </w:r>
    </w:p>
    <w:p w:rsidR="003C2926" w:rsidRDefault="003C2926" w:rsidP="003C2926">
      <w:pPr>
        <w:pStyle w:val="ListParagraph"/>
        <w:numPr>
          <w:ilvl w:val="0"/>
          <w:numId w:val="5"/>
        </w:numPr>
        <w:spacing w:line="480" w:lineRule="auto"/>
        <w:rPr>
          <w:rFonts w:ascii="Arial" w:hAnsi="Arial" w:cs="Arial"/>
          <w:sz w:val="24"/>
          <w:szCs w:val="24"/>
        </w:rPr>
      </w:pPr>
      <w:r>
        <w:rPr>
          <w:rFonts w:ascii="Arial" w:hAnsi="Arial" w:cs="Arial"/>
          <w:sz w:val="24"/>
          <w:szCs w:val="24"/>
        </w:rPr>
        <w:t>The non-joinder of the EThekwini Municipality;</w:t>
      </w:r>
    </w:p>
    <w:p w:rsidR="003C2926" w:rsidRDefault="003C2926" w:rsidP="003C2926">
      <w:pPr>
        <w:pStyle w:val="ListParagraph"/>
        <w:numPr>
          <w:ilvl w:val="0"/>
          <w:numId w:val="5"/>
        </w:numPr>
        <w:spacing w:line="48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excipiabiity</w:t>
      </w:r>
      <w:proofErr w:type="spellEnd"/>
      <w:r>
        <w:rPr>
          <w:rFonts w:ascii="Arial" w:hAnsi="Arial" w:cs="Arial"/>
          <w:sz w:val="24"/>
          <w:szCs w:val="24"/>
        </w:rPr>
        <w:t xml:space="preserve"> of the Particulars of Claim on the basis that:</w:t>
      </w:r>
    </w:p>
    <w:p w:rsidR="003C2926" w:rsidRDefault="003C2926" w:rsidP="003C2926">
      <w:pPr>
        <w:pStyle w:val="ListParagraph"/>
        <w:numPr>
          <w:ilvl w:val="0"/>
          <w:numId w:val="6"/>
        </w:numPr>
        <w:spacing w:line="480" w:lineRule="auto"/>
        <w:rPr>
          <w:rFonts w:ascii="Arial" w:hAnsi="Arial" w:cs="Arial"/>
          <w:sz w:val="24"/>
          <w:szCs w:val="24"/>
        </w:rPr>
      </w:pPr>
      <w:r>
        <w:rPr>
          <w:rFonts w:ascii="Arial" w:hAnsi="Arial" w:cs="Arial"/>
          <w:sz w:val="24"/>
          <w:szCs w:val="24"/>
        </w:rPr>
        <w:t>The Plaintiff had failed to annex the complete MOI to its papers;</w:t>
      </w:r>
    </w:p>
    <w:p w:rsidR="003C2926" w:rsidRDefault="003C2926" w:rsidP="003C2926">
      <w:pPr>
        <w:pStyle w:val="ListParagraph"/>
        <w:numPr>
          <w:ilvl w:val="0"/>
          <w:numId w:val="6"/>
        </w:numPr>
        <w:spacing w:line="480" w:lineRule="auto"/>
        <w:rPr>
          <w:rFonts w:ascii="Arial" w:hAnsi="Arial" w:cs="Arial"/>
          <w:sz w:val="24"/>
          <w:szCs w:val="24"/>
        </w:rPr>
      </w:pPr>
      <w:r>
        <w:rPr>
          <w:rFonts w:ascii="Arial" w:hAnsi="Arial" w:cs="Arial"/>
          <w:sz w:val="24"/>
          <w:szCs w:val="24"/>
        </w:rPr>
        <w:t>The Plaintiff’s failure to plead the necessary and essential averments that shows the Trust’s liability to be bound by the MOI ad failure to annex proof that the Trust was accepted as a member of the Respondent’s Association;</w:t>
      </w:r>
    </w:p>
    <w:p w:rsidR="003C2926" w:rsidRDefault="003C2926" w:rsidP="003C2926">
      <w:pPr>
        <w:pStyle w:val="ListParagraph"/>
        <w:numPr>
          <w:ilvl w:val="0"/>
          <w:numId w:val="6"/>
        </w:numPr>
        <w:spacing w:line="480" w:lineRule="auto"/>
        <w:rPr>
          <w:rFonts w:ascii="Arial" w:hAnsi="Arial" w:cs="Arial"/>
          <w:sz w:val="24"/>
          <w:szCs w:val="24"/>
        </w:rPr>
      </w:pPr>
      <w:r>
        <w:rPr>
          <w:rFonts w:ascii="Arial" w:hAnsi="Arial" w:cs="Arial"/>
          <w:sz w:val="24"/>
          <w:szCs w:val="24"/>
        </w:rPr>
        <w:t>The Plaintiff’s failure to disclose a cause of action;</w:t>
      </w:r>
    </w:p>
    <w:p w:rsidR="003C2926" w:rsidRDefault="003C2926" w:rsidP="003C2926">
      <w:pPr>
        <w:pStyle w:val="ListParagraph"/>
        <w:numPr>
          <w:ilvl w:val="0"/>
          <w:numId w:val="6"/>
        </w:numPr>
        <w:spacing w:line="480" w:lineRule="auto"/>
        <w:rPr>
          <w:rFonts w:ascii="Arial" w:hAnsi="Arial" w:cs="Arial"/>
          <w:sz w:val="24"/>
          <w:szCs w:val="24"/>
        </w:rPr>
      </w:pPr>
      <w:r>
        <w:rPr>
          <w:rFonts w:ascii="Arial" w:hAnsi="Arial" w:cs="Arial"/>
          <w:sz w:val="24"/>
          <w:szCs w:val="24"/>
        </w:rPr>
        <w:t>The Trust’s dispute on the amount claimed and the disputes surrounding drainage and maintenance of the common area;</w:t>
      </w:r>
    </w:p>
    <w:p w:rsidR="003C2926" w:rsidRPr="00535842" w:rsidRDefault="003C2926" w:rsidP="003C2926">
      <w:pPr>
        <w:pStyle w:val="ListParagraph"/>
        <w:numPr>
          <w:ilvl w:val="0"/>
          <w:numId w:val="6"/>
        </w:numPr>
        <w:spacing w:line="480" w:lineRule="auto"/>
        <w:rPr>
          <w:rFonts w:ascii="Arial" w:hAnsi="Arial" w:cs="Arial"/>
          <w:sz w:val="24"/>
          <w:szCs w:val="24"/>
        </w:rPr>
      </w:pPr>
      <w:r>
        <w:rPr>
          <w:rFonts w:ascii="Arial" w:hAnsi="Arial" w:cs="Arial"/>
          <w:sz w:val="24"/>
          <w:szCs w:val="24"/>
        </w:rPr>
        <w:t>The Plaintiff’s non-compliance with Section 129, read with Section 130 of the National Credit Act.</w:t>
      </w:r>
    </w:p>
    <w:p w:rsidR="003C2926" w:rsidRDefault="003C2926" w:rsidP="003C2926">
      <w:pPr>
        <w:numPr>
          <w:ilvl w:val="0"/>
          <w:numId w:val="3"/>
        </w:numPr>
        <w:spacing w:line="480" w:lineRule="auto"/>
        <w:contextualSpacing/>
        <w:rPr>
          <w:rFonts w:ascii="Arial" w:hAnsi="Arial" w:cs="Arial"/>
          <w:sz w:val="24"/>
          <w:szCs w:val="24"/>
        </w:rPr>
      </w:pPr>
      <w:r>
        <w:rPr>
          <w:rFonts w:ascii="Arial" w:hAnsi="Arial" w:cs="Arial"/>
          <w:sz w:val="24"/>
          <w:szCs w:val="24"/>
        </w:rPr>
        <w:t xml:space="preserve">I do not deem it necessary to deal with each of these grounds </w:t>
      </w:r>
      <w:r w:rsidRPr="00234353">
        <w:rPr>
          <w:rFonts w:ascii="Arial" w:hAnsi="Arial" w:cs="Arial"/>
          <w:i/>
          <w:sz w:val="24"/>
          <w:szCs w:val="24"/>
        </w:rPr>
        <w:t>ad seriatim</w:t>
      </w:r>
      <w:r>
        <w:rPr>
          <w:rFonts w:ascii="Arial" w:hAnsi="Arial" w:cs="Arial"/>
          <w:sz w:val="24"/>
          <w:szCs w:val="24"/>
        </w:rPr>
        <w:t>, in light of the conclusion to which I have come.</w:t>
      </w:r>
    </w:p>
    <w:p w:rsidR="00B066CC" w:rsidRPr="00535842" w:rsidRDefault="00B066CC" w:rsidP="00B066CC">
      <w:pPr>
        <w:spacing w:line="480" w:lineRule="auto"/>
        <w:contextualSpacing/>
        <w:rPr>
          <w:rFonts w:ascii="Arial" w:hAnsi="Arial" w:cs="Arial"/>
          <w:sz w:val="24"/>
          <w:szCs w:val="24"/>
        </w:rPr>
      </w:pPr>
    </w:p>
    <w:p w:rsidR="00B066CC" w:rsidRDefault="00B066CC" w:rsidP="00B066CC">
      <w:pPr>
        <w:shd w:val="clear" w:color="auto" w:fill="FFFFFF"/>
        <w:spacing w:after="285" w:line="480" w:lineRule="auto"/>
        <w:contextualSpacing/>
        <w:jc w:val="both"/>
        <w:rPr>
          <w:rFonts w:ascii="Arial" w:hAnsi="Arial" w:cs="Arial"/>
          <w:sz w:val="24"/>
          <w:szCs w:val="24"/>
        </w:rPr>
      </w:pPr>
      <w:r>
        <w:rPr>
          <w:rFonts w:ascii="Arial" w:hAnsi="Arial" w:cs="Arial"/>
          <w:b/>
          <w:sz w:val="24"/>
          <w:szCs w:val="24"/>
        </w:rPr>
        <w:t>Non-Joinder of the EThekwini Municipality</w:t>
      </w:r>
    </w:p>
    <w:p w:rsidR="009768C8" w:rsidRDefault="00B02F2C" w:rsidP="00CD5453">
      <w:pPr>
        <w:numPr>
          <w:ilvl w:val="0"/>
          <w:numId w:val="3"/>
        </w:numPr>
        <w:shd w:val="clear" w:color="auto" w:fill="FFFFFF"/>
        <w:spacing w:after="285" w:line="480" w:lineRule="auto"/>
        <w:contextualSpacing/>
        <w:jc w:val="both"/>
        <w:rPr>
          <w:rFonts w:ascii="Arial" w:hAnsi="Arial" w:cs="Arial"/>
          <w:sz w:val="24"/>
          <w:szCs w:val="24"/>
        </w:rPr>
      </w:pPr>
      <w:r>
        <w:rPr>
          <w:rFonts w:ascii="Arial" w:hAnsi="Arial" w:cs="Arial"/>
          <w:sz w:val="24"/>
          <w:szCs w:val="24"/>
        </w:rPr>
        <w:t xml:space="preserve">It is the Applicants contention that the EThekwini Municipality had a direct and substantial interest in this matter and as such, should have been joined as a party to the proceedings. </w:t>
      </w:r>
      <w:r w:rsidR="009768C8">
        <w:rPr>
          <w:rFonts w:ascii="Arial" w:hAnsi="Arial" w:cs="Arial"/>
          <w:sz w:val="24"/>
          <w:szCs w:val="24"/>
        </w:rPr>
        <w:t xml:space="preserve">The Respondent’s contention in this regard is that the Trust has historically paid invoices inclusive of amounts levied upon the Plaintiff by the municipality. It </w:t>
      </w:r>
      <w:r w:rsidR="000D6521">
        <w:rPr>
          <w:rFonts w:ascii="Arial" w:hAnsi="Arial" w:cs="Arial"/>
          <w:sz w:val="24"/>
          <w:szCs w:val="24"/>
        </w:rPr>
        <w:t xml:space="preserve">was </w:t>
      </w:r>
      <w:r w:rsidR="009768C8">
        <w:rPr>
          <w:rFonts w:ascii="Arial" w:hAnsi="Arial" w:cs="Arial"/>
          <w:sz w:val="24"/>
          <w:szCs w:val="24"/>
        </w:rPr>
        <w:t>further</w:t>
      </w:r>
      <w:r w:rsidR="000D6521">
        <w:rPr>
          <w:rFonts w:ascii="Arial" w:hAnsi="Arial" w:cs="Arial"/>
          <w:sz w:val="24"/>
          <w:szCs w:val="24"/>
        </w:rPr>
        <w:t>more</w:t>
      </w:r>
      <w:r w:rsidR="009768C8">
        <w:rPr>
          <w:rFonts w:ascii="Arial" w:hAnsi="Arial" w:cs="Arial"/>
          <w:sz w:val="24"/>
          <w:szCs w:val="24"/>
        </w:rPr>
        <w:t xml:space="preserve"> argued that the MOI provides for the Trust to make payment to the Plaintiff of amounts the municipality seeks from the Plaintiff:</w:t>
      </w:r>
    </w:p>
    <w:p w:rsidR="009768C8" w:rsidRDefault="009768C8" w:rsidP="009768C8">
      <w:pPr>
        <w:shd w:val="clear" w:color="auto" w:fill="FFFFFF"/>
        <w:spacing w:after="285" w:line="480" w:lineRule="auto"/>
        <w:contextualSpacing/>
        <w:jc w:val="both"/>
        <w:rPr>
          <w:rFonts w:ascii="Arial" w:hAnsi="Arial" w:cs="Arial"/>
          <w:sz w:val="24"/>
          <w:szCs w:val="24"/>
        </w:rPr>
      </w:pPr>
    </w:p>
    <w:p w:rsidR="009768C8" w:rsidRPr="00CD5453" w:rsidRDefault="009768C8" w:rsidP="009768C8">
      <w:pPr>
        <w:shd w:val="clear" w:color="auto" w:fill="FFFFFF"/>
        <w:spacing w:after="285" w:line="360" w:lineRule="auto"/>
        <w:ind w:left="720" w:right="720"/>
        <w:contextualSpacing/>
        <w:jc w:val="both"/>
        <w:rPr>
          <w:rFonts w:ascii="Arial" w:hAnsi="Arial" w:cs="Arial"/>
          <w:sz w:val="24"/>
          <w:szCs w:val="24"/>
        </w:rPr>
      </w:pPr>
      <w:r>
        <w:rPr>
          <w:rFonts w:ascii="Arial" w:hAnsi="Arial" w:cs="Arial"/>
          <w:i/>
        </w:rPr>
        <w:t>’28.1 It is envisaged that where an Erf does not front into a public road that certain consumption charges such as electricity and water due by the owner of such Erf will be levied by the service provider on the Association. The Association will arrange for separate metering of such services and will be entitled to recover the charges therefor from the member/s of the Association receiving the benefits of such services.</w:t>
      </w:r>
      <w:r>
        <w:rPr>
          <w:rStyle w:val="FootnoteReference"/>
          <w:rFonts w:ascii="Arial" w:hAnsi="Arial" w:cs="Arial"/>
          <w:sz w:val="24"/>
          <w:szCs w:val="24"/>
        </w:rPr>
        <w:footnoteReference w:id="20"/>
      </w:r>
    </w:p>
    <w:p w:rsidR="009768C8" w:rsidRDefault="009768C8" w:rsidP="009768C8">
      <w:pPr>
        <w:shd w:val="clear" w:color="auto" w:fill="FFFFFF"/>
        <w:spacing w:after="285" w:line="480" w:lineRule="auto"/>
        <w:contextualSpacing/>
        <w:jc w:val="both"/>
        <w:rPr>
          <w:rFonts w:ascii="Arial" w:hAnsi="Arial" w:cs="Arial"/>
          <w:sz w:val="24"/>
          <w:szCs w:val="24"/>
        </w:rPr>
      </w:pPr>
    </w:p>
    <w:p w:rsidR="00C24139" w:rsidRDefault="00795BF1" w:rsidP="00C24139">
      <w:pPr>
        <w:numPr>
          <w:ilvl w:val="0"/>
          <w:numId w:val="3"/>
        </w:numPr>
        <w:shd w:val="clear" w:color="auto" w:fill="FFFFFF"/>
        <w:spacing w:after="285" w:line="480" w:lineRule="auto"/>
        <w:contextualSpacing/>
        <w:jc w:val="both"/>
        <w:rPr>
          <w:rFonts w:ascii="Arial" w:hAnsi="Arial" w:cs="Arial"/>
          <w:sz w:val="24"/>
          <w:szCs w:val="24"/>
        </w:rPr>
      </w:pPr>
      <w:r w:rsidRPr="0026745D">
        <w:rPr>
          <w:rFonts w:ascii="Arial" w:hAnsi="Arial" w:cs="Arial"/>
          <w:sz w:val="24"/>
          <w:szCs w:val="24"/>
        </w:rPr>
        <w:t xml:space="preserve">The question to be answered is whether this is a triable issue to be ventilated in the trial. It is my view that this consideration ties in with whether the Particulars of Claim is </w:t>
      </w:r>
      <w:proofErr w:type="spellStart"/>
      <w:r w:rsidRPr="0026745D">
        <w:rPr>
          <w:rFonts w:ascii="Arial" w:hAnsi="Arial" w:cs="Arial"/>
          <w:sz w:val="24"/>
          <w:szCs w:val="24"/>
        </w:rPr>
        <w:t>excipiable</w:t>
      </w:r>
      <w:proofErr w:type="spellEnd"/>
      <w:r w:rsidRPr="0026745D">
        <w:rPr>
          <w:rFonts w:ascii="Arial" w:hAnsi="Arial" w:cs="Arial"/>
          <w:sz w:val="24"/>
          <w:szCs w:val="24"/>
        </w:rPr>
        <w:t xml:space="preserve"> on the basis that the Plaintiff failed to plead a cause of action for unjustified enrichment.  Regard is also to be had </w:t>
      </w:r>
      <w:r w:rsidR="000D6521">
        <w:rPr>
          <w:rFonts w:ascii="Arial" w:hAnsi="Arial" w:cs="Arial"/>
          <w:sz w:val="24"/>
          <w:szCs w:val="24"/>
        </w:rPr>
        <w:t xml:space="preserve">as </w:t>
      </w:r>
      <w:r w:rsidRPr="0026745D">
        <w:rPr>
          <w:rFonts w:ascii="Arial" w:hAnsi="Arial" w:cs="Arial"/>
          <w:sz w:val="24"/>
          <w:szCs w:val="24"/>
        </w:rPr>
        <w:t>to whether the Particulars of Claim lacks the necessary averments to sustain a cause of action. In this regard, it was illuminated by the Applicants that the Respondent attempted to cure the deficiencies in its papers, by annexing excerpts from the MOI, to its Answering Affidavit, which did not form pa</w:t>
      </w:r>
      <w:r w:rsidR="0026745D" w:rsidRPr="0026745D">
        <w:rPr>
          <w:rFonts w:ascii="Arial" w:hAnsi="Arial" w:cs="Arial"/>
          <w:sz w:val="24"/>
          <w:szCs w:val="24"/>
        </w:rPr>
        <w:t xml:space="preserve">rt of the Particulars of Claim. Furthermore, the Applicants have indicated that they have a genuine and </w:t>
      </w:r>
      <w:r w:rsidR="0026745D" w:rsidRPr="000D6521">
        <w:rPr>
          <w:rFonts w:ascii="Arial" w:hAnsi="Arial" w:cs="Arial"/>
          <w:i/>
          <w:sz w:val="24"/>
          <w:szCs w:val="24"/>
        </w:rPr>
        <w:t>bona fide</w:t>
      </w:r>
      <w:r w:rsidR="0026745D" w:rsidRPr="0026745D">
        <w:rPr>
          <w:rFonts w:ascii="Arial" w:hAnsi="Arial" w:cs="Arial"/>
          <w:sz w:val="24"/>
          <w:szCs w:val="24"/>
        </w:rPr>
        <w:t xml:space="preserve"> dispute pertaining to the Trust’s liability and whether or not it is in fact bound by the unsigned MOI and lack of resolution</w:t>
      </w:r>
      <w:r w:rsidR="00C24139">
        <w:rPr>
          <w:rFonts w:ascii="Arial" w:hAnsi="Arial" w:cs="Arial"/>
          <w:sz w:val="24"/>
          <w:szCs w:val="24"/>
        </w:rPr>
        <w:t>.</w:t>
      </w:r>
      <w:r w:rsidR="00C24139" w:rsidRPr="00C24139">
        <w:rPr>
          <w:rFonts w:ascii="Arial" w:hAnsi="Arial" w:cs="Arial"/>
          <w:sz w:val="24"/>
          <w:szCs w:val="24"/>
        </w:rPr>
        <w:t xml:space="preserve"> </w:t>
      </w:r>
      <w:r w:rsidR="00C24139">
        <w:rPr>
          <w:rFonts w:ascii="Arial" w:hAnsi="Arial" w:cs="Arial"/>
          <w:sz w:val="24"/>
          <w:szCs w:val="24"/>
        </w:rPr>
        <w:t>I make no findings on the merits and these points of contention</w:t>
      </w:r>
      <w:r w:rsidR="000D6521">
        <w:rPr>
          <w:rFonts w:ascii="Arial" w:hAnsi="Arial" w:cs="Arial"/>
          <w:sz w:val="24"/>
          <w:szCs w:val="24"/>
        </w:rPr>
        <w:t xml:space="preserve"> which have essentially been </w:t>
      </w:r>
      <w:r w:rsidR="00C24139">
        <w:rPr>
          <w:rFonts w:ascii="Arial" w:hAnsi="Arial" w:cs="Arial"/>
          <w:sz w:val="24"/>
          <w:szCs w:val="24"/>
        </w:rPr>
        <w:t>highlighted to provide a perspective of the challenges that wou</w:t>
      </w:r>
      <w:r w:rsidR="000D6521">
        <w:rPr>
          <w:rFonts w:ascii="Arial" w:hAnsi="Arial" w:cs="Arial"/>
          <w:sz w:val="24"/>
          <w:szCs w:val="24"/>
        </w:rPr>
        <w:t>ld require possible ventilation at the trial.</w:t>
      </w:r>
    </w:p>
    <w:p w:rsidR="0026745D" w:rsidRPr="0026745D" w:rsidRDefault="0026745D" w:rsidP="00C24139">
      <w:pPr>
        <w:shd w:val="clear" w:color="auto" w:fill="FFFFFF"/>
        <w:spacing w:after="285" w:line="480" w:lineRule="auto"/>
        <w:contextualSpacing/>
        <w:jc w:val="both"/>
        <w:rPr>
          <w:rFonts w:ascii="Arial" w:hAnsi="Arial" w:cs="Arial"/>
          <w:sz w:val="24"/>
          <w:szCs w:val="24"/>
        </w:rPr>
      </w:pPr>
    </w:p>
    <w:p w:rsidR="00220469" w:rsidRPr="00C24139" w:rsidRDefault="0026745D" w:rsidP="00220469">
      <w:pPr>
        <w:numPr>
          <w:ilvl w:val="0"/>
          <w:numId w:val="3"/>
        </w:numPr>
        <w:shd w:val="clear" w:color="auto" w:fill="FFFFFF"/>
        <w:spacing w:after="285" w:line="480" w:lineRule="auto"/>
        <w:contextualSpacing/>
        <w:jc w:val="both"/>
        <w:rPr>
          <w:rFonts w:ascii="Arial" w:hAnsi="Arial" w:cs="Arial"/>
          <w:sz w:val="24"/>
          <w:szCs w:val="24"/>
        </w:rPr>
      </w:pPr>
      <w:r>
        <w:rPr>
          <w:rFonts w:ascii="Arial" w:hAnsi="Arial" w:cs="Arial"/>
          <w:sz w:val="24"/>
          <w:szCs w:val="24"/>
        </w:rPr>
        <w:t>Of seminal importance</w:t>
      </w:r>
      <w:r w:rsidR="00C24139">
        <w:rPr>
          <w:rFonts w:ascii="Arial" w:hAnsi="Arial" w:cs="Arial"/>
          <w:sz w:val="24"/>
          <w:szCs w:val="24"/>
        </w:rPr>
        <w:t xml:space="preserve"> however, </w:t>
      </w:r>
      <w:r>
        <w:rPr>
          <w:rFonts w:ascii="Arial" w:hAnsi="Arial" w:cs="Arial"/>
          <w:sz w:val="24"/>
          <w:szCs w:val="24"/>
        </w:rPr>
        <w:t xml:space="preserve">is </w:t>
      </w:r>
      <w:r w:rsidR="00C24139">
        <w:rPr>
          <w:rFonts w:ascii="Arial" w:hAnsi="Arial" w:cs="Arial"/>
          <w:sz w:val="24"/>
          <w:szCs w:val="24"/>
        </w:rPr>
        <w:t>that there appears to be</w:t>
      </w:r>
      <w:r>
        <w:rPr>
          <w:rFonts w:ascii="Arial" w:hAnsi="Arial" w:cs="Arial"/>
          <w:sz w:val="24"/>
          <w:szCs w:val="24"/>
        </w:rPr>
        <w:t xml:space="preserve"> a dispute of fact on the amount claimed. In this regard, the Respondent pleaded in the Answering Affidavit that ‘</w:t>
      </w:r>
      <w:r>
        <w:rPr>
          <w:rFonts w:ascii="Arial" w:hAnsi="Arial" w:cs="Arial"/>
          <w:i/>
          <w:sz w:val="24"/>
          <w:szCs w:val="24"/>
        </w:rPr>
        <w:t xml:space="preserve">a dispute arose between the Trust and the Respondent regarding the </w:t>
      </w:r>
      <w:r>
        <w:rPr>
          <w:rFonts w:ascii="Arial" w:hAnsi="Arial" w:cs="Arial"/>
          <w:i/>
          <w:sz w:val="24"/>
          <w:szCs w:val="24"/>
        </w:rPr>
        <w:lastRenderedPageBreak/>
        <w:t>charging of levies on additional bulk.’</w:t>
      </w:r>
      <w:r>
        <w:rPr>
          <w:rStyle w:val="FootnoteReference"/>
          <w:rFonts w:ascii="Arial" w:hAnsi="Arial" w:cs="Arial"/>
          <w:i/>
          <w:sz w:val="24"/>
          <w:szCs w:val="24"/>
        </w:rPr>
        <w:footnoteReference w:id="21"/>
      </w:r>
      <w:r w:rsidR="000D6521">
        <w:rPr>
          <w:rFonts w:ascii="Arial" w:hAnsi="Arial" w:cs="Arial"/>
          <w:sz w:val="24"/>
          <w:szCs w:val="24"/>
        </w:rPr>
        <w:t xml:space="preserve"> The Applicant</w:t>
      </w:r>
      <w:r w:rsidR="00220469">
        <w:rPr>
          <w:rFonts w:ascii="Arial" w:hAnsi="Arial" w:cs="Arial"/>
          <w:sz w:val="24"/>
          <w:szCs w:val="24"/>
        </w:rPr>
        <w:t xml:space="preserve">s on behalf of the Trust deny the amounts owing. </w:t>
      </w:r>
      <w:r w:rsidR="00220469" w:rsidRPr="00C24139">
        <w:rPr>
          <w:rFonts w:ascii="Arial" w:hAnsi="Arial" w:cs="Arial"/>
          <w:sz w:val="24"/>
          <w:szCs w:val="24"/>
        </w:rPr>
        <w:t>It was argued that the amounts claimed differ if regard is to be had to the Customer Transactions Report</w:t>
      </w:r>
      <w:r w:rsidR="00C24139">
        <w:rPr>
          <w:rFonts w:ascii="Arial" w:hAnsi="Arial" w:cs="Arial"/>
          <w:sz w:val="24"/>
          <w:szCs w:val="24"/>
        </w:rPr>
        <w:t xml:space="preserve"> and the concerns raised in respect of the Chairman’s Report.</w:t>
      </w:r>
      <w:r w:rsidR="00220469">
        <w:rPr>
          <w:rStyle w:val="FootnoteReference"/>
          <w:rFonts w:ascii="Arial" w:hAnsi="Arial" w:cs="Arial"/>
          <w:sz w:val="24"/>
          <w:szCs w:val="24"/>
        </w:rPr>
        <w:footnoteReference w:id="22"/>
      </w:r>
      <w:r w:rsidR="00C24139">
        <w:rPr>
          <w:rFonts w:ascii="Arial" w:hAnsi="Arial" w:cs="Arial"/>
          <w:sz w:val="24"/>
          <w:szCs w:val="24"/>
        </w:rPr>
        <w:t xml:space="preserve"> </w:t>
      </w:r>
    </w:p>
    <w:p w:rsidR="000D6521" w:rsidRDefault="000D6521" w:rsidP="00C24139">
      <w:pPr>
        <w:spacing w:after="0" w:line="480" w:lineRule="auto"/>
        <w:contextualSpacing/>
        <w:jc w:val="both"/>
        <w:rPr>
          <w:rFonts w:ascii="Arial" w:hAnsi="Arial" w:cs="Arial"/>
          <w:b/>
          <w:sz w:val="24"/>
          <w:szCs w:val="24"/>
          <w:lang w:val="en-ZA"/>
        </w:rPr>
      </w:pPr>
    </w:p>
    <w:p w:rsidR="00C24139" w:rsidRPr="00C165DF" w:rsidRDefault="00C24139" w:rsidP="00C24139">
      <w:pPr>
        <w:spacing w:after="0" w:line="480" w:lineRule="auto"/>
        <w:contextualSpacing/>
        <w:jc w:val="both"/>
        <w:rPr>
          <w:rFonts w:ascii="Arial" w:hAnsi="Arial" w:cs="Arial"/>
          <w:b/>
          <w:sz w:val="24"/>
          <w:szCs w:val="24"/>
          <w:lang w:val="en-ZA"/>
        </w:rPr>
      </w:pPr>
      <w:r w:rsidRPr="00C165DF">
        <w:rPr>
          <w:rFonts w:ascii="Arial" w:hAnsi="Arial" w:cs="Arial"/>
          <w:b/>
          <w:sz w:val="24"/>
          <w:szCs w:val="24"/>
          <w:lang w:val="en-ZA"/>
        </w:rPr>
        <w:t>Conclusion</w:t>
      </w:r>
    </w:p>
    <w:p w:rsidR="00C24139" w:rsidRPr="00C165DF" w:rsidRDefault="00C24139" w:rsidP="00C24139">
      <w:pPr>
        <w:numPr>
          <w:ilvl w:val="0"/>
          <w:numId w:val="1"/>
        </w:numPr>
        <w:spacing w:line="480" w:lineRule="auto"/>
        <w:contextualSpacing/>
        <w:rPr>
          <w:rFonts w:ascii="Arial" w:hAnsi="Arial" w:cs="Arial"/>
          <w:sz w:val="24"/>
          <w:szCs w:val="24"/>
        </w:rPr>
      </w:pPr>
      <w:r>
        <w:rPr>
          <w:rFonts w:ascii="Arial" w:hAnsi="Arial" w:cs="Arial"/>
          <w:sz w:val="24"/>
          <w:szCs w:val="24"/>
        </w:rPr>
        <w:t xml:space="preserve">The court is </w:t>
      </w:r>
      <w:r w:rsidR="00B0675C">
        <w:rPr>
          <w:rFonts w:ascii="Arial" w:hAnsi="Arial" w:cs="Arial"/>
          <w:sz w:val="24"/>
          <w:szCs w:val="24"/>
        </w:rPr>
        <w:t xml:space="preserve">mindful that in </w:t>
      </w:r>
      <w:r w:rsidRPr="00C165DF">
        <w:rPr>
          <w:rFonts w:ascii="Arial" w:hAnsi="Arial" w:cs="Arial"/>
          <w:sz w:val="24"/>
          <w:szCs w:val="24"/>
        </w:rPr>
        <w:t xml:space="preserve">applications for rescission, the Applicant is required in terms of the rule to set out a </w:t>
      </w:r>
      <w:proofErr w:type="spellStart"/>
      <w:r w:rsidRPr="00C165DF">
        <w:rPr>
          <w:rFonts w:ascii="Arial" w:hAnsi="Arial" w:cs="Arial"/>
          <w:sz w:val="24"/>
          <w:szCs w:val="24"/>
        </w:rPr>
        <w:t>defence</w:t>
      </w:r>
      <w:proofErr w:type="spellEnd"/>
      <w:r w:rsidRPr="00C165DF">
        <w:rPr>
          <w:rFonts w:ascii="Arial" w:hAnsi="Arial" w:cs="Arial"/>
          <w:sz w:val="24"/>
          <w:szCs w:val="24"/>
        </w:rPr>
        <w:t xml:space="preserve"> with sufficient particularity so as to enable the court to decide whether or not there is a valid and </w:t>
      </w:r>
      <w:r w:rsidRPr="00C165DF">
        <w:rPr>
          <w:rFonts w:ascii="Arial" w:hAnsi="Arial" w:cs="Arial"/>
          <w:i/>
          <w:sz w:val="24"/>
          <w:szCs w:val="24"/>
        </w:rPr>
        <w:t>bona fide</w:t>
      </w:r>
      <w:r w:rsidRPr="00C165DF">
        <w:rPr>
          <w:rFonts w:ascii="Arial" w:hAnsi="Arial" w:cs="Arial"/>
          <w:sz w:val="24"/>
          <w:szCs w:val="24"/>
        </w:rPr>
        <w:t xml:space="preserve"> </w:t>
      </w:r>
      <w:proofErr w:type="spellStart"/>
      <w:r w:rsidRPr="00C165DF">
        <w:rPr>
          <w:rFonts w:ascii="Arial" w:hAnsi="Arial" w:cs="Arial"/>
          <w:sz w:val="24"/>
          <w:szCs w:val="24"/>
        </w:rPr>
        <w:t>defence</w:t>
      </w:r>
      <w:proofErr w:type="spellEnd"/>
      <w:r w:rsidRPr="00C165DF">
        <w:rPr>
          <w:rFonts w:ascii="Arial" w:hAnsi="Arial" w:cs="Arial"/>
          <w:sz w:val="24"/>
          <w:szCs w:val="24"/>
        </w:rPr>
        <w:t>. It is for this reason that I have considered the application holistically and not in a vacuum.</w:t>
      </w:r>
    </w:p>
    <w:p w:rsidR="00C24139" w:rsidRPr="00C165DF" w:rsidRDefault="00C24139" w:rsidP="00C24139">
      <w:pPr>
        <w:spacing w:line="480" w:lineRule="auto"/>
        <w:contextualSpacing/>
        <w:jc w:val="both"/>
      </w:pPr>
    </w:p>
    <w:p w:rsidR="00C24139" w:rsidRPr="00C165DF" w:rsidRDefault="00C24139" w:rsidP="00C24139">
      <w:pPr>
        <w:numPr>
          <w:ilvl w:val="0"/>
          <w:numId w:val="3"/>
        </w:numPr>
        <w:spacing w:line="480" w:lineRule="auto"/>
        <w:contextualSpacing/>
        <w:jc w:val="both"/>
      </w:pPr>
      <w:r w:rsidRPr="00C165DF">
        <w:rPr>
          <w:rFonts w:ascii="Arial" w:hAnsi="Arial" w:cs="Arial"/>
          <w:sz w:val="24"/>
          <w:szCs w:val="24"/>
        </w:rPr>
        <w:t xml:space="preserve">On a conspectus of the evidence before me, and without pronouncing on any of the issues, </w:t>
      </w:r>
      <w:r>
        <w:rPr>
          <w:rFonts w:ascii="Arial" w:hAnsi="Arial" w:cs="Arial"/>
          <w:sz w:val="24"/>
          <w:szCs w:val="24"/>
        </w:rPr>
        <w:t xml:space="preserve">whether factual and/ or legal, </w:t>
      </w:r>
      <w:r w:rsidRPr="00C165DF">
        <w:rPr>
          <w:rFonts w:ascii="Arial" w:hAnsi="Arial" w:cs="Arial"/>
          <w:sz w:val="24"/>
          <w:szCs w:val="24"/>
        </w:rPr>
        <w:t>ought to be, in my view, ventilated at the tr</w:t>
      </w:r>
      <w:r>
        <w:rPr>
          <w:rFonts w:ascii="Arial" w:hAnsi="Arial" w:cs="Arial"/>
          <w:sz w:val="24"/>
          <w:szCs w:val="24"/>
        </w:rPr>
        <w:t xml:space="preserve">ial, I am persuaded that </w:t>
      </w:r>
      <w:r w:rsidRPr="00C165DF">
        <w:rPr>
          <w:rFonts w:ascii="Arial" w:hAnsi="Arial" w:cs="Arial"/>
          <w:sz w:val="24"/>
          <w:szCs w:val="24"/>
        </w:rPr>
        <w:t>Applicant</w:t>
      </w:r>
      <w:r>
        <w:rPr>
          <w:rFonts w:ascii="Arial" w:hAnsi="Arial" w:cs="Arial"/>
          <w:sz w:val="24"/>
          <w:szCs w:val="24"/>
        </w:rPr>
        <w:t>s have</w:t>
      </w:r>
      <w:r w:rsidRPr="00C165DF">
        <w:rPr>
          <w:rFonts w:ascii="Arial" w:hAnsi="Arial" w:cs="Arial"/>
          <w:sz w:val="24"/>
          <w:szCs w:val="24"/>
        </w:rPr>
        <w:t xml:space="preserve"> met the</w:t>
      </w:r>
      <w:r w:rsidR="000D6521">
        <w:rPr>
          <w:rFonts w:ascii="Arial" w:hAnsi="Arial" w:cs="Arial"/>
          <w:sz w:val="24"/>
          <w:szCs w:val="24"/>
        </w:rPr>
        <w:t xml:space="preserve"> threshold</w:t>
      </w:r>
      <w:r w:rsidRPr="00C165DF">
        <w:rPr>
          <w:rFonts w:ascii="Arial" w:hAnsi="Arial" w:cs="Arial"/>
          <w:sz w:val="24"/>
          <w:szCs w:val="24"/>
        </w:rPr>
        <w:t xml:space="preserve"> requirements and placed a set of facts before me that if true, may constitute a </w:t>
      </w:r>
      <w:r w:rsidRPr="00C165DF">
        <w:rPr>
          <w:rFonts w:ascii="Arial" w:hAnsi="Arial" w:cs="Arial"/>
          <w:noProof/>
          <w:sz w:val="24"/>
          <w:szCs w:val="24"/>
        </w:rPr>
        <w:t>defence</w:t>
      </w:r>
      <w:r w:rsidR="00411C4F">
        <w:rPr>
          <w:rFonts w:ascii="Arial" w:hAnsi="Arial" w:cs="Arial"/>
          <w:noProof/>
          <w:sz w:val="24"/>
          <w:szCs w:val="24"/>
        </w:rPr>
        <w:t xml:space="preserve"> insofar as it disputes the amount claimed by the Respondent</w:t>
      </w:r>
      <w:r w:rsidRPr="00C165DF">
        <w:rPr>
          <w:rFonts w:ascii="Arial" w:hAnsi="Arial" w:cs="Arial"/>
          <w:sz w:val="24"/>
          <w:szCs w:val="24"/>
        </w:rPr>
        <w:t xml:space="preserve">. It is trite that the existence of a substantial </w:t>
      </w:r>
      <w:r w:rsidRPr="00C165DF">
        <w:rPr>
          <w:rFonts w:ascii="Arial" w:hAnsi="Arial" w:cs="Arial"/>
          <w:noProof/>
          <w:sz w:val="24"/>
          <w:szCs w:val="24"/>
        </w:rPr>
        <w:t>defence</w:t>
      </w:r>
      <w:r w:rsidRPr="00C165DF">
        <w:rPr>
          <w:rFonts w:ascii="Arial" w:hAnsi="Arial" w:cs="Arial"/>
          <w:sz w:val="24"/>
          <w:szCs w:val="24"/>
        </w:rPr>
        <w:t xml:space="preserve"> does not mean that Applicant must show a probability of success, it is sufficient for Applicant to show a </w:t>
      </w:r>
      <w:r w:rsidRPr="00C165DF">
        <w:rPr>
          <w:rFonts w:ascii="Arial" w:hAnsi="Arial" w:cs="Arial"/>
          <w:i/>
          <w:sz w:val="24"/>
          <w:szCs w:val="24"/>
        </w:rPr>
        <w:t>prima facie</w:t>
      </w:r>
      <w:r w:rsidRPr="00C165DF">
        <w:rPr>
          <w:rFonts w:ascii="Arial" w:hAnsi="Arial" w:cs="Arial"/>
          <w:sz w:val="24"/>
          <w:szCs w:val="24"/>
        </w:rPr>
        <w:t xml:space="preserve"> case or the existence of an issue that is fit for trial. Consequently, I am of the view that the Applicants should be allowed to defend the action and have these </w:t>
      </w:r>
      <w:r w:rsidRPr="00C165DF">
        <w:rPr>
          <w:rFonts w:ascii="Arial" w:hAnsi="Arial" w:cs="Arial"/>
          <w:noProof/>
          <w:sz w:val="24"/>
          <w:szCs w:val="24"/>
        </w:rPr>
        <w:t>defences</w:t>
      </w:r>
      <w:r w:rsidRPr="00C165DF">
        <w:rPr>
          <w:rFonts w:ascii="Arial" w:hAnsi="Arial" w:cs="Arial"/>
          <w:sz w:val="24"/>
          <w:szCs w:val="24"/>
        </w:rPr>
        <w:t xml:space="preserve"> ventilated in the trial. </w:t>
      </w:r>
    </w:p>
    <w:p w:rsidR="00C24139" w:rsidRPr="00C165DF" w:rsidRDefault="00C24139" w:rsidP="00C24139">
      <w:pPr>
        <w:spacing w:after="0" w:line="480" w:lineRule="auto"/>
        <w:contextualSpacing/>
        <w:jc w:val="both"/>
        <w:rPr>
          <w:rFonts w:ascii="Arial" w:hAnsi="Arial" w:cs="Arial"/>
          <w:b/>
          <w:sz w:val="24"/>
          <w:szCs w:val="24"/>
          <w:lang w:val="en-ZA"/>
        </w:rPr>
      </w:pPr>
    </w:p>
    <w:p w:rsidR="00C24139" w:rsidRPr="00C165DF" w:rsidRDefault="00C24139" w:rsidP="00C24139">
      <w:pPr>
        <w:widowControl w:val="0"/>
        <w:numPr>
          <w:ilvl w:val="0"/>
          <w:numId w:val="1"/>
        </w:numPr>
        <w:spacing w:line="480" w:lineRule="auto"/>
        <w:contextualSpacing/>
        <w:jc w:val="both"/>
      </w:pPr>
      <w:r w:rsidRPr="00C165DF">
        <w:rPr>
          <w:rFonts w:ascii="Arial" w:hAnsi="Arial" w:cs="Arial"/>
          <w:sz w:val="24"/>
          <w:szCs w:val="24"/>
        </w:rPr>
        <w:t>As earlier stated,</w:t>
      </w:r>
      <w:r w:rsidR="00411C4F">
        <w:rPr>
          <w:rFonts w:ascii="Arial" w:hAnsi="Arial" w:cs="Arial"/>
          <w:sz w:val="24"/>
          <w:szCs w:val="24"/>
        </w:rPr>
        <w:t xml:space="preserve"> I am satisfied that the </w:t>
      </w:r>
      <w:r w:rsidRPr="00C165DF">
        <w:rPr>
          <w:rFonts w:ascii="Arial" w:hAnsi="Arial" w:cs="Arial"/>
          <w:sz w:val="24"/>
          <w:szCs w:val="24"/>
        </w:rPr>
        <w:t>Applicant</w:t>
      </w:r>
      <w:r w:rsidR="00411C4F">
        <w:rPr>
          <w:rFonts w:ascii="Arial" w:hAnsi="Arial" w:cs="Arial"/>
          <w:sz w:val="24"/>
          <w:szCs w:val="24"/>
        </w:rPr>
        <w:t>s have</w:t>
      </w:r>
      <w:r w:rsidRPr="00C165DF">
        <w:rPr>
          <w:rFonts w:ascii="Arial" w:hAnsi="Arial" w:cs="Arial"/>
          <w:sz w:val="24"/>
          <w:szCs w:val="24"/>
        </w:rPr>
        <w:t xml:space="preserve"> given a reasonable and acceptable explanation </w:t>
      </w:r>
      <w:r w:rsidR="00411C4F">
        <w:rPr>
          <w:rFonts w:ascii="Arial" w:hAnsi="Arial" w:cs="Arial"/>
          <w:sz w:val="24"/>
          <w:szCs w:val="24"/>
        </w:rPr>
        <w:t xml:space="preserve">for </w:t>
      </w:r>
      <w:r w:rsidRPr="00C165DF">
        <w:rPr>
          <w:rFonts w:ascii="Arial" w:hAnsi="Arial" w:cs="Arial"/>
          <w:sz w:val="24"/>
          <w:szCs w:val="24"/>
        </w:rPr>
        <w:t xml:space="preserve">the default. In the circumstances, I find that </w:t>
      </w:r>
      <w:r w:rsidRPr="00C165DF">
        <w:rPr>
          <w:rFonts w:ascii="Arial" w:hAnsi="Arial" w:cs="Arial"/>
          <w:sz w:val="24"/>
          <w:szCs w:val="24"/>
        </w:rPr>
        <w:lastRenderedPageBreak/>
        <w:t>the Applicant</w:t>
      </w:r>
      <w:r w:rsidR="00411C4F">
        <w:rPr>
          <w:rFonts w:ascii="Arial" w:hAnsi="Arial" w:cs="Arial"/>
          <w:sz w:val="24"/>
          <w:szCs w:val="24"/>
        </w:rPr>
        <w:t xml:space="preserve">s are </w:t>
      </w:r>
      <w:r w:rsidRPr="00C165DF">
        <w:rPr>
          <w:rFonts w:ascii="Arial" w:hAnsi="Arial" w:cs="Arial"/>
          <w:sz w:val="24"/>
          <w:szCs w:val="24"/>
        </w:rPr>
        <w:t>not in willful default of delivery of a notice of intention to defend the action brought against them by the Respondent.</w:t>
      </w:r>
    </w:p>
    <w:p w:rsidR="00C24139" w:rsidRPr="00C165DF" w:rsidRDefault="00C24139" w:rsidP="00C24139">
      <w:pPr>
        <w:widowControl w:val="0"/>
        <w:spacing w:line="480" w:lineRule="auto"/>
        <w:contextualSpacing/>
        <w:jc w:val="both"/>
      </w:pPr>
    </w:p>
    <w:p w:rsidR="00C24139" w:rsidRPr="00C165DF" w:rsidRDefault="00C24139" w:rsidP="00C24139">
      <w:pPr>
        <w:numPr>
          <w:ilvl w:val="0"/>
          <w:numId w:val="1"/>
        </w:numPr>
        <w:spacing w:line="480" w:lineRule="auto"/>
        <w:contextualSpacing/>
        <w:jc w:val="both"/>
      </w:pPr>
      <w:r w:rsidRPr="00C165DF">
        <w:rPr>
          <w:rFonts w:ascii="Arial" w:hAnsi="Arial" w:cs="Arial"/>
          <w:sz w:val="24"/>
          <w:szCs w:val="24"/>
        </w:rPr>
        <w:t xml:space="preserve"> I am furthermore satisfied that </w:t>
      </w:r>
      <w:r w:rsidRPr="00C165DF">
        <w:rPr>
          <w:rFonts w:ascii="Arial" w:hAnsi="Arial" w:cs="Arial"/>
          <w:noProof/>
          <w:sz w:val="24"/>
          <w:szCs w:val="24"/>
        </w:rPr>
        <w:t xml:space="preserve">the </w:t>
      </w:r>
      <w:r w:rsidRPr="00C165DF">
        <w:rPr>
          <w:rFonts w:ascii="Arial" w:hAnsi="Arial" w:cs="Arial"/>
          <w:sz w:val="24"/>
          <w:szCs w:val="24"/>
        </w:rPr>
        <w:t>Applicant</w:t>
      </w:r>
      <w:r w:rsidR="00411C4F">
        <w:rPr>
          <w:rFonts w:ascii="Arial" w:hAnsi="Arial" w:cs="Arial"/>
          <w:sz w:val="24"/>
          <w:szCs w:val="24"/>
        </w:rPr>
        <w:t>s have</w:t>
      </w:r>
      <w:r w:rsidRPr="00C165DF">
        <w:rPr>
          <w:rFonts w:ascii="Arial" w:hAnsi="Arial" w:cs="Arial"/>
          <w:sz w:val="24"/>
          <w:szCs w:val="24"/>
        </w:rPr>
        <w:t xml:space="preserve"> launched this application in good faith and that on the merits the Applicant have a </w:t>
      </w:r>
      <w:r w:rsidRPr="00C165DF">
        <w:rPr>
          <w:rFonts w:ascii="Arial" w:hAnsi="Arial" w:cs="Arial"/>
          <w:i/>
          <w:sz w:val="24"/>
          <w:szCs w:val="24"/>
        </w:rPr>
        <w:t>bona fide</w:t>
      </w:r>
      <w:r w:rsidRPr="00C165DF">
        <w:rPr>
          <w:rFonts w:ascii="Arial" w:hAnsi="Arial" w:cs="Arial"/>
          <w:sz w:val="24"/>
          <w:szCs w:val="24"/>
        </w:rPr>
        <w:t xml:space="preserve"> </w:t>
      </w:r>
      <w:r w:rsidRPr="00C165DF">
        <w:rPr>
          <w:rFonts w:ascii="Arial" w:hAnsi="Arial" w:cs="Arial"/>
          <w:noProof/>
          <w:sz w:val="24"/>
          <w:szCs w:val="24"/>
        </w:rPr>
        <w:t>defence</w:t>
      </w:r>
      <w:r w:rsidRPr="00C165DF">
        <w:rPr>
          <w:rFonts w:ascii="Arial" w:hAnsi="Arial" w:cs="Arial"/>
          <w:sz w:val="24"/>
          <w:szCs w:val="24"/>
        </w:rPr>
        <w:t xml:space="preserve"> which </w:t>
      </w:r>
      <w:r w:rsidRPr="00C165DF">
        <w:rPr>
          <w:rFonts w:ascii="Arial" w:hAnsi="Arial" w:cs="Arial"/>
          <w:i/>
          <w:sz w:val="24"/>
          <w:szCs w:val="24"/>
        </w:rPr>
        <w:t>prima facie</w:t>
      </w:r>
      <w:r w:rsidRPr="00C165DF">
        <w:rPr>
          <w:rFonts w:ascii="Arial" w:hAnsi="Arial" w:cs="Arial"/>
          <w:sz w:val="24"/>
          <w:szCs w:val="24"/>
        </w:rPr>
        <w:t xml:space="preserve"> carries some prospect of success. In the circumstance, I am satisfied that the Applicant demonstrated the necessary </w:t>
      </w:r>
      <w:r w:rsidRPr="00C165DF">
        <w:rPr>
          <w:rFonts w:ascii="Arial" w:hAnsi="Arial" w:cs="Arial"/>
          <w:i/>
          <w:sz w:val="24"/>
          <w:szCs w:val="24"/>
        </w:rPr>
        <w:t>bona fides</w:t>
      </w:r>
      <w:r w:rsidRPr="00C165DF">
        <w:rPr>
          <w:rFonts w:ascii="Arial" w:hAnsi="Arial" w:cs="Arial"/>
          <w:sz w:val="24"/>
          <w:szCs w:val="24"/>
        </w:rPr>
        <w:t xml:space="preserve">; have set out the grounds of its </w:t>
      </w:r>
      <w:proofErr w:type="spellStart"/>
      <w:r w:rsidRPr="00C165DF">
        <w:rPr>
          <w:rFonts w:ascii="Arial" w:hAnsi="Arial" w:cs="Arial"/>
          <w:sz w:val="24"/>
          <w:szCs w:val="24"/>
        </w:rPr>
        <w:t>defence</w:t>
      </w:r>
      <w:proofErr w:type="spellEnd"/>
      <w:r w:rsidRPr="00C165DF">
        <w:rPr>
          <w:rFonts w:ascii="Arial" w:hAnsi="Arial" w:cs="Arial"/>
          <w:sz w:val="24"/>
          <w:szCs w:val="24"/>
        </w:rPr>
        <w:t xml:space="preserve"> with sufficient details so as to enable the court to conclude that </w:t>
      </w:r>
      <w:r w:rsidRPr="00C165DF">
        <w:rPr>
          <w:rFonts w:ascii="Arial" w:hAnsi="Arial" w:cs="Arial"/>
          <w:noProof/>
          <w:sz w:val="24"/>
          <w:szCs w:val="24"/>
        </w:rPr>
        <w:t>it</w:t>
      </w:r>
      <w:r w:rsidRPr="00C165DF">
        <w:rPr>
          <w:rFonts w:ascii="Arial" w:hAnsi="Arial" w:cs="Arial"/>
          <w:sz w:val="24"/>
          <w:szCs w:val="24"/>
        </w:rPr>
        <w:t xml:space="preserve"> does have a </w:t>
      </w:r>
      <w:r w:rsidRPr="00C165DF">
        <w:rPr>
          <w:rFonts w:ascii="Arial" w:hAnsi="Arial" w:cs="Arial"/>
          <w:i/>
          <w:sz w:val="24"/>
          <w:szCs w:val="24"/>
        </w:rPr>
        <w:t>bona fide</w:t>
      </w:r>
      <w:r w:rsidRPr="00C165DF">
        <w:rPr>
          <w:rFonts w:ascii="Arial" w:hAnsi="Arial" w:cs="Arial"/>
          <w:sz w:val="24"/>
          <w:szCs w:val="24"/>
        </w:rPr>
        <w:t xml:space="preserve"> </w:t>
      </w:r>
      <w:proofErr w:type="spellStart"/>
      <w:r w:rsidRPr="00C165DF">
        <w:rPr>
          <w:rFonts w:ascii="Arial" w:hAnsi="Arial" w:cs="Arial"/>
          <w:sz w:val="24"/>
          <w:szCs w:val="24"/>
        </w:rPr>
        <w:t>defence</w:t>
      </w:r>
      <w:proofErr w:type="spellEnd"/>
      <w:r w:rsidRPr="00C165DF">
        <w:rPr>
          <w:rFonts w:ascii="Arial" w:hAnsi="Arial" w:cs="Arial"/>
          <w:sz w:val="24"/>
          <w:szCs w:val="24"/>
        </w:rPr>
        <w:t xml:space="preserve"> to the Respondent’s claim and that Applicant has succeeded to show good cause for the rescission of the judgment.</w:t>
      </w:r>
    </w:p>
    <w:p w:rsidR="004D2371" w:rsidRPr="00411C4F" w:rsidRDefault="004D2371" w:rsidP="00411C4F">
      <w:pPr>
        <w:shd w:val="clear" w:color="auto" w:fill="FFFFFF"/>
        <w:spacing w:after="285" w:line="480" w:lineRule="auto"/>
        <w:contextualSpacing/>
        <w:jc w:val="both"/>
        <w:rPr>
          <w:rFonts w:ascii="Arial" w:hAnsi="Arial" w:cs="Arial"/>
          <w:sz w:val="24"/>
          <w:szCs w:val="24"/>
        </w:rPr>
      </w:pPr>
    </w:p>
    <w:p w:rsidR="00D62750" w:rsidRPr="00D62750" w:rsidRDefault="00D62750" w:rsidP="002E38F9">
      <w:pPr>
        <w:spacing w:line="480" w:lineRule="auto"/>
        <w:contextualSpacing/>
        <w:jc w:val="both"/>
        <w:rPr>
          <w:rFonts w:ascii="Arial" w:hAnsi="Arial" w:cs="Arial"/>
          <w:b/>
          <w:sz w:val="24"/>
          <w:szCs w:val="24"/>
          <w:lang w:val="en-ZA"/>
        </w:rPr>
      </w:pPr>
      <w:r w:rsidRPr="00D62750">
        <w:rPr>
          <w:rFonts w:ascii="Arial" w:hAnsi="Arial" w:cs="Arial"/>
          <w:b/>
          <w:sz w:val="24"/>
          <w:szCs w:val="24"/>
          <w:lang w:val="en-ZA"/>
        </w:rPr>
        <w:t>Costs</w:t>
      </w:r>
    </w:p>
    <w:p w:rsidR="002710D3" w:rsidRPr="00353076" w:rsidRDefault="002710D3" w:rsidP="00EB297A">
      <w:pPr>
        <w:numPr>
          <w:ilvl w:val="0"/>
          <w:numId w:val="3"/>
        </w:numPr>
        <w:spacing w:line="480" w:lineRule="auto"/>
        <w:contextualSpacing/>
        <w:jc w:val="both"/>
        <w:rPr>
          <w:rFonts w:ascii="Arial" w:hAnsi="Arial" w:cs="Arial"/>
          <w:b/>
          <w:sz w:val="24"/>
          <w:szCs w:val="24"/>
          <w:lang w:val="en-ZA"/>
        </w:rPr>
      </w:pPr>
      <w:r w:rsidRPr="002710D3">
        <w:rPr>
          <w:rFonts w:ascii="Arial" w:hAnsi="Arial" w:cs="Arial"/>
          <w:sz w:val="24"/>
          <w:szCs w:val="24"/>
          <w:lang w:val="en-ZA"/>
        </w:rPr>
        <w:t>Turning now to the issue of costs.</w:t>
      </w:r>
      <w:r w:rsidRPr="002710D3">
        <w:rPr>
          <w:rFonts w:ascii="Arial" w:hAnsi="Arial" w:cs="Arial"/>
          <w:iCs/>
          <w:spacing w:val="4"/>
          <w:sz w:val="24"/>
          <w:szCs w:val="24"/>
          <w:lang w:val="en-ZA"/>
        </w:rPr>
        <w:t xml:space="preserve"> The </w:t>
      </w:r>
      <w:r w:rsidR="00353076">
        <w:rPr>
          <w:rFonts w:ascii="Arial" w:hAnsi="Arial" w:cs="Arial"/>
          <w:iCs/>
          <w:spacing w:val="4"/>
          <w:sz w:val="24"/>
          <w:szCs w:val="24"/>
          <w:lang w:val="en-ZA"/>
        </w:rPr>
        <w:t xml:space="preserve">Applicants seeks that the Respondents pay costs on an attorney and client scale including the cost of Counsel’s reasonable fee on brief. </w:t>
      </w:r>
    </w:p>
    <w:p w:rsidR="00353076" w:rsidRPr="002710D3" w:rsidRDefault="00353076" w:rsidP="00353076">
      <w:pPr>
        <w:spacing w:line="480" w:lineRule="auto"/>
        <w:contextualSpacing/>
        <w:jc w:val="both"/>
        <w:rPr>
          <w:rFonts w:ascii="Arial" w:hAnsi="Arial" w:cs="Arial"/>
          <w:b/>
          <w:sz w:val="24"/>
          <w:szCs w:val="24"/>
          <w:lang w:val="en-ZA"/>
        </w:rPr>
      </w:pPr>
    </w:p>
    <w:p w:rsidR="002710D3" w:rsidRPr="00C165DF" w:rsidRDefault="002710D3" w:rsidP="002710D3">
      <w:pPr>
        <w:numPr>
          <w:ilvl w:val="0"/>
          <w:numId w:val="3"/>
        </w:numPr>
        <w:spacing w:line="480" w:lineRule="auto"/>
        <w:contextualSpacing/>
        <w:jc w:val="both"/>
        <w:rPr>
          <w:rFonts w:ascii="Arial" w:hAnsi="Arial" w:cs="Arial"/>
          <w:b/>
          <w:sz w:val="24"/>
          <w:szCs w:val="24"/>
          <w:lang w:val="en-ZA"/>
        </w:rPr>
      </w:pPr>
      <w:r w:rsidRPr="00C165DF">
        <w:rPr>
          <w:rFonts w:ascii="Arial" w:hAnsi="Arial" w:cs="Arial"/>
          <w:sz w:val="24"/>
          <w:szCs w:val="24"/>
          <w:lang w:val="en-ZA"/>
        </w:rPr>
        <w:t xml:space="preserve">It is an accepted legal principle that costs ordinarily follow the result and a successful party is therefore entitled to his or her costs. </w:t>
      </w:r>
      <w:r w:rsidRPr="00C165DF">
        <w:rPr>
          <w:rFonts w:ascii="Arial" w:hAnsi="Arial" w:cs="Arial"/>
          <w:iCs/>
          <w:spacing w:val="4"/>
          <w:sz w:val="24"/>
          <w:szCs w:val="24"/>
          <w:lang w:val="en-ZA"/>
        </w:rPr>
        <w:t>It is fundamental legal principal that the issue of costs is in the unfettered discretion of the court.</w:t>
      </w:r>
      <w:r w:rsidRPr="00C165DF">
        <w:rPr>
          <w:rFonts w:ascii="Arial" w:hAnsi="Arial" w:cs="Arial"/>
          <w:sz w:val="24"/>
          <w:szCs w:val="24"/>
          <w:vertAlign w:val="superscript"/>
          <w:lang w:val="en-ZA"/>
        </w:rPr>
        <w:t xml:space="preserve"> </w:t>
      </w:r>
      <w:r w:rsidRPr="00C165DF">
        <w:rPr>
          <w:rFonts w:ascii="Arial" w:hAnsi="Arial" w:cs="Arial"/>
          <w:sz w:val="24"/>
          <w:szCs w:val="24"/>
          <w:vertAlign w:val="superscript"/>
          <w:lang w:val="en-ZA"/>
        </w:rPr>
        <w:footnoteReference w:id="23"/>
      </w:r>
      <w:r w:rsidRPr="00C165DF">
        <w:rPr>
          <w:rFonts w:ascii="Arial" w:hAnsi="Arial" w:cs="Arial"/>
          <w:sz w:val="24"/>
          <w:szCs w:val="24"/>
          <w:lang w:val="en-ZA"/>
        </w:rPr>
        <w:t xml:space="preserve"> </w:t>
      </w:r>
      <w:r w:rsidRPr="00C165DF">
        <w:rPr>
          <w:rFonts w:ascii="Arial" w:hAnsi="Arial" w:cs="Arial"/>
          <w:iCs/>
          <w:spacing w:val="4"/>
          <w:sz w:val="24"/>
          <w:szCs w:val="24"/>
          <w:lang w:val="en-ZA"/>
        </w:rPr>
        <w:t xml:space="preserve"> </w:t>
      </w:r>
      <w:r w:rsidRPr="00C165DF">
        <w:rPr>
          <w:rFonts w:ascii="Arial" w:hAnsi="Arial" w:cs="Arial"/>
          <w:sz w:val="24"/>
          <w:szCs w:val="24"/>
          <w:lang w:val="en-ZA"/>
        </w:rPr>
        <w:t xml:space="preserve">In view </w:t>
      </w:r>
      <w:r w:rsidR="00353076">
        <w:rPr>
          <w:rFonts w:ascii="Arial" w:hAnsi="Arial" w:cs="Arial"/>
          <w:sz w:val="24"/>
          <w:szCs w:val="24"/>
          <w:lang w:val="en-ZA"/>
        </w:rPr>
        <w:t xml:space="preserve">of the fact that there are </w:t>
      </w:r>
      <w:r w:rsidRPr="00C165DF">
        <w:rPr>
          <w:rFonts w:ascii="Arial" w:hAnsi="Arial" w:cs="Arial"/>
          <w:sz w:val="24"/>
          <w:szCs w:val="24"/>
          <w:lang w:val="en-ZA"/>
        </w:rPr>
        <w:t>issues that should be fully ventilated in the trial, it is my view that a costs order at this stage will in any event be premature.</w:t>
      </w:r>
      <w:r w:rsidRPr="00C165DF">
        <w:rPr>
          <w:rFonts w:ascii="Arial" w:hAnsi="Arial" w:cs="Arial"/>
          <w:b/>
          <w:sz w:val="24"/>
          <w:szCs w:val="24"/>
          <w:lang w:val="en-ZA"/>
        </w:rPr>
        <w:t xml:space="preserve"> </w:t>
      </w:r>
      <w:r w:rsidRPr="00C165DF">
        <w:rPr>
          <w:rFonts w:ascii="Arial" w:hAnsi="Arial" w:cs="Arial"/>
          <w:iCs/>
          <w:spacing w:val="4"/>
          <w:sz w:val="24"/>
          <w:szCs w:val="24"/>
          <w:lang w:val="en-ZA"/>
        </w:rPr>
        <w:t xml:space="preserve">The trial court will be </w:t>
      </w:r>
      <w:r w:rsidRPr="00C165DF">
        <w:rPr>
          <w:rFonts w:ascii="Arial" w:hAnsi="Arial" w:cs="Arial"/>
          <w:iCs/>
          <w:spacing w:val="4"/>
          <w:sz w:val="24"/>
          <w:szCs w:val="24"/>
          <w:lang w:val="en-ZA"/>
        </w:rPr>
        <w:lastRenderedPageBreak/>
        <w:t xml:space="preserve">in a better position to make a final pronouncement in this regard after having heard the evidence in relation to the issues in dispute. Therefore, in the exercise of my judicial </w:t>
      </w:r>
      <w:r w:rsidRPr="00C165DF">
        <w:rPr>
          <w:rFonts w:ascii="Arial" w:hAnsi="Arial" w:cs="Arial"/>
          <w:iCs/>
          <w:noProof/>
          <w:spacing w:val="4"/>
          <w:sz w:val="24"/>
          <w:szCs w:val="24"/>
          <w:lang w:val="en-ZA"/>
        </w:rPr>
        <w:t>discretion,</w:t>
      </w:r>
      <w:r w:rsidRPr="00C165DF">
        <w:rPr>
          <w:rFonts w:ascii="Arial" w:hAnsi="Arial" w:cs="Arial"/>
          <w:iCs/>
          <w:spacing w:val="4"/>
          <w:sz w:val="24"/>
          <w:szCs w:val="24"/>
          <w:lang w:val="en-ZA"/>
        </w:rPr>
        <w:t xml:space="preserve"> I am of the view that the issue of costs should stand over for later determination.</w:t>
      </w:r>
    </w:p>
    <w:p w:rsidR="00353076" w:rsidRDefault="00353076" w:rsidP="00BA24A8">
      <w:pPr>
        <w:spacing w:line="480" w:lineRule="auto"/>
        <w:contextualSpacing/>
        <w:jc w:val="both"/>
        <w:rPr>
          <w:rFonts w:ascii="Arial" w:hAnsi="Arial" w:cs="Arial"/>
          <w:b/>
          <w:sz w:val="24"/>
          <w:szCs w:val="24"/>
          <w:lang w:val="en-ZA"/>
        </w:rPr>
      </w:pPr>
    </w:p>
    <w:p w:rsidR="00BA24A8" w:rsidRPr="00C165DF" w:rsidRDefault="00BA24A8" w:rsidP="00BA24A8">
      <w:pPr>
        <w:spacing w:line="480" w:lineRule="auto"/>
        <w:contextualSpacing/>
        <w:jc w:val="both"/>
        <w:rPr>
          <w:rFonts w:ascii="Arial" w:hAnsi="Arial" w:cs="Arial"/>
          <w:b/>
          <w:sz w:val="24"/>
          <w:szCs w:val="24"/>
          <w:lang w:val="en-ZA"/>
        </w:rPr>
      </w:pPr>
      <w:r w:rsidRPr="00C165DF">
        <w:rPr>
          <w:rFonts w:ascii="Arial" w:hAnsi="Arial" w:cs="Arial"/>
          <w:b/>
          <w:sz w:val="24"/>
          <w:szCs w:val="24"/>
          <w:lang w:val="en-ZA"/>
        </w:rPr>
        <w:t>Order:</w:t>
      </w:r>
    </w:p>
    <w:p w:rsidR="00BA24A8" w:rsidRPr="00C165DF" w:rsidRDefault="00BA24A8" w:rsidP="00BA24A8">
      <w:pPr>
        <w:numPr>
          <w:ilvl w:val="0"/>
          <w:numId w:val="1"/>
        </w:numPr>
        <w:spacing w:line="480" w:lineRule="auto"/>
        <w:contextualSpacing/>
        <w:jc w:val="both"/>
      </w:pPr>
      <w:r w:rsidRPr="00C165DF">
        <w:rPr>
          <w:rFonts w:ascii="Arial" w:hAnsi="Arial" w:cs="Arial"/>
          <w:sz w:val="24"/>
          <w:szCs w:val="24"/>
        </w:rPr>
        <w:t>In the result, after considering the submissions made by Counsel on behalf of both the parties and having considered the documents filed on record, the following orders are made:</w:t>
      </w:r>
    </w:p>
    <w:p w:rsidR="00BA24A8" w:rsidRPr="00C165DF" w:rsidRDefault="00BA24A8" w:rsidP="00BA24A8">
      <w:pPr>
        <w:numPr>
          <w:ilvl w:val="0"/>
          <w:numId w:val="2"/>
        </w:numPr>
        <w:spacing w:line="480" w:lineRule="auto"/>
        <w:contextualSpacing/>
        <w:jc w:val="both"/>
        <w:rPr>
          <w:sz w:val="24"/>
          <w:szCs w:val="24"/>
        </w:rPr>
      </w:pPr>
      <w:r w:rsidRPr="00C165DF">
        <w:rPr>
          <w:rFonts w:ascii="Arial" w:hAnsi="Arial" w:cs="Arial"/>
          <w:sz w:val="24"/>
          <w:szCs w:val="24"/>
        </w:rPr>
        <w:t>The Default Judgment gra</w:t>
      </w:r>
      <w:r w:rsidR="00353076">
        <w:rPr>
          <w:rFonts w:ascii="Arial" w:hAnsi="Arial" w:cs="Arial"/>
          <w:sz w:val="24"/>
          <w:szCs w:val="24"/>
        </w:rPr>
        <w:t>nted on 10 May 2022</w:t>
      </w:r>
      <w:r w:rsidR="00353076" w:rsidRPr="00353076">
        <w:rPr>
          <w:rFonts w:ascii="Arial" w:hAnsi="Arial" w:cs="Arial"/>
          <w:sz w:val="24"/>
          <w:szCs w:val="24"/>
        </w:rPr>
        <w:t xml:space="preserve"> </w:t>
      </w:r>
      <w:r w:rsidR="00353076" w:rsidRPr="00C165DF">
        <w:rPr>
          <w:rFonts w:ascii="Arial" w:hAnsi="Arial" w:cs="Arial"/>
          <w:sz w:val="24"/>
          <w:szCs w:val="24"/>
        </w:rPr>
        <w:t xml:space="preserve">under case number: </w:t>
      </w:r>
      <w:r w:rsidR="00353076">
        <w:rPr>
          <w:rFonts w:ascii="Arial" w:hAnsi="Arial" w:cs="Arial"/>
          <w:b/>
          <w:sz w:val="24"/>
          <w:szCs w:val="24"/>
        </w:rPr>
        <w:t xml:space="preserve">KZN/DBN/RC 317/21, </w:t>
      </w:r>
      <w:r w:rsidR="00353076">
        <w:rPr>
          <w:rFonts w:ascii="Arial" w:hAnsi="Arial" w:cs="Arial"/>
          <w:sz w:val="24"/>
          <w:szCs w:val="24"/>
        </w:rPr>
        <w:t>is hereby rescinded and set aside;</w:t>
      </w:r>
    </w:p>
    <w:p w:rsidR="00BA24A8" w:rsidRPr="00C165DF" w:rsidRDefault="00BA24A8" w:rsidP="00BA24A8">
      <w:pPr>
        <w:numPr>
          <w:ilvl w:val="0"/>
          <w:numId w:val="2"/>
        </w:numPr>
        <w:spacing w:line="480" w:lineRule="auto"/>
        <w:contextualSpacing/>
        <w:jc w:val="both"/>
        <w:rPr>
          <w:sz w:val="24"/>
          <w:szCs w:val="24"/>
        </w:rPr>
      </w:pPr>
      <w:r>
        <w:rPr>
          <w:rFonts w:ascii="Arial" w:hAnsi="Arial" w:cs="Arial"/>
          <w:sz w:val="24"/>
          <w:szCs w:val="24"/>
        </w:rPr>
        <w:t xml:space="preserve">The </w:t>
      </w:r>
      <w:r>
        <w:rPr>
          <w:rFonts w:ascii="Arial" w:hAnsi="Arial" w:cs="Arial"/>
          <w:noProof/>
          <w:sz w:val="24"/>
          <w:szCs w:val="24"/>
        </w:rPr>
        <w:t>Applicants</w:t>
      </w:r>
      <w:r w:rsidRPr="00C165DF">
        <w:rPr>
          <w:rFonts w:ascii="Arial" w:hAnsi="Arial" w:cs="Arial"/>
          <w:sz w:val="24"/>
          <w:szCs w:val="24"/>
        </w:rPr>
        <w:t xml:space="preserve"> </w:t>
      </w:r>
      <w:r w:rsidR="00353076">
        <w:rPr>
          <w:rFonts w:ascii="Arial" w:hAnsi="Arial" w:cs="Arial"/>
          <w:sz w:val="24"/>
          <w:szCs w:val="24"/>
        </w:rPr>
        <w:t xml:space="preserve">(Defendants) are granted </w:t>
      </w:r>
      <w:r w:rsidRPr="00C165DF">
        <w:rPr>
          <w:rFonts w:ascii="Arial" w:hAnsi="Arial" w:cs="Arial"/>
          <w:sz w:val="24"/>
          <w:szCs w:val="24"/>
        </w:rPr>
        <w:t>leave to defend the action which was instituted by the Respondent</w:t>
      </w:r>
      <w:r w:rsidR="00353076">
        <w:rPr>
          <w:rFonts w:ascii="Arial" w:hAnsi="Arial" w:cs="Arial"/>
          <w:sz w:val="24"/>
          <w:szCs w:val="24"/>
        </w:rPr>
        <w:t xml:space="preserve"> and file their plea an</w:t>
      </w:r>
      <w:r w:rsidR="00B0675C">
        <w:rPr>
          <w:rFonts w:ascii="Arial" w:hAnsi="Arial" w:cs="Arial"/>
          <w:sz w:val="24"/>
          <w:szCs w:val="24"/>
        </w:rPr>
        <w:t>d</w:t>
      </w:r>
      <w:r w:rsidR="00353076">
        <w:rPr>
          <w:rFonts w:ascii="Arial" w:hAnsi="Arial" w:cs="Arial"/>
          <w:sz w:val="24"/>
          <w:szCs w:val="24"/>
        </w:rPr>
        <w:t xml:space="preserve"> counter-claim (if any)</w:t>
      </w:r>
      <w:r w:rsidRPr="00C165DF">
        <w:rPr>
          <w:rFonts w:ascii="Arial" w:hAnsi="Arial" w:cs="Arial"/>
          <w:b/>
          <w:sz w:val="24"/>
          <w:szCs w:val="24"/>
        </w:rPr>
        <w:t>;</w:t>
      </w:r>
    </w:p>
    <w:p w:rsidR="00BA24A8" w:rsidRPr="00C165DF" w:rsidRDefault="00BA24A8" w:rsidP="00BA24A8">
      <w:pPr>
        <w:numPr>
          <w:ilvl w:val="0"/>
          <w:numId w:val="2"/>
        </w:numPr>
        <w:spacing w:line="480" w:lineRule="auto"/>
        <w:contextualSpacing/>
        <w:jc w:val="both"/>
        <w:rPr>
          <w:sz w:val="24"/>
          <w:szCs w:val="24"/>
        </w:rPr>
      </w:pPr>
      <w:r w:rsidRPr="00C165DF">
        <w:rPr>
          <w:rFonts w:ascii="Arial" w:hAnsi="Arial" w:cs="Arial"/>
          <w:sz w:val="24"/>
          <w:szCs w:val="24"/>
        </w:rPr>
        <w:t>Costs are to stand over for later determination.</w:t>
      </w:r>
    </w:p>
    <w:p w:rsidR="00BA24A8" w:rsidRPr="00C165DF" w:rsidRDefault="00BA24A8" w:rsidP="00BA24A8">
      <w:pPr>
        <w:spacing w:line="480" w:lineRule="auto"/>
        <w:contextualSpacing/>
        <w:jc w:val="both"/>
      </w:pPr>
    </w:p>
    <w:p w:rsidR="00BA24A8" w:rsidRPr="00C165DF" w:rsidRDefault="00BA24A8" w:rsidP="00BA24A8">
      <w:pPr>
        <w:tabs>
          <w:tab w:val="left" w:pos="851"/>
        </w:tabs>
        <w:spacing w:line="480" w:lineRule="auto"/>
        <w:jc w:val="both"/>
        <w:rPr>
          <w:rFonts w:ascii="Arial" w:hAnsi="Arial" w:cs="Arial"/>
          <w:sz w:val="24"/>
          <w:szCs w:val="24"/>
        </w:rPr>
      </w:pPr>
    </w:p>
    <w:p w:rsidR="00C70C15" w:rsidRPr="00462345" w:rsidRDefault="00C70C15" w:rsidP="00C70C15">
      <w:pPr>
        <w:spacing w:line="480" w:lineRule="auto"/>
        <w:contextualSpacing/>
        <w:jc w:val="both"/>
      </w:pPr>
    </w:p>
    <w:p w:rsidR="00462345" w:rsidRDefault="00462345" w:rsidP="00C70C15">
      <w:pPr>
        <w:spacing w:line="480" w:lineRule="auto"/>
        <w:contextualSpacing/>
        <w:jc w:val="both"/>
      </w:pPr>
    </w:p>
    <w:p w:rsidR="00E54483" w:rsidRDefault="00E54483" w:rsidP="00E54483">
      <w:pPr>
        <w:spacing w:line="480" w:lineRule="auto"/>
        <w:ind w:left="4680" w:firstLine="360"/>
        <w:contextualSpacing/>
        <w:jc w:val="both"/>
        <w:rPr>
          <w:rFonts w:ascii="Arial" w:hAnsi="Arial" w:cs="Arial"/>
          <w:sz w:val="24"/>
          <w:szCs w:val="24"/>
        </w:rPr>
      </w:pPr>
      <w:r>
        <w:rPr>
          <w:rFonts w:ascii="Arial" w:hAnsi="Arial" w:cs="Arial"/>
          <w:sz w:val="24"/>
          <w:szCs w:val="24"/>
        </w:rPr>
        <w:t>________________________</w:t>
      </w:r>
    </w:p>
    <w:p w:rsidR="00E54483" w:rsidRDefault="00E54483" w:rsidP="00E54483">
      <w:pPr>
        <w:spacing w:after="0"/>
        <w:ind w:left="2880" w:firstLine="720"/>
        <w:jc w:val="center"/>
        <w:rPr>
          <w:rFonts w:ascii="Arial" w:hAnsi="Arial" w:cs="Arial"/>
          <w:b/>
          <w:sz w:val="24"/>
          <w:szCs w:val="24"/>
        </w:rPr>
      </w:pPr>
      <w:r>
        <w:rPr>
          <w:rFonts w:ascii="Arial" w:hAnsi="Arial" w:cs="Arial"/>
          <w:b/>
          <w:sz w:val="24"/>
          <w:szCs w:val="24"/>
        </w:rPr>
        <w:t>P ANDREWS</w:t>
      </w:r>
    </w:p>
    <w:p w:rsidR="00E54483" w:rsidRDefault="00E54483" w:rsidP="00E54483">
      <w:pPr>
        <w:spacing w:after="0"/>
        <w:jc w:val="cente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Regional Magistrate: Durban</w:t>
      </w:r>
    </w:p>
    <w:p w:rsidR="00E54483" w:rsidRDefault="00E54483"/>
    <w:p w:rsidR="000D6521" w:rsidRDefault="000D6521" w:rsidP="00E54483">
      <w:pPr>
        <w:autoSpaceDE w:val="0"/>
        <w:autoSpaceDN w:val="0"/>
        <w:adjustRightInd w:val="0"/>
        <w:spacing w:after="0" w:line="240" w:lineRule="auto"/>
        <w:rPr>
          <w:rFonts w:ascii="Arial" w:eastAsia="ArialMT" w:hAnsi="Arial" w:cs="Arial"/>
          <w:b/>
          <w:sz w:val="24"/>
          <w:szCs w:val="24"/>
        </w:rPr>
      </w:pPr>
    </w:p>
    <w:p w:rsidR="000D6521" w:rsidRDefault="000D6521" w:rsidP="00E54483">
      <w:pPr>
        <w:autoSpaceDE w:val="0"/>
        <w:autoSpaceDN w:val="0"/>
        <w:adjustRightInd w:val="0"/>
        <w:spacing w:after="0" w:line="240" w:lineRule="auto"/>
        <w:rPr>
          <w:rFonts w:ascii="Arial" w:eastAsia="ArialMT" w:hAnsi="Arial" w:cs="Arial"/>
          <w:b/>
          <w:sz w:val="24"/>
          <w:szCs w:val="24"/>
        </w:rPr>
      </w:pPr>
    </w:p>
    <w:p w:rsidR="000D6521" w:rsidRDefault="000D6521" w:rsidP="00E54483">
      <w:pPr>
        <w:autoSpaceDE w:val="0"/>
        <w:autoSpaceDN w:val="0"/>
        <w:adjustRightInd w:val="0"/>
        <w:spacing w:after="0" w:line="240" w:lineRule="auto"/>
        <w:rPr>
          <w:rFonts w:ascii="Arial" w:eastAsia="ArialMT" w:hAnsi="Arial" w:cs="Arial"/>
          <w:b/>
          <w:sz w:val="24"/>
          <w:szCs w:val="24"/>
        </w:rPr>
      </w:pPr>
    </w:p>
    <w:p w:rsidR="000D6521" w:rsidRDefault="000D6521" w:rsidP="00E54483">
      <w:pPr>
        <w:autoSpaceDE w:val="0"/>
        <w:autoSpaceDN w:val="0"/>
        <w:adjustRightInd w:val="0"/>
        <w:spacing w:after="0" w:line="240" w:lineRule="auto"/>
        <w:rPr>
          <w:rFonts w:ascii="Arial" w:eastAsia="ArialMT" w:hAnsi="Arial" w:cs="Arial"/>
          <w:b/>
          <w:sz w:val="24"/>
          <w:szCs w:val="24"/>
        </w:rPr>
      </w:pPr>
    </w:p>
    <w:p w:rsidR="000D6521" w:rsidRDefault="000D6521" w:rsidP="00E54483">
      <w:pPr>
        <w:autoSpaceDE w:val="0"/>
        <w:autoSpaceDN w:val="0"/>
        <w:adjustRightInd w:val="0"/>
        <w:spacing w:after="0" w:line="240" w:lineRule="auto"/>
        <w:rPr>
          <w:rFonts w:ascii="Arial" w:eastAsia="ArialMT" w:hAnsi="Arial" w:cs="Arial"/>
          <w:b/>
          <w:sz w:val="24"/>
          <w:szCs w:val="24"/>
        </w:rPr>
      </w:pPr>
    </w:p>
    <w:p w:rsidR="000D6521" w:rsidRDefault="000D6521" w:rsidP="00E54483">
      <w:pPr>
        <w:autoSpaceDE w:val="0"/>
        <w:autoSpaceDN w:val="0"/>
        <w:adjustRightInd w:val="0"/>
        <w:spacing w:after="0" w:line="240" w:lineRule="auto"/>
        <w:rPr>
          <w:rFonts w:ascii="Arial" w:eastAsia="ArialMT" w:hAnsi="Arial" w:cs="Arial"/>
          <w:b/>
          <w:sz w:val="24"/>
          <w:szCs w:val="24"/>
        </w:rPr>
      </w:pPr>
    </w:p>
    <w:p w:rsidR="000D6521" w:rsidRDefault="000D6521" w:rsidP="00E54483">
      <w:pPr>
        <w:autoSpaceDE w:val="0"/>
        <w:autoSpaceDN w:val="0"/>
        <w:adjustRightInd w:val="0"/>
        <w:spacing w:after="0" w:line="240" w:lineRule="auto"/>
        <w:rPr>
          <w:rFonts w:ascii="Arial" w:eastAsia="ArialMT" w:hAnsi="Arial" w:cs="Arial"/>
          <w:b/>
          <w:sz w:val="24"/>
          <w:szCs w:val="24"/>
        </w:rPr>
      </w:pPr>
    </w:p>
    <w:p w:rsidR="000D6521" w:rsidRDefault="000D6521" w:rsidP="00E54483">
      <w:pPr>
        <w:autoSpaceDE w:val="0"/>
        <w:autoSpaceDN w:val="0"/>
        <w:adjustRightInd w:val="0"/>
        <w:spacing w:after="0" w:line="240" w:lineRule="auto"/>
        <w:rPr>
          <w:rFonts w:ascii="Arial" w:eastAsia="ArialMT" w:hAnsi="Arial" w:cs="Arial"/>
          <w:b/>
          <w:sz w:val="24"/>
          <w:szCs w:val="24"/>
        </w:rPr>
      </w:pPr>
    </w:p>
    <w:p w:rsidR="000D6521" w:rsidRDefault="000D6521" w:rsidP="00E54483">
      <w:pPr>
        <w:autoSpaceDE w:val="0"/>
        <w:autoSpaceDN w:val="0"/>
        <w:adjustRightInd w:val="0"/>
        <w:spacing w:after="0" w:line="240" w:lineRule="auto"/>
        <w:rPr>
          <w:rFonts w:ascii="Arial" w:eastAsia="ArialMT" w:hAnsi="Arial" w:cs="Arial"/>
          <w:b/>
          <w:sz w:val="24"/>
          <w:szCs w:val="24"/>
        </w:rPr>
      </w:pPr>
    </w:p>
    <w:p w:rsidR="00E54483" w:rsidRDefault="00E54483" w:rsidP="00E54483">
      <w:pPr>
        <w:autoSpaceDE w:val="0"/>
        <w:autoSpaceDN w:val="0"/>
        <w:adjustRightInd w:val="0"/>
        <w:spacing w:after="0" w:line="240" w:lineRule="auto"/>
        <w:rPr>
          <w:rFonts w:ascii="Arial" w:eastAsia="ArialMT" w:hAnsi="Arial" w:cs="Arial"/>
          <w:sz w:val="24"/>
          <w:szCs w:val="24"/>
        </w:rPr>
      </w:pPr>
      <w:r>
        <w:rPr>
          <w:rFonts w:ascii="Arial" w:eastAsia="ArialMT" w:hAnsi="Arial" w:cs="Arial"/>
          <w:b/>
          <w:sz w:val="24"/>
          <w:szCs w:val="24"/>
        </w:rPr>
        <w:t>APPEARANCES</w:t>
      </w:r>
      <w:r>
        <w:rPr>
          <w:rFonts w:ascii="Arial" w:eastAsia="ArialMT" w:hAnsi="Arial" w:cs="Arial"/>
          <w:sz w:val="24"/>
          <w:szCs w:val="24"/>
        </w:rPr>
        <w:t>:</w:t>
      </w:r>
    </w:p>
    <w:p w:rsidR="00E54483" w:rsidRDefault="00E54483" w:rsidP="00E54483">
      <w:pPr>
        <w:autoSpaceDE w:val="0"/>
        <w:autoSpaceDN w:val="0"/>
        <w:adjustRightInd w:val="0"/>
        <w:spacing w:after="0" w:line="240" w:lineRule="auto"/>
        <w:rPr>
          <w:rFonts w:ascii="Arial" w:eastAsia="ArialMT" w:hAnsi="Arial" w:cs="Arial"/>
          <w:sz w:val="24"/>
          <w:szCs w:val="24"/>
        </w:rPr>
      </w:pPr>
    </w:p>
    <w:p w:rsidR="005F5FAD" w:rsidRDefault="005F5FAD" w:rsidP="00E54483">
      <w:pPr>
        <w:autoSpaceDE w:val="0"/>
        <w:autoSpaceDN w:val="0"/>
        <w:adjustRightInd w:val="0"/>
        <w:spacing w:after="0" w:line="240" w:lineRule="auto"/>
        <w:ind w:left="5760" w:hanging="5760"/>
        <w:rPr>
          <w:rFonts w:ascii="Arial" w:eastAsia="ArialMT" w:hAnsi="Arial" w:cs="Arial"/>
          <w:sz w:val="24"/>
          <w:szCs w:val="24"/>
        </w:rPr>
      </w:pPr>
      <w:r>
        <w:rPr>
          <w:rFonts w:ascii="Arial" w:eastAsia="ArialMT" w:hAnsi="Arial" w:cs="Arial"/>
          <w:sz w:val="24"/>
          <w:szCs w:val="24"/>
        </w:rPr>
        <w:t>FOR THE APPLICANTS</w:t>
      </w:r>
      <w:r w:rsidR="00E54483">
        <w:rPr>
          <w:rFonts w:ascii="Arial" w:eastAsia="ArialMT" w:hAnsi="Arial" w:cs="Arial"/>
          <w:sz w:val="24"/>
          <w:szCs w:val="24"/>
        </w:rPr>
        <w:t xml:space="preserve">: </w:t>
      </w:r>
      <w:r>
        <w:rPr>
          <w:rFonts w:ascii="Arial" w:eastAsia="ArialMT" w:hAnsi="Arial" w:cs="Arial"/>
          <w:sz w:val="24"/>
          <w:szCs w:val="24"/>
        </w:rPr>
        <w:tab/>
        <w:t xml:space="preserve">Advocate L. </w:t>
      </w:r>
      <w:proofErr w:type="spellStart"/>
      <w:r>
        <w:rPr>
          <w:rFonts w:ascii="Arial" w:eastAsia="ArialMT" w:hAnsi="Arial" w:cs="Arial"/>
          <w:sz w:val="24"/>
          <w:szCs w:val="24"/>
        </w:rPr>
        <w:t>Moodley</w:t>
      </w:r>
      <w:proofErr w:type="spellEnd"/>
    </w:p>
    <w:p w:rsidR="00E54483" w:rsidRDefault="005F5FAD" w:rsidP="00E54483">
      <w:pPr>
        <w:autoSpaceDE w:val="0"/>
        <w:autoSpaceDN w:val="0"/>
        <w:adjustRightInd w:val="0"/>
        <w:spacing w:after="0" w:line="240" w:lineRule="auto"/>
        <w:ind w:left="5760" w:hanging="5760"/>
        <w:rPr>
          <w:rFonts w:ascii="Arial" w:hAnsi="Arial" w:cs="Arial"/>
          <w:sz w:val="24"/>
          <w:szCs w:val="24"/>
        </w:rPr>
      </w:pPr>
      <w:r>
        <w:rPr>
          <w:rFonts w:ascii="Arial" w:eastAsia="ArialMT" w:hAnsi="Arial" w:cs="Arial"/>
          <w:sz w:val="24"/>
          <w:szCs w:val="24"/>
        </w:rPr>
        <w:t>Instructed by:</w:t>
      </w:r>
      <w:r>
        <w:rPr>
          <w:rFonts w:ascii="Arial" w:eastAsia="ArialMT" w:hAnsi="Arial" w:cs="Arial"/>
          <w:sz w:val="24"/>
          <w:szCs w:val="24"/>
        </w:rPr>
        <w:tab/>
        <w:t>Strauss Daly Incorporated</w:t>
      </w:r>
      <w:r w:rsidR="00E54483">
        <w:rPr>
          <w:rFonts w:ascii="Arial" w:eastAsia="ArialMT" w:hAnsi="Arial" w:cs="Arial"/>
          <w:sz w:val="24"/>
          <w:szCs w:val="24"/>
        </w:rPr>
        <w:tab/>
      </w:r>
    </w:p>
    <w:p w:rsidR="00E54483" w:rsidRDefault="00E54483" w:rsidP="00E54483">
      <w:pPr>
        <w:autoSpaceDE w:val="0"/>
        <w:autoSpaceDN w:val="0"/>
        <w:adjustRightInd w:val="0"/>
        <w:spacing w:after="0" w:line="240" w:lineRule="auto"/>
        <w:ind w:left="5760" w:hanging="5760"/>
        <w:rPr>
          <w:rFonts w:ascii="Arial" w:hAnsi="Arial" w:cs="Arial"/>
          <w:sz w:val="24"/>
          <w:szCs w:val="24"/>
        </w:rPr>
      </w:pPr>
    </w:p>
    <w:p w:rsidR="00E54483" w:rsidRDefault="00E54483" w:rsidP="00E54483">
      <w:pPr>
        <w:autoSpaceDE w:val="0"/>
        <w:autoSpaceDN w:val="0"/>
        <w:adjustRightInd w:val="0"/>
        <w:spacing w:after="0" w:line="240" w:lineRule="auto"/>
        <w:ind w:left="5760" w:hanging="5760"/>
        <w:rPr>
          <w:rFonts w:ascii="Arial" w:hAnsi="Arial" w:cs="Arial"/>
          <w:sz w:val="24"/>
          <w:szCs w:val="24"/>
        </w:rPr>
      </w:pPr>
    </w:p>
    <w:p w:rsidR="00E54483" w:rsidRDefault="005F5FAD" w:rsidP="00E54483">
      <w:pPr>
        <w:autoSpaceDE w:val="0"/>
        <w:autoSpaceDN w:val="0"/>
        <w:adjustRightInd w:val="0"/>
        <w:spacing w:after="0" w:line="240" w:lineRule="auto"/>
        <w:ind w:left="5040" w:hanging="5040"/>
        <w:rPr>
          <w:rFonts w:ascii="Arial" w:eastAsia="ArialMT" w:hAnsi="Arial" w:cs="Arial"/>
          <w:sz w:val="24"/>
          <w:szCs w:val="24"/>
        </w:rPr>
      </w:pPr>
      <w:r>
        <w:rPr>
          <w:rFonts w:ascii="Arial" w:eastAsia="ArialMT" w:hAnsi="Arial" w:cs="Arial"/>
          <w:sz w:val="24"/>
          <w:szCs w:val="24"/>
        </w:rPr>
        <w:t xml:space="preserve">FORTHE RESPONDENT: </w:t>
      </w:r>
      <w:r>
        <w:rPr>
          <w:rFonts w:ascii="Arial" w:eastAsia="ArialMT" w:hAnsi="Arial" w:cs="Arial"/>
          <w:sz w:val="24"/>
          <w:szCs w:val="24"/>
        </w:rPr>
        <w:tab/>
      </w:r>
      <w:r>
        <w:rPr>
          <w:rFonts w:ascii="Arial" w:eastAsia="ArialMT" w:hAnsi="Arial" w:cs="Arial"/>
          <w:sz w:val="24"/>
          <w:szCs w:val="24"/>
        </w:rPr>
        <w:tab/>
        <w:t xml:space="preserve">Advocate S P </w:t>
      </w:r>
      <w:proofErr w:type="spellStart"/>
      <w:r>
        <w:rPr>
          <w:rFonts w:ascii="Arial" w:eastAsia="ArialMT" w:hAnsi="Arial" w:cs="Arial"/>
          <w:sz w:val="24"/>
          <w:szCs w:val="24"/>
        </w:rPr>
        <w:t>Anderton</w:t>
      </w:r>
      <w:proofErr w:type="spellEnd"/>
    </w:p>
    <w:p w:rsidR="00E54483" w:rsidRDefault="00E54483" w:rsidP="00E54483">
      <w:pPr>
        <w:autoSpaceDE w:val="0"/>
        <w:autoSpaceDN w:val="0"/>
        <w:adjustRightInd w:val="0"/>
        <w:spacing w:after="0" w:line="240" w:lineRule="auto"/>
        <w:ind w:left="5040" w:hanging="5040"/>
        <w:rPr>
          <w:rFonts w:ascii="Arial" w:eastAsia="ArialMT" w:hAnsi="Arial" w:cs="Arial"/>
          <w:sz w:val="24"/>
          <w:szCs w:val="24"/>
        </w:rPr>
      </w:pPr>
      <w:r>
        <w:rPr>
          <w:rFonts w:ascii="Arial" w:eastAsia="ArialMT" w:hAnsi="Arial" w:cs="Arial"/>
          <w:sz w:val="24"/>
          <w:szCs w:val="24"/>
        </w:rPr>
        <w:t>Instructed by:</w:t>
      </w:r>
      <w:r>
        <w:rPr>
          <w:rFonts w:ascii="Arial" w:eastAsia="ArialMT" w:hAnsi="Arial" w:cs="Arial"/>
          <w:sz w:val="24"/>
          <w:szCs w:val="24"/>
        </w:rPr>
        <w:tab/>
      </w:r>
      <w:r>
        <w:rPr>
          <w:rFonts w:ascii="Arial" w:eastAsia="ArialMT" w:hAnsi="Arial" w:cs="Arial"/>
          <w:sz w:val="24"/>
          <w:szCs w:val="24"/>
        </w:rPr>
        <w:tab/>
      </w:r>
      <w:proofErr w:type="spellStart"/>
      <w:r w:rsidR="005F5FAD">
        <w:rPr>
          <w:rFonts w:ascii="Arial" w:eastAsia="ArialMT" w:hAnsi="Arial" w:cs="Arial"/>
          <w:sz w:val="24"/>
          <w:szCs w:val="24"/>
        </w:rPr>
        <w:t>Chelin</w:t>
      </w:r>
      <w:proofErr w:type="spellEnd"/>
      <w:r w:rsidR="005F5FAD">
        <w:rPr>
          <w:rFonts w:ascii="Arial" w:eastAsia="ArialMT" w:hAnsi="Arial" w:cs="Arial"/>
          <w:sz w:val="24"/>
          <w:szCs w:val="24"/>
        </w:rPr>
        <w:t xml:space="preserve"> &amp; Associates</w:t>
      </w:r>
    </w:p>
    <w:p w:rsidR="00E54483" w:rsidRDefault="00E54483" w:rsidP="00E54483">
      <w:pPr>
        <w:autoSpaceDE w:val="0"/>
        <w:autoSpaceDN w:val="0"/>
        <w:adjustRightInd w:val="0"/>
        <w:spacing w:after="0" w:line="240" w:lineRule="auto"/>
        <w:ind w:left="5040" w:hanging="5040"/>
        <w:rPr>
          <w:rFonts w:ascii="Arial" w:hAnsi="Arial" w:cs="Arial"/>
          <w:sz w:val="24"/>
          <w:szCs w:val="24"/>
        </w:rPr>
      </w:pP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hAnsi="Arial" w:cs="Arial"/>
          <w:sz w:val="24"/>
          <w:szCs w:val="24"/>
        </w:rPr>
        <w:t xml:space="preserve">           </w:t>
      </w:r>
    </w:p>
    <w:p w:rsidR="00E54483" w:rsidRDefault="00E54483" w:rsidP="00E54483">
      <w:pPr>
        <w:autoSpaceDE w:val="0"/>
        <w:autoSpaceDN w:val="0"/>
        <w:adjustRightInd w:val="0"/>
        <w:spacing w:after="0" w:line="240" w:lineRule="auto"/>
        <w:rPr>
          <w:rFonts w:ascii="Arial" w:eastAsia="ArialMT" w:hAnsi="Arial" w:cs="Arial"/>
          <w:sz w:val="24"/>
          <w:szCs w:val="24"/>
        </w:rPr>
      </w:pPr>
    </w:p>
    <w:p w:rsidR="00E54483" w:rsidRDefault="005F5FAD" w:rsidP="00E54483">
      <w:pPr>
        <w:autoSpaceDE w:val="0"/>
        <w:autoSpaceDN w:val="0"/>
        <w:adjustRightInd w:val="0"/>
        <w:spacing w:after="0" w:line="240" w:lineRule="auto"/>
        <w:rPr>
          <w:rFonts w:ascii="Arial" w:eastAsia="ArialMT" w:hAnsi="Arial" w:cs="Arial"/>
          <w:sz w:val="24"/>
          <w:szCs w:val="24"/>
        </w:rPr>
      </w:pPr>
      <w:r>
        <w:rPr>
          <w:rFonts w:ascii="Arial" w:eastAsia="ArialMT" w:hAnsi="Arial" w:cs="Arial"/>
          <w:sz w:val="24"/>
          <w:szCs w:val="24"/>
        </w:rPr>
        <w:t xml:space="preserve">DATES OF HEARING: </w:t>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t>26 January 2023</w:t>
      </w:r>
    </w:p>
    <w:p w:rsidR="00E54483" w:rsidRDefault="00E54483" w:rsidP="00E54483">
      <w:pPr>
        <w:autoSpaceDE w:val="0"/>
        <w:autoSpaceDN w:val="0"/>
        <w:adjustRightInd w:val="0"/>
        <w:spacing w:after="0" w:line="240" w:lineRule="auto"/>
        <w:rPr>
          <w:rFonts w:ascii="Arial" w:eastAsia="ArialMT" w:hAnsi="Arial" w:cs="Arial"/>
          <w:sz w:val="24"/>
          <w:szCs w:val="24"/>
        </w:rPr>
      </w:pP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p>
    <w:p w:rsidR="00E54483" w:rsidRDefault="00E54483" w:rsidP="00E54483">
      <w:pPr>
        <w:autoSpaceDE w:val="0"/>
        <w:autoSpaceDN w:val="0"/>
        <w:adjustRightInd w:val="0"/>
        <w:spacing w:after="0" w:line="240" w:lineRule="auto"/>
        <w:rPr>
          <w:rFonts w:ascii="Arial" w:eastAsia="ArialMT" w:hAnsi="Arial" w:cs="Arial"/>
          <w:sz w:val="24"/>
          <w:szCs w:val="24"/>
        </w:rPr>
      </w:pPr>
    </w:p>
    <w:p w:rsidR="00E54483" w:rsidRDefault="005F5FAD" w:rsidP="00E54483">
      <w:pPr>
        <w:spacing w:line="240" w:lineRule="auto"/>
        <w:jc w:val="both"/>
        <w:rPr>
          <w:rFonts w:ascii="Arial" w:hAnsi="Arial" w:cs="Arial"/>
          <w:color w:val="242121"/>
          <w:sz w:val="27"/>
          <w:szCs w:val="27"/>
        </w:rPr>
      </w:pPr>
      <w:r>
        <w:rPr>
          <w:rFonts w:ascii="Arial" w:eastAsia="ArialMT" w:hAnsi="Arial" w:cs="Arial"/>
          <w:sz w:val="24"/>
          <w:szCs w:val="24"/>
        </w:rPr>
        <w:t xml:space="preserve">DATE OF JUDGEMENT: </w:t>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t>09 February 2023</w:t>
      </w:r>
    </w:p>
    <w:p w:rsidR="00E54483" w:rsidRDefault="00E54483"/>
    <w:sectPr w:rsidR="00E54483">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946" w:rsidRDefault="00756946" w:rsidP="00E54483">
      <w:pPr>
        <w:spacing w:after="0" w:line="240" w:lineRule="auto"/>
      </w:pPr>
      <w:r>
        <w:separator/>
      </w:r>
    </w:p>
  </w:endnote>
  <w:endnote w:type="continuationSeparator" w:id="0">
    <w:p w:rsidR="00756946" w:rsidRDefault="00756946" w:rsidP="00E5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865449"/>
      <w:docPartObj>
        <w:docPartGallery w:val="Page Numbers (Bottom of Page)"/>
        <w:docPartUnique/>
      </w:docPartObj>
    </w:sdtPr>
    <w:sdtEndPr>
      <w:rPr>
        <w:noProof/>
      </w:rPr>
    </w:sdtEndPr>
    <w:sdtContent>
      <w:p w:rsidR="00E54483" w:rsidRDefault="00E54483">
        <w:pPr>
          <w:pStyle w:val="Footer"/>
          <w:jc w:val="right"/>
        </w:pPr>
        <w:r>
          <w:fldChar w:fldCharType="begin"/>
        </w:r>
        <w:r>
          <w:instrText xml:space="preserve"> PAGE   \* MERGEFORMAT </w:instrText>
        </w:r>
        <w:r>
          <w:fldChar w:fldCharType="separate"/>
        </w:r>
        <w:r w:rsidR="00105405">
          <w:rPr>
            <w:noProof/>
          </w:rPr>
          <w:t>8</w:t>
        </w:r>
        <w:r>
          <w:rPr>
            <w:noProof/>
          </w:rPr>
          <w:fldChar w:fldCharType="end"/>
        </w:r>
      </w:p>
    </w:sdtContent>
  </w:sdt>
  <w:p w:rsidR="00E54483" w:rsidRDefault="00E544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946" w:rsidRDefault="00756946" w:rsidP="00E54483">
      <w:pPr>
        <w:spacing w:after="0" w:line="240" w:lineRule="auto"/>
      </w:pPr>
      <w:r>
        <w:separator/>
      </w:r>
    </w:p>
  </w:footnote>
  <w:footnote w:type="continuationSeparator" w:id="0">
    <w:p w:rsidR="00756946" w:rsidRDefault="00756946" w:rsidP="00E54483">
      <w:pPr>
        <w:spacing w:after="0" w:line="240" w:lineRule="auto"/>
      </w:pPr>
      <w:r>
        <w:continuationSeparator/>
      </w:r>
    </w:p>
  </w:footnote>
  <w:footnote w:id="1">
    <w:p w:rsidR="00462345" w:rsidRPr="00462345" w:rsidRDefault="00462345">
      <w:pPr>
        <w:pStyle w:val="FootnoteText"/>
        <w:rPr>
          <w:lang w:val="en-ZA"/>
        </w:rPr>
      </w:pPr>
      <w:r>
        <w:rPr>
          <w:rStyle w:val="FootnoteReference"/>
        </w:rPr>
        <w:footnoteRef/>
      </w:r>
      <w:r>
        <w:rPr>
          <w:rStyle w:val="FootnoteReference"/>
        </w:rPr>
        <w:t xml:space="preserve"> </w:t>
      </w:r>
      <w:r>
        <w:rPr>
          <w:lang w:val="en-ZA"/>
        </w:rPr>
        <w:t>Particulars of Claim, para 5.</w:t>
      </w:r>
    </w:p>
  </w:footnote>
  <w:footnote w:id="2">
    <w:p w:rsidR="00462345" w:rsidRPr="00462345" w:rsidRDefault="00462345">
      <w:pPr>
        <w:pStyle w:val="FootnoteText"/>
        <w:rPr>
          <w:lang w:val="en-ZA"/>
        </w:rPr>
      </w:pPr>
      <w:r>
        <w:rPr>
          <w:rStyle w:val="FootnoteReference"/>
        </w:rPr>
        <w:footnoteRef/>
      </w:r>
      <w:r>
        <w:t xml:space="preserve"> </w:t>
      </w:r>
      <w:r>
        <w:rPr>
          <w:lang w:val="en-ZA"/>
        </w:rPr>
        <w:t>Particulars of Claim, para 7.</w:t>
      </w:r>
    </w:p>
  </w:footnote>
  <w:footnote w:id="3">
    <w:p w:rsidR="007771B4" w:rsidRPr="007771B4" w:rsidRDefault="007771B4">
      <w:pPr>
        <w:pStyle w:val="FootnoteText"/>
        <w:rPr>
          <w:lang w:val="en-ZA"/>
        </w:rPr>
      </w:pPr>
      <w:r>
        <w:rPr>
          <w:rStyle w:val="FootnoteReference"/>
        </w:rPr>
        <w:footnoteRef/>
      </w:r>
      <w:r>
        <w:t xml:space="preserve"> </w:t>
      </w:r>
      <w:r>
        <w:rPr>
          <w:lang w:val="en-ZA"/>
        </w:rPr>
        <w:t>Particulars of Claim, para 8.</w:t>
      </w:r>
    </w:p>
  </w:footnote>
  <w:footnote w:id="4">
    <w:p w:rsidR="00C70C15" w:rsidRPr="00C70C15" w:rsidRDefault="00C70C15">
      <w:pPr>
        <w:pStyle w:val="FootnoteText"/>
        <w:rPr>
          <w:lang w:val="en-ZA"/>
        </w:rPr>
      </w:pPr>
      <w:r>
        <w:rPr>
          <w:rStyle w:val="FootnoteReference"/>
        </w:rPr>
        <w:footnoteRef/>
      </w:r>
      <w:r>
        <w:t xml:space="preserve"> </w:t>
      </w:r>
      <w:r>
        <w:rPr>
          <w:lang w:val="en-ZA"/>
        </w:rPr>
        <w:t>Particulars of Claim, paras 11 and 12.</w:t>
      </w:r>
    </w:p>
  </w:footnote>
  <w:footnote w:id="5">
    <w:p w:rsidR="00D178E5" w:rsidRPr="00D178E5" w:rsidRDefault="00D178E5">
      <w:pPr>
        <w:pStyle w:val="FootnoteText"/>
        <w:rPr>
          <w:lang w:val="en-ZA"/>
        </w:rPr>
      </w:pPr>
      <w:r>
        <w:rPr>
          <w:rStyle w:val="FootnoteReference"/>
        </w:rPr>
        <w:footnoteRef/>
      </w:r>
      <w:r>
        <w:t xml:space="preserve"> </w:t>
      </w:r>
      <w:r>
        <w:rPr>
          <w:lang w:val="en-ZA"/>
        </w:rPr>
        <w:t>Particulars of Claim, para 14.</w:t>
      </w:r>
    </w:p>
  </w:footnote>
  <w:footnote w:id="6">
    <w:p w:rsidR="00535842" w:rsidRPr="00695E6B" w:rsidRDefault="00535842" w:rsidP="00535842">
      <w:pPr>
        <w:pStyle w:val="FootnoteText"/>
      </w:pPr>
      <w:r w:rsidRPr="00695E6B">
        <w:rPr>
          <w:rStyle w:val="FootnoteReference"/>
        </w:rPr>
        <w:footnoteRef/>
      </w:r>
      <w:r w:rsidRPr="00695E6B">
        <w:t xml:space="preserve"> </w:t>
      </w:r>
      <w:proofErr w:type="spellStart"/>
      <w:r>
        <w:rPr>
          <w:i/>
        </w:rPr>
        <w:t>Scholtz</w:t>
      </w:r>
      <w:proofErr w:type="spellEnd"/>
      <w:r>
        <w:rPr>
          <w:i/>
        </w:rPr>
        <w:t xml:space="preserve"> and Another v </w:t>
      </w:r>
      <w:proofErr w:type="spellStart"/>
      <w:r>
        <w:rPr>
          <w:i/>
        </w:rPr>
        <w:t>Merryweat</w:t>
      </w:r>
      <w:r w:rsidRPr="00695E6B">
        <w:rPr>
          <w:i/>
        </w:rPr>
        <w:t>her</w:t>
      </w:r>
      <w:proofErr w:type="spellEnd"/>
      <w:r>
        <w:rPr>
          <w:i/>
        </w:rPr>
        <w:t xml:space="preserve"> and Others</w:t>
      </w:r>
      <w:r w:rsidRPr="00695E6B">
        <w:t xml:space="preserve"> 2014 (6) SA 90 (WCC) at 93D-96C.</w:t>
      </w:r>
    </w:p>
  </w:footnote>
  <w:footnote w:id="7">
    <w:p w:rsidR="002710D3" w:rsidRPr="009F5354" w:rsidRDefault="002710D3" w:rsidP="002710D3">
      <w:pPr>
        <w:pStyle w:val="FootnoteText"/>
        <w:rPr>
          <w:rFonts w:ascii="Times New Roman" w:hAnsi="Times New Roman" w:cs="Times New Roman"/>
        </w:rPr>
      </w:pPr>
      <w:r w:rsidRPr="009F5354">
        <w:rPr>
          <w:rStyle w:val="FootnoteReference"/>
          <w:rFonts w:ascii="Times New Roman" w:hAnsi="Times New Roman" w:cs="Times New Roman"/>
        </w:rPr>
        <w:footnoteRef/>
      </w:r>
      <w:r w:rsidRPr="009F5354">
        <w:rPr>
          <w:rFonts w:ascii="Times New Roman" w:hAnsi="Times New Roman" w:cs="Times New Roman"/>
        </w:rPr>
        <w:t xml:space="preserve"> </w:t>
      </w:r>
      <w:proofErr w:type="spellStart"/>
      <w:r w:rsidRPr="00B32B80">
        <w:rPr>
          <w:rFonts w:ascii="Times New Roman" w:hAnsi="Times New Roman" w:cs="Times New Roman"/>
          <w:i/>
        </w:rPr>
        <w:t>Bezuidenhout</w:t>
      </w:r>
      <w:proofErr w:type="spellEnd"/>
      <w:r w:rsidRPr="00B32B80">
        <w:rPr>
          <w:rFonts w:ascii="Times New Roman" w:hAnsi="Times New Roman" w:cs="Times New Roman"/>
          <w:i/>
        </w:rPr>
        <w:t xml:space="preserve"> v </w:t>
      </w:r>
      <w:proofErr w:type="spellStart"/>
      <w:r w:rsidRPr="00B32B80">
        <w:rPr>
          <w:rFonts w:ascii="Times New Roman" w:hAnsi="Times New Roman" w:cs="Times New Roman"/>
          <w:i/>
        </w:rPr>
        <w:t>Patensie</w:t>
      </w:r>
      <w:proofErr w:type="spellEnd"/>
      <w:r w:rsidRPr="00B32B80">
        <w:rPr>
          <w:rFonts w:ascii="Times New Roman" w:hAnsi="Times New Roman" w:cs="Times New Roman"/>
          <w:i/>
        </w:rPr>
        <w:t xml:space="preserve"> </w:t>
      </w:r>
      <w:proofErr w:type="spellStart"/>
      <w:r w:rsidRPr="00B32B80">
        <w:rPr>
          <w:rFonts w:ascii="Times New Roman" w:hAnsi="Times New Roman" w:cs="Times New Roman"/>
          <w:i/>
        </w:rPr>
        <w:t>Sitrus</w:t>
      </w:r>
      <w:proofErr w:type="spellEnd"/>
      <w:r w:rsidRPr="00B32B80">
        <w:rPr>
          <w:rFonts w:ascii="Times New Roman" w:hAnsi="Times New Roman" w:cs="Times New Roman"/>
          <w:i/>
        </w:rPr>
        <w:t xml:space="preserve"> </w:t>
      </w:r>
      <w:proofErr w:type="spellStart"/>
      <w:r w:rsidRPr="00B32B80">
        <w:rPr>
          <w:rFonts w:ascii="Times New Roman" w:hAnsi="Times New Roman" w:cs="Times New Roman"/>
          <w:i/>
        </w:rPr>
        <w:t>Beherend</w:t>
      </w:r>
      <w:proofErr w:type="spellEnd"/>
      <w:r w:rsidRPr="00B32B80">
        <w:rPr>
          <w:rFonts w:ascii="Times New Roman" w:hAnsi="Times New Roman" w:cs="Times New Roman"/>
          <w:i/>
        </w:rPr>
        <w:t xml:space="preserve"> </w:t>
      </w:r>
      <w:proofErr w:type="spellStart"/>
      <w:r w:rsidRPr="00B32B80">
        <w:rPr>
          <w:rFonts w:ascii="Times New Roman" w:hAnsi="Times New Roman" w:cs="Times New Roman"/>
          <w:i/>
        </w:rPr>
        <w:t>Bpk</w:t>
      </w:r>
      <w:proofErr w:type="spellEnd"/>
      <w:r w:rsidRPr="009F5354">
        <w:rPr>
          <w:rFonts w:ascii="Times New Roman" w:hAnsi="Times New Roman" w:cs="Times New Roman"/>
        </w:rPr>
        <w:t xml:space="preserve"> 2001 (2) SA 224 (E) at 229B-C; </w:t>
      </w:r>
      <w:r w:rsidRPr="00B32B80">
        <w:rPr>
          <w:rFonts w:ascii="Times New Roman" w:hAnsi="Times New Roman" w:cs="Times New Roman"/>
          <w:i/>
        </w:rPr>
        <w:t xml:space="preserve">MEC for Economic Affairs, Environment and Tourism v </w:t>
      </w:r>
      <w:proofErr w:type="spellStart"/>
      <w:r w:rsidRPr="00B32B80">
        <w:rPr>
          <w:rFonts w:ascii="Times New Roman" w:hAnsi="Times New Roman" w:cs="Times New Roman"/>
          <w:i/>
        </w:rPr>
        <w:t>Kruissenga</w:t>
      </w:r>
      <w:proofErr w:type="spellEnd"/>
      <w:r w:rsidRPr="009F5354">
        <w:rPr>
          <w:rFonts w:ascii="Times New Roman" w:hAnsi="Times New Roman" w:cs="Times New Roman"/>
        </w:rPr>
        <w:t xml:space="preserve"> 2008 (6) SA 264 (</w:t>
      </w:r>
      <w:proofErr w:type="spellStart"/>
      <w:r w:rsidRPr="009F5354">
        <w:rPr>
          <w:rFonts w:ascii="Times New Roman" w:hAnsi="Times New Roman" w:cs="Times New Roman"/>
        </w:rPr>
        <w:t>CkHC</w:t>
      </w:r>
      <w:proofErr w:type="spellEnd"/>
      <w:r w:rsidRPr="009F5354">
        <w:rPr>
          <w:rFonts w:ascii="Times New Roman" w:hAnsi="Times New Roman" w:cs="Times New Roman"/>
        </w:rPr>
        <w:t xml:space="preserve">) at 277C; </w:t>
      </w:r>
      <w:r w:rsidRPr="00B32B80">
        <w:rPr>
          <w:rFonts w:ascii="Times New Roman" w:hAnsi="Times New Roman" w:cs="Times New Roman"/>
          <w:i/>
        </w:rPr>
        <w:t>Jacobs v Baumann NO</w:t>
      </w:r>
      <w:r w:rsidRPr="009F5354">
        <w:rPr>
          <w:rFonts w:ascii="Times New Roman" w:hAnsi="Times New Roman" w:cs="Times New Roman"/>
        </w:rPr>
        <w:t xml:space="preserve"> 2009 (5) SA 432 (SCA) at 439G-H.</w:t>
      </w:r>
    </w:p>
  </w:footnote>
  <w:footnote w:id="8">
    <w:p w:rsidR="002710D3" w:rsidRPr="009F5354" w:rsidRDefault="002710D3" w:rsidP="002710D3">
      <w:pPr>
        <w:pStyle w:val="FootnoteText"/>
        <w:rPr>
          <w:rFonts w:ascii="Times New Roman" w:hAnsi="Times New Roman" w:cs="Times New Roman"/>
        </w:rPr>
      </w:pPr>
      <w:r w:rsidRPr="009F5354">
        <w:rPr>
          <w:rStyle w:val="FootnoteReference"/>
          <w:rFonts w:ascii="Times New Roman" w:hAnsi="Times New Roman" w:cs="Times New Roman"/>
        </w:rPr>
        <w:footnoteRef/>
      </w:r>
      <w:r w:rsidRPr="009F5354">
        <w:rPr>
          <w:rFonts w:ascii="Times New Roman" w:hAnsi="Times New Roman" w:cs="Times New Roman"/>
        </w:rPr>
        <w:t xml:space="preserve"> </w:t>
      </w:r>
      <w:r w:rsidRPr="00B32B80">
        <w:rPr>
          <w:rFonts w:ascii="Times New Roman" w:hAnsi="Times New Roman" w:cs="Times New Roman"/>
          <w:i/>
        </w:rPr>
        <w:t>Blue Moonlight Properties</w:t>
      </w:r>
      <w:r w:rsidRPr="009F5354">
        <w:rPr>
          <w:rFonts w:ascii="Times New Roman" w:hAnsi="Times New Roman" w:cs="Times New Roman"/>
        </w:rPr>
        <w:t xml:space="preserve"> </w:t>
      </w:r>
      <w:r w:rsidRPr="00B32B80">
        <w:rPr>
          <w:rFonts w:ascii="Times New Roman" w:hAnsi="Times New Roman" w:cs="Times New Roman"/>
          <w:i/>
        </w:rPr>
        <w:t>39 (Pty) Ltd v Occupiers of Saratoga Avenue</w:t>
      </w:r>
      <w:r w:rsidRPr="009F5354">
        <w:rPr>
          <w:rFonts w:ascii="Times New Roman" w:hAnsi="Times New Roman" w:cs="Times New Roman"/>
        </w:rPr>
        <w:t xml:space="preserve"> 2009 (1) SA 470 (W) at 473C; </w:t>
      </w:r>
      <w:proofErr w:type="spellStart"/>
      <w:r w:rsidRPr="009F5354">
        <w:rPr>
          <w:rFonts w:ascii="Times New Roman" w:hAnsi="Times New Roman" w:cs="Times New Roman"/>
        </w:rPr>
        <w:t>Culverwell</w:t>
      </w:r>
      <w:proofErr w:type="spellEnd"/>
      <w:r w:rsidRPr="009F5354">
        <w:rPr>
          <w:rFonts w:ascii="Times New Roman" w:hAnsi="Times New Roman" w:cs="Times New Roman"/>
        </w:rPr>
        <w:t xml:space="preserve"> v Beira 1992 (4) SA 494A-C.</w:t>
      </w:r>
    </w:p>
  </w:footnote>
  <w:footnote w:id="9">
    <w:p w:rsidR="002710D3" w:rsidRPr="009F5354" w:rsidRDefault="002710D3" w:rsidP="002710D3">
      <w:pPr>
        <w:pStyle w:val="FootnoteText"/>
        <w:rPr>
          <w:rFonts w:ascii="Times New Roman" w:hAnsi="Times New Roman" w:cs="Times New Roman"/>
        </w:rPr>
      </w:pPr>
      <w:r w:rsidRPr="009F5354">
        <w:rPr>
          <w:rStyle w:val="FootnoteReference"/>
          <w:rFonts w:ascii="Times New Roman" w:hAnsi="Times New Roman" w:cs="Times New Roman"/>
        </w:rPr>
        <w:footnoteRef/>
      </w:r>
      <w:r w:rsidRPr="009F5354">
        <w:rPr>
          <w:rFonts w:ascii="Times New Roman" w:hAnsi="Times New Roman" w:cs="Times New Roman"/>
        </w:rPr>
        <w:t xml:space="preserve"> Jones and Buckle ‘</w:t>
      </w:r>
      <w:r w:rsidRPr="00B32B80">
        <w:rPr>
          <w:rFonts w:ascii="Times New Roman" w:hAnsi="Times New Roman" w:cs="Times New Roman"/>
          <w:i/>
        </w:rPr>
        <w:t>The Civil Practice of the Magistrates’</w:t>
      </w:r>
      <w:r w:rsidRPr="009F5354">
        <w:rPr>
          <w:rFonts w:ascii="Times New Roman" w:hAnsi="Times New Roman" w:cs="Times New Roman"/>
        </w:rPr>
        <w:t xml:space="preserve"> Courts in South Africa’ </w:t>
      </w:r>
      <w:proofErr w:type="spellStart"/>
      <w:r w:rsidRPr="009F5354">
        <w:rPr>
          <w:rFonts w:ascii="Times New Roman" w:hAnsi="Times New Roman" w:cs="Times New Roman"/>
        </w:rPr>
        <w:t>Juta</w:t>
      </w:r>
      <w:proofErr w:type="spellEnd"/>
      <w:r w:rsidRPr="009F5354">
        <w:rPr>
          <w:rFonts w:ascii="Times New Roman" w:hAnsi="Times New Roman" w:cs="Times New Roman"/>
        </w:rPr>
        <w:t xml:space="preserve"> Law [service 25, 2010] </w:t>
      </w:r>
    </w:p>
  </w:footnote>
  <w:footnote w:id="10">
    <w:p w:rsidR="002710D3" w:rsidRDefault="002710D3" w:rsidP="002710D3">
      <w:pPr>
        <w:pStyle w:val="FootnoteText"/>
      </w:pPr>
      <w:r>
        <w:rPr>
          <w:rStyle w:val="FootnoteReference"/>
        </w:rPr>
        <w:footnoteRef/>
      </w:r>
      <w:r>
        <w:t xml:space="preserve"> 1954 (2) SA 345 (A)at 352H-353A. </w:t>
      </w:r>
    </w:p>
  </w:footnote>
  <w:footnote w:id="11">
    <w:p w:rsidR="002710D3" w:rsidRDefault="002710D3" w:rsidP="002710D3">
      <w:pPr>
        <w:pStyle w:val="FootnoteText"/>
      </w:pPr>
      <w:r>
        <w:rPr>
          <w:rStyle w:val="FootnoteReference"/>
        </w:rPr>
        <w:footnoteRef/>
      </w:r>
      <w:r>
        <w:t xml:space="preserve"> 1999 (2) SA 76 (W)at 79C-D.</w:t>
      </w:r>
    </w:p>
  </w:footnote>
  <w:footnote w:id="12">
    <w:p w:rsidR="002710D3" w:rsidRDefault="002710D3" w:rsidP="002710D3">
      <w:pPr>
        <w:pStyle w:val="FootnoteText"/>
      </w:pPr>
      <w:r>
        <w:rPr>
          <w:rStyle w:val="FootnoteReference"/>
        </w:rPr>
        <w:footnoteRef/>
      </w:r>
      <w:r>
        <w:t xml:space="preserve"> 1999 (4) SA 462 (W) at 464H-I.</w:t>
      </w:r>
    </w:p>
  </w:footnote>
  <w:footnote w:id="13">
    <w:p w:rsidR="002B1412" w:rsidRPr="002B1412" w:rsidRDefault="002B1412">
      <w:pPr>
        <w:pStyle w:val="FootnoteText"/>
        <w:rPr>
          <w:lang w:val="en-ZA"/>
        </w:rPr>
      </w:pPr>
      <w:r>
        <w:rPr>
          <w:rStyle w:val="FootnoteReference"/>
        </w:rPr>
        <w:footnoteRef/>
      </w:r>
      <w:r>
        <w:t xml:space="preserve"> </w:t>
      </w:r>
      <w:r>
        <w:rPr>
          <w:lang w:val="en-ZA"/>
        </w:rPr>
        <w:t xml:space="preserve">Index to Application for Rescission of Judgement, pages 28 -30. </w:t>
      </w:r>
    </w:p>
  </w:footnote>
  <w:footnote w:id="14">
    <w:p w:rsidR="003543EB" w:rsidRPr="003543EB" w:rsidRDefault="003543EB">
      <w:pPr>
        <w:pStyle w:val="FootnoteText"/>
        <w:rPr>
          <w:lang w:val="en-ZA"/>
        </w:rPr>
      </w:pPr>
      <w:r>
        <w:rPr>
          <w:rStyle w:val="FootnoteReference"/>
        </w:rPr>
        <w:footnoteRef/>
      </w:r>
      <w:r>
        <w:t xml:space="preserve"> </w:t>
      </w:r>
      <w:r>
        <w:rPr>
          <w:lang w:val="en-ZA"/>
        </w:rPr>
        <w:t>(1072/2020) [2021] ZAECGHC, para 19.</w:t>
      </w:r>
    </w:p>
  </w:footnote>
  <w:footnote w:id="15">
    <w:p w:rsidR="002C2059" w:rsidRPr="002C2059" w:rsidRDefault="002C2059">
      <w:pPr>
        <w:pStyle w:val="FootnoteText"/>
        <w:rPr>
          <w:lang w:val="en-ZA"/>
        </w:rPr>
      </w:pPr>
      <w:r>
        <w:rPr>
          <w:rStyle w:val="FootnoteReference"/>
        </w:rPr>
        <w:footnoteRef/>
      </w:r>
      <w:r>
        <w:t xml:space="preserve"> </w:t>
      </w:r>
      <w:r>
        <w:rPr>
          <w:lang w:val="en-ZA"/>
        </w:rPr>
        <w:t>Respondent’s Heads of Argument, para 10, page 6.</w:t>
      </w:r>
    </w:p>
  </w:footnote>
  <w:footnote w:id="16">
    <w:p w:rsidR="00AE0463" w:rsidRDefault="00AE0463">
      <w:pPr>
        <w:pStyle w:val="FootnoteText"/>
      </w:pPr>
      <w:r>
        <w:rPr>
          <w:rStyle w:val="FootnoteReference"/>
        </w:rPr>
        <w:footnoteRef/>
      </w:r>
      <w:r>
        <w:t xml:space="preserve"> Index to Application for Rescission of Judgement, Annexure AA7, page 88.</w:t>
      </w:r>
    </w:p>
  </w:footnote>
  <w:footnote w:id="17">
    <w:p w:rsidR="00674DA6" w:rsidRPr="00674DA6" w:rsidRDefault="00674DA6">
      <w:pPr>
        <w:pStyle w:val="FootnoteText"/>
        <w:rPr>
          <w:lang w:val="en-ZA"/>
        </w:rPr>
      </w:pPr>
      <w:r>
        <w:rPr>
          <w:rStyle w:val="FootnoteReference"/>
        </w:rPr>
        <w:footnoteRef/>
      </w:r>
      <w:r>
        <w:t xml:space="preserve"> Index to Application for Rescission of Judgement, </w:t>
      </w:r>
      <w:r>
        <w:rPr>
          <w:lang w:val="en-ZA"/>
        </w:rPr>
        <w:t>Respondent’s Answering Affidavit, para 71, page 53.</w:t>
      </w:r>
    </w:p>
  </w:footnote>
  <w:footnote w:id="18">
    <w:p w:rsidR="009E31D7" w:rsidRPr="009E31D7" w:rsidRDefault="009E31D7">
      <w:pPr>
        <w:pStyle w:val="FootnoteText"/>
        <w:rPr>
          <w:lang w:val="en-ZA"/>
        </w:rPr>
      </w:pPr>
      <w:r>
        <w:rPr>
          <w:rStyle w:val="FootnoteReference"/>
        </w:rPr>
        <w:footnoteRef/>
      </w:r>
      <w:r>
        <w:rPr>
          <w:rStyle w:val="FootnoteReference"/>
        </w:rPr>
        <w:footnoteRef/>
      </w:r>
      <w:r>
        <w:t xml:space="preserve"> 2006 (4) SA 527 (T), para 8.</w:t>
      </w:r>
    </w:p>
  </w:footnote>
  <w:footnote w:id="19">
    <w:p w:rsidR="004B59C1" w:rsidRDefault="004B59C1" w:rsidP="004B59C1">
      <w:pPr>
        <w:autoSpaceDE w:val="0"/>
        <w:autoSpaceDN w:val="0"/>
        <w:adjustRightInd w:val="0"/>
        <w:spacing w:after="0" w:line="240" w:lineRule="auto"/>
        <w:rPr>
          <w:rFonts w:ascii="Verdana" w:hAnsi="Verdana" w:cs="Verdana"/>
          <w:sz w:val="17"/>
          <w:szCs w:val="17"/>
          <w:lang w:val="en-ZA"/>
        </w:rPr>
      </w:pPr>
      <w:r>
        <w:rPr>
          <w:rStyle w:val="FootnoteReference"/>
        </w:rPr>
        <w:footnoteRef/>
      </w:r>
      <w:r>
        <w:t xml:space="preserve"> </w:t>
      </w:r>
      <w:proofErr w:type="gramStart"/>
      <w:r>
        <w:t xml:space="preserve">‘ </w:t>
      </w:r>
      <w:r>
        <w:rPr>
          <w:rFonts w:ascii="Verdana" w:hAnsi="Verdana" w:cs="Verdana"/>
          <w:sz w:val="17"/>
          <w:szCs w:val="17"/>
          <w:lang w:val="en-ZA"/>
        </w:rPr>
        <w:t>if</w:t>
      </w:r>
      <w:proofErr w:type="gramEnd"/>
      <w:r>
        <w:rPr>
          <w:rFonts w:ascii="Verdana" w:hAnsi="Verdana" w:cs="Verdana"/>
          <w:sz w:val="17"/>
          <w:szCs w:val="17"/>
          <w:lang w:val="en-ZA"/>
        </w:rPr>
        <w:t xml:space="preserve"> the person so to be served has chosen a </w:t>
      </w:r>
      <w:proofErr w:type="spellStart"/>
      <w:r>
        <w:rPr>
          <w:rFonts w:ascii="Verdana-Italic" w:hAnsi="Verdana-Italic" w:cs="Verdana-Italic"/>
          <w:i/>
          <w:iCs/>
          <w:sz w:val="17"/>
          <w:szCs w:val="17"/>
          <w:lang w:val="en-ZA"/>
        </w:rPr>
        <w:t>domicilium</w:t>
      </w:r>
      <w:proofErr w:type="spellEnd"/>
      <w:r>
        <w:rPr>
          <w:rFonts w:ascii="Verdana-Italic" w:hAnsi="Verdana-Italic" w:cs="Verdana-Italic"/>
          <w:i/>
          <w:iCs/>
          <w:sz w:val="17"/>
          <w:szCs w:val="17"/>
          <w:lang w:val="en-ZA"/>
        </w:rPr>
        <w:t xml:space="preserve"> </w:t>
      </w:r>
      <w:proofErr w:type="spellStart"/>
      <w:r>
        <w:rPr>
          <w:rFonts w:ascii="Verdana-Italic" w:hAnsi="Verdana-Italic" w:cs="Verdana-Italic"/>
          <w:i/>
          <w:iCs/>
          <w:sz w:val="17"/>
          <w:szCs w:val="17"/>
          <w:lang w:val="en-ZA"/>
        </w:rPr>
        <w:t>citandi</w:t>
      </w:r>
      <w:proofErr w:type="spellEnd"/>
      <w:r>
        <w:rPr>
          <w:rFonts w:ascii="Verdana" w:hAnsi="Verdana" w:cs="Verdana"/>
          <w:sz w:val="17"/>
          <w:szCs w:val="17"/>
          <w:lang w:val="en-ZA"/>
        </w:rPr>
        <w:t>, by delivering a copy thereof at the</w:t>
      </w:r>
    </w:p>
    <w:p w:rsidR="004B59C1" w:rsidRDefault="004B59C1" w:rsidP="004B59C1">
      <w:pPr>
        <w:autoSpaceDE w:val="0"/>
        <w:autoSpaceDN w:val="0"/>
        <w:adjustRightInd w:val="0"/>
        <w:spacing w:after="0" w:line="240" w:lineRule="auto"/>
        <w:rPr>
          <w:rFonts w:ascii="Verdana" w:hAnsi="Verdana" w:cs="Verdana"/>
          <w:sz w:val="17"/>
          <w:szCs w:val="17"/>
          <w:lang w:val="en-ZA"/>
        </w:rPr>
      </w:pPr>
      <w:proofErr w:type="spellStart"/>
      <w:r>
        <w:rPr>
          <w:rFonts w:ascii="Verdana-Italic" w:hAnsi="Verdana-Italic" w:cs="Verdana-Italic"/>
          <w:i/>
          <w:iCs/>
          <w:sz w:val="17"/>
          <w:szCs w:val="17"/>
          <w:lang w:val="en-ZA"/>
        </w:rPr>
        <w:t>domicilium</w:t>
      </w:r>
      <w:proofErr w:type="spellEnd"/>
      <w:r>
        <w:rPr>
          <w:rFonts w:ascii="Verdana-Italic" w:hAnsi="Verdana-Italic" w:cs="Verdana-Italic"/>
          <w:i/>
          <w:iCs/>
          <w:sz w:val="17"/>
          <w:szCs w:val="17"/>
          <w:lang w:val="en-ZA"/>
        </w:rPr>
        <w:t xml:space="preserve"> </w:t>
      </w:r>
      <w:r>
        <w:rPr>
          <w:rFonts w:ascii="Verdana" w:hAnsi="Verdana" w:cs="Verdana"/>
          <w:sz w:val="17"/>
          <w:szCs w:val="17"/>
          <w:lang w:val="en-ZA"/>
        </w:rPr>
        <w:t>so chosen: Provided that the sheriff shall set out in the return of service the details of the</w:t>
      </w:r>
    </w:p>
    <w:p w:rsidR="004B59C1" w:rsidRPr="004B59C1" w:rsidRDefault="004B59C1" w:rsidP="004B59C1">
      <w:pPr>
        <w:pStyle w:val="FootnoteText"/>
        <w:rPr>
          <w:lang w:val="en-ZA"/>
        </w:rPr>
      </w:pPr>
      <w:r>
        <w:rPr>
          <w:rFonts w:ascii="Verdana" w:hAnsi="Verdana" w:cs="Verdana"/>
          <w:sz w:val="17"/>
          <w:szCs w:val="17"/>
          <w:lang w:val="en-ZA"/>
        </w:rPr>
        <w:t>manner and circumstances under which such service was effected’</w:t>
      </w:r>
    </w:p>
  </w:footnote>
  <w:footnote w:id="20">
    <w:p w:rsidR="009768C8" w:rsidRPr="009768C8" w:rsidRDefault="009768C8" w:rsidP="009768C8">
      <w:pPr>
        <w:pStyle w:val="FootnoteText"/>
        <w:rPr>
          <w:lang w:val="en-ZA"/>
        </w:rPr>
      </w:pPr>
      <w:r>
        <w:rPr>
          <w:rStyle w:val="FootnoteReference"/>
        </w:rPr>
        <w:footnoteRef/>
      </w:r>
      <w:r>
        <w:t xml:space="preserve"> Index, Annexure POC, para 28.</w:t>
      </w:r>
    </w:p>
  </w:footnote>
  <w:footnote w:id="21">
    <w:p w:rsidR="0026745D" w:rsidRPr="0026745D" w:rsidRDefault="0026745D">
      <w:pPr>
        <w:pStyle w:val="FootnoteText"/>
        <w:rPr>
          <w:lang w:val="en-ZA"/>
        </w:rPr>
      </w:pPr>
      <w:r>
        <w:rPr>
          <w:rStyle w:val="FootnoteReference"/>
        </w:rPr>
        <w:footnoteRef/>
      </w:r>
      <w:r>
        <w:t xml:space="preserve"> </w:t>
      </w:r>
      <w:r w:rsidR="00220469">
        <w:rPr>
          <w:lang w:val="en-ZA"/>
        </w:rPr>
        <w:t>Respondent’s Answering Affidavit, para 19, page 42.</w:t>
      </w:r>
    </w:p>
  </w:footnote>
  <w:footnote w:id="22">
    <w:p w:rsidR="00220469" w:rsidRPr="00220469" w:rsidRDefault="00220469">
      <w:pPr>
        <w:pStyle w:val="FootnoteText"/>
        <w:rPr>
          <w:lang w:val="en-ZA"/>
        </w:rPr>
      </w:pPr>
      <w:r>
        <w:rPr>
          <w:rStyle w:val="FootnoteReference"/>
        </w:rPr>
        <w:footnoteRef/>
      </w:r>
      <w:r>
        <w:t xml:space="preserve"> </w:t>
      </w:r>
      <w:r w:rsidR="00C24139">
        <w:t>Index to Application, FA3, page 27 and pages 91 - 94</w:t>
      </w:r>
    </w:p>
  </w:footnote>
  <w:footnote w:id="23">
    <w:p w:rsidR="002710D3" w:rsidRPr="00844461" w:rsidRDefault="002710D3" w:rsidP="002710D3">
      <w:pPr>
        <w:pStyle w:val="FootnoteText"/>
        <w:rPr>
          <w:rFonts w:cstheme="minorHAnsi"/>
        </w:rPr>
      </w:pPr>
      <w:r w:rsidRPr="00844461">
        <w:rPr>
          <w:rStyle w:val="FootnoteReference"/>
          <w:rFonts w:cstheme="minorHAnsi"/>
        </w:rPr>
        <w:footnoteRef/>
      </w:r>
      <w:r>
        <w:rPr>
          <w:rFonts w:cstheme="minorHAnsi"/>
        </w:rPr>
        <w:t xml:space="preserve"> </w:t>
      </w:r>
      <w:r w:rsidRPr="00844461">
        <w:rPr>
          <w:rFonts w:cstheme="minorHAnsi"/>
          <w:i/>
        </w:rPr>
        <w:t xml:space="preserve">Fusion Hotel and Entertainment Centre CC v eThekwini Municipality and Another </w:t>
      </w:r>
      <w:r w:rsidRPr="00844461">
        <w:rPr>
          <w:rFonts w:cstheme="minorHAnsi"/>
        </w:rPr>
        <w:t xml:space="preserve">[2015] JOL 32690 (KZD) </w:t>
      </w:r>
      <w:r w:rsidRPr="00844461">
        <w:rPr>
          <w:rFonts w:cstheme="minorHAnsi"/>
          <w:i/>
        </w:rPr>
        <w:t>‘[12] It is common cause that in this matter the issues at hand remained undecided and the merits were not considered. When the issues are left undecided, the court has a discretion whether to direct each part to pay its own costs or make a specific order as to costs. A decision on costs can on its own, in my view, be made irrespective of the non-consideration of the merits. I am stating this on the basis that an award for costs is to indemnify the successful litigant for the expense to which he was put through to challenge or defend the case, as the case may be…’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86229"/>
    <w:multiLevelType w:val="hybridMultilevel"/>
    <w:tmpl w:val="01542CC6"/>
    <w:lvl w:ilvl="0" w:tplc="267847D4">
      <w:start w:val="1"/>
      <w:numFmt w:val="lowerLetter"/>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C5D5BE9"/>
    <w:multiLevelType w:val="multilevel"/>
    <w:tmpl w:val="3D322D44"/>
    <w:lvl w:ilvl="0">
      <w:start w:val="1"/>
      <w:numFmt w:val="decimal"/>
      <w:isLgl/>
      <w:lvlText w:val="[%1]     "/>
      <w:lvlJc w:val="left"/>
      <w:pPr>
        <w:tabs>
          <w:tab w:val="num" w:pos="567"/>
        </w:tabs>
        <w:ind w:left="0" w:firstLine="0"/>
      </w:pPr>
      <w:rPr>
        <w:rFonts w:ascii="Arial" w:hAnsi="Arial" w:cs="Arial" w:hint="default"/>
        <w:b w:val="0"/>
        <w:i w:val="0"/>
        <w:sz w:val="24"/>
      </w:rPr>
    </w:lvl>
    <w:lvl w:ilvl="1">
      <w:start w:val="1"/>
      <w:numFmt w:val="decimal"/>
      <w:lvlText w:val="[%1.%2.]"/>
      <w:lvlJc w:val="left"/>
      <w:pPr>
        <w:tabs>
          <w:tab w:val="num" w:pos="567"/>
        </w:tabs>
        <w:ind w:left="0" w:firstLine="0"/>
      </w:pPr>
    </w:lvl>
    <w:lvl w:ilvl="2">
      <w:start w:val="1"/>
      <w:numFmt w:val="decimal"/>
      <w:lvlText w:val="[%1.%2.%3.]"/>
      <w:lvlJc w:val="left"/>
      <w:pPr>
        <w:tabs>
          <w:tab w:val="num" w:pos="567"/>
        </w:tabs>
        <w:ind w:left="0" w:firstLine="0"/>
      </w:pPr>
    </w:lvl>
    <w:lvl w:ilvl="3">
      <w:start w:val="1"/>
      <w:numFmt w:val="decimal"/>
      <w:lvlText w:val="[%1.%2.%3.%4.]"/>
      <w:lvlJc w:val="left"/>
      <w:pPr>
        <w:tabs>
          <w:tab w:val="num" w:pos="567"/>
        </w:tabs>
        <w:ind w:left="0"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39D141B2"/>
    <w:multiLevelType w:val="hybridMultilevel"/>
    <w:tmpl w:val="3050F5BC"/>
    <w:lvl w:ilvl="0" w:tplc="887EC0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0814AA2"/>
    <w:multiLevelType w:val="hybridMultilevel"/>
    <w:tmpl w:val="DD64F018"/>
    <w:lvl w:ilvl="0" w:tplc="C94AAF8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605A24F4"/>
    <w:multiLevelType w:val="hybridMultilevel"/>
    <w:tmpl w:val="7ECA9574"/>
    <w:lvl w:ilvl="0" w:tplc="437AFAB4">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586225"/>
    <w:multiLevelType w:val="multilevel"/>
    <w:tmpl w:val="03925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E4659B"/>
    <w:multiLevelType w:val="multilevel"/>
    <w:tmpl w:val="4F8A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E1"/>
    <w:rsid w:val="000D6521"/>
    <w:rsid w:val="00105405"/>
    <w:rsid w:val="00116A9B"/>
    <w:rsid w:val="00130871"/>
    <w:rsid w:val="001348FD"/>
    <w:rsid w:val="00192708"/>
    <w:rsid w:val="00220469"/>
    <w:rsid w:val="00234353"/>
    <w:rsid w:val="0026745D"/>
    <w:rsid w:val="002710D3"/>
    <w:rsid w:val="00277DE5"/>
    <w:rsid w:val="002B0EC2"/>
    <w:rsid w:val="002B1412"/>
    <w:rsid w:val="002B5408"/>
    <w:rsid w:val="002C2059"/>
    <w:rsid w:val="002E38F9"/>
    <w:rsid w:val="002E3E6C"/>
    <w:rsid w:val="002E4EE1"/>
    <w:rsid w:val="00353076"/>
    <w:rsid w:val="003543EB"/>
    <w:rsid w:val="003C2926"/>
    <w:rsid w:val="00411C4F"/>
    <w:rsid w:val="0044412A"/>
    <w:rsid w:val="00462345"/>
    <w:rsid w:val="004B59C1"/>
    <w:rsid w:val="004D2371"/>
    <w:rsid w:val="00535842"/>
    <w:rsid w:val="005C7E75"/>
    <w:rsid w:val="005F5FAD"/>
    <w:rsid w:val="00674DA6"/>
    <w:rsid w:val="006F1D28"/>
    <w:rsid w:val="00756946"/>
    <w:rsid w:val="00764C52"/>
    <w:rsid w:val="007771B4"/>
    <w:rsid w:val="00795BF1"/>
    <w:rsid w:val="007C23F3"/>
    <w:rsid w:val="007F3305"/>
    <w:rsid w:val="00856E0F"/>
    <w:rsid w:val="00886F73"/>
    <w:rsid w:val="008B5B3A"/>
    <w:rsid w:val="0092755C"/>
    <w:rsid w:val="009768C8"/>
    <w:rsid w:val="009A0122"/>
    <w:rsid w:val="009C3D9D"/>
    <w:rsid w:val="009E31D7"/>
    <w:rsid w:val="00A0310F"/>
    <w:rsid w:val="00A23B37"/>
    <w:rsid w:val="00A4444A"/>
    <w:rsid w:val="00A875AD"/>
    <w:rsid w:val="00AE0463"/>
    <w:rsid w:val="00B02F2C"/>
    <w:rsid w:val="00B066CC"/>
    <w:rsid w:val="00B0675C"/>
    <w:rsid w:val="00B6167E"/>
    <w:rsid w:val="00BA24A8"/>
    <w:rsid w:val="00C16325"/>
    <w:rsid w:val="00C24139"/>
    <w:rsid w:val="00C638C1"/>
    <w:rsid w:val="00C70C15"/>
    <w:rsid w:val="00CD5453"/>
    <w:rsid w:val="00CF513F"/>
    <w:rsid w:val="00D178E5"/>
    <w:rsid w:val="00D55566"/>
    <w:rsid w:val="00D62750"/>
    <w:rsid w:val="00D643F8"/>
    <w:rsid w:val="00DF2D6E"/>
    <w:rsid w:val="00E54483"/>
    <w:rsid w:val="00E67FF5"/>
    <w:rsid w:val="00F160E4"/>
    <w:rsid w:val="00F46131"/>
    <w:rsid w:val="00F806F0"/>
    <w:rsid w:val="00F91D14"/>
    <w:rsid w:val="00FA4EDA"/>
    <w:rsid w:val="00FD29AC"/>
    <w:rsid w:val="00FD6E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06D5"/>
  <w15:chartTrackingRefBased/>
  <w15:docId w15:val="{31D29167-767C-42AD-A154-83A43A14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EE1"/>
    <w:pPr>
      <w:spacing w:after="200" w:line="276" w:lineRule="auto"/>
    </w:pPr>
    <w:rPr>
      <w:lang w:val="en-US"/>
    </w:rPr>
  </w:style>
  <w:style w:type="paragraph" w:styleId="Heading3">
    <w:name w:val="heading 3"/>
    <w:basedOn w:val="Normal"/>
    <w:link w:val="Heading3Char"/>
    <w:uiPriority w:val="9"/>
    <w:qFormat/>
    <w:rsid w:val="00A0310F"/>
    <w:pPr>
      <w:spacing w:before="100" w:beforeAutospacing="1" w:after="100" w:afterAutospacing="1" w:line="240" w:lineRule="auto"/>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483"/>
    <w:rPr>
      <w:lang w:val="en-US"/>
    </w:rPr>
  </w:style>
  <w:style w:type="paragraph" w:styleId="Footer">
    <w:name w:val="footer"/>
    <w:basedOn w:val="Normal"/>
    <w:link w:val="FooterChar"/>
    <w:uiPriority w:val="99"/>
    <w:unhideWhenUsed/>
    <w:rsid w:val="00E54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483"/>
    <w:rPr>
      <w:lang w:val="en-US"/>
    </w:rPr>
  </w:style>
  <w:style w:type="paragraph" w:styleId="FootnoteText">
    <w:name w:val="footnote text"/>
    <w:basedOn w:val="Normal"/>
    <w:link w:val="FootnoteTextChar"/>
    <w:uiPriority w:val="99"/>
    <w:unhideWhenUsed/>
    <w:rsid w:val="00462345"/>
    <w:pPr>
      <w:spacing w:after="0" w:line="240" w:lineRule="auto"/>
    </w:pPr>
    <w:rPr>
      <w:sz w:val="20"/>
      <w:szCs w:val="20"/>
    </w:rPr>
  </w:style>
  <w:style w:type="character" w:customStyle="1" w:styleId="FootnoteTextChar">
    <w:name w:val="Footnote Text Char"/>
    <w:basedOn w:val="DefaultParagraphFont"/>
    <w:link w:val="FootnoteText"/>
    <w:uiPriority w:val="99"/>
    <w:rsid w:val="00462345"/>
    <w:rPr>
      <w:sz w:val="20"/>
      <w:szCs w:val="20"/>
      <w:lang w:val="en-US"/>
    </w:rPr>
  </w:style>
  <w:style w:type="character" w:styleId="FootnoteReference">
    <w:name w:val="footnote reference"/>
    <w:basedOn w:val="DefaultParagraphFont"/>
    <w:uiPriority w:val="99"/>
    <w:unhideWhenUsed/>
    <w:rsid w:val="00462345"/>
    <w:rPr>
      <w:vertAlign w:val="superscript"/>
    </w:rPr>
  </w:style>
  <w:style w:type="paragraph" w:styleId="ListParagraph">
    <w:name w:val="List Paragraph"/>
    <w:basedOn w:val="Normal"/>
    <w:uiPriority w:val="34"/>
    <w:qFormat/>
    <w:rsid w:val="00C70C15"/>
    <w:pPr>
      <w:ind w:left="720"/>
      <w:contextualSpacing/>
    </w:pPr>
  </w:style>
  <w:style w:type="character" w:customStyle="1" w:styleId="Heading3Char">
    <w:name w:val="Heading 3 Char"/>
    <w:basedOn w:val="DefaultParagraphFont"/>
    <w:link w:val="Heading3"/>
    <w:uiPriority w:val="9"/>
    <w:rsid w:val="00A0310F"/>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A0310F"/>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A0310F"/>
    <w:rPr>
      <w:i/>
      <w:iCs/>
    </w:rPr>
  </w:style>
  <w:style w:type="character" w:styleId="Strong">
    <w:name w:val="Strong"/>
    <w:basedOn w:val="DefaultParagraphFont"/>
    <w:uiPriority w:val="22"/>
    <w:qFormat/>
    <w:rsid w:val="00A0310F"/>
    <w:rPr>
      <w:b/>
      <w:bCs/>
    </w:rPr>
  </w:style>
  <w:style w:type="character" w:styleId="Hyperlink">
    <w:name w:val="Hyperlink"/>
    <w:basedOn w:val="DefaultParagraphFont"/>
    <w:uiPriority w:val="99"/>
    <w:semiHidden/>
    <w:unhideWhenUsed/>
    <w:rsid w:val="00A031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21295">
      <w:bodyDiv w:val="1"/>
      <w:marLeft w:val="0"/>
      <w:marRight w:val="0"/>
      <w:marTop w:val="0"/>
      <w:marBottom w:val="0"/>
      <w:divBdr>
        <w:top w:val="none" w:sz="0" w:space="0" w:color="auto"/>
        <w:left w:val="none" w:sz="0" w:space="0" w:color="auto"/>
        <w:bottom w:val="none" w:sz="0" w:space="0" w:color="auto"/>
        <w:right w:val="none" w:sz="0" w:space="0" w:color="auto"/>
      </w:divBdr>
    </w:div>
    <w:div w:id="845943371">
      <w:bodyDiv w:val="1"/>
      <w:marLeft w:val="0"/>
      <w:marRight w:val="0"/>
      <w:marTop w:val="0"/>
      <w:marBottom w:val="0"/>
      <w:divBdr>
        <w:top w:val="none" w:sz="0" w:space="0" w:color="auto"/>
        <w:left w:val="none" w:sz="0" w:space="0" w:color="auto"/>
        <w:bottom w:val="none" w:sz="0" w:space="0" w:color="auto"/>
        <w:right w:val="none" w:sz="0" w:space="0" w:color="auto"/>
      </w:divBdr>
    </w:div>
    <w:div w:id="1096250128">
      <w:bodyDiv w:val="1"/>
      <w:marLeft w:val="0"/>
      <w:marRight w:val="0"/>
      <w:marTop w:val="0"/>
      <w:marBottom w:val="0"/>
      <w:divBdr>
        <w:top w:val="none" w:sz="0" w:space="0" w:color="auto"/>
        <w:left w:val="none" w:sz="0" w:space="0" w:color="auto"/>
        <w:bottom w:val="none" w:sz="0" w:space="0" w:color="auto"/>
        <w:right w:val="none" w:sz="0" w:space="0" w:color="auto"/>
      </w:divBdr>
    </w:div>
    <w:div w:id="1141581736">
      <w:bodyDiv w:val="1"/>
      <w:marLeft w:val="0"/>
      <w:marRight w:val="0"/>
      <w:marTop w:val="0"/>
      <w:marBottom w:val="0"/>
      <w:divBdr>
        <w:top w:val="none" w:sz="0" w:space="0" w:color="auto"/>
        <w:left w:val="none" w:sz="0" w:space="0" w:color="auto"/>
        <w:bottom w:val="none" w:sz="0" w:space="0" w:color="auto"/>
        <w:right w:val="none" w:sz="0" w:space="0" w:color="auto"/>
      </w:divBdr>
    </w:div>
    <w:div w:id="1756053350">
      <w:bodyDiv w:val="1"/>
      <w:marLeft w:val="0"/>
      <w:marRight w:val="0"/>
      <w:marTop w:val="0"/>
      <w:marBottom w:val="0"/>
      <w:divBdr>
        <w:top w:val="none" w:sz="0" w:space="0" w:color="auto"/>
        <w:left w:val="none" w:sz="0" w:space="0" w:color="auto"/>
        <w:bottom w:val="none" w:sz="0" w:space="0" w:color="auto"/>
        <w:right w:val="none" w:sz="0" w:space="0" w:color="auto"/>
      </w:divBdr>
      <w:divsChild>
        <w:div w:id="1639914998">
          <w:marLeft w:val="-90"/>
          <w:marRight w:val="-90"/>
          <w:marTop w:val="0"/>
          <w:marBottom w:val="0"/>
          <w:divBdr>
            <w:top w:val="none" w:sz="0" w:space="0" w:color="auto"/>
            <w:left w:val="none" w:sz="0" w:space="0" w:color="auto"/>
            <w:bottom w:val="none" w:sz="0" w:space="0" w:color="auto"/>
            <w:right w:val="none" w:sz="0" w:space="0" w:color="auto"/>
          </w:divBdr>
          <w:divsChild>
            <w:div w:id="1650330210">
              <w:marLeft w:val="3135"/>
              <w:marRight w:val="0"/>
              <w:marTop w:val="0"/>
              <w:marBottom w:val="0"/>
              <w:divBdr>
                <w:top w:val="none" w:sz="0" w:space="0" w:color="auto"/>
                <w:left w:val="none" w:sz="0" w:space="0" w:color="auto"/>
                <w:bottom w:val="none" w:sz="0" w:space="0" w:color="auto"/>
                <w:right w:val="none" w:sz="0" w:space="0" w:color="auto"/>
              </w:divBdr>
            </w:div>
          </w:divsChild>
        </w:div>
        <w:div w:id="1557623111">
          <w:marLeft w:val="-90"/>
          <w:marRight w:val="-90"/>
          <w:marTop w:val="0"/>
          <w:marBottom w:val="0"/>
          <w:divBdr>
            <w:top w:val="none" w:sz="0" w:space="0" w:color="auto"/>
            <w:left w:val="none" w:sz="0" w:space="0" w:color="auto"/>
            <w:bottom w:val="none" w:sz="0" w:space="0" w:color="auto"/>
            <w:right w:val="none" w:sz="0" w:space="0" w:color="auto"/>
          </w:divBdr>
          <w:divsChild>
            <w:div w:id="1108040309">
              <w:marLeft w:val="3135"/>
              <w:marRight w:val="0"/>
              <w:marTop w:val="0"/>
              <w:marBottom w:val="0"/>
              <w:divBdr>
                <w:top w:val="none" w:sz="0" w:space="0" w:color="auto"/>
                <w:left w:val="none" w:sz="0" w:space="0" w:color="auto"/>
                <w:bottom w:val="none" w:sz="0" w:space="0" w:color="auto"/>
                <w:right w:val="none" w:sz="0" w:space="0" w:color="auto"/>
              </w:divBdr>
              <w:divsChild>
                <w:div w:id="2080208331">
                  <w:marLeft w:val="0"/>
                  <w:marRight w:val="0"/>
                  <w:marTop w:val="750"/>
                  <w:marBottom w:val="0"/>
                  <w:divBdr>
                    <w:top w:val="none" w:sz="0" w:space="0" w:color="auto"/>
                    <w:left w:val="none" w:sz="0" w:space="0" w:color="auto"/>
                    <w:bottom w:val="none" w:sz="0" w:space="0" w:color="auto"/>
                    <w:right w:val="none" w:sz="0" w:space="0" w:color="auto"/>
                  </w:divBdr>
                </w:div>
                <w:div w:id="4747622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09173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DBB58-1F72-40E5-A45A-1727F2E8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14</Pages>
  <Words>2837</Words>
  <Characters>16177</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Judgment </vt:lpstr>
    </vt:vector>
  </TitlesOfParts>
  <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Pearl</dc:creator>
  <cp:keywords/>
  <dc:description/>
  <cp:lastModifiedBy>Mary Bruce</cp:lastModifiedBy>
  <cp:revision>60</cp:revision>
  <dcterms:created xsi:type="dcterms:W3CDTF">2023-02-06T21:04:00Z</dcterms:created>
  <dcterms:modified xsi:type="dcterms:W3CDTF">2023-10-11T10:27:00Z</dcterms:modified>
</cp:coreProperties>
</file>