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9C" w:rsidRPr="002146B6" w:rsidRDefault="009F659C" w:rsidP="009F659C">
      <w:pPr>
        <w:spacing w:line="360" w:lineRule="auto"/>
        <w:jc w:val="center"/>
        <w:rPr>
          <w:rFonts w:cs="Arial"/>
          <w:szCs w:val="24"/>
          <w:lang w:eastAsia="en-GB"/>
        </w:rPr>
      </w:pPr>
      <w:r w:rsidRPr="002146B6">
        <w:rPr>
          <w:rFonts w:cs="Arial"/>
          <w:noProof/>
          <w:szCs w:val="24"/>
          <w:lang w:val="en-US"/>
        </w:rPr>
        <w:drawing>
          <wp:inline distT="0" distB="0" distL="0" distR="0" wp14:anchorId="224E4924" wp14:editId="3058AE57">
            <wp:extent cx="1288415" cy="128143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1281430"/>
                    </a:xfrm>
                    <a:prstGeom prst="rect">
                      <a:avLst/>
                    </a:prstGeom>
                    <a:noFill/>
                    <a:ln>
                      <a:noFill/>
                    </a:ln>
                  </pic:spPr>
                </pic:pic>
              </a:graphicData>
            </a:graphic>
          </wp:inline>
        </w:drawing>
      </w:r>
    </w:p>
    <w:p w:rsidR="009F659C" w:rsidRPr="002146B6" w:rsidRDefault="009F659C" w:rsidP="009F659C">
      <w:pPr>
        <w:spacing w:line="360" w:lineRule="auto"/>
        <w:jc w:val="center"/>
        <w:rPr>
          <w:rFonts w:cs="Arial"/>
          <w:b/>
          <w:szCs w:val="24"/>
          <w:lang w:eastAsia="en-GB"/>
        </w:rPr>
      </w:pPr>
      <w:r w:rsidRPr="002146B6">
        <w:rPr>
          <w:rFonts w:cs="Arial"/>
          <w:b/>
          <w:szCs w:val="24"/>
          <w:lang w:eastAsia="en-GB"/>
        </w:rPr>
        <w:t>IN THE HIGH COURT OF SOUTH AFRICA</w:t>
      </w:r>
    </w:p>
    <w:p w:rsidR="009F659C" w:rsidRDefault="009F659C" w:rsidP="00511317">
      <w:pPr>
        <w:spacing w:line="360" w:lineRule="auto"/>
        <w:jc w:val="center"/>
        <w:rPr>
          <w:rFonts w:cs="Arial"/>
          <w:b/>
          <w:szCs w:val="24"/>
          <w:lang w:eastAsia="en-GB"/>
        </w:rPr>
      </w:pPr>
      <w:r w:rsidRPr="002146B6">
        <w:rPr>
          <w:rFonts w:cs="Arial"/>
          <w:b/>
          <w:szCs w:val="24"/>
          <w:lang w:eastAsia="en-GB"/>
        </w:rPr>
        <w:t>KWAZULU-NATAL DIVISION,</w:t>
      </w:r>
      <w:r>
        <w:rPr>
          <w:rFonts w:cs="Arial"/>
          <w:b/>
          <w:szCs w:val="24"/>
          <w:lang w:eastAsia="en-GB"/>
        </w:rPr>
        <w:t xml:space="preserve"> PIETERMARITZBURG</w:t>
      </w:r>
      <w:r w:rsidRPr="002146B6">
        <w:rPr>
          <w:rFonts w:cs="Arial"/>
          <w:b/>
          <w:szCs w:val="24"/>
          <w:lang w:eastAsia="en-GB"/>
        </w:rPr>
        <w:t xml:space="preserve"> </w:t>
      </w:r>
    </w:p>
    <w:p w:rsidR="00511317" w:rsidRDefault="00511317" w:rsidP="00AE16CD">
      <w:pPr>
        <w:spacing w:line="360" w:lineRule="auto"/>
        <w:contextualSpacing/>
        <w:jc w:val="center"/>
        <w:rPr>
          <w:rFonts w:cs="Arial"/>
          <w:b/>
          <w:szCs w:val="24"/>
          <w:lang w:eastAsia="en-GB"/>
        </w:rPr>
      </w:pPr>
    </w:p>
    <w:p w:rsidR="003C267A" w:rsidRDefault="003C267A" w:rsidP="003C267A">
      <w:pPr>
        <w:spacing w:line="360" w:lineRule="auto"/>
        <w:contextualSpacing/>
        <w:jc w:val="right"/>
        <w:rPr>
          <w:rFonts w:cs="Arial"/>
          <w:b/>
          <w:szCs w:val="24"/>
          <w:lang w:eastAsia="en-GB"/>
        </w:rPr>
      </w:pPr>
      <w:r>
        <w:rPr>
          <w:rFonts w:cs="Arial"/>
          <w:b/>
          <w:szCs w:val="24"/>
          <w:lang w:eastAsia="en-GB"/>
        </w:rPr>
        <w:t>REPORTABLE/NOT REPORTABLE</w:t>
      </w:r>
    </w:p>
    <w:p w:rsidR="003C267A" w:rsidRDefault="003C267A" w:rsidP="003C267A">
      <w:pPr>
        <w:spacing w:line="360" w:lineRule="auto"/>
        <w:contextualSpacing/>
        <w:jc w:val="right"/>
        <w:rPr>
          <w:rFonts w:cs="Arial"/>
          <w:b/>
          <w:szCs w:val="24"/>
          <w:lang w:eastAsia="en-GB"/>
        </w:rPr>
      </w:pPr>
    </w:p>
    <w:p w:rsidR="009F659C" w:rsidRDefault="009F659C" w:rsidP="00AE16CD">
      <w:pPr>
        <w:spacing w:line="360" w:lineRule="auto"/>
        <w:contextualSpacing/>
        <w:jc w:val="right"/>
        <w:rPr>
          <w:rFonts w:cs="Arial"/>
          <w:b/>
          <w:szCs w:val="24"/>
          <w:lang w:eastAsia="en-GB"/>
        </w:rPr>
      </w:pPr>
      <w:r>
        <w:rPr>
          <w:rFonts w:cs="Arial"/>
          <w:b/>
          <w:szCs w:val="24"/>
          <w:lang w:eastAsia="en-GB"/>
        </w:rPr>
        <w:t xml:space="preserve">CASE NO. </w:t>
      </w:r>
      <w:r w:rsidR="003C267A">
        <w:rPr>
          <w:rFonts w:cs="Arial"/>
          <w:b/>
          <w:szCs w:val="24"/>
          <w:lang w:eastAsia="en-GB"/>
        </w:rPr>
        <w:t>AR167/2022</w:t>
      </w:r>
    </w:p>
    <w:p w:rsidR="009F659C" w:rsidRDefault="009F659C" w:rsidP="00AE16CD">
      <w:pPr>
        <w:spacing w:line="360" w:lineRule="auto"/>
        <w:contextualSpacing/>
        <w:rPr>
          <w:rFonts w:cs="Arial"/>
          <w:szCs w:val="24"/>
          <w:lang w:eastAsia="en-GB"/>
        </w:rPr>
      </w:pPr>
      <w:r>
        <w:rPr>
          <w:rFonts w:cs="Arial"/>
          <w:szCs w:val="24"/>
          <w:lang w:eastAsia="en-GB"/>
        </w:rPr>
        <w:t>In the matter between:</w:t>
      </w:r>
    </w:p>
    <w:p w:rsidR="009F659C" w:rsidRDefault="009F659C" w:rsidP="00AE16CD">
      <w:pPr>
        <w:spacing w:line="360" w:lineRule="auto"/>
        <w:contextualSpacing/>
        <w:rPr>
          <w:rFonts w:cs="Arial"/>
          <w:szCs w:val="24"/>
          <w:lang w:eastAsia="en-GB"/>
        </w:rPr>
      </w:pPr>
    </w:p>
    <w:p w:rsidR="009F659C" w:rsidRDefault="00270A84" w:rsidP="00AE16CD">
      <w:pPr>
        <w:tabs>
          <w:tab w:val="right" w:pos="8505"/>
        </w:tabs>
        <w:spacing w:line="360" w:lineRule="auto"/>
        <w:contextualSpacing/>
        <w:rPr>
          <w:rFonts w:cs="Arial"/>
          <w:b/>
          <w:szCs w:val="24"/>
          <w:lang w:eastAsia="en-GB"/>
        </w:rPr>
      </w:pPr>
      <w:r>
        <w:rPr>
          <w:rFonts w:cs="Arial"/>
          <w:b/>
          <w:szCs w:val="24"/>
          <w:lang w:eastAsia="en-GB"/>
        </w:rPr>
        <w:t>VUYO LUTHER KHANYEZA</w:t>
      </w:r>
      <w:r w:rsidR="00AE16CD">
        <w:rPr>
          <w:rFonts w:cs="Arial"/>
          <w:b/>
          <w:szCs w:val="24"/>
          <w:lang w:eastAsia="en-GB"/>
        </w:rPr>
        <w:t xml:space="preserve"> </w:t>
      </w:r>
      <w:r w:rsidR="00AE16CD">
        <w:rPr>
          <w:rFonts w:cs="Arial"/>
          <w:b/>
          <w:szCs w:val="24"/>
          <w:lang w:eastAsia="en-GB"/>
        </w:rPr>
        <w:tab/>
      </w:r>
      <w:r w:rsidR="009F659C">
        <w:rPr>
          <w:rFonts w:cs="Arial"/>
          <w:b/>
          <w:szCs w:val="24"/>
          <w:lang w:eastAsia="en-GB"/>
        </w:rPr>
        <w:t>APP</w:t>
      </w:r>
      <w:r>
        <w:rPr>
          <w:rFonts w:cs="Arial"/>
          <w:b/>
          <w:szCs w:val="24"/>
          <w:lang w:eastAsia="en-GB"/>
        </w:rPr>
        <w:t>ELLANT</w:t>
      </w:r>
      <w:r w:rsidR="009F659C" w:rsidRPr="002146B6">
        <w:rPr>
          <w:rFonts w:cs="Arial"/>
          <w:b/>
          <w:szCs w:val="24"/>
          <w:lang w:eastAsia="en-GB"/>
        </w:rPr>
        <w:t xml:space="preserve"> </w:t>
      </w:r>
    </w:p>
    <w:p w:rsidR="009F659C" w:rsidRDefault="009F659C" w:rsidP="00AE16CD">
      <w:pPr>
        <w:tabs>
          <w:tab w:val="right" w:pos="8505"/>
        </w:tabs>
        <w:spacing w:line="360" w:lineRule="auto"/>
        <w:contextualSpacing/>
        <w:rPr>
          <w:rFonts w:cs="Arial"/>
          <w:b/>
          <w:szCs w:val="24"/>
          <w:lang w:eastAsia="en-GB"/>
        </w:rPr>
      </w:pPr>
    </w:p>
    <w:p w:rsidR="009F659C" w:rsidRPr="0079141B" w:rsidRDefault="009F659C" w:rsidP="00AE16CD">
      <w:pPr>
        <w:tabs>
          <w:tab w:val="right" w:pos="8505"/>
        </w:tabs>
        <w:spacing w:line="360" w:lineRule="auto"/>
        <w:contextualSpacing/>
        <w:rPr>
          <w:rFonts w:cs="Arial"/>
          <w:szCs w:val="24"/>
          <w:lang w:eastAsia="en-GB"/>
        </w:rPr>
      </w:pPr>
      <w:r w:rsidRPr="0079141B">
        <w:rPr>
          <w:rFonts w:cs="Arial"/>
          <w:szCs w:val="24"/>
          <w:lang w:eastAsia="en-GB"/>
        </w:rPr>
        <w:t>and</w:t>
      </w:r>
    </w:p>
    <w:p w:rsidR="009F659C" w:rsidRDefault="009F659C" w:rsidP="00AE16CD">
      <w:pPr>
        <w:tabs>
          <w:tab w:val="right" w:pos="8505"/>
        </w:tabs>
        <w:spacing w:line="360" w:lineRule="auto"/>
        <w:contextualSpacing/>
        <w:rPr>
          <w:rFonts w:cs="Arial"/>
          <w:b/>
          <w:szCs w:val="24"/>
          <w:lang w:eastAsia="en-GB"/>
        </w:rPr>
      </w:pPr>
    </w:p>
    <w:p w:rsidR="00511317" w:rsidRDefault="00270A84" w:rsidP="00AE16CD">
      <w:pPr>
        <w:tabs>
          <w:tab w:val="right" w:pos="8505"/>
        </w:tabs>
        <w:spacing w:line="360" w:lineRule="auto"/>
        <w:contextualSpacing/>
        <w:rPr>
          <w:rFonts w:cs="Arial"/>
          <w:b/>
          <w:szCs w:val="24"/>
          <w:lang w:eastAsia="en-GB"/>
        </w:rPr>
      </w:pPr>
      <w:r>
        <w:rPr>
          <w:rFonts w:cs="Arial"/>
          <w:b/>
          <w:szCs w:val="24"/>
          <w:lang w:eastAsia="en-GB"/>
        </w:rPr>
        <w:t>THE STATE</w:t>
      </w:r>
      <w:r w:rsidR="00AE16CD">
        <w:rPr>
          <w:rFonts w:cs="Arial"/>
          <w:b/>
          <w:szCs w:val="24"/>
          <w:lang w:eastAsia="en-GB"/>
        </w:rPr>
        <w:t xml:space="preserve"> </w:t>
      </w:r>
      <w:r w:rsidR="00AE16CD">
        <w:rPr>
          <w:rFonts w:cs="Arial"/>
          <w:b/>
          <w:szCs w:val="24"/>
          <w:lang w:eastAsia="en-GB"/>
        </w:rPr>
        <w:tab/>
      </w:r>
      <w:r w:rsidR="009F659C">
        <w:rPr>
          <w:rFonts w:cs="Arial"/>
          <w:b/>
          <w:szCs w:val="24"/>
          <w:lang w:eastAsia="en-GB"/>
        </w:rPr>
        <w:t>RESPONDENT</w:t>
      </w:r>
    </w:p>
    <w:p w:rsidR="00511317" w:rsidRPr="00511317" w:rsidRDefault="00511317" w:rsidP="00511317">
      <w:pPr>
        <w:widowControl/>
        <w:spacing w:after="200" w:line="360" w:lineRule="auto"/>
        <w:rPr>
          <w:rFonts w:eastAsiaTheme="minorHAnsi" w:cs="Arial"/>
          <w:sz w:val="22"/>
          <w:szCs w:val="22"/>
        </w:rPr>
      </w:pPr>
      <w:r w:rsidRPr="00511317">
        <w:rPr>
          <w:rFonts w:eastAsiaTheme="minorHAnsi" w:cs="Arial"/>
          <w:sz w:val="22"/>
          <w:szCs w:val="22"/>
        </w:rPr>
        <w:t>_________________________________________________________________________</w:t>
      </w:r>
    </w:p>
    <w:p w:rsidR="00511317" w:rsidRPr="00AE16CD" w:rsidRDefault="00511317" w:rsidP="00511317">
      <w:pPr>
        <w:widowControl/>
        <w:spacing w:after="200" w:line="276" w:lineRule="auto"/>
        <w:jc w:val="center"/>
        <w:rPr>
          <w:rFonts w:eastAsiaTheme="minorHAnsi" w:cs="Arial"/>
          <w:szCs w:val="32"/>
        </w:rPr>
      </w:pPr>
      <w:r w:rsidRPr="00AE16CD">
        <w:rPr>
          <w:rFonts w:eastAsiaTheme="minorHAnsi" w:cs="Arial"/>
          <w:b/>
          <w:szCs w:val="32"/>
        </w:rPr>
        <w:t>ORDER</w:t>
      </w:r>
    </w:p>
    <w:p w:rsidR="00511317" w:rsidRPr="00511317" w:rsidRDefault="00511317" w:rsidP="00511317">
      <w:pPr>
        <w:widowControl/>
        <w:spacing w:after="200" w:line="276" w:lineRule="auto"/>
        <w:rPr>
          <w:rFonts w:eastAsiaTheme="minorHAnsi" w:cs="Arial"/>
          <w:sz w:val="22"/>
          <w:szCs w:val="22"/>
        </w:rPr>
      </w:pPr>
      <w:r w:rsidRPr="00511317">
        <w:rPr>
          <w:rFonts w:eastAsiaTheme="minorHAnsi" w:cs="Arial"/>
          <w:sz w:val="22"/>
          <w:szCs w:val="22"/>
        </w:rPr>
        <w:t>_________________________________________________________________________</w:t>
      </w:r>
    </w:p>
    <w:p w:rsidR="00511317" w:rsidRDefault="00511317" w:rsidP="00FE0856">
      <w:pPr>
        <w:widowControl/>
        <w:spacing w:line="360" w:lineRule="auto"/>
        <w:contextualSpacing/>
        <w:rPr>
          <w:rFonts w:eastAsiaTheme="minorHAnsi" w:cs="Arial"/>
          <w:bCs/>
          <w:szCs w:val="24"/>
        </w:rPr>
      </w:pPr>
      <w:r w:rsidRPr="00511317">
        <w:rPr>
          <w:rFonts w:eastAsiaTheme="minorHAnsi" w:cs="Arial"/>
          <w:b/>
          <w:bCs/>
          <w:szCs w:val="24"/>
        </w:rPr>
        <w:t>On appeal from:</w:t>
      </w:r>
      <w:r w:rsidR="000A1555">
        <w:rPr>
          <w:rFonts w:eastAsiaTheme="minorHAnsi" w:cs="Arial"/>
          <w:b/>
          <w:bCs/>
          <w:szCs w:val="24"/>
        </w:rPr>
        <w:t xml:space="preserve"> Estcourt Magistrates’ Court</w:t>
      </w:r>
      <w:r w:rsidR="00C422F7">
        <w:rPr>
          <w:rFonts w:eastAsiaTheme="minorHAnsi" w:cs="Arial"/>
          <w:b/>
          <w:bCs/>
          <w:szCs w:val="24"/>
        </w:rPr>
        <w:t xml:space="preserve"> </w:t>
      </w:r>
      <w:r w:rsidRPr="00FE0856">
        <w:rPr>
          <w:rFonts w:eastAsiaTheme="minorHAnsi" w:cs="Arial"/>
          <w:bCs/>
          <w:szCs w:val="24"/>
        </w:rPr>
        <w:t xml:space="preserve">(sitting as court </w:t>
      </w:r>
      <w:r w:rsidR="00AF2618">
        <w:rPr>
          <w:rFonts w:eastAsiaTheme="minorHAnsi" w:cs="Arial"/>
          <w:bCs/>
          <w:szCs w:val="24"/>
        </w:rPr>
        <w:t>of first instance</w:t>
      </w:r>
      <w:r w:rsidRPr="00FE0856">
        <w:rPr>
          <w:rFonts w:eastAsiaTheme="minorHAnsi" w:cs="Arial"/>
          <w:bCs/>
          <w:szCs w:val="24"/>
        </w:rPr>
        <w:t>):</w:t>
      </w:r>
    </w:p>
    <w:p w:rsidR="000A1555" w:rsidRPr="00511317" w:rsidRDefault="000A1555" w:rsidP="00FE0856">
      <w:pPr>
        <w:widowControl/>
        <w:spacing w:line="360" w:lineRule="auto"/>
        <w:contextualSpacing/>
        <w:rPr>
          <w:rFonts w:eastAsiaTheme="minorHAnsi" w:cs="Arial"/>
          <w:bCs/>
          <w:szCs w:val="24"/>
        </w:rPr>
      </w:pPr>
    </w:p>
    <w:p w:rsidR="003E5336" w:rsidRPr="007F2B09" w:rsidRDefault="003E5336" w:rsidP="00FE0856">
      <w:pPr>
        <w:spacing w:line="360" w:lineRule="auto"/>
        <w:contextualSpacing/>
        <w:rPr>
          <w:rFonts w:cs="Arial"/>
          <w:szCs w:val="24"/>
        </w:rPr>
      </w:pPr>
      <w:r w:rsidRPr="007F2B09">
        <w:rPr>
          <w:rFonts w:eastAsia="Arial" w:cs="Arial"/>
          <w:szCs w:val="24"/>
        </w:rPr>
        <w:t>1.</w:t>
      </w:r>
      <w:r w:rsidRPr="007F2B09">
        <w:rPr>
          <w:rFonts w:cs="Arial"/>
          <w:szCs w:val="24"/>
        </w:rPr>
        <w:tab/>
        <w:t>The decision by the magistrate not to determine otherwise in terms of section 103(1) of the Firearms Control Act</w:t>
      </w:r>
      <w:r>
        <w:rPr>
          <w:rFonts w:cs="Arial"/>
          <w:szCs w:val="24"/>
        </w:rPr>
        <w:t xml:space="preserve"> 60 of 2000</w:t>
      </w:r>
      <w:r w:rsidRPr="007F2B09">
        <w:rPr>
          <w:rFonts w:cs="Arial"/>
          <w:szCs w:val="24"/>
        </w:rPr>
        <w:t xml:space="preserve"> is set aside and replaced by a decision that the court determines otherwise for the purposes of </w:t>
      </w:r>
      <w:r>
        <w:rPr>
          <w:rFonts w:cs="Arial"/>
          <w:szCs w:val="24"/>
        </w:rPr>
        <w:t>section</w:t>
      </w:r>
      <w:r w:rsidRPr="007F2B09">
        <w:rPr>
          <w:rFonts w:cs="Arial"/>
          <w:szCs w:val="24"/>
        </w:rPr>
        <w:t xml:space="preserve"> 103(1) of the Firearms Control Act 6</w:t>
      </w:r>
      <w:r>
        <w:rPr>
          <w:rFonts w:cs="Arial"/>
          <w:szCs w:val="24"/>
        </w:rPr>
        <w:t>0</w:t>
      </w:r>
      <w:r w:rsidRPr="007F2B09">
        <w:rPr>
          <w:rFonts w:cs="Arial"/>
          <w:szCs w:val="24"/>
        </w:rPr>
        <w:t xml:space="preserve"> of 2000.</w:t>
      </w:r>
    </w:p>
    <w:p w:rsidR="00511317" w:rsidRPr="00511317" w:rsidRDefault="00511317" w:rsidP="00511317">
      <w:pPr>
        <w:widowControl/>
        <w:spacing w:after="200" w:line="360" w:lineRule="auto"/>
        <w:rPr>
          <w:rFonts w:asciiTheme="minorHAnsi" w:eastAsiaTheme="minorHAnsi" w:hAnsiTheme="minorHAnsi" w:cstheme="minorBidi"/>
          <w:b/>
          <w:sz w:val="22"/>
          <w:szCs w:val="22"/>
        </w:rPr>
      </w:pPr>
      <w:r w:rsidRPr="00511317">
        <w:rPr>
          <w:rFonts w:asciiTheme="minorHAnsi" w:eastAsiaTheme="minorHAnsi" w:hAnsiTheme="minorHAnsi" w:cstheme="minorBidi"/>
          <w:b/>
          <w:sz w:val="22"/>
          <w:szCs w:val="22"/>
        </w:rPr>
        <w:t>__________________________________________________________________________________</w:t>
      </w:r>
    </w:p>
    <w:p w:rsidR="00511317" w:rsidRPr="00AE16CD" w:rsidRDefault="00511317" w:rsidP="00511317">
      <w:pPr>
        <w:widowControl/>
        <w:spacing w:after="200" w:line="276" w:lineRule="auto"/>
        <w:jc w:val="center"/>
        <w:rPr>
          <w:rFonts w:eastAsiaTheme="minorHAnsi" w:cs="Arial"/>
          <w:szCs w:val="32"/>
        </w:rPr>
      </w:pPr>
      <w:r w:rsidRPr="00AE16CD">
        <w:rPr>
          <w:rFonts w:eastAsiaTheme="minorHAnsi" w:cs="Arial"/>
          <w:b/>
          <w:szCs w:val="32"/>
        </w:rPr>
        <w:t>JUDGMENT</w:t>
      </w:r>
    </w:p>
    <w:p w:rsidR="00511317" w:rsidRDefault="00511317" w:rsidP="00511317">
      <w:pPr>
        <w:spacing w:line="360" w:lineRule="auto"/>
        <w:rPr>
          <w:rFonts w:cs="Arial"/>
          <w:b/>
          <w:szCs w:val="24"/>
          <w:lang w:eastAsia="en-GB"/>
        </w:rPr>
      </w:pPr>
      <w:r w:rsidRPr="00511317">
        <w:rPr>
          <w:rFonts w:asciiTheme="minorHAnsi" w:eastAsiaTheme="minorHAnsi" w:hAnsiTheme="minorHAnsi" w:cstheme="minorBidi"/>
          <w:b/>
          <w:sz w:val="22"/>
          <w:szCs w:val="22"/>
        </w:rPr>
        <w:t>__________________________________________________________________________________</w:t>
      </w:r>
    </w:p>
    <w:p w:rsidR="00511317" w:rsidRDefault="00511317" w:rsidP="009F659C">
      <w:pPr>
        <w:spacing w:line="360" w:lineRule="auto"/>
        <w:rPr>
          <w:rFonts w:cs="Arial"/>
          <w:b/>
          <w:szCs w:val="24"/>
          <w:lang w:eastAsia="en-GB"/>
        </w:rPr>
      </w:pPr>
    </w:p>
    <w:p w:rsidR="00511317" w:rsidRDefault="00511317" w:rsidP="00511317">
      <w:pPr>
        <w:spacing w:line="360" w:lineRule="auto"/>
        <w:rPr>
          <w:rFonts w:cs="Arial"/>
          <w:b/>
          <w:szCs w:val="24"/>
          <w:lang w:eastAsia="en-GB"/>
        </w:rPr>
      </w:pPr>
      <w:r>
        <w:rPr>
          <w:rFonts w:cs="Arial"/>
          <w:b/>
          <w:szCs w:val="24"/>
          <w:lang w:eastAsia="en-GB"/>
        </w:rPr>
        <w:t xml:space="preserve">Steyn </w:t>
      </w:r>
      <w:r w:rsidR="00F7783B">
        <w:rPr>
          <w:rFonts w:cs="Arial"/>
          <w:b/>
          <w:szCs w:val="24"/>
          <w:lang w:eastAsia="en-GB"/>
        </w:rPr>
        <w:t>J (M E Nkosi J concurring)</w:t>
      </w:r>
    </w:p>
    <w:p w:rsidR="00360221" w:rsidRPr="00FD0312" w:rsidRDefault="00FD0312" w:rsidP="00FD0312">
      <w:pPr>
        <w:spacing w:line="360" w:lineRule="auto"/>
        <w:rPr>
          <w:rFonts w:cs="Arial"/>
          <w:szCs w:val="24"/>
        </w:rPr>
      </w:pPr>
      <w:r w:rsidRPr="007F2B09">
        <w:rPr>
          <w:rFonts w:eastAsia="Arial" w:cs="Arial"/>
          <w:szCs w:val="24"/>
        </w:rPr>
        <w:lastRenderedPageBreak/>
        <w:t>[1]</w:t>
      </w:r>
      <w:r w:rsidRPr="007F2B09">
        <w:rPr>
          <w:rFonts w:eastAsia="Arial" w:cs="Arial"/>
          <w:szCs w:val="24"/>
        </w:rPr>
        <w:tab/>
      </w:r>
      <w:r w:rsidR="00360221" w:rsidRPr="00FD0312">
        <w:rPr>
          <w:rFonts w:cs="Arial"/>
          <w:szCs w:val="24"/>
        </w:rPr>
        <w:t xml:space="preserve">The </w:t>
      </w:r>
      <w:r w:rsidR="007F2B09" w:rsidRPr="00FD0312">
        <w:rPr>
          <w:rFonts w:cs="Arial"/>
          <w:szCs w:val="24"/>
        </w:rPr>
        <w:t xml:space="preserve">appellant </w:t>
      </w:r>
      <w:r w:rsidR="00360221" w:rsidRPr="00FD0312">
        <w:rPr>
          <w:rFonts w:cs="Arial"/>
          <w:szCs w:val="24"/>
        </w:rPr>
        <w:t xml:space="preserve">on 8 February 2022 pleaded guilty </w:t>
      </w:r>
      <w:r w:rsidR="00E4662E" w:rsidRPr="00FD0312">
        <w:rPr>
          <w:rFonts w:cs="Arial"/>
          <w:szCs w:val="24"/>
        </w:rPr>
        <w:t xml:space="preserve">and was convicted on </w:t>
      </w:r>
      <w:r w:rsidR="00AE16CD" w:rsidRPr="00FD0312">
        <w:rPr>
          <w:rFonts w:cs="Arial"/>
          <w:szCs w:val="24"/>
        </w:rPr>
        <w:t xml:space="preserve">the </w:t>
      </w:r>
      <w:r w:rsidR="00360221" w:rsidRPr="00FD0312">
        <w:rPr>
          <w:rFonts w:cs="Arial"/>
          <w:szCs w:val="24"/>
        </w:rPr>
        <w:t>count of contravening section 120(8)</w:t>
      </w:r>
      <w:r w:rsidR="00360221" w:rsidRPr="00FD0312">
        <w:rPr>
          <w:rFonts w:cs="Arial"/>
          <w:i/>
          <w:szCs w:val="24"/>
        </w:rPr>
        <w:t>(b)</w:t>
      </w:r>
      <w:r w:rsidR="00360221" w:rsidRPr="00FD0312">
        <w:rPr>
          <w:rFonts w:cs="Arial"/>
          <w:szCs w:val="24"/>
        </w:rPr>
        <w:t xml:space="preserve"> read with sections 1, 103, 120(1)</w:t>
      </w:r>
      <w:r w:rsidR="00360221" w:rsidRPr="00FD0312">
        <w:rPr>
          <w:rFonts w:cs="Arial"/>
          <w:i/>
          <w:szCs w:val="24"/>
        </w:rPr>
        <w:t>(a)</w:t>
      </w:r>
      <w:r w:rsidR="00360221" w:rsidRPr="00FD0312">
        <w:rPr>
          <w:rFonts w:cs="Arial"/>
          <w:szCs w:val="24"/>
        </w:rPr>
        <w:t xml:space="preserve">, 121 read with schedule 4, </w:t>
      </w:r>
      <w:r w:rsidR="00AE16CD" w:rsidRPr="00FD0312">
        <w:rPr>
          <w:rFonts w:cs="Arial"/>
          <w:szCs w:val="24"/>
        </w:rPr>
        <w:t xml:space="preserve">and </w:t>
      </w:r>
      <w:r w:rsidR="00360221" w:rsidRPr="00FD0312">
        <w:rPr>
          <w:rFonts w:cs="Arial"/>
          <w:szCs w:val="24"/>
        </w:rPr>
        <w:t xml:space="preserve">151 of the Firearms Control Act 60 of 2000 </w:t>
      </w:r>
      <w:r w:rsidR="008A26BB" w:rsidRPr="00FD0312">
        <w:rPr>
          <w:rFonts w:cs="Arial"/>
          <w:szCs w:val="24"/>
        </w:rPr>
        <w:t xml:space="preserve">(the Act) </w:t>
      </w:r>
      <w:r w:rsidR="00360221" w:rsidRPr="00FD0312">
        <w:rPr>
          <w:rFonts w:cs="Arial"/>
          <w:szCs w:val="24"/>
        </w:rPr>
        <w:t>in that h</w:t>
      </w:r>
      <w:r w:rsidR="00AE16CD" w:rsidRPr="00FD0312">
        <w:rPr>
          <w:rFonts w:cs="Arial"/>
          <w:szCs w:val="24"/>
        </w:rPr>
        <w:t>e negligently lost his firearm.</w:t>
      </w:r>
      <w:r w:rsidR="00360221" w:rsidRPr="00FD0312">
        <w:rPr>
          <w:rFonts w:cs="Arial"/>
          <w:szCs w:val="24"/>
        </w:rPr>
        <w:t xml:space="preserve"> Upon conviction</w:t>
      </w:r>
      <w:r w:rsidR="006816AE" w:rsidRPr="00FD0312">
        <w:rPr>
          <w:rFonts w:cs="Arial"/>
          <w:szCs w:val="24"/>
        </w:rPr>
        <w:t>,</w:t>
      </w:r>
      <w:r w:rsidR="00360221" w:rsidRPr="00FD0312">
        <w:rPr>
          <w:rFonts w:cs="Arial"/>
          <w:szCs w:val="24"/>
        </w:rPr>
        <w:t xml:space="preserve"> the </w:t>
      </w:r>
      <w:r w:rsidR="007F2B09" w:rsidRPr="00FD0312">
        <w:rPr>
          <w:rFonts w:cs="Arial"/>
          <w:szCs w:val="24"/>
        </w:rPr>
        <w:t xml:space="preserve">appellant </w:t>
      </w:r>
      <w:r w:rsidR="00360221" w:rsidRPr="00FD0312">
        <w:rPr>
          <w:rFonts w:cs="Arial"/>
          <w:szCs w:val="24"/>
        </w:rPr>
        <w:t>was sentenced to a fine of R10 000 or in default to undergo 6 (six) months</w:t>
      </w:r>
      <w:r w:rsidR="007A6400" w:rsidRPr="00FD0312">
        <w:rPr>
          <w:rFonts w:cs="Arial"/>
          <w:szCs w:val="24"/>
        </w:rPr>
        <w:t>’</w:t>
      </w:r>
      <w:r w:rsidR="00360221" w:rsidRPr="00FD0312">
        <w:rPr>
          <w:rFonts w:cs="Arial"/>
          <w:szCs w:val="24"/>
        </w:rPr>
        <w:t xml:space="preserve"> imprisonment which was </w:t>
      </w:r>
      <w:r w:rsidR="00E4662E" w:rsidRPr="00FD0312">
        <w:rPr>
          <w:rFonts w:cs="Arial"/>
          <w:szCs w:val="24"/>
        </w:rPr>
        <w:t xml:space="preserve">wholly </w:t>
      </w:r>
      <w:r w:rsidR="00360221" w:rsidRPr="00FD0312">
        <w:rPr>
          <w:rFonts w:cs="Arial"/>
          <w:szCs w:val="24"/>
        </w:rPr>
        <w:t xml:space="preserve">suspended for a period of 5 (five) years on the condition that he is not convicted of contravening section 120 of the Act. </w:t>
      </w:r>
      <w:r w:rsidR="00E4662E" w:rsidRPr="00FD0312">
        <w:rPr>
          <w:rFonts w:cs="Arial"/>
          <w:szCs w:val="24"/>
        </w:rPr>
        <w:t xml:space="preserve">The court </w:t>
      </w:r>
      <w:r w:rsidR="00E4662E" w:rsidRPr="00FD0312">
        <w:rPr>
          <w:rFonts w:cs="Arial"/>
          <w:i/>
          <w:szCs w:val="24"/>
        </w:rPr>
        <w:t>a quo</w:t>
      </w:r>
      <w:r w:rsidR="00E4662E" w:rsidRPr="00FD0312">
        <w:rPr>
          <w:rFonts w:cs="Arial"/>
          <w:szCs w:val="24"/>
        </w:rPr>
        <w:t xml:space="preserve"> in terms of s</w:t>
      </w:r>
      <w:r w:rsidR="00B935BB" w:rsidRPr="00FD0312">
        <w:rPr>
          <w:rFonts w:cs="Arial"/>
          <w:szCs w:val="24"/>
        </w:rPr>
        <w:t>ection</w:t>
      </w:r>
      <w:r w:rsidR="006816AE" w:rsidRPr="00FD0312">
        <w:rPr>
          <w:rFonts w:cs="Arial"/>
          <w:szCs w:val="24"/>
        </w:rPr>
        <w:t> </w:t>
      </w:r>
      <w:r w:rsidR="00E4662E" w:rsidRPr="00FD0312">
        <w:rPr>
          <w:rFonts w:cs="Arial"/>
          <w:szCs w:val="24"/>
        </w:rPr>
        <w:t xml:space="preserve">103(1) of the Act also </w:t>
      </w:r>
      <w:r w:rsidR="00A7305D" w:rsidRPr="00FD0312">
        <w:rPr>
          <w:rFonts w:cs="Arial"/>
          <w:szCs w:val="24"/>
        </w:rPr>
        <w:t>declared</w:t>
      </w:r>
      <w:r w:rsidR="00E4662E" w:rsidRPr="00FD0312">
        <w:rPr>
          <w:rFonts w:cs="Arial"/>
          <w:szCs w:val="24"/>
        </w:rPr>
        <w:t xml:space="preserve"> that no otherwise determination is made</w:t>
      </w:r>
      <w:r w:rsidR="00A7305D" w:rsidRPr="00FD0312">
        <w:rPr>
          <w:rFonts w:cs="Arial"/>
          <w:szCs w:val="24"/>
        </w:rPr>
        <w:t xml:space="preserve"> in terms of the Act</w:t>
      </w:r>
      <w:r w:rsidR="00E4662E" w:rsidRPr="00FD0312">
        <w:rPr>
          <w:rFonts w:cs="Arial"/>
          <w:szCs w:val="24"/>
        </w:rPr>
        <w:t xml:space="preserve">, which resulted in the </w:t>
      </w:r>
      <w:r w:rsidR="006816AE" w:rsidRPr="00FD0312">
        <w:rPr>
          <w:rFonts w:cs="Arial"/>
          <w:szCs w:val="24"/>
        </w:rPr>
        <w:t xml:space="preserve">appellant </w:t>
      </w:r>
      <w:r w:rsidR="00E4662E" w:rsidRPr="00FD0312">
        <w:rPr>
          <w:rFonts w:cs="Arial"/>
          <w:szCs w:val="24"/>
        </w:rPr>
        <w:t xml:space="preserve">being unfit to possess a firearm. </w:t>
      </w:r>
    </w:p>
    <w:p w:rsidR="00360221" w:rsidRPr="007F2B09" w:rsidRDefault="00360221" w:rsidP="007F2B09">
      <w:pPr>
        <w:pStyle w:val="ListParagraph"/>
        <w:spacing w:after="0" w:line="360" w:lineRule="auto"/>
        <w:ind w:left="0"/>
        <w:jc w:val="both"/>
        <w:rPr>
          <w:rFonts w:cs="Arial"/>
          <w:sz w:val="24"/>
          <w:szCs w:val="24"/>
        </w:rPr>
      </w:pPr>
    </w:p>
    <w:p w:rsidR="00360221" w:rsidRPr="00FD0312" w:rsidRDefault="00FD0312" w:rsidP="00FD0312">
      <w:pPr>
        <w:spacing w:line="360" w:lineRule="auto"/>
        <w:rPr>
          <w:rFonts w:cs="Arial"/>
          <w:szCs w:val="24"/>
        </w:rPr>
      </w:pPr>
      <w:r w:rsidRPr="007F2B09">
        <w:rPr>
          <w:rFonts w:eastAsia="Arial" w:cs="Arial"/>
          <w:szCs w:val="24"/>
        </w:rPr>
        <w:t>[2]</w:t>
      </w:r>
      <w:r w:rsidRPr="007F2B09">
        <w:rPr>
          <w:rFonts w:eastAsia="Arial" w:cs="Arial"/>
          <w:szCs w:val="24"/>
        </w:rPr>
        <w:tab/>
      </w:r>
      <w:r w:rsidR="00360221" w:rsidRPr="00FD0312">
        <w:rPr>
          <w:rFonts w:cs="Arial"/>
          <w:szCs w:val="24"/>
        </w:rPr>
        <w:t xml:space="preserve">The </w:t>
      </w:r>
      <w:r w:rsidR="006816AE" w:rsidRPr="00FD0312">
        <w:rPr>
          <w:rFonts w:cs="Arial"/>
          <w:szCs w:val="24"/>
        </w:rPr>
        <w:t xml:space="preserve">appellant </w:t>
      </w:r>
      <w:r w:rsidR="00360221" w:rsidRPr="00FD0312">
        <w:rPr>
          <w:rFonts w:cs="Arial"/>
          <w:szCs w:val="24"/>
        </w:rPr>
        <w:t xml:space="preserve">appeals against the </w:t>
      </w:r>
      <w:r w:rsidR="008A26BB" w:rsidRPr="00FD0312">
        <w:rPr>
          <w:rFonts w:cs="Arial"/>
          <w:szCs w:val="24"/>
        </w:rPr>
        <w:t xml:space="preserve">declaration </w:t>
      </w:r>
      <w:r w:rsidR="00360221" w:rsidRPr="00FD0312">
        <w:rPr>
          <w:rFonts w:cs="Arial"/>
          <w:szCs w:val="24"/>
        </w:rPr>
        <w:t>order</w:t>
      </w:r>
      <w:r w:rsidR="00A7305D" w:rsidRPr="00FD0312">
        <w:rPr>
          <w:rFonts w:cs="Arial"/>
          <w:szCs w:val="24"/>
        </w:rPr>
        <w:t>.</w:t>
      </w:r>
      <w:r w:rsidR="00360221" w:rsidRPr="00FD0312">
        <w:rPr>
          <w:rFonts w:cs="Arial"/>
          <w:szCs w:val="24"/>
        </w:rPr>
        <w:t xml:space="preserve"> Leave to appeal was granted</w:t>
      </w:r>
      <w:r w:rsidR="00EF7753" w:rsidRPr="00FD0312">
        <w:rPr>
          <w:rFonts w:cs="Arial"/>
          <w:szCs w:val="24"/>
        </w:rPr>
        <w:t xml:space="preserve"> solely against the refusal to </w:t>
      </w:r>
      <w:r w:rsidR="00E4662E" w:rsidRPr="00FD0312">
        <w:rPr>
          <w:rFonts w:cs="Arial"/>
          <w:szCs w:val="24"/>
        </w:rPr>
        <w:t>make a</w:t>
      </w:r>
      <w:r w:rsidR="0087201A" w:rsidRPr="00FD0312">
        <w:rPr>
          <w:rFonts w:cs="Arial"/>
          <w:szCs w:val="24"/>
        </w:rPr>
        <w:t>n</w:t>
      </w:r>
      <w:r w:rsidR="00E4662E" w:rsidRPr="00FD0312">
        <w:rPr>
          <w:rFonts w:cs="Arial"/>
          <w:szCs w:val="24"/>
        </w:rPr>
        <w:t xml:space="preserve"> </w:t>
      </w:r>
      <w:r w:rsidR="0087201A" w:rsidRPr="00FD0312">
        <w:rPr>
          <w:rFonts w:cs="Arial"/>
          <w:szCs w:val="24"/>
        </w:rPr>
        <w:t xml:space="preserve">otherwise </w:t>
      </w:r>
      <w:r w:rsidR="00FD52A8" w:rsidRPr="00FD0312">
        <w:rPr>
          <w:rFonts w:cs="Arial"/>
          <w:szCs w:val="24"/>
        </w:rPr>
        <w:t xml:space="preserve">determination </w:t>
      </w:r>
      <w:r w:rsidR="00EF7753" w:rsidRPr="00FD0312">
        <w:rPr>
          <w:rFonts w:cs="Arial"/>
          <w:szCs w:val="24"/>
        </w:rPr>
        <w:t xml:space="preserve">in terms of </w:t>
      </w:r>
      <w:r w:rsidR="00A7305D" w:rsidRPr="00FD0312">
        <w:rPr>
          <w:rFonts w:cs="Arial"/>
          <w:szCs w:val="24"/>
        </w:rPr>
        <w:t>s</w:t>
      </w:r>
      <w:r w:rsidR="00EF7753" w:rsidRPr="00FD0312">
        <w:rPr>
          <w:rFonts w:cs="Arial"/>
          <w:szCs w:val="24"/>
        </w:rPr>
        <w:t>ection 103(1) of the Act</w:t>
      </w:r>
      <w:r w:rsidR="00360221" w:rsidRPr="00FD0312">
        <w:rPr>
          <w:rFonts w:cs="Arial"/>
          <w:szCs w:val="24"/>
        </w:rPr>
        <w:t>.</w:t>
      </w:r>
      <w:r w:rsidR="00AE16CD" w:rsidRPr="00FD0312">
        <w:rPr>
          <w:rFonts w:cs="Arial"/>
          <w:szCs w:val="24"/>
        </w:rPr>
        <w:t xml:space="preserve"> </w:t>
      </w:r>
    </w:p>
    <w:p w:rsidR="008A26BB" w:rsidRPr="007F2B09" w:rsidRDefault="008A26BB" w:rsidP="007F2B09">
      <w:pPr>
        <w:pStyle w:val="ListParagraph"/>
        <w:spacing w:after="0" w:line="360" w:lineRule="auto"/>
        <w:ind w:left="0"/>
        <w:jc w:val="both"/>
        <w:rPr>
          <w:rFonts w:cs="Arial"/>
          <w:sz w:val="24"/>
          <w:szCs w:val="24"/>
        </w:rPr>
      </w:pPr>
    </w:p>
    <w:p w:rsidR="008A26BB" w:rsidRPr="00FD0312" w:rsidRDefault="00FD0312" w:rsidP="00FD0312">
      <w:pPr>
        <w:spacing w:line="360" w:lineRule="auto"/>
        <w:rPr>
          <w:rFonts w:cs="Arial"/>
          <w:szCs w:val="24"/>
        </w:rPr>
      </w:pPr>
      <w:r w:rsidRPr="007F2B09">
        <w:rPr>
          <w:rFonts w:eastAsia="Arial" w:cs="Arial"/>
          <w:szCs w:val="24"/>
        </w:rPr>
        <w:t>[3]</w:t>
      </w:r>
      <w:r w:rsidRPr="007F2B09">
        <w:rPr>
          <w:rFonts w:eastAsia="Arial" w:cs="Arial"/>
          <w:szCs w:val="24"/>
        </w:rPr>
        <w:tab/>
      </w:r>
      <w:r w:rsidR="008A26BB" w:rsidRPr="00FD0312">
        <w:rPr>
          <w:rFonts w:cs="Arial"/>
          <w:szCs w:val="24"/>
        </w:rPr>
        <w:t xml:space="preserve">In terms of </w:t>
      </w:r>
      <w:r w:rsidR="00A7305D" w:rsidRPr="00FD0312">
        <w:rPr>
          <w:rFonts w:cs="Arial"/>
          <w:szCs w:val="24"/>
        </w:rPr>
        <w:t>s</w:t>
      </w:r>
      <w:r w:rsidR="008A26BB" w:rsidRPr="00FD0312">
        <w:rPr>
          <w:rFonts w:cs="Arial"/>
          <w:szCs w:val="24"/>
        </w:rPr>
        <w:t>ection 103(1) of the Act</w:t>
      </w:r>
      <w:r w:rsidR="0087201A" w:rsidRPr="00FD0312">
        <w:rPr>
          <w:rFonts w:cs="Arial"/>
          <w:szCs w:val="24"/>
        </w:rPr>
        <w:t>,</w:t>
      </w:r>
      <w:r w:rsidR="008A26BB" w:rsidRPr="00FD0312">
        <w:rPr>
          <w:rFonts w:cs="Arial"/>
          <w:szCs w:val="24"/>
        </w:rPr>
        <w:t xml:space="preserve"> a person convicted on any of the offences listed in </w:t>
      </w:r>
      <w:r w:rsidR="00306747" w:rsidRPr="00FD0312">
        <w:rPr>
          <w:rFonts w:cs="Arial"/>
          <w:szCs w:val="24"/>
        </w:rPr>
        <w:t>section 103(1)</w:t>
      </w:r>
      <w:r w:rsidR="008A26BB" w:rsidRPr="00FD0312">
        <w:rPr>
          <w:rFonts w:cs="Arial"/>
          <w:i/>
          <w:szCs w:val="24"/>
        </w:rPr>
        <w:t>(a)</w:t>
      </w:r>
      <w:r w:rsidR="008A26BB" w:rsidRPr="00FD0312">
        <w:rPr>
          <w:rFonts w:cs="Arial"/>
          <w:szCs w:val="24"/>
        </w:rPr>
        <w:t xml:space="preserve"> to </w:t>
      </w:r>
      <w:r w:rsidR="008A26BB" w:rsidRPr="00FD0312">
        <w:rPr>
          <w:rFonts w:cs="Arial"/>
          <w:i/>
          <w:szCs w:val="24"/>
        </w:rPr>
        <w:t>(o)</w:t>
      </w:r>
      <w:r w:rsidR="008A26BB" w:rsidRPr="00FD0312">
        <w:rPr>
          <w:rFonts w:cs="Arial"/>
          <w:szCs w:val="24"/>
        </w:rPr>
        <w:t xml:space="preserve"> becomes automatically disqualified to possess a firearm unless the court orders otherwise</w:t>
      </w:r>
      <w:r w:rsidR="006816AE" w:rsidRPr="00FD0312">
        <w:rPr>
          <w:rFonts w:cs="Arial"/>
          <w:szCs w:val="24"/>
        </w:rPr>
        <w:t>.</w:t>
      </w:r>
      <w:r w:rsidR="008A26BB" w:rsidRPr="007F2B09">
        <w:rPr>
          <w:rStyle w:val="FootnoteReference"/>
          <w:rFonts w:cs="Arial"/>
          <w:szCs w:val="24"/>
        </w:rPr>
        <w:footnoteReference w:id="1"/>
      </w:r>
      <w:r w:rsidR="008A26BB" w:rsidRPr="00FD0312">
        <w:rPr>
          <w:rFonts w:cs="Arial"/>
          <w:szCs w:val="24"/>
        </w:rPr>
        <w:t xml:space="preserve"> </w:t>
      </w:r>
    </w:p>
    <w:p w:rsidR="008A26BB" w:rsidRPr="007F2B09" w:rsidRDefault="008A26BB" w:rsidP="007F2B09">
      <w:pPr>
        <w:pStyle w:val="ListParagraph"/>
        <w:spacing w:after="0" w:line="360" w:lineRule="auto"/>
        <w:ind w:left="0"/>
        <w:jc w:val="both"/>
        <w:rPr>
          <w:rFonts w:cs="Arial"/>
          <w:sz w:val="24"/>
          <w:szCs w:val="24"/>
        </w:rPr>
      </w:pPr>
    </w:p>
    <w:p w:rsidR="00360221" w:rsidRPr="00FD0312" w:rsidRDefault="00FD0312" w:rsidP="00FD0312">
      <w:pPr>
        <w:spacing w:line="360" w:lineRule="auto"/>
        <w:rPr>
          <w:rFonts w:cs="Arial"/>
          <w:szCs w:val="24"/>
        </w:rPr>
      </w:pPr>
      <w:r w:rsidRPr="007F2B09">
        <w:rPr>
          <w:rFonts w:eastAsia="Arial" w:cs="Arial"/>
          <w:szCs w:val="24"/>
        </w:rPr>
        <w:t>[4]</w:t>
      </w:r>
      <w:r w:rsidRPr="007F2B09">
        <w:rPr>
          <w:rFonts w:eastAsia="Arial" w:cs="Arial"/>
          <w:szCs w:val="24"/>
        </w:rPr>
        <w:tab/>
      </w:r>
      <w:r w:rsidR="00360221" w:rsidRPr="00FD0312">
        <w:rPr>
          <w:rFonts w:cs="Arial"/>
          <w:szCs w:val="24"/>
        </w:rPr>
        <w:t xml:space="preserve">The </w:t>
      </w:r>
      <w:r w:rsidR="008C6C0F" w:rsidRPr="00FD0312">
        <w:rPr>
          <w:rFonts w:cs="Arial"/>
          <w:szCs w:val="24"/>
        </w:rPr>
        <w:t xml:space="preserve">appellant </w:t>
      </w:r>
      <w:r w:rsidR="00360221" w:rsidRPr="00FD0312">
        <w:rPr>
          <w:rFonts w:cs="Arial"/>
          <w:szCs w:val="24"/>
        </w:rPr>
        <w:t xml:space="preserve">submits that the court </w:t>
      </w:r>
      <w:r w:rsidR="00360221" w:rsidRPr="00FD0312">
        <w:rPr>
          <w:rFonts w:cs="Arial"/>
          <w:i/>
          <w:szCs w:val="24"/>
        </w:rPr>
        <w:t>a quo</w:t>
      </w:r>
      <w:r w:rsidR="00360221" w:rsidRPr="00FD0312">
        <w:rPr>
          <w:rFonts w:cs="Arial"/>
          <w:szCs w:val="24"/>
        </w:rPr>
        <w:t xml:space="preserve"> has failed to properly consider the facts tendered in mitigation: </w:t>
      </w:r>
    </w:p>
    <w:p w:rsidR="00360221" w:rsidRPr="007F2B09" w:rsidRDefault="007F2B09" w:rsidP="007F2B09">
      <w:pPr>
        <w:pStyle w:val="ListParagraph"/>
        <w:spacing w:after="0" w:line="360" w:lineRule="auto"/>
        <w:ind w:left="0"/>
        <w:jc w:val="both"/>
        <w:rPr>
          <w:rFonts w:cs="Arial"/>
          <w:sz w:val="24"/>
          <w:szCs w:val="24"/>
        </w:rPr>
      </w:pPr>
      <w:r>
        <w:rPr>
          <w:rFonts w:cs="Arial"/>
          <w:sz w:val="24"/>
          <w:szCs w:val="24"/>
        </w:rPr>
        <w:t>(a)</w:t>
      </w:r>
      <w:r w:rsidR="00360221" w:rsidRPr="007F2B09">
        <w:rPr>
          <w:rFonts w:cs="Arial"/>
          <w:sz w:val="24"/>
          <w:szCs w:val="24"/>
        </w:rPr>
        <w:tab/>
      </w:r>
      <w:r w:rsidR="008C6C0F" w:rsidRPr="007F2B09">
        <w:rPr>
          <w:rFonts w:cs="Arial"/>
          <w:sz w:val="24"/>
          <w:szCs w:val="24"/>
        </w:rPr>
        <w:t xml:space="preserve">The appellant </w:t>
      </w:r>
      <w:r w:rsidR="00360221" w:rsidRPr="007F2B09">
        <w:rPr>
          <w:rFonts w:cs="Arial"/>
          <w:sz w:val="24"/>
          <w:szCs w:val="24"/>
        </w:rPr>
        <w:t>was employed as a security guard in the VIP protection unit.</w:t>
      </w:r>
      <w:r w:rsidR="00AE16CD">
        <w:rPr>
          <w:rFonts w:cs="Arial"/>
          <w:sz w:val="24"/>
          <w:szCs w:val="24"/>
        </w:rPr>
        <w:t xml:space="preserve"> </w:t>
      </w:r>
      <w:r w:rsidR="00360221" w:rsidRPr="007F2B09">
        <w:rPr>
          <w:rFonts w:cs="Arial"/>
          <w:sz w:val="24"/>
          <w:szCs w:val="24"/>
        </w:rPr>
        <w:t xml:space="preserve">A vital requirement of his employment is to be in possession of a firearm; </w:t>
      </w:r>
    </w:p>
    <w:p w:rsidR="00360221" w:rsidRPr="007F2B09" w:rsidRDefault="007F2B09" w:rsidP="007F2B09">
      <w:pPr>
        <w:pStyle w:val="ListParagraph"/>
        <w:spacing w:after="0" w:line="360" w:lineRule="auto"/>
        <w:ind w:left="0"/>
        <w:jc w:val="both"/>
        <w:rPr>
          <w:rFonts w:cs="Arial"/>
          <w:sz w:val="24"/>
          <w:szCs w:val="24"/>
        </w:rPr>
      </w:pPr>
      <w:r>
        <w:rPr>
          <w:rFonts w:cs="Arial"/>
          <w:sz w:val="24"/>
          <w:szCs w:val="24"/>
        </w:rPr>
        <w:t>(b)</w:t>
      </w:r>
      <w:r w:rsidR="00360221" w:rsidRPr="007F2B09">
        <w:rPr>
          <w:rFonts w:cs="Arial"/>
          <w:sz w:val="24"/>
          <w:szCs w:val="24"/>
        </w:rPr>
        <w:tab/>
      </w:r>
      <w:r w:rsidR="008C6C0F" w:rsidRPr="007F2B09">
        <w:rPr>
          <w:rFonts w:cs="Arial"/>
          <w:sz w:val="24"/>
          <w:szCs w:val="24"/>
        </w:rPr>
        <w:t xml:space="preserve">The appellant </w:t>
      </w:r>
      <w:r w:rsidR="00360221" w:rsidRPr="007F2B09">
        <w:rPr>
          <w:rFonts w:cs="Arial"/>
          <w:sz w:val="24"/>
          <w:szCs w:val="24"/>
        </w:rPr>
        <w:t xml:space="preserve">is the sole breadwinner of his family and has two minor children; </w:t>
      </w:r>
    </w:p>
    <w:p w:rsidR="00360221" w:rsidRPr="007F2B09" w:rsidRDefault="007F2B09" w:rsidP="007F2B09">
      <w:pPr>
        <w:pStyle w:val="ListParagraph"/>
        <w:spacing w:after="0" w:line="360" w:lineRule="auto"/>
        <w:ind w:left="0"/>
        <w:jc w:val="both"/>
        <w:rPr>
          <w:rFonts w:cs="Arial"/>
          <w:sz w:val="24"/>
          <w:szCs w:val="24"/>
        </w:rPr>
      </w:pPr>
      <w:r>
        <w:rPr>
          <w:rFonts w:cs="Arial"/>
          <w:sz w:val="24"/>
          <w:szCs w:val="24"/>
        </w:rPr>
        <w:t>(c)</w:t>
      </w:r>
      <w:r w:rsidR="00360221" w:rsidRPr="007F2B09">
        <w:rPr>
          <w:rFonts w:cs="Arial"/>
          <w:sz w:val="24"/>
          <w:szCs w:val="24"/>
        </w:rPr>
        <w:tab/>
      </w:r>
      <w:r w:rsidR="008C6C0F" w:rsidRPr="007F2B09">
        <w:rPr>
          <w:rFonts w:cs="Arial"/>
          <w:sz w:val="24"/>
          <w:szCs w:val="24"/>
        </w:rPr>
        <w:t xml:space="preserve">The appellant </w:t>
      </w:r>
      <w:r w:rsidR="00360221" w:rsidRPr="007F2B09">
        <w:rPr>
          <w:rFonts w:cs="Arial"/>
          <w:sz w:val="24"/>
          <w:szCs w:val="24"/>
        </w:rPr>
        <w:t xml:space="preserve">is 38 years of age and will find it difficult to find other employment; </w:t>
      </w:r>
    </w:p>
    <w:p w:rsidR="008C6C0F" w:rsidRDefault="007F2B09" w:rsidP="007F2B09">
      <w:pPr>
        <w:pStyle w:val="ListParagraph"/>
        <w:spacing w:after="0" w:line="360" w:lineRule="auto"/>
        <w:ind w:left="0"/>
        <w:jc w:val="both"/>
        <w:rPr>
          <w:rFonts w:cs="Arial"/>
          <w:sz w:val="24"/>
          <w:szCs w:val="24"/>
        </w:rPr>
      </w:pPr>
      <w:r>
        <w:rPr>
          <w:rFonts w:cs="Arial"/>
          <w:sz w:val="24"/>
          <w:szCs w:val="24"/>
        </w:rPr>
        <w:t>(d)</w:t>
      </w:r>
      <w:r w:rsidR="00360221" w:rsidRPr="007F2B09">
        <w:rPr>
          <w:rFonts w:cs="Arial"/>
          <w:sz w:val="24"/>
          <w:szCs w:val="24"/>
        </w:rPr>
        <w:tab/>
      </w:r>
      <w:r w:rsidR="008C6C0F" w:rsidRPr="007F2B09">
        <w:rPr>
          <w:rFonts w:cs="Arial"/>
          <w:sz w:val="24"/>
          <w:szCs w:val="24"/>
        </w:rPr>
        <w:t xml:space="preserve">The appellant </w:t>
      </w:r>
      <w:r w:rsidR="00360221" w:rsidRPr="007F2B09">
        <w:rPr>
          <w:rFonts w:cs="Arial"/>
          <w:sz w:val="24"/>
          <w:szCs w:val="24"/>
        </w:rPr>
        <w:t>had pleaded guilty and was remorseful</w:t>
      </w:r>
      <w:r w:rsidR="008C6C0F">
        <w:rPr>
          <w:rFonts w:cs="Arial"/>
          <w:sz w:val="24"/>
          <w:szCs w:val="24"/>
        </w:rPr>
        <w:t>; and</w:t>
      </w:r>
      <w:r w:rsidR="00AE16CD">
        <w:rPr>
          <w:rFonts w:cs="Arial"/>
          <w:sz w:val="24"/>
          <w:szCs w:val="24"/>
        </w:rPr>
        <w:t xml:space="preserve"> </w:t>
      </w:r>
    </w:p>
    <w:p w:rsidR="00360221" w:rsidRPr="007F2B09" w:rsidRDefault="008C6C0F" w:rsidP="007F2B09">
      <w:pPr>
        <w:pStyle w:val="ListParagraph"/>
        <w:spacing w:after="0" w:line="360" w:lineRule="auto"/>
        <w:ind w:left="0"/>
        <w:jc w:val="both"/>
        <w:rPr>
          <w:rFonts w:cs="Arial"/>
          <w:sz w:val="24"/>
          <w:szCs w:val="24"/>
        </w:rPr>
      </w:pPr>
      <w:r>
        <w:rPr>
          <w:rFonts w:cs="Arial"/>
          <w:sz w:val="24"/>
          <w:szCs w:val="24"/>
        </w:rPr>
        <w:t>(e)</w:t>
      </w:r>
      <w:r>
        <w:rPr>
          <w:rFonts w:cs="Arial"/>
          <w:sz w:val="24"/>
          <w:szCs w:val="24"/>
        </w:rPr>
        <w:tab/>
      </w:r>
      <w:r w:rsidR="00360221" w:rsidRPr="007F2B09">
        <w:rPr>
          <w:rFonts w:cs="Arial"/>
          <w:sz w:val="24"/>
          <w:szCs w:val="24"/>
        </w:rPr>
        <w:t>His highest level of education is grade 12.</w:t>
      </w:r>
    </w:p>
    <w:p w:rsidR="00360221" w:rsidRPr="007F2B09" w:rsidRDefault="00360221" w:rsidP="007F2B09">
      <w:pPr>
        <w:pStyle w:val="ListParagraph"/>
        <w:spacing w:after="0" w:line="360" w:lineRule="auto"/>
        <w:ind w:left="0"/>
        <w:jc w:val="both"/>
        <w:rPr>
          <w:rFonts w:cs="Arial"/>
          <w:sz w:val="24"/>
          <w:szCs w:val="24"/>
        </w:rPr>
      </w:pPr>
    </w:p>
    <w:p w:rsidR="00360221" w:rsidRPr="00FD0312" w:rsidRDefault="00FD0312" w:rsidP="00FD0312">
      <w:pPr>
        <w:spacing w:line="360" w:lineRule="auto"/>
        <w:rPr>
          <w:rFonts w:cs="Arial"/>
          <w:szCs w:val="24"/>
        </w:rPr>
      </w:pPr>
      <w:r w:rsidRPr="007F2B09">
        <w:rPr>
          <w:rFonts w:eastAsia="Arial" w:cs="Arial"/>
          <w:szCs w:val="24"/>
        </w:rPr>
        <w:t>[5]</w:t>
      </w:r>
      <w:r w:rsidRPr="007F2B09">
        <w:rPr>
          <w:rFonts w:eastAsia="Arial" w:cs="Arial"/>
          <w:szCs w:val="24"/>
        </w:rPr>
        <w:tab/>
      </w:r>
      <w:r w:rsidR="00E4662E" w:rsidRPr="00FD0312">
        <w:rPr>
          <w:rFonts w:cs="Arial"/>
          <w:szCs w:val="24"/>
        </w:rPr>
        <w:t>In my view</w:t>
      </w:r>
      <w:r w:rsidR="008C6C0F" w:rsidRPr="00FD0312">
        <w:rPr>
          <w:rFonts w:cs="Arial"/>
          <w:szCs w:val="24"/>
        </w:rPr>
        <w:t>,</w:t>
      </w:r>
      <w:r w:rsidR="00E4662E" w:rsidRPr="00FD0312">
        <w:rPr>
          <w:rFonts w:cs="Arial"/>
          <w:szCs w:val="24"/>
        </w:rPr>
        <w:t xml:space="preserve"> t</w:t>
      </w:r>
      <w:r w:rsidR="00360221" w:rsidRPr="00FD0312">
        <w:rPr>
          <w:rFonts w:cs="Arial"/>
          <w:szCs w:val="24"/>
        </w:rPr>
        <w:t>he facts</w:t>
      </w:r>
      <w:r w:rsidR="00E4662E" w:rsidRPr="00FD0312">
        <w:rPr>
          <w:rFonts w:cs="Arial"/>
          <w:szCs w:val="24"/>
        </w:rPr>
        <w:t xml:space="preserve"> regarding his negligence </w:t>
      </w:r>
      <w:r w:rsidR="00360221" w:rsidRPr="00FD0312">
        <w:rPr>
          <w:rFonts w:cs="Arial"/>
          <w:szCs w:val="24"/>
        </w:rPr>
        <w:t xml:space="preserve">are important in determining </w:t>
      </w:r>
      <w:r w:rsidR="00E4662E" w:rsidRPr="00FD0312">
        <w:rPr>
          <w:rFonts w:cs="Arial"/>
          <w:szCs w:val="24"/>
        </w:rPr>
        <w:t xml:space="preserve">his </w:t>
      </w:r>
      <w:r w:rsidR="00360221" w:rsidRPr="00FD0312">
        <w:rPr>
          <w:rFonts w:cs="Arial"/>
          <w:szCs w:val="24"/>
        </w:rPr>
        <w:t>suitability of being fit to possess a firearm.</w:t>
      </w:r>
      <w:r w:rsidR="00AE16CD" w:rsidRPr="00FD0312">
        <w:rPr>
          <w:rFonts w:cs="Arial"/>
          <w:szCs w:val="24"/>
        </w:rPr>
        <w:t xml:space="preserve"> </w:t>
      </w:r>
      <w:r w:rsidR="00360221" w:rsidRPr="00FD0312">
        <w:rPr>
          <w:rFonts w:cs="Arial"/>
          <w:szCs w:val="24"/>
        </w:rPr>
        <w:t xml:space="preserve">This is what </w:t>
      </w:r>
      <w:r w:rsidR="00F7783B" w:rsidRPr="00FD0312">
        <w:rPr>
          <w:rFonts w:cs="Arial"/>
          <w:szCs w:val="24"/>
        </w:rPr>
        <w:t xml:space="preserve">was admitted </w:t>
      </w:r>
      <w:r w:rsidR="00360221" w:rsidRPr="00FD0312">
        <w:rPr>
          <w:rFonts w:cs="Arial"/>
          <w:szCs w:val="24"/>
        </w:rPr>
        <w:t>in his</w:t>
      </w:r>
      <w:r w:rsidR="008C6C0F" w:rsidRPr="00FD0312">
        <w:rPr>
          <w:rFonts w:cs="Arial"/>
          <w:szCs w:val="24"/>
        </w:rPr>
        <w:t xml:space="preserve"> statement in terms of</w:t>
      </w:r>
      <w:r w:rsidR="00360221" w:rsidRPr="00FD0312">
        <w:rPr>
          <w:rFonts w:cs="Arial"/>
          <w:szCs w:val="24"/>
        </w:rPr>
        <w:t xml:space="preserve"> sect</w:t>
      </w:r>
      <w:r w:rsidR="00F7783B" w:rsidRPr="00FD0312">
        <w:rPr>
          <w:rFonts w:cs="Arial"/>
          <w:szCs w:val="24"/>
        </w:rPr>
        <w:t>ion 112(2) of the Criminal Procedure Act 51 of 1977:</w:t>
      </w:r>
    </w:p>
    <w:p w:rsidR="00E0313C" w:rsidRPr="007F2B09" w:rsidRDefault="00360221" w:rsidP="007F2B09">
      <w:pPr>
        <w:pStyle w:val="ListParagraph"/>
        <w:spacing w:after="0" w:line="360" w:lineRule="auto"/>
        <w:ind w:left="0"/>
        <w:jc w:val="both"/>
        <w:rPr>
          <w:rFonts w:cs="Arial"/>
          <w:szCs w:val="24"/>
        </w:rPr>
      </w:pPr>
      <w:r w:rsidRPr="007F2B09">
        <w:rPr>
          <w:rFonts w:cs="Arial"/>
          <w:szCs w:val="24"/>
        </w:rPr>
        <w:lastRenderedPageBreak/>
        <w:t>‘I admit that on the day in question I had in my possession a pistol whilst I was under the influence of intoxicati</w:t>
      </w:r>
      <w:r w:rsidR="00E0313C" w:rsidRPr="007F2B09">
        <w:rPr>
          <w:rFonts w:cs="Arial"/>
          <w:szCs w:val="24"/>
        </w:rPr>
        <w:t xml:space="preserve">ng </w:t>
      </w:r>
      <w:r w:rsidRPr="007F2B09">
        <w:rPr>
          <w:rFonts w:cs="Arial"/>
          <w:szCs w:val="24"/>
        </w:rPr>
        <w:t>liquor.</w:t>
      </w:r>
      <w:r w:rsidR="00AE16CD">
        <w:rPr>
          <w:rFonts w:cs="Arial"/>
          <w:szCs w:val="24"/>
        </w:rPr>
        <w:t xml:space="preserve"> </w:t>
      </w:r>
      <w:r w:rsidRPr="007F2B09">
        <w:rPr>
          <w:rFonts w:cs="Arial"/>
          <w:szCs w:val="24"/>
        </w:rPr>
        <w:t xml:space="preserve">Later when I </w:t>
      </w:r>
      <w:r w:rsidR="00E0313C" w:rsidRPr="007F2B09">
        <w:rPr>
          <w:rFonts w:cs="Arial"/>
          <w:szCs w:val="24"/>
        </w:rPr>
        <w:t>checked</w:t>
      </w:r>
      <w:r w:rsidRPr="007F2B09">
        <w:rPr>
          <w:rFonts w:cs="Arial"/>
          <w:szCs w:val="24"/>
        </w:rPr>
        <w:t xml:space="preserve"> for my pistol, I</w:t>
      </w:r>
      <w:r w:rsidR="00E0313C" w:rsidRPr="007F2B09">
        <w:rPr>
          <w:rFonts w:cs="Arial"/>
          <w:szCs w:val="24"/>
        </w:rPr>
        <w:t>,</w:t>
      </w:r>
      <w:r w:rsidRPr="007F2B09">
        <w:rPr>
          <w:rFonts w:cs="Arial"/>
          <w:szCs w:val="24"/>
        </w:rPr>
        <w:t xml:space="preserve"> could not find same.</w:t>
      </w:r>
      <w:r w:rsidR="00AE16CD">
        <w:rPr>
          <w:rFonts w:cs="Arial"/>
          <w:szCs w:val="24"/>
        </w:rPr>
        <w:t xml:space="preserve"> </w:t>
      </w:r>
      <w:r w:rsidRPr="007F2B09">
        <w:rPr>
          <w:rFonts w:cs="Arial"/>
          <w:szCs w:val="24"/>
        </w:rPr>
        <w:t xml:space="preserve">The pistol was then </w:t>
      </w:r>
      <w:r w:rsidR="00E0313C" w:rsidRPr="007F2B09">
        <w:rPr>
          <w:rFonts w:cs="Arial"/>
          <w:szCs w:val="24"/>
        </w:rPr>
        <w:t xml:space="preserve">handed over to the police by the person who had found it and then I went to report the loss of the firearm, I was informed that someone had handed it over.’ </w:t>
      </w:r>
    </w:p>
    <w:p w:rsidR="00E0313C" w:rsidRPr="007F2B09" w:rsidRDefault="00E0313C" w:rsidP="007F2B09">
      <w:pPr>
        <w:pStyle w:val="ListParagraph"/>
        <w:spacing w:after="0" w:line="360" w:lineRule="auto"/>
        <w:ind w:left="0"/>
        <w:jc w:val="both"/>
        <w:rPr>
          <w:rFonts w:cs="Arial"/>
          <w:sz w:val="24"/>
          <w:szCs w:val="24"/>
        </w:rPr>
      </w:pPr>
    </w:p>
    <w:p w:rsidR="00E0313C" w:rsidRPr="00FD0312" w:rsidRDefault="00FD0312" w:rsidP="00FD0312">
      <w:pPr>
        <w:spacing w:line="360" w:lineRule="auto"/>
        <w:rPr>
          <w:rFonts w:cs="Arial"/>
          <w:szCs w:val="24"/>
        </w:rPr>
      </w:pPr>
      <w:r w:rsidRPr="007F2B09">
        <w:rPr>
          <w:rFonts w:eastAsia="Arial" w:cs="Arial"/>
          <w:szCs w:val="24"/>
        </w:rPr>
        <w:t>[6]</w:t>
      </w:r>
      <w:r w:rsidRPr="007F2B09">
        <w:rPr>
          <w:rFonts w:eastAsia="Arial" w:cs="Arial"/>
          <w:szCs w:val="24"/>
        </w:rPr>
        <w:tab/>
      </w:r>
      <w:r w:rsidR="00E0313C" w:rsidRPr="00FD0312">
        <w:rPr>
          <w:rFonts w:cs="Arial"/>
          <w:szCs w:val="24"/>
        </w:rPr>
        <w:t xml:space="preserve">The State in its address before sentence asked that the </w:t>
      </w:r>
      <w:r w:rsidR="008C6C0F" w:rsidRPr="00FD0312">
        <w:rPr>
          <w:rFonts w:cs="Arial"/>
          <w:szCs w:val="24"/>
        </w:rPr>
        <w:t xml:space="preserve">appellant </w:t>
      </w:r>
      <w:r w:rsidR="00E0313C" w:rsidRPr="00FD0312">
        <w:rPr>
          <w:rFonts w:cs="Arial"/>
          <w:szCs w:val="24"/>
        </w:rPr>
        <w:t>be declared unfit to possess a firearm.</w:t>
      </w:r>
      <w:r w:rsidR="00AE16CD" w:rsidRPr="00FD0312">
        <w:rPr>
          <w:rFonts w:cs="Arial"/>
          <w:szCs w:val="24"/>
        </w:rPr>
        <w:t xml:space="preserve"> </w:t>
      </w:r>
      <w:r w:rsidR="008A26BB" w:rsidRPr="00FD0312">
        <w:rPr>
          <w:rFonts w:cs="Arial"/>
          <w:i/>
          <w:szCs w:val="24"/>
        </w:rPr>
        <w:t>Ex facie</w:t>
      </w:r>
      <w:r w:rsidR="008A26BB" w:rsidRPr="00FD0312">
        <w:rPr>
          <w:rFonts w:cs="Arial"/>
          <w:szCs w:val="24"/>
        </w:rPr>
        <w:t xml:space="preserve"> the record</w:t>
      </w:r>
      <w:r w:rsidR="00712725" w:rsidRPr="00FD0312">
        <w:rPr>
          <w:rFonts w:cs="Arial"/>
          <w:szCs w:val="24"/>
        </w:rPr>
        <w:t>,</w:t>
      </w:r>
      <w:r w:rsidR="008A26BB" w:rsidRPr="00FD0312">
        <w:rPr>
          <w:rFonts w:cs="Arial"/>
          <w:szCs w:val="24"/>
        </w:rPr>
        <w:t xml:space="preserve"> the learned </w:t>
      </w:r>
      <w:r w:rsidR="008C6C0F" w:rsidRPr="00FD0312">
        <w:rPr>
          <w:rFonts w:cs="Arial"/>
          <w:szCs w:val="24"/>
        </w:rPr>
        <w:t xml:space="preserve">magistrate </w:t>
      </w:r>
      <w:r w:rsidR="00F7783B" w:rsidRPr="00FD0312">
        <w:rPr>
          <w:rFonts w:cs="Arial"/>
          <w:szCs w:val="24"/>
        </w:rPr>
        <w:t>then</w:t>
      </w:r>
      <w:r w:rsidR="008A26BB" w:rsidRPr="00FD0312">
        <w:rPr>
          <w:rFonts w:cs="Arial"/>
          <w:szCs w:val="24"/>
        </w:rPr>
        <w:t xml:space="preserve"> asked the defence counsel</w:t>
      </w:r>
      <w:r w:rsidR="00F7783B" w:rsidRPr="00FD0312">
        <w:rPr>
          <w:rFonts w:cs="Arial"/>
          <w:szCs w:val="24"/>
        </w:rPr>
        <w:t xml:space="preserve"> </w:t>
      </w:r>
      <w:r w:rsidR="008A26BB" w:rsidRPr="00FD0312">
        <w:rPr>
          <w:rFonts w:cs="Arial"/>
          <w:szCs w:val="24"/>
        </w:rPr>
        <w:t>to address the court on section 103 of the Act.</w:t>
      </w:r>
      <w:r w:rsidR="00AE16CD" w:rsidRPr="00FD0312">
        <w:rPr>
          <w:rFonts w:cs="Arial"/>
          <w:szCs w:val="24"/>
        </w:rPr>
        <w:t xml:space="preserve"> </w:t>
      </w:r>
      <w:r w:rsidR="00E0313C" w:rsidRPr="00FD0312">
        <w:rPr>
          <w:rFonts w:cs="Arial"/>
          <w:szCs w:val="24"/>
        </w:rPr>
        <w:t xml:space="preserve">The </w:t>
      </w:r>
      <w:r w:rsidR="008C6C0F" w:rsidRPr="00FD0312">
        <w:rPr>
          <w:rFonts w:cs="Arial"/>
          <w:szCs w:val="24"/>
        </w:rPr>
        <w:t xml:space="preserve">appellant </w:t>
      </w:r>
      <w:r w:rsidR="00F7783B" w:rsidRPr="00FD0312">
        <w:rPr>
          <w:rFonts w:cs="Arial"/>
          <w:szCs w:val="24"/>
        </w:rPr>
        <w:t xml:space="preserve">exercised his right </w:t>
      </w:r>
      <w:r w:rsidR="00E0313C" w:rsidRPr="00FD0312">
        <w:rPr>
          <w:rFonts w:cs="Arial"/>
          <w:szCs w:val="24"/>
        </w:rPr>
        <w:t xml:space="preserve">to testify under oath </w:t>
      </w:r>
      <w:r w:rsidR="008A26BB" w:rsidRPr="00FD0312">
        <w:rPr>
          <w:rFonts w:cs="Arial"/>
          <w:szCs w:val="24"/>
        </w:rPr>
        <w:t xml:space="preserve">and placed circumstances </w:t>
      </w:r>
      <w:r w:rsidR="00E0313C" w:rsidRPr="00FD0312">
        <w:rPr>
          <w:rFonts w:cs="Arial"/>
          <w:szCs w:val="24"/>
        </w:rPr>
        <w:t>before the court</w:t>
      </w:r>
      <w:r w:rsidR="00F7783B" w:rsidRPr="00FD0312">
        <w:rPr>
          <w:rFonts w:cs="Arial"/>
          <w:szCs w:val="24"/>
        </w:rPr>
        <w:t xml:space="preserve">. </w:t>
      </w:r>
      <w:r w:rsidR="00E0313C" w:rsidRPr="00FD0312">
        <w:rPr>
          <w:rFonts w:cs="Arial"/>
          <w:szCs w:val="24"/>
        </w:rPr>
        <w:t>Based on the facts and the circumstances presented to the court</w:t>
      </w:r>
      <w:r w:rsidR="00F7783B" w:rsidRPr="00FD0312">
        <w:rPr>
          <w:rFonts w:cs="Arial"/>
          <w:szCs w:val="24"/>
        </w:rPr>
        <w:t xml:space="preserve">, the court </w:t>
      </w:r>
      <w:r w:rsidR="00E0313C" w:rsidRPr="00FD0312">
        <w:rPr>
          <w:rFonts w:cs="Arial"/>
          <w:szCs w:val="24"/>
        </w:rPr>
        <w:t>decided not to make an</w:t>
      </w:r>
      <w:r w:rsidR="00E4662E" w:rsidRPr="00FD0312">
        <w:rPr>
          <w:rFonts w:cs="Arial"/>
          <w:szCs w:val="24"/>
        </w:rPr>
        <w:t xml:space="preserve"> otherwise declaration in terms of s</w:t>
      </w:r>
      <w:r w:rsidR="00E0313C" w:rsidRPr="00FD0312">
        <w:rPr>
          <w:rFonts w:cs="Arial"/>
          <w:szCs w:val="24"/>
        </w:rPr>
        <w:t xml:space="preserve">ection 103 of </w:t>
      </w:r>
      <w:r w:rsidR="00A7305D" w:rsidRPr="00FD0312">
        <w:rPr>
          <w:rFonts w:cs="Arial"/>
          <w:szCs w:val="24"/>
        </w:rPr>
        <w:t xml:space="preserve">the </w:t>
      </w:r>
      <w:r w:rsidR="00E0313C" w:rsidRPr="00FD0312">
        <w:rPr>
          <w:rFonts w:cs="Arial"/>
          <w:szCs w:val="24"/>
        </w:rPr>
        <w:t>Act.</w:t>
      </w:r>
      <w:r w:rsidR="00AE16CD" w:rsidRPr="00FD0312">
        <w:rPr>
          <w:rFonts w:cs="Arial"/>
          <w:szCs w:val="24"/>
        </w:rPr>
        <w:t xml:space="preserve"> </w:t>
      </w:r>
      <w:r w:rsidR="00E4662E" w:rsidRPr="00FD0312">
        <w:rPr>
          <w:rFonts w:cs="Arial"/>
          <w:szCs w:val="24"/>
        </w:rPr>
        <w:t xml:space="preserve">At this juncture it is important to note that the State elected not to cross-examine the </w:t>
      </w:r>
      <w:r w:rsidR="008C6C0F" w:rsidRPr="00FD0312">
        <w:rPr>
          <w:rFonts w:cs="Arial"/>
          <w:szCs w:val="24"/>
        </w:rPr>
        <w:t xml:space="preserve">appellant </w:t>
      </w:r>
      <w:r w:rsidR="00E4662E" w:rsidRPr="00FD0312">
        <w:rPr>
          <w:rFonts w:cs="Arial"/>
          <w:szCs w:val="24"/>
        </w:rPr>
        <w:t xml:space="preserve">on the facts that he had tendered in support of his </w:t>
      </w:r>
      <w:r w:rsidR="008A26BB" w:rsidRPr="00FD0312">
        <w:rPr>
          <w:rFonts w:cs="Arial"/>
          <w:szCs w:val="24"/>
        </w:rPr>
        <w:t>fitness to possess a firearm.</w:t>
      </w:r>
      <w:r w:rsidR="00AE16CD" w:rsidRPr="00FD0312">
        <w:rPr>
          <w:rFonts w:cs="Arial"/>
          <w:szCs w:val="24"/>
        </w:rPr>
        <w:t xml:space="preserve"> </w:t>
      </w:r>
      <w:r w:rsidR="008A26BB" w:rsidRPr="00FD0312">
        <w:rPr>
          <w:rFonts w:cs="Arial"/>
          <w:szCs w:val="24"/>
        </w:rPr>
        <w:t xml:space="preserve">He stated that </w:t>
      </w:r>
      <w:r w:rsidR="00E4662E" w:rsidRPr="00FD0312">
        <w:rPr>
          <w:rFonts w:cs="Arial"/>
          <w:szCs w:val="24"/>
        </w:rPr>
        <w:t xml:space="preserve">opportunities to find other employment </w:t>
      </w:r>
      <w:r w:rsidR="00A7305D" w:rsidRPr="00FD0312">
        <w:rPr>
          <w:rFonts w:cs="Arial"/>
          <w:szCs w:val="24"/>
        </w:rPr>
        <w:t>w</w:t>
      </w:r>
      <w:r w:rsidR="00E4662E" w:rsidRPr="00FD0312">
        <w:rPr>
          <w:rFonts w:cs="Arial"/>
          <w:szCs w:val="24"/>
        </w:rPr>
        <w:t xml:space="preserve">ould </w:t>
      </w:r>
      <w:r w:rsidR="00F7783B" w:rsidRPr="00FD0312">
        <w:rPr>
          <w:rFonts w:cs="Arial"/>
          <w:szCs w:val="24"/>
        </w:rPr>
        <w:t xml:space="preserve">be difficult, </w:t>
      </w:r>
      <w:r w:rsidR="00712725" w:rsidRPr="00FD0312">
        <w:rPr>
          <w:rFonts w:cs="Arial"/>
          <w:szCs w:val="24"/>
        </w:rPr>
        <w:t xml:space="preserve">and </w:t>
      </w:r>
      <w:r w:rsidR="00F7783B" w:rsidRPr="00FD0312">
        <w:rPr>
          <w:rFonts w:cs="Arial"/>
          <w:szCs w:val="24"/>
        </w:rPr>
        <w:t>furthermore</w:t>
      </w:r>
      <w:r w:rsidR="00712725" w:rsidRPr="00FD0312">
        <w:rPr>
          <w:rFonts w:cs="Arial"/>
          <w:szCs w:val="24"/>
        </w:rPr>
        <w:t>,</w:t>
      </w:r>
      <w:r w:rsidR="00F7783B" w:rsidRPr="00FD0312">
        <w:rPr>
          <w:rFonts w:cs="Arial"/>
          <w:szCs w:val="24"/>
        </w:rPr>
        <w:t xml:space="preserve"> that the </w:t>
      </w:r>
      <w:r w:rsidR="00A7305D" w:rsidRPr="00FD0312">
        <w:rPr>
          <w:rFonts w:cs="Arial"/>
          <w:szCs w:val="24"/>
        </w:rPr>
        <w:t>chances to be</w:t>
      </w:r>
      <w:r w:rsidR="00E4662E" w:rsidRPr="00FD0312">
        <w:rPr>
          <w:rFonts w:cs="Arial"/>
          <w:szCs w:val="24"/>
        </w:rPr>
        <w:t xml:space="preserve"> employed as a security guard</w:t>
      </w:r>
      <w:r w:rsidR="008A26BB" w:rsidRPr="00FD0312">
        <w:rPr>
          <w:rFonts w:cs="Arial"/>
          <w:szCs w:val="24"/>
        </w:rPr>
        <w:t xml:space="preserve"> </w:t>
      </w:r>
      <w:r w:rsidR="00A7305D" w:rsidRPr="00FD0312">
        <w:rPr>
          <w:rFonts w:cs="Arial"/>
          <w:szCs w:val="24"/>
        </w:rPr>
        <w:t xml:space="preserve">without having a firearm licence </w:t>
      </w:r>
      <w:r w:rsidR="008A26BB" w:rsidRPr="00FD0312">
        <w:rPr>
          <w:rFonts w:cs="Arial"/>
          <w:szCs w:val="24"/>
        </w:rPr>
        <w:t>are slim</w:t>
      </w:r>
      <w:r w:rsidR="00E4662E" w:rsidRPr="00FD0312">
        <w:rPr>
          <w:rFonts w:cs="Arial"/>
          <w:szCs w:val="24"/>
        </w:rPr>
        <w:t>.</w:t>
      </w:r>
      <w:r w:rsidR="00AE16CD" w:rsidRPr="00FD0312">
        <w:rPr>
          <w:rFonts w:cs="Arial"/>
          <w:szCs w:val="24"/>
        </w:rPr>
        <w:t xml:space="preserve"> </w:t>
      </w:r>
      <w:r w:rsidR="00E4662E" w:rsidRPr="00FD0312">
        <w:rPr>
          <w:rFonts w:cs="Arial"/>
          <w:szCs w:val="24"/>
        </w:rPr>
        <w:t xml:space="preserve">The State </w:t>
      </w:r>
      <w:r w:rsidR="008A26BB" w:rsidRPr="00FD0312">
        <w:rPr>
          <w:rFonts w:cs="Arial"/>
          <w:szCs w:val="24"/>
        </w:rPr>
        <w:t xml:space="preserve">never </w:t>
      </w:r>
      <w:r w:rsidR="00E4662E" w:rsidRPr="00FD0312">
        <w:rPr>
          <w:rFonts w:cs="Arial"/>
          <w:szCs w:val="24"/>
        </w:rPr>
        <w:t>pro</w:t>
      </w:r>
      <w:r w:rsidR="00A7305D" w:rsidRPr="00FD0312">
        <w:rPr>
          <w:rFonts w:cs="Arial"/>
          <w:szCs w:val="24"/>
        </w:rPr>
        <w:t>b</w:t>
      </w:r>
      <w:r w:rsidR="008A26BB" w:rsidRPr="00FD0312">
        <w:rPr>
          <w:rFonts w:cs="Arial"/>
          <w:szCs w:val="24"/>
        </w:rPr>
        <w:t>ed</w:t>
      </w:r>
      <w:r w:rsidR="00E4662E" w:rsidRPr="00FD0312">
        <w:rPr>
          <w:rFonts w:cs="Arial"/>
          <w:szCs w:val="24"/>
        </w:rPr>
        <w:t xml:space="preserve"> him on the circumstances under which he </w:t>
      </w:r>
      <w:r w:rsidR="00A7305D" w:rsidRPr="00FD0312">
        <w:rPr>
          <w:rFonts w:cs="Arial"/>
          <w:szCs w:val="24"/>
        </w:rPr>
        <w:t xml:space="preserve">had </w:t>
      </w:r>
      <w:r w:rsidR="00E4662E" w:rsidRPr="00FD0312">
        <w:rPr>
          <w:rFonts w:cs="Arial"/>
          <w:szCs w:val="24"/>
        </w:rPr>
        <w:t>lost the firearm</w:t>
      </w:r>
      <w:r w:rsidR="00F7783B" w:rsidRPr="00FD0312">
        <w:rPr>
          <w:rFonts w:cs="Arial"/>
          <w:szCs w:val="24"/>
        </w:rPr>
        <w:t>, n</w:t>
      </w:r>
      <w:r w:rsidR="008A26BB" w:rsidRPr="00FD0312">
        <w:rPr>
          <w:rFonts w:cs="Arial"/>
          <w:szCs w:val="24"/>
        </w:rPr>
        <w:t>or</w:t>
      </w:r>
      <w:r w:rsidR="00A7305D" w:rsidRPr="00FD0312">
        <w:rPr>
          <w:rFonts w:cs="Arial"/>
          <w:szCs w:val="24"/>
        </w:rPr>
        <w:t xml:space="preserve"> was</w:t>
      </w:r>
      <w:r w:rsidR="008A26BB" w:rsidRPr="00FD0312">
        <w:rPr>
          <w:rFonts w:cs="Arial"/>
          <w:szCs w:val="24"/>
        </w:rPr>
        <w:t xml:space="preserve"> </w:t>
      </w:r>
      <w:r w:rsidR="00A7305D" w:rsidRPr="00FD0312">
        <w:rPr>
          <w:rFonts w:cs="Arial"/>
          <w:szCs w:val="24"/>
        </w:rPr>
        <w:t xml:space="preserve">he questioned </w:t>
      </w:r>
      <w:r w:rsidR="008A26BB" w:rsidRPr="00FD0312">
        <w:rPr>
          <w:rFonts w:cs="Arial"/>
          <w:szCs w:val="24"/>
        </w:rPr>
        <w:t xml:space="preserve">on </w:t>
      </w:r>
      <w:r w:rsidR="00F7783B" w:rsidRPr="00FD0312">
        <w:rPr>
          <w:rFonts w:cs="Arial"/>
          <w:szCs w:val="24"/>
        </w:rPr>
        <w:t>how frequently he uses alcohol</w:t>
      </w:r>
      <w:r w:rsidR="00347B0F" w:rsidRPr="00FD0312">
        <w:rPr>
          <w:rFonts w:cs="Arial"/>
          <w:szCs w:val="24"/>
        </w:rPr>
        <w:t>.</w:t>
      </w:r>
      <w:r w:rsidR="00AE16CD" w:rsidRPr="00FD0312">
        <w:rPr>
          <w:rFonts w:cs="Arial"/>
          <w:szCs w:val="24"/>
        </w:rPr>
        <w:t xml:space="preserve"> </w:t>
      </w:r>
      <w:r w:rsidR="00E4662E" w:rsidRPr="00FD0312">
        <w:rPr>
          <w:rFonts w:cs="Arial"/>
          <w:szCs w:val="24"/>
        </w:rPr>
        <w:t>In my view the</w:t>
      </w:r>
      <w:r w:rsidR="00347B0F" w:rsidRPr="00FD0312">
        <w:rPr>
          <w:rFonts w:cs="Arial"/>
          <w:szCs w:val="24"/>
        </w:rPr>
        <w:t>s</w:t>
      </w:r>
      <w:r w:rsidR="00E4662E" w:rsidRPr="00FD0312">
        <w:rPr>
          <w:rFonts w:cs="Arial"/>
          <w:szCs w:val="24"/>
        </w:rPr>
        <w:t xml:space="preserve">e are important factors to examine because it goes to the heart of the </w:t>
      </w:r>
      <w:r w:rsidR="008C6C0F" w:rsidRPr="00FD0312">
        <w:rPr>
          <w:rFonts w:cs="Arial"/>
          <w:szCs w:val="24"/>
        </w:rPr>
        <w:t xml:space="preserve">appellant’s </w:t>
      </w:r>
      <w:r w:rsidR="00E4662E" w:rsidRPr="00FD0312">
        <w:rPr>
          <w:rFonts w:cs="Arial"/>
          <w:szCs w:val="24"/>
        </w:rPr>
        <w:t>suitability to possess a firearm</w:t>
      </w:r>
      <w:r w:rsidR="00347B0F" w:rsidRPr="00FD0312">
        <w:rPr>
          <w:rFonts w:cs="Arial"/>
          <w:szCs w:val="24"/>
        </w:rPr>
        <w:t xml:space="preserve"> in future</w:t>
      </w:r>
      <w:r w:rsidR="00E4662E" w:rsidRPr="00FD0312">
        <w:rPr>
          <w:rFonts w:cs="Arial"/>
          <w:szCs w:val="24"/>
        </w:rPr>
        <w:t>.</w:t>
      </w:r>
      <w:r w:rsidR="00AE16CD" w:rsidRPr="00FD0312">
        <w:rPr>
          <w:rFonts w:cs="Arial"/>
          <w:szCs w:val="24"/>
        </w:rPr>
        <w:t xml:space="preserve"> </w:t>
      </w:r>
    </w:p>
    <w:p w:rsidR="00C52165" w:rsidRPr="007F2B09" w:rsidRDefault="00C52165" w:rsidP="007F2B09">
      <w:pPr>
        <w:pStyle w:val="ListParagraph"/>
        <w:spacing w:after="0" w:line="360" w:lineRule="auto"/>
        <w:ind w:left="0"/>
        <w:jc w:val="both"/>
        <w:rPr>
          <w:rFonts w:cs="Arial"/>
          <w:sz w:val="24"/>
          <w:szCs w:val="24"/>
        </w:rPr>
      </w:pPr>
    </w:p>
    <w:p w:rsidR="00E0313C" w:rsidRPr="00FD0312" w:rsidRDefault="00FD0312" w:rsidP="00FD0312">
      <w:pPr>
        <w:spacing w:line="360" w:lineRule="auto"/>
        <w:rPr>
          <w:rFonts w:cs="Arial"/>
          <w:szCs w:val="24"/>
        </w:rPr>
      </w:pPr>
      <w:r w:rsidRPr="007F2B09">
        <w:rPr>
          <w:rFonts w:eastAsia="Arial" w:cs="Arial"/>
          <w:szCs w:val="24"/>
        </w:rPr>
        <w:t>[7]</w:t>
      </w:r>
      <w:r w:rsidRPr="007F2B09">
        <w:rPr>
          <w:rFonts w:eastAsia="Arial" w:cs="Arial"/>
          <w:szCs w:val="24"/>
        </w:rPr>
        <w:tab/>
      </w:r>
      <w:r w:rsidR="00E0313C" w:rsidRPr="00FD0312">
        <w:rPr>
          <w:rFonts w:cs="Arial"/>
          <w:szCs w:val="24"/>
        </w:rPr>
        <w:t xml:space="preserve">On behalf of the </w:t>
      </w:r>
      <w:r w:rsidR="008C6C0F" w:rsidRPr="00FD0312">
        <w:rPr>
          <w:rFonts w:cs="Arial"/>
          <w:szCs w:val="24"/>
        </w:rPr>
        <w:t xml:space="preserve">respondent </w:t>
      </w:r>
      <w:r w:rsidR="00E0313C" w:rsidRPr="00FD0312">
        <w:rPr>
          <w:rFonts w:cs="Arial"/>
          <w:szCs w:val="24"/>
        </w:rPr>
        <w:t xml:space="preserve">it has been </w:t>
      </w:r>
      <w:r w:rsidR="00537D49" w:rsidRPr="00FD0312">
        <w:rPr>
          <w:rFonts w:cs="Arial"/>
          <w:szCs w:val="24"/>
        </w:rPr>
        <w:t xml:space="preserve">submitted </w:t>
      </w:r>
      <w:r w:rsidR="00E0313C" w:rsidRPr="00FD0312">
        <w:rPr>
          <w:rFonts w:cs="Arial"/>
          <w:szCs w:val="24"/>
        </w:rPr>
        <w:t xml:space="preserve">that the trial court was justified in declaring the </w:t>
      </w:r>
      <w:r w:rsidR="008C6C0F" w:rsidRPr="00FD0312">
        <w:rPr>
          <w:rFonts w:cs="Arial"/>
          <w:szCs w:val="24"/>
        </w:rPr>
        <w:t xml:space="preserve">appellant </w:t>
      </w:r>
      <w:r w:rsidR="00E0313C" w:rsidRPr="00FD0312">
        <w:rPr>
          <w:rFonts w:cs="Arial"/>
          <w:szCs w:val="24"/>
        </w:rPr>
        <w:t xml:space="preserve">unfit since he handled the firearm whilst under the influence of alcohol and not only posed a danger to himself but </w:t>
      </w:r>
      <w:r w:rsidR="00347B0F" w:rsidRPr="00FD0312">
        <w:rPr>
          <w:rFonts w:cs="Arial"/>
          <w:szCs w:val="24"/>
        </w:rPr>
        <w:t xml:space="preserve">also </w:t>
      </w:r>
      <w:r w:rsidR="00E0313C" w:rsidRPr="00FD0312">
        <w:rPr>
          <w:rFonts w:cs="Arial"/>
          <w:szCs w:val="24"/>
        </w:rPr>
        <w:t xml:space="preserve">the broader community. </w:t>
      </w:r>
      <w:r w:rsidR="00347B0F" w:rsidRPr="00FD0312">
        <w:rPr>
          <w:rFonts w:cs="Arial"/>
          <w:szCs w:val="24"/>
        </w:rPr>
        <w:t>This submission is however not born</w:t>
      </w:r>
      <w:r w:rsidR="00BD0357" w:rsidRPr="00FD0312">
        <w:rPr>
          <w:rFonts w:cs="Arial"/>
          <w:szCs w:val="24"/>
        </w:rPr>
        <w:t>e</w:t>
      </w:r>
      <w:r w:rsidR="00347B0F" w:rsidRPr="00FD0312">
        <w:rPr>
          <w:rFonts w:cs="Arial"/>
          <w:szCs w:val="24"/>
        </w:rPr>
        <w:t xml:space="preserve"> out by the </w:t>
      </w:r>
      <w:r w:rsidR="00A7305D" w:rsidRPr="00FD0312">
        <w:rPr>
          <w:rFonts w:cs="Arial"/>
          <w:szCs w:val="24"/>
        </w:rPr>
        <w:t>facts of this case</w:t>
      </w:r>
      <w:r w:rsidR="00347B0F" w:rsidRPr="00FD0312">
        <w:rPr>
          <w:rFonts w:cs="Arial"/>
          <w:szCs w:val="24"/>
        </w:rPr>
        <w:t xml:space="preserve">. </w:t>
      </w:r>
      <w:r w:rsidR="00537D49" w:rsidRPr="00FD0312">
        <w:rPr>
          <w:rFonts w:cs="Arial"/>
          <w:szCs w:val="24"/>
        </w:rPr>
        <w:t xml:space="preserve">In oral argument </w:t>
      </w:r>
      <w:r w:rsidR="008C6C0F" w:rsidRPr="00FD0312">
        <w:rPr>
          <w:rFonts w:cs="Arial"/>
          <w:szCs w:val="24"/>
        </w:rPr>
        <w:t>before me</w:t>
      </w:r>
      <w:r w:rsidR="00537D49" w:rsidRPr="00FD0312">
        <w:rPr>
          <w:rFonts w:cs="Arial"/>
          <w:szCs w:val="24"/>
        </w:rPr>
        <w:t>, counsel for the respondent conceded that the State ought to have challenged the appellant’s evidence in mitigation. This concession, in my view, is properly made.</w:t>
      </w:r>
    </w:p>
    <w:p w:rsidR="00EF7753" w:rsidRPr="007F2B09" w:rsidRDefault="00EF7753" w:rsidP="007F2B09">
      <w:pPr>
        <w:pStyle w:val="ListParagraph"/>
        <w:spacing w:after="0" w:line="360" w:lineRule="auto"/>
        <w:ind w:left="0"/>
        <w:jc w:val="both"/>
        <w:rPr>
          <w:rFonts w:cs="Arial"/>
          <w:sz w:val="24"/>
          <w:szCs w:val="24"/>
        </w:rPr>
      </w:pPr>
    </w:p>
    <w:p w:rsidR="00974483" w:rsidRPr="00FD0312" w:rsidRDefault="00FD0312" w:rsidP="00FD0312">
      <w:pPr>
        <w:spacing w:line="360" w:lineRule="auto"/>
        <w:rPr>
          <w:rFonts w:cs="Arial"/>
          <w:szCs w:val="24"/>
        </w:rPr>
      </w:pPr>
      <w:r w:rsidRPr="007F2B09">
        <w:rPr>
          <w:rFonts w:eastAsia="Arial" w:cs="Arial"/>
          <w:szCs w:val="24"/>
        </w:rPr>
        <w:t>[8]</w:t>
      </w:r>
      <w:r w:rsidRPr="007F2B09">
        <w:rPr>
          <w:rFonts w:eastAsia="Arial" w:cs="Arial"/>
          <w:szCs w:val="24"/>
        </w:rPr>
        <w:tab/>
      </w:r>
      <w:r w:rsidR="00EF7753" w:rsidRPr="00FD0312">
        <w:rPr>
          <w:rFonts w:cs="Arial"/>
          <w:szCs w:val="24"/>
        </w:rPr>
        <w:t xml:space="preserve">It is not necessary to decide on the </w:t>
      </w:r>
      <w:r w:rsidR="00537D49" w:rsidRPr="00FD0312">
        <w:rPr>
          <w:rFonts w:cs="Arial"/>
          <w:szCs w:val="24"/>
        </w:rPr>
        <w:t>appealability</w:t>
      </w:r>
      <w:r w:rsidR="00EF7753" w:rsidRPr="00FD0312">
        <w:rPr>
          <w:rFonts w:cs="Arial"/>
          <w:szCs w:val="24"/>
        </w:rPr>
        <w:t xml:space="preserve"> of an order in terms of section 103 of the Act, since the court in </w:t>
      </w:r>
      <w:r w:rsidR="00EF7753" w:rsidRPr="00FD0312">
        <w:rPr>
          <w:rFonts w:cs="Arial"/>
          <w:i/>
          <w:szCs w:val="24"/>
        </w:rPr>
        <w:t>S v Mkhonza</w:t>
      </w:r>
      <w:r w:rsidR="00EF7753" w:rsidRPr="00FD0312">
        <w:rPr>
          <w:rFonts w:cs="Arial"/>
          <w:szCs w:val="24"/>
        </w:rPr>
        <w:t>,</w:t>
      </w:r>
      <w:r w:rsidR="008C6C0F">
        <w:rPr>
          <w:rStyle w:val="FootnoteReference"/>
          <w:rFonts w:cs="Arial"/>
          <w:szCs w:val="24"/>
        </w:rPr>
        <w:footnoteReference w:id="2"/>
      </w:r>
      <w:r w:rsidR="00EF7753" w:rsidRPr="00FD0312">
        <w:rPr>
          <w:rFonts w:cs="Arial"/>
          <w:szCs w:val="24"/>
        </w:rPr>
        <w:t xml:space="preserve"> decided that such an order is appealable</w:t>
      </w:r>
      <w:r w:rsidR="008C6C0F" w:rsidRPr="00FD0312">
        <w:rPr>
          <w:rFonts w:cs="Arial"/>
          <w:szCs w:val="24"/>
        </w:rPr>
        <w:t>.</w:t>
      </w:r>
      <w:r w:rsidR="00A7305D" w:rsidRPr="007F2B09">
        <w:rPr>
          <w:rStyle w:val="FootnoteReference"/>
          <w:rFonts w:cs="Arial"/>
          <w:szCs w:val="24"/>
        </w:rPr>
        <w:footnoteReference w:id="3"/>
      </w:r>
      <w:r w:rsidR="00AE16CD" w:rsidRPr="00FD0312">
        <w:rPr>
          <w:rFonts w:cs="Arial"/>
          <w:szCs w:val="24"/>
        </w:rPr>
        <w:t xml:space="preserve"> </w:t>
      </w:r>
      <w:r w:rsidR="00974483" w:rsidRPr="00FD0312">
        <w:rPr>
          <w:rFonts w:cs="Arial"/>
          <w:szCs w:val="24"/>
        </w:rPr>
        <w:t xml:space="preserve">The importance of an enquiry has been highlighted in </w:t>
      </w:r>
      <w:r w:rsidR="00974483" w:rsidRPr="00FD0312">
        <w:rPr>
          <w:rFonts w:cs="Arial"/>
          <w:i/>
          <w:szCs w:val="24"/>
        </w:rPr>
        <w:t>Mkhonza</w:t>
      </w:r>
      <w:r w:rsidR="00974483" w:rsidRPr="00FD0312">
        <w:rPr>
          <w:rFonts w:cs="Arial"/>
          <w:szCs w:val="24"/>
        </w:rPr>
        <w:t xml:space="preserve"> </w:t>
      </w:r>
      <w:r w:rsidR="00273C9C" w:rsidRPr="00FD0312">
        <w:rPr>
          <w:rFonts w:cs="Arial"/>
          <w:szCs w:val="24"/>
        </w:rPr>
        <w:t xml:space="preserve">where it </w:t>
      </w:r>
      <w:r w:rsidR="00273C9C" w:rsidRPr="00FD0312">
        <w:rPr>
          <w:rFonts w:cs="Arial"/>
          <w:szCs w:val="24"/>
        </w:rPr>
        <w:lastRenderedPageBreak/>
        <w:t>was stated that</w:t>
      </w:r>
      <w:r w:rsidR="00974483" w:rsidRPr="00FD0312">
        <w:rPr>
          <w:rFonts w:cs="Arial"/>
          <w:szCs w:val="24"/>
        </w:rPr>
        <w:t xml:space="preserve">: </w:t>
      </w:r>
    </w:p>
    <w:p w:rsidR="00EF7753" w:rsidRPr="007F2B09" w:rsidRDefault="00974483" w:rsidP="00273C9C">
      <w:pPr>
        <w:pStyle w:val="ListParagraph"/>
        <w:spacing w:line="360" w:lineRule="auto"/>
        <w:ind w:left="0"/>
        <w:jc w:val="both"/>
        <w:rPr>
          <w:rFonts w:cs="Arial"/>
          <w:szCs w:val="24"/>
        </w:rPr>
      </w:pPr>
      <w:r w:rsidRPr="007F2B09">
        <w:rPr>
          <w:rFonts w:cs="Arial"/>
          <w:szCs w:val="24"/>
        </w:rPr>
        <w:t>‘</w:t>
      </w:r>
      <w:r w:rsidR="00273C9C" w:rsidRPr="00273C9C">
        <w:rPr>
          <w:rFonts w:cs="Arial"/>
          <w:szCs w:val="24"/>
          <w:lang w:val="en-US"/>
        </w:rPr>
        <w:t>In the light of the differences between ss 103(1) and 103(2)</w:t>
      </w:r>
      <w:r w:rsidR="00273C9C" w:rsidRPr="00273C9C">
        <w:rPr>
          <w:rFonts w:cs="Arial"/>
          <w:i/>
          <w:iCs/>
          <w:szCs w:val="24"/>
          <w:lang w:val="en-US"/>
        </w:rPr>
        <w:t>(a)</w:t>
      </w:r>
      <w:r w:rsidR="00273C9C" w:rsidRPr="00273C9C">
        <w:rPr>
          <w:rFonts w:cs="Arial"/>
          <w:szCs w:val="24"/>
          <w:lang w:val="en-US"/>
        </w:rPr>
        <w:t> it has been suggested in some of the cases that, in the case of a conviction and sentence falling within s 103(1), it is not incumbent on the court to hold an enquiry into the offender's fitness to possess a firearm. All that is necessary is that, where the accused person is unrepresented, the court should draw his or her attention to the provisions of s 103(1) and invite him or her, if he or she so chooses, to place facts before the court to enable it to determine that he or she is indeed fit to possess a firearm.</w:t>
      </w:r>
      <w:bookmarkStart w:id="0" w:name="0-0-0-82849"/>
      <w:bookmarkEnd w:id="0"/>
      <w:r w:rsidR="00273C9C" w:rsidRPr="00273C9C">
        <w:rPr>
          <w:rFonts w:cs="Arial"/>
          <w:szCs w:val="24"/>
          <w:lang w:val="en-US"/>
        </w:rPr>
        <w:t xml:space="preserve"> </w:t>
      </w:r>
      <w:r w:rsidR="00273C9C" w:rsidRPr="00273C9C">
        <w:rPr>
          <w:rFonts w:cs="Arial"/>
          <w:i/>
          <w:szCs w:val="24"/>
          <w:lang w:val="en-US"/>
        </w:rPr>
        <w:t>For my part I doubt whether this goes far enough.</w:t>
      </w:r>
      <w:r w:rsidR="00273C9C" w:rsidRPr="00273C9C">
        <w:rPr>
          <w:rFonts w:cs="Arial"/>
          <w:szCs w:val="24"/>
          <w:lang w:val="en-US"/>
        </w:rPr>
        <w:t xml:space="preserve"> The problems of the undefended accused are well known and it is unnecessary for me to explore them here in any detail. Such persons will have little idea as to what is or is not relevant to the question of their fitness to possess a firearm if convicted. They will have little or no ability to make a proper presentation on fact or law to the trial court. Records that come before this court on review or appeal demonstrate that this issue is usually addressed in the most perfunctory fashion, in part, at least, because the accused has no idea of what they should do in relation to these matters. If the court is under no obligation other than to draw the attention of a person not qualified to do so, to their right to make representations or lead evidence on this issue, there is a risk of grave injustice.</w:t>
      </w:r>
      <w:r w:rsidRPr="007F2B09">
        <w:rPr>
          <w:rFonts w:cs="Arial"/>
          <w:szCs w:val="24"/>
        </w:rPr>
        <w:t>’</w:t>
      </w:r>
      <w:r w:rsidR="00273C9C">
        <w:rPr>
          <w:rStyle w:val="FootnoteReference"/>
          <w:rFonts w:cs="Arial"/>
          <w:szCs w:val="24"/>
        </w:rPr>
        <w:footnoteReference w:id="4"/>
      </w:r>
      <w:r w:rsidR="00AE16CD">
        <w:rPr>
          <w:rFonts w:cs="Arial"/>
          <w:szCs w:val="24"/>
        </w:rPr>
        <w:t xml:space="preserve"> </w:t>
      </w:r>
      <w:r w:rsidR="00A7305D" w:rsidRPr="007F2B09">
        <w:rPr>
          <w:rFonts w:cs="Arial"/>
          <w:szCs w:val="24"/>
        </w:rPr>
        <w:t>(</w:t>
      </w:r>
      <w:r w:rsidR="00273C9C">
        <w:rPr>
          <w:rFonts w:cs="Arial"/>
          <w:szCs w:val="24"/>
        </w:rPr>
        <w:t>Footnote omitted, and m</w:t>
      </w:r>
      <w:r w:rsidR="00A7305D" w:rsidRPr="007F2B09">
        <w:rPr>
          <w:rFonts w:cs="Arial"/>
          <w:szCs w:val="24"/>
        </w:rPr>
        <w:t>y emphasis</w:t>
      </w:r>
      <w:r w:rsidR="00273C9C">
        <w:rPr>
          <w:rFonts w:cs="Arial"/>
          <w:szCs w:val="24"/>
        </w:rPr>
        <w:t>.</w:t>
      </w:r>
      <w:r w:rsidR="00A7305D" w:rsidRPr="007F2B09">
        <w:rPr>
          <w:rFonts w:cs="Arial"/>
          <w:szCs w:val="24"/>
        </w:rPr>
        <w:t>)</w:t>
      </w:r>
      <w:r w:rsidR="00EF7753" w:rsidRPr="007F2B09">
        <w:rPr>
          <w:rFonts w:cs="Arial"/>
          <w:szCs w:val="24"/>
        </w:rPr>
        <w:t xml:space="preserve"> </w:t>
      </w:r>
    </w:p>
    <w:p w:rsidR="002F6283" w:rsidRPr="007F2B09" w:rsidRDefault="002F6283" w:rsidP="007F2B09">
      <w:pPr>
        <w:pStyle w:val="ListParagraph"/>
        <w:spacing w:after="0" w:line="360" w:lineRule="auto"/>
        <w:ind w:left="0"/>
        <w:jc w:val="both"/>
        <w:rPr>
          <w:rFonts w:cs="Arial"/>
          <w:sz w:val="24"/>
          <w:szCs w:val="24"/>
        </w:rPr>
      </w:pPr>
    </w:p>
    <w:p w:rsidR="002F6283" w:rsidRPr="00FD0312" w:rsidRDefault="00FD0312" w:rsidP="00FD0312">
      <w:pPr>
        <w:spacing w:line="360" w:lineRule="auto"/>
        <w:rPr>
          <w:rFonts w:cs="Arial"/>
          <w:szCs w:val="24"/>
        </w:rPr>
      </w:pPr>
      <w:r w:rsidRPr="007F2B09">
        <w:rPr>
          <w:rFonts w:eastAsia="Arial" w:cs="Arial"/>
          <w:szCs w:val="24"/>
        </w:rPr>
        <w:t>[9]</w:t>
      </w:r>
      <w:r w:rsidRPr="007F2B09">
        <w:rPr>
          <w:rFonts w:eastAsia="Arial" w:cs="Arial"/>
          <w:szCs w:val="24"/>
        </w:rPr>
        <w:tab/>
      </w:r>
      <w:r w:rsidR="002F6283" w:rsidRPr="00FD0312">
        <w:rPr>
          <w:rFonts w:cs="Arial"/>
          <w:szCs w:val="24"/>
        </w:rPr>
        <w:t>Over time</w:t>
      </w:r>
      <w:r w:rsidR="00D17A59" w:rsidRPr="00FD0312">
        <w:rPr>
          <w:rFonts w:cs="Arial"/>
          <w:szCs w:val="24"/>
        </w:rPr>
        <w:t>,</w:t>
      </w:r>
      <w:r w:rsidR="002F6283" w:rsidRPr="00FD0312">
        <w:rPr>
          <w:rFonts w:cs="Arial"/>
          <w:szCs w:val="24"/>
        </w:rPr>
        <w:t xml:space="preserve"> the </w:t>
      </w:r>
      <w:r w:rsidR="00924468" w:rsidRPr="00FD0312">
        <w:rPr>
          <w:rFonts w:cs="Arial"/>
          <w:szCs w:val="24"/>
        </w:rPr>
        <w:t xml:space="preserve">Legislature </w:t>
      </w:r>
      <w:r w:rsidR="002F6283" w:rsidRPr="00FD0312">
        <w:rPr>
          <w:rFonts w:cs="Arial"/>
          <w:szCs w:val="24"/>
        </w:rPr>
        <w:t xml:space="preserve">has </w:t>
      </w:r>
      <w:r w:rsidR="00BD0357" w:rsidRPr="00FD0312">
        <w:rPr>
          <w:rFonts w:cs="Arial"/>
          <w:szCs w:val="24"/>
        </w:rPr>
        <w:t xml:space="preserve">introduced </w:t>
      </w:r>
      <w:r w:rsidR="002F6283" w:rsidRPr="00FD0312">
        <w:rPr>
          <w:rFonts w:cs="Arial"/>
          <w:szCs w:val="24"/>
        </w:rPr>
        <w:t>more stringent requirements relating to the safekeeping of firearms.</w:t>
      </w:r>
      <w:r w:rsidR="00AE16CD" w:rsidRPr="00FD0312">
        <w:rPr>
          <w:rFonts w:cs="Arial"/>
          <w:szCs w:val="24"/>
        </w:rPr>
        <w:t xml:space="preserve"> </w:t>
      </w:r>
      <w:r w:rsidR="002F6283" w:rsidRPr="00FD0312">
        <w:rPr>
          <w:rFonts w:cs="Arial"/>
          <w:szCs w:val="24"/>
        </w:rPr>
        <w:t xml:space="preserve">Given the </w:t>
      </w:r>
      <w:r w:rsidR="00347B0F" w:rsidRPr="00FD0312">
        <w:rPr>
          <w:rFonts w:cs="Arial"/>
          <w:szCs w:val="24"/>
        </w:rPr>
        <w:t xml:space="preserve">alarming amount </w:t>
      </w:r>
      <w:r w:rsidR="002F6283" w:rsidRPr="00FD0312">
        <w:rPr>
          <w:rFonts w:cs="Arial"/>
          <w:szCs w:val="24"/>
        </w:rPr>
        <w:t>of offences committed with illegal firearms, the rationale for introducing new provisions to safeguard firearms should be applauded.</w:t>
      </w:r>
      <w:r w:rsidR="00AE16CD" w:rsidRPr="00FD0312">
        <w:rPr>
          <w:rFonts w:cs="Arial"/>
          <w:szCs w:val="24"/>
        </w:rPr>
        <w:t xml:space="preserve"> </w:t>
      </w:r>
      <w:r w:rsidR="002F6283" w:rsidRPr="00FD0312">
        <w:rPr>
          <w:rFonts w:cs="Arial"/>
          <w:szCs w:val="24"/>
        </w:rPr>
        <w:t xml:space="preserve">I do not intend summarising the developments in the legislation since it has </w:t>
      </w:r>
      <w:r w:rsidR="004819E1" w:rsidRPr="00FD0312">
        <w:rPr>
          <w:rFonts w:cs="Arial"/>
          <w:szCs w:val="24"/>
        </w:rPr>
        <w:t xml:space="preserve">already </w:t>
      </w:r>
      <w:r w:rsidR="002F6283" w:rsidRPr="00FD0312">
        <w:rPr>
          <w:rFonts w:cs="Arial"/>
          <w:szCs w:val="24"/>
        </w:rPr>
        <w:t xml:space="preserve">been succinctly stated </w:t>
      </w:r>
      <w:r w:rsidR="00BD0357" w:rsidRPr="00FD0312">
        <w:rPr>
          <w:rFonts w:cs="Arial"/>
          <w:szCs w:val="24"/>
        </w:rPr>
        <w:t xml:space="preserve">by Mudau J </w:t>
      </w:r>
      <w:r w:rsidR="002F6283" w:rsidRPr="00FD0312">
        <w:rPr>
          <w:rFonts w:cs="Arial"/>
          <w:szCs w:val="24"/>
        </w:rPr>
        <w:t xml:space="preserve">in </w:t>
      </w:r>
      <w:r w:rsidR="002F6283" w:rsidRPr="00FD0312">
        <w:rPr>
          <w:rFonts w:cs="Arial"/>
          <w:i/>
          <w:szCs w:val="24"/>
        </w:rPr>
        <w:t>Venter v S</w:t>
      </w:r>
      <w:r w:rsidR="00924468" w:rsidRPr="00FD0312">
        <w:rPr>
          <w:rFonts w:cs="Arial"/>
          <w:szCs w:val="24"/>
        </w:rPr>
        <w:t>.</w:t>
      </w:r>
      <w:r w:rsidR="002F6283" w:rsidRPr="007F2B09">
        <w:rPr>
          <w:rStyle w:val="FootnoteReference"/>
          <w:rFonts w:cs="Arial"/>
          <w:szCs w:val="24"/>
        </w:rPr>
        <w:footnoteReference w:id="5"/>
      </w:r>
    </w:p>
    <w:p w:rsidR="00EF7753" w:rsidRPr="007F2B09" w:rsidRDefault="00EF7753" w:rsidP="007F2B09">
      <w:pPr>
        <w:pStyle w:val="ListParagraph"/>
        <w:spacing w:after="0" w:line="360" w:lineRule="auto"/>
        <w:ind w:left="0"/>
        <w:jc w:val="both"/>
        <w:rPr>
          <w:rFonts w:cs="Arial"/>
          <w:sz w:val="24"/>
          <w:szCs w:val="24"/>
        </w:rPr>
      </w:pPr>
    </w:p>
    <w:p w:rsidR="00EF7753" w:rsidRPr="00FD0312" w:rsidRDefault="00FD0312" w:rsidP="00FD0312">
      <w:pPr>
        <w:spacing w:line="360" w:lineRule="auto"/>
        <w:rPr>
          <w:rFonts w:cs="Arial"/>
          <w:szCs w:val="24"/>
        </w:rPr>
      </w:pPr>
      <w:r w:rsidRPr="007F2B09">
        <w:rPr>
          <w:rFonts w:eastAsia="Arial" w:cs="Arial"/>
          <w:szCs w:val="24"/>
        </w:rPr>
        <w:t>[10]</w:t>
      </w:r>
      <w:r w:rsidRPr="007F2B09">
        <w:rPr>
          <w:rFonts w:eastAsia="Arial" w:cs="Arial"/>
          <w:szCs w:val="24"/>
        </w:rPr>
        <w:tab/>
      </w:r>
      <w:r w:rsidR="00EF7753" w:rsidRPr="00FD0312">
        <w:rPr>
          <w:rFonts w:cs="Arial"/>
          <w:szCs w:val="24"/>
        </w:rPr>
        <w:t xml:space="preserve">In </w:t>
      </w:r>
      <w:r w:rsidR="00EF7753" w:rsidRPr="00FD0312">
        <w:rPr>
          <w:rFonts w:cs="Arial"/>
          <w:i/>
          <w:szCs w:val="24"/>
        </w:rPr>
        <w:t xml:space="preserve">Phuroe en Agt </w:t>
      </w:r>
      <w:r w:rsidR="00BD0357" w:rsidRPr="00FD0312">
        <w:rPr>
          <w:rFonts w:cs="Arial"/>
          <w:i/>
          <w:szCs w:val="24"/>
        </w:rPr>
        <w:t xml:space="preserve">ander </w:t>
      </w:r>
      <w:r w:rsidR="00EF7753" w:rsidRPr="00FD0312">
        <w:rPr>
          <w:rFonts w:cs="Arial"/>
          <w:i/>
          <w:szCs w:val="24"/>
        </w:rPr>
        <w:t>Soortgelyke Sake</w:t>
      </w:r>
      <w:r w:rsidR="00063EC2">
        <w:rPr>
          <w:rStyle w:val="FootnoteReference"/>
          <w:rFonts w:cs="Arial"/>
          <w:szCs w:val="24"/>
        </w:rPr>
        <w:footnoteReference w:id="6"/>
      </w:r>
      <w:r w:rsidR="00EF7753" w:rsidRPr="00FD0312">
        <w:rPr>
          <w:rFonts w:cs="Arial"/>
          <w:szCs w:val="24"/>
        </w:rPr>
        <w:t xml:space="preserve"> the court held that amongst the issues that should be considered by a court deciding on the fitness of an accused, or not, </w:t>
      </w:r>
      <w:r w:rsidR="00B935BB" w:rsidRPr="00FD0312">
        <w:rPr>
          <w:rFonts w:cs="Arial"/>
          <w:szCs w:val="24"/>
        </w:rPr>
        <w:t xml:space="preserve">to possess a firearm </w:t>
      </w:r>
      <w:r w:rsidR="00EF7753" w:rsidRPr="00FD0312">
        <w:rPr>
          <w:rFonts w:cs="Arial"/>
          <w:szCs w:val="24"/>
        </w:rPr>
        <w:t xml:space="preserve">should be: </w:t>
      </w:r>
    </w:p>
    <w:p w:rsidR="00EF7753" w:rsidRPr="00FD0312" w:rsidRDefault="00FD0312" w:rsidP="00FD0312">
      <w:pPr>
        <w:spacing w:line="360" w:lineRule="auto"/>
        <w:rPr>
          <w:rFonts w:cs="Arial"/>
          <w:szCs w:val="24"/>
        </w:rPr>
      </w:pPr>
      <w:r w:rsidRPr="007F2B09">
        <w:rPr>
          <w:rFonts w:eastAsia="Arial" w:cs="Arial"/>
          <w:szCs w:val="24"/>
        </w:rPr>
        <w:t>(a)</w:t>
      </w:r>
      <w:r w:rsidRPr="007F2B09">
        <w:rPr>
          <w:rFonts w:eastAsia="Arial" w:cs="Arial"/>
          <w:szCs w:val="24"/>
        </w:rPr>
        <w:tab/>
      </w:r>
      <w:r w:rsidR="00EF7753" w:rsidRPr="00FD0312">
        <w:rPr>
          <w:rFonts w:cs="Arial"/>
          <w:szCs w:val="24"/>
        </w:rPr>
        <w:t xml:space="preserve">the accused’s age and personal circumstances; </w:t>
      </w:r>
    </w:p>
    <w:p w:rsidR="00EF7753" w:rsidRPr="00FD0312" w:rsidRDefault="00FD0312" w:rsidP="00FD0312">
      <w:pPr>
        <w:spacing w:line="360" w:lineRule="auto"/>
        <w:rPr>
          <w:rFonts w:cs="Arial"/>
          <w:szCs w:val="24"/>
        </w:rPr>
      </w:pPr>
      <w:r w:rsidRPr="007F2B09">
        <w:rPr>
          <w:rFonts w:eastAsia="Arial" w:cs="Arial"/>
          <w:szCs w:val="24"/>
        </w:rPr>
        <w:t>(b)</w:t>
      </w:r>
      <w:r w:rsidRPr="007F2B09">
        <w:rPr>
          <w:rFonts w:eastAsia="Arial" w:cs="Arial"/>
          <w:szCs w:val="24"/>
        </w:rPr>
        <w:tab/>
      </w:r>
      <w:r w:rsidR="00EF7753" w:rsidRPr="00FD0312">
        <w:rPr>
          <w:rFonts w:cs="Arial"/>
          <w:szCs w:val="24"/>
        </w:rPr>
        <w:t xml:space="preserve">the nature of the accused’s previous convictions or the absence thereof; </w:t>
      </w:r>
    </w:p>
    <w:p w:rsidR="00EF7753" w:rsidRPr="00FD0312" w:rsidRDefault="00FD0312" w:rsidP="00FD0312">
      <w:pPr>
        <w:spacing w:line="360" w:lineRule="auto"/>
        <w:rPr>
          <w:rFonts w:cs="Arial"/>
          <w:szCs w:val="24"/>
        </w:rPr>
      </w:pPr>
      <w:r w:rsidRPr="007F2B09">
        <w:rPr>
          <w:rFonts w:eastAsia="Arial" w:cs="Arial"/>
          <w:szCs w:val="24"/>
        </w:rPr>
        <w:t>(c)</w:t>
      </w:r>
      <w:r w:rsidRPr="007F2B09">
        <w:rPr>
          <w:rFonts w:eastAsia="Arial" w:cs="Arial"/>
          <w:szCs w:val="24"/>
        </w:rPr>
        <w:tab/>
      </w:r>
      <w:r w:rsidR="00EF7753" w:rsidRPr="00FD0312">
        <w:rPr>
          <w:rFonts w:cs="Arial"/>
          <w:szCs w:val="24"/>
        </w:rPr>
        <w:t xml:space="preserve">the nature and seriousness of the crime of which the accused has been found guilty </w:t>
      </w:r>
      <w:r w:rsidR="00206D96" w:rsidRPr="00FD0312">
        <w:rPr>
          <w:rFonts w:cs="Arial"/>
          <w:szCs w:val="24"/>
        </w:rPr>
        <w:t xml:space="preserve">of </w:t>
      </w:r>
      <w:r w:rsidR="00EF7753" w:rsidRPr="00FD0312">
        <w:rPr>
          <w:rFonts w:cs="Arial"/>
          <w:szCs w:val="24"/>
        </w:rPr>
        <w:t xml:space="preserve">and the connection that the crime has with the use of a firearm; </w:t>
      </w:r>
    </w:p>
    <w:p w:rsidR="00EF7753" w:rsidRPr="00FD0312" w:rsidRDefault="00FD0312" w:rsidP="00FD0312">
      <w:pPr>
        <w:spacing w:line="360" w:lineRule="auto"/>
        <w:rPr>
          <w:rFonts w:cs="Arial"/>
          <w:szCs w:val="24"/>
        </w:rPr>
      </w:pPr>
      <w:r w:rsidRPr="007F2B09">
        <w:rPr>
          <w:rFonts w:eastAsia="Arial" w:cs="Arial"/>
          <w:szCs w:val="24"/>
        </w:rPr>
        <w:t>(d)</w:t>
      </w:r>
      <w:r w:rsidRPr="007F2B09">
        <w:rPr>
          <w:rFonts w:eastAsia="Arial" w:cs="Arial"/>
          <w:szCs w:val="24"/>
        </w:rPr>
        <w:tab/>
      </w:r>
      <w:r w:rsidR="00EF7753" w:rsidRPr="00FD0312">
        <w:rPr>
          <w:rFonts w:cs="Arial"/>
          <w:szCs w:val="24"/>
        </w:rPr>
        <w:t xml:space="preserve">whether the accused is a licensed firearm holder and any history that shows </w:t>
      </w:r>
      <w:r w:rsidR="00EF7753" w:rsidRPr="00FD0312">
        <w:rPr>
          <w:rFonts w:cs="Arial"/>
          <w:szCs w:val="24"/>
        </w:rPr>
        <w:lastRenderedPageBreak/>
        <w:t>that he is unfit to possess it;</w:t>
      </w:r>
      <w:r w:rsidR="00DD0571" w:rsidRPr="00FD0312">
        <w:rPr>
          <w:rFonts w:cs="Arial"/>
          <w:szCs w:val="24"/>
        </w:rPr>
        <w:t xml:space="preserve"> and</w:t>
      </w:r>
      <w:r w:rsidR="00EF7753" w:rsidRPr="00FD0312">
        <w:rPr>
          <w:rFonts w:cs="Arial"/>
          <w:szCs w:val="24"/>
        </w:rPr>
        <w:t xml:space="preserve"> </w:t>
      </w:r>
    </w:p>
    <w:p w:rsidR="00EF7753" w:rsidRPr="00FD0312" w:rsidRDefault="00FD0312" w:rsidP="00FD0312">
      <w:pPr>
        <w:spacing w:line="360" w:lineRule="auto"/>
        <w:rPr>
          <w:rFonts w:cs="Arial"/>
          <w:szCs w:val="24"/>
        </w:rPr>
      </w:pPr>
      <w:r w:rsidRPr="007F2B09">
        <w:rPr>
          <w:rFonts w:eastAsia="Arial" w:cs="Arial"/>
          <w:szCs w:val="24"/>
        </w:rPr>
        <w:t>(e)</w:t>
      </w:r>
      <w:r w:rsidRPr="007F2B09">
        <w:rPr>
          <w:rFonts w:eastAsia="Arial" w:cs="Arial"/>
          <w:szCs w:val="24"/>
        </w:rPr>
        <w:tab/>
      </w:r>
      <w:r w:rsidR="00EF7753" w:rsidRPr="00FD0312">
        <w:rPr>
          <w:rFonts w:cs="Arial"/>
          <w:szCs w:val="24"/>
        </w:rPr>
        <w:t xml:space="preserve">whether it is </w:t>
      </w:r>
      <w:r w:rsidR="00183992" w:rsidRPr="00FD0312">
        <w:rPr>
          <w:rFonts w:cs="Arial"/>
          <w:szCs w:val="24"/>
        </w:rPr>
        <w:t xml:space="preserve">in </w:t>
      </w:r>
      <w:r w:rsidR="00EF7753" w:rsidRPr="00FD0312">
        <w:rPr>
          <w:rFonts w:cs="Arial"/>
          <w:szCs w:val="24"/>
        </w:rPr>
        <w:t>the interest</w:t>
      </w:r>
      <w:r w:rsidR="00183992" w:rsidRPr="00FD0312">
        <w:rPr>
          <w:rFonts w:cs="Arial"/>
          <w:szCs w:val="24"/>
        </w:rPr>
        <w:t>s</w:t>
      </w:r>
      <w:r w:rsidR="00EF7753" w:rsidRPr="00FD0312">
        <w:rPr>
          <w:rFonts w:cs="Arial"/>
          <w:szCs w:val="24"/>
        </w:rPr>
        <w:t xml:space="preserve"> of the community that he be declared unfit to possess the firearm since he poses a danger to the society. </w:t>
      </w:r>
    </w:p>
    <w:p w:rsidR="00EF7753" w:rsidRPr="007F2B09" w:rsidRDefault="00EF7753" w:rsidP="007F2B09">
      <w:pPr>
        <w:pStyle w:val="ListParagraph"/>
        <w:spacing w:after="0" w:line="360" w:lineRule="auto"/>
        <w:ind w:left="0"/>
        <w:jc w:val="both"/>
        <w:rPr>
          <w:rFonts w:cs="Arial"/>
          <w:sz w:val="24"/>
          <w:szCs w:val="24"/>
        </w:rPr>
      </w:pPr>
    </w:p>
    <w:p w:rsidR="00EF7753" w:rsidRPr="00FD0312" w:rsidRDefault="00FD0312" w:rsidP="00FD0312">
      <w:pPr>
        <w:spacing w:line="360" w:lineRule="auto"/>
        <w:rPr>
          <w:rFonts w:cs="Arial"/>
          <w:szCs w:val="24"/>
        </w:rPr>
      </w:pPr>
      <w:r w:rsidRPr="007F2B09">
        <w:rPr>
          <w:rFonts w:eastAsia="Arial" w:cs="Arial"/>
          <w:szCs w:val="24"/>
        </w:rPr>
        <w:t>[11]</w:t>
      </w:r>
      <w:r w:rsidRPr="007F2B09">
        <w:rPr>
          <w:rFonts w:eastAsia="Arial" w:cs="Arial"/>
          <w:szCs w:val="24"/>
        </w:rPr>
        <w:tab/>
      </w:r>
      <w:r w:rsidR="00EF7753" w:rsidRPr="00FD0312">
        <w:rPr>
          <w:rFonts w:cs="Arial"/>
          <w:szCs w:val="24"/>
        </w:rPr>
        <w:t xml:space="preserve">In my view the list is not exhaustive and at times factors could be added to the list, for example how </w:t>
      </w:r>
      <w:r w:rsidR="002F6283" w:rsidRPr="00FD0312">
        <w:rPr>
          <w:rFonts w:cs="Arial"/>
          <w:szCs w:val="24"/>
        </w:rPr>
        <w:t xml:space="preserve">long </w:t>
      </w:r>
      <w:r w:rsidR="00EF7753" w:rsidRPr="00FD0312">
        <w:rPr>
          <w:rFonts w:cs="Arial"/>
          <w:szCs w:val="24"/>
        </w:rPr>
        <w:t>the accused has been a licence holder</w:t>
      </w:r>
      <w:r w:rsidR="002F6283" w:rsidRPr="00FD0312">
        <w:rPr>
          <w:rFonts w:cs="Arial"/>
          <w:szCs w:val="24"/>
        </w:rPr>
        <w:t>,</w:t>
      </w:r>
      <w:r w:rsidR="00EF7753" w:rsidRPr="00FD0312">
        <w:rPr>
          <w:rFonts w:cs="Arial"/>
          <w:szCs w:val="24"/>
        </w:rPr>
        <w:t xml:space="preserve"> the profession of the accused</w:t>
      </w:r>
      <w:r w:rsidR="002F6283" w:rsidRPr="00FD0312">
        <w:rPr>
          <w:rFonts w:cs="Arial"/>
          <w:szCs w:val="24"/>
        </w:rPr>
        <w:t xml:space="preserve"> and circumstances under which he lost his firearm, to name</w:t>
      </w:r>
      <w:r w:rsidR="00206D96" w:rsidRPr="00FD0312">
        <w:rPr>
          <w:rFonts w:cs="Arial"/>
          <w:szCs w:val="24"/>
        </w:rPr>
        <w:t xml:space="preserve"> but </w:t>
      </w:r>
      <w:r w:rsidR="002F6283" w:rsidRPr="00FD0312">
        <w:rPr>
          <w:rFonts w:cs="Arial"/>
          <w:szCs w:val="24"/>
        </w:rPr>
        <w:t>a few</w:t>
      </w:r>
      <w:r w:rsidR="00EF7753" w:rsidRPr="00FD0312">
        <w:rPr>
          <w:rFonts w:cs="Arial"/>
          <w:szCs w:val="24"/>
        </w:rPr>
        <w:t>.</w:t>
      </w:r>
    </w:p>
    <w:p w:rsidR="002F6283" w:rsidRPr="007F2B09" w:rsidRDefault="002F6283" w:rsidP="007F2B09">
      <w:pPr>
        <w:pStyle w:val="ListParagraph"/>
        <w:spacing w:after="0" w:line="360" w:lineRule="auto"/>
        <w:ind w:left="0"/>
        <w:jc w:val="both"/>
        <w:rPr>
          <w:rFonts w:cs="Arial"/>
          <w:sz w:val="24"/>
          <w:szCs w:val="24"/>
        </w:rPr>
      </w:pPr>
    </w:p>
    <w:p w:rsidR="00347B0F" w:rsidRPr="00FD0312" w:rsidRDefault="00FD0312" w:rsidP="00FD0312">
      <w:pPr>
        <w:spacing w:line="360" w:lineRule="auto"/>
        <w:rPr>
          <w:rFonts w:cs="Arial"/>
          <w:szCs w:val="24"/>
        </w:rPr>
      </w:pPr>
      <w:r w:rsidRPr="007F2B09">
        <w:rPr>
          <w:rFonts w:eastAsia="Arial" w:cs="Arial"/>
          <w:szCs w:val="24"/>
        </w:rPr>
        <w:t>[12]</w:t>
      </w:r>
      <w:r w:rsidRPr="007F2B09">
        <w:rPr>
          <w:rFonts w:eastAsia="Arial" w:cs="Arial"/>
          <w:szCs w:val="24"/>
        </w:rPr>
        <w:tab/>
      </w:r>
      <w:r w:rsidR="002F6283" w:rsidRPr="00FD0312">
        <w:rPr>
          <w:rFonts w:cs="Arial"/>
          <w:szCs w:val="24"/>
        </w:rPr>
        <w:t>Having considered the provisions of s</w:t>
      </w:r>
      <w:r w:rsidR="00B935BB" w:rsidRPr="00FD0312">
        <w:rPr>
          <w:rFonts w:cs="Arial"/>
          <w:szCs w:val="24"/>
        </w:rPr>
        <w:t>ection</w:t>
      </w:r>
      <w:r w:rsidR="002F6283" w:rsidRPr="00FD0312">
        <w:rPr>
          <w:rFonts w:cs="Arial"/>
          <w:szCs w:val="24"/>
        </w:rPr>
        <w:t xml:space="preserve"> 103 of the Act and affording the defence counsel opportunity to address the court on the fitness of the accused to possess a firearm</w:t>
      </w:r>
      <w:r w:rsidR="00E06757" w:rsidRPr="00FD0312">
        <w:rPr>
          <w:rFonts w:cs="Arial"/>
          <w:szCs w:val="24"/>
        </w:rPr>
        <w:t>,</w:t>
      </w:r>
      <w:r w:rsidR="002F6283" w:rsidRPr="00FD0312">
        <w:rPr>
          <w:rFonts w:cs="Arial"/>
          <w:szCs w:val="24"/>
        </w:rPr>
        <w:t xml:space="preserve"> the </w:t>
      </w:r>
      <w:r w:rsidR="00E06757" w:rsidRPr="00FD0312">
        <w:rPr>
          <w:rFonts w:cs="Arial"/>
          <w:szCs w:val="24"/>
        </w:rPr>
        <w:t xml:space="preserve">magistrate </w:t>
      </w:r>
      <w:r w:rsidR="00347B0F" w:rsidRPr="00FD0312">
        <w:rPr>
          <w:rFonts w:cs="Arial"/>
          <w:szCs w:val="24"/>
        </w:rPr>
        <w:t xml:space="preserve">ought to have </w:t>
      </w:r>
      <w:r w:rsidR="004058FC" w:rsidRPr="00FD0312">
        <w:rPr>
          <w:rFonts w:cs="Arial"/>
          <w:szCs w:val="24"/>
        </w:rPr>
        <w:t>give</w:t>
      </w:r>
      <w:r w:rsidR="00347B0F" w:rsidRPr="00FD0312">
        <w:rPr>
          <w:rFonts w:cs="Arial"/>
          <w:szCs w:val="24"/>
        </w:rPr>
        <w:t>n</w:t>
      </w:r>
      <w:r w:rsidR="004058FC" w:rsidRPr="00FD0312">
        <w:rPr>
          <w:rFonts w:cs="Arial"/>
          <w:szCs w:val="24"/>
        </w:rPr>
        <w:t xml:space="preserve"> reasons for </w:t>
      </w:r>
      <w:r w:rsidR="00A7305D" w:rsidRPr="00FD0312">
        <w:rPr>
          <w:rFonts w:cs="Arial"/>
          <w:szCs w:val="24"/>
        </w:rPr>
        <w:t xml:space="preserve">the </w:t>
      </w:r>
      <w:r w:rsidR="00E06757" w:rsidRPr="00FD0312">
        <w:rPr>
          <w:rFonts w:cs="Arial"/>
          <w:szCs w:val="24"/>
        </w:rPr>
        <w:t xml:space="preserve">appellant </w:t>
      </w:r>
      <w:r w:rsidR="00A7305D" w:rsidRPr="00FD0312">
        <w:rPr>
          <w:rFonts w:cs="Arial"/>
          <w:szCs w:val="24"/>
        </w:rPr>
        <w:t>being unfit to possess a firearm</w:t>
      </w:r>
      <w:r w:rsidR="00347B0F" w:rsidRPr="00FD0312">
        <w:rPr>
          <w:rFonts w:cs="Arial"/>
          <w:szCs w:val="24"/>
        </w:rPr>
        <w:t>.</w:t>
      </w:r>
      <w:r w:rsidR="00AE16CD" w:rsidRPr="00FD0312">
        <w:rPr>
          <w:rFonts w:cs="Arial"/>
          <w:szCs w:val="24"/>
        </w:rPr>
        <w:t xml:space="preserve"> </w:t>
      </w:r>
    </w:p>
    <w:p w:rsidR="00C96EE4" w:rsidRPr="007F2B09" w:rsidRDefault="00C96EE4" w:rsidP="007F2B09">
      <w:pPr>
        <w:pStyle w:val="ListParagraph"/>
        <w:spacing w:after="0" w:line="360" w:lineRule="auto"/>
        <w:ind w:left="0"/>
        <w:jc w:val="both"/>
        <w:rPr>
          <w:rFonts w:cs="Arial"/>
          <w:sz w:val="24"/>
          <w:szCs w:val="24"/>
        </w:rPr>
      </w:pPr>
    </w:p>
    <w:p w:rsidR="00C96EE4" w:rsidRPr="00FD0312" w:rsidRDefault="00FD0312" w:rsidP="00FD0312">
      <w:pPr>
        <w:spacing w:line="360" w:lineRule="auto"/>
        <w:rPr>
          <w:rFonts w:cs="Arial"/>
          <w:szCs w:val="24"/>
        </w:rPr>
      </w:pPr>
      <w:r w:rsidRPr="007F2B09">
        <w:rPr>
          <w:rFonts w:eastAsia="Arial" w:cs="Arial"/>
          <w:szCs w:val="24"/>
        </w:rPr>
        <w:t>[13]</w:t>
      </w:r>
      <w:r w:rsidRPr="007F2B09">
        <w:rPr>
          <w:rFonts w:eastAsia="Arial" w:cs="Arial"/>
          <w:szCs w:val="24"/>
        </w:rPr>
        <w:tab/>
      </w:r>
      <w:r w:rsidR="00C96EE4" w:rsidRPr="00FD0312">
        <w:rPr>
          <w:rFonts w:cs="Arial"/>
          <w:szCs w:val="24"/>
        </w:rPr>
        <w:t>I consider it necessary, for the sake of completeness</w:t>
      </w:r>
      <w:r w:rsidR="009A1B2F" w:rsidRPr="00FD0312">
        <w:rPr>
          <w:rFonts w:cs="Arial"/>
          <w:szCs w:val="24"/>
        </w:rPr>
        <w:t>,</w:t>
      </w:r>
      <w:r w:rsidR="00C96EE4" w:rsidRPr="00FD0312">
        <w:rPr>
          <w:rFonts w:cs="Arial"/>
          <w:szCs w:val="24"/>
        </w:rPr>
        <w:t xml:space="preserve"> to quote the entire sentencing judgment of the court </w:t>
      </w:r>
      <w:r w:rsidR="00C96EE4" w:rsidRPr="00FD0312">
        <w:rPr>
          <w:rFonts w:cs="Arial"/>
          <w:i/>
          <w:szCs w:val="24"/>
        </w:rPr>
        <w:t>a quo</w:t>
      </w:r>
      <w:r w:rsidR="00C96EE4" w:rsidRPr="00FD0312">
        <w:rPr>
          <w:rFonts w:cs="Arial"/>
          <w:szCs w:val="24"/>
        </w:rPr>
        <w:t>:</w:t>
      </w:r>
    </w:p>
    <w:p w:rsidR="00C96EE4" w:rsidRPr="007F2B09" w:rsidRDefault="00C96EE4" w:rsidP="007F2B09">
      <w:pPr>
        <w:pStyle w:val="ListParagraph"/>
        <w:spacing w:after="0" w:line="360" w:lineRule="auto"/>
        <w:ind w:left="0"/>
        <w:jc w:val="both"/>
        <w:rPr>
          <w:rFonts w:cs="Arial"/>
          <w:szCs w:val="24"/>
        </w:rPr>
      </w:pPr>
      <w:r w:rsidRPr="007F2B09">
        <w:rPr>
          <w:rFonts w:cs="Arial"/>
          <w:szCs w:val="24"/>
        </w:rPr>
        <w:t>‘</w:t>
      </w:r>
      <w:r w:rsidRPr="007F2B09">
        <w:rPr>
          <w:rFonts w:cs="Arial"/>
          <w:szCs w:val="24"/>
          <w:u w:val="single"/>
        </w:rPr>
        <w:t>COURT</w:t>
      </w:r>
      <w:r w:rsidRPr="007F2B09">
        <w:rPr>
          <w:rFonts w:cs="Arial"/>
          <w:szCs w:val="24"/>
        </w:rPr>
        <w:tab/>
        <w:t>In consideration of sentence, the Court considers the interest of society, the offence that he accused have been convicted of and his personal circumstances.</w:t>
      </w:r>
      <w:r w:rsidR="00AE16CD">
        <w:rPr>
          <w:rFonts w:cs="Arial"/>
          <w:szCs w:val="24"/>
        </w:rPr>
        <w:t xml:space="preserve"> </w:t>
      </w:r>
      <w:r w:rsidRPr="007F2B09">
        <w:rPr>
          <w:rFonts w:cs="Arial"/>
          <w:szCs w:val="24"/>
        </w:rPr>
        <w:t>The offence is serious, it is prevalent and it is posing danger to other people.</w:t>
      </w:r>
      <w:r w:rsidR="00AE16CD">
        <w:rPr>
          <w:rFonts w:cs="Arial"/>
          <w:szCs w:val="24"/>
        </w:rPr>
        <w:t xml:space="preserve"> </w:t>
      </w:r>
      <w:r w:rsidRPr="007F2B09">
        <w:rPr>
          <w:rFonts w:cs="Arial"/>
          <w:szCs w:val="24"/>
        </w:rPr>
        <w:t>Firearms is</w:t>
      </w:r>
      <w:r w:rsidR="00E06757">
        <w:rPr>
          <w:rFonts w:cs="Arial"/>
          <w:szCs w:val="24"/>
        </w:rPr>
        <w:t xml:space="preserve"> (sic)</w:t>
      </w:r>
      <w:r w:rsidRPr="007F2B09">
        <w:rPr>
          <w:rFonts w:cs="Arial"/>
          <w:szCs w:val="24"/>
        </w:rPr>
        <w:t xml:space="preserve"> a dangerous weapon, that is why there are rules and regulations that governs it or its possession which means a person in possession of it should be a responsible person.</w:t>
      </w:r>
    </w:p>
    <w:p w:rsidR="00C96EE4" w:rsidRPr="007F2B09" w:rsidRDefault="00C96EE4" w:rsidP="007F2B09">
      <w:pPr>
        <w:pStyle w:val="ListParagraph"/>
        <w:spacing w:after="0" w:line="360" w:lineRule="auto"/>
        <w:ind w:left="0"/>
        <w:jc w:val="both"/>
        <w:rPr>
          <w:rFonts w:cs="Arial"/>
          <w:szCs w:val="24"/>
        </w:rPr>
      </w:pPr>
      <w:r w:rsidRPr="007F2B09">
        <w:rPr>
          <w:rFonts w:cs="Arial"/>
          <w:szCs w:val="24"/>
        </w:rPr>
        <w:t xml:space="preserve">What the accused did on the day in question as </w:t>
      </w:r>
      <w:r w:rsidR="00A7305D" w:rsidRPr="004064A8">
        <w:rPr>
          <w:rFonts w:cs="Arial"/>
          <w:szCs w:val="24"/>
        </w:rPr>
        <w:t>(</w:t>
      </w:r>
      <w:r w:rsidR="005C6B8A" w:rsidRPr="004064A8">
        <w:rPr>
          <w:rFonts w:cs="Arial"/>
          <w:szCs w:val="24"/>
        </w:rPr>
        <w:t>sic)</w:t>
      </w:r>
      <w:r w:rsidR="005C6B8A" w:rsidRPr="007F2B09">
        <w:rPr>
          <w:rFonts w:cs="Arial"/>
          <w:szCs w:val="24"/>
        </w:rPr>
        <w:t xml:space="preserve"> </w:t>
      </w:r>
      <w:r w:rsidRPr="007F2B09">
        <w:rPr>
          <w:rFonts w:cs="Arial"/>
          <w:szCs w:val="24"/>
        </w:rPr>
        <w:t>very irresponsible.</w:t>
      </w:r>
    </w:p>
    <w:p w:rsidR="00C96EE4" w:rsidRPr="007F2B09" w:rsidRDefault="00C96EE4" w:rsidP="007F2B09">
      <w:pPr>
        <w:pStyle w:val="ListParagraph"/>
        <w:spacing w:after="0" w:line="360" w:lineRule="auto"/>
        <w:ind w:left="0"/>
        <w:jc w:val="both"/>
        <w:rPr>
          <w:rFonts w:cs="Arial"/>
          <w:szCs w:val="24"/>
        </w:rPr>
      </w:pPr>
      <w:r w:rsidRPr="007F2B09">
        <w:rPr>
          <w:rFonts w:cs="Arial"/>
          <w:szCs w:val="24"/>
        </w:rPr>
        <w:t>The sentence passed must send out a message to him and others who are still thinking of committing this kind of an offence.</w:t>
      </w:r>
      <w:r w:rsidR="00AE16CD">
        <w:rPr>
          <w:rFonts w:cs="Arial"/>
          <w:szCs w:val="24"/>
        </w:rPr>
        <w:t xml:space="preserve"> </w:t>
      </w:r>
      <w:r w:rsidRPr="007F2B09">
        <w:rPr>
          <w:rFonts w:cs="Arial"/>
          <w:szCs w:val="24"/>
        </w:rPr>
        <w:t xml:space="preserve">The Court takes into account that he has pleaded guilty and did not waste the Court’s time, that shows an element of remorse. </w:t>
      </w:r>
    </w:p>
    <w:p w:rsidR="00C96EE4" w:rsidRPr="007F2B09" w:rsidRDefault="00C96EE4" w:rsidP="007F2B09">
      <w:pPr>
        <w:pStyle w:val="ListParagraph"/>
        <w:spacing w:after="0" w:line="360" w:lineRule="auto"/>
        <w:ind w:left="0"/>
        <w:jc w:val="both"/>
        <w:rPr>
          <w:rFonts w:cs="Arial"/>
          <w:szCs w:val="24"/>
        </w:rPr>
      </w:pPr>
      <w:r w:rsidRPr="007F2B09">
        <w:rPr>
          <w:rFonts w:cs="Arial"/>
          <w:szCs w:val="24"/>
        </w:rPr>
        <w:t>Having considered all relevant circumstances, his personal circumstances that have been placed on record –</w:t>
      </w:r>
    </w:p>
    <w:p w:rsidR="00C96EE4" w:rsidRPr="007F2B09" w:rsidRDefault="00C96EE4" w:rsidP="007F2B09">
      <w:pPr>
        <w:pStyle w:val="ListParagraph"/>
        <w:spacing w:after="0" w:line="360" w:lineRule="auto"/>
        <w:ind w:left="0"/>
        <w:jc w:val="both"/>
        <w:rPr>
          <w:rFonts w:cs="Arial"/>
          <w:szCs w:val="24"/>
        </w:rPr>
      </w:pPr>
      <w:r w:rsidRPr="007F2B09">
        <w:rPr>
          <w:rFonts w:cs="Arial"/>
          <w:szCs w:val="24"/>
          <w:u w:val="single"/>
        </w:rPr>
        <w:t xml:space="preserve">HE IS SENTENCED TO PAY A FINE OF TEN THOUSAND RAND OR SIX MONTHS’ IMPRISONMENT WHOLLY SUSPENDED </w:t>
      </w:r>
      <w:r w:rsidR="005C6B8A" w:rsidRPr="007F2B09">
        <w:rPr>
          <w:rFonts w:cs="Arial"/>
          <w:szCs w:val="24"/>
          <w:u w:val="single"/>
        </w:rPr>
        <w:t xml:space="preserve">FOR </w:t>
      </w:r>
      <w:r w:rsidRPr="007F2B09">
        <w:rPr>
          <w:rFonts w:cs="Arial"/>
          <w:szCs w:val="24"/>
          <w:u w:val="single"/>
        </w:rPr>
        <w:t>A PERIOD OF FIVE (5) YEARS</w:t>
      </w:r>
      <w:r w:rsidRPr="007F2B09">
        <w:rPr>
          <w:rFonts w:cs="Arial"/>
          <w:szCs w:val="24"/>
        </w:rPr>
        <w:t xml:space="preserve"> on condition that he is not convicted of contravening Section 120 of Act 60 of 2000 committed during the period of suspension.</w:t>
      </w:r>
    </w:p>
    <w:p w:rsidR="00C96EE4" w:rsidRPr="007F2B09" w:rsidRDefault="00C96EE4" w:rsidP="007F2B09">
      <w:pPr>
        <w:pStyle w:val="ListParagraph"/>
        <w:spacing w:after="0" w:line="360" w:lineRule="auto"/>
        <w:ind w:left="0"/>
        <w:jc w:val="both"/>
        <w:rPr>
          <w:rFonts w:cs="Arial"/>
          <w:sz w:val="24"/>
          <w:szCs w:val="24"/>
        </w:rPr>
      </w:pPr>
      <w:r w:rsidRPr="007F2B09">
        <w:rPr>
          <w:rFonts w:cs="Arial"/>
          <w:szCs w:val="24"/>
        </w:rPr>
        <w:t>In terms of Section 103 of Act 60 of 2000 no otherwise determination is made, the accused is unfit to possess a firearm.’</w:t>
      </w:r>
      <w:r w:rsidRPr="007F2B09">
        <w:rPr>
          <w:rStyle w:val="FootnoteReference"/>
          <w:rFonts w:cs="Arial"/>
          <w:szCs w:val="24"/>
        </w:rPr>
        <w:footnoteReference w:id="7"/>
      </w:r>
    </w:p>
    <w:p w:rsidR="00347B0F" w:rsidRPr="007F2B09" w:rsidRDefault="00347B0F" w:rsidP="007F2B09">
      <w:pPr>
        <w:pStyle w:val="ListParagraph"/>
        <w:spacing w:after="0" w:line="360" w:lineRule="auto"/>
        <w:ind w:left="0"/>
        <w:jc w:val="both"/>
        <w:rPr>
          <w:rFonts w:cs="Arial"/>
          <w:sz w:val="24"/>
          <w:szCs w:val="24"/>
        </w:rPr>
      </w:pPr>
    </w:p>
    <w:p w:rsidR="002F6283" w:rsidRPr="00FD0312" w:rsidRDefault="00FD0312" w:rsidP="00FD0312">
      <w:pPr>
        <w:spacing w:line="360" w:lineRule="auto"/>
        <w:rPr>
          <w:rFonts w:cs="Arial"/>
          <w:szCs w:val="24"/>
        </w:rPr>
      </w:pPr>
      <w:r w:rsidRPr="007F2B09">
        <w:rPr>
          <w:rFonts w:eastAsia="Arial" w:cs="Arial"/>
          <w:szCs w:val="24"/>
        </w:rPr>
        <w:lastRenderedPageBreak/>
        <w:t>[14]</w:t>
      </w:r>
      <w:r w:rsidRPr="007F2B09">
        <w:rPr>
          <w:rFonts w:eastAsia="Arial" w:cs="Arial"/>
          <w:szCs w:val="24"/>
        </w:rPr>
        <w:tab/>
      </w:r>
      <w:r w:rsidR="00347B0F" w:rsidRPr="00FD0312">
        <w:rPr>
          <w:rFonts w:cs="Arial"/>
          <w:szCs w:val="24"/>
        </w:rPr>
        <w:t xml:space="preserve">The court failed to </w:t>
      </w:r>
      <w:r w:rsidR="002F6283" w:rsidRPr="00FD0312">
        <w:rPr>
          <w:rFonts w:cs="Arial"/>
          <w:szCs w:val="24"/>
        </w:rPr>
        <w:t xml:space="preserve">take into account that the </w:t>
      </w:r>
      <w:r w:rsidR="00284E2C" w:rsidRPr="00FD0312">
        <w:rPr>
          <w:rFonts w:cs="Arial"/>
          <w:szCs w:val="24"/>
        </w:rPr>
        <w:t xml:space="preserve">appellant </w:t>
      </w:r>
      <w:r w:rsidR="002F6283" w:rsidRPr="00FD0312">
        <w:rPr>
          <w:rFonts w:cs="Arial"/>
          <w:szCs w:val="24"/>
        </w:rPr>
        <w:t>was a first offender and that he needs his firearm for his work.</w:t>
      </w:r>
      <w:r w:rsidR="00AE16CD" w:rsidRPr="00FD0312">
        <w:rPr>
          <w:rFonts w:cs="Arial"/>
          <w:szCs w:val="24"/>
        </w:rPr>
        <w:t xml:space="preserve"> </w:t>
      </w:r>
      <w:r w:rsidR="002F6283" w:rsidRPr="00FD0312">
        <w:rPr>
          <w:rFonts w:cs="Arial"/>
          <w:szCs w:val="24"/>
        </w:rPr>
        <w:t xml:space="preserve">Given that he was gainfully employed in a </w:t>
      </w:r>
      <w:r w:rsidR="001272DF" w:rsidRPr="00FD0312">
        <w:rPr>
          <w:rFonts w:cs="Arial"/>
          <w:szCs w:val="24"/>
        </w:rPr>
        <w:t>job</w:t>
      </w:r>
      <w:r w:rsidR="002F6283" w:rsidRPr="00FD0312">
        <w:rPr>
          <w:rFonts w:cs="Arial"/>
          <w:szCs w:val="24"/>
        </w:rPr>
        <w:t xml:space="preserve"> that require</w:t>
      </w:r>
      <w:r w:rsidR="000B48C2" w:rsidRPr="00FD0312">
        <w:rPr>
          <w:rFonts w:cs="Arial"/>
          <w:szCs w:val="24"/>
        </w:rPr>
        <w:t>s</w:t>
      </w:r>
      <w:r w:rsidR="002F6283" w:rsidRPr="00FD0312">
        <w:rPr>
          <w:rFonts w:cs="Arial"/>
          <w:szCs w:val="24"/>
        </w:rPr>
        <w:t xml:space="preserve"> him to have a licence to possess a firearm, </w:t>
      </w:r>
      <w:r w:rsidR="001272DF" w:rsidRPr="00FD0312">
        <w:rPr>
          <w:rFonts w:cs="Arial"/>
          <w:szCs w:val="24"/>
        </w:rPr>
        <w:t>by</w:t>
      </w:r>
      <w:r w:rsidR="002F6283" w:rsidRPr="00FD0312">
        <w:rPr>
          <w:rFonts w:cs="Arial"/>
          <w:szCs w:val="24"/>
        </w:rPr>
        <w:t xml:space="preserve"> no</w:t>
      </w:r>
      <w:r w:rsidR="000B48C2" w:rsidRPr="00FD0312">
        <w:rPr>
          <w:rFonts w:cs="Arial"/>
          <w:szCs w:val="24"/>
        </w:rPr>
        <w:t>t</w:t>
      </w:r>
      <w:r w:rsidR="002F6283" w:rsidRPr="00FD0312">
        <w:rPr>
          <w:rFonts w:cs="Arial"/>
          <w:szCs w:val="24"/>
        </w:rPr>
        <w:t xml:space="preserve"> declaring that he remains fit</w:t>
      </w:r>
      <w:r w:rsidR="000B48C2" w:rsidRPr="00FD0312">
        <w:rPr>
          <w:rFonts w:cs="Arial"/>
          <w:szCs w:val="24"/>
        </w:rPr>
        <w:t xml:space="preserve"> to possess a firearm, the </w:t>
      </w:r>
      <w:r w:rsidR="001272DF" w:rsidRPr="00FD0312">
        <w:rPr>
          <w:rFonts w:cs="Arial"/>
          <w:szCs w:val="24"/>
        </w:rPr>
        <w:t xml:space="preserve">impact of the </w:t>
      </w:r>
      <w:r w:rsidR="005C6B8A" w:rsidRPr="00FD0312">
        <w:rPr>
          <w:rFonts w:cs="Arial"/>
          <w:szCs w:val="24"/>
        </w:rPr>
        <w:t>order</w:t>
      </w:r>
      <w:r w:rsidR="001272DF" w:rsidRPr="00FD0312">
        <w:rPr>
          <w:rFonts w:cs="Arial"/>
          <w:szCs w:val="24"/>
        </w:rPr>
        <w:t xml:space="preserve"> is </w:t>
      </w:r>
      <w:r w:rsidR="000B48C2" w:rsidRPr="00FD0312">
        <w:rPr>
          <w:rFonts w:cs="Arial"/>
          <w:szCs w:val="24"/>
        </w:rPr>
        <w:t>unduly harsh.</w:t>
      </w:r>
      <w:r w:rsidR="00AE16CD" w:rsidRPr="00FD0312">
        <w:rPr>
          <w:rFonts w:cs="Arial"/>
          <w:szCs w:val="24"/>
        </w:rPr>
        <w:t xml:space="preserve"> </w:t>
      </w:r>
      <w:r w:rsidR="000B48C2" w:rsidRPr="00FD0312">
        <w:rPr>
          <w:rFonts w:cs="Arial"/>
          <w:szCs w:val="24"/>
        </w:rPr>
        <w:t xml:space="preserve">The court in its </w:t>
      </w:r>
      <w:r w:rsidR="005C6B8A" w:rsidRPr="00FD0312">
        <w:rPr>
          <w:rFonts w:cs="Arial"/>
          <w:szCs w:val="24"/>
        </w:rPr>
        <w:t>order</w:t>
      </w:r>
      <w:r w:rsidR="000B48C2" w:rsidRPr="00FD0312">
        <w:rPr>
          <w:rFonts w:cs="Arial"/>
          <w:szCs w:val="24"/>
        </w:rPr>
        <w:t xml:space="preserve"> never gave </w:t>
      </w:r>
      <w:r w:rsidR="005C6B8A" w:rsidRPr="00FD0312">
        <w:rPr>
          <w:rFonts w:cs="Arial"/>
          <w:szCs w:val="24"/>
        </w:rPr>
        <w:t xml:space="preserve">reasons </w:t>
      </w:r>
      <w:r w:rsidR="000B48C2" w:rsidRPr="00FD0312">
        <w:rPr>
          <w:rFonts w:cs="Arial"/>
          <w:szCs w:val="24"/>
        </w:rPr>
        <w:t xml:space="preserve">as to why </w:t>
      </w:r>
      <w:r w:rsidR="005C6B8A" w:rsidRPr="00FD0312">
        <w:rPr>
          <w:rFonts w:cs="Arial"/>
          <w:szCs w:val="24"/>
        </w:rPr>
        <w:t>a declaration should follow.</w:t>
      </w:r>
      <w:r w:rsidR="00AE16CD" w:rsidRPr="00FD0312">
        <w:rPr>
          <w:rFonts w:cs="Arial"/>
          <w:szCs w:val="24"/>
        </w:rPr>
        <w:t xml:space="preserve"> </w:t>
      </w:r>
      <w:r w:rsidR="000B48C2" w:rsidRPr="00FD0312">
        <w:rPr>
          <w:rFonts w:cs="Arial"/>
          <w:szCs w:val="24"/>
        </w:rPr>
        <w:t xml:space="preserve">In my view after the enquiry was conducted, the court ought to have given reasons why the circumstances stated by the </w:t>
      </w:r>
      <w:r w:rsidR="00E06757" w:rsidRPr="00FD0312">
        <w:rPr>
          <w:rFonts w:cs="Arial"/>
          <w:szCs w:val="24"/>
        </w:rPr>
        <w:t xml:space="preserve">appellant </w:t>
      </w:r>
      <w:r w:rsidR="000B48C2" w:rsidRPr="00FD0312">
        <w:rPr>
          <w:rFonts w:cs="Arial"/>
          <w:szCs w:val="24"/>
        </w:rPr>
        <w:t xml:space="preserve">were not sufficient to not declare the </w:t>
      </w:r>
      <w:r w:rsidR="00E06757" w:rsidRPr="00FD0312">
        <w:rPr>
          <w:rFonts w:cs="Arial"/>
          <w:szCs w:val="24"/>
        </w:rPr>
        <w:t xml:space="preserve">appellant </w:t>
      </w:r>
      <w:r w:rsidR="000B48C2" w:rsidRPr="00FD0312">
        <w:rPr>
          <w:rFonts w:cs="Arial"/>
          <w:szCs w:val="24"/>
        </w:rPr>
        <w:t>unfit.</w:t>
      </w:r>
      <w:r w:rsidR="00AE16CD" w:rsidRPr="00FD0312">
        <w:rPr>
          <w:rFonts w:cs="Arial"/>
          <w:szCs w:val="24"/>
        </w:rPr>
        <w:t xml:space="preserve"> </w:t>
      </w:r>
      <w:r w:rsidR="004C4DFA" w:rsidRPr="00FD0312">
        <w:rPr>
          <w:rFonts w:cs="Arial"/>
          <w:szCs w:val="24"/>
        </w:rPr>
        <w:t>In</w:t>
      </w:r>
      <w:r w:rsidR="00537D49" w:rsidRPr="00FD0312">
        <w:rPr>
          <w:rFonts w:cs="Arial"/>
          <w:szCs w:val="24"/>
        </w:rPr>
        <w:t xml:space="preserve"> failing to do </w:t>
      </w:r>
      <w:r w:rsidR="004C4DFA" w:rsidRPr="00FD0312">
        <w:rPr>
          <w:rFonts w:cs="Arial"/>
          <w:szCs w:val="24"/>
        </w:rPr>
        <w:t>so</w:t>
      </w:r>
      <w:r w:rsidR="00156E99" w:rsidRPr="00FD0312">
        <w:rPr>
          <w:rFonts w:cs="Arial"/>
          <w:szCs w:val="24"/>
        </w:rPr>
        <w:t>,</w:t>
      </w:r>
      <w:r w:rsidR="004C4DFA" w:rsidRPr="00FD0312">
        <w:rPr>
          <w:rFonts w:cs="Arial"/>
          <w:szCs w:val="24"/>
        </w:rPr>
        <w:t xml:space="preserve"> the court </w:t>
      </w:r>
      <w:r w:rsidR="004C4DFA" w:rsidRPr="00FD0312">
        <w:rPr>
          <w:rFonts w:cs="Arial"/>
          <w:i/>
          <w:szCs w:val="24"/>
        </w:rPr>
        <w:t>a quo</w:t>
      </w:r>
      <w:r w:rsidR="004C4DFA" w:rsidRPr="00FD0312">
        <w:rPr>
          <w:rFonts w:cs="Arial"/>
          <w:szCs w:val="24"/>
        </w:rPr>
        <w:t xml:space="preserve"> was misdirected.</w:t>
      </w:r>
      <w:r w:rsidR="00AE16CD" w:rsidRPr="00FD0312">
        <w:rPr>
          <w:rFonts w:cs="Arial"/>
          <w:szCs w:val="24"/>
        </w:rPr>
        <w:t xml:space="preserve"> </w:t>
      </w:r>
      <w:r w:rsidR="004C4DFA" w:rsidRPr="00FD0312">
        <w:rPr>
          <w:rFonts w:cs="Arial"/>
          <w:szCs w:val="24"/>
        </w:rPr>
        <w:t>This court will have to interfere with the order in terms of s</w:t>
      </w:r>
      <w:r w:rsidR="00B935BB" w:rsidRPr="00FD0312">
        <w:rPr>
          <w:rFonts w:cs="Arial"/>
          <w:szCs w:val="24"/>
        </w:rPr>
        <w:t>ection</w:t>
      </w:r>
      <w:r w:rsidR="004C4DFA" w:rsidRPr="00FD0312">
        <w:rPr>
          <w:rFonts w:cs="Arial"/>
          <w:szCs w:val="24"/>
        </w:rPr>
        <w:t xml:space="preserve"> 103 of the Act.</w:t>
      </w:r>
      <w:r w:rsidR="00AE16CD" w:rsidRPr="00FD0312">
        <w:rPr>
          <w:rFonts w:cs="Arial"/>
          <w:szCs w:val="24"/>
        </w:rPr>
        <w:t xml:space="preserve"> </w:t>
      </w:r>
    </w:p>
    <w:p w:rsidR="007B1B78" w:rsidRPr="007F2B09" w:rsidRDefault="007B1B78" w:rsidP="007F2B09">
      <w:pPr>
        <w:pStyle w:val="ListParagraph"/>
        <w:spacing w:after="0" w:line="360" w:lineRule="auto"/>
        <w:ind w:left="0"/>
        <w:jc w:val="both"/>
        <w:rPr>
          <w:rFonts w:cs="Arial"/>
          <w:sz w:val="24"/>
          <w:szCs w:val="24"/>
        </w:rPr>
      </w:pPr>
    </w:p>
    <w:p w:rsidR="007B1B78" w:rsidRPr="00FD0312" w:rsidRDefault="00FD0312" w:rsidP="00FD0312">
      <w:pPr>
        <w:spacing w:line="360" w:lineRule="auto"/>
        <w:rPr>
          <w:rFonts w:cs="Arial"/>
          <w:szCs w:val="24"/>
        </w:rPr>
      </w:pPr>
      <w:r w:rsidRPr="007F2B09">
        <w:rPr>
          <w:rFonts w:eastAsia="Arial" w:cs="Arial"/>
          <w:szCs w:val="24"/>
        </w:rPr>
        <w:t>[15]</w:t>
      </w:r>
      <w:r w:rsidRPr="007F2B09">
        <w:rPr>
          <w:rFonts w:eastAsia="Arial" w:cs="Arial"/>
          <w:szCs w:val="24"/>
        </w:rPr>
        <w:tab/>
      </w:r>
      <w:r w:rsidR="00C96EE4" w:rsidRPr="00FD0312">
        <w:rPr>
          <w:rFonts w:cs="Arial"/>
          <w:szCs w:val="24"/>
        </w:rPr>
        <w:t>An enquiry is defined in the Oxford Concise Dictionary as an act of asking for information or an official investigation</w:t>
      </w:r>
      <w:r w:rsidR="00E06757" w:rsidRPr="00FD0312">
        <w:rPr>
          <w:rFonts w:cs="Arial"/>
          <w:szCs w:val="24"/>
        </w:rPr>
        <w:t>.</w:t>
      </w:r>
      <w:r w:rsidR="00AE16CD" w:rsidRPr="00FD0312">
        <w:rPr>
          <w:rFonts w:cs="Arial"/>
          <w:szCs w:val="24"/>
        </w:rPr>
        <w:t xml:space="preserve"> </w:t>
      </w:r>
      <w:r w:rsidR="00C96EE4" w:rsidRPr="00FD0312">
        <w:rPr>
          <w:rFonts w:cs="Arial"/>
          <w:szCs w:val="24"/>
        </w:rPr>
        <w:t>In my view an investigation into collecting facts is only the first leg of the enquiry, the second leg would be to make a ruling on the facts obtained.</w:t>
      </w:r>
      <w:r w:rsidR="00AE16CD" w:rsidRPr="00FD0312">
        <w:rPr>
          <w:rFonts w:cs="Arial"/>
          <w:szCs w:val="24"/>
        </w:rPr>
        <w:t xml:space="preserve"> </w:t>
      </w:r>
      <w:r w:rsidR="00C96EE4" w:rsidRPr="00FD0312">
        <w:rPr>
          <w:rFonts w:cs="Arial"/>
          <w:szCs w:val="24"/>
        </w:rPr>
        <w:t>Simply put in the context of an enquiry in terms of s</w:t>
      </w:r>
      <w:r w:rsidR="00B935BB" w:rsidRPr="00FD0312">
        <w:rPr>
          <w:rFonts w:cs="Arial"/>
          <w:szCs w:val="24"/>
        </w:rPr>
        <w:t>ection</w:t>
      </w:r>
      <w:r w:rsidR="00C96EE4" w:rsidRPr="00FD0312">
        <w:rPr>
          <w:rFonts w:cs="Arial"/>
          <w:szCs w:val="24"/>
        </w:rPr>
        <w:t xml:space="preserve"> 103 of the Act, the court will </w:t>
      </w:r>
      <w:r w:rsidR="00156E99" w:rsidRPr="00FD0312">
        <w:rPr>
          <w:rFonts w:cs="Arial"/>
          <w:szCs w:val="24"/>
        </w:rPr>
        <w:t xml:space="preserve">have to </w:t>
      </w:r>
      <w:r w:rsidR="00C96EE4" w:rsidRPr="00FD0312">
        <w:rPr>
          <w:rFonts w:cs="Arial"/>
          <w:szCs w:val="24"/>
        </w:rPr>
        <w:t>give reasons for exercising its discretion either in favour of the fitness of the accused to possess a firearm or not.</w:t>
      </w:r>
    </w:p>
    <w:p w:rsidR="00511317" w:rsidRPr="007F2B09" w:rsidRDefault="00511317" w:rsidP="007F2B09">
      <w:pPr>
        <w:pStyle w:val="ListParagraph"/>
        <w:spacing w:after="0" w:line="360" w:lineRule="auto"/>
        <w:ind w:left="0"/>
        <w:jc w:val="both"/>
        <w:rPr>
          <w:rFonts w:cs="Arial"/>
          <w:sz w:val="24"/>
          <w:szCs w:val="24"/>
        </w:rPr>
      </w:pPr>
    </w:p>
    <w:p w:rsidR="005C6B8A" w:rsidRPr="00FD0312" w:rsidRDefault="00FD0312" w:rsidP="00FD0312">
      <w:pPr>
        <w:spacing w:line="360" w:lineRule="auto"/>
        <w:rPr>
          <w:rFonts w:cs="Arial"/>
          <w:szCs w:val="24"/>
        </w:rPr>
      </w:pPr>
      <w:r w:rsidRPr="007F2B09">
        <w:rPr>
          <w:rFonts w:eastAsia="Arial" w:cs="Arial"/>
          <w:szCs w:val="24"/>
        </w:rPr>
        <w:t>[16]</w:t>
      </w:r>
      <w:r w:rsidRPr="007F2B09">
        <w:rPr>
          <w:rFonts w:eastAsia="Arial" w:cs="Arial"/>
          <w:szCs w:val="24"/>
        </w:rPr>
        <w:tab/>
      </w:r>
      <w:r w:rsidR="005C6B8A" w:rsidRPr="00FD0312">
        <w:rPr>
          <w:rFonts w:cs="Arial"/>
          <w:szCs w:val="24"/>
        </w:rPr>
        <w:t>Our courts have over the years stated that facts are required that justify a declaration and such facts would only be placed before the court if an enquiry is conducted.</w:t>
      </w:r>
      <w:r w:rsidR="005C6B8A" w:rsidRPr="007F2B09">
        <w:rPr>
          <w:rStyle w:val="FootnoteReference"/>
          <w:rFonts w:cs="Arial"/>
          <w:szCs w:val="24"/>
        </w:rPr>
        <w:footnoteReference w:id="8"/>
      </w:r>
    </w:p>
    <w:p w:rsidR="00C96EE4" w:rsidRPr="007F2B09" w:rsidRDefault="00C96EE4" w:rsidP="007F2B09">
      <w:pPr>
        <w:pStyle w:val="ListParagraph"/>
        <w:spacing w:after="0" w:line="360" w:lineRule="auto"/>
        <w:ind w:left="0"/>
        <w:jc w:val="both"/>
        <w:rPr>
          <w:rFonts w:cs="Arial"/>
          <w:sz w:val="24"/>
          <w:szCs w:val="24"/>
        </w:rPr>
      </w:pPr>
    </w:p>
    <w:p w:rsidR="00C96EE4" w:rsidRPr="00FD0312" w:rsidRDefault="00FD0312" w:rsidP="00FD0312">
      <w:pPr>
        <w:spacing w:line="360" w:lineRule="auto"/>
        <w:rPr>
          <w:rFonts w:cs="Arial"/>
          <w:szCs w:val="24"/>
        </w:rPr>
      </w:pPr>
      <w:r w:rsidRPr="007F2B09">
        <w:rPr>
          <w:rFonts w:eastAsia="Arial" w:cs="Arial"/>
          <w:szCs w:val="24"/>
        </w:rPr>
        <w:t>[17]</w:t>
      </w:r>
      <w:r w:rsidRPr="007F2B09">
        <w:rPr>
          <w:rFonts w:eastAsia="Arial" w:cs="Arial"/>
          <w:szCs w:val="24"/>
        </w:rPr>
        <w:tab/>
      </w:r>
      <w:r w:rsidR="00C96EE4" w:rsidRPr="00FD0312">
        <w:rPr>
          <w:rFonts w:cs="Arial"/>
          <w:szCs w:val="24"/>
        </w:rPr>
        <w:t xml:space="preserve">In </w:t>
      </w:r>
      <w:r w:rsidR="00C96EE4" w:rsidRPr="00FD0312">
        <w:rPr>
          <w:rFonts w:cs="Arial"/>
          <w:i/>
          <w:szCs w:val="24"/>
        </w:rPr>
        <w:t>casu</w:t>
      </w:r>
      <w:r w:rsidR="00C96EE4" w:rsidRPr="00FD0312">
        <w:rPr>
          <w:rFonts w:cs="Arial"/>
          <w:szCs w:val="24"/>
        </w:rPr>
        <w:t xml:space="preserve"> the sentencing judgment </w:t>
      </w:r>
      <w:r w:rsidR="005C6B8A" w:rsidRPr="00FD0312">
        <w:rPr>
          <w:rFonts w:cs="Arial"/>
          <w:szCs w:val="24"/>
        </w:rPr>
        <w:t>is silent on the reasons justifying his unfitness</w:t>
      </w:r>
      <w:r w:rsidR="00C96EE4" w:rsidRPr="00FD0312">
        <w:rPr>
          <w:rFonts w:cs="Arial"/>
          <w:szCs w:val="24"/>
        </w:rPr>
        <w:t xml:space="preserve"> to possess </w:t>
      </w:r>
      <w:r w:rsidR="00AA671E" w:rsidRPr="00FD0312">
        <w:rPr>
          <w:rFonts w:cs="Arial"/>
          <w:szCs w:val="24"/>
        </w:rPr>
        <w:t>a firearm.</w:t>
      </w:r>
      <w:r w:rsidR="00AE16CD" w:rsidRPr="00FD0312">
        <w:rPr>
          <w:rFonts w:cs="Arial"/>
          <w:szCs w:val="24"/>
        </w:rPr>
        <w:t xml:space="preserve"> </w:t>
      </w:r>
      <w:r w:rsidR="00AA671E" w:rsidRPr="00FD0312">
        <w:rPr>
          <w:rFonts w:cs="Arial"/>
          <w:szCs w:val="24"/>
        </w:rPr>
        <w:t xml:space="preserve">The evidence in support of his fitness to possess </w:t>
      </w:r>
      <w:r w:rsidR="005C6B8A" w:rsidRPr="00FD0312">
        <w:rPr>
          <w:rFonts w:cs="Arial"/>
          <w:szCs w:val="24"/>
        </w:rPr>
        <w:t>a firearm</w:t>
      </w:r>
      <w:r w:rsidR="00AA671E" w:rsidRPr="00FD0312">
        <w:rPr>
          <w:rFonts w:cs="Arial"/>
          <w:szCs w:val="24"/>
        </w:rPr>
        <w:t xml:space="preserve"> stands uncontradicted.</w:t>
      </w:r>
      <w:r w:rsidR="00AE16CD" w:rsidRPr="00FD0312">
        <w:rPr>
          <w:rFonts w:cs="Arial"/>
          <w:szCs w:val="24"/>
        </w:rPr>
        <w:t xml:space="preserve"> </w:t>
      </w:r>
      <w:r w:rsidR="00AA671E" w:rsidRPr="00FD0312">
        <w:rPr>
          <w:rFonts w:cs="Arial"/>
          <w:szCs w:val="24"/>
        </w:rPr>
        <w:t>I am mindful of the distinction between s</w:t>
      </w:r>
      <w:r w:rsidR="00B935BB" w:rsidRPr="00FD0312">
        <w:rPr>
          <w:rFonts w:cs="Arial"/>
          <w:szCs w:val="24"/>
        </w:rPr>
        <w:t>ection</w:t>
      </w:r>
      <w:r w:rsidR="00AA671E" w:rsidRPr="00FD0312">
        <w:rPr>
          <w:rFonts w:cs="Arial"/>
          <w:szCs w:val="24"/>
        </w:rPr>
        <w:t xml:space="preserve"> 103(1) and 103(2) of the Act and that the Act only requires in terms of s</w:t>
      </w:r>
      <w:r w:rsidR="00B935BB" w:rsidRPr="00FD0312">
        <w:rPr>
          <w:rFonts w:cs="Arial"/>
          <w:szCs w:val="24"/>
        </w:rPr>
        <w:t>ection</w:t>
      </w:r>
      <w:r w:rsidR="00AA671E" w:rsidRPr="00FD0312">
        <w:rPr>
          <w:rFonts w:cs="Arial"/>
          <w:szCs w:val="24"/>
        </w:rPr>
        <w:t xml:space="preserve"> 103(2)</w:t>
      </w:r>
      <w:r w:rsidR="00AA671E" w:rsidRPr="00FD0312">
        <w:rPr>
          <w:rFonts w:cs="Arial"/>
          <w:i/>
          <w:szCs w:val="24"/>
        </w:rPr>
        <w:t>(a)</w:t>
      </w:r>
      <w:r w:rsidR="00AA671E" w:rsidRPr="00FD0312">
        <w:rPr>
          <w:rFonts w:cs="Arial"/>
          <w:szCs w:val="24"/>
        </w:rPr>
        <w:t xml:space="preserve"> </w:t>
      </w:r>
      <w:r w:rsidR="00156E99" w:rsidRPr="00FD0312">
        <w:rPr>
          <w:rFonts w:cs="Arial"/>
          <w:szCs w:val="24"/>
        </w:rPr>
        <w:t>that</w:t>
      </w:r>
      <w:r w:rsidR="00AA671E" w:rsidRPr="00FD0312">
        <w:rPr>
          <w:rFonts w:cs="Arial"/>
          <w:szCs w:val="24"/>
        </w:rPr>
        <w:t xml:space="preserve"> an enquiry</w:t>
      </w:r>
      <w:r w:rsidR="00156E99" w:rsidRPr="00FD0312">
        <w:rPr>
          <w:rFonts w:cs="Arial"/>
          <w:szCs w:val="24"/>
        </w:rPr>
        <w:t xml:space="preserve"> be held</w:t>
      </w:r>
      <w:r w:rsidR="00AA671E" w:rsidRPr="00FD0312">
        <w:rPr>
          <w:rFonts w:cs="Arial"/>
          <w:szCs w:val="24"/>
        </w:rPr>
        <w:t>.</w:t>
      </w:r>
      <w:r w:rsidR="00AE16CD" w:rsidRPr="00FD0312">
        <w:rPr>
          <w:rFonts w:cs="Arial"/>
          <w:szCs w:val="24"/>
        </w:rPr>
        <w:t xml:space="preserve"> </w:t>
      </w:r>
      <w:r w:rsidR="00AA671E" w:rsidRPr="00FD0312">
        <w:rPr>
          <w:rFonts w:cs="Arial"/>
          <w:szCs w:val="24"/>
        </w:rPr>
        <w:t>The fact that a court in terms of s</w:t>
      </w:r>
      <w:r w:rsidR="00B935BB" w:rsidRPr="00FD0312">
        <w:rPr>
          <w:rFonts w:cs="Arial"/>
          <w:szCs w:val="24"/>
        </w:rPr>
        <w:t>ection</w:t>
      </w:r>
      <w:r w:rsidR="00AA671E" w:rsidRPr="00FD0312">
        <w:rPr>
          <w:rFonts w:cs="Arial"/>
          <w:szCs w:val="24"/>
        </w:rPr>
        <w:t xml:space="preserve"> 103(1) of the Act has to determine otherwise, requires </w:t>
      </w:r>
      <w:r w:rsidR="005C6B8A" w:rsidRPr="00FD0312">
        <w:rPr>
          <w:rFonts w:cs="Arial"/>
          <w:szCs w:val="24"/>
        </w:rPr>
        <w:t xml:space="preserve">however </w:t>
      </w:r>
      <w:r w:rsidR="00AA671E" w:rsidRPr="00FD0312">
        <w:rPr>
          <w:rFonts w:cs="Arial"/>
          <w:szCs w:val="24"/>
        </w:rPr>
        <w:t>of the court to consider the fitness of an accused and give reasons for its conclusions, which should form part of the record.</w:t>
      </w:r>
      <w:r w:rsidR="00AA671E" w:rsidRPr="007F2B09">
        <w:rPr>
          <w:rStyle w:val="FootnoteReference"/>
          <w:rFonts w:cs="Arial"/>
          <w:szCs w:val="24"/>
        </w:rPr>
        <w:footnoteReference w:id="9"/>
      </w:r>
      <w:r w:rsidR="00AE16CD" w:rsidRPr="00FD0312">
        <w:rPr>
          <w:rFonts w:cs="Arial"/>
          <w:szCs w:val="24"/>
        </w:rPr>
        <w:t xml:space="preserve">  </w:t>
      </w:r>
    </w:p>
    <w:p w:rsidR="007B1B78" w:rsidRPr="007F2B09" w:rsidRDefault="007B1B78" w:rsidP="007F2B09">
      <w:pPr>
        <w:pStyle w:val="ListParagraph"/>
        <w:spacing w:after="0" w:line="360" w:lineRule="auto"/>
        <w:ind w:left="0"/>
        <w:jc w:val="both"/>
        <w:rPr>
          <w:rFonts w:cs="Arial"/>
          <w:sz w:val="24"/>
          <w:szCs w:val="24"/>
        </w:rPr>
      </w:pPr>
    </w:p>
    <w:p w:rsidR="000B48C2" w:rsidRPr="00FD0312" w:rsidRDefault="00FD0312" w:rsidP="00FD0312">
      <w:pPr>
        <w:spacing w:line="360" w:lineRule="auto"/>
        <w:rPr>
          <w:rFonts w:cs="Arial"/>
          <w:szCs w:val="24"/>
        </w:rPr>
      </w:pPr>
      <w:r w:rsidRPr="007F2B09">
        <w:rPr>
          <w:rFonts w:eastAsia="Arial" w:cs="Arial"/>
          <w:szCs w:val="24"/>
        </w:rPr>
        <w:t>[1</w:t>
      </w:r>
      <w:bookmarkStart w:id="1" w:name="_GoBack"/>
      <w:bookmarkEnd w:id="1"/>
      <w:r w:rsidRPr="007F2B09">
        <w:rPr>
          <w:rFonts w:eastAsia="Arial" w:cs="Arial"/>
          <w:szCs w:val="24"/>
        </w:rPr>
        <w:t>8]</w:t>
      </w:r>
      <w:r w:rsidRPr="007F2B09">
        <w:rPr>
          <w:rFonts w:eastAsia="Arial" w:cs="Arial"/>
          <w:szCs w:val="24"/>
        </w:rPr>
        <w:tab/>
      </w:r>
      <w:r w:rsidR="000B48C2" w:rsidRPr="00FD0312">
        <w:rPr>
          <w:rFonts w:cs="Arial"/>
          <w:szCs w:val="24"/>
        </w:rPr>
        <w:t xml:space="preserve">In the result the following order is issued: </w:t>
      </w:r>
    </w:p>
    <w:p w:rsidR="000B48C2" w:rsidRPr="007F2B09" w:rsidRDefault="00511317" w:rsidP="007F2B09">
      <w:pPr>
        <w:spacing w:line="360" w:lineRule="auto"/>
        <w:contextualSpacing/>
        <w:rPr>
          <w:rFonts w:cs="Arial"/>
          <w:szCs w:val="24"/>
        </w:rPr>
      </w:pPr>
      <w:r w:rsidRPr="007F2B09">
        <w:rPr>
          <w:rFonts w:eastAsia="Arial" w:cs="Arial"/>
          <w:szCs w:val="24"/>
        </w:rPr>
        <w:t>1.</w:t>
      </w:r>
      <w:r w:rsidRPr="007F2B09">
        <w:rPr>
          <w:rFonts w:cs="Arial"/>
          <w:szCs w:val="24"/>
        </w:rPr>
        <w:tab/>
      </w:r>
      <w:r w:rsidR="000B48C2" w:rsidRPr="007F2B09">
        <w:rPr>
          <w:rFonts w:cs="Arial"/>
          <w:szCs w:val="24"/>
        </w:rPr>
        <w:t xml:space="preserve">The decision by the </w:t>
      </w:r>
      <w:r w:rsidR="00455D25" w:rsidRPr="007F2B09">
        <w:rPr>
          <w:rFonts w:cs="Arial"/>
          <w:szCs w:val="24"/>
        </w:rPr>
        <w:t xml:space="preserve">magistrate </w:t>
      </w:r>
      <w:r w:rsidR="000B48C2" w:rsidRPr="007F2B09">
        <w:rPr>
          <w:rFonts w:cs="Arial"/>
          <w:szCs w:val="24"/>
        </w:rPr>
        <w:t xml:space="preserve">not to determine otherwise in terms of section </w:t>
      </w:r>
      <w:r w:rsidR="000B48C2" w:rsidRPr="007F2B09">
        <w:rPr>
          <w:rFonts w:cs="Arial"/>
          <w:szCs w:val="24"/>
        </w:rPr>
        <w:lastRenderedPageBreak/>
        <w:t>103(1) of the Firearms Control Act</w:t>
      </w:r>
      <w:r w:rsidR="00156E99">
        <w:rPr>
          <w:rFonts w:cs="Arial"/>
          <w:szCs w:val="24"/>
        </w:rPr>
        <w:t xml:space="preserve"> 60 of 2000</w:t>
      </w:r>
      <w:r w:rsidR="000B48C2" w:rsidRPr="007F2B09">
        <w:rPr>
          <w:rFonts w:cs="Arial"/>
          <w:szCs w:val="24"/>
        </w:rPr>
        <w:t xml:space="preserve"> is set aside and replaced by a decision that the court determines otherwise for the purposes of </w:t>
      </w:r>
      <w:r w:rsidR="00455D25">
        <w:rPr>
          <w:rFonts w:cs="Arial"/>
          <w:szCs w:val="24"/>
        </w:rPr>
        <w:t>section</w:t>
      </w:r>
      <w:r w:rsidR="000B48C2" w:rsidRPr="007F2B09">
        <w:rPr>
          <w:rFonts w:cs="Arial"/>
          <w:szCs w:val="24"/>
        </w:rPr>
        <w:t xml:space="preserve"> 103(1) of the Firearms Control Act 6</w:t>
      </w:r>
      <w:r w:rsidR="00156E99">
        <w:rPr>
          <w:rFonts w:cs="Arial"/>
          <w:szCs w:val="24"/>
        </w:rPr>
        <w:t>0</w:t>
      </w:r>
      <w:r w:rsidR="000B48C2" w:rsidRPr="007F2B09">
        <w:rPr>
          <w:rFonts w:cs="Arial"/>
          <w:szCs w:val="24"/>
        </w:rPr>
        <w:t xml:space="preserve"> of 2000.</w:t>
      </w:r>
    </w:p>
    <w:p w:rsidR="004502AA" w:rsidRPr="00C52165" w:rsidRDefault="004502AA" w:rsidP="00C52165">
      <w:pPr>
        <w:spacing w:line="360" w:lineRule="auto"/>
        <w:contextualSpacing/>
        <w:rPr>
          <w:rFonts w:cs="Arial"/>
          <w:szCs w:val="24"/>
        </w:rPr>
      </w:pPr>
    </w:p>
    <w:p w:rsidR="00511317" w:rsidRPr="00C52165" w:rsidRDefault="00511317" w:rsidP="00C52165">
      <w:pPr>
        <w:spacing w:line="360" w:lineRule="auto"/>
        <w:contextualSpacing/>
        <w:rPr>
          <w:rFonts w:cs="Arial"/>
          <w:szCs w:val="24"/>
        </w:rPr>
      </w:pPr>
    </w:p>
    <w:p w:rsidR="00511317" w:rsidRDefault="00511317" w:rsidP="004502AA">
      <w:pPr>
        <w:rPr>
          <w:szCs w:val="24"/>
        </w:rPr>
      </w:pPr>
    </w:p>
    <w:p w:rsidR="004502AA" w:rsidRDefault="004502AA" w:rsidP="004502AA">
      <w:pPr>
        <w:rPr>
          <w:szCs w:val="24"/>
        </w:rPr>
      </w:pPr>
    </w:p>
    <w:p w:rsidR="004502AA" w:rsidRDefault="004502AA" w:rsidP="004502AA">
      <w:pPr>
        <w:spacing w:line="240" w:lineRule="auto"/>
        <w:jc w:val="right"/>
        <w:rPr>
          <w:szCs w:val="24"/>
        </w:rPr>
      </w:pPr>
      <w:r>
        <w:rPr>
          <w:szCs w:val="24"/>
        </w:rPr>
        <w:t>____________________</w:t>
      </w:r>
    </w:p>
    <w:p w:rsidR="004502AA" w:rsidRPr="004502AA" w:rsidRDefault="004502AA" w:rsidP="004502AA">
      <w:pPr>
        <w:spacing w:line="240" w:lineRule="auto"/>
        <w:jc w:val="right"/>
        <w:rPr>
          <w:b/>
          <w:szCs w:val="24"/>
        </w:rPr>
      </w:pPr>
      <w:r>
        <w:rPr>
          <w:b/>
          <w:szCs w:val="24"/>
        </w:rPr>
        <w:t>Steyn J</w:t>
      </w:r>
    </w:p>
    <w:p w:rsidR="00E0313C" w:rsidRDefault="00E0313C" w:rsidP="00E0313C">
      <w:pPr>
        <w:pStyle w:val="ListParagraph"/>
        <w:rPr>
          <w:sz w:val="24"/>
          <w:szCs w:val="24"/>
        </w:rPr>
      </w:pPr>
    </w:p>
    <w:p w:rsidR="004502AA" w:rsidRDefault="004502AA" w:rsidP="00E0313C">
      <w:pPr>
        <w:pStyle w:val="ListParagraph"/>
        <w:rPr>
          <w:sz w:val="24"/>
          <w:szCs w:val="24"/>
        </w:rPr>
      </w:pPr>
    </w:p>
    <w:p w:rsidR="004502AA" w:rsidRDefault="004502AA" w:rsidP="00E0313C">
      <w:pPr>
        <w:pStyle w:val="ListParagraph"/>
        <w:rPr>
          <w:sz w:val="24"/>
          <w:szCs w:val="24"/>
        </w:rPr>
      </w:pPr>
    </w:p>
    <w:p w:rsidR="004502AA" w:rsidRDefault="004502AA" w:rsidP="00E0313C">
      <w:pPr>
        <w:pStyle w:val="ListParagraph"/>
        <w:rPr>
          <w:sz w:val="24"/>
          <w:szCs w:val="24"/>
        </w:rPr>
      </w:pPr>
    </w:p>
    <w:p w:rsidR="004502AA" w:rsidRDefault="004502AA" w:rsidP="00E0313C">
      <w:pPr>
        <w:pStyle w:val="ListParagraph"/>
        <w:rPr>
          <w:sz w:val="24"/>
          <w:szCs w:val="24"/>
        </w:rPr>
      </w:pPr>
    </w:p>
    <w:p w:rsidR="00511317" w:rsidRDefault="00511317" w:rsidP="000A1555">
      <w:pPr>
        <w:spacing w:line="240" w:lineRule="auto"/>
        <w:jc w:val="center"/>
        <w:rPr>
          <w:szCs w:val="24"/>
        </w:rPr>
      </w:pPr>
    </w:p>
    <w:p w:rsidR="00511317" w:rsidRDefault="00511317" w:rsidP="004502AA">
      <w:pPr>
        <w:pStyle w:val="ListParagraph"/>
        <w:jc w:val="right"/>
        <w:rPr>
          <w:sz w:val="24"/>
          <w:szCs w:val="24"/>
        </w:rPr>
      </w:pPr>
    </w:p>
    <w:p w:rsidR="00511317" w:rsidRDefault="00511317" w:rsidP="004502AA">
      <w:pPr>
        <w:pStyle w:val="ListParagraph"/>
        <w:jc w:val="right"/>
        <w:rPr>
          <w:sz w:val="24"/>
          <w:szCs w:val="24"/>
        </w:rPr>
      </w:pPr>
    </w:p>
    <w:p w:rsidR="00511317" w:rsidRDefault="00511317" w:rsidP="004502AA">
      <w:pPr>
        <w:pStyle w:val="ListParagraph"/>
        <w:jc w:val="right"/>
        <w:rPr>
          <w:sz w:val="24"/>
          <w:szCs w:val="24"/>
        </w:rPr>
      </w:pPr>
    </w:p>
    <w:p w:rsidR="00511317" w:rsidRDefault="00511317" w:rsidP="004502AA">
      <w:pPr>
        <w:pStyle w:val="ListParagraph"/>
        <w:jc w:val="right"/>
        <w:rPr>
          <w:sz w:val="24"/>
          <w:szCs w:val="24"/>
        </w:rPr>
      </w:pPr>
    </w:p>
    <w:p w:rsidR="00511317" w:rsidRDefault="00511317" w:rsidP="004502AA">
      <w:pPr>
        <w:pStyle w:val="ListParagraph"/>
        <w:jc w:val="right"/>
        <w:rPr>
          <w:sz w:val="24"/>
          <w:szCs w:val="24"/>
        </w:rPr>
      </w:pPr>
    </w:p>
    <w:p w:rsidR="00511317" w:rsidRDefault="00511317" w:rsidP="004502AA">
      <w:pPr>
        <w:pStyle w:val="ListParagraph"/>
        <w:jc w:val="right"/>
        <w:rPr>
          <w:sz w:val="24"/>
          <w:szCs w:val="24"/>
        </w:rPr>
      </w:pPr>
    </w:p>
    <w:p w:rsidR="00511317" w:rsidRDefault="00511317" w:rsidP="004502AA">
      <w:pPr>
        <w:pStyle w:val="ListParagraph"/>
        <w:jc w:val="right"/>
        <w:rPr>
          <w:sz w:val="24"/>
          <w:szCs w:val="24"/>
        </w:rPr>
      </w:pPr>
    </w:p>
    <w:p w:rsidR="00511317" w:rsidRDefault="00511317" w:rsidP="004502AA">
      <w:pPr>
        <w:pStyle w:val="ListParagraph"/>
        <w:jc w:val="right"/>
        <w:rPr>
          <w:sz w:val="24"/>
          <w:szCs w:val="24"/>
        </w:rPr>
      </w:pPr>
    </w:p>
    <w:p w:rsidR="00511317" w:rsidRDefault="00511317" w:rsidP="004502AA">
      <w:pPr>
        <w:pStyle w:val="ListParagraph"/>
        <w:jc w:val="right"/>
        <w:rPr>
          <w:sz w:val="24"/>
          <w:szCs w:val="24"/>
        </w:rPr>
      </w:pPr>
    </w:p>
    <w:p w:rsidR="00511317" w:rsidRDefault="00511317" w:rsidP="004502AA">
      <w:pPr>
        <w:pStyle w:val="ListParagraph"/>
        <w:jc w:val="right"/>
        <w:rPr>
          <w:sz w:val="24"/>
          <w:szCs w:val="24"/>
        </w:rPr>
      </w:pPr>
    </w:p>
    <w:p w:rsidR="000A1555" w:rsidRDefault="000A1555" w:rsidP="004502AA">
      <w:pPr>
        <w:pStyle w:val="ListParagraph"/>
        <w:jc w:val="right"/>
        <w:rPr>
          <w:sz w:val="24"/>
          <w:szCs w:val="24"/>
        </w:rPr>
      </w:pPr>
    </w:p>
    <w:p w:rsidR="000A1555" w:rsidRDefault="000A1555" w:rsidP="004502AA">
      <w:pPr>
        <w:pStyle w:val="ListParagraph"/>
        <w:jc w:val="right"/>
        <w:rPr>
          <w:sz w:val="24"/>
          <w:szCs w:val="24"/>
        </w:rPr>
      </w:pPr>
    </w:p>
    <w:p w:rsidR="000A1555" w:rsidRDefault="000A1555" w:rsidP="004502AA">
      <w:pPr>
        <w:pStyle w:val="ListParagraph"/>
        <w:jc w:val="right"/>
        <w:rPr>
          <w:sz w:val="24"/>
          <w:szCs w:val="24"/>
        </w:rPr>
      </w:pPr>
    </w:p>
    <w:p w:rsidR="00511317" w:rsidRDefault="00511317" w:rsidP="004502AA">
      <w:pPr>
        <w:pStyle w:val="ListParagraph"/>
        <w:jc w:val="right"/>
        <w:rPr>
          <w:sz w:val="24"/>
          <w:szCs w:val="24"/>
        </w:rPr>
      </w:pPr>
    </w:p>
    <w:p w:rsidR="00511317" w:rsidRDefault="00511317" w:rsidP="004502AA">
      <w:pPr>
        <w:pStyle w:val="ListParagraph"/>
        <w:jc w:val="right"/>
        <w:rPr>
          <w:sz w:val="24"/>
          <w:szCs w:val="24"/>
        </w:rPr>
      </w:pPr>
    </w:p>
    <w:p w:rsidR="00C50C63" w:rsidRDefault="00C50C63" w:rsidP="004502AA">
      <w:pPr>
        <w:pStyle w:val="ListParagraph"/>
        <w:jc w:val="right"/>
        <w:rPr>
          <w:sz w:val="24"/>
          <w:szCs w:val="24"/>
        </w:rPr>
      </w:pPr>
    </w:p>
    <w:p w:rsidR="00511317" w:rsidRDefault="00511317" w:rsidP="004502AA">
      <w:pPr>
        <w:pStyle w:val="ListParagraph"/>
        <w:jc w:val="right"/>
        <w:rPr>
          <w:sz w:val="24"/>
          <w:szCs w:val="24"/>
        </w:rPr>
      </w:pPr>
    </w:p>
    <w:p w:rsidR="00511317" w:rsidRDefault="00511317" w:rsidP="004502AA">
      <w:pPr>
        <w:pStyle w:val="ListParagraph"/>
        <w:jc w:val="right"/>
        <w:rPr>
          <w:sz w:val="24"/>
          <w:szCs w:val="24"/>
        </w:rPr>
      </w:pPr>
    </w:p>
    <w:p w:rsidR="000A1555" w:rsidRDefault="000A1555" w:rsidP="004502AA">
      <w:pPr>
        <w:pStyle w:val="ListParagraph"/>
        <w:jc w:val="right"/>
        <w:rPr>
          <w:sz w:val="24"/>
          <w:szCs w:val="24"/>
        </w:rPr>
      </w:pPr>
    </w:p>
    <w:p w:rsidR="000A1555" w:rsidRDefault="000A1555" w:rsidP="004502AA">
      <w:pPr>
        <w:pStyle w:val="ListParagraph"/>
        <w:jc w:val="right"/>
        <w:rPr>
          <w:sz w:val="24"/>
          <w:szCs w:val="24"/>
        </w:rPr>
      </w:pPr>
    </w:p>
    <w:p w:rsidR="00511317" w:rsidRDefault="00511317" w:rsidP="004502AA">
      <w:pPr>
        <w:pStyle w:val="ListParagraph"/>
        <w:jc w:val="right"/>
        <w:rPr>
          <w:sz w:val="24"/>
          <w:szCs w:val="24"/>
        </w:rPr>
      </w:pPr>
    </w:p>
    <w:p w:rsidR="00C50C63" w:rsidRDefault="00C50C63" w:rsidP="00C50C63">
      <w:pPr>
        <w:widowControl/>
        <w:spacing w:after="200" w:line="276" w:lineRule="auto"/>
        <w:rPr>
          <w:rFonts w:cs="Arial"/>
          <w:szCs w:val="24"/>
          <w:u w:val="single"/>
        </w:rPr>
      </w:pPr>
      <w:r>
        <w:rPr>
          <w:rFonts w:cs="Arial"/>
          <w:szCs w:val="24"/>
          <w:u w:val="single"/>
        </w:rPr>
        <w:t>Case Information</w:t>
      </w:r>
    </w:p>
    <w:p w:rsidR="00C50C63" w:rsidRDefault="00C50C63" w:rsidP="00C50C63">
      <w:pPr>
        <w:spacing w:line="240" w:lineRule="auto"/>
        <w:rPr>
          <w:rFonts w:cs="Arial"/>
          <w:b/>
          <w:szCs w:val="24"/>
          <w:u w:val="single"/>
        </w:rPr>
      </w:pPr>
    </w:p>
    <w:p w:rsidR="00C50C63" w:rsidRDefault="00C50C63" w:rsidP="00C50C63">
      <w:pPr>
        <w:spacing w:line="240" w:lineRule="auto"/>
        <w:rPr>
          <w:rFonts w:cs="Arial"/>
          <w:szCs w:val="24"/>
        </w:rPr>
      </w:pPr>
      <w:r>
        <w:rPr>
          <w:rFonts w:cs="Arial"/>
          <w:szCs w:val="24"/>
        </w:rPr>
        <w:t>Date of Hearing</w:t>
      </w:r>
      <w:r>
        <w:rPr>
          <w:rFonts w:cs="Arial"/>
          <w:szCs w:val="24"/>
        </w:rPr>
        <w:tab/>
      </w:r>
      <w:r>
        <w:rPr>
          <w:rFonts w:cs="Arial"/>
          <w:szCs w:val="24"/>
        </w:rPr>
        <w:tab/>
      </w:r>
      <w:r>
        <w:rPr>
          <w:rFonts w:cs="Arial"/>
          <w:szCs w:val="24"/>
        </w:rPr>
        <w:tab/>
        <w:t>:</w:t>
      </w:r>
      <w:r>
        <w:rPr>
          <w:rFonts w:cs="Arial"/>
          <w:szCs w:val="24"/>
        </w:rPr>
        <w:tab/>
        <w:t>17 February 2023</w:t>
      </w:r>
    </w:p>
    <w:p w:rsidR="00C50C63" w:rsidRDefault="00C50C63" w:rsidP="00C50C63">
      <w:pPr>
        <w:spacing w:line="240" w:lineRule="auto"/>
        <w:rPr>
          <w:rFonts w:cs="Arial"/>
          <w:szCs w:val="24"/>
        </w:rPr>
      </w:pPr>
      <w:r>
        <w:rPr>
          <w:rFonts w:cs="Arial"/>
          <w:szCs w:val="24"/>
        </w:rPr>
        <w:lastRenderedPageBreak/>
        <w:t>Date of Judgment</w:t>
      </w:r>
      <w:r>
        <w:rPr>
          <w:rFonts w:cs="Arial"/>
          <w:szCs w:val="24"/>
        </w:rPr>
        <w:tab/>
      </w:r>
      <w:r>
        <w:rPr>
          <w:rFonts w:cs="Arial"/>
          <w:szCs w:val="24"/>
        </w:rPr>
        <w:tab/>
      </w:r>
      <w:r>
        <w:rPr>
          <w:rFonts w:cs="Arial"/>
          <w:szCs w:val="24"/>
        </w:rPr>
        <w:tab/>
        <w:t>:</w:t>
      </w:r>
      <w:r>
        <w:rPr>
          <w:rFonts w:cs="Arial"/>
          <w:szCs w:val="24"/>
        </w:rPr>
        <w:tab/>
        <w:t>17 February 2023</w:t>
      </w:r>
      <w:r>
        <w:rPr>
          <w:rFonts w:cs="Arial"/>
          <w:szCs w:val="24"/>
        </w:rPr>
        <w:tab/>
      </w:r>
    </w:p>
    <w:p w:rsidR="00C50C63" w:rsidRDefault="00C50C63" w:rsidP="00C50C63">
      <w:pPr>
        <w:spacing w:line="240" w:lineRule="auto"/>
        <w:rPr>
          <w:rFonts w:cs="Arial"/>
          <w:b/>
          <w:szCs w:val="24"/>
        </w:rPr>
      </w:pPr>
    </w:p>
    <w:p w:rsidR="00C50C63" w:rsidRDefault="00C50C63" w:rsidP="00C50C63">
      <w:pPr>
        <w:spacing w:line="240" w:lineRule="auto"/>
        <w:rPr>
          <w:rFonts w:cs="Arial"/>
          <w:b/>
          <w:szCs w:val="24"/>
        </w:rPr>
      </w:pPr>
    </w:p>
    <w:p w:rsidR="00C50C63" w:rsidRDefault="00C50C63" w:rsidP="00C50C63">
      <w:pPr>
        <w:spacing w:line="240" w:lineRule="auto"/>
        <w:rPr>
          <w:rFonts w:cs="Arial"/>
          <w:szCs w:val="24"/>
          <w:u w:val="single"/>
        </w:rPr>
      </w:pPr>
      <w:r>
        <w:rPr>
          <w:rFonts w:cs="Arial"/>
          <w:szCs w:val="24"/>
          <w:u w:val="single"/>
        </w:rPr>
        <w:t>Appearances</w:t>
      </w:r>
    </w:p>
    <w:p w:rsidR="00C50C63" w:rsidRDefault="00C50C63" w:rsidP="00C50C63">
      <w:pPr>
        <w:spacing w:line="240" w:lineRule="auto"/>
        <w:rPr>
          <w:rFonts w:cs="Arial"/>
          <w:szCs w:val="24"/>
        </w:rPr>
      </w:pPr>
    </w:p>
    <w:p w:rsidR="00C50C63" w:rsidRDefault="00C50C63" w:rsidP="00C50C63">
      <w:pPr>
        <w:spacing w:line="240" w:lineRule="auto"/>
        <w:rPr>
          <w:rFonts w:cs="Arial"/>
          <w:szCs w:val="24"/>
        </w:rPr>
      </w:pPr>
      <w:r>
        <w:rPr>
          <w:rFonts w:cs="Arial"/>
          <w:szCs w:val="24"/>
        </w:rPr>
        <w:t>Counsel for the Applicant</w:t>
      </w:r>
      <w:r>
        <w:rPr>
          <w:rFonts w:cs="Arial"/>
          <w:szCs w:val="24"/>
        </w:rPr>
        <w:tab/>
      </w:r>
      <w:r>
        <w:rPr>
          <w:rFonts w:cs="Arial"/>
          <w:szCs w:val="24"/>
        </w:rPr>
        <w:tab/>
        <w:t>:</w:t>
      </w:r>
      <w:r>
        <w:rPr>
          <w:rFonts w:cs="Arial"/>
          <w:szCs w:val="24"/>
        </w:rPr>
        <w:tab/>
        <w:t>Mbatha</w:t>
      </w:r>
      <w:r>
        <w:rPr>
          <w:rFonts w:cs="Arial"/>
          <w:szCs w:val="24"/>
        </w:rPr>
        <w:tab/>
      </w:r>
    </w:p>
    <w:p w:rsidR="00C50C63" w:rsidRDefault="00C50C63" w:rsidP="00C50C63">
      <w:pPr>
        <w:spacing w:line="240" w:lineRule="auto"/>
        <w:rPr>
          <w:rFonts w:cs="Arial"/>
          <w:szCs w:val="24"/>
        </w:rPr>
      </w:pPr>
      <w:r>
        <w:rPr>
          <w:rFonts w:cs="Arial"/>
          <w:szCs w:val="24"/>
        </w:rPr>
        <w:tab/>
      </w:r>
      <w:r>
        <w:rPr>
          <w:rFonts w:cs="Arial"/>
          <w:szCs w:val="24"/>
        </w:rPr>
        <w:tab/>
      </w:r>
      <w:r>
        <w:rPr>
          <w:rFonts w:cs="Arial"/>
          <w:szCs w:val="24"/>
        </w:rPr>
        <w:tab/>
      </w:r>
    </w:p>
    <w:p w:rsidR="00C50C63" w:rsidRDefault="00C50C63" w:rsidP="00C50C63">
      <w:pPr>
        <w:spacing w:line="240" w:lineRule="auto"/>
        <w:rPr>
          <w:rFonts w:cs="Arial"/>
          <w:szCs w:val="24"/>
        </w:rPr>
      </w:pPr>
      <w:r>
        <w:rPr>
          <w:rFonts w:cs="Arial"/>
          <w:szCs w:val="24"/>
        </w:rPr>
        <w:t>Instructed by</w:t>
      </w:r>
    </w:p>
    <w:p w:rsidR="00C50C63" w:rsidRDefault="00C50C63" w:rsidP="00C50C63">
      <w:pPr>
        <w:spacing w:line="240" w:lineRule="auto"/>
        <w:rPr>
          <w:rFonts w:cs="Arial"/>
          <w:szCs w:val="24"/>
        </w:rPr>
      </w:pPr>
      <w:r>
        <w:rPr>
          <w:rFonts w:cs="Arial"/>
          <w:szCs w:val="24"/>
        </w:rPr>
        <w:t>Applicant’s Attorneys</w:t>
      </w:r>
      <w:r>
        <w:rPr>
          <w:rFonts w:cs="Arial"/>
          <w:szCs w:val="24"/>
        </w:rPr>
        <w:tab/>
      </w:r>
      <w:r>
        <w:rPr>
          <w:rFonts w:cs="Arial"/>
          <w:szCs w:val="24"/>
        </w:rPr>
        <w:tab/>
        <w:t>:</w:t>
      </w:r>
      <w:r>
        <w:rPr>
          <w:rFonts w:cs="Arial"/>
          <w:szCs w:val="24"/>
        </w:rPr>
        <w:tab/>
        <w:t>L Marais</w:t>
      </w:r>
    </w:p>
    <w:p w:rsidR="00C50C63" w:rsidRDefault="00C50C63" w:rsidP="00C50C63">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c/o Pmb Justice Centre</w:t>
      </w:r>
    </w:p>
    <w:p w:rsidR="00C50C63" w:rsidRDefault="00C50C63" w:rsidP="00C50C63">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183 Church Street</w:t>
      </w:r>
    </w:p>
    <w:p w:rsidR="00C50C63" w:rsidRDefault="00C50C63" w:rsidP="00C50C63">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Pietermaritzburg 3201</w:t>
      </w:r>
    </w:p>
    <w:p w:rsidR="00C50C63" w:rsidRDefault="00C50C63" w:rsidP="00C50C63">
      <w:pPr>
        <w:spacing w:line="240" w:lineRule="auto"/>
        <w:rPr>
          <w:rFonts w:cs="Arial"/>
          <w:szCs w:val="24"/>
        </w:rPr>
      </w:pPr>
    </w:p>
    <w:p w:rsidR="00C50C63" w:rsidRDefault="00C50C63" w:rsidP="00C50C63">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Tel:</w:t>
      </w:r>
      <w:r>
        <w:rPr>
          <w:rFonts w:cs="Arial"/>
          <w:szCs w:val="24"/>
        </w:rPr>
        <w:tab/>
        <w:t>033 394 2190</w:t>
      </w:r>
      <w:r>
        <w:rPr>
          <w:rFonts w:cs="Arial"/>
          <w:szCs w:val="24"/>
        </w:rPr>
        <w:tab/>
      </w:r>
      <w:r>
        <w:rPr>
          <w:rFonts w:cs="Arial"/>
          <w:szCs w:val="24"/>
        </w:rPr>
        <w:tab/>
      </w:r>
    </w:p>
    <w:p w:rsidR="00C50C63" w:rsidRDefault="00C50C63" w:rsidP="00C50C63">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Ref: </w:t>
      </w:r>
      <w:r>
        <w:rPr>
          <w:rFonts w:cs="Arial"/>
          <w:szCs w:val="24"/>
        </w:rPr>
        <w:tab/>
        <w:t>Ms A Hulley/X913266622</w:t>
      </w:r>
    </w:p>
    <w:p w:rsidR="00C50C63" w:rsidRDefault="00C50C63" w:rsidP="00C50C63">
      <w:pPr>
        <w:spacing w:line="240" w:lineRule="auto"/>
        <w:rPr>
          <w:rFonts w:cs="Arial"/>
          <w:szCs w:val="24"/>
        </w:rPr>
      </w:pPr>
    </w:p>
    <w:p w:rsidR="00C50C63" w:rsidRDefault="00C50C63" w:rsidP="00C50C63">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rsidR="00C50C63" w:rsidRDefault="00C50C63" w:rsidP="00C50C63">
      <w:pPr>
        <w:spacing w:line="240" w:lineRule="auto"/>
        <w:rPr>
          <w:rFonts w:cs="Arial"/>
          <w:szCs w:val="24"/>
        </w:rPr>
      </w:pPr>
      <w:r>
        <w:rPr>
          <w:rFonts w:cs="Arial"/>
          <w:szCs w:val="24"/>
        </w:rPr>
        <w:t>Counsel for the Respondents</w:t>
      </w:r>
      <w:r>
        <w:rPr>
          <w:rFonts w:cs="Arial"/>
          <w:szCs w:val="24"/>
        </w:rPr>
        <w:tab/>
        <w:t>:</w:t>
      </w:r>
      <w:r>
        <w:rPr>
          <w:rFonts w:cs="Arial"/>
          <w:szCs w:val="24"/>
        </w:rPr>
        <w:tab/>
        <w:t>M Chamane</w:t>
      </w:r>
    </w:p>
    <w:p w:rsidR="00C50C63" w:rsidRDefault="00C50C63" w:rsidP="00C50C63">
      <w:pPr>
        <w:spacing w:line="240" w:lineRule="auto"/>
        <w:rPr>
          <w:rFonts w:cs="Arial"/>
          <w:szCs w:val="24"/>
        </w:rPr>
      </w:pPr>
    </w:p>
    <w:p w:rsidR="00C50C63" w:rsidRDefault="00C50C63" w:rsidP="00C50C63">
      <w:pPr>
        <w:spacing w:line="240" w:lineRule="auto"/>
        <w:rPr>
          <w:rFonts w:cs="Arial"/>
          <w:szCs w:val="24"/>
        </w:rPr>
      </w:pPr>
      <w:r>
        <w:rPr>
          <w:rFonts w:cs="Arial"/>
          <w:szCs w:val="24"/>
        </w:rPr>
        <w:t xml:space="preserve">Instructed by </w:t>
      </w:r>
      <w:r>
        <w:rPr>
          <w:rFonts w:cs="Arial"/>
          <w:szCs w:val="24"/>
        </w:rPr>
        <w:tab/>
      </w:r>
      <w:r>
        <w:rPr>
          <w:rFonts w:cs="Arial"/>
          <w:szCs w:val="24"/>
        </w:rPr>
        <w:tab/>
      </w:r>
      <w:r>
        <w:rPr>
          <w:rFonts w:cs="Arial"/>
          <w:szCs w:val="24"/>
        </w:rPr>
        <w:tab/>
      </w:r>
    </w:p>
    <w:p w:rsidR="00C50C63" w:rsidRDefault="00C50C63" w:rsidP="00C50C63">
      <w:pPr>
        <w:spacing w:line="240" w:lineRule="auto"/>
        <w:rPr>
          <w:rFonts w:cs="Arial"/>
          <w:szCs w:val="24"/>
        </w:rPr>
      </w:pPr>
      <w:r>
        <w:rPr>
          <w:rFonts w:cs="Arial"/>
          <w:szCs w:val="24"/>
        </w:rPr>
        <w:t>Respondent’s Attorneys</w:t>
      </w:r>
      <w:r>
        <w:rPr>
          <w:rFonts w:cs="Arial"/>
          <w:szCs w:val="24"/>
        </w:rPr>
        <w:tab/>
      </w:r>
      <w:r>
        <w:rPr>
          <w:rFonts w:cs="Arial"/>
          <w:szCs w:val="24"/>
        </w:rPr>
        <w:tab/>
        <w:t>:</w:t>
      </w:r>
      <w:r>
        <w:rPr>
          <w:rFonts w:cs="Arial"/>
          <w:szCs w:val="24"/>
        </w:rPr>
        <w:tab/>
        <w:t>The Director of Public Prosecutions</w:t>
      </w:r>
    </w:p>
    <w:p w:rsidR="00C50C63" w:rsidRDefault="00C50C63" w:rsidP="00C50C63">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High Court Buildings</w:t>
      </w:r>
    </w:p>
    <w:p w:rsidR="00C50C63" w:rsidRDefault="00C50C63" w:rsidP="00C50C63">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Pietermaritzburg 3201</w:t>
      </w:r>
    </w:p>
    <w:p w:rsidR="00C50C63" w:rsidRDefault="00C50C63" w:rsidP="00C50C63">
      <w:pPr>
        <w:spacing w:line="240" w:lineRule="auto"/>
        <w:rPr>
          <w:rFonts w:cs="Arial"/>
          <w:szCs w:val="24"/>
        </w:rPr>
      </w:pPr>
    </w:p>
    <w:p w:rsidR="00C50C63" w:rsidRDefault="00C50C63" w:rsidP="00C50C63">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Tel:</w:t>
      </w:r>
      <w:r>
        <w:rPr>
          <w:rFonts w:cs="Arial"/>
          <w:szCs w:val="24"/>
        </w:rPr>
        <w:tab/>
        <w:t>031 830 5046</w:t>
      </w:r>
    </w:p>
    <w:p w:rsidR="00C50C63" w:rsidRDefault="00C50C63" w:rsidP="00C50C63">
      <w:pPr>
        <w:spacing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rsidR="00C50C63" w:rsidRDefault="00C50C63" w:rsidP="00C50C63">
      <w:pPr>
        <w:spacing w:line="240" w:lineRule="auto"/>
        <w:rPr>
          <w:rFonts w:cs="Arial"/>
          <w:szCs w:val="24"/>
        </w:rPr>
      </w:pPr>
    </w:p>
    <w:p w:rsidR="00511317" w:rsidRDefault="00511317" w:rsidP="00511317">
      <w:pPr>
        <w:pStyle w:val="ListParagraph"/>
        <w:jc w:val="both"/>
        <w:rPr>
          <w:sz w:val="24"/>
          <w:szCs w:val="24"/>
        </w:rPr>
      </w:pPr>
    </w:p>
    <w:p w:rsidR="00511317" w:rsidRPr="00511317" w:rsidRDefault="00511317" w:rsidP="00511317">
      <w:pPr>
        <w:widowControl/>
        <w:spacing w:after="200" w:line="276" w:lineRule="auto"/>
        <w:jc w:val="left"/>
        <w:rPr>
          <w:rFonts w:eastAsiaTheme="minorHAnsi" w:cs="Arial"/>
          <w:szCs w:val="24"/>
        </w:rPr>
      </w:pPr>
      <w:r w:rsidRPr="00511317">
        <w:rPr>
          <w:rFonts w:eastAsiaTheme="minorHAnsi" w:cs="Arial"/>
          <w:szCs w:val="24"/>
        </w:rPr>
        <w:tab/>
      </w:r>
    </w:p>
    <w:p w:rsidR="00511317" w:rsidRPr="00E0313C" w:rsidRDefault="00511317" w:rsidP="004502AA">
      <w:pPr>
        <w:pStyle w:val="ListParagraph"/>
        <w:jc w:val="right"/>
        <w:rPr>
          <w:sz w:val="24"/>
          <w:szCs w:val="24"/>
        </w:rPr>
      </w:pPr>
    </w:p>
    <w:sectPr w:rsidR="00511317" w:rsidRPr="00E0313C" w:rsidSect="00B7336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5E" w:rsidRDefault="0068725E" w:rsidP="00B73366">
      <w:pPr>
        <w:spacing w:line="240" w:lineRule="auto"/>
      </w:pPr>
      <w:r>
        <w:separator/>
      </w:r>
    </w:p>
  </w:endnote>
  <w:endnote w:type="continuationSeparator" w:id="0">
    <w:p w:rsidR="0068725E" w:rsidRDefault="0068725E" w:rsidP="00B73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5E" w:rsidRDefault="0068725E" w:rsidP="00B73366">
      <w:pPr>
        <w:spacing w:line="240" w:lineRule="auto"/>
      </w:pPr>
      <w:r>
        <w:separator/>
      </w:r>
    </w:p>
  </w:footnote>
  <w:footnote w:type="continuationSeparator" w:id="0">
    <w:p w:rsidR="0068725E" w:rsidRDefault="0068725E" w:rsidP="00B73366">
      <w:pPr>
        <w:spacing w:line="240" w:lineRule="auto"/>
      </w:pPr>
      <w:r>
        <w:continuationSeparator/>
      </w:r>
    </w:p>
  </w:footnote>
  <w:footnote w:id="1">
    <w:p w:rsidR="008A26BB" w:rsidRPr="004058FC" w:rsidRDefault="008A26BB" w:rsidP="00273C9C">
      <w:pPr>
        <w:pStyle w:val="FootnoteText"/>
        <w:keepLines/>
        <w:contextualSpacing/>
        <w:rPr>
          <w:lang w:val="en-GB"/>
        </w:rPr>
      </w:pPr>
      <w:r>
        <w:rPr>
          <w:rStyle w:val="FootnoteReference"/>
        </w:rPr>
        <w:footnoteRef/>
      </w:r>
      <w:r>
        <w:t xml:space="preserve"> </w:t>
      </w:r>
      <w:r>
        <w:rPr>
          <w:lang w:val="en-GB"/>
        </w:rPr>
        <w:t xml:space="preserve">In some </w:t>
      </w:r>
      <w:r w:rsidR="00F7783B">
        <w:rPr>
          <w:lang w:val="en-GB"/>
        </w:rPr>
        <w:t>instances,</w:t>
      </w:r>
      <w:r>
        <w:rPr>
          <w:lang w:val="en-GB"/>
        </w:rPr>
        <w:t xml:space="preserve"> the automatic disqualification will only be in circumstances where upon conviction</w:t>
      </w:r>
      <w:r w:rsidR="009843ED">
        <w:rPr>
          <w:lang w:val="en-GB"/>
        </w:rPr>
        <w:t>,</w:t>
      </w:r>
      <w:r>
        <w:rPr>
          <w:lang w:val="en-GB"/>
        </w:rPr>
        <w:t xml:space="preserve"> the accused is sentenced to a term of imprisonment without the option of a fine.</w:t>
      </w:r>
      <w:r w:rsidR="00AE16CD">
        <w:rPr>
          <w:lang w:val="en-GB"/>
        </w:rPr>
        <w:t xml:space="preserve"> </w:t>
      </w:r>
      <w:r>
        <w:rPr>
          <w:lang w:val="en-GB"/>
        </w:rPr>
        <w:t xml:space="preserve">See section </w:t>
      </w:r>
      <w:r w:rsidR="0087201A">
        <w:rPr>
          <w:lang w:val="en-GB"/>
        </w:rPr>
        <w:t>103(1)</w:t>
      </w:r>
      <w:r w:rsidRPr="004064A8">
        <w:rPr>
          <w:i/>
          <w:lang w:val="en-GB"/>
        </w:rPr>
        <w:t>(g)</w:t>
      </w:r>
      <w:r>
        <w:rPr>
          <w:lang w:val="en-GB"/>
        </w:rPr>
        <w:t xml:space="preserve">, </w:t>
      </w:r>
      <w:r w:rsidRPr="004064A8">
        <w:rPr>
          <w:i/>
          <w:lang w:val="en-GB"/>
        </w:rPr>
        <w:t>(h)</w:t>
      </w:r>
      <w:r>
        <w:rPr>
          <w:lang w:val="en-GB"/>
        </w:rPr>
        <w:t xml:space="preserve">, </w:t>
      </w:r>
      <w:r w:rsidRPr="004064A8">
        <w:rPr>
          <w:i/>
          <w:lang w:val="en-GB"/>
        </w:rPr>
        <w:t>(l)</w:t>
      </w:r>
      <w:r>
        <w:rPr>
          <w:lang w:val="en-GB"/>
        </w:rPr>
        <w:t xml:space="preserve"> and </w:t>
      </w:r>
      <w:r w:rsidRPr="004064A8">
        <w:rPr>
          <w:i/>
          <w:lang w:val="en-GB"/>
        </w:rPr>
        <w:t>(m)</w:t>
      </w:r>
      <w:r>
        <w:rPr>
          <w:lang w:val="en-GB"/>
        </w:rPr>
        <w:t xml:space="preserve"> of the Act.</w:t>
      </w:r>
    </w:p>
  </w:footnote>
  <w:footnote w:id="2">
    <w:p w:rsidR="008C6C0F" w:rsidRPr="004064A8" w:rsidRDefault="008C6C0F" w:rsidP="00273C9C">
      <w:pPr>
        <w:pStyle w:val="FootnoteText"/>
        <w:keepLines/>
        <w:rPr>
          <w:lang w:val="en-GB"/>
        </w:rPr>
      </w:pPr>
      <w:r>
        <w:rPr>
          <w:rStyle w:val="FootnoteReference"/>
        </w:rPr>
        <w:footnoteRef/>
      </w:r>
      <w:r>
        <w:t xml:space="preserve"> </w:t>
      </w:r>
      <w:r w:rsidRPr="008C6C0F">
        <w:rPr>
          <w:i/>
        </w:rPr>
        <w:t>S v Mkhonza</w:t>
      </w:r>
      <w:r w:rsidRPr="008C6C0F">
        <w:t xml:space="preserve"> 2010 (1) SACR 602 (KZP)</w:t>
      </w:r>
      <w:r>
        <w:t>.</w:t>
      </w:r>
    </w:p>
  </w:footnote>
  <w:footnote w:id="3">
    <w:p w:rsidR="00A7305D" w:rsidRPr="00A7305D" w:rsidRDefault="00A7305D" w:rsidP="00273C9C">
      <w:pPr>
        <w:pStyle w:val="FootnoteText"/>
        <w:keepLines/>
        <w:contextualSpacing/>
        <w:rPr>
          <w:lang w:val="en-GB"/>
        </w:rPr>
      </w:pPr>
      <w:r>
        <w:rPr>
          <w:rStyle w:val="FootnoteReference"/>
        </w:rPr>
        <w:footnoteRef/>
      </w:r>
      <w:r>
        <w:t xml:space="preserve"> </w:t>
      </w:r>
      <w:r>
        <w:rPr>
          <w:lang w:val="en-GB"/>
        </w:rPr>
        <w:t xml:space="preserve">Also see </w:t>
      </w:r>
      <w:r w:rsidRPr="00A7305D">
        <w:rPr>
          <w:i/>
          <w:lang w:val="en-GB"/>
        </w:rPr>
        <w:t>S v Wakefield</w:t>
      </w:r>
      <w:r>
        <w:rPr>
          <w:lang w:val="en-GB"/>
        </w:rPr>
        <w:t xml:space="preserve"> 1996 (1) SACR 546 (</w:t>
      </w:r>
      <w:r w:rsidR="004C4DFA">
        <w:rPr>
          <w:lang w:val="en-GB"/>
        </w:rPr>
        <w:t>C</w:t>
      </w:r>
      <w:r>
        <w:rPr>
          <w:lang w:val="en-GB"/>
        </w:rPr>
        <w:t xml:space="preserve">) where the court decided on the </w:t>
      </w:r>
      <w:r w:rsidR="00537D49">
        <w:rPr>
          <w:lang w:val="en-GB"/>
        </w:rPr>
        <w:t>appeal ability</w:t>
      </w:r>
      <w:r>
        <w:rPr>
          <w:lang w:val="en-GB"/>
        </w:rPr>
        <w:t xml:space="preserve"> </w:t>
      </w:r>
      <w:r w:rsidR="00537D49">
        <w:rPr>
          <w:lang w:val="en-GB"/>
        </w:rPr>
        <w:t xml:space="preserve">of </w:t>
      </w:r>
      <w:r>
        <w:rPr>
          <w:lang w:val="en-GB"/>
        </w:rPr>
        <w:t>s</w:t>
      </w:r>
      <w:r w:rsidR="00B935BB">
        <w:rPr>
          <w:lang w:val="en-GB"/>
        </w:rPr>
        <w:t>ection</w:t>
      </w:r>
      <w:r w:rsidR="00206D96">
        <w:rPr>
          <w:lang w:val="en-GB"/>
        </w:rPr>
        <w:t> </w:t>
      </w:r>
      <w:r>
        <w:rPr>
          <w:lang w:val="en-GB"/>
        </w:rPr>
        <w:t>12(2) of the Arms and Ammunition Act</w:t>
      </w:r>
      <w:r w:rsidR="00206D96">
        <w:rPr>
          <w:lang w:val="en-GB"/>
        </w:rPr>
        <w:t xml:space="preserve"> 75 of 1969</w:t>
      </w:r>
      <w:r>
        <w:rPr>
          <w:lang w:val="en-GB"/>
        </w:rPr>
        <w:t xml:space="preserve">. </w:t>
      </w:r>
    </w:p>
  </w:footnote>
  <w:footnote w:id="4">
    <w:p w:rsidR="00273C9C" w:rsidRPr="004064A8" w:rsidRDefault="00273C9C">
      <w:pPr>
        <w:pStyle w:val="FootnoteText"/>
        <w:rPr>
          <w:lang w:val="en-GB"/>
        </w:rPr>
      </w:pPr>
      <w:r>
        <w:rPr>
          <w:rStyle w:val="FootnoteReference"/>
        </w:rPr>
        <w:footnoteRef/>
      </w:r>
      <w:r>
        <w:t xml:space="preserve"> </w:t>
      </w:r>
      <w:r w:rsidRPr="008C6C0F">
        <w:rPr>
          <w:i/>
        </w:rPr>
        <w:t>S v Mkhonza</w:t>
      </w:r>
      <w:r w:rsidRPr="008C6C0F">
        <w:t xml:space="preserve"> 2010 (1) SACR 602 (KZP)</w:t>
      </w:r>
      <w:r>
        <w:t xml:space="preserve"> para 18.</w:t>
      </w:r>
    </w:p>
  </w:footnote>
  <w:footnote w:id="5">
    <w:p w:rsidR="002F6283" w:rsidRPr="002F6283" w:rsidRDefault="002F6283" w:rsidP="00273C9C">
      <w:pPr>
        <w:pStyle w:val="FootnoteText"/>
        <w:keepLines/>
        <w:contextualSpacing/>
        <w:rPr>
          <w:lang w:val="en-GB"/>
        </w:rPr>
      </w:pPr>
      <w:r>
        <w:rPr>
          <w:rStyle w:val="FootnoteReference"/>
        </w:rPr>
        <w:footnoteRef/>
      </w:r>
      <w:r>
        <w:t xml:space="preserve"> </w:t>
      </w:r>
      <w:r w:rsidR="00924468" w:rsidRPr="004058FC">
        <w:rPr>
          <w:i/>
        </w:rPr>
        <w:t>Venter v S</w:t>
      </w:r>
      <w:r w:rsidR="00924468">
        <w:t xml:space="preserve"> 2017 ZAGPPHC 384</w:t>
      </w:r>
      <w:r>
        <w:rPr>
          <w:lang w:val="en-GB"/>
        </w:rPr>
        <w:t xml:space="preserve"> paras 6 and 7. </w:t>
      </w:r>
    </w:p>
  </w:footnote>
  <w:footnote w:id="6">
    <w:p w:rsidR="00063EC2" w:rsidRPr="004064A8" w:rsidRDefault="00063EC2">
      <w:pPr>
        <w:pStyle w:val="FootnoteText"/>
        <w:rPr>
          <w:lang w:val="en-GB"/>
        </w:rPr>
      </w:pPr>
      <w:r>
        <w:rPr>
          <w:rStyle w:val="FootnoteReference"/>
        </w:rPr>
        <w:footnoteRef/>
      </w:r>
      <w:r>
        <w:t xml:space="preserve"> </w:t>
      </w:r>
      <w:r w:rsidRPr="00063EC2">
        <w:rPr>
          <w:i/>
        </w:rPr>
        <w:t xml:space="preserve">Phuroe en Agt </w:t>
      </w:r>
      <w:r w:rsidR="00BD0357" w:rsidRPr="00063EC2">
        <w:rPr>
          <w:i/>
        </w:rPr>
        <w:t xml:space="preserve">ander </w:t>
      </w:r>
      <w:r w:rsidRPr="00063EC2">
        <w:rPr>
          <w:i/>
        </w:rPr>
        <w:t>Soortgelyke Sake</w:t>
      </w:r>
      <w:r w:rsidRPr="00063EC2">
        <w:t xml:space="preserve"> 1991 (2) SACR 384 (NC) at 387b</w:t>
      </w:r>
      <w:r>
        <w:t>-</w:t>
      </w:r>
      <w:r w:rsidRPr="00063EC2">
        <w:t>d</w:t>
      </w:r>
      <w:r>
        <w:t>.</w:t>
      </w:r>
    </w:p>
  </w:footnote>
  <w:footnote w:id="7">
    <w:p w:rsidR="00C96EE4" w:rsidRPr="007B1B78" w:rsidRDefault="00C96EE4" w:rsidP="00273C9C">
      <w:pPr>
        <w:pStyle w:val="FootnoteText"/>
        <w:keepLines/>
        <w:contextualSpacing/>
        <w:rPr>
          <w:lang w:val="en-GB"/>
        </w:rPr>
      </w:pPr>
      <w:r>
        <w:rPr>
          <w:rStyle w:val="FootnoteReference"/>
        </w:rPr>
        <w:footnoteRef/>
      </w:r>
      <w:r>
        <w:t xml:space="preserve"> </w:t>
      </w:r>
      <w:r>
        <w:rPr>
          <w:lang w:val="en-GB"/>
        </w:rPr>
        <w:t xml:space="preserve">See </w:t>
      </w:r>
      <w:r w:rsidR="00E06757">
        <w:rPr>
          <w:lang w:val="en-GB"/>
        </w:rPr>
        <w:t xml:space="preserve">the record </w:t>
      </w:r>
      <w:r>
        <w:rPr>
          <w:lang w:val="en-GB"/>
        </w:rPr>
        <w:t>at 7</w:t>
      </w:r>
      <w:r w:rsidR="00E06757">
        <w:rPr>
          <w:lang w:val="en-GB"/>
        </w:rPr>
        <w:t>,</w:t>
      </w:r>
      <w:r>
        <w:rPr>
          <w:lang w:val="en-GB"/>
        </w:rPr>
        <w:t xml:space="preserve"> lines 1 to 21.</w:t>
      </w:r>
    </w:p>
  </w:footnote>
  <w:footnote w:id="8">
    <w:p w:rsidR="005C6B8A" w:rsidRPr="005C6B8A" w:rsidRDefault="005C6B8A" w:rsidP="00273C9C">
      <w:pPr>
        <w:pStyle w:val="FootnoteText"/>
        <w:keepLines/>
        <w:contextualSpacing/>
        <w:rPr>
          <w:lang w:val="en-GB"/>
        </w:rPr>
      </w:pPr>
      <w:r>
        <w:rPr>
          <w:rStyle w:val="FootnoteReference"/>
        </w:rPr>
        <w:footnoteRef/>
      </w:r>
      <w:r>
        <w:t xml:space="preserve"> </w:t>
      </w:r>
      <w:r>
        <w:rPr>
          <w:lang w:val="en-GB"/>
        </w:rPr>
        <w:t xml:space="preserve">See </w:t>
      </w:r>
      <w:r w:rsidRPr="005C6B8A">
        <w:rPr>
          <w:i/>
          <w:lang w:val="en-GB"/>
        </w:rPr>
        <w:t>S v Smith</w:t>
      </w:r>
      <w:r>
        <w:rPr>
          <w:lang w:val="en-GB"/>
        </w:rPr>
        <w:t xml:space="preserve"> 2006 (1) SACR 307</w:t>
      </w:r>
      <w:r w:rsidR="008864AD">
        <w:rPr>
          <w:lang w:val="en-GB"/>
        </w:rPr>
        <w:t xml:space="preserve"> </w:t>
      </w:r>
      <w:r>
        <w:rPr>
          <w:lang w:val="en-GB"/>
        </w:rPr>
        <w:t xml:space="preserve">(W) and </w:t>
      </w:r>
      <w:r w:rsidRPr="005C6B8A">
        <w:rPr>
          <w:i/>
          <w:lang w:val="en-GB"/>
        </w:rPr>
        <w:t>Masakazi</w:t>
      </w:r>
      <w:r w:rsidR="008864AD">
        <w:rPr>
          <w:i/>
          <w:lang w:val="en-GB"/>
        </w:rPr>
        <w:t xml:space="preserve"> v S</w:t>
      </w:r>
      <w:r>
        <w:rPr>
          <w:lang w:val="en-GB"/>
        </w:rPr>
        <w:t xml:space="preserve"> [2007] JOL 20613 (E).</w:t>
      </w:r>
    </w:p>
  </w:footnote>
  <w:footnote w:id="9">
    <w:p w:rsidR="004502AA" w:rsidRPr="00AA671E" w:rsidRDefault="00AA671E" w:rsidP="00273C9C">
      <w:pPr>
        <w:pStyle w:val="FootnoteText"/>
        <w:keepLines/>
        <w:contextualSpacing/>
        <w:rPr>
          <w:lang w:val="en-GB"/>
        </w:rPr>
      </w:pPr>
      <w:r>
        <w:rPr>
          <w:rStyle w:val="FootnoteReference"/>
        </w:rPr>
        <w:footnoteRef/>
      </w:r>
      <w:r>
        <w:t xml:space="preserve"> </w:t>
      </w:r>
      <w:r>
        <w:rPr>
          <w:lang w:val="en-GB"/>
        </w:rPr>
        <w:t xml:space="preserve">Also see </w:t>
      </w:r>
      <w:r w:rsidRPr="00AA671E">
        <w:rPr>
          <w:i/>
          <w:lang w:val="en-GB"/>
        </w:rPr>
        <w:t>Mkhonza supra</w:t>
      </w:r>
      <w:r>
        <w:rPr>
          <w:lang w:val="en-GB"/>
        </w:rPr>
        <w:t xml:space="preserve"> </w:t>
      </w:r>
      <w:r w:rsidR="00455D25">
        <w:rPr>
          <w:lang w:val="en-GB"/>
        </w:rPr>
        <w:t>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703078"/>
      <w:docPartObj>
        <w:docPartGallery w:val="Page Numbers (Top of Page)"/>
        <w:docPartUnique/>
      </w:docPartObj>
    </w:sdtPr>
    <w:sdtEndPr>
      <w:rPr>
        <w:noProof/>
      </w:rPr>
    </w:sdtEndPr>
    <w:sdtContent>
      <w:p w:rsidR="00CB4124" w:rsidRDefault="00CB4124">
        <w:pPr>
          <w:pStyle w:val="Header"/>
          <w:jc w:val="right"/>
        </w:pPr>
        <w:r>
          <w:fldChar w:fldCharType="begin"/>
        </w:r>
        <w:r>
          <w:instrText xml:space="preserve"> PAGE   \* MERGEFORMAT </w:instrText>
        </w:r>
        <w:r>
          <w:fldChar w:fldCharType="separate"/>
        </w:r>
        <w:r w:rsidR="00FD0312">
          <w:rPr>
            <w:noProof/>
          </w:rPr>
          <w:t>7</w:t>
        </w:r>
        <w:r>
          <w:rPr>
            <w:noProof/>
          </w:rPr>
          <w:fldChar w:fldCharType="end"/>
        </w:r>
      </w:p>
    </w:sdtContent>
  </w:sdt>
  <w:p w:rsidR="00CB4124" w:rsidRDefault="00CB4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6821"/>
    <w:multiLevelType w:val="hybridMultilevel"/>
    <w:tmpl w:val="0A9E99A2"/>
    <w:lvl w:ilvl="0" w:tplc="E04EC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D23BC"/>
    <w:multiLevelType w:val="hybridMultilevel"/>
    <w:tmpl w:val="6F0A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956A2"/>
    <w:multiLevelType w:val="hybridMultilevel"/>
    <w:tmpl w:val="AA42218E"/>
    <w:lvl w:ilvl="0" w:tplc="5022A27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A31608"/>
    <w:multiLevelType w:val="hybridMultilevel"/>
    <w:tmpl w:val="CF6C0E02"/>
    <w:lvl w:ilvl="0" w:tplc="069CE6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1340E1"/>
    <w:multiLevelType w:val="hybridMultilevel"/>
    <w:tmpl w:val="CC20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82E1A"/>
    <w:multiLevelType w:val="hybridMultilevel"/>
    <w:tmpl w:val="54362812"/>
    <w:lvl w:ilvl="0" w:tplc="3404D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A4FA6"/>
    <w:multiLevelType w:val="hybridMultilevel"/>
    <w:tmpl w:val="3CCA6A1E"/>
    <w:lvl w:ilvl="0" w:tplc="47AE2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7538E"/>
    <w:multiLevelType w:val="hybridMultilevel"/>
    <w:tmpl w:val="24F8AFF6"/>
    <w:lvl w:ilvl="0" w:tplc="D40C8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40B77"/>
    <w:multiLevelType w:val="hybridMultilevel"/>
    <w:tmpl w:val="38D8109A"/>
    <w:lvl w:ilvl="0" w:tplc="D6FAC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9A70E0"/>
    <w:multiLevelType w:val="hybridMultilevel"/>
    <w:tmpl w:val="ED5ED87E"/>
    <w:lvl w:ilvl="0" w:tplc="B34E463C">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43203C"/>
    <w:multiLevelType w:val="hybridMultilevel"/>
    <w:tmpl w:val="C7D83E3C"/>
    <w:lvl w:ilvl="0" w:tplc="4CAE351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35541F"/>
    <w:multiLevelType w:val="hybridMultilevel"/>
    <w:tmpl w:val="2BCC762E"/>
    <w:lvl w:ilvl="0" w:tplc="C4F233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263A9D"/>
    <w:multiLevelType w:val="hybridMultilevel"/>
    <w:tmpl w:val="57AC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F2E4C"/>
    <w:multiLevelType w:val="hybridMultilevel"/>
    <w:tmpl w:val="AE5EDD50"/>
    <w:lvl w:ilvl="0" w:tplc="B994DA4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6F20363"/>
    <w:multiLevelType w:val="multilevel"/>
    <w:tmpl w:val="153A9776"/>
    <w:lvl w:ilvl="0">
      <w:start w:val="1"/>
      <w:numFmt w:val="decimal"/>
      <w:pStyle w:val="Heading1"/>
      <w:lvlText w:val="[%1]"/>
      <w:lvlJc w:val="left"/>
      <w:pPr>
        <w:ind w:left="1080" w:hanging="360"/>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Sub"/>
      <w:lvlText w:val="%1.%2"/>
      <w:lvlJc w:val="left"/>
      <w:pPr>
        <w:tabs>
          <w:tab w:val="num" w:pos="3555"/>
        </w:tabs>
        <w:ind w:left="3555" w:hanging="283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3555"/>
        </w:tabs>
        <w:ind w:left="3555" w:hanging="1417"/>
      </w:pPr>
      <w:rPr>
        <w:rFonts w:ascii="Times New Roman" w:hAnsi="Times New Roman" w:cs="Times New Roman" w:hint="default"/>
        <w:b w:val="0"/>
        <w:i w:val="0"/>
        <w:sz w:val="24"/>
        <w:szCs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4D3E0F73"/>
    <w:multiLevelType w:val="hybridMultilevel"/>
    <w:tmpl w:val="4DA41634"/>
    <w:lvl w:ilvl="0" w:tplc="B0B0BF52">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16B489A"/>
    <w:multiLevelType w:val="hybridMultilevel"/>
    <w:tmpl w:val="3A3C6980"/>
    <w:lvl w:ilvl="0" w:tplc="1C09000F">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nsid w:val="5BAA640D"/>
    <w:multiLevelType w:val="hybridMultilevel"/>
    <w:tmpl w:val="410A677C"/>
    <w:lvl w:ilvl="0" w:tplc="D45EA28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12F0E08"/>
    <w:multiLevelType w:val="hybridMultilevel"/>
    <w:tmpl w:val="6D62CCD0"/>
    <w:lvl w:ilvl="0" w:tplc="24D4648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2791670"/>
    <w:multiLevelType w:val="hybridMultilevel"/>
    <w:tmpl w:val="2FB0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B5660C"/>
    <w:multiLevelType w:val="hybridMultilevel"/>
    <w:tmpl w:val="427600AC"/>
    <w:lvl w:ilvl="0" w:tplc="1E76108C">
      <w:start w:val="1"/>
      <w:numFmt w:val="lowerLetter"/>
      <w:lvlText w:val="(%1)"/>
      <w:lvlJc w:val="left"/>
      <w:pPr>
        <w:ind w:left="1080" w:hanging="360"/>
      </w:pPr>
      <w:rPr>
        <w:rFonts w:ascii="Arial" w:eastAsia="Times New Roman" w:hAnsi="Arial"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99C2E2A"/>
    <w:multiLevelType w:val="hybridMultilevel"/>
    <w:tmpl w:val="9D02BF06"/>
    <w:lvl w:ilvl="0" w:tplc="5454AA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FBA52F5"/>
    <w:multiLevelType w:val="hybridMultilevel"/>
    <w:tmpl w:val="C9C0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21"/>
  </w:num>
  <w:num w:numId="5">
    <w:abstractNumId w:val="17"/>
  </w:num>
  <w:num w:numId="6">
    <w:abstractNumId w:val="20"/>
  </w:num>
  <w:num w:numId="7">
    <w:abstractNumId w:val="2"/>
  </w:num>
  <w:num w:numId="8">
    <w:abstractNumId w:val="18"/>
  </w:num>
  <w:num w:numId="9">
    <w:abstractNumId w:val="9"/>
  </w:num>
  <w:num w:numId="10">
    <w:abstractNumId w:val="15"/>
  </w:num>
  <w:num w:numId="11">
    <w:abstractNumId w:val="3"/>
  </w:num>
  <w:num w:numId="12">
    <w:abstractNumId w:val="10"/>
  </w:num>
  <w:num w:numId="13">
    <w:abstractNumId w:val="19"/>
  </w:num>
  <w:num w:numId="14">
    <w:abstractNumId w:val="12"/>
  </w:num>
  <w:num w:numId="15">
    <w:abstractNumId w:val="22"/>
  </w:num>
  <w:num w:numId="16">
    <w:abstractNumId w:val="1"/>
  </w:num>
  <w:num w:numId="17">
    <w:abstractNumId w:val="7"/>
  </w:num>
  <w:num w:numId="18">
    <w:abstractNumId w:val="8"/>
  </w:num>
  <w:num w:numId="19">
    <w:abstractNumId w:val="5"/>
  </w:num>
  <w:num w:numId="20">
    <w:abstractNumId w:val="0"/>
  </w:num>
  <w:num w:numId="21">
    <w:abstractNumId w:val="4"/>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74"/>
    <w:rsid w:val="00006DDF"/>
    <w:rsid w:val="000073B3"/>
    <w:rsid w:val="0002202D"/>
    <w:rsid w:val="00024E63"/>
    <w:rsid w:val="00026FFF"/>
    <w:rsid w:val="00031D71"/>
    <w:rsid w:val="00032620"/>
    <w:rsid w:val="0003674C"/>
    <w:rsid w:val="00042B74"/>
    <w:rsid w:val="000459D4"/>
    <w:rsid w:val="00054D75"/>
    <w:rsid w:val="00063EC2"/>
    <w:rsid w:val="00067FFB"/>
    <w:rsid w:val="00087349"/>
    <w:rsid w:val="00087DF5"/>
    <w:rsid w:val="000912E0"/>
    <w:rsid w:val="000A1555"/>
    <w:rsid w:val="000A2BB7"/>
    <w:rsid w:val="000A30D3"/>
    <w:rsid w:val="000B48C2"/>
    <w:rsid w:val="000C283D"/>
    <w:rsid w:val="000C4DB6"/>
    <w:rsid w:val="000C6D71"/>
    <w:rsid w:val="000D52A8"/>
    <w:rsid w:val="000D713A"/>
    <w:rsid w:val="000D75F5"/>
    <w:rsid w:val="000E6259"/>
    <w:rsid w:val="000E6AA0"/>
    <w:rsid w:val="00100E4B"/>
    <w:rsid w:val="00121BF0"/>
    <w:rsid w:val="001272DF"/>
    <w:rsid w:val="00154721"/>
    <w:rsid w:val="00156E99"/>
    <w:rsid w:val="00173AE7"/>
    <w:rsid w:val="00180770"/>
    <w:rsid w:val="00183992"/>
    <w:rsid w:val="001B1E36"/>
    <w:rsid w:val="001C42D7"/>
    <w:rsid w:val="001C6D07"/>
    <w:rsid w:val="00206D96"/>
    <w:rsid w:val="00213CF1"/>
    <w:rsid w:val="00214A04"/>
    <w:rsid w:val="00243226"/>
    <w:rsid w:val="0024753A"/>
    <w:rsid w:val="00270A84"/>
    <w:rsid w:val="00273C9C"/>
    <w:rsid w:val="00282A1A"/>
    <w:rsid w:val="00284E2C"/>
    <w:rsid w:val="002917E2"/>
    <w:rsid w:val="002949C3"/>
    <w:rsid w:val="00297BC9"/>
    <w:rsid w:val="002B5180"/>
    <w:rsid w:val="002D7B3F"/>
    <w:rsid w:val="002F0353"/>
    <w:rsid w:val="002F3144"/>
    <w:rsid w:val="002F6283"/>
    <w:rsid w:val="00306747"/>
    <w:rsid w:val="00313E24"/>
    <w:rsid w:val="00322862"/>
    <w:rsid w:val="0033157D"/>
    <w:rsid w:val="003370DE"/>
    <w:rsid w:val="00347B0F"/>
    <w:rsid w:val="00352B97"/>
    <w:rsid w:val="00360221"/>
    <w:rsid w:val="0036416F"/>
    <w:rsid w:val="0036797D"/>
    <w:rsid w:val="003743A0"/>
    <w:rsid w:val="00380199"/>
    <w:rsid w:val="0038234E"/>
    <w:rsid w:val="003A6BFC"/>
    <w:rsid w:val="003C267A"/>
    <w:rsid w:val="003D4937"/>
    <w:rsid w:val="003E0589"/>
    <w:rsid w:val="003E05D4"/>
    <w:rsid w:val="003E5336"/>
    <w:rsid w:val="003F52E1"/>
    <w:rsid w:val="004058FC"/>
    <w:rsid w:val="004064A8"/>
    <w:rsid w:val="00410440"/>
    <w:rsid w:val="004209DB"/>
    <w:rsid w:val="004226BF"/>
    <w:rsid w:val="004405BB"/>
    <w:rsid w:val="004502AA"/>
    <w:rsid w:val="00451DCE"/>
    <w:rsid w:val="00455D25"/>
    <w:rsid w:val="00460D7B"/>
    <w:rsid w:val="00466E7F"/>
    <w:rsid w:val="00472BFA"/>
    <w:rsid w:val="004819E1"/>
    <w:rsid w:val="00486CA0"/>
    <w:rsid w:val="00494076"/>
    <w:rsid w:val="004A1D40"/>
    <w:rsid w:val="004A5337"/>
    <w:rsid w:val="004B0258"/>
    <w:rsid w:val="004B43AA"/>
    <w:rsid w:val="004C4DFA"/>
    <w:rsid w:val="004C7F8A"/>
    <w:rsid w:val="004D43BD"/>
    <w:rsid w:val="004E084D"/>
    <w:rsid w:val="004E4951"/>
    <w:rsid w:val="00511317"/>
    <w:rsid w:val="00513EBC"/>
    <w:rsid w:val="00530DE3"/>
    <w:rsid w:val="00537D49"/>
    <w:rsid w:val="00546B02"/>
    <w:rsid w:val="00563020"/>
    <w:rsid w:val="005760CD"/>
    <w:rsid w:val="00586FCA"/>
    <w:rsid w:val="00590163"/>
    <w:rsid w:val="0059120F"/>
    <w:rsid w:val="00596E45"/>
    <w:rsid w:val="005A2CC7"/>
    <w:rsid w:val="005A5F82"/>
    <w:rsid w:val="005B45B7"/>
    <w:rsid w:val="005C1D56"/>
    <w:rsid w:val="005C6B8A"/>
    <w:rsid w:val="005F387A"/>
    <w:rsid w:val="00610932"/>
    <w:rsid w:val="00616340"/>
    <w:rsid w:val="006344B2"/>
    <w:rsid w:val="006414A7"/>
    <w:rsid w:val="00644D5F"/>
    <w:rsid w:val="006571E9"/>
    <w:rsid w:val="006603E5"/>
    <w:rsid w:val="0066508C"/>
    <w:rsid w:val="00665E36"/>
    <w:rsid w:val="00667075"/>
    <w:rsid w:val="006816AE"/>
    <w:rsid w:val="0068725E"/>
    <w:rsid w:val="00691C0B"/>
    <w:rsid w:val="006A0F1F"/>
    <w:rsid w:val="006B05D4"/>
    <w:rsid w:val="006B21F9"/>
    <w:rsid w:val="006C1E53"/>
    <w:rsid w:val="006D00AB"/>
    <w:rsid w:val="006D27FA"/>
    <w:rsid w:val="006E2BF5"/>
    <w:rsid w:val="006E3482"/>
    <w:rsid w:val="006E76EA"/>
    <w:rsid w:val="006F147B"/>
    <w:rsid w:val="006F669F"/>
    <w:rsid w:val="00702A7D"/>
    <w:rsid w:val="00712725"/>
    <w:rsid w:val="007161AE"/>
    <w:rsid w:val="00717AD0"/>
    <w:rsid w:val="00717CDC"/>
    <w:rsid w:val="00721E7B"/>
    <w:rsid w:val="00736EDE"/>
    <w:rsid w:val="00743351"/>
    <w:rsid w:val="00750DE3"/>
    <w:rsid w:val="00751825"/>
    <w:rsid w:val="00755A6B"/>
    <w:rsid w:val="0077153D"/>
    <w:rsid w:val="00787039"/>
    <w:rsid w:val="0079141B"/>
    <w:rsid w:val="00795A32"/>
    <w:rsid w:val="00797616"/>
    <w:rsid w:val="007A27D8"/>
    <w:rsid w:val="007A60CE"/>
    <w:rsid w:val="007A6400"/>
    <w:rsid w:val="007A6D8B"/>
    <w:rsid w:val="007A7A41"/>
    <w:rsid w:val="007B1B78"/>
    <w:rsid w:val="007C4465"/>
    <w:rsid w:val="007D020F"/>
    <w:rsid w:val="007E6C8D"/>
    <w:rsid w:val="007F2B09"/>
    <w:rsid w:val="007F76C1"/>
    <w:rsid w:val="00806C48"/>
    <w:rsid w:val="0083039F"/>
    <w:rsid w:val="00841D60"/>
    <w:rsid w:val="00845152"/>
    <w:rsid w:val="00852B40"/>
    <w:rsid w:val="00853092"/>
    <w:rsid w:val="00860F60"/>
    <w:rsid w:val="00861C2F"/>
    <w:rsid w:val="0087201A"/>
    <w:rsid w:val="00881275"/>
    <w:rsid w:val="00884ADD"/>
    <w:rsid w:val="008864AD"/>
    <w:rsid w:val="00892E99"/>
    <w:rsid w:val="00895E4B"/>
    <w:rsid w:val="008A26BB"/>
    <w:rsid w:val="008B12A5"/>
    <w:rsid w:val="008B215D"/>
    <w:rsid w:val="008C6C0F"/>
    <w:rsid w:val="008E008D"/>
    <w:rsid w:val="00917C7C"/>
    <w:rsid w:val="00924468"/>
    <w:rsid w:val="00946939"/>
    <w:rsid w:val="009644F4"/>
    <w:rsid w:val="009728CF"/>
    <w:rsid w:val="00974483"/>
    <w:rsid w:val="00981176"/>
    <w:rsid w:val="009843ED"/>
    <w:rsid w:val="00991EE6"/>
    <w:rsid w:val="009A1B2F"/>
    <w:rsid w:val="009C0A58"/>
    <w:rsid w:val="009C3ADF"/>
    <w:rsid w:val="009D6007"/>
    <w:rsid w:val="009E72FF"/>
    <w:rsid w:val="009F659C"/>
    <w:rsid w:val="00A067E5"/>
    <w:rsid w:val="00A105C2"/>
    <w:rsid w:val="00A337CF"/>
    <w:rsid w:val="00A40A33"/>
    <w:rsid w:val="00A4362D"/>
    <w:rsid w:val="00A7305D"/>
    <w:rsid w:val="00A74E2A"/>
    <w:rsid w:val="00AA671E"/>
    <w:rsid w:val="00AA7505"/>
    <w:rsid w:val="00AD4B1E"/>
    <w:rsid w:val="00AE16CD"/>
    <w:rsid w:val="00AF2618"/>
    <w:rsid w:val="00B133B7"/>
    <w:rsid w:val="00B177F4"/>
    <w:rsid w:val="00B337F5"/>
    <w:rsid w:val="00B430C9"/>
    <w:rsid w:val="00B52689"/>
    <w:rsid w:val="00B676D9"/>
    <w:rsid w:val="00B73366"/>
    <w:rsid w:val="00B74DB1"/>
    <w:rsid w:val="00B93571"/>
    <w:rsid w:val="00B935BB"/>
    <w:rsid w:val="00B94DB3"/>
    <w:rsid w:val="00BA1892"/>
    <w:rsid w:val="00BA2857"/>
    <w:rsid w:val="00BC5454"/>
    <w:rsid w:val="00BC7921"/>
    <w:rsid w:val="00BD0357"/>
    <w:rsid w:val="00BD2D5C"/>
    <w:rsid w:val="00BD6830"/>
    <w:rsid w:val="00BD7E5C"/>
    <w:rsid w:val="00BE3FAE"/>
    <w:rsid w:val="00BE4D4F"/>
    <w:rsid w:val="00BF1825"/>
    <w:rsid w:val="00C01270"/>
    <w:rsid w:val="00C02B70"/>
    <w:rsid w:val="00C0765B"/>
    <w:rsid w:val="00C14131"/>
    <w:rsid w:val="00C30C98"/>
    <w:rsid w:val="00C36A76"/>
    <w:rsid w:val="00C422F7"/>
    <w:rsid w:val="00C50C63"/>
    <w:rsid w:val="00C515E4"/>
    <w:rsid w:val="00C52165"/>
    <w:rsid w:val="00C84E40"/>
    <w:rsid w:val="00C96EE4"/>
    <w:rsid w:val="00CA2834"/>
    <w:rsid w:val="00CA35A3"/>
    <w:rsid w:val="00CB1002"/>
    <w:rsid w:val="00CB4124"/>
    <w:rsid w:val="00CC6836"/>
    <w:rsid w:val="00D06DE2"/>
    <w:rsid w:val="00D17A59"/>
    <w:rsid w:val="00D20BD9"/>
    <w:rsid w:val="00D23165"/>
    <w:rsid w:val="00D41189"/>
    <w:rsid w:val="00D43DE1"/>
    <w:rsid w:val="00D5002B"/>
    <w:rsid w:val="00D67DFF"/>
    <w:rsid w:val="00D82128"/>
    <w:rsid w:val="00DA0C49"/>
    <w:rsid w:val="00DA75FA"/>
    <w:rsid w:val="00DB1DFD"/>
    <w:rsid w:val="00DD0571"/>
    <w:rsid w:val="00DE3BFC"/>
    <w:rsid w:val="00DE49BD"/>
    <w:rsid w:val="00DF36B2"/>
    <w:rsid w:val="00E0313C"/>
    <w:rsid w:val="00E06757"/>
    <w:rsid w:val="00E179D5"/>
    <w:rsid w:val="00E25F97"/>
    <w:rsid w:val="00E30054"/>
    <w:rsid w:val="00E36C8C"/>
    <w:rsid w:val="00E42450"/>
    <w:rsid w:val="00E4662E"/>
    <w:rsid w:val="00E51DA3"/>
    <w:rsid w:val="00E62D79"/>
    <w:rsid w:val="00EA60F6"/>
    <w:rsid w:val="00EF4F5A"/>
    <w:rsid w:val="00EF7753"/>
    <w:rsid w:val="00F0691C"/>
    <w:rsid w:val="00F165FA"/>
    <w:rsid w:val="00F615BB"/>
    <w:rsid w:val="00F71A23"/>
    <w:rsid w:val="00F7783B"/>
    <w:rsid w:val="00F81879"/>
    <w:rsid w:val="00F85E90"/>
    <w:rsid w:val="00F95003"/>
    <w:rsid w:val="00FA454C"/>
    <w:rsid w:val="00FB760E"/>
    <w:rsid w:val="00FC3BD2"/>
    <w:rsid w:val="00FD0312"/>
    <w:rsid w:val="00FD52A8"/>
    <w:rsid w:val="00FD6559"/>
    <w:rsid w:val="00FE0856"/>
    <w:rsid w:val="00FE17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D2603-19E3-4807-8885-815A9900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74"/>
    <w:pPr>
      <w:widowControl w:val="0"/>
      <w:spacing w:after="0" w:line="480" w:lineRule="auto"/>
      <w:jc w:val="both"/>
    </w:pPr>
    <w:rPr>
      <w:rFonts w:eastAsia="Times New Roman" w:cs="Times New Roman"/>
      <w:szCs w:val="20"/>
    </w:rPr>
  </w:style>
  <w:style w:type="paragraph" w:styleId="Heading1">
    <w:name w:val="heading 1"/>
    <w:basedOn w:val="Normal"/>
    <w:next w:val="Normal"/>
    <w:link w:val="Heading1Char"/>
    <w:qFormat/>
    <w:rsid w:val="006F669F"/>
    <w:pPr>
      <w:numPr>
        <w:numId w:val="1"/>
      </w:numPr>
      <w:ind w:left="851" w:hanging="851"/>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B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74"/>
    <w:rPr>
      <w:rFonts w:ascii="Tahoma" w:eastAsia="Times New Roman" w:hAnsi="Tahoma" w:cs="Tahoma"/>
      <w:sz w:val="16"/>
      <w:szCs w:val="16"/>
    </w:rPr>
  </w:style>
  <w:style w:type="paragraph" w:styleId="Header">
    <w:name w:val="header"/>
    <w:basedOn w:val="Normal"/>
    <w:link w:val="HeaderChar"/>
    <w:uiPriority w:val="99"/>
    <w:unhideWhenUsed/>
    <w:rsid w:val="00B73366"/>
    <w:pPr>
      <w:tabs>
        <w:tab w:val="center" w:pos="4513"/>
        <w:tab w:val="right" w:pos="9026"/>
      </w:tabs>
      <w:spacing w:line="240" w:lineRule="auto"/>
    </w:pPr>
  </w:style>
  <w:style w:type="character" w:customStyle="1" w:styleId="HeaderChar">
    <w:name w:val="Header Char"/>
    <w:basedOn w:val="DefaultParagraphFont"/>
    <w:link w:val="Header"/>
    <w:uiPriority w:val="99"/>
    <w:rsid w:val="00B73366"/>
    <w:rPr>
      <w:rFonts w:eastAsia="Times New Roman" w:cs="Times New Roman"/>
      <w:szCs w:val="20"/>
    </w:rPr>
  </w:style>
  <w:style w:type="paragraph" w:styleId="Footer">
    <w:name w:val="footer"/>
    <w:basedOn w:val="Normal"/>
    <w:link w:val="FooterChar"/>
    <w:uiPriority w:val="99"/>
    <w:unhideWhenUsed/>
    <w:rsid w:val="00B73366"/>
    <w:pPr>
      <w:tabs>
        <w:tab w:val="center" w:pos="4513"/>
        <w:tab w:val="right" w:pos="9026"/>
      </w:tabs>
      <w:spacing w:line="240" w:lineRule="auto"/>
    </w:pPr>
  </w:style>
  <w:style w:type="character" w:customStyle="1" w:styleId="FooterChar">
    <w:name w:val="Footer Char"/>
    <w:basedOn w:val="DefaultParagraphFont"/>
    <w:link w:val="Footer"/>
    <w:uiPriority w:val="99"/>
    <w:rsid w:val="00B73366"/>
    <w:rPr>
      <w:rFonts w:eastAsia="Times New Roman" w:cs="Times New Roman"/>
      <w:szCs w:val="20"/>
    </w:rPr>
  </w:style>
  <w:style w:type="paragraph" w:styleId="FootnoteText">
    <w:name w:val="footnote text"/>
    <w:basedOn w:val="Normal"/>
    <w:link w:val="FootnoteTextChar"/>
    <w:uiPriority w:val="99"/>
    <w:unhideWhenUsed/>
    <w:rsid w:val="006D00AB"/>
    <w:pPr>
      <w:spacing w:line="240" w:lineRule="auto"/>
    </w:pPr>
    <w:rPr>
      <w:sz w:val="20"/>
    </w:rPr>
  </w:style>
  <w:style w:type="character" w:customStyle="1" w:styleId="FootnoteTextChar">
    <w:name w:val="Footnote Text Char"/>
    <w:basedOn w:val="DefaultParagraphFont"/>
    <w:link w:val="FootnoteText"/>
    <w:uiPriority w:val="99"/>
    <w:rsid w:val="006D00AB"/>
    <w:rPr>
      <w:rFonts w:eastAsia="Times New Roman" w:cs="Times New Roman"/>
      <w:sz w:val="20"/>
      <w:szCs w:val="20"/>
    </w:rPr>
  </w:style>
  <w:style w:type="character" w:styleId="FootnoteReference">
    <w:name w:val="footnote reference"/>
    <w:basedOn w:val="DefaultParagraphFont"/>
    <w:uiPriority w:val="99"/>
    <w:unhideWhenUsed/>
    <w:rsid w:val="006D00AB"/>
    <w:rPr>
      <w:vertAlign w:val="superscript"/>
    </w:rPr>
  </w:style>
  <w:style w:type="character" w:customStyle="1" w:styleId="Heading1Char">
    <w:name w:val="Heading 1 Char"/>
    <w:basedOn w:val="DefaultParagraphFont"/>
    <w:link w:val="Heading1"/>
    <w:rsid w:val="006F669F"/>
    <w:rPr>
      <w:rFonts w:eastAsia="Times New Roman" w:cs="Times New Roman"/>
      <w:kern w:val="28"/>
      <w:szCs w:val="20"/>
    </w:rPr>
  </w:style>
  <w:style w:type="paragraph" w:customStyle="1" w:styleId="IndentQuote">
    <w:name w:val="Indent Quote"/>
    <w:basedOn w:val="Normal"/>
    <w:link w:val="IndentQuoteChar"/>
    <w:qFormat/>
    <w:rsid w:val="006F669F"/>
    <w:pPr>
      <w:tabs>
        <w:tab w:val="left" w:pos="851"/>
      </w:tabs>
      <w:spacing w:line="360" w:lineRule="auto"/>
      <w:ind w:left="851"/>
    </w:pPr>
    <w:rPr>
      <w:rFonts w:cs="Arial"/>
      <w:sz w:val="22"/>
    </w:rPr>
  </w:style>
  <w:style w:type="character" w:customStyle="1" w:styleId="IndentQuoteChar">
    <w:name w:val="Indent Quote Char"/>
    <w:basedOn w:val="DefaultParagraphFont"/>
    <w:link w:val="IndentQuote"/>
    <w:rsid w:val="006F669F"/>
    <w:rPr>
      <w:rFonts w:eastAsia="Times New Roman" w:cs="Arial"/>
      <w:sz w:val="22"/>
      <w:szCs w:val="20"/>
    </w:rPr>
  </w:style>
  <w:style w:type="paragraph" w:customStyle="1" w:styleId="SubSub">
    <w:name w:val="Sub Sub"/>
    <w:basedOn w:val="IndentQuote"/>
    <w:qFormat/>
    <w:rsid w:val="006F669F"/>
    <w:pPr>
      <w:numPr>
        <w:ilvl w:val="1"/>
        <w:numId w:val="1"/>
      </w:numPr>
      <w:tabs>
        <w:tab w:val="clear" w:pos="3555"/>
        <w:tab w:val="num" w:pos="1843"/>
      </w:tabs>
      <w:ind w:left="1843" w:hanging="992"/>
    </w:pPr>
    <w:rPr>
      <w:sz w:val="24"/>
      <w:szCs w:val="24"/>
    </w:rPr>
  </w:style>
  <w:style w:type="paragraph" w:styleId="ListParagraph">
    <w:name w:val="List Paragraph"/>
    <w:basedOn w:val="Normal"/>
    <w:uiPriority w:val="34"/>
    <w:qFormat/>
    <w:rsid w:val="00032620"/>
    <w:pPr>
      <w:widowControl/>
      <w:spacing w:after="200" w:line="276" w:lineRule="auto"/>
      <w:ind w:left="720"/>
      <w:contextualSpacing/>
      <w:jc w:val="left"/>
    </w:pPr>
    <w:rPr>
      <w:rFonts w:eastAsia="Arial"/>
      <w:sz w:val="22"/>
      <w:szCs w:val="22"/>
    </w:rPr>
  </w:style>
  <w:style w:type="character" w:styleId="CommentReference">
    <w:name w:val="annotation reference"/>
    <w:basedOn w:val="DefaultParagraphFont"/>
    <w:uiPriority w:val="99"/>
    <w:semiHidden/>
    <w:unhideWhenUsed/>
    <w:rsid w:val="000C283D"/>
    <w:rPr>
      <w:sz w:val="16"/>
      <w:szCs w:val="16"/>
    </w:rPr>
  </w:style>
  <w:style w:type="paragraph" w:styleId="CommentText">
    <w:name w:val="annotation text"/>
    <w:basedOn w:val="Normal"/>
    <w:link w:val="CommentTextChar"/>
    <w:uiPriority w:val="99"/>
    <w:semiHidden/>
    <w:unhideWhenUsed/>
    <w:rsid w:val="000C283D"/>
    <w:pPr>
      <w:spacing w:line="240" w:lineRule="auto"/>
    </w:pPr>
    <w:rPr>
      <w:sz w:val="20"/>
    </w:rPr>
  </w:style>
  <w:style w:type="character" w:customStyle="1" w:styleId="CommentTextChar">
    <w:name w:val="Comment Text Char"/>
    <w:basedOn w:val="DefaultParagraphFont"/>
    <w:link w:val="CommentText"/>
    <w:uiPriority w:val="99"/>
    <w:semiHidden/>
    <w:rsid w:val="000C28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83D"/>
    <w:rPr>
      <w:b/>
      <w:bCs/>
    </w:rPr>
  </w:style>
  <w:style w:type="character" w:customStyle="1" w:styleId="CommentSubjectChar">
    <w:name w:val="Comment Subject Char"/>
    <w:basedOn w:val="CommentTextChar"/>
    <w:link w:val="CommentSubject"/>
    <w:uiPriority w:val="99"/>
    <w:semiHidden/>
    <w:rsid w:val="000C283D"/>
    <w:rPr>
      <w:rFonts w:eastAsia="Times New Roman" w:cs="Times New Roman"/>
      <w:b/>
      <w:bCs/>
      <w:sz w:val="20"/>
      <w:szCs w:val="20"/>
    </w:rPr>
  </w:style>
  <w:style w:type="character" w:styleId="Hyperlink">
    <w:name w:val="Hyperlink"/>
    <w:basedOn w:val="DefaultParagraphFont"/>
    <w:uiPriority w:val="99"/>
    <w:unhideWhenUsed/>
    <w:rsid w:val="00F06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6A8B-B4FC-42C9-A50F-6BAB3285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Snijders</dc:creator>
  <cp:lastModifiedBy>Mokone</cp:lastModifiedBy>
  <cp:revision>3</cp:revision>
  <cp:lastPrinted>2023-03-02T07:19:00Z</cp:lastPrinted>
  <dcterms:created xsi:type="dcterms:W3CDTF">2023-03-03T08:02:00Z</dcterms:created>
  <dcterms:modified xsi:type="dcterms:W3CDTF">2023-03-03T08:04:00Z</dcterms:modified>
</cp:coreProperties>
</file>