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F6A9D4" w14:textId="77777777" w:rsidR="00787808" w:rsidRDefault="00787808" w:rsidP="00787808">
      <w:pPr>
        <w:spacing w:after="0" w:line="360" w:lineRule="auto"/>
        <w:jc w:val="center"/>
        <w:rPr>
          <w:rFonts w:ascii="Arial" w:eastAsia="Calibri" w:hAnsi="Arial" w:cs="Arial"/>
          <w:noProof/>
        </w:rPr>
      </w:pPr>
    </w:p>
    <w:p w14:paraId="7D358407" w14:textId="73051EF3" w:rsidR="00787808" w:rsidRPr="00787808" w:rsidRDefault="00787808" w:rsidP="00787808">
      <w:pPr>
        <w:tabs>
          <w:tab w:val="left" w:pos="7838"/>
        </w:tabs>
        <w:spacing w:after="0" w:line="360" w:lineRule="auto"/>
        <w:rPr>
          <w:rFonts w:ascii="Arial" w:eastAsia="Calibri" w:hAnsi="Arial" w:cs="Arial"/>
          <w:noProof/>
          <w:sz w:val="24"/>
        </w:rPr>
      </w:pPr>
      <w:r>
        <w:rPr>
          <w:rFonts w:ascii="Arial" w:eastAsia="Calibri" w:hAnsi="Arial" w:cs="Arial"/>
          <w:noProof/>
        </w:rPr>
        <w:tab/>
      </w:r>
      <w:r w:rsidRPr="00787808">
        <w:rPr>
          <w:rFonts w:ascii="Arial" w:eastAsia="Calibri" w:hAnsi="Arial" w:cs="Arial"/>
          <w:noProof/>
          <w:sz w:val="24"/>
        </w:rPr>
        <w:t>Reportable</w:t>
      </w:r>
    </w:p>
    <w:p w14:paraId="38582BB0" w14:textId="1057E4CF" w:rsidR="00787808" w:rsidRDefault="00787808" w:rsidP="007E04B9">
      <w:pPr>
        <w:spacing w:after="0" w:line="360" w:lineRule="auto"/>
        <w:jc w:val="center"/>
        <w:rPr>
          <w:rFonts w:ascii="Arial" w:eastAsia="Calibri" w:hAnsi="Arial" w:cs="Arial"/>
          <w:b/>
          <w:sz w:val="24"/>
          <w:szCs w:val="24"/>
          <w:lang w:val="en-ZA"/>
        </w:rPr>
      </w:pPr>
      <w:r>
        <w:rPr>
          <w:rFonts w:ascii="Arial" w:eastAsia="Calibri" w:hAnsi="Arial" w:cs="Arial"/>
          <w:noProof/>
        </w:rPr>
        <w:t xml:space="preserve">    </w:t>
      </w:r>
      <w:r w:rsidR="00F85821" w:rsidRPr="00994D55">
        <w:rPr>
          <w:rFonts w:ascii="Arial" w:eastAsia="Calibri" w:hAnsi="Arial" w:cs="Arial"/>
          <w:noProof/>
        </w:rPr>
        <w:drawing>
          <wp:inline distT="0" distB="0" distL="0" distR="0" wp14:anchorId="4A5DA070" wp14:editId="42B82623">
            <wp:extent cx="1134000" cy="1105200"/>
            <wp:effectExtent l="152400" t="152400" r="85725" b="152400"/>
            <wp:docPr id="1" name="Picture 1" descr="Description: Description: cid:image003.png@01D052A1.0F8D11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3.png@01D052A1.0F8D11A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34000" cy="1105200"/>
                    </a:xfrm>
                    <a:prstGeom prst="rect">
                      <a:avLst/>
                    </a:prstGeom>
                    <a:noFill/>
                    <a:ln>
                      <a:noFill/>
                    </a:ln>
                  </pic:spPr>
                </pic:pic>
              </a:graphicData>
            </a:graphic>
          </wp:inline>
        </w:drawing>
      </w:r>
    </w:p>
    <w:p w14:paraId="44FDF19E" w14:textId="14C3D893" w:rsidR="00F85821" w:rsidRPr="00994D55" w:rsidRDefault="00F85821" w:rsidP="007E04B9">
      <w:pPr>
        <w:spacing w:after="0" w:line="360" w:lineRule="auto"/>
        <w:jc w:val="center"/>
        <w:rPr>
          <w:rFonts w:ascii="Arial" w:eastAsia="Calibri" w:hAnsi="Arial" w:cs="Arial"/>
          <w:b/>
          <w:sz w:val="24"/>
          <w:szCs w:val="24"/>
          <w:lang w:val="en-ZA"/>
        </w:rPr>
      </w:pPr>
      <w:r w:rsidRPr="00994D55">
        <w:rPr>
          <w:rFonts w:ascii="Arial" w:eastAsia="Calibri" w:hAnsi="Arial" w:cs="Arial"/>
          <w:b/>
          <w:sz w:val="24"/>
          <w:szCs w:val="24"/>
          <w:lang w:val="en-ZA"/>
        </w:rPr>
        <w:t>IN THE HIGH COURT OF SOUTH AFRICA</w:t>
      </w:r>
    </w:p>
    <w:p w14:paraId="5D2B02DA" w14:textId="77777777" w:rsidR="00F85821" w:rsidRPr="00994D55" w:rsidRDefault="00F85821" w:rsidP="007E04B9">
      <w:pPr>
        <w:spacing w:after="0" w:line="360" w:lineRule="auto"/>
        <w:jc w:val="center"/>
        <w:rPr>
          <w:rFonts w:ascii="Arial" w:eastAsia="Calibri" w:hAnsi="Arial" w:cs="Arial"/>
          <w:b/>
          <w:sz w:val="24"/>
          <w:szCs w:val="24"/>
          <w:lang w:val="en-ZA"/>
        </w:rPr>
      </w:pPr>
      <w:r w:rsidRPr="00994D55">
        <w:rPr>
          <w:rFonts w:ascii="Arial" w:eastAsia="Calibri" w:hAnsi="Arial" w:cs="Arial"/>
          <w:b/>
          <w:sz w:val="24"/>
          <w:szCs w:val="24"/>
          <w:lang w:val="en-ZA"/>
        </w:rPr>
        <w:t>KWAZ</w:t>
      </w:r>
      <w:r w:rsidR="008D4DB2" w:rsidRPr="00994D55">
        <w:rPr>
          <w:rFonts w:ascii="Arial" w:eastAsia="Calibri" w:hAnsi="Arial" w:cs="Arial"/>
          <w:b/>
          <w:sz w:val="24"/>
          <w:szCs w:val="24"/>
          <w:lang w:val="en-ZA"/>
        </w:rPr>
        <w:t>ULU-NATAL DIVISION, PIETERMARITZBURG</w:t>
      </w:r>
    </w:p>
    <w:p w14:paraId="561957D6" w14:textId="77777777" w:rsidR="007E04B9" w:rsidRPr="00994D55" w:rsidRDefault="00F85821" w:rsidP="007E04B9">
      <w:pPr>
        <w:spacing w:after="0" w:line="360" w:lineRule="auto"/>
        <w:jc w:val="both"/>
        <w:rPr>
          <w:rFonts w:ascii="Arial" w:eastAsia="Calibri" w:hAnsi="Arial" w:cs="Arial"/>
          <w:b/>
          <w:sz w:val="24"/>
          <w:szCs w:val="24"/>
          <w:lang w:val="en-ZA"/>
        </w:rPr>
      </w:pPr>
      <w:r w:rsidRPr="00994D55">
        <w:rPr>
          <w:rFonts w:ascii="Arial" w:eastAsia="Calibri" w:hAnsi="Arial" w:cs="Arial"/>
          <w:b/>
          <w:sz w:val="24"/>
          <w:szCs w:val="24"/>
          <w:lang w:val="en-ZA"/>
        </w:rPr>
        <w:tab/>
      </w:r>
      <w:r w:rsidRPr="00994D55">
        <w:rPr>
          <w:rFonts w:ascii="Arial" w:eastAsia="Calibri" w:hAnsi="Arial" w:cs="Arial"/>
          <w:b/>
          <w:sz w:val="24"/>
          <w:szCs w:val="24"/>
          <w:lang w:val="en-ZA"/>
        </w:rPr>
        <w:tab/>
      </w:r>
      <w:r w:rsidRPr="00994D55">
        <w:rPr>
          <w:rFonts w:ascii="Arial" w:eastAsia="Calibri" w:hAnsi="Arial" w:cs="Arial"/>
          <w:b/>
          <w:sz w:val="24"/>
          <w:szCs w:val="24"/>
          <w:lang w:val="en-ZA"/>
        </w:rPr>
        <w:tab/>
      </w:r>
      <w:r w:rsidRPr="00994D55">
        <w:rPr>
          <w:rFonts w:ascii="Arial" w:eastAsia="Calibri" w:hAnsi="Arial" w:cs="Arial"/>
          <w:b/>
          <w:sz w:val="24"/>
          <w:szCs w:val="24"/>
          <w:lang w:val="en-ZA"/>
        </w:rPr>
        <w:tab/>
      </w:r>
      <w:r w:rsidRPr="00994D55">
        <w:rPr>
          <w:rFonts w:ascii="Arial" w:eastAsia="Calibri" w:hAnsi="Arial" w:cs="Arial"/>
          <w:b/>
          <w:sz w:val="24"/>
          <w:szCs w:val="24"/>
          <w:lang w:val="en-ZA"/>
        </w:rPr>
        <w:tab/>
      </w:r>
      <w:r w:rsidRPr="00994D55">
        <w:rPr>
          <w:rFonts w:ascii="Arial" w:eastAsia="Calibri" w:hAnsi="Arial" w:cs="Arial"/>
          <w:b/>
          <w:sz w:val="24"/>
          <w:szCs w:val="24"/>
          <w:lang w:val="en-ZA"/>
        </w:rPr>
        <w:tab/>
      </w:r>
      <w:r w:rsidRPr="00994D55">
        <w:rPr>
          <w:rFonts w:ascii="Arial" w:eastAsia="Calibri" w:hAnsi="Arial" w:cs="Arial"/>
          <w:b/>
          <w:sz w:val="24"/>
          <w:szCs w:val="24"/>
          <w:lang w:val="en-ZA"/>
        </w:rPr>
        <w:tab/>
      </w:r>
      <w:r w:rsidRPr="00994D55">
        <w:rPr>
          <w:rFonts w:ascii="Arial" w:eastAsia="Calibri" w:hAnsi="Arial" w:cs="Arial"/>
          <w:b/>
          <w:sz w:val="24"/>
          <w:szCs w:val="24"/>
          <w:lang w:val="en-ZA"/>
        </w:rPr>
        <w:tab/>
      </w:r>
      <w:r w:rsidRPr="00994D55">
        <w:rPr>
          <w:rFonts w:ascii="Arial" w:eastAsia="Calibri" w:hAnsi="Arial" w:cs="Arial"/>
          <w:b/>
          <w:sz w:val="24"/>
          <w:szCs w:val="24"/>
          <w:lang w:val="en-ZA"/>
        </w:rPr>
        <w:tab/>
      </w:r>
    </w:p>
    <w:p w14:paraId="254B8323" w14:textId="593D90F7" w:rsidR="00F85821" w:rsidRPr="00994D55" w:rsidRDefault="007E04B9" w:rsidP="007E04B9">
      <w:pPr>
        <w:spacing w:after="0" w:line="360" w:lineRule="auto"/>
        <w:jc w:val="both"/>
        <w:rPr>
          <w:rFonts w:ascii="Arial" w:eastAsia="Calibri" w:hAnsi="Arial" w:cs="Arial"/>
          <w:sz w:val="24"/>
          <w:szCs w:val="24"/>
          <w:lang w:val="en-ZA"/>
        </w:rPr>
      </w:pPr>
      <w:r w:rsidRPr="00994D55">
        <w:rPr>
          <w:rFonts w:ascii="Arial" w:eastAsia="Calibri" w:hAnsi="Arial" w:cs="Arial"/>
          <w:b/>
          <w:sz w:val="24"/>
          <w:szCs w:val="24"/>
          <w:lang w:val="en-ZA"/>
        </w:rPr>
        <w:tab/>
      </w:r>
      <w:r w:rsidRPr="00994D55">
        <w:rPr>
          <w:rFonts w:ascii="Arial" w:eastAsia="Calibri" w:hAnsi="Arial" w:cs="Arial"/>
          <w:b/>
          <w:sz w:val="24"/>
          <w:szCs w:val="24"/>
          <w:lang w:val="en-ZA"/>
        </w:rPr>
        <w:tab/>
      </w:r>
      <w:r w:rsidRPr="00994D55">
        <w:rPr>
          <w:rFonts w:ascii="Arial" w:eastAsia="Calibri" w:hAnsi="Arial" w:cs="Arial"/>
          <w:b/>
          <w:sz w:val="24"/>
          <w:szCs w:val="24"/>
          <w:lang w:val="en-ZA"/>
        </w:rPr>
        <w:tab/>
      </w:r>
      <w:r w:rsidRPr="00994D55">
        <w:rPr>
          <w:rFonts w:ascii="Arial" w:eastAsia="Calibri" w:hAnsi="Arial" w:cs="Arial"/>
          <w:b/>
          <w:sz w:val="24"/>
          <w:szCs w:val="24"/>
          <w:lang w:val="en-ZA"/>
        </w:rPr>
        <w:tab/>
      </w:r>
      <w:r w:rsidRPr="00994D55">
        <w:rPr>
          <w:rFonts w:ascii="Arial" w:eastAsia="Calibri" w:hAnsi="Arial" w:cs="Arial"/>
          <w:b/>
          <w:sz w:val="24"/>
          <w:szCs w:val="24"/>
          <w:lang w:val="en-ZA"/>
        </w:rPr>
        <w:tab/>
      </w:r>
      <w:r w:rsidRPr="00994D55">
        <w:rPr>
          <w:rFonts w:ascii="Arial" w:eastAsia="Calibri" w:hAnsi="Arial" w:cs="Arial"/>
          <w:b/>
          <w:sz w:val="24"/>
          <w:szCs w:val="24"/>
          <w:lang w:val="en-ZA"/>
        </w:rPr>
        <w:tab/>
      </w:r>
      <w:r w:rsidRPr="00994D55">
        <w:rPr>
          <w:rFonts w:ascii="Arial" w:eastAsia="Calibri" w:hAnsi="Arial" w:cs="Arial"/>
          <w:b/>
          <w:sz w:val="24"/>
          <w:szCs w:val="24"/>
          <w:lang w:val="en-ZA"/>
        </w:rPr>
        <w:tab/>
      </w:r>
      <w:r w:rsidRPr="00994D55">
        <w:rPr>
          <w:rFonts w:ascii="Arial" w:eastAsia="Calibri" w:hAnsi="Arial" w:cs="Arial"/>
          <w:b/>
          <w:sz w:val="24"/>
          <w:szCs w:val="24"/>
          <w:lang w:val="en-ZA"/>
        </w:rPr>
        <w:tab/>
      </w:r>
      <w:r w:rsidRPr="00994D55">
        <w:rPr>
          <w:rFonts w:ascii="Arial" w:eastAsia="Calibri" w:hAnsi="Arial" w:cs="Arial"/>
          <w:b/>
          <w:sz w:val="24"/>
          <w:szCs w:val="24"/>
          <w:lang w:val="en-ZA"/>
        </w:rPr>
        <w:tab/>
      </w:r>
      <w:r w:rsidR="00F85821" w:rsidRPr="00994D55">
        <w:rPr>
          <w:rFonts w:ascii="Arial" w:eastAsia="Calibri" w:hAnsi="Arial" w:cs="Arial"/>
          <w:sz w:val="24"/>
          <w:szCs w:val="24"/>
          <w:lang w:val="en-ZA"/>
        </w:rPr>
        <w:t>C</w:t>
      </w:r>
      <w:r w:rsidR="00E35A85" w:rsidRPr="00994D55">
        <w:rPr>
          <w:rFonts w:ascii="Arial" w:eastAsia="Calibri" w:hAnsi="Arial" w:cs="Arial"/>
          <w:sz w:val="24"/>
          <w:szCs w:val="24"/>
          <w:lang w:val="en-ZA"/>
        </w:rPr>
        <w:t>ase</w:t>
      </w:r>
      <w:r w:rsidR="00F85821" w:rsidRPr="00994D55">
        <w:rPr>
          <w:rFonts w:ascii="Arial" w:eastAsia="Calibri" w:hAnsi="Arial" w:cs="Arial"/>
          <w:sz w:val="24"/>
          <w:szCs w:val="24"/>
          <w:lang w:val="en-ZA"/>
        </w:rPr>
        <w:t xml:space="preserve"> </w:t>
      </w:r>
      <w:r w:rsidR="00E35A85" w:rsidRPr="00994D55">
        <w:rPr>
          <w:rFonts w:ascii="Arial" w:eastAsia="Calibri" w:hAnsi="Arial" w:cs="Arial"/>
          <w:sz w:val="24"/>
          <w:szCs w:val="24"/>
          <w:lang w:val="en-ZA"/>
        </w:rPr>
        <w:t>no</w:t>
      </w:r>
      <w:r w:rsidR="00F85821" w:rsidRPr="00994D55">
        <w:rPr>
          <w:rFonts w:ascii="Arial" w:eastAsia="Calibri" w:hAnsi="Arial" w:cs="Arial"/>
          <w:sz w:val="24"/>
          <w:szCs w:val="24"/>
          <w:lang w:val="en-ZA"/>
        </w:rPr>
        <w:t xml:space="preserve">: </w:t>
      </w:r>
      <w:r w:rsidR="009A7E52" w:rsidRPr="00994D55">
        <w:rPr>
          <w:rFonts w:ascii="Arial" w:eastAsia="Calibri" w:hAnsi="Arial" w:cs="Arial"/>
          <w:sz w:val="24"/>
          <w:szCs w:val="24"/>
          <w:lang w:val="en-ZA"/>
        </w:rPr>
        <w:t>5660/2020</w:t>
      </w:r>
    </w:p>
    <w:p w14:paraId="5CF299C0" w14:textId="77777777" w:rsidR="00F85821" w:rsidRPr="00994D55" w:rsidRDefault="00F85821" w:rsidP="007E04B9">
      <w:pPr>
        <w:spacing w:after="0" w:line="360" w:lineRule="auto"/>
        <w:jc w:val="both"/>
        <w:rPr>
          <w:rFonts w:ascii="Arial" w:eastAsia="Calibri" w:hAnsi="Arial" w:cs="Arial"/>
          <w:sz w:val="24"/>
          <w:szCs w:val="24"/>
          <w:lang w:val="en-ZA"/>
        </w:rPr>
      </w:pPr>
      <w:r w:rsidRPr="00994D55">
        <w:rPr>
          <w:rFonts w:ascii="Arial" w:eastAsia="Calibri" w:hAnsi="Arial" w:cs="Arial"/>
          <w:sz w:val="24"/>
          <w:szCs w:val="24"/>
          <w:lang w:val="en-ZA"/>
        </w:rPr>
        <w:t>In the matter between:</w:t>
      </w:r>
    </w:p>
    <w:p w14:paraId="620131E4" w14:textId="77777777" w:rsidR="009A7E52" w:rsidRPr="00994D55" w:rsidRDefault="009A7E52" w:rsidP="007E04B9">
      <w:pPr>
        <w:spacing w:after="0" w:line="360" w:lineRule="auto"/>
        <w:jc w:val="both"/>
        <w:rPr>
          <w:rFonts w:ascii="Arial" w:eastAsia="Calibri" w:hAnsi="Arial" w:cs="Arial"/>
          <w:b/>
          <w:sz w:val="24"/>
          <w:szCs w:val="24"/>
          <w:lang w:val="en-ZA"/>
        </w:rPr>
      </w:pPr>
      <w:r w:rsidRPr="00994D55">
        <w:rPr>
          <w:rFonts w:ascii="Arial" w:eastAsia="Calibri" w:hAnsi="Arial" w:cs="Arial"/>
          <w:b/>
          <w:sz w:val="24"/>
          <w:szCs w:val="24"/>
          <w:lang w:val="en-ZA"/>
        </w:rPr>
        <w:t>ZULULAND DISTRICT MUNICIPALITY</w:t>
      </w:r>
      <w:r w:rsidRPr="00994D55">
        <w:rPr>
          <w:rFonts w:ascii="Arial" w:eastAsia="Calibri" w:hAnsi="Arial" w:cs="Arial"/>
          <w:b/>
          <w:sz w:val="24"/>
          <w:szCs w:val="24"/>
          <w:lang w:val="en-ZA"/>
        </w:rPr>
        <w:tab/>
      </w:r>
      <w:r w:rsidRPr="00994D55">
        <w:rPr>
          <w:rFonts w:ascii="Arial" w:eastAsia="Calibri" w:hAnsi="Arial" w:cs="Arial"/>
          <w:b/>
          <w:sz w:val="24"/>
          <w:szCs w:val="24"/>
          <w:lang w:val="en-ZA"/>
        </w:rPr>
        <w:tab/>
      </w:r>
      <w:r w:rsidRPr="00994D55">
        <w:rPr>
          <w:rFonts w:ascii="Arial" w:eastAsia="Calibri" w:hAnsi="Arial" w:cs="Arial"/>
          <w:b/>
          <w:sz w:val="24"/>
          <w:szCs w:val="24"/>
          <w:lang w:val="en-ZA"/>
        </w:rPr>
        <w:tab/>
      </w:r>
      <w:r w:rsidRPr="00994D55">
        <w:rPr>
          <w:rFonts w:ascii="Arial" w:eastAsia="Calibri" w:hAnsi="Arial" w:cs="Arial"/>
          <w:b/>
          <w:sz w:val="24"/>
          <w:szCs w:val="24"/>
          <w:lang w:val="en-ZA"/>
        </w:rPr>
        <w:tab/>
        <w:t xml:space="preserve">           FIRST APPLICANT</w:t>
      </w:r>
    </w:p>
    <w:p w14:paraId="62E3DB2E" w14:textId="77777777" w:rsidR="009A7E52" w:rsidRPr="00994D55" w:rsidRDefault="009A7E52" w:rsidP="007E04B9">
      <w:pPr>
        <w:spacing w:after="0" w:line="360" w:lineRule="auto"/>
        <w:jc w:val="both"/>
        <w:rPr>
          <w:rFonts w:ascii="Arial" w:eastAsia="Calibri" w:hAnsi="Arial" w:cs="Arial"/>
          <w:b/>
          <w:sz w:val="24"/>
          <w:szCs w:val="24"/>
          <w:lang w:val="en-ZA"/>
        </w:rPr>
      </w:pPr>
      <w:r w:rsidRPr="00994D55">
        <w:rPr>
          <w:rFonts w:ascii="Arial" w:eastAsia="Calibri" w:hAnsi="Arial" w:cs="Arial"/>
          <w:b/>
          <w:sz w:val="24"/>
          <w:szCs w:val="24"/>
          <w:lang w:val="en-ZA"/>
        </w:rPr>
        <w:t xml:space="preserve">THE SPEAKER, ZULULAND DISTRICT MUNICIPALITY </w:t>
      </w:r>
      <w:r w:rsidRPr="00994D55">
        <w:rPr>
          <w:rFonts w:ascii="Arial" w:eastAsia="Calibri" w:hAnsi="Arial" w:cs="Arial"/>
          <w:b/>
          <w:sz w:val="24"/>
          <w:szCs w:val="24"/>
          <w:lang w:val="en-ZA"/>
        </w:rPr>
        <w:tab/>
        <w:t xml:space="preserve">      SECOND APPLICANT </w:t>
      </w:r>
    </w:p>
    <w:p w14:paraId="5A5C6E5E" w14:textId="77777777" w:rsidR="00F064FD" w:rsidRPr="00994D55" w:rsidRDefault="009A7E52" w:rsidP="007E04B9">
      <w:pPr>
        <w:spacing w:after="0" w:line="360" w:lineRule="auto"/>
        <w:jc w:val="both"/>
        <w:rPr>
          <w:rFonts w:ascii="Arial" w:eastAsia="Calibri" w:hAnsi="Arial" w:cs="Arial"/>
          <w:b/>
          <w:sz w:val="24"/>
          <w:szCs w:val="24"/>
          <w:lang w:val="en-ZA"/>
        </w:rPr>
      </w:pPr>
      <w:r w:rsidRPr="00994D55">
        <w:rPr>
          <w:rFonts w:ascii="Arial" w:eastAsia="Calibri" w:hAnsi="Arial" w:cs="Arial"/>
          <w:b/>
          <w:sz w:val="24"/>
          <w:szCs w:val="24"/>
          <w:lang w:val="en-ZA"/>
        </w:rPr>
        <w:t>THE MAYOR, ZULULAND DISTRICT MUNICIPALITY</w:t>
      </w:r>
      <w:r w:rsidRPr="00994D55">
        <w:rPr>
          <w:rFonts w:ascii="Arial" w:eastAsia="Calibri" w:hAnsi="Arial" w:cs="Arial"/>
          <w:b/>
          <w:sz w:val="24"/>
          <w:szCs w:val="24"/>
          <w:lang w:val="en-ZA"/>
        </w:rPr>
        <w:tab/>
        <w:t xml:space="preserve">          THIRD APPLICANT </w:t>
      </w:r>
    </w:p>
    <w:p w14:paraId="2702F340" w14:textId="77777777" w:rsidR="009A7E52" w:rsidRPr="00994D55" w:rsidRDefault="009A7E52" w:rsidP="007E04B9">
      <w:pPr>
        <w:spacing w:after="0" w:line="360" w:lineRule="auto"/>
        <w:rPr>
          <w:rFonts w:ascii="Arial" w:eastAsia="Calibri" w:hAnsi="Arial" w:cs="Arial"/>
          <w:b/>
          <w:sz w:val="24"/>
          <w:szCs w:val="24"/>
          <w:lang w:val="en-ZA"/>
        </w:rPr>
      </w:pPr>
      <w:r w:rsidRPr="00994D55">
        <w:rPr>
          <w:rFonts w:ascii="Arial" w:eastAsia="Calibri" w:hAnsi="Arial" w:cs="Arial"/>
          <w:b/>
          <w:sz w:val="24"/>
          <w:szCs w:val="24"/>
          <w:lang w:val="en-ZA"/>
        </w:rPr>
        <w:t xml:space="preserve">THE DEPUTY MAYOR, </w:t>
      </w:r>
    </w:p>
    <w:p w14:paraId="373AB5B1" w14:textId="77777777" w:rsidR="009A7E52" w:rsidRPr="00994D55" w:rsidRDefault="009A7E52" w:rsidP="007E04B9">
      <w:pPr>
        <w:spacing w:after="0" w:line="360" w:lineRule="auto"/>
        <w:rPr>
          <w:rFonts w:ascii="Arial" w:eastAsia="Calibri" w:hAnsi="Arial" w:cs="Arial"/>
          <w:b/>
          <w:sz w:val="24"/>
          <w:szCs w:val="24"/>
          <w:lang w:val="en-ZA"/>
        </w:rPr>
      </w:pPr>
      <w:r w:rsidRPr="00994D55">
        <w:rPr>
          <w:rFonts w:ascii="Arial" w:eastAsia="Calibri" w:hAnsi="Arial" w:cs="Arial"/>
          <w:b/>
          <w:sz w:val="24"/>
          <w:szCs w:val="24"/>
          <w:lang w:val="en-ZA"/>
        </w:rPr>
        <w:t>ZULULAND DISTRICT MUNICIPALITY</w:t>
      </w:r>
      <w:r w:rsidRPr="00994D55">
        <w:rPr>
          <w:rFonts w:ascii="Arial" w:eastAsia="Calibri" w:hAnsi="Arial" w:cs="Arial"/>
          <w:b/>
          <w:sz w:val="24"/>
          <w:szCs w:val="24"/>
          <w:lang w:val="en-ZA"/>
        </w:rPr>
        <w:tab/>
      </w:r>
      <w:r w:rsidRPr="00994D55">
        <w:rPr>
          <w:rFonts w:ascii="Arial" w:eastAsia="Calibri" w:hAnsi="Arial" w:cs="Arial"/>
          <w:b/>
          <w:sz w:val="24"/>
          <w:szCs w:val="24"/>
          <w:lang w:val="en-ZA"/>
        </w:rPr>
        <w:tab/>
      </w:r>
      <w:r w:rsidRPr="00994D55">
        <w:rPr>
          <w:rFonts w:ascii="Arial" w:eastAsia="Calibri" w:hAnsi="Arial" w:cs="Arial"/>
          <w:b/>
          <w:sz w:val="24"/>
          <w:szCs w:val="24"/>
          <w:lang w:val="en-ZA"/>
        </w:rPr>
        <w:tab/>
      </w:r>
      <w:r w:rsidRPr="00994D55">
        <w:rPr>
          <w:rFonts w:ascii="Arial" w:eastAsia="Calibri" w:hAnsi="Arial" w:cs="Arial"/>
          <w:b/>
          <w:sz w:val="24"/>
          <w:szCs w:val="24"/>
          <w:lang w:val="en-ZA"/>
        </w:rPr>
        <w:tab/>
        <w:t xml:space="preserve">      FOURTH APPLICANT</w:t>
      </w:r>
    </w:p>
    <w:p w14:paraId="6259202A" w14:textId="77777777" w:rsidR="007E04B9" w:rsidRPr="00994D55" w:rsidRDefault="007E04B9" w:rsidP="007E04B9">
      <w:pPr>
        <w:spacing w:after="0" w:line="360" w:lineRule="auto"/>
        <w:rPr>
          <w:rFonts w:ascii="Arial" w:eastAsia="Calibri" w:hAnsi="Arial" w:cs="Arial"/>
          <w:sz w:val="24"/>
          <w:szCs w:val="24"/>
          <w:lang w:val="en-ZA"/>
        </w:rPr>
      </w:pPr>
    </w:p>
    <w:p w14:paraId="1033D56F" w14:textId="77777777" w:rsidR="009A7E52" w:rsidRPr="00994D55" w:rsidRDefault="009A7E52" w:rsidP="007E04B9">
      <w:pPr>
        <w:spacing w:after="0" w:line="360" w:lineRule="auto"/>
        <w:rPr>
          <w:rFonts w:ascii="Arial" w:eastAsia="Calibri" w:hAnsi="Arial" w:cs="Arial"/>
          <w:sz w:val="24"/>
          <w:szCs w:val="24"/>
          <w:lang w:val="en-ZA"/>
        </w:rPr>
      </w:pPr>
      <w:proofErr w:type="gramStart"/>
      <w:r w:rsidRPr="00994D55">
        <w:rPr>
          <w:rFonts w:ascii="Arial" w:eastAsia="Calibri" w:hAnsi="Arial" w:cs="Arial"/>
          <w:sz w:val="24"/>
          <w:szCs w:val="24"/>
          <w:lang w:val="en-ZA"/>
        </w:rPr>
        <w:t>and</w:t>
      </w:r>
      <w:proofErr w:type="gramEnd"/>
    </w:p>
    <w:p w14:paraId="2F8FC590" w14:textId="77777777" w:rsidR="007E04B9" w:rsidRPr="00994D55" w:rsidRDefault="007E04B9" w:rsidP="007E04B9">
      <w:pPr>
        <w:spacing w:after="0" w:line="360" w:lineRule="auto"/>
        <w:rPr>
          <w:rFonts w:ascii="Arial" w:eastAsia="Calibri" w:hAnsi="Arial" w:cs="Arial"/>
          <w:b/>
          <w:sz w:val="24"/>
          <w:szCs w:val="24"/>
          <w:lang w:val="en-ZA"/>
        </w:rPr>
      </w:pPr>
    </w:p>
    <w:p w14:paraId="399AEEAB" w14:textId="77777777" w:rsidR="007E04B9" w:rsidRPr="00994D55" w:rsidRDefault="009A7E52" w:rsidP="007E04B9">
      <w:pPr>
        <w:spacing w:after="0" w:line="360" w:lineRule="auto"/>
        <w:rPr>
          <w:rFonts w:ascii="Arial" w:eastAsia="Calibri" w:hAnsi="Arial" w:cs="Arial"/>
          <w:b/>
          <w:sz w:val="24"/>
          <w:szCs w:val="24"/>
          <w:lang w:val="en-ZA"/>
        </w:rPr>
      </w:pPr>
      <w:r w:rsidRPr="00994D55">
        <w:rPr>
          <w:rFonts w:ascii="Arial" w:eastAsia="Calibri" w:hAnsi="Arial" w:cs="Arial"/>
          <w:b/>
          <w:sz w:val="24"/>
          <w:szCs w:val="24"/>
          <w:lang w:val="en-ZA"/>
        </w:rPr>
        <w:t xml:space="preserve">THE MEC: COOPERATIVE GOVERNANCE AND </w:t>
      </w:r>
    </w:p>
    <w:p w14:paraId="07C2E94C" w14:textId="77777777" w:rsidR="009A7E52" w:rsidRPr="00994D55" w:rsidRDefault="009A7E52" w:rsidP="007E04B9">
      <w:pPr>
        <w:spacing w:after="0" w:line="360" w:lineRule="auto"/>
        <w:rPr>
          <w:rFonts w:ascii="Arial" w:eastAsia="Calibri" w:hAnsi="Arial" w:cs="Arial"/>
          <w:b/>
          <w:sz w:val="24"/>
          <w:szCs w:val="24"/>
          <w:lang w:val="en-ZA"/>
        </w:rPr>
      </w:pPr>
      <w:r w:rsidRPr="00994D55">
        <w:rPr>
          <w:rFonts w:ascii="Arial" w:eastAsia="Calibri" w:hAnsi="Arial" w:cs="Arial"/>
          <w:b/>
          <w:sz w:val="24"/>
          <w:szCs w:val="24"/>
          <w:lang w:val="en-ZA"/>
        </w:rPr>
        <w:t xml:space="preserve">TRADITIONAL </w:t>
      </w:r>
      <w:r w:rsidR="007E04B9" w:rsidRPr="00994D55">
        <w:rPr>
          <w:rFonts w:ascii="Arial" w:eastAsia="Calibri" w:hAnsi="Arial" w:cs="Arial"/>
          <w:b/>
          <w:sz w:val="24"/>
          <w:szCs w:val="24"/>
          <w:lang w:val="en-ZA"/>
        </w:rPr>
        <w:t xml:space="preserve">AFFAIRS, KWAZULU-NATAL </w:t>
      </w:r>
      <w:r w:rsidR="007E04B9" w:rsidRPr="00994D55">
        <w:rPr>
          <w:rFonts w:ascii="Arial" w:eastAsia="Calibri" w:hAnsi="Arial" w:cs="Arial"/>
          <w:b/>
          <w:sz w:val="24"/>
          <w:szCs w:val="24"/>
          <w:lang w:val="en-ZA"/>
        </w:rPr>
        <w:tab/>
      </w:r>
      <w:r w:rsidR="007E04B9" w:rsidRPr="00994D55">
        <w:rPr>
          <w:rFonts w:ascii="Arial" w:eastAsia="Calibri" w:hAnsi="Arial" w:cs="Arial"/>
          <w:b/>
          <w:sz w:val="24"/>
          <w:szCs w:val="24"/>
          <w:lang w:val="en-ZA"/>
        </w:rPr>
        <w:tab/>
      </w:r>
      <w:r w:rsidR="007E04B9" w:rsidRPr="00994D55">
        <w:rPr>
          <w:rFonts w:ascii="Arial" w:eastAsia="Calibri" w:hAnsi="Arial" w:cs="Arial"/>
          <w:b/>
          <w:sz w:val="24"/>
          <w:szCs w:val="24"/>
          <w:lang w:val="en-ZA"/>
        </w:rPr>
        <w:tab/>
        <w:t xml:space="preserve">     FIRST RESPONDENT</w:t>
      </w:r>
    </w:p>
    <w:p w14:paraId="5B7CAD8C" w14:textId="77777777" w:rsidR="009A7E52" w:rsidRPr="00994D55" w:rsidRDefault="009A7E52" w:rsidP="007E04B9">
      <w:pPr>
        <w:spacing w:after="0" w:line="360" w:lineRule="auto"/>
        <w:rPr>
          <w:rFonts w:ascii="Arial" w:eastAsia="Calibri" w:hAnsi="Arial" w:cs="Arial"/>
          <w:b/>
          <w:sz w:val="24"/>
          <w:szCs w:val="24"/>
          <w:lang w:val="en-ZA"/>
        </w:rPr>
      </w:pPr>
      <w:r w:rsidRPr="00994D55">
        <w:rPr>
          <w:rFonts w:ascii="Arial" w:eastAsia="Calibri" w:hAnsi="Arial" w:cs="Arial"/>
          <w:b/>
          <w:sz w:val="24"/>
          <w:szCs w:val="24"/>
          <w:lang w:val="en-ZA"/>
        </w:rPr>
        <w:t>MDLEDLE INC</w:t>
      </w:r>
      <w:r w:rsidR="007E04B9" w:rsidRPr="00994D55">
        <w:rPr>
          <w:rFonts w:ascii="Arial" w:eastAsia="Calibri" w:hAnsi="Arial" w:cs="Arial"/>
          <w:b/>
          <w:sz w:val="24"/>
          <w:szCs w:val="24"/>
          <w:lang w:val="en-ZA"/>
        </w:rPr>
        <w:tab/>
      </w:r>
      <w:r w:rsidR="007E04B9" w:rsidRPr="00994D55">
        <w:rPr>
          <w:rFonts w:ascii="Arial" w:eastAsia="Calibri" w:hAnsi="Arial" w:cs="Arial"/>
          <w:b/>
          <w:sz w:val="24"/>
          <w:szCs w:val="24"/>
          <w:lang w:val="en-ZA"/>
        </w:rPr>
        <w:tab/>
      </w:r>
      <w:r w:rsidR="007E04B9" w:rsidRPr="00994D55">
        <w:rPr>
          <w:rFonts w:ascii="Arial" w:eastAsia="Calibri" w:hAnsi="Arial" w:cs="Arial"/>
          <w:b/>
          <w:sz w:val="24"/>
          <w:szCs w:val="24"/>
          <w:lang w:val="en-ZA"/>
        </w:rPr>
        <w:tab/>
      </w:r>
      <w:r w:rsidR="007E04B9" w:rsidRPr="00994D55">
        <w:rPr>
          <w:rFonts w:ascii="Arial" w:eastAsia="Calibri" w:hAnsi="Arial" w:cs="Arial"/>
          <w:b/>
          <w:sz w:val="24"/>
          <w:szCs w:val="24"/>
          <w:lang w:val="en-ZA"/>
        </w:rPr>
        <w:tab/>
      </w:r>
      <w:r w:rsidR="007E04B9" w:rsidRPr="00994D55">
        <w:rPr>
          <w:rFonts w:ascii="Arial" w:eastAsia="Calibri" w:hAnsi="Arial" w:cs="Arial"/>
          <w:b/>
          <w:sz w:val="24"/>
          <w:szCs w:val="24"/>
          <w:lang w:val="en-ZA"/>
        </w:rPr>
        <w:tab/>
      </w:r>
      <w:r w:rsidR="007E04B9" w:rsidRPr="00994D55">
        <w:rPr>
          <w:rFonts w:ascii="Arial" w:eastAsia="Calibri" w:hAnsi="Arial" w:cs="Arial"/>
          <w:b/>
          <w:sz w:val="24"/>
          <w:szCs w:val="24"/>
          <w:lang w:val="en-ZA"/>
        </w:rPr>
        <w:tab/>
      </w:r>
      <w:r w:rsidR="007E04B9" w:rsidRPr="00994D55">
        <w:rPr>
          <w:rFonts w:ascii="Arial" w:eastAsia="Calibri" w:hAnsi="Arial" w:cs="Arial"/>
          <w:b/>
          <w:sz w:val="24"/>
          <w:szCs w:val="24"/>
          <w:lang w:val="en-ZA"/>
        </w:rPr>
        <w:tab/>
      </w:r>
      <w:r w:rsidRPr="00994D55">
        <w:rPr>
          <w:rFonts w:ascii="Arial" w:eastAsia="Calibri" w:hAnsi="Arial" w:cs="Arial"/>
          <w:b/>
          <w:sz w:val="24"/>
          <w:szCs w:val="24"/>
          <w:lang w:val="en-ZA"/>
        </w:rPr>
        <w:t>SECOND RESPONDENT</w:t>
      </w:r>
    </w:p>
    <w:p w14:paraId="72AE395B" w14:textId="5BBC5310" w:rsidR="007E04B9" w:rsidRPr="00994D55" w:rsidRDefault="00F85821" w:rsidP="007E04B9">
      <w:pPr>
        <w:spacing w:after="0" w:line="360" w:lineRule="auto"/>
        <w:jc w:val="both"/>
        <w:rPr>
          <w:rFonts w:ascii="Arial" w:eastAsia="Calibri" w:hAnsi="Arial" w:cs="Arial"/>
          <w:b/>
          <w:sz w:val="24"/>
          <w:szCs w:val="24"/>
          <w:lang w:val="en-ZA"/>
        </w:rPr>
      </w:pPr>
      <w:r w:rsidRPr="00994D55">
        <w:rPr>
          <w:rFonts w:ascii="Arial" w:eastAsia="Calibri" w:hAnsi="Arial" w:cs="Arial"/>
          <w:b/>
          <w:sz w:val="24"/>
          <w:szCs w:val="24"/>
          <w:lang w:val="en-ZA"/>
        </w:rPr>
        <w:t>_____________________________________________________________________</w:t>
      </w:r>
    </w:p>
    <w:p w14:paraId="20DB50B2" w14:textId="77777777" w:rsidR="00F85821" w:rsidRPr="00994D55" w:rsidRDefault="009C4637" w:rsidP="007E04B9">
      <w:pPr>
        <w:spacing w:after="0" w:line="360" w:lineRule="auto"/>
        <w:jc w:val="center"/>
        <w:rPr>
          <w:rFonts w:ascii="Arial" w:eastAsia="Calibri" w:hAnsi="Arial" w:cs="Arial"/>
          <w:b/>
          <w:sz w:val="24"/>
          <w:szCs w:val="24"/>
          <w:lang w:val="en-ZA"/>
        </w:rPr>
      </w:pPr>
      <w:r w:rsidRPr="00994D55">
        <w:rPr>
          <w:rFonts w:ascii="Arial" w:eastAsia="Calibri" w:hAnsi="Arial" w:cs="Arial"/>
          <w:b/>
          <w:sz w:val="24"/>
          <w:szCs w:val="24"/>
          <w:lang w:val="en-ZA"/>
        </w:rPr>
        <w:t>JUDGMENT</w:t>
      </w:r>
    </w:p>
    <w:p w14:paraId="18B3813A" w14:textId="3252B262" w:rsidR="00F85821" w:rsidRPr="00994D55" w:rsidRDefault="00F85821" w:rsidP="007E04B9">
      <w:pPr>
        <w:pBdr>
          <w:bottom w:val="single" w:sz="12" w:space="1" w:color="auto"/>
        </w:pBdr>
        <w:spacing w:after="0" w:line="360" w:lineRule="auto"/>
        <w:jc w:val="both"/>
        <w:rPr>
          <w:rFonts w:ascii="Arial" w:eastAsia="Calibri" w:hAnsi="Arial" w:cs="Arial"/>
          <w:b/>
          <w:sz w:val="24"/>
          <w:szCs w:val="24"/>
          <w:lang w:val="en-ZA"/>
        </w:rPr>
      </w:pPr>
      <w:r w:rsidRPr="00994D55">
        <w:rPr>
          <w:rFonts w:ascii="Arial" w:eastAsia="Calibri" w:hAnsi="Arial" w:cs="Arial"/>
          <w:b/>
          <w:sz w:val="24"/>
          <w:szCs w:val="24"/>
          <w:lang w:val="en-ZA"/>
        </w:rPr>
        <w:tab/>
      </w:r>
      <w:r w:rsidRPr="00994D55">
        <w:rPr>
          <w:rFonts w:ascii="Arial" w:eastAsia="Calibri" w:hAnsi="Arial" w:cs="Arial"/>
          <w:b/>
          <w:sz w:val="24"/>
          <w:szCs w:val="24"/>
          <w:lang w:val="en-ZA"/>
        </w:rPr>
        <w:tab/>
      </w:r>
      <w:r w:rsidRPr="00994D55">
        <w:rPr>
          <w:rFonts w:ascii="Arial" w:eastAsia="Calibri" w:hAnsi="Arial" w:cs="Arial"/>
          <w:b/>
          <w:sz w:val="24"/>
          <w:szCs w:val="24"/>
          <w:lang w:val="en-ZA"/>
        </w:rPr>
        <w:tab/>
      </w:r>
      <w:r w:rsidRPr="00994D55">
        <w:rPr>
          <w:rFonts w:ascii="Arial" w:eastAsia="Calibri" w:hAnsi="Arial" w:cs="Arial"/>
          <w:b/>
          <w:sz w:val="24"/>
          <w:szCs w:val="24"/>
          <w:lang w:val="en-ZA"/>
        </w:rPr>
        <w:tab/>
      </w:r>
      <w:r w:rsidRPr="00994D55">
        <w:rPr>
          <w:rFonts w:ascii="Arial" w:eastAsia="Calibri" w:hAnsi="Arial" w:cs="Arial"/>
          <w:b/>
          <w:sz w:val="24"/>
          <w:szCs w:val="24"/>
          <w:lang w:val="en-ZA"/>
        </w:rPr>
        <w:tab/>
      </w:r>
      <w:r w:rsidRPr="00994D55">
        <w:rPr>
          <w:rFonts w:ascii="Arial" w:eastAsia="Calibri" w:hAnsi="Arial" w:cs="Arial"/>
          <w:b/>
          <w:sz w:val="24"/>
          <w:szCs w:val="24"/>
          <w:lang w:val="en-ZA"/>
        </w:rPr>
        <w:tab/>
      </w:r>
      <w:r w:rsidRPr="00994D55">
        <w:rPr>
          <w:rFonts w:ascii="Arial" w:eastAsia="Calibri" w:hAnsi="Arial" w:cs="Arial"/>
          <w:b/>
          <w:sz w:val="24"/>
          <w:szCs w:val="24"/>
          <w:lang w:val="en-ZA"/>
        </w:rPr>
        <w:tab/>
        <w:t>Delivered on.</w:t>
      </w:r>
      <w:r w:rsidR="002225A8">
        <w:rPr>
          <w:rFonts w:ascii="Arial" w:eastAsia="Calibri" w:hAnsi="Arial" w:cs="Arial"/>
          <w:b/>
          <w:sz w:val="24"/>
          <w:szCs w:val="24"/>
          <w:lang w:val="en-ZA"/>
        </w:rPr>
        <w:t xml:space="preserve"> 06/05/2022</w:t>
      </w:r>
    </w:p>
    <w:p w14:paraId="341347BE" w14:textId="77777777" w:rsidR="00787808" w:rsidRDefault="00787808" w:rsidP="007E04B9">
      <w:pPr>
        <w:spacing w:after="0" w:line="360" w:lineRule="auto"/>
        <w:jc w:val="both"/>
        <w:rPr>
          <w:rFonts w:ascii="Arial" w:eastAsia="Calibri" w:hAnsi="Arial" w:cs="Arial"/>
          <w:b/>
          <w:sz w:val="24"/>
          <w:szCs w:val="24"/>
          <w:lang w:val="en-ZA"/>
        </w:rPr>
      </w:pPr>
    </w:p>
    <w:p w14:paraId="06359557" w14:textId="65316C44" w:rsidR="003F679C" w:rsidRDefault="00ED1324" w:rsidP="007E04B9">
      <w:pPr>
        <w:spacing w:after="0" w:line="360" w:lineRule="auto"/>
        <w:jc w:val="both"/>
        <w:rPr>
          <w:rFonts w:ascii="Arial" w:eastAsia="Calibri" w:hAnsi="Arial" w:cs="Arial"/>
          <w:sz w:val="24"/>
          <w:szCs w:val="24"/>
          <w:lang w:val="en-ZA"/>
        </w:rPr>
      </w:pPr>
      <w:r w:rsidRPr="00994D55">
        <w:rPr>
          <w:rFonts w:ascii="Arial" w:eastAsia="Calibri" w:hAnsi="Arial" w:cs="Arial"/>
          <w:b/>
          <w:sz w:val="24"/>
          <w:szCs w:val="24"/>
          <w:lang w:val="en-ZA"/>
        </w:rPr>
        <w:t xml:space="preserve">Chili </w:t>
      </w:r>
      <w:r w:rsidR="00F85821" w:rsidRPr="00994D55">
        <w:rPr>
          <w:rFonts w:ascii="Arial" w:eastAsia="Calibri" w:hAnsi="Arial" w:cs="Arial"/>
          <w:b/>
          <w:sz w:val="24"/>
          <w:szCs w:val="24"/>
          <w:lang w:val="en-ZA"/>
        </w:rPr>
        <w:t>J:</w:t>
      </w:r>
      <w:r w:rsidR="007E3E24" w:rsidRPr="00994D55">
        <w:rPr>
          <w:rFonts w:ascii="Arial" w:eastAsia="Calibri" w:hAnsi="Arial" w:cs="Arial"/>
          <w:b/>
          <w:sz w:val="24"/>
          <w:szCs w:val="24"/>
          <w:lang w:val="en-ZA"/>
        </w:rPr>
        <w:t xml:space="preserve"> </w:t>
      </w:r>
      <w:bookmarkStart w:id="0" w:name="_GoBack"/>
      <w:bookmarkEnd w:id="0"/>
    </w:p>
    <w:p w14:paraId="5AB12838" w14:textId="5B7081EF" w:rsidR="009A7E52" w:rsidRPr="00994D55" w:rsidRDefault="007E3E24" w:rsidP="007E04B9">
      <w:pPr>
        <w:spacing w:after="0" w:line="360" w:lineRule="auto"/>
        <w:jc w:val="both"/>
        <w:rPr>
          <w:rFonts w:ascii="Arial" w:eastAsia="Calibri" w:hAnsi="Arial" w:cs="Arial"/>
          <w:sz w:val="24"/>
          <w:szCs w:val="24"/>
          <w:lang w:val="en-ZA"/>
        </w:rPr>
      </w:pPr>
      <w:r w:rsidRPr="00994D55">
        <w:rPr>
          <w:rFonts w:ascii="Arial" w:eastAsia="Calibri" w:hAnsi="Arial" w:cs="Arial"/>
          <w:sz w:val="24"/>
          <w:szCs w:val="24"/>
          <w:lang w:val="en-ZA"/>
        </w:rPr>
        <w:t>[1]</w:t>
      </w:r>
      <w:r w:rsidRPr="00994D55">
        <w:rPr>
          <w:rFonts w:ascii="Arial" w:eastAsia="Calibri" w:hAnsi="Arial" w:cs="Arial"/>
          <w:sz w:val="24"/>
          <w:szCs w:val="24"/>
          <w:lang w:val="en-ZA"/>
        </w:rPr>
        <w:tab/>
      </w:r>
      <w:r w:rsidR="00A468DE" w:rsidRPr="00994D55">
        <w:rPr>
          <w:rFonts w:ascii="Arial" w:eastAsia="Calibri" w:hAnsi="Arial" w:cs="Arial"/>
          <w:sz w:val="24"/>
          <w:szCs w:val="24"/>
          <w:lang w:val="en-ZA"/>
        </w:rPr>
        <w:t xml:space="preserve">The applicants </w:t>
      </w:r>
      <w:r w:rsidR="001D22A6" w:rsidRPr="00994D55">
        <w:rPr>
          <w:rFonts w:ascii="Arial" w:eastAsia="Calibri" w:hAnsi="Arial" w:cs="Arial"/>
          <w:sz w:val="24"/>
          <w:szCs w:val="24"/>
          <w:lang w:val="en-ZA"/>
        </w:rPr>
        <w:t xml:space="preserve">brought an application to declare unlawful, review and set aside: </w:t>
      </w:r>
    </w:p>
    <w:p w14:paraId="5960CD00" w14:textId="1BC48912" w:rsidR="00CB7EF9" w:rsidRPr="00994D55" w:rsidRDefault="00A468DE" w:rsidP="007E04B9">
      <w:pPr>
        <w:spacing w:after="0" w:line="360" w:lineRule="auto"/>
        <w:jc w:val="both"/>
        <w:rPr>
          <w:rFonts w:ascii="Arial" w:eastAsia="Calibri" w:hAnsi="Arial" w:cs="Arial"/>
          <w:sz w:val="24"/>
          <w:szCs w:val="24"/>
          <w:lang w:val="en-ZA"/>
        </w:rPr>
      </w:pPr>
      <w:r w:rsidRPr="00994D55">
        <w:rPr>
          <w:rFonts w:ascii="Arial" w:eastAsia="Calibri" w:hAnsi="Arial" w:cs="Arial"/>
          <w:sz w:val="24"/>
          <w:szCs w:val="24"/>
          <w:lang w:val="en-ZA"/>
        </w:rPr>
        <w:lastRenderedPageBreak/>
        <w:t>(a</w:t>
      </w:r>
      <w:r w:rsidR="001D22A6" w:rsidRPr="00994D55">
        <w:rPr>
          <w:rFonts w:ascii="Arial" w:eastAsia="Calibri" w:hAnsi="Arial" w:cs="Arial"/>
          <w:sz w:val="24"/>
          <w:szCs w:val="24"/>
          <w:lang w:val="en-ZA"/>
        </w:rPr>
        <w:t xml:space="preserve">) </w:t>
      </w:r>
      <w:r w:rsidR="00994D55" w:rsidRPr="00994D55">
        <w:rPr>
          <w:rFonts w:ascii="Arial" w:eastAsia="Calibri" w:hAnsi="Arial" w:cs="Arial"/>
          <w:sz w:val="24"/>
          <w:szCs w:val="24"/>
          <w:lang w:val="en-ZA"/>
        </w:rPr>
        <w:tab/>
      </w:r>
      <w:r w:rsidR="001D22A6" w:rsidRPr="00994D55">
        <w:rPr>
          <w:rFonts w:ascii="Arial" w:eastAsia="Calibri" w:hAnsi="Arial" w:cs="Arial"/>
          <w:sz w:val="24"/>
          <w:szCs w:val="24"/>
          <w:lang w:val="en-ZA"/>
        </w:rPr>
        <w:t xml:space="preserve">the </w:t>
      </w:r>
      <w:r w:rsidR="00305AC7">
        <w:rPr>
          <w:rFonts w:ascii="Arial" w:eastAsia="Calibri" w:hAnsi="Arial" w:cs="Arial"/>
          <w:sz w:val="24"/>
          <w:szCs w:val="24"/>
          <w:lang w:val="en-ZA"/>
        </w:rPr>
        <w:t>r</w:t>
      </w:r>
      <w:r w:rsidR="00CB7EF9" w:rsidRPr="00994D55">
        <w:rPr>
          <w:rFonts w:ascii="Arial" w:eastAsia="Calibri" w:hAnsi="Arial" w:cs="Arial"/>
          <w:sz w:val="24"/>
          <w:szCs w:val="24"/>
          <w:lang w:val="en-ZA"/>
        </w:rPr>
        <w:t>eport issued in the Forensic Investigation</w:t>
      </w:r>
      <w:r w:rsidRPr="00994D55">
        <w:rPr>
          <w:rFonts w:ascii="Arial" w:eastAsia="Calibri" w:hAnsi="Arial" w:cs="Arial"/>
          <w:sz w:val="24"/>
          <w:szCs w:val="24"/>
          <w:lang w:val="en-ZA"/>
        </w:rPr>
        <w:t>s</w:t>
      </w:r>
      <w:r w:rsidR="00CB7EF9" w:rsidRPr="00994D55">
        <w:rPr>
          <w:rFonts w:ascii="Arial" w:eastAsia="Calibri" w:hAnsi="Arial" w:cs="Arial"/>
          <w:sz w:val="24"/>
          <w:szCs w:val="24"/>
          <w:lang w:val="en-ZA"/>
        </w:rPr>
        <w:t xml:space="preserve"> into allegation</w:t>
      </w:r>
      <w:r w:rsidRPr="00994D55">
        <w:rPr>
          <w:rFonts w:ascii="Arial" w:eastAsia="Calibri" w:hAnsi="Arial" w:cs="Arial"/>
          <w:sz w:val="24"/>
          <w:szCs w:val="24"/>
          <w:lang w:val="en-ZA"/>
        </w:rPr>
        <w:t>s</w:t>
      </w:r>
      <w:r w:rsidR="00CB7EF9" w:rsidRPr="00994D55">
        <w:rPr>
          <w:rFonts w:ascii="Arial" w:eastAsia="Calibri" w:hAnsi="Arial" w:cs="Arial"/>
          <w:sz w:val="24"/>
          <w:szCs w:val="24"/>
          <w:lang w:val="en-ZA"/>
        </w:rPr>
        <w:t xml:space="preserve"> of Maladministration, Fraud and Corruption at Zululand District Municipality authorized by</w:t>
      </w:r>
      <w:r w:rsidRPr="00994D55">
        <w:rPr>
          <w:rFonts w:ascii="Arial" w:eastAsia="Calibri" w:hAnsi="Arial" w:cs="Arial"/>
          <w:sz w:val="24"/>
          <w:szCs w:val="24"/>
          <w:lang w:val="en-ZA"/>
        </w:rPr>
        <w:t xml:space="preserve"> the first respondent (hereinafter </w:t>
      </w:r>
      <w:r w:rsidR="007E04B9" w:rsidRPr="00994D55">
        <w:rPr>
          <w:rFonts w:ascii="Arial" w:eastAsia="Calibri" w:hAnsi="Arial" w:cs="Arial"/>
          <w:sz w:val="24"/>
          <w:szCs w:val="24"/>
          <w:lang w:val="en-ZA"/>
        </w:rPr>
        <w:t>‘</w:t>
      </w:r>
      <w:r w:rsidRPr="00994D55">
        <w:rPr>
          <w:rFonts w:ascii="Arial" w:eastAsia="Calibri" w:hAnsi="Arial" w:cs="Arial"/>
          <w:sz w:val="24"/>
          <w:szCs w:val="24"/>
          <w:lang w:val="en-ZA"/>
        </w:rPr>
        <w:t>the MEC</w:t>
      </w:r>
      <w:r w:rsidR="007E04B9" w:rsidRPr="00994D55">
        <w:rPr>
          <w:rFonts w:ascii="Arial" w:eastAsia="Calibri" w:hAnsi="Arial" w:cs="Arial"/>
          <w:sz w:val="24"/>
          <w:szCs w:val="24"/>
          <w:lang w:val="en-ZA"/>
        </w:rPr>
        <w:t>’</w:t>
      </w:r>
      <w:r w:rsidRPr="00994D55">
        <w:rPr>
          <w:rFonts w:ascii="Arial" w:eastAsia="Calibri" w:hAnsi="Arial" w:cs="Arial"/>
          <w:sz w:val="24"/>
          <w:szCs w:val="24"/>
          <w:lang w:val="en-ZA"/>
        </w:rPr>
        <w:t>)</w:t>
      </w:r>
      <w:r w:rsidR="00CB7EF9" w:rsidRPr="00994D55">
        <w:rPr>
          <w:rFonts w:ascii="Arial" w:eastAsia="Calibri" w:hAnsi="Arial" w:cs="Arial"/>
          <w:sz w:val="24"/>
          <w:szCs w:val="24"/>
          <w:lang w:val="en-ZA"/>
        </w:rPr>
        <w:t>, and purportedly conducted in terms of s</w:t>
      </w:r>
      <w:r w:rsidR="007C5D20">
        <w:rPr>
          <w:rFonts w:ascii="Arial" w:eastAsia="Calibri" w:hAnsi="Arial" w:cs="Arial"/>
          <w:sz w:val="24"/>
          <w:szCs w:val="24"/>
          <w:lang w:val="en-ZA"/>
        </w:rPr>
        <w:t> </w:t>
      </w:r>
      <w:r w:rsidR="00CB7EF9" w:rsidRPr="00994D55">
        <w:rPr>
          <w:rFonts w:ascii="Arial" w:eastAsia="Calibri" w:hAnsi="Arial" w:cs="Arial"/>
          <w:sz w:val="24"/>
          <w:szCs w:val="24"/>
          <w:lang w:val="en-ZA"/>
        </w:rPr>
        <w:t>106(1)</w:t>
      </w:r>
      <w:r w:rsidR="00CB7EF9" w:rsidRPr="00994D55">
        <w:rPr>
          <w:rFonts w:ascii="Arial" w:eastAsia="Calibri" w:hAnsi="Arial" w:cs="Arial"/>
          <w:i/>
          <w:sz w:val="24"/>
          <w:szCs w:val="24"/>
          <w:lang w:val="en-ZA"/>
        </w:rPr>
        <w:t>(b)</w:t>
      </w:r>
      <w:r w:rsidR="00CB7EF9" w:rsidRPr="00994D55">
        <w:rPr>
          <w:rFonts w:ascii="Arial" w:eastAsia="Calibri" w:hAnsi="Arial" w:cs="Arial"/>
          <w:sz w:val="24"/>
          <w:szCs w:val="24"/>
          <w:lang w:val="en-ZA"/>
        </w:rPr>
        <w:t xml:space="preserve"> of the Local Government Municipal Systems Act 32 of 2000</w:t>
      </w:r>
      <w:r w:rsidRPr="00994D55">
        <w:rPr>
          <w:rFonts w:ascii="Arial" w:eastAsia="Calibri" w:hAnsi="Arial" w:cs="Arial"/>
          <w:sz w:val="24"/>
          <w:szCs w:val="24"/>
          <w:lang w:val="en-ZA"/>
        </w:rPr>
        <w:t xml:space="preserve"> (hereinafter </w:t>
      </w:r>
      <w:r w:rsidR="007E04B9" w:rsidRPr="00994D55">
        <w:rPr>
          <w:rFonts w:ascii="Arial" w:eastAsia="Calibri" w:hAnsi="Arial" w:cs="Arial"/>
          <w:sz w:val="24"/>
          <w:szCs w:val="24"/>
          <w:lang w:val="en-ZA"/>
        </w:rPr>
        <w:t>‘</w:t>
      </w:r>
      <w:r w:rsidRPr="00994D55">
        <w:rPr>
          <w:rFonts w:ascii="Arial" w:eastAsia="Calibri" w:hAnsi="Arial" w:cs="Arial"/>
          <w:sz w:val="24"/>
          <w:szCs w:val="24"/>
          <w:lang w:val="en-ZA"/>
        </w:rPr>
        <w:t>the Municipal Systems Act</w:t>
      </w:r>
      <w:r w:rsidR="007E04B9" w:rsidRPr="00994D55">
        <w:rPr>
          <w:rFonts w:ascii="Arial" w:eastAsia="Calibri" w:hAnsi="Arial" w:cs="Arial"/>
          <w:sz w:val="24"/>
          <w:szCs w:val="24"/>
          <w:lang w:val="en-ZA"/>
        </w:rPr>
        <w:t>’</w:t>
      </w:r>
      <w:r w:rsidRPr="00994D55">
        <w:rPr>
          <w:rFonts w:ascii="Arial" w:eastAsia="Calibri" w:hAnsi="Arial" w:cs="Arial"/>
          <w:sz w:val="24"/>
          <w:szCs w:val="24"/>
          <w:lang w:val="en-ZA"/>
        </w:rPr>
        <w:t>);</w:t>
      </w:r>
    </w:p>
    <w:p w14:paraId="71A55EFA" w14:textId="77777777" w:rsidR="00CB7EF9" w:rsidRPr="00994D55" w:rsidRDefault="00A468DE" w:rsidP="007E04B9">
      <w:pPr>
        <w:spacing w:after="0" w:line="360" w:lineRule="auto"/>
        <w:jc w:val="both"/>
        <w:rPr>
          <w:rFonts w:ascii="Arial" w:eastAsia="Calibri" w:hAnsi="Arial" w:cs="Arial"/>
          <w:sz w:val="24"/>
          <w:szCs w:val="24"/>
          <w:lang w:val="en-ZA"/>
        </w:rPr>
      </w:pPr>
      <w:r w:rsidRPr="00994D55">
        <w:rPr>
          <w:rFonts w:ascii="Arial" w:eastAsia="Calibri" w:hAnsi="Arial" w:cs="Arial"/>
          <w:sz w:val="24"/>
          <w:szCs w:val="24"/>
          <w:lang w:val="en-ZA"/>
        </w:rPr>
        <w:t>(b</w:t>
      </w:r>
      <w:r w:rsidR="00CB7EF9" w:rsidRPr="00994D55">
        <w:rPr>
          <w:rFonts w:ascii="Arial" w:eastAsia="Calibri" w:hAnsi="Arial" w:cs="Arial"/>
          <w:sz w:val="24"/>
          <w:szCs w:val="24"/>
          <w:lang w:val="en-ZA"/>
        </w:rPr>
        <w:t xml:space="preserve">) </w:t>
      </w:r>
      <w:r w:rsidR="00994D55" w:rsidRPr="00994D55">
        <w:rPr>
          <w:rFonts w:ascii="Arial" w:eastAsia="Calibri" w:hAnsi="Arial" w:cs="Arial"/>
          <w:sz w:val="24"/>
          <w:szCs w:val="24"/>
          <w:lang w:val="en-ZA"/>
        </w:rPr>
        <w:tab/>
      </w:r>
      <w:proofErr w:type="gramStart"/>
      <w:r w:rsidR="00CB7EF9" w:rsidRPr="00994D55">
        <w:rPr>
          <w:rFonts w:ascii="Arial" w:eastAsia="Calibri" w:hAnsi="Arial" w:cs="Arial"/>
          <w:sz w:val="24"/>
          <w:szCs w:val="24"/>
          <w:lang w:val="en-ZA"/>
        </w:rPr>
        <w:t>the</w:t>
      </w:r>
      <w:proofErr w:type="gramEnd"/>
      <w:r w:rsidR="00CB7EF9" w:rsidRPr="00994D55">
        <w:rPr>
          <w:rFonts w:ascii="Arial" w:eastAsia="Calibri" w:hAnsi="Arial" w:cs="Arial"/>
          <w:sz w:val="24"/>
          <w:szCs w:val="24"/>
          <w:lang w:val="en-ZA"/>
        </w:rPr>
        <w:t xml:space="preserve"> </w:t>
      </w:r>
      <w:r w:rsidRPr="00994D55">
        <w:rPr>
          <w:rFonts w:ascii="Arial" w:eastAsia="Calibri" w:hAnsi="Arial" w:cs="Arial"/>
          <w:sz w:val="24"/>
          <w:szCs w:val="24"/>
          <w:lang w:val="en-ZA"/>
        </w:rPr>
        <w:t>decision of the MEC</w:t>
      </w:r>
      <w:r w:rsidR="00CB7EF9" w:rsidRPr="00994D55">
        <w:rPr>
          <w:rFonts w:ascii="Arial" w:eastAsia="Calibri" w:hAnsi="Arial" w:cs="Arial"/>
          <w:sz w:val="24"/>
          <w:szCs w:val="24"/>
          <w:lang w:val="en-ZA"/>
        </w:rPr>
        <w:t xml:space="preserve"> to </w:t>
      </w:r>
      <w:r w:rsidRPr="00994D55">
        <w:rPr>
          <w:rFonts w:ascii="Arial" w:eastAsia="Calibri" w:hAnsi="Arial" w:cs="Arial"/>
          <w:sz w:val="24"/>
          <w:szCs w:val="24"/>
          <w:lang w:val="en-ZA"/>
        </w:rPr>
        <w:t>publish and/or adopt the report;</w:t>
      </w:r>
      <w:r w:rsidR="001D22A6" w:rsidRPr="00994D55">
        <w:rPr>
          <w:rFonts w:ascii="Arial" w:eastAsia="Calibri" w:hAnsi="Arial" w:cs="Arial"/>
          <w:sz w:val="24"/>
          <w:szCs w:val="24"/>
          <w:lang w:val="en-ZA"/>
        </w:rPr>
        <w:t xml:space="preserve"> and</w:t>
      </w:r>
    </w:p>
    <w:p w14:paraId="70397ED3" w14:textId="1AC209FA" w:rsidR="00B30EE7" w:rsidRPr="00994D55" w:rsidRDefault="00A468DE" w:rsidP="007E04B9">
      <w:pPr>
        <w:spacing w:after="0" w:line="360" w:lineRule="auto"/>
        <w:jc w:val="both"/>
        <w:rPr>
          <w:rFonts w:ascii="Arial" w:eastAsia="Calibri" w:hAnsi="Arial" w:cs="Arial"/>
          <w:sz w:val="24"/>
          <w:szCs w:val="24"/>
          <w:lang w:val="en-ZA"/>
        </w:rPr>
      </w:pPr>
      <w:r w:rsidRPr="00994D55">
        <w:rPr>
          <w:rFonts w:ascii="Arial" w:eastAsia="Calibri" w:hAnsi="Arial" w:cs="Arial"/>
          <w:sz w:val="24"/>
          <w:szCs w:val="24"/>
          <w:lang w:val="en-ZA"/>
        </w:rPr>
        <w:t>(c</w:t>
      </w:r>
      <w:r w:rsidR="001D22A6" w:rsidRPr="00994D55">
        <w:rPr>
          <w:rFonts w:ascii="Arial" w:eastAsia="Calibri" w:hAnsi="Arial" w:cs="Arial"/>
          <w:sz w:val="24"/>
          <w:szCs w:val="24"/>
          <w:lang w:val="en-ZA"/>
        </w:rPr>
        <w:t xml:space="preserve">) </w:t>
      </w:r>
      <w:r w:rsidR="00994D55" w:rsidRPr="00994D55">
        <w:rPr>
          <w:rFonts w:ascii="Arial" w:eastAsia="Calibri" w:hAnsi="Arial" w:cs="Arial"/>
          <w:sz w:val="24"/>
          <w:szCs w:val="24"/>
          <w:lang w:val="en-ZA"/>
        </w:rPr>
        <w:tab/>
      </w:r>
      <w:proofErr w:type="gramStart"/>
      <w:r w:rsidR="001D22A6" w:rsidRPr="00994D55">
        <w:rPr>
          <w:rFonts w:ascii="Arial" w:eastAsia="Calibri" w:hAnsi="Arial" w:cs="Arial"/>
          <w:sz w:val="24"/>
          <w:szCs w:val="24"/>
          <w:lang w:val="en-ZA"/>
        </w:rPr>
        <w:t>t</w:t>
      </w:r>
      <w:r w:rsidR="00CB7EF9" w:rsidRPr="00994D55">
        <w:rPr>
          <w:rFonts w:ascii="Arial" w:eastAsia="Calibri" w:hAnsi="Arial" w:cs="Arial"/>
          <w:sz w:val="24"/>
          <w:szCs w:val="24"/>
          <w:lang w:val="en-ZA"/>
        </w:rPr>
        <w:t>he</w:t>
      </w:r>
      <w:proofErr w:type="gramEnd"/>
      <w:r w:rsidR="00CB7EF9" w:rsidRPr="00994D55">
        <w:rPr>
          <w:rFonts w:ascii="Arial" w:eastAsia="Calibri" w:hAnsi="Arial" w:cs="Arial"/>
          <w:sz w:val="24"/>
          <w:szCs w:val="24"/>
          <w:lang w:val="en-ZA"/>
        </w:rPr>
        <w:t xml:space="preserve"> decision </w:t>
      </w:r>
      <w:r w:rsidR="00B10442" w:rsidRPr="00994D55">
        <w:rPr>
          <w:rFonts w:ascii="Arial" w:eastAsia="Calibri" w:hAnsi="Arial" w:cs="Arial"/>
          <w:sz w:val="24"/>
          <w:szCs w:val="24"/>
          <w:lang w:val="en-ZA"/>
        </w:rPr>
        <w:t xml:space="preserve">of the MEC </w:t>
      </w:r>
      <w:r w:rsidRPr="00994D55">
        <w:rPr>
          <w:rFonts w:ascii="Arial" w:eastAsia="Calibri" w:hAnsi="Arial" w:cs="Arial"/>
          <w:sz w:val="24"/>
          <w:szCs w:val="24"/>
          <w:lang w:val="en-ZA"/>
        </w:rPr>
        <w:t>communicated</w:t>
      </w:r>
      <w:r w:rsidR="00B10442" w:rsidRPr="00994D55">
        <w:rPr>
          <w:rFonts w:ascii="Arial" w:eastAsia="Calibri" w:hAnsi="Arial" w:cs="Arial"/>
          <w:sz w:val="24"/>
          <w:szCs w:val="24"/>
          <w:lang w:val="en-ZA"/>
        </w:rPr>
        <w:t xml:space="preserve"> on 18 April 2020, to refuse to comply with the K</w:t>
      </w:r>
      <w:r w:rsidR="001D22A6" w:rsidRPr="00994D55">
        <w:rPr>
          <w:rFonts w:ascii="Arial" w:eastAsia="Calibri" w:hAnsi="Arial" w:cs="Arial"/>
          <w:sz w:val="24"/>
          <w:szCs w:val="24"/>
          <w:lang w:val="en-ZA"/>
        </w:rPr>
        <w:t>wa</w:t>
      </w:r>
      <w:r w:rsidR="00B10442" w:rsidRPr="00994D55">
        <w:rPr>
          <w:rFonts w:ascii="Arial" w:eastAsia="Calibri" w:hAnsi="Arial" w:cs="Arial"/>
          <w:sz w:val="24"/>
          <w:szCs w:val="24"/>
          <w:lang w:val="en-ZA"/>
        </w:rPr>
        <w:t>Z</w:t>
      </w:r>
      <w:r w:rsidR="001D22A6" w:rsidRPr="00994D55">
        <w:rPr>
          <w:rFonts w:ascii="Arial" w:eastAsia="Calibri" w:hAnsi="Arial" w:cs="Arial"/>
          <w:sz w:val="24"/>
          <w:szCs w:val="24"/>
          <w:lang w:val="en-ZA"/>
        </w:rPr>
        <w:t xml:space="preserve">ulu-Natal </w:t>
      </w:r>
      <w:r w:rsidR="00B10442" w:rsidRPr="00994D55">
        <w:rPr>
          <w:rFonts w:ascii="Arial" w:eastAsia="Calibri" w:hAnsi="Arial" w:cs="Arial"/>
          <w:sz w:val="24"/>
          <w:szCs w:val="24"/>
          <w:lang w:val="en-ZA"/>
        </w:rPr>
        <w:t>Commission</w:t>
      </w:r>
      <w:r w:rsidR="001D22A6" w:rsidRPr="00994D55">
        <w:rPr>
          <w:rFonts w:ascii="Arial" w:eastAsia="Calibri" w:hAnsi="Arial" w:cs="Arial"/>
          <w:sz w:val="24"/>
          <w:szCs w:val="24"/>
          <w:lang w:val="en-ZA"/>
        </w:rPr>
        <w:t>s</w:t>
      </w:r>
      <w:r w:rsidR="00B10442" w:rsidRPr="00994D55">
        <w:rPr>
          <w:rFonts w:ascii="Arial" w:eastAsia="Calibri" w:hAnsi="Arial" w:cs="Arial"/>
          <w:sz w:val="24"/>
          <w:szCs w:val="24"/>
          <w:lang w:val="en-ZA"/>
        </w:rPr>
        <w:t xml:space="preserve"> Act 3 of 1999 </w:t>
      </w:r>
      <w:r w:rsidR="003446BB" w:rsidRPr="00994D55">
        <w:rPr>
          <w:rFonts w:ascii="Arial" w:eastAsia="Calibri" w:hAnsi="Arial" w:cs="Arial"/>
          <w:sz w:val="24"/>
          <w:szCs w:val="24"/>
          <w:lang w:val="en-ZA"/>
        </w:rPr>
        <w:t xml:space="preserve">(hereinafter </w:t>
      </w:r>
      <w:r w:rsidR="007E04B9" w:rsidRPr="00994D55">
        <w:rPr>
          <w:rFonts w:ascii="Arial" w:eastAsia="Calibri" w:hAnsi="Arial" w:cs="Arial"/>
          <w:sz w:val="24"/>
          <w:szCs w:val="24"/>
          <w:lang w:val="en-ZA"/>
        </w:rPr>
        <w:t>‘</w:t>
      </w:r>
      <w:r w:rsidR="003446BB" w:rsidRPr="00994D55">
        <w:rPr>
          <w:rFonts w:ascii="Arial" w:eastAsia="Calibri" w:hAnsi="Arial" w:cs="Arial"/>
          <w:sz w:val="24"/>
          <w:szCs w:val="24"/>
          <w:lang w:val="en-ZA"/>
        </w:rPr>
        <w:t>KZN Commissions Act</w:t>
      </w:r>
      <w:r w:rsidR="007E04B9" w:rsidRPr="00994D55">
        <w:rPr>
          <w:rFonts w:ascii="Arial" w:eastAsia="Calibri" w:hAnsi="Arial" w:cs="Arial"/>
          <w:sz w:val="24"/>
          <w:szCs w:val="24"/>
          <w:lang w:val="en-ZA"/>
        </w:rPr>
        <w:t>’</w:t>
      </w:r>
      <w:r w:rsidR="003446BB" w:rsidRPr="00994D55">
        <w:rPr>
          <w:rFonts w:ascii="Arial" w:eastAsia="Calibri" w:hAnsi="Arial" w:cs="Arial"/>
          <w:sz w:val="24"/>
          <w:szCs w:val="24"/>
          <w:lang w:val="en-ZA"/>
        </w:rPr>
        <w:t xml:space="preserve">) </w:t>
      </w:r>
      <w:r w:rsidR="00B10442" w:rsidRPr="00994D55">
        <w:rPr>
          <w:rFonts w:ascii="Arial" w:eastAsia="Calibri" w:hAnsi="Arial" w:cs="Arial"/>
          <w:sz w:val="24"/>
          <w:szCs w:val="24"/>
          <w:lang w:val="en-ZA"/>
        </w:rPr>
        <w:t>in relation to the investigation referred above.</w:t>
      </w:r>
      <w:r w:rsidR="007E04B9" w:rsidRPr="00994D55">
        <w:rPr>
          <w:rFonts w:ascii="Arial" w:eastAsia="Calibri" w:hAnsi="Arial" w:cs="Arial"/>
          <w:sz w:val="24"/>
          <w:szCs w:val="24"/>
          <w:lang w:val="en-ZA"/>
        </w:rPr>
        <w:t xml:space="preserve"> </w:t>
      </w:r>
      <w:r w:rsidR="003446BB" w:rsidRPr="00994D55">
        <w:rPr>
          <w:rFonts w:ascii="Arial" w:eastAsia="Calibri" w:hAnsi="Arial" w:cs="Arial"/>
          <w:sz w:val="24"/>
          <w:szCs w:val="24"/>
          <w:lang w:val="en-ZA"/>
        </w:rPr>
        <w:t>The case for the applicants is that</w:t>
      </w:r>
      <w:r w:rsidR="00B10442" w:rsidRPr="00994D55">
        <w:rPr>
          <w:rFonts w:ascii="Arial" w:eastAsia="Calibri" w:hAnsi="Arial" w:cs="Arial"/>
          <w:sz w:val="24"/>
          <w:szCs w:val="24"/>
          <w:lang w:val="en-ZA"/>
        </w:rPr>
        <w:t xml:space="preserve"> the invest</w:t>
      </w:r>
      <w:r w:rsidR="003446BB" w:rsidRPr="00994D55">
        <w:rPr>
          <w:rFonts w:ascii="Arial" w:eastAsia="Calibri" w:hAnsi="Arial" w:cs="Arial"/>
          <w:sz w:val="24"/>
          <w:szCs w:val="24"/>
          <w:lang w:val="en-ZA"/>
        </w:rPr>
        <w:t>igation and subsequent report are ultra-vires</w:t>
      </w:r>
      <w:r w:rsidR="00B10442" w:rsidRPr="00994D55">
        <w:rPr>
          <w:rFonts w:ascii="Arial" w:eastAsia="Calibri" w:hAnsi="Arial" w:cs="Arial"/>
          <w:sz w:val="24"/>
          <w:szCs w:val="24"/>
          <w:lang w:val="en-ZA"/>
        </w:rPr>
        <w:t>, procedurally unfair, contrary to the empo</w:t>
      </w:r>
      <w:r w:rsidR="00994D55" w:rsidRPr="00994D55">
        <w:rPr>
          <w:rFonts w:ascii="Arial" w:eastAsia="Calibri" w:hAnsi="Arial" w:cs="Arial"/>
          <w:sz w:val="24"/>
          <w:szCs w:val="24"/>
          <w:lang w:val="en-ZA"/>
        </w:rPr>
        <w:t>wering statute and un</w:t>
      </w:r>
      <w:r w:rsidR="00B912D0">
        <w:rPr>
          <w:rFonts w:ascii="Arial" w:eastAsia="Calibri" w:hAnsi="Arial" w:cs="Arial"/>
          <w:sz w:val="24"/>
          <w:szCs w:val="24"/>
          <w:lang w:val="en-ZA"/>
        </w:rPr>
        <w:t>su</w:t>
      </w:r>
      <w:r w:rsidR="00994D55" w:rsidRPr="00994D55">
        <w:rPr>
          <w:rFonts w:ascii="Arial" w:eastAsia="Calibri" w:hAnsi="Arial" w:cs="Arial"/>
          <w:sz w:val="24"/>
          <w:szCs w:val="24"/>
          <w:lang w:val="en-ZA"/>
        </w:rPr>
        <w:t>stainable.</w:t>
      </w:r>
      <w:r w:rsidR="00B10442" w:rsidRPr="00994D55">
        <w:rPr>
          <w:rFonts w:ascii="Arial" w:eastAsia="Calibri" w:hAnsi="Arial" w:cs="Arial"/>
          <w:sz w:val="24"/>
          <w:szCs w:val="24"/>
          <w:lang w:val="en-ZA"/>
        </w:rPr>
        <w:t xml:space="preserve"> Moreover, the decision to refuse to comply with the KZN Commissions Act is unlawful.</w:t>
      </w:r>
    </w:p>
    <w:p w14:paraId="68C354F8" w14:textId="77777777" w:rsidR="00B30EE7" w:rsidRPr="00994D55" w:rsidRDefault="00B30EE7" w:rsidP="007E04B9">
      <w:pPr>
        <w:spacing w:after="0" w:line="360" w:lineRule="auto"/>
        <w:jc w:val="both"/>
        <w:rPr>
          <w:rFonts w:ascii="Arial" w:eastAsia="Calibri" w:hAnsi="Arial" w:cs="Arial"/>
          <w:sz w:val="24"/>
          <w:szCs w:val="24"/>
          <w:lang w:val="en-ZA"/>
        </w:rPr>
      </w:pPr>
    </w:p>
    <w:p w14:paraId="289F92B9" w14:textId="77777777" w:rsidR="00B30EE7" w:rsidRPr="00994D55" w:rsidRDefault="00B30EE7" w:rsidP="007E04B9">
      <w:pPr>
        <w:spacing w:after="0" w:line="360" w:lineRule="auto"/>
        <w:jc w:val="both"/>
        <w:rPr>
          <w:rFonts w:ascii="Arial" w:eastAsia="Calibri" w:hAnsi="Arial" w:cs="Arial"/>
          <w:b/>
          <w:sz w:val="24"/>
          <w:szCs w:val="24"/>
          <w:lang w:val="en-ZA"/>
        </w:rPr>
      </w:pPr>
      <w:r w:rsidRPr="00994D55">
        <w:rPr>
          <w:rFonts w:ascii="Arial" w:eastAsia="Calibri" w:hAnsi="Arial" w:cs="Arial"/>
          <w:b/>
          <w:sz w:val="24"/>
          <w:szCs w:val="24"/>
          <w:lang w:val="en-ZA"/>
        </w:rPr>
        <w:t>Background</w:t>
      </w:r>
    </w:p>
    <w:p w14:paraId="0CCC9AE0" w14:textId="001D06EC" w:rsidR="00B30EE7" w:rsidRPr="00994D55" w:rsidRDefault="0001388F" w:rsidP="007E04B9">
      <w:pPr>
        <w:spacing w:after="0" w:line="360" w:lineRule="auto"/>
        <w:jc w:val="both"/>
        <w:rPr>
          <w:rFonts w:ascii="Arial" w:eastAsia="Calibri" w:hAnsi="Arial" w:cs="Arial"/>
          <w:sz w:val="24"/>
          <w:szCs w:val="24"/>
          <w:lang w:val="en-ZA"/>
        </w:rPr>
      </w:pPr>
      <w:r w:rsidRPr="00994D55">
        <w:rPr>
          <w:rFonts w:ascii="Arial" w:eastAsia="Calibri" w:hAnsi="Arial" w:cs="Arial"/>
          <w:sz w:val="24"/>
          <w:szCs w:val="24"/>
          <w:lang w:val="en-ZA"/>
        </w:rPr>
        <w:t>[2</w:t>
      </w:r>
      <w:r w:rsidR="00B30EE7" w:rsidRPr="00994D55">
        <w:rPr>
          <w:rFonts w:ascii="Arial" w:eastAsia="Calibri" w:hAnsi="Arial" w:cs="Arial"/>
          <w:sz w:val="24"/>
          <w:szCs w:val="24"/>
          <w:lang w:val="en-ZA"/>
        </w:rPr>
        <w:t>]</w:t>
      </w:r>
      <w:r w:rsidR="00B30EE7" w:rsidRPr="00994D55">
        <w:rPr>
          <w:rFonts w:ascii="Arial" w:eastAsia="Calibri" w:hAnsi="Arial" w:cs="Arial"/>
          <w:sz w:val="24"/>
          <w:szCs w:val="24"/>
          <w:lang w:val="en-ZA"/>
        </w:rPr>
        <w:tab/>
        <w:t>On 21 A</w:t>
      </w:r>
      <w:r w:rsidR="003446BB" w:rsidRPr="00994D55">
        <w:rPr>
          <w:rFonts w:ascii="Arial" w:eastAsia="Calibri" w:hAnsi="Arial" w:cs="Arial"/>
          <w:sz w:val="24"/>
          <w:szCs w:val="24"/>
          <w:lang w:val="en-ZA"/>
        </w:rPr>
        <w:t xml:space="preserve">ugust 2019 the first applicant (through the second applicant) </w:t>
      </w:r>
      <w:r w:rsidR="00B30EE7" w:rsidRPr="00994D55">
        <w:rPr>
          <w:rFonts w:ascii="Arial" w:eastAsia="Calibri" w:hAnsi="Arial" w:cs="Arial"/>
          <w:sz w:val="24"/>
          <w:szCs w:val="24"/>
          <w:lang w:val="en-ZA"/>
        </w:rPr>
        <w:t xml:space="preserve">was informed </w:t>
      </w:r>
      <w:r w:rsidR="003446BB" w:rsidRPr="00994D55">
        <w:rPr>
          <w:rFonts w:ascii="Arial" w:eastAsia="Calibri" w:hAnsi="Arial" w:cs="Arial"/>
          <w:sz w:val="24"/>
          <w:szCs w:val="24"/>
          <w:lang w:val="en-ZA"/>
        </w:rPr>
        <w:t xml:space="preserve">by </w:t>
      </w:r>
      <w:r w:rsidR="001D22A6" w:rsidRPr="00994D55">
        <w:rPr>
          <w:rFonts w:ascii="Arial" w:eastAsia="Calibri" w:hAnsi="Arial" w:cs="Arial"/>
          <w:sz w:val="24"/>
          <w:szCs w:val="24"/>
          <w:lang w:val="en-ZA"/>
        </w:rPr>
        <w:t xml:space="preserve">Mr T </w:t>
      </w:r>
      <w:proofErr w:type="spellStart"/>
      <w:r w:rsidR="001D22A6" w:rsidRPr="00994D55">
        <w:rPr>
          <w:rFonts w:ascii="Arial" w:eastAsia="Calibri" w:hAnsi="Arial" w:cs="Arial"/>
          <w:sz w:val="24"/>
          <w:szCs w:val="24"/>
          <w:lang w:val="en-ZA"/>
        </w:rPr>
        <w:t>Tubane</w:t>
      </w:r>
      <w:proofErr w:type="spellEnd"/>
      <w:r w:rsidR="00B30EE7" w:rsidRPr="00994D55">
        <w:rPr>
          <w:rFonts w:ascii="Arial" w:eastAsia="Calibri" w:hAnsi="Arial" w:cs="Arial"/>
          <w:sz w:val="24"/>
          <w:szCs w:val="24"/>
          <w:lang w:val="en-ZA"/>
        </w:rPr>
        <w:t xml:space="preserve"> </w:t>
      </w:r>
      <w:r w:rsidR="003446BB" w:rsidRPr="00994D55">
        <w:rPr>
          <w:rFonts w:ascii="Arial" w:eastAsia="Calibri" w:hAnsi="Arial" w:cs="Arial"/>
          <w:sz w:val="24"/>
          <w:szCs w:val="24"/>
          <w:lang w:val="en-ZA"/>
        </w:rPr>
        <w:t>(Head of D</w:t>
      </w:r>
      <w:r w:rsidR="00B30EE7" w:rsidRPr="00994D55">
        <w:rPr>
          <w:rFonts w:ascii="Arial" w:eastAsia="Calibri" w:hAnsi="Arial" w:cs="Arial"/>
          <w:sz w:val="24"/>
          <w:szCs w:val="24"/>
          <w:lang w:val="en-ZA"/>
        </w:rPr>
        <w:t xml:space="preserve">epartment </w:t>
      </w:r>
      <w:r w:rsidR="003446BB" w:rsidRPr="00994D55">
        <w:rPr>
          <w:rFonts w:ascii="Arial" w:eastAsia="Calibri" w:hAnsi="Arial" w:cs="Arial"/>
          <w:sz w:val="24"/>
          <w:szCs w:val="24"/>
          <w:lang w:val="en-ZA"/>
        </w:rPr>
        <w:t>in the MEC’s office)</w:t>
      </w:r>
      <w:r w:rsidR="00B30EE7" w:rsidRPr="00994D55">
        <w:rPr>
          <w:rFonts w:ascii="Arial" w:eastAsia="Calibri" w:hAnsi="Arial" w:cs="Arial"/>
          <w:sz w:val="24"/>
          <w:szCs w:val="24"/>
          <w:lang w:val="en-ZA"/>
        </w:rPr>
        <w:t xml:space="preserve"> that the </w:t>
      </w:r>
      <w:r w:rsidR="003446BB" w:rsidRPr="00994D55">
        <w:rPr>
          <w:rFonts w:ascii="Arial" w:eastAsia="Calibri" w:hAnsi="Arial" w:cs="Arial"/>
          <w:sz w:val="24"/>
          <w:szCs w:val="24"/>
          <w:lang w:val="en-ZA"/>
        </w:rPr>
        <w:t>MEC</w:t>
      </w:r>
      <w:r w:rsidR="00B30EE7" w:rsidRPr="00994D55">
        <w:rPr>
          <w:rFonts w:ascii="Arial" w:eastAsia="Calibri" w:hAnsi="Arial" w:cs="Arial"/>
          <w:sz w:val="24"/>
          <w:szCs w:val="24"/>
          <w:lang w:val="en-ZA"/>
        </w:rPr>
        <w:t xml:space="preserve"> had instituted an investigation purportedly in terms of s</w:t>
      </w:r>
      <w:r w:rsidR="007E04B9" w:rsidRPr="00994D55">
        <w:rPr>
          <w:rFonts w:ascii="Arial" w:eastAsia="Calibri" w:hAnsi="Arial" w:cs="Arial"/>
          <w:sz w:val="24"/>
          <w:szCs w:val="24"/>
          <w:lang w:val="en-ZA"/>
        </w:rPr>
        <w:t xml:space="preserve"> </w:t>
      </w:r>
      <w:r w:rsidR="00B30EE7" w:rsidRPr="00994D55">
        <w:rPr>
          <w:rFonts w:ascii="Arial" w:eastAsia="Calibri" w:hAnsi="Arial" w:cs="Arial"/>
          <w:sz w:val="24"/>
          <w:szCs w:val="24"/>
          <w:lang w:val="en-ZA"/>
        </w:rPr>
        <w:t>106(1)</w:t>
      </w:r>
      <w:r w:rsidR="00B30EE7" w:rsidRPr="00994D55">
        <w:rPr>
          <w:rFonts w:ascii="Arial" w:eastAsia="Calibri" w:hAnsi="Arial" w:cs="Arial"/>
          <w:i/>
          <w:sz w:val="24"/>
          <w:szCs w:val="24"/>
          <w:lang w:val="en-ZA"/>
        </w:rPr>
        <w:t>(b)</w:t>
      </w:r>
      <w:r w:rsidR="00B30EE7" w:rsidRPr="00994D55">
        <w:rPr>
          <w:rFonts w:ascii="Arial" w:eastAsia="Calibri" w:hAnsi="Arial" w:cs="Arial"/>
          <w:sz w:val="24"/>
          <w:szCs w:val="24"/>
          <w:lang w:val="en-ZA"/>
        </w:rPr>
        <w:t xml:space="preserve"> of the Municipal Systems Act</w:t>
      </w:r>
      <w:r w:rsidR="001D22A6" w:rsidRPr="00994D55">
        <w:rPr>
          <w:rFonts w:ascii="Arial" w:eastAsia="Calibri" w:hAnsi="Arial" w:cs="Arial"/>
          <w:sz w:val="24"/>
          <w:szCs w:val="24"/>
          <w:lang w:val="en-ZA"/>
        </w:rPr>
        <w:t>,</w:t>
      </w:r>
      <w:r w:rsidR="00B30EE7" w:rsidRPr="00994D55">
        <w:rPr>
          <w:rFonts w:ascii="Arial" w:eastAsia="Calibri" w:hAnsi="Arial" w:cs="Arial"/>
          <w:sz w:val="24"/>
          <w:szCs w:val="24"/>
          <w:lang w:val="en-ZA"/>
        </w:rPr>
        <w:t xml:space="preserve"> into 16 allegations of maladministration, fraud and corruption allegedly taking</w:t>
      </w:r>
      <w:r w:rsidR="007C5D20">
        <w:rPr>
          <w:rFonts w:ascii="Arial" w:eastAsia="Calibri" w:hAnsi="Arial" w:cs="Arial"/>
          <w:sz w:val="24"/>
          <w:szCs w:val="24"/>
          <w:lang w:val="en-ZA"/>
        </w:rPr>
        <w:t xml:space="preserve"> place at the first applicant. </w:t>
      </w:r>
      <w:r w:rsidR="00B30EE7" w:rsidRPr="00994D55">
        <w:rPr>
          <w:rFonts w:ascii="Arial" w:eastAsia="Calibri" w:hAnsi="Arial" w:cs="Arial"/>
          <w:sz w:val="24"/>
          <w:szCs w:val="24"/>
          <w:lang w:val="en-ZA"/>
        </w:rPr>
        <w:t xml:space="preserve">The second respondent had been designated to conduct the said </w:t>
      </w:r>
      <w:r w:rsidR="00FE787E" w:rsidRPr="00994D55">
        <w:rPr>
          <w:rFonts w:ascii="Arial" w:eastAsia="Calibri" w:hAnsi="Arial" w:cs="Arial"/>
          <w:sz w:val="24"/>
          <w:szCs w:val="24"/>
          <w:lang w:val="en-ZA"/>
        </w:rPr>
        <w:t>investigations</w:t>
      </w:r>
      <w:r w:rsidR="001D22A6" w:rsidRPr="00994D55">
        <w:rPr>
          <w:rFonts w:ascii="Arial" w:eastAsia="Calibri" w:hAnsi="Arial" w:cs="Arial"/>
          <w:sz w:val="24"/>
          <w:szCs w:val="24"/>
          <w:lang w:val="en-ZA"/>
        </w:rPr>
        <w:t>. O</w:t>
      </w:r>
      <w:r w:rsidR="00FE787E" w:rsidRPr="00994D55">
        <w:rPr>
          <w:rFonts w:ascii="Arial" w:eastAsia="Calibri" w:hAnsi="Arial" w:cs="Arial"/>
          <w:sz w:val="24"/>
          <w:szCs w:val="24"/>
          <w:lang w:val="en-ZA"/>
        </w:rPr>
        <w:t>f</w:t>
      </w:r>
      <w:r w:rsidR="00D16E42" w:rsidRPr="00994D55">
        <w:rPr>
          <w:rFonts w:ascii="Arial" w:eastAsia="Calibri" w:hAnsi="Arial" w:cs="Arial"/>
          <w:sz w:val="24"/>
          <w:szCs w:val="24"/>
          <w:lang w:val="en-ZA"/>
        </w:rPr>
        <w:t xml:space="preserve"> </w:t>
      </w:r>
      <w:r w:rsidR="00E51C07">
        <w:rPr>
          <w:rFonts w:ascii="Arial" w:eastAsia="Calibri" w:hAnsi="Arial" w:cs="Arial"/>
          <w:sz w:val="24"/>
          <w:szCs w:val="24"/>
          <w:lang w:val="en-ZA"/>
        </w:rPr>
        <w:t>relevance</w:t>
      </w:r>
      <w:r w:rsidR="00FE787E" w:rsidRPr="00994D55">
        <w:rPr>
          <w:rFonts w:ascii="Arial" w:eastAsia="Calibri" w:hAnsi="Arial" w:cs="Arial"/>
          <w:sz w:val="24"/>
          <w:szCs w:val="24"/>
          <w:lang w:val="en-ZA"/>
        </w:rPr>
        <w:t xml:space="preserve"> to note, the </w:t>
      </w:r>
      <w:r w:rsidR="00B30EE7" w:rsidRPr="00994D55">
        <w:rPr>
          <w:rFonts w:ascii="Arial" w:eastAsia="Calibri" w:hAnsi="Arial" w:cs="Arial"/>
          <w:sz w:val="24"/>
          <w:szCs w:val="24"/>
          <w:lang w:val="en-ZA"/>
        </w:rPr>
        <w:t xml:space="preserve">letter from Mr </w:t>
      </w:r>
      <w:proofErr w:type="spellStart"/>
      <w:r w:rsidR="00B30EE7" w:rsidRPr="00994D55">
        <w:rPr>
          <w:rFonts w:ascii="Arial" w:eastAsia="Calibri" w:hAnsi="Arial" w:cs="Arial"/>
          <w:sz w:val="24"/>
          <w:szCs w:val="24"/>
          <w:lang w:val="en-ZA"/>
        </w:rPr>
        <w:t>Tubane</w:t>
      </w:r>
      <w:proofErr w:type="spellEnd"/>
      <w:r w:rsidR="00B30EE7" w:rsidRPr="00994D55">
        <w:rPr>
          <w:rFonts w:ascii="Arial" w:eastAsia="Calibri" w:hAnsi="Arial" w:cs="Arial"/>
          <w:sz w:val="24"/>
          <w:szCs w:val="24"/>
          <w:lang w:val="en-ZA"/>
        </w:rPr>
        <w:t xml:space="preserve"> recorded, that </w:t>
      </w:r>
      <w:r w:rsidR="007E04B9" w:rsidRPr="00994D55">
        <w:rPr>
          <w:rFonts w:ascii="Arial" w:eastAsia="Calibri" w:hAnsi="Arial" w:cs="Arial"/>
          <w:sz w:val="24"/>
          <w:szCs w:val="24"/>
          <w:lang w:val="en-ZA"/>
        </w:rPr>
        <w:t>‘</w:t>
      </w:r>
      <w:r w:rsidR="001D22A6" w:rsidRPr="00994D55">
        <w:rPr>
          <w:rFonts w:ascii="Arial" w:eastAsia="Calibri" w:hAnsi="Arial" w:cs="Arial"/>
          <w:sz w:val="24"/>
          <w:szCs w:val="24"/>
          <w:lang w:val="en-ZA"/>
        </w:rPr>
        <w:t>it [would]</w:t>
      </w:r>
      <w:r w:rsidR="00B30EE7" w:rsidRPr="00994D55">
        <w:rPr>
          <w:rFonts w:ascii="Arial" w:eastAsia="Calibri" w:hAnsi="Arial" w:cs="Arial"/>
          <w:sz w:val="24"/>
          <w:szCs w:val="24"/>
          <w:lang w:val="en-ZA"/>
        </w:rPr>
        <w:t xml:space="preserve"> be necessary for the investigators</w:t>
      </w:r>
      <w:r w:rsidR="00FE787E" w:rsidRPr="00994D55">
        <w:rPr>
          <w:rFonts w:ascii="Arial" w:eastAsia="Calibri" w:hAnsi="Arial" w:cs="Arial"/>
          <w:sz w:val="24"/>
          <w:szCs w:val="24"/>
          <w:lang w:val="en-ZA"/>
        </w:rPr>
        <w:t xml:space="preserve"> (second respondent)</w:t>
      </w:r>
      <w:r w:rsidR="00B30EE7" w:rsidRPr="00994D55">
        <w:rPr>
          <w:rFonts w:ascii="Arial" w:eastAsia="Calibri" w:hAnsi="Arial" w:cs="Arial"/>
          <w:sz w:val="24"/>
          <w:szCs w:val="24"/>
          <w:lang w:val="en-ZA"/>
        </w:rPr>
        <w:t xml:space="preserve"> to </w:t>
      </w:r>
      <w:proofErr w:type="spellStart"/>
      <w:r w:rsidR="00B30EE7" w:rsidRPr="00994D55">
        <w:rPr>
          <w:rFonts w:ascii="Arial" w:eastAsia="Calibri" w:hAnsi="Arial" w:cs="Arial"/>
          <w:sz w:val="24"/>
          <w:szCs w:val="24"/>
          <w:lang w:val="en-ZA"/>
        </w:rPr>
        <w:t>liase</w:t>
      </w:r>
      <w:proofErr w:type="spellEnd"/>
      <w:r w:rsidR="00B30EE7" w:rsidRPr="00994D55">
        <w:rPr>
          <w:rFonts w:ascii="Arial" w:eastAsia="Calibri" w:hAnsi="Arial" w:cs="Arial"/>
          <w:sz w:val="24"/>
          <w:szCs w:val="24"/>
          <w:lang w:val="en-ZA"/>
        </w:rPr>
        <w:t xml:space="preserve"> both verbally and in writing with Council</w:t>
      </w:r>
      <w:r w:rsidR="00FE787E" w:rsidRPr="00994D55">
        <w:rPr>
          <w:rFonts w:ascii="Arial" w:eastAsia="Calibri" w:hAnsi="Arial" w:cs="Arial"/>
          <w:sz w:val="24"/>
          <w:szCs w:val="24"/>
          <w:lang w:val="en-ZA"/>
        </w:rPr>
        <w:t>l</w:t>
      </w:r>
      <w:r w:rsidR="001D22A6" w:rsidRPr="00994D55">
        <w:rPr>
          <w:rFonts w:ascii="Arial" w:eastAsia="Calibri" w:hAnsi="Arial" w:cs="Arial"/>
          <w:sz w:val="24"/>
          <w:szCs w:val="24"/>
          <w:lang w:val="en-ZA"/>
        </w:rPr>
        <w:t>ors, officials</w:t>
      </w:r>
      <w:r w:rsidR="007E04B9" w:rsidRPr="00994D55">
        <w:rPr>
          <w:rFonts w:ascii="Arial" w:eastAsia="Calibri" w:hAnsi="Arial" w:cs="Arial"/>
          <w:sz w:val="24"/>
          <w:szCs w:val="24"/>
          <w:lang w:val="en-ZA"/>
        </w:rPr>
        <w:t>,</w:t>
      </w:r>
      <w:r w:rsidR="001D22A6" w:rsidRPr="00994D55">
        <w:rPr>
          <w:rFonts w:ascii="Arial" w:eastAsia="Calibri" w:hAnsi="Arial" w:cs="Arial"/>
          <w:sz w:val="24"/>
          <w:szCs w:val="24"/>
          <w:lang w:val="en-ZA"/>
        </w:rPr>
        <w:t xml:space="preserve"> stake-</w:t>
      </w:r>
      <w:r w:rsidR="00B30EE7" w:rsidRPr="00994D55">
        <w:rPr>
          <w:rFonts w:ascii="Arial" w:eastAsia="Calibri" w:hAnsi="Arial" w:cs="Arial"/>
          <w:sz w:val="24"/>
          <w:szCs w:val="24"/>
          <w:lang w:val="en-ZA"/>
        </w:rPr>
        <w:t>holders and service providers of the first applicant</w:t>
      </w:r>
      <w:r w:rsidR="007E04B9" w:rsidRPr="00994D55">
        <w:rPr>
          <w:rFonts w:ascii="Arial" w:eastAsia="Calibri" w:hAnsi="Arial" w:cs="Arial"/>
          <w:sz w:val="24"/>
          <w:szCs w:val="24"/>
          <w:lang w:val="en-ZA"/>
        </w:rPr>
        <w:t>’</w:t>
      </w:r>
      <w:r w:rsidR="00B30EE7" w:rsidRPr="00994D55">
        <w:rPr>
          <w:rStyle w:val="FootnoteReference"/>
          <w:rFonts w:ascii="Arial" w:eastAsia="Calibri" w:hAnsi="Arial" w:cs="Arial"/>
          <w:sz w:val="24"/>
          <w:szCs w:val="24"/>
          <w:lang w:val="en-ZA"/>
        </w:rPr>
        <w:footnoteReference w:id="1"/>
      </w:r>
      <w:r w:rsidR="00994D55" w:rsidRPr="00994D55">
        <w:rPr>
          <w:rFonts w:ascii="Arial" w:eastAsia="Calibri" w:hAnsi="Arial" w:cs="Arial"/>
          <w:sz w:val="24"/>
          <w:szCs w:val="24"/>
          <w:lang w:val="en-ZA"/>
        </w:rPr>
        <w:t>.</w:t>
      </w:r>
      <w:r w:rsidR="00B30EE7" w:rsidRPr="00994D55">
        <w:rPr>
          <w:rFonts w:ascii="Arial" w:eastAsia="Calibri" w:hAnsi="Arial" w:cs="Arial"/>
          <w:sz w:val="24"/>
          <w:szCs w:val="24"/>
          <w:lang w:val="en-ZA"/>
        </w:rPr>
        <w:t xml:space="preserve"> The first applicant </w:t>
      </w:r>
      <w:r w:rsidR="003309C3" w:rsidRPr="00994D55">
        <w:rPr>
          <w:rFonts w:ascii="Arial" w:eastAsia="Calibri" w:hAnsi="Arial" w:cs="Arial"/>
          <w:sz w:val="24"/>
          <w:szCs w:val="24"/>
          <w:lang w:val="en-ZA"/>
        </w:rPr>
        <w:t>received no further correspondence thereafter until 11 May 2020.</w:t>
      </w:r>
    </w:p>
    <w:p w14:paraId="205E4AC9" w14:textId="77777777" w:rsidR="003309C3" w:rsidRPr="00994D55" w:rsidRDefault="003309C3" w:rsidP="007E04B9">
      <w:pPr>
        <w:spacing w:after="0" w:line="360" w:lineRule="auto"/>
        <w:jc w:val="both"/>
        <w:rPr>
          <w:rFonts w:ascii="Arial" w:eastAsia="Calibri" w:hAnsi="Arial" w:cs="Arial"/>
          <w:sz w:val="24"/>
          <w:szCs w:val="24"/>
          <w:lang w:val="en-ZA"/>
        </w:rPr>
      </w:pPr>
    </w:p>
    <w:p w14:paraId="5C67B877" w14:textId="5E79E8BF" w:rsidR="003309C3" w:rsidRPr="00994D55" w:rsidRDefault="0001388F" w:rsidP="007E04B9">
      <w:pPr>
        <w:spacing w:after="0" w:line="360" w:lineRule="auto"/>
        <w:jc w:val="both"/>
        <w:rPr>
          <w:rFonts w:ascii="Arial" w:eastAsia="Calibri" w:hAnsi="Arial" w:cs="Arial"/>
          <w:sz w:val="24"/>
          <w:szCs w:val="24"/>
          <w:lang w:val="en-ZA"/>
        </w:rPr>
      </w:pPr>
      <w:r w:rsidRPr="00994D55">
        <w:rPr>
          <w:rFonts w:ascii="Arial" w:eastAsia="Calibri" w:hAnsi="Arial" w:cs="Arial"/>
          <w:sz w:val="24"/>
          <w:szCs w:val="24"/>
          <w:lang w:val="en-ZA"/>
        </w:rPr>
        <w:t>[3</w:t>
      </w:r>
      <w:r w:rsidR="003309C3" w:rsidRPr="00994D55">
        <w:rPr>
          <w:rFonts w:ascii="Arial" w:eastAsia="Calibri" w:hAnsi="Arial" w:cs="Arial"/>
          <w:sz w:val="24"/>
          <w:szCs w:val="24"/>
          <w:lang w:val="en-ZA"/>
        </w:rPr>
        <w:t>]</w:t>
      </w:r>
      <w:r w:rsidR="003309C3" w:rsidRPr="00994D55">
        <w:rPr>
          <w:rFonts w:ascii="Arial" w:eastAsia="Calibri" w:hAnsi="Arial" w:cs="Arial"/>
          <w:sz w:val="24"/>
          <w:szCs w:val="24"/>
          <w:lang w:val="en-ZA"/>
        </w:rPr>
        <w:tab/>
        <w:t xml:space="preserve">On 11 </w:t>
      </w:r>
      <w:r w:rsidR="00994D55">
        <w:rPr>
          <w:rFonts w:ascii="Arial" w:eastAsia="Calibri" w:hAnsi="Arial" w:cs="Arial"/>
          <w:sz w:val="24"/>
          <w:szCs w:val="24"/>
          <w:lang w:val="en-ZA"/>
        </w:rPr>
        <w:t>M</w:t>
      </w:r>
      <w:r w:rsidR="00994D55" w:rsidRPr="00994D55">
        <w:rPr>
          <w:rFonts w:ascii="Arial" w:eastAsia="Calibri" w:hAnsi="Arial" w:cs="Arial"/>
          <w:sz w:val="24"/>
          <w:szCs w:val="24"/>
          <w:lang w:val="en-ZA"/>
        </w:rPr>
        <w:t xml:space="preserve">ay </w:t>
      </w:r>
      <w:r w:rsidR="003309C3" w:rsidRPr="00994D55">
        <w:rPr>
          <w:rFonts w:ascii="Arial" w:eastAsia="Calibri" w:hAnsi="Arial" w:cs="Arial"/>
          <w:sz w:val="24"/>
          <w:szCs w:val="24"/>
          <w:lang w:val="en-ZA"/>
        </w:rPr>
        <w:t xml:space="preserve">2020 the second applicant received an email from Mr S Govender, </w:t>
      </w:r>
      <w:r w:rsidR="00FE787E" w:rsidRPr="00994D55">
        <w:rPr>
          <w:rFonts w:ascii="Arial" w:eastAsia="Calibri" w:hAnsi="Arial" w:cs="Arial"/>
          <w:sz w:val="24"/>
          <w:szCs w:val="24"/>
          <w:lang w:val="en-ZA"/>
        </w:rPr>
        <w:t>(</w:t>
      </w:r>
      <w:r w:rsidR="00C24519" w:rsidRPr="00994D55">
        <w:rPr>
          <w:rFonts w:ascii="Arial" w:eastAsia="Calibri" w:hAnsi="Arial" w:cs="Arial"/>
          <w:sz w:val="24"/>
          <w:szCs w:val="24"/>
          <w:lang w:val="en-ZA"/>
        </w:rPr>
        <w:t>the MEC’s Senior Manager</w:t>
      </w:r>
      <w:r w:rsidR="00FE787E" w:rsidRPr="00994D55">
        <w:rPr>
          <w:rFonts w:ascii="Arial" w:eastAsia="Calibri" w:hAnsi="Arial" w:cs="Arial"/>
          <w:sz w:val="24"/>
          <w:szCs w:val="24"/>
          <w:lang w:val="en-ZA"/>
        </w:rPr>
        <w:t>)</w:t>
      </w:r>
      <w:r w:rsidR="003309C3" w:rsidRPr="00994D55">
        <w:rPr>
          <w:rFonts w:ascii="Arial" w:eastAsia="Calibri" w:hAnsi="Arial" w:cs="Arial"/>
          <w:sz w:val="24"/>
          <w:szCs w:val="24"/>
          <w:lang w:val="en-ZA"/>
        </w:rPr>
        <w:t xml:space="preserve"> the relevant portion of which reads:</w:t>
      </w:r>
    </w:p>
    <w:p w14:paraId="121C96F5" w14:textId="77777777" w:rsidR="003309C3" w:rsidRPr="00994D55" w:rsidRDefault="007E04B9" w:rsidP="00D05EC6">
      <w:pPr>
        <w:spacing w:after="0" w:line="360" w:lineRule="auto"/>
        <w:jc w:val="both"/>
        <w:rPr>
          <w:rFonts w:ascii="Arial" w:eastAsia="Calibri" w:hAnsi="Arial" w:cs="Arial"/>
          <w:szCs w:val="24"/>
          <w:lang w:val="en-ZA"/>
        </w:rPr>
      </w:pPr>
      <w:r w:rsidRPr="00994D55">
        <w:rPr>
          <w:rFonts w:ascii="Arial" w:eastAsia="Calibri" w:hAnsi="Arial" w:cs="Arial"/>
          <w:szCs w:val="24"/>
          <w:lang w:val="en-ZA"/>
        </w:rPr>
        <w:t>‘</w:t>
      </w:r>
      <w:r w:rsidR="003309C3" w:rsidRPr="00994D55">
        <w:rPr>
          <w:rFonts w:ascii="Arial" w:eastAsia="Calibri" w:hAnsi="Arial" w:cs="Arial"/>
          <w:szCs w:val="24"/>
          <w:lang w:val="en-ZA"/>
        </w:rPr>
        <w:t>…The investigation authorized by the MEC in terms of section 106 of the Systems Act has been finalized and a report is ready for tabling at Zululand Muni</w:t>
      </w:r>
      <w:r w:rsidR="00994D55">
        <w:rPr>
          <w:rFonts w:ascii="Arial" w:eastAsia="Calibri" w:hAnsi="Arial" w:cs="Arial"/>
          <w:szCs w:val="24"/>
          <w:lang w:val="en-ZA"/>
        </w:rPr>
        <w:t>cipality.</w:t>
      </w:r>
      <w:r w:rsidR="003309C3" w:rsidRPr="00994D55">
        <w:rPr>
          <w:rFonts w:ascii="Arial" w:eastAsia="Calibri" w:hAnsi="Arial" w:cs="Arial"/>
          <w:szCs w:val="24"/>
          <w:lang w:val="en-ZA"/>
        </w:rPr>
        <w:t xml:space="preserve"> For this reason, we hereby </w:t>
      </w:r>
      <w:r w:rsidR="003309C3" w:rsidRPr="00994D55">
        <w:rPr>
          <w:rFonts w:ascii="Arial" w:eastAsia="Calibri" w:hAnsi="Arial" w:cs="Arial"/>
          <w:szCs w:val="24"/>
          <w:lang w:val="en-ZA"/>
        </w:rPr>
        <w:lastRenderedPageBreak/>
        <w:t>request attendance for a short item for the tabling of the forensic report, at your virtual council meeting due to be held on 14 May 2020.</w:t>
      </w:r>
      <w:r w:rsidRPr="00994D55">
        <w:rPr>
          <w:rFonts w:ascii="Arial" w:eastAsia="Calibri" w:hAnsi="Arial" w:cs="Arial"/>
          <w:szCs w:val="24"/>
          <w:lang w:val="en-ZA"/>
        </w:rPr>
        <w:t>’</w:t>
      </w:r>
    </w:p>
    <w:p w14:paraId="6DD7F3CB" w14:textId="663008FC" w:rsidR="003309C3" w:rsidRPr="00994D55" w:rsidRDefault="003309C3" w:rsidP="007E04B9">
      <w:pPr>
        <w:spacing w:after="0" w:line="360" w:lineRule="auto"/>
        <w:jc w:val="both"/>
        <w:rPr>
          <w:rFonts w:ascii="Arial" w:eastAsia="Calibri" w:hAnsi="Arial" w:cs="Arial"/>
          <w:sz w:val="24"/>
          <w:szCs w:val="24"/>
          <w:lang w:val="en-ZA"/>
        </w:rPr>
      </w:pPr>
      <w:r w:rsidRPr="00994D55">
        <w:rPr>
          <w:rFonts w:ascii="Arial" w:eastAsia="Calibri" w:hAnsi="Arial" w:cs="Arial"/>
          <w:sz w:val="24"/>
          <w:szCs w:val="24"/>
          <w:lang w:val="en-ZA"/>
        </w:rPr>
        <w:t xml:space="preserve">A virtual meeting was subsequently held on 14 May 2020 </w:t>
      </w:r>
      <w:r w:rsidR="00D16E42">
        <w:rPr>
          <w:rFonts w:ascii="Arial" w:eastAsia="Calibri" w:hAnsi="Arial" w:cs="Arial"/>
          <w:sz w:val="24"/>
          <w:szCs w:val="24"/>
          <w:lang w:val="en-ZA"/>
        </w:rPr>
        <w:t>by</w:t>
      </w:r>
      <w:r w:rsidR="00D16E42" w:rsidRPr="00994D55">
        <w:rPr>
          <w:rFonts w:ascii="Arial" w:eastAsia="Calibri" w:hAnsi="Arial" w:cs="Arial"/>
          <w:sz w:val="24"/>
          <w:szCs w:val="24"/>
          <w:lang w:val="en-ZA"/>
        </w:rPr>
        <w:t xml:space="preserve"> </w:t>
      </w:r>
      <w:r w:rsidRPr="00994D55">
        <w:rPr>
          <w:rFonts w:ascii="Arial" w:eastAsia="Calibri" w:hAnsi="Arial" w:cs="Arial"/>
          <w:sz w:val="24"/>
          <w:szCs w:val="24"/>
          <w:lang w:val="en-ZA"/>
        </w:rPr>
        <w:t xml:space="preserve">the first applicant’s council whereupon the second respondent presented a </w:t>
      </w:r>
      <w:r w:rsidR="00FE787E" w:rsidRPr="00994D55">
        <w:rPr>
          <w:rFonts w:ascii="Arial" w:eastAsia="Calibri" w:hAnsi="Arial" w:cs="Arial"/>
          <w:sz w:val="24"/>
          <w:szCs w:val="24"/>
          <w:lang w:val="en-ZA"/>
        </w:rPr>
        <w:t>report comprising 387 pages and an additional</w:t>
      </w:r>
      <w:r w:rsidRPr="00994D55">
        <w:rPr>
          <w:rFonts w:ascii="Arial" w:eastAsia="Calibri" w:hAnsi="Arial" w:cs="Arial"/>
          <w:sz w:val="24"/>
          <w:szCs w:val="24"/>
          <w:lang w:val="en-ZA"/>
        </w:rPr>
        <w:t xml:space="preserve"> 61 annexures</w:t>
      </w:r>
      <w:r w:rsidR="00FE787E" w:rsidRPr="00994D55">
        <w:rPr>
          <w:rFonts w:ascii="Arial" w:eastAsia="Calibri" w:hAnsi="Arial" w:cs="Arial"/>
          <w:sz w:val="24"/>
          <w:szCs w:val="24"/>
          <w:lang w:val="en-ZA"/>
        </w:rPr>
        <w:t>,</w:t>
      </w:r>
      <w:r w:rsidRPr="00994D55">
        <w:rPr>
          <w:rFonts w:ascii="Arial" w:eastAsia="Calibri" w:hAnsi="Arial" w:cs="Arial"/>
          <w:sz w:val="24"/>
          <w:szCs w:val="24"/>
          <w:lang w:val="en-ZA"/>
        </w:rPr>
        <w:t xml:space="preserve"> and a letter from the </w:t>
      </w:r>
      <w:r w:rsidR="00C24519" w:rsidRPr="00994D55">
        <w:rPr>
          <w:rFonts w:ascii="Arial" w:eastAsia="Calibri" w:hAnsi="Arial" w:cs="Arial"/>
          <w:sz w:val="24"/>
          <w:szCs w:val="24"/>
          <w:lang w:val="en-ZA"/>
        </w:rPr>
        <w:t>MEC</w:t>
      </w:r>
      <w:r w:rsidRPr="00994D55">
        <w:rPr>
          <w:rFonts w:ascii="Arial" w:eastAsia="Calibri" w:hAnsi="Arial" w:cs="Arial"/>
          <w:sz w:val="24"/>
          <w:szCs w:val="24"/>
          <w:lang w:val="en-ZA"/>
        </w:rPr>
        <w:t xml:space="preserve"> dated 1 May 2020 but signed by </w:t>
      </w:r>
      <w:r w:rsidR="00FE787E" w:rsidRPr="00994D55">
        <w:rPr>
          <w:rFonts w:ascii="Arial" w:eastAsia="Calibri" w:hAnsi="Arial" w:cs="Arial"/>
          <w:sz w:val="24"/>
          <w:szCs w:val="24"/>
          <w:lang w:val="en-ZA"/>
        </w:rPr>
        <w:t>the MEC</w:t>
      </w:r>
      <w:r w:rsidRPr="00994D55">
        <w:rPr>
          <w:rFonts w:ascii="Arial" w:eastAsia="Calibri" w:hAnsi="Arial" w:cs="Arial"/>
          <w:sz w:val="24"/>
          <w:szCs w:val="24"/>
          <w:lang w:val="en-ZA"/>
        </w:rPr>
        <w:t xml:space="preserve"> on 14 May 2020</w:t>
      </w:r>
      <w:r w:rsidR="00FE787E" w:rsidRPr="00994D55">
        <w:rPr>
          <w:rFonts w:ascii="Arial" w:eastAsia="Calibri" w:hAnsi="Arial" w:cs="Arial"/>
          <w:sz w:val="24"/>
          <w:szCs w:val="24"/>
          <w:lang w:val="en-ZA"/>
        </w:rPr>
        <w:t>,</w:t>
      </w:r>
      <w:r w:rsidRPr="00994D55">
        <w:rPr>
          <w:rStyle w:val="FootnoteReference"/>
          <w:rFonts w:ascii="Arial" w:eastAsia="Calibri" w:hAnsi="Arial" w:cs="Arial"/>
          <w:sz w:val="24"/>
          <w:szCs w:val="24"/>
          <w:lang w:val="en-ZA"/>
        </w:rPr>
        <w:footnoteReference w:id="2"/>
      </w:r>
      <w:r w:rsidRPr="00994D55">
        <w:rPr>
          <w:rFonts w:ascii="Arial" w:eastAsia="Calibri" w:hAnsi="Arial" w:cs="Arial"/>
          <w:sz w:val="24"/>
          <w:szCs w:val="24"/>
          <w:lang w:val="en-ZA"/>
        </w:rPr>
        <w:t xml:space="preserve"> the relevant </w:t>
      </w:r>
      <w:r w:rsidR="00C24519" w:rsidRPr="00994D55">
        <w:rPr>
          <w:rFonts w:ascii="Arial" w:eastAsia="Calibri" w:hAnsi="Arial" w:cs="Arial"/>
          <w:sz w:val="24"/>
          <w:szCs w:val="24"/>
          <w:lang w:val="en-ZA"/>
        </w:rPr>
        <w:t xml:space="preserve">part </w:t>
      </w:r>
      <w:r w:rsidRPr="00994D55">
        <w:rPr>
          <w:rFonts w:ascii="Arial" w:eastAsia="Calibri" w:hAnsi="Arial" w:cs="Arial"/>
          <w:sz w:val="24"/>
          <w:szCs w:val="24"/>
          <w:lang w:val="en-ZA"/>
        </w:rPr>
        <w:t>of which reads:</w:t>
      </w:r>
    </w:p>
    <w:p w14:paraId="10B094D5" w14:textId="77777777" w:rsidR="003309C3" w:rsidRPr="00994D55" w:rsidRDefault="00994D55" w:rsidP="00D05EC6">
      <w:pPr>
        <w:spacing w:after="0" w:line="360" w:lineRule="auto"/>
        <w:jc w:val="both"/>
        <w:rPr>
          <w:rFonts w:ascii="Arial" w:eastAsia="Calibri" w:hAnsi="Arial" w:cs="Arial"/>
          <w:szCs w:val="24"/>
          <w:lang w:val="en-ZA"/>
        </w:rPr>
      </w:pPr>
      <w:r w:rsidRPr="00994D55">
        <w:rPr>
          <w:rFonts w:ascii="Arial" w:eastAsia="Calibri" w:hAnsi="Arial" w:cs="Arial"/>
          <w:szCs w:val="24"/>
          <w:lang w:val="en-ZA"/>
        </w:rPr>
        <w:t>‘</w:t>
      </w:r>
      <w:r w:rsidR="003309C3" w:rsidRPr="00994D55">
        <w:rPr>
          <w:rFonts w:ascii="Arial" w:eastAsia="Calibri" w:hAnsi="Arial" w:cs="Arial"/>
          <w:szCs w:val="24"/>
          <w:lang w:val="en-ZA"/>
        </w:rPr>
        <w:t xml:space="preserve">You are required to table this report before council and provide me within 21 days of receipt hereof, with a certified copy of the council resolution taken at the ordinary </w:t>
      </w:r>
      <w:r w:rsidR="005A69DB" w:rsidRPr="00994D55">
        <w:rPr>
          <w:rFonts w:ascii="Arial" w:eastAsia="Calibri" w:hAnsi="Arial" w:cs="Arial"/>
          <w:szCs w:val="24"/>
          <w:lang w:val="en-ZA"/>
        </w:rPr>
        <w:t>special council meeting convened to deal with this matter, together with your detailed comments and proposed actions (disciplinary action, civil recovery and/or criminal charges registered)</w:t>
      </w:r>
      <w:r w:rsidRPr="00994D55">
        <w:rPr>
          <w:rFonts w:ascii="Arial" w:eastAsia="Calibri" w:hAnsi="Arial" w:cs="Arial"/>
          <w:szCs w:val="24"/>
          <w:lang w:val="en-ZA"/>
        </w:rPr>
        <w:t>’</w:t>
      </w:r>
      <w:r w:rsidR="005A69DB" w:rsidRPr="00994D55">
        <w:rPr>
          <w:rFonts w:ascii="Arial" w:eastAsia="Calibri" w:hAnsi="Arial" w:cs="Arial"/>
          <w:szCs w:val="24"/>
          <w:lang w:val="en-ZA"/>
        </w:rPr>
        <w:t>.</w:t>
      </w:r>
    </w:p>
    <w:p w14:paraId="614A5A03" w14:textId="77777777" w:rsidR="007E04B9" w:rsidRPr="00994D55" w:rsidRDefault="007E04B9" w:rsidP="007E04B9">
      <w:pPr>
        <w:spacing w:after="0" w:line="360" w:lineRule="auto"/>
        <w:jc w:val="both"/>
        <w:rPr>
          <w:rFonts w:ascii="Arial" w:eastAsia="Calibri" w:hAnsi="Arial" w:cs="Arial"/>
          <w:sz w:val="24"/>
          <w:szCs w:val="24"/>
          <w:lang w:val="en-ZA"/>
        </w:rPr>
      </w:pPr>
    </w:p>
    <w:p w14:paraId="7C6C0C7D" w14:textId="5BD593D8" w:rsidR="00994D55" w:rsidRDefault="00994D55" w:rsidP="007E04B9">
      <w:pPr>
        <w:spacing w:after="0" w:line="360" w:lineRule="auto"/>
        <w:jc w:val="both"/>
        <w:rPr>
          <w:rFonts w:ascii="Arial" w:eastAsia="Calibri" w:hAnsi="Arial" w:cs="Arial"/>
          <w:sz w:val="24"/>
          <w:szCs w:val="24"/>
          <w:lang w:val="en-ZA"/>
        </w:rPr>
      </w:pPr>
      <w:r>
        <w:rPr>
          <w:rFonts w:ascii="Arial" w:eastAsia="Calibri" w:hAnsi="Arial" w:cs="Arial"/>
          <w:sz w:val="24"/>
          <w:szCs w:val="24"/>
          <w:lang w:val="en-ZA"/>
        </w:rPr>
        <w:t>[4]</w:t>
      </w:r>
      <w:r>
        <w:rPr>
          <w:rFonts w:ascii="Arial" w:eastAsia="Calibri" w:hAnsi="Arial" w:cs="Arial"/>
          <w:sz w:val="24"/>
          <w:szCs w:val="24"/>
          <w:lang w:val="en-ZA"/>
        </w:rPr>
        <w:tab/>
      </w:r>
      <w:r w:rsidR="005A69DB" w:rsidRPr="00994D55">
        <w:rPr>
          <w:rFonts w:ascii="Arial" w:eastAsia="Calibri" w:hAnsi="Arial" w:cs="Arial"/>
          <w:sz w:val="24"/>
          <w:szCs w:val="24"/>
          <w:lang w:val="en-ZA"/>
        </w:rPr>
        <w:t>On 10 June 2020 the first and second applicants, through their attorney</w:t>
      </w:r>
      <w:r w:rsidR="00FE787E" w:rsidRPr="00994D55">
        <w:rPr>
          <w:rFonts w:ascii="Arial" w:eastAsia="Calibri" w:hAnsi="Arial" w:cs="Arial"/>
          <w:sz w:val="24"/>
          <w:szCs w:val="24"/>
          <w:lang w:val="en-ZA"/>
        </w:rPr>
        <w:t>s</w:t>
      </w:r>
      <w:r>
        <w:rPr>
          <w:rFonts w:ascii="Arial" w:eastAsia="Calibri" w:hAnsi="Arial" w:cs="Arial"/>
          <w:sz w:val="24"/>
          <w:szCs w:val="24"/>
          <w:lang w:val="en-ZA"/>
        </w:rPr>
        <w:t>,</w:t>
      </w:r>
      <w:r w:rsidR="00FE787E" w:rsidRPr="00994D55">
        <w:rPr>
          <w:rFonts w:ascii="Arial" w:eastAsia="Calibri" w:hAnsi="Arial" w:cs="Arial"/>
          <w:sz w:val="24"/>
          <w:szCs w:val="24"/>
          <w:lang w:val="en-ZA"/>
        </w:rPr>
        <w:t xml:space="preserve"> </w:t>
      </w:r>
      <w:proofErr w:type="spellStart"/>
      <w:r w:rsidR="00FE787E" w:rsidRPr="00994D55">
        <w:rPr>
          <w:rFonts w:ascii="Arial" w:eastAsia="Calibri" w:hAnsi="Arial" w:cs="Arial"/>
          <w:sz w:val="24"/>
          <w:szCs w:val="24"/>
          <w:lang w:val="en-ZA"/>
        </w:rPr>
        <w:t>Garlicke</w:t>
      </w:r>
      <w:proofErr w:type="spellEnd"/>
      <w:r w:rsidR="005A69DB" w:rsidRPr="00994D55">
        <w:rPr>
          <w:rFonts w:ascii="Arial" w:eastAsia="Calibri" w:hAnsi="Arial" w:cs="Arial"/>
          <w:sz w:val="24"/>
          <w:szCs w:val="24"/>
          <w:lang w:val="en-ZA"/>
        </w:rPr>
        <w:t xml:space="preserve"> and </w:t>
      </w:r>
      <w:proofErr w:type="spellStart"/>
      <w:r w:rsidR="005A69DB" w:rsidRPr="00994D55">
        <w:rPr>
          <w:rFonts w:ascii="Arial" w:eastAsia="Calibri" w:hAnsi="Arial" w:cs="Arial"/>
          <w:sz w:val="24"/>
          <w:szCs w:val="24"/>
          <w:lang w:val="en-ZA"/>
        </w:rPr>
        <w:t>Bousfield</w:t>
      </w:r>
      <w:proofErr w:type="spellEnd"/>
      <w:r w:rsidR="005A69DB" w:rsidRPr="00994D55">
        <w:rPr>
          <w:rFonts w:ascii="Arial" w:eastAsia="Calibri" w:hAnsi="Arial" w:cs="Arial"/>
          <w:sz w:val="24"/>
          <w:szCs w:val="24"/>
          <w:lang w:val="en-ZA"/>
        </w:rPr>
        <w:t>, addressed a letter to the first respondent pointing to deficiencies in the report and inviting the first respondent to withdraw the letter dated 14 May 2020 until the issues raised had been addressed</w:t>
      </w:r>
      <w:r>
        <w:rPr>
          <w:rFonts w:ascii="Arial" w:eastAsia="Calibri" w:hAnsi="Arial" w:cs="Arial"/>
          <w:sz w:val="24"/>
          <w:szCs w:val="24"/>
          <w:lang w:val="en-ZA"/>
        </w:rPr>
        <w:t>.</w:t>
      </w:r>
      <w:r w:rsidR="005A69DB" w:rsidRPr="00994D55">
        <w:rPr>
          <w:rStyle w:val="FootnoteReference"/>
          <w:rFonts w:ascii="Arial" w:eastAsia="Calibri" w:hAnsi="Arial" w:cs="Arial"/>
          <w:sz w:val="24"/>
          <w:szCs w:val="24"/>
          <w:lang w:val="en-ZA"/>
        </w:rPr>
        <w:footnoteReference w:id="3"/>
      </w:r>
      <w:r w:rsidR="005A69DB" w:rsidRPr="00994D55">
        <w:rPr>
          <w:rFonts w:ascii="Arial" w:eastAsia="Calibri" w:hAnsi="Arial" w:cs="Arial"/>
          <w:sz w:val="24"/>
          <w:szCs w:val="24"/>
          <w:lang w:val="en-ZA"/>
        </w:rPr>
        <w:t xml:space="preserve"> In para 10 of the letter the author observed that failure by the investigators to give various affected persons a hearin</w:t>
      </w:r>
      <w:r w:rsidR="00FE787E" w:rsidRPr="00994D55">
        <w:rPr>
          <w:rFonts w:ascii="Arial" w:eastAsia="Calibri" w:hAnsi="Arial" w:cs="Arial"/>
          <w:sz w:val="24"/>
          <w:szCs w:val="24"/>
          <w:lang w:val="en-ZA"/>
        </w:rPr>
        <w:t>g before compiling a report is</w:t>
      </w:r>
      <w:r w:rsidR="005A69DB" w:rsidRPr="00994D55">
        <w:rPr>
          <w:rFonts w:ascii="Arial" w:eastAsia="Calibri" w:hAnsi="Arial" w:cs="Arial"/>
          <w:sz w:val="24"/>
          <w:szCs w:val="24"/>
          <w:lang w:val="en-ZA"/>
        </w:rPr>
        <w:t xml:space="preserve"> unlawful, procedurally irrational and in breac</w:t>
      </w:r>
      <w:r w:rsidR="00FE787E" w:rsidRPr="00994D55">
        <w:rPr>
          <w:rFonts w:ascii="Arial" w:eastAsia="Calibri" w:hAnsi="Arial" w:cs="Arial"/>
          <w:sz w:val="24"/>
          <w:szCs w:val="24"/>
          <w:lang w:val="en-ZA"/>
        </w:rPr>
        <w:t>h of the right to be heard (</w:t>
      </w:r>
      <w:proofErr w:type="spellStart"/>
      <w:r w:rsidR="00FE787E" w:rsidRPr="00994D55">
        <w:rPr>
          <w:rFonts w:ascii="Arial" w:eastAsia="Calibri" w:hAnsi="Arial" w:cs="Arial"/>
          <w:i/>
          <w:sz w:val="24"/>
          <w:szCs w:val="24"/>
          <w:lang w:val="en-ZA"/>
        </w:rPr>
        <w:t>audi</w:t>
      </w:r>
      <w:proofErr w:type="spellEnd"/>
      <w:r w:rsidR="005A69DB" w:rsidRPr="00994D55">
        <w:rPr>
          <w:rFonts w:ascii="Arial" w:eastAsia="Calibri" w:hAnsi="Arial" w:cs="Arial"/>
          <w:i/>
          <w:sz w:val="24"/>
          <w:szCs w:val="24"/>
          <w:lang w:val="en-ZA"/>
        </w:rPr>
        <w:t xml:space="preserve"> </w:t>
      </w:r>
      <w:proofErr w:type="spellStart"/>
      <w:r w:rsidR="005A69DB" w:rsidRPr="00994D55">
        <w:rPr>
          <w:rFonts w:ascii="Arial" w:eastAsia="Calibri" w:hAnsi="Arial" w:cs="Arial"/>
          <w:i/>
          <w:sz w:val="24"/>
          <w:szCs w:val="24"/>
          <w:lang w:val="en-ZA"/>
        </w:rPr>
        <w:t>alteram</w:t>
      </w:r>
      <w:proofErr w:type="spellEnd"/>
      <w:r w:rsidR="005A69DB" w:rsidRPr="00994D55">
        <w:rPr>
          <w:rFonts w:ascii="Arial" w:eastAsia="Calibri" w:hAnsi="Arial" w:cs="Arial"/>
          <w:i/>
          <w:sz w:val="24"/>
          <w:szCs w:val="24"/>
          <w:lang w:val="en-ZA"/>
        </w:rPr>
        <w:t xml:space="preserve"> </w:t>
      </w:r>
      <w:proofErr w:type="spellStart"/>
      <w:r w:rsidR="005A69DB" w:rsidRPr="00994D55">
        <w:rPr>
          <w:rFonts w:ascii="Arial" w:eastAsia="Calibri" w:hAnsi="Arial" w:cs="Arial"/>
          <w:i/>
          <w:sz w:val="24"/>
          <w:szCs w:val="24"/>
          <w:lang w:val="en-ZA"/>
        </w:rPr>
        <w:t>partem</w:t>
      </w:r>
      <w:proofErr w:type="spellEnd"/>
      <w:r w:rsidR="005A69DB" w:rsidRPr="00B912D0">
        <w:rPr>
          <w:rFonts w:ascii="Arial" w:eastAsia="Calibri" w:hAnsi="Arial" w:cs="Arial"/>
          <w:sz w:val="24"/>
          <w:szCs w:val="24"/>
          <w:lang w:val="en-ZA"/>
        </w:rPr>
        <w:t xml:space="preserve"> rule</w:t>
      </w:r>
      <w:r w:rsidR="005A69DB" w:rsidRPr="00994D55">
        <w:rPr>
          <w:rFonts w:ascii="Arial" w:eastAsia="Calibri" w:hAnsi="Arial" w:cs="Arial"/>
          <w:sz w:val="24"/>
          <w:szCs w:val="24"/>
          <w:lang w:val="en-ZA"/>
        </w:rPr>
        <w:t>).</w:t>
      </w:r>
      <w:r w:rsidR="00C24519" w:rsidRPr="00994D55">
        <w:rPr>
          <w:rFonts w:ascii="Arial" w:eastAsia="Calibri" w:hAnsi="Arial" w:cs="Arial"/>
          <w:sz w:val="24"/>
          <w:szCs w:val="24"/>
          <w:lang w:val="en-ZA"/>
        </w:rPr>
        <w:t xml:space="preserve"> </w:t>
      </w:r>
      <w:r w:rsidR="005A69DB" w:rsidRPr="00994D55">
        <w:rPr>
          <w:rFonts w:ascii="Arial" w:eastAsia="Calibri" w:hAnsi="Arial" w:cs="Arial"/>
          <w:sz w:val="24"/>
          <w:szCs w:val="24"/>
          <w:lang w:val="en-ZA"/>
        </w:rPr>
        <w:t xml:space="preserve">In his reply the </w:t>
      </w:r>
      <w:r w:rsidR="00FE787E" w:rsidRPr="00994D55">
        <w:rPr>
          <w:rFonts w:ascii="Arial" w:eastAsia="Calibri" w:hAnsi="Arial" w:cs="Arial"/>
          <w:sz w:val="24"/>
          <w:szCs w:val="24"/>
          <w:lang w:val="en-ZA"/>
        </w:rPr>
        <w:t>MEC</w:t>
      </w:r>
      <w:r w:rsidR="005A69DB" w:rsidRPr="00994D55">
        <w:rPr>
          <w:rFonts w:ascii="Arial" w:eastAsia="Calibri" w:hAnsi="Arial" w:cs="Arial"/>
          <w:sz w:val="24"/>
          <w:szCs w:val="24"/>
          <w:lang w:val="en-ZA"/>
        </w:rPr>
        <w:t xml:space="preserve"> in a letter dated 15 June 2020 </w:t>
      </w:r>
      <w:r w:rsidR="000D5B48" w:rsidRPr="00994D55">
        <w:rPr>
          <w:rFonts w:ascii="Arial" w:eastAsia="Calibri" w:hAnsi="Arial" w:cs="Arial"/>
          <w:sz w:val="24"/>
          <w:szCs w:val="24"/>
          <w:lang w:val="en-ZA"/>
        </w:rPr>
        <w:t>reiterated</w:t>
      </w:r>
      <w:r w:rsidR="005A69DB" w:rsidRPr="00994D55">
        <w:rPr>
          <w:rFonts w:ascii="Arial" w:eastAsia="Calibri" w:hAnsi="Arial" w:cs="Arial"/>
          <w:sz w:val="24"/>
          <w:szCs w:val="24"/>
          <w:lang w:val="en-ZA"/>
        </w:rPr>
        <w:t xml:space="preserve"> that the investigation </w:t>
      </w:r>
      <w:r w:rsidR="00FE787E" w:rsidRPr="00994D55">
        <w:rPr>
          <w:rFonts w:ascii="Arial" w:eastAsia="Calibri" w:hAnsi="Arial" w:cs="Arial"/>
          <w:sz w:val="24"/>
          <w:szCs w:val="24"/>
          <w:lang w:val="en-ZA"/>
        </w:rPr>
        <w:t>had been completed</w:t>
      </w:r>
      <w:r w:rsidR="005A69DB" w:rsidRPr="00994D55">
        <w:rPr>
          <w:rFonts w:ascii="Arial" w:eastAsia="Calibri" w:hAnsi="Arial" w:cs="Arial"/>
          <w:sz w:val="24"/>
          <w:szCs w:val="24"/>
          <w:lang w:val="en-ZA"/>
        </w:rPr>
        <w:t xml:space="preserve"> and added, </w:t>
      </w:r>
    </w:p>
    <w:p w14:paraId="58280AB9" w14:textId="77777777" w:rsidR="00994D55" w:rsidRDefault="00994D55" w:rsidP="00D05EC6">
      <w:pPr>
        <w:spacing w:after="0" w:line="360" w:lineRule="auto"/>
        <w:jc w:val="both"/>
        <w:rPr>
          <w:rFonts w:ascii="Arial" w:eastAsia="Calibri" w:hAnsi="Arial" w:cs="Arial"/>
          <w:sz w:val="24"/>
          <w:szCs w:val="24"/>
          <w:lang w:val="en-ZA"/>
        </w:rPr>
      </w:pPr>
      <w:r w:rsidRPr="00994D55">
        <w:rPr>
          <w:rFonts w:ascii="Arial" w:eastAsia="Calibri" w:hAnsi="Arial" w:cs="Arial"/>
          <w:szCs w:val="24"/>
          <w:lang w:val="en-ZA"/>
        </w:rPr>
        <w:t>‘</w:t>
      </w:r>
      <w:r w:rsidR="00FE787E" w:rsidRPr="00994D55">
        <w:rPr>
          <w:rFonts w:ascii="Arial" w:eastAsia="Calibri" w:hAnsi="Arial" w:cs="Arial"/>
          <w:szCs w:val="24"/>
          <w:lang w:val="en-ZA"/>
        </w:rPr>
        <w:t>…The</w:t>
      </w:r>
      <w:r w:rsidR="005A69DB" w:rsidRPr="00994D55">
        <w:rPr>
          <w:rFonts w:ascii="Arial" w:eastAsia="Calibri" w:hAnsi="Arial" w:cs="Arial"/>
          <w:szCs w:val="24"/>
          <w:lang w:val="en-ZA"/>
        </w:rPr>
        <w:t xml:space="preserve"> mere fact that there may be certain information and/or documentation required by the investigator and/or documentation </w:t>
      </w:r>
      <w:r w:rsidR="00613E4D" w:rsidRPr="00994D55">
        <w:rPr>
          <w:rFonts w:ascii="Arial" w:eastAsia="Calibri" w:hAnsi="Arial" w:cs="Arial"/>
          <w:szCs w:val="24"/>
          <w:lang w:val="en-ZA"/>
        </w:rPr>
        <w:t>required by the investigator, subsequent to the su</w:t>
      </w:r>
      <w:r w:rsidR="008071CA" w:rsidRPr="00994D55">
        <w:rPr>
          <w:rFonts w:ascii="Arial" w:eastAsia="Calibri" w:hAnsi="Arial" w:cs="Arial"/>
          <w:szCs w:val="24"/>
          <w:lang w:val="en-ZA"/>
        </w:rPr>
        <w:t xml:space="preserve">bmission of the investigation </w:t>
      </w:r>
      <w:r w:rsidR="00B15108" w:rsidRPr="00994D55">
        <w:rPr>
          <w:rFonts w:ascii="Arial" w:eastAsia="Calibri" w:hAnsi="Arial" w:cs="Arial"/>
          <w:szCs w:val="24"/>
          <w:lang w:val="en-ZA"/>
        </w:rPr>
        <w:t xml:space="preserve">report, </w:t>
      </w:r>
      <w:r w:rsidR="00B15108" w:rsidRPr="00994D55">
        <w:rPr>
          <w:rFonts w:ascii="Arial" w:eastAsia="Calibri" w:hAnsi="Arial" w:cs="Arial"/>
          <w:i/>
          <w:szCs w:val="24"/>
          <w:lang w:val="en-ZA"/>
        </w:rPr>
        <w:t>does not detract from its status as final report which is ripe for implementation</w:t>
      </w:r>
      <w:r w:rsidRPr="00994D55">
        <w:rPr>
          <w:rFonts w:ascii="Arial" w:eastAsia="Calibri" w:hAnsi="Arial" w:cs="Arial"/>
          <w:i/>
          <w:szCs w:val="24"/>
          <w:lang w:val="en-ZA"/>
        </w:rPr>
        <w:t>’</w:t>
      </w:r>
      <w:r w:rsidR="00B15108" w:rsidRPr="00994D55">
        <w:rPr>
          <w:rFonts w:ascii="Arial" w:eastAsia="Calibri" w:hAnsi="Arial" w:cs="Arial"/>
          <w:szCs w:val="24"/>
          <w:lang w:val="en-ZA"/>
        </w:rPr>
        <w:t>.</w:t>
      </w:r>
      <w:r w:rsidRPr="00994D55">
        <w:rPr>
          <w:rFonts w:ascii="Arial" w:eastAsia="Calibri" w:hAnsi="Arial" w:cs="Arial"/>
          <w:szCs w:val="24"/>
          <w:lang w:val="en-ZA"/>
        </w:rPr>
        <w:t xml:space="preserve"> </w:t>
      </w:r>
      <w:r>
        <w:rPr>
          <w:rFonts w:ascii="Arial" w:eastAsia="Calibri" w:hAnsi="Arial" w:cs="Arial"/>
          <w:szCs w:val="24"/>
          <w:lang w:val="en-ZA"/>
        </w:rPr>
        <w:t>(</w:t>
      </w:r>
      <w:r w:rsidR="00B15108" w:rsidRPr="00994D55">
        <w:rPr>
          <w:rFonts w:ascii="Arial" w:eastAsia="Calibri" w:hAnsi="Arial" w:cs="Arial"/>
          <w:sz w:val="24"/>
          <w:szCs w:val="24"/>
          <w:lang w:val="en-ZA"/>
        </w:rPr>
        <w:t>My emphasis.</w:t>
      </w:r>
      <w:r>
        <w:rPr>
          <w:rFonts w:ascii="Arial" w:eastAsia="Calibri" w:hAnsi="Arial" w:cs="Arial"/>
          <w:sz w:val="24"/>
          <w:szCs w:val="24"/>
          <w:lang w:val="en-ZA"/>
        </w:rPr>
        <w:t>)</w:t>
      </w:r>
      <w:r w:rsidR="00B15108" w:rsidRPr="00994D55">
        <w:rPr>
          <w:rStyle w:val="FootnoteReference"/>
          <w:rFonts w:ascii="Arial" w:eastAsia="Calibri" w:hAnsi="Arial" w:cs="Arial"/>
          <w:sz w:val="24"/>
          <w:szCs w:val="24"/>
          <w:lang w:val="en-ZA"/>
        </w:rPr>
        <w:footnoteReference w:id="4"/>
      </w:r>
      <w:r>
        <w:rPr>
          <w:rFonts w:ascii="Arial" w:eastAsia="Calibri" w:hAnsi="Arial" w:cs="Arial"/>
          <w:sz w:val="24"/>
          <w:szCs w:val="24"/>
          <w:lang w:val="en-ZA"/>
        </w:rPr>
        <w:t xml:space="preserve"> </w:t>
      </w:r>
    </w:p>
    <w:p w14:paraId="13304A07" w14:textId="1FAEAABF" w:rsidR="005A69DB" w:rsidRPr="00994D55" w:rsidRDefault="00B15108" w:rsidP="00994D55">
      <w:pPr>
        <w:spacing w:after="0" w:line="360" w:lineRule="auto"/>
        <w:jc w:val="both"/>
        <w:rPr>
          <w:rFonts w:ascii="Arial" w:eastAsia="Calibri" w:hAnsi="Arial" w:cs="Arial"/>
          <w:szCs w:val="24"/>
          <w:lang w:val="en-ZA"/>
        </w:rPr>
      </w:pPr>
      <w:r w:rsidRPr="00994D55">
        <w:rPr>
          <w:rFonts w:ascii="Arial" w:eastAsia="Calibri" w:hAnsi="Arial" w:cs="Arial"/>
          <w:sz w:val="24"/>
          <w:szCs w:val="24"/>
          <w:lang w:val="en-ZA"/>
        </w:rPr>
        <w:t xml:space="preserve">With regards to respective </w:t>
      </w:r>
      <w:r w:rsidR="00C24519" w:rsidRPr="00994D55">
        <w:rPr>
          <w:rFonts w:ascii="Arial" w:eastAsia="Calibri" w:hAnsi="Arial" w:cs="Arial"/>
          <w:sz w:val="24"/>
          <w:szCs w:val="24"/>
          <w:lang w:val="en-ZA"/>
        </w:rPr>
        <w:t>complainants</w:t>
      </w:r>
      <w:r w:rsidRPr="00994D55">
        <w:rPr>
          <w:rFonts w:ascii="Arial" w:eastAsia="Calibri" w:hAnsi="Arial" w:cs="Arial"/>
          <w:sz w:val="24"/>
          <w:szCs w:val="24"/>
          <w:lang w:val="en-ZA"/>
        </w:rPr>
        <w:t xml:space="preserve">’ rights to be heard, the first respondent sought to suggest that ample opportunity </w:t>
      </w:r>
      <w:r w:rsidR="00FE787E" w:rsidRPr="00994D55">
        <w:rPr>
          <w:rFonts w:ascii="Arial" w:eastAsia="Calibri" w:hAnsi="Arial" w:cs="Arial"/>
          <w:sz w:val="24"/>
          <w:szCs w:val="24"/>
          <w:lang w:val="en-ZA"/>
        </w:rPr>
        <w:t>had been</w:t>
      </w:r>
      <w:r w:rsidRPr="00994D55">
        <w:rPr>
          <w:rFonts w:ascii="Arial" w:eastAsia="Calibri" w:hAnsi="Arial" w:cs="Arial"/>
          <w:sz w:val="24"/>
          <w:szCs w:val="24"/>
          <w:lang w:val="en-ZA"/>
        </w:rPr>
        <w:t xml:space="preserve"> afforded t</w:t>
      </w:r>
      <w:r w:rsidR="00FE787E" w:rsidRPr="00994D55">
        <w:rPr>
          <w:rFonts w:ascii="Arial" w:eastAsia="Calibri" w:hAnsi="Arial" w:cs="Arial"/>
          <w:sz w:val="24"/>
          <w:szCs w:val="24"/>
          <w:lang w:val="en-ZA"/>
        </w:rPr>
        <w:t>o the respective complai</w:t>
      </w:r>
      <w:r w:rsidR="00B912D0">
        <w:rPr>
          <w:rFonts w:ascii="Arial" w:eastAsia="Calibri" w:hAnsi="Arial" w:cs="Arial"/>
          <w:sz w:val="24"/>
          <w:szCs w:val="24"/>
          <w:lang w:val="en-ZA"/>
        </w:rPr>
        <w:t>na</w:t>
      </w:r>
      <w:r w:rsidR="00FE787E" w:rsidRPr="00994D55">
        <w:rPr>
          <w:rFonts w:ascii="Arial" w:eastAsia="Calibri" w:hAnsi="Arial" w:cs="Arial"/>
          <w:sz w:val="24"/>
          <w:szCs w:val="24"/>
          <w:lang w:val="en-ZA"/>
        </w:rPr>
        <w:t>nts to ‘</w:t>
      </w:r>
      <w:r w:rsidRPr="00994D55">
        <w:rPr>
          <w:rFonts w:ascii="Arial" w:eastAsia="Calibri" w:hAnsi="Arial" w:cs="Arial"/>
          <w:sz w:val="24"/>
          <w:szCs w:val="24"/>
          <w:lang w:val="en-ZA"/>
        </w:rPr>
        <w:t>contest or challenge whatever allegations may have been made against them</w:t>
      </w:r>
      <w:r w:rsidR="00FE787E" w:rsidRPr="00994D55">
        <w:rPr>
          <w:rFonts w:ascii="Arial" w:eastAsia="Calibri" w:hAnsi="Arial" w:cs="Arial"/>
          <w:sz w:val="24"/>
          <w:szCs w:val="24"/>
          <w:lang w:val="en-ZA"/>
        </w:rPr>
        <w:t>’</w:t>
      </w:r>
      <w:r w:rsidRPr="00994D55">
        <w:rPr>
          <w:rFonts w:ascii="Arial" w:eastAsia="Calibri" w:hAnsi="Arial" w:cs="Arial"/>
          <w:sz w:val="24"/>
          <w:szCs w:val="24"/>
          <w:lang w:val="en-ZA"/>
        </w:rPr>
        <w:t>.  Immediately thereafter he remarked</w:t>
      </w:r>
      <w:r w:rsidR="00E51C07">
        <w:rPr>
          <w:rFonts w:ascii="Arial" w:eastAsia="Calibri" w:hAnsi="Arial" w:cs="Arial"/>
          <w:sz w:val="24"/>
          <w:szCs w:val="24"/>
          <w:lang w:val="en-ZA"/>
        </w:rPr>
        <w:t>:</w:t>
      </w:r>
    </w:p>
    <w:p w14:paraId="3E94BAD2" w14:textId="77777777" w:rsidR="00B15108" w:rsidRPr="00994D55" w:rsidRDefault="00994D55" w:rsidP="00D05EC6">
      <w:pPr>
        <w:spacing w:after="0" w:line="360" w:lineRule="auto"/>
        <w:jc w:val="both"/>
        <w:rPr>
          <w:rFonts w:ascii="Arial" w:eastAsia="Calibri" w:hAnsi="Arial" w:cs="Arial"/>
          <w:szCs w:val="24"/>
          <w:lang w:val="en-ZA"/>
        </w:rPr>
      </w:pPr>
      <w:r w:rsidRPr="00994D55">
        <w:rPr>
          <w:rFonts w:ascii="Arial" w:eastAsia="Calibri" w:hAnsi="Arial" w:cs="Arial"/>
          <w:szCs w:val="24"/>
          <w:lang w:val="en-ZA"/>
        </w:rPr>
        <w:t>‘</w:t>
      </w:r>
      <w:r w:rsidR="00B15108" w:rsidRPr="00994D55">
        <w:rPr>
          <w:rFonts w:ascii="Arial" w:eastAsia="Calibri" w:hAnsi="Arial" w:cs="Arial"/>
          <w:szCs w:val="24"/>
          <w:lang w:val="en-ZA"/>
        </w:rPr>
        <w:t xml:space="preserve">However, notwithstanding the above, and as an act of good faith to demonstrate that my only intention is to deal with the matter at hand as fairly as possible, I have directed the investigator to </w:t>
      </w:r>
      <w:r w:rsidR="00B15108" w:rsidRPr="00994D55">
        <w:rPr>
          <w:rFonts w:ascii="Arial" w:eastAsia="Calibri" w:hAnsi="Arial" w:cs="Arial"/>
          <w:szCs w:val="24"/>
          <w:lang w:val="en-ZA"/>
        </w:rPr>
        <w:lastRenderedPageBreak/>
        <w:t xml:space="preserve">nevertheless afford your client(s) an opportunity to </w:t>
      </w:r>
      <w:r w:rsidR="00C24519" w:rsidRPr="00994D55">
        <w:rPr>
          <w:rFonts w:ascii="Arial" w:eastAsia="Calibri" w:hAnsi="Arial" w:cs="Arial"/>
          <w:szCs w:val="24"/>
          <w:lang w:val="en-ZA"/>
        </w:rPr>
        <w:t xml:space="preserve">state </w:t>
      </w:r>
      <w:r w:rsidR="00B15108" w:rsidRPr="00994D55">
        <w:rPr>
          <w:rFonts w:ascii="Arial" w:eastAsia="Calibri" w:hAnsi="Arial" w:cs="Arial"/>
          <w:szCs w:val="24"/>
          <w:lang w:val="en-ZA"/>
        </w:rPr>
        <w:t>their side of the story and thereafter report to me once that exercise has been completed.</w:t>
      </w:r>
      <w:r w:rsidRPr="00994D55">
        <w:rPr>
          <w:rFonts w:ascii="Arial" w:eastAsia="Calibri" w:hAnsi="Arial" w:cs="Arial"/>
          <w:szCs w:val="24"/>
          <w:lang w:val="en-ZA"/>
        </w:rPr>
        <w:t>’</w:t>
      </w:r>
      <w:r w:rsidR="00FE787E" w:rsidRPr="00994D55">
        <w:rPr>
          <w:rStyle w:val="FootnoteReference"/>
          <w:rFonts w:ascii="Arial" w:eastAsia="Calibri" w:hAnsi="Arial" w:cs="Arial"/>
          <w:szCs w:val="24"/>
          <w:lang w:val="en-ZA"/>
        </w:rPr>
        <w:footnoteReference w:id="5"/>
      </w:r>
    </w:p>
    <w:p w14:paraId="6ACFE0AE" w14:textId="77777777" w:rsidR="007E04B9" w:rsidRPr="00994D55" w:rsidRDefault="007E04B9" w:rsidP="007E04B9">
      <w:pPr>
        <w:spacing w:after="0" w:line="360" w:lineRule="auto"/>
        <w:jc w:val="both"/>
        <w:rPr>
          <w:rFonts w:ascii="Arial" w:eastAsia="Calibri" w:hAnsi="Arial" w:cs="Arial"/>
          <w:sz w:val="24"/>
          <w:szCs w:val="24"/>
          <w:lang w:val="en-ZA"/>
        </w:rPr>
      </w:pPr>
    </w:p>
    <w:p w14:paraId="43EB5D9C" w14:textId="341404F8" w:rsidR="00B15108" w:rsidRPr="00994D55" w:rsidRDefault="00B15108" w:rsidP="007E04B9">
      <w:pPr>
        <w:spacing w:after="0" w:line="360" w:lineRule="auto"/>
        <w:jc w:val="both"/>
        <w:rPr>
          <w:rFonts w:ascii="Arial" w:eastAsia="Calibri" w:hAnsi="Arial" w:cs="Arial"/>
          <w:sz w:val="24"/>
          <w:szCs w:val="24"/>
          <w:lang w:val="en-ZA"/>
        </w:rPr>
      </w:pPr>
      <w:r w:rsidRPr="00994D55">
        <w:rPr>
          <w:rFonts w:ascii="Arial" w:eastAsia="Calibri" w:hAnsi="Arial" w:cs="Arial"/>
          <w:sz w:val="24"/>
          <w:szCs w:val="24"/>
          <w:lang w:val="en-ZA"/>
        </w:rPr>
        <w:t>[5]</w:t>
      </w:r>
      <w:r w:rsidRPr="00994D55">
        <w:rPr>
          <w:rFonts w:ascii="Arial" w:eastAsia="Calibri" w:hAnsi="Arial" w:cs="Arial"/>
          <w:sz w:val="24"/>
          <w:szCs w:val="24"/>
          <w:lang w:val="en-ZA"/>
        </w:rPr>
        <w:tab/>
        <w:t xml:space="preserve">Following on numerous </w:t>
      </w:r>
      <w:r w:rsidR="00FE787E" w:rsidRPr="00994D55">
        <w:rPr>
          <w:rFonts w:ascii="Arial" w:eastAsia="Calibri" w:hAnsi="Arial" w:cs="Arial"/>
          <w:sz w:val="24"/>
          <w:szCs w:val="24"/>
          <w:lang w:val="en-ZA"/>
        </w:rPr>
        <w:t>correspondences</w:t>
      </w:r>
      <w:r w:rsidR="00787808">
        <w:rPr>
          <w:rFonts w:ascii="Arial" w:eastAsia="Calibri" w:hAnsi="Arial" w:cs="Arial"/>
          <w:sz w:val="24"/>
          <w:szCs w:val="24"/>
          <w:lang w:val="en-ZA"/>
        </w:rPr>
        <w:t xml:space="preserve"> exchanged by the parties, </w:t>
      </w:r>
      <w:r w:rsidR="006A1EDF">
        <w:rPr>
          <w:rFonts w:ascii="Arial" w:eastAsia="Calibri" w:hAnsi="Arial" w:cs="Arial"/>
          <w:sz w:val="24"/>
          <w:szCs w:val="24"/>
          <w:lang w:val="en-ZA"/>
        </w:rPr>
        <w:t>the MEC ultimately forwarded a letter to the first and second applicants’ attorneys in which he re-affirmed his decision, that the provisions of the KZN Commissions Act are not peremptorily applicable to s106 (1) (b) investigations.  He</w:t>
      </w:r>
      <w:r w:rsidR="00FE787E" w:rsidRPr="00994D55">
        <w:rPr>
          <w:rFonts w:ascii="Arial" w:eastAsia="Calibri" w:hAnsi="Arial" w:cs="Arial"/>
          <w:sz w:val="24"/>
          <w:szCs w:val="24"/>
          <w:lang w:val="en-ZA"/>
        </w:rPr>
        <w:t xml:space="preserve"> </w:t>
      </w:r>
      <w:r w:rsidRPr="00994D55">
        <w:rPr>
          <w:rFonts w:ascii="Arial" w:eastAsia="Calibri" w:hAnsi="Arial" w:cs="Arial"/>
          <w:sz w:val="24"/>
          <w:szCs w:val="24"/>
          <w:lang w:val="en-ZA"/>
        </w:rPr>
        <w:t xml:space="preserve">pressed on with the finalization of the investigation without the input of the affected </w:t>
      </w:r>
      <w:r w:rsidR="00C24519" w:rsidRPr="00994D55">
        <w:rPr>
          <w:rFonts w:ascii="Arial" w:eastAsia="Calibri" w:hAnsi="Arial" w:cs="Arial"/>
          <w:sz w:val="24"/>
          <w:szCs w:val="24"/>
          <w:lang w:val="en-ZA"/>
        </w:rPr>
        <w:t>complainants</w:t>
      </w:r>
      <w:r w:rsidR="00D05EC6">
        <w:rPr>
          <w:rFonts w:ascii="Arial" w:eastAsia="Calibri" w:hAnsi="Arial" w:cs="Arial"/>
          <w:sz w:val="24"/>
          <w:szCs w:val="24"/>
          <w:lang w:val="en-ZA"/>
        </w:rPr>
        <w:t>.</w:t>
      </w:r>
      <w:r w:rsidRPr="00994D55">
        <w:rPr>
          <w:rFonts w:ascii="Arial" w:eastAsia="Calibri" w:hAnsi="Arial" w:cs="Arial"/>
          <w:sz w:val="24"/>
          <w:szCs w:val="24"/>
          <w:lang w:val="en-ZA"/>
        </w:rPr>
        <w:t xml:space="preserve"> In support of </w:t>
      </w:r>
      <w:r w:rsidR="00FE787E" w:rsidRPr="00994D55">
        <w:rPr>
          <w:rFonts w:ascii="Arial" w:eastAsia="Calibri" w:hAnsi="Arial" w:cs="Arial"/>
          <w:sz w:val="24"/>
          <w:szCs w:val="24"/>
          <w:lang w:val="en-ZA"/>
        </w:rPr>
        <w:t>the MEC’s decision</w:t>
      </w:r>
      <w:r w:rsidRPr="00994D55">
        <w:rPr>
          <w:rFonts w:ascii="Arial" w:eastAsia="Calibri" w:hAnsi="Arial" w:cs="Arial"/>
          <w:sz w:val="24"/>
          <w:szCs w:val="24"/>
          <w:lang w:val="en-ZA"/>
        </w:rPr>
        <w:t xml:space="preserve">, Mr </w:t>
      </w:r>
      <w:proofErr w:type="spellStart"/>
      <w:r w:rsidRPr="00994D55">
        <w:rPr>
          <w:rFonts w:ascii="Arial" w:eastAsia="Calibri" w:hAnsi="Arial" w:cs="Arial"/>
          <w:sz w:val="24"/>
          <w:szCs w:val="24"/>
          <w:lang w:val="en-ZA"/>
        </w:rPr>
        <w:t>T</w:t>
      </w:r>
      <w:r w:rsidR="00A81EDF" w:rsidRPr="00994D55">
        <w:rPr>
          <w:rFonts w:ascii="Arial" w:eastAsia="Calibri" w:hAnsi="Arial" w:cs="Arial"/>
          <w:sz w:val="24"/>
          <w:szCs w:val="24"/>
          <w:lang w:val="en-ZA"/>
        </w:rPr>
        <w:t>ubane</w:t>
      </w:r>
      <w:proofErr w:type="spellEnd"/>
      <w:r w:rsidR="00A81EDF" w:rsidRPr="00994D55">
        <w:rPr>
          <w:rFonts w:ascii="Arial" w:eastAsia="Calibri" w:hAnsi="Arial" w:cs="Arial"/>
          <w:sz w:val="24"/>
          <w:szCs w:val="24"/>
          <w:lang w:val="en-ZA"/>
        </w:rPr>
        <w:t xml:space="preserve"> r</w:t>
      </w:r>
      <w:r w:rsidR="00051A18" w:rsidRPr="00994D55">
        <w:rPr>
          <w:rFonts w:ascii="Arial" w:eastAsia="Calibri" w:hAnsi="Arial" w:cs="Arial"/>
          <w:sz w:val="24"/>
          <w:szCs w:val="24"/>
          <w:lang w:val="en-ZA"/>
        </w:rPr>
        <w:t>eiterated that rules of natural</w:t>
      </w:r>
      <w:r w:rsidR="00787808">
        <w:rPr>
          <w:rFonts w:ascii="Arial" w:eastAsia="Calibri" w:hAnsi="Arial" w:cs="Arial"/>
          <w:sz w:val="24"/>
          <w:szCs w:val="24"/>
          <w:lang w:val="en-ZA"/>
        </w:rPr>
        <w:t xml:space="preserve"> </w:t>
      </w:r>
      <w:r w:rsidR="00A81EDF" w:rsidRPr="00994D55">
        <w:rPr>
          <w:rFonts w:ascii="Arial" w:eastAsia="Calibri" w:hAnsi="Arial" w:cs="Arial"/>
          <w:sz w:val="24"/>
          <w:szCs w:val="24"/>
          <w:lang w:val="en-ZA"/>
        </w:rPr>
        <w:t>justice do not apply in s 106</w:t>
      </w:r>
      <w:r w:rsidR="00D05EC6">
        <w:rPr>
          <w:rFonts w:ascii="Arial" w:eastAsia="Calibri" w:hAnsi="Arial" w:cs="Arial"/>
          <w:sz w:val="24"/>
          <w:szCs w:val="24"/>
          <w:lang w:val="en-ZA"/>
        </w:rPr>
        <w:t>(1</w:t>
      </w:r>
      <w:proofErr w:type="gramStart"/>
      <w:r w:rsidR="00D05EC6">
        <w:rPr>
          <w:rFonts w:ascii="Arial" w:eastAsia="Calibri" w:hAnsi="Arial" w:cs="Arial"/>
          <w:sz w:val="24"/>
          <w:szCs w:val="24"/>
          <w:lang w:val="en-ZA"/>
        </w:rPr>
        <w:t>)</w:t>
      </w:r>
      <w:r w:rsidR="00A81EDF" w:rsidRPr="00D05EC6">
        <w:rPr>
          <w:rFonts w:ascii="Arial" w:eastAsia="Calibri" w:hAnsi="Arial" w:cs="Arial"/>
          <w:i/>
          <w:sz w:val="24"/>
          <w:szCs w:val="24"/>
          <w:lang w:val="en-ZA"/>
        </w:rPr>
        <w:t>(</w:t>
      </w:r>
      <w:proofErr w:type="gramEnd"/>
      <w:r w:rsidR="00A81EDF" w:rsidRPr="00D05EC6">
        <w:rPr>
          <w:rFonts w:ascii="Arial" w:eastAsia="Calibri" w:hAnsi="Arial" w:cs="Arial"/>
          <w:i/>
          <w:sz w:val="24"/>
          <w:szCs w:val="24"/>
          <w:lang w:val="en-ZA"/>
        </w:rPr>
        <w:t>b)</w:t>
      </w:r>
      <w:r w:rsidR="00A81EDF" w:rsidRPr="00994D55">
        <w:rPr>
          <w:rFonts w:ascii="Arial" w:eastAsia="Calibri" w:hAnsi="Arial" w:cs="Arial"/>
          <w:sz w:val="24"/>
          <w:szCs w:val="24"/>
          <w:lang w:val="en-ZA"/>
        </w:rPr>
        <w:t xml:space="preserve"> investigations. In amplification he stated, that </w:t>
      </w:r>
      <w:r w:rsidR="00A908B7">
        <w:rPr>
          <w:rFonts w:ascii="Arial" w:eastAsia="Calibri" w:hAnsi="Arial" w:cs="Arial"/>
          <w:sz w:val="24"/>
          <w:szCs w:val="24"/>
          <w:lang w:val="en-ZA"/>
        </w:rPr>
        <w:t xml:space="preserve">the </w:t>
      </w:r>
      <w:r w:rsidR="00A81EDF" w:rsidRPr="00994D55">
        <w:rPr>
          <w:rFonts w:ascii="Arial" w:eastAsia="Calibri" w:hAnsi="Arial" w:cs="Arial"/>
          <w:sz w:val="24"/>
          <w:szCs w:val="24"/>
          <w:lang w:val="en-ZA"/>
        </w:rPr>
        <w:t>recommendations that follow on a s</w:t>
      </w:r>
      <w:r w:rsidR="00D05EC6">
        <w:rPr>
          <w:rFonts w:ascii="Arial" w:eastAsia="Calibri" w:hAnsi="Arial" w:cs="Arial"/>
          <w:sz w:val="24"/>
          <w:szCs w:val="24"/>
          <w:lang w:val="en-ZA"/>
        </w:rPr>
        <w:t> </w:t>
      </w:r>
      <w:r w:rsidR="00A81EDF" w:rsidRPr="00994D55">
        <w:rPr>
          <w:rFonts w:ascii="Arial" w:eastAsia="Calibri" w:hAnsi="Arial" w:cs="Arial"/>
          <w:sz w:val="24"/>
          <w:szCs w:val="24"/>
          <w:lang w:val="en-ZA"/>
        </w:rPr>
        <w:t xml:space="preserve">106 investigation and subsequent report, have no adverse effect on the rights of the persons implicated in the report and added that the said recommendation and report </w:t>
      </w:r>
      <w:r w:rsidR="00E51C07">
        <w:rPr>
          <w:rFonts w:ascii="Arial" w:eastAsia="Calibri" w:hAnsi="Arial" w:cs="Arial"/>
          <w:sz w:val="24"/>
          <w:szCs w:val="24"/>
          <w:lang w:val="en-ZA"/>
        </w:rPr>
        <w:t>‘</w:t>
      </w:r>
      <w:r w:rsidR="00A81EDF" w:rsidRPr="00994D55">
        <w:rPr>
          <w:rFonts w:ascii="Arial" w:eastAsia="Calibri" w:hAnsi="Arial" w:cs="Arial"/>
          <w:sz w:val="24"/>
          <w:szCs w:val="24"/>
          <w:lang w:val="en-ZA"/>
        </w:rPr>
        <w:t>have no direct external legal effect</w:t>
      </w:r>
      <w:r w:rsidR="00E51C07">
        <w:rPr>
          <w:rFonts w:ascii="Arial" w:eastAsia="Calibri" w:hAnsi="Arial" w:cs="Arial"/>
          <w:sz w:val="24"/>
          <w:szCs w:val="24"/>
          <w:lang w:val="en-ZA"/>
        </w:rPr>
        <w:t>’</w:t>
      </w:r>
      <w:r w:rsidR="00A81EDF" w:rsidRPr="00994D55">
        <w:rPr>
          <w:rFonts w:ascii="Arial" w:eastAsia="Calibri" w:hAnsi="Arial" w:cs="Arial"/>
          <w:sz w:val="24"/>
          <w:szCs w:val="24"/>
          <w:lang w:val="en-ZA"/>
        </w:rPr>
        <w:t xml:space="preserve">. </w:t>
      </w:r>
    </w:p>
    <w:p w14:paraId="377300D0" w14:textId="77777777" w:rsidR="00A81EDF" w:rsidRPr="00994D55" w:rsidRDefault="00A81EDF" w:rsidP="007E04B9">
      <w:pPr>
        <w:spacing w:after="0" w:line="360" w:lineRule="auto"/>
        <w:jc w:val="both"/>
        <w:rPr>
          <w:rFonts w:ascii="Arial" w:eastAsia="Calibri" w:hAnsi="Arial" w:cs="Arial"/>
          <w:sz w:val="24"/>
          <w:szCs w:val="24"/>
          <w:lang w:val="en-ZA"/>
        </w:rPr>
      </w:pPr>
    </w:p>
    <w:p w14:paraId="51F30EEB" w14:textId="63241344" w:rsidR="00051A18" w:rsidRPr="00994D55" w:rsidRDefault="00051A18" w:rsidP="007E04B9">
      <w:pPr>
        <w:spacing w:after="0" w:line="360" w:lineRule="auto"/>
        <w:jc w:val="both"/>
        <w:rPr>
          <w:rFonts w:ascii="Arial" w:eastAsia="Calibri" w:hAnsi="Arial" w:cs="Arial"/>
          <w:b/>
          <w:sz w:val="24"/>
          <w:szCs w:val="24"/>
          <w:lang w:val="en-ZA"/>
        </w:rPr>
      </w:pPr>
      <w:r w:rsidRPr="00994D55">
        <w:rPr>
          <w:rFonts w:ascii="Arial" w:eastAsia="Calibri" w:hAnsi="Arial" w:cs="Arial"/>
          <w:b/>
          <w:sz w:val="24"/>
          <w:szCs w:val="24"/>
          <w:lang w:val="en-ZA"/>
        </w:rPr>
        <w:t>The applicants</w:t>
      </w:r>
      <w:r w:rsidR="006A1EDF">
        <w:rPr>
          <w:rFonts w:ascii="Arial" w:eastAsia="Calibri" w:hAnsi="Arial" w:cs="Arial"/>
          <w:b/>
          <w:sz w:val="24"/>
          <w:szCs w:val="24"/>
          <w:lang w:val="en-ZA"/>
        </w:rPr>
        <w:t>’</w:t>
      </w:r>
      <w:r w:rsidRPr="00994D55">
        <w:rPr>
          <w:rFonts w:ascii="Arial" w:eastAsia="Calibri" w:hAnsi="Arial" w:cs="Arial"/>
          <w:b/>
          <w:sz w:val="24"/>
          <w:szCs w:val="24"/>
          <w:lang w:val="en-ZA"/>
        </w:rPr>
        <w:t xml:space="preserve"> case</w:t>
      </w:r>
    </w:p>
    <w:p w14:paraId="749021AA" w14:textId="1200417E" w:rsidR="00A81EDF" w:rsidRPr="00994D55" w:rsidRDefault="00A81EDF" w:rsidP="007E04B9">
      <w:pPr>
        <w:spacing w:after="0" w:line="360" w:lineRule="auto"/>
        <w:jc w:val="both"/>
        <w:rPr>
          <w:rFonts w:ascii="Arial" w:eastAsia="Calibri" w:hAnsi="Arial" w:cs="Arial"/>
          <w:sz w:val="24"/>
          <w:szCs w:val="24"/>
          <w:lang w:val="en-ZA"/>
        </w:rPr>
      </w:pPr>
      <w:r w:rsidRPr="00994D55">
        <w:rPr>
          <w:rFonts w:ascii="Arial" w:eastAsia="Calibri" w:hAnsi="Arial" w:cs="Arial"/>
          <w:sz w:val="24"/>
          <w:szCs w:val="24"/>
          <w:lang w:val="en-ZA"/>
        </w:rPr>
        <w:t>[6]</w:t>
      </w:r>
      <w:r w:rsidRPr="00994D55">
        <w:rPr>
          <w:rFonts w:ascii="Arial" w:eastAsia="Calibri" w:hAnsi="Arial" w:cs="Arial"/>
          <w:sz w:val="24"/>
          <w:szCs w:val="24"/>
          <w:lang w:val="en-ZA"/>
        </w:rPr>
        <w:tab/>
        <w:t xml:space="preserve">The applicants’ application is founded on three grounds, firstly, that the investigation failed to comply with the peremptory provisions of the </w:t>
      </w:r>
      <w:r w:rsidR="00051A18" w:rsidRPr="00994D55">
        <w:rPr>
          <w:rFonts w:ascii="Arial" w:eastAsia="Calibri" w:hAnsi="Arial" w:cs="Arial"/>
          <w:sz w:val="24"/>
          <w:szCs w:val="24"/>
          <w:lang w:val="en-ZA"/>
        </w:rPr>
        <w:t>KZN</w:t>
      </w:r>
      <w:r w:rsidRPr="00994D55">
        <w:rPr>
          <w:rFonts w:ascii="Arial" w:eastAsia="Calibri" w:hAnsi="Arial" w:cs="Arial"/>
          <w:sz w:val="24"/>
          <w:szCs w:val="24"/>
          <w:lang w:val="en-ZA"/>
        </w:rPr>
        <w:t xml:space="preserve"> Commission</w:t>
      </w:r>
      <w:r w:rsidR="00051A18" w:rsidRPr="00994D55">
        <w:rPr>
          <w:rFonts w:ascii="Arial" w:eastAsia="Calibri" w:hAnsi="Arial" w:cs="Arial"/>
          <w:sz w:val="24"/>
          <w:szCs w:val="24"/>
          <w:lang w:val="en-ZA"/>
        </w:rPr>
        <w:t>s</w:t>
      </w:r>
      <w:r w:rsidR="000D5B48" w:rsidRPr="00994D55">
        <w:rPr>
          <w:rFonts w:ascii="Arial" w:eastAsia="Calibri" w:hAnsi="Arial" w:cs="Arial"/>
          <w:sz w:val="24"/>
          <w:szCs w:val="24"/>
          <w:lang w:val="en-ZA"/>
        </w:rPr>
        <w:t xml:space="preserve"> Act</w:t>
      </w:r>
      <w:r w:rsidRPr="00994D55">
        <w:rPr>
          <w:rFonts w:ascii="Arial" w:eastAsia="Calibri" w:hAnsi="Arial" w:cs="Arial"/>
          <w:sz w:val="24"/>
          <w:szCs w:val="24"/>
          <w:lang w:val="en-ZA"/>
        </w:rPr>
        <w:t>, read with s 106 of</w:t>
      </w:r>
      <w:r w:rsidR="000D5B48" w:rsidRPr="00994D55">
        <w:rPr>
          <w:rFonts w:ascii="Arial" w:eastAsia="Calibri" w:hAnsi="Arial" w:cs="Arial"/>
          <w:sz w:val="24"/>
          <w:szCs w:val="24"/>
          <w:lang w:val="en-ZA"/>
        </w:rPr>
        <w:t xml:space="preserve"> Municipal</w:t>
      </w:r>
      <w:r w:rsidRPr="00994D55">
        <w:rPr>
          <w:rFonts w:ascii="Arial" w:eastAsia="Calibri" w:hAnsi="Arial" w:cs="Arial"/>
          <w:sz w:val="24"/>
          <w:szCs w:val="24"/>
          <w:lang w:val="en-ZA"/>
        </w:rPr>
        <w:t xml:space="preserve"> Systems Act, including the holding of public hearings; secondly, that the investigation was conducted in a procedurally unfair manner and cont</w:t>
      </w:r>
      <w:r w:rsidR="000D5B48" w:rsidRPr="00994D55">
        <w:rPr>
          <w:rFonts w:ascii="Arial" w:eastAsia="Calibri" w:hAnsi="Arial" w:cs="Arial"/>
          <w:sz w:val="24"/>
          <w:szCs w:val="24"/>
          <w:lang w:val="en-ZA"/>
        </w:rPr>
        <w:t>rary to the requirements of</w:t>
      </w:r>
      <w:r w:rsidR="005B5B43">
        <w:rPr>
          <w:rFonts w:ascii="Arial" w:eastAsia="Calibri" w:hAnsi="Arial" w:cs="Arial"/>
          <w:sz w:val="24"/>
          <w:szCs w:val="24"/>
          <w:lang w:val="en-ZA"/>
        </w:rPr>
        <w:t xml:space="preserve"> the</w:t>
      </w:r>
      <w:r w:rsidR="000D5B48" w:rsidRPr="00994D55">
        <w:rPr>
          <w:rFonts w:ascii="Arial" w:eastAsia="Calibri" w:hAnsi="Arial" w:cs="Arial"/>
          <w:sz w:val="24"/>
          <w:szCs w:val="24"/>
          <w:lang w:val="en-ZA"/>
        </w:rPr>
        <w:t xml:space="preserve"> </w:t>
      </w:r>
      <w:proofErr w:type="spellStart"/>
      <w:r w:rsidR="000D5B48" w:rsidRPr="00994D55">
        <w:rPr>
          <w:rFonts w:ascii="Arial" w:eastAsia="Calibri" w:hAnsi="Arial" w:cs="Arial"/>
          <w:i/>
          <w:sz w:val="24"/>
          <w:szCs w:val="24"/>
          <w:lang w:val="en-ZA"/>
        </w:rPr>
        <w:t>audi</w:t>
      </w:r>
      <w:proofErr w:type="spellEnd"/>
      <w:r w:rsidRPr="00994D55">
        <w:rPr>
          <w:rFonts w:ascii="Arial" w:eastAsia="Calibri" w:hAnsi="Arial" w:cs="Arial"/>
          <w:i/>
          <w:sz w:val="24"/>
          <w:szCs w:val="24"/>
          <w:lang w:val="en-ZA"/>
        </w:rPr>
        <w:t xml:space="preserve"> </w:t>
      </w:r>
      <w:proofErr w:type="spellStart"/>
      <w:r w:rsidRPr="00994D55">
        <w:rPr>
          <w:rFonts w:ascii="Arial" w:eastAsia="Calibri" w:hAnsi="Arial" w:cs="Arial"/>
          <w:i/>
          <w:sz w:val="24"/>
          <w:szCs w:val="24"/>
          <w:lang w:val="en-ZA"/>
        </w:rPr>
        <w:t>alteram</w:t>
      </w:r>
      <w:proofErr w:type="spellEnd"/>
      <w:r w:rsidRPr="00994D55">
        <w:rPr>
          <w:rFonts w:ascii="Arial" w:eastAsia="Calibri" w:hAnsi="Arial" w:cs="Arial"/>
          <w:i/>
          <w:sz w:val="24"/>
          <w:szCs w:val="24"/>
          <w:lang w:val="en-ZA"/>
        </w:rPr>
        <w:t xml:space="preserve"> </w:t>
      </w:r>
      <w:proofErr w:type="spellStart"/>
      <w:r w:rsidRPr="00994D55">
        <w:rPr>
          <w:rFonts w:ascii="Arial" w:eastAsia="Calibri" w:hAnsi="Arial" w:cs="Arial"/>
          <w:i/>
          <w:sz w:val="24"/>
          <w:szCs w:val="24"/>
          <w:lang w:val="en-ZA"/>
        </w:rPr>
        <w:t>parterm</w:t>
      </w:r>
      <w:proofErr w:type="spellEnd"/>
      <w:r w:rsidR="005B5B43">
        <w:rPr>
          <w:rFonts w:ascii="Arial" w:eastAsia="Calibri" w:hAnsi="Arial" w:cs="Arial"/>
          <w:sz w:val="24"/>
          <w:szCs w:val="24"/>
          <w:lang w:val="en-ZA"/>
        </w:rPr>
        <w:t xml:space="preserve"> rule</w:t>
      </w:r>
      <w:r w:rsidRPr="00994D55">
        <w:rPr>
          <w:rFonts w:ascii="Arial" w:eastAsia="Calibri" w:hAnsi="Arial" w:cs="Arial"/>
          <w:sz w:val="24"/>
          <w:szCs w:val="24"/>
          <w:lang w:val="en-ZA"/>
        </w:rPr>
        <w:t>; and thirdly, that the evidence before the investigators was not rationally connected to the findings in the report.</w:t>
      </w:r>
    </w:p>
    <w:p w14:paraId="58685DDC" w14:textId="77777777" w:rsidR="00AD05E9" w:rsidRPr="00994D55" w:rsidRDefault="00AD05E9" w:rsidP="007E04B9">
      <w:pPr>
        <w:spacing w:after="0" w:line="360" w:lineRule="auto"/>
        <w:jc w:val="both"/>
        <w:rPr>
          <w:rFonts w:ascii="Arial" w:eastAsia="Calibri" w:hAnsi="Arial" w:cs="Arial"/>
          <w:sz w:val="24"/>
          <w:szCs w:val="24"/>
          <w:lang w:val="en-ZA"/>
        </w:rPr>
      </w:pPr>
    </w:p>
    <w:p w14:paraId="36E5985D" w14:textId="77777777" w:rsidR="00AD05E9" w:rsidRPr="00994D55" w:rsidRDefault="00AD05E9" w:rsidP="007E04B9">
      <w:pPr>
        <w:spacing w:after="0" w:line="360" w:lineRule="auto"/>
        <w:jc w:val="both"/>
        <w:rPr>
          <w:rFonts w:ascii="Arial" w:eastAsia="Calibri" w:hAnsi="Arial" w:cs="Arial"/>
          <w:sz w:val="24"/>
          <w:szCs w:val="24"/>
          <w:lang w:val="en-ZA"/>
        </w:rPr>
      </w:pPr>
      <w:r w:rsidRPr="00994D55">
        <w:rPr>
          <w:rFonts w:ascii="Arial" w:eastAsia="Calibri" w:hAnsi="Arial" w:cs="Arial"/>
          <w:b/>
          <w:sz w:val="24"/>
          <w:szCs w:val="24"/>
          <w:lang w:val="en-ZA"/>
        </w:rPr>
        <w:t xml:space="preserve">The applicability of the </w:t>
      </w:r>
      <w:r w:rsidR="000D5B48" w:rsidRPr="00994D55">
        <w:rPr>
          <w:rFonts w:ascii="Arial" w:eastAsia="Calibri" w:hAnsi="Arial" w:cs="Arial"/>
          <w:b/>
          <w:sz w:val="24"/>
          <w:szCs w:val="24"/>
          <w:lang w:val="en-ZA"/>
        </w:rPr>
        <w:t>KZN</w:t>
      </w:r>
      <w:r w:rsidRPr="00994D55">
        <w:rPr>
          <w:rFonts w:ascii="Arial" w:eastAsia="Calibri" w:hAnsi="Arial" w:cs="Arial"/>
          <w:b/>
          <w:sz w:val="24"/>
          <w:szCs w:val="24"/>
          <w:lang w:val="en-ZA"/>
        </w:rPr>
        <w:t xml:space="preserve"> Commissions Act</w:t>
      </w:r>
      <w:r w:rsidRPr="00994D55">
        <w:rPr>
          <w:rFonts w:ascii="Arial" w:eastAsia="Calibri" w:hAnsi="Arial" w:cs="Arial"/>
          <w:sz w:val="24"/>
          <w:szCs w:val="24"/>
          <w:lang w:val="en-ZA"/>
        </w:rPr>
        <w:t>.</w:t>
      </w:r>
    </w:p>
    <w:p w14:paraId="211300A7" w14:textId="77777777" w:rsidR="00AD05E9" w:rsidRPr="00994D55" w:rsidRDefault="00AD05E9" w:rsidP="007E04B9">
      <w:pPr>
        <w:spacing w:after="0" w:line="360" w:lineRule="auto"/>
        <w:jc w:val="both"/>
        <w:rPr>
          <w:rFonts w:ascii="Arial" w:eastAsia="Calibri" w:hAnsi="Arial" w:cs="Arial"/>
          <w:sz w:val="24"/>
          <w:szCs w:val="24"/>
          <w:lang w:val="en-ZA"/>
        </w:rPr>
      </w:pPr>
      <w:r w:rsidRPr="00994D55">
        <w:rPr>
          <w:rFonts w:ascii="Arial" w:eastAsia="Calibri" w:hAnsi="Arial" w:cs="Arial"/>
          <w:sz w:val="24"/>
          <w:szCs w:val="24"/>
          <w:lang w:val="en-ZA"/>
        </w:rPr>
        <w:t>[7]</w:t>
      </w:r>
      <w:r w:rsidRPr="00994D55">
        <w:rPr>
          <w:rFonts w:ascii="Arial" w:eastAsia="Calibri" w:hAnsi="Arial" w:cs="Arial"/>
          <w:sz w:val="24"/>
          <w:szCs w:val="24"/>
          <w:lang w:val="en-ZA"/>
        </w:rPr>
        <w:tab/>
        <w:t xml:space="preserve">The investigation by the second respondent (as </w:t>
      </w:r>
      <w:r w:rsidR="000D5B48" w:rsidRPr="00994D55">
        <w:rPr>
          <w:rFonts w:ascii="Arial" w:eastAsia="Calibri" w:hAnsi="Arial" w:cs="Arial"/>
          <w:sz w:val="24"/>
          <w:szCs w:val="24"/>
          <w:lang w:val="en-ZA"/>
        </w:rPr>
        <w:t>directed by the MEC</w:t>
      </w:r>
      <w:r w:rsidRPr="00994D55">
        <w:rPr>
          <w:rFonts w:ascii="Arial" w:eastAsia="Calibri" w:hAnsi="Arial" w:cs="Arial"/>
          <w:sz w:val="24"/>
          <w:szCs w:val="24"/>
          <w:lang w:val="en-ZA"/>
        </w:rPr>
        <w:t>) was purportedly conducted in accordance with the provisions of s</w:t>
      </w:r>
      <w:r w:rsidR="005B5B43">
        <w:rPr>
          <w:rFonts w:ascii="Arial" w:eastAsia="Calibri" w:hAnsi="Arial" w:cs="Arial"/>
          <w:sz w:val="24"/>
          <w:szCs w:val="24"/>
          <w:lang w:val="en-ZA"/>
        </w:rPr>
        <w:t xml:space="preserve"> </w:t>
      </w:r>
      <w:r w:rsidRPr="00994D55">
        <w:rPr>
          <w:rFonts w:ascii="Arial" w:eastAsia="Calibri" w:hAnsi="Arial" w:cs="Arial"/>
          <w:sz w:val="24"/>
          <w:szCs w:val="24"/>
          <w:lang w:val="en-ZA"/>
        </w:rPr>
        <w:t>106 of the Municipal Systems Act the relev</w:t>
      </w:r>
      <w:r w:rsidR="00C24519" w:rsidRPr="00994D55">
        <w:rPr>
          <w:rFonts w:ascii="Arial" w:eastAsia="Calibri" w:hAnsi="Arial" w:cs="Arial"/>
          <w:sz w:val="24"/>
          <w:szCs w:val="24"/>
          <w:lang w:val="en-ZA"/>
        </w:rPr>
        <w:t>ant portion of which reads:</w:t>
      </w:r>
    </w:p>
    <w:p w14:paraId="710CCA7A" w14:textId="77777777" w:rsidR="005B5B43" w:rsidRPr="005B5B43" w:rsidRDefault="005B5B43" w:rsidP="005B5B43">
      <w:pPr>
        <w:spacing w:after="0" w:line="360" w:lineRule="auto"/>
        <w:jc w:val="both"/>
        <w:rPr>
          <w:rFonts w:ascii="Arial" w:eastAsia="Calibri" w:hAnsi="Arial" w:cs="Arial"/>
          <w:szCs w:val="24"/>
          <w:lang w:val="en-ZA"/>
        </w:rPr>
      </w:pPr>
      <w:r>
        <w:rPr>
          <w:rFonts w:ascii="Arial" w:eastAsia="Calibri" w:hAnsi="Arial" w:cs="Arial"/>
          <w:szCs w:val="24"/>
          <w:lang w:val="en-ZA"/>
        </w:rPr>
        <w:t xml:space="preserve">‘106 </w:t>
      </w:r>
      <w:r w:rsidRPr="005B5B43">
        <w:rPr>
          <w:rFonts w:ascii="Arial" w:eastAsia="Calibri" w:hAnsi="Arial" w:cs="Arial"/>
          <w:szCs w:val="24"/>
          <w:lang w:val="en-ZA"/>
        </w:rPr>
        <w:t>Non</w:t>
      </w:r>
      <w:r>
        <w:rPr>
          <w:rFonts w:ascii="Arial" w:eastAsia="Calibri" w:hAnsi="Arial" w:cs="Arial"/>
          <w:szCs w:val="24"/>
          <w:lang w:val="en-ZA"/>
        </w:rPr>
        <w:t>-</w:t>
      </w:r>
      <w:r w:rsidRPr="005B5B43">
        <w:rPr>
          <w:rFonts w:ascii="Arial" w:eastAsia="Calibri" w:hAnsi="Arial" w:cs="Arial"/>
          <w:szCs w:val="24"/>
          <w:lang w:val="en-ZA"/>
        </w:rPr>
        <w:t>performance</w:t>
      </w:r>
      <w:r>
        <w:rPr>
          <w:rFonts w:ascii="Arial" w:eastAsia="Calibri" w:hAnsi="Arial" w:cs="Arial"/>
          <w:szCs w:val="24"/>
          <w:lang w:val="en-ZA"/>
        </w:rPr>
        <w:t xml:space="preserve"> </w:t>
      </w:r>
      <w:r w:rsidRPr="005B5B43">
        <w:rPr>
          <w:rFonts w:ascii="Arial" w:eastAsia="Calibri" w:hAnsi="Arial" w:cs="Arial"/>
          <w:szCs w:val="24"/>
          <w:lang w:val="en-ZA"/>
        </w:rPr>
        <w:t>and maladministration.</w:t>
      </w:r>
      <w:r>
        <w:rPr>
          <w:rFonts w:ascii="Arial" w:eastAsia="Calibri" w:hAnsi="Arial" w:cs="Arial"/>
          <w:szCs w:val="24"/>
          <w:lang w:val="en-ZA"/>
        </w:rPr>
        <w:t xml:space="preserve"> </w:t>
      </w:r>
      <w:r w:rsidRPr="005B5B43">
        <w:rPr>
          <w:rFonts w:ascii="Arial" w:eastAsia="Calibri" w:hAnsi="Arial" w:cs="Arial"/>
          <w:szCs w:val="24"/>
          <w:lang w:val="en-ZA"/>
        </w:rPr>
        <w:t>—</w:t>
      </w:r>
      <w:r>
        <w:rPr>
          <w:rFonts w:ascii="Arial" w:eastAsia="Calibri" w:hAnsi="Arial" w:cs="Arial"/>
          <w:szCs w:val="24"/>
          <w:lang w:val="en-ZA"/>
        </w:rPr>
        <w:t xml:space="preserve"> </w:t>
      </w:r>
      <w:r w:rsidRPr="005B5B43">
        <w:rPr>
          <w:rFonts w:ascii="Arial" w:eastAsia="Calibri" w:hAnsi="Arial" w:cs="Arial"/>
          <w:szCs w:val="24"/>
          <w:lang w:val="en-ZA"/>
        </w:rPr>
        <w:t>(1) If an MEC has reason to believe that a municipality in</w:t>
      </w:r>
      <w:r>
        <w:rPr>
          <w:rFonts w:ascii="Arial" w:eastAsia="Calibri" w:hAnsi="Arial" w:cs="Arial"/>
          <w:szCs w:val="24"/>
          <w:lang w:val="en-ZA"/>
        </w:rPr>
        <w:t xml:space="preserve"> </w:t>
      </w:r>
      <w:r w:rsidRPr="005B5B43">
        <w:rPr>
          <w:rFonts w:ascii="Arial" w:eastAsia="Calibri" w:hAnsi="Arial" w:cs="Arial"/>
          <w:szCs w:val="24"/>
          <w:lang w:val="en-ZA"/>
        </w:rPr>
        <w:t xml:space="preserve">the province cannot or does not fulfil a statutory obligation binding on that </w:t>
      </w:r>
      <w:r w:rsidRPr="005B5B43">
        <w:rPr>
          <w:rFonts w:ascii="Arial" w:eastAsia="Calibri" w:hAnsi="Arial" w:cs="Arial"/>
          <w:szCs w:val="24"/>
          <w:lang w:val="en-ZA"/>
        </w:rPr>
        <w:lastRenderedPageBreak/>
        <w:t>municipality or that maladministration,</w:t>
      </w:r>
      <w:r>
        <w:rPr>
          <w:rFonts w:ascii="Arial" w:eastAsia="Calibri" w:hAnsi="Arial" w:cs="Arial"/>
          <w:szCs w:val="24"/>
          <w:lang w:val="en-ZA"/>
        </w:rPr>
        <w:t xml:space="preserve"> </w:t>
      </w:r>
      <w:r w:rsidRPr="005B5B43">
        <w:rPr>
          <w:rFonts w:ascii="Arial" w:eastAsia="Calibri" w:hAnsi="Arial" w:cs="Arial"/>
          <w:szCs w:val="24"/>
          <w:lang w:val="en-ZA"/>
        </w:rPr>
        <w:t>fraud, corruption or any other serious malpractice has occurred or is occurring in a municipality in the province, the</w:t>
      </w:r>
      <w:r>
        <w:rPr>
          <w:rFonts w:ascii="Arial" w:eastAsia="Calibri" w:hAnsi="Arial" w:cs="Arial"/>
          <w:szCs w:val="24"/>
          <w:lang w:val="en-ZA"/>
        </w:rPr>
        <w:t xml:space="preserve"> </w:t>
      </w:r>
      <w:r w:rsidRPr="005B5B43">
        <w:rPr>
          <w:rFonts w:ascii="Arial" w:eastAsia="Calibri" w:hAnsi="Arial" w:cs="Arial"/>
          <w:szCs w:val="24"/>
          <w:lang w:val="en-ZA"/>
        </w:rPr>
        <w:t>MEC must</w:t>
      </w:r>
      <w:r>
        <w:rPr>
          <w:rFonts w:ascii="Arial" w:eastAsia="Calibri" w:hAnsi="Arial" w:cs="Arial"/>
          <w:szCs w:val="24"/>
          <w:lang w:val="en-ZA"/>
        </w:rPr>
        <w:t xml:space="preserve"> </w:t>
      </w:r>
      <w:r w:rsidRPr="005B5B43">
        <w:rPr>
          <w:rFonts w:ascii="Arial" w:eastAsia="Calibri" w:hAnsi="Arial" w:cs="Arial"/>
          <w:szCs w:val="24"/>
          <w:lang w:val="en-ZA"/>
        </w:rPr>
        <w:t>—</w:t>
      </w:r>
    </w:p>
    <w:p w14:paraId="12C092EC" w14:textId="77777777" w:rsidR="005B5B43" w:rsidRPr="005B5B43" w:rsidRDefault="005B5B43" w:rsidP="005B5B43">
      <w:pPr>
        <w:spacing w:after="0" w:line="360" w:lineRule="auto"/>
        <w:jc w:val="both"/>
        <w:rPr>
          <w:rFonts w:ascii="Arial" w:eastAsia="Calibri" w:hAnsi="Arial" w:cs="Arial"/>
          <w:szCs w:val="24"/>
          <w:lang w:val="en-ZA"/>
        </w:rPr>
      </w:pPr>
      <w:r w:rsidRPr="005B5B43">
        <w:rPr>
          <w:rFonts w:ascii="Arial" w:eastAsia="Calibri" w:hAnsi="Arial" w:cs="Arial"/>
          <w:i/>
          <w:szCs w:val="24"/>
          <w:lang w:val="en-ZA"/>
        </w:rPr>
        <w:t>(a)</w:t>
      </w:r>
      <w:r w:rsidRPr="005B5B43">
        <w:rPr>
          <w:rFonts w:ascii="Arial" w:eastAsia="Calibri" w:hAnsi="Arial" w:cs="Arial"/>
          <w:szCs w:val="24"/>
          <w:lang w:val="en-ZA"/>
        </w:rPr>
        <w:t xml:space="preserve"> </w:t>
      </w:r>
      <w:r>
        <w:rPr>
          <w:rFonts w:ascii="Arial" w:eastAsia="Calibri" w:hAnsi="Arial" w:cs="Arial"/>
          <w:szCs w:val="24"/>
          <w:lang w:val="en-ZA"/>
        </w:rPr>
        <w:tab/>
      </w:r>
      <w:proofErr w:type="gramStart"/>
      <w:r w:rsidRPr="005B5B43">
        <w:rPr>
          <w:rFonts w:ascii="Arial" w:eastAsia="Calibri" w:hAnsi="Arial" w:cs="Arial"/>
          <w:szCs w:val="24"/>
          <w:lang w:val="en-ZA"/>
        </w:rPr>
        <w:t>by</w:t>
      </w:r>
      <w:proofErr w:type="gramEnd"/>
      <w:r w:rsidRPr="005B5B43">
        <w:rPr>
          <w:rFonts w:ascii="Arial" w:eastAsia="Calibri" w:hAnsi="Arial" w:cs="Arial"/>
          <w:szCs w:val="24"/>
          <w:lang w:val="en-ZA"/>
        </w:rPr>
        <w:t xml:space="preserve"> written notice to the municipality, request the municipal council or municipal manager to provide</w:t>
      </w:r>
      <w:r>
        <w:rPr>
          <w:rFonts w:ascii="Arial" w:eastAsia="Calibri" w:hAnsi="Arial" w:cs="Arial"/>
          <w:szCs w:val="24"/>
          <w:lang w:val="en-ZA"/>
        </w:rPr>
        <w:t xml:space="preserve"> </w:t>
      </w:r>
      <w:r w:rsidRPr="005B5B43">
        <w:rPr>
          <w:rFonts w:ascii="Arial" w:eastAsia="Calibri" w:hAnsi="Arial" w:cs="Arial"/>
          <w:szCs w:val="24"/>
          <w:lang w:val="en-ZA"/>
        </w:rPr>
        <w:t xml:space="preserve">the MEC with information required in the notice; </w:t>
      </w:r>
      <w:proofErr w:type="gramStart"/>
      <w:r w:rsidRPr="005B5B43">
        <w:rPr>
          <w:rFonts w:ascii="Arial" w:eastAsia="Calibri" w:hAnsi="Arial" w:cs="Arial"/>
          <w:szCs w:val="24"/>
          <w:lang w:val="en-ZA"/>
        </w:rPr>
        <w:t>or</w:t>
      </w:r>
      <w:proofErr w:type="gramEnd"/>
    </w:p>
    <w:p w14:paraId="00D13118" w14:textId="77777777" w:rsidR="005B5B43" w:rsidRPr="005B5B43" w:rsidRDefault="005B5B43" w:rsidP="005B5B43">
      <w:pPr>
        <w:spacing w:after="0" w:line="360" w:lineRule="auto"/>
        <w:jc w:val="both"/>
        <w:rPr>
          <w:rFonts w:ascii="Arial" w:eastAsia="Calibri" w:hAnsi="Arial" w:cs="Arial"/>
          <w:szCs w:val="24"/>
          <w:lang w:val="en-ZA"/>
        </w:rPr>
      </w:pPr>
      <w:r w:rsidRPr="005B5B43">
        <w:rPr>
          <w:rFonts w:ascii="Arial" w:eastAsia="Calibri" w:hAnsi="Arial" w:cs="Arial"/>
          <w:i/>
          <w:szCs w:val="24"/>
          <w:lang w:val="en-ZA"/>
        </w:rPr>
        <w:t>(b)</w:t>
      </w:r>
      <w:r w:rsidRPr="005B5B43">
        <w:rPr>
          <w:rFonts w:ascii="Arial" w:eastAsia="Calibri" w:hAnsi="Arial" w:cs="Arial"/>
          <w:szCs w:val="24"/>
          <w:lang w:val="en-ZA"/>
        </w:rPr>
        <w:t xml:space="preserve"> </w:t>
      </w:r>
      <w:r>
        <w:rPr>
          <w:rFonts w:ascii="Arial" w:eastAsia="Calibri" w:hAnsi="Arial" w:cs="Arial"/>
          <w:szCs w:val="24"/>
          <w:lang w:val="en-ZA"/>
        </w:rPr>
        <w:tab/>
      </w:r>
      <w:proofErr w:type="gramStart"/>
      <w:r w:rsidRPr="005B5B43">
        <w:rPr>
          <w:rFonts w:ascii="Arial" w:eastAsia="Calibri" w:hAnsi="Arial" w:cs="Arial"/>
          <w:szCs w:val="24"/>
          <w:lang w:val="en-ZA"/>
        </w:rPr>
        <w:t>if</w:t>
      </w:r>
      <w:proofErr w:type="gramEnd"/>
      <w:r w:rsidRPr="005B5B43">
        <w:rPr>
          <w:rFonts w:ascii="Arial" w:eastAsia="Calibri" w:hAnsi="Arial" w:cs="Arial"/>
          <w:szCs w:val="24"/>
          <w:lang w:val="en-ZA"/>
        </w:rPr>
        <w:t xml:space="preserve"> the MEC considers it necessary, designate a person or persons to investigate the matter.</w:t>
      </w:r>
    </w:p>
    <w:p w14:paraId="74551286" w14:textId="77777777" w:rsidR="005B5B43" w:rsidRPr="005B5B43" w:rsidRDefault="005B5B43" w:rsidP="005B5B43">
      <w:pPr>
        <w:spacing w:after="0" w:line="360" w:lineRule="auto"/>
        <w:jc w:val="both"/>
        <w:rPr>
          <w:rFonts w:ascii="Arial" w:eastAsia="Calibri" w:hAnsi="Arial" w:cs="Arial"/>
          <w:szCs w:val="24"/>
          <w:lang w:val="en-ZA"/>
        </w:rPr>
      </w:pPr>
      <w:r w:rsidRPr="005B5B43">
        <w:rPr>
          <w:rFonts w:ascii="Arial" w:eastAsia="Calibri" w:hAnsi="Arial" w:cs="Arial"/>
          <w:szCs w:val="24"/>
          <w:lang w:val="en-ZA"/>
        </w:rPr>
        <w:t>(2) In the absence of applicable provincial legislation, the provisions of sections 2, 3, 4, 5 and 6 of the</w:t>
      </w:r>
      <w:r>
        <w:rPr>
          <w:rFonts w:ascii="Arial" w:eastAsia="Calibri" w:hAnsi="Arial" w:cs="Arial"/>
          <w:szCs w:val="24"/>
          <w:lang w:val="en-ZA"/>
        </w:rPr>
        <w:t xml:space="preserve"> </w:t>
      </w:r>
      <w:r w:rsidRPr="005B5B43">
        <w:rPr>
          <w:rFonts w:ascii="Arial" w:eastAsia="Calibri" w:hAnsi="Arial" w:cs="Arial"/>
          <w:szCs w:val="24"/>
          <w:lang w:val="en-ZA"/>
        </w:rPr>
        <w:t>Commissions Act, 1947 (Act No. 8 of 1947), and the regulations made in terms of that Act apply, with the necessary</w:t>
      </w:r>
      <w:r>
        <w:rPr>
          <w:rFonts w:ascii="Arial" w:eastAsia="Calibri" w:hAnsi="Arial" w:cs="Arial"/>
          <w:szCs w:val="24"/>
          <w:lang w:val="en-ZA"/>
        </w:rPr>
        <w:t xml:space="preserve"> </w:t>
      </w:r>
      <w:r w:rsidRPr="005B5B43">
        <w:rPr>
          <w:rFonts w:ascii="Arial" w:eastAsia="Calibri" w:hAnsi="Arial" w:cs="Arial"/>
          <w:szCs w:val="24"/>
          <w:lang w:val="en-ZA"/>
        </w:rPr>
        <w:t xml:space="preserve">changes as the context may require, to an investigation in terms of subsection (1) </w:t>
      </w:r>
      <w:r w:rsidRPr="005B5B43">
        <w:rPr>
          <w:rFonts w:ascii="Arial" w:eastAsia="Calibri" w:hAnsi="Arial" w:cs="Arial"/>
          <w:i/>
          <w:szCs w:val="24"/>
          <w:lang w:val="en-ZA"/>
        </w:rPr>
        <w:t>(b)</w:t>
      </w:r>
      <w:r w:rsidRPr="005B5B43">
        <w:rPr>
          <w:rFonts w:ascii="Arial" w:eastAsia="Calibri" w:hAnsi="Arial" w:cs="Arial"/>
          <w:szCs w:val="24"/>
          <w:lang w:val="en-ZA"/>
        </w:rPr>
        <w:t>.</w:t>
      </w:r>
    </w:p>
    <w:p w14:paraId="7EB49058" w14:textId="77777777" w:rsidR="005B5B43" w:rsidRPr="005B5B43" w:rsidRDefault="005B5B43" w:rsidP="005B5B43">
      <w:pPr>
        <w:spacing w:after="0" w:line="360" w:lineRule="auto"/>
        <w:jc w:val="both"/>
        <w:rPr>
          <w:rFonts w:ascii="Arial" w:eastAsia="Calibri" w:hAnsi="Arial" w:cs="Arial"/>
          <w:szCs w:val="24"/>
          <w:lang w:val="en-ZA"/>
        </w:rPr>
      </w:pPr>
      <w:r w:rsidRPr="005B5B43">
        <w:rPr>
          <w:rFonts w:ascii="Arial" w:eastAsia="Calibri" w:hAnsi="Arial" w:cs="Arial"/>
          <w:szCs w:val="24"/>
          <w:lang w:val="en-ZA"/>
        </w:rPr>
        <w:t xml:space="preserve">(3) </w:t>
      </w:r>
      <w:r w:rsidRPr="005B5B43">
        <w:rPr>
          <w:rFonts w:ascii="Arial" w:eastAsia="Calibri" w:hAnsi="Arial" w:cs="Arial"/>
          <w:i/>
          <w:szCs w:val="24"/>
          <w:lang w:val="en-ZA"/>
        </w:rPr>
        <w:t>(a)</w:t>
      </w:r>
      <w:r w:rsidRPr="005B5B43">
        <w:rPr>
          <w:rFonts w:ascii="Arial" w:eastAsia="Calibri" w:hAnsi="Arial" w:cs="Arial"/>
          <w:szCs w:val="24"/>
          <w:lang w:val="en-ZA"/>
        </w:rPr>
        <w:t xml:space="preserve"> </w:t>
      </w:r>
      <w:r>
        <w:rPr>
          <w:rFonts w:ascii="Arial" w:eastAsia="Calibri" w:hAnsi="Arial" w:cs="Arial"/>
          <w:szCs w:val="24"/>
          <w:lang w:val="en-ZA"/>
        </w:rPr>
        <w:tab/>
      </w:r>
      <w:r w:rsidRPr="005B5B43">
        <w:rPr>
          <w:rFonts w:ascii="Arial" w:eastAsia="Calibri" w:hAnsi="Arial" w:cs="Arial"/>
          <w:szCs w:val="24"/>
          <w:lang w:val="en-ZA"/>
        </w:rPr>
        <w:t xml:space="preserve">An MEC issuing a notice in terms of subsection (1) </w:t>
      </w:r>
      <w:r w:rsidRPr="005B5B43">
        <w:rPr>
          <w:rFonts w:ascii="Arial" w:eastAsia="Calibri" w:hAnsi="Arial" w:cs="Arial"/>
          <w:i/>
          <w:szCs w:val="24"/>
          <w:lang w:val="en-ZA"/>
        </w:rPr>
        <w:t>(a)</w:t>
      </w:r>
      <w:r w:rsidRPr="005B5B43">
        <w:rPr>
          <w:rFonts w:ascii="Arial" w:eastAsia="Calibri" w:hAnsi="Arial" w:cs="Arial"/>
          <w:szCs w:val="24"/>
          <w:lang w:val="en-ZA"/>
        </w:rPr>
        <w:t xml:space="preserve"> or designating a person to conduct an</w:t>
      </w:r>
      <w:r>
        <w:rPr>
          <w:rFonts w:ascii="Arial" w:eastAsia="Calibri" w:hAnsi="Arial" w:cs="Arial"/>
          <w:szCs w:val="24"/>
          <w:lang w:val="en-ZA"/>
        </w:rPr>
        <w:t xml:space="preserve"> </w:t>
      </w:r>
      <w:r w:rsidRPr="005B5B43">
        <w:rPr>
          <w:rFonts w:ascii="Arial" w:eastAsia="Calibri" w:hAnsi="Arial" w:cs="Arial"/>
          <w:szCs w:val="24"/>
          <w:lang w:val="en-ZA"/>
        </w:rPr>
        <w:t xml:space="preserve">investigation in terms of subsection (1) </w:t>
      </w:r>
      <w:r w:rsidRPr="005B5B43">
        <w:rPr>
          <w:rFonts w:ascii="Arial" w:eastAsia="Calibri" w:hAnsi="Arial" w:cs="Arial"/>
          <w:i/>
          <w:szCs w:val="24"/>
          <w:lang w:val="en-ZA"/>
        </w:rPr>
        <w:t>(b)</w:t>
      </w:r>
      <w:r w:rsidRPr="005B5B43">
        <w:rPr>
          <w:rFonts w:ascii="Arial" w:eastAsia="Calibri" w:hAnsi="Arial" w:cs="Arial"/>
          <w:szCs w:val="24"/>
          <w:lang w:val="en-ZA"/>
        </w:rPr>
        <w:t>, must within 14 days submit a written statement to the National Council</w:t>
      </w:r>
      <w:r>
        <w:rPr>
          <w:rFonts w:ascii="Arial" w:eastAsia="Calibri" w:hAnsi="Arial" w:cs="Arial"/>
          <w:szCs w:val="24"/>
          <w:lang w:val="en-ZA"/>
        </w:rPr>
        <w:t xml:space="preserve"> </w:t>
      </w:r>
      <w:r w:rsidRPr="005B5B43">
        <w:rPr>
          <w:rFonts w:ascii="Arial" w:eastAsia="Calibri" w:hAnsi="Arial" w:cs="Arial"/>
          <w:szCs w:val="24"/>
          <w:lang w:val="en-ZA"/>
        </w:rPr>
        <w:t>of Provinces motivating the action.</w:t>
      </w:r>
    </w:p>
    <w:p w14:paraId="70127A79" w14:textId="77777777" w:rsidR="00685877" w:rsidRPr="005B5B43" w:rsidRDefault="005B5B43" w:rsidP="005B5B43">
      <w:pPr>
        <w:spacing w:after="0" w:line="360" w:lineRule="auto"/>
        <w:jc w:val="both"/>
        <w:rPr>
          <w:rFonts w:ascii="Arial" w:eastAsia="Calibri" w:hAnsi="Arial" w:cs="Arial"/>
          <w:szCs w:val="24"/>
          <w:lang w:val="en-ZA"/>
        </w:rPr>
      </w:pPr>
      <w:r w:rsidRPr="005B5B43">
        <w:rPr>
          <w:rFonts w:ascii="Arial" w:eastAsia="Calibri" w:hAnsi="Arial" w:cs="Arial"/>
          <w:i/>
          <w:szCs w:val="24"/>
          <w:lang w:val="en-ZA"/>
        </w:rPr>
        <w:t>(b)</w:t>
      </w:r>
      <w:r w:rsidRPr="005B5B43">
        <w:rPr>
          <w:rFonts w:ascii="Arial" w:eastAsia="Calibri" w:hAnsi="Arial" w:cs="Arial"/>
          <w:szCs w:val="24"/>
          <w:lang w:val="en-ZA"/>
        </w:rPr>
        <w:t xml:space="preserve"> </w:t>
      </w:r>
      <w:r>
        <w:rPr>
          <w:rFonts w:ascii="Arial" w:eastAsia="Calibri" w:hAnsi="Arial" w:cs="Arial"/>
          <w:szCs w:val="24"/>
          <w:lang w:val="en-ZA"/>
        </w:rPr>
        <w:tab/>
      </w:r>
      <w:r w:rsidRPr="005B5B43">
        <w:rPr>
          <w:rFonts w:ascii="Arial" w:eastAsia="Calibri" w:hAnsi="Arial" w:cs="Arial"/>
          <w:szCs w:val="24"/>
          <w:lang w:val="en-ZA"/>
        </w:rPr>
        <w:t xml:space="preserve">A copy of the statement contemplated in paragraph </w:t>
      </w:r>
      <w:r w:rsidRPr="005B5B43">
        <w:rPr>
          <w:rFonts w:ascii="Arial" w:eastAsia="Calibri" w:hAnsi="Arial" w:cs="Arial"/>
          <w:i/>
          <w:szCs w:val="24"/>
          <w:lang w:val="en-ZA"/>
        </w:rPr>
        <w:t>(a)</w:t>
      </w:r>
      <w:r w:rsidRPr="005B5B43">
        <w:rPr>
          <w:rFonts w:ascii="Arial" w:eastAsia="Calibri" w:hAnsi="Arial" w:cs="Arial"/>
          <w:szCs w:val="24"/>
          <w:lang w:val="en-ZA"/>
        </w:rPr>
        <w:t xml:space="preserve"> must simultaneously be forwarded to the</w:t>
      </w:r>
      <w:r>
        <w:rPr>
          <w:rFonts w:ascii="Arial" w:eastAsia="Calibri" w:hAnsi="Arial" w:cs="Arial"/>
          <w:szCs w:val="24"/>
          <w:lang w:val="en-ZA"/>
        </w:rPr>
        <w:t xml:space="preserve"> </w:t>
      </w:r>
      <w:r w:rsidRPr="005B5B43">
        <w:rPr>
          <w:rFonts w:ascii="Arial" w:eastAsia="Calibri" w:hAnsi="Arial" w:cs="Arial"/>
          <w:szCs w:val="24"/>
          <w:lang w:val="en-ZA"/>
        </w:rPr>
        <w:t>Minister and to the Minister of Finance.</w:t>
      </w:r>
      <w:r>
        <w:rPr>
          <w:rFonts w:ascii="Arial" w:eastAsia="Calibri" w:hAnsi="Arial" w:cs="Arial"/>
          <w:szCs w:val="24"/>
          <w:lang w:val="en-ZA"/>
        </w:rPr>
        <w:t>’</w:t>
      </w:r>
    </w:p>
    <w:p w14:paraId="0FF17390" w14:textId="02AFA5AC" w:rsidR="00685877" w:rsidRPr="00994D55" w:rsidRDefault="00685877" w:rsidP="007E04B9">
      <w:pPr>
        <w:spacing w:after="0" w:line="360" w:lineRule="auto"/>
        <w:jc w:val="both"/>
        <w:rPr>
          <w:rFonts w:ascii="Arial" w:eastAsia="Calibri" w:hAnsi="Arial" w:cs="Arial"/>
          <w:sz w:val="24"/>
          <w:szCs w:val="24"/>
          <w:lang w:val="en-ZA"/>
        </w:rPr>
      </w:pPr>
      <w:r w:rsidRPr="00994D55">
        <w:rPr>
          <w:rFonts w:ascii="Arial" w:eastAsia="Calibri" w:hAnsi="Arial" w:cs="Arial"/>
          <w:sz w:val="24"/>
          <w:szCs w:val="24"/>
          <w:lang w:val="en-ZA"/>
        </w:rPr>
        <w:t>It is settled,</w:t>
      </w:r>
      <w:r w:rsidR="00A14DC3" w:rsidRPr="00994D55">
        <w:rPr>
          <w:rFonts w:ascii="Arial" w:eastAsia="Calibri" w:hAnsi="Arial" w:cs="Arial"/>
          <w:sz w:val="24"/>
          <w:szCs w:val="24"/>
          <w:lang w:val="en-ZA"/>
        </w:rPr>
        <w:t xml:space="preserve"> that</w:t>
      </w:r>
      <w:r w:rsidR="00296A09" w:rsidRPr="00994D55">
        <w:rPr>
          <w:rFonts w:ascii="Arial" w:eastAsia="Calibri" w:hAnsi="Arial" w:cs="Arial"/>
          <w:sz w:val="24"/>
          <w:szCs w:val="24"/>
          <w:lang w:val="en-ZA"/>
        </w:rPr>
        <w:t xml:space="preserve"> in KwaZulu-Natal, the provincial legislation applicable to investigations under s</w:t>
      </w:r>
      <w:r w:rsidR="005B5B43">
        <w:rPr>
          <w:rFonts w:ascii="Arial" w:eastAsia="Calibri" w:hAnsi="Arial" w:cs="Arial"/>
          <w:sz w:val="24"/>
          <w:szCs w:val="24"/>
          <w:lang w:val="en-ZA"/>
        </w:rPr>
        <w:t xml:space="preserve"> 106(1</w:t>
      </w:r>
      <w:proofErr w:type="gramStart"/>
      <w:r w:rsidR="005B5B43">
        <w:rPr>
          <w:rFonts w:ascii="Arial" w:eastAsia="Calibri" w:hAnsi="Arial" w:cs="Arial"/>
          <w:sz w:val="24"/>
          <w:szCs w:val="24"/>
          <w:lang w:val="en-ZA"/>
        </w:rPr>
        <w:t>)</w:t>
      </w:r>
      <w:r w:rsidR="00296A09" w:rsidRPr="005B5B43">
        <w:rPr>
          <w:rFonts w:ascii="Arial" w:eastAsia="Calibri" w:hAnsi="Arial" w:cs="Arial"/>
          <w:i/>
          <w:sz w:val="24"/>
          <w:szCs w:val="24"/>
          <w:lang w:val="en-ZA"/>
        </w:rPr>
        <w:t>(</w:t>
      </w:r>
      <w:proofErr w:type="gramEnd"/>
      <w:r w:rsidR="00296A09" w:rsidRPr="005B5B43">
        <w:rPr>
          <w:rFonts w:ascii="Arial" w:eastAsia="Calibri" w:hAnsi="Arial" w:cs="Arial"/>
          <w:i/>
          <w:sz w:val="24"/>
          <w:szCs w:val="24"/>
          <w:lang w:val="en-ZA"/>
        </w:rPr>
        <w:t>b)</w:t>
      </w:r>
      <w:r w:rsidR="00296A09" w:rsidRPr="00994D55">
        <w:rPr>
          <w:rFonts w:ascii="Arial" w:eastAsia="Calibri" w:hAnsi="Arial" w:cs="Arial"/>
          <w:sz w:val="24"/>
          <w:szCs w:val="24"/>
          <w:lang w:val="en-ZA"/>
        </w:rPr>
        <w:t xml:space="preserve"> is </w:t>
      </w:r>
      <w:r w:rsidR="000D5B48" w:rsidRPr="00994D55">
        <w:rPr>
          <w:rFonts w:ascii="Arial" w:eastAsia="Calibri" w:hAnsi="Arial" w:cs="Arial"/>
          <w:sz w:val="24"/>
          <w:szCs w:val="24"/>
          <w:lang w:val="en-ZA"/>
        </w:rPr>
        <w:t>the KZN</w:t>
      </w:r>
      <w:r w:rsidR="005B5B43">
        <w:rPr>
          <w:rFonts w:ascii="Arial" w:eastAsia="Calibri" w:hAnsi="Arial" w:cs="Arial"/>
          <w:sz w:val="24"/>
          <w:szCs w:val="24"/>
          <w:lang w:val="en-ZA"/>
        </w:rPr>
        <w:t xml:space="preserve"> Commissions Act.</w:t>
      </w:r>
      <w:r w:rsidR="00296A09" w:rsidRPr="00994D55">
        <w:rPr>
          <w:rFonts w:ascii="Arial" w:eastAsia="Calibri" w:hAnsi="Arial" w:cs="Arial"/>
          <w:sz w:val="24"/>
          <w:szCs w:val="24"/>
          <w:lang w:val="en-ZA"/>
        </w:rPr>
        <w:t xml:space="preserve"> Confirming the finding of Nicholson J, the Supreme Court of Appeal in </w:t>
      </w:r>
      <w:r w:rsidR="00296A09" w:rsidRPr="00994D55">
        <w:rPr>
          <w:rFonts w:ascii="Arial" w:eastAsia="Calibri" w:hAnsi="Arial" w:cs="Arial"/>
          <w:i/>
          <w:sz w:val="24"/>
          <w:szCs w:val="24"/>
          <w:lang w:val="en-ZA"/>
        </w:rPr>
        <w:t xml:space="preserve">Minister of Local Government, KwaZulu-Natal v </w:t>
      </w:r>
      <w:proofErr w:type="spellStart"/>
      <w:r w:rsidR="00296A09" w:rsidRPr="00994D55">
        <w:rPr>
          <w:rFonts w:ascii="Arial" w:eastAsia="Calibri" w:hAnsi="Arial" w:cs="Arial"/>
          <w:i/>
          <w:sz w:val="24"/>
          <w:szCs w:val="24"/>
          <w:lang w:val="en-ZA"/>
        </w:rPr>
        <w:t>Umlambo</w:t>
      </w:r>
      <w:proofErr w:type="spellEnd"/>
      <w:r w:rsidR="00E66488">
        <w:rPr>
          <w:rFonts w:ascii="Arial" w:eastAsia="Calibri" w:hAnsi="Arial" w:cs="Arial"/>
          <w:i/>
          <w:sz w:val="24"/>
          <w:szCs w:val="24"/>
          <w:lang w:val="en-ZA"/>
        </w:rPr>
        <w:t xml:space="preserve"> Trading</w:t>
      </w:r>
      <w:r w:rsidR="00296A09" w:rsidRPr="00994D55">
        <w:rPr>
          <w:rStyle w:val="FootnoteReference"/>
          <w:rFonts w:ascii="Arial" w:eastAsia="Calibri" w:hAnsi="Arial" w:cs="Arial"/>
          <w:sz w:val="24"/>
          <w:szCs w:val="24"/>
          <w:lang w:val="en-ZA"/>
        </w:rPr>
        <w:footnoteReference w:id="6"/>
      </w:r>
      <w:r w:rsidR="00296A09" w:rsidRPr="00994D55">
        <w:rPr>
          <w:rFonts w:ascii="Arial" w:eastAsia="Calibri" w:hAnsi="Arial" w:cs="Arial"/>
          <w:sz w:val="24"/>
          <w:szCs w:val="24"/>
          <w:lang w:val="en-ZA"/>
        </w:rPr>
        <w:t xml:space="preserve"> held, that the </w:t>
      </w:r>
      <w:r w:rsidR="007B64B7">
        <w:rPr>
          <w:rFonts w:ascii="Arial" w:eastAsia="Calibri" w:hAnsi="Arial" w:cs="Arial"/>
          <w:sz w:val="24"/>
          <w:szCs w:val="24"/>
          <w:lang w:val="en-ZA"/>
        </w:rPr>
        <w:t>‘</w:t>
      </w:r>
      <w:r w:rsidR="00296A09" w:rsidRPr="00994D55">
        <w:rPr>
          <w:rFonts w:ascii="Arial" w:eastAsia="Calibri" w:hAnsi="Arial" w:cs="Arial"/>
          <w:sz w:val="24"/>
          <w:szCs w:val="24"/>
          <w:lang w:val="en-ZA"/>
        </w:rPr>
        <w:t xml:space="preserve">KZN </w:t>
      </w:r>
      <w:r w:rsidR="000D5B48" w:rsidRPr="00994D55">
        <w:rPr>
          <w:rFonts w:ascii="Arial" w:eastAsia="Calibri" w:hAnsi="Arial" w:cs="Arial"/>
          <w:sz w:val="24"/>
          <w:szCs w:val="24"/>
          <w:lang w:val="en-ZA"/>
        </w:rPr>
        <w:t xml:space="preserve">Commissions </w:t>
      </w:r>
      <w:r w:rsidR="00296A09" w:rsidRPr="00994D55">
        <w:rPr>
          <w:rFonts w:ascii="Arial" w:eastAsia="Calibri" w:hAnsi="Arial" w:cs="Arial"/>
          <w:sz w:val="24"/>
          <w:szCs w:val="24"/>
          <w:lang w:val="en-ZA"/>
        </w:rPr>
        <w:t xml:space="preserve">Act </w:t>
      </w:r>
      <w:r w:rsidR="00296A09" w:rsidRPr="00D05EC6">
        <w:rPr>
          <w:rFonts w:ascii="Arial" w:eastAsia="Calibri" w:hAnsi="Arial" w:cs="Arial"/>
          <w:i/>
          <w:sz w:val="24"/>
          <w:szCs w:val="24"/>
          <w:lang w:val="en-ZA"/>
        </w:rPr>
        <w:t>certainly constitutes applicable provisional legislation as contemplated by s</w:t>
      </w:r>
      <w:r w:rsidR="007B64B7">
        <w:rPr>
          <w:rFonts w:ascii="Arial" w:eastAsia="Calibri" w:hAnsi="Arial" w:cs="Arial"/>
          <w:i/>
          <w:sz w:val="24"/>
          <w:szCs w:val="24"/>
          <w:lang w:val="en-ZA"/>
        </w:rPr>
        <w:t xml:space="preserve"> 106</w:t>
      </w:r>
      <w:r w:rsidR="00296A09" w:rsidRPr="00D05EC6">
        <w:rPr>
          <w:rFonts w:ascii="Arial" w:eastAsia="Calibri" w:hAnsi="Arial" w:cs="Arial"/>
          <w:i/>
          <w:sz w:val="24"/>
          <w:szCs w:val="24"/>
          <w:lang w:val="en-ZA"/>
        </w:rPr>
        <w:t>(2) of the Municipal Systems Act</w:t>
      </w:r>
      <w:r w:rsidR="00D05EC6">
        <w:rPr>
          <w:rFonts w:ascii="Arial" w:eastAsia="Calibri" w:hAnsi="Arial" w:cs="Arial"/>
          <w:sz w:val="24"/>
          <w:szCs w:val="24"/>
          <w:lang w:val="en-ZA"/>
        </w:rPr>
        <w:t>.</w:t>
      </w:r>
      <w:r w:rsidR="007B64B7">
        <w:rPr>
          <w:rFonts w:ascii="Arial" w:eastAsia="Calibri" w:hAnsi="Arial" w:cs="Arial"/>
          <w:sz w:val="24"/>
          <w:szCs w:val="24"/>
          <w:lang w:val="en-ZA"/>
        </w:rPr>
        <w:t>’</w:t>
      </w:r>
      <w:r w:rsidR="00D05EC6">
        <w:rPr>
          <w:rFonts w:ascii="Arial" w:eastAsia="Calibri" w:hAnsi="Arial" w:cs="Arial"/>
          <w:sz w:val="24"/>
          <w:szCs w:val="24"/>
          <w:lang w:val="en-ZA"/>
        </w:rPr>
        <w:t xml:space="preserve"> </w:t>
      </w:r>
      <w:r w:rsidR="004A6319" w:rsidRPr="00994D55">
        <w:rPr>
          <w:rFonts w:ascii="Arial" w:eastAsia="Calibri" w:hAnsi="Arial" w:cs="Arial"/>
          <w:sz w:val="24"/>
          <w:szCs w:val="24"/>
          <w:lang w:val="en-ZA"/>
        </w:rPr>
        <w:t>(</w:t>
      </w:r>
      <w:r w:rsidR="000D5B48" w:rsidRPr="00994D55">
        <w:rPr>
          <w:rFonts w:ascii="Arial" w:eastAsia="Calibri" w:hAnsi="Arial" w:cs="Arial"/>
          <w:sz w:val="24"/>
          <w:szCs w:val="24"/>
          <w:lang w:val="en-ZA"/>
        </w:rPr>
        <w:t>My emphasis</w:t>
      </w:r>
      <w:r w:rsidR="004A6319" w:rsidRPr="00994D55">
        <w:rPr>
          <w:rFonts w:ascii="Arial" w:eastAsia="Calibri" w:hAnsi="Arial" w:cs="Arial"/>
          <w:sz w:val="24"/>
          <w:szCs w:val="24"/>
          <w:lang w:val="en-ZA"/>
        </w:rPr>
        <w:t>)</w:t>
      </w:r>
      <w:r w:rsidR="00D05EC6">
        <w:rPr>
          <w:rFonts w:ascii="Arial" w:eastAsia="Calibri" w:hAnsi="Arial" w:cs="Arial"/>
          <w:sz w:val="24"/>
          <w:szCs w:val="24"/>
          <w:lang w:val="en-ZA"/>
        </w:rPr>
        <w:t>.</w:t>
      </w:r>
      <w:r w:rsidR="000D5B48" w:rsidRPr="00994D55">
        <w:rPr>
          <w:rFonts w:ascii="Arial" w:eastAsia="Calibri" w:hAnsi="Arial" w:cs="Arial"/>
          <w:sz w:val="24"/>
          <w:szCs w:val="24"/>
          <w:lang w:val="en-ZA"/>
        </w:rPr>
        <w:t xml:space="preserve"> </w:t>
      </w:r>
      <w:r w:rsidR="00296A09" w:rsidRPr="00994D55">
        <w:rPr>
          <w:rFonts w:ascii="Arial" w:eastAsia="Calibri" w:hAnsi="Arial" w:cs="Arial"/>
          <w:sz w:val="24"/>
          <w:szCs w:val="24"/>
          <w:lang w:val="en-ZA"/>
        </w:rPr>
        <w:t>The court proceeded</w:t>
      </w:r>
      <w:r w:rsidR="00ED7B1D">
        <w:rPr>
          <w:rFonts w:ascii="Arial" w:eastAsia="Calibri" w:hAnsi="Arial" w:cs="Arial"/>
          <w:sz w:val="24"/>
          <w:szCs w:val="24"/>
          <w:lang w:val="en-ZA"/>
        </w:rPr>
        <w:t xml:space="preserve"> as follows</w:t>
      </w:r>
      <w:r w:rsidR="00296A09" w:rsidRPr="00994D55">
        <w:rPr>
          <w:rFonts w:ascii="Arial" w:eastAsia="Calibri" w:hAnsi="Arial" w:cs="Arial"/>
          <w:sz w:val="24"/>
          <w:szCs w:val="24"/>
          <w:lang w:val="en-ZA"/>
        </w:rPr>
        <w:t>:</w:t>
      </w:r>
    </w:p>
    <w:p w14:paraId="3CEB1BAD" w14:textId="05D8A288" w:rsidR="00296A09" w:rsidRPr="000875C4" w:rsidRDefault="000875C4" w:rsidP="000875C4">
      <w:pPr>
        <w:spacing w:after="0" w:line="360" w:lineRule="auto"/>
        <w:jc w:val="both"/>
        <w:rPr>
          <w:rFonts w:ascii="Arial" w:eastAsia="Calibri" w:hAnsi="Arial" w:cs="Arial"/>
          <w:szCs w:val="24"/>
          <w:lang w:val="en-ZA"/>
        </w:rPr>
      </w:pPr>
      <w:r w:rsidRPr="000875C4">
        <w:rPr>
          <w:rFonts w:ascii="Arial" w:eastAsia="Calibri" w:hAnsi="Arial" w:cs="Arial"/>
          <w:szCs w:val="24"/>
          <w:lang w:val="en-ZA"/>
        </w:rPr>
        <w:t xml:space="preserve">‘Moreover, having regard to the ordinary grammatical meaning of s 106(2), it is clear that it is only in the absence of applicable provincial legislation that </w:t>
      </w:r>
      <w:proofErr w:type="spellStart"/>
      <w:r w:rsidRPr="000875C4">
        <w:rPr>
          <w:rFonts w:ascii="Arial" w:eastAsia="Calibri" w:hAnsi="Arial" w:cs="Arial"/>
          <w:szCs w:val="24"/>
          <w:lang w:val="en-ZA"/>
        </w:rPr>
        <w:t>ss</w:t>
      </w:r>
      <w:proofErr w:type="spellEnd"/>
      <w:r w:rsidRPr="000875C4">
        <w:rPr>
          <w:rFonts w:ascii="Arial" w:eastAsia="Calibri" w:hAnsi="Arial" w:cs="Arial"/>
          <w:szCs w:val="24"/>
          <w:lang w:val="en-ZA"/>
        </w:rPr>
        <w:t xml:space="preserve"> 2 to 6 of the (national) Commissions Act, apply, “with the necessary changes as the context may require”, to an investigation in terms of </w:t>
      </w:r>
      <w:r>
        <w:rPr>
          <w:rFonts w:ascii="Arial" w:eastAsia="Calibri" w:hAnsi="Arial" w:cs="Arial"/>
          <w:szCs w:val="24"/>
          <w:lang w:val="en-ZA"/>
        </w:rPr>
        <w:t>s </w:t>
      </w:r>
      <w:r w:rsidRPr="000875C4">
        <w:rPr>
          <w:rFonts w:ascii="Arial" w:eastAsia="Calibri" w:hAnsi="Arial" w:cs="Arial"/>
          <w:szCs w:val="24"/>
          <w:lang w:val="en-ZA"/>
        </w:rPr>
        <w:t>106(1</w:t>
      </w:r>
      <w:proofErr w:type="gramStart"/>
      <w:r w:rsidRPr="000875C4">
        <w:rPr>
          <w:rFonts w:ascii="Arial" w:eastAsia="Calibri" w:hAnsi="Arial" w:cs="Arial"/>
          <w:szCs w:val="24"/>
          <w:lang w:val="en-ZA"/>
        </w:rPr>
        <w:t>)</w:t>
      </w:r>
      <w:r w:rsidRPr="000875C4">
        <w:rPr>
          <w:rFonts w:ascii="Arial" w:eastAsia="Calibri" w:hAnsi="Arial" w:cs="Arial"/>
          <w:i/>
          <w:szCs w:val="24"/>
          <w:lang w:val="en-ZA"/>
        </w:rPr>
        <w:t>(</w:t>
      </w:r>
      <w:proofErr w:type="gramEnd"/>
      <w:r w:rsidRPr="000875C4">
        <w:rPr>
          <w:rFonts w:ascii="Arial" w:eastAsia="Calibri" w:hAnsi="Arial" w:cs="Arial"/>
          <w:i/>
          <w:szCs w:val="24"/>
          <w:lang w:val="en-ZA"/>
        </w:rPr>
        <w:t>b)</w:t>
      </w:r>
      <w:r w:rsidRPr="000875C4">
        <w:rPr>
          <w:rFonts w:ascii="Arial" w:eastAsia="Calibri" w:hAnsi="Arial" w:cs="Arial"/>
          <w:szCs w:val="24"/>
          <w:lang w:val="en-ZA"/>
        </w:rPr>
        <w:t>.’</w:t>
      </w:r>
      <w:r w:rsidR="00296A09" w:rsidRPr="000875C4">
        <w:rPr>
          <w:rFonts w:ascii="Arial" w:eastAsia="Calibri" w:hAnsi="Arial" w:cs="Arial"/>
          <w:szCs w:val="24"/>
          <w:lang w:val="en-ZA"/>
        </w:rPr>
        <w:t xml:space="preserve"> </w:t>
      </w:r>
    </w:p>
    <w:p w14:paraId="229196D0" w14:textId="4DA51644" w:rsidR="00296A09" w:rsidRPr="00994D55" w:rsidRDefault="00296A09" w:rsidP="007E04B9">
      <w:pPr>
        <w:spacing w:after="0" w:line="360" w:lineRule="auto"/>
        <w:jc w:val="both"/>
        <w:rPr>
          <w:rFonts w:ascii="Arial" w:eastAsia="Calibri" w:hAnsi="Arial" w:cs="Arial"/>
          <w:sz w:val="24"/>
          <w:szCs w:val="24"/>
          <w:lang w:val="en-ZA"/>
        </w:rPr>
      </w:pPr>
    </w:p>
    <w:p w14:paraId="0A16386D" w14:textId="251308D7" w:rsidR="00175F45" w:rsidRPr="00994D55" w:rsidRDefault="00016A9D" w:rsidP="007E04B9">
      <w:pPr>
        <w:spacing w:after="0" w:line="360" w:lineRule="auto"/>
        <w:jc w:val="both"/>
        <w:rPr>
          <w:rFonts w:ascii="Arial" w:eastAsia="Calibri" w:hAnsi="Arial" w:cs="Arial"/>
          <w:sz w:val="24"/>
          <w:szCs w:val="24"/>
          <w:lang w:val="en-ZA"/>
        </w:rPr>
      </w:pPr>
      <w:r w:rsidRPr="00994D55">
        <w:rPr>
          <w:rFonts w:ascii="Arial" w:eastAsia="Calibri" w:hAnsi="Arial" w:cs="Arial"/>
          <w:sz w:val="24"/>
          <w:szCs w:val="24"/>
          <w:lang w:val="en-ZA"/>
        </w:rPr>
        <w:t>[8]</w:t>
      </w:r>
      <w:r w:rsidRPr="00994D55">
        <w:rPr>
          <w:rFonts w:ascii="Arial" w:eastAsia="Calibri" w:hAnsi="Arial" w:cs="Arial"/>
          <w:sz w:val="24"/>
          <w:szCs w:val="24"/>
          <w:lang w:val="en-ZA"/>
        </w:rPr>
        <w:tab/>
      </w:r>
      <w:r w:rsidR="004A6319" w:rsidRPr="00994D55">
        <w:rPr>
          <w:rFonts w:ascii="Arial" w:eastAsia="Calibri" w:hAnsi="Arial" w:cs="Arial"/>
          <w:sz w:val="24"/>
          <w:szCs w:val="24"/>
          <w:lang w:val="en-ZA"/>
        </w:rPr>
        <w:t>It was submitted on behalf of the applicants</w:t>
      </w:r>
      <w:r w:rsidRPr="00994D55">
        <w:rPr>
          <w:rFonts w:ascii="Arial" w:eastAsia="Calibri" w:hAnsi="Arial" w:cs="Arial"/>
          <w:sz w:val="24"/>
          <w:szCs w:val="24"/>
          <w:lang w:val="en-ZA"/>
        </w:rPr>
        <w:t xml:space="preserve"> that the provisions of the KZN Commissions Act, inserted </w:t>
      </w:r>
      <w:r w:rsidR="004A6319" w:rsidRPr="00994D55">
        <w:rPr>
          <w:rFonts w:ascii="Arial" w:eastAsia="Calibri" w:hAnsi="Arial" w:cs="Arial"/>
          <w:sz w:val="24"/>
          <w:szCs w:val="24"/>
          <w:lang w:val="en-ZA"/>
        </w:rPr>
        <w:t xml:space="preserve">by </w:t>
      </w:r>
      <w:r w:rsidR="000526D0">
        <w:rPr>
          <w:rFonts w:ascii="Arial" w:eastAsia="Calibri" w:hAnsi="Arial" w:cs="Arial"/>
          <w:sz w:val="24"/>
          <w:szCs w:val="24"/>
          <w:lang w:val="en-ZA"/>
        </w:rPr>
        <w:t xml:space="preserve">an </w:t>
      </w:r>
      <w:r w:rsidR="004A6319" w:rsidRPr="00994D55">
        <w:rPr>
          <w:rFonts w:ascii="Arial" w:eastAsia="Calibri" w:hAnsi="Arial" w:cs="Arial"/>
          <w:sz w:val="24"/>
          <w:szCs w:val="24"/>
          <w:lang w:val="en-ZA"/>
        </w:rPr>
        <w:t>amendment in 2015</w:t>
      </w:r>
      <w:r w:rsidRPr="00994D55">
        <w:rPr>
          <w:rFonts w:ascii="Arial" w:eastAsia="Calibri" w:hAnsi="Arial" w:cs="Arial"/>
          <w:sz w:val="24"/>
          <w:szCs w:val="24"/>
          <w:lang w:val="en-ZA"/>
        </w:rPr>
        <w:t>, specifically provides, that sections 3, 4, 5, 6, and 7 of the KZN Commissions are applicable to investigations under s</w:t>
      </w:r>
      <w:r w:rsidR="000526D0">
        <w:rPr>
          <w:rFonts w:ascii="Arial" w:eastAsia="Calibri" w:hAnsi="Arial" w:cs="Arial"/>
          <w:sz w:val="24"/>
          <w:szCs w:val="24"/>
          <w:lang w:val="en-ZA"/>
        </w:rPr>
        <w:t> 106(1)</w:t>
      </w:r>
      <w:r w:rsidRPr="000526D0">
        <w:rPr>
          <w:rFonts w:ascii="Arial" w:eastAsia="Calibri" w:hAnsi="Arial" w:cs="Arial"/>
          <w:i/>
          <w:sz w:val="24"/>
          <w:szCs w:val="24"/>
          <w:lang w:val="en-ZA"/>
        </w:rPr>
        <w:t>(b)</w:t>
      </w:r>
      <w:r w:rsidRPr="00994D55">
        <w:rPr>
          <w:rFonts w:ascii="Arial" w:eastAsia="Calibri" w:hAnsi="Arial" w:cs="Arial"/>
          <w:sz w:val="24"/>
          <w:szCs w:val="24"/>
          <w:lang w:val="en-ZA"/>
        </w:rPr>
        <w:t xml:space="preserve"> of the </w:t>
      </w:r>
      <w:r w:rsidR="000526D0">
        <w:rPr>
          <w:rFonts w:ascii="Arial" w:eastAsia="Calibri" w:hAnsi="Arial" w:cs="Arial"/>
          <w:sz w:val="24"/>
          <w:szCs w:val="24"/>
          <w:lang w:val="en-ZA"/>
        </w:rPr>
        <w:t xml:space="preserve">Municipal </w:t>
      </w:r>
      <w:r w:rsidRPr="00994D55">
        <w:rPr>
          <w:rFonts w:ascii="Arial" w:eastAsia="Calibri" w:hAnsi="Arial" w:cs="Arial"/>
          <w:sz w:val="24"/>
          <w:szCs w:val="24"/>
          <w:lang w:val="en-ZA"/>
        </w:rPr>
        <w:t>Sys</w:t>
      </w:r>
      <w:r w:rsidR="000875C4">
        <w:rPr>
          <w:rFonts w:ascii="Arial" w:eastAsia="Calibri" w:hAnsi="Arial" w:cs="Arial"/>
          <w:sz w:val="24"/>
          <w:szCs w:val="24"/>
          <w:lang w:val="en-ZA"/>
        </w:rPr>
        <w:t xml:space="preserve">tems Act. </w:t>
      </w:r>
      <w:r w:rsidR="004A6319" w:rsidRPr="00994D55">
        <w:rPr>
          <w:rFonts w:ascii="Arial" w:eastAsia="Calibri" w:hAnsi="Arial" w:cs="Arial"/>
          <w:sz w:val="24"/>
          <w:szCs w:val="24"/>
          <w:lang w:val="en-ZA"/>
        </w:rPr>
        <w:t xml:space="preserve">The KZN Commissions Act regulates every aspect of a </w:t>
      </w:r>
      <w:r w:rsidR="00E15033">
        <w:rPr>
          <w:rFonts w:ascii="Arial" w:eastAsia="Calibri" w:hAnsi="Arial" w:cs="Arial"/>
          <w:sz w:val="24"/>
          <w:szCs w:val="24"/>
          <w:lang w:val="en-ZA"/>
        </w:rPr>
        <w:t>c</w:t>
      </w:r>
      <w:r w:rsidR="00E15033" w:rsidRPr="00994D55">
        <w:rPr>
          <w:rFonts w:ascii="Arial" w:eastAsia="Calibri" w:hAnsi="Arial" w:cs="Arial"/>
          <w:sz w:val="24"/>
          <w:szCs w:val="24"/>
          <w:lang w:val="en-ZA"/>
        </w:rPr>
        <w:t>ommission</w:t>
      </w:r>
      <w:r w:rsidR="004A6319" w:rsidRPr="00994D55">
        <w:rPr>
          <w:rFonts w:ascii="Arial" w:eastAsia="Calibri" w:hAnsi="Arial" w:cs="Arial"/>
          <w:sz w:val="24"/>
          <w:szCs w:val="24"/>
          <w:lang w:val="en-ZA"/>
        </w:rPr>
        <w:t>, including</w:t>
      </w:r>
      <w:r w:rsidRPr="00994D55">
        <w:rPr>
          <w:rFonts w:ascii="Arial" w:eastAsia="Calibri" w:hAnsi="Arial" w:cs="Arial"/>
          <w:sz w:val="24"/>
          <w:szCs w:val="24"/>
          <w:lang w:val="en-ZA"/>
        </w:rPr>
        <w:t xml:space="preserve"> th</w:t>
      </w:r>
      <w:r w:rsidR="004A6319" w:rsidRPr="00994D55">
        <w:rPr>
          <w:rFonts w:ascii="Arial" w:eastAsia="Calibri" w:hAnsi="Arial" w:cs="Arial"/>
          <w:sz w:val="24"/>
          <w:szCs w:val="24"/>
          <w:lang w:val="en-ZA"/>
        </w:rPr>
        <w:t xml:space="preserve">e appointment of the </w:t>
      </w:r>
      <w:r w:rsidR="00E15033">
        <w:rPr>
          <w:rFonts w:ascii="Arial" w:eastAsia="Calibri" w:hAnsi="Arial" w:cs="Arial"/>
          <w:sz w:val="24"/>
          <w:szCs w:val="24"/>
          <w:lang w:val="en-ZA"/>
        </w:rPr>
        <w:t>c</w:t>
      </w:r>
      <w:r w:rsidR="00E15033" w:rsidRPr="00994D55">
        <w:rPr>
          <w:rFonts w:ascii="Arial" w:eastAsia="Calibri" w:hAnsi="Arial" w:cs="Arial"/>
          <w:sz w:val="24"/>
          <w:szCs w:val="24"/>
          <w:lang w:val="en-ZA"/>
        </w:rPr>
        <w:t>ommission</w:t>
      </w:r>
      <w:r w:rsidR="004A6319" w:rsidRPr="00994D55">
        <w:rPr>
          <w:rFonts w:ascii="Arial" w:eastAsia="Calibri" w:hAnsi="Arial" w:cs="Arial"/>
          <w:sz w:val="24"/>
          <w:szCs w:val="24"/>
          <w:lang w:val="en-ZA"/>
        </w:rPr>
        <w:t xml:space="preserve">, </w:t>
      </w:r>
      <w:r w:rsidRPr="00994D55">
        <w:rPr>
          <w:rFonts w:ascii="Arial" w:eastAsia="Calibri" w:hAnsi="Arial" w:cs="Arial"/>
          <w:sz w:val="24"/>
          <w:szCs w:val="24"/>
          <w:lang w:val="en-ZA"/>
        </w:rPr>
        <w:t xml:space="preserve">terms </w:t>
      </w:r>
      <w:r w:rsidR="004A6319" w:rsidRPr="00994D55">
        <w:rPr>
          <w:rFonts w:ascii="Arial" w:eastAsia="Calibri" w:hAnsi="Arial" w:cs="Arial"/>
          <w:sz w:val="24"/>
          <w:szCs w:val="24"/>
          <w:lang w:val="en-ZA"/>
        </w:rPr>
        <w:t xml:space="preserve">of reference to be investigated, the collection of evidence, the evidence </w:t>
      </w:r>
      <w:r w:rsidRPr="00994D55">
        <w:rPr>
          <w:rFonts w:ascii="Arial" w:eastAsia="Calibri" w:hAnsi="Arial" w:cs="Arial"/>
          <w:sz w:val="24"/>
          <w:szCs w:val="24"/>
          <w:lang w:val="en-ZA"/>
        </w:rPr>
        <w:t xml:space="preserve">of witnesses, </w:t>
      </w:r>
      <w:r w:rsidR="009769D3">
        <w:rPr>
          <w:rFonts w:ascii="Arial" w:eastAsia="Calibri" w:hAnsi="Arial" w:cs="Arial"/>
          <w:sz w:val="24"/>
          <w:szCs w:val="24"/>
          <w:lang w:val="en-ZA"/>
        </w:rPr>
        <w:t>(</w:t>
      </w:r>
      <w:r w:rsidRPr="00994D55">
        <w:rPr>
          <w:rFonts w:ascii="Arial" w:eastAsia="Calibri" w:hAnsi="Arial" w:cs="Arial"/>
          <w:sz w:val="24"/>
          <w:szCs w:val="24"/>
          <w:lang w:val="en-ZA"/>
        </w:rPr>
        <w:t>including th</w:t>
      </w:r>
      <w:r w:rsidR="00787808">
        <w:rPr>
          <w:rFonts w:ascii="Arial" w:eastAsia="Calibri" w:hAnsi="Arial" w:cs="Arial"/>
          <w:sz w:val="24"/>
          <w:szCs w:val="24"/>
          <w:lang w:val="en-ZA"/>
        </w:rPr>
        <w:t xml:space="preserve">e </w:t>
      </w:r>
      <w:r w:rsidR="00787808">
        <w:rPr>
          <w:rFonts w:ascii="Arial" w:eastAsia="Calibri" w:hAnsi="Arial" w:cs="Arial"/>
          <w:sz w:val="24"/>
          <w:szCs w:val="24"/>
          <w:lang w:val="en-ZA"/>
        </w:rPr>
        <w:lastRenderedPageBreak/>
        <w:t>right to legal representation</w:t>
      </w:r>
      <w:r w:rsidR="009769D3">
        <w:rPr>
          <w:rFonts w:ascii="Arial" w:eastAsia="Calibri" w:hAnsi="Arial" w:cs="Arial"/>
          <w:sz w:val="24"/>
          <w:szCs w:val="24"/>
          <w:lang w:val="en-ZA"/>
        </w:rPr>
        <w:t>)</w:t>
      </w:r>
      <w:r w:rsidR="00787808">
        <w:rPr>
          <w:rFonts w:ascii="Arial" w:eastAsia="Calibri" w:hAnsi="Arial" w:cs="Arial"/>
          <w:sz w:val="24"/>
          <w:szCs w:val="24"/>
          <w:lang w:val="en-ZA"/>
        </w:rPr>
        <w:t>,</w:t>
      </w:r>
      <w:r w:rsidR="004A6319" w:rsidRPr="00994D55">
        <w:rPr>
          <w:rFonts w:ascii="Arial" w:eastAsia="Calibri" w:hAnsi="Arial" w:cs="Arial"/>
          <w:sz w:val="24"/>
          <w:szCs w:val="24"/>
          <w:lang w:val="en-ZA"/>
        </w:rPr>
        <w:t xml:space="preserve"> the </w:t>
      </w:r>
      <w:r w:rsidR="000526D0">
        <w:rPr>
          <w:rFonts w:ascii="Arial" w:eastAsia="Calibri" w:hAnsi="Arial" w:cs="Arial"/>
          <w:sz w:val="24"/>
          <w:szCs w:val="24"/>
          <w:lang w:val="en-ZA"/>
        </w:rPr>
        <w:t>sittings</w:t>
      </w:r>
      <w:r w:rsidR="000526D0" w:rsidRPr="00994D55">
        <w:rPr>
          <w:rFonts w:ascii="Arial" w:eastAsia="Calibri" w:hAnsi="Arial" w:cs="Arial"/>
          <w:sz w:val="24"/>
          <w:szCs w:val="24"/>
          <w:lang w:val="en-ZA"/>
        </w:rPr>
        <w:t xml:space="preserve"> </w:t>
      </w:r>
      <w:r w:rsidRPr="00994D55">
        <w:rPr>
          <w:rFonts w:ascii="Arial" w:eastAsia="Calibri" w:hAnsi="Arial" w:cs="Arial"/>
          <w:sz w:val="24"/>
          <w:szCs w:val="24"/>
          <w:lang w:val="en-ZA"/>
        </w:rPr>
        <w:t xml:space="preserve">of the </w:t>
      </w:r>
      <w:r w:rsidR="00E15033">
        <w:rPr>
          <w:rFonts w:ascii="Arial" w:eastAsia="Calibri" w:hAnsi="Arial" w:cs="Arial"/>
          <w:sz w:val="24"/>
          <w:szCs w:val="24"/>
          <w:lang w:val="en-ZA"/>
        </w:rPr>
        <w:t>c</w:t>
      </w:r>
      <w:r w:rsidR="000526D0" w:rsidRPr="00994D55">
        <w:rPr>
          <w:rFonts w:ascii="Arial" w:eastAsia="Calibri" w:hAnsi="Arial" w:cs="Arial"/>
          <w:sz w:val="24"/>
          <w:szCs w:val="24"/>
          <w:lang w:val="en-ZA"/>
        </w:rPr>
        <w:t>ommission</w:t>
      </w:r>
      <w:r w:rsidR="00175F45" w:rsidRPr="00994D55">
        <w:rPr>
          <w:rFonts w:ascii="Arial" w:eastAsia="Calibri" w:hAnsi="Arial" w:cs="Arial"/>
          <w:sz w:val="24"/>
          <w:szCs w:val="24"/>
          <w:lang w:val="en-ZA"/>
        </w:rPr>
        <w:t xml:space="preserve">, </w:t>
      </w:r>
      <w:r w:rsidR="009769D3">
        <w:rPr>
          <w:rFonts w:ascii="Arial" w:eastAsia="Calibri" w:hAnsi="Arial" w:cs="Arial"/>
          <w:sz w:val="24"/>
          <w:szCs w:val="24"/>
          <w:lang w:val="en-ZA"/>
        </w:rPr>
        <w:t>(</w:t>
      </w:r>
      <w:r w:rsidR="00175F45" w:rsidRPr="00994D55">
        <w:rPr>
          <w:rFonts w:ascii="Arial" w:eastAsia="Calibri" w:hAnsi="Arial" w:cs="Arial"/>
          <w:sz w:val="24"/>
          <w:szCs w:val="24"/>
          <w:lang w:val="en-ZA"/>
        </w:rPr>
        <w:t xml:space="preserve">including a requirement that </w:t>
      </w:r>
      <w:r w:rsidR="004A6319" w:rsidRPr="00994D55">
        <w:rPr>
          <w:rFonts w:ascii="Arial" w:eastAsia="Calibri" w:hAnsi="Arial" w:cs="Arial"/>
          <w:sz w:val="24"/>
          <w:szCs w:val="24"/>
          <w:lang w:val="en-ZA"/>
        </w:rPr>
        <w:t>hearings be conducted in public</w:t>
      </w:r>
      <w:r w:rsidR="00B633D5">
        <w:rPr>
          <w:rFonts w:ascii="Arial" w:eastAsia="Calibri" w:hAnsi="Arial" w:cs="Arial"/>
          <w:sz w:val="24"/>
          <w:szCs w:val="24"/>
          <w:lang w:val="en-ZA"/>
        </w:rPr>
        <w:t>)</w:t>
      </w:r>
      <w:r w:rsidR="004A6319" w:rsidRPr="00994D55">
        <w:rPr>
          <w:rFonts w:ascii="Arial" w:eastAsia="Calibri" w:hAnsi="Arial" w:cs="Arial"/>
          <w:sz w:val="24"/>
          <w:szCs w:val="24"/>
          <w:lang w:val="en-ZA"/>
        </w:rPr>
        <w:t xml:space="preserve"> and publication of any </w:t>
      </w:r>
      <w:r w:rsidR="00305AC7">
        <w:rPr>
          <w:rFonts w:ascii="Arial" w:eastAsia="Calibri" w:hAnsi="Arial" w:cs="Arial"/>
          <w:sz w:val="24"/>
          <w:szCs w:val="24"/>
          <w:lang w:val="en-ZA"/>
        </w:rPr>
        <w:t>r</w:t>
      </w:r>
      <w:r w:rsidR="00175F45" w:rsidRPr="00994D55">
        <w:rPr>
          <w:rFonts w:ascii="Arial" w:eastAsia="Calibri" w:hAnsi="Arial" w:cs="Arial"/>
          <w:sz w:val="24"/>
          <w:szCs w:val="24"/>
          <w:lang w:val="en-ZA"/>
        </w:rPr>
        <w:t>eport</w:t>
      </w:r>
      <w:r w:rsidR="000875C4">
        <w:rPr>
          <w:rFonts w:ascii="Arial" w:eastAsia="Calibri" w:hAnsi="Arial" w:cs="Arial"/>
          <w:sz w:val="24"/>
          <w:szCs w:val="24"/>
          <w:lang w:val="en-ZA"/>
        </w:rPr>
        <w:t>.</w:t>
      </w:r>
      <w:r w:rsidR="004A6319" w:rsidRPr="00994D55">
        <w:rPr>
          <w:rStyle w:val="FootnoteReference"/>
          <w:rFonts w:ascii="Arial" w:eastAsia="Calibri" w:hAnsi="Arial" w:cs="Arial"/>
          <w:sz w:val="24"/>
          <w:szCs w:val="24"/>
          <w:lang w:val="en-ZA"/>
        </w:rPr>
        <w:footnoteReference w:id="7"/>
      </w:r>
      <w:r w:rsidR="000875C4">
        <w:rPr>
          <w:rFonts w:ascii="Arial" w:eastAsia="Calibri" w:hAnsi="Arial" w:cs="Arial"/>
          <w:sz w:val="24"/>
          <w:szCs w:val="24"/>
          <w:lang w:val="en-ZA"/>
        </w:rPr>
        <w:t xml:space="preserve"> </w:t>
      </w:r>
      <w:r w:rsidR="00175F45" w:rsidRPr="00994D55">
        <w:rPr>
          <w:rFonts w:ascii="Arial" w:eastAsia="Calibri" w:hAnsi="Arial" w:cs="Arial"/>
          <w:sz w:val="24"/>
          <w:szCs w:val="24"/>
          <w:lang w:val="en-ZA"/>
        </w:rPr>
        <w:t>In particular, s 3</w:t>
      </w:r>
      <w:r w:rsidR="000526D0">
        <w:rPr>
          <w:rFonts w:ascii="Arial" w:eastAsia="Calibri" w:hAnsi="Arial" w:cs="Arial"/>
          <w:sz w:val="24"/>
          <w:szCs w:val="24"/>
          <w:lang w:val="en-ZA"/>
        </w:rPr>
        <w:t>(2)</w:t>
      </w:r>
      <w:r w:rsidR="00175F45" w:rsidRPr="00994D55">
        <w:rPr>
          <w:rFonts w:ascii="Arial" w:eastAsia="Calibri" w:hAnsi="Arial" w:cs="Arial"/>
          <w:sz w:val="24"/>
          <w:szCs w:val="24"/>
          <w:lang w:val="en-ZA"/>
        </w:rPr>
        <w:t xml:space="preserve"> of the KZN Commissions Act which is applicable to investigations under s</w:t>
      </w:r>
      <w:r w:rsidR="000526D0">
        <w:rPr>
          <w:rFonts w:ascii="Arial" w:eastAsia="Calibri" w:hAnsi="Arial" w:cs="Arial"/>
          <w:sz w:val="24"/>
          <w:szCs w:val="24"/>
          <w:lang w:val="en-ZA"/>
        </w:rPr>
        <w:t> 106(1</w:t>
      </w:r>
      <w:proofErr w:type="gramStart"/>
      <w:r w:rsidR="000526D0">
        <w:rPr>
          <w:rFonts w:ascii="Arial" w:eastAsia="Calibri" w:hAnsi="Arial" w:cs="Arial"/>
          <w:sz w:val="24"/>
          <w:szCs w:val="24"/>
          <w:lang w:val="en-ZA"/>
        </w:rPr>
        <w:t>)</w:t>
      </w:r>
      <w:r w:rsidR="00175F45" w:rsidRPr="000526D0">
        <w:rPr>
          <w:rFonts w:ascii="Arial" w:eastAsia="Calibri" w:hAnsi="Arial" w:cs="Arial"/>
          <w:i/>
          <w:sz w:val="24"/>
          <w:szCs w:val="24"/>
          <w:lang w:val="en-ZA"/>
        </w:rPr>
        <w:t>(</w:t>
      </w:r>
      <w:proofErr w:type="gramEnd"/>
      <w:r w:rsidR="00175F45" w:rsidRPr="000526D0">
        <w:rPr>
          <w:rFonts w:ascii="Arial" w:eastAsia="Calibri" w:hAnsi="Arial" w:cs="Arial"/>
          <w:i/>
          <w:sz w:val="24"/>
          <w:szCs w:val="24"/>
          <w:lang w:val="en-ZA"/>
        </w:rPr>
        <w:t>b)</w:t>
      </w:r>
      <w:r w:rsidR="00175F45" w:rsidRPr="00994D55">
        <w:rPr>
          <w:rFonts w:ascii="Arial" w:eastAsia="Calibri" w:hAnsi="Arial" w:cs="Arial"/>
          <w:sz w:val="24"/>
          <w:szCs w:val="24"/>
          <w:lang w:val="en-ZA"/>
        </w:rPr>
        <w:t xml:space="preserve"> of the </w:t>
      </w:r>
      <w:r w:rsidR="000526D0">
        <w:rPr>
          <w:rFonts w:ascii="Arial" w:eastAsia="Calibri" w:hAnsi="Arial" w:cs="Arial"/>
          <w:sz w:val="24"/>
          <w:szCs w:val="24"/>
          <w:lang w:val="en-ZA"/>
        </w:rPr>
        <w:t xml:space="preserve">Municipal </w:t>
      </w:r>
      <w:r w:rsidR="00175F45" w:rsidRPr="00994D55">
        <w:rPr>
          <w:rFonts w:ascii="Arial" w:eastAsia="Calibri" w:hAnsi="Arial" w:cs="Arial"/>
          <w:sz w:val="24"/>
          <w:szCs w:val="24"/>
          <w:lang w:val="en-ZA"/>
        </w:rPr>
        <w:t>Systems Act provides:</w:t>
      </w:r>
    </w:p>
    <w:p w14:paraId="117F5B15" w14:textId="067ED47D" w:rsidR="00175F45" w:rsidRPr="000526D0" w:rsidRDefault="000526D0" w:rsidP="000526D0">
      <w:pPr>
        <w:spacing w:after="0" w:line="360" w:lineRule="auto"/>
        <w:jc w:val="both"/>
        <w:rPr>
          <w:rFonts w:ascii="Arial" w:eastAsia="Calibri" w:hAnsi="Arial" w:cs="Arial"/>
          <w:szCs w:val="24"/>
          <w:lang w:val="en-ZA"/>
        </w:rPr>
      </w:pPr>
      <w:r w:rsidRPr="000526D0">
        <w:rPr>
          <w:rFonts w:ascii="Arial" w:eastAsia="Calibri" w:hAnsi="Arial" w:cs="Arial"/>
          <w:szCs w:val="24"/>
          <w:lang w:val="en-ZA"/>
        </w:rPr>
        <w:t>‘Unless the chairperson for good reasons decides otherwise, all evidence and addresses shall be heard by a commission in public, and the chairperson shall give notice thereof in such manner as he or she may determine.’</w:t>
      </w:r>
    </w:p>
    <w:p w14:paraId="5DD5F1EB" w14:textId="7049A209" w:rsidR="00175F45" w:rsidRPr="00994D55" w:rsidRDefault="00175F45" w:rsidP="007E04B9">
      <w:pPr>
        <w:spacing w:after="0" w:line="360" w:lineRule="auto"/>
        <w:jc w:val="both"/>
        <w:rPr>
          <w:rFonts w:ascii="Arial" w:eastAsia="Calibri" w:hAnsi="Arial" w:cs="Arial"/>
          <w:sz w:val="24"/>
          <w:szCs w:val="24"/>
          <w:lang w:val="en-ZA"/>
        </w:rPr>
      </w:pPr>
      <w:r w:rsidRPr="00994D55">
        <w:rPr>
          <w:rFonts w:ascii="Arial" w:eastAsia="Calibri" w:hAnsi="Arial" w:cs="Arial"/>
          <w:sz w:val="24"/>
          <w:szCs w:val="24"/>
          <w:lang w:val="en-ZA"/>
        </w:rPr>
        <w:t>It is not in issue that no hea</w:t>
      </w:r>
      <w:r w:rsidR="004A6319" w:rsidRPr="00994D55">
        <w:rPr>
          <w:rFonts w:ascii="Arial" w:eastAsia="Calibri" w:hAnsi="Arial" w:cs="Arial"/>
          <w:sz w:val="24"/>
          <w:szCs w:val="24"/>
          <w:lang w:val="en-ZA"/>
        </w:rPr>
        <w:t>rings were held at all, let alon</w:t>
      </w:r>
      <w:r w:rsidR="000526D0">
        <w:rPr>
          <w:rFonts w:ascii="Arial" w:eastAsia="Calibri" w:hAnsi="Arial" w:cs="Arial"/>
          <w:sz w:val="24"/>
          <w:szCs w:val="24"/>
          <w:lang w:val="en-ZA"/>
        </w:rPr>
        <w:t>e public hearings.</w:t>
      </w:r>
      <w:r w:rsidRPr="00994D55">
        <w:rPr>
          <w:rFonts w:ascii="Arial" w:eastAsia="Calibri" w:hAnsi="Arial" w:cs="Arial"/>
          <w:sz w:val="24"/>
          <w:szCs w:val="24"/>
          <w:lang w:val="en-ZA"/>
        </w:rPr>
        <w:t xml:space="preserve"> It is further not in issue that the report was finalized without any input from the applicants.  </w:t>
      </w:r>
    </w:p>
    <w:p w14:paraId="73AEB489" w14:textId="77777777" w:rsidR="00175F45" w:rsidRPr="00994D55" w:rsidRDefault="00175F45" w:rsidP="007E04B9">
      <w:pPr>
        <w:spacing w:after="0" w:line="360" w:lineRule="auto"/>
        <w:jc w:val="both"/>
        <w:rPr>
          <w:rFonts w:ascii="Arial" w:eastAsia="Calibri" w:hAnsi="Arial" w:cs="Arial"/>
          <w:sz w:val="24"/>
          <w:szCs w:val="24"/>
          <w:lang w:val="en-ZA"/>
        </w:rPr>
      </w:pPr>
    </w:p>
    <w:p w14:paraId="1050E8C1" w14:textId="0E36C9EF" w:rsidR="00175F45" w:rsidRPr="00994D55" w:rsidRDefault="000D5B48" w:rsidP="007E04B9">
      <w:pPr>
        <w:spacing w:after="0" w:line="360" w:lineRule="auto"/>
        <w:jc w:val="both"/>
        <w:rPr>
          <w:rFonts w:ascii="Arial" w:eastAsia="Calibri" w:hAnsi="Arial" w:cs="Arial"/>
          <w:sz w:val="24"/>
          <w:szCs w:val="24"/>
          <w:lang w:val="en-ZA"/>
        </w:rPr>
      </w:pPr>
      <w:r w:rsidRPr="00994D55">
        <w:rPr>
          <w:rFonts w:ascii="Arial" w:eastAsia="Calibri" w:hAnsi="Arial" w:cs="Arial"/>
          <w:sz w:val="24"/>
          <w:szCs w:val="24"/>
          <w:lang w:val="en-ZA"/>
        </w:rPr>
        <w:t>[9]</w:t>
      </w:r>
      <w:r w:rsidRPr="00994D55">
        <w:rPr>
          <w:rFonts w:ascii="Arial" w:eastAsia="Calibri" w:hAnsi="Arial" w:cs="Arial"/>
          <w:sz w:val="24"/>
          <w:szCs w:val="24"/>
          <w:lang w:val="en-ZA"/>
        </w:rPr>
        <w:tab/>
        <w:t>Mr Gauntlet</w:t>
      </w:r>
      <w:r w:rsidR="004A6319" w:rsidRPr="00994D55">
        <w:rPr>
          <w:rFonts w:ascii="Arial" w:eastAsia="Calibri" w:hAnsi="Arial" w:cs="Arial"/>
          <w:sz w:val="24"/>
          <w:szCs w:val="24"/>
          <w:lang w:val="en-ZA"/>
        </w:rPr>
        <w:t xml:space="preserve"> for the applicant</w:t>
      </w:r>
      <w:r w:rsidR="00175F45" w:rsidRPr="00994D55">
        <w:rPr>
          <w:rFonts w:ascii="Arial" w:eastAsia="Calibri" w:hAnsi="Arial" w:cs="Arial"/>
          <w:sz w:val="24"/>
          <w:szCs w:val="24"/>
          <w:lang w:val="en-ZA"/>
        </w:rPr>
        <w:t xml:space="preserve">, submitted, correctly in my view, that compliance with </w:t>
      </w:r>
      <w:r w:rsidR="001C58C3" w:rsidRPr="00994D55">
        <w:rPr>
          <w:rFonts w:ascii="Arial" w:eastAsia="Calibri" w:hAnsi="Arial" w:cs="Arial"/>
          <w:sz w:val="24"/>
          <w:szCs w:val="24"/>
          <w:lang w:val="en-ZA"/>
        </w:rPr>
        <w:t>the KZN Commissions</w:t>
      </w:r>
      <w:r w:rsidR="000526D0">
        <w:rPr>
          <w:rFonts w:ascii="Arial" w:eastAsia="Calibri" w:hAnsi="Arial" w:cs="Arial"/>
          <w:sz w:val="24"/>
          <w:szCs w:val="24"/>
          <w:lang w:val="en-ZA"/>
        </w:rPr>
        <w:t xml:space="preserve"> Act is not merely a formality.</w:t>
      </w:r>
      <w:r w:rsidR="001C58C3" w:rsidRPr="00994D55">
        <w:rPr>
          <w:rFonts w:ascii="Arial" w:eastAsia="Calibri" w:hAnsi="Arial" w:cs="Arial"/>
          <w:sz w:val="24"/>
          <w:szCs w:val="24"/>
          <w:lang w:val="en-ZA"/>
        </w:rPr>
        <w:t xml:space="preserve"> It gives expression to important procedural rights and the requi</w:t>
      </w:r>
      <w:r w:rsidR="000526D0">
        <w:rPr>
          <w:rFonts w:ascii="Arial" w:eastAsia="Calibri" w:hAnsi="Arial" w:cs="Arial"/>
          <w:sz w:val="24"/>
          <w:szCs w:val="24"/>
          <w:lang w:val="en-ZA"/>
        </w:rPr>
        <w:t>rements of procedural fairness.</w:t>
      </w:r>
      <w:r w:rsidR="001C58C3" w:rsidRPr="00994D55">
        <w:rPr>
          <w:rFonts w:ascii="Arial" w:eastAsia="Calibri" w:hAnsi="Arial" w:cs="Arial"/>
          <w:sz w:val="24"/>
          <w:szCs w:val="24"/>
          <w:lang w:val="en-ZA"/>
        </w:rPr>
        <w:t xml:space="preserve"> In</w:t>
      </w:r>
      <w:r w:rsidR="001C58C3" w:rsidRPr="00994D55">
        <w:rPr>
          <w:rFonts w:ascii="Arial" w:eastAsia="Calibri" w:hAnsi="Arial" w:cs="Arial"/>
          <w:i/>
          <w:sz w:val="24"/>
          <w:szCs w:val="24"/>
          <w:lang w:val="en-ZA"/>
        </w:rPr>
        <w:t xml:space="preserve"> Secretary of the Judicial </w:t>
      </w:r>
      <w:r w:rsidR="004A6319" w:rsidRPr="00994D55">
        <w:rPr>
          <w:rFonts w:ascii="Arial" w:eastAsia="Calibri" w:hAnsi="Arial" w:cs="Arial"/>
          <w:i/>
          <w:sz w:val="24"/>
          <w:szCs w:val="24"/>
          <w:lang w:val="en-ZA"/>
        </w:rPr>
        <w:t>Commission of Enquiry into A</w:t>
      </w:r>
      <w:r w:rsidR="001C58C3" w:rsidRPr="00994D55">
        <w:rPr>
          <w:rFonts w:ascii="Arial" w:eastAsia="Calibri" w:hAnsi="Arial" w:cs="Arial"/>
          <w:i/>
          <w:sz w:val="24"/>
          <w:szCs w:val="24"/>
          <w:lang w:val="en-ZA"/>
        </w:rPr>
        <w:t>llegation of</w:t>
      </w:r>
      <w:r w:rsidR="00FF6A7D" w:rsidRPr="00994D55">
        <w:rPr>
          <w:rFonts w:ascii="Arial" w:eastAsia="Calibri" w:hAnsi="Arial" w:cs="Arial"/>
          <w:i/>
          <w:sz w:val="24"/>
          <w:szCs w:val="24"/>
          <w:lang w:val="en-ZA"/>
        </w:rPr>
        <w:t xml:space="preserve"> State C</w:t>
      </w:r>
      <w:r w:rsidR="001C58C3" w:rsidRPr="00994D55">
        <w:rPr>
          <w:rFonts w:ascii="Arial" w:eastAsia="Calibri" w:hAnsi="Arial" w:cs="Arial"/>
          <w:i/>
          <w:sz w:val="24"/>
          <w:szCs w:val="24"/>
          <w:lang w:val="en-ZA"/>
        </w:rPr>
        <w:t>apture</w:t>
      </w:r>
      <w:r w:rsidR="00FF6A7D" w:rsidRPr="00994D55">
        <w:rPr>
          <w:rFonts w:ascii="Arial" w:eastAsia="Calibri" w:hAnsi="Arial" w:cs="Arial"/>
          <w:i/>
          <w:sz w:val="24"/>
          <w:szCs w:val="24"/>
          <w:lang w:val="en-ZA"/>
        </w:rPr>
        <w:t xml:space="preserve"> v Zuma</w:t>
      </w:r>
      <w:r w:rsidR="001C58C3" w:rsidRPr="00994D55">
        <w:rPr>
          <w:rStyle w:val="FootnoteReference"/>
          <w:rFonts w:ascii="Arial" w:eastAsia="Calibri" w:hAnsi="Arial" w:cs="Arial"/>
          <w:sz w:val="24"/>
          <w:szCs w:val="24"/>
          <w:lang w:val="en-ZA"/>
        </w:rPr>
        <w:footnoteReference w:id="8"/>
      </w:r>
      <w:r w:rsidR="00FF6A7D" w:rsidRPr="00994D55">
        <w:rPr>
          <w:rFonts w:ascii="Arial" w:eastAsia="Calibri" w:hAnsi="Arial" w:cs="Arial"/>
          <w:sz w:val="24"/>
          <w:szCs w:val="24"/>
          <w:lang w:val="en-ZA"/>
        </w:rPr>
        <w:t xml:space="preserve"> the court drew a distinction between two types of commissions</w:t>
      </w:r>
      <w:r w:rsidR="004A6319" w:rsidRPr="00994D55">
        <w:rPr>
          <w:rFonts w:ascii="Arial" w:eastAsia="Calibri" w:hAnsi="Arial" w:cs="Arial"/>
          <w:sz w:val="24"/>
          <w:szCs w:val="24"/>
          <w:lang w:val="en-ZA"/>
        </w:rPr>
        <w:t xml:space="preserve">, </w:t>
      </w:r>
      <w:proofErr w:type="spellStart"/>
      <w:r w:rsidR="004A6319" w:rsidRPr="000526D0">
        <w:rPr>
          <w:rFonts w:ascii="Arial" w:eastAsia="Calibri" w:hAnsi="Arial" w:cs="Arial"/>
          <w:i/>
          <w:sz w:val="24"/>
          <w:szCs w:val="24"/>
          <w:lang w:val="en-ZA"/>
        </w:rPr>
        <w:t>viz</w:t>
      </w:r>
      <w:proofErr w:type="spellEnd"/>
      <w:r w:rsidR="006A1EDF">
        <w:rPr>
          <w:rFonts w:ascii="Arial" w:eastAsia="Calibri" w:hAnsi="Arial" w:cs="Arial"/>
          <w:i/>
          <w:sz w:val="24"/>
          <w:szCs w:val="24"/>
          <w:lang w:val="en-ZA"/>
        </w:rPr>
        <w:t>,</w:t>
      </w:r>
      <w:r w:rsidR="00FF6A7D" w:rsidRPr="00994D55">
        <w:rPr>
          <w:rFonts w:ascii="Arial" w:eastAsia="Calibri" w:hAnsi="Arial" w:cs="Arial"/>
          <w:sz w:val="24"/>
          <w:szCs w:val="24"/>
          <w:lang w:val="en-ZA"/>
        </w:rPr>
        <w:t xml:space="preserve"> a commission established for purposes of gathering information and to inform </w:t>
      </w:r>
      <w:r w:rsidR="004A6319" w:rsidRPr="00994D55">
        <w:rPr>
          <w:rFonts w:ascii="Arial" w:eastAsia="Calibri" w:hAnsi="Arial" w:cs="Arial"/>
          <w:sz w:val="24"/>
          <w:szCs w:val="24"/>
          <w:lang w:val="en-ZA"/>
        </w:rPr>
        <w:t>and a fact finding commission aimed at reaching conclusions on issues.</w:t>
      </w:r>
      <w:r w:rsidR="00E15033">
        <w:rPr>
          <w:rFonts w:ascii="Arial" w:eastAsia="Calibri" w:hAnsi="Arial" w:cs="Arial"/>
          <w:sz w:val="24"/>
          <w:szCs w:val="24"/>
          <w:lang w:val="en-ZA"/>
        </w:rPr>
        <w:t xml:space="preserve"> </w:t>
      </w:r>
      <w:r w:rsidR="003F63CF" w:rsidRPr="00994D55">
        <w:rPr>
          <w:rFonts w:ascii="Arial" w:eastAsia="Calibri" w:hAnsi="Arial" w:cs="Arial"/>
          <w:sz w:val="24"/>
          <w:szCs w:val="24"/>
          <w:lang w:val="en-ZA"/>
        </w:rPr>
        <w:t>There is no doubt that the commission set up</w:t>
      </w:r>
      <w:r w:rsidRPr="00994D55">
        <w:rPr>
          <w:rFonts w:ascii="Arial" w:eastAsia="Calibri" w:hAnsi="Arial" w:cs="Arial"/>
          <w:sz w:val="24"/>
          <w:szCs w:val="24"/>
          <w:lang w:val="en-ZA"/>
        </w:rPr>
        <w:t xml:space="preserve"> by</w:t>
      </w:r>
      <w:r w:rsidR="003F63CF" w:rsidRPr="00994D55">
        <w:rPr>
          <w:rFonts w:ascii="Arial" w:eastAsia="Calibri" w:hAnsi="Arial" w:cs="Arial"/>
          <w:sz w:val="24"/>
          <w:szCs w:val="24"/>
          <w:lang w:val="en-ZA"/>
        </w:rPr>
        <w:t xml:space="preserve"> the MEC in the present application falls </w:t>
      </w:r>
      <w:r w:rsidR="007C4113" w:rsidRPr="00994D55">
        <w:rPr>
          <w:rFonts w:ascii="Arial" w:eastAsia="Calibri" w:hAnsi="Arial" w:cs="Arial"/>
          <w:sz w:val="24"/>
          <w:szCs w:val="24"/>
          <w:lang w:val="en-ZA"/>
        </w:rPr>
        <w:t>squarely under the category of</w:t>
      </w:r>
      <w:r w:rsidR="003F63CF" w:rsidRPr="00994D55">
        <w:rPr>
          <w:rFonts w:ascii="Arial" w:eastAsia="Calibri" w:hAnsi="Arial" w:cs="Arial"/>
          <w:sz w:val="24"/>
          <w:szCs w:val="24"/>
          <w:lang w:val="en-ZA"/>
        </w:rPr>
        <w:t xml:space="preserve"> the second type of commission. The investigation conducted by the second respondent resulted in a report which makes serious findings and highly prejudicial recommen</w:t>
      </w:r>
      <w:r w:rsidR="00E15033">
        <w:rPr>
          <w:rFonts w:ascii="Arial" w:eastAsia="Calibri" w:hAnsi="Arial" w:cs="Arial"/>
          <w:sz w:val="24"/>
          <w:szCs w:val="24"/>
          <w:lang w:val="en-ZA"/>
        </w:rPr>
        <w:t>dations against the applicants.</w:t>
      </w:r>
      <w:r w:rsidR="003F63CF" w:rsidRPr="00994D55">
        <w:rPr>
          <w:rFonts w:ascii="Arial" w:eastAsia="Calibri" w:hAnsi="Arial" w:cs="Arial"/>
          <w:sz w:val="24"/>
          <w:szCs w:val="24"/>
          <w:lang w:val="en-ZA"/>
        </w:rPr>
        <w:t xml:space="preserve"> It called on the applicants to answer to serious allegations of </w:t>
      </w:r>
      <w:r w:rsidRPr="00994D55">
        <w:rPr>
          <w:rFonts w:ascii="Arial" w:eastAsia="Calibri" w:hAnsi="Arial" w:cs="Arial"/>
          <w:sz w:val="24"/>
          <w:szCs w:val="24"/>
          <w:lang w:val="en-ZA"/>
        </w:rPr>
        <w:t>mismanagement</w:t>
      </w:r>
      <w:r w:rsidR="003F63CF" w:rsidRPr="00994D55">
        <w:rPr>
          <w:rFonts w:ascii="Arial" w:eastAsia="Calibri" w:hAnsi="Arial" w:cs="Arial"/>
          <w:sz w:val="24"/>
          <w:szCs w:val="24"/>
          <w:lang w:val="en-ZA"/>
        </w:rPr>
        <w:t xml:space="preserve"> of</w:t>
      </w:r>
      <w:r w:rsidR="00E15033">
        <w:rPr>
          <w:rFonts w:ascii="Arial" w:eastAsia="Calibri" w:hAnsi="Arial" w:cs="Arial"/>
          <w:sz w:val="24"/>
          <w:szCs w:val="24"/>
          <w:lang w:val="en-ZA"/>
        </w:rPr>
        <w:t xml:space="preserve"> funds belonging to the public. </w:t>
      </w:r>
      <w:r w:rsidR="007C4113" w:rsidRPr="00787808">
        <w:rPr>
          <w:rFonts w:ascii="Arial" w:eastAsia="Calibri" w:hAnsi="Arial" w:cs="Arial"/>
          <w:sz w:val="24"/>
          <w:szCs w:val="24"/>
          <w:lang w:val="en-ZA"/>
        </w:rPr>
        <w:t xml:space="preserve">In addition, the MEC, following on </w:t>
      </w:r>
      <w:r w:rsidR="00E15033" w:rsidRPr="00787808">
        <w:rPr>
          <w:rFonts w:ascii="Arial" w:eastAsia="Calibri" w:hAnsi="Arial" w:cs="Arial"/>
          <w:sz w:val="24"/>
          <w:szCs w:val="24"/>
          <w:lang w:val="en-ZA"/>
        </w:rPr>
        <w:t xml:space="preserve">the </w:t>
      </w:r>
      <w:r w:rsidR="007C4113" w:rsidRPr="00787808">
        <w:rPr>
          <w:rFonts w:ascii="Arial" w:eastAsia="Calibri" w:hAnsi="Arial" w:cs="Arial"/>
          <w:sz w:val="24"/>
          <w:szCs w:val="24"/>
          <w:lang w:val="en-ZA"/>
        </w:rPr>
        <w:t xml:space="preserve">recommendations made by the second respondent, invited the second applicant to consider institution of either criminal or civil proceedings against those implicated in </w:t>
      </w:r>
      <w:r w:rsidR="00E15033" w:rsidRPr="00787808">
        <w:rPr>
          <w:rFonts w:ascii="Arial" w:eastAsia="Calibri" w:hAnsi="Arial" w:cs="Arial"/>
          <w:sz w:val="24"/>
          <w:szCs w:val="24"/>
          <w:lang w:val="en-ZA"/>
        </w:rPr>
        <w:t xml:space="preserve">the </w:t>
      </w:r>
      <w:r w:rsidR="007C4113" w:rsidRPr="00787808">
        <w:rPr>
          <w:rFonts w:ascii="Arial" w:eastAsia="Calibri" w:hAnsi="Arial" w:cs="Arial"/>
          <w:sz w:val="24"/>
          <w:szCs w:val="24"/>
          <w:lang w:val="en-ZA"/>
        </w:rPr>
        <w:t>report</w:t>
      </w:r>
      <w:r w:rsidR="007C4113" w:rsidRPr="00994D55">
        <w:rPr>
          <w:rFonts w:ascii="Arial" w:eastAsia="Calibri" w:hAnsi="Arial" w:cs="Arial"/>
          <w:sz w:val="24"/>
          <w:szCs w:val="24"/>
          <w:lang w:val="en-ZA"/>
        </w:rPr>
        <w:t>.</w:t>
      </w:r>
      <w:r w:rsidR="003F63CF" w:rsidRPr="00994D55">
        <w:rPr>
          <w:rFonts w:ascii="Arial" w:eastAsia="Calibri" w:hAnsi="Arial" w:cs="Arial"/>
          <w:sz w:val="24"/>
          <w:szCs w:val="24"/>
          <w:lang w:val="en-ZA"/>
        </w:rPr>
        <w:t xml:space="preserve"> </w:t>
      </w:r>
      <w:r w:rsidRPr="00994D55">
        <w:rPr>
          <w:rFonts w:ascii="Arial" w:eastAsia="Calibri" w:hAnsi="Arial" w:cs="Arial"/>
          <w:sz w:val="24"/>
          <w:szCs w:val="24"/>
          <w:lang w:val="en-ZA"/>
        </w:rPr>
        <w:t xml:space="preserve">That clearly is a matter of </w:t>
      </w:r>
      <w:r w:rsidR="003F63CF" w:rsidRPr="00994D55">
        <w:rPr>
          <w:rFonts w:ascii="Arial" w:eastAsia="Calibri" w:hAnsi="Arial" w:cs="Arial"/>
          <w:sz w:val="24"/>
          <w:szCs w:val="24"/>
          <w:lang w:val="en-ZA"/>
        </w:rPr>
        <w:t>public interest entitling the applicant</w:t>
      </w:r>
      <w:r w:rsidR="00F76459" w:rsidRPr="00994D55">
        <w:rPr>
          <w:rFonts w:ascii="Arial" w:eastAsia="Calibri" w:hAnsi="Arial" w:cs="Arial"/>
          <w:sz w:val="24"/>
          <w:szCs w:val="24"/>
          <w:lang w:val="en-ZA"/>
        </w:rPr>
        <w:t>s to</w:t>
      </w:r>
      <w:r w:rsidRPr="00994D55">
        <w:rPr>
          <w:rFonts w:ascii="Arial" w:eastAsia="Calibri" w:hAnsi="Arial" w:cs="Arial"/>
          <w:sz w:val="24"/>
          <w:szCs w:val="24"/>
          <w:lang w:val="en-ZA"/>
        </w:rPr>
        <w:t xml:space="preserve"> at the very least, an opportunity</w:t>
      </w:r>
      <w:r w:rsidR="00E15033">
        <w:rPr>
          <w:rFonts w:ascii="Arial" w:eastAsia="Calibri" w:hAnsi="Arial" w:cs="Arial"/>
          <w:sz w:val="24"/>
          <w:szCs w:val="24"/>
          <w:lang w:val="en-ZA"/>
        </w:rPr>
        <w:t xml:space="preserve"> to explain themselves. </w:t>
      </w:r>
      <w:r w:rsidR="00F76459" w:rsidRPr="00994D55">
        <w:rPr>
          <w:rFonts w:ascii="Arial" w:eastAsia="Calibri" w:hAnsi="Arial" w:cs="Arial"/>
          <w:sz w:val="24"/>
          <w:szCs w:val="24"/>
          <w:lang w:val="en-ZA"/>
        </w:rPr>
        <w:t xml:space="preserve">When </w:t>
      </w:r>
      <w:r w:rsidR="00FC6DAB" w:rsidRPr="00994D55">
        <w:rPr>
          <w:rFonts w:ascii="Arial" w:eastAsia="Calibri" w:hAnsi="Arial" w:cs="Arial"/>
          <w:sz w:val="24"/>
          <w:szCs w:val="24"/>
          <w:lang w:val="en-ZA"/>
        </w:rPr>
        <w:t>dealing with the commission in which a matter of pu</w:t>
      </w:r>
      <w:r w:rsidR="007C4113" w:rsidRPr="00994D55">
        <w:rPr>
          <w:rFonts w:ascii="Arial" w:eastAsia="Calibri" w:hAnsi="Arial" w:cs="Arial"/>
          <w:sz w:val="24"/>
          <w:szCs w:val="24"/>
          <w:lang w:val="en-ZA"/>
        </w:rPr>
        <w:t xml:space="preserve">blic interest </w:t>
      </w:r>
      <w:r w:rsidR="007C4113" w:rsidRPr="00994D55">
        <w:rPr>
          <w:rFonts w:ascii="Arial" w:eastAsia="Calibri" w:hAnsi="Arial" w:cs="Arial"/>
          <w:sz w:val="24"/>
          <w:szCs w:val="24"/>
          <w:lang w:val="en-ZA"/>
        </w:rPr>
        <w:lastRenderedPageBreak/>
        <w:t>is at issue, the Constitutional C</w:t>
      </w:r>
      <w:r w:rsidR="00FC6DAB" w:rsidRPr="00994D55">
        <w:rPr>
          <w:rFonts w:ascii="Arial" w:eastAsia="Calibri" w:hAnsi="Arial" w:cs="Arial"/>
          <w:sz w:val="24"/>
          <w:szCs w:val="24"/>
          <w:lang w:val="en-ZA"/>
        </w:rPr>
        <w:t>ourt (in the context of a commission conducted under the National Commissions Act 8 of 1947) stated:</w:t>
      </w:r>
      <w:r w:rsidR="00E15033">
        <w:rPr>
          <w:rStyle w:val="FootnoteReference"/>
          <w:rFonts w:ascii="Arial" w:eastAsia="Calibri" w:hAnsi="Arial" w:cs="Arial"/>
          <w:sz w:val="24"/>
          <w:szCs w:val="24"/>
          <w:lang w:val="en-ZA"/>
        </w:rPr>
        <w:footnoteReference w:id="9"/>
      </w:r>
    </w:p>
    <w:p w14:paraId="554716FF" w14:textId="10BE4159" w:rsidR="00E15033" w:rsidRPr="00E15033" w:rsidRDefault="00E15033" w:rsidP="00E15033">
      <w:pPr>
        <w:spacing w:after="0" w:line="360" w:lineRule="auto"/>
        <w:jc w:val="both"/>
        <w:rPr>
          <w:rFonts w:ascii="Arial" w:eastAsia="Calibri" w:hAnsi="Arial" w:cs="Arial"/>
          <w:szCs w:val="24"/>
          <w:lang w:val="en-ZA"/>
        </w:rPr>
      </w:pPr>
      <w:r w:rsidRPr="00E15033">
        <w:rPr>
          <w:rFonts w:ascii="Arial" w:eastAsia="Calibri" w:hAnsi="Arial" w:cs="Arial"/>
          <w:szCs w:val="24"/>
          <w:lang w:val="en-ZA"/>
        </w:rPr>
        <w:t>‘In addition to the function of advising the President, a commission of inquiry may also serve the purpose of holding a public inquiry in respect of a matter of public concern. The purpose of a public hearing under those circumstances is to restore public confidence in the institution in which the matter that caused concern arose. Here the focus is not what the President decides to do with the findings and recommendations of a particular commission. Instead, the objective is to reveal the truth to the public pertaining to the matter that gave rise to public concern. Affirming this purpose in Minister of Police, this Court stated:</w:t>
      </w:r>
    </w:p>
    <w:p w14:paraId="4987DF14" w14:textId="7CD5B08F" w:rsidR="00FC6DAB" w:rsidRPr="00994D55" w:rsidRDefault="00E15033" w:rsidP="00E15033">
      <w:pPr>
        <w:spacing w:after="0" w:line="360" w:lineRule="auto"/>
        <w:ind w:left="720"/>
        <w:jc w:val="both"/>
        <w:rPr>
          <w:rFonts w:ascii="Arial" w:eastAsia="Calibri" w:hAnsi="Arial" w:cs="Arial"/>
          <w:sz w:val="24"/>
          <w:szCs w:val="24"/>
          <w:lang w:val="en-ZA"/>
        </w:rPr>
      </w:pPr>
      <w:r w:rsidRPr="00E15033">
        <w:rPr>
          <w:rFonts w:ascii="Arial" w:eastAsia="Calibri" w:hAnsi="Arial" w:cs="Arial"/>
          <w:szCs w:val="24"/>
          <w:lang w:val="en-ZA"/>
        </w:rPr>
        <w:t>“In addition to advising the executive, a commission of inquiry serves a deeper public purpose, particularly at times of widespread disquiet and discontent.”’</w:t>
      </w:r>
      <w:r w:rsidR="00EC7623" w:rsidRPr="00994D55">
        <w:rPr>
          <w:rFonts w:ascii="Arial" w:eastAsia="Calibri" w:hAnsi="Arial" w:cs="Arial"/>
          <w:sz w:val="24"/>
          <w:szCs w:val="24"/>
          <w:lang w:val="en-ZA"/>
        </w:rPr>
        <w:t xml:space="preserve"> </w:t>
      </w:r>
    </w:p>
    <w:p w14:paraId="7C85E6BE" w14:textId="77777777" w:rsidR="007E04B9" w:rsidRPr="00994D55" w:rsidRDefault="007E04B9" w:rsidP="007E04B9">
      <w:pPr>
        <w:spacing w:after="0" w:line="360" w:lineRule="auto"/>
        <w:jc w:val="both"/>
        <w:rPr>
          <w:rFonts w:ascii="Arial" w:eastAsia="Calibri" w:hAnsi="Arial" w:cs="Arial"/>
          <w:sz w:val="24"/>
          <w:szCs w:val="24"/>
          <w:lang w:val="en-ZA"/>
        </w:rPr>
      </w:pPr>
    </w:p>
    <w:p w14:paraId="37F1F71E" w14:textId="2E4B3BA5" w:rsidR="00FF0891" w:rsidRDefault="00FF0891" w:rsidP="007E04B9">
      <w:pPr>
        <w:spacing w:after="0" w:line="360" w:lineRule="auto"/>
        <w:jc w:val="both"/>
        <w:rPr>
          <w:rFonts w:ascii="Arial" w:eastAsia="Calibri" w:hAnsi="Arial" w:cs="Arial"/>
          <w:sz w:val="24"/>
          <w:szCs w:val="24"/>
          <w:lang w:val="en-ZA"/>
        </w:rPr>
      </w:pPr>
      <w:r w:rsidRPr="00994D55">
        <w:rPr>
          <w:rFonts w:ascii="Arial" w:eastAsia="Calibri" w:hAnsi="Arial" w:cs="Arial"/>
          <w:b/>
          <w:sz w:val="24"/>
          <w:szCs w:val="24"/>
          <w:lang w:val="en-ZA"/>
        </w:rPr>
        <w:t>Failure to comply with the requirements of procedural fairness</w:t>
      </w:r>
      <w:r w:rsidRPr="00994D55">
        <w:rPr>
          <w:rFonts w:ascii="Arial" w:eastAsia="Calibri" w:hAnsi="Arial" w:cs="Arial"/>
          <w:sz w:val="24"/>
          <w:szCs w:val="24"/>
          <w:lang w:val="en-ZA"/>
        </w:rPr>
        <w:t>.</w:t>
      </w:r>
    </w:p>
    <w:p w14:paraId="58A2098C" w14:textId="0D22C0E1" w:rsidR="00FF0891" w:rsidRPr="00994D55" w:rsidRDefault="00FF0891" w:rsidP="007E04B9">
      <w:pPr>
        <w:spacing w:after="0" w:line="360" w:lineRule="auto"/>
        <w:jc w:val="both"/>
        <w:rPr>
          <w:rFonts w:ascii="Arial" w:eastAsia="Calibri" w:hAnsi="Arial" w:cs="Arial"/>
          <w:sz w:val="24"/>
          <w:szCs w:val="24"/>
          <w:lang w:val="en-ZA"/>
        </w:rPr>
      </w:pPr>
      <w:r w:rsidRPr="00994D55">
        <w:rPr>
          <w:rFonts w:ascii="Arial" w:eastAsia="Calibri" w:hAnsi="Arial" w:cs="Arial"/>
          <w:sz w:val="24"/>
          <w:szCs w:val="24"/>
          <w:lang w:val="en-ZA"/>
        </w:rPr>
        <w:t>[10]</w:t>
      </w:r>
      <w:r w:rsidRPr="00994D55">
        <w:rPr>
          <w:rFonts w:ascii="Arial" w:eastAsia="Calibri" w:hAnsi="Arial" w:cs="Arial"/>
          <w:sz w:val="24"/>
          <w:szCs w:val="24"/>
          <w:lang w:val="en-ZA"/>
        </w:rPr>
        <w:tab/>
        <w:t xml:space="preserve">It was argued on behalf of the applicants that in addition to </w:t>
      </w:r>
      <w:r w:rsidR="009E7D93">
        <w:rPr>
          <w:rFonts w:ascii="Arial" w:eastAsia="Calibri" w:hAnsi="Arial" w:cs="Arial"/>
          <w:sz w:val="24"/>
          <w:szCs w:val="24"/>
          <w:lang w:val="en-ZA"/>
        </w:rPr>
        <w:t xml:space="preserve">the </w:t>
      </w:r>
      <w:r w:rsidRPr="00994D55">
        <w:rPr>
          <w:rFonts w:ascii="Arial" w:eastAsia="Calibri" w:hAnsi="Arial" w:cs="Arial"/>
          <w:sz w:val="24"/>
          <w:szCs w:val="24"/>
          <w:lang w:val="en-ZA"/>
        </w:rPr>
        <w:t xml:space="preserve">failure </w:t>
      </w:r>
      <w:r w:rsidR="000D5B48" w:rsidRPr="00994D55">
        <w:rPr>
          <w:rFonts w:ascii="Arial" w:eastAsia="Calibri" w:hAnsi="Arial" w:cs="Arial"/>
          <w:sz w:val="24"/>
          <w:szCs w:val="24"/>
          <w:lang w:val="en-ZA"/>
        </w:rPr>
        <w:t>to comply with the KZN</w:t>
      </w:r>
      <w:r w:rsidRPr="00994D55">
        <w:rPr>
          <w:rFonts w:ascii="Arial" w:eastAsia="Calibri" w:hAnsi="Arial" w:cs="Arial"/>
          <w:sz w:val="24"/>
          <w:szCs w:val="24"/>
          <w:lang w:val="en-ZA"/>
        </w:rPr>
        <w:t xml:space="preserve"> Commission</w:t>
      </w:r>
      <w:r w:rsidR="000D5B48" w:rsidRPr="00994D55">
        <w:rPr>
          <w:rFonts w:ascii="Arial" w:eastAsia="Calibri" w:hAnsi="Arial" w:cs="Arial"/>
          <w:sz w:val="24"/>
          <w:szCs w:val="24"/>
          <w:lang w:val="en-ZA"/>
        </w:rPr>
        <w:t>s</w:t>
      </w:r>
      <w:r w:rsidRPr="00994D55">
        <w:rPr>
          <w:rFonts w:ascii="Arial" w:eastAsia="Calibri" w:hAnsi="Arial" w:cs="Arial"/>
          <w:sz w:val="24"/>
          <w:szCs w:val="24"/>
          <w:lang w:val="en-ZA"/>
        </w:rPr>
        <w:t xml:space="preserve"> Act, the investigators also failed to comply with the requirements of proce</w:t>
      </w:r>
      <w:r w:rsidR="007C4113" w:rsidRPr="00994D55">
        <w:rPr>
          <w:rFonts w:ascii="Arial" w:eastAsia="Calibri" w:hAnsi="Arial" w:cs="Arial"/>
          <w:sz w:val="24"/>
          <w:szCs w:val="24"/>
          <w:lang w:val="en-ZA"/>
        </w:rPr>
        <w:t xml:space="preserve">dural fairness in that they </w:t>
      </w:r>
      <w:r w:rsidRPr="00994D55">
        <w:rPr>
          <w:rFonts w:ascii="Arial" w:eastAsia="Calibri" w:hAnsi="Arial" w:cs="Arial"/>
          <w:sz w:val="24"/>
          <w:szCs w:val="24"/>
          <w:lang w:val="en-ZA"/>
        </w:rPr>
        <w:t xml:space="preserve">failed </w:t>
      </w:r>
      <w:r w:rsidR="007C4113" w:rsidRPr="00994D55">
        <w:rPr>
          <w:rFonts w:ascii="Arial" w:eastAsia="Calibri" w:hAnsi="Arial" w:cs="Arial"/>
          <w:sz w:val="24"/>
          <w:szCs w:val="24"/>
          <w:lang w:val="en-ZA"/>
        </w:rPr>
        <w:t xml:space="preserve">(1) </w:t>
      </w:r>
      <w:r w:rsidRPr="00994D55">
        <w:rPr>
          <w:rFonts w:ascii="Arial" w:eastAsia="Calibri" w:hAnsi="Arial" w:cs="Arial"/>
          <w:sz w:val="24"/>
          <w:szCs w:val="24"/>
          <w:lang w:val="en-ZA"/>
        </w:rPr>
        <w:t xml:space="preserve">to give the applicants a clear statement of </w:t>
      </w:r>
      <w:r w:rsidR="00050940">
        <w:rPr>
          <w:rFonts w:ascii="Arial" w:eastAsia="Calibri" w:hAnsi="Arial" w:cs="Arial"/>
          <w:sz w:val="24"/>
          <w:szCs w:val="24"/>
          <w:lang w:val="en-ZA"/>
        </w:rPr>
        <w:t>the</w:t>
      </w:r>
      <w:r w:rsidR="00050940" w:rsidRPr="00994D55">
        <w:rPr>
          <w:rFonts w:ascii="Arial" w:eastAsia="Calibri" w:hAnsi="Arial" w:cs="Arial"/>
          <w:sz w:val="24"/>
          <w:szCs w:val="24"/>
          <w:lang w:val="en-ZA"/>
        </w:rPr>
        <w:t xml:space="preserve"> </w:t>
      </w:r>
      <w:r w:rsidRPr="00994D55">
        <w:rPr>
          <w:rFonts w:ascii="Arial" w:eastAsia="Calibri" w:hAnsi="Arial" w:cs="Arial"/>
          <w:sz w:val="24"/>
          <w:szCs w:val="24"/>
          <w:lang w:val="en-ZA"/>
        </w:rPr>
        <w:t>case they were required to meet and (2) to give the applicants a meaningful opportunity to respond to allegations levelled against them.</w:t>
      </w:r>
      <w:r w:rsidR="009E7D93">
        <w:rPr>
          <w:rFonts w:ascii="Arial" w:eastAsia="Calibri" w:hAnsi="Arial" w:cs="Arial"/>
          <w:sz w:val="24"/>
          <w:szCs w:val="24"/>
          <w:lang w:val="en-ZA"/>
        </w:rPr>
        <w:t xml:space="preserve"> </w:t>
      </w:r>
      <w:r w:rsidR="007C4113" w:rsidRPr="00994D55">
        <w:rPr>
          <w:rFonts w:ascii="Arial" w:eastAsia="Calibri" w:hAnsi="Arial" w:cs="Arial"/>
          <w:sz w:val="24"/>
          <w:szCs w:val="24"/>
          <w:lang w:val="en-ZA"/>
        </w:rPr>
        <w:t>There is merit in this argument.</w:t>
      </w:r>
      <w:r w:rsidR="009E7D93">
        <w:rPr>
          <w:rFonts w:ascii="Arial" w:eastAsia="Calibri" w:hAnsi="Arial" w:cs="Arial"/>
          <w:sz w:val="24"/>
          <w:szCs w:val="24"/>
          <w:lang w:val="en-ZA"/>
        </w:rPr>
        <w:t xml:space="preserve"> </w:t>
      </w:r>
      <w:r w:rsidRPr="00994D55">
        <w:rPr>
          <w:rFonts w:ascii="Arial" w:eastAsia="Calibri" w:hAnsi="Arial" w:cs="Arial"/>
          <w:sz w:val="24"/>
          <w:szCs w:val="24"/>
          <w:lang w:val="en-ZA"/>
        </w:rPr>
        <w:t xml:space="preserve">It was submitted both in the papers and in argument (on behalf of the respondents) that procedural fairness is not </w:t>
      </w:r>
      <w:r w:rsidR="009E7D93">
        <w:rPr>
          <w:rFonts w:ascii="Arial" w:eastAsia="Calibri" w:hAnsi="Arial" w:cs="Arial"/>
          <w:sz w:val="24"/>
          <w:szCs w:val="24"/>
          <w:lang w:val="en-ZA"/>
        </w:rPr>
        <w:t xml:space="preserve">a </w:t>
      </w:r>
      <w:r w:rsidRPr="00994D55">
        <w:rPr>
          <w:rFonts w:ascii="Arial" w:eastAsia="Calibri" w:hAnsi="Arial" w:cs="Arial"/>
          <w:sz w:val="24"/>
          <w:szCs w:val="24"/>
          <w:lang w:val="en-ZA"/>
        </w:rPr>
        <w:t xml:space="preserve">requirement at </w:t>
      </w:r>
      <w:r w:rsidR="009E7D93">
        <w:rPr>
          <w:rFonts w:ascii="Arial" w:eastAsia="Calibri" w:hAnsi="Arial" w:cs="Arial"/>
          <w:sz w:val="24"/>
          <w:szCs w:val="24"/>
          <w:lang w:val="en-ZA"/>
        </w:rPr>
        <w:t>an investigation and report stage.</w:t>
      </w:r>
      <w:r w:rsidRPr="00994D55">
        <w:rPr>
          <w:rFonts w:ascii="Arial" w:eastAsia="Calibri" w:hAnsi="Arial" w:cs="Arial"/>
          <w:sz w:val="24"/>
          <w:szCs w:val="24"/>
          <w:lang w:val="en-ZA"/>
        </w:rPr>
        <w:t xml:space="preserve"> In para 33 of his affidavit Mr </w:t>
      </w:r>
      <w:proofErr w:type="spellStart"/>
      <w:r w:rsidRPr="00994D55">
        <w:rPr>
          <w:rFonts w:ascii="Arial" w:eastAsia="Calibri" w:hAnsi="Arial" w:cs="Arial"/>
          <w:sz w:val="24"/>
          <w:szCs w:val="24"/>
          <w:lang w:val="en-ZA"/>
        </w:rPr>
        <w:t>Tubane</w:t>
      </w:r>
      <w:proofErr w:type="spellEnd"/>
      <w:r w:rsidRPr="00994D55">
        <w:rPr>
          <w:rFonts w:ascii="Arial" w:eastAsia="Calibri" w:hAnsi="Arial" w:cs="Arial"/>
          <w:sz w:val="24"/>
          <w:szCs w:val="24"/>
          <w:lang w:val="en-ZA"/>
        </w:rPr>
        <w:t xml:space="preserve"> (on behalf of the MEC) stated:</w:t>
      </w:r>
    </w:p>
    <w:p w14:paraId="5B551CEB" w14:textId="77777777" w:rsidR="00205242" w:rsidRPr="009E7D93" w:rsidRDefault="00FF0891" w:rsidP="009E7D93">
      <w:pPr>
        <w:spacing w:after="0" w:line="360" w:lineRule="auto"/>
        <w:jc w:val="both"/>
        <w:rPr>
          <w:rFonts w:ascii="Arial" w:eastAsia="Calibri" w:hAnsi="Arial" w:cs="Arial"/>
          <w:szCs w:val="24"/>
          <w:lang w:val="en-ZA"/>
        </w:rPr>
      </w:pPr>
      <w:r w:rsidRPr="009E7D93">
        <w:rPr>
          <w:rFonts w:ascii="Arial" w:eastAsia="Calibri" w:hAnsi="Arial" w:cs="Arial"/>
          <w:szCs w:val="24"/>
          <w:lang w:val="en-ZA"/>
        </w:rPr>
        <w:t>“</w:t>
      </w:r>
      <w:r w:rsidR="000D5B48" w:rsidRPr="009E7D93">
        <w:rPr>
          <w:rFonts w:ascii="Arial" w:eastAsia="Calibri" w:hAnsi="Arial" w:cs="Arial"/>
          <w:szCs w:val="24"/>
          <w:lang w:val="en-ZA"/>
        </w:rPr>
        <w:t xml:space="preserve">…Full rights of </w:t>
      </w:r>
      <w:proofErr w:type="spellStart"/>
      <w:r w:rsidR="000D5B48" w:rsidRPr="009E7D93">
        <w:rPr>
          <w:rFonts w:ascii="Arial" w:eastAsia="Calibri" w:hAnsi="Arial" w:cs="Arial"/>
          <w:i/>
          <w:szCs w:val="24"/>
          <w:lang w:val="en-ZA"/>
        </w:rPr>
        <w:t>audi</w:t>
      </w:r>
      <w:proofErr w:type="spellEnd"/>
      <w:r w:rsidRPr="009E7D93">
        <w:rPr>
          <w:rFonts w:ascii="Arial" w:eastAsia="Calibri" w:hAnsi="Arial" w:cs="Arial"/>
          <w:i/>
          <w:szCs w:val="24"/>
          <w:lang w:val="en-ZA"/>
        </w:rPr>
        <w:t xml:space="preserve"> </w:t>
      </w:r>
      <w:proofErr w:type="spellStart"/>
      <w:r w:rsidRPr="009E7D93">
        <w:rPr>
          <w:rFonts w:ascii="Arial" w:eastAsia="Calibri" w:hAnsi="Arial" w:cs="Arial"/>
          <w:i/>
          <w:szCs w:val="24"/>
          <w:lang w:val="en-ZA"/>
        </w:rPr>
        <w:t>alteram</w:t>
      </w:r>
      <w:proofErr w:type="spellEnd"/>
      <w:r w:rsidRPr="009E7D93">
        <w:rPr>
          <w:rFonts w:ascii="Arial" w:eastAsia="Calibri" w:hAnsi="Arial" w:cs="Arial"/>
          <w:i/>
          <w:szCs w:val="24"/>
          <w:lang w:val="en-ZA"/>
        </w:rPr>
        <w:t xml:space="preserve"> </w:t>
      </w:r>
      <w:proofErr w:type="spellStart"/>
      <w:r w:rsidRPr="009E7D93">
        <w:rPr>
          <w:rFonts w:ascii="Arial" w:eastAsia="Calibri" w:hAnsi="Arial" w:cs="Arial"/>
          <w:i/>
          <w:szCs w:val="24"/>
          <w:lang w:val="en-ZA"/>
        </w:rPr>
        <w:t>partem</w:t>
      </w:r>
      <w:proofErr w:type="spellEnd"/>
      <w:r w:rsidRPr="009E7D93">
        <w:rPr>
          <w:rFonts w:ascii="Arial" w:eastAsia="Calibri" w:hAnsi="Arial" w:cs="Arial"/>
          <w:szCs w:val="24"/>
          <w:lang w:val="en-ZA"/>
        </w:rPr>
        <w:t xml:space="preserve"> and the other principles of natural justice would be accorded to the affected persons in their disciplinary</w:t>
      </w:r>
      <w:r w:rsidR="007C4113" w:rsidRPr="009E7D93">
        <w:rPr>
          <w:rFonts w:ascii="Arial" w:eastAsia="Calibri" w:hAnsi="Arial" w:cs="Arial"/>
          <w:szCs w:val="24"/>
          <w:lang w:val="en-ZA"/>
        </w:rPr>
        <w:t xml:space="preserve"> hearings</w:t>
      </w:r>
      <w:r w:rsidR="00205242" w:rsidRPr="009E7D93">
        <w:rPr>
          <w:rFonts w:ascii="Arial" w:eastAsia="Calibri" w:hAnsi="Arial" w:cs="Arial"/>
          <w:szCs w:val="24"/>
          <w:lang w:val="en-ZA"/>
        </w:rPr>
        <w:t xml:space="preserve"> “</w:t>
      </w:r>
      <w:r w:rsidR="007C4113" w:rsidRPr="009E7D93">
        <w:rPr>
          <w:rFonts w:ascii="Arial" w:eastAsia="Calibri" w:hAnsi="Arial" w:cs="Arial"/>
          <w:szCs w:val="24"/>
          <w:lang w:val="en-ZA"/>
        </w:rPr>
        <w:t>[</w:t>
      </w:r>
      <w:r w:rsidR="00205242" w:rsidRPr="009E7D93">
        <w:rPr>
          <w:rFonts w:ascii="Arial" w:eastAsia="Calibri" w:hAnsi="Arial" w:cs="Arial"/>
          <w:szCs w:val="24"/>
          <w:lang w:val="en-ZA"/>
        </w:rPr>
        <w:t>subsequent disciplinary hearings].”</w:t>
      </w:r>
    </w:p>
    <w:p w14:paraId="6B435423" w14:textId="2D3739C8" w:rsidR="00205242" w:rsidRPr="00994D55" w:rsidRDefault="000D5B48" w:rsidP="007E04B9">
      <w:pPr>
        <w:spacing w:after="0" w:line="360" w:lineRule="auto"/>
        <w:jc w:val="both"/>
        <w:rPr>
          <w:rFonts w:ascii="Arial" w:eastAsia="Calibri" w:hAnsi="Arial" w:cs="Arial"/>
          <w:sz w:val="24"/>
          <w:szCs w:val="24"/>
          <w:lang w:val="en-ZA"/>
        </w:rPr>
      </w:pPr>
      <w:r w:rsidRPr="00994D55">
        <w:rPr>
          <w:rFonts w:ascii="Arial" w:eastAsia="Calibri" w:hAnsi="Arial" w:cs="Arial"/>
          <w:sz w:val="24"/>
          <w:szCs w:val="24"/>
          <w:lang w:val="en-ZA"/>
        </w:rPr>
        <w:t>The Appellate D</w:t>
      </w:r>
      <w:r w:rsidR="00205242" w:rsidRPr="00994D55">
        <w:rPr>
          <w:rFonts w:ascii="Arial" w:eastAsia="Calibri" w:hAnsi="Arial" w:cs="Arial"/>
          <w:sz w:val="24"/>
          <w:szCs w:val="24"/>
          <w:lang w:val="en-ZA"/>
        </w:rPr>
        <w:t xml:space="preserve">ivision in </w:t>
      </w:r>
      <w:r w:rsidR="00205242" w:rsidRPr="009E7D93">
        <w:rPr>
          <w:rFonts w:ascii="Arial" w:eastAsia="Calibri" w:hAnsi="Arial" w:cs="Arial"/>
          <w:i/>
          <w:sz w:val="24"/>
          <w:szCs w:val="24"/>
          <w:lang w:val="en-ZA"/>
        </w:rPr>
        <w:t>South African Roads Board v Johannesburg City Council</w:t>
      </w:r>
      <w:r w:rsidR="00205242" w:rsidRPr="00994D55">
        <w:rPr>
          <w:rStyle w:val="FootnoteReference"/>
          <w:rFonts w:ascii="Arial" w:eastAsia="Calibri" w:hAnsi="Arial" w:cs="Arial"/>
          <w:sz w:val="24"/>
          <w:szCs w:val="24"/>
          <w:lang w:val="en-ZA"/>
        </w:rPr>
        <w:footnoteReference w:id="10"/>
      </w:r>
      <w:r w:rsidRPr="00994D55">
        <w:rPr>
          <w:rFonts w:ascii="Arial" w:eastAsia="Calibri" w:hAnsi="Arial" w:cs="Arial"/>
          <w:sz w:val="24"/>
          <w:szCs w:val="24"/>
          <w:lang w:val="en-ZA"/>
        </w:rPr>
        <w:t xml:space="preserve"> described th</w:t>
      </w:r>
      <w:r w:rsidR="009E7D93">
        <w:rPr>
          <w:rFonts w:ascii="Arial" w:eastAsia="Calibri" w:hAnsi="Arial" w:cs="Arial"/>
          <w:sz w:val="24"/>
          <w:szCs w:val="24"/>
          <w:lang w:val="en-ZA"/>
        </w:rPr>
        <w:t>e</w:t>
      </w:r>
      <w:r w:rsidR="009E7D93" w:rsidRPr="009E7D93">
        <w:t xml:space="preserve"> </w:t>
      </w:r>
      <w:proofErr w:type="spellStart"/>
      <w:r w:rsidR="009E7D93" w:rsidRPr="009E7D93">
        <w:rPr>
          <w:rFonts w:ascii="Arial" w:eastAsia="Calibri" w:hAnsi="Arial" w:cs="Arial"/>
          <w:i/>
          <w:sz w:val="24"/>
          <w:szCs w:val="24"/>
          <w:lang w:val="en-ZA"/>
        </w:rPr>
        <w:t>audi</w:t>
      </w:r>
      <w:proofErr w:type="spellEnd"/>
      <w:r w:rsidR="009E7D93" w:rsidRPr="009E7D93">
        <w:rPr>
          <w:rFonts w:ascii="Arial" w:eastAsia="Calibri" w:hAnsi="Arial" w:cs="Arial"/>
          <w:i/>
          <w:sz w:val="24"/>
          <w:szCs w:val="24"/>
          <w:lang w:val="en-ZA"/>
        </w:rPr>
        <w:t xml:space="preserve"> </w:t>
      </w:r>
      <w:proofErr w:type="spellStart"/>
      <w:r w:rsidR="009E7D93" w:rsidRPr="009E7D93">
        <w:rPr>
          <w:rFonts w:ascii="Arial" w:eastAsia="Calibri" w:hAnsi="Arial" w:cs="Arial"/>
          <w:i/>
          <w:sz w:val="24"/>
          <w:szCs w:val="24"/>
          <w:lang w:val="en-ZA"/>
        </w:rPr>
        <w:t>alteram</w:t>
      </w:r>
      <w:proofErr w:type="spellEnd"/>
      <w:r w:rsidR="009E7D93" w:rsidRPr="009E7D93">
        <w:rPr>
          <w:rFonts w:ascii="Arial" w:eastAsia="Calibri" w:hAnsi="Arial" w:cs="Arial"/>
          <w:i/>
          <w:sz w:val="24"/>
          <w:szCs w:val="24"/>
          <w:lang w:val="en-ZA"/>
        </w:rPr>
        <w:t xml:space="preserve"> </w:t>
      </w:r>
      <w:proofErr w:type="spellStart"/>
      <w:r w:rsidR="009E7D93" w:rsidRPr="009E7D93">
        <w:rPr>
          <w:rFonts w:ascii="Arial" w:eastAsia="Calibri" w:hAnsi="Arial" w:cs="Arial"/>
          <w:i/>
          <w:sz w:val="24"/>
          <w:szCs w:val="24"/>
          <w:lang w:val="en-ZA"/>
        </w:rPr>
        <w:t>partem</w:t>
      </w:r>
      <w:proofErr w:type="spellEnd"/>
      <w:r w:rsidR="009E7D93" w:rsidRPr="009E7D93">
        <w:rPr>
          <w:rFonts w:ascii="Arial" w:eastAsia="Calibri" w:hAnsi="Arial" w:cs="Arial"/>
          <w:sz w:val="24"/>
          <w:szCs w:val="24"/>
          <w:lang w:val="en-ZA"/>
        </w:rPr>
        <w:t xml:space="preserve"> </w:t>
      </w:r>
      <w:r w:rsidR="00205242" w:rsidRPr="00994D55">
        <w:rPr>
          <w:rFonts w:ascii="Arial" w:eastAsia="Calibri" w:hAnsi="Arial" w:cs="Arial"/>
          <w:sz w:val="24"/>
          <w:szCs w:val="24"/>
          <w:lang w:val="en-ZA"/>
        </w:rPr>
        <w:t>principle as being</w:t>
      </w:r>
      <w:r w:rsidRPr="00994D55">
        <w:rPr>
          <w:rFonts w:ascii="Arial" w:eastAsia="Calibri" w:hAnsi="Arial" w:cs="Arial"/>
          <w:sz w:val="24"/>
          <w:szCs w:val="24"/>
          <w:lang w:val="en-ZA"/>
        </w:rPr>
        <w:t>:</w:t>
      </w:r>
    </w:p>
    <w:p w14:paraId="10FFAAB8" w14:textId="25A0D609" w:rsidR="00205242" w:rsidRPr="00E66488" w:rsidRDefault="009E7D93" w:rsidP="00E66488">
      <w:pPr>
        <w:spacing w:after="0" w:line="360" w:lineRule="auto"/>
        <w:jc w:val="both"/>
        <w:rPr>
          <w:rFonts w:ascii="Arial" w:eastAsia="Calibri" w:hAnsi="Arial" w:cs="Arial"/>
          <w:szCs w:val="24"/>
          <w:lang w:val="en-ZA"/>
        </w:rPr>
      </w:pPr>
      <w:r w:rsidRPr="00E66488">
        <w:rPr>
          <w:rFonts w:ascii="Arial" w:eastAsia="Calibri" w:hAnsi="Arial" w:cs="Arial"/>
          <w:szCs w:val="24"/>
          <w:lang w:val="en-ZA"/>
        </w:rPr>
        <w:t>‘</w:t>
      </w:r>
      <w:r w:rsidR="00205242" w:rsidRPr="00E66488">
        <w:rPr>
          <w:rFonts w:ascii="Arial" w:eastAsia="Calibri" w:hAnsi="Arial" w:cs="Arial"/>
          <w:szCs w:val="24"/>
          <w:lang w:val="en-ZA"/>
        </w:rPr>
        <w:t xml:space="preserve">… </w:t>
      </w:r>
      <w:r w:rsidR="00E66488" w:rsidRPr="00E66488">
        <w:rPr>
          <w:rFonts w:ascii="Arial" w:eastAsia="Calibri" w:hAnsi="Arial" w:cs="Arial"/>
          <w:szCs w:val="24"/>
          <w:lang w:val="en-ZA"/>
        </w:rPr>
        <w:t>a rule of natural justice which comes into play whenever a statute empowers a public official or body to do an act or give a decision prejudicially affecting an individual in his liberty or property or existing rights, or whenever such an individual has a legitimate expectation entitling him to a hearing, unless the statute expressly or by implication indicates the contrary</w:t>
      </w:r>
      <w:r w:rsidR="00205242" w:rsidRPr="00E66488">
        <w:rPr>
          <w:rFonts w:ascii="Arial" w:eastAsia="Calibri" w:hAnsi="Arial" w:cs="Arial"/>
          <w:szCs w:val="24"/>
          <w:lang w:val="en-ZA"/>
        </w:rPr>
        <w:t>…</w:t>
      </w:r>
      <w:r w:rsidRPr="00E66488">
        <w:rPr>
          <w:rFonts w:ascii="Arial" w:eastAsia="Calibri" w:hAnsi="Arial" w:cs="Arial"/>
          <w:szCs w:val="24"/>
          <w:lang w:val="en-ZA"/>
        </w:rPr>
        <w:t>’</w:t>
      </w:r>
    </w:p>
    <w:p w14:paraId="3B450CD1" w14:textId="7BC8803F" w:rsidR="007C4113" w:rsidRPr="00E66488" w:rsidRDefault="007C4113" w:rsidP="007E04B9">
      <w:pPr>
        <w:spacing w:after="0" w:line="360" w:lineRule="auto"/>
        <w:jc w:val="both"/>
        <w:rPr>
          <w:rFonts w:ascii="Arial" w:eastAsia="Calibri" w:hAnsi="Arial" w:cs="Arial"/>
          <w:sz w:val="28"/>
          <w:szCs w:val="24"/>
          <w:lang w:val="en-ZA"/>
        </w:rPr>
      </w:pPr>
      <w:r w:rsidRPr="00994D55">
        <w:rPr>
          <w:rFonts w:ascii="Arial" w:eastAsia="Calibri" w:hAnsi="Arial" w:cs="Arial"/>
          <w:sz w:val="24"/>
          <w:szCs w:val="24"/>
          <w:lang w:val="en-ZA"/>
        </w:rPr>
        <w:lastRenderedPageBreak/>
        <w:t>In the words of Lord Denning</w:t>
      </w:r>
      <w:r w:rsidR="00E66488">
        <w:rPr>
          <w:rFonts w:ascii="Arial" w:eastAsia="Calibri" w:hAnsi="Arial" w:cs="Arial"/>
          <w:sz w:val="24"/>
          <w:szCs w:val="24"/>
          <w:lang w:val="en-ZA"/>
        </w:rPr>
        <w:t xml:space="preserve"> quoted in </w:t>
      </w:r>
      <w:r w:rsidR="00E66488" w:rsidRPr="00E66488">
        <w:rPr>
          <w:rFonts w:ascii="Arial" w:eastAsia="Calibri" w:hAnsi="Arial" w:cs="Arial"/>
          <w:i/>
          <w:sz w:val="24"/>
          <w:szCs w:val="24"/>
          <w:lang w:val="en-ZA"/>
        </w:rPr>
        <w:t xml:space="preserve">Administrator, Transvaal v </w:t>
      </w:r>
      <w:proofErr w:type="spellStart"/>
      <w:r w:rsidR="00E66488" w:rsidRPr="00E66488">
        <w:rPr>
          <w:rFonts w:ascii="Arial" w:eastAsia="Calibri" w:hAnsi="Arial" w:cs="Arial"/>
          <w:i/>
          <w:sz w:val="24"/>
          <w:szCs w:val="24"/>
          <w:lang w:val="en-ZA"/>
        </w:rPr>
        <w:t>Traub</w:t>
      </w:r>
      <w:proofErr w:type="spellEnd"/>
      <w:r w:rsidRPr="00994D55">
        <w:rPr>
          <w:rFonts w:ascii="Arial" w:eastAsia="Calibri" w:hAnsi="Arial" w:cs="Arial"/>
          <w:sz w:val="24"/>
          <w:szCs w:val="24"/>
          <w:lang w:val="en-ZA"/>
        </w:rPr>
        <w:t>:</w:t>
      </w:r>
      <w:r w:rsidR="00E66488" w:rsidRPr="00E66488">
        <w:rPr>
          <w:rStyle w:val="FootnoteReference"/>
          <w:rFonts w:ascii="Arial" w:eastAsia="Calibri" w:hAnsi="Arial" w:cs="Arial"/>
          <w:sz w:val="24"/>
          <w:szCs w:val="24"/>
          <w:lang w:val="en-ZA"/>
        </w:rPr>
        <w:footnoteReference w:id="11"/>
      </w:r>
    </w:p>
    <w:p w14:paraId="63097BB3" w14:textId="475C1A13" w:rsidR="007C4113" w:rsidRPr="00E66488" w:rsidRDefault="00E66488" w:rsidP="00E66488">
      <w:pPr>
        <w:spacing w:after="0" w:line="360" w:lineRule="auto"/>
        <w:jc w:val="both"/>
        <w:rPr>
          <w:rFonts w:ascii="Arial" w:eastAsia="Calibri" w:hAnsi="Arial" w:cs="Arial"/>
          <w:szCs w:val="24"/>
          <w:lang w:val="en-ZA"/>
        </w:rPr>
      </w:pPr>
      <w:r w:rsidRPr="00E66488">
        <w:rPr>
          <w:rFonts w:ascii="Arial" w:eastAsia="Calibri" w:hAnsi="Arial" w:cs="Arial"/>
          <w:szCs w:val="24"/>
          <w:lang w:val="en-ZA"/>
        </w:rPr>
        <w:t>‘</w:t>
      </w:r>
      <w:r w:rsidR="007C4113" w:rsidRPr="00E66488">
        <w:rPr>
          <w:rFonts w:ascii="Arial" w:eastAsia="Calibri" w:hAnsi="Arial" w:cs="Arial"/>
          <w:szCs w:val="24"/>
          <w:lang w:val="en-ZA"/>
        </w:rPr>
        <w:t xml:space="preserve">… </w:t>
      </w:r>
      <w:proofErr w:type="gramStart"/>
      <w:r w:rsidRPr="00E66488">
        <w:rPr>
          <w:rFonts w:ascii="Arial" w:eastAsia="Calibri" w:hAnsi="Arial" w:cs="Arial"/>
          <w:szCs w:val="24"/>
          <w:lang w:val="en-ZA"/>
        </w:rPr>
        <w:t>an</w:t>
      </w:r>
      <w:proofErr w:type="gramEnd"/>
      <w:r w:rsidRPr="00E66488">
        <w:rPr>
          <w:rFonts w:ascii="Arial" w:eastAsia="Calibri" w:hAnsi="Arial" w:cs="Arial"/>
          <w:szCs w:val="24"/>
          <w:lang w:val="en-ZA"/>
        </w:rPr>
        <w:t xml:space="preserve"> administrative body may, in a proper case, be bound to give a person who is affected by their decision an opportunity of making representations. It all depends on whether he has some right or interest, or, I would add, some legitimate expectation, of which it would not be fair to deprive him without hearing what he has to say’</w:t>
      </w:r>
      <w:r w:rsidR="00973B8E" w:rsidRPr="00E66488">
        <w:rPr>
          <w:rFonts w:ascii="Arial" w:eastAsia="Calibri" w:hAnsi="Arial" w:cs="Arial"/>
          <w:szCs w:val="24"/>
          <w:lang w:val="en-ZA"/>
        </w:rPr>
        <w:t>.</w:t>
      </w:r>
    </w:p>
    <w:p w14:paraId="4FAB668D" w14:textId="77777777" w:rsidR="00386663" w:rsidRDefault="00205242" w:rsidP="007E04B9">
      <w:pPr>
        <w:spacing w:after="0" w:line="360" w:lineRule="auto"/>
        <w:jc w:val="both"/>
        <w:rPr>
          <w:rFonts w:ascii="Arial" w:eastAsia="Calibri" w:hAnsi="Arial" w:cs="Arial"/>
          <w:sz w:val="24"/>
          <w:szCs w:val="24"/>
          <w:lang w:val="en-ZA"/>
        </w:rPr>
      </w:pPr>
      <w:r w:rsidRPr="00994D55">
        <w:rPr>
          <w:rFonts w:ascii="Arial" w:eastAsia="Calibri" w:hAnsi="Arial" w:cs="Arial"/>
          <w:sz w:val="24"/>
          <w:szCs w:val="24"/>
          <w:lang w:val="en-ZA"/>
        </w:rPr>
        <w:t xml:space="preserve">In </w:t>
      </w:r>
      <w:r w:rsidRPr="00994D55">
        <w:rPr>
          <w:rFonts w:ascii="Arial" w:eastAsia="Calibri" w:hAnsi="Arial" w:cs="Arial"/>
          <w:i/>
          <w:sz w:val="24"/>
          <w:szCs w:val="24"/>
          <w:lang w:val="en-ZA"/>
        </w:rPr>
        <w:t xml:space="preserve">Du </w:t>
      </w:r>
      <w:proofErr w:type="spellStart"/>
      <w:r w:rsidRPr="00994D55">
        <w:rPr>
          <w:rFonts w:ascii="Arial" w:eastAsia="Calibri" w:hAnsi="Arial" w:cs="Arial"/>
          <w:i/>
          <w:sz w:val="24"/>
          <w:szCs w:val="24"/>
          <w:lang w:val="en-ZA"/>
        </w:rPr>
        <w:t>Preez</w:t>
      </w:r>
      <w:proofErr w:type="spellEnd"/>
      <w:r w:rsidRPr="00994D55">
        <w:rPr>
          <w:rFonts w:ascii="Arial" w:eastAsia="Calibri" w:hAnsi="Arial" w:cs="Arial"/>
          <w:i/>
          <w:sz w:val="24"/>
          <w:szCs w:val="24"/>
          <w:lang w:val="en-ZA"/>
        </w:rPr>
        <w:t xml:space="preserve"> v Truth and Reconciliation Commission</w:t>
      </w:r>
      <w:r w:rsidRPr="00994D55">
        <w:rPr>
          <w:rStyle w:val="FootnoteReference"/>
          <w:rFonts w:ascii="Arial" w:eastAsia="Calibri" w:hAnsi="Arial" w:cs="Arial"/>
          <w:sz w:val="24"/>
          <w:szCs w:val="24"/>
          <w:lang w:val="en-ZA"/>
        </w:rPr>
        <w:footnoteReference w:id="12"/>
      </w:r>
      <w:r w:rsidRPr="00994D55">
        <w:rPr>
          <w:rFonts w:ascii="Arial" w:eastAsia="Calibri" w:hAnsi="Arial" w:cs="Arial"/>
          <w:sz w:val="24"/>
          <w:szCs w:val="24"/>
          <w:lang w:val="en-ZA"/>
        </w:rPr>
        <w:t xml:space="preserve"> </w:t>
      </w:r>
      <w:r w:rsidR="00E4246F" w:rsidRPr="00994D55">
        <w:rPr>
          <w:rFonts w:ascii="Arial" w:eastAsia="Calibri" w:hAnsi="Arial" w:cs="Arial"/>
          <w:sz w:val="24"/>
          <w:szCs w:val="24"/>
          <w:lang w:val="en-ZA"/>
        </w:rPr>
        <w:t xml:space="preserve">it was </w:t>
      </w:r>
      <w:r w:rsidRPr="00994D55">
        <w:rPr>
          <w:rFonts w:ascii="Arial" w:eastAsia="Calibri" w:hAnsi="Arial" w:cs="Arial"/>
          <w:sz w:val="24"/>
          <w:szCs w:val="24"/>
          <w:lang w:val="en-ZA"/>
        </w:rPr>
        <w:t xml:space="preserve">held, that </w:t>
      </w:r>
      <w:r w:rsidR="00386663">
        <w:rPr>
          <w:rFonts w:ascii="Arial" w:eastAsia="Calibri" w:hAnsi="Arial" w:cs="Arial"/>
          <w:sz w:val="24"/>
          <w:szCs w:val="24"/>
          <w:lang w:val="en-ZA"/>
        </w:rPr>
        <w:t>t</w:t>
      </w:r>
      <w:r w:rsidR="00386663" w:rsidRPr="00386663">
        <w:rPr>
          <w:rFonts w:ascii="Arial" w:eastAsia="Calibri" w:hAnsi="Arial" w:cs="Arial"/>
          <w:sz w:val="24"/>
          <w:szCs w:val="24"/>
          <w:lang w:val="en-ZA"/>
        </w:rPr>
        <w:t xml:space="preserve">he </w:t>
      </w:r>
    </w:p>
    <w:p w14:paraId="667F415E" w14:textId="52E9B85E" w:rsidR="00C9399C" w:rsidRPr="00994D55" w:rsidRDefault="00386663" w:rsidP="00B912D0">
      <w:pPr>
        <w:spacing w:after="0" w:line="360" w:lineRule="auto"/>
        <w:jc w:val="both"/>
        <w:rPr>
          <w:rFonts w:ascii="Arial" w:eastAsia="Calibri" w:hAnsi="Arial" w:cs="Arial"/>
          <w:sz w:val="24"/>
          <w:szCs w:val="24"/>
          <w:lang w:val="en-ZA"/>
        </w:rPr>
      </w:pPr>
      <w:r w:rsidRPr="00386663">
        <w:rPr>
          <w:rFonts w:ascii="Arial" w:eastAsia="Calibri" w:hAnsi="Arial" w:cs="Arial"/>
          <w:szCs w:val="24"/>
          <w:lang w:val="en-ZA"/>
        </w:rPr>
        <w:t>‘</w:t>
      </w:r>
      <w:proofErr w:type="spellStart"/>
      <w:r w:rsidRPr="00386663">
        <w:rPr>
          <w:rFonts w:ascii="Arial" w:eastAsia="Calibri" w:hAnsi="Arial" w:cs="Arial"/>
          <w:i/>
          <w:szCs w:val="24"/>
          <w:lang w:val="en-ZA"/>
        </w:rPr>
        <w:t>audi</w:t>
      </w:r>
      <w:proofErr w:type="spellEnd"/>
      <w:r w:rsidRPr="00386663">
        <w:rPr>
          <w:rFonts w:ascii="Arial" w:eastAsia="Calibri" w:hAnsi="Arial" w:cs="Arial"/>
          <w:szCs w:val="24"/>
          <w:lang w:val="en-ZA"/>
        </w:rPr>
        <w:t xml:space="preserve"> principle is but one facet, albeit an important one, of the general requirement of natural justice that in the circumstances postulated the public official or body concerned must act fairly . . . The duty to act fairly, however, is concerned only with the manner in which decisions are taken: it does not relate to whether the decision itself is fair or not</w:t>
      </w:r>
      <w:r w:rsidR="00C9399C" w:rsidRPr="00386663">
        <w:rPr>
          <w:rFonts w:ascii="Arial" w:eastAsia="Calibri" w:hAnsi="Arial" w:cs="Arial"/>
          <w:szCs w:val="24"/>
          <w:lang w:val="en-ZA"/>
        </w:rPr>
        <w:t>.</w:t>
      </w:r>
      <w:r w:rsidRPr="00386663">
        <w:rPr>
          <w:rFonts w:ascii="Arial" w:eastAsia="Calibri" w:hAnsi="Arial" w:cs="Arial"/>
          <w:szCs w:val="24"/>
          <w:lang w:val="en-ZA"/>
        </w:rPr>
        <w:t>’</w:t>
      </w:r>
      <w:r w:rsidR="00205242" w:rsidRPr="00386663">
        <w:rPr>
          <w:rStyle w:val="FootnoteReference"/>
          <w:rFonts w:ascii="Arial" w:eastAsia="Calibri" w:hAnsi="Arial" w:cs="Arial"/>
          <w:szCs w:val="24"/>
          <w:lang w:val="en-ZA"/>
        </w:rPr>
        <w:footnoteReference w:id="13"/>
      </w:r>
      <w:r w:rsidR="00C9399C" w:rsidRPr="00386663">
        <w:rPr>
          <w:rFonts w:ascii="Arial" w:eastAsia="Calibri" w:hAnsi="Arial" w:cs="Arial"/>
          <w:szCs w:val="24"/>
          <w:lang w:val="en-ZA"/>
        </w:rPr>
        <w:t xml:space="preserve">  </w:t>
      </w:r>
    </w:p>
    <w:p w14:paraId="3AFB91C9" w14:textId="77777777" w:rsidR="0001388F" w:rsidRPr="00994D55" w:rsidRDefault="0001388F" w:rsidP="007E04B9">
      <w:pPr>
        <w:spacing w:after="0" w:line="360" w:lineRule="auto"/>
        <w:jc w:val="both"/>
        <w:rPr>
          <w:rFonts w:ascii="Arial" w:eastAsia="Calibri" w:hAnsi="Arial" w:cs="Arial"/>
          <w:sz w:val="24"/>
          <w:szCs w:val="24"/>
          <w:lang w:val="en-ZA"/>
        </w:rPr>
      </w:pPr>
    </w:p>
    <w:p w14:paraId="452B2FAC" w14:textId="6B52D2DA" w:rsidR="002643AA" w:rsidRDefault="00C9399C" w:rsidP="007E04B9">
      <w:pPr>
        <w:spacing w:after="0" w:line="360" w:lineRule="auto"/>
        <w:jc w:val="both"/>
        <w:rPr>
          <w:rFonts w:ascii="Arial" w:eastAsia="Calibri" w:hAnsi="Arial" w:cs="Arial"/>
          <w:sz w:val="24"/>
          <w:szCs w:val="24"/>
          <w:lang w:val="en-ZA"/>
        </w:rPr>
      </w:pPr>
      <w:r w:rsidRPr="00994D55">
        <w:rPr>
          <w:rFonts w:ascii="Arial" w:eastAsia="Calibri" w:hAnsi="Arial" w:cs="Arial"/>
          <w:sz w:val="24"/>
          <w:szCs w:val="24"/>
          <w:lang w:val="en-ZA"/>
        </w:rPr>
        <w:t>[11]</w:t>
      </w:r>
      <w:r w:rsidRPr="00994D55">
        <w:rPr>
          <w:rFonts w:ascii="Arial" w:eastAsia="Calibri" w:hAnsi="Arial" w:cs="Arial"/>
          <w:sz w:val="24"/>
          <w:szCs w:val="24"/>
          <w:lang w:val="en-ZA"/>
        </w:rPr>
        <w:tab/>
      </w:r>
      <w:r w:rsidR="00E4246F" w:rsidRPr="00994D55">
        <w:rPr>
          <w:rFonts w:ascii="Arial" w:eastAsia="Calibri" w:hAnsi="Arial" w:cs="Arial"/>
          <w:sz w:val="24"/>
          <w:szCs w:val="24"/>
          <w:lang w:val="en-ZA"/>
        </w:rPr>
        <w:t>It is common cause, or at least not in dispute, that</w:t>
      </w:r>
      <w:r w:rsidRPr="00994D55">
        <w:rPr>
          <w:rFonts w:ascii="Arial" w:eastAsia="Calibri" w:hAnsi="Arial" w:cs="Arial"/>
          <w:sz w:val="24"/>
          <w:szCs w:val="24"/>
          <w:lang w:val="en-ZA"/>
        </w:rPr>
        <w:t xml:space="preserve"> </w:t>
      </w:r>
      <w:r w:rsidR="00E4246F" w:rsidRPr="00994D55">
        <w:rPr>
          <w:rFonts w:ascii="Arial" w:eastAsia="Calibri" w:hAnsi="Arial" w:cs="Arial"/>
          <w:sz w:val="24"/>
          <w:szCs w:val="24"/>
          <w:lang w:val="en-ZA"/>
        </w:rPr>
        <w:t>when informing the applicants about</w:t>
      </w:r>
      <w:r w:rsidRPr="00994D55">
        <w:rPr>
          <w:rFonts w:ascii="Arial" w:eastAsia="Calibri" w:hAnsi="Arial" w:cs="Arial"/>
          <w:sz w:val="24"/>
          <w:szCs w:val="24"/>
          <w:lang w:val="en-ZA"/>
        </w:rPr>
        <w:t xml:space="preserve"> the pending investigation, Mr </w:t>
      </w:r>
      <w:proofErr w:type="spellStart"/>
      <w:r w:rsidRPr="00994D55">
        <w:rPr>
          <w:rFonts w:ascii="Arial" w:eastAsia="Calibri" w:hAnsi="Arial" w:cs="Arial"/>
          <w:sz w:val="24"/>
          <w:szCs w:val="24"/>
          <w:lang w:val="en-ZA"/>
        </w:rPr>
        <w:t>Tubane</w:t>
      </w:r>
      <w:proofErr w:type="spellEnd"/>
      <w:r w:rsidRPr="00994D55">
        <w:rPr>
          <w:rFonts w:ascii="Arial" w:eastAsia="Calibri" w:hAnsi="Arial" w:cs="Arial"/>
          <w:sz w:val="24"/>
          <w:szCs w:val="24"/>
          <w:lang w:val="en-ZA"/>
        </w:rPr>
        <w:t xml:space="preserve"> expressly stated in a letter dated 29 August </w:t>
      </w:r>
      <w:proofErr w:type="gramStart"/>
      <w:r w:rsidRPr="00994D55">
        <w:rPr>
          <w:rFonts w:ascii="Arial" w:eastAsia="Calibri" w:hAnsi="Arial" w:cs="Arial"/>
          <w:sz w:val="24"/>
          <w:szCs w:val="24"/>
          <w:lang w:val="en-ZA"/>
        </w:rPr>
        <w:t>2019, that</w:t>
      </w:r>
      <w:proofErr w:type="gramEnd"/>
      <w:r w:rsidRPr="00994D55">
        <w:rPr>
          <w:rFonts w:ascii="Arial" w:eastAsia="Calibri" w:hAnsi="Arial" w:cs="Arial"/>
          <w:sz w:val="24"/>
          <w:szCs w:val="24"/>
          <w:lang w:val="en-ZA"/>
        </w:rPr>
        <w:t xml:space="preserve"> </w:t>
      </w:r>
      <w:r w:rsidR="00E4246F" w:rsidRPr="00994D55">
        <w:rPr>
          <w:rFonts w:ascii="Arial" w:eastAsia="Calibri" w:hAnsi="Arial" w:cs="Arial"/>
          <w:sz w:val="24"/>
          <w:szCs w:val="24"/>
          <w:lang w:val="en-ZA"/>
        </w:rPr>
        <w:t xml:space="preserve">the investigators would, as part of their investigation, </w:t>
      </w:r>
      <w:proofErr w:type="spellStart"/>
      <w:r w:rsidRPr="00994D55">
        <w:rPr>
          <w:rFonts w:ascii="Arial" w:eastAsia="Calibri" w:hAnsi="Arial" w:cs="Arial"/>
          <w:sz w:val="24"/>
          <w:szCs w:val="24"/>
          <w:lang w:val="en-ZA"/>
        </w:rPr>
        <w:t>liase</w:t>
      </w:r>
      <w:proofErr w:type="spellEnd"/>
      <w:r w:rsidRPr="00994D55">
        <w:rPr>
          <w:rFonts w:ascii="Arial" w:eastAsia="Calibri" w:hAnsi="Arial" w:cs="Arial"/>
          <w:sz w:val="24"/>
          <w:szCs w:val="24"/>
          <w:lang w:val="en-ZA"/>
        </w:rPr>
        <w:t xml:space="preserve"> both verbally and in writing</w:t>
      </w:r>
      <w:r w:rsidR="00973B8E" w:rsidRPr="00994D55">
        <w:rPr>
          <w:rFonts w:ascii="Arial" w:eastAsia="Calibri" w:hAnsi="Arial" w:cs="Arial"/>
          <w:sz w:val="24"/>
          <w:szCs w:val="24"/>
          <w:lang w:val="en-ZA"/>
        </w:rPr>
        <w:t>,</w:t>
      </w:r>
      <w:r w:rsidRPr="00994D55">
        <w:rPr>
          <w:rFonts w:ascii="Arial" w:eastAsia="Calibri" w:hAnsi="Arial" w:cs="Arial"/>
          <w:sz w:val="24"/>
          <w:szCs w:val="24"/>
          <w:lang w:val="en-ZA"/>
        </w:rPr>
        <w:t xml:space="preserve"> with the </w:t>
      </w:r>
      <w:r w:rsidR="00E4246F" w:rsidRPr="00994D55">
        <w:rPr>
          <w:rFonts w:ascii="Arial" w:eastAsia="Calibri" w:hAnsi="Arial" w:cs="Arial"/>
          <w:sz w:val="24"/>
          <w:szCs w:val="24"/>
          <w:lang w:val="en-ZA"/>
        </w:rPr>
        <w:t xml:space="preserve">applicants. That did </w:t>
      </w:r>
      <w:r w:rsidR="00973B8E" w:rsidRPr="00994D55">
        <w:rPr>
          <w:rFonts w:ascii="Arial" w:eastAsia="Calibri" w:hAnsi="Arial" w:cs="Arial"/>
          <w:sz w:val="24"/>
          <w:szCs w:val="24"/>
          <w:lang w:val="en-ZA"/>
        </w:rPr>
        <w:t xml:space="preserve">not happen. The applicants </w:t>
      </w:r>
      <w:r w:rsidR="00E4246F" w:rsidRPr="00994D55">
        <w:rPr>
          <w:rFonts w:ascii="Arial" w:eastAsia="Calibri" w:hAnsi="Arial" w:cs="Arial"/>
          <w:sz w:val="24"/>
          <w:szCs w:val="24"/>
          <w:lang w:val="en-ZA"/>
        </w:rPr>
        <w:t>received correspondence from the MEC and his Senior Manager</w:t>
      </w:r>
      <w:r w:rsidR="00973B8E" w:rsidRPr="00994D55">
        <w:rPr>
          <w:rFonts w:ascii="Arial" w:eastAsia="Calibri" w:hAnsi="Arial" w:cs="Arial"/>
          <w:sz w:val="24"/>
          <w:szCs w:val="24"/>
          <w:lang w:val="en-ZA"/>
        </w:rPr>
        <w:t>,</w:t>
      </w:r>
      <w:r w:rsidR="00E4246F" w:rsidRPr="00994D55">
        <w:rPr>
          <w:rFonts w:ascii="Arial" w:eastAsia="Calibri" w:hAnsi="Arial" w:cs="Arial"/>
          <w:sz w:val="24"/>
          <w:szCs w:val="24"/>
          <w:lang w:val="en-ZA"/>
        </w:rPr>
        <w:t xml:space="preserve"> Mr S Govender</w:t>
      </w:r>
      <w:r w:rsidR="00973B8E" w:rsidRPr="00994D55">
        <w:rPr>
          <w:rFonts w:ascii="Arial" w:eastAsia="Calibri" w:hAnsi="Arial" w:cs="Arial"/>
          <w:sz w:val="24"/>
          <w:szCs w:val="24"/>
          <w:lang w:val="en-ZA"/>
        </w:rPr>
        <w:t>,</w:t>
      </w:r>
      <w:r w:rsidR="00E4246F" w:rsidRPr="00994D55">
        <w:rPr>
          <w:rFonts w:ascii="Arial" w:eastAsia="Calibri" w:hAnsi="Arial" w:cs="Arial"/>
          <w:sz w:val="24"/>
          <w:szCs w:val="24"/>
          <w:lang w:val="en-ZA"/>
        </w:rPr>
        <w:t xml:space="preserve"> </w:t>
      </w:r>
      <w:r w:rsidR="00973B8E" w:rsidRPr="00994D55">
        <w:rPr>
          <w:rFonts w:ascii="Arial" w:eastAsia="Calibri" w:hAnsi="Arial" w:cs="Arial"/>
          <w:sz w:val="24"/>
          <w:szCs w:val="24"/>
          <w:lang w:val="en-ZA"/>
        </w:rPr>
        <w:t>only after</w:t>
      </w:r>
      <w:r w:rsidR="00E4246F" w:rsidRPr="00994D55">
        <w:rPr>
          <w:rFonts w:ascii="Arial" w:eastAsia="Calibri" w:hAnsi="Arial" w:cs="Arial"/>
          <w:sz w:val="24"/>
          <w:szCs w:val="24"/>
          <w:lang w:val="en-ZA"/>
        </w:rPr>
        <w:t xml:space="preserve"> the investigation had been comp</w:t>
      </w:r>
      <w:r w:rsidR="002643AA">
        <w:rPr>
          <w:rFonts w:ascii="Arial" w:eastAsia="Calibri" w:hAnsi="Arial" w:cs="Arial"/>
          <w:sz w:val="24"/>
          <w:szCs w:val="24"/>
          <w:lang w:val="en-ZA"/>
        </w:rPr>
        <w:t>leted and the report finalized.</w:t>
      </w:r>
      <w:r w:rsidR="00E4246F" w:rsidRPr="00994D55">
        <w:rPr>
          <w:rFonts w:ascii="Arial" w:eastAsia="Calibri" w:hAnsi="Arial" w:cs="Arial"/>
          <w:sz w:val="24"/>
          <w:szCs w:val="24"/>
          <w:lang w:val="en-ZA"/>
        </w:rPr>
        <w:t xml:space="preserve"> In fact, it is not in dispute that the applicants w</w:t>
      </w:r>
      <w:r w:rsidR="002643AA">
        <w:rPr>
          <w:rFonts w:ascii="Arial" w:eastAsia="Calibri" w:hAnsi="Arial" w:cs="Arial"/>
          <w:sz w:val="24"/>
          <w:szCs w:val="24"/>
          <w:lang w:val="en-ZA"/>
        </w:rPr>
        <w:t>ere denied a right to be heard.</w:t>
      </w:r>
      <w:r w:rsidR="00E4246F" w:rsidRPr="00994D55">
        <w:rPr>
          <w:rFonts w:ascii="Arial" w:eastAsia="Calibri" w:hAnsi="Arial" w:cs="Arial"/>
          <w:sz w:val="24"/>
          <w:szCs w:val="24"/>
          <w:lang w:val="en-ZA"/>
        </w:rPr>
        <w:t xml:space="preserve"> In </w:t>
      </w:r>
      <w:r w:rsidR="00050940">
        <w:rPr>
          <w:rFonts w:ascii="Arial" w:eastAsia="Calibri" w:hAnsi="Arial" w:cs="Arial"/>
          <w:sz w:val="24"/>
          <w:szCs w:val="24"/>
          <w:lang w:val="en-ZA"/>
        </w:rPr>
        <w:t xml:space="preserve">his </w:t>
      </w:r>
      <w:r w:rsidR="00973B8E" w:rsidRPr="00994D55">
        <w:rPr>
          <w:rFonts w:ascii="Arial" w:eastAsia="Calibri" w:hAnsi="Arial" w:cs="Arial"/>
          <w:sz w:val="24"/>
          <w:szCs w:val="24"/>
          <w:lang w:val="en-ZA"/>
        </w:rPr>
        <w:t>answering affidavit</w:t>
      </w:r>
      <w:r w:rsidR="00E4246F" w:rsidRPr="00994D55">
        <w:rPr>
          <w:rFonts w:ascii="Arial" w:eastAsia="Calibri" w:hAnsi="Arial" w:cs="Arial"/>
          <w:sz w:val="24"/>
          <w:szCs w:val="24"/>
          <w:lang w:val="en-ZA"/>
        </w:rPr>
        <w:t xml:space="preserve"> Mr </w:t>
      </w:r>
      <w:proofErr w:type="spellStart"/>
      <w:r w:rsidR="00E4246F" w:rsidRPr="00994D55">
        <w:rPr>
          <w:rFonts w:ascii="Arial" w:eastAsia="Calibri" w:hAnsi="Arial" w:cs="Arial"/>
          <w:sz w:val="24"/>
          <w:szCs w:val="24"/>
          <w:lang w:val="en-ZA"/>
        </w:rPr>
        <w:t>Tubane</w:t>
      </w:r>
      <w:proofErr w:type="spellEnd"/>
      <w:r w:rsidR="00E4246F" w:rsidRPr="00994D55">
        <w:rPr>
          <w:rFonts w:ascii="Arial" w:eastAsia="Calibri" w:hAnsi="Arial" w:cs="Arial"/>
          <w:sz w:val="24"/>
          <w:szCs w:val="24"/>
          <w:lang w:val="en-ZA"/>
        </w:rPr>
        <w:t xml:space="preserve"> stated: </w:t>
      </w:r>
    </w:p>
    <w:p w14:paraId="1F6BD6B8" w14:textId="60CC1BD5" w:rsidR="002643AA" w:rsidRPr="002643AA" w:rsidRDefault="002643AA" w:rsidP="007E04B9">
      <w:pPr>
        <w:spacing w:after="0" w:line="360" w:lineRule="auto"/>
        <w:jc w:val="both"/>
        <w:rPr>
          <w:rFonts w:ascii="Arial" w:eastAsia="Calibri" w:hAnsi="Arial" w:cs="Arial"/>
          <w:szCs w:val="24"/>
          <w:lang w:val="en-ZA"/>
        </w:rPr>
      </w:pPr>
      <w:r w:rsidRPr="002643AA">
        <w:rPr>
          <w:rFonts w:ascii="Arial" w:eastAsia="Calibri" w:hAnsi="Arial" w:cs="Arial"/>
          <w:szCs w:val="24"/>
          <w:lang w:val="en-ZA"/>
        </w:rPr>
        <w:t>‘</w:t>
      </w:r>
      <w:r w:rsidR="00E4246F" w:rsidRPr="002643AA">
        <w:rPr>
          <w:rFonts w:ascii="Arial" w:eastAsia="Calibri" w:hAnsi="Arial" w:cs="Arial"/>
          <w:szCs w:val="24"/>
          <w:lang w:val="en-ZA"/>
        </w:rPr>
        <w:t xml:space="preserve">It was argued by applicants that the named persons were not accorded the right of </w:t>
      </w:r>
      <w:proofErr w:type="spellStart"/>
      <w:r w:rsidR="00E4246F" w:rsidRPr="002643AA">
        <w:rPr>
          <w:rFonts w:ascii="Arial" w:eastAsia="Calibri" w:hAnsi="Arial" w:cs="Arial"/>
          <w:i/>
          <w:szCs w:val="24"/>
          <w:lang w:val="en-ZA"/>
        </w:rPr>
        <w:t>audi</w:t>
      </w:r>
      <w:proofErr w:type="spellEnd"/>
      <w:r w:rsidR="00E4246F" w:rsidRPr="002643AA">
        <w:rPr>
          <w:rFonts w:ascii="Arial" w:eastAsia="Calibri" w:hAnsi="Arial" w:cs="Arial"/>
          <w:i/>
          <w:szCs w:val="24"/>
          <w:lang w:val="en-ZA"/>
        </w:rPr>
        <w:t xml:space="preserve"> </w:t>
      </w:r>
      <w:proofErr w:type="spellStart"/>
      <w:r w:rsidR="00E4246F" w:rsidRPr="002643AA">
        <w:rPr>
          <w:rFonts w:ascii="Arial" w:eastAsia="Calibri" w:hAnsi="Arial" w:cs="Arial"/>
          <w:i/>
          <w:szCs w:val="24"/>
          <w:lang w:val="en-ZA"/>
        </w:rPr>
        <w:t>alt</w:t>
      </w:r>
      <w:r w:rsidR="00973B8E" w:rsidRPr="002643AA">
        <w:rPr>
          <w:rFonts w:ascii="Arial" w:eastAsia="Calibri" w:hAnsi="Arial" w:cs="Arial"/>
          <w:i/>
          <w:szCs w:val="24"/>
          <w:lang w:val="en-ZA"/>
        </w:rPr>
        <w:t>eram</w:t>
      </w:r>
      <w:proofErr w:type="spellEnd"/>
      <w:r w:rsidR="00973B8E" w:rsidRPr="002643AA">
        <w:rPr>
          <w:rFonts w:ascii="Arial" w:eastAsia="Calibri" w:hAnsi="Arial" w:cs="Arial"/>
          <w:i/>
          <w:szCs w:val="24"/>
          <w:lang w:val="en-ZA"/>
        </w:rPr>
        <w:t xml:space="preserve"> </w:t>
      </w:r>
      <w:proofErr w:type="spellStart"/>
      <w:r w:rsidR="00973B8E" w:rsidRPr="002643AA">
        <w:rPr>
          <w:rFonts w:ascii="Arial" w:eastAsia="Calibri" w:hAnsi="Arial" w:cs="Arial"/>
          <w:i/>
          <w:szCs w:val="24"/>
          <w:lang w:val="en-ZA"/>
        </w:rPr>
        <w:t>partem</w:t>
      </w:r>
      <w:proofErr w:type="spellEnd"/>
      <w:r>
        <w:rPr>
          <w:rFonts w:ascii="Arial" w:eastAsia="Calibri" w:hAnsi="Arial" w:cs="Arial"/>
          <w:szCs w:val="24"/>
          <w:lang w:val="en-ZA"/>
        </w:rPr>
        <w:t>.</w:t>
      </w:r>
      <w:r w:rsidR="00973B8E" w:rsidRPr="002643AA">
        <w:rPr>
          <w:rFonts w:ascii="Arial" w:eastAsia="Calibri" w:hAnsi="Arial" w:cs="Arial"/>
          <w:szCs w:val="24"/>
          <w:lang w:val="en-ZA"/>
        </w:rPr>
        <w:t xml:space="preserve"> The MEC responded</w:t>
      </w:r>
      <w:r w:rsidR="00E4246F" w:rsidRPr="002643AA">
        <w:rPr>
          <w:rFonts w:ascii="Arial" w:eastAsia="Calibri" w:hAnsi="Arial" w:cs="Arial"/>
          <w:szCs w:val="24"/>
          <w:lang w:val="en-ZA"/>
        </w:rPr>
        <w:t xml:space="preserve"> to this issue by pointing out that the report merely contained recommendations and that full rights of </w:t>
      </w:r>
      <w:proofErr w:type="spellStart"/>
      <w:r w:rsidR="00E4246F" w:rsidRPr="002643AA">
        <w:rPr>
          <w:rFonts w:ascii="Arial" w:eastAsia="Calibri" w:hAnsi="Arial" w:cs="Arial"/>
          <w:i/>
          <w:szCs w:val="24"/>
          <w:lang w:val="en-ZA"/>
        </w:rPr>
        <w:t>audi</w:t>
      </w:r>
      <w:proofErr w:type="spellEnd"/>
      <w:r w:rsidR="00E4246F" w:rsidRPr="002643AA">
        <w:rPr>
          <w:rFonts w:ascii="Arial" w:eastAsia="Calibri" w:hAnsi="Arial" w:cs="Arial"/>
          <w:i/>
          <w:szCs w:val="24"/>
          <w:lang w:val="en-ZA"/>
        </w:rPr>
        <w:t xml:space="preserve"> </w:t>
      </w:r>
      <w:proofErr w:type="spellStart"/>
      <w:r w:rsidR="00E4246F" w:rsidRPr="002643AA">
        <w:rPr>
          <w:rFonts w:ascii="Arial" w:eastAsia="Calibri" w:hAnsi="Arial" w:cs="Arial"/>
          <w:i/>
          <w:szCs w:val="24"/>
          <w:lang w:val="en-ZA"/>
        </w:rPr>
        <w:t>alteram</w:t>
      </w:r>
      <w:proofErr w:type="spellEnd"/>
      <w:r w:rsidR="00E4246F" w:rsidRPr="002643AA">
        <w:rPr>
          <w:rFonts w:ascii="Arial" w:eastAsia="Calibri" w:hAnsi="Arial" w:cs="Arial"/>
          <w:i/>
          <w:szCs w:val="24"/>
          <w:lang w:val="en-ZA"/>
        </w:rPr>
        <w:t xml:space="preserve"> </w:t>
      </w:r>
      <w:proofErr w:type="spellStart"/>
      <w:r w:rsidR="00E4246F" w:rsidRPr="002643AA">
        <w:rPr>
          <w:rFonts w:ascii="Arial" w:eastAsia="Calibri" w:hAnsi="Arial" w:cs="Arial"/>
          <w:i/>
          <w:szCs w:val="24"/>
          <w:lang w:val="en-ZA"/>
        </w:rPr>
        <w:t>partem</w:t>
      </w:r>
      <w:proofErr w:type="spellEnd"/>
      <w:r w:rsidR="00E4246F" w:rsidRPr="002643AA">
        <w:rPr>
          <w:rFonts w:ascii="Arial" w:eastAsia="Calibri" w:hAnsi="Arial" w:cs="Arial"/>
          <w:szCs w:val="24"/>
          <w:lang w:val="en-ZA"/>
        </w:rPr>
        <w:t xml:space="preserve"> and the other principles of natural justice would be accorded to the affected persons in their disciplinary hearing.</w:t>
      </w:r>
      <w:r w:rsidRPr="002643AA">
        <w:rPr>
          <w:rFonts w:ascii="Arial" w:eastAsia="Calibri" w:hAnsi="Arial" w:cs="Arial"/>
          <w:szCs w:val="24"/>
          <w:lang w:val="en-ZA"/>
        </w:rPr>
        <w:t>’</w:t>
      </w:r>
      <w:r w:rsidR="00E4246F" w:rsidRPr="002643AA">
        <w:rPr>
          <w:rStyle w:val="FootnoteReference"/>
          <w:rFonts w:ascii="Arial" w:eastAsia="Calibri" w:hAnsi="Arial" w:cs="Arial"/>
          <w:szCs w:val="24"/>
          <w:lang w:val="en-ZA"/>
        </w:rPr>
        <w:footnoteReference w:id="14"/>
      </w:r>
      <w:r w:rsidR="00E4246F" w:rsidRPr="002643AA">
        <w:rPr>
          <w:rFonts w:ascii="Arial" w:eastAsia="Calibri" w:hAnsi="Arial" w:cs="Arial"/>
          <w:szCs w:val="24"/>
          <w:lang w:val="en-ZA"/>
        </w:rPr>
        <w:t xml:space="preserve">  </w:t>
      </w:r>
    </w:p>
    <w:p w14:paraId="60148F4E" w14:textId="6F5B5F81" w:rsidR="00C9399C" w:rsidRPr="00994D55" w:rsidRDefault="00E4246F" w:rsidP="007E04B9">
      <w:pPr>
        <w:spacing w:after="0" w:line="360" w:lineRule="auto"/>
        <w:jc w:val="both"/>
        <w:rPr>
          <w:rFonts w:ascii="Arial" w:eastAsia="Calibri" w:hAnsi="Arial" w:cs="Arial"/>
          <w:sz w:val="24"/>
          <w:szCs w:val="24"/>
          <w:lang w:val="en-ZA"/>
        </w:rPr>
      </w:pPr>
      <w:r w:rsidRPr="00994D55">
        <w:rPr>
          <w:rFonts w:ascii="Arial" w:eastAsia="Calibri" w:hAnsi="Arial" w:cs="Arial"/>
          <w:sz w:val="24"/>
          <w:szCs w:val="24"/>
          <w:lang w:val="en-ZA"/>
        </w:rPr>
        <w:t xml:space="preserve">It is my view that the investigators (second respondent) were under a duty to act fairly towards the applicants by affording them the opportunity to be heard and that failure to do so amounted to procedural unfairness necessitating the grant of the relief sought.  </w:t>
      </w:r>
    </w:p>
    <w:p w14:paraId="0FCA8186" w14:textId="77777777" w:rsidR="00E4246F" w:rsidRPr="00994D55" w:rsidRDefault="00E4246F" w:rsidP="007E04B9">
      <w:pPr>
        <w:spacing w:after="0" w:line="360" w:lineRule="auto"/>
        <w:jc w:val="both"/>
        <w:rPr>
          <w:rFonts w:ascii="Arial" w:eastAsia="Calibri" w:hAnsi="Arial" w:cs="Arial"/>
          <w:sz w:val="24"/>
          <w:szCs w:val="24"/>
          <w:lang w:val="en-ZA"/>
        </w:rPr>
      </w:pPr>
    </w:p>
    <w:p w14:paraId="66D7B184" w14:textId="07933CFC" w:rsidR="00E4246F" w:rsidRPr="00994D55" w:rsidRDefault="0001388F" w:rsidP="007E04B9">
      <w:pPr>
        <w:spacing w:after="0" w:line="360" w:lineRule="auto"/>
        <w:jc w:val="both"/>
        <w:rPr>
          <w:rFonts w:ascii="Arial" w:eastAsia="Calibri" w:hAnsi="Arial" w:cs="Arial"/>
          <w:sz w:val="24"/>
          <w:szCs w:val="24"/>
          <w:lang w:val="en-ZA"/>
        </w:rPr>
      </w:pPr>
      <w:r w:rsidRPr="00994D55">
        <w:rPr>
          <w:rFonts w:ascii="Arial" w:eastAsia="Calibri" w:hAnsi="Arial" w:cs="Arial"/>
          <w:sz w:val="24"/>
          <w:szCs w:val="24"/>
          <w:lang w:val="en-ZA"/>
        </w:rPr>
        <w:t>[12]</w:t>
      </w:r>
      <w:r w:rsidRPr="00994D55">
        <w:rPr>
          <w:rFonts w:ascii="Arial" w:eastAsia="Calibri" w:hAnsi="Arial" w:cs="Arial"/>
          <w:sz w:val="24"/>
          <w:szCs w:val="24"/>
          <w:lang w:val="en-ZA"/>
        </w:rPr>
        <w:tab/>
      </w:r>
      <w:r w:rsidR="00E4246F" w:rsidRPr="00994D55">
        <w:rPr>
          <w:rFonts w:ascii="Arial" w:eastAsia="Calibri" w:hAnsi="Arial" w:cs="Arial"/>
          <w:sz w:val="24"/>
          <w:szCs w:val="24"/>
          <w:lang w:val="en-ZA"/>
        </w:rPr>
        <w:t xml:space="preserve">In light of the view I take, I do not consider it necessary to deal with </w:t>
      </w:r>
      <w:r w:rsidR="002643AA">
        <w:rPr>
          <w:rFonts w:ascii="Arial" w:eastAsia="Calibri" w:hAnsi="Arial" w:cs="Arial"/>
          <w:sz w:val="24"/>
          <w:szCs w:val="24"/>
          <w:lang w:val="en-ZA"/>
        </w:rPr>
        <w:t xml:space="preserve">the </w:t>
      </w:r>
      <w:r w:rsidR="00787808">
        <w:rPr>
          <w:rFonts w:ascii="Arial" w:eastAsia="Calibri" w:hAnsi="Arial" w:cs="Arial"/>
          <w:sz w:val="24"/>
          <w:szCs w:val="24"/>
          <w:lang w:val="en-ZA"/>
        </w:rPr>
        <w:t>third ground</w:t>
      </w:r>
      <w:r w:rsidR="00E4246F" w:rsidRPr="00994D55">
        <w:rPr>
          <w:rFonts w:ascii="Arial" w:eastAsia="Calibri" w:hAnsi="Arial" w:cs="Arial"/>
          <w:sz w:val="24"/>
          <w:szCs w:val="24"/>
          <w:lang w:val="en-ZA"/>
        </w:rPr>
        <w:t xml:space="preserve"> of review</w:t>
      </w:r>
      <w:r w:rsidR="00787808">
        <w:rPr>
          <w:rFonts w:ascii="Arial" w:eastAsia="Calibri" w:hAnsi="Arial" w:cs="Arial"/>
          <w:sz w:val="24"/>
          <w:szCs w:val="24"/>
          <w:lang w:val="en-ZA"/>
        </w:rPr>
        <w:t xml:space="preserve">, </w:t>
      </w:r>
      <w:proofErr w:type="spellStart"/>
      <w:r w:rsidR="00787808">
        <w:rPr>
          <w:rFonts w:ascii="Arial" w:eastAsia="Calibri" w:hAnsi="Arial" w:cs="Arial"/>
          <w:sz w:val="24"/>
          <w:szCs w:val="24"/>
          <w:lang w:val="en-ZA"/>
        </w:rPr>
        <w:t>viz</w:t>
      </w:r>
      <w:proofErr w:type="spellEnd"/>
      <w:r w:rsidR="00787808">
        <w:rPr>
          <w:rFonts w:ascii="Arial" w:eastAsia="Calibri" w:hAnsi="Arial" w:cs="Arial"/>
          <w:sz w:val="24"/>
          <w:szCs w:val="24"/>
          <w:lang w:val="en-ZA"/>
        </w:rPr>
        <w:t xml:space="preserve">, that the evidence before the investigators was not rationally connected to </w:t>
      </w:r>
      <w:r w:rsidR="00787808">
        <w:rPr>
          <w:rFonts w:ascii="Arial" w:eastAsia="Calibri" w:hAnsi="Arial" w:cs="Arial"/>
          <w:sz w:val="24"/>
          <w:szCs w:val="24"/>
          <w:lang w:val="en-ZA"/>
        </w:rPr>
        <w:lastRenderedPageBreak/>
        <w:t>the findings in the report</w:t>
      </w:r>
      <w:r w:rsidR="00E4246F" w:rsidRPr="00994D55">
        <w:rPr>
          <w:rFonts w:ascii="Arial" w:eastAsia="Calibri" w:hAnsi="Arial" w:cs="Arial"/>
          <w:sz w:val="24"/>
          <w:szCs w:val="24"/>
          <w:lang w:val="en-ZA"/>
        </w:rPr>
        <w:t>.  I am satisfied that</w:t>
      </w:r>
      <w:r w:rsidR="00E51C07">
        <w:rPr>
          <w:rFonts w:ascii="Arial" w:eastAsia="Calibri" w:hAnsi="Arial" w:cs="Arial"/>
          <w:sz w:val="24"/>
          <w:szCs w:val="24"/>
          <w:lang w:val="en-ZA"/>
        </w:rPr>
        <w:t xml:space="preserve"> on the first two grounds, namely, failure to comply with the KZN Commissions Act and procedural unfairness,</w:t>
      </w:r>
      <w:r w:rsidR="00B633D5">
        <w:rPr>
          <w:rFonts w:ascii="Arial" w:eastAsia="Calibri" w:hAnsi="Arial" w:cs="Arial"/>
          <w:sz w:val="24"/>
          <w:szCs w:val="24"/>
          <w:lang w:val="en-ZA"/>
        </w:rPr>
        <w:t xml:space="preserve"> individually or cumulatively considered,</w:t>
      </w:r>
      <w:r w:rsidR="00E51C07">
        <w:rPr>
          <w:rFonts w:ascii="Arial" w:eastAsia="Calibri" w:hAnsi="Arial" w:cs="Arial"/>
          <w:sz w:val="24"/>
          <w:szCs w:val="24"/>
          <w:lang w:val="en-ZA"/>
        </w:rPr>
        <w:t xml:space="preserve"> the applicants succeeded in establishing that the impugned decisions are unlawful and that they stand to be set aside.</w:t>
      </w:r>
    </w:p>
    <w:p w14:paraId="7BC20BDC" w14:textId="0FFC176D" w:rsidR="0001388F" w:rsidRDefault="0001388F" w:rsidP="007E04B9">
      <w:pPr>
        <w:spacing w:after="0" w:line="360" w:lineRule="auto"/>
        <w:jc w:val="both"/>
        <w:rPr>
          <w:rFonts w:ascii="Arial" w:eastAsia="Calibri" w:hAnsi="Arial" w:cs="Arial"/>
          <w:sz w:val="24"/>
          <w:szCs w:val="24"/>
          <w:lang w:val="en-ZA"/>
        </w:rPr>
      </w:pPr>
    </w:p>
    <w:p w14:paraId="0BD7CEFD" w14:textId="0B0C53A8" w:rsidR="00E51C07" w:rsidRDefault="00E51C07" w:rsidP="007E04B9">
      <w:pPr>
        <w:spacing w:after="0" w:line="360" w:lineRule="auto"/>
        <w:jc w:val="both"/>
        <w:rPr>
          <w:rFonts w:ascii="Arial" w:eastAsia="Calibri" w:hAnsi="Arial" w:cs="Arial"/>
          <w:b/>
          <w:sz w:val="24"/>
          <w:szCs w:val="24"/>
          <w:lang w:val="en-ZA"/>
        </w:rPr>
      </w:pPr>
    </w:p>
    <w:p w14:paraId="72F217B0" w14:textId="1C19D737" w:rsidR="00E51C07" w:rsidRDefault="00E51C07" w:rsidP="007E04B9">
      <w:pPr>
        <w:spacing w:after="0" w:line="360" w:lineRule="auto"/>
        <w:jc w:val="both"/>
        <w:rPr>
          <w:rFonts w:ascii="Arial" w:eastAsia="Calibri" w:hAnsi="Arial" w:cs="Arial"/>
          <w:sz w:val="24"/>
          <w:szCs w:val="24"/>
          <w:lang w:val="en-ZA"/>
        </w:rPr>
      </w:pPr>
      <w:r w:rsidRPr="0092459E">
        <w:rPr>
          <w:rFonts w:ascii="Arial" w:eastAsia="Calibri" w:hAnsi="Arial" w:cs="Arial"/>
          <w:sz w:val="24"/>
          <w:szCs w:val="24"/>
          <w:lang w:val="en-ZA"/>
        </w:rPr>
        <w:t>[13]</w:t>
      </w:r>
      <w:r w:rsidRPr="0092459E">
        <w:rPr>
          <w:rFonts w:ascii="Arial" w:eastAsia="Calibri" w:hAnsi="Arial" w:cs="Arial"/>
          <w:sz w:val="24"/>
          <w:szCs w:val="24"/>
          <w:lang w:val="en-ZA"/>
        </w:rPr>
        <w:tab/>
        <w:t xml:space="preserve">It was common cause at the hearing of the </w:t>
      </w:r>
      <w:r w:rsidR="0098377B">
        <w:rPr>
          <w:rFonts w:ascii="Arial" w:eastAsia="Calibri" w:hAnsi="Arial" w:cs="Arial"/>
          <w:sz w:val="24"/>
          <w:szCs w:val="24"/>
          <w:lang w:val="en-ZA"/>
        </w:rPr>
        <w:t xml:space="preserve">opposed </w:t>
      </w:r>
      <w:r w:rsidRPr="0092459E">
        <w:rPr>
          <w:rFonts w:ascii="Arial" w:eastAsia="Calibri" w:hAnsi="Arial" w:cs="Arial"/>
          <w:sz w:val="24"/>
          <w:szCs w:val="24"/>
          <w:lang w:val="en-ZA"/>
        </w:rPr>
        <w:t xml:space="preserve">application that the only party opposed </w:t>
      </w:r>
      <w:r w:rsidR="0098377B">
        <w:rPr>
          <w:rFonts w:ascii="Arial" w:eastAsia="Calibri" w:hAnsi="Arial" w:cs="Arial"/>
          <w:sz w:val="24"/>
          <w:szCs w:val="24"/>
          <w:lang w:val="en-ZA"/>
        </w:rPr>
        <w:t>to the relief sought is the first respondent.  There is therefore no justification in burdening the second respondent with costs.</w:t>
      </w:r>
    </w:p>
    <w:p w14:paraId="61E5C47B" w14:textId="101EFECA" w:rsidR="0092459E" w:rsidRDefault="0092459E" w:rsidP="007E04B9">
      <w:pPr>
        <w:spacing w:after="0" w:line="360" w:lineRule="auto"/>
        <w:jc w:val="both"/>
        <w:rPr>
          <w:rFonts w:ascii="Arial" w:eastAsia="Calibri" w:hAnsi="Arial" w:cs="Arial"/>
          <w:sz w:val="24"/>
          <w:szCs w:val="24"/>
          <w:lang w:val="en-ZA"/>
        </w:rPr>
      </w:pPr>
    </w:p>
    <w:p w14:paraId="10214DB3" w14:textId="77777777" w:rsidR="0092459E" w:rsidRPr="0092459E" w:rsidRDefault="0092459E" w:rsidP="007E04B9">
      <w:pPr>
        <w:spacing w:after="0" w:line="360" w:lineRule="auto"/>
        <w:jc w:val="both"/>
        <w:rPr>
          <w:rFonts w:ascii="Arial" w:eastAsia="Calibri" w:hAnsi="Arial" w:cs="Arial"/>
          <w:sz w:val="24"/>
          <w:szCs w:val="24"/>
          <w:lang w:val="en-ZA"/>
        </w:rPr>
      </w:pPr>
    </w:p>
    <w:p w14:paraId="5E4E013D" w14:textId="7763E443" w:rsidR="00896BD8" w:rsidRPr="00994D55" w:rsidRDefault="00E51C07" w:rsidP="007E04B9">
      <w:pPr>
        <w:spacing w:after="0" w:line="360" w:lineRule="auto"/>
        <w:jc w:val="both"/>
        <w:rPr>
          <w:rFonts w:ascii="Arial" w:eastAsia="Calibri" w:hAnsi="Arial" w:cs="Arial"/>
          <w:sz w:val="24"/>
          <w:szCs w:val="24"/>
          <w:lang w:val="en-ZA"/>
        </w:rPr>
      </w:pPr>
      <w:r w:rsidRPr="00994D55">
        <w:rPr>
          <w:rFonts w:ascii="Arial" w:eastAsia="Calibri" w:hAnsi="Arial" w:cs="Arial"/>
          <w:sz w:val="24"/>
          <w:szCs w:val="24"/>
          <w:lang w:val="en-ZA"/>
        </w:rPr>
        <w:t xml:space="preserve"> </w:t>
      </w:r>
      <w:r w:rsidR="0098377B">
        <w:rPr>
          <w:rFonts w:ascii="Arial" w:eastAsia="Calibri" w:hAnsi="Arial" w:cs="Arial"/>
          <w:sz w:val="24"/>
          <w:szCs w:val="24"/>
          <w:lang w:val="en-ZA"/>
        </w:rPr>
        <w:t>[14</w:t>
      </w:r>
      <w:r w:rsidR="00896BD8" w:rsidRPr="00994D55">
        <w:rPr>
          <w:rFonts w:ascii="Arial" w:eastAsia="Calibri" w:hAnsi="Arial" w:cs="Arial"/>
          <w:sz w:val="24"/>
          <w:szCs w:val="24"/>
          <w:lang w:val="en-ZA"/>
        </w:rPr>
        <w:t>]</w:t>
      </w:r>
      <w:r w:rsidR="00896BD8" w:rsidRPr="00994D55">
        <w:rPr>
          <w:rFonts w:ascii="Arial" w:eastAsia="Calibri" w:hAnsi="Arial" w:cs="Arial"/>
          <w:sz w:val="24"/>
          <w:szCs w:val="24"/>
          <w:lang w:val="en-ZA"/>
        </w:rPr>
        <w:tab/>
      </w:r>
      <w:r w:rsidR="0001388F" w:rsidRPr="00994D55">
        <w:rPr>
          <w:rFonts w:ascii="Arial" w:eastAsia="Calibri" w:hAnsi="Arial" w:cs="Arial"/>
          <w:sz w:val="24"/>
          <w:szCs w:val="24"/>
          <w:lang w:val="en-ZA"/>
        </w:rPr>
        <w:t>In the circumsta</w:t>
      </w:r>
      <w:r w:rsidR="002643AA">
        <w:rPr>
          <w:rFonts w:ascii="Arial" w:eastAsia="Calibri" w:hAnsi="Arial" w:cs="Arial"/>
          <w:sz w:val="24"/>
          <w:szCs w:val="24"/>
          <w:lang w:val="en-ZA"/>
        </w:rPr>
        <w:t>nces I make the following order:</w:t>
      </w:r>
    </w:p>
    <w:p w14:paraId="5A05C9B5" w14:textId="7F938FC3" w:rsidR="002643AA" w:rsidRDefault="002643AA" w:rsidP="007E04B9">
      <w:pPr>
        <w:spacing w:after="0" w:line="360" w:lineRule="auto"/>
        <w:jc w:val="both"/>
        <w:rPr>
          <w:rFonts w:ascii="Arial" w:eastAsia="Calibri" w:hAnsi="Arial" w:cs="Arial"/>
          <w:sz w:val="24"/>
          <w:szCs w:val="24"/>
          <w:lang w:val="en-ZA"/>
        </w:rPr>
      </w:pPr>
    </w:p>
    <w:p w14:paraId="5AFF25D2" w14:textId="08E81AD1" w:rsidR="00E51C07" w:rsidRPr="00E51C07" w:rsidRDefault="00E51C07" w:rsidP="007E04B9">
      <w:pPr>
        <w:spacing w:after="0" w:line="360" w:lineRule="auto"/>
        <w:jc w:val="both"/>
        <w:rPr>
          <w:rFonts w:ascii="Arial" w:eastAsia="Calibri" w:hAnsi="Arial" w:cs="Arial"/>
          <w:b/>
          <w:sz w:val="24"/>
          <w:szCs w:val="24"/>
          <w:lang w:val="en-ZA"/>
        </w:rPr>
      </w:pPr>
      <w:r w:rsidRPr="00E51C07">
        <w:rPr>
          <w:rFonts w:ascii="Arial" w:eastAsia="Calibri" w:hAnsi="Arial" w:cs="Arial"/>
          <w:b/>
          <w:sz w:val="24"/>
          <w:szCs w:val="24"/>
          <w:lang w:val="en-ZA"/>
        </w:rPr>
        <w:t xml:space="preserve">Order </w:t>
      </w:r>
    </w:p>
    <w:p w14:paraId="4B5978E6" w14:textId="77777777" w:rsidR="00E51C07" w:rsidRDefault="00E51C07" w:rsidP="007E04B9">
      <w:pPr>
        <w:spacing w:after="0" w:line="360" w:lineRule="auto"/>
        <w:jc w:val="both"/>
        <w:rPr>
          <w:rFonts w:ascii="Arial" w:eastAsia="Calibri" w:hAnsi="Arial" w:cs="Arial"/>
          <w:sz w:val="24"/>
          <w:szCs w:val="24"/>
          <w:lang w:val="en-ZA"/>
        </w:rPr>
      </w:pPr>
    </w:p>
    <w:p w14:paraId="1885CBFC" w14:textId="77777777" w:rsidR="0001388F" w:rsidRPr="00994D55" w:rsidRDefault="0001388F" w:rsidP="007E04B9">
      <w:pPr>
        <w:spacing w:after="0" w:line="360" w:lineRule="auto"/>
        <w:jc w:val="both"/>
        <w:rPr>
          <w:rFonts w:ascii="Arial" w:eastAsia="Calibri" w:hAnsi="Arial" w:cs="Arial"/>
          <w:sz w:val="24"/>
          <w:szCs w:val="24"/>
          <w:lang w:val="en-ZA"/>
        </w:rPr>
      </w:pPr>
      <w:r w:rsidRPr="00994D55">
        <w:rPr>
          <w:rFonts w:ascii="Arial" w:eastAsia="Calibri" w:hAnsi="Arial" w:cs="Arial"/>
          <w:sz w:val="24"/>
          <w:szCs w:val="24"/>
          <w:lang w:val="en-ZA"/>
        </w:rPr>
        <w:t>1. The order is granted in terms of para’s 1, 2, 3 and 4 of the notice dated 27 August 2020.</w:t>
      </w:r>
    </w:p>
    <w:p w14:paraId="5FEF2E87" w14:textId="77777777" w:rsidR="0001388F" w:rsidRPr="00994D55" w:rsidRDefault="0001388F" w:rsidP="007E04B9">
      <w:pPr>
        <w:spacing w:after="0" w:line="360" w:lineRule="auto"/>
        <w:jc w:val="both"/>
        <w:rPr>
          <w:rFonts w:ascii="Arial" w:eastAsia="Calibri" w:hAnsi="Arial" w:cs="Arial"/>
          <w:sz w:val="24"/>
          <w:szCs w:val="24"/>
          <w:lang w:val="en-ZA"/>
        </w:rPr>
      </w:pPr>
      <w:r w:rsidRPr="00994D55">
        <w:rPr>
          <w:rFonts w:ascii="Arial" w:eastAsia="Calibri" w:hAnsi="Arial" w:cs="Arial"/>
          <w:sz w:val="24"/>
          <w:szCs w:val="24"/>
          <w:lang w:val="en-ZA"/>
        </w:rPr>
        <w:t>2. The first respondent is to pay the costs of the application.</w:t>
      </w:r>
    </w:p>
    <w:p w14:paraId="75D8E2C8" w14:textId="4D14822C" w:rsidR="0001388F" w:rsidRDefault="0001388F" w:rsidP="007E04B9">
      <w:pPr>
        <w:spacing w:after="0" w:line="360" w:lineRule="auto"/>
        <w:jc w:val="both"/>
        <w:rPr>
          <w:rFonts w:ascii="Arial" w:eastAsia="Calibri" w:hAnsi="Arial" w:cs="Arial"/>
          <w:sz w:val="24"/>
          <w:szCs w:val="24"/>
          <w:lang w:val="en-ZA"/>
        </w:rPr>
      </w:pPr>
    </w:p>
    <w:p w14:paraId="26D2AF7F" w14:textId="5961B9FE" w:rsidR="009769D3" w:rsidRDefault="009769D3" w:rsidP="007E04B9">
      <w:pPr>
        <w:spacing w:after="0" w:line="360" w:lineRule="auto"/>
        <w:jc w:val="both"/>
        <w:rPr>
          <w:rFonts w:ascii="Arial" w:eastAsia="Calibri" w:hAnsi="Arial" w:cs="Arial"/>
          <w:sz w:val="24"/>
          <w:szCs w:val="24"/>
          <w:lang w:val="en-ZA"/>
        </w:rPr>
      </w:pPr>
    </w:p>
    <w:p w14:paraId="15293C6A" w14:textId="77777777" w:rsidR="009769D3" w:rsidRPr="00994D55" w:rsidRDefault="009769D3" w:rsidP="007E04B9">
      <w:pPr>
        <w:spacing w:after="0" w:line="360" w:lineRule="auto"/>
        <w:jc w:val="both"/>
        <w:rPr>
          <w:rFonts w:ascii="Arial" w:eastAsia="Calibri" w:hAnsi="Arial" w:cs="Arial"/>
          <w:sz w:val="24"/>
          <w:szCs w:val="24"/>
          <w:lang w:val="en-ZA"/>
        </w:rPr>
      </w:pPr>
    </w:p>
    <w:p w14:paraId="1C810885" w14:textId="4F124BAA" w:rsidR="0001388F" w:rsidRDefault="0001388F" w:rsidP="007E04B9">
      <w:pPr>
        <w:spacing w:after="0" w:line="360" w:lineRule="auto"/>
        <w:jc w:val="both"/>
        <w:rPr>
          <w:rFonts w:ascii="Arial" w:eastAsia="Calibri" w:hAnsi="Arial" w:cs="Arial"/>
          <w:sz w:val="24"/>
          <w:szCs w:val="24"/>
          <w:lang w:val="en-ZA"/>
        </w:rPr>
      </w:pPr>
    </w:p>
    <w:p w14:paraId="0BED8D81" w14:textId="77777777" w:rsidR="00E51C07" w:rsidRPr="00994D55" w:rsidRDefault="00E51C07" w:rsidP="007E04B9">
      <w:pPr>
        <w:spacing w:after="0" w:line="360" w:lineRule="auto"/>
        <w:jc w:val="both"/>
        <w:rPr>
          <w:rFonts w:ascii="Arial" w:eastAsia="Calibri" w:hAnsi="Arial" w:cs="Arial"/>
          <w:sz w:val="24"/>
          <w:szCs w:val="24"/>
          <w:lang w:val="en-ZA"/>
        </w:rPr>
      </w:pPr>
    </w:p>
    <w:p w14:paraId="1D30A585" w14:textId="77777777" w:rsidR="0001388F" w:rsidRPr="00994D55" w:rsidRDefault="0001388F" w:rsidP="007E04B9">
      <w:pPr>
        <w:spacing w:after="0" w:line="360" w:lineRule="auto"/>
        <w:jc w:val="both"/>
        <w:rPr>
          <w:rFonts w:ascii="Arial" w:eastAsia="Calibri" w:hAnsi="Arial" w:cs="Arial"/>
          <w:sz w:val="24"/>
          <w:szCs w:val="24"/>
          <w:lang w:val="en-ZA"/>
        </w:rPr>
      </w:pPr>
    </w:p>
    <w:p w14:paraId="6E4A9291" w14:textId="77777777" w:rsidR="0001388F" w:rsidRPr="00994D55" w:rsidRDefault="0001388F" w:rsidP="007E04B9">
      <w:pPr>
        <w:spacing w:after="0" w:line="360" w:lineRule="auto"/>
        <w:ind w:left="7200"/>
        <w:jc w:val="both"/>
        <w:rPr>
          <w:rFonts w:ascii="Arial" w:eastAsia="Calibri" w:hAnsi="Arial" w:cs="Arial"/>
          <w:sz w:val="24"/>
          <w:szCs w:val="24"/>
          <w:lang w:val="en-ZA"/>
        </w:rPr>
      </w:pPr>
      <w:r w:rsidRPr="00994D55">
        <w:rPr>
          <w:rFonts w:ascii="Arial" w:eastAsia="Calibri" w:hAnsi="Arial" w:cs="Arial"/>
          <w:sz w:val="24"/>
          <w:szCs w:val="24"/>
          <w:lang w:val="en-ZA"/>
        </w:rPr>
        <w:t>_____________</w:t>
      </w:r>
    </w:p>
    <w:p w14:paraId="3DE5A7CE" w14:textId="77777777" w:rsidR="0001388F" w:rsidRPr="00994D55" w:rsidRDefault="0001388F" w:rsidP="007E04B9">
      <w:pPr>
        <w:spacing w:after="0" w:line="360" w:lineRule="auto"/>
        <w:ind w:left="6480" w:firstLine="720"/>
        <w:jc w:val="both"/>
        <w:rPr>
          <w:rFonts w:ascii="Arial" w:eastAsia="Calibri" w:hAnsi="Arial" w:cs="Arial"/>
          <w:sz w:val="24"/>
          <w:szCs w:val="24"/>
          <w:lang w:val="en-ZA"/>
        </w:rPr>
      </w:pPr>
      <w:r w:rsidRPr="00994D55">
        <w:rPr>
          <w:rFonts w:ascii="Arial" w:eastAsia="Calibri" w:hAnsi="Arial" w:cs="Arial"/>
          <w:sz w:val="24"/>
          <w:szCs w:val="24"/>
          <w:lang w:val="en-ZA"/>
        </w:rPr>
        <w:t>Chili J</w:t>
      </w:r>
    </w:p>
    <w:p w14:paraId="2E636FAA" w14:textId="77777777" w:rsidR="00FF0891" w:rsidRPr="00994D55" w:rsidRDefault="00FF0891" w:rsidP="007E04B9">
      <w:pPr>
        <w:spacing w:after="0" w:line="360" w:lineRule="auto"/>
        <w:jc w:val="both"/>
        <w:rPr>
          <w:rFonts w:ascii="Arial" w:eastAsia="Calibri" w:hAnsi="Arial" w:cs="Arial"/>
          <w:sz w:val="24"/>
          <w:szCs w:val="24"/>
          <w:lang w:val="en-ZA"/>
        </w:rPr>
      </w:pPr>
      <w:r w:rsidRPr="00994D55">
        <w:rPr>
          <w:rFonts w:ascii="Arial" w:eastAsia="Calibri" w:hAnsi="Arial" w:cs="Arial"/>
          <w:sz w:val="24"/>
          <w:szCs w:val="24"/>
          <w:lang w:val="en-ZA"/>
        </w:rPr>
        <w:t xml:space="preserve"> </w:t>
      </w:r>
    </w:p>
    <w:p w14:paraId="37BFA0D4" w14:textId="77777777" w:rsidR="00685877" w:rsidRPr="00994D55" w:rsidRDefault="00685877" w:rsidP="007E04B9">
      <w:pPr>
        <w:spacing w:after="0" w:line="360" w:lineRule="auto"/>
        <w:ind w:left="720"/>
        <w:jc w:val="both"/>
        <w:rPr>
          <w:rFonts w:ascii="Arial" w:eastAsia="Calibri" w:hAnsi="Arial" w:cs="Arial"/>
          <w:sz w:val="24"/>
          <w:szCs w:val="24"/>
          <w:lang w:val="en-ZA"/>
        </w:rPr>
      </w:pPr>
    </w:p>
    <w:p w14:paraId="4D89B736" w14:textId="77777777" w:rsidR="00AD05E9" w:rsidRPr="00994D55" w:rsidRDefault="00AD05E9" w:rsidP="007E04B9">
      <w:pPr>
        <w:spacing w:after="0" w:line="360" w:lineRule="auto"/>
        <w:jc w:val="both"/>
        <w:rPr>
          <w:rFonts w:ascii="Arial" w:eastAsia="Calibri" w:hAnsi="Arial" w:cs="Arial"/>
          <w:sz w:val="24"/>
          <w:szCs w:val="24"/>
          <w:lang w:val="en-ZA"/>
        </w:rPr>
      </w:pPr>
    </w:p>
    <w:p w14:paraId="3746766C" w14:textId="77777777" w:rsidR="005A69DB" w:rsidRPr="00994D55" w:rsidRDefault="005A69DB" w:rsidP="007E04B9">
      <w:pPr>
        <w:spacing w:after="0" w:line="360" w:lineRule="auto"/>
        <w:jc w:val="both"/>
        <w:rPr>
          <w:rFonts w:ascii="Arial" w:eastAsia="Calibri" w:hAnsi="Arial" w:cs="Arial"/>
          <w:sz w:val="24"/>
          <w:szCs w:val="24"/>
          <w:lang w:val="en-ZA"/>
        </w:rPr>
      </w:pPr>
    </w:p>
    <w:p w14:paraId="3B121183" w14:textId="77777777" w:rsidR="0098377B" w:rsidRDefault="0098377B" w:rsidP="007E04B9">
      <w:pPr>
        <w:spacing w:after="0" w:line="360" w:lineRule="auto"/>
        <w:jc w:val="both"/>
        <w:rPr>
          <w:rFonts w:ascii="Arial" w:eastAsia="Calibri" w:hAnsi="Arial" w:cs="Arial"/>
          <w:sz w:val="24"/>
          <w:szCs w:val="24"/>
          <w:lang w:val="en-ZA"/>
        </w:rPr>
      </w:pPr>
    </w:p>
    <w:p w14:paraId="76BE0B17" w14:textId="2CA7C3DF" w:rsidR="006A1EDF" w:rsidRDefault="001E0BEA" w:rsidP="007E04B9">
      <w:pPr>
        <w:spacing w:after="0" w:line="360" w:lineRule="auto"/>
        <w:jc w:val="both"/>
        <w:rPr>
          <w:rFonts w:ascii="Arial" w:eastAsia="Calibri" w:hAnsi="Arial" w:cs="Arial"/>
          <w:sz w:val="24"/>
          <w:szCs w:val="24"/>
          <w:lang w:val="en-ZA"/>
        </w:rPr>
      </w:pPr>
      <w:r>
        <w:rPr>
          <w:rFonts w:ascii="Arial" w:eastAsia="Calibri" w:hAnsi="Arial" w:cs="Arial"/>
          <w:sz w:val="24"/>
          <w:szCs w:val="24"/>
          <w:lang w:val="en-ZA"/>
        </w:rPr>
        <w:lastRenderedPageBreak/>
        <w:t>Cases cited</w:t>
      </w:r>
    </w:p>
    <w:p w14:paraId="20966624" w14:textId="77777777" w:rsidR="001E0BEA" w:rsidRPr="00125A08" w:rsidRDefault="001E0BEA" w:rsidP="007E04B9">
      <w:pPr>
        <w:spacing w:after="0" w:line="360" w:lineRule="auto"/>
        <w:jc w:val="both"/>
        <w:rPr>
          <w:rFonts w:ascii="Arial" w:eastAsia="Calibri" w:hAnsi="Arial" w:cs="Arial"/>
          <w:sz w:val="24"/>
          <w:szCs w:val="24"/>
          <w:lang w:val="en-ZA"/>
        </w:rPr>
      </w:pPr>
    </w:p>
    <w:p w14:paraId="49A092FC" w14:textId="5EEA44BE" w:rsidR="00125A08" w:rsidRPr="00125A08" w:rsidRDefault="00125A08" w:rsidP="00CF123C">
      <w:pPr>
        <w:spacing w:after="0" w:line="360" w:lineRule="auto"/>
        <w:jc w:val="both"/>
        <w:rPr>
          <w:rFonts w:ascii="Arial" w:hAnsi="Arial" w:cs="Arial"/>
          <w:sz w:val="24"/>
          <w:szCs w:val="24"/>
          <w:lang w:val="en-GB"/>
        </w:rPr>
      </w:pPr>
      <w:r w:rsidRPr="00125A08">
        <w:rPr>
          <w:rFonts w:ascii="Arial" w:eastAsia="Calibri" w:hAnsi="Arial" w:cs="Arial"/>
          <w:sz w:val="24"/>
          <w:szCs w:val="24"/>
          <w:lang w:val="en-ZA"/>
        </w:rPr>
        <w:t xml:space="preserve">1. </w:t>
      </w:r>
      <w:r w:rsidRPr="00125A08">
        <w:rPr>
          <w:rFonts w:ascii="Arial" w:hAnsi="Arial" w:cs="Arial"/>
          <w:i/>
          <w:sz w:val="24"/>
          <w:szCs w:val="24"/>
          <w:lang w:val="en-GB"/>
        </w:rPr>
        <w:t xml:space="preserve">Administrator, Transvaal, and others v </w:t>
      </w:r>
      <w:proofErr w:type="spellStart"/>
      <w:r w:rsidRPr="00125A08">
        <w:rPr>
          <w:rFonts w:ascii="Arial" w:hAnsi="Arial" w:cs="Arial"/>
          <w:i/>
          <w:sz w:val="24"/>
          <w:szCs w:val="24"/>
          <w:lang w:val="en-GB"/>
        </w:rPr>
        <w:t>Traub</w:t>
      </w:r>
      <w:proofErr w:type="spellEnd"/>
      <w:r w:rsidRPr="00125A08">
        <w:rPr>
          <w:rFonts w:ascii="Arial" w:hAnsi="Arial" w:cs="Arial"/>
          <w:i/>
          <w:sz w:val="24"/>
          <w:szCs w:val="24"/>
          <w:lang w:val="en-GB"/>
        </w:rPr>
        <w:t xml:space="preserve"> and others</w:t>
      </w:r>
      <w:r w:rsidR="001E0BEA">
        <w:rPr>
          <w:rFonts w:ascii="Arial" w:hAnsi="Arial" w:cs="Arial"/>
          <w:sz w:val="24"/>
          <w:szCs w:val="24"/>
          <w:lang w:val="en-GB"/>
        </w:rPr>
        <w:t xml:space="preserve"> 1989 (4) SA 731: applied.</w:t>
      </w:r>
    </w:p>
    <w:p w14:paraId="041600A9" w14:textId="77777777" w:rsidR="001E0BEA" w:rsidRDefault="001E0BEA" w:rsidP="00CF123C">
      <w:pPr>
        <w:spacing w:after="0" w:line="360" w:lineRule="auto"/>
        <w:jc w:val="both"/>
        <w:rPr>
          <w:rFonts w:ascii="Arial" w:hAnsi="Arial" w:cs="Arial"/>
          <w:sz w:val="24"/>
          <w:szCs w:val="24"/>
          <w:lang w:val="en-GB"/>
        </w:rPr>
      </w:pPr>
    </w:p>
    <w:p w14:paraId="3967C86C" w14:textId="2549B658" w:rsidR="00125A08" w:rsidRDefault="001E0BEA" w:rsidP="00CF123C">
      <w:pPr>
        <w:spacing w:after="0" w:line="360" w:lineRule="auto"/>
        <w:jc w:val="both"/>
        <w:rPr>
          <w:rFonts w:ascii="Arial" w:eastAsia="Calibri" w:hAnsi="Arial" w:cs="Arial"/>
          <w:sz w:val="24"/>
          <w:szCs w:val="24"/>
          <w:lang w:val="en-ZA"/>
        </w:rPr>
      </w:pPr>
      <w:r w:rsidRPr="001E0BEA">
        <w:rPr>
          <w:rFonts w:ascii="Arial" w:hAnsi="Arial" w:cs="Arial"/>
          <w:sz w:val="24"/>
          <w:szCs w:val="24"/>
          <w:lang w:val="en-GB"/>
        </w:rPr>
        <w:t>2.</w:t>
      </w:r>
      <w:r>
        <w:rPr>
          <w:rFonts w:ascii="Arial" w:hAnsi="Arial" w:cs="Arial"/>
          <w:i/>
          <w:sz w:val="24"/>
          <w:szCs w:val="24"/>
          <w:lang w:val="en-GB"/>
        </w:rPr>
        <w:t xml:space="preserve"> </w:t>
      </w:r>
      <w:r w:rsidRPr="00125A08">
        <w:rPr>
          <w:rFonts w:ascii="Arial" w:hAnsi="Arial" w:cs="Arial"/>
          <w:i/>
          <w:sz w:val="24"/>
          <w:szCs w:val="24"/>
          <w:lang w:val="en-GB"/>
        </w:rPr>
        <w:t xml:space="preserve">Attorney-General, Eastern Cape v </w:t>
      </w:r>
      <w:proofErr w:type="spellStart"/>
      <w:r w:rsidRPr="00125A08">
        <w:rPr>
          <w:rFonts w:ascii="Arial" w:hAnsi="Arial" w:cs="Arial"/>
          <w:i/>
          <w:sz w:val="24"/>
          <w:szCs w:val="24"/>
          <w:lang w:val="en-GB"/>
        </w:rPr>
        <w:t>Blom</w:t>
      </w:r>
      <w:proofErr w:type="spellEnd"/>
      <w:r w:rsidRPr="00125A08">
        <w:rPr>
          <w:rFonts w:ascii="Arial" w:hAnsi="Arial" w:cs="Arial"/>
          <w:i/>
          <w:sz w:val="24"/>
          <w:szCs w:val="24"/>
          <w:lang w:val="en-GB"/>
        </w:rPr>
        <w:t xml:space="preserve"> and others</w:t>
      </w:r>
      <w:r>
        <w:rPr>
          <w:rFonts w:ascii="Arial" w:hAnsi="Arial" w:cs="Arial"/>
          <w:sz w:val="24"/>
          <w:szCs w:val="24"/>
          <w:lang w:val="en-GB"/>
        </w:rPr>
        <w:t xml:space="preserve"> 1988 (4) SA 645 (A): referred to.</w:t>
      </w:r>
    </w:p>
    <w:p w14:paraId="736A0966" w14:textId="77777777" w:rsidR="001E0BEA" w:rsidRPr="00125A08" w:rsidRDefault="001E0BEA" w:rsidP="00CF123C">
      <w:pPr>
        <w:spacing w:after="0" w:line="360" w:lineRule="auto"/>
        <w:jc w:val="both"/>
        <w:rPr>
          <w:rFonts w:ascii="Arial" w:eastAsia="Calibri" w:hAnsi="Arial" w:cs="Arial"/>
          <w:sz w:val="24"/>
          <w:szCs w:val="24"/>
          <w:lang w:val="en-ZA"/>
        </w:rPr>
      </w:pPr>
    </w:p>
    <w:p w14:paraId="1EB1F7DB" w14:textId="7FA57CAE" w:rsidR="00125A08" w:rsidRPr="00125A08" w:rsidRDefault="001E0BEA" w:rsidP="00CF123C">
      <w:pPr>
        <w:pStyle w:val="FootnoteText"/>
        <w:spacing w:line="360" w:lineRule="auto"/>
        <w:jc w:val="both"/>
        <w:rPr>
          <w:rFonts w:ascii="Arial" w:hAnsi="Arial" w:cs="Arial"/>
          <w:sz w:val="24"/>
          <w:szCs w:val="24"/>
          <w:lang w:val="en-GB"/>
        </w:rPr>
      </w:pPr>
      <w:r>
        <w:rPr>
          <w:rFonts w:ascii="Arial" w:eastAsia="Calibri" w:hAnsi="Arial" w:cs="Arial"/>
          <w:sz w:val="24"/>
          <w:szCs w:val="24"/>
          <w:lang w:val="en-ZA"/>
        </w:rPr>
        <w:t>3</w:t>
      </w:r>
      <w:r w:rsidR="00125A08" w:rsidRPr="00125A08">
        <w:rPr>
          <w:rFonts w:ascii="Arial" w:eastAsia="Calibri" w:hAnsi="Arial" w:cs="Arial"/>
          <w:sz w:val="24"/>
          <w:szCs w:val="24"/>
          <w:lang w:val="en-ZA"/>
        </w:rPr>
        <w:t xml:space="preserve">.  </w:t>
      </w:r>
      <w:r w:rsidR="00125A08" w:rsidRPr="00125A08">
        <w:rPr>
          <w:rFonts w:ascii="Arial" w:hAnsi="Arial" w:cs="Arial"/>
          <w:i/>
          <w:sz w:val="24"/>
          <w:szCs w:val="24"/>
          <w:lang w:val="en-GB"/>
        </w:rPr>
        <w:t xml:space="preserve">Du </w:t>
      </w:r>
      <w:proofErr w:type="spellStart"/>
      <w:r w:rsidR="00125A08" w:rsidRPr="00125A08">
        <w:rPr>
          <w:rFonts w:ascii="Arial" w:hAnsi="Arial" w:cs="Arial"/>
          <w:i/>
          <w:sz w:val="24"/>
          <w:szCs w:val="24"/>
          <w:lang w:val="en-GB"/>
        </w:rPr>
        <w:t>Preez</w:t>
      </w:r>
      <w:proofErr w:type="spellEnd"/>
      <w:r w:rsidR="00125A08" w:rsidRPr="00125A08">
        <w:rPr>
          <w:rFonts w:ascii="Arial" w:hAnsi="Arial" w:cs="Arial"/>
          <w:i/>
          <w:sz w:val="24"/>
          <w:szCs w:val="24"/>
          <w:lang w:val="en-GB"/>
        </w:rPr>
        <w:t xml:space="preserve"> and another v Truth and Reconciliation Commission</w:t>
      </w:r>
      <w:r w:rsidR="00125A08" w:rsidRPr="00125A08">
        <w:rPr>
          <w:rFonts w:ascii="Arial" w:hAnsi="Arial" w:cs="Arial"/>
          <w:sz w:val="24"/>
          <w:szCs w:val="24"/>
          <w:lang w:val="en-GB"/>
        </w:rPr>
        <w:t xml:space="preserve"> [199</w:t>
      </w:r>
      <w:r>
        <w:rPr>
          <w:rFonts w:ascii="Arial" w:hAnsi="Arial" w:cs="Arial"/>
          <w:sz w:val="24"/>
          <w:szCs w:val="24"/>
          <w:lang w:val="en-GB"/>
        </w:rPr>
        <w:t>7] ZASCA 2; [1997] JOL 1149 AD: applied.</w:t>
      </w:r>
    </w:p>
    <w:p w14:paraId="0DCC0C76" w14:textId="791FD4FC" w:rsidR="00125A08" w:rsidRPr="00125A08" w:rsidRDefault="00125A08" w:rsidP="00CF123C">
      <w:pPr>
        <w:spacing w:after="0" w:line="360" w:lineRule="auto"/>
        <w:jc w:val="both"/>
        <w:rPr>
          <w:rFonts w:ascii="Arial" w:eastAsia="Calibri" w:hAnsi="Arial" w:cs="Arial"/>
          <w:sz w:val="24"/>
          <w:szCs w:val="24"/>
          <w:lang w:val="en-ZA"/>
        </w:rPr>
      </w:pPr>
    </w:p>
    <w:p w14:paraId="321D6452" w14:textId="04AB2D0F" w:rsidR="006A1EDF" w:rsidRPr="00125A08" w:rsidRDefault="001E0BEA" w:rsidP="00CF123C">
      <w:pPr>
        <w:spacing w:after="0" w:line="360" w:lineRule="auto"/>
        <w:jc w:val="both"/>
        <w:rPr>
          <w:rFonts w:ascii="Arial" w:hAnsi="Arial" w:cs="Arial"/>
          <w:sz w:val="24"/>
          <w:szCs w:val="24"/>
          <w:lang w:val="en-GB"/>
        </w:rPr>
      </w:pPr>
      <w:r>
        <w:rPr>
          <w:rFonts w:ascii="Arial" w:eastAsia="Calibri" w:hAnsi="Arial" w:cs="Arial"/>
          <w:sz w:val="24"/>
          <w:szCs w:val="24"/>
          <w:lang w:val="en-ZA"/>
        </w:rPr>
        <w:t>4</w:t>
      </w:r>
      <w:r w:rsidR="00125A08" w:rsidRPr="00125A08">
        <w:rPr>
          <w:rFonts w:ascii="Arial" w:eastAsia="Calibri" w:hAnsi="Arial" w:cs="Arial"/>
          <w:sz w:val="24"/>
          <w:szCs w:val="24"/>
          <w:lang w:val="en-ZA"/>
        </w:rPr>
        <w:t xml:space="preserve">. </w:t>
      </w:r>
      <w:r w:rsidR="006A1EDF" w:rsidRPr="00125A08">
        <w:rPr>
          <w:rFonts w:ascii="Arial" w:hAnsi="Arial" w:cs="Arial"/>
          <w:i/>
          <w:sz w:val="24"/>
          <w:szCs w:val="24"/>
          <w:lang w:val="en-GB"/>
        </w:rPr>
        <w:t xml:space="preserve">Minister of Local Government, Housing and Traditional Affairs, KwaZulu-Natal v </w:t>
      </w:r>
      <w:proofErr w:type="spellStart"/>
      <w:r w:rsidR="006A1EDF" w:rsidRPr="00125A08">
        <w:rPr>
          <w:rFonts w:ascii="Arial" w:hAnsi="Arial" w:cs="Arial"/>
          <w:i/>
          <w:sz w:val="24"/>
          <w:szCs w:val="24"/>
          <w:lang w:val="en-GB"/>
        </w:rPr>
        <w:t>Umlambo</w:t>
      </w:r>
      <w:proofErr w:type="spellEnd"/>
      <w:r w:rsidR="006A1EDF" w:rsidRPr="00125A08">
        <w:rPr>
          <w:rFonts w:ascii="Arial" w:hAnsi="Arial" w:cs="Arial"/>
          <w:i/>
          <w:sz w:val="24"/>
          <w:szCs w:val="24"/>
          <w:lang w:val="en-GB"/>
        </w:rPr>
        <w:t xml:space="preserve"> Trading 29 CC and others</w:t>
      </w:r>
      <w:r>
        <w:rPr>
          <w:rFonts w:ascii="Arial" w:hAnsi="Arial" w:cs="Arial"/>
          <w:sz w:val="24"/>
          <w:szCs w:val="24"/>
          <w:lang w:val="en-GB"/>
        </w:rPr>
        <w:t xml:space="preserve"> 2008 (1) SA 396 (SCA): applied.</w:t>
      </w:r>
    </w:p>
    <w:p w14:paraId="0ADA8555" w14:textId="59FE5234" w:rsidR="00125A08" w:rsidRPr="00125A08" w:rsidRDefault="00125A08" w:rsidP="00CF123C">
      <w:pPr>
        <w:spacing w:after="0" w:line="360" w:lineRule="auto"/>
        <w:jc w:val="both"/>
        <w:rPr>
          <w:rFonts w:ascii="Arial" w:eastAsia="Calibri" w:hAnsi="Arial" w:cs="Arial"/>
          <w:sz w:val="24"/>
          <w:szCs w:val="24"/>
          <w:lang w:val="en-ZA"/>
        </w:rPr>
      </w:pPr>
    </w:p>
    <w:p w14:paraId="7E7D5A45" w14:textId="0C4B3FF8" w:rsidR="00125A08" w:rsidRPr="00125A08" w:rsidRDefault="001E0BEA" w:rsidP="00CF123C">
      <w:pPr>
        <w:pStyle w:val="FootnoteText"/>
        <w:spacing w:line="360" w:lineRule="auto"/>
        <w:jc w:val="both"/>
        <w:rPr>
          <w:rFonts w:ascii="Arial" w:hAnsi="Arial" w:cs="Arial"/>
          <w:sz w:val="24"/>
          <w:szCs w:val="24"/>
          <w:lang w:val="en-GB"/>
        </w:rPr>
      </w:pPr>
      <w:r>
        <w:rPr>
          <w:rFonts w:ascii="Arial" w:eastAsia="Calibri" w:hAnsi="Arial" w:cs="Arial"/>
          <w:sz w:val="24"/>
          <w:szCs w:val="24"/>
          <w:lang w:val="en-ZA"/>
        </w:rPr>
        <w:t>5</w:t>
      </w:r>
      <w:r w:rsidR="00125A08" w:rsidRPr="00125A08">
        <w:rPr>
          <w:rFonts w:ascii="Arial" w:eastAsia="Calibri" w:hAnsi="Arial" w:cs="Arial"/>
          <w:sz w:val="24"/>
          <w:szCs w:val="24"/>
          <w:lang w:val="en-ZA"/>
        </w:rPr>
        <w:t xml:space="preserve">. </w:t>
      </w:r>
      <w:r w:rsidR="00125A08" w:rsidRPr="00125A08">
        <w:rPr>
          <w:rFonts w:ascii="Arial" w:hAnsi="Arial" w:cs="Arial"/>
          <w:i/>
          <w:sz w:val="24"/>
          <w:szCs w:val="24"/>
          <w:lang w:val="en-GB"/>
        </w:rPr>
        <w:t>Secretary of the Judicial Commission of Inquiry into Allegations of State Capture, Corruption and Fraud in the Public Sector including Organs of State v Zuma</w:t>
      </w:r>
      <w:r w:rsidR="00125A08" w:rsidRPr="00125A08">
        <w:rPr>
          <w:rFonts w:ascii="Arial" w:hAnsi="Arial" w:cs="Arial"/>
          <w:sz w:val="24"/>
          <w:szCs w:val="24"/>
          <w:lang w:val="en-GB"/>
        </w:rPr>
        <w:t xml:space="preserve"> [2021] ZACC 2; 2021 (5) SA</w:t>
      </w:r>
      <w:r>
        <w:rPr>
          <w:rFonts w:ascii="Arial" w:hAnsi="Arial" w:cs="Arial"/>
          <w:sz w:val="24"/>
          <w:szCs w:val="24"/>
          <w:lang w:val="en-GB"/>
        </w:rPr>
        <w:t xml:space="preserve"> 1 (CC); 2021 (5) BCLR 542 (CC): applied.</w:t>
      </w:r>
    </w:p>
    <w:p w14:paraId="0CA486C9" w14:textId="23A62D14" w:rsidR="00125A08" w:rsidRPr="00125A08" w:rsidRDefault="00125A08" w:rsidP="00CF123C">
      <w:pPr>
        <w:spacing w:after="0" w:line="360" w:lineRule="auto"/>
        <w:jc w:val="both"/>
        <w:rPr>
          <w:rFonts w:ascii="Arial" w:eastAsia="Calibri" w:hAnsi="Arial" w:cs="Arial"/>
          <w:sz w:val="24"/>
          <w:szCs w:val="24"/>
          <w:lang w:val="en-ZA"/>
        </w:rPr>
      </w:pPr>
    </w:p>
    <w:p w14:paraId="4DF7B280" w14:textId="0185E6A4" w:rsidR="00125A08" w:rsidRPr="00125A08" w:rsidRDefault="001E0BEA" w:rsidP="00CF123C">
      <w:pPr>
        <w:pStyle w:val="FootnoteText"/>
        <w:spacing w:line="360" w:lineRule="auto"/>
        <w:jc w:val="both"/>
        <w:rPr>
          <w:rFonts w:ascii="Arial" w:hAnsi="Arial" w:cs="Arial"/>
          <w:sz w:val="24"/>
          <w:szCs w:val="24"/>
          <w:lang w:val="en-GB"/>
        </w:rPr>
      </w:pPr>
      <w:r>
        <w:rPr>
          <w:rFonts w:ascii="Arial" w:eastAsia="Calibri" w:hAnsi="Arial" w:cs="Arial"/>
          <w:sz w:val="24"/>
          <w:szCs w:val="24"/>
          <w:lang w:val="en-ZA"/>
        </w:rPr>
        <w:t>6</w:t>
      </w:r>
      <w:r w:rsidR="00125A08" w:rsidRPr="00125A08">
        <w:rPr>
          <w:rFonts w:ascii="Arial" w:eastAsia="Calibri" w:hAnsi="Arial" w:cs="Arial"/>
          <w:sz w:val="24"/>
          <w:szCs w:val="24"/>
          <w:lang w:val="en-ZA"/>
        </w:rPr>
        <w:t xml:space="preserve">. </w:t>
      </w:r>
      <w:r w:rsidR="00125A08" w:rsidRPr="00125A08">
        <w:rPr>
          <w:rFonts w:ascii="Arial" w:hAnsi="Arial" w:cs="Arial"/>
          <w:i/>
          <w:sz w:val="24"/>
          <w:szCs w:val="24"/>
          <w:lang w:val="en-GB"/>
        </w:rPr>
        <w:t xml:space="preserve">South African Roads Board v Johannesburg City Council </w:t>
      </w:r>
      <w:r>
        <w:rPr>
          <w:rFonts w:ascii="Arial" w:hAnsi="Arial" w:cs="Arial"/>
          <w:sz w:val="24"/>
          <w:szCs w:val="24"/>
          <w:lang w:val="en-GB"/>
        </w:rPr>
        <w:t>1991 (4) SA 1: applied.</w:t>
      </w:r>
      <w:r w:rsidR="00125A08" w:rsidRPr="00125A08">
        <w:rPr>
          <w:rFonts w:ascii="Arial" w:hAnsi="Arial" w:cs="Arial"/>
          <w:sz w:val="24"/>
          <w:szCs w:val="24"/>
          <w:lang w:val="en-GB"/>
        </w:rPr>
        <w:t xml:space="preserve"> </w:t>
      </w:r>
    </w:p>
    <w:p w14:paraId="285766D4" w14:textId="40004ED2" w:rsidR="00125A08" w:rsidRPr="00125A08" w:rsidRDefault="00125A08" w:rsidP="00CF123C">
      <w:pPr>
        <w:pStyle w:val="FootnoteText"/>
        <w:spacing w:line="360" w:lineRule="auto"/>
        <w:jc w:val="both"/>
        <w:rPr>
          <w:rFonts w:ascii="Arial" w:hAnsi="Arial" w:cs="Arial"/>
          <w:sz w:val="24"/>
          <w:szCs w:val="24"/>
          <w:lang w:val="en-GB"/>
        </w:rPr>
      </w:pPr>
    </w:p>
    <w:p w14:paraId="4CA6A7BA" w14:textId="0305FD1E" w:rsidR="00125A08" w:rsidRPr="00125A08" w:rsidRDefault="001E0BEA" w:rsidP="00CF123C">
      <w:pPr>
        <w:pStyle w:val="FootnoteText"/>
        <w:spacing w:line="360" w:lineRule="auto"/>
        <w:jc w:val="both"/>
        <w:rPr>
          <w:rFonts w:ascii="Arial" w:hAnsi="Arial" w:cs="Arial"/>
          <w:sz w:val="24"/>
          <w:szCs w:val="24"/>
          <w:lang w:val="en-GB"/>
        </w:rPr>
      </w:pPr>
      <w:r>
        <w:rPr>
          <w:rFonts w:ascii="Arial" w:hAnsi="Arial" w:cs="Arial"/>
          <w:sz w:val="24"/>
          <w:szCs w:val="24"/>
          <w:lang w:val="en-GB"/>
        </w:rPr>
        <w:t>7</w:t>
      </w:r>
      <w:r w:rsidR="00125A08" w:rsidRPr="00125A08">
        <w:rPr>
          <w:rFonts w:ascii="Arial" w:hAnsi="Arial" w:cs="Arial"/>
          <w:sz w:val="24"/>
          <w:szCs w:val="24"/>
          <w:lang w:val="en-GB"/>
        </w:rPr>
        <w:t xml:space="preserve">. </w:t>
      </w:r>
      <w:r w:rsidR="00125A08" w:rsidRPr="00125A08">
        <w:rPr>
          <w:rFonts w:ascii="Arial" w:hAnsi="Arial" w:cs="Arial"/>
          <w:i/>
          <w:sz w:val="24"/>
          <w:szCs w:val="24"/>
          <w:lang w:val="en-GB"/>
        </w:rPr>
        <w:t xml:space="preserve">Van </w:t>
      </w:r>
      <w:proofErr w:type="spellStart"/>
      <w:r w:rsidR="00125A08" w:rsidRPr="00125A08">
        <w:rPr>
          <w:rFonts w:ascii="Arial" w:hAnsi="Arial" w:cs="Arial"/>
          <w:i/>
          <w:sz w:val="24"/>
          <w:szCs w:val="24"/>
          <w:lang w:val="en-GB"/>
        </w:rPr>
        <w:t>Huyssteen</w:t>
      </w:r>
      <w:proofErr w:type="spellEnd"/>
      <w:r w:rsidR="00125A08" w:rsidRPr="00125A08">
        <w:rPr>
          <w:rFonts w:ascii="Arial" w:hAnsi="Arial" w:cs="Arial"/>
          <w:i/>
          <w:sz w:val="24"/>
          <w:szCs w:val="24"/>
          <w:lang w:val="en-GB"/>
        </w:rPr>
        <w:t xml:space="preserve"> and others NNO v Minister of Environmental Affairs and Tourism and others</w:t>
      </w:r>
      <w:r w:rsidR="00125A08" w:rsidRPr="00125A08">
        <w:rPr>
          <w:rFonts w:ascii="Arial" w:hAnsi="Arial" w:cs="Arial"/>
          <w:sz w:val="24"/>
          <w:szCs w:val="24"/>
          <w:lang w:val="en-GB"/>
        </w:rPr>
        <w:t xml:space="preserve"> 1996 (1) SA 283 (C)</w:t>
      </w:r>
      <w:r>
        <w:rPr>
          <w:rFonts w:ascii="Arial" w:hAnsi="Arial" w:cs="Arial"/>
          <w:sz w:val="24"/>
          <w:szCs w:val="24"/>
          <w:lang w:val="en-GB"/>
        </w:rPr>
        <w:t>: referred to</w:t>
      </w:r>
      <w:r w:rsidR="00125A08" w:rsidRPr="00125A08">
        <w:rPr>
          <w:rFonts w:ascii="Arial" w:hAnsi="Arial" w:cs="Arial"/>
          <w:sz w:val="24"/>
          <w:szCs w:val="24"/>
          <w:lang w:val="en-GB"/>
        </w:rPr>
        <w:t>.</w:t>
      </w:r>
    </w:p>
    <w:p w14:paraId="00548A78" w14:textId="33B9279E" w:rsidR="00125A08" w:rsidRPr="00125A08" w:rsidRDefault="00125A08" w:rsidP="007E04B9">
      <w:pPr>
        <w:spacing w:after="0" w:line="360" w:lineRule="auto"/>
        <w:jc w:val="both"/>
        <w:rPr>
          <w:rFonts w:ascii="Arial" w:eastAsia="Calibri" w:hAnsi="Arial" w:cs="Arial"/>
          <w:sz w:val="24"/>
          <w:szCs w:val="24"/>
          <w:lang w:val="en-ZA"/>
        </w:rPr>
      </w:pPr>
    </w:p>
    <w:p w14:paraId="0FF460F6" w14:textId="77777777" w:rsidR="00125A08" w:rsidRDefault="00125A08" w:rsidP="007E04B9">
      <w:pPr>
        <w:spacing w:after="0" w:line="360" w:lineRule="auto"/>
        <w:jc w:val="both"/>
        <w:rPr>
          <w:rFonts w:ascii="Arial" w:eastAsia="Calibri" w:hAnsi="Arial" w:cs="Arial"/>
          <w:sz w:val="24"/>
          <w:szCs w:val="24"/>
          <w:lang w:val="en-ZA"/>
        </w:rPr>
      </w:pPr>
    </w:p>
    <w:p w14:paraId="1AE14C0C" w14:textId="77777777" w:rsidR="00125A08" w:rsidRDefault="00125A08" w:rsidP="007E04B9">
      <w:pPr>
        <w:spacing w:after="0" w:line="360" w:lineRule="auto"/>
        <w:jc w:val="both"/>
        <w:rPr>
          <w:rFonts w:ascii="Arial" w:eastAsia="Calibri" w:hAnsi="Arial" w:cs="Arial"/>
          <w:sz w:val="24"/>
          <w:szCs w:val="24"/>
          <w:lang w:val="en-ZA"/>
        </w:rPr>
      </w:pPr>
    </w:p>
    <w:p w14:paraId="6131B7A1" w14:textId="3AEB938F" w:rsidR="00125A08" w:rsidRDefault="001E0BEA" w:rsidP="007E04B9">
      <w:pPr>
        <w:spacing w:after="0" w:line="360" w:lineRule="auto"/>
        <w:jc w:val="both"/>
        <w:rPr>
          <w:rFonts w:ascii="Arial" w:eastAsia="Calibri" w:hAnsi="Arial" w:cs="Arial"/>
          <w:sz w:val="24"/>
          <w:szCs w:val="24"/>
          <w:lang w:val="en-ZA"/>
        </w:rPr>
      </w:pPr>
      <w:r>
        <w:rPr>
          <w:rFonts w:ascii="Arial" w:eastAsia="Calibri" w:hAnsi="Arial" w:cs="Arial"/>
          <w:sz w:val="24"/>
          <w:szCs w:val="24"/>
          <w:lang w:val="en-ZA"/>
        </w:rPr>
        <w:t>Legislation cited</w:t>
      </w:r>
    </w:p>
    <w:p w14:paraId="0C144CB5" w14:textId="77777777" w:rsidR="00125A08" w:rsidRDefault="00125A08" w:rsidP="007E04B9">
      <w:pPr>
        <w:spacing w:after="0" w:line="360" w:lineRule="auto"/>
        <w:jc w:val="both"/>
        <w:rPr>
          <w:rFonts w:ascii="Arial" w:eastAsia="Calibri" w:hAnsi="Arial" w:cs="Arial"/>
          <w:sz w:val="24"/>
          <w:szCs w:val="24"/>
          <w:lang w:val="en-ZA"/>
        </w:rPr>
      </w:pPr>
    </w:p>
    <w:p w14:paraId="7511F1F1" w14:textId="11BE1080" w:rsidR="00125A08" w:rsidRDefault="00125A08" w:rsidP="007E04B9">
      <w:pPr>
        <w:spacing w:after="0" w:line="360" w:lineRule="auto"/>
        <w:jc w:val="both"/>
        <w:rPr>
          <w:rFonts w:ascii="Arial" w:eastAsia="Calibri" w:hAnsi="Arial" w:cs="Arial"/>
          <w:sz w:val="24"/>
          <w:szCs w:val="24"/>
          <w:lang w:val="en-ZA"/>
        </w:rPr>
      </w:pPr>
      <w:r>
        <w:rPr>
          <w:rFonts w:ascii="Arial" w:eastAsia="Calibri" w:hAnsi="Arial" w:cs="Arial"/>
          <w:sz w:val="24"/>
          <w:szCs w:val="24"/>
          <w:lang w:val="en-ZA"/>
        </w:rPr>
        <w:t>1. The</w:t>
      </w:r>
      <w:r w:rsidRPr="00994D55">
        <w:rPr>
          <w:rFonts w:ascii="Arial" w:eastAsia="Calibri" w:hAnsi="Arial" w:cs="Arial"/>
          <w:sz w:val="24"/>
          <w:szCs w:val="24"/>
          <w:lang w:val="en-ZA"/>
        </w:rPr>
        <w:t xml:space="preserve"> Local Government</w:t>
      </w:r>
      <w:r w:rsidR="00E655D8">
        <w:rPr>
          <w:rFonts w:ascii="Arial" w:eastAsia="Calibri" w:hAnsi="Arial" w:cs="Arial"/>
          <w:sz w:val="24"/>
          <w:szCs w:val="24"/>
          <w:lang w:val="en-ZA"/>
        </w:rPr>
        <w:t>:</w:t>
      </w:r>
      <w:r w:rsidRPr="00994D55">
        <w:rPr>
          <w:rFonts w:ascii="Arial" w:eastAsia="Calibri" w:hAnsi="Arial" w:cs="Arial"/>
          <w:sz w:val="24"/>
          <w:szCs w:val="24"/>
          <w:lang w:val="en-ZA"/>
        </w:rPr>
        <w:t xml:space="preserve"> Municipal Systems Act </w:t>
      </w:r>
      <w:r w:rsidR="001E0BEA">
        <w:rPr>
          <w:rFonts w:ascii="Arial" w:eastAsia="Calibri" w:hAnsi="Arial" w:cs="Arial"/>
          <w:sz w:val="24"/>
          <w:szCs w:val="24"/>
          <w:lang w:val="en-ZA"/>
        </w:rPr>
        <w:t xml:space="preserve">No. </w:t>
      </w:r>
      <w:r w:rsidRPr="00994D55">
        <w:rPr>
          <w:rFonts w:ascii="Arial" w:eastAsia="Calibri" w:hAnsi="Arial" w:cs="Arial"/>
          <w:sz w:val="24"/>
          <w:szCs w:val="24"/>
          <w:lang w:val="en-ZA"/>
        </w:rPr>
        <w:t>32 of 2000</w:t>
      </w:r>
      <w:r w:rsidR="00E655D8">
        <w:rPr>
          <w:rFonts w:ascii="Arial" w:eastAsia="Calibri" w:hAnsi="Arial" w:cs="Arial"/>
          <w:sz w:val="24"/>
          <w:szCs w:val="24"/>
          <w:lang w:val="en-ZA"/>
        </w:rPr>
        <w:t>: section 106.</w:t>
      </w:r>
    </w:p>
    <w:p w14:paraId="0127AFBF" w14:textId="43BAE1BF" w:rsidR="00125A08" w:rsidRDefault="00125A08" w:rsidP="007E04B9">
      <w:pPr>
        <w:spacing w:after="0" w:line="360" w:lineRule="auto"/>
        <w:jc w:val="both"/>
        <w:rPr>
          <w:rFonts w:ascii="Arial" w:eastAsia="Calibri" w:hAnsi="Arial" w:cs="Arial"/>
          <w:sz w:val="24"/>
          <w:szCs w:val="24"/>
          <w:lang w:val="en-ZA"/>
        </w:rPr>
      </w:pPr>
      <w:r>
        <w:rPr>
          <w:rFonts w:ascii="Arial" w:eastAsia="Calibri" w:hAnsi="Arial" w:cs="Arial"/>
          <w:sz w:val="24"/>
          <w:szCs w:val="24"/>
          <w:lang w:val="en-ZA"/>
        </w:rPr>
        <w:t xml:space="preserve">2. </w:t>
      </w:r>
      <w:r w:rsidRPr="00994D55">
        <w:rPr>
          <w:rFonts w:ascii="Arial" w:eastAsia="Calibri" w:hAnsi="Arial" w:cs="Arial"/>
          <w:sz w:val="24"/>
          <w:szCs w:val="24"/>
          <w:lang w:val="en-ZA"/>
        </w:rPr>
        <w:t xml:space="preserve">KwaZulu-Natal Commissions Act </w:t>
      </w:r>
      <w:r w:rsidR="001E0BEA">
        <w:rPr>
          <w:rFonts w:ascii="Arial" w:eastAsia="Calibri" w:hAnsi="Arial" w:cs="Arial"/>
          <w:sz w:val="24"/>
          <w:szCs w:val="24"/>
          <w:lang w:val="en-ZA"/>
        </w:rPr>
        <w:t xml:space="preserve">No. </w:t>
      </w:r>
      <w:r w:rsidRPr="00994D55">
        <w:rPr>
          <w:rFonts w:ascii="Arial" w:eastAsia="Calibri" w:hAnsi="Arial" w:cs="Arial"/>
          <w:sz w:val="24"/>
          <w:szCs w:val="24"/>
          <w:lang w:val="en-ZA"/>
        </w:rPr>
        <w:t>3 of 1999</w:t>
      </w:r>
      <w:r w:rsidR="00E655D8">
        <w:rPr>
          <w:rFonts w:ascii="Arial" w:eastAsia="Calibri" w:hAnsi="Arial" w:cs="Arial"/>
          <w:sz w:val="24"/>
          <w:szCs w:val="24"/>
          <w:lang w:val="en-ZA"/>
        </w:rPr>
        <w:t xml:space="preserve"> (as amended by KwaZulu-Natal Commissions Amendment Act 4 of 2015): sections 2(1)</w:t>
      </w:r>
      <w:r w:rsidR="00B633D5">
        <w:rPr>
          <w:rFonts w:ascii="Arial" w:eastAsia="Calibri" w:hAnsi="Arial" w:cs="Arial"/>
          <w:sz w:val="24"/>
          <w:szCs w:val="24"/>
          <w:lang w:val="en-ZA"/>
        </w:rPr>
        <w:t xml:space="preserve">, </w:t>
      </w:r>
      <w:r w:rsidR="00E655D8">
        <w:rPr>
          <w:rFonts w:ascii="Arial" w:eastAsia="Calibri" w:hAnsi="Arial" w:cs="Arial"/>
          <w:sz w:val="24"/>
          <w:szCs w:val="24"/>
          <w:lang w:val="en-ZA"/>
        </w:rPr>
        <w:t>3, 4 and 8</w:t>
      </w:r>
      <w:r w:rsidR="001E0BEA">
        <w:rPr>
          <w:rFonts w:ascii="Arial" w:eastAsia="Calibri" w:hAnsi="Arial" w:cs="Arial"/>
          <w:sz w:val="24"/>
          <w:szCs w:val="24"/>
          <w:lang w:val="en-ZA"/>
        </w:rPr>
        <w:t>.</w:t>
      </w:r>
    </w:p>
    <w:p w14:paraId="17B5AFB3" w14:textId="0C2E4772" w:rsidR="00125A08" w:rsidRDefault="00125A08" w:rsidP="007E04B9">
      <w:pPr>
        <w:spacing w:after="0" w:line="360" w:lineRule="auto"/>
        <w:jc w:val="both"/>
        <w:rPr>
          <w:rFonts w:ascii="Arial" w:eastAsia="Calibri" w:hAnsi="Arial" w:cs="Arial"/>
          <w:sz w:val="24"/>
          <w:szCs w:val="24"/>
          <w:lang w:val="en-ZA"/>
        </w:rPr>
      </w:pPr>
      <w:r>
        <w:rPr>
          <w:rFonts w:ascii="Arial" w:eastAsia="Calibri" w:hAnsi="Arial" w:cs="Arial"/>
          <w:sz w:val="24"/>
          <w:szCs w:val="24"/>
          <w:lang w:val="en-ZA"/>
        </w:rPr>
        <w:t xml:space="preserve">3. </w:t>
      </w:r>
      <w:r w:rsidRPr="00994D55">
        <w:rPr>
          <w:rFonts w:ascii="Arial" w:eastAsia="Calibri" w:hAnsi="Arial" w:cs="Arial"/>
          <w:sz w:val="24"/>
          <w:szCs w:val="24"/>
          <w:lang w:val="en-ZA"/>
        </w:rPr>
        <w:t xml:space="preserve">Commissions Act </w:t>
      </w:r>
      <w:r w:rsidR="001E0BEA">
        <w:rPr>
          <w:rFonts w:ascii="Arial" w:eastAsia="Calibri" w:hAnsi="Arial" w:cs="Arial"/>
          <w:sz w:val="24"/>
          <w:szCs w:val="24"/>
          <w:lang w:val="en-ZA"/>
        </w:rPr>
        <w:t xml:space="preserve">No. </w:t>
      </w:r>
      <w:r w:rsidRPr="00994D55">
        <w:rPr>
          <w:rFonts w:ascii="Arial" w:eastAsia="Calibri" w:hAnsi="Arial" w:cs="Arial"/>
          <w:sz w:val="24"/>
          <w:szCs w:val="24"/>
          <w:lang w:val="en-ZA"/>
        </w:rPr>
        <w:t>8 of 1947</w:t>
      </w:r>
      <w:r w:rsidR="00E655D8">
        <w:rPr>
          <w:rFonts w:ascii="Arial" w:eastAsia="Calibri" w:hAnsi="Arial" w:cs="Arial"/>
          <w:sz w:val="24"/>
          <w:szCs w:val="24"/>
          <w:lang w:val="en-ZA"/>
        </w:rPr>
        <w:t>: sections 1, 2, 3 and 4.</w:t>
      </w:r>
    </w:p>
    <w:p w14:paraId="667786ED" w14:textId="6D68F4A0" w:rsidR="00E655D8" w:rsidRDefault="00E655D8" w:rsidP="007E04B9">
      <w:pPr>
        <w:spacing w:after="0" w:line="360" w:lineRule="auto"/>
        <w:jc w:val="both"/>
        <w:rPr>
          <w:rFonts w:ascii="Arial" w:eastAsia="Calibri" w:hAnsi="Arial" w:cs="Arial"/>
          <w:sz w:val="24"/>
          <w:szCs w:val="24"/>
          <w:lang w:val="en-ZA"/>
        </w:rPr>
      </w:pPr>
      <w:r>
        <w:rPr>
          <w:rFonts w:ascii="Arial" w:eastAsia="Calibri" w:hAnsi="Arial" w:cs="Arial"/>
          <w:sz w:val="24"/>
          <w:szCs w:val="24"/>
          <w:lang w:val="en-ZA"/>
        </w:rPr>
        <w:t>4. Constitution of the Republic of South Africa, 1996: section 127 (2) (e).</w:t>
      </w:r>
    </w:p>
    <w:p w14:paraId="0EEED3FD" w14:textId="77777777" w:rsidR="00B633D5" w:rsidRDefault="00B633D5" w:rsidP="007E04B9">
      <w:pPr>
        <w:spacing w:after="0" w:line="360" w:lineRule="auto"/>
        <w:jc w:val="both"/>
        <w:rPr>
          <w:rFonts w:ascii="Arial" w:eastAsia="Calibri" w:hAnsi="Arial" w:cs="Arial"/>
          <w:sz w:val="24"/>
          <w:szCs w:val="24"/>
          <w:lang w:val="en-ZA"/>
        </w:rPr>
      </w:pPr>
    </w:p>
    <w:p w14:paraId="7857C96C" w14:textId="52D6A117" w:rsidR="00125A08" w:rsidRDefault="00125A08" w:rsidP="007E04B9">
      <w:pPr>
        <w:spacing w:after="0" w:line="360" w:lineRule="auto"/>
        <w:jc w:val="both"/>
        <w:rPr>
          <w:rFonts w:ascii="Arial" w:eastAsia="Calibri" w:hAnsi="Arial" w:cs="Arial"/>
          <w:sz w:val="24"/>
          <w:szCs w:val="24"/>
          <w:lang w:val="en-ZA"/>
        </w:rPr>
      </w:pPr>
      <w:r>
        <w:rPr>
          <w:rFonts w:ascii="Arial" w:eastAsia="Calibri" w:hAnsi="Arial" w:cs="Arial"/>
          <w:sz w:val="24"/>
          <w:szCs w:val="24"/>
          <w:lang w:val="en-ZA"/>
        </w:rPr>
        <w:lastRenderedPageBreak/>
        <w:t xml:space="preserve">Appearances </w:t>
      </w:r>
    </w:p>
    <w:p w14:paraId="5EA5E2B2" w14:textId="70E9E627" w:rsidR="00125A08" w:rsidRDefault="00125A08" w:rsidP="007E04B9">
      <w:pPr>
        <w:spacing w:after="0" w:line="360" w:lineRule="auto"/>
        <w:jc w:val="both"/>
        <w:rPr>
          <w:rFonts w:ascii="Arial" w:eastAsia="Calibri" w:hAnsi="Arial" w:cs="Arial"/>
          <w:sz w:val="24"/>
          <w:szCs w:val="24"/>
          <w:lang w:val="en-ZA"/>
        </w:rPr>
      </w:pPr>
      <w:r>
        <w:rPr>
          <w:rFonts w:ascii="Arial" w:eastAsia="Calibri" w:hAnsi="Arial" w:cs="Arial"/>
          <w:sz w:val="24"/>
          <w:szCs w:val="24"/>
          <w:lang w:val="en-ZA"/>
        </w:rPr>
        <w:t xml:space="preserve">Counsel for the </w:t>
      </w:r>
      <w:r w:rsidR="001E0BEA">
        <w:rPr>
          <w:rFonts w:ascii="Arial" w:eastAsia="Calibri" w:hAnsi="Arial" w:cs="Arial"/>
          <w:sz w:val="24"/>
          <w:szCs w:val="24"/>
          <w:lang w:val="en-ZA"/>
        </w:rPr>
        <w:t xml:space="preserve">applicant: Adv. J </w:t>
      </w:r>
      <w:proofErr w:type="spellStart"/>
      <w:r w:rsidR="001E0BEA">
        <w:rPr>
          <w:rFonts w:ascii="Arial" w:eastAsia="Calibri" w:hAnsi="Arial" w:cs="Arial"/>
          <w:sz w:val="24"/>
          <w:szCs w:val="24"/>
          <w:lang w:val="en-ZA"/>
        </w:rPr>
        <w:t>Gauntlett</w:t>
      </w:r>
      <w:proofErr w:type="spellEnd"/>
      <w:r w:rsidR="001E0BEA">
        <w:rPr>
          <w:rFonts w:ascii="Arial" w:eastAsia="Calibri" w:hAnsi="Arial" w:cs="Arial"/>
          <w:sz w:val="24"/>
          <w:szCs w:val="24"/>
          <w:lang w:val="en-ZA"/>
        </w:rPr>
        <w:t xml:space="preserve"> SC QC and S </w:t>
      </w:r>
      <w:proofErr w:type="spellStart"/>
      <w:r w:rsidR="001E0BEA">
        <w:rPr>
          <w:rFonts w:ascii="Arial" w:eastAsia="Calibri" w:hAnsi="Arial" w:cs="Arial"/>
          <w:sz w:val="24"/>
          <w:szCs w:val="24"/>
          <w:lang w:val="en-ZA"/>
        </w:rPr>
        <w:t>Pudifin</w:t>
      </w:r>
      <w:proofErr w:type="spellEnd"/>
      <w:r w:rsidR="001E0BEA">
        <w:rPr>
          <w:rFonts w:ascii="Arial" w:eastAsia="Calibri" w:hAnsi="Arial" w:cs="Arial"/>
          <w:sz w:val="24"/>
          <w:szCs w:val="24"/>
          <w:lang w:val="en-ZA"/>
        </w:rPr>
        <w:t>-Jones</w:t>
      </w:r>
      <w:r>
        <w:rPr>
          <w:rFonts w:ascii="Arial" w:eastAsia="Calibri" w:hAnsi="Arial" w:cs="Arial"/>
          <w:sz w:val="24"/>
          <w:szCs w:val="24"/>
          <w:lang w:val="en-ZA"/>
        </w:rPr>
        <w:t xml:space="preserve"> </w:t>
      </w:r>
    </w:p>
    <w:p w14:paraId="5F5DD939" w14:textId="23D61E16" w:rsidR="00125A08" w:rsidRDefault="00125A08" w:rsidP="007E04B9">
      <w:pPr>
        <w:spacing w:after="0" w:line="360" w:lineRule="auto"/>
        <w:jc w:val="both"/>
        <w:rPr>
          <w:rFonts w:ascii="Arial" w:eastAsia="Calibri" w:hAnsi="Arial" w:cs="Arial"/>
          <w:sz w:val="24"/>
          <w:szCs w:val="24"/>
          <w:lang w:val="en-ZA"/>
        </w:rPr>
      </w:pPr>
      <w:r>
        <w:rPr>
          <w:rFonts w:ascii="Arial" w:eastAsia="Calibri" w:hAnsi="Arial" w:cs="Arial"/>
          <w:sz w:val="24"/>
          <w:szCs w:val="24"/>
          <w:lang w:val="en-ZA"/>
        </w:rPr>
        <w:t>Instructed by:</w:t>
      </w:r>
      <w:r w:rsidR="001E0BEA">
        <w:rPr>
          <w:rFonts w:ascii="Arial" w:eastAsia="Calibri" w:hAnsi="Arial" w:cs="Arial"/>
          <w:sz w:val="24"/>
          <w:szCs w:val="24"/>
          <w:lang w:val="en-ZA"/>
        </w:rPr>
        <w:t xml:space="preserve"> </w:t>
      </w:r>
      <w:r w:rsidR="00F610F0">
        <w:rPr>
          <w:rFonts w:ascii="Arial" w:eastAsia="Calibri" w:hAnsi="Arial" w:cs="Arial"/>
          <w:sz w:val="24"/>
          <w:szCs w:val="24"/>
          <w:lang w:val="en-ZA"/>
        </w:rPr>
        <w:tab/>
      </w:r>
      <w:r w:rsidR="00F610F0">
        <w:rPr>
          <w:rFonts w:ascii="Arial" w:eastAsia="Calibri" w:hAnsi="Arial" w:cs="Arial"/>
          <w:sz w:val="24"/>
          <w:szCs w:val="24"/>
          <w:lang w:val="en-ZA"/>
        </w:rPr>
        <w:tab/>
      </w:r>
      <w:proofErr w:type="spellStart"/>
      <w:r w:rsidR="001E0BEA">
        <w:rPr>
          <w:rFonts w:ascii="Arial" w:eastAsia="Calibri" w:hAnsi="Arial" w:cs="Arial"/>
          <w:sz w:val="24"/>
          <w:szCs w:val="24"/>
          <w:lang w:val="en-ZA"/>
        </w:rPr>
        <w:t>Garlicke</w:t>
      </w:r>
      <w:proofErr w:type="spellEnd"/>
      <w:r w:rsidR="001E0BEA">
        <w:rPr>
          <w:rFonts w:ascii="Arial" w:eastAsia="Calibri" w:hAnsi="Arial" w:cs="Arial"/>
          <w:sz w:val="24"/>
          <w:szCs w:val="24"/>
          <w:lang w:val="en-ZA"/>
        </w:rPr>
        <w:t xml:space="preserve"> &amp; </w:t>
      </w:r>
      <w:proofErr w:type="spellStart"/>
      <w:r w:rsidR="001E0BEA">
        <w:rPr>
          <w:rFonts w:ascii="Arial" w:eastAsia="Calibri" w:hAnsi="Arial" w:cs="Arial"/>
          <w:sz w:val="24"/>
          <w:szCs w:val="24"/>
          <w:lang w:val="en-ZA"/>
        </w:rPr>
        <w:t>Bousfield</w:t>
      </w:r>
      <w:proofErr w:type="spellEnd"/>
      <w:r w:rsidR="001E0BEA">
        <w:rPr>
          <w:rFonts w:ascii="Arial" w:eastAsia="Calibri" w:hAnsi="Arial" w:cs="Arial"/>
          <w:sz w:val="24"/>
          <w:szCs w:val="24"/>
          <w:lang w:val="en-ZA"/>
        </w:rPr>
        <w:t xml:space="preserve"> Inc.</w:t>
      </w:r>
    </w:p>
    <w:p w14:paraId="4FE74B9D" w14:textId="06CA9E4D" w:rsidR="001E0BEA" w:rsidRDefault="001E0BEA" w:rsidP="007E04B9">
      <w:pPr>
        <w:spacing w:after="0" w:line="360" w:lineRule="auto"/>
        <w:jc w:val="both"/>
        <w:rPr>
          <w:rFonts w:ascii="Arial" w:eastAsia="Calibri" w:hAnsi="Arial" w:cs="Arial"/>
          <w:sz w:val="24"/>
          <w:szCs w:val="24"/>
          <w:lang w:val="en-ZA"/>
        </w:rPr>
      </w:pPr>
      <w:r>
        <w:rPr>
          <w:rFonts w:ascii="Arial" w:eastAsia="Calibri" w:hAnsi="Arial" w:cs="Arial"/>
          <w:sz w:val="24"/>
          <w:szCs w:val="24"/>
          <w:lang w:val="en-ZA"/>
        </w:rPr>
        <w:tab/>
      </w:r>
      <w:r>
        <w:rPr>
          <w:rFonts w:ascii="Arial" w:eastAsia="Calibri" w:hAnsi="Arial" w:cs="Arial"/>
          <w:sz w:val="24"/>
          <w:szCs w:val="24"/>
          <w:lang w:val="en-ZA"/>
        </w:rPr>
        <w:tab/>
      </w:r>
      <w:r w:rsidR="00F610F0">
        <w:rPr>
          <w:rFonts w:ascii="Arial" w:eastAsia="Calibri" w:hAnsi="Arial" w:cs="Arial"/>
          <w:sz w:val="24"/>
          <w:szCs w:val="24"/>
          <w:lang w:val="en-ZA"/>
        </w:rPr>
        <w:tab/>
      </w:r>
      <w:r w:rsidR="00F610F0">
        <w:rPr>
          <w:rFonts w:ascii="Arial" w:eastAsia="Calibri" w:hAnsi="Arial" w:cs="Arial"/>
          <w:sz w:val="24"/>
          <w:szCs w:val="24"/>
          <w:lang w:val="en-ZA"/>
        </w:rPr>
        <w:tab/>
      </w:r>
      <w:r>
        <w:rPr>
          <w:rFonts w:ascii="Arial" w:eastAsia="Calibri" w:hAnsi="Arial" w:cs="Arial"/>
          <w:sz w:val="24"/>
          <w:szCs w:val="24"/>
          <w:lang w:val="en-ZA"/>
        </w:rPr>
        <w:t xml:space="preserve">7 </w:t>
      </w:r>
      <w:proofErr w:type="spellStart"/>
      <w:r>
        <w:rPr>
          <w:rFonts w:ascii="Arial" w:eastAsia="Calibri" w:hAnsi="Arial" w:cs="Arial"/>
          <w:sz w:val="24"/>
          <w:szCs w:val="24"/>
          <w:lang w:val="en-ZA"/>
        </w:rPr>
        <w:t>Torsvale</w:t>
      </w:r>
      <w:proofErr w:type="spellEnd"/>
      <w:r>
        <w:rPr>
          <w:rFonts w:ascii="Arial" w:eastAsia="Calibri" w:hAnsi="Arial" w:cs="Arial"/>
          <w:sz w:val="24"/>
          <w:szCs w:val="24"/>
          <w:lang w:val="en-ZA"/>
        </w:rPr>
        <w:t xml:space="preserve"> Crescent</w:t>
      </w:r>
    </w:p>
    <w:p w14:paraId="6B266558" w14:textId="2415FBE0" w:rsidR="001E0BEA" w:rsidRDefault="001E0BEA" w:rsidP="007E04B9">
      <w:pPr>
        <w:spacing w:after="0" w:line="360" w:lineRule="auto"/>
        <w:jc w:val="both"/>
        <w:rPr>
          <w:rFonts w:ascii="Arial" w:eastAsia="Calibri" w:hAnsi="Arial" w:cs="Arial"/>
          <w:sz w:val="24"/>
          <w:szCs w:val="24"/>
          <w:lang w:val="en-ZA"/>
        </w:rPr>
      </w:pPr>
      <w:r>
        <w:rPr>
          <w:rFonts w:ascii="Arial" w:eastAsia="Calibri" w:hAnsi="Arial" w:cs="Arial"/>
          <w:sz w:val="24"/>
          <w:szCs w:val="24"/>
          <w:lang w:val="en-ZA"/>
        </w:rPr>
        <w:tab/>
      </w:r>
      <w:r>
        <w:rPr>
          <w:rFonts w:ascii="Arial" w:eastAsia="Calibri" w:hAnsi="Arial" w:cs="Arial"/>
          <w:sz w:val="24"/>
          <w:szCs w:val="24"/>
          <w:lang w:val="en-ZA"/>
        </w:rPr>
        <w:tab/>
      </w:r>
      <w:r w:rsidR="00F610F0">
        <w:rPr>
          <w:rFonts w:ascii="Arial" w:eastAsia="Calibri" w:hAnsi="Arial" w:cs="Arial"/>
          <w:sz w:val="24"/>
          <w:szCs w:val="24"/>
          <w:lang w:val="en-ZA"/>
        </w:rPr>
        <w:tab/>
      </w:r>
      <w:r w:rsidR="00F610F0">
        <w:rPr>
          <w:rFonts w:ascii="Arial" w:eastAsia="Calibri" w:hAnsi="Arial" w:cs="Arial"/>
          <w:sz w:val="24"/>
          <w:szCs w:val="24"/>
          <w:lang w:val="en-ZA"/>
        </w:rPr>
        <w:tab/>
      </w:r>
      <w:r>
        <w:rPr>
          <w:rFonts w:ascii="Arial" w:eastAsia="Calibri" w:hAnsi="Arial" w:cs="Arial"/>
          <w:sz w:val="24"/>
          <w:szCs w:val="24"/>
          <w:lang w:val="en-ZA"/>
        </w:rPr>
        <w:t>La Lucia Ridge Office Estate</w:t>
      </w:r>
    </w:p>
    <w:p w14:paraId="780273B1" w14:textId="0DB4F4F3" w:rsidR="001E0BEA" w:rsidRDefault="001E0BEA" w:rsidP="007E04B9">
      <w:pPr>
        <w:spacing w:after="0" w:line="360" w:lineRule="auto"/>
        <w:jc w:val="both"/>
        <w:rPr>
          <w:rFonts w:ascii="Arial" w:eastAsia="Calibri" w:hAnsi="Arial" w:cs="Arial"/>
          <w:sz w:val="24"/>
          <w:szCs w:val="24"/>
          <w:lang w:val="en-ZA"/>
        </w:rPr>
      </w:pPr>
      <w:r>
        <w:rPr>
          <w:rFonts w:ascii="Arial" w:eastAsia="Calibri" w:hAnsi="Arial" w:cs="Arial"/>
          <w:sz w:val="24"/>
          <w:szCs w:val="24"/>
          <w:lang w:val="en-ZA"/>
        </w:rPr>
        <w:tab/>
      </w:r>
      <w:r>
        <w:rPr>
          <w:rFonts w:ascii="Arial" w:eastAsia="Calibri" w:hAnsi="Arial" w:cs="Arial"/>
          <w:sz w:val="24"/>
          <w:szCs w:val="24"/>
          <w:lang w:val="en-ZA"/>
        </w:rPr>
        <w:tab/>
      </w:r>
      <w:r w:rsidR="00F610F0">
        <w:rPr>
          <w:rFonts w:ascii="Arial" w:eastAsia="Calibri" w:hAnsi="Arial" w:cs="Arial"/>
          <w:sz w:val="24"/>
          <w:szCs w:val="24"/>
          <w:lang w:val="en-ZA"/>
        </w:rPr>
        <w:tab/>
      </w:r>
      <w:r w:rsidR="00F610F0">
        <w:rPr>
          <w:rFonts w:ascii="Arial" w:eastAsia="Calibri" w:hAnsi="Arial" w:cs="Arial"/>
          <w:sz w:val="24"/>
          <w:szCs w:val="24"/>
          <w:lang w:val="en-ZA"/>
        </w:rPr>
        <w:tab/>
      </w:r>
      <w:r>
        <w:rPr>
          <w:rFonts w:ascii="Arial" w:eastAsia="Calibri" w:hAnsi="Arial" w:cs="Arial"/>
          <w:sz w:val="24"/>
          <w:szCs w:val="24"/>
          <w:lang w:val="en-ZA"/>
        </w:rPr>
        <w:t>La Lucia</w:t>
      </w:r>
    </w:p>
    <w:p w14:paraId="3B1C16A5" w14:textId="628CA387" w:rsidR="001E0BEA" w:rsidRDefault="001E0BEA" w:rsidP="007E04B9">
      <w:pPr>
        <w:spacing w:after="0" w:line="360" w:lineRule="auto"/>
        <w:jc w:val="both"/>
        <w:rPr>
          <w:rFonts w:ascii="Arial" w:eastAsia="Calibri" w:hAnsi="Arial" w:cs="Arial"/>
          <w:sz w:val="24"/>
          <w:szCs w:val="24"/>
          <w:lang w:val="en-ZA"/>
        </w:rPr>
      </w:pPr>
      <w:r>
        <w:rPr>
          <w:rFonts w:ascii="Arial" w:eastAsia="Calibri" w:hAnsi="Arial" w:cs="Arial"/>
          <w:sz w:val="24"/>
          <w:szCs w:val="24"/>
          <w:lang w:val="en-ZA"/>
        </w:rPr>
        <w:tab/>
      </w:r>
      <w:r>
        <w:rPr>
          <w:rFonts w:ascii="Arial" w:eastAsia="Calibri" w:hAnsi="Arial" w:cs="Arial"/>
          <w:sz w:val="24"/>
          <w:szCs w:val="24"/>
          <w:lang w:val="en-ZA"/>
        </w:rPr>
        <w:tab/>
      </w:r>
      <w:r w:rsidR="00F610F0">
        <w:rPr>
          <w:rFonts w:ascii="Arial" w:eastAsia="Calibri" w:hAnsi="Arial" w:cs="Arial"/>
          <w:sz w:val="24"/>
          <w:szCs w:val="24"/>
          <w:lang w:val="en-ZA"/>
        </w:rPr>
        <w:tab/>
      </w:r>
      <w:r w:rsidR="00F610F0">
        <w:rPr>
          <w:rFonts w:ascii="Arial" w:eastAsia="Calibri" w:hAnsi="Arial" w:cs="Arial"/>
          <w:sz w:val="24"/>
          <w:szCs w:val="24"/>
          <w:lang w:val="en-ZA"/>
        </w:rPr>
        <w:tab/>
      </w:r>
      <w:r>
        <w:rPr>
          <w:rFonts w:ascii="Arial" w:eastAsia="Calibri" w:hAnsi="Arial" w:cs="Arial"/>
          <w:sz w:val="24"/>
          <w:szCs w:val="24"/>
          <w:lang w:val="en-ZA"/>
        </w:rPr>
        <w:t>Tel: 031 570 5405</w:t>
      </w:r>
    </w:p>
    <w:p w14:paraId="34BAD4B6" w14:textId="75FEB94D" w:rsidR="001E0BEA" w:rsidRDefault="001E0BEA" w:rsidP="007E04B9">
      <w:pPr>
        <w:spacing w:after="0" w:line="360" w:lineRule="auto"/>
        <w:jc w:val="both"/>
        <w:rPr>
          <w:rFonts w:ascii="Arial" w:eastAsia="Calibri" w:hAnsi="Arial" w:cs="Arial"/>
          <w:sz w:val="24"/>
          <w:szCs w:val="24"/>
          <w:lang w:val="en-ZA"/>
        </w:rPr>
      </w:pPr>
      <w:r>
        <w:rPr>
          <w:rFonts w:ascii="Arial" w:eastAsia="Calibri" w:hAnsi="Arial" w:cs="Arial"/>
          <w:sz w:val="24"/>
          <w:szCs w:val="24"/>
          <w:lang w:val="en-ZA"/>
        </w:rPr>
        <w:tab/>
      </w:r>
      <w:r>
        <w:rPr>
          <w:rFonts w:ascii="Arial" w:eastAsia="Calibri" w:hAnsi="Arial" w:cs="Arial"/>
          <w:sz w:val="24"/>
          <w:szCs w:val="24"/>
          <w:lang w:val="en-ZA"/>
        </w:rPr>
        <w:tab/>
      </w:r>
      <w:r w:rsidR="00F610F0">
        <w:rPr>
          <w:rFonts w:ascii="Arial" w:eastAsia="Calibri" w:hAnsi="Arial" w:cs="Arial"/>
          <w:sz w:val="24"/>
          <w:szCs w:val="24"/>
          <w:lang w:val="en-ZA"/>
        </w:rPr>
        <w:tab/>
      </w:r>
      <w:r w:rsidR="00F610F0">
        <w:rPr>
          <w:rFonts w:ascii="Arial" w:eastAsia="Calibri" w:hAnsi="Arial" w:cs="Arial"/>
          <w:sz w:val="24"/>
          <w:szCs w:val="24"/>
          <w:lang w:val="en-ZA"/>
        </w:rPr>
        <w:tab/>
      </w:r>
      <w:r>
        <w:rPr>
          <w:rFonts w:ascii="Arial" w:eastAsia="Calibri" w:hAnsi="Arial" w:cs="Arial"/>
          <w:sz w:val="24"/>
          <w:szCs w:val="24"/>
          <w:lang w:val="en-ZA"/>
        </w:rPr>
        <w:t xml:space="preserve">Email: </w:t>
      </w:r>
      <w:hyperlink r:id="rId10" w:history="1">
        <w:r w:rsidRPr="000B4659">
          <w:rPr>
            <w:rStyle w:val="Hyperlink"/>
            <w:rFonts w:ascii="Arial" w:eastAsia="Calibri" w:hAnsi="Arial" w:cs="Arial"/>
            <w:sz w:val="24"/>
            <w:szCs w:val="24"/>
            <w:lang w:val="en-ZA"/>
          </w:rPr>
          <w:t>chuma.vabaza@gb.co.za</w:t>
        </w:r>
      </w:hyperlink>
    </w:p>
    <w:p w14:paraId="44ADE048" w14:textId="5B2B8E64" w:rsidR="001E0BEA" w:rsidRDefault="001E0BEA" w:rsidP="007E04B9">
      <w:pPr>
        <w:spacing w:after="0" w:line="360" w:lineRule="auto"/>
        <w:jc w:val="both"/>
        <w:rPr>
          <w:rFonts w:ascii="Arial" w:eastAsia="Calibri" w:hAnsi="Arial" w:cs="Arial"/>
          <w:sz w:val="24"/>
          <w:szCs w:val="24"/>
          <w:lang w:val="en-ZA"/>
        </w:rPr>
      </w:pPr>
      <w:r>
        <w:rPr>
          <w:rFonts w:ascii="Arial" w:eastAsia="Calibri" w:hAnsi="Arial" w:cs="Arial"/>
          <w:sz w:val="24"/>
          <w:szCs w:val="24"/>
          <w:lang w:val="en-ZA"/>
        </w:rPr>
        <w:tab/>
      </w:r>
      <w:r>
        <w:rPr>
          <w:rFonts w:ascii="Arial" w:eastAsia="Calibri" w:hAnsi="Arial" w:cs="Arial"/>
          <w:sz w:val="24"/>
          <w:szCs w:val="24"/>
          <w:lang w:val="en-ZA"/>
        </w:rPr>
        <w:tab/>
      </w:r>
      <w:r w:rsidR="00F610F0">
        <w:rPr>
          <w:rFonts w:ascii="Arial" w:eastAsia="Calibri" w:hAnsi="Arial" w:cs="Arial"/>
          <w:sz w:val="24"/>
          <w:szCs w:val="24"/>
          <w:lang w:val="en-ZA"/>
        </w:rPr>
        <w:tab/>
      </w:r>
      <w:r w:rsidR="00F610F0">
        <w:rPr>
          <w:rFonts w:ascii="Arial" w:eastAsia="Calibri" w:hAnsi="Arial" w:cs="Arial"/>
          <w:sz w:val="24"/>
          <w:szCs w:val="24"/>
          <w:lang w:val="en-ZA"/>
        </w:rPr>
        <w:tab/>
      </w:r>
      <w:r>
        <w:rPr>
          <w:rFonts w:ascii="Arial" w:eastAsia="Calibri" w:hAnsi="Arial" w:cs="Arial"/>
          <w:sz w:val="24"/>
          <w:szCs w:val="24"/>
          <w:lang w:val="en-ZA"/>
        </w:rPr>
        <w:t xml:space="preserve">Ref: C </w:t>
      </w:r>
      <w:proofErr w:type="spellStart"/>
      <w:r>
        <w:rPr>
          <w:rFonts w:ascii="Arial" w:eastAsia="Calibri" w:hAnsi="Arial" w:cs="Arial"/>
          <w:sz w:val="24"/>
          <w:szCs w:val="24"/>
          <w:lang w:val="en-ZA"/>
        </w:rPr>
        <w:t>Vabaza</w:t>
      </w:r>
      <w:proofErr w:type="spellEnd"/>
      <w:r>
        <w:rPr>
          <w:rFonts w:ascii="Arial" w:eastAsia="Calibri" w:hAnsi="Arial" w:cs="Arial"/>
          <w:sz w:val="24"/>
          <w:szCs w:val="24"/>
          <w:lang w:val="en-ZA"/>
        </w:rPr>
        <w:t>/</w:t>
      </w:r>
      <w:proofErr w:type="spellStart"/>
      <w:r>
        <w:rPr>
          <w:rFonts w:ascii="Arial" w:eastAsia="Calibri" w:hAnsi="Arial" w:cs="Arial"/>
          <w:sz w:val="24"/>
          <w:szCs w:val="24"/>
          <w:lang w:val="en-ZA"/>
        </w:rPr>
        <w:t>rds</w:t>
      </w:r>
      <w:proofErr w:type="spellEnd"/>
      <w:r>
        <w:rPr>
          <w:rFonts w:ascii="Arial" w:eastAsia="Calibri" w:hAnsi="Arial" w:cs="Arial"/>
          <w:sz w:val="24"/>
          <w:szCs w:val="24"/>
          <w:lang w:val="en-ZA"/>
        </w:rPr>
        <w:t>/P1175/20</w:t>
      </w:r>
    </w:p>
    <w:p w14:paraId="24710AAB" w14:textId="77777777" w:rsidR="001E0BEA" w:rsidRDefault="001E0BEA" w:rsidP="007E04B9">
      <w:pPr>
        <w:spacing w:after="0" w:line="360" w:lineRule="auto"/>
        <w:jc w:val="both"/>
        <w:rPr>
          <w:rFonts w:ascii="Arial" w:eastAsia="Calibri" w:hAnsi="Arial" w:cs="Arial"/>
          <w:sz w:val="24"/>
          <w:szCs w:val="24"/>
          <w:lang w:val="en-ZA"/>
        </w:rPr>
      </w:pPr>
    </w:p>
    <w:p w14:paraId="4DCD2B34" w14:textId="26A6378A" w:rsidR="00F610F0" w:rsidRDefault="00125A08" w:rsidP="007E04B9">
      <w:pPr>
        <w:spacing w:after="0" w:line="360" w:lineRule="auto"/>
        <w:jc w:val="both"/>
        <w:rPr>
          <w:rFonts w:ascii="Arial" w:eastAsia="Calibri" w:hAnsi="Arial" w:cs="Arial"/>
          <w:sz w:val="24"/>
          <w:szCs w:val="24"/>
          <w:lang w:val="en-ZA"/>
        </w:rPr>
      </w:pPr>
      <w:r>
        <w:rPr>
          <w:rFonts w:ascii="Arial" w:eastAsia="Calibri" w:hAnsi="Arial" w:cs="Arial"/>
          <w:sz w:val="24"/>
          <w:szCs w:val="24"/>
          <w:lang w:val="en-ZA"/>
        </w:rPr>
        <w:t>Counsel for the respondent:</w:t>
      </w:r>
      <w:r w:rsidR="001E0BEA">
        <w:rPr>
          <w:rFonts w:ascii="Arial" w:eastAsia="Calibri" w:hAnsi="Arial" w:cs="Arial"/>
          <w:sz w:val="24"/>
          <w:szCs w:val="24"/>
          <w:lang w:val="en-ZA"/>
        </w:rPr>
        <w:t xml:space="preserve"> </w:t>
      </w:r>
      <w:r w:rsidR="00F610F0">
        <w:rPr>
          <w:rFonts w:ascii="Arial" w:eastAsia="Calibri" w:hAnsi="Arial" w:cs="Arial"/>
          <w:sz w:val="24"/>
          <w:szCs w:val="24"/>
          <w:lang w:val="en-ZA"/>
        </w:rPr>
        <w:t>Adv. AJ Dickson SC and D Crompton</w:t>
      </w:r>
    </w:p>
    <w:p w14:paraId="3571B933" w14:textId="57CEB879" w:rsidR="00125A08" w:rsidRDefault="00125A08" w:rsidP="007E04B9">
      <w:pPr>
        <w:spacing w:after="0" w:line="360" w:lineRule="auto"/>
        <w:jc w:val="both"/>
        <w:rPr>
          <w:rFonts w:ascii="Arial" w:eastAsia="Calibri" w:hAnsi="Arial" w:cs="Arial"/>
          <w:sz w:val="24"/>
          <w:szCs w:val="24"/>
          <w:lang w:val="en-ZA"/>
        </w:rPr>
      </w:pPr>
      <w:r>
        <w:rPr>
          <w:rFonts w:ascii="Arial" w:eastAsia="Calibri" w:hAnsi="Arial" w:cs="Arial"/>
          <w:sz w:val="24"/>
          <w:szCs w:val="24"/>
          <w:lang w:val="en-ZA"/>
        </w:rPr>
        <w:t>Instructed by:</w:t>
      </w:r>
      <w:r w:rsidR="00F610F0">
        <w:rPr>
          <w:rFonts w:ascii="Arial" w:eastAsia="Calibri" w:hAnsi="Arial" w:cs="Arial"/>
          <w:sz w:val="24"/>
          <w:szCs w:val="24"/>
          <w:lang w:val="en-ZA"/>
        </w:rPr>
        <w:t xml:space="preserve"> </w:t>
      </w:r>
      <w:r w:rsidR="00F610F0">
        <w:rPr>
          <w:rFonts w:ascii="Arial" w:eastAsia="Calibri" w:hAnsi="Arial" w:cs="Arial"/>
          <w:sz w:val="24"/>
          <w:szCs w:val="24"/>
          <w:lang w:val="en-ZA"/>
        </w:rPr>
        <w:tab/>
      </w:r>
      <w:r w:rsidR="00F610F0">
        <w:rPr>
          <w:rFonts w:ascii="Arial" w:eastAsia="Calibri" w:hAnsi="Arial" w:cs="Arial"/>
          <w:sz w:val="24"/>
          <w:szCs w:val="24"/>
          <w:lang w:val="en-ZA"/>
        </w:rPr>
        <w:tab/>
        <w:t>Mathew Francis Inc.</w:t>
      </w:r>
    </w:p>
    <w:p w14:paraId="00B39FA2" w14:textId="1683832B" w:rsidR="00F610F0" w:rsidRDefault="00F610F0" w:rsidP="007E04B9">
      <w:pPr>
        <w:spacing w:after="0" w:line="360" w:lineRule="auto"/>
        <w:jc w:val="both"/>
        <w:rPr>
          <w:rFonts w:ascii="Arial" w:eastAsia="Calibri" w:hAnsi="Arial" w:cs="Arial"/>
          <w:sz w:val="24"/>
          <w:szCs w:val="24"/>
          <w:lang w:val="en-ZA"/>
        </w:rPr>
      </w:pPr>
      <w:r>
        <w:rPr>
          <w:rFonts w:ascii="Arial" w:eastAsia="Calibri" w:hAnsi="Arial" w:cs="Arial"/>
          <w:sz w:val="24"/>
          <w:szCs w:val="24"/>
          <w:lang w:val="en-ZA"/>
        </w:rPr>
        <w:tab/>
      </w:r>
      <w:r>
        <w:rPr>
          <w:rFonts w:ascii="Arial" w:eastAsia="Calibri" w:hAnsi="Arial" w:cs="Arial"/>
          <w:sz w:val="24"/>
          <w:szCs w:val="24"/>
          <w:lang w:val="en-ZA"/>
        </w:rPr>
        <w:tab/>
      </w:r>
      <w:r>
        <w:rPr>
          <w:rFonts w:ascii="Arial" w:eastAsia="Calibri" w:hAnsi="Arial" w:cs="Arial"/>
          <w:sz w:val="24"/>
          <w:szCs w:val="24"/>
          <w:lang w:val="en-ZA"/>
        </w:rPr>
        <w:tab/>
      </w:r>
      <w:r>
        <w:rPr>
          <w:rFonts w:ascii="Arial" w:eastAsia="Calibri" w:hAnsi="Arial" w:cs="Arial"/>
          <w:sz w:val="24"/>
          <w:szCs w:val="24"/>
          <w:lang w:val="en-ZA"/>
        </w:rPr>
        <w:tab/>
        <w:t>Suite 4 1</w:t>
      </w:r>
      <w:r w:rsidRPr="00F610F0">
        <w:rPr>
          <w:rFonts w:ascii="Arial" w:eastAsia="Calibri" w:hAnsi="Arial" w:cs="Arial"/>
          <w:sz w:val="24"/>
          <w:szCs w:val="24"/>
          <w:vertAlign w:val="superscript"/>
          <w:lang w:val="en-ZA"/>
        </w:rPr>
        <w:t>st</w:t>
      </w:r>
      <w:r>
        <w:rPr>
          <w:rFonts w:ascii="Arial" w:eastAsia="Calibri" w:hAnsi="Arial" w:cs="Arial"/>
          <w:sz w:val="24"/>
          <w:szCs w:val="24"/>
          <w:lang w:val="en-ZA"/>
        </w:rPr>
        <w:t xml:space="preserve"> Floor Block A</w:t>
      </w:r>
    </w:p>
    <w:p w14:paraId="708AC4B8" w14:textId="1BC8AAB5" w:rsidR="00F610F0" w:rsidRDefault="00F610F0" w:rsidP="007E04B9">
      <w:pPr>
        <w:spacing w:after="0" w:line="360" w:lineRule="auto"/>
        <w:jc w:val="both"/>
        <w:rPr>
          <w:rFonts w:ascii="Arial" w:eastAsia="Calibri" w:hAnsi="Arial" w:cs="Arial"/>
          <w:sz w:val="24"/>
          <w:szCs w:val="24"/>
          <w:lang w:val="en-ZA"/>
        </w:rPr>
      </w:pPr>
      <w:r>
        <w:rPr>
          <w:rFonts w:ascii="Arial" w:eastAsia="Calibri" w:hAnsi="Arial" w:cs="Arial"/>
          <w:sz w:val="24"/>
          <w:szCs w:val="24"/>
          <w:lang w:val="en-ZA"/>
        </w:rPr>
        <w:tab/>
      </w:r>
      <w:r>
        <w:rPr>
          <w:rFonts w:ascii="Arial" w:eastAsia="Calibri" w:hAnsi="Arial" w:cs="Arial"/>
          <w:sz w:val="24"/>
          <w:szCs w:val="24"/>
          <w:lang w:val="en-ZA"/>
        </w:rPr>
        <w:tab/>
      </w:r>
      <w:r>
        <w:rPr>
          <w:rFonts w:ascii="Arial" w:eastAsia="Calibri" w:hAnsi="Arial" w:cs="Arial"/>
          <w:sz w:val="24"/>
          <w:szCs w:val="24"/>
          <w:lang w:val="en-ZA"/>
        </w:rPr>
        <w:tab/>
      </w:r>
      <w:r>
        <w:rPr>
          <w:rFonts w:ascii="Arial" w:eastAsia="Calibri" w:hAnsi="Arial" w:cs="Arial"/>
          <w:sz w:val="24"/>
          <w:szCs w:val="24"/>
          <w:lang w:val="en-ZA"/>
        </w:rPr>
        <w:tab/>
        <w:t>21 Cascades Crescent</w:t>
      </w:r>
    </w:p>
    <w:p w14:paraId="66CE69CC" w14:textId="37AC80A9" w:rsidR="00F610F0" w:rsidRDefault="00F610F0" w:rsidP="007E04B9">
      <w:pPr>
        <w:spacing w:after="0" w:line="360" w:lineRule="auto"/>
        <w:jc w:val="both"/>
        <w:rPr>
          <w:rFonts w:ascii="Arial" w:eastAsia="Calibri" w:hAnsi="Arial" w:cs="Arial"/>
          <w:sz w:val="24"/>
          <w:szCs w:val="24"/>
          <w:lang w:val="en-ZA"/>
        </w:rPr>
      </w:pPr>
      <w:r>
        <w:rPr>
          <w:rFonts w:ascii="Arial" w:eastAsia="Calibri" w:hAnsi="Arial" w:cs="Arial"/>
          <w:sz w:val="24"/>
          <w:szCs w:val="24"/>
          <w:lang w:val="en-ZA"/>
        </w:rPr>
        <w:tab/>
      </w:r>
      <w:r>
        <w:rPr>
          <w:rFonts w:ascii="Arial" w:eastAsia="Calibri" w:hAnsi="Arial" w:cs="Arial"/>
          <w:sz w:val="24"/>
          <w:szCs w:val="24"/>
          <w:lang w:val="en-ZA"/>
        </w:rPr>
        <w:tab/>
      </w:r>
      <w:r>
        <w:rPr>
          <w:rFonts w:ascii="Arial" w:eastAsia="Calibri" w:hAnsi="Arial" w:cs="Arial"/>
          <w:sz w:val="24"/>
          <w:szCs w:val="24"/>
          <w:lang w:val="en-ZA"/>
        </w:rPr>
        <w:tab/>
      </w:r>
      <w:r>
        <w:rPr>
          <w:rFonts w:ascii="Arial" w:eastAsia="Calibri" w:hAnsi="Arial" w:cs="Arial"/>
          <w:sz w:val="24"/>
          <w:szCs w:val="24"/>
          <w:lang w:val="en-ZA"/>
        </w:rPr>
        <w:tab/>
        <w:t>Montrose</w:t>
      </w:r>
    </w:p>
    <w:p w14:paraId="0B29665E" w14:textId="701661FA" w:rsidR="00F610F0" w:rsidRDefault="00F610F0" w:rsidP="007E04B9">
      <w:pPr>
        <w:spacing w:after="0" w:line="360" w:lineRule="auto"/>
        <w:jc w:val="both"/>
        <w:rPr>
          <w:rFonts w:ascii="Arial" w:eastAsia="Calibri" w:hAnsi="Arial" w:cs="Arial"/>
          <w:sz w:val="24"/>
          <w:szCs w:val="24"/>
          <w:lang w:val="en-ZA"/>
        </w:rPr>
      </w:pPr>
      <w:r>
        <w:rPr>
          <w:rFonts w:ascii="Arial" w:eastAsia="Calibri" w:hAnsi="Arial" w:cs="Arial"/>
          <w:sz w:val="24"/>
          <w:szCs w:val="24"/>
          <w:lang w:val="en-ZA"/>
        </w:rPr>
        <w:tab/>
      </w:r>
      <w:r>
        <w:rPr>
          <w:rFonts w:ascii="Arial" w:eastAsia="Calibri" w:hAnsi="Arial" w:cs="Arial"/>
          <w:sz w:val="24"/>
          <w:szCs w:val="24"/>
          <w:lang w:val="en-ZA"/>
        </w:rPr>
        <w:tab/>
      </w:r>
      <w:r>
        <w:rPr>
          <w:rFonts w:ascii="Arial" w:eastAsia="Calibri" w:hAnsi="Arial" w:cs="Arial"/>
          <w:sz w:val="24"/>
          <w:szCs w:val="24"/>
          <w:lang w:val="en-ZA"/>
        </w:rPr>
        <w:tab/>
      </w:r>
      <w:r>
        <w:rPr>
          <w:rFonts w:ascii="Arial" w:eastAsia="Calibri" w:hAnsi="Arial" w:cs="Arial"/>
          <w:sz w:val="24"/>
          <w:szCs w:val="24"/>
          <w:lang w:val="en-ZA"/>
        </w:rPr>
        <w:tab/>
        <w:t>Pietermaritzburg</w:t>
      </w:r>
    </w:p>
    <w:p w14:paraId="45B85989" w14:textId="3EC7B853" w:rsidR="00F610F0" w:rsidRDefault="00F610F0" w:rsidP="007E04B9">
      <w:pPr>
        <w:spacing w:after="0" w:line="360" w:lineRule="auto"/>
        <w:jc w:val="both"/>
        <w:rPr>
          <w:rFonts w:ascii="Arial" w:eastAsia="Calibri" w:hAnsi="Arial" w:cs="Arial"/>
          <w:sz w:val="24"/>
          <w:szCs w:val="24"/>
          <w:lang w:val="en-ZA"/>
        </w:rPr>
      </w:pPr>
      <w:r>
        <w:rPr>
          <w:rFonts w:ascii="Arial" w:eastAsia="Calibri" w:hAnsi="Arial" w:cs="Arial"/>
          <w:sz w:val="24"/>
          <w:szCs w:val="24"/>
          <w:lang w:val="en-ZA"/>
        </w:rPr>
        <w:tab/>
      </w:r>
      <w:r>
        <w:rPr>
          <w:rFonts w:ascii="Arial" w:eastAsia="Calibri" w:hAnsi="Arial" w:cs="Arial"/>
          <w:sz w:val="24"/>
          <w:szCs w:val="24"/>
          <w:lang w:val="en-ZA"/>
        </w:rPr>
        <w:tab/>
      </w:r>
      <w:r>
        <w:rPr>
          <w:rFonts w:ascii="Arial" w:eastAsia="Calibri" w:hAnsi="Arial" w:cs="Arial"/>
          <w:sz w:val="24"/>
          <w:szCs w:val="24"/>
          <w:lang w:val="en-ZA"/>
        </w:rPr>
        <w:tab/>
      </w:r>
      <w:r>
        <w:rPr>
          <w:rFonts w:ascii="Arial" w:eastAsia="Calibri" w:hAnsi="Arial" w:cs="Arial"/>
          <w:sz w:val="24"/>
          <w:szCs w:val="24"/>
          <w:lang w:val="en-ZA"/>
        </w:rPr>
        <w:tab/>
        <w:t>Ref: Yuri Maharaj</w:t>
      </w:r>
    </w:p>
    <w:p w14:paraId="5A08124A" w14:textId="78C71807" w:rsidR="00F610F0" w:rsidRDefault="00F610F0" w:rsidP="007E04B9">
      <w:pPr>
        <w:spacing w:after="0" w:line="360" w:lineRule="auto"/>
        <w:jc w:val="both"/>
        <w:rPr>
          <w:rFonts w:ascii="Arial" w:eastAsia="Calibri" w:hAnsi="Arial" w:cs="Arial"/>
          <w:sz w:val="24"/>
          <w:szCs w:val="24"/>
          <w:lang w:val="en-ZA"/>
        </w:rPr>
      </w:pPr>
      <w:r>
        <w:rPr>
          <w:rFonts w:ascii="Arial" w:eastAsia="Calibri" w:hAnsi="Arial" w:cs="Arial"/>
          <w:sz w:val="24"/>
          <w:szCs w:val="24"/>
          <w:lang w:val="en-ZA"/>
        </w:rPr>
        <w:tab/>
      </w:r>
      <w:r>
        <w:rPr>
          <w:rFonts w:ascii="Arial" w:eastAsia="Calibri" w:hAnsi="Arial" w:cs="Arial"/>
          <w:sz w:val="24"/>
          <w:szCs w:val="24"/>
          <w:lang w:val="en-ZA"/>
        </w:rPr>
        <w:tab/>
      </w:r>
      <w:r>
        <w:rPr>
          <w:rFonts w:ascii="Arial" w:eastAsia="Calibri" w:hAnsi="Arial" w:cs="Arial"/>
          <w:sz w:val="24"/>
          <w:szCs w:val="24"/>
          <w:lang w:val="en-ZA"/>
        </w:rPr>
        <w:tab/>
      </w:r>
      <w:r>
        <w:rPr>
          <w:rFonts w:ascii="Arial" w:eastAsia="Calibri" w:hAnsi="Arial" w:cs="Arial"/>
          <w:sz w:val="24"/>
          <w:szCs w:val="24"/>
          <w:lang w:val="en-ZA"/>
        </w:rPr>
        <w:tab/>
        <w:t xml:space="preserve">Email: </w:t>
      </w:r>
      <w:hyperlink r:id="rId11" w:history="1">
        <w:r w:rsidRPr="000B4659">
          <w:rPr>
            <w:rStyle w:val="Hyperlink"/>
            <w:rFonts w:ascii="Arial" w:eastAsia="Calibri" w:hAnsi="Arial" w:cs="Arial"/>
            <w:sz w:val="24"/>
            <w:szCs w:val="24"/>
            <w:lang w:val="en-ZA"/>
          </w:rPr>
          <w:t>yuri@mfilaw.co.za</w:t>
        </w:r>
      </w:hyperlink>
    </w:p>
    <w:p w14:paraId="4430E5BB" w14:textId="03BBE335" w:rsidR="00F610F0" w:rsidRDefault="00F610F0" w:rsidP="007E04B9">
      <w:pPr>
        <w:spacing w:after="0" w:line="360" w:lineRule="auto"/>
        <w:jc w:val="both"/>
        <w:rPr>
          <w:rFonts w:ascii="Arial" w:eastAsia="Calibri" w:hAnsi="Arial" w:cs="Arial"/>
          <w:sz w:val="24"/>
          <w:szCs w:val="24"/>
          <w:lang w:val="en-ZA"/>
        </w:rPr>
      </w:pPr>
      <w:r>
        <w:rPr>
          <w:rFonts w:ascii="Arial" w:eastAsia="Calibri" w:hAnsi="Arial" w:cs="Arial"/>
          <w:sz w:val="24"/>
          <w:szCs w:val="24"/>
          <w:lang w:val="en-ZA"/>
        </w:rPr>
        <w:t xml:space="preserve"> </w:t>
      </w:r>
    </w:p>
    <w:p w14:paraId="783EC2AE" w14:textId="2988E19F" w:rsidR="00125A08" w:rsidRDefault="00125A08" w:rsidP="007E04B9">
      <w:pPr>
        <w:spacing w:after="0" w:line="360" w:lineRule="auto"/>
        <w:jc w:val="both"/>
        <w:rPr>
          <w:rFonts w:ascii="Arial" w:eastAsia="Calibri" w:hAnsi="Arial" w:cs="Arial"/>
          <w:sz w:val="24"/>
          <w:szCs w:val="24"/>
          <w:lang w:val="en-ZA"/>
        </w:rPr>
      </w:pPr>
      <w:r>
        <w:rPr>
          <w:rFonts w:ascii="Arial" w:eastAsia="Calibri" w:hAnsi="Arial" w:cs="Arial"/>
          <w:sz w:val="24"/>
          <w:szCs w:val="24"/>
          <w:lang w:val="en-ZA"/>
        </w:rPr>
        <w:t>Date of hearing:</w:t>
      </w:r>
      <w:r w:rsidR="00F610F0">
        <w:rPr>
          <w:rFonts w:ascii="Arial" w:eastAsia="Calibri" w:hAnsi="Arial" w:cs="Arial"/>
          <w:sz w:val="24"/>
          <w:szCs w:val="24"/>
          <w:lang w:val="en-ZA"/>
        </w:rPr>
        <w:t xml:space="preserve"> </w:t>
      </w:r>
      <w:r w:rsidR="00F610F0">
        <w:rPr>
          <w:rFonts w:ascii="Arial" w:eastAsia="Calibri" w:hAnsi="Arial" w:cs="Arial"/>
          <w:sz w:val="24"/>
          <w:szCs w:val="24"/>
          <w:lang w:val="en-ZA"/>
        </w:rPr>
        <w:tab/>
      </w:r>
      <w:r w:rsidR="00F610F0">
        <w:rPr>
          <w:rFonts w:ascii="Arial" w:eastAsia="Calibri" w:hAnsi="Arial" w:cs="Arial"/>
          <w:sz w:val="24"/>
          <w:szCs w:val="24"/>
          <w:lang w:val="en-ZA"/>
        </w:rPr>
        <w:tab/>
        <w:t>21 January 2022</w:t>
      </w:r>
    </w:p>
    <w:p w14:paraId="009FCBDE" w14:textId="1E089449" w:rsidR="00CF123C" w:rsidRDefault="00CF123C" w:rsidP="007E04B9">
      <w:pPr>
        <w:spacing w:after="0" w:line="360" w:lineRule="auto"/>
        <w:jc w:val="both"/>
        <w:rPr>
          <w:rFonts w:ascii="Arial" w:eastAsia="Calibri" w:hAnsi="Arial" w:cs="Arial"/>
          <w:sz w:val="24"/>
          <w:szCs w:val="24"/>
          <w:lang w:val="en-ZA"/>
        </w:rPr>
      </w:pPr>
      <w:r>
        <w:rPr>
          <w:rFonts w:ascii="Arial" w:eastAsia="Calibri" w:hAnsi="Arial" w:cs="Arial"/>
          <w:sz w:val="24"/>
          <w:szCs w:val="24"/>
          <w:lang w:val="en-ZA"/>
        </w:rPr>
        <w:t>Date of judgment:</w:t>
      </w:r>
      <w:r w:rsidR="00F610F0">
        <w:rPr>
          <w:rFonts w:ascii="Arial" w:eastAsia="Calibri" w:hAnsi="Arial" w:cs="Arial"/>
          <w:sz w:val="24"/>
          <w:szCs w:val="24"/>
          <w:lang w:val="en-ZA"/>
        </w:rPr>
        <w:t xml:space="preserve"> </w:t>
      </w:r>
      <w:r w:rsidR="00F610F0">
        <w:rPr>
          <w:rFonts w:ascii="Arial" w:eastAsia="Calibri" w:hAnsi="Arial" w:cs="Arial"/>
          <w:sz w:val="24"/>
          <w:szCs w:val="24"/>
          <w:lang w:val="en-ZA"/>
        </w:rPr>
        <w:tab/>
      </w:r>
      <w:r w:rsidR="00F610F0">
        <w:rPr>
          <w:rFonts w:ascii="Arial" w:eastAsia="Calibri" w:hAnsi="Arial" w:cs="Arial"/>
          <w:sz w:val="24"/>
          <w:szCs w:val="24"/>
          <w:lang w:val="en-ZA"/>
        </w:rPr>
        <w:tab/>
        <w:t>06 May 2022</w:t>
      </w:r>
    </w:p>
    <w:p w14:paraId="1C281FA6" w14:textId="77777777" w:rsidR="00F610F0" w:rsidRPr="006A1EDF" w:rsidRDefault="00F610F0" w:rsidP="007E04B9">
      <w:pPr>
        <w:spacing w:after="0" w:line="360" w:lineRule="auto"/>
        <w:jc w:val="both"/>
        <w:rPr>
          <w:rFonts w:ascii="Arial" w:eastAsia="Calibri" w:hAnsi="Arial" w:cs="Arial"/>
          <w:sz w:val="24"/>
          <w:szCs w:val="24"/>
          <w:lang w:val="en-ZA"/>
        </w:rPr>
      </w:pPr>
    </w:p>
    <w:sectPr w:rsidR="00F610F0" w:rsidRPr="006A1EDF" w:rsidSect="006E29A8">
      <w:foot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A53EAD" w14:textId="77777777" w:rsidR="00296A09" w:rsidRDefault="00296A09" w:rsidP="00D07988">
      <w:pPr>
        <w:spacing w:after="0" w:line="240" w:lineRule="auto"/>
      </w:pPr>
      <w:r>
        <w:separator/>
      </w:r>
    </w:p>
  </w:endnote>
  <w:endnote w:type="continuationSeparator" w:id="0">
    <w:p w14:paraId="2B599058" w14:textId="77777777" w:rsidR="00296A09" w:rsidRDefault="00296A09" w:rsidP="00D07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7879271"/>
      <w:docPartObj>
        <w:docPartGallery w:val="Page Numbers (Bottom of Page)"/>
        <w:docPartUnique/>
      </w:docPartObj>
    </w:sdtPr>
    <w:sdtEndPr>
      <w:rPr>
        <w:noProof/>
      </w:rPr>
    </w:sdtEndPr>
    <w:sdtContent>
      <w:p w14:paraId="66409268" w14:textId="3220F47A" w:rsidR="00296A09" w:rsidRDefault="00296A09">
        <w:pPr>
          <w:pStyle w:val="Footer"/>
          <w:jc w:val="right"/>
        </w:pPr>
        <w:r>
          <w:fldChar w:fldCharType="begin"/>
        </w:r>
        <w:r>
          <w:instrText xml:space="preserve"> PAGE   \* MERGEFORMAT </w:instrText>
        </w:r>
        <w:r>
          <w:fldChar w:fldCharType="separate"/>
        </w:r>
        <w:r w:rsidR="002225A8">
          <w:rPr>
            <w:noProof/>
          </w:rPr>
          <w:t>11</w:t>
        </w:r>
        <w:r>
          <w:rPr>
            <w:noProof/>
          </w:rPr>
          <w:fldChar w:fldCharType="end"/>
        </w:r>
      </w:p>
    </w:sdtContent>
  </w:sdt>
  <w:p w14:paraId="563D9FFC" w14:textId="77777777" w:rsidR="00296A09" w:rsidRDefault="00296A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3263DE" w14:textId="77777777" w:rsidR="00296A09" w:rsidRDefault="00296A09" w:rsidP="00D07988">
      <w:pPr>
        <w:spacing w:after="0" w:line="240" w:lineRule="auto"/>
      </w:pPr>
      <w:r>
        <w:separator/>
      </w:r>
    </w:p>
  </w:footnote>
  <w:footnote w:type="continuationSeparator" w:id="0">
    <w:p w14:paraId="4AFC8A29" w14:textId="77777777" w:rsidR="00296A09" w:rsidRDefault="00296A09" w:rsidP="00D07988">
      <w:pPr>
        <w:spacing w:after="0" w:line="240" w:lineRule="auto"/>
      </w:pPr>
      <w:r>
        <w:continuationSeparator/>
      </w:r>
    </w:p>
  </w:footnote>
  <w:footnote w:id="1">
    <w:p w14:paraId="57123B85" w14:textId="77777777" w:rsidR="00296A09" w:rsidRPr="007E04B9" w:rsidRDefault="00296A09" w:rsidP="007B64B7">
      <w:pPr>
        <w:pStyle w:val="FootnoteText"/>
        <w:jc w:val="both"/>
        <w:rPr>
          <w:rFonts w:ascii="Arial" w:hAnsi="Arial" w:cs="Arial"/>
          <w:lang w:val="en-GB"/>
        </w:rPr>
      </w:pPr>
      <w:r w:rsidRPr="007E04B9">
        <w:rPr>
          <w:rStyle w:val="FootnoteReference"/>
          <w:rFonts w:ascii="Arial" w:hAnsi="Arial" w:cs="Arial"/>
        </w:rPr>
        <w:footnoteRef/>
      </w:r>
      <w:r w:rsidRPr="007E04B9">
        <w:rPr>
          <w:rFonts w:ascii="Arial" w:hAnsi="Arial" w:cs="Arial"/>
        </w:rPr>
        <w:t xml:space="preserve"> </w:t>
      </w:r>
      <w:r w:rsidRPr="007E04B9">
        <w:rPr>
          <w:rFonts w:ascii="Arial" w:hAnsi="Arial" w:cs="Arial"/>
          <w:lang w:val="en-GB"/>
        </w:rPr>
        <w:t>See letter dated 21/08/2019, Annexure BJ 2 at pages 35-39 of the indexed papers.</w:t>
      </w:r>
    </w:p>
  </w:footnote>
  <w:footnote w:id="2">
    <w:p w14:paraId="71824F6E" w14:textId="77777777" w:rsidR="00296A09" w:rsidRPr="007E04B9" w:rsidRDefault="00296A09" w:rsidP="007B64B7">
      <w:pPr>
        <w:pStyle w:val="FootnoteText"/>
        <w:jc w:val="both"/>
        <w:rPr>
          <w:rFonts w:ascii="Arial" w:hAnsi="Arial" w:cs="Arial"/>
          <w:lang w:val="en-GB"/>
        </w:rPr>
      </w:pPr>
      <w:r w:rsidRPr="007E04B9">
        <w:rPr>
          <w:rStyle w:val="FootnoteReference"/>
          <w:rFonts w:ascii="Arial" w:hAnsi="Arial" w:cs="Arial"/>
        </w:rPr>
        <w:footnoteRef/>
      </w:r>
      <w:r w:rsidRPr="007E04B9">
        <w:rPr>
          <w:rFonts w:ascii="Arial" w:hAnsi="Arial" w:cs="Arial"/>
        </w:rPr>
        <w:t xml:space="preserve"> </w:t>
      </w:r>
      <w:r w:rsidR="00FE787E" w:rsidRPr="007E04B9">
        <w:rPr>
          <w:rFonts w:ascii="Arial" w:hAnsi="Arial" w:cs="Arial"/>
          <w:lang w:val="en-GB"/>
        </w:rPr>
        <w:t>See letter Annexure BJ 5</w:t>
      </w:r>
      <w:r w:rsidRPr="007E04B9">
        <w:rPr>
          <w:rFonts w:ascii="Arial" w:hAnsi="Arial" w:cs="Arial"/>
          <w:lang w:val="en-GB"/>
        </w:rPr>
        <w:t xml:space="preserve"> at pages 428 to 431 of the indexed papers.</w:t>
      </w:r>
    </w:p>
  </w:footnote>
  <w:footnote w:id="3">
    <w:p w14:paraId="2F2E214E" w14:textId="77777777" w:rsidR="00296A09" w:rsidRPr="007E04B9" w:rsidRDefault="00296A09" w:rsidP="007B64B7">
      <w:pPr>
        <w:pStyle w:val="FootnoteText"/>
        <w:jc w:val="both"/>
        <w:rPr>
          <w:rFonts w:ascii="Arial" w:hAnsi="Arial" w:cs="Arial"/>
          <w:lang w:val="en-GB"/>
        </w:rPr>
      </w:pPr>
      <w:r w:rsidRPr="007E04B9">
        <w:rPr>
          <w:rStyle w:val="FootnoteReference"/>
          <w:rFonts w:ascii="Arial" w:hAnsi="Arial" w:cs="Arial"/>
        </w:rPr>
        <w:footnoteRef/>
      </w:r>
      <w:r w:rsidRPr="007E04B9">
        <w:rPr>
          <w:rFonts w:ascii="Arial" w:hAnsi="Arial" w:cs="Arial"/>
        </w:rPr>
        <w:t xml:space="preserve"> </w:t>
      </w:r>
      <w:r w:rsidRPr="007E04B9">
        <w:rPr>
          <w:rFonts w:ascii="Arial" w:hAnsi="Arial" w:cs="Arial"/>
          <w:lang w:val="en-GB"/>
        </w:rPr>
        <w:t>See Annexure BJ 6 at pages 432 to 435 of indexed papers.</w:t>
      </w:r>
    </w:p>
  </w:footnote>
  <w:footnote w:id="4">
    <w:p w14:paraId="17C06802" w14:textId="77777777" w:rsidR="00296A09" w:rsidRPr="007E04B9" w:rsidRDefault="00296A09" w:rsidP="007B64B7">
      <w:pPr>
        <w:pStyle w:val="FootnoteText"/>
        <w:jc w:val="both"/>
        <w:rPr>
          <w:rFonts w:ascii="Arial" w:hAnsi="Arial" w:cs="Arial"/>
          <w:lang w:val="en-GB"/>
        </w:rPr>
      </w:pPr>
      <w:r w:rsidRPr="007E04B9">
        <w:rPr>
          <w:rStyle w:val="FootnoteReference"/>
          <w:rFonts w:ascii="Arial" w:hAnsi="Arial" w:cs="Arial"/>
        </w:rPr>
        <w:footnoteRef/>
      </w:r>
      <w:r w:rsidRPr="007E04B9">
        <w:rPr>
          <w:rFonts w:ascii="Arial" w:hAnsi="Arial" w:cs="Arial"/>
        </w:rPr>
        <w:t xml:space="preserve"> </w:t>
      </w:r>
      <w:r w:rsidRPr="007E04B9">
        <w:rPr>
          <w:rFonts w:ascii="Arial" w:hAnsi="Arial" w:cs="Arial"/>
          <w:lang w:val="en-GB"/>
        </w:rPr>
        <w:t>See para 4 of first respondent’s letter at page 441 of indexed papers.</w:t>
      </w:r>
    </w:p>
  </w:footnote>
  <w:footnote w:id="5">
    <w:p w14:paraId="4B62D0D2" w14:textId="77777777" w:rsidR="00FE787E" w:rsidRPr="007E04B9" w:rsidRDefault="00FE787E" w:rsidP="007B64B7">
      <w:pPr>
        <w:pStyle w:val="FootnoteText"/>
        <w:jc w:val="both"/>
        <w:rPr>
          <w:rFonts w:ascii="Arial" w:hAnsi="Arial" w:cs="Arial"/>
          <w:lang w:val="en-GB"/>
        </w:rPr>
      </w:pPr>
      <w:r w:rsidRPr="007E04B9">
        <w:rPr>
          <w:rStyle w:val="FootnoteReference"/>
          <w:rFonts w:ascii="Arial" w:hAnsi="Arial" w:cs="Arial"/>
        </w:rPr>
        <w:footnoteRef/>
      </w:r>
      <w:r w:rsidRPr="007E04B9">
        <w:rPr>
          <w:rFonts w:ascii="Arial" w:hAnsi="Arial" w:cs="Arial"/>
        </w:rPr>
        <w:t xml:space="preserve"> </w:t>
      </w:r>
      <w:r w:rsidRPr="007E04B9">
        <w:rPr>
          <w:rFonts w:ascii="Arial" w:hAnsi="Arial" w:cs="Arial"/>
          <w:lang w:val="en-GB"/>
        </w:rPr>
        <w:t>See para 6 of Annexure BJ 7 at page 441 of indexed papers.</w:t>
      </w:r>
    </w:p>
  </w:footnote>
  <w:footnote w:id="6">
    <w:p w14:paraId="28F1D5B1" w14:textId="6A4964A4" w:rsidR="00296A09" w:rsidRPr="007E04B9" w:rsidRDefault="00296A09" w:rsidP="007B64B7">
      <w:pPr>
        <w:pStyle w:val="FootnoteText"/>
        <w:jc w:val="both"/>
        <w:rPr>
          <w:rFonts w:ascii="Arial" w:hAnsi="Arial" w:cs="Arial"/>
          <w:lang w:val="en-GB"/>
        </w:rPr>
      </w:pPr>
      <w:r w:rsidRPr="007E04B9">
        <w:rPr>
          <w:rStyle w:val="FootnoteReference"/>
          <w:rFonts w:ascii="Arial" w:hAnsi="Arial" w:cs="Arial"/>
        </w:rPr>
        <w:footnoteRef/>
      </w:r>
      <w:r w:rsidRPr="007E04B9">
        <w:rPr>
          <w:rFonts w:ascii="Arial" w:hAnsi="Arial" w:cs="Arial"/>
        </w:rPr>
        <w:t xml:space="preserve"> </w:t>
      </w:r>
      <w:r w:rsidR="007B64B7" w:rsidRPr="007B64B7">
        <w:rPr>
          <w:rFonts w:ascii="Arial" w:hAnsi="Arial" w:cs="Arial"/>
          <w:i/>
          <w:lang w:val="en-GB"/>
        </w:rPr>
        <w:t xml:space="preserve">Minister of Local Government, Housing and Traditional Affairs, KwaZulu-Natal v </w:t>
      </w:r>
      <w:proofErr w:type="spellStart"/>
      <w:r w:rsidR="007B64B7" w:rsidRPr="007B64B7">
        <w:rPr>
          <w:rFonts w:ascii="Arial" w:hAnsi="Arial" w:cs="Arial"/>
          <w:i/>
          <w:lang w:val="en-GB"/>
        </w:rPr>
        <w:t>Umlambo</w:t>
      </w:r>
      <w:proofErr w:type="spellEnd"/>
      <w:r w:rsidR="007B64B7" w:rsidRPr="007B64B7">
        <w:rPr>
          <w:rFonts w:ascii="Arial" w:hAnsi="Arial" w:cs="Arial"/>
          <w:i/>
          <w:lang w:val="en-GB"/>
        </w:rPr>
        <w:t xml:space="preserve"> Trading 29 CC and others</w:t>
      </w:r>
      <w:r w:rsidR="007B64B7" w:rsidRPr="007B64B7">
        <w:rPr>
          <w:rFonts w:ascii="Arial" w:hAnsi="Arial" w:cs="Arial"/>
          <w:lang w:val="en-GB"/>
        </w:rPr>
        <w:t xml:space="preserve"> 2008 (1) SA 396 (SCA)</w:t>
      </w:r>
      <w:r w:rsidR="007B64B7">
        <w:rPr>
          <w:rFonts w:ascii="Arial" w:hAnsi="Arial" w:cs="Arial"/>
          <w:lang w:val="en-GB"/>
        </w:rPr>
        <w:t xml:space="preserve"> para 24</w:t>
      </w:r>
      <w:r w:rsidRPr="007E04B9">
        <w:rPr>
          <w:rFonts w:ascii="Arial" w:hAnsi="Arial" w:cs="Arial"/>
          <w:lang w:val="en-GB"/>
        </w:rPr>
        <w:t>.</w:t>
      </w:r>
    </w:p>
  </w:footnote>
  <w:footnote w:id="7">
    <w:p w14:paraId="609FB320" w14:textId="357D1FEB" w:rsidR="004A6319" w:rsidRPr="007E04B9" w:rsidRDefault="004A6319" w:rsidP="007B64B7">
      <w:pPr>
        <w:pStyle w:val="FootnoteText"/>
        <w:jc w:val="both"/>
        <w:rPr>
          <w:rFonts w:ascii="Arial" w:hAnsi="Arial" w:cs="Arial"/>
          <w:lang w:val="en-GB"/>
        </w:rPr>
      </w:pPr>
      <w:r w:rsidRPr="007E04B9">
        <w:rPr>
          <w:rStyle w:val="FootnoteReference"/>
          <w:rFonts w:ascii="Arial" w:hAnsi="Arial" w:cs="Arial"/>
        </w:rPr>
        <w:footnoteRef/>
      </w:r>
      <w:r w:rsidRPr="007E04B9">
        <w:rPr>
          <w:rFonts w:ascii="Arial" w:hAnsi="Arial" w:cs="Arial"/>
        </w:rPr>
        <w:t xml:space="preserve"> </w:t>
      </w:r>
      <w:r w:rsidRPr="007E04B9">
        <w:rPr>
          <w:rFonts w:ascii="Arial" w:hAnsi="Arial" w:cs="Arial"/>
          <w:lang w:val="en-GB"/>
        </w:rPr>
        <w:t xml:space="preserve">See </w:t>
      </w:r>
      <w:r w:rsidR="007B64B7">
        <w:rPr>
          <w:rFonts w:ascii="Arial" w:hAnsi="Arial" w:cs="Arial"/>
          <w:lang w:val="en-GB"/>
        </w:rPr>
        <w:t xml:space="preserve">sections </w:t>
      </w:r>
      <w:r w:rsidR="000526D0">
        <w:rPr>
          <w:rFonts w:ascii="Arial" w:hAnsi="Arial" w:cs="Arial"/>
          <w:lang w:val="en-GB"/>
        </w:rPr>
        <w:t>2(1)</w:t>
      </w:r>
      <w:r w:rsidR="00B633D5">
        <w:rPr>
          <w:rFonts w:ascii="Arial" w:hAnsi="Arial" w:cs="Arial"/>
          <w:lang w:val="en-GB"/>
        </w:rPr>
        <w:t xml:space="preserve"> </w:t>
      </w:r>
      <w:r w:rsidRPr="007E04B9">
        <w:rPr>
          <w:rFonts w:ascii="Arial" w:hAnsi="Arial" w:cs="Arial"/>
          <w:lang w:val="en-GB"/>
        </w:rPr>
        <w:t>3</w:t>
      </w:r>
      <w:r w:rsidR="00B633D5">
        <w:rPr>
          <w:rFonts w:ascii="Arial" w:hAnsi="Arial" w:cs="Arial"/>
          <w:lang w:val="en-GB"/>
        </w:rPr>
        <w:t>, 4</w:t>
      </w:r>
      <w:r w:rsidRPr="007E04B9">
        <w:rPr>
          <w:rFonts w:ascii="Arial" w:hAnsi="Arial" w:cs="Arial"/>
          <w:lang w:val="en-GB"/>
        </w:rPr>
        <w:t xml:space="preserve"> and 8 </w:t>
      </w:r>
      <w:r w:rsidR="00F32601">
        <w:rPr>
          <w:rFonts w:ascii="Arial" w:hAnsi="Arial" w:cs="Arial"/>
          <w:lang w:val="en-GB"/>
        </w:rPr>
        <w:t xml:space="preserve">of the KwaZulu-Natal Commissions Act 3 of 1999, </w:t>
      </w:r>
      <w:r w:rsidRPr="007E04B9">
        <w:rPr>
          <w:rFonts w:ascii="Arial" w:hAnsi="Arial" w:cs="Arial"/>
          <w:lang w:val="en-GB"/>
        </w:rPr>
        <w:t>respectively.</w:t>
      </w:r>
    </w:p>
  </w:footnote>
  <w:footnote w:id="8">
    <w:p w14:paraId="69A7CBEF" w14:textId="124B4E53" w:rsidR="001C58C3" w:rsidRPr="00E15033" w:rsidRDefault="001C58C3" w:rsidP="00E15033">
      <w:pPr>
        <w:pStyle w:val="FootnoteText"/>
        <w:jc w:val="both"/>
        <w:rPr>
          <w:rFonts w:ascii="Arial" w:hAnsi="Arial" w:cs="Arial"/>
          <w:lang w:val="en-GB"/>
        </w:rPr>
      </w:pPr>
      <w:r w:rsidRPr="007E04B9">
        <w:rPr>
          <w:rStyle w:val="FootnoteReference"/>
          <w:rFonts w:ascii="Arial" w:hAnsi="Arial" w:cs="Arial"/>
        </w:rPr>
        <w:footnoteRef/>
      </w:r>
      <w:r w:rsidRPr="007E04B9">
        <w:rPr>
          <w:rFonts w:ascii="Arial" w:hAnsi="Arial" w:cs="Arial"/>
        </w:rPr>
        <w:t xml:space="preserve"> </w:t>
      </w:r>
      <w:r w:rsidR="00E15033" w:rsidRPr="00E15033">
        <w:rPr>
          <w:rFonts w:ascii="Arial" w:hAnsi="Arial" w:cs="Arial"/>
          <w:i/>
          <w:lang w:val="en-GB"/>
        </w:rPr>
        <w:t>Secretary of the Judicial Commission of Inquiry into Allegations of State Capture, Corruption and Fraud in the Public Sector including Organs of State v Zuma</w:t>
      </w:r>
      <w:r w:rsidR="00E15033" w:rsidRPr="00E15033">
        <w:rPr>
          <w:rFonts w:ascii="Arial" w:hAnsi="Arial" w:cs="Arial"/>
          <w:lang w:val="en-GB"/>
        </w:rPr>
        <w:t xml:space="preserve"> [2021] ZACC 2; 2021 (5) SA 1 (CC); 2021 (5) BCLR 542 (CC)</w:t>
      </w:r>
      <w:r w:rsidR="00FF6A7D" w:rsidRPr="00E15033">
        <w:rPr>
          <w:rFonts w:ascii="Arial" w:hAnsi="Arial" w:cs="Arial"/>
          <w:lang w:val="en-GB"/>
        </w:rPr>
        <w:t xml:space="preserve"> </w:t>
      </w:r>
      <w:r w:rsidR="00E15033" w:rsidRPr="00E15033">
        <w:rPr>
          <w:rFonts w:ascii="Arial" w:hAnsi="Arial" w:cs="Arial"/>
          <w:lang w:val="en-GB"/>
        </w:rPr>
        <w:t>para</w:t>
      </w:r>
      <w:r w:rsidR="00FF6A7D" w:rsidRPr="00E15033">
        <w:rPr>
          <w:rFonts w:ascii="Arial" w:hAnsi="Arial" w:cs="Arial"/>
          <w:lang w:val="en-GB"/>
        </w:rPr>
        <w:t>s 5 and 6.</w:t>
      </w:r>
    </w:p>
  </w:footnote>
  <w:footnote w:id="9">
    <w:p w14:paraId="6134EF0A" w14:textId="46A5955F" w:rsidR="00E15033" w:rsidRPr="00E15033" w:rsidRDefault="00E15033" w:rsidP="00E15033">
      <w:pPr>
        <w:pStyle w:val="FootnoteText"/>
        <w:jc w:val="both"/>
        <w:rPr>
          <w:rFonts w:ascii="Arial" w:hAnsi="Arial" w:cs="Arial"/>
          <w:lang w:val="en-GB"/>
        </w:rPr>
      </w:pPr>
      <w:r w:rsidRPr="00E15033">
        <w:rPr>
          <w:rStyle w:val="FootnoteReference"/>
          <w:rFonts w:ascii="Arial" w:hAnsi="Arial" w:cs="Arial"/>
        </w:rPr>
        <w:footnoteRef/>
      </w:r>
      <w:r w:rsidRPr="00E15033">
        <w:rPr>
          <w:rFonts w:ascii="Arial" w:hAnsi="Arial" w:cs="Arial"/>
        </w:rPr>
        <w:t xml:space="preserve"> </w:t>
      </w:r>
      <w:r w:rsidRPr="00E15033">
        <w:rPr>
          <w:rFonts w:ascii="Arial" w:hAnsi="Arial" w:cs="Arial"/>
          <w:i/>
          <w:lang w:val="en-GB"/>
        </w:rPr>
        <w:t>Secretary of the Judicial Commission of Inquiry into Allegations of State Capture, Corruption and Fraud in the Public Sector including Organs of State v Zuma</w:t>
      </w:r>
      <w:r w:rsidRPr="00E15033">
        <w:rPr>
          <w:rFonts w:ascii="Arial" w:hAnsi="Arial" w:cs="Arial"/>
          <w:lang w:val="en-GB"/>
        </w:rPr>
        <w:t xml:space="preserve"> [2021] ZACC 2; 2021 (5) SA 1 (CC); 2021 (5) BCLR 542 (CC) para 5</w:t>
      </w:r>
      <w:r>
        <w:rPr>
          <w:rFonts w:ascii="Arial" w:hAnsi="Arial" w:cs="Arial"/>
          <w:lang w:val="en-GB"/>
        </w:rPr>
        <w:t>.</w:t>
      </w:r>
    </w:p>
  </w:footnote>
  <w:footnote w:id="10">
    <w:p w14:paraId="65476C95" w14:textId="48F736B8" w:rsidR="00205242" w:rsidRPr="007E04B9" w:rsidRDefault="00205242" w:rsidP="007B64B7">
      <w:pPr>
        <w:pStyle w:val="FootnoteText"/>
        <w:jc w:val="both"/>
        <w:rPr>
          <w:rFonts w:ascii="Arial" w:hAnsi="Arial" w:cs="Arial"/>
          <w:lang w:val="en-GB"/>
        </w:rPr>
      </w:pPr>
      <w:r w:rsidRPr="007E04B9">
        <w:rPr>
          <w:rStyle w:val="FootnoteReference"/>
          <w:rFonts w:ascii="Arial" w:hAnsi="Arial" w:cs="Arial"/>
        </w:rPr>
        <w:footnoteRef/>
      </w:r>
      <w:r w:rsidRPr="007E04B9">
        <w:rPr>
          <w:rFonts w:ascii="Arial" w:hAnsi="Arial" w:cs="Arial"/>
        </w:rPr>
        <w:t xml:space="preserve"> </w:t>
      </w:r>
      <w:r w:rsidR="00E66488" w:rsidRPr="00E66488">
        <w:rPr>
          <w:rFonts w:ascii="Arial" w:hAnsi="Arial" w:cs="Arial"/>
          <w:i/>
          <w:lang w:val="en-GB"/>
        </w:rPr>
        <w:t xml:space="preserve">South African Roads Board v Johannesburg City Council </w:t>
      </w:r>
      <w:r w:rsidR="00973B8E" w:rsidRPr="007E04B9">
        <w:rPr>
          <w:rFonts w:ascii="Arial" w:hAnsi="Arial" w:cs="Arial"/>
          <w:lang w:val="en-GB"/>
        </w:rPr>
        <w:t>1991 (4) SA 1 at 10G – I. See also</w:t>
      </w:r>
      <w:r w:rsidR="00E66488" w:rsidRPr="007E04B9">
        <w:rPr>
          <w:rFonts w:ascii="Arial" w:hAnsi="Arial" w:cs="Arial"/>
          <w:lang w:val="en-GB"/>
        </w:rPr>
        <w:t xml:space="preserve">, </w:t>
      </w:r>
      <w:r w:rsidR="00E66488" w:rsidRPr="00E66488">
        <w:rPr>
          <w:rFonts w:ascii="Arial" w:hAnsi="Arial" w:cs="Arial"/>
          <w:i/>
          <w:lang w:val="en-GB"/>
        </w:rPr>
        <w:t xml:space="preserve">Attorney-General, Eastern Cape v </w:t>
      </w:r>
      <w:proofErr w:type="spellStart"/>
      <w:r w:rsidR="00E66488" w:rsidRPr="00E66488">
        <w:rPr>
          <w:rFonts w:ascii="Arial" w:hAnsi="Arial" w:cs="Arial"/>
          <w:i/>
          <w:lang w:val="en-GB"/>
        </w:rPr>
        <w:t>Blom</w:t>
      </w:r>
      <w:proofErr w:type="spellEnd"/>
      <w:r w:rsidR="00E66488" w:rsidRPr="00E66488">
        <w:rPr>
          <w:rFonts w:ascii="Arial" w:hAnsi="Arial" w:cs="Arial"/>
          <w:i/>
          <w:lang w:val="en-GB"/>
        </w:rPr>
        <w:t xml:space="preserve"> and others</w:t>
      </w:r>
      <w:r w:rsidR="00973B8E" w:rsidRPr="007E04B9">
        <w:rPr>
          <w:rFonts w:ascii="Arial" w:hAnsi="Arial" w:cs="Arial"/>
          <w:lang w:val="en-GB"/>
        </w:rPr>
        <w:t xml:space="preserve"> 1</w:t>
      </w:r>
      <w:r w:rsidR="00E66488">
        <w:rPr>
          <w:rFonts w:ascii="Arial" w:hAnsi="Arial" w:cs="Arial"/>
          <w:lang w:val="en-GB"/>
        </w:rPr>
        <w:t>988 (4) SA 645 (A) at 660H – 662</w:t>
      </w:r>
      <w:r w:rsidR="00973B8E" w:rsidRPr="007E04B9">
        <w:rPr>
          <w:rFonts w:ascii="Arial" w:hAnsi="Arial" w:cs="Arial"/>
          <w:lang w:val="en-GB"/>
        </w:rPr>
        <w:t>I.</w:t>
      </w:r>
    </w:p>
  </w:footnote>
  <w:footnote w:id="11">
    <w:p w14:paraId="1CB10CDA" w14:textId="77777777" w:rsidR="00E66488" w:rsidRPr="007E04B9" w:rsidRDefault="00E66488" w:rsidP="00E66488">
      <w:pPr>
        <w:pStyle w:val="FootnoteText"/>
        <w:jc w:val="both"/>
        <w:rPr>
          <w:rFonts w:ascii="Arial" w:hAnsi="Arial" w:cs="Arial"/>
          <w:lang w:val="en-GB"/>
        </w:rPr>
      </w:pPr>
      <w:r w:rsidRPr="007E04B9">
        <w:rPr>
          <w:rStyle w:val="FootnoteReference"/>
          <w:rFonts w:ascii="Arial" w:hAnsi="Arial" w:cs="Arial"/>
        </w:rPr>
        <w:footnoteRef/>
      </w:r>
      <w:r w:rsidRPr="007E04B9">
        <w:rPr>
          <w:rFonts w:ascii="Arial" w:hAnsi="Arial" w:cs="Arial"/>
        </w:rPr>
        <w:t xml:space="preserve"> </w:t>
      </w:r>
      <w:r w:rsidRPr="007E04B9">
        <w:rPr>
          <w:rFonts w:ascii="Arial" w:hAnsi="Arial" w:cs="Arial"/>
          <w:lang w:val="en-GB"/>
        </w:rPr>
        <w:t xml:space="preserve">See </w:t>
      </w:r>
      <w:r w:rsidRPr="00E66488">
        <w:rPr>
          <w:rFonts w:ascii="Arial" w:hAnsi="Arial" w:cs="Arial"/>
          <w:i/>
          <w:lang w:val="en-GB"/>
        </w:rPr>
        <w:t xml:space="preserve">Administrator, Transvaal, and others v </w:t>
      </w:r>
      <w:proofErr w:type="spellStart"/>
      <w:r w:rsidRPr="00E66488">
        <w:rPr>
          <w:rFonts w:ascii="Arial" w:hAnsi="Arial" w:cs="Arial"/>
          <w:i/>
          <w:lang w:val="en-GB"/>
        </w:rPr>
        <w:t>Traub</w:t>
      </w:r>
      <w:proofErr w:type="spellEnd"/>
      <w:r w:rsidRPr="00E66488">
        <w:rPr>
          <w:rFonts w:ascii="Arial" w:hAnsi="Arial" w:cs="Arial"/>
          <w:i/>
          <w:lang w:val="en-GB"/>
        </w:rPr>
        <w:t xml:space="preserve"> and others</w:t>
      </w:r>
      <w:r>
        <w:rPr>
          <w:rFonts w:ascii="Arial" w:hAnsi="Arial" w:cs="Arial"/>
          <w:lang w:val="en-GB"/>
        </w:rPr>
        <w:t xml:space="preserve"> 1989 (4) SA 731 at 754</w:t>
      </w:r>
      <w:r w:rsidRPr="007E04B9">
        <w:rPr>
          <w:rFonts w:ascii="Arial" w:hAnsi="Arial" w:cs="Arial"/>
          <w:lang w:val="en-GB"/>
        </w:rPr>
        <w:t>I – J.</w:t>
      </w:r>
    </w:p>
  </w:footnote>
  <w:footnote w:id="12">
    <w:p w14:paraId="08792717" w14:textId="1C528366" w:rsidR="00205242" w:rsidRPr="007E04B9" w:rsidRDefault="00205242" w:rsidP="007B64B7">
      <w:pPr>
        <w:pStyle w:val="FootnoteText"/>
        <w:jc w:val="both"/>
        <w:rPr>
          <w:rFonts w:ascii="Arial" w:hAnsi="Arial" w:cs="Arial"/>
          <w:lang w:val="en-GB"/>
        </w:rPr>
      </w:pPr>
      <w:r w:rsidRPr="007E04B9">
        <w:rPr>
          <w:rStyle w:val="FootnoteReference"/>
          <w:rFonts w:ascii="Arial" w:hAnsi="Arial" w:cs="Arial"/>
        </w:rPr>
        <w:footnoteRef/>
      </w:r>
      <w:r w:rsidRPr="007E04B9">
        <w:rPr>
          <w:rFonts w:ascii="Arial" w:hAnsi="Arial" w:cs="Arial"/>
        </w:rPr>
        <w:t xml:space="preserve"> </w:t>
      </w:r>
      <w:r w:rsidRPr="007E04B9">
        <w:rPr>
          <w:rFonts w:ascii="Arial" w:hAnsi="Arial" w:cs="Arial"/>
          <w:i/>
          <w:lang w:val="en-GB"/>
        </w:rPr>
        <w:t xml:space="preserve">Du </w:t>
      </w:r>
      <w:proofErr w:type="spellStart"/>
      <w:r w:rsidRPr="007E04B9">
        <w:rPr>
          <w:rFonts w:ascii="Arial" w:hAnsi="Arial" w:cs="Arial"/>
          <w:i/>
          <w:lang w:val="en-GB"/>
        </w:rPr>
        <w:t>Preez</w:t>
      </w:r>
      <w:proofErr w:type="spellEnd"/>
      <w:r w:rsidRPr="007E04B9">
        <w:rPr>
          <w:rFonts w:ascii="Arial" w:hAnsi="Arial" w:cs="Arial"/>
          <w:i/>
          <w:lang w:val="en-GB"/>
        </w:rPr>
        <w:t xml:space="preserve"> and </w:t>
      </w:r>
      <w:r w:rsidR="00386663">
        <w:rPr>
          <w:rFonts w:ascii="Arial" w:hAnsi="Arial" w:cs="Arial"/>
          <w:i/>
          <w:lang w:val="en-GB"/>
        </w:rPr>
        <w:t>a</w:t>
      </w:r>
      <w:r w:rsidRPr="007E04B9">
        <w:rPr>
          <w:rFonts w:ascii="Arial" w:hAnsi="Arial" w:cs="Arial"/>
          <w:i/>
          <w:lang w:val="en-GB"/>
        </w:rPr>
        <w:t>nother v</w:t>
      </w:r>
      <w:r w:rsidR="00386663">
        <w:rPr>
          <w:rFonts w:ascii="Arial" w:hAnsi="Arial" w:cs="Arial"/>
          <w:i/>
          <w:lang w:val="en-GB"/>
        </w:rPr>
        <w:t xml:space="preserve"> </w:t>
      </w:r>
      <w:r w:rsidRPr="007E04B9">
        <w:rPr>
          <w:rFonts w:ascii="Arial" w:hAnsi="Arial" w:cs="Arial"/>
          <w:i/>
          <w:lang w:val="en-GB"/>
        </w:rPr>
        <w:t>Truth and Reconciliation Commission</w:t>
      </w:r>
      <w:r w:rsidRPr="007E04B9">
        <w:rPr>
          <w:rFonts w:ascii="Arial" w:hAnsi="Arial" w:cs="Arial"/>
          <w:lang w:val="en-GB"/>
        </w:rPr>
        <w:t xml:space="preserve"> </w:t>
      </w:r>
      <w:r w:rsidR="00386663" w:rsidRPr="00386663">
        <w:rPr>
          <w:rFonts w:ascii="Arial" w:hAnsi="Arial" w:cs="Arial"/>
          <w:lang w:val="en-GB"/>
        </w:rPr>
        <w:t>[1997] ZASCA 2</w:t>
      </w:r>
      <w:r w:rsidR="00386663">
        <w:rPr>
          <w:rFonts w:ascii="Arial" w:hAnsi="Arial" w:cs="Arial"/>
          <w:lang w:val="en-GB"/>
        </w:rPr>
        <w:t>;</w:t>
      </w:r>
      <w:r w:rsidR="00386663" w:rsidRPr="00386663">
        <w:rPr>
          <w:rFonts w:ascii="Arial" w:hAnsi="Arial" w:cs="Arial"/>
          <w:lang w:val="en-GB"/>
        </w:rPr>
        <w:t xml:space="preserve"> </w:t>
      </w:r>
      <w:r w:rsidRPr="007E04B9">
        <w:rPr>
          <w:rFonts w:ascii="Arial" w:hAnsi="Arial" w:cs="Arial"/>
          <w:lang w:val="en-GB"/>
        </w:rPr>
        <w:t xml:space="preserve">[1997] JOL 1149 AD. </w:t>
      </w:r>
    </w:p>
  </w:footnote>
  <w:footnote w:id="13">
    <w:p w14:paraId="2ADD53D5" w14:textId="7FEAACF5" w:rsidR="00205242" w:rsidRPr="007E04B9" w:rsidRDefault="00205242" w:rsidP="007B64B7">
      <w:pPr>
        <w:pStyle w:val="FootnoteText"/>
        <w:jc w:val="both"/>
        <w:rPr>
          <w:rFonts w:ascii="Arial" w:hAnsi="Arial" w:cs="Arial"/>
          <w:lang w:val="en-GB"/>
        </w:rPr>
      </w:pPr>
      <w:r w:rsidRPr="007E04B9">
        <w:rPr>
          <w:rStyle w:val="FootnoteReference"/>
          <w:rFonts w:ascii="Arial" w:hAnsi="Arial" w:cs="Arial"/>
        </w:rPr>
        <w:footnoteRef/>
      </w:r>
      <w:r w:rsidRPr="007E04B9">
        <w:rPr>
          <w:rFonts w:ascii="Arial" w:hAnsi="Arial" w:cs="Arial"/>
        </w:rPr>
        <w:t xml:space="preserve"> </w:t>
      </w:r>
      <w:proofErr w:type="spellStart"/>
      <w:r w:rsidR="00386663" w:rsidRPr="00386663">
        <w:rPr>
          <w:rFonts w:ascii="Arial" w:hAnsi="Arial" w:cs="Arial"/>
          <w:lang w:val="en-GB"/>
        </w:rPr>
        <w:t>Cf</w:t>
      </w:r>
      <w:proofErr w:type="spellEnd"/>
      <w:r w:rsidR="00386663" w:rsidRPr="00386663">
        <w:rPr>
          <w:rFonts w:ascii="Arial" w:hAnsi="Arial" w:cs="Arial"/>
          <w:lang w:val="en-GB"/>
        </w:rPr>
        <w:t xml:space="preserve"> the remarks of </w:t>
      </w:r>
      <w:proofErr w:type="spellStart"/>
      <w:r w:rsidR="00386663" w:rsidRPr="00386663">
        <w:rPr>
          <w:rFonts w:ascii="Arial" w:hAnsi="Arial" w:cs="Arial"/>
          <w:lang w:val="en-GB"/>
        </w:rPr>
        <w:t>Farlam</w:t>
      </w:r>
      <w:proofErr w:type="spellEnd"/>
      <w:r w:rsidR="00386663" w:rsidRPr="00386663">
        <w:rPr>
          <w:rFonts w:ascii="Arial" w:hAnsi="Arial" w:cs="Arial"/>
          <w:lang w:val="en-GB"/>
        </w:rPr>
        <w:t xml:space="preserve"> J in </w:t>
      </w:r>
      <w:r w:rsidR="00386663" w:rsidRPr="00386663">
        <w:rPr>
          <w:rFonts w:ascii="Arial" w:hAnsi="Arial" w:cs="Arial"/>
          <w:i/>
          <w:lang w:val="en-GB"/>
        </w:rPr>
        <w:t xml:space="preserve">Van </w:t>
      </w:r>
      <w:proofErr w:type="spellStart"/>
      <w:r w:rsidR="00386663" w:rsidRPr="00386663">
        <w:rPr>
          <w:rFonts w:ascii="Arial" w:hAnsi="Arial" w:cs="Arial"/>
          <w:i/>
          <w:lang w:val="en-GB"/>
        </w:rPr>
        <w:t>Huyssteen</w:t>
      </w:r>
      <w:proofErr w:type="spellEnd"/>
      <w:r w:rsidR="00386663" w:rsidRPr="00386663">
        <w:rPr>
          <w:rFonts w:ascii="Arial" w:hAnsi="Arial" w:cs="Arial"/>
          <w:i/>
          <w:lang w:val="en-GB"/>
        </w:rPr>
        <w:t xml:space="preserve"> and </w:t>
      </w:r>
      <w:r w:rsidR="00386663">
        <w:rPr>
          <w:rFonts w:ascii="Arial" w:hAnsi="Arial" w:cs="Arial"/>
          <w:i/>
          <w:lang w:val="en-GB"/>
        </w:rPr>
        <w:t>o</w:t>
      </w:r>
      <w:r w:rsidR="00386663" w:rsidRPr="00386663">
        <w:rPr>
          <w:rFonts w:ascii="Arial" w:hAnsi="Arial" w:cs="Arial"/>
          <w:i/>
          <w:lang w:val="en-GB"/>
        </w:rPr>
        <w:t xml:space="preserve">thers NNO v Minister of Environmental Affairs and Tourism and </w:t>
      </w:r>
      <w:r w:rsidR="00386663">
        <w:rPr>
          <w:rFonts w:ascii="Arial" w:hAnsi="Arial" w:cs="Arial"/>
          <w:i/>
          <w:lang w:val="en-GB"/>
        </w:rPr>
        <w:t>o</w:t>
      </w:r>
      <w:r w:rsidR="00386663" w:rsidRPr="00386663">
        <w:rPr>
          <w:rFonts w:ascii="Arial" w:hAnsi="Arial" w:cs="Arial"/>
          <w:i/>
          <w:lang w:val="en-GB"/>
        </w:rPr>
        <w:t>thers</w:t>
      </w:r>
      <w:r w:rsidR="00386663">
        <w:rPr>
          <w:rFonts w:ascii="Arial" w:hAnsi="Arial" w:cs="Arial"/>
          <w:lang w:val="en-GB"/>
        </w:rPr>
        <w:t xml:space="preserve"> 1996 (</w:t>
      </w:r>
      <w:r w:rsidR="002643AA">
        <w:rPr>
          <w:rFonts w:ascii="Arial" w:hAnsi="Arial" w:cs="Arial"/>
          <w:lang w:val="en-GB"/>
        </w:rPr>
        <w:t>1</w:t>
      </w:r>
      <w:r w:rsidR="00386663">
        <w:rPr>
          <w:rFonts w:ascii="Arial" w:hAnsi="Arial" w:cs="Arial"/>
          <w:lang w:val="en-GB"/>
        </w:rPr>
        <w:t>) SA 283 (C) at 304</w:t>
      </w:r>
      <w:r w:rsidR="00386663" w:rsidRPr="00386663">
        <w:rPr>
          <w:rFonts w:ascii="Arial" w:hAnsi="Arial" w:cs="Arial"/>
          <w:lang w:val="en-GB"/>
        </w:rPr>
        <w:t xml:space="preserve">A </w:t>
      </w:r>
      <w:r w:rsidR="00386663">
        <w:rPr>
          <w:rFonts w:ascii="Arial" w:hAnsi="Arial" w:cs="Arial"/>
          <w:lang w:val="en-GB"/>
        </w:rPr>
        <w:t>–</w:t>
      </w:r>
      <w:r w:rsidR="00386663" w:rsidRPr="00386663">
        <w:rPr>
          <w:rFonts w:ascii="Arial" w:hAnsi="Arial" w:cs="Arial"/>
          <w:lang w:val="en-GB"/>
        </w:rPr>
        <w:t xml:space="preserve"> 305D</w:t>
      </w:r>
      <w:r w:rsidR="00C9399C" w:rsidRPr="007E04B9">
        <w:rPr>
          <w:rFonts w:ascii="Arial" w:hAnsi="Arial" w:cs="Arial"/>
          <w:lang w:val="en-GB"/>
        </w:rPr>
        <w:t>.</w:t>
      </w:r>
    </w:p>
  </w:footnote>
  <w:footnote w:id="14">
    <w:p w14:paraId="07E5D642" w14:textId="77777777" w:rsidR="00E4246F" w:rsidRPr="007E04B9" w:rsidRDefault="00E4246F" w:rsidP="007B64B7">
      <w:pPr>
        <w:pStyle w:val="FootnoteText"/>
        <w:jc w:val="both"/>
        <w:rPr>
          <w:rFonts w:ascii="Arial" w:hAnsi="Arial" w:cs="Arial"/>
          <w:lang w:val="en-GB"/>
        </w:rPr>
      </w:pPr>
      <w:r w:rsidRPr="007E04B9">
        <w:rPr>
          <w:rStyle w:val="FootnoteReference"/>
          <w:rFonts w:ascii="Arial" w:hAnsi="Arial" w:cs="Arial"/>
        </w:rPr>
        <w:footnoteRef/>
      </w:r>
      <w:r w:rsidRPr="007E04B9">
        <w:rPr>
          <w:rFonts w:ascii="Arial" w:hAnsi="Arial" w:cs="Arial"/>
        </w:rPr>
        <w:t xml:space="preserve"> </w:t>
      </w:r>
      <w:r w:rsidRPr="007E04B9">
        <w:rPr>
          <w:rFonts w:ascii="Arial" w:hAnsi="Arial" w:cs="Arial"/>
          <w:lang w:val="en-GB"/>
        </w:rPr>
        <w:t xml:space="preserve">See para 33 of Mr </w:t>
      </w:r>
      <w:proofErr w:type="spellStart"/>
      <w:r w:rsidRPr="007E04B9">
        <w:rPr>
          <w:rFonts w:ascii="Arial" w:hAnsi="Arial" w:cs="Arial"/>
          <w:lang w:val="en-GB"/>
        </w:rPr>
        <w:t>Tubane’s</w:t>
      </w:r>
      <w:proofErr w:type="spellEnd"/>
      <w:r w:rsidRPr="007E04B9">
        <w:rPr>
          <w:rFonts w:ascii="Arial" w:hAnsi="Arial" w:cs="Arial"/>
          <w:lang w:val="en-GB"/>
        </w:rPr>
        <w:t xml:space="preserve"> affidavit (on behalf of the MEC) at page 580 of the indexed papers.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A20D41" w14:textId="131A70F7" w:rsidR="00787808" w:rsidRDefault="00787808">
    <w:pPr>
      <w:pStyle w:val="Header"/>
    </w:pP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E2ABF"/>
    <w:multiLevelType w:val="hybridMultilevel"/>
    <w:tmpl w:val="0EBE11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1F2C88"/>
    <w:multiLevelType w:val="hybridMultilevel"/>
    <w:tmpl w:val="4B323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014786"/>
    <w:multiLevelType w:val="hybridMultilevel"/>
    <w:tmpl w:val="3B14E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823F4E"/>
    <w:multiLevelType w:val="hybridMultilevel"/>
    <w:tmpl w:val="5D8E6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925E5C"/>
    <w:multiLevelType w:val="hybridMultilevel"/>
    <w:tmpl w:val="21AE6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4B687C"/>
    <w:multiLevelType w:val="hybridMultilevel"/>
    <w:tmpl w:val="93860C42"/>
    <w:lvl w:ilvl="0" w:tplc="D7708534">
      <w:start w:val="1"/>
      <w:numFmt w:val="decimal"/>
      <w:lvlText w:val="%1."/>
      <w:lvlJc w:val="left"/>
      <w:pPr>
        <w:ind w:left="720" w:hanging="360"/>
      </w:pPr>
      <w:rPr>
        <w:rFonts w:asciiTheme="majorHAnsi" w:hAnsiTheme="maj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2F3427"/>
    <w:multiLevelType w:val="hybridMultilevel"/>
    <w:tmpl w:val="61F44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3C4A6D"/>
    <w:multiLevelType w:val="multilevel"/>
    <w:tmpl w:val="0DB8C9A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7D393E58"/>
    <w:multiLevelType w:val="hybridMultilevel"/>
    <w:tmpl w:val="7C94A708"/>
    <w:lvl w:ilvl="0" w:tplc="B23059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8"/>
  </w:num>
  <w:num w:numId="3">
    <w:abstractNumId w:val="1"/>
  </w:num>
  <w:num w:numId="4">
    <w:abstractNumId w:val="7"/>
  </w:num>
  <w:num w:numId="5">
    <w:abstractNumId w:val="2"/>
  </w:num>
  <w:num w:numId="6">
    <w:abstractNumId w:val="5"/>
  </w:num>
  <w:num w:numId="7">
    <w:abstractNumId w:val="3"/>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821"/>
    <w:rsid w:val="00004534"/>
    <w:rsid w:val="00010B9D"/>
    <w:rsid w:val="0001388F"/>
    <w:rsid w:val="000141A3"/>
    <w:rsid w:val="00016A9D"/>
    <w:rsid w:val="00023664"/>
    <w:rsid w:val="00030BC6"/>
    <w:rsid w:val="00050940"/>
    <w:rsid w:val="00051A18"/>
    <w:rsid w:val="000526D0"/>
    <w:rsid w:val="000650F5"/>
    <w:rsid w:val="000800B9"/>
    <w:rsid w:val="00083ACE"/>
    <w:rsid w:val="000875C4"/>
    <w:rsid w:val="000955E2"/>
    <w:rsid w:val="000A10BF"/>
    <w:rsid w:val="000A6D68"/>
    <w:rsid w:val="000A7503"/>
    <w:rsid w:val="000B2061"/>
    <w:rsid w:val="000C51AC"/>
    <w:rsid w:val="000D5AA1"/>
    <w:rsid w:val="000D5B48"/>
    <w:rsid w:val="000E3E79"/>
    <w:rsid w:val="0010567D"/>
    <w:rsid w:val="00125A08"/>
    <w:rsid w:val="001344D9"/>
    <w:rsid w:val="00150BA4"/>
    <w:rsid w:val="00175F45"/>
    <w:rsid w:val="001766CC"/>
    <w:rsid w:val="00177C1E"/>
    <w:rsid w:val="00180590"/>
    <w:rsid w:val="00182D06"/>
    <w:rsid w:val="00193B45"/>
    <w:rsid w:val="00196B57"/>
    <w:rsid w:val="001A08A1"/>
    <w:rsid w:val="001A0965"/>
    <w:rsid w:val="001A6605"/>
    <w:rsid w:val="001B0F5B"/>
    <w:rsid w:val="001C1F99"/>
    <w:rsid w:val="001C58C3"/>
    <w:rsid w:val="001D22A6"/>
    <w:rsid w:val="001D4C98"/>
    <w:rsid w:val="001D779B"/>
    <w:rsid w:val="001E0A94"/>
    <w:rsid w:val="001E0BEA"/>
    <w:rsid w:val="00205242"/>
    <w:rsid w:val="00213BAD"/>
    <w:rsid w:val="00216076"/>
    <w:rsid w:val="00217A6E"/>
    <w:rsid w:val="002225A8"/>
    <w:rsid w:val="002479D2"/>
    <w:rsid w:val="00261AED"/>
    <w:rsid w:val="002643AA"/>
    <w:rsid w:val="00280B54"/>
    <w:rsid w:val="00281367"/>
    <w:rsid w:val="00283201"/>
    <w:rsid w:val="00283DF0"/>
    <w:rsid w:val="00294E29"/>
    <w:rsid w:val="00296A09"/>
    <w:rsid w:val="002A0B4F"/>
    <w:rsid w:val="002A354B"/>
    <w:rsid w:val="002A7825"/>
    <w:rsid w:val="002B5957"/>
    <w:rsid w:val="002B7B1B"/>
    <w:rsid w:val="002C026B"/>
    <w:rsid w:val="002E61C8"/>
    <w:rsid w:val="002F0DE1"/>
    <w:rsid w:val="00305AC7"/>
    <w:rsid w:val="00306642"/>
    <w:rsid w:val="00322F48"/>
    <w:rsid w:val="0032695C"/>
    <w:rsid w:val="003309C3"/>
    <w:rsid w:val="003446BB"/>
    <w:rsid w:val="00365DFC"/>
    <w:rsid w:val="003660DF"/>
    <w:rsid w:val="00371261"/>
    <w:rsid w:val="003839BE"/>
    <w:rsid w:val="00383B84"/>
    <w:rsid w:val="00386663"/>
    <w:rsid w:val="00390C49"/>
    <w:rsid w:val="003A42ED"/>
    <w:rsid w:val="003B1342"/>
    <w:rsid w:val="003C79FC"/>
    <w:rsid w:val="003D7B82"/>
    <w:rsid w:val="003D7C98"/>
    <w:rsid w:val="003E2644"/>
    <w:rsid w:val="003E6B39"/>
    <w:rsid w:val="003F63CF"/>
    <w:rsid w:val="003F679C"/>
    <w:rsid w:val="004011D5"/>
    <w:rsid w:val="00411495"/>
    <w:rsid w:val="004210D9"/>
    <w:rsid w:val="0043427B"/>
    <w:rsid w:val="004346DB"/>
    <w:rsid w:val="00435038"/>
    <w:rsid w:val="00442E2F"/>
    <w:rsid w:val="00485677"/>
    <w:rsid w:val="004A6319"/>
    <w:rsid w:val="004C00AA"/>
    <w:rsid w:val="004C142E"/>
    <w:rsid w:val="004C3D91"/>
    <w:rsid w:val="004D79F8"/>
    <w:rsid w:val="004E119C"/>
    <w:rsid w:val="004E2C4A"/>
    <w:rsid w:val="004E2CA7"/>
    <w:rsid w:val="004E5F4E"/>
    <w:rsid w:val="004E6FE2"/>
    <w:rsid w:val="004F4049"/>
    <w:rsid w:val="00501EA1"/>
    <w:rsid w:val="0050337C"/>
    <w:rsid w:val="00507008"/>
    <w:rsid w:val="005207B0"/>
    <w:rsid w:val="00526589"/>
    <w:rsid w:val="00555405"/>
    <w:rsid w:val="00581FF0"/>
    <w:rsid w:val="00585E81"/>
    <w:rsid w:val="005A0A0A"/>
    <w:rsid w:val="005A49E8"/>
    <w:rsid w:val="005A69DB"/>
    <w:rsid w:val="005A76C1"/>
    <w:rsid w:val="005B5B43"/>
    <w:rsid w:val="005D130C"/>
    <w:rsid w:val="005E3E43"/>
    <w:rsid w:val="005F5DE5"/>
    <w:rsid w:val="0060201B"/>
    <w:rsid w:val="00606CA7"/>
    <w:rsid w:val="00612F63"/>
    <w:rsid w:val="00613E4D"/>
    <w:rsid w:val="00623186"/>
    <w:rsid w:val="006402D7"/>
    <w:rsid w:val="00685877"/>
    <w:rsid w:val="0069203F"/>
    <w:rsid w:val="006A0B83"/>
    <w:rsid w:val="006A1EDF"/>
    <w:rsid w:val="006A7DE3"/>
    <w:rsid w:val="006C33A2"/>
    <w:rsid w:val="006D62D4"/>
    <w:rsid w:val="006E29A8"/>
    <w:rsid w:val="006E4F13"/>
    <w:rsid w:val="006F3DF7"/>
    <w:rsid w:val="00706212"/>
    <w:rsid w:val="00720F59"/>
    <w:rsid w:val="007273B6"/>
    <w:rsid w:val="00747B81"/>
    <w:rsid w:val="00754F6A"/>
    <w:rsid w:val="00762C90"/>
    <w:rsid w:val="0076471E"/>
    <w:rsid w:val="007652AC"/>
    <w:rsid w:val="007664F8"/>
    <w:rsid w:val="00773150"/>
    <w:rsid w:val="00775353"/>
    <w:rsid w:val="00775E6D"/>
    <w:rsid w:val="00787808"/>
    <w:rsid w:val="00787CDC"/>
    <w:rsid w:val="007A0675"/>
    <w:rsid w:val="007B4097"/>
    <w:rsid w:val="007B64B7"/>
    <w:rsid w:val="007C4113"/>
    <w:rsid w:val="007C5D20"/>
    <w:rsid w:val="007D46F7"/>
    <w:rsid w:val="007D56DF"/>
    <w:rsid w:val="007D7A19"/>
    <w:rsid w:val="007E04B9"/>
    <w:rsid w:val="007E3E24"/>
    <w:rsid w:val="007F1637"/>
    <w:rsid w:val="007F386A"/>
    <w:rsid w:val="008071CA"/>
    <w:rsid w:val="00834540"/>
    <w:rsid w:val="00841375"/>
    <w:rsid w:val="00843682"/>
    <w:rsid w:val="0085161A"/>
    <w:rsid w:val="00855048"/>
    <w:rsid w:val="008606B1"/>
    <w:rsid w:val="00872745"/>
    <w:rsid w:val="008751C1"/>
    <w:rsid w:val="00896BD8"/>
    <w:rsid w:val="008B1114"/>
    <w:rsid w:val="008C2BEE"/>
    <w:rsid w:val="008C7659"/>
    <w:rsid w:val="008D4BB3"/>
    <w:rsid w:val="008D4DB2"/>
    <w:rsid w:val="008E3648"/>
    <w:rsid w:val="009033E6"/>
    <w:rsid w:val="00911823"/>
    <w:rsid w:val="0092459E"/>
    <w:rsid w:val="00964BCF"/>
    <w:rsid w:val="00973B8E"/>
    <w:rsid w:val="009769D3"/>
    <w:rsid w:val="00982B5C"/>
    <w:rsid w:val="0098377B"/>
    <w:rsid w:val="009839BA"/>
    <w:rsid w:val="00983CAB"/>
    <w:rsid w:val="00994D55"/>
    <w:rsid w:val="009A1128"/>
    <w:rsid w:val="009A4C77"/>
    <w:rsid w:val="009A7E52"/>
    <w:rsid w:val="009C1E1F"/>
    <w:rsid w:val="009C4637"/>
    <w:rsid w:val="009D0FFE"/>
    <w:rsid w:val="009D4652"/>
    <w:rsid w:val="009E7D93"/>
    <w:rsid w:val="00A139F4"/>
    <w:rsid w:val="00A14DC3"/>
    <w:rsid w:val="00A20C88"/>
    <w:rsid w:val="00A21C3C"/>
    <w:rsid w:val="00A230CD"/>
    <w:rsid w:val="00A238A3"/>
    <w:rsid w:val="00A3004E"/>
    <w:rsid w:val="00A34E37"/>
    <w:rsid w:val="00A35975"/>
    <w:rsid w:val="00A45880"/>
    <w:rsid w:val="00A468DE"/>
    <w:rsid w:val="00A56B6B"/>
    <w:rsid w:val="00A62B41"/>
    <w:rsid w:val="00A63093"/>
    <w:rsid w:val="00A63BA0"/>
    <w:rsid w:val="00A733B4"/>
    <w:rsid w:val="00A81EDF"/>
    <w:rsid w:val="00A8252F"/>
    <w:rsid w:val="00A908B7"/>
    <w:rsid w:val="00AA0412"/>
    <w:rsid w:val="00AB062E"/>
    <w:rsid w:val="00AB47F7"/>
    <w:rsid w:val="00AC3F4F"/>
    <w:rsid w:val="00AD05E9"/>
    <w:rsid w:val="00AD2BF2"/>
    <w:rsid w:val="00AE7A27"/>
    <w:rsid w:val="00AF4FF6"/>
    <w:rsid w:val="00AF5E91"/>
    <w:rsid w:val="00B0305A"/>
    <w:rsid w:val="00B10442"/>
    <w:rsid w:val="00B15108"/>
    <w:rsid w:val="00B1771F"/>
    <w:rsid w:val="00B2057C"/>
    <w:rsid w:val="00B3060F"/>
    <w:rsid w:val="00B30EE7"/>
    <w:rsid w:val="00B529EE"/>
    <w:rsid w:val="00B633D5"/>
    <w:rsid w:val="00B70A12"/>
    <w:rsid w:val="00B747E8"/>
    <w:rsid w:val="00B912D0"/>
    <w:rsid w:val="00BA2842"/>
    <w:rsid w:val="00BB2D18"/>
    <w:rsid w:val="00BB793A"/>
    <w:rsid w:val="00BC6298"/>
    <w:rsid w:val="00BC65C8"/>
    <w:rsid w:val="00BD507F"/>
    <w:rsid w:val="00BF743A"/>
    <w:rsid w:val="00C1633D"/>
    <w:rsid w:val="00C207CE"/>
    <w:rsid w:val="00C22E67"/>
    <w:rsid w:val="00C24519"/>
    <w:rsid w:val="00C308EA"/>
    <w:rsid w:val="00C574E2"/>
    <w:rsid w:val="00C9399C"/>
    <w:rsid w:val="00CA11E5"/>
    <w:rsid w:val="00CA701B"/>
    <w:rsid w:val="00CB39DA"/>
    <w:rsid w:val="00CB7EF9"/>
    <w:rsid w:val="00CE68CD"/>
    <w:rsid w:val="00CF123C"/>
    <w:rsid w:val="00CF1FAA"/>
    <w:rsid w:val="00D05EC6"/>
    <w:rsid w:val="00D07988"/>
    <w:rsid w:val="00D16E42"/>
    <w:rsid w:val="00D31FB2"/>
    <w:rsid w:val="00D472EC"/>
    <w:rsid w:val="00D53F7E"/>
    <w:rsid w:val="00D83688"/>
    <w:rsid w:val="00DA0C2B"/>
    <w:rsid w:val="00DB6EAD"/>
    <w:rsid w:val="00DC026B"/>
    <w:rsid w:val="00DD6148"/>
    <w:rsid w:val="00DE38CF"/>
    <w:rsid w:val="00E15033"/>
    <w:rsid w:val="00E35A85"/>
    <w:rsid w:val="00E4246F"/>
    <w:rsid w:val="00E50057"/>
    <w:rsid w:val="00E51C07"/>
    <w:rsid w:val="00E655D8"/>
    <w:rsid w:val="00E66488"/>
    <w:rsid w:val="00E843EC"/>
    <w:rsid w:val="00E93994"/>
    <w:rsid w:val="00EA31E5"/>
    <w:rsid w:val="00EC02CF"/>
    <w:rsid w:val="00EC7623"/>
    <w:rsid w:val="00ED0AB6"/>
    <w:rsid w:val="00ED1324"/>
    <w:rsid w:val="00ED7B1D"/>
    <w:rsid w:val="00F064FD"/>
    <w:rsid w:val="00F065B2"/>
    <w:rsid w:val="00F32601"/>
    <w:rsid w:val="00F32CB3"/>
    <w:rsid w:val="00F57BE5"/>
    <w:rsid w:val="00F610F0"/>
    <w:rsid w:val="00F76459"/>
    <w:rsid w:val="00F814D2"/>
    <w:rsid w:val="00F8188E"/>
    <w:rsid w:val="00F82F6B"/>
    <w:rsid w:val="00F83826"/>
    <w:rsid w:val="00F85821"/>
    <w:rsid w:val="00FA23A9"/>
    <w:rsid w:val="00FA386E"/>
    <w:rsid w:val="00FB0398"/>
    <w:rsid w:val="00FB1029"/>
    <w:rsid w:val="00FB47A6"/>
    <w:rsid w:val="00FC6DAB"/>
    <w:rsid w:val="00FE3B44"/>
    <w:rsid w:val="00FE787E"/>
    <w:rsid w:val="00FE7C59"/>
    <w:rsid w:val="00FF0891"/>
    <w:rsid w:val="00FF1DB7"/>
    <w:rsid w:val="00FF64FB"/>
    <w:rsid w:val="00FF6A7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5861A"/>
  <w15:docId w15:val="{A04D3724-7EB0-46FA-AD30-0CBFA5AD5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5821"/>
  </w:style>
  <w:style w:type="paragraph" w:styleId="Heading2">
    <w:name w:val="heading 2"/>
    <w:basedOn w:val="Normal"/>
    <w:next w:val="Normal"/>
    <w:link w:val="Heading2Char"/>
    <w:uiPriority w:val="9"/>
    <w:semiHidden/>
    <w:unhideWhenUsed/>
    <w:qFormat/>
    <w:rsid w:val="0030664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7CDC"/>
    <w:pPr>
      <w:ind w:left="720"/>
      <w:contextualSpacing/>
    </w:pPr>
  </w:style>
  <w:style w:type="paragraph" w:styleId="FootnoteText">
    <w:name w:val="footnote text"/>
    <w:basedOn w:val="Normal"/>
    <w:link w:val="FootnoteTextChar"/>
    <w:uiPriority w:val="99"/>
    <w:unhideWhenUsed/>
    <w:rsid w:val="00D07988"/>
    <w:pPr>
      <w:spacing w:after="0" w:line="240" w:lineRule="auto"/>
    </w:pPr>
    <w:rPr>
      <w:sz w:val="20"/>
      <w:szCs w:val="20"/>
    </w:rPr>
  </w:style>
  <w:style w:type="character" w:customStyle="1" w:styleId="FootnoteTextChar">
    <w:name w:val="Footnote Text Char"/>
    <w:basedOn w:val="DefaultParagraphFont"/>
    <w:link w:val="FootnoteText"/>
    <w:uiPriority w:val="99"/>
    <w:rsid w:val="00D07988"/>
    <w:rPr>
      <w:sz w:val="20"/>
      <w:szCs w:val="20"/>
    </w:rPr>
  </w:style>
  <w:style w:type="character" w:styleId="FootnoteReference">
    <w:name w:val="footnote reference"/>
    <w:basedOn w:val="DefaultParagraphFont"/>
    <w:uiPriority w:val="99"/>
    <w:semiHidden/>
    <w:unhideWhenUsed/>
    <w:rsid w:val="00D07988"/>
    <w:rPr>
      <w:vertAlign w:val="superscript"/>
    </w:rPr>
  </w:style>
  <w:style w:type="paragraph" w:styleId="Header">
    <w:name w:val="header"/>
    <w:basedOn w:val="Normal"/>
    <w:link w:val="HeaderChar"/>
    <w:uiPriority w:val="99"/>
    <w:unhideWhenUsed/>
    <w:rsid w:val="006E29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29A8"/>
  </w:style>
  <w:style w:type="paragraph" w:styleId="Footer">
    <w:name w:val="footer"/>
    <w:basedOn w:val="Normal"/>
    <w:link w:val="FooterChar"/>
    <w:uiPriority w:val="99"/>
    <w:unhideWhenUsed/>
    <w:rsid w:val="006E29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29A8"/>
  </w:style>
  <w:style w:type="paragraph" w:styleId="BalloonText">
    <w:name w:val="Balloon Text"/>
    <w:basedOn w:val="Normal"/>
    <w:link w:val="BalloonTextChar"/>
    <w:uiPriority w:val="99"/>
    <w:semiHidden/>
    <w:unhideWhenUsed/>
    <w:rsid w:val="001D4C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4C98"/>
    <w:rPr>
      <w:rFonts w:ascii="Tahoma" w:hAnsi="Tahoma" w:cs="Tahoma"/>
      <w:sz w:val="16"/>
      <w:szCs w:val="16"/>
    </w:rPr>
  </w:style>
  <w:style w:type="character" w:customStyle="1" w:styleId="tgc">
    <w:name w:val="_tgc"/>
    <w:basedOn w:val="DefaultParagraphFont"/>
    <w:rsid w:val="00010B9D"/>
  </w:style>
  <w:style w:type="character" w:customStyle="1" w:styleId="Heading2Char">
    <w:name w:val="Heading 2 Char"/>
    <w:basedOn w:val="DefaultParagraphFont"/>
    <w:link w:val="Heading2"/>
    <w:uiPriority w:val="9"/>
    <w:semiHidden/>
    <w:rsid w:val="00306642"/>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855048"/>
    <w:rPr>
      <w:color w:val="0000FF" w:themeColor="hyperlink"/>
      <w:u w:val="single"/>
    </w:rPr>
  </w:style>
  <w:style w:type="character" w:styleId="CommentReference">
    <w:name w:val="annotation reference"/>
    <w:basedOn w:val="DefaultParagraphFont"/>
    <w:uiPriority w:val="99"/>
    <w:semiHidden/>
    <w:unhideWhenUsed/>
    <w:rsid w:val="00D05EC6"/>
    <w:rPr>
      <w:sz w:val="16"/>
      <w:szCs w:val="16"/>
    </w:rPr>
  </w:style>
  <w:style w:type="paragraph" w:styleId="CommentText">
    <w:name w:val="annotation text"/>
    <w:basedOn w:val="Normal"/>
    <w:link w:val="CommentTextChar"/>
    <w:uiPriority w:val="99"/>
    <w:semiHidden/>
    <w:unhideWhenUsed/>
    <w:rsid w:val="00D05EC6"/>
    <w:pPr>
      <w:spacing w:line="240" w:lineRule="auto"/>
    </w:pPr>
    <w:rPr>
      <w:sz w:val="20"/>
      <w:szCs w:val="20"/>
    </w:rPr>
  </w:style>
  <w:style w:type="character" w:customStyle="1" w:styleId="CommentTextChar">
    <w:name w:val="Comment Text Char"/>
    <w:basedOn w:val="DefaultParagraphFont"/>
    <w:link w:val="CommentText"/>
    <w:uiPriority w:val="99"/>
    <w:semiHidden/>
    <w:rsid w:val="00D05EC6"/>
    <w:rPr>
      <w:sz w:val="20"/>
      <w:szCs w:val="20"/>
    </w:rPr>
  </w:style>
  <w:style w:type="paragraph" w:styleId="CommentSubject">
    <w:name w:val="annotation subject"/>
    <w:basedOn w:val="CommentText"/>
    <w:next w:val="CommentText"/>
    <w:link w:val="CommentSubjectChar"/>
    <w:uiPriority w:val="99"/>
    <w:semiHidden/>
    <w:unhideWhenUsed/>
    <w:rsid w:val="00D05EC6"/>
    <w:rPr>
      <w:b/>
      <w:bCs/>
    </w:rPr>
  </w:style>
  <w:style w:type="character" w:customStyle="1" w:styleId="CommentSubjectChar">
    <w:name w:val="Comment Subject Char"/>
    <w:basedOn w:val="CommentTextChar"/>
    <w:link w:val="CommentSubject"/>
    <w:uiPriority w:val="99"/>
    <w:semiHidden/>
    <w:rsid w:val="00D05EC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535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yuri@mfilaw.co.z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huma.vabaza@gb.co.za" TargetMode="External"/><Relationship Id="rId4" Type="http://schemas.openxmlformats.org/officeDocument/2006/relationships/settings" Target="settings.xml"/><Relationship Id="rId9" Type="http://schemas.openxmlformats.org/officeDocument/2006/relationships/image" Target="cid:image001.png@01D0663D.C436FA8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8C8A42-0E67-4816-B394-D5C246A9A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1180</TotalTime>
  <Pages>11</Pages>
  <Words>2830</Words>
  <Characters>16137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 Chili</dc:creator>
  <cp:lastModifiedBy>Cynthia Mbutuma</cp:lastModifiedBy>
  <cp:revision>6</cp:revision>
  <cp:lastPrinted>2022-05-05T13:16:00Z</cp:lastPrinted>
  <dcterms:created xsi:type="dcterms:W3CDTF">2022-05-05T08:04:00Z</dcterms:created>
  <dcterms:modified xsi:type="dcterms:W3CDTF">2022-05-05T13:22:00Z</dcterms:modified>
</cp:coreProperties>
</file>