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D592" w14:textId="18188E9C" w:rsidR="00AB12FE" w:rsidRDefault="00AB12FE" w:rsidP="004C0560">
      <w:pPr>
        <w:jc w:val="center"/>
        <w:rPr>
          <w:rFonts w:ascii="Times New Roman" w:hAnsi="Times New Roman" w:cs="Times New Roman"/>
          <w:b/>
          <w:bCs/>
          <w:sz w:val="24"/>
          <w:szCs w:val="24"/>
        </w:rPr>
      </w:pPr>
      <w:bookmarkStart w:id="0" w:name="_GoBack"/>
      <w:bookmarkEnd w:id="0"/>
      <w:r w:rsidRPr="000C08C3">
        <w:rPr>
          <w:noProof/>
          <w:sz w:val="20"/>
          <w:szCs w:val="20"/>
          <w:lang w:eastAsia="en-ZA"/>
        </w:rPr>
        <w:drawing>
          <wp:inline distT="0" distB="0" distL="0" distR="0" wp14:anchorId="6A912A59" wp14:editId="3BA23D59">
            <wp:extent cx="164782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447800"/>
                    </a:xfrm>
                    <a:prstGeom prst="rect">
                      <a:avLst/>
                    </a:prstGeom>
                    <a:noFill/>
                    <a:ln>
                      <a:noFill/>
                    </a:ln>
                  </pic:spPr>
                </pic:pic>
              </a:graphicData>
            </a:graphic>
          </wp:inline>
        </w:drawing>
      </w:r>
    </w:p>
    <w:p w14:paraId="6C9DE2F6" w14:textId="77777777" w:rsidR="00530F1E" w:rsidRDefault="00530F1E" w:rsidP="004C0560">
      <w:pPr>
        <w:jc w:val="center"/>
        <w:rPr>
          <w:rFonts w:ascii="Times New Roman" w:hAnsi="Times New Roman" w:cs="Times New Roman"/>
          <w:b/>
          <w:bCs/>
          <w:sz w:val="24"/>
          <w:szCs w:val="24"/>
        </w:rPr>
      </w:pPr>
    </w:p>
    <w:p w14:paraId="52F7D89F" w14:textId="665F2F13" w:rsidR="003D58F4" w:rsidRPr="00CB081C" w:rsidRDefault="004C0560" w:rsidP="004C0560">
      <w:pPr>
        <w:jc w:val="center"/>
        <w:rPr>
          <w:rFonts w:ascii="Arial" w:hAnsi="Arial" w:cs="Arial"/>
          <w:b/>
          <w:bCs/>
          <w:sz w:val="24"/>
          <w:szCs w:val="24"/>
        </w:rPr>
      </w:pPr>
      <w:r w:rsidRPr="00072119">
        <w:rPr>
          <w:rFonts w:ascii="Times New Roman" w:hAnsi="Times New Roman" w:cs="Times New Roman"/>
          <w:b/>
          <w:bCs/>
          <w:sz w:val="24"/>
          <w:szCs w:val="24"/>
        </w:rPr>
        <w:t xml:space="preserve">  </w:t>
      </w:r>
      <w:r w:rsidRPr="00CB081C">
        <w:rPr>
          <w:rFonts w:ascii="Arial" w:hAnsi="Arial" w:cs="Arial"/>
          <w:b/>
          <w:bCs/>
          <w:sz w:val="24"/>
          <w:szCs w:val="24"/>
        </w:rPr>
        <w:t>IN THE HIGH COURT OF SOUTH AFRICA</w:t>
      </w:r>
    </w:p>
    <w:p w14:paraId="22096826" w14:textId="070DD460" w:rsidR="004C0560" w:rsidRPr="00CB081C" w:rsidRDefault="004C0560" w:rsidP="004C0560">
      <w:pPr>
        <w:jc w:val="center"/>
        <w:rPr>
          <w:rFonts w:ascii="Arial" w:hAnsi="Arial" w:cs="Arial"/>
          <w:b/>
          <w:bCs/>
          <w:sz w:val="24"/>
          <w:szCs w:val="24"/>
        </w:rPr>
      </w:pPr>
      <w:r w:rsidRPr="00CB081C">
        <w:rPr>
          <w:rFonts w:ascii="Arial" w:hAnsi="Arial" w:cs="Arial"/>
          <w:b/>
          <w:bCs/>
          <w:sz w:val="24"/>
          <w:szCs w:val="24"/>
        </w:rPr>
        <w:t xml:space="preserve">KWAZULU-NATAL DIVISION, </w:t>
      </w:r>
      <w:r w:rsidR="002326B4">
        <w:rPr>
          <w:rFonts w:ascii="Arial" w:hAnsi="Arial" w:cs="Arial"/>
          <w:b/>
          <w:bCs/>
          <w:sz w:val="24"/>
          <w:szCs w:val="24"/>
        </w:rPr>
        <w:t>PIETERMARITZBURG</w:t>
      </w:r>
      <w:r w:rsidRPr="00CB081C">
        <w:rPr>
          <w:rFonts w:ascii="Arial" w:hAnsi="Arial" w:cs="Arial"/>
          <w:b/>
          <w:bCs/>
          <w:sz w:val="24"/>
          <w:szCs w:val="24"/>
        </w:rPr>
        <w:t xml:space="preserve"> </w:t>
      </w:r>
    </w:p>
    <w:p w14:paraId="1557A2AF" w14:textId="79A7DDAB" w:rsidR="003A466A" w:rsidRPr="00CB081C" w:rsidRDefault="00AB12FE" w:rsidP="004C0560">
      <w:pPr>
        <w:jc w:val="right"/>
        <w:rPr>
          <w:rFonts w:ascii="Arial" w:hAnsi="Arial" w:cs="Arial"/>
          <w:sz w:val="24"/>
          <w:szCs w:val="24"/>
        </w:rPr>
      </w:pPr>
      <w:r>
        <w:rPr>
          <w:rFonts w:ascii="Arial" w:hAnsi="Arial" w:cs="Arial"/>
          <w:sz w:val="24"/>
          <w:szCs w:val="24"/>
        </w:rPr>
        <w:t xml:space="preserve">   </w:t>
      </w:r>
      <w:r w:rsidR="00C8163F">
        <w:rPr>
          <w:rFonts w:ascii="Arial" w:hAnsi="Arial" w:cs="Arial"/>
          <w:sz w:val="24"/>
          <w:szCs w:val="24"/>
        </w:rPr>
        <w:t xml:space="preserve">  </w:t>
      </w:r>
      <w:r w:rsidR="004C0560" w:rsidRPr="00CB081C">
        <w:rPr>
          <w:rFonts w:ascii="Arial" w:hAnsi="Arial" w:cs="Arial"/>
          <w:sz w:val="24"/>
          <w:szCs w:val="24"/>
        </w:rPr>
        <w:t>Case No: AR</w:t>
      </w:r>
      <w:r w:rsidR="0021399D" w:rsidRPr="00CB081C">
        <w:rPr>
          <w:rFonts w:ascii="Arial" w:hAnsi="Arial" w:cs="Arial"/>
          <w:sz w:val="24"/>
          <w:szCs w:val="24"/>
        </w:rPr>
        <w:t>176/2021</w:t>
      </w:r>
    </w:p>
    <w:p w14:paraId="0D622EAF" w14:textId="76F85A5C" w:rsidR="000A39F0" w:rsidRPr="00CB081C" w:rsidRDefault="002B1C25" w:rsidP="002B1C25">
      <w:pPr>
        <w:rPr>
          <w:rFonts w:ascii="Arial" w:hAnsi="Arial" w:cs="Arial"/>
          <w:sz w:val="24"/>
          <w:szCs w:val="24"/>
        </w:rPr>
      </w:pPr>
      <w:r w:rsidRPr="00CB081C">
        <w:rPr>
          <w:rFonts w:ascii="Arial" w:hAnsi="Arial" w:cs="Arial"/>
          <w:sz w:val="24"/>
          <w:szCs w:val="24"/>
        </w:rPr>
        <w:t xml:space="preserve">In the matter </w:t>
      </w:r>
      <w:r w:rsidR="000A39F0" w:rsidRPr="00CB081C">
        <w:rPr>
          <w:rFonts w:ascii="Arial" w:hAnsi="Arial" w:cs="Arial"/>
          <w:sz w:val="24"/>
          <w:szCs w:val="24"/>
        </w:rPr>
        <w:t>between:</w:t>
      </w:r>
    </w:p>
    <w:p w14:paraId="5A4F3CE9" w14:textId="77777777" w:rsidR="00AB12FE" w:rsidRDefault="00AB12FE" w:rsidP="002B1C25">
      <w:pPr>
        <w:rPr>
          <w:rFonts w:ascii="Arial" w:hAnsi="Arial" w:cs="Arial"/>
          <w:b/>
          <w:bCs/>
          <w:sz w:val="24"/>
          <w:szCs w:val="24"/>
        </w:rPr>
      </w:pPr>
    </w:p>
    <w:p w14:paraId="01C23B30" w14:textId="060A75A0" w:rsidR="004C0560" w:rsidRDefault="00FB04CC" w:rsidP="002B1C25">
      <w:pPr>
        <w:rPr>
          <w:rFonts w:ascii="Arial" w:hAnsi="Arial" w:cs="Arial"/>
          <w:b/>
          <w:bCs/>
          <w:sz w:val="24"/>
          <w:szCs w:val="24"/>
        </w:rPr>
      </w:pPr>
      <w:r w:rsidRPr="00CB081C">
        <w:rPr>
          <w:rFonts w:ascii="Arial" w:hAnsi="Arial" w:cs="Arial"/>
          <w:b/>
          <w:bCs/>
          <w:sz w:val="24"/>
          <w:szCs w:val="24"/>
        </w:rPr>
        <w:t>CHARLES GREEN</w:t>
      </w:r>
      <w:r w:rsidR="004C0560" w:rsidRPr="00CB081C">
        <w:rPr>
          <w:rFonts w:ascii="Arial" w:hAnsi="Arial" w:cs="Arial"/>
          <w:sz w:val="24"/>
          <w:szCs w:val="24"/>
        </w:rPr>
        <w:t xml:space="preserve"> </w:t>
      </w:r>
      <w:r w:rsidR="004C0560" w:rsidRPr="00CB081C">
        <w:rPr>
          <w:rFonts w:ascii="Arial" w:hAnsi="Arial" w:cs="Arial"/>
          <w:b/>
          <w:bCs/>
          <w:sz w:val="24"/>
          <w:szCs w:val="24"/>
        </w:rPr>
        <w:t xml:space="preserve"> </w:t>
      </w:r>
      <w:r w:rsidRPr="00CB081C">
        <w:rPr>
          <w:rFonts w:ascii="Arial" w:hAnsi="Arial" w:cs="Arial"/>
          <w:b/>
          <w:bCs/>
          <w:sz w:val="24"/>
          <w:szCs w:val="24"/>
        </w:rPr>
        <w:t xml:space="preserve">                                                              </w:t>
      </w:r>
      <w:r w:rsidR="00276912" w:rsidRPr="00CB081C">
        <w:rPr>
          <w:rFonts w:ascii="Arial" w:hAnsi="Arial" w:cs="Arial"/>
          <w:b/>
          <w:bCs/>
          <w:sz w:val="24"/>
          <w:szCs w:val="24"/>
        </w:rPr>
        <w:t xml:space="preserve">           </w:t>
      </w:r>
      <w:r w:rsidR="00AB12FE">
        <w:rPr>
          <w:rFonts w:ascii="Arial" w:hAnsi="Arial" w:cs="Arial"/>
          <w:b/>
          <w:bCs/>
          <w:sz w:val="24"/>
          <w:szCs w:val="24"/>
        </w:rPr>
        <w:t xml:space="preserve">       </w:t>
      </w:r>
      <w:r w:rsidR="00970DB0" w:rsidRPr="00CB081C">
        <w:rPr>
          <w:rFonts w:ascii="Arial" w:hAnsi="Arial" w:cs="Arial"/>
          <w:b/>
          <w:bCs/>
          <w:sz w:val="24"/>
          <w:szCs w:val="24"/>
        </w:rPr>
        <w:t>APPELLANT</w:t>
      </w:r>
    </w:p>
    <w:p w14:paraId="39A75EFB" w14:textId="77777777" w:rsidR="00A42BBE" w:rsidRPr="00CB081C" w:rsidRDefault="00A42BBE" w:rsidP="002B1C25">
      <w:pPr>
        <w:rPr>
          <w:rFonts w:ascii="Arial" w:hAnsi="Arial" w:cs="Arial"/>
          <w:b/>
          <w:bCs/>
          <w:sz w:val="24"/>
          <w:szCs w:val="24"/>
        </w:rPr>
      </w:pPr>
    </w:p>
    <w:p w14:paraId="75E68A9C" w14:textId="4E21F702" w:rsidR="00A12BED" w:rsidRPr="00AB12FE" w:rsidRDefault="00AB12FE" w:rsidP="00481471">
      <w:pPr>
        <w:rPr>
          <w:rFonts w:ascii="Arial" w:hAnsi="Arial" w:cs="Arial"/>
          <w:bCs/>
          <w:sz w:val="24"/>
          <w:szCs w:val="24"/>
        </w:rPr>
      </w:pPr>
      <w:r>
        <w:rPr>
          <w:rFonts w:ascii="Arial" w:hAnsi="Arial" w:cs="Arial"/>
          <w:bCs/>
          <w:sz w:val="24"/>
          <w:szCs w:val="24"/>
        </w:rPr>
        <w:t>a</w:t>
      </w:r>
      <w:r w:rsidR="00AF144C" w:rsidRPr="00AB12FE">
        <w:rPr>
          <w:rFonts w:ascii="Arial" w:hAnsi="Arial" w:cs="Arial"/>
          <w:bCs/>
          <w:sz w:val="24"/>
          <w:szCs w:val="24"/>
        </w:rPr>
        <w:t>nd</w:t>
      </w:r>
    </w:p>
    <w:p w14:paraId="70910436" w14:textId="77777777" w:rsidR="00A42BBE" w:rsidRPr="00CB081C" w:rsidRDefault="00A42BBE" w:rsidP="00481471">
      <w:pPr>
        <w:rPr>
          <w:rFonts w:ascii="Arial" w:hAnsi="Arial" w:cs="Arial"/>
          <w:b/>
          <w:bCs/>
          <w:sz w:val="24"/>
          <w:szCs w:val="24"/>
        </w:rPr>
      </w:pPr>
    </w:p>
    <w:p w14:paraId="4BE9030B" w14:textId="3ECE2295" w:rsidR="00B91B4E" w:rsidRDefault="00A12BED" w:rsidP="00481471">
      <w:pPr>
        <w:rPr>
          <w:rFonts w:ascii="Arial" w:hAnsi="Arial" w:cs="Arial"/>
          <w:b/>
          <w:bCs/>
          <w:sz w:val="24"/>
          <w:szCs w:val="24"/>
        </w:rPr>
      </w:pPr>
      <w:r w:rsidRPr="00CB081C">
        <w:rPr>
          <w:rFonts w:ascii="Arial" w:hAnsi="Arial" w:cs="Arial"/>
          <w:b/>
          <w:bCs/>
          <w:sz w:val="24"/>
          <w:szCs w:val="24"/>
        </w:rPr>
        <w:t>THE STATE</w:t>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Pr="00CB081C">
        <w:rPr>
          <w:rFonts w:ascii="Arial" w:hAnsi="Arial" w:cs="Arial"/>
          <w:b/>
          <w:bCs/>
          <w:sz w:val="24"/>
          <w:szCs w:val="24"/>
        </w:rPr>
        <w:tab/>
      </w:r>
      <w:r w:rsidR="00A42BBE">
        <w:rPr>
          <w:rFonts w:ascii="Arial" w:hAnsi="Arial" w:cs="Arial"/>
          <w:b/>
          <w:bCs/>
          <w:sz w:val="24"/>
          <w:szCs w:val="24"/>
        </w:rPr>
        <w:t xml:space="preserve">        </w:t>
      </w:r>
      <w:r w:rsidR="00AB12FE">
        <w:rPr>
          <w:rFonts w:ascii="Arial" w:hAnsi="Arial" w:cs="Arial"/>
          <w:b/>
          <w:bCs/>
          <w:sz w:val="24"/>
          <w:szCs w:val="24"/>
        </w:rPr>
        <w:t xml:space="preserve">    </w:t>
      </w:r>
      <w:r w:rsidR="00A42BBE">
        <w:rPr>
          <w:rFonts w:ascii="Arial" w:hAnsi="Arial" w:cs="Arial"/>
          <w:b/>
          <w:bCs/>
          <w:sz w:val="24"/>
          <w:szCs w:val="24"/>
        </w:rPr>
        <w:t xml:space="preserve"> </w:t>
      </w:r>
      <w:r w:rsidR="00B91B4E" w:rsidRPr="00CB081C">
        <w:rPr>
          <w:rFonts w:ascii="Arial" w:hAnsi="Arial" w:cs="Arial"/>
          <w:b/>
          <w:bCs/>
          <w:sz w:val="24"/>
          <w:szCs w:val="24"/>
        </w:rPr>
        <w:t>RESPONDENT</w:t>
      </w:r>
    </w:p>
    <w:p w14:paraId="5DC6E6BA" w14:textId="77777777" w:rsidR="00135511" w:rsidRPr="00CB081C" w:rsidRDefault="00135511" w:rsidP="00481471">
      <w:pPr>
        <w:rPr>
          <w:rFonts w:ascii="Arial" w:hAnsi="Arial" w:cs="Arial"/>
          <w:b/>
          <w:bCs/>
          <w:sz w:val="24"/>
          <w:szCs w:val="24"/>
        </w:rPr>
      </w:pPr>
    </w:p>
    <w:p w14:paraId="58E14120" w14:textId="52E67FD3" w:rsidR="0069106D" w:rsidRPr="00CB081C" w:rsidRDefault="00A42BBE" w:rsidP="00A42BBE">
      <w:pPr>
        <w:rPr>
          <w:rFonts w:ascii="Arial" w:hAnsi="Arial" w:cs="Arial"/>
          <w:b/>
          <w:bCs/>
          <w:sz w:val="24"/>
          <w:szCs w:val="24"/>
        </w:rPr>
      </w:pPr>
      <w:r>
        <w:rPr>
          <w:rFonts w:ascii="Arial" w:hAnsi="Arial" w:cs="Arial"/>
          <w:b/>
          <w:bCs/>
          <w:sz w:val="24"/>
          <w:szCs w:val="24"/>
        </w:rPr>
        <w:t>___________________________________________________________________</w:t>
      </w:r>
    </w:p>
    <w:p w14:paraId="08504F92" w14:textId="77777777" w:rsidR="007C6E67" w:rsidRDefault="007C6E67" w:rsidP="007C6E67">
      <w:pPr>
        <w:spacing w:after="0" w:line="360" w:lineRule="auto"/>
        <w:jc w:val="center"/>
        <w:rPr>
          <w:rFonts w:ascii="Arial" w:hAnsi="Arial" w:cs="Arial"/>
          <w:b/>
          <w:bCs/>
          <w:sz w:val="24"/>
          <w:szCs w:val="24"/>
        </w:rPr>
      </w:pPr>
    </w:p>
    <w:p w14:paraId="23DBC109" w14:textId="102576EE" w:rsidR="0069106D" w:rsidRDefault="00B62068" w:rsidP="007C6E67">
      <w:pPr>
        <w:spacing w:after="0" w:line="360" w:lineRule="auto"/>
        <w:jc w:val="center"/>
        <w:rPr>
          <w:rFonts w:ascii="Arial" w:hAnsi="Arial" w:cs="Arial"/>
          <w:b/>
          <w:bCs/>
          <w:sz w:val="24"/>
          <w:szCs w:val="24"/>
        </w:rPr>
      </w:pPr>
      <w:r w:rsidRPr="00CB081C">
        <w:rPr>
          <w:rFonts w:ascii="Arial" w:hAnsi="Arial" w:cs="Arial"/>
          <w:b/>
          <w:bCs/>
          <w:sz w:val="24"/>
          <w:szCs w:val="24"/>
        </w:rPr>
        <w:t>ORDER</w:t>
      </w:r>
    </w:p>
    <w:p w14:paraId="1659957E" w14:textId="77777777" w:rsidR="00AB12FE" w:rsidRDefault="00AB12FE" w:rsidP="002A1F7F">
      <w:pPr>
        <w:pBdr>
          <w:bottom w:val="single" w:sz="12" w:space="1" w:color="auto"/>
        </w:pBdr>
        <w:jc w:val="center"/>
        <w:rPr>
          <w:rFonts w:ascii="Arial" w:hAnsi="Arial" w:cs="Arial"/>
          <w:b/>
          <w:bCs/>
          <w:sz w:val="24"/>
          <w:szCs w:val="24"/>
        </w:rPr>
      </w:pPr>
    </w:p>
    <w:p w14:paraId="2C33EB7E" w14:textId="77777777" w:rsidR="00A42BBE" w:rsidRPr="00CB081C" w:rsidRDefault="00A42BBE" w:rsidP="00A42BBE">
      <w:pPr>
        <w:rPr>
          <w:rFonts w:ascii="Arial" w:hAnsi="Arial" w:cs="Arial"/>
          <w:b/>
          <w:bCs/>
          <w:sz w:val="24"/>
          <w:szCs w:val="24"/>
        </w:rPr>
      </w:pPr>
    </w:p>
    <w:p w14:paraId="3992FFC0" w14:textId="7075F93D" w:rsidR="00935BAA" w:rsidRPr="00CB081C" w:rsidRDefault="00220CE8" w:rsidP="00220CE8">
      <w:pPr>
        <w:rPr>
          <w:rFonts w:ascii="Arial" w:hAnsi="Arial" w:cs="Arial"/>
          <w:sz w:val="24"/>
          <w:szCs w:val="24"/>
        </w:rPr>
      </w:pPr>
      <w:r>
        <w:rPr>
          <w:rFonts w:ascii="Arial" w:hAnsi="Arial" w:cs="Arial"/>
          <w:sz w:val="24"/>
          <w:szCs w:val="24"/>
        </w:rPr>
        <w:t>Th</w:t>
      </w:r>
      <w:r w:rsidR="00B62068" w:rsidRPr="00CB081C">
        <w:rPr>
          <w:rFonts w:ascii="Arial" w:hAnsi="Arial" w:cs="Arial"/>
          <w:sz w:val="24"/>
          <w:szCs w:val="24"/>
        </w:rPr>
        <w:t>e following order is made:</w:t>
      </w:r>
    </w:p>
    <w:p w14:paraId="1FCCCE12" w14:textId="4D416334" w:rsidR="009C3F8A" w:rsidRPr="009610CE" w:rsidRDefault="007E7477" w:rsidP="009E3E26">
      <w:pPr>
        <w:pStyle w:val="ListParagraph"/>
        <w:numPr>
          <w:ilvl w:val="0"/>
          <w:numId w:val="3"/>
        </w:numPr>
        <w:spacing w:after="0" w:line="360" w:lineRule="auto"/>
        <w:ind w:left="567" w:hanging="567"/>
        <w:rPr>
          <w:rFonts w:ascii="Arial" w:hAnsi="Arial" w:cs="Arial"/>
          <w:bCs/>
          <w:sz w:val="24"/>
          <w:szCs w:val="24"/>
        </w:rPr>
      </w:pPr>
      <w:r w:rsidRPr="009610CE">
        <w:rPr>
          <w:rFonts w:ascii="Arial" w:hAnsi="Arial" w:cs="Arial"/>
          <w:bCs/>
          <w:sz w:val="24"/>
          <w:szCs w:val="24"/>
        </w:rPr>
        <w:t xml:space="preserve">The </w:t>
      </w:r>
      <w:r w:rsidR="00FB719E" w:rsidRPr="009610CE">
        <w:rPr>
          <w:rFonts w:ascii="Arial" w:hAnsi="Arial" w:cs="Arial"/>
          <w:bCs/>
          <w:sz w:val="24"/>
          <w:szCs w:val="24"/>
        </w:rPr>
        <w:t>a</w:t>
      </w:r>
      <w:r w:rsidR="009C3F8A" w:rsidRPr="009610CE">
        <w:rPr>
          <w:rFonts w:ascii="Arial" w:hAnsi="Arial" w:cs="Arial"/>
          <w:bCs/>
          <w:sz w:val="24"/>
          <w:szCs w:val="24"/>
        </w:rPr>
        <w:t xml:space="preserve">ppeal is </w:t>
      </w:r>
      <w:r w:rsidR="007E786C" w:rsidRPr="009610CE">
        <w:rPr>
          <w:rFonts w:ascii="Arial" w:hAnsi="Arial" w:cs="Arial"/>
          <w:bCs/>
          <w:sz w:val="24"/>
          <w:szCs w:val="24"/>
        </w:rPr>
        <w:t>dismissed</w:t>
      </w:r>
      <w:r w:rsidR="009C3F8A" w:rsidRPr="009610CE">
        <w:rPr>
          <w:rFonts w:ascii="Arial" w:hAnsi="Arial" w:cs="Arial"/>
          <w:bCs/>
          <w:sz w:val="24"/>
          <w:szCs w:val="24"/>
        </w:rPr>
        <w:t xml:space="preserve">. </w:t>
      </w:r>
    </w:p>
    <w:p w14:paraId="63D80B49" w14:textId="58A2DD2C" w:rsidR="007E7477" w:rsidRPr="009610CE" w:rsidRDefault="007E7477" w:rsidP="009E3E26">
      <w:pPr>
        <w:pStyle w:val="ListParagraph"/>
        <w:numPr>
          <w:ilvl w:val="0"/>
          <w:numId w:val="3"/>
        </w:numPr>
        <w:spacing w:after="0" w:line="360" w:lineRule="auto"/>
        <w:ind w:left="567" w:hanging="567"/>
        <w:rPr>
          <w:rFonts w:ascii="Arial" w:hAnsi="Arial" w:cs="Arial"/>
          <w:bCs/>
          <w:sz w:val="24"/>
          <w:szCs w:val="24"/>
        </w:rPr>
      </w:pPr>
      <w:r w:rsidRPr="009610CE">
        <w:rPr>
          <w:rFonts w:ascii="Arial" w:hAnsi="Arial" w:cs="Arial"/>
          <w:bCs/>
          <w:sz w:val="24"/>
          <w:szCs w:val="24"/>
        </w:rPr>
        <w:t>Both the conviction and sentence are upheld.</w:t>
      </w:r>
    </w:p>
    <w:p w14:paraId="0F0A4935" w14:textId="0CEA4781" w:rsidR="009C3F8A" w:rsidRPr="00E263E1" w:rsidRDefault="009C3F8A" w:rsidP="00E263E1">
      <w:pPr>
        <w:spacing w:after="0" w:line="360" w:lineRule="auto"/>
        <w:ind w:left="284"/>
        <w:rPr>
          <w:rFonts w:ascii="Arial" w:hAnsi="Arial" w:cs="Arial"/>
          <w:b/>
          <w:bCs/>
          <w:sz w:val="24"/>
          <w:szCs w:val="24"/>
        </w:rPr>
      </w:pPr>
    </w:p>
    <w:p w14:paraId="1EC677DB" w14:textId="07246471" w:rsidR="00935BAA" w:rsidRPr="00935BAA" w:rsidRDefault="00935BAA" w:rsidP="009E3E26">
      <w:pPr>
        <w:spacing w:after="0" w:line="360" w:lineRule="auto"/>
        <w:ind w:left="284" w:hanging="284"/>
        <w:rPr>
          <w:rFonts w:ascii="Arial" w:hAnsi="Arial" w:cs="Arial"/>
          <w:b/>
          <w:bCs/>
          <w:sz w:val="24"/>
          <w:szCs w:val="24"/>
        </w:rPr>
      </w:pPr>
      <w:r>
        <w:rPr>
          <w:rFonts w:ascii="Arial" w:hAnsi="Arial" w:cs="Arial"/>
          <w:b/>
          <w:bCs/>
          <w:sz w:val="24"/>
          <w:szCs w:val="24"/>
        </w:rPr>
        <w:t>_________________________________________________________________</w:t>
      </w:r>
      <w:r w:rsidR="009E3E26">
        <w:rPr>
          <w:rFonts w:ascii="Arial" w:hAnsi="Arial" w:cs="Arial"/>
          <w:b/>
          <w:bCs/>
          <w:sz w:val="24"/>
          <w:szCs w:val="24"/>
        </w:rPr>
        <w:t>__</w:t>
      </w:r>
    </w:p>
    <w:p w14:paraId="1B2A6B64" w14:textId="45669FE3" w:rsidR="00901E22" w:rsidRDefault="00E35EE8" w:rsidP="00FC0261">
      <w:pPr>
        <w:spacing w:after="0" w:line="360" w:lineRule="auto"/>
        <w:jc w:val="center"/>
        <w:rPr>
          <w:rFonts w:ascii="Arial" w:hAnsi="Arial" w:cs="Arial"/>
          <w:b/>
          <w:bCs/>
          <w:sz w:val="24"/>
          <w:szCs w:val="24"/>
        </w:rPr>
      </w:pPr>
      <w:r w:rsidRPr="007E0D8C">
        <w:rPr>
          <w:rFonts w:ascii="Arial" w:hAnsi="Arial" w:cs="Arial"/>
          <w:b/>
          <w:bCs/>
          <w:sz w:val="24"/>
          <w:szCs w:val="24"/>
        </w:rPr>
        <w:t>APPEAL</w:t>
      </w:r>
      <w:r w:rsidR="00901E22">
        <w:rPr>
          <w:rFonts w:ascii="Arial" w:hAnsi="Arial" w:cs="Arial"/>
          <w:b/>
          <w:bCs/>
          <w:sz w:val="24"/>
          <w:szCs w:val="24"/>
        </w:rPr>
        <w:t xml:space="preserve"> </w:t>
      </w:r>
      <w:r w:rsidR="0060044B" w:rsidRPr="007E0D8C">
        <w:rPr>
          <w:rFonts w:ascii="Arial" w:hAnsi="Arial" w:cs="Arial"/>
          <w:b/>
          <w:bCs/>
          <w:sz w:val="24"/>
          <w:szCs w:val="24"/>
        </w:rPr>
        <w:t>JUDGMENT</w:t>
      </w:r>
    </w:p>
    <w:p w14:paraId="06220A08" w14:textId="2D952DB4" w:rsidR="006A3392" w:rsidRDefault="000C6086" w:rsidP="00302D04">
      <w:pPr>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302D04">
        <w:rPr>
          <w:rFonts w:ascii="Arial" w:hAnsi="Arial" w:cs="Arial"/>
          <w:b/>
          <w:bCs/>
          <w:sz w:val="24"/>
          <w:szCs w:val="24"/>
        </w:rPr>
        <w:t>Delivered on:</w:t>
      </w:r>
      <w:r>
        <w:rPr>
          <w:rFonts w:ascii="Arial" w:hAnsi="Arial" w:cs="Arial"/>
          <w:b/>
          <w:bCs/>
          <w:sz w:val="24"/>
          <w:szCs w:val="24"/>
        </w:rPr>
        <w:t xml:space="preserve"> Friday, 29 July 2022</w:t>
      </w:r>
    </w:p>
    <w:p w14:paraId="4E427E28" w14:textId="75C668F6" w:rsidR="00BF4698" w:rsidRDefault="00E447D4" w:rsidP="00FC0261">
      <w:pPr>
        <w:spacing w:after="0" w:line="360" w:lineRule="auto"/>
        <w:rPr>
          <w:rFonts w:ascii="Arial" w:hAnsi="Arial" w:cs="Arial"/>
          <w:b/>
          <w:bCs/>
          <w:sz w:val="24"/>
          <w:szCs w:val="24"/>
        </w:rPr>
      </w:pPr>
      <w:r>
        <w:rPr>
          <w:rFonts w:ascii="Arial" w:hAnsi="Arial" w:cs="Arial"/>
          <w:b/>
          <w:bCs/>
          <w:sz w:val="24"/>
          <w:szCs w:val="24"/>
        </w:rPr>
        <w:t>___________________________________________________________________</w:t>
      </w:r>
    </w:p>
    <w:p w14:paraId="4ECFD5A5" w14:textId="77777777" w:rsidR="00EF3942" w:rsidRDefault="00EF3942" w:rsidP="00DD2363">
      <w:pPr>
        <w:spacing w:after="0" w:line="360" w:lineRule="auto"/>
        <w:jc w:val="both"/>
        <w:rPr>
          <w:rFonts w:ascii="Arial" w:hAnsi="Arial" w:cs="Arial"/>
          <w:b/>
          <w:bCs/>
          <w:sz w:val="24"/>
          <w:szCs w:val="24"/>
        </w:rPr>
      </w:pPr>
    </w:p>
    <w:p w14:paraId="6905E7A2" w14:textId="53C8862A" w:rsidR="00135643" w:rsidRDefault="0060044B" w:rsidP="00DD2363">
      <w:pPr>
        <w:spacing w:after="0" w:line="360" w:lineRule="auto"/>
        <w:jc w:val="both"/>
        <w:rPr>
          <w:rFonts w:ascii="Arial" w:hAnsi="Arial" w:cs="Arial"/>
          <w:b/>
          <w:bCs/>
          <w:sz w:val="24"/>
          <w:szCs w:val="24"/>
        </w:rPr>
      </w:pPr>
      <w:proofErr w:type="spellStart"/>
      <w:r w:rsidRPr="007E0D8C">
        <w:rPr>
          <w:rFonts w:ascii="Arial" w:hAnsi="Arial" w:cs="Arial"/>
          <w:b/>
          <w:bCs/>
          <w:sz w:val="24"/>
          <w:szCs w:val="24"/>
        </w:rPr>
        <w:lastRenderedPageBreak/>
        <w:t>D</w:t>
      </w:r>
      <w:r w:rsidR="009610CE">
        <w:rPr>
          <w:rFonts w:ascii="Arial" w:hAnsi="Arial" w:cs="Arial"/>
          <w:b/>
          <w:bCs/>
          <w:sz w:val="24"/>
          <w:szCs w:val="24"/>
        </w:rPr>
        <w:t>umisa</w:t>
      </w:r>
      <w:proofErr w:type="spellEnd"/>
      <w:r w:rsidR="009610CE">
        <w:rPr>
          <w:rFonts w:ascii="Arial" w:hAnsi="Arial" w:cs="Arial"/>
          <w:b/>
          <w:bCs/>
          <w:sz w:val="24"/>
          <w:szCs w:val="24"/>
        </w:rPr>
        <w:t xml:space="preserve"> </w:t>
      </w:r>
      <w:r w:rsidRPr="007E0D8C">
        <w:rPr>
          <w:rFonts w:ascii="Arial" w:hAnsi="Arial" w:cs="Arial"/>
          <w:b/>
          <w:bCs/>
          <w:sz w:val="24"/>
          <w:szCs w:val="24"/>
        </w:rPr>
        <w:t>AJ</w:t>
      </w:r>
      <w:r w:rsidR="00E77553" w:rsidRPr="007E0D8C">
        <w:rPr>
          <w:rFonts w:ascii="Arial" w:hAnsi="Arial" w:cs="Arial"/>
          <w:b/>
          <w:bCs/>
          <w:sz w:val="24"/>
          <w:szCs w:val="24"/>
        </w:rPr>
        <w:t xml:space="preserve"> </w:t>
      </w:r>
      <w:r w:rsidR="00135643">
        <w:rPr>
          <w:rFonts w:ascii="Arial" w:hAnsi="Arial" w:cs="Arial"/>
          <w:b/>
          <w:bCs/>
          <w:sz w:val="24"/>
          <w:szCs w:val="24"/>
        </w:rPr>
        <w:t>(</w:t>
      </w:r>
      <w:r w:rsidR="00FB258E" w:rsidRPr="007E0D8C">
        <w:rPr>
          <w:rFonts w:ascii="Arial" w:hAnsi="Arial" w:cs="Arial"/>
          <w:b/>
          <w:bCs/>
          <w:sz w:val="24"/>
          <w:szCs w:val="24"/>
        </w:rPr>
        <w:t>O</w:t>
      </w:r>
      <w:r w:rsidR="009610CE">
        <w:rPr>
          <w:rFonts w:ascii="Arial" w:hAnsi="Arial" w:cs="Arial"/>
          <w:b/>
          <w:bCs/>
          <w:sz w:val="24"/>
          <w:szCs w:val="24"/>
        </w:rPr>
        <w:t>lsen</w:t>
      </w:r>
      <w:r w:rsidR="00FB258E" w:rsidRPr="007E0D8C">
        <w:rPr>
          <w:rFonts w:ascii="Arial" w:hAnsi="Arial" w:cs="Arial"/>
          <w:b/>
          <w:bCs/>
          <w:sz w:val="24"/>
          <w:szCs w:val="24"/>
        </w:rPr>
        <w:t xml:space="preserve"> J concurring</w:t>
      </w:r>
      <w:r w:rsidR="00135643">
        <w:rPr>
          <w:rFonts w:ascii="Arial" w:hAnsi="Arial" w:cs="Arial"/>
          <w:b/>
          <w:bCs/>
          <w:sz w:val="24"/>
          <w:szCs w:val="24"/>
        </w:rPr>
        <w:t>)</w:t>
      </w:r>
    </w:p>
    <w:p w14:paraId="4BC620C2" w14:textId="77777777" w:rsidR="00EF3942" w:rsidRPr="00C8163F" w:rsidRDefault="00EF3942" w:rsidP="00DD2363">
      <w:pPr>
        <w:spacing w:after="0" w:line="360" w:lineRule="auto"/>
        <w:jc w:val="both"/>
        <w:rPr>
          <w:rFonts w:ascii="Arial" w:hAnsi="Arial" w:cs="Arial"/>
          <w:sz w:val="24"/>
          <w:szCs w:val="24"/>
        </w:rPr>
      </w:pPr>
    </w:p>
    <w:p w14:paraId="4A177863" w14:textId="1542FA8D" w:rsidR="002E221F" w:rsidRPr="00E84445" w:rsidRDefault="007917C7" w:rsidP="00087899">
      <w:pPr>
        <w:spacing w:after="0" w:line="360" w:lineRule="auto"/>
        <w:jc w:val="both"/>
        <w:rPr>
          <w:rFonts w:ascii="Arial" w:hAnsi="Arial" w:cs="Arial"/>
          <w:sz w:val="24"/>
          <w:szCs w:val="24"/>
        </w:rPr>
      </w:pPr>
      <w:r w:rsidRPr="00E84445">
        <w:rPr>
          <w:rFonts w:ascii="Arial" w:hAnsi="Arial" w:cs="Arial"/>
          <w:sz w:val="24"/>
          <w:szCs w:val="24"/>
        </w:rPr>
        <w:t>[1]</w:t>
      </w:r>
      <w:r w:rsidR="003569E4" w:rsidRPr="00E84445">
        <w:rPr>
          <w:rFonts w:ascii="Arial" w:hAnsi="Arial" w:cs="Arial"/>
          <w:sz w:val="24"/>
          <w:szCs w:val="24"/>
        </w:rPr>
        <w:tab/>
      </w:r>
      <w:r w:rsidR="000D5400" w:rsidRPr="00E84445">
        <w:rPr>
          <w:rFonts w:ascii="Arial" w:hAnsi="Arial" w:cs="Arial"/>
          <w:sz w:val="24"/>
          <w:szCs w:val="24"/>
        </w:rPr>
        <w:t xml:space="preserve">The </w:t>
      </w:r>
      <w:r w:rsidR="00FB719E">
        <w:rPr>
          <w:rFonts w:ascii="Arial" w:hAnsi="Arial" w:cs="Arial"/>
          <w:sz w:val="24"/>
          <w:szCs w:val="24"/>
        </w:rPr>
        <w:t>appellant</w:t>
      </w:r>
      <w:r w:rsidR="00454AC5" w:rsidRPr="00E84445">
        <w:rPr>
          <w:rFonts w:ascii="Arial" w:hAnsi="Arial" w:cs="Arial"/>
          <w:sz w:val="24"/>
          <w:szCs w:val="24"/>
        </w:rPr>
        <w:t xml:space="preserve"> in this </w:t>
      </w:r>
      <w:proofErr w:type="spellStart"/>
      <w:r w:rsidR="00454AC5" w:rsidRPr="00E84445">
        <w:rPr>
          <w:rFonts w:ascii="Arial" w:hAnsi="Arial" w:cs="Arial"/>
          <w:sz w:val="24"/>
          <w:szCs w:val="24"/>
        </w:rPr>
        <w:t>c</w:t>
      </w:r>
      <w:r w:rsidR="0093679A">
        <w:rPr>
          <w:rFonts w:ascii="Arial" w:hAnsi="Arial" w:cs="Arial"/>
          <w:sz w:val="24"/>
          <w:szCs w:val="24"/>
        </w:rPr>
        <w:t>.</w:t>
      </w:r>
      <w:r w:rsidR="00454AC5" w:rsidRPr="00E84445">
        <w:rPr>
          <w:rFonts w:ascii="Arial" w:hAnsi="Arial" w:cs="Arial"/>
          <w:sz w:val="24"/>
          <w:szCs w:val="24"/>
        </w:rPr>
        <w:t>ase</w:t>
      </w:r>
      <w:proofErr w:type="spellEnd"/>
      <w:r w:rsidR="00454AC5" w:rsidRPr="00E84445">
        <w:rPr>
          <w:rFonts w:ascii="Arial" w:hAnsi="Arial" w:cs="Arial"/>
          <w:sz w:val="24"/>
          <w:szCs w:val="24"/>
        </w:rPr>
        <w:t xml:space="preserve">, Charles Green, </w:t>
      </w:r>
      <w:r w:rsidR="000D5400" w:rsidRPr="00E84445">
        <w:rPr>
          <w:rFonts w:ascii="Arial" w:hAnsi="Arial" w:cs="Arial"/>
          <w:sz w:val="24"/>
          <w:szCs w:val="24"/>
        </w:rPr>
        <w:t xml:space="preserve">was charged before a </w:t>
      </w:r>
      <w:r w:rsidR="00FB719E">
        <w:rPr>
          <w:rFonts w:ascii="Arial" w:hAnsi="Arial" w:cs="Arial"/>
          <w:sz w:val="24"/>
          <w:szCs w:val="24"/>
        </w:rPr>
        <w:t>regional magistrate</w:t>
      </w:r>
      <w:r w:rsidR="0096183D" w:rsidRPr="00E84445">
        <w:rPr>
          <w:rFonts w:ascii="Arial" w:hAnsi="Arial" w:cs="Arial"/>
          <w:sz w:val="24"/>
          <w:szCs w:val="24"/>
        </w:rPr>
        <w:t xml:space="preserve"> on </w:t>
      </w:r>
      <w:r w:rsidR="00A70672" w:rsidRPr="00E84445">
        <w:rPr>
          <w:rFonts w:ascii="Arial" w:hAnsi="Arial" w:cs="Arial"/>
          <w:sz w:val="24"/>
          <w:szCs w:val="24"/>
        </w:rPr>
        <w:t>one</w:t>
      </w:r>
      <w:r w:rsidR="008B5F0F">
        <w:rPr>
          <w:rFonts w:ascii="Arial" w:hAnsi="Arial" w:cs="Arial"/>
          <w:sz w:val="24"/>
          <w:szCs w:val="24"/>
        </w:rPr>
        <w:t xml:space="preserve"> </w:t>
      </w:r>
      <w:r w:rsidR="00A70672" w:rsidRPr="00E84445">
        <w:rPr>
          <w:rFonts w:ascii="Arial" w:hAnsi="Arial" w:cs="Arial"/>
          <w:sz w:val="24"/>
          <w:szCs w:val="24"/>
        </w:rPr>
        <w:t xml:space="preserve">count of murder and one </w:t>
      </w:r>
      <w:r w:rsidR="00820FE8" w:rsidRPr="00E84445">
        <w:rPr>
          <w:rFonts w:ascii="Arial" w:hAnsi="Arial" w:cs="Arial"/>
          <w:sz w:val="24"/>
          <w:szCs w:val="24"/>
        </w:rPr>
        <w:t xml:space="preserve">count of robbery with aggravating </w:t>
      </w:r>
      <w:r w:rsidR="00FB2DA7" w:rsidRPr="00E84445">
        <w:rPr>
          <w:rFonts w:ascii="Arial" w:hAnsi="Arial" w:cs="Arial"/>
          <w:sz w:val="24"/>
          <w:szCs w:val="24"/>
        </w:rPr>
        <w:t xml:space="preserve">circumstances. The </w:t>
      </w:r>
      <w:r w:rsidR="00FB719E">
        <w:rPr>
          <w:rFonts w:ascii="Arial" w:hAnsi="Arial" w:cs="Arial"/>
          <w:sz w:val="24"/>
          <w:szCs w:val="24"/>
        </w:rPr>
        <w:t>appellant</w:t>
      </w:r>
      <w:r w:rsidR="00FB2DA7" w:rsidRPr="00E84445">
        <w:rPr>
          <w:rFonts w:ascii="Arial" w:hAnsi="Arial" w:cs="Arial"/>
          <w:sz w:val="24"/>
          <w:szCs w:val="24"/>
        </w:rPr>
        <w:t xml:space="preserve"> pleaded not guilty </w:t>
      </w:r>
      <w:r w:rsidR="00D05BFB" w:rsidRPr="00E84445">
        <w:rPr>
          <w:rFonts w:ascii="Arial" w:hAnsi="Arial" w:cs="Arial"/>
          <w:sz w:val="24"/>
          <w:szCs w:val="24"/>
        </w:rPr>
        <w:t xml:space="preserve">to both counts. The </w:t>
      </w:r>
      <w:r w:rsidR="00FB719E">
        <w:rPr>
          <w:rFonts w:ascii="Arial" w:hAnsi="Arial" w:cs="Arial"/>
          <w:sz w:val="24"/>
          <w:szCs w:val="24"/>
        </w:rPr>
        <w:t>regional magistrate</w:t>
      </w:r>
      <w:r w:rsidR="00D05BFB" w:rsidRPr="00E84445">
        <w:rPr>
          <w:rFonts w:ascii="Arial" w:hAnsi="Arial" w:cs="Arial"/>
          <w:sz w:val="24"/>
          <w:szCs w:val="24"/>
        </w:rPr>
        <w:t xml:space="preserve"> having </w:t>
      </w:r>
      <w:r w:rsidR="00CC22A2" w:rsidRPr="00E84445">
        <w:rPr>
          <w:rFonts w:ascii="Arial" w:hAnsi="Arial" w:cs="Arial"/>
          <w:sz w:val="24"/>
          <w:szCs w:val="24"/>
        </w:rPr>
        <w:t>heard evidence found him guilty on both counts</w:t>
      </w:r>
      <w:r w:rsidR="00E30F9F" w:rsidRPr="00E84445">
        <w:rPr>
          <w:rFonts w:ascii="Arial" w:hAnsi="Arial" w:cs="Arial"/>
          <w:sz w:val="24"/>
          <w:szCs w:val="24"/>
        </w:rPr>
        <w:t xml:space="preserve"> and sentenced him to life </w:t>
      </w:r>
      <w:r w:rsidR="00515DFE" w:rsidRPr="00E84445">
        <w:rPr>
          <w:rFonts w:ascii="Arial" w:hAnsi="Arial" w:cs="Arial"/>
          <w:sz w:val="24"/>
          <w:szCs w:val="24"/>
        </w:rPr>
        <w:t xml:space="preserve">imprisonment and fifteen </w:t>
      </w:r>
      <w:r w:rsidR="002E221F" w:rsidRPr="00E84445">
        <w:rPr>
          <w:rFonts w:ascii="Arial" w:hAnsi="Arial" w:cs="Arial"/>
          <w:sz w:val="24"/>
          <w:szCs w:val="24"/>
        </w:rPr>
        <w:t>(15) years respectively.</w:t>
      </w:r>
    </w:p>
    <w:p w14:paraId="76A26348" w14:textId="77777777" w:rsidR="000F4E71" w:rsidRPr="007E0D8C" w:rsidRDefault="000F4E71" w:rsidP="00DD2363">
      <w:pPr>
        <w:spacing w:after="0" w:line="360" w:lineRule="auto"/>
        <w:jc w:val="both"/>
        <w:rPr>
          <w:rFonts w:ascii="Arial" w:hAnsi="Arial" w:cs="Arial"/>
          <w:sz w:val="24"/>
          <w:szCs w:val="24"/>
        </w:rPr>
      </w:pPr>
    </w:p>
    <w:p w14:paraId="4DC3ED17" w14:textId="69086DF8" w:rsidR="00F169FA" w:rsidRPr="00E84445" w:rsidRDefault="00E84445" w:rsidP="00087899">
      <w:pPr>
        <w:spacing w:after="0" w:line="360" w:lineRule="auto"/>
        <w:jc w:val="both"/>
        <w:rPr>
          <w:rFonts w:ascii="Arial" w:hAnsi="Arial" w:cs="Arial"/>
          <w:sz w:val="24"/>
          <w:szCs w:val="24"/>
        </w:rPr>
      </w:pPr>
      <w:r>
        <w:rPr>
          <w:rFonts w:ascii="Arial" w:hAnsi="Arial" w:cs="Arial"/>
          <w:sz w:val="24"/>
          <w:szCs w:val="24"/>
        </w:rPr>
        <w:t>[2]</w:t>
      </w:r>
      <w:r w:rsidR="00087899">
        <w:rPr>
          <w:rFonts w:ascii="Arial" w:hAnsi="Arial" w:cs="Arial"/>
          <w:sz w:val="24"/>
          <w:szCs w:val="24"/>
        </w:rPr>
        <w:tab/>
      </w:r>
      <w:r w:rsidR="00656CA4" w:rsidRPr="00E84445">
        <w:rPr>
          <w:rFonts w:ascii="Arial" w:hAnsi="Arial" w:cs="Arial"/>
          <w:sz w:val="24"/>
          <w:szCs w:val="24"/>
        </w:rPr>
        <w:t xml:space="preserve">The </w:t>
      </w:r>
      <w:r w:rsidR="00FB719E">
        <w:rPr>
          <w:rFonts w:ascii="Arial" w:hAnsi="Arial" w:cs="Arial"/>
          <w:sz w:val="24"/>
          <w:szCs w:val="24"/>
        </w:rPr>
        <w:t>appellant</w:t>
      </w:r>
      <w:r w:rsidR="00656CA4" w:rsidRPr="00E84445">
        <w:rPr>
          <w:rFonts w:ascii="Arial" w:hAnsi="Arial" w:cs="Arial"/>
          <w:sz w:val="24"/>
          <w:szCs w:val="24"/>
        </w:rPr>
        <w:t xml:space="preserve"> enjoys </w:t>
      </w:r>
      <w:r w:rsidR="008B5F0F">
        <w:rPr>
          <w:rFonts w:ascii="Arial" w:hAnsi="Arial" w:cs="Arial"/>
          <w:sz w:val="24"/>
          <w:szCs w:val="24"/>
        </w:rPr>
        <w:t xml:space="preserve">an </w:t>
      </w:r>
      <w:r w:rsidR="00656CA4" w:rsidRPr="00E84445">
        <w:rPr>
          <w:rFonts w:ascii="Arial" w:hAnsi="Arial" w:cs="Arial"/>
          <w:sz w:val="24"/>
          <w:szCs w:val="24"/>
        </w:rPr>
        <w:t xml:space="preserve">automatic </w:t>
      </w:r>
      <w:r w:rsidR="00D724F0" w:rsidRPr="00E84445">
        <w:rPr>
          <w:rFonts w:ascii="Arial" w:hAnsi="Arial" w:cs="Arial"/>
          <w:sz w:val="24"/>
          <w:szCs w:val="24"/>
        </w:rPr>
        <w:t xml:space="preserve">right to appeal in respect of </w:t>
      </w:r>
      <w:r w:rsidR="008B5F0F">
        <w:rPr>
          <w:rFonts w:ascii="Arial" w:hAnsi="Arial" w:cs="Arial"/>
          <w:sz w:val="24"/>
          <w:szCs w:val="24"/>
        </w:rPr>
        <w:t xml:space="preserve">the </w:t>
      </w:r>
      <w:r w:rsidR="00D724F0" w:rsidRPr="00E84445">
        <w:rPr>
          <w:rFonts w:ascii="Arial" w:hAnsi="Arial" w:cs="Arial"/>
          <w:sz w:val="24"/>
          <w:szCs w:val="24"/>
        </w:rPr>
        <w:t xml:space="preserve">murder </w:t>
      </w:r>
      <w:r w:rsidR="009D3422" w:rsidRPr="00E84445">
        <w:rPr>
          <w:rFonts w:ascii="Arial" w:hAnsi="Arial" w:cs="Arial"/>
          <w:sz w:val="24"/>
          <w:szCs w:val="24"/>
        </w:rPr>
        <w:t xml:space="preserve">count and also appeals </w:t>
      </w:r>
      <w:r w:rsidR="001A3940">
        <w:rPr>
          <w:rFonts w:ascii="Arial" w:hAnsi="Arial" w:cs="Arial"/>
          <w:sz w:val="24"/>
          <w:szCs w:val="24"/>
        </w:rPr>
        <w:t>also on the robbery c</w:t>
      </w:r>
      <w:r w:rsidR="009D3422" w:rsidRPr="00E84445">
        <w:rPr>
          <w:rFonts w:ascii="Arial" w:hAnsi="Arial" w:cs="Arial"/>
          <w:sz w:val="24"/>
          <w:szCs w:val="24"/>
        </w:rPr>
        <w:t>o</w:t>
      </w:r>
      <w:r w:rsidR="001A3940">
        <w:rPr>
          <w:rFonts w:ascii="Arial" w:hAnsi="Arial" w:cs="Arial"/>
          <w:sz w:val="24"/>
          <w:szCs w:val="24"/>
        </w:rPr>
        <w:t>u</w:t>
      </w:r>
      <w:r w:rsidR="009D3422" w:rsidRPr="00E84445">
        <w:rPr>
          <w:rFonts w:ascii="Arial" w:hAnsi="Arial" w:cs="Arial"/>
          <w:sz w:val="24"/>
          <w:szCs w:val="24"/>
        </w:rPr>
        <w:t>n</w:t>
      </w:r>
      <w:r w:rsidR="001A3940">
        <w:rPr>
          <w:rFonts w:ascii="Arial" w:hAnsi="Arial" w:cs="Arial"/>
          <w:sz w:val="24"/>
          <w:szCs w:val="24"/>
        </w:rPr>
        <w:t>t with</w:t>
      </w:r>
      <w:r w:rsidR="009D3422" w:rsidRPr="00E84445">
        <w:rPr>
          <w:rFonts w:ascii="Arial" w:hAnsi="Arial" w:cs="Arial"/>
          <w:sz w:val="24"/>
          <w:szCs w:val="24"/>
        </w:rPr>
        <w:t xml:space="preserve"> leave </w:t>
      </w:r>
      <w:r w:rsidR="008B5F0F">
        <w:rPr>
          <w:rFonts w:ascii="Arial" w:hAnsi="Arial" w:cs="Arial"/>
          <w:sz w:val="24"/>
          <w:szCs w:val="24"/>
        </w:rPr>
        <w:t xml:space="preserve">having been </w:t>
      </w:r>
      <w:r w:rsidR="009D3422" w:rsidRPr="00E84445">
        <w:rPr>
          <w:rFonts w:ascii="Arial" w:hAnsi="Arial" w:cs="Arial"/>
          <w:sz w:val="24"/>
          <w:szCs w:val="24"/>
        </w:rPr>
        <w:t xml:space="preserve">granted </w:t>
      </w:r>
      <w:r w:rsidR="008F5E99" w:rsidRPr="00E84445">
        <w:rPr>
          <w:rFonts w:ascii="Arial" w:hAnsi="Arial" w:cs="Arial"/>
          <w:sz w:val="24"/>
          <w:szCs w:val="24"/>
        </w:rPr>
        <w:t xml:space="preserve">by the </w:t>
      </w:r>
      <w:r w:rsidR="00FB719E">
        <w:rPr>
          <w:rFonts w:ascii="Arial" w:hAnsi="Arial" w:cs="Arial"/>
          <w:sz w:val="24"/>
          <w:szCs w:val="24"/>
        </w:rPr>
        <w:t>regional magistrate</w:t>
      </w:r>
      <w:r w:rsidR="008F5E99" w:rsidRPr="00E84445">
        <w:rPr>
          <w:rFonts w:ascii="Arial" w:hAnsi="Arial" w:cs="Arial"/>
          <w:sz w:val="24"/>
          <w:szCs w:val="24"/>
        </w:rPr>
        <w:t xml:space="preserve"> on the 12</w:t>
      </w:r>
      <w:r w:rsidR="008F5E99" w:rsidRPr="00E84445">
        <w:rPr>
          <w:rFonts w:ascii="Arial" w:hAnsi="Arial" w:cs="Arial"/>
          <w:sz w:val="24"/>
          <w:szCs w:val="24"/>
          <w:vertAlign w:val="superscript"/>
        </w:rPr>
        <w:t>th</w:t>
      </w:r>
      <w:r w:rsidR="008F5E99" w:rsidRPr="00E84445">
        <w:rPr>
          <w:rFonts w:ascii="Arial" w:hAnsi="Arial" w:cs="Arial"/>
          <w:sz w:val="24"/>
          <w:szCs w:val="24"/>
        </w:rPr>
        <w:t xml:space="preserve"> of March 2020</w:t>
      </w:r>
      <w:r w:rsidR="001A3940">
        <w:rPr>
          <w:rFonts w:ascii="Arial" w:hAnsi="Arial" w:cs="Arial"/>
          <w:sz w:val="24"/>
          <w:szCs w:val="24"/>
        </w:rPr>
        <w:t>. The appeal is against both</w:t>
      </w:r>
      <w:r w:rsidR="00260559" w:rsidRPr="00E84445">
        <w:rPr>
          <w:rFonts w:ascii="Arial" w:hAnsi="Arial" w:cs="Arial"/>
          <w:sz w:val="24"/>
          <w:szCs w:val="24"/>
        </w:rPr>
        <w:t xml:space="preserve"> conviction and sentence. </w:t>
      </w:r>
      <w:r w:rsidR="00820FE8" w:rsidRPr="00E84445">
        <w:rPr>
          <w:rFonts w:ascii="Arial" w:hAnsi="Arial" w:cs="Arial"/>
          <w:sz w:val="24"/>
          <w:szCs w:val="24"/>
        </w:rPr>
        <w:t xml:space="preserve"> </w:t>
      </w:r>
    </w:p>
    <w:p w14:paraId="099E3215" w14:textId="77777777" w:rsidR="000F4E71" w:rsidRPr="007E0D8C" w:rsidRDefault="000F4E71" w:rsidP="00DD2363">
      <w:pPr>
        <w:pStyle w:val="ListParagraph"/>
        <w:spacing w:after="0" w:line="360" w:lineRule="auto"/>
        <w:jc w:val="both"/>
        <w:rPr>
          <w:rFonts w:ascii="Arial" w:hAnsi="Arial" w:cs="Arial"/>
          <w:sz w:val="24"/>
          <w:szCs w:val="24"/>
        </w:rPr>
      </w:pPr>
    </w:p>
    <w:p w14:paraId="68422842" w14:textId="38CA7141" w:rsidR="00FF7B6E" w:rsidRPr="00F80EB2" w:rsidRDefault="00F80EB2" w:rsidP="00087899">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91BC9" w:rsidRPr="00F80EB2">
        <w:rPr>
          <w:rFonts w:ascii="Arial" w:hAnsi="Arial" w:cs="Arial"/>
          <w:sz w:val="24"/>
          <w:szCs w:val="24"/>
        </w:rPr>
        <w:t>T</w:t>
      </w:r>
      <w:r w:rsidR="00845BAE" w:rsidRPr="00F80EB2">
        <w:rPr>
          <w:rFonts w:ascii="Arial" w:hAnsi="Arial" w:cs="Arial"/>
          <w:sz w:val="24"/>
          <w:szCs w:val="24"/>
        </w:rPr>
        <w:t xml:space="preserve">he </w:t>
      </w:r>
      <w:r w:rsidR="00FB719E">
        <w:rPr>
          <w:rFonts w:ascii="Arial" w:hAnsi="Arial" w:cs="Arial"/>
          <w:sz w:val="24"/>
          <w:szCs w:val="24"/>
        </w:rPr>
        <w:t>appellant</w:t>
      </w:r>
      <w:r w:rsidR="00191BC9" w:rsidRPr="00F80EB2">
        <w:rPr>
          <w:rFonts w:ascii="Arial" w:hAnsi="Arial" w:cs="Arial"/>
          <w:sz w:val="24"/>
          <w:szCs w:val="24"/>
        </w:rPr>
        <w:t xml:space="preserve">’s </w:t>
      </w:r>
      <w:r w:rsidR="00F25456" w:rsidRPr="00F80EB2">
        <w:rPr>
          <w:rFonts w:ascii="Arial" w:hAnsi="Arial" w:cs="Arial"/>
          <w:sz w:val="24"/>
          <w:szCs w:val="24"/>
        </w:rPr>
        <w:t xml:space="preserve">appeal </w:t>
      </w:r>
      <w:r w:rsidR="00FF7B6E" w:rsidRPr="00F80EB2">
        <w:rPr>
          <w:rFonts w:ascii="Arial" w:hAnsi="Arial" w:cs="Arial"/>
          <w:sz w:val="24"/>
          <w:szCs w:val="24"/>
        </w:rPr>
        <w:t>has two parts</w:t>
      </w:r>
      <w:r w:rsidR="00DF0B43">
        <w:rPr>
          <w:rFonts w:ascii="Arial" w:hAnsi="Arial" w:cs="Arial"/>
          <w:sz w:val="24"/>
          <w:szCs w:val="24"/>
        </w:rPr>
        <w:t>:</w:t>
      </w:r>
      <w:r w:rsidR="00FF7B6E" w:rsidRPr="00F80EB2">
        <w:rPr>
          <w:rFonts w:ascii="Arial" w:hAnsi="Arial" w:cs="Arial"/>
          <w:sz w:val="24"/>
          <w:szCs w:val="24"/>
        </w:rPr>
        <w:t xml:space="preserve"> </w:t>
      </w:r>
    </w:p>
    <w:p w14:paraId="31E9D25A" w14:textId="5E01E691" w:rsidR="00A34C1A" w:rsidRPr="00087899" w:rsidRDefault="00DF0B43" w:rsidP="00087899">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13D11">
        <w:rPr>
          <w:rFonts w:ascii="Arial" w:hAnsi="Arial" w:cs="Arial"/>
          <w:sz w:val="24"/>
          <w:szCs w:val="24"/>
        </w:rPr>
        <w:t>The</w:t>
      </w:r>
      <w:r w:rsidR="00312E3F" w:rsidRPr="007E0D8C">
        <w:rPr>
          <w:rFonts w:ascii="Arial" w:hAnsi="Arial" w:cs="Arial"/>
          <w:sz w:val="24"/>
          <w:szCs w:val="24"/>
        </w:rPr>
        <w:t xml:space="preserve"> </w:t>
      </w:r>
      <w:r w:rsidR="00713D11">
        <w:rPr>
          <w:rFonts w:ascii="Arial" w:hAnsi="Arial" w:cs="Arial"/>
          <w:sz w:val="24"/>
          <w:szCs w:val="24"/>
        </w:rPr>
        <w:t>main argument is that the conviction and sentence should</w:t>
      </w:r>
      <w:r w:rsidR="00A23BA8" w:rsidRPr="007E0D8C">
        <w:rPr>
          <w:rFonts w:ascii="Arial" w:hAnsi="Arial" w:cs="Arial"/>
          <w:sz w:val="24"/>
          <w:szCs w:val="24"/>
        </w:rPr>
        <w:t xml:space="preserve"> be set aside on </w:t>
      </w:r>
      <w:r w:rsidR="00713D11">
        <w:rPr>
          <w:rFonts w:ascii="Arial" w:hAnsi="Arial" w:cs="Arial"/>
          <w:sz w:val="24"/>
          <w:szCs w:val="24"/>
        </w:rPr>
        <w:t>the ground</w:t>
      </w:r>
      <w:r w:rsidR="00A23BA8" w:rsidRPr="007E0D8C">
        <w:rPr>
          <w:rFonts w:ascii="Arial" w:hAnsi="Arial" w:cs="Arial"/>
          <w:sz w:val="24"/>
          <w:szCs w:val="24"/>
        </w:rPr>
        <w:t xml:space="preserve"> that </w:t>
      </w:r>
      <w:r w:rsidR="004863EE" w:rsidRPr="007E0D8C">
        <w:rPr>
          <w:rFonts w:ascii="Arial" w:hAnsi="Arial" w:cs="Arial"/>
          <w:sz w:val="24"/>
          <w:szCs w:val="24"/>
        </w:rPr>
        <w:t xml:space="preserve">the </w:t>
      </w:r>
      <w:r w:rsidR="00601257">
        <w:rPr>
          <w:rFonts w:ascii="Arial" w:hAnsi="Arial" w:cs="Arial"/>
          <w:sz w:val="24"/>
          <w:szCs w:val="24"/>
        </w:rPr>
        <w:t>c</w:t>
      </w:r>
      <w:r w:rsidR="00EF53AF" w:rsidRPr="007E0D8C">
        <w:rPr>
          <w:rFonts w:ascii="Arial" w:hAnsi="Arial" w:cs="Arial"/>
          <w:sz w:val="24"/>
          <w:szCs w:val="24"/>
        </w:rPr>
        <w:t>ourt a quo</w:t>
      </w:r>
      <w:r w:rsidR="00CA3817" w:rsidRPr="007E0D8C">
        <w:rPr>
          <w:rFonts w:ascii="Arial" w:hAnsi="Arial" w:cs="Arial"/>
          <w:sz w:val="24"/>
          <w:szCs w:val="24"/>
        </w:rPr>
        <w:t xml:space="preserve"> was </w:t>
      </w:r>
      <w:r w:rsidR="00C36E87" w:rsidRPr="007E0D8C">
        <w:rPr>
          <w:rFonts w:ascii="Arial" w:hAnsi="Arial" w:cs="Arial"/>
          <w:sz w:val="24"/>
          <w:szCs w:val="24"/>
        </w:rPr>
        <w:t xml:space="preserve">not properly constituted; as the </w:t>
      </w:r>
      <w:r w:rsidR="00FB719E">
        <w:rPr>
          <w:rFonts w:ascii="Arial" w:hAnsi="Arial" w:cs="Arial"/>
          <w:sz w:val="24"/>
          <w:szCs w:val="24"/>
        </w:rPr>
        <w:t>regional magistrate</w:t>
      </w:r>
      <w:r w:rsidR="00340255" w:rsidRPr="007E0D8C">
        <w:rPr>
          <w:rFonts w:ascii="Arial" w:hAnsi="Arial" w:cs="Arial"/>
          <w:sz w:val="24"/>
          <w:szCs w:val="24"/>
        </w:rPr>
        <w:t xml:space="preserve"> </w:t>
      </w:r>
      <w:r w:rsidR="00A43285" w:rsidRPr="007E0D8C">
        <w:rPr>
          <w:rFonts w:ascii="Arial" w:hAnsi="Arial" w:cs="Arial"/>
          <w:sz w:val="24"/>
          <w:szCs w:val="24"/>
        </w:rPr>
        <w:t xml:space="preserve">did not </w:t>
      </w:r>
      <w:r w:rsidR="0017425F" w:rsidRPr="007E0D8C">
        <w:rPr>
          <w:rFonts w:ascii="Arial" w:hAnsi="Arial" w:cs="Arial"/>
          <w:sz w:val="24"/>
          <w:szCs w:val="24"/>
        </w:rPr>
        <w:t xml:space="preserve">have </w:t>
      </w:r>
      <w:r w:rsidR="006E71D4" w:rsidRPr="007E0D8C">
        <w:rPr>
          <w:rFonts w:ascii="Arial" w:hAnsi="Arial" w:cs="Arial"/>
          <w:sz w:val="24"/>
          <w:szCs w:val="24"/>
        </w:rPr>
        <w:t>the assistance of assessors</w:t>
      </w:r>
      <w:r w:rsidR="00204462" w:rsidRPr="007E0D8C">
        <w:rPr>
          <w:rFonts w:ascii="Arial" w:hAnsi="Arial" w:cs="Arial"/>
          <w:sz w:val="24"/>
          <w:szCs w:val="24"/>
        </w:rPr>
        <w:t>,</w:t>
      </w:r>
      <w:r w:rsidR="00695222" w:rsidRPr="007E0D8C">
        <w:rPr>
          <w:rFonts w:ascii="Arial" w:hAnsi="Arial" w:cs="Arial"/>
          <w:sz w:val="24"/>
          <w:szCs w:val="24"/>
        </w:rPr>
        <w:t xml:space="preserve"> as</w:t>
      </w:r>
      <w:r w:rsidR="00204462" w:rsidRPr="007E0D8C">
        <w:rPr>
          <w:rFonts w:ascii="Arial" w:hAnsi="Arial" w:cs="Arial"/>
          <w:sz w:val="24"/>
          <w:szCs w:val="24"/>
        </w:rPr>
        <w:t xml:space="preserve"> provided for in </w:t>
      </w:r>
      <w:r w:rsidR="00087899" w:rsidRPr="00087899">
        <w:rPr>
          <w:rFonts w:ascii="Arial" w:hAnsi="Arial" w:cs="Arial"/>
          <w:bCs/>
          <w:sz w:val="24"/>
          <w:szCs w:val="24"/>
        </w:rPr>
        <w:t>s</w:t>
      </w:r>
      <w:r w:rsidR="00087899">
        <w:rPr>
          <w:rFonts w:ascii="Arial" w:hAnsi="Arial" w:cs="Arial"/>
          <w:bCs/>
          <w:sz w:val="24"/>
          <w:szCs w:val="24"/>
        </w:rPr>
        <w:t xml:space="preserve"> </w:t>
      </w:r>
      <w:r w:rsidR="005F72DD" w:rsidRPr="00087899">
        <w:rPr>
          <w:rFonts w:ascii="Arial" w:hAnsi="Arial" w:cs="Arial"/>
          <w:bCs/>
          <w:sz w:val="24"/>
          <w:szCs w:val="24"/>
        </w:rPr>
        <w:t>93</w:t>
      </w:r>
      <w:r w:rsidR="005F72DD" w:rsidRPr="00087899">
        <w:rPr>
          <w:rFonts w:ascii="Arial" w:hAnsi="Arial" w:cs="Arial"/>
          <w:bCs/>
          <w:i/>
          <w:sz w:val="24"/>
          <w:szCs w:val="24"/>
        </w:rPr>
        <w:t xml:space="preserve">ter </w:t>
      </w:r>
      <w:r w:rsidR="005F72DD" w:rsidRPr="00087899">
        <w:rPr>
          <w:rFonts w:ascii="Arial" w:hAnsi="Arial" w:cs="Arial"/>
          <w:bCs/>
          <w:sz w:val="24"/>
          <w:szCs w:val="24"/>
        </w:rPr>
        <w:t>of the Magistrates</w:t>
      </w:r>
      <w:r w:rsidR="005E1161" w:rsidRPr="00087899">
        <w:rPr>
          <w:rFonts w:ascii="Arial" w:hAnsi="Arial" w:cs="Arial"/>
          <w:bCs/>
          <w:sz w:val="24"/>
          <w:szCs w:val="24"/>
        </w:rPr>
        <w:t>’</w:t>
      </w:r>
      <w:r w:rsidR="005F72DD" w:rsidRPr="00087899">
        <w:rPr>
          <w:rFonts w:ascii="Arial" w:hAnsi="Arial" w:cs="Arial"/>
          <w:bCs/>
          <w:sz w:val="24"/>
          <w:szCs w:val="24"/>
        </w:rPr>
        <w:t xml:space="preserve"> Court</w:t>
      </w:r>
      <w:r w:rsidR="008B5F0F">
        <w:rPr>
          <w:rFonts w:ascii="Arial" w:hAnsi="Arial" w:cs="Arial"/>
          <w:bCs/>
          <w:sz w:val="24"/>
          <w:szCs w:val="24"/>
        </w:rPr>
        <w:t>s</w:t>
      </w:r>
      <w:r w:rsidR="005F72DD" w:rsidRPr="00087899">
        <w:rPr>
          <w:rFonts w:ascii="Arial" w:hAnsi="Arial" w:cs="Arial"/>
          <w:bCs/>
          <w:sz w:val="24"/>
          <w:szCs w:val="24"/>
        </w:rPr>
        <w:t xml:space="preserve"> </w:t>
      </w:r>
      <w:r w:rsidR="006E4742" w:rsidRPr="00087899">
        <w:rPr>
          <w:rFonts w:ascii="Arial" w:hAnsi="Arial" w:cs="Arial"/>
          <w:bCs/>
          <w:sz w:val="24"/>
          <w:szCs w:val="24"/>
        </w:rPr>
        <w:t>Act 32 of 1944</w:t>
      </w:r>
      <w:r w:rsidR="00A34C1A" w:rsidRPr="00087899">
        <w:rPr>
          <w:rFonts w:ascii="Arial" w:hAnsi="Arial" w:cs="Arial"/>
          <w:sz w:val="24"/>
          <w:szCs w:val="24"/>
        </w:rPr>
        <w:t>.</w:t>
      </w:r>
    </w:p>
    <w:p w14:paraId="360F2417" w14:textId="3CC70959" w:rsidR="0086729A" w:rsidRPr="007E0D8C" w:rsidRDefault="008E052B" w:rsidP="00087899">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B56048">
        <w:rPr>
          <w:rFonts w:ascii="Arial" w:hAnsi="Arial" w:cs="Arial"/>
          <w:sz w:val="24"/>
          <w:szCs w:val="24"/>
        </w:rPr>
        <w:t>The</w:t>
      </w:r>
      <w:r w:rsidR="008A79E0" w:rsidRPr="007E0D8C">
        <w:rPr>
          <w:rFonts w:ascii="Arial" w:hAnsi="Arial" w:cs="Arial"/>
          <w:sz w:val="24"/>
          <w:szCs w:val="24"/>
        </w:rPr>
        <w:t xml:space="preserve"> second </w:t>
      </w:r>
      <w:r w:rsidR="00DA7066" w:rsidRPr="007E0D8C">
        <w:rPr>
          <w:rFonts w:ascii="Arial" w:hAnsi="Arial" w:cs="Arial"/>
          <w:sz w:val="24"/>
          <w:szCs w:val="24"/>
        </w:rPr>
        <w:t xml:space="preserve">part of the appeal </w:t>
      </w:r>
      <w:r w:rsidR="00713D11">
        <w:rPr>
          <w:rFonts w:ascii="Arial" w:hAnsi="Arial" w:cs="Arial"/>
          <w:sz w:val="24"/>
          <w:szCs w:val="24"/>
        </w:rPr>
        <w:t>concerns</w:t>
      </w:r>
      <w:r w:rsidR="005C1A1F" w:rsidRPr="007E0D8C">
        <w:rPr>
          <w:rFonts w:ascii="Arial" w:hAnsi="Arial" w:cs="Arial"/>
          <w:sz w:val="24"/>
          <w:szCs w:val="24"/>
        </w:rPr>
        <w:t xml:space="preserve"> </w:t>
      </w:r>
      <w:r w:rsidR="007C6666" w:rsidRPr="007E0D8C">
        <w:rPr>
          <w:rFonts w:ascii="Arial" w:hAnsi="Arial" w:cs="Arial"/>
          <w:sz w:val="24"/>
          <w:szCs w:val="24"/>
        </w:rPr>
        <w:t>the merits of the case</w:t>
      </w:r>
      <w:r w:rsidR="0086729A" w:rsidRPr="007E0D8C">
        <w:rPr>
          <w:rFonts w:ascii="Arial" w:hAnsi="Arial" w:cs="Arial"/>
          <w:sz w:val="24"/>
          <w:szCs w:val="24"/>
        </w:rPr>
        <w:t>.</w:t>
      </w:r>
    </w:p>
    <w:p w14:paraId="6CB7E7EF" w14:textId="1DECBE65" w:rsidR="00BE338C" w:rsidRDefault="0086729A" w:rsidP="007C6E67">
      <w:pPr>
        <w:spacing w:after="0" w:line="360" w:lineRule="auto"/>
        <w:jc w:val="both"/>
        <w:rPr>
          <w:rFonts w:ascii="Arial" w:hAnsi="Arial" w:cs="Arial"/>
          <w:sz w:val="24"/>
          <w:szCs w:val="24"/>
        </w:rPr>
      </w:pPr>
      <w:r w:rsidRPr="007E0D8C">
        <w:rPr>
          <w:rFonts w:ascii="Arial" w:hAnsi="Arial" w:cs="Arial"/>
          <w:sz w:val="24"/>
          <w:szCs w:val="24"/>
        </w:rPr>
        <w:t xml:space="preserve">The focus of this judgment will thus </w:t>
      </w:r>
      <w:r w:rsidR="007A7077" w:rsidRPr="007E0D8C">
        <w:rPr>
          <w:rFonts w:ascii="Arial" w:hAnsi="Arial" w:cs="Arial"/>
          <w:sz w:val="24"/>
          <w:szCs w:val="24"/>
        </w:rPr>
        <w:t>be</w:t>
      </w:r>
      <w:r w:rsidR="00423950">
        <w:rPr>
          <w:rFonts w:ascii="Arial" w:hAnsi="Arial" w:cs="Arial"/>
          <w:sz w:val="24"/>
          <w:szCs w:val="24"/>
        </w:rPr>
        <w:t xml:space="preserve"> both</w:t>
      </w:r>
      <w:r w:rsidR="007A7077" w:rsidRPr="007E0D8C">
        <w:rPr>
          <w:rFonts w:ascii="Arial" w:hAnsi="Arial" w:cs="Arial"/>
          <w:sz w:val="24"/>
          <w:szCs w:val="24"/>
        </w:rPr>
        <w:t xml:space="preserve"> </w:t>
      </w:r>
      <w:r w:rsidR="00695222" w:rsidRPr="007E0D8C">
        <w:rPr>
          <w:rFonts w:ascii="Arial" w:hAnsi="Arial" w:cs="Arial"/>
          <w:sz w:val="24"/>
          <w:szCs w:val="24"/>
        </w:rPr>
        <w:t xml:space="preserve">on the issue </w:t>
      </w:r>
      <w:r w:rsidR="006E4742" w:rsidRPr="007E0D8C">
        <w:rPr>
          <w:rFonts w:ascii="Arial" w:hAnsi="Arial" w:cs="Arial"/>
          <w:sz w:val="24"/>
          <w:szCs w:val="24"/>
        </w:rPr>
        <w:t xml:space="preserve">of </w:t>
      </w:r>
      <w:r w:rsidR="00087899">
        <w:rPr>
          <w:rFonts w:ascii="Arial" w:hAnsi="Arial" w:cs="Arial"/>
          <w:sz w:val="24"/>
          <w:szCs w:val="24"/>
        </w:rPr>
        <w:t xml:space="preserve">s </w:t>
      </w:r>
      <w:r w:rsidR="00CD2260" w:rsidRPr="007E0D8C">
        <w:rPr>
          <w:rFonts w:ascii="Arial" w:hAnsi="Arial" w:cs="Arial"/>
          <w:sz w:val="24"/>
          <w:szCs w:val="24"/>
        </w:rPr>
        <w:t>93</w:t>
      </w:r>
      <w:r w:rsidR="00CD2260" w:rsidRPr="00087899">
        <w:rPr>
          <w:rFonts w:ascii="Arial" w:hAnsi="Arial" w:cs="Arial"/>
          <w:i/>
          <w:sz w:val="24"/>
          <w:szCs w:val="24"/>
        </w:rPr>
        <w:t>ter</w:t>
      </w:r>
      <w:r w:rsidR="00CD2260" w:rsidRPr="007E0D8C">
        <w:rPr>
          <w:rFonts w:ascii="Arial" w:hAnsi="Arial" w:cs="Arial"/>
          <w:sz w:val="24"/>
          <w:szCs w:val="24"/>
        </w:rPr>
        <w:t xml:space="preserve"> </w:t>
      </w:r>
      <w:r w:rsidR="006C513F">
        <w:rPr>
          <w:rFonts w:ascii="Arial" w:hAnsi="Arial" w:cs="Arial"/>
          <w:sz w:val="24"/>
          <w:szCs w:val="24"/>
        </w:rPr>
        <w:t>and on the</w:t>
      </w:r>
      <w:r w:rsidR="00F025DD">
        <w:rPr>
          <w:rFonts w:ascii="Arial" w:hAnsi="Arial" w:cs="Arial"/>
          <w:sz w:val="24"/>
          <w:szCs w:val="24"/>
        </w:rPr>
        <w:t xml:space="preserve"> </w:t>
      </w:r>
      <w:r w:rsidR="00332B7E">
        <w:rPr>
          <w:rFonts w:ascii="Arial" w:hAnsi="Arial" w:cs="Arial"/>
          <w:sz w:val="24"/>
          <w:szCs w:val="24"/>
        </w:rPr>
        <w:t>merits of the case</w:t>
      </w:r>
      <w:r w:rsidR="00CD2260" w:rsidRPr="007E0D8C">
        <w:rPr>
          <w:rFonts w:ascii="Arial" w:hAnsi="Arial" w:cs="Arial"/>
          <w:sz w:val="24"/>
          <w:szCs w:val="24"/>
        </w:rPr>
        <w:t>.</w:t>
      </w:r>
      <w:r w:rsidR="00800692" w:rsidRPr="007E0D8C">
        <w:rPr>
          <w:rFonts w:ascii="Arial" w:hAnsi="Arial" w:cs="Arial"/>
          <w:sz w:val="24"/>
          <w:szCs w:val="24"/>
        </w:rPr>
        <w:t xml:space="preserve"> </w:t>
      </w:r>
      <w:r w:rsidR="00C36E87" w:rsidRPr="007E0D8C">
        <w:rPr>
          <w:rFonts w:ascii="Arial" w:hAnsi="Arial" w:cs="Arial"/>
          <w:sz w:val="24"/>
          <w:szCs w:val="24"/>
        </w:rPr>
        <w:t xml:space="preserve"> </w:t>
      </w:r>
    </w:p>
    <w:p w14:paraId="43B083FD" w14:textId="29FD1268" w:rsidR="00092138" w:rsidRPr="007E0D8C" w:rsidRDefault="00EF53AF" w:rsidP="00DD2363">
      <w:pPr>
        <w:spacing w:after="0" w:line="360" w:lineRule="auto"/>
        <w:ind w:left="1436" w:hanging="792"/>
        <w:jc w:val="both"/>
        <w:rPr>
          <w:rFonts w:ascii="Arial" w:hAnsi="Arial" w:cs="Arial"/>
          <w:sz w:val="24"/>
          <w:szCs w:val="24"/>
        </w:rPr>
      </w:pPr>
      <w:r w:rsidRPr="007E0D8C">
        <w:rPr>
          <w:rFonts w:ascii="Arial" w:hAnsi="Arial" w:cs="Arial"/>
          <w:sz w:val="24"/>
          <w:szCs w:val="24"/>
        </w:rPr>
        <w:t xml:space="preserve"> </w:t>
      </w:r>
      <w:r w:rsidR="00094E39" w:rsidRPr="007E0D8C">
        <w:rPr>
          <w:rFonts w:ascii="Arial" w:hAnsi="Arial" w:cs="Arial"/>
          <w:sz w:val="24"/>
          <w:szCs w:val="24"/>
        </w:rPr>
        <w:t xml:space="preserve"> </w:t>
      </w:r>
      <w:r w:rsidR="00FF7B6E" w:rsidRPr="007E0D8C">
        <w:rPr>
          <w:rFonts w:ascii="Arial" w:hAnsi="Arial" w:cs="Arial"/>
          <w:sz w:val="24"/>
          <w:szCs w:val="24"/>
        </w:rPr>
        <w:t xml:space="preserve"> </w:t>
      </w:r>
      <w:r w:rsidR="0097627C" w:rsidRPr="007E0D8C">
        <w:rPr>
          <w:rFonts w:ascii="Arial" w:hAnsi="Arial" w:cs="Arial"/>
          <w:sz w:val="24"/>
          <w:szCs w:val="24"/>
        </w:rPr>
        <w:t xml:space="preserve"> </w:t>
      </w:r>
      <w:r w:rsidR="002635C6" w:rsidRPr="007E0D8C">
        <w:rPr>
          <w:rFonts w:ascii="Arial" w:hAnsi="Arial" w:cs="Arial"/>
          <w:sz w:val="24"/>
          <w:szCs w:val="24"/>
        </w:rPr>
        <w:t xml:space="preserve"> </w:t>
      </w:r>
    </w:p>
    <w:p w14:paraId="4C89AA81" w14:textId="296D9937" w:rsidR="00462FBB" w:rsidRPr="00BE338C" w:rsidRDefault="00BE338C" w:rsidP="00087899">
      <w:pPr>
        <w:spacing w:after="0" w:line="360" w:lineRule="auto"/>
        <w:jc w:val="both"/>
        <w:rPr>
          <w:rFonts w:ascii="Arial" w:hAnsi="Arial" w:cs="Arial"/>
          <w:sz w:val="24"/>
          <w:szCs w:val="24"/>
        </w:rPr>
      </w:pPr>
      <w:r>
        <w:rPr>
          <w:rFonts w:ascii="Arial" w:hAnsi="Arial" w:cs="Arial"/>
          <w:sz w:val="24"/>
          <w:szCs w:val="24"/>
        </w:rPr>
        <w:t>[4]</w:t>
      </w:r>
      <w:r w:rsidR="00087899">
        <w:rPr>
          <w:rFonts w:ascii="Arial" w:hAnsi="Arial" w:cs="Arial"/>
          <w:sz w:val="24"/>
          <w:szCs w:val="24"/>
        </w:rPr>
        <w:tab/>
      </w:r>
      <w:r w:rsidR="004D4B3B" w:rsidRPr="00BE338C">
        <w:rPr>
          <w:rFonts w:ascii="Arial" w:hAnsi="Arial" w:cs="Arial"/>
          <w:sz w:val="24"/>
          <w:szCs w:val="24"/>
        </w:rPr>
        <w:t xml:space="preserve">The </w:t>
      </w:r>
      <w:r w:rsidR="0010023C" w:rsidRPr="00BE338C">
        <w:rPr>
          <w:rFonts w:ascii="Arial" w:hAnsi="Arial" w:cs="Arial"/>
          <w:sz w:val="24"/>
          <w:szCs w:val="24"/>
        </w:rPr>
        <w:t xml:space="preserve">record of the </w:t>
      </w:r>
      <w:r w:rsidR="00FB719E">
        <w:rPr>
          <w:rFonts w:ascii="Arial" w:hAnsi="Arial" w:cs="Arial"/>
          <w:sz w:val="24"/>
          <w:szCs w:val="24"/>
        </w:rPr>
        <w:t>regional magistrates’ c</w:t>
      </w:r>
      <w:r w:rsidR="001C12A9" w:rsidRPr="00BE338C">
        <w:rPr>
          <w:rFonts w:ascii="Arial" w:hAnsi="Arial" w:cs="Arial"/>
          <w:sz w:val="24"/>
          <w:szCs w:val="24"/>
        </w:rPr>
        <w:t xml:space="preserve">ourt </w:t>
      </w:r>
      <w:r w:rsidR="00462FBB" w:rsidRPr="00BE338C">
        <w:rPr>
          <w:rFonts w:ascii="Arial" w:hAnsi="Arial" w:cs="Arial"/>
          <w:sz w:val="24"/>
          <w:szCs w:val="24"/>
        </w:rPr>
        <w:t>show</w:t>
      </w:r>
      <w:r w:rsidR="00501AB6" w:rsidRPr="00BE338C">
        <w:rPr>
          <w:rFonts w:ascii="Arial" w:hAnsi="Arial" w:cs="Arial"/>
          <w:sz w:val="24"/>
          <w:szCs w:val="24"/>
        </w:rPr>
        <w:t>s</w:t>
      </w:r>
      <w:r w:rsidR="00462FBB" w:rsidRPr="00BE338C">
        <w:rPr>
          <w:rFonts w:ascii="Arial" w:hAnsi="Arial" w:cs="Arial"/>
          <w:sz w:val="24"/>
          <w:szCs w:val="24"/>
        </w:rPr>
        <w:t xml:space="preserve"> the following</w:t>
      </w:r>
      <w:r w:rsidR="00D10200" w:rsidRPr="00BE338C">
        <w:rPr>
          <w:rFonts w:ascii="Arial" w:hAnsi="Arial" w:cs="Arial"/>
          <w:sz w:val="24"/>
          <w:szCs w:val="24"/>
        </w:rPr>
        <w:t xml:space="preserve"> </w:t>
      </w:r>
      <w:r w:rsidR="003A08F0" w:rsidRPr="00BE338C">
        <w:rPr>
          <w:rFonts w:ascii="Arial" w:hAnsi="Arial" w:cs="Arial"/>
          <w:sz w:val="24"/>
          <w:szCs w:val="24"/>
        </w:rPr>
        <w:t>participants at the trial</w:t>
      </w:r>
      <w:r w:rsidR="00462FBB" w:rsidRPr="00BE338C">
        <w:rPr>
          <w:rFonts w:ascii="Arial" w:hAnsi="Arial" w:cs="Arial"/>
          <w:sz w:val="24"/>
          <w:szCs w:val="24"/>
        </w:rPr>
        <w:t xml:space="preserve">: </w:t>
      </w:r>
    </w:p>
    <w:p w14:paraId="5103771C" w14:textId="31625AC5" w:rsidR="00310F5D"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01AB6" w:rsidRPr="00C27272">
        <w:rPr>
          <w:rFonts w:ascii="Arial" w:hAnsi="Arial" w:cs="Arial"/>
          <w:sz w:val="24"/>
          <w:szCs w:val="24"/>
        </w:rPr>
        <w:t xml:space="preserve">The </w:t>
      </w:r>
      <w:r w:rsidR="00FB719E">
        <w:rPr>
          <w:rFonts w:ascii="Arial" w:hAnsi="Arial" w:cs="Arial"/>
          <w:sz w:val="24"/>
          <w:szCs w:val="24"/>
        </w:rPr>
        <w:t>regional magistrate</w:t>
      </w:r>
      <w:r w:rsidR="00501AB6" w:rsidRPr="00C27272">
        <w:rPr>
          <w:rFonts w:ascii="Arial" w:hAnsi="Arial" w:cs="Arial"/>
          <w:sz w:val="24"/>
          <w:szCs w:val="24"/>
        </w:rPr>
        <w:t xml:space="preserve"> was Ms </w:t>
      </w:r>
      <w:r>
        <w:rPr>
          <w:rFonts w:ascii="Arial" w:hAnsi="Arial" w:cs="Arial"/>
          <w:sz w:val="24"/>
          <w:szCs w:val="24"/>
        </w:rPr>
        <w:t>N C Singh;</w:t>
      </w:r>
    </w:p>
    <w:p w14:paraId="626D9B34" w14:textId="64DC6EF7" w:rsidR="00310F5D"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FB719E">
        <w:rPr>
          <w:rFonts w:ascii="Arial" w:hAnsi="Arial" w:cs="Arial"/>
          <w:sz w:val="24"/>
          <w:szCs w:val="24"/>
        </w:rPr>
        <w:t>The p</w:t>
      </w:r>
      <w:r w:rsidR="009C0366" w:rsidRPr="00C27272">
        <w:rPr>
          <w:rFonts w:ascii="Arial" w:hAnsi="Arial" w:cs="Arial"/>
          <w:sz w:val="24"/>
          <w:szCs w:val="24"/>
        </w:rPr>
        <w:t xml:space="preserve">rosecutor was Mr </w:t>
      </w:r>
      <w:r w:rsidR="007C6E67">
        <w:rPr>
          <w:rFonts w:ascii="Arial" w:hAnsi="Arial" w:cs="Arial"/>
          <w:sz w:val="24"/>
          <w:szCs w:val="24"/>
        </w:rPr>
        <w:t>N G</w:t>
      </w:r>
      <w:r w:rsidR="00722645" w:rsidRPr="00C27272">
        <w:rPr>
          <w:rFonts w:ascii="Arial" w:hAnsi="Arial" w:cs="Arial"/>
          <w:sz w:val="24"/>
          <w:szCs w:val="24"/>
        </w:rPr>
        <w:t xml:space="preserve"> </w:t>
      </w:r>
      <w:proofErr w:type="spellStart"/>
      <w:r w:rsidR="009C0366" w:rsidRPr="00C27272">
        <w:rPr>
          <w:rFonts w:ascii="Arial" w:hAnsi="Arial" w:cs="Arial"/>
          <w:sz w:val="24"/>
          <w:szCs w:val="24"/>
        </w:rPr>
        <w:t>Mkhize</w:t>
      </w:r>
      <w:proofErr w:type="spellEnd"/>
      <w:r>
        <w:rPr>
          <w:rFonts w:ascii="Arial" w:hAnsi="Arial" w:cs="Arial"/>
          <w:sz w:val="24"/>
          <w:szCs w:val="24"/>
        </w:rPr>
        <w:t>; and</w:t>
      </w:r>
      <w:r w:rsidR="009C0366" w:rsidRPr="00C27272">
        <w:rPr>
          <w:rFonts w:ascii="Arial" w:hAnsi="Arial" w:cs="Arial"/>
          <w:sz w:val="24"/>
          <w:szCs w:val="24"/>
        </w:rPr>
        <w:t xml:space="preserve"> </w:t>
      </w:r>
    </w:p>
    <w:p w14:paraId="0ABE83BD" w14:textId="20325DD9" w:rsidR="00557B71" w:rsidRPr="00713D11"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061847" w:rsidRPr="00713D11">
        <w:rPr>
          <w:rFonts w:ascii="Arial" w:hAnsi="Arial" w:cs="Arial"/>
          <w:sz w:val="24"/>
          <w:szCs w:val="24"/>
        </w:rPr>
        <w:t xml:space="preserve">Ms </w:t>
      </w:r>
      <w:proofErr w:type="spellStart"/>
      <w:r w:rsidR="00061847" w:rsidRPr="00713D11">
        <w:rPr>
          <w:rFonts w:ascii="Arial" w:hAnsi="Arial" w:cs="Arial"/>
          <w:sz w:val="24"/>
          <w:szCs w:val="24"/>
        </w:rPr>
        <w:t>Chan</w:t>
      </w:r>
      <w:r w:rsidR="00722645" w:rsidRPr="00713D11">
        <w:rPr>
          <w:rFonts w:ascii="Arial" w:hAnsi="Arial" w:cs="Arial"/>
          <w:sz w:val="24"/>
          <w:szCs w:val="24"/>
        </w:rPr>
        <w:t>derdath</w:t>
      </w:r>
      <w:proofErr w:type="spellEnd"/>
      <w:r w:rsidR="00722645" w:rsidRPr="00713D11">
        <w:rPr>
          <w:rFonts w:ascii="Arial" w:hAnsi="Arial" w:cs="Arial"/>
          <w:sz w:val="24"/>
          <w:szCs w:val="24"/>
        </w:rPr>
        <w:t xml:space="preserve"> </w:t>
      </w:r>
      <w:r w:rsidR="008B5F0F">
        <w:rPr>
          <w:rFonts w:ascii="Arial" w:hAnsi="Arial" w:cs="Arial"/>
          <w:sz w:val="24"/>
          <w:szCs w:val="24"/>
        </w:rPr>
        <w:t xml:space="preserve">who </w:t>
      </w:r>
      <w:r w:rsidR="00722645" w:rsidRPr="00713D11">
        <w:rPr>
          <w:rFonts w:ascii="Arial" w:hAnsi="Arial" w:cs="Arial"/>
          <w:sz w:val="24"/>
          <w:szCs w:val="24"/>
        </w:rPr>
        <w:t>appeared on behalf of the</w:t>
      </w:r>
      <w:r w:rsidR="008B5F0F">
        <w:rPr>
          <w:rFonts w:ascii="Arial" w:hAnsi="Arial" w:cs="Arial"/>
          <w:sz w:val="24"/>
          <w:szCs w:val="24"/>
        </w:rPr>
        <w:t xml:space="preserve"> appellant</w:t>
      </w:r>
      <w:r w:rsidR="003C3C3A" w:rsidRPr="00713D11">
        <w:rPr>
          <w:rFonts w:ascii="Arial" w:hAnsi="Arial" w:cs="Arial"/>
          <w:sz w:val="24"/>
          <w:szCs w:val="24"/>
        </w:rPr>
        <w:t>.</w:t>
      </w:r>
      <w:r w:rsidR="00DD2413" w:rsidRPr="00713D11">
        <w:rPr>
          <w:rFonts w:ascii="Arial" w:hAnsi="Arial" w:cs="Arial"/>
          <w:sz w:val="24"/>
          <w:szCs w:val="24"/>
        </w:rPr>
        <w:t xml:space="preserve"> </w:t>
      </w:r>
    </w:p>
    <w:p w14:paraId="4A9B61CC" w14:textId="77777777" w:rsidR="00DD2413" w:rsidRPr="007E0D8C" w:rsidRDefault="00DD2413" w:rsidP="00DD2363">
      <w:pPr>
        <w:spacing w:after="0" w:line="360" w:lineRule="auto"/>
        <w:ind w:left="720"/>
        <w:jc w:val="both"/>
        <w:rPr>
          <w:rFonts w:ascii="Arial" w:hAnsi="Arial" w:cs="Arial"/>
          <w:sz w:val="24"/>
          <w:szCs w:val="24"/>
        </w:rPr>
      </w:pPr>
    </w:p>
    <w:p w14:paraId="37716ABA" w14:textId="34648D1B" w:rsidR="00E26985" w:rsidRDefault="00281B35" w:rsidP="0008789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20057" w:rsidRPr="00281B35">
        <w:rPr>
          <w:rFonts w:ascii="Arial" w:hAnsi="Arial" w:cs="Arial"/>
          <w:sz w:val="24"/>
          <w:szCs w:val="24"/>
        </w:rPr>
        <w:t>The record further shows that on</w:t>
      </w:r>
      <w:r w:rsidR="008B5F0F">
        <w:rPr>
          <w:rFonts w:ascii="Arial" w:hAnsi="Arial" w:cs="Arial"/>
          <w:sz w:val="24"/>
          <w:szCs w:val="24"/>
        </w:rPr>
        <w:t xml:space="preserve"> the</w:t>
      </w:r>
      <w:r w:rsidR="00220057" w:rsidRPr="00281B35">
        <w:rPr>
          <w:rFonts w:ascii="Arial" w:hAnsi="Arial" w:cs="Arial"/>
          <w:sz w:val="24"/>
          <w:szCs w:val="24"/>
        </w:rPr>
        <w:t xml:space="preserve"> 19</w:t>
      </w:r>
      <w:r w:rsidR="008B5F0F" w:rsidRPr="008B5F0F">
        <w:rPr>
          <w:rFonts w:ascii="Arial" w:hAnsi="Arial" w:cs="Arial"/>
          <w:sz w:val="24"/>
          <w:szCs w:val="24"/>
          <w:vertAlign w:val="superscript"/>
        </w:rPr>
        <w:t>th</w:t>
      </w:r>
      <w:r w:rsidR="008B5F0F">
        <w:rPr>
          <w:rFonts w:ascii="Arial" w:hAnsi="Arial" w:cs="Arial"/>
          <w:sz w:val="24"/>
          <w:szCs w:val="24"/>
        </w:rPr>
        <w:t xml:space="preserve"> of </w:t>
      </w:r>
      <w:r w:rsidR="00220057" w:rsidRPr="00281B35">
        <w:rPr>
          <w:rFonts w:ascii="Arial" w:hAnsi="Arial" w:cs="Arial"/>
          <w:sz w:val="24"/>
          <w:szCs w:val="24"/>
        </w:rPr>
        <w:t>September 2019</w:t>
      </w:r>
      <w:r w:rsidR="00281323" w:rsidRPr="00281B35">
        <w:rPr>
          <w:rFonts w:ascii="Arial" w:hAnsi="Arial" w:cs="Arial"/>
          <w:sz w:val="24"/>
          <w:szCs w:val="24"/>
        </w:rPr>
        <w:t xml:space="preserve"> </w:t>
      </w:r>
      <w:r w:rsidR="001546A5" w:rsidRPr="00281B35">
        <w:rPr>
          <w:rFonts w:ascii="Arial" w:hAnsi="Arial" w:cs="Arial"/>
          <w:sz w:val="24"/>
          <w:szCs w:val="24"/>
        </w:rPr>
        <w:t xml:space="preserve">there was </w:t>
      </w:r>
      <w:r w:rsidR="00281323" w:rsidRPr="00281B35">
        <w:rPr>
          <w:rFonts w:ascii="Arial" w:hAnsi="Arial" w:cs="Arial"/>
          <w:sz w:val="24"/>
          <w:szCs w:val="24"/>
        </w:rPr>
        <w:t xml:space="preserve">a </w:t>
      </w:r>
      <w:r w:rsidR="00087899" w:rsidRPr="00281B35">
        <w:rPr>
          <w:rFonts w:ascii="Arial" w:hAnsi="Arial" w:cs="Arial"/>
          <w:sz w:val="24"/>
          <w:szCs w:val="24"/>
        </w:rPr>
        <w:t>pre-trial</w:t>
      </w:r>
      <w:r w:rsidR="00281323" w:rsidRPr="00281B35">
        <w:rPr>
          <w:rFonts w:ascii="Arial" w:hAnsi="Arial" w:cs="Arial"/>
          <w:sz w:val="24"/>
          <w:szCs w:val="24"/>
        </w:rPr>
        <w:t xml:space="preserve"> </w:t>
      </w:r>
      <w:r w:rsidR="00AD0B79" w:rsidRPr="00281B35">
        <w:rPr>
          <w:rFonts w:ascii="Arial" w:hAnsi="Arial" w:cs="Arial"/>
          <w:sz w:val="24"/>
          <w:szCs w:val="24"/>
        </w:rPr>
        <w:t xml:space="preserve">conference where </w:t>
      </w:r>
      <w:r w:rsidR="00103987" w:rsidRPr="00281B35">
        <w:rPr>
          <w:rFonts w:ascii="Arial" w:hAnsi="Arial" w:cs="Arial"/>
          <w:sz w:val="24"/>
          <w:szCs w:val="24"/>
        </w:rPr>
        <w:t xml:space="preserve">the above-three </w:t>
      </w:r>
      <w:r w:rsidR="001E646D" w:rsidRPr="00281B35">
        <w:rPr>
          <w:rFonts w:ascii="Arial" w:hAnsi="Arial" w:cs="Arial"/>
          <w:sz w:val="24"/>
          <w:szCs w:val="24"/>
        </w:rPr>
        <w:t>met</w:t>
      </w:r>
      <w:r w:rsidR="00713D11">
        <w:rPr>
          <w:rFonts w:ascii="Arial" w:hAnsi="Arial" w:cs="Arial"/>
          <w:sz w:val="24"/>
          <w:szCs w:val="24"/>
        </w:rPr>
        <w:t xml:space="preserve"> together with the</w:t>
      </w:r>
      <w:r w:rsidR="008B5F0F">
        <w:rPr>
          <w:rFonts w:ascii="Arial" w:hAnsi="Arial" w:cs="Arial"/>
          <w:sz w:val="24"/>
          <w:szCs w:val="24"/>
        </w:rPr>
        <w:t xml:space="preserve"> appellant</w:t>
      </w:r>
      <w:r w:rsidR="00A13AA9" w:rsidRPr="00281B35">
        <w:rPr>
          <w:rFonts w:ascii="Arial" w:hAnsi="Arial" w:cs="Arial"/>
          <w:sz w:val="24"/>
          <w:szCs w:val="24"/>
        </w:rPr>
        <w:t xml:space="preserve">, </w:t>
      </w:r>
      <w:r w:rsidR="00E42DD9" w:rsidRPr="00281B35">
        <w:rPr>
          <w:rFonts w:ascii="Arial" w:hAnsi="Arial" w:cs="Arial"/>
          <w:sz w:val="24"/>
          <w:szCs w:val="24"/>
        </w:rPr>
        <w:t xml:space="preserve">where a number of issues pertaining to the hearing </w:t>
      </w:r>
      <w:r w:rsidR="007000A4" w:rsidRPr="00281B35">
        <w:rPr>
          <w:rFonts w:ascii="Arial" w:hAnsi="Arial" w:cs="Arial"/>
          <w:sz w:val="24"/>
          <w:szCs w:val="24"/>
        </w:rPr>
        <w:t>were discussed</w:t>
      </w:r>
      <w:r w:rsidR="003904AC" w:rsidRPr="00281B35">
        <w:rPr>
          <w:rFonts w:ascii="Arial" w:hAnsi="Arial" w:cs="Arial"/>
          <w:sz w:val="24"/>
          <w:szCs w:val="24"/>
        </w:rPr>
        <w:t xml:space="preserve">, including </w:t>
      </w:r>
      <w:r w:rsidR="001901D2" w:rsidRPr="00281B35">
        <w:rPr>
          <w:rFonts w:ascii="Arial" w:hAnsi="Arial" w:cs="Arial"/>
          <w:sz w:val="24"/>
          <w:szCs w:val="24"/>
        </w:rPr>
        <w:t xml:space="preserve">the confirmation </w:t>
      </w:r>
      <w:r w:rsidR="00910503" w:rsidRPr="00281B35">
        <w:rPr>
          <w:rFonts w:ascii="Arial" w:hAnsi="Arial" w:cs="Arial"/>
          <w:sz w:val="24"/>
          <w:szCs w:val="24"/>
        </w:rPr>
        <w:t xml:space="preserve">that </w:t>
      </w:r>
      <w:r w:rsidR="008B5F0F">
        <w:rPr>
          <w:rFonts w:ascii="Arial" w:hAnsi="Arial" w:cs="Arial"/>
          <w:sz w:val="24"/>
          <w:szCs w:val="24"/>
        </w:rPr>
        <w:t>no lay assessors would</w:t>
      </w:r>
      <w:r w:rsidR="00A43ABB">
        <w:rPr>
          <w:rFonts w:ascii="Arial" w:hAnsi="Arial" w:cs="Arial"/>
          <w:sz w:val="24"/>
          <w:szCs w:val="24"/>
        </w:rPr>
        <w:t xml:space="preserve"> be required</w:t>
      </w:r>
      <w:r w:rsidR="00FB719E">
        <w:rPr>
          <w:rFonts w:ascii="Arial" w:hAnsi="Arial" w:cs="Arial"/>
          <w:sz w:val="24"/>
          <w:szCs w:val="24"/>
        </w:rPr>
        <w:t>.</w:t>
      </w:r>
    </w:p>
    <w:p w14:paraId="4D9A4524" w14:textId="37717A9C" w:rsidR="00944BAB" w:rsidRDefault="00944BAB" w:rsidP="00DD2363">
      <w:pPr>
        <w:spacing w:after="0" w:line="360" w:lineRule="auto"/>
        <w:ind w:left="567" w:hanging="567"/>
        <w:jc w:val="both"/>
        <w:rPr>
          <w:rFonts w:ascii="Arial" w:hAnsi="Arial" w:cs="Arial"/>
          <w:sz w:val="24"/>
          <w:szCs w:val="24"/>
        </w:rPr>
      </w:pPr>
    </w:p>
    <w:p w14:paraId="17797EF4" w14:textId="77777777" w:rsidR="00EF3942" w:rsidRDefault="00EF3942" w:rsidP="00DD2363">
      <w:pPr>
        <w:spacing w:after="0" w:line="360" w:lineRule="auto"/>
        <w:ind w:left="567" w:hanging="567"/>
        <w:jc w:val="both"/>
        <w:rPr>
          <w:rFonts w:ascii="Arial" w:hAnsi="Arial" w:cs="Arial"/>
          <w:sz w:val="24"/>
          <w:szCs w:val="24"/>
        </w:rPr>
      </w:pPr>
    </w:p>
    <w:p w14:paraId="73EA9DFB" w14:textId="31652423" w:rsidR="00944BAB" w:rsidRPr="00F7499C" w:rsidRDefault="00F7499C" w:rsidP="00DD2363">
      <w:pPr>
        <w:spacing w:after="0" w:line="360" w:lineRule="auto"/>
        <w:ind w:left="567" w:hanging="567"/>
        <w:jc w:val="both"/>
        <w:rPr>
          <w:rFonts w:ascii="Arial" w:hAnsi="Arial" w:cs="Arial"/>
          <w:b/>
          <w:bCs/>
          <w:sz w:val="24"/>
          <w:szCs w:val="24"/>
        </w:rPr>
      </w:pPr>
      <w:r>
        <w:rPr>
          <w:rFonts w:ascii="Arial" w:hAnsi="Arial" w:cs="Arial"/>
          <w:b/>
          <w:bCs/>
          <w:sz w:val="24"/>
          <w:szCs w:val="24"/>
        </w:rPr>
        <w:lastRenderedPageBreak/>
        <w:t>G</w:t>
      </w:r>
      <w:r w:rsidR="00087899">
        <w:rPr>
          <w:rFonts w:ascii="Arial" w:hAnsi="Arial" w:cs="Arial"/>
          <w:b/>
          <w:bCs/>
          <w:sz w:val="24"/>
          <w:szCs w:val="24"/>
        </w:rPr>
        <w:t>rounds of appeal on conviction and sentence</w:t>
      </w:r>
      <w:r w:rsidR="004D062F">
        <w:rPr>
          <w:rFonts w:ascii="Arial" w:hAnsi="Arial" w:cs="Arial"/>
          <w:b/>
          <w:bCs/>
          <w:sz w:val="24"/>
          <w:szCs w:val="24"/>
        </w:rPr>
        <w:t xml:space="preserve"> </w:t>
      </w:r>
    </w:p>
    <w:p w14:paraId="70442B60" w14:textId="0AC8606A" w:rsidR="00991E50" w:rsidRDefault="00281B35" w:rsidP="00087899">
      <w:pPr>
        <w:spacing w:after="0" w:line="360" w:lineRule="auto"/>
        <w:jc w:val="both"/>
        <w:rPr>
          <w:rFonts w:ascii="Arial" w:hAnsi="Arial" w:cs="Arial"/>
          <w:sz w:val="24"/>
          <w:szCs w:val="24"/>
        </w:rPr>
      </w:pPr>
      <w:r>
        <w:rPr>
          <w:rFonts w:ascii="Arial" w:hAnsi="Arial" w:cs="Arial"/>
          <w:sz w:val="24"/>
          <w:szCs w:val="24"/>
        </w:rPr>
        <w:t>[6]</w:t>
      </w:r>
      <w:r w:rsidR="00653C9F">
        <w:rPr>
          <w:rFonts w:ascii="Arial" w:hAnsi="Arial" w:cs="Arial"/>
          <w:sz w:val="24"/>
          <w:szCs w:val="24"/>
        </w:rPr>
        <w:tab/>
      </w:r>
      <w:r w:rsidR="00401B85">
        <w:rPr>
          <w:rFonts w:ascii="Arial" w:hAnsi="Arial" w:cs="Arial"/>
          <w:sz w:val="24"/>
          <w:szCs w:val="24"/>
        </w:rPr>
        <w:t xml:space="preserve">The </w:t>
      </w:r>
      <w:r w:rsidR="00FB719E">
        <w:rPr>
          <w:rFonts w:ascii="Arial" w:hAnsi="Arial" w:cs="Arial"/>
          <w:sz w:val="24"/>
          <w:szCs w:val="24"/>
        </w:rPr>
        <w:t>appellant</w:t>
      </w:r>
      <w:r w:rsidR="00401B85">
        <w:rPr>
          <w:rFonts w:ascii="Arial" w:hAnsi="Arial" w:cs="Arial"/>
          <w:sz w:val="24"/>
          <w:szCs w:val="24"/>
        </w:rPr>
        <w:t xml:space="preserve"> </w:t>
      </w:r>
      <w:r w:rsidR="00093CB7">
        <w:rPr>
          <w:rFonts w:ascii="Arial" w:hAnsi="Arial" w:cs="Arial"/>
          <w:sz w:val="24"/>
          <w:szCs w:val="24"/>
        </w:rPr>
        <w:t xml:space="preserve">argued that the whole </w:t>
      </w:r>
      <w:r w:rsidR="00B86645">
        <w:rPr>
          <w:rFonts w:ascii="Arial" w:hAnsi="Arial" w:cs="Arial"/>
          <w:sz w:val="24"/>
          <w:szCs w:val="24"/>
        </w:rPr>
        <w:t>State case was based on circumstantial evidence</w:t>
      </w:r>
      <w:r w:rsidR="00990D67">
        <w:rPr>
          <w:rFonts w:ascii="Arial" w:hAnsi="Arial" w:cs="Arial"/>
          <w:sz w:val="24"/>
          <w:szCs w:val="24"/>
        </w:rPr>
        <w:t xml:space="preserve">. </w:t>
      </w:r>
    </w:p>
    <w:p w14:paraId="0F951457" w14:textId="0812A478" w:rsidR="00D83ECE"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550FF9">
        <w:rPr>
          <w:rFonts w:ascii="Arial" w:hAnsi="Arial" w:cs="Arial"/>
          <w:sz w:val="24"/>
          <w:szCs w:val="24"/>
        </w:rPr>
        <w:t xml:space="preserve">The State </w:t>
      </w:r>
      <w:r w:rsidR="000A365B">
        <w:rPr>
          <w:rFonts w:ascii="Arial" w:hAnsi="Arial" w:cs="Arial"/>
          <w:sz w:val="24"/>
          <w:szCs w:val="24"/>
        </w:rPr>
        <w:t xml:space="preserve">case was that the </w:t>
      </w:r>
      <w:r w:rsidR="00FB719E">
        <w:rPr>
          <w:rFonts w:ascii="Arial" w:hAnsi="Arial" w:cs="Arial"/>
          <w:sz w:val="24"/>
          <w:szCs w:val="24"/>
        </w:rPr>
        <w:t>appellant</w:t>
      </w:r>
      <w:r w:rsidR="004F2217">
        <w:rPr>
          <w:rFonts w:ascii="Arial" w:hAnsi="Arial" w:cs="Arial"/>
          <w:sz w:val="24"/>
          <w:szCs w:val="24"/>
        </w:rPr>
        <w:t xml:space="preserve">, acting in common </w:t>
      </w:r>
      <w:r w:rsidR="00566378">
        <w:rPr>
          <w:rFonts w:ascii="Arial" w:hAnsi="Arial" w:cs="Arial"/>
          <w:sz w:val="24"/>
          <w:szCs w:val="24"/>
        </w:rPr>
        <w:t>purpose with another, unlawfull</w:t>
      </w:r>
      <w:r w:rsidR="00071BED">
        <w:rPr>
          <w:rFonts w:ascii="Arial" w:hAnsi="Arial" w:cs="Arial"/>
          <w:sz w:val="24"/>
          <w:szCs w:val="24"/>
        </w:rPr>
        <w:t xml:space="preserve">y and intentionally killed </w:t>
      </w:r>
      <w:r w:rsidR="00B263A0">
        <w:rPr>
          <w:rFonts w:ascii="Arial" w:hAnsi="Arial" w:cs="Arial"/>
          <w:sz w:val="24"/>
          <w:szCs w:val="24"/>
        </w:rPr>
        <w:t xml:space="preserve">his friend </w:t>
      </w:r>
      <w:proofErr w:type="spellStart"/>
      <w:r w:rsidR="00B263A0">
        <w:rPr>
          <w:rFonts w:ascii="Arial" w:hAnsi="Arial" w:cs="Arial"/>
          <w:sz w:val="24"/>
          <w:szCs w:val="24"/>
        </w:rPr>
        <w:t>Summet</w:t>
      </w:r>
      <w:proofErr w:type="spellEnd"/>
      <w:r w:rsidR="00B263A0">
        <w:rPr>
          <w:rFonts w:ascii="Arial" w:hAnsi="Arial" w:cs="Arial"/>
          <w:sz w:val="24"/>
          <w:szCs w:val="24"/>
        </w:rPr>
        <w:t xml:space="preserve"> Sing</w:t>
      </w:r>
      <w:r w:rsidR="00D407E4">
        <w:rPr>
          <w:rFonts w:ascii="Arial" w:hAnsi="Arial" w:cs="Arial"/>
          <w:sz w:val="24"/>
          <w:szCs w:val="24"/>
        </w:rPr>
        <w:t>h</w:t>
      </w:r>
      <w:r w:rsidR="00B93590">
        <w:rPr>
          <w:rFonts w:ascii="Arial" w:hAnsi="Arial" w:cs="Arial"/>
          <w:sz w:val="24"/>
          <w:szCs w:val="24"/>
        </w:rPr>
        <w:t>.</w:t>
      </w:r>
    </w:p>
    <w:p w14:paraId="6A08CD4C" w14:textId="18BC6B02" w:rsidR="00800FFE"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E7FDD">
        <w:rPr>
          <w:rFonts w:ascii="Arial" w:hAnsi="Arial" w:cs="Arial"/>
          <w:sz w:val="24"/>
          <w:szCs w:val="24"/>
        </w:rPr>
        <w:t>On</w:t>
      </w:r>
      <w:r w:rsidR="00B90991">
        <w:rPr>
          <w:rFonts w:ascii="Arial" w:hAnsi="Arial" w:cs="Arial"/>
          <w:sz w:val="24"/>
          <w:szCs w:val="24"/>
        </w:rPr>
        <w:t xml:space="preserve">e State witness, Bradley </w:t>
      </w:r>
      <w:proofErr w:type="spellStart"/>
      <w:r w:rsidR="00B90991">
        <w:rPr>
          <w:rFonts w:ascii="Arial" w:hAnsi="Arial" w:cs="Arial"/>
          <w:sz w:val="24"/>
          <w:szCs w:val="24"/>
        </w:rPr>
        <w:t>Davids</w:t>
      </w:r>
      <w:proofErr w:type="spellEnd"/>
      <w:r w:rsidR="00C01BB0">
        <w:rPr>
          <w:rFonts w:ascii="Arial" w:hAnsi="Arial" w:cs="Arial"/>
          <w:sz w:val="24"/>
          <w:szCs w:val="24"/>
        </w:rPr>
        <w:t xml:space="preserve">, identified the </w:t>
      </w:r>
      <w:r w:rsidR="00FB719E">
        <w:rPr>
          <w:rFonts w:ascii="Arial" w:hAnsi="Arial" w:cs="Arial"/>
          <w:sz w:val="24"/>
          <w:szCs w:val="24"/>
        </w:rPr>
        <w:t>appellant</w:t>
      </w:r>
      <w:r w:rsidR="00C01BB0">
        <w:rPr>
          <w:rFonts w:ascii="Arial" w:hAnsi="Arial" w:cs="Arial"/>
          <w:sz w:val="24"/>
          <w:szCs w:val="24"/>
        </w:rPr>
        <w:t xml:space="preserve"> at an ID </w:t>
      </w:r>
      <w:r w:rsidR="00E63D5C">
        <w:rPr>
          <w:rFonts w:ascii="Arial" w:hAnsi="Arial" w:cs="Arial"/>
          <w:sz w:val="24"/>
          <w:szCs w:val="24"/>
        </w:rPr>
        <w:t xml:space="preserve">parade on </w:t>
      </w:r>
      <w:r w:rsidR="008B5F0F">
        <w:rPr>
          <w:rFonts w:ascii="Arial" w:hAnsi="Arial" w:cs="Arial"/>
          <w:sz w:val="24"/>
          <w:szCs w:val="24"/>
        </w:rPr>
        <w:t xml:space="preserve">the </w:t>
      </w:r>
      <w:r w:rsidR="00E63D5C">
        <w:rPr>
          <w:rFonts w:ascii="Arial" w:hAnsi="Arial" w:cs="Arial"/>
          <w:sz w:val="24"/>
          <w:szCs w:val="24"/>
        </w:rPr>
        <w:t>2</w:t>
      </w:r>
      <w:proofErr w:type="gramStart"/>
      <w:r w:rsidR="008B5F0F" w:rsidRPr="008B5F0F">
        <w:rPr>
          <w:rFonts w:ascii="Arial" w:hAnsi="Arial" w:cs="Arial"/>
          <w:sz w:val="24"/>
          <w:szCs w:val="24"/>
          <w:vertAlign w:val="superscript"/>
        </w:rPr>
        <w:t>nd</w:t>
      </w:r>
      <w:r w:rsidR="008B5F0F">
        <w:rPr>
          <w:rFonts w:ascii="Arial" w:hAnsi="Arial" w:cs="Arial"/>
          <w:sz w:val="24"/>
          <w:szCs w:val="24"/>
        </w:rPr>
        <w:t xml:space="preserve">  of</w:t>
      </w:r>
      <w:proofErr w:type="gramEnd"/>
      <w:r w:rsidR="008B5F0F">
        <w:rPr>
          <w:rFonts w:ascii="Arial" w:hAnsi="Arial" w:cs="Arial"/>
          <w:sz w:val="24"/>
          <w:szCs w:val="24"/>
        </w:rPr>
        <w:t xml:space="preserve"> </w:t>
      </w:r>
      <w:r w:rsidR="00E63D5C">
        <w:rPr>
          <w:rFonts w:ascii="Arial" w:hAnsi="Arial" w:cs="Arial"/>
          <w:sz w:val="24"/>
          <w:szCs w:val="24"/>
        </w:rPr>
        <w:t xml:space="preserve">July 2018 </w:t>
      </w:r>
      <w:r w:rsidR="00FA6107">
        <w:rPr>
          <w:rFonts w:ascii="Arial" w:hAnsi="Arial" w:cs="Arial"/>
          <w:sz w:val="24"/>
          <w:szCs w:val="24"/>
        </w:rPr>
        <w:t>as</w:t>
      </w:r>
      <w:r w:rsidR="007C4A16">
        <w:rPr>
          <w:rFonts w:ascii="Arial" w:hAnsi="Arial" w:cs="Arial"/>
          <w:sz w:val="24"/>
          <w:szCs w:val="24"/>
        </w:rPr>
        <w:t xml:space="preserve"> the person who</w:t>
      </w:r>
      <w:r w:rsidR="00C46A11">
        <w:rPr>
          <w:rFonts w:ascii="Arial" w:hAnsi="Arial" w:cs="Arial"/>
          <w:sz w:val="24"/>
          <w:szCs w:val="24"/>
        </w:rPr>
        <w:t xml:space="preserve">, with one </w:t>
      </w:r>
      <w:proofErr w:type="spellStart"/>
      <w:r w:rsidR="00C46A11">
        <w:rPr>
          <w:rFonts w:ascii="Arial" w:hAnsi="Arial" w:cs="Arial"/>
          <w:sz w:val="24"/>
          <w:szCs w:val="24"/>
        </w:rPr>
        <w:t>Nkosi</w:t>
      </w:r>
      <w:proofErr w:type="spellEnd"/>
      <w:r w:rsidR="00C46A11">
        <w:rPr>
          <w:rFonts w:ascii="Arial" w:hAnsi="Arial" w:cs="Arial"/>
          <w:sz w:val="24"/>
          <w:szCs w:val="24"/>
        </w:rPr>
        <w:t>,</w:t>
      </w:r>
      <w:r w:rsidR="007C4A16">
        <w:rPr>
          <w:rFonts w:ascii="Arial" w:hAnsi="Arial" w:cs="Arial"/>
          <w:sz w:val="24"/>
          <w:szCs w:val="24"/>
        </w:rPr>
        <w:t xml:space="preserve"> had pawned him </w:t>
      </w:r>
      <w:r w:rsidR="00C46A11">
        <w:rPr>
          <w:rFonts w:ascii="Arial" w:hAnsi="Arial" w:cs="Arial"/>
          <w:sz w:val="24"/>
          <w:szCs w:val="24"/>
        </w:rPr>
        <w:t>the deceased</w:t>
      </w:r>
      <w:r w:rsidR="00FA6107">
        <w:rPr>
          <w:rFonts w:ascii="Arial" w:hAnsi="Arial" w:cs="Arial"/>
          <w:sz w:val="24"/>
          <w:szCs w:val="24"/>
        </w:rPr>
        <w:t>’s</w:t>
      </w:r>
      <w:r w:rsidR="00C46A11">
        <w:rPr>
          <w:rFonts w:ascii="Arial" w:hAnsi="Arial" w:cs="Arial"/>
          <w:sz w:val="24"/>
          <w:szCs w:val="24"/>
        </w:rPr>
        <w:t xml:space="preserve"> </w:t>
      </w:r>
      <w:r w:rsidR="00AF0DAC">
        <w:rPr>
          <w:rFonts w:ascii="Arial" w:hAnsi="Arial" w:cs="Arial"/>
          <w:sz w:val="24"/>
          <w:szCs w:val="24"/>
        </w:rPr>
        <w:t xml:space="preserve">car for R8000. </w:t>
      </w:r>
    </w:p>
    <w:p w14:paraId="429A84A7" w14:textId="03C828F5" w:rsidR="00800FFE"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C259B6">
        <w:rPr>
          <w:rFonts w:ascii="Arial" w:hAnsi="Arial" w:cs="Arial"/>
          <w:sz w:val="24"/>
          <w:szCs w:val="24"/>
        </w:rPr>
        <w:t>Another</w:t>
      </w:r>
      <w:r w:rsidR="00D64C93">
        <w:rPr>
          <w:rFonts w:ascii="Arial" w:hAnsi="Arial" w:cs="Arial"/>
          <w:sz w:val="24"/>
          <w:szCs w:val="24"/>
        </w:rPr>
        <w:t xml:space="preserve"> State witness, </w:t>
      </w:r>
      <w:proofErr w:type="spellStart"/>
      <w:r w:rsidR="00D64C93">
        <w:rPr>
          <w:rFonts w:ascii="Arial" w:hAnsi="Arial" w:cs="Arial"/>
          <w:sz w:val="24"/>
          <w:szCs w:val="24"/>
        </w:rPr>
        <w:t>Phumzile</w:t>
      </w:r>
      <w:proofErr w:type="spellEnd"/>
      <w:r w:rsidR="00D64C93">
        <w:rPr>
          <w:rFonts w:ascii="Arial" w:hAnsi="Arial" w:cs="Arial"/>
          <w:sz w:val="24"/>
          <w:szCs w:val="24"/>
        </w:rPr>
        <w:t xml:space="preserve"> </w:t>
      </w:r>
      <w:proofErr w:type="spellStart"/>
      <w:r w:rsidR="00D64C93">
        <w:rPr>
          <w:rFonts w:ascii="Arial" w:hAnsi="Arial" w:cs="Arial"/>
          <w:sz w:val="24"/>
          <w:szCs w:val="24"/>
        </w:rPr>
        <w:t>Hadebe</w:t>
      </w:r>
      <w:proofErr w:type="spellEnd"/>
      <w:r w:rsidR="00D64C93">
        <w:rPr>
          <w:rFonts w:ascii="Arial" w:hAnsi="Arial" w:cs="Arial"/>
          <w:sz w:val="24"/>
          <w:szCs w:val="24"/>
        </w:rPr>
        <w:t xml:space="preserve">, </w:t>
      </w:r>
      <w:r w:rsidR="00372225">
        <w:rPr>
          <w:rFonts w:ascii="Arial" w:hAnsi="Arial" w:cs="Arial"/>
          <w:sz w:val="24"/>
          <w:szCs w:val="24"/>
        </w:rPr>
        <w:t xml:space="preserve">testified that she witnessed </w:t>
      </w:r>
      <w:r w:rsidR="00A56582">
        <w:rPr>
          <w:rFonts w:ascii="Arial" w:hAnsi="Arial" w:cs="Arial"/>
          <w:sz w:val="24"/>
          <w:szCs w:val="24"/>
        </w:rPr>
        <w:t xml:space="preserve">her cousin, by </w:t>
      </w:r>
      <w:r w:rsidR="008B5F0F">
        <w:rPr>
          <w:rFonts w:ascii="Arial" w:hAnsi="Arial" w:cs="Arial"/>
          <w:sz w:val="24"/>
          <w:szCs w:val="24"/>
        </w:rPr>
        <w:t xml:space="preserve">the </w:t>
      </w:r>
      <w:r w:rsidR="00A56582">
        <w:rPr>
          <w:rFonts w:ascii="Arial" w:hAnsi="Arial" w:cs="Arial"/>
          <w:sz w:val="24"/>
          <w:szCs w:val="24"/>
        </w:rPr>
        <w:t xml:space="preserve">name of </w:t>
      </w:r>
      <w:proofErr w:type="spellStart"/>
      <w:r w:rsidR="00A56582">
        <w:rPr>
          <w:rFonts w:ascii="Arial" w:hAnsi="Arial" w:cs="Arial"/>
          <w:sz w:val="24"/>
          <w:szCs w:val="24"/>
        </w:rPr>
        <w:t>Nkosi</w:t>
      </w:r>
      <w:proofErr w:type="spellEnd"/>
      <w:r w:rsidR="00A56582">
        <w:rPr>
          <w:rFonts w:ascii="Arial" w:hAnsi="Arial" w:cs="Arial"/>
          <w:sz w:val="24"/>
          <w:szCs w:val="24"/>
        </w:rPr>
        <w:t xml:space="preserve">, and the </w:t>
      </w:r>
      <w:r w:rsidR="00FB719E">
        <w:rPr>
          <w:rFonts w:ascii="Arial" w:hAnsi="Arial" w:cs="Arial"/>
          <w:sz w:val="24"/>
          <w:szCs w:val="24"/>
        </w:rPr>
        <w:t>appellant</w:t>
      </w:r>
      <w:r w:rsidR="000E69AF">
        <w:rPr>
          <w:rFonts w:ascii="Arial" w:hAnsi="Arial" w:cs="Arial"/>
          <w:sz w:val="24"/>
          <w:szCs w:val="24"/>
        </w:rPr>
        <w:t xml:space="preserve"> </w:t>
      </w:r>
      <w:r w:rsidR="00D41842">
        <w:rPr>
          <w:rFonts w:ascii="Arial" w:hAnsi="Arial" w:cs="Arial"/>
          <w:sz w:val="24"/>
          <w:szCs w:val="24"/>
        </w:rPr>
        <w:t xml:space="preserve">taking the deceased from </w:t>
      </w:r>
      <w:r w:rsidR="002D2AEE">
        <w:rPr>
          <w:rFonts w:ascii="Arial" w:hAnsi="Arial" w:cs="Arial"/>
          <w:sz w:val="24"/>
          <w:szCs w:val="24"/>
        </w:rPr>
        <w:t>a red Hyundai motor vehicle</w:t>
      </w:r>
      <w:r w:rsidR="006119EE">
        <w:rPr>
          <w:rFonts w:ascii="Arial" w:hAnsi="Arial" w:cs="Arial"/>
          <w:sz w:val="24"/>
          <w:szCs w:val="24"/>
        </w:rPr>
        <w:t xml:space="preserve"> </w:t>
      </w:r>
      <w:r w:rsidR="00FA6107">
        <w:rPr>
          <w:rFonts w:ascii="Arial" w:hAnsi="Arial" w:cs="Arial"/>
          <w:sz w:val="24"/>
          <w:szCs w:val="24"/>
        </w:rPr>
        <w:t xml:space="preserve">(in effect the deceased’s car) </w:t>
      </w:r>
      <w:r w:rsidR="006119EE">
        <w:rPr>
          <w:rFonts w:ascii="Arial" w:hAnsi="Arial" w:cs="Arial"/>
          <w:sz w:val="24"/>
          <w:szCs w:val="24"/>
        </w:rPr>
        <w:t xml:space="preserve">and assaulting him </w:t>
      </w:r>
      <w:r w:rsidR="00194A06">
        <w:rPr>
          <w:rFonts w:ascii="Arial" w:hAnsi="Arial" w:cs="Arial"/>
          <w:sz w:val="24"/>
          <w:szCs w:val="24"/>
        </w:rPr>
        <w:t xml:space="preserve">on </w:t>
      </w:r>
      <w:r w:rsidR="008B5F0F">
        <w:rPr>
          <w:rFonts w:ascii="Arial" w:hAnsi="Arial" w:cs="Arial"/>
          <w:sz w:val="24"/>
          <w:szCs w:val="24"/>
        </w:rPr>
        <w:t xml:space="preserve">the </w:t>
      </w:r>
      <w:r w:rsidR="00595C09">
        <w:rPr>
          <w:rFonts w:ascii="Arial" w:hAnsi="Arial" w:cs="Arial"/>
          <w:sz w:val="24"/>
          <w:szCs w:val="24"/>
        </w:rPr>
        <w:t>11</w:t>
      </w:r>
      <w:r w:rsidR="008B5F0F" w:rsidRPr="008B5F0F">
        <w:rPr>
          <w:rFonts w:ascii="Arial" w:hAnsi="Arial" w:cs="Arial"/>
          <w:sz w:val="24"/>
          <w:szCs w:val="24"/>
          <w:vertAlign w:val="superscript"/>
        </w:rPr>
        <w:t>th</w:t>
      </w:r>
      <w:r w:rsidR="008B5F0F">
        <w:rPr>
          <w:rFonts w:ascii="Arial" w:hAnsi="Arial" w:cs="Arial"/>
          <w:sz w:val="24"/>
          <w:szCs w:val="24"/>
        </w:rPr>
        <w:t xml:space="preserve"> of </w:t>
      </w:r>
      <w:r w:rsidR="00595C09">
        <w:rPr>
          <w:rFonts w:ascii="Arial" w:hAnsi="Arial" w:cs="Arial"/>
          <w:sz w:val="24"/>
          <w:szCs w:val="24"/>
        </w:rPr>
        <w:t xml:space="preserve">June 2018. </w:t>
      </w:r>
    </w:p>
    <w:p w14:paraId="105668D1" w14:textId="5B8793A9" w:rsidR="00491B48" w:rsidRPr="00491B48"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spellStart"/>
      <w:r w:rsidR="00AC690B" w:rsidRPr="00491B48">
        <w:rPr>
          <w:rFonts w:ascii="Arial" w:hAnsi="Arial" w:cs="Arial"/>
          <w:sz w:val="24"/>
          <w:szCs w:val="24"/>
        </w:rPr>
        <w:t>Hadebe</w:t>
      </w:r>
      <w:proofErr w:type="spellEnd"/>
      <w:r w:rsidR="00AC690B" w:rsidRPr="00491B48">
        <w:rPr>
          <w:rFonts w:ascii="Arial" w:hAnsi="Arial" w:cs="Arial"/>
          <w:sz w:val="24"/>
          <w:szCs w:val="24"/>
        </w:rPr>
        <w:t xml:space="preserve"> said the </w:t>
      </w:r>
      <w:r w:rsidR="00FB719E">
        <w:rPr>
          <w:rFonts w:ascii="Arial" w:hAnsi="Arial" w:cs="Arial"/>
          <w:sz w:val="24"/>
          <w:szCs w:val="24"/>
        </w:rPr>
        <w:t>appellant</w:t>
      </w:r>
      <w:r w:rsidR="00AC690B" w:rsidRPr="00491B48">
        <w:rPr>
          <w:rFonts w:ascii="Arial" w:hAnsi="Arial" w:cs="Arial"/>
          <w:sz w:val="24"/>
          <w:szCs w:val="24"/>
        </w:rPr>
        <w:t xml:space="preserve"> had </w:t>
      </w:r>
      <w:r w:rsidR="00533228" w:rsidRPr="00491B48">
        <w:rPr>
          <w:rFonts w:ascii="Arial" w:hAnsi="Arial" w:cs="Arial"/>
          <w:sz w:val="24"/>
          <w:szCs w:val="24"/>
        </w:rPr>
        <w:t xml:space="preserve">confessed </w:t>
      </w:r>
      <w:r w:rsidR="00FA6107">
        <w:rPr>
          <w:rFonts w:ascii="Arial" w:hAnsi="Arial" w:cs="Arial"/>
          <w:sz w:val="24"/>
          <w:szCs w:val="24"/>
        </w:rPr>
        <w:t xml:space="preserve">that </w:t>
      </w:r>
      <w:r w:rsidR="00533228" w:rsidRPr="00491B48">
        <w:rPr>
          <w:rFonts w:ascii="Arial" w:hAnsi="Arial" w:cs="Arial"/>
          <w:sz w:val="24"/>
          <w:szCs w:val="24"/>
        </w:rPr>
        <w:t xml:space="preserve">they had killed the deceased and </w:t>
      </w:r>
      <w:r w:rsidR="002205B3" w:rsidRPr="00491B48">
        <w:rPr>
          <w:rFonts w:ascii="Arial" w:hAnsi="Arial" w:cs="Arial"/>
          <w:sz w:val="24"/>
          <w:szCs w:val="24"/>
        </w:rPr>
        <w:t>dumped his body somewhere</w:t>
      </w:r>
      <w:r w:rsidR="0049014B" w:rsidRPr="00491B48">
        <w:rPr>
          <w:rFonts w:ascii="Arial" w:hAnsi="Arial" w:cs="Arial"/>
          <w:sz w:val="24"/>
          <w:szCs w:val="24"/>
        </w:rPr>
        <w:t xml:space="preserve">. </w:t>
      </w:r>
    </w:p>
    <w:p w14:paraId="74C175DD" w14:textId="1E910457" w:rsidR="00E92260"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EF2F39">
        <w:rPr>
          <w:rFonts w:ascii="Arial" w:hAnsi="Arial" w:cs="Arial"/>
          <w:sz w:val="24"/>
          <w:szCs w:val="24"/>
        </w:rPr>
        <w:t xml:space="preserve">Another witness, Nathaniel </w:t>
      </w:r>
      <w:proofErr w:type="spellStart"/>
      <w:r w:rsidR="00EF2F39">
        <w:rPr>
          <w:rFonts w:ascii="Arial" w:hAnsi="Arial" w:cs="Arial"/>
          <w:sz w:val="24"/>
          <w:szCs w:val="24"/>
        </w:rPr>
        <w:t>Padayachee</w:t>
      </w:r>
      <w:proofErr w:type="spellEnd"/>
      <w:r w:rsidR="00FA6107">
        <w:rPr>
          <w:rFonts w:ascii="Arial" w:hAnsi="Arial" w:cs="Arial"/>
          <w:sz w:val="24"/>
          <w:szCs w:val="24"/>
        </w:rPr>
        <w:t>,</w:t>
      </w:r>
      <w:r w:rsidR="0013616D">
        <w:rPr>
          <w:rFonts w:ascii="Arial" w:hAnsi="Arial" w:cs="Arial"/>
          <w:sz w:val="24"/>
          <w:szCs w:val="24"/>
        </w:rPr>
        <w:t xml:space="preserve"> testified that he, </w:t>
      </w:r>
      <w:proofErr w:type="spellStart"/>
      <w:r w:rsidR="004E2083">
        <w:rPr>
          <w:rFonts w:ascii="Arial" w:hAnsi="Arial" w:cs="Arial"/>
          <w:sz w:val="24"/>
          <w:szCs w:val="24"/>
        </w:rPr>
        <w:t>Hadebe</w:t>
      </w:r>
      <w:proofErr w:type="spellEnd"/>
      <w:r w:rsidR="004E2083">
        <w:rPr>
          <w:rFonts w:ascii="Arial" w:hAnsi="Arial" w:cs="Arial"/>
          <w:sz w:val="24"/>
          <w:szCs w:val="24"/>
        </w:rPr>
        <w:t xml:space="preserve">, the </w:t>
      </w:r>
      <w:r w:rsidR="00FB719E">
        <w:rPr>
          <w:rFonts w:ascii="Arial" w:hAnsi="Arial" w:cs="Arial"/>
          <w:sz w:val="24"/>
          <w:szCs w:val="24"/>
        </w:rPr>
        <w:t>appellant</w:t>
      </w:r>
      <w:r w:rsidR="004E2083">
        <w:rPr>
          <w:rFonts w:ascii="Arial" w:hAnsi="Arial" w:cs="Arial"/>
          <w:sz w:val="24"/>
          <w:szCs w:val="24"/>
        </w:rPr>
        <w:t xml:space="preserve">, and the deceased </w:t>
      </w:r>
      <w:r w:rsidR="00FA6107">
        <w:rPr>
          <w:rFonts w:ascii="Arial" w:hAnsi="Arial" w:cs="Arial"/>
          <w:sz w:val="24"/>
          <w:szCs w:val="24"/>
        </w:rPr>
        <w:t>used to take</w:t>
      </w:r>
      <w:r w:rsidR="00083766">
        <w:rPr>
          <w:rFonts w:ascii="Arial" w:hAnsi="Arial" w:cs="Arial"/>
          <w:sz w:val="24"/>
          <w:szCs w:val="24"/>
        </w:rPr>
        <w:t xml:space="preserve"> drugs to</w:t>
      </w:r>
      <w:r w:rsidR="00FA6107">
        <w:rPr>
          <w:rFonts w:ascii="Arial" w:hAnsi="Arial" w:cs="Arial"/>
          <w:sz w:val="24"/>
          <w:szCs w:val="24"/>
        </w:rPr>
        <w:t xml:space="preserve">gether. </w:t>
      </w:r>
      <w:r w:rsidR="003216F0">
        <w:rPr>
          <w:rFonts w:ascii="Arial" w:hAnsi="Arial" w:cs="Arial"/>
          <w:sz w:val="24"/>
          <w:szCs w:val="24"/>
        </w:rPr>
        <w:t xml:space="preserve"> </w:t>
      </w:r>
      <w:proofErr w:type="spellStart"/>
      <w:r w:rsidR="000744D6">
        <w:rPr>
          <w:rFonts w:ascii="Arial" w:hAnsi="Arial" w:cs="Arial"/>
          <w:sz w:val="24"/>
          <w:szCs w:val="24"/>
        </w:rPr>
        <w:t>Padayachee</w:t>
      </w:r>
      <w:proofErr w:type="spellEnd"/>
      <w:r w:rsidR="000744D6">
        <w:rPr>
          <w:rFonts w:ascii="Arial" w:hAnsi="Arial" w:cs="Arial"/>
          <w:sz w:val="24"/>
          <w:szCs w:val="24"/>
        </w:rPr>
        <w:t xml:space="preserve"> confirmed hearing </w:t>
      </w:r>
      <w:r w:rsidR="00FB05CA">
        <w:rPr>
          <w:rFonts w:ascii="Arial" w:hAnsi="Arial" w:cs="Arial"/>
          <w:sz w:val="24"/>
          <w:szCs w:val="24"/>
        </w:rPr>
        <w:t>the deceased pleading for his life</w:t>
      </w:r>
      <w:r w:rsidR="002907DD">
        <w:rPr>
          <w:rFonts w:ascii="Arial" w:hAnsi="Arial" w:cs="Arial"/>
          <w:sz w:val="24"/>
          <w:szCs w:val="24"/>
        </w:rPr>
        <w:t xml:space="preserve">, saying “Leave </w:t>
      </w:r>
      <w:r w:rsidR="005C0215">
        <w:rPr>
          <w:rFonts w:ascii="Arial" w:hAnsi="Arial" w:cs="Arial"/>
          <w:sz w:val="24"/>
          <w:szCs w:val="24"/>
        </w:rPr>
        <w:t xml:space="preserve">me, leave me, don’t kill me or don’t </w:t>
      </w:r>
      <w:r w:rsidR="00B10C14">
        <w:rPr>
          <w:rFonts w:ascii="Arial" w:hAnsi="Arial" w:cs="Arial"/>
          <w:sz w:val="24"/>
          <w:szCs w:val="24"/>
        </w:rPr>
        <w:t xml:space="preserve">me”; and that he </w:t>
      </w:r>
      <w:r w:rsidR="007362E1">
        <w:rPr>
          <w:rFonts w:ascii="Arial" w:hAnsi="Arial" w:cs="Arial"/>
          <w:sz w:val="24"/>
          <w:szCs w:val="24"/>
        </w:rPr>
        <w:t xml:space="preserve">saw the </w:t>
      </w:r>
      <w:r w:rsidR="00FB719E">
        <w:rPr>
          <w:rFonts w:ascii="Arial" w:hAnsi="Arial" w:cs="Arial"/>
          <w:sz w:val="24"/>
          <w:szCs w:val="24"/>
        </w:rPr>
        <w:t>appellant</w:t>
      </w:r>
      <w:r w:rsidR="007362E1">
        <w:rPr>
          <w:rFonts w:ascii="Arial" w:hAnsi="Arial" w:cs="Arial"/>
          <w:sz w:val="24"/>
          <w:szCs w:val="24"/>
        </w:rPr>
        <w:t xml:space="preserve"> the following day </w:t>
      </w:r>
      <w:r w:rsidR="00F66616">
        <w:rPr>
          <w:rFonts w:ascii="Arial" w:hAnsi="Arial" w:cs="Arial"/>
          <w:sz w:val="24"/>
          <w:szCs w:val="24"/>
        </w:rPr>
        <w:t>arriving driving the deceased’s motor vehicle</w:t>
      </w:r>
      <w:r w:rsidR="009B5EF9">
        <w:rPr>
          <w:rFonts w:ascii="Arial" w:hAnsi="Arial" w:cs="Arial"/>
          <w:sz w:val="24"/>
          <w:szCs w:val="24"/>
        </w:rPr>
        <w:t xml:space="preserve">, with </w:t>
      </w:r>
      <w:proofErr w:type="spellStart"/>
      <w:r w:rsidR="009B5EF9">
        <w:rPr>
          <w:rFonts w:ascii="Arial" w:hAnsi="Arial" w:cs="Arial"/>
          <w:sz w:val="24"/>
          <w:szCs w:val="24"/>
        </w:rPr>
        <w:t>Nkosi</w:t>
      </w:r>
      <w:proofErr w:type="spellEnd"/>
      <w:r w:rsidR="009B5EF9">
        <w:rPr>
          <w:rFonts w:ascii="Arial" w:hAnsi="Arial" w:cs="Arial"/>
          <w:sz w:val="24"/>
          <w:szCs w:val="24"/>
        </w:rPr>
        <w:t xml:space="preserve">, but </w:t>
      </w:r>
      <w:r w:rsidR="00FF25CB">
        <w:rPr>
          <w:rFonts w:ascii="Arial" w:hAnsi="Arial" w:cs="Arial"/>
          <w:sz w:val="24"/>
          <w:szCs w:val="24"/>
        </w:rPr>
        <w:t>without the deceased</w:t>
      </w:r>
      <w:r w:rsidR="00F66616">
        <w:rPr>
          <w:rFonts w:ascii="Arial" w:hAnsi="Arial" w:cs="Arial"/>
          <w:sz w:val="24"/>
          <w:szCs w:val="24"/>
        </w:rPr>
        <w:t xml:space="preserve">. </w:t>
      </w:r>
      <w:r w:rsidR="002907DD">
        <w:rPr>
          <w:rFonts w:ascii="Arial" w:hAnsi="Arial" w:cs="Arial"/>
          <w:sz w:val="24"/>
          <w:szCs w:val="24"/>
        </w:rPr>
        <w:t xml:space="preserve"> </w:t>
      </w:r>
    </w:p>
    <w:p w14:paraId="774C422C" w14:textId="5BE095BC" w:rsidR="00885C8C"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BC1B8D">
        <w:rPr>
          <w:rFonts w:ascii="Arial" w:hAnsi="Arial" w:cs="Arial"/>
          <w:sz w:val="24"/>
          <w:szCs w:val="24"/>
        </w:rPr>
        <w:t xml:space="preserve">When </w:t>
      </w:r>
      <w:proofErr w:type="spellStart"/>
      <w:r w:rsidR="00BC1B8D">
        <w:rPr>
          <w:rFonts w:ascii="Arial" w:hAnsi="Arial" w:cs="Arial"/>
          <w:sz w:val="24"/>
          <w:szCs w:val="24"/>
        </w:rPr>
        <w:t>Padayachee</w:t>
      </w:r>
      <w:proofErr w:type="spellEnd"/>
      <w:r w:rsidR="00BC1B8D">
        <w:rPr>
          <w:rFonts w:ascii="Arial" w:hAnsi="Arial" w:cs="Arial"/>
          <w:sz w:val="24"/>
          <w:szCs w:val="24"/>
        </w:rPr>
        <w:t xml:space="preserve"> asked where the deceased was</w:t>
      </w:r>
      <w:r w:rsidR="00592A7C">
        <w:rPr>
          <w:rFonts w:ascii="Arial" w:hAnsi="Arial" w:cs="Arial"/>
          <w:sz w:val="24"/>
          <w:szCs w:val="24"/>
        </w:rPr>
        <w:t xml:space="preserve">, the </w:t>
      </w:r>
      <w:r w:rsidR="00FB719E">
        <w:rPr>
          <w:rFonts w:ascii="Arial" w:hAnsi="Arial" w:cs="Arial"/>
          <w:sz w:val="24"/>
          <w:szCs w:val="24"/>
        </w:rPr>
        <w:t>appellant</w:t>
      </w:r>
      <w:r w:rsidR="00592A7C">
        <w:rPr>
          <w:rFonts w:ascii="Arial" w:hAnsi="Arial" w:cs="Arial"/>
          <w:sz w:val="24"/>
          <w:szCs w:val="24"/>
        </w:rPr>
        <w:t xml:space="preserve"> said “Well</w:t>
      </w:r>
      <w:r w:rsidR="00EC66C2">
        <w:rPr>
          <w:rFonts w:ascii="Arial" w:hAnsi="Arial" w:cs="Arial"/>
          <w:sz w:val="24"/>
          <w:szCs w:val="24"/>
        </w:rPr>
        <w:t xml:space="preserve">, </w:t>
      </w:r>
      <w:proofErr w:type="spellStart"/>
      <w:r w:rsidR="00EC66C2">
        <w:rPr>
          <w:rFonts w:ascii="Arial" w:hAnsi="Arial" w:cs="Arial"/>
          <w:sz w:val="24"/>
          <w:szCs w:val="24"/>
        </w:rPr>
        <w:t>Nkosi</w:t>
      </w:r>
      <w:proofErr w:type="spellEnd"/>
      <w:r w:rsidR="00EC66C2">
        <w:rPr>
          <w:rFonts w:ascii="Arial" w:hAnsi="Arial" w:cs="Arial"/>
          <w:sz w:val="24"/>
          <w:szCs w:val="24"/>
        </w:rPr>
        <w:t xml:space="preserve"> stabbed him and I shot him and we dumped </w:t>
      </w:r>
      <w:r w:rsidR="00250568">
        <w:rPr>
          <w:rFonts w:ascii="Arial" w:hAnsi="Arial" w:cs="Arial"/>
          <w:sz w:val="24"/>
          <w:szCs w:val="24"/>
        </w:rPr>
        <w:t xml:space="preserve">the body in </w:t>
      </w:r>
      <w:proofErr w:type="spellStart"/>
      <w:r w:rsidR="00250568">
        <w:rPr>
          <w:rFonts w:ascii="Arial" w:hAnsi="Arial" w:cs="Arial"/>
          <w:sz w:val="24"/>
          <w:szCs w:val="24"/>
        </w:rPr>
        <w:t>Lamontville</w:t>
      </w:r>
      <w:proofErr w:type="spellEnd"/>
      <w:r w:rsidR="00250568">
        <w:rPr>
          <w:rFonts w:ascii="Arial" w:hAnsi="Arial" w:cs="Arial"/>
          <w:sz w:val="24"/>
          <w:szCs w:val="24"/>
        </w:rPr>
        <w:t xml:space="preserve">”. </w:t>
      </w:r>
      <w:r w:rsidR="00592A7C">
        <w:rPr>
          <w:rFonts w:ascii="Arial" w:hAnsi="Arial" w:cs="Arial"/>
          <w:sz w:val="24"/>
          <w:szCs w:val="24"/>
        </w:rPr>
        <w:t xml:space="preserve"> </w:t>
      </w:r>
    </w:p>
    <w:p w14:paraId="3FE1E56E" w14:textId="6535FAFE" w:rsidR="00A670F9"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(g)</w:t>
      </w:r>
      <w:r>
        <w:rPr>
          <w:rFonts w:ascii="Arial" w:hAnsi="Arial" w:cs="Arial"/>
          <w:sz w:val="24"/>
          <w:szCs w:val="24"/>
        </w:rPr>
        <w:tab/>
      </w:r>
      <w:r w:rsidR="00BD0222">
        <w:rPr>
          <w:rFonts w:ascii="Arial" w:hAnsi="Arial" w:cs="Arial"/>
          <w:sz w:val="24"/>
          <w:szCs w:val="24"/>
        </w:rPr>
        <w:t xml:space="preserve">The </w:t>
      </w:r>
      <w:r w:rsidR="00FB719E">
        <w:rPr>
          <w:rFonts w:ascii="Arial" w:hAnsi="Arial" w:cs="Arial"/>
          <w:sz w:val="24"/>
          <w:szCs w:val="24"/>
        </w:rPr>
        <w:t>appellant</w:t>
      </w:r>
      <w:r w:rsidR="00BD0222">
        <w:rPr>
          <w:rFonts w:ascii="Arial" w:hAnsi="Arial" w:cs="Arial"/>
          <w:sz w:val="24"/>
          <w:szCs w:val="24"/>
        </w:rPr>
        <w:t xml:space="preserve"> </w:t>
      </w:r>
      <w:r w:rsidR="00FA6107">
        <w:rPr>
          <w:rFonts w:ascii="Arial" w:hAnsi="Arial" w:cs="Arial"/>
          <w:sz w:val="24"/>
          <w:szCs w:val="24"/>
        </w:rPr>
        <w:t>attempted</w:t>
      </w:r>
      <w:r w:rsidR="00565949">
        <w:rPr>
          <w:rFonts w:ascii="Arial" w:hAnsi="Arial" w:cs="Arial"/>
          <w:sz w:val="24"/>
          <w:szCs w:val="24"/>
        </w:rPr>
        <w:t xml:space="preserve"> to discredit the ev</w:t>
      </w:r>
      <w:r w:rsidR="00BE19AD">
        <w:rPr>
          <w:rFonts w:ascii="Arial" w:hAnsi="Arial" w:cs="Arial"/>
          <w:sz w:val="24"/>
          <w:szCs w:val="24"/>
        </w:rPr>
        <w:t>i</w:t>
      </w:r>
      <w:r w:rsidR="00565949">
        <w:rPr>
          <w:rFonts w:ascii="Arial" w:hAnsi="Arial" w:cs="Arial"/>
          <w:sz w:val="24"/>
          <w:szCs w:val="24"/>
        </w:rPr>
        <w:t>de</w:t>
      </w:r>
      <w:r w:rsidR="00BE19AD">
        <w:rPr>
          <w:rFonts w:ascii="Arial" w:hAnsi="Arial" w:cs="Arial"/>
          <w:sz w:val="24"/>
          <w:szCs w:val="24"/>
        </w:rPr>
        <w:t xml:space="preserve">nce given by the witnesses </w:t>
      </w:r>
      <w:proofErr w:type="spellStart"/>
      <w:r w:rsidR="00A71A6B">
        <w:rPr>
          <w:rFonts w:ascii="Arial" w:hAnsi="Arial" w:cs="Arial"/>
          <w:sz w:val="24"/>
          <w:szCs w:val="24"/>
        </w:rPr>
        <w:t>Hadebe</w:t>
      </w:r>
      <w:proofErr w:type="spellEnd"/>
      <w:r w:rsidR="00A71A6B">
        <w:rPr>
          <w:rFonts w:ascii="Arial" w:hAnsi="Arial" w:cs="Arial"/>
          <w:sz w:val="24"/>
          <w:szCs w:val="24"/>
        </w:rPr>
        <w:t xml:space="preserve">, </w:t>
      </w:r>
      <w:proofErr w:type="spellStart"/>
      <w:r w:rsidR="00A71A6B">
        <w:rPr>
          <w:rFonts w:ascii="Arial" w:hAnsi="Arial" w:cs="Arial"/>
          <w:sz w:val="24"/>
          <w:szCs w:val="24"/>
        </w:rPr>
        <w:t>Padayachee</w:t>
      </w:r>
      <w:proofErr w:type="spellEnd"/>
      <w:r w:rsidR="000B1EE3">
        <w:rPr>
          <w:rFonts w:ascii="Arial" w:hAnsi="Arial" w:cs="Arial"/>
          <w:sz w:val="24"/>
          <w:szCs w:val="24"/>
        </w:rPr>
        <w:t xml:space="preserve"> and </w:t>
      </w:r>
      <w:proofErr w:type="spellStart"/>
      <w:r w:rsidR="000B1EE3">
        <w:rPr>
          <w:rFonts w:ascii="Arial" w:hAnsi="Arial" w:cs="Arial"/>
          <w:sz w:val="24"/>
          <w:szCs w:val="24"/>
        </w:rPr>
        <w:t>Davids</w:t>
      </w:r>
      <w:proofErr w:type="spellEnd"/>
      <w:r w:rsidR="000B1EE3">
        <w:rPr>
          <w:rFonts w:ascii="Arial" w:hAnsi="Arial" w:cs="Arial"/>
          <w:sz w:val="24"/>
          <w:szCs w:val="24"/>
        </w:rPr>
        <w:t xml:space="preserve">, </w:t>
      </w:r>
      <w:r w:rsidR="005B7791">
        <w:rPr>
          <w:rFonts w:ascii="Arial" w:hAnsi="Arial" w:cs="Arial"/>
          <w:sz w:val="24"/>
          <w:szCs w:val="24"/>
        </w:rPr>
        <w:t>label</w:t>
      </w:r>
      <w:r w:rsidR="00FA6107">
        <w:rPr>
          <w:rFonts w:ascii="Arial" w:hAnsi="Arial" w:cs="Arial"/>
          <w:sz w:val="24"/>
          <w:szCs w:val="24"/>
        </w:rPr>
        <w:t>ling</w:t>
      </w:r>
      <w:r w:rsidR="005B7791">
        <w:rPr>
          <w:rFonts w:ascii="Arial" w:hAnsi="Arial" w:cs="Arial"/>
          <w:sz w:val="24"/>
          <w:szCs w:val="24"/>
        </w:rPr>
        <w:t xml:space="preserve"> all </w:t>
      </w:r>
      <w:r w:rsidR="00BF36CB">
        <w:rPr>
          <w:rFonts w:ascii="Arial" w:hAnsi="Arial" w:cs="Arial"/>
          <w:sz w:val="24"/>
          <w:szCs w:val="24"/>
        </w:rPr>
        <w:t xml:space="preserve">as </w:t>
      </w:r>
      <w:r w:rsidR="00AA2849">
        <w:rPr>
          <w:rFonts w:ascii="Arial" w:hAnsi="Arial" w:cs="Arial"/>
          <w:sz w:val="24"/>
          <w:szCs w:val="24"/>
        </w:rPr>
        <w:t xml:space="preserve">not credible </w:t>
      </w:r>
      <w:r w:rsidR="00BA2175">
        <w:rPr>
          <w:rFonts w:ascii="Arial" w:hAnsi="Arial" w:cs="Arial"/>
          <w:sz w:val="24"/>
          <w:szCs w:val="24"/>
        </w:rPr>
        <w:t xml:space="preserve">witnesses. </w:t>
      </w:r>
      <w:r w:rsidR="00F34B3C">
        <w:rPr>
          <w:rFonts w:ascii="Arial" w:hAnsi="Arial" w:cs="Arial"/>
          <w:sz w:val="24"/>
          <w:szCs w:val="24"/>
        </w:rPr>
        <w:t xml:space="preserve">The testimony of all these three witnesses </w:t>
      </w:r>
      <w:r w:rsidR="00C03EBC">
        <w:rPr>
          <w:rFonts w:ascii="Arial" w:hAnsi="Arial" w:cs="Arial"/>
          <w:sz w:val="24"/>
          <w:szCs w:val="24"/>
        </w:rPr>
        <w:t xml:space="preserve">is, however, consistent in </w:t>
      </w:r>
      <w:r w:rsidR="00FA6107">
        <w:rPr>
          <w:rFonts w:ascii="Arial" w:hAnsi="Arial" w:cs="Arial"/>
          <w:sz w:val="24"/>
          <w:szCs w:val="24"/>
        </w:rPr>
        <w:t xml:space="preserve">implicating </w:t>
      </w:r>
      <w:r w:rsidR="00C03EBC">
        <w:rPr>
          <w:rFonts w:ascii="Arial" w:hAnsi="Arial" w:cs="Arial"/>
          <w:sz w:val="24"/>
          <w:szCs w:val="24"/>
        </w:rPr>
        <w:t xml:space="preserve">the </w:t>
      </w:r>
      <w:r w:rsidR="006E196C">
        <w:rPr>
          <w:rFonts w:ascii="Arial" w:hAnsi="Arial" w:cs="Arial"/>
          <w:sz w:val="24"/>
          <w:szCs w:val="24"/>
        </w:rPr>
        <w:t xml:space="preserve">appellant </w:t>
      </w:r>
      <w:r w:rsidR="00FA6107">
        <w:rPr>
          <w:rFonts w:ascii="Arial" w:hAnsi="Arial" w:cs="Arial"/>
          <w:sz w:val="24"/>
          <w:szCs w:val="24"/>
        </w:rPr>
        <w:t>in</w:t>
      </w:r>
      <w:r w:rsidR="00AE37E3">
        <w:rPr>
          <w:rFonts w:ascii="Arial" w:hAnsi="Arial" w:cs="Arial"/>
          <w:sz w:val="24"/>
          <w:szCs w:val="24"/>
        </w:rPr>
        <w:t xml:space="preserve"> the crime</w:t>
      </w:r>
      <w:r w:rsidR="00FA6107">
        <w:rPr>
          <w:rFonts w:ascii="Arial" w:hAnsi="Arial" w:cs="Arial"/>
          <w:sz w:val="24"/>
          <w:szCs w:val="24"/>
        </w:rPr>
        <w:t>s</w:t>
      </w:r>
      <w:r w:rsidR="00AE37E3">
        <w:rPr>
          <w:rFonts w:ascii="Arial" w:hAnsi="Arial" w:cs="Arial"/>
          <w:sz w:val="24"/>
          <w:szCs w:val="24"/>
        </w:rPr>
        <w:t xml:space="preserve">. </w:t>
      </w:r>
    </w:p>
    <w:p w14:paraId="7C5CE0A8" w14:textId="08EE29FC" w:rsidR="00451A84"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(h)</w:t>
      </w:r>
      <w:r>
        <w:rPr>
          <w:rFonts w:ascii="Arial" w:hAnsi="Arial" w:cs="Arial"/>
          <w:sz w:val="24"/>
          <w:szCs w:val="24"/>
        </w:rPr>
        <w:tab/>
      </w:r>
      <w:r w:rsidR="00291D3B">
        <w:rPr>
          <w:rFonts w:ascii="Arial" w:hAnsi="Arial" w:cs="Arial"/>
          <w:sz w:val="24"/>
          <w:szCs w:val="24"/>
        </w:rPr>
        <w:t xml:space="preserve">The </w:t>
      </w:r>
      <w:r w:rsidR="00FB719E">
        <w:rPr>
          <w:rFonts w:ascii="Arial" w:hAnsi="Arial" w:cs="Arial"/>
          <w:sz w:val="24"/>
          <w:szCs w:val="24"/>
        </w:rPr>
        <w:t>appellant</w:t>
      </w:r>
      <w:r w:rsidR="00A738A9">
        <w:rPr>
          <w:rFonts w:ascii="Arial" w:hAnsi="Arial" w:cs="Arial"/>
          <w:sz w:val="24"/>
          <w:szCs w:val="24"/>
        </w:rPr>
        <w:t xml:space="preserve"> </w:t>
      </w:r>
      <w:r w:rsidR="00451A84">
        <w:rPr>
          <w:rFonts w:ascii="Arial" w:hAnsi="Arial" w:cs="Arial"/>
          <w:sz w:val="24"/>
          <w:szCs w:val="24"/>
        </w:rPr>
        <w:t>submits</w:t>
      </w:r>
      <w:r w:rsidR="00186160">
        <w:rPr>
          <w:rFonts w:ascii="Arial" w:hAnsi="Arial" w:cs="Arial"/>
          <w:sz w:val="24"/>
          <w:szCs w:val="24"/>
        </w:rPr>
        <w:t xml:space="preserve"> that </w:t>
      </w:r>
      <w:r w:rsidR="003E1C35">
        <w:rPr>
          <w:rFonts w:ascii="Arial" w:hAnsi="Arial" w:cs="Arial"/>
          <w:sz w:val="24"/>
          <w:szCs w:val="24"/>
        </w:rPr>
        <w:t xml:space="preserve">the mere fact the witnesses did not </w:t>
      </w:r>
      <w:r w:rsidR="00A2432C">
        <w:rPr>
          <w:rFonts w:ascii="Arial" w:hAnsi="Arial" w:cs="Arial"/>
          <w:sz w:val="24"/>
          <w:szCs w:val="24"/>
        </w:rPr>
        <w:t xml:space="preserve">voluntarily go to the police immediately </w:t>
      </w:r>
      <w:r w:rsidR="006E196C">
        <w:rPr>
          <w:rFonts w:ascii="Arial" w:hAnsi="Arial" w:cs="Arial"/>
          <w:sz w:val="24"/>
          <w:szCs w:val="24"/>
        </w:rPr>
        <w:t xml:space="preserve">after </w:t>
      </w:r>
      <w:r w:rsidR="007447AF">
        <w:rPr>
          <w:rFonts w:ascii="Arial" w:hAnsi="Arial" w:cs="Arial"/>
          <w:sz w:val="24"/>
          <w:szCs w:val="24"/>
        </w:rPr>
        <w:t xml:space="preserve">they heard the </w:t>
      </w:r>
      <w:r w:rsidR="006E196C">
        <w:rPr>
          <w:rFonts w:ascii="Arial" w:hAnsi="Arial" w:cs="Arial"/>
          <w:sz w:val="24"/>
          <w:szCs w:val="24"/>
        </w:rPr>
        <w:t xml:space="preserve">appellant </w:t>
      </w:r>
      <w:r w:rsidR="007447AF">
        <w:rPr>
          <w:rFonts w:ascii="Arial" w:hAnsi="Arial" w:cs="Arial"/>
          <w:sz w:val="24"/>
          <w:szCs w:val="24"/>
        </w:rPr>
        <w:t xml:space="preserve">admitting that they killed </w:t>
      </w:r>
      <w:r w:rsidR="00902434">
        <w:rPr>
          <w:rFonts w:ascii="Arial" w:hAnsi="Arial" w:cs="Arial"/>
          <w:sz w:val="24"/>
          <w:szCs w:val="24"/>
        </w:rPr>
        <w:t xml:space="preserve">the deceased makes them </w:t>
      </w:r>
      <w:r w:rsidR="006C59D5">
        <w:rPr>
          <w:rFonts w:ascii="Arial" w:hAnsi="Arial" w:cs="Arial"/>
          <w:sz w:val="24"/>
          <w:szCs w:val="24"/>
        </w:rPr>
        <w:t>less credible</w:t>
      </w:r>
      <w:r w:rsidR="00451A84">
        <w:rPr>
          <w:rFonts w:ascii="Arial" w:hAnsi="Arial" w:cs="Arial"/>
          <w:sz w:val="24"/>
          <w:szCs w:val="24"/>
        </w:rPr>
        <w:t>. However,</w:t>
      </w:r>
      <w:r w:rsidR="00FB719E">
        <w:rPr>
          <w:rFonts w:ascii="Arial" w:hAnsi="Arial" w:cs="Arial"/>
          <w:sz w:val="24"/>
          <w:szCs w:val="24"/>
        </w:rPr>
        <w:t xml:space="preserve"> whilst they may be criticised </w:t>
      </w:r>
      <w:r w:rsidR="00451A84">
        <w:rPr>
          <w:rFonts w:ascii="Arial" w:hAnsi="Arial" w:cs="Arial"/>
          <w:sz w:val="24"/>
          <w:szCs w:val="24"/>
        </w:rPr>
        <w:t xml:space="preserve">for that omission, that does not mean that their evidence is unreliable. The </w:t>
      </w:r>
      <w:r w:rsidR="006A5C1F">
        <w:rPr>
          <w:rFonts w:ascii="Arial" w:hAnsi="Arial" w:cs="Arial"/>
          <w:sz w:val="24"/>
          <w:szCs w:val="24"/>
        </w:rPr>
        <w:t>record</w:t>
      </w:r>
      <w:r w:rsidR="00451A84">
        <w:rPr>
          <w:rFonts w:ascii="Arial" w:hAnsi="Arial" w:cs="Arial"/>
          <w:sz w:val="24"/>
          <w:szCs w:val="24"/>
        </w:rPr>
        <w:t xml:space="preserve"> reveals that </w:t>
      </w:r>
      <w:r w:rsidR="000A3D89">
        <w:rPr>
          <w:rFonts w:ascii="Arial" w:hAnsi="Arial" w:cs="Arial"/>
          <w:sz w:val="24"/>
          <w:szCs w:val="24"/>
        </w:rPr>
        <w:t xml:space="preserve">the evidence of </w:t>
      </w:r>
      <w:r w:rsidR="00451A84">
        <w:rPr>
          <w:rFonts w:ascii="Arial" w:hAnsi="Arial" w:cs="Arial"/>
          <w:sz w:val="24"/>
          <w:szCs w:val="24"/>
        </w:rPr>
        <w:t xml:space="preserve">all of them, as well as the appellant, could not be </w:t>
      </w:r>
      <w:r w:rsidR="006A5C1F">
        <w:rPr>
          <w:rFonts w:ascii="Arial" w:hAnsi="Arial" w:cs="Arial"/>
          <w:sz w:val="24"/>
          <w:szCs w:val="24"/>
        </w:rPr>
        <w:t>approached upon the basis that they are ordinary law abiding citizens, unburdened by a reluctance to become involved with the police.</w:t>
      </w:r>
      <w:r w:rsidR="00451A84">
        <w:rPr>
          <w:rFonts w:ascii="Arial" w:hAnsi="Arial" w:cs="Arial"/>
          <w:sz w:val="24"/>
          <w:szCs w:val="24"/>
        </w:rPr>
        <w:t xml:space="preserve"> The magistrate </w:t>
      </w:r>
      <w:r w:rsidR="00451A84">
        <w:rPr>
          <w:rFonts w:ascii="Arial" w:hAnsi="Arial" w:cs="Arial"/>
          <w:sz w:val="24"/>
          <w:szCs w:val="24"/>
        </w:rPr>
        <w:lastRenderedPageBreak/>
        <w:t>made favourable credibility findings concerning the state’s witnesses, and there is no basis on which th</w:t>
      </w:r>
      <w:r w:rsidR="00EF3942">
        <w:rPr>
          <w:rFonts w:ascii="Arial" w:hAnsi="Arial" w:cs="Arial"/>
          <w:sz w:val="24"/>
          <w:szCs w:val="24"/>
        </w:rPr>
        <w:t>ese can be disturbed on appeal.</w:t>
      </w:r>
    </w:p>
    <w:p w14:paraId="33CD4AF1" w14:textId="77777777" w:rsidR="00EF3942" w:rsidRDefault="00EF3942" w:rsidP="00C8163F">
      <w:pPr>
        <w:spacing w:after="0" w:line="360" w:lineRule="auto"/>
        <w:ind w:left="720" w:hanging="720"/>
        <w:jc w:val="both"/>
        <w:rPr>
          <w:rFonts w:ascii="Arial" w:hAnsi="Arial" w:cs="Arial"/>
          <w:sz w:val="24"/>
          <w:szCs w:val="24"/>
        </w:rPr>
      </w:pPr>
    </w:p>
    <w:p w14:paraId="3809E23F" w14:textId="16407BED" w:rsidR="00A43ABB" w:rsidRDefault="00B56048" w:rsidP="00087899">
      <w:pPr>
        <w:spacing w:after="0" w:line="360" w:lineRule="auto"/>
        <w:jc w:val="both"/>
        <w:rPr>
          <w:rFonts w:ascii="Arial" w:hAnsi="Arial" w:cs="Arial"/>
          <w:sz w:val="24"/>
          <w:szCs w:val="24"/>
        </w:rPr>
      </w:pPr>
      <w:r>
        <w:rPr>
          <w:rFonts w:ascii="Arial" w:hAnsi="Arial" w:cs="Arial"/>
          <w:sz w:val="24"/>
          <w:szCs w:val="24"/>
        </w:rPr>
        <w:t>[7</w:t>
      </w:r>
      <w:r w:rsidR="006A5C1F">
        <w:rPr>
          <w:rFonts w:ascii="Arial" w:hAnsi="Arial" w:cs="Arial"/>
          <w:sz w:val="24"/>
          <w:szCs w:val="24"/>
        </w:rPr>
        <w:t>]</w:t>
      </w:r>
      <w:r w:rsidR="006A5C1F">
        <w:rPr>
          <w:rFonts w:ascii="Arial" w:hAnsi="Arial" w:cs="Arial"/>
          <w:sz w:val="24"/>
          <w:szCs w:val="24"/>
        </w:rPr>
        <w:tab/>
        <w:t>In substance the only submission on behalf of the appellant concerning sentence is that, seen in relation to his personal circumstances, the se</w:t>
      </w:r>
      <w:r w:rsidR="00067D80">
        <w:rPr>
          <w:rFonts w:ascii="Arial" w:hAnsi="Arial" w:cs="Arial"/>
          <w:sz w:val="24"/>
          <w:szCs w:val="24"/>
        </w:rPr>
        <w:t>n</w:t>
      </w:r>
      <w:r w:rsidR="006A5C1F">
        <w:rPr>
          <w:rFonts w:ascii="Arial" w:hAnsi="Arial" w:cs="Arial"/>
          <w:sz w:val="24"/>
          <w:szCs w:val="24"/>
        </w:rPr>
        <w:t xml:space="preserve">tences </w:t>
      </w:r>
      <w:proofErr w:type="gramStart"/>
      <w:r w:rsidR="006A5C1F">
        <w:rPr>
          <w:rFonts w:ascii="Arial" w:hAnsi="Arial" w:cs="Arial"/>
          <w:sz w:val="24"/>
          <w:szCs w:val="24"/>
        </w:rPr>
        <w:t>induce</w:t>
      </w:r>
      <w:r w:rsidR="006E196C">
        <w:rPr>
          <w:rFonts w:ascii="Arial" w:hAnsi="Arial" w:cs="Arial"/>
          <w:sz w:val="24"/>
          <w:szCs w:val="24"/>
        </w:rPr>
        <w:t>s</w:t>
      </w:r>
      <w:proofErr w:type="gramEnd"/>
      <w:r w:rsidR="006A5C1F">
        <w:rPr>
          <w:rFonts w:ascii="Arial" w:hAnsi="Arial" w:cs="Arial"/>
          <w:sz w:val="24"/>
          <w:szCs w:val="24"/>
        </w:rPr>
        <w:t xml:space="preserve"> a sense of shock. However</w:t>
      </w:r>
      <w:r w:rsidR="00067D80">
        <w:rPr>
          <w:rFonts w:ascii="Arial" w:hAnsi="Arial" w:cs="Arial"/>
          <w:sz w:val="24"/>
          <w:szCs w:val="24"/>
        </w:rPr>
        <w:t>,</w:t>
      </w:r>
      <w:r w:rsidR="006A5C1F">
        <w:rPr>
          <w:rFonts w:ascii="Arial" w:hAnsi="Arial" w:cs="Arial"/>
          <w:sz w:val="24"/>
          <w:szCs w:val="24"/>
        </w:rPr>
        <w:t xml:space="preserve"> the appellant’</w:t>
      </w:r>
      <w:r w:rsidR="00067D80">
        <w:rPr>
          <w:rFonts w:ascii="Arial" w:hAnsi="Arial" w:cs="Arial"/>
          <w:sz w:val="24"/>
          <w:szCs w:val="24"/>
        </w:rPr>
        <w:t>s personal circumsta</w:t>
      </w:r>
      <w:r w:rsidR="006A5C1F">
        <w:rPr>
          <w:rFonts w:ascii="Arial" w:hAnsi="Arial" w:cs="Arial"/>
          <w:sz w:val="24"/>
          <w:szCs w:val="24"/>
        </w:rPr>
        <w:t>nces are</w:t>
      </w:r>
      <w:r w:rsidR="00067D80">
        <w:rPr>
          <w:rFonts w:ascii="Arial" w:hAnsi="Arial" w:cs="Arial"/>
          <w:sz w:val="24"/>
          <w:szCs w:val="24"/>
        </w:rPr>
        <w:t xml:space="preserve"> unexceptional. This case concerns a cruel and callous murder, perpetrated with no purpose other than to steal the deceased’s car and profit from that. The magistrate’s decision on sentence cannot be faulted. </w:t>
      </w:r>
      <w:r w:rsidR="006A5C1F">
        <w:rPr>
          <w:rFonts w:ascii="Arial" w:hAnsi="Arial" w:cs="Arial"/>
          <w:sz w:val="24"/>
          <w:szCs w:val="24"/>
        </w:rPr>
        <w:t xml:space="preserve"> </w:t>
      </w:r>
      <w:r w:rsidR="006A5C1F">
        <w:rPr>
          <w:rFonts w:ascii="Arial" w:hAnsi="Arial" w:cs="Arial"/>
          <w:sz w:val="24"/>
          <w:szCs w:val="24"/>
        </w:rPr>
        <w:tab/>
      </w:r>
    </w:p>
    <w:p w14:paraId="44E2731D" w14:textId="0BCFA56C" w:rsidR="003216F0" w:rsidRDefault="00076C57" w:rsidP="00DD2363">
      <w:pPr>
        <w:spacing w:after="0" w:line="360" w:lineRule="auto"/>
        <w:ind w:left="567" w:hanging="567"/>
        <w:jc w:val="both"/>
        <w:rPr>
          <w:rFonts w:ascii="Arial" w:hAnsi="Arial" w:cs="Arial"/>
          <w:sz w:val="24"/>
          <w:szCs w:val="24"/>
        </w:rPr>
      </w:pPr>
      <w:r>
        <w:rPr>
          <w:rFonts w:ascii="Arial" w:hAnsi="Arial" w:cs="Arial"/>
          <w:sz w:val="24"/>
          <w:szCs w:val="24"/>
        </w:rPr>
        <w:t xml:space="preserve"> </w:t>
      </w:r>
      <w:r w:rsidR="007B4625">
        <w:rPr>
          <w:rFonts w:ascii="Arial" w:hAnsi="Arial" w:cs="Arial"/>
          <w:sz w:val="24"/>
          <w:szCs w:val="24"/>
        </w:rPr>
        <w:t xml:space="preserve"> </w:t>
      </w:r>
      <w:r w:rsidR="0096424C">
        <w:rPr>
          <w:rFonts w:ascii="Arial" w:hAnsi="Arial" w:cs="Arial"/>
          <w:sz w:val="24"/>
          <w:szCs w:val="24"/>
        </w:rPr>
        <w:t xml:space="preserve"> </w:t>
      </w:r>
      <w:r w:rsidR="00902434">
        <w:rPr>
          <w:rFonts w:ascii="Arial" w:hAnsi="Arial" w:cs="Arial"/>
          <w:sz w:val="24"/>
          <w:szCs w:val="24"/>
        </w:rPr>
        <w:t xml:space="preserve"> </w:t>
      </w:r>
      <w:r w:rsidR="00186160">
        <w:rPr>
          <w:rFonts w:ascii="Arial" w:hAnsi="Arial" w:cs="Arial"/>
          <w:sz w:val="24"/>
          <w:szCs w:val="24"/>
        </w:rPr>
        <w:t xml:space="preserve"> </w:t>
      </w:r>
      <w:r w:rsidR="00291D3B">
        <w:rPr>
          <w:rFonts w:ascii="Arial" w:hAnsi="Arial" w:cs="Arial"/>
          <w:sz w:val="24"/>
          <w:szCs w:val="24"/>
        </w:rPr>
        <w:t xml:space="preserve">  </w:t>
      </w:r>
      <w:r w:rsidR="005B7791">
        <w:rPr>
          <w:rFonts w:ascii="Arial" w:hAnsi="Arial" w:cs="Arial"/>
          <w:sz w:val="24"/>
          <w:szCs w:val="24"/>
        </w:rPr>
        <w:t xml:space="preserve"> </w:t>
      </w:r>
      <w:r w:rsidR="000B1EE3">
        <w:rPr>
          <w:rFonts w:ascii="Arial" w:hAnsi="Arial" w:cs="Arial"/>
          <w:sz w:val="24"/>
          <w:szCs w:val="24"/>
        </w:rPr>
        <w:t xml:space="preserve"> </w:t>
      </w:r>
      <w:r w:rsidR="00BE19AD">
        <w:rPr>
          <w:rFonts w:ascii="Arial" w:hAnsi="Arial" w:cs="Arial"/>
          <w:sz w:val="24"/>
          <w:szCs w:val="24"/>
        </w:rPr>
        <w:t xml:space="preserve"> </w:t>
      </w:r>
      <w:r w:rsidR="00FB05CA">
        <w:rPr>
          <w:rFonts w:ascii="Arial" w:hAnsi="Arial" w:cs="Arial"/>
          <w:sz w:val="24"/>
          <w:szCs w:val="24"/>
        </w:rPr>
        <w:t xml:space="preserve"> </w:t>
      </w:r>
    </w:p>
    <w:p w14:paraId="23952D19" w14:textId="3ADA5F61" w:rsidR="00153B7C" w:rsidRPr="003216F0" w:rsidRDefault="00A43ABB" w:rsidP="00DD2363">
      <w:pPr>
        <w:spacing w:after="0" w:line="360" w:lineRule="auto"/>
        <w:jc w:val="both"/>
        <w:rPr>
          <w:rFonts w:ascii="Arial" w:hAnsi="Arial" w:cs="Arial"/>
          <w:sz w:val="24"/>
          <w:szCs w:val="24"/>
        </w:rPr>
      </w:pPr>
      <w:r w:rsidRPr="00087899">
        <w:rPr>
          <w:rFonts w:ascii="Arial" w:hAnsi="Arial" w:cs="Arial"/>
          <w:b/>
          <w:sz w:val="24"/>
          <w:szCs w:val="24"/>
        </w:rPr>
        <w:t xml:space="preserve">The constitution of the </w:t>
      </w:r>
      <w:r w:rsidR="00087899" w:rsidRPr="00087899">
        <w:rPr>
          <w:rFonts w:ascii="Arial" w:hAnsi="Arial" w:cs="Arial"/>
          <w:b/>
          <w:sz w:val="24"/>
          <w:szCs w:val="24"/>
        </w:rPr>
        <w:t>court:</w:t>
      </w:r>
      <w:r w:rsidRPr="00087899">
        <w:rPr>
          <w:rFonts w:ascii="Arial" w:hAnsi="Arial" w:cs="Arial"/>
          <w:b/>
          <w:sz w:val="24"/>
          <w:szCs w:val="24"/>
        </w:rPr>
        <w:t xml:space="preserve"> </w:t>
      </w:r>
      <w:r w:rsidR="00087899">
        <w:rPr>
          <w:rFonts w:ascii="Arial" w:hAnsi="Arial" w:cs="Arial"/>
          <w:b/>
          <w:sz w:val="24"/>
          <w:szCs w:val="24"/>
        </w:rPr>
        <w:t>s</w:t>
      </w:r>
      <w:r w:rsidRPr="00087899">
        <w:rPr>
          <w:rFonts w:ascii="Arial" w:hAnsi="Arial" w:cs="Arial"/>
          <w:b/>
          <w:sz w:val="24"/>
          <w:szCs w:val="24"/>
        </w:rPr>
        <w:t xml:space="preserve"> 93</w:t>
      </w:r>
      <w:r w:rsidRPr="00087899">
        <w:rPr>
          <w:rFonts w:ascii="Arial" w:hAnsi="Arial" w:cs="Arial"/>
          <w:b/>
          <w:i/>
          <w:sz w:val="24"/>
          <w:szCs w:val="24"/>
        </w:rPr>
        <w:t>ter</w:t>
      </w:r>
      <w:r w:rsidR="003216F0" w:rsidRPr="00087899">
        <w:rPr>
          <w:rFonts w:ascii="Arial" w:hAnsi="Arial" w:cs="Arial"/>
          <w:i/>
          <w:sz w:val="24"/>
          <w:szCs w:val="24"/>
        </w:rPr>
        <w:t xml:space="preserve"> </w:t>
      </w:r>
      <w:r w:rsidR="00045BBF" w:rsidRPr="00087899">
        <w:rPr>
          <w:rFonts w:ascii="Arial" w:hAnsi="Arial" w:cs="Arial"/>
          <w:i/>
          <w:sz w:val="24"/>
          <w:szCs w:val="24"/>
        </w:rPr>
        <w:t xml:space="preserve"> </w:t>
      </w:r>
      <w:r w:rsidR="00A05366" w:rsidRPr="00087899">
        <w:rPr>
          <w:rFonts w:ascii="Arial" w:hAnsi="Arial" w:cs="Arial"/>
          <w:sz w:val="24"/>
          <w:szCs w:val="24"/>
        </w:rPr>
        <w:t xml:space="preserve"> </w:t>
      </w:r>
    </w:p>
    <w:p w14:paraId="7FF679F7" w14:textId="5FB8D061" w:rsidR="0052368A" w:rsidRPr="00281B35" w:rsidRDefault="00B56048" w:rsidP="00087899">
      <w:pPr>
        <w:spacing w:after="0" w:line="360" w:lineRule="auto"/>
        <w:jc w:val="both"/>
        <w:rPr>
          <w:rFonts w:ascii="Arial" w:hAnsi="Arial" w:cs="Arial"/>
          <w:sz w:val="24"/>
          <w:szCs w:val="24"/>
        </w:rPr>
      </w:pPr>
      <w:r>
        <w:rPr>
          <w:rFonts w:ascii="Arial" w:hAnsi="Arial" w:cs="Arial"/>
          <w:sz w:val="24"/>
          <w:szCs w:val="24"/>
        </w:rPr>
        <w:t>[8</w:t>
      </w:r>
      <w:r w:rsidR="00C949AE">
        <w:rPr>
          <w:rFonts w:ascii="Arial" w:hAnsi="Arial" w:cs="Arial"/>
          <w:sz w:val="24"/>
          <w:szCs w:val="24"/>
        </w:rPr>
        <w:t>]</w:t>
      </w:r>
      <w:r w:rsidR="00991E50">
        <w:rPr>
          <w:rFonts w:ascii="Arial" w:hAnsi="Arial" w:cs="Arial"/>
          <w:sz w:val="24"/>
          <w:szCs w:val="24"/>
        </w:rPr>
        <w:t xml:space="preserve">     </w:t>
      </w:r>
      <w:r w:rsidR="00A43ABB">
        <w:rPr>
          <w:rFonts w:ascii="Arial" w:hAnsi="Arial" w:cs="Arial"/>
          <w:sz w:val="24"/>
          <w:szCs w:val="24"/>
        </w:rPr>
        <w:t>T</w:t>
      </w:r>
      <w:r w:rsidR="007451E2" w:rsidRPr="00281B35">
        <w:rPr>
          <w:rFonts w:ascii="Arial" w:hAnsi="Arial" w:cs="Arial"/>
          <w:sz w:val="24"/>
          <w:szCs w:val="24"/>
        </w:rPr>
        <w:t xml:space="preserve">he </w:t>
      </w:r>
      <w:r w:rsidR="00FB719E">
        <w:rPr>
          <w:rFonts w:ascii="Arial" w:hAnsi="Arial" w:cs="Arial"/>
          <w:sz w:val="24"/>
          <w:szCs w:val="24"/>
        </w:rPr>
        <w:t>appellant</w:t>
      </w:r>
      <w:r w:rsidR="00DB46E1" w:rsidRPr="00281B35">
        <w:rPr>
          <w:rFonts w:ascii="Arial" w:hAnsi="Arial" w:cs="Arial"/>
          <w:sz w:val="24"/>
          <w:szCs w:val="24"/>
        </w:rPr>
        <w:t xml:space="preserve"> </w:t>
      </w:r>
      <w:r w:rsidR="006E196C">
        <w:rPr>
          <w:rFonts w:ascii="Arial" w:hAnsi="Arial" w:cs="Arial"/>
          <w:sz w:val="24"/>
          <w:szCs w:val="24"/>
        </w:rPr>
        <w:t xml:space="preserve">submits that the </w:t>
      </w:r>
      <w:r w:rsidR="002F658B" w:rsidRPr="00281B35">
        <w:rPr>
          <w:rFonts w:ascii="Arial" w:hAnsi="Arial" w:cs="Arial"/>
          <w:sz w:val="24"/>
          <w:szCs w:val="24"/>
        </w:rPr>
        <w:t xml:space="preserve">failure by </w:t>
      </w:r>
      <w:r w:rsidR="00FB719E">
        <w:rPr>
          <w:rFonts w:ascii="Arial" w:hAnsi="Arial" w:cs="Arial"/>
          <w:sz w:val="24"/>
          <w:szCs w:val="24"/>
        </w:rPr>
        <w:t>the m</w:t>
      </w:r>
      <w:r w:rsidR="00362DCA" w:rsidRPr="00281B35">
        <w:rPr>
          <w:rFonts w:ascii="Arial" w:hAnsi="Arial" w:cs="Arial"/>
          <w:sz w:val="24"/>
          <w:szCs w:val="24"/>
        </w:rPr>
        <w:t xml:space="preserve">agistrate </w:t>
      </w:r>
      <w:r w:rsidR="00FB719E">
        <w:rPr>
          <w:rFonts w:ascii="Arial" w:hAnsi="Arial" w:cs="Arial"/>
          <w:sz w:val="24"/>
          <w:szCs w:val="24"/>
        </w:rPr>
        <w:t>in the c</w:t>
      </w:r>
      <w:r w:rsidR="009728E2" w:rsidRPr="00281B35">
        <w:rPr>
          <w:rFonts w:ascii="Arial" w:hAnsi="Arial" w:cs="Arial"/>
          <w:sz w:val="24"/>
          <w:szCs w:val="24"/>
        </w:rPr>
        <w:t xml:space="preserve">ourt a quo to invoke </w:t>
      </w:r>
      <w:r w:rsidR="00003592" w:rsidRPr="00281B35">
        <w:rPr>
          <w:rFonts w:ascii="Arial" w:hAnsi="Arial" w:cs="Arial"/>
          <w:sz w:val="24"/>
          <w:szCs w:val="24"/>
        </w:rPr>
        <w:t xml:space="preserve">the provisions of </w:t>
      </w:r>
      <w:r w:rsidR="00087899">
        <w:rPr>
          <w:rFonts w:ascii="Arial" w:hAnsi="Arial" w:cs="Arial"/>
          <w:bCs/>
          <w:sz w:val="24"/>
          <w:szCs w:val="24"/>
        </w:rPr>
        <w:t xml:space="preserve">s </w:t>
      </w:r>
      <w:r w:rsidR="002B06E0" w:rsidRPr="00087899">
        <w:rPr>
          <w:rFonts w:ascii="Arial" w:hAnsi="Arial" w:cs="Arial"/>
          <w:bCs/>
          <w:sz w:val="24"/>
          <w:szCs w:val="24"/>
        </w:rPr>
        <w:t>93</w:t>
      </w:r>
      <w:r w:rsidR="002B06E0" w:rsidRPr="00087899">
        <w:rPr>
          <w:rFonts w:ascii="Arial" w:hAnsi="Arial" w:cs="Arial"/>
          <w:bCs/>
          <w:i/>
          <w:sz w:val="24"/>
          <w:szCs w:val="24"/>
        </w:rPr>
        <w:t>ter</w:t>
      </w:r>
      <w:r w:rsidR="002B06E0" w:rsidRPr="00087899">
        <w:rPr>
          <w:rFonts w:ascii="Arial" w:hAnsi="Arial" w:cs="Arial"/>
          <w:bCs/>
          <w:sz w:val="24"/>
          <w:szCs w:val="24"/>
        </w:rPr>
        <w:t xml:space="preserve"> of the Magistrates</w:t>
      </w:r>
      <w:r w:rsidR="00662F80" w:rsidRPr="00087899">
        <w:rPr>
          <w:rFonts w:ascii="Arial" w:hAnsi="Arial" w:cs="Arial"/>
          <w:bCs/>
          <w:sz w:val="24"/>
          <w:szCs w:val="24"/>
        </w:rPr>
        <w:t>’</w:t>
      </w:r>
      <w:r w:rsidR="002B06E0" w:rsidRPr="00087899">
        <w:rPr>
          <w:rFonts w:ascii="Arial" w:hAnsi="Arial" w:cs="Arial"/>
          <w:bCs/>
          <w:sz w:val="24"/>
          <w:szCs w:val="24"/>
        </w:rPr>
        <w:t xml:space="preserve"> Court</w:t>
      </w:r>
      <w:r w:rsidR="006E196C">
        <w:rPr>
          <w:rFonts w:ascii="Arial" w:hAnsi="Arial" w:cs="Arial"/>
          <w:bCs/>
          <w:sz w:val="24"/>
          <w:szCs w:val="24"/>
        </w:rPr>
        <w:t>s</w:t>
      </w:r>
      <w:r w:rsidR="00662F80" w:rsidRPr="00087899">
        <w:rPr>
          <w:rFonts w:ascii="Arial" w:hAnsi="Arial" w:cs="Arial"/>
          <w:bCs/>
          <w:sz w:val="24"/>
          <w:szCs w:val="24"/>
        </w:rPr>
        <w:t xml:space="preserve"> Act </w:t>
      </w:r>
      <w:r w:rsidR="009F6169" w:rsidRPr="00281B35">
        <w:rPr>
          <w:rFonts w:ascii="Arial" w:hAnsi="Arial" w:cs="Arial"/>
          <w:sz w:val="24"/>
          <w:szCs w:val="24"/>
        </w:rPr>
        <w:t xml:space="preserve">constituted a gross irregularity </w:t>
      </w:r>
      <w:r w:rsidR="007230C7" w:rsidRPr="00281B35">
        <w:rPr>
          <w:rFonts w:ascii="Arial" w:hAnsi="Arial" w:cs="Arial"/>
          <w:sz w:val="24"/>
          <w:szCs w:val="24"/>
        </w:rPr>
        <w:t>which v</w:t>
      </w:r>
      <w:r w:rsidR="00FB719E">
        <w:rPr>
          <w:rFonts w:ascii="Arial" w:hAnsi="Arial" w:cs="Arial"/>
          <w:sz w:val="24"/>
          <w:szCs w:val="24"/>
        </w:rPr>
        <w:t>itiate</w:t>
      </w:r>
      <w:r w:rsidR="006E196C">
        <w:rPr>
          <w:rFonts w:ascii="Arial" w:hAnsi="Arial" w:cs="Arial"/>
          <w:sz w:val="24"/>
          <w:szCs w:val="24"/>
        </w:rPr>
        <w:t>d the proceedings as the C</w:t>
      </w:r>
      <w:r w:rsidR="007230C7" w:rsidRPr="00281B35">
        <w:rPr>
          <w:rFonts w:ascii="Arial" w:hAnsi="Arial" w:cs="Arial"/>
          <w:sz w:val="24"/>
          <w:szCs w:val="24"/>
        </w:rPr>
        <w:t xml:space="preserve">ourt </w:t>
      </w:r>
      <w:r w:rsidR="007230C7" w:rsidRPr="006E196C">
        <w:rPr>
          <w:rFonts w:ascii="Arial" w:hAnsi="Arial" w:cs="Arial"/>
          <w:i/>
          <w:sz w:val="24"/>
          <w:szCs w:val="24"/>
        </w:rPr>
        <w:t>a quo</w:t>
      </w:r>
      <w:r w:rsidR="007230C7" w:rsidRPr="00281B35">
        <w:rPr>
          <w:rFonts w:ascii="Arial" w:hAnsi="Arial" w:cs="Arial"/>
          <w:sz w:val="24"/>
          <w:szCs w:val="24"/>
        </w:rPr>
        <w:t xml:space="preserve"> was not properly </w:t>
      </w:r>
      <w:r w:rsidR="00A77D41" w:rsidRPr="00281B35">
        <w:rPr>
          <w:rFonts w:ascii="Arial" w:hAnsi="Arial" w:cs="Arial"/>
          <w:sz w:val="24"/>
          <w:szCs w:val="24"/>
        </w:rPr>
        <w:t xml:space="preserve">constituted. </w:t>
      </w:r>
      <w:r w:rsidR="0052368A" w:rsidRPr="00281B35">
        <w:rPr>
          <w:rFonts w:ascii="Arial" w:hAnsi="Arial" w:cs="Arial"/>
          <w:sz w:val="24"/>
          <w:szCs w:val="24"/>
        </w:rPr>
        <w:t xml:space="preserve">Based on these grounds </w:t>
      </w:r>
      <w:r w:rsidR="00A66E1C" w:rsidRPr="00281B35">
        <w:rPr>
          <w:rFonts w:ascii="Arial" w:hAnsi="Arial" w:cs="Arial"/>
          <w:sz w:val="24"/>
          <w:szCs w:val="24"/>
        </w:rPr>
        <w:t xml:space="preserve">the </w:t>
      </w:r>
      <w:r w:rsidR="00FB719E">
        <w:rPr>
          <w:rFonts w:ascii="Arial" w:hAnsi="Arial" w:cs="Arial"/>
          <w:sz w:val="24"/>
          <w:szCs w:val="24"/>
        </w:rPr>
        <w:t>appellant</w:t>
      </w:r>
      <w:r w:rsidR="00A66E1C" w:rsidRPr="00281B35">
        <w:rPr>
          <w:rFonts w:ascii="Arial" w:hAnsi="Arial" w:cs="Arial"/>
          <w:sz w:val="24"/>
          <w:szCs w:val="24"/>
        </w:rPr>
        <w:t xml:space="preserve"> submits that </w:t>
      </w:r>
    </w:p>
    <w:p w14:paraId="68BDB00F" w14:textId="0C8315B4" w:rsidR="00A41670" w:rsidRPr="00087899"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43ABB" w:rsidRPr="00087899">
        <w:rPr>
          <w:rFonts w:ascii="Arial" w:hAnsi="Arial" w:cs="Arial"/>
          <w:sz w:val="24"/>
          <w:szCs w:val="24"/>
        </w:rPr>
        <w:t>i</w:t>
      </w:r>
      <w:r w:rsidR="002C5DF2" w:rsidRPr="00087899">
        <w:rPr>
          <w:rFonts w:ascii="Arial" w:hAnsi="Arial" w:cs="Arial"/>
          <w:sz w:val="24"/>
          <w:szCs w:val="24"/>
        </w:rPr>
        <w:t xml:space="preserve">t is clear </w:t>
      </w:r>
      <w:r w:rsidR="0063349F" w:rsidRPr="00087899">
        <w:rPr>
          <w:rFonts w:ascii="Arial" w:hAnsi="Arial" w:cs="Arial"/>
          <w:sz w:val="24"/>
          <w:szCs w:val="24"/>
        </w:rPr>
        <w:t xml:space="preserve">from </w:t>
      </w:r>
      <w:r w:rsidR="00FB719E" w:rsidRPr="00087899">
        <w:rPr>
          <w:rFonts w:ascii="Arial" w:hAnsi="Arial" w:cs="Arial"/>
          <w:sz w:val="24"/>
          <w:szCs w:val="24"/>
        </w:rPr>
        <w:t xml:space="preserve">the </w:t>
      </w:r>
      <w:r w:rsidR="00C8163F" w:rsidRPr="00087899">
        <w:rPr>
          <w:rFonts w:ascii="Arial" w:hAnsi="Arial" w:cs="Arial"/>
          <w:sz w:val="24"/>
          <w:szCs w:val="24"/>
        </w:rPr>
        <w:t>record</w:t>
      </w:r>
      <w:r w:rsidR="0063349F" w:rsidRPr="00087899">
        <w:rPr>
          <w:rFonts w:ascii="Arial" w:hAnsi="Arial" w:cs="Arial"/>
          <w:sz w:val="24"/>
          <w:szCs w:val="24"/>
        </w:rPr>
        <w:t xml:space="preserve"> and the </w:t>
      </w:r>
      <w:r w:rsidR="00FB719E" w:rsidRPr="00087899">
        <w:rPr>
          <w:rFonts w:ascii="Arial" w:hAnsi="Arial" w:cs="Arial"/>
          <w:sz w:val="24"/>
          <w:szCs w:val="24"/>
        </w:rPr>
        <w:t>c</w:t>
      </w:r>
      <w:r w:rsidR="0063349F" w:rsidRPr="00087899">
        <w:rPr>
          <w:rFonts w:ascii="Arial" w:hAnsi="Arial" w:cs="Arial"/>
          <w:sz w:val="24"/>
          <w:szCs w:val="24"/>
        </w:rPr>
        <w:t>har</w:t>
      </w:r>
      <w:r w:rsidR="003C6BD9" w:rsidRPr="00087899">
        <w:rPr>
          <w:rFonts w:ascii="Arial" w:hAnsi="Arial" w:cs="Arial"/>
          <w:sz w:val="24"/>
          <w:szCs w:val="24"/>
        </w:rPr>
        <w:t xml:space="preserve">ge </w:t>
      </w:r>
      <w:r w:rsidR="00FB719E" w:rsidRPr="00087899">
        <w:rPr>
          <w:rFonts w:ascii="Arial" w:hAnsi="Arial" w:cs="Arial"/>
          <w:sz w:val="24"/>
          <w:szCs w:val="24"/>
        </w:rPr>
        <w:t>s</w:t>
      </w:r>
      <w:r w:rsidR="0063349F" w:rsidRPr="00087899">
        <w:rPr>
          <w:rFonts w:ascii="Arial" w:hAnsi="Arial" w:cs="Arial"/>
          <w:sz w:val="24"/>
          <w:szCs w:val="24"/>
        </w:rPr>
        <w:t>h</w:t>
      </w:r>
      <w:r w:rsidR="003C6BD9" w:rsidRPr="00087899">
        <w:rPr>
          <w:rFonts w:ascii="Arial" w:hAnsi="Arial" w:cs="Arial"/>
          <w:sz w:val="24"/>
          <w:szCs w:val="24"/>
        </w:rPr>
        <w:t xml:space="preserve">eet </w:t>
      </w:r>
      <w:r w:rsidR="002C5DF2" w:rsidRPr="00087899">
        <w:rPr>
          <w:rFonts w:ascii="Arial" w:hAnsi="Arial" w:cs="Arial"/>
          <w:sz w:val="24"/>
          <w:szCs w:val="24"/>
        </w:rPr>
        <w:t xml:space="preserve">that </w:t>
      </w:r>
      <w:r w:rsidR="0063349F" w:rsidRPr="00087899">
        <w:rPr>
          <w:rFonts w:ascii="Arial" w:hAnsi="Arial" w:cs="Arial"/>
          <w:sz w:val="24"/>
          <w:szCs w:val="24"/>
        </w:rPr>
        <w:t xml:space="preserve">the </w:t>
      </w:r>
      <w:r w:rsidR="00FB719E" w:rsidRPr="00087899">
        <w:rPr>
          <w:rFonts w:ascii="Arial" w:hAnsi="Arial" w:cs="Arial"/>
          <w:sz w:val="24"/>
          <w:szCs w:val="24"/>
        </w:rPr>
        <w:t>appellant</w:t>
      </w:r>
      <w:r w:rsidR="003C6BD9" w:rsidRPr="00087899">
        <w:rPr>
          <w:rFonts w:ascii="Arial" w:hAnsi="Arial" w:cs="Arial"/>
          <w:sz w:val="24"/>
          <w:szCs w:val="24"/>
        </w:rPr>
        <w:t xml:space="preserve"> was never </w:t>
      </w:r>
      <w:r w:rsidR="00F50369" w:rsidRPr="00087899">
        <w:rPr>
          <w:rFonts w:ascii="Arial" w:hAnsi="Arial" w:cs="Arial"/>
          <w:sz w:val="24"/>
          <w:szCs w:val="24"/>
        </w:rPr>
        <w:t xml:space="preserve">engaged in terms of </w:t>
      </w:r>
      <w:r>
        <w:rPr>
          <w:rFonts w:ascii="Arial" w:hAnsi="Arial" w:cs="Arial"/>
          <w:sz w:val="24"/>
          <w:szCs w:val="24"/>
        </w:rPr>
        <w:t>s</w:t>
      </w:r>
      <w:r w:rsidR="00F50369" w:rsidRPr="00087899">
        <w:rPr>
          <w:rFonts w:ascii="Arial" w:hAnsi="Arial" w:cs="Arial"/>
          <w:sz w:val="24"/>
          <w:szCs w:val="24"/>
        </w:rPr>
        <w:t xml:space="preserve"> 93</w:t>
      </w:r>
      <w:r w:rsidR="00F50369" w:rsidRPr="00087899">
        <w:rPr>
          <w:rFonts w:ascii="Arial" w:hAnsi="Arial" w:cs="Arial"/>
          <w:i/>
          <w:sz w:val="24"/>
          <w:szCs w:val="24"/>
        </w:rPr>
        <w:t>ter</w:t>
      </w:r>
      <w:r w:rsidR="00F53027" w:rsidRPr="00087899">
        <w:rPr>
          <w:rFonts w:ascii="Arial" w:hAnsi="Arial" w:cs="Arial"/>
          <w:sz w:val="24"/>
          <w:szCs w:val="24"/>
        </w:rPr>
        <w:t>; and that</w:t>
      </w:r>
    </w:p>
    <w:p w14:paraId="57F76FB6" w14:textId="48609170" w:rsidR="008960B8" w:rsidRPr="00A41670"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A43ABB">
        <w:rPr>
          <w:rFonts w:ascii="Arial" w:hAnsi="Arial" w:cs="Arial"/>
          <w:sz w:val="24"/>
          <w:szCs w:val="24"/>
        </w:rPr>
        <w:t>s</w:t>
      </w:r>
      <w:r w:rsidR="00293167" w:rsidRPr="00A41670">
        <w:rPr>
          <w:rFonts w:ascii="Arial" w:hAnsi="Arial" w:cs="Arial"/>
          <w:sz w:val="24"/>
          <w:szCs w:val="24"/>
        </w:rPr>
        <w:t xml:space="preserve"> 93</w:t>
      </w:r>
      <w:r w:rsidR="00293167" w:rsidRPr="00087899">
        <w:rPr>
          <w:rFonts w:ascii="Arial" w:hAnsi="Arial" w:cs="Arial"/>
          <w:i/>
          <w:sz w:val="24"/>
          <w:szCs w:val="24"/>
        </w:rPr>
        <w:t>ter</w:t>
      </w:r>
      <w:r w:rsidR="00293167" w:rsidRPr="00A41670">
        <w:rPr>
          <w:rFonts w:ascii="Arial" w:hAnsi="Arial" w:cs="Arial"/>
          <w:sz w:val="24"/>
          <w:szCs w:val="24"/>
        </w:rPr>
        <w:t xml:space="preserve"> creates a mandatory obliga</w:t>
      </w:r>
      <w:r w:rsidR="0087486F" w:rsidRPr="00A41670">
        <w:rPr>
          <w:rFonts w:ascii="Arial" w:hAnsi="Arial" w:cs="Arial"/>
          <w:sz w:val="24"/>
          <w:szCs w:val="24"/>
        </w:rPr>
        <w:t>tion</w:t>
      </w:r>
      <w:r w:rsidR="00FB719E">
        <w:rPr>
          <w:rFonts w:ascii="Arial" w:hAnsi="Arial" w:cs="Arial"/>
          <w:sz w:val="24"/>
          <w:szCs w:val="24"/>
        </w:rPr>
        <w:t xml:space="preserve"> on the presiding officer of a m</w:t>
      </w:r>
      <w:r w:rsidR="0087486F" w:rsidRPr="00A41670">
        <w:rPr>
          <w:rFonts w:ascii="Arial" w:hAnsi="Arial" w:cs="Arial"/>
          <w:sz w:val="24"/>
          <w:szCs w:val="24"/>
        </w:rPr>
        <w:t xml:space="preserve">urder trial to canvass </w:t>
      </w:r>
      <w:r w:rsidR="00F6746A" w:rsidRPr="00A41670">
        <w:rPr>
          <w:rFonts w:ascii="Arial" w:hAnsi="Arial" w:cs="Arial"/>
          <w:sz w:val="24"/>
          <w:szCs w:val="24"/>
        </w:rPr>
        <w:t xml:space="preserve">the issue of </w:t>
      </w:r>
      <w:r w:rsidR="00FB719E">
        <w:rPr>
          <w:rFonts w:ascii="Arial" w:hAnsi="Arial" w:cs="Arial"/>
          <w:sz w:val="24"/>
          <w:szCs w:val="24"/>
        </w:rPr>
        <w:t>a</w:t>
      </w:r>
      <w:r w:rsidR="00F6746A" w:rsidRPr="00A41670">
        <w:rPr>
          <w:rFonts w:ascii="Arial" w:hAnsi="Arial" w:cs="Arial"/>
          <w:sz w:val="24"/>
          <w:szCs w:val="24"/>
        </w:rPr>
        <w:t xml:space="preserve">ssessors with the </w:t>
      </w:r>
      <w:r w:rsidR="00FB719E">
        <w:rPr>
          <w:rFonts w:ascii="Arial" w:hAnsi="Arial" w:cs="Arial"/>
          <w:sz w:val="24"/>
          <w:szCs w:val="24"/>
        </w:rPr>
        <w:t>accused</w:t>
      </w:r>
      <w:r w:rsidR="00F6746A" w:rsidRPr="00A41670">
        <w:rPr>
          <w:rFonts w:ascii="Arial" w:hAnsi="Arial" w:cs="Arial"/>
          <w:sz w:val="24"/>
          <w:szCs w:val="24"/>
        </w:rPr>
        <w:t xml:space="preserve">. </w:t>
      </w:r>
      <w:r w:rsidR="00112FD4" w:rsidRPr="00A41670">
        <w:rPr>
          <w:rFonts w:ascii="Arial" w:hAnsi="Arial" w:cs="Arial"/>
          <w:sz w:val="24"/>
          <w:szCs w:val="24"/>
        </w:rPr>
        <w:t>The presiding officer in thi</w:t>
      </w:r>
      <w:r w:rsidR="00A43ABB">
        <w:rPr>
          <w:rFonts w:ascii="Arial" w:hAnsi="Arial" w:cs="Arial"/>
          <w:sz w:val="24"/>
          <w:szCs w:val="24"/>
        </w:rPr>
        <w:t>s case failed to comply with that</w:t>
      </w:r>
      <w:r w:rsidR="00112FD4" w:rsidRPr="00A41670">
        <w:rPr>
          <w:rFonts w:ascii="Arial" w:hAnsi="Arial" w:cs="Arial"/>
          <w:sz w:val="24"/>
          <w:szCs w:val="24"/>
        </w:rPr>
        <w:t xml:space="preserve"> statutory </w:t>
      </w:r>
      <w:r w:rsidR="00C74745" w:rsidRPr="00A41670">
        <w:rPr>
          <w:rFonts w:ascii="Arial" w:hAnsi="Arial" w:cs="Arial"/>
          <w:sz w:val="24"/>
          <w:szCs w:val="24"/>
        </w:rPr>
        <w:t xml:space="preserve">duty. </w:t>
      </w:r>
    </w:p>
    <w:p w14:paraId="15124969" w14:textId="77777777" w:rsidR="00D57A49" w:rsidRPr="007E0D8C" w:rsidRDefault="00D57A49" w:rsidP="00DD2363">
      <w:pPr>
        <w:spacing w:after="0" w:line="360" w:lineRule="auto"/>
        <w:jc w:val="both"/>
        <w:rPr>
          <w:rFonts w:ascii="Arial" w:hAnsi="Arial" w:cs="Arial"/>
          <w:sz w:val="24"/>
          <w:szCs w:val="24"/>
        </w:rPr>
      </w:pPr>
    </w:p>
    <w:p w14:paraId="1F5F7A4C" w14:textId="083922DC" w:rsidR="00C240D7" w:rsidRPr="00BD0CB2" w:rsidRDefault="003F73C2" w:rsidP="00087899">
      <w:pPr>
        <w:spacing w:after="0" w:line="360" w:lineRule="auto"/>
        <w:jc w:val="both"/>
        <w:rPr>
          <w:rFonts w:ascii="Arial" w:hAnsi="Arial" w:cs="Arial"/>
          <w:sz w:val="24"/>
          <w:szCs w:val="24"/>
        </w:rPr>
      </w:pPr>
      <w:r>
        <w:rPr>
          <w:rFonts w:ascii="Arial" w:hAnsi="Arial" w:cs="Arial"/>
          <w:sz w:val="24"/>
          <w:szCs w:val="24"/>
        </w:rPr>
        <w:t>[9</w:t>
      </w:r>
      <w:r w:rsidR="00BD0CB2">
        <w:rPr>
          <w:rFonts w:ascii="Arial" w:hAnsi="Arial" w:cs="Arial"/>
          <w:sz w:val="24"/>
          <w:szCs w:val="24"/>
        </w:rPr>
        <w:t>]</w:t>
      </w:r>
      <w:r w:rsidR="00567FAF">
        <w:rPr>
          <w:rFonts w:ascii="Arial" w:hAnsi="Arial" w:cs="Arial"/>
          <w:sz w:val="24"/>
          <w:szCs w:val="24"/>
        </w:rPr>
        <w:tab/>
      </w:r>
      <w:r w:rsidR="00A43ABB">
        <w:rPr>
          <w:rFonts w:ascii="Arial" w:hAnsi="Arial" w:cs="Arial"/>
          <w:sz w:val="24"/>
          <w:szCs w:val="24"/>
        </w:rPr>
        <w:t>Subsection (1) of</w:t>
      </w:r>
      <w:r w:rsidR="008B6F75" w:rsidRPr="00BD0CB2">
        <w:rPr>
          <w:rFonts w:ascii="Arial" w:hAnsi="Arial" w:cs="Arial"/>
          <w:sz w:val="24"/>
          <w:szCs w:val="24"/>
        </w:rPr>
        <w:t xml:space="preserve"> </w:t>
      </w:r>
      <w:r w:rsidR="00087899">
        <w:rPr>
          <w:rFonts w:ascii="Arial" w:hAnsi="Arial" w:cs="Arial"/>
          <w:sz w:val="24"/>
          <w:szCs w:val="24"/>
        </w:rPr>
        <w:t xml:space="preserve">s </w:t>
      </w:r>
      <w:r w:rsidR="00A43ABB">
        <w:rPr>
          <w:rFonts w:ascii="Arial" w:hAnsi="Arial" w:cs="Arial"/>
          <w:sz w:val="24"/>
          <w:szCs w:val="24"/>
        </w:rPr>
        <w:t>93</w:t>
      </w:r>
      <w:r w:rsidR="00A43ABB" w:rsidRPr="00087899">
        <w:rPr>
          <w:rFonts w:ascii="Arial" w:hAnsi="Arial" w:cs="Arial"/>
          <w:i/>
          <w:sz w:val="24"/>
          <w:szCs w:val="24"/>
        </w:rPr>
        <w:t>ter</w:t>
      </w:r>
      <w:r w:rsidR="00C8163F">
        <w:rPr>
          <w:rFonts w:ascii="Arial" w:hAnsi="Arial" w:cs="Arial"/>
          <w:sz w:val="24"/>
          <w:szCs w:val="24"/>
        </w:rPr>
        <w:t xml:space="preserve"> reads as follows:</w:t>
      </w:r>
    </w:p>
    <w:p w14:paraId="1A33CC84" w14:textId="3920BB00" w:rsidR="0034419F" w:rsidRPr="00087899" w:rsidRDefault="00087899" w:rsidP="00DD2363">
      <w:pPr>
        <w:spacing w:after="0" w:line="360" w:lineRule="auto"/>
        <w:ind w:left="720"/>
        <w:jc w:val="both"/>
        <w:rPr>
          <w:rFonts w:ascii="Arial" w:hAnsi="Arial" w:cs="Arial"/>
        </w:rPr>
      </w:pPr>
      <w:r>
        <w:rPr>
          <w:rFonts w:ascii="Arial" w:hAnsi="Arial" w:cs="Arial"/>
        </w:rPr>
        <w:t>‘</w:t>
      </w:r>
      <w:r w:rsidR="007D11B7" w:rsidRPr="00087899">
        <w:rPr>
          <w:rFonts w:ascii="Arial" w:hAnsi="Arial" w:cs="Arial"/>
        </w:rPr>
        <w:t xml:space="preserve">The </w:t>
      </w:r>
      <w:r w:rsidR="00C27156" w:rsidRPr="00087899">
        <w:rPr>
          <w:rFonts w:ascii="Arial" w:hAnsi="Arial" w:cs="Arial"/>
        </w:rPr>
        <w:t xml:space="preserve">judicial </w:t>
      </w:r>
      <w:r w:rsidR="007D11B7" w:rsidRPr="00087899">
        <w:rPr>
          <w:rFonts w:ascii="Arial" w:hAnsi="Arial" w:cs="Arial"/>
        </w:rPr>
        <w:t xml:space="preserve">officer </w:t>
      </w:r>
      <w:r w:rsidR="006E196C">
        <w:rPr>
          <w:rFonts w:ascii="Arial" w:hAnsi="Arial" w:cs="Arial"/>
        </w:rPr>
        <w:t xml:space="preserve">presiding </w:t>
      </w:r>
      <w:r w:rsidR="007D11B7" w:rsidRPr="00087899">
        <w:rPr>
          <w:rFonts w:ascii="Arial" w:hAnsi="Arial" w:cs="Arial"/>
        </w:rPr>
        <w:t xml:space="preserve">at any </w:t>
      </w:r>
      <w:r w:rsidR="00A6240A" w:rsidRPr="00087899">
        <w:rPr>
          <w:rFonts w:ascii="Arial" w:hAnsi="Arial" w:cs="Arial"/>
        </w:rPr>
        <w:t xml:space="preserve">trial may, if he deems it expedient </w:t>
      </w:r>
      <w:r w:rsidR="007902E1" w:rsidRPr="00087899">
        <w:rPr>
          <w:rFonts w:ascii="Arial" w:hAnsi="Arial" w:cs="Arial"/>
        </w:rPr>
        <w:t xml:space="preserve">for the administration of justice </w:t>
      </w:r>
      <w:r w:rsidR="0034419F" w:rsidRPr="00087899">
        <w:rPr>
          <w:rFonts w:ascii="Arial" w:hAnsi="Arial" w:cs="Arial"/>
        </w:rPr>
        <w:t>–</w:t>
      </w:r>
      <w:r w:rsidR="007902E1" w:rsidRPr="00087899">
        <w:rPr>
          <w:rFonts w:ascii="Arial" w:hAnsi="Arial" w:cs="Arial"/>
        </w:rPr>
        <w:t xml:space="preserve"> </w:t>
      </w:r>
    </w:p>
    <w:p w14:paraId="4EBA555F" w14:textId="3E7A6B01" w:rsidR="00A62039" w:rsidRPr="00087899" w:rsidRDefault="00A62039" w:rsidP="00DD2363">
      <w:pPr>
        <w:pStyle w:val="ListParagraph"/>
        <w:numPr>
          <w:ilvl w:val="0"/>
          <w:numId w:val="2"/>
        </w:numPr>
        <w:spacing w:after="0" w:line="360" w:lineRule="auto"/>
        <w:ind w:left="1418" w:hanging="709"/>
        <w:jc w:val="both"/>
        <w:rPr>
          <w:rFonts w:ascii="Arial" w:hAnsi="Arial" w:cs="Arial"/>
        </w:rPr>
      </w:pPr>
      <w:r w:rsidRPr="00087899">
        <w:rPr>
          <w:rFonts w:ascii="Arial" w:hAnsi="Arial" w:cs="Arial"/>
          <w:iCs/>
        </w:rPr>
        <w:t>b</w:t>
      </w:r>
      <w:r w:rsidR="0034419F" w:rsidRPr="00087899">
        <w:rPr>
          <w:rFonts w:ascii="Arial" w:hAnsi="Arial" w:cs="Arial"/>
          <w:iCs/>
        </w:rPr>
        <w:t xml:space="preserve">efore any evidence has been led; </w:t>
      </w:r>
      <w:r w:rsidRPr="00087899">
        <w:rPr>
          <w:rFonts w:ascii="Arial" w:hAnsi="Arial" w:cs="Arial"/>
          <w:iCs/>
        </w:rPr>
        <w:t xml:space="preserve">or </w:t>
      </w:r>
    </w:p>
    <w:p w14:paraId="5E08F6EA" w14:textId="0D3486BF" w:rsidR="0042106D" w:rsidRPr="00087899" w:rsidRDefault="00A9565C" w:rsidP="00DD2363">
      <w:pPr>
        <w:pStyle w:val="ListParagraph"/>
        <w:numPr>
          <w:ilvl w:val="0"/>
          <w:numId w:val="2"/>
        </w:numPr>
        <w:spacing w:after="0" w:line="360" w:lineRule="auto"/>
        <w:ind w:left="1418" w:hanging="698"/>
        <w:jc w:val="both"/>
        <w:rPr>
          <w:rFonts w:ascii="Arial" w:hAnsi="Arial" w:cs="Arial"/>
        </w:rPr>
      </w:pPr>
      <w:r>
        <w:rPr>
          <w:rFonts w:ascii="Arial" w:hAnsi="Arial" w:cs="Arial"/>
          <w:iCs/>
        </w:rPr>
        <w:t>i</w:t>
      </w:r>
      <w:r w:rsidR="00A62039" w:rsidRPr="00087899">
        <w:rPr>
          <w:rFonts w:ascii="Arial" w:hAnsi="Arial" w:cs="Arial"/>
          <w:iCs/>
        </w:rPr>
        <w:t xml:space="preserve">n considering a </w:t>
      </w:r>
      <w:r w:rsidR="005D2F02" w:rsidRPr="00087899">
        <w:rPr>
          <w:rFonts w:ascii="Arial" w:hAnsi="Arial" w:cs="Arial"/>
          <w:iCs/>
        </w:rPr>
        <w:t xml:space="preserve">community-based punishment in respect of any person </w:t>
      </w:r>
      <w:r w:rsidR="00B14C00" w:rsidRPr="00087899">
        <w:rPr>
          <w:rFonts w:ascii="Arial" w:hAnsi="Arial" w:cs="Arial"/>
          <w:iCs/>
        </w:rPr>
        <w:t xml:space="preserve">who has been convicted of any offence, </w:t>
      </w:r>
    </w:p>
    <w:p w14:paraId="6C5B681E" w14:textId="5381B87A" w:rsidR="00D57A49" w:rsidRPr="00087899" w:rsidRDefault="004B030B" w:rsidP="00DD2363">
      <w:pPr>
        <w:spacing w:after="0" w:line="360" w:lineRule="auto"/>
        <w:ind w:left="709"/>
        <w:jc w:val="both"/>
        <w:rPr>
          <w:rFonts w:ascii="Arial" w:hAnsi="Arial" w:cs="Arial"/>
        </w:rPr>
      </w:pPr>
      <w:r w:rsidRPr="00087899">
        <w:rPr>
          <w:rFonts w:ascii="Arial" w:hAnsi="Arial" w:cs="Arial"/>
          <w:iCs/>
        </w:rPr>
        <w:t xml:space="preserve">summon to his assistance any one or </w:t>
      </w:r>
      <w:r w:rsidR="00880A51" w:rsidRPr="00087899">
        <w:rPr>
          <w:rFonts w:ascii="Arial" w:hAnsi="Arial" w:cs="Arial"/>
          <w:iCs/>
        </w:rPr>
        <w:t>two persons who, in his opinion, may be</w:t>
      </w:r>
      <w:r w:rsidR="00FD3236" w:rsidRPr="00087899">
        <w:rPr>
          <w:rFonts w:ascii="Arial" w:hAnsi="Arial" w:cs="Arial"/>
          <w:iCs/>
        </w:rPr>
        <w:t xml:space="preserve"> </w:t>
      </w:r>
      <w:r w:rsidR="00B0532A" w:rsidRPr="00087899">
        <w:rPr>
          <w:rFonts w:ascii="Arial" w:hAnsi="Arial" w:cs="Arial"/>
          <w:iCs/>
        </w:rPr>
        <w:t xml:space="preserve">of assistance at the trial of the case or in determination </w:t>
      </w:r>
      <w:r w:rsidR="00FB48A9" w:rsidRPr="00087899">
        <w:rPr>
          <w:rFonts w:ascii="Arial" w:hAnsi="Arial" w:cs="Arial"/>
          <w:iCs/>
        </w:rPr>
        <w:t>of a proper sentence, as the case may be</w:t>
      </w:r>
      <w:r w:rsidR="00663108" w:rsidRPr="00087899">
        <w:rPr>
          <w:rFonts w:ascii="Arial" w:hAnsi="Arial" w:cs="Arial"/>
          <w:iCs/>
        </w:rPr>
        <w:t xml:space="preserve">, to sit </w:t>
      </w:r>
      <w:r w:rsidR="007D3A69" w:rsidRPr="00087899">
        <w:rPr>
          <w:rFonts w:ascii="Arial" w:hAnsi="Arial" w:cs="Arial"/>
          <w:iCs/>
        </w:rPr>
        <w:t>with him as assessor or assessors</w:t>
      </w:r>
      <w:r w:rsidR="00E7320B" w:rsidRPr="00087899">
        <w:rPr>
          <w:rFonts w:ascii="Arial" w:hAnsi="Arial" w:cs="Arial"/>
          <w:iCs/>
        </w:rPr>
        <w:t xml:space="preserve">: Provided that if an accused is </w:t>
      </w:r>
      <w:r w:rsidR="006963F9" w:rsidRPr="00087899">
        <w:rPr>
          <w:rFonts w:ascii="Arial" w:hAnsi="Arial" w:cs="Arial"/>
          <w:iCs/>
        </w:rPr>
        <w:t xml:space="preserve">standing trial in the court of a regional </w:t>
      </w:r>
      <w:r w:rsidR="00035108" w:rsidRPr="00087899">
        <w:rPr>
          <w:rFonts w:ascii="Arial" w:hAnsi="Arial" w:cs="Arial"/>
          <w:iCs/>
        </w:rPr>
        <w:t xml:space="preserve">division on a charge of murder, whether together </w:t>
      </w:r>
      <w:r w:rsidR="00B367E2" w:rsidRPr="00087899">
        <w:rPr>
          <w:rFonts w:ascii="Arial" w:hAnsi="Arial" w:cs="Arial"/>
          <w:iCs/>
        </w:rPr>
        <w:t>with other charges or accused or not, the judicia</w:t>
      </w:r>
      <w:r w:rsidR="00EA2043" w:rsidRPr="00087899">
        <w:rPr>
          <w:rFonts w:ascii="Arial" w:hAnsi="Arial" w:cs="Arial"/>
          <w:iCs/>
        </w:rPr>
        <w:t xml:space="preserve">l officer shall at that </w:t>
      </w:r>
      <w:r w:rsidR="00FB719E" w:rsidRPr="00087899">
        <w:rPr>
          <w:rFonts w:ascii="Arial" w:hAnsi="Arial" w:cs="Arial"/>
          <w:iCs/>
        </w:rPr>
        <w:t xml:space="preserve">trial </w:t>
      </w:r>
      <w:r w:rsidR="00A9565C">
        <w:rPr>
          <w:rFonts w:ascii="Arial" w:hAnsi="Arial" w:cs="Arial"/>
          <w:iCs/>
        </w:rPr>
        <w:t>be assisted by two assessors</w:t>
      </w:r>
      <w:r w:rsidR="00F1158F" w:rsidRPr="00087899">
        <w:rPr>
          <w:rFonts w:ascii="Arial" w:hAnsi="Arial" w:cs="Arial"/>
          <w:iCs/>
        </w:rPr>
        <w:t xml:space="preserve"> unless such an accused </w:t>
      </w:r>
      <w:r w:rsidR="00AA7C0A" w:rsidRPr="00087899">
        <w:rPr>
          <w:rFonts w:ascii="Arial" w:hAnsi="Arial" w:cs="Arial"/>
          <w:iCs/>
        </w:rPr>
        <w:t>requests that the trial be proceeded with without assessors</w:t>
      </w:r>
      <w:r w:rsidR="009B676D" w:rsidRPr="00087899">
        <w:rPr>
          <w:rFonts w:ascii="Arial" w:hAnsi="Arial" w:cs="Arial"/>
          <w:iCs/>
        </w:rPr>
        <w:t>, whereupon the judi</w:t>
      </w:r>
      <w:r w:rsidR="00283D91" w:rsidRPr="00087899">
        <w:rPr>
          <w:rFonts w:ascii="Arial" w:hAnsi="Arial" w:cs="Arial"/>
          <w:iCs/>
        </w:rPr>
        <w:t>ci</w:t>
      </w:r>
      <w:r w:rsidR="009B676D" w:rsidRPr="00087899">
        <w:rPr>
          <w:rFonts w:ascii="Arial" w:hAnsi="Arial" w:cs="Arial"/>
          <w:iCs/>
        </w:rPr>
        <w:t>al officer</w:t>
      </w:r>
      <w:r w:rsidR="00283D91" w:rsidRPr="00087899">
        <w:rPr>
          <w:rFonts w:ascii="Arial" w:hAnsi="Arial" w:cs="Arial"/>
          <w:iCs/>
        </w:rPr>
        <w:t xml:space="preserve"> may in his discretion summon one or </w:t>
      </w:r>
      <w:r w:rsidR="00D5487A" w:rsidRPr="00087899">
        <w:rPr>
          <w:rFonts w:ascii="Arial" w:hAnsi="Arial" w:cs="Arial"/>
          <w:iCs/>
        </w:rPr>
        <w:t xml:space="preserve">two assessors </w:t>
      </w:r>
      <w:r w:rsidR="00087899">
        <w:rPr>
          <w:rFonts w:ascii="Arial" w:hAnsi="Arial" w:cs="Arial"/>
          <w:iCs/>
        </w:rPr>
        <w:t>to assist him.’</w:t>
      </w:r>
      <w:r w:rsidR="009B676D" w:rsidRPr="00087899">
        <w:rPr>
          <w:rFonts w:ascii="Arial" w:hAnsi="Arial" w:cs="Arial"/>
          <w:iCs/>
        </w:rPr>
        <w:t xml:space="preserve"> </w:t>
      </w:r>
      <w:r w:rsidR="00035108" w:rsidRPr="00087899">
        <w:rPr>
          <w:rFonts w:ascii="Arial" w:hAnsi="Arial" w:cs="Arial"/>
          <w:iCs/>
        </w:rPr>
        <w:t xml:space="preserve"> </w:t>
      </w:r>
      <w:r w:rsidR="006963F9" w:rsidRPr="00087899">
        <w:rPr>
          <w:rFonts w:ascii="Arial" w:hAnsi="Arial" w:cs="Arial"/>
          <w:iCs/>
        </w:rPr>
        <w:t xml:space="preserve"> </w:t>
      </w:r>
      <w:r w:rsidR="00FB48A9" w:rsidRPr="00087899">
        <w:rPr>
          <w:rFonts w:ascii="Arial" w:hAnsi="Arial" w:cs="Arial"/>
          <w:iCs/>
        </w:rPr>
        <w:t xml:space="preserve"> </w:t>
      </w:r>
      <w:r w:rsidRPr="00087899">
        <w:rPr>
          <w:rFonts w:ascii="Arial" w:hAnsi="Arial" w:cs="Arial"/>
          <w:iCs/>
        </w:rPr>
        <w:t xml:space="preserve"> </w:t>
      </w:r>
      <w:r w:rsidR="0034419F" w:rsidRPr="00087899">
        <w:rPr>
          <w:rFonts w:ascii="Arial" w:hAnsi="Arial" w:cs="Arial"/>
          <w:iCs/>
        </w:rPr>
        <w:t xml:space="preserve"> </w:t>
      </w:r>
      <w:r w:rsidR="00C27156" w:rsidRPr="00087899">
        <w:rPr>
          <w:rFonts w:ascii="Arial" w:hAnsi="Arial" w:cs="Arial"/>
          <w:iCs/>
        </w:rPr>
        <w:t xml:space="preserve"> </w:t>
      </w:r>
      <w:r w:rsidR="00E8702D" w:rsidRPr="00087899">
        <w:rPr>
          <w:rFonts w:ascii="Arial" w:hAnsi="Arial" w:cs="Arial"/>
        </w:rPr>
        <w:t xml:space="preserve"> </w:t>
      </w:r>
    </w:p>
    <w:p w14:paraId="4C2D8F35" w14:textId="71232550" w:rsidR="0060044B" w:rsidRPr="007E0D8C" w:rsidRDefault="00F0259B" w:rsidP="00DD2363">
      <w:pPr>
        <w:spacing w:after="0" w:line="360" w:lineRule="auto"/>
        <w:jc w:val="both"/>
        <w:rPr>
          <w:rFonts w:ascii="Arial" w:hAnsi="Arial" w:cs="Arial"/>
          <w:sz w:val="24"/>
          <w:szCs w:val="24"/>
        </w:rPr>
      </w:pPr>
      <w:r w:rsidRPr="007E0D8C">
        <w:rPr>
          <w:rFonts w:ascii="Arial" w:hAnsi="Arial" w:cs="Arial"/>
          <w:sz w:val="24"/>
          <w:szCs w:val="24"/>
        </w:rPr>
        <w:lastRenderedPageBreak/>
        <w:t xml:space="preserve"> </w:t>
      </w:r>
      <w:r w:rsidR="00F50369" w:rsidRPr="007E0D8C">
        <w:rPr>
          <w:rFonts w:ascii="Arial" w:hAnsi="Arial" w:cs="Arial"/>
          <w:sz w:val="24"/>
          <w:szCs w:val="24"/>
        </w:rPr>
        <w:t xml:space="preserve"> </w:t>
      </w:r>
      <w:r w:rsidR="004D2BDC" w:rsidRPr="007E0D8C">
        <w:rPr>
          <w:rFonts w:ascii="Arial" w:hAnsi="Arial" w:cs="Arial"/>
          <w:sz w:val="24"/>
          <w:szCs w:val="24"/>
        </w:rPr>
        <w:t xml:space="preserve"> </w:t>
      </w:r>
      <w:r w:rsidR="002549FC" w:rsidRPr="007E0D8C">
        <w:rPr>
          <w:rFonts w:ascii="Arial" w:hAnsi="Arial" w:cs="Arial"/>
          <w:sz w:val="24"/>
          <w:szCs w:val="24"/>
        </w:rPr>
        <w:t xml:space="preserve"> </w:t>
      </w:r>
      <w:r w:rsidR="0096183D" w:rsidRPr="007E0D8C">
        <w:rPr>
          <w:rFonts w:ascii="Arial" w:hAnsi="Arial" w:cs="Arial"/>
          <w:sz w:val="24"/>
          <w:szCs w:val="24"/>
        </w:rPr>
        <w:t xml:space="preserve"> </w:t>
      </w:r>
      <w:r w:rsidR="003B2895" w:rsidRPr="007E0D8C">
        <w:rPr>
          <w:rFonts w:ascii="Arial" w:hAnsi="Arial" w:cs="Arial"/>
          <w:sz w:val="24"/>
          <w:szCs w:val="24"/>
        </w:rPr>
        <w:t xml:space="preserve"> </w:t>
      </w:r>
    </w:p>
    <w:p w14:paraId="491B307A" w14:textId="232DFC01" w:rsidR="00087899" w:rsidRDefault="00C308D8" w:rsidP="00087899">
      <w:pPr>
        <w:spacing w:after="0" w:line="360" w:lineRule="auto"/>
        <w:jc w:val="both"/>
        <w:rPr>
          <w:rFonts w:ascii="Arial" w:hAnsi="Arial" w:cs="Arial"/>
          <w:sz w:val="24"/>
          <w:szCs w:val="24"/>
        </w:rPr>
      </w:pPr>
      <w:r>
        <w:rPr>
          <w:rFonts w:ascii="Arial" w:hAnsi="Arial" w:cs="Arial"/>
          <w:sz w:val="24"/>
          <w:szCs w:val="24"/>
        </w:rPr>
        <w:t>[</w:t>
      </w:r>
      <w:r w:rsidR="003F73C2">
        <w:rPr>
          <w:rFonts w:ascii="Arial" w:hAnsi="Arial" w:cs="Arial"/>
          <w:sz w:val="24"/>
          <w:szCs w:val="24"/>
        </w:rPr>
        <w:t>10</w:t>
      </w:r>
      <w:r w:rsidR="00AE2254">
        <w:rPr>
          <w:rFonts w:ascii="Arial" w:hAnsi="Arial" w:cs="Arial"/>
          <w:sz w:val="24"/>
          <w:szCs w:val="24"/>
        </w:rPr>
        <w:t>]</w:t>
      </w:r>
      <w:r w:rsidR="00AE2254">
        <w:rPr>
          <w:rFonts w:ascii="Arial" w:hAnsi="Arial" w:cs="Arial"/>
          <w:sz w:val="24"/>
          <w:szCs w:val="24"/>
        </w:rPr>
        <w:tab/>
      </w:r>
      <w:r w:rsidR="00946044" w:rsidRPr="00C308D8">
        <w:rPr>
          <w:rFonts w:ascii="Arial" w:hAnsi="Arial" w:cs="Arial"/>
          <w:sz w:val="24"/>
          <w:szCs w:val="24"/>
        </w:rPr>
        <w:t xml:space="preserve">The legal </w:t>
      </w:r>
      <w:r w:rsidR="005E364B" w:rsidRPr="00C308D8">
        <w:rPr>
          <w:rFonts w:ascii="Arial" w:hAnsi="Arial" w:cs="Arial"/>
          <w:sz w:val="24"/>
          <w:szCs w:val="24"/>
        </w:rPr>
        <w:t xml:space="preserve">question to be answered here is whether </w:t>
      </w:r>
      <w:r w:rsidR="00BD2CA1" w:rsidRPr="00C308D8">
        <w:rPr>
          <w:rFonts w:ascii="Arial" w:hAnsi="Arial" w:cs="Arial"/>
          <w:sz w:val="24"/>
          <w:szCs w:val="24"/>
        </w:rPr>
        <w:t xml:space="preserve">the </w:t>
      </w:r>
      <w:r w:rsidR="00087899" w:rsidRPr="00C308D8">
        <w:rPr>
          <w:rFonts w:ascii="Arial" w:hAnsi="Arial" w:cs="Arial"/>
          <w:sz w:val="24"/>
          <w:szCs w:val="24"/>
        </w:rPr>
        <w:t>pre-trial</w:t>
      </w:r>
      <w:r w:rsidR="00BD2CA1" w:rsidRPr="00C308D8">
        <w:rPr>
          <w:rFonts w:ascii="Arial" w:hAnsi="Arial" w:cs="Arial"/>
          <w:sz w:val="24"/>
          <w:szCs w:val="24"/>
        </w:rPr>
        <w:t xml:space="preserve"> conference </w:t>
      </w:r>
      <w:r w:rsidR="00675C8F" w:rsidRPr="00C308D8">
        <w:rPr>
          <w:rFonts w:ascii="Arial" w:hAnsi="Arial" w:cs="Arial"/>
          <w:sz w:val="24"/>
          <w:szCs w:val="24"/>
        </w:rPr>
        <w:t xml:space="preserve">minute </w:t>
      </w:r>
      <w:r w:rsidR="00BD2CA1" w:rsidRPr="00C308D8">
        <w:rPr>
          <w:rFonts w:ascii="Arial" w:hAnsi="Arial" w:cs="Arial"/>
          <w:sz w:val="24"/>
          <w:szCs w:val="24"/>
        </w:rPr>
        <w:t>of</w:t>
      </w:r>
      <w:r w:rsidR="00A9565C">
        <w:rPr>
          <w:rFonts w:ascii="Arial" w:hAnsi="Arial" w:cs="Arial"/>
          <w:sz w:val="24"/>
          <w:szCs w:val="24"/>
        </w:rPr>
        <w:t xml:space="preserve"> the</w:t>
      </w:r>
      <w:r w:rsidR="00BD2CA1" w:rsidRPr="00C308D8">
        <w:rPr>
          <w:rFonts w:ascii="Arial" w:hAnsi="Arial" w:cs="Arial"/>
          <w:sz w:val="24"/>
          <w:szCs w:val="24"/>
        </w:rPr>
        <w:t xml:space="preserve"> 19</w:t>
      </w:r>
      <w:r w:rsidR="00A9565C" w:rsidRPr="00A9565C">
        <w:rPr>
          <w:rFonts w:ascii="Arial" w:hAnsi="Arial" w:cs="Arial"/>
          <w:sz w:val="24"/>
          <w:szCs w:val="24"/>
          <w:vertAlign w:val="superscript"/>
        </w:rPr>
        <w:t>th</w:t>
      </w:r>
      <w:r w:rsidR="00A9565C">
        <w:rPr>
          <w:rFonts w:ascii="Arial" w:hAnsi="Arial" w:cs="Arial"/>
          <w:sz w:val="24"/>
          <w:szCs w:val="24"/>
        </w:rPr>
        <w:t xml:space="preserve"> </w:t>
      </w:r>
      <w:proofErr w:type="gramStart"/>
      <w:r w:rsidR="00A9565C">
        <w:rPr>
          <w:rFonts w:ascii="Arial" w:hAnsi="Arial" w:cs="Arial"/>
          <w:sz w:val="24"/>
          <w:szCs w:val="24"/>
        </w:rPr>
        <w:t xml:space="preserve">of </w:t>
      </w:r>
      <w:r w:rsidR="00BD2CA1" w:rsidRPr="00C308D8">
        <w:rPr>
          <w:rFonts w:ascii="Arial" w:hAnsi="Arial" w:cs="Arial"/>
          <w:sz w:val="24"/>
          <w:szCs w:val="24"/>
        </w:rPr>
        <w:t xml:space="preserve"> September</w:t>
      </w:r>
      <w:proofErr w:type="gramEnd"/>
      <w:r w:rsidR="00BD2CA1" w:rsidRPr="00C308D8">
        <w:rPr>
          <w:rFonts w:ascii="Arial" w:hAnsi="Arial" w:cs="Arial"/>
          <w:sz w:val="24"/>
          <w:szCs w:val="24"/>
        </w:rPr>
        <w:t xml:space="preserve"> 20</w:t>
      </w:r>
      <w:r w:rsidR="001401C1" w:rsidRPr="00C308D8">
        <w:rPr>
          <w:rFonts w:ascii="Arial" w:hAnsi="Arial" w:cs="Arial"/>
          <w:sz w:val="24"/>
          <w:szCs w:val="24"/>
        </w:rPr>
        <w:t>19</w:t>
      </w:r>
      <w:r w:rsidR="00A94DED" w:rsidRPr="00C308D8">
        <w:rPr>
          <w:rFonts w:ascii="Arial" w:hAnsi="Arial" w:cs="Arial"/>
          <w:sz w:val="24"/>
          <w:szCs w:val="24"/>
        </w:rPr>
        <w:t xml:space="preserve">, where it says the defence lawyer </w:t>
      </w:r>
      <w:r w:rsidR="00137C7B" w:rsidRPr="00C308D8">
        <w:rPr>
          <w:rFonts w:ascii="Arial" w:hAnsi="Arial" w:cs="Arial"/>
          <w:sz w:val="24"/>
          <w:szCs w:val="24"/>
        </w:rPr>
        <w:t>confirmed that “No lay assessors required</w:t>
      </w:r>
      <w:r w:rsidR="001B2380" w:rsidRPr="00C308D8">
        <w:rPr>
          <w:rFonts w:ascii="Arial" w:hAnsi="Arial" w:cs="Arial"/>
          <w:sz w:val="24"/>
          <w:szCs w:val="24"/>
        </w:rPr>
        <w:t xml:space="preserve">” </w:t>
      </w:r>
      <w:r w:rsidR="00ED790B" w:rsidRPr="00C308D8">
        <w:rPr>
          <w:rFonts w:ascii="Arial" w:hAnsi="Arial" w:cs="Arial"/>
          <w:sz w:val="24"/>
          <w:szCs w:val="24"/>
        </w:rPr>
        <w:t xml:space="preserve">gave </w:t>
      </w:r>
      <w:r w:rsidR="00A9565C">
        <w:rPr>
          <w:rFonts w:ascii="Arial" w:hAnsi="Arial" w:cs="Arial"/>
          <w:sz w:val="24"/>
          <w:szCs w:val="24"/>
        </w:rPr>
        <w:t>the presiding m</w:t>
      </w:r>
      <w:r w:rsidR="002B54E6" w:rsidRPr="00C308D8">
        <w:rPr>
          <w:rFonts w:ascii="Arial" w:hAnsi="Arial" w:cs="Arial"/>
          <w:sz w:val="24"/>
          <w:szCs w:val="24"/>
        </w:rPr>
        <w:t xml:space="preserve">agistrate the discretion </w:t>
      </w:r>
      <w:r w:rsidR="00C31632" w:rsidRPr="00C308D8">
        <w:rPr>
          <w:rFonts w:ascii="Arial" w:hAnsi="Arial" w:cs="Arial"/>
          <w:sz w:val="24"/>
          <w:szCs w:val="24"/>
        </w:rPr>
        <w:t>not to have any assessors with her</w:t>
      </w:r>
      <w:r w:rsidR="00A9565C">
        <w:rPr>
          <w:rFonts w:ascii="Arial" w:hAnsi="Arial" w:cs="Arial"/>
          <w:sz w:val="24"/>
          <w:szCs w:val="24"/>
        </w:rPr>
        <w:t>, as was the case.  The State argued that</w:t>
      </w:r>
    </w:p>
    <w:p w14:paraId="775E7999" w14:textId="043996F3" w:rsidR="00340ACD" w:rsidRPr="00340ACD" w:rsidRDefault="00087899" w:rsidP="00C8163F">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10404" w:rsidRPr="00087899">
        <w:rPr>
          <w:rFonts w:ascii="Arial" w:hAnsi="Arial" w:cs="Arial"/>
          <w:sz w:val="24"/>
          <w:szCs w:val="24"/>
        </w:rPr>
        <w:t xml:space="preserve">the existence of that </w:t>
      </w:r>
      <w:r w:rsidRPr="00087899">
        <w:rPr>
          <w:rFonts w:ascii="Arial" w:hAnsi="Arial" w:cs="Arial"/>
          <w:sz w:val="24"/>
          <w:szCs w:val="24"/>
        </w:rPr>
        <w:t>pre-trial</w:t>
      </w:r>
      <w:r w:rsidR="00D10404" w:rsidRPr="00087899">
        <w:rPr>
          <w:rFonts w:ascii="Arial" w:hAnsi="Arial" w:cs="Arial"/>
          <w:sz w:val="24"/>
          <w:szCs w:val="24"/>
        </w:rPr>
        <w:t xml:space="preserve"> </w:t>
      </w:r>
      <w:r w:rsidR="008F0EDA" w:rsidRPr="00087899">
        <w:rPr>
          <w:rFonts w:ascii="Arial" w:hAnsi="Arial" w:cs="Arial"/>
          <w:sz w:val="24"/>
          <w:szCs w:val="24"/>
        </w:rPr>
        <w:t>conference minute</w:t>
      </w:r>
      <w:r w:rsidR="00C710EB" w:rsidRPr="00087899">
        <w:rPr>
          <w:rFonts w:ascii="Arial" w:hAnsi="Arial" w:cs="Arial"/>
          <w:sz w:val="24"/>
          <w:szCs w:val="24"/>
        </w:rPr>
        <w:t xml:space="preserve"> </w:t>
      </w:r>
      <w:r w:rsidR="00EE0742" w:rsidRPr="00087899">
        <w:rPr>
          <w:rFonts w:ascii="Arial" w:hAnsi="Arial" w:cs="Arial"/>
          <w:sz w:val="24"/>
          <w:szCs w:val="24"/>
        </w:rPr>
        <w:t xml:space="preserve">which says “No lay assessors required” </w:t>
      </w:r>
      <w:r w:rsidR="00A77311" w:rsidRPr="00087899">
        <w:rPr>
          <w:rFonts w:ascii="Arial" w:hAnsi="Arial" w:cs="Arial"/>
          <w:sz w:val="24"/>
          <w:szCs w:val="24"/>
        </w:rPr>
        <w:t xml:space="preserve">made the </w:t>
      </w:r>
      <w:r w:rsidR="00AE3E87" w:rsidRPr="00087899">
        <w:rPr>
          <w:rFonts w:ascii="Arial" w:hAnsi="Arial" w:cs="Arial"/>
          <w:sz w:val="24"/>
          <w:szCs w:val="24"/>
        </w:rPr>
        <w:t xml:space="preserve">trial compliant with the provisions </w:t>
      </w:r>
      <w:r w:rsidR="00D4795B" w:rsidRPr="00087899">
        <w:rPr>
          <w:rFonts w:ascii="Arial" w:hAnsi="Arial" w:cs="Arial"/>
          <w:sz w:val="24"/>
          <w:szCs w:val="24"/>
        </w:rPr>
        <w:t xml:space="preserve">of </w:t>
      </w:r>
      <w:r w:rsidR="00C8163F">
        <w:rPr>
          <w:rFonts w:ascii="Arial" w:hAnsi="Arial" w:cs="Arial"/>
          <w:sz w:val="24"/>
          <w:szCs w:val="24"/>
        </w:rPr>
        <w:t>s</w:t>
      </w:r>
      <w:r w:rsidR="00D4795B" w:rsidRPr="00087899">
        <w:rPr>
          <w:rFonts w:ascii="Arial" w:hAnsi="Arial" w:cs="Arial"/>
          <w:sz w:val="24"/>
          <w:szCs w:val="24"/>
        </w:rPr>
        <w:t xml:space="preserve"> 93</w:t>
      </w:r>
      <w:r w:rsidR="00D4795B" w:rsidRPr="00EC7BAE">
        <w:rPr>
          <w:rFonts w:ascii="Arial" w:hAnsi="Arial" w:cs="Arial"/>
          <w:i/>
          <w:sz w:val="24"/>
          <w:szCs w:val="24"/>
        </w:rPr>
        <w:t>ter</w:t>
      </w:r>
      <w:r w:rsidR="00D4795B" w:rsidRPr="00087899">
        <w:rPr>
          <w:rFonts w:ascii="Arial" w:hAnsi="Arial" w:cs="Arial"/>
          <w:sz w:val="24"/>
          <w:szCs w:val="24"/>
        </w:rPr>
        <w:t xml:space="preserve">, despite the absence of the </w:t>
      </w:r>
      <w:r w:rsidR="0020599B" w:rsidRPr="00087899">
        <w:rPr>
          <w:rFonts w:ascii="Arial" w:hAnsi="Arial" w:cs="Arial"/>
          <w:sz w:val="24"/>
          <w:szCs w:val="24"/>
        </w:rPr>
        <w:t>assessor(s)</w:t>
      </w:r>
      <w:r w:rsidR="00950AA1" w:rsidRPr="00087899">
        <w:rPr>
          <w:rFonts w:ascii="Arial" w:hAnsi="Arial" w:cs="Arial"/>
          <w:sz w:val="24"/>
          <w:szCs w:val="24"/>
        </w:rPr>
        <w:t>;</w:t>
      </w:r>
      <w:r w:rsidR="00A9565C">
        <w:rPr>
          <w:rFonts w:ascii="Arial" w:hAnsi="Arial" w:cs="Arial"/>
          <w:sz w:val="24"/>
          <w:szCs w:val="24"/>
        </w:rPr>
        <w:t xml:space="preserve"> and</w:t>
      </w:r>
    </w:p>
    <w:p w14:paraId="4D22944F" w14:textId="31A49BAA" w:rsidR="00B37FF2" w:rsidRDefault="00087899" w:rsidP="00087899">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915A36" w:rsidRPr="006E4674">
        <w:rPr>
          <w:rFonts w:ascii="Arial" w:hAnsi="Arial" w:cs="Arial"/>
          <w:sz w:val="24"/>
          <w:szCs w:val="24"/>
        </w:rPr>
        <w:t xml:space="preserve">the mere fact that the </w:t>
      </w:r>
      <w:r w:rsidR="00FB719E">
        <w:rPr>
          <w:rFonts w:ascii="Arial" w:hAnsi="Arial" w:cs="Arial"/>
          <w:sz w:val="24"/>
          <w:szCs w:val="24"/>
        </w:rPr>
        <w:t>d</w:t>
      </w:r>
      <w:r w:rsidR="00EC3337" w:rsidRPr="006E4674">
        <w:rPr>
          <w:rFonts w:ascii="Arial" w:hAnsi="Arial" w:cs="Arial"/>
          <w:sz w:val="24"/>
          <w:szCs w:val="24"/>
        </w:rPr>
        <w:t>efence lawyer</w:t>
      </w:r>
      <w:r w:rsidR="00F80316" w:rsidRPr="006E4674">
        <w:rPr>
          <w:rFonts w:ascii="Arial" w:hAnsi="Arial" w:cs="Arial"/>
          <w:sz w:val="24"/>
          <w:szCs w:val="24"/>
        </w:rPr>
        <w:t xml:space="preserve">, a competent </w:t>
      </w:r>
      <w:r w:rsidR="00FB719E">
        <w:rPr>
          <w:rFonts w:ascii="Arial" w:hAnsi="Arial" w:cs="Arial"/>
          <w:sz w:val="24"/>
          <w:szCs w:val="24"/>
        </w:rPr>
        <w:t>o</w:t>
      </w:r>
      <w:r w:rsidR="00C51810" w:rsidRPr="006E4674">
        <w:rPr>
          <w:rFonts w:ascii="Arial" w:hAnsi="Arial" w:cs="Arial"/>
          <w:sz w:val="24"/>
          <w:szCs w:val="24"/>
        </w:rPr>
        <w:t xml:space="preserve">fficer of the </w:t>
      </w:r>
      <w:r w:rsidR="00FB719E">
        <w:rPr>
          <w:rFonts w:ascii="Arial" w:hAnsi="Arial" w:cs="Arial"/>
          <w:sz w:val="24"/>
          <w:szCs w:val="24"/>
        </w:rPr>
        <w:t>c</w:t>
      </w:r>
      <w:r w:rsidR="00A9565C">
        <w:rPr>
          <w:rFonts w:ascii="Arial" w:hAnsi="Arial" w:cs="Arial"/>
          <w:sz w:val="24"/>
          <w:szCs w:val="24"/>
        </w:rPr>
        <w:t>ourt, confirmed that “N</w:t>
      </w:r>
      <w:r w:rsidR="00C51810" w:rsidRPr="006E4674">
        <w:rPr>
          <w:rFonts w:ascii="Arial" w:hAnsi="Arial" w:cs="Arial"/>
          <w:sz w:val="24"/>
          <w:szCs w:val="24"/>
        </w:rPr>
        <w:t xml:space="preserve">o lay assessors </w:t>
      </w:r>
      <w:r w:rsidR="00F83D82" w:rsidRPr="006E4674">
        <w:rPr>
          <w:rFonts w:ascii="Arial" w:hAnsi="Arial" w:cs="Arial"/>
          <w:sz w:val="24"/>
          <w:szCs w:val="24"/>
        </w:rPr>
        <w:t xml:space="preserve">required” </w:t>
      </w:r>
      <w:r w:rsidR="00243908" w:rsidRPr="006E4674">
        <w:rPr>
          <w:rFonts w:ascii="Arial" w:hAnsi="Arial" w:cs="Arial"/>
          <w:sz w:val="24"/>
          <w:szCs w:val="24"/>
        </w:rPr>
        <w:t xml:space="preserve">meant the </w:t>
      </w:r>
      <w:r w:rsidR="00FB719E">
        <w:rPr>
          <w:rFonts w:ascii="Arial" w:hAnsi="Arial" w:cs="Arial"/>
          <w:sz w:val="24"/>
          <w:szCs w:val="24"/>
        </w:rPr>
        <w:t>d</w:t>
      </w:r>
      <w:r w:rsidR="00281356" w:rsidRPr="006E4674">
        <w:rPr>
          <w:rFonts w:ascii="Arial" w:hAnsi="Arial" w:cs="Arial"/>
          <w:sz w:val="24"/>
          <w:szCs w:val="24"/>
        </w:rPr>
        <w:t xml:space="preserve">efence lawyer present at that </w:t>
      </w:r>
      <w:r w:rsidRPr="006E4674">
        <w:rPr>
          <w:rFonts w:ascii="Arial" w:hAnsi="Arial" w:cs="Arial"/>
          <w:sz w:val="24"/>
          <w:szCs w:val="24"/>
        </w:rPr>
        <w:t>pre-trial</w:t>
      </w:r>
      <w:r w:rsidR="00281356" w:rsidRPr="006E4674">
        <w:rPr>
          <w:rFonts w:ascii="Arial" w:hAnsi="Arial" w:cs="Arial"/>
          <w:sz w:val="24"/>
          <w:szCs w:val="24"/>
        </w:rPr>
        <w:t xml:space="preserve"> </w:t>
      </w:r>
      <w:r w:rsidR="009B1A56" w:rsidRPr="006E4674">
        <w:rPr>
          <w:rFonts w:ascii="Arial" w:hAnsi="Arial" w:cs="Arial"/>
          <w:sz w:val="24"/>
          <w:szCs w:val="24"/>
        </w:rPr>
        <w:t>conference was representing the interests of the</w:t>
      </w:r>
      <w:r w:rsidR="00A9565C">
        <w:rPr>
          <w:rFonts w:ascii="Arial" w:hAnsi="Arial" w:cs="Arial"/>
          <w:sz w:val="24"/>
          <w:szCs w:val="24"/>
        </w:rPr>
        <w:t xml:space="preserve"> appellant</w:t>
      </w:r>
      <w:r w:rsidR="00963F9A" w:rsidRPr="006E4674">
        <w:rPr>
          <w:rFonts w:ascii="Arial" w:hAnsi="Arial" w:cs="Arial"/>
          <w:sz w:val="24"/>
          <w:szCs w:val="24"/>
        </w:rPr>
        <w:t xml:space="preserve"> in so saying</w:t>
      </w:r>
      <w:r w:rsidR="00CD485C">
        <w:rPr>
          <w:rFonts w:ascii="Arial" w:hAnsi="Arial" w:cs="Arial"/>
          <w:sz w:val="24"/>
          <w:szCs w:val="24"/>
        </w:rPr>
        <w:t>.</w:t>
      </w:r>
    </w:p>
    <w:p w14:paraId="5C43D64E" w14:textId="77777777" w:rsidR="00CD485C" w:rsidRPr="00CD485C" w:rsidRDefault="00CD485C" w:rsidP="00CD485C">
      <w:pPr>
        <w:pStyle w:val="ListParagraph"/>
        <w:rPr>
          <w:rFonts w:ascii="Arial" w:hAnsi="Arial" w:cs="Arial"/>
          <w:sz w:val="24"/>
          <w:szCs w:val="24"/>
        </w:rPr>
      </w:pPr>
    </w:p>
    <w:p w14:paraId="18B7BFC0" w14:textId="6AF5B43D" w:rsidR="00CD485C" w:rsidRDefault="00CD485C" w:rsidP="00CD485C">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It is as well to quote the relevant portion of the record of the pre-trial conference. The proceedings were in open court on the last remand date before the trial commenced. The record was kept by the magistrate in longhand. After dealing with formal admissions, the basis of the defence (a so-called “bare denial’) and the nature of the evidence to be present</w:t>
      </w:r>
      <w:r w:rsidR="00087899">
        <w:rPr>
          <w:rFonts w:ascii="Arial" w:hAnsi="Arial" w:cs="Arial"/>
          <w:sz w:val="24"/>
          <w:szCs w:val="24"/>
        </w:rPr>
        <w:t>ed, the record reads as follows:</w:t>
      </w:r>
    </w:p>
    <w:p w14:paraId="77C51E56" w14:textId="63CBF5D3" w:rsidR="00CD485C" w:rsidRPr="00087899" w:rsidRDefault="00087899" w:rsidP="00CD485C">
      <w:pPr>
        <w:spacing w:after="0" w:line="360" w:lineRule="auto"/>
        <w:jc w:val="both"/>
        <w:rPr>
          <w:rFonts w:ascii="Arial" w:hAnsi="Arial" w:cs="Arial"/>
        </w:rPr>
      </w:pPr>
      <w:r w:rsidRPr="00087899">
        <w:rPr>
          <w:rFonts w:ascii="Arial" w:hAnsi="Arial" w:cs="Arial"/>
        </w:rPr>
        <w:t>‘</w:t>
      </w:r>
      <w:r w:rsidR="00CD485C" w:rsidRPr="00087899">
        <w:rPr>
          <w:rFonts w:ascii="Arial" w:hAnsi="Arial" w:cs="Arial"/>
        </w:rPr>
        <w:t xml:space="preserve">No lay assessors required by the </w:t>
      </w:r>
      <w:r w:rsidRPr="00087899">
        <w:rPr>
          <w:rFonts w:ascii="Arial" w:hAnsi="Arial" w:cs="Arial"/>
        </w:rPr>
        <w:t>accused, + defence + State’</w:t>
      </w:r>
      <w:r w:rsidR="00CD485C" w:rsidRPr="00087899">
        <w:rPr>
          <w:rFonts w:ascii="Arial" w:hAnsi="Arial" w:cs="Arial"/>
        </w:rPr>
        <w:t xml:space="preserve">. </w:t>
      </w:r>
    </w:p>
    <w:p w14:paraId="1D286A0B" w14:textId="06260640" w:rsidR="00CF0149" w:rsidRPr="007B6322" w:rsidRDefault="00EC3337" w:rsidP="00DD2363">
      <w:pPr>
        <w:spacing w:after="0" w:line="360" w:lineRule="auto"/>
        <w:jc w:val="both"/>
        <w:rPr>
          <w:rFonts w:ascii="Arial" w:hAnsi="Arial" w:cs="Arial"/>
          <w:sz w:val="24"/>
          <w:szCs w:val="24"/>
        </w:rPr>
      </w:pPr>
      <w:r w:rsidRPr="007B6322">
        <w:rPr>
          <w:rFonts w:ascii="Arial" w:hAnsi="Arial" w:cs="Arial"/>
          <w:sz w:val="24"/>
          <w:szCs w:val="24"/>
        </w:rPr>
        <w:t xml:space="preserve">   </w:t>
      </w:r>
      <w:r w:rsidR="00AE3E87" w:rsidRPr="007B6322">
        <w:rPr>
          <w:rFonts w:ascii="Arial" w:hAnsi="Arial" w:cs="Arial"/>
          <w:sz w:val="24"/>
          <w:szCs w:val="24"/>
        </w:rPr>
        <w:t xml:space="preserve"> </w:t>
      </w:r>
      <w:r w:rsidR="008F0EDA" w:rsidRPr="007B6322">
        <w:rPr>
          <w:rFonts w:ascii="Arial" w:hAnsi="Arial" w:cs="Arial"/>
          <w:sz w:val="24"/>
          <w:szCs w:val="24"/>
        </w:rPr>
        <w:t xml:space="preserve"> </w:t>
      </w:r>
    </w:p>
    <w:p w14:paraId="6926B0F4" w14:textId="1C396801" w:rsidR="0022210D" w:rsidRPr="00A457AE" w:rsidRDefault="006639F6" w:rsidP="00087899">
      <w:pPr>
        <w:spacing w:after="0" w:line="360" w:lineRule="auto"/>
        <w:jc w:val="both"/>
        <w:rPr>
          <w:rFonts w:ascii="Arial" w:hAnsi="Arial" w:cs="Arial"/>
          <w:sz w:val="24"/>
          <w:szCs w:val="24"/>
        </w:rPr>
      </w:pPr>
      <w:r>
        <w:rPr>
          <w:rFonts w:ascii="Arial" w:hAnsi="Arial" w:cs="Arial"/>
          <w:sz w:val="24"/>
          <w:szCs w:val="24"/>
        </w:rPr>
        <w:t>[12</w:t>
      </w:r>
      <w:r w:rsidR="00A457AE">
        <w:rPr>
          <w:rFonts w:ascii="Arial" w:hAnsi="Arial" w:cs="Arial"/>
          <w:sz w:val="24"/>
          <w:szCs w:val="24"/>
        </w:rPr>
        <w:t>]</w:t>
      </w:r>
      <w:r w:rsidR="00E611B5">
        <w:rPr>
          <w:rFonts w:ascii="Arial" w:hAnsi="Arial" w:cs="Arial"/>
          <w:sz w:val="24"/>
          <w:szCs w:val="24"/>
        </w:rPr>
        <w:tab/>
      </w:r>
      <w:r w:rsidR="00B7555D" w:rsidRPr="00A457AE">
        <w:rPr>
          <w:rFonts w:ascii="Arial" w:hAnsi="Arial" w:cs="Arial"/>
          <w:sz w:val="24"/>
          <w:szCs w:val="24"/>
        </w:rPr>
        <w:t xml:space="preserve">In its appeal papers, the </w:t>
      </w:r>
      <w:r w:rsidR="00FB719E">
        <w:rPr>
          <w:rFonts w:ascii="Arial" w:hAnsi="Arial" w:cs="Arial"/>
          <w:sz w:val="24"/>
          <w:szCs w:val="24"/>
        </w:rPr>
        <w:t>appellant</w:t>
      </w:r>
      <w:r w:rsidR="00E53361" w:rsidRPr="00A457AE">
        <w:rPr>
          <w:rFonts w:ascii="Arial" w:hAnsi="Arial" w:cs="Arial"/>
          <w:sz w:val="24"/>
          <w:szCs w:val="24"/>
        </w:rPr>
        <w:t xml:space="preserve"> </w:t>
      </w:r>
      <w:r w:rsidR="007A10A7" w:rsidRPr="00A457AE">
        <w:rPr>
          <w:rFonts w:ascii="Arial" w:hAnsi="Arial" w:cs="Arial"/>
          <w:sz w:val="24"/>
          <w:szCs w:val="24"/>
        </w:rPr>
        <w:t xml:space="preserve">cited </w:t>
      </w:r>
      <w:r w:rsidR="00A9565C">
        <w:rPr>
          <w:rFonts w:ascii="Arial" w:hAnsi="Arial" w:cs="Arial"/>
          <w:sz w:val="24"/>
          <w:szCs w:val="24"/>
        </w:rPr>
        <w:t xml:space="preserve">the following </w:t>
      </w:r>
      <w:r w:rsidR="00FE204A" w:rsidRPr="00A457AE">
        <w:rPr>
          <w:rFonts w:ascii="Arial" w:hAnsi="Arial" w:cs="Arial"/>
          <w:sz w:val="24"/>
          <w:szCs w:val="24"/>
        </w:rPr>
        <w:t>three cases</w:t>
      </w:r>
      <w:r w:rsidR="00A827E6">
        <w:rPr>
          <w:rFonts w:ascii="Arial" w:hAnsi="Arial" w:cs="Arial"/>
          <w:sz w:val="24"/>
          <w:szCs w:val="24"/>
        </w:rPr>
        <w:t>.</w:t>
      </w:r>
    </w:p>
    <w:p w14:paraId="7B839DB1" w14:textId="4C6AF190" w:rsidR="009D5DFA" w:rsidRDefault="009D5DFA" w:rsidP="009D5DFA">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spellStart"/>
      <w:r w:rsidR="004D66EC" w:rsidRPr="009D5DFA">
        <w:rPr>
          <w:rFonts w:ascii="Arial" w:hAnsi="Arial" w:cs="Arial"/>
          <w:i/>
          <w:sz w:val="24"/>
          <w:szCs w:val="24"/>
        </w:rPr>
        <w:t>Cha</w:t>
      </w:r>
      <w:r w:rsidR="00C306F8" w:rsidRPr="009D5DFA">
        <w:rPr>
          <w:rFonts w:ascii="Arial" w:hAnsi="Arial" w:cs="Arial"/>
          <w:i/>
          <w:sz w:val="24"/>
          <w:szCs w:val="24"/>
        </w:rPr>
        <w:t>la</w:t>
      </w:r>
      <w:proofErr w:type="spellEnd"/>
      <w:r w:rsidR="00C306F8" w:rsidRPr="009D5DFA">
        <w:rPr>
          <w:rFonts w:ascii="Arial" w:hAnsi="Arial" w:cs="Arial"/>
          <w:i/>
          <w:sz w:val="24"/>
          <w:szCs w:val="24"/>
        </w:rPr>
        <w:t xml:space="preserve"> </w:t>
      </w:r>
      <w:r w:rsidR="002124DE" w:rsidRPr="009D5DFA">
        <w:rPr>
          <w:rFonts w:ascii="Arial" w:hAnsi="Arial" w:cs="Arial"/>
          <w:i/>
          <w:sz w:val="24"/>
          <w:szCs w:val="24"/>
        </w:rPr>
        <w:t xml:space="preserve">and Others </w:t>
      </w:r>
      <w:proofErr w:type="gramStart"/>
      <w:r w:rsidR="002124DE" w:rsidRPr="009D5DFA">
        <w:rPr>
          <w:rFonts w:ascii="Arial" w:hAnsi="Arial" w:cs="Arial"/>
          <w:i/>
          <w:sz w:val="24"/>
          <w:szCs w:val="24"/>
        </w:rPr>
        <w:t>v</w:t>
      </w:r>
      <w:proofErr w:type="gramEnd"/>
      <w:r w:rsidR="002124DE" w:rsidRPr="009D5DFA">
        <w:rPr>
          <w:rFonts w:ascii="Arial" w:hAnsi="Arial" w:cs="Arial"/>
          <w:i/>
          <w:sz w:val="24"/>
          <w:szCs w:val="24"/>
        </w:rPr>
        <w:t xml:space="preserve"> </w:t>
      </w:r>
      <w:r w:rsidR="0084180B" w:rsidRPr="009D5DFA">
        <w:rPr>
          <w:rFonts w:ascii="Arial" w:hAnsi="Arial" w:cs="Arial"/>
          <w:i/>
          <w:sz w:val="24"/>
          <w:szCs w:val="24"/>
        </w:rPr>
        <w:t>Director of Public Prosecutions</w:t>
      </w:r>
      <w:r w:rsidR="00C8163F">
        <w:rPr>
          <w:rFonts w:ascii="Arial" w:hAnsi="Arial" w:cs="Arial"/>
          <w:i/>
          <w:sz w:val="24"/>
          <w:szCs w:val="24"/>
        </w:rPr>
        <w:t>, KwaZulu-Natal and A</w:t>
      </w:r>
      <w:r w:rsidR="00902887" w:rsidRPr="009D5DFA">
        <w:rPr>
          <w:rFonts w:ascii="Arial" w:hAnsi="Arial" w:cs="Arial"/>
          <w:i/>
          <w:sz w:val="24"/>
          <w:szCs w:val="24"/>
        </w:rPr>
        <w:t xml:space="preserve">nother </w:t>
      </w:r>
      <w:r w:rsidR="0053390B" w:rsidRPr="009D5DFA">
        <w:rPr>
          <w:rFonts w:ascii="Arial" w:hAnsi="Arial" w:cs="Arial"/>
          <w:sz w:val="24"/>
          <w:szCs w:val="24"/>
        </w:rPr>
        <w:t>2015</w:t>
      </w:r>
      <w:r w:rsidR="00C8163F">
        <w:rPr>
          <w:rFonts w:ascii="Arial" w:hAnsi="Arial" w:cs="Arial"/>
          <w:sz w:val="24"/>
          <w:szCs w:val="24"/>
        </w:rPr>
        <w:t xml:space="preserve"> </w:t>
      </w:r>
      <w:r w:rsidR="0053390B" w:rsidRPr="009D5DFA">
        <w:rPr>
          <w:rFonts w:ascii="Arial" w:hAnsi="Arial" w:cs="Arial"/>
          <w:sz w:val="24"/>
          <w:szCs w:val="24"/>
        </w:rPr>
        <w:t>(2) SACR 283 (KZP)</w:t>
      </w:r>
      <w:r w:rsidR="00384AB0" w:rsidRPr="009D5DFA">
        <w:rPr>
          <w:rFonts w:ascii="Arial" w:hAnsi="Arial" w:cs="Arial"/>
          <w:sz w:val="24"/>
          <w:szCs w:val="24"/>
        </w:rPr>
        <w:t xml:space="preserve">. </w:t>
      </w:r>
      <w:r w:rsidR="00D84629" w:rsidRPr="009D5DFA">
        <w:rPr>
          <w:rFonts w:ascii="Arial" w:hAnsi="Arial" w:cs="Arial"/>
          <w:sz w:val="24"/>
          <w:szCs w:val="24"/>
        </w:rPr>
        <w:t xml:space="preserve">In this case the court </w:t>
      </w:r>
      <w:r w:rsidR="00C32673" w:rsidRPr="009D5DFA">
        <w:rPr>
          <w:rFonts w:ascii="Arial" w:hAnsi="Arial" w:cs="Arial"/>
          <w:sz w:val="24"/>
          <w:szCs w:val="24"/>
        </w:rPr>
        <w:t>observed</w:t>
      </w:r>
      <w:r w:rsidR="00E53EF8" w:rsidRPr="009D5DFA">
        <w:rPr>
          <w:rFonts w:ascii="Arial" w:hAnsi="Arial" w:cs="Arial"/>
          <w:sz w:val="24"/>
          <w:szCs w:val="24"/>
        </w:rPr>
        <w:t xml:space="preserve">: </w:t>
      </w:r>
    </w:p>
    <w:p w14:paraId="2B39C8FC" w14:textId="4558B41F" w:rsidR="00592C0D" w:rsidRPr="009D5DFA" w:rsidRDefault="00C8163F" w:rsidP="009D5DFA">
      <w:pPr>
        <w:spacing w:after="0" w:line="360" w:lineRule="auto"/>
        <w:ind w:left="720"/>
        <w:jc w:val="both"/>
        <w:rPr>
          <w:rFonts w:ascii="Arial" w:hAnsi="Arial" w:cs="Arial"/>
        </w:rPr>
      </w:pPr>
      <w:r>
        <w:rPr>
          <w:rFonts w:ascii="Arial" w:hAnsi="Arial" w:cs="Arial"/>
        </w:rPr>
        <w:t>‘</w:t>
      </w:r>
      <w:r w:rsidR="00317E43" w:rsidRPr="009D5DFA">
        <w:rPr>
          <w:rFonts w:ascii="Arial" w:hAnsi="Arial" w:cs="Arial"/>
          <w:iCs/>
        </w:rPr>
        <w:t>The failure to pro</w:t>
      </w:r>
      <w:r w:rsidR="00FB719E" w:rsidRPr="009D5DFA">
        <w:rPr>
          <w:rFonts w:ascii="Arial" w:hAnsi="Arial" w:cs="Arial"/>
          <w:iCs/>
        </w:rPr>
        <w:t>perly invoke the provisions of s</w:t>
      </w:r>
      <w:r>
        <w:rPr>
          <w:rFonts w:ascii="Arial" w:hAnsi="Arial" w:cs="Arial"/>
          <w:iCs/>
        </w:rPr>
        <w:t xml:space="preserve"> </w:t>
      </w:r>
      <w:r w:rsidR="00317E43" w:rsidRPr="009D5DFA">
        <w:rPr>
          <w:rFonts w:ascii="Arial" w:hAnsi="Arial" w:cs="Arial"/>
          <w:iCs/>
        </w:rPr>
        <w:t>93</w:t>
      </w:r>
      <w:r w:rsidR="00F26096" w:rsidRPr="00AF016C">
        <w:rPr>
          <w:rFonts w:ascii="Arial" w:hAnsi="Arial" w:cs="Arial"/>
          <w:i/>
          <w:iCs/>
        </w:rPr>
        <w:t>ter</w:t>
      </w:r>
      <w:r w:rsidR="00F26096" w:rsidRPr="009D5DFA">
        <w:rPr>
          <w:rFonts w:ascii="Arial" w:hAnsi="Arial" w:cs="Arial"/>
          <w:iCs/>
        </w:rPr>
        <w:t xml:space="preserve"> of the Magistrates’ </w:t>
      </w:r>
      <w:r w:rsidR="009606A1" w:rsidRPr="009D5DFA">
        <w:rPr>
          <w:rFonts w:ascii="Arial" w:hAnsi="Arial" w:cs="Arial"/>
          <w:iCs/>
        </w:rPr>
        <w:t>Court</w:t>
      </w:r>
      <w:r w:rsidR="00AF016C">
        <w:rPr>
          <w:rFonts w:ascii="Arial" w:hAnsi="Arial" w:cs="Arial"/>
          <w:iCs/>
        </w:rPr>
        <w:t>s</w:t>
      </w:r>
      <w:r w:rsidR="009606A1" w:rsidRPr="009D5DFA">
        <w:rPr>
          <w:rFonts w:ascii="Arial" w:hAnsi="Arial" w:cs="Arial"/>
          <w:iCs/>
        </w:rPr>
        <w:t xml:space="preserve"> Act 32 of 1944 will constitute a fatal irregularity </w:t>
      </w:r>
      <w:r w:rsidR="00BE29AB" w:rsidRPr="009D5DFA">
        <w:rPr>
          <w:rFonts w:ascii="Arial" w:hAnsi="Arial" w:cs="Arial"/>
          <w:iCs/>
        </w:rPr>
        <w:t xml:space="preserve">vitiating the entire trial. </w:t>
      </w:r>
      <w:r w:rsidR="0085316A" w:rsidRPr="009D5DFA">
        <w:rPr>
          <w:rFonts w:ascii="Arial" w:hAnsi="Arial" w:cs="Arial"/>
          <w:iCs/>
        </w:rPr>
        <w:t xml:space="preserve">It should always appear from the record </w:t>
      </w:r>
      <w:r w:rsidR="00675EA5" w:rsidRPr="009D5DFA">
        <w:rPr>
          <w:rFonts w:ascii="Arial" w:hAnsi="Arial" w:cs="Arial"/>
          <w:iCs/>
        </w:rPr>
        <w:t xml:space="preserve">of proceedings in cases where </w:t>
      </w:r>
      <w:r w:rsidR="001F2438" w:rsidRPr="009D5DFA">
        <w:rPr>
          <w:rFonts w:ascii="Arial" w:hAnsi="Arial" w:cs="Arial"/>
          <w:iCs/>
        </w:rPr>
        <w:t>s</w:t>
      </w:r>
      <w:r w:rsidR="00AF016C">
        <w:rPr>
          <w:rFonts w:ascii="Arial" w:hAnsi="Arial" w:cs="Arial"/>
          <w:iCs/>
        </w:rPr>
        <w:t xml:space="preserve"> </w:t>
      </w:r>
      <w:r w:rsidR="001F2438" w:rsidRPr="009D5DFA">
        <w:rPr>
          <w:rFonts w:ascii="Arial" w:hAnsi="Arial" w:cs="Arial"/>
          <w:iCs/>
        </w:rPr>
        <w:t>93</w:t>
      </w:r>
      <w:r w:rsidR="001F2438" w:rsidRPr="00AF016C">
        <w:rPr>
          <w:rFonts w:ascii="Arial" w:hAnsi="Arial" w:cs="Arial"/>
          <w:i/>
          <w:iCs/>
        </w:rPr>
        <w:t>ter</w:t>
      </w:r>
      <w:r w:rsidR="001F2438" w:rsidRPr="009D5DFA">
        <w:rPr>
          <w:rFonts w:ascii="Arial" w:hAnsi="Arial" w:cs="Arial"/>
          <w:iCs/>
        </w:rPr>
        <w:t xml:space="preserve"> is requi</w:t>
      </w:r>
      <w:r w:rsidR="00CF7747" w:rsidRPr="009D5DFA">
        <w:rPr>
          <w:rFonts w:ascii="Arial" w:hAnsi="Arial" w:cs="Arial"/>
          <w:iCs/>
        </w:rPr>
        <w:t xml:space="preserve">red to be invoked that a proper explanation </w:t>
      </w:r>
      <w:r w:rsidR="009F0E53" w:rsidRPr="009D5DFA">
        <w:rPr>
          <w:rFonts w:ascii="Arial" w:hAnsi="Arial" w:cs="Arial"/>
          <w:iCs/>
        </w:rPr>
        <w:t xml:space="preserve">is given by the magistrate to the </w:t>
      </w:r>
      <w:r w:rsidR="00AF016C">
        <w:rPr>
          <w:rFonts w:ascii="Arial" w:hAnsi="Arial" w:cs="Arial"/>
          <w:iCs/>
        </w:rPr>
        <w:t>accused, that they have the</w:t>
      </w:r>
      <w:r w:rsidR="00927084" w:rsidRPr="009D5DFA">
        <w:rPr>
          <w:rFonts w:ascii="Arial" w:hAnsi="Arial" w:cs="Arial"/>
          <w:iCs/>
        </w:rPr>
        <w:t xml:space="preserve"> choice </w:t>
      </w:r>
      <w:r w:rsidR="006356D8" w:rsidRPr="009D5DFA">
        <w:rPr>
          <w:rFonts w:ascii="Arial" w:hAnsi="Arial" w:cs="Arial"/>
          <w:iCs/>
        </w:rPr>
        <w:t>in the appointment of assessors</w:t>
      </w:r>
      <w:r w:rsidR="00670182" w:rsidRPr="009D5DFA">
        <w:rPr>
          <w:rFonts w:ascii="Arial" w:hAnsi="Arial" w:cs="Arial"/>
          <w:iCs/>
        </w:rPr>
        <w:t xml:space="preserve">, together with a brief exposition of the </w:t>
      </w:r>
      <w:r w:rsidR="00111459" w:rsidRPr="009D5DFA">
        <w:rPr>
          <w:rFonts w:ascii="Arial" w:hAnsi="Arial" w:cs="Arial"/>
          <w:iCs/>
        </w:rPr>
        <w:t>import</w:t>
      </w:r>
      <w:r w:rsidR="00AF016C">
        <w:rPr>
          <w:rFonts w:ascii="Arial" w:hAnsi="Arial" w:cs="Arial"/>
          <w:iCs/>
        </w:rPr>
        <w:t xml:space="preserve"> </w:t>
      </w:r>
      <w:r w:rsidR="00111459" w:rsidRPr="009D5DFA">
        <w:rPr>
          <w:rFonts w:ascii="Arial" w:hAnsi="Arial" w:cs="Arial"/>
          <w:iCs/>
        </w:rPr>
        <w:t xml:space="preserve">of </w:t>
      </w:r>
      <w:r w:rsidR="00AF016C">
        <w:rPr>
          <w:rFonts w:ascii="Arial" w:hAnsi="Arial" w:cs="Arial"/>
          <w:iCs/>
        </w:rPr>
        <w:t>that</w:t>
      </w:r>
      <w:r w:rsidR="00C103D9" w:rsidRPr="009D5DFA">
        <w:rPr>
          <w:rFonts w:ascii="Arial" w:hAnsi="Arial" w:cs="Arial"/>
          <w:iCs/>
        </w:rPr>
        <w:t xml:space="preserve"> choice and as to what was required of them. The record should </w:t>
      </w:r>
      <w:r w:rsidR="007C6487" w:rsidRPr="009D5DFA">
        <w:rPr>
          <w:rFonts w:ascii="Arial" w:hAnsi="Arial" w:cs="Arial"/>
          <w:iCs/>
        </w:rPr>
        <w:t>also reflect</w:t>
      </w:r>
      <w:r w:rsidR="009F6B61" w:rsidRPr="009D5DFA">
        <w:rPr>
          <w:rFonts w:ascii="Arial" w:hAnsi="Arial" w:cs="Arial"/>
          <w:iCs/>
        </w:rPr>
        <w:t xml:space="preserve">, after having given such an explanation </w:t>
      </w:r>
      <w:r w:rsidR="00565340" w:rsidRPr="009D5DFA">
        <w:rPr>
          <w:rFonts w:ascii="Arial" w:hAnsi="Arial" w:cs="Arial"/>
          <w:iCs/>
        </w:rPr>
        <w:t xml:space="preserve">and requesting a response from the accused, in cases </w:t>
      </w:r>
      <w:r w:rsidR="00451DB1" w:rsidRPr="009D5DFA">
        <w:rPr>
          <w:rFonts w:ascii="Arial" w:hAnsi="Arial" w:cs="Arial"/>
          <w:iCs/>
        </w:rPr>
        <w:t>where they elected not to have assessors</w:t>
      </w:r>
      <w:r w:rsidR="00AE1703" w:rsidRPr="009D5DFA">
        <w:rPr>
          <w:rFonts w:ascii="Arial" w:hAnsi="Arial" w:cs="Arial"/>
          <w:iCs/>
        </w:rPr>
        <w:t xml:space="preserve">, that the magistrate nevertheless still considered </w:t>
      </w:r>
      <w:r w:rsidR="001266D0" w:rsidRPr="009D5DFA">
        <w:rPr>
          <w:rFonts w:ascii="Arial" w:hAnsi="Arial" w:cs="Arial"/>
          <w:iCs/>
        </w:rPr>
        <w:t xml:space="preserve">whether such course was advisable in this </w:t>
      </w:r>
      <w:r>
        <w:rPr>
          <w:rFonts w:ascii="Arial" w:hAnsi="Arial" w:cs="Arial"/>
          <w:iCs/>
        </w:rPr>
        <w:t>particular case before him’</w:t>
      </w:r>
      <w:r w:rsidR="00B07C12" w:rsidRPr="009D5DFA">
        <w:rPr>
          <w:rFonts w:ascii="Arial" w:hAnsi="Arial" w:cs="Arial"/>
          <w:iCs/>
        </w:rPr>
        <w:t xml:space="preserve">. </w:t>
      </w:r>
    </w:p>
    <w:p w14:paraId="7F7C7DA8" w14:textId="4E4FE89F" w:rsidR="00CC7241" w:rsidRPr="009D5DFA" w:rsidRDefault="009D5DFA" w:rsidP="009D5DFA">
      <w:pPr>
        <w:spacing w:after="0" w:line="360" w:lineRule="auto"/>
        <w:ind w:left="1440" w:hanging="720"/>
        <w:jc w:val="both"/>
        <w:rPr>
          <w:rFonts w:ascii="Arial" w:hAnsi="Arial" w:cs="Arial"/>
          <w:sz w:val="24"/>
          <w:szCs w:val="24"/>
        </w:rPr>
      </w:pPr>
      <w:r w:rsidRPr="009D5DFA">
        <w:rPr>
          <w:rFonts w:ascii="Arial" w:hAnsi="Arial" w:cs="Arial"/>
          <w:iCs/>
          <w:sz w:val="24"/>
          <w:szCs w:val="24"/>
        </w:rPr>
        <w:t>(</w:t>
      </w:r>
      <w:proofErr w:type="spellStart"/>
      <w:r w:rsidRPr="009D5DFA">
        <w:rPr>
          <w:rFonts w:ascii="Arial" w:hAnsi="Arial" w:cs="Arial"/>
          <w:iCs/>
          <w:sz w:val="24"/>
          <w:szCs w:val="24"/>
        </w:rPr>
        <w:t>i</w:t>
      </w:r>
      <w:proofErr w:type="spellEnd"/>
      <w:r w:rsidRPr="009D5DFA">
        <w:rPr>
          <w:rFonts w:ascii="Arial" w:hAnsi="Arial" w:cs="Arial"/>
          <w:iCs/>
          <w:sz w:val="24"/>
          <w:szCs w:val="24"/>
        </w:rPr>
        <w:t>)</w:t>
      </w:r>
      <w:r>
        <w:rPr>
          <w:rFonts w:ascii="Arial" w:hAnsi="Arial" w:cs="Arial"/>
          <w:i/>
          <w:iCs/>
          <w:sz w:val="24"/>
          <w:szCs w:val="24"/>
        </w:rPr>
        <w:tab/>
      </w:r>
      <w:r w:rsidR="009A43CA" w:rsidRPr="009D5DFA">
        <w:rPr>
          <w:rFonts w:ascii="Arial" w:hAnsi="Arial" w:cs="Arial"/>
          <w:sz w:val="24"/>
          <w:szCs w:val="24"/>
        </w:rPr>
        <w:t>In this</w:t>
      </w:r>
      <w:r w:rsidR="00764CDF" w:rsidRPr="009D5DFA">
        <w:rPr>
          <w:rFonts w:ascii="Arial" w:hAnsi="Arial" w:cs="Arial"/>
          <w:sz w:val="24"/>
          <w:szCs w:val="24"/>
        </w:rPr>
        <w:t xml:space="preserve"> </w:t>
      </w:r>
      <w:r w:rsidR="009A43CA" w:rsidRPr="009D5DFA">
        <w:rPr>
          <w:rFonts w:ascii="Arial" w:hAnsi="Arial" w:cs="Arial"/>
          <w:sz w:val="24"/>
          <w:szCs w:val="24"/>
        </w:rPr>
        <w:t>case</w:t>
      </w:r>
      <w:r w:rsidR="00AD4695" w:rsidRPr="009D5DFA">
        <w:rPr>
          <w:rFonts w:ascii="Arial" w:hAnsi="Arial" w:cs="Arial"/>
          <w:sz w:val="24"/>
          <w:szCs w:val="24"/>
        </w:rPr>
        <w:t>, the</w:t>
      </w:r>
      <w:r w:rsidR="00833166" w:rsidRPr="009D5DFA">
        <w:rPr>
          <w:rFonts w:ascii="Arial" w:hAnsi="Arial" w:cs="Arial"/>
          <w:sz w:val="24"/>
          <w:szCs w:val="24"/>
        </w:rPr>
        <w:t xml:space="preserve"> </w:t>
      </w:r>
      <w:r w:rsidRPr="009D5DFA">
        <w:rPr>
          <w:rFonts w:ascii="Arial" w:hAnsi="Arial" w:cs="Arial"/>
          <w:sz w:val="24"/>
          <w:szCs w:val="24"/>
        </w:rPr>
        <w:t>pre-trial</w:t>
      </w:r>
      <w:r w:rsidR="009B6278" w:rsidRPr="009D5DFA">
        <w:rPr>
          <w:rFonts w:ascii="Arial" w:hAnsi="Arial" w:cs="Arial"/>
          <w:sz w:val="24"/>
          <w:szCs w:val="24"/>
        </w:rPr>
        <w:t xml:space="preserve"> </w:t>
      </w:r>
      <w:r w:rsidR="00A13C08" w:rsidRPr="009D5DFA">
        <w:rPr>
          <w:rFonts w:ascii="Arial" w:hAnsi="Arial" w:cs="Arial"/>
          <w:sz w:val="24"/>
          <w:szCs w:val="24"/>
        </w:rPr>
        <w:t xml:space="preserve">conference minute </w:t>
      </w:r>
      <w:r w:rsidR="009B6278" w:rsidRPr="009D5DFA">
        <w:rPr>
          <w:rFonts w:ascii="Arial" w:hAnsi="Arial" w:cs="Arial"/>
          <w:sz w:val="24"/>
          <w:szCs w:val="24"/>
        </w:rPr>
        <w:t xml:space="preserve">is clear that </w:t>
      </w:r>
      <w:r w:rsidR="001A449D" w:rsidRPr="009D5DFA">
        <w:rPr>
          <w:rFonts w:ascii="Arial" w:hAnsi="Arial" w:cs="Arial"/>
          <w:sz w:val="24"/>
          <w:szCs w:val="24"/>
        </w:rPr>
        <w:t xml:space="preserve">the defence lawyer </w:t>
      </w:r>
      <w:r w:rsidR="00A827E6" w:rsidRPr="009D5DFA">
        <w:rPr>
          <w:rFonts w:ascii="Arial" w:hAnsi="Arial" w:cs="Arial"/>
          <w:sz w:val="24"/>
          <w:szCs w:val="24"/>
        </w:rPr>
        <w:t xml:space="preserve">and the </w:t>
      </w:r>
      <w:r w:rsidR="00A9565C">
        <w:rPr>
          <w:rFonts w:ascii="Arial" w:hAnsi="Arial" w:cs="Arial"/>
          <w:sz w:val="24"/>
          <w:szCs w:val="24"/>
        </w:rPr>
        <w:t xml:space="preserve">appellant </w:t>
      </w:r>
      <w:r w:rsidR="001A449D" w:rsidRPr="009D5DFA">
        <w:rPr>
          <w:rFonts w:ascii="Arial" w:hAnsi="Arial" w:cs="Arial"/>
          <w:sz w:val="24"/>
          <w:szCs w:val="24"/>
        </w:rPr>
        <w:t xml:space="preserve">said </w:t>
      </w:r>
      <w:r w:rsidR="00A827E6" w:rsidRPr="009D5DFA">
        <w:rPr>
          <w:rFonts w:ascii="Arial" w:hAnsi="Arial" w:cs="Arial"/>
          <w:sz w:val="24"/>
          <w:szCs w:val="24"/>
        </w:rPr>
        <w:t>that</w:t>
      </w:r>
      <w:r w:rsidR="00954965" w:rsidRPr="009D5DFA">
        <w:rPr>
          <w:rFonts w:ascii="Arial" w:hAnsi="Arial" w:cs="Arial"/>
          <w:sz w:val="24"/>
          <w:szCs w:val="24"/>
        </w:rPr>
        <w:t xml:space="preserve"> </w:t>
      </w:r>
      <w:r w:rsidR="00A9565C">
        <w:rPr>
          <w:rFonts w:ascii="Arial" w:hAnsi="Arial" w:cs="Arial"/>
          <w:sz w:val="24"/>
          <w:szCs w:val="24"/>
        </w:rPr>
        <w:t>“N</w:t>
      </w:r>
      <w:r w:rsidR="00D8304D" w:rsidRPr="009D5DFA">
        <w:rPr>
          <w:rFonts w:ascii="Arial" w:hAnsi="Arial" w:cs="Arial"/>
          <w:sz w:val="24"/>
          <w:szCs w:val="24"/>
        </w:rPr>
        <w:t xml:space="preserve">o </w:t>
      </w:r>
      <w:r w:rsidR="00C925DA" w:rsidRPr="009D5DFA">
        <w:rPr>
          <w:rFonts w:ascii="Arial" w:hAnsi="Arial" w:cs="Arial"/>
          <w:sz w:val="24"/>
          <w:szCs w:val="24"/>
        </w:rPr>
        <w:t xml:space="preserve">lay </w:t>
      </w:r>
      <w:r w:rsidR="00FE54B1" w:rsidRPr="009D5DFA">
        <w:rPr>
          <w:rFonts w:ascii="Arial" w:hAnsi="Arial" w:cs="Arial"/>
          <w:sz w:val="24"/>
          <w:szCs w:val="24"/>
        </w:rPr>
        <w:t>assessors required”</w:t>
      </w:r>
      <w:r w:rsidR="00CC7241" w:rsidRPr="009D5DFA">
        <w:rPr>
          <w:rFonts w:ascii="Arial" w:hAnsi="Arial" w:cs="Arial"/>
          <w:sz w:val="24"/>
          <w:szCs w:val="24"/>
        </w:rPr>
        <w:t>.</w:t>
      </w:r>
      <w:r w:rsidR="005304E4" w:rsidRPr="009D5DFA">
        <w:rPr>
          <w:rFonts w:ascii="Arial" w:hAnsi="Arial" w:cs="Arial"/>
          <w:sz w:val="24"/>
          <w:szCs w:val="24"/>
        </w:rPr>
        <w:t xml:space="preserve"> Given </w:t>
      </w:r>
      <w:r w:rsidR="005304E4" w:rsidRPr="009D5DFA">
        <w:rPr>
          <w:rFonts w:ascii="Arial" w:hAnsi="Arial" w:cs="Arial"/>
          <w:sz w:val="24"/>
          <w:szCs w:val="24"/>
        </w:rPr>
        <w:lastRenderedPageBreak/>
        <w:t xml:space="preserve">that </w:t>
      </w:r>
      <w:r w:rsidR="00806896" w:rsidRPr="009D5DFA">
        <w:rPr>
          <w:rFonts w:ascii="Arial" w:hAnsi="Arial" w:cs="Arial"/>
          <w:sz w:val="24"/>
          <w:szCs w:val="24"/>
        </w:rPr>
        <w:t xml:space="preserve">lawyers </w:t>
      </w:r>
      <w:r w:rsidR="007A508E" w:rsidRPr="009D5DFA">
        <w:rPr>
          <w:rFonts w:ascii="Arial" w:hAnsi="Arial" w:cs="Arial"/>
          <w:sz w:val="24"/>
          <w:szCs w:val="24"/>
        </w:rPr>
        <w:t xml:space="preserve">regularly </w:t>
      </w:r>
      <w:r w:rsidR="00806896" w:rsidRPr="009D5DFA">
        <w:rPr>
          <w:rFonts w:ascii="Arial" w:hAnsi="Arial" w:cs="Arial"/>
          <w:sz w:val="24"/>
          <w:szCs w:val="24"/>
        </w:rPr>
        <w:t>take</w:t>
      </w:r>
      <w:r w:rsidR="007A508E" w:rsidRPr="009D5DFA">
        <w:rPr>
          <w:rFonts w:ascii="Arial" w:hAnsi="Arial" w:cs="Arial"/>
          <w:sz w:val="24"/>
          <w:szCs w:val="24"/>
        </w:rPr>
        <w:t xml:space="preserve"> instructions from their clients during </w:t>
      </w:r>
      <w:r w:rsidR="00FF453E" w:rsidRPr="009D5DFA">
        <w:rPr>
          <w:rFonts w:ascii="Arial" w:hAnsi="Arial" w:cs="Arial"/>
          <w:sz w:val="24"/>
          <w:szCs w:val="24"/>
        </w:rPr>
        <w:t>such meetings</w:t>
      </w:r>
      <w:r w:rsidR="00061F4F" w:rsidRPr="009D5DFA">
        <w:rPr>
          <w:rFonts w:ascii="Arial" w:hAnsi="Arial" w:cs="Arial"/>
          <w:sz w:val="24"/>
          <w:szCs w:val="24"/>
        </w:rPr>
        <w:t xml:space="preserve">, the Court has the duty to accept that </w:t>
      </w:r>
      <w:r w:rsidR="00EB10DF" w:rsidRPr="009D5DFA">
        <w:rPr>
          <w:rFonts w:ascii="Arial" w:hAnsi="Arial" w:cs="Arial"/>
          <w:sz w:val="24"/>
          <w:szCs w:val="24"/>
        </w:rPr>
        <w:t xml:space="preserve">the defence lawyer at this </w:t>
      </w:r>
      <w:r w:rsidRPr="009D5DFA">
        <w:rPr>
          <w:rFonts w:ascii="Arial" w:hAnsi="Arial" w:cs="Arial"/>
          <w:sz w:val="24"/>
          <w:szCs w:val="24"/>
        </w:rPr>
        <w:t>pre-trial</w:t>
      </w:r>
      <w:r w:rsidR="00EB10DF" w:rsidRPr="009D5DFA">
        <w:rPr>
          <w:rFonts w:ascii="Arial" w:hAnsi="Arial" w:cs="Arial"/>
          <w:sz w:val="24"/>
          <w:szCs w:val="24"/>
        </w:rPr>
        <w:t xml:space="preserve"> </w:t>
      </w:r>
      <w:r w:rsidR="00040900" w:rsidRPr="009D5DFA">
        <w:rPr>
          <w:rFonts w:ascii="Arial" w:hAnsi="Arial" w:cs="Arial"/>
          <w:sz w:val="24"/>
          <w:szCs w:val="24"/>
        </w:rPr>
        <w:t xml:space="preserve">conference had fully applied her mind to </w:t>
      </w:r>
      <w:r w:rsidR="00C90642" w:rsidRPr="009D5DFA">
        <w:rPr>
          <w:rFonts w:ascii="Arial" w:hAnsi="Arial" w:cs="Arial"/>
          <w:sz w:val="24"/>
          <w:szCs w:val="24"/>
        </w:rPr>
        <w:t xml:space="preserve">what was in the best interests of the </w:t>
      </w:r>
      <w:r w:rsidR="00FB719E" w:rsidRPr="009D5DFA">
        <w:rPr>
          <w:rFonts w:ascii="Arial" w:hAnsi="Arial" w:cs="Arial"/>
          <w:sz w:val="24"/>
          <w:szCs w:val="24"/>
        </w:rPr>
        <w:t>a</w:t>
      </w:r>
      <w:r w:rsidR="00A9565C">
        <w:rPr>
          <w:rFonts w:ascii="Arial" w:hAnsi="Arial" w:cs="Arial"/>
          <w:sz w:val="24"/>
          <w:szCs w:val="24"/>
        </w:rPr>
        <w:t>ppellant</w:t>
      </w:r>
      <w:r w:rsidR="00C90642" w:rsidRPr="009D5DFA">
        <w:rPr>
          <w:rFonts w:ascii="Arial" w:hAnsi="Arial" w:cs="Arial"/>
          <w:sz w:val="24"/>
          <w:szCs w:val="24"/>
        </w:rPr>
        <w:t xml:space="preserve"> before confirmin</w:t>
      </w:r>
      <w:r w:rsidR="00DC1F5B" w:rsidRPr="009D5DFA">
        <w:rPr>
          <w:rFonts w:ascii="Arial" w:hAnsi="Arial" w:cs="Arial"/>
          <w:sz w:val="24"/>
          <w:szCs w:val="24"/>
        </w:rPr>
        <w:t>g “No assessors required”.</w:t>
      </w:r>
      <w:r w:rsidR="00040900" w:rsidRPr="009D5DFA">
        <w:rPr>
          <w:rFonts w:ascii="Arial" w:hAnsi="Arial" w:cs="Arial"/>
          <w:sz w:val="24"/>
          <w:szCs w:val="24"/>
        </w:rPr>
        <w:t xml:space="preserve"> </w:t>
      </w:r>
      <w:r w:rsidR="00EB10DF" w:rsidRPr="009D5DFA">
        <w:rPr>
          <w:rFonts w:ascii="Arial" w:hAnsi="Arial" w:cs="Arial"/>
          <w:sz w:val="24"/>
          <w:szCs w:val="24"/>
        </w:rPr>
        <w:t xml:space="preserve"> </w:t>
      </w:r>
      <w:r w:rsidR="00806896" w:rsidRPr="009D5DFA">
        <w:rPr>
          <w:rFonts w:ascii="Arial" w:hAnsi="Arial" w:cs="Arial"/>
          <w:sz w:val="24"/>
          <w:szCs w:val="24"/>
        </w:rPr>
        <w:t xml:space="preserve">  </w:t>
      </w:r>
      <w:r w:rsidR="005304E4" w:rsidRPr="009D5DFA">
        <w:rPr>
          <w:rFonts w:ascii="Arial" w:hAnsi="Arial" w:cs="Arial"/>
          <w:sz w:val="24"/>
          <w:szCs w:val="24"/>
        </w:rPr>
        <w:t xml:space="preserve"> </w:t>
      </w:r>
      <w:r w:rsidR="00CC7241" w:rsidRPr="009D5DFA">
        <w:rPr>
          <w:rFonts w:ascii="Arial" w:hAnsi="Arial" w:cs="Arial"/>
          <w:sz w:val="24"/>
          <w:szCs w:val="24"/>
        </w:rPr>
        <w:t xml:space="preserve"> </w:t>
      </w:r>
    </w:p>
    <w:p w14:paraId="2F7BB587" w14:textId="65664BF0" w:rsidR="00EC7809" w:rsidRPr="007E0D8C" w:rsidRDefault="009D5DFA" w:rsidP="009D5DFA">
      <w:pPr>
        <w:spacing w:after="0"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3865D8">
        <w:rPr>
          <w:rFonts w:ascii="Arial" w:hAnsi="Arial" w:cs="Arial"/>
          <w:sz w:val="24"/>
          <w:szCs w:val="24"/>
        </w:rPr>
        <w:t>It is a reasonable assumption under the circum</w:t>
      </w:r>
      <w:r w:rsidR="00FD7DCF">
        <w:rPr>
          <w:rFonts w:ascii="Arial" w:hAnsi="Arial" w:cs="Arial"/>
          <w:sz w:val="24"/>
          <w:szCs w:val="24"/>
        </w:rPr>
        <w:t xml:space="preserve">stances that the defence lawyer fully explained </w:t>
      </w:r>
      <w:r w:rsidR="00FB719E">
        <w:rPr>
          <w:rFonts w:ascii="Arial" w:hAnsi="Arial" w:cs="Arial"/>
          <w:sz w:val="24"/>
          <w:szCs w:val="24"/>
        </w:rPr>
        <w:t>the implications of s</w:t>
      </w:r>
      <w:r>
        <w:rPr>
          <w:rFonts w:ascii="Arial" w:hAnsi="Arial" w:cs="Arial"/>
          <w:sz w:val="24"/>
          <w:szCs w:val="24"/>
        </w:rPr>
        <w:t xml:space="preserve"> </w:t>
      </w:r>
      <w:r w:rsidR="00FB719E">
        <w:rPr>
          <w:rFonts w:ascii="Arial" w:hAnsi="Arial" w:cs="Arial"/>
          <w:sz w:val="24"/>
          <w:szCs w:val="24"/>
        </w:rPr>
        <w:t>93</w:t>
      </w:r>
      <w:r w:rsidR="00AF73D1" w:rsidRPr="009D5DFA">
        <w:rPr>
          <w:rFonts w:ascii="Arial" w:hAnsi="Arial" w:cs="Arial"/>
          <w:i/>
          <w:sz w:val="24"/>
          <w:szCs w:val="24"/>
        </w:rPr>
        <w:t xml:space="preserve">ter </w:t>
      </w:r>
      <w:r w:rsidR="00AF73D1">
        <w:rPr>
          <w:rFonts w:ascii="Arial" w:hAnsi="Arial" w:cs="Arial"/>
          <w:sz w:val="24"/>
          <w:szCs w:val="24"/>
        </w:rPr>
        <w:t xml:space="preserve">to the </w:t>
      </w:r>
      <w:r w:rsidR="00FB719E">
        <w:rPr>
          <w:rFonts w:ascii="Arial" w:hAnsi="Arial" w:cs="Arial"/>
          <w:sz w:val="24"/>
          <w:szCs w:val="24"/>
        </w:rPr>
        <w:t>a</w:t>
      </w:r>
      <w:r w:rsidR="00A9565C">
        <w:rPr>
          <w:rFonts w:ascii="Arial" w:hAnsi="Arial" w:cs="Arial"/>
          <w:sz w:val="24"/>
          <w:szCs w:val="24"/>
        </w:rPr>
        <w:t>ppellant</w:t>
      </w:r>
      <w:r w:rsidR="00AF73D1">
        <w:rPr>
          <w:rFonts w:ascii="Arial" w:hAnsi="Arial" w:cs="Arial"/>
          <w:sz w:val="24"/>
          <w:szCs w:val="24"/>
        </w:rPr>
        <w:t>.</w:t>
      </w:r>
    </w:p>
    <w:p w14:paraId="326655FA" w14:textId="13505C8F" w:rsidR="008E3BA8" w:rsidRPr="001E186B" w:rsidRDefault="000F60CB" w:rsidP="00DD2363">
      <w:pPr>
        <w:spacing w:after="0" w:line="360" w:lineRule="auto"/>
        <w:ind w:left="2008"/>
        <w:jc w:val="both"/>
        <w:rPr>
          <w:rFonts w:ascii="Arial" w:hAnsi="Arial" w:cs="Arial"/>
          <w:sz w:val="24"/>
          <w:szCs w:val="24"/>
        </w:rPr>
      </w:pPr>
      <w:r w:rsidRPr="001E186B">
        <w:rPr>
          <w:rFonts w:ascii="Arial" w:hAnsi="Arial" w:cs="Arial"/>
          <w:sz w:val="24"/>
          <w:szCs w:val="24"/>
        </w:rPr>
        <w:t xml:space="preserve"> </w:t>
      </w:r>
      <w:r w:rsidR="009F7709" w:rsidRPr="001E186B">
        <w:rPr>
          <w:rFonts w:ascii="Arial" w:hAnsi="Arial" w:cs="Arial"/>
          <w:sz w:val="24"/>
          <w:szCs w:val="24"/>
        </w:rPr>
        <w:t xml:space="preserve"> </w:t>
      </w:r>
    </w:p>
    <w:p w14:paraId="62D482D9" w14:textId="7725468E" w:rsidR="009D5DFA" w:rsidRDefault="009D5DFA" w:rsidP="009D5DFA">
      <w:pPr>
        <w:spacing w:after="0" w:line="360" w:lineRule="auto"/>
        <w:ind w:left="720" w:hanging="720"/>
        <w:jc w:val="both"/>
        <w:rPr>
          <w:rFonts w:ascii="Arial" w:hAnsi="Arial" w:cs="Arial"/>
          <w:sz w:val="24"/>
          <w:szCs w:val="24"/>
        </w:rPr>
      </w:pPr>
      <w:r w:rsidRPr="009D5DFA">
        <w:rPr>
          <w:rFonts w:ascii="Arial" w:hAnsi="Arial" w:cs="Arial"/>
          <w:sz w:val="24"/>
          <w:szCs w:val="24"/>
        </w:rPr>
        <w:t>(b)</w:t>
      </w:r>
      <w:r w:rsidRPr="009D5DFA">
        <w:rPr>
          <w:rFonts w:ascii="Arial" w:hAnsi="Arial" w:cs="Arial"/>
          <w:sz w:val="24"/>
          <w:szCs w:val="24"/>
        </w:rPr>
        <w:tab/>
      </w:r>
      <w:r w:rsidR="002B624F" w:rsidRPr="002B624F">
        <w:rPr>
          <w:rFonts w:ascii="Arial" w:hAnsi="Arial" w:cs="Arial"/>
          <w:i/>
          <w:sz w:val="24"/>
          <w:szCs w:val="24"/>
        </w:rPr>
        <w:t xml:space="preserve">State v </w:t>
      </w:r>
      <w:proofErr w:type="spellStart"/>
      <w:r w:rsidR="0034194E" w:rsidRPr="009D5DFA">
        <w:rPr>
          <w:rFonts w:ascii="Arial" w:hAnsi="Arial" w:cs="Arial"/>
          <w:i/>
          <w:sz w:val="24"/>
          <w:szCs w:val="24"/>
        </w:rPr>
        <w:t>Gayiya</w:t>
      </w:r>
      <w:proofErr w:type="spellEnd"/>
      <w:r w:rsidR="0034194E" w:rsidRPr="009D5DFA">
        <w:rPr>
          <w:rFonts w:ascii="Arial" w:hAnsi="Arial" w:cs="Arial"/>
          <w:i/>
          <w:sz w:val="24"/>
          <w:szCs w:val="24"/>
        </w:rPr>
        <w:t xml:space="preserve"> </w:t>
      </w:r>
      <w:r w:rsidR="002B624F">
        <w:rPr>
          <w:rFonts w:ascii="Arial" w:hAnsi="Arial" w:cs="Arial"/>
          <w:sz w:val="24"/>
          <w:szCs w:val="24"/>
        </w:rPr>
        <w:t>2016 (2) SACR 165 (SCA)</w:t>
      </w:r>
      <w:r w:rsidR="00A66C00" w:rsidRPr="00082259">
        <w:rPr>
          <w:rFonts w:ascii="Arial" w:hAnsi="Arial" w:cs="Arial"/>
          <w:sz w:val="24"/>
          <w:szCs w:val="24"/>
        </w:rPr>
        <w:t xml:space="preserve"> (May 2016).</w:t>
      </w:r>
      <w:r w:rsidR="00A03711" w:rsidRPr="00082259">
        <w:rPr>
          <w:rFonts w:ascii="Arial" w:hAnsi="Arial" w:cs="Arial"/>
          <w:sz w:val="24"/>
          <w:szCs w:val="24"/>
        </w:rPr>
        <w:t xml:space="preserve"> </w:t>
      </w:r>
      <w:r w:rsidR="002B624F">
        <w:rPr>
          <w:rFonts w:ascii="Arial" w:hAnsi="Arial" w:cs="Arial"/>
          <w:sz w:val="24"/>
          <w:szCs w:val="24"/>
        </w:rPr>
        <w:t xml:space="preserve">  </w:t>
      </w:r>
      <w:r w:rsidR="00600AE1">
        <w:rPr>
          <w:rFonts w:ascii="Arial" w:hAnsi="Arial" w:cs="Arial"/>
          <w:sz w:val="24"/>
          <w:szCs w:val="24"/>
        </w:rPr>
        <w:t>In this</w:t>
      </w:r>
      <w:r w:rsidR="009E183B" w:rsidRPr="00082259">
        <w:rPr>
          <w:rFonts w:ascii="Arial" w:hAnsi="Arial" w:cs="Arial"/>
          <w:sz w:val="24"/>
          <w:szCs w:val="24"/>
        </w:rPr>
        <w:t xml:space="preserve"> case</w:t>
      </w:r>
      <w:r w:rsidR="00F17DA5" w:rsidRPr="00082259">
        <w:rPr>
          <w:rFonts w:ascii="Arial" w:hAnsi="Arial" w:cs="Arial"/>
          <w:sz w:val="24"/>
          <w:szCs w:val="24"/>
        </w:rPr>
        <w:t xml:space="preserve"> </w:t>
      </w:r>
      <w:r w:rsidR="00F43CAA" w:rsidRPr="00082259">
        <w:rPr>
          <w:rFonts w:ascii="Arial" w:hAnsi="Arial" w:cs="Arial"/>
          <w:sz w:val="24"/>
          <w:szCs w:val="24"/>
        </w:rPr>
        <w:t>the appella</w:t>
      </w:r>
      <w:r w:rsidR="009C62E2" w:rsidRPr="00082259">
        <w:rPr>
          <w:rFonts w:ascii="Arial" w:hAnsi="Arial" w:cs="Arial"/>
          <w:sz w:val="24"/>
          <w:szCs w:val="24"/>
        </w:rPr>
        <w:t xml:space="preserve">nt </w:t>
      </w:r>
      <w:r w:rsidR="000B7BFA" w:rsidRPr="00082259">
        <w:rPr>
          <w:rFonts w:ascii="Arial" w:hAnsi="Arial" w:cs="Arial"/>
          <w:sz w:val="24"/>
          <w:szCs w:val="24"/>
        </w:rPr>
        <w:t>challenged hi</w:t>
      </w:r>
      <w:r w:rsidR="00A4558E" w:rsidRPr="00082259">
        <w:rPr>
          <w:rFonts w:ascii="Arial" w:hAnsi="Arial" w:cs="Arial"/>
          <w:sz w:val="24"/>
          <w:szCs w:val="24"/>
        </w:rPr>
        <w:t xml:space="preserve">s conviction on grounds that the State did </w:t>
      </w:r>
      <w:r w:rsidR="00600AE1">
        <w:rPr>
          <w:rFonts w:ascii="Arial" w:hAnsi="Arial" w:cs="Arial"/>
          <w:sz w:val="24"/>
          <w:szCs w:val="24"/>
        </w:rPr>
        <w:t>not invoke the provisions of s</w:t>
      </w:r>
      <w:r>
        <w:rPr>
          <w:rFonts w:ascii="Arial" w:hAnsi="Arial" w:cs="Arial"/>
          <w:sz w:val="24"/>
          <w:szCs w:val="24"/>
        </w:rPr>
        <w:t xml:space="preserve"> </w:t>
      </w:r>
      <w:r w:rsidR="004D1228" w:rsidRPr="00082259">
        <w:rPr>
          <w:rFonts w:ascii="Arial" w:hAnsi="Arial" w:cs="Arial"/>
          <w:sz w:val="24"/>
          <w:szCs w:val="24"/>
        </w:rPr>
        <w:t>93</w:t>
      </w:r>
      <w:r w:rsidR="004D1228" w:rsidRPr="00C8163F">
        <w:rPr>
          <w:rFonts w:ascii="Arial" w:hAnsi="Arial" w:cs="Arial"/>
          <w:i/>
          <w:sz w:val="24"/>
          <w:szCs w:val="24"/>
        </w:rPr>
        <w:t>ter</w:t>
      </w:r>
      <w:r w:rsidR="00600AE1">
        <w:rPr>
          <w:rFonts w:ascii="Arial" w:hAnsi="Arial" w:cs="Arial"/>
          <w:sz w:val="24"/>
          <w:szCs w:val="24"/>
        </w:rPr>
        <w:t>.</w:t>
      </w:r>
      <w:r w:rsidR="005301AC" w:rsidRPr="00082259">
        <w:rPr>
          <w:rFonts w:ascii="Arial" w:hAnsi="Arial" w:cs="Arial"/>
          <w:sz w:val="24"/>
          <w:szCs w:val="24"/>
        </w:rPr>
        <w:t xml:space="preserve"> </w:t>
      </w:r>
      <w:proofErr w:type="spellStart"/>
      <w:r w:rsidR="005301AC" w:rsidRPr="00082259">
        <w:rPr>
          <w:rFonts w:ascii="Arial" w:hAnsi="Arial" w:cs="Arial"/>
          <w:sz w:val="24"/>
          <w:szCs w:val="24"/>
        </w:rPr>
        <w:t>Mpati</w:t>
      </w:r>
      <w:proofErr w:type="spellEnd"/>
      <w:r w:rsidR="005301AC" w:rsidRPr="00082259">
        <w:rPr>
          <w:rFonts w:ascii="Arial" w:hAnsi="Arial" w:cs="Arial"/>
          <w:sz w:val="24"/>
          <w:szCs w:val="24"/>
        </w:rPr>
        <w:t xml:space="preserve"> P opined: </w:t>
      </w:r>
    </w:p>
    <w:p w14:paraId="7B3DE2D8" w14:textId="5A653BAD" w:rsidR="0005339B" w:rsidRPr="009D5DFA" w:rsidRDefault="009D5DFA" w:rsidP="009D5DFA">
      <w:pPr>
        <w:spacing w:after="0" w:line="360" w:lineRule="auto"/>
        <w:ind w:left="720"/>
        <w:jc w:val="both"/>
        <w:rPr>
          <w:rFonts w:ascii="Arial" w:hAnsi="Arial" w:cs="Arial"/>
        </w:rPr>
      </w:pPr>
      <w:r>
        <w:rPr>
          <w:rFonts w:ascii="Arial" w:hAnsi="Arial" w:cs="Arial"/>
        </w:rPr>
        <w:t>‘</w:t>
      </w:r>
      <w:r w:rsidR="002B624F">
        <w:rPr>
          <w:rFonts w:ascii="Arial" w:hAnsi="Arial" w:cs="Arial"/>
        </w:rPr>
        <w:t>[8]</w:t>
      </w:r>
      <w:r w:rsidR="002B624F">
        <w:rPr>
          <w:rFonts w:ascii="Arial" w:hAnsi="Arial" w:cs="Arial"/>
        </w:rPr>
        <w:tab/>
      </w:r>
      <w:r w:rsidR="00592F0D" w:rsidRPr="009D5DFA">
        <w:rPr>
          <w:rFonts w:ascii="Arial" w:hAnsi="Arial" w:cs="Arial"/>
          <w:iCs/>
        </w:rPr>
        <w:t xml:space="preserve">In my </w:t>
      </w:r>
      <w:r w:rsidR="002B624F">
        <w:rPr>
          <w:rFonts w:ascii="Arial" w:hAnsi="Arial" w:cs="Arial"/>
          <w:iCs/>
        </w:rPr>
        <w:t>view</w:t>
      </w:r>
      <w:r w:rsidR="002D298F" w:rsidRPr="009D5DFA">
        <w:rPr>
          <w:rFonts w:ascii="Arial" w:hAnsi="Arial" w:cs="Arial"/>
          <w:iCs/>
        </w:rPr>
        <w:t xml:space="preserve"> the issue in the appeal is the proper </w:t>
      </w:r>
      <w:r w:rsidR="000531EB" w:rsidRPr="009D5DFA">
        <w:rPr>
          <w:rFonts w:ascii="Arial" w:hAnsi="Arial" w:cs="Arial"/>
          <w:iCs/>
        </w:rPr>
        <w:t xml:space="preserve">constitution of the court before which the </w:t>
      </w:r>
      <w:r w:rsidR="00DF089D" w:rsidRPr="009D5DFA">
        <w:rPr>
          <w:rFonts w:ascii="Arial" w:hAnsi="Arial" w:cs="Arial"/>
          <w:iCs/>
        </w:rPr>
        <w:t>accused stood trial</w:t>
      </w:r>
      <w:r w:rsidR="00D23BEB" w:rsidRPr="009D5DFA">
        <w:rPr>
          <w:rFonts w:ascii="Arial" w:hAnsi="Arial" w:cs="Arial"/>
          <w:iCs/>
        </w:rPr>
        <w:t xml:space="preserve">. The section is peremptory. It ordains </w:t>
      </w:r>
      <w:r w:rsidR="00960939" w:rsidRPr="009D5DFA">
        <w:rPr>
          <w:rFonts w:ascii="Arial" w:hAnsi="Arial" w:cs="Arial"/>
          <w:iCs/>
        </w:rPr>
        <w:t xml:space="preserve">that the judicial </w:t>
      </w:r>
      <w:r w:rsidR="002E3C65" w:rsidRPr="009D5DFA">
        <w:rPr>
          <w:rFonts w:ascii="Arial" w:hAnsi="Arial" w:cs="Arial"/>
          <w:iCs/>
        </w:rPr>
        <w:t xml:space="preserve">officer presiding in a regional </w:t>
      </w:r>
      <w:r w:rsidR="0001014D" w:rsidRPr="009D5DFA">
        <w:rPr>
          <w:rFonts w:ascii="Arial" w:hAnsi="Arial" w:cs="Arial"/>
          <w:iCs/>
        </w:rPr>
        <w:t xml:space="preserve">court before which an accused is charged </w:t>
      </w:r>
      <w:r w:rsidR="00CF144B" w:rsidRPr="009D5DFA">
        <w:rPr>
          <w:rFonts w:ascii="Arial" w:hAnsi="Arial" w:cs="Arial"/>
          <w:iCs/>
        </w:rPr>
        <w:t xml:space="preserve">with murder </w:t>
      </w:r>
      <w:r w:rsidR="002B624F">
        <w:rPr>
          <w:rFonts w:ascii="Arial" w:hAnsi="Arial" w:cs="Arial"/>
          <w:iCs/>
        </w:rPr>
        <w:t xml:space="preserve">(as in this case) </w:t>
      </w:r>
      <w:r w:rsidR="00CF144B" w:rsidRPr="00601257">
        <w:rPr>
          <w:rFonts w:ascii="Arial" w:hAnsi="Arial" w:cs="Arial"/>
          <w:i/>
          <w:iCs/>
        </w:rPr>
        <w:t>shall</w:t>
      </w:r>
      <w:r w:rsidR="00CF144B" w:rsidRPr="009D5DFA">
        <w:rPr>
          <w:rFonts w:ascii="Arial" w:hAnsi="Arial" w:cs="Arial"/>
          <w:iCs/>
        </w:rPr>
        <w:t xml:space="preserve"> be assisted </w:t>
      </w:r>
      <w:r w:rsidR="00B97366" w:rsidRPr="009D5DFA">
        <w:rPr>
          <w:rFonts w:ascii="Arial" w:hAnsi="Arial" w:cs="Arial"/>
          <w:iCs/>
        </w:rPr>
        <w:t>by two assessors at the trial</w:t>
      </w:r>
      <w:r w:rsidR="007C67EF" w:rsidRPr="009D5DFA">
        <w:rPr>
          <w:rFonts w:ascii="Arial" w:hAnsi="Arial" w:cs="Arial"/>
          <w:iCs/>
        </w:rPr>
        <w:t xml:space="preserve">, unless the accused requests </w:t>
      </w:r>
      <w:r w:rsidR="00B16994" w:rsidRPr="009D5DFA">
        <w:rPr>
          <w:rFonts w:ascii="Arial" w:hAnsi="Arial" w:cs="Arial"/>
          <w:iCs/>
        </w:rPr>
        <w:t>that the trial proceed without assessors</w:t>
      </w:r>
      <w:r w:rsidR="00017F33" w:rsidRPr="009D5DFA">
        <w:rPr>
          <w:rFonts w:ascii="Arial" w:hAnsi="Arial" w:cs="Arial"/>
          <w:iCs/>
        </w:rPr>
        <w:t xml:space="preserve">. It is only where the accused makes </w:t>
      </w:r>
      <w:r w:rsidR="00AE177C" w:rsidRPr="009D5DFA">
        <w:rPr>
          <w:rFonts w:ascii="Arial" w:hAnsi="Arial" w:cs="Arial"/>
          <w:iCs/>
        </w:rPr>
        <w:t xml:space="preserve">such a request that the judicial </w:t>
      </w:r>
      <w:r w:rsidR="009C4241" w:rsidRPr="009D5DFA">
        <w:rPr>
          <w:rFonts w:ascii="Arial" w:hAnsi="Arial" w:cs="Arial"/>
          <w:iCs/>
        </w:rPr>
        <w:t xml:space="preserve">officer becomes clothed with a discretion </w:t>
      </w:r>
      <w:r w:rsidR="008B459F" w:rsidRPr="009D5DFA">
        <w:rPr>
          <w:rFonts w:ascii="Arial" w:hAnsi="Arial" w:cs="Arial"/>
          <w:iCs/>
        </w:rPr>
        <w:t>either to summon one or two assessors to ass</w:t>
      </w:r>
      <w:r w:rsidR="000A206F" w:rsidRPr="009D5DFA">
        <w:rPr>
          <w:rFonts w:ascii="Arial" w:hAnsi="Arial" w:cs="Arial"/>
          <w:iCs/>
        </w:rPr>
        <w:t xml:space="preserve">ist him </w:t>
      </w:r>
      <w:r w:rsidR="00085B51" w:rsidRPr="009D5DFA">
        <w:rPr>
          <w:rFonts w:ascii="Arial" w:hAnsi="Arial" w:cs="Arial"/>
          <w:iCs/>
        </w:rPr>
        <w:t>o</w:t>
      </w:r>
      <w:r w:rsidR="000A206F" w:rsidRPr="009D5DFA">
        <w:rPr>
          <w:rFonts w:ascii="Arial" w:hAnsi="Arial" w:cs="Arial"/>
          <w:iCs/>
        </w:rPr>
        <w:t>r to sit without an assessor</w:t>
      </w:r>
      <w:r w:rsidR="0013055B" w:rsidRPr="009D5DFA">
        <w:rPr>
          <w:rFonts w:ascii="Arial" w:hAnsi="Arial" w:cs="Arial"/>
          <w:iCs/>
        </w:rPr>
        <w:t xml:space="preserve">. The starting point, therefore, </w:t>
      </w:r>
      <w:r w:rsidR="00085B51" w:rsidRPr="009D5DFA">
        <w:rPr>
          <w:rFonts w:ascii="Arial" w:hAnsi="Arial" w:cs="Arial"/>
          <w:iCs/>
        </w:rPr>
        <w:t xml:space="preserve">is </w:t>
      </w:r>
      <w:r w:rsidR="007D0F9E" w:rsidRPr="009D5DFA">
        <w:rPr>
          <w:rFonts w:ascii="Arial" w:hAnsi="Arial" w:cs="Arial"/>
          <w:iCs/>
        </w:rPr>
        <w:t>for the regional magistrate to inform the accused</w:t>
      </w:r>
      <w:r w:rsidR="00601257">
        <w:rPr>
          <w:rFonts w:ascii="Arial" w:hAnsi="Arial" w:cs="Arial"/>
          <w:iCs/>
        </w:rPr>
        <w:t>,</w:t>
      </w:r>
      <w:r w:rsidR="007D0F9E" w:rsidRPr="009D5DFA">
        <w:rPr>
          <w:rFonts w:ascii="Arial" w:hAnsi="Arial" w:cs="Arial"/>
          <w:iCs/>
        </w:rPr>
        <w:t xml:space="preserve"> </w:t>
      </w:r>
      <w:r w:rsidR="00A3023F" w:rsidRPr="009D5DFA">
        <w:rPr>
          <w:rFonts w:ascii="Arial" w:hAnsi="Arial" w:cs="Arial"/>
          <w:iCs/>
        </w:rPr>
        <w:t xml:space="preserve">before the commencement of the trial, that it is </w:t>
      </w:r>
      <w:r w:rsidR="00600AE1" w:rsidRPr="009D5DFA">
        <w:rPr>
          <w:rFonts w:ascii="Arial" w:hAnsi="Arial" w:cs="Arial"/>
          <w:iCs/>
        </w:rPr>
        <w:t xml:space="preserve">a </w:t>
      </w:r>
      <w:r w:rsidR="00761EFD" w:rsidRPr="009D5DFA">
        <w:rPr>
          <w:rFonts w:ascii="Arial" w:hAnsi="Arial" w:cs="Arial"/>
          <w:iCs/>
        </w:rPr>
        <w:t xml:space="preserve">requirement of the law that he or she </w:t>
      </w:r>
      <w:r w:rsidR="003430DC" w:rsidRPr="009D5DFA">
        <w:rPr>
          <w:rFonts w:ascii="Arial" w:hAnsi="Arial" w:cs="Arial"/>
          <w:iCs/>
        </w:rPr>
        <w:t xml:space="preserve">must be assisted by assessors, unless he (the accused) requests </w:t>
      </w:r>
      <w:r w:rsidR="00A14656" w:rsidRPr="009D5DFA">
        <w:rPr>
          <w:rFonts w:ascii="Arial" w:hAnsi="Arial" w:cs="Arial"/>
          <w:iCs/>
        </w:rPr>
        <w:t>that the trial proceed</w:t>
      </w:r>
      <w:r w:rsidR="00916C64" w:rsidRPr="009D5DFA">
        <w:rPr>
          <w:rFonts w:ascii="Arial" w:hAnsi="Arial" w:cs="Arial"/>
          <w:iCs/>
        </w:rPr>
        <w:t xml:space="preserve"> </w:t>
      </w:r>
      <w:r>
        <w:rPr>
          <w:rFonts w:ascii="Arial" w:hAnsi="Arial" w:cs="Arial"/>
          <w:iCs/>
        </w:rPr>
        <w:t>without assessors’</w:t>
      </w:r>
      <w:r w:rsidR="00E82C2D" w:rsidRPr="009D5DFA">
        <w:rPr>
          <w:rFonts w:ascii="Arial" w:hAnsi="Arial" w:cs="Arial"/>
          <w:iCs/>
        </w:rPr>
        <w:t xml:space="preserve">. </w:t>
      </w:r>
      <w:r w:rsidR="00BA2D11" w:rsidRPr="009D5DFA">
        <w:rPr>
          <w:rFonts w:ascii="Arial" w:hAnsi="Arial" w:cs="Arial"/>
          <w:iCs/>
        </w:rPr>
        <w:t xml:space="preserve"> </w:t>
      </w:r>
    </w:p>
    <w:p w14:paraId="5CB6AC55" w14:textId="77777777" w:rsidR="00F41CC6" w:rsidRPr="00F41CC6" w:rsidRDefault="00F41CC6" w:rsidP="00DD2363">
      <w:pPr>
        <w:spacing w:after="0" w:line="360" w:lineRule="auto"/>
        <w:jc w:val="both"/>
        <w:rPr>
          <w:rFonts w:ascii="Arial" w:hAnsi="Arial" w:cs="Arial"/>
          <w:sz w:val="24"/>
          <w:szCs w:val="24"/>
        </w:rPr>
      </w:pPr>
    </w:p>
    <w:p w14:paraId="3878A3A0" w14:textId="2975E9F6" w:rsidR="009D5DFA" w:rsidRDefault="009D5DFA" w:rsidP="009D5DFA">
      <w:pPr>
        <w:spacing w:after="0" w:line="360" w:lineRule="auto"/>
        <w:ind w:left="720" w:hanging="720"/>
        <w:jc w:val="both"/>
        <w:rPr>
          <w:rFonts w:ascii="Arial" w:hAnsi="Arial" w:cs="Arial"/>
          <w:sz w:val="24"/>
          <w:szCs w:val="24"/>
        </w:rPr>
      </w:pPr>
      <w:r w:rsidRPr="009D5DFA">
        <w:rPr>
          <w:rFonts w:ascii="Arial" w:hAnsi="Arial" w:cs="Arial"/>
          <w:sz w:val="24"/>
          <w:szCs w:val="24"/>
        </w:rPr>
        <w:t>(c)</w:t>
      </w:r>
      <w:r w:rsidRPr="009D5DFA">
        <w:rPr>
          <w:rFonts w:ascii="Arial" w:hAnsi="Arial" w:cs="Arial"/>
          <w:sz w:val="24"/>
          <w:szCs w:val="24"/>
        </w:rPr>
        <w:tab/>
      </w:r>
      <w:r w:rsidR="00C8163F" w:rsidRPr="0028645D">
        <w:rPr>
          <w:rFonts w:ascii="Arial" w:hAnsi="Arial" w:cs="Arial"/>
          <w:i/>
          <w:sz w:val="24"/>
          <w:szCs w:val="24"/>
        </w:rPr>
        <w:t xml:space="preserve">S v </w:t>
      </w:r>
      <w:proofErr w:type="spellStart"/>
      <w:r w:rsidR="00C8163F" w:rsidRPr="0028645D">
        <w:rPr>
          <w:rFonts w:ascii="Arial" w:hAnsi="Arial" w:cs="Arial"/>
          <w:i/>
          <w:sz w:val="24"/>
          <w:szCs w:val="24"/>
        </w:rPr>
        <w:t>Langalitshoni</w:t>
      </w:r>
      <w:proofErr w:type="spellEnd"/>
      <w:r w:rsidR="00C8163F">
        <w:rPr>
          <w:rFonts w:ascii="Arial" w:hAnsi="Arial" w:cs="Arial"/>
          <w:sz w:val="24"/>
          <w:szCs w:val="24"/>
        </w:rPr>
        <w:t xml:space="preserve"> </w:t>
      </w:r>
      <w:r w:rsidR="00AA4FE7">
        <w:rPr>
          <w:rFonts w:ascii="Arial" w:hAnsi="Arial" w:cs="Arial"/>
          <w:sz w:val="24"/>
          <w:szCs w:val="24"/>
        </w:rPr>
        <w:t>2020</w:t>
      </w:r>
      <w:r>
        <w:rPr>
          <w:rFonts w:ascii="Arial" w:hAnsi="Arial" w:cs="Arial"/>
          <w:sz w:val="24"/>
          <w:szCs w:val="24"/>
        </w:rPr>
        <w:t xml:space="preserve"> </w:t>
      </w:r>
      <w:r w:rsidR="00AA4FE7">
        <w:rPr>
          <w:rFonts w:ascii="Arial" w:hAnsi="Arial" w:cs="Arial"/>
          <w:sz w:val="24"/>
          <w:szCs w:val="24"/>
        </w:rPr>
        <w:t>(</w:t>
      </w:r>
      <w:r w:rsidR="00014800">
        <w:rPr>
          <w:rFonts w:ascii="Arial" w:hAnsi="Arial" w:cs="Arial"/>
          <w:sz w:val="24"/>
          <w:szCs w:val="24"/>
        </w:rPr>
        <w:t>2) SAC</w:t>
      </w:r>
      <w:r w:rsidR="00600AE1">
        <w:rPr>
          <w:rFonts w:ascii="Arial" w:hAnsi="Arial" w:cs="Arial"/>
          <w:sz w:val="24"/>
          <w:szCs w:val="24"/>
        </w:rPr>
        <w:t>R 65 (</w:t>
      </w:r>
      <w:r w:rsidR="00014800">
        <w:rPr>
          <w:rFonts w:ascii="Arial" w:hAnsi="Arial" w:cs="Arial"/>
          <w:sz w:val="24"/>
          <w:szCs w:val="24"/>
        </w:rPr>
        <w:t>ECM</w:t>
      </w:r>
      <w:r w:rsidR="004B68AC">
        <w:rPr>
          <w:rFonts w:ascii="Arial" w:hAnsi="Arial" w:cs="Arial"/>
          <w:sz w:val="24"/>
          <w:szCs w:val="24"/>
        </w:rPr>
        <w:t xml:space="preserve">). In this </w:t>
      </w:r>
      <w:r w:rsidR="0033551A">
        <w:rPr>
          <w:rFonts w:ascii="Arial" w:hAnsi="Arial" w:cs="Arial"/>
          <w:sz w:val="24"/>
          <w:szCs w:val="24"/>
        </w:rPr>
        <w:t xml:space="preserve">appeal case, the court outlined how the </w:t>
      </w:r>
      <w:proofErr w:type="spellStart"/>
      <w:r w:rsidR="00F2300F" w:rsidRPr="00C8163F">
        <w:rPr>
          <w:rFonts w:ascii="Arial" w:hAnsi="Arial" w:cs="Arial"/>
          <w:i/>
          <w:sz w:val="24"/>
          <w:szCs w:val="24"/>
        </w:rPr>
        <w:t>Gayiya</w:t>
      </w:r>
      <w:proofErr w:type="spellEnd"/>
      <w:r w:rsidR="00F2300F" w:rsidRPr="00C8163F">
        <w:rPr>
          <w:rFonts w:ascii="Arial" w:hAnsi="Arial" w:cs="Arial"/>
          <w:i/>
          <w:sz w:val="24"/>
          <w:szCs w:val="24"/>
        </w:rPr>
        <w:t xml:space="preserve"> </w:t>
      </w:r>
      <w:r w:rsidR="00F2300F">
        <w:rPr>
          <w:rFonts w:ascii="Arial" w:hAnsi="Arial" w:cs="Arial"/>
          <w:sz w:val="24"/>
          <w:szCs w:val="24"/>
        </w:rPr>
        <w:t xml:space="preserve">case </w:t>
      </w:r>
      <w:r w:rsidR="0024106E">
        <w:rPr>
          <w:rFonts w:ascii="Arial" w:hAnsi="Arial" w:cs="Arial"/>
          <w:sz w:val="24"/>
          <w:szCs w:val="24"/>
        </w:rPr>
        <w:t>could be applied in cases where s</w:t>
      </w:r>
      <w:r>
        <w:rPr>
          <w:rFonts w:ascii="Arial" w:hAnsi="Arial" w:cs="Arial"/>
          <w:sz w:val="24"/>
          <w:szCs w:val="24"/>
        </w:rPr>
        <w:t xml:space="preserve"> </w:t>
      </w:r>
      <w:r w:rsidR="0024106E">
        <w:rPr>
          <w:rFonts w:ascii="Arial" w:hAnsi="Arial" w:cs="Arial"/>
          <w:sz w:val="24"/>
          <w:szCs w:val="24"/>
        </w:rPr>
        <w:t>93</w:t>
      </w:r>
      <w:r w:rsidR="0024106E" w:rsidRPr="009D5DFA">
        <w:rPr>
          <w:rFonts w:ascii="Arial" w:hAnsi="Arial" w:cs="Arial"/>
          <w:i/>
          <w:sz w:val="24"/>
          <w:szCs w:val="24"/>
        </w:rPr>
        <w:t>ter</w:t>
      </w:r>
      <w:r w:rsidR="0024106E">
        <w:rPr>
          <w:rFonts w:ascii="Arial" w:hAnsi="Arial" w:cs="Arial"/>
          <w:sz w:val="24"/>
          <w:szCs w:val="24"/>
        </w:rPr>
        <w:t xml:space="preserve"> is required</w:t>
      </w:r>
      <w:r w:rsidR="00FB726E">
        <w:rPr>
          <w:rFonts w:ascii="Arial" w:hAnsi="Arial" w:cs="Arial"/>
          <w:sz w:val="24"/>
          <w:szCs w:val="24"/>
        </w:rPr>
        <w:t xml:space="preserve">: </w:t>
      </w:r>
    </w:p>
    <w:p w14:paraId="3F793431" w14:textId="5451A9B7" w:rsidR="00082259" w:rsidRPr="009D5DFA" w:rsidRDefault="009D5DFA" w:rsidP="009D5DFA">
      <w:pPr>
        <w:spacing w:after="0" w:line="360" w:lineRule="auto"/>
        <w:ind w:left="720"/>
        <w:jc w:val="both"/>
        <w:rPr>
          <w:rFonts w:ascii="Arial" w:hAnsi="Arial" w:cs="Arial"/>
          <w:iCs/>
        </w:rPr>
      </w:pPr>
      <w:r>
        <w:rPr>
          <w:rFonts w:ascii="Arial" w:hAnsi="Arial" w:cs="Arial"/>
          <w:iCs/>
        </w:rPr>
        <w:t>‘</w:t>
      </w:r>
      <w:r w:rsidR="002B624F">
        <w:rPr>
          <w:rFonts w:ascii="Arial" w:hAnsi="Arial" w:cs="Arial"/>
          <w:iCs/>
        </w:rPr>
        <w:t>[8]</w:t>
      </w:r>
      <w:r w:rsidR="002B624F">
        <w:rPr>
          <w:rFonts w:ascii="Arial" w:hAnsi="Arial" w:cs="Arial"/>
          <w:iCs/>
        </w:rPr>
        <w:tab/>
      </w:r>
      <w:r w:rsidR="00FB726E" w:rsidRPr="009D5DFA">
        <w:rPr>
          <w:rFonts w:ascii="Arial" w:hAnsi="Arial" w:cs="Arial"/>
          <w:iCs/>
        </w:rPr>
        <w:t xml:space="preserve">The statement </w:t>
      </w:r>
      <w:r w:rsidR="00F90053" w:rsidRPr="009D5DFA">
        <w:rPr>
          <w:rFonts w:ascii="Arial" w:hAnsi="Arial" w:cs="Arial"/>
          <w:iCs/>
        </w:rPr>
        <w:t xml:space="preserve">of the </w:t>
      </w:r>
      <w:r w:rsidR="002B624F">
        <w:rPr>
          <w:rFonts w:ascii="Arial" w:hAnsi="Arial" w:cs="Arial"/>
          <w:iCs/>
        </w:rPr>
        <w:t xml:space="preserve">legal principle </w:t>
      </w:r>
      <w:r w:rsidR="00600156" w:rsidRPr="009D5DFA">
        <w:rPr>
          <w:rFonts w:ascii="Arial" w:hAnsi="Arial" w:cs="Arial"/>
          <w:iCs/>
        </w:rPr>
        <w:t xml:space="preserve">quoted in </w:t>
      </w:r>
      <w:r w:rsidR="002B624F">
        <w:rPr>
          <w:rFonts w:ascii="Arial" w:hAnsi="Arial" w:cs="Arial"/>
          <w:iCs/>
        </w:rPr>
        <w:t>(</w:t>
      </w:r>
      <w:r w:rsidR="00600156" w:rsidRPr="009D5DFA">
        <w:rPr>
          <w:rFonts w:ascii="Arial" w:hAnsi="Arial" w:cs="Arial"/>
          <w:iCs/>
        </w:rPr>
        <w:t xml:space="preserve">the </w:t>
      </w:r>
      <w:proofErr w:type="spellStart"/>
      <w:r w:rsidR="00DE32B8" w:rsidRPr="009D5DFA">
        <w:rPr>
          <w:rFonts w:ascii="Arial" w:hAnsi="Arial" w:cs="Arial"/>
          <w:iCs/>
        </w:rPr>
        <w:t>Gayiya</w:t>
      </w:r>
      <w:proofErr w:type="spellEnd"/>
      <w:r w:rsidR="00DE32B8" w:rsidRPr="009D5DFA">
        <w:rPr>
          <w:rFonts w:ascii="Arial" w:hAnsi="Arial" w:cs="Arial"/>
          <w:iCs/>
        </w:rPr>
        <w:t xml:space="preserve"> case</w:t>
      </w:r>
      <w:r w:rsidR="002B624F">
        <w:rPr>
          <w:rFonts w:ascii="Arial" w:hAnsi="Arial" w:cs="Arial"/>
          <w:iCs/>
        </w:rPr>
        <w:t>)</w:t>
      </w:r>
      <w:r w:rsidR="00DE32B8" w:rsidRPr="009D5DFA">
        <w:rPr>
          <w:rFonts w:ascii="Arial" w:hAnsi="Arial" w:cs="Arial"/>
          <w:iCs/>
        </w:rPr>
        <w:t xml:space="preserve"> has the effect of </w:t>
      </w:r>
      <w:r w:rsidR="00713220" w:rsidRPr="009D5DFA">
        <w:rPr>
          <w:rFonts w:ascii="Arial" w:hAnsi="Arial" w:cs="Arial"/>
          <w:iCs/>
        </w:rPr>
        <w:t xml:space="preserve">creating an obligation on the part of </w:t>
      </w:r>
      <w:r w:rsidR="00D613B6" w:rsidRPr="009D5DFA">
        <w:rPr>
          <w:rFonts w:ascii="Arial" w:hAnsi="Arial" w:cs="Arial"/>
          <w:iCs/>
        </w:rPr>
        <w:t xml:space="preserve">a regional </w:t>
      </w:r>
      <w:r w:rsidR="00663FA5" w:rsidRPr="009D5DFA">
        <w:rPr>
          <w:rFonts w:ascii="Arial" w:hAnsi="Arial" w:cs="Arial"/>
          <w:iCs/>
        </w:rPr>
        <w:t xml:space="preserve">magistrate presiding </w:t>
      </w:r>
      <w:r w:rsidR="004B1C9A" w:rsidRPr="009D5DFA">
        <w:rPr>
          <w:rFonts w:ascii="Arial" w:hAnsi="Arial" w:cs="Arial"/>
          <w:iCs/>
        </w:rPr>
        <w:t xml:space="preserve">over a trial involving </w:t>
      </w:r>
      <w:r w:rsidR="00D814A8" w:rsidRPr="009D5DFA">
        <w:rPr>
          <w:rFonts w:ascii="Arial" w:hAnsi="Arial" w:cs="Arial"/>
          <w:iCs/>
        </w:rPr>
        <w:t>a charge of murder. There</w:t>
      </w:r>
      <w:r w:rsidR="002B624F">
        <w:rPr>
          <w:rFonts w:ascii="Arial" w:hAnsi="Arial" w:cs="Arial"/>
          <w:iCs/>
        </w:rPr>
        <w:t xml:space="preserve"> are</w:t>
      </w:r>
      <w:r w:rsidR="00D814A8" w:rsidRPr="009D5DFA">
        <w:rPr>
          <w:rFonts w:ascii="Arial" w:hAnsi="Arial" w:cs="Arial"/>
          <w:iCs/>
        </w:rPr>
        <w:t xml:space="preserve"> two </w:t>
      </w:r>
      <w:r w:rsidR="002B624F">
        <w:rPr>
          <w:rFonts w:ascii="Arial" w:hAnsi="Arial" w:cs="Arial"/>
          <w:iCs/>
        </w:rPr>
        <w:t>elements to the</w:t>
      </w:r>
      <w:r w:rsidR="00B9702C" w:rsidRPr="009D5DFA">
        <w:rPr>
          <w:rFonts w:ascii="Arial" w:hAnsi="Arial" w:cs="Arial"/>
          <w:iCs/>
        </w:rPr>
        <w:t xml:space="preserve"> obligation. The first is </w:t>
      </w:r>
      <w:r w:rsidR="00C666CA" w:rsidRPr="009D5DFA">
        <w:rPr>
          <w:rFonts w:ascii="Arial" w:hAnsi="Arial" w:cs="Arial"/>
          <w:iCs/>
        </w:rPr>
        <w:t>to inform the accused</w:t>
      </w:r>
      <w:r w:rsidR="002B624F">
        <w:rPr>
          <w:rFonts w:ascii="Arial" w:hAnsi="Arial" w:cs="Arial"/>
          <w:iCs/>
        </w:rPr>
        <w:t xml:space="preserve"> person</w:t>
      </w:r>
      <w:r w:rsidR="00C666CA" w:rsidRPr="009D5DFA">
        <w:rPr>
          <w:rFonts w:ascii="Arial" w:hAnsi="Arial" w:cs="Arial"/>
          <w:iCs/>
        </w:rPr>
        <w:t xml:space="preserve"> before the comme</w:t>
      </w:r>
      <w:r w:rsidR="005B40AB" w:rsidRPr="009D5DFA">
        <w:rPr>
          <w:rFonts w:ascii="Arial" w:hAnsi="Arial" w:cs="Arial"/>
          <w:iCs/>
        </w:rPr>
        <w:t>ncement of the proceedings what the perempto</w:t>
      </w:r>
      <w:r w:rsidR="00683E37" w:rsidRPr="009D5DFA">
        <w:rPr>
          <w:rFonts w:ascii="Arial" w:hAnsi="Arial" w:cs="Arial"/>
          <w:iCs/>
        </w:rPr>
        <w:t>ry</w:t>
      </w:r>
      <w:r w:rsidR="007B3688" w:rsidRPr="009D5DFA">
        <w:rPr>
          <w:rFonts w:ascii="Arial" w:hAnsi="Arial" w:cs="Arial"/>
          <w:iCs/>
        </w:rPr>
        <w:t xml:space="preserve"> </w:t>
      </w:r>
      <w:r w:rsidR="0011358F" w:rsidRPr="009D5DFA">
        <w:rPr>
          <w:rFonts w:ascii="Arial" w:hAnsi="Arial" w:cs="Arial"/>
          <w:iCs/>
        </w:rPr>
        <w:t xml:space="preserve">provisions of the law </w:t>
      </w:r>
      <w:r w:rsidR="00D80204" w:rsidRPr="009D5DFA">
        <w:rPr>
          <w:rFonts w:ascii="Arial" w:hAnsi="Arial" w:cs="Arial"/>
          <w:iCs/>
        </w:rPr>
        <w:t xml:space="preserve">require </w:t>
      </w:r>
      <w:r w:rsidR="007B3688" w:rsidRPr="009D5DFA">
        <w:rPr>
          <w:rFonts w:ascii="Arial" w:hAnsi="Arial" w:cs="Arial"/>
          <w:iCs/>
        </w:rPr>
        <w:t>to ensure pro</w:t>
      </w:r>
      <w:r w:rsidR="00F94DAD" w:rsidRPr="009D5DFA">
        <w:rPr>
          <w:rFonts w:ascii="Arial" w:hAnsi="Arial" w:cs="Arial"/>
          <w:iCs/>
        </w:rPr>
        <w:t xml:space="preserve">per constitution of the regional </w:t>
      </w:r>
      <w:r w:rsidR="004C2B0F" w:rsidRPr="009D5DFA">
        <w:rPr>
          <w:rFonts w:ascii="Arial" w:hAnsi="Arial" w:cs="Arial"/>
          <w:iCs/>
        </w:rPr>
        <w:t xml:space="preserve">court. The second element is to inform the accused </w:t>
      </w:r>
      <w:r w:rsidR="002B624F">
        <w:rPr>
          <w:rFonts w:ascii="Arial" w:hAnsi="Arial" w:cs="Arial"/>
          <w:iCs/>
        </w:rPr>
        <w:t xml:space="preserve">person </w:t>
      </w:r>
      <w:r w:rsidR="00655AE1" w:rsidRPr="009D5DFA">
        <w:rPr>
          <w:rFonts w:ascii="Arial" w:hAnsi="Arial" w:cs="Arial"/>
          <w:iCs/>
        </w:rPr>
        <w:t xml:space="preserve">that </w:t>
      </w:r>
      <w:r w:rsidR="005F2CF9" w:rsidRPr="009D5DFA">
        <w:rPr>
          <w:rFonts w:ascii="Arial" w:hAnsi="Arial" w:cs="Arial"/>
          <w:iCs/>
        </w:rPr>
        <w:t xml:space="preserve">he or she may elect to proceed with the trial </w:t>
      </w:r>
      <w:r w:rsidR="00CF242C" w:rsidRPr="009D5DFA">
        <w:rPr>
          <w:rFonts w:ascii="Arial" w:hAnsi="Arial" w:cs="Arial"/>
          <w:iCs/>
        </w:rPr>
        <w:t>without assessors.</w:t>
      </w:r>
      <w:r>
        <w:rPr>
          <w:rFonts w:ascii="Arial" w:hAnsi="Arial" w:cs="Arial"/>
          <w:iCs/>
        </w:rPr>
        <w:t>’</w:t>
      </w:r>
      <w:r w:rsidR="005B40AB" w:rsidRPr="009D5DFA">
        <w:rPr>
          <w:rFonts w:ascii="Arial" w:hAnsi="Arial" w:cs="Arial"/>
          <w:iCs/>
        </w:rPr>
        <w:t xml:space="preserve"> </w:t>
      </w:r>
      <w:r w:rsidR="00713220" w:rsidRPr="009D5DFA">
        <w:rPr>
          <w:rFonts w:ascii="Arial" w:hAnsi="Arial" w:cs="Arial"/>
          <w:iCs/>
        </w:rPr>
        <w:t xml:space="preserve"> </w:t>
      </w:r>
    </w:p>
    <w:p w14:paraId="5B17EA8D" w14:textId="7C8ACE6C" w:rsidR="000400B5" w:rsidRPr="000400B5" w:rsidRDefault="000400B5" w:rsidP="00DD2363">
      <w:pPr>
        <w:spacing w:after="0" w:line="360" w:lineRule="auto"/>
        <w:jc w:val="both"/>
        <w:rPr>
          <w:rFonts w:ascii="Arial" w:hAnsi="Arial" w:cs="Arial"/>
          <w:sz w:val="24"/>
          <w:szCs w:val="24"/>
        </w:rPr>
      </w:pPr>
    </w:p>
    <w:p w14:paraId="392A563C" w14:textId="51B43AD2" w:rsidR="0046718E" w:rsidRPr="001114FC" w:rsidRDefault="006639F6" w:rsidP="00DD2363">
      <w:pPr>
        <w:spacing w:after="0" w:line="360" w:lineRule="auto"/>
        <w:jc w:val="both"/>
        <w:rPr>
          <w:rFonts w:ascii="Arial" w:hAnsi="Arial" w:cs="Arial"/>
          <w:sz w:val="24"/>
          <w:szCs w:val="24"/>
        </w:rPr>
      </w:pPr>
      <w:r>
        <w:rPr>
          <w:rFonts w:ascii="Arial" w:hAnsi="Arial" w:cs="Arial"/>
          <w:sz w:val="24"/>
          <w:szCs w:val="24"/>
        </w:rPr>
        <w:lastRenderedPageBreak/>
        <w:t>[13</w:t>
      </w:r>
      <w:r w:rsidR="009D5DFA">
        <w:rPr>
          <w:rFonts w:ascii="Arial" w:hAnsi="Arial" w:cs="Arial"/>
          <w:sz w:val="24"/>
          <w:szCs w:val="24"/>
        </w:rPr>
        <w:t>]</w:t>
      </w:r>
      <w:r w:rsidR="009D5DFA">
        <w:rPr>
          <w:rFonts w:ascii="Arial" w:hAnsi="Arial" w:cs="Arial"/>
          <w:sz w:val="24"/>
          <w:szCs w:val="24"/>
        </w:rPr>
        <w:tab/>
      </w:r>
      <w:r w:rsidR="003F73C2">
        <w:rPr>
          <w:rFonts w:ascii="Arial" w:hAnsi="Arial" w:cs="Arial"/>
          <w:sz w:val="24"/>
          <w:szCs w:val="24"/>
        </w:rPr>
        <w:t xml:space="preserve">Subject to what is said in the separate concurring judgment, in my view the requirements </w:t>
      </w:r>
      <w:r w:rsidR="001114FC">
        <w:rPr>
          <w:rFonts w:ascii="Arial" w:hAnsi="Arial" w:cs="Arial"/>
          <w:sz w:val="24"/>
          <w:szCs w:val="24"/>
        </w:rPr>
        <w:t>for compliance with s 93</w:t>
      </w:r>
      <w:r w:rsidR="001114FC" w:rsidRPr="00C8163F">
        <w:rPr>
          <w:rFonts w:ascii="Arial" w:hAnsi="Arial" w:cs="Arial"/>
          <w:i/>
          <w:sz w:val="24"/>
          <w:szCs w:val="24"/>
        </w:rPr>
        <w:t>ter</w:t>
      </w:r>
      <w:r w:rsidR="001114FC">
        <w:rPr>
          <w:rFonts w:ascii="Arial" w:hAnsi="Arial" w:cs="Arial"/>
          <w:sz w:val="24"/>
          <w:szCs w:val="24"/>
        </w:rPr>
        <w:t xml:space="preserve"> were met in this case. There is not only a record of the defence lawyer dispensing with the need for assessors, but also a record of the appellant himself doing so.</w:t>
      </w:r>
    </w:p>
    <w:p w14:paraId="5AC79D0F" w14:textId="77777777" w:rsidR="00D95B31" w:rsidRPr="007E0D8C" w:rsidRDefault="00D95B31" w:rsidP="00DD2363">
      <w:pPr>
        <w:pStyle w:val="ListParagraph"/>
        <w:spacing w:after="0" w:line="360" w:lineRule="auto"/>
        <w:jc w:val="both"/>
        <w:rPr>
          <w:rFonts w:ascii="Arial" w:hAnsi="Arial" w:cs="Arial"/>
          <w:sz w:val="24"/>
          <w:szCs w:val="24"/>
        </w:rPr>
      </w:pPr>
    </w:p>
    <w:p w14:paraId="5968A4FB" w14:textId="4A863BA6" w:rsidR="001114FC" w:rsidRDefault="00AE542C" w:rsidP="00087899">
      <w:pPr>
        <w:spacing w:after="0" w:line="360" w:lineRule="auto"/>
        <w:jc w:val="both"/>
        <w:rPr>
          <w:rFonts w:ascii="Arial" w:hAnsi="Arial" w:cs="Arial"/>
          <w:sz w:val="24"/>
          <w:szCs w:val="24"/>
        </w:rPr>
      </w:pPr>
      <w:r>
        <w:rPr>
          <w:rFonts w:ascii="Arial" w:hAnsi="Arial" w:cs="Arial"/>
          <w:sz w:val="24"/>
          <w:szCs w:val="24"/>
        </w:rPr>
        <w:t>[1</w:t>
      </w:r>
      <w:r w:rsidR="006639F6">
        <w:rPr>
          <w:rFonts w:ascii="Arial" w:hAnsi="Arial" w:cs="Arial"/>
          <w:sz w:val="24"/>
          <w:szCs w:val="24"/>
        </w:rPr>
        <w:t>4</w:t>
      </w:r>
      <w:r>
        <w:rPr>
          <w:rFonts w:ascii="Arial" w:hAnsi="Arial" w:cs="Arial"/>
          <w:sz w:val="24"/>
          <w:szCs w:val="24"/>
        </w:rPr>
        <w:t>]</w:t>
      </w:r>
      <w:r>
        <w:rPr>
          <w:rFonts w:ascii="Arial" w:hAnsi="Arial" w:cs="Arial"/>
          <w:sz w:val="24"/>
          <w:szCs w:val="24"/>
        </w:rPr>
        <w:tab/>
      </w:r>
      <w:r w:rsidR="009C4891" w:rsidRPr="00AE542C">
        <w:rPr>
          <w:rFonts w:ascii="Arial" w:hAnsi="Arial" w:cs="Arial"/>
          <w:sz w:val="24"/>
          <w:szCs w:val="24"/>
        </w:rPr>
        <w:t xml:space="preserve"> At th</w:t>
      </w:r>
      <w:r w:rsidR="005D1A2A">
        <w:rPr>
          <w:rFonts w:ascii="Arial" w:hAnsi="Arial" w:cs="Arial"/>
          <w:sz w:val="24"/>
          <w:szCs w:val="24"/>
        </w:rPr>
        <w:t>is</w:t>
      </w:r>
      <w:r w:rsidR="009C4891" w:rsidRPr="00AE542C">
        <w:rPr>
          <w:rFonts w:ascii="Arial" w:hAnsi="Arial" w:cs="Arial"/>
          <w:sz w:val="24"/>
          <w:szCs w:val="24"/>
        </w:rPr>
        <w:t xml:space="preserve"> appeal </w:t>
      </w:r>
      <w:r w:rsidR="00C47966" w:rsidRPr="00AE542C">
        <w:rPr>
          <w:rFonts w:ascii="Arial" w:hAnsi="Arial" w:cs="Arial"/>
          <w:sz w:val="24"/>
          <w:szCs w:val="24"/>
        </w:rPr>
        <w:t xml:space="preserve">hearing, </w:t>
      </w:r>
      <w:r w:rsidR="006442D6" w:rsidRPr="00AE542C">
        <w:rPr>
          <w:rFonts w:ascii="Arial" w:hAnsi="Arial" w:cs="Arial"/>
          <w:sz w:val="24"/>
          <w:szCs w:val="24"/>
        </w:rPr>
        <w:t xml:space="preserve">Mr </w:t>
      </w:r>
      <w:proofErr w:type="spellStart"/>
      <w:r w:rsidR="006442D6" w:rsidRPr="009D5DFA">
        <w:rPr>
          <w:rFonts w:ascii="Arial" w:hAnsi="Arial" w:cs="Arial"/>
          <w:i/>
          <w:sz w:val="24"/>
          <w:szCs w:val="24"/>
        </w:rPr>
        <w:t>Majola</w:t>
      </w:r>
      <w:proofErr w:type="spellEnd"/>
      <w:r w:rsidR="00A70E4A" w:rsidRPr="00AE542C">
        <w:rPr>
          <w:rFonts w:ascii="Arial" w:hAnsi="Arial" w:cs="Arial"/>
          <w:sz w:val="24"/>
          <w:szCs w:val="24"/>
        </w:rPr>
        <w:t xml:space="preserve"> appearing for the </w:t>
      </w:r>
      <w:r w:rsidR="00C8163F">
        <w:rPr>
          <w:rFonts w:ascii="Arial" w:hAnsi="Arial" w:cs="Arial"/>
          <w:sz w:val="24"/>
          <w:szCs w:val="24"/>
        </w:rPr>
        <w:t>r</w:t>
      </w:r>
      <w:r w:rsidR="004657A1">
        <w:rPr>
          <w:rFonts w:ascii="Arial" w:hAnsi="Arial" w:cs="Arial"/>
          <w:sz w:val="24"/>
          <w:szCs w:val="24"/>
        </w:rPr>
        <w:t>espondent</w:t>
      </w:r>
      <w:r w:rsidR="00A70E4A" w:rsidRPr="00AE542C">
        <w:rPr>
          <w:rFonts w:ascii="Arial" w:hAnsi="Arial" w:cs="Arial"/>
          <w:sz w:val="24"/>
          <w:szCs w:val="24"/>
        </w:rPr>
        <w:t xml:space="preserve"> </w:t>
      </w:r>
      <w:r w:rsidR="00AD40C3" w:rsidRPr="00AE542C">
        <w:rPr>
          <w:rFonts w:ascii="Arial" w:hAnsi="Arial" w:cs="Arial"/>
          <w:sz w:val="24"/>
          <w:szCs w:val="24"/>
        </w:rPr>
        <w:t xml:space="preserve">warned that </w:t>
      </w:r>
      <w:r w:rsidR="001114FC">
        <w:rPr>
          <w:rFonts w:ascii="Arial" w:hAnsi="Arial" w:cs="Arial"/>
          <w:sz w:val="24"/>
          <w:szCs w:val="24"/>
        </w:rPr>
        <w:t>in deciding whether</w:t>
      </w:r>
      <w:r w:rsidR="00AD40C3" w:rsidRPr="00AE542C">
        <w:rPr>
          <w:rFonts w:ascii="Arial" w:hAnsi="Arial" w:cs="Arial"/>
          <w:sz w:val="24"/>
          <w:szCs w:val="24"/>
        </w:rPr>
        <w:t xml:space="preserve"> </w:t>
      </w:r>
      <w:r w:rsidR="00FD6163" w:rsidRPr="00AE542C">
        <w:rPr>
          <w:rFonts w:ascii="Arial" w:hAnsi="Arial" w:cs="Arial"/>
          <w:sz w:val="24"/>
          <w:szCs w:val="24"/>
        </w:rPr>
        <w:t xml:space="preserve">the court a quo was </w:t>
      </w:r>
      <w:r w:rsidR="00BF5122" w:rsidRPr="00AE542C">
        <w:rPr>
          <w:rFonts w:ascii="Arial" w:hAnsi="Arial" w:cs="Arial"/>
          <w:sz w:val="24"/>
          <w:szCs w:val="24"/>
        </w:rPr>
        <w:t xml:space="preserve">properly constituted we must </w:t>
      </w:r>
      <w:r w:rsidR="00150B24" w:rsidRPr="00AE542C">
        <w:rPr>
          <w:rFonts w:ascii="Arial" w:hAnsi="Arial" w:cs="Arial"/>
          <w:sz w:val="24"/>
          <w:szCs w:val="24"/>
        </w:rPr>
        <w:t>avoid “</w:t>
      </w:r>
      <w:r w:rsidR="00150B24" w:rsidRPr="00AE542C">
        <w:rPr>
          <w:rFonts w:ascii="Arial" w:hAnsi="Arial" w:cs="Arial"/>
          <w:i/>
          <w:iCs/>
          <w:sz w:val="24"/>
          <w:szCs w:val="24"/>
        </w:rPr>
        <w:t>throwing the baby with the bath water”</w:t>
      </w:r>
      <w:r w:rsidR="00E27EE1" w:rsidRPr="00AE542C">
        <w:rPr>
          <w:rFonts w:ascii="Arial" w:hAnsi="Arial" w:cs="Arial"/>
          <w:i/>
          <w:iCs/>
          <w:sz w:val="24"/>
          <w:szCs w:val="24"/>
        </w:rPr>
        <w:t xml:space="preserve"> </w:t>
      </w:r>
      <w:r w:rsidR="002B2A72" w:rsidRPr="00AE542C">
        <w:rPr>
          <w:rFonts w:ascii="Arial" w:hAnsi="Arial" w:cs="Arial"/>
          <w:sz w:val="24"/>
          <w:szCs w:val="24"/>
        </w:rPr>
        <w:t xml:space="preserve">by setting </w:t>
      </w:r>
      <w:r w:rsidR="00AC190D" w:rsidRPr="00AE542C">
        <w:rPr>
          <w:rFonts w:ascii="Arial" w:hAnsi="Arial" w:cs="Arial"/>
          <w:sz w:val="24"/>
          <w:szCs w:val="24"/>
        </w:rPr>
        <w:t xml:space="preserve">aside </w:t>
      </w:r>
      <w:r w:rsidR="00CF0940" w:rsidRPr="00AE542C">
        <w:rPr>
          <w:rFonts w:ascii="Arial" w:hAnsi="Arial" w:cs="Arial"/>
          <w:sz w:val="24"/>
          <w:szCs w:val="24"/>
        </w:rPr>
        <w:t xml:space="preserve">the </w:t>
      </w:r>
      <w:r w:rsidR="001114FC">
        <w:rPr>
          <w:rFonts w:ascii="Arial" w:hAnsi="Arial" w:cs="Arial"/>
          <w:sz w:val="24"/>
          <w:szCs w:val="24"/>
        </w:rPr>
        <w:t xml:space="preserve">proceedings where there is a clear record of the subject of the section being dealt with by a represented accused. As to the significance of </w:t>
      </w:r>
      <w:r w:rsidR="00600AE1">
        <w:rPr>
          <w:rFonts w:ascii="Arial" w:hAnsi="Arial" w:cs="Arial"/>
          <w:sz w:val="24"/>
          <w:szCs w:val="24"/>
        </w:rPr>
        <w:t>the argument</w:t>
      </w:r>
      <w:r w:rsidR="001114FC">
        <w:rPr>
          <w:rFonts w:ascii="Arial" w:hAnsi="Arial" w:cs="Arial"/>
          <w:sz w:val="24"/>
          <w:szCs w:val="24"/>
        </w:rPr>
        <w:t>, I refer to</w:t>
      </w:r>
      <w:r w:rsidR="00E27EE1" w:rsidRPr="00AE542C">
        <w:rPr>
          <w:rFonts w:ascii="Arial" w:hAnsi="Arial" w:cs="Arial"/>
          <w:sz w:val="24"/>
          <w:szCs w:val="24"/>
        </w:rPr>
        <w:t xml:space="preserve"> </w:t>
      </w:r>
      <w:r w:rsidR="007E14D3" w:rsidRPr="009D5DFA">
        <w:rPr>
          <w:rFonts w:ascii="Arial" w:hAnsi="Arial" w:cs="Arial"/>
          <w:i/>
          <w:sz w:val="24"/>
          <w:szCs w:val="24"/>
        </w:rPr>
        <w:t>S</w:t>
      </w:r>
      <w:r w:rsidR="00003FF4" w:rsidRPr="009D5DFA">
        <w:rPr>
          <w:rFonts w:ascii="Arial" w:hAnsi="Arial" w:cs="Arial"/>
          <w:i/>
          <w:sz w:val="24"/>
          <w:szCs w:val="24"/>
        </w:rPr>
        <w:t xml:space="preserve"> v </w:t>
      </w:r>
      <w:proofErr w:type="spellStart"/>
      <w:r w:rsidR="00003FF4" w:rsidRPr="009D5DFA">
        <w:rPr>
          <w:rFonts w:ascii="Arial" w:hAnsi="Arial" w:cs="Arial"/>
          <w:i/>
          <w:sz w:val="24"/>
          <w:szCs w:val="24"/>
        </w:rPr>
        <w:t>Gumede</w:t>
      </w:r>
      <w:proofErr w:type="spellEnd"/>
      <w:r w:rsidR="00003FF4" w:rsidRPr="009D5DFA">
        <w:rPr>
          <w:rFonts w:ascii="Arial" w:hAnsi="Arial" w:cs="Arial"/>
          <w:i/>
          <w:sz w:val="24"/>
          <w:szCs w:val="24"/>
        </w:rPr>
        <w:t xml:space="preserve"> and Others</w:t>
      </w:r>
      <w:r w:rsidR="00003FF4" w:rsidRPr="001114FC">
        <w:rPr>
          <w:rFonts w:ascii="Arial" w:hAnsi="Arial" w:cs="Arial"/>
          <w:sz w:val="24"/>
          <w:szCs w:val="24"/>
        </w:rPr>
        <w:t xml:space="preserve"> 2020 (1) SACR </w:t>
      </w:r>
      <w:r w:rsidR="00CC65E8">
        <w:rPr>
          <w:rFonts w:ascii="Arial" w:hAnsi="Arial" w:cs="Arial"/>
          <w:sz w:val="24"/>
          <w:szCs w:val="24"/>
        </w:rPr>
        <w:t>644 (KZP</w:t>
      </w:r>
      <w:r w:rsidR="00603EEE" w:rsidRPr="001114FC">
        <w:rPr>
          <w:rFonts w:ascii="Arial" w:hAnsi="Arial" w:cs="Arial"/>
          <w:sz w:val="24"/>
          <w:szCs w:val="24"/>
        </w:rPr>
        <w:t>)</w:t>
      </w:r>
      <w:r w:rsidR="0095169F" w:rsidRPr="001114FC">
        <w:rPr>
          <w:rFonts w:ascii="Arial" w:hAnsi="Arial" w:cs="Arial"/>
          <w:sz w:val="24"/>
          <w:szCs w:val="24"/>
        </w:rPr>
        <w:t xml:space="preserve">, </w:t>
      </w:r>
      <w:r w:rsidR="001114FC">
        <w:rPr>
          <w:rFonts w:ascii="Arial" w:hAnsi="Arial" w:cs="Arial"/>
          <w:sz w:val="24"/>
          <w:szCs w:val="24"/>
        </w:rPr>
        <w:t xml:space="preserve">where </w:t>
      </w:r>
      <w:r w:rsidR="0095169F" w:rsidRPr="001114FC">
        <w:rPr>
          <w:rFonts w:ascii="Arial" w:hAnsi="Arial" w:cs="Arial"/>
          <w:sz w:val="24"/>
          <w:szCs w:val="24"/>
        </w:rPr>
        <w:t xml:space="preserve">Olsen J </w:t>
      </w:r>
      <w:r w:rsidR="00BF1655" w:rsidRPr="001114FC">
        <w:rPr>
          <w:rFonts w:ascii="Arial" w:hAnsi="Arial" w:cs="Arial"/>
          <w:sz w:val="24"/>
          <w:szCs w:val="24"/>
        </w:rPr>
        <w:t xml:space="preserve">(with Vahed J and Masipa J </w:t>
      </w:r>
      <w:r w:rsidR="00FE7CB9" w:rsidRPr="001114FC">
        <w:rPr>
          <w:rFonts w:ascii="Arial" w:hAnsi="Arial" w:cs="Arial"/>
          <w:sz w:val="24"/>
          <w:szCs w:val="24"/>
        </w:rPr>
        <w:t xml:space="preserve">concurring) </w:t>
      </w:r>
      <w:r w:rsidR="00330161" w:rsidRPr="001114FC">
        <w:rPr>
          <w:rFonts w:ascii="Arial" w:hAnsi="Arial" w:cs="Arial"/>
          <w:sz w:val="24"/>
          <w:szCs w:val="24"/>
        </w:rPr>
        <w:t>wrote</w:t>
      </w:r>
      <w:r w:rsidR="001114FC">
        <w:rPr>
          <w:rFonts w:ascii="Arial" w:hAnsi="Arial" w:cs="Arial"/>
          <w:sz w:val="24"/>
          <w:szCs w:val="24"/>
        </w:rPr>
        <w:t>:</w:t>
      </w:r>
    </w:p>
    <w:p w14:paraId="71A292D5" w14:textId="19F0D332" w:rsidR="00486A92" w:rsidRPr="009D5DFA" w:rsidRDefault="009D5DFA" w:rsidP="009D5DFA">
      <w:pPr>
        <w:spacing w:after="0" w:line="360" w:lineRule="auto"/>
        <w:jc w:val="both"/>
        <w:rPr>
          <w:rFonts w:ascii="Arial" w:hAnsi="Arial" w:cs="Arial"/>
        </w:rPr>
      </w:pPr>
      <w:r>
        <w:rPr>
          <w:rFonts w:ascii="Arial" w:hAnsi="Arial" w:cs="Arial"/>
        </w:rPr>
        <w:t>‘</w:t>
      </w:r>
      <w:r w:rsidR="00CC65E8">
        <w:rPr>
          <w:rFonts w:ascii="Arial" w:hAnsi="Arial" w:cs="Arial"/>
        </w:rPr>
        <w:t>[13]</w:t>
      </w:r>
      <w:r w:rsidR="00CC65E8">
        <w:rPr>
          <w:rFonts w:ascii="Arial" w:hAnsi="Arial" w:cs="Arial"/>
        </w:rPr>
        <w:tab/>
      </w:r>
      <w:r w:rsidR="00D46A74" w:rsidRPr="009D5DFA">
        <w:rPr>
          <w:rFonts w:ascii="Arial" w:hAnsi="Arial" w:cs="Arial"/>
          <w:iCs/>
        </w:rPr>
        <w:t xml:space="preserve">Legal </w:t>
      </w:r>
      <w:r w:rsidR="00983CF5" w:rsidRPr="009D5DFA">
        <w:rPr>
          <w:rFonts w:ascii="Arial" w:hAnsi="Arial" w:cs="Arial"/>
          <w:iCs/>
        </w:rPr>
        <w:t>representatives are officers of the court. Judicia</w:t>
      </w:r>
      <w:r w:rsidR="00CC65E8">
        <w:rPr>
          <w:rFonts w:ascii="Arial" w:hAnsi="Arial" w:cs="Arial"/>
          <w:iCs/>
        </w:rPr>
        <w:t>l officers “</w:t>
      </w:r>
      <w:r w:rsidR="009D7FD7" w:rsidRPr="009D5DFA">
        <w:rPr>
          <w:rFonts w:ascii="Arial" w:hAnsi="Arial" w:cs="Arial"/>
          <w:iCs/>
        </w:rPr>
        <w:t xml:space="preserve">act on the assumption that a duly admitted lawyer is </w:t>
      </w:r>
      <w:r w:rsidR="00E45433" w:rsidRPr="009D5DFA">
        <w:rPr>
          <w:rFonts w:ascii="Arial" w:hAnsi="Arial" w:cs="Arial"/>
          <w:iCs/>
        </w:rPr>
        <w:t>competent</w:t>
      </w:r>
      <w:r w:rsidR="00CC65E8">
        <w:rPr>
          <w:rFonts w:ascii="Arial" w:hAnsi="Arial" w:cs="Arial"/>
          <w:iCs/>
        </w:rPr>
        <w:t>”</w:t>
      </w:r>
      <w:r w:rsidR="00C85857" w:rsidRPr="009D5DFA">
        <w:rPr>
          <w:rFonts w:ascii="Arial" w:hAnsi="Arial" w:cs="Arial"/>
          <w:iCs/>
        </w:rPr>
        <w:t>.</w:t>
      </w:r>
      <w:r w:rsidR="00CC65E8">
        <w:rPr>
          <w:rFonts w:ascii="Arial" w:hAnsi="Arial" w:cs="Arial"/>
          <w:iCs/>
        </w:rPr>
        <w:t xml:space="preserve"> </w:t>
      </w:r>
      <w:r w:rsidR="00C85857" w:rsidRPr="009D5DFA">
        <w:rPr>
          <w:rFonts w:ascii="Arial" w:hAnsi="Arial" w:cs="Arial"/>
          <w:iCs/>
        </w:rPr>
        <w:t xml:space="preserve"> </w:t>
      </w:r>
      <w:r w:rsidR="00505E33" w:rsidRPr="009D5DFA">
        <w:rPr>
          <w:rFonts w:ascii="Arial" w:hAnsi="Arial" w:cs="Arial"/>
          <w:iCs/>
        </w:rPr>
        <w:t>(</w:t>
      </w:r>
      <w:r w:rsidR="00505E33" w:rsidRPr="00601257">
        <w:rPr>
          <w:rFonts w:ascii="Arial" w:hAnsi="Arial" w:cs="Arial"/>
          <w:i/>
          <w:iCs/>
        </w:rPr>
        <w:t xml:space="preserve">S v </w:t>
      </w:r>
      <w:proofErr w:type="spellStart"/>
      <w:r w:rsidR="00505E33" w:rsidRPr="00601257">
        <w:rPr>
          <w:rFonts w:ascii="Arial" w:hAnsi="Arial" w:cs="Arial"/>
          <w:i/>
          <w:iCs/>
        </w:rPr>
        <w:t>Halgryn</w:t>
      </w:r>
      <w:proofErr w:type="spellEnd"/>
      <w:r w:rsidR="00505E33" w:rsidRPr="009D5DFA">
        <w:rPr>
          <w:rFonts w:ascii="Arial" w:hAnsi="Arial" w:cs="Arial"/>
          <w:iCs/>
        </w:rPr>
        <w:t xml:space="preserve"> 2002 (2) SACR 211 (SCA) </w:t>
      </w:r>
      <w:r w:rsidR="00DE58B9" w:rsidRPr="009D5DFA">
        <w:rPr>
          <w:rFonts w:ascii="Arial" w:hAnsi="Arial" w:cs="Arial"/>
          <w:iCs/>
        </w:rPr>
        <w:t xml:space="preserve">[2002] 4 All SA </w:t>
      </w:r>
      <w:r w:rsidR="00FA4A47" w:rsidRPr="009D5DFA">
        <w:rPr>
          <w:rFonts w:ascii="Arial" w:hAnsi="Arial" w:cs="Arial"/>
          <w:iCs/>
        </w:rPr>
        <w:t>157) para 12.) Whilst the assumption</w:t>
      </w:r>
      <w:r w:rsidR="00D84E57" w:rsidRPr="009D5DFA">
        <w:rPr>
          <w:rFonts w:ascii="Arial" w:hAnsi="Arial" w:cs="Arial"/>
          <w:iCs/>
        </w:rPr>
        <w:t xml:space="preserve"> of </w:t>
      </w:r>
      <w:r w:rsidR="00C2031A" w:rsidRPr="009D5DFA">
        <w:rPr>
          <w:rFonts w:ascii="Arial" w:hAnsi="Arial" w:cs="Arial"/>
          <w:iCs/>
        </w:rPr>
        <w:t>competency may prove to be erro</w:t>
      </w:r>
      <w:r w:rsidR="005322E1" w:rsidRPr="009D5DFA">
        <w:rPr>
          <w:rFonts w:ascii="Arial" w:hAnsi="Arial" w:cs="Arial"/>
          <w:iCs/>
        </w:rPr>
        <w:t>neous in any particular case</w:t>
      </w:r>
      <w:r w:rsidR="00632779" w:rsidRPr="009D5DFA">
        <w:rPr>
          <w:rFonts w:ascii="Arial" w:hAnsi="Arial" w:cs="Arial"/>
          <w:iCs/>
        </w:rPr>
        <w:t xml:space="preserve">, it is nevertheless the assumption upon </w:t>
      </w:r>
      <w:r w:rsidR="00973DA1" w:rsidRPr="009D5DFA">
        <w:rPr>
          <w:rFonts w:ascii="Arial" w:hAnsi="Arial" w:cs="Arial"/>
          <w:iCs/>
        </w:rPr>
        <w:t xml:space="preserve">which courts can and must act unless and until </w:t>
      </w:r>
      <w:r w:rsidR="00E94A67" w:rsidRPr="009D5DFA">
        <w:rPr>
          <w:rFonts w:ascii="Arial" w:hAnsi="Arial" w:cs="Arial"/>
          <w:iCs/>
        </w:rPr>
        <w:t>adequate reason not to do so emerges</w:t>
      </w:r>
      <w:r>
        <w:rPr>
          <w:rFonts w:ascii="Arial" w:hAnsi="Arial" w:cs="Arial"/>
          <w:iCs/>
        </w:rPr>
        <w:t>.’</w:t>
      </w:r>
    </w:p>
    <w:p w14:paraId="5D8ACFF6" w14:textId="598FDF70" w:rsidR="0042671B" w:rsidRPr="001114FC" w:rsidRDefault="001E0329" w:rsidP="009D5DFA">
      <w:pPr>
        <w:spacing w:after="0" w:line="360" w:lineRule="auto"/>
        <w:jc w:val="both"/>
        <w:rPr>
          <w:rFonts w:ascii="Arial" w:hAnsi="Arial" w:cs="Arial"/>
          <w:sz w:val="24"/>
          <w:szCs w:val="24"/>
        </w:rPr>
      </w:pPr>
      <w:r w:rsidRPr="001114FC">
        <w:rPr>
          <w:rFonts w:ascii="Arial" w:hAnsi="Arial" w:cs="Arial"/>
          <w:sz w:val="24"/>
          <w:szCs w:val="24"/>
        </w:rPr>
        <w:t xml:space="preserve">This court has no reason to doubt the legal competence of the </w:t>
      </w:r>
      <w:r w:rsidR="00101B8C" w:rsidRPr="001114FC">
        <w:rPr>
          <w:rFonts w:ascii="Arial" w:hAnsi="Arial" w:cs="Arial"/>
          <w:sz w:val="24"/>
          <w:szCs w:val="24"/>
        </w:rPr>
        <w:t xml:space="preserve">defence lawyer in </w:t>
      </w:r>
      <w:r w:rsidR="001114FC">
        <w:rPr>
          <w:rFonts w:ascii="Arial" w:hAnsi="Arial" w:cs="Arial"/>
          <w:sz w:val="24"/>
          <w:szCs w:val="24"/>
        </w:rPr>
        <w:t>this</w:t>
      </w:r>
      <w:r w:rsidR="00101B8C" w:rsidRPr="001114FC">
        <w:rPr>
          <w:rFonts w:ascii="Arial" w:hAnsi="Arial" w:cs="Arial"/>
          <w:sz w:val="24"/>
          <w:szCs w:val="24"/>
        </w:rPr>
        <w:t xml:space="preserve"> case</w:t>
      </w:r>
      <w:r w:rsidR="00211DC9" w:rsidRPr="001114FC">
        <w:rPr>
          <w:rFonts w:ascii="Arial" w:hAnsi="Arial" w:cs="Arial"/>
          <w:sz w:val="24"/>
          <w:szCs w:val="24"/>
        </w:rPr>
        <w:t xml:space="preserve">. We therefore accept that the defence lawyer’s </w:t>
      </w:r>
      <w:r w:rsidR="006274AF" w:rsidRPr="001114FC">
        <w:rPr>
          <w:rFonts w:ascii="Arial" w:hAnsi="Arial" w:cs="Arial"/>
          <w:sz w:val="24"/>
          <w:szCs w:val="24"/>
        </w:rPr>
        <w:t xml:space="preserve">“No assessors required” confirmation </w:t>
      </w:r>
      <w:r w:rsidR="008551C5" w:rsidRPr="001114FC">
        <w:rPr>
          <w:rFonts w:ascii="Arial" w:hAnsi="Arial" w:cs="Arial"/>
          <w:sz w:val="24"/>
          <w:szCs w:val="24"/>
        </w:rPr>
        <w:t>rendered</w:t>
      </w:r>
      <w:r w:rsidR="006274AF" w:rsidRPr="001114FC">
        <w:rPr>
          <w:rFonts w:ascii="Arial" w:hAnsi="Arial" w:cs="Arial"/>
          <w:sz w:val="24"/>
          <w:szCs w:val="24"/>
        </w:rPr>
        <w:t xml:space="preserve"> </w:t>
      </w:r>
      <w:r w:rsidR="00145604" w:rsidRPr="001114FC">
        <w:rPr>
          <w:rFonts w:ascii="Arial" w:hAnsi="Arial" w:cs="Arial"/>
          <w:sz w:val="24"/>
          <w:szCs w:val="24"/>
        </w:rPr>
        <w:t xml:space="preserve">the continuation </w:t>
      </w:r>
      <w:r w:rsidR="004802C2" w:rsidRPr="001114FC">
        <w:rPr>
          <w:rFonts w:ascii="Arial" w:hAnsi="Arial" w:cs="Arial"/>
          <w:sz w:val="24"/>
          <w:szCs w:val="24"/>
        </w:rPr>
        <w:t xml:space="preserve">of </w:t>
      </w:r>
      <w:r w:rsidR="0006686B" w:rsidRPr="001114FC">
        <w:rPr>
          <w:rFonts w:ascii="Arial" w:hAnsi="Arial" w:cs="Arial"/>
          <w:sz w:val="24"/>
          <w:szCs w:val="24"/>
        </w:rPr>
        <w:t xml:space="preserve">the </w:t>
      </w:r>
      <w:r w:rsidR="00FB719E">
        <w:rPr>
          <w:rFonts w:ascii="Arial" w:hAnsi="Arial" w:cs="Arial"/>
          <w:sz w:val="24"/>
          <w:szCs w:val="24"/>
        </w:rPr>
        <w:t>a</w:t>
      </w:r>
      <w:r w:rsidR="00CC65E8">
        <w:rPr>
          <w:rFonts w:ascii="Arial" w:hAnsi="Arial" w:cs="Arial"/>
          <w:sz w:val="24"/>
          <w:szCs w:val="24"/>
        </w:rPr>
        <w:t>ppellant’s</w:t>
      </w:r>
      <w:r w:rsidR="0006686B" w:rsidRPr="001114FC">
        <w:rPr>
          <w:rFonts w:ascii="Arial" w:hAnsi="Arial" w:cs="Arial"/>
          <w:sz w:val="24"/>
          <w:szCs w:val="24"/>
        </w:rPr>
        <w:t xml:space="preserve"> trial </w:t>
      </w:r>
      <w:r w:rsidR="00766701" w:rsidRPr="001114FC">
        <w:rPr>
          <w:rFonts w:ascii="Arial" w:hAnsi="Arial" w:cs="Arial"/>
          <w:sz w:val="24"/>
          <w:szCs w:val="24"/>
        </w:rPr>
        <w:t xml:space="preserve">to be within the prescripts of </w:t>
      </w:r>
      <w:r w:rsidR="007D2ED9" w:rsidRPr="001114FC">
        <w:rPr>
          <w:rFonts w:ascii="Arial" w:hAnsi="Arial" w:cs="Arial"/>
          <w:sz w:val="24"/>
          <w:szCs w:val="24"/>
        </w:rPr>
        <w:t>s</w:t>
      </w:r>
      <w:r w:rsidR="009D5DFA">
        <w:rPr>
          <w:rFonts w:ascii="Arial" w:hAnsi="Arial" w:cs="Arial"/>
          <w:sz w:val="24"/>
          <w:szCs w:val="24"/>
        </w:rPr>
        <w:t xml:space="preserve"> </w:t>
      </w:r>
      <w:r w:rsidR="007D2ED9" w:rsidRPr="001114FC">
        <w:rPr>
          <w:rFonts w:ascii="Arial" w:hAnsi="Arial" w:cs="Arial"/>
          <w:sz w:val="24"/>
          <w:szCs w:val="24"/>
        </w:rPr>
        <w:t>93</w:t>
      </w:r>
      <w:r w:rsidR="007D2ED9" w:rsidRPr="009D5DFA">
        <w:rPr>
          <w:rFonts w:ascii="Arial" w:hAnsi="Arial" w:cs="Arial"/>
          <w:i/>
          <w:sz w:val="24"/>
          <w:szCs w:val="24"/>
        </w:rPr>
        <w:t>ter</w:t>
      </w:r>
      <w:r w:rsidR="007D2ED9" w:rsidRPr="001114FC">
        <w:rPr>
          <w:rFonts w:ascii="Arial" w:hAnsi="Arial" w:cs="Arial"/>
          <w:sz w:val="24"/>
          <w:szCs w:val="24"/>
        </w:rPr>
        <w:t>.</w:t>
      </w:r>
      <w:r w:rsidR="00766701" w:rsidRPr="001114FC">
        <w:rPr>
          <w:rFonts w:ascii="Arial" w:hAnsi="Arial" w:cs="Arial"/>
          <w:sz w:val="24"/>
          <w:szCs w:val="24"/>
        </w:rPr>
        <w:t xml:space="preserve"> </w:t>
      </w:r>
      <w:r w:rsidR="006B2623" w:rsidRPr="001114FC">
        <w:rPr>
          <w:rFonts w:ascii="Arial" w:hAnsi="Arial" w:cs="Arial"/>
          <w:sz w:val="24"/>
          <w:szCs w:val="24"/>
        </w:rPr>
        <w:t xml:space="preserve"> </w:t>
      </w:r>
      <w:r w:rsidR="001114FC">
        <w:rPr>
          <w:rFonts w:ascii="Arial" w:hAnsi="Arial" w:cs="Arial"/>
          <w:sz w:val="24"/>
          <w:szCs w:val="24"/>
        </w:rPr>
        <w:t xml:space="preserve">It may be assumed that </w:t>
      </w:r>
      <w:r w:rsidR="00CC65E8">
        <w:rPr>
          <w:rFonts w:ascii="Arial" w:hAnsi="Arial" w:cs="Arial"/>
          <w:sz w:val="24"/>
          <w:szCs w:val="24"/>
        </w:rPr>
        <w:t xml:space="preserve">the </w:t>
      </w:r>
      <w:r w:rsidR="00DD2363">
        <w:rPr>
          <w:rFonts w:ascii="Arial" w:hAnsi="Arial" w:cs="Arial"/>
          <w:sz w:val="24"/>
          <w:szCs w:val="24"/>
        </w:rPr>
        <w:t>appellant made his election with the benefit of advice.</w:t>
      </w:r>
    </w:p>
    <w:p w14:paraId="6FBF6455" w14:textId="77777777" w:rsidR="00D95B31" w:rsidRPr="007E0D8C" w:rsidRDefault="00D95B31" w:rsidP="00DD2363">
      <w:pPr>
        <w:pStyle w:val="ListParagraph"/>
        <w:spacing w:after="0" w:line="360" w:lineRule="auto"/>
        <w:jc w:val="both"/>
        <w:rPr>
          <w:rFonts w:ascii="Arial" w:hAnsi="Arial" w:cs="Arial"/>
          <w:sz w:val="24"/>
          <w:szCs w:val="24"/>
        </w:rPr>
      </w:pPr>
    </w:p>
    <w:p w14:paraId="3C9CFB0F" w14:textId="6D1A64D4" w:rsidR="00826D06" w:rsidRPr="00E41DE2" w:rsidRDefault="009D5DFA" w:rsidP="00DD2363">
      <w:pPr>
        <w:spacing w:after="0" w:line="360" w:lineRule="auto"/>
        <w:jc w:val="both"/>
        <w:rPr>
          <w:rFonts w:ascii="Arial" w:hAnsi="Arial" w:cs="Arial"/>
          <w:b/>
          <w:bCs/>
          <w:sz w:val="24"/>
          <w:szCs w:val="24"/>
        </w:rPr>
      </w:pPr>
      <w:r>
        <w:rPr>
          <w:rFonts w:ascii="Arial" w:hAnsi="Arial" w:cs="Arial"/>
          <w:b/>
          <w:bCs/>
          <w:sz w:val="24"/>
          <w:szCs w:val="24"/>
        </w:rPr>
        <w:t>Order</w:t>
      </w:r>
    </w:p>
    <w:p w14:paraId="0B92C3C6" w14:textId="37B5E793" w:rsidR="00D249E7" w:rsidRPr="009D5DFA" w:rsidRDefault="00087899" w:rsidP="009D5DFA">
      <w:pPr>
        <w:spacing w:after="0" w:line="360" w:lineRule="auto"/>
        <w:jc w:val="both"/>
        <w:rPr>
          <w:rFonts w:ascii="Arial" w:hAnsi="Arial" w:cs="Arial"/>
          <w:sz w:val="24"/>
          <w:szCs w:val="24"/>
        </w:rPr>
      </w:pPr>
      <w:r>
        <w:rPr>
          <w:rFonts w:ascii="Arial" w:hAnsi="Arial" w:cs="Arial"/>
          <w:sz w:val="24"/>
          <w:szCs w:val="24"/>
        </w:rPr>
        <w:t>Th</w:t>
      </w:r>
      <w:r w:rsidRPr="00CB081C">
        <w:rPr>
          <w:rFonts w:ascii="Arial" w:hAnsi="Arial" w:cs="Arial"/>
          <w:sz w:val="24"/>
          <w:szCs w:val="24"/>
        </w:rPr>
        <w:t>e following order is made:</w:t>
      </w:r>
    </w:p>
    <w:p w14:paraId="7F914267" w14:textId="188CE91C" w:rsidR="00014FE3" w:rsidRPr="001869CE" w:rsidRDefault="0080568D" w:rsidP="001869CE">
      <w:pPr>
        <w:spacing w:after="0" w:line="360" w:lineRule="auto"/>
        <w:jc w:val="both"/>
        <w:rPr>
          <w:rFonts w:ascii="Arial" w:hAnsi="Arial" w:cs="Arial"/>
          <w:b/>
          <w:sz w:val="24"/>
          <w:szCs w:val="24"/>
        </w:rPr>
      </w:pPr>
      <w:r w:rsidRPr="001869CE">
        <w:rPr>
          <w:rFonts w:ascii="Arial" w:hAnsi="Arial" w:cs="Arial"/>
          <w:b/>
          <w:sz w:val="24"/>
          <w:szCs w:val="24"/>
        </w:rPr>
        <w:t>(a)</w:t>
      </w:r>
      <w:r w:rsidRPr="001869CE">
        <w:rPr>
          <w:rFonts w:ascii="Arial" w:hAnsi="Arial" w:cs="Arial"/>
          <w:b/>
          <w:sz w:val="24"/>
          <w:szCs w:val="24"/>
        </w:rPr>
        <w:tab/>
      </w:r>
      <w:r w:rsidR="000535E2" w:rsidRPr="001869CE">
        <w:rPr>
          <w:rFonts w:ascii="Arial" w:hAnsi="Arial" w:cs="Arial"/>
          <w:b/>
          <w:sz w:val="24"/>
          <w:szCs w:val="24"/>
        </w:rPr>
        <w:t xml:space="preserve">The </w:t>
      </w:r>
      <w:r w:rsidR="0082535E" w:rsidRPr="001869CE">
        <w:rPr>
          <w:rFonts w:ascii="Arial" w:hAnsi="Arial" w:cs="Arial"/>
          <w:b/>
          <w:sz w:val="24"/>
          <w:szCs w:val="24"/>
        </w:rPr>
        <w:t>a</w:t>
      </w:r>
      <w:r w:rsidR="005C4DCB" w:rsidRPr="001869CE">
        <w:rPr>
          <w:rFonts w:ascii="Arial" w:hAnsi="Arial" w:cs="Arial"/>
          <w:b/>
          <w:sz w:val="24"/>
          <w:szCs w:val="24"/>
        </w:rPr>
        <w:t xml:space="preserve">ppeal is </w:t>
      </w:r>
      <w:r w:rsidR="00B216E5" w:rsidRPr="001869CE">
        <w:rPr>
          <w:rFonts w:ascii="Arial" w:hAnsi="Arial" w:cs="Arial"/>
          <w:b/>
          <w:sz w:val="24"/>
          <w:szCs w:val="24"/>
        </w:rPr>
        <w:t>dismissed</w:t>
      </w:r>
      <w:r w:rsidR="00826D06" w:rsidRPr="001869CE">
        <w:rPr>
          <w:rFonts w:ascii="Arial" w:hAnsi="Arial" w:cs="Arial"/>
          <w:b/>
          <w:sz w:val="24"/>
          <w:szCs w:val="24"/>
        </w:rPr>
        <w:t>.</w:t>
      </w:r>
      <w:r w:rsidR="00014FE3" w:rsidRPr="001869CE">
        <w:rPr>
          <w:rFonts w:ascii="Arial" w:hAnsi="Arial" w:cs="Arial"/>
          <w:b/>
          <w:sz w:val="24"/>
          <w:szCs w:val="24"/>
        </w:rPr>
        <w:t xml:space="preserve"> </w:t>
      </w:r>
    </w:p>
    <w:p w14:paraId="78AAB522" w14:textId="2DEBFB2C" w:rsidR="00743DAD" w:rsidRPr="001869CE" w:rsidRDefault="0080568D" w:rsidP="001869CE">
      <w:pPr>
        <w:spacing w:after="0" w:line="360" w:lineRule="auto"/>
        <w:jc w:val="both"/>
        <w:rPr>
          <w:rFonts w:ascii="Arial" w:hAnsi="Arial" w:cs="Arial"/>
          <w:b/>
          <w:sz w:val="24"/>
          <w:szCs w:val="24"/>
        </w:rPr>
      </w:pPr>
      <w:r w:rsidRPr="001869CE">
        <w:rPr>
          <w:rFonts w:ascii="Arial" w:hAnsi="Arial" w:cs="Arial"/>
          <w:b/>
          <w:sz w:val="24"/>
          <w:szCs w:val="24"/>
        </w:rPr>
        <w:t>(b)</w:t>
      </w:r>
      <w:r w:rsidRPr="001869CE">
        <w:rPr>
          <w:rFonts w:ascii="Arial" w:hAnsi="Arial" w:cs="Arial"/>
          <w:b/>
          <w:sz w:val="24"/>
          <w:szCs w:val="24"/>
        </w:rPr>
        <w:tab/>
      </w:r>
      <w:r w:rsidR="002545AF" w:rsidRPr="001869CE">
        <w:rPr>
          <w:rFonts w:ascii="Arial" w:hAnsi="Arial" w:cs="Arial"/>
          <w:b/>
          <w:sz w:val="24"/>
          <w:szCs w:val="24"/>
        </w:rPr>
        <w:t>Both conviction and</w:t>
      </w:r>
      <w:r w:rsidR="00F13FDF" w:rsidRPr="001869CE">
        <w:rPr>
          <w:rFonts w:ascii="Arial" w:hAnsi="Arial" w:cs="Arial"/>
          <w:b/>
          <w:sz w:val="24"/>
          <w:szCs w:val="24"/>
        </w:rPr>
        <w:t xml:space="preserve"> </w:t>
      </w:r>
      <w:r w:rsidR="002545AF" w:rsidRPr="001869CE">
        <w:rPr>
          <w:rFonts w:ascii="Arial" w:hAnsi="Arial" w:cs="Arial"/>
          <w:b/>
          <w:sz w:val="24"/>
          <w:szCs w:val="24"/>
        </w:rPr>
        <w:t>sentence are</w:t>
      </w:r>
      <w:r w:rsidR="006639F6" w:rsidRPr="001869CE">
        <w:rPr>
          <w:rFonts w:ascii="Arial" w:hAnsi="Arial" w:cs="Arial"/>
          <w:b/>
          <w:sz w:val="24"/>
          <w:szCs w:val="24"/>
        </w:rPr>
        <w:t xml:space="preserve"> confirmed</w:t>
      </w:r>
      <w:r w:rsidR="00EE129F" w:rsidRPr="001869CE">
        <w:rPr>
          <w:rFonts w:ascii="Arial" w:hAnsi="Arial" w:cs="Arial"/>
          <w:b/>
          <w:sz w:val="24"/>
          <w:szCs w:val="24"/>
        </w:rPr>
        <w:t>.</w:t>
      </w:r>
      <w:r w:rsidR="002545AF" w:rsidRPr="001869CE">
        <w:rPr>
          <w:rFonts w:ascii="Arial" w:hAnsi="Arial" w:cs="Arial"/>
          <w:b/>
          <w:sz w:val="24"/>
          <w:szCs w:val="24"/>
        </w:rPr>
        <w:t xml:space="preserve"> </w:t>
      </w:r>
    </w:p>
    <w:p w14:paraId="62DCE917" w14:textId="77777777" w:rsidR="00C8163F" w:rsidRDefault="00C8163F" w:rsidP="0028645D">
      <w:pPr>
        <w:spacing w:after="0" w:line="360" w:lineRule="auto"/>
        <w:jc w:val="both"/>
        <w:rPr>
          <w:rFonts w:ascii="Arial" w:hAnsi="Arial" w:cs="Arial"/>
          <w:b/>
          <w:bCs/>
          <w:sz w:val="24"/>
          <w:szCs w:val="24"/>
        </w:rPr>
      </w:pPr>
    </w:p>
    <w:p w14:paraId="2170F528" w14:textId="77777777" w:rsidR="001869CE" w:rsidRDefault="001869CE" w:rsidP="0028645D">
      <w:pPr>
        <w:spacing w:after="0" w:line="360" w:lineRule="auto"/>
        <w:jc w:val="both"/>
        <w:rPr>
          <w:rFonts w:ascii="Arial" w:hAnsi="Arial" w:cs="Arial"/>
          <w:b/>
          <w:bCs/>
          <w:sz w:val="24"/>
          <w:szCs w:val="24"/>
        </w:rPr>
      </w:pPr>
    </w:p>
    <w:p w14:paraId="372AE4F7" w14:textId="51EEA2C4" w:rsidR="006C3DF0" w:rsidRPr="007E7477" w:rsidRDefault="00D61EB4" w:rsidP="006C3DF0">
      <w:pPr>
        <w:spacing w:after="0" w:line="360" w:lineRule="auto"/>
        <w:jc w:val="both"/>
        <w:rPr>
          <w:rFonts w:ascii="Arial" w:hAnsi="Arial" w:cs="Arial"/>
          <w:sz w:val="24"/>
          <w:szCs w:val="24"/>
        </w:rPr>
      </w:pPr>
      <w:r>
        <w:rPr>
          <w:rFonts w:ascii="Arial" w:hAnsi="Arial" w:cs="Arial"/>
          <w:b/>
          <w:bCs/>
          <w:sz w:val="24"/>
          <w:szCs w:val="24"/>
        </w:rPr>
        <w:t>Olsen J</w:t>
      </w:r>
      <w:proofErr w:type="gramStart"/>
      <w:r w:rsidR="00147623">
        <w:rPr>
          <w:rFonts w:ascii="Arial" w:hAnsi="Arial" w:cs="Arial"/>
          <w:b/>
          <w:bCs/>
          <w:sz w:val="24"/>
          <w:szCs w:val="24"/>
        </w:rPr>
        <w:t xml:space="preserve"> </w:t>
      </w:r>
      <w:r w:rsidR="006C3DF0">
        <w:rPr>
          <w:rFonts w:ascii="Arial" w:hAnsi="Arial" w:cs="Arial"/>
          <w:b/>
          <w:bCs/>
          <w:sz w:val="24"/>
          <w:szCs w:val="24"/>
        </w:rPr>
        <w:t xml:space="preserve"> </w:t>
      </w:r>
      <w:r w:rsidR="00147623">
        <w:rPr>
          <w:rFonts w:ascii="Arial" w:hAnsi="Arial" w:cs="Arial"/>
          <w:b/>
          <w:bCs/>
          <w:sz w:val="24"/>
          <w:szCs w:val="24"/>
        </w:rPr>
        <w:t xml:space="preserve"> </w:t>
      </w:r>
      <w:r w:rsidR="006C3DF0">
        <w:rPr>
          <w:rFonts w:ascii="Arial" w:hAnsi="Arial" w:cs="Arial"/>
          <w:b/>
          <w:bCs/>
          <w:sz w:val="24"/>
          <w:szCs w:val="24"/>
        </w:rPr>
        <w:t>(</w:t>
      </w:r>
      <w:proofErr w:type="gramEnd"/>
      <w:r w:rsidR="006C3DF0">
        <w:rPr>
          <w:rFonts w:ascii="Arial" w:hAnsi="Arial" w:cs="Arial"/>
          <w:b/>
          <w:bCs/>
          <w:sz w:val="24"/>
          <w:szCs w:val="24"/>
        </w:rPr>
        <w:t>DUMISA A</w:t>
      </w:r>
      <w:r w:rsidR="006C3DF0" w:rsidRPr="007E0D8C">
        <w:rPr>
          <w:rFonts w:ascii="Arial" w:hAnsi="Arial" w:cs="Arial"/>
          <w:b/>
          <w:bCs/>
          <w:sz w:val="24"/>
          <w:szCs w:val="24"/>
        </w:rPr>
        <w:t>J concurring</w:t>
      </w:r>
      <w:r w:rsidR="006C3DF0">
        <w:rPr>
          <w:rFonts w:ascii="Arial" w:hAnsi="Arial" w:cs="Arial"/>
          <w:b/>
          <w:bCs/>
          <w:sz w:val="24"/>
          <w:szCs w:val="24"/>
        </w:rPr>
        <w:t xml:space="preserve">) </w:t>
      </w:r>
    </w:p>
    <w:p w14:paraId="504C5C17" w14:textId="215E5695" w:rsidR="00277B25" w:rsidRDefault="00277B25" w:rsidP="0028645D">
      <w:pPr>
        <w:spacing w:after="0" w:line="360" w:lineRule="auto"/>
        <w:jc w:val="both"/>
        <w:rPr>
          <w:rFonts w:ascii="Arial" w:hAnsi="Arial" w:cs="Arial"/>
          <w:sz w:val="24"/>
          <w:szCs w:val="24"/>
        </w:rPr>
      </w:pPr>
    </w:p>
    <w:p w14:paraId="7A562CB6" w14:textId="53CB092B" w:rsidR="006639F6" w:rsidRDefault="00087899" w:rsidP="0028645D">
      <w:pPr>
        <w:spacing w:after="0" w:line="360" w:lineRule="auto"/>
        <w:jc w:val="both"/>
        <w:rPr>
          <w:rFonts w:ascii="Arial" w:hAnsi="Arial" w:cs="Arial"/>
          <w:sz w:val="24"/>
          <w:szCs w:val="24"/>
        </w:rPr>
      </w:pPr>
      <w:r>
        <w:rPr>
          <w:rFonts w:ascii="Arial" w:hAnsi="Arial" w:cs="Arial"/>
          <w:sz w:val="24"/>
          <w:szCs w:val="24"/>
        </w:rPr>
        <w:t>[1</w:t>
      </w:r>
      <w:r w:rsidR="001869CE">
        <w:rPr>
          <w:rFonts w:ascii="Arial" w:hAnsi="Arial" w:cs="Arial"/>
          <w:sz w:val="24"/>
          <w:szCs w:val="24"/>
        </w:rPr>
        <w:t>5</w:t>
      </w:r>
      <w:r w:rsidR="006639F6">
        <w:rPr>
          <w:rFonts w:ascii="Arial" w:hAnsi="Arial" w:cs="Arial"/>
          <w:sz w:val="24"/>
          <w:szCs w:val="24"/>
        </w:rPr>
        <w:t>]</w:t>
      </w:r>
      <w:r w:rsidR="006639F6">
        <w:rPr>
          <w:rFonts w:ascii="Arial" w:hAnsi="Arial" w:cs="Arial"/>
          <w:sz w:val="24"/>
          <w:szCs w:val="24"/>
        </w:rPr>
        <w:tab/>
      </w:r>
      <w:r w:rsidR="0028645D">
        <w:rPr>
          <w:rFonts w:ascii="Arial" w:hAnsi="Arial" w:cs="Arial"/>
          <w:sz w:val="24"/>
          <w:szCs w:val="24"/>
        </w:rPr>
        <w:t xml:space="preserve">I write this concurring judgment in order to address the conflict between the judgments in </w:t>
      </w:r>
      <w:r w:rsidR="0028645D" w:rsidRPr="0028645D">
        <w:rPr>
          <w:rFonts w:ascii="Arial" w:hAnsi="Arial" w:cs="Arial"/>
          <w:i/>
          <w:sz w:val="24"/>
          <w:szCs w:val="24"/>
        </w:rPr>
        <w:t xml:space="preserve">S v </w:t>
      </w:r>
      <w:proofErr w:type="spellStart"/>
      <w:r w:rsidR="0028645D" w:rsidRPr="0028645D">
        <w:rPr>
          <w:rFonts w:ascii="Arial" w:hAnsi="Arial" w:cs="Arial"/>
          <w:i/>
          <w:sz w:val="24"/>
          <w:szCs w:val="24"/>
        </w:rPr>
        <w:t>Langalitshoni</w:t>
      </w:r>
      <w:proofErr w:type="spellEnd"/>
      <w:r w:rsidR="0028645D">
        <w:rPr>
          <w:rFonts w:ascii="Arial" w:hAnsi="Arial" w:cs="Arial"/>
          <w:sz w:val="24"/>
          <w:szCs w:val="24"/>
        </w:rPr>
        <w:t xml:space="preserve"> 2020</w:t>
      </w:r>
      <w:r w:rsidR="005245C0">
        <w:rPr>
          <w:rFonts w:ascii="Arial" w:hAnsi="Arial" w:cs="Arial"/>
          <w:sz w:val="24"/>
          <w:szCs w:val="24"/>
        </w:rPr>
        <w:t xml:space="preserve"> </w:t>
      </w:r>
      <w:r w:rsidR="0028645D">
        <w:rPr>
          <w:rFonts w:ascii="Arial" w:hAnsi="Arial" w:cs="Arial"/>
          <w:sz w:val="24"/>
          <w:szCs w:val="24"/>
        </w:rPr>
        <w:t xml:space="preserve">(2) SACR 65 (ECM) and </w:t>
      </w:r>
      <w:r w:rsidR="00B0396A">
        <w:rPr>
          <w:rFonts w:ascii="Arial" w:hAnsi="Arial" w:cs="Arial"/>
          <w:i/>
          <w:sz w:val="24"/>
          <w:szCs w:val="24"/>
        </w:rPr>
        <w:t xml:space="preserve">S v </w:t>
      </w:r>
      <w:proofErr w:type="spellStart"/>
      <w:r w:rsidR="00B0396A">
        <w:rPr>
          <w:rFonts w:ascii="Arial" w:hAnsi="Arial" w:cs="Arial"/>
          <w:i/>
          <w:sz w:val="24"/>
          <w:szCs w:val="24"/>
        </w:rPr>
        <w:t>Ngomane</w:t>
      </w:r>
      <w:proofErr w:type="spellEnd"/>
      <w:r w:rsidR="00B0396A">
        <w:rPr>
          <w:rFonts w:ascii="Arial" w:hAnsi="Arial" w:cs="Arial"/>
          <w:i/>
          <w:sz w:val="24"/>
          <w:szCs w:val="24"/>
        </w:rPr>
        <w:t xml:space="preserve"> and A</w:t>
      </w:r>
      <w:r w:rsidR="0028645D" w:rsidRPr="0028645D">
        <w:rPr>
          <w:rFonts w:ascii="Arial" w:hAnsi="Arial" w:cs="Arial"/>
          <w:i/>
          <w:sz w:val="24"/>
          <w:szCs w:val="24"/>
        </w:rPr>
        <w:t>nother</w:t>
      </w:r>
      <w:r w:rsidR="0028645D">
        <w:rPr>
          <w:rFonts w:ascii="Arial" w:hAnsi="Arial" w:cs="Arial"/>
          <w:sz w:val="24"/>
          <w:szCs w:val="24"/>
        </w:rPr>
        <w:t xml:space="preserve"> 2021</w:t>
      </w:r>
      <w:r w:rsidR="00D61EB4">
        <w:rPr>
          <w:rFonts w:ascii="Arial" w:hAnsi="Arial" w:cs="Arial"/>
          <w:sz w:val="24"/>
          <w:szCs w:val="24"/>
        </w:rPr>
        <w:t xml:space="preserve"> </w:t>
      </w:r>
      <w:r w:rsidR="0028645D">
        <w:rPr>
          <w:rFonts w:ascii="Arial" w:hAnsi="Arial" w:cs="Arial"/>
          <w:sz w:val="24"/>
          <w:szCs w:val="24"/>
        </w:rPr>
        <w:t xml:space="preserve">(2) SACR 654 (GP), and to furnish reasons for our failure to follow the former judgment. </w:t>
      </w:r>
    </w:p>
    <w:p w14:paraId="625CA239" w14:textId="16C84F55" w:rsidR="0028645D" w:rsidRDefault="0028645D" w:rsidP="0028645D">
      <w:pPr>
        <w:spacing w:after="0" w:line="360" w:lineRule="auto"/>
        <w:jc w:val="both"/>
        <w:rPr>
          <w:rFonts w:ascii="Arial" w:hAnsi="Arial" w:cs="Arial"/>
          <w:sz w:val="24"/>
          <w:szCs w:val="24"/>
        </w:rPr>
      </w:pPr>
    </w:p>
    <w:p w14:paraId="1D983591" w14:textId="1BD81756" w:rsidR="0028645D" w:rsidRDefault="001869CE" w:rsidP="0028645D">
      <w:pPr>
        <w:spacing w:after="0" w:line="360" w:lineRule="auto"/>
        <w:jc w:val="both"/>
        <w:rPr>
          <w:rFonts w:ascii="Arial" w:hAnsi="Arial" w:cs="Arial"/>
          <w:sz w:val="24"/>
          <w:szCs w:val="24"/>
        </w:rPr>
      </w:pPr>
      <w:r>
        <w:rPr>
          <w:rFonts w:ascii="Arial" w:hAnsi="Arial" w:cs="Arial"/>
          <w:sz w:val="24"/>
          <w:szCs w:val="24"/>
        </w:rPr>
        <w:t>[16]</w:t>
      </w:r>
      <w:r w:rsidR="0028645D">
        <w:rPr>
          <w:rFonts w:ascii="Arial" w:hAnsi="Arial" w:cs="Arial"/>
          <w:sz w:val="24"/>
          <w:szCs w:val="24"/>
        </w:rPr>
        <w:tab/>
        <w:t xml:space="preserve">In both these cases an election to proceed without assessors was conveyed to the presiding magistrate by the defence lawyer. In </w:t>
      </w:r>
      <w:proofErr w:type="spellStart"/>
      <w:r w:rsidR="0028645D" w:rsidRPr="007A525E">
        <w:rPr>
          <w:rFonts w:ascii="Arial" w:hAnsi="Arial" w:cs="Arial"/>
          <w:i/>
          <w:sz w:val="24"/>
          <w:szCs w:val="24"/>
        </w:rPr>
        <w:t>Langalitshoni</w:t>
      </w:r>
      <w:proofErr w:type="spellEnd"/>
      <w:r w:rsidR="0028645D">
        <w:rPr>
          <w:rFonts w:ascii="Arial" w:hAnsi="Arial" w:cs="Arial"/>
          <w:sz w:val="24"/>
          <w:szCs w:val="24"/>
        </w:rPr>
        <w:t xml:space="preserve"> that was found to be insufficient to bring about </w:t>
      </w:r>
      <w:r w:rsidR="00C06920">
        <w:rPr>
          <w:rFonts w:ascii="Arial" w:hAnsi="Arial" w:cs="Arial"/>
          <w:sz w:val="24"/>
          <w:szCs w:val="24"/>
        </w:rPr>
        <w:t>that the court was properly constituted wh</w:t>
      </w:r>
      <w:r w:rsidR="007A525E">
        <w:rPr>
          <w:rFonts w:ascii="Arial" w:hAnsi="Arial" w:cs="Arial"/>
          <w:sz w:val="24"/>
          <w:szCs w:val="24"/>
        </w:rPr>
        <w:t xml:space="preserve">en the magistrate sat alone. In </w:t>
      </w:r>
      <w:proofErr w:type="spellStart"/>
      <w:r w:rsidR="007A525E" w:rsidRPr="007A525E">
        <w:rPr>
          <w:rFonts w:ascii="Arial" w:hAnsi="Arial" w:cs="Arial"/>
          <w:i/>
          <w:sz w:val="24"/>
          <w:szCs w:val="24"/>
        </w:rPr>
        <w:t>Ngomane</w:t>
      </w:r>
      <w:proofErr w:type="spellEnd"/>
      <w:r w:rsidR="007A525E">
        <w:rPr>
          <w:rFonts w:ascii="Arial" w:hAnsi="Arial" w:cs="Arial"/>
          <w:sz w:val="24"/>
          <w:szCs w:val="24"/>
        </w:rPr>
        <w:t xml:space="preserve"> the court declined to follow that precedent and held that in those circumstances the magistrate could preside alone. As appears from the main judgment, in the present case the magistrate took the trouble to record that not only the appellant</w:t>
      </w:r>
      <w:r w:rsidR="00D61EB4">
        <w:rPr>
          <w:rFonts w:ascii="Arial" w:hAnsi="Arial" w:cs="Arial"/>
          <w:sz w:val="24"/>
          <w:szCs w:val="24"/>
        </w:rPr>
        <w:t>’</w:t>
      </w:r>
      <w:r w:rsidR="007A525E">
        <w:rPr>
          <w:rFonts w:ascii="Arial" w:hAnsi="Arial" w:cs="Arial"/>
          <w:sz w:val="24"/>
          <w:szCs w:val="24"/>
        </w:rPr>
        <w:t>s lawyer, but the appellant himself</w:t>
      </w:r>
      <w:r w:rsidR="00B70A70">
        <w:rPr>
          <w:rFonts w:ascii="Arial" w:hAnsi="Arial" w:cs="Arial"/>
          <w:sz w:val="24"/>
          <w:szCs w:val="24"/>
        </w:rPr>
        <w:t>,</w:t>
      </w:r>
      <w:r w:rsidR="007A525E">
        <w:rPr>
          <w:rFonts w:ascii="Arial" w:hAnsi="Arial" w:cs="Arial"/>
          <w:sz w:val="24"/>
          <w:szCs w:val="24"/>
        </w:rPr>
        <w:t xml:space="preserve"> conveyed an election to proceed without assessors. In my view that fact does not distinguish this case from </w:t>
      </w:r>
      <w:r w:rsidR="00B70A70">
        <w:rPr>
          <w:rFonts w:ascii="Arial" w:hAnsi="Arial" w:cs="Arial"/>
          <w:sz w:val="24"/>
          <w:szCs w:val="24"/>
        </w:rPr>
        <w:t>the two</w:t>
      </w:r>
      <w:r w:rsidR="007A525E">
        <w:rPr>
          <w:rFonts w:ascii="Arial" w:hAnsi="Arial" w:cs="Arial"/>
          <w:sz w:val="24"/>
          <w:szCs w:val="24"/>
        </w:rPr>
        <w:t xml:space="preserve"> under consideration where, although the accused did not himself convey the election, it was done in his presence and on his behalf by his lawyer. </w:t>
      </w:r>
    </w:p>
    <w:p w14:paraId="54FC407A" w14:textId="6C4264DB" w:rsidR="007A525E" w:rsidRDefault="007A525E" w:rsidP="0028645D">
      <w:pPr>
        <w:spacing w:after="0" w:line="360" w:lineRule="auto"/>
        <w:jc w:val="both"/>
        <w:rPr>
          <w:rFonts w:ascii="Arial" w:hAnsi="Arial" w:cs="Arial"/>
          <w:sz w:val="24"/>
          <w:szCs w:val="24"/>
        </w:rPr>
      </w:pPr>
    </w:p>
    <w:p w14:paraId="4A240BE9" w14:textId="6D61D2C0" w:rsidR="007A525E" w:rsidRDefault="001869CE" w:rsidP="0028645D">
      <w:pPr>
        <w:spacing w:after="0" w:line="360" w:lineRule="auto"/>
        <w:jc w:val="both"/>
        <w:rPr>
          <w:rFonts w:ascii="Arial" w:hAnsi="Arial" w:cs="Arial"/>
          <w:sz w:val="24"/>
          <w:szCs w:val="24"/>
        </w:rPr>
      </w:pPr>
      <w:r>
        <w:rPr>
          <w:rFonts w:ascii="Arial" w:hAnsi="Arial" w:cs="Arial"/>
          <w:sz w:val="24"/>
          <w:szCs w:val="24"/>
        </w:rPr>
        <w:t>[17</w:t>
      </w:r>
      <w:r w:rsidR="00B70A70">
        <w:rPr>
          <w:rFonts w:ascii="Arial" w:hAnsi="Arial" w:cs="Arial"/>
          <w:sz w:val="24"/>
          <w:szCs w:val="24"/>
        </w:rPr>
        <w:t>]</w:t>
      </w:r>
      <w:r w:rsidR="00B70A70">
        <w:rPr>
          <w:rFonts w:ascii="Arial" w:hAnsi="Arial" w:cs="Arial"/>
          <w:sz w:val="24"/>
          <w:szCs w:val="24"/>
        </w:rPr>
        <w:tab/>
        <w:t xml:space="preserve">In enacting </w:t>
      </w:r>
      <w:r w:rsidR="007A525E">
        <w:rPr>
          <w:rFonts w:ascii="Arial" w:hAnsi="Arial" w:cs="Arial"/>
          <w:sz w:val="24"/>
          <w:szCs w:val="24"/>
        </w:rPr>
        <w:t>s</w:t>
      </w:r>
      <w:r w:rsidR="009D5DFA">
        <w:rPr>
          <w:rFonts w:ascii="Arial" w:hAnsi="Arial" w:cs="Arial"/>
          <w:sz w:val="24"/>
          <w:szCs w:val="24"/>
        </w:rPr>
        <w:t xml:space="preserve"> </w:t>
      </w:r>
      <w:r w:rsidR="007A525E">
        <w:rPr>
          <w:rFonts w:ascii="Arial" w:hAnsi="Arial" w:cs="Arial"/>
          <w:sz w:val="24"/>
          <w:szCs w:val="24"/>
        </w:rPr>
        <w:t>93</w:t>
      </w:r>
      <w:r w:rsidR="007A525E" w:rsidRPr="00FA1C20">
        <w:rPr>
          <w:rFonts w:ascii="Arial" w:hAnsi="Arial" w:cs="Arial"/>
          <w:i/>
          <w:sz w:val="24"/>
          <w:szCs w:val="24"/>
        </w:rPr>
        <w:t>ter</w:t>
      </w:r>
      <w:r w:rsidR="007A525E">
        <w:rPr>
          <w:rFonts w:ascii="Arial" w:hAnsi="Arial" w:cs="Arial"/>
          <w:sz w:val="24"/>
          <w:szCs w:val="24"/>
        </w:rPr>
        <w:t xml:space="preserve"> of the Magistrates</w:t>
      </w:r>
      <w:r w:rsidR="00B0396A">
        <w:rPr>
          <w:rFonts w:ascii="Arial" w:hAnsi="Arial" w:cs="Arial"/>
          <w:sz w:val="24"/>
          <w:szCs w:val="24"/>
        </w:rPr>
        <w:t>’</w:t>
      </w:r>
      <w:r w:rsidR="007A525E">
        <w:rPr>
          <w:rFonts w:ascii="Arial" w:hAnsi="Arial" w:cs="Arial"/>
          <w:sz w:val="24"/>
          <w:szCs w:val="24"/>
        </w:rPr>
        <w:t xml:space="preserve"> Court</w:t>
      </w:r>
      <w:r w:rsidR="005245C0">
        <w:rPr>
          <w:rFonts w:ascii="Arial" w:hAnsi="Arial" w:cs="Arial"/>
          <w:sz w:val="24"/>
          <w:szCs w:val="24"/>
        </w:rPr>
        <w:t>s</w:t>
      </w:r>
      <w:r w:rsidR="007A525E">
        <w:rPr>
          <w:rFonts w:ascii="Arial" w:hAnsi="Arial" w:cs="Arial"/>
          <w:sz w:val="24"/>
          <w:szCs w:val="24"/>
        </w:rPr>
        <w:t xml:space="preserve"> Act the legislature deemed it appropriate, in the case of </w:t>
      </w:r>
      <w:r w:rsidR="00B70A70">
        <w:rPr>
          <w:rFonts w:ascii="Arial" w:hAnsi="Arial" w:cs="Arial"/>
          <w:sz w:val="24"/>
          <w:szCs w:val="24"/>
        </w:rPr>
        <w:t xml:space="preserve">a </w:t>
      </w:r>
      <w:r w:rsidR="007A525E">
        <w:rPr>
          <w:rFonts w:ascii="Arial" w:hAnsi="Arial" w:cs="Arial"/>
          <w:sz w:val="24"/>
          <w:szCs w:val="24"/>
        </w:rPr>
        <w:t>charge of murder, that there be a default position. The magistrate must sit with two assessors unless the accused asks that the magistrate</w:t>
      </w:r>
      <w:r w:rsidR="00B70A70">
        <w:rPr>
          <w:rFonts w:ascii="Arial" w:hAnsi="Arial" w:cs="Arial"/>
          <w:sz w:val="24"/>
          <w:szCs w:val="24"/>
        </w:rPr>
        <w:t xml:space="preserve"> sit alone. All that is required by the statute</w:t>
      </w:r>
      <w:r w:rsidR="007A525E">
        <w:rPr>
          <w:rFonts w:ascii="Arial" w:hAnsi="Arial" w:cs="Arial"/>
          <w:sz w:val="24"/>
          <w:szCs w:val="24"/>
        </w:rPr>
        <w:t xml:space="preserve"> in order to validly constitute a court presided over by a magistrate sitting alone is a request from the accused that the court should be so constituted. The use of the word “request” holds no significance beyond the fact that its use is appropriate</w:t>
      </w:r>
      <w:r w:rsidR="00B70A70">
        <w:rPr>
          <w:rFonts w:ascii="Arial" w:hAnsi="Arial" w:cs="Arial"/>
          <w:sz w:val="24"/>
          <w:szCs w:val="24"/>
        </w:rPr>
        <w:t xml:space="preserve"> because the section allows the</w:t>
      </w:r>
      <w:r w:rsidR="007A525E">
        <w:rPr>
          <w:rFonts w:ascii="Arial" w:hAnsi="Arial" w:cs="Arial"/>
          <w:sz w:val="24"/>
          <w:szCs w:val="24"/>
        </w:rPr>
        <w:t xml:space="preserve"> magistrate in appropriate circumstances to override the choice made by the accused by convening a court in which the magistrate is assisted by one or two assessors. </w:t>
      </w:r>
    </w:p>
    <w:p w14:paraId="2DC4283E" w14:textId="5948A94A" w:rsidR="0069295B" w:rsidRDefault="0069295B" w:rsidP="0028645D">
      <w:pPr>
        <w:spacing w:after="0" w:line="360" w:lineRule="auto"/>
        <w:jc w:val="both"/>
        <w:rPr>
          <w:rFonts w:ascii="Arial" w:hAnsi="Arial" w:cs="Arial"/>
          <w:sz w:val="24"/>
          <w:szCs w:val="24"/>
        </w:rPr>
      </w:pPr>
    </w:p>
    <w:p w14:paraId="41D64A3D" w14:textId="362B3572" w:rsidR="0069295B" w:rsidRDefault="001869CE" w:rsidP="0028645D">
      <w:pPr>
        <w:spacing w:after="0" w:line="360" w:lineRule="auto"/>
        <w:jc w:val="both"/>
        <w:rPr>
          <w:rFonts w:ascii="Arial" w:hAnsi="Arial" w:cs="Arial"/>
          <w:sz w:val="24"/>
          <w:szCs w:val="24"/>
        </w:rPr>
      </w:pPr>
      <w:r>
        <w:rPr>
          <w:rFonts w:ascii="Arial" w:hAnsi="Arial" w:cs="Arial"/>
          <w:sz w:val="24"/>
          <w:szCs w:val="24"/>
        </w:rPr>
        <w:t>[18</w:t>
      </w:r>
      <w:r w:rsidR="0069295B">
        <w:rPr>
          <w:rFonts w:ascii="Arial" w:hAnsi="Arial" w:cs="Arial"/>
          <w:sz w:val="24"/>
          <w:szCs w:val="24"/>
        </w:rPr>
        <w:t xml:space="preserve">] </w:t>
      </w:r>
      <w:r w:rsidR="0069295B">
        <w:rPr>
          <w:rFonts w:ascii="Arial" w:hAnsi="Arial" w:cs="Arial"/>
          <w:sz w:val="24"/>
          <w:szCs w:val="24"/>
        </w:rPr>
        <w:tab/>
        <w:t xml:space="preserve">I am in respectful disagreement with the analysis of the position set out in paragraph 11 of the judgment in </w:t>
      </w:r>
      <w:proofErr w:type="spellStart"/>
      <w:r w:rsidR="0069295B" w:rsidRPr="0069295B">
        <w:rPr>
          <w:rFonts w:ascii="Arial" w:hAnsi="Arial" w:cs="Arial"/>
          <w:i/>
          <w:sz w:val="24"/>
          <w:szCs w:val="24"/>
        </w:rPr>
        <w:t>Langalitshoni</w:t>
      </w:r>
      <w:proofErr w:type="spellEnd"/>
      <w:r w:rsidR="0069295B">
        <w:rPr>
          <w:rFonts w:ascii="Arial" w:hAnsi="Arial" w:cs="Arial"/>
          <w:sz w:val="24"/>
          <w:szCs w:val="24"/>
        </w:rPr>
        <w:t xml:space="preserve">. In that case the magistrate posed the </w:t>
      </w:r>
      <w:r w:rsidR="0069295B" w:rsidRPr="00B0396A">
        <w:rPr>
          <w:rFonts w:ascii="Arial" w:hAnsi="Arial" w:cs="Arial"/>
          <w:sz w:val="24"/>
          <w:szCs w:val="24"/>
        </w:rPr>
        <w:t>question “are you going to use the services of assessors?”</w:t>
      </w:r>
      <w:r w:rsidR="00B70A70" w:rsidRPr="00B0396A">
        <w:rPr>
          <w:rFonts w:ascii="Arial" w:hAnsi="Arial" w:cs="Arial"/>
          <w:sz w:val="24"/>
          <w:szCs w:val="24"/>
        </w:rPr>
        <w:t>.</w:t>
      </w:r>
      <w:r w:rsidR="0069295B" w:rsidRPr="00487A83">
        <w:rPr>
          <w:rFonts w:ascii="Arial" w:hAnsi="Arial" w:cs="Arial"/>
          <w:szCs w:val="24"/>
        </w:rPr>
        <w:t xml:space="preserve"> </w:t>
      </w:r>
      <w:r w:rsidR="00B70A70">
        <w:rPr>
          <w:rFonts w:ascii="Arial" w:hAnsi="Arial" w:cs="Arial"/>
          <w:sz w:val="24"/>
          <w:szCs w:val="24"/>
        </w:rPr>
        <w:t>T</w:t>
      </w:r>
      <w:r w:rsidR="0069295B">
        <w:rPr>
          <w:rFonts w:ascii="Arial" w:hAnsi="Arial" w:cs="Arial"/>
          <w:sz w:val="24"/>
          <w:szCs w:val="24"/>
        </w:rPr>
        <w:t xml:space="preserve">he appeal court </w:t>
      </w:r>
      <w:r w:rsidR="005245C0">
        <w:rPr>
          <w:rFonts w:ascii="Arial" w:hAnsi="Arial" w:cs="Arial"/>
          <w:sz w:val="24"/>
          <w:szCs w:val="24"/>
        </w:rPr>
        <w:t xml:space="preserve">in paragraph 11 </w:t>
      </w:r>
      <w:r w:rsidR="0069295B">
        <w:rPr>
          <w:rFonts w:ascii="Arial" w:hAnsi="Arial" w:cs="Arial"/>
          <w:sz w:val="24"/>
          <w:szCs w:val="24"/>
        </w:rPr>
        <w:t xml:space="preserve">took the view that in posing that question </w:t>
      </w:r>
    </w:p>
    <w:p w14:paraId="539362C2" w14:textId="1F6B4CAC" w:rsidR="0069295B" w:rsidRPr="00487A83" w:rsidRDefault="00B0396A" w:rsidP="00B0396A">
      <w:pPr>
        <w:spacing w:after="0" w:line="360" w:lineRule="auto"/>
        <w:jc w:val="both"/>
        <w:rPr>
          <w:rFonts w:ascii="Arial" w:hAnsi="Arial" w:cs="Arial"/>
          <w:szCs w:val="24"/>
        </w:rPr>
      </w:pPr>
      <w:r>
        <w:rPr>
          <w:rFonts w:ascii="Arial" w:hAnsi="Arial" w:cs="Arial"/>
          <w:szCs w:val="24"/>
        </w:rPr>
        <w:t>‘</w:t>
      </w:r>
      <w:r w:rsidR="0069295B" w:rsidRPr="00487A83">
        <w:rPr>
          <w:rFonts w:ascii="Arial" w:hAnsi="Arial" w:cs="Arial"/>
          <w:szCs w:val="24"/>
        </w:rPr>
        <w:t>the magistrate is not conveying to the appellant that the proper constitution of the court requires that the magistrate ordinarily sit with two assessors. The question posed suggests that the court is constituted ordinarily by the regional magistrate sitting alone. It conveys the suggestion that the appellant</w:t>
      </w:r>
      <w:r w:rsidR="0020028B">
        <w:rPr>
          <w:rFonts w:ascii="Arial" w:hAnsi="Arial" w:cs="Arial"/>
          <w:szCs w:val="24"/>
        </w:rPr>
        <w:t>’</w:t>
      </w:r>
      <w:r w:rsidR="0069295B" w:rsidRPr="00487A83">
        <w:rPr>
          <w:rFonts w:ascii="Arial" w:hAnsi="Arial" w:cs="Arial"/>
          <w:szCs w:val="24"/>
        </w:rPr>
        <w:t>s legal representative has a right to request the participation</w:t>
      </w:r>
      <w:r w:rsidR="00CA0D06">
        <w:rPr>
          <w:rFonts w:ascii="Arial" w:hAnsi="Arial" w:cs="Arial"/>
          <w:szCs w:val="24"/>
        </w:rPr>
        <w:t xml:space="preserve"> of assessors as an additional “service”</w:t>
      </w:r>
      <w:r w:rsidR="0069295B" w:rsidRPr="00487A83">
        <w:rPr>
          <w:rFonts w:ascii="Arial" w:hAnsi="Arial" w:cs="Arial"/>
          <w:szCs w:val="24"/>
        </w:rPr>
        <w:t>. In the c</w:t>
      </w:r>
      <w:r w:rsidR="0020028B">
        <w:rPr>
          <w:rFonts w:ascii="Arial" w:hAnsi="Arial" w:cs="Arial"/>
          <w:szCs w:val="24"/>
        </w:rPr>
        <w:t>ircumstances, the question asks</w:t>
      </w:r>
      <w:r w:rsidR="0069295B" w:rsidRPr="00487A83">
        <w:rPr>
          <w:rFonts w:ascii="Arial" w:hAnsi="Arial" w:cs="Arial"/>
          <w:szCs w:val="24"/>
        </w:rPr>
        <w:t xml:space="preserve"> whether the appellant</w:t>
      </w:r>
      <w:r w:rsidR="0020028B">
        <w:rPr>
          <w:rFonts w:ascii="Arial" w:hAnsi="Arial" w:cs="Arial"/>
          <w:szCs w:val="24"/>
        </w:rPr>
        <w:t>’</w:t>
      </w:r>
      <w:r w:rsidR="0069295B" w:rsidRPr="00487A83">
        <w:rPr>
          <w:rFonts w:ascii="Arial" w:hAnsi="Arial" w:cs="Arial"/>
          <w:szCs w:val="24"/>
        </w:rPr>
        <w:t xml:space="preserve">s legal representative wishes to invoke an additional right, whereas it should have been clear that what is required is an indication </w:t>
      </w:r>
      <w:r w:rsidR="00CA0D06">
        <w:rPr>
          <w:rFonts w:ascii="Arial" w:hAnsi="Arial" w:cs="Arial"/>
          <w:szCs w:val="24"/>
        </w:rPr>
        <w:t xml:space="preserve">of </w:t>
      </w:r>
      <w:r w:rsidR="0069295B" w:rsidRPr="00487A83">
        <w:rPr>
          <w:rFonts w:ascii="Arial" w:hAnsi="Arial" w:cs="Arial"/>
          <w:szCs w:val="24"/>
        </w:rPr>
        <w:t>whether or not the appellant elect</w:t>
      </w:r>
      <w:r>
        <w:rPr>
          <w:rFonts w:ascii="Arial" w:hAnsi="Arial" w:cs="Arial"/>
          <w:szCs w:val="24"/>
        </w:rPr>
        <w:t>ed to waive an existing right.’</w:t>
      </w:r>
    </w:p>
    <w:p w14:paraId="0AC703EA" w14:textId="2A1F5AF9" w:rsidR="0069295B" w:rsidRDefault="0020028B" w:rsidP="0028645D">
      <w:pPr>
        <w:spacing w:after="0" w:line="360" w:lineRule="auto"/>
        <w:jc w:val="both"/>
        <w:rPr>
          <w:rFonts w:ascii="Arial" w:hAnsi="Arial" w:cs="Arial"/>
          <w:sz w:val="24"/>
          <w:szCs w:val="24"/>
        </w:rPr>
      </w:pPr>
      <w:r>
        <w:rPr>
          <w:rFonts w:ascii="Arial" w:hAnsi="Arial" w:cs="Arial"/>
          <w:sz w:val="24"/>
          <w:szCs w:val="24"/>
        </w:rPr>
        <w:lastRenderedPageBreak/>
        <w:t>In m</w:t>
      </w:r>
      <w:r w:rsidR="0069295B">
        <w:rPr>
          <w:rFonts w:ascii="Arial" w:hAnsi="Arial" w:cs="Arial"/>
          <w:sz w:val="24"/>
          <w:szCs w:val="24"/>
        </w:rPr>
        <w:t xml:space="preserve">y respectful view the court in </w:t>
      </w:r>
      <w:proofErr w:type="spellStart"/>
      <w:r w:rsidR="0069295B" w:rsidRPr="00B90317">
        <w:rPr>
          <w:rFonts w:ascii="Arial" w:hAnsi="Arial" w:cs="Arial"/>
          <w:i/>
          <w:sz w:val="24"/>
          <w:szCs w:val="24"/>
        </w:rPr>
        <w:t>Langalitshoni</w:t>
      </w:r>
      <w:proofErr w:type="spellEnd"/>
      <w:r w:rsidR="0069295B">
        <w:rPr>
          <w:rFonts w:ascii="Arial" w:hAnsi="Arial" w:cs="Arial"/>
          <w:sz w:val="24"/>
          <w:szCs w:val="24"/>
        </w:rPr>
        <w:t xml:space="preserve"> erred in equating the default position ordained by the legislature with the ordinary position. Magistrates, including regional magistrates, ordinarily sit alone. The fact that the legislature ordained that there should be a default position, that a magistrate sits with assessors in a murder trial, does not mean that in murder trials regional magistrates ordinarily sit alone. The question of what is ordinary is </w:t>
      </w:r>
      <w:r>
        <w:rPr>
          <w:rFonts w:ascii="Arial" w:hAnsi="Arial" w:cs="Arial"/>
          <w:sz w:val="24"/>
          <w:szCs w:val="24"/>
        </w:rPr>
        <w:t xml:space="preserve">one of </w:t>
      </w:r>
      <w:r w:rsidR="0069295B">
        <w:rPr>
          <w:rFonts w:ascii="Arial" w:hAnsi="Arial" w:cs="Arial"/>
          <w:sz w:val="24"/>
          <w:szCs w:val="24"/>
        </w:rPr>
        <w:t>fact. In my years on this bench hearing appeals I have not once come across a murder trial in which the magistrate sat with assessors. I do not know what the position is in the Eastern Cape, but in this province I would have two objections to a magistrate conveying to the accused</w:t>
      </w:r>
      <w:r>
        <w:rPr>
          <w:rFonts w:ascii="Arial" w:hAnsi="Arial" w:cs="Arial"/>
          <w:sz w:val="24"/>
          <w:szCs w:val="24"/>
        </w:rPr>
        <w:t>,</w:t>
      </w:r>
      <w:r w:rsidR="0069295B">
        <w:rPr>
          <w:rFonts w:ascii="Arial" w:hAnsi="Arial" w:cs="Arial"/>
          <w:sz w:val="24"/>
          <w:szCs w:val="24"/>
        </w:rPr>
        <w:t xml:space="preserve"> directly or indirectly</w:t>
      </w:r>
      <w:r>
        <w:rPr>
          <w:rFonts w:ascii="Arial" w:hAnsi="Arial" w:cs="Arial"/>
          <w:sz w:val="24"/>
          <w:szCs w:val="24"/>
        </w:rPr>
        <w:t>,</w:t>
      </w:r>
      <w:r w:rsidR="0069295B">
        <w:rPr>
          <w:rFonts w:ascii="Arial" w:hAnsi="Arial" w:cs="Arial"/>
          <w:sz w:val="24"/>
          <w:szCs w:val="24"/>
        </w:rPr>
        <w:t xml:space="preserve"> </w:t>
      </w:r>
      <w:r w:rsidR="00B90317">
        <w:rPr>
          <w:rFonts w:ascii="Arial" w:hAnsi="Arial" w:cs="Arial"/>
          <w:sz w:val="24"/>
          <w:szCs w:val="24"/>
        </w:rPr>
        <w:t xml:space="preserve">that in murder cases the magistrate ordinarily sits with two assessors. </w:t>
      </w:r>
    </w:p>
    <w:p w14:paraId="2ED56D74" w14:textId="314CF5A1" w:rsidR="00B90317" w:rsidRPr="00B0396A" w:rsidRDefault="00B0396A" w:rsidP="00B0396A">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B90317" w:rsidRPr="00B0396A">
        <w:rPr>
          <w:rFonts w:ascii="Arial" w:hAnsi="Arial" w:cs="Arial"/>
          <w:sz w:val="24"/>
          <w:szCs w:val="24"/>
        </w:rPr>
        <w:t xml:space="preserve">Firstly, such a statement would probably be false. </w:t>
      </w:r>
    </w:p>
    <w:p w14:paraId="581CB22A" w14:textId="45DC4AB7" w:rsidR="00B90317" w:rsidRPr="00B0396A" w:rsidRDefault="00B0396A" w:rsidP="00B0396A">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90317" w:rsidRPr="00B0396A">
        <w:rPr>
          <w:rFonts w:ascii="Arial" w:hAnsi="Arial" w:cs="Arial"/>
          <w:sz w:val="24"/>
          <w:szCs w:val="24"/>
        </w:rPr>
        <w:t xml:space="preserve">Secondly, the impact of such a statement would, I suggest, encourage an accused person not to elect to be tried </w:t>
      </w:r>
      <w:r w:rsidR="0020028B" w:rsidRPr="00B0396A">
        <w:rPr>
          <w:rFonts w:ascii="Arial" w:hAnsi="Arial" w:cs="Arial"/>
          <w:sz w:val="24"/>
          <w:szCs w:val="24"/>
        </w:rPr>
        <w:t>by</w:t>
      </w:r>
      <w:r w:rsidR="00B90317" w:rsidRPr="00B0396A">
        <w:rPr>
          <w:rFonts w:ascii="Arial" w:hAnsi="Arial" w:cs="Arial"/>
          <w:sz w:val="24"/>
          <w:szCs w:val="24"/>
        </w:rPr>
        <w:t xml:space="preserve"> a magistrate sitting alone. </w:t>
      </w:r>
      <w:r w:rsidR="0020028B" w:rsidRPr="00B0396A">
        <w:rPr>
          <w:rFonts w:ascii="Arial" w:hAnsi="Arial" w:cs="Arial"/>
          <w:sz w:val="24"/>
          <w:szCs w:val="24"/>
        </w:rPr>
        <w:t>The accused may be encouraged to take the view that if</w:t>
      </w:r>
      <w:r w:rsidR="00B90317" w:rsidRPr="00B0396A">
        <w:rPr>
          <w:rFonts w:ascii="Arial" w:hAnsi="Arial" w:cs="Arial"/>
          <w:sz w:val="24"/>
          <w:szCs w:val="24"/>
        </w:rPr>
        <w:t xml:space="preserve"> accused persons ordinarily choose that course, it is probably the right way to go. </w:t>
      </w:r>
      <w:r w:rsidR="0020028B" w:rsidRPr="00B0396A">
        <w:rPr>
          <w:rFonts w:ascii="Arial" w:hAnsi="Arial" w:cs="Arial"/>
          <w:sz w:val="24"/>
          <w:szCs w:val="24"/>
        </w:rPr>
        <w:t>That is not a sound basis upon which to make a decision as to whether in the particular case the accused should ask to be tried by a magistrate sitting alone.</w:t>
      </w:r>
    </w:p>
    <w:p w14:paraId="4D64B4F9" w14:textId="11316980" w:rsidR="00B90317" w:rsidRDefault="00B90317" w:rsidP="00B90317">
      <w:pPr>
        <w:spacing w:after="0" w:line="360" w:lineRule="auto"/>
        <w:jc w:val="both"/>
        <w:rPr>
          <w:rFonts w:ascii="Arial" w:hAnsi="Arial" w:cs="Arial"/>
          <w:sz w:val="24"/>
          <w:szCs w:val="24"/>
        </w:rPr>
      </w:pPr>
    </w:p>
    <w:p w14:paraId="03159C2F" w14:textId="4DAC6063" w:rsidR="00672833" w:rsidRDefault="001869CE" w:rsidP="00B90317">
      <w:pPr>
        <w:spacing w:after="0" w:line="360" w:lineRule="auto"/>
        <w:jc w:val="both"/>
        <w:rPr>
          <w:rFonts w:ascii="Arial" w:hAnsi="Arial" w:cs="Arial"/>
          <w:sz w:val="24"/>
          <w:szCs w:val="24"/>
        </w:rPr>
      </w:pPr>
      <w:r>
        <w:rPr>
          <w:rFonts w:ascii="Arial" w:hAnsi="Arial" w:cs="Arial"/>
          <w:sz w:val="24"/>
          <w:szCs w:val="24"/>
        </w:rPr>
        <w:t>[19</w:t>
      </w:r>
      <w:r w:rsidR="00B90317">
        <w:rPr>
          <w:rFonts w:ascii="Arial" w:hAnsi="Arial" w:cs="Arial"/>
          <w:sz w:val="24"/>
          <w:szCs w:val="24"/>
        </w:rPr>
        <w:t xml:space="preserve">] </w:t>
      </w:r>
      <w:r w:rsidR="00B90317">
        <w:rPr>
          <w:rFonts w:ascii="Arial" w:hAnsi="Arial" w:cs="Arial"/>
          <w:sz w:val="24"/>
          <w:szCs w:val="24"/>
        </w:rPr>
        <w:tab/>
        <w:t xml:space="preserve">In each of paragraphs 9, 11 and 12 of the judgment in </w:t>
      </w:r>
      <w:proofErr w:type="spellStart"/>
      <w:r w:rsidR="00B90317" w:rsidRPr="00B90317">
        <w:rPr>
          <w:rFonts w:ascii="Arial" w:hAnsi="Arial" w:cs="Arial"/>
          <w:i/>
          <w:sz w:val="24"/>
          <w:szCs w:val="24"/>
        </w:rPr>
        <w:t>Langalitshoni</w:t>
      </w:r>
      <w:proofErr w:type="spellEnd"/>
      <w:r w:rsidR="00B90317" w:rsidRPr="00B90317">
        <w:rPr>
          <w:rFonts w:ascii="Arial" w:hAnsi="Arial" w:cs="Arial"/>
          <w:i/>
          <w:sz w:val="24"/>
          <w:szCs w:val="24"/>
        </w:rPr>
        <w:t xml:space="preserve"> </w:t>
      </w:r>
      <w:r w:rsidR="00B90317">
        <w:rPr>
          <w:rFonts w:ascii="Arial" w:hAnsi="Arial" w:cs="Arial"/>
          <w:sz w:val="24"/>
          <w:szCs w:val="24"/>
        </w:rPr>
        <w:t xml:space="preserve">a decision by an accused person to request that the magistrate sits alone is characterised as a waiver of a right to be tried by what the learned judge called a “properly constituted court consisting of a regional magistrate and two assessors”. In my </w:t>
      </w:r>
      <w:r w:rsidR="00672833">
        <w:rPr>
          <w:rFonts w:ascii="Arial" w:hAnsi="Arial" w:cs="Arial"/>
          <w:sz w:val="24"/>
          <w:szCs w:val="24"/>
        </w:rPr>
        <w:t xml:space="preserve">respectful </w:t>
      </w:r>
      <w:r w:rsidR="00B90317">
        <w:rPr>
          <w:rFonts w:ascii="Arial" w:hAnsi="Arial" w:cs="Arial"/>
          <w:sz w:val="24"/>
          <w:szCs w:val="24"/>
        </w:rPr>
        <w:t xml:space="preserve">view that is a mischaracterisation. </w:t>
      </w:r>
    </w:p>
    <w:p w14:paraId="357475E6" w14:textId="7AB6F904" w:rsidR="00A2730E" w:rsidRDefault="00B0396A" w:rsidP="00B0396A">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0C061D">
        <w:rPr>
          <w:rFonts w:ascii="Arial" w:hAnsi="Arial" w:cs="Arial"/>
          <w:sz w:val="24"/>
          <w:szCs w:val="24"/>
        </w:rPr>
        <w:t>Firstly, a</w:t>
      </w:r>
      <w:r w:rsidR="00A2730E">
        <w:rPr>
          <w:rFonts w:ascii="Arial" w:hAnsi="Arial" w:cs="Arial"/>
          <w:sz w:val="24"/>
          <w:szCs w:val="24"/>
        </w:rPr>
        <w:t xml:space="preserve"> court comprised of a magistrate sitting alone, when the accused has requested that, is as “properly constituted” as a court</w:t>
      </w:r>
      <w:r w:rsidR="00672833">
        <w:rPr>
          <w:rFonts w:ascii="Arial" w:hAnsi="Arial" w:cs="Arial"/>
          <w:sz w:val="24"/>
          <w:szCs w:val="24"/>
        </w:rPr>
        <w:t xml:space="preserve"> comprised</w:t>
      </w:r>
      <w:r w:rsidR="00A2730E">
        <w:rPr>
          <w:rFonts w:ascii="Arial" w:hAnsi="Arial" w:cs="Arial"/>
          <w:sz w:val="24"/>
          <w:szCs w:val="24"/>
        </w:rPr>
        <w:t>:</w:t>
      </w:r>
    </w:p>
    <w:p w14:paraId="666A1716" w14:textId="3547D14B" w:rsidR="00A2730E" w:rsidRDefault="00030E6C" w:rsidP="00C8163F">
      <w:pPr>
        <w:spacing w:after="0" w:line="360" w:lineRule="auto"/>
        <w:ind w:left="1440" w:hanging="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sidR="00B0396A">
        <w:rPr>
          <w:rFonts w:ascii="Arial" w:hAnsi="Arial" w:cs="Arial"/>
          <w:sz w:val="24"/>
          <w:szCs w:val="24"/>
        </w:rPr>
        <w:tab/>
      </w:r>
      <w:r w:rsidR="00A2730E">
        <w:rPr>
          <w:rFonts w:ascii="Arial" w:hAnsi="Arial" w:cs="Arial"/>
          <w:sz w:val="24"/>
          <w:szCs w:val="24"/>
        </w:rPr>
        <w:t xml:space="preserve">of a magistrate and two </w:t>
      </w:r>
      <w:r w:rsidR="009D5DFA">
        <w:rPr>
          <w:rFonts w:ascii="Arial" w:hAnsi="Arial" w:cs="Arial"/>
          <w:sz w:val="24"/>
          <w:szCs w:val="24"/>
        </w:rPr>
        <w:t>assessors</w:t>
      </w:r>
      <w:r w:rsidR="00A2730E">
        <w:rPr>
          <w:rFonts w:ascii="Arial" w:hAnsi="Arial" w:cs="Arial"/>
          <w:sz w:val="24"/>
          <w:szCs w:val="24"/>
        </w:rPr>
        <w:t xml:space="preserve"> when th</w:t>
      </w:r>
      <w:r w:rsidR="00672833">
        <w:rPr>
          <w:rFonts w:ascii="Arial" w:hAnsi="Arial" w:cs="Arial"/>
          <w:sz w:val="24"/>
          <w:szCs w:val="24"/>
        </w:rPr>
        <w:t xml:space="preserve">e accused has not </w:t>
      </w:r>
      <w:r w:rsidR="00A2730E">
        <w:rPr>
          <w:rFonts w:ascii="Arial" w:hAnsi="Arial" w:cs="Arial"/>
          <w:sz w:val="24"/>
          <w:szCs w:val="24"/>
        </w:rPr>
        <w:t>requested the magistrate to sit alone;</w:t>
      </w:r>
    </w:p>
    <w:p w14:paraId="4133CC17" w14:textId="14DBE7C6" w:rsidR="00672833" w:rsidRDefault="00B0396A" w:rsidP="00C8163F">
      <w:pPr>
        <w:spacing w:after="0" w:line="360" w:lineRule="auto"/>
        <w:ind w:left="1440" w:hanging="72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A2730E">
        <w:rPr>
          <w:rFonts w:ascii="Arial" w:hAnsi="Arial" w:cs="Arial"/>
          <w:sz w:val="24"/>
          <w:szCs w:val="24"/>
        </w:rPr>
        <w:t xml:space="preserve">of a magistrate and one or two </w:t>
      </w:r>
      <w:r w:rsidR="009D5DFA">
        <w:rPr>
          <w:rFonts w:ascii="Arial" w:hAnsi="Arial" w:cs="Arial"/>
          <w:sz w:val="24"/>
          <w:szCs w:val="24"/>
        </w:rPr>
        <w:t>assessors</w:t>
      </w:r>
      <w:r w:rsidR="00672833">
        <w:rPr>
          <w:rFonts w:ascii="Arial" w:hAnsi="Arial" w:cs="Arial"/>
          <w:sz w:val="24"/>
          <w:szCs w:val="24"/>
        </w:rPr>
        <w:t xml:space="preserve"> when the magistrate has </w:t>
      </w:r>
      <w:r w:rsidR="00A2730E">
        <w:rPr>
          <w:rFonts w:ascii="Arial" w:hAnsi="Arial" w:cs="Arial"/>
          <w:sz w:val="24"/>
          <w:szCs w:val="24"/>
        </w:rPr>
        <w:t xml:space="preserve">decided that the accused’s request that the magistrate sit alone should be declined. </w:t>
      </w:r>
    </w:p>
    <w:p w14:paraId="2FA910B8" w14:textId="31CFCB07" w:rsidR="00B90317" w:rsidRDefault="00B0396A" w:rsidP="00B0396A">
      <w:pPr>
        <w:spacing w:after="0"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0C061D">
        <w:rPr>
          <w:rFonts w:ascii="Arial" w:hAnsi="Arial" w:cs="Arial"/>
          <w:sz w:val="24"/>
          <w:szCs w:val="24"/>
        </w:rPr>
        <w:t>Secondly, a</w:t>
      </w:r>
      <w:r w:rsidR="001E1C50">
        <w:rPr>
          <w:rFonts w:ascii="Arial" w:hAnsi="Arial" w:cs="Arial"/>
          <w:sz w:val="24"/>
          <w:szCs w:val="24"/>
        </w:rPr>
        <w:t>n</w:t>
      </w:r>
      <w:r w:rsidR="00107B69">
        <w:rPr>
          <w:rFonts w:ascii="Arial" w:hAnsi="Arial" w:cs="Arial"/>
          <w:sz w:val="24"/>
          <w:szCs w:val="24"/>
        </w:rPr>
        <w:t xml:space="preserve"> accused’s right</w:t>
      </w:r>
      <w:r w:rsidR="001E1C50">
        <w:rPr>
          <w:rFonts w:ascii="Arial" w:hAnsi="Arial" w:cs="Arial"/>
          <w:sz w:val="24"/>
          <w:szCs w:val="24"/>
        </w:rPr>
        <w:t xml:space="preserve"> of substance</w:t>
      </w:r>
      <w:r w:rsidR="00107B69">
        <w:rPr>
          <w:rFonts w:ascii="Arial" w:hAnsi="Arial" w:cs="Arial"/>
          <w:sz w:val="24"/>
          <w:szCs w:val="24"/>
        </w:rPr>
        <w:t xml:space="preserve"> is to be trie</w:t>
      </w:r>
      <w:r w:rsidR="00B90317">
        <w:rPr>
          <w:rFonts w:ascii="Arial" w:hAnsi="Arial" w:cs="Arial"/>
          <w:sz w:val="24"/>
          <w:szCs w:val="24"/>
        </w:rPr>
        <w:t xml:space="preserve">d by a court constituted according to law. How </w:t>
      </w:r>
      <w:r w:rsidR="001E1C50">
        <w:rPr>
          <w:rFonts w:ascii="Arial" w:hAnsi="Arial" w:cs="Arial"/>
          <w:sz w:val="24"/>
          <w:szCs w:val="24"/>
        </w:rPr>
        <w:t>a magistrate’s</w:t>
      </w:r>
      <w:r w:rsidR="00B90317">
        <w:rPr>
          <w:rFonts w:ascii="Arial" w:hAnsi="Arial" w:cs="Arial"/>
          <w:sz w:val="24"/>
          <w:szCs w:val="24"/>
        </w:rPr>
        <w:t xml:space="preserve"> court should be constituted is a matter for the legislature acting in compliance with the </w:t>
      </w:r>
      <w:proofErr w:type="gramStart"/>
      <w:r w:rsidR="00B90317">
        <w:rPr>
          <w:rFonts w:ascii="Arial" w:hAnsi="Arial" w:cs="Arial"/>
          <w:sz w:val="24"/>
          <w:szCs w:val="24"/>
        </w:rPr>
        <w:t>Constitution.</w:t>
      </w:r>
      <w:proofErr w:type="gramEnd"/>
      <w:r w:rsidR="00B90317">
        <w:rPr>
          <w:rFonts w:ascii="Arial" w:hAnsi="Arial" w:cs="Arial"/>
          <w:sz w:val="24"/>
          <w:szCs w:val="24"/>
        </w:rPr>
        <w:t xml:space="preserve"> Section 93</w:t>
      </w:r>
      <w:r w:rsidR="00B90317" w:rsidRPr="00FA1C20">
        <w:rPr>
          <w:rFonts w:ascii="Arial" w:hAnsi="Arial" w:cs="Arial"/>
          <w:i/>
          <w:sz w:val="24"/>
          <w:szCs w:val="24"/>
        </w:rPr>
        <w:t>ter</w:t>
      </w:r>
      <w:r w:rsidR="00B90317">
        <w:rPr>
          <w:rFonts w:ascii="Arial" w:hAnsi="Arial" w:cs="Arial"/>
          <w:sz w:val="24"/>
          <w:szCs w:val="24"/>
        </w:rPr>
        <w:t xml:space="preserve"> of the Magistrates</w:t>
      </w:r>
      <w:r>
        <w:rPr>
          <w:rFonts w:ascii="Arial" w:hAnsi="Arial" w:cs="Arial"/>
          <w:sz w:val="24"/>
          <w:szCs w:val="24"/>
        </w:rPr>
        <w:t>’</w:t>
      </w:r>
      <w:r w:rsidR="00B90317">
        <w:rPr>
          <w:rFonts w:ascii="Arial" w:hAnsi="Arial" w:cs="Arial"/>
          <w:sz w:val="24"/>
          <w:szCs w:val="24"/>
        </w:rPr>
        <w:t xml:space="preserve"> Court</w:t>
      </w:r>
      <w:r w:rsidR="00CA0D06">
        <w:rPr>
          <w:rFonts w:ascii="Arial" w:hAnsi="Arial" w:cs="Arial"/>
          <w:sz w:val="24"/>
          <w:szCs w:val="24"/>
        </w:rPr>
        <w:t>s</w:t>
      </w:r>
      <w:r w:rsidR="00B90317">
        <w:rPr>
          <w:rFonts w:ascii="Arial" w:hAnsi="Arial" w:cs="Arial"/>
          <w:sz w:val="24"/>
          <w:szCs w:val="24"/>
        </w:rPr>
        <w:t xml:space="preserve"> Act introduces a </w:t>
      </w:r>
      <w:r w:rsidR="000C061D">
        <w:rPr>
          <w:rFonts w:ascii="Arial" w:hAnsi="Arial" w:cs="Arial"/>
          <w:sz w:val="24"/>
          <w:szCs w:val="24"/>
        </w:rPr>
        <w:t>novel</w:t>
      </w:r>
      <w:r w:rsidR="00B90317">
        <w:rPr>
          <w:rFonts w:ascii="Arial" w:hAnsi="Arial" w:cs="Arial"/>
          <w:sz w:val="24"/>
          <w:szCs w:val="24"/>
        </w:rPr>
        <w:t xml:space="preserve"> </w:t>
      </w:r>
      <w:r w:rsidR="000C061D">
        <w:rPr>
          <w:rFonts w:ascii="Arial" w:hAnsi="Arial" w:cs="Arial"/>
          <w:sz w:val="24"/>
          <w:szCs w:val="24"/>
        </w:rPr>
        <w:t xml:space="preserve">feature, namely a qualified right on </w:t>
      </w:r>
      <w:r w:rsidR="000C061D">
        <w:rPr>
          <w:rFonts w:ascii="Arial" w:hAnsi="Arial" w:cs="Arial"/>
          <w:sz w:val="24"/>
          <w:szCs w:val="24"/>
        </w:rPr>
        <w:lastRenderedPageBreak/>
        <w:t>the</w:t>
      </w:r>
      <w:r w:rsidR="00B90317">
        <w:rPr>
          <w:rFonts w:ascii="Arial" w:hAnsi="Arial" w:cs="Arial"/>
          <w:sz w:val="24"/>
          <w:szCs w:val="24"/>
        </w:rPr>
        <w:t xml:space="preserve"> part of an accused person to </w:t>
      </w:r>
      <w:r w:rsidR="000C061D">
        <w:rPr>
          <w:rFonts w:ascii="Arial" w:hAnsi="Arial" w:cs="Arial"/>
          <w:sz w:val="24"/>
          <w:szCs w:val="24"/>
        </w:rPr>
        <w:t>choose how</w:t>
      </w:r>
      <w:r w:rsidR="00B90317">
        <w:rPr>
          <w:rFonts w:ascii="Arial" w:hAnsi="Arial" w:cs="Arial"/>
          <w:sz w:val="24"/>
          <w:szCs w:val="24"/>
        </w:rPr>
        <w:t xml:space="preserve"> the court </w:t>
      </w:r>
      <w:r w:rsidR="000C061D">
        <w:rPr>
          <w:rFonts w:ascii="Arial" w:hAnsi="Arial" w:cs="Arial"/>
          <w:sz w:val="24"/>
          <w:szCs w:val="24"/>
        </w:rPr>
        <w:t>should be constituted.</w:t>
      </w:r>
      <w:r w:rsidR="00B90317">
        <w:rPr>
          <w:rFonts w:ascii="Arial" w:hAnsi="Arial" w:cs="Arial"/>
          <w:sz w:val="24"/>
          <w:szCs w:val="24"/>
        </w:rPr>
        <w:t xml:space="preserve"> </w:t>
      </w:r>
      <w:r w:rsidR="000C061D">
        <w:rPr>
          <w:rFonts w:ascii="Arial" w:hAnsi="Arial" w:cs="Arial"/>
          <w:sz w:val="24"/>
          <w:szCs w:val="24"/>
        </w:rPr>
        <w:t xml:space="preserve">The exercise of that right does not constitute a waiver of the accused’s right of substance, to be tried by a properly constituted court. </w:t>
      </w:r>
      <w:r w:rsidR="00B90317">
        <w:rPr>
          <w:rFonts w:ascii="Arial" w:hAnsi="Arial" w:cs="Arial"/>
          <w:sz w:val="24"/>
          <w:szCs w:val="24"/>
        </w:rPr>
        <w:t>I</w:t>
      </w:r>
      <w:r w:rsidR="000C061D">
        <w:rPr>
          <w:rFonts w:ascii="Arial" w:hAnsi="Arial" w:cs="Arial"/>
          <w:sz w:val="24"/>
          <w:szCs w:val="24"/>
        </w:rPr>
        <w:t>ntroducing the law of waiver, with</w:t>
      </w:r>
      <w:r w:rsidR="00B90317">
        <w:rPr>
          <w:rFonts w:ascii="Arial" w:hAnsi="Arial" w:cs="Arial"/>
          <w:sz w:val="24"/>
          <w:szCs w:val="24"/>
        </w:rPr>
        <w:t xml:space="preserve"> all its compl</w:t>
      </w:r>
      <w:r w:rsidR="000C061D">
        <w:rPr>
          <w:rFonts w:ascii="Arial" w:hAnsi="Arial" w:cs="Arial"/>
          <w:sz w:val="24"/>
          <w:szCs w:val="24"/>
        </w:rPr>
        <w:t>exities and strict conditions for</w:t>
      </w:r>
      <w:r w:rsidR="00B90317">
        <w:rPr>
          <w:rFonts w:ascii="Arial" w:hAnsi="Arial" w:cs="Arial"/>
          <w:sz w:val="24"/>
          <w:szCs w:val="24"/>
        </w:rPr>
        <w:t xml:space="preserve"> validity</w:t>
      </w:r>
      <w:r w:rsidR="000C061D">
        <w:rPr>
          <w:rFonts w:ascii="Arial" w:hAnsi="Arial" w:cs="Arial"/>
          <w:sz w:val="24"/>
          <w:szCs w:val="24"/>
        </w:rPr>
        <w:t>,</w:t>
      </w:r>
      <w:r w:rsidR="00B90317">
        <w:rPr>
          <w:rFonts w:ascii="Arial" w:hAnsi="Arial" w:cs="Arial"/>
          <w:sz w:val="24"/>
          <w:szCs w:val="24"/>
        </w:rPr>
        <w:t xml:space="preserve"> into this</w:t>
      </w:r>
      <w:r w:rsidR="000C061D">
        <w:rPr>
          <w:rFonts w:ascii="Arial" w:hAnsi="Arial" w:cs="Arial"/>
          <w:sz w:val="24"/>
          <w:szCs w:val="24"/>
        </w:rPr>
        <w:t xml:space="preserve"> milieu</w:t>
      </w:r>
      <w:r w:rsidR="001377BC">
        <w:rPr>
          <w:rFonts w:ascii="Arial" w:hAnsi="Arial" w:cs="Arial"/>
          <w:sz w:val="24"/>
          <w:szCs w:val="24"/>
        </w:rPr>
        <w:t xml:space="preserve"> is in my view </w:t>
      </w:r>
      <w:r w:rsidR="00672833">
        <w:rPr>
          <w:rFonts w:ascii="Arial" w:hAnsi="Arial" w:cs="Arial"/>
          <w:sz w:val="24"/>
          <w:szCs w:val="24"/>
        </w:rPr>
        <w:t xml:space="preserve">unhelpful if not </w:t>
      </w:r>
      <w:r w:rsidR="001377BC">
        <w:rPr>
          <w:rFonts w:ascii="Arial" w:hAnsi="Arial" w:cs="Arial"/>
          <w:sz w:val="24"/>
          <w:szCs w:val="24"/>
        </w:rPr>
        <w:t xml:space="preserve">incorrect. </w:t>
      </w:r>
      <w:r w:rsidR="0021083E">
        <w:rPr>
          <w:rFonts w:ascii="Arial" w:hAnsi="Arial" w:cs="Arial"/>
          <w:sz w:val="24"/>
          <w:szCs w:val="24"/>
        </w:rPr>
        <w:t xml:space="preserve">Of course, the section in effect affords the accused an election between inconsistent options or rights. Making an election </w:t>
      </w:r>
      <w:r w:rsidR="00415BDF">
        <w:rPr>
          <w:rFonts w:ascii="Arial" w:hAnsi="Arial" w:cs="Arial"/>
          <w:sz w:val="24"/>
          <w:szCs w:val="24"/>
        </w:rPr>
        <w:t>of that type</w:t>
      </w:r>
      <w:r w:rsidR="0021083E">
        <w:rPr>
          <w:rFonts w:ascii="Arial" w:hAnsi="Arial" w:cs="Arial"/>
          <w:sz w:val="24"/>
          <w:szCs w:val="24"/>
        </w:rPr>
        <w:t xml:space="preserve"> involves waiving the one option available as of right in order to enjoy the other o</w:t>
      </w:r>
      <w:r w:rsidR="00672833">
        <w:rPr>
          <w:rFonts w:ascii="Arial" w:hAnsi="Arial" w:cs="Arial"/>
          <w:sz w:val="24"/>
          <w:szCs w:val="24"/>
        </w:rPr>
        <w:t xml:space="preserve">ne, also available as of right </w:t>
      </w:r>
      <w:r w:rsidR="0021083E">
        <w:rPr>
          <w:rFonts w:ascii="Arial" w:hAnsi="Arial" w:cs="Arial"/>
          <w:sz w:val="24"/>
          <w:szCs w:val="24"/>
        </w:rPr>
        <w:t>(</w:t>
      </w:r>
      <w:r>
        <w:rPr>
          <w:rFonts w:ascii="Arial" w:hAnsi="Arial" w:cs="Arial"/>
          <w:i/>
          <w:sz w:val="24"/>
          <w:szCs w:val="24"/>
        </w:rPr>
        <w:t xml:space="preserve">Feinstein v </w:t>
      </w:r>
      <w:proofErr w:type="spellStart"/>
      <w:r>
        <w:rPr>
          <w:rFonts w:ascii="Arial" w:hAnsi="Arial" w:cs="Arial"/>
          <w:i/>
          <w:sz w:val="24"/>
          <w:szCs w:val="24"/>
        </w:rPr>
        <w:t>Niggli</w:t>
      </w:r>
      <w:proofErr w:type="spellEnd"/>
      <w:r>
        <w:rPr>
          <w:rFonts w:ascii="Arial" w:hAnsi="Arial" w:cs="Arial"/>
          <w:i/>
          <w:sz w:val="24"/>
          <w:szCs w:val="24"/>
        </w:rPr>
        <w:t xml:space="preserve"> and A</w:t>
      </w:r>
      <w:r w:rsidR="0021083E" w:rsidRPr="0021083E">
        <w:rPr>
          <w:rFonts w:ascii="Arial" w:hAnsi="Arial" w:cs="Arial"/>
          <w:i/>
          <w:sz w:val="24"/>
          <w:szCs w:val="24"/>
        </w:rPr>
        <w:t>nother</w:t>
      </w:r>
      <w:r w:rsidR="0021083E">
        <w:rPr>
          <w:rFonts w:ascii="Arial" w:hAnsi="Arial" w:cs="Arial"/>
          <w:sz w:val="24"/>
          <w:szCs w:val="24"/>
        </w:rPr>
        <w:t xml:space="preserve"> </w:t>
      </w:r>
      <w:r w:rsidR="00672833">
        <w:rPr>
          <w:rFonts w:ascii="Arial" w:hAnsi="Arial" w:cs="Arial"/>
          <w:sz w:val="24"/>
          <w:szCs w:val="24"/>
        </w:rPr>
        <w:t>1981</w:t>
      </w:r>
      <w:r>
        <w:rPr>
          <w:rFonts w:ascii="Arial" w:hAnsi="Arial" w:cs="Arial"/>
          <w:sz w:val="24"/>
          <w:szCs w:val="24"/>
        </w:rPr>
        <w:t xml:space="preserve"> </w:t>
      </w:r>
      <w:r w:rsidR="00672833">
        <w:rPr>
          <w:rFonts w:ascii="Arial" w:hAnsi="Arial" w:cs="Arial"/>
          <w:sz w:val="24"/>
          <w:szCs w:val="24"/>
        </w:rPr>
        <w:t xml:space="preserve">(2) SA 684 </w:t>
      </w:r>
      <w:r w:rsidR="009D5DFA">
        <w:rPr>
          <w:rFonts w:ascii="Arial" w:hAnsi="Arial" w:cs="Arial"/>
          <w:sz w:val="24"/>
          <w:szCs w:val="24"/>
        </w:rPr>
        <w:t xml:space="preserve">(A) </w:t>
      </w:r>
      <w:r w:rsidR="00672833">
        <w:rPr>
          <w:rFonts w:ascii="Arial" w:hAnsi="Arial" w:cs="Arial"/>
          <w:sz w:val="24"/>
          <w:szCs w:val="24"/>
        </w:rPr>
        <w:t>at 698).</w:t>
      </w:r>
      <w:r w:rsidR="001377BC" w:rsidRPr="0021083E">
        <w:rPr>
          <w:rFonts w:ascii="Arial" w:hAnsi="Arial" w:cs="Arial"/>
          <w:i/>
          <w:sz w:val="24"/>
          <w:szCs w:val="24"/>
        </w:rPr>
        <w:t xml:space="preserve"> </w:t>
      </w:r>
      <w:r w:rsidR="005475D1">
        <w:rPr>
          <w:rFonts w:ascii="Arial" w:hAnsi="Arial" w:cs="Arial"/>
          <w:sz w:val="24"/>
          <w:szCs w:val="24"/>
        </w:rPr>
        <w:t>The law regarding waiver requires that a decision to abandon a right (or an option in the cas</w:t>
      </w:r>
      <w:r w:rsidR="00D5012C">
        <w:rPr>
          <w:rFonts w:ascii="Arial" w:hAnsi="Arial" w:cs="Arial"/>
          <w:sz w:val="24"/>
          <w:szCs w:val="24"/>
        </w:rPr>
        <w:t>e of election) rest</w:t>
      </w:r>
      <w:r w:rsidR="005475D1">
        <w:rPr>
          <w:rFonts w:ascii="Arial" w:hAnsi="Arial" w:cs="Arial"/>
          <w:sz w:val="24"/>
          <w:szCs w:val="24"/>
        </w:rPr>
        <w:t>s for its validity or enforce</w:t>
      </w:r>
      <w:r w:rsidR="00CA0D06">
        <w:rPr>
          <w:rFonts w:ascii="Arial" w:hAnsi="Arial" w:cs="Arial"/>
          <w:sz w:val="24"/>
          <w:szCs w:val="24"/>
        </w:rPr>
        <w:t>a</w:t>
      </w:r>
      <w:r w:rsidR="005475D1">
        <w:rPr>
          <w:rFonts w:ascii="Arial" w:hAnsi="Arial" w:cs="Arial"/>
          <w:sz w:val="24"/>
          <w:szCs w:val="24"/>
        </w:rPr>
        <w:t>bility on the person having “full</w:t>
      </w:r>
      <w:r w:rsidR="00D5012C">
        <w:rPr>
          <w:rFonts w:ascii="Arial" w:hAnsi="Arial" w:cs="Arial"/>
          <w:sz w:val="24"/>
          <w:szCs w:val="24"/>
        </w:rPr>
        <w:t xml:space="preserve"> knowledge” of the right being relinquished (</w:t>
      </w:r>
      <w:r w:rsidR="00D5012C" w:rsidRPr="00951449">
        <w:rPr>
          <w:rFonts w:ascii="Arial" w:hAnsi="Arial" w:cs="Arial"/>
          <w:i/>
          <w:sz w:val="24"/>
          <w:szCs w:val="24"/>
        </w:rPr>
        <w:t xml:space="preserve">Laws v </w:t>
      </w:r>
      <w:proofErr w:type="spellStart"/>
      <w:r w:rsidR="00D5012C" w:rsidRPr="00951449">
        <w:rPr>
          <w:rFonts w:ascii="Arial" w:hAnsi="Arial" w:cs="Arial"/>
          <w:i/>
          <w:sz w:val="24"/>
          <w:szCs w:val="24"/>
        </w:rPr>
        <w:t>Rutherfurd</w:t>
      </w:r>
      <w:proofErr w:type="spellEnd"/>
      <w:r w:rsidR="00D5012C">
        <w:rPr>
          <w:rFonts w:ascii="Arial" w:hAnsi="Arial" w:cs="Arial"/>
          <w:sz w:val="24"/>
          <w:szCs w:val="24"/>
        </w:rPr>
        <w:t xml:space="preserve"> 1924 AD 261 at 262). </w:t>
      </w:r>
      <w:r w:rsidR="006B40F0">
        <w:rPr>
          <w:rFonts w:ascii="Arial" w:hAnsi="Arial" w:cs="Arial"/>
          <w:sz w:val="24"/>
          <w:szCs w:val="24"/>
        </w:rPr>
        <w:t xml:space="preserve">It seems to me that “full knowledge” of the right to be tried with assessors, or the right to be tried by a magistrate alone, is an </w:t>
      </w:r>
      <w:r>
        <w:rPr>
          <w:rFonts w:ascii="Arial" w:hAnsi="Arial" w:cs="Arial"/>
          <w:sz w:val="24"/>
          <w:szCs w:val="24"/>
        </w:rPr>
        <w:t>illusory</w:t>
      </w:r>
      <w:r w:rsidR="006B40F0">
        <w:rPr>
          <w:rFonts w:ascii="Arial" w:hAnsi="Arial" w:cs="Arial"/>
          <w:sz w:val="24"/>
          <w:szCs w:val="24"/>
        </w:rPr>
        <w:t xml:space="preserve"> concept.</w:t>
      </w:r>
      <w:r w:rsidR="00DF6DA9">
        <w:rPr>
          <w:rFonts w:ascii="Arial" w:hAnsi="Arial" w:cs="Arial"/>
          <w:sz w:val="24"/>
          <w:szCs w:val="24"/>
        </w:rPr>
        <w:t xml:space="preserve"> Rights have content, which is realised when a right is exercised. </w:t>
      </w:r>
      <w:r w:rsidR="00030E6C">
        <w:rPr>
          <w:rFonts w:ascii="Arial" w:hAnsi="Arial" w:cs="Arial"/>
          <w:sz w:val="24"/>
          <w:szCs w:val="24"/>
        </w:rPr>
        <w:t>In the present context, o</w:t>
      </w:r>
      <w:r w:rsidR="00DF6DA9">
        <w:rPr>
          <w:rFonts w:ascii="Arial" w:hAnsi="Arial" w:cs="Arial"/>
          <w:sz w:val="24"/>
          <w:szCs w:val="24"/>
        </w:rPr>
        <w:t xml:space="preserve">nce one moves beyond the right to choose (of which the accused must have knowledge if he or she is making a choice), “full” knowledge is unattainable because the </w:t>
      </w:r>
      <w:r w:rsidR="00415BDF">
        <w:rPr>
          <w:rFonts w:ascii="Arial" w:hAnsi="Arial" w:cs="Arial"/>
          <w:sz w:val="24"/>
          <w:szCs w:val="24"/>
        </w:rPr>
        <w:t xml:space="preserve">real </w:t>
      </w:r>
      <w:r w:rsidR="00DF6DA9">
        <w:rPr>
          <w:rFonts w:ascii="Arial" w:hAnsi="Arial" w:cs="Arial"/>
          <w:sz w:val="24"/>
          <w:szCs w:val="24"/>
        </w:rPr>
        <w:t xml:space="preserve">content of the right to be tried by one or other constitution of the court is quite uncertain. The choice made may or may not turn out to be the correct or advantageous one.  </w:t>
      </w:r>
    </w:p>
    <w:p w14:paraId="55A113AC" w14:textId="1F7C9629" w:rsidR="001377BC" w:rsidRDefault="001377BC" w:rsidP="00B90317">
      <w:pPr>
        <w:spacing w:after="0" w:line="360" w:lineRule="auto"/>
        <w:jc w:val="both"/>
        <w:rPr>
          <w:rFonts w:ascii="Arial" w:hAnsi="Arial" w:cs="Arial"/>
          <w:sz w:val="24"/>
          <w:szCs w:val="24"/>
        </w:rPr>
      </w:pPr>
    </w:p>
    <w:p w14:paraId="09997339" w14:textId="6260A4EA" w:rsidR="001377BC" w:rsidRDefault="00087899" w:rsidP="00B90317">
      <w:pPr>
        <w:spacing w:after="0" w:line="360" w:lineRule="auto"/>
        <w:jc w:val="both"/>
        <w:rPr>
          <w:rFonts w:ascii="Arial" w:hAnsi="Arial" w:cs="Arial"/>
          <w:sz w:val="24"/>
          <w:szCs w:val="24"/>
        </w:rPr>
      </w:pPr>
      <w:r>
        <w:rPr>
          <w:rFonts w:ascii="Arial" w:hAnsi="Arial" w:cs="Arial"/>
          <w:sz w:val="24"/>
          <w:szCs w:val="24"/>
        </w:rPr>
        <w:t>[2</w:t>
      </w:r>
      <w:r w:rsidR="001869CE">
        <w:rPr>
          <w:rFonts w:ascii="Arial" w:hAnsi="Arial" w:cs="Arial"/>
          <w:sz w:val="24"/>
          <w:szCs w:val="24"/>
        </w:rPr>
        <w:t>0</w:t>
      </w:r>
      <w:r w:rsidR="001377BC">
        <w:rPr>
          <w:rFonts w:ascii="Arial" w:hAnsi="Arial" w:cs="Arial"/>
          <w:sz w:val="24"/>
          <w:szCs w:val="24"/>
        </w:rPr>
        <w:t xml:space="preserve">] </w:t>
      </w:r>
      <w:r w:rsidR="001377BC">
        <w:rPr>
          <w:rFonts w:ascii="Arial" w:hAnsi="Arial" w:cs="Arial"/>
          <w:sz w:val="24"/>
          <w:szCs w:val="24"/>
        </w:rPr>
        <w:tab/>
        <w:t>Of course, it is correctly n</w:t>
      </w:r>
      <w:r w:rsidR="00CA0D06">
        <w:rPr>
          <w:rFonts w:ascii="Arial" w:hAnsi="Arial" w:cs="Arial"/>
          <w:sz w:val="24"/>
          <w:szCs w:val="24"/>
        </w:rPr>
        <w:t>ot disputed by counsel for the S</w:t>
      </w:r>
      <w:r w:rsidR="001377BC">
        <w:rPr>
          <w:rFonts w:ascii="Arial" w:hAnsi="Arial" w:cs="Arial"/>
          <w:sz w:val="24"/>
          <w:szCs w:val="24"/>
        </w:rPr>
        <w:t xml:space="preserve">tate </w:t>
      </w:r>
      <w:r w:rsidR="00A66904">
        <w:rPr>
          <w:rFonts w:ascii="Arial" w:hAnsi="Arial" w:cs="Arial"/>
          <w:sz w:val="24"/>
          <w:szCs w:val="24"/>
        </w:rPr>
        <w:t>that</w:t>
      </w:r>
      <w:r w:rsidR="001377BC">
        <w:rPr>
          <w:rFonts w:ascii="Arial" w:hAnsi="Arial" w:cs="Arial"/>
          <w:sz w:val="24"/>
          <w:szCs w:val="24"/>
        </w:rPr>
        <w:t xml:space="preserve"> in a case such as the present one, it must appear </w:t>
      </w:r>
      <w:r w:rsidR="001377BC" w:rsidRPr="001377BC">
        <w:rPr>
          <w:rFonts w:ascii="Arial" w:hAnsi="Arial" w:cs="Arial"/>
          <w:i/>
          <w:sz w:val="24"/>
          <w:szCs w:val="24"/>
        </w:rPr>
        <w:t>ex facie</w:t>
      </w:r>
      <w:r w:rsidR="001377BC">
        <w:rPr>
          <w:rFonts w:ascii="Arial" w:hAnsi="Arial" w:cs="Arial"/>
          <w:sz w:val="24"/>
          <w:szCs w:val="24"/>
        </w:rPr>
        <w:t xml:space="preserve"> the record </w:t>
      </w:r>
      <w:r w:rsidR="00951449">
        <w:rPr>
          <w:rFonts w:ascii="Arial" w:hAnsi="Arial" w:cs="Arial"/>
          <w:sz w:val="24"/>
          <w:szCs w:val="24"/>
        </w:rPr>
        <w:t xml:space="preserve">that the accused person asked </w:t>
      </w:r>
      <w:r w:rsidR="00A66904">
        <w:rPr>
          <w:rFonts w:ascii="Arial" w:hAnsi="Arial" w:cs="Arial"/>
          <w:sz w:val="24"/>
          <w:szCs w:val="24"/>
        </w:rPr>
        <w:t>that the magistrate sit alone</w:t>
      </w:r>
      <w:r w:rsidR="001377BC">
        <w:rPr>
          <w:rFonts w:ascii="Arial" w:hAnsi="Arial" w:cs="Arial"/>
          <w:sz w:val="24"/>
          <w:szCs w:val="24"/>
        </w:rPr>
        <w:t>. However</w:t>
      </w:r>
      <w:r w:rsidR="00626C9B">
        <w:rPr>
          <w:rFonts w:ascii="Arial" w:hAnsi="Arial" w:cs="Arial"/>
          <w:sz w:val="24"/>
          <w:szCs w:val="24"/>
        </w:rPr>
        <w:t>,</w:t>
      </w:r>
      <w:r w:rsidR="001377BC">
        <w:rPr>
          <w:rFonts w:ascii="Arial" w:hAnsi="Arial" w:cs="Arial"/>
          <w:sz w:val="24"/>
          <w:szCs w:val="24"/>
        </w:rPr>
        <w:t xml:space="preserve"> I am in respectful disagreement with what appears implicit in paragraph 12 of the judgment in </w:t>
      </w:r>
      <w:proofErr w:type="spellStart"/>
      <w:r w:rsidR="001377BC" w:rsidRPr="001377BC">
        <w:rPr>
          <w:rFonts w:ascii="Arial" w:hAnsi="Arial" w:cs="Arial"/>
          <w:i/>
          <w:sz w:val="24"/>
          <w:szCs w:val="24"/>
        </w:rPr>
        <w:t>Langalitshoni</w:t>
      </w:r>
      <w:proofErr w:type="spellEnd"/>
      <w:r w:rsidR="001377BC">
        <w:rPr>
          <w:rFonts w:ascii="Arial" w:hAnsi="Arial" w:cs="Arial"/>
          <w:sz w:val="24"/>
          <w:szCs w:val="24"/>
        </w:rPr>
        <w:t>, that the record should convey that when asking that the magistrate sit alone, the accused is awa</w:t>
      </w:r>
      <w:r w:rsidR="00A66904">
        <w:rPr>
          <w:rFonts w:ascii="Arial" w:hAnsi="Arial" w:cs="Arial"/>
          <w:sz w:val="24"/>
          <w:szCs w:val="24"/>
        </w:rPr>
        <w:t>re that if his or her request i</w:t>
      </w:r>
      <w:r w:rsidR="001377BC">
        <w:rPr>
          <w:rFonts w:ascii="Arial" w:hAnsi="Arial" w:cs="Arial"/>
          <w:sz w:val="24"/>
          <w:szCs w:val="24"/>
        </w:rPr>
        <w:t xml:space="preserve">s not made, the magistrate would sit with two assessors. In my respectful view it is implicit in a request that assessors do not sit that the accused is aware of the fact that </w:t>
      </w:r>
      <w:r w:rsidR="001A6B95">
        <w:rPr>
          <w:rFonts w:ascii="Arial" w:hAnsi="Arial" w:cs="Arial"/>
          <w:sz w:val="24"/>
          <w:szCs w:val="24"/>
        </w:rPr>
        <w:t xml:space="preserve">otherwise </w:t>
      </w:r>
      <w:r w:rsidR="001377BC">
        <w:rPr>
          <w:rFonts w:ascii="Arial" w:hAnsi="Arial" w:cs="Arial"/>
          <w:sz w:val="24"/>
          <w:szCs w:val="24"/>
        </w:rPr>
        <w:t xml:space="preserve">assessors would sit with the magistrate. </w:t>
      </w:r>
      <w:r w:rsidR="00A66904">
        <w:rPr>
          <w:rFonts w:ascii="Arial" w:hAnsi="Arial" w:cs="Arial"/>
          <w:sz w:val="24"/>
          <w:szCs w:val="24"/>
        </w:rPr>
        <w:t>The accused’s lawyer would certainly draw that to the attention of the accused.</w:t>
      </w:r>
    </w:p>
    <w:p w14:paraId="19CD9587" w14:textId="7EEE1CC7" w:rsidR="001377BC" w:rsidRDefault="001377BC" w:rsidP="00B90317">
      <w:pPr>
        <w:spacing w:after="0" w:line="360" w:lineRule="auto"/>
        <w:jc w:val="both"/>
        <w:rPr>
          <w:rFonts w:ascii="Arial" w:hAnsi="Arial" w:cs="Arial"/>
          <w:sz w:val="24"/>
          <w:szCs w:val="24"/>
        </w:rPr>
      </w:pPr>
    </w:p>
    <w:p w14:paraId="0FD2FC1A" w14:textId="6BC48474" w:rsidR="001377BC" w:rsidRDefault="001869CE" w:rsidP="00B90317">
      <w:pPr>
        <w:spacing w:after="0" w:line="360" w:lineRule="auto"/>
        <w:jc w:val="both"/>
        <w:rPr>
          <w:rFonts w:ascii="Arial" w:hAnsi="Arial" w:cs="Arial"/>
          <w:sz w:val="24"/>
          <w:szCs w:val="24"/>
        </w:rPr>
      </w:pPr>
      <w:r>
        <w:rPr>
          <w:rFonts w:ascii="Arial" w:hAnsi="Arial" w:cs="Arial"/>
          <w:sz w:val="24"/>
          <w:szCs w:val="24"/>
        </w:rPr>
        <w:t>[21</w:t>
      </w:r>
      <w:r w:rsidR="001377BC">
        <w:rPr>
          <w:rFonts w:ascii="Arial" w:hAnsi="Arial" w:cs="Arial"/>
          <w:sz w:val="24"/>
          <w:szCs w:val="24"/>
        </w:rPr>
        <w:t>]</w:t>
      </w:r>
      <w:r w:rsidR="001377BC">
        <w:rPr>
          <w:rFonts w:ascii="Arial" w:hAnsi="Arial" w:cs="Arial"/>
          <w:sz w:val="24"/>
          <w:szCs w:val="24"/>
        </w:rPr>
        <w:tab/>
        <w:t xml:space="preserve">In </w:t>
      </w:r>
      <w:proofErr w:type="spellStart"/>
      <w:r w:rsidR="001377BC" w:rsidRPr="001377BC">
        <w:rPr>
          <w:rFonts w:ascii="Arial" w:hAnsi="Arial" w:cs="Arial"/>
          <w:i/>
          <w:sz w:val="24"/>
          <w:szCs w:val="24"/>
        </w:rPr>
        <w:t>Ngomane’s</w:t>
      </w:r>
      <w:proofErr w:type="spellEnd"/>
      <w:r w:rsidR="001377BC">
        <w:rPr>
          <w:rFonts w:ascii="Arial" w:hAnsi="Arial" w:cs="Arial"/>
          <w:sz w:val="24"/>
          <w:szCs w:val="24"/>
        </w:rPr>
        <w:t xml:space="preserve"> case the Gauteng Division, in declining to follow</w:t>
      </w:r>
      <w:r w:rsidR="001377BC" w:rsidRPr="001377BC">
        <w:rPr>
          <w:rFonts w:ascii="Arial" w:hAnsi="Arial" w:cs="Arial"/>
          <w:i/>
          <w:sz w:val="24"/>
          <w:szCs w:val="24"/>
        </w:rPr>
        <w:t xml:space="preserve"> </w:t>
      </w:r>
      <w:proofErr w:type="spellStart"/>
      <w:r w:rsidR="001377BC" w:rsidRPr="001377BC">
        <w:rPr>
          <w:rFonts w:ascii="Arial" w:hAnsi="Arial" w:cs="Arial"/>
          <w:i/>
          <w:sz w:val="24"/>
          <w:szCs w:val="24"/>
        </w:rPr>
        <w:t>Langaltishoni</w:t>
      </w:r>
      <w:proofErr w:type="spellEnd"/>
      <w:r w:rsidR="00100A66">
        <w:rPr>
          <w:rFonts w:ascii="Arial" w:hAnsi="Arial" w:cs="Arial"/>
          <w:sz w:val="24"/>
          <w:szCs w:val="24"/>
        </w:rPr>
        <w:t xml:space="preserve">, </w:t>
      </w:r>
      <w:r w:rsidR="00030E6C">
        <w:rPr>
          <w:rFonts w:ascii="Arial" w:hAnsi="Arial" w:cs="Arial"/>
          <w:sz w:val="24"/>
          <w:szCs w:val="24"/>
        </w:rPr>
        <w:t>emphasised</w:t>
      </w:r>
      <w:r w:rsidR="001377BC">
        <w:rPr>
          <w:rFonts w:ascii="Arial" w:hAnsi="Arial" w:cs="Arial"/>
          <w:sz w:val="24"/>
          <w:szCs w:val="24"/>
        </w:rPr>
        <w:t xml:space="preserve"> that it is an accused’s right to have a legal representative</w:t>
      </w:r>
      <w:r w:rsidR="009824DF">
        <w:rPr>
          <w:rFonts w:ascii="Arial" w:hAnsi="Arial" w:cs="Arial"/>
          <w:sz w:val="24"/>
          <w:szCs w:val="24"/>
        </w:rPr>
        <w:t>.</w:t>
      </w:r>
      <w:r w:rsidR="001377BC">
        <w:rPr>
          <w:rFonts w:ascii="Arial" w:hAnsi="Arial" w:cs="Arial"/>
          <w:sz w:val="24"/>
          <w:szCs w:val="24"/>
        </w:rPr>
        <w:t xml:space="preserve"> </w:t>
      </w:r>
      <w:r w:rsidR="009824DF">
        <w:rPr>
          <w:rFonts w:ascii="Arial" w:hAnsi="Arial" w:cs="Arial"/>
          <w:sz w:val="24"/>
          <w:szCs w:val="24"/>
        </w:rPr>
        <w:t>It is axiomatic that it is the duty of the legal representative to</w:t>
      </w:r>
      <w:r w:rsidR="001377BC">
        <w:rPr>
          <w:rFonts w:ascii="Arial" w:hAnsi="Arial" w:cs="Arial"/>
          <w:sz w:val="24"/>
          <w:szCs w:val="24"/>
        </w:rPr>
        <w:t xml:space="preserve"> advise the accused on the various </w:t>
      </w:r>
      <w:r w:rsidR="001377BC">
        <w:rPr>
          <w:rFonts w:ascii="Arial" w:hAnsi="Arial" w:cs="Arial"/>
          <w:sz w:val="24"/>
          <w:szCs w:val="24"/>
        </w:rPr>
        <w:lastRenderedPageBreak/>
        <w:t xml:space="preserve">decisions </w:t>
      </w:r>
      <w:r w:rsidR="009824DF">
        <w:rPr>
          <w:rFonts w:ascii="Arial" w:hAnsi="Arial" w:cs="Arial"/>
          <w:sz w:val="24"/>
          <w:szCs w:val="24"/>
        </w:rPr>
        <w:t>which</w:t>
      </w:r>
      <w:r w:rsidR="001377BC">
        <w:rPr>
          <w:rFonts w:ascii="Arial" w:hAnsi="Arial" w:cs="Arial"/>
          <w:sz w:val="24"/>
          <w:szCs w:val="24"/>
        </w:rPr>
        <w:t xml:space="preserve"> </w:t>
      </w:r>
      <w:r w:rsidR="009824DF">
        <w:rPr>
          <w:rFonts w:ascii="Arial" w:hAnsi="Arial" w:cs="Arial"/>
          <w:sz w:val="24"/>
          <w:szCs w:val="24"/>
        </w:rPr>
        <w:t xml:space="preserve">must </w:t>
      </w:r>
      <w:r w:rsidR="001377BC">
        <w:rPr>
          <w:rFonts w:ascii="Arial" w:hAnsi="Arial" w:cs="Arial"/>
          <w:sz w:val="24"/>
          <w:szCs w:val="24"/>
        </w:rPr>
        <w:t xml:space="preserve">be made </w:t>
      </w:r>
      <w:r w:rsidR="009824DF">
        <w:rPr>
          <w:rFonts w:ascii="Arial" w:hAnsi="Arial" w:cs="Arial"/>
          <w:sz w:val="24"/>
          <w:szCs w:val="24"/>
        </w:rPr>
        <w:t xml:space="preserve">in preparation for and </w:t>
      </w:r>
      <w:r w:rsidR="001377BC">
        <w:rPr>
          <w:rFonts w:ascii="Arial" w:hAnsi="Arial" w:cs="Arial"/>
          <w:sz w:val="24"/>
          <w:szCs w:val="24"/>
        </w:rPr>
        <w:t xml:space="preserve">during the course of a criminal trial. In paragraph 22 of the judgment </w:t>
      </w:r>
      <w:r w:rsidR="009824DF">
        <w:rPr>
          <w:rFonts w:ascii="Arial" w:hAnsi="Arial" w:cs="Arial"/>
          <w:sz w:val="24"/>
          <w:szCs w:val="24"/>
        </w:rPr>
        <w:t xml:space="preserve">in </w:t>
      </w:r>
      <w:proofErr w:type="spellStart"/>
      <w:r w:rsidR="009824DF" w:rsidRPr="001377BC">
        <w:rPr>
          <w:rFonts w:ascii="Arial" w:hAnsi="Arial" w:cs="Arial"/>
          <w:i/>
          <w:sz w:val="24"/>
          <w:szCs w:val="24"/>
        </w:rPr>
        <w:t>Ngomane</w:t>
      </w:r>
      <w:proofErr w:type="spellEnd"/>
      <w:r w:rsidR="009824DF">
        <w:rPr>
          <w:rFonts w:ascii="Arial" w:hAnsi="Arial" w:cs="Arial"/>
          <w:sz w:val="24"/>
          <w:szCs w:val="24"/>
        </w:rPr>
        <w:t xml:space="preserve"> </w:t>
      </w:r>
      <w:r w:rsidR="001377BC">
        <w:rPr>
          <w:rFonts w:ascii="Arial" w:hAnsi="Arial" w:cs="Arial"/>
          <w:sz w:val="24"/>
          <w:szCs w:val="24"/>
        </w:rPr>
        <w:t xml:space="preserve">it is observed that it is the duty of the legal representative </w:t>
      </w:r>
      <w:r w:rsidR="00415BDF">
        <w:rPr>
          <w:rFonts w:ascii="Arial" w:hAnsi="Arial" w:cs="Arial"/>
          <w:sz w:val="24"/>
          <w:szCs w:val="24"/>
        </w:rPr>
        <w:t>“to ensure that the accused’s c</w:t>
      </w:r>
      <w:r w:rsidR="001377BC" w:rsidRPr="009824DF">
        <w:rPr>
          <w:rFonts w:ascii="Arial" w:hAnsi="Arial" w:cs="Arial"/>
          <w:sz w:val="24"/>
          <w:szCs w:val="24"/>
        </w:rPr>
        <w:t>onstitutional rights are not violated, and that the accused has a fair trial in accordance with all procedural aspects and relevant legislation</w:t>
      </w:r>
      <w:r w:rsidR="00487A83" w:rsidRPr="009824DF">
        <w:rPr>
          <w:rFonts w:ascii="Arial" w:hAnsi="Arial" w:cs="Arial"/>
          <w:sz w:val="24"/>
          <w:szCs w:val="24"/>
        </w:rPr>
        <w:t>”</w:t>
      </w:r>
      <w:r w:rsidR="001377BC">
        <w:rPr>
          <w:rFonts w:ascii="Arial" w:hAnsi="Arial" w:cs="Arial"/>
          <w:sz w:val="24"/>
          <w:szCs w:val="24"/>
        </w:rPr>
        <w:t xml:space="preserve">. In paragraph 21 of the judgment </w:t>
      </w:r>
      <w:r w:rsidR="00487A83">
        <w:rPr>
          <w:rFonts w:ascii="Arial" w:hAnsi="Arial" w:cs="Arial"/>
          <w:sz w:val="24"/>
          <w:szCs w:val="24"/>
        </w:rPr>
        <w:t>the court expressed the view that a legal representative appearing before a regional court in a murder case would obviously be aw</w:t>
      </w:r>
      <w:r w:rsidR="00415BDF">
        <w:rPr>
          <w:rFonts w:ascii="Arial" w:hAnsi="Arial" w:cs="Arial"/>
          <w:sz w:val="24"/>
          <w:szCs w:val="24"/>
        </w:rPr>
        <w:t>are of the provisions of s</w:t>
      </w:r>
      <w:r w:rsidR="00487A83">
        <w:rPr>
          <w:rFonts w:ascii="Arial" w:hAnsi="Arial" w:cs="Arial"/>
          <w:sz w:val="24"/>
          <w:szCs w:val="24"/>
        </w:rPr>
        <w:t xml:space="preserve"> 93</w:t>
      </w:r>
      <w:r w:rsidR="00487A83" w:rsidRPr="00FA1C20">
        <w:rPr>
          <w:rFonts w:ascii="Arial" w:hAnsi="Arial" w:cs="Arial"/>
          <w:i/>
          <w:sz w:val="24"/>
          <w:szCs w:val="24"/>
        </w:rPr>
        <w:t>ter</w:t>
      </w:r>
      <w:r w:rsidR="00487A83">
        <w:rPr>
          <w:rFonts w:ascii="Arial" w:hAnsi="Arial" w:cs="Arial"/>
          <w:sz w:val="24"/>
          <w:szCs w:val="24"/>
        </w:rPr>
        <w:t xml:space="preserve"> of the Magistrates</w:t>
      </w:r>
      <w:r w:rsidR="00B0396A">
        <w:rPr>
          <w:rFonts w:ascii="Arial" w:hAnsi="Arial" w:cs="Arial"/>
          <w:sz w:val="24"/>
          <w:szCs w:val="24"/>
        </w:rPr>
        <w:t>’</w:t>
      </w:r>
      <w:r w:rsidR="00487A83">
        <w:rPr>
          <w:rFonts w:ascii="Arial" w:hAnsi="Arial" w:cs="Arial"/>
          <w:sz w:val="24"/>
          <w:szCs w:val="24"/>
        </w:rPr>
        <w:t xml:space="preserve"> Court</w:t>
      </w:r>
      <w:r w:rsidR="00CA0D06">
        <w:rPr>
          <w:rFonts w:ascii="Arial" w:hAnsi="Arial" w:cs="Arial"/>
          <w:sz w:val="24"/>
          <w:szCs w:val="24"/>
        </w:rPr>
        <w:t>s</w:t>
      </w:r>
      <w:r w:rsidR="00487A83">
        <w:rPr>
          <w:rFonts w:ascii="Arial" w:hAnsi="Arial" w:cs="Arial"/>
          <w:sz w:val="24"/>
          <w:szCs w:val="24"/>
        </w:rPr>
        <w:t xml:space="preserve"> Act and that there is no reason to suppose that such a legal representative would not explain to an accused person </w:t>
      </w:r>
      <w:r w:rsidR="00487A83" w:rsidRPr="009824DF">
        <w:rPr>
          <w:rFonts w:ascii="Arial" w:hAnsi="Arial" w:cs="Arial"/>
          <w:sz w:val="24"/>
          <w:szCs w:val="24"/>
        </w:rPr>
        <w:t xml:space="preserve">“what the issue of assessors entailed”. </w:t>
      </w:r>
    </w:p>
    <w:p w14:paraId="3A5CCF9B" w14:textId="77777777" w:rsidR="009D5DFA" w:rsidRPr="009824DF" w:rsidRDefault="009D5DFA" w:rsidP="00B90317">
      <w:pPr>
        <w:spacing w:after="0" w:line="360" w:lineRule="auto"/>
        <w:jc w:val="both"/>
        <w:rPr>
          <w:rFonts w:ascii="Arial" w:hAnsi="Arial" w:cs="Arial"/>
          <w:sz w:val="24"/>
          <w:szCs w:val="24"/>
        </w:rPr>
      </w:pPr>
    </w:p>
    <w:p w14:paraId="25641AF1" w14:textId="6BEB9A2B" w:rsidR="00E1058A" w:rsidRDefault="001869CE" w:rsidP="00B90317">
      <w:pPr>
        <w:spacing w:after="0" w:line="360" w:lineRule="auto"/>
        <w:jc w:val="both"/>
        <w:rPr>
          <w:rFonts w:ascii="Arial" w:hAnsi="Arial" w:cs="Arial"/>
          <w:sz w:val="24"/>
          <w:szCs w:val="24"/>
        </w:rPr>
      </w:pPr>
      <w:r>
        <w:rPr>
          <w:rFonts w:ascii="Arial" w:hAnsi="Arial" w:cs="Arial"/>
          <w:sz w:val="24"/>
          <w:szCs w:val="24"/>
        </w:rPr>
        <w:t>[22</w:t>
      </w:r>
      <w:r w:rsidR="00487A83">
        <w:rPr>
          <w:rFonts w:ascii="Arial" w:hAnsi="Arial" w:cs="Arial"/>
          <w:sz w:val="24"/>
          <w:szCs w:val="24"/>
        </w:rPr>
        <w:t xml:space="preserve">] </w:t>
      </w:r>
      <w:r w:rsidR="00487A83">
        <w:rPr>
          <w:rFonts w:ascii="Arial" w:hAnsi="Arial" w:cs="Arial"/>
          <w:sz w:val="24"/>
          <w:szCs w:val="24"/>
        </w:rPr>
        <w:tab/>
        <w:t xml:space="preserve">As to the last mentioned consideration, whilst the question as to whether an accused person should ask for the magistrate to sit alone requires a simple yes or no answer, the considerations which may affect the choice are by no means simple. </w:t>
      </w:r>
      <w:r w:rsidR="00E1058A">
        <w:rPr>
          <w:rFonts w:ascii="Arial" w:hAnsi="Arial" w:cs="Arial"/>
          <w:sz w:val="24"/>
          <w:szCs w:val="24"/>
        </w:rPr>
        <w:t>One of the important factors</w:t>
      </w:r>
      <w:r w:rsidR="00487A83">
        <w:rPr>
          <w:rFonts w:ascii="Arial" w:hAnsi="Arial" w:cs="Arial"/>
          <w:sz w:val="24"/>
          <w:szCs w:val="24"/>
        </w:rPr>
        <w:t xml:space="preserve">, from the accused’s perspective, </w:t>
      </w:r>
      <w:r w:rsidR="00E1058A">
        <w:rPr>
          <w:rFonts w:ascii="Arial" w:hAnsi="Arial" w:cs="Arial"/>
          <w:sz w:val="24"/>
          <w:szCs w:val="24"/>
        </w:rPr>
        <w:t>is the question</w:t>
      </w:r>
      <w:r w:rsidR="00487A83">
        <w:rPr>
          <w:rFonts w:ascii="Arial" w:hAnsi="Arial" w:cs="Arial"/>
          <w:sz w:val="24"/>
          <w:szCs w:val="24"/>
        </w:rPr>
        <w:t xml:space="preserve"> as to the prospect of the outcome of the case being different, depending on whether the magistrate sits alone or with assessors. Reflections on that subject will inevitably </w:t>
      </w:r>
      <w:r w:rsidR="009824DF">
        <w:rPr>
          <w:rFonts w:ascii="Arial" w:hAnsi="Arial" w:cs="Arial"/>
          <w:sz w:val="24"/>
          <w:szCs w:val="24"/>
        </w:rPr>
        <w:t>traverse</w:t>
      </w:r>
      <w:r w:rsidR="00487A83">
        <w:rPr>
          <w:rFonts w:ascii="Arial" w:hAnsi="Arial" w:cs="Arial"/>
          <w:sz w:val="24"/>
          <w:szCs w:val="24"/>
        </w:rPr>
        <w:t xml:space="preserve"> the prospect </w:t>
      </w:r>
      <w:r w:rsidR="009824DF">
        <w:rPr>
          <w:rFonts w:ascii="Arial" w:hAnsi="Arial" w:cs="Arial"/>
          <w:sz w:val="24"/>
          <w:szCs w:val="24"/>
        </w:rPr>
        <w:t xml:space="preserve">of an incorrect </w:t>
      </w:r>
      <w:r w:rsidR="00487A83">
        <w:rPr>
          <w:rFonts w:ascii="Arial" w:hAnsi="Arial" w:cs="Arial"/>
          <w:sz w:val="24"/>
          <w:szCs w:val="24"/>
        </w:rPr>
        <w:t>conviction on the e</w:t>
      </w:r>
      <w:r w:rsidR="009824DF">
        <w:rPr>
          <w:rFonts w:ascii="Arial" w:hAnsi="Arial" w:cs="Arial"/>
          <w:sz w:val="24"/>
          <w:szCs w:val="24"/>
        </w:rPr>
        <w:t>vidence placed before the court;</w:t>
      </w:r>
      <w:r w:rsidR="00487A83">
        <w:rPr>
          <w:rFonts w:ascii="Arial" w:hAnsi="Arial" w:cs="Arial"/>
          <w:sz w:val="24"/>
          <w:szCs w:val="24"/>
        </w:rPr>
        <w:t xml:space="preserve"> or, on the other hand, a fortunate acquittal. These and kindred issues do not concer</w:t>
      </w:r>
      <w:r w:rsidR="002D7A5C">
        <w:rPr>
          <w:rFonts w:ascii="Arial" w:hAnsi="Arial" w:cs="Arial"/>
          <w:sz w:val="24"/>
          <w:szCs w:val="24"/>
        </w:rPr>
        <w:t>n the magistrate,</w:t>
      </w:r>
      <w:r w:rsidR="00E1058A">
        <w:rPr>
          <w:rFonts w:ascii="Arial" w:hAnsi="Arial" w:cs="Arial"/>
          <w:sz w:val="24"/>
          <w:szCs w:val="24"/>
        </w:rPr>
        <w:t xml:space="preserve"> but they are </w:t>
      </w:r>
      <w:r w:rsidR="00487A83">
        <w:rPr>
          <w:rFonts w:ascii="Arial" w:hAnsi="Arial" w:cs="Arial"/>
          <w:sz w:val="24"/>
          <w:szCs w:val="24"/>
        </w:rPr>
        <w:t xml:space="preserve">matters which need be considered when making an informed decision. </w:t>
      </w:r>
    </w:p>
    <w:p w14:paraId="6540C234" w14:textId="77777777" w:rsidR="00E1058A" w:rsidRDefault="00E1058A" w:rsidP="00B90317">
      <w:pPr>
        <w:spacing w:after="0" w:line="360" w:lineRule="auto"/>
        <w:jc w:val="both"/>
        <w:rPr>
          <w:rFonts w:ascii="Arial" w:hAnsi="Arial" w:cs="Arial"/>
          <w:sz w:val="24"/>
          <w:szCs w:val="24"/>
        </w:rPr>
      </w:pPr>
    </w:p>
    <w:p w14:paraId="795CE440" w14:textId="1394D5B1" w:rsidR="001A6B95" w:rsidRDefault="001869CE" w:rsidP="00B90317">
      <w:pPr>
        <w:spacing w:after="0" w:line="360" w:lineRule="auto"/>
        <w:jc w:val="both"/>
        <w:rPr>
          <w:rFonts w:ascii="Arial" w:hAnsi="Arial" w:cs="Arial"/>
          <w:sz w:val="24"/>
          <w:szCs w:val="24"/>
        </w:rPr>
      </w:pPr>
      <w:r>
        <w:rPr>
          <w:rFonts w:ascii="Arial" w:hAnsi="Arial" w:cs="Arial"/>
          <w:sz w:val="24"/>
          <w:szCs w:val="24"/>
        </w:rPr>
        <w:t>[23</w:t>
      </w:r>
      <w:r w:rsidR="00B0396A">
        <w:rPr>
          <w:rFonts w:ascii="Arial" w:hAnsi="Arial" w:cs="Arial"/>
          <w:sz w:val="24"/>
          <w:szCs w:val="24"/>
        </w:rPr>
        <w:t>]</w:t>
      </w:r>
      <w:r w:rsidR="00B0396A">
        <w:rPr>
          <w:rFonts w:ascii="Arial" w:hAnsi="Arial" w:cs="Arial"/>
          <w:sz w:val="24"/>
          <w:szCs w:val="24"/>
        </w:rPr>
        <w:tab/>
      </w:r>
      <w:r w:rsidR="00487A83">
        <w:rPr>
          <w:rFonts w:ascii="Arial" w:hAnsi="Arial" w:cs="Arial"/>
          <w:sz w:val="24"/>
          <w:szCs w:val="24"/>
        </w:rPr>
        <w:t xml:space="preserve">I am in respectful agreement with the sentiment expressed in </w:t>
      </w:r>
      <w:proofErr w:type="spellStart"/>
      <w:r w:rsidR="00487A83" w:rsidRPr="00487A83">
        <w:rPr>
          <w:rFonts w:ascii="Arial" w:hAnsi="Arial" w:cs="Arial"/>
          <w:i/>
          <w:sz w:val="24"/>
          <w:szCs w:val="24"/>
        </w:rPr>
        <w:t>Ngomane</w:t>
      </w:r>
      <w:proofErr w:type="spellEnd"/>
      <w:r w:rsidR="00487A83">
        <w:rPr>
          <w:rFonts w:ascii="Arial" w:hAnsi="Arial" w:cs="Arial"/>
          <w:sz w:val="24"/>
          <w:szCs w:val="24"/>
        </w:rPr>
        <w:t xml:space="preserve"> (para 23) that there is no need, when an accused is represented, for the regional magistrate to explain </w:t>
      </w:r>
      <w:r w:rsidR="00487A83" w:rsidRPr="00E1058A">
        <w:rPr>
          <w:rFonts w:ascii="Arial" w:hAnsi="Arial" w:cs="Arial"/>
          <w:sz w:val="24"/>
          <w:szCs w:val="24"/>
        </w:rPr>
        <w:t>“what the Act provides in respect of assessors, and what his rights in that regard are.”</w:t>
      </w:r>
      <w:r w:rsidR="00E1058A">
        <w:rPr>
          <w:rFonts w:ascii="Arial" w:hAnsi="Arial" w:cs="Arial"/>
          <w:sz w:val="24"/>
          <w:szCs w:val="24"/>
        </w:rPr>
        <w:t xml:space="preserve"> I</w:t>
      </w:r>
      <w:r w:rsidR="00487A83">
        <w:rPr>
          <w:rFonts w:ascii="Arial" w:hAnsi="Arial" w:cs="Arial"/>
          <w:sz w:val="24"/>
          <w:szCs w:val="24"/>
        </w:rPr>
        <w:t xml:space="preserve">t is safe to assume that a lawyer who on record asks that the magistrate should sit alone has in fact conveyed </w:t>
      </w:r>
      <w:r w:rsidR="00754C8B">
        <w:rPr>
          <w:rFonts w:ascii="Arial" w:hAnsi="Arial" w:cs="Arial"/>
          <w:sz w:val="24"/>
          <w:szCs w:val="24"/>
        </w:rPr>
        <w:t>to the accused that if the request is not made the magistrate will sit with two assessors. The “detail” which underlies a decision as to whet</w:t>
      </w:r>
      <w:r w:rsidR="002D7A5C">
        <w:rPr>
          <w:rFonts w:ascii="Arial" w:hAnsi="Arial" w:cs="Arial"/>
          <w:sz w:val="24"/>
          <w:szCs w:val="24"/>
        </w:rPr>
        <w:t>her that request should be made is a matter for advic</w:t>
      </w:r>
      <w:r w:rsidR="00754C8B">
        <w:rPr>
          <w:rFonts w:ascii="Arial" w:hAnsi="Arial" w:cs="Arial"/>
          <w:sz w:val="24"/>
          <w:szCs w:val="24"/>
        </w:rPr>
        <w:t xml:space="preserve">e and </w:t>
      </w:r>
      <w:r w:rsidR="002D7A5C">
        <w:rPr>
          <w:rFonts w:ascii="Arial" w:hAnsi="Arial" w:cs="Arial"/>
          <w:sz w:val="24"/>
          <w:szCs w:val="24"/>
        </w:rPr>
        <w:t>consideration by</w:t>
      </w:r>
      <w:r w:rsidR="00754C8B">
        <w:rPr>
          <w:rFonts w:ascii="Arial" w:hAnsi="Arial" w:cs="Arial"/>
          <w:sz w:val="24"/>
          <w:szCs w:val="24"/>
        </w:rPr>
        <w:t xml:space="preserve"> the legal representative and the accused person. </w:t>
      </w:r>
      <w:r w:rsidR="002D7A5C">
        <w:rPr>
          <w:rFonts w:ascii="Arial" w:hAnsi="Arial" w:cs="Arial"/>
          <w:sz w:val="24"/>
          <w:szCs w:val="24"/>
        </w:rPr>
        <w:t>In my view, and f</w:t>
      </w:r>
      <w:r w:rsidR="00754C8B">
        <w:rPr>
          <w:rFonts w:ascii="Arial" w:hAnsi="Arial" w:cs="Arial"/>
          <w:sz w:val="24"/>
          <w:szCs w:val="24"/>
        </w:rPr>
        <w:t>or the reas</w:t>
      </w:r>
      <w:r w:rsidR="002D7A5C">
        <w:rPr>
          <w:rFonts w:ascii="Arial" w:hAnsi="Arial" w:cs="Arial"/>
          <w:sz w:val="24"/>
          <w:szCs w:val="24"/>
        </w:rPr>
        <w:t>ons stated in the main judgment</w:t>
      </w:r>
      <w:r w:rsidR="00754C8B">
        <w:rPr>
          <w:rFonts w:ascii="Arial" w:hAnsi="Arial" w:cs="Arial"/>
          <w:sz w:val="24"/>
          <w:szCs w:val="24"/>
        </w:rPr>
        <w:t xml:space="preserve"> and in </w:t>
      </w:r>
      <w:proofErr w:type="spellStart"/>
      <w:r w:rsidR="00754C8B" w:rsidRPr="00754C8B">
        <w:rPr>
          <w:rFonts w:ascii="Arial" w:hAnsi="Arial" w:cs="Arial"/>
          <w:i/>
          <w:sz w:val="24"/>
          <w:szCs w:val="24"/>
        </w:rPr>
        <w:t>Ngomane</w:t>
      </w:r>
      <w:proofErr w:type="spellEnd"/>
      <w:r w:rsidR="00754C8B">
        <w:rPr>
          <w:rFonts w:ascii="Arial" w:hAnsi="Arial" w:cs="Arial"/>
          <w:sz w:val="24"/>
          <w:szCs w:val="24"/>
        </w:rPr>
        <w:t>, a magistrate is bound to assume that an accused</w:t>
      </w:r>
      <w:r w:rsidR="002D7A5C">
        <w:rPr>
          <w:rFonts w:ascii="Arial" w:hAnsi="Arial" w:cs="Arial"/>
          <w:sz w:val="24"/>
          <w:szCs w:val="24"/>
        </w:rPr>
        <w:t>’s</w:t>
      </w:r>
      <w:r w:rsidR="00754C8B">
        <w:rPr>
          <w:rFonts w:ascii="Arial" w:hAnsi="Arial" w:cs="Arial"/>
          <w:sz w:val="24"/>
          <w:szCs w:val="24"/>
        </w:rPr>
        <w:t xml:space="preserve"> lawyer has competently explained the </w:t>
      </w:r>
      <w:r w:rsidR="00100A66">
        <w:rPr>
          <w:rFonts w:ascii="Arial" w:hAnsi="Arial" w:cs="Arial"/>
          <w:sz w:val="24"/>
          <w:szCs w:val="24"/>
        </w:rPr>
        <w:t>options</w:t>
      </w:r>
      <w:r w:rsidR="00754C8B">
        <w:rPr>
          <w:rFonts w:ascii="Arial" w:hAnsi="Arial" w:cs="Arial"/>
          <w:sz w:val="24"/>
          <w:szCs w:val="24"/>
        </w:rPr>
        <w:t xml:space="preserve"> to the accused person unless, as may happen exceptionally, something emerges which suggests otherwise.</w:t>
      </w:r>
    </w:p>
    <w:p w14:paraId="44C9CC71" w14:textId="77777777" w:rsidR="001A6B95" w:rsidRDefault="001A6B95" w:rsidP="00B90317">
      <w:pPr>
        <w:spacing w:after="0" w:line="360" w:lineRule="auto"/>
        <w:jc w:val="both"/>
        <w:rPr>
          <w:rFonts w:ascii="Arial" w:hAnsi="Arial" w:cs="Arial"/>
          <w:sz w:val="24"/>
          <w:szCs w:val="24"/>
        </w:rPr>
      </w:pPr>
    </w:p>
    <w:p w14:paraId="616B20E8" w14:textId="689A743A" w:rsidR="006241DF" w:rsidRDefault="001869CE" w:rsidP="00E11DD8">
      <w:pPr>
        <w:spacing w:after="0" w:line="360" w:lineRule="auto"/>
        <w:jc w:val="both"/>
        <w:rPr>
          <w:rFonts w:ascii="Arial" w:hAnsi="Arial" w:cs="Arial"/>
          <w:sz w:val="24"/>
          <w:szCs w:val="24"/>
        </w:rPr>
      </w:pPr>
      <w:r>
        <w:rPr>
          <w:rFonts w:ascii="Arial" w:hAnsi="Arial" w:cs="Arial"/>
          <w:sz w:val="24"/>
          <w:szCs w:val="24"/>
        </w:rPr>
        <w:lastRenderedPageBreak/>
        <w:t>[24</w:t>
      </w:r>
      <w:r w:rsidR="00B0396A">
        <w:rPr>
          <w:rFonts w:ascii="Arial" w:hAnsi="Arial" w:cs="Arial"/>
          <w:sz w:val="24"/>
          <w:szCs w:val="24"/>
        </w:rPr>
        <w:t>]</w:t>
      </w:r>
      <w:r w:rsidR="00B0396A">
        <w:rPr>
          <w:rFonts w:ascii="Arial" w:hAnsi="Arial" w:cs="Arial"/>
          <w:sz w:val="24"/>
          <w:szCs w:val="24"/>
        </w:rPr>
        <w:tab/>
      </w:r>
      <w:r w:rsidR="001A6B95">
        <w:rPr>
          <w:rFonts w:ascii="Arial" w:hAnsi="Arial" w:cs="Arial"/>
          <w:sz w:val="24"/>
          <w:szCs w:val="24"/>
        </w:rPr>
        <w:t xml:space="preserve">As has been done in the main judgment, the cases of </w:t>
      </w:r>
      <w:proofErr w:type="spellStart"/>
      <w:r w:rsidR="001A6B95" w:rsidRPr="001A6B95">
        <w:rPr>
          <w:rFonts w:ascii="Arial" w:hAnsi="Arial" w:cs="Arial"/>
          <w:i/>
          <w:sz w:val="24"/>
          <w:szCs w:val="24"/>
        </w:rPr>
        <w:t>Chala</w:t>
      </w:r>
      <w:proofErr w:type="spellEnd"/>
      <w:r w:rsidR="001A6B95">
        <w:rPr>
          <w:rFonts w:ascii="Arial" w:hAnsi="Arial" w:cs="Arial"/>
          <w:sz w:val="24"/>
          <w:szCs w:val="24"/>
        </w:rPr>
        <w:t xml:space="preserve"> and </w:t>
      </w:r>
      <w:proofErr w:type="spellStart"/>
      <w:r w:rsidR="001A6B95" w:rsidRPr="001A6B95">
        <w:rPr>
          <w:rFonts w:ascii="Arial" w:hAnsi="Arial" w:cs="Arial"/>
          <w:i/>
          <w:sz w:val="24"/>
          <w:szCs w:val="24"/>
        </w:rPr>
        <w:t>Gayiya</w:t>
      </w:r>
      <w:proofErr w:type="spellEnd"/>
      <w:r w:rsidR="00754C8B" w:rsidRPr="001A6B95">
        <w:rPr>
          <w:rFonts w:ascii="Arial" w:hAnsi="Arial" w:cs="Arial"/>
          <w:i/>
          <w:sz w:val="24"/>
          <w:szCs w:val="24"/>
        </w:rPr>
        <w:t xml:space="preserve"> </w:t>
      </w:r>
      <w:r w:rsidR="001A6B95">
        <w:rPr>
          <w:rFonts w:ascii="Arial" w:hAnsi="Arial" w:cs="Arial"/>
          <w:sz w:val="24"/>
          <w:szCs w:val="24"/>
        </w:rPr>
        <w:t>are oft</w:t>
      </w:r>
      <w:r w:rsidR="00BD0E86">
        <w:rPr>
          <w:rFonts w:ascii="Arial" w:hAnsi="Arial" w:cs="Arial"/>
          <w:sz w:val="24"/>
          <w:szCs w:val="24"/>
        </w:rPr>
        <w:t>en</w:t>
      </w:r>
      <w:r w:rsidR="001A6B95">
        <w:rPr>
          <w:rFonts w:ascii="Arial" w:hAnsi="Arial" w:cs="Arial"/>
          <w:sz w:val="24"/>
          <w:szCs w:val="24"/>
        </w:rPr>
        <w:t xml:space="preserve"> cited in tandem. </w:t>
      </w:r>
      <w:r w:rsidR="00BD0E86">
        <w:rPr>
          <w:rFonts w:ascii="Arial" w:hAnsi="Arial" w:cs="Arial"/>
          <w:sz w:val="24"/>
          <w:szCs w:val="24"/>
        </w:rPr>
        <w:t xml:space="preserve">It is important to note that the court in </w:t>
      </w:r>
      <w:proofErr w:type="spellStart"/>
      <w:r w:rsidR="00BD0E86" w:rsidRPr="0019119F">
        <w:rPr>
          <w:rFonts w:ascii="Arial" w:hAnsi="Arial" w:cs="Arial"/>
          <w:i/>
          <w:sz w:val="24"/>
          <w:szCs w:val="24"/>
        </w:rPr>
        <w:t>Gayiya</w:t>
      </w:r>
      <w:proofErr w:type="spellEnd"/>
      <w:r w:rsidR="00BD0E86">
        <w:rPr>
          <w:rFonts w:ascii="Arial" w:hAnsi="Arial" w:cs="Arial"/>
          <w:sz w:val="24"/>
          <w:szCs w:val="24"/>
        </w:rPr>
        <w:t xml:space="preserve"> did not expressly endorse </w:t>
      </w:r>
      <w:proofErr w:type="spellStart"/>
      <w:r w:rsidR="00BD0E86" w:rsidRPr="0019119F">
        <w:rPr>
          <w:rFonts w:ascii="Arial" w:hAnsi="Arial" w:cs="Arial"/>
          <w:i/>
          <w:sz w:val="24"/>
          <w:szCs w:val="24"/>
        </w:rPr>
        <w:t>Chala</w:t>
      </w:r>
      <w:proofErr w:type="spellEnd"/>
      <w:r w:rsidR="00BD0E86">
        <w:rPr>
          <w:rFonts w:ascii="Arial" w:hAnsi="Arial" w:cs="Arial"/>
          <w:sz w:val="24"/>
          <w:szCs w:val="24"/>
        </w:rPr>
        <w:t>, but referred to and adopted its collection and comprehensive discussion of earlier conflicting cases on the subject of s 93</w:t>
      </w:r>
      <w:r w:rsidR="00BD0E86" w:rsidRPr="00096DB1">
        <w:rPr>
          <w:rFonts w:ascii="Arial" w:hAnsi="Arial" w:cs="Arial"/>
          <w:i/>
          <w:sz w:val="24"/>
          <w:szCs w:val="24"/>
        </w:rPr>
        <w:t>ter</w:t>
      </w:r>
      <w:r w:rsidR="00BD0E86">
        <w:rPr>
          <w:rFonts w:ascii="Arial" w:hAnsi="Arial" w:cs="Arial"/>
          <w:sz w:val="24"/>
          <w:szCs w:val="24"/>
        </w:rPr>
        <w:t xml:space="preserve">. In paragraph 28 of the judgment in </w:t>
      </w:r>
      <w:proofErr w:type="spellStart"/>
      <w:r w:rsidR="00BD0E86" w:rsidRPr="0019119F">
        <w:rPr>
          <w:rFonts w:ascii="Arial" w:hAnsi="Arial" w:cs="Arial"/>
          <w:i/>
          <w:sz w:val="24"/>
          <w:szCs w:val="24"/>
        </w:rPr>
        <w:t>Chala</w:t>
      </w:r>
      <w:proofErr w:type="spellEnd"/>
      <w:r w:rsidR="00BD0E86">
        <w:rPr>
          <w:rFonts w:ascii="Arial" w:hAnsi="Arial" w:cs="Arial"/>
          <w:sz w:val="24"/>
          <w:szCs w:val="24"/>
        </w:rPr>
        <w:t xml:space="preserve"> the learned judge expressed the view that in addition to advising the accused of the choice</w:t>
      </w:r>
      <w:r w:rsidR="00E94CDE">
        <w:rPr>
          <w:rFonts w:ascii="Arial" w:hAnsi="Arial" w:cs="Arial"/>
          <w:sz w:val="24"/>
          <w:szCs w:val="24"/>
        </w:rPr>
        <w:t xml:space="preserve"> to be made under s 93</w:t>
      </w:r>
      <w:r w:rsidR="00E94CDE" w:rsidRPr="003F080B">
        <w:rPr>
          <w:rFonts w:ascii="Arial" w:hAnsi="Arial" w:cs="Arial"/>
          <w:i/>
          <w:sz w:val="24"/>
          <w:szCs w:val="24"/>
        </w:rPr>
        <w:t>ter</w:t>
      </w:r>
      <w:r w:rsidR="00E94CDE">
        <w:rPr>
          <w:rFonts w:ascii="Arial" w:hAnsi="Arial" w:cs="Arial"/>
          <w:sz w:val="24"/>
          <w:szCs w:val="24"/>
        </w:rPr>
        <w:t xml:space="preserve">, the magistrate should provide the accused with a “brief exposition of the import of that choice”. I am uncertain as to what the learned judge had in mind </w:t>
      </w:r>
      <w:r w:rsidR="00E11DD8">
        <w:rPr>
          <w:rFonts w:ascii="Arial" w:hAnsi="Arial" w:cs="Arial"/>
          <w:sz w:val="24"/>
          <w:szCs w:val="24"/>
        </w:rPr>
        <w:t>concerning</w:t>
      </w:r>
      <w:r w:rsidR="00E94CDE">
        <w:rPr>
          <w:rFonts w:ascii="Arial" w:hAnsi="Arial" w:cs="Arial"/>
          <w:sz w:val="24"/>
          <w:szCs w:val="24"/>
        </w:rPr>
        <w:t xml:space="preserve"> the </w:t>
      </w:r>
      <w:r w:rsidR="00E11DD8">
        <w:rPr>
          <w:rFonts w:ascii="Arial" w:hAnsi="Arial" w:cs="Arial"/>
          <w:sz w:val="24"/>
          <w:szCs w:val="24"/>
        </w:rPr>
        <w:t>“</w:t>
      </w:r>
      <w:r w:rsidR="00E94CDE">
        <w:rPr>
          <w:rFonts w:ascii="Arial" w:hAnsi="Arial" w:cs="Arial"/>
          <w:sz w:val="24"/>
          <w:szCs w:val="24"/>
        </w:rPr>
        <w:t>import</w:t>
      </w:r>
      <w:r w:rsidR="00E11DD8">
        <w:rPr>
          <w:rFonts w:ascii="Arial" w:hAnsi="Arial" w:cs="Arial"/>
          <w:sz w:val="24"/>
          <w:szCs w:val="24"/>
        </w:rPr>
        <w:t>”</w:t>
      </w:r>
      <w:r w:rsidR="00E94CDE">
        <w:rPr>
          <w:rFonts w:ascii="Arial" w:hAnsi="Arial" w:cs="Arial"/>
          <w:sz w:val="24"/>
          <w:szCs w:val="24"/>
        </w:rPr>
        <w:t xml:space="preserve"> of the choice, but if he intended that the magistrate should ordinarily say anything more than that the accused has a choice, and that if he does not ask the magistrate to sit alone the court would be convened with two assessors, then I respectfully </w:t>
      </w:r>
      <w:r w:rsidR="006241DF">
        <w:rPr>
          <w:rFonts w:ascii="Arial" w:hAnsi="Arial" w:cs="Arial"/>
          <w:sz w:val="24"/>
          <w:szCs w:val="24"/>
        </w:rPr>
        <w:t xml:space="preserve">disagree with that view.  In paragraph 8 of the judgment in </w:t>
      </w:r>
      <w:proofErr w:type="spellStart"/>
      <w:r w:rsidR="006241DF" w:rsidRPr="0019119F">
        <w:rPr>
          <w:rFonts w:ascii="Arial" w:hAnsi="Arial" w:cs="Arial"/>
          <w:i/>
          <w:sz w:val="24"/>
          <w:szCs w:val="24"/>
        </w:rPr>
        <w:t>Gayiya</w:t>
      </w:r>
      <w:proofErr w:type="spellEnd"/>
      <w:r w:rsidR="006241DF" w:rsidRPr="0019119F">
        <w:rPr>
          <w:rFonts w:ascii="Arial" w:hAnsi="Arial" w:cs="Arial"/>
          <w:i/>
          <w:sz w:val="24"/>
          <w:szCs w:val="24"/>
        </w:rPr>
        <w:t xml:space="preserve"> </w:t>
      </w:r>
      <w:r w:rsidR="006241DF">
        <w:rPr>
          <w:rFonts w:ascii="Arial" w:hAnsi="Arial" w:cs="Arial"/>
          <w:sz w:val="24"/>
          <w:szCs w:val="24"/>
        </w:rPr>
        <w:t xml:space="preserve">the </w:t>
      </w:r>
      <w:r w:rsidR="009D5DFA">
        <w:rPr>
          <w:rFonts w:ascii="Arial" w:hAnsi="Arial" w:cs="Arial"/>
          <w:sz w:val="24"/>
          <w:szCs w:val="24"/>
        </w:rPr>
        <w:t>position</w:t>
      </w:r>
      <w:r w:rsidR="006241DF">
        <w:rPr>
          <w:rFonts w:ascii="Arial" w:hAnsi="Arial" w:cs="Arial"/>
          <w:sz w:val="24"/>
          <w:szCs w:val="24"/>
        </w:rPr>
        <w:t xml:space="preserve"> was put as follows.</w:t>
      </w:r>
    </w:p>
    <w:p w14:paraId="44B2C7CD" w14:textId="7F762163" w:rsidR="00030E6C" w:rsidRPr="00B0396A" w:rsidRDefault="00B0396A" w:rsidP="009D5DFA">
      <w:pPr>
        <w:spacing w:after="0" w:line="360" w:lineRule="auto"/>
        <w:jc w:val="both"/>
        <w:rPr>
          <w:rFonts w:ascii="Arial" w:eastAsia="Times New Roman" w:hAnsi="Arial" w:cs="Arial"/>
          <w:color w:val="000000"/>
        </w:rPr>
      </w:pPr>
      <w:r>
        <w:rPr>
          <w:rFonts w:ascii="Arial" w:hAnsi="Arial" w:cs="Arial"/>
        </w:rPr>
        <w:t>‘</w:t>
      </w:r>
      <w:r w:rsidR="006241DF" w:rsidRPr="00B0396A">
        <w:rPr>
          <w:rFonts w:ascii="Arial" w:eastAsia="Times New Roman" w:hAnsi="Arial" w:cs="Arial"/>
          <w:color w:val="000000"/>
        </w:rPr>
        <w:t>The starting point, therefore, is for the regional magistrate to inform the accused, before the commencement of the trial, that it is a requirement of the law that he or she must be assisted by two assessors, unless he (the accused) requests that the trial proceed without assessors.</w:t>
      </w:r>
      <w:r>
        <w:rPr>
          <w:rFonts w:ascii="Arial" w:eastAsia="Times New Roman" w:hAnsi="Arial" w:cs="Arial"/>
          <w:color w:val="000000"/>
        </w:rPr>
        <w:t>’</w:t>
      </w:r>
      <w:r w:rsidRPr="00B0396A">
        <w:rPr>
          <w:rFonts w:ascii="Arial" w:eastAsia="Times New Roman" w:hAnsi="Arial" w:cs="Arial"/>
          <w:color w:val="000000"/>
        </w:rPr>
        <w:t xml:space="preserve"> </w:t>
      </w:r>
    </w:p>
    <w:p w14:paraId="1699D4BA" w14:textId="41B19547" w:rsidR="0019119F" w:rsidRDefault="006241DF" w:rsidP="00B0396A">
      <w:p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Whilst this statement of the duties of </w:t>
      </w:r>
      <w:r w:rsidR="004B1E36">
        <w:rPr>
          <w:rFonts w:ascii="Arial" w:eastAsia="Times New Roman" w:hAnsi="Arial" w:cs="Arial"/>
          <w:color w:val="000000"/>
          <w:sz w:val="24"/>
          <w:szCs w:val="24"/>
        </w:rPr>
        <w:t>a</w:t>
      </w:r>
      <w:r>
        <w:rPr>
          <w:rFonts w:ascii="Arial" w:eastAsia="Times New Roman" w:hAnsi="Arial" w:cs="Arial"/>
          <w:color w:val="000000"/>
          <w:sz w:val="24"/>
          <w:szCs w:val="24"/>
        </w:rPr>
        <w:t xml:space="preserve"> magistrate is </w:t>
      </w:r>
      <w:r w:rsidR="009D5DFA">
        <w:rPr>
          <w:rFonts w:ascii="Arial" w:eastAsia="Times New Roman" w:hAnsi="Arial" w:cs="Arial"/>
          <w:color w:val="000000"/>
          <w:sz w:val="24"/>
          <w:szCs w:val="24"/>
        </w:rPr>
        <w:t>labelled</w:t>
      </w:r>
      <w:r>
        <w:rPr>
          <w:rFonts w:ascii="Arial" w:eastAsia="Times New Roman" w:hAnsi="Arial" w:cs="Arial"/>
          <w:color w:val="000000"/>
          <w:sz w:val="24"/>
          <w:szCs w:val="24"/>
        </w:rPr>
        <w:t xml:space="preserve"> the “starting point”, the court said nothing about anything else </w:t>
      </w:r>
      <w:r w:rsidR="004B1E36">
        <w:rPr>
          <w:rFonts w:ascii="Arial" w:eastAsia="Times New Roman" w:hAnsi="Arial" w:cs="Arial"/>
          <w:color w:val="000000"/>
          <w:sz w:val="24"/>
          <w:szCs w:val="24"/>
        </w:rPr>
        <w:t>a</w:t>
      </w:r>
      <w:r>
        <w:rPr>
          <w:rFonts w:ascii="Arial" w:eastAsia="Times New Roman" w:hAnsi="Arial" w:cs="Arial"/>
          <w:color w:val="000000"/>
          <w:sz w:val="24"/>
          <w:szCs w:val="24"/>
        </w:rPr>
        <w:t xml:space="preserve"> magistrate </w:t>
      </w:r>
      <w:r w:rsidR="004B1E36">
        <w:rPr>
          <w:rFonts w:ascii="Arial" w:eastAsia="Times New Roman" w:hAnsi="Arial" w:cs="Arial"/>
          <w:color w:val="000000"/>
          <w:sz w:val="24"/>
          <w:szCs w:val="24"/>
        </w:rPr>
        <w:t>has</w:t>
      </w:r>
      <w:r w:rsidR="00E11DD8">
        <w:rPr>
          <w:rFonts w:ascii="Arial" w:eastAsia="Times New Roman" w:hAnsi="Arial" w:cs="Arial"/>
          <w:color w:val="000000"/>
          <w:sz w:val="24"/>
          <w:szCs w:val="24"/>
        </w:rPr>
        <w:t xml:space="preserve"> to do to satisfy the requirements of s 93</w:t>
      </w:r>
      <w:r w:rsidR="00E11DD8" w:rsidRPr="003F080B">
        <w:rPr>
          <w:rFonts w:ascii="Arial" w:eastAsia="Times New Roman" w:hAnsi="Arial" w:cs="Arial"/>
          <w:i/>
          <w:color w:val="000000"/>
          <w:sz w:val="24"/>
          <w:szCs w:val="24"/>
        </w:rPr>
        <w:t>ter</w:t>
      </w:r>
      <w:r w:rsidR="00E11DD8">
        <w:rPr>
          <w:rFonts w:ascii="Arial" w:eastAsia="Times New Roman" w:hAnsi="Arial" w:cs="Arial"/>
          <w:color w:val="000000"/>
          <w:sz w:val="24"/>
          <w:szCs w:val="24"/>
        </w:rPr>
        <w:t xml:space="preserve">. In </w:t>
      </w:r>
      <w:proofErr w:type="spellStart"/>
      <w:r w:rsidR="00E11DD8" w:rsidRPr="0019119F">
        <w:rPr>
          <w:rFonts w:ascii="Arial" w:eastAsia="Times New Roman" w:hAnsi="Arial" w:cs="Arial"/>
          <w:i/>
          <w:color w:val="000000"/>
          <w:sz w:val="24"/>
          <w:szCs w:val="24"/>
        </w:rPr>
        <w:t>Ngomane</w:t>
      </w:r>
      <w:proofErr w:type="spellEnd"/>
      <w:r w:rsidR="00E11DD8">
        <w:rPr>
          <w:rFonts w:ascii="Arial" w:eastAsia="Times New Roman" w:hAnsi="Arial" w:cs="Arial"/>
          <w:color w:val="000000"/>
          <w:sz w:val="24"/>
          <w:szCs w:val="24"/>
        </w:rPr>
        <w:t xml:space="preserve"> (para</w:t>
      </w:r>
      <w:r w:rsidR="003F080B">
        <w:rPr>
          <w:rFonts w:ascii="Arial" w:eastAsia="Times New Roman" w:hAnsi="Arial" w:cs="Arial"/>
          <w:color w:val="000000"/>
          <w:sz w:val="24"/>
          <w:szCs w:val="24"/>
        </w:rPr>
        <w:t xml:space="preserve"> </w:t>
      </w:r>
      <w:r w:rsidR="00E11DD8">
        <w:rPr>
          <w:rFonts w:ascii="Arial" w:eastAsia="Times New Roman" w:hAnsi="Arial" w:cs="Arial"/>
          <w:color w:val="000000"/>
          <w:sz w:val="24"/>
          <w:szCs w:val="24"/>
        </w:rPr>
        <w:t xml:space="preserve">15) it was pointed out that in </w:t>
      </w:r>
      <w:proofErr w:type="spellStart"/>
      <w:r w:rsidR="00E11DD8" w:rsidRPr="0019119F">
        <w:rPr>
          <w:rFonts w:ascii="Arial" w:eastAsia="Times New Roman" w:hAnsi="Arial" w:cs="Arial"/>
          <w:i/>
          <w:color w:val="000000"/>
          <w:sz w:val="24"/>
          <w:szCs w:val="24"/>
        </w:rPr>
        <w:t>Gayiya</w:t>
      </w:r>
      <w:proofErr w:type="spellEnd"/>
      <w:r w:rsidR="00E11DD8">
        <w:rPr>
          <w:rFonts w:ascii="Arial" w:eastAsia="Times New Roman" w:hAnsi="Arial" w:cs="Arial"/>
          <w:color w:val="000000"/>
          <w:sz w:val="24"/>
          <w:szCs w:val="24"/>
        </w:rPr>
        <w:t xml:space="preserve"> the court was dealing with an unrepresented accused in a case where nothing at all was </w:t>
      </w:r>
      <w:r w:rsidR="004B1E36">
        <w:rPr>
          <w:rFonts w:ascii="Arial" w:eastAsia="Times New Roman" w:hAnsi="Arial" w:cs="Arial"/>
          <w:color w:val="000000"/>
          <w:sz w:val="24"/>
          <w:szCs w:val="24"/>
        </w:rPr>
        <w:t>said by the magistrate concerning assessors</w:t>
      </w:r>
      <w:r w:rsidR="00E11DD8">
        <w:rPr>
          <w:rFonts w:ascii="Arial" w:eastAsia="Times New Roman" w:hAnsi="Arial" w:cs="Arial"/>
          <w:color w:val="000000"/>
          <w:sz w:val="24"/>
          <w:szCs w:val="24"/>
        </w:rPr>
        <w:t>.</w:t>
      </w:r>
      <w:r w:rsidR="004B1E36">
        <w:rPr>
          <w:rFonts w:ascii="Arial" w:eastAsia="Times New Roman" w:hAnsi="Arial" w:cs="Arial"/>
          <w:color w:val="000000"/>
          <w:sz w:val="24"/>
          <w:szCs w:val="24"/>
        </w:rPr>
        <w:t xml:space="preserve"> In my view it would not be correct to interpret </w:t>
      </w:r>
      <w:proofErr w:type="spellStart"/>
      <w:r w:rsidR="004B1E36" w:rsidRPr="0019119F">
        <w:rPr>
          <w:rFonts w:ascii="Arial" w:eastAsia="Times New Roman" w:hAnsi="Arial" w:cs="Arial"/>
          <w:i/>
          <w:color w:val="000000"/>
          <w:sz w:val="24"/>
          <w:szCs w:val="24"/>
        </w:rPr>
        <w:t>Gayiya</w:t>
      </w:r>
      <w:proofErr w:type="spellEnd"/>
      <w:r w:rsidR="004B1E36">
        <w:rPr>
          <w:rFonts w:ascii="Arial" w:eastAsia="Times New Roman" w:hAnsi="Arial" w:cs="Arial"/>
          <w:color w:val="000000"/>
          <w:sz w:val="24"/>
          <w:szCs w:val="24"/>
        </w:rPr>
        <w:t xml:space="preserve"> to convey that in a case where the accused is represented, the magistrate is duty-bound to go th</w:t>
      </w:r>
      <w:r w:rsidR="00724778">
        <w:rPr>
          <w:rFonts w:ascii="Arial" w:eastAsia="Times New Roman" w:hAnsi="Arial" w:cs="Arial"/>
          <w:color w:val="000000"/>
          <w:sz w:val="24"/>
          <w:szCs w:val="24"/>
        </w:rPr>
        <w:t>rough the motions, and describe the</w:t>
      </w:r>
      <w:r w:rsidR="004B1E36">
        <w:rPr>
          <w:rFonts w:ascii="Arial" w:eastAsia="Times New Roman" w:hAnsi="Arial" w:cs="Arial"/>
          <w:color w:val="000000"/>
          <w:sz w:val="24"/>
          <w:szCs w:val="24"/>
        </w:rPr>
        <w:t xml:space="preserve"> choice which is clearly already within the knowledge of the lawyer, and accordingly at least presu</w:t>
      </w:r>
      <w:r w:rsidR="00DF4884">
        <w:rPr>
          <w:rFonts w:ascii="Arial" w:eastAsia="Times New Roman" w:hAnsi="Arial" w:cs="Arial"/>
          <w:color w:val="000000"/>
          <w:sz w:val="24"/>
          <w:szCs w:val="24"/>
        </w:rPr>
        <w:t>mptively known to</w:t>
      </w:r>
      <w:r w:rsidR="004B1E36">
        <w:rPr>
          <w:rFonts w:ascii="Arial" w:eastAsia="Times New Roman" w:hAnsi="Arial" w:cs="Arial"/>
          <w:color w:val="000000"/>
          <w:sz w:val="24"/>
          <w:szCs w:val="24"/>
        </w:rPr>
        <w:t xml:space="preserve"> her or his client. </w:t>
      </w:r>
      <w:r w:rsidR="00A52B75">
        <w:rPr>
          <w:rFonts w:ascii="Arial" w:eastAsia="Times New Roman" w:hAnsi="Arial" w:cs="Arial"/>
          <w:color w:val="000000"/>
          <w:sz w:val="24"/>
          <w:szCs w:val="24"/>
        </w:rPr>
        <w:t>To do so</w:t>
      </w:r>
      <w:r w:rsidR="0019119F">
        <w:rPr>
          <w:rFonts w:ascii="Arial" w:eastAsia="Times New Roman" w:hAnsi="Arial" w:cs="Arial"/>
          <w:color w:val="000000"/>
          <w:sz w:val="24"/>
          <w:szCs w:val="24"/>
        </w:rPr>
        <w:t xml:space="preserve"> would</w:t>
      </w:r>
      <w:r w:rsidR="00A52B75">
        <w:rPr>
          <w:rFonts w:ascii="Arial" w:eastAsia="Times New Roman" w:hAnsi="Arial" w:cs="Arial"/>
          <w:color w:val="000000"/>
          <w:sz w:val="24"/>
          <w:szCs w:val="24"/>
        </w:rPr>
        <w:t xml:space="preserve"> </w:t>
      </w:r>
      <w:r w:rsidR="009D5DFA">
        <w:rPr>
          <w:rFonts w:ascii="Arial" w:eastAsia="Times New Roman" w:hAnsi="Arial" w:cs="Arial"/>
          <w:color w:val="000000"/>
          <w:sz w:val="24"/>
          <w:szCs w:val="24"/>
        </w:rPr>
        <w:t>impermissibly</w:t>
      </w:r>
      <w:r w:rsidR="0019119F">
        <w:rPr>
          <w:rFonts w:ascii="Arial" w:eastAsia="Times New Roman" w:hAnsi="Arial" w:cs="Arial"/>
          <w:color w:val="000000"/>
          <w:sz w:val="24"/>
          <w:szCs w:val="24"/>
        </w:rPr>
        <w:t xml:space="preserve"> elevate</w:t>
      </w:r>
      <w:r w:rsidR="00DF4884">
        <w:rPr>
          <w:rFonts w:ascii="Arial" w:eastAsia="Times New Roman" w:hAnsi="Arial" w:cs="Arial"/>
          <w:color w:val="000000"/>
          <w:sz w:val="24"/>
          <w:szCs w:val="24"/>
        </w:rPr>
        <w:t xml:space="preserve"> form above </w:t>
      </w:r>
      <w:r w:rsidR="00DF4884" w:rsidRPr="00B0396A">
        <w:rPr>
          <w:rFonts w:ascii="Arial" w:hAnsi="Arial" w:cs="Arial"/>
          <w:sz w:val="24"/>
          <w:szCs w:val="24"/>
        </w:rPr>
        <w:t>substance</w:t>
      </w:r>
      <w:r w:rsidR="00DF4884">
        <w:rPr>
          <w:rFonts w:ascii="Arial" w:eastAsia="Times New Roman" w:hAnsi="Arial" w:cs="Arial"/>
          <w:color w:val="000000"/>
          <w:sz w:val="24"/>
          <w:szCs w:val="24"/>
        </w:rPr>
        <w:t xml:space="preserve">.  </w:t>
      </w:r>
    </w:p>
    <w:p w14:paraId="23CF2E17" w14:textId="77777777" w:rsidR="00B0396A" w:rsidRDefault="00B0396A" w:rsidP="00B0396A">
      <w:pPr>
        <w:spacing w:after="0" w:line="360" w:lineRule="auto"/>
        <w:jc w:val="both"/>
        <w:rPr>
          <w:rFonts w:ascii="Arial" w:eastAsia="Times New Roman" w:hAnsi="Arial" w:cs="Arial"/>
          <w:color w:val="000000"/>
          <w:sz w:val="24"/>
          <w:szCs w:val="24"/>
        </w:rPr>
      </w:pPr>
    </w:p>
    <w:p w14:paraId="56D699E1" w14:textId="11DFFF34" w:rsidR="006241DF" w:rsidRPr="00E30714" w:rsidRDefault="001869CE" w:rsidP="00B0396A">
      <w:pPr>
        <w:spacing w:after="0" w:line="360" w:lineRule="auto"/>
        <w:jc w:val="both"/>
        <w:rPr>
          <w:rFonts w:ascii="Arial" w:hAnsi="Arial" w:cs="Arial"/>
          <w:color w:val="64473A"/>
          <w:sz w:val="24"/>
          <w:szCs w:val="24"/>
        </w:rPr>
      </w:pPr>
      <w:r>
        <w:rPr>
          <w:rFonts w:ascii="Arial" w:eastAsia="Times New Roman" w:hAnsi="Arial" w:cs="Arial"/>
          <w:color w:val="000000"/>
          <w:sz w:val="24"/>
          <w:szCs w:val="24"/>
        </w:rPr>
        <w:t>[25</w:t>
      </w:r>
      <w:r w:rsidR="00B0396A">
        <w:rPr>
          <w:rFonts w:ascii="Arial" w:eastAsia="Times New Roman" w:hAnsi="Arial" w:cs="Arial"/>
          <w:color w:val="000000"/>
          <w:sz w:val="24"/>
          <w:szCs w:val="24"/>
        </w:rPr>
        <w:t>]</w:t>
      </w:r>
      <w:r w:rsidR="00B0396A">
        <w:rPr>
          <w:rFonts w:ascii="Arial" w:eastAsia="Times New Roman" w:hAnsi="Arial" w:cs="Arial"/>
          <w:color w:val="000000"/>
          <w:sz w:val="24"/>
          <w:szCs w:val="24"/>
        </w:rPr>
        <w:tab/>
      </w:r>
      <w:r w:rsidR="0019119F">
        <w:rPr>
          <w:rFonts w:ascii="Arial" w:eastAsia="Times New Roman" w:hAnsi="Arial" w:cs="Arial"/>
          <w:color w:val="000000"/>
          <w:sz w:val="24"/>
          <w:szCs w:val="24"/>
        </w:rPr>
        <w:t xml:space="preserve">I have not found a report of any case in this division in which it was held, before the judgment in </w:t>
      </w:r>
      <w:proofErr w:type="spellStart"/>
      <w:r w:rsidR="0019119F" w:rsidRPr="00B90317">
        <w:rPr>
          <w:rFonts w:ascii="Arial" w:hAnsi="Arial" w:cs="Arial"/>
          <w:i/>
          <w:sz w:val="24"/>
          <w:szCs w:val="24"/>
        </w:rPr>
        <w:t>Langalitshoni</w:t>
      </w:r>
      <w:proofErr w:type="spellEnd"/>
      <w:r w:rsidR="0019119F">
        <w:rPr>
          <w:rFonts w:ascii="Arial" w:hAnsi="Arial" w:cs="Arial"/>
          <w:i/>
          <w:sz w:val="24"/>
          <w:szCs w:val="24"/>
        </w:rPr>
        <w:t xml:space="preserve"> </w:t>
      </w:r>
      <w:r w:rsidR="0019119F" w:rsidRPr="0019119F">
        <w:rPr>
          <w:rFonts w:ascii="Arial" w:hAnsi="Arial" w:cs="Arial"/>
          <w:sz w:val="24"/>
          <w:szCs w:val="24"/>
        </w:rPr>
        <w:t>was handed down,</w:t>
      </w:r>
      <w:r w:rsidR="0019119F">
        <w:rPr>
          <w:rFonts w:ascii="Arial" w:hAnsi="Arial" w:cs="Arial"/>
          <w:sz w:val="24"/>
          <w:szCs w:val="24"/>
        </w:rPr>
        <w:t xml:space="preserve"> that a simple record of a request by an accused </w:t>
      </w:r>
      <w:r w:rsidR="008D1AEF">
        <w:rPr>
          <w:rFonts w:ascii="Arial" w:hAnsi="Arial" w:cs="Arial"/>
          <w:sz w:val="24"/>
          <w:szCs w:val="24"/>
        </w:rPr>
        <w:t xml:space="preserve">(conveyed by his legal representative) </w:t>
      </w:r>
      <w:r w:rsidR="00A56E44">
        <w:rPr>
          <w:rFonts w:ascii="Arial" w:hAnsi="Arial" w:cs="Arial"/>
          <w:sz w:val="24"/>
          <w:szCs w:val="24"/>
        </w:rPr>
        <w:t>that the magistrate sit alone i</w:t>
      </w:r>
      <w:r w:rsidR="0019119F">
        <w:rPr>
          <w:rFonts w:ascii="Arial" w:hAnsi="Arial" w:cs="Arial"/>
          <w:sz w:val="24"/>
          <w:szCs w:val="24"/>
        </w:rPr>
        <w:t>s inadequate to establis</w:t>
      </w:r>
      <w:r w:rsidR="00E30714">
        <w:rPr>
          <w:rFonts w:ascii="Arial" w:hAnsi="Arial" w:cs="Arial"/>
          <w:sz w:val="24"/>
          <w:szCs w:val="24"/>
        </w:rPr>
        <w:t>h the proper constitution of a court presided over by a</w:t>
      </w:r>
      <w:r w:rsidR="0019119F">
        <w:rPr>
          <w:rFonts w:ascii="Arial" w:hAnsi="Arial" w:cs="Arial"/>
          <w:sz w:val="24"/>
          <w:szCs w:val="24"/>
        </w:rPr>
        <w:t xml:space="preserve"> magistrate alone. That accords with my understanding of th</w:t>
      </w:r>
      <w:r w:rsidR="00FC7FE5">
        <w:rPr>
          <w:rFonts w:ascii="Arial" w:hAnsi="Arial" w:cs="Arial"/>
          <w:sz w:val="24"/>
          <w:szCs w:val="24"/>
        </w:rPr>
        <w:t>e attitude of this court at the</w:t>
      </w:r>
      <w:r w:rsidR="0019119F">
        <w:rPr>
          <w:rFonts w:ascii="Arial" w:hAnsi="Arial" w:cs="Arial"/>
          <w:sz w:val="24"/>
          <w:szCs w:val="24"/>
        </w:rPr>
        <w:t xml:space="preserve"> time, that a record of the choice alone is sufficient. </w:t>
      </w:r>
      <w:r w:rsidR="00E30714">
        <w:rPr>
          <w:rFonts w:ascii="Arial" w:hAnsi="Arial" w:cs="Arial"/>
          <w:sz w:val="24"/>
          <w:szCs w:val="24"/>
        </w:rPr>
        <w:t>I have found three judg</w:t>
      </w:r>
      <w:r w:rsidR="00FC7FE5">
        <w:rPr>
          <w:rFonts w:ascii="Arial" w:hAnsi="Arial" w:cs="Arial"/>
          <w:sz w:val="24"/>
          <w:szCs w:val="24"/>
        </w:rPr>
        <w:t xml:space="preserve">ments which post-date </w:t>
      </w:r>
      <w:proofErr w:type="spellStart"/>
      <w:r w:rsidR="00FC7FE5" w:rsidRPr="00B90317">
        <w:rPr>
          <w:rFonts w:ascii="Arial" w:hAnsi="Arial" w:cs="Arial"/>
          <w:i/>
          <w:sz w:val="24"/>
          <w:szCs w:val="24"/>
        </w:rPr>
        <w:t>Langalitshoni</w:t>
      </w:r>
      <w:proofErr w:type="spellEnd"/>
      <w:r w:rsidR="00FC7FE5">
        <w:rPr>
          <w:rFonts w:ascii="Arial" w:hAnsi="Arial" w:cs="Arial"/>
          <w:i/>
          <w:sz w:val="24"/>
          <w:szCs w:val="24"/>
        </w:rPr>
        <w:t xml:space="preserve"> </w:t>
      </w:r>
      <w:r w:rsidR="00FC7FE5">
        <w:rPr>
          <w:rFonts w:ascii="Arial" w:hAnsi="Arial" w:cs="Arial"/>
          <w:sz w:val="24"/>
          <w:szCs w:val="24"/>
        </w:rPr>
        <w:t xml:space="preserve">in which that case was followed </w:t>
      </w:r>
      <w:r w:rsidR="008D1AEF">
        <w:rPr>
          <w:rFonts w:ascii="Arial" w:hAnsi="Arial" w:cs="Arial"/>
          <w:sz w:val="24"/>
          <w:szCs w:val="24"/>
        </w:rPr>
        <w:t xml:space="preserve">in this division </w:t>
      </w:r>
      <w:r w:rsidR="00FC7FE5">
        <w:rPr>
          <w:rFonts w:ascii="Arial" w:hAnsi="Arial" w:cs="Arial"/>
          <w:sz w:val="24"/>
          <w:szCs w:val="24"/>
        </w:rPr>
        <w:t>without comment.</w:t>
      </w:r>
      <w:r w:rsidR="008D1AEF">
        <w:rPr>
          <w:rFonts w:ascii="Arial" w:hAnsi="Arial" w:cs="Arial"/>
          <w:sz w:val="24"/>
          <w:szCs w:val="24"/>
        </w:rPr>
        <w:t xml:space="preserve"> They are </w:t>
      </w:r>
      <w:proofErr w:type="spellStart"/>
      <w:r w:rsidR="008D1AEF" w:rsidRPr="008D1AEF">
        <w:rPr>
          <w:rFonts w:ascii="Arial" w:hAnsi="Arial" w:cs="Arial"/>
          <w:i/>
          <w:sz w:val="24"/>
          <w:szCs w:val="24"/>
        </w:rPr>
        <w:t>Nxumalo</w:t>
      </w:r>
      <w:proofErr w:type="spellEnd"/>
      <w:r w:rsidR="008D1AEF" w:rsidRPr="008D1AEF">
        <w:rPr>
          <w:rFonts w:ascii="Arial" w:hAnsi="Arial" w:cs="Arial"/>
          <w:i/>
          <w:sz w:val="24"/>
          <w:szCs w:val="24"/>
        </w:rPr>
        <w:t xml:space="preserve"> v S</w:t>
      </w:r>
      <w:r w:rsidR="008D1AEF" w:rsidRPr="008D1AEF">
        <w:rPr>
          <w:rFonts w:ascii="Arial" w:hAnsi="Arial" w:cs="Arial"/>
          <w:sz w:val="24"/>
          <w:szCs w:val="24"/>
        </w:rPr>
        <w:t xml:space="preserve"> (AR263/2019 RC51/2013) [2022] </w:t>
      </w:r>
      <w:r w:rsidR="00B0396A">
        <w:rPr>
          <w:rFonts w:ascii="Arial" w:hAnsi="Arial" w:cs="Arial"/>
          <w:sz w:val="24"/>
          <w:szCs w:val="24"/>
        </w:rPr>
        <w:t xml:space="preserve">ZAKZDHC 23 (10 February </w:t>
      </w:r>
      <w:r w:rsidR="00B0396A">
        <w:rPr>
          <w:rFonts w:ascii="Arial" w:hAnsi="Arial" w:cs="Arial"/>
          <w:sz w:val="24"/>
          <w:szCs w:val="24"/>
        </w:rPr>
        <w:lastRenderedPageBreak/>
        <w:t xml:space="preserve">2022), </w:t>
      </w:r>
      <w:proofErr w:type="spellStart"/>
      <w:r w:rsidR="008D1AEF" w:rsidRPr="008D1AEF">
        <w:rPr>
          <w:rFonts w:ascii="Arial" w:hAnsi="Arial" w:cs="Arial"/>
          <w:i/>
          <w:sz w:val="24"/>
          <w:szCs w:val="24"/>
        </w:rPr>
        <w:t>Hlatshwayo</w:t>
      </w:r>
      <w:proofErr w:type="spellEnd"/>
      <w:r w:rsidR="008D1AEF" w:rsidRPr="008D1AEF">
        <w:rPr>
          <w:rFonts w:ascii="Arial" w:hAnsi="Arial" w:cs="Arial"/>
          <w:i/>
          <w:sz w:val="24"/>
          <w:szCs w:val="24"/>
        </w:rPr>
        <w:t xml:space="preserve"> and Another </w:t>
      </w:r>
      <w:proofErr w:type="gramStart"/>
      <w:r w:rsidR="008D1AEF" w:rsidRPr="008D1AEF">
        <w:rPr>
          <w:rFonts w:ascii="Arial" w:hAnsi="Arial" w:cs="Arial"/>
          <w:i/>
          <w:sz w:val="24"/>
          <w:szCs w:val="24"/>
        </w:rPr>
        <w:t>v</w:t>
      </w:r>
      <w:proofErr w:type="gramEnd"/>
      <w:r w:rsidR="008D1AEF" w:rsidRPr="008D1AEF">
        <w:rPr>
          <w:rFonts w:ascii="Arial" w:hAnsi="Arial" w:cs="Arial"/>
          <w:i/>
          <w:sz w:val="24"/>
          <w:szCs w:val="24"/>
        </w:rPr>
        <w:t xml:space="preserve"> State</w:t>
      </w:r>
      <w:r w:rsidR="008D1AEF" w:rsidRPr="008D1AEF">
        <w:rPr>
          <w:rFonts w:ascii="Arial" w:hAnsi="Arial" w:cs="Arial"/>
          <w:sz w:val="24"/>
          <w:szCs w:val="24"/>
        </w:rPr>
        <w:t xml:space="preserve"> (AR 354/20) [2022] ZAKZPHC 8 (28 March 2022) and </w:t>
      </w:r>
      <w:r w:rsidR="008D1AEF" w:rsidRPr="008D1AEF">
        <w:rPr>
          <w:rFonts w:ascii="Arial" w:hAnsi="Arial" w:cs="Arial"/>
          <w:i/>
          <w:sz w:val="24"/>
          <w:szCs w:val="24"/>
        </w:rPr>
        <w:t>Zulu v S</w:t>
      </w:r>
      <w:r w:rsidR="008D1AEF" w:rsidRPr="008D1AEF">
        <w:rPr>
          <w:rFonts w:ascii="Arial" w:hAnsi="Arial" w:cs="Arial"/>
          <w:sz w:val="24"/>
          <w:szCs w:val="24"/>
        </w:rPr>
        <w:t xml:space="preserve"> (AR 319/2021) [2022] ZAKZPHC 20 (13 May 2022).</w:t>
      </w:r>
      <w:r w:rsidR="008D1AEF">
        <w:rPr>
          <w:rFonts w:ascii="Arial" w:hAnsi="Arial" w:cs="Arial"/>
          <w:sz w:val="24"/>
          <w:szCs w:val="24"/>
        </w:rPr>
        <w:t xml:space="preserve"> Despite the fact that </w:t>
      </w:r>
      <w:proofErr w:type="spellStart"/>
      <w:r w:rsidR="008D1AEF" w:rsidRPr="00E30714">
        <w:rPr>
          <w:rFonts w:ascii="Arial" w:hAnsi="Arial" w:cs="Arial"/>
          <w:i/>
          <w:sz w:val="24"/>
          <w:szCs w:val="24"/>
        </w:rPr>
        <w:t>Ng</w:t>
      </w:r>
      <w:r w:rsidR="00E30714" w:rsidRPr="00E30714">
        <w:rPr>
          <w:rFonts w:ascii="Arial" w:hAnsi="Arial" w:cs="Arial"/>
          <w:i/>
          <w:sz w:val="24"/>
          <w:szCs w:val="24"/>
        </w:rPr>
        <w:t>omane</w:t>
      </w:r>
      <w:proofErr w:type="spellEnd"/>
      <w:r w:rsidR="00E30714">
        <w:rPr>
          <w:rFonts w:ascii="Arial" w:hAnsi="Arial" w:cs="Arial"/>
          <w:sz w:val="24"/>
          <w:szCs w:val="24"/>
        </w:rPr>
        <w:t xml:space="preserve"> was published in 2021, the judgment was not drawn to the attention of the judges who presided in the three cases just mentioned. Being unaware of the conflict, they did not deal with it. In the circumstances I do not believe that in this appeal we are bound to follow the three decisions. </w:t>
      </w:r>
    </w:p>
    <w:p w14:paraId="51D0DD8C" w14:textId="54D01B3A" w:rsidR="00754C8B" w:rsidRDefault="00754C8B" w:rsidP="00B90317">
      <w:pPr>
        <w:spacing w:after="0" w:line="360" w:lineRule="auto"/>
        <w:jc w:val="both"/>
        <w:rPr>
          <w:rFonts w:ascii="Arial" w:hAnsi="Arial" w:cs="Arial"/>
          <w:sz w:val="24"/>
          <w:szCs w:val="24"/>
        </w:rPr>
      </w:pPr>
    </w:p>
    <w:p w14:paraId="4EB168F8" w14:textId="0B33652C" w:rsidR="00754C8B" w:rsidRDefault="001869CE" w:rsidP="00B90317">
      <w:pPr>
        <w:spacing w:after="0" w:line="360" w:lineRule="auto"/>
        <w:jc w:val="both"/>
        <w:rPr>
          <w:rFonts w:ascii="Arial" w:hAnsi="Arial" w:cs="Arial"/>
          <w:sz w:val="24"/>
          <w:szCs w:val="24"/>
        </w:rPr>
      </w:pPr>
      <w:r>
        <w:rPr>
          <w:rFonts w:ascii="Arial" w:hAnsi="Arial" w:cs="Arial"/>
          <w:sz w:val="24"/>
          <w:szCs w:val="24"/>
        </w:rPr>
        <w:t>[26</w:t>
      </w:r>
      <w:r w:rsidR="00B0396A">
        <w:rPr>
          <w:rFonts w:ascii="Arial" w:hAnsi="Arial" w:cs="Arial"/>
          <w:sz w:val="24"/>
          <w:szCs w:val="24"/>
        </w:rPr>
        <w:t>]</w:t>
      </w:r>
      <w:r w:rsidR="00B0396A">
        <w:rPr>
          <w:rFonts w:ascii="Arial" w:hAnsi="Arial" w:cs="Arial"/>
          <w:sz w:val="24"/>
          <w:szCs w:val="24"/>
        </w:rPr>
        <w:tab/>
      </w:r>
      <w:r w:rsidR="00754C8B">
        <w:rPr>
          <w:rFonts w:ascii="Arial" w:hAnsi="Arial" w:cs="Arial"/>
          <w:sz w:val="24"/>
          <w:szCs w:val="24"/>
        </w:rPr>
        <w:t>Finally, I believe it is appropriate to express concern about the implications of the number of cases in which it has been found that courts were not correctly constituted in the light of the provisions of s 93</w:t>
      </w:r>
      <w:r w:rsidR="00754C8B" w:rsidRPr="00B0396A">
        <w:rPr>
          <w:rFonts w:ascii="Arial" w:hAnsi="Arial" w:cs="Arial"/>
          <w:i/>
          <w:sz w:val="24"/>
          <w:szCs w:val="24"/>
        </w:rPr>
        <w:t xml:space="preserve">ter </w:t>
      </w:r>
      <w:r w:rsidR="00754C8B">
        <w:rPr>
          <w:rFonts w:ascii="Arial" w:hAnsi="Arial" w:cs="Arial"/>
          <w:sz w:val="24"/>
          <w:szCs w:val="24"/>
        </w:rPr>
        <w:t>of the Magistrates</w:t>
      </w:r>
      <w:r w:rsidR="00B0396A">
        <w:rPr>
          <w:rFonts w:ascii="Arial" w:hAnsi="Arial" w:cs="Arial"/>
          <w:sz w:val="24"/>
          <w:szCs w:val="24"/>
        </w:rPr>
        <w:t>’</w:t>
      </w:r>
      <w:r w:rsidR="00754C8B">
        <w:rPr>
          <w:rFonts w:ascii="Arial" w:hAnsi="Arial" w:cs="Arial"/>
          <w:sz w:val="24"/>
          <w:szCs w:val="24"/>
        </w:rPr>
        <w:t xml:space="preserve"> Court</w:t>
      </w:r>
      <w:r w:rsidR="00CA0D06">
        <w:rPr>
          <w:rFonts w:ascii="Arial" w:hAnsi="Arial" w:cs="Arial"/>
          <w:sz w:val="24"/>
          <w:szCs w:val="24"/>
        </w:rPr>
        <w:t>s</w:t>
      </w:r>
      <w:r w:rsidR="00754C8B">
        <w:rPr>
          <w:rFonts w:ascii="Arial" w:hAnsi="Arial" w:cs="Arial"/>
          <w:sz w:val="24"/>
          <w:szCs w:val="24"/>
        </w:rPr>
        <w:t xml:space="preserve"> Act. The result of such a finding is that the proceedings themselves are set aside, as well as</w:t>
      </w:r>
      <w:r w:rsidR="00E30714">
        <w:rPr>
          <w:rFonts w:ascii="Arial" w:hAnsi="Arial" w:cs="Arial"/>
          <w:sz w:val="24"/>
          <w:szCs w:val="24"/>
        </w:rPr>
        <w:t>,</w:t>
      </w:r>
      <w:r w:rsidR="00754C8B">
        <w:rPr>
          <w:rFonts w:ascii="Arial" w:hAnsi="Arial" w:cs="Arial"/>
          <w:sz w:val="24"/>
          <w:szCs w:val="24"/>
        </w:rPr>
        <w:t xml:space="preserve"> obviously, the resultant conviction and sentence, despite the fact that </w:t>
      </w:r>
      <w:r w:rsidR="002D7A5C">
        <w:rPr>
          <w:rFonts w:ascii="Arial" w:hAnsi="Arial" w:cs="Arial"/>
          <w:sz w:val="24"/>
          <w:szCs w:val="24"/>
        </w:rPr>
        <w:t xml:space="preserve">in some if not many </w:t>
      </w:r>
      <w:r w:rsidR="00E30714">
        <w:rPr>
          <w:rFonts w:ascii="Arial" w:hAnsi="Arial" w:cs="Arial"/>
          <w:sz w:val="24"/>
          <w:szCs w:val="24"/>
        </w:rPr>
        <w:t xml:space="preserve">of the </w:t>
      </w:r>
      <w:r w:rsidR="002D7A5C">
        <w:rPr>
          <w:rFonts w:ascii="Arial" w:hAnsi="Arial" w:cs="Arial"/>
          <w:sz w:val="24"/>
          <w:szCs w:val="24"/>
        </w:rPr>
        <w:t xml:space="preserve">cases </w:t>
      </w:r>
      <w:r w:rsidR="00754C8B">
        <w:rPr>
          <w:rFonts w:ascii="Arial" w:hAnsi="Arial" w:cs="Arial"/>
          <w:sz w:val="24"/>
          <w:szCs w:val="24"/>
        </w:rPr>
        <w:t>it may otherwise appear clear that the decision of the regional magistrate sitting alone was correct. This involves an unacceptable waste of judicial r</w:t>
      </w:r>
      <w:r w:rsidR="002D7A5C">
        <w:rPr>
          <w:rFonts w:ascii="Arial" w:hAnsi="Arial" w:cs="Arial"/>
          <w:sz w:val="24"/>
          <w:szCs w:val="24"/>
        </w:rPr>
        <w:t xml:space="preserve">esources. </w:t>
      </w:r>
      <w:r w:rsidR="003D7E1E">
        <w:rPr>
          <w:rFonts w:ascii="Arial" w:hAnsi="Arial" w:cs="Arial"/>
          <w:sz w:val="24"/>
          <w:szCs w:val="24"/>
        </w:rPr>
        <w:t xml:space="preserve">Furthermore, in some cases a retrial may be either impossible or impractical. (The present matter may be such a case. The trial took four days over a period of about three months. One of the principal witnesses had to be placed in witness protection. Whether it would be feasible to do that again, given what transpired in the original trial, </w:t>
      </w:r>
      <w:r w:rsidR="008F6308">
        <w:rPr>
          <w:rFonts w:ascii="Arial" w:hAnsi="Arial" w:cs="Arial"/>
          <w:sz w:val="24"/>
          <w:szCs w:val="24"/>
        </w:rPr>
        <w:t xml:space="preserve">is doubtful.) </w:t>
      </w:r>
      <w:r w:rsidR="002D7A5C">
        <w:rPr>
          <w:rFonts w:ascii="Arial" w:hAnsi="Arial" w:cs="Arial"/>
          <w:sz w:val="24"/>
          <w:szCs w:val="24"/>
        </w:rPr>
        <w:t>Elevating the requirements</w:t>
      </w:r>
      <w:r w:rsidR="00754C8B">
        <w:rPr>
          <w:rFonts w:ascii="Arial" w:hAnsi="Arial" w:cs="Arial"/>
          <w:sz w:val="24"/>
          <w:szCs w:val="24"/>
        </w:rPr>
        <w:t xml:space="preserve"> for the establishment </w:t>
      </w:r>
      <w:r w:rsidR="003D7E1E">
        <w:rPr>
          <w:rFonts w:ascii="Arial" w:hAnsi="Arial" w:cs="Arial"/>
          <w:sz w:val="24"/>
          <w:szCs w:val="24"/>
        </w:rPr>
        <w:t xml:space="preserve">on record </w:t>
      </w:r>
      <w:r w:rsidR="00754C8B">
        <w:rPr>
          <w:rFonts w:ascii="Arial" w:hAnsi="Arial" w:cs="Arial"/>
          <w:sz w:val="24"/>
          <w:szCs w:val="24"/>
        </w:rPr>
        <w:t xml:space="preserve">of the proper constitution of a court presided over by </w:t>
      </w:r>
      <w:r w:rsidR="00B948BF">
        <w:rPr>
          <w:rFonts w:ascii="Arial" w:hAnsi="Arial" w:cs="Arial"/>
          <w:sz w:val="24"/>
          <w:szCs w:val="24"/>
        </w:rPr>
        <w:t>a</w:t>
      </w:r>
      <w:r w:rsidR="00754C8B">
        <w:rPr>
          <w:rFonts w:ascii="Arial" w:hAnsi="Arial" w:cs="Arial"/>
          <w:sz w:val="24"/>
          <w:szCs w:val="24"/>
        </w:rPr>
        <w:t xml:space="preserve"> magistrate sitting alone</w:t>
      </w:r>
      <w:r w:rsidR="002D7A5C">
        <w:rPr>
          <w:rFonts w:ascii="Arial" w:hAnsi="Arial" w:cs="Arial"/>
          <w:sz w:val="24"/>
          <w:szCs w:val="24"/>
        </w:rPr>
        <w:t>,</w:t>
      </w:r>
      <w:r w:rsidR="00754C8B">
        <w:rPr>
          <w:rFonts w:ascii="Arial" w:hAnsi="Arial" w:cs="Arial"/>
          <w:sz w:val="24"/>
          <w:szCs w:val="24"/>
        </w:rPr>
        <w:t xml:space="preserve"> above what the statute actually requires (i.e. a request that the magistrate should sit alone)</w:t>
      </w:r>
      <w:r w:rsidR="003D7E1E">
        <w:rPr>
          <w:rFonts w:ascii="Arial" w:hAnsi="Arial" w:cs="Arial"/>
          <w:sz w:val="24"/>
          <w:szCs w:val="24"/>
        </w:rPr>
        <w:t>,</w:t>
      </w:r>
      <w:r w:rsidR="00754C8B">
        <w:rPr>
          <w:rFonts w:ascii="Arial" w:hAnsi="Arial" w:cs="Arial"/>
          <w:sz w:val="24"/>
          <w:szCs w:val="24"/>
        </w:rPr>
        <w:t xml:space="preserve"> would </w:t>
      </w:r>
      <w:r w:rsidR="003D7E1E">
        <w:rPr>
          <w:rFonts w:ascii="Arial" w:hAnsi="Arial" w:cs="Arial"/>
          <w:sz w:val="24"/>
          <w:szCs w:val="24"/>
        </w:rPr>
        <w:t>increase the risk of wasting</w:t>
      </w:r>
      <w:r w:rsidR="00754C8B">
        <w:rPr>
          <w:rFonts w:ascii="Arial" w:hAnsi="Arial" w:cs="Arial"/>
          <w:sz w:val="24"/>
          <w:szCs w:val="24"/>
        </w:rPr>
        <w:t xml:space="preserve"> judicial and associated resources</w:t>
      </w:r>
      <w:r w:rsidR="003D7E1E">
        <w:rPr>
          <w:rFonts w:ascii="Arial" w:hAnsi="Arial" w:cs="Arial"/>
          <w:sz w:val="24"/>
          <w:szCs w:val="24"/>
        </w:rPr>
        <w:t>.</w:t>
      </w:r>
      <w:r w:rsidR="00754C8B">
        <w:rPr>
          <w:rFonts w:ascii="Arial" w:hAnsi="Arial" w:cs="Arial"/>
          <w:sz w:val="24"/>
          <w:szCs w:val="24"/>
        </w:rPr>
        <w:t xml:space="preserve"> </w:t>
      </w:r>
      <w:r w:rsidR="008F6308">
        <w:rPr>
          <w:rFonts w:ascii="Arial" w:hAnsi="Arial" w:cs="Arial"/>
          <w:sz w:val="24"/>
          <w:szCs w:val="24"/>
        </w:rPr>
        <w:t xml:space="preserve">The case of </w:t>
      </w:r>
      <w:r w:rsidR="008F6308">
        <w:rPr>
          <w:rFonts w:ascii="Arial" w:hAnsi="Arial" w:cs="Arial"/>
          <w:i/>
          <w:sz w:val="24"/>
          <w:szCs w:val="24"/>
        </w:rPr>
        <w:t xml:space="preserve">S v </w:t>
      </w:r>
      <w:r w:rsidR="008F6308" w:rsidRPr="008F6308">
        <w:rPr>
          <w:rFonts w:ascii="Arial" w:hAnsi="Arial" w:cs="Arial"/>
          <w:i/>
          <w:sz w:val="24"/>
          <w:szCs w:val="24"/>
        </w:rPr>
        <w:t>Titus</w:t>
      </w:r>
      <w:r w:rsidR="008F6308">
        <w:rPr>
          <w:rFonts w:ascii="Arial" w:hAnsi="Arial" w:cs="Arial"/>
          <w:sz w:val="24"/>
          <w:szCs w:val="24"/>
        </w:rPr>
        <w:t xml:space="preserve"> 2005 (2) SACR 204 (NC) affords an example of what can go wrong if the magistrate is required </w:t>
      </w:r>
      <w:r w:rsidR="00B0396A">
        <w:rPr>
          <w:rFonts w:ascii="Arial" w:hAnsi="Arial" w:cs="Arial"/>
          <w:sz w:val="24"/>
          <w:szCs w:val="24"/>
        </w:rPr>
        <w:t>to do any more than</w:t>
      </w:r>
      <w:r w:rsidR="00415BDF">
        <w:rPr>
          <w:rFonts w:ascii="Arial" w:hAnsi="Arial" w:cs="Arial"/>
          <w:sz w:val="24"/>
          <w:szCs w:val="24"/>
        </w:rPr>
        <w:t xml:space="preserve"> solicit </w:t>
      </w:r>
      <w:r w:rsidR="008F6308">
        <w:rPr>
          <w:rFonts w:ascii="Arial" w:hAnsi="Arial" w:cs="Arial"/>
          <w:sz w:val="24"/>
          <w:szCs w:val="24"/>
        </w:rPr>
        <w:t>and rec</w:t>
      </w:r>
      <w:r w:rsidR="00415BDF">
        <w:rPr>
          <w:rFonts w:ascii="Arial" w:hAnsi="Arial" w:cs="Arial"/>
          <w:sz w:val="24"/>
          <w:szCs w:val="24"/>
        </w:rPr>
        <w:t>ord</w:t>
      </w:r>
      <w:r w:rsidR="008F6308">
        <w:rPr>
          <w:rFonts w:ascii="Arial" w:hAnsi="Arial" w:cs="Arial"/>
          <w:sz w:val="24"/>
          <w:szCs w:val="24"/>
        </w:rPr>
        <w:t xml:space="preserve"> the accused’s choice. </w:t>
      </w:r>
    </w:p>
    <w:p w14:paraId="542CFFE0" w14:textId="5D611302" w:rsidR="00FA1C20" w:rsidRDefault="00FA1C20" w:rsidP="00B90317">
      <w:pPr>
        <w:spacing w:after="0" w:line="360" w:lineRule="auto"/>
        <w:jc w:val="both"/>
        <w:rPr>
          <w:rFonts w:ascii="Arial" w:hAnsi="Arial" w:cs="Arial"/>
          <w:sz w:val="24"/>
          <w:szCs w:val="24"/>
        </w:rPr>
      </w:pPr>
    </w:p>
    <w:p w14:paraId="5890458D" w14:textId="3102444E" w:rsidR="006D3147" w:rsidRDefault="001869CE" w:rsidP="0028645D">
      <w:pPr>
        <w:spacing w:after="0" w:line="360" w:lineRule="auto"/>
        <w:jc w:val="both"/>
        <w:rPr>
          <w:rFonts w:ascii="Arial" w:hAnsi="Arial" w:cs="Arial"/>
          <w:sz w:val="24"/>
          <w:szCs w:val="24"/>
        </w:rPr>
      </w:pPr>
      <w:r>
        <w:rPr>
          <w:rFonts w:ascii="Arial" w:hAnsi="Arial" w:cs="Arial"/>
          <w:sz w:val="24"/>
          <w:szCs w:val="24"/>
        </w:rPr>
        <w:t>[27</w:t>
      </w:r>
      <w:r w:rsidR="00FA1C20">
        <w:rPr>
          <w:rFonts w:ascii="Arial" w:hAnsi="Arial" w:cs="Arial"/>
          <w:sz w:val="24"/>
          <w:szCs w:val="24"/>
        </w:rPr>
        <w:t>]</w:t>
      </w:r>
      <w:r w:rsidR="00FA1C20">
        <w:rPr>
          <w:rFonts w:ascii="Arial" w:hAnsi="Arial" w:cs="Arial"/>
          <w:sz w:val="24"/>
          <w:szCs w:val="24"/>
        </w:rPr>
        <w:tab/>
        <w:t xml:space="preserve">For these reasons we prefer the approach in </w:t>
      </w:r>
      <w:proofErr w:type="spellStart"/>
      <w:r w:rsidR="00FA1C20" w:rsidRPr="00FA1C20">
        <w:rPr>
          <w:rFonts w:ascii="Arial" w:hAnsi="Arial" w:cs="Arial"/>
          <w:i/>
          <w:sz w:val="24"/>
          <w:szCs w:val="24"/>
        </w:rPr>
        <w:t>Ngomane</w:t>
      </w:r>
      <w:proofErr w:type="spellEnd"/>
      <w:r w:rsidR="00FA1C20" w:rsidRPr="00FA1C20">
        <w:rPr>
          <w:rFonts w:ascii="Arial" w:hAnsi="Arial" w:cs="Arial"/>
          <w:i/>
          <w:sz w:val="24"/>
          <w:szCs w:val="24"/>
        </w:rPr>
        <w:t xml:space="preserve"> </w:t>
      </w:r>
      <w:r w:rsidR="00FA1C20">
        <w:rPr>
          <w:rFonts w:ascii="Arial" w:hAnsi="Arial" w:cs="Arial"/>
          <w:sz w:val="24"/>
          <w:szCs w:val="24"/>
        </w:rPr>
        <w:t xml:space="preserve">to that </w:t>
      </w:r>
      <w:r w:rsidR="00693D5A">
        <w:rPr>
          <w:rFonts w:ascii="Arial" w:hAnsi="Arial" w:cs="Arial"/>
          <w:sz w:val="24"/>
          <w:szCs w:val="24"/>
        </w:rPr>
        <w:t>adopted</w:t>
      </w:r>
      <w:r w:rsidR="00FA1C20">
        <w:rPr>
          <w:rFonts w:ascii="Arial" w:hAnsi="Arial" w:cs="Arial"/>
          <w:sz w:val="24"/>
          <w:szCs w:val="24"/>
        </w:rPr>
        <w:t xml:space="preserve"> in </w:t>
      </w:r>
      <w:proofErr w:type="spellStart"/>
      <w:r w:rsidR="00FA1C20" w:rsidRPr="00FA1C20">
        <w:rPr>
          <w:rFonts w:ascii="Arial" w:hAnsi="Arial" w:cs="Arial"/>
          <w:i/>
          <w:sz w:val="24"/>
          <w:szCs w:val="24"/>
        </w:rPr>
        <w:t>Langalitshoni</w:t>
      </w:r>
      <w:proofErr w:type="spellEnd"/>
      <w:r w:rsidR="00693D5A">
        <w:rPr>
          <w:rFonts w:ascii="Arial" w:hAnsi="Arial" w:cs="Arial"/>
          <w:sz w:val="24"/>
          <w:szCs w:val="24"/>
        </w:rPr>
        <w:t>. In t</w:t>
      </w:r>
      <w:r w:rsidR="00FA1C20">
        <w:rPr>
          <w:rFonts w:ascii="Arial" w:hAnsi="Arial" w:cs="Arial"/>
          <w:sz w:val="24"/>
          <w:szCs w:val="24"/>
        </w:rPr>
        <w:t xml:space="preserve">he result the main judgment </w:t>
      </w:r>
      <w:r w:rsidR="003A3975">
        <w:rPr>
          <w:rFonts w:ascii="Arial" w:hAnsi="Arial" w:cs="Arial"/>
          <w:sz w:val="24"/>
          <w:szCs w:val="24"/>
        </w:rPr>
        <w:t xml:space="preserve">holds </w:t>
      </w:r>
      <w:r w:rsidR="00FA1C20">
        <w:rPr>
          <w:rFonts w:ascii="Arial" w:hAnsi="Arial" w:cs="Arial"/>
          <w:sz w:val="24"/>
          <w:szCs w:val="24"/>
        </w:rPr>
        <w:t xml:space="preserve">that the court a quo was properly constituted </w:t>
      </w:r>
      <w:r w:rsidR="00693D5A">
        <w:rPr>
          <w:rFonts w:ascii="Arial" w:hAnsi="Arial" w:cs="Arial"/>
          <w:sz w:val="24"/>
          <w:szCs w:val="24"/>
        </w:rPr>
        <w:t>in the light of</w:t>
      </w:r>
      <w:r w:rsidR="00FA1C20">
        <w:rPr>
          <w:rFonts w:ascii="Arial" w:hAnsi="Arial" w:cs="Arial"/>
          <w:sz w:val="24"/>
          <w:szCs w:val="24"/>
        </w:rPr>
        <w:t xml:space="preserve"> the provisions of s 93</w:t>
      </w:r>
      <w:r w:rsidR="00FA1C20" w:rsidRPr="00FA1C20">
        <w:rPr>
          <w:rFonts w:ascii="Arial" w:hAnsi="Arial" w:cs="Arial"/>
          <w:i/>
          <w:sz w:val="24"/>
          <w:szCs w:val="24"/>
        </w:rPr>
        <w:t>ter</w:t>
      </w:r>
      <w:r w:rsidR="00FA1C20">
        <w:rPr>
          <w:rFonts w:ascii="Arial" w:hAnsi="Arial" w:cs="Arial"/>
          <w:sz w:val="24"/>
          <w:szCs w:val="24"/>
        </w:rPr>
        <w:t xml:space="preserve"> of the Magistrates</w:t>
      </w:r>
      <w:r w:rsidR="00B0396A">
        <w:rPr>
          <w:rFonts w:ascii="Arial" w:hAnsi="Arial" w:cs="Arial"/>
          <w:sz w:val="24"/>
          <w:szCs w:val="24"/>
        </w:rPr>
        <w:t>’</w:t>
      </w:r>
      <w:r w:rsidR="00FA1C20">
        <w:rPr>
          <w:rFonts w:ascii="Arial" w:hAnsi="Arial" w:cs="Arial"/>
          <w:sz w:val="24"/>
          <w:szCs w:val="24"/>
        </w:rPr>
        <w:t xml:space="preserve"> Court</w:t>
      </w:r>
      <w:r w:rsidR="00CA0D06">
        <w:rPr>
          <w:rFonts w:ascii="Arial" w:hAnsi="Arial" w:cs="Arial"/>
          <w:sz w:val="24"/>
          <w:szCs w:val="24"/>
        </w:rPr>
        <w:t>s</w:t>
      </w:r>
      <w:r w:rsidR="00FA1C20">
        <w:rPr>
          <w:rFonts w:ascii="Arial" w:hAnsi="Arial" w:cs="Arial"/>
          <w:sz w:val="24"/>
          <w:szCs w:val="24"/>
        </w:rPr>
        <w:t xml:space="preserve"> Act. </w:t>
      </w:r>
    </w:p>
    <w:p w14:paraId="75320A4F" w14:textId="77777777" w:rsidR="00311CC8" w:rsidRDefault="00311CC8" w:rsidP="0028645D">
      <w:pPr>
        <w:spacing w:after="0" w:line="360" w:lineRule="auto"/>
        <w:jc w:val="both"/>
        <w:rPr>
          <w:rFonts w:ascii="Arial" w:hAnsi="Arial" w:cs="Arial"/>
          <w:sz w:val="24"/>
          <w:szCs w:val="24"/>
        </w:rPr>
      </w:pPr>
    </w:p>
    <w:p w14:paraId="2357439F" w14:textId="77777777" w:rsidR="00311CC8" w:rsidRPr="00B0396A" w:rsidRDefault="00311CC8" w:rsidP="00D61EB4">
      <w:pPr>
        <w:spacing w:after="0" w:line="360" w:lineRule="auto"/>
        <w:jc w:val="right"/>
        <w:rPr>
          <w:rFonts w:ascii="Arial" w:hAnsi="Arial" w:cs="Arial"/>
          <w:b/>
          <w:sz w:val="24"/>
          <w:szCs w:val="24"/>
        </w:rPr>
      </w:pPr>
      <w:r w:rsidRPr="00B0396A">
        <w:rPr>
          <w:rFonts w:ascii="Arial" w:hAnsi="Arial" w:cs="Arial"/>
          <w:b/>
          <w:sz w:val="24"/>
          <w:szCs w:val="24"/>
        </w:rPr>
        <w:t>________________</w:t>
      </w:r>
    </w:p>
    <w:p w14:paraId="10564E2F" w14:textId="7FA874C2" w:rsidR="00311CC8" w:rsidRDefault="00B0396A" w:rsidP="00D61EB4">
      <w:pPr>
        <w:spacing w:after="0" w:line="360" w:lineRule="auto"/>
        <w:jc w:val="right"/>
        <w:rPr>
          <w:rFonts w:ascii="Arial" w:hAnsi="Arial" w:cs="Arial"/>
          <w:b/>
          <w:bCs/>
          <w:sz w:val="24"/>
          <w:szCs w:val="24"/>
        </w:rPr>
      </w:pPr>
      <w:r>
        <w:rPr>
          <w:rFonts w:ascii="Arial" w:hAnsi="Arial" w:cs="Arial"/>
          <w:b/>
          <w:bCs/>
          <w:sz w:val="24"/>
          <w:szCs w:val="24"/>
        </w:rPr>
        <w:t>Olsen</w:t>
      </w:r>
      <w:r w:rsidR="00311CC8">
        <w:rPr>
          <w:rFonts w:ascii="Arial" w:hAnsi="Arial" w:cs="Arial"/>
          <w:b/>
          <w:bCs/>
          <w:sz w:val="24"/>
          <w:szCs w:val="24"/>
        </w:rPr>
        <w:t xml:space="preserve"> J</w:t>
      </w:r>
    </w:p>
    <w:p w14:paraId="7C9422F8" w14:textId="63F8059B" w:rsidR="00A92D32" w:rsidRDefault="00A92D32" w:rsidP="00D61EB4">
      <w:pPr>
        <w:spacing w:after="0" w:line="360" w:lineRule="auto"/>
        <w:jc w:val="right"/>
        <w:rPr>
          <w:rFonts w:ascii="Arial" w:hAnsi="Arial" w:cs="Arial"/>
          <w:b/>
          <w:bCs/>
          <w:sz w:val="24"/>
          <w:szCs w:val="24"/>
        </w:rPr>
      </w:pPr>
    </w:p>
    <w:p w14:paraId="5A02172C" w14:textId="77777777" w:rsidR="00311CC8" w:rsidRDefault="00311CC8" w:rsidP="00D61EB4">
      <w:pPr>
        <w:spacing w:after="0" w:line="360" w:lineRule="auto"/>
        <w:jc w:val="right"/>
        <w:rPr>
          <w:rFonts w:ascii="Arial" w:hAnsi="Arial" w:cs="Arial"/>
          <w:b/>
          <w:bCs/>
          <w:sz w:val="24"/>
          <w:szCs w:val="24"/>
        </w:rPr>
      </w:pPr>
      <w:r>
        <w:rPr>
          <w:rFonts w:ascii="Arial" w:hAnsi="Arial" w:cs="Arial"/>
          <w:b/>
          <w:bCs/>
          <w:sz w:val="24"/>
          <w:szCs w:val="24"/>
        </w:rPr>
        <w:t>________________</w:t>
      </w:r>
    </w:p>
    <w:p w14:paraId="5F44EAA0" w14:textId="655BFB6F" w:rsidR="00311CC8" w:rsidRPr="006D3147" w:rsidRDefault="00EF3942" w:rsidP="00D61EB4">
      <w:pPr>
        <w:spacing w:after="0" w:line="360" w:lineRule="auto"/>
        <w:jc w:val="right"/>
        <w:rPr>
          <w:rFonts w:ascii="Arial" w:hAnsi="Arial" w:cs="Arial"/>
          <w:b/>
          <w:bCs/>
          <w:sz w:val="24"/>
          <w:szCs w:val="24"/>
        </w:rPr>
      </w:pPr>
      <w:proofErr w:type="spellStart"/>
      <w:r>
        <w:rPr>
          <w:rFonts w:ascii="Arial" w:hAnsi="Arial" w:cs="Arial"/>
          <w:b/>
          <w:bCs/>
          <w:sz w:val="24"/>
          <w:szCs w:val="24"/>
        </w:rPr>
        <w:t>D</w:t>
      </w:r>
      <w:r w:rsidR="00B0396A">
        <w:rPr>
          <w:rFonts w:ascii="Arial" w:hAnsi="Arial" w:cs="Arial"/>
          <w:b/>
          <w:bCs/>
          <w:sz w:val="24"/>
          <w:szCs w:val="24"/>
        </w:rPr>
        <w:t>umisa</w:t>
      </w:r>
      <w:proofErr w:type="spellEnd"/>
      <w:r w:rsidR="006D3147">
        <w:rPr>
          <w:rFonts w:ascii="Arial" w:hAnsi="Arial" w:cs="Arial"/>
          <w:b/>
          <w:bCs/>
          <w:sz w:val="24"/>
          <w:szCs w:val="24"/>
        </w:rPr>
        <w:t xml:space="preserve"> AJ</w:t>
      </w:r>
    </w:p>
    <w:p w14:paraId="4C1B8A4F" w14:textId="77777777" w:rsidR="00EF3942" w:rsidRDefault="00EF3942" w:rsidP="00FC0261">
      <w:pPr>
        <w:spacing w:after="0" w:line="360" w:lineRule="auto"/>
        <w:rPr>
          <w:rFonts w:ascii="Arial" w:hAnsi="Arial" w:cs="Arial"/>
          <w:b/>
          <w:bCs/>
          <w:sz w:val="24"/>
          <w:szCs w:val="24"/>
          <w:u w:val="single"/>
        </w:rPr>
      </w:pPr>
    </w:p>
    <w:p w14:paraId="2E4E0B1A" w14:textId="2F863E94" w:rsidR="0050643B" w:rsidRPr="007E0D8C" w:rsidRDefault="00856B59" w:rsidP="00FC0261">
      <w:pPr>
        <w:spacing w:after="0" w:line="360" w:lineRule="auto"/>
        <w:rPr>
          <w:rFonts w:ascii="Arial" w:hAnsi="Arial" w:cs="Arial"/>
          <w:sz w:val="24"/>
          <w:szCs w:val="24"/>
        </w:rPr>
      </w:pPr>
      <w:r w:rsidRPr="007E0D8C">
        <w:rPr>
          <w:rFonts w:ascii="Arial" w:hAnsi="Arial" w:cs="Arial"/>
          <w:b/>
          <w:bCs/>
          <w:sz w:val="24"/>
          <w:szCs w:val="24"/>
          <w:u w:val="single"/>
        </w:rPr>
        <w:t>APPEARANCES</w:t>
      </w:r>
      <w:r w:rsidR="005044FE" w:rsidRPr="007E0D8C">
        <w:rPr>
          <w:rFonts w:ascii="Arial" w:hAnsi="Arial" w:cs="Arial"/>
          <w:b/>
          <w:bCs/>
          <w:sz w:val="24"/>
          <w:szCs w:val="24"/>
          <w:u w:val="single"/>
        </w:rPr>
        <w:t xml:space="preserve">  </w:t>
      </w:r>
    </w:p>
    <w:p w14:paraId="053867E9" w14:textId="23508EC5" w:rsidR="009802DB" w:rsidRDefault="005044FE" w:rsidP="00FC0261">
      <w:pPr>
        <w:spacing w:after="0" w:line="360" w:lineRule="auto"/>
        <w:rPr>
          <w:rFonts w:ascii="Arial" w:hAnsi="Arial" w:cs="Arial"/>
          <w:sz w:val="24"/>
          <w:szCs w:val="24"/>
        </w:rPr>
      </w:pPr>
      <w:r w:rsidRPr="007E0D8C">
        <w:rPr>
          <w:rFonts w:ascii="Arial" w:hAnsi="Arial" w:cs="Arial"/>
          <w:sz w:val="24"/>
          <w:szCs w:val="24"/>
        </w:rPr>
        <w:t xml:space="preserve">Date of Hearing:    </w:t>
      </w:r>
      <w:r w:rsidR="001E5FDE">
        <w:rPr>
          <w:rFonts w:ascii="Arial" w:hAnsi="Arial" w:cs="Arial"/>
          <w:sz w:val="24"/>
          <w:szCs w:val="24"/>
        </w:rPr>
        <w:tab/>
      </w:r>
      <w:r w:rsidR="009802DB" w:rsidRPr="007E0D8C">
        <w:rPr>
          <w:rFonts w:ascii="Arial" w:hAnsi="Arial" w:cs="Arial"/>
          <w:sz w:val="24"/>
          <w:szCs w:val="24"/>
        </w:rPr>
        <w:t xml:space="preserve">Friday, 20 May 2022 </w:t>
      </w:r>
    </w:p>
    <w:p w14:paraId="7361D926" w14:textId="77777777" w:rsidR="00C94333" w:rsidRPr="007E0D8C" w:rsidRDefault="00C94333" w:rsidP="00FC0261">
      <w:pPr>
        <w:spacing w:after="0" w:line="360" w:lineRule="auto"/>
        <w:rPr>
          <w:rFonts w:ascii="Arial" w:hAnsi="Arial" w:cs="Arial"/>
          <w:sz w:val="24"/>
          <w:szCs w:val="24"/>
        </w:rPr>
      </w:pPr>
    </w:p>
    <w:p w14:paraId="331136FD" w14:textId="40B942A1" w:rsidR="008D6C9D" w:rsidRDefault="009802DB" w:rsidP="00FC0261">
      <w:pPr>
        <w:spacing w:after="0" w:line="360" w:lineRule="auto"/>
        <w:rPr>
          <w:rFonts w:ascii="Arial" w:hAnsi="Arial" w:cs="Arial"/>
          <w:sz w:val="24"/>
          <w:szCs w:val="24"/>
        </w:rPr>
      </w:pPr>
      <w:r w:rsidRPr="007E0D8C">
        <w:rPr>
          <w:rFonts w:ascii="Arial" w:hAnsi="Arial" w:cs="Arial"/>
          <w:sz w:val="24"/>
          <w:szCs w:val="24"/>
        </w:rPr>
        <w:t xml:space="preserve">Date of Judgment:  </w:t>
      </w:r>
      <w:r w:rsidR="000C6086">
        <w:rPr>
          <w:rFonts w:ascii="Arial" w:hAnsi="Arial" w:cs="Arial"/>
          <w:sz w:val="24"/>
          <w:szCs w:val="24"/>
        </w:rPr>
        <w:t>Friday, 29 July 2022</w:t>
      </w:r>
    </w:p>
    <w:p w14:paraId="7246952A" w14:textId="77777777" w:rsidR="00C94333" w:rsidRPr="007E0D8C" w:rsidRDefault="00C94333" w:rsidP="00FC0261">
      <w:pPr>
        <w:spacing w:after="0" w:line="360" w:lineRule="auto"/>
        <w:rPr>
          <w:rFonts w:ascii="Arial" w:hAnsi="Arial" w:cs="Arial"/>
          <w:sz w:val="24"/>
          <w:szCs w:val="24"/>
        </w:rPr>
      </w:pPr>
    </w:p>
    <w:p w14:paraId="3DBA7965" w14:textId="1C34AA1B" w:rsidR="00DB310E" w:rsidRDefault="006F3071" w:rsidP="00FC0261">
      <w:pPr>
        <w:spacing w:after="0" w:line="360" w:lineRule="auto"/>
        <w:rPr>
          <w:rFonts w:ascii="Arial" w:hAnsi="Arial" w:cs="Arial"/>
          <w:sz w:val="24"/>
          <w:szCs w:val="24"/>
        </w:rPr>
      </w:pPr>
      <w:r w:rsidRPr="007E0D8C">
        <w:rPr>
          <w:rFonts w:ascii="Arial" w:hAnsi="Arial" w:cs="Arial"/>
          <w:sz w:val="24"/>
          <w:szCs w:val="24"/>
        </w:rPr>
        <w:t xml:space="preserve">For </w:t>
      </w:r>
      <w:r w:rsidR="00FB719E">
        <w:rPr>
          <w:rFonts w:ascii="Arial" w:hAnsi="Arial" w:cs="Arial"/>
          <w:sz w:val="24"/>
          <w:szCs w:val="24"/>
        </w:rPr>
        <w:t>appellant</w:t>
      </w:r>
      <w:r w:rsidRPr="007E0D8C">
        <w:rPr>
          <w:rFonts w:ascii="Arial" w:hAnsi="Arial" w:cs="Arial"/>
          <w:sz w:val="24"/>
          <w:szCs w:val="24"/>
        </w:rPr>
        <w:t xml:space="preserve">:  </w:t>
      </w:r>
      <w:r w:rsidR="001E5FDE">
        <w:rPr>
          <w:rFonts w:ascii="Arial" w:hAnsi="Arial" w:cs="Arial"/>
          <w:sz w:val="24"/>
          <w:szCs w:val="24"/>
        </w:rPr>
        <w:tab/>
      </w:r>
      <w:r w:rsidRPr="007E0D8C">
        <w:rPr>
          <w:rFonts w:ascii="Arial" w:hAnsi="Arial" w:cs="Arial"/>
          <w:sz w:val="24"/>
          <w:szCs w:val="24"/>
        </w:rPr>
        <w:t xml:space="preserve">Mr T P Pillay </w:t>
      </w:r>
    </w:p>
    <w:p w14:paraId="0C2C97B0" w14:textId="77777777" w:rsidR="009B3235" w:rsidRPr="007E0D8C" w:rsidRDefault="009B3235" w:rsidP="00FC0261">
      <w:pPr>
        <w:spacing w:after="0" w:line="360" w:lineRule="auto"/>
        <w:rPr>
          <w:rFonts w:ascii="Arial" w:hAnsi="Arial" w:cs="Arial"/>
          <w:sz w:val="24"/>
          <w:szCs w:val="24"/>
        </w:rPr>
      </w:pPr>
    </w:p>
    <w:p w14:paraId="69FC8F3B" w14:textId="77777777" w:rsidR="0019393D" w:rsidRDefault="00DB310E" w:rsidP="00FC0261">
      <w:pPr>
        <w:spacing w:after="0" w:line="360" w:lineRule="auto"/>
        <w:rPr>
          <w:rFonts w:ascii="Arial" w:hAnsi="Arial" w:cs="Arial"/>
          <w:sz w:val="24"/>
          <w:szCs w:val="24"/>
        </w:rPr>
      </w:pPr>
      <w:r w:rsidRPr="007E0D8C">
        <w:rPr>
          <w:rFonts w:ascii="Arial" w:hAnsi="Arial" w:cs="Arial"/>
          <w:sz w:val="24"/>
          <w:szCs w:val="24"/>
        </w:rPr>
        <w:t>Instructed</w:t>
      </w:r>
      <w:r w:rsidR="008857D9" w:rsidRPr="007E0D8C">
        <w:rPr>
          <w:rFonts w:ascii="Arial" w:hAnsi="Arial" w:cs="Arial"/>
          <w:sz w:val="24"/>
          <w:szCs w:val="24"/>
        </w:rPr>
        <w:t xml:space="preserve"> by</w:t>
      </w:r>
      <w:r w:rsidR="0019393D">
        <w:rPr>
          <w:rFonts w:ascii="Arial" w:hAnsi="Arial" w:cs="Arial"/>
          <w:sz w:val="24"/>
          <w:szCs w:val="24"/>
        </w:rPr>
        <w:t>:</w:t>
      </w:r>
      <w:r w:rsidR="0019393D">
        <w:rPr>
          <w:rFonts w:ascii="Arial" w:hAnsi="Arial" w:cs="Arial"/>
          <w:sz w:val="24"/>
          <w:szCs w:val="24"/>
        </w:rPr>
        <w:tab/>
        <w:t>Legal Aid S.A.</w:t>
      </w:r>
    </w:p>
    <w:p w14:paraId="41E27DFE" w14:textId="77777777"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Appellant’s Attorneys</w:t>
      </w:r>
    </w:p>
    <w:p w14:paraId="230C9A02" w14:textId="77777777"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Ground Floor, The Marine</w:t>
      </w:r>
    </w:p>
    <w:p w14:paraId="677E2120" w14:textId="77777777"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22 Dorothy </w:t>
      </w:r>
      <w:proofErr w:type="spellStart"/>
      <w:r>
        <w:rPr>
          <w:rFonts w:ascii="Arial" w:hAnsi="Arial" w:cs="Arial"/>
          <w:sz w:val="24"/>
          <w:szCs w:val="24"/>
        </w:rPr>
        <w:t>Nyembe</w:t>
      </w:r>
      <w:proofErr w:type="spellEnd"/>
      <w:r>
        <w:rPr>
          <w:rFonts w:ascii="Arial" w:hAnsi="Arial" w:cs="Arial"/>
          <w:sz w:val="24"/>
          <w:szCs w:val="24"/>
        </w:rPr>
        <w:t xml:space="preserve"> Street</w:t>
      </w:r>
    </w:p>
    <w:p w14:paraId="46E38958" w14:textId="77777777"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Durban</w:t>
      </w:r>
    </w:p>
    <w:p w14:paraId="62AAA5D8" w14:textId="77777777"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(Ref.: </w:t>
      </w:r>
      <w:r>
        <w:rPr>
          <w:rFonts w:ascii="Arial" w:hAnsi="Arial" w:cs="Arial"/>
          <w:sz w:val="24"/>
          <w:szCs w:val="24"/>
        </w:rPr>
        <w:tab/>
        <w:t>Mr TP Pillay)</w:t>
      </w:r>
    </w:p>
    <w:p w14:paraId="47240705" w14:textId="2E6AB859" w:rsidR="008857D9"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(Tel: 031 3040100)</w:t>
      </w:r>
      <w:r w:rsidR="000961D8">
        <w:rPr>
          <w:rFonts w:ascii="Arial" w:hAnsi="Arial" w:cs="Arial"/>
          <w:sz w:val="24"/>
          <w:szCs w:val="24"/>
        </w:rPr>
        <w:tab/>
      </w:r>
    </w:p>
    <w:p w14:paraId="4F2EFDFB" w14:textId="5E4B20AF" w:rsidR="0019393D" w:rsidRDefault="001939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9" w:history="1">
        <w:r w:rsidR="008A02E8" w:rsidRPr="009415FB">
          <w:rPr>
            <w:rStyle w:val="Hyperlink"/>
            <w:rFonts w:ascii="Arial" w:hAnsi="Arial" w:cs="Arial"/>
            <w:sz w:val="24"/>
            <w:szCs w:val="24"/>
          </w:rPr>
          <w:t>ThiagrajP@legal-aid.co.za</w:t>
        </w:r>
      </w:hyperlink>
      <w:r w:rsidR="008A02E8">
        <w:rPr>
          <w:rFonts w:ascii="Arial" w:hAnsi="Arial" w:cs="Arial"/>
          <w:sz w:val="24"/>
          <w:szCs w:val="24"/>
        </w:rPr>
        <w:t>)</w:t>
      </w:r>
    </w:p>
    <w:p w14:paraId="68AF6967" w14:textId="77777777" w:rsidR="009B3235" w:rsidRPr="007E0D8C" w:rsidRDefault="009B3235" w:rsidP="00FC0261">
      <w:pPr>
        <w:spacing w:after="0" w:line="360" w:lineRule="auto"/>
        <w:rPr>
          <w:rFonts w:ascii="Arial" w:hAnsi="Arial" w:cs="Arial"/>
          <w:sz w:val="24"/>
          <w:szCs w:val="24"/>
        </w:rPr>
      </w:pPr>
    </w:p>
    <w:p w14:paraId="4E60E864" w14:textId="4915826F" w:rsidR="00170B09" w:rsidRDefault="008857D9" w:rsidP="00FC0261">
      <w:pPr>
        <w:spacing w:after="0" w:line="360" w:lineRule="auto"/>
        <w:rPr>
          <w:rFonts w:ascii="Arial" w:hAnsi="Arial" w:cs="Arial"/>
          <w:sz w:val="24"/>
          <w:szCs w:val="24"/>
        </w:rPr>
      </w:pPr>
      <w:r w:rsidRPr="007E0D8C">
        <w:rPr>
          <w:rFonts w:ascii="Arial" w:hAnsi="Arial" w:cs="Arial"/>
          <w:sz w:val="24"/>
          <w:szCs w:val="24"/>
        </w:rPr>
        <w:t xml:space="preserve">For </w:t>
      </w:r>
      <w:r w:rsidR="00FA0790">
        <w:rPr>
          <w:rFonts w:ascii="Arial" w:hAnsi="Arial" w:cs="Arial"/>
          <w:sz w:val="24"/>
          <w:szCs w:val="24"/>
        </w:rPr>
        <w:t>Respondent</w:t>
      </w:r>
      <w:r w:rsidRPr="007E0D8C">
        <w:rPr>
          <w:rFonts w:ascii="Arial" w:hAnsi="Arial" w:cs="Arial"/>
          <w:sz w:val="24"/>
          <w:szCs w:val="24"/>
        </w:rPr>
        <w:t xml:space="preserve">:  </w:t>
      </w:r>
      <w:r w:rsidR="001E5FDE">
        <w:rPr>
          <w:rFonts w:ascii="Arial" w:hAnsi="Arial" w:cs="Arial"/>
          <w:sz w:val="24"/>
          <w:szCs w:val="24"/>
        </w:rPr>
        <w:tab/>
      </w:r>
      <w:r w:rsidR="00170B09" w:rsidRPr="007E0D8C">
        <w:rPr>
          <w:rFonts w:ascii="Arial" w:hAnsi="Arial" w:cs="Arial"/>
          <w:sz w:val="24"/>
          <w:szCs w:val="24"/>
        </w:rPr>
        <w:t xml:space="preserve">Mr </w:t>
      </w:r>
      <w:r w:rsidR="0019393D">
        <w:rPr>
          <w:rFonts w:ascii="Arial" w:hAnsi="Arial" w:cs="Arial"/>
          <w:sz w:val="24"/>
          <w:szCs w:val="24"/>
        </w:rPr>
        <w:t xml:space="preserve">SM </w:t>
      </w:r>
      <w:proofErr w:type="spellStart"/>
      <w:r w:rsidR="00170B09" w:rsidRPr="007E0D8C">
        <w:rPr>
          <w:rFonts w:ascii="Arial" w:hAnsi="Arial" w:cs="Arial"/>
          <w:sz w:val="24"/>
          <w:szCs w:val="24"/>
        </w:rPr>
        <w:t>Majola</w:t>
      </w:r>
      <w:proofErr w:type="spellEnd"/>
      <w:r w:rsidR="00170B09" w:rsidRPr="007E0D8C">
        <w:rPr>
          <w:rFonts w:ascii="Arial" w:hAnsi="Arial" w:cs="Arial"/>
          <w:sz w:val="24"/>
          <w:szCs w:val="24"/>
        </w:rPr>
        <w:t xml:space="preserve"> </w:t>
      </w:r>
    </w:p>
    <w:p w14:paraId="42C55D75" w14:textId="77777777" w:rsidR="0012243D" w:rsidRPr="007E0D8C" w:rsidRDefault="0012243D" w:rsidP="00FC0261">
      <w:pPr>
        <w:spacing w:after="0" w:line="360" w:lineRule="auto"/>
        <w:rPr>
          <w:rFonts w:ascii="Arial" w:hAnsi="Arial" w:cs="Arial"/>
          <w:sz w:val="24"/>
          <w:szCs w:val="24"/>
        </w:rPr>
      </w:pPr>
    </w:p>
    <w:p w14:paraId="3D6053B6" w14:textId="2037F104" w:rsidR="005044FE" w:rsidRDefault="00170B09" w:rsidP="00FC0261">
      <w:pPr>
        <w:spacing w:after="0" w:line="360" w:lineRule="auto"/>
        <w:rPr>
          <w:rFonts w:ascii="Arial" w:hAnsi="Arial" w:cs="Arial"/>
          <w:sz w:val="24"/>
          <w:szCs w:val="24"/>
        </w:rPr>
      </w:pPr>
      <w:r w:rsidRPr="007E0D8C">
        <w:rPr>
          <w:rFonts w:ascii="Arial" w:hAnsi="Arial" w:cs="Arial"/>
          <w:sz w:val="24"/>
          <w:szCs w:val="24"/>
        </w:rPr>
        <w:t xml:space="preserve">Instructed by: </w:t>
      </w:r>
      <w:r w:rsidR="001E5FDE">
        <w:rPr>
          <w:rFonts w:ascii="Arial" w:hAnsi="Arial" w:cs="Arial"/>
          <w:sz w:val="24"/>
          <w:szCs w:val="24"/>
        </w:rPr>
        <w:tab/>
      </w:r>
      <w:r w:rsidR="00B76F30" w:rsidRPr="007E0D8C">
        <w:rPr>
          <w:rFonts w:ascii="Arial" w:hAnsi="Arial" w:cs="Arial"/>
          <w:sz w:val="24"/>
          <w:szCs w:val="24"/>
        </w:rPr>
        <w:t>The Director of Public Prosecutions</w:t>
      </w:r>
      <w:r w:rsidR="009802DB" w:rsidRPr="007E0D8C">
        <w:rPr>
          <w:rFonts w:ascii="Arial" w:hAnsi="Arial" w:cs="Arial"/>
          <w:sz w:val="24"/>
          <w:szCs w:val="24"/>
        </w:rPr>
        <w:t xml:space="preserve"> </w:t>
      </w:r>
      <w:r w:rsidR="005044FE" w:rsidRPr="007E0D8C">
        <w:rPr>
          <w:rFonts w:ascii="Arial" w:hAnsi="Arial" w:cs="Arial"/>
          <w:sz w:val="24"/>
          <w:szCs w:val="24"/>
        </w:rPr>
        <w:t xml:space="preserve"> </w:t>
      </w:r>
    </w:p>
    <w:p w14:paraId="7AC4FDDD" w14:textId="45A24E05" w:rsidR="0012243D" w:rsidRDefault="0012243D"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Respondent’s Attorney</w:t>
      </w:r>
    </w:p>
    <w:p w14:paraId="0DD1092F" w14:textId="2A13A17E" w:rsidR="00F33ECB" w:rsidRDefault="00F33ECB"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Pietermaritz</w:t>
      </w:r>
      <w:proofErr w:type="spellEnd"/>
      <w:r>
        <w:rPr>
          <w:rFonts w:ascii="Arial" w:hAnsi="Arial" w:cs="Arial"/>
          <w:sz w:val="24"/>
          <w:szCs w:val="24"/>
        </w:rPr>
        <w:t xml:space="preserve"> Street</w:t>
      </w:r>
    </w:p>
    <w:p w14:paraId="51605475" w14:textId="542CADBA" w:rsidR="00F33ECB" w:rsidRDefault="00F33ECB"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Pietermari</w:t>
      </w:r>
      <w:r w:rsidR="00685714">
        <w:rPr>
          <w:rFonts w:ascii="Arial" w:hAnsi="Arial" w:cs="Arial"/>
          <w:sz w:val="24"/>
          <w:szCs w:val="24"/>
        </w:rPr>
        <w:t>t</w:t>
      </w:r>
      <w:r>
        <w:rPr>
          <w:rFonts w:ascii="Arial" w:hAnsi="Arial" w:cs="Arial"/>
          <w:sz w:val="24"/>
          <w:szCs w:val="24"/>
        </w:rPr>
        <w:t>zburg…. KZN</w:t>
      </w:r>
    </w:p>
    <w:p w14:paraId="0E160A50" w14:textId="01043C95" w:rsidR="00F33ECB" w:rsidRDefault="00F33ECB"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sidR="00444C05">
        <w:rPr>
          <w:rFonts w:ascii="Arial" w:hAnsi="Arial" w:cs="Arial"/>
          <w:sz w:val="24"/>
          <w:szCs w:val="24"/>
        </w:rPr>
        <w:tab/>
        <w:t xml:space="preserve">(Ref: Mr </w:t>
      </w:r>
      <w:proofErr w:type="spellStart"/>
      <w:r w:rsidR="00444C05">
        <w:rPr>
          <w:rFonts w:ascii="Arial" w:hAnsi="Arial" w:cs="Arial"/>
          <w:sz w:val="24"/>
          <w:szCs w:val="24"/>
        </w:rPr>
        <w:t>Majola</w:t>
      </w:r>
      <w:proofErr w:type="spellEnd"/>
      <w:r w:rsidR="00444C05">
        <w:rPr>
          <w:rFonts w:ascii="Arial" w:hAnsi="Arial" w:cs="Arial"/>
          <w:sz w:val="24"/>
          <w:szCs w:val="24"/>
        </w:rPr>
        <w:t>)</w:t>
      </w:r>
    </w:p>
    <w:p w14:paraId="5B052D4A" w14:textId="6D696817" w:rsidR="00444C05" w:rsidRDefault="00444C05"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04DF1">
        <w:rPr>
          <w:rFonts w:ascii="Arial" w:hAnsi="Arial" w:cs="Arial"/>
          <w:sz w:val="24"/>
          <w:szCs w:val="24"/>
        </w:rPr>
        <w:t>(Tel: 031- 3345114</w:t>
      </w:r>
      <w:r w:rsidR="00EA43DB">
        <w:rPr>
          <w:rFonts w:ascii="Arial" w:hAnsi="Arial" w:cs="Arial"/>
          <w:sz w:val="24"/>
          <w:szCs w:val="24"/>
        </w:rPr>
        <w:t xml:space="preserve"> </w:t>
      </w:r>
      <w:r w:rsidR="00304DF1">
        <w:rPr>
          <w:rFonts w:ascii="Arial" w:hAnsi="Arial" w:cs="Arial"/>
          <w:sz w:val="24"/>
          <w:szCs w:val="24"/>
        </w:rPr>
        <w:t>/ 031 – 335</w:t>
      </w:r>
      <w:r w:rsidR="008D2E3E">
        <w:rPr>
          <w:rFonts w:ascii="Arial" w:hAnsi="Arial" w:cs="Arial"/>
          <w:sz w:val="24"/>
          <w:szCs w:val="24"/>
        </w:rPr>
        <w:t>6626)</w:t>
      </w:r>
    </w:p>
    <w:p w14:paraId="3DF2C70C" w14:textId="4D6B6841" w:rsidR="008D2E3E" w:rsidRDefault="008D2E3E" w:rsidP="00FC0261">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(Tel: 033 </w:t>
      </w:r>
      <w:r w:rsidR="00EA43DB">
        <w:rPr>
          <w:rFonts w:ascii="Arial" w:hAnsi="Arial" w:cs="Arial"/>
          <w:sz w:val="24"/>
          <w:szCs w:val="24"/>
        </w:rPr>
        <w:t>–</w:t>
      </w:r>
      <w:r>
        <w:rPr>
          <w:rFonts w:ascii="Arial" w:hAnsi="Arial" w:cs="Arial"/>
          <w:sz w:val="24"/>
          <w:szCs w:val="24"/>
        </w:rPr>
        <w:t xml:space="preserve"> </w:t>
      </w:r>
      <w:r w:rsidR="00EA43DB">
        <w:rPr>
          <w:rFonts w:ascii="Arial" w:hAnsi="Arial" w:cs="Arial"/>
          <w:sz w:val="24"/>
          <w:szCs w:val="24"/>
        </w:rPr>
        <w:t xml:space="preserve">8454400 / 031 </w:t>
      </w:r>
      <w:r w:rsidR="00781FDA">
        <w:rPr>
          <w:rFonts w:ascii="Arial" w:hAnsi="Arial" w:cs="Arial"/>
          <w:sz w:val="24"/>
          <w:szCs w:val="24"/>
        </w:rPr>
        <w:t>–</w:t>
      </w:r>
      <w:r w:rsidR="00EA43DB">
        <w:rPr>
          <w:rFonts w:ascii="Arial" w:hAnsi="Arial" w:cs="Arial"/>
          <w:sz w:val="24"/>
          <w:szCs w:val="24"/>
        </w:rPr>
        <w:t xml:space="preserve"> </w:t>
      </w:r>
      <w:r w:rsidR="00781FDA">
        <w:rPr>
          <w:rFonts w:ascii="Arial" w:hAnsi="Arial" w:cs="Arial"/>
          <w:sz w:val="24"/>
          <w:szCs w:val="24"/>
        </w:rPr>
        <w:t>8454420)</w:t>
      </w:r>
    </w:p>
    <w:p w14:paraId="54923D5D" w14:textId="17FFADC7" w:rsidR="007E3A2F" w:rsidRDefault="00781FDA" w:rsidP="00140C8E">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0" w:history="1">
        <w:r w:rsidR="008A02E8" w:rsidRPr="009415FB">
          <w:rPr>
            <w:rStyle w:val="Hyperlink"/>
            <w:rFonts w:ascii="Arial" w:hAnsi="Arial" w:cs="Arial"/>
            <w:sz w:val="24"/>
            <w:szCs w:val="24"/>
          </w:rPr>
          <w:t>simajola@npa.gov.za</w:t>
        </w:r>
      </w:hyperlink>
      <w:r w:rsidR="0019393D">
        <w:rPr>
          <w:rFonts w:ascii="Arial" w:hAnsi="Arial" w:cs="Arial"/>
          <w:sz w:val="24"/>
          <w:szCs w:val="24"/>
        </w:rPr>
        <w:t>)</w:t>
      </w:r>
    </w:p>
    <w:p w14:paraId="46BA7A7E" w14:textId="77777777" w:rsidR="00D322AC" w:rsidRDefault="00D322AC" w:rsidP="00140C8E">
      <w:pPr>
        <w:spacing w:after="0" w:line="360" w:lineRule="auto"/>
        <w:rPr>
          <w:rFonts w:ascii="Arial" w:hAnsi="Arial" w:cs="Arial"/>
          <w:sz w:val="24"/>
          <w:szCs w:val="24"/>
        </w:rPr>
      </w:pPr>
    </w:p>
    <w:sectPr w:rsidR="00D322AC" w:rsidSect="00B0396A">
      <w:headerReference w:type="default" r:id="rId1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D6013" w16cex:dateUtc="2022-07-16T14:04:00Z"/>
  <w16cex:commentExtensible w16cex:durableId="267D6180" w16cex:dateUtc="2022-07-16T14:10:00Z"/>
  <w16cex:commentExtensible w16cex:durableId="267D6191" w16cex:dateUtc="2022-07-16T14:10:00Z"/>
  <w16cex:commentExtensible w16cex:durableId="267D61BB" w16cex:dateUtc="2022-07-16T14:11:00Z"/>
  <w16cex:commentExtensible w16cex:durableId="267D6217" w16cex:dateUtc="2022-07-16T14:13:00Z"/>
  <w16cex:commentExtensible w16cex:durableId="267D6223" w16cex:dateUtc="2022-07-16T14:13:00Z"/>
  <w16cex:commentExtensible w16cex:durableId="267D6366" w16cex:dateUtc="2022-07-16T14:18:00Z"/>
  <w16cex:commentExtensible w16cex:durableId="267D6300" w16cex:dateUtc="2022-07-16T14:17:00Z"/>
  <w16cex:commentExtensible w16cex:durableId="267D63F4" w16cex:dateUtc="2022-07-16T14:21:00Z"/>
  <w16cex:commentExtensible w16cex:durableId="267D6725" w16cex:dateUtc="2022-07-16T14:34:00Z"/>
  <w16cex:commentExtensible w16cex:durableId="267D6484" w16cex:dateUtc="2022-07-16T14:23:00Z"/>
  <w16cex:commentExtensible w16cex:durableId="267D6641" w16cex:dateUtc="2022-07-16T14:30:00Z"/>
  <w16cex:commentExtensible w16cex:durableId="267D65DD" w16cex:dateUtc="2022-07-16T14:29:00Z"/>
  <w16cex:commentExtensible w16cex:durableId="267D66FF" w16cex:dateUtc="2022-07-16T14:34:00Z"/>
  <w16cex:commentExtensible w16cex:durableId="267D66D9" w16cex:dateUtc="2022-07-16T14:33:00Z"/>
  <w16cex:commentExtensible w16cex:durableId="267D66E2" w16cex:dateUtc="2022-07-16T14:33:00Z"/>
  <w16cex:commentExtensible w16cex:durableId="267D677E" w16cex:dateUtc="2022-07-16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628B8" w16cid:durableId="267D6013"/>
  <w16cid:commentId w16cid:paraId="611F0628" w16cid:durableId="267D6180"/>
  <w16cid:commentId w16cid:paraId="7B9DDAAA" w16cid:durableId="267D6191"/>
  <w16cid:commentId w16cid:paraId="479F3844" w16cid:durableId="267D61BB"/>
  <w16cid:commentId w16cid:paraId="544E4B60" w16cid:durableId="267D6217"/>
  <w16cid:commentId w16cid:paraId="64DDF3E8" w16cid:durableId="267D6223"/>
  <w16cid:commentId w16cid:paraId="065453C2" w16cid:durableId="267D6366"/>
  <w16cid:commentId w16cid:paraId="7B1D7FB0" w16cid:durableId="267D6300"/>
  <w16cid:commentId w16cid:paraId="23C4C9E7" w16cid:durableId="267D63F4"/>
  <w16cid:commentId w16cid:paraId="65015A1A" w16cid:durableId="267D6725"/>
  <w16cid:commentId w16cid:paraId="4517B36E" w16cid:durableId="267D6484"/>
  <w16cid:commentId w16cid:paraId="63D8BBAE" w16cid:durableId="267D6641"/>
  <w16cid:commentId w16cid:paraId="64C15F81" w16cid:durableId="267D65DD"/>
  <w16cid:commentId w16cid:paraId="71378ADD" w16cid:durableId="267D66FF"/>
  <w16cid:commentId w16cid:paraId="7ABEA9AD" w16cid:durableId="267D66D9"/>
  <w16cid:commentId w16cid:paraId="598C9930" w16cid:durableId="267D66E2"/>
  <w16cid:commentId w16cid:paraId="76CC8BCA" w16cid:durableId="267D67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BCA9" w14:textId="77777777" w:rsidR="00AE23E2" w:rsidRDefault="00AE23E2" w:rsidP="00B0396A">
      <w:pPr>
        <w:spacing w:after="0" w:line="240" w:lineRule="auto"/>
      </w:pPr>
      <w:r>
        <w:separator/>
      </w:r>
    </w:p>
  </w:endnote>
  <w:endnote w:type="continuationSeparator" w:id="0">
    <w:p w14:paraId="4F31F777" w14:textId="77777777" w:rsidR="00AE23E2" w:rsidRDefault="00AE23E2" w:rsidP="00B0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B78F7" w14:textId="77777777" w:rsidR="00AE23E2" w:rsidRDefault="00AE23E2" w:rsidP="00B0396A">
      <w:pPr>
        <w:spacing w:after="0" w:line="240" w:lineRule="auto"/>
      </w:pPr>
      <w:r>
        <w:separator/>
      </w:r>
    </w:p>
  </w:footnote>
  <w:footnote w:type="continuationSeparator" w:id="0">
    <w:p w14:paraId="0DB4DFDD" w14:textId="77777777" w:rsidR="00AE23E2" w:rsidRDefault="00AE23E2" w:rsidP="00B03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27835"/>
      <w:docPartObj>
        <w:docPartGallery w:val="Page Numbers (Top of Page)"/>
        <w:docPartUnique/>
      </w:docPartObj>
    </w:sdtPr>
    <w:sdtEndPr>
      <w:rPr>
        <w:noProof/>
      </w:rPr>
    </w:sdtEndPr>
    <w:sdtContent>
      <w:p w14:paraId="24A712B8" w14:textId="1C7559AE" w:rsidR="00B0396A" w:rsidRDefault="00B0396A">
        <w:pPr>
          <w:pStyle w:val="Header"/>
          <w:jc w:val="right"/>
        </w:pPr>
        <w:r>
          <w:fldChar w:fldCharType="begin"/>
        </w:r>
        <w:r>
          <w:instrText xml:space="preserve"> PAGE   \* MERGEFORMAT </w:instrText>
        </w:r>
        <w:r>
          <w:fldChar w:fldCharType="separate"/>
        </w:r>
        <w:r w:rsidR="00EF659C">
          <w:rPr>
            <w:noProof/>
          </w:rPr>
          <w:t>14</w:t>
        </w:r>
        <w:r>
          <w:rPr>
            <w:noProof/>
          </w:rPr>
          <w:fldChar w:fldCharType="end"/>
        </w:r>
      </w:p>
    </w:sdtContent>
  </w:sdt>
  <w:p w14:paraId="7A8FDC5B" w14:textId="77777777" w:rsidR="00B0396A" w:rsidRDefault="00B039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0C9"/>
    <w:multiLevelType w:val="hybridMultilevel"/>
    <w:tmpl w:val="4AEE2122"/>
    <w:lvl w:ilvl="0" w:tplc="7CCE63F0">
      <w:start w:val="1"/>
      <w:numFmt w:val="lowerLetter"/>
      <w:lvlText w:val="(%1)"/>
      <w:lvlJc w:val="left"/>
      <w:pPr>
        <w:ind w:left="99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 w15:restartNumberingAfterBreak="0">
    <w:nsid w:val="0B422716"/>
    <w:multiLevelType w:val="multilevel"/>
    <w:tmpl w:val="A3C8DD3C"/>
    <w:lvl w:ilvl="0">
      <w:start w:val="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368" w:hanging="360"/>
      </w:p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11A22D38"/>
    <w:multiLevelType w:val="hybridMultilevel"/>
    <w:tmpl w:val="BCE095B0"/>
    <w:lvl w:ilvl="0" w:tplc="79949EA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B17DD6"/>
    <w:multiLevelType w:val="hybridMultilevel"/>
    <w:tmpl w:val="100022C0"/>
    <w:lvl w:ilvl="0" w:tplc="539031A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15:restartNumberingAfterBreak="0">
    <w:nsid w:val="1BEA198E"/>
    <w:multiLevelType w:val="multilevel"/>
    <w:tmpl w:val="95008C52"/>
    <w:lvl w:ilvl="0">
      <w:start w:val="9"/>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5" w15:restartNumberingAfterBreak="0">
    <w:nsid w:val="24CF431F"/>
    <w:multiLevelType w:val="multilevel"/>
    <w:tmpl w:val="5382F178"/>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F730722"/>
    <w:multiLevelType w:val="hybridMultilevel"/>
    <w:tmpl w:val="66E270EC"/>
    <w:lvl w:ilvl="0" w:tplc="4726FB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43A5BC1"/>
    <w:multiLevelType w:val="hybridMultilevel"/>
    <w:tmpl w:val="20AE29B4"/>
    <w:lvl w:ilvl="0" w:tplc="25C685BE">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8" w15:restartNumberingAfterBreak="0">
    <w:nsid w:val="359433C2"/>
    <w:multiLevelType w:val="hybridMultilevel"/>
    <w:tmpl w:val="B05C6BF4"/>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3A8E085C"/>
    <w:multiLevelType w:val="hybridMultilevel"/>
    <w:tmpl w:val="CF64E1EE"/>
    <w:lvl w:ilvl="0" w:tplc="C84ED5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47110B5B"/>
    <w:multiLevelType w:val="hybridMultilevel"/>
    <w:tmpl w:val="869A287C"/>
    <w:lvl w:ilvl="0" w:tplc="25C685BE">
      <w:start w:val="1"/>
      <w:numFmt w:val="decimal"/>
      <w:lvlText w:val="%1."/>
      <w:lvlJc w:val="left"/>
      <w:pPr>
        <w:ind w:left="938" w:hanging="360"/>
      </w:pPr>
      <w:rPr>
        <w:rFonts w:hint="default"/>
      </w:rPr>
    </w:lvl>
    <w:lvl w:ilvl="1" w:tplc="1C090019" w:tentative="1">
      <w:start w:val="1"/>
      <w:numFmt w:val="lowerLetter"/>
      <w:lvlText w:val="%2."/>
      <w:lvlJc w:val="left"/>
      <w:pPr>
        <w:ind w:left="1658" w:hanging="360"/>
      </w:pPr>
    </w:lvl>
    <w:lvl w:ilvl="2" w:tplc="1C09001B" w:tentative="1">
      <w:start w:val="1"/>
      <w:numFmt w:val="lowerRoman"/>
      <w:lvlText w:val="%3."/>
      <w:lvlJc w:val="right"/>
      <w:pPr>
        <w:ind w:left="2378" w:hanging="180"/>
      </w:pPr>
    </w:lvl>
    <w:lvl w:ilvl="3" w:tplc="1C09000F" w:tentative="1">
      <w:start w:val="1"/>
      <w:numFmt w:val="decimal"/>
      <w:lvlText w:val="%4."/>
      <w:lvlJc w:val="left"/>
      <w:pPr>
        <w:ind w:left="3098" w:hanging="360"/>
      </w:pPr>
    </w:lvl>
    <w:lvl w:ilvl="4" w:tplc="1C090019" w:tentative="1">
      <w:start w:val="1"/>
      <w:numFmt w:val="lowerLetter"/>
      <w:lvlText w:val="%5."/>
      <w:lvlJc w:val="left"/>
      <w:pPr>
        <w:ind w:left="3818" w:hanging="360"/>
      </w:pPr>
    </w:lvl>
    <w:lvl w:ilvl="5" w:tplc="1C09001B" w:tentative="1">
      <w:start w:val="1"/>
      <w:numFmt w:val="lowerRoman"/>
      <w:lvlText w:val="%6."/>
      <w:lvlJc w:val="right"/>
      <w:pPr>
        <w:ind w:left="4538" w:hanging="180"/>
      </w:pPr>
    </w:lvl>
    <w:lvl w:ilvl="6" w:tplc="1C09000F" w:tentative="1">
      <w:start w:val="1"/>
      <w:numFmt w:val="decimal"/>
      <w:lvlText w:val="%7."/>
      <w:lvlJc w:val="left"/>
      <w:pPr>
        <w:ind w:left="5258" w:hanging="360"/>
      </w:pPr>
    </w:lvl>
    <w:lvl w:ilvl="7" w:tplc="1C090019" w:tentative="1">
      <w:start w:val="1"/>
      <w:numFmt w:val="lowerLetter"/>
      <w:lvlText w:val="%8."/>
      <w:lvlJc w:val="left"/>
      <w:pPr>
        <w:ind w:left="5978" w:hanging="360"/>
      </w:pPr>
    </w:lvl>
    <w:lvl w:ilvl="8" w:tplc="1C09001B" w:tentative="1">
      <w:start w:val="1"/>
      <w:numFmt w:val="lowerRoman"/>
      <w:lvlText w:val="%9."/>
      <w:lvlJc w:val="right"/>
      <w:pPr>
        <w:ind w:left="6698" w:hanging="180"/>
      </w:pPr>
    </w:lvl>
  </w:abstractNum>
  <w:abstractNum w:abstractNumId="11" w15:restartNumberingAfterBreak="0">
    <w:nsid w:val="540911B6"/>
    <w:multiLevelType w:val="multilevel"/>
    <w:tmpl w:val="95008C52"/>
    <w:lvl w:ilvl="0">
      <w:start w:val="9"/>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15:restartNumberingAfterBreak="0">
    <w:nsid w:val="59C779E1"/>
    <w:multiLevelType w:val="hybridMultilevel"/>
    <w:tmpl w:val="0A72308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6B850ED3"/>
    <w:multiLevelType w:val="hybridMultilevel"/>
    <w:tmpl w:val="4F2849E2"/>
    <w:lvl w:ilvl="0" w:tplc="DC18189A">
      <w:start w:val="1"/>
      <w:numFmt w:val="lowerLetter"/>
      <w:lvlText w:val="(%1)"/>
      <w:lvlJc w:val="left"/>
      <w:pPr>
        <w:ind w:left="2368" w:hanging="360"/>
      </w:pPr>
      <w:rPr>
        <w:rFonts w:hint="default"/>
      </w:rPr>
    </w:lvl>
    <w:lvl w:ilvl="1" w:tplc="1C090019" w:tentative="1">
      <w:start w:val="1"/>
      <w:numFmt w:val="lowerLetter"/>
      <w:lvlText w:val="%2."/>
      <w:lvlJc w:val="left"/>
      <w:pPr>
        <w:ind w:left="3088" w:hanging="360"/>
      </w:pPr>
    </w:lvl>
    <w:lvl w:ilvl="2" w:tplc="1C09001B" w:tentative="1">
      <w:start w:val="1"/>
      <w:numFmt w:val="lowerRoman"/>
      <w:lvlText w:val="%3."/>
      <w:lvlJc w:val="right"/>
      <w:pPr>
        <w:ind w:left="3808" w:hanging="180"/>
      </w:pPr>
    </w:lvl>
    <w:lvl w:ilvl="3" w:tplc="1C09000F" w:tentative="1">
      <w:start w:val="1"/>
      <w:numFmt w:val="decimal"/>
      <w:lvlText w:val="%4."/>
      <w:lvlJc w:val="left"/>
      <w:pPr>
        <w:ind w:left="4528" w:hanging="360"/>
      </w:pPr>
    </w:lvl>
    <w:lvl w:ilvl="4" w:tplc="1C090019" w:tentative="1">
      <w:start w:val="1"/>
      <w:numFmt w:val="lowerLetter"/>
      <w:lvlText w:val="%5."/>
      <w:lvlJc w:val="left"/>
      <w:pPr>
        <w:ind w:left="5248" w:hanging="360"/>
      </w:pPr>
    </w:lvl>
    <w:lvl w:ilvl="5" w:tplc="1C09001B" w:tentative="1">
      <w:start w:val="1"/>
      <w:numFmt w:val="lowerRoman"/>
      <w:lvlText w:val="%6."/>
      <w:lvlJc w:val="right"/>
      <w:pPr>
        <w:ind w:left="5968" w:hanging="180"/>
      </w:pPr>
    </w:lvl>
    <w:lvl w:ilvl="6" w:tplc="1C09000F" w:tentative="1">
      <w:start w:val="1"/>
      <w:numFmt w:val="decimal"/>
      <w:lvlText w:val="%7."/>
      <w:lvlJc w:val="left"/>
      <w:pPr>
        <w:ind w:left="6688" w:hanging="360"/>
      </w:pPr>
    </w:lvl>
    <w:lvl w:ilvl="7" w:tplc="1C090019" w:tentative="1">
      <w:start w:val="1"/>
      <w:numFmt w:val="lowerLetter"/>
      <w:lvlText w:val="%8."/>
      <w:lvlJc w:val="left"/>
      <w:pPr>
        <w:ind w:left="7408" w:hanging="360"/>
      </w:pPr>
    </w:lvl>
    <w:lvl w:ilvl="8" w:tplc="1C09001B" w:tentative="1">
      <w:start w:val="1"/>
      <w:numFmt w:val="lowerRoman"/>
      <w:lvlText w:val="%9."/>
      <w:lvlJc w:val="right"/>
      <w:pPr>
        <w:ind w:left="8128" w:hanging="180"/>
      </w:pPr>
    </w:lvl>
  </w:abstractNum>
  <w:abstractNum w:abstractNumId="14" w15:restartNumberingAfterBreak="0">
    <w:nsid w:val="6D906982"/>
    <w:multiLevelType w:val="hybridMultilevel"/>
    <w:tmpl w:val="BDB44724"/>
    <w:lvl w:ilvl="0" w:tplc="539031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E550268"/>
    <w:multiLevelType w:val="hybridMultilevel"/>
    <w:tmpl w:val="A17CB7A4"/>
    <w:lvl w:ilvl="0" w:tplc="539031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F9612FC"/>
    <w:multiLevelType w:val="hybridMultilevel"/>
    <w:tmpl w:val="0B947E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8205A0"/>
    <w:multiLevelType w:val="multilevel"/>
    <w:tmpl w:val="E32CB1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7541E56"/>
    <w:multiLevelType w:val="hybridMultilevel"/>
    <w:tmpl w:val="F5C647F4"/>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19" w15:restartNumberingAfterBreak="0">
    <w:nsid w:val="77B0772F"/>
    <w:multiLevelType w:val="hybridMultilevel"/>
    <w:tmpl w:val="0DC478B0"/>
    <w:lvl w:ilvl="0" w:tplc="539031AA">
      <w:start w:val="1"/>
      <w:numFmt w:val="lowerLetter"/>
      <w:lvlText w:val="(%1)"/>
      <w:lvlJc w:val="left"/>
      <w:pPr>
        <w:ind w:left="2136" w:hanging="360"/>
      </w:pPr>
      <w:rPr>
        <w:rFonts w:hint="default"/>
      </w:rPr>
    </w:lvl>
    <w:lvl w:ilvl="1" w:tplc="1C090019" w:tentative="1">
      <w:start w:val="1"/>
      <w:numFmt w:val="lowerLetter"/>
      <w:lvlText w:val="%2."/>
      <w:lvlJc w:val="left"/>
      <w:pPr>
        <w:ind w:left="2856" w:hanging="360"/>
      </w:pPr>
    </w:lvl>
    <w:lvl w:ilvl="2" w:tplc="1C09001B" w:tentative="1">
      <w:start w:val="1"/>
      <w:numFmt w:val="lowerRoman"/>
      <w:lvlText w:val="%3."/>
      <w:lvlJc w:val="right"/>
      <w:pPr>
        <w:ind w:left="3576" w:hanging="180"/>
      </w:pPr>
    </w:lvl>
    <w:lvl w:ilvl="3" w:tplc="1C09000F" w:tentative="1">
      <w:start w:val="1"/>
      <w:numFmt w:val="decimal"/>
      <w:lvlText w:val="%4."/>
      <w:lvlJc w:val="left"/>
      <w:pPr>
        <w:ind w:left="4296" w:hanging="360"/>
      </w:pPr>
    </w:lvl>
    <w:lvl w:ilvl="4" w:tplc="1C090019" w:tentative="1">
      <w:start w:val="1"/>
      <w:numFmt w:val="lowerLetter"/>
      <w:lvlText w:val="%5."/>
      <w:lvlJc w:val="left"/>
      <w:pPr>
        <w:ind w:left="5016" w:hanging="360"/>
      </w:pPr>
    </w:lvl>
    <w:lvl w:ilvl="5" w:tplc="1C09001B" w:tentative="1">
      <w:start w:val="1"/>
      <w:numFmt w:val="lowerRoman"/>
      <w:lvlText w:val="%6."/>
      <w:lvlJc w:val="right"/>
      <w:pPr>
        <w:ind w:left="5736" w:hanging="180"/>
      </w:pPr>
    </w:lvl>
    <w:lvl w:ilvl="6" w:tplc="1C09000F" w:tentative="1">
      <w:start w:val="1"/>
      <w:numFmt w:val="decimal"/>
      <w:lvlText w:val="%7."/>
      <w:lvlJc w:val="left"/>
      <w:pPr>
        <w:ind w:left="6456" w:hanging="360"/>
      </w:pPr>
    </w:lvl>
    <w:lvl w:ilvl="7" w:tplc="1C090019" w:tentative="1">
      <w:start w:val="1"/>
      <w:numFmt w:val="lowerLetter"/>
      <w:lvlText w:val="%8."/>
      <w:lvlJc w:val="left"/>
      <w:pPr>
        <w:ind w:left="7176" w:hanging="360"/>
      </w:pPr>
    </w:lvl>
    <w:lvl w:ilvl="8" w:tplc="1C09001B" w:tentative="1">
      <w:start w:val="1"/>
      <w:numFmt w:val="lowerRoman"/>
      <w:lvlText w:val="%9."/>
      <w:lvlJc w:val="right"/>
      <w:pPr>
        <w:ind w:left="7896" w:hanging="180"/>
      </w:pPr>
    </w:lvl>
  </w:abstractNum>
  <w:abstractNum w:abstractNumId="20" w15:restartNumberingAfterBreak="0">
    <w:nsid w:val="7A6542E7"/>
    <w:multiLevelType w:val="multilevel"/>
    <w:tmpl w:val="08784EB0"/>
    <w:lvl w:ilvl="0">
      <w:start w:val="9"/>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5"/>
  </w:num>
  <w:num w:numId="2">
    <w:abstractNumId w:val="15"/>
  </w:num>
  <w:num w:numId="3">
    <w:abstractNumId w:val="7"/>
  </w:num>
  <w:num w:numId="4">
    <w:abstractNumId w:val="17"/>
  </w:num>
  <w:num w:numId="5">
    <w:abstractNumId w:val="1"/>
  </w:num>
  <w:num w:numId="6">
    <w:abstractNumId w:val="20"/>
  </w:num>
  <w:num w:numId="7">
    <w:abstractNumId w:val="4"/>
  </w:num>
  <w:num w:numId="8">
    <w:abstractNumId w:val="11"/>
  </w:num>
  <w:num w:numId="9">
    <w:abstractNumId w:val="16"/>
  </w:num>
  <w:num w:numId="10">
    <w:abstractNumId w:val="18"/>
  </w:num>
  <w:num w:numId="11">
    <w:abstractNumId w:val="10"/>
  </w:num>
  <w:num w:numId="12">
    <w:abstractNumId w:val="3"/>
  </w:num>
  <w:num w:numId="13">
    <w:abstractNumId w:val="19"/>
  </w:num>
  <w:num w:numId="14">
    <w:abstractNumId w:val="14"/>
  </w:num>
  <w:num w:numId="15">
    <w:abstractNumId w:val="12"/>
  </w:num>
  <w:num w:numId="16">
    <w:abstractNumId w:val="8"/>
  </w:num>
  <w:num w:numId="17">
    <w:abstractNumId w:val="6"/>
  </w:num>
  <w:num w:numId="18">
    <w:abstractNumId w:val="13"/>
  </w:num>
  <w:num w:numId="19">
    <w:abstractNumId w:val="0"/>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60"/>
    <w:rsid w:val="000028E0"/>
    <w:rsid w:val="00003592"/>
    <w:rsid w:val="00003FF4"/>
    <w:rsid w:val="0001014D"/>
    <w:rsid w:val="00010DCF"/>
    <w:rsid w:val="00013191"/>
    <w:rsid w:val="00014800"/>
    <w:rsid w:val="00014F7F"/>
    <w:rsid w:val="00014FE3"/>
    <w:rsid w:val="00017F33"/>
    <w:rsid w:val="00020872"/>
    <w:rsid w:val="00030E6C"/>
    <w:rsid w:val="00033B89"/>
    <w:rsid w:val="00035108"/>
    <w:rsid w:val="00037320"/>
    <w:rsid w:val="000400B5"/>
    <w:rsid w:val="00040900"/>
    <w:rsid w:val="00045719"/>
    <w:rsid w:val="00045BBF"/>
    <w:rsid w:val="00047CE7"/>
    <w:rsid w:val="000500C3"/>
    <w:rsid w:val="000531EB"/>
    <w:rsid w:val="0005339B"/>
    <w:rsid w:val="000535E2"/>
    <w:rsid w:val="00061847"/>
    <w:rsid w:val="00061A62"/>
    <w:rsid w:val="00061F4F"/>
    <w:rsid w:val="0006686B"/>
    <w:rsid w:val="00067D80"/>
    <w:rsid w:val="00071BED"/>
    <w:rsid w:val="00072119"/>
    <w:rsid w:val="00072DAC"/>
    <w:rsid w:val="000744D6"/>
    <w:rsid w:val="00076A29"/>
    <w:rsid w:val="00076C57"/>
    <w:rsid w:val="00082259"/>
    <w:rsid w:val="00083766"/>
    <w:rsid w:val="000859BD"/>
    <w:rsid w:val="00085B51"/>
    <w:rsid w:val="000872E8"/>
    <w:rsid w:val="00087899"/>
    <w:rsid w:val="00087C60"/>
    <w:rsid w:val="00092138"/>
    <w:rsid w:val="00093CB7"/>
    <w:rsid w:val="00094E39"/>
    <w:rsid w:val="00095D56"/>
    <w:rsid w:val="000961D8"/>
    <w:rsid w:val="00096DB1"/>
    <w:rsid w:val="000A206F"/>
    <w:rsid w:val="000A365B"/>
    <w:rsid w:val="000A39F0"/>
    <w:rsid w:val="000A3D89"/>
    <w:rsid w:val="000B1EE3"/>
    <w:rsid w:val="000B5745"/>
    <w:rsid w:val="000B5BF3"/>
    <w:rsid w:val="000B7BFA"/>
    <w:rsid w:val="000C061D"/>
    <w:rsid w:val="000C1F46"/>
    <w:rsid w:val="000C20FD"/>
    <w:rsid w:val="000C50C2"/>
    <w:rsid w:val="000C5F0A"/>
    <w:rsid w:val="000C6086"/>
    <w:rsid w:val="000D2E3D"/>
    <w:rsid w:val="000D3F92"/>
    <w:rsid w:val="000D5083"/>
    <w:rsid w:val="000D5400"/>
    <w:rsid w:val="000D6545"/>
    <w:rsid w:val="000E69AF"/>
    <w:rsid w:val="000F19D7"/>
    <w:rsid w:val="000F1DFB"/>
    <w:rsid w:val="000F3471"/>
    <w:rsid w:val="000F35B6"/>
    <w:rsid w:val="000F48C5"/>
    <w:rsid w:val="000F4E71"/>
    <w:rsid w:val="000F60CB"/>
    <w:rsid w:val="000F6214"/>
    <w:rsid w:val="0010023C"/>
    <w:rsid w:val="00100A66"/>
    <w:rsid w:val="00100DEB"/>
    <w:rsid w:val="001014DD"/>
    <w:rsid w:val="00101B8C"/>
    <w:rsid w:val="00103987"/>
    <w:rsid w:val="00103DE5"/>
    <w:rsid w:val="001077A6"/>
    <w:rsid w:val="00107B69"/>
    <w:rsid w:val="00111459"/>
    <w:rsid w:val="001114FC"/>
    <w:rsid w:val="00112FD4"/>
    <w:rsid w:val="0011358F"/>
    <w:rsid w:val="001171F0"/>
    <w:rsid w:val="0012243D"/>
    <w:rsid w:val="001231E3"/>
    <w:rsid w:val="001241C7"/>
    <w:rsid w:val="001266D0"/>
    <w:rsid w:val="0013055B"/>
    <w:rsid w:val="00132578"/>
    <w:rsid w:val="001351C4"/>
    <w:rsid w:val="00135511"/>
    <w:rsid w:val="00135643"/>
    <w:rsid w:val="0013616D"/>
    <w:rsid w:val="001377BC"/>
    <w:rsid w:val="00137C7B"/>
    <w:rsid w:val="001401C1"/>
    <w:rsid w:val="00140C8E"/>
    <w:rsid w:val="00145604"/>
    <w:rsid w:val="00147623"/>
    <w:rsid w:val="00147F5C"/>
    <w:rsid w:val="00150B24"/>
    <w:rsid w:val="00151A8A"/>
    <w:rsid w:val="001524FD"/>
    <w:rsid w:val="00153B7C"/>
    <w:rsid w:val="001546A5"/>
    <w:rsid w:val="0016137C"/>
    <w:rsid w:val="001640EA"/>
    <w:rsid w:val="00170B09"/>
    <w:rsid w:val="001728FD"/>
    <w:rsid w:val="00172A3D"/>
    <w:rsid w:val="0017425F"/>
    <w:rsid w:val="001803C8"/>
    <w:rsid w:val="00182912"/>
    <w:rsid w:val="00182EDF"/>
    <w:rsid w:val="00184A33"/>
    <w:rsid w:val="00184BE2"/>
    <w:rsid w:val="00186160"/>
    <w:rsid w:val="001869CE"/>
    <w:rsid w:val="0019003C"/>
    <w:rsid w:val="001901D2"/>
    <w:rsid w:val="0019119F"/>
    <w:rsid w:val="00191BC9"/>
    <w:rsid w:val="0019393D"/>
    <w:rsid w:val="00193DDA"/>
    <w:rsid w:val="00194A06"/>
    <w:rsid w:val="00197D29"/>
    <w:rsid w:val="001A06C0"/>
    <w:rsid w:val="001A1A54"/>
    <w:rsid w:val="001A3940"/>
    <w:rsid w:val="001A449D"/>
    <w:rsid w:val="001A4F8E"/>
    <w:rsid w:val="001A5834"/>
    <w:rsid w:val="001A6B95"/>
    <w:rsid w:val="001B1EDF"/>
    <w:rsid w:val="001B2380"/>
    <w:rsid w:val="001B30A1"/>
    <w:rsid w:val="001B414C"/>
    <w:rsid w:val="001B7245"/>
    <w:rsid w:val="001C0BC9"/>
    <w:rsid w:val="001C12A9"/>
    <w:rsid w:val="001C1613"/>
    <w:rsid w:val="001D035F"/>
    <w:rsid w:val="001D7CE1"/>
    <w:rsid w:val="001E0329"/>
    <w:rsid w:val="001E186B"/>
    <w:rsid w:val="001E1C50"/>
    <w:rsid w:val="001E5FDE"/>
    <w:rsid w:val="001E646D"/>
    <w:rsid w:val="001E7369"/>
    <w:rsid w:val="001F2438"/>
    <w:rsid w:val="0020028B"/>
    <w:rsid w:val="002020FB"/>
    <w:rsid w:val="0020370E"/>
    <w:rsid w:val="00204462"/>
    <w:rsid w:val="0020599B"/>
    <w:rsid w:val="00207FB4"/>
    <w:rsid w:val="0021083E"/>
    <w:rsid w:val="00211DC9"/>
    <w:rsid w:val="002124DE"/>
    <w:rsid w:val="0021399D"/>
    <w:rsid w:val="0021458E"/>
    <w:rsid w:val="002157A8"/>
    <w:rsid w:val="00216AA3"/>
    <w:rsid w:val="00216CE6"/>
    <w:rsid w:val="0021798B"/>
    <w:rsid w:val="00220057"/>
    <w:rsid w:val="002205B3"/>
    <w:rsid w:val="00220CE8"/>
    <w:rsid w:val="00221DB0"/>
    <w:rsid w:val="0022210D"/>
    <w:rsid w:val="00224E26"/>
    <w:rsid w:val="00225A75"/>
    <w:rsid w:val="002272D3"/>
    <w:rsid w:val="002326B4"/>
    <w:rsid w:val="00240485"/>
    <w:rsid w:val="0024106E"/>
    <w:rsid w:val="002420D0"/>
    <w:rsid w:val="00243908"/>
    <w:rsid w:val="00243B58"/>
    <w:rsid w:val="0024581C"/>
    <w:rsid w:val="00250568"/>
    <w:rsid w:val="002507A9"/>
    <w:rsid w:val="002545AF"/>
    <w:rsid w:val="002549FC"/>
    <w:rsid w:val="002574B6"/>
    <w:rsid w:val="00260559"/>
    <w:rsid w:val="002635C6"/>
    <w:rsid w:val="00271A59"/>
    <w:rsid w:val="00274591"/>
    <w:rsid w:val="00276912"/>
    <w:rsid w:val="00277B25"/>
    <w:rsid w:val="00281323"/>
    <w:rsid w:val="00281356"/>
    <w:rsid w:val="00281B35"/>
    <w:rsid w:val="00283D91"/>
    <w:rsid w:val="00283F59"/>
    <w:rsid w:val="0028645D"/>
    <w:rsid w:val="002907DD"/>
    <w:rsid w:val="00291D3B"/>
    <w:rsid w:val="00292F7C"/>
    <w:rsid w:val="00293167"/>
    <w:rsid w:val="00296288"/>
    <w:rsid w:val="00297912"/>
    <w:rsid w:val="00297E19"/>
    <w:rsid w:val="002A0032"/>
    <w:rsid w:val="002A01E9"/>
    <w:rsid w:val="002A1F7F"/>
    <w:rsid w:val="002A3337"/>
    <w:rsid w:val="002A4713"/>
    <w:rsid w:val="002B06E0"/>
    <w:rsid w:val="002B0989"/>
    <w:rsid w:val="002B1C25"/>
    <w:rsid w:val="002B2A72"/>
    <w:rsid w:val="002B3006"/>
    <w:rsid w:val="002B54E6"/>
    <w:rsid w:val="002B624F"/>
    <w:rsid w:val="002C1163"/>
    <w:rsid w:val="002C4633"/>
    <w:rsid w:val="002C57C3"/>
    <w:rsid w:val="002C5DF2"/>
    <w:rsid w:val="002D1806"/>
    <w:rsid w:val="002D298F"/>
    <w:rsid w:val="002D2AEE"/>
    <w:rsid w:val="002D7A5C"/>
    <w:rsid w:val="002E221F"/>
    <w:rsid w:val="002E225F"/>
    <w:rsid w:val="002E3C65"/>
    <w:rsid w:val="002F094E"/>
    <w:rsid w:val="002F658B"/>
    <w:rsid w:val="00302A0B"/>
    <w:rsid w:val="00302D04"/>
    <w:rsid w:val="00304DF1"/>
    <w:rsid w:val="00310C4F"/>
    <w:rsid w:val="00310F5D"/>
    <w:rsid w:val="00311CC8"/>
    <w:rsid w:val="00312E3F"/>
    <w:rsid w:val="00317E43"/>
    <w:rsid w:val="003216F0"/>
    <w:rsid w:val="00330161"/>
    <w:rsid w:val="00332B7E"/>
    <w:rsid w:val="0033551A"/>
    <w:rsid w:val="00340255"/>
    <w:rsid w:val="00340ACD"/>
    <w:rsid w:val="0034194E"/>
    <w:rsid w:val="003429DE"/>
    <w:rsid w:val="003430DC"/>
    <w:rsid w:val="0034419F"/>
    <w:rsid w:val="0034563D"/>
    <w:rsid w:val="00346781"/>
    <w:rsid w:val="00351189"/>
    <w:rsid w:val="00352068"/>
    <w:rsid w:val="0035475D"/>
    <w:rsid w:val="003569E4"/>
    <w:rsid w:val="00357015"/>
    <w:rsid w:val="00360B4D"/>
    <w:rsid w:val="003617C7"/>
    <w:rsid w:val="00362DCA"/>
    <w:rsid w:val="0036499C"/>
    <w:rsid w:val="00366328"/>
    <w:rsid w:val="00370AAB"/>
    <w:rsid w:val="00372225"/>
    <w:rsid w:val="00373E17"/>
    <w:rsid w:val="00384AB0"/>
    <w:rsid w:val="003865D8"/>
    <w:rsid w:val="003904AC"/>
    <w:rsid w:val="00392B84"/>
    <w:rsid w:val="003A08F0"/>
    <w:rsid w:val="003A0C63"/>
    <w:rsid w:val="003A15A9"/>
    <w:rsid w:val="003A2DA6"/>
    <w:rsid w:val="003A3975"/>
    <w:rsid w:val="003A466A"/>
    <w:rsid w:val="003B2895"/>
    <w:rsid w:val="003C0AA0"/>
    <w:rsid w:val="003C362E"/>
    <w:rsid w:val="003C3C3A"/>
    <w:rsid w:val="003C6BD9"/>
    <w:rsid w:val="003C72FB"/>
    <w:rsid w:val="003D58F4"/>
    <w:rsid w:val="003D6204"/>
    <w:rsid w:val="003D7E1E"/>
    <w:rsid w:val="003E0063"/>
    <w:rsid w:val="003E0942"/>
    <w:rsid w:val="003E0A36"/>
    <w:rsid w:val="003E1C35"/>
    <w:rsid w:val="003E4580"/>
    <w:rsid w:val="003E719D"/>
    <w:rsid w:val="003F00E0"/>
    <w:rsid w:val="003F080B"/>
    <w:rsid w:val="003F3EDD"/>
    <w:rsid w:val="003F5ADC"/>
    <w:rsid w:val="003F73C2"/>
    <w:rsid w:val="00401B85"/>
    <w:rsid w:val="00402A07"/>
    <w:rsid w:val="00410B80"/>
    <w:rsid w:val="00415BDF"/>
    <w:rsid w:val="004160D4"/>
    <w:rsid w:val="004208BC"/>
    <w:rsid w:val="0042106D"/>
    <w:rsid w:val="00423950"/>
    <w:rsid w:val="004246BB"/>
    <w:rsid w:val="0042671B"/>
    <w:rsid w:val="00440A4E"/>
    <w:rsid w:val="00440C84"/>
    <w:rsid w:val="00444C05"/>
    <w:rsid w:val="0044539B"/>
    <w:rsid w:val="00445AFB"/>
    <w:rsid w:val="004464C3"/>
    <w:rsid w:val="00447971"/>
    <w:rsid w:val="00451A84"/>
    <w:rsid w:val="00451DB1"/>
    <w:rsid w:val="0045399C"/>
    <w:rsid w:val="00454AC5"/>
    <w:rsid w:val="00462FBB"/>
    <w:rsid w:val="004657A1"/>
    <w:rsid w:val="00465E44"/>
    <w:rsid w:val="0046718E"/>
    <w:rsid w:val="00470ED3"/>
    <w:rsid w:val="00471469"/>
    <w:rsid w:val="0047425E"/>
    <w:rsid w:val="004743CD"/>
    <w:rsid w:val="004753B2"/>
    <w:rsid w:val="004802C2"/>
    <w:rsid w:val="00481471"/>
    <w:rsid w:val="004863EE"/>
    <w:rsid w:val="00486A92"/>
    <w:rsid w:val="00487A83"/>
    <w:rsid w:val="0049014B"/>
    <w:rsid w:val="00491B48"/>
    <w:rsid w:val="00494181"/>
    <w:rsid w:val="00495D94"/>
    <w:rsid w:val="00496218"/>
    <w:rsid w:val="00497901"/>
    <w:rsid w:val="004A6736"/>
    <w:rsid w:val="004B030B"/>
    <w:rsid w:val="004B1C9A"/>
    <w:rsid w:val="004B1E36"/>
    <w:rsid w:val="004B27D4"/>
    <w:rsid w:val="004B4B1F"/>
    <w:rsid w:val="004B68AC"/>
    <w:rsid w:val="004B76FC"/>
    <w:rsid w:val="004C0560"/>
    <w:rsid w:val="004C2B0F"/>
    <w:rsid w:val="004C5DA1"/>
    <w:rsid w:val="004D062F"/>
    <w:rsid w:val="004D1228"/>
    <w:rsid w:val="004D2BDC"/>
    <w:rsid w:val="004D4758"/>
    <w:rsid w:val="004D4B3B"/>
    <w:rsid w:val="004D56E1"/>
    <w:rsid w:val="004D66EC"/>
    <w:rsid w:val="004E063C"/>
    <w:rsid w:val="004E2083"/>
    <w:rsid w:val="004E3096"/>
    <w:rsid w:val="004E7217"/>
    <w:rsid w:val="004E756C"/>
    <w:rsid w:val="004F2217"/>
    <w:rsid w:val="005007AB"/>
    <w:rsid w:val="00501AB6"/>
    <w:rsid w:val="0050351C"/>
    <w:rsid w:val="005044FE"/>
    <w:rsid w:val="00505E33"/>
    <w:rsid w:val="0050643B"/>
    <w:rsid w:val="0051126D"/>
    <w:rsid w:val="0051344D"/>
    <w:rsid w:val="005157CB"/>
    <w:rsid w:val="00515DFE"/>
    <w:rsid w:val="0052368A"/>
    <w:rsid w:val="005245C0"/>
    <w:rsid w:val="0052783C"/>
    <w:rsid w:val="005301AC"/>
    <w:rsid w:val="005304E4"/>
    <w:rsid w:val="00530F1E"/>
    <w:rsid w:val="005322E1"/>
    <w:rsid w:val="00533228"/>
    <w:rsid w:val="0053390B"/>
    <w:rsid w:val="00541554"/>
    <w:rsid w:val="0054280E"/>
    <w:rsid w:val="005475D1"/>
    <w:rsid w:val="00550FF9"/>
    <w:rsid w:val="00557B71"/>
    <w:rsid w:val="00561C16"/>
    <w:rsid w:val="00562710"/>
    <w:rsid w:val="00565340"/>
    <w:rsid w:val="00565946"/>
    <w:rsid w:val="00565949"/>
    <w:rsid w:val="00566378"/>
    <w:rsid w:val="00567FAF"/>
    <w:rsid w:val="00571D15"/>
    <w:rsid w:val="00573AAC"/>
    <w:rsid w:val="00592A7C"/>
    <w:rsid w:val="00592C0D"/>
    <w:rsid w:val="00592EA9"/>
    <w:rsid w:val="00592F0D"/>
    <w:rsid w:val="00595930"/>
    <w:rsid w:val="00595C09"/>
    <w:rsid w:val="005964CA"/>
    <w:rsid w:val="0059762D"/>
    <w:rsid w:val="005B40AB"/>
    <w:rsid w:val="005B416C"/>
    <w:rsid w:val="005B4D17"/>
    <w:rsid w:val="005B53DA"/>
    <w:rsid w:val="005B6C77"/>
    <w:rsid w:val="005B7791"/>
    <w:rsid w:val="005C0215"/>
    <w:rsid w:val="005C0C9C"/>
    <w:rsid w:val="005C1A1F"/>
    <w:rsid w:val="005C260E"/>
    <w:rsid w:val="005C4DCB"/>
    <w:rsid w:val="005C50F3"/>
    <w:rsid w:val="005D1A2A"/>
    <w:rsid w:val="005D2F02"/>
    <w:rsid w:val="005D60AD"/>
    <w:rsid w:val="005E0B28"/>
    <w:rsid w:val="005E1161"/>
    <w:rsid w:val="005E364B"/>
    <w:rsid w:val="005E4D7C"/>
    <w:rsid w:val="005E6AD8"/>
    <w:rsid w:val="005F08D5"/>
    <w:rsid w:val="005F2CF9"/>
    <w:rsid w:val="005F7000"/>
    <w:rsid w:val="005F72DD"/>
    <w:rsid w:val="00600156"/>
    <w:rsid w:val="0060044B"/>
    <w:rsid w:val="00600AE1"/>
    <w:rsid w:val="00601257"/>
    <w:rsid w:val="006026F4"/>
    <w:rsid w:val="00603EEE"/>
    <w:rsid w:val="00611982"/>
    <w:rsid w:val="006119EE"/>
    <w:rsid w:val="006241DF"/>
    <w:rsid w:val="0062443C"/>
    <w:rsid w:val="00626C9B"/>
    <w:rsid w:val="006274AF"/>
    <w:rsid w:val="00632779"/>
    <w:rsid w:val="00632E35"/>
    <w:rsid w:val="0063349F"/>
    <w:rsid w:val="00635107"/>
    <w:rsid w:val="006356D8"/>
    <w:rsid w:val="00642FC9"/>
    <w:rsid w:val="00643BFF"/>
    <w:rsid w:val="006442D6"/>
    <w:rsid w:val="00644FC6"/>
    <w:rsid w:val="00646420"/>
    <w:rsid w:val="00646681"/>
    <w:rsid w:val="006522B6"/>
    <w:rsid w:val="00653C9F"/>
    <w:rsid w:val="00655AE1"/>
    <w:rsid w:val="0065651D"/>
    <w:rsid w:val="00656CA4"/>
    <w:rsid w:val="00657EE4"/>
    <w:rsid w:val="0066006F"/>
    <w:rsid w:val="0066105D"/>
    <w:rsid w:val="00662F80"/>
    <w:rsid w:val="00663108"/>
    <w:rsid w:val="006639F6"/>
    <w:rsid w:val="00663FA5"/>
    <w:rsid w:val="00665D58"/>
    <w:rsid w:val="00670182"/>
    <w:rsid w:val="00670218"/>
    <w:rsid w:val="00672833"/>
    <w:rsid w:val="00675C8F"/>
    <w:rsid w:val="00675EA5"/>
    <w:rsid w:val="00681166"/>
    <w:rsid w:val="0068125A"/>
    <w:rsid w:val="00683E37"/>
    <w:rsid w:val="006841EC"/>
    <w:rsid w:val="00685714"/>
    <w:rsid w:val="006866B3"/>
    <w:rsid w:val="00690776"/>
    <w:rsid w:val="0069106D"/>
    <w:rsid w:val="0069295B"/>
    <w:rsid w:val="00693D5A"/>
    <w:rsid w:val="00695222"/>
    <w:rsid w:val="006963F9"/>
    <w:rsid w:val="006A28B9"/>
    <w:rsid w:val="006A3392"/>
    <w:rsid w:val="006A5C1F"/>
    <w:rsid w:val="006B25CA"/>
    <w:rsid w:val="006B2623"/>
    <w:rsid w:val="006B40F0"/>
    <w:rsid w:val="006C0B68"/>
    <w:rsid w:val="006C1FA3"/>
    <w:rsid w:val="006C3DF0"/>
    <w:rsid w:val="006C513F"/>
    <w:rsid w:val="006C59D5"/>
    <w:rsid w:val="006C78C1"/>
    <w:rsid w:val="006D1A01"/>
    <w:rsid w:val="006D3147"/>
    <w:rsid w:val="006D5BF0"/>
    <w:rsid w:val="006E1694"/>
    <w:rsid w:val="006E196C"/>
    <w:rsid w:val="006E4674"/>
    <w:rsid w:val="006E4742"/>
    <w:rsid w:val="006E634C"/>
    <w:rsid w:val="006E71D4"/>
    <w:rsid w:val="006F3071"/>
    <w:rsid w:val="007000A4"/>
    <w:rsid w:val="00703486"/>
    <w:rsid w:val="007049AC"/>
    <w:rsid w:val="0070677D"/>
    <w:rsid w:val="007104CB"/>
    <w:rsid w:val="00713220"/>
    <w:rsid w:val="00713D11"/>
    <w:rsid w:val="007214F4"/>
    <w:rsid w:val="00722645"/>
    <w:rsid w:val="007230C7"/>
    <w:rsid w:val="00724778"/>
    <w:rsid w:val="00735028"/>
    <w:rsid w:val="007357E8"/>
    <w:rsid w:val="007362E1"/>
    <w:rsid w:val="007414EE"/>
    <w:rsid w:val="00743DAD"/>
    <w:rsid w:val="007447AF"/>
    <w:rsid w:val="007451E2"/>
    <w:rsid w:val="007464E5"/>
    <w:rsid w:val="00746B0A"/>
    <w:rsid w:val="007472FA"/>
    <w:rsid w:val="0074784C"/>
    <w:rsid w:val="00754217"/>
    <w:rsid w:val="00754C1B"/>
    <w:rsid w:val="00754C8B"/>
    <w:rsid w:val="00761EFD"/>
    <w:rsid w:val="00764110"/>
    <w:rsid w:val="00764CDF"/>
    <w:rsid w:val="00766698"/>
    <w:rsid w:val="00766701"/>
    <w:rsid w:val="00767756"/>
    <w:rsid w:val="0077004D"/>
    <w:rsid w:val="0077285F"/>
    <w:rsid w:val="00781DC3"/>
    <w:rsid w:val="00781FDA"/>
    <w:rsid w:val="00782077"/>
    <w:rsid w:val="0078417D"/>
    <w:rsid w:val="00787537"/>
    <w:rsid w:val="007902E1"/>
    <w:rsid w:val="007917C7"/>
    <w:rsid w:val="007A10A7"/>
    <w:rsid w:val="007A3FBB"/>
    <w:rsid w:val="007A508E"/>
    <w:rsid w:val="007A525E"/>
    <w:rsid w:val="007A7077"/>
    <w:rsid w:val="007B0BB5"/>
    <w:rsid w:val="007B1D71"/>
    <w:rsid w:val="007B3688"/>
    <w:rsid w:val="007B4625"/>
    <w:rsid w:val="007B4A81"/>
    <w:rsid w:val="007B6322"/>
    <w:rsid w:val="007C00BE"/>
    <w:rsid w:val="007C4A16"/>
    <w:rsid w:val="007C6487"/>
    <w:rsid w:val="007C6666"/>
    <w:rsid w:val="007C67EF"/>
    <w:rsid w:val="007C6E67"/>
    <w:rsid w:val="007D0F9E"/>
    <w:rsid w:val="007D11B7"/>
    <w:rsid w:val="007D2A79"/>
    <w:rsid w:val="007D2ED9"/>
    <w:rsid w:val="007D3758"/>
    <w:rsid w:val="007D3A69"/>
    <w:rsid w:val="007E0D8C"/>
    <w:rsid w:val="007E14D3"/>
    <w:rsid w:val="007E3A2F"/>
    <w:rsid w:val="007E7477"/>
    <w:rsid w:val="007E786C"/>
    <w:rsid w:val="007F2D1E"/>
    <w:rsid w:val="007F4F9D"/>
    <w:rsid w:val="00800692"/>
    <w:rsid w:val="00800FFE"/>
    <w:rsid w:val="00805273"/>
    <w:rsid w:val="0080568D"/>
    <w:rsid w:val="00806896"/>
    <w:rsid w:val="00813BA4"/>
    <w:rsid w:val="00820997"/>
    <w:rsid w:val="00820FE8"/>
    <w:rsid w:val="0082535E"/>
    <w:rsid w:val="008256DB"/>
    <w:rsid w:val="00826D06"/>
    <w:rsid w:val="0082776B"/>
    <w:rsid w:val="00831C14"/>
    <w:rsid w:val="00833166"/>
    <w:rsid w:val="00840D5A"/>
    <w:rsid w:val="0084180B"/>
    <w:rsid w:val="00845292"/>
    <w:rsid w:val="0084540E"/>
    <w:rsid w:val="00845BAE"/>
    <w:rsid w:val="00846213"/>
    <w:rsid w:val="0085316A"/>
    <w:rsid w:val="008551C5"/>
    <w:rsid w:val="00856B59"/>
    <w:rsid w:val="00863FF9"/>
    <w:rsid w:val="0086729A"/>
    <w:rsid w:val="00871130"/>
    <w:rsid w:val="0087486F"/>
    <w:rsid w:val="00880A51"/>
    <w:rsid w:val="008857D9"/>
    <w:rsid w:val="00885C8C"/>
    <w:rsid w:val="008960B8"/>
    <w:rsid w:val="008978E5"/>
    <w:rsid w:val="008A02E8"/>
    <w:rsid w:val="008A79E0"/>
    <w:rsid w:val="008A7DBD"/>
    <w:rsid w:val="008B1B86"/>
    <w:rsid w:val="008B459F"/>
    <w:rsid w:val="008B5F0F"/>
    <w:rsid w:val="008B677A"/>
    <w:rsid w:val="008B6F75"/>
    <w:rsid w:val="008C11B2"/>
    <w:rsid w:val="008D0EF0"/>
    <w:rsid w:val="008D1AEF"/>
    <w:rsid w:val="008D2E3E"/>
    <w:rsid w:val="008D4492"/>
    <w:rsid w:val="008D6C9D"/>
    <w:rsid w:val="008E052B"/>
    <w:rsid w:val="008E3BA8"/>
    <w:rsid w:val="008E73CC"/>
    <w:rsid w:val="008E78EF"/>
    <w:rsid w:val="008F00D1"/>
    <w:rsid w:val="008F0EDA"/>
    <w:rsid w:val="008F50F6"/>
    <w:rsid w:val="008F5E99"/>
    <w:rsid w:val="008F6308"/>
    <w:rsid w:val="00901E22"/>
    <w:rsid w:val="00902434"/>
    <w:rsid w:val="00902887"/>
    <w:rsid w:val="00904464"/>
    <w:rsid w:val="009079ED"/>
    <w:rsid w:val="00910503"/>
    <w:rsid w:val="00913CAC"/>
    <w:rsid w:val="00915A36"/>
    <w:rsid w:val="00916C64"/>
    <w:rsid w:val="0092155F"/>
    <w:rsid w:val="00927084"/>
    <w:rsid w:val="00935BAA"/>
    <w:rsid w:val="0093679A"/>
    <w:rsid w:val="00937915"/>
    <w:rsid w:val="009419ED"/>
    <w:rsid w:val="009420EB"/>
    <w:rsid w:val="00942B74"/>
    <w:rsid w:val="00943BB9"/>
    <w:rsid w:val="00944BAB"/>
    <w:rsid w:val="00946044"/>
    <w:rsid w:val="00950AA1"/>
    <w:rsid w:val="00951449"/>
    <w:rsid w:val="0095169F"/>
    <w:rsid w:val="00951891"/>
    <w:rsid w:val="00954965"/>
    <w:rsid w:val="009551BF"/>
    <w:rsid w:val="009606A1"/>
    <w:rsid w:val="00960939"/>
    <w:rsid w:val="009610CE"/>
    <w:rsid w:val="0096183D"/>
    <w:rsid w:val="00963F9A"/>
    <w:rsid w:val="0096424C"/>
    <w:rsid w:val="00970DB0"/>
    <w:rsid w:val="009712FB"/>
    <w:rsid w:val="009728E2"/>
    <w:rsid w:val="00973DA1"/>
    <w:rsid w:val="0097627C"/>
    <w:rsid w:val="009802DB"/>
    <w:rsid w:val="009824DF"/>
    <w:rsid w:val="00983CF5"/>
    <w:rsid w:val="00984269"/>
    <w:rsid w:val="00990D67"/>
    <w:rsid w:val="00991E50"/>
    <w:rsid w:val="0099379E"/>
    <w:rsid w:val="0099695C"/>
    <w:rsid w:val="009A43CA"/>
    <w:rsid w:val="009A65E6"/>
    <w:rsid w:val="009B1A56"/>
    <w:rsid w:val="009B3235"/>
    <w:rsid w:val="009B5EF9"/>
    <w:rsid w:val="009B6278"/>
    <w:rsid w:val="009B676D"/>
    <w:rsid w:val="009B746B"/>
    <w:rsid w:val="009C0366"/>
    <w:rsid w:val="009C0ED5"/>
    <w:rsid w:val="009C3D2E"/>
    <w:rsid w:val="009C3F8A"/>
    <w:rsid w:val="009C41A4"/>
    <w:rsid w:val="009C4241"/>
    <w:rsid w:val="009C484A"/>
    <w:rsid w:val="009C4891"/>
    <w:rsid w:val="009C62E2"/>
    <w:rsid w:val="009C6500"/>
    <w:rsid w:val="009C7765"/>
    <w:rsid w:val="009D289D"/>
    <w:rsid w:val="009D3422"/>
    <w:rsid w:val="009D3960"/>
    <w:rsid w:val="009D5DFA"/>
    <w:rsid w:val="009D7FD7"/>
    <w:rsid w:val="009E0C21"/>
    <w:rsid w:val="009E183B"/>
    <w:rsid w:val="009E3E26"/>
    <w:rsid w:val="009E69DC"/>
    <w:rsid w:val="009E7A2B"/>
    <w:rsid w:val="009F03D8"/>
    <w:rsid w:val="009F0E53"/>
    <w:rsid w:val="009F2BF0"/>
    <w:rsid w:val="009F3333"/>
    <w:rsid w:val="009F4BC1"/>
    <w:rsid w:val="009F6169"/>
    <w:rsid w:val="009F6B61"/>
    <w:rsid w:val="009F75CF"/>
    <w:rsid w:val="009F7709"/>
    <w:rsid w:val="00A03711"/>
    <w:rsid w:val="00A05366"/>
    <w:rsid w:val="00A12BED"/>
    <w:rsid w:val="00A13AA9"/>
    <w:rsid w:val="00A13C08"/>
    <w:rsid w:val="00A14656"/>
    <w:rsid w:val="00A14F9C"/>
    <w:rsid w:val="00A23BA8"/>
    <w:rsid w:val="00A2432C"/>
    <w:rsid w:val="00A2730E"/>
    <w:rsid w:val="00A3023F"/>
    <w:rsid w:val="00A31F0F"/>
    <w:rsid w:val="00A34C1A"/>
    <w:rsid w:val="00A41670"/>
    <w:rsid w:val="00A42BBE"/>
    <w:rsid w:val="00A43285"/>
    <w:rsid w:val="00A4331C"/>
    <w:rsid w:val="00A434C7"/>
    <w:rsid w:val="00A43ABB"/>
    <w:rsid w:val="00A43B76"/>
    <w:rsid w:val="00A4558E"/>
    <w:rsid w:val="00A457AE"/>
    <w:rsid w:val="00A46345"/>
    <w:rsid w:val="00A50E18"/>
    <w:rsid w:val="00A519C9"/>
    <w:rsid w:val="00A52B75"/>
    <w:rsid w:val="00A56582"/>
    <w:rsid w:val="00A56E44"/>
    <w:rsid w:val="00A57691"/>
    <w:rsid w:val="00A62039"/>
    <w:rsid w:val="00A6240A"/>
    <w:rsid w:val="00A66904"/>
    <w:rsid w:val="00A66C00"/>
    <w:rsid w:val="00A66E1C"/>
    <w:rsid w:val="00A670F9"/>
    <w:rsid w:val="00A70672"/>
    <w:rsid w:val="00A707D6"/>
    <w:rsid w:val="00A70E4A"/>
    <w:rsid w:val="00A71A6B"/>
    <w:rsid w:val="00A738A9"/>
    <w:rsid w:val="00A77311"/>
    <w:rsid w:val="00A77D41"/>
    <w:rsid w:val="00A827E6"/>
    <w:rsid w:val="00A8774E"/>
    <w:rsid w:val="00A902F5"/>
    <w:rsid w:val="00A92D32"/>
    <w:rsid w:val="00A94DED"/>
    <w:rsid w:val="00A95329"/>
    <w:rsid w:val="00A9565C"/>
    <w:rsid w:val="00A968C7"/>
    <w:rsid w:val="00A97FA6"/>
    <w:rsid w:val="00AA2849"/>
    <w:rsid w:val="00AA4FE7"/>
    <w:rsid w:val="00AA7C0A"/>
    <w:rsid w:val="00AB12FE"/>
    <w:rsid w:val="00AB2E55"/>
    <w:rsid w:val="00AB442E"/>
    <w:rsid w:val="00AB5AEC"/>
    <w:rsid w:val="00AC190D"/>
    <w:rsid w:val="00AC4E58"/>
    <w:rsid w:val="00AC690B"/>
    <w:rsid w:val="00AD0B79"/>
    <w:rsid w:val="00AD40C3"/>
    <w:rsid w:val="00AD4695"/>
    <w:rsid w:val="00AD48C2"/>
    <w:rsid w:val="00AD4C3F"/>
    <w:rsid w:val="00AE1703"/>
    <w:rsid w:val="00AE177C"/>
    <w:rsid w:val="00AE2254"/>
    <w:rsid w:val="00AE23E2"/>
    <w:rsid w:val="00AE2B90"/>
    <w:rsid w:val="00AE37E3"/>
    <w:rsid w:val="00AE3E87"/>
    <w:rsid w:val="00AE542C"/>
    <w:rsid w:val="00AE7FDD"/>
    <w:rsid w:val="00AF016C"/>
    <w:rsid w:val="00AF0DAC"/>
    <w:rsid w:val="00AF144C"/>
    <w:rsid w:val="00AF23A1"/>
    <w:rsid w:val="00AF2BB8"/>
    <w:rsid w:val="00AF50FC"/>
    <w:rsid w:val="00AF73D1"/>
    <w:rsid w:val="00B0396A"/>
    <w:rsid w:val="00B0532A"/>
    <w:rsid w:val="00B07C12"/>
    <w:rsid w:val="00B10988"/>
    <w:rsid w:val="00B10C14"/>
    <w:rsid w:val="00B14C00"/>
    <w:rsid w:val="00B16994"/>
    <w:rsid w:val="00B216E5"/>
    <w:rsid w:val="00B263A0"/>
    <w:rsid w:val="00B3435F"/>
    <w:rsid w:val="00B353ED"/>
    <w:rsid w:val="00B367A3"/>
    <w:rsid w:val="00B367E2"/>
    <w:rsid w:val="00B37FF2"/>
    <w:rsid w:val="00B40DF1"/>
    <w:rsid w:val="00B4390F"/>
    <w:rsid w:val="00B527F5"/>
    <w:rsid w:val="00B53451"/>
    <w:rsid w:val="00B54E38"/>
    <w:rsid w:val="00B56048"/>
    <w:rsid w:val="00B618AE"/>
    <w:rsid w:val="00B62068"/>
    <w:rsid w:val="00B670F0"/>
    <w:rsid w:val="00B70A70"/>
    <w:rsid w:val="00B7555D"/>
    <w:rsid w:val="00B76F30"/>
    <w:rsid w:val="00B77C8A"/>
    <w:rsid w:val="00B80482"/>
    <w:rsid w:val="00B805A8"/>
    <w:rsid w:val="00B80DEA"/>
    <w:rsid w:val="00B86645"/>
    <w:rsid w:val="00B90317"/>
    <w:rsid w:val="00B90991"/>
    <w:rsid w:val="00B91B4E"/>
    <w:rsid w:val="00B92534"/>
    <w:rsid w:val="00B93590"/>
    <w:rsid w:val="00B93D6A"/>
    <w:rsid w:val="00B948BF"/>
    <w:rsid w:val="00B9702C"/>
    <w:rsid w:val="00B97366"/>
    <w:rsid w:val="00BA1164"/>
    <w:rsid w:val="00BA2175"/>
    <w:rsid w:val="00BA2D11"/>
    <w:rsid w:val="00BA52D5"/>
    <w:rsid w:val="00BA5CFE"/>
    <w:rsid w:val="00BB0EBC"/>
    <w:rsid w:val="00BB6625"/>
    <w:rsid w:val="00BC1B8D"/>
    <w:rsid w:val="00BC1CB7"/>
    <w:rsid w:val="00BC4C2E"/>
    <w:rsid w:val="00BC5BB6"/>
    <w:rsid w:val="00BC6655"/>
    <w:rsid w:val="00BC674C"/>
    <w:rsid w:val="00BD0222"/>
    <w:rsid w:val="00BD0CB2"/>
    <w:rsid w:val="00BD0E86"/>
    <w:rsid w:val="00BD2CA1"/>
    <w:rsid w:val="00BD31D6"/>
    <w:rsid w:val="00BD587F"/>
    <w:rsid w:val="00BD7327"/>
    <w:rsid w:val="00BE19AD"/>
    <w:rsid w:val="00BE29AB"/>
    <w:rsid w:val="00BE2FB1"/>
    <w:rsid w:val="00BE338C"/>
    <w:rsid w:val="00BE4C88"/>
    <w:rsid w:val="00BE581E"/>
    <w:rsid w:val="00BF1655"/>
    <w:rsid w:val="00BF2A66"/>
    <w:rsid w:val="00BF36CB"/>
    <w:rsid w:val="00BF4698"/>
    <w:rsid w:val="00BF5122"/>
    <w:rsid w:val="00C00E19"/>
    <w:rsid w:val="00C01BB0"/>
    <w:rsid w:val="00C03EBC"/>
    <w:rsid w:val="00C06920"/>
    <w:rsid w:val="00C103D9"/>
    <w:rsid w:val="00C2031A"/>
    <w:rsid w:val="00C22853"/>
    <w:rsid w:val="00C240D7"/>
    <w:rsid w:val="00C259B6"/>
    <w:rsid w:val="00C27156"/>
    <w:rsid w:val="00C27272"/>
    <w:rsid w:val="00C306F8"/>
    <w:rsid w:val="00C308D8"/>
    <w:rsid w:val="00C31632"/>
    <w:rsid w:val="00C32673"/>
    <w:rsid w:val="00C356DE"/>
    <w:rsid w:val="00C3580F"/>
    <w:rsid w:val="00C36E87"/>
    <w:rsid w:val="00C37E6F"/>
    <w:rsid w:val="00C46A11"/>
    <w:rsid w:val="00C47966"/>
    <w:rsid w:val="00C51810"/>
    <w:rsid w:val="00C631E4"/>
    <w:rsid w:val="00C666CA"/>
    <w:rsid w:val="00C67231"/>
    <w:rsid w:val="00C710EB"/>
    <w:rsid w:val="00C7186F"/>
    <w:rsid w:val="00C74745"/>
    <w:rsid w:val="00C75B32"/>
    <w:rsid w:val="00C767A6"/>
    <w:rsid w:val="00C8163F"/>
    <w:rsid w:val="00C81F8E"/>
    <w:rsid w:val="00C84071"/>
    <w:rsid w:val="00C85857"/>
    <w:rsid w:val="00C90642"/>
    <w:rsid w:val="00C925DA"/>
    <w:rsid w:val="00C94333"/>
    <w:rsid w:val="00C949AE"/>
    <w:rsid w:val="00C95D7C"/>
    <w:rsid w:val="00CA0D06"/>
    <w:rsid w:val="00CA15AA"/>
    <w:rsid w:val="00CA3817"/>
    <w:rsid w:val="00CA4C3F"/>
    <w:rsid w:val="00CB081C"/>
    <w:rsid w:val="00CC2185"/>
    <w:rsid w:val="00CC22A2"/>
    <w:rsid w:val="00CC65E8"/>
    <w:rsid w:val="00CC6AB5"/>
    <w:rsid w:val="00CC7241"/>
    <w:rsid w:val="00CD2260"/>
    <w:rsid w:val="00CD26B7"/>
    <w:rsid w:val="00CD29D8"/>
    <w:rsid w:val="00CD485C"/>
    <w:rsid w:val="00CE1AE6"/>
    <w:rsid w:val="00CF0149"/>
    <w:rsid w:val="00CF0940"/>
    <w:rsid w:val="00CF144B"/>
    <w:rsid w:val="00CF242C"/>
    <w:rsid w:val="00CF367E"/>
    <w:rsid w:val="00CF3833"/>
    <w:rsid w:val="00CF7747"/>
    <w:rsid w:val="00D01695"/>
    <w:rsid w:val="00D05BFB"/>
    <w:rsid w:val="00D10200"/>
    <w:rsid w:val="00D10404"/>
    <w:rsid w:val="00D21F4A"/>
    <w:rsid w:val="00D226FD"/>
    <w:rsid w:val="00D23BEB"/>
    <w:rsid w:val="00D249E7"/>
    <w:rsid w:val="00D27BD0"/>
    <w:rsid w:val="00D31CFE"/>
    <w:rsid w:val="00D322AC"/>
    <w:rsid w:val="00D35727"/>
    <w:rsid w:val="00D37494"/>
    <w:rsid w:val="00D407E4"/>
    <w:rsid w:val="00D41842"/>
    <w:rsid w:val="00D436F1"/>
    <w:rsid w:val="00D43713"/>
    <w:rsid w:val="00D440F4"/>
    <w:rsid w:val="00D45447"/>
    <w:rsid w:val="00D46A74"/>
    <w:rsid w:val="00D4795B"/>
    <w:rsid w:val="00D5012C"/>
    <w:rsid w:val="00D505DB"/>
    <w:rsid w:val="00D5487A"/>
    <w:rsid w:val="00D57A49"/>
    <w:rsid w:val="00D613B6"/>
    <w:rsid w:val="00D61EB4"/>
    <w:rsid w:val="00D64C93"/>
    <w:rsid w:val="00D64CA8"/>
    <w:rsid w:val="00D70A9C"/>
    <w:rsid w:val="00D70B93"/>
    <w:rsid w:val="00D724F0"/>
    <w:rsid w:val="00D7527E"/>
    <w:rsid w:val="00D76230"/>
    <w:rsid w:val="00D80204"/>
    <w:rsid w:val="00D80EEA"/>
    <w:rsid w:val="00D814A8"/>
    <w:rsid w:val="00D8304D"/>
    <w:rsid w:val="00D83ECE"/>
    <w:rsid w:val="00D84629"/>
    <w:rsid w:val="00D84E57"/>
    <w:rsid w:val="00D866D3"/>
    <w:rsid w:val="00D90219"/>
    <w:rsid w:val="00D90D34"/>
    <w:rsid w:val="00D95B31"/>
    <w:rsid w:val="00DA0D76"/>
    <w:rsid w:val="00DA3B9F"/>
    <w:rsid w:val="00DA5376"/>
    <w:rsid w:val="00DA65D0"/>
    <w:rsid w:val="00DA7066"/>
    <w:rsid w:val="00DB0FCA"/>
    <w:rsid w:val="00DB310E"/>
    <w:rsid w:val="00DB46E1"/>
    <w:rsid w:val="00DB5B3A"/>
    <w:rsid w:val="00DB646E"/>
    <w:rsid w:val="00DB6CD8"/>
    <w:rsid w:val="00DC1F5B"/>
    <w:rsid w:val="00DC3BA1"/>
    <w:rsid w:val="00DD2363"/>
    <w:rsid w:val="00DD2413"/>
    <w:rsid w:val="00DE15FC"/>
    <w:rsid w:val="00DE32B8"/>
    <w:rsid w:val="00DE58B9"/>
    <w:rsid w:val="00DE7C55"/>
    <w:rsid w:val="00DF089D"/>
    <w:rsid w:val="00DF0B43"/>
    <w:rsid w:val="00DF25FF"/>
    <w:rsid w:val="00DF4884"/>
    <w:rsid w:val="00DF6DA9"/>
    <w:rsid w:val="00E0507B"/>
    <w:rsid w:val="00E1058A"/>
    <w:rsid w:val="00E11DD8"/>
    <w:rsid w:val="00E16FEC"/>
    <w:rsid w:val="00E263E1"/>
    <w:rsid w:val="00E26985"/>
    <w:rsid w:val="00E27E04"/>
    <w:rsid w:val="00E27EE1"/>
    <w:rsid w:val="00E30714"/>
    <w:rsid w:val="00E30F9F"/>
    <w:rsid w:val="00E33B47"/>
    <w:rsid w:val="00E35EE8"/>
    <w:rsid w:val="00E41DE2"/>
    <w:rsid w:val="00E42DD9"/>
    <w:rsid w:val="00E447D4"/>
    <w:rsid w:val="00E45433"/>
    <w:rsid w:val="00E47DB1"/>
    <w:rsid w:val="00E53361"/>
    <w:rsid w:val="00E53EF8"/>
    <w:rsid w:val="00E56FD8"/>
    <w:rsid w:val="00E611B5"/>
    <w:rsid w:val="00E63D5C"/>
    <w:rsid w:val="00E714CB"/>
    <w:rsid w:val="00E716F8"/>
    <w:rsid w:val="00E7320B"/>
    <w:rsid w:val="00E77553"/>
    <w:rsid w:val="00E82C2D"/>
    <w:rsid w:val="00E83E3B"/>
    <w:rsid w:val="00E84445"/>
    <w:rsid w:val="00E8702D"/>
    <w:rsid w:val="00E92260"/>
    <w:rsid w:val="00E94A67"/>
    <w:rsid w:val="00E94CDE"/>
    <w:rsid w:val="00E95F8F"/>
    <w:rsid w:val="00EA0635"/>
    <w:rsid w:val="00EA1C7E"/>
    <w:rsid w:val="00EA2043"/>
    <w:rsid w:val="00EA43DB"/>
    <w:rsid w:val="00EA719A"/>
    <w:rsid w:val="00EB10DF"/>
    <w:rsid w:val="00EB6593"/>
    <w:rsid w:val="00EB67EA"/>
    <w:rsid w:val="00EC3337"/>
    <w:rsid w:val="00EC66C2"/>
    <w:rsid w:val="00EC7809"/>
    <w:rsid w:val="00EC7BAE"/>
    <w:rsid w:val="00ED000E"/>
    <w:rsid w:val="00ED790B"/>
    <w:rsid w:val="00EE04A1"/>
    <w:rsid w:val="00EE0742"/>
    <w:rsid w:val="00EE129F"/>
    <w:rsid w:val="00EE5596"/>
    <w:rsid w:val="00EF2EC4"/>
    <w:rsid w:val="00EF2F39"/>
    <w:rsid w:val="00EF3942"/>
    <w:rsid w:val="00EF53AF"/>
    <w:rsid w:val="00EF659C"/>
    <w:rsid w:val="00F013B9"/>
    <w:rsid w:val="00F0259B"/>
    <w:rsid w:val="00F025DD"/>
    <w:rsid w:val="00F04BD3"/>
    <w:rsid w:val="00F1124B"/>
    <w:rsid w:val="00F1158F"/>
    <w:rsid w:val="00F13FDF"/>
    <w:rsid w:val="00F14ABB"/>
    <w:rsid w:val="00F169FA"/>
    <w:rsid w:val="00F174BA"/>
    <w:rsid w:val="00F17DA5"/>
    <w:rsid w:val="00F20DCC"/>
    <w:rsid w:val="00F2300F"/>
    <w:rsid w:val="00F24A65"/>
    <w:rsid w:val="00F25456"/>
    <w:rsid w:val="00F26096"/>
    <w:rsid w:val="00F27B6B"/>
    <w:rsid w:val="00F30A5A"/>
    <w:rsid w:val="00F30BCC"/>
    <w:rsid w:val="00F31638"/>
    <w:rsid w:val="00F32AC5"/>
    <w:rsid w:val="00F32EA6"/>
    <w:rsid w:val="00F33ECB"/>
    <w:rsid w:val="00F33F8D"/>
    <w:rsid w:val="00F34B3C"/>
    <w:rsid w:val="00F36515"/>
    <w:rsid w:val="00F41CC6"/>
    <w:rsid w:val="00F42E37"/>
    <w:rsid w:val="00F43CAA"/>
    <w:rsid w:val="00F450F8"/>
    <w:rsid w:val="00F50369"/>
    <w:rsid w:val="00F50622"/>
    <w:rsid w:val="00F53027"/>
    <w:rsid w:val="00F64DD8"/>
    <w:rsid w:val="00F66616"/>
    <w:rsid w:val="00F6746A"/>
    <w:rsid w:val="00F74805"/>
    <w:rsid w:val="00F7499C"/>
    <w:rsid w:val="00F80316"/>
    <w:rsid w:val="00F803E8"/>
    <w:rsid w:val="00F80EB2"/>
    <w:rsid w:val="00F817E8"/>
    <w:rsid w:val="00F83D82"/>
    <w:rsid w:val="00F85791"/>
    <w:rsid w:val="00F90053"/>
    <w:rsid w:val="00F907F6"/>
    <w:rsid w:val="00F947CE"/>
    <w:rsid w:val="00F94DAD"/>
    <w:rsid w:val="00FA0790"/>
    <w:rsid w:val="00FA1C20"/>
    <w:rsid w:val="00FA40AB"/>
    <w:rsid w:val="00FA4A47"/>
    <w:rsid w:val="00FA6107"/>
    <w:rsid w:val="00FA7A86"/>
    <w:rsid w:val="00FB031C"/>
    <w:rsid w:val="00FB04CC"/>
    <w:rsid w:val="00FB05CA"/>
    <w:rsid w:val="00FB0BA9"/>
    <w:rsid w:val="00FB0E85"/>
    <w:rsid w:val="00FB0EB3"/>
    <w:rsid w:val="00FB15FA"/>
    <w:rsid w:val="00FB258E"/>
    <w:rsid w:val="00FB2DA7"/>
    <w:rsid w:val="00FB32EB"/>
    <w:rsid w:val="00FB48A9"/>
    <w:rsid w:val="00FB546A"/>
    <w:rsid w:val="00FB719E"/>
    <w:rsid w:val="00FB726E"/>
    <w:rsid w:val="00FC0261"/>
    <w:rsid w:val="00FC24BE"/>
    <w:rsid w:val="00FC7FE5"/>
    <w:rsid w:val="00FD133A"/>
    <w:rsid w:val="00FD1F3B"/>
    <w:rsid w:val="00FD3236"/>
    <w:rsid w:val="00FD6163"/>
    <w:rsid w:val="00FD7DCF"/>
    <w:rsid w:val="00FE0456"/>
    <w:rsid w:val="00FE204A"/>
    <w:rsid w:val="00FE32A3"/>
    <w:rsid w:val="00FE54B1"/>
    <w:rsid w:val="00FE5653"/>
    <w:rsid w:val="00FE7CB9"/>
    <w:rsid w:val="00FF0EF9"/>
    <w:rsid w:val="00FF11EB"/>
    <w:rsid w:val="00FF25CB"/>
    <w:rsid w:val="00FF453E"/>
    <w:rsid w:val="00FF7B6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1A980"/>
  <w15:docId w15:val="{D855691C-CD68-4D30-9384-EB17A609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00"/>
    <w:pPr>
      <w:ind w:left="720"/>
      <w:contextualSpacing/>
    </w:pPr>
  </w:style>
  <w:style w:type="paragraph" w:styleId="BalloonText">
    <w:name w:val="Balloon Text"/>
    <w:basedOn w:val="Normal"/>
    <w:link w:val="BalloonTextChar"/>
    <w:uiPriority w:val="99"/>
    <w:semiHidden/>
    <w:unhideWhenUsed/>
    <w:rsid w:val="00286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5D"/>
    <w:rPr>
      <w:rFonts w:ascii="Segoe UI" w:hAnsi="Segoe UI" w:cs="Segoe UI"/>
      <w:sz w:val="18"/>
      <w:szCs w:val="18"/>
    </w:rPr>
  </w:style>
  <w:style w:type="paragraph" w:styleId="Revision">
    <w:name w:val="Revision"/>
    <w:hidden/>
    <w:uiPriority w:val="99"/>
    <w:semiHidden/>
    <w:rsid w:val="008F50F6"/>
    <w:pPr>
      <w:spacing w:after="0" w:line="240" w:lineRule="auto"/>
    </w:pPr>
  </w:style>
  <w:style w:type="character" w:styleId="CommentReference">
    <w:name w:val="annotation reference"/>
    <w:basedOn w:val="DefaultParagraphFont"/>
    <w:uiPriority w:val="99"/>
    <w:semiHidden/>
    <w:unhideWhenUsed/>
    <w:rsid w:val="008F50F6"/>
    <w:rPr>
      <w:sz w:val="16"/>
      <w:szCs w:val="16"/>
    </w:rPr>
  </w:style>
  <w:style w:type="paragraph" w:styleId="CommentText">
    <w:name w:val="annotation text"/>
    <w:basedOn w:val="Normal"/>
    <w:link w:val="CommentTextChar"/>
    <w:uiPriority w:val="99"/>
    <w:semiHidden/>
    <w:unhideWhenUsed/>
    <w:rsid w:val="008F50F6"/>
    <w:pPr>
      <w:spacing w:line="240" w:lineRule="auto"/>
    </w:pPr>
    <w:rPr>
      <w:sz w:val="20"/>
      <w:szCs w:val="20"/>
    </w:rPr>
  </w:style>
  <w:style w:type="character" w:customStyle="1" w:styleId="CommentTextChar">
    <w:name w:val="Comment Text Char"/>
    <w:basedOn w:val="DefaultParagraphFont"/>
    <w:link w:val="CommentText"/>
    <w:uiPriority w:val="99"/>
    <w:semiHidden/>
    <w:rsid w:val="008F50F6"/>
    <w:rPr>
      <w:sz w:val="20"/>
      <w:szCs w:val="20"/>
    </w:rPr>
  </w:style>
  <w:style w:type="paragraph" w:styleId="CommentSubject">
    <w:name w:val="annotation subject"/>
    <w:basedOn w:val="CommentText"/>
    <w:next w:val="CommentText"/>
    <w:link w:val="CommentSubjectChar"/>
    <w:uiPriority w:val="99"/>
    <w:semiHidden/>
    <w:unhideWhenUsed/>
    <w:rsid w:val="008F50F6"/>
    <w:rPr>
      <w:b/>
      <w:bCs/>
    </w:rPr>
  </w:style>
  <w:style w:type="character" w:customStyle="1" w:styleId="CommentSubjectChar">
    <w:name w:val="Comment Subject Char"/>
    <w:basedOn w:val="CommentTextChar"/>
    <w:link w:val="CommentSubject"/>
    <w:uiPriority w:val="99"/>
    <w:semiHidden/>
    <w:rsid w:val="008F50F6"/>
    <w:rPr>
      <w:b/>
      <w:bCs/>
      <w:sz w:val="20"/>
      <w:szCs w:val="20"/>
    </w:rPr>
  </w:style>
  <w:style w:type="paragraph" w:styleId="Header">
    <w:name w:val="header"/>
    <w:basedOn w:val="Normal"/>
    <w:link w:val="HeaderChar"/>
    <w:uiPriority w:val="99"/>
    <w:unhideWhenUsed/>
    <w:rsid w:val="00B03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96A"/>
  </w:style>
  <w:style w:type="paragraph" w:styleId="Footer">
    <w:name w:val="footer"/>
    <w:basedOn w:val="Normal"/>
    <w:link w:val="FooterChar"/>
    <w:uiPriority w:val="99"/>
    <w:unhideWhenUsed/>
    <w:rsid w:val="00B03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96A"/>
  </w:style>
  <w:style w:type="character" w:styleId="Hyperlink">
    <w:name w:val="Hyperlink"/>
    <w:basedOn w:val="DefaultParagraphFont"/>
    <w:uiPriority w:val="99"/>
    <w:unhideWhenUsed/>
    <w:rsid w:val="008A0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imajola@npa.gov.za" TargetMode="External"/><Relationship Id="rId4" Type="http://schemas.openxmlformats.org/officeDocument/2006/relationships/settings" Target="settings.xml"/><Relationship Id="rId9" Type="http://schemas.openxmlformats.org/officeDocument/2006/relationships/hyperlink" Target="mailto:ThiagrajP@legal-aid.co.za"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C5251-703B-41D2-8116-FC0BB62B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14</Pages>
  <Words>4330</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dumisabonke@outlook.com</dc:creator>
  <cp:keywords/>
  <dc:description/>
  <cp:lastModifiedBy>Devika Morar</cp:lastModifiedBy>
  <cp:revision>40</cp:revision>
  <cp:lastPrinted>2022-07-26T07:16:00Z</cp:lastPrinted>
  <dcterms:created xsi:type="dcterms:W3CDTF">2022-07-20T13:03:00Z</dcterms:created>
  <dcterms:modified xsi:type="dcterms:W3CDTF">2022-07-26T07:18:00Z</dcterms:modified>
</cp:coreProperties>
</file>