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9B44" w14:textId="0F925682" w:rsidR="00093030" w:rsidRPr="00F20A85" w:rsidRDefault="00182054" w:rsidP="00F20A85">
      <w:pPr>
        <w:spacing w:line="360" w:lineRule="auto"/>
        <w:jc w:val="center"/>
      </w:pPr>
      <w:r w:rsidRPr="00C70C28">
        <w:rPr>
          <w:noProof/>
          <w:lang w:val="en-GB" w:eastAsia="en-GB"/>
        </w:rPr>
        <w:drawing>
          <wp:inline distT="0" distB="0" distL="0" distR="0" wp14:anchorId="74FB4005" wp14:editId="65D3EF02">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08CA4D55" w14:textId="632BE1FD" w:rsidR="00093030" w:rsidRPr="00C70C28" w:rsidRDefault="0091589E" w:rsidP="00BA4420">
      <w:pPr>
        <w:spacing w:line="360" w:lineRule="auto"/>
        <w:jc w:val="center"/>
        <w:rPr>
          <w:b/>
          <w:bCs/>
        </w:rPr>
      </w:pPr>
      <w:r w:rsidRPr="00C70C28">
        <w:rPr>
          <w:b/>
          <w:bCs/>
        </w:rPr>
        <w:t xml:space="preserve">IN THE HIGH COURT </w:t>
      </w:r>
      <w:r w:rsidR="00093030" w:rsidRPr="00C70C28">
        <w:rPr>
          <w:b/>
          <w:bCs/>
        </w:rPr>
        <w:t>OF SOUTH AFRICA</w:t>
      </w:r>
    </w:p>
    <w:p w14:paraId="5405703F" w14:textId="554C651E" w:rsidR="00093030" w:rsidRDefault="0091589E" w:rsidP="00BA4420">
      <w:pPr>
        <w:spacing w:line="360" w:lineRule="auto"/>
        <w:jc w:val="center"/>
        <w:rPr>
          <w:b/>
          <w:bCs/>
        </w:rPr>
      </w:pPr>
      <w:r w:rsidRPr="00C70C28">
        <w:rPr>
          <w:b/>
          <w:bCs/>
        </w:rPr>
        <w:t>KWAZULU-NATAL DIVISION, PIETERMARITZBURG</w:t>
      </w:r>
    </w:p>
    <w:p w14:paraId="4E50FCC0" w14:textId="77777777" w:rsidR="001C260A" w:rsidRDefault="001C260A" w:rsidP="00BA4420">
      <w:pPr>
        <w:spacing w:line="360" w:lineRule="auto"/>
        <w:rPr>
          <w:b/>
          <w:bCs/>
        </w:rPr>
      </w:pPr>
    </w:p>
    <w:p w14:paraId="447D0058" w14:textId="0C1CF50D" w:rsidR="001C260A" w:rsidRPr="00C70C28" w:rsidRDefault="001C260A" w:rsidP="00BA4420">
      <w:pPr>
        <w:spacing w:line="360" w:lineRule="auto"/>
        <w:jc w:val="right"/>
      </w:pPr>
      <w:r w:rsidRPr="00C70C28">
        <w:t xml:space="preserve">Case no: </w:t>
      </w:r>
      <w:r w:rsidR="00675DC9">
        <w:t>7535/19P</w:t>
      </w:r>
    </w:p>
    <w:p w14:paraId="5F0DE807" w14:textId="4E9426FA" w:rsidR="001C260A" w:rsidRPr="00C70C28" w:rsidRDefault="001C260A" w:rsidP="00A647BF">
      <w:pPr>
        <w:tabs>
          <w:tab w:val="right" w:pos="8789"/>
        </w:tabs>
        <w:spacing w:line="360" w:lineRule="auto"/>
      </w:pPr>
      <w:r w:rsidRPr="00C70C28">
        <w:t>In the matter between:</w:t>
      </w:r>
    </w:p>
    <w:p w14:paraId="77DA6F85" w14:textId="77777777" w:rsidR="003F5CF5" w:rsidRDefault="001C260A" w:rsidP="00A647BF">
      <w:pPr>
        <w:tabs>
          <w:tab w:val="right" w:pos="8789"/>
        </w:tabs>
        <w:spacing w:line="360" w:lineRule="auto"/>
        <w:rPr>
          <w:b/>
          <w:bCs/>
        </w:rPr>
      </w:pPr>
      <w:r>
        <w:rPr>
          <w:b/>
          <w:bCs/>
        </w:rPr>
        <w:t xml:space="preserve">THE </w:t>
      </w:r>
      <w:r w:rsidR="003F5CF5">
        <w:rPr>
          <w:b/>
          <w:bCs/>
        </w:rPr>
        <w:t xml:space="preserve">MEC FOR HEALTH, FOR THE </w:t>
      </w:r>
    </w:p>
    <w:p w14:paraId="338B31AE" w14:textId="25710C5F" w:rsidR="001C260A" w:rsidRPr="003F5CF5" w:rsidRDefault="000144AA" w:rsidP="001779FD">
      <w:pPr>
        <w:tabs>
          <w:tab w:val="right" w:pos="9360"/>
        </w:tabs>
        <w:spacing w:line="360" w:lineRule="auto"/>
        <w:rPr>
          <w:b/>
          <w:bCs/>
        </w:rPr>
      </w:pPr>
      <w:r>
        <w:rPr>
          <w:b/>
          <w:bCs/>
        </w:rPr>
        <w:t xml:space="preserve">KWAZULU-NATAL PROVINCE </w:t>
      </w:r>
      <w:r w:rsidR="00A647BF">
        <w:rPr>
          <w:b/>
          <w:bCs/>
        </w:rPr>
        <w:tab/>
      </w:r>
      <w:r w:rsidR="001779FD">
        <w:rPr>
          <w:b/>
          <w:bCs/>
        </w:rPr>
        <w:t xml:space="preserve">        </w:t>
      </w:r>
      <w:r w:rsidR="00B4537E">
        <w:rPr>
          <w:b/>
          <w:bCs/>
        </w:rPr>
        <w:t xml:space="preserve">FIRST </w:t>
      </w:r>
      <w:r w:rsidR="003F5CF5">
        <w:rPr>
          <w:b/>
          <w:bCs/>
        </w:rPr>
        <w:t>APPLICANT/DEFENDANT</w:t>
      </w:r>
    </w:p>
    <w:p w14:paraId="2157760C" w14:textId="77777777" w:rsidR="003F5CF5" w:rsidRDefault="003F5CF5" w:rsidP="00A647BF">
      <w:pPr>
        <w:tabs>
          <w:tab w:val="right" w:pos="8789"/>
        </w:tabs>
        <w:spacing w:line="360" w:lineRule="auto"/>
        <w:rPr>
          <w:b/>
          <w:bCs/>
        </w:rPr>
      </w:pPr>
      <w:r>
        <w:rPr>
          <w:b/>
          <w:bCs/>
        </w:rPr>
        <w:t xml:space="preserve">HEAD OF DEPARTMENT, DEPARTMENT OF </w:t>
      </w:r>
    </w:p>
    <w:p w14:paraId="49FD0BF9" w14:textId="1F3E52DF" w:rsidR="003F5CF5" w:rsidRDefault="00C16FAF" w:rsidP="001779FD">
      <w:pPr>
        <w:tabs>
          <w:tab w:val="right" w:pos="9360"/>
        </w:tabs>
        <w:spacing w:line="360" w:lineRule="auto"/>
        <w:rPr>
          <w:b/>
          <w:bCs/>
        </w:rPr>
      </w:pPr>
      <w:r>
        <w:rPr>
          <w:b/>
          <w:bCs/>
        </w:rPr>
        <w:t>HEALTH, KWAZULU-NATAL</w:t>
      </w:r>
      <w:r w:rsidR="000144AA">
        <w:rPr>
          <w:b/>
          <w:bCs/>
        </w:rPr>
        <w:t xml:space="preserve"> </w:t>
      </w:r>
      <w:r w:rsidR="00A647BF">
        <w:rPr>
          <w:b/>
          <w:bCs/>
        </w:rPr>
        <w:tab/>
      </w:r>
      <w:r w:rsidR="003F5CF5">
        <w:rPr>
          <w:b/>
          <w:bCs/>
        </w:rPr>
        <w:t xml:space="preserve">SECOND APPLICANT/DEFENDANT          </w:t>
      </w:r>
    </w:p>
    <w:p w14:paraId="12EB95E7" w14:textId="77777777" w:rsidR="003F5CF5" w:rsidRDefault="003F5CF5" w:rsidP="001779FD">
      <w:pPr>
        <w:tabs>
          <w:tab w:val="right" w:pos="9360"/>
        </w:tabs>
        <w:spacing w:line="360" w:lineRule="auto"/>
        <w:rPr>
          <w:b/>
          <w:bCs/>
        </w:rPr>
      </w:pPr>
      <w:r>
        <w:rPr>
          <w:b/>
          <w:bCs/>
        </w:rPr>
        <w:t xml:space="preserve">KWAZULU-NATAL DEPARTMENT OF </w:t>
      </w:r>
    </w:p>
    <w:p w14:paraId="4CD1843E" w14:textId="4BAD1EC4" w:rsidR="00B4537E" w:rsidRDefault="003F5CF5" w:rsidP="001779FD">
      <w:pPr>
        <w:tabs>
          <w:tab w:val="right" w:pos="9360"/>
        </w:tabs>
        <w:spacing w:line="360" w:lineRule="auto"/>
        <w:rPr>
          <w:b/>
          <w:bCs/>
        </w:rPr>
      </w:pPr>
      <w:r>
        <w:rPr>
          <w:b/>
          <w:bCs/>
        </w:rPr>
        <w:t>HE</w:t>
      </w:r>
      <w:r w:rsidR="000144AA">
        <w:rPr>
          <w:b/>
          <w:bCs/>
        </w:rPr>
        <w:t>ALT</w:t>
      </w:r>
      <w:bookmarkStart w:id="0" w:name="_GoBack"/>
      <w:bookmarkEnd w:id="0"/>
      <w:r w:rsidR="000144AA">
        <w:rPr>
          <w:b/>
          <w:bCs/>
        </w:rPr>
        <w:t xml:space="preserve">H </w:t>
      </w:r>
      <w:r w:rsidR="00A647BF">
        <w:rPr>
          <w:b/>
          <w:bCs/>
        </w:rPr>
        <w:tab/>
      </w:r>
      <w:r w:rsidR="00B4537E">
        <w:rPr>
          <w:b/>
          <w:bCs/>
        </w:rPr>
        <w:t>THIRD APPLICANT</w:t>
      </w:r>
      <w:r>
        <w:rPr>
          <w:b/>
          <w:bCs/>
        </w:rPr>
        <w:t>/DEFENDANT</w:t>
      </w:r>
    </w:p>
    <w:p w14:paraId="6C718561" w14:textId="77777777" w:rsidR="00B4537E" w:rsidRDefault="00B4537E" w:rsidP="00A647BF">
      <w:pPr>
        <w:tabs>
          <w:tab w:val="right" w:pos="8789"/>
        </w:tabs>
        <w:spacing w:line="360" w:lineRule="auto"/>
      </w:pPr>
    </w:p>
    <w:p w14:paraId="3E256212" w14:textId="77777777" w:rsidR="001C260A" w:rsidRPr="00C70C28" w:rsidRDefault="001C260A" w:rsidP="00A647BF">
      <w:pPr>
        <w:tabs>
          <w:tab w:val="right" w:pos="8789"/>
        </w:tabs>
        <w:spacing w:line="360" w:lineRule="auto"/>
      </w:pPr>
      <w:proofErr w:type="gramStart"/>
      <w:r w:rsidRPr="00C70C28">
        <w:t>and</w:t>
      </w:r>
      <w:proofErr w:type="gramEnd"/>
    </w:p>
    <w:p w14:paraId="3B300F9A" w14:textId="77777777" w:rsidR="001C260A" w:rsidRPr="00C70C28" w:rsidRDefault="001C260A" w:rsidP="00A647BF">
      <w:pPr>
        <w:tabs>
          <w:tab w:val="right" w:pos="8789"/>
        </w:tabs>
        <w:spacing w:line="360" w:lineRule="auto"/>
        <w:rPr>
          <w:b/>
          <w:bCs/>
        </w:rPr>
      </w:pPr>
    </w:p>
    <w:p w14:paraId="45888D4E" w14:textId="59427633" w:rsidR="00BA4420" w:rsidRDefault="003F5CF5" w:rsidP="001779FD">
      <w:pPr>
        <w:spacing w:line="360" w:lineRule="auto"/>
        <w:rPr>
          <w:b/>
          <w:bCs/>
        </w:rPr>
      </w:pPr>
      <w:r>
        <w:rPr>
          <w:b/>
          <w:bCs/>
        </w:rPr>
        <w:t>MEDICAL INFORMATION TECHNOLOGY</w:t>
      </w:r>
      <w:r w:rsidR="001779FD">
        <w:rPr>
          <w:b/>
          <w:bCs/>
        </w:rPr>
        <w:t xml:space="preserve"> SA (PTY) </w:t>
      </w:r>
      <w:proofErr w:type="gramStart"/>
      <w:r w:rsidR="001779FD">
        <w:rPr>
          <w:b/>
          <w:bCs/>
        </w:rPr>
        <w:t>LTD</w:t>
      </w:r>
      <w:r w:rsidR="000144AA">
        <w:rPr>
          <w:b/>
          <w:bCs/>
        </w:rPr>
        <w:t xml:space="preserve"> </w:t>
      </w:r>
      <w:r w:rsidR="001779FD">
        <w:rPr>
          <w:b/>
          <w:bCs/>
        </w:rPr>
        <w:t xml:space="preserve"> </w:t>
      </w:r>
      <w:r w:rsidR="001C260A">
        <w:rPr>
          <w:b/>
          <w:bCs/>
        </w:rPr>
        <w:t>RESPONDENT</w:t>
      </w:r>
      <w:proofErr w:type="gramEnd"/>
      <w:r w:rsidR="00B4537E">
        <w:rPr>
          <w:b/>
          <w:bCs/>
        </w:rPr>
        <w:t>/PLAINTIFF</w:t>
      </w:r>
      <w:r w:rsidR="001C260A">
        <w:rPr>
          <w:b/>
          <w:bCs/>
        </w:rPr>
        <w:tab/>
      </w:r>
    </w:p>
    <w:p w14:paraId="5F6D85DA" w14:textId="2A279645" w:rsidR="001C260A" w:rsidRPr="00C70C28" w:rsidRDefault="001C260A" w:rsidP="00BA4420">
      <w:pPr>
        <w:spacing w:line="360" w:lineRule="auto"/>
        <w:rPr>
          <w:b/>
          <w:bCs/>
        </w:rPr>
      </w:pPr>
    </w:p>
    <w:p w14:paraId="6D52BE9F" w14:textId="77777777" w:rsidR="00BA4420" w:rsidRPr="00C70C28" w:rsidRDefault="00BA4420" w:rsidP="00BA4420">
      <w:pPr>
        <w:spacing w:line="360" w:lineRule="auto"/>
        <w:rPr>
          <w:b/>
          <w:sz w:val="22"/>
        </w:rPr>
      </w:pPr>
      <w:r w:rsidRPr="00C70C28">
        <w:rPr>
          <w:b/>
          <w:noProof/>
          <w:sz w:val="20"/>
          <w:lang w:val="en-GB" w:eastAsia="en-GB"/>
        </w:rPr>
        <mc:AlternateContent>
          <mc:Choice Requires="wps">
            <w:drawing>
              <wp:anchor distT="0" distB="0" distL="114300" distR="114300" simplePos="0" relativeHeight="251669504" behindDoc="0" locked="0" layoutInCell="1" allowOverlap="1" wp14:anchorId="1A67DD90" wp14:editId="1DABA446">
                <wp:simplePos x="0" y="0"/>
                <wp:positionH relativeFrom="margin">
                  <wp:align>right</wp:align>
                </wp:positionH>
                <wp:positionV relativeFrom="paragraph">
                  <wp:posOffset>13336</wp:posOffset>
                </wp:positionV>
                <wp:extent cx="5915025" cy="0"/>
                <wp:effectExtent l="0" t="0" r="2857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A9EC" id="Line 5"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JkBQIAABIEAAAOAAAAZHJzL2Uyb0RvYy54bWysU8GO2jAQvVfqP1i+QxI2oR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J3Rf1U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s8YmQ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68480" behindDoc="0" locked="0" layoutInCell="1" allowOverlap="1" wp14:anchorId="5CC9C56E" wp14:editId="43A7E90C">
                <wp:simplePos x="0" y="0"/>
                <wp:positionH relativeFrom="column">
                  <wp:posOffset>0</wp:posOffset>
                </wp:positionH>
                <wp:positionV relativeFrom="paragraph">
                  <wp:posOffset>114300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8851"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5P/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okE5P/wEAAAwEAAAOAAAAAAAAAAAAAAAAAC4C&#10;AABkcnMvZTJvRG9jLnhtbFBLAQItABQABgAIAAAAIQBUInSH1wAAAAMBAAAPAAAAAAAAAAAAAAAA&#10;AFkEAABkcnMvZG93bnJldi54bWxQSwUGAAAAAAQABADzAAAAXQUAAAAA&#10;">
                <o:lock v:ext="edit" shapetype="f"/>
              </v:line>
            </w:pict>
          </mc:Fallback>
        </mc:AlternateContent>
      </w:r>
    </w:p>
    <w:p w14:paraId="21DBB94D" w14:textId="65802116" w:rsidR="003E7496" w:rsidRPr="00510A3B" w:rsidRDefault="003E7496" w:rsidP="00BA4420">
      <w:pPr>
        <w:spacing w:line="360" w:lineRule="auto"/>
        <w:ind w:left="1418" w:hanging="1418"/>
        <w:rPr>
          <w:b/>
          <w:bCs/>
        </w:rPr>
      </w:pPr>
      <w:r w:rsidRPr="00510A3B">
        <w:rPr>
          <w:b/>
          <w:bCs/>
        </w:rPr>
        <w:t>Coram:</w:t>
      </w:r>
      <w:r w:rsidRPr="00510A3B">
        <w:rPr>
          <w:b/>
          <w:bCs/>
        </w:rPr>
        <w:tab/>
      </w:r>
      <w:r w:rsidR="0091589E" w:rsidRPr="00510A3B">
        <w:rPr>
          <w:b/>
          <w:bCs/>
        </w:rPr>
        <w:t>K</w:t>
      </w:r>
      <w:r w:rsidR="009C1F79" w:rsidRPr="00510A3B">
        <w:rPr>
          <w:b/>
          <w:bCs/>
        </w:rPr>
        <w:t>oen</w:t>
      </w:r>
      <w:r w:rsidR="0091589E" w:rsidRPr="00510A3B">
        <w:rPr>
          <w:b/>
          <w:bCs/>
        </w:rPr>
        <w:t xml:space="preserve"> J</w:t>
      </w:r>
    </w:p>
    <w:p w14:paraId="11407E29" w14:textId="53A52521" w:rsidR="002363F2" w:rsidRPr="00510A3B" w:rsidRDefault="00510A3B" w:rsidP="00BA4420">
      <w:pPr>
        <w:spacing w:line="360" w:lineRule="auto"/>
        <w:rPr>
          <w:b/>
        </w:rPr>
      </w:pPr>
      <w:r w:rsidRPr="00510A3B">
        <w:rPr>
          <w:b/>
        </w:rPr>
        <w:t>Heard:</w:t>
      </w:r>
      <w:r w:rsidR="00B4537E">
        <w:rPr>
          <w:b/>
        </w:rPr>
        <w:tab/>
        <w:t>27 May 2022</w:t>
      </w:r>
    </w:p>
    <w:p w14:paraId="7366D95D" w14:textId="7553386E" w:rsidR="002363F2" w:rsidRPr="00510A3B" w:rsidRDefault="002363F2" w:rsidP="00BA4420">
      <w:pPr>
        <w:spacing w:line="360" w:lineRule="auto"/>
        <w:rPr>
          <w:b/>
          <w:bCs/>
        </w:rPr>
      </w:pPr>
      <w:r w:rsidRPr="00510A3B">
        <w:rPr>
          <w:b/>
          <w:bCs/>
        </w:rPr>
        <w:t>Delivered</w:t>
      </w:r>
      <w:r w:rsidRPr="00510A3B">
        <w:rPr>
          <w:b/>
        </w:rPr>
        <w:t>:</w:t>
      </w:r>
      <w:r w:rsidR="004E7DEF">
        <w:rPr>
          <w:b/>
        </w:rPr>
        <w:tab/>
        <w:t>8 June 2022</w:t>
      </w:r>
    </w:p>
    <w:p w14:paraId="29234C7F" w14:textId="77777777" w:rsidR="001D6016" w:rsidRPr="00C70C28" w:rsidRDefault="001D6016" w:rsidP="00BA4420">
      <w:pPr>
        <w:spacing w:line="360" w:lineRule="auto"/>
        <w:rPr>
          <w:b/>
          <w:bCs/>
          <w:sz w:val="22"/>
        </w:rPr>
      </w:pPr>
    </w:p>
    <w:p w14:paraId="4A3A700A" w14:textId="77777777" w:rsidR="001D6016" w:rsidRPr="00C70C28" w:rsidRDefault="001D6016" w:rsidP="00BA4420">
      <w:pPr>
        <w:spacing w:line="360" w:lineRule="auto"/>
        <w:rPr>
          <w:b/>
          <w:sz w:val="22"/>
        </w:rPr>
      </w:pPr>
      <w:r w:rsidRPr="00C70C28">
        <w:rPr>
          <w:b/>
          <w:noProof/>
          <w:sz w:val="20"/>
          <w:lang w:val="en-GB" w:eastAsia="en-GB"/>
        </w:rPr>
        <mc:AlternateContent>
          <mc:Choice Requires="wps">
            <w:drawing>
              <wp:anchor distT="0" distB="0" distL="114300" distR="114300" simplePos="0" relativeHeight="251664384" behindDoc="0" locked="0" layoutInCell="1" allowOverlap="1" wp14:anchorId="1287CB5E" wp14:editId="7E917E5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DEFAF"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63360" behindDoc="0" locked="0" layoutInCell="1" allowOverlap="1" wp14:anchorId="2EA96584" wp14:editId="33A8478E">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61890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3EE9098C" w14:textId="6ED73CB6" w:rsidR="001D6016" w:rsidRPr="00C70C28" w:rsidRDefault="001D6016" w:rsidP="00BA4420">
      <w:pPr>
        <w:pStyle w:val="Heading3"/>
        <w:jc w:val="center"/>
        <w:rPr>
          <w:b/>
          <w:i w:val="0"/>
          <w:sz w:val="24"/>
        </w:rPr>
      </w:pPr>
      <w:r w:rsidRPr="00C70C28">
        <w:rPr>
          <w:b/>
          <w:i w:val="0"/>
          <w:sz w:val="24"/>
        </w:rPr>
        <w:t>ORDER</w:t>
      </w:r>
    </w:p>
    <w:p w14:paraId="0D201881" w14:textId="77777777" w:rsidR="001D6016" w:rsidRPr="00C70C28" w:rsidRDefault="001D6016" w:rsidP="00BA4420">
      <w:pPr>
        <w:spacing w:line="360" w:lineRule="auto"/>
        <w:rPr>
          <w:b/>
          <w:bCs/>
          <w:sz w:val="22"/>
        </w:rPr>
      </w:pPr>
    </w:p>
    <w:p w14:paraId="2358BBC5" w14:textId="77777777" w:rsidR="001D6016" w:rsidRPr="00C70C28" w:rsidRDefault="001D6016" w:rsidP="00BA4420">
      <w:pPr>
        <w:spacing w:line="360" w:lineRule="auto"/>
        <w:rPr>
          <w:b/>
          <w:sz w:val="22"/>
        </w:rPr>
      </w:pPr>
      <w:r w:rsidRPr="00C70C28">
        <w:rPr>
          <w:b/>
          <w:noProof/>
          <w:sz w:val="20"/>
          <w:lang w:val="en-GB" w:eastAsia="en-GB"/>
        </w:rPr>
        <mc:AlternateContent>
          <mc:Choice Requires="wps">
            <w:drawing>
              <wp:anchor distT="0" distB="0" distL="114300" distR="114300" simplePos="0" relativeHeight="251666432" behindDoc="0" locked="0" layoutInCell="1" allowOverlap="1" wp14:anchorId="59CDDAD1" wp14:editId="495061A9">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45F784"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65408" behindDoc="0" locked="0" layoutInCell="1" allowOverlap="1" wp14:anchorId="2BBF7327" wp14:editId="6AB16214">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5AB8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09A590DB" w14:textId="3549E89D" w:rsidR="001D6016" w:rsidRPr="00477829" w:rsidRDefault="00675DC9" w:rsidP="00477829">
      <w:pPr>
        <w:spacing w:line="360" w:lineRule="auto"/>
        <w:jc w:val="both"/>
      </w:pPr>
      <w:r>
        <w:t>The application is dismissed and the defendants jointly and severally are directed to pay the plaintiff</w:t>
      </w:r>
      <w:r w:rsidR="00C16FAF">
        <w:t>’</w:t>
      </w:r>
      <w:r>
        <w:t>s costs of the application, such costs to include the costs of senior counsel</w:t>
      </w:r>
      <w:r w:rsidR="00C16FAF">
        <w:t xml:space="preserve"> where employed</w:t>
      </w:r>
      <w:r>
        <w:t>.</w:t>
      </w:r>
      <w:r w:rsidRPr="003A3CED">
        <w:t xml:space="preserve"> </w:t>
      </w:r>
    </w:p>
    <w:p w14:paraId="2FB2D8EF" w14:textId="77777777" w:rsidR="001D6016" w:rsidRPr="00C70C28" w:rsidRDefault="001D6016" w:rsidP="00BA4420">
      <w:pPr>
        <w:spacing w:line="360" w:lineRule="auto"/>
        <w:rPr>
          <w:b/>
          <w:sz w:val="22"/>
        </w:rPr>
      </w:pPr>
      <w:r w:rsidRPr="00C70C28">
        <w:rPr>
          <w:b/>
          <w:noProof/>
          <w:sz w:val="20"/>
          <w:lang w:val="en-GB" w:eastAsia="en-GB"/>
        </w:rPr>
        <w:lastRenderedPageBreak/>
        <mc:AlternateContent>
          <mc:Choice Requires="wps">
            <w:drawing>
              <wp:anchor distT="0" distB="0" distL="114300" distR="114300" simplePos="0" relativeHeight="251660288" behindDoc="0" locked="0" layoutInCell="1" allowOverlap="1" wp14:anchorId="320C7AF9" wp14:editId="23D676E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C3CD3"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59264" behindDoc="0" locked="0" layoutInCell="1" allowOverlap="1" wp14:anchorId="759C4A97" wp14:editId="07E6786C">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BFD0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7B390537" w14:textId="77777777" w:rsidR="001D6016" w:rsidRPr="00C70C28" w:rsidRDefault="001D6016" w:rsidP="00BA4420">
      <w:pPr>
        <w:pStyle w:val="Heading1"/>
        <w:jc w:val="center"/>
        <w:rPr>
          <w:sz w:val="24"/>
        </w:rPr>
      </w:pPr>
      <w:r w:rsidRPr="00C70C28">
        <w:rPr>
          <w:sz w:val="24"/>
        </w:rPr>
        <w:t>JUDGMENT</w:t>
      </w:r>
    </w:p>
    <w:p w14:paraId="5589F841" w14:textId="77777777" w:rsidR="001D6016" w:rsidRPr="00C70C28" w:rsidRDefault="001D6016" w:rsidP="00BA4420">
      <w:pPr>
        <w:spacing w:line="360" w:lineRule="auto"/>
        <w:rPr>
          <w:b/>
          <w:bCs/>
          <w:sz w:val="22"/>
        </w:rPr>
      </w:pPr>
    </w:p>
    <w:p w14:paraId="2905B765" w14:textId="77777777" w:rsidR="001D6016" w:rsidRPr="003A3CED" w:rsidRDefault="001D6016" w:rsidP="00BA4420">
      <w:pPr>
        <w:spacing w:line="360" w:lineRule="auto"/>
        <w:rPr>
          <w:b/>
          <w:sz w:val="22"/>
        </w:rPr>
      </w:pPr>
      <w:r w:rsidRPr="00C70C28">
        <w:rPr>
          <w:b/>
          <w:noProof/>
          <w:sz w:val="20"/>
          <w:lang w:val="en-GB" w:eastAsia="en-GB"/>
        </w:rPr>
        <mc:AlternateContent>
          <mc:Choice Requires="wps">
            <w:drawing>
              <wp:anchor distT="0" distB="0" distL="114300" distR="114300" simplePos="0" relativeHeight="251662336" behindDoc="0" locked="0" layoutInCell="1" allowOverlap="1" wp14:anchorId="2FA67A90" wp14:editId="20B8AA0D">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BCD70"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61312" behindDoc="0" locked="0" layoutInCell="1" allowOverlap="1" wp14:anchorId="67606FFD" wp14:editId="79B530BF">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C230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V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U+txPwACAAANBAAADgAAAAAAAAAAAAAAAAAu&#10;AgAAZHJzL2Uyb0RvYy54bWxQSwECLQAUAAYACAAAACEAVCJ0h9cAAAADAQAADwAAAAAAAAAAAAAA&#10;AABaBAAAZHJzL2Rvd25yZXYueG1sUEsFBgAAAAAEAAQA8wAAAF4FAAAAAA==&#10;">
                <o:lock v:ext="edit" shapetype="f"/>
              </v:line>
            </w:pict>
          </mc:Fallback>
        </mc:AlternateContent>
      </w:r>
    </w:p>
    <w:p w14:paraId="1D07576C" w14:textId="40265898" w:rsidR="00510A3B" w:rsidRPr="003A3CED" w:rsidRDefault="001D6016" w:rsidP="00BA4420">
      <w:pPr>
        <w:spacing w:line="360" w:lineRule="auto"/>
        <w:rPr>
          <w:b/>
          <w:bCs/>
        </w:rPr>
      </w:pPr>
      <w:r w:rsidRPr="003A3CED">
        <w:rPr>
          <w:b/>
        </w:rPr>
        <w:t>Koen J</w:t>
      </w:r>
    </w:p>
    <w:p w14:paraId="3DB18B46" w14:textId="77777777" w:rsidR="00510A3B" w:rsidRPr="003A3CED" w:rsidRDefault="00510A3B" w:rsidP="00BA4420">
      <w:pPr>
        <w:spacing w:line="360" w:lineRule="auto"/>
        <w:rPr>
          <w:b/>
        </w:rPr>
      </w:pPr>
    </w:p>
    <w:p w14:paraId="614C816F" w14:textId="38972C1F" w:rsidR="00E92347" w:rsidRDefault="00EB6CAF" w:rsidP="00BA4420">
      <w:pPr>
        <w:numPr>
          <w:ilvl w:val="0"/>
          <w:numId w:val="1"/>
        </w:numPr>
        <w:spacing w:line="360" w:lineRule="auto"/>
        <w:jc w:val="both"/>
      </w:pPr>
      <w:r w:rsidRPr="003A3CED">
        <w:t>Th</w:t>
      </w:r>
      <w:r w:rsidR="003F5CF5">
        <w:t xml:space="preserve">e central issue </w:t>
      </w:r>
      <w:r w:rsidR="009F12E6">
        <w:t xml:space="preserve">at the heart of </w:t>
      </w:r>
      <w:r w:rsidR="00E71E8A">
        <w:t xml:space="preserve">this application is whether an excipient </w:t>
      </w:r>
      <w:r w:rsidR="009F12E6">
        <w:t xml:space="preserve">would be </w:t>
      </w:r>
      <w:r w:rsidR="00E71E8A">
        <w:t xml:space="preserve">entitled to demand that an exception be determined by a court </w:t>
      </w:r>
      <w:r w:rsidR="009F12E6">
        <w:t xml:space="preserve">without considering subsequent amendments </w:t>
      </w:r>
      <w:r w:rsidR="00675DC9">
        <w:t xml:space="preserve">effected </w:t>
      </w:r>
      <w:r w:rsidR="00E71E8A">
        <w:t>to the pleading</w:t>
      </w:r>
      <w:r w:rsidR="009F12E6">
        <w:t>s excepted to</w:t>
      </w:r>
      <w:r w:rsidR="00E71E8A">
        <w:t xml:space="preserve">. </w:t>
      </w:r>
      <w:r w:rsidR="009F12E6">
        <w:t>T</w:t>
      </w:r>
      <w:r w:rsidR="003F5CF5">
        <w:t xml:space="preserve">he </w:t>
      </w:r>
      <w:r w:rsidR="009F12E6">
        <w:t xml:space="preserve">applicants </w:t>
      </w:r>
      <w:r w:rsidR="00675DC9">
        <w:t xml:space="preserve">seek to achieve that result by </w:t>
      </w:r>
      <w:r w:rsidR="009F12E6">
        <w:t>maintain</w:t>
      </w:r>
      <w:r w:rsidR="00675DC9">
        <w:t>ing</w:t>
      </w:r>
      <w:r w:rsidR="009F12E6">
        <w:t xml:space="preserve"> </w:t>
      </w:r>
      <w:r w:rsidR="005D1064">
        <w:t xml:space="preserve">that the </w:t>
      </w:r>
      <w:r w:rsidR="009F12E6">
        <w:t xml:space="preserve">notice of intention to amend the pleadings excepted to, and the amended pages filed pursuant to that notice </w:t>
      </w:r>
      <w:r w:rsidR="00675DC9">
        <w:t xml:space="preserve">after </w:t>
      </w:r>
      <w:r w:rsidR="009F12E6">
        <w:t xml:space="preserve">no objection had been recorded, </w:t>
      </w:r>
      <w:r w:rsidR="00675DC9">
        <w:t xml:space="preserve">constitute </w:t>
      </w:r>
      <w:r w:rsidR="007C0B07">
        <w:t>irregular step</w:t>
      </w:r>
      <w:r w:rsidR="005D1064">
        <w:t>s</w:t>
      </w:r>
      <w:r w:rsidR="007C0B07">
        <w:t xml:space="preserve"> or proceeding</w:t>
      </w:r>
      <w:r w:rsidR="005D1064">
        <w:t>s</w:t>
      </w:r>
      <w:r w:rsidR="007C0B07">
        <w:t xml:space="preserve"> for the purposes of rule 30</w:t>
      </w:r>
      <w:r w:rsidR="00E542EC">
        <w:t xml:space="preserve"> of the Uniform Rules</w:t>
      </w:r>
      <w:r w:rsidR="009F0FB3">
        <w:t xml:space="preserve"> of Court</w:t>
      </w:r>
      <w:r w:rsidR="00D77D68">
        <w:t>,</w:t>
      </w:r>
      <w:r w:rsidR="007C0B07">
        <w:t xml:space="preserve"> and </w:t>
      </w:r>
      <w:r w:rsidR="00C16FAF">
        <w:t xml:space="preserve">that they </w:t>
      </w:r>
      <w:r w:rsidR="007C0B07">
        <w:t xml:space="preserve">should be set aside as such with costs. </w:t>
      </w:r>
    </w:p>
    <w:p w14:paraId="75CE4462" w14:textId="77777777" w:rsidR="00A64139" w:rsidRDefault="00A64139" w:rsidP="00BA4420">
      <w:pPr>
        <w:spacing w:line="360" w:lineRule="auto"/>
        <w:jc w:val="both"/>
      </w:pPr>
    </w:p>
    <w:p w14:paraId="31857C8D" w14:textId="04606D22" w:rsidR="007C0B07" w:rsidRPr="00E92347" w:rsidRDefault="00E92347" w:rsidP="00BA4420">
      <w:pPr>
        <w:spacing w:line="360" w:lineRule="auto"/>
        <w:jc w:val="both"/>
        <w:rPr>
          <w:b/>
        </w:rPr>
      </w:pPr>
      <w:r w:rsidRPr="00E92347">
        <w:rPr>
          <w:b/>
        </w:rPr>
        <w:t>Relevant background</w:t>
      </w:r>
      <w:r w:rsidR="007C0B07" w:rsidRPr="00E92347">
        <w:rPr>
          <w:b/>
        </w:rPr>
        <w:t xml:space="preserve"> </w:t>
      </w:r>
    </w:p>
    <w:p w14:paraId="520C1C72" w14:textId="1237B611" w:rsidR="005D1064" w:rsidRDefault="007C0B07" w:rsidP="00BA4420">
      <w:pPr>
        <w:numPr>
          <w:ilvl w:val="0"/>
          <w:numId w:val="1"/>
        </w:numPr>
        <w:spacing w:line="360" w:lineRule="auto"/>
        <w:jc w:val="both"/>
      </w:pPr>
      <w:r>
        <w:t xml:space="preserve">The respondent/plaintiff instituted an action against the applicants/defendants </w:t>
      </w:r>
      <w:r w:rsidR="005D1064">
        <w:t xml:space="preserve">jointly and severally </w:t>
      </w:r>
      <w:r>
        <w:t>for payment of the sum of R</w:t>
      </w:r>
      <w:r w:rsidR="005D1064">
        <w:t>29 916 324.</w:t>
      </w:r>
      <w:r w:rsidR="00A64139">
        <w:rPr>
          <w:rStyle w:val="FootnoteReference"/>
        </w:rPr>
        <w:footnoteReference w:id="1"/>
      </w:r>
      <w:r>
        <w:t xml:space="preserve"> </w:t>
      </w:r>
      <w:r w:rsidR="00D77D68">
        <w:t>O</w:t>
      </w:r>
      <w:r w:rsidR="004F37FF">
        <w:t xml:space="preserve">n </w:t>
      </w:r>
      <w:r w:rsidR="00D77D68">
        <w:t>31 October 2019</w:t>
      </w:r>
      <w:r w:rsidR="004F37FF">
        <w:t xml:space="preserve"> the defendants, who are represented by the State </w:t>
      </w:r>
      <w:r w:rsidR="003160E9">
        <w:t>Attorney</w:t>
      </w:r>
      <w:r w:rsidR="004F37FF">
        <w:t>, gave notice of their intention to defend the action. Their appearance to defend did not however appoint an address for service of notices and pleadings in the action.</w:t>
      </w:r>
    </w:p>
    <w:p w14:paraId="7DE3C657" w14:textId="77777777" w:rsidR="00C45F2E" w:rsidRDefault="00C45F2E" w:rsidP="00BA4420">
      <w:pPr>
        <w:spacing w:line="360" w:lineRule="auto"/>
        <w:jc w:val="both"/>
      </w:pPr>
    </w:p>
    <w:p w14:paraId="2F6FDE07" w14:textId="6360AB94" w:rsidR="00C90BA2" w:rsidRDefault="008356F1" w:rsidP="00BA4420">
      <w:pPr>
        <w:numPr>
          <w:ilvl w:val="0"/>
          <w:numId w:val="1"/>
        </w:numPr>
        <w:spacing w:line="360" w:lineRule="auto"/>
        <w:jc w:val="both"/>
      </w:pPr>
      <w:r>
        <w:t>T</w:t>
      </w:r>
      <w:r w:rsidR="00C45F2E">
        <w:t>he defendants delivered a plea</w:t>
      </w:r>
      <w:r w:rsidR="00904F8A">
        <w:t xml:space="preserve"> to which </w:t>
      </w:r>
      <w:r w:rsidR="00C45F2E">
        <w:t xml:space="preserve">the plaintiff replicated </w:t>
      </w:r>
      <w:r w:rsidR="00904F8A">
        <w:t xml:space="preserve">on 12 November 2020. </w:t>
      </w:r>
      <w:r w:rsidR="00C45F2E">
        <w:t xml:space="preserve">The defendants </w:t>
      </w:r>
      <w:r w:rsidR="001278F7">
        <w:t>on 25 November 2020</w:t>
      </w:r>
      <w:r w:rsidR="00C45F2E">
        <w:t xml:space="preserve"> delivered an exception </w:t>
      </w:r>
      <w:r w:rsidR="001278F7">
        <w:t xml:space="preserve">to the plaintiff’s replication ‘on the ground that the first alternative claim is bad in law, does not disclose a cause of action and </w:t>
      </w:r>
      <w:r w:rsidR="001A3738">
        <w:t xml:space="preserve">is </w:t>
      </w:r>
      <w:r w:rsidR="001278F7">
        <w:t>otherwise defective on the following grounds</w:t>
      </w:r>
      <w:r w:rsidR="00D77D68">
        <w:t>.</w:t>
      </w:r>
      <w:r w:rsidR="001278F7">
        <w:t>’</w:t>
      </w:r>
      <w:r w:rsidR="001A3738">
        <w:t xml:space="preserve"> </w:t>
      </w:r>
      <w:r w:rsidR="00D77D68">
        <w:t xml:space="preserve">The grounds for the exception </w:t>
      </w:r>
      <w:r w:rsidR="001A3738">
        <w:t>were then</w:t>
      </w:r>
      <w:r w:rsidR="001278F7">
        <w:t xml:space="preserve"> set forth in paragraphs 1 and 2 of the exception. </w:t>
      </w:r>
      <w:r w:rsidR="00A64139">
        <w:t>It is not necessary to have regard to these grounds for the purposes of this judgment, as th</w:t>
      </w:r>
      <w:r w:rsidR="00C90BA2">
        <w:t>is judgment is not concerned w</w:t>
      </w:r>
      <w:r w:rsidR="00D77D68">
        <w:t>ith the merits of the exception.</w:t>
      </w:r>
      <w:r w:rsidR="00C90BA2">
        <w:rPr>
          <w:rStyle w:val="FootnoteReference"/>
        </w:rPr>
        <w:footnoteReference w:id="2"/>
      </w:r>
      <w:r w:rsidR="00675DC9">
        <w:t xml:space="preserve"> </w:t>
      </w:r>
      <w:r w:rsidR="00C90BA2">
        <w:t xml:space="preserve"> </w:t>
      </w:r>
    </w:p>
    <w:p w14:paraId="775AB985" w14:textId="77777777" w:rsidR="00C90BA2" w:rsidRDefault="00C90BA2" w:rsidP="00BA4420">
      <w:pPr>
        <w:pStyle w:val="ListParagraph"/>
        <w:spacing w:line="360" w:lineRule="auto"/>
      </w:pPr>
    </w:p>
    <w:p w14:paraId="0E127ABE" w14:textId="7F6980F8" w:rsidR="007028D0" w:rsidRDefault="008356F1" w:rsidP="00BA4420">
      <w:pPr>
        <w:numPr>
          <w:ilvl w:val="0"/>
          <w:numId w:val="1"/>
        </w:numPr>
        <w:spacing w:line="360" w:lineRule="auto"/>
        <w:jc w:val="both"/>
      </w:pPr>
      <w:r>
        <w:lastRenderedPageBreak/>
        <w:t>At the time</w:t>
      </w:r>
      <w:r w:rsidR="00462DCB">
        <w:t xml:space="preserve"> the exception was delivered the parties were apparently preparing for mediation</w:t>
      </w:r>
      <w:r w:rsidR="00D77D68">
        <w:t xml:space="preserve">. The mediation </w:t>
      </w:r>
      <w:r w:rsidR="00462DCB">
        <w:t xml:space="preserve">yielded </w:t>
      </w:r>
      <w:r w:rsidR="00C90BA2">
        <w:t xml:space="preserve">a </w:t>
      </w:r>
      <w:r w:rsidR="00462DCB">
        <w:t>partial settlement of the claim and result</w:t>
      </w:r>
      <w:r w:rsidR="00C90BA2">
        <w:t>ed</w:t>
      </w:r>
      <w:r w:rsidR="00462DCB">
        <w:t xml:space="preserve"> in further discussions</w:t>
      </w:r>
      <w:r w:rsidR="00D77D68">
        <w:t>. It was agreed between the parties that the exchange of pleadings would be suspended during this time,</w:t>
      </w:r>
      <w:r w:rsidR="00462DCB">
        <w:t xml:space="preserve"> on condition that if the discussions would not result in the resolution of the matter by 15 February 2021, litigation would ensue.</w:t>
      </w:r>
    </w:p>
    <w:p w14:paraId="7D4D34F2" w14:textId="77777777" w:rsidR="001A3738" w:rsidRDefault="001A3738" w:rsidP="00BA4420">
      <w:pPr>
        <w:spacing w:line="360" w:lineRule="auto"/>
        <w:jc w:val="both"/>
      </w:pPr>
    </w:p>
    <w:p w14:paraId="4E7B2BCA" w14:textId="4A342F60" w:rsidR="007028D0" w:rsidRDefault="00C45F2E" w:rsidP="00BA4420">
      <w:pPr>
        <w:numPr>
          <w:ilvl w:val="0"/>
          <w:numId w:val="1"/>
        </w:numPr>
        <w:spacing w:line="360" w:lineRule="auto"/>
        <w:jc w:val="both"/>
      </w:pPr>
      <w:r>
        <w:t xml:space="preserve">On </w:t>
      </w:r>
      <w:r w:rsidR="001278F7">
        <w:t>26 April 2021 the plaintiff served</w:t>
      </w:r>
      <w:r>
        <w:t xml:space="preserve"> a notice of intention to amend its </w:t>
      </w:r>
      <w:r w:rsidR="001278F7">
        <w:t xml:space="preserve">particulars of claim and </w:t>
      </w:r>
      <w:r w:rsidR="00D77D68">
        <w:t xml:space="preserve">its </w:t>
      </w:r>
      <w:r w:rsidR="001278F7">
        <w:t>replication on the defendants’ attorneys. The notice recorded that unless written objection to the proposed amendments was delivered wi</w:t>
      </w:r>
      <w:r w:rsidR="00C90BA2">
        <w:t>thin 10 days of delivery of the</w:t>
      </w:r>
      <w:r w:rsidR="001278F7">
        <w:t xml:space="preserve"> notice, the amendments would be effected.</w:t>
      </w:r>
      <w:r w:rsidR="00D77D68">
        <w:rPr>
          <w:rStyle w:val="FootnoteReference"/>
        </w:rPr>
        <w:footnoteReference w:id="3"/>
      </w:r>
      <w:r w:rsidR="001278F7">
        <w:t xml:space="preserve"> The notice also included a tender </w:t>
      </w:r>
      <w:r w:rsidR="001A3738">
        <w:t xml:space="preserve">by the plaintiff to pay the wasted costs </w:t>
      </w:r>
      <w:r w:rsidR="001278F7">
        <w:t>occasion</w:t>
      </w:r>
      <w:r w:rsidR="00C90BA2">
        <w:t>ed by the amendments</w:t>
      </w:r>
      <w:r w:rsidR="001A3738">
        <w:t xml:space="preserve">. </w:t>
      </w:r>
      <w:r w:rsidR="00575514">
        <w:t>The time for objecting to the p</w:t>
      </w:r>
      <w:r w:rsidR="001278F7">
        <w:t>roposed amendment</w:t>
      </w:r>
      <w:r w:rsidR="00584A14">
        <w:t>s accordingly</w:t>
      </w:r>
      <w:r w:rsidR="001278F7">
        <w:t xml:space="preserve"> expi</w:t>
      </w:r>
      <w:r w:rsidR="004F37FF">
        <w:t xml:space="preserve">red on 11 May </w:t>
      </w:r>
      <w:r w:rsidR="00923F06">
        <w:t>2021.</w:t>
      </w:r>
    </w:p>
    <w:p w14:paraId="1334B5FB" w14:textId="77777777" w:rsidR="004F37FF" w:rsidRDefault="004F37FF" w:rsidP="00BA4420">
      <w:pPr>
        <w:spacing w:line="360" w:lineRule="auto"/>
        <w:jc w:val="both"/>
      </w:pPr>
    </w:p>
    <w:p w14:paraId="68198AC3" w14:textId="4609DB38" w:rsidR="00575514" w:rsidRDefault="00575514" w:rsidP="00BA4420">
      <w:pPr>
        <w:numPr>
          <w:ilvl w:val="0"/>
          <w:numId w:val="1"/>
        </w:numPr>
        <w:spacing w:line="360" w:lineRule="auto"/>
        <w:jc w:val="both"/>
      </w:pPr>
      <w:r>
        <w:t xml:space="preserve">When no objection </w:t>
      </w:r>
      <w:r w:rsidR="00D77D68">
        <w:t xml:space="preserve">to the proposed amendments </w:t>
      </w:r>
      <w:r>
        <w:t xml:space="preserve">was received, the plaintiff </w:t>
      </w:r>
      <w:r w:rsidR="00584A14">
        <w:t xml:space="preserve">effected </w:t>
      </w:r>
      <w:r w:rsidR="0021612D">
        <w:t>the amendment</w:t>
      </w:r>
      <w:r w:rsidR="00584A14">
        <w:t>s</w:t>
      </w:r>
      <w:r w:rsidR="00D77D68">
        <w:t xml:space="preserve"> </w:t>
      </w:r>
      <w:r w:rsidR="0021612D">
        <w:t xml:space="preserve">by </w:t>
      </w:r>
      <w:r w:rsidR="00923F06">
        <w:t>serving the</w:t>
      </w:r>
      <w:r w:rsidR="0021612D">
        <w:t xml:space="preserve"> amended pages </w:t>
      </w:r>
      <w:r w:rsidR="00584A14">
        <w:t>incorporating the amendments on the defendants, according to the formal receipt stamp,</w:t>
      </w:r>
      <w:r w:rsidR="0021612D">
        <w:t xml:space="preserve"> </w:t>
      </w:r>
      <w:r>
        <w:t xml:space="preserve">at </w:t>
      </w:r>
      <w:r w:rsidR="0021612D">
        <w:t xml:space="preserve">11h03 on 13 </w:t>
      </w:r>
      <w:r w:rsidR="00923F06">
        <w:t>May 2021</w:t>
      </w:r>
      <w:r w:rsidR="0021612D">
        <w:t>.</w:t>
      </w:r>
      <w:r w:rsidR="00ED530A">
        <w:t xml:space="preserve"> The amendment accordingly took effect</w:t>
      </w:r>
      <w:r w:rsidR="00675DC9">
        <w:t xml:space="preserve"> </w:t>
      </w:r>
      <w:r w:rsidR="00ED530A">
        <w:t>on that day.</w:t>
      </w:r>
      <w:r w:rsidR="00ED530A">
        <w:rPr>
          <w:rStyle w:val="FootnoteReference"/>
        </w:rPr>
        <w:footnoteReference w:id="4"/>
      </w:r>
    </w:p>
    <w:p w14:paraId="5C82FF70" w14:textId="77777777" w:rsidR="001A3738" w:rsidRDefault="001A3738" w:rsidP="00BA4420">
      <w:pPr>
        <w:spacing w:line="360" w:lineRule="auto"/>
        <w:jc w:val="both"/>
      </w:pPr>
    </w:p>
    <w:p w14:paraId="01BB9E14" w14:textId="3B6CAAF4" w:rsidR="00584A14" w:rsidRDefault="0021612D" w:rsidP="00477829">
      <w:pPr>
        <w:numPr>
          <w:ilvl w:val="0"/>
          <w:numId w:val="1"/>
        </w:numPr>
        <w:spacing w:line="360" w:lineRule="auto"/>
        <w:jc w:val="both"/>
      </w:pPr>
      <w:r>
        <w:t>On the same day</w:t>
      </w:r>
      <w:r w:rsidR="00584A14">
        <w:t>, 13 May 2021,</w:t>
      </w:r>
      <w:r>
        <w:t xml:space="preserve"> </w:t>
      </w:r>
      <w:r w:rsidR="00D77D68">
        <w:t xml:space="preserve">according to the receipt stamp </w:t>
      </w:r>
      <w:r>
        <w:t>at 15h32</w:t>
      </w:r>
      <w:r w:rsidR="00D77D68">
        <w:t>,</w:t>
      </w:r>
      <w:r>
        <w:t xml:space="preserve"> </w:t>
      </w:r>
      <w:r w:rsidR="00DE54AF">
        <w:t>the defendants delivered the first</w:t>
      </w:r>
      <w:r w:rsidR="00575514">
        <w:t xml:space="preserve"> notice in terms of rule 30</w:t>
      </w:r>
      <w:r>
        <w:t>(2</w:t>
      </w:r>
      <w:proofErr w:type="gramStart"/>
      <w:r>
        <w:t>)</w:t>
      </w:r>
      <w:r w:rsidRPr="001768A3">
        <w:rPr>
          <w:i/>
        </w:rPr>
        <w:t>(</w:t>
      </w:r>
      <w:proofErr w:type="gramEnd"/>
      <w:r w:rsidRPr="001768A3">
        <w:rPr>
          <w:i/>
        </w:rPr>
        <w:t>b)</w:t>
      </w:r>
      <w:r w:rsidR="00575514">
        <w:t xml:space="preserve"> complaining that </w:t>
      </w:r>
      <w:r w:rsidR="00BF1B21">
        <w:t>by delivering its</w:t>
      </w:r>
      <w:r>
        <w:t xml:space="preserve"> </w:t>
      </w:r>
      <w:r w:rsidR="00EF634C">
        <w:t xml:space="preserve">notice </w:t>
      </w:r>
      <w:r>
        <w:t xml:space="preserve">of </w:t>
      </w:r>
      <w:r w:rsidR="00EF634C">
        <w:t xml:space="preserve">intention </w:t>
      </w:r>
      <w:r>
        <w:t xml:space="preserve">to </w:t>
      </w:r>
      <w:r w:rsidR="00EF634C">
        <w:t xml:space="preserve">amend </w:t>
      </w:r>
      <w:r>
        <w:t>dated 20 April 2021</w:t>
      </w:r>
      <w:r w:rsidR="00584A14">
        <w:t>, the plaintiff</w:t>
      </w:r>
      <w:r>
        <w:t xml:space="preserve">  took an irregular step</w:t>
      </w:r>
      <w:r w:rsidR="00994E08">
        <w:t xml:space="preserve">. The notice required that </w:t>
      </w:r>
      <w:r w:rsidR="002F0610">
        <w:t xml:space="preserve">the </w:t>
      </w:r>
      <w:r>
        <w:t>plainti</w:t>
      </w:r>
      <w:r w:rsidR="00994E08">
        <w:t xml:space="preserve">ff </w:t>
      </w:r>
      <w:r w:rsidR="00584A14">
        <w:t>remove this</w:t>
      </w:r>
      <w:r>
        <w:t xml:space="preserve"> cau</w:t>
      </w:r>
      <w:r w:rsidR="001768A3">
        <w:t xml:space="preserve">se of complaint within 10 days </w:t>
      </w:r>
      <w:r>
        <w:t>of receipt of the notice</w:t>
      </w:r>
      <w:r w:rsidR="001768A3">
        <w:t xml:space="preserve">, </w:t>
      </w:r>
      <w:r w:rsidR="00994E08">
        <w:t>failing which the defendants would apply to court</w:t>
      </w:r>
      <w:r>
        <w:t xml:space="preserve"> to have the pl</w:t>
      </w:r>
      <w:r w:rsidR="001768A3">
        <w:t xml:space="preserve">aintiff’s </w:t>
      </w:r>
      <w:r w:rsidR="00EF634C">
        <w:t xml:space="preserve">notice </w:t>
      </w:r>
      <w:r w:rsidR="001768A3">
        <w:t xml:space="preserve">of </w:t>
      </w:r>
      <w:r w:rsidR="00EF634C">
        <w:t xml:space="preserve">intention </w:t>
      </w:r>
      <w:r>
        <w:t xml:space="preserve">to </w:t>
      </w:r>
      <w:r w:rsidR="00EF634C">
        <w:t xml:space="preserve">amend </w:t>
      </w:r>
      <w:r>
        <w:t>set as</w:t>
      </w:r>
      <w:r w:rsidR="001768A3">
        <w:t xml:space="preserve">ide in terms of rule 30(1). </w:t>
      </w:r>
    </w:p>
    <w:p w14:paraId="52E7389E" w14:textId="77777777" w:rsidR="00477829" w:rsidRDefault="00477829" w:rsidP="00477829">
      <w:pPr>
        <w:spacing w:line="360" w:lineRule="auto"/>
        <w:jc w:val="both"/>
      </w:pPr>
    </w:p>
    <w:p w14:paraId="464284DC" w14:textId="4BB97CEB" w:rsidR="0021612D" w:rsidRDefault="00584A14" w:rsidP="00BA4420">
      <w:pPr>
        <w:numPr>
          <w:ilvl w:val="0"/>
          <w:numId w:val="1"/>
        </w:numPr>
        <w:spacing w:line="360" w:lineRule="auto"/>
        <w:jc w:val="both"/>
      </w:pPr>
      <w:r>
        <w:t>T</w:t>
      </w:r>
      <w:r w:rsidR="0021612D">
        <w:t xml:space="preserve">he grounds upon which it was alleged </w:t>
      </w:r>
      <w:r w:rsidR="00994E08">
        <w:t>in the defe</w:t>
      </w:r>
      <w:r w:rsidR="001768A3">
        <w:t>ndants’ notice in terms of rule </w:t>
      </w:r>
      <w:r w:rsidR="00994E08">
        <w:t>30(2)</w:t>
      </w:r>
      <w:r w:rsidR="00994E08" w:rsidRPr="001768A3">
        <w:rPr>
          <w:i/>
        </w:rPr>
        <w:t>(b)</w:t>
      </w:r>
      <w:r w:rsidR="00994E08">
        <w:t xml:space="preserve"> </w:t>
      </w:r>
      <w:r w:rsidR="0021612D">
        <w:t>that th</w:t>
      </w:r>
      <w:r>
        <w:t xml:space="preserve">e </w:t>
      </w:r>
      <w:r w:rsidR="00994E08">
        <w:t xml:space="preserve">plaintiff’s </w:t>
      </w:r>
      <w:r w:rsidR="003160E9">
        <w:t xml:space="preserve">notice </w:t>
      </w:r>
      <w:r>
        <w:t xml:space="preserve">of </w:t>
      </w:r>
      <w:r w:rsidR="003160E9">
        <w:t xml:space="preserve">intention </w:t>
      </w:r>
      <w:r>
        <w:t xml:space="preserve">to </w:t>
      </w:r>
      <w:r w:rsidR="003160E9">
        <w:t xml:space="preserve">amend </w:t>
      </w:r>
      <w:r>
        <w:t xml:space="preserve">constituted </w:t>
      </w:r>
      <w:r w:rsidR="0021612D">
        <w:t>an irregular step</w:t>
      </w:r>
      <w:r w:rsidR="00994E08">
        <w:t>,</w:t>
      </w:r>
      <w:r w:rsidR="0021612D">
        <w:t xml:space="preserve"> w</w:t>
      </w:r>
      <w:r>
        <w:t xml:space="preserve">ere as </w:t>
      </w:r>
      <w:r w:rsidR="0021612D">
        <w:t xml:space="preserve">follows: </w:t>
      </w:r>
    </w:p>
    <w:p w14:paraId="09D8D7A3" w14:textId="6428C727" w:rsidR="0021612D" w:rsidRPr="002B531E" w:rsidRDefault="003113E6" w:rsidP="001768A3">
      <w:pPr>
        <w:spacing w:line="360" w:lineRule="auto"/>
        <w:jc w:val="both"/>
        <w:rPr>
          <w:sz w:val="22"/>
          <w:szCs w:val="22"/>
        </w:rPr>
      </w:pPr>
      <w:r w:rsidRPr="002B531E">
        <w:rPr>
          <w:sz w:val="22"/>
          <w:szCs w:val="22"/>
        </w:rPr>
        <w:lastRenderedPageBreak/>
        <w:t>‘(I)</w:t>
      </w:r>
      <w:r w:rsidRPr="002B531E">
        <w:rPr>
          <w:sz w:val="22"/>
          <w:szCs w:val="22"/>
        </w:rPr>
        <w:tab/>
      </w:r>
      <w:proofErr w:type="gramStart"/>
      <w:r w:rsidRPr="002B531E">
        <w:rPr>
          <w:sz w:val="22"/>
          <w:szCs w:val="22"/>
        </w:rPr>
        <w:t>On</w:t>
      </w:r>
      <w:proofErr w:type="gramEnd"/>
      <w:r w:rsidRPr="002B531E">
        <w:rPr>
          <w:sz w:val="22"/>
          <w:szCs w:val="22"/>
        </w:rPr>
        <w:t xml:space="preserve"> 25</w:t>
      </w:r>
      <w:r w:rsidRPr="002B531E">
        <w:rPr>
          <w:sz w:val="22"/>
          <w:szCs w:val="22"/>
          <w:vertAlign w:val="superscript"/>
        </w:rPr>
        <w:t>th</w:t>
      </w:r>
      <w:r w:rsidRPr="002B531E">
        <w:rPr>
          <w:sz w:val="22"/>
          <w:szCs w:val="22"/>
        </w:rPr>
        <w:t xml:space="preserve"> November 2020 the Defendants delivered the Exception in terms of Rule 23 (1) in respect of the Plaintiffs Replication.</w:t>
      </w:r>
    </w:p>
    <w:p w14:paraId="0B6D0388" w14:textId="2E00708F" w:rsidR="003113E6" w:rsidRPr="002B531E" w:rsidRDefault="003113E6" w:rsidP="001768A3">
      <w:pPr>
        <w:spacing w:line="360" w:lineRule="auto"/>
        <w:jc w:val="both"/>
        <w:rPr>
          <w:sz w:val="22"/>
          <w:szCs w:val="22"/>
        </w:rPr>
      </w:pPr>
      <w:r w:rsidRPr="002B531E">
        <w:rPr>
          <w:sz w:val="22"/>
          <w:szCs w:val="22"/>
        </w:rPr>
        <w:t>(II)</w:t>
      </w:r>
      <w:r w:rsidRPr="002B531E">
        <w:rPr>
          <w:sz w:val="22"/>
          <w:szCs w:val="22"/>
        </w:rPr>
        <w:tab/>
        <w:t>The basis for the Exception was that the First</w:t>
      </w:r>
      <w:r w:rsidR="00584A14">
        <w:rPr>
          <w:sz w:val="22"/>
          <w:szCs w:val="22"/>
        </w:rPr>
        <w:t xml:space="preserve"> and Second alternative claim</w:t>
      </w:r>
      <w:r w:rsidR="00DC096C">
        <w:rPr>
          <w:sz w:val="22"/>
          <w:szCs w:val="22"/>
        </w:rPr>
        <w:t>s</w:t>
      </w:r>
      <w:r w:rsidRPr="002B531E">
        <w:rPr>
          <w:sz w:val="22"/>
          <w:szCs w:val="22"/>
        </w:rPr>
        <w:t xml:space="preserve"> respectfully (sic) are bad in law, do not disclose a cause of action or </w:t>
      </w:r>
      <w:r w:rsidR="00584A14">
        <w:rPr>
          <w:sz w:val="22"/>
          <w:szCs w:val="22"/>
        </w:rPr>
        <w:t xml:space="preserve">are </w:t>
      </w:r>
      <w:r w:rsidRPr="002B531E">
        <w:rPr>
          <w:sz w:val="22"/>
          <w:szCs w:val="22"/>
        </w:rPr>
        <w:t>otherwise defective.</w:t>
      </w:r>
    </w:p>
    <w:p w14:paraId="7EFDD659" w14:textId="450B938A" w:rsidR="003113E6" w:rsidRPr="002B531E" w:rsidRDefault="003113E6" w:rsidP="001768A3">
      <w:pPr>
        <w:spacing w:line="360" w:lineRule="auto"/>
        <w:jc w:val="both"/>
        <w:rPr>
          <w:sz w:val="22"/>
          <w:szCs w:val="22"/>
        </w:rPr>
      </w:pPr>
      <w:r w:rsidRPr="002B531E">
        <w:rPr>
          <w:sz w:val="22"/>
          <w:szCs w:val="22"/>
        </w:rPr>
        <w:t>(III)</w:t>
      </w:r>
      <w:r w:rsidRPr="002B531E">
        <w:rPr>
          <w:sz w:val="22"/>
          <w:szCs w:val="22"/>
        </w:rPr>
        <w:tab/>
        <w:t>In terms of Rule 23 (1) the Excipient may set the Exception down for hearing in terms of paragraph (f) of sub</w:t>
      </w:r>
      <w:r w:rsidR="00307BAA">
        <w:rPr>
          <w:sz w:val="22"/>
          <w:szCs w:val="22"/>
        </w:rPr>
        <w:t>-</w:t>
      </w:r>
      <w:r w:rsidRPr="002B531E">
        <w:rPr>
          <w:sz w:val="22"/>
          <w:szCs w:val="22"/>
        </w:rPr>
        <w:t>rule (5) of Rule 6.</w:t>
      </w:r>
    </w:p>
    <w:p w14:paraId="67F223A9" w14:textId="2A72405B" w:rsidR="003113E6" w:rsidRPr="002B531E" w:rsidRDefault="00584A14" w:rsidP="001768A3">
      <w:pPr>
        <w:spacing w:line="360" w:lineRule="auto"/>
        <w:jc w:val="both"/>
        <w:rPr>
          <w:sz w:val="22"/>
          <w:szCs w:val="22"/>
        </w:rPr>
      </w:pPr>
      <w:r>
        <w:rPr>
          <w:sz w:val="22"/>
          <w:szCs w:val="22"/>
        </w:rPr>
        <w:t>(IV)</w:t>
      </w:r>
      <w:r>
        <w:rPr>
          <w:sz w:val="22"/>
          <w:szCs w:val="22"/>
        </w:rPr>
        <w:tab/>
        <w:t>Paragraph (f) (</w:t>
      </w:r>
      <w:proofErr w:type="spellStart"/>
      <w:r>
        <w:rPr>
          <w:sz w:val="22"/>
          <w:szCs w:val="22"/>
        </w:rPr>
        <w:t>i</w:t>
      </w:r>
      <w:proofErr w:type="spellEnd"/>
      <w:r w:rsidR="003113E6" w:rsidRPr="002B531E">
        <w:rPr>
          <w:sz w:val="22"/>
          <w:szCs w:val="22"/>
        </w:rPr>
        <w:t xml:space="preserve">) of Rule </w:t>
      </w:r>
      <w:r>
        <w:rPr>
          <w:sz w:val="22"/>
          <w:szCs w:val="22"/>
        </w:rPr>
        <w:t>6</w:t>
      </w:r>
      <w:r w:rsidR="003113E6" w:rsidRPr="002B531E">
        <w:rPr>
          <w:sz w:val="22"/>
          <w:szCs w:val="22"/>
        </w:rPr>
        <w:t xml:space="preserve"> provides that where no answering affidavit, or notice in terms of sub</w:t>
      </w:r>
      <w:r w:rsidR="00307BAA">
        <w:rPr>
          <w:sz w:val="22"/>
          <w:szCs w:val="22"/>
        </w:rPr>
        <w:t>-</w:t>
      </w:r>
      <w:r w:rsidR="003113E6" w:rsidRPr="002B531E">
        <w:rPr>
          <w:sz w:val="22"/>
          <w:szCs w:val="22"/>
        </w:rPr>
        <w:t>par</w:t>
      </w:r>
      <w:r>
        <w:rPr>
          <w:sz w:val="22"/>
          <w:szCs w:val="22"/>
        </w:rPr>
        <w:t>agraph (iii) of paragraph (d), i</w:t>
      </w:r>
      <w:r w:rsidR="003113E6" w:rsidRPr="002B531E">
        <w:rPr>
          <w:sz w:val="22"/>
          <w:szCs w:val="22"/>
        </w:rPr>
        <w:t>s delivered within the period referred to in sub</w:t>
      </w:r>
      <w:r w:rsidR="00995013">
        <w:rPr>
          <w:sz w:val="22"/>
          <w:szCs w:val="22"/>
        </w:rPr>
        <w:t>-</w:t>
      </w:r>
      <w:r w:rsidR="003113E6" w:rsidRPr="002B531E">
        <w:rPr>
          <w:sz w:val="22"/>
          <w:szCs w:val="22"/>
        </w:rPr>
        <w:t>paragraph (ii) of paragraph (d) the Applicant may within five days of expiry thereof apply to the Registrar to allocate a date for the hearing of the application.</w:t>
      </w:r>
    </w:p>
    <w:p w14:paraId="0F02AB74" w14:textId="5F90ABE3" w:rsidR="002B531E" w:rsidRPr="002B531E" w:rsidRDefault="003113E6" w:rsidP="001768A3">
      <w:pPr>
        <w:spacing w:line="360" w:lineRule="auto"/>
        <w:jc w:val="both"/>
        <w:rPr>
          <w:sz w:val="22"/>
          <w:szCs w:val="22"/>
        </w:rPr>
      </w:pPr>
      <w:r w:rsidRPr="002B531E">
        <w:rPr>
          <w:sz w:val="22"/>
          <w:szCs w:val="22"/>
        </w:rPr>
        <w:t>(V)</w:t>
      </w:r>
      <w:r w:rsidRPr="002B531E">
        <w:rPr>
          <w:sz w:val="22"/>
          <w:szCs w:val="22"/>
        </w:rPr>
        <w:tab/>
        <w:t>Sub</w:t>
      </w:r>
      <w:r w:rsidR="00995013">
        <w:rPr>
          <w:sz w:val="22"/>
          <w:szCs w:val="22"/>
        </w:rPr>
        <w:t>-</w:t>
      </w:r>
      <w:r w:rsidRPr="002B531E">
        <w:rPr>
          <w:sz w:val="22"/>
          <w:szCs w:val="22"/>
        </w:rPr>
        <w:t>paragraph (iii) provides that if the Applicant fails to apply within the appropriate period aforesaid the Respondent may do so immediately upon expiry thereof.</w:t>
      </w:r>
      <w:r w:rsidR="002B531E" w:rsidRPr="002B531E">
        <w:rPr>
          <w:sz w:val="22"/>
          <w:szCs w:val="22"/>
        </w:rPr>
        <w:t xml:space="preserve"> Notice in writing of the date allocated by the Registrar must be given by the Applicant </w:t>
      </w:r>
      <w:r w:rsidR="00584A14">
        <w:rPr>
          <w:sz w:val="22"/>
          <w:szCs w:val="22"/>
        </w:rPr>
        <w:t>or R</w:t>
      </w:r>
      <w:r w:rsidR="002B531E" w:rsidRPr="002B531E">
        <w:rPr>
          <w:sz w:val="22"/>
          <w:szCs w:val="22"/>
        </w:rPr>
        <w:t xml:space="preserve">espondent, as the case may be </w:t>
      </w:r>
      <w:r w:rsidR="00995013">
        <w:rPr>
          <w:sz w:val="22"/>
          <w:szCs w:val="22"/>
        </w:rPr>
        <w:t xml:space="preserve">to </w:t>
      </w:r>
      <w:r w:rsidR="002B531E" w:rsidRPr="002B531E">
        <w:rPr>
          <w:sz w:val="22"/>
          <w:szCs w:val="22"/>
        </w:rPr>
        <w:t>the opposite party within five days of notification from the Registrar.</w:t>
      </w:r>
    </w:p>
    <w:p w14:paraId="652DA271" w14:textId="692CADFA" w:rsidR="002B531E" w:rsidRPr="002B531E" w:rsidRDefault="002B531E" w:rsidP="001768A3">
      <w:pPr>
        <w:spacing w:line="360" w:lineRule="auto"/>
        <w:jc w:val="both"/>
        <w:rPr>
          <w:sz w:val="22"/>
          <w:szCs w:val="22"/>
        </w:rPr>
      </w:pPr>
      <w:r w:rsidRPr="002B531E">
        <w:rPr>
          <w:sz w:val="22"/>
          <w:szCs w:val="22"/>
        </w:rPr>
        <w:t>(VI)</w:t>
      </w:r>
      <w:r w:rsidRPr="002B531E">
        <w:rPr>
          <w:sz w:val="22"/>
          <w:szCs w:val="22"/>
        </w:rPr>
        <w:tab/>
        <w:t xml:space="preserve">The Exception has not been adjudicated upon and has not been set down for hearing </w:t>
      </w:r>
      <w:r w:rsidR="00584A14">
        <w:rPr>
          <w:sz w:val="22"/>
          <w:szCs w:val="22"/>
        </w:rPr>
        <w:t xml:space="preserve">by </w:t>
      </w:r>
      <w:r w:rsidRPr="002B531E">
        <w:rPr>
          <w:sz w:val="22"/>
          <w:szCs w:val="22"/>
        </w:rPr>
        <w:t xml:space="preserve">either party as the parties had agreed to engage in a mediation process scheduled and completed on </w:t>
      </w:r>
      <w:r w:rsidR="00995013">
        <w:rPr>
          <w:sz w:val="22"/>
          <w:szCs w:val="22"/>
        </w:rPr>
        <w:t>the 8</w:t>
      </w:r>
      <w:r w:rsidR="00995013" w:rsidRPr="00995013">
        <w:rPr>
          <w:sz w:val="22"/>
          <w:szCs w:val="22"/>
          <w:vertAlign w:val="superscript"/>
        </w:rPr>
        <w:t>th</w:t>
      </w:r>
      <w:r w:rsidR="00995013">
        <w:rPr>
          <w:sz w:val="22"/>
          <w:szCs w:val="22"/>
        </w:rPr>
        <w:t xml:space="preserve"> </w:t>
      </w:r>
      <w:r w:rsidRPr="002B531E">
        <w:rPr>
          <w:sz w:val="22"/>
          <w:szCs w:val="22"/>
        </w:rPr>
        <w:t>December 2020.</w:t>
      </w:r>
    </w:p>
    <w:p w14:paraId="61879372" w14:textId="1A5A85B0" w:rsidR="003113E6" w:rsidRPr="002B531E" w:rsidRDefault="002B531E" w:rsidP="001768A3">
      <w:pPr>
        <w:spacing w:line="360" w:lineRule="auto"/>
        <w:jc w:val="both"/>
        <w:rPr>
          <w:sz w:val="22"/>
          <w:szCs w:val="22"/>
        </w:rPr>
      </w:pPr>
      <w:r w:rsidRPr="002B531E">
        <w:rPr>
          <w:sz w:val="22"/>
          <w:szCs w:val="22"/>
        </w:rPr>
        <w:t>(VII)</w:t>
      </w:r>
      <w:r w:rsidRPr="002B531E">
        <w:rPr>
          <w:sz w:val="22"/>
          <w:szCs w:val="22"/>
        </w:rPr>
        <w:tab/>
        <w:t>In terms of the mediation agreement the pleadings were held in abeyance.</w:t>
      </w:r>
      <w:r w:rsidR="003113E6" w:rsidRPr="002B531E">
        <w:rPr>
          <w:sz w:val="22"/>
          <w:szCs w:val="22"/>
        </w:rPr>
        <w:t xml:space="preserve">   </w:t>
      </w:r>
    </w:p>
    <w:p w14:paraId="1DC7640A" w14:textId="78AB5B47" w:rsidR="002B531E" w:rsidRPr="002B531E" w:rsidRDefault="002B531E" w:rsidP="001768A3">
      <w:pPr>
        <w:spacing w:line="360" w:lineRule="auto"/>
        <w:jc w:val="both"/>
        <w:rPr>
          <w:sz w:val="22"/>
          <w:szCs w:val="22"/>
        </w:rPr>
      </w:pPr>
      <w:r w:rsidRPr="002B531E">
        <w:rPr>
          <w:sz w:val="22"/>
          <w:szCs w:val="22"/>
        </w:rPr>
        <w:t>(VIII)</w:t>
      </w:r>
      <w:r w:rsidRPr="002B531E">
        <w:rPr>
          <w:sz w:val="22"/>
          <w:szCs w:val="22"/>
        </w:rPr>
        <w:tab/>
        <w:t>In February 2021, the parties were still engage on the progress of the status of payment as recorded in the settlement agreement.</w:t>
      </w:r>
    </w:p>
    <w:p w14:paraId="60D9BE15" w14:textId="73E841A0" w:rsidR="002B531E" w:rsidRPr="002B531E" w:rsidRDefault="002B531E" w:rsidP="001768A3">
      <w:pPr>
        <w:spacing w:line="360" w:lineRule="auto"/>
        <w:jc w:val="both"/>
        <w:rPr>
          <w:sz w:val="22"/>
          <w:szCs w:val="22"/>
        </w:rPr>
      </w:pPr>
      <w:r w:rsidRPr="002B531E">
        <w:rPr>
          <w:sz w:val="22"/>
          <w:szCs w:val="22"/>
        </w:rPr>
        <w:t>(IX)</w:t>
      </w:r>
      <w:r w:rsidRPr="002B531E">
        <w:rPr>
          <w:sz w:val="22"/>
          <w:szCs w:val="22"/>
        </w:rPr>
        <w:tab/>
        <w:t>The Defendants prayed that the Exception be upheld as the exception dealt with the ro</w:t>
      </w:r>
      <w:r w:rsidR="00584A14">
        <w:rPr>
          <w:sz w:val="22"/>
          <w:szCs w:val="22"/>
        </w:rPr>
        <w:t>ot</w:t>
      </w:r>
      <w:r w:rsidRPr="002B531E">
        <w:rPr>
          <w:sz w:val="22"/>
          <w:szCs w:val="22"/>
        </w:rPr>
        <w:t xml:space="preserve"> of the Plaintiff</w:t>
      </w:r>
      <w:r w:rsidR="00584A14">
        <w:rPr>
          <w:sz w:val="22"/>
          <w:szCs w:val="22"/>
        </w:rPr>
        <w:t>’</w:t>
      </w:r>
      <w:r w:rsidRPr="002B531E">
        <w:rPr>
          <w:sz w:val="22"/>
          <w:szCs w:val="22"/>
        </w:rPr>
        <w:t>s cause of action and the relief sought was Plaintiff</w:t>
      </w:r>
      <w:r w:rsidR="00E34C13">
        <w:rPr>
          <w:sz w:val="22"/>
          <w:szCs w:val="22"/>
        </w:rPr>
        <w:t>’</w:t>
      </w:r>
      <w:r w:rsidRPr="002B531E">
        <w:rPr>
          <w:sz w:val="22"/>
          <w:szCs w:val="22"/>
        </w:rPr>
        <w:t>s first and alternative claims be dismissed with costs.</w:t>
      </w:r>
    </w:p>
    <w:p w14:paraId="14C42118" w14:textId="703EA8A9" w:rsidR="002B531E" w:rsidRPr="002B531E" w:rsidRDefault="002B531E" w:rsidP="001768A3">
      <w:pPr>
        <w:spacing w:line="360" w:lineRule="auto"/>
        <w:jc w:val="both"/>
        <w:rPr>
          <w:sz w:val="22"/>
          <w:szCs w:val="22"/>
        </w:rPr>
      </w:pPr>
      <w:r w:rsidRPr="002B531E">
        <w:rPr>
          <w:sz w:val="22"/>
          <w:szCs w:val="22"/>
        </w:rPr>
        <w:t>(X)</w:t>
      </w:r>
      <w:r w:rsidRPr="002B531E">
        <w:rPr>
          <w:sz w:val="22"/>
          <w:szCs w:val="22"/>
        </w:rPr>
        <w:tab/>
        <w:t>The Defendants’ Exception must be adjudicated upon before any further steps can be taken by either party.</w:t>
      </w:r>
    </w:p>
    <w:p w14:paraId="2ED95B00" w14:textId="02B056DC" w:rsidR="002B531E" w:rsidRPr="00584A14" w:rsidRDefault="002B531E" w:rsidP="001768A3">
      <w:pPr>
        <w:spacing w:line="360" w:lineRule="auto"/>
        <w:jc w:val="both"/>
        <w:rPr>
          <w:sz w:val="22"/>
          <w:szCs w:val="22"/>
        </w:rPr>
      </w:pPr>
      <w:r w:rsidRPr="002B531E">
        <w:rPr>
          <w:sz w:val="22"/>
          <w:szCs w:val="22"/>
        </w:rPr>
        <w:t>(XI)</w:t>
      </w:r>
      <w:r w:rsidRPr="002B531E">
        <w:rPr>
          <w:sz w:val="22"/>
          <w:szCs w:val="22"/>
        </w:rPr>
        <w:tab/>
        <w:t xml:space="preserve">The Plaintiffs Notice to Amend seeks to ignore the exception taken and </w:t>
      </w:r>
      <w:r w:rsidRPr="00584A14">
        <w:rPr>
          <w:sz w:val="22"/>
          <w:szCs w:val="22"/>
        </w:rPr>
        <w:t>concurrently attempts to cure the defects raised by the exception without leave of the court.</w:t>
      </w:r>
    </w:p>
    <w:p w14:paraId="4200E55A" w14:textId="364BE527" w:rsidR="002B531E" w:rsidRPr="00584A14" w:rsidRDefault="002B531E" w:rsidP="001768A3">
      <w:pPr>
        <w:spacing w:line="360" w:lineRule="auto"/>
        <w:jc w:val="both"/>
        <w:rPr>
          <w:sz w:val="22"/>
          <w:szCs w:val="22"/>
        </w:rPr>
      </w:pPr>
      <w:r w:rsidRPr="00584A14">
        <w:rPr>
          <w:sz w:val="22"/>
          <w:szCs w:val="22"/>
        </w:rPr>
        <w:t>(XII)</w:t>
      </w:r>
      <w:r w:rsidRPr="00584A14">
        <w:rPr>
          <w:sz w:val="22"/>
          <w:szCs w:val="22"/>
        </w:rPr>
        <w:tab/>
        <w:t>In the premises the Plaintiff</w:t>
      </w:r>
      <w:r w:rsidR="00EF634C">
        <w:rPr>
          <w:sz w:val="22"/>
          <w:szCs w:val="22"/>
        </w:rPr>
        <w:t>’</w:t>
      </w:r>
      <w:r w:rsidRPr="00584A14">
        <w:rPr>
          <w:sz w:val="22"/>
          <w:szCs w:val="22"/>
        </w:rPr>
        <w:t>s Notice to amend is accordingly irregular and premature.’</w:t>
      </w:r>
    </w:p>
    <w:p w14:paraId="702D3326" w14:textId="77777777" w:rsidR="003113E6" w:rsidRDefault="003113E6" w:rsidP="00BA4420">
      <w:pPr>
        <w:spacing w:line="360" w:lineRule="auto"/>
        <w:ind w:left="720"/>
        <w:jc w:val="both"/>
      </w:pPr>
    </w:p>
    <w:p w14:paraId="772087B2" w14:textId="3CDB4924" w:rsidR="00575514" w:rsidRDefault="002B531E" w:rsidP="00BA4420">
      <w:pPr>
        <w:numPr>
          <w:ilvl w:val="0"/>
          <w:numId w:val="1"/>
        </w:numPr>
        <w:spacing w:line="360" w:lineRule="auto"/>
        <w:jc w:val="both"/>
      </w:pPr>
      <w:r>
        <w:t xml:space="preserve">On 20 May 2021 </w:t>
      </w:r>
      <w:r w:rsidR="00E34C13">
        <w:t xml:space="preserve">at 15h29 </w:t>
      </w:r>
      <w:r>
        <w:t xml:space="preserve">the defendants served a </w:t>
      </w:r>
      <w:r w:rsidR="00E34C13">
        <w:t>second</w:t>
      </w:r>
      <w:r w:rsidR="00995013">
        <w:t xml:space="preserve"> notice in terms of rule 30</w:t>
      </w:r>
      <w:r>
        <w:t>(2)</w:t>
      </w:r>
      <w:r w:rsidRPr="00995013">
        <w:rPr>
          <w:i/>
        </w:rPr>
        <w:t>(b)</w:t>
      </w:r>
      <w:r>
        <w:t xml:space="preserve"> complaining that the plaintiff by delivering its </w:t>
      </w:r>
      <w:r w:rsidR="003160E9">
        <w:t xml:space="preserve">notice </w:t>
      </w:r>
      <w:r>
        <w:t xml:space="preserve">of </w:t>
      </w:r>
      <w:r w:rsidR="003160E9">
        <w:t xml:space="preserve">intention </w:t>
      </w:r>
      <w:r>
        <w:t xml:space="preserve">to </w:t>
      </w:r>
      <w:r w:rsidR="003160E9">
        <w:t xml:space="preserve">amend </w:t>
      </w:r>
      <w:r>
        <w:t>dated 20 April 2021 and effecting the amendments by delivering amended documents on 13 May 2021, took irregular steps</w:t>
      </w:r>
      <w:r w:rsidR="00994E08">
        <w:t xml:space="preserve">. This notice likewise required that the </w:t>
      </w:r>
      <w:r>
        <w:t xml:space="preserve">plaintiff </w:t>
      </w:r>
      <w:r w:rsidR="00994E08">
        <w:t xml:space="preserve">remove </w:t>
      </w:r>
      <w:r>
        <w:lastRenderedPageBreak/>
        <w:t>the cause</w:t>
      </w:r>
      <w:r w:rsidR="00E34C13">
        <w:t>s</w:t>
      </w:r>
      <w:r>
        <w:t xml:space="preserve"> of complaint within 10 days failing which they would apply to have the plaintiff</w:t>
      </w:r>
      <w:r w:rsidR="00994E08">
        <w:t xml:space="preserve">’s </w:t>
      </w:r>
      <w:r w:rsidR="003160E9">
        <w:t xml:space="preserve">notice </w:t>
      </w:r>
      <w:r>
        <w:t xml:space="preserve">of </w:t>
      </w:r>
      <w:r w:rsidR="003160E9">
        <w:t xml:space="preserve">intention </w:t>
      </w:r>
      <w:r>
        <w:t xml:space="preserve">to </w:t>
      </w:r>
      <w:r w:rsidR="003160E9">
        <w:t xml:space="preserve">amend </w:t>
      </w:r>
      <w:r w:rsidR="00994E08">
        <w:t xml:space="preserve">and the filing of the replacement pages </w:t>
      </w:r>
      <w:r w:rsidR="00A715B7">
        <w:t>set aside in terms of rule 30</w:t>
      </w:r>
      <w:r>
        <w:t xml:space="preserve">(1). The grounds </w:t>
      </w:r>
      <w:r w:rsidR="00994E08">
        <w:t xml:space="preserve">advanced in support </w:t>
      </w:r>
      <w:r>
        <w:t xml:space="preserve">were identical to those previously raised in their previous </w:t>
      </w:r>
      <w:r w:rsidR="00994E08">
        <w:t>rule 30(2</w:t>
      </w:r>
      <w:proofErr w:type="gramStart"/>
      <w:r w:rsidR="00994E08">
        <w:t>)</w:t>
      </w:r>
      <w:r w:rsidR="00994E08" w:rsidRPr="00A715B7">
        <w:rPr>
          <w:i/>
        </w:rPr>
        <w:t>(</w:t>
      </w:r>
      <w:proofErr w:type="gramEnd"/>
      <w:r w:rsidR="00994E08" w:rsidRPr="00A715B7">
        <w:rPr>
          <w:i/>
        </w:rPr>
        <w:t>b)</w:t>
      </w:r>
      <w:r w:rsidR="00994E08">
        <w:t xml:space="preserve"> </w:t>
      </w:r>
      <w:r>
        <w:t xml:space="preserve">notice. </w:t>
      </w:r>
    </w:p>
    <w:p w14:paraId="160FBD5B" w14:textId="77777777" w:rsidR="007D3D63" w:rsidRDefault="007D3D63" w:rsidP="00BA4420">
      <w:pPr>
        <w:spacing w:line="360" w:lineRule="auto"/>
        <w:jc w:val="both"/>
      </w:pPr>
    </w:p>
    <w:p w14:paraId="4ADD2855" w14:textId="77777777" w:rsidR="00D17F4B" w:rsidRDefault="007D3D63" w:rsidP="00D17F4B">
      <w:pPr>
        <w:numPr>
          <w:ilvl w:val="0"/>
          <w:numId w:val="1"/>
        </w:numPr>
        <w:spacing w:line="360" w:lineRule="auto"/>
        <w:jc w:val="both"/>
        <w:rPr>
          <w:b/>
        </w:rPr>
      </w:pPr>
      <w:r w:rsidRPr="00994E08">
        <w:t>At 14h10 on 26 June 2021 t</w:t>
      </w:r>
      <w:r w:rsidR="00575514" w:rsidRPr="00994E08">
        <w:t xml:space="preserve">he defendants </w:t>
      </w:r>
      <w:r w:rsidR="002B531E" w:rsidRPr="00994E08">
        <w:t xml:space="preserve">served </w:t>
      </w:r>
      <w:r w:rsidR="00575514" w:rsidRPr="00994E08">
        <w:t>the application pr</w:t>
      </w:r>
      <w:r w:rsidR="0021612D" w:rsidRPr="00994E08">
        <w:t>esently befor</w:t>
      </w:r>
      <w:r w:rsidR="002B531E" w:rsidRPr="00994E08">
        <w:t xml:space="preserve">e this </w:t>
      </w:r>
      <w:r w:rsidR="00575514" w:rsidRPr="00994E08">
        <w:t>court</w:t>
      </w:r>
      <w:r w:rsidRPr="00994E08">
        <w:t>.</w:t>
      </w:r>
      <w:r w:rsidRPr="002F0610">
        <w:rPr>
          <w:b/>
        </w:rPr>
        <w:t xml:space="preserve"> </w:t>
      </w:r>
      <w:r w:rsidR="00BF1B21">
        <w:t>I</w:t>
      </w:r>
      <w:r>
        <w:t>n this</w:t>
      </w:r>
      <w:r w:rsidR="00BF1B21">
        <w:t xml:space="preserve"> application the defendants s</w:t>
      </w:r>
      <w:r w:rsidR="00994E08">
        <w:t>eek</w:t>
      </w:r>
      <w:r w:rsidR="00BF1B21">
        <w:t xml:space="preserve"> </w:t>
      </w:r>
      <w:r w:rsidR="00575514">
        <w:t>the following relief:</w:t>
      </w:r>
    </w:p>
    <w:p w14:paraId="2DB4E772" w14:textId="69CB5312" w:rsidR="00D17F4B" w:rsidRDefault="009F0CF4" w:rsidP="00D17F4B">
      <w:pPr>
        <w:spacing w:line="360" w:lineRule="auto"/>
        <w:jc w:val="both"/>
        <w:rPr>
          <w:b/>
        </w:rPr>
      </w:pPr>
      <w:r w:rsidRPr="00D17F4B">
        <w:rPr>
          <w:sz w:val="22"/>
          <w:szCs w:val="22"/>
        </w:rPr>
        <w:t>‘1.</w:t>
      </w:r>
      <w:r w:rsidRPr="00D17F4B">
        <w:rPr>
          <w:sz w:val="22"/>
          <w:szCs w:val="22"/>
        </w:rPr>
        <w:tab/>
        <w:t>That insofar as it may be necessary the Defendants’ failure to comply wit</w:t>
      </w:r>
      <w:r w:rsidR="00BF1B21" w:rsidRPr="00D17F4B">
        <w:rPr>
          <w:sz w:val="22"/>
          <w:szCs w:val="22"/>
        </w:rPr>
        <w:t>h the time periods in terms of R</w:t>
      </w:r>
      <w:r w:rsidRPr="00D17F4B">
        <w:rPr>
          <w:sz w:val="22"/>
          <w:szCs w:val="22"/>
        </w:rPr>
        <w:t>ule 30 i</w:t>
      </w:r>
      <w:r w:rsidR="00D17F4B">
        <w:rPr>
          <w:sz w:val="22"/>
          <w:szCs w:val="22"/>
        </w:rPr>
        <w:t xml:space="preserve">s hereby condoned; </w:t>
      </w:r>
    </w:p>
    <w:p w14:paraId="0F029F95" w14:textId="2451A938" w:rsidR="00D17F4B" w:rsidRDefault="009F0CF4" w:rsidP="00D17F4B">
      <w:pPr>
        <w:spacing w:line="360" w:lineRule="auto"/>
        <w:jc w:val="both"/>
        <w:rPr>
          <w:b/>
        </w:rPr>
      </w:pPr>
      <w:r w:rsidRPr="009F0CF4">
        <w:rPr>
          <w:sz w:val="22"/>
          <w:szCs w:val="22"/>
        </w:rPr>
        <w:t>2.</w:t>
      </w:r>
      <w:r w:rsidRPr="009F0CF4">
        <w:rPr>
          <w:sz w:val="22"/>
          <w:szCs w:val="22"/>
        </w:rPr>
        <w:tab/>
        <w:t>That the Plaintiff</w:t>
      </w:r>
      <w:r w:rsidR="00D17F4B">
        <w:rPr>
          <w:sz w:val="22"/>
          <w:szCs w:val="22"/>
        </w:rPr>
        <w:t>’</w:t>
      </w:r>
      <w:r w:rsidRPr="009F0CF4">
        <w:rPr>
          <w:sz w:val="22"/>
          <w:szCs w:val="22"/>
        </w:rPr>
        <w:t>s Notice to Amend in terms of R</w:t>
      </w:r>
      <w:r w:rsidR="007D3D63">
        <w:rPr>
          <w:sz w:val="22"/>
          <w:szCs w:val="22"/>
        </w:rPr>
        <w:t>ule</w:t>
      </w:r>
      <w:r w:rsidRPr="009F0CF4">
        <w:rPr>
          <w:sz w:val="22"/>
          <w:szCs w:val="22"/>
        </w:rPr>
        <w:t xml:space="preserve"> 28 dated 20 April 2021 and the delivery of the Amended Pages dated 07 May 2021 be set aside as an irregular step;</w:t>
      </w:r>
    </w:p>
    <w:p w14:paraId="6093BFEA" w14:textId="77777777" w:rsidR="00D17F4B" w:rsidRDefault="009F0CF4" w:rsidP="00D17F4B">
      <w:pPr>
        <w:spacing w:line="360" w:lineRule="auto"/>
        <w:jc w:val="both"/>
        <w:rPr>
          <w:b/>
        </w:rPr>
      </w:pPr>
      <w:r w:rsidRPr="009F0CF4">
        <w:rPr>
          <w:sz w:val="22"/>
          <w:szCs w:val="22"/>
        </w:rPr>
        <w:t>3.</w:t>
      </w:r>
      <w:r w:rsidRPr="009F0CF4">
        <w:rPr>
          <w:sz w:val="22"/>
          <w:szCs w:val="22"/>
        </w:rPr>
        <w:tab/>
        <w:t>That the Plaintiff is ordered to pay the costs of this Application.</w:t>
      </w:r>
    </w:p>
    <w:p w14:paraId="4D780740" w14:textId="431D92C1" w:rsidR="00575514" w:rsidRPr="00D17F4B" w:rsidRDefault="009F0CF4" w:rsidP="00D17F4B">
      <w:pPr>
        <w:spacing w:line="360" w:lineRule="auto"/>
        <w:jc w:val="both"/>
        <w:rPr>
          <w:b/>
        </w:rPr>
      </w:pPr>
      <w:r w:rsidRPr="009F0CF4">
        <w:rPr>
          <w:sz w:val="22"/>
          <w:szCs w:val="22"/>
        </w:rPr>
        <w:t>4.</w:t>
      </w:r>
      <w:r w:rsidRPr="009F0CF4">
        <w:rPr>
          <w:sz w:val="22"/>
          <w:szCs w:val="22"/>
        </w:rPr>
        <w:tab/>
        <w:t>Further and/or alternative relief.’</w:t>
      </w:r>
    </w:p>
    <w:p w14:paraId="68361A59" w14:textId="77777777" w:rsidR="004F37FF" w:rsidRDefault="004F37FF" w:rsidP="00BA4420">
      <w:pPr>
        <w:spacing w:line="360" w:lineRule="auto"/>
        <w:jc w:val="both"/>
      </w:pPr>
    </w:p>
    <w:p w14:paraId="32DD2580" w14:textId="12C5140F" w:rsidR="004F37FF" w:rsidRDefault="004F37FF" w:rsidP="00BA4420">
      <w:pPr>
        <w:spacing w:line="360" w:lineRule="auto"/>
        <w:jc w:val="both"/>
        <w:rPr>
          <w:b/>
        </w:rPr>
      </w:pPr>
      <w:r w:rsidRPr="004F37FF">
        <w:rPr>
          <w:b/>
        </w:rPr>
        <w:t xml:space="preserve">The </w:t>
      </w:r>
      <w:r>
        <w:rPr>
          <w:b/>
        </w:rPr>
        <w:t>applica</w:t>
      </w:r>
      <w:r w:rsidR="00985A0C">
        <w:rPr>
          <w:b/>
        </w:rPr>
        <w:t>ble</w:t>
      </w:r>
      <w:r>
        <w:rPr>
          <w:b/>
        </w:rPr>
        <w:t xml:space="preserve"> rules of court</w:t>
      </w:r>
    </w:p>
    <w:p w14:paraId="66F442F8" w14:textId="23CE56E0" w:rsidR="00E4311F" w:rsidRPr="00E4311F" w:rsidRDefault="00E4311F" w:rsidP="00BA4420">
      <w:pPr>
        <w:spacing w:line="360" w:lineRule="auto"/>
        <w:jc w:val="both"/>
        <w:rPr>
          <w:b/>
          <w:i/>
        </w:rPr>
      </w:pPr>
      <w:r w:rsidRPr="00E4311F">
        <w:rPr>
          <w:b/>
          <w:i/>
        </w:rPr>
        <w:t>The address for service of documents</w:t>
      </w:r>
      <w:r>
        <w:rPr>
          <w:b/>
          <w:i/>
        </w:rPr>
        <w:t xml:space="preserve"> on the defendants</w:t>
      </w:r>
    </w:p>
    <w:p w14:paraId="6EB64983" w14:textId="0E1BFB76" w:rsidR="004F37FF" w:rsidRDefault="004F37FF" w:rsidP="00BA4420">
      <w:pPr>
        <w:numPr>
          <w:ilvl w:val="0"/>
          <w:numId w:val="1"/>
        </w:numPr>
        <w:spacing w:line="360" w:lineRule="auto"/>
        <w:jc w:val="both"/>
      </w:pPr>
      <w:r>
        <w:t>The</w:t>
      </w:r>
      <w:r w:rsidR="00D17F4B">
        <w:t xml:space="preserve"> relevant provisions of rule 19</w:t>
      </w:r>
      <w:r>
        <w:t>(3) provide:</w:t>
      </w:r>
    </w:p>
    <w:p w14:paraId="1329AADC" w14:textId="7844DF05" w:rsidR="00D17F4B" w:rsidRPr="00D17F4B" w:rsidRDefault="00D17F4B" w:rsidP="00D17F4B">
      <w:pPr>
        <w:spacing w:line="360" w:lineRule="auto"/>
        <w:jc w:val="both"/>
        <w:rPr>
          <w:sz w:val="22"/>
          <w:szCs w:val="22"/>
        </w:rPr>
      </w:pPr>
      <w:r>
        <w:rPr>
          <w:sz w:val="22"/>
          <w:szCs w:val="22"/>
        </w:rPr>
        <w:t>‘</w:t>
      </w:r>
      <w:r w:rsidRPr="00D17F4B">
        <w:rPr>
          <w:sz w:val="22"/>
          <w:szCs w:val="22"/>
        </w:rPr>
        <w:t>(3)</w:t>
      </w:r>
      <w:r w:rsidRPr="00D17F4B">
        <w:rPr>
          <w:i/>
          <w:sz w:val="22"/>
          <w:szCs w:val="22"/>
        </w:rPr>
        <w:t>(a)</w:t>
      </w:r>
      <w:r w:rsidRPr="00D17F4B">
        <w:rPr>
          <w:sz w:val="22"/>
          <w:szCs w:val="22"/>
        </w:rPr>
        <w:t xml:space="preserve"> </w:t>
      </w:r>
      <w:r>
        <w:rPr>
          <w:sz w:val="22"/>
          <w:szCs w:val="22"/>
        </w:rPr>
        <w:tab/>
      </w:r>
      <w:r w:rsidRPr="00D17F4B">
        <w:rPr>
          <w:sz w:val="22"/>
          <w:szCs w:val="22"/>
        </w:rPr>
        <w:t>When a defendant delivers notice of intention to defend, defendant shall therein give defendant's full residential or business address,</w:t>
      </w:r>
      <w:r>
        <w:rPr>
          <w:sz w:val="22"/>
          <w:szCs w:val="22"/>
        </w:rPr>
        <w:t xml:space="preserve"> </w:t>
      </w:r>
      <w:r w:rsidRPr="00D17F4B">
        <w:rPr>
          <w:sz w:val="22"/>
          <w:szCs w:val="22"/>
        </w:rPr>
        <w:t>postal address and where available, facsimile address and electronic mail address and shall also appoint an address, not being a post office box</w:t>
      </w:r>
      <w:r>
        <w:rPr>
          <w:sz w:val="22"/>
          <w:szCs w:val="22"/>
        </w:rPr>
        <w:t xml:space="preserve"> </w:t>
      </w:r>
      <w:r w:rsidRPr="00D17F4B">
        <w:rPr>
          <w:sz w:val="22"/>
          <w:szCs w:val="22"/>
        </w:rPr>
        <w:t>or poste restante, within 15 kilometres of the office of the registrar, for the service on defendant thereat of all documents in such action, and</w:t>
      </w:r>
      <w:r>
        <w:rPr>
          <w:sz w:val="22"/>
          <w:szCs w:val="22"/>
        </w:rPr>
        <w:t xml:space="preserve"> </w:t>
      </w:r>
      <w:r w:rsidRPr="00D17F4B">
        <w:rPr>
          <w:sz w:val="22"/>
          <w:szCs w:val="22"/>
        </w:rPr>
        <w:t>service thereof at the address so given shall be valid and effectual, except where by any order or practice of the court personal service is</w:t>
      </w:r>
      <w:r>
        <w:rPr>
          <w:sz w:val="22"/>
          <w:szCs w:val="22"/>
        </w:rPr>
        <w:t xml:space="preserve"> </w:t>
      </w:r>
      <w:r w:rsidRPr="00D17F4B">
        <w:rPr>
          <w:sz w:val="22"/>
          <w:szCs w:val="22"/>
        </w:rPr>
        <w:t>required.</w:t>
      </w:r>
    </w:p>
    <w:p w14:paraId="7AEA607F" w14:textId="6BBA084A" w:rsidR="00D17F4B" w:rsidRPr="00D17F4B" w:rsidRDefault="00D17F4B" w:rsidP="00D17F4B">
      <w:pPr>
        <w:spacing w:line="360" w:lineRule="auto"/>
        <w:jc w:val="both"/>
        <w:rPr>
          <w:sz w:val="22"/>
          <w:szCs w:val="22"/>
        </w:rPr>
      </w:pPr>
      <w:r w:rsidRPr="00D17F4B">
        <w:rPr>
          <w:i/>
          <w:sz w:val="22"/>
          <w:szCs w:val="22"/>
        </w:rPr>
        <w:t>(b)</w:t>
      </w:r>
      <w:r w:rsidRPr="00D17F4B">
        <w:rPr>
          <w:sz w:val="22"/>
          <w:szCs w:val="22"/>
        </w:rPr>
        <w:t xml:space="preserve"> </w:t>
      </w:r>
      <w:r>
        <w:rPr>
          <w:sz w:val="22"/>
          <w:szCs w:val="22"/>
        </w:rPr>
        <w:tab/>
      </w:r>
      <w:r w:rsidRPr="00D17F4B">
        <w:rPr>
          <w:sz w:val="22"/>
          <w:szCs w:val="22"/>
        </w:rPr>
        <w:t>The defendant may indicate in the notice of intention to defend whether the defendant is prepared to accept service of all subsequent</w:t>
      </w:r>
      <w:r>
        <w:rPr>
          <w:sz w:val="22"/>
          <w:szCs w:val="22"/>
        </w:rPr>
        <w:t xml:space="preserve"> </w:t>
      </w:r>
      <w:r w:rsidRPr="00D17F4B">
        <w:rPr>
          <w:sz w:val="22"/>
          <w:szCs w:val="22"/>
        </w:rPr>
        <w:t>documents and notices in the suit through any manner other than the physical address or postal address and, if so, shall state such preferred</w:t>
      </w:r>
      <w:r>
        <w:rPr>
          <w:sz w:val="22"/>
          <w:szCs w:val="22"/>
        </w:rPr>
        <w:t xml:space="preserve"> </w:t>
      </w:r>
      <w:r w:rsidRPr="00D17F4B">
        <w:rPr>
          <w:sz w:val="22"/>
          <w:szCs w:val="22"/>
        </w:rPr>
        <w:t>manner of service.</w:t>
      </w:r>
    </w:p>
    <w:p w14:paraId="5E9368CD" w14:textId="688FF094" w:rsidR="00D17F4B" w:rsidRPr="00D17F4B" w:rsidRDefault="00D17F4B" w:rsidP="00D17F4B">
      <w:pPr>
        <w:spacing w:line="360" w:lineRule="auto"/>
        <w:jc w:val="both"/>
        <w:rPr>
          <w:sz w:val="22"/>
          <w:szCs w:val="22"/>
        </w:rPr>
      </w:pPr>
      <w:r w:rsidRPr="00D17F4B">
        <w:rPr>
          <w:i/>
          <w:sz w:val="22"/>
          <w:szCs w:val="22"/>
        </w:rPr>
        <w:t>(c)</w:t>
      </w:r>
      <w:r w:rsidRPr="00D17F4B">
        <w:rPr>
          <w:sz w:val="22"/>
          <w:szCs w:val="22"/>
        </w:rPr>
        <w:t xml:space="preserve"> </w:t>
      </w:r>
      <w:r>
        <w:rPr>
          <w:sz w:val="22"/>
          <w:szCs w:val="22"/>
        </w:rPr>
        <w:tab/>
      </w:r>
      <w:r w:rsidRPr="00D17F4B">
        <w:rPr>
          <w:sz w:val="22"/>
          <w:szCs w:val="22"/>
        </w:rPr>
        <w:t>The plaintiff may, at the written request of the defendant, deliver a consent in writing to the exchange or service by both parties of</w:t>
      </w:r>
      <w:r>
        <w:rPr>
          <w:sz w:val="22"/>
          <w:szCs w:val="22"/>
        </w:rPr>
        <w:t xml:space="preserve"> </w:t>
      </w:r>
      <w:r w:rsidRPr="00D17F4B">
        <w:rPr>
          <w:sz w:val="22"/>
          <w:szCs w:val="22"/>
        </w:rPr>
        <w:t>subsequent documents and notices in the suit by way of facsimile or electronic mail.</w:t>
      </w:r>
    </w:p>
    <w:p w14:paraId="37BF97FB" w14:textId="1E12229E" w:rsidR="004F37FF" w:rsidRPr="005D1064" w:rsidRDefault="00D17F4B" w:rsidP="00D17F4B">
      <w:pPr>
        <w:spacing w:line="360" w:lineRule="auto"/>
        <w:jc w:val="both"/>
        <w:rPr>
          <w:sz w:val="22"/>
          <w:szCs w:val="22"/>
        </w:rPr>
      </w:pPr>
      <w:r w:rsidRPr="00D17F4B">
        <w:rPr>
          <w:i/>
          <w:sz w:val="22"/>
          <w:szCs w:val="22"/>
        </w:rPr>
        <w:lastRenderedPageBreak/>
        <w:t>(d)</w:t>
      </w:r>
      <w:r w:rsidRPr="00D17F4B">
        <w:rPr>
          <w:sz w:val="22"/>
          <w:szCs w:val="22"/>
        </w:rPr>
        <w:t xml:space="preserve"> </w:t>
      </w:r>
      <w:r>
        <w:rPr>
          <w:sz w:val="22"/>
          <w:szCs w:val="22"/>
        </w:rPr>
        <w:tab/>
      </w:r>
      <w:r w:rsidRPr="00D17F4B">
        <w:rPr>
          <w:sz w:val="22"/>
          <w:szCs w:val="22"/>
        </w:rPr>
        <w:t>If the plaintiff refuses or fails to deliver the consent in writi</w:t>
      </w:r>
      <w:r>
        <w:rPr>
          <w:sz w:val="22"/>
          <w:szCs w:val="22"/>
        </w:rPr>
        <w:t>ng as provided for in paragraph </w:t>
      </w:r>
      <w:r w:rsidRPr="00D17F4B">
        <w:rPr>
          <w:i/>
          <w:sz w:val="22"/>
          <w:szCs w:val="22"/>
        </w:rPr>
        <w:t>(c)</w:t>
      </w:r>
      <w:r w:rsidRPr="00D17F4B">
        <w:rPr>
          <w:sz w:val="22"/>
          <w:szCs w:val="22"/>
        </w:rPr>
        <w:t>, the court may, on application by the</w:t>
      </w:r>
      <w:r>
        <w:rPr>
          <w:sz w:val="22"/>
          <w:szCs w:val="22"/>
        </w:rPr>
        <w:t xml:space="preserve"> </w:t>
      </w:r>
      <w:r w:rsidRPr="00D17F4B">
        <w:rPr>
          <w:sz w:val="22"/>
          <w:szCs w:val="22"/>
        </w:rPr>
        <w:t>defendant, grant such consent, on such terms as to costs and otherwise as may be just and appropriate in the circumstances.</w:t>
      </w:r>
      <w:r w:rsidR="004F37FF" w:rsidRPr="005D1064">
        <w:rPr>
          <w:sz w:val="22"/>
          <w:szCs w:val="22"/>
        </w:rPr>
        <w:t>’</w:t>
      </w:r>
    </w:p>
    <w:p w14:paraId="46FB77B9" w14:textId="6288126C" w:rsidR="004F37FF" w:rsidRPr="00D17F4B" w:rsidRDefault="004F37FF" w:rsidP="00BA4420">
      <w:pPr>
        <w:spacing w:line="360" w:lineRule="auto"/>
        <w:jc w:val="both"/>
      </w:pPr>
    </w:p>
    <w:p w14:paraId="55ECCA72" w14:textId="1D8780EF" w:rsidR="00E4311F" w:rsidRDefault="004F37FF" w:rsidP="00BA4420">
      <w:pPr>
        <w:numPr>
          <w:ilvl w:val="0"/>
          <w:numId w:val="1"/>
        </w:numPr>
        <w:spacing w:line="360" w:lineRule="auto"/>
        <w:jc w:val="both"/>
      </w:pPr>
      <w:r>
        <w:t xml:space="preserve">The defendants did not indicate </w:t>
      </w:r>
      <w:r w:rsidR="00E4311F">
        <w:t xml:space="preserve">in their </w:t>
      </w:r>
      <w:r w:rsidR="00D17F4B">
        <w:t xml:space="preserve">notice </w:t>
      </w:r>
      <w:r w:rsidR="00E4311F">
        <w:t xml:space="preserve">of </w:t>
      </w:r>
      <w:r w:rsidR="00D17F4B">
        <w:t xml:space="preserve">intention </w:t>
      </w:r>
      <w:r w:rsidR="00E4311F">
        <w:t xml:space="preserve">to </w:t>
      </w:r>
      <w:r w:rsidR="00D17F4B">
        <w:t xml:space="preserve">defend </w:t>
      </w:r>
      <w:r>
        <w:t xml:space="preserve">whether they were prepared to accept service of all subsequent documents and notices through any manner other than at the address which they subsequently used for service, nor was any other preferred manner of service indicated. Indeed, the notice of appearance to defend failed to appoint an address within 15 km of the office of the registrar. Subsequent notices and pleadings have however been served on the State </w:t>
      </w:r>
      <w:r w:rsidR="009F0FB3">
        <w:t>Attorney</w:t>
      </w:r>
      <w:r w:rsidR="00994E08">
        <w:t>,</w:t>
      </w:r>
      <w:r>
        <w:t xml:space="preserve"> care of its satellite office at the second floor of the Magistrate</w:t>
      </w:r>
      <w:r w:rsidR="001038AB">
        <w:t>’</w:t>
      </w:r>
      <w:r>
        <w:t xml:space="preserve">s </w:t>
      </w:r>
      <w:r w:rsidR="009F0FB3">
        <w:t xml:space="preserve">Court </w:t>
      </w:r>
      <w:r w:rsidR="001038AB">
        <w:t xml:space="preserve">Building </w:t>
      </w:r>
      <w:r>
        <w:t>at 302 Church St</w:t>
      </w:r>
      <w:r w:rsidR="009F0FB3">
        <w:t>reet</w:t>
      </w:r>
      <w:r>
        <w:t xml:space="preserve">, Pietermaritzburg, or to </w:t>
      </w:r>
      <w:proofErr w:type="spellStart"/>
      <w:r>
        <w:t>Cajee</w:t>
      </w:r>
      <w:proofErr w:type="spellEnd"/>
      <w:r>
        <w:t xml:space="preserve">, </w:t>
      </w:r>
      <w:proofErr w:type="spellStart"/>
      <w:r>
        <w:t>Setsubi</w:t>
      </w:r>
      <w:proofErr w:type="spellEnd"/>
      <w:r>
        <w:t xml:space="preserve"> </w:t>
      </w:r>
      <w:proofErr w:type="spellStart"/>
      <w:r>
        <w:t>Inc</w:t>
      </w:r>
      <w:proofErr w:type="spellEnd"/>
      <w:r>
        <w:t xml:space="preserve"> in Pietermaritzburg. Either one of these became the physical address where service of notices and pleadings were and came to be effected. </w:t>
      </w:r>
      <w:r w:rsidR="00E4311F">
        <w:t>In argument before me</w:t>
      </w:r>
      <w:r w:rsidR="00994E08">
        <w:t xml:space="preserve"> Mr </w:t>
      </w:r>
      <w:proofErr w:type="spellStart"/>
      <w:r w:rsidR="00994E08">
        <w:t>Mtambo</w:t>
      </w:r>
      <w:proofErr w:type="spellEnd"/>
      <w:r w:rsidR="00994E08">
        <w:t xml:space="preserve"> </w:t>
      </w:r>
      <w:r w:rsidR="00E4311F">
        <w:t>accepted tha</w:t>
      </w:r>
      <w:r w:rsidR="00994E08">
        <w:t xml:space="preserve">t service was validly effected </w:t>
      </w:r>
      <w:r w:rsidR="00E4311F">
        <w:t xml:space="preserve">on the defendants at the satellite address. </w:t>
      </w:r>
    </w:p>
    <w:p w14:paraId="64CA98CB" w14:textId="77777777" w:rsidR="00E4311F" w:rsidRDefault="00E4311F" w:rsidP="00BA4420">
      <w:pPr>
        <w:spacing w:line="360" w:lineRule="auto"/>
        <w:jc w:val="both"/>
      </w:pPr>
    </w:p>
    <w:p w14:paraId="382CBF36" w14:textId="726A14C8" w:rsidR="004F37FF" w:rsidRDefault="004F37FF" w:rsidP="00BA4420">
      <w:pPr>
        <w:numPr>
          <w:ilvl w:val="0"/>
          <w:numId w:val="1"/>
        </w:numPr>
        <w:spacing w:line="360" w:lineRule="auto"/>
        <w:jc w:val="both"/>
      </w:pPr>
      <w:r>
        <w:t xml:space="preserve">There </w:t>
      </w:r>
      <w:r w:rsidR="00E4311F">
        <w:t xml:space="preserve">was furthermore </w:t>
      </w:r>
      <w:r>
        <w:t>no indication that the parties agreed to,</w:t>
      </w:r>
      <w:r w:rsidR="00E4311F">
        <w:t xml:space="preserve"> or </w:t>
      </w:r>
      <w:r w:rsidR="00994E08">
        <w:t xml:space="preserve">the defendants </w:t>
      </w:r>
      <w:r w:rsidR="00E4311F">
        <w:t>having entered an appearance to defend</w:t>
      </w:r>
      <w:r w:rsidR="00994E08">
        <w:t>,</w:t>
      </w:r>
      <w:r w:rsidR="00E4311F">
        <w:t xml:space="preserve"> thereafter </w:t>
      </w:r>
      <w:r>
        <w:t>expressly requested that the pleadings be exchanged by email, although it appears that the service of pleadings and notices was often accompanied, sometimes prior to being delivered</w:t>
      </w:r>
      <w:r>
        <w:rPr>
          <w:rStyle w:val="FootnoteReference"/>
        </w:rPr>
        <w:footnoteReference w:id="5"/>
      </w:r>
      <w:r>
        <w:t xml:space="preserve"> in accordance with the </w:t>
      </w:r>
      <w:r w:rsidR="00F20A85">
        <w:t>Uniform Rules</w:t>
      </w:r>
      <w:r>
        <w:t xml:space="preserve">, by being transmitted by email. For the purposes of calculating the dies for the delivery of notices, and adjudicating this application, regard must </w:t>
      </w:r>
      <w:r w:rsidR="002F0610">
        <w:t xml:space="preserve">therefore </w:t>
      </w:r>
      <w:r>
        <w:t xml:space="preserve">be had to the dates when the pleadings and notices were served at the physical address appointed by the plaintiff in its summons, and at either of the addresses used by the defendants during this litigation for service, and where receipt was formally acknowledged. </w:t>
      </w:r>
      <w:r w:rsidR="00E4311F">
        <w:t xml:space="preserve">That was accepted by counsel on both sides. </w:t>
      </w:r>
      <w:r>
        <w:t xml:space="preserve">In what follows below I shall, unless otherwise expressly qualified, refer to and base this judgment on these dates, </w:t>
      </w:r>
      <w:r w:rsidR="00E4311F">
        <w:t xml:space="preserve">and not on </w:t>
      </w:r>
      <w:r>
        <w:t>the dates when documents were allegedly emailed</w:t>
      </w:r>
      <w:r w:rsidR="00E4311F">
        <w:t xml:space="preserve">. </w:t>
      </w:r>
      <w:r>
        <w:t xml:space="preserve"> </w:t>
      </w:r>
    </w:p>
    <w:p w14:paraId="07B1B380" w14:textId="6379FA28" w:rsidR="004F37FF" w:rsidRDefault="004F37FF" w:rsidP="00BA4420">
      <w:pPr>
        <w:spacing w:line="360" w:lineRule="auto"/>
        <w:jc w:val="both"/>
      </w:pPr>
    </w:p>
    <w:p w14:paraId="0E2E7B11" w14:textId="0EDD498C" w:rsidR="002F0610" w:rsidRPr="002F0610" w:rsidRDefault="002F0610" w:rsidP="00BA4420">
      <w:pPr>
        <w:spacing w:line="360" w:lineRule="auto"/>
        <w:jc w:val="both"/>
        <w:rPr>
          <w:b/>
          <w:i/>
        </w:rPr>
      </w:pPr>
      <w:r w:rsidRPr="002F0610">
        <w:rPr>
          <w:b/>
          <w:i/>
        </w:rPr>
        <w:lastRenderedPageBreak/>
        <w:t>The amendment of the plaintiff’s particulars of claim and replication</w:t>
      </w:r>
    </w:p>
    <w:p w14:paraId="1A77AB29" w14:textId="427D88E5" w:rsidR="004F37FF" w:rsidRDefault="00985A0C" w:rsidP="00BA4420">
      <w:pPr>
        <w:numPr>
          <w:ilvl w:val="0"/>
          <w:numId w:val="1"/>
        </w:numPr>
        <w:spacing w:line="360" w:lineRule="auto"/>
        <w:jc w:val="both"/>
      </w:pPr>
      <w:r>
        <w:t>The relevant provisions of rule 28 provide</w:t>
      </w:r>
      <w:r w:rsidR="004F37FF">
        <w:t>:</w:t>
      </w:r>
    </w:p>
    <w:p w14:paraId="5C709515" w14:textId="2264E6AA" w:rsidR="006F41C7" w:rsidRPr="00E4311F" w:rsidRDefault="00C5368B" w:rsidP="00FB00A1">
      <w:pPr>
        <w:pStyle w:val="ListParagraph"/>
        <w:spacing w:line="360" w:lineRule="auto"/>
        <w:ind w:left="0"/>
        <w:jc w:val="both"/>
        <w:rPr>
          <w:sz w:val="22"/>
          <w:szCs w:val="22"/>
        </w:rPr>
      </w:pPr>
      <w:r>
        <w:rPr>
          <w:sz w:val="22"/>
          <w:szCs w:val="22"/>
        </w:rPr>
        <w:t xml:space="preserve">‘(1) </w:t>
      </w:r>
      <w:r w:rsidR="00FB00A1" w:rsidRPr="00FB00A1">
        <w:rPr>
          <w:sz w:val="22"/>
          <w:szCs w:val="22"/>
        </w:rPr>
        <w:t>Any party desiring to amend a pleading or document other than a sworn statement, filed in connection with any proceedings, shall notify</w:t>
      </w:r>
      <w:r w:rsidR="00FB00A1">
        <w:rPr>
          <w:sz w:val="22"/>
          <w:szCs w:val="22"/>
        </w:rPr>
        <w:t xml:space="preserve"> </w:t>
      </w:r>
      <w:r w:rsidR="00FB00A1" w:rsidRPr="00FB00A1">
        <w:rPr>
          <w:sz w:val="22"/>
          <w:szCs w:val="22"/>
        </w:rPr>
        <w:t>all other parties of his intention to amend and shall furnish particulars of the amendment</w:t>
      </w:r>
      <w:r w:rsidR="006F41C7" w:rsidRPr="00E4311F">
        <w:rPr>
          <w:sz w:val="22"/>
          <w:szCs w:val="22"/>
        </w:rPr>
        <w:t>.</w:t>
      </w:r>
    </w:p>
    <w:p w14:paraId="4B5BDD34" w14:textId="139C6C24" w:rsidR="006F41C7" w:rsidRPr="00E4311F" w:rsidRDefault="00C5368B" w:rsidP="00FB00A1">
      <w:pPr>
        <w:pStyle w:val="ListParagraph"/>
        <w:spacing w:line="360" w:lineRule="auto"/>
        <w:ind w:left="0"/>
        <w:jc w:val="both"/>
        <w:rPr>
          <w:sz w:val="22"/>
          <w:szCs w:val="22"/>
        </w:rPr>
      </w:pPr>
      <w:r>
        <w:rPr>
          <w:sz w:val="22"/>
          <w:szCs w:val="22"/>
        </w:rPr>
        <w:t xml:space="preserve">(2) </w:t>
      </w:r>
      <w:r w:rsidR="00FB00A1" w:rsidRPr="00FB00A1">
        <w:rPr>
          <w:sz w:val="22"/>
          <w:szCs w:val="22"/>
        </w:rPr>
        <w:t xml:space="preserve">The notice referred to in </w:t>
      </w:r>
      <w:proofErr w:type="spellStart"/>
      <w:r w:rsidR="00FB00A1" w:rsidRPr="00FB00A1">
        <w:rPr>
          <w:sz w:val="22"/>
          <w:szCs w:val="22"/>
        </w:rPr>
        <w:t>subrule</w:t>
      </w:r>
      <w:proofErr w:type="spellEnd"/>
      <w:r w:rsidR="00FB00A1" w:rsidRPr="00FB00A1">
        <w:rPr>
          <w:sz w:val="22"/>
          <w:szCs w:val="22"/>
        </w:rPr>
        <w:t xml:space="preserve"> (1) shall state that unless written objection to the proposed amendment is delivered within 10 days of</w:t>
      </w:r>
      <w:r w:rsidR="00FB00A1">
        <w:rPr>
          <w:sz w:val="22"/>
          <w:szCs w:val="22"/>
        </w:rPr>
        <w:t xml:space="preserve"> </w:t>
      </w:r>
      <w:r w:rsidR="00FB00A1" w:rsidRPr="00FB00A1">
        <w:rPr>
          <w:sz w:val="22"/>
          <w:szCs w:val="22"/>
        </w:rPr>
        <w:t>delivery of the notice, the amendment will be effected</w:t>
      </w:r>
      <w:r w:rsidR="006F41C7" w:rsidRPr="00E4311F">
        <w:rPr>
          <w:sz w:val="22"/>
          <w:szCs w:val="22"/>
        </w:rPr>
        <w:t>.</w:t>
      </w:r>
    </w:p>
    <w:p w14:paraId="29B8BDCE" w14:textId="30D029C9" w:rsidR="006F41C7" w:rsidRPr="00E4311F" w:rsidRDefault="00C5368B" w:rsidP="00FB00A1">
      <w:pPr>
        <w:pStyle w:val="ListParagraph"/>
        <w:spacing w:line="360" w:lineRule="auto"/>
        <w:ind w:left="0"/>
        <w:jc w:val="both"/>
        <w:rPr>
          <w:sz w:val="22"/>
          <w:szCs w:val="22"/>
        </w:rPr>
      </w:pPr>
      <w:r>
        <w:rPr>
          <w:sz w:val="22"/>
          <w:szCs w:val="22"/>
        </w:rPr>
        <w:t xml:space="preserve">(3) </w:t>
      </w:r>
      <w:r w:rsidR="006F41C7" w:rsidRPr="00E4311F">
        <w:rPr>
          <w:sz w:val="22"/>
          <w:szCs w:val="22"/>
        </w:rPr>
        <w:t>. . .</w:t>
      </w:r>
    </w:p>
    <w:p w14:paraId="094832C6" w14:textId="388576B0" w:rsidR="006F41C7" w:rsidRPr="00E4311F" w:rsidRDefault="00C5368B" w:rsidP="00FB00A1">
      <w:pPr>
        <w:pStyle w:val="ListParagraph"/>
        <w:spacing w:line="360" w:lineRule="auto"/>
        <w:ind w:left="0"/>
        <w:jc w:val="both"/>
        <w:rPr>
          <w:sz w:val="22"/>
          <w:szCs w:val="22"/>
        </w:rPr>
      </w:pPr>
      <w:r>
        <w:rPr>
          <w:sz w:val="22"/>
          <w:szCs w:val="22"/>
        </w:rPr>
        <w:t xml:space="preserve">(4) </w:t>
      </w:r>
      <w:r w:rsidR="006F41C7" w:rsidRPr="00E4311F">
        <w:rPr>
          <w:sz w:val="22"/>
          <w:szCs w:val="22"/>
        </w:rPr>
        <w:t>. . .</w:t>
      </w:r>
    </w:p>
    <w:p w14:paraId="276535C4" w14:textId="39DC87AC" w:rsidR="006F41C7" w:rsidRPr="00E4311F" w:rsidRDefault="00C5368B" w:rsidP="00FB00A1">
      <w:pPr>
        <w:pStyle w:val="ListParagraph"/>
        <w:spacing w:line="360" w:lineRule="auto"/>
        <w:ind w:left="0"/>
        <w:jc w:val="both"/>
        <w:rPr>
          <w:sz w:val="22"/>
          <w:szCs w:val="22"/>
        </w:rPr>
      </w:pPr>
      <w:r>
        <w:rPr>
          <w:sz w:val="22"/>
          <w:szCs w:val="22"/>
        </w:rPr>
        <w:t xml:space="preserve">(5) </w:t>
      </w:r>
      <w:r w:rsidR="00FB00A1" w:rsidRPr="00FB00A1">
        <w:rPr>
          <w:sz w:val="22"/>
          <w:szCs w:val="22"/>
        </w:rPr>
        <w:t xml:space="preserve">If no objection is delivered as contemplated in </w:t>
      </w:r>
      <w:proofErr w:type="spellStart"/>
      <w:r w:rsidR="00FB00A1" w:rsidRPr="00FB00A1">
        <w:rPr>
          <w:sz w:val="22"/>
          <w:szCs w:val="22"/>
        </w:rPr>
        <w:t>subrule</w:t>
      </w:r>
      <w:proofErr w:type="spellEnd"/>
      <w:r w:rsidR="00FB00A1" w:rsidRPr="00FB00A1">
        <w:rPr>
          <w:sz w:val="22"/>
          <w:szCs w:val="22"/>
        </w:rPr>
        <w:t xml:space="preserve"> (4), every party who received notice of the proposed amendment shall be deemed</w:t>
      </w:r>
      <w:r w:rsidR="00FB00A1">
        <w:rPr>
          <w:sz w:val="22"/>
          <w:szCs w:val="22"/>
        </w:rPr>
        <w:t xml:space="preserve"> </w:t>
      </w:r>
      <w:r w:rsidR="00FB00A1" w:rsidRPr="00FB00A1">
        <w:rPr>
          <w:sz w:val="22"/>
          <w:szCs w:val="22"/>
        </w:rPr>
        <w:t>to have consented to the amendment and the party who gave notice of the proposed amendment may, within 10 days after the expiration of</w:t>
      </w:r>
      <w:r w:rsidR="00FB00A1">
        <w:rPr>
          <w:sz w:val="22"/>
          <w:szCs w:val="22"/>
        </w:rPr>
        <w:t xml:space="preserve"> </w:t>
      </w:r>
      <w:r w:rsidR="00FB00A1" w:rsidRPr="00FB00A1">
        <w:rPr>
          <w:sz w:val="22"/>
          <w:szCs w:val="22"/>
        </w:rPr>
        <w:t xml:space="preserve">the period mentioned in </w:t>
      </w:r>
      <w:proofErr w:type="spellStart"/>
      <w:r w:rsidR="00FB00A1" w:rsidRPr="00FB00A1">
        <w:rPr>
          <w:sz w:val="22"/>
          <w:szCs w:val="22"/>
        </w:rPr>
        <w:t>subrule</w:t>
      </w:r>
      <w:proofErr w:type="spellEnd"/>
      <w:r w:rsidR="00FB00A1" w:rsidRPr="00FB00A1">
        <w:rPr>
          <w:sz w:val="22"/>
          <w:szCs w:val="22"/>
        </w:rPr>
        <w:t xml:space="preserve"> (2), effect the amendment as contemplated in </w:t>
      </w:r>
      <w:proofErr w:type="spellStart"/>
      <w:r w:rsidR="00FB00A1" w:rsidRPr="00FB00A1">
        <w:rPr>
          <w:sz w:val="22"/>
          <w:szCs w:val="22"/>
        </w:rPr>
        <w:t>subrule</w:t>
      </w:r>
      <w:proofErr w:type="spellEnd"/>
      <w:r w:rsidR="00FB00A1" w:rsidRPr="00FB00A1">
        <w:rPr>
          <w:sz w:val="22"/>
          <w:szCs w:val="22"/>
        </w:rPr>
        <w:t xml:space="preserve"> (7)</w:t>
      </w:r>
      <w:r w:rsidR="006F41C7" w:rsidRPr="00E4311F">
        <w:rPr>
          <w:sz w:val="22"/>
          <w:szCs w:val="22"/>
        </w:rPr>
        <w:t>.</w:t>
      </w:r>
      <w:r w:rsidR="00E4311F">
        <w:rPr>
          <w:sz w:val="22"/>
          <w:szCs w:val="22"/>
        </w:rPr>
        <w:t>’</w:t>
      </w:r>
    </w:p>
    <w:p w14:paraId="5A705D23" w14:textId="29F9FD4D" w:rsidR="006F41C7" w:rsidRPr="00E4311F" w:rsidRDefault="00C5368B" w:rsidP="00FB00A1">
      <w:pPr>
        <w:pStyle w:val="ListParagraph"/>
        <w:spacing w:line="360" w:lineRule="auto"/>
        <w:ind w:left="0"/>
        <w:jc w:val="both"/>
        <w:rPr>
          <w:sz w:val="22"/>
          <w:szCs w:val="22"/>
        </w:rPr>
      </w:pPr>
      <w:r>
        <w:rPr>
          <w:sz w:val="22"/>
          <w:szCs w:val="22"/>
        </w:rPr>
        <w:t xml:space="preserve">(6) </w:t>
      </w:r>
      <w:r w:rsidR="006F41C7" w:rsidRPr="00E4311F">
        <w:rPr>
          <w:sz w:val="22"/>
          <w:szCs w:val="22"/>
        </w:rPr>
        <w:t>. . .</w:t>
      </w:r>
    </w:p>
    <w:p w14:paraId="79635F0C" w14:textId="26CE1FC4" w:rsidR="006F41C7" w:rsidRPr="00E4311F" w:rsidRDefault="00C5368B" w:rsidP="00C5368B">
      <w:pPr>
        <w:pStyle w:val="ListParagraph"/>
        <w:spacing w:line="360" w:lineRule="auto"/>
        <w:ind w:left="0"/>
        <w:jc w:val="both"/>
        <w:rPr>
          <w:sz w:val="22"/>
          <w:szCs w:val="22"/>
        </w:rPr>
      </w:pPr>
      <w:r>
        <w:rPr>
          <w:sz w:val="22"/>
          <w:szCs w:val="22"/>
        </w:rPr>
        <w:t xml:space="preserve">(7) </w:t>
      </w:r>
      <w:r w:rsidRPr="00C5368B">
        <w:rPr>
          <w:sz w:val="22"/>
          <w:szCs w:val="22"/>
        </w:rPr>
        <w:t>Unless the court otherwise directs, a party who is entitled to amend shall effect the amendment by delivering each relevant page in its</w:t>
      </w:r>
      <w:r>
        <w:rPr>
          <w:sz w:val="22"/>
          <w:szCs w:val="22"/>
        </w:rPr>
        <w:t xml:space="preserve"> </w:t>
      </w:r>
      <w:r w:rsidRPr="00C5368B">
        <w:rPr>
          <w:sz w:val="22"/>
          <w:szCs w:val="22"/>
        </w:rPr>
        <w:t>amended form</w:t>
      </w:r>
      <w:r w:rsidR="00E4311F" w:rsidRPr="00E4311F">
        <w:rPr>
          <w:sz w:val="22"/>
          <w:szCs w:val="22"/>
        </w:rPr>
        <w:t>.</w:t>
      </w:r>
      <w:r w:rsidR="001038AB">
        <w:rPr>
          <w:sz w:val="22"/>
          <w:szCs w:val="22"/>
        </w:rPr>
        <w:t>’</w:t>
      </w:r>
    </w:p>
    <w:p w14:paraId="55313AD1" w14:textId="6614306D" w:rsidR="00985A0C" w:rsidRDefault="006F41C7" w:rsidP="00FB00A1">
      <w:pPr>
        <w:pStyle w:val="ListParagraph"/>
        <w:spacing w:line="360" w:lineRule="auto"/>
        <w:jc w:val="both"/>
      </w:pPr>
      <w:r>
        <w:t xml:space="preserve"> </w:t>
      </w:r>
    </w:p>
    <w:p w14:paraId="14171945" w14:textId="565F4A1B" w:rsidR="00985A0C" w:rsidRDefault="002F0610" w:rsidP="00BA4420">
      <w:pPr>
        <w:numPr>
          <w:ilvl w:val="0"/>
          <w:numId w:val="1"/>
        </w:numPr>
        <w:spacing w:line="360" w:lineRule="auto"/>
        <w:jc w:val="both"/>
      </w:pPr>
      <w:r>
        <w:t xml:space="preserve">The plaintiff duly served its notice of amendment on the defendants on </w:t>
      </w:r>
      <w:r w:rsidR="00994E08">
        <w:t>26 April 2021</w:t>
      </w:r>
      <w:r>
        <w:t>. The 10 days for lodging any objection to the proposed amendments accord</w:t>
      </w:r>
      <w:r w:rsidR="00994E08">
        <w:t>ingly expired on 11 May 2021.</w:t>
      </w:r>
      <w:r>
        <w:t xml:space="preserve"> This is not disputed by the defendants. The defendants’ objection to the notice of amendment is </w:t>
      </w:r>
      <w:r w:rsidR="00994E08">
        <w:t xml:space="preserve">not to the content thereof, but </w:t>
      </w:r>
      <w:r>
        <w:t>that it constitutes an irregular step or proceeding and falls to be set aside as such</w:t>
      </w:r>
      <w:r w:rsidR="00CE2701">
        <w:t xml:space="preserve"> because their exception </w:t>
      </w:r>
      <w:r w:rsidR="00E155E8">
        <w:t>had not yet been adjudicated.</w:t>
      </w:r>
      <w:r>
        <w:t xml:space="preserve"> Barring it being found to be an irregul</w:t>
      </w:r>
      <w:r w:rsidR="00E155E8">
        <w:t xml:space="preserve">ar step or proceeding and </w:t>
      </w:r>
      <w:r>
        <w:t>set aside as such, the notice of amendment is valid and would lead to a valid amendment</w:t>
      </w:r>
      <w:r w:rsidR="00E155E8">
        <w:t xml:space="preserve"> of the plaintiff’s particulars of claim and replication</w:t>
      </w:r>
      <w:r>
        <w:t>. The defendants have never otherwise objected to or suggested that the amendments that were sought, and subsequently, pursuant to t</w:t>
      </w:r>
      <w:r w:rsidR="00E155E8">
        <w:t xml:space="preserve">he notice of amendment </w:t>
      </w:r>
      <w:r>
        <w:t>effected, were otherwise objectionable or improper.</w:t>
      </w:r>
    </w:p>
    <w:p w14:paraId="5F37C6A3" w14:textId="09FA7B8B" w:rsidR="004F37FF" w:rsidRDefault="004F37FF" w:rsidP="00BA4420">
      <w:pPr>
        <w:spacing w:line="360" w:lineRule="auto"/>
        <w:jc w:val="both"/>
      </w:pPr>
    </w:p>
    <w:p w14:paraId="77D105A2" w14:textId="28D20FAA" w:rsidR="002F0610" w:rsidRPr="002F0610" w:rsidRDefault="002F0610" w:rsidP="00BA4420">
      <w:pPr>
        <w:spacing w:line="360" w:lineRule="auto"/>
        <w:jc w:val="both"/>
        <w:rPr>
          <w:b/>
          <w:i/>
        </w:rPr>
      </w:pPr>
      <w:r w:rsidRPr="002F0610">
        <w:rPr>
          <w:b/>
          <w:i/>
        </w:rPr>
        <w:t>The provisions of the rules governing the present application</w:t>
      </w:r>
    </w:p>
    <w:p w14:paraId="059E6942" w14:textId="7065C3D3" w:rsidR="00985A0C" w:rsidRDefault="00E4311F" w:rsidP="00BA4420">
      <w:pPr>
        <w:numPr>
          <w:ilvl w:val="0"/>
          <w:numId w:val="1"/>
        </w:numPr>
        <w:spacing w:line="360" w:lineRule="auto"/>
        <w:jc w:val="both"/>
      </w:pPr>
      <w:r>
        <w:t>In relation to an application such as the present, r</w:t>
      </w:r>
      <w:r w:rsidR="004F37FF">
        <w:t>ule 30 provides</w:t>
      </w:r>
      <w:r w:rsidR="00985A0C">
        <w:t>:</w:t>
      </w:r>
    </w:p>
    <w:p w14:paraId="59D53680" w14:textId="77777777" w:rsidR="003B3AA5" w:rsidRPr="003B3AA5" w:rsidRDefault="003B3AA5" w:rsidP="003B3AA5">
      <w:pPr>
        <w:spacing w:line="360" w:lineRule="auto"/>
        <w:jc w:val="both"/>
        <w:rPr>
          <w:sz w:val="22"/>
          <w:szCs w:val="22"/>
        </w:rPr>
      </w:pPr>
      <w:r w:rsidRPr="003B3AA5">
        <w:rPr>
          <w:sz w:val="22"/>
          <w:szCs w:val="22"/>
        </w:rPr>
        <w:lastRenderedPageBreak/>
        <w:t>(1) A party to a cause in which an irregular step has been taken by any other party may apply to court to set it aside.</w:t>
      </w:r>
    </w:p>
    <w:p w14:paraId="422743BC" w14:textId="1109D5E2" w:rsidR="003B3AA5" w:rsidRDefault="003B3AA5" w:rsidP="003B3AA5">
      <w:pPr>
        <w:spacing w:line="360" w:lineRule="auto"/>
        <w:jc w:val="both"/>
        <w:rPr>
          <w:sz w:val="22"/>
          <w:szCs w:val="22"/>
        </w:rPr>
      </w:pPr>
      <w:r w:rsidRPr="003B3AA5">
        <w:rPr>
          <w:sz w:val="22"/>
          <w:szCs w:val="22"/>
        </w:rPr>
        <w:t xml:space="preserve">(2) An application in terms of </w:t>
      </w:r>
      <w:proofErr w:type="spellStart"/>
      <w:r w:rsidRPr="003B3AA5">
        <w:rPr>
          <w:sz w:val="22"/>
          <w:szCs w:val="22"/>
        </w:rPr>
        <w:t>subrule</w:t>
      </w:r>
      <w:proofErr w:type="spellEnd"/>
      <w:r w:rsidRPr="003B3AA5">
        <w:rPr>
          <w:sz w:val="22"/>
          <w:szCs w:val="22"/>
        </w:rPr>
        <w:t xml:space="preserve"> (1) shall be on notice to all parties specifying particulars of the irregularity or impropriety alleged, and</w:t>
      </w:r>
      <w:r>
        <w:rPr>
          <w:sz w:val="22"/>
          <w:szCs w:val="22"/>
        </w:rPr>
        <w:t xml:space="preserve"> </w:t>
      </w:r>
      <w:r w:rsidRPr="003B3AA5">
        <w:rPr>
          <w:sz w:val="22"/>
          <w:szCs w:val="22"/>
        </w:rPr>
        <w:t>may be made only if</w:t>
      </w:r>
      <w:r>
        <w:rPr>
          <w:sz w:val="22"/>
          <w:szCs w:val="22"/>
        </w:rPr>
        <w:t xml:space="preserve"> – </w:t>
      </w:r>
    </w:p>
    <w:p w14:paraId="267B72FF" w14:textId="39851465" w:rsidR="003B3AA5" w:rsidRPr="003B3AA5" w:rsidRDefault="003B3AA5" w:rsidP="003B3AA5">
      <w:pPr>
        <w:spacing w:line="360" w:lineRule="auto"/>
        <w:jc w:val="both"/>
        <w:rPr>
          <w:sz w:val="22"/>
          <w:szCs w:val="22"/>
        </w:rPr>
      </w:pPr>
      <w:r w:rsidRPr="003B3AA5">
        <w:rPr>
          <w:i/>
          <w:sz w:val="22"/>
          <w:szCs w:val="22"/>
        </w:rPr>
        <w:t>(a)</w:t>
      </w:r>
      <w:r w:rsidRPr="003B3AA5">
        <w:rPr>
          <w:sz w:val="22"/>
          <w:szCs w:val="22"/>
        </w:rPr>
        <w:t xml:space="preserve"> </w:t>
      </w:r>
      <w:r>
        <w:rPr>
          <w:sz w:val="22"/>
          <w:szCs w:val="22"/>
        </w:rPr>
        <w:tab/>
      </w:r>
      <w:proofErr w:type="gramStart"/>
      <w:r w:rsidRPr="003B3AA5">
        <w:rPr>
          <w:sz w:val="22"/>
          <w:szCs w:val="22"/>
        </w:rPr>
        <w:t>the</w:t>
      </w:r>
      <w:proofErr w:type="gramEnd"/>
      <w:r w:rsidRPr="003B3AA5">
        <w:rPr>
          <w:sz w:val="22"/>
          <w:szCs w:val="22"/>
        </w:rPr>
        <w:t xml:space="preserve"> applicant has not himself taken a further step in the cause with knowledge of the irregularity;</w:t>
      </w:r>
    </w:p>
    <w:p w14:paraId="74E3DCE0" w14:textId="6882CBF8" w:rsidR="003B3AA5" w:rsidRPr="003B3AA5" w:rsidRDefault="003B3AA5" w:rsidP="003B3AA5">
      <w:pPr>
        <w:spacing w:line="360" w:lineRule="auto"/>
        <w:jc w:val="both"/>
        <w:rPr>
          <w:sz w:val="22"/>
          <w:szCs w:val="22"/>
        </w:rPr>
      </w:pPr>
      <w:r w:rsidRPr="003B3AA5">
        <w:rPr>
          <w:i/>
          <w:sz w:val="22"/>
          <w:szCs w:val="22"/>
        </w:rPr>
        <w:t>(b)</w:t>
      </w:r>
      <w:r w:rsidRPr="003B3AA5">
        <w:rPr>
          <w:sz w:val="22"/>
          <w:szCs w:val="22"/>
        </w:rPr>
        <w:t xml:space="preserve"> </w:t>
      </w:r>
      <w:r>
        <w:rPr>
          <w:sz w:val="22"/>
          <w:szCs w:val="22"/>
        </w:rPr>
        <w:tab/>
      </w:r>
      <w:proofErr w:type="gramStart"/>
      <w:r w:rsidRPr="003B3AA5">
        <w:rPr>
          <w:sz w:val="22"/>
          <w:szCs w:val="22"/>
        </w:rPr>
        <w:t>the</w:t>
      </w:r>
      <w:proofErr w:type="gramEnd"/>
      <w:r w:rsidRPr="003B3AA5">
        <w:rPr>
          <w:sz w:val="22"/>
          <w:szCs w:val="22"/>
        </w:rPr>
        <w:t xml:space="preserve"> applicant has, within ten days of becoming aware of the step, by written notice afforded his opponent an opportunity of</w:t>
      </w:r>
      <w:r>
        <w:rPr>
          <w:sz w:val="22"/>
          <w:szCs w:val="22"/>
        </w:rPr>
        <w:t xml:space="preserve"> </w:t>
      </w:r>
      <w:r w:rsidRPr="003B3AA5">
        <w:rPr>
          <w:sz w:val="22"/>
          <w:szCs w:val="22"/>
        </w:rPr>
        <w:t>removing the cause of complaint within ten days;</w:t>
      </w:r>
    </w:p>
    <w:p w14:paraId="7163453F" w14:textId="2A16FBB2" w:rsidR="004F37FF" w:rsidRDefault="003B3AA5" w:rsidP="003B3AA5">
      <w:pPr>
        <w:spacing w:line="360" w:lineRule="auto"/>
        <w:jc w:val="both"/>
        <w:rPr>
          <w:sz w:val="22"/>
          <w:szCs w:val="22"/>
        </w:rPr>
      </w:pPr>
      <w:r w:rsidRPr="003B3AA5">
        <w:rPr>
          <w:i/>
          <w:sz w:val="22"/>
          <w:szCs w:val="22"/>
        </w:rPr>
        <w:t>(c)</w:t>
      </w:r>
      <w:r w:rsidRPr="003B3AA5">
        <w:rPr>
          <w:sz w:val="22"/>
          <w:szCs w:val="22"/>
        </w:rPr>
        <w:t xml:space="preserve"> </w:t>
      </w:r>
      <w:r>
        <w:rPr>
          <w:sz w:val="22"/>
          <w:szCs w:val="22"/>
        </w:rPr>
        <w:tab/>
      </w:r>
      <w:proofErr w:type="gramStart"/>
      <w:r w:rsidRPr="003B3AA5">
        <w:rPr>
          <w:sz w:val="22"/>
          <w:szCs w:val="22"/>
        </w:rPr>
        <w:t>the</w:t>
      </w:r>
      <w:proofErr w:type="gramEnd"/>
      <w:r w:rsidRPr="003B3AA5">
        <w:rPr>
          <w:sz w:val="22"/>
          <w:szCs w:val="22"/>
        </w:rPr>
        <w:t xml:space="preserve"> application is delivered within 15 days after the expiry of the second period mentioned in paragraph </w:t>
      </w:r>
      <w:r w:rsidRPr="003B3AA5">
        <w:rPr>
          <w:i/>
          <w:sz w:val="22"/>
          <w:szCs w:val="22"/>
        </w:rPr>
        <w:t>(b)</w:t>
      </w:r>
      <w:r w:rsidRPr="003B3AA5">
        <w:rPr>
          <w:sz w:val="22"/>
          <w:szCs w:val="22"/>
        </w:rPr>
        <w:t xml:space="preserve"> of </w:t>
      </w:r>
      <w:proofErr w:type="spellStart"/>
      <w:r w:rsidRPr="003B3AA5">
        <w:rPr>
          <w:sz w:val="22"/>
          <w:szCs w:val="22"/>
        </w:rPr>
        <w:t>subrule</w:t>
      </w:r>
      <w:proofErr w:type="spellEnd"/>
      <w:r w:rsidRPr="003B3AA5">
        <w:rPr>
          <w:sz w:val="22"/>
          <w:szCs w:val="22"/>
        </w:rPr>
        <w:t xml:space="preserve"> (2).</w:t>
      </w:r>
      <w:r w:rsidR="00985A0C" w:rsidRPr="00985A0C">
        <w:rPr>
          <w:sz w:val="22"/>
          <w:szCs w:val="22"/>
        </w:rPr>
        <w:t>.’</w:t>
      </w:r>
    </w:p>
    <w:p w14:paraId="3221DC6F" w14:textId="77777777" w:rsidR="00994E08" w:rsidRPr="001B72FD" w:rsidRDefault="00994E08" w:rsidP="00BA4420">
      <w:pPr>
        <w:spacing w:line="360" w:lineRule="auto"/>
        <w:ind w:left="1440" w:hanging="720"/>
        <w:jc w:val="both"/>
        <w:rPr>
          <w:sz w:val="22"/>
          <w:szCs w:val="22"/>
        </w:rPr>
      </w:pPr>
    </w:p>
    <w:p w14:paraId="77DA37DE" w14:textId="37217043" w:rsidR="00C3291A" w:rsidRPr="004F37FF" w:rsidRDefault="004F37FF" w:rsidP="00BA4420">
      <w:pPr>
        <w:pStyle w:val="ListParagraph"/>
        <w:spacing w:line="360" w:lineRule="auto"/>
        <w:ind w:left="0"/>
        <w:rPr>
          <w:b/>
        </w:rPr>
      </w:pPr>
      <w:r w:rsidRPr="004F37FF">
        <w:rPr>
          <w:b/>
        </w:rPr>
        <w:t>The defendants’ non-compliance with the provisions of rule 30</w:t>
      </w:r>
      <w:r w:rsidR="00C3291A">
        <w:rPr>
          <w:b/>
        </w:rPr>
        <w:t xml:space="preserve"> and condonation</w:t>
      </w:r>
    </w:p>
    <w:p w14:paraId="14A1FFBB" w14:textId="6AAC3331" w:rsidR="00EC2FF7" w:rsidRDefault="00EC2FF7" w:rsidP="00BA4420">
      <w:pPr>
        <w:numPr>
          <w:ilvl w:val="0"/>
          <w:numId w:val="1"/>
        </w:numPr>
        <w:spacing w:line="360" w:lineRule="auto"/>
        <w:jc w:val="both"/>
      </w:pPr>
      <w:r>
        <w:t xml:space="preserve">The defendants have not identified the </w:t>
      </w:r>
      <w:r w:rsidR="003F46A6">
        <w:t xml:space="preserve">aspects </w:t>
      </w:r>
      <w:r>
        <w:t>in which th</w:t>
      </w:r>
      <w:r w:rsidR="007D3D63">
        <w:t>ey failed to comply with rule 30</w:t>
      </w:r>
      <w:r w:rsidR="00176F5E">
        <w:t xml:space="preserve"> and</w:t>
      </w:r>
      <w:r w:rsidR="00BF1B21">
        <w:t xml:space="preserve"> </w:t>
      </w:r>
      <w:r w:rsidR="007D3D63">
        <w:t xml:space="preserve">in respect of </w:t>
      </w:r>
      <w:r>
        <w:t>which they see</w:t>
      </w:r>
      <w:r w:rsidR="00BF1B21">
        <w:t>k</w:t>
      </w:r>
      <w:r>
        <w:t xml:space="preserve"> condonation.</w:t>
      </w:r>
      <w:r w:rsidR="001B72FD">
        <w:t xml:space="preserve"> </w:t>
      </w:r>
      <w:r w:rsidR="00E155E8">
        <w:t xml:space="preserve">They simply submitted in argument that condonation was </w:t>
      </w:r>
      <w:r w:rsidR="00DC1140">
        <w:t xml:space="preserve">sought insofar as necessary. </w:t>
      </w:r>
      <w:r w:rsidR="00E87882">
        <w:t xml:space="preserve">The extent of any possible non-compliance </w:t>
      </w:r>
      <w:r w:rsidR="00E155E8">
        <w:t xml:space="preserve">with the rules possibly requiring condonation </w:t>
      </w:r>
      <w:r w:rsidR="001B72FD">
        <w:t>accordingly had to be teased out of the papers.</w:t>
      </w:r>
      <w:r w:rsidR="00E87882">
        <w:t xml:space="preserve"> These are considered below.</w:t>
      </w:r>
    </w:p>
    <w:p w14:paraId="78014849" w14:textId="133CD75B" w:rsidR="009F0CF4" w:rsidRDefault="009F0CF4" w:rsidP="00BA4420">
      <w:pPr>
        <w:spacing w:line="360" w:lineRule="auto"/>
        <w:jc w:val="both"/>
      </w:pPr>
    </w:p>
    <w:p w14:paraId="58C39672" w14:textId="4F270434" w:rsidR="001B72FD" w:rsidRPr="001F5A98" w:rsidRDefault="001B72FD" w:rsidP="00BA4420">
      <w:pPr>
        <w:spacing w:line="360" w:lineRule="auto"/>
        <w:jc w:val="both"/>
        <w:rPr>
          <w:b/>
          <w:i/>
        </w:rPr>
      </w:pPr>
      <w:r w:rsidRPr="001B72FD">
        <w:rPr>
          <w:b/>
          <w:i/>
        </w:rPr>
        <w:t>The first notice in terms of rule 30(2</w:t>
      </w:r>
      <w:proofErr w:type="gramStart"/>
      <w:r w:rsidRPr="001B72FD">
        <w:rPr>
          <w:b/>
          <w:i/>
        </w:rPr>
        <w:t>)(</w:t>
      </w:r>
      <w:proofErr w:type="gramEnd"/>
      <w:r w:rsidRPr="001B72FD">
        <w:rPr>
          <w:b/>
          <w:i/>
        </w:rPr>
        <w:t>b)</w:t>
      </w:r>
    </w:p>
    <w:p w14:paraId="46615D0B" w14:textId="5C805BDA" w:rsidR="001B72FD" w:rsidRDefault="00DC1140" w:rsidP="00BA4420">
      <w:pPr>
        <w:numPr>
          <w:ilvl w:val="0"/>
          <w:numId w:val="1"/>
        </w:numPr>
        <w:spacing w:line="360" w:lineRule="auto"/>
        <w:jc w:val="both"/>
      </w:pPr>
      <w:r>
        <w:t xml:space="preserve">In terms of rule </w:t>
      </w:r>
      <w:r w:rsidR="00E155E8">
        <w:t>30(2</w:t>
      </w:r>
      <w:proofErr w:type="gramStart"/>
      <w:r w:rsidR="00E155E8">
        <w:t>)</w:t>
      </w:r>
      <w:r w:rsidR="00E155E8" w:rsidRPr="003B3AA5">
        <w:rPr>
          <w:i/>
        </w:rPr>
        <w:t>(</w:t>
      </w:r>
      <w:proofErr w:type="gramEnd"/>
      <w:r w:rsidR="00E155E8" w:rsidRPr="003B3AA5">
        <w:rPr>
          <w:i/>
        </w:rPr>
        <w:t>b)</w:t>
      </w:r>
      <w:r w:rsidR="00E155E8">
        <w:t xml:space="preserve"> </w:t>
      </w:r>
      <w:r w:rsidR="001B72FD">
        <w:t>the defendants’ first notice had to be filed within 10 days of becoming aware of the irregular step (</w:t>
      </w:r>
      <w:proofErr w:type="spellStart"/>
      <w:r>
        <w:t>ie</w:t>
      </w:r>
      <w:proofErr w:type="spellEnd"/>
      <w:r>
        <w:t xml:space="preserve"> the notice </w:t>
      </w:r>
      <w:r w:rsidR="001B72FD">
        <w:t xml:space="preserve">of </w:t>
      </w:r>
      <w:r>
        <w:t xml:space="preserve">intention </w:t>
      </w:r>
      <w:r w:rsidR="001B72FD">
        <w:t xml:space="preserve">to </w:t>
      </w:r>
      <w:r>
        <w:t xml:space="preserve">amend </w:t>
      </w:r>
      <w:r w:rsidR="001B72FD">
        <w:t>served on 26 April 2021), namely on or before 11 May 2021</w:t>
      </w:r>
      <w:r w:rsidR="00E87882">
        <w:t xml:space="preserve">. The first notice was </w:t>
      </w:r>
      <w:r w:rsidR="001B72FD">
        <w:t xml:space="preserve">only </w:t>
      </w:r>
      <w:r w:rsidR="00E87882">
        <w:t xml:space="preserve">served </w:t>
      </w:r>
      <w:r w:rsidR="00816E92">
        <w:t>on 13 </w:t>
      </w:r>
      <w:r w:rsidR="001B72FD">
        <w:t>May 2021, two days later</w:t>
      </w:r>
      <w:r w:rsidR="00E87882">
        <w:t>.</w:t>
      </w:r>
    </w:p>
    <w:p w14:paraId="1A1EB436" w14:textId="77777777" w:rsidR="001038AB" w:rsidRDefault="001038AB" w:rsidP="001038AB">
      <w:pPr>
        <w:spacing w:line="360" w:lineRule="auto"/>
        <w:jc w:val="both"/>
      </w:pPr>
    </w:p>
    <w:p w14:paraId="21892278" w14:textId="08540C07" w:rsidR="001B72FD" w:rsidRDefault="00E87882" w:rsidP="00BA4420">
      <w:pPr>
        <w:numPr>
          <w:ilvl w:val="0"/>
          <w:numId w:val="1"/>
        </w:numPr>
        <w:spacing w:line="360" w:lineRule="auto"/>
        <w:jc w:val="both"/>
      </w:pPr>
      <w:r>
        <w:t>The submission advanced was that it is not the date of service of the notice of intention to defend on the defendants’ satellite office from which the 10</w:t>
      </w:r>
      <w:r w:rsidR="00DC1140">
        <w:t xml:space="preserve"> day</w:t>
      </w:r>
      <w:r>
        <w:t xml:space="preserve"> period for filing the first notice should be calculated, but, </w:t>
      </w:r>
      <w:r w:rsidR="002B0AAD">
        <w:t xml:space="preserve">the </w:t>
      </w:r>
      <w:r>
        <w:t xml:space="preserve">rule provides, </w:t>
      </w:r>
      <w:r w:rsidR="002B0AAD">
        <w:t xml:space="preserve">that this had to be done within 10 days from </w:t>
      </w:r>
      <w:r>
        <w:t xml:space="preserve">the date from which the defendants, </w:t>
      </w:r>
      <w:r w:rsidRPr="00E87882">
        <w:rPr>
          <w:szCs w:val="24"/>
        </w:rPr>
        <w:t xml:space="preserve">as applicants, had become ‘aware of the step’. This date, it was argued, </w:t>
      </w:r>
      <w:r w:rsidRPr="007360DB">
        <w:rPr>
          <w:i/>
        </w:rPr>
        <w:t>ex facie</w:t>
      </w:r>
      <w:r>
        <w:t xml:space="preserve"> the founding affidavit in the application, </w:t>
      </w:r>
      <w:r w:rsidR="00450F38">
        <w:t>was when the d</w:t>
      </w:r>
      <w:r>
        <w:t>eponent</w:t>
      </w:r>
      <w:r w:rsidR="007360DB">
        <w:t xml:space="preserve">, being the State </w:t>
      </w:r>
      <w:r w:rsidR="00DC1140">
        <w:t xml:space="preserve">Attorney </w:t>
      </w:r>
      <w:r w:rsidR="007360DB">
        <w:t>dealing with the matter,</w:t>
      </w:r>
      <w:r>
        <w:t xml:space="preserve"> became aware of the notice of intention to amend</w:t>
      </w:r>
      <w:r w:rsidR="00450F38">
        <w:t>, which she states was w</w:t>
      </w:r>
      <w:r>
        <w:t>hen a hard copy thereof was received by her on 3 May 2021</w:t>
      </w:r>
      <w:r w:rsidR="00450F38">
        <w:t>.</w:t>
      </w:r>
    </w:p>
    <w:p w14:paraId="2E01FEAA" w14:textId="77777777" w:rsidR="002B0AAD" w:rsidRDefault="002B0AAD" w:rsidP="00BA4420">
      <w:pPr>
        <w:spacing w:line="360" w:lineRule="auto"/>
        <w:jc w:val="both"/>
      </w:pPr>
    </w:p>
    <w:p w14:paraId="300949E9" w14:textId="2B6E97AE" w:rsidR="002C2EBF" w:rsidRPr="002C2EBF" w:rsidRDefault="00450F38" w:rsidP="00BA4420">
      <w:pPr>
        <w:numPr>
          <w:ilvl w:val="0"/>
          <w:numId w:val="1"/>
        </w:numPr>
        <w:spacing w:line="360" w:lineRule="auto"/>
        <w:jc w:val="both"/>
      </w:pPr>
      <w:r>
        <w:t xml:space="preserve">The reference </w:t>
      </w:r>
      <w:r w:rsidR="0025234B">
        <w:t>to</w:t>
      </w:r>
      <w:r>
        <w:t xml:space="preserve"> ‘</w:t>
      </w:r>
      <w:r w:rsidRPr="00450F38">
        <w:rPr>
          <w:szCs w:val="24"/>
        </w:rPr>
        <w:t>becoming aware of the step</w:t>
      </w:r>
      <w:r>
        <w:rPr>
          <w:szCs w:val="24"/>
        </w:rPr>
        <w:t>’</w:t>
      </w:r>
      <w:r w:rsidR="0025234B">
        <w:rPr>
          <w:szCs w:val="24"/>
        </w:rPr>
        <w:t>,</w:t>
      </w:r>
      <w:r>
        <w:rPr>
          <w:szCs w:val="24"/>
        </w:rPr>
        <w:t xml:space="preserve"> as the date </w:t>
      </w:r>
      <w:r>
        <w:t>from which the time period for the service of a rule 30(2)</w:t>
      </w:r>
      <w:r w:rsidRPr="00F23978">
        <w:rPr>
          <w:i/>
        </w:rPr>
        <w:t>(b)</w:t>
      </w:r>
      <w:r>
        <w:t xml:space="preserve"> commences to run, does not require that </w:t>
      </w:r>
      <w:r w:rsidRPr="00450F38">
        <w:rPr>
          <w:szCs w:val="24"/>
        </w:rPr>
        <w:t xml:space="preserve">the </w:t>
      </w:r>
      <w:r>
        <w:rPr>
          <w:szCs w:val="24"/>
        </w:rPr>
        <w:t>actual litigant, that is the ‘</w:t>
      </w:r>
      <w:r w:rsidRPr="00450F38">
        <w:rPr>
          <w:szCs w:val="24"/>
        </w:rPr>
        <w:t>applicant</w:t>
      </w:r>
      <w:r>
        <w:rPr>
          <w:szCs w:val="24"/>
        </w:rPr>
        <w:t>’ in the rule 30(1) application</w:t>
      </w:r>
      <w:r w:rsidRPr="00450F38">
        <w:rPr>
          <w:szCs w:val="24"/>
        </w:rPr>
        <w:t xml:space="preserve"> </w:t>
      </w:r>
      <w:r>
        <w:rPr>
          <w:szCs w:val="24"/>
        </w:rPr>
        <w:t xml:space="preserve">must have become aware of </w:t>
      </w:r>
      <w:r w:rsidR="00041BAE">
        <w:rPr>
          <w:szCs w:val="24"/>
        </w:rPr>
        <w:t>the irregularity of the step</w:t>
      </w:r>
      <w:r>
        <w:rPr>
          <w:szCs w:val="24"/>
        </w:rPr>
        <w:t xml:space="preserve">. </w:t>
      </w:r>
      <w:r w:rsidR="00041BAE">
        <w:rPr>
          <w:szCs w:val="24"/>
        </w:rPr>
        <w:t>Becoming aware of the irregularity means after becoming aware that the step that is irregular, had been taken, and not after becoming aware of the irregularity of the step.</w:t>
      </w:r>
      <w:r w:rsidR="00041BAE">
        <w:rPr>
          <w:rStyle w:val="FootnoteReference"/>
          <w:szCs w:val="24"/>
        </w:rPr>
        <w:footnoteReference w:id="6"/>
      </w:r>
      <w:r w:rsidR="00041BAE">
        <w:rPr>
          <w:szCs w:val="24"/>
        </w:rPr>
        <w:t xml:space="preserve"> </w:t>
      </w:r>
      <w:r>
        <w:rPr>
          <w:szCs w:val="24"/>
        </w:rPr>
        <w:t>Litigation, by its very nature is conducted by attorneys as agents on behalf of litigating parties and the knowledge of the attorney as the agent of the litigant is imputed to the litigant, whether as constructive knowledge</w:t>
      </w:r>
      <w:r w:rsidR="0025234B">
        <w:rPr>
          <w:szCs w:val="24"/>
        </w:rPr>
        <w:t xml:space="preserve">, or otherwise. </w:t>
      </w:r>
      <w:r>
        <w:rPr>
          <w:szCs w:val="24"/>
        </w:rPr>
        <w:t xml:space="preserve">To reach any other conclusion would be to introduce too much uncertainty in the litigation process and create an unworkable situation. </w:t>
      </w:r>
      <w:r w:rsidR="0025234B">
        <w:rPr>
          <w:szCs w:val="24"/>
        </w:rPr>
        <w:t xml:space="preserve">Knowledge of procedural steps must be </w:t>
      </w:r>
      <w:r w:rsidR="002C2EBF">
        <w:rPr>
          <w:szCs w:val="24"/>
        </w:rPr>
        <w:t>ascribed to a litigant and its agents when they occur</w:t>
      </w:r>
      <w:r w:rsidR="00F23978">
        <w:rPr>
          <w:szCs w:val="24"/>
        </w:rPr>
        <w:t>,</w:t>
      </w:r>
      <w:r w:rsidR="002C2EBF">
        <w:rPr>
          <w:szCs w:val="24"/>
        </w:rPr>
        <w:t xml:space="preserve"> and by the exercise of reasonable care and skill</w:t>
      </w:r>
      <w:r w:rsidR="00F23978">
        <w:rPr>
          <w:szCs w:val="24"/>
        </w:rPr>
        <w:t>,</w:t>
      </w:r>
      <w:r w:rsidR="002C2EBF">
        <w:rPr>
          <w:szCs w:val="24"/>
        </w:rPr>
        <w:t xml:space="preserve"> co</w:t>
      </w:r>
      <w:r w:rsidR="00F23978">
        <w:rPr>
          <w:szCs w:val="24"/>
        </w:rPr>
        <w:t>u</w:t>
      </w:r>
      <w:r w:rsidR="002C2EBF">
        <w:rPr>
          <w:szCs w:val="24"/>
        </w:rPr>
        <w:t xml:space="preserve">ld and would come to the knowledge of that litigant. </w:t>
      </w:r>
      <w:r>
        <w:rPr>
          <w:szCs w:val="24"/>
        </w:rPr>
        <w:t>By parity of</w:t>
      </w:r>
      <w:r w:rsidR="00830B80">
        <w:rPr>
          <w:szCs w:val="24"/>
        </w:rPr>
        <w:t xml:space="preserve"> reasoning, the </w:t>
      </w:r>
      <w:r>
        <w:rPr>
          <w:szCs w:val="24"/>
        </w:rPr>
        <w:t>serv</w:t>
      </w:r>
      <w:r w:rsidR="00830B80">
        <w:rPr>
          <w:szCs w:val="24"/>
        </w:rPr>
        <w:t xml:space="preserve">ice of the notice of intention to amend at the </w:t>
      </w:r>
      <w:r w:rsidR="002C2EBF">
        <w:rPr>
          <w:szCs w:val="24"/>
        </w:rPr>
        <w:t xml:space="preserve">chosen satellite </w:t>
      </w:r>
      <w:r>
        <w:rPr>
          <w:szCs w:val="24"/>
        </w:rPr>
        <w:t>office of the State Attorney in Pietermaritzburg</w:t>
      </w:r>
      <w:r w:rsidR="00830B80">
        <w:rPr>
          <w:szCs w:val="24"/>
        </w:rPr>
        <w:t xml:space="preserve"> must be imputed to the defendants</w:t>
      </w:r>
      <w:r w:rsidR="002C2EBF">
        <w:rPr>
          <w:szCs w:val="24"/>
        </w:rPr>
        <w:t>,</w:t>
      </w:r>
      <w:r w:rsidR="00830B80">
        <w:rPr>
          <w:szCs w:val="24"/>
        </w:rPr>
        <w:t xml:space="preserve"> as it is through the exercise of reasonable care that their attorney co</w:t>
      </w:r>
      <w:r w:rsidR="002C2EBF">
        <w:rPr>
          <w:szCs w:val="24"/>
        </w:rPr>
        <w:t>u</w:t>
      </w:r>
      <w:r w:rsidR="00830B80">
        <w:rPr>
          <w:szCs w:val="24"/>
        </w:rPr>
        <w:t xml:space="preserve">ld and should have been aware of the existence of the notice of intention to amend having already been served on 26 April 2021. </w:t>
      </w:r>
    </w:p>
    <w:p w14:paraId="51008B80" w14:textId="6F654330" w:rsidR="00450F38" w:rsidRPr="00450F38" w:rsidRDefault="00450F38" w:rsidP="00BA4420">
      <w:pPr>
        <w:spacing w:line="360" w:lineRule="auto"/>
        <w:jc w:val="both"/>
      </w:pPr>
      <w:r>
        <w:rPr>
          <w:szCs w:val="24"/>
        </w:rPr>
        <w:t xml:space="preserve">  </w:t>
      </w:r>
    </w:p>
    <w:p w14:paraId="24FC2518" w14:textId="7DB4DE4A" w:rsidR="001B72FD" w:rsidRPr="002C2EBF" w:rsidRDefault="00830B80" w:rsidP="00BA4420">
      <w:pPr>
        <w:numPr>
          <w:ilvl w:val="0"/>
          <w:numId w:val="1"/>
        </w:numPr>
        <w:spacing w:line="360" w:lineRule="auto"/>
        <w:jc w:val="both"/>
      </w:pPr>
      <w:r>
        <w:rPr>
          <w:szCs w:val="24"/>
        </w:rPr>
        <w:t>Accordingly, the first notice was served two days late, and condonation was required to be applied for in respect thereof.</w:t>
      </w:r>
    </w:p>
    <w:p w14:paraId="1ACF7696" w14:textId="77777777" w:rsidR="002C2EBF" w:rsidRPr="00830B80" w:rsidRDefault="002C2EBF" w:rsidP="00BA4420">
      <w:pPr>
        <w:spacing w:line="360" w:lineRule="auto"/>
        <w:jc w:val="both"/>
      </w:pPr>
    </w:p>
    <w:p w14:paraId="128A54DF" w14:textId="2F279000" w:rsidR="00955621" w:rsidRPr="00955621" w:rsidRDefault="00830B80" w:rsidP="00955621">
      <w:pPr>
        <w:numPr>
          <w:ilvl w:val="0"/>
          <w:numId w:val="1"/>
        </w:numPr>
        <w:spacing w:line="360" w:lineRule="auto"/>
        <w:jc w:val="both"/>
      </w:pPr>
      <w:r>
        <w:rPr>
          <w:szCs w:val="24"/>
        </w:rPr>
        <w:t>It is trite law that a party seeking condonation must provide a full and acceptable explanation for every period in respect of which the default exists.</w:t>
      </w:r>
      <w:r w:rsidR="00955621">
        <w:rPr>
          <w:szCs w:val="24"/>
        </w:rPr>
        <w:t xml:space="preserve"> In </w:t>
      </w:r>
      <w:r w:rsidR="00955621" w:rsidRPr="005E77A1">
        <w:rPr>
          <w:i/>
          <w:lang w:val="en-US"/>
        </w:rPr>
        <w:t xml:space="preserve">Van </w:t>
      </w:r>
      <w:proofErr w:type="spellStart"/>
      <w:r w:rsidR="00955621" w:rsidRPr="005E77A1">
        <w:rPr>
          <w:i/>
          <w:lang w:val="en-US"/>
        </w:rPr>
        <w:t>Wyk</w:t>
      </w:r>
      <w:proofErr w:type="spellEnd"/>
      <w:r w:rsidR="00955621" w:rsidRPr="005E77A1">
        <w:rPr>
          <w:i/>
          <w:lang w:val="en-US"/>
        </w:rPr>
        <w:t xml:space="preserve"> v </w:t>
      </w:r>
      <w:proofErr w:type="spellStart"/>
      <w:r w:rsidR="00955621" w:rsidRPr="005E77A1">
        <w:rPr>
          <w:i/>
          <w:lang w:val="en-US"/>
        </w:rPr>
        <w:t>Unitas</w:t>
      </w:r>
      <w:proofErr w:type="spellEnd"/>
      <w:r w:rsidR="00955621" w:rsidRPr="005E77A1">
        <w:rPr>
          <w:i/>
          <w:lang w:val="en-US"/>
        </w:rPr>
        <w:t xml:space="preserve"> Hospital and another (Open Democratic Advice Centre as amicus curiae)</w:t>
      </w:r>
      <w:r w:rsidR="002C2EBF">
        <w:rPr>
          <w:rStyle w:val="FootnoteReference"/>
          <w:szCs w:val="24"/>
        </w:rPr>
        <w:footnoteReference w:id="7"/>
      </w:r>
      <w:r w:rsidR="00955621">
        <w:rPr>
          <w:i/>
          <w:lang w:val="en-US"/>
        </w:rPr>
        <w:t xml:space="preserve"> </w:t>
      </w:r>
      <w:r w:rsidR="00955621" w:rsidRPr="00955621">
        <w:rPr>
          <w:lang w:val="en-US"/>
        </w:rPr>
        <w:t>the Constitutional Court held</w:t>
      </w:r>
      <w:r w:rsidR="00955621">
        <w:rPr>
          <w:lang w:val="en-US"/>
        </w:rPr>
        <w:t xml:space="preserve"> that:</w:t>
      </w:r>
    </w:p>
    <w:p w14:paraId="1D8EB2DA" w14:textId="3DCB53EE" w:rsidR="00955621" w:rsidRPr="00955621" w:rsidRDefault="00955621" w:rsidP="00955621">
      <w:pPr>
        <w:spacing w:line="360" w:lineRule="auto"/>
        <w:jc w:val="both"/>
      </w:pPr>
      <w:r w:rsidRPr="00955621">
        <w:rPr>
          <w:sz w:val="22"/>
          <w:szCs w:val="22"/>
        </w:rPr>
        <w:t>‘An applicant for condonation must giv</w:t>
      </w:r>
      <w:r>
        <w:rPr>
          <w:sz w:val="22"/>
          <w:szCs w:val="22"/>
        </w:rPr>
        <w:t>e a full explanation for the </w:t>
      </w:r>
      <w:r w:rsidRPr="00955621">
        <w:rPr>
          <w:sz w:val="22"/>
          <w:szCs w:val="22"/>
        </w:rPr>
        <w:t>delay. In addition, the explanation must cover the entire period of delay. And, what is more, the explanation given must be reasonable.’</w:t>
      </w:r>
    </w:p>
    <w:p w14:paraId="481DDBAE" w14:textId="77777777" w:rsidR="002C2EBF" w:rsidRPr="00830B80" w:rsidRDefault="002C2EBF" w:rsidP="00BA4420">
      <w:pPr>
        <w:spacing w:line="360" w:lineRule="auto"/>
        <w:jc w:val="both"/>
      </w:pPr>
    </w:p>
    <w:p w14:paraId="394E1E05" w14:textId="18C0D49F" w:rsidR="00BE622E" w:rsidRDefault="00830B80" w:rsidP="00BA4420">
      <w:pPr>
        <w:numPr>
          <w:ilvl w:val="0"/>
          <w:numId w:val="1"/>
        </w:numPr>
        <w:spacing w:line="360" w:lineRule="auto"/>
        <w:jc w:val="both"/>
      </w:pPr>
      <w:r>
        <w:rPr>
          <w:szCs w:val="24"/>
        </w:rPr>
        <w:lastRenderedPageBreak/>
        <w:t>The defendants’ attorney explains that notwithstanding the plaintiff’s notice to amend bearing the date stamp of the State Attorney</w:t>
      </w:r>
      <w:r w:rsidR="007863C6">
        <w:rPr>
          <w:szCs w:val="24"/>
        </w:rPr>
        <w:t>,</w:t>
      </w:r>
      <w:r>
        <w:rPr>
          <w:szCs w:val="24"/>
        </w:rPr>
        <w:t xml:space="preserve"> Durban on 26 April 2021</w:t>
      </w:r>
      <w:r w:rsidR="00BE622E">
        <w:t>:</w:t>
      </w:r>
    </w:p>
    <w:p w14:paraId="55405B7E" w14:textId="524A3F7B" w:rsidR="00BE622E" w:rsidRDefault="00BE622E" w:rsidP="00E359AF">
      <w:pPr>
        <w:pStyle w:val="ListParagraph"/>
        <w:numPr>
          <w:ilvl w:val="0"/>
          <w:numId w:val="43"/>
        </w:numPr>
        <w:spacing w:line="360" w:lineRule="auto"/>
        <w:ind w:left="0" w:firstLine="0"/>
        <w:jc w:val="both"/>
      </w:pPr>
      <w:r>
        <w:t>she received a hardcopy of the plaintiff’s notice of intention to amend served on 26 April 2021</w:t>
      </w:r>
      <w:r w:rsidR="007863C6">
        <w:t>,</w:t>
      </w:r>
      <w:r>
        <w:t xml:space="preserve"> only on 3 May 2021, that is 3 court days later;</w:t>
      </w:r>
    </w:p>
    <w:p w14:paraId="04E28727" w14:textId="05F25A61" w:rsidR="00BE622E" w:rsidRDefault="00BE622E" w:rsidP="00E359AF">
      <w:pPr>
        <w:pStyle w:val="ListParagraph"/>
        <w:numPr>
          <w:ilvl w:val="0"/>
          <w:numId w:val="43"/>
        </w:numPr>
        <w:spacing w:line="360" w:lineRule="auto"/>
        <w:ind w:left="0" w:firstLine="0"/>
        <w:jc w:val="both"/>
      </w:pPr>
      <w:r>
        <w:t>that the notice had previously been sent to her by email on 21 April 2021 but that she was at the time experiencing problems with her computer which had crashed resulting in her not having sight of the notice of intention to amend until 3 May 2021;</w:t>
      </w:r>
    </w:p>
    <w:p w14:paraId="016794C6" w14:textId="0FAA8836" w:rsidR="00BE622E" w:rsidRDefault="00BE622E" w:rsidP="00E359AF">
      <w:pPr>
        <w:pStyle w:val="ListParagraph"/>
        <w:numPr>
          <w:ilvl w:val="0"/>
          <w:numId w:val="43"/>
        </w:numPr>
        <w:spacing w:line="360" w:lineRule="auto"/>
        <w:ind w:left="0" w:firstLine="0"/>
        <w:jc w:val="both"/>
      </w:pPr>
      <w:r>
        <w:t xml:space="preserve">she confirms that the notice was properly served on 26 April 2021 and had been received in the registry of the State </w:t>
      </w:r>
      <w:r w:rsidR="00476E52">
        <w:t>A</w:t>
      </w:r>
      <w:r>
        <w:t>ttorney in Durban on 30 April 2021;</w:t>
      </w:r>
    </w:p>
    <w:p w14:paraId="06533620" w14:textId="77777777" w:rsidR="00BE622E" w:rsidRDefault="00BE622E" w:rsidP="00E359AF">
      <w:pPr>
        <w:pStyle w:val="ListParagraph"/>
        <w:numPr>
          <w:ilvl w:val="0"/>
          <w:numId w:val="43"/>
        </w:numPr>
        <w:spacing w:line="360" w:lineRule="auto"/>
        <w:ind w:left="0" w:firstLine="0"/>
        <w:jc w:val="both"/>
      </w:pPr>
      <w:r>
        <w:t>she prepared a memorandum to counsel on 5 May 2021, but ‘missed’ the messenger and got the brief to counsel only on 11 May 2021;</w:t>
      </w:r>
    </w:p>
    <w:p w14:paraId="7DC32CD8" w14:textId="2210FE9B" w:rsidR="00BE622E" w:rsidRDefault="00BE622E" w:rsidP="00E359AF">
      <w:pPr>
        <w:pStyle w:val="ListParagraph"/>
        <w:numPr>
          <w:ilvl w:val="0"/>
          <w:numId w:val="43"/>
        </w:numPr>
        <w:spacing w:line="360" w:lineRule="auto"/>
        <w:ind w:left="0" w:firstLine="0"/>
        <w:jc w:val="both"/>
      </w:pPr>
      <w:r>
        <w:t>that:</w:t>
      </w:r>
    </w:p>
    <w:p w14:paraId="439C4E29" w14:textId="6019EE1C" w:rsidR="00BE622E" w:rsidRPr="001A7459" w:rsidRDefault="00BE622E" w:rsidP="00E359AF">
      <w:pPr>
        <w:pStyle w:val="ListParagraph"/>
        <w:spacing w:line="360" w:lineRule="auto"/>
        <w:jc w:val="both"/>
        <w:rPr>
          <w:sz w:val="22"/>
          <w:szCs w:val="22"/>
        </w:rPr>
      </w:pPr>
      <w:r w:rsidRPr="001A7459">
        <w:rPr>
          <w:sz w:val="22"/>
          <w:szCs w:val="22"/>
        </w:rPr>
        <w:t>‘[</w:t>
      </w:r>
      <w:proofErr w:type="gramStart"/>
      <w:r w:rsidRPr="001A7459">
        <w:rPr>
          <w:sz w:val="22"/>
          <w:szCs w:val="22"/>
        </w:rPr>
        <w:t>a]</w:t>
      </w:r>
      <w:proofErr w:type="gramEnd"/>
      <w:r w:rsidRPr="001A7459">
        <w:rPr>
          <w:sz w:val="22"/>
          <w:szCs w:val="22"/>
        </w:rPr>
        <w:t xml:space="preserve">t about this stage the pleadings were temporarily suspended by agreement between the parties as the parties were engaged in mediation in an attempt to resolve the matter. The Defendants Exception was also not set down for hearing in light of the agreement. The mediation was partially successful . . . in April 2021 the Plaintiffs filed a Notice to Amend both the Particulars of Claim and the Replication.’ </w:t>
      </w:r>
    </w:p>
    <w:p w14:paraId="5E6F4B4B" w14:textId="5801EEF0" w:rsidR="00BE622E" w:rsidRDefault="00BE622E" w:rsidP="00E359AF">
      <w:pPr>
        <w:pStyle w:val="ListParagraph"/>
        <w:spacing w:line="360" w:lineRule="auto"/>
        <w:ind w:left="0"/>
        <w:jc w:val="both"/>
      </w:pPr>
      <w:r>
        <w:t>This appears to be in conflict with the allegation earlie</w:t>
      </w:r>
      <w:r w:rsidR="00E359AF">
        <w:t xml:space="preserve">r in her affidavit that ‘should </w:t>
      </w:r>
      <w:r>
        <w:t>the further discussions not result in the resolution of the matter by 15 February 2021 litigation would resume.’</w:t>
      </w:r>
      <w:r>
        <w:rPr>
          <w:rStyle w:val="FootnoteReference"/>
        </w:rPr>
        <w:footnoteReference w:id="8"/>
      </w:r>
    </w:p>
    <w:p w14:paraId="6EA85243" w14:textId="5F66A2EB" w:rsidR="00BE622E" w:rsidRDefault="00BE622E" w:rsidP="00E359AF">
      <w:pPr>
        <w:pStyle w:val="ListParagraph"/>
        <w:numPr>
          <w:ilvl w:val="0"/>
          <w:numId w:val="43"/>
        </w:numPr>
        <w:spacing w:line="360" w:lineRule="auto"/>
        <w:ind w:left="0" w:firstLine="0"/>
        <w:jc w:val="both"/>
      </w:pPr>
      <w:r>
        <w:t xml:space="preserve"> the defendants on 12 May 2021 prepared </w:t>
      </w:r>
      <w:r w:rsidR="00DE54AF">
        <w:t>the first n</w:t>
      </w:r>
      <w:r>
        <w:t xml:space="preserve">otice in </w:t>
      </w:r>
      <w:r w:rsidR="00DE54AF">
        <w:t xml:space="preserve">terms of rule 30 </w:t>
      </w:r>
      <w:r>
        <w:t>which was served on 13 May 2021;</w:t>
      </w:r>
    </w:p>
    <w:p w14:paraId="4A68C242" w14:textId="7F84F3AC" w:rsidR="00BE622E" w:rsidRDefault="00BE622E" w:rsidP="00E359AF">
      <w:pPr>
        <w:pStyle w:val="ListParagraph"/>
        <w:numPr>
          <w:ilvl w:val="0"/>
          <w:numId w:val="43"/>
        </w:numPr>
        <w:spacing w:line="360" w:lineRule="auto"/>
        <w:ind w:left="0" w:firstLine="0"/>
        <w:jc w:val="both"/>
      </w:pPr>
      <w:proofErr w:type="gramStart"/>
      <w:r>
        <w:t>she</w:t>
      </w:r>
      <w:proofErr w:type="gramEnd"/>
      <w:r>
        <w:t xml:space="preserve"> submits that the first notice was delivered timeously, taking into account the date she </w:t>
      </w:r>
      <w:r w:rsidR="00DE54AF">
        <w:t xml:space="preserve">actually </w:t>
      </w:r>
      <w:r>
        <w:t>became aware of the notice, namely 3 May 2021.</w:t>
      </w:r>
    </w:p>
    <w:p w14:paraId="2FF149CD" w14:textId="34C18958" w:rsidR="00BE622E" w:rsidRDefault="00BE622E" w:rsidP="00E359AF">
      <w:pPr>
        <w:pStyle w:val="ListParagraph"/>
        <w:numPr>
          <w:ilvl w:val="0"/>
          <w:numId w:val="43"/>
        </w:numPr>
        <w:spacing w:line="360" w:lineRule="auto"/>
        <w:ind w:left="0" w:firstLine="0"/>
        <w:jc w:val="both"/>
      </w:pPr>
      <w:r>
        <w:t xml:space="preserve">she concludes that if there was a delay, it was not an unreasonable one and </w:t>
      </w:r>
      <w:r w:rsidR="00DE54AF">
        <w:t>‘</w:t>
      </w:r>
      <w:r>
        <w:t>at most one of approximately one week</w:t>
      </w:r>
      <w:r w:rsidR="00DE54AF">
        <w:t>’</w:t>
      </w:r>
      <w:r>
        <w:t xml:space="preserve"> which she submits cannot cause any prejudice to the plaintiff as the plaintiff has always been aware of the fact that an exception was taken, ‘that such exception must be adjudicated upon before any further proceedings’, that ‘notwithstanding such exception, Plaintiff proceeded to amend the pleadings which amendments make reference to the exceptions taken’, and finally, that ‘the exception </w:t>
      </w:r>
      <w:r>
        <w:lastRenderedPageBreak/>
        <w:t>must be dealt with first and depending on the success thereof, Plaintiff may be given leave to amend the pleadings.’</w:t>
      </w:r>
    </w:p>
    <w:p w14:paraId="2F11E98E" w14:textId="77777777" w:rsidR="00BE622E" w:rsidRDefault="00BE622E" w:rsidP="00BA4420">
      <w:pPr>
        <w:spacing w:line="360" w:lineRule="auto"/>
        <w:jc w:val="both"/>
      </w:pPr>
    </w:p>
    <w:p w14:paraId="2C60F2BB" w14:textId="1B5E1B6C" w:rsidR="00BE622E" w:rsidRDefault="00BE622E" w:rsidP="00BA4420">
      <w:pPr>
        <w:numPr>
          <w:ilvl w:val="0"/>
          <w:numId w:val="1"/>
        </w:numPr>
        <w:spacing w:line="360" w:lineRule="auto"/>
        <w:jc w:val="both"/>
      </w:pPr>
      <w:r>
        <w:t>Howe</w:t>
      </w:r>
      <w:r w:rsidR="003744E2">
        <w:t xml:space="preserve">ver, even if the lack of </w:t>
      </w:r>
      <w:r>
        <w:t xml:space="preserve">knowledge of </w:t>
      </w:r>
      <w:r w:rsidR="003744E2">
        <w:t xml:space="preserve">service of </w:t>
      </w:r>
      <w:r>
        <w:t xml:space="preserve">the plaintiff’s notice of amendment </w:t>
      </w:r>
      <w:r w:rsidR="003744E2">
        <w:t xml:space="preserve">on 26 April 2021 </w:t>
      </w:r>
      <w:r>
        <w:t>could be excused</w:t>
      </w:r>
      <w:r w:rsidR="003744E2">
        <w:t xml:space="preserve"> because of internal procedures in the office of the State </w:t>
      </w:r>
      <w:r w:rsidR="00080344">
        <w:t>Attorney</w:t>
      </w:r>
      <w:r>
        <w:t xml:space="preserve">, there is no satisfactory response </w:t>
      </w:r>
      <w:r w:rsidR="00476E52">
        <w:t>for the</w:t>
      </w:r>
      <w:r>
        <w:t xml:space="preserve"> delays which ensued when </w:t>
      </w:r>
      <w:r w:rsidR="003744E2">
        <w:t xml:space="preserve">the attorney </w:t>
      </w:r>
      <w:r>
        <w:t>‘missed’ the messenger who was to deliver the brief to counsel. There is no explanation why, having missed the messenger on 6 May 2021, she could not have expedited the delivery of the brief to counsel by other means of conveyance</w:t>
      </w:r>
      <w:r w:rsidR="00547DB2">
        <w:t>.</w:t>
      </w:r>
      <w:r>
        <w:t xml:space="preserve"> </w:t>
      </w:r>
    </w:p>
    <w:p w14:paraId="4BE58682" w14:textId="77777777" w:rsidR="00547DB2" w:rsidRDefault="00547DB2" w:rsidP="00BA4420">
      <w:pPr>
        <w:spacing w:line="360" w:lineRule="auto"/>
        <w:jc w:val="both"/>
      </w:pPr>
    </w:p>
    <w:p w14:paraId="488BFB9E" w14:textId="419AF7F3" w:rsidR="00BE622E" w:rsidRDefault="00547DB2" w:rsidP="00BA4420">
      <w:pPr>
        <w:numPr>
          <w:ilvl w:val="0"/>
          <w:numId w:val="1"/>
        </w:numPr>
        <w:spacing w:line="360" w:lineRule="auto"/>
        <w:jc w:val="both"/>
      </w:pPr>
      <w:r>
        <w:t xml:space="preserve">I am not satisfied that this delay has been explained satisfactorily, albeit </w:t>
      </w:r>
      <w:r w:rsidR="003744E2">
        <w:t xml:space="preserve">that it was ultimately one of </w:t>
      </w:r>
      <w:r>
        <w:t xml:space="preserve">short duration. As will appear below, that is </w:t>
      </w:r>
      <w:r w:rsidR="003744E2">
        <w:t xml:space="preserve">however </w:t>
      </w:r>
      <w:r>
        <w:t xml:space="preserve">not the only basis on which this application should be refused, even if I am wrong in </w:t>
      </w:r>
      <w:r w:rsidR="003744E2">
        <w:t>concluding that this delay was not explained satisfactorily.</w:t>
      </w:r>
    </w:p>
    <w:p w14:paraId="626F6B87" w14:textId="44B376E2" w:rsidR="001B72FD" w:rsidRDefault="001B72FD" w:rsidP="00BA4420">
      <w:pPr>
        <w:spacing w:line="360" w:lineRule="auto"/>
        <w:jc w:val="both"/>
      </w:pPr>
    </w:p>
    <w:p w14:paraId="5094D66B" w14:textId="301233BD" w:rsidR="001B72FD" w:rsidRPr="00830B80" w:rsidRDefault="001B72FD" w:rsidP="00BA4420">
      <w:pPr>
        <w:pStyle w:val="ListParagraph"/>
        <w:spacing w:line="360" w:lineRule="auto"/>
        <w:ind w:left="0"/>
        <w:jc w:val="both"/>
        <w:rPr>
          <w:b/>
          <w:i/>
        </w:rPr>
      </w:pPr>
      <w:r w:rsidRPr="001B72FD">
        <w:rPr>
          <w:b/>
          <w:i/>
        </w:rPr>
        <w:t>The second notice in terms of rule 30(2</w:t>
      </w:r>
      <w:proofErr w:type="gramStart"/>
      <w:r w:rsidRPr="001B72FD">
        <w:rPr>
          <w:b/>
          <w:i/>
        </w:rPr>
        <w:t>)(</w:t>
      </w:r>
      <w:proofErr w:type="gramEnd"/>
      <w:r w:rsidRPr="001B72FD">
        <w:rPr>
          <w:b/>
          <w:i/>
        </w:rPr>
        <w:t>b)</w:t>
      </w:r>
    </w:p>
    <w:p w14:paraId="518B965D" w14:textId="3D9D81C5" w:rsidR="001B72FD" w:rsidRDefault="001B72FD" w:rsidP="00BA4420">
      <w:pPr>
        <w:numPr>
          <w:ilvl w:val="0"/>
          <w:numId w:val="1"/>
        </w:numPr>
        <w:spacing w:line="360" w:lineRule="auto"/>
        <w:jc w:val="both"/>
      </w:pPr>
      <w:r>
        <w:t>In accordance with the provisions of the rule the defendants’ second notice had to be filed within 10 days of becoming aware of the irregular step (the amended pages served on 13 May 2021), namely on or before 27 May 2021</w:t>
      </w:r>
      <w:r w:rsidR="00547DB2">
        <w:t xml:space="preserve">. This </w:t>
      </w:r>
      <w:r>
        <w:t>was</w:t>
      </w:r>
      <w:r w:rsidR="00547DB2">
        <w:t xml:space="preserve"> served timeously.</w:t>
      </w:r>
    </w:p>
    <w:p w14:paraId="0A58A3B1" w14:textId="75E4472E" w:rsidR="001B72FD" w:rsidRDefault="001B72FD" w:rsidP="00BA4420">
      <w:pPr>
        <w:spacing w:line="360" w:lineRule="auto"/>
        <w:jc w:val="both"/>
      </w:pPr>
    </w:p>
    <w:p w14:paraId="2D3E528D" w14:textId="516C187D" w:rsidR="001B72FD" w:rsidRPr="001B72FD" w:rsidRDefault="001B72FD" w:rsidP="00BA4420">
      <w:pPr>
        <w:spacing w:line="360" w:lineRule="auto"/>
        <w:jc w:val="both"/>
        <w:rPr>
          <w:b/>
          <w:i/>
        </w:rPr>
      </w:pPr>
      <w:r w:rsidRPr="001B72FD">
        <w:rPr>
          <w:b/>
          <w:i/>
        </w:rPr>
        <w:t>The application in terms of rule 30(1) pursuant to the first notice in terms of rule 30(2</w:t>
      </w:r>
      <w:proofErr w:type="gramStart"/>
      <w:r w:rsidRPr="001B72FD">
        <w:rPr>
          <w:b/>
          <w:i/>
        </w:rPr>
        <w:t>)(</w:t>
      </w:r>
      <w:proofErr w:type="gramEnd"/>
      <w:r w:rsidRPr="001B72FD">
        <w:rPr>
          <w:b/>
          <w:i/>
        </w:rPr>
        <w:t xml:space="preserve">b) </w:t>
      </w:r>
    </w:p>
    <w:p w14:paraId="4243168A" w14:textId="092BEA94" w:rsidR="001B72FD" w:rsidRDefault="001B72FD" w:rsidP="00BA4420">
      <w:pPr>
        <w:pStyle w:val="ListParagraph"/>
        <w:numPr>
          <w:ilvl w:val="0"/>
          <w:numId w:val="1"/>
        </w:numPr>
        <w:spacing w:line="360" w:lineRule="auto"/>
        <w:jc w:val="both"/>
      </w:pPr>
      <w:r>
        <w:t>In accordance with the provisions of rules the 10 day period to remove the causes of complaint in respect of the first notice in terms of rule 30(2</w:t>
      </w:r>
      <w:proofErr w:type="gramStart"/>
      <w:r>
        <w:t>)</w:t>
      </w:r>
      <w:r w:rsidRPr="00080344">
        <w:rPr>
          <w:i/>
        </w:rPr>
        <w:t>(</w:t>
      </w:r>
      <w:proofErr w:type="gramEnd"/>
      <w:r w:rsidRPr="00080344">
        <w:rPr>
          <w:i/>
        </w:rPr>
        <w:t>b)</w:t>
      </w:r>
      <w:r>
        <w:t xml:space="preserve"> served on 13 May 2021 expired on 27 May 2021</w:t>
      </w:r>
      <w:r w:rsidR="001F5A98">
        <w:t xml:space="preserve">. Hence, </w:t>
      </w:r>
      <w:r>
        <w:t xml:space="preserve">the application in terms of rule 30(1) had to be served </w:t>
      </w:r>
      <w:r w:rsidR="00AE0020">
        <w:t xml:space="preserve">within 15 days </w:t>
      </w:r>
      <w:proofErr w:type="gramStart"/>
      <w:r w:rsidR="00AE0020">
        <w:t>thereafter, that</w:t>
      </w:r>
      <w:proofErr w:type="gramEnd"/>
      <w:r w:rsidR="00AE0020">
        <w:t xml:space="preserve"> is </w:t>
      </w:r>
      <w:r>
        <w:t>on or before 18 June 2021</w:t>
      </w:r>
      <w:r w:rsidR="001F5A98">
        <w:t xml:space="preserve">. It was </w:t>
      </w:r>
      <w:r>
        <w:t>served late on 26 June 2021 only</w:t>
      </w:r>
      <w:r w:rsidR="008A1483">
        <w:t>.</w:t>
      </w:r>
    </w:p>
    <w:p w14:paraId="31817D69" w14:textId="77777777" w:rsidR="008A1483" w:rsidRDefault="008A1483" w:rsidP="00BA4420">
      <w:pPr>
        <w:pStyle w:val="ListParagraph"/>
        <w:spacing w:line="360" w:lineRule="auto"/>
        <w:ind w:left="0"/>
        <w:jc w:val="both"/>
      </w:pPr>
    </w:p>
    <w:p w14:paraId="731441ED" w14:textId="052955F2" w:rsidR="001B72FD" w:rsidRDefault="00830B80" w:rsidP="00BA4420">
      <w:pPr>
        <w:numPr>
          <w:ilvl w:val="0"/>
          <w:numId w:val="1"/>
        </w:numPr>
        <w:spacing w:line="360" w:lineRule="auto"/>
        <w:jc w:val="both"/>
      </w:pPr>
      <w:r>
        <w:t xml:space="preserve">Mr </w:t>
      </w:r>
      <w:proofErr w:type="spellStart"/>
      <w:r>
        <w:t>Mtambo</w:t>
      </w:r>
      <w:proofErr w:type="spellEnd"/>
      <w:r>
        <w:t xml:space="preserve"> </w:t>
      </w:r>
      <w:r w:rsidR="00AE0020">
        <w:t xml:space="preserve">however </w:t>
      </w:r>
      <w:r>
        <w:t xml:space="preserve">argued that the irregularity of the plaintiff’s notice of intention to amend was also raised in the second notice </w:t>
      </w:r>
      <w:r w:rsidR="00AE0020">
        <w:t>in terms of rule 30(2</w:t>
      </w:r>
      <w:proofErr w:type="gramStart"/>
      <w:r w:rsidR="00AE0020">
        <w:t>)</w:t>
      </w:r>
      <w:r w:rsidR="00AE0020" w:rsidRPr="00080344">
        <w:rPr>
          <w:i/>
        </w:rPr>
        <w:t>(</w:t>
      </w:r>
      <w:proofErr w:type="gramEnd"/>
      <w:r w:rsidR="00AE0020" w:rsidRPr="00080344">
        <w:rPr>
          <w:i/>
        </w:rPr>
        <w:t>b)</w:t>
      </w:r>
      <w:r w:rsidR="00AE0020">
        <w:t xml:space="preserve"> </w:t>
      </w:r>
      <w:r w:rsidR="008D6258">
        <w:t xml:space="preserve">as by then the second alleged irregularity of filing the amended pages had also occurred, </w:t>
      </w:r>
      <w:r>
        <w:t xml:space="preserve">and that </w:t>
      </w:r>
      <w:r w:rsidR="008D6258">
        <w:t xml:space="preserve">it is </w:t>
      </w:r>
      <w:r>
        <w:lastRenderedPageBreak/>
        <w:t xml:space="preserve">the date of the service of the second notice </w:t>
      </w:r>
      <w:r w:rsidR="008D6258">
        <w:t xml:space="preserve">which </w:t>
      </w:r>
      <w:r>
        <w:t>is to be used in calculating the time for serving the application in terms of rule 30(1</w:t>
      </w:r>
      <w:r w:rsidR="008D6258">
        <w:t>)</w:t>
      </w:r>
      <w:r>
        <w:t>. I respectfully disagree with that submission. Although the application seeks the setting aside of both the notice of intention to amend and the filing of the amended pages in one application</w:t>
      </w:r>
      <w:r w:rsidR="008A1483">
        <w:t xml:space="preserve">, the setting aside of the notice of amendment as </w:t>
      </w:r>
      <w:r w:rsidR="008D6258">
        <w:t xml:space="preserve">allegedly </w:t>
      </w:r>
      <w:r w:rsidR="008A1483">
        <w:t xml:space="preserve">irregular is a separate </w:t>
      </w:r>
      <w:r w:rsidR="008D6258">
        <w:t xml:space="preserve">and distinct </w:t>
      </w:r>
      <w:r w:rsidR="008A1483">
        <w:t>act</w:t>
      </w:r>
      <w:r w:rsidR="008D6258">
        <w:t xml:space="preserve"> of the filing of the amended pages pursuant to the notice of intention to amend</w:t>
      </w:r>
      <w:r>
        <w:t>.</w:t>
      </w:r>
      <w:r w:rsidR="008A1483">
        <w:t xml:space="preserve"> The defendants could not unilaterally decide</w:t>
      </w:r>
      <w:r w:rsidR="008D6258">
        <w:t>, even</w:t>
      </w:r>
      <w:r w:rsidR="008A1483">
        <w:t xml:space="preserve"> when the prospect of a potentially second irregular step arose, to simply ignore the time limits </w:t>
      </w:r>
      <w:r w:rsidR="008D6258">
        <w:t xml:space="preserve">prescribed </w:t>
      </w:r>
      <w:r w:rsidR="008A1483">
        <w:t>for enforcing the relief foreshadowed in the first notice. The provisions of rule 30(1) were not complied with in respect of the notice of intention to amend constituting an alleged irregular step. T</w:t>
      </w:r>
      <w:r w:rsidR="00080344">
        <w:t>he application in terms of rule </w:t>
      </w:r>
      <w:r w:rsidR="008A1483">
        <w:t xml:space="preserve">30(1) should have been served by 18 June 2021, but was only served on 24 June 2021. Condonation would accordingly be required. </w:t>
      </w:r>
    </w:p>
    <w:p w14:paraId="5AEC46B4" w14:textId="77777777" w:rsidR="008D6258" w:rsidRDefault="008D6258" w:rsidP="00BA4420">
      <w:pPr>
        <w:spacing w:line="360" w:lineRule="auto"/>
        <w:jc w:val="both"/>
      </w:pPr>
    </w:p>
    <w:p w14:paraId="6B3220A0" w14:textId="7306F873" w:rsidR="001B72FD" w:rsidRDefault="00C3291A" w:rsidP="00BA4420">
      <w:pPr>
        <w:numPr>
          <w:ilvl w:val="0"/>
          <w:numId w:val="1"/>
        </w:numPr>
        <w:spacing w:line="360" w:lineRule="auto"/>
        <w:jc w:val="both"/>
      </w:pPr>
      <w:r>
        <w:t xml:space="preserve">There is no explanation whatsoever for the delay in bringing the application in terms of rule 30(1) from when it should have been brought, that is from 18 June 2021, until the application was eventually brought on 26 June 2021. </w:t>
      </w:r>
      <w:r w:rsidR="008A1483">
        <w:t>Nor is there an explanation</w:t>
      </w:r>
      <w:r w:rsidR="008D6258">
        <w:t xml:space="preserve"> on oath,</w:t>
      </w:r>
      <w:r w:rsidR="008A1483">
        <w:t xml:space="preserve"> even </w:t>
      </w:r>
      <w:r w:rsidR="008D6258">
        <w:t xml:space="preserve">one </w:t>
      </w:r>
      <w:r w:rsidR="008A1483">
        <w:t xml:space="preserve">that </w:t>
      </w:r>
      <w:r>
        <w:t xml:space="preserve">the attorney </w:t>
      </w:r>
      <w:r w:rsidR="008A1483">
        <w:t>might have understood that the second notice had somehow replaced the first notice insofar as it concerned the notice of intention to amend, as was argued.</w:t>
      </w:r>
    </w:p>
    <w:p w14:paraId="6D76569A" w14:textId="77777777" w:rsidR="008D6258" w:rsidRDefault="008D6258" w:rsidP="00BA4420">
      <w:pPr>
        <w:spacing w:line="360" w:lineRule="auto"/>
        <w:jc w:val="both"/>
      </w:pPr>
    </w:p>
    <w:p w14:paraId="6C655C19" w14:textId="3A49BE10" w:rsidR="008A1483" w:rsidRDefault="008A1483" w:rsidP="00BA4420">
      <w:pPr>
        <w:numPr>
          <w:ilvl w:val="0"/>
          <w:numId w:val="1"/>
        </w:numPr>
        <w:spacing w:line="360" w:lineRule="auto"/>
        <w:jc w:val="both"/>
      </w:pPr>
      <w:r>
        <w:t>There is accordingly no basis to grant condonation</w:t>
      </w:r>
      <w:r w:rsidR="008D6258">
        <w:t xml:space="preserve"> </w:t>
      </w:r>
      <w:r w:rsidR="005E77A1">
        <w:t>for the late filing of the rule </w:t>
      </w:r>
      <w:r w:rsidR="008D6258">
        <w:t xml:space="preserve">30(1) application in respect of the filing of the plaintiff’s notice of intention to amend. </w:t>
      </w:r>
    </w:p>
    <w:p w14:paraId="29FB1341" w14:textId="6BB52C0A" w:rsidR="008A1483" w:rsidRDefault="00C3291A" w:rsidP="00BA4420">
      <w:pPr>
        <w:spacing w:line="360" w:lineRule="auto"/>
        <w:jc w:val="both"/>
      </w:pPr>
      <w:r w:rsidRPr="00C3291A">
        <w:t xml:space="preserve"> </w:t>
      </w:r>
    </w:p>
    <w:p w14:paraId="4B0D6D5C" w14:textId="4B1A0E81" w:rsidR="001B72FD" w:rsidRPr="008A1483" w:rsidRDefault="001B72FD" w:rsidP="00BA4420">
      <w:pPr>
        <w:pStyle w:val="ListParagraph"/>
        <w:spacing w:line="360" w:lineRule="auto"/>
        <w:ind w:left="0"/>
        <w:jc w:val="both"/>
        <w:rPr>
          <w:b/>
          <w:i/>
        </w:rPr>
      </w:pPr>
      <w:r w:rsidRPr="001B72FD">
        <w:rPr>
          <w:b/>
          <w:i/>
        </w:rPr>
        <w:t xml:space="preserve">The application in terms of rule 30(1) pursuant to the </w:t>
      </w:r>
      <w:r>
        <w:rPr>
          <w:b/>
          <w:i/>
        </w:rPr>
        <w:t xml:space="preserve">second </w:t>
      </w:r>
      <w:r w:rsidRPr="001B72FD">
        <w:rPr>
          <w:b/>
          <w:i/>
        </w:rPr>
        <w:t>notice in terms of rule 30(2</w:t>
      </w:r>
      <w:proofErr w:type="gramStart"/>
      <w:r w:rsidRPr="001B72FD">
        <w:rPr>
          <w:b/>
          <w:i/>
        </w:rPr>
        <w:t>)(</w:t>
      </w:r>
      <w:proofErr w:type="gramEnd"/>
      <w:r w:rsidRPr="001B72FD">
        <w:rPr>
          <w:b/>
          <w:i/>
        </w:rPr>
        <w:t xml:space="preserve">b) </w:t>
      </w:r>
    </w:p>
    <w:p w14:paraId="483942E7" w14:textId="77777777" w:rsidR="00547DB2" w:rsidRDefault="001B72FD" w:rsidP="00BA4420">
      <w:pPr>
        <w:numPr>
          <w:ilvl w:val="0"/>
          <w:numId w:val="1"/>
        </w:numPr>
        <w:spacing w:line="360" w:lineRule="auto"/>
        <w:jc w:val="both"/>
      </w:pPr>
      <w:r>
        <w:t>The 10 day period to remove the causes of complaint in respect of the second notice in terms of rule 30(2)</w:t>
      </w:r>
      <w:r w:rsidRPr="000E5EED">
        <w:rPr>
          <w:i/>
        </w:rPr>
        <w:t>(b)</w:t>
      </w:r>
      <w:r>
        <w:t xml:space="preserve"> served on 20 May 2021 expired on 3 June 2021, hence the application in terms of rule 30(1) had to be served on or before 25 June 2021. It was served timeously on 24 June 2021. </w:t>
      </w:r>
    </w:p>
    <w:p w14:paraId="41985BF0" w14:textId="77777777" w:rsidR="00547DB2" w:rsidRDefault="00547DB2" w:rsidP="00BA4420">
      <w:pPr>
        <w:spacing w:line="360" w:lineRule="auto"/>
        <w:jc w:val="both"/>
      </w:pPr>
    </w:p>
    <w:p w14:paraId="0DD883D6" w14:textId="0120B181" w:rsidR="001B72FD" w:rsidRDefault="00C3291A" w:rsidP="00BA4420">
      <w:pPr>
        <w:numPr>
          <w:ilvl w:val="0"/>
          <w:numId w:val="1"/>
        </w:numPr>
        <w:spacing w:line="360" w:lineRule="auto"/>
        <w:jc w:val="both"/>
      </w:pPr>
      <w:r>
        <w:lastRenderedPageBreak/>
        <w:t>However, even if I am wrong in concluding that condonation was required in respect of the first notice, and that the delays had not been adequately explained in regard to that first notice and the application required to be brou</w:t>
      </w:r>
      <w:r w:rsidR="000E5EED">
        <w:t>ght thereafter in terms of rule </w:t>
      </w:r>
      <w:r>
        <w:t xml:space="preserve">30(1), then </w:t>
      </w:r>
      <w:r w:rsidR="00547DB2">
        <w:t xml:space="preserve">the defendants’ lack of prospects of success </w:t>
      </w:r>
      <w:r w:rsidR="008D6258">
        <w:t xml:space="preserve">nevertheless </w:t>
      </w:r>
      <w:r w:rsidR="00547DB2">
        <w:t xml:space="preserve">become dispositive of the </w:t>
      </w:r>
      <w:r w:rsidR="008D6258">
        <w:t>application for condonation and the substantive relief claimed itself</w:t>
      </w:r>
      <w:r w:rsidR="00547DB2">
        <w:t xml:space="preserve">. A party’s prospects of success is always an important consideration when deciding whether condonation should be granted. Condonation should be refused in this application, if for no other reason and even if the delays could otherwise be excused, but because the defendants’ application to set aside ‘the Plaintiff’s Notice to Amend dated 20 April 2021’ and ‘the delivery of the Amended Page dated 07 May 2021’ lacks prospects of success. The lack of prospects is also dispositive of the application, considerations of condonation apart. It is to the merits of the relief claimed that I then turn. </w:t>
      </w:r>
    </w:p>
    <w:p w14:paraId="056ED1B2" w14:textId="338A8935" w:rsidR="001B72FD" w:rsidRDefault="001B72FD" w:rsidP="00BA4420">
      <w:pPr>
        <w:spacing w:line="360" w:lineRule="auto"/>
        <w:jc w:val="both"/>
      </w:pPr>
    </w:p>
    <w:p w14:paraId="441E2641" w14:textId="6E429DC9" w:rsidR="00E92347" w:rsidRPr="00F65ED7" w:rsidRDefault="00547DB2" w:rsidP="00BA4420">
      <w:pPr>
        <w:spacing w:line="360" w:lineRule="auto"/>
        <w:jc w:val="both"/>
        <w:rPr>
          <w:b/>
        </w:rPr>
      </w:pPr>
      <w:r w:rsidRPr="00547DB2">
        <w:rPr>
          <w:b/>
        </w:rPr>
        <w:t xml:space="preserve">The merits </w:t>
      </w:r>
    </w:p>
    <w:p w14:paraId="3A28836C" w14:textId="0A975038" w:rsidR="001E01A2" w:rsidRDefault="00E92347" w:rsidP="00BA4420">
      <w:pPr>
        <w:numPr>
          <w:ilvl w:val="0"/>
          <w:numId w:val="1"/>
        </w:numPr>
        <w:spacing w:line="360" w:lineRule="auto"/>
        <w:jc w:val="both"/>
      </w:pPr>
      <w:r>
        <w:t>The purpose of pleadings is to properly define the issues in dispute between the parties. The oft quoted truism is that the pleadings are made for the court</w:t>
      </w:r>
      <w:r w:rsidR="00547DB2">
        <w:t>,</w:t>
      </w:r>
      <w:r>
        <w:t xml:space="preserve"> and not the court for the pleadings. If a pleading is in some way deficient, then an amendment will</w:t>
      </w:r>
      <w:r w:rsidR="002F5164">
        <w:t>,</w:t>
      </w:r>
      <w:r w:rsidR="001A7459">
        <w:t xml:space="preserve"> subject to certain limited exceptions</w:t>
      </w:r>
      <w:r w:rsidR="00B216CD">
        <w:t>,</w:t>
      </w:r>
      <w:r w:rsidR="001A7459">
        <w:t xml:space="preserve"> generally </w:t>
      </w:r>
      <w:r w:rsidR="00B216CD">
        <w:t xml:space="preserve">be allowed if the amendment </w:t>
      </w:r>
      <w:r w:rsidR="002F5164">
        <w:t xml:space="preserve">will allow a proper ventilation of the true issues in dispute. The exceptions will </w:t>
      </w:r>
      <w:r w:rsidR="00B216CD">
        <w:t xml:space="preserve">include </w:t>
      </w:r>
      <w:r w:rsidR="002F5164">
        <w:t xml:space="preserve">where there is prejudice </w:t>
      </w:r>
      <w:r w:rsidR="00B216CD">
        <w:t xml:space="preserve">of the nature of which the law takes cognizance, </w:t>
      </w:r>
      <w:r w:rsidR="002F5164">
        <w:t>to the party against whom the amendment is sought</w:t>
      </w:r>
      <w:r w:rsidR="00B216CD">
        <w:t xml:space="preserve"> and</w:t>
      </w:r>
      <w:r w:rsidR="002F5164">
        <w:t xml:space="preserve"> which cannot be remedied by an appropriate cost</w:t>
      </w:r>
      <w:r w:rsidR="00B216CD">
        <w:t>s</w:t>
      </w:r>
      <w:r w:rsidR="002F5164">
        <w:t xml:space="preserve"> order.  This may for example include where an admission previously made </w:t>
      </w:r>
      <w:r w:rsidR="00CC7EA3">
        <w:t xml:space="preserve">on the pleadings </w:t>
      </w:r>
      <w:r w:rsidR="002F5164">
        <w:t xml:space="preserve">is sought to be withdrawn and the evidence to prove the facts previously admitted, is no longer available. </w:t>
      </w:r>
    </w:p>
    <w:p w14:paraId="53AE6633" w14:textId="3F469DFA" w:rsidR="00E92347" w:rsidRDefault="00E92347" w:rsidP="00BA4420">
      <w:pPr>
        <w:spacing w:line="360" w:lineRule="auto"/>
        <w:jc w:val="both"/>
      </w:pPr>
      <w:r>
        <w:t xml:space="preserve">  </w:t>
      </w:r>
    </w:p>
    <w:p w14:paraId="6493A384" w14:textId="69ED26EB" w:rsidR="00E92347" w:rsidRDefault="002F5164" w:rsidP="00BA4420">
      <w:pPr>
        <w:numPr>
          <w:ilvl w:val="0"/>
          <w:numId w:val="1"/>
        </w:numPr>
        <w:spacing w:line="360" w:lineRule="auto"/>
        <w:jc w:val="both"/>
      </w:pPr>
      <w:r>
        <w:t>No such prejudice has been raised by the defendants.</w:t>
      </w:r>
      <w:r w:rsidR="001A7459">
        <w:t xml:space="preserve"> Indeed</w:t>
      </w:r>
      <w:r w:rsidR="00CC7EA3">
        <w:t>,</w:t>
      </w:r>
      <w:r w:rsidR="001A7459">
        <w:t xml:space="preserve"> the defendants have not suggested that they would object to the proposed amendments, if they followed upon a </w:t>
      </w:r>
      <w:r w:rsidR="00B216CD">
        <w:t xml:space="preserve">successful </w:t>
      </w:r>
      <w:r w:rsidR="001A7459">
        <w:t xml:space="preserve">hearing of the exception and a court </w:t>
      </w:r>
      <w:r w:rsidR="00B216CD">
        <w:t xml:space="preserve">having </w:t>
      </w:r>
      <w:r w:rsidR="001A7459">
        <w:t>authoris</w:t>
      </w:r>
      <w:r w:rsidR="00547DB2">
        <w:t>ed</w:t>
      </w:r>
      <w:r w:rsidR="001A7459">
        <w:t xml:space="preserve"> the plaintiff to amend its pleadings.</w:t>
      </w:r>
      <w:r w:rsidR="00547DB2">
        <w:t xml:space="preserve"> </w:t>
      </w:r>
    </w:p>
    <w:p w14:paraId="13274E33" w14:textId="71B0F9A0" w:rsidR="001E01A2" w:rsidRDefault="00A73EA8" w:rsidP="00BA4420">
      <w:pPr>
        <w:spacing w:line="360" w:lineRule="auto"/>
        <w:jc w:val="both"/>
      </w:pPr>
      <w:r>
        <w:t xml:space="preserve"> </w:t>
      </w:r>
    </w:p>
    <w:p w14:paraId="09FCF3B7" w14:textId="6C07CF13" w:rsidR="00E05B80" w:rsidRDefault="002F5164" w:rsidP="00BA4420">
      <w:pPr>
        <w:numPr>
          <w:ilvl w:val="0"/>
          <w:numId w:val="1"/>
        </w:numPr>
        <w:spacing w:line="360" w:lineRule="auto"/>
        <w:jc w:val="both"/>
      </w:pPr>
      <w:r>
        <w:lastRenderedPageBreak/>
        <w:t xml:space="preserve">The complaint by the defendants </w:t>
      </w:r>
      <w:r w:rsidR="00547DB2">
        <w:t xml:space="preserve">seems to be </w:t>
      </w:r>
      <w:r>
        <w:t>that if they are allowed to argue the exception successfully, that it could bring an end to the litigation</w:t>
      </w:r>
      <w:r w:rsidR="00CC7EA3">
        <w:t xml:space="preserve"> on those pleadings</w:t>
      </w:r>
      <w:r>
        <w:t xml:space="preserve">. </w:t>
      </w:r>
      <w:r w:rsidR="00B216CD">
        <w:t xml:space="preserve">But that </w:t>
      </w:r>
      <w:r w:rsidR="00FB5210">
        <w:t xml:space="preserve">is not the correct approach to be followed. </w:t>
      </w:r>
      <w:r w:rsidR="00B216CD">
        <w:t xml:space="preserve">Even if the exception was to be heard and upheld, </w:t>
      </w:r>
      <w:r w:rsidR="00E05B80">
        <w:t>a</w:t>
      </w:r>
      <w:r w:rsidR="00B216CD">
        <w:t xml:space="preserve"> court would invariably allow the plaintiff to amend its pleadings. </w:t>
      </w:r>
    </w:p>
    <w:p w14:paraId="029FEC57" w14:textId="77777777" w:rsidR="002A00AA" w:rsidRDefault="002A00AA" w:rsidP="00BA4420">
      <w:pPr>
        <w:spacing w:line="360" w:lineRule="auto"/>
        <w:jc w:val="both"/>
      </w:pPr>
    </w:p>
    <w:p w14:paraId="266264C1" w14:textId="696B888A" w:rsidR="002F5164" w:rsidRDefault="002F5164" w:rsidP="00BA4420">
      <w:pPr>
        <w:numPr>
          <w:ilvl w:val="0"/>
          <w:numId w:val="1"/>
        </w:numPr>
        <w:spacing w:line="360" w:lineRule="auto"/>
        <w:jc w:val="both"/>
      </w:pPr>
      <w:r>
        <w:t xml:space="preserve">Whether </w:t>
      </w:r>
      <w:r w:rsidR="00A73EA8">
        <w:t xml:space="preserve">the defendants could possibly </w:t>
      </w:r>
      <w:r>
        <w:t>succeed</w:t>
      </w:r>
      <w:r w:rsidR="00A73EA8">
        <w:t xml:space="preserve"> </w:t>
      </w:r>
      <w:r w:rsidR="00B216CD">
        <w:t xml:space="preserve">with an exception </w:t>
      </w:r>
      <w:r w:rsidR="00A73EA8">
        <w:t>on potentially defective pleadings</w:t>
      </w:r>
      <w:r>
        <w:t xml:space="preserve">, </w:t>
      </w:r>
      <w:r w:rsidR="00FB5210">
        <w:t xml:space="preserve">should not be </w:t>
      </w:r>
      <w:r>
        <w:t>the issue</w:t>
      </w:r>
      <w:r w:rsidR="00FB5210">
        <w:t>.</w:t>
      </w:r>
      <w:r>
        <w:t xml:space="preserve"> The issue </w:t>
      </w:r>
      <w:r w:rsidR="001A7459">
        <w:t xml:space="preserve">must always be </w:t>
      </w:r>
      <w:r>
        <w:t xml:space="preserve">whether the </w:t>
      </w:r>
      <w:r w:rsidR="001E01A2">
        <w:t xml:space="preserve">particulars of claim and replication </w:t>
      </w:r>
      <w:r>
        <w:t>as</w:t>
      </w:r>
      <w:r w:rsidR="001E01A2">
        <w:t xml:space="preserve"> </w:t>
      </w:r>
      <w:r>
        <w:t xml:space="preserve">amended, </w:t>
      </w:r>
      <w:r w:rsidR="00A73EA8">
        <w:t xml:space="preserve">raise </w:t>
      </w:r>
      <w:r w:rsidR="009B3AED">
        <w:t xml:space="preserve">legally </w:t>
      </w:r>
      <w:r w:rsidR="00A73EA8">
        <w:t>triable issues</w:t>
      </w:r>
      <w:r>
        <w:t>. If</w:t>
      </w:r>
      <w:r w:rsidR="00FB5210">
        <w:t>,</w:t>
      </w:r>
      <w:r>
        <w:t xml:space="preserve"> </w:t>
      </w:r>
      <w:r w:rsidR="001A7459">
        <w:t xml:space="preserve">after the amendments were </w:t>
      </w:r>
      <w:r w:rsidR="00FB5210">
        <w:t>effected, the pleadings still did</w:t>
      </w:r>
      <w:r w:rsidR="009B3AED">
        <w:t xml:space="preserve"> not raise triable issues, then </w:t>
      </w:r>
      <w:r>
        <w:t xml:space="preserve">the </w:t>
      </w:r>
      <w:r w:rsidR="001E01A2">
        <w:t>defendants’ remedy wa</w:t>
      </w:r>
      <w:r>
        <w:t xml:space="preserve">s to </w:t>
      </w:r>
      <w:r w:rsidR="009B3AED">
        <w:t>have objected to the proposed amendments, or having failed to do</w:t>
      </w:r>
      <w:r w:rsidR="00B216CD">
        <w:t xml:space="preserve"> so</w:t>
      </w:r>
      <w:r w:rsidR="009B3AED">
        <w:t xml:space="preserve">, to </w:t>
      </w:r>
      <w:r>
        <w:t>persist with the exception and to enrol it for hearing</w:t>
      </w:r>
      <w:r w:rsidR="00F65ED7">
        <w:t>, or to raise whatever other remedy would be open to it.</w:t>
      </w:r>
      <w:r w:rsidR="00F65ED7">
        <w:rPr>
          <w:rStyle w:val="FootnoteReference"/>
        </w:rPr>
        <w:footnoteReference w:id="9"/>
      </w:r>
      <w:r>
        <w:t xml:space="preserve"> But that is not what the defendants </w:t>
      </w:r>
      <w:r w:rsidR="001A7459">
        <w:t xml:space="preserve">have </w:t>
      </w:r>
      <w:r w:rsidR="00B216CD">
        <w:t>done</w:t>
      </w:r>
      <w:r>
        <w:t>. Instead, the defendants seek to exclude the amendment</w:t>
      </w:r>
      <w:r w:rsidR="00FB5210">
        <w:t>s</w:t>
      </w:r>
      <w:r>
        <w:t xml:space="preserve">, </w:t>
      </w:r>
      <w:r w:rsidR="00321CB8">
        <w:t>so it can hopefully succeed with its exception. But that will be a pyrrhic victory</w:t>
      </w:r>
      <w:r w:rsidR="00E05B80">
        <w:t>, except that it might result in a costs order,</w:t>
      </w:r>
      <w:r w:rsidR="00321CB8">
        <w:t xml:space="preserve"> as a court upholding an exception will invariably grant leave to the plaintiff in any event, to amend </w:t>
      </w:r>
      <w:r w:rsidR="00FB5210">
        <w:t>its pleadings</w:t>
      </w:r>
      <w:r w:rsidR="009B3AED">
        <w:t xml:space="preserve">, </w:t>
      </w:r>
      <w:r w:rsidR="00E52079">
        <w:t>even if that reli</w:t>
      </w:r>
      <w:r w:rsidR="002A00AA">
        <w:t>ef was not claimed specifically.</w:t>
      </w:r>
      <w:r w:rsidR="00E52079">
        <w:rPr>
          <w:rStyle w:val="FootnoteReference"/>
        </w:rPr>
        <w:footnoteReference w:id="10"/>
      </w:r>
      <w:r w:rsidR="002A00AA">
        <w:t xml:space="preserve"> And even where a court may limit the scope of the amendment without notice of intention to amend being required to be given pursuant to an exception,</w:t>
      </w:r>
      <w:r w:rsidR="002A00AA">
        <w:rPr>
          <w:rStyle w:val="FootnoteReference"/>
        </w:rPr>
        <w:footnoteReference w:id="11"/>
      </w:r>
      <w:r w:rsidR="002A00AA">
        <w:t xml:space="preserve"> an amendment on notice allowing time for objection is generally always available.</w:t>
      </w:r>
      <w:r w:rsidR="00E52079">
        <w:t xml:space="preserve"> All the </w:t>
      </w:r>
      <w:r w:rsidR="009B3AED">
        <w:t xml:space="preserve">plaintiff </w:t>
      </w:r>
      <w:r w:rsidR="00E52079">
        <w:t xml:space="preserve">did was to anticipate such a </w:t>
      </w:r>
      <w:r w:rsidR="00B216CD">
        <w:t xml:space="preserve">possible </w:t>
      </w:r>
      <w:r w:rsidR="00E52079">
        <w:t>result</w:t>
      </w:r>
      <w:r w:rsidR="00B216CD">
        <w:t xml:space="preserve">, or simply to avoid any potential argument and the delay that would result, and </w:t>
      </w:r>
      <w:r w:rsidR="00E52079">
        <w:t>to expedite the litigation</w:t>
      </w:r>
      <w:r w:rsidR="00B216CD">
        <w:t xml:space="preserve"> process</w:t>
      </w:r>
      <w:r w:rsidR="00E52079">
        <w:t xml:space="preserve">. </w:t>
      </w:r>
      <w:r w:rsidR="00321CB8">
        <w:t xml:space="preserve"> </w:t>
      </w:r>
      <w:r>
        <w:t xml:space="preserve"> </w:t>
      </w:r>
    </w:p>
    <w:p w14:paraId="59206C51" w14:textId="77777777" w:rsidR="001A7459" w:rsidRDefault="001A7459" w:rsidP="00BA4420">
      <w:pPr>
        <w:spacing w:line="360" w:lineRule="auto"/>
        <w:jc w:val="both"/>
      </w:pPr>
    </w:p>
    <w:p w14:paraId="203BA7FF" w14:textId="09EA15F0" w:rsidR="00236E8C" w:rsidRDefault="00B216CD" w:rsidP="004E7DEF">
      <w:pPr>
        <w:numPr>
          <w:ilvl w:val="0"/>
          <w:numId w:val="1"/>
        </w:numPr>
        <w:spacing w:line="360" w:lineRule="auto"/>
        <w:jc w:val="both"/>
      </w:pPr>
      <w:r>
        <w:t>At best for the defendants they</w:t>
      </w:r>
      <w:r w:rsidR="00321CB8">
        <w:t xml:space="preserve"> </w:t>
      </w:r>
      <w:r>
        <w:t xml:space="preserve">might </w:t>
      </w:r>
      <w:r w:rsidR="00321CB8">
        <w:t>be entitled to the wasted costs occasioned by the exception and a</w:t>
      </w:r>
      <w:r w:rsidR="00E05B80">
        <w:t>mendment</w:t>
      </w:r>
      <w:r w:rsidR="00FB5210">
        <w:t>s</w:t>
      </w:r>
      <w:r w:rsidR="00E05B80">
        <w:t xml:space="preserve">, but they will have </w:t>
      </w:r>
      <w:r w:rsidR="00321CB8">
        <w:t>appropriate remed</w:t>
      </w:r>
      <w:r w:rsidR="00E05B80">
        <w:t>ies</w:t>
      </w:r>
      <w:r w:rsidR="00321CB8">
        <w:t xml:space="preserve"> in that respect</w:t>
      </w:r>
      <w:r w:rsidR="009B3AED">
        <w:t>. The costs</w:t>
      </w:r>
      <w:r w:rsidR="00E05B80">
        <w:t xml:space="preserve"> occasioned by the amendments were</w:t>
      </w:r>
      <w:r w:rsidR="009B3AED">
        <w:t xml:space="preserve"> tendered</w:t>
      </w:r>
      <w:r w:rsidR="00E05B80">
        <w:t xml:space="preserve"> in the notice of amendment</w:t>
      </w:r>
      <w:r w:rsidR="00321CB8">
        <w:t>. The</w:t>
      </w:r>
      <w:r w:rsidR="00E05B80">
        <w:t xml:space="preserve"> defendants’</w:t>
      </w:r>
      <w:r w:rsidR="00236E8C">
        <w:t xml:space="preserve"> remedy wa</w:t>
      </w:r>
      <w:r w:rsidR="00321CB8">
        <w:t>s not to apply to have the notice of amendment and the subsequent amended pages set aside</w:t>
      </w:r>
      <w:r w:rsidR="00236E8C">
        <w:t xml:space="preserve"> as irregular steps</w:t>
      </w:r>
      <w:r>
        <w:t>, which they are not</w:t>
      </w:r>
      <w:r w:rsidR="00321CB8">
        <w:t>.</w:t>
      </w:r>
    </w:p>
    <w:p w14:paraId="3CA11EF3" w14:textId="77777777" w:rsidR="00041BAE" w:rsidRDefault="00041BAE" w:rsidP="00041BAE">
      <w:pPr>
        <w:spacing w:line="360" w:lineRule="auto"/>
        <w:jc w:val="both"/>
      </w:pPr>
    </w:p>
    <w:p w14:paraId="5EB7D018" w14:textId="335B80EB" w:rsidR="00236E8C" w:rsidRPr="00BA4420" w:rsidRDefault="00236E8C" w:rsidP="00BA4420">
      <w:pPr>
        <w:spacing w:line="360" w:lineRule="auto"/>
        <w:jc w:val="both"/>
        <w:rPr>
          <w:b/>
        </w:rPr>
      </w:pPr>
      <w:r w:rsidRPr="00236E8C">
        <w:rPr>
          <w:b/>
        </w:rPr>
        <w:t>Conclusion</w:t>
      </w:r>
    </w:p>
    <w:p w14:paraId="16498625" w14:textId="04DDDB9F" w:rsidR="009B3AED" w:rsidRDefault="00236E8C" w:rsidP="00BA4420">
      <w:pPr>
        <w:numPr>
          <w:ilvl w:val="0"/>
          <w:numId w:val="1"/>
        </w:numPr>
        <w:spacing w:line="360" w:lineRule="auto"/>
        <w:jc w:val="both"/>
      </w:pPr>
      <w:r>
        <w:t>The application accordingly falls to be dismissed.</w:t>
      </w:r>
    </w:p>
    <w:p w14:paraId="6B36AA84" w14:textId="77777777" w:rsidR="00816E92" w:rsidRDefault="00816E92" w:rsidP="00BA4420">
      <w:pPr>
        <w:spacing w:line="360" w:lineRule="auto"/>
        <w:jc w:val="both"/>
      </w:pPr>
    </w:p>
    <w:p w14:paraId="31F3DC29" w14:textId="7351E4A9" w:rsidR="009B3AED" w:rsidRPr="009B3AED" w:rsidRDefault="009B3AED" w:rsidP="00BA4420">
      <w:pPr>
        <w:spacing w:line="360" w:lineRule="auto"/>
        <w:jc w:val="both"/>
        <w:rPr>
          <w:b/>
        </w:rPr>
      </w:pPr>
      <w:r w:rsidRPr="009B3AED">
        <w:rPr>
          <w:b/>
        </w:rPr>
        <w:t>Costs</w:t>
      </w:r>
    </w:p>
    <w:p w14:paraId="3AD99FEF" w14:textId="77777777" w:rsidR="00236E8C" w:rsidRDefault="009B3AED" w:rsidP="00BA4420">
      <w:pPr>
        <w:numPr>
          <w:ilvl w:val="0"/>
          <w:numId w:val="1"/>
        </w:numPr>
        <w:spacing w:line="360" w:lineRule="auto"/>
        <w:jc w:val="both"/>
      </w:pPr>
      <w:r>
        <w:t>The plaintiff has been successful. There is no reason why the costs should not follow the result. The plaintiff has however sought an order that the costs be on the attorney and client scale, including the costs of senior counsel.</w:t>
      </w:r>
      <w:r w:rsidR="00236E8C">
        <w:t xml:space="preserve"> </w:t>
      </w:r>
    </w:p>
    <w:p w14:paraId="3356FB31" w14:textId="77777777" w:rsidR="00236E8C" w:rsidRDefault="00236E8C" w:rsidP="00BA4420">
      <w:pPr>
        <w:spacing w:line="360" w:lineRule="auto"/>
        <w:jc w:val="both"/>
      </w:pPr>
    </w:p>
    <w:p w14:paraId="154A0763" w14:textId="54FC4801" w:rsidR="00321CB8" w:rsidRDefault="00236E8C" w:rsidP="00BA4420">
      <w:pPr>
        <w:numPr>
          <w:ilvl w:val="0"/>
          <w:numId w:val="1"/>
        </w:numPr>
        <w:spacing w:line="360" w:lineRule="auto"/>
        <w:jc w:val="both"/>
      </w:pPr>
      <w:r>
        <w:t xml:space="preserve">The </w:t>
      </w:r>
      <w:r w:rsidR="009B3AED">
        <w:t>application has been ill conceived</w:t>
      </w:r>
      <w:r>
        <w:t xml:space="preserve">, but it does </w:t>
      </w:r>
      <w:r w:rsidR="00B216CD">
        <w:t>not</w:t>
      </w:r>
      <w:r w:rsidR="00E05B80">
        <w:t>, in my view,</w:t>
      </w:r>
      <w:r w:rsidR="00B216CD">
        <w:t xml:space="preserve"> display </w:t>
      </w:r>
      <w:r w:rsidR="00E05B80">
        <w:t xml:space="preserve">deliberate </w:t>
      </w:r>
      <w:r w:rsidR="00B216CD">
        <w:t>conduct that justifies</w:t>
      </w:r>
      <w:r>
        <w:t xml:space="preserve"> a punitive costs order</w:t>
      </w:r>
      <w:r w:rsidR="00B216CD">
        <w:t xml:space="preserve"> on the attorney and client scale</w:t>
      </w:r>
      <w:r>
        <w:t>.</w:t>
      </w:r>
      <w:r w:rsidR="00F65ED7">
        <w:t xml:space="preserve"> In coming to that conclusion I am alive to the fact that an application need not be frivolous by design to attract a punitive costs order. I am furthermore alive to the fact that this ill- conceived application has resulted in a delay of a number of months. The plaintiff’s claim will attract interest.  </w:t>
      </w:r>
    </w:p>
    <w:p w14:paraId="4A8C2FEC" w14:textId="77777777" w:rsidR="00236E8C" w:rsidRDefault="00236E8C" w:rsidP="00BA4420">
      <w:pPr>
        <w:pStyle w:val="ListParagraph"/>
        <w:spacing w:line="360" w:lineRule="auto"/>
      </w:pPr>
    </w:p>
    <w:p w14:paraId="75D6BFE2" w14:textId="062930A5" w:rsidR="00236E8C" w:rsidRDefault="00236E8C" w:rsidP="00BA4420">
      <w:pPr>
        <w:numPr>
          <w:ilvl w:val="0"/>
          <w:numId w:val="1"/>
        </w:numPr>
        <w:spacing w:line="360" w:lineRule="auto"/>
        <w:jc w:val="both"/>
      </w:pPr>
      <w:r>
        <w:t>As regards the prayer for the costs of senior counsel, the defendants have employed senior and junior counsel. It is reasonable and appropr</w:t>
      </w:r>
      <w:r w:rsidR="00B216CD">
        <w:t>iate that the costs order made sh</w:t>
      </w:r>
      <w:r>
        <w:t>ould include the costs of senior counsel.</w:t>
      </w:r>
    </w:p>
    <w:p w14:paraId="58AEBB12" w14:textId="77777777" w:rsidR="00236E8C" w:rsidRDefault="00236E8C" w:rsidP="00BA4420">
      <w:pPr>
        <w:pStyle w:val="ListParagraph"/>
        <w:spacing w:line="360" w:lineRule="auto"/>
      </w:pPr>
    </w:p>
    <w:p w14:paraId="540A2DC4" w14:textId="1B6DE7BD" w:rsidR="00321CB8" w:rsidRPr="00BA4420" w:rsidRDefault="00236E8C" w:rsidP="00BA4420">
      <w:pPr>
        <w:spacing w:line="360" w:lineRule="auto"/>
        <w:jc w:val="both"/>
        <w:rPr>
          <w:b/>
        </w:rPr>
      </w:pPr>
      <w:r w:rsidRPr="00236E8C">
        <w:rPr>
          <w:b/>
        </w:rPr>
        <w:t>Order</w:t>
      </w:r>
    </w:p>
    <w:p w14:paraId="0CF68057" w14:textId="13390D3B" w:rsidR="00816E92" w:rsidRDefault="00816E92" w:rsidP="00BA4420">
      <w:pPr>
        <w:numPr>
          <w:ilvl w:val="0"/>
          <w:numId w:val="1"/>
        </w:numPr>
        <w:spacing w:line="360" w:lineRule="auto"/>
        <w:jc w:val="both"/>
      </w:pPr>
      <w:r>
        <w:t>In the result, the following order is made:</w:t>
      </w:r>
      <w:r w:rsidR="00321CB8">
        <w:t xml:space="preserve"> </w:t>
      </w:r>
    </w:p>
    <w:p w14:paraId="066BBEF6" w14:textId="624505A5" w:rsidR="00FB5210" w:rsidRDefault="00236E8C" w:rsidP="00816E92">
      <w:pPr>
        <w:spacing w:line="360" w:lineRule="auto"/>
        <w:ind w:left="720"/>
        <w:jc w:val="both"/>
      </w:pPr>
      <w:r>
        <w:t>The application is dismissed and the defendants jointly and severally are directed to pay the plaintiff</w:t>
      </w:r>
      <w:r w:rsidR="00E05B80">
        <w:t>’</w:t>
      </w:r>
      <w:r>
        <w:t>s cost</w:t>
      </w:r>
      <w:r w:rsidR="00675DC9">
        <w:t>s of the application</w:t>
      </w:r>
      <w:r>
        <w:t>, such costs to include the costs of senior counsel</w:t>
      </w:r>
      <w:r w:rsidR="00C16FAF">
        <w:t xml:space="preserve"> where employed</w:t>
      </w:r>
      <w:r>
        <w:t>.</w:t>
      </w:r>
      <w:r w:rsidR="00A902FD" w:rsidRPr="003A3CED">
        <w:t xml:space="preserve"> </w:t>
      </w:r>
    </w:p>
    <w:p w14:paraId="6E898E60" w14:textId="77777777" w:rsidR="00FB5210" w:rsidRDefault="00FB5210" w:rsidP="00BA4420">
      <w:pPr>
        <w:spacing w:line="360" w:lineRule="auto"/>
        <w:jc w:val="both"/>
      </w:pPr>
    </w:p>
    <w:p w14:paraId="10E8FCBA" w14:textId="77777777" w:rsidR="005C06DB" w:rsidRDefault="005C06DB" w:rsidP="00BA4420">
      <w:pPr>
        <w:spacing w:line="360" w:lineRule="auto"/>
        <w:jc w:val="both"/>
      </w:pPr>
    </w:p>
    <w:p w14:paraId="4E3F15DD" w14:textId="77777777" w:rsidR="004E7DEF" w:rsidRDefault="004E7DEF" w:rsidP="00BA4420">
      <w:pPr>
        <w:spacing w:line="360" w:lineRule="auto"/>
        <w:jc w:val="both"/>
      </w:pPr>
    </w:p>
    <w:p w14:paraId="79EAFA50" w14:textId="55D7B433" w:rsidR="004E7DEF" w:rsidRPr="003A3CED" w:rsidRDefault="004E7DEF" w:rsidP="00BA4420">
      <w:pPr>
        <w:spacing w:line="360" w:lineRule="auto"/>
        <w:jc w:val="both"/>
      </w:pPr>
    </w:p>
    <w:p w14:paraId="7A3922DA" w14:textId="77777777" w:rsidR="00093030" w:rsidRPr="003A3CED" w:rsidRDefault="00093030" w:rsidP="00BA4420">
      <w:pPr>
        <w:spacing w:line="360" w:lineRule="auto"/>
        <w:jc w:val="right"/>
      </w:pPr>
      <w:r w:rsidRPr="003A3CED">
        <w:t>________________________</w:t>
      </w:r>
    </w:p>
    <w:p w14:paraId="7287BC96" w14:textId="4691C1C7" w:rsidR="00BA4420" w:rsidRDefault="00B20A11" w:rsidP="004E7DEF">
      <w:pPr>
        <w:spacing w:line="360" w:lineRule="auto"/>
        <w:jc w:val="right"/>
      </w:pPr>
      <w:r w:rsidRPr="003A3CED">
        <w:t>KOEN J</w:t>
      </w:r>
    </w:p>
    <w:p w14:paraId="36892636" w14:textId="45ABFFF9" w:rsidR="00093030" w:rsidRPr="00BA4420" w:rsidRDefault="00336B3B" w:rsidP="00BA4420">
      <w:pPr>
        <w:spacing w:line="360" w:lineRule="auto"/>
        <w:rPr>
          <w:vanish/>
          <w:specVanish/>
        </w:rPr>
      </w:pPr>
      <w:r w:rsidRPr="00C70C28">
        <w:lastRenderedPageBreak/>
        <w:t>APPEARANCES</w:t>
      </w:r>
      <w:r w:rsidR="00093030" w:rsidRPr="00C70C28">
        <w:t xml:space="preserve"> </w:t>
      </w:r>
    </w:p>
    <w:p w14:paraId="468BB7E3" w14:textId="7A1CE801" w:rsidR="00093030" w:rsidRPr="00C70C28" w:rsidRDefault="00BA4420" w:rsidP="00BA4420">
      <w:pPr>
        <w:spacing w:line="360" w:lineRule="auto"/>
      </w:pPr>
      <w:r>
        <w:t xml:space="preserve"> </w:t>
      </w:r>
    </w:p>
    <w:p w14:paraId="1F060F17" w14:textId="52FDD56D" w:rsidR="00187D56" w:rsidRDefault="00093030" w:rsidP="00BA4420">
      <w:pPr>
        <w:spacing w:line="360" w:lineRule="auto"/>
      </w:pPr>
      <w:r w:rsidRPr="00C70C28">
        <w:t xml:space="preserve">For </w:t>
      </w:r>
      <w:r w:rsidR="00AC0095" w:rsidRPr="00C70C28">
        <w:t>the applicant</w:t>
      </w:r>
      <w:r w:rsidR="00321CB8">
        <w:t>s/defendants</w:t>
      </w:r>
      <w:r w:rsidRPr="00C70C28">
        <w:t>:</w:t>
      </w:r>
      <w:r w:rsidR="00187D56">
        <w:t xml:space="preserve"> </w:t>
      </w:r>
    </w:p>
    <w:p w14:paraId="2DD0DD55" w14:textId="2E27DCC1" w:rsidR="00321CB8" w:rsidRDefault="00E05B80" w:rsidP="00BA4420">
      <w:pPr>
        <w:spacing w:line="360" w:lineRule="auto"/>
      </w:pPr>
      <w:r>
        <w:t xml:space="preserve">Mr M S </w:t>
      </w:r>
      <w:proofErr w:type="spellStart"/>
      <w:r>
        <w:t>Mtambo</w:t>
      </w:r>
      <w:proofErr w:type="spellEnd"/>
    </w:p>
    <w:p w14:paraId="791A6A3C" w14:textId="403B4AC0" w:rsidR="00093030" w:rsidRPr="00C70C28" w:rsidRDefault="00321CB8" w:rsidP="00BA4420">
      <w:pPr>
        <w:spacing w:line="360" w:lineRule="auto"/>
      </w:pPr>
      <w:r>
        <w:t xml:space="preserve">(The heads were prepared by Mrs J </w:t>
      </w:r>
      <w:r w:rsidR="00953804">
        <w:t xml:space="preserve">M </w:t>
      </w:r>
      <w:r>
        <w:t xml:space="preserve">Singh SC and </w:t>
      </w:r>
      <w:r w:rsidR="001038AB">
        <w:t xml:space="preserve">Mr </w:t>
      </w:r>
      <w:r w:rsidR="009F12E6">
        <w:t xml:space="preserve">M S </w:t>
      </w:r>
      <w:proofErr w:type="spellStart"/>
      <w:r w:rsidR="009F12E6">
        <w:t>Mtambo</w:t>
      </w:r>
      <w:proofErr w:type="spellEnd"/>
      <w:r w:rsidR="00FB5210">
        <w:t>)</w:t>
      </w:r>
      <w:r w:rsidR="00093030" w:rsidRPr="00C70C28">
        <w:tab/>
      </w:r>
      <w:r w:rsidR="00AC0095" w:rsidRPr="00C70C28">
        <w:tab/>
      </w:r>
    </w:p>
    <w:p w14:paraId="7D7AE212" w14:textId="32C28F2F" w:rsidR="00D1618F" w:rsidRDefault="00093030" w:rsidP="00BA4420">
      <w:pPr>
        <w:spacing w:line="360" w:lineRule="auto"/>
        <w:rPr>
          <w:bCs/>
        </w:rPr>
      </w:pPr>
      <w:r w:rsidRPr="00C70C28">
        <w:rPr>
          <w:bCs/>
        </w:rPr>
        <w:t xml:space="preserve">Instructed by: </w:t>
      </w:r>
    </w:p>
    <w:p w14:paraId="6CFBD3F1" w14:textId="5DD0EDA5" w:rsidR="009B3AED" w:rsidRDefault="009B3AED" w:rsidP="00BA4420">
      <w:pPr>
        <w:spacing w:line="360" w:lineRule="auto"/>
        <w:rPr>
          <w:bCs/>
        </w:rPr>
      </w:pPr>
      <w:r>
        <w:rPr>
          <w:bCs/>
        </w:rPr>
        <w:t>State Attorney</w:t>
      </w:r>
      <w:r w:rsidR="00612B43">
        <w:rPr>
          <w:bCs/>
        </w:rPr>
        <w:t xml:space="preserve"> (KZN)</w:t>
      </w:r>
    </w:p>
    <w:p w14:paraId="4D129AFE" w14:textId="1A2DF96D" w:rsidR="00612B43" w:rsidRDefault="00612B43" w:rsidP="00BA4420">
      <w:pPr>
        <w:spacing w:line="360" w:lineRule="auto"/>
        <w:rPr>
          <w:bCs/>
        </w:rPr>
      </w:pPr>
      <w:r>
        <w:rPr>
          <w:bCs/>
        </w:rPr>
        <w:t>Ref:</w:t>
      </w:r>
      <w:r w:rsidR="00236E8C">
        <w:rPr>
          <w:bCs/>
        </w:rPr>
        <w:t xml:space="preserve"> </w:t>
      </w:r>
      <w:r>
        <w:rPr>
          <w:bCs/>
        </w:rPr>
        <w:t xml:space="preserve">Ms Y </w:t>
      </w:r>
      <w:proofErr w:type="spellStart"/>
      <w:r>
        <w:rPr>
          <w:bCs/>
        </w:rPr>
        <w:t>Gangat</w:t>
      </w:r>
      <w:proofErr w:type="spellEnd"/>
      <w:r>
        <w:rPr>
          <w:bCs/>
        </w:rPr>
        <w:t xml:space="preserve"> 24/7443/19/M/P36</w:t>
      </w:r>
    </w:p>
    <w:p w14:paraId="51C29C66" w14:textId="70C6997F" w:rsidR="00612B43" w:rsidRDefault="00612B43" w:rsidP="00BA4420">
      <w:pPr>
        <w:spacing w:line="360" w:lineRule="auto"/>
        <w:rPr>
          <w:bCs/>
        </w:rPr>
      </w:pPr>
      <w:proofErr w:type="gramStart"/>
      <w:r>
        <w:rPr>
          <w:bCs/>
        </w:rPr>
        <w:t>c/o</w:t>
      </w:r>
      <w:proofErr w:type="gramEnd"/>
      <w:r>
        <w:rPr>
          <w:bCs/>
        </w:rPr>
        <w:t xml:space="preserve"> State Attorney (KZN) Sate</w:t>
      </w:r>
      <w:r w:rsidR="00236E8C">
        <w:rPr>
          <w:bCs/>
        </w:rPr>
        <w:t>l</w:t>
      </w:r>
      <w:r>
        <w:rPr>
          <w:bCs/>
        </w:rPr>
        <w:t>lite Office</w:t>
      </w:r>
    </w:p>
    <w:p w14:paraId="31F6D3D7" w14:textId="1692661E" w:rsidR="00612B43" w:rsidRDefault="00612B43" w:rsidP="00BA4420">
      <w:pPr>
        <w:spacing w:line="360" w:lineRule="auto"/>
        <w:rPr>
          <w:bCs/>
        </w:rPr>
      </w:pPr>
      <w:r>
        <w:rPr>
          <w:bCs/>
        </w:rPr>
        <w:t>2</w:t>
      </w:r>
      <w:r w:rsidRPr="00612B43">
        <w:rPr>
          <w:bCs/>
          <w:vertAlign w:val="superscript"/>
        </w:rPr>
        <w:t>nd</w:t>
      </w:r>
      <w:r>
        <w:rPr>
          <w:bCs/>
        </w:rPr>
        <w:t xml:space="preserve"> floor, Magistrate’s Court Building</w:t>
      </w:r>
    </w:p>
    <w:p w14:paraId="4959D6CE" w14:textId="69BB09DE" w:rsidR="00612B43" w:rsidRDefault="00612B43" w:rsidP="00BA4420">
      <w:pPr>
        <w:spacing w:line="360" w:lineRule="auto"/>
        <w:rPr>
          <w:bCs/>
        </w:rPr>
      </w:pPr>
      <w:r>
        <w:rPr>
          <w:bCs/>
        </w:rPr>
        <w:t>302 Church Street</w:t>
      </w:r>
    </w:p>
    <w:p w14:paraId="38EA9A4F" w14:textId="651EB0D3" w:rsidR="00D1618F" w:rsidRDefault="00D1618F" w:rsidP="00BA4420">
      <w:pPr>
        <w:spacing w:line="360" w:lineRule="auto"/>
        <w:rPr>
          <w:bCs/>
        </w:rPr>
      </w:pPr>
      <w:r>
        <w:rPr>
          <w:bCs/>
        </w:rPr>
        <w:t>Pietermaritzburg</w:t>
      </w:r>
    </w:p>
    <w:p w14:paraId="7518F096" w14:textId="7F36C7AD" w:rsidR="00AC0095" w:rsidRPr="00C70C28" w:rsidRDefault="00AC0095" w:rsidP="00BA4420">
      <w:pPr>
        <w:spacing w:line="360" w:lineRule="auto"/>
        <w:rPr>
          <w:bCs/>
        </w:rPr>
      </w:pPr>
    </w:p>
    <w:p w14:paraId="43408996" w14:textId="39CFC624" w:rsidR="00187D56" w:rsidRDefault="00093030" w:rsidP="00BA4420">
      <w:pPr>
        <w:spacing w:line="360" w:lineRule="auto"/>
      </w:pPr>
      <w:r w:rsidRPr="00C70C28">
        <w:t xml:space="preserve">For </w:t>
      </w:r>
      <w:r w:rsidR="00AC0095" w:rsidRPr="00C70C28">
        <w:t xml:space="preserve">the </w:t>
      </w:r>
      <w:r w:rsidR="00321CB8">
        <w:t>respondent/plaintiff</w:t>
      </w:r>
      <w:r w:rsidRPr="00C70C28">
        <w:t>:</w:t>
      </w:r>
    </w:p>
    <w:p w14:paraId="1383BAC6" w14:textId="6794A7A3" w:rsidR="00093030" w:rsidRPr="00C70C28" w:rsidRDefault="00187D56" w:rsidP="00BA4420">
      <w:pPr>
        <w:spacing w:line="360" w:lineRule="auto"/>
      </w:pPr>
      <w:r>
        <w:t xml:space="preserve">Mr </w:t>
      </w:r>
      <w:r w:rsidR="009B3AED">
        <w:t>A C Botha SC</w:t>
      </w:r>
      <w:r w:rsidR="00093030" w:rsidRPr="00C70C28">
        <w:tab/>
      </w:r>
    </w:p>
    <w:p w14:paraId="3FA0FB25" w14:textId="5CF522AF" w:rsidR="002363F2" w:rsidRPr="00C70C28" w:rsidRDefault="00093030" w:rsidP="00BA4420">
      <w:pPr>
        <w:spacing w:line="360" w:lineRule="auto"/>
        <w:rPr>
          <w:szCs w:val="24"/>
        </w:rPr>
      </w:pPr>
      <w:r w:rsidRPr="00C70C28">
        <w:rPr>
          <w:bCs/>
        </w:rPr>
        <w:t>Instructed by:</w:t>
      </w:r>
      <w:r w:rsidR="00187D56">
        <w:rPr>
          <w:bCs/>
        </w:rPr>
        <w:tab/>
      </w:r>
      <w:r w:rsidR="00B20A11" w:rsidRPr="00C70C28">
        <w:rPr>
          <w:bCs/>
        </w:rPr>
        <w:tab/>
      </w:r>
      <w:r w:rsidR="00AC0095" w:rsidRPr="00C70C28">
        <w:rPr>
          <w:bCs/>
        </w:rPr>
        <w:tab/>
      </w:r>
    </w:p>
    <w:p w14:paraId="62C0C741" w14:textId="0DFB813F" w:rsidR="00E24A8B" w:rsidRDefault="009B3AED" w:rsidP="00BA4420">
      <w:pPr>
        <w:spacing w:line="360" w:lineRule="auto"/>
        <w:rPr>
          <w:szCs w:val="24"/>
        </w:rPr>
      </w:pPr>
      <w:proofErr w:type="spellStart"/>
      <w:r>
        <w:rPr>
          <w:szCs w:val="24"/>
        </w:rPr>
        <w:t>Werksmans</w:t>
      </w:r>
      <w:proofErr w:type="spellEnd"/>
      <w:r>
        <w:rPr>
          <w:szCs w:val="24"/>
        </w:rPr>
        <w:t xml:space="preserve"> Attorneys</w:t>
      </w:r>
    </w:p>
    <w:p w14:paraId="20FB7C3C" w14:textId="77777777" w:rsidR="009B3AED" w:rsidRDefault="00D1618F" w:rsidP="00BA4420">
      <w:pPr>
        <w:spacing w:line="360" w:lineRule="auto"/>
        <w:rPr>
          <w:szCs w:val="24"/>
        </w:rPr>
      </w:pPr>
      <w:proofErr w:type="gramStart"/>
      <w:r>
        <w:rPr>
          <w:szCs w:val="24"/>
        </w:rPr>
        <w:t>c/o</w:t>
      </w:r>
      <w:proofErr w:type="gramEnd"/>
      <w:r>
        <w:rPr>
          <w:szCs w:val="24"/>
        </w:rPr>
        <w:t xml:space="preserve"> </w:t>
      </w:r>
      <w:r w:rsidR="009B3AED">
        <w:rPr>
          <w:szCs w:val="24"/>
        </w:rPr>
        <w:t>Shepstone and Wylie</w:t>
      </w:r>
    </w:p>
    <w:p w14:paraId="12C31BFD" w14:textId="6AD9BEB2" w:rsidR="00D1618F" w:rsidRDefault="00D1618F" w:rsidP="00BA4420">
      <w:pPr>
        <w:spacing w:line="360" w:lineRule="auto"/>
        <w:rPr>
          <w:szCs w:val="24"/>
        </w:rPr>
      </w:pPr>
      <w:r>
        <w:rPr>
          <w:szCs w:val="24"/>
        </w:rPr>
        <w:t>Pietermaritzburg</w:t>
      </w:r>
    </w:p>
    <w:p w14:paraId="2A0BB0F7" w14:textId="4852930F" w:rsidR="00187D56" w:rsidRPr="00C70C28" w:rsidRDefault="00D1618F" w:rsidP="00BA4420">
      <w:pPr>
        <w:spacing w:line="360" w:lineRule="auto"/>
        <w:rPr>
          <w:szCs w:val="24"/>
        </w:rPr>
      </w:pPr>
      <w:r>
        <w:rPr>
          <w:szCs w:val="24"/>
        </w:rPr>
        <w:t>(Ref</w:t>
      </w:r>
      <w:r w:rsidR="00957CDA">
        <w:rPr>
          <w:szCs w:val="24"/>
        </w:rPr>
        <w:t>:</w:t>
      </w:r>
      <w:r>
        <w:rPr>
          <w:szCs w:val="24"/>
        </w:rPr>
        <w:t xml:space="preserve"> </w:t>
      </w:r>
      <w:r w:rsidR="009B3AED">
        <w:rPr>
          <w:szCs w:val="24"/>
        </w:rPr>
        <w:t>JTM</w:t>
      </w:r>
      <w:r w:rsidR="00612B43">
        <w:rPr>
          <w:szCs w:val="24"/>
        </w:rPr>
        <w:t>/</w:t>
      </w:r>
      <w:r w:rsidR="009B3AED">
        <w:rPr>
          <w:szCs w:val="24"/>
        </w:rPr>
        <w:t>mm/WEKK17055.32</w:t>
      </w:r>
      <w:r>
        <w:rPr>
          <w:szCs w:val="24"/>
        </w:rPr>
        <w:t>)</w:t>
      </w:r>
    </w:p>
    <w:sectPr w:rsidR="00187D56" w:rsidRPr="00C70C28" w:rsidSect="00591415">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60D3" w16cex:dateUtc="2021-05-06T10:34:00Z"/>
  <w16cex:commentExtensible w16cex:durableId="243F8576" w16cex:dateUtc="2021-05-07T07:23:00Z"/>
  <w16cex:commentExtensible w16cex:durableId="243F8E9B" w16cex:dateUtc="2021-05-07T08:02:00Z"/>
  <w16cex:commentExtensible w16cex:durableId="243FCBE4" w16cex:dateUtc="2021-05-0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C343" w16cid:durableId="243E60D3"/>
  <w16cid:commentId w16cid:paraId="59477816" w16cid:durableId="243F8576"/>
  <w16cid:commentId w16cid:paraId="55E631E6" w16cid:durableId="243F8E9B"/>
  <w16cid:commentId w16cid:paraId="2668F859" w16cid:durableId="243FCB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A19D" w14:textId="77777777" w:rsidR="0023124D" w:rsidRDefault="0023124D">
      <w:r>
        <w:separator/>
      </w:r>
    </w:p>
  </w:endnote>
  <w:endnote w:type="continuationSeparator" w:id="0">
    <w:p w14:paraId="4C5AC3BB" w14:textId="77777777" w:rsidR="0023124D" w:rsidRDefault="0023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371C" w14:textId="77777777" w:rsidR="0023124D" w:rsidRDefault="0023124D">
      <w:r>
        <w:separator/>
      </w:r>
    </w:p>
  </w:footnote>
  <w:footnote w:type="continuationSeparator" w:id="0">
    <w:p w14:paraId="4A0B08C7" w14:textId="77777777" w:rsidR="0023124D" w:rsidRDefault="0023124D">
      <w:r>
        <w:continuationSeparator/>
      </w:r>
    </w:p>
  </w:footnote>
  <w:footnote w:id="1">
    <w:p w14:paraId="62519DE5" w14:textId="412DD2B7" w:rsidR="00A64139" w:rsidRPr="00E542EC" w:rsidRDefault="00A64139" w:rsidP="00E542EC">
      <w:pPr>
        <w:pStyle w:val="FootnoteText"/>
        <w:jc w:val="both"/>
        <w:rPr>
          <w:lang w:val="en-US"/>
        </w:rPr>
      </w:pPr>
      <w:r w:rsidRPr="00E542EC">
        <w:rPr>
          <w:rStyle w:val="FootnoteReference"/>
        </w:rPr>
        <w:footnoteRef/>
      </w:r>
      <w:r w:rsidRPr="00E542EC">
        <w:t xml:space="preserve"> The parties shall hereinafter be referred to as in the action.</w:t>
      </w:r>
    </w:p>
  </w:footnote>
  <w:footnote w:id="2">
    <w:p w14:paraId="2A7AF383" w14:textId="432A4F5C" w:rsidR="00C90BA2" w:rsidRPr="00E542EC" w:rsidRDefault="00C90BA2" w:rsidP="00E542EC">
      <w:pPr>
        <w:pStyle w:val="FootnoteText"/>
        <w:jc w:val="both"/>
        <w:rPr>
          <w:lang w:val="en-US"/>
        </w:rPr>
      </w:pPr>
      <w:r w:rsidRPr="00E542EC">
        <w:rPr>
          <w:rStyle w:val="FootnoteReference"/>
        </w:rPr>
        <w:footnoteRef/>
      </w:r>
      <w:r w:rsidRPr="00E542EC">
        <w:t xml:space="preserve"> This judgment is similarly not concerned with the merits of the amendments which were sought and effected.</w:t>
      </w:r>
    </w:p>
  </w:footnote>
  <w:footnote w:id="3">
    <w:p w14:paraId="73FA9741" w14:textId="4FAAEB65" w:rsidR="00D77D68" w:rsidRPr="00E542EC" w:rsidRDefault="00D77D68" w:rsidP="00E542EC">
      <w:pPr>
        <w:pStyle w:val="FootnoteText"/>
        <w:jc w:val="both"/>
        <w:rPr>
          <w:lang w:val="en-US"/>
        </w:rPr>
      </w:pPr>
      <w:r w:rsidRPr="00E542EC">
        <w:rPr>
          <w:rStyle w:val="FootnoteReference"/>
        </w:rPr>
        <w:footnoteRef/>
      </w:r>
      <w:r w:rsidRPr="00E542EC">
        <w:t xml:space="preserve"> That was in proper compliance</w:t>
      </w:r>
      <w:r w:rsidR="00E542EC">
        <w:t xml:space="preserve"> with the provisions of rule 28</w:t>
      </w:r>
      <w:r w:rsidRPr="00E542EC">
        <w:t>(2)</w:t>
      </w:r>
      <w:r w:rsidR="00E542EC">
        <w:t xml:space="preserve"> of the Uniform Rules</w:t>
      </w:r>
      <w:r w:rsidR="009F0FB3">
        <w:t xml:space="preserve"> of Court</w:t>
      </w:r>
      <w:r w:rsidRPr="00E542EC">
        <w:t>.</w:t>
      </w:r>
    </w:p>
  </w:footnote>
  <w:footnote w:id="4">
    <w:p w14:paraId="5A68D08B" w14:textId="66678FBB" w:rsidR="00ED530A" w:rsidRPr="00E542EC" w:rsidRDefault="00ED530A" w:rsidP="00E542EC">
      <w:pPr>
        <w:pStyle w:val="FootnoteText"/>
        <w:jc w:val="both"/>
        <w:rPr>
          <w:lang w:val="en-US"/>
        </w:rPr>
      </w:pPr>
      <w:r w:rsidRPr="00E542EC">
        <w:rPr>
          <w:rStyle w:val="FootnoteReference"/>
        </w:rPr>
        <w:footnoteRef/>
      </w:r>
      <w:r w:rsidRPr="00E542EC">
        <w:t xml:space="preserve"> </w:t>
      </w:r>
      <w:r w:rsidR="00E52079" w:rsidRPr="00B00DC7">
        <w:rPr>
          <w:i/>
          <w:lang w:val="en-US"/>
        </w:rPr>
        <w:t xml:space="preserve">Fiat SA (Pty) Ltd v Bill </w:t>
      </w:r>
      <w:proofErr w:type="spellStart"/>
      <w:r w:rsidR="00E52079" w:rsidRPr="00B00DC7">
        <w:rPr>
          <w:i/>
          <w:lang w:val="en-US"/>
        </w:rPr>
        <w:t>Troskie</w:t>
      </w:r>
      <w:proofErr w:type="spellEnd"/>
      <w:r w:rsidR="00E52079" w:rsidRPr="00B00DC7">
        <w:rPr>
          <w:i/>
          <w:lang w:val="en-US"/>
        </w:rPr>
        <w:t xml:space="preserve"> Motors </w:t>
      </w:r>
      <w:r w:rsidR="00E52079" w:rsidRPr="00E542EC">
        <w:rPr>
          <w:lang w:val="en-US"/>
        </w:rPr>
        <w:t>1985 (1) SA 355 (O)</w:t>
      </w:r>
      <w:r w:rsidR="00E542EC">
        <w:rPr>
          <w:lang w:val="en-US"/>
        </w:rPr>
        <w:t xml:space="preserve"> at</w:t>
      </w:r>
      <w:r w:rsidR="00E52079" w:rsidRPr="00E542EC">
        <w:rPr>
          <w:lang w:val="en-US"/>
        </w:rPr>
        <w:t xml:space="preserve"> 358C; </w:t>
      </w:r>
      <w:r w:rsidR="00E52079" w:rsidRPr="001768A3">
        <w:rPr>
          <w:i/>
          <w:lang w:val="en-US"/>
        </w:rPr>
        <w:t xml:space="preserve">Van </w:t>
      </w:r>
      <w:proofErr w:type="spellStart"/>
      <w:r w:rsidR="00E52079" w:rsidRPr="001768A3">
        <w:rPr>
          <w:i/>
          <w:lang w:val="en-US"/>
        </w:rPr>
        <w:t>Heerden</w:t>
      </w:r>
      <w:proofErr w:type="spellEnd"/>
      <w:r w:rsidR="00E52079" w:rsidRPr="001768A3">
        <w:rPr>
          <w:i/>
          <w:lang w:val="en-US"/>
        </w:rPr>
        <w:t xml:space="preserve"> v Van </w:t>
      </w:r>
      <w:proofErr w:type="spellStart"/>
      <w:r w:rsidR="00E52079" w:rsidRPr="001768A3">
        <w:rPr>
          <w:i/>
          <w:lang w:val="en-US"/>
        </w:rPr>
        <w:t>Heerden</w:t>
      </w:r>
      <w:proofErr w:type="spellEnd"/>
      <w:r w:rsidR="00E52079" w:rsidRPr="00E542EC">
        <w:rPr>
          <w:lang w:val="en-US"/>
        </w:rPr>
        <w:t xml:space="preserve"> 1977 (3) SA 455 (WLD)</w:t>
      </w:r>
      <w:r w:rsidR="00E542EC">
        <w:rPr>
          <w:lang w:val="en-US"/>
        </w:rPr>
        <w:t xml:space="preserve"> at</w:t>
      </w:r>
      <w:r w:rsidR="00E52079" w:rsidRPr="00E542EC">
        <w:rPr>
          <w:lang w:val="en-US"/>
        </w:rPr>
        <w:t xml:space="preserve"> 457H.</w:t>
      </w:r>
    </w:p>
  </w:footnote>
  <w:footnote w:id="5">
    <w:p w14:paraId="27B04DA4" w14:textId="1EA42E14" w:rsidR="004F37FF" w:rsidRPr="00E542EC" w:rsidRDefault="004F37FF" w:rsidP="00E542EC">
      <w:pPr>
        <w:pStyle w:val="FootnoteText"/>
        <w:jc w:val="both"/>
        <w:rPr>
          <w:lang w:val="en-US"/>
        </w:rPr>
      </w:pPr>
      <w:r w:rsidRPr="00E542EC">
        <w:rPr>
          <w:rStyle w:val="FootnoteReference"/>
        </w:rPr>
        <w:footnoteRef/>
      </w:r>
      <w:r w:rsidRPr="00E542EC">
        <w:t xml:space="preserve"> ‘</w:t>
      </w:r>
      <w:r w:rsidRPr="00E542EC">
        <w:rPr>
          <w:lang w:val="en-US"/>
        </w:rPr>
        <w:t xml:space="preserve">Deliver’ is defined in the </w:t>
      </w:r>
      <w:r w:rsidR="009F0FB3">
        <w:rPr>
          <w:lang w:val="en-US"/>
        </w:rPr>
        <w:t>U</w:t>
      </w:r>
      <w:r w:rsidR="009F0FB3" w:rsidRPr="00E542EC">
        <w:rPr>
          <w:lang w:val="en-US"/>
        </w:rPr>
        <w:t xml:space="preserve">niform </w:t>
      </w:r>
      <w:r w:rsidR="009F0FB3">
        <w:rPr>
          <w:lang w:val="en-US"/>
        </w:rPr>
        <w:t>R</w:t>
      </w:r>
      <w:r w:rsidR="009F0FB3" w:rsidRPr="00E542EC">
        <w:rPr>
          <w:lang w:val="en-US"/>
        </w:rPr>
        <w:t xml:space="preserve">ules </w:t>
      </w:r>
      <w:r w:rsidRPr="00E542EC">
        <w:rPr>
          <w:lang w:val="en-US"/>
        </w:rPr>
        <w:t xml:space="preserve">of </w:t>
      </w:r>
      <w:r w:rsidR="009F0FB3">
        <w:rPr>
          <w:lang w:val="en-US"/>
        </w:rPr>
        <w:t>C</w:t>
      </w:r>
      <w:r w:rsidR="009F0FB3" w:rsidRPr="00E542EC">
        <w:rPr>
          <w:lang w:val="en-US"/>
        </w:rPr>
        <w:t xml:space="preserve">ourt </w:t>
      </w:r>
      <w:r w:rsidRPr="00E542EC">
        <w:rPr>
          <w:lang w:val="en-US"/>
        </w:rPr>
        <w:t>to mean ‘</w:t>
      </w:r>
      <w:r w:rsidR="00F20A85" w:rsidRPr="00F20A85">
        <w:rPr>
          <w:lang w:val="en-US"/>
        </w:rPr>
        <w:t>serve copies on all parties and file the original with the registrar</w:t>
      </w:r>
      <w:r w:rsidRPr="00E542EC">
        <w:rPr>
          <w:lang w:val="en-US"/>
        </w:rPr>
        <w:t xml:space="preserve">.’ </w:t>
      </w:r>
    </w:p>
  </w:footnote>
  <w:footnote w:id="6">
    <w:p w14:paraId="4CBDB578" w14:textId="6343D722" w:rsidR="00041BAE" w:rsidRPr="00041BAE" w:rsidRDefault="00041BAE">
      <w:pPr>
        <w:pStyle w:val="FootnoteText"/>
        <w:rPr>
          <w:lang w:val="en-US"/>
        </w:rPr>
      </w:pPr>
      <w:r>
        <w:rPr>
          <w:rStyle w:val="FootnoteReference"/>
        </w:rPr>
        <w:footnoteRef/>
      </w:r>
      <w:r>
        <w:t xml:space="preserve"> </w:t>
      </w:r>
      <w:r w:rsidRPr="00041BAE">
        <w:rPr>
          <w:i/>
          <w:lang w:val="en-US"/>
        </w:rPr>
        <w:t>Minister of Law and Order v Taylor NO</w:t>
      </w:r>
      <w:r>
        <w:rPr>
          <w:lang w:val="en-US"/>
        </w:rPr>
        <w:t xml:space="preserve"> 1990 (1) SA 165 (E).</w:t>
      </w:r>
    </w:p>
  </w:footnote>
  <w:footnote w:id="7">
    <w:p w14:paraId="77C21689" w14:textId="31DD0965" w:rsidR="002C2EBF" w:rsidRPr="00E542EC" w:rsidRDefault="002C2EBF" w:rsidP="00E542EC">
      <w:pPr>
        <w:pStyle w:val="FootnoteText"/>
        <w:jc w:val="both"/>
        <w:rPr>
          <w:lang w:val="en-US"/>
        </w:rPr>
      </w:pPr>
      <w:r w:rsidRPr="00E542EC">
        <w:rPr>
          <w:rStyle w:val="FootnoteReference"/>
        </w:rPr>
        <w:footnoteRef/>
      </w:r>
      <w:r w:rsidRPr="00E542EC">
        <w:t xml:space="preserve"> </w:t>
      </w:r>
      <w:r w:rsidR="00D10B70" w:rsidRPr="005E77A1">
        <w:rPr>
          <w:i/>
          <w:lang w:val="en-US"/>
        </w:rPr>
        <w:t xml:space="preserve">Van </w:t>
      </w:r>
      <w:proofErr w:type="spellStart"/>
      <w:r w:rsidR="00D10B70" w:rsidRPr="005E77A1">
        <w:rPr>
          <w:i/>
          <w:lang w:val="en-US"/>
        </w:rPr>
        <w:t>Wyk</w:t>
      </w:r>
      <w:proofErr w:type="spellEnd"/>
      <w:r w:rsidR="00D10B70" w:rsidRPr="005E77A1">
        <w:rPr>
          <w:i/>
          <w:lang w:val="en-US"/>
        </w:rPr>
        <w:t xml:space="preserve"> v </w:t>
      </w:r>
      <w:proofErr w:type="spellStart"/>
      <w:r w:rsidR="00D10B70" w:rsidRPr="005E77A1">
        <w:rPr>
          <w:i/>
          <w:lang w:val="en-US"/>
        </w:rPr>
        <w:t>Unitas</w:t>
      </w:r>
      <w:proofErr w:type="spellEnd"/>
      <w:r w:rsidR="00D10B70" w:rsidRPr="005E77A1">
        <w:rPr>
          <w:i/>
          <w:lang w:val="en-US"/>
        </w:rPr>
        <w:t xml:space="preserve"> Hospital and another (Open Democratic Advice Centre as amicus curiae)</w:t>
      </w:r>
      <w:r w:rsidR="00D10B70" w:rsidRPr="00D10B70">
        <w:rPr>
          <w:lang w:val="en-US"/>
        </w:rPr>
        <w:t xml:space="preserve"> 2008 (2) SA 472 (CC)</w:t>
      </w:r>
      <w:r w:rsidR="00D10B70">
        <w:rPr>
          <w:lang w:val="en-US"/>
        </w:rPr>
        <w:t xml:space="preserve"> para 22</w:t>
      </w:r>
      <w:r w:rsidR="007C474E">
        <w:rPr>
          <w:lang w:val="en-US"/>
        </w:rPr>
        <w:t xml:space="preserve">; </w:t>
      </w:r>
      <w:r w:rsidR="007C474E" w:rsidRPr="007C474E">
        <w:rPr>
          <w:i/>
          <w:lang w:val="en-US"/>
        </w:rPr>
        <w:t xml:space="preserve">SA Express Ltd v </w:t>
      </w:r>
      <w:proofErr w:type="spellStart"/>
      <w:r w:rsidR="007C474E" w:rsidRPr="007C474E">
        <w:rPr>
          <w:i/>
          <w:lang w:val="en-US"/>
        </w:rPr>
        <w:t>Bagport</w:t>
      </w:r>
      <w:proofErr w:type="spellEnd"/>
      <w:r w:rsidR="007C474E" w:rsidRPr="007C474E">
        <w:rPr>
          <w:lang w:val="en-US"/>
        </w:rPr>
        <w:t xml:space="preserve"> (Pty) Ltd 2020 (5) SA 404 (SCA) para 34</w:t>
      </w:r>
      <w:r w:rsidR="007C474E">
        <w:rPr>
          <w:lang w:val="en-US"/>
        </w:rPr>
        <w:t>.</w:t>
      </w:r>
    </w:p>
  </w:footnote>
  <w:footnote w:id="8">
    <w:p w14:paraId="4586E88A" w14:textId="46FBA539" w:rsidR="00BE622E" w:rsidRPr="00E542EC" w:rsidRDefault="00BE622E" w:rsidP="00E542EC">
      <w:pPr>
        <w:pStyle w:val="FootnoteText"/>
        <w:jc w:val="both"/>
        <w:rPr>
          <w:lang w:val="en-US"/>
        </w:rPr>
      </w:pPr>
      <w:r w:rsidRPr="00E542EC">
        <w:rPr>
          <w:rStyle w:val="FootnoteReference"/>
        </w:rPr>
        <w:footnoteRef/>
      </w:r>
      <w:r w:rsidRPr="00E542EC">
        <w:t xml:space="preserve"> </w:t>
      </w:r>
      <w:r w:rsidRPr="00E542EC">
        <w:rPr>
          <w:lang w:val="en-US"/>
        </w:rPr>
        <w:t>This contradiction was accepted to be incorrect during argument.</w:t>
      </w:r>
    </w:p>
  </w:footnote>
  <w:footnote w:id="9">
    <w:p w14:paraId="731EC23D" w14:textId="329335C8" w:rsidR="00F65ED7" w:rsidRPr="00E542EC" w:rsidRDefault="00F65ED7" w:rsidP="00E542EC">
      <w:pPr>
        <w:pStyle w:val="FootnoteText"/>
        <w:jc w:val="both"/>
        <w:rPr>
          <w:lang w:val="en-US"/>
        </w:rPr>
      </w:pPr>
      <w:r w:rsidRPr="00E542EC">
        <w:rPr>
          <w:rStyle w:val="FootnoteReference"/>
        </w:rPr>
        <w:footnoteRef/>
      </w:r>
      <w:r w:rsidRPr="00E542EC">
        <w:t xml:space="preserve"> </w:t>
      </w:r>
      <w:proofErr w:type="spellStart"/>
      <w:r w:rsidRPr="00E542EC">
        <w:rPr>
          <w:i/>
          <w:lang w:val="en-US"/>
        </w:rPr>
        <w:t>Zwelibanzi</w:t>
      </w:r>
      <w:proofErr w:type="spellEnd"/>
      <w:r w:rsidRPr="00E542EC">
        <w:rPr>
          <w:i/>
          <w:lang w:val="en-US"/>
        </w:rPr>
        <w:t xml:space="preserve"> Utilities (Pty) Ltd t/</w:t>
      </w:r>
      <w:proofErr w:type="gramStart"/>
      <w:r w:rsidRPr="00E542EC">
        <w:rPr>
          <w:i/>
          <w:lang w:val="en-US"/>
        </w:rPr>
        <w:t>a</w:t>
      </w:r>
      <w:proofErr w:type="gramEnd"/>
      <w:r w:rsidRPr="00E542EC">
        <w:rPr>
          <w:i/>
          <w:lang w:val="en-US"/>
        </w:rPr>
        <w:t xml:space="preserve"> Adams Mission Service Centre v TP Electrical Contractors CC</w:t>
      </w:r>
      <w:r w:rsidRPr="00E542EC">
        <w:rPr>
          <w:lang w:val="en-US"/>
        </w:rPr>
        <w:t xml:space="preserve"> [2011] ZASCA 33 </w:t>
      </w:r>
      <w:r w:rsidR="002A00AA" w:rsidRPr="00E542EC">
        <w:rPr>
          <w:lang w:val="en-US"/>
        </w:rPr>
        <w:t>para 15</w:t>
      </w:r>
      <w:r w:rsidRPr="00E542EC">
        <w:rPr>
          <w:lang w:val="en-US"/>
        </w:rPr>
        <w:t>.</w:t>
      </w:r>
    </w:p>
  </w:footnote>
  <w:footnote w:id="10">
    <w:p w14:paraId="34EB7F00" w14:textId="7AFBF1AB" w:rsidR="00E52079" w:rsidRPr="00E542EC" w:rsidRDefault="00E52079" w:rsidP="00E542EC">
      <w:pPr>
        <w:pStyle w:val="FootnoteText"/>
        <w:jc w:val="both"/>
        <w:rPr>
          <w:lang w:val="en-US"/>
        </w:rPr>
      </w:pPr>
      <w:r w:rsidRPr="00E542EC">
        <w:rPr>
          <w:rStyle w:val="FootnoteReference"/>
        </w:rPr>
        <w:footnoteRef/>
      </w:r>
      <w:r w:rsidRPr="00E542EC">
        <w:t xml:space="preserve"> </w:t>
      </w:r>
      <w:r w:rsidRPr="00E542EC">
        <w:rPr>
          <w:i/>
          <w:lang w:val="en-US"/>
        </w:rPr>
        <w:t>Group Five Building Ltd v Government of the Republic of South Africa (Minister of Public Works and Land Affairs)</w:t>
      </w:r>
      <w:r w:rsidRPr="00E542EC">
        <w:rPr>
          <w:lang w:val="en-US"/>
        </w:rPr>
        <w:t xml:space="preserve"> 1993 (2) SA 593 (A) at 602D.</w:t>
      </w:r>
    </w:p>
  </w:footnote>
  <w:footnote w:id="11">
    <w:p w14:paraId="5D620014" w14:textId="26FD3E81" w:rsidR="002A00AA" w:rsidRPr="00E542EC" w:rsidRDefault="002A00AA" w:rsidP="00E542EC">
      <w:pPr>
        <w:pStyle w:val="FootnoteText"/>
        <w:jc w:val="both"/>
        <w:rPr>
          <w:lang w:val="en-US"/>
        </w:rPr>
      </w:pPr>
      <w:r w:rsidRPr="00E542EC">
        <w:rPr>
          <w:rStyle w:val="FootnoteReference"/>
        </w:rPr>
        <w:footnoteRef/>
      </w:r>
      <w:r w:rsidRPr="00E542EC">
        <w:t xml:space="preserve"> </w:t>
      </w:r>
      <w:r w:rsidRPr="00E542EC">
        <w:rPr>
          <w:i/>
          <w:lang w:val="en-US"/>
        </w:rPr>
        <w:t>Trustee Insolvent Estate Mark William v Bank of Africa Limited</w:t>
      </w:r>
      <w:r w:rsidRPr="00E542EC">
        <w:rPr>
          <w:lang w:val="en-US"/>
        </w:rPr>
        <w:t xml:space="preserve"> (1911) 32 NLR 36.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0D2494" w:rsidRDefault="000D24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0D2494" w:rsidRDefault="000D24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0D243B2A" w:rsidR="000D2494" w:rsidRPr="00AC7DA3" w:rsidRDefault="000D2494">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1779FD">
      <w:rPr>
        <w:rStyle w:val="PageNumber"/>
        <w:rFonts w:cs="Arial"/>
        <w:noProof/>
        <w:sz w:val="22"/>
      </w:rPr>
      <w:t>16</w:t>
    </w:r>
    <w:r w:rsidRPr="00AC7DA3">
      <w:rPr>
        <w:rStyle w:val="PageNumber"/>
        <w:rFonts w:cs="Arial"/>
        <w:sz w:val="22"/>
      </w:rPr>
      <w:fldChar w:fldCharType="end"/>
    </w:r>
  </w:p>
  <w:p w14:paraId="0B7E1CB3" w14:textId="77777777" w:rsidR="000D2494" w:rsidRDefault="000D24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BE"/>
    <w:multiLevelType w:val="hybridMultilevel"/>
    <w:tmpl w:val="5DA60D2E"/>
    <w:lvl w:ilvl="0" w:tplc="36108E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34AD"/>
    <w:multiLevelType w:val="hybridMultilevel"/>
    <w:tmpl w:val="3F60BBBA"/>
    <w:lvl w:ilvl="0" w:tplc="1C09000F">
      <w:start w:val="1"/>
      <w:numFmt w:val="decimal"/>
      <w:lvlText w:val="%1."/>
      <w:lvlJc w:val="left"/>
      <w:pPr>
        <w:ind w:left="1710" w:hanging="360"/>
      </w:p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2" w15:restartNumberingAfterBreak="0">
    <w:nsid w:val="02756B01"/>
    <w:multiLevelType w:val="hybridMultilevel"/>
    <w:tmpl w:val="95F2D1D4"/>
    <w:lvl w:ilvl="0" w:tplc="70F61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41609"/>
    <w:multiLevelType w:val="hybridMultilevel"/>
    <w:tmpl w:val="48427F18"/>
    <w:lvl w:ilvl="0" w:tplc="9A88F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9135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94FBF"/>
    <w:multiLevelType w:val="hybridMultilevel"/>
    <w:tmpl w:val="E4AAC8FC"/>
    <w:lvl w:ilvl="0" w:tplc="BA96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E49A3"/>
    <w:multiLevelType w:val="hybridMultilevel"/>
    <w:tmpl w:val="E550D89E"/>
    <w:lvl w:ilvl="0" w:tplc="9F88B3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E3D6D"/>
    <w:multiLevelType w:val="hybridMultilevel"/>
    <w:tmpl w:val="4A3C347A"/>
    <w:lvl w:ilvl="0" w:tplc="50B45E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1260A"/>
    <w:multiLevelType w:val="hybridMultilevel"/>
    <w:tmpl w:val="5EA6650E"/>
    <w:lvl w:ilvl="0" w:tplc="A112C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E071D"/>
    <w:multiLevelType w:val="hybridMultilevel"/>
    <w:tmpl w:val="74ECFF98"/>
    <w:lvl w:ilvl="0" w:tplc="77662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B627A"/>
    <w:multiLevelType w:val="hybridMultilevel"/>
    <w:tmpl w:val="FA7E7456"/>
    <w:lvl w:ilvl="0" w:tplc="0A7A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0604C"/>
    <w:multiLevelType w:val="hybridMultilevel"/>
    <w:tmpl w:val="A574E34A"/>
    <w:lvl w:ilvl="0" w:tplc="41A24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D146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A1833"/>
    <w:multiLevelType w:val="hybridMultilevel"/>
    <w:tmpl w:val="61B6F2EE"/>
    <w:lvl w:ilvl="0" w:tplc="9BAA3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CE4033"/>
    <w:multiLevelType w:val="hybridMultilevel"/>
    <w:tmpl w:val="80D28C1C"/>
    <w:lvl w:ilvl="0" w:tplc="DABC1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2597B"/>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E75A2E"/>
    <w:multiLevelType w:val="hybridMultilevel"/>
    <w:tmpl w:val="D6749A34"/>
    <w:lvl w:ilvl="0" w:tplc="37B6A7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415A4"/>
    <w:multiLevelType w:val="hybridMultilevel"/>
    <w:tmpl w:val="B16CF01A"/>
    <w:lvl w:ilvl="0" w:tplc="7AEE5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54266"/>
    <w:multiLevelType w:val="hybridMultilevel"/>
    <w:tmpl w:val="73FE3232"/>
    <w:lvl w:ilvl="0" w:tplc="235AA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786945"/>
    <w:multiLevelType w:val="hybridMultilevel"/>
    <w:tmpl w:val="6FA2FE8C"/>
    <w:lvl w:ilvl="0" w:tplc="E44E3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B57706"/>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AB42EB"/>
    <w:multiLevelType w:val="hybridMultilevel"/>
    <w:tmpl w:val="0C849F70"/>
    <w:lvl w:ilvl="0" w:tplc="4DD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518BB"/>
    <w:multiLevelType w:val="hybridMultilevel"/>
    <w:tmpl w:val="2E888362"/>
    <w:lvl w:ilvl="0" w:tplc="7BC00F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78E134A"/>
    <w:multiLevelType w:val="hybridMultilevel"/>
    <w:tmpl w:val="86142876"/>
    <w:lvl w:ilvl="0" w:tplc="77FC8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8F16F5"/>
    <w:multiLevelType w:val="hybridMultilevel"/>
    <w:tmpl w:val="5810DF8A"/>
    <w:lvl w:ilvl="0" w:tplc="DDB8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C67813"/>
    <w:multiLevelType w:val="hybridMultilevel"/>
    <w:tmpl w:val="6C72CAEA"/>
    <w:lvl w:ilvl="0" w:tplc="9D5436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A2F2C"/>
    <w:multiLevelType w:val="hybridMultilevel"/>
    <w:tmpl w:val="DD8A896C"/>
    <w:lvl w:ilvl="0" w:tplc="493CE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75537"/>
    <w:multiLevelType w:val="hybridMultilevel"/>
    <w:tmpl w:val="A3ACADCC"/>
    <w:lvl w:ilvl="0" w:tplc="84485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06ADD"/>
    <w:multiLevelType w:val="hybridMultilevel"/>
    <w:tmpl w:val="C212C060"/>
    <w:lvl w:ilvl="0" w:tplc="30CC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652548"/>
    <w:multiLevelType w:val="hybridMultilevel"/>
    <w:tmpl w:val="D870BFBC"/>
    <w:lvl w:ilvl="0" w:tplc="EA381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B47475"/>
    <w:multiLevelType w:val="hybridMultilevel"/>
    <w:tmpl w:val="3162D52A"/>
    <w:lvl w:ilvl="0" w:tplc="92F40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7F5521"/>
    <w:multiLevelType w:val="multilevel"/>
    <w:tmpl w:val="4EBA8E3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FDC00F8"/>
    <w:multiLevelType w:val="hybridMultilevel"/>
    <w:tmpl w:val="BA32A678"/>
    <w:lvl w:ilvl="0" w:tplc="1C88F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F180D"/>
    <w:multiLevelType w:val="hybridMultilevel"/>
    <w:tmpl w:val="0EECD49E"/>
    <w:lvl w:ilvl="0" w:tplc="65A85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9546F1"/>
    <w:multiLevelType w:val="hybridMultilevel"/>
    <w:tmpl w:val="2070C092"/>
    <w:lvl w:ilvl="0" w:tplc="47169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96B3A"/>
    <w:multiLevelType w:val="hybridMultilevel"/>
    <w:tmpl w:val="D78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9E7CFA"/>
    <w:multiLevelType w:val="hybridMultilevel"/>
    <w:tmpl w:val="7D1AE0C0"/>
    <w:lvl w:ilvl="0" w:tplc="11DCA74C">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A444F"/>
    <w:multiLevelType w:val="hybridMultilevel"/>
    <w:tmpl w:val="9A227EA2"/>
    <w:lvl w:ilvl="0" w:tplc="99C6D41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92C15"/>
    <w:multiLevelType w:val="hybridMultilevel"/>
    <w:tmpl w:val="9740D8B0"/>
    <w:lvl w:ilvl="0" w:tplc="DEA28A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366F4"/>
    <w:multiLevelType w:val="hybridMultilevel"/>
    <w:tmpl w:val="82160E0A"/>
    <w:lvl w:ilvl="0" w:tplc="6A2CB1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11F14"/>
    <w:multiLevelType w:val="hybridMultilevel"/>
    <w:tmpl w:val="B49C7836"/>
    <w:lvl w:ilvl="0" w:tplc="8D72CF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86423"/>
    <w:multiLevelType w:val="hybridMultilevel"/>
    <w:tmpl w:val="05EEC8BE"/>
    <w:lvl w:ilvl="0" w:tplc="1E7020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C8D7FD7"/>
    <w:multiLevelType w:val="hybridMultilevel"/>
    <w:tmpl w:val="CFCAF4EA"/>
    <w:lvl w:ilvl="0" w:tplc="5BB6E9BA">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3"/>
  </w:num>
  <w:num w:numId="3">
    <w:abstractNumId w:val="11"/>
  </w:num>
  <w:num w:numId="4">
    <w:abstractNumId w:val="22"/>
  </w:num>
  <w:num w:numId="5">
    <w:abstractNumId w:val="33"/>
  </w:num>
  <w:num w:numId="6">
    <w:abstractNumId w:val="18"/>
  </w:num>
  <w:num w:numId="7">
    <w:abstractNumId w:val="12"/>
  </w:num>
  <w:num w:numId="8">
    <w:abstractNumId w:val="23"/>
  </w:num>
  <w:num w:numId="9">
    <w:abstractNumId w:val="10"/>
  </w:num>
  <w:num w:numId="10">
    <w:abstractNumId w:val="31"/>
  </w:num>
  <w:num w:numId="11">
    <w:abstractNumId w:val="3"/>
  </w:num>
  <w:num w:numId="12">
    <w:abstractNumId w:val="8"/>
  </w:num>
  <w:num w:numId="13">
    <w:abstractNumId w:val="6"/>
  </w:num>
  <w:num w:numId="14">
    <w:abstractNumId w:val="20"/>
  </w:num>
  <w:num w:numId="15">
    <w:abstractNumId w:val="40"/>
  </w:num>
  <w:num w:numId="16">
    <w:abstractNumId w:val="39"/>
  </w:num>
  <w:num w:numId="17">
    <w:abstractNumId w:val="35"/>
  </w:num>
  <w:num w:numId="18">
    <w:abstractNumId w:val="26"/>
  </w:num>
  <w:num w:numId="19">
    <w:abstractNumId w:val="32"/>
  </w:num>
  <w:num w:numId="20">
    <w:abstractNumId w:val="30"/>
  </w:num>
  <w:num w:numId="21">
    <w:abstractNumId w:val="27"/>
  </w:num>
  <w:num w:numId="22">
    <w:abstractNumId w:val="28"/>
  </w:num>
  <w:num w:numId="23">
    <w:abstractNumId w:val="41"/>
  </w:num>
  <w:num w:numId="24">
    <w:abstractNumId w:val="15"/>
  </w:num>
  <w:num w:numId="25">
    <w:abstractNumId w:val="19"/>
  </w:num>
  <w:num w:numId="26">
    <w:abstractNumId w:val="5"/>
  </w:num>
  <w:num w:numId="27">
    <w:abstractNumId w:val="4"/>
  </w:num>
  <w:num w:numId="28">
    <w:abstractNumId w:val="2"/>
  </w:num>
  <w:num w:numId="29">
    <w:abstractNumId w:val="34"/>
  </w:num>
  <w:num w:numId="30">
    <w:abstractNumId w:val="14"/>
  </w:num>
  <w:num w:numId="31">
    <w:abstractNumId w:val="36"/>
  </w:num>
  <w:num w:numId="32">
    <w:abstractNumId w:val="25"/>
  </w:num>
  <w:num w:numId="33">
    <w:abstractNumId w:val="21"/>
  </w:num>
  <w:num w:numId="34">
    <w:abstractNumId w:val="29"/>
  </w:num>
  <w:num w:numId="35">
    <w:abstractNumId w:val="38"/>
  </w:num>
  <w:num w:numId="36">
    <w:abstractNumId w:val="13"/>
  </w:num>
  <w:num w:numId="37">
    <w:abstractNumId w:val="17"/>
  </w:num>
  <w:num w:numId="38">
    <w:abstractNumId w:val="1"/>
  </w:num>
  <w:num w:numId="39">
    <w:abstractNumId w:val="42"/>
  </w:num>
  <w:num w:numId="40">
    <w:abstractNumId w:val="16"/>
  </w:num>
  <w:num w:numId="41">
    <w:abstractNumId w:val="0"/>
  </w:num>
  <w:num w:numId="42">
    <w:abstractNumId w:val="9"/>
  </w:num>
  <w:num w:numId="43">
    <w:abstractNumId w:val="2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C153C9-7BF8-49E7-B890-8B57C01C6B0E}"/>
    <w:docVar w:name="dgnword-eventsink" w:val="661308872"/>
  </w:docVars>
  <w:rsids>
    <w:rsidRoot w:val="00093030"/>
    <w:rsid w:val="000018AE"/>
    <w:rsid w:val="00007CE3"/>
    <w:rsid w:val="00013458"/>
    <w:rsid w:val="000144AA"/>
    <w:rsid w:val="00016245"/>
    <w:rsid w:val="00022B7D"/>
    <w:rsid w:val="00027A8B"/>
    <w:rsid w:val="00032E7D"/>
    <w:rsid w:val="00033040"/>
    <w:rsid w:val="00041BAE"/>
    <w:rsid w:val="00052E11"/>
    <w:rsid w:val="00055AB6"/>
    <w:rsid w:val="0006537F"/>
    <w:rsid w:val="00071C02"/>
    <w:rsid w:val="000730D6"/>
    <w:rsid w:val="00076F33"/>
    <w:rsid w:val="00080344"/>
    <w:rsid w:val="00081125"/>
    <w:rsid w:val="00082C3F"/>
    <w:rsid w:val="00083528"/>
    <w:rsid w:val="00084FF1"/>
    <w:rsid w:val="00091C5F"/>
    <w:rsid w:val="00091C85"/>
    <w:rsid w:val="00093030"/>
    <w:rsid w:val="000A1483"/>
    <w:rsid w:val="000A1F50"/>
    <w:rsid w:val="000A2D44"/>
    <w:rsid w:val="000A7F49"/>
    <w:rsid w:val="000B422C"/>
    <w:rsid w:val="000D1290"/>
    <w:rsid w:val="000D2494"/>
    <w:rsid w:val="000D7DB1"/>
    <w:rsid w:val="000E16FA"/>
    <w:rsid w:val="000E39FC"/>
    <w:rsid w:val="000E5726"/>
    <w:rsid w:val="000E5EED"/>
    <w:rsid w:val="000F13C5"/>
    <w:rsid w:val="000F2ED1"/>
    <w:rsid w:val="001038AB"/>
    <w:rsid w:val="001067E6"/>
    <w:rsid w:val="001077DF"/>
    <w:rsid w:val="00107B4C"/>
    <w:rsid w:val="00112230"/>
    <w:rsid w:val="00117E6E"/>
    <w:rsid w:val="00122128"/>
    <w:rsid w:val="0012460A"/>
    <w:rsid w:val="001278F7"/>
    <w:rsid w:val="00131C11"/>
    <w:rsid w:val="00134089"/>
    <w:rsid w:val="00134266"/>
    <w:rsid w:val="0013527F"/>
    <w:rsid w:val="00140E10"/>
    <w:rsid w:val="00142BD9"/>
    <w:rsid w:val="001441F0"/>
    <w:rsid w:val="0015193B"/>
    <w:rsid w:val="0016475E"/>
    <w:rsid w:val="00165F55"/>
    <w:rsid w:val="00166FFB"/>
    <w:rsid w:val="00170F0E"/>
    <w:rsid w:val="00174D50"/>
    <w:rsid w:val="001768A3"/>
    <w:rsid w:val="00176F5E"/>
    <w:rsid w:val="001775CE"/>
    <w:rsid w:val="001779FD"/>
    <w:rsid w:val="00182054"/>
    <w:rsid w:val="00184716"/>
    <w:rsid w:val="0018534A"/>
    <w:rsid w:val="00187D56"/>
    <w:rsid w:val="001919CF"/>
    <w:rsid w:val="00193056"/>
    <w:rsid w:val="00196C0D"/>
    <w:rsid w:val="001A35CC"/>
    <w:rsid w:val="001A3738"/>
    <w:rsid w:val="001A5199"/>
    <w:rsid w:val="001A560C"/>
    <w:rsid w:val="001A7459"/>
    <w:rsid w:val="001B46B2"/>
    <w:rsid w:val="001B72FD"/>
    <w:rsid w:val="001B744C"/>
    <w:rsid w:val="001B7972"/>
    <w:rsid w:val="001C075A"/>
    <w:rsid w:val="001C1E57"/>
    <w:rsid w:val="001C260A"/>
    <w:rsid w:val="001C5C9A"/>
    <w:rsid w:val="001C734D"/>
    <w:rsid w:val="001D6016"/>
    <w:rsid w:val="001E01A2"/>
    <w:rsid w:val="001E3E16"/>
    <w:rsid w:val="001E49B5"/>
    <w:rsid w:val="001E5B50"/>
    <w:rsid w:val="001E6034"/>
    <w:rsid w:val="001F5A98"/>
    <w:rsid w:val="002029DC"/>
    <w:rsid w:val="00207A3D"/>
    <w:rsid w:val="0021401E"/>
    <w:rsid w:val="0021612D"/>
    <w:rsid w:val="00217C64"/>
    <w:rsid w:val="002206A8"/>
    <w:rsid w:val="00221386"/>
    <w:rsid w:val="002265FE"/>
    <w:rsid w:val="00230BE3"/>
    <w:rsid w:val="0023124D"/>
    <w:rsid w:val="0023479D"/>
    <w:rsid w:val="002363F2"/>
    <w:rsid w:val="0023687E"/>
    <w:rsid w:val="00236E8C"/>
    <w:rsid w:val="00240526"/>
    <w:rsid w:val="00244ADF"/>
    <w:rsid w:val="0025234B"/>
    <w:rsid w:val="00255DBD"/>
    <w:rsid w:val="00257CE5"/>
    <w:rsid w:val="002765E9"/>
    <w:rsid w:val="00284EB8"/>
    <w:rsid w:val="00285099"/>
    <w:rsid w:val="002866DB"/>
    <w:rsid w:val="002932D5"/>
    <w:rsid w:val="002A00AA"/>
    <w:rsid w:val="002A02F4"/>
    <w:rsid w:val="002A084B"/>
    <w:rsid w:val="002A706E"/>
    <w:rsid w:val="002A7BA7"/>
    <w:rsid w:val="002B0AAD"/>
    <w:rsid w:val="002B531E"/>
    <w:rsid w:val="002B7D52"/>
    <w:rsid w:val="002C1F79"/>
    <w:rsid w:val="002C2EBF"/>
    <w:rsid w:val="002C6FDB"/>
    <w:rsid w:val="002C7FF4"/>
    <w:rsid w:val="002D31F7"/>
    <w:rsid w:val="002D3E60"/>
    <w:rsid w:val="002D4ECE"/>
    <w:rsid w:val="002D52CE"/>
    <w:rsid w:val="002D7B47"/>
    <w:rsid w:val="002E0339"/>
    <w:rsid w:val="002E09F6"/>
    <w:rsid w:val="002E291E"/>
    <w:rsid w:val="002E6E72"/>
    <w:rsid w:val="002E757C"/>
    <w:rsid w:val="002F0610"/>
    <w:rsid w:val="002F5164"/>
    <w:rsid w:val="00300829"/>
    <w:rsid w:val="003051ED"/>
    <w:rsid w:val="00307BAA"/>
    <w:rsid w:val="00310732"/>
    <w:rsid w:val="003113E6"/>
    <w:rsid w:val="00313410"/>
    <w:rsid w:val="0031434B"/>
    <w:rsid w:val="003160E9"/>
    <w:rsid w:val="003201BA"/>
    <w:rsid w:val="00321CB8"/>
    <w:rsid w:val="00324B8C"/>
    <w:rsid w:val="00331780"/>
    <w:rsid w:val="00333FC9"/>
    <w:rsid w:val="00336B3B"/>
    <w:rsid w:val="0034122B"/>
    <w:rsid w:val="00347D9D"/>
    <w:rsid w:val="00347F62"/>
    <w:rsid w:val="0035325C"/>
    <w:rsid w:val="00357B47"/>
    <w:rsid w:val="00362236"/>
    <w:rsid w:val="00367442"/>
    <w:rsid w:val="0037313E"/>
    <w:rsid w:val="003744E2"/>
    <w:rsid w:val="0037450D"/>
    <w:rsid w:val="00376B59"/>
    <w:rsid w:val="00383BC1"/>
    <w:rsid w:val="00391441"/>
    <w:rsid w:val="003926A7"/>
    <w:rsid w:val="00393917"/>
    <w:rsid w:val="00394DF3"/>
    <w:rsid w:val="003955D8"/>
    <w:rsid w:val="003A3CED"/>
    <w:rsid w:val="003B0EEF"/>
    <w:rsid w:val="003B3AA5"/>
    <w:rsid w:val="003B46E9"/>
    <w:rsid w:val="003B530C"/>
    <w:rsid w:val="003C6719"/>
    <w:rsid w:val="003C6877"/>
    <w:rsid w:val="003C72D8"/>
    <w:rsid w:val="003D0903"/>
    <w:rsid w:val="003D1916"/>
    <w:rsid w:val="003D1CEF"/>
    <w:rsid w:val="003D27CE"/>
    <w:rsid w:val="003D316E"/>
    <w:rsid w:val="003D6F92"/>
    <w:rsid w:val="003E2CA0"/>
    <w:rsid w:val="003E3019"/>
    <w:rsid w:val="003E4381"/>
    <w:rsid w:val="003E7496"/>
    <w:rsid w:val="003F15D4"/>
    <w:rsid w:val="003F1885"/>
    <w:rsid w:val="003F46A6"/>
    <w:rsid w:val="003F4B7C"/>
    <w:rsid w:val="003F5CF5"/>
    <w:rsid w:val="003F747F"/>
    <w:rsid w:val="00400887"/>
    <w:rsid w:val="0040435F"/>
    <w:rsid w:val="00404453"/>
    <w:rsid w:val="00405094"/>
    <w:rsid w:val="0041202B"/>
    <w:rsid w:val="004150FA"/>
    <w:rsid w:val="00416DF2"/>
    <w:rsid w:val="004200D9"/>
    <w:rsid w:val="00421D33"/>
    <w:rsid w:val="0042536C"/>
    <w:rsid w:val="00425E3B"/>
    <w:rsid w:val="00434C13"/>
    <w:rsid w:val="00437780"/>
    <w:rsid w:val="00440F46"/>
    <w:rsid w:val="00442E3C"/>
    <w:rsid w:val="00443458"/>
    <w:rsid w:val="00444D02"/>
    <w:rsid w:val="0044794A"/>
    <w:rsid w:val="00447F20"/>
    <w:rsid w:val="00450F38"/>
    <w:rsid w:val="00455B56"/>
    <w:rsid w:val="0046168C"/>
    <w:rsid w:val="00462DCB"/>
    <w:rsid w:val="004667E3"/>
    <w:rsid w:val="00467AD1"/>
    <w:rsid w:val="00470F03"/>
    <w:rsid w:val="00471B47"/>
    <w:rsid w:val="004729CA"/>
    <w:rsid w:val="0047444A"/>
    <w:rsid w:val="00476E52"/>
    <w:rsid w:val="00477829"/>
    <w:rsid w:val="00495E70"/>
    <w:rsid w:val="004A053C"/>
    <w:rsid w:val="004A1073"/>
    <w:rsid w:val="004A4692"/>
    <w:rsid w:val="004B1DC9"/>
    <w:rsid w:val="004B3A04"/>
    <w:rsid w:val="004B4449"/>
    <w:rsid w:val="004B6FAA"/>
    <w:rsid w:val="004B7F95"/>
    <w:rsid w:val="004D3AE3"/>
    <w:rsid w:val="004D40E1"/>
    <w:rsid w:val="004E149A"/>
    <w:rsid w:val="004E7336"/>
    <w:rsid w:val="004E7DEF"/>
    <w:rsid w:val="004F37FF"/>
    <w:rsid w:val="0050000C"/>
    <w:rsid w:val="0050184C"/>
    <w:rsid w:val="00504FB0"/>
    <w:rsid w:val="0050777D"/>
    <w:rsid w:val="00510A3B"/>
    <w:rsid w:val="0051658A"/>
    <w:rsid w:val="0052349D"/>
    <w:rsid w:val="005239F8"/>
    <w:rsid w:val="00523C22"/>
    <w:rsid w:val="00525A04"/>
    <w:rsid w:val="0052750D"/>
    <w:rsid w:val="00527A82"/>
    <w:rsid w:val="0053728C"/>
    <w:rsid w:val="005414C3"/>
    <w:rsid w:val="005446E5"/>
    <w:rsid w:val="00547DB2"/>
    <w:rsid w:val="00553F83"/>
    <w:rsid w:val="00560A86"/>
    <w:rsid w:val="00564844"/>
    <w:rsid w:val="00564D29"/>
    <w:rsid w:val="00567A8B"/>
    <w:rsid w:val="0057332C"/>
    <w:rsid w:val="005749ED"/>
    <w:rsid w:val="00575514"/>
    <w:rsid w:val="00575C90"/>
    <w:rsid w:val="005761C8"/>
    <w:rsid w:val="00584A14"/>
    <w:rsid w:val="00590810"/>
    <w:rsid w:val="00591415"/>
    <w:rsid w:val="005915A3"/>
    <w:rsid w:val="00593915"/>
    <w:rsid w:val="00594408"/>
    <w:rsid w:val="00596B0E"/>
    <w:rsid w:val="005A05E0"/>
    <w:rsid w:val="005A560C"/>
    <w:rsid w:val="005C06DB"/>
    <w:rsid w:val="005C37FF"/>
    <w:rsid w:val="005D1064"/>
    <w:rsid w:val="005D5A13"/>
    <w:rsid w:val="005D7108"/>
    <w:rsid w:val="005E19CA"/>
    <w:rsid w:val="005E1DB4"/>
    <w:rsid w:val="005E582A"/>
    <w:rsid w:val="005E58F3"/>
    <w:rsid w:val="005E71A7"/>
    <w:rsid w:val="005E7450"/>
    <w:rsid w:val="005E77A1"/>
    <w:rsid w:val="005E7A75"/>
    <w:rsid w:val="005E7E19"/>
    <w:rsid w:val="005F299F"/>
    <w:rsid w:val="005F4371"/>
    <w:rsid w:val="006027F2"/>
    <w:rsid w:val="00604732"/>
    <w:rsid w:val="006079D6"/>
    <w:rsid w:val="00612B43"/>
    <w:rsid w:val="00613ACE"/>
    <w:rsid w:val="00617608"/>
    <w:rsid w:val="00623F07"/>
    <w:rsid w:val="00631451"/>
    <w:rsid w:val="00633FBD"/>
    <w:rsid w:val="006350FC"/>
    <w:rsid w:val="00636633"/>
    <w:rsid w:val="006450EF"/>
    <w:rsid w:val="00646935"/>
    <w:rsid w:val="00653D93"/>
    <w:rsid w:val="00663E55"/>
    <w:rsid w:val="00670467"/>
    <w:rsid w:val="00671C95"/>
    <w:rsid w:val="00672202"/>
    <w:rsid w:val="00673F6A"/>
    <w:rsid w:val="006746EA"/>
    <w:rsid w:val="006754B1"/>
    <w:rsid w:val="00675DC9"/>
    <w:rsid w:val="0068230D"/>
    <w:rsid w:val="00684F1F"/>
    <w:rsid w:val="006940E6"/>
    <w:rsid w:val="006A3768"/>
    <w:rsid w:val="006A567B"/>
    <w:rsid w:val="006A645B"/>
    <w:rsid w:val="006A6599"/>
    <w:rsid w:val="006A71FB"/>
    <w:rsid w:val="006B2A00"/>
    <w:rsid w:val="006B4C2C"/>
    <w:rsid w:val="006C5352"/>
    <w:rsid w:val="006D056D"/>
    <w:rsid w:val="006D7669"/>
    <w:rsid w:val="006E4DC0"/>
    <w:rsid w:val="006F104B"/>
    <w:rsid w:val="006F41C7"/>
    <w:rsid w:val="006F6DDE"/>
    <w:rsid w:val="007028D0"/>
    <w:rsid w:val="007107EB"/>
    <w:rsid w:val="007117F6"/>
    <w:rsid w:val="007136F4"/>
    <w:rsid w:val="0071371D"/>
    <w:rsid w:val="00722729"/>
    <w:rsid w:val="00730D37"/>
    <w:rsid w:val="00732236"/>
    <w:rsid w:val="00733F81"/>
    <w:rsid w:val="007360DB"/>
    <w:rsid w:val="007365A6"/>
    <w:rsid w:val="00741905"/>
    <w:rsid w:val="0075096F"/>
    <w:rsid w:val="00752443"/>
    <w:rsid w:val="00756AB3"/>
    <w:rsid w:val="00757CC7"/>
    <w:rsid w:val="00762D44"/>
    <w:rsid w:val="00767812"/>
    <w:rsid w:val="00772756"/>
    <w:rsid w:val="00783757"/>
    <w:rsid w:val="007863C6"/>
    <w:rsid w:val="00790A1D"/>
    <w:rsid w:val="007A1453"/>
    <w:rsid w:val="007A2885"/>
    <w:rsid w:val="007A532F"/>
    <w:rsid w:val="007A6E50"/>
    <w:rsid w:val="007A6F3F"/>
    <w:rsid w:val="007B431A"/>
    <w:rsid w:val="007B6EFC"/>
    <w:rsid w:val="007C00E2"/>
    <w:rsid w:val="007C0B07"/>
    <w:rsid w:val="007C4221"/>
    <w:rsid w:val="007C46B7"/>
    <w:rsid w:val="007C474E"/>
    <w:rsid w:val="007D3D63"/>
    <w:rsid w:val="007D4A5B"/>
    <w:rsid w:val="007E3691"/>
    <w:rsid w:val="007E431D"/>
    <w:rsid w:val="007F2961"/>
    <w:rsid w:val="007F5205"/>
    <w:rsid w:val="0080249A"/>
    <w:rsid w:val="0081063E"/>
    <w:rsid w:val="00812F32"/>
    <w:rsid w:val="00813BE0"/>
    <w:rsid w:val="00813EA2"/>
    <w:rsid w:val="008160EF"/>
    <w:rsid w:val="00816E92"/>
    <w:rsid w:val="00821C8E"/>
    <w:rsid w:val="008260B0"/>
    <w:rsid w:val="00830B80"/>
    <w:rsid w:val="008355B1"/>
    <w:rsid w:val="008356F1"/>
    <w:rsid w:val="00841DF3"/>
    <w:rsid w:val="00844EC6"/>
    <w:rsid w:val="00846AE9"/>
    <w:rsid w:val="00853357"/>
    <w:rsid w:val="008544D1"/>
    <w:rsid w:val="00860556"/>
    <w:rsid w:val="00861C49"/>
    <w:rsid w:val="00864DEA"/>
    <w:rsid w:val="00866C23"/>
    <w:rsid w:val="00867057"/>
    <w:rsid w:val="00880317"/>
    <w:rsid w:val="0088489B"/>
    <w:rsid w:val="00892135"/>
    <w:rsid w:val="008951B8"/>
    <w:rsid w:val="00897DF9"/>
    <w:rsid w:val="008A1483"/>
    <w:rsid w:val="008A3AC8"/>
    <w:rsid w:val="008A41A0"/>
    <w:rsid w:val="008B5360"/>
    <w:rsid w:val="008B6094"/>
    <w:rsid w:val="008B6CDB"/>
    <w:rsid w:val="008C1FC6"/>
    <w:rsid w:val="008C51ED"/>
    <w:rsid w:val="008C5F61"/>
    <w:rsid w:val="008C6109"/>
    <w:rsid w:val="008C6D5A"/>
    <w:rsid w:val="008C7022"/>
    <w:rsid w:val="008D43FD"/>
    <w:rsid w:val="008D6258"/>
    <w:rsid w:val="008E5ABD"/>
    <w:rsid w:val="008E7613"/>
    <w:rsid w:val="008F43A1"/>
    <w:rsid w:val="008F46D1"/>
    <w:rsid w:val="008F5F95"/>
    <w:rsid w:val="0090041A"/>
    <w:rsid w:val="009004DD"/>
    <w:rsid w:val="00900C59"/>
    <w:rsid w:val="00904F8A"/>
    <w:rsid w:val="00907E84"/>
    <w:rsid w:val="00911895"/>
    <w:rsid w:val="0091589E"/>
    <w:rsid w:val="00920646"/>
    <w:rsid w:val="00923DB0"/>
    <w:rsid w:val="00923F06"/>
    <w:rsid w:val="009251F5"/>
    <w:rsid w:val="009304B8"/>
    <w:rsid w:val="00932A95"/>
    <w:rsid w:val="00941376"/>
    <w:rsid w:val="00942027"/>
    <w:rsid w:val="009433EF"/>
    <w:rsid w:val="009453D3"/>
    <w:rsid w:val="00950AA8"/>
    <w:rsid w:val="00952D14"/>
    <w:rsid w:val="00953804"/>
    <w:rsid w:val="00955621"/>
    <w:rsid w:val="0095694C"/>
    <w:rsid w:val="00957CDA"/>
    <w:rsid w:val="00961A40"/>
    <w:rsid w:val="00981275"/>
    <w:rsid w:val="00981AD3"/>
    <w:rsid w:val="00985A0C"/>
    <w:rsid w:val="00994E08"/>
    <w:rsid w:val="00995013"/>
    <w:rsid w:val="009B1264"/>
    <w:rsid w:val="009B14DA"/>
    <w:rsid w:val="009B3AED"/>
    <w:rsid w:val="009C163C"/>
    <w:rsid w:val="009C1F79"/>
    <w:rsid w:val="009C5501"/>
    <w:rsid w:val="009D1E16"/>
    <w:rsid w:val="009D3787"/>
    <w:rsid w:val="009D3AF2"/>
    <w:rsid w:val="009D4671"/>
    <w:rsid w:val="009D620C"/>
    <w:rsid w:val="009D73D8"/>
    <w:rsid w:val="009D7AC5"/>
    <w:rsid w:val="009E0903"/>
    <w:rsid w:val="009E1C6A"/>
    <w:rsid w:val="009E1EDB"/>
    <w:rsid w:val="009E4078"/>
    <w:rsid w:val="009F0CF4"/>
    <w:rsid w:val="009F0FB3"/>
    <w:rsid w:val="009F12E6"/>
    <w:rsid w:val="009F55D6"/>
    <w:rsid w:val="00A04E56"/>
    <w:rsid w:val="00A04FA9"/>
    <w:rsid w:val="00A06A11"/>
    <w:rsid w:val="00A14217"/>
    <w:rsid w:val="00A218FC"/>
    <w:rsid w:val="00A32163"/>
    <w:rsid w:val="00A379CE"/>
    <w:rsid w:val="00A41232"/>
    <w:rsid w:val="00A4483E"/>
    <w:rsid w:val="00A462D4"/>
    <w:rsid w:val="00A5053C"/>
    <w:rsid w:val="00A521F6"/>
    <w:rsid w:val="00A52578"/>
    <w:rsid w:val="00A60B38"/>
    <w:rsid w:val="00A64139"/>
    <w:rsid w:val="00A647BF"/>
    <w:rsid w:val="00A67679"/>
    <w:rsid w:val="00A715B7"/>
    <w:rsid w:val="00A71D37"/>
    <w:rsid w:val="00A72CA1"/>
    <w:rsid w:val="00A72CE8"/>
    <w:rsid w:val="00A73EA8"/>
    <w:rsid w:val="00A77719"/>
    <w:rsid w:val="00A801EC"/>
    <w:rsid w:val="00A833F0"/>
    <w:rsid w:val="00A84BB2"/>
    <w:rsid w:val="00A90200"/>
    <w:rsid w:val="00A902FD"/>
    <w:rsid w:val="00AA033A"/>
    <w:rsid w:val="00AA2A65"/>
    <w:rsid w:val="00AA2C95"/>
    <w:rsid w:val="00AA5394"/>
    <w:rsid w:val="00AB413D"/>
    <w:rsid w:val="00AB4FD9"/>
    <w:rsid w:val="00AB5C49"/>
    <w:rsid w:val="00AB7FC7"/>
    <w:rsid w:val="00AC0095"/>
    <w:rsid w:val="00AC7DA3"/>
    <w:rsid w:val="00AE0020"/>
    <w:rsid w:val="00AE050F"/>
    <w:rsid w:val="00AE1B0B"/>
    <w:rsid w:val="00AE54E2"/>
    <w:rsid w:val="00AF02CC"/>
    <w:rsid w:val="00AF18AD"/>
    <w:rsid w:val="00AF2181"/>
    <w:rsid w:val="00AF70D8"/>
    <w:rsid w:val="00AF7D07"/>
    <w:rsid w:val="00AF7F9A"/>
    <w:rsid w:val="00B00DC7"/>
    <w:rsid w:val="00B0456C"/>
    <w:rsid w:val="00B06DC9"/>
    <w:rsid w:val="00B0744D"/>
    <w:rsid w:val="00B112D2"/>
    <w:rsid w:val="00B11A4B"/>
    <w:rsid w:val="00B151C2"/>
    <w:rsid w:val="00B16A67"/>
    <w:rsid w:val="00B20852"/>
    <w:rsid w:val="00B20A11"/>
    <w:rsid w:val="00B216CD"/>
    <w:rsid w:val="00B26F22"/>
    <w:rsid w:val="00B306E6"/>
    <w:rsid w:val="00B35B0F"/>
    <w:rsid w:val="00B4537E"/>
    <w:rsid w:val="00B47276"/>
    <w:rsid w:val="00B563E0"/>
    <w:rsid w:val="00B56726"/>
    <w:rsid w:val="00B60406"/>
    <w:rsid w:val="00B62747"/>
    <w:rsid w:val="00B708DC"/>
    <w:rsid w:val="00B74F86"/>
    <w:rsid w:val="00B95B9C"/>
    <w:rsid w:val="00BA2FEF"/>
    <w:rsid w:val="00BA4420"/>
    <w:rsid w:val="00BA7944"/>
    <w:rsid w:val="00BA7E7A"/>
    <w:rsid w:val="00BB1D9B"/>
    <w:rsid w:val="00BC064F"/>
    <w:rsid w:val="00BC461C"/>
    <w:rsid w:val="00BD3331"/>
    <w:rsid w:val="00BE03B2"/>
    <w:rsid w:val="00BE31E3"/>
    <w:rsid w:val="00BE34D3"/>
    <w:rsid w:val="00BE622E"/>
    <w:rsid w:val="00BF12D5"/>
    <w:rsid w:val="00BF1B21"/>
    <w:rsid w:val="00BF3215"/>
    <w:rsid w:val="00BF477D"/>
    <w:rsid w:val="00BF49E2"/>
    <w:rsid w:val="00C015BE"/>
    <w:rsid w:val="00C04934"/>
    <w:rsid w:val="00C07C8B"/>
    <w:rsid w:val="00C10099"/>
    <w:rsid w:val="00C107BE"/>
    <w:rsid w:val="00C16FAF"/>
    <w:rsid w:val="00C2774D"/>
    <w:rsid w:val="00C302E5"/>
    <w:rsid w:val="00C3268E"/>
    <w:rsid w:val="00C3291A"/>
    <w:rsid w:val="00C3501C"/>
    <w:rsid w:val="00C37D96"/>
    <w:rsid w:val="00C41D52"/>
    <w:rsid w:val="00C44DA7"/>
    <w:rsid w:val="00C44F5A"/>
    <w:rsid w:val="00C45F2E"/>
    <w:rsid w:val="00C47317"/>
    <w:rsid w:val="00C509CB"/>
    <w:rsid w:val="00C5368B"/>
    <w:rsid w:val="00C54FBB"/>
    <w:rsid w:val="00C57276"/>
    <w:rsid w:val="00C5749B"/>
    <w:rsid w:val="00C5749C"/>
    <w:rsid w:val="00C62C8F"/>
    <w:rsid w:val="00C66485"/>
    <w:rsid w:val="00C66804"/>
    <w:rsid w:val="00C7061F"/>
    <w:rsid w:val="00C70C28"/>
    <w:rsid w:val="00C76E0D"/>
    <w:rsid w:val="00C90BA2"/>
    <w:rsid w:val="00C931F4"/>
    <w:rsid w:val="00C9641F"/>
    <w:rsid w:val="00C96C89"/>
    <w:rsid w:val="00C97A1F"/>
    <w:rsid w:val="00CA2EE2"/>
    <w:rsid w:val="00CA37FF"/>
    <w:rsid w:val="00CB09C0"/>
    <w:rsid w:val="00CB1335"/>
    <w:rsid w:val="00CB5F17"/>
    <w:rsid w:val="00CC45ED"/>
    <w:rsid w:val="00CC7681"/>
    <w:rsid w:val="00CC7EA3"/>
    <w:rsid w:val="00CD468D"/>
    <w:rsid w:val="00CD52F6"/>
    <w:rsid w:val="00CE2701"/>
    <w:rsid w:val="00CE55AD"/>
    <w:rsid w:val="00CF0CE7"/>
    <w:rsid w:val="00CF35BC"/>
    <w:rsid w:val="00CF6D01"/>
    <w:rsid w:val="00D02AF3"/>
    <w:rsid w:val="00D10B70"/>
    <w:rsid w:val="00D12200"/>
    <w:rsid w:val="00D15C35"/>
    <w:rsid w:val="00D1618F"/>
    <w:rsid w:val="00D17F4B"/>
    <w:rsid w:val="00D20C60"/>
    <w:rsid w:val="00D27EFA"/>
    <w:rsid w:val="00D319D7"/>
    <w:rsid w:val="00D327E6"/>
    <w:rsid w:val="00D40202"/>
    <w:rsid w:val="00D40C4E"/>
    <w:rsid w:val="00D441CA"/>
    <w:rsid w:val="00D452DD"/>
    <w:rsid w:val="00D475C1"/>
    <w:rsid w:val="00D51BE1"/>
    <w:rsid w:val="00D51E6F"/>
    <w:rsid w:val="00D53BF5"/>
    <w:rsid w:val="00D617EA"/>
    <w:rsid w:val="00D65397"/>
    <w:rsid w:val="00D74694"/>
    <w:rsid w:val="00D75167"/>
    <w:rsid w:val="00D77D68"/>
    <w:rsid w:val="00D85D9A"/>
    <w:rsid w:val="00D863A5"/>
    <w:rsid w:val="00D93E5F"/>
    <w:rsid w:val="00D97450"/>
    <w:rsid w:val="00D97D4E"/>
    <w:rsid w:val="00DA000E"/>
    <w:rsid w:val="00DA3069"/>
    <w:rsid w:val="00DA439C"/>
    <w:rsid w:val="00DA4C28"/>
    <w:rsid w:val="00DA55D1"/>
    <w:rsid w:val="00DB3774"/>
    <w:rsid w:val="00DB5BCD"/>
    <w:rsid w:val="00DC02F6"/>
    <w:rsid w:val="00DC096C"/>
    <w:rsid w:val="00DC1140"/>
    <w:rsid w:val="00DC13FF"/>
    <w:rsid w:val="00DC15B6"/>
    <w:rsid w:val="00DD14CA"/>
    <w:rsid w:val="00DD4926"/>
    <w:rsid w:val="00DD58F6"/>
    <w:rsid w:val="00DD714D"/>
    <w:rsid w:val="00DD7215"/>
    <w:rsid w:val="00DE16D5"/>
    <w:rsid w:val="00DE3B81"/>
    <w:rsid w:val="00DE54AF"/>
    <w:rsid w:val="00DF4EC9"/>
    <w:rsid w:val="00DF7184"/>
    <w:rsid w:val="00DF71BA"/>
    <w:rsid w:val="00E05B80"/>
    <w:rsid w:val="00E12C2C"/>
    <w:rsid w:val="00E13397"/>
    <w:rsid w:val="00E151D3"/>
    <w:rsid w:val="00E155E8"/>
    <w:rsid w:val="00E1591B"/>
    <w:rsid w:val="00E17576"/>
    <w:rsid w:val="00E2482A"/>
    <w:rsid w:val="00E24A8B"/>
    <w:rsid w:val="00E24D90"/>
    <w:rsid w:val="00E272ED"/>
    <w:rsid w:val="00E2796D"/>
    <w:rsid w:val="00E30FC2"/>
    <w:rsid w:val="00E31DD1"/>
    <w:rsid w:val="00E32D62"/>
    <w:rsid w:val="00E34C13"/>
    <w:rsid w:val="00E359AF"/>
    <w:rsid w:val="00E42D6B"/>
    <w:rsid w:val="00E4311F"/>
    <w:rsid w:val="00E4363E"/>
    <w:rsid w:val="00E518B9"/>
    <w:rsid w:val="00E52079"/>
    <w:rsid w:val="00E542EC"/>
    <w:rsid w:val="00E54771"/>
    <w:rsid w:val="00E57881"/>
    <w:rsid w:val="00E57C33"/>
    <w:rsid w:val="00E62F9F"/>
    <w:rsid w:val="00E704F1"/>
    <w:rsid w:val="00E70AAD"/>
    <w:rsid w:val="00E7128A"/>
    <w:rsid w:val="00E71E8A"/>
    <w:rsid w:val="00E80E53"/>
    <w:rsid w:val="00E82E37"/>
    <w:rsid w:val="00E83180"/>
    <w:rsid w:val="00E87882"/>
    <w:rsid w:val="00E90B38"/>
    <w:rsid w:val="00E92347"/>
    <w:rsid w:val="00E93782"/>
    <w:rsid w:val="00E97CAB"/>
    <w:rsid w:val="00EA4FCB"/>
    <w:rsid w:val="00EA659D"/>
    <w:rsid w:val="00EA69C9"/>
    <w:rsid w:val="00EA78CB"/>
    <w:rsid w:val="00EB119E"/>
    <w:rsid w:val="00EB4FAB"/>
    <w:rsid w:val="00EB6CAF"/>
    <w:rsid w:val="00EC0B92"/>
    <w:rsid w:val="00EC2FF7"/>
    <w:rsid w:val="00EC3997"/>
    <w:rsid w:val="00ED530A"/>
    <w:rsid w:val="00EE24D1"/>
    <w:rsid w:val="00EE2BDF"/>
    <w:rsid w:val="00EE62A9"/>
    <w:rsid w:val="00EF3562"/>
    <w:rsid w:val="00EF3AB2"/>
    <w:rsid w:val="00EF634C"/>
    <w:rsid w:val="00EF753A"/>
    <w:rsid w:val="00F05731"/>
    <w:rsid w:val="00F14614"/>
    <w:rsid w:val="00F20A85"/>
    <w:rsid w:val="00F23978"/>
    <w:rsid w:val="00F27CC8"/>
    <w:rsid w:val="00F30BA4"/>
    <w:rsid w:val="00F32E87"/>
    <w:rsid w:val="00F420D4"/>
    <w:rsid w:val="00F421E8"/>
    <w:rsid w:val="00F42DC2"/>
    <w:rsid w:val="00F478BF"/>
    <w:rsid w:val="00F47F12"/>
    <w:rsid w:val="00F47FE8"/>
    <w:rsid w:val="00F5076A"/>
    <w:rsid w:val="00F55EA8"/>
    <w:rsid w:val="00F57D56"/>
    <w:rsid w:val="00F65ED7"/>
    <w:rsid w:val="00F666CC"/>
    <w:rsid w:val="00F671E9"/>
    <w:rsid w:val="00F67E2A"/>
    <w:rsid w:val="00F732A4"/>
    <w:rsid w:val="00F74F71"/>
    <w:rsid w:val="00F82963"/>
    <w:rsid w:val="00F868EC"/>
    <w:rsid w:val="00F91CF5"/>
    <w:rsid w:val="00F92BA1"/>
    <w:rsid w:val="00F93654"/>
    <w:rsid w:val="00F96CFF"/>
    <w:rsid w:val="00FA4CA9"/>
    <w:rsid w:val="00FA57E7"/>
    <w:rsid w:val="00FB00A1"/>
    <w:rsid w:val="00FB450F"/>
    <w:rsid w:val="00FB5210"/>
    <w:rsid w:val="00FC1675"/>
    <w:rsid w:val="00FD38B7"/>
    <w:rsid w:val="00FD6A58"/>
    <w:rsid w:val="00FE0E2D"/>
    <w:rsid w:val="00FE1C10"/>
    <w:rsid w:val="00FE3433"/>
    <w:rsid w:val="00FE3BF3"/>
    <w:rsid w:val="00FE55D7"/>
    <w:rsid w:val="00FF5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0840-E801-40F4-9B87-67917B57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E Griffin</cp:lastModifiedBy>
  <cp:revision>6</cp:revision>
  <cp:lastPrinted>2022-06-06T12:19:00Z</cp:lastPrinted>
  <dcterms:created xsi:type="dcterms:W3CDTF">2022-06-06T06:26:00Z</dcterms:created>
  <dcterms:modified xsi:type="dcterms:W3CDTF">2022-06-06T12:19:00Z</dcterms:modified>
</cp:coreProperties>
</file>